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rsidR="00AD3A6F">
      <w:pPr>
        <w:autoSpaceDE w:val="0"/>
        <w:autoSpaceDN w:val="0"/>
        <w:adjustRightInd w:val="0"/>
        <w:jc w:val="center"/>
        <w:rPr>
          <w:rFonts w:ascii="方正仿宋简体" w:eastAsia="方正仿宋简体" w:hAnsiTheme="minorEastAsia" w:cs="仿宋_GB2312"/>
          <w:kern w:val="0"/>
          <w:sz w:val="36"/>
          <w:szCs w:val="36"/>
        </w:rPr>
      </w:pPr>
    </w:p>
    <w:p w:rsidR="00AD3A6F">
      <w:pPr>
        <w:autoSpaceDE w:val="0"/>
        <w:autoSpaceDN w:val="0"/>
        <w:adjustRightInd w:val="0"/>
        <w:jc w:val="center"/>
        <w:rPr>
          <w:rFonts w:ascii="方正仿宋简体" w:eastAsia="方正仿宋简体" w:hAnsiTheme="minorEastAsia" w:cs="仿宋_GB2312"/>
          <w:kern w:val="0"/>
          <w:sz w:val="36"/>
          <w:szCs w:val="36"/>
        </w:rPr>
      </w:pPr>
      <w:r>
        <w:rPr>
          <w:rFonts w:ascii="方正仿宋简体" w:eastAsia="方正仿宋简体" w:hAnsiTheme="minorEastAsia" w:cs="仿宋_GB2312" w:hint="eastAsia"/>
          <w:kern w:val="0"/>
          <w:sz w:val="36"/>
          <w:szCs w:val="36"/>
        </w:rPr>
        <w:t>易方达中证全指食品交易型开放式指数证券投资基金联接基金（易方达中证全指食品ETF联接A）基金产品资料概要</w:t>
      </w:r>
    </w:p>
    <w:p w:rsidR="00AD3A6F" w:rsidP="0086475C">
      <w:pPr>
        <w:autoSpaceDE w:val="0"/>
        <w:autoSpaceDN w:val="0"/>
        <w:adjustRightInd w:val="0"/>
        <w:jc w:val="center"/>
        <w:rPr>
          <w:rFonts w:ascii="方正仿宋简体" w:eastAsia="方正仿宋简体" w:hAnsi="方正仿宋简体" w:cs="方正仿宋简体"/>
          <w:iCs/>
          <w:sz w:val="24"/>
          <w:szCs w:val="24"/>
        </w:rPr>
      </w:pPr>
      <w:r>
        <w:rPr>
          <w:rFonts w:ascii="方正仿宋简体" w:eastAsia="方正仿宋简体" w:hAnsi="方正仿宋简体" w:cs="方正仿宋简体" w:hint="eastAsia"/>
          <w:iCs/>
          <w:sz w:val="24"/>
          <w:szCs w:val="24"/>
        </w:rPr>
        <w:t>编制日期：</w:t>
      </w:r>
      <w:r w:rsidRPr="0086475C">
        <w:rPr>
          <w:rFonts w:ascii="方正仿宋简体" w:eastAsia="方正仿宋简体" w:hAnsi="方正仿宋简体" w:cs="方正仿宋简体" w:hint="eastAsia"/>
          <w:iCs/>
          <w:sz w:val="24"/>
          <w:szCs w:val="24"/>
        </w:rPr>
        <w:t>2026年</w:t>
      </w:r>
      <w:r>
        <w:rPr>
          <w:rFonts w:ascii="方正仿宋简体" w:eastAsia="方正仿宋简体" w:hAnsi="方正仿宋简体" w:cs="方正仿宋简体"/>
          <w:iCs/>
          <w:sz w:val="24"/>
          <w:szCs w:val="24"/>
        </w:rPr>
        <w:t>8</w:t>
      </w:r>
      <w:r w:rsidRPr="0086475C">
        <w:rPr>
          <w:rFonts w:ascii="方正仿宋简体" w:eastAsia="方正仿宋简体" w:hAnsi="方正仿宋简体" w:cs="方正仿宋简体" w:hint="eastAsia"/>
          <w:iCs/>
          <w:sz w:val="24"/>
          <w:szCs w:val="24"/>
        </w:rPr>
        <w:t>月</w:t>
      </w:r>
      <w:r>
        <w:rPr>
          <w:rFonts w:ascii="方正仿宋简体" w:eastAsia="方正仿宋简体" w:hAnsi="方正仿宋简体" w:cs="方正仿宋简体"/>
          <w:iCs/>
          <w:sz w:val="24"/>
          <w:szCs w:val="24"/>
        </w:rPr>
        <w:t>12</w:t>
      </w:r>
      <w:r w:rsidRPr="0086475C">
        <w:rPr>
          <w:rFonts w:ascii="方正仿宋简体" w:eastAsia="方正仿宋简体" w:hAnsi="方正仿宋简体" w:cs="方正仿宋简体" w:hint="eastAsia"/>
          <w:iCs/>
          <w:sz w:val="24"/>
          <w:szCs w:val="24"/>
        </w:rPr>
        <w:t>日</w:t>
      </w:r>
    </w:p>
    <w:p w:rsidR="00AD3A6F">
      <w:pPr>
        <w:autoSpaceDE w:val="0"/>
        <w:autoSpaceDN w:val="0"/>
        <w:adjustRightInd w:val="0"/>
        <w:jc w:val="center"/>
        <w:rPr>
          <w:rFonts w:ascii="方正仿宋简体" w:eastAsia="方正仿宋简体" w:hAnsi="方正仿宋简体" w:cs="方正仿宋简体"/>
          <w:iCs/>
          <w:sz w:val="24"/>
          <w:szCs w:val="24"/>
        </w:rPr>
      </w:pPr>
      <w:r>
        <w:rPr>
          <w:rFonts w:ascii="方正仿宋简体" w:eastAsia="方正仿宋简体" w:hAnsi="方正仿宋简体" w:cs="方正仿宋简体" w:hint="eastAsia"/>
          <w:iCs/>
          <w:sz w:val="24"/>
          <w:szCs w:val="24"/>
        </w:rPr>
        <w:t>送出日期：</w:t>
      </w:r>
      <w:r>
        <w:rPr>
          <w:rFonts w:ascii="方正仿宋简体" w:eastAsia="方正仿宋简体" w:hAnsi="方正仿宋简体" w:cs="方正仿宋简体" w:hint="eastAsia"/>
          <w:iCs/>
          <w:sz w:val="24"/>
          <w:szCs w:val="24"/>
        </w:rPr>
        <w:t>2026年</w:t>
      </w:r>
      <w:r>
        <w:rPr>
          <w:rFonts w:ascii="方正仿宋简体" w:eastAsia="方正仿宋简体" w:hAnsi="方正仿宋简体" w:cs="方正仿宋简体"/>
          <w:iCs/>
          <w:sz w:val="24"/>
          <w:szCs w:val="24"/>
        </w:rPr>
        <w:t>8</w:t>
      </w:r>
      <w:r>
        <w:rPr>
          <w:rFonts w:ascii="方正仿宋简体" w:eastAsia="方正仿宋简体" w:hAnsi="方正仿宋简体" w:cs="方正仿宋简体" w:hint="eastAsia"/>
          <w:iCs/>
          <w:sz w:val="24"/>
          <w:szCs w:val="24"/>
        </w:rPr>
        <w:t>月</w:t>
      </w:r>
      <w:r>
        <w:rPr>
          <w:rFonts w:ascii="方正仿宋简体" w:eastAsia="方正仿宋简体" w:hAnsi="方正仿宋简体" w:cs="方正仿宋简体"/>
          <w:iCs/>
          <w:sz w:val="24"/>
          <w:szCs w:val="24"/>
        </w:rPr>
        <w:t>13</w:t>
      </w:r>
      <w:r>
        <w:rPr>
          <w:rFonts w:ascii="方正仿宋简体" w:eastAsia="方正仿宋简体" w:hAnsi="方正仿宋简体" w:cs="方正仿宋简体" w:hint="eastAsia"/>
          <w:iCs/>
          <w:sz w:val="24"/>
          <w:szCs w:val="24"/>
        </w:rPr>
        <w:t>日</w:t>
      </w:r>
    </w:p>
    <w:p w:rsidR="00AD3A6F">
      <w:pPr>
        <w:autoSpaceDE w:val="0"/>
        <w:autoSpaceDN w:val="0"/>
        <w:adjustRightInd w:val="0"/>
        <w:spacing w:line="380" w:lineRule="exact"/>
        <w:jc w:val="left"/>
        <w:rPr>
          <w:rFonts w:ascii="方正黑体简体" w:eastAsia="方正黑体简体" w:cs="黑体"/>
          <w:kern w:val="0"/>
          <w:sz w:val="32"/>
          <w:szCs w:val="32"/>
        </w:rPr>
      </w:pPr>
      <w:r>
        <w:rPr>
          <w:rFonts w:ascii="方正黑体简体" w:eastAsia="方正黑体简体" w:cs="黑体" w:hint="eastAsia"/>
          <w:kern w:val="0"/>
          <w:sz w:val="32"/>
          <w:szCs w:val="32"/>
        </w:rPr>
        <w:t>本概要提供本基金的重要信息，是招募说明书的一部分。</w:t>
      </w:r>
    </w:p>
    <w:p w:rsidR="00AD3A6F">
      <w:pPr>
        <w:autoSpaceDE w:val="0"/>
        <w:autoSpaceDN w:val="0"/>
        <w:adjustRightInd w:val="0"/>
        <w:spacing w:line="380" w:lineRule="exact"/>
        <w:jc w:val="left"/>
        <w:rPr>
          <w:rFonts w:ascii="方正黑体简体" w:eastAsia="方正黑体简体" w:cs="黑体"/>
          <w:kern w:val="0"/>
          <w:sz w:val="32"/>
          <w:szCs w:val="32"/>
        </w:rPr>
      </w:pPr>
      <w:r>
        <w:rPr>
          <w:rFonts w:ascii="方正黑体简体" w:eastAsia="方正黑体简体" w:cs="黑体" w:hint="eastAsia"/>
          <w:kern w:val="0"/>
          <w:sz w:val="32"/>
          <w:szCs w:val="32"/>
        </w:rPr>
        <w:t>作出投资决定前，请阅读完整的招募说明书等销售文件。</w:t>
      </w:r>
    </w:p>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产品概况</w:t>
      </w:r>
    </w:p>
    <w:tbl>
      <w:tblPr>
        <w:tblStyle w:val="TableGrid"/>
        <w:tblW w:w="5000" w:type="pct"/>
        <w:tblBorders>
          <w:left w:val="none" w:sz="0" w:space="0" w:color="auto"/>
          <w:right w:val="none" w:sz="0" w:space="0" w:color="auto"/>
          <w:insideH w:val="dashSmallGap" w:sz="4" w:space="0" w:color="A6A6A6" w:themeColor="background1" w:themeShade="A6"/>
          <w:insideV w:val="none" w:sz="0" w:space="0" w:color="auto"/>
        </w:tblBorders>
        <w:tblLayout w:type="fixed"/>
        <w:tblLook w:val="04A0"/>
      </w:tblPr>
      <w:tblGrid>
        <w:gridCol w:w="1952"/>
        <w:gridCol w:w="2408"/>
        <w:gridCol w:w="1703"/>
        <w:gridCol w:w="2459"/>
      </w:tblGrid>
      <w:tr w:rsidTr="00584DC5">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基金简称</w:t>
            </w:r>
          </w:p>
        </w:tc>
        <w:tc>
          <w:tcPr>
            <w:tcW w:w="141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易方达中证全指食品ETF联接</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基金代码</w:t>
            </w:r>
          </w:p>
        </w:tc>
        <w:tc>
          <w:tcPr>
            <w:tcW w:w="1443" w:type="pct"/>
            <w:tcBorders>
              <w:bottom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027213</w:t>
            </w:r>
          </w:p>
        </w:tc>
      </w:tr>
      <w:tr w:rsidTr="00B212F4">
        <w:tblPrEx>
          <w:tblW w:w="5000" w:type="pct"/>
          <w:tblLayout w:type="fixed"/>
          <w:tblLook w:val="04A0"/>
        </w:tblPrEx>
        <w:trPr>
          <w:trHeight w:val="150"/>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下属基金简称</w:t>
            </w:r>
          </w:p>
        </w:tc>
        <w:tc>
          <w:tcPr>
            <w:tcW w:w="1413" w:type="pct"/>
            <w:tcBorders>
              <w:top w:val="dashSmallGap" w:sz="4" w:space="0" w:color="A6A6A6" w:themeColor="background1" w:themeShade="A6"/>
              <w:bottom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iCs/>
              </w:rPr>
              <w:t>易方达中证全指食品ETF联接A</w:t>
            </w:r>
          </w:p>
        </w:tc>
        <w:tc>
          <w:tcPr>
            <w:tcW w:w="999" w:type="pct"/>
            <w:tcBorders>
              <w:top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下属基金代码</w:t>
            </w:r>
          </w:p>
        </w:tc>
        <w:tc>
          <w:tcPr>
            <w:tcW w:w="1443" w:type="pct"/>
            <w:tcBorders>
              <w:top w:val="dashSmallGap" w:sz="4" w:space="0" w:color="A6A6A6" w:themeColor="background1" w:themeShade="A6"/>
              <w:bottom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027213</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基金管理人</w:t>
            </w:r>
          </w:p>
        </w:tc>
        <w:tc>
          <w:tcPr>
            <w:tcW w:w="1413" w:type="pct"/>
            <w:tcBorders>
              <w:top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易方达基金管理有限公司</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基金托管人</w:t>
            </w:r>
          </w:p>
        </w:tc>
        <w:tc>
          <w:tcPr>
            <w:tcW w:w="1443" w:type="pct"/>
            <w:tcBorders>
              <w:top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 xml:space="preserve">中国银行股份有限公司 </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基金合同生效日</w:t>
            </w:r>
          </w:p>
        </w:tc>
        <w:tc>
          <w:tcPr>
            <w:tcW w:w="141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w:t>
            </w:r>
          </w:p>
        </w:tc>
        <w:tc>
          <w:tcPr>
            <w:tcW w:w="999" w:type="pct"/>
            <w:vAlign w:val="center"/>
          </w:tcPr>
          <w:p w:rsidR="00AD3A6F">
            <w:pPr>
              <w:spacing w:line="280" w:lineRule="exact"/>
              <w:rPr>
                <w:rFonts w:ascii="方正仿宋简体" w:eastAsia="方正仿宋简体" w:hAnsiTheme="minorEastAsia" w:cs="方正仿宋简体"/>
                <w:b/>
                <w:iCs/>
              </w:rPr>
            </w:pPr>
          </w:p>
        </w:tc>
        <w:tc>
          <w:tcPr>
            <w:tcW w:w="1443" w:type="pct"/>
            <w:tcBorders>
              <w:top w:val="dashSmallGap" w:sz="4" w:space="0" w:color="A6A6A6" w:themeColor="background1" w:themeShade="A6"/>
              <w:bottom w:val="nil"/>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 xml:space="preserve"> </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基金类型</w:t>
            </w:r>
          </w:p>
        </w:tc>
        <w:tc>
          <w:tcPr>
            <w:tcW w:w="141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基金中基金</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交易币种</w:t>
            </w:r>
          </w:p>
        </w:tc>
        <w:tc>
          <w:tcPr>
            <w:tcW w:w="1443" w:type="pct"/>
            <w:tcBorders>
              <w:top w:val="dashSmallGap" w:sz="4" w:space="0" w:color="A6A6A6" w:themeColor="background1" w:themeShade="A6"/>
            </w:tcBorders>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人民币</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运作方式</w:t>
            </w:r>
          </w:p>
        </w:tc>
        <w:tc>
          <w:tcPr>
            <w:tcW w:w="141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普通开放式</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开放频率</w:t>
            </w:r>
          </w:p>
        </w:tc>
        <w:tc>
          <w:tcPr>
            <w:tcW w:w="144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每个开放日</w:t>
            </w:r>
          </w:p>
        </w:tc>
      </w:tr>
      <w:tr w:rsidTr="005F360D">
        <w:tblPrEx>
          <w:tblW w:w="5000" w:type="pct"/>
          <w:tblLayout w:type="fixed"/>
          <w:tblLook w:val="04A0"/>
        </w:tblPrEx>
        <w:trPr>
          <w:trHeight w:val="454"/>
        </w:trPr>
        <w:tc>
          <w:tcPr>
            <w:tcW w:w="1145" w:type="pct"/>
            <w:vMerge w:val="restar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基金经理</w:t>
            </w:r>
          </w:p>
        </w:tc>
        <w:tc>
          <w:tcPr>
            <w:tcW w:w="1413" w:type="pct"/>
            <w:vMerge w:val="restar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iCs/>
              </w:rPr>
              <w:t>吕方</w:t>
            </w: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开始担任本基金基金经理的日期</w:t>
            </w:r>
          </w:p>
        </w:tc>
        <w:tc>
          <w:tcPr>
            <w:tcW w:w="144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iCs/>
              </w:rPr>
              <w:t>-</w:t>
            </w:r>
          </w:p>
        </w:tc>
      </w:tr>
      <w:tr w:rsidTr="005F360D">
        <w:tblPrEx>
          <w:tblW w:w="5000" w:type="pct"/>
          <w:tblLayout w:type="fixed"/>
          <w:tblLook w:val="04A0"/>
        </w:tblPrEx>
        <w:trPr>
          <w:trHeight w:val="454"/>
        </w:trPr>
        <w:tc>
          <w:tcPr>
            <w:tcW w:w="1145" w:type="pct"/>
            <w:vMerge/>
            <w:vAlign w:val="center"/>
          </w:tcPr>
          <w:p w:rsidR="00AD3A6F">
            <w:pPr>
              <w:spacing w:line="280" w:lineRule="exact"/>
              <w:rPr>
                <w:rFonts w:ascii="方正仿宋简体" w:eastAsia="方正仿宋简体" w:hAnsiTheme="minorEastAsia" w:cs="方正仿宋简体"/>
                <w:b/>
                <w:iCs/>
              </w:rPr>
            </w:pPr>
          </w:p>
        </w:tc>
        <w:tc>
          <w:tcPr>
            <w:tcW w:w="1413" w:type="pct"/>
            <w:vMerge/>
            <w:vAlign w:val="center"/>
          </w:tcPr>
          <w:p w:rsidR="00AD3A6F">
            <w:pPr>
              <w:spacing w:line="280" w:lineRule="exact"/>
              <w:rPr>
                <w:rFonts w:ascii="方正仿宋简体" w:eastAsia="方正仿宋简体" w:hAnsiTheme="minorEastAsia" w:cs="方正仿宋简体"/>
                <w:b/>
                <w:iCs/>
              </w:rPr>
            </w:pPr>
          </w:p>
        </w:tc>
        <w:tc>
          <w:tcPr>
            <w:tcW w:w="999" w:type="pct"/>
            <w:vAlign w:val="center"/>
          </w:tcPr>
          <w:p w:rsidR="00AD3A6F">
            <w:pPr>
              <w:spacing w:line="280" w:lineRule="exact"/>
              <w:rPr>
                <w:rFonts w:ascii="方正仿宋简体" w:eastAsia="方正仿宋简体" w:hAnsiTheme="minorEastAsia" w:cs="方正仿宋简体"/>
                <w:b/>
                <w:iCs/>
              </w:rPr>
            </w:pPr>
            <w:r>
              <w:rPr>
                <w:rFonts w:ascii="方正仿宋简体" w:eastAsia="方正仿宋简体" w:hAnsiTheme="minorEastAsia" w:cs="方正仿宋简体" w:hint="eastAsia"/>
                <w:b/>
                <w:iCs/>
              </w:rPr>
              <w:t>证券从业日期</w:t>
            </w:r>
          </w:p>
        </w:tc>
        <w:tc>
          <w:tcPr>
            <w:tcW w:w="1443"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2016-04-05</w:t>
            </w:r>
          </w:p>
        </w:tc>
      </w:tr>
      <w:tr w:rsidTr="005F360D">
        <w:tblPrEx>
          <w:tblW w:w="5000" w:type="pct"/>
          <w:tblLayout w:type="fixed"/>
          <w:tblLook w:val="04A0"/>
        </w:tblPrEx>
        <w:trPr>
          <w:trHeight w:val="454"/>
        </w:trPr>
        <w:tc>
          <w:tcPr>
            <w:tcW w:w="1145" w:type="pct"/>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其他</w:t>
            </w:r>
          </w:p>
        </w:tc>
        <w:tc>
          <w:tcPr>
            <w:tcW w:w="3855" w:type="pct"/>
            <w:gridSpan w:val="3"/>
            <w:vAlign w:val="center"/>
          </w:tcPr>
          <w:p w:rsidR="00AD3A6F">
            <w:pPr>
              <w:spacing w:line="280" w:lineRule="exact"/>
              <w:rPr>
                <w:rFonts w:ascii="方正仿宋简体" w:eastAsia="方正仿宋简体" w:hAnsiTheme="minorEastAsia" w:cs="方正仿宋简体"/>
                <w:iCs/>
              </w:rPr>
            </w:pPr>
            <w:r>
              <w:rPr>
                <w:rFonts w:ascii="方正仿宋简体" w:eastAsia="方正仿宋简体" w:hAnsiTheme="minorEastAsia" w:cs="方正仿宋简体" w:hint="eastAsia"/>
                <w:iCs/>
              </w:rPr>
              <w:t>未来若出现标的指数不符合法律法规及监管要求（因成份股价格波动等指数编制方法变动之外的因素致使标的指数不符合要求的情形除外）、指数编制机构退出等情形，基金管理人应当自该情形发生之日起十个工作日向中国证监会报告并提出解决方案，如转换运作方式、与其他基金合并、或者终止基金合同等，并在6个月内召集基金份额持有人大会进行表决，基金份额持有人大会未成功召开或就上述事项表决未通过的，基金合同终止。自指数编制机构停止标的指数的编制及发布至解决方案确定期间，基金管理人应按照指数编制机构提供的最近一个交易日的指数信息遵循基金份额持有人利益优先原则维持基金投资运作。</w:t>
            </w:r>
          </w:p>
        </w:tc>
      </w:tr>
    </w:tbl>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基金投资与净值表现</w:t>
      </w:r>
    </w:p>
    <w:p w:rsidR="00AD3A6F">
      <w:pPr>
        <w:pStyle w:val="ListParagraph"/>
        <w:numPr>
          <w:ilvl w:val="0"/>
          <w:numId w:val="2"/>
        </w:numPr>
        <w:spacing w:line="280" w:lineRule="exact"/>
        <w:ind w:firstLineChars="0"/>
        <w:outlineLvl w:val="1"/>
        <w:rPr>
          <w:rFonts w:ascii="方正仿宋简体" w:eastAsia="方正仿宋简体" w:hAnsiTheme="minorEastAsia" w:cs="方正仿宋简体"/>
          <w:b/>
          <w:iCs/>
          <w:sz w:val="24"/>
          <w:szCs w:val="24"/>
        </w:rPr>
      </w:pPr>
      <w:r>
        <w:rPr>
          <w:rFonts w:ascii="方正仿宋简体" w:eastAsia="方正仿宋简体" w:hAnsi="方正仿宋简体" w:cs="方正仿宋简体" w:hint="eastAsia"/>
          <w:b/>
          <w:iCs/>
          <w:sz w:val="24"/>
          <w:szCs w:val="24"/>
        </w:rPr>
        <w:t>投资目标与投资策略</w:t>
      </w:r>
    </w:p>
    <w:tbl>
      <w:tblPr>
        <w:tblStyle w:val="TableGrid"/>
        <w:tblW w:w="5000" w:type="pct"/>
        <w:tblBorders>
          <w:left w:val="none" w:sz="0" w:space="0" w:color="auto"/>
          <w:right w:val="none" w:sz="0" w:space="0" w:color="auto"/>
          <w:insideH w:val="dashSmallGap" w:sz="4" w:space="0" w:color="808080" w:themeColor="background1" w:themeShade="80"/>
          <w:insideV w:val="none" w:sz="0" w:space="0" w:color="auto"/>
        </w:tblBorders>
        <w:tblLook w:val="04A0"/>
      </w:tblPr>
      <w:tblGrid>
        <w:gridCol w:w="1952"/>
        <w:gridCol w:w="6570"/>
      </w:tblGrid>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投资目标</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紧密跟踪业绩比较基准，追求跟踪偏离度和跟踪误差的最小化。</w:t>
            </w:r>
          </w:p>
        </w:tc>
      </w:tr>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投资范围</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的投资范围包括目标ETF、标的指数成份股及备选成份股（含存托凭证）、除标的指数成份股及备选成份股以外的其他股票（包括创业板、科创板及其他依法发行上市的股票、存托凭证）、债券（包括国债、央行票据、地方政府债、金融债、企业债、公司债、次级债、中期票据、短期融资券、超短期融资券、政府支持机构债券、可转换债券、可交换债券等）、债券回购、资产支持证券、银行存款、同业存单、货币市场工具、金融衍生工具（包括股指期货、国债期货、股票期权等）以及法律法规或中国证监会允许基金投资的其他金融工具。</w:t>
            </w:r>
          </w:p>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如法律法规或监管机构以后允许基金投资其他品种，基金管理人在履行适当程序后，本基金可以将其纳入投资范围。</w:t>
            </w:r>
          </w:p>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本基金将根据法律法规的规定参与转融通证券出借及融资业务。</w:t>
            </w:r>
          </w:p>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本基金投资于目标ETF的资产不低于基金资产净值的90%，保持不低于基金资产净值5%的现金或者到期日在一年以内的政府债券，其中现金不包括结算备付金、存出保证金、应收申购款等。</w:t>
            </w:r>
          </w:p>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本基金的标的指数为中证全指食品指数，及其未来可能发生的变更。</w:t>
            </w:r>
          </w:p>
        </w:tc>
      </w:tr>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主要投资策略</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为易方达中证全指食品ETF的联接基金，主要通过投资于易方达中证全指食品ETF实现对业绩比较基准的紧密跟踪，力争将日均跟踪偏离度的绝对值控制在0.35%以内，年化跟踪误差控制在4%以内，主要投资策略包括目标ETF投资策略、股票（含存托凭证）投资策略、债券和货币市场工具投资策略、衍生品投资策略、参与转融通证券出借业务策略、融资业务策略等。</w:t>
            </w:r>
          </w:p>
        </w:tc>
      </w:tr>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业绩比较基准</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中证全指食品指数收益率×95%+活期存款基准利率×5%</w:t>
            </w:r>
          </w:p>
        </w:tc>
      </w:tr>
      <w:tr w:rsidTr="004473DA">
        <w:tblPrEx>
          <w:tblW w:w="5000" w:type="pct"/>
          <w:tblLook w:val="04A0"/>
        </w:tblPrEx>
        <w:trPr>
          <w:trHeight w:val="454"/>
        </w:trPr>
        <w:tc>
          <w:tcPr>
            <w:tcW w:w="1145" w:type="pct"/>
            <w:vAlign w:val="center"/>
          </w:tcPr>
          <w:p w:rsidR="00AD3A6F">
            <w:pPr>
              <w:autoSpaceDE w:val="0"/>
              <w:autoSpaceDN w:val="0"/>
              <w:adjustRightInd w:val="0"/>
              <w:spacing w:line="280" w:lineRule="exact"/>
              <w:rPr>
                <w:rFonts w:ascii="方正仿宋简体" w:eastAsia="方正仿宋简体" w:hAnsiTheme="minorEastAsia" w:cs="仿宋_GB2312"/>
                <w:kern w:val="0"/>
                <w:sz w:val="22"/>
                <w:szCs w:val="24"/>
              </w:rPr>
            </w:pPr>
            <w:r>
              <w:rPr>
                <w:rFonts w:ascii="方正仿宋简体" w:eastAsia="方正仿宋简体" w:hAnsiTheme="minorEastAsia" w:cs="方正仿宋简体" w:hint="eastAsia"/>
                <w:b/>
                <w:bCs/>
                <w:iCs/>
                <w:szCs w:val="24"/>
              </w:rPr>
              <w:t>风险收益特征</w:t>
            </w:r>
          </w:p>
        </w:tc>
        <w:tc>
          <w:tcPr>
            <w:tcW w:w="3855" w:type="pct"/>
            <w:vAlign w:val="center"/>
          </w:tcPr>
          <w:p w:rsidR="00AD3A6F">
            <w:pPr>
              <w:autoSpaceDE w:val="0"/>
              <w:autoSpaceDN w:val="0"/>
              <w:adjustRightInd w:val="0"/>
              <w:spacing w:line="280" w:lineRule="exact"/>
              <w:rPr>
                <w:rFonts w:ascii="方正仿宋简体" w:eastAsia="方正仿宋简体" w:hAnsiTheme="minorEastAsia" w:cs="仿宋_GB2312"/>
                <w:kern w:val="0"/>
                <w:szCs w:val="24"/>
              </w:rPr>
            </w:pPr>
            <w:r>
              <w:rPr>
                <w:rFonts w:ascii="方正仿宋简体" w:eastAsia="方正仿宋简体" w:hAnsiTheme="minorEastAsia" w:cs="仿宋_GB2312" w:hint="eastAsia"/>
                <w:kern w:val="0"/>
                <w:szCs w:val="24"/>
              </w:rPr>
              <w:t>本基金为ETF联接基金，预期风险与预期收益水平高于混合型基金、债券型基金与货币市场基金。本基金主要通过投资于目标ETF实现对业绩比较基准的紧密跟踪。因此，本基金的业绩表现与标的指数的表现密切相关。</w:t>
            </w:r>
          </w:p>
        </w:tc>
      </w:tr>
    </w:tbl>
    <w:p w:rsidR="00AD3A6F" w:rsidRPr="0086475C">
      <w:pPr>
        <w:spacing w:line="280" w:lineRule="exact"/>
        <w:rPr>
          <w:rFonts w:ascii="方正仿宋简体" w:eastAsia="方正仿宋简体" w:hAnsiTheme="minorEastAsia" w:cs="方正仿宋简体"/>
          <w:iCs/>
          <w:szCs w:val="24"/>
        </w:rPr>
      </w:pPr>
      <w:r>
        <w:rPr>
          <w:rFonts w:ascii="方正仿宋简体" w:eastAsia="方正仿宋简体" w:hAnsiTheme="minorEastAsia" w:cs="方正仿宋简体" w:hint="eastAsia"/>
          <w:iCs/>
          <w:szCs w:val="24"/>
        </w:rPr>
        <w:t>注：投资者可阅读《招募说明书》基金的投资章节了解详细情况。</w:t>
      </w:r>
    </w:p>
    <w:p w:rsidR="00AD3A6F">
      <w:pPr>
        <w:pStyle w:val="ListParagraph"/>
        <w:numPr>
          <w:ilvl w:val="0"/>
          <w:numId w:val="2"/>
        </w:numPr>
        <w:spacing w:line="280" w:lineRule="exact"/>
        <w:ind w:firstLineChars="0"/>
        <w:outlineLvl w:val="1"/>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投资组合资产配置图表/区域配置图表</w:t>
      </w:r>
    </w:p>
    <w:p w:rsidR="00AD3A6F">
      <w:pPr>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投资组合资产配置图表</w:t>
      </w:r>
    </w:p>
    <w:p w:rsidR="00AD3A6F" w:rsidRPr="00E27EE9" w:rsidP="00E27EE9">
      <w:pPr>
        <w:snapToGrid w:val="0"/>
        <w:jc w:val="left"/>
        <w:rPr>
          <w:rFonts w:ascii="方正仿宋简体" w:eastAsia="方正仿宋简体"/>
          <w:color w:val="000000" w:themeColor="text1"/>
        </w:rPr>
      </w:pPr>
      <w:r w:rsidRPr="003F6076">
        <w:rPr>
          <w:rFonts w:ascii="方正仿宋简体" w:eastAsia="方正仿宋简体"/>
          <w:color w:val="000000" w:themeColor="text1"/>
        </w:rPr>
        <w:t>无</w:t>
      </w:r>
    </w:p>
    <w:p w:rsidR="00AD3A6F">
      <w:pPr>
        <w:pStyle w:val="ListParagraph"/>
        <w:numPr>
          <w:ilvl w:val="0"/>
          <w:numId w:val="2"/>
        </w:numPr>
        <w:spacing w:line="280" w:lineRule="exact"/>
        <w:ind w:firstLineChars="0"/>
        <w:outlineLvl w:val="1"/>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自基金合同生效以来基金每年的净值增长率及与同期业绩比较基准的比较图</w:t>
      </w:r>
    </w:p>
    <w:p w:rsidR="00AD3A6F">
      <w:pPr>
        <w:autoSpaceDE w:val="0"/>
        <w:autoSpaceDN w:val="0"/>
        <w:adjustRightInd w:val="0"/>
        <w:spacing w:line="280" w:lineRule="exact"/>
        <w:jc w:val="left"/>
        <w:rPr>
          <w:rFonts w:ascii="方正仿宋简体" w:eastAsia="方正仿宋简体" w:hAnsiTheme="minorEastAsia"/>
          <w:color w:val="000000" w:themeColor="text1"/>
        </w:rPr>
      </w:pPr>
      <w:r>
        <w:rPr>
          <w:rFonts w:ascii="方正仿宋简体" w:eastAsia="方正仿宋简体" w:hAnsiTheme="minorEastAsia" w:hint="eastAsia"/>
          <w:color w:val="000000" w:themeColor="text1"/>
        </w:rPr>
        <w:t>无</w:t>
      </w:r>
    </w:p>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投资本基金涉及的费用</w:t>
      </w:r>
    </w:p>
    <w:p w:rsidR="00AD3A6F">
      <w:pPr>
        <w:pStyle w:val="ListParagraph"/>
        <w:numPr>
          <w:ilvl w:val="0"/>
          <w:numId w:val="3"/>
        </w:numPr>
        <w:spacing w:line="340" w:lineRule="exact"/>
        <w:ind w:firstLineChars="0"/>
        <w:outlineLvl w:val="1"/>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基金销售相关费用</w:t>
      </w:r>
    </w:p>
    <w:p w:rsidR="00AD3A6F">
      <w:pPr>
        <w:autoSpaceDE w:val="0"/>
        <w:autoSpaceDN w:val="0"/>
        <w:adjustRightInd w:val="0"/>
        <w:spacing w:line="280" w:lineRule="exact"/>
        <w:jc w:val="left"/>
        <w:rPr>
          <w:rFonts w:ascii="方正仿宋简体" w:eastAsia="方正仿宋简体"/>
          <w:color w:val="000000" w:themeColor="text1"/>
        </w:rPr>
      </w:pPr>
      <w:r>
        <w:rPr>
          <w:rFonts w:ascii="方正仿宋简体" w:eastAsia="方正仿宋简体" w:hAnsi="方正仿宋简体" w:cs="方正仿宋简体" w:hint="eastAsia"/>
          <w:iCs/>
          <w:color w:val="000000" w:themeColor="text1"/>
        </w:rPr>
        <w:t>以下费用在认购/申购/赎回基金过程中收取：</w:t>
      </w:r>
    </w:p>
    <w:tbl>
      <w:tblPr>
        <w:tblW w:w="5000" w:type="pct"/>
        <w:tblBorders>
          <w:top w:val="single" w:sz="4" w:space="0" w:color="000000"/>
          <w:bottom w:val="single" w:sz="4" w:space="0" w:color="000000"/>
          <w:insideH w:val="dashSmallGap" w:sz="4" w:space="0" w:color="808080" w:themeColor="background1" w:themeShade="80"/>
        </w:tblBorders>
        <w:tblLook w:val="0000"/>
      </w:tblPr>
      <w:tblGrid>
        <w:gridCol w:w="1243"/>
        <w:gridCol w:w="3828"/>
        <w:gridCol w:w="1133"/>
        <w:gridCol w:w="2318"/>
      </w:tblGrid>
      <w:tr w:rsidTr="00575F3B">
        <w:tblPrEx>
          <w:tblW w:w="5000" w:type="pct"/>
          <w:tblLook w:val="0000"/>
        </w:tblPrEx>
        <w:trPr>
          <w:trHeight w:val="454"/>
        </w:trPr>
        <w:tc>
          <w:tcPr>
            <w:tcW w:w="729" w:type="pc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费用类型</w:t>
            </w:r>
          </w:p>
        </w:tc>
        <w:tc>
          <w:tcPr>
            <w:tcW w:w="2246" w:type="pc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份额（S）或金额（M）</w:t>
            </w:r>
          </w:p>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/持有期限（N）</w:t>
            </w:r>
          </w:p>
        </w:tc>
        <w:tc>
          <w:tcPr>
            <w:tcW w:w="665" w:type="pc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收费方式/费率</w:t>
            </w:r>
          </w:p>
        </w:tc>
        <w:tc>
          <w:tcPr>
            <w:tcW w:w="1360" w:type="pc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备注</w:t>
            </w:r>
          </w:p>
        </w:tc>
      </w:tr>
      <w:tr w:rsidTr="00575F3B">
        <w:tblPrEx>
          <w:tblW w:w="5000" w:type="pct"/>
          <w:tblLook w:val="0000"/>
        </w:tblPrEx>
        <w:trPr>
          <w:trHeight w:val="454"/>
        </w:trPr>
        <w:tc>
          <w:tcPr>
            <w:tcW w:w="729" w:type="pct"/>
            <w:vMerge w:val="restar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认购费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  M &lt; 500万元</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0.30%  </w:t>
            </w:r>
          </w:p>
        </w:tc>
        <w:tc>
          <w:tcPr>
            <w:tcW w:w="1360" w:type="pct"/>
            <w:vAlign w:val="center"/>
          </w:tcPr>
          <w:p w:rsidR="00AD3A6F">
            <w:pPr>
              <w:spacing w:line="280" w:lineRule="exact"/>
              <w:jc w:val="center"/>
              <w:rPr>
                <w:rFonts w:ascii="方正仿宋简体" w:eastAsia="方正仿宋简体" w:hAnsi="方正仿宋简体" w:cs="方正仿宋简体"/>
                <w:bCs/>
                <w:iCs/>
                <w:color w:val="000000" w:themeColor="text1"/>
              </w:rPr>
            </w:pP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认购费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M ≥ 500万元</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  1000元/笔</w:t>
            </w:r>
          </w:p>
        </w:tc>
        <w:tc>
          <w:tcPr>
            <w:tcW w:w="1360" w:type="pct"/>
            <w:vAlign w:val="center"/>
          </w:tcPr>
          <w:p w:rsidR="00AD3A6F">
            <w:pPr>
              <w:spacing w:line="280" w:lineRule="exact"/>
              <w:jc w:val="center"/>
              <w:rPr>
                <w:rFonts w:ascii="方正仿宋简体" w:eastAsia="方正仿宋简体" w:hAnsi="方正仿宋简体" w:cs="方正仿宋简体"/>
                <w:bCs/>
                <w:iCs/>
                <w:color w:val="000000" w:themeColor="text1"/>
              </w:rPr>
            </w:pPr>
          </w:p>
        </w:tc>
      </w:tr>
      <w:tr w:rsidTr="00575F3B">
        <w:tblPrEx>
          <w:tblW w:w="5000" w:type="pct"/>
          <w:tblLook w:val="0000"/>
        </w:tblPrEx>
        <w:trPr>
          <w:trHeight w:val="454"/>
        </w:trPr>
        <w:tc>
          <w:tcPr>
            <w:tcW w:w="729" w:type="pct"/>
            <w:vMerge w:val="restar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申购费（前收费）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  M &lt; 500万元</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0.30%  </w:t>
            </w:r>
          </w:p>
        </w:tc>
        <w:tc>
          <w:tcPr>
            <w:tcW w:w="1360" w:type="pct"/>
            <w:vAlign w:val="center"/>
          </w:tcPr>
          <w:p w:rsidR="00AD3A6F">
            <w:pPr>
              <w:spacing w:line="280" w:lineRule="exact"/>
              <w:jc w:val="center"/>
              <w:rPr>
                <w:rFonts w:ascii="方正仿宋简体" w:eastAsia="方正仿宋简体" w:hAnsi="方正仿宋简体" w:cs="方正仿宋简体"/>
                <w:bCs/>
                <w:iCs/>
                <w:color w:val="000000" w:themeColor="text1"/>
              </w:rPr>
            </w:pP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申购费（前收费）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M ≥ 500万元</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  1000元/笔</w:t>
            </w:r>
          </w:p>
        </w:tc>
        <w:tc>
          <w:tcPr>
            <w:tcW w:w="1360" w:type="pct"/>
            <w:vAlign w:val="center"/>
          </w:tcPr>
          <w:p w:rsidR="00AD3A6F">
            <w:pPr>
              <w:spacing w:line="280" w:lineRule="exact"/>
              <w:jc w:val="center"/>
              <w:rPr>
                <w:rFonts w:ascii="方正仿宋简体" w:eastAsia="方正仿宋简体" w:hAnsi="方正仿宋简体" w:cs="方正仿宋简体"/>
                <w:bCs/>
                <w:iCs/>
                <w:color w:val="000000" w:themeColor="text1"/>
              </w:rPr>
            </w:pPr>
          </w:p>
        </w:tc>
      </w:tr>
      <w:tr w:rsidTr="00575F3B">
        <w:tblPrEx>
          <w:tblW w:w="5000" w:type="pct"/>
          <w:tblLook w:val="0000"/>
        </w:tblPrEx>
        <w:trPr>
          <w:trHeight w:val="454"/>
        </w:trPr>
        <w:tc>
          <w:tcPr>
            <w:tcW w:w="729" w:type="pct"/>
            <w:vMerge w:val="restart"/>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0天 &lt; N ≤ 6天 </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1.50%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个人投资者</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　 　 N ≥ 7天 </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0.00%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同上</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0天 &lt; N ≤ 6天 </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1.50%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机构投资者</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7天 ≤ N ≤ 29天 </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1.00%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同上</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30天 ≤ N ≤ 179天 </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0.50%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同上</w:t>
            </w:r>
          </w:p>
        </w:tc>
      </w:tr>
      <w:tr w:rsidTr="00575F3B">
        <w:tblPrEx>
          <w:tblW w:w="5000" w:type="pct"/>
          <w:tblLook w:val="0000"/>
        </w:tblPrEx>
        <w:trPr>
          <w:trHeight w:val="454"/>
        </w:trPr>
        <w:tc>
          <w:tcPr>
            <w:tcW w:w="729" w:type="pct"/>
            <w:vMerge/>
            <w:vAlign w:val="center"/>
          </w:tcPr>
          <w:p w:rsidR="00AD3A6F">
            <w:pPr>
              <w:spacing w:line="280" w:lineRule="exact"/>
              <w:jc w:val="center"/>
              <w:rPr>
                <w:rFonts w:ascii="方正仿宋简体" w:eastAsia="方正仿宋简体" w:hAnsi="方正仿宋简体" w:cs="方正仿宋简体"/>
                <w:b/>
                <w:bCs/>
                <w:iCs/>
                <w:color w:val="000000" w:themeColor="text1"/>
              </w:rPr>
            </w:pPr>
            <w:r>
              <w:rPr>
                <w:rFonts w:ascii="方正仿宋简体" w:eastAsia="方正仿宋简体" w:hAnsi="方正仿宋简体" w:cs="方正仿宋简体" w:hint="eastAsia"/>
                <w:b/>
                <w:bCs/>
                <w:iCs/>
                <w:color w:val="000000" w:themeColor="text1"/>
              </w:rPr>
              <w:t>赎回费</w:t>
            </w:r>
          </w:p>
        </w:tc>
        <w:tc>
          <w:tcPr>
            <w:tcW w:w="2246"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　 　 N ≥ 180天 </w:t>
            </w:r>
          </w:p>
        </w:tc>
        <w:tc>
          <w:tcPr>
            <w:tcW w:w="665" w:type="pct"/>
            <w:vAlign w:val="center"/>
          </w:tcPr>
          <w:p w:rsidR="00AD3A6F">
            <w:pPr>
              <w:spacing w:line="280" w:lineRule="exact"/>
              <w:jc w:val="center"/>
              <w:rPr>
                <w:rFonts w:ascii="方正仿宋简体" w:eastAsia="方正仿宋简体" w:hAnsi="方正仿宋简体" w:cs="方正仿宋简体"/>
                <w:bCs/>
                <w:iCs/>
                <w:color w:val="000000" w:themeColor="text1"/>
              </w:rPr>
            </w:pPr>
            <w:r>
              <w:rPr>
                <w:rFonts w:ascii="方正仿宋简体" w:eastAsia="方正仿宋简体" w:hAnsi="方正仿宋简体" w:cs="方正仿宋简体" w:hint="eastAsia"/>
                <w:bCs/>
                <w:iCs/>
                <w:color w:val="000000" w:themeColor="text1"/>
              </w:rPr>
              <w:t xml:space="preserve">0.00%  </w:t>
            </w:r>
          </w:p>
        </w:tc>
        <w:tc>
          <w:tcPr>
            <w:tcW w:w="1360" w:type="pct"/>
            <w:vAlign w:val="center"/>
          </w:tcPr>
          <w:p w:rsidR="00AD3A6F">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同上</w:t>
            </w:r>
          </w:p>
        </w:tc>
      </w:tr>
    </w:tbl>
    <w:p w:rsidR="00AD3A6F">
      <w:pPr>
        <w:autoSpaceDE w:val="0"/>
        <w:autoSpaceDN w:val="0"/>
        <w:adjustRightInd w:val="0"/>
        <w:spacing w:line="280" w:lineRule="exact"/>
        <w:jc w:val="left"/>
        <w:rPr>
          <w:rFonts w:ascii="方正仿宋简体" w:eastAsia="方正仿宋简体" w:hAnsi="方正仿宋简体" w:cs="方正仿宋简体"/>
          <w:iCs/>
          <w:color w:val="000000" w:themeColor="text1"/>
        </w:rPr>
      </w:pPr>
      <w:r>
        <w:rPr>
          <w:rFonts w:ascii="方正仿宋简体" w:eastAsia="方正仿宋简体" w:hAnsi="方正仿宋简体" w:cs="方正仿宋简体" w:hint="eastAsia"/>
          <w:iCs/>
          <w:color w:val="000000" w:themeColor="text1"/>
        </w:rPr>
        <w:t>注：投资者通过基金管理人或其基金销售子公司认购、申购本基金A类基金份额，不收取认购、申购费用；投资者通过其他销售机构认购、申购本基金A类基金份额，认购、申购费率见上表。如果投资者多次认购、申购，认购费、申购费分别适用单笔认购、申购金额所对应的费率。</w:t>
      </w:r>
    </w:p>
    <w:p w:rsidR="00AD3A6F">
      <w:pPr>
        <w:pStyle w:val="ListParagraph"/>
        <w:numPr>
          <w:ilvl w:val="0"/>
          <w:numId w:val="3"/>
        </w:numPr>
        <w:spacing w:line="340" w:lineRule="exact"/>
        <w:ind w:firstLineChars="0"/>
        <w:outlineLvl w:val="1"/>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基金运作相关费用</w:t>
      </w:r>
    </w:p>
    <w:p w:rsidR="00AD3A6F">
      <w:pPr>
        <w:autoSpaceDE w:val="0"/>
        <w:autoSpaceDN w:val="0"/>
        <w:adjustRightInd w:val="0"/>
        <w:spacing w:line="280" w:lineRule="exact"/>
        <w:jc w:val="left"/>
        <w:rPr>
          <w:rFonts w:ascii="方正仿宋简体" w:eastAsia="方正仿宋简体" w:hAnsi="方正仿宋简体" w:cs="方正仿宋简体"/>
          <w:iCs/>
        </w:rPr>
      </w:pPr>
      <w:r>
        <w:rPr>
          <w:rFonts w:ascii="方正仿宋简体" w:eastAsia="方正仿宋简体" w:hint="eastAsia"/>
        </w:rPr>
        <w:t>以下</w:t>
      </w:r>
      <w:r>
        <w:rPr>
          <w:rFonts w:ascii="方正仿宋简体" w:eastAsia="方正仿宋简体" w:hAnsi="方正仿宋简体" w:cs="方正仿宋简体" w:hint="eastAsia"/>
          <w:iCs/>
        </w:rPr>
        <w:t>费用将从基金资产中扣除：</w:t>
      </w:r>
    </w:p>
    <w:tbl>
      <w:tblPr>
        <w:tblW w:w="5001" w:type="pct"/>
        <w:tblBorders>
          <w:top w:val="single" w:sz="4" w:space="0" w:color="000000"/>
          <w:bottom w:val="single" w:sz="4" w:space="0" w:color="000000"/>
          <w:insideH w:val="dashSmallGap" w:sz="4" w:space="0" w:color="808080" w:themeColor="background1" w:themeShade="80"/>
        </w:tblBorders>
        <w:tblLook w:val="0000"/>
      </w:tblPr>
      <w:tblGrid>
        <w:gridCol w:w="1477"/>
        <w:gridCol w:w="3527"/>
        <w:gridCol w:w="3520"/>
      </w:tblGrid>
      <w:tr w:rsidTr="000D2645">
        <w:tblPrEx>
          <w:tblW w:w="5001" w:type="pct"/>
          <w:tblLook w:val="0000"/>
        </w:tblPrEx>
        <w:trPr>
          <w:trHeight w:val="454"/>
        </w:trPr>
        <w:tc>
          <w:tcPr>
            <w:tcW w:w="866" w:type="pct"/>
            <w:vAlign w:val="center"/>
          </w:tcPr>
          <w:p w:rsidR="00AD3A6F">
            <w:pPr>
              <w:spacing w:line="280" w:lineRule="exact"/>
              <w:rPr>
                <w:rFonts w:ascii="方正仿宋简体" w:eastAsia="方正仿宋简体" w:hAnsi="方正仿宋简体" w:cs="方正仿宋简体"/>
                <w:b/>
                <w:bCs/>
              </w:rPr>
            </w:pPr>
            <w:r>
              <w:rPr>
                <w:rFonts w:ascii="方正仿宋简体" w:eastAsia="方正仿宋简体" w:hAnsi="方正仿宋简体" w:cs="方正仿宋简体" w:hint="eastAsia"/>
                <w:b/>
                <w:bCs/>
                <w:iCs/>
              </w:rPr>
              <w:t>费用类别</w:t>
            </w:r>
          </w:p>
        </w:tc>
        <w:tc>
          <w:tcPr>
            <w:tcW w:w="2069" w:type="pct"/>
            <w:vAlign w:val="center"/>
          </w:tcPr>
          <w:p w:rsidR="00AD3A6F">
            <w:pPr>
              <w:spacing w:line="280" w:lineRule="exact"/>
              <w:jc w:val="center"/>
              <w:rPr>
                <w:rFonts w:ascii="方正仿宋简体" w:eastAsia="方正仿宋简体" w:hAnsi="方正仿宋简体" w:cs="方正仿宋简体"/>
                <w:b/>
                <w:bCs/>
                <w:iCs/>
              </w:rPr>
            </w:pPr>
            <w:r>
              <w:rPr>
                <w:rFonts w:ascii="方正仿宋简体" w:eastAsia="方正仿宋简体" w:hAnsi="方正仿宋简体" w:cs="方正仿宋简体" w:hint="eastAsia"/>
                <w:b/>
                <w:bCs/>
                <w:iCs/>
              </w:rPr>
              <w:t>收费方式/年费率或金额</w:t>
            </w:r>
          </w:p>
        </w:tc>
        <w:tc>
          <w:tcPr>
            <w:tcW w:w="2065" w:type="pct"/>
            <w:tcBorders>
              <w:bottom w:val="dashSmallGap" w:sz="4" w:space="0" w:color="808080" w:themeColor="background1" w:themeShade="80"/>
            </w:tcBorders>
            <w:vAlign w:val="center"/>
          </w:tcPr>
          <w:p w:rsidR="00AD3A6F">
            <w:pPr>
              <w:spacing w:line="280" w:lineRule="exact"/>
              <w:jc w:val="center"/>
              <w:rPr>
                <w:rFonts w:ascii="方正仿宋简体" w:eastAsia="方正仿宋简体" w:hAnsi="方正仿宋简体" w:cs="方正仿宋简体"/>
                <w:b/>
                <w:bCs/>
                <w:iCs/>
              </w:rPr>
            </w:pPr>
            <w:r>
              <w:rPr>
                <w:rFonts w:ascii="方正仿宋简体" w:eastAsia="方正仿宋简体" w:hAnsi="方正仿宋简体" w:cs="方正仿宋简体" w:hint="eastAsia"/>
                <w:b/>
                <w:bCs/>
                <w:iCs/>
              </w:rPr>
              <w:t>收取</w:t>
            </w:r>
            <w:r w:rsidR="00A73782">
              <w:rPr>
                <w:rFonts w:ascii="方正仿宋简体" w:eastAsia="方正仿宋简体" w:hAnsi="方正仿宋简体" w:cs="方正仿宋简体" w:hint="eastAsia"/>
                <w:b/>
                <w:bCs/>
                <w:iCs/>
              </w:rPr>
              <w:t>方</w:t>
            </w:r>
          </w:p>
        </w:tc>
      </w:tr>
      <w:tr w:rsidTr="000D2645">
        <w:tblPrEx>
          <w:tblW w:w="5001" w:type="pct"/>
          <w:tblLook w:val="0000"/>
        </w:tblPrEx>
        <w:trPr>
          <w:trHeight w:val="454"/>
        </w:trPr>
        <w:tc>
          <w:tcPr>
            <w:tcW w:w="866" w:type="pct"/>
            <w:vAlign w:val="center"/>
          </w:tcPr>
          <w:p w:rsidR="000D2645">
            <w:pPr>
              <w:spacing w:line="280" w:lineRule="exact"/>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管理费</w:t>
            </w:r>
          </w:p>
        </w:tc>
        <w:tc>
          <w:tcPr>
            <w:tcW w:w="2069" w:type="pct"/>
            <w:vAlign w:val="center"/>
          </w:tcPr>
          <w:p w:rsidR="000D2645">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 xml:space="preserve">年费率0.50% </w:t>
            </w:r>
          </w:p>
        </w:tc>
        <w:tc>
          <w:tcPr>
            <w:tcW w:w="2065" w:type="pct"/>
            <w:tcBorders>
              <w:top w:val="dashSmallGap" w:sz="4" w:space="0" w:color="808080" w:themeColor="background1" w:themeShade="80"/>
            </w:tcBorders>
            <w:vAlign w:val="center"/>
          </w:tcPr>
          <w:p w:rsidR="000D2645" w:rsidP="000D2645">
            <w:pPr>
              <w:spacing w:line="280" w:lineRule="exact"/>
              <w:jc w:val="center"/>
              <w:rPr>
                <w:rFonts w:ascii="方正仿宋简体" w:eastAsia="方正仿宋简体" w:hAnsi="方正仿宋简体" w:cs="方正仿宋简体"/>
                <w:bCs/>
                <w:iCs/>
              </w:rPr>
            </w:pPr>
            <w:r>
              <w:rPr>
                <w:rFonts w:ascii="方正仿宋简体" w:eastAsia="方正仿宋简体" w:hAnsi="方正仿宋简体" w:cs="方正仿宋简体" w:hint="eastAsia"/>
                <w:bCs/>
                <w:iCs/>
              </w:rPr>
              <w:t>基金管理人</w:t>
            </w:r>
            <w:r w:rsidR="00F400DF">
              <w:rPr>
                <w:rFonts w:ascii="方正仿宋简体" w:eastAsia="方正仿宋简体" w:hAnsi="方正仿宋简体" w:cs="方正仿宋简体" w:hint="eastAsia"/>
                <w:bCs/>
                <w:iCs/>
              </w:rPr>
              <w:t>、销售机构</w:t>
            </w:r>
            <w:bookmarkStart w:id="0" w:name="_GoBack"/>
            <w:bookmarkEnd w:id="0"/>
          </w:p>
        </w:tc>
      </w:tr>
      <w:tr w:rsidTr="000D2645">
        <w:tblPrEx>
          <w:tblW w:w="5001" w:type="pct"/>
          <w:tblLook w:val="0000"/>
        </w:tblPrEx>
        <w:trPr>
          <w:trHeight w:val="454"/>
        </w:trPr>
        <w:tc>
          <w:tcPr>
            <w:tcW w:w="866" w:type="pct"/>
            <w:vAlign w:val="center"/>
          </w:tcPr>
          <w:p w:rsidR="00AD3A6F">
            <w:pPr>
              <w:spacing w:line="280" w:lineRule="exact"/>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托管费</w:t>
            </w:r>
          </w:p>
        </w:tc>
        <w:tc>
          <w:tcPr>
            <w:tcW w:w="2069" w:type="pct"/>
            <w:vAlign w:val="center"/>
          </w:tcPr>
          <w:p w:rsidR="00AD3A6F">
            <w:pPr>
              <w:spacing w:line="280" w:lineRule="exact"/>
              <w:jc w:val="center"/>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 xml:space="preserve">年费率0.10% </w:t>
            </w:r>
          </w:p>
        </w:tc>
        <w:tc>
          <w:tcPr>
            <w:tcW w:w="2065" w:type="pct"/>
            <w:vAlign w:val="center"/>
          </w:tcPr>
          <w:p w:rsidR="00AD3A6F">
            <w:pPr>
              <w:spacing w:line="280" w:lineRule="exact"/>
              <w:jc w:val="center"/>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基金托管人</w:t>
            </w:r>
          </w:p>
        </w:tc>
      </w:tr>
      <w:tr w:rsidTr="000D2645">
        <w:tblPrEx>
          <w:tblW w:w="5001" w:type="pct"/>
          <w:tblLook w:val="0000"/>
        </w:tblPrEx>
        <w:trPr>
          <w:trHeight w:val="454"/>
        </w:trPr>
        <w:tc>
          <w:tcPr>
            <w:tcW w:w="866" w:type="pct"/>
            <w:vAlign w:val="center"/>
          </w:tcPr>
          <w:p w:rsidR="00AD3A6F">
            <w:pPr>
              <w:spacing w:line="280" w:lineRule="exact"/>
              <w:rPr>
                <w:rFonts w:ascii="方正仿宋简体" w:eastAsia="方正仿宋简体" w:hAnsi="方正仿宋简体" w:cs="方正仿宋简体"/>
                <w:iCs/>
              </w:rPr>
            </w:pPr>
            <w:r>
              <w:rPr>
                <w:rFonts w:ascii="方正仿宋简体" w:eastAsia="方正仿宋简体" w:hAnsi="方正仿宋简体" w:cs="方正仿宋简体" w:hint="eastAsia"/>
                <w:iCs/>
              </w:rPr>
              <w:t>其他费用</w:t>
            </w:r>
          </w:p>
        </w:tc>
        <w:tc>
          <w:tcPr>
            <w:tcW w:w="2069" w:type="pct"/>
            <w:vAlign w:val="center"/>
          </w:tcPr>
          <w:p w:rsidR="00AD3A6F">
            <w:pPr>
              <w:spacing w:line="280" w:lineRule="exact"/>
              <w:jc w:val="center"/>
              <w:rPr>
                <w:rFonts w:ascii="方正仿宋简体" w:eastAsia="方正仿宋简体" w:hAnsiTheme="minorEastAsia" w:cs="方正仿宋简体"/>
                <w:bCs/>
                <w:iCs/>
              </w:rPr>
            </w:pPr>
            <w:r>
              <w:rPr>
                <w:rFonts w:ascii="方正仿宋简体" w:eastAsia="方正仿宋简体" w:hAnsiTheme="minorEastAsia" w:cs="方正仿宋简体" w:hint="eastAsia"/>
                <w:bCs/>
                <w:iCs/>
              </w:rPr>
              <w:t xml:space="preserve">详见招募说明书的基金费用与税收章节。  </w:t>
            </w:r>
          </w:p>
        </w:tc>
        <w:tc>
          <w:tcPr>
            <w:tcW w:w="2065" w:type="pct"/>
            <w:vAlign w:val="center"/>
          </w:tcPr>
          <w:p w:rsidR="00AD3A6F">
            <w:pPr>
              <w:spacing w:line="280" w:lineRule="exact"/>
              <w:jc w:val="center"/>
              <w:rPr>
                <w:rFonts w:ascii="方正仿宋简体" w:eastAsia="方正仿宋简体" w:hAnsiTheme="minorEastAsia" w:cs="方正仿宋简体"/>
                <w:bCs/>
                <w:iCs/>
              </w:rPr>
            </w:pPr>
          </w:p>
        </w:tc>
      </w:tr>
    </w:tbl>
    <w:p w:rsidR="00AD3A6F" w:rsidRPr="0086475C">
      <w:pPr>
        <w:autoSpaceDE w:val="0"/>
        <w:autoSpaceDN w:val="0"/>
        <w:adjustRightInd w:val="0"/>
        <w:spacing w:line="280" w:lineRule="exact"/>
        <w:jc w:val="left"/>
        <w:rPr>
          <w:rFonts w:ascii="方正仿宋简体" w:eastAsia="方正仿宋简体" w:hAnsi="方正仿宋简体" w:cs="方正仿宋简体"/>
          <w:bCs/>
          <w:iCs/>
        </w:rPr>
      </w:pPr>
      <w:r w:rsidRPr="003F6076">
        <w:rPr>
          <w:rFonts w:ascii="方正仿宋简体" w:eastAsia="方正仿宋简体" w:hAnsi="方正仿宋简体" w:cs="方正仿宋简体" w:hint="eastAsia"/>
          <w:bCs/>
          <w:iCs/>
        </w:rPr>
        <w:t>注：本基金的管理费按前一日基金资产净值扣除前一日所持有目标ETF公允价值后的余额（若为负数，则取0）的0.50%年费率计提。本基金的托管费按前一日基金资产净值扣除前一日所持有目标ETF公允价值后的余额（若为负数，则取0）的0.10%年费率计提。本基金交易证券、基金等产生的费用和税负，按实际发生额从基金资产扣除。</w:t>
      </w:r>
    </w:p>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风险揭示与重要提示</w:t>
      </w:r>
    </w:p>
    <w:p w:rsidR="00AD3A6F">
      <w:pPr>
        <w:spacing w:line="280" w:lineRule="exact"/>
        <w:outlineLvl w:val="1"/>
        <w:rPr>
          <w:rFonts w:ascii="方正仿宋简体" w:eastAsia="方正仿宋简体" w:hAnsi="宋体"/>
          <w:color w:val="0000FF"/>
          <w:kern w:val="0"/>
          <w:sz w:val="18"/>
        </w:rPr>
      </w:pPr>
      <w:r>
        <w:rPr>
          <w:rFonts w:ascii="方正仿宋简体" w:eastAsia="方正仿宋简体" w:hAnsi="方正仿宋简体" w:cs="方正仿宋简体" w:hint="eastAsia"/>
          <w:b/>
          <w:bCs/>
          <w:iCs/>
          <w:sz w:val="24"/>
          <w:szCs w:val="24"/>
        </w:rPr>
        <w:t>（一）风险揭示</w:t>
      </w:r>
    </w:p>
    <w:p w:rsidR="00AD3A6F">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b/>
          <w:bCs/>
          <w:iCs/>
        </w:rPr>
        <w:t>本基金不提供任何保证。投资者可能损失投资本金。</w:t>
      </w:r>
    </w:p>
    <w:p w:rsidR="00AD3A6F">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投资有风险，投资者购买基金时应认真阅读本基金的《招募说明书》等销售文件。</w:t>
      </w:r>
    </w:p>
    <w:p w:rsidR="00AD3A6F">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投资本基金可能遇到的主要风险包括：本基金特有风险、市场风险、流动性风险、管理风险、税收风险、本基金法律文件中涉及基金风险特征的表述与销售机构对基金的风险评级可能不一致的风险及其他风险等。本基金特有风险包括：（1）指数化投资的风险，包括标的指数回报与股票市场平均回报偏离的风险、标的指数波动的风险、指数成份股主要集中于食品主题公司的集中度风险、部分成份股权重较大的风险、成份股停牌的风险、基金分红特殊安排的风险、基金收益率与业绩比较基准收益率偏离的风险、跟踪误差控制未达约定目标的风险、标的指数值计算出错的风险、标的指数编制方案带来的风险、指数编制机构停止服务的风险；（2）联接基金的特殊风险，包括可能具有与目标ETF不同的风险收益特征及净值增长率的风险、目标ETF面临的风险可能直接或间接成为本基金的风险、由目标ETF的联接基金变更为直接投资目标ETF标的指数成份股及备选成份股的指数基金的风险；（3）投资特定品种（包括股指期货、国债期货、股票期权等金融衍生品、科创板股票、北交所股票、资产支持证券、存托凭证等）的特有风险；（4）参与转融通证券出借业务的风险等。本基金的特有风险及一般风险详见招募说明书的“风险揭示”部分。</w:t>
      </w:r>
    </w:p>
    <w:p w:rsidR="00AD3A6F">
      <w:pPr>
        <w:spacing w:line="280" w:lineRule="exact"/>
        <w:outlineLvl w:val="1"/>
        <w:rPr>
          <w:rFonts w:ascii="方正仿宋简体" w:eastAsia="方正仿宋简体" w:hAnsi="方正仿宋简体" w:cs="方正仿宋简体"/>
          <w:b/>
          <w:iCs/>
          <w:sz w:val="22"/>
          <w:szCs w:val="24"/>
        </w:rPr>
      </w:pPr>
      <w:r>
        <w:rPr>
          <w:rFonts w:ascii="方正仿宋简体" w:eastAsia="方正仿宋简体" w:hAnsi="方正仿宋简体" w:cs="方正仿宋简体" w:hint="eastAsia"/>
          <w:b/>
          <w:iCs/>
          <w:sz w:val="24"/>
          <w:szCs w:val="24"/>
        </w:rPr>
        <w:t>（二）重要提示</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中国证监会对本基金募集的注册，并不表明其对本基金的价值和收益作出实质性判断或保证，也不表明投资于本基金没有风险。基金管理人依照恪尽职守、诚实信用、谨慎勤勉的原则管理和运用基金财产，但不保证基金一定盈利，也不保证最低收益。基金投资者自依基金合同取得基金份额，即成为基金份额持有人和基金合同的当事人。</w:t>
      </w:r>
      <w:r>
        <w:rPr>
          <w:rFonts w:ascii="方正仿宋简体" w:eastAsia="方正仿宋简体" w:hAnsi="方正仿宋简体" w:cs="方正仿宋简体" w:hint="eastAsia"/>
          <w:b/>
          <w:bCs/>
          <w:iCs/>
        </w:rPr>
        <w:t>各方当事人因《基金合同》而产生的或与《基金合同》有关的一切争议应尽量通过协商、调解途径解决，如经友好协商未能解决的最终将通过仲裁方式处理，详见《基金合同》</w:t>
      </w:r>
      <w:r>
        <w:rPr>
          <w:rFonts w:ascii="方正仿宋简体" w:eastAsia="方正仿宋简体" w:hAnsi="方正仿宋简体" w:cs="方正仿宋简体" w:hint="eastAsia"/>
          <w:iCs/>
        </w:rPr>
        <w:t>。</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基金产品资料概要信息发生重大变更的，基金管理人将在三个工作日内更新，其他信息发生变更的，基金管理人每年更新一次。因此，本文件内容相比基金的实际情况可能存在一定的滞后，如需及时、准确获取基金的相关信息，敬请同时关注基金管理人发布的相关临时公告等。</w:t>
      </w:r>
    </w:p>
    <w:p w:rsidR="00AD3A6F">
      <w:pPr>
        <w:numPr>
          <w:ilvl w:val="0"/>
          <w:numId w:val="1"/>
        </w:numPr>
        <w:spacing w:line="280" w:lineRule="exact"/>
        <w:outlineLvl w:val="0"/>
        <w:rPr>
          <w:rFonts w:ascii="方正仿宋简体" w:eastAsia="方正仿宋简体" w:hAnsi="方正仿宋简体" w:cs="方正仿宋简体"/>
          <w:b/>
          <w:iCs/>
          <w:sz w:val="24"/>
          <w:szCs w:val="24"/>
        </w:rPr>
      </w:pPr>
      <w:r>
        <w:rPr>
          <w:rFonts w:ascii="方正仿宋简体" w:eastAsia="方正仿宋简体" w:hAnsi="方正仿宋简体" w:cs="方正仿宋简体" w:hint="eastAsia"/>
          <w:b/>
          <w:iCs/>
          <w:sz w:val="24"/>
          <w:szCs w:val="24"/>
        </w:rPr>
        <w:t>其他资料查询方式</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以下资料详见基金管理人网站[www.efunds.com.cn][客服电话:4008818088]</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1、基金合同、托管协议、招募说明书</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2、定期报告，包括基金季度报告、中期报告和年度报告</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3、基金份额净值</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4、基金销售机构及联系方式</w:t>
      </w:r>
    </w:p>
    <w:p w:rsidR="00AD3A6F" w:rsidRPr="0086475C" w:rsidP="0086475C">
      <w:pPr>
        <w:spacing w:line="280" w:lineRule="exact"/>
        <w:ind w:firstLine="420"/>
        <w:rPr>
          <w:rFonts w:ascii="方正仿宋简体" w:eastAsia="方正仿宋简体" w:hAnsi="方正仿宋简体" w:cs="方正仿宋简体"/>
          <w:iCs/>
        </w:rPr>
      </w:pPr>
      <w:r>
        <w:rPr>
          <w:rFonts w:ascii="方正仿宋简体" w:eastAsia="方正仿宋简体" w:hAnsi="方正仿宋简体" w:cs="方正仿宋简体" w:hint="eastAsia"/>
          <w:iCs/>
        </w:rPr>
        <w:t>5、其他重要资料</w:t>
      </w:r>
    </w:p>
    <w:sectPr>
      <w:footerReference w:type="default" r:id="rI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仿宋简体">
    <w:altName w:val="微软雅黑"/>
    <w:charset w:val="86"/>
    <w:family w:val="auto"/>
    <w:pitch w:val="default"/>
    <w:sig w:usb0="00000000" w:usb1="00000000" w:usb2="00000000" w:usb3="00000000" w:csb0="00040000" w:csb1="00000000"/>
  </w:font>
  <w:font w:name="仿宋_GB2312">
    <w:altName w:val="Consolas"/>
    <w:charset w:val="00"/>
    <w:family w:val="auto"/>
    <w:pitch w:val="default"/>
  </w:font>
  <w:font w:name="方正黑体简体">
    <w:altName w:val="黑体"/>
    <w:charset w:val="86"/>
    <w:family w:val="auto"/>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35751033"/>
      <w:docPartObj>
        <w:docPartGallery w:val="Page Numbers (Bottom of Page)"/>
        <w:docPartUnique/>
      </w:docPartObj>
    </w:sdtPr>
    <w:sdtContent>
      <w:sdt>
        <w:sdtPr>
          <w:id w:val="98381352"/>
          <w:docPartObj>
            <w:docPartGallery w:val="Page Numbers (Top of Page)"/>
            <w:docPartUnique/>
          </w:docPartObj>
        </w:sdtPr>
        <w:sdtContent>
          <w:p w:rsidR="00575F3B" w:rsidP="0025315A">
            <w:pPr>
              <w:pStyle w:val="Footer"/>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rPr>
              <w:t>4</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rPr>
              <w:t>4</w:t>
            </w:r>
            <w:r>
              <w:rPr>
                <w:b/>
                <w:bCs/>
                <w:sz w:val="24"/>
                <w:szCs w:val="24"/>
              </w:rPr>
              <w:fldChar w:fldCharType="end"/>
            </w:r>
          </w:p>
        </w:sdtContent>
      </w:sdt>
    </w:sdtContent>
  </w:sdt>
  <w:p w:rsidR="00575F3B">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8E6770"/>
    <w:multiLevelType w:val="hybridMultilevel"/>
    <w:tmpl w:val="C2F49F6C"/>
    <w:lvl w:ilvl="0">
      <w:start w:val="1"/>
      <w:numFmt w:val="japaneseCounting"/>
      <w:lvlText w:val="（%1）"/>
      <w:lvlJc w:val="left"/>
      <w:pPr>
        <w:ind w:left="765" w:hanging="765"/>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
    <w:nsid w:val="5AC33CF0"/>
    <w:multiLevelType w:val="singleLevel"/>
    <w:tmpl w:val="D92264B0"/>
    <w:lvl w:ilvl="0">
      <w:start w:val="1"/>
      <w:numFmt w:val="chineseCounting"/>
      <w:suff w:val="nothing"/>
      <w:lvlText w:val="%1、"/>
      <w:lvlJc w:val="left"/>
      <w:rPr>
        <w:rFonts w:asciiTheme="minorEastAsia" w:eastAsiaTheme="minorEastAsia" w:hAnsiTheme="minorEastAsia"/>
      </w:rPr>
    </w:lvl>
  </w:abstractNum>
  <w:abstractNum w:abstractNumId="2">
    <w:nsid w:val="7D0D3582"/>
    <w:multiLevelType w:val="hybridMultilevel"/>
    <w:tmpl w:val="256C1A40"/>
    <w:lvl w:ilvl="0">
      <w:start w:val="1"/>
      <w:numFmt w:val="chineseCountingThousand"/>
      <w:suff w:val="space"/>
      <w:lvlText w:val="(%1)"/>
      <w:lvlJc w:val="left"/>
      <w:pPr>
        <w:ind w:left="284" w:hanging="284"/>
      </w:pPr>
      <w:rPr>
        <w:rFonts w:eastAsia="宋体" w:asciiTheme="minorEastAsia" w:hAnsiTheme="minorEastAsia" w:hint="eastAsia"/>
        <w:b/>
      </w:rPr>
    </w:lvl>
    <w:lvl w:ilvl="1">
      <w:start w:val="1"/>
      <w:numFmt w:val="decimal"/>
      <w:lvlText w:val="%2、"/>
      <w:lvlJc w:val="left"/>
      <w:pPr>
        <w:ind w:left="780" w:hanging="360"/>
      </w:pPr>
      <w:rPr>
        <w:rFonts w:hint="default"/>
      </w:r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15:person w15:author="王子豪">
    <w15:presenceInfo w15:providerId="None" w15:userId="王子豪"/>
  </w15:person>
  <w15:person w15:author="卢春玲">
    <w15:presenceInfo w15:providerId="None" w15:userId="卢春玲"/>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8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B56"/>
    <w:rsid w:val="00002B50"/>
    <w:rsid w:val="00002F33"/>
    <w:rsid w:val="000034E5"/>
    <w:rsid w:val="00003561"/>
    <w:rsid w:val="000035EA"/>
    <w:rsid w:val="00004180"/>
    <w:rsid w:val="00006EAF"/>
    <w:rsid w:val="0000736D"/>
    <w:rsid w:val="0000782B"/>
    <w:rsid w:val="00010B3E"/>
    <w:rsid w:val="00015DD4"/>
    <w:rsid w:val="00017721"/>
    <w:rsid w:val="00022B9A"/>
    <w:rsid w:val="00024497"/>
    <w:rsid w:val="00024BB1"/>
    <w:rsid w:val="000302E4"/>
    <w:rsid w:val="00030595"/>
    <w:rsid w:val="000315CE"/>
    <w:rsid w:val="000321C8"/>
    <w:rsid w:val="00035A85"/>
    <w:rsid w:val="000431A9"/>
    <w:rsid w:val="0004462C"/>
    <w:rsid w:val="00045BE4"/>
    <w:rsid w:val="00046C88"/>
    <w:rsid w:val="00047F4E"/>
    <w:rsid w:val="0005053E"/>
    <w:rsid w:val="00052BDA"/>
    <w:rsid w:val="00053ADC"/>
    <w:rsid w:val="00053B2F"/>
    <w:rsid w:val="00054711"/>
    <w:rsid w:val="00056380"/>
    <w:rsid w:val="000567E4"/>
    <w:rsid w:val="000571BD"/>
    <w:rsid w:val="0005794F"/>
    <w:rsid w:val="00060B05"/>
    <w:rsid w:val="000612DA"/>
    <w:rsid w:val="00061AF3"/>
    <w:rsid w:val="00061B3E"/>
    <w:rsid w:val="00061BFD"/>
    <w:rsid w:val="00062265"/>
    <w:rsid w:val="00062543"/>
    <w:rsid w:val="0006363D"/>
    <w:rsid w:val="00064C2C"/>
    <w:rsid w:val="0006546B"/>
    <w:rsid w:val="00065CA6"/>
    <w:rsid w:val="0006758E"/>
    <w:rsid w:val="000676AA"/>
    <w:rsid w:val="0007014B"/>
    <w:rsid w:val="00070564"/>
    <w:rsid w:val="00071412"/>
    <w:rsid w:val="00075382"/>
    <w:rsid w:val="00075ECF"/>
    <w:rsid w:val="00076810"/>
    <w:rsid w:val="00077F97"/>
    <w:rsid w:val="0008034A"/>
    <w:rsid w:val="0008034B"/>
    <w:rsid w:val="00080C9E"/>
    <w:rsid w:val="00080D0F"/>
    <w:rsid w:val="00082C7C"/>
    <w:rsid w:val="00083BA6"/>
    <w:rsid w:val="00085A7A"/>
    <w:rsid w:val="00086076"/>
    <w:rsid w:val="000862CB"/>
    <w:rsid w:val="00086FAF"/>
    <w:rsid w:val="00090D03"/>
    <w:rsid w:val="00090E1B"/>
    <w:rsid w:val="00090E7D"/>
    <w:rsid w:val="000915A1"/>
    <w:rsid w:val="00092664"/>
    <w:rsid w:val="0009280C"/>
    <w:rsid w:val="000948A5"/>
    <w:rsid w:val="00095DA1"/>
    <w:rsid w:val="00096ECA"/>
    <w:rsid w:val="000A25FC"/>
    <w:rsid w:val="000A27CB"/>
    <w:rsid w:val="000A4485"/>
    <w:rsid w:val="000A69FE"/>
    <w:rsid w:val="000A6C27"/>
    <w:rsid w:val="000A6E34"/>
    <w:rsid w:val="000A71C1"/>
    <w:rsid w:val="000A7FF9"/>
    <w:rsid w:val="000B4934"/>
    <w:rsid w:val="000B578C"/>
    <w:rsid w:val="000B672F"/>
    <w:rsid w:val="000C0D50"/>
    <w:rsid w:val="000C0D79"/>
    <w:rsid w:val="000C3D2A"/>
    <w:rsid w:val="000C3D96"/>
    <w:rsid w:val="000C4A85"/>
    <w:rsid w:val="000C52B6"/>
    <w:rsid w:val="000C63E1"/>
    <w:rsid w:val="000C6C14"/>
    <w:rsid w:val="000D14A1"/>
    <w:rsid w:val="000D21EE"/>
    <w:rsid w:val="000D2645"/>
    <w:rsid w:val="000D36AB"/>
    <w:rsid w:val="000D3D44"/>
    <w:rsid w:val="000D4535"/>
    <w:rsid w:val="000D516E"/>
    <w:rsid w:val="000D6088"/>
    <w:rsid w:val="000D6D52"/>
    <w:rsid w:val="000D6F1A"/>
    <w:rsid w:val="000D753A"/>
    <w:rsid w:val="000D7961"/>
    <w:rsid w:val="000D7CDD"/>
    <w:rsid w:val="000D7E62"/>
    <w:rsid w:val="000E0465"/>
    <w:rsid w:val="000E10F0"/>
    <w:rsid w:val="000E1B15"/>
    <w:rsid w:val="000E2DA3"/>
    <w:rsid w:val="000E3CDB"/>
    <w:rsid w:val="000E44EE"/>
    <w:rsid w:val="000E56AA"/>
    <w:rsid w:val="000E7720"/>
    <w:rsid w:val="000E7A0D"/>
    <w:rsid w:val="000F1A6B"/>
    <w:rsid w:val="000F2324"/>
    <w:rsid w:val="000F35E6"/>
    <w:rsid w:val="000F3A56"/>
    <w:rsid w:val="000F3B8E"/>
    <w:rsid w:val="000F4870"/>
    <w:rsid w:val="000F4ADF"/>
    <w:rsid w:val="000F600C"/>
    <w:rsid w:val="000F650C"/>
    <w:rsid w:val="00100AF6"/>
    <w:rsid w:val="00101AE7"/>
    <w:rsid w:val="00101E69"/>
    <w:rsid w:val="001026B3"/>
    <w:rsid w:val="00103453"/>
    <w:rsid w:val="00104223"/>
    <w:rsid w:val="001042DD"/>
    <w:rsid w:val="00104B7B"/>
    <w:rsid w:val="00105E38"/>
    <w:rsid w:val="001062E8"/>
    <w:rsid w:val="001064D8"/>
    <w:rsid w:val="00106EB0"/>
    <w:rsid w:val="001073D4"/>
    <w:rsid w:val="00107BDE"/>
    <w:rsid w:val="00107C68"/>
    <w:rsid w:val="00110D35"/>
    <w:rsid w:val="0011161D"/>
    <w:rsid w:val="00111992"/>
    <w:rsid w:val="00111B19"/>
    <w:rsid w:val="001126C1"/>
    <w:rsid w:val="00114B35"/>
    <w:rsid w:val="00116CA0"/>
    <w:rsid w:val="00117377"/>
    <w:rsid w:val="00117831"/>
    <w:rsid w:val="00120454"/>
    <w:rsid w:val="00120E44"/>
    <w:rsid w:val="0012116F"/>
    <w:rsid w:val="00124437"/>
    <w:rsid w:val="0012454F"/>
    <w:rsid w:val="001302B4"/>
    <w:rsid w:val="0013061B"/>
    <w:rsid w:val="00130F4D"/>
    <w:rsid w:val="00132DDC"/>
    <w:rsid w:val="00133620"/>
    <w:rsid w:val="0013367D"/>
    <w:rsid w:val="001351D1"/>
    <w:rsid w:val="00135D07"/>
    <w:rsid w:val="00136038"/>
    <w:rsid w:val="0013609D"/>
    <w:rsid w:val="00137185"/>
    <w:rsid w:val="001373AB"/>
    <w:rsid w:val="0014192C"/>
    <w:rsid w:val="00142D38"/>
    <w:rsid w:val="00142FAC"/>
    <w:rsid w:val="00143189"/>
    <w:rsid w:val="00143519"/>
    <w:rsid w:val="001443DA"/>
    <w:rsid w:val="00144C18"/>
    <w:rsid w:val="001458B8"/>
    <w:rsid w:val="00150641"/>
    <w:rsid w:val="001506D6"/>
    <w:rsid w:val="00150A06"/>
    <w:rsid w:val="00150F72"/>
    <w:rsid w:val="00151549"/>
    <w:rsid w:val="0015352E"/>
    <w:rsid w:val="001546D4"/>
    <w:rsid w:val="001549B1"/>
    <w:rsid w:val="001552A2"/>
    <w:rsid w:val="001559E1"/>
    <w:rsid w:val="00160476"/>
    <w:rsid w:val="001608BD"/>
    <w:rsid w:val="00160EB7"/>
    <w:rsid w:val="00162EF9"/>
    <w:rsid w:val="001634DE"/>
    <w:rsid w:val="00163632"/>
    <w:rsid w:val="0016394B"/>
    <w:rsid w:val="00163A1B"/>
    <w:rsid w:val="00165561"/>
    <w:rsid w:val="001664CE"/>
    <w:rsid w:val="00166CB3"/>
    <w:rsid w:val="00171A01"/>
    <w:rsid w:val="00172DE2"/>
    <w:rsid w:val="001735C4"/>
    <w:rsid w:val="00174334"/>
    <w:rsid w:val="001752EA"/>
    <w:rsid w:val="00176B87"/>
    <w:rsid w:val="00177627"/>
    <w:rsid w:val="001777C9"/>
    <w:rsid w:val="00177C56"/>
    <w:rsid w:val="00177DFE"/>
    <w:rsid w:val="00183372"/>
    <w:rsid w:val="00184B5C"/>
    <w:rsid w:val="0018735D"/>
    <w:rsid w:val="00187ADF"/>
    <w:rsid w:val="00190373"/>
    <w:rsid w:val="0019077D"/>
    <w:rsid w:val="00191262"/>
    <w:rsid w:val="0019128C"/>
    <w:rsid w:val="001916CF"/>
    <w:rsid w:val="00193370"/>
    <w:rsid w:val="00194EF9"/>
    <w:rsid w:val="00196878"/>
    <w:rsid w:val="001976C2"/>
    <w:rsid w:val="001A0D4A"/>
    <w:rsid w:val="001A28F4"/>
    <w:rsid w:val="001A450C"/>
    <w:rsid w:val="001A45B4"/>
    <w:rsid w:val="001A4E24"/>
    <w:rsid w:val="001A4FC5"/>
    <w:rsid w:val="001A77C2"/>
    <w:rsid w:val="001A7E7C"/>
    <w:rsid w:val="001B046B"/>
    <w:rsid w:val="001B2359"/>
    <w:rsid w:val="001B2C1A"/>
    <w:rsid w:val="001B3C8B"/>
    <w:rsid w:val="001B525D"/>
    <w:rsid w:val="001C19CC"/>
    <w:rsid w:val="001C1A3B"/>
    <w:rsid w:val="001C1CAE"/>
    <w:rsid w:val="001C1D13"/>
    <w:rsid w:val="001C1F54"/>
    <w:rsid w:val="001C27FC"/>
    <w:rsid w:val="001C285F"/>
    <w:rsid w:val="001C2C37"/>
    <w:rsid w:val="001C3861"/>
    <w:rsid w:val="001C4114"/>
    <w:rsid w:val="001C44C3"/>
    <w:rsid w:val="001C55FF"/>
    <w:rsid w:val="001D1811"/>
    <w:rsid w:val="001D31F4"/>
    <w:rsid w:val="001D4A4E"/>
    <w:rsid w:val="001D4FBE"/>
    <w:rsid w:val="001D6241"/>
    <w:rsid w:val="001D6EC7"/>
    <w:rsid w:val="001E0982"/>
    <w:rsid w:val="001E27BF"/>
    <w:rsid w:val="001E3862"/>
    <w:rsid w:val="001E3F34"/>
    <w:rsid w:val="001E430F"/>
    <w:rsid w:val="001E61DC"/>
    <w:rsid w:val="001E6DE4"/>
    <w:rsid w:val="001F0651"/>
    <w:rsid w:val="001F33FD"/>
    <w:rsid w:val="001F3AEC"/>
    <w:rsid w:val="001F63FB"/>
    <w:rsid w:val="001F6C89"/>
    <w:rsid w:val="001F7FD1"/>
    <w:rsid w:val="0020147E"/>
    <w:rsid w:val="00205053"/>
    <w:rsid w:val="002056E7"/>
    <w:rsid w:val="00206017"/>
    <w:rsid w:val="002067FB"/>
    <w:rsid w:val="00206D9B"/>
    <w:rsid w:val="00207C8C"/>
    <w:rsid w:val="00211393"/>
    <w:rsid w:val="002113D2"/>
    <w:rsid w:val="00212DAC"/>
    <w:rsid w:val="00216A96"/>
    <w:rsid w:val="0022157A"/>
    <w:rsid w:val="0022206C"/>
    <w:rsid w:val="002226D8"/>
    <w:rsid w:val="00222EBF"/>
    <w:rsid w:val="00223123"/>
    <w:rsid w:val="00223E6A"/>
    <w:rsid w:val="0022487F"/>
    <w:rsid w:val="00225B28"/>
    <w:rsid w:val="00226C77"/>
    <w:rsid w:val="00226D4F"/>
    <w:rsid w:val="002271D8"/>
    <w:rsid w:val="002304C1"/>
    <w:rsid w:val="0023065E"/>
    <w:rsid w:val="00231814"/>
    <w:rsid w:val="00233FB5"/>
    <w:rsid w:val="002340C5"/>
    <w:rsid w:val="002343A0"/>
    <w:rsid w:val="002343D4"/>
    <w:rsid w:val="002349DA"/>
    <w:rsid w:val="00234D6F"/>
    <w:rsid w:val="0023676C"/>
    <w:rsid w:val="00236E18"/>
    <w:rsid w:val="002374DD"/>
    <w:rsid w:val="00240A33"/>
    <w:rsid w:val="002419CF"/>
    <w:rsid w:val="00243408"/>
    <w:rsid w:val="00243552"/>
    <w:rsid w:val="00243C17"/>
    <w:rsid w:val="0024571E"/>
    <w:rsid w:val="00246C1A"/>
    <w:rsid w:val="00246DC3"/>
    <w:rsid w:val="00247F81"/>
    <w:rsid w:val="00250329"/>
    <w:rsid w:val="00250BCA"/>
    <w:rsid w:val="00252624"/>
    <w:rsid w:val="00252FAA"/>
    <w:rsid w:val="0025315A"/>
    <w:rsid w:val="00253E38"/>
    <w:rsid w:val="00256B43"/>
    <w:rsid w:val="00257D0E"/>
    <w:rsid w:val="00257F1F"/>
    <w:rsid w:val="00260DEB"/>
    <w:rsid w:val="00261721"/>
    <w:rsid w:val="002618F7"/>
    <w:rsid w:val="0026413B"/>
    <w:rsid w:val="00265B51"/>
    <w:rsid w:val="00266322"/>
    <w:rsid w:val="002673EA"/>
    <w:rsid w:val="00267819"/>
    <w:rsid w:val="00270CFD"/>
    <w:rsid w:val="00271658"/>
    <w:rsid w:val="002724DA"/>
    <w:rsid w:val="00273BF8"/>
    <w:rsid w:val="00274372"/>
    <w:rsid w:val="002761C7"/>
    <w:rsid w:val="00276226"/>
    <w:rsid w:val="002767C0"/>
    <w:rsid w:val="0027718A"/>
    <w:rsid w:val="0028090B"/>
    <w:rsid w:val="00280B89"/>
    <w:rsid w:val="0028191B"/>
    <w:rsid w:val="0028218E"/>
    <w:rsid w:val="00284817"/>
    <w:rsid w:val="0028728C"/>
    <w:rsid w:val="00287867"/>
    <w:rsid w:val="00287FF4"/>
    <w:rsid w:val="00291912"/>
    <w:rsid w:val="00292B75"/>
    <w:rsid w:val="00292F69"/>
    <w:rsid w:val="00293DD2"/>
    <w:rsid w:val="002956E1"/>
    <w:rsid w:val="00296495"/>
    <w:rsid w:val="00296A84"/>
    <w:rsid w:val="00296D6A"/>
    <w:rsid w:val="00296F28"/>
    <w:rsid w:val="002A049B"/>
    <w:rsid w:val="002A2023"/>
    <w:rsid w:val="002A25FA"/>
    <w:rsid w:val="002A273F"/>
    <w:rsid w:val="002A29D8"/>
    <w:rsid w:val="002A2FFE"/>
    <w:rsid w:val="002A3B92"/>
    <w:rsid w:val="002A3CBD"/>
    <w:rsid w:val="002A4280"/>
    <w:rsid w:val="002A4FFB"/>
    <w:rsid w:val="002A56F1"/>
    <w:rsid w:val="002B0143"/>
    <w:rsid w:val="002B328D"/>
    <w:rsid w:val="002B3337"/>
    <w:rsid w:val="002B3AF5"/>
    <w:rsid w:val="002B4008"/>
    <w:rsid w:val="002B4E46"/>
    <w:rsid w:val="002B73E3"/>
    <w:rsid w:val="002B7FB5"/>
    <w:rsid w:val="002C001B"/>
    <w:rsid w:val="002C07FC"/>
    <w:rsid w:val="002C32E0"/>
    <w:rsid w:val="002C5189"/>
    <w:rsid w:val="002C64BD"/>
    <w:rsid w:val="002C6C9F"/>
    <w:rsid w:val="002C7128"/>
    <w:rsid w:val="002C7D40"/>
    <w:rsid w:val="002C7DBB"/>
    <w:rsid w:val="002D3460"/>
    <w:rsid w:val="002D3E31"/>
    <w:rsid w:val="002D53F1"/>
    <w:rsid w:val="002D6593"/>
    <w:rsid w:val="002D670B"/>
    <w:rsid w:val="002E1107"/>
    <w:rsid w:val="002E1288"/>
    <w:rsid w:val="002E268C"/>
    <w:rsid w:val="002E2B66"/>
    <w:rsid w:val="002E2DCB"/>
    <w:rsid w:val="002E4201"/>
    <w:rsid w:val="002E484E"/>
    <w:rsid w:val="002E6B76"/>
    <w:rsid w:val="002F0445"/>
    <w:rsid w:val="002F17B6"/>
    <w:rsid w:val="002F1D8A"/>
    <w:rsid w:val="002F22A9"/>
    <w:rsid w:val="002F280A"/>
    <w:rsid w:val="002F3F0D"/>
    <w:rsid w:val="002F55A5"/>
    <w:rsid w:val="002F6F97"/>
    <w:rsid w:val="002F715D"/>
    <w:rsid w:val="002F7A30"/>
    <w:rsid w:val="00301A05"/>
    <w:rsid w:val="00303D91"/>
    <w:rsid w:val="00304D8E"/>
    <w:rsid w:val="00305382"/>
    <w:rsid w:val="00305DFF"/>
    <w:rsid w:val="003069AA"/>
    <w:rsid w:val="00311BB3"/>
    <w:rsid w:val="00314524"/>
    <w:rsid w:val="00317576"/>
    <w:rsid w:val="00317FCB"/>
    <w:rsid w:val="00320127"/>
    <w:rsid w:val="00321387"/>
    <w:rsid w:val="00322043"/>
    <w:rsid w:val="003253B4"/>
    <w:rsid w:val="0032576F"/>
    <w:rsid w:val="0032656E"/>
    <w:rsid w:val="00327198"/>
    <w:rsid w:val="00327D04"/>
    <w:rsid w:val="003310CE"/>
    <w:rsid w:val="00332BE9"/>
    <w:rsid w:val="00332EC1"/>
    <w:rsid w:val="00333E7C"/>
    <w:rsid w:val="00335522"/>
    <w:rsid w:val="00335C3C"/>
    <w:rsid w:val="00335FDC"/>
    <w:rsid w:val="00342D67"/>
    <w:rsid w:val="00343096"/>
    <w:rsid w:val="0034383A"/>
    <w:rsid w:val="00343D44"/>
    <w:rsid w:val="00345A65"/>
    <w:rsid w:val="00351D5C"/>
    <w:rsid w:val="00351F88"/>
    <w:rsid w:val="00351FDD"/>
    <w:rsid w:val="003526A1"/>
    <w:rsid w:val="00353DF4"/>
    <w:rsid w:val="00355045"/>
    <w:rsid w:val="003553B7"/>
    <w:rsid w:val="0035595E"/>
    <w:rsid w:val="00357BB4"/>
    <w:rsid w:val="00360359"/>
    <w:rsid w:val="00360E9D"/>
    <w:rsid w:val="00364FA7"/>
    <w:rsid w:val="003665BF"/>
    <w:rsid w:val="003667EC"/>
    <w:rsid w:val="00367E76"/>
    <w:rsid w:val="00367F65"/>
    <w:rsid w:val="00370C84"/>
    <w:rsid w:val="003712CC"/>
    <w:rsid w:val="00373CC2"/>
    <w:rsid w:val="003744FE"/>
    <w:rsid w:val="0037519F"/>
    <w:rsid w:val="00375483"/>
    <w:rsid w:val="003800E8"/>
    <w:rsid w:val="00380BCD"/>
    <w:rsid w:val="00381CFE"/>
    <w:rsid w:val="00382845"/>
    <w:rsid w:val="00386A7F"/>
    <w:rsid w:val="003902A5"/>
    <w:rsid w:val="00390A07"/>
    <w:rsid w:val="00390F2A"/>
    <w:rsid w:val="003914C0"/>
    <w:rsid w:val="0039181C"/>
    <w:rsid w:val="00391FAF"/>
    <w:rsid w:val="00396FFE"/>
    <w:rsid w:val="003978D5"/>
    <w:rsid w:val="003A005F"/>
    <w:rsid w:val="003A0571"/>
    <w:rsid w:val="003A0ACD"/>
    <w:rsid w:val="003A1255"/>
    <w:rsid w:val="003A1F45"/>
    <w:rsid w:val="003A2523"/>
    <w:rsid w:val="003A56C9"/>
    <w:rsid w:val="003A698A"/>
    <w:rsid w:val="003B0BD0"/>
    <w:rsid w:val="003B0EDE"/>
    <w:rsid w:val="003B0FB4"/>
    <w:rsid w:val="003B2295"/>
    <w:rsid w:val="003B3103"/>
    <w:rsid w:val="003B3B69"/>
    <w:rsid w:val="003B47EF"/>
    <w:rsid w:val="003B4A12"/>
    <w:rsid w:val="003B5F1C"/>
    <w:rsid w:val="003B6B11"/>
    <w:rsid w:val="003B7E49"/>
    <w:rsid w:val="003C087D"/>
    <w:rsid w:val="003C1C5E"/>
    <w:rsid w:val="003C1CC4"/>
    <w:rsid w:val="003C21B7"/>
    <w:rsid w:val="003C2452"/>
    <w:rsid w:val="003C570B"/>
    <w:rsid w:val="003C6D4B"/>
    <w:rsid w:val="003C6FDD"/>
    <w:rsid w:val="003C79EE"/>
    <w:rsid w:val="003D0705"/>
    <w:rsid w:val="003D0B6F"/>
    <w:rsid w:val="003D1060"/>
    <w:rsid w:val="003D2954"/>
    <w:rsid w:val="003D5ECB"/>
    <w:rsid w:val="003E0BE3"/>
    <w:rsid w:val="003E0E61"/>
    <w:rsid w:val="003E11A4"/>
    <w:rsid w:val="003E4F18"/>
    <w:rsid w:val="003E66A5"/>
    <w:rsid w:val="003E6956"/>
    <w:rsid w:val="003E78BD"/>
    <w:rsid w:val="003E7F21"/>
    <w:rsid w:val="003F1DE3"/>
    <w:rsid w:val="003F324E"/>
    <w:rsid w:val="003F42E1"/>
    <w:rsid w:val="003F56C3"/>
    <w:rsid w:val="003F6076"/>
    <w:rsid w:val="003F6D43"/>
    <w:rsid w:val="003F6EF3"/>
    <w:rsid w:val="00401E99"/>
    <w:rsid w:val="00402B28"/>
    <w:rsid w:val="00403885"/>
    <w:rsid w:val="00407D4D"/>
    <w:rsid w:val="004103D9"/>
    <w:rsid w:val="004106A5"/>
    <w:rsid w:val="00411B1E"/>
    <w:rsid w:val="00411C1F"/>
    <w:rsid w:val="00415142"/>
    <w:rsid w:val="00416169"/>
    <w:rsid w:val="00417B28"/>
    <w:rsid w:val="00420623"/>
    <w:rsid w:val="00421441"/>
    <w:rsid w:val="004225D8"/>
    <w:rsid w:val="004241F4"/>
    <w:rsid w:val="00425E03"/>
    <w:rsid w:val="00425F60"/>
    <w:rsid w:val="00426A9B"/>
    <w:rsid w:val="00430064"/>
    <w:rsid w:val="00430BE8"/>
    <w:rsid w:val="0043184A"/>
    <w:rsid w:val="00432222"/>
    <w:rsid w:val="004324B8"/>
    <w:rsid w:val="004335EC"/>
    <w:rsid w:val="00435F11"/>
    <w:rsid w:val="004376A7"/>
    <w:rsid w:val="00437CC4"/>
    <w:rsid w:val="0044078C"/>
    <w:rsid w:val="00440F0C"/>
    <w:rsid w:val="004428A7"/>
    <w:rsid w:val="00443386"/>
    <w:rsid w:val="0044426B"/>
    <w:rsid w:val="00444874"/>
    <w:rsid w:val="0044609F"/>
    <w:rsid w:val="004473DA"/>
    <w:rsid w:val="004504DB"/>
    <w:rsid w:val="0045198C"/>
    <w:rsid w:val="00456164"/>
    <w:rsid w:val="00457457"/>
    <w:rsid w:val="00461408"/>
    <w:rsid w:val="00462FAF"/>
    <w:rsid w:val="00463DA7"/>
    <w:rsid w:val="00464A9D"/>
    <w:rsid w:val="00464C4E"/>
    <w:rsid w:val="004656CC"/>
    <w:rsid w:val="00466F82"/>
    <w:rsid w:val="004709CA"/>
    <w:rsid w:val="00470B24"/>
    <w:rsid w:val="0047161C"/>
    <w:rsid w:val="004727B4"/>
    <w:rsid w:val="00475599"/>
    <w:rsid w:val="00475E21"/>
    <w:rsid w:val="004761F4"/>
    <w:rsid w:val="00477547"/>
    <w:rsid w:val="00477F83"/>
    <w:rsid w:val="00481117"/>
    <w:rsid w:val="00487376"/>
    <w:rsid w:val="00487514"/>
    <w:rsid w:val="00494113"/>
    <w:rsid w:val="00497075"/>
    <w:rsid w:val="004972B7"/>
    <w:rsid w:val="004974D6"/>
    <w:rsid w:val="00497942"/>
    <w:rsid w:val="004A03E3"/>
    <w:rsid w:val="004A166C"/>
    <w:rsid w:val="004A1CE8"/>
    <w:rsid w:val="004A214B"/>
    <w:rsid w:val="004A28A8"/>
    <w:rsid w:val="004A3A2B"/>
    <w:rsid w:val="004A47CE"/>
    <w:rsid w:val="004A6488"/>
    <w:rsid w:val="004A7D45"/>
    <w:rsid w:val="004B35A1"/>
    <w:rsid w:val="004B3925"/>
    <w:rsid w:val="004B5C77"/>
    <w:rsid w:val="004B5D91"/>
    <w:rsid w:val="004B66B0"/>
    <w:rsid w:val="004C1E78"/>
    <w:rsid w:val="004C2008"/>
    <w:rsid w:val="004C4116"/>
    <w:rsid w:val="004C4D70"/>
    <w:rsid w:val="004C5B50"/>
    <w:rsid w:val="004C6220"/>
    <w:rsid w:val="004D0CA3"/>
    <w:rsid w:val="004D1BE1"/>
    <w:rsid w:val="004D1CFD"/>
    <w:rsid w:val="004D1E18"/>
    <w:rsid w:val="004D455A"/>
    <w:rsid w:val="004D5927"/>
    <w:rsid w:val="004E01B5"/>
    <w:rsid w:val="004E0E97"/>
    <w:rsid w:val="004E1F62"/>
    <w:rsid w:val="004E275A"/>
    <w:rsid w:val="004E29D3"/>
    <w:rsid w:val="004E46D3"/>
    <w:rsid w:val="004E55B4"/>
    <w:rsid w:val="004E5A80"/>
    <w:rsid w:val="004E736F"/>
    <w:rsid w:val="004E7553"/>
    <w:rsid w:val="004F0DA7"/>
    <w:rsid w:val="004F157A"/>
    <w:rsid w:val="004F2105"/>
    <w:rsid w:val="004F21FC"/>
    <w:rsid w:val="004F2EA3"/>
    <w:rsid w:val="004F38D7"/>
    <w:rsid w:val="004F4959"/>
    <w:rsid w:val="004F51E5"/>
    <w:rsid w:val="004F7753"/>
    <w:rsid w:val="0050081D"/>
    <w:rsid w:val="00502133"/>
    <w:rsid w:val="005026AC"/>
    <w:rsid w:val="005033AE"/>
    <w:rsid w:val="0050479A"/>
    <w:rsid w:val="00511D3A"/>
    <w:rsid w:val="00514055"/>
    <w:rsid w:val="00514D50"/>
    <w:rsid w:val="00516B14"/>
    <w:rsid w:val="00516E4A"/>
    <w:rsid w:val="005173DE"/>
    <w:rsid w:val="0052053C"/>
    <w:rsid w:val="00522E7E"/>
    <w:rsid w:val="00523969"/>
    <w:rsid w:val="00523DE3"/>
    <w:rsid w:val="00524640"/>
    <w:rsid w:val="00525E5E"/>
    <w:rsid w:val="00526D03"/>
    <w:rsid w:val="005303D3"/>
    <w:rsid w:val="005305B4"/>
    <w:rsid w:val="00530D39"/>
    <w:rsid w:val="0053188C"/>
    <w:rsid w:val="00532E71"/>
    <w:rsid w:val="005341C9"/>
    <w:rsid w:val="00534441"/>
    <w:rsid w:val="00536BA8"/>
    <w:rsid w:val="00536BCB"/>
    <w:rsid w:val="00536C05"/>
    <w:rsid w:val="00537A33"/>
    <w:rsid w:val="00537D22"/>
    <w:rsid w:val="0054307D"/>
    <w:rsid w:val="00543811"/>
    <w:rsid w:val="005438D4"/>
    <w:rsid w:val="005442A7"/>
    <w:rsid w:val="005445C1"/>
    <w:rsid w:val="00544653"/>
    <w:rsid w:val="00544EBD"/>
    <w:rsid w:val="005451CF"/>
    <w:rsid w:val="00545943"/>
    <w:rsid w:val="00550A83"/>
    <w:rsid w:val="00551F7A"/>
    <w:rsid w:val="0055285B"/>
    <w:rsid w:val="00553DB0"/>
    <w:rsid w:val="005540D2"/>
    <w:rsid w:val="00554969"/>
    <w:rsid w:val="00555C70"/>
    <w:rsid w:val="00555F7D"/>
    <w:rsid w:val="005610BB"/>
    <w:rsid w:val="005622C8"/>
    <w:rsid w:val="005626F8"/>
    <w:rsid w:val="00562E85"/>
    <w:rsid w:val="00563BCF"/>
    <w:rsid w:val="00563EC0"/>
    <w:rsid w:val="0056468E"/>
    <w:rsid w:val="00565C2C"/>
    <w:rsid w:val="00571BD4"/>
    <w:rsid w:val="00571F09"/>
    <w:rsid w:val="00572E76"/>
    <w:rsid w:val="00575F3B"/>
    <w:rsid w:val="005778C5"/>
    <w:rsid w:val="00581429"/>
    <w:rsid w:val="005815B2"/>
    <w:rsid w:val="00581EE1"/>
    <w:rsid w:val="0058429A"/>
    <w:rsid w:val="005846C3"/>
    <w:rsid w:val="00584DC5"/>
    <w:rsid w:val="00585183"/>
    <w:rsid w:val="00585DE1"/>
    <w:rsid w:val="0058643A"/>
    <w:rsid w:val="00590020"/>
    <w:rsid w:val="005900FF"/>
    <w:rsid w:val="00590AB6"/>
    <w:rsid w:val="0059107C"/>
    <w:rsid w:val="00591262"/>
    <w:rsid w:val="00591310"/>
    <w:rsid w:val="0059257B"/>
    <w:rsid w:val="0059394B"/>
    <w:rsid w:val="00594641"/>
    <w:rsid w:val="005973D3"/>
    <w:rsid w:val="005A0A2F"/>
    <w:rsid w:val="005A3B9B"/>
    <w:rsid w:val="005A48A0"/>
    <w:rsid w:val="005A549D"/>
    <w:rsid w:val="005A65CD"/>
    <w:rsid w:val="005B0619"/>
    <w:rsid w:val="005B2262"/>
    <w:rsid w:val="005B38BC"/>
    <w:rsid w:val="005B472E"/>
    <w:rsid w:val="005B66AE"/>
    <w:rsid w:val="005B68DF"/>
    <w:rsid w:val="005B6AFF"/>
    <w:rsid w:val="005B70B9"/>
    <w:rsid w:val="005B755C"/>
    <w:rsid w:val="005C0DBC"/>
    <w:rsid w:val="005C1A5C"/>
    <w:rsid w:val="005C24CC"/>
    <w:rsid w:val="005C5197"/>
    <w:rsid w:val="005C64D0"/>
    <w:rsid w:val="005C65CA"/>
    <w:rsid w:val="005C6897"/>
    <w:rsid w:val="005C68EB"/>
    <w:rsid w:val="005C7259"/>
    <w:rsid w:val="005C75B8"/>
    <w:rsid w:val="005C77E0"/>
    <w:rsid w:val="005D013C"/>
    <w:rsid w:val="005D2905"/>
    <w:rsid w:val="005D45F5"/>
    <w:rsid w:val="005D70F2"/>
    <w:rsid w:val="005E06A1"/>
    <w:rsid w:val="005E3245"/>
    <w:rsid w:val="005E41D1"/>
    <w:rsid w:val="005E539C"/>
    <w:rsid w:val="005E6746"/>
    <w:rsid w:val="005E6DA7"/>
    <w:rsid w:val="005E7F1E"/>
    <w:rsid w:val="005F0EC2"/>
    <w:rsid w:val="005F360D"/>
    <w:rsid w:val="005F45F8"/>
    <w:rsid w:val="005F46B9"/>
    <w:rsid w:val="005F5295"/>
    <w:rsid w:val="005F564F"/>
    <w:rsid w:val="005F7400"/>
    <w:rsid w:val="005F794C"/>
    <w:rsid w:val="005F7CEE"/>
    <w:rsid w:val="005F7E06"/>
    <w:rsid w:val="00600EE5"/>
    <w:rsid w:val="00601775"/>
    <w:rsid w:val="00601B0A"/>
    <w:rsid w:val="00601F54"/>
    <w:rsid w:val="0060316A"/>
    <w:rsid w:val="00605BCB"/>
    <w:rsid w:val="00605F01"/>
    <w:rsid w:val="006069E6"/>
    <w:rsid w:val="006112A2"/>
    <w:rsid w:val="00611FAF"/>
    <w:rsid w:val="0061345D"/>
    <w:rsid w:val="00614CA3"/>
    <w:rsid w:val="00620211"/>
    <w:rsid w:val="0062158C"/>
    <w:rsid w:val="006224B1"/>
    <w:rsid w:val="0062290A"/>
    <w:rsid w:val="00623286"/>
    <w:rsid w:val="00627395"/>
    <w:rsid w:val="006273A4"/>
    <w:rsid w:val="00627544"/>
    <w:rsid w:val="00627DC9"/>
    <w:rsid w:val="00627DF0"/>
    <w:rsid w:val="0063129E"/>
    <w:rsid w:val="00631EA2"/>
    <w:rsid w:val="00632D3B"/>
    <w:rsid w:val="00633283"/>
    <w:rsid w:val="00634B58"/>
    <w:rsid w:val="0063634C"/>
    <w:rsid w:val="00636AC5"/>
    <w:rsid w:val="0064010F"/>
    <w:rsid w:val="00640AE8"/>
    <w:rsid w:val="00641BA0"/>
    <w:rsid w:val="00642A45"/>
    <w:rsid w:val="00642C8D"/>
    <w:rsid w:val="00643A61"/>
    <w:rsid w:val="00643F76"/>
    <w:rsid w:val="006455FB"/>
    <w:rsid w:val="0064578E"/>
    <w:rsid w:val="0064725F"/>
    <w:rsid w:val="0064728C"/>
    <w:rsid w:val="00651936"/>
    <w:rsid w:val="00652174"/>
    <w:rsid w:val="00652881"/>
    <w:rsid w:val="006529EB"/>
    <w:rsid w:val="00654A93"/>
    <w:rsid w:val="00654DF0"/>
    <w:rsid w:val="00655158"/>
    <w:rsid w:val="0065679F"/>
    <w:rsid w:val="006603E5"/>
    <w:rsid w:val="00660F5F"/>
    <w:rsid w:val="00660FD6"/>
    <w:rsid w:val="006613FB"/>
    <w:rsid w:val="0066183D"/>
    <w:rsid w:val="00661D67"/>
    <w:rsid w:val="006633F2"/>
    <w:rsid w:val="006646B8"/>
    <w:rsid w:val="00665726"/>
    <w:rsid w:val="006658F5"/>
    <w:rsid w:val="00666C3D"/>
    <w:rsid w:val="00667E4B"/>
    <w:rsid w:val="00670B3A"/>
    <w:rsid w:val="006710A4"/>
    <w:rsid w:val="00673295"/>
    <w:rsid w:val="0067358F"/>
    <w:rsid w:val="00675942"/>
    <w:rsid w:val="00676029"/>
    <w:rsid w:val="006762E2"/>
    <w:rsid w:val="00677271"/>
    <w:rsid w:val="00680FB6"/>
    <w:rsid w:val="00681669"/>
    <w:rsid w:val="0068168C"/>
    <w:rsid w:val="006825C9"/>
    <w:rsid w:val="00682CCB"/>
    <w:rsid w:val="00683266"/>
    <w:rsid w:val="00683640"/>
    <w:rsid w:val="00683914"/>
    <w:rsid w:val="00683944"/>
    <w:rsid w:val="006844DC"/>
    <w:rsid w:val="006846F3"/>
    <w:rsid w:val="00685873"/>
    <w:rsid w:val="006863A2"/>
    <w:rsid w:val="0068689E"/>
    <w:rsid w:val="00686A1D"/>
    <w:rsid w:val="00687021"/>
    <w:rsid w:val="006909BD"/>
    <w:rsid w:val="00690ABF"/>
    <w:rsid w:val="00690BAF"/>
    <w:rsid w:val="006919C2"/>
    <w:rsid w:val="00691DF1"/>
    <w:rsid w:val="006924B3"/>
    <w:rsid w:val="0069320A"/>
    <w:rsid w:val="006958E7"/>
    <w:rsid w:val="00697FD6"/>
    <w:rsid w:val="006A0F1D"/>
    <w:rsid w:val="006A1F36"/>
    <w:rsid w:val="006A202F"/>
    <w:rsid w:val="006A2869"/>
    <w:rsid w:val="006A409B"/>
    <w:rsid w:val="006A417D"/>
    <w:rsid w:val="006A476E"/>
    <w:rsid w:val="006A48A9"/>
    <w:rsid w:val="006A4E44"/>
    <w:rsid w:val="006A6105"/>
    <w:rsid w:val="006A6462"/>
    <w:rsid w:val="006A668D"/>
    <w:rsid w:val="006A71AF"/>
    <w:rsid w:val="006A7AFE"/>
    <w:rsid w:val="006B1B03"/>
    <w:rsid w:val="006B26D3"/>
    <w:rsid w:val="006B2E95"/>
    <w:rsid w:val="006B3403"/>
    <w:rsid w:val="006B697B"/>
    <w:rsid w:val="006C0AB1"/>
    <w:rsid w:val="006C0D66"/>
    <w:rsid w:val="006C12FF"/>
    <w:rsid w:val="006C37EF"/>
    <w:rsid w:val="006C3D12"/>
    <w:rsid w:val="006C608C"/>
    <w:rsid w:val="006C66E0"/>
    <w:rsid w:val="006C677F"/>
    <w:rsid w:val="006D13D9"/>
    <w:rsid w:val="006D1C04"/>
    <w:rsid w:val="006D1DEF"/>
    <w:rsid w:val="006D5620"/>
    <w:rsid w:val="006D580F"/>
    <w:rsid w:val="006D7011"/>
    <w:rsid w:val="006E09F9"/>
    <w:rsid w:val="006E4302"/>
    <w:rsid w:val="006E4D7F"/>
    <w:rsid w:val="006E4F54"/>
    <w:rsid w:val="006F3B05"/>
    <w:rsid w:val="006F5DDA"/>
    <w:rsid w:val="006F6174"/>
    <w:rsid w:val="006F644F"/>
    <w:rsid w:val="006F7A73"/>
    <w:rsid w:val="00700B21"/>
    <w:rsid w:val="00703359"/>
    <w:rsid w:val="00704D47"/>
    <w:rsid w:val="00710EE8"/>
    <w:rsid w:val="00710FD8"/>
    <w:rsid w:val="00711527"/>
    <w:rsid w:val="0071264A"/>
    <w:rsid w:val="00713D57"/>
    <w:rsid w:val="00714D53"/>
    <w:rsid w:val="00716B37"/>
    <w:rsid w:val="00717C5D"/>
    <w:rsid w:val="007262A0"/>
    <w:rsid w:val="00726BDA"/>
    <w:rsid w:val="00726D06"/>
    <w:rsid w:val="00727EC8"/>
    <w:rsid w:val="00730159"/>
    <w:rsid w:val="00731B5B"/>
    <w:rsid w:val="00732732"/>
    <w:rsid w:val="0073322B"/>
    <w:rsid w:val="00733A45"/>
    <w:rsid w:val="00733BBD"/>
    <w:rsid w:val="00735135"/>
    <w:rsid w:val="00735E04"/>
    <w:rsid w:val="00735F21"/>
    <w:rsid w:val="007367CA"/>
    <w:rsid w:val="00737FC3"/>
    <w:rsid w:val="007406DF"/>
    <w:rsid w:val="0074096A"/>
    <w:rsid w:val="007409DD"/>
    <w:rsid w:val="00745751"/>
    <w:rsid w:val="00746BC6"/>
    <w:rsid w:val="00750319"/>
    <w:rsid w:val="00751532"/>
    <w:rsid w:val="00752B07"/>
    <w:rsid w:val="00752C48"/>
    <w:rsid w:val="00753981"/>
    <w:rsid w:val="00754473"/>
    <w:rsid w:val="00754857"/>
    <w:rsid w:val="00754FB5"/>
    <w:rsid w:val="007570EE"/>
    <w:rsid w:val="00760071"/>
    <w:rsid w:val="007607AB"/>
    <w:rsid w:val="00760936"/>
    <w:rsid w:val="00760EE0"/>
    <w:rsid w:val="00761073"/>
    <w:rsid w:val="007613C9"/>
    <w:rsid w:val="007632D4"/>
    <w:rsid w:val="0076354E"/>
    <w:rsid w:val="007635F6"/>
    <w:rsid w:val="00763D1C"/>
    <w:rsid w:val="00763D5D"/>
    <w:rsid w:val="007650D3"/>
    <w:rsid w:val="0076533D"/>
    <w:rsid w:val="0076546F"/>
    <w:rsid w:val="0076590C"/>
    <w:rsid w:val="00765B54"/>
    <w:rsid w:val="00767617"/>
    <w:rsid w:val="0076779F"/>
    <w:rsid w:val="00770121"/>
    <w:rsid w:val="007706A6"/>
    <w:rsid w:val="00770C2F"/>
    <w:rsid w:val="0077542A"/>
    <w:rsid w:val="00775C2B"/>
    <w:rsid w:val="00775CBB"/>
    <w:rsid w:val="00776054"/>
    <w:rsid w:val="00777DE9"/>
    <w:rsid w:val="007801AD"/>
    <w:rsid w:val="007801CE"/>
    <w:rsid w:val="0078092F"/>
    <w:rsid w:val="00781198"/>
    <w:rsid w:val="007817A1"/>
    <w:rsid w:val="00781DF5"/>
    <w:rsid w:val="0078269B"/>
    <w:rsid w:val="00782B4D"/>
    <w:rsid w:val="00782CE1"/>
    <w:rsid w:val="00783141"/>
    <w:rsid w:val="00783176"/>
    <w:rsid w:val="0078384B"/>
    <w:rsid w:val="007854C1"/>
    <w:rsid w:val="007862E9"/>
    <w:rsid w:val="00787B68"/>
    <w:rsid w:val="0079221A"/>
    <w:rsid w:val="00792A98"/>
    <w:rsid w:val="00792C6C"/>
    <w:rsid w:val="007933D6"/>
    <w:rsid w:val="00795584"/>
    <w:rsid w:val="007A1BF5"/>
    <w:rsid w:val="007A3AAC"/>
    <w:rsid w:val="007A467F"/>
    <w:rsid w:val="007A5BAB"/>
    <w:rsid w:val="007A6BA1"/>
    <w:rsid w:val="007A6C09"/>
    <w:rsid w:val="007B0632"/>
    <w:rsid w:val="007B1E0F"/>
    <w:rsid w:val="007B23C7"/>
    <w:rsid w:val="007B3B56"/>
    <w:rsid w:val="007B3EC6"/>
    <w:rsid w:val="007B487D"/>
    <w:rsid w:val="007B4E50"/>
    <w:rsid w:val="007B693B"/>
    <w:rsid w:val="007B6F65"/>
    <w:rsid w:val="007C0C2E"/>
    <w:rsid w:val="007C0E0D"/>
    <w:rsid w:val="007C6958"/>
    <w:rsid w:val="007D075F"/>
    <w:rsid w:val="007D0982"/>
    <w:rsid w:val="007D2784"/>
    <w:rsid w:val="007D4128"/>
    <w:rsid w:val="007E1A14"/>
    <w:rsid w:val="007E1A79"/>
    <w:rsid w:val="007E27A0"/>
    <w:rsid w:val="007E3C1E"/>
    <w:rsid w:val="007E3F9D"/>
    <w:rsid w:val="007E402B"/>
    <w:rsid w:val="007E5665"/>
    <w:rsid w:val="007E6D53"/>
    <w:rsid w:val="007E7ED6"/>
    <w:rsid w:val="007F0E3B"/>
    <w:rsid w:val="007F18C3"/>
    <w:rsid w:val="007F39B7"/>
    <w:rsid w:val="007F3A09"/>
    <w:rsid w:val="007F408E"/>
    <w:rsid w:val="007F4E29"/>
    <w:rsid w:val="007F5E08"/>
    <w:rsid w:val="007F6315"/>
    <w:rsid w:val="007F681B"/>
    <w:rsid w:val="007F746D"/>
    <w:rsid w:val="007F770C"/>
    <w:rsid w:val="00801385"/>
    <w:rsid w:val="008018D1"/>
    <w:rsid w:val="00801E18"/>
    <w:rsid w:val="00804BAB"/>
    <w:rsid w:val="00805DFA"/>
    <w:rsid w:val="008064A9"/>
    <w:rsid w:val="008069ED"/>
    <w:rsid w:val="008122BD"/>
    <w:rsid w:val="00812E6B"/>
    <w:rsid w:val="00813E00"/>
    <w:rsid w:val="00815911"/>
    <w:rsid w:val="00815EFB"/>
    <w:rsid w:val="00816AFF"/>
    <w:rsid w:val="00817F10"/>
    <w:rsid w:val="00817F66"/>
    <w:rsid w:val="00820E3A"/>
    <w:rsid w:val="00821679"/>
    <w:rsid w:val="00822A86"/>
    <w:rsid w:val="00822D82"/>
    <w:rsid w:val="008232C0"/>
    <w:rsid w:val="00823822"/>
    <w:rsid w:val="00825D6B"/>
    <w:rsid w:val="0083024B"/>
    <w:rsid w:val="00830C08"/>
    <w:rsid w:val="00830FC9"/>
    <w:rsid w:val="00833BAF"/>
    <w:rsid w:val="008342E9"/>
    <w:rsid w:val="00836777"/>
    <w:rsid w:val="008410D4"/>
    <w:rsid w:val="00842753"/>
    <w:rsid w:val="00842811"/>
    <w:rsid w:val="00842FAE"/>
    <w:rsid w:val="00843FF1"/>
    <w:rsid w:val="008473B0"/>
    <w:rsid w:val="00847637"/>
    <w:rsid w:val="008503E1"/>
    <w:rsid w:val="00850420"/>
    <w:rsid w:val="00850654"/>
    <w:rsid w:val="00852E5B"/>
    <w:rsid w:val="00854596"/>
    <w:rsid w:val="00855452"/>
    <w:rsid w:val="008560FF"/>
    <w:rsid w:val="00856354"/>
    <w:rsid w:val="008572FE"/>
    <w:rsid w:val="00860FBB"/>
    <w:rsid w:val="008612FD"/>
    <w:rsid w:val="00861806"/>
    <w:rsid w:val="00862688"/>
    <w:rsid w:val="00862FE3"/>
    <w:rsid w:val="008637BE"/>
    <w:rsid w:val="008646B2"/>
    <w:rsid w:val="0086475C"/>
    <w:rsid w:val="00867328"/>
    <w:rsid w:val="00867C31"/>
    <w:rsid w:val="00870140"/>
    <w:rsid w:val="00870A51"/>
    <w:rsid w:val="00872076"/>
    <w:rsid w:val="00872D80"/>
    <w:rsid w:val="0087307E"/>
    <w:rsid w:val="0087384F"/>
    <w:rsid w:val="00873A0F"/>
    <w:rsid w:val="008740C8"/>
    <w:rsid w:val="008745A1"/>
    <w:rsid w:val="008746AF"/>
    <w:rsid w:val="0087523D"/>
    <w:rsid w:val="00875CA5"/>
    <w:rsid w:val="00877A01"/>
    <w:rsid w:val="0088032D"/>
    <w:rsid w:val="00882A29"/>
    <w:rsid w:val="00882B51"/>
    <w:rsid w:val="00882D76"/>
    <w:rsid w:val="00883039"/>
    <w:rsid w:val="008837AC"/>
    <w:rsid w:val="00884104"/>
    <w:rsid w:val="008844E4"/>
    <w:rsid w:val="00884CBE"/>
    <w:rsid w:val="00885809"/>
    <w:rsid w:val="008871F7"/>
    <w:rsid w:val="008903F8"/>
    <w:rsid w:val="00890E27"/>
    <w:rsid w:val="008926FD"/>
    <w:rsid w:val="008929F8"/>
    <w:rsid w:val="00893919"/>
    <w:rsid w:val="00895708"/>
    <w:rsid w:val="0089671C"/>
    <w:rsid w:val="00896A9C"/>
    <w:rsid w:val="00896F7D"/>
    <w:rsid w:val="00897522"/>
    <w:rsid w:val="008A036F"/>
    <w:rsid w:val="008A1173"/>
    <w:rsid w:val="008A13A2"/>
    <w:rsid w:val="008A1CB3"/>
    <w:rsid w:val="008A1D50"/>
    <w:rsid w:val="008A4638"/>
    <w:rsid w:val="008A46F0"/>
    <w:rsid w:val="008A492B"/>
    <w:rsid w:val="008A59EF"/>
    <w:rsid w:val="008A5DF1"/>
    <w:rsid w:val="008B2736"/>
    <w:rsid w:val="008B304E"/>
    <w:rsid w:val="008B41BB"/>
    <w:rsid w:val="008B5922"/>
    <w:rsid w:val="008B70EB"/>
    <w:rsid w:val="008B7E39"/>
    <w:rsid w:val="008C13E2"/>
    <w:rsid w:val="008C3B45"/>
    <w:rsid w:val="008C513D"/>
    <w:rsid w:val="008C5DD9"/>
    <w:rsid w:val="008C691D"/>
    <w:rsid w:val="008C69C2"/>
    <w:rsid w:val="008C7E7C"/>
    <w:rsid w:val="008D143A"/>
    <w:rsid w:val="008D18CA"/>
    <w:rsid w:val="008D1976"/>
    <w:rsid w:val="008D1E8A"/>
    <w:rsid w:val="008D2A52"/>
    <w:rsid w:val="008D2E30"/>
    <w:rsid w:val="008D30AD"/>
    <w:rsid w:val="008D52F5"/>
    <w:rsid w:val="008D5516"/>
    <w:rsid w:val="008D6FCA"/>
    <w:rsid w:val="008E2637"/>
    <w:rsid w:val="008E29C1"/>
    <w:rsid w:val="008E2D43"/>
    <w:rsid w:val="008E3637"/>
    <w:rsid w:val="008E4D3D"/>
    <w:rsid w:val="008E6ABC"/>
    <w:rsid w:val="008E7A33"/>
    <w:rsid w:val="008F03BA"/>
    <w:rsid w:val="008F11F0"/>
    <w:rsid w:val="008F1E7B"/>
    <w:rsid w:val="008F29BC"/>
    <w:rsid w:val="008F3006"/>
    <w:rsid w:val="008F3532"/>
    <w:rsid w:val="008F6139"/>
    <w:rsid w:val="008F66CB"/>
    <w:rsid w:val="008F7C89"/>
    <w:rsid w:val="00900B89"/>
    <w:rsid w:val="00900F97"/>
    <w:rsid w:val="00901015"/>
    <w:rsid w:val="00901138"/>
    <w:rsid w:val="0090178B"/>
    <w:rsid w:val="009022DA"/>
    <w:rsid w:val="00902310"/>
    <w:rsid w:val="00903355"/>
    <w:rsid w:val="009037B3"/>
    <w:rsid w:val="00903FCA"/>
    <w:rsid w:val="00904C29"/>
    <w:rsid w:val="00904E19"/>
    <w:rsid w:val="00905F05"/>
    <w:rsid w:val="009065EC"/>
    <w:rsid w:val="00910138"/>
    <w:rsid w:val="0091166C"/>
    <w:rsid w:val="0091221A"/>
    <w:rsid w:val="009122C0"/>
    <w:rsid w:val="009128A4"/>
    <w:rsid w:val="0091462D"/>
    <w:rsid w:val="00914A03"/>
    <w:rsid w:val="00916338"/>
    <w:rsid w:val="009169B1"/>
    <w:rsid w:val="0091716E"/>
    <w:rsid w:val="00921AE7"/>
    <w:rsid w:val="0092395F"/>
    <w:rsid w:val="00923F07"/>
    <w:rsid w:val="009253B1"/>
    <w:rsid w:val="0092719C"/>
    <w:rsid w:val="00930EE7"/>
    <w:rsid w:val="00932986"/>
    <w:rsid w:val="009367C5"/>
    <w:rsid w:val="00936ACE"/>
    <w:rsid w:val="00940A06"/>
    <w:rsid w:val="009413BB"/>
    <w:rsid w:val="00941CE2"/>
    <w:rsid w:val="009429BE"/>
    <w:rsid w:val="0094361C"/>
    <w:rsid w:val="009460FF"/>
    <w:rsid w:val="009463E9"/>
    <w:rsid w:val="00946AF0"/>
    <w:rsid w:val="00947D58"/>
    <w:rsid w:val="0095164B"/>
    <w:rsid w:val="009523E8"/>
    <w:rsid w:val="009526DD"/>
    <w:rsid w:val="00952E6A"/>
    <w:rsid w:val="00954A20"/>
    <w:rsid w:val="00960CF6"/>
    <w:rsid w:val="0096346C"/>
    <w:rsid w:val="00963CB7"/>
    <w:rsid w:val="0096418D"/>
    <w:rsid w:val="00964431"/>
    <w:rsid w:val="009647A6"/>
    <w:rsid w:val="009659C5"/>
    <w:rsid w:val="00970185"/>
    <w:rsid w:val="0097091A"/>
    <w:rsid w:val="009716F7"/>
    <w:rsid w:val="00972935"/>
    <w:rsid w:val="00972DF8"/>
    <w:rsid w:val="009743FC"/>
    <w:rsid w:val="009751A2"/>
    <w:rsid w:val="009768DC"/>
    <w:rsid w:val="00977308"/>
    <w:rsid w:val="00977790"/>
    <w:rsid w:val="00980E2C"/>
    <w:rsid w:val="0098143A"/>
    <w:rsid w:val="00981A67"/>
    <w:rsid w:val="00982537"/>
    <w:rsid w:val="009835A3"/>
    <w:rsid w:val="0098360E"/>
    <w:rsid w:val="0098401F"/>
    <w:rsid w:val="00985731"/>
    <w:rsid w:val="00985F4D"/>
    <w:rsid w:val="0098659B"/>
    <w:rsid w:val="00986AD6"/>
    <w:rsid w:val="009918D1"/>
    <w:rsid w:val="00992964"/>
    <w:rsid w:val="009929F9"/>
    <w:rsid w:val="00992A0F"/>
    <w:rsid w:val="0099324A"/>
    <w:rsid w:val="00993300"/>
    <w:rsid w:val="00994E4A"/>
    <w:rsid w:val="0099593F"/>
    <w:rsid w:val="0099690D"/>
    <w:rsid w:val="00996983"/>
    <w:rsid w:val="009A2391"/>
    <w:rsid w:val="009A24E6"/>
    <w:rsid w:val="009A25A1"/>
    <w:rsid w:val="009A3477"/>
    <w:rsid w:val="009A3C62"/>
    <w:rsid w:val="009A46F4"/>
    <w:rsid w:val="009A5FBA"/>
    <w:rsid w:val="009A6135"/>
    <w:rsid w:val="009A7355"/>
    <w:rsid w:val="009A77F0"/>
    <w:rsid w:val="009A7A4D"/>
    <w:rsid w:val="009A7B0D"/>
    <w:rsid w:val="009A7D1C"/>
    <w:rsid w:val="009B05A4"/>
    <w:rsid w:val="009B0BD9"/>
    <w:rsid w:val="009B2CE3"/>
    <w:rsid w:val="009B53D8"/>
    <w:rsid w:val="009B614F"/>
    <w:rsid w:val="009C1EDC"/>
    <w:rsid w:val="009C2834"/>
    <w:rsid w:val="009C371A"/>
    <w:rsid w:val="009C4762"/>
    <w:rsid w:val="009C4B20"/>
    <w:rsid w:val="009C7436"/>
    <w:rsid w:val="009D12E0"/>
    <w:rsid w:val="009E0049"/>
    <w:rsid w:val="009E0299"/>
    <w:rsid w:val="009E0E3A"/>
    <w:rsid w:val="009E27A2"/>
    <w:rsid w:val="009E2980"/>
    <w:rsid w:val="009E3605"/>
    <w:rsid w:val="009E36E7"/>
    <w:rsid w:val="009E3DC6"/>
    <w:rsid w:val="009E4A7E"/>
    <w:rsid w:val="009E726B"/>
    <w:rsid w:val="009F0325"/>
    <w:rsid w:val="009F104E"/>
    <w:rsid w:val="009F2C58"/>
    <w:rsid w:val="009F65B5"/>
    <w:rsid w:val="00A00479"/>
    <w:rsid w:val="00A004B0"/>
    <w:rsid w:val="00A009A7"/>
    <w:rsid w:val="00A01C85"/>
    <w:rsid w:val="00A02FB3"/>
    <w:rsid w:val="00A035ED"/>
    <w:rsid w:val="00A03BE5"/>
    <w:rsid w:val="00A03C1B"/>
    <w:rsid w:val="00A062B1"/>
    <w:rsid w:val="00A063AA"/>
    <w:rsid w:val="00A06758"/>
    <w:rsid w:val="00A06827"/>
    <w:rsid w:val="00A06C84"/>
    <w:rsid w:val="00A10DB2"/>
    <w:rsid w:val="00A119E4"/>
    <w:rsid w:val="00A136DF"/>
    <w:rsid w:val="00A1474F"/>
    <w:rsid w:val="00A1494A"/>
    <w:rsid w:val="00A14DF5"/>
    <w:rsid w:val="00A17116"/>
    <w:rsid w:val="00A17EE2"/>
    <w:rsid w:val="00A2040C"/>
    <w:rsid w:val="00A2073F"/>
    <w:rsid w:val="00A22596"/>
    <w:rsid w:val="00A22600"/>
    <w:rsid w:val="00A239EB"/>
    <w:rsid w:val="00A249B5"/>
    <w:rsid w:val="00A250CF"/>
    <w:rsid w:val="00A25AA8"/>
    <w:rsid w:val="00A26951"/>
    <w:rsid w:val="00A26A19"/>
    <w:rsid w:val="00A27367"/>
    <w:rsid w:val="00A27633"/>
    <w:rsid w:val="00A27965"/>
    <w:rsid w:val="00A279C5"/>
    <w:rsid w:val="00A30DB2"/>
    <w:rsid w:val="00A3100B"/>
    <w:rsid w:val="00A311A1"/>
    <w:rsid w:val="00A334CE"/>
    <w:rsid w:val="00A349DB"/>
    <w:rsid w:val="00A3547E"/>
    <w:rsid w:val="00A35D14"/>
    <w:rsid w:val="00A360E1"/>
    <w:rsid w:val="00A36164"/>
    <w:rsid w:val="00A37F4C"/>
    <w:rsid w:val="00A40113"/>
    <w:rsid w:val="00A402F8"/>
    <w:rsid w:val="00A4045A"/>
    <w:rsid w:val="00A439D0"/>
    <w:rsid w:val="00A464A6"/>
    <w:rsid w:val="00A472B6"/>
    <w:rsid w:val="00A47F72"/>
    <w:rsid w:val="00A501A7"/>
    <w:rsid w:val="00A52357"/>
    <w:rsid w:val="00A548E9"/>
    <w:rsid w:val="00A54A0E"/>
    <w:rsid w:val="00A54C47"/>
    <w:rsid w:val="00A5561A"/>
    <w:rsid w:val="00A575FB"/>
    <w:rsid w:val="00A57C38"/>
    <w:rsid w:val="00A57ED2"/>
    <w:rsid w:val="00A60373"/>
    <w:rsid w:val="00A61916"/>
    <w:rsid w:val="00A620D4"/>
    <w:rsid w:val="00A630BA"/>
    <w:rsid w:val="00A65B0A"/>
    <w:rsid w:val="00A6670E"/>
    <w:rsid w:val="00A705F3"/>
    <w:rsid w:val="00A70DD6"/>
    <w:rsid w:val="00A72B34"/>
    <w:rsid w:val="00A73468"/>
    <w:rsid w:val="00A734B5"/>
    <w:rsid w:val="00A73782"/>
    <w:rsid w:val="00A746B0"/>
    <w:rsid w:val="00A74E50"/>
    <w:rsid w:val="00A74F3D"/>
    <w:rsid w:val="00A75DE6"/>
    <w:rsid w:val="00A77B93"/>
    <w:rsid w:val="00A80DB9"/>
    <w:rsid w:val="00A80E65"/>
    <w:rsid w:val="00A8710A"/>
    <w:rsid w:val="00A916CE"/>
    <w:rsid w:val="00A92DE6"/>
    <w:rsid w:val="00A93429"/>
    <w:rsid w:val="00A93FAE"/>
    <w:rsid w:val="00AA0104"/>
    <w:rsid w:val="00AA01A2"/>
    <w:rsid w:val="00AA08C9"/>
    <w:rsid w:val="00AA1216"/>
    <w:rsid w:val="00AA2BE7"/>
    <w:rsid w:val="00AA4D00"/>
    <w:rsid w:val="00AA515B"/>
    <w:rsid w:val="00AA582D"/>
    <w:rsid w:val="00AA5997"/>
    <w:rsid w:val="00AA5A61"/>
    <w:rsid w:val="00AA64C3"/>
    <w:rsid w:val="00AB0258"/>
    <w:rsid w:val="00AB0A7B"/>
    <w:rsid w:val="00AB3C80"/>
    <w:rsid w:val="00AB3DE5"/>
    <w:rsid w:val="00AB5335"/>
    <w:rsid w:val="00AB7302"/>
    <w:rsid w:val="00AC0A9C"/>
    <w:rsid w:val="00AC0AF6"/>
    <w:rsid w:val="00AC0F3B"/>
    <w:rsid w:val="00AC3DA0"/>
    <w:rsid w:val="00AC4269"/>
    <w:rsid w:val="00AC5DCB"/>
    <w:rsid w:val="00AC648B"/>
    <w:rsid w:val="00AC6A2A"/>
    <w:rsid w:val="00AC6AA6"/>
    <w:rsid w:val="00AD17BB"/>
    <w:rsid w:val="00AD2391"/>
    <w:rsid w:val="00AD3A6F"/>
    <w:rsid w:val="00AD52F3"/>
    <w:rsid w:val="00AE05B8"/>
    <w:rsid w:val="00AE0640"/>
    <w:rsid w:val="00AE10CD"/>
    <w:rsid w:val="00AE1B02"/>
    <w:rsid w:val="00AE2207"/>
    <w:rsid w:val="00AE30F3"/>
    <w:rsid w:val="00AE567E"/>
    <w:rsid w:val="00AE6387"/>
    <w:rsid w:val="00AE6430"/>
    <w:rsid w:val="00AE6EA9"/>
    <w:rsid w:val="00AF3F04"/>
    <w:rsid w:val="00AF6503"/>
    <w:rsid w:val="00AF6AD4"/>
    <w:rsid w:val="00B00AB3"/>
    <w:rsid w:val="00B00F6E"/>
    <w:rsid w:val="00B030B3"/>
    <w:rsid w:val="00B037CB"/>
    <w:rsid w:val="00B04026"/>
    <w:rsid w:val="00B04AC4"/>
    <w:rsid w:val="00B062EB"/>
    <w:rsid w:val="00B11286"/>
    <w:rsid w:val="00B112AA"/>
    <w:rsid w:val="00B11983"/>
    <w:rsid w:val="00B11D50"/>
    <w:rsid w:val="00B14481"/>
    <w:rsid w:val="00B144F1"/>
    <w:rsid w:val="00B1459C"/>
    <w:rsid w:val="00B1543B"/>
    <w:rsid w:val="00B15934"/>
    <w:rsid w:val="00B159E0"/>
    <w:rsid w:val="00B168B6"/>
    <w:rsid w:val="00B1724A"/>
    <w:rsid w:val="00B203D1"/>
    <w:rsid w:val="00B21143"/>
    <w:rsid w:val="00B212F4"/>
    <w:rsid w:val="00B21547"/>
    <w:rsid w:val="00B225EC"/>
    <w:rsid w:val="00B22B29"/>
    <w:rsid w:val="00B239BA"/>
    <w:rsid w:val="00B24261"/>
    <w:rsid w:val="00B27817"/>
    <w:rsid w:val="00B30672"/>
    <w:rsid w:val="00B31ADA"/>
    <w:rsid w:val="00B32EF4"/>
    <w:rsid w:val="00B32FD2"/>
    <w:rsid w:val="00B356AC"/>
    <w:rsid w:val="00B35DAE"/>
    <w:rsid w:val="00B36345"/>
    <w:rsid w:val="00B36D86"/>
    <w:rsid w:val="00B37438"/>
    <w:rsid w:val="00B378D7"/>
    <w:rsid w:val="00B40E28"/>
    <w:rsid w:val="00B41624"/>
    <w:rsid w:val="00B41FE0"/>
    <w:rsid w:val="00B43F8A"/>
    <w:rsid w:val="00B440BC"/>
    <w:rsid w:val="00B44349"/>
    <w:rsid w:val="00B44E81"/>
    <w:rsid w:val="00B450D8"/>
    <w:rsid w:val="00B46076"/>
    <w:rsid w:val="00B46B32"/>
    <w:rsid w:val="00B4724B"/>
    <w:rsid w:val="00B50237"/>
    <w:rsid w:val="00B51233"/>
    <w:rsid w:val="00B51D18"/>
    <w:rsid w:val="00B54CCF"/>
    <w:rsid w:val="00B5605F"/>
    <w:rsid w:val="00B5741B"/>
    <w:rsid w:val="00B576E3"/>
    <w:rsid w:val="00B57C21"/>
    <w:rsid w:val="00B63F25"/>
    <w:rsid w:val="00B66AE9"/>
    <w:rsid w:val="00B66CCF"/>
    <w:rsid w:val="00B67B4E"/>
    <w:rsid w:val="00B67BD4"/>
    <w:rsid w:val="00B70E27"/>
    <w:rsid w:val="00B715B2"/>
    <w:rsid w:val="00B71AC6"/>
    <w:rsid w:val="00B73113"/>
    <w:rsid w:val="00B745AF"/>
    <w:rsid w:val="00B74FD3"/>
    <w:rsid w:val="00B75F7F"/>
    <w:rsid w:val="00B768A1"/>
    <w:rsid w:val="00B7723A"/>
    <w:rsid w:val="00B772F7"/>
    <w:rsid w:val="00B7751D"/>
    <w:rsid w:val="00B82250"/>
    <w:rsid w:val="00B824EF"/>
    <w:rsid w:val="00B8395D"/>
    <w:rsid w:val="00B83B48"/>
    <w:rsid w:val="00B84340"/>
    <w:rsid w:val="00B86537"/>
    <w:rsid w:val="00B87016"/>
    <w:rsid w:val="00B905BA"/>
    <w:rsid w:val="00B948AA"/>
    <w:rsid w:val="00B96635"/>
    <w:rsid w:val="00BA057C"/>
    <w:rsid w:val="00BA078D"/>
    <w:rsid w:val="00BA139F"/>
    <w:rsid w:val="00BA2E9E"/>
    <w:rsid w:val="00BA3793"/>
    <w:rsid w:val="00BA3B88"/>
    <w:rsid w:val="00BA47E0"/>
    <w:rsid w:val="00BA515B"/>
    <w:rsid w:val="00BA5AE0"/>
    <w:rsid w:val="00BA7BA6"/>
    <w:rsid w:val="00BB0835"/>
    <w:rsid w:val="00BB229C"/>
    <w:rsid w:val="00BB6C39"/>
    <w:rsid w:val="00BB7DDB"/>
    <w:rsid w:val="00BC07AA"/>
    <w:rsid w:val="00BC1488"/>
    <w:rsid w:val="00BC2FEF"/>
    <w:rsid w:val="00BC4028"/>
    <w:rsid w:val="00BC6407"/>
    <w:rsid w:val="00BC75E3"/>
    <w:rsid w:val="00BD1560"/>
    <w:rsid w:val="00BD16CB"/>
    <w:rsid w:val="00BD36F1"/>
    <w:rsid w:val="00BD3B1A"/>
    <w:rsid w:val="00BD3CAD"/>
    <w:rsid w:val="00BD755E"/>
    <w:rsid w:val="00BE0BCB"/>
    <w:rsid w:val="00BE1F92"/>
    <w:rsid w:val="00BE2A1D"/>
    <w:rsid w:val="00BE2C91"/>
    <w:rsid w:val="00BE2F82"/>
    <w:rsid w:val="00BE34CD"/>
    <w:rsid w:val="00BE3A68"/>
    <w:rsid w:val="00BE3D7F"/>
    <w:rsid w:val="00BE6614"/>
    <w:rsid w:val="00BF00D2"/>
    <w:rsid w:val="00BF05CF"/>
    <w:rsid w:val="00BF0B0B"/>
    <w:rsid w:val="00BF1A8D"/>
    <w:rsid w:val="00BF3A83"/>
    <w:rsid w:val="00BF66C7"/>
    <w:rsid w:val="00C006ED"/>
    <w:rsid w:val="00C01316"/>
    <w:rsid w:val="00C015EB"/>
    <w:rsid w:val="00C0339D"/>
    <w:rsid w:val="00C03922"/>
    <w:rsid w:val="00C03BA1"/>
    <w:rsid w:val="00C0587A"/>
    <w:rsid w:val="00C05EC6"/>
    <w:rsid w:val="00C06C2D"/>
    <w:rsid w:val="00C06E7B"/>
    <w:rsid w:val="00C06F66"/>
    <w:rsid w:val="00C07240"/>
    <w:rsid w:val="00C10266"/>
    <w:rsid w:val="00C10D6B"/>
    <w:rsid w:val="00C158A8"/>
    <w:rsid w:val="00C21B92"/>
    <w:rsid w:val="00C225D7"/>
    <w:rsid w:val="00C23F99"/>
    <w:rsid w:val="00C26054"/>
    <w:rsid w:val="00C26D4B"/>
    <w:rsid w:val="00C302BC"/>
    <w:rsid w:val="00C31A3A"/>
    <w:rsid w:val="00C31C36"/>
    <w:rsid w:val="00C346E2"/>
    <w:rsid w:val="00C34F45"/>
    <w:rsid w:val="00C360DB"/>
    <w:rsid w:val="00C36353"/>
    <w:rsid w:val="00C40363"/>
    <w:rsid w:val="00C40382"/>
    <w:rsid w:val="00C40EC4"/>
    <w:rsid w:val="00C419C3"/>
    <w:rsid w:val="00C4313B"/>
    <w:rsid w:val="00C43BF2"/>
    <w:rsid w:val="00C45262"/>
    <w:rsid w:val="00C45481"/>
    <w:rsid w:val="00C45AE3"/>
    <w:rsid w:val="00C4751F"/>
    <w:rsid w:val="00C52A45"/>
    <w:rsid w:val="00C53411"/>
    <w:rsid w:val="00C534C0"/>
    <w:rsid w:val="00C53B80"/>
    <w:rsid w:val="00C545FA"/>
    <w:rsid w:val="00C550AE"/>
    <w:rsid w:val="00C56134"/>
    <w:rsid w:val="00C57D41"/>
    <w:rsid w:val="00C61DF9"/>
    <w:rsid w:val="00C62787"/>
    <w:rsid w:val="00C62C60"/>
    <w:rsid w:val="00C65333"/>
    <w:rsid w:val="00C65584"/>
    <w:rsid w:val="00C70FFB"/>
    <w:rsid w:val="00C716FD"/>
    <w:rsid w:val="00C747FE"/>
    <w:rsid w:val="00C776B7"/>
    <w:rsid w:val="00C80665"/>
    <w:rsid w:val="00C81039"/>
    <w:rsid w:val="00C826A5"/>
    <w:rsid w:val="00C83165"/>
    <w:rsid w:val="00C8410B"/>
    <w:rsid w:val="00C846F6"/>
    <w:rsid w:val="00C84AA6"/>
    <w:rsid w:val="00C863B4"/>
    <w:rsid w:val="00C86986"/>
    <w:rsid w:val="00C87461"/>
    <w:rsid w:val="00C87F83"/>
    <w:rsid w:val="00C922E6"/>
    <w:rsid w:val="00C9315F"/>
    <w:rsid w:val="00C945F5"/>
    <w:rsid w:val="00C94BCA"/>
    <w:rsid w:val="00C94F00"/>
    <w:rsid w:val="00C96D58"/>
    <w:rsid w:val="00C97203"/>
    <w:rsid w:val="00C97AC3"/>
    <w:rsid w:val="00CA03C2"/>
    <w:rsid w:val="00CA09DA"/>
    <w:rsid w:val="00CA20A1"/>
    <w:rsid w:val="00CA437B"/>
    <w:rsid w:val="00CA49F9"/>
    <w:rsid w:val="00CA5FE7"/>
    <w:rsid w:val="00CA61AA"/>
    <w:rsid w:val="00CA6EA7"/>
    <w:rsid w:val="00CA78D6"/>
    <w:rsid w:val="00CB2515"/>
    <w:rsid w:val="00CB2C3F"/>
    <w:rsid w:val="00CB46CD"/>
    <w:rsid w:val="00CB5110"/>
    <w:rsid w:val="00CB57A4"/>
    <w:rsid w:val="00CB5FB2"/>
    <w:rsid w:val="00CB6459"/>
    <w:rsid w:val="00CB76CC"/>
    <w:rsid w:val="00CC0392"/>
    <w:rsid w:val="00CC190C"/>
    <w:rsid w:val="00CC1C37"/>
    <w:rsid w:val="00CC22C3"/>
    <w:rsid w:val="00CC2C3F"/>
    <w:rsid w:val="00CC306C"/>
    <w:rsid w:val="00CC477E"/>
    <w:rsid w:val="00CC4F7D"/>
    <w:rsid w:val="00CC5EDC"/>
    <w:rsid w:val="00CC69EE"/>
    <w:rsid w:val="00CC7072"/>
    <w:rsid w:val="00CC7BAA"/>
    <w:rsid w:val="00CD080B"/>
    <w:rsid w:val="00CD2004"/>
    <w:rsid w:val="00CD2D7E"/>
    <w:rsid w:val="00CD3BF9"/>
    <w:rsid w:val="00CD3EDF"/>
    <w:rsid w:val="00CD429B"/>
    <w:rsid w:val="00CD7C6C"/>
    <w:rsid w:val="00CE1975"/>
    <w:rsid w:val="00CE1C21"/>
    <w:rsid w:val="00CE4FAE"/>
    <w:rsid w:val="00CE595D"/>
    <w:rsid w:val="00CE5CD6"/>
    <w:rsid w:val="00CE5EFC"/>
    <w:rsid w:val="00CE741D"/>
    <w:rsid w:val="00CE7ABF"/>
    <w:rsid w:val="00CF0045"/>
    <w:rsid w:val="00CF0936"/>
    <w:rsid w:val="00CF104E"/>
    <w:rsid w:val="00CF233D"/>
    <w:rsid w:val="00CF3DA5"/>
    <w:rsid w:val="00CF402B"/>
    <w:rsid w:val="00CF7070"/>
    <w:rsid w:val="00CF7633"/>
    <w:rsid w:val="00D0006F"/>
    <w:rsid w:val="00D00527"/>
    <w:rsid w:val="00D00C0F"/>
    <w:rsid w:val="00D0300D"/>
    <w:rsid w:val="00D042C4"/>
    <w:rsid w:val="00D043B7"/>
    <w:rsid w:val="00D046CD"/>
    <w:rsid w:val="00D04B2B"/>
    <w:rsid w:val="00D04CC3"/>
    <w:rsid w:val="00D05F43"/>
    <w:rsid w:val="00D07CAA"/>
    <w:rsid w:val="00D107DC"/>
    <w:rsid w:val="00D14673"/>
    <w:rsid w:val="00D150CC"/>
    <w:rsid w:val="00D152CC"/>
    <w:rsid w:val="00D16468"/>
    <w:rsid w:val="00D20C97"/>
    <w:rsid w:val="00D21830"/>
    <w:rsid w:val="00D221A5"/>
    <w:rsid w:val="00D2457E"/>
    <w:rsid w:val="00D247FC"/>
    <w:rsid w:val="00D2548F"/>
    <w:rsid w:val="00D27500"/>
    <w:rsid w:val="00D276D7"/>
    <w:rsid w:val="00D27E9E"/>
    <w:rsid w:val="00D27F3B"/>
    <w:rsid w:val="00D309A5"/>
    <w:rsid w:val="00D31A33"/>
    <w:rsid w:val="00D326F8"/>
    <w:rsid w:val="00D32C39"/>
    <w:rsid w:val="00D332F5"/>
    <w:rsid w:val="00D358BB"/>
    <w:rsid w:val="00D36091"/>
    <w:rsid w:val="00D377A0"/>
    <w:rsid w:val="00D37892"/>
    <w:rsid w:val="00D40828"/>
    <w:rsid w:val="00D41D4A"/>
    <w:rsid w:val="00D41FD6"/>
    <w:rsid w:val="00D4205B"/>
    <w:rsid w:val="00D44B3A"/>
    <w:rsid w:val="00D455B1"/>
    <w:rsid w:val="00D4626F"/>
    <w:rsid w:val="00D46D01"/>
    <w:rsid w:val="00D4729F"/>
    <w:rsid w:val="00D47891"/>
    <w:rsid w:val="00D47ACE"/>
    <w:rsid w:val="00D53CEE"/>
    <w:rsid w:val="00D54D59"/>
    <w:rsid w:val="00D55AB8"/>
    <w:rsid w:val="00D56378"/>
    <w:rsid w:val="00D60808"/>
    <w:rsid w:val="00D6090D"/>
    <w:rsid w:val="00D60C92"/>
    <w:rsid w:val="00D61048"/>
    <w:rsid w:val="00D6110F"/>
    <w:rsid w:val="00D62816"/>
    <w:rsid w:val="00D639D1"/>
    <w:rsid w:val="00D652C2"/>
    <w:rsid w:val="00D65461"/>
    <w:rsid w:val="00D6563A"/>
    <w:rsid w:val="00D66871"/>
    <w:rsid w:val="00D66D1A"/>
    <w:rsid w:val="00D66DDF"/>
    <w:rsid w:val="00D6726A"/>
    <w:rsid w:val="00D67DCA"/>
    <w:rsid w:val="00D718C0"/>
    <w:rsid w:val="00D72047"/>
    <w:rsid w:val="00D73726"/>
    <w:rsid w:val="00D7408F"/>
    <w:rsid w:val="00D742DC"/>
    <w:rsid w:val="00D750AA"/>
    <w:rsid w:val="00D77134"/>
    <w:rsid w:val="00D779ED"/>
    <w:rsid w:val="00D81F13"/>
    <w:rsid w:val="00D82143"/>
    <w:rsid w:val="00D824C2"/>
    <w:rsid w:val="00D844AA"/>
    <w:rsid w:val="00D863EB"/>
    <w:rsid w:val="00D868A1"/>
    <w:rsid w:val="00D86BD9"/>
    <w:rsid w:val="00D87268"/>
    <w:rsid w:val="00D87CFD"/>
    <w:rsid w:val="00D9069A"/>
    <w:rsid w:val="00D908A8"/>
    <w:rsid w:val="00D91683"/>
    <w:rsid w:val="00D91758"/>
    <w:rsid w:val="00D93F6E"/>
    <w:rsid w:val="00D95B89"/>
    <w:rsid w:val="00D96A08"/>
    <w:rsid w:val="00D96B66"/>
    <w:rsid w:val="00D97034"/>
    <w:rsid w:val="00D973E6"/>
    <w:rsid w:val="00DA02D0"/>
    <w:rsid w:val="00DA063E"/>
    <w:rsid w:val="00DA1517"/>
    <w:rsid w:val="00DA21AD"/>
    <w:rsid w:val="00DA5F04"/>
    <w:rsid w:val="00DA63EB"/>
    <w:rsid w:val="00DA72F9"/>
    <w:rsid w:val="00DA779B"/>
    <w:rsid w:val="00DA7C6F"/>
    <w:rsid w:val="00DB07EC"/>
    <w:rsid w:val="00DB0B2B"/>
    <w:rsid w:val="00DB2606"/>
    <w:rsid w:val="00DB2BF6"/>
    <w:rsid w:val="00DB30D4"/>
    <w:rsid w:val="00DB5267"/>
    <w:rsid w:val="00DC050F"/>
    <w:rsid w:val="00DC06A5"/>
    <w:rsid w:val="00DC097F"/>
    <w:rsid w:val="00DC0C7D"/>
    <w:rsid w:val="00DC1228"/>
    <w:rsid w:val="00DC4269"/>
    <w:rsid w:val="00DC45B5"/>
    <w:rsid w:val="00DC4BC6"/>
    <w:rsid w:val="00DC6EF0"/>
    <w:rsid w:val="00DC7B89"/>
    <w:rsid w:val="00DD33C0"/>
    <w:rsid w:val="00DD420A"/>
    <w:rsid w:val="00DD48B1"/>
    <w:rsid w:val="00DD57E2"/>
    <w:rsid w:val="00DD59E3"/>
    <w:rsid w:val="00DD5FEE"/>
    <w:rsid w:val="00DD7810"/>
    <w:rsid w:val="00DD7D9A"/>
    <w:rsid w:val="00DE2042"/>
    <w:rsid w:val="00DE25B6"/>
    <w:rsid w:val="00DE32B4"/>
    <w:rsid w:val="00DE34EF"/>
    <w:rsid w:val="00DE370F"/>
    <w:rsid w:val="00DE3881"/>
    <w:rsid w:val="00DE40A4"/>
    <w:rsid w:val="00DE550E"/>
    <w:rsid w:val="00DE5C51"/>
    <w:rsid w:val="00DE7130"/>
    <w:rsid w:val="00DF02A4"/>
    <w:rsid w:val="00DF1BDC"/>
    <w:rsid w:val="00DF1E83"/>
    <w:rsid w:val="00DF1EE9"/>
    <w:rsid w:val="00DF39F0"/>
    <w:rsid w:val="00DF4A84"/>
    <w:rsid w:val="00DF5A00"/>
    <w:rsid w:val="00DF5C1F"/>
    <w:rsid w:val="00DF5FCF"/>
    <w:rsid w:val="00DF6811"/>
    <w:rsid w:val="00DF79D0"/>
    <w:rsid w:val="00E00A56"/>
    <w:rsid w:val="00E0175A"/>
    <w:rsid w:val="00E032CF"/>
    <w:rsid w:val="00E04ECA"/>
    <w:rsid w:val="00E05BF0"/>
    <w:rsid w:val="00E060AF"/>
    <w:rsid w:val="00E06B1B"/>
    <w:rsid w:val="00E06F3B"/>
    <w:rsid w:val="00E072A8"/>
    <w:rsid w:val="00E102D5"/>
    <w:rsid w:val="00E12471"/>
    <w:rsid w:val="00E124F3"/>
    <w:rsid w:val="00E12602"/>
    <w:rsid w:val="00E12A4F"/>
    <w:rsid w:val="00E15747"/>
    <w:rsid w:val="00E1665D"/>
    <w:rsid w:val="00E20489"/>
    <w:rsid w:val="00E206C7"/>
    <w:rsid w:val="00E20807"/>
    <w:rsid w:val="00E20E8F"/>
    <w:rsid w:val="00E218C9"/>
    <w:rsid w:val="00E2283D"/>
    <w:rsid w:val="00E2391A"/>
    <w:rsid w:val="00E24727"/>
    <w:rsid w:val="00E24912"/>
    <w:rsid w:val="00E27123"/>
    <w:rsid w:val="00E27EE9"/>
    <w:rsid w:val="00E31443"/>
    <w:rsid w:val="00E324E7"/>
    <w:rsid w:val="00E3381B"/>
    <w:rsid w:val="00E34663"/>
    <w:rsid w:val="00E3495E"/>
    <w:rsid w:val="00E35BD3"/>
    <w:rsid w:val="00E37BFF"/>
    <w:rsid w:val="00E4113C"/>
    <w:rsid w:val="00E41CE8"/>
    <w:rsid w:val="00E43629"/>
    <w:rsid w:val="00E436DD"/>
    <w:rsid w:val="00E50C97"/>
    <w:rsid w:val="00E5167A"/>
    <w:rsid w:val="00E51731"/>
    <w:rsid w:val="00E51D3E"/>
    <w:rsid w:val="00E52494"/>
    <w:rsid w:val="00E52866"/>
    <w:rsid w:val="00E52F9D"/>
    <w:rsid w:val="00E54053"/>
    <w:rsid w:val="00E554C5"/>
    <w:rsid w:val="00E55F27"/>
    <w:rsid w:val="00E5644C"/>
    <w:rsid w:val="00E6005A"/>
    <w:rsid w:val="00E61810"/>
    <w:rsid w:val="00E62ED0"/>
    <w:rsid w:val="00E63400"/>
    <w:rsid w:val="00E63993"/>
    <w:rsid w:val="00E67600"/>
    <w:rsid w:val="00E67659"/>
    <w:rsid w:val="00E67E4D"/>
    <w:rsid w:val="00E70F68"/>
    <w:rsid w:val="00E71ACC"/>
    <w:rsid w:val="00E73DE5"/>
    <w:rsid w:val="00E76179"/>
    <w:rsid w:val="00E76E2F"/>
    <w:rsid w:val="00E76F50"/>
    <w:rsid w:val="00E800CB"/>
    <w:rsid w:val="00E83176"/>
    <w:rsid w:val="00E833FE"/>
    <w:rsid w:val="00E860A2"/>
    <w:rsid w:val="00E878A0"/>
    <w:rsid w:val="00E9184E"/>
    <w:rsid w:val="00E924CD"/>
    <w:rsid w:val="00E97F50"/>
    <w:rsid w:val="00EA033C"/>
    <w:rsid w:val="00EA37EA"/>
    <w:rsid w:val="00EA3C76"/>
    <w:rsid w:val="00EA45D2"/>
    <w:rsid w:val="00EA482B"/>
    <w:rsid w:val="00EA564B"/>
    <w:rsid w:val="00EA6C5A"/>
    <w:rsid w:val="00EB0126"/>
    <w:rsid w:val="00EB0A00"/>
    <w:rsid w:val="00EB15D2"/>
    <w:rsid w:val="00EB393C"/>
    <w:rsid w:val="00EB44D6"/>
    <w:rsid w:val="00EB48AC"/>
    <w:rsid w:val="00EB4A8D"/>
    <w:rsid w:val="00EB6132"/>
    <w:rsid w:val="00EB6E8B"/>
    <w:rsid w:val="00EC006C"/>
    <w:rsid w:val="00EC0886"/>
    <w:rsid w:val="00EC08CE"/>
    <w:rsid w:val="00EC126F"/>
    <w:rsid w:val="00EC1FA4"/>
    <w:rsid w:val="00EC4CC3"/>
    <w:rsid w:val="00EC6A5F"/>
    <w:rsid w:val="00ED03AB"/>
    <w:rsid w:val="00ED0709"/>
    <w:rsid w:val="00ED0A51"/>
    <w:rsid w:val="00ED26AB"/>
    <w:rsid w:val="00ED4BAB"/>
    <w:rsid w:val="00ED4CCD"/>
    <w:rsid w:val="00ED50B2"/>
    <w:rsid w:val="00ED59DB"/>
    <w:rsid w:val="00ED7000"/>
    <w:rsid w:val="00EE01FF"/>
    <w:rsid w:val="00EE021E"/>
    <w:rsid w:val="00EE0685"/>
    <w:rsid w:val="00EE0C11"/>
    <w:rsid w:val="00EE1803"/>
    <w:rsid w:val="00EE254E"/>
    <w:rsid w:val="00EE26D3"/>
    <w:rsid w:val="00EE2785"/>
    <w:rsid w:val="00EE2DE4"/>
    <w:rsid w:val="00EE54E7"/>
    <w:rsid w:val="00EE7CF0"/>
    <w:rsid w:val="00EF4447"/>
    <w:rsid w:val="00EF525D"/>
    <w:rsid w:val="00EF5ABB"/>
    <w:rsid w:val="00EF6A80"/>
    <w:rsid w:val="00EF7C89"/>
    <w:rsid w:val="00F03325"/>
    <w:rsid w:val="00F037BB"/>
    <w:rsid w:val="00F0657B"/>
    <w:rsid w:val="00F068BA"/>
    <w:rsid w:val="00F07835"/>
    <w:rsid w:val="00F100AB"/>
    <w:rsid w:val="00F1153F"/>
    <w:rsid w:val="00F115D4"/>
    <w:rsid w:val="00F151FE"/>
    <w:rsid w:val="00F1556D"/>
    <w:rsid w:val="00F15D79"/>
    <w:rsid w:val="00F1678D"/>
    <w:rsid w:val="00F16A39"/>
    <w:rsid w:val="00F16E7C"/>
    <w:rsid w:val="00F20767"/>
    <w:rsid w:val="00F211A2"/>
    <w:rsid w:val="00F21640"/>
    <w:rsid w:val="00F21BBC"/>
    <w:rsid w:val="00F21E26"/>
    <w:rsid w:val="00F2297C"/>
    <w:rsid w:val="00F23774"/>
    <w:rsid w:val="00F25689"/>
    <w:rsid w:val="00F3062E"/>
    <w:rsid w:val="00F31D45"/>
    <w:rsid w:val="00F327CF"/>
    <w:rsid w:val="00F3394C"/>
    <w:rsid w:val="00F33EAB"/>
    <w:rsid w:val="00F344DE"/>
    <w:rsid w:val="00F35135"/>
    <w:rsid w:val="00F35DFB"/>
    <w:rsid w:val="00F363C5"/>
    <w:rsid w:val="00F377ED"/>
    <w:rsid w:val="00F37CF5"/>
    <w:rsid w:val="00F400DF"/>
    <w:rsid w:val="00F4193A"/>
    <w:rsid w:val="00F42E2F"/>
    <w:rsid w:val="00F43907"/>
    <w:rsid w:val="00F4462A"/>
    <w:rsid w:val="00F45124"/>
    <w:rsid w:val="00F473F0"/>
    <w:rsid w:val="00F50606"/>
    <w:rsid w:val="00F52070"/>
    <w:rsid w:val="00F5341C"/>
    <w:rsid w:val="00F54FC3"/>
    <w:rsid w:val="00F55C1F"/>
    <w:rsid w:val="00F57B9F"/>
    <w:rsid w:val="00F60031"/>
    <w:rsid w:val="00F625F5"/>
    <w:rsid w:val="00F63AA3"/>
    <w:rsid w:val="00F67554"/>
    <w:rsid w:val="00F74093"/>
    <w:rsid w:val="00F754EF"/>
    <w:rsid w:val="00F75AF2"/>
    <w:rsid w:val="00F77328"/>
    <w:rsid w:val="00F80D34"/>
    <w:rsid w:val="00F8111E"/>
    <w:rsid w:val="00F82191"/>
    <w:rsid w:val="00F827BC"/>
    <w:rsid w:val="00F85716"/>
    <w:rsid w:val="00F86A0B"/>
    <w:rsid w:val="00F86D14"/>
    <w:rsid w:val="00F90C74"/>
    <w:rsid w:val="00F91EC2"/>
    <w:rsid w:val="00F9272F"/>
    <w:rsid w:val="00F932C3"/>
    <w:rsid w:val="00F9356F"/>
    <w:rsid w:val="00FA0A90"/>
    <w:rsid w:val="00FA0F23"/>
    <w:rsid w:val="00FA16BC"/>
    <w:rsid w:val="00FA2C38"/>
    <w:rsid w:val="00FA5506"/>
    <w:rsid w:val="00FB0ADC"/>
    <w:rsid w:val="00FB1115"/>
    <w:rsid w:val="00FB1600"/>
    <w:rsid w:val="00FB220D"/>
    <w:rsid w:val="00FB2640"/>
    <w:rsid w:val="00FB3B24"/>
    <w:rsid w:val="00FB3C44"/>
    <w:rsid w:val="00FB4A72"/>
    <w:rsid w:val="00FB4C1B"/>
    <w:rsid w:val="00FB4FE0"/>
    <w:rsid w:val="00FB5BA5"/>
    <w:rsid w:val="00FB65B4"/>
    <w:rsid w:val="00FB70E5"/>
    <w:rsid w:val="00FB749C"/>
    <w:rsid w:val="00FB76D8"/>
    <w:rsid w:val="00FB793A"/>
    <w:rsid w:val="00FB7FFC"/>
    <w:rsid w:val="00FC1174"/>
    <w:rsid w:val="00FC2F24"/>
    <w:rsid w:val="00FC2F51"/>
    <w:rsid w:val="00FC455F"/>
    <w:rsid w:val="00FC53C5"/>
    <w:rsid w:val="00FC58AC"/>
    <w:rsid w:val="00FC715E"/>
    <w:rsid w:val="00FC7559"/>
    <w:rsid w:val="00FC7891"/>
    <w:rsid w:val="00FC7A01"/>
    <w:rsid w:val="00FC7BB5"/>
    <w:rsid w:val="00FD14B6"/>
    <w:rsid w:val="00FD1F22"/>
    <w:rsid w:val="00FD20BC"/>
    <w:rsid w:val="00FD262D"/>
    <w:rsid w:val="00FD2D8D"/>
    <w:rsid w:val="00FD40BF"/>
    <w:rsid w:val="00FD42D5"/>
    <w:rsid w:val="00FD4483"/>
    <w:rsid w:val="00FD44F2"/>
    <w:rsid w:val="00FD65BB"/>
    <w:rsid w:val="00FD6D18"/>
    <w:rsid w:val="00FD6E6D"/>
    <w:rsid w:val="00FD7CC8"/>
    <w:rsid w:val="00FE0733"/>
    <w:rsid w:val="00FE0B12"/>
    <w:rsid w:val="00FE1A73"/>
    <w:rsid w:val="00FE48D9"/>
    <w:rsid w:val="00FE681A"/>
    <w:rsid w:val="00FF13E8"/>
    <w:rsid w:val="00FF1656"/>
    <w:rsid w:val="00FF25D4"/>
    <w:rsid w:val="00FF4D13"/>
    <w:rsid w:val="00FF6A3D"/>
  </w:rsids>
  <w:docVars>
    <w:docVar w:name="Disclosure_Version" w:val="true"/>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C46F38A4-75B5-43ED-9625-2E88553BE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7CB"/>
    <w:pPr>
      <w:widowControl w:val="0"/>
      <w:jc w:val="both"/>
    </w:pPr>
  </w:style>
  <w:style w:type="paragraph" w:styleId="Heading1">
    <w:name w:val="heading 1"/>
    <w:basedOn w:val="Normal"/>
    <w:next w:val="Normal"/>
    <w:link w:val="1Char"/>
    <w:uiPriority w:val="9"/>
    <w:qFormat/>
    <w:rsid w:val="0006758E"/>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7753"/>
    <w:pPr>
      <w:ind w:firstLine="420" w:firstLineChars="200"/>
    </w:pPr>
  </w:style>
  <w:style w:type="table" w:styleId="TableGrid">
    <w:name w:val="Table Grid"/>
    <w:basedOn w:val="TableNormal"/>
    <w:uiPriority w:val="59"/>
    <w:rsid w:val="00815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Char"/>
    <w:uiPriority w:val="99"/>
    <w:unhideWhenUsed/>
    <w:rsid w:val="0092395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92395F"/>
    <w:rPr>
      <w:sz w:val="18"/>
      <w:szCs w:val="18"/>
    </w:rPr>
  </w:style>
  <w:style w:type="paragraph" w:styleId="Footer">
    <w:name w:val="footer"/>
    <w:basedOn w:val="Normal"/>
    <w:link w:val="Char0"/>
    <w:uiPriority w:val="99"/>
    <w:unhideWhenUsed/>
    <w:rsid w:val="0092395F"/>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92395F"/>
    <w:rPr>
      <w:sz w:val="18"/>
      <w:szCs w:val="18"/>
    </w:rPr>
  </w:style>
  <w:style w:type="paragraph" w:styleId="BalloonText">
    <w:name w:val="Balloon Text"/>
    <w:basedOn w:val="Normal"/>
    <w:link w:val="Char1"/>
    <w:uiPriority w:val="99"/>
    <w:semiHidden/>
    <w:unhideWhenUsed/>
    <w:rsid w:val="000676AA"/>
    <w:rPr>
      <w:sz w:val="18"/>
      <w:szCs w:val="18"/>
    </w:rPr>
  </w:style>
  <w:style w:type="character" w:customStyle="1" w:styleId="Char1">
    <w:name w:val="批注框文本 Char"/>
    <w:basedOn w:val="DefaultParagraphFont"/>
    <w:link w:val="BalloonText"/>
    <w:uiPriority w:val="99"/>
    <w:semiHidden/>
    <w:rsid w:val="000676AA"/>
    <w:rPr>
      <w:sz w:val="18"/>
      <w:szCs w:val="18"/>
    </w:rPr>
  </w:style>
  <w:style w:type="character" w:styleId="PlaceholderText">
    <w:name w:val="Placeholder Text"/>
    <w:basedOn w:val="DefaultParagraphFont"/>
    <w:uiPriority w:val="99"/>
    <w:semiHidden/>
    <w:rsid w:val="008B7E39"/>
    <w:rPr>
      <w:color w:val="808080"/>
    </w:rPr>
  </w:style>
  <w:style w:type="character" w:styleId="FootnoteReference">
    <w:name w:val="footnote reference"/>
    <w:unhideWhenUsed/>
    <w:qFormat/>
    <w:rsid w:val="00CC22C3"/>
    <w:rPr>
      <w:rFonts w:ascii="Times New Roman" w:eastAsia="宋体" w:hAnsi="Times New Roman" w:cs="Times New Roman"/>
      <w:vertAlign w:val="superscript"/>
    </w:rPr>
  </w:style>
  <w:style w:type="paragraph" w:styleId="FootnoteText">
    <w:name w:val="footnote text"/>
    <w:basedOn w:val="Normal"/>
    <w:link w:val="Char2"/>
    <w:unhideWhenUsed/>
    <w:qFormat/>
    <w:rsid w:val="00CC22C3"/>
    <w:pPr>
      <w:snapToGrid w:val="0"/>
      <w:jc w:val="left"/>
    </w:pPr>
    <w:rPr>
      <w:rFonts w:ascii="Calibri" w:eastAsia="宋体" w:hAnsi="Calibri" w:cs="Times New Roman"/>
      <w:sz w:val="18"/>
      <w:szCs w:val="24"/>
    </w:rPr>
  </w:style>
  <w:style w:type="character" w:customStyle="1" w:styleId="Char2">
    <w:name w:val="脚注文本 Char"/>
    <w:basedOn w:val="DefaultParagraphFont"/>
    <w:link w:val="FootnoteText"/>
    <w:qFormat/>
    <w:rsid w:val="00CC22C3"/>
    <w:rPr>
      <w:rFonts w:ascii="Calibri" w:eastAsia="宋体" w:hAnsi="Calibri" w:cs="Times New Roman"/>
      <w:sz w:val="18"/>
      <w:szCs w:val="24"/>
    </w:rPr>
  </w:style>
  <w:style w:type="character" w:customStyle="1" w:styleId="1Char">
    <w:name w:val="标题 1 Char"/>
    <w:basedOn w:val="DefaultParagraphFont"/>
    <w:link w:val="Heading1"/>
    <w:uiPriority w:val="9"/>
    <w:rsid w:val="0006758E"/>
    <w:rPr>
      <w:b/>
      <w:bCs/>
      <w:kern w:val="44"/>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 Id="rId9" Type="http://schemas.microsoft.com/office/2011/relationships/people" Target="people.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E299C-DC06-423A-8272-487F3807B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