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BFC98" w14:textId="6180E0A7" w:rsidR="00E853FD" w:rsidRDefault="00FE7D53">
      <w:pPr>
        <w:spacing w:line="360" w:lineRule="auto"/>
        <w:rPr>
          <w:rFonts w:ascii="宋体"/>
          <w:sz w:val="24"/>
          <w:szCs w:val="24"/>
        </w:rPr>
      </w:pPr>
      <w:r>
        <w:rPr>
          <w:rFonts w:ascii="宋体" w:hAnsi="宋体" w:hint="eastAsia"/>
          <w:sz w:val="24"/>
          <w:szCs w:val="24"/>
        </w:rPr>
        <w:t>合同编码</w:t>
      </w:r>
      <w:r>
        <w:rPr>
          <w:rFonts w:ascii="宋体" w:hAnsi="宋体"/>
          <w:sz w:val="24"/>
          <w:szCs w:val="24"/>
        </w:rPr>
        <w:t>:</w:t>
      </w:r>
      <w:r w:rsidR="00747931">
        <w:rPr>
          <w:rFonts w:ascii="宋体" w:hAnsi="宋体" w:hint="eastAsia"/>
          <w:sz w:val="24"/>
          <w:szCs w:val="24"/>
        </w:rPr>
        <w:t>光银托管总2026JJ0008</w:t>
      </w:r>
    </w:p>
    <w:p w14:paraId="21F62EC9" w14:textId="77777777" w:rsidR="00E853FD" w:rsidRDefault="00E853FD">
      <w:pPr>
        <w:spacing w:line="360" w:lineRule="auto"/>
        <w:jc w:val="center"/>
        <w:rPr>
          <w:rFonts w:ascii="宋体"/>
          <w:b/>
          <w:sz w:val="48"/>
          <w:szCs w:val="48"/>
        </w:rPr>
      </w:pPr>
    </w:p>
    <w:p w14:paraId="7C6D8725" w14:textId="77777777" w:rsidR="00E853FD" w:rsidRPr="004C6E69" w:rsidRDefault="00E853FD">
      <w:pPr>
        <w:spacing w:line="360" w:lineRule="auto"/>
        <w:jc w:val="center"/>
        <w:rPr>
          <w:rFonts w:ascii="宋体"/>
          <w:b/>
          <w:sz w:val="48"/>
          <w:szCs w:val="48"/>
        </w:rPr>
      </w:pPr>
    </w:p>
    <w:p w14:paraId="10E68424" w14:textId="77777777" w:rsidR="00E853FD" w:rsidRPr="004D460A" w:rsidRDefault="00E853FD">
      <w:pPr>
        <w:spacing w:line="360" w:lineRule="auto"/>
        <w:jc w:val="center"/>
        <w:rPr>
          <w:rFonts w:ascii="宋体"/>
          <w:b/>
          <w:sz w:val="48"/>
          <w:szCs w:val="48"/>
        </w:rPr>
      </w:pPr>
    </w:p>
    <w:p w14:paraId="7668098E" w14:textId="77777777" w:rsidR="00E853FD" w:rsidRDefault="00E853FD">
      <w:pPr>
        <w:spacing w:line="360" w:lineRule="auto"/>
        <w:jc w:val="center"/>
        <w:rPr>
          <w:rFonts w:ascii="宋体"/>
          <w:b/>
          <w:sz w:val="48"/>
          <w:szCs w:val="48"/>
        </w:rPr>
      </w:pPr>
    </w:p>
    <w:p w14:paraId="183C75C8" w14:textId="77777777" w:rsidR="00825DE2" w:rsidRDefault="00825DE2">
      <w:pPr>
        <w:spacing w:line="360" w:lineRule="auto"/>
        <w:jc w:val="center"/>
        <w:rPr>
          <w:rFonts w:ascii="宋体" w:hAnsi="宋体"/>
          <w:b/>
          <w:sz w:val="44"/>
          <w:szCs w:val="44"/>
        </w:rPr>
      </w:pPr>
      <w:r w:rsidRPr="00825DE2">
        <w:rPr>
          <w:rFonts w:ascii="宋体" w:hAnsi="宋体" w:hint="eastAsia"/>
          <w:b/>
          <w:sz w:val="44"/>
          <w:szCs w:val="44"/>
        </w:rPr>
        <w:t>广发中证全指指数增强型证券投资基金</w:t>
      </w:r>
    </w:p>
    <w:p w14:paraId="10437A6F" w14:textId="300222A5" w:rsidR="00E853FD" w:rsidRDefault="00FE7D53">
      <w:pPr>
        <w:spacing w:line="360" w:lineRule="auto"/>
        <w:jc w:val="center"/>
        <w:rPr>
          <w:rFonts w:ascii="宋体"/>
          <w:b/>
          <w:sz w:val="44"/>
          <w:szCs w:val="44"/>
        </w:rPr>
      </w:pPr>
      <w:r>
        <w:rPr>
          <w:rFonts w:ascii="宋体" w:hAnsi="宋体" w:hint="eastAsia"/>
          <w:b/>
          <w:sz w:val="44"/>
          <w:szCs w:val="44"/>
        </w:rPr>
        <w:t>托管协议</w:t>
      </w:r>
    </w:p>
    <w:p w14:paraId="07BCB2E5" w14:textId="77777777" w:rsidR="00E853FD" w:rsidRDefault="00E853FD">
      <w:pPr>
        <w:spacing w:line="360" w:lineRule="auto"/>
        <w:jc w:val="center"/>
        <w:rPr>
          <w:rFonts w:ascii="宋体"/>
          <w:b/>
          <w:sz w:val="48"/>
          <w:szCs w:val="48"/>
        </w:rPr>
      </w:pPr>
    </w:p>
    <w:p w14:paraId="6D27A200" w14:textId="77777777" w:rsidR="00E853FD" w:rsidRDefault="00E853FD">
      <w:pPr>
        <w:spacing w:line="360" w:lineRule="auto"/>
        <w:jc w:val="center"/>
        <w:rPr>
          <w:rFonts w:ascii="宋体"/>
          <w:b/>
          <w:sz w:val="48"/>
          <w:szCs w:val="48"/>
        </w:rPr>
      </w:pPr>
    </w:p>
    <w:p w14:paraId="247EDDA7" w14:textId="77777777" w:rsidR="00E853FD" w:rsidRDefault="00E853FD">
      <w:pPr>
        <w:spacing w:line="360" w:lineRule="auto"/>
        <w:jc w:val="center"/>
        <w:rPr>
          <w:rFonts w:ascii="宋体"/>
          <w:b/>
          <w:sz w:val="48"/>
          <w:szCs w:val="48"/>
        </w:rPr>
      </w:pPr>
    </w:p>
    <w:p w14:paraId="320A08B1" w14:textId="77777777" w:rsidR="00E853FD" w:rsidRDefault="00E853FD">
      <w:pPr>
        <w:spacing w:line="360" w:lineRule="auto"/>
        <w:jc w:val="center"/>
        <w:rPr>
          <w:rFonts w:ascii="宋体"/>
          <w:b/>
          <w:sz w:val="48"/>
          <w:szCs w:val="48"/>
        </w:rPr>
      </w:pPr>
    </w:p>
    <w:p w14:paraId="45FC2A8B" w14:textId="77777777" w:rsidR="00E853FD" w:rsidRDefault="00E853FD">
      <w:pPr>
        <w:spacing w:line="360" w:lineRule="auto"/>
        <w:jc w:val="center"/>
        <w:rPr>
          <w:rFonts w:ascii="宋体"/>
          <w:b/>
          <w:sz w:val="48"/>
          <w:szCs w:val="48"/>
        </w:rPr>
      </w:pPr>
    </w:p>
    <w:p w14:paraId="75F8F1D5" w14:textId="0C0807B3" w:rsidR="00E853FD" w:rsidRDefault="00FE7D53">
      <w:pPr>
        <w:jc w:val="center"/>
        <w:rPr>
          <w:b/>
          <w:sz w:val="28"/>
          <w:szCs w:val="28"/>
        </w:rPr>
      </w:pPr>
      <w:r>
        <w:rPr>
          <w:rFonts w:hint="eastAsia"/>
          <w:b/>
          <w:sz w:val="28"/>
          <w:szCs w:val="28"/>
        </w:rPr>
        <w:t>基金管理人：</w:t>
      </w:r>
      <w:r w:rsidR="001110E7" w:rsidRPr="001110E7">
        <w:rPr>
          <w:rFonts w:hint="eastAsia"/>
          <w:b/>
          <w:sz w:val="28"/>
          <w:szCs w:val="28"/>
        </w:rPr>
        <w:t>广发基金管理有限公司</w:t>
      </w:r>
    </w:p>
    <w:p w14:paraId="6A626253" w14:textId="77777777" w:rsidR="00E853FD" w:rsidRDefault="00FE7D53">
      <w:pPr>
        <w:spacing w:line="360" w:lineRule="auto"/>
        <w:jc w:val="center"/>
        <w:rPr>
          <w:b/>
          <w:sz w:val="36"/>
        </w:rPr>
      </w:pPr>
      <w:bookmarkStart w:id="0" w:name="_Toc123701384"/>
      <w:bookmarkStart w:id="1" w:name="_Toc139992302"/>
      <w:bookmarkStart w:id="2" w:name="_Toc123112264"/>
      <w:bookmarkStart w:id="3" w:name="_Toc139991727"/>
      <w:bookmarkStart w:id="4" w:name="_Toc123112225"/>
      <w:r>
        <w:rPr>
          <w:b/>
          <w:sz w:val="28"/>
          <w:szCs w:val="28"/>
        </w:rPr>
        <w:t xml:space="preserve">    </w:t>
      </w:r>
      <w:r>
        <w:rPr>
          <w:rFonts w:hint="eastAsia"/>
          <w:b/>
          <w:sz w:val="28"/>
          <w:szCs w:val="28"/>
        </w:rPr>
        <w:t>基金托管人：中国光大银行股份有限公司</w:t>
      </w:r>
      <w:bookmarkEnd w:id="0"/>
      <w:bookmarkEnd w:id="1"/>
      <w:bookmarkEnd w:id="2"/>
      <w:bookmarkEnd w:id="3"/>
      <w:bookmarkEnd w:id="4"/>
    </w:p>
    <w:p w14:paraId="5B63045C" w14:textId="77777777" w:rsidR="00E853FD" w:rsidRDefault="00E853FD">
      <w:pPr>
        <w:spacing w:line="360" w:lineRule="auto"/>
        <w:jc w:val="center"/>
        <w:rPr>
          <w:bCs/>
          <w:sz w:val="32"/>
        </w:rPr>
      </w:pPr>
    </w:p>
    <w:p w14:paraId="00AB2115" w14:textId="77777777" w:rsidR="00E853FD" w:rsidRDefault="00E853FD">
      <w:pPr>
        <w:spacing w:line="360" w:lineRule="auto"/>
        <w:jc w:val="center"/>
        <w:rPr>
          <w:bCs/>
          <w:sz w:val="28"/>
        </w:rPr>
      </w:pPr>
    </w:p>
    <w:p w14:paraId="445B7728" w14:textId="77777777" w:rsidR="00E853FD" w:rsidRDefault="00E853FD">
      <w:pPr>
        <w:spacing w:line="360" w:lineRule="auto"/>
        <w:ind w:firstLineChars="200" w:firstLine="480"/>
        <w:rPr>
          <w:rFonts w:ascii="宋体"/>
          <w:sz w:val="24"/>
          <w:szCs w:val="24"/>
        </w:rPr>
      </w:pPr>
    </w:p>
    <w:p w14:paraId="03F71DF0" w14:textId="77777777" w:rsidR="00E853FD" w:rsidRDefault="00E853FD">
      <w:pPr>
        <w:spacing w:line="360" w:lineRule="auto"/>
        <w:ind w:firstLineChars="200" w:firstLine="480"/>
        <w:rPr>
          <w:rFonts w:ascii="宋体"/>
          <w:sz w:val="24"/>
          <w:szCs w:val="24"/>
        </w:rPr>
      </w:pPr>
    </w:p>
    <w:p w14:paraId="3A4442F3" w14:textId="77777777" w:rsidR="00E853FD" w:rsidRDefault="00E853FD">
      <w:pPr>
        <w:spacing w:line="360" w:lineRule="auto"/>
        <w:ind w:firstLineChars="200" w:firstLine="480"/>
        <w:rPr>
          <w:rFonts w:ascii="宋体"/>
          <w:sz w:val="24"/>
          <w:szCs w:val="24"/>
        </w:rPr>
        <w:sectPr w:rsidR="00E853FD">
          <w:pgSz w:w="11906" w:h="16838"/>
          <w:pgMar w:top="1440" w:right="1841" w:bottom="1440" w:left="1797" w:header="851" w:footer="992" w:gutter="0"/>
          <w:pgNumType w:start="1"/>
          <w:cols w:space="720"/>
          <w:docGrid w:type="lines" w:linePitch="312"/>
        </w:sectPr>
      </w:pPr>
    </w:p>
    <w:p w14:paraId="67C9380C" w14:textId="77777777" w:rsidR="00E853FD" w:rsidRDefault="00FE7D53">
      <w:pPr>
        <w:spacing w:line="360" w:lineRule="auto"/>
        <w:jc w:val="center"/>
        <w:rPr>
          <w:rFonts w:ascii="宋体"/>
          <w:b/>
          <w:sz w:val="30"/>
          <w:szCs w:val="30"/>
        </w:rPr>
      </w:pPr>
      <w:r>
        <w:rPr>
          <w:rFonts w:ascii="宋体" w:hAnsi="宋体" w:hint="eastAsia"/>
          <w:b/>
          <w:sz w:val="30"/>
          <w:szCs w:val="30"/>
        </w:rPr>
        <w:lastRenderedPageBreak/>
        <w:t>目</w:t>
      </w:r>
      <w:r>
        <w:rPr>
          <w:rFonts w:ascii="宋体" w:hAnsi="宋体"/>
          <w:b/>
          <w:sz w:val="30"/>
          <w:szCs w:val="30"/>
        </w:rPr>
        <w:t xml:space="preserve">    </w:t>
      </w:r>
      <w:r>
        <w:rPr>
          <w:rFonts w:ascii="宋体" w:hAnsi="宋体" w:hint="eastAsia"/>
          <w:b/>
          <w:sz w:val="30"/>
          <w:szCs w:val="30"/>
        </w:rPr>
        <w:t>录</w:t>
      </w:r>
    </w:p>
    <w:p w14:paraId="2D78010C" w14:textId="5CA3ECF0" w:rsidR="00E853FD" w:rsidRDefault="00FE7D53">
      <w:pPr>
        <w:pStyle w:val="12"/>
        <w:tabs>
          <w:tab w:val="right" w:leader="dot" w:pos="8302"/>
        </w:tabs>
        <w:spacing w:after="0" w:line="360" w:lineRule="auto"/>
        <w:jc w:val="center"/>
        <w:rPr>
          <w:rFonts w:ascii="宋体"/>
          <w:noProof/>
          <w:kern w:val="2"/>
          <w:sz w:val="24"/>
          <w:szCs w:val="24"/>
        </w:rPr>
      </w:pPr>
      <w:r>
        <w:rPr>
          <w:rFonts w:ascii="宋体" w:hAnsi="宋体"/>
          <w:sz w:val="24"/>
          <w:szCs w:val="24"/>
        </w:rPr>
        <w:fldChar w:fldCharType="begin"/>
      </w:r>
      <w:r>
        <w:rPr>
          <w:rFonts w:ascii="宋体" w:hAnsi="宋体"/>
          <w:sz w:val="24"/>
          <w:szCs w:val="24"/>
        </w:rPr>
        <w:instrText xml:space="preserve"> TOC \o "1-1" \h \z \u </w:instrText>
      </w:r>
      <w:r>
        <w:rPr>
          <w:rFonts w:ascii="宋体" w:hAnsi="宋体"/>
          <w:sz w:val="24"/>
          <w:szCs w:val="24"/>
        </w:rPr>
        <w:fldChar w:fldCharType="separate"/>
      </w:r>
      <w:hyperlink w:anchor="_Toc440289529" w:history="1">
        <w:r>
          <w:rPr>
            <w:rStyle w:val="af3"/>
            <w:rFonts w:ascii="宋体" w:hAnsi="宋体" w:hint="eastAsia"/>
            <w:noProof/>
            <w:sz w:val="24"/>
            <w:szCs w:val="24"/>
          </w:rPr>
          <w:t>一、基金托管协议当事人</w:t>
        </w:r>
        <w:r>
          <w:rPr>
            <w:rFonts w:ascii="宋体"/>
            <w:noProof/>
            <w:sz w:val="24"/>
            <w:szCs w:val="24"/>
          </w:rPr>
          <w:tab/>
        </w:r>
        <w:r>
          <w:rPr>
            <w:rFonts w:ascii="宋体" w:hAnsi="宋体"/>
            <w:noProof/>
            <w:sz w:val="24"/>
            <w:szCs w:val="24"/>
          </w:rPr>
          <w:fldChar w:fldCharType="begin"/>
        </w:r>
        <w:r>
          <w:rPr>
            <w:rFonts w:ascii="宋体" w:hAnsi="宋体"/>
            <w:noProof/>
            <w:sz w:val="24"/>
            <w:szCs w:val="24"/>
          </w:rPr>
          <w:instrText xml:space="preserve"> PAGEREF _Toc440289529 \h </w:instrText>
        </w:r>
        <w:r>
          <w:rPr>
            <w:rFonts w:ascii="宋体" w:hAnsi="宋体"/>
            <w:noProof/>
            <w:sz w:val="24"/>
            <w:szCs w:val="24"/>
          </w:rPr>
        </w:r>
        <w:r>
          <w:rPr>
            <w:rFonts w:ascii="宋体" w:hAnsi="宋体"/>
            <w:noProof/>
            <w:sz w:val="24"/>
            <w:szCs w:val="24"/>
          </w:rPr>
          <w:fldChar w:fldCharType="separate"/>
        </w:r>
        <w:r w:rsidR="00B440B0">
          <w:rPr>
            <w:rFonts w:ascii="宋体" w:hAnsi="宋体"/>
            <w:noProof/>
            <w:sz w:val="24"/>
            <w:szCs w:val="24"/>
          </w:rPr>
          <w:t>3</w:t>
        </w:r>
        <w:r>
          <w:rPr>
            <w:rFonts w:ascii="宋体" w:hAnsi="宋体"/>
            <w:noProof/>
            <w:sz w:val="24"/>
            <w:szCs w:val="24"/>
          </w:rPr>
          <w:fldChar w:fldCharType="end"/>
        </w:r>
      </w:hyperlink>
    </w:p>
    <w:p w14:paraId="6FCCF748" w14:textId="5905F11E" w:rsidR="00E853FD" w:rsidRDefault="006136B3">
      <w:pPr>
        <w:pStyle w:val="12"/>
        <w:tabs>
          <w:tab w:val="right" w:leader="dot" w:pos="8302"/>
        </w:tabs>
        <w:spacing w:after="0" w:line="360" w:lineRule="auto"/>
        <w:jc w:val="center"/>
        <w:rPr>
          <w:rFonts w:ascii="宋体"/>
          <w:noProof/>
          <w:kern w:val="2"/>
          <w:sz w:val="24"/>
          <w:szCs w:val="24"/>
        </w:rPr>
      </w:pPr>
      <w:hyperlink w:anchor="_Toc440289530" w:history="1">
        <w:r w:rsidR="00FE7D53">
          <w:rPr>
            <w:rStyle w:val="af3"/>
            <w:rFonts w:ascii="宋体" w:hAnsi="宋体" w:hint="eastAsia"/>
            <w:noProof/>
            <w:sz w:val="24"/>
            <w:szCs w:val="24"/>
          </w:rPr>
          <w:t>二、基金托管协议的依据、目的、原则和解释</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_Toc440289530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4</w:t>
        </w:r>
        <w:r w:rsidR="00FE7D53">
          <w:rPr>
            <w:rFonts w:ascii="宋体" w:hAnsi="宋体"/>
            <w:noProof/>
            <w:sz w:val="24"/>
            <w:szCs w:val="24"/>
          </w:rPr>
          <w:fldChar w:fldCharType="end"/>
        </w:r>
      </w:hyperlink>
    </w:p>
    <w:p w14:paraId="253781C4" w14:textId="1BFA7BE6" w:rsidR="00E853FD" w:rsidRDefault="006136B3">
      <w:pPr>
        <w:pStyle w:val="12"/>
        <w:tabs>
          <w:tab w:val="right" w:leader="dot" w:pos="8302"/>
        </w:tabs>
        <w:spacing w:after="0" w:line="360" w:lineRule="auto"/>
        <w:jc w:val="center"/>
        <w:rPr>
          <w:rFonts w:ascii="宋体"/>
          <w:noProof/>
          <w:kern w:val="2"/>
          <w:sz w:val="24"/>
          <w:szCs w:val="24"/>
        </w:rPr>
      </w:pPr>
      <w:hyperlink w:anchor="_Toc440289531" w:history="1">
        <w:r w:rsidR="00FE7D53">
          <w:rPr>
            <w:rStyle w:val="af3"/>
            <w:rFonts w:ascii="宋体" w:hAnsi="宋体" w:hint="eastAsia"/>
            <w:noProof/>
            <w:sz w:val="24"/>
            <w:szCs w:val="24"/>
          </w:rPr>
          <w:t>三、基金托管人对基金管理人的业务监督和核查</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_Toc440289531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5</w:t>
        </w:r>
        <w:r w:rsidR="00FE7D53">
          <w:rPr>
            <w:rFonts w:ascii="宋体" w:hAnsi="宋体"/>
            <w:noProof/>
            <w:sz w:val="24"/>
            <w:szCs w:val="24"/>
          </w:rPr>
          <w:fldChar w:fldCharType="end"/>
        </w:r>
      </w:hyperlink>
    </w:p>
    <w:p w14:paraId="5D79F260" w14:textId="1AFB9F53" w:rsidR="00E853FD" w:rsidRDefault="006136B3">
      <w:pPr>
        <w:pStyle w:val="12"/>
        <w:tabs>
          <w:tab w:val="right" w:leader="dot" w:pos="8302"/>
        </w:tabs>
        <w:spacing w:after="0" w:line="360" w:lineRule="auto"/>
        <w:jc w:val="center"/>
        <w:rPr>
          <w:rFonts w:ascii="宋体"/>
          <w:noProof/>
          <w:kern w:val="2"/>
          <w:sz w:val="24"/>
          <w:szCs w:val="24"/>
        </w:rPr>
      </w:pPr>
      <w:hyperlink w:anchor="_Toc440289532" w:history="1">
        <w:r w:rsidR="00FE7D53">
          <w:rPr>
            <w:rStyle w:val="af3"/>
            <w:rFonts w:ascii="宋体" w:hAnsi="宋体" w:hint="eastAsia"/>
            <w:noProof/>
            <w:sz w:val="24"/>
            <w:szCs w:val="24"/>
          </w:rPr>
          <w:t>四、基金管理人对基金托管人的业务核查</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_Toc440289532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14</w:t>
        </w:r>
        <w:r w:rsidR="00FE7D53">
          <w:rPr>
            <w:rFonts w:ascii="宋体" w:hAnsi="宋体"/>
            <w:noProof/>
            <w:sz w:val="24"/>
            <w:szCs w:val="24"/>
          </w:rPr>
          <w:fldChar w:fldCharType="end"/>
        </w:r>
      </w:hyperlink>
    </w:p>
    <w:p w14:paraId="2A54333B" w14:textId="56906377" w:rsidR="00E853FD" w:rsidRDefault="006136B3">
      <w:pPr>
        <w:pStyle w:val="12"/>
        <w:tabs>
          <w:tab w:val="right" w:leader="dot" w:pos="8302"/>
        </w:tabs>
        <w:spacing w:after="0" w:line="360" w:lineRule="auto"/>
        <w:jc w:val="center"/>
        <w:rPr>
          <w:rFonts w:ascii="宋体"/>
          <w:noProof/>
          <w:kern w:val="2"/>
          <w:sz w:val="24"/>
          <w:szCs w:val="24"/>
        </w:rPr>
      </w:pPr>
      <w:hyperlink w:anchor="_Toc440289533" w:history="1">
        <w:r w:rsidR="00FE7D53">
          <w:rPr>
            <w:rStyle w:val="af3"/>
            <w:rFonts w:ascii="宋体" w:hAnsi="宋体" w:hint="eastAsia"/>
            <w:noProof/>
            <w:sz w:val="24"/>
            <w:szCs w:val="24"/>
          </w:rPr>
          <w:t>五、基金财产的保管</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_Toc440289533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15</w:t>
        </w:r>
        <w:r w:rsidR="00FE7D53">
          <w:rPr>
            <w:rFonts w:ascii="宋体" w:hAnsi="宋体"/>
            <w:noProof/>
            <w:sz w:val="24"/>
            <w:szCs w:val="24"/>
          </w:rPr>
          <w:fldChar w:fldCharType="end"/>
        </w:r>
      </w:hyperlink>
    </w:p>
    <w:p w14:paraId="7B3E168D" w14:textId="63AA07F7" w:rsidR="00E853FD" w:rsidRDefault="006136B3">
      <w:pPr>
        <w:pStyle w:val="12"/>
        <w:tabs>
          <w:tab w:val="right" w:leader="dot" w:pos="8302"/>
        </w:tabs>
        <w:spacing w:after="0" w:line="360" w:lineRule="auto"/>
        <w:jc w:val="center"/>
        <w:rPr>
          <w:rFonts w:ascii="宋体"/>
          <w:noProof/>
          <w:kern w:val="2"/>
          <w:sz w:val="24"/>
          <w:szCs w:val="24"/>
        </w:rPr>
      </w:pPr>
      <w:hyperlink w:anchor="_Toc440289534" w:history="1">
        <w:r w:rsidR="00FE7D53">
          <w:rPr>
            <w:rStyle w:val="af3"/>
            <w:rFonts w:ascii="宋体" w:hAnsi="宋体" w:hint="eastAsia"/>
            <w:noProof/>
            <w:sz w:val="24"/>
            <w:szCs w:val="24"/>
          </w:rPr>
          <w:t>六、指令的发送、确认及执行</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_Toc440289534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18</w:t>
        </w:r>
        <w:r w:rsidR="00FE7D53">
          <w:rPr>
            <w:rFonts w:ascii="宋体" w:hAnsi="宋体"/>
            <w:noProof/>
            <w:sz w:val="24"/>
            <w:szCs w:val="24"/>
          </w:rPr>
          <w:fldChar w:fldCharType="end"/>
        </w:r>
      </w:hyperlink>
    </w:p>
    <w:p w14:paraId="17F4214D" w14:textId="48667615" w:rsidR="00E853FD" w:rsidRDefault="006136B3">
      <w:pPr>
        <w:pStyle w:val="12"/>
        <w:tabs>
          <w:tab w:val="right" w:leader="dot" w:pos="8302"/>
        </w:tabs>
        <w:spacing w:after="0" w:line="360" w:lineRule="auto"/>
        <w:jc w:val="center"/>
        <w:rPr>
          <w:rFonts w:ascii="宋体"/>
          <w:noProof/>
          <w:kern w:val="2"/>
          <w:sz w:val="24"/>
          <w:szCs w:val="24"/>
        </w:rPr>
      </w:pPr>
      <w:hyperlink w:anchor="_Toc440289535" w:history="1">
        <w:r w:rsidR="00FE7D53">
          <w:rPr>
            <w:rStyle w:val="af3"/>
            <w:rFonts w:ascii="宋体" w:hAnsi="宋体" w:hint="eastAsia"/>
            <w:noProof/>
            <w:sz w:val="24"/>
            <w:szCs w:val="24"/>
          </w:rPr>
          <w:t>七、交易及清算交收安排</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_Toc440289535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21</w:t>
        </w:r>
        <w:r w:rsidR="00FE7D53">
          <w:rPr>
            <w:rFonts w:ascii="宋体" w:hAnsi="宋体"/>
            <w:noProof/>
            <w:sz w:val="24"/>
            <w:szCs w:val="24"/>
          </w:rPr>
          <w:fldChar w:fldCharType="end"/>
        </w:r>
      </w:hyperlink>
    </w:p>
    <w:p w14:paraId="0BAE470A" w14:textId="7A30A9DA" w:rsidR="00E853FD" w:rsidRDefault="006136B3">
      <w:pPr>
        <w:pStyle w:val="12"/>
        <w:tabs>
          <w:tab w:val="right" w:leader="dot" w:pos="8302"/>
        </w:tabs>
        <w:spacing w:after="0" w:line="360" w:lineRule="auto"/>
        <w:jc w:val="center"/>
        <w:rPr>
          <w:rFonts w:ascii="宋体"/>
          <w:noProof/>
          <w:kern w:val="2"/>
          <w:sz w:val="24"/>
          <w:szCs w:val="24"/>
        </w:rPr>
      </w:pPr>
      <w:hyperlink w:anchor="_Toc440289536" w:history="1">
        <w:r w:rsidR="00FE7D53">
          <w:rPr>
            <w:rStyle w:val="af3"/>
            <w:rFonts w:ascii="宋体" w:hAnsi="宋体" w:hint="eastAsia"/>
            <w:noProof/>
            <w:sz w:val="24"/>
            <w:szCs w:val="24"/>
          </w:rPr>
          <w:t>八、基金资产净值计算和会计核算</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_Toc440289536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25</w:t>
        </w:r>
        <w:r w:rsidR="00FE7D53">
          <w:rPr>
            <w:rFonts w:ascii="宋体" w:hAnsi="宋体"/>
            <w:noProof/>
            <w:sz w:val="24"/>
            <w:szCs w:val="24"/>
          </w:rPr>
          <w:fldChar w:fldCharType="end"/>
        </w:r>
      </w:hyperlink>
    </w:p>
    <w:p w14:paraId="37E809B9" w14:textId="51DF6E9C" w:rsidR="00E853FD" w:rsidRDefault="006136B3">
      <w:pPr>
        <w:pStyle w:val="12"/>
        <w:tabs>
          <w:tab w:val="right" w:leader="dot" w:pos="8302"/>
        </w:tabs>
        <w:spacing w:after="0" w:line="360" w:lineRule="auto"/>
        <w:jc w:val="center"/>
        <w:rPr>
          <w:rFonts w:ascii="宋体"/>
          <w:noProof/>
          <w:kern w:val="2"/>
          <w:sz w:val="24"/>
          <w:szCs w:val="24"/>
        </w:rPr>
      </w:pPr>
      <w:hyperlink w:anchor="_Toc440289538" w:history="1">
        <w:r w:rsidR="00FE7D53">
          <w:rPr>
            <w:rStyle w:val="af3"/>
            <w:rFonts w:ascii="宋体" w:hAnsi="宋体" w:hint="eastAsia"/>
            <w:noProof/>
            <w:sz w:val="24"/>
            <w:szCs w:val="24"/>
          </w:rPr>
          <w:t>九、基金收益分配</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_Toc440289538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31</w:t>
        </w:r>
        <w:r w:rsidR="00FE7D53">
          <w:rPr>
            <w:rFonts w:ascii="宋体" w:hAnsi="宋体"/>
            <w:noProof/>
            <w:sz w:val="24"/>
            <w:szCs w:val="24"/>
          </w:rPr>
          <w:fldChar w:fldCharType="end"/>
        </w:r>
      </w:hyperlink>
    </w:p>
    <w:p w14:paraId="5BC9D5CC" w14:textId="5254689E" w:rsidR="00E853FD" w:rsidRDefault="006136B3">
      <w:pPr>
        <w:pStyle w:val="12"/>
        <w:tabs>
          <w:tab w:val="right" w:leader="dot" w:pos="8302"/>
        </w:tabs>
        <w:spacing w:after="0" w:line="360" w:lineRule="auto"/>
        <w:jc w:val="center"/>
        <w:rPr>
          <w:rFonts w:ascii="宋体"/>
          <w:noProof/>
          <w:kern w:val="2"/>
          <w:sz w:val="24"/>
          <w:szCs w:val="24"/>
        </w:rPr>
      </w:pPr>
      <w:hyperlink w:anchor="_Toc440289539" w:history="1">
        <w:r w:rsidR="00FE7D53">
          <w:rPr>
            <w:rStyle w:val="af3"/>
            <w:rFonts w:ascii="宋体" w:hAnsi="宋体" w:hint="eastAsia"/>
            <w:noProof/>
            <w:sz w:val="24"/>
            <w:szCs w:val="24"/>
          </w:rPr>
          <w:t>十、基金信息披露</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_Toc440289539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32</w:t>
        </w:r>
        <w:r w:rsidR="00FE7D53">
          <w:rPr>
            <w:rFonts w:ascii="宋体" w:hAnsi="宋体"/>
            <w:noProof/>
            <w:sz w:val="24"/>
            <w:szCs w:val="24"/>
          </w:rPr>
          <w:fldChar w:fldCharType="end"/>
        </w:r>
      </w:hyperlink>
    </w:p>
    <w:p w14:paraId="691BD9E9" w14:textId="0BBB9D18" w:rsidR="00E853FD" w:rsidRDefault="006136B3">
      <w:pPr>
        <w:pStyle w:val="12"/>
        <w:tabs>
          <w:tab w:val="right" w:leader="dot" w:pos="8302"/>
        </w:tabs>
        <w:spacing w:after="0" w:line="360" w:lineRule="auto"/>
        <w:jc w:val="center"/>
        <w:rPr>
          <w:rFonts w:ascii="宋体"/>
          <w:noProof/>
          <w:kern w:val="2"/>
          <w:sz w:val="24"/>
          <w:szCs w:val="24"/>
        </w:rPr>
      </w:pPr>
      <w:hyperlink w:anchor="_Toc440289541" w:history="1">
        <w:r w:rsidR="00FE7D53">
          <w:rPr>
            <w:rStyle w:val="af3"/>
            <w:rFonts w:ascii="宋体" w:hAnsi="宋体" w:hint="eastAsia"/>
            <w:noProof/>
            <w:sz w:val="24"/>
            <w:szCs w:val="24"/>
          </w:rPr>
          <w:t>十一、基金费用</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_Toc440289541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34</w:t>
        </w:r>
        <w:r w:rsidR="00FE7D53">
          <w:rPr>
            <w:rFonts w:ascii="宋体" w:hAnsi="宋体"/>
            <w:noProof/>
            <w:sz w:val="24"/>
            <w:szCs w:val="24"/>
          </w:rPr>
          <w:fldChar w:fldCharType="end"/>
        </w:r>
      </w:hyperlink>
    </w:p>
    <w:p w14:paraId="6C83A193" w14:textId="30EAB384" w:rsidR="00E853FD" w:rsidRDefault="006136B3">
      <w:pPr>
        <w:pStyle w:val="12"/>
        <w:tabs>
          <w:tab w:val="right" w:leader="dot" w:pos="8302"/>
        </w:tabs>
        <w:spacing w:after="0" w:line="360" w:lineRule="auto"/>
        <w:jc w:val="center"/>
        <w:rPr>
          <w:rFonts w:ascii="宋体"/>
          <w:noProof/>
          <w:kern w:val="2"/>
          <w:sz w:val="24"/>
          <w:szCs w:val="24"/>
        </w:rPr>
      </w:pPr>
      <w:hyperlink w:anchor="_Toc440289542" w:history="1">
        <w:r w:rsidR="00FE7D53">
          <w:rPr>
            <w:rStyle w:val="af3"/>
            <w:rFonts w:ascii="宋体" w:hAnsi="宋体" w:hint="eastAsia"/>
            <w:noProof/>
            <w:sz w:val="24"/>
            <w:szCs w:val="24"/>
          </w:rPr>
          <w:t>十二、基金份额持有人名册的保管</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_Toc440289542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37</w:t>
        </w:r>
        <w:r w:rsidR="00FE7D53">
          <w:rPr>
            <w:rFonts w:ascii="宋体" w:hAnsi="宋体"/>
            <w:noProof/>
            <w:sz w:val="24"/>
            <w:szCs w:val="24"/>
          </w:rPr>
          <w:fldChar w:fldCharType="end"/>
        </w:r>
      </w:hyperlink>
    </w:p>
    <w:p w14:paraId="10DA6DC1" w14:textId="1B8E0016" w:rsidR="00E853FD" w:rsidRDefault="006136B3">
      <w:pPr>
        <w:pStyle w:val="12"/>
        <w:tabs>
          <w:tab w:val="right" w:leader="dot" w:pos="8302"/>
        </w:tabs>
        <w:spacing w:after="0" w:line="360" w:lineRule="auto"/>
        <w:jc w:val="center"/>
        <w:rPr>
          <w:rFonts w:ascii="宋体"/>
          <w:noProof/>
          <w:kern w:val="2"/>
          <w:sz w:val="24"/>
          <w:szCs w:val="24"/>
        </w:rPr>
      </w:pPr>
      <w:hyperlink w:anchor="_Toc440289543" w:history="1">
        <w:r w:rsidR="00FE7D53">
          <w:rPr>
            <w:rStyle w:val="af3"/>
            <w:rFonts w:ascii="宋体" w:hAnsi="宋体" w:hint="eastAsia"/>
            <w:noProof/>
            <w:sz w:val="24"/>
            <w:szCs w:val="24"/>
          </w:rPr>
          <w:t>十三、基金有关文件档案的保存</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_Toc440289543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38</w:t>
        </w:r>
        <w:r w:rsidR="00FE7D53">
          <w:rPr>
            <w:rFonts w:ascii="宋体" w:hAnsi="宋体"/>
            <w:noProof/>
            <w:sz w:val="24"/>
            <w:szCs w:val="24"/>
          </w:rPr>
          <w:fldChar w:fldCharType="end"/>
        </w:r>
      </w:hyperlink>
    </w:p>
    <w:p w14:paraId="26B14794" w14:textId="6C2C6D33" w:rsidR="00E853FD" w:rsidRDefault="006136B3">
      <w:pPr>
        <w:pStyle w:val="12"/>
        <w:tabs>
          <w:tab w:val="right" w:leader="dot" w:pos="8302"/>
        </w:tabs>
        <w:spacing w:after="0" w:line="360" w:lineRule="auto"/>
        <w:jc w:val="center"/>
        <w:rPr>
          <w:rFonts w:ascii="宋体"/>
          <w:noProof/>
          <w:kern w:val="2"/>
          <w:sz w:val="24"/>
          <w:szCs w:val="24"/>
        </w:rPr>
      </w:pPr>
      <w:hyperlink w:anchor="_Toc440289544" w:history="1">
        <w:r w:rsidR="00FE7D53">
          <w:rPr>
            <w:rStyle w:val="af3"/>
            <w:rFonts w:ascii="宋体" w:hAnsi="宋体" w:hint="eastAsia"/>
            <w:noProof/>
            <w:sz w:val="24"/>
            <w:szCs w:val="24"/>
          </w:rPr>
          <w:t>十四、基金管理人和基金托管人的更换</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_Toc440289544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39</w:t>
        </w:r>
        <w:r w:rsidR="00FE7D53">
          <w:rPr>
            <w:rFonts w:ascii="宋体" w:hAnsi="宋体"/>
            <w:noProof/>
            <w:sz w:val="24"/>
            <w:szCs w:val="24"/>
          </w:rPr>
          <w:fldChar w:fldCharType="end"/>
        </w:r>
      </w:hyperlink>
    </w:p>
    <w:p w14:paraId="7A13B0A9" w14:textId="1CA115ED" w:rsidR="00E853FD" w:rsidRDefault="006136B3">
      <w:pPr>
        <w:pStyle w:val="12"/>
        <w:tabs>
          <w:tab w:val="right" w:leader="dot" w:pos="8302"/>
        </w:tabs>
        <w:spacing w:after="0" w:line="360" w:lineRule="auto"/>
        <w:jc w:val="center"/>
        <w:rPr>
          <w:rFonts w:ascii="宋体"/>
          <w:noProof/>
          <w:kern w:val="2"/>
          <w:sz w:val="24"/>
          <w:szCs w:val="24"/>
        </w:rPr>
      </w:pPr>
      <w:hyperlink w:anchor="_Toc440289546" w:history="1">
        <w:r w:rsidR="00FE7D53">
          <w:rPr>
            <w:rStyle w:val="af3"/>
            <w:rFonts w:ascii="宋体" w:hAnsi="宋体" w:hint="eastAsia"/>
            <w:noProof/>
            <w:sz w:val="24"/>
            <w:szCs w:val="24"/>
          </w:rPr>
          <w:t>十五、禁止行为</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_Toc440289546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42</w:t>
        </w:r>
        <w:r w:rsidR="00FE7D53">
          <w:rPr>
            <w:rFonts w:ascii="宋体" w:hAnsi="宋体"/>
            <w:noProof/>
            <w:sz w:val="24"/>
            <w:szCs w:val="24"/>
          </w:rPr>
          <w:fldChar w:fldCharType="end"/>
        </w:r>
      </w:hyperlink>
    </w:p>
    <w:p w14:paraId="606D3090" w14:textId="37FB664C" w:rsidR="00E853FD" w:rsidRDefault="006136B3">
      <w:pPr>
        <w:pStyle w:val="12"/>
        <w:tabs>
          <w:tab w:val="right" w:leader="dot" w:pos="8302"/>
        </w:tabs>
        <w:spacing w:after="0" w:line="360" w:lineRule="auto"/>
        <w:jc w:val="center"/>
        <w:rPr>
          <w:rFonts w:ascii="宋体"/>
          <w:noProof/>
          <w:kern w:val="2"/>
          <w:sz w:val="24"/>
          <w:szCs w:val="24"/>
        </w:rPr>
      </w:pPr>
      <w:hyperlink w:anchor="_Toc440289548" w:history="1">
        <w:r w:rsidR="00FE7D53">
          <w:rPr>
            <w:rStyle w:val="af3"/>
            <w:rFonts w:ascii="宋体" w:hAnsi="宋体" w:hint="eastAsia"/>
            <w:noProof/>
            <w:sz w:val="24"/>
            <w:szCs w:val="24"/>
          </w:rPr>
          <w:t>十六、托管协议的变更、终止与基金财产的清算</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_Toc440289548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43</w:t>
        </w:r>
        <w:r w:rsidR="00FE7D53">
          <w:rPr>
            <w:rFonts w:ascii="宋体" w:hAnsi="宋体"/>
            <w:noProof/>
            <w:sz w:val="24"/>
            <w:szCs w:val="24"/>
          </w:rPr>
          <w:fldChar w:fldCharType="end"/>
        </w:r>
      </w:hyperlink>
    </w:p>
    <w:p w14:paraId="57ECF72D" w14:textId="5019DE8E" w:rsidR="00E853FD" w:rsidRDefault="006136B3">
      <w:pPr>
        <w:pStyle w:val="12"/>
        <w:tabs>
          <w:tab w:val="right" w:leader="dot" w:pos="8302"/>
        </w:tabs>
        <w:spacing w:after="0" w:line="360" w:lineRule="auto"/>
        <w:jc w:val="center"/>
        <w:rPr>
          <w:rFonts w:ascii="宋体"/>
          <w:noProof/>
          <w:kern w:val="2"/>
          <w:sz w:val="24"/>
          <w:szCs w:val="24"/>
        </w:rPr>
      </w:pPr>
      <w:hyperlink w:anchor="_Toc440289550" w:history="1">
        <w:r w:rsidR="00FE7D53">
          <w:rPr>
            <w:rStyle w:val="af3"/>
            <w:rFonts w:ascii="宋体" w:hAnsi="宋体" w:hint="eastAsia"/>
            <w:noProof/>
            <w:sz w:val="24"/>
            <w:szCs w:val="24"/>
          </w:rPr>
          <w:t>十七、违约责任</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_Toc440289550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45</w:t>
        </w:r>
        <w:r w:rsidR="00FE7D53">
          <w:rPr>
            <w:rFonts w:ascii="宋体" w:hAnsi="宋体"/>
            <w:noProof/>
            <w:sz w:val="24"/>
            <w:szCs w:val="24"/>
          </w:rPr>
          <w:fldChar w:fldCharType="end"/>
        </w:r>
      </w:hyperlink>
    </w:p>
    <w:p w14:paraId="38D364A5" w14:textId="2B22285F" w:rsidR="00E853FD" w:rsidRDefault="006136B3">
      <w:pPr>
        <w:pStyle w:val="12"/>
        <w:tabs>
          <w:tab w:val="right" w:leader="dot" w:pos="8302"/>
        </w:tabs>
        <w:spacing w:after="0" w:line="360" w:lineRule="auto"/>
        <w:jc w:val="center"/>
        <w:rPr>
          <w:rFonts w:ascii="宋体"/>
          <w:noProof/>
          <w:kern w:val="2"/>
          <w:sz w:val="24"/>
          <w:szCs w:val="24"/>
        </w:rPr>
      </w:pPr>
      <w:hyperlink w:anchor="_Toc440289552" w:history="1">
        <w:r w:rsidR="00FE7D53">
          <w:rPr>
            <w:rStyle w:val="af3"/>
            <w:rFonts w:ascii="宋体" w:hAnsi="宋体" w:hint="eastAsia"/>
            <w:noProof/>
            <w:sz w:val="24"/>
            <w:szCs w:val="24"/>
          </w:rPr>
          <w:t>十八、争议解决方式</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_Toc440289552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47</w:t>
        </w:r>
        <w:r w:rsidR="00FE7D53">
          <w:rPr>
            <w:rFonts w:ascii="宋体" w:hAnsi="宋体"/>
            <w:noProof/>
            <w:sz w:val="24"/>
            <w:szCs w:val="24"/>
          </w:rPr>
          <w:fldChar w:fldCharType="end"/>
        </w:r>
      </w:hyperlink>
    </w:p>
    <w:p w14:paraId="20C8EBFB" w14:textId="3F2E6C04" w:rsidR="00E853FD" w:rsidRDefault="006136B3">
      <w:pPr>
        <w:pStyle w:val="12"/>
        <w:tabs>
          <w:tab w:val="right" w:leader="dot" w:pos="8302"/>
        </w:tabs>
        <w:spacing w:after="0" w:line="360" w:lineRule="auto"/>
        <w:jc w:val="center"/>
        <w:rPr>
          <w:rFonts w:ascii="宋体"/>
          <w:noProof/>
          <w:kern w:val="2"/>
          <w:sz w:val="24"/>
          <w:szCs w:val="24"/>
        </w:rPr>
      </w:pPr>
      <w:hyperlink w:anchor="_Toc440289553" w:history="1">
        <w:r w:rsidR="00FE7D53">
          <w:rPr>
            <w:rStyle w:val="af3"/>
            <w:rFonts w:ascii="宋体" w:hAnsi="宋体" w:hint="eastAsia"/>
            <w:noProof/>
            <w:sz w:val="24"/>
            <w:szCs w:val="24"/>
          </w:rPr>
          <w:t>十九、托管协议的效力</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_Toc440289553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48</w:t>
        </w:r>
        <w:r w:rsidR="00FE7D53">
          <w:rPr>
            <w:rFonts w:ascii="宋体" w:hAnsi="宋体"/>
            <w:noProof/>
            <w:sz w:val="24"/>
            <w:szCs w:val="24"/>
          </w:rPr>
          <w:fldChar w:fldCharType="end"/>
        </w:r>
      </w:hyperlink>
    </w:p>
    <w:p w14:paraId="5711AE16" w14:textId="58597B49" w:rsidR="00E853FD" w:rsidRDefault="006136B3">
      <w:pPr>
        <w:pStyle w:val="12"/>
        <w:tabs>
          <w:tab w:val="right" w:leader="dot" w:pos="8302"/>
        </w:tabs>
        <w:spacing w:after="0" w:line="360" w:lineRule="auto"/>
        <w:jc w:val="center"/>
        <w:rPr>
          <w:rFonts w:ascii="宋体"/>
          <w:noProof/>
          <w:kern w:val="2"/>
          <w:sz w:val="24"/>
          <w:szCs w:val="24"/>
        </w:rPr>
      </w:pPr>
      <w:hyperlink w:anchor="_Toc440289555" w:history="1">
        <w:r w:rsidR="00FE7D53">
          <w:rPr>
            <w:rStyle w:val="af3"/>
            <w:rFonts w:ascii="宋体" w:hAnsi="宋体" w:hint="eastAsia"/>
            <w:noProof/>
            <w:sz w:val="24"/>
            <w:szCs w:val="24"/>
          </w:rPr>
          <w:t>二十、其他事项</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_Toc440289555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49</w:t>
        </w:r>
        <w:r w:rsidR="00FE7D53">
          <w:rPr>
            <w:rFonts w:ascii="宋体" w:hAnsi="宋体"/>
            <w:noProof/>
            <w:sz w:val="24"/>
            <w:szCs w:val="24"/>
          </w:rPr>
          <w:fldChar w:fldCharType="end"/>
        </w:r>
      </w:hyperlink>
    </w:p>
    <w:p w14:paraId="5C505AC8" w14:textId="00EC37AD" w:rsidR="00E853FD" w:rsidRDefault="006136B3">
      <w:pPr>
        <w:pStyle w:val="12"/>
        <w:tabs>
          <w:tab w:val="right" w:leader="dot" w:pos="8302"/>
        </w:tabs>
        <w:spacing w:after="0" w:line="360" w:lineRule="auto"/>
        <w:jc w:val="center"/>
        <w:rPr>
          <w:rFonts w:ascii="宋体"/>
          <w:noProof/>
          <w:kern w:val="2"/>
          <w:sz w:val="24"/>
          <w:szCs w:val="24"/>
        </w:rPr>
      </w:pPr>
      <w:hyperlink w:anchor="_Toc440289557" w:history="1">
        <w:r w:rsidR="00FE7D53">
          <w:rPr>
            <w:rStyle w:val="af3"/>
            <w:rFonts w:ascii="宋体" w:hAnsi="宋体" w:hint="eastAsia"/>
            <w:noProof/>
            <w:sz w:val="24"/>
            <w:szCs w:val="24"/>
          </w:rPr>
          <w:t>二十一、托管协议的签订</w:t>
        </w:r>
        <w:r w:rsidR="00FE7D53">
          <w:rPr>
            <w:rFonts w:ascii="宋体"/>
            <w:noProof/>
            <w:sz w:val="24"/>
            <w:szCs w:val="24"/>
          </w:rPr>
          <w:tab/>
        </w:r>
        <w:r w:rsidR="00FE7D53">
          <w:rPr>
            <w:rFonts w:ascii="宋体" w:hAnsi="宋体"/>
            <w:noProof/>
            <w:sz w:val="24"/>
            <w:szCs w:val="24"/>
          </w:rPr>
          <w:fldChar w:fldCharType="begin"/>
        </w:r>
        <w:r w:rsidR="00FE7D53">
          <w:rPr>
            <w:rFonts w:ascii="宋体" w:hAnsi="宋体"/>
            <w:noProof/>
            <w:sz w:val="24"/>
            <w:szCs w:val="24"/>
          </w:rPr>
          <w:instrText xml:space="preserve"> PAGEREF _Toc440289557 \h </w:instrText>
        </w:r>
        <w:r w:rsidR="00FE7D53">
          <w:rPr>
            <w:rFonts w:ascii="宋体" w:hAnsi="宋体"/>
            <w:noProof/>
            <w:sz w:val="24"/>
            <w:szCs w:val="24"/>
          </w:rPr>
        </w:r>
        <w:r w:rsidR="00FE7D53">
          <w:rPr>
            <w:rFonts w:ascii="宋体" w:hAnsi="宋体"/>
            <w:noProof/>
            <w:sz w:val="24"/>
            <w:szCs w:val="24"/>
          </w:rPr>
          <w:fldChar w:fldCharType="separate"/>
        </w:r>
        <w:r w:rsidR="00B440B0">
          <w:rPr>
            <w:rFonts w:ascii="宋体" w:hAnsi="宋体"/>
            <w:noProof/>
            <w:sz w:val="24"/>
            <w:szCs w:val="24"/>
          </w:rPr>
          <w:t>50</w:t>
        </w:r>
        <w:r w:rsidR="00FE7D53">
          <w:rPr>
            <w:rFonts w:ascii="宋体" w:hAnsi="宋体"/>
            <w:noProof/>
            <w:sz w:val="24"/>
            <w:szCs w:val="24"/>
          </w:rPr>
          <w:fldChar w:fldCharType="end"/>
        </w:r>
      </w:hyperlink>
    </w:p>
    <w:p w14:paraId="11B78DDD" w14:textId="77777777" w:rsidR="00E853FD" w:rsidRDefault="00FE7D53">
      <w:pPr>
        <w:spacing w:line="360" w:lineRule="auto"/>
        <w:jc w:val="center"/>
        <w:rPr>
          <w:rFonts w:ascii="宋体"/>
          <w:sz w:val="24"/>
          <w:szCs w:val="24"/>
        </w:rPr>
      </w:pPr>
      <w:r>
        <w:rPr>
          <w:rFonts w:ascii="宋体" w:hAnsi="宋体"/>
          <w:sz w:val="24"/>
          <w:szCs w:val="24"/>
        </w:rPr>
        <w:fldChar w:fldCharType="end"/>
      </w:r>
    </w:p>
    <w:p w14:paraId="49CA1DA4" w14:textId="77777777" w:rsidR="00E853FD" w:rsidRDefault="00E853FD">
      <w:pPr>
        <w:spacing w:line="360" w:lineRule="auto"/>
        <w:ind w:firstLineChars="200" w:firstLine="480"/>
        <w:rPr>
          <w:rFonts w:ascii="宋体"/>
          <w:sz w:val="24"/>
          <w:szCs w:val="24"/>
        </w:rPr>
      </w:pPr>
    </w:p>
    <w:p w14:paraId="689565DE" w14:textId="77777777" w:rsidR="00E853FD" w:rsidRDefault="00E853FD">
      <w:pPr>
        <w:spacing w:line="360" w:lineRule="auto"/>
        <w:ind w:firstLineChars="200" w:firstLine="480"/>
        <w:rPr>
          <w:rFonts w:ascii="宋体"/>
          <w:sz w:val="24"/>
          <w:szCs w:val="24"/>
        </w:rPr>
        <w:sectPr w:rsidR="00E853FD" w:rsidSect="00B440B0">
          <w:headerReference w:type="default" r:id="rId9"/>
          <w:footerReference w:type="default" r:id="rId10"/>
          <w:headerReference w:type="first" r:id="rId11"/>
          <w:footerReference w:type="first" r:id="rId12"/>
          <w:pgSz w:w="11906" w:h="16838"/>
          <w:pgMar w:top="1440" w:right="1797" w:bottom="1440" w:left="1797" w:header="851" w:footer="992" w:gutter="0"/>
          <w:pgNumType w:start="1"/>
          <w:cols w:space="720"/>
          <w:docGrid w:type="lines" w:linePitch="312"/>
        </w:sectPr>
      </w:pPr>
    </w:p>
    <w:p w14:paraId="4671F540" w14:textId="77777777" w:rsidR="00E853FD" w:rsidRDefault="00E853FD">
      <w:pPr>
        <w:spacing w:line="360" w:lineRule="auto"/>
        <w:ind w:firstLineChars="200" w:firstLine="480"/>
        <w:rPr>
          <w:rFonts w:ascii="宋体"/>
          <w:sz w:val="24"/>
          <w:szCs w:val="24"/>
        </w:rPr>
      </w:pPr>
    </w:p>
    <w:p w14:paraId="1CDA7EE7" w14:textId="2FF1E917" w:rsidR="00E853FD" w:rsidRDefault="00FE7D53">
      <w:pPr>
        <w:spacing w:line="360" w:lineRule="auto"/>
        <w:ind w:firstLineChars="200" w:firstLine="480"/>
        <w:rPr>
          <w:rFonts w:ascii="宋体"/>
          <w:sz w:val="24"/>
          <w:szCs w:val="24"/>
        </w:rPr>
      </w:pPr>
      <w:r>
        <w:rPr>
          <w:rFonts w:ascii="宋体" w:hAnsi="宋体" w:hint="eastAsia"/>
          <w:sz w:val="24"/>
          <w:szCs w:val="24"/>
        </w:rPr>
        <w:t>鉴于</w:t>
      </w:r>
      <w:r w:rsidR="00FB4C2A">
        <w:rPr>
          <w:bCs/>
          <w:sz w:val="24"/>
        </w:rPr>
        <w:t>广发基金管理有限公司</w:t>
      </w:r>
      <w:r>
        <w:rPr>
          <w:rFonts w:ascii="宋体" w:hAnsi="宋体" w:hint="eastAsia"/>
          <w:sz w:val="24"/>
          <w:szCs w:val="24"/>
        </w:rPr>
        <w:t>系一家依照中国法律合法成立并有效存续的有限责任公司，按照相关法律法规的规定具备担任基金管理人的资格和能力，拟募集发行</w:t>
      </w:r>
      <w:r w:rsidR="00FB4C2A">
        <w:rPr>
          <w:bCs/>
          <w:sz w:val="24"/>
        </w:rPr>
        <w:t>广发中证全指指数增强型证券投资基金</w:t>
      </w:r>
      <w:r>
        <w:rPr>
          <w:rFonts w:ascii="宋体" w:hAnsi="宋体" w:hint="eastAsia"/>
          <w:sz w:val="24"/>
          <w:szCs w:val="24"/>
        </w:rPr>
        <w:t>；</w:t>
      </w:r>
    </w:p>
    <w:p w14:paraId="054337EB" w14:textId="77777777" w:rsidR="00E853FD" w:rsidRDefault="00FE7D53">
      <w:pPr>
        <w:spacing w:line="360" w:lineRule="auto"/>
        <w:ind w:firstLineChars="200" w:firstLine="480"/>
        <w:rPr>
          <w:rFonts w:ascii="宋体"/>
          <w:sz w:val="24"/>
          <w:szCs w:val="24"/>
        </w:rPr>
      </w:pPr>
      <w:r>
        <w:rPr>
          <w:rFonts w:ascii="宋体" w:hAnsi="宋体" w:hint="eastAsia"/>
          <w:sz w:val="24"/>
          <w:szCs w:val="24"/>
        </w:rPr>
        <w:t>鉴于中国光大银行股份有限公司系一家依照中国法律合法成立并有效存续的银行，按照相关法律法规的规定具备担任基金托管人的资格和能力；</w:t>
      </w:r>
    </w:p>
    <w:p w14:paraId="7EC4D73B" w14:textId="22650423" w:rsidR="00E853FD" w:rsidRDefault="00FE7D53">
      <w:pPr>
        <w:spacing w:line="360" w:lineRule="auto"/>
        <w:ind w:firstLineChars="200" w:firstLine="480"/>
        <w:rPr>
          <w:rFonts w:ascii="宋体"/>
          <w:sz w:val="24"/>
          <w:szCs w:val="24"/>
        </w:rPr>
      </w:pPr>
      <w:r>
        <w:rPr>
          <w:rFonts w:ascii="宋体" w:hAnsi="宋体" w:hint="eastAsia"/>
          <w:sz w:val="24"/>
          <w:szCs w:val="24"/>
        </w:rPr>
        <w:t>鉴于</w:t>
      </w:r>
      <w:r w:rsidR="00FB4C2A">
        <w:rPr>
          <w:bCs/>
          <w:sz w:val="24"/>
        </w:rPr>
        <w:t>广发基金管理有限公司</w:t>
      </w:r>
      <w:r>
        <w:rPr>
          <w:rFonts w:ascii="宋体" w:hAnsi="宋体" w:hint="eastAsia"/>
          <w:sz w:val="24"/>
          <w:szCs w:val="24"/>
        </w:rPr>
        <w:t>拟担任</w:t>
      </w:r>
      <w:r w:rsidR="00FB4C2A">
        <w:rPr>
          <w:bCs/>
          <w:sz w:val="24"/>
        </w:rPr>
        <w:t>广发中证全指指数增强型证券投资基金</w:t>
      </w:r>
      <w:r>
        <w:rPr>
          <w:rFonts w:ascii="宋体" w:hAnsi="宋体" w:hint="eastAsia"/>
          <w:sz w:val="24"/>
          <w:szCs w:val="24"/>
        </w:rPr>
        <w:t>的基金管理人，中国光大银行股份有限公司拟担任</w:t>
      </w:r>
      <w:r w:rsidR="00FB4C2A">
        <w:rPr>
          <w:bCs/>
          <w:sz w:val="24"/>
        </w:rPr>
        <w:t>广发中证全指指数增强型证券投资基金</w:t>
      </w:r>
      <w:r>
        <w:rPr>
          <w:rFonts w:ascii="宋体" w:hAnsi="宋体" w:hint="eastAsia"/>
          <w:sz w:val="24"/>
          <w:szCs w:val="24"/>
        </w:rPr>
        <w:t>的基金托管人；</w:t>
      </w:r>
    </w:p>
    <w:p w14:paraId="608200B9" w14:textId="2D1C6837" w:rsidR="00E853FD" w:rsidRDefault="00FE7D53">
      <w:pPr>
        <w:spacing w:line="360" w:lineRule="auto"/>
        <w:ind w:firstLineChars="200" w:firstLine="480"/>
        <w:rPr>
          <w:rFonts w:ascii="宋体"/>
          <w:sz w:val="24"/>
          <w:szCs w:val="24"/>
        </w:rPr>
      </w:pPr>
      <w:r>
        <w:rPr>
          <w:rFonts w:ascii="宋体" w:hAnsi="宋体" w:hint="eastAsia"/>
          <w:sz w:val="24"/>
          <w:szCs w:val="24"/>
        </w:rPr>
        <w:t>为明确</w:t>
      </w:r>
      <w:r w:rsidR="00FB4C2A">
        <w:rPr>
          <w:bCs/>
          <w:sz w:val="24"/>
        </w:rPr>
        <w:t>广发中证全指指数增强型证券投资基金</w:t>
      </w:r>
      <w:r>
        <w:rPr>
          <w:rFonts w:ascii="宋体" w:hAnsi="宋体" w:hint="eastAsia"/>
          <w:sz w:val="24"/>
          <w:szCs w:val="24"/>
        </w:rPr>
        <w:t>的基金管理人和基金托管人之间的权利义务关系，特制订本托管协议；</w:t>
      </w:r>
    </w:p>
    <w:p w14:paraId="766290A5" w14:textId="0B617A7D" w:rsidR="00E853FD" w:rsidRDefault="00FE7D53">
      <w:pPr>
        <w:spacing w:line="360" w:lineRule="auto"/>
        <w:ind w:firstLineChars="200" w:firstLine="480"/>
        <w:rPr>
          <w:rFonts w:ascii="宋体"/>
          <w:sz w:val="24"/>
          <w:szCs w:val="24"/>
        </w:rPr>
      </w:pPr>
      <w:r>
        <w:rPr>
          <w:rFonts w:ascii="宋体" w:hAnsi="宋体" w:hint="eastAsia"/>
          <w:sz w:val="24"/>
          <w:szCs w:val="24"/>
        </w:rPr>
        <w:t>除非另有约定，《</w:t>
      </w:r>
      <w:r w:rsidR="00FB4C2A">
        <w:rPr>
          <w:bCs/>
          <w:sz w:val="24"/>
        </w:rPr>
        <w:t>广发中证全指指数增强型证券投资基金</w:t>
      </w:r>
      <w:r>
        <w:rPr>
          <w:rFonts w:ascii="宋体" w:hAnsi="宋体" w:hint="eastAsia"/>
          <w:sz w:val="24"/>
          <w:szCs w:val="24"/>
        </w:rPr>
        <w:t>基金合同》</w:t>
      </w:r>
      <w:r>
        <w:rPr>
          <w:rFonts w:ascii="宋体" w:hAnsi="宋体"/>
          <w:sz w:val="24"/>
          <w:szCs w:val="24"/>
        </w:rPr>
        <w:t>(</w:t>
      </w:r>
      <w:r>
        <w:rPr>
          <w:rFonts w:ascii="宋体" w:hAnsi="宋体" w:hint="eastAsia"/>
          <w:sz w:val="24"/>
          <w:szCs w:val="24"/>
        </w:rPr>
        <w:t>以下简称“基金合同”</w:t>
      </w:r>
      <w:r>
        <w:rPr>
          <w:rFonts w:ascii="宋体" w:hAnsi="宋体"/>
          <w:sz w:val="24"/>
          <w:szCs w:val="24"/>
        </w:rPr>
        <w:t>)</w:t>
      </w:r>
      <w:r>
        <w:rPr>
          <w:rFonts w:ascii="宋体" w:hAnsi="宋体" w:hint="eastAsia"/>
          <w:sz w:val="24"/>
          <w:szCs w:val="24"/>
        </w:rPr>
        <w:t>中定义的术语在用于本托管协议时应具有相同的含义；若有抵触应以基金合同为准，并依其条款解释。</w:t>
      </w:r>
    </w:p>
    <w:p w14:paraId="3E54092C" w14:textId="77777777" w:rsidR="00E853FD" w:rsidRDefault="00FE7D53">
      <w:pPr>
        <w:spacing w:afterLines="100" w:after="312" w:line="360" w:lineRule="auto"/>
        <w:jc w:val="center"/>
        <w:outlineLvl w:val="0"/>
      </w:pPr>
      <w:bookmarkStart w:id="5" w:name="_GoBack"/>
      <w:bookmarkEnd w:id="5"/>
      <w:r>
        <w:rPr>
          <w:rFonts w:ascii="宋体"/>
          <w:sz w:val="24"/>
          <w:szCs w:val="24"/>
        </w:rPr>
        <w:br w:type="page"/>
      </w:r>
      <w:bookmarkStart w:id="6" w:name="_Toc440289529"/>
      <w:r>
        <w:rPr>
          <w:rFonts w:hint="eastAsia"/>
          <w:b/>
          <w:sz w:val="30"/>
          <w:szCs w:val="30"/>
        </w:rPr>
        <w:lastRenderedPageBreak/>
        <w:t>一、基金托管协议当事人</w:t>
      </w:r>
      <w:bookmarkEnd w:id="6"/>
    </w:p>
    <w:p w14:paraId="38F0A0F2" w14:textId="77777777" w:rsidR="00E853FD" w:rsidRDefault="00FE7D53">
      <w:pPr>
        <w:spacing w:line="360" w:lineRule="auto"/>
        <w:ind w:firstLineChars="200" w:firstLine="480"/>
        <w:rPr>
          <w:rFonts w:ascii="宋体"/>
          <w:sz w:val="24"/>
          <w:szCs w:val="24"/>
          <w:highlight w:val="yellow"/>
        </w:rPr>
      </w:pPr>
      <w:r>
        <w:rPr>
          <w:rFonts w:ascii="宋体" w:hAnsi="宋体" w:hint="eastAsia"/>
          <w:sz w:val="24"/>
          <w:szCs w:val="24"/>
        </w:rPr>
        <w:t>（一）基金管理人</w:t>
      </w:r>
    </w:p>
    <w:p w14:paraId="0ACFDE66" w14:textId="77777777" w:rsidR="009D5025" w:rsidRPr="009D5025" w:rsidRDefault="00FE7D53" w:rsidP="009D5025">
      <w:pPr>
        <w:spacing w:line="360" w:lineRule="auto"/>
        <w:ind w:firstLineChars="200" w:firstLine="480"/>
        <w:rPr>
          <w:rFonts w:ascii="宋体" w:hAnsi="宋体"/>
          <w:sz w:val="24"/>
          <w:szCs w:val="24"/>
        </w:rPr>
      </w:pPr>
      <w:r>
        <w:rPr>
          <w:rFonts w:ascii="宋体" w:hAnsi="宋体" w:hint="eastAsia"/>
          <w:sz w:val="24"/>
          <w:szCs w:val="24"/>
        </w:rPr>
        <w:t>名</w:t>
      </w:r>
      <w:r w:rsidR="009D5025" w:rsidRPr="009D5025">
        <w:rPr>
          <w:rFonts w:ascii="宋体" w:hAnsi="宋体" w:hint="eastAsia"/>
          <w:sz w:val="24"/>
          <w:szCs w:val="24"/>
        </w:rPr>
        <w:t>称：广发基金管理有限公司</w:t>
      </w:r>
    </w:p>
    <w:p w14:paraId="63939365" w14:textId="77777777" w:rsidR="009D5025" w:rsidRPr="009D5025" w:rsidRDefault="009D5025" w:rsidP="009D5025">
      <w:pPr>
        <w:spacing w:line="360" w:lineRule="auto"/>
        <w:ind w:firstLineChars="200" w:firstLine="480"/>
        <w:rPr>
          <w:rFonts w:ascii="宋体" w:hAnsi="宋体"/>
          <w:sz w:val="24"/>
          <w:szCs w:val="24"/>
        </w:rPr>
      </w:pPr>
      <w:r w:rsidRPr="009D5025">
        <w:rPr>
          <w:rFonts w:ascii="宋体" w:hAnsi="宋体" w:hint="eastAsia"/>
          <w:sz w:val="24"/>
          <w:szCs w:val="24"/>
        </w:rPr>
        <w:t>住所：广东省珠海市横琴新区环岛东路3018号2608室</w:t>
      </w:r>
    </w:p>
    <w:p w14:paraId="2F8A6734" w14:textId="77777777" w:rsidR="009D5025" w:rsidRPr="009D5025" w:rsidRDefault="009D5025" w:rsidP="009D5025">
      <w:pPr>
        <w:spacing w:line="360" w:lineRule="auto"/>
        <w:ind w:firstLineChars="200" w:firstLine="480"/>
        <w:rPr>
          <w:rFonts w:ascii="宋体" w:hAnsi="宋体"/>
          <w:sz w:val="24"/>
          <w:szCs w:val="24"/>
        </w:rPr>
      </w:pPr>
      <w:r w:rsidRPr="009D5025">
        <w:rPr>
          <w:rFonts w:ascii="宋体" w:hAnsi="宋体" w:hint="eastAsia"/>
          <w:sz w:val="24"/>
          <w:szCs w:val="24"/>
        </w:rPr>
        <w:t>法定代表人：葛长伟</w:t>
      </w:r>
    </w:p>
    <w:p w14:paraId="6BA603BD" w14:textId="77777777" w:rsidR="009D5025" w:rsidRPr="009D5025" w:rsidRDefault="009D5025" w:rsidP="009D5025">
      <w:pPr>
        <w:spacing w:line="360" w:lineRule="auto"/>
        <w:ind w:firstLineChars="200" w:firstLine="480"/>
        <w:rPr>
          <w:rFonts w:ascii="宋体" w:hAnsi="宋体"/>
          <w:sz w:val="24"/>
          <w:szCs w:val="24"/>
        </w:rPr>
      </w:pPr>
      <w:r w:rsidRPr="009D5025">
        <w:rPr>
          <w:rFonts w:ascii="宋体" w:hAnsi="宋体" w:hint="eastAsia"/>
          <w:sz w:val="24"/>
          <w:szCs w:val="24"/>
        </w:rPr>
        <w:t>设立日期：2003年8月5日</w:t>
      </w:r>
    </w:p>
    <w:p w14:paraId="5AEA5F4C" w14:textId="77777777" w:rsidR="009D5025" w:rsidRPr="009D5025" w:rsidRDefault="009D5025" w:rsidP="009D5025">
      <w:pPr>
        <w:spacing w:line="360" w:lineRule="auto"/>
        <w:ind w:firstLineChars="200" w:firstLine="480"/>
        <w:rPr>
          <w:rFonts w:ascii="宋体" w:hAnsi="宋体"/>
          <w:sz w:val="24"/>
          <w:szCs w:val="24"/>
        </w:rPr>
      </w:pPr>
      <w:r w:rsidRPr="009D5025">
        <w:rPr>
          <w:rFonts w:ascii="宋体" w:hAnsi="宋体" w:hint="eastAsia"/>
          <w:sz w:val="24"/>
          <w:szCs w:val="24"/>
        </w:rPr>
        <w:t>批准设立机关及批准设立文号：中国证券监督管理委员会证监基金字[2003]91号</w:t>
      </w:r>
    </w:p>
    <w:p w14:paraId="6C56C757" w14:textId="77777777" w:rsidR="009D5025" w:rsidRPr="009D5025" w:rsidRDefault="009D5025" w:rsidP="009D5025">
      <w:pPr>
        <w:spacing w:line="360" w:lineRule="auto"/>
        <w:ind w:firstLineChars="200" w:firstLine="480"/>
        <w:rPr>
          <w:rFonts w:ascii="宋体" w:hAnsi="宋体"/>
          <w:sz w:val="24"/>
          <w:szCs w:val="24"/>
        </w:rPr>
      </w:pPr>
      <w:r w:rsidRPr="009D5025">
        <w:rPr>
          <w:rFonts w:ascii="宋体" w:hAnsi="宋体" w:hint="eastAsia"/>
          <w:sz w:val="24"/>
          <w:szCs w:val="24"/>
        </w:rPr>
        <w:t>组织形式：有限责任公司</w:t>
      </w:r>
    </w:p>
    <w:p w14:paraId="582A418D" w14:textId="77777777" w:rsidR="009D5025" w:rsidRPr="009D5025" w:rsidRDefault="009D5025" w:rsidP="009D5025">
      <w:pPr>
        <w:spacing w:line="360" w:lineRule="auto"/>
        <w:ind w:firstLineChars="200" w:firstLine="480"/>
        <w:rPr>
          <w:rFonts w:ascii="宋体" w:hAnsi="宋体"/>
          <w:sz w:val="24"/>
          <w:szCs w:val="24"/>
        </w:rPr>
      </w:pPr>
      <w:r w:rsidRPr="009D5025">
        <w:rPr>
          <w:rFonts w:ascii="宋体" w:hAnsi="宋体" w:hint="eastAsia"/>
          <w:sz w:val="24"/>
          <w:szCs w:val="24"/>
        </w:rPr>
        <w:t>注册资本：14,097.8万元人民币</w:t>
      </w:r>
    </w:p>
    <w:p w14:paraId="00249B98" w14:textId="5FD79468" w:rsidR="00E853FD" w:rsidRDefault="009D5025" w:rsidP="009D5025">
      <w:pPr>
        <w:spacing w:line="360" w:lineRule="auto"/>
        <w:ind w:firstLineChars="200" w:firstLine="480"/>
        <w:rPr>
          <w:rFonts w:ascii="宋体"/>
          <w:sz w:val="24"/>
          <w:szCs w:val="24"/>
        </w:rPr>
      </w:pPr>
      <w:r w:rsidRPr="009D5025">
        <w:rPr>
          <w:rFonts w:ascii="宋体" w:hAnsi="宋体" w:hint="eastAsia"/>
          <w:sz w:val="24"/>
          <w:szCs w:val="24"/>
        </w:rPr>
        <w:t>存续期限：持续经营</w:t>
      </w:r>
    </w:p>
    <w:p w14:paraId="1771C67A" w14:textId="77777777" w:rsidR="00E853FD" w:rsidRDefault="00E853FD">
      <w:pPr>
        <w:spacing w:line="360" w:lineRule="auto"/>
        <w:ind w:firstLineChars="200" w:firstLine="480"/>
        <w:rPr>
          <w:rFonts w:ascii="宋体"/>
          <w:sz w:val="24"/>
          <w:szCs w:val="24"/>
        </w:rPr>
      </w:pPr>
    </w:p>
    <w:p w14:paraId="02D7E8E7"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（二）基金托管人</w:t>
      </w:r>
    </w:p>
    <w:p w14:paraId="300E98B4" w14:textId="77777777" w:rsidR="00E853FD" w:rsidRDefault="00FE7D53">
      <w:pPr>
        <w:spacing w:line="360" w:lineRule="auto"/>
        <w:ind w:firstLineChars="200" w:firstLine="480"/>
        <w:rPr>
          <w:rFonts w:ascii="宋体"/>
          <w:sz w:val="24"/>
          <w:szCs w:val="24"/>
        </w:rPr>
      </w:pPr>
      <w:r>
        <w:rPr>
          <w:rFonts w:ascii="宋体" w:hAnsi="宋体" w:hint="eastAsia"/>
          <w:sz w:val="24"/>
          <w:szCs w:val="24"/>
        </w:rPr>
        <w:t>名称：中国光大银行股份有限公司</w:t>
      </w:r>
    </w:p>
    <w:p w14:paraId="3B04F290" w14:textId="77777777" w:rsidR="00E853FD" w:rsidRDefault="00FE7D53">
      <w:pPr>
        <w:spacing w:line="360" w:lineRule="auto"/>
        <w:ind w:firstLineChars="200" w:firstLine="480"/>
        <w:rPr>
          <w:rFonts w:ascii="宋体"/>
          <w:sz w:val="24"/>
          <w:szCs w:val="24"/>
        </w:rPr>
      </w:pPr>
      <w:r>
        <w:rPr>
          <w:rFonts w:ascii="宋体" w:hAnsi="宋体" w:hint="eastAsia"/>
          <w:sz w:val="24"/>
          <w:szCs w:val="24"/>
        </w:rPr>
        <w:t>住所：北京市西城区太平桥大街25 号、甲25 号中国光大中心</w:t>
      </w:r>
    </w:p>
    <w:p w14:paraId="47DA51AC" w14:textId="77777777" w:rsidR="00E853FD" w:rsidRDefault="00FE7D53">
      <w:pPr>
        <w:spacing w:line="360" w:lineRule="auto"/>
        <w:ind w:firstLineChars="200" w:firstLine="480"/>
        <w:rPr>
          <w:rFonts w:ascii="宋体"/>
          <w:sz w:val="24"/>
          <w:szCs w:val="24"/>
        </w:rPr>
      </w:pPr>
      <w:r>
        <w:rPr>
          <w:rFonts w:ascii="宋体" w:hAnsi="宋体" w:hint="eastAsia"/>
          <w:sz w:val="24"/>
          <w:szCs w:val="24"/>
        </w:rPr>
        <w:t>邮政编码：</w:t>
      </w:r>
      <w:r>
        <w:rPr>
          <w:rFonts w:ascii="宋体" w:hAnsi="宋体"/>
          <w:sz w:val="24"/>
          <w:szCs w:val="24"/>
        </w:rPr>
        <w:t>100033</w:t>
      </w:r>
    </w:p>
    <w:p w14:paraId="1D7BFD11" w14:textId="77777777" w:rsidR="00E853FD" w:rsidRDefault="00FE7D53">
      <w:pPr>
        <w:spacing w:line="360" w:lineRule="auto"/>
        <w:ind w:firstLineChars="200" w:firstLine="480"/>
        <w:rPr>
          <w:rFonts w:ascii="宋体"/>
          <w:sz w:val="24"/>
          <w:szCs w:val="24"/>
        </w:rPr>
      </w:pPr>
      <w:r>
        <w:rPr>
          <w:rFonts w:ascii="宋体" w:hAnsi="宋体" w:hint="eastAsia"/>
          <w:sz w:val="24"/>
          <w:szCs w:val="24"/>
        </w:rPr>
        <w:t>法定代表人：吴利军</w:t>
      </w:r>
    </w:p>
    <w:p w14:paraId="38A836E3" w14:textId="77777777" w:rsidR="00E853FD" w:rsidRDefault="00FE7D53">
      <w:pPr>
        <w:spacing w:line="360" w:lineRule="auto"/>
        <w:ind w:firstLineChars="200" w:firstLine="480"/>
        <w:rPr>
          <w:rFonts w:ascii="宋体"/>
          <w:sz w:val="24"/>
          <w:szCs w:val="24"/>
        </w:rPr>
      </w:pPr>
      <w:r>
        <w:rPr>
          <w:rFonts w:ascii="宋体" w:hAnsi="宋体" w:hint="eastAsia"/>
          <w:sz w:val="24"/>
          <w:szCs w:val="24"/>
        </w:rPr>
        <w:t>成立日期：</w:t>
      </w:r>
      <w:r>
        <w:rPr>
          <w:rFonts w:ascii="宋体" w:hAnsi="宋体"/>
          <w:sz w:val="24"/>
          <w:szCs w:val="24"/>
        </w:rPr>
        <w:t>1992</w:t>
      </w:r>
      <w:r>
        <w:rPr>
          <w:rFonts w:ascii="宋体" w:hAnsi="宋体" w:hint="eastAsia"/>
          <w:sz w:val="24"/>
          <w:szCs w:val="24"/>
        </w:rPr>
        <w:t>年</w:t>
      </w:r>
      <w:r>
        <w:rPr>
          <w:rFonts w:ascii="宋体" w:hAnsi="宋体"/>
          <w:sz w:val="24"/>
          <w:szCs w:val="24"/>
        </w:rPr>
        <w:t>6</w:t>
      </w:r>
      <w:r>
        <w:rPr>
          <w:rFonts w:ascii="宋体" w:hAnsi="宋体" w:hint="eastAsia"/>
          <w:sz w:val="24"/>
          <w:szCs w:val="24"/>
        </w:rPr>
        <w:t>月</w:t>
      </w:r>
      <w:r>
        <w:rPr>
          <w:rFonts w:ascii="宋体" w:hAnsi="宋体"/>
          <w:sz w:val="24"/>
          <w:szCs w:val="24"/>
        </w:rPr>
        <w:t>18</w:t>
      </w:r>
      <w:r>
        <w:rPr>
          <w:rFonts w:ascii="宋体" w:hAnsi="宋体" w:hint="eastAsia"/>
          <w:sz w:val="24"/>
          <w:szCs w:val="24"/>
        </w:rPr>
        <w:t>日</w:t>
      </w:r>
    </w:p>
    <w:p w14:paraId="284E87C5" w14:textId="77777777" w:rsidR="00E853FD" w:rsidRDefault="00FE7D53">
      <w:pPr>
        <w:spacing w:line="360" w:lineRule="auto"/>
        <w:ind w:firstLineChars="200" w:firstLine="480"/>
        <w:rPr>
          <w:rFonts w:ascii="宋体"/>
          <w:sz w:val="24"/>
          <w:szCs w:val="24"/>
        </w:rPr>
      </w:pPr>
      <w:r>
        <w:rPr>
          <w:rFonts w:ascii="宋体" w:hAnsi="宋体" w:hint="eastAsia"/>
          <w:sz w:val="24"/>
          <w:szCs w:val="24"/>
        </w:rPr>
        <w:t>批准设立机关和批准设立文号：国务院、国函</w:t>
      </w:r>
      <w:r>
        <w:rPr>
          <w:rFonts w:ascii="宋体" w:hAnsi="宋体"/>
          <w:sz w:val="24"/>
          <w:szCs w:val="24"/>
        </w:rPr>
        <w:t>[1992]7</w:t>
      </w:r>
      <w:r>
        <w:rPr>
          <w:rFonts w:ascii="宋体" w:hAnsi="宋体" w:hint="eastAsia"/>
          <w:sz w:val="24"/>
          <w:szCs w:val="24"/>
        </w:rPr>
        <w:t>号</w:t>
      </w:r>
    </w:p>
    <w:p w14:paraId="67BB5A38" w14:textId="77777777" w:rsidR="00E853FD" w:rsidRDefault="00FE7D53">
      <w:pPr>
        <w:spacing w:line="360" w:lineRule="auto"/>
        <w:ind w:firstLineChars="200" w:firstLine="480"/>
        <w:rPr>
          <w:rFonts w:ascii="宋体"/>
          <w:sz w:val="24"/>
          <w:szCs w:val="24"/>
        </w:rPr>
      </w:pPr>
      <w:r>
        <w:rPr>
          <w:rFonts w:ascii="宋体" w:hAnsi="宋体" w:hint="eastAsia"/>
          <w:sz w:val="24"/>
          <w:szCs w:val="24"/>
        </w:rPr>
        <w:t>组织形式：股份有限公司</w:t>
      </w:r>
    </w:p>
    <w:p w14:paraId="19810564" w14:textId="77777777" w:rsidR="00E853FD" w:rsidRDefault="00FE7D53">
      <w:pPr>
        <w:spacing w:line="360" w:lineRule="auto"/>
        <w:ind w:firstLineChars="200" w:firstLine="480"/>
        <w:rPr>
          <w:rFonts w:ascii="宋体" w:hAnsi="宋体" w:cs="宋体"/>
          <w:sz w:val="24"/>
          <w:szCs w:val="24"/>
        </w:rPr>
      </w:pPr>
      <w:r>
        <w:rPr>
          <w:rFonts w:ascii="宋体" w:hAnsi="宋体" w:hint="eastAsia"/>
          <w:sz w:val="24"/>
          <w:szCs w:val="24"/>
        </w:rPr>
        <w:t>注册资本：</w:t>
      </w:r>
      <w:r>
        <w:rPr>
          <w:rFonts w:ascii="宋体" w:hAnsi="宋体" w:cs="宋体" w:hint="eastAsia"/>
          <w:sz w:val="24"/>
          <w:szCs w:val="24"/>
        </w:rPr>
        <w:t>590.85551亿元人民币</w:t>
      </w:r>
    </w:p>
    <w:p w14:paraId="05B88827" w14:textId="77777777" w:rsidR="00E853FD" w:rsidRDefault="00FE7D53">
      <w:pPr>
        <w:spacing w:line="360" w:lineRule="auto"/>
        <w:ind w:firstLineChars="200" w:firstLine="480"/>
        <w:rPr>
          <w:rFonts w:ascii="宋体"/>
          <w:sz w:val="24"/>
          <w:szCs w:val="24"/>
        </w:rPr>
      </w:pPr>
      <w:r>
        <w:rPr>
          <w:rFonts w:ascii="宋体" w:hAnsi="宋体" w:hint="eastAsia"/>
          <w:sz w:val="24"/>
          <w:szCs w:val="24"/>
        </w:rPr>
        <w:t>存续期间：持续经营</w:t>
      </w:r>
    </w:p>
    <w:p w14:paraId="134BE3D6" w14:textId="77777777" w:rsidR="00E853FD" w:rsidRDefault="00FE7D53">
      <w:pPr>
        <w:spacing w:line="360" w:lineRule="auto"/>
        <w:ind w:firstLineChars="200" w:firstLine="480"/>
        <w:rPr>
          <w:rFonts w:ascii="宋体"/>
          <w:color w:val="000000"/>
          <w:sz w:val="24"/>
        </w:rPr>
      </w:pPr>
      <w:r>
        <w:rPr>
          <w:rFonts w:ascii="宋体" w:hAnsi="宋体" w:hint="eastAsia"/>
          <w:color w:val="000000"/>
          <w:sz w:val="24"/>
        </w:rPr>
        <w:t>基金托管资格批文及文号：证监基金字</w:t>
      </w:r>
      <w:r>
        <w:rPr>
          <w:rFonts w:ascii="宋体" w:hAnsi="宋体"/>
          <w:color w:val="000000"/>
          <w:sz w:val="24"/>
        </w:rPr>
        <w:t>[2002]75</w:t>
      </w:r>
      <w:r>
        <w:rPr>
          <w:rFonts w:ascii="宋体" w:hAnsi="宋体" w:hint="eastAsia"/>
          <w:color w:val="000000"/>
          <w:sz w:val="24"/>
        </w:rPr>
        <w:t>号</w:t>
      </w:r>
    </w:p>
    <w:p w14:paraId="61704DE6" w14:textId="77777777" w:rsidR="00E853FD" w:rsidRDefault="00E853FD">
      <w:pPr>
        <w:spacing w:line="360" w:lineRule="auto"/>
        <w:ind w:firstLineChars="200" w:firstLine="480"/>
        <w:rPr>
          <w:rFonts w:ascii="宋体"/>
          <w:sz w:val="24"/>
          <w:szCs w:val="24"/>
        </w:rPr>
      </w:pPr>
    </w:p>
    <w:p w14:paraId="2C69637F" w14:textId="77777777" w:rsidR="00E853FD" w:rsidRDefault="00FE7D53">
      <w:pPr>
        <w:spacing w:afterLines="100" w:after="312" w:line="360" w:lineRule="auto"/>
        <w:jc w:val="center"/>
        <w:outlineLvl w:val="0"/>
      </w:pPr>
      <w:r>
        <w:rPr>
          <w:rFonts w:ascii="宋体"/>
          <w:sz w:val="24"/>
          <w:szCs w:val="24"/>
        </w:rPr>
        <w:br w:type="page"/>
      </w:r>
      <w:bookmarkStart w:id="7" w:name="_Toc440289530"/>
      <w:r>
        <w:rPr>
          <w:rFonts w:hint="eastAsia"/>
          <w:b/>
          <w:sz w:val="30"/>
          <w:szCs w:val="30"/>
        </w:rPr>
        <w:lastRenderedPageBreak/>
        <w:t>二、基金托管协议的依据、目的、原则和解释</w:t>
      </w:r>
      <w:bookmarkEnd w:id="7"/>
    </w:p>
    <w:p w14:paraId="621ACB0A"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（一）订立托管协议的依据</w:t>
      </w:r>
    </w:p>
    <w:p w14:paraId="38EC188C" w14:textId="04F2647A" w:rsidR="00E853FD" w:rsidRDefault="00FE7D53">
      <w:pPr>
        <w:spacing w:line="360" w:lineRule="auto"/>
        <w:ind w:firstLineChars="200" w:firstLine="480"/>
        <w:rPr>
          <w:rFonts w:ascii="宋体"/>
          <w:sz w:val="24"/>
          <w:szCs w:val="24"/>
        </w:rPr>
      </w:pPr>
      <w:r>
        <w:rPr>
          <w:rFonts w:ascii="宋体" w:hAnsi="宋体" w:hint="eastAsia"/>
          <w:sz w:val="24"/>
          <w:szCs w:val="24"/>
        </w:rPr>
        <w:t>本协议依据《中华人民共和国民法典》、《中华人民共和国证券投资基金法》</w:t>
      </w:r>
      <w:r>
        <w:rPr>
          <w:rFonts w:ascii="宋体" w:hAnsi="宋体"/>
          <w:sz w:val="24"/>
          <w:szCs w:val="24"/>
        </w:rPr>
        <w:t>(</w:t>
      </w:r>
      <w:r>
        <w:rPr>
          <w:rFonts w:ascii="宋体" w:hAnsi="宋体" w:hint="eastAsia"/>
          <w:sz w:val="24"/>
          <w:szCs w:val="24"/>
        </w:rPr>
        <w:t>以下简称“《基金法》”</w:t>
      </w:r>
      <w:r>
        <w:rPr>
          <w:rFonts w:ascii="宋体" w:hAnsi="宋体"/>
          <w:sz w:val="24"/>
          <w:szCs w:val="24"/>
        </w:rPr>
        <w:t xml:space="preserve">) </w:t>
      </w:r>
      <w:r>
        <w:rPr>
          <w:rFonts w:ascii="宋体" w:hAnsi="宋体" w:hint="eastAsia"/>
          <w:sz w:val="24"/>
          <w:szCs w:val="24"/>
        </w:rPr>
        <w:t>《公开募集证券投资基金运作管理办法》（以下称“《运作办法》”）、《</w:t>
      </w:r>
      <w:r>
        <w:rPr>
          <w:rFonts w:ascii="宋体" w:hAnsi="宋体" w:cs="宋体" w:hint="eastAsia"/>
          <w:color w:val="000000"/>
          <w:sz w:val="24"/>
          <w:szCs w:val="24"/>
        </w:rPr>
        <w:t>公开募集</w:t>
      </w:r>
      <w:r>
        <w:rPr>
          <w:rFonts w:ascii="宋体" w:hAnsi="宋体" w:hint="eastAsia"/>
          <w:sz w:val="24"/>
          <w:szCs w:val="24"/>
        </w:rPr>
        <w:t>证券投资基金信息披露管理办法》（以下称“《信息披露办法》”）等有关法律法规、《</w:t>
      </w:r>
      <w:r w:rsidR="00FB4C2A">
        <w:rPr>
          <w:bCs/>
          <w:sz w:val="24"/>
        </w:rPr>
        <w:t>广发中证全指指数增强型证券投资基金</w:t>
      </w:r>
      <w:r>
        <w:rPr>
          <w:rFonts w:ascii="宋体" w:hAnsi="宋体" w:hint="eastAsia"/>
          <w:sz w:val="24"/>
          <w:szCs w:val="24"/>
        </w:rPr>
        <w:t>基金合同》（以下称“基金合同”）及其他有关规定制订。</w:t>
      </w:r>
    </w:p>
    <w:p w14:paraId="54768B80"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（二）订立托管协议的目的</w:t>
      </w:r>
    </w:p>
    <w:p w14:paraId="62D282C4" w14:textId="77777777" w:rsidR="00E853FD" w:rsidRDefault="00FE7D53">
      <w:pPr>
        <w:spacing w:line="360" w:lineRule="auto"/>
        <w:ind w:firstLineChars="200" w:firstLine="480"/>
        <w:rPr>
          <w:rFonts w:ascii="宋体"/>
          <w:sz w:val="24"/>
          <w:szCs w:val="24"/>
        </w:rPr>
      </w:pPr>
      <w:r>
        <w:rPr>
          <w:rFonts w:ascii="宋体" w:hAnsi="宋体" w:hint="eastAsia"/>
          <w:sz w:val="24"/>
          <w:szCs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40EF8E2B"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（三）订立托管协议的原则</w:t>
      </w:r>
    </w:p>
    <w:p w14:paraId="412DCFDA"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基金管理人和基金托管人本着平等自愿、诚实信用、充分保护基金份额持有人合法权益的原则，经协商一致，签订本协议。</w:t>
      </w:r>
    </w:p>
    <w:p w14:paraId="158BBBEF" w14:textId="77777777" w:rsidR="00E853FD" w:rsidRDefault="00FE7D53">
      <w:pPr>
        <w:spacing w:line="360" w:lineRule="auto"/>
        <w:ind w:firstLineChars="200" w:firstLine="480"/>
        <w:rPr>
          <w:rFonts w:ascii="宋体"/>
          <w:sz w:val="24"/>
          <w:szCs w:val="24"/>
        </w:rPr>
      </w:pPr>
      <w:r>
        <w:rPr>
          <w:rFonts w:ascii="宋体" w:hAnsi="宋体" w:hint="eastAsia"/>
          <w:sz w:val="24"/>
          <w:szCs w:val="24"/>
        </w:rPr>
        <w:t>（四）解释</w:t>
      </w:r>
    </w:p>
    <w:p w14:paraId="2CB57C38" w14:textId="77777777" w:rsidR="00E853FD" w:rsidRDefault="00FE7D53">
      <w:pPr>
        <w:spacing w:line="360" w:lineRule="auto"/>
        <w:ind w:firstLineChars="200" w:firstLine="480"/>
        <w:rPr>
          <w:rFonts w:ascii="宋体"/>
          <w:sz w:val="24"/>
          <w:szCs w:val="24"/>
        </w:rPr>
      </w:pPr>
      <w:r>
        <w:rPr>
          <w:rFonts w:ascii="宋体" w:hAnsi="宋体" w:hint="eastAsia"/>
          <w:sz w:val="24"/>
          <w:szCs w:val="24"/>
        </w:rPr>
        <w:t>除非文义另有所指，本托管协议的所有术语与基金合同的相应术语具有相同含义。</w:t>
      </w:r>
    </w:p>
    <w:p w14:paraId="496B3341" w14:textId="77777777" w:rsidR="00E853FD" w:rsidRDefault="00FE7D53">
      <w:pPr>
        <w:spacing w:afterLines="100" w:after="312" w:line="360" w:lineRule="auto"/>
        <w:jc w:val="center"/>
        <w:outlineLvl w:val="0"/>
      </w:pPr>
      <w:r>
        <w:rPr>
          <w:rFonts w:ascii="宋体"/>
          <w:sz w:val="24"/>
          <w:szCs w:val="24"/>
        </w:rPr>
        <w:br w:type="page"/>
      </w:r>
      <w:bookmarkStart w:id="8" w:name="_Toc440289531"/>
      <w:r>
        <w:rPr>
          <w:rFonts w:hint="eastAsia"/>
          <w:b/>
          <w:sz w:val="30"/>
          <w:szCs w:val="30"/>
        </w:rPr>
        <w:lastRenderedPageBreak/>
        <w:t>三、基金托管人对基金管理人的业务监督和核查</w:t>
      </w:r>
      <w:bookmarkEnd w:id="8"/>
    </w:p>
    <w:p w14:paraId="309A2652"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（一）基金托管人根据有关法律法规的规定及基金合同的约定，对基金投资范围、投资对象进行监督。</w:t>
      </w:r>
    </w:p>
    <w:p w14:paraId="623706C4" w14:textId="62054800" w:rsidR="00BD5C2E" w:rsidRPr="00BD5C2E" w:rsidRDefault="00BD5C2E" w:rsidP="00BD5C2E">
      <w:pPr>
        <w:spacing w:line="360" w:lineRule="auto"/>
        <w:ind w:firstLine="480"/>
        <w:rPr>
          <w:bCs/>
          <w:sz w:val="24"/>
        </w:rPr>
      </w:pPr>
      <w:r w:rsidRPr="00BD5C2E">
        <w:rPr>
          <w:rFonts w:hint="eastAsia"/>
          <w:bCs/>
          <w:sz w:val="24"/>
        </w:rPr>
        <w:t>本基金主要投资于标的指数（即中证全指指数）成份股、备选成份股（含存托凭证）。为更好地实现投资目标，本基金可少量投资于非成份股（包括科创板、创业板及其他依法发行上市的股票、存托凭证）、债券（包括国债、央行票据、金融债、企业债、公司债、次级债、地方政府债券、政府支持机构债券、中期票据、可转换债券（含分离交易可转债）、可交换债券、短期融资券、超短期融资券等）、股指期货、国债期货、股票期权、资产支持证券、银行存款、同业存单、债券回购、货币市场工具及中国证监会允许基金投资的其他金融工具，但须符合中国证监会的相关规定。</w:t>
      </w:r>
    </w:p>
    <w:p w14:paraId="740B73ED" w14:textId="77777777" w:rsidR="00BD5C2E" w:rsidRPr="00BD5C2E" w:rsidRDefault="00BD5C2E" w:rsidP="00BD5C2E">
      <w:pPr>
        <w:spacing w:line="360" w:lineRule="auto"/>
        <w:ind w:firstLine="480"/>
        <w:rPr>
          <w:bCs/>
          <w:sz w:val="24"/>
        </w:rPr>
      </w:pPr>
      <w:r w:rsidRPr="00BD5C2E">
        <w:rPr>
          <w:rFonts w:hint="eastAsia"/>
          <w:bCs/>
          <w:sz w:val="24"/>
        </w:rPr>
        <w:t>本基金可根据法律法规的规定参与融资、转融通证券出借业务。</w:t>
      </w:r>
    </w:p>
    <w:p w14:paraId="766B4C6C" w14:textId="77777777" w:rsidR="00BD5C2E" w:rsidRPr="00BD5C2E" w:rsidRDefault="00BD5C2E" w:rsidP="00BD5C2E">
      <w:pPr>
        <w:spacing w:line="360" w:lineRule="auto"/>
        <w:ind w:firstLine="480"/>
        <w:rPr>
          <w:bCs/>
          <w:sz w:val="24"/>
        </w:rPr>
      </w:pPr>
      <w:r w:rsidRPr="00BD5C2E">
        <w:rPr>
          <w:rFonts w:hint="eastAsia"/>
          <w:bCs/>
          <w:sz w:val="24"/>
        </w:rPr>
        <w:t>如法律法规或监管机构以后允许基金投资其他品种，基金管理人在履行适当程序后，可以将其纳入投资范围。</w:t>
      </w:r>
    </w:p>
    <w:p w14:paraId="0D5FB8DC" w14:textId="77777777" w:rsidR="00BD5C2E" w:rsidRPr="00BD5C2E" w:rsidRDefault="00BD5C2E" w:rsidP="00BD5C2E">
      <w:pPr>
        <w:spacing w:line="360" w:lineRule="auto"/>
        <w:ind w:firstLine="480"/>
        <w:rPr>
          <w:bCs/>
          <w:sz w:val="24"/>
        </w:rPr>
      </w:pPr>
      <w:r w:rsidRPr="00BD5C2E">
        <w:rPr>
          <w:rFonts w:hint="eastAsia"/>
          <w:bCs/>
          <w:sz w:val="24"/>
        </w:rPr>
        <w:t>本基金所持有的股票资产占基金资产的比例不低于</w:t>
      </w:r>
      <w:r w:rsidRPr="00BD5C2E">
        <w:rPr>
          <w:rFonts w:hint="eastAsia"/>
          <w:bCs/>
          <w:sz w:val="24"/>
        </w:rPr>
        <w:t>80%</w:t>
      </w:r>
      <w:r w:rsidRPr="00BD5C2E">
        <w:rPr>
          <w:rFonts w:hint="eastAsia"/>
          <w:bCs/>
          <w:sz w:val="24"/>
        </w:rPr>
        <w:t>，投资于标的指数成份股和备选成份股（含存托凭证）的比例不低于非现金基金资产的</w:t>
      </w:r>
      <w:r w:rsidRPr="00BD5C2E">
        <w:rPr>
          <w:rFonts w:hint="eastAsia"/>
          <w:bCs/>
          <w:sz w:val="24"/>
        </w:rPr>
        <w:t>80%</w:t>
      </w:r>
      <w:r w:rsidRPr="00BD5C2E">
        <w:rPr>
          <w:rFonts w:hint="eastAsia"/>
          <w:bCs/>
          <w:sz w:val="24"/>
        </w:rPr>
        <w:t>；本基金每个交易日日终在扣除股指期货合约、国债期货合约、股票期权合约需缴纳的交易保证金后，现金或到期日在一年以内的政府债券投资比例不低于基金资产净值的</w:t>
      </w:r>
      <w:r w:rsidRPr="00BD5C2E">
        <w:rPr>
          <w:rFonts w:hint="eastAsia"/>
          <w:bCs/>
          <w:sz w:val="24"/>
        </w:rPr>
        <w:t>5%</w:t>
      </w:r>
      <w:r w:rsidRPr="00BD5C2E">
        <w:rPr>
          <w:rFonts w:hint="eastAsia"/>
          <w:bCs/>
          <w:sz w:val="24"/>
        </w:rPr>
        <w:t>，其中现金不包括结算备付金、存出保证金、应收申购款等。</w:t>
      </w:r>
    </w:p>
    <w:p w14:paraId="24BCEC3C" w14:textId="2C437982" w:rsidR="00E853FD" w:rsidRDefault="00BD5C2E" w:rsidP="00BD5C2E">
      <w:pPr>
        <w:spacing w:line="360" w:lineRule="auto"/>
        <w:ind w:firstLine="480"/>
        <w:rPr>
          <w:bCs/>
          <w:sz w:val="24"/>
        </w:rPr>
      </w:pPr>
      <w:r w:rsidRPr="00BD5C2E">
        <w:rPr>
          <w:rFonts w:hint="eastAsia"/>
          <w:bCs/>
          <w:sz w:val="24"/>
        </w:rPr>
        <w:t>如法律法规或中国证监会变更投资品种的投资比例限制，基金管理人在履行适当程序后，可以调整上述投资品种的投资比例</w:t>
      </w:r>
      <w:r w:rsidR="00FE7D53">
        <w:rPr>
          <w:rFonts w:hint="eastAsia"/>
          <w:bCs/>
          <w:sz w:val="24"/>
        </w:rPr>
        <w:t>。</w:t>
      </w:r>
    </w:p>
    <w:p w14:paraId="336E74AB" w14:textId="77777777" w:rsidR="00DF1344" w:rsidRDefault="00DF1344">
      <w:pPr>
        <w:spacing w:line="360" w:lineRule="auto"/>
        <w:ind w:firstLineChars="200" w:firstLine="480"/>
        <w:rPr>
          <w:rFonts w:ascii="宋体" w:hAnsi="宋体"/>
          <w:sz w:val="24"/>
          <w:szCs w:val="24"/>
        </w:rPr>
      </w:pPr>
      <w:r w:rsidRPr="00DF1344">
        <w:rPr>
          <w:rFonts w:ascii="宋体" w:hAnsi="宋体" w:hint="eastAsia"/>
          <w:sz w:val="24"/>
          <w:szCs w:val="24"/>
        </w:rPr>
        <w:t>基金管理人在进行期权投资前，需与基金托管人就估值核算等事项进行沟通，并预留必要的系统升级与测试时间（如需）。</w:t>
      </w:r>
    </w:p>
    <w:p w14:paraId="7EBF8878" w14:textId="3D02E741" w:rsidR="00E853FD" w:rsidRDefault="00FE7D53">
      <w:pPr>
        <w:spacing w:line="360" w:lineRule="auto"/>
        <w:ind w:firstLineChars="200" w:firstLine="480"/>
        <w:rPr>
          <w:rFonts w:ascii="宋体"/>
          <w:sz w:val="24"/>
          <w:szCs w:val="24"/>
        </w:rPr>
      </w:pPr>
      <w:r>
        <w:rPr>
          <w:rFonts w:ascii="宋体" w:hAnsi="宋体" w:hint="eastAsia"/>
          <w:sz w:val="24"/>
          <w:szCs w:val="24"/>
        </w:rPr>
        <w:t>（二）基金托管人根据有关法律法规的规定及基金合同的约定，对基金投资、融资比例进行监督。基金托管人按下述比例和调整期限进行监督：</w:t>
      </w:r>
    </w:p>
    <w:p w14:paraId="7E356B11" w14:textId="77777777" w:rsidR="004806B6" w:rsidRPr="004806B6" w:rsidRDefault="00FE7D53" w:rsidP="004806B6">
      <w:pPr>
        <w:spacing w:line="360" w:lineRule="auto"/>
        <w:ind w:firstLineChars="200" w:firstLine="480"/>
        <w:rPr>
          <w:rFonts w:ascii="Times New Roman" w:hAnsi="Times New Roman"/>
          <w:sz w:val="24"/>
        </w:rPr>
      </w:pPr>
      <w:r>
        <w:rPr>
          <w:rFonts w:ascii="Times New Roman" w:hAnsi="Times New Roman" w:hint="eastAsia"/>
          <w:sz w:val="24"/>
        </w:rPr>
        <w:t>（</w:t>
      </w:r>
      <w:r w:rsidR="004806B6" w:rsidRPr="004806B6">
        <w:rPr>
          <w:rFonts w:ascii="Times New Roman" w:hAnsi="Times New Roman" w:hint="eastAsia"/>
          <w:sz w:val="24"/>
        </w:rPr>
        <w:t>1</w:t>
      </w:r>
      <w:r w:rsidR="004806B6" w:rsidRPr="004806B6">
        <w:rPr>
          <w:rFonts w:ascii="Times New Roman" w:hAnsi="Times New Roman" w:hint="eastAsia"/>
          <w:sz w:val="24"/>
        </w:rPr>
        <w:t>）本基金所持有的股票资产占基金资产的比例不低于</w:t>
      </w:r>
      <w:r w:rsidR="004806B6" w:rsidRPr="004806B6">
        <w:rPr>
          <w:rFonts w:ascii="Times New Roman" w:hAnsi="Times New Roman" w:hint="eastAsia"/>
          <w:sz w:val="24"/>
        </w:rPr>
        <w:t>80%</w:t>
      </w:r>
      <w:r w:rsidR="004806B6" w:rsidRPr="004806B6">
        <w:rPr>
          <w:rFonts w:ascii="Times New Roman" w:hAnsi="Times New Roman" w:hint="eastAsia"/>
          <w:sz w:val="24"/>
        </w:rPr>
        <w:t>，其中投资于标的指数成份股和备选成份股（含存托凭证）的比例不低于非现金基金资产的</w:t>
      </w:r>
      <w:r w:rsidR="004806B6" w:rsidRPr="004806B6">
        <w:rPr>
          <w:rFonts w:ascii="Times New Roman" w:hAnsi="Times New Roman" w:hint="eastAsia"/>
          <w:sz w:val="24"/>
        </w:rPr>
        <w:t>80%</w:t>
      </w:r>
      <w:r w:rsidR="004806B6" w:rsidRPr="004806B6">
        <w:rPr>
          <w:rFonts w:ascii="Times New Roman" w:hAnsi="Times New Roman" w:hint="eastAsia"/>
          <w:sz w:val="24"/>
        </w:rPr>
        <w:t>；</w:t>
      </w:r>
    </w:p>
    <w:p w14:paraId="62595C64"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lastRenderedPageBreak/>
        <w:t>（</w:t>
      </w:r>
      <w:r w:rsidRPr="004806B6">
        <w:rPr>
          <w:rFonts w:ascii="Times New Roman" w:hAnsi="Times New Roman" w:hint="eastAsia"/>
          <w:sz w:val="24"/>
        </w:rPr>
        <w:t>2</w:t>
      </w:r>
      <w:r w:rsidRPr="004806B6">
        <w:rPr>
          <w:rFonts w:ascii="Times New Roman" w:hAnsi="Times New Roman" w:hint="eastAsia"/>
          <w:sz w:val="24"/>
        </w:rPr>
        <w:t>）每个交易日日终在扣除股指期货合约、国债期货合约、股票期权合约需缴纳的交易保证金后，保持不低于基金资产净值</w:t>
      </w:r>
      <w:r w:rsidRPr="004806B6">
        <w:rPr>
          <w:rFonts w:ascii="Times New Roman" w:hAnsi="Times New Roman" w:hint="eastAsia"/>
          <w:sz w:val="24"/>
        </w:rPr>
        <w:t>5%</w:t>
      </w:r>
      <w:r w:rsidRPr="004806B6">
        <w:rPr>
          <w:rFonts w:ascii="Times New Roman" w:hAnsi="Times New Roman" w:hint="eastAsia"/>
          <w:sz w:val="24"/>
        </w:rPr>
        <w:t>的现金或到期日在一年以内的政府债券，其中现金不包括结算备付金、存出保证金、应收申购款等；</w:t>
      </w:r>
      <w:r w:rsidRPr="004806B6">
        <w:rPr>
          <w:rFonts w:ascii="Times New Roman" w:hAnsi="Times New Roman" w:hint="eastAsia"/>
          <w:sz w:val="24"/>
        </w:rPr>
        <w:t xml:space="preserve"> </w:t>
      </w:r>
    </w:p>
    <w:p w14:paraId="193A53DA"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3</w:t>
      </w:r>
      <w:r w:rsidRPr="004806B6">
        <w:rPr>
          <w:rFonts w:ascii="Times New Roman" w:hAnsi="Times New Roman" w:hint="eastAsia"/>
          <w:sz w:val="24"/>
        </w:rPr>
        <w:t>）本基金持有一家公司发行的证券，其市值不超过基金资产净值的</w:t>
      </w:r>
      <w:r w:rsidRPr="004806B6">
        <w:rPr>
          <w:rFonts w:ascii="Times New Roman" w:hAnsi="Times New Roman" w:hint="eastAsia"/>
          <w:sz w:val="24"/>
        </w:rPr>
        <w:t xml:space="preserve"> 10%</w:t>
      </w:r>
      <w:r w:rsidRPr="004806B6">
        <w:rPr>
          <w:rFonts w:ascii="Times New Roman" w:hAnsi="Times New Roman" w:hint="eastAsia"/>
          <w:sz w:val="24"/>
        </w:rPr>
        <w:t>，完全按照有关指数的构成比例进行证券投资的基金品种可以不受前述比例限制；</w:t>
      </w:r>
    </w:p>
    <w:p w14:paraId="6DAF9EC5"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4</w:t>
      </w:r>
      <w:r w:rsidRPr="004806B6">
        <w:rPr>
          <w:rFonts w:ascii="Times New Roman" w:hAnsi="Times New Roman" w:hint="eastAsia"/>
          <w:sz w:val="24"/>
        </w:rPr>
        <w:t>）本基金管理人管理的全部基金持有一家公司发行的证券，不超过该证券的</w:t>
      </w:r>
      <w:r w:rsidRPr="004806B6">
        <w:rPr>
          <w:rFonts w:ascii="Times New Roman" w:hAnsi="Times New Roman" w:hint="eastAsia"/>
          <w:sz w:val="24"/>
        </w:rPr>
        <w:t>10%</w:t>
      </w:r>
      <w:r w:rsidRPr="004806B6">
        <w:rPr>
          <w:rFonts w:ascii="Times New Roman" w:hAnsi="Times New Roman" w:hint="eastAsia"/>
          <w:sz w:val="24"/>
        </w:rPr>
        <w:t>，完全按照有关指数的构成比例进行证券投资的基金品种可以不受前述比例限制；</w:t>
      </w:r>
    </w:p>
    <w:p w14:paraId="056ADDD6"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5</w:t>
      </w:r>
      <w:r w:rsidRPr="004806B6">
        <w:rPr>
          <w:rFonts w:ascii="Times New Roman" w:hAnsi="Times New Roman" w:hint="eastAsia"/>
          <w:sz w:val="24"/>
        </w:rPr>
        <w:t>）本基金若参与股指期货交易，应当符合下列投资限制：</w:t>
      </w:r>
    </w:p>
    <w:p w14:paraId="6FCD0E5D"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在任何交易日日终，持有的买入股指期货合约价值，不得超过基金资产净值的</w:t>
      </w:r>
      <w:r w:rsidRPr="004806B6">
        <w:rPr>
          <w:rFonts w:ascii="Times New Roman" w:hAnsi="Times New Roman" w:hint="eastAsia"/>
          <w:sz w:val="24"/>
        </w:rPr>
        <w:t>10%</w:t>
      </w:r>
      <w:r w:rsidRPr="004806B6">
        <w:rPr>
          <w:rFonts w:ascii="Times New Roman" w:hAnsi="Times New Roman" w:hint="eastAsia"/>
          <w:sz w:val="24"/>
        </w:rPr>
        <w:t>；在任何交易日日终，持有的买入股指期货合约、国债期货合约价值与有价证券市值之和，不得超过基金资产净值的</w:t>
      </w:r>
      <w:r w:rsidRPr="004806B6">
        <w:rPr>
          <w:rFonts w:ascii="Times New Roman" w:hAnsi="Times New Roman" w:hint="eastAsia"/>
          <w:sz w:val="24"/>
        </w:rPr>
        <w:t>95%</w:t>
      </w:r>
      <w:r w:rsidRPr="004806B6">
        <w:rPr>
          <w:rFonts w:ascii="Times New Roman" w:hAnsi="Times New Roman" w:hint="eastAsia"/>
          <w:sz w:val="24"/>
        </w:rPr>
        <w:t>，其中，有价证券指股票、债券（不含到期日在一年以内的政府债券）、资产支持证券、买入返售金融资产（不含质押式回购）等；在任何交易日日终，持有的卖出股指期货合约价值不得超过基金持有的股票总市值的</w:t>
      </w:r>
      <w:r w:rsidRPr="004806B6">
        <w:rPr>
          <w:rFonts w:ascii="Times New Roman" w:hAnsi="Times New Roman" w:hint="eastAsia"/>
          <w:sz w:val="24"/>
        </w:rPr>
        <w:t>20%</w:t>
      </w:r>
      <w:r w:rsidRPr="004806B6">
        <w:rPr>
          <w:rFonts w:ascii="Times New Roman" w:hAnsi="Times New Roman" w:hint="eastAsia"/>
          <w:sz w:val="24"/>
        </w:rPr>
        <w:t>；在任何交易日内交易（不包括平仓）的股指期货合约的成交金额不得超过上一交易日基金资产净值的</w:t>
      </w:r>
      <w:r w:rsidRPr="004806B6">
        <w:rPr>
          <w:rFonts w:ascii="Times New Roman" w:hAnsi="Times New Roman" w:hint="eastAsia"/>
          <w:sz w:val="24"/>
        </w:rPr>
        <w:t>20%</w:t>
      </w:r>
      <w:r w:rsidRPr="004806B6">
        <w:rPr>
          <w:rFonts w:ascii="Times New Roman" w:hAnsi="Times New Roman" w:hint="eastAsia"/>
          <w:sz w:val="24"/>
        </w:rPr>
        <w:t>；本基金所持有的股票市值和买入、卖出股指期货合约价值合计（轧差计算）应当符合基金合同关于股票投资比例的有关约定；</w:t>
      </w:r>
    </w:p>
    <w:p w14:paraId="28AD0BC2"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6</w:t>
      </w:r>
      <w:r w:rsidRPr="004806B6">
        <w:rPr>
          <w:rFonts w:ascii="Times New Roman" w:hAnsi="Times New Roman" w:hint="eastAsia"/>
          <w:sz w:val="24"/>
        </w:rPr>
        <w:t>）本基金若参与国债期货交易，应当符合下列投资限制：</w:t>
      </w:r>
    </w:p>
    <w:p w14:paraId="11A8E2A1"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在任何交易日日终，持有的买入国债期货合约价值，不得超过基金资产净值的</w:t>
      </w:r>
      <w:r w:rsidRPr="004806B6">
        <w:rPr>
          <w:rFonts w:ascii="Times New Roman" w:hAnsi="Times New Roman" w:hint="eastAsia"/>
          <w:sz w:val="24"/>
        </w:rPr>
        <w:t>15%</w:t>
      </w:r>
      <w:r w:rsidRPr="004806B6">
        <w:rPr>
          <w:rFonts w:ascii="Times New Roman" w:hAnsi="Times New Roman" w:hint="eastAsia"/>
          <w:sz w:val="24"/>
        </w:rPr>
        <w:t>；在任何交易日日终，持有的卖出国债期货合约价值不得超过基金持有的债券总市值的</w:t>
      </w:r>
      <w:r w:rsidRPr="004806B6">
        <w:rPr>
          <w:rFonts w:ascii="Times New Roman" w:hAnsi="Times New Roman" w:hint="eastAsia"/>
          <w:sz w:val="24"/>
        </w:rPr>
        <w:t>30%</w:t>
      </w:r>
      <w:r w:rsidRPr="004806B6">
        <w:rPr>
          <w:rFonts w:ascii="Times New Roman" w:hAnsi="Times New Roman" w:hint="eastAsia"/>
          <w:sz w:val="24"/>
        </w:rPr>
        <w:t>；本基金所持有的债券（不含到期日在一年以内的政府债券）市值和买入、卖出国债期货合约价值，合计（轧差计算）应当符合基金合同关于债券投资比例的有关约定；在任何交易日内交易（不包括平仓）的国债期货合约的成交金额不得超过上一交易日基金资产净值的</w:t>
      </w:r>
      <w:r w:rsidRPr="004806B6">
        <w:rPr>
          <w:rFonts w:ascii="Times New Roman" w:hAnsi="Times New Roman" w:hint="eastAsia"/>
          <w:sz w:val="24"/>
        </w:rPr>
        <w:t>30%</w:t>
      </w:r>
      <w:r w:rsidRPr="004806B6">
        <w:rPr>
          <w:rFonts w:ascii="Times New Roman" w:hAnsi="Times New Roman" w:hint="eastAsia"/>
          <w:sz w:val="24"/>
        </w:rPr>
        <w:t>；</w:t>
      </w:r>
    </w:p>
    <w:p w14:paraId="170AE31A"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7</w:t>
      </w:r>
      <w:r w:rsidRPr="004806B6">
        <w:rPr>
          <w:rFonts w:ascii="Times New Roman" w:hAnsi="Times New Roman" w:hint="eastAsia"/>
          <w:sz w:val="24"/>
        </w:rPr>
        <w:t>）本基金若参与股票期权交易，应当符合下列风险控制指标要求：</w:t>
      </w:r>
    </w:p>
    <w:p w14:paraId="17B72128"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因未平仓的期权合约支付和收取的权利金总额不得超过基金资产净值的</w:t>
      </w:r>
      <w:r w:rsidRPr="004806B6">
        <w:rPr>
          <w:rFonts w:ascii="Times New Roman" w:hAnsi="Times New Roman" w:hint="eastAsia"/>
          <w:sz w:val="24"/>
        </w:rPr>
        <w:t>10%</w:t>
      </w:r>
      <w:r w:rsidRPr="004806B6">
        <w:rPr>
          <w:rFonts w:ascii="Times New Roman" w:hAnsi="Times New Roman" w:hint="eastAsia"/>
          <w:sz w:val="24"/>
        </w:rPr>
        <w:t>；开仓卖出认购期权的，应持有足额标的证券；开仓卖出认沽期权的，应持有合约行权所需的全额现金或交易所规则认可的可冲抵期权保证金的现金等价</w:t>
      </w:r>
      <w:r w:rsidRPr="004806B6">
        <w:rPr>
          <w:rFonts w:ascii="Times New Roman" w:hAnsi="Times New Roman" w:hint="eastAsia"/>
          <w:sz w:val="24"/>
        </w:rPr>
        <w:lastRenderedPageBreak/>
        <w:t>物；未平仓的期权合约面值不得超过基金资产净值的</w:t>
      </w:r>
      <w:r w:rsidRPr="004806B6">
        <w:rPr>
          <w:rFonts w:ascii="Times New Roman" w:hAnsi="Times New Roman" w:hint="eastAsia"/>
          <w:sz w:val="24"/>
        </w:rPr>
        <w:t>20%</w:t>
      </w:r>
      <w:r w:rsidRPr="004806B6">
        <w:rPr>
          <w:rFonts w:ascii="Times New Roman" w:hAnsi="Times New Roman" w:hint="eastAsia"/>
          <w:sz w:val="24"/>
        </w:rPr>
        <w:t>。其中，合约面值按照行权价乘以合约乘数计算；</w:t>
      </w:r>
    </w:p>
    <w:p w14:paraId="677FC4A9"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8</w:t>
      </w:r>
      <w:r w:rsidRPr="004806B6">
        <w:rPr>
          <w:rFonts w:ascii="Times New Roman" w:hAnsi="Times New Roman" w:hint="eastAsia"/>
          <w:sz w:val="24"/>
        </w:rPr>
        <w:t>）本基金投资于同一原始权益人的各类资产支持证券的比例，不得超过基金资产净值的</w:t>
      </w:r>
      <w:r w:rsidRPr="004806B6">
        <w:rPr>
          <w:rFonts w:ascii="Times New Roman" w:hAnsi="Times New Roman" w:hint="eastAsia"/>
          <w:sz w:val="24"/>
        </w:rPr>
        <w:t>10%</w:t>
      </w:r>
      <w:r w:rsidRPr="004806B6">
        <w:rPr>
          <w:rFonts w:ascii="Times New Roman" w:hAnsi="Times New Roman" w:hint="eastAsia"/>
          <w:sz w:val="24"/>
        </w:rPr>
        <w:t>；</w:t>
      </w:r>
    </w:p>
    <w:p w14:paraId="2BA86C06"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9</w:t>
      </w:r>
      <w:r w:rsidRPr="004806B6">
        <w:rPr>
          <w:rFonts w:ascii="Times New Roman" w:hAnsi="Times New Roman" w:hint="eastAsia"/>
          <w:sz w:val="24"/>
        </w:rPr>
        <w:t>）本基金持有的全部资产支持证券，其市值不得超过基金资产净值的</w:t>
      </w:r>
      <w:r w:rsidRPr="004806B6">
        <w:rPr>
          <w:rFonts w:ascii="Times New Roman" w:hAnsi="Times New Roman" w:hint="eastAsia"/>
          <w:sz w:val="24"/>
        </w:rPr>
        <w:t>20%</w:t>
      </w:r>
      <w:r w:rsidRPr="004806B6">
        <w:rPr>
          <w:rFonts w:ascii="Times New Roman" w:hAnsi="Times New Roman" w:hint="eastAsia"/>
          <w:sz w:val="24"/>
        </w:rPr>
        <w:t>；</w:t>
      </w:r>
    </w:p>
    <w:p w14:paraId="7744F9D8"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10</w:t>
      </w:r>
      <w:r w:rsidRPr="004806B6">
        <w:rPr>
          <w:rFonts w:ascii="Times New Roman" w:hAnsi="Times New Roman" w:hint="eastAsia"/>
          <w:sz w:val="24"/>
        </w:rPr>
        <w:t>）本基金持有的同一（指同一信用级别）资产支持证券的比例，不得超过该资产支持证券规模的</w:t>
      </w:r>
      <w:r w:rsidRPr="004806B6">
        <w:rPr>
          <w:rFonts w:ascii="Times New Roman" w:hAnsi="Times New Roman" w:hint="eastAsia"/>
          <w:sz w:val="24"/>
        </w:rPr>
        <w:t>10%</w:t>
      </w:r>
      <w:r w:rsidRPr="004806B6">
        <w:rPr>
          <w:rFonts w:ascii="Times New Roman" w:hAnsi="Times New Roman" w:hint="eastAsia"/>
          <w:sz w:val="24"/>
        </w:rPr>
        <w:t>；</w:t>
      </w:r>
    </w:p>
    <w:p w14:paraId="2C31C13E"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11</w:t>
      </w:r>
      <w:r w:rsidRPr="004806B6">
        <w:rPr>
          <w:rFonts w:ascii="Times New Roman" w:hAnsi="Times New Roman" w:hint="eastAsia"/>
          <w:sz w:val="24"/>
        </w:rPr>
        <w:t>）本基金管理人管理的全部基金投资于同一原始权益人的各类资产支持证券，不得超过其各类资产支持证券合计规模的</w:t>
      </w:r>
      <w:r w:rsidRPr="004806B6">
        <w:rPr>
          <w:rFonts w:ascii="Times New Roman" w:hAnsi="Times New Roman" w:hint="eastAsia"/>
          <w:sz w:val="24"/>
        </w:rPr>
        <w:t>10%</w:t>
      </w:r>
      <w:r w:rsidRPr="004806B6">
        <w:rPr>
          <w:rFonts w:ascii="Times New Roman" w:hAnsi="Times New Roman" w:hint="eastAsia"/>
          <w:sz w:val="24"/>
        </w:rPr>
        <w:t>；</w:t>
      </w:r>
    </w:p>
    <w:p w14:paraId="0BCF1F0C"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12</w:t>
      </w:r>
      <w:r w:rsidRPr="004806B6">
        <w:rPr>
          <w:rFonts w:ascii="Times New Roman" w:hAnsi="Times New Roman" w:hint="eastAsia"/>
          <w:sz w:val="24"/>
        </w:rPr>
        <w:t>）本基金应投资于信用级别评级为</w:t>
      </w:r>
      <w:r w:rsidRPr="004806B6">
        <w:rPr>
          <w:rFonts w:ascii="Times New Roman" w:hAnsi="Times New Roman" w:hint="eastAsia"/>
          <w:sz w:val="24"/>
        </w:rPr>
        <w:t>BBB</w:t>
      </w:r>
      <w:r w:rsidRPr="004806B6">
        <w:rPr>
          <w:rFonts w:ascii="Times New Roman" w:hAnsi="Times New Roman" w:hint="eastAsia"/>
          <w:sz w:val="24"/>
        </w:rPr>
        <w:t>以上（含</w:t>
      </w:r>
      <w:r w:rsidRPr="004806B6">
        <w:rPr>
          <w:rFonts w:ascii="Times New Roman" w:hAnsi="Times New Roman" w:hint="eastAsia"/>
          <w:sz w:val="24"/>
        </w:rPr>
        <w:t>BBB</w:t>
      </w:r>
      <w:r w:rsidRPr="004806B6">
        <w:rPr>
          <w:rFonts w:ascii="Times New Roman" w:hAnsi="Times New Roman" w:hint="eastAsia"/>
          <w:sz w:val="24"/>
        </w:rPr>
        <w:t>）的资产支持证券。基金持有资产支持证券期间，如果其信用等级下降、不再符合投资标准，应在评级报告发布之日起</w:t>
      </w:r>
      <w:r w:rsidRPr="004806B6">
        <w:rPr>
          <w:rFonts w:ascii="Times New Roman" w:hAnsi="Times New Roman" w:hint="eastAsia"/>
          <w:sz w:val="24"/>
        </w:rPr>
        <w:t>3</w:t>
      </w:r>
      <w:r w:rsidRPr="004806B6">
        <w:rPr>
          <w:rFonts w:ascii="Times New Roman" w:hAnsi="Times New Roman" w:hint="eastAsia"/>
          <w:sz w:val="24"/>
        </w:rPr>
        <w:t>个月内予以全部卖出；</w:t>
      </w:r>
    </w:p>
    <w:p w14:paraId="23E6D9B1"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13</w:t>
      </w:r>
      <w:r w:rsidRPr="004806B6">
        <w:rPr>
          <w:rFonts w:ascii="Times New Roman" w:hAnsi="Times New Roman" w:hint="eastAsia"/>
          <w:sz w:val="24"/>
        </w:rPr>
        <w:t>）基金财产参与股票发行申购，本基金所申报的金额不超过本基金的总资产，本基金所申报的股票数量不超过拟发行股票公司本次发行股票的总量；</w:t>
      </w:r>
    </w:p>
    <w:p w14:paraId="6A3A15F8"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14</w:t>
      </w:r>
      <w:r w:rsidRPr="004806B6">
        <w:rPr>
          <w:rFonts w:ascii="Times New Roman" w:hAnsi="Times New Roman" w:hint="eastAsia"/>
          <w:sz w:val="24"/>
        </w:rPr>
        <w:t>）本基金管理人管理的全部开放式基金持有一家上市公司发行的可流通股票，不得超过该上市公司可流通股票的</w:t>
      </w:r>
      <w:r w:rsidRPr="004806B6">
        <w:rPr>
          <w:rFonts w:ascii="Times New Roman" w:hAnsi="Times New Roman" w:hint="eastAsia"/>
          <w:sz w:val="24"/>
        </w:rPr>
        <w:t>15%</w:t>
      </w:r>
      <w:r w:rsidRPr="004806B6">
        <w:rPr>
          <w:rFonts w:ascii="Times New Roman" w:hAnsi="Times New Roman" w:hint="eastAsia"/>
          <w:sz w:val="24"/>
        </w:rPr>
        <w:t>；本基金管理人管理的全部投资组合持有一家上市公司发行的可流通股票，不得超过该上市公司可流通股票的</w:t>
      </w:r>
      <w:r w:rsidRPr="004806B6">
        <w:rPr>
          <w:rFonts w:ascii="Times New Roman" w:hAnsi="Times New Roman" w:hint="eastAsia"/>
          <w:sz w:val="24"/>
        </w:rPr>
        <w:t>30%</w:t>
      </w:r>
      <w:r w:rsidRPr="004806B6">
        <w:rPr>
          <w:rFonts w:ascii="Times New Roman" w:hAnsi="Times New Roman" w:hint="eastAsia"/>
          <w:sz w:val="24"/>
        </w:rPr>
        <w:t>；完全按照有关指数的构成比例进行证券投资的开放式基金以及中国证监会认定的特殊投资组合可不受前述比例限制；</w:t>
      </w:r>
    </w:p>
    <w:p w14:paraId="5169AD8C"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15</w:t>
      </w:r>
      <w:r w:rsidRPr="004806B6">
        <w:rPr>
          <w:rFonts w:ascii="Times New Roman" w:hAnsi="Times New Roman" w:hint="eastAsia"/>
          <w:sz w:val="24"/>
        </w:rPr>
        <w:t>）本基金参与转融通证券出借业务的，还须符合以下限制：出借证券资产不得超过基金资产净值的</w:t>
      </w:r>
      <w:r w:rsidRPr="004806B6">
        <w:rPr>
          <w:rFonts w:ascii="Times New Roman" w:hAnsi="Times New Roman" w:hint="eastAsia"/>
          <w:sz w:val="24"/>
        </w:rPr>
        <w:t>30%</w:t>
      </w:r>
      <w:r w:rsidRPr="004806B6">
        <w:rPr>
          <w:rFonts w:ascii="Times New Roman" w:hAnsi="Times New Roman" w:hint="eastAsia"/>
          <w:sz w:val="24"/>
        </w:rPr>
        <w:t>，其中出借期限在</w:t>
      </w:r>
      <w:r w:rsidRPr="004806B6">
        <w:rPr>
          <w:rFonts w:ascii="Times New Roman" w:hAnsi="Times New Roman" w:hint="eastAsia"/>
          <w:sz w:val="24"/>
        </w:rPr>
        <w:t>10</w:t>
      </w:r>
      <w:r w:rsidRPr="004806B6">
        <w:rPr>
          <w:rFonts w:ascii="Times New Roman" w:hAnsi="Times New Roman" w:hint="eastAsia"/>
          <w:sz w:val="24"/>
        </w:rPr>
        <w:t>个交易日以上的出借证券归为流动性受限资产；参与出借业务的单只证券不得超过基金持有该证券总量的</w:t>
      </w:r>
      <w:r w:rsidRPr="004806B6">
        <w:rPr>
          <w:rFonts w:ascii="Times New Roman" w:hAnsi="Times New Roman" w:hint="eastAsia"/>
          <w:sz w:val="24"/>
        </w:rPr>
        <w:t>50%</w:t>
      </w:r>
      <w:r w:rsidRPr="004806B6">
        <w:rPr>
          <w:rFonts w:ascii="Times New Roman" w:hAnsi="Times New Roman" w:hint="eastAsia"/>
          <w:sz w:val="24"/>
        </w:rPr>
        <w:t>；最近</w:t>
      </w:r>
      <w:r w:rsidRPr="004806B6">
        <w:rPr>
          <w:rFonts w:ascii="Times New Roman" w:hAnsi="Times New Roman" w:hint="eastAsia"/>
          <w:sz w:val="24"/>
        </w:rPr>
        <w:t>6</w:t>
      </w:r>
      <w:r w:rsidRPr="004806B6">
        <w:rPr>
          <w:rFonts w:ascii="Times New Roman" w:hAnsi="Times New Roman" w:hint="eastAsia"/>
          <w:sz w:val="24"/>
        </w:rPr>
        <w:t>个月内日均基金资产净值不得低于</w:t>
      </w:r>
      <w:r w:rsidRPr="004806B6">
        <w:rPr>
          <w:rFonts w:ascii="Times New Roman" w:hAnsi="Times New Roman" w:hint="eastAsia"/>
          <w:sz w:val="24"/>
        </w:rPr>
        <w:t>2</w:t>
      </w:r>
      <w:r w:rsidRPr="004806B6">
        <w:rPr>
          <w:rFonts w:ascii="Times New Roman" w:hAnsi="Times New Roman" w:hint="eastAsia"/>
          <w:sz w:val="24"/>
        </w:rPr>
        <w:t>亿元；证券出借的平均剩余期限不得超过</w:t>
      </w:r>
      <w:r w:rsidRPr="004806B6">
        <w:rPr>
          <w:rFonts w:ascii="Times New Roman" w:hAnsi="Times New Roman" w:hint="eastAsia"/>
          <w:sz w:val="24"/>
        </w:rPr>
        <w:t>30</w:t>
      </w:r>
      <w:r w:rsidRPr="004806B6">
        <w:rPr>
          <w:rFonts w:ascii="Times New Roman" w:hAnsi="Times New Roman" w:hint="eastAsia"/>
          <w:sz w:val="24"/>
        </w:rPr>
        <w:t>天，平均剩余期限按照市值加权平均计算；</w:t>
      </w:r>
    </w:p>
    <w:p w14:paraId="5E33C79F"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16</w:t>
      </w:r>
      <w:r w:rsidRPr="004806B6">
        <w:rPr>
          <w:rFonts w:ascii="Times New Roman" w:hAnsi="Times New Roman" w:hint="eastAsia"/>
          <w:sz w:val="24"/>
        </w:rPr>
        <w:t>）本基金主动投资于流动性受限资产的市值合计不得超过基金资产净值的</w:t>
      </w:r>
      <w:r w:rsidRPr="004806B6">
        <w:rPr>
          <w:rFonts w:ascii="Times New Roman" w:hAnsi="Times New Roman" w:hint="eastAsia"/>
          <w:sz w:val="24"/>
        </w:rPr>
        <w:t>15%</w:t>
      </w:r>
      <w:r w:rsidRPr="004806B6">
        <w:rPr>
          <w:rFonts w:ascii="Times New Roman" w:hAnsi="Times New Roman" w:hint="eastAsia"/>
          <w:sz w:val="24"/>
        </w:rPr>
        <w:t>，因证券市场波动、上市公司股票停牌、基金规模变动等基金管理人之外的因素致使基金不符合该比例限制的，基金管理人不得主动新增流动性受限资产的投资；</w:t>
      </w:r>
    </w:p>
    <w:p w14:paraId="037E10F5"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17</w:t>
      </w:r>
      <w:r w:rsidRPr="004806B6">
        <w:rPr>
          <w:rFonts w:ascii="Times New Roman" w:hAnsi="Times New Roman" w:hint="eastAsia"/>
          <w:sz w:val="24"/>
        </w:rPr>
        <w:t>）本基金与私募类证券资管产品及中国证监会认定的其他主体为交易对</w:t>
      </w:r>
      <w:r w:rsidRPr="004806B6">
        <w:rPr>
          <w:rFonts w:ascii="Times New Roman" w:hAnsi="Times New Roman" w:hint="eastAsia"/>
          <w:sz w:val="24"/>
        </w:rPr>
        <w:lastRenderedPageBreak/>
        <w:t>手开展逆回购交易的，可接受质押品的资质要求应当与基金合同约定的投资范围保持一致；</w:t>
      </w:r>
    </w:p>
    <w:p w14:paraId="165D3397"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18</w:t>
      </w:r>
      <w:r w:rsidRPr="004806B6">
        <w:rPr>
          <w:rFonts w:ascii="Times New Roman" w:hAnsi="Times New Roman" w:hint="eastAsia"/>
          <w:sz w:val="24"/>
        </w:rPr>
        <w:t>）基金总资产不得超过基金净资产的</w:t>
      </w:r>
      <w:r w:rsidRPr="004806B6">
        <w:rPr>
          <w:rFonts w:ascii="Times New Roman" w:hAnsi="Times New Roman" w:hint="eastAsia"/>
          <w:sz w:val="24"/>
        </w:rPr>
        <w:t>140%</w:t>
      </w:r>
      <w:r w:rsidRPr="004806B6">
        <w:rPr>
          <w:rFonts w:ascii="Times New Roman" w:hAnsi="Times New Roman" w:hint="eastAsia"/>
          <w:sz w:val="24"/>
        </w:rPr>
        <w:t>；</w:t>
      </w:r>
    </w:p>
    <w:p w14:paraId="1090DE42"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19</w:t>
      </w:r>
      <w:r w:rsidRPr="004806B6">
        <w:rPr>
          <w:rFonts w:ascii="Times New Roman" w:hAnsi="Times New Roman" w:hint="eastAsia"/>
          <w:sz w:val="24"/>
        </w:rPr>
        <w:t>）本基金投资存托凭证的比例限制依照境内上市交易的股票执行，与境内上市交易的股票合并计算；</w:t>
      </w:r>
    </w:p>
    <w:p w14:paraId="20AB3882" w14:textId="77777777" w:rsidR="004806B6" w:rsidRPr="004806B6" w:rsidRDefault="004806B6" w:rsidP="004806B6">
      <w:pPr>
        <w:spacing w:line="360" w:lineRule="auto"/>
        <w:ind w:firstLineChars="200" w:firstLine="480"/>
        <w:rPr>
          <w:rFonts w:ascii="Times New Roman" w:hAnsi="Times New Roman"/>
          <w:sz w:val="24"/>
        </w:rPr>
      </w:pPr>
      <w:r w:rsidRPr="004806B6">
        <w:rPr>
          <w:rFonts w:ascii="Times New Roman" w:hAnsi="Times New Roman" w:hint="eastAsia"/>
          <w:sz w:val="24"/>
        </w:rPr>
        <w:t>（</w:t>
      </w:r>
      <w:r w:rsidRPr="004806B6">
        <w:rPr>
          <w:rFonts w:ascii="Times New Roman" w:hAnsi="Times New Roman" w:hint="eastAsia"/>
          <w:sz w:val="24"/>
        </w:rPr>
        <w:t>20</w:t>
      </w:r>
      <w:r w:rsidRPr="004806B6">
        <w:rPr>
          <w:rFonts w:ascii="Times New Roman" w:hAnsi="Times New Roman" w:hint="eastAsia"/>
          <w:sz w:val="24"/>
        </w:rPr>
        <w:t>）本基金参与融资业务后，在任何交易日日终，持有的融资买入股票与其他有价证券市值之和，不得超过基金资产净值的</w:t>
      </w:r>
      <w:r w:rsidRPr="004806B6">
        <w:rPr>
          <w:rFonts w:ascii="Times New Roman" w:hAnsi="Times New Roman" w:hint="eastAsia"/>
          <w:sz w:val="24"/>
        </w:rPr>
        <w:t>95%</w:t>
      </w:r>
      <w:r w:rsidRPr="004806B6">
        <w:rPr>
          <w:rFonts w:ascii="Times New Roman" w:hAnsi="Times New Roman" w:hint="eastAsia"/>
          <w:sz w:val="24"/>
        </w:rPr>
        <w:t>；</w:t>
      </w:r>
    </w:p>
    <w:p w14:paraId="36E2B222" w14:textId="11BAE614" w:rsidR="00E853FD" w:rsidRDefault="004806B6" w:rsidP="004806B6">
      <w:pPr>
        <w:spacing w:line="360" w:lineRule="auto"/>
        <w:ind w:firstLineChars="200" w:firstLine="480"/>
        <w:rPr>
          <w:rFonts w:ascii="宋体"/>
          <w:sz w:val="24"/>
        </w:rPr>
      </w:pPr>
      <w:r w:rsidRPr="004806B6">
        <w:rPr>
          <w:rFonts w:ascii="Times New Roman" w:hAnsi="Times New Roman" w:hint="eastAsia"/>
          <w:sz w:val="24"/>
        </w:rPr>
        <w:t>（</w:t>
      </w:r>
      <w:r w:rsidRPr="004806B6">
        <w:rPr>
          <w:rFonts w:ascii="Times New Roman" w:hAnsi="Times New Roman" w:hint="eastAsia"/>
          <w:sz w:val="24"/>
        </w:rPr>
        <w:t>21</w:t>
      </w:r>
      <w:r w:rsidRPr="004806B6">
        <w:rPr>
          <w:rFonts w:ascii="Times New Roman" w:hAnsi="Times New Roman" w:hint="eastAsia"/>
          <w:sz w:val="24"/>
        </w:rPr>
        <w:t>）法律法规及中国证监会规定的和《基金合同》约定的其他投资比例限制</w:t>
      </w:r>
      <w:r w:rsidR="00FE7D53">
        <w:rPr>
          <w:rFonts w:ascii="宋体" w:hAnsi="宋体" w:hint="eastAsia"/>
          <w:sz w:val="24"/>
        </w:rPr>
        <w:t>。</w:t>
      </w:r>
    </w:p>
    <w:p w14:paraId="16F837AC" w14:textId="77777777" w:rsidR="00277882" w:rsidRPr="00277882" w:rsidRDefault="00277882" w:rsidP="00277882">
      <w:pPr>
        <w:spacing w:line="360" w:lineRule="auto"/>
        <w:ind w:firstLineChars="200" w:firstLine="480"/>
        <w:rPr>
          <w:rFonts w:ascii="宋体" w:hAnsi="宋体"/>
          <w:sz w:val="24"/>
        </w:rPr>
      </w:pPr>
      <w:r w:rsidRPr="00277882">
        <w:rPr>
          <w:rFonts w:ascii="宋体" w:hAnsi="宋体" w:hint="eastAsia"/>
          <w:sz w:val="24"/>
        </w:rPr>
        <w:t>除第（2）、（12）、（15）、（16）、（17）项规定的情形外，因证券、期货市场波动、上市公司合并、基金规模变动、标的指数成份股调整、标的指数成份股流动性限制等基金管理人之外的因素致使基金投资比例不符合上述规定投资比例的，基金管理人应当在10个交易日内进行调整，法律法规另有规定的从其规定。</w:t>
      </w:r>
    </w:p>
    <w:p w14:paraId="31D88244" w14:textId="2DAF7516" w:rsidR="00E853FD" w:rsidRDefault="00277882" w:rsidP="00277882">
      <w:pPr>
        <w:spacing w:line="360" w:lineRule="auto"/>
        <w:ind w:firstLineChars="200" w:firstLine="480"/>
        <w:rPr>
          <w:rFonts w:ascii="宋体"/>
          <w:sz w:val="24"/>
        </w:rPr>
      </w:pPr>
      <w:r w:rsidRPr="00277882">
        <w:rPr>
          <w:rFonts w:ascii="宋体" w:hAnsi="宋体" w:hint="eastAsia"/>
          <w:sz w:val="24"/>
        </w:rPr>
        <w:t>因证券市场波动、上市公司合并、基金规模变动等基金管理人之外的因素致使基金投资不符合第（15）项规定的，基金管理人不得新增出借业务。基金参与出借业务不终止确认出借证券。基金持有证券的持有期计算不因出借而受影响，出借证券应纳入基金投资运作指标计算范围</w:t>
      </w:r>
      <w:r w:rsidR="00FE7D53">
        <w:rPr>
          <w:rFonts w:ascii="宋体" w:hAnsi="宋体" w:hint="eastAsia"/>
          <w:sz w:val="24"/>
        </w:rPr>
        <w:t>。</w:t>
      </w:r>
    </w:p>
    <w:p w14:paraId="5A0A4238" w14:textId="77777777" w:rsidR="00E853FD" w:rsidRDefault="00FE7D53">
      <w:pPr>
        <w:spacing w:line="360" w:lineRule="auto"/>
        <w:ind w:firstLineChars="200" w:firstLine="480"/>
        <w:rPr>
          <w:rFonts w:ascii="Times New Roman" w:hAnsi="Times New Roman"/>
          <w:sz w:val="24"/>
        </w:rPr>
      </w:pPr>
      <w:r>
        <w:rPr>
          <w:rFonts w:ascii="Times New Roman" w:hAnsi="Times New Roman" w:hint="eastAsia"/>
          <w:sz w:val="24"/>
        </w:rPr>
        <w:t>基金管理人应当自基金合同生效</w:t>
      </w:r>
      <w:r>
        <w:rPr>
          <w:rFonts w:ascii="宋体" w:hAnsi="宋体" w:hint="eastAsia"/>
          <w:sz w:val="24"/>
        </w:rPr>
        <w:t>之日起</w:t>
      </w:r>
      <w:r>
        <w:rPr>
          <w:rFonts w:ascii="宋体" w:hAnsi="宋体"/>
          <w:bCs/>
          <w:sz w:val="24"/>
          <w:szCs w:val="20"/>
        </w:rPr>
        <w:t>6</w:t>
      </w:r>
      <w:r>
        <w:rPr>
          <w:rFonts w:ascii="宋体" w:hAnsi="宋体" w:hint="eastAsia"/>
          <w:sz w:val="24"/>
        </w:rPr>
        <w:t>个月</w:t>
      </w:r>
      <w:r>
        <w:rPr>
          <w:rFonts w:ascii="Times New Roman" w:hAnsi="Times New Roman" w:hint="eastAsia"/>
          <w:sz w:val="24"/>
        </w:rPr>
        <w:t>内使基金的投资组合比例符合基金合同的有关约定。</w:t>
      </w:r>
      <w:r>
        <w:rPr>
          <w:rFonts w:ascii="Times New Roman" w:hAnsi="Times New Roman" w:hint="eastAsia"/>
          <w:bCs/>
          <w:sz w:val="24"/>
          <w:szCs w:val="20"/>
        </w:rPr>
        <w:t>在上述期间内，本基金的投资范围、投资策略应当符合基金合同的约定。</w:t>
      </w:r>
      <w:r>
        <w:rPr>
          <w:rFonts w:ascii="Times New Roman" w:hAnsi="Times New Roman" w:hint="eastAsia"/>
          <w:sz w:val="24"/>
        </w:rPr>
        <w:t>基金托管人对基金的投资的监督与检查自基金合同生效之日起开始。</w:t>
      </w:r>
    </w:p>
    <w:p w14:paraId="569B3E2D" w14:textId="77777777" w:rsidR="00E853FD" w:rsidRDefault="00FE7D53">
      <w:pPr>
        <w:spacing w:line="360" w:lineRule="auto"/>
        <w:ind w:firstLineChars="200" w:firstLine="480"/>
        <w:rPr>
          <w:rFonts w:ascii="Times New Roman" w:hAnsi="Times New Roman"/>
          <w:sz w:val="24"/>
        </w:rPr>
      </w:pPr>
      <w:r>
        <w:rPr>
          <w:rFonts w:ascii="Times New Roman" w:hAnsi="Times New Roman" w:hint="eastAsia"/>
          <w:sz w:val="24"/>
        </w:rPr>
        <w:t>法律法规或监管部门取消</w:t>
      </w:r>
      <w:r>
        <w:rPr>
          <w:rFonts w:ascii="Times New Roman" w:hAnsi="Times New Roman" w:hint="eastAsia"/>
          <w:bCs/>
          <w:sz w:val="24"/>
          <w:szCs w:val="20"/>
        </w:rPr>
        <w:t>或调整</w:t>
      </w:r>
      <w:r>
        <w:rPr>
          <w:rFonts w:ascii="Times New Roman" w:hAnsi="Times New Roman" w:hint="eastAsia"/>
          <w:sz w:val="24"/>
        </w:rPr>
        <w:t>上述限制，如适用于本基金，基金管理人在履行适当程序后，本基金投资不再受相关限制</w:t>
      </w:r>
      <w:r>
        <w:rPr>
          <w:rFonts w:ascii="Times New Roman" w:hAnsi="Times New Roman" w:hint="eastAsia"/>
          <w:bCs/>
          <w:sz w:val="24"/>
          <w:szCs w:val="20"/>
        </w:rPr>
        <w:t>或按变更后的规定执行</w:t>
      </w:r>
      <w:r>
        <w:rPr>
          <w:rFonts w:ascii="Times New Roman" w:hAnsi="Times New Roman" w:hint="eastAsia"/>
          <w:sz w:val="24"/>
        </w:rPr>
        <w:t>。</w:t>
      </w:r>
    </w:p>
    <w:p w14:paraId="1CAD2A67" w14:textId="77777777" w:rsidR="00E853FD" w:rsidRDefault="00FE7D53">
      <w:pPr>
        <w:spacing w:line="360" w:lineRule="auto"/>
        <w:ind w:firstLineChars="200" w:firstLine="48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w:t>
      </w:r>
      <w:r>
        <w:rPr>
          <w:rFonts w:hint="eastAsia"/>
          <w:bCs/>
          <w:sz w:val="24"/>
        </w:rPr>
        <w:lastRenderedPageBreak/>
        <w:t>董事通过。基金管理人董事会应至少每半年对关联交易事项进行审查。</w:t>
      </w:r>
    </w:p>
    <w:p w14:paraId="3A407408" w14:textId="77777777" w:rsidR="00E853FD" w:rsidRDefault="00FE7D53">
      <w:pPr>
        <w:spacing w:line="360" w:lineRule="auto"/>
        <w:ind w:firstLineChars="200" w:firstLine="480"/>
        <w:rPr>
          <w:bCs/>
          <w:sz w:val="24"/>
        </w:rPr>
      </w:pPr>
      <w:r>
        <w:rPr>
          <w:rFonts w:hint="eastAsia"/>
          <w:bCs/>
          <w:sz w:val="24"/>
        </w:rPr>
        <w:t>如法律法规或监管部门取消上述禁止性规定，基金管理人在履行适当程序后可不受上述规定的限制。</w:t>
      </w:r>
    </w:p>
    <w:p w14:paraId="55B01CBD"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（三）基金托管人根据有关法律法规的规定及基金合同的约定，对本托管协议第十五条第九款基金投资禁止行为进行监督。</w:t>
      </w:r>
    </w:p>
    <w:p w14:paraId="604B6396" w14:textId="77777777" w:rsidR="00E853FD" w:rsidRDefault="00FE7D53">
      <w:pPr>
        <w:spacing w:line="360" w:lineRule="auto"/>
        <w:ind w:firstLineChars="200" w:firstLine="480"/>
        <w:rPr>
          <w:rFonts w:ascii="Times New Roman" w:hAnsi="Times New Roman"/>
          <w:sz w:val="24"/>
        </w:rPr>
      </w:pPr>
      <w:r>
        <w:rPr>
          <w:rFonts w:ascii="Times New Roman" w:hAnsi="Times New Roman" w:hint="eastAsia"/>
          <w:sz w:val="24"/>
        </w:rPr>
        <w:t>为维护基金份额持有人的合法权益，基金财产不得用于下列投资或者活动：</w:t>
      </w:r>
    </w:p>
    <w:p w14:paraId="47386508" w14:textId="77777777" w:rsidR="00E853FD" w:rsidRDefault="00FE7D53">
      <w:pPr>
        <w:spacing w:line="360" w:lineRule="auto"/>
        <w:ind w:firstLineChars="200" w:firstLine="480"/>
        <w:rPr>
          <w:rFonts w:ascii="Times New Roman" w:hAnsi="Times New Roman"/>
          <w:sz w:val="24"/>
        </w:rPr>
      </w:pPr>
      <w:r>
        <w:rPr>
          <w:rFonts w:ascii="宋体" w:hAnsi="宋体" w:hint="eastAsia"/>
          <w:sz w:val="24"/>
        </w:rPr>
        <w:t>（</w:t>
      </w:r>
      <w:r>
        <w:rPr>
          <w:rFonts w:ascii="宋体" w:hAnsi="宋体"/>
          <w:sz w:val="24"/>
        </w:rPr>
        <w:t>1</w:t>
      </w:r>
      <w:r>
        <w:rPr>
          <w:rFonts w:ascii="宋体" w:hAnsi="宋体" w:hint="eastAsia"/>
          <w:sz w:val="24"/>
        </w:rPr>
        <w:t>）</w:t>
      </w:r>
      <w:r>
        <w:rPr>
          <w:rFonts w:ascii="Times New Roman" w:hAnsi="Times New Roman" w:hint="eastAsia"/>
          <w:sz w:val="24"/>
        </w:rPr>
        <w:t>承销证券；</w:t>
      </w:r>
    </w:p>
    <w:p w14:paraId="5988C131" w14:textId="77777777" w:rsidR="00E853FD" w:rsidRDefault="00FE7D53">
      <w:pPr>
        <w:spacing w:line="360" w:lineRule="auto"/>
        <w:ind w:firstLineChars="200" w:firstLine="480"/>
        <w:rPr>
          <w:rFonts w:ascii="Times New Roman" w:hAnsi="Times New Roman"/>
          <w:sz w:val="24"/>
        </w:rPr>
      </w:pPr>
      <w:r>
        <w:rPr>
          <w:rFonts w:ascii="宋体" w:hAnsi="宋体" w:hint="eastAsia"/>
          <w:sz w:val="24"/>
        </w:rPr>
        <w:t>（</w:t>
      </w:r>
      <w:r>
        <w:rPr>
          <w:rFonts w:ascii="宋体" w:hAnsi="宋体"/>
          <w:sz w:val="24"/>
        </w:rPr>
        <w:t>2</w:t>
      </w:r>
      <w:r>
        <w:rPr>
          <w:rFonts w:ascii="宋体" w:hAnsi="宋体" w:hint="eastAsia"/>
          <w:sz w:val="24"/>
        </w:rPr>
        <w:t>）</w:t>
      </w:r>
      <w:r>
        <w:rPr>
          <w:rFonts w:ascii="Times New Roman" w:hAnsi="Times New Roman" w:hint="eastAsia"/>
          <w:bCs/>
          <w:sz w:val="24"/>
          <w:szCs w:val="20"/>
        </w:rPr>
        <w:t>违反规定</w:t>
      </w:r>
      <w:r>
        <w:rPr>
          <w:rFonts w:ascii="Times New Roman" w:hAnsi="Times New Roman" w:hint="eastAsia"/>
          <w:sz w:val="24"/>
        </w:rPr>
        <w:t>向他人贷款或者提供担保；</w:t>
      </w:r>
    </w:p>
    <w:p w14:paraId="6E68541B" w14:textId="77777777" w:rsidR="00E853FD" w:rsidRDefault="00FE7D53">
      <w:pPr>
        <w:spacing w:line="360" w:lineRule="auto"/>
        <w:ind w:firstLineChars="200" w:firstLine="480"/>
        <w:rPr>
          <w:rFonts w:ascii="Times New Roman" w:hAnsi="Times New Roman"/>
          <w:sz w:val="24"/>
        </w:rPr>
      </w:pPr>
      <w:r>
        <w:rPr>
          <w:rFonts w:ascii="宋体" w:hAnsi="宋体" w:hint="eastAsia"/>
          <w:sz w:val="24"/>
        </w:rPr>
        <w:t>（</w:t>
      </w:r>
      <w:r>
        <w:rPr>
          <w:rFonts w:ascii="宋体" w:hAnsi="宋体"/>
          <w:sz w:val="24"/>
        </w:rPr>
        <w:t>3</w:t>
      </w:r>
      <w:r>
        <w:rPr>
          <w:rFonts w:ascii="宋体" w:hAnsi="宋体" w:hint="eastAsia"/>
          <w:sz w:val="24"/>
        </w:rPr>
        <w:t>）</w:t>
      </w:r>
      <w:r>
        <w:rPr>
          <w:rFonts w:ascii="Times New Roman" w:hAnsi="Times New Roman" w:hint="eastAsia"/>
          <w:sz w:val="24"/>
        </w:rPr>
        <w:t>从事承担无限责任的投资；</w:t>
      </w:r>
    </w:p>
    <w:p w14:paraId="336F91CF" w14:textId="77777777" w:rsidR="00E853FD" w:rsidRDefault="00FE7D53">
      <w:pPr>
        <w:spacing w:line="360" w:lineRule="auto"/>
        <w:ind w:firstLineChars="200" w:firstLine="480"/>
        <w:rPr>
          <w:rFonts w:ascii="Times New Roman" w:hAnsi="Times New Roman"/>
          <w:sz w:val="24"/>
        </w:rPr>
      </w:pPr>
      <w:r>
        <w:rPr>
          <w:rFonts w:ascii="宋体" w:hAnsi="宋体" w:hint="eastAsia"/>
          <w:sz w:val="24"/>
        </w:rPr>
        <w:t>（</w:t>
      </w:r>
      <w:r>
        <w:rPr>
          <w:rFonts w:ascii="宋体" w:hAnsi="宋体"/>
          <w:sz w:val="24"/>
        </w:rPr>
        <w:t>4</w:t>
      </w:r>
      <w:r>
        <w:rPr>
          <w:rFonts w:ascii="宋体" w:hAnsi="宋体" w:hint="eastAsia"/>
          <w:sz w:val="24"/>
        </w:rPr>
        <w:t>）</w:t>
      </w:r>
      <w:r>
        <w:rPr>
          <w:rFonts w:ascii="Times New Roman" w:hAnsi="Times New Roman" w:hint="eastAsia"/>
          <w:sz w:val="24"/>
        </w:rPr>
        <w:t>买卖其他基金份额，但是</w:t>
      </w:r>
      <w:r>
        <w:rPr>
          <w:rFonts w:ascii="Times New Roman" w:hAnsi="Times New Roman" w:hint="eastAsia"/>
          <w:bCs/>
          <w:sz w:val="24"/>
          <w:szCs w:val="20"/>
        </w:rPr>
        <w:t>中国证监会</w:t>
      </w:r>
      <w:r>
        <w:rPr>
          <w:rFonts w:ascii="Times New Roman" w:hAnsi="Times New Roman" w:hint="eastAsia"/>
          <w:sz w:val="24"/>
        </w:rPr>
        <w:t>另有规定的除外；</w:t>
      </w:r>
    </w:p>
    <w:p w14:paraId="5A3991BB" w14:textId="77777777" w:rsidR="00E853FD" w:rsidRDefault="00FE7D53">
      <w:pPr>
        <w:spacing w:line="360" w:lineRule="auto"/>
        <w:ind w:firstLineChars="200" w:firstLine="480"/>
        <w:rPr>
          <w:rFonts w:ascii="Times New Roman" w:hAnsi="Times New Roman"/>
          <w:sz w:val="24"/>
        </w:rPr>
      </w:pPr>
      <w:r>
        <w:rPr>
          <w:rFonts w:ascii="宋体" w:hAnsi="宋体" w:hint="eastAsia"/>
          <w:sz w:val="24"/>
        </w:rPr>
        <w:t>（</w:t>
      </w:r>
      <w:r>
        <w:rPr>
          <w:rFonts w:ascii="宋体" w:hAnsi="宋体"/>
          <w:sz w:val="24"/>
        </w:rPr>
        <w:t>5</w:t>
      </w:r>
      <w:r>
        <w:rPr>
          <w:rFonts w:ascii="宋体" w:hAnsi="宋体" w:hint="eastAsia"/>
          <w:sz w:val="24"/>
        </w:rPr>
        <w:t>）</w:t>
      </w:r>
      <w:r>
        <w:rPr>
          <w:rFonts w:ascii="Times New Roman" w:hAnsi="Times New Roman" w:hint="eastAsia"/>
          <w:sz w:val="24"/>
        </w:rPr>
        <w:t>向其基金管理人、基金托管人出资；</w:t>
      </w:r>
    </w:p>
    <w:p w14:paraId="6D98A379" w14:textId="77777777" w:rsidR="00E853FD" w:rsidRDefault="00FE7D53">
      <w:pPr>
        <w:spacing w:line="360" w:lineRule="auto"/>
        <w:ind w:firstLineChars="200" w:firstLine="480"/>
        <w:rPr>
          <w:rFonts w:ascii="Times New Roman" w:hAnsi="Times New Roman"/>
          <w:sz w:val="24"/>
        </w:rPr>
      </w:pPr>
      <w:r>
        <w:rPr>
          <w:rFonts w:ascii="宋体" w:hAnsi="宋体" w:hint="eastAsia"/>
          <w:sz w:val="24"/>
        </w:rPr>
        <w:t>（</w:t>
      </w:r>
      <w:r>
        <w:rPr>
          <w:rFonts w:ascii="宋体" w:hAnsi="宋体"/>
          <w:sz w:val="24"/>
        </w:rPr>
        <w:t>6</w:t>
      </w:r>
      <w:r>
        <w:rPr>
          <w:rFonts w:ascii="宋体" w:hAnsi="宋体" w:hint="eastAsia"/>
          <w:sz w:val="24"/>
        </w:rPr>
        <w:t>）</w:t>
      </w:r>
      <w:r>
        <w:rPr>
          <w:rFonts w:ascii="Times New Roman" w:hAnsi="Times New Roman" w:hint="eastAsia"/>
          <w:sz w:val="24"/>
        </w:rPr>
        <w:t>从事内幕交易、操纵证券交易价格及其他不正当的证券交易活动；</w:t>
      </w:r>
    </w:p>
    <w:p w14:paraId="13C4526B" w14:textId="77777777" w:rsidR="00E853FD" w:rsidRDefault="00FE7D53">
      <w:pPr>
        <w:spacing w:line="360" w:lineRule="auto"/>
        <w:ind w:firstLineChars="200" w:firstLine="480"/>
        <w:rPr>
          <w:rFonts w:ascii="Times New Roman" w:hAnsi="Times New Roman"/>
          <w:sz w:val="24"/>
        </w:rPr>
      </w:pPr>
      <w:r>
        <w:rPr>
          <w:rFonts w:ascii="宋体" w:hAnsi="宋体" w:hint="eastAsia"/>
          <w:sz w:val="24"/>
        </w:rPr>
        <w:t>（</w:t>
      </w:r>
      <w:r>
        <w:rPr>
          <w:rFonts w:ascii="宋体" w:hAnsi="宋体"/>
          <w:bCs/>
          <w:sz w:val="24"/>
          <w:szCs w:val="20"/>
        </w:rPr>
        <w:t>7</w:t>
      </w:r>
      <w:r>
        <w:rPr>
          <w:rFonts w:ascii="宋体" w:hAnsi="宋体" w:hint="eastAsia"/>
          <w:bCs/>
          <w:sz w:val="24"/>
          <w:szCs w:val="20"/>
        </w:rPr>
        <w:t>）</w:t>
      </w:r>
      <w:r>
        <w:rPr>
          <w:rFonts w:ascii="Times New Roman" w:hAnsi="Times New Roman" w:hint="eastAsia"/>
          <w:sz w:val="24"/>
        </w:rPr>
        <w:t>法律</w:t>
      </w:r>
      <w:r>
        <w:rPr>
          <w:rFonts w:ascii="Times New Roman" w:hAnsi="Times New Roman" w:hint="eastAsia"/>
          <w:bCs/>
          <w:sz w:val="24"/>
          <w:szCs w:val="20"/>
        </w:rPr>
        <w:t>、行政</w:t>
      </w:r>
      <w:r>
        <w:rPr>
          <w:rFonts w:ascii="Times New Roman" w:hAnsi="Times New Roman" w:hint="eastAsia"/>
          <w:sz w:val="24"/>
        </w:rPr>
        <w:t>法规</w:t>
      </w:r>
      <w:r>
        <w:rPr>
          <w:rFonts w:ascii="Times New Roman" w:hAnsi="Times New Roman" w:hint="eastAsia"/>
          <w:bCs/>
          <w:sz w:val="24"/>
          <w:szCs w:val="20"/>
        </w:rPr>
        <w:t>和</w:t>
      </w:r>
      <w:r>
        <w:rPr>
          <w:rFonts w:ascii="Times New Roman" w:hAnsi="Times New Roman" w:hint="eastAsia"/>
          <w:sz w:val="24"/>
        </w:rPr>
        <w:t>中国证监会规定禁止的其他活动。</w:t>
      </w:r>
    </w:p>
    <w:p w14:paraId="6D9A9747" w14:textId="77777777" w:rsidR="00E853FD" w:rsidRDefault="00FE7D53">
      <w:pPr>
        <w:spacing w:line="360" w:lineRule="auto"/>
        <w:ind w:firstLineChars="200" w:firstLine="480"/>
        <w:rPr>
          <w:bCs/>
          <w:sz w:val="24"/>
        </w:rPr>
      </w:pPr>
      <w:r>
        <w:rPr>
          <w:rFonts w:ascii="Times New Roman" w:hAnsi="Times New Roman" w:hint="eastAsia"/>
          <w:bCs/>
          <w:sz w:val="24"/>
          <w:szCs w:val="20"/>
        </w:rPr>
        <w:t>如法律法规或监管部门取消上述禁止性规定，</w:t>
      </w:r>
      <w:r>
        <w:rPr>
          <w:rFonts w:ascii="宋体" w:hAnsi="宋体" w:hint="eastAsia"/>
          <w:sz w:val="24"/>
        </w:rPr>
        <w:t>基金管理人在履行适当程序后可</w:t>
      </w:r>
      <w:r>
        <w:rPr>
          <w:rFonts w:ascii="Times New Roman" w:hAnsi="Times New Roman" w:hint="eastAsia"/>
          <w:bCs/>
          <w:sz w:val="24"/>
          <w:szCs w:val="20"/>
        </w:rPr>
        <w:t>不受上述规定的限制。</w:t>
      </w:r>
    </w:p>
    <w:p w14:paraId="5EAA78C6" w14:textId="77777777" w:rsidR="00E853FD" w:rsidRDefault="00FE7D53">
      <w:pPr>
        <w:spacing w:line="360" w:lineRule="auto"/>
        <w:ind w:firstLineChars="200" w:firstLine="480"/>
        <w:rPr>
          <w:rFonts w:ascii="宋体"/>
          <w:sz w:val="24"/>
          <w:szCs w:val="24"/>
        </w:rPr>
      </w:pPr>
      <w:r>
        <w:rPr>
          <w:rFonts w:ascii="宋体" w:hAnsi="宋体" w:hint="eastAsia"/>
          <w:sz w:val="24"/>
          <w:szCs w:val="24"/>
        </w:rPr>
        <w:t>（四）基金托管人根据有关法律法规的规定及基金合同的约定，对基金管理人参与银行间债券市场进行监督。</w:t>
      </w:r>
    </w:p>
    <w:p w14:paraId="4CE8390B" w14:textId="77777777" w:rsidR="00E853FD" w:rsidRPr="00FD1CA7" w:rsidRDefault="00FE7D53">
      <w:pPr>
        <w:spacing w:line="360" w:lineRule="auto"/>
        <w:ind w:firstLineChars="200" w:firstLine="480"/>
        <w:rPr>
          <w:rFonts w:ascii="宋体" w:hAnsi="宋体"/>
          <w:sz w:val="24"/>
          <w:szCs w:val="24"/>
        </w:rPr>
      </w:pPr>
      <w:r>
        <w:rPr>
          <w:rFonts w:ascii="宋体" w:hAnsi="宋体" w:hint="eastAsia"/>
          <w:sz w:val="24"/>
          <w:szCs w:val="24"/>
        </w:rPr>
        <w:t>基金管理人应在基金投资运作之前按照规定的数据格式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事后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书面说明理由，并在与交易对手发生交易前</w:t>
      </w:r>
      <w:r>
        <w:rPr>
          <w:rFonts w:ascii="宋体" w:hAnsi="宋体"/>
          <w:sz w:val="24"/>
          <w:szCs w:val="24"/>
        </w:rPr>
        <w:t>3</w:t>
      </w:r>
      <w:r>
        <w:rPr>
          <w:rFonts w:ascii="宋体" w:hAnsi="宋体" w:hint="eastAsia"/>
          <w:sz w:val="24"/>
          <w:szCs w:val="24"/>
        </w:rPr>
        <w:t>个工作日内与基金托管人协商解决。</w:t>
      </w:r>
    </w:p>
    <w:p w14:paraId="03E1312B" w14:textId="77777777" w:rsidR="00E853FD" w:rsidRPr="00FD1CA7" w:rsidRDefault="00FE7D53" w:rsidP="00FD1CA7">
      <w:pPr>
        <w:spacing w:line="360" w:lineRule="auto"/>
        <w:ind w:firstLineChars="200" w:firstLine="480"/>
        <w:rPr>
          <w:rFonts w:ascii="宋体" w:hAnsi="宋体"/>
          <w:sz w:val="24"/>
          <w:szCs w:val="24"/>
        </w:rPr>
      </w:pPr>
      <w:r>
        <w:rPr>
          <w:rFonts w:ascii="宋体" w:hAnsi="宋体" w:hint="eastAsia"/>
          <w:sz w:val="24"/>
          <w:szCs w:val="24"/>
        </w:rPr>
        <w:t>基金管理人负责对交易对手的资信控制，按银行间债券市场的交易规则进行交易，并承担交易对手不履行合同造成的损失，基金托管人则根据银行间债券市</w:t>
      </w:r>
      <w:r>
        <w:rPr>
          <w:rFonts w:ascii="宋体" w:hAnsi="宋体" w:hint="eastAsia"/>
          <w:sz w:val="24"/>
          <w:szCs w:val="24"/>
        </w:rPr>
        <w:lastRenderedPageBreak/>
        <w:t>场成交单对合同履行情况进行监督。如基金托管人事后发现基金管理人没有按照事先约定的交易对手或交易方式进行交易时，基金托管人仅负有提醒基金管理人之义务，基金托管人不承担</w:t>
      </w:r>
      <w:bookmarkStart w:id="9" w:name="_Hlk153540645"/>
      <w:r w:rsidRPr="00FD1CA7">
        <w:rPr>
          <w:rFonts w:ascii="宋体" w:hAnsi="宋体" w:hint="eastAsia"/>
          <w:sz w:val="24"/>
          <w:szCs w:val="24"/>
        </w:rPr>
        <w:t>基金管理人没有按照事先约定的交易对手进行交易所</w:t>
      </w:r>
      <w:bookmarkEnd w:id="9"/>
    </w:p>
    <w:p w14:paraId="7127EDC0" w14:textId="77777777" w:rsidR="00E853FD" w:rsidRPr="00FD1CA7" w:rsidRDefault="00FE7D53">
      <w:pPr>
        <w:spacing w:line="360" w:lineRule="auto"/>
        <w:ind w:firstLineChars="200" w:firstLine="480"/>
        <w:rPr>
          <w:rFonts w:ascii="宋体" w:hAnsi="宋体"/>
          <w:sz w:val="24"/>
          <w:szCs w:val="24"/>
        </w:rPr>
      </w:pPr>
      <w:r>
        <w:rPr>
          <w:rFonts w:ascii="宋体" w:hAnsi="宋体" w:hint="eastAsia"/>
          <w:sz w:val="24"/>
          <w:szCs w:val="24"/>
        </w:rPr>
        <w:t>造成的任何损失和责任。</w:t>
      </w:r>
    </w:p>
    <w:p w14:paraId="23D8C242" w14:textId="77777777" w:rsidR="00E853FD" w:rsidRPr="00FD1CA7" w:rsidRDefault="00FE7D53">
      <w:pPr>
        <w:spacing w:line="360" w:lineRule="auto"/>
        <w:ind w:firstLineChars="200" w:firstLine="480"/>
        <w:rPr>
          <w:rFonts w:ascii="宋体" w:hAnsi="宋体"/>
          <w:sz w:val="24"/>
          <w:szCs w:val="24"/>
        </w:rPr>
      </w:pPr>
      <w:r>
        <w:rPr>
          <w:rFonts w:ascii="宋体" w:hAnsi="宋体" w:hint="eastAsia"/>
          <w:sz w:val="24"/>
          <w:szCs w:val="24"/>
        </w:rPr>
        <w:t>（五）基金托管人根据有关法律法规的规定及基金合同的约定，对基金投资流通受限证券进行监督。</w:t>
      </w:r>
    </w:p>
    <w:p w14:paraId="4DA119D8" w14:textId="77777777" w:rsidR="00E853FD" w:rsidRPr="00FD1CA7" w:rsidRDefault="00FE7D53">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．基金投资流通受限证券，应遵守《关于基金投资非公开发行股票等流通受限证券有关问题的通知》等有关法律法规规定。</w:t>
      </w:r>
    </w:p>
    <w:p w14:paraId="38695254"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．流通受限证券，包括由《上市公司证券发行管理办法》规范的非公开发行股票、公开发行股票网下配售部分等在发行时明确一定期限锁定期的可交易证券</w:t>
      </w:r>
      <w:r>
        <w:rPr>
          <w:rFonts w:ascii="宋体"/>
          <w:sz w:val="24"/>
          <w:szCs w:val="24"/>
        </w:rPr>
        <w:t>,</w:t>
      </w:r>
      <w:r>
        <w:rPr>
          <w:rFonts w:ascii="宋体" w:hAnsi="宋体" w:hint="eastAsia"/>
          <w:sz w:val="24"/>
          <w:szCs w:val="24"/>
        </w:rPr>
        <w:t>不包括由于发布重大消息或其他原因而临时停牌的证券、已发行未上市证券、回购交易中的质押券等流通受限证券。</w:t>
      </w:r>
    </w:p>
    <w:p w14:paraId="3B8838B5" w14:textId="77777777" w:rsidR="00E853FD" w:rsidRDefault="00FE7D53">
      <w:pPr>
        <w:spacing w:line="360" w:lineRule="auto"/>
        <w:ind w:firstLineChars="200" w:firstLine="480"/>
        <w:rPr>
          <w:rFonts w:ascii="宋体"/>
          <w:sz w:val="24"/>
          <w:szCs w:val="24"/>
        </w:rPr>
      </w:pPr>
      <w:r>
        <w:rPr>
          <w:rFonts w:ascii="宋体" w:hAnsi="宋体"/>
          <w:sz w:val="24"/>
          <w:szCs w:val="24"/>
        </w:rPr>
        <w:t>3</w:t>
      </w:r>
      <w:r>
        <w:rPr>
          <w:rFonts w:ascii="宋体" w:hAnsi="宋体" w:hint="eastAsia"/>
          <w:sz w:val="24"/>
          <w:szCs w:val="24"/>
        </w:rPr>
        <w:t>．在首次投资流通受限证券之前，基金管理人应当制定相关投资决策流程、风险控制等规章制度。基金管理人应当根据基金的投资风格和流动性的需要合理安排流通受限证券的投资比例，并在相关制度中明确具体比例，避免基金出现流动性风险。基金投资非公开发行股票，基金管理人还应提供流动性风险处置预案。上述资料应包括但不限于基金投资流通受限证券的投资额度和投资比例控制情况。</w:t>
      </w:r>
    </w:p>
    <w:p w14:paraId="73F44993"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上述规章制度须经基金管理人董事会批准。上述规章制度经董事会通过之后，基金管理人应至少于首次投资流通受限证券之前两个工作日将上述资料书面发至基金托管人，保证基金托管人有足够的时间进行审核。</w:t>
      </w:r>
    </w:p>
    <w:p w14:paraId="7DB773BA" w14:textId="77777777" w:rsidR="00E853FD" w:rsidRDefault="00FE7D53">
      <w:pPr>
        <w:spacing w:line="360" w:lineRule="auto"/>
        <w:ind w:firstLineChars="200" w:firstLine="480"/>
        <w:rPr>
          <w:rFonts w:ascii="宋体"/>
          <w:sz w:val="24"/>
          <w:szCs w:val="24"/>
        </w:rPr>
      </w:pPr>
      <w:r>
        <w:rPr>
          <w:rFonts w:ascii="宋体" w:hAnsi="宋体"/>
          <w:sz w:val="24"/>
          <w:szCs w:val="24"/>
        </w:rPr>
        <w:t>4</w:t>
      </w:r>
      <w:r>
        <w:rPr>
          <w:rFonts w:ascii="宋体" w:hAnsi="宋体" w:hint="eastAsia"/>
          <w:sz w:val="24"/>
          <w:szCs w:val="24"/>
        </w:rPr>
        <w:t>．在投资流通受限证券之前，基金管理人应按约定时间向基金托管人提供符合法律法规要求的有关流通受限证券的信息，具体应当包括但不限于如下文件（如有）：拟发行证券主体的中国证监会批准文件、拟发行数量、定价依据、锁定期、基金拟认购的数量、价格、总成本、总成本占基金资产净值的比例、已持有流通受限证券市值占基金资产净值的比例、划款账号、划款金额、划款时间文件等。基金管理人应保证上述信息的真实、完整。</w:t>
      </w:r>
    </w:p>
    <w:p w14:paraId="01DF92FF" w14:textId="77777777" w:rsidR="00E853FD" w:rsidRDefault="00FE7D53">
      <w:pPr>
        <w:spacing w:line="360" w:lineRule="auto"/>
        <w:ind w:firstLineChars="200" w:firstLine="480"/>
        <w:rPr>
          <w:rFonts w:ascii="宋体"/>
          <w:sz w:val="24"/>
          <w:szCs w:val="24"/>
        </w:rPr>
      </w:pPr>
      <w:r>
        <w:rPr>
          <w:rFonts w:ascii="宋体" w:hAnsi="宋体"/>
          <w:sz w:val="24"/>
          <w:szCs w:val="24"/>
        </w:rPr>
        <w:t xml:space="preserve">5. </w:t>
      </w:r>
      <w:r>
        <w:rPr>
          <w:rFonts w:ascii="宋体" w:hAnsi="宋体" w:hint="eastAsia"/>
          <w:sz w:val="24"/>
          <w:szCs w:val="24"/>
        </w:rPr>
        <w:t>基金投资流通受限证券，基金管理人应根据本协议的规定与基金托管银行签订风险控制补充协议。协议应包括基金托管人对于基金管理人是否遵守相关</w:t>
      </w:r>
      <w:r>
        <w:rPr>
          <w:rFonts w:ascii="宋体" w:hAnsi="宋体" w:hint="eastAsia"/>
          <w:sz w:val="24"/>
          <w:szCs w:val="24"/>
        </w:rPr>
        <w:lastRenderedPageBreak/>
        <w:t>制度、流动性风险处置预案以及相关投资额度和比例的情况进行监督等内容。</w:t>
      </w:r>
    </w:p>
    <w:p w14:paraId="7916EDD1" w14:textId="3F2B8963" w:rsidR="00E853FD" w:rsidRDefault="00FE7D53">
      <w:pPr>
        <w:spacing w:line="360" w:lineRule="auto"/>
        <w:ind w:firstLineChars="200" w:firstLine="480"/>
        <w:rPr>
          <w:rFonts w:ascii="宋体"/>
          <w:sz w:val="24"/>
          <w:szCs w:val="24"/>
        </w:rPr>
      </w:pPr>
      <w:r>
        <w:rPr>
          <w:rFonts w:ascii="宋体" w:hAnsi="宋体"/>
          <w:sz w:val="24"/>
          <w:szCs w:val="24"/>
        </w:rPr>
        <w:t>6</w:t>
      </w:r>
      <w:r>
        <w:rPr>
          <w:rFonts w:ascii="宋体" w:hAnsi="宋体" w:hint="eastAsia"/>
          <w:sz w:val="24"/>
          <w:szCs w:val="24"/>
        </w:rPr>
        <w:t>．基金管理人应在基金投资非公开发行股票后两个交易日内，在中国证监会</w:t>
      </w:r>
      <w:r w:rsidR="00C91B0E">
        <w:rPr>
          <w:rFonts w:ascii="宋体" w:hAnsi="宋体" w:hint="eastAsia"/>
          <w:sz w:val="24"/>
          <w:szCs w:val="24"/>
        </w:rPr>
        <w:t>规定媒介</w:t>
      </w:r>
      <w:r>
        <w:rPr>
          <w:rFonts w:ascii="宋体" w:hAnsi="宋体" w:hint="eastAsia"/>
          <w:sz w:val="24"/>
          <w:szCs w:val="24"/>
        </w:rPr>
        <w:t>披露所投资非公开发行股票的名称、数量、总成本、账面价值，以及总成本和账面价值占基金资产净值的比例、锁定期等信息。</w:t>
      </w:r>
    </w:p>
    <w:p w14:paraId="7FAE5912" w14:textId="77777777" w:rsidR="00E853FD" w:rsidRDefault="00FE7D53">
      <w:pPr>
        <w:spacing w:line="360" w:lineRule="auto"/>
        <w:ind w:firstLineChars="200" w:firstLine="480"/>
        <w:rPr>
          <w:rFonts w:ascii="宋体"/>
          <w:sz w:val="24"/>
          <w:szCs w:val="24"/>
        </w:rPr>
      </w:pPr>
      <w:r>
        <w:rPr>
          <w:rFonts w:ascii="宋体" w:hAnsi="宋体"/>
          <w:sz w:val="24"/>
          <w:szCs w:val="24"/>
        </w:rPr>
        <w:t>7</w:t>
      </w:r>
      <w:r>
        <w:rPr>
          <w:rFonts w:ascii="宋体" w:hAnsi="宋体" w:hint="eastAsia"/>
          <w:sz w:val="24"/>
          <w:szCs w:val="24"/>
        </w:rPr>
        <w:t>．基金托管人在力所能及的范围内对基金管理人是否遵守法律法规、投资决策流程、风险控制制度、流动性风险处置预案情况进行监督，并审核基金管理人提供的有关书面信息。基金托管人认为上述资料可能导致基金出现风险的，有权要求基金管理人在投资流通受限证券前就该风险的消除或防范措施进行补充书面说明，并保留查看基金管理人风险管理部门就基金投资流通受限证券出具的风险评估报告等备查资料的权利。否则，基金托管人有权拒绝执行有关指令。因拒绝执行该指令造成基金财产损失的，基金托管人不承担任何责任，并有权报告中国证监会。</w:t>
      </w:r>
    </w:p>
    <w:p w14:paraId="5E9BF8E7" w14:textId="77777777" w:rsidR="00E853FD" w:rsidRDefault="00FE7D53">
      <w:pPr>
        <w:spacing w:line="360" w:lineRule="auto"/>
        <w:ind w:firstLineChars="200" w:firstLine="480"/>
        <w:rPr>
          <w:rFonts w:ascii="宋体"/>
          <w:sz w:val="24"/>
          <w:szCs w:val="24"/>
        </w:rPr>
      </w:pPr>
      <w:r>
        <w:rPr>
          <w:rFonts w:ascii="宋体" w:hAnsi="宋体" w:hint="eastAsia"/>
          <w:sz w:val="24"/>
          <w:szCs w:val="24"/>
        </w:rPr>
        <w:t>（六）基金管理人投资银行定期存款应符合相关法律法规约定。基金管理人在投资银行定期存款的过程中，必须符合基金合同就投资品种、投资比例、存款期限等方面的限制。基金管理人应基于审慎原则评估存款银行信用风险并据此选择存款银行。因基金管理人违反上述原则给基金造成的损失，基金托管人不承担任何责任。基金管理人在投资银行定期存款的过程中，必须符合基金合同就投资品种、投资比例、存款期限等方面的限制。基金管理人应基于审慎原则评估存款银行信用风险并据此选择存款银行。因基金管理人违反上述原则给基金造成的损失，基金托管人不承担任何责任。开立定期存款账户时，定期存款账户的户名应与托管账户户名一致，本着便于基金财产的安全保管和日常监督核查的原则，存款行应尽量选择托管账户所在地的分支机构。对于跨行定期存款投资，管理人必须和存款机构签订定期存款协议，约定双方的权利和义务，该协议作为划款指令附件。该协议中必须有如下明确条款：“存款证实书不得被质押或以任何方式被抵押，并不得用于转让和背书；本息到期归还或提前支取的所有款项必须划至托管专户（明确户名、开户行、账号等），不得划入其他任何账户”。并依照本协议交接原则对存单交接流程予以明确。</w:t>
      </w:r>
      <w:r>
        <w:rPr>
          <w:rFonts w:ascii="宋体" w:hAnsi="宋体" w:hint="eastAsia"/>
          <w:color w:val="000000"/>
          <w:sz w:val="24"/>
          <w:szCs w:val="24"/>
        </w:rPr>
        <w:t>如定期存款协议中未体现前述条款，托管人有权拒绝定期存款投资的划款指令。</w:t>
      </w:r>
      <w:r>
        <w:rPr>
          <w:rFonts w:ascii="宋体" w:hAnsi="宋体" w:hint="eastAsia"/>
          <w:sz w:val="24"/>
          <w:szCs w:val="24"/>
        </w:rPr>
        <w:t>对于跨行存款，管理人需提前与托管人就定期存款协议及存单交接流程进行沟通。除非存款协议中规定存款证实书由存款行</w:t>
      </w:r>
      <w:r>
        <w:rPr>
          <w:rFonts w:ascii="宋体" w:hAnsi="宋体" w:hint="eastAsia"/>
          <w:sz w:val="24"/>
          <w:szCs w:val="24"/>
        </w:rPr>
        <w:lastRenderedPageBreak/>
        <w:t>保管或存款协议作为存款支取的依据，存单交接原则上采用存款行上门服务</w:t>
      </w:r>
      <w:r>
        <w:rPr>
          <w:rFonts w:ascii="宋体" w:hAnsi="宋体" w:hint="eastAsia"/>
          <w:color w:val="000000"/>
          <w:sz w:val="24"/>
          <w:szCs w:val="24"/>
        </w:rPr>
        <w:t>、基金管理人负责监交</w:t>
      </w:r>
      <w:r>
        <w:rPr>
          <w:rFonts w:ascii="宋体" w:hAnsi="宋体" w:hint="eastAsia"/>
          <w:sz w:val="24"/>
          <w:szCs w:val="24"/>
        </w:rPr>
        <w:t>的方式。特殊情况下，采用基金管理人交接存单的方式。在取得存款证实书后，托管人保管证实书正本。管理人需对跨行存款的利率政策风险、存款行的选择及存款协议承担责任，并指定专人在核实存款行授权人员身份信息后，负责印鉴卡与存款证实书等凭证的监交或交接，以确保与托管人所交接凭证的真实性、准确性和完整性。托管人对投资后处于托管人实际控制之外的资产不承担保管责任。跨行定期存款账户的预留印鉴为托管人托管业务专用章与托管业务授权人名章。</w:t>
      </w:r>
    </w:p>
    <w:p w14:paraId="20A8AF61"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七）基金托管人根据有关法律法规的规定及基金合同的约定，对基金资产净值计算、基金份额的基金份额净值计算、应收资金到账、基金费用开支及收入确定、基金收益分配、相关信息披露、基金宣传推介材料中登载基金业绩表现数据等进行监督和核查。</w:t>
      </w:r>
    </w:p>
    <w:p w14:paraId="025CE094" w14:textId="77777777" w:rsidR="00E853FD" w:rsidRDefault="00FE7D53">
      <w:pPr>
        <w:spacing w:line="360" w:lineRule="auto"/>
        <w:ind w:firstLineChars="200" w:firstLine="480"/>
        <w:rPr>
          <w:rFonts w:ascii="宋体"/>
          <w:sz w:val="24"/>
          <w:szCs w:val="24"/>
        </w:rPr>
      </w:pPr>
      <w:r>
        <w:rPr>
          <w:rFonts w:ascii="宋体" w:hAnsi="宋体" w:hint="eastAsia"/>
          <w:sz w:val="24"/>
          <w:szCs w:val="24"/>
        </w:rPr>
        <w:t>如果基金管理人未经基金托管人的审核擅自将不实的业绩表现数据印制在宣传推介材料上，则基金托管人对此不承担任何责任，并将在发现后立即报告中国证监会。</w:t>
      </w:r>
    </w:p>
    <w:p w14:paraId="4020340E" w14:textId="77777777" w:rsidR="00E853FD" w:rsidRDefault="00FE7D53">
      <w:pPr>
        <w:spacing w:line="360" w:lineRule="auto"/>
        <w:ind w:firstLineChars="200" w:firstLine="480"/>
        <w:rPr>
          <w:rFonts w:ascii="宋体"/>
          <w:sz w:val="24"/>
          <w:szCs w:val="24"/>
        </w:rPr>
      </w:pPr>
      <w:r>
        <w:rPr>
          <w:rFonts w:ascii="宋体" w:hAnsi="宋体" w:hint="eastAsia"/>
          <w:sz w:val="24"/>
          <w:szCs w:val="24"/>
        </w:rPr>
        <w:t>（八）基金托管人发现基金管理人的上述事项及投资指令或实际投资运作违反法律法规、基金合同和本托管协议的规定，应及时以电话提醒或书面提示等方式通知基金管理人限期纠正。</w:t>
      </w:r>
    </w:p>
    <w:p w14:paraId="2E79CFF6"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122BD6CE" w14:textId="77777777" w:rsidR="00E853FD" w:rsidRDefault="00FE7D53">
      <w:pPr>
        <w:spacing w:line="360" w:lineRule="auto"/>
        <w:ind w:firstLineChars="200" w:firstLine="480"/>
        <w:rPr>
          <w:rFonts w:ascii="宋体"/>
          <w:sz w:val="24"/>
          <w:szCs w:val="24"/>
        </w:rPr>
      </w:pPr>
      <w:r>
        <w:rPr>
          <w:rFonts w:ascii="宋体" w:hAnsi="宋体" w:hint="eastAsia"/>
          <w:sz w:val="24"/>
          <w:szCs w:val="24"/>
        </w:rPr>
        <w:t>（九）基金管理人有义务配合和协助基金托管人依照法律法规、基金合同和本托管协议对基金业务执行核查。</w:t>
      </w:r>
    </w:p>
    <w:p w14:paraId="36DC466C" w14:textId="77777777" w:rsidR="00E853FD" w:rsidRDefault="00FE7D53">
      <w:pPr>
        <w:spacing w:line="360" w:lineRule="auto"/>
        <w:ind w:firstLineChars="200" w:firstLine="480"/>
        <w:rPr>
          <w:rFonts w:ascii="宋体"/>
          <w:sz w:val="24"/>
          <w:szCs w:val="24"/>
        </w:rPr>
      </w:pPr>
      <w:r>
        <w:rPr>
          <w:rFonts w:ascii="宋体" w:hAnsi="宋体" w:hint="eastAsia"/>
          <w:sz w:val="24"/>
          <w:szCs w:val="24"/>
        </w:rPr>
        <w:t>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w:t>
      </w:r>
      <w:r>
        <w:rPr>
          <w:rFonts w:ascii="宋体" w:hAnsi="宋体" w:hint="eastAsia"/>
          <w:sz w:val="24"/>
          <w:szCs w:val="24"/>
        </w:rPr>
        <w:lastRenderedPageBreak/>
        <w:t>配合提供相关数据资料和制度等。</w:t>
      </w:r>
    </w:p>
    <w:p w14:paraId="3B866FCE" w14:textId="77777777" w:rsidR="00E853FD" w:rsidRDefault="00FE7D53">
      <w:pPr>
        <w:spacing w:line="360" w:lineRule="auto"/>
        <w:ind w:firstLineChars="200" w:firstLine="480"/>
        <w:rPr>
          <w:rFonts w:ascii="宋体"/>
          <w:sz w:val="24"/>
          <w:szCs w:val="24"/>
        </w:rPr>
      </w:pPr>
      <w:r>
        <w:rPr>
          <w:rFonts w:ascii="宋体" w:hAnsi="宋体" w:hint="eastAsia"/>
          <w:sz w:val="24"/>
          <w:szCs w:val="24"/>
        </w:rPr>
        <w:t>（十）若基金托管人发现基金管理人依据交易程序已经生效的指令违反法律、行政法规和其他有关规定，或者违反基金合同约定的，应当立即通知基金管理人。</w:t>
      </w:r>
    </w:p>
    <w:p w14:paraId="2F7C121F" w14:textId="77777777" w:rsidR="00E853FD" w:rsidRDefault="00FE7D53">
      <w:pPr>
        <w:spacing w:line="360" w:lineRule="auto"/>
        <w:ind w:firstLineChars="200" w:firstLine="480"/>
        <w:rPr>
          <w:rFonts w:ascii="宋体"/>
          <w:sz w:val="24"/>
          <w:szCs w:val="24"/>
        </w:rPr>
      </w:pPr>
      <w:r>
        <w:rPr>
          <w:rFonts w:ascii="宋体" w:hAnsi="宋体" w:hint="eastAsia"/>
          <w:sz w:val="24"/>
          <w:szCs w:val="24"/>
        </w:rPr>
        <w:t>（十一）基金托管人发现基金管理人有重大违规行为，有权报告中国证监会，同时通知基金管理人限期纠正，并将纠正结果报告中国证监会。</w:t>
      </w:r>
    </w:p>
    <w:p w14:paraId="45CFF266" w14:textId="5B0487FB" w:rsidR="00E853FD" w:rsidRDefault="00FE7D53">
      <w:pPr>
        <w:spacing w:line="360" w:lineRule="auto"/>
        <w:ind w:firstLineChars="200" w:firstLine="480"/>
        <w:rPr>
          <w:rFonts w:ascii="宋体" w:hAnsi="宋体"/>
          <w:sz w:val="24"/>
          <w:szCs w:val="24"/>
        </w:rPr>
      </w:pPr>
      <w:r>
        <w:rPr>
          <w:rFonts w:ascii="宋体" w:hAnsi="宋体" w:hint="eastAsia"/>
          <w:sz w:val="24"/>
          <w:szCs w:val="24"/>
        </w:rPr>
        <w:t>基金管理人无正当理由，拒绝、阻挠对方根据本托管协议规定行使监督权，或采取拖延、欺诈等手段妨碍对方进行有效监督，情节严重或经基金托管人提出警告仍不改正的，基金托管人应报告中国证监会。</w:t>
      </w:r>
    </w:p>
    <w:p w14:paraId="57E199D9" w14:textId="5BB851A7" w:rsidR="00FC3264" w:rsidRDefault="00FC3264">
      <w:pPr>
        <w:spacing w:line="360" w:lineRule="auto"/>
        <w:ind w:firstLineChars="200" w:firstLine="480"/>
        <w:rPr>
          <w:rFonts w:ascii="宋体"/>
          <w:sz w:val="24"/>
          <w:szCs w:val="24"/>
        </w:rPr>
      </w:pPr>
      <w:r w:rsidRPr="00FC3264">
        <w:rPr>
          <w:rFonts w:ascii="宋体" w:hint="eastAsia"/>
          <w:sz w:val="24"/>
          <w:szCs w:val="24"/>
        </w:rPr>
        <w:t>（十二）侧袋机制实施期间，本部分约定的投资组合比例、组合限制等约定仅适用于主袋账户。</w:t>
      </w:r>
    </w:p>
    <w:p w14:paraId="5593034D" w14:textId="77777777" w:rsidR="00E853FD" w:rsidRDefault="00FE7D53">
      <w:pPr>
        <w:spacing w:afterLines="100" w:after="312" w:line="360" w:lineRule="auto"/>
        <w:jc w:val="center"/>
        <w:outlineLvl w:val="0"/>
      </w:pPr>
      <w:r>
        <w:rPr>
          <w:rFonts w:ascii="宋体"/>
          <w:sz w:val="24"/>
          <w:szCs w:val="24"/>
        </w:rPr>
        <w:br w:type="page"/>
      </w:r>
      <w:bookmarkStart w:id="10" w:name="_Toc440289532"/>
      <w:r>
        <w:rPr>
          <w:rFonts w:hint="eastAsia"/>
          <w:b/>
          <w:sz w:val="30"/>
          <w:szCs w:val="30"/>
        </w:rPr>
        <w:lastRenderedPageBreak/>
        <w:t>四、基金管理人对基金托管人的业务核查</w:t>
      </w:r>
      <w:bookmarkEnd w:id="10"/>
    </w:p>
    <w:p w14:paraId="03F28F6C"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（一）基金管理人对基金托管人履行托管职责情况进行核查，核查事项包括基金托管人安全保管基金财产、开设基金财产的资金账户、证券账户</w:t>
      </w:r>
      <w:r>
        <w:rPr>
          <w:rFonts w:hint="eastAsia"/>
          <w:bCs/>
          <w:sz w:val="24"/>
        </w:rPr>
        <w:t>及期货账户、</w:t>
      </w:r>
      <w:r>
        <w:rPr>
          <w:rFonts w:ascii="宋体" w:hAnsi="宋体" w:hint="eastAsia"/>
          <w:sz w:val="24"/>
          <w:szCs w:val="24"/>
        </w:rPr>
        <w:t>复核基金管理人计算的基金资产净值和基金份额净值、根据基金管理人指令办理清算交收、相关信息披露和监督基金投资运作等行为。</w:t>
      </w:r>
    </w:p>
    <w:p w14:paraId="0B74CBAC"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w:t>
      </w:r>
    </w:p>
    <w:p w14:paraId="1AB64A1F"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5E46496C"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（三）基金管理人发现基金托管人有重大违规行为，应及时报告中国证监会，同时通知基金托管人限期纠正，并将纠正结果报告中国证监会。</w:t>
      </w:r>
    </w:p>
    <w:p w14:paraId="497B9CFC"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基金托管人无正当理由，拒绝、阻挠对方根据本协议规定行使监督权，或采取拖延、欺诈等手段妨碍对方进行有效监督，情节严重或经基金管理人提出警告仍不改正的，基金管理人应报告中国证监会。</w:t>
      </w:r>
    </w:p>
    <w:p w14:paraId="264246D7" w14:textId="77777777" w:rsidR="00E853FD" w:rsidRDefault="00FE7D53">
      <w:pPr>
        <w:spacing w:afterLines="100" w:after="312" w:line="360" w:lineRule="auto"/>
        <w:jc w:val="center"/>
        <w:outlineLvl w:val="0"/>
      </w:pPr>
      <w:r>
        <w:rPr>
          <w:rFonts w:ascii="宋体"/>
          <w:sz w:val="24"/>
          <w:szCs w:val="24"/>
        </w:rPr>
        <w:br w:type="page"/>
      </w:r>
      <w:bookmarkStart w:id="11" w:name="_Toc440289533"/>
      <w:r>
        <w:rPr>
          <w:rFonts w:hint="eastAsia"/>
          <w:b/>
          <w:sz w:val="30"/>
          <w:szCs w:val="30"/>
        </w:rPr>
        <w:lastRenderedPageBreak/>
        <w:t>五、基金财产的保管</w:t>
      </w:r>
      <w:bookmarkEnd w:id="11"/>
    </w:p>
    <w:p w14:paraId="57A47108"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（一）基金财产保管的原则</w:t>
      </w:r>
    </w:p>
    <w:p w14:paraId="5A913252" w14:textId="77777777"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．基金财产应独立于基金管理人、基金托管人的固有财产；</w:t>
      </w:r>
    </w:p>
    <w:p w14:paraId="0F445BA5"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．基金托管人应安全保管基金财产；</w:t>
      </w:r>
    </w:p>
    <w:p w14:paraId="4C7C72FA" w14:textId="77777777" w:rsidR="00E853FD" w:rsidRDefault="00FE7D53">
      <w:pPr>
        <w:spacing w:line="360" w:lineRule="auto"/>
        <w:ind w:firstLineChars="200" w:firstLine="480"/>
        <w:rPr>
          <w:rFonts w:ascii="宋体"/>
          <w:sz w:val="24"/>
          <w:szCs w:val="24"/>
        </w:rPr>
      </w:pPr>
      <w:r>
        <w:rPr>
          <w:rFonts w:ascii="宋体" w:hAnsi="宋体"/>
          <w:sz w:val="24"/>
          <w:szCs w:val="24"/>
        </w:rPr>
        <w:t>3</w:t>
      </w:r>
      <w:r>
        <w:rPr>
          <w:rFonts w:ascii="宋体" w:hAnsi="宋体" w:hint="eastAsia"/>
          <w:sz w:val="24"/>
          <w:szCs w:val="24"/>
        </w:rPr>
        <w:t>．基金托管人按照规定开设基金财产的资金账户、证券账户和期货账户；</w:t>
      </w:r>
    </w:p>
    <w:p w14:paraId="5D53B6D6" w14:textId="77777777" w:rsidR="00E853FD" w:rsidRDefault="00FE7D53">
      <w:pPr>
        <w:spacing w:line="360" w:lineRule="auto"/>
        <w:ind w:firstLineChars="200" w:firstLine="480"/>
        <w:rPr>
          <w:rFonts w:ascii="宋体"/>
          <w:sz w:val="24"/>
          <w:szCs w:val="24"/>
        </w:rPr>
      </w:pPr>
      <w:r>
        <w:rPr>
          <w:rFonts w:ascii="宋体" w:hAnsi="宋体"/>
          <w:sz w:val="24"/>
          <w:szCs w:val="24"/>
        </w:rPr>
        <w:t>4</w:t>
      </w:r>
      <w:r>
        <w:rPr>
          <w:rFonts w:ascii="宋体" w:hAnsi="宋体" w:hint="eastAsia"/>
          <w:sz w:val="24"/>
          <w:szCs w:val="24"/>
        </w:rPr>
        <w:t>．基金托管人对所托管的不同基金财产分别设置账户，确保基金财产的完整与独立；</w:t>
      </w:r>
      <w:r>
        <w:rPr>
          <w:rFonts w:ascii="宋体" w:hAnsi="宋体"/>
          <w:sz w:val="24"/>
          <w:szCs w:val="24"/>
        </w:rPr>
        <w:t xml:space="preserve"> </w:t>
      </w:r>
    </w:p>
    <w:p w14:paraId="6F9A1DA9" w14:textId="77777777" w:rsidR="00E853FD" w:rsidRDefault="00FE7D53">
      <w:pPr>
        <w:spacing w:line="360" w:lineRule="auto"/>
        <w:ind w:firstLineChars="200" w:firstLine="480"/>
        <w:rPr>
          <w:rFonts w:ascii="宋体"/>
          <w:sz w:val="24"/>
          <w:szCs w:val="24"/>
        </w:rPr>
      </w:pPr>
      <w:r>
        <w:rPr>
          <w:rFonts w:ascii="宋体" w:hAnsi="宋体"/>
          <w:sz w:val="24"/>
          <w:szCs w:val="24"/>
        </w:rPr>
        <w:t>5</w:t>
      </w:r>
      <w:r>
        <w:rPr>
          <w:rFonts w:ascii="宋体" w:hAnsi="宋体" w:hint="eastAsia"/>
          <w:sz w:val="24"/>
          <w:szCs w:val="24"/>
        </w:rPr>
        <w:t>．基金托管人根据基金管理人的指令，按照基金合同和本协议的约定保管基金财产，如有特殊情况双方可另行协商解决；</w:t>
      </w:r>
    </w:p>
    <w:p w14:paraId="0670C825" w14:textId="77777777" w:rsidR="00E853FD" w:rsidRDefault="00FE7D53">
      <w:pPr>
        <w:spacing w:line="360" w:lineRule="auto"/>
        <w:ind w:firstLineChars="200" w:firstLine="480"/>
        <w:rPr>
          <w:rFonts w:ascii="宋体"/>
          <w:sz w:val="24"/>
          <w:szCs w:val="24"/>
        </w:rPr>
      </w:pPr>
      <w:r>
        <w:rPr>
          <w:rFonts w:ascii="宋体" w:hAnsi="宋体"/>
          <w:sz w:val="24"/>
          <w:szCs w:val="24"/>
        </w:rPr>
        <w:t>6</w:t>
      </w:r>
      <w:r>
        <w:rPr>
          <w:rFonts w:ascii="宋体" w:hAnsi="宋体" w:hint="eastAsia"/>
          <w:sz w:val="24"/>
          <w:szCs w:val="24"/>
        </w:rPr>
        <w:t>．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w:t>
      </w:r>
    </w:p>
    <w:p w14:paraId="2FBAEEB6" w14:textId="77777777" w:rsidR="00E853FD" w:rsidRDefault="00FE7D53">
      <w:pPr>
        <w:spacing w:line="360" w:lineRule="auto"/>
        <w:ind w:firstLineChars="200" w:firstLine="480"/>
        <w:rPr>
          <w:rFonts w:ascii="宋体"/>
          <w:sz w:val="24"/>
          <w:szCs w:val="24"/>
        </w:rPr>
      </w:pPr>
      <w:r>
        <w:rPr>
          <w:rFonts w:ascii="宋体" w:hAnsi="宋体"/>
          <w:sz w:val="24"/>
          <w:szCs w:val="24"/>
        </w:rPr>
        <w:t>7</w:t>
      </w:r>
      <w:r>
        <w:rPr>
          <w:rFonts w:ascii="宋体" w:hAnsi="宋体" w:hint="eastAsia"/>
          <w:sz w:val="24"/>
          <w:szCs w:val="24"/>
        </w:rPr>
        <w:t>．除依据法律法规和基金合同的规定外，基金托管人不得委托第三人托管基金财产。</w:t>
      </w:r>
    </w:p>
    <w:p w14:paraId="31648998"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（二）基金募集期间及募集资金的验资</w:t>
      </w:r>
    </w:p>
    <w:p w14:paraId="78FF5F03" w14:textId="04425DE1"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．基金募集期间募集的资金应存于“基金募集专户”，该账户由基金管理人或其委托的登记机构开立并管理。</w:t>
      </w:r>
    </w:p>
    <w:p w14:paraId="77ECEB46" w14:textId="462AA288"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基金募集期满或基金停止募集时，募集的基金份额总额、基金募集金额、基金认购人数符合《基金法》、《运作办法》等有关规定后，基金管理人应将属于基金财产的全部资金划入基金托管人为本基金开立的基金托管专户，同时在规定时间内，聘请</w:t>
      </w:r>
      <w:r w:rsidR="00B5772B">
        <w:rPr>
          <w:rFonts w:ascii="宋体" w:hAnsi="宋体" w:hint="eastAsia"/>
          <w:sz w:val="24"/>
          <w:szCs w:val="24"/>
        </w:rPr>
        <w:t>符合《证券法》规定</w:t>
      </w:r>
      <w:r>
        <w:rPr>
          <w:rFonts w:ascii="宋体" w:hAnsi="宋体" w:hint="eastAsia"/>
          <w:sz w:val="24"/>
          <w:szCs w:val="24"/>
        </w:rPr>
        <w:t>的会计师事务所进行验资，出具验资报告。出具的验资报告由参加验资的</w:t>
      </w:r>
      <w:r>
        <w:rPr>
          <w:rFonts w:ascii="宋体" w:hAnsi="宋体"/>
          <w:sz w:val="24"/>
          <w:szCs w:val="24"/>
        </w:rPr>
        <w:t>2</w:t>
      </w:r>
      <w:r>
        <w:rPr>
          <w:rFonts w:ascii="宋体" w:hAnsi="宋体" w:hint="eastAsia"/>
          <w:sz w:val="24"/>
          <w:szCs w:val="24"/>
        </w:rPr>
        <w:t>名或</w:t>
      </w:r>
      <w:r>
        <w:rPr>
          <w:rFonts w:ascii="宋体" w:hAnsi="宋体"/>
          <w:sz w:val="24"/>
          <w:szCs w:val="24"/>
        </w:rPr>
        <w:t>2</w:t>
      </w:r>
      <w:r>
        <w:rPr>
          <w:rFonts w:ascii="宋体" w:hAnsi="宋体" w:hint="eastAsia"/>
          <w:sz w:val="24"/>
          <w:szCs w:val="24"/>
        </w:rPr>
        <w:t>名以上</w:t>
      </w:r>
      <w:r w:rsidR="004C6342">
        <w:rPr>
          <w:rFonts w:ascii="宋体" w:hAnsi="宋体" w:hint="eastAsia"/>
          <w:sz w:val="24"/>
          <w:szCs w:val="24"/>
        </w:rPr>
        <w:t>符合《证券法》规定的</w:t>
      </w:r>
      <w:r>
        <w:rPr>
          <w:rFonts w:ascii="宋体" w:hAnsi="宋体" w:hint="eastAsia"/>
          <w:sz w:val="24"/>
          <w:szCs w:val="24"/>
        </w:rPr>
        <w:t>注册会计师签字方为有效。</w:t>
      </w:r>
    </w:p>
    <w:p w14:paraId="570ADFEE" w14:textId="77777777" w:rsidR="00E853FD" w:rsidRDefault="00FE7D53">
      <w:pPr>
        <w:spacing w:line="360" w:lineRule="auto"/>
        <w:ind w:firstLineChars="200" w:firstLine="480"/>
        <w:rPr>
          <w:rFonts w:ascii="宋体"/>
          <w:sz w:val="24"/>
          <w:szCs w:val="24"/>
        </w:rPr>
      </w:pPr>
      <w:r>
        <w:rPr>
          <w:rFonts w:ascii="宋体" w:hAnsi="宋体"/>
          <w:sz w:val="24"/>
          <w:szCs w:val="24"/>
        </w:rPr>
        <w:t>3</w:t>
      </w:r>
      <w:r>
        <w:rPr>
          <w:rFonts w:ascii="宋体" w:hAnsi="宋体" w:hint="eastAsia"/>
          <w:sz w:val="24"/>
          <w:szCs w:val="24"/>
        </w:rPr>
        <w:t>．若基金募集期限届满，未能达到基金合同生效的条件，由基金管理人按规定办理退款等事宜。</w:t>
      </w:r>
    </w:p>
    <w:p w14:paraId="573D7EE8"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（三）</w:t>
      </w:r>
      <w:r>
        <w:rPr>
          <w:rFonts w:ascii="宋体" w:hAnsi="宋体" w:cs="宋体" w:hint="eastAsia"/>
          <w:sz w:val="24"/>
          <w:szCs w:val="24"/>
        </w:rPr>
        <w:t>基金托管专户</w:t>
      </w:r>
      <w:r>
        <w:rPr>
          <w:rFonts w:ascii="宋体" w:hAnsi="宋体" w:hint="eastAsia"/>
          <w:sz w:val="24"/>
          <w:szCs w:val="24"/>
        </w:rPr>
        <w:t>的开立和管理</w:t>
      </w:r>
    </w:p>
    <w:p w14:paraId="6D3A7520" w14:textId="5317EDE7" w:rsidR="00E853FD" w:rsidRDefault="00FE7D53">
      <w:pPr>
        <w:numPr>
          <w:ilvl w:val="0"/>
          <w:numId w:val="1"/>
        </w:numPr>
        <w:spacing w:line="360" w:lineRule="auto"/>
        <w:ind w:firstLineChars="200" w:firstLine="480"/>
        <w:rPr>
          <w:rFonts w:ascii="宋体" w:hAnsi="宋体"/>
          <w:sz w:val="24"/>
          <w:szCs w:val="24"/>
        </w:rPr>
      </w:pPr>
      <w:r>
        <w:rPr>
          <w:rFonts w:ascii="宋体" w:hAnsi="宋体" w:hint="eastAsia"/>
          <w:sz w:val="24"/>
          <w:szCs w:val="24"/>
        </w:rPr>
        <w:t>基金托管人以本基金的名义在其营业机构开设基金托管专户，保管基金</w:t>
      </w:r>
      <w:r>
        <w:rPr>
          <w:rFonts w:ascii="宋体" w:hAnsi="宋体" w:hint="eastAsia"/>
          <w:sz w:val="24"/>
          <w:szCs w:val="24"/>
        </w:rPr>
        <w:lastRenderedPageBreak/>
        <w:t>的银行存款。本基金的一切货币收支活动，包括但不限于投资、支付</w:t>
      </w:r>
      <w:r w:rsidR="005F1D75">
        <w:rPr>
          <w:rFonts w:ascii="宋体" w:hAnsi="宋体" w:hint="eastAsia"/>
          <w:sz w:val="24"/>
          <w:szCs w:val="24"/>
        </w:rPr>
        <w:t>净应付款</w:t>
      </w:r>
      <w:r>
        <w:rPr>
          <w:rFonts w:ascii="宋体" w:hAnsi="宋体" w:hint="eastAsia"/>
          <w:sz w:val="24"/>
          <w:szCs w:val="24"/>
        </w:rPr>
        <w:t>、支付基金收益、收取</w:t>
      </w:r>
      <w:r w:rsidR="00BC2661">
        <w:rPr>
          <w:rFonts w:ascii="宋体" w:hAnsi="宋体" w:hint="eastAsia"/>
          <w:sz w:val="24"/>
          <w:szCs w:val="24"/>
        </w:rPr>
        <w:t>应收款</w:t>
      </w:r>
      <w:r>
        <w:rPr>
          <w:rFonts w:ascii="宋体" w:hAnsi="宋体" w:hint="eastAsia"/>
          <w:sz w:val="24"/>
          <w:szCs w:val="24"/>
        </w:rPr>
        <w:t>，均需通过基金托管专户进行。</w:t>
      </w:r>
    </w:p>
    <w:p w14:paraId="4B28F178" w14:textId="45328D5A"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．基金托管专户的开立和使用，限于满足开展本基金业务的需要。基金托管人和基金管理人不得假借本基金的名义开立任何其他银行账户；亦不得使用基金的任何账户进行本基金业务以外的活动。</w:t>
      </w:r>
    </w:p>
    <w:p w14:paraId="7CC4662D" w14:textId="77777777" w:rsidR="00E853FD" w:rsidRDefault="00FE7D53">
      <w:pPr>
        <w:spacing w:line="360" w:lineRule="auto"/>
        <w:ind w:firstLineChars="200" w:firstLine="480"/>
        <w:rPr>
          <w:rFonts w:ascii="宋体"/>
          <w:sz w:val="24"/>
          <w:szCs w:val="24"/>
        </w:rPr>
      </w:pPr>
      <w:r>
        <w:rPr>
          <w:rFonts w:ascii="宋体" w:hAnsi="宋体"/>
          <w:sz w:val="24"/>
          <w:szCs w:val="24"/>
        </w:rPr>
        <w:t>3</w:t>
      </w:r>
      <w:r>
        <w:rPr>
          <w:rFonts w:ascii="宋体" w:hAnsi="宋体" w:hint="eastAsia"/>
          <w:sz w:val="24"/>
          <w:szCs w:val="24"/>
        </w:rPr>
        <w:t>．基金托管专户的开立和管理应符合有关法律法规以及银行业监督管理机构的其他有关规定。</w:t>
      </w:r>
    </w:p>
    <w:p w14:paraId="1590C788" w14:textId="77777777" w:rsidR="00E853FD" w:rsidRDefault="00FE7D53">
      <w:pPr>
        <w:spacing w:line="360" w:lineRule="auto"/>
        <w:ind w:firstLineChars="200" w:firstLine="480"/>
        <w:rPr>
          <w:rFonts w:ascii="宋体"/>
          <w:sz w:val="24"/>
          <w:szCs w:val="24"/>
        </w:rPr>
      </w:pPr>
      <w:r>
        <w:rPr>
          <w:rFonts w:ascii="宋体" w:hAnsi="宋体" w:hint="eastAsia"/>
          <w:sz w:val="24"/>
          <w:szCs w:val="24"/>
        </w:rPr>
        <w:t>（四）基金证券账户和结算备付金账户的开立和管理</w:t>
      </w:r>
    </w:p>
    <w:p w14:paraId="6E43778F" w14:textId="77777777"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．基金托管人在中国证券登记结算有限责任公司上海分公司、深圳分公司为基金开立基金托管人与本基金联名的证券账户。</w:t>
      </w:r>
    </w:p>
    <w:p w14:paraId="2D4E89E8"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．基金证券账户的开立和使用，仅限于满足开展本基金业务的需要。基金托管人和基金管理人不得出借或未经对方同意擅自转让基金的任何证券账户，亦不得使用基金的任何账户进行本基金业务以外的活动。</w:t>
      </w:r>
    </w:p>
    <w:p w14:paraId="390D64EB" w14:textId="77777777" w:rsidR="00E853FD" w:rsidRDefault="00FE7D53">
      <w:pPr>
        <w:spacing w:line="360" w:lineRule="auto"/>
        <w:ind w:firstLineChars="200" w:firstLine="480"/>
        <w:rPr>
          <w:rFonts w:ascii="宋体"/>
          <w:sz w:val="24"/>
          <w:szCs w:val="24"/>
        </w:rPr>
      </w:pPr>
      <w:r>
        <w:rPr>
          <w:rFonts w:ascii="宋体" w:hAnsi="宋体"/>
          <w:sz w:val="24"/>
          <w:szCs w:val="24"/>
        </w:rPr>
        <w:t>3</w:t>
      </w:r>
      <w:r>
        <w:rPr>
          <w:rFonts w:ascii="宋体" w:hAnsi="宋体" w:hint="eastAsia"/>
          <w:sz w:val="24"/>
          <w:szCs w:val="24"/>
        </w:rPr>
        <w:t>．基金证券账户的开立和证券账户卡的保管由基金托管人负责，账户资产的管理和运用由基金管理人负责。</w:t>
      </w:r>
    </w:p>
    <w:p w14:paraId="69403096" w14:textId="23F7F988" w:rsidR="00E853FD" w:rsidRDefault="00FE7D53" w:rsidP="00595F92">
      <w:pPr>
        <w:spacing w:line="360" w:lineRule="auto"/>
        <w:ind w:firstLineChars="200" w:firstLine="480"/>
        <w:rPr>
          <w:rFonts w:ascii="宋体"/>
          <w:sz w:val="24"/>
          <w:szCs w:val="24"/>
        </w:rPr>
      </w:pPr>
      <w:r>
        <w:rPr>
          <w:rFonts w:ascii="宋体" w:hAnsi="宋体"/>
          <w:sz w:val="24"/>
          <w:szCs w:val="24"/>
        </w:rPr>
        <w:t>4</w:t>
      </w:r>
      <w:r>
        <w:rPr>
          <w:rFonts w:ascii="宋体" w:hAnsi="宋体" w:hint="eastAsia"/>
          <w:sz w:val="24"/>
          <w:szCs w:val="24"/>
        </w:rPr>
        <w:t>．若中国证监会或其他监管机构在本托管协议订立日之后允许基金从事其他投资品种的投资业务，涉及相关账户的开立、使用的，若无相关规定，则基金托管人比照上述关于账户开立、使用的规定执行。</w:t>
      </w:r>
    </w:p>
    <w:p w14:paraId="5E94E812"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（五）银行间债券托管专户的开设和管理</w:t>
      </w:r>
    </w:p>
    <w:p w14:paraId="1197E4DE"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合同生效后，基金管理人负责以本基金的名义申请并取得进入全国银行间同业拆借市场的交易资格，并代表本基金进行交易；基金托管人负责以本基金的名义在中央国债登记结算有限责任公司和银行间市场清算所股份有限公司开设银行间债券市场债券托管账户，并代表基金进行银行间市场债券的结算。</w:t>
      </w:r>
    </w:p>
    <w:p w14:paraId="5643EF6A" w14:textId="77777777" w:rsidR="008F627F" w:rsidRDefault="008F627F" w:rsidP="008F627F">
      <w:pPr>
        <w:spacing w:line="360" w:lineRule="auto"/>
        <w:ind w:firstLine="480"/>
        <w:rPr>
          <w:rFonts w:ascii="宋体" w:hAnsi="宋体"/>
          <w:color w:val="000000"/>
          <w:sz w:val="24"/>
          <w:szCs w:val="24"/>
        </w:rPr>
      </w:pPr>
      <w:r>
        <w:rPr>
          <w:rFonts w:ascii="宋体" w:hAnsi="宋体" w:hint="eastAsia"/>
          <w:color w:val="000000"/>
          <w:sz w:val="24"/>
          <w:szCs w:val="24"/>
        </w:rPr>
        <w:t>（六）期货账户的开立和管理</w:t>
      </w:r>
    </w:p>
    <w:p w14:paraId="07448F80" w14:textId="77777777" w:rsidR="008F627F" w:rsidRDefault="008F627F" w:rsidP="008F627F">
      <w:pPr>
        <w:spacing w:line="360" w:lineRule="auto"/>
        <w:ind w:firstLine="480"/>
        <w:rPr>
          <w:rFonts w:ascii="宋体" w:hAnsi="宋体"/>
          <w:color w:val="000000"/>
          <w:sz w:val="24"/>
          <w:szCs w:val="24"/>
        </w:rPr>
      </w:pPr>
      <w:r>
        <w:rPr>
          <w:rFonts w:ascii="宋体" w:hAnsi="宋体" w:hint="eastAsia"/>
          <w:color w:val="000000"/>
          <w:sz w:val="24"/>
          <w:szCs w:val="24"/>
        </w:rPr>
        <w:t>基金托管人与基金管理人应依据相关期货交易所或期货公司的相关规定开立和管理期货账户。</w:t>
      </w:r>
    </w:p>
    <w:p w14:paraId="0B33C276" w14:textId="7B2C903F" w:rsidR="00E853FD" w:rsidRDefault="00FE7D53">
      <w:pPr>
        <w:spacing w:line="360" w:lineRule="auto"/>
        <w:ind w:firstLineChars="200" w:firstLine="480"/>
        <w:rPr>
          <w:rFonts w:ascii="宋体"/>
          <w:sz w:val="24"/>
          <w:szCs w:val="24"/>
        </w:rPr>
      </w:pPr>
      <w:r>
        <w:rPr>
          <w:rFonts w:ascii="宋体" w:hAnsi="宋体" w:hint="eastAsia"/>
          <w:sz w:val="24"/>
          <w:szCs w:val="24"/>
        </w:rPr>
        <w:t>（</w:t>
      </w:r>
      <w:r w:rsidR="00AE38DF">
        <w:rPr>
          <w:rFonts w:ascii="宋体" w:hAnsi="宋体" w:hint="eastAsia"/>
          <w:sz w:val="24"/>
          <w:szCs w:val="24"/>
        </w:rPr>
        <w:t>七</w:t>
      </w:r>
      <w:r>
        <w:rPr>
          <w:rFonts w:ascii="宋体" w:hAnsi="宋体" w:hint="eastAsia"/>
          <w:sz w:val="24"/>
          <w:szCs w:val="24"/>
        </w:rPr>
        <w:t>）其他账户的开立和管理</w:t>
      </w:r>
    </w:p>
    <w:p w14:paraId="5BB7E9FA" w14:textId="77777777" w:rsidR="00E853FD" w:rsidRDefault="00FE7D53">
      <w:pPr>
        <w:spacing w:line="360" w:lineRule="auto"/>
        <w:ind w:firstLineChars="200" w:firstLine="480"/>
        <w:rPr>
          <w:rFonts w:ascii="宋体"/>
          <w:sz w:val="24"/>
          <w:szCs w:val="24"/>
        </w:rPr>
      </w:pPr>
      <w:r>
        <w:rPr>
          <w:rFonts w:ascii="宋体" w:hAnsi="宋体" w:hint="eastAsia"/>
          <w:sz w:val="24"/>
          <w:szCs w:val="24"/>
        </w:rPr>
        <w:t>在本托管协议签订日之后，本基金被允许从事符合法律法规规定和《基金合同》约定的其他投资品种的投资业务时，如果涉及相关账户的开设和使用，由基</w:t>
      </w:r>
      <w:r>
        <w:rPr>
          <w:rFonts w:ascii="宋体" w:hAnsi="宋体" w:hint="eastAsia"/>
          <w:sz w:val="24"/>
          <w:szCs w:val="24"/>
        </w:rPr>
        <w:lastRenderedPageBreak/>
        <w:t>金管理人协助基金托管人根据有关法律法规的规定和《基金合同》的约定，开立有关账户。该账户按有关规则使用并管理。</w:t>
      </w:r>
    </w:p>
    <w:p w14:paraId="3998161B" w14:textId="77A6C9C7" w:rsidR="00E853FD" w:rsidRDefault="00FE7D53">
      <w:pPr>
        <w:spacing w:line="360" w:lineRule="auto"/>
        <w:ind w:firstLineChars="200" w:firstLine="480"/>
        <w:rPr>
          <w:rFonts w:ascii="宋体"/>
          <w:sz w:val="24"/>
          <w:szCs w:val="24"/>
        </w:rPr>
      </w:pPr>
      <w:r>
        <w:rPr>
          <w:rFonts w:ascii="宋体" w:hAnsi="宋体" w:hint="eastAsia"/>
          <w:sz w:val="24"/>
          <w:szCs w:val="24"/>
        </w:rPr>
        <w:t>（</w:t>
      </w:r>
      <w:r w:rsidR="00AE38DF">
        <w:rPr>
          <w:rFonts w:ascii="宋体" w:hAnsi="宋体" w:hint="eastAsia"/>
          <w:sz w:val="24"/>
          <w:szCs w:val="24"/>
        </w:rPr>
        <w:t>八</w:t>
      </w:r>
      <w:r>
        <w:rPr>
          <w:rFonts w:ascii="宋体" w:hAnsi="宋体" w:hint="eastAsia"/>
          <w:sz w:val="24"/>
          <w:szCs w:val="24"/>
        </w:rPr>
        <w:t>）基金财产投资的有关有价凭证等的保管</w:t>
      </w:r>
    </w:p>
    <w:p w14:paraId="1A94CE12"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基金财产投资的有关实物证券等有价凭证由基金托管人存放于基金托管人的保管库，也可存入中央国债登记结算有限责任公司、银行间市场清算所股份有限公司、中国证券登记结算有限责任公司上海分公司</w:t>
      </w:r>
      <w:r>
        <w:rPr>
          <w:rFonts w:ascii="宋体" w:hAnsi="宋体"/>
          <w:sz w:val="24"/>
          <w:szCs w:val="24"/>
        </w:rPr>
        <w:t>/</w:t>
      </w:r>
      <w:r>
        <w:rPr>
          <w:rFonts w:ascii="宋体" w:hAnsi="宋体" w:hint="eastAsia"/>
          <w:sz w:val="24"/>
          <w:szCs w:val="24"/>
        </w:rPr>
        <w:t>深圳分公司或票据营业中心的代保管库，保管凭证由基金托管人持有。实物证券等有价凭证的购买和转让，由基金管理人和基金托管人共同办理。基金托管人对由基金托管人及基金托管人委托保管的机构以外机构实际有效控制的证券不承担保管责任。</w:t>
      </w:r>
    </w:p>
    <w:p w14:paraId="59B24E39" w14:textId="5497D219" w:rsidR="00E853FD" w:rsidRDefault="00FE7D53">
      <w:pPr>
        <w:spacing w:line="360" w:lineRule="auto"/>
        <w:ind w:firstLineChars="200" w:firstLine="480"/>
        <w:rPr>
          <w:rFonts w:ascii="宋体"/>
          <w:sz w:val="24"/>
          <w:szCs w:val="24"/>
        </w:rPr>
      </w:pPr>
      <w:r>
        <w:rPr>
          <w:rFonts w:ascii="宋体" w:hAnsi="宋体" w:hint="eastAsia"/>
          <w:sz w:val="24"/>
          <w:szCs w:val="24"/>
        </w:rPr>
        <w:t>（</w:t>
      </w:r>
      <w:r w:rsidR="00AE38DF">
        <w:rPr>
          <w:rFonts w:ascii="宋体" w:hAnsi="宋体" w:hint="eastAsia"/>
          <w:sz w:val="24"/>
          <w:szCs w:val="24"/>
        </w:rPr>
        <w:t>九</w:t>
      </w:r>
      <w:r>
        <w:rPr>
          <w:rFonts w:ascii="宋体" w:hAnsi="宋体" w:hint="eastAsia"/>
          <w:sz w:val="24"/>
          <w:szCs w:val="24"/>
        </w:rPr>
        <w:t>）与基金财产有关的重大合同的保管</w:t>
      </w:r>
    </w:p>
    <w:p w14:paraId="286FB7B3"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将重大合同发送给基金托管人，并在</w:t>
      </w:r>
      <w:r>
        <w:rPr>
          <w:rFonts w:ascii="宋体" w:hAnsi="宋体"/>
          <w:sz w:val="24"/>
          <w:szCs w:val="24"/>
        </w:rPr>
        <w:t>30</w:t>
      </w:r>
      <w:r>
        <w:rPr>
          <w:rFonts w:ascii="宋体" w:hAnsi="宋体" w:hint="eastAsia"/>
          <w:sz w:val="24"/>
          <w:szCs w:val="24"/>
        </w:rPr>
        <w:t>个工作日内将正本送达基金托管人处。重大合同的保管期限</w:t>
      </w:r>
      <w:r>
        <w:rPr>
          <w:rFonts w:ascii="宋体" w:hAnsi="宋体" w:cs="宋体" w:hint="eastAsia"/>
          <w:color w:val="000000"/>
          <w:sz w:val="24"/>
          <w:szCs w:val="24"/>
        </w:rPr>
        <w:t>不低于法律法规规定的最低期限</w:t>
      </w:r>
      <w:r>
        <w:rPr>
          <w:rFonts w:ascii="宋体" w:hAnsi="宋体" w:hint="eastAsia"/>
          <w:sz w:val="24"/>
          <w:szCs w:val="24"/>
        </w:rPr>
        <w:t>。</w:t>
      </w:r>
    </w:p>
    <w:p w14:paraId="60E72372" w14:textId="77777777" w:rsidR="00E853FD" w:rsidRDefault="00FE7D53">
      <w:pPr>
        <w:spacing w:afterLines="100" w:after="312" w:line="360" w:lineRule="auto"/>
        <w:jc w:val="center"/>
        <w:outlineLvl w:val="0"/>
      </w:pPr>
      <w:r>
        <w:rPr>
          <w:rFonts w:ascii="宋体"/>
          <w:sz w:val="24"/>
          <w:szCs w:val="24"/>
        </w:rPr>
        <w:br w:type="page"/>
      </w:r>
      <w:bookmarkStart w:id="12" w:name="_Toc440289534"/>
      <w:r>
        <w:rPr>
          <w:rFonts w:hint="eastAsia"/>
          <w:b/>
          <w:sz w:val="30"/>
          <w:szCs w:val="30"/>
        </w:rPr>
        <w:lastRenderedPageBreak/>
        <w:t>六、指令的发送、确认及执行</w:t>
      </w:r>
      <w:bookmarkEnd w:id="12"/>
    </w:p>
    <w:p w14:paraId="1E47A8F4"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基金管理人在运用基金财产时向基金托管人发送资金划拨及其他款项付款指令，基金托管人执行基金管理人的指令、办理基金名下的资金往来等有关事项。</w:t>
      </w:r>
    </w:p>
    <w:p w14:paraId="3E2958A1"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（一）基金管理人对发送指令人员的书面授权</w:t>
      </w:r>
    </w:p>
    <w:p w14:paraId="5339F6F9" w14:textId="77777777"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．基金管理人应指定专人向基金托管人发送指令。</w:t>
      </w:r>
    </w:p>
    <w:p w14:paraId="71C48A2B"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．基金管理人应向基金托管人提供书面授权文件，内容包括被授权人名单、预留印鉴及被授权人签字或盖章样本，授权文件应注明被授权人相应的权限。</w:t>
      </w:r>
    </w:p>
    <w:p w14:paraId="1BF57A0D" w14:textId="77777777" w:rsidR="00E853FD" w:rsidRDefault="00FE7D53">
      <w:pPr>
        <w:spacing w:line="360" w:lineRule="auto"/>
        <w:ind w:firstLineChars="200" w:firstLine="480"/>
        <w:rPr>
          <w:rFonts w:ascii="宋体"/>
          <w:sz w:val="24"/>
          <w:szCs w:val="24"/>
        </w:rPr>
      </w:pPr>
      <w:r>
        <w:rPr>
          <w:rFonts w:ascii="宋体" w:hAnsi="宋体"/>
          <w:sz w:val="24"/>
          <w:szCs w:val="24"/>
        </w:rPr>
        <w:t>3</w:t>
      </w:r>
      <w:r>
        <w:rPr>
          <w:rFonts w:ascii="宋体" w:hAnsi="宋体" w:hint="eastAsia"/>
          <w:sz w:val="24"/>
          <w:szCs w:val="24"/>
        </w:rPr>
        <w:t>．基金托管人在收到授权文件原件并经基金管理人电话确认后，授权文件即生效。</w:t>
      </w:r>
    </w:p>
    <w:p w14:paraId="335803E3" w14:textId="77777777" w:rsidR="00E853FD" w:rsidRDefault="00FE7D53">
      <w:pPr>
        <w:spacing w:line="360" w:lineRule="auto"/>
        <w:ind w:firstLineChars="200" w:firstLine="480"/>
        <w:rPr>
          <w:rFonts w:ascii="宋体"/>
          <w:sz w:val="24"/>
          <w:szCs w:val="24"/>
        </w:rPr>
      </w:pPr>
      <w:r>
        <w:rPr>
          <w:rFonts w:ascii="宋体" w:hAnsi="宋体"/>
          <w:sz w:val="24"/>
          <w:szCs w:val="24"/>
        </w:rPr>
        <w:t>4</w:t>
      </w:r>
      <w:r>
        <w:rPr>
          <w:rFonts w:ascii="宋体" w:hAnsi="宋体" w:hint="eastAsia"/>
          <w:sz w:val="24"/>
          <w:szCs w:val="24"/>
        </w:rPr>
        <w:t>．基金管理人和基金托管人对授权文件负有保密义务，其内容不得向被授权人及相关操作人员以外的任何人泄漏。但法律法规规定或有权机关要求的除外。</w:t>
      </w:r>
    </w:p>
    <w:p w14:paraId="5299FA06"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（二）指令的内容</w:t>
      </w:r>
    </w:p>
    <w:p w14:paraId="78199ADB" w14:textId="77777777"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．指令包括赎回、分红付款指令、回购到期付款指令、与投资有关的付款指令、实物债券出入库指令以及其他资金划拨指令等。</w:t>
      </w:r>
    </w:p>
    <w:p w14:paraId="0956CC3B"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．基金管理人发给基金托管人的指令应写明款项事由、支付时间、到账时间、金额、账户等，加盖预留印鉴并由被授权人签字或盖章。</w:t>
      </w:r>
    </w:p>
    <w:p w14:paraId="61E5B2E5"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（三）指令的发送、确认及执行的时间和程序</w:t>
      </w:r>
    </w:p>
    <w:p w14:paraId="440CF5A0" w14:textId="77777777"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．指令的发送</w:t>
      </w:r>
    </w:p>
    <w:p w14:paraId="4037CD52"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基金管理人发送指令应采用深证通、托管网银电子指令、传真、邮件或双方认可的其他方式向资产托管人发送。</w:t>
      </w:r>
    </w:p>
    <w:p w14:paraId="37CCA698"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交易指令发送人员的授权，并且基金托管人根据本协议确认后，则对于此后该交易指令发送人员无权发送的指令，或超权限发送的指令，基金管理人不承担责任，授权已更改但未经基金托管人确认的情况除外。</w:t>
      </w:r>
    </w:p>
    <w:p w14:paraId="411FECF6" w14:textId="77777777" w:rsidR="00E853FD" w:rsidRDefault="00FE7D53">
      <w:pPr>
        <w:spacing w:line="360" w:lineRule="auto"/>
        <w:ind w:firstLineChars="200" w:firstLine="480"/>
        <w:rPr>
          <w:rFonts w:ascii="宋体"/>
          <w:sz w:val="24"/>
          <w:szCs w:val="24"/>
        </w:rPr>
      </w:pPr>
      <w:r>
        <w:rPr>
          <w:rFonts w:ascii="宋体" w:hAnsi="宋体" w:hint="eastAsia"/>
          <w:sz w:val="24"/>
          <w:szCs w:val="24"/>
        </w:rPr>
        <w:t>指令发出后，基金管理人应及时以电话或双方认可的其他方式向基金托管人确认。</w:t>
      </w:r>
    </w:p>
    <w:p w14:paraId="00D267BF" w14:textId="77777777" w:rsidR="00E853FD" w:rsidRDefault="00FE7D53">
      <w:pPr>
        <w:spacing w:line="360" w:lineRule="auto"/>
        <w:ind w:firstLineChars="200" w:firstLine="480"/>
        <w:rPr>
          <w:rFonts w:ascii="宋体"/>
          <w:sz w:val="24"/>
          <w:szCs w:val="24"/>
        </w:rPr>
      </w:pPr>
      <w:r>
        <w:rPr>
          <w:rFonts w:ascii="宋体" w:hAnsi="宋体" w:hint="eastAsia"/>
          <w:sz w:val="24"/>
          <w:szCs w:val="24"/>
        </w:rPr>
        <w:lastRenderedPageBreak/>
        <w:t>基金管理人应于划款前一日向基金托管人发送投资划款指令并确认，如需在划款当日下达投资划款指令，在发送指令时，应为基金托管人留出执行指令所必需的时间</w:t>
      </w:r>
      <w:r>
        <w:rPr>
          <w:rFonts w:ascii="宋体" w:hAnsi="宋体" w:hint="eastAsia"/>
          <w:sz w:val="24"/>
        </w:rPr>
        <w:t>（该必需的时间不长于正常情况下基金托管人日常处理该指令所用的平均时间）</w:t>
      </w:r>
      <w:r>
        <w:rPr>
          <w:rFonts w:ascii="宋体" w:hAnsi="宋体" w:hint="eastAsia"/>
          <w:sz w:val="24"/>
          <w:szCs w:val="24"/>
        </w:rPr>
        <w:t>。基金管理人发送有效指令（包括原指令被撤销、变更后再次发送的新指令）的截止时间为当天的</w:t>
      </w:r>
      <w:r>
        <w:rPr>
          <w:rFonts w:ascii="宋体" w:hAnsi="宋体"/>
          <w:sz w:val="24"/>
          <w:szCs w:val="24"/>
        </w:rPr>
        <w:t>15:00</w:t>
      </w:r>
      <w:r>
        <w:rPr>
          <w:rFonts w:ascii="宋体" w:hAnsi="宋体" w:hint="eastAsia"/>
          <w:sz w:val="24"/>
          <w:szCs w:val="24"/>
        </w:rPr>
        <w:t>。如基金管理人要求当天某一时点到账，则交易结算指令需提前</w:t>
      </w:r>
      <w:r>
        <w:rPr>
          <w:rFonts w:ascii="宋体" w:hAnsi="宋体"/>
          <w:sz w:val="24"/>
          <w:szCs w:val="24"/>
        </w:rPr>
        <w:t>2</w:t>
      </w:r>
      <w:r>
        <w:rPr>
          <w:rFonts w:ascii="宋体" w:hAnsi="宋体" w:hint="eastAsia"/>
          <w:sz w:val="24"/>
          <w:szCs w:val="24"/>
        </w:rPr>
        <w:t>个工作小时发送，并进行电话确认。对于新股申购网下公开发行业务，基金管理人应在网下申购缴款日</w:t>
      </w:r>
      <w:r>
        <w:rPr>
          <w:rFonts w:ascii="宋体" w:hAnsi="宋体"/>
          <w:sz w:val="24"/>
          <w:szCs w:val="24"/>
        </w:rPr>
        <w:t>(T</w:t>
      </w:r>
      <w:r>
        <w:rPr>
          <w:rFonts w:ascii="宋体" w:hAnsi="宋体" w:hint="eastAsia"/>
          <w:sz w:val="24"/>
          <w:szCs w:val="24"/>
        </w:rPr>
        <w:t>日</w:t>
      </w:r>
      <w:r>
        <w:rPr>
          <w:rFonts w:ascii="宋体" w:hAnsi="宋体"/>
          <w:sz w:val="24"/>
          <w:szCs w:val="24"/>
        </w:rPr>
        <w:t>)</w:t>
      </w:r>
      <w:r>
        <w:rPr>
          <w:rFonts w:ascii="宋体" w:hAnsi="宋体" w:hint="eastAsia"/>
          <w:sz w:val="24"/>
          <w:szCs w:val="24"/>
        </w:rPr>
        <w:t>的前一日</w:t>
      </w:r>
      <w:r>
        <w:rPr>
          <w:rFonts w:ascii="宋体" w:hAnsi="宋体"/>
          <w:sz w:val="24"/>
          <w:szCs w:val="24"/>
        </w:rPr>
        <w:t>17:00</w:t>
      </w:r>
      <w:r>
        <w:rPr>
          <w:rFonts w:ascii="宋体" w:hAnsi="宋体" w:hint="eastAsia"/>
          <w:sz w:val="24"/>
          <w:szCs w:val="24"/>
        </w:rPr>
        <w:t>前将新股申购指令发送给基金托管人，指令发送时间最迟不应晚于</w:t>
      </w:r>
      <w:r>
        <w:rPr>
          <w:rFonts w:ascii="宋体" w:hAnsi="宋体"/>
          <w:sz w:val="24"/>
          <w:szCs w:val="24"/>
        </w:rPr>
        <w:t>T</w:t>
      </w:r>
      <w:r>
        <w:rPr>
          <w:rFonts w:ascii="宋体" w:hAnsi="宋体" w:hint="eastAsia"/>
          <w:sz w:val="24"/>
          <w:szCs w:val="24"/>
        </w:rPr>
        <w:t>日上午</w:t>
      </w:r>
      <w:r>
        <w:rPr>
          <w:rFonts w:ascii="宋体" w:hAnsi="宋体"/>
          <w:sz w:val="24"/>
          <w:szCs w:val="24"/>
        </w:rPr>
        <w:t>10:</w:t>
      </w:r>
      <w:r>
        <w:rPr>
          <w:rFonts w:ascii="宋体"/>
          <w:sz w:val="24"/>
          <w:szCs w:val="24"/>
        </w:rPr>
        <w:t>00</w:t>
      </w:r>
      <w:r>
        <w:rPr>
          <w:rFonts w:ascii="宋体" w:hAnsi="宋体" w:hint="eastAsia"/>
          <w:sz w:val="24"/>
          <w:szCs w:val="24"/>
        </w:rPr>
        <w:t>时。对上海证券交易所的认购权证行权交易，基金管理人应于行权日</w:t>
      </w:r>
      <w:r>
        <w:rPr>
          <w:rFonts w:ascii="宋体" w:hAnsi="宋体"/>
          <w:sz w:val="24"/>
          <w:szCs w:val="24"/>
        </w:rPr>
        <w:t>15:</w:t>
      </w:r>
      <w:r>
        <w:rPr>
          <w:rFonts w:ascii="宋体"/>
          <w:sz w:val="24"/>
          <w:szCs w:val="24"/>
        </w:rPr>
        <w:t>00</w:t>
      </w:r>
      <w:r>
        <w:rPr>
          <w:rFonts w:ascii="宋体" w:hAnsi="宋体" w:hint="eastAsia"/>
          <w:sz w:val="24"/>
          <w:szCs w:val="24"/>
        </w:rPr>
        <w:t>前将需要交付的行权金额及费用书面通知基金托管人，基金托管人在</w:t>
      </w:r>
      <w:r>
        <w:rPr>
          <w:rFonts w:ascii="宋体" w:hAnsi="宋体"/>
          <w:sz w:val="24"/>
          <w:szCs w:val="24"/>
        </w:rPr>
        <w:t>16:</w:t>
      </w:r>
      <w:r>
        <w:rPr>
          <w:rFonts w:ascii="宋体"/>
          <w:sz w:val="24"/>
          <w:szCs w:val="24"/>
        </w:rPr>
        <w:t>00</w:t>
      </w:r>
      <w:r>
        <w:rPr>
          <w:rFonts w:ascii="宋体" w:hAnsi="宋体" w:hint="eastAsia"/>
          <w:sz w:val="24"/>
          <w:szCs w:val="24"/>
        </w:rPr>
        <w:t>前支付至登记结算公司指定账户。指令传输不及时、未能留出足够的划款时间，致使资金未能及时到账所造成的损失由基金管理人承担。由于基金托管人原因导致资金未能及时到账所造成的损失由基金托管人承担。</w:t>
      </w:r>
    </w:p>
    <w:p w14:paraId="22E2BDB7"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．指令的确认</w:t>
      </w:r>
    </w:p>
    <w:p w14:paraId="6F94D937"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托管人应指定专人接收基金管理人的指令，并与基金管理人商定指令发送和接收方式。指令到达基金托管人后，基金托管人应指定专人立即审慎验证有关内容及印鉴和签名或盖章，如有疑问必须及时通知基金管理人。</w:t>
      </w:r>
    </w:p>
    <w:p w14:paraId="3C5E001D" w14:textId="77777777" w:rsidR="00E853FD" w:rsidRDefault="00FE7D53">
      <w:pPr>
        <w:spacing w:line="360" w:lineRule="auto"/>
        <w:ind w:firstLineChars="200" w:firstLine="480"/>
        <w:rPr>
          <w:rFonts w:ascii="宋体"/>
          <w:sz w:val="24"/>
          <w:szCs w:val="24"/>
        </w:rPr>
      </w:pPr>
      <w:r>
        <w:rPr>
          <w:rFonts w:ascii="宋体" w:hAnsi="宋体"/>
          <w:sz w:val="24"/>
          <w:szCs w:val="24"/>
        </w:rPr>
        <w:t>3</w:t>
      </w:r>
      <w:r>
        <w:rPr>
          <w:rFonts w:ascii="宋体" w:hAnsi="宋体" w:hint="eastAsia"/>
          <w:sz w:val="24"/>
          <w:szCs w:val="24"/>
        </w:rPr>
        <w:t>．指令的时间和执行</w:t>
      </w:r>
    </w:p>
    <w:p w14:paraId="7D3734C5"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基金托管人对指令验证通过后，应及时办理。指令执行完毕后，基金托管人需要通过双方约定的方式向管理人提供查询指令执行结果的服务。</w:t>
      </w:r>
    </w:p>
    <w:p w14:paraId="49F05A68"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管理人向基金托管人下达指令时，应确保基金资金账户有足够的资金余额，对基金管理人在没有充足资金的情况下向基金托管人发出的投资指令、赎回、分红资金等的划拨指令，基金托管人可不予执行，但应立即通知基金管理人，由基金管理人审核、查明原因，出具书面文件确认此交易指令无效。基金托管人不承担因未执行该指令造成损失的责任。</w:t>
      </w:r>
    </w:p>
    <w:p w14:paraId="24C936E7" w14:textId="77777777" w:rsidR="00E853FD" w:rsidRDefault="00FE7D53">
      <w:pPr>
        <w:spacing w:line="360" w:lineRule="auto"/>
        <w:ind w:firstLineChars="200" w:firstLine="480"/>
        <w:rPr>
          <w:rFonts w:ascii="宋体"/>
          <w:sz w:val="24"/>
          <w:szCs w:val="24"/>
        </w:rPr>
      </w:pPr>
      <w:r>
        <w:rPr>
          <w:rFonts w:ascii="宋体" w:hAnsi="宋体" w:hint="eastAsia"/>
          <w:sz w:val="24"/>
          <w:szCs w:val="24"/>
        </w:rPr>
        <w:t>（四）基金管理人发送错误指令的情形和处理程序</w:t>
      </w:r>
    </w:p>
    <w:p w14:paraId="564BFDB4"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基金管理人发送错误指令的情形包括指令违反法律法规和基金合同，指令发送人员无权或超越权限发送指令。</w:t>
      </w:r>
    </w:p>
    <w:p w14:paraId="3C50CEAA" w14:textId="77777777" w:rsidR="00E853FD" w:rsidRDefault="00FE7D53">
      <w:pPr>
        <w:spacing w:line="360" w:lineRule="auto"/>
        <w:ind w:firstLineChars="200" w:firstLine="480"/>
        <w:rPr>
          <w:rFonts w:ascii="宋体" w:hAnsi="宋体"/>
          <w:color w:val="000000"/>
          <w:sz w:val="24"/>
          <w:szCs w:val="24"/>
        </w:rPr>
      </w:pPr>
      <w:r>
        <w:rPr>
          <w:rFonts w:ascii="宋体" w:hAnsi="宋体" w:hint="eastAsia"/>
          <w:sz w:val="24"/>
          <w:szCs w:val="24"/>
        </w:rPr>
        <w:t>基金托管人在履行监督职能时，发现基金管理人的指令错误时，有权拒绝执</w:t>
      </w:r>
      <w:r>
        <w:rPr>
          <w:rFonts w:ascii="宋体" w:hAnsi="宋体" w:hint="eastAsia"/>
          <w:sz w:val="24"/>
          <w:szCs w:val="24"/>
        </w:rPr>
        <w:lastRenderedPageBreak/>
        <w:t>行，并及时通知基金管理人改正。如需撤销指令，</w:t>
      </w:r>
      <w:r>
        <w:rPr>
          <w:rFonts w:ascii="宋体" w:hAnsi="宋体" w:hint="eastAsia"/>
          <w:color w:val="000000"/>
          <w:sz w:val="24"/>
          <w:szCs w:val="24"/>
        </w:rPr>
        <w:t>基金管理人应按与基金托管人协商一致的方式执行。</w:t>
      </w:r>
    </w:p>
    <w:p w14:paraId="0315154C"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（五）基金托管人依照法律法规暂缓、拒绝执行指令的情形和处理程序</w:t>
      </w:r>
    </w:p>
    <w:p w14:paraId="5ADEA74D" w14:textId="77777777" w:rsidR="00E853FD" w:rsidRDefault="00FE7D53">
      <w:pPr>
        <w:spacing w:line="360" w:lineRule="auto"/>
        <w:ind w:firstLineChars="200" w:firstLine="480"/>
        <w:rPr>
          <w:rFonts w:ascii="宋体"/>
          <w:sz w:val="24"/>
          <w:szCs w:val="24"/>
        </w:rPr>
      </w:pPr>
      <w:r>
        <w:rPr>
          <w:rFonts w:ascii="宋体" w:hAnsi="宋体" w:hint="eastAsia"/>
          <w:sz w:val="24"/>
          <w:szCs w:val="24"/>
        </w:rPr>
        <w:t>若基金托管人发现基金管理人的指令违反法律法规，或者违反基金合同约定的，应当拒绝执行，立即通知基金管理人。</w:t>
      </w:r>
    </w:p>
    <w:p w14:paraId="2AC512A3" w14:textId="77777777" w:rsidR="00E853FD" w:rsidRDefault="00FE7D53">
      <w:pPr>
        <w:spacing w:line="360" w:lineRule="auto"/>
        <w:ind w:firstLineChars="200" w:firstLine="480"/>
        <w:rPr>
          <w:rFonts w:ascii="宋体"/>
          <w:sz w:val="24"/>
          <w:szCs w:val="24"/>
        </w:rPr>
      </w:pPr>
      <w:r>
        <w:rPr>
          <w:rFonts w:ascii="宋体" w:hAnsi="宋体" w:hint="eastAsia"/>
          <w:sz w:val="24"/>
          <w:szCs w:val="24"/>
        </w:rPr>
        <w:t>（六）基金托管人未按照基金管理人指令执行的处理方法</w:t>
      </w:r>
    </w:p>
    <w:p w14:paraId="6568C3A4"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基金托管人由于自身原因，未按照基金管理人发送的、符合法律法规、基金合同、本协议的指令执行并对基金管理人、基金财产或投资人造成的损失，由基金托管人承担相应的责任。</w:t>
      </w:r>
    </w:p>
    <w:p w14:paraId="7F264EE7"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（七）更换被授权人员的程序</w:t>
      </w:r>
    </w:p>
    <w:p w14:paraId="7BADFC6F"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基金管理人更换被授权人、更改或终止对被授权人的授权，应当至少提前一个工作日书面通知基金托管人，同时基金管理人向基金托管人提供新的被授权人的姓名、权限、预留印鉴和签字或盖章样本</w:t>
      </w:r>
      <w:r>
        <w:rPr>
          <w:rFonts w:ascii="宋体" w:hAnsi="宋体" w:hint="eastAsia"/>
          <w:color w:val="000000"/>
          <w:sz w:val="24"/>
          <w:szCs w:val="24"/>
        </w:rPr>
        <w:t>，并进行电话确认</w:t>
      </w:r>
      <w:r>
        <w:rPr>
          <w:rFonts w:ascii="宋体" w:hAnsi="宋体" w:cs="宋体" w:hint="eastAsia"/>
          <w:color w:val="000000"/>
          <w:sz w:val="24"/>
          <w:szCs w:val="24"/>
        </w:rPr>
        <w:t>。变更通知载明生效时间的，授权变更于变更通知载明的生效时间生效。若变更通知载明的生效时间早于基金托管人收到变更通知时间或未载明生效时间的，则授权变更于基金托管人收到变更通知且双方电话确认后生效</w:t>
      </w:r>
      <w:r>
        <w:rPr>
          <w:rFonts w:ascii="宋体" w:hAnsi="宋体" w:hint="eastAsia"/>
          <w:sz w:val="24"/>
          <w:szCs w:val="24"/>
        </w:rPr>
        <w:t>。被授权人变更通知生效前，基金托管人仍应按原约定执行指令，基金管理人不得否认其效力。基金管理人应于5个工作日内将被授权人变更通知的正本送交基金托管人。若正本与之前发送的被授权人变更通知副本不一致，以副本为准。</w:t>
      </w:r>
    </w:p>
    <w:p w14:paraId="5CBA2CBA"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基金托管人更换接受基金管理人指令的人员，应提前书面通知基金管理人并电话确认。</w:t>
      </w:r>
    </w:p>
    <w:p w14:paraId="6D52C5E4" w14:textId="77777777" w:rsidR="00E853FD" w:rsidRDefault="00FE7D53">
      <w:pPr>
        <w:spacing w:line="360" w:lineRule="auto"/>
        <w:ind w:firstLineChars="200" w:firstLine="480"/>
        <w:rPr>
          <w:rFonts w:ascii="宋体"/>
          <w:sz w:val="24"/>
          <w:szCs w:val="24"/>
        </w:rPr>
      </w:pPr>
      <w:r>
        <w:rPr>
          <w:rFonts w:ascii="宋体" w:hAnsi="宋体" w:hint="eastAsia"/>
          <w:sz w:val="24"/>
          <w:szCs w:val="24"/>
        </w:rPr>
        <w:t>（八）其他事项</w:t>
      </w:r>
    </w:p>
    <w:p w14:paraId="1B7EB25E"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托管人在接收指令时，应对指令的要素是否齐全、印鉴与被授权人是否与预留的授权文件内容相符进行检查，如发现问题，应及时报告基金管理人。基金托管人对执行基金管理人的合法指令对基金财产造成的损失不承担赔偿责任；基金托管人无正当理由未执行或未及时执行基金管理人的合法指令，导致基金财产遭受损失的，由基金托管人赔偿由此造成的直接损失。</w:t>
      </w:r>
    </w:p>
    <w:p w14:paraId="668D8169" w14:textId="77777777" w:rsidR="00E853FD" w:rsidRDefault="00FE7D53">
      <w:pPr>
        <w:spacing w:afterLines="100" w:after="312" w:line="360" w:lineRule="auto"/>
        <w:jc w:val="center"/>
        <w:outlineLvl w:val="0"/>
      </w:pPr>
      <w:r>
        <w:rPr>
          <w:rFonts w:ascii="宋体"/>
          <w:sz w:val="24"/>
          <w:szCs w:val="24"/>
        </w:rPr>
        <w:br w:type="page"/>
      </w:r>
      <w:bookmarkStart w:id="13" w:name="_Toc440289535"/>
      <w:r>
        <w:rPr>
          <w:rFonts w:hint="eastAsia"/>
          <w:b/>
          <w:sz w:val="30"/>
          <w:szCs w:val="30"/>
        </w:rPr>
        <w:lastRenderedPageBreak/>
        <w:t>七、交易及清算交收安排</w:t>
      </w:r>
      <w:bookmarkEnd w:id="13"/>
    </w:p>
    <w:p w14:paraId="10C10E35" w14:textId="286EA4CC" w:rsidR="00E853FD" w:rsidRDefault="00E853FD">
      <w:pPr>
        <w:adjustRightInd w:val="0"/>
        <w:snapToGrid w:val="0"/>
        <w:spacing w:line="300" w:lineRule="auto"/>
        <w:ind w:firstLineChars="200" w:firstLine="480"/>
        <w:rPr>
          <w:rFonts w:ascii="宋体" w:hAnsi="宋体" w:cs="宋体"/>
          <w:color w:val="000000"/>
          <w:sz w:val="24"/>
          <w:szCs w:val="24"/>
        </w:rPr>
      </w:pPr>
    </w:p>
    <w:p w14:paraId="29C0ED16" w14:textId="77777777" w:rsidR="00E853FD" w:rsidRDefault="00FE7D53" w:rsidP="00290D9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（一）选择代理证券、期货买卖的证券、期货经纪机构</w:t>
      </w:r>
    </w:p>
    <w:p w14:paraId="695435FD"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基金管理人负责选择代理本基金证券买卖的证券经营机构，由基金管理人与基金托管人及证券经纪机构签订本基金的证券经纪服务协议。</w:t>
      </w:r>
    </w:p>
    <w:p w14:paraId="5EA8124F"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基金管理人应制定选择的标准和程序，并负责根据相关标准以及内部管理制度对有关证券经纪机构进行考察后确定代理本基金证券买卖证券经纪机构，并承担相应责任。基金管理人应根据有关规定，在基金的</w:t>
      </w:r>
      <w:r>
        <w:rPr>
          <w:rFonts w:ascii="宋体" w:hAnsi="宋体" w:hint="eastAsia"/>
          <w:sz w:val="24"/>
          <w:szCs w:val="24"/>
        </w:rPr>
        <w:t>中期</w:t>
      </w:r>
      <w:r>
        <w:rPr>
          <w:rFonts w:ascii="宋体" w:hAnsi="宋体" w:cs="宋体" w:hint="eastAsia"/>
          <w:color w:val="000000"/>
          <w:sz w:val="24"/>
          <w:szCs w:val="24"/>
        </w:rPr>
        <w:t>报告和年度报告中将所选证券经纪机构的有关情况、基金通过该证券经纪机构买卖证券的成交量、回购成交量和支付的佣金等予以披露，并将该等情况及基金交易单元号、佣金费率等基本信息以及变更情况及时以书面形式通知基金托管人。</w:t>
      </w:r>
    </w:p>
    <w:p w14:paraId="70D35403" w14:textId="37B4E340"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基金管理人负责选择代理本基金股指期货和国债期货交易的期货经纪机构，由基金管理人与基金托管人及期货经纪机构签订本基金的期货经纪服务协议，其他事宜根据法律法规、</w:t>
      </w:r>
      <w:r>
        <w:rPr>
          <w:rFonts w:ascii="宋体" w:hAnsi="宋体" w:cs="宋体"/>
          <w:color w:val="000000"/>
          <w:sz w:val="24"/>
          <w:szCs w:val="24"/>
        </w:rPr>
        <w:t>基金合同</w:t>
      </w:r>
      <w:r>
        <w:rPr>
          <w:rFonts w:ascii="宋体" w:hAnsi="宋体" w:cs="宋体" w:hint="eastAsia"/>
          <w:color w:val="000000"/>
          <w:sz w:val="24"/>
          <w:szCs w:val="24"/>
        </w:rPr>
        <w:t>的相关规定执行，若无明确规定的，可参照有关证券买卖、证券经纪机构选择的规则执行。</w:t>
      </w:r>
    </w:p>
    <w:p w14:paraId="764AE5D5"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（二）基金投资证券/期货后的清算交收安排</w:t>
      </w:r>
    </w:p>
    <w:p w14:paraId="32600834"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1．清算与交割</w:t>
      </w:r>
    </w:p>
    <w:p w14:paraId="2927750E"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本基金通过证券经纪机构进行的交易由证券经纪机构作为结算参与人代理本基金进行结算；本基金通过期货经纪机构进行的交易由期货经纪机构作为结算参与人代理本基金进行结算；本基金其他证券交易由基金托管人或相关机构负责结算。基金管理人、基金托管人以及被选择的证券经纪机构应根据有关法律法规及相关业务规则，签订证券经纪服务协议，用以具体明确三方在证券交易资金结算业务中的责任。</w:t>
      </w:r>
    </w:p>
    <w:p w14:paraId="69C25C78"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本基金投资于证券发生的所有场外交易的资金汇划，全部由基金托管人负责办理。证券经纪机构代理本基金财产与中登公司完成证券交易及非交易涉及的证券资金结算业务，并承担由证券经纪机构原因造成的正常结算、交收业务无法完成的责任。</w:t>
      </w:r>
    </w:p>
    <w:p w14:paraId="6062653F"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2．交易记录、资金和证券账目核对的时间和方式</w:t>
      </w:r>
    </w:p>
    <w:p w14:paraId="39D3132E"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（1）交易记录的核对</w:t>
      </w:r>
    </w:p>
    <w:p w14:paraId="719397C3"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lastRenderedPageBreak/>
        <w:t>基金管理人与基金托管人按日进行交易记录的核对。对外披露净值之前，基金管理人必须保证当天所有实际交易记录与基金会计账簿上的交易记录完全一致。如果实际交易记录与会计账簿记录不一致，造成基金会计核算不完整或不真实，由此导致的损失由责任方承担。</w:t>
      </w:r>
    </w:p>
    <w:p w14:paraId="4631FBB1"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（2）资金账目的核对</w:t>
      </w:r>
    </w:p>
    <w:p w14:paraId="069185DA"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资金账目按日核实。</w:t>
      </w:r>
    </w:p>
    <w:p w14:paraId="17C8B9CA"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（3）证券账目的核对</w:t>
      </w:r>
    </w:p>
    <w:p w14:paraId="0A8C39B3"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基金管理人和基金托管人每交易日结束后核对基金证券账目、期货账目，确保双方账目相符。基金管理人和基金托管人每月月末核对实物证券账目。</w:t>
      </w:r>
    </w:p>
    <w:p w14:paraId="408E4E29" w14:textId="317EF07B"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3.沪、深交易所数据传输和接收</w:t>
      </w:r>
      <w:r>
        <w:rPr>
          <w:rFonts w:ascii="宋体" w:hAnsi="宋体" w:cs="宋体"/>
          <w:color w:val="000000"/>
          <w:sz w:val="24"/>
          <w:szCs w:val="24"/>
        </w:rPr>
        <w:t xml:space="preserve"> </w:t>
      </w:r>
    </w:p>
    <w:p w14:paraId="2E595556"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基金管理人和基金托管人从证券经纪机构处接收本基金的场内交易电子清算数据，基金管理人、基金托管人和证券经纪机构之间的场内交易电子清算数据的传输采用专线（深证通）或各方认可的其他方式。关于沪、深交易所数据传输和接收的具体相关条款、各方当事人权利、责任及义务的具体约定以三方签署的经纪服务协议为准。</w:t>
      </w:r>
    </w:p>
    <w:p w14:paraId="342B80EF" w14:textId="6DDC7D8A"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（三）基金申购</w:t>
      </w:r>
      <w:r w:rsidR="00613E11">
        <w:rPr>
          <w:rFonts w:ascii="宋体" w:hAnsi="宋体" w:cs="宋体" w:hint="eastAsia"/>
          <w:color w:val="000000"/>
          <w:sz w:val="24"/>
          <w:szCs w:val="24"/>
        </w:rPr>
        <w:t>、</w:t>
      </w:r>
      <w:r>
        <w:rPr>
          <w:rFonts w:ascii="宋体" w:hAnsi="宋体" w:cs="宋体" w:hint="eastAsia"/>
          <w:color w:val="000000"/>
          <w:sz w:val="24"/>
          <w:szCs w:val="24"/>
        </w:rPr>
        <w:t>赎回</w:t>
      </w:r>
      <w:r w:rsidR="00613E11">
        <w:rPr>
          <w:rFonts w:ascii="宋体" w:hAnsi="宋体" w:cs="宋体" w:hint="eastAsia"/>
          <w:color w:val="000000"/>
          <w:sz w:val="24"/>
          <w:szCs w:val="24"/>
        </w:rPr>
        <w:t>、转换</w:t>
      </w:r>
      <w:r>
        <w:rPr>
          <w:rFonts w:ascii="宋体" w:hAnsi="宋体" w:cs="宋体" w:hint="eastAsia"/>
          <w:color w:val="000000"/>
          <w:sz w:val="24"/>
          <w:szCs w:val="24"/>
        </w:rPr>
        <w:t>业务处理的基本规定</w:t>
      </w:r>
    </w:p>
    <w:p w14:paraId="03FE2F9D" w14:textId="125115C3"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1．基金份额申购、赎回</w:t>
      </w:r>
      <w:r w:rsidR="00406C45">
        <w:rPr>
          <w:rFonts w:ascii="宋体" w:hAnsi="宋体" w:cs="宋体" w:hint="eastAsia"/>
          <w:color w:val="000000"/>
          <w:sz w:val="24"/>
          <w:szCs w:val="24"/>
        </w:rPr>
        <w:t>、转换</w:t>
      </w:r>
      <w:r>
        <w:rPr>
          <w:rFonts w:ascii="宋体" w:hAnsi="宋体" w:cs="宋体" w:hint="eastAsia"/>
          <w:color w:val="000000"/>
          <w:sz w:val="24"/>
          <w:szCs w:val="24"/>
        </w:rPr>
        <w:t>的确认、清算由基金管理人或其委托的登记机构负责。</w:t>
      </w:r>
    </w:p>
    <w:p w14:paraId="497544E5" w14:textId="4351D2D6"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2．基金管理人应将每个开放日的申购、赎回、转换开放式基金的数据传送给基金托管人。基金管理人应对传递的申购、赎回、转换开放式基金的数据真实性负责。基金托管人应根据基金管理人通知及时查收</w:t>
      </w:r>
      <w:r w:rsidR="0011597C">
        <w:rPr>
          <w:rFonts w:ascii="宋体" w:hAnsi="宋体" w:cs="宋体" w:hint="eastAsia"/>
          <w:color w:val="000000"/>
          <w:sz w:val="24"/>
          <w:szCs w:val="24"/>
        </w:rPr>
        <w:t>净应收款</w:t>
      </w:r>
      <w:r>
        <w:rPr>
          <w:rFonts w:ascii="宋体" w:hAnsi="宋体" w:cs="宋体" w:hint="eastAsia"/>
          <w:color w:val="000000"/>
          <w:sz w:val="24"/>
          <w:szCs w:val="24"/>
        </w:rPr>
        <w:t>的到账情况并根据基金管理人指令及时划付</w:t>
      </w:r>
      <w:r w:rsidR="00CB7064">
        <w:rPr>
          <w:rFonts w:ascii="宋体" w:hAnsi="宋体" w:cs="宋体" w:hint="eastAsia"/>
          <w:color w:val="000000"/>
          <w:sz w:val="24"/>
          <w:szCs w:val="24"/>
        </w:rPr>
        <w:t>净应付款</w:t>
      </w:r>
      <w:r>
        <w:rPr>
          <w:rFonts w:ascii="宋体" w:hAnsi="宋体" w:cs="宋体" w:hint="eastAsia"/>
          <w:color w:val="000000"/>
          <w:sz w:val="24"/>
          <w:szCs w:val="24"/>
        </w:rPr>
        <w:t>。</w:t>
      </w:r>
    </w:p>
    <w:p w14:paraId="32E0DB23"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3．基金管理人应保证本基金的登记机构在工作日15:00前向基金托管人发送前一开放日上述有关数据，并保证相关数据的真实、准确、完整。</w:t>
      </w:r>
    </w:p>
    <w:p w14:paraId="77438E4D" w14:textId="351223AD"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4．基金管理人或其委托登记机构应通过与基金托管人建立的数据传输系统发送有关数据，如因各种原因，该系统无法正常发送，双方可协商解决处理方式。基金管理人向基金托管人发送的数据，双方各自按有关规定保存。</w:t>
      </w:r>
    </w:p>
    <w:p w14:paraId="75B70FD6" w14:textId="77777777" w:rsidR="00E853FD" w:rsidRDefault="00FE7D53">
      <w:pPr>
        <w:spacing w:line="360" w:lineRule="auto"/>
        <w:ind w:firstLineChars="200" w:firstLine="480"/>
        <w:rPr>
          <w:rFonts w:ascii="宋体" w:hAnsi="宋体"/>
          <w:color w:val="000000"/>
          <w:sz w:val="24"/>
          <w:szCs w:val="24"/>
        </w:rPr>
      </w:pPr>
      <w:r>
        <w:rPr>
          <w:rFonts w:ascii="宋体" w:hAnsi="宋体" w:hint="eastAsia"/>
          <w:color w:val="000000"/>
          <w:sz w:val="24"/>
          <w:szCs w:val="24"/>
        </w:rPr>
        <w:t>5．如基金管理人委托其他机构办理本基金的登记业务，应保证上述相关事宜按时进行。否则，由基金管理人承担相应的责任。</w:t>
      </w:r>
    </w:p>
    <w:p w14:paraId="0AE78C4B"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lastRenderedPageBreak/>
        <w:t>6．关于清算专用账户的设立和管理</w:t>
      </w:r>
    </w:p>
    <w:p w14:paraId="6FFDBCFC" w14:textId="270847D5"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为满足申购、赎回</w:t>
      </w:r>
      <w:r w:rsidR="004E5DDC">
        <w:rPr>
          <w:rFonts w:ascii="宋体" w:hAnsi="宋体" w:cs="宋体" w:hint="eastAsia"/>
          <w:color w:val="000000"/>
          <w:sz w:val="24"/>
          <w:szCs w:val="24"/>
        </w:rPr>
        <w:t>、转换</w:t>
      </w:r>
      <w:r>
        <w:rPr>
          <w:rFonts w:ascii="宋体" w:hAnsi="宋体" w:cs="宋体" w:hint="eastAsia"/>
          <w:color w:val="000000"/>
          <w:sz w:val="24"/>
          <w:szCs w:val="24"/>
        </w:rPr>
        <w:t>及分红资金汇划的需要，由基金管理人开立资金清算的专用账户，该账户由登记机构管理。</w:t>
      </w:r>
    </w:p>
    <w:p w14:paraId="74480209" w14:textId="2B39C284"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7．对于基金申购过程中产生的应收款，应由基金管理人负责与有关当事人确定到账日期并通知基金托管人，到账日</w:t>
      </w:r>
      <w:r w:rsidR="004E5DDC">
        <w:rPr>
          <w:rFonts w:ascii="宋体" w:hAnsi="宋体" w:cs="宋体" w:hint="eastAsia"/>
          <w:color w:val="000000"/>
          <w:sz w:val="24"/>
          <w:szCs w:val="24"/>
        </w:rPr>
        <w:t>净</w:t>
      </w:r>
      <w:r>
        <w:rPr>
          <w:rFonts w:ascii="宋体" w:hAnsi="宋体" w:cs="宋体" w:hint="eastAsia"/>
          <w:color w:val="000000"/>
          <w:sz w:val="24"/>
          <w:szCs w:val="24"/>
        </w:rPr>
        <w:t>应收款没有到达基金资金账户的，基金托管人应及时通知基金管理人采取措施进行催收，由此造成基金损失的，基金管理人应负责向有关当事人追偿基金的损失，基金托管人在合理范围内予以必要的协助与配合。</w:t>
      </w:r>
    </w:p>
    <w:p w14:paraId="09830218" w14:textId="13EF65B6"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8．</w:t>
      </w:r>
      <w:r w:rsidR="00572531">
        <w:rPr>
          <w:rFonts w:ascii="宋体" w:hAnsi="宋体" w:cs="宋体" w:hint="eastAsia"/>
          <w:color w:val="000000"/>
          <w:sz w:val="24"/>
          <w:szCs w:val="24"/>
        </w:rPr>
        <w:t>净应付款</w:t>
      </w:r>
      <w:r>
        <w:rPr>
          <w:rFonts w:ascii="宋体" w:hAnsi="宋体" w:cs="宋体" w:hint="eastAsia"/>
          <w:color w:val="000000"/>
          <w:sz w:val="24"/>
          <w:szCs w:val="24"/>
        </w:rPr>
        <w:t>和分红资金划拨规定</w:t>
      </w:r>
    </w:p>
    <w:p w14:paraId="01F3F8B6" w14:textId="621DC3FE"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拨付</w:t>
      </w:r>
      <w:r w:rsidR="00697453">
        <w:rPr>
          <w:rFonts w:ascii="宋体" w:hAnsi="宋体" w:cs="宋体" w:hint="eastAsia"/>
          <w:color w:val="000000"/>
          <w:sz w:val="24"/>
          <w:szCs w:val="24"/>
        </w:rPr>
        <w:t>净应付款</w:t>
      </w:r>
      <w:r>
        <w:rPr>
          <w:rFonts w:ascii="宋体" w:hAnsi="宋体" w:cs="宋体" w:hint="eastAsia"/>
          <w:color w:val="000000"/>
          <w:sz w:val="24"/>
          <w:szCs w:val="24"/>
        </w:rPr>
        <w:t>或进行基金分红时，如基金资金账户有足够的资金，基金托管人应按时拨付；因基金资金账户没有足够的资金，导致基金托管人不能按时拨付，</w:t>
      </w:r>
      <w:r w:rsidR="002D4A9D">
        <w:rPr>
          <w:rFonts w:ascii="宋体" w:hAnsi="宋体" w:cs="宋体" w:hint="eastAsia"/>
          <w:color w:val="000000"/>
          <w:sz w:val="24"/>
          <w:szCs w:val="24"/>
        </w:rPr>
        <w:t>基金托管人应及时通知基金管理人，</w:t>
      </w:r>
      <w:r>
        <w:rPr>
          <w:rFonts w:ascii="宋体" w:hAnsi="宋体" w:cs="宋体" w:hint="eastAsia"/>
          <w:color w:val="000000"/>
          <w:sz w:val="24"/>
          <w:szCs w:val="24"/>
        </w:rPr>
        <w:t>基金托管人不承担垫款义务。</w:t>
      </w:r>
    </w:p>
    <w:p w14:paraId="0799151E"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9．资金指令</w:t>
      </w:r>
    </w:p>
    <w:p w14:paraId="16CBDFD1" w14:textId="0CB7EF28"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除</w:t>
      </w:r>
      <w:r w:rsidR="00BE2C45">
        <w:rPr>
          <w:rFonts w:ascii="宋体" w:hAnsi="宋体" w:cs="宋体" w:hint="eastAsia"/>
          <w:color w:val="000000"/>
          <w:sz w:val="24"/>
          <w:szCs w:val="24"/>
        </w:rPr>
        <w:t>净应收款</w:t>
      </w:r>
      <w:r>
        <w:rPr>
          <w:rFonts w:ascii="宋体" w:hAnsi="宋体" w:cs="宋体" w:hint="eastAsia"/>
          <w:color w:val="000000"/>
          <w:sz w:val="24"/>
          <w:szCs w:val="24"/>
        </w:rPr>
        <w:t>到达基金资金账户需双方按约定方式对账外，与投资有关的付款、</w:t>
      </w:r>
      <w:r w:rsidR="00B01411">
        <w:rPr>
          <w:rFonts w:ascii="宋体" w:hAnsi="宋体" w:cs="宋体" w:hint="eastAsia"/>
          <w:color w:val="000000"/>
          <w:sz w:val="24"/>
          <w:szCs w:val="24"/>
        </w:rPr>
        <w:t>净应付款</w:t>
      </w:r>
      <w:r>
        <w:rPr>
          <w:rFonts w:ascii="宋体" w:hAnsi="宋体" w:cs="宋体" w:hint="eastAsia"/>
          <w:color w:val="000000"/>
          <w:sz w:val="24"/>
          <w:szCs w:val="24"/>
        </w:rPr>
        <w:t>和分红资金划拨时，基金管理人需向基金托管人下达指令。</w:t>
      </w:r>
    </w:p>
    <w:p w14:paraId="26561D13"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资金指令的格式、内容、发送、接收和确认方式等与投资指令相同。</w:t>
      </w:r>
    </w:p>
    <w:p w14:paraId="50A6296C" w14:textId="075E854F"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（四）</w:t>
      </w:r>
      <w:r w:rsidR="00520F9A">
        <w:rPr>
          <w:rFonts w:ascii="宋体" w:hAnsi="宋体" w:cs="宋体" w:hint="eastAsia"/>
          <w:color w:val="000000"/>
          <w:sz w:val="24"/>
          <w:szCs w:val="24"/>
        </w:rPr>
        <w:t>资金</w:t>
      </w:r>
      <w:r>
        <w:rPr>
          <w:rFonts w:ascii="宋体" w:hAnsi="宋体" w:cs="宋体" w:hint="eastAsia"/>
          <w:color w:val="000000"/>
          <w:sz w:val="24"/>
          <w:szCs w:val="24"/>
        </w:rPr>
        <w:t>净额结算</w:t>
      </w:r>
    </w:p>
    <w:p w14:paraId="118FE952" w14:textId="1EFB6844"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基金托管账户与基金管理人开立的“清算账户”间的资金结算遵循“全额清算、净额交收”的原则，每个开放日按照托管账户应收资金与应付资金的差额来确定托管账户净应收额或净应付额，以此确定资金交收额。如经基金管理人与基金托管人协商一致，交收日可相应调整。当存在托管账户净应收额时，基金管理人应在</w:t>
      </w:r>
      <w:r w:rsidR="00A94311">
        <w:rPr>
          <w:rFonts w:ascii="宋体" w:hAnsi="宋体" w:cs="宋体" w:hint="eastAsia"/>
          <w:color w:val="000000"/>
          <w:sz w:val="24"/>
          <w:szCs w:val="24"/>
        </w:rPr>
        <w:t>交收</w:t>
      </w:r>
      <w:r>
        <w:rPr>
          <w:rFonts w:ascii="宋体" w:hAnsi="宋体" w:cs="宋体" w:hint="eastAsia"/>
          <w:color w:val="000000"/>
          <w:sz w:val="24"/>
          <w:szCs w:val="24"/>
        </w:rPr>
        <w:t>日15:00之前从基金清算账户划到基金托管账户；当存在托管账户净应付额时，</w:t>
      </w:r>
      <w:r>
        <w:rPr>
          <w:rFonts w:ascii="宋体" w:hAnsi="宋体" w:hint="eastAsia"/>
          <w:color w:val="000000"/>
          <w:sz w:val="24"/>
          <w:szCs w:val="24"/>
        </w:rPr>
        <w:t>基金管理人将划款指令发送给基金托管人，</w:t>
      </w:r>
      <w:r>
        <w:rPr>
          <w:rFonts w:ascii="宋体" w:hAnsi="宋体" w:cs="宋体" w:hint="eastAsia"/>
          <w:color w:val="000000"/>
          <w:sz w:val="24"/>
          <w:szCs w:val="24"/>
        </w:rPr>
        <w:t>基金托管人按基金管理人的划款指令将托管账户净应付额在</w:t>
      </w:r>
      <w:r w:rsidR="00F942AD">
        <w:rPr>
          <w:rFonts w:ascii="宋体" w:hAnsi="宋体" w:cs="宋体" w:hint="eastAsia"/>
          <w:color w:val="000000"/>
          <w:sz w:val="24"/>
          <w:szCs w:val="24"/>
        </w:rPr>
        <w:t>交收</w:t>
      </w:r>
      <w:r>
        <w:rPr>
          <w:rFonts w:ascii="宋体" w:hAnsi="宋体" w:cs="宋体" w:hint="eastAsia"/>
          <w:color w:val="000000"/>
          <w:sz w:val="24"/>
          <w:szCs w:val="24"/>
        </w:rPr>
        <w:t>日12:00之前划往基金清算账户。</w:t>
      </w:r>
    </w:p>
    <w:p w14:paraId="58F698BF"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当存在托管账户净应付额时，如基金托管专户有足够的资金，基金托管人应按时拨付；因基金托管专户没有足够的资金，导致基金托管人不能按时拨付，基金托管人应及时通知基金管理人，基金托管人不承担垫款义务。</w:t>
      </w:r>
    </w:p>
    <w:p w14:paraId="074ECCCE"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（五）基金转换</w:t>
      </w:r>
    </w:p>
    <w:p w14:paraId="7513A026" w14:textId="0138F581"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1．在本基金开展转换业务之前，基金管理人应函告基金托管人并就相关事</w:t>
      </w:r>
      <w:r>
        <w:rPr>
          <w:rFonts w:ascii="宋体" w:hAnsi="宋体" w:cs="宋体" w:hint="eastAsia"/>
          <w:color w:val="000000"/>
          <w:sz w:val="24"/>
          <w:szCs w:val="24"/>
        </w:rPr>
        <w:lastRenderedPageBreak/>
        <w:t>宜进行协商。</w:t>
      </w:r>
    </w:p>
    <w:p w14:paraId="0CF3BD2E"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2．基金托管人将根据基金管理人传送的基金转换数据进行账务处理，具体资金清算和数据传递的时间、程序及托管协议当事人承担的权责按基金管理人届时的公告执行。</w:t>
      </w:r>
    </w:p>
    <w:p w14:paraId="7DAD4C6C"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3．本基金开展基金转换业务应按相关法律法规规定及</w:t>
      </w:r>
      <w:r>
        <w:rPr>
          <w:rFonts w:ascii="宋体" w:hAnsi="宋体" w:cs="宋体"/>
          <w:color w:val="000000"/>
          <w:sz w:val="24"/>
          <w:szCs w:val="24"/>
        </w:rPr>
        <w:t>基金合同</w:t>
      </w:r>
      <w:r>
        <w:rPr>
          <w:rFonts w:ascii="宋体" w:hAnsi="宋体" w:cs="宋体" w:hint="eastAsia"/>
          <w:color w:val="000000"/>
          <w:sz w:val="24"/>
          <w:szCs w:val="24"/>
        </w:rPr>
        <w:t>的约定进行公告。</w:t>
      </w:r>
    </w:p>
    <w:p w14:paraId="7C59CCB5"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（六）基金现金分红</w:t>
      </w:r>
    </w:p>
    <w:p w14:paraId="1C0F372A" w14:textId="2DDBB1E0"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1．基金管理人确定分红方案通知基金托管人，双方核定后，</w:t>
      </w:r>
      <w:r>
        <w:rPr>
          <w:rFonts w:ascii="宋体" w:hAnsi="宋体"/>
          <w:sz w:val="24"/>
          <w:szCs w:val="24"/>
        </w:rPr>
        <w:t>基金管理人</w:t>
      </w:r>
      <w:r>
        <w:rPr>
          <w:rFonts w:ascii="宋体" w:hAnsi="宋体" w:cs="宋体" w:hint="eastAsia"/>
          <w:color w:val="000000"/>
          <w:sz w:val="24"/>
          <w:szCs w:val="24"/>
        </w:rPr>
        <w:t>依照《信息披露办法》的有关规定在中国证监会</w:t>
      </w:r>
      <w:r w:rsidR="00C91B0E">
        <w:rPr>
          <w:rFonts w:ascii="宋体" w:hAnsi="宋体" w:cs="宋体" w:hint="eastAsia"/>
          <w:color w:val="000000"/>
          <w:sz w:val="24"/>
          <w:szCs w:val="24"/>
        </w:rPr>
        <w:t>规定媒介</w:t>
      </w:r>
      <w:r>
        <w:rPr>
          <w:rFonts w:ascii="宋体" w:hAnsi="宋体" w:cs="宋体" w:hint="eastAsia"/>
          <w:color w:val="000000"/>
          <w:sz w:val="24"/>
          <w:szCs w:val="24"/>
        </w:rPr>
        <w:t>上公告。</w:t>
      </w:r>
    </w:p>
    <w:p w14:paraId="0EC40008"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2．基金托管人和基金管理人对基金分红进行账务处理并核对后，基金管理人向基金托管人发送现金红利的划款指令，基金托管人应及时将资金划入专用账户。</w:t>
      </w:r>
    </w:p>
    <w:p w14:paraId="1041E81C" w14:textId="77777777" w:rsidR="00E853FD" w:rsidRDefault="00FE7D53">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3．基金管理人在下达指令时，应给基金托管人留出必需的划款时间。</w:t>
      </w:r>
    </w:p>
    <w:p w14:paraId="4B722C4C" w14:textId="77777777" w:rsidR="00E853FD" w:rsidRDefault="00E853FD">
      <w:pPr>
        <w:spacing w:line="360" w:lineRule="auto"/>
        <w:ind w:firstLineChars="200" w:firstLine="480"/>
        <w:rPr>
          <w:rFonts w:ascii="仿宋" w:eastAsia="仿宋" w:hAnsi="仿宋"/>
          <w:color w:val="000000"/>
          <w:sz w:val="24"/>
          <w:szCs w:val="24"/>
        </w:rPr>
      </w:pPr>
    </w:p>
    <w:p w14:paraId="3F43BF3A" w14:textId="18CF9565" w:rsidR="00E853FD" w:rsidRDefault="00FE7D53" w:rsidP="009D2C48">
      <w:pPr>
        <w:spacing w:afterLines="100" w:after="312" w:line="360" w:lineRule="auto"/>
        <w:jc w:val="center"/>
        <w:outlineLvl w:val="0"/>
      </w:pPr>
      <w:r>
        <w:rPr>
          <w:rFonts w:ascii="宋体" w:hAnsi="宋体"/>
          <w:sz w:val="24"/>
          <w:szCs w:val="24"/>
        </w:rPr>
        <w:br w:type="page"/>
      </w:r>
      <w:bookmarkStart w:id="14" w:name="_Toc440289062"/>
      <w:bookmarkStart w:id="15" w:name="_Toc440289537"/>
      <w:bookmarkStart w:id="16" w:name="_Toc440289536"/>
      <w:r>
        <w:rPr>
          <w:rFonts w:hint="eastAsia"/>
          <w:b/>
          <w:sz w:val="30"/>
          <w:szCs w:val="30"/>
        </w:rPr>
        <w:lastRenderedPageBreak/>
        <w:t>八、基金资产净值计算和会计核算</w:t>
      </w:r>
      <w:bookmarkEnd w:id="14"/>
      <w:bookmarkEnd w:id="15"/>
      <w:bookmarkEnd w:id="16"/>
    </w:p>
    <w:p w14:paraId="250BDBDB"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（一）基金资产净值的计算、复核与完成的时间及程序</w:t>
      </w:r>
    </w:p>
    <w:p w14:paraId="52FE147C" w14:textId="77777777"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．基金资产净值</w:t>
      </w:r>
    </w:p>
    <w:p w14:paraId="7864AE2A"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基金资产净值是指基金资产总值减去负债后的价值。</w:t>
      </w:r>
    </w:p>
    <w:p w14:paraId="497A6849" w14:textId="16ACF27C" w:rsidR="00E853FD" w:rsidRDefault="00FE7D53">
      <w:pPr>
        <w:spacing w:line="360" w:lineRule="auto"/>
        <w:ind w:firstLineChars="200" w:firstLine="480"/>
        <w:rPr>
          <w:rFonts w:ascii="宋体"/>
          <w:sz w:val="24"/>
          <w:szCs w:val="24"/>
        </w:rPr>
      </w:pPr>
      <w:r>
        <w:rPr>
          <w:rFonts w:ascii="Times New Roman" w:hAnsi="Times New Roman" w:hint="eastAsia"/>
          <w:sz w:val="24"/>
        </w:rPr>
        <w:t>基金份额净值是按照每个</w:t>
      </w:r>
      <w:r w:rsidR="002C4E3B">
        <w:rPr>
          <w:rFonts w:ascii="Times New Roman" w:hAnsi="Times New Roman" w:hint="eastAsia"/>
          <w:sz w:val="24"/>
        </w:rPr>
        <w:t>估值</w:t>
      </w:r>
      <w:r>
        <w:rPr>
          <w:rFonts w:ascii="Times New Roman" w:hAnsi="Times New Roman" w:hint="eastAsia"/>
          <w:sz w:val="24"/>
        </w:rPr>
        <w:t>日闭市后，基金资产净值除以当日</w:t>
      </w:r>
      <w:r w:rsidR="00957F0D">
        <w:rPr>
          <w:rFonts w:ascii="Times New Roman" w:hAnsi="Times New Roman" w:hint="eastAsia"/>
          <w:sz w:val="24"/>
        </w:rPr>
        <w:t>该类</w:t>
      </w:r>
      <w:r>
        <w:rPr>
          <w:rFonts w:ascii="Times New Roman" w:hAnsi="Times New Roman" w:hint="eastAsia"/>
          <w:sz w:val="24"/>
        </w:rPr>
        <w:t>基金份额的余额</w:t>
      </w:r>
      <w:r w:rsidR="002C4E3B">
        <w:rPr>
          <w:rFonts w:ascii="Times New Roman" w:hAnsi="Times New Roman" w:hint="eastAsia"/>
          <w:sz w:val="24"/>
        </w:rPr>
        <w:t>总数</w:t>
      </w:r>
      <w:r>
        <w:rPr>
          <w:rFonts w:ascii="Times New Roman" w:hAnsi="Times New Roman" w:hint="eastAsia"/>
          <w:sz w:val="24"/>
        </w:rPr>
        <w:t>计算，精确</w:t>
      </w:r>
      <w:r>
        <w:rPr>
          <w:rFonts w:ascii="宋体" w:hAnsi="宋体" w:hint="eastAsia"/>
          <w:sz w:val="24"/>
        </w:rPr>
        <w:t>到</w:t>
      </w:r>
      <w:r>
        <w:rPr>
          <w:rFonts w:ascii="宋体"/>
          <w:bCs/>
          <w:sz w:val="24"/>
          <w:szCs w:val="20"/>
        </w:rPr>
        <w:t>0.000</w:t>
      </w:r>
      <w:r>
        <w:rPr>
          <w:rFonts w:ascii="宋体" w:hAnsi="宋体"/>
          <w:bCs/>
          <w:sz w:val="24"/>
          <w:szCs w:val="20"/>
        </w:rPr>
        <w:t>1</w:t>
      </w:r>
      <w:r>
        <w:rPr>
          <w:rFonts w:ascii="宋体" w:hAnsi="宋体" w:hint="eastAsia"/>
          <w:sz w:val="24"/>
        </w:rPr>
        <w:t>元，小数点后第</w:t>
      </w:r>
      <w:r>
        <w:rPr>
          <w:rFonts w:ascii="宋体" w:hAnsi="宋体"/>
          <w:bCs/>
          <w:sz w:val="24"/>
          <w:szCs w:val="20"/>
        </w:rPr>
        <w:t>5</w:t>
      </w:r>
      <w:r>
        <w:rPr>
          <w:rFonts w:ascii="宋体" w:hAnsi="宋体" w:hint="eastAsia"/>
          <w:sz w:val="24"/>
        </w:rPr>
        <w:t>位四舍五入。</w:t>
      </w:r>
      <w:r>
        <w:rPr>
          <w:rFonts w:ascii="Times New Roman" w:hAnsi="Times New Roman" w:hint="eastAsia"/>
          <w:sz w:val="24"/>
        </w:rPr>
        <w:t>国家另有规定的，从其规定</w:t>
      </w:r>
      <w:r>
        <w:rPr>
          <w:rFonts w:ascii="宋体" w:hAnsi="宋体" w:hint="eastAsia"/>
          <w:sz w:val="24"/>
          <w:szCs w:val="24"/>
        </w:rPr>
        <w:t>。</w:t>
      </w:r>
    </w:p>
    <w:p w14:paraId="77FF8910" w14:textId="03DF2A36" w:rsidR="00E853FD" w:rsidRDefault="00FE7D53">
      <w:pPr>
        <w:spacing w:line="360" w:lineRule="auto"/>
        <w:ind w:firstLineChars="200" w:firstLine="480"/>
        <w:rPr>
          <w:rFonts w:ascii="宋体"/>
          <w:sz w:val="24"/>
          <w:szCs w:val="24"/>
        </w:rPr>
      </w:pPr>
      <w:r>
        <w:rPr>
          <w:rFonts w:ascii="宋体" w:hAnsi="宋体" w:hint="eastAsia"/>
          <w:sz w:val="24"/>
          <w:szCs w:val="24"/>
        </w:rPr>
        <w:t>基金管理人每个</w:t>
      </w:r>
      <w:r w:rsidR="002C4E3B">
        <w:rPr>
          <w:rFonts w:ascii="Times New Roman" w:hAnsi="Times New Roman" w:hint="eastAsia"/>
          <w:sz w:val="24"/>
        </w:rPr>
        <w:t>估值</w:t>
      </w:r>
      <w:r>
        <w:rPr>
          <w:rFonts w:ascii="宋体" w:hAnsi="宋体" w:hint="eastAsia"/>
          <w:sz w:val="24"/>
          <w:szCs w:val="24"/>
        </w:rPr>
        <w:t>日计算基金资产净值及</w:t>
      </w:r>
      <w:r w:rsidR="0092756F" w:rsidRPr="0092756F">
        <w:rPr>
          <w:rFonts w:ascii="宋体" w:hAnsi="宋体" w:hint="eastAsia"/>
          <w:sz w:val="24"/>
          <w:szCs w:val="24"/>
        </w:rPr>
        <w:t>各类基金份额的</w:t>
      </w:r>
      <w:r>
        <w:rPr>
          <w:rFonts w:ascii="宋体" w:hAnsi="宋体" w:hint="eastAsia"/>
          <w:sz w:val="24"/>
          <w:szCs w:val="24"/>
        </w:rPr>
        <w:t>基金份额净值，经基金托管人复核，按规定公告。</w:t>
      </w:r>
      <w:r>
        <w:rPr>
          <w:rFonts w:ascii="宋体" w:hAnsi="宋体" w:hint="eastAsia"/>
          <w:bCs/>
          <w:sz w:val="24"/>
          <w:szCs w:val="24"/>
        </w:rPr>
        <w:t>但基金管理人根据法律法规或基金合同的规定暂停估值时除外。</w:t>
      </w:r>
    </w:p>
    <w:p w14:paraId="213A3522"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．复核程序</w:t>
      </w:r>
    </w:p>
    <w:p w14:paraId="511518D1" w14:textId="27D23C39" w:rsidR="00E853FD" w:rsidRDefault="00FE7D53">
      <w:pPr>
        <w:spacing w:line="360" w:lineRule="auto"/>
        <w:ind w:firstLineChars="200" w:firstLine="480"/>
        <w:rPr>
          <w:rFonts w:ascii="宋体"/>
          <w:sz w:val="24"/>
          <w:szCs w:val="24"/>
        </w:rPr>
      </w:pPr>
      <w:r>
        <w:rPr>
          <w:rFonts w:hint="eastAsia"/>
          <w:bCs/>
          <w:sz w:val="24"/>
        </w:rPr>
        <w:t>基金管理人应每个</w:t>
      </w:r>
      <w:r w:rsidR="002C4E3B">
        <w:rPr>
          <w:rFonts w:ascii="Times New Roman" w:hAnsi="Times New Roman" w:hint="eastAsia"/>
          <w:sz w:val="24"/>
        </w:rPr>
        <w:t>估值</w:t>
      </w:r>
      <w:r>
        <w:rPr>
          <w:rFonts w:hint="eastAsia"/>
          <w:bCs/>
          <w:sz w:val="24"/>
        </w:rPr>
        <w:t>日对基金资产估值。但基金管理人根据法律法规或基金合同的规定暂停估值时除外。</w:t>
      </w:r>
      <w:r>
        <w:rPr>
          <w:rFonts w:ascii="宋体" w:hAnsi="宋体" w:hint="eastAsia"/>
          <w:sz w:val="24"/>
          <w:szCs w:val="24"/>
        </w:rPr>
        <w:t>基金管理人每个</w:t>
      </w:r>
      <w:r w:rsidR="002C4E3B">
        <w:rPr>
          <w:rFonts w:ascii="Times New Roman" w:hAnsi="Times New Roman" w:hint="eastAsia"/>
          <w:sz w:val="24"/>
        </w:rPr>
        <w:t>估值</w:t>
      </w:r>
      <w:r>
        <w:rPr>
          <w:rFonts w:ascii="宋体" w:hAnsi="宋体" w:hint="eastAsia"/>
          <w:sz w:val="24"/>
          <w:szCs w:val="24"/>
        </w:rPr>
        <w:t>日对基金资产进行估值后，将基金份额净值结果发送基金托管人，经基金托管人复核无误后，由基金管理人</w:t>
      </w:r>
      <w:r>
        <w:rPr>
          <w:rFonts w:hint="eastAsia"/>
          <w:bCs/>
          <w:sz w:val="24"/>
        </w:rPr>
        <w:t>按规定</w:t>
      </w:r>
      <w:r>
        <w:rPr>
          <w:rFonts w:ascii="宋体" w:hAnsi="宋体" w:hint="eastAsia"/>
          <w:sz w:val="24"/>
          <w:szCs w:val="24"/>
        </w:rPr>
        <w:t>对外公布。</w:t>
      </w:r>
    </w:p>
    <w:p w14:paraId="3165DDFF" w14:textId="46ED7B43" w:rsidR="00E853FD" w:rsidRDefault="00FE7D53">
      <w:pPr>
        <w:spacing w:line="360" w:lineRule="auto"/>
        <w:ind w:firstLineChars="200" w:firstLine="480"/>
        <w:rPr>
          <w:rFonts w:ascii="宋体"/>
          <w:sz w:val="24"/>
          <w:szCs w:val="24"/>
        </w:rPr>
      </w:pPr>
      <w:r>
        <w:rPr>
          <w:rFonts w:ascii="宋体" w:hAnsi="宋体"/>
          <w:sz w:val="24"/>
          <w:szCs w:val="24"/>
        </w:rPr>
        <w:t>3</w:t>
      </w:r>
      <w:r>
        <w:rPr>
          <w:rFonts w:ascii="宋体" w:hAnsi="宋体" w:hint="eastAsia"/>
          <w:sz w:val="24"/>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w:t>
      </w:r>
      <w:r w:rsidR="00542767">
        <w:rPr>
          <w:rFonts w:ascii="宋体" w:hAnsi="宋体"/>
          <w:sz w:val="24"/>
          <w:szCs w:val="24"/>
        </w:rPr>
        <w:t>基金管理人向基金托管人出具盖章的书面说明后，</w:t>
      </w:r>
      <w:r>
        <w:rPr>
          <w:rFonts w:ascii="宋体" w:hAnsi="宋体" w:hint="eastAsia"/>
          <w:sz w:val="24"/>
          <w:szCs w:val="24"/>
        </w:rPr>
        <w:t>按照基金管理人对基金资产净值的计算结果对外予以公布，基金托管人对该结果不承认任何责任。</w:t>
      </w:r>
    </w:p>
    <w:p w14:paraId="2C0251D6"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（二）基金资产估值方法和特殊情形的处理</w:t>
      </w:r>
    </w:p>
    <w:p w14:paraId="700A3C2E" w14:textId="77777777"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．估值对象</w:t>
      </w:r>
    </w:p>
    <w:p w14:paraId="53B3AED0" w14:textId="54D52072" w:rsidR="00E853FD" w:rsidRDefault="00FE7D53">
      <w:pPr>
        <w:spacing w:line="360" w:lineRule="auto"/>
        <w:ind w:firstLineChars="200" w:firstLine="480"/>
        <w:rPr>
          <w:rFonts w:ascii="Times New Roman" w:hAnsi="Times New Roman"/>
          <w:sz w:val="24"/>
        </w:rPr>
      </w:pPr>
      <w:r>
        <w:rPr>
          <w:rFonts w:ascii="Times New Roman" w:hAnsi="Times New Roman" w:hint="eastAsia"/>
          <w:sz w:val="24"/>
        </w:rPr>
        <w:t>基金所拥有的</w:t>
      </w:r>
      <w:r w:rsidR="00DE18A8" w:rsidRPr="00DE18A8">
        <w:rPr>
          <w:rFonts w:ascii="Times New Roman" w:hAnsi="Times New Roman" w:hint="eastAsia"/>
          <w:sz w:val="24"/>
        </w:rPr>
        <w:t>股票、债券、期货合约、期权合约、资产支持证券、银行存款本息、应收款项、其它投资等资产及负债</w:t>
      </w:r>
      <w:r>
        <w:rPr>
          <w:rFonts w:ascii="Times New Roman" w:hAnsi="Times New Roman" w:hint="eastAsia"/>
          <w:sz w:val="24"/>
        </w:rPr>
        <w:t>。</w:t>
      </w:r>
    </w:p>
    <w:p w14:paraId="2F465661"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．估值方法</w:t>
      </w:r>
    </w:p>
    <w:p w14:paraId="04740740" w14:textId="6F3C78C4" w:rsidR="009A3F33" w:rsidRPr="009A3F33" w:rsidRDefault="009A3F33" w:rsidP="009A3F33">
      <w:pPr>
        <w:spacing w:line="360" w:lineRule="auto"/>
        <w:ind w:firstLineChars="200" w:firstLine="480"/>
        <w:rPr>
          <w:rFonts w:ascii="宋体" w:hAnsi="宋体"/>
          <w:sz w:val="24"/>
          <w:szCs w:val="24"/>
        </w:rPr>
      </w:pPr>
      <w:r>
        <w:rPr>
          <w:rFonts w:ascii="宋体" w:hAnsi="宋体" w:hint="eastAsia"/>
          <w:sz w:val="24"/>
          <w:szCs w:val="24"/>
        </w:rPr>
        <w:t>（</w:t>
      </w:r>
      <w:r w:rsidRPr="009A3F33">
        <w:rPr>
          <w:rFonts w:ascii="宋体" w:hAnsi="宋体" w:hint="eastAsia"/>
          <w:sz w:val="24"/>
          <w:szCs w:val="24"/>
        </w:rPr>
        <w:t>1</w:t>
      </w:r>
      <w:r>
        <w:rPr>
          <w:rFonts w:ascii="宋体" w:hAnsi="宋体" w:hint="eastAsia"/>
          <w:sz w:val="24"/>
          <w:szCs w:val="24"/>
        </w:rPr>
        <w:t>）</w:t>
      </w:r>
      <w:r w:rsidRPr="009A3F33">
        <w:rPr>
          <w:rFonts w:ascii="宋体" w:hAnsi="宋体" w:hint="eastAsia"/>
          <w:sz w:val="24"/>
          <w:szCs w:val="24"/>
        </w:rPr>
        <w:t>证券交易所上市的有价证券的估值</w:t>
      </w:r>
    </w:p>
    <w:p w14:paraId="7246DBDE" w14:textId="57F54924" w:rsidR="009A3F33" w:rsidRPr="009A3F33" w:rsidRDefault="009A3F33" w:rsidP="009A3F33">
      <w:pPr>
        <w:spacing w:line="360" w:lineRule="auto"/>
        <w:ind w:firstLineChars="200" w:firstLine="480"/>
        <w:rPr>
          <w:rFonts w:ascii="宋体" w:hAnsi="宋体"/>
          <w:sz w:val="24"/>
          <w:szCs w:val="24"/>
        </w:rPr>
      </w:pPr>
      <w:r w:rsidRPr="009A3F33">
        <w:rPr>
          <w:rFonts w:ascii="宋体" w:hAnsi="宋体" w:hint="eastAsia"/>
          <w:sz w:val="24"/>
          <w:szCs w:val="24"/>
        </w:rPr>
        <w:t>1）交易所上市的有价证券（包括股票等），以其估值日在证券交易所挂牌的市价（收盘价）估值；估值日无交易的，且最近交易日后经济环境未发生重大变</w:t>
      </w:r>
      <w:r w:rsidRPr="009A3F33">
        <w:rPr>
          <w:rFonts w:ascii="宋体" w:hAnsi="宋体" w:hint="eastAsia"/>
          <w:sz w:val="24"/>
          <w:szCs w:val="24"/>
        </w:rPr>
        <w:lastRenderedPageBreak/>
        <w:t>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236DC7A4" w14:textId="45EC5593" w:rsidR="009A3F33" w:rsidRPr="009A3F33" w:rsidRDefault="009A3F33" w:rsidP="009A3F33">
      <w:pPr>
        <w:spacing w:line="360" w:lineRule="auto"/>
        <w:ind w:firstLineChars="200" w:firstLine="480"/>
        <w:rPr>
          <w:rFonts w:ascii="宋体" w:hAnsi="宋体"/>
          <w:sz w:val="24"/>
          <w:szCs w:val="24"/>
        </w:rPr>
      </w:pPr>
      <w:r w:rsidRPr="009A3F33">
        <w:rPr>
          <w:rFonts w:ascii="宋体" w:hAnsi="宋体" w:hint="eastAsia"/>
          <w:sz w:val="24"/>
          <w:szCs w:val="24"/>
        </w:rPr>
        <w:t>2）交易所上市交易或挂牌转让的不含权固定收益品种，选取估值日第三方估值基准服务机构提供的相应品种当日的估值全价；交易所上市交易或挂牌转让的含权固定收益品种，选取估值日第三方估值基准服务机构提供的相应品种当日的唯一估值全价或推荐估值全价；</w:t>
      </w:r>
    </w:p>
    <w:p w14:paraId="459098F2" w14:textId="28E5D054" w:rsidR="009A3F33" w:rsidRPr="009A3F33" w:rsidRDefault="009A3F33" w:rsidP="009A3F33">
      <w:pPr>
        <w:spacing w:line="360" w:lineRule="auto"/>
        <w:ind w:firstLineChars="200" w:firstLine="480"/>
        <w:rPr>
          <w:rFonts w:ascii="宋体" w:hAnsi="宋体"/>
          <w:sz w:val="24"/>
          <w:szCs w:val="24"/>
        </w:rPr>
      </w:pPr>
      <w:r w:rsidRPr="009A3F33">
        <w:rPr>
          <w:rFonts w:ascii="宋体" w:hAnsi="宋体" w:hint="eastAsia"/>
          <w:sz w:val="24"/>
          <w:szCs w:val="24"/>
        </w:rPr>
        <w:t>3）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574868DC" w14:textId="29F10DEC" w:rsidR="009A3F33" w:rsidRPr="009A3F33" w:rsidRDefault="009A3F33" w:rsidP="009A3F33">
      <w:pPr>
        <w:spacing w:line="360" w:lineRule="auto"/>
        <w:ind w:firstLineChars="200" w:firstLine="480"/>
        <w:rPr>
          <w:rFonts w:ascii="宋体" w:hAnsi="宋体"/>
          <w:sz w:val="24"/>
          <w:szCs w:val="24"/>
        </w:rPr>
      </w:pPr>
      <w:r w:rsidRPr="009A3F33">
        <w:rPr>
          <w:rFonts w:ascii="宋体" w:hAnsi="宋体" w:hint="eastAsia"/>
          <w:sz w:val="24"/>
          <w:szCs w:val="24"/>
        </w:rPr>
        <w:t>4）交易所上市不存在活跃市场的有价证券，采用估值技术确定公允价值。</w:t>
      </w:r>
    </w:p>
    <w:p w14:paraId="0FEB9DCF" w14:textId="7C745F5C" w:rsidR="009A3F33" w:rsidRPr="009A3F33" w:rsidRDefault="009A3F33" w:rsidP="009A3F33">
      <w:pPr>
        <w:spacing w:line="360" w:lineRule="auto"/>
        <w:ind w:firstLineChars="200" w:firstLine="480"/>
        <w:rPr>
          <w:rFonts w:ascii="宋体" w:hAnsi="宋体"/>
          <w:sz w:val="24"/>
          <w:szCs w:val="24"/>
        </w:rPr>
      </w:pPr>
      <w:r>
        <w:rPr>
          <w:rFonts w:ascii="宋体" w:hAnsi="宋体" w:hint="eastAsia"/>
          <w:sz w:val="24"/>
          <w:szCs w:val="24"/>
        </w:rPr>
        <w:t>（</w:t>
      </w:r>
      <w:r w:rsidRPr="009A3F33">
        <w:rPr>
          <w:rFonts w:ascii="宋体" w:hAnsi="宋体" w:hint="eastAsia"/>
          <w:sz w:val="24"/>
          <w:szCs w:val="24"/>
        </w:rPr>
        <w:t>2</w:t>
      </w:r>
      <w:r>
        <w:rPr>
          <w:rFonts w:ascii="宋体" w:hAnsi="宋体" w:hint="eastAsia"/>
          <w:sz w:val="24"/>
          <w:szCs w:val="24"/>
        </w:rPr>
        <w:t>）</w:t>
      </w:r>
      <w:r w:rsidRPr="009A3F33">
        <w:rPr>
          <w:rFonts w:ascii="宋体" w:hAnsi="宋体" w:hint="eastAsia"/>
          <w:sz w:val="24"/>
          <w:szCs w:val="24"/>
        </w:rPr>
        <w:t>处于未上市期间或流通受限的有价证券应区分如下情况处理：</w:t>
      </w:r>
    </w:p>
    <w:p w14:paraId="5D11D887" w14:textId="7E0CB855" w:rsidR="009A3F33" w:rsidRPr="009A3F33" w:rsidRDefault="009A3F33" w:rsidP="009A3F33">
      <w:pPr>
        <w:spacing w:line="360" w:lineRule="auto"/>
        <w:ind w:firstLineChars="200" w:firstLine="480"/>
        <w:rPr>
          <w:rFonts w:ascii="宋体" w:hAnsi="宋体"/>
          <w:sz w:val="24"/>
          <w:szCs w:val="24"/>
        </w:rPr>
      </w:pPr>
      <w:r w:rsidRPr="009A3F33">
        <w:rPr>
          <w:rFonts w:ascii="宋体" w:hAnsi="宋体" w:hint="eastAsia"/>
          <w:sz w:val="24"/>
          <w:szCs w:val="24"/>
        </w:rPr>
        <w:t xml:space="preserve">1）送股、转增股、配股和公开增发的新股，按估值日在证券交易所挂牌的同一股票的估值方法估值；该日无交易的，以最近一日的市价（收盘价）估值； </w:t>
      </w:r>
    </w:p>
    <w:p w14:paraId="10AC9414" w14:textId="2F3DE4D7" w:rsidR="009A3F33" w:rsidRPr="009A3F33" w:rsidRDefault="009A3F33" w:rsidP="009A3F33">
      <w:pPr>
        <w:spacing w:line="360" w:lineRule="auto"/>
        <w:ind w:firstLineChars="200" w:firstLine="480"/>
        <w:rPr>
          <w:rFonts w:ascii="宋体" w:hAnsi="宋体"/>
          <w:sz w:val="24"/>
          <w:szCs w:val="24"/>
        </w:rPr>
      </w:pPr>
      <w:r w:rsidRPr="009A3F33">
        <w:rPr>
          <w:rFonts w:ascii="宋体" w:hAnsi="宋体" w:hint="eastAsia"/>
          <w:sz w:val="24"/>
          <w:szCs w:val="24"/>
        </w:rPr>
        <w:t>2）首次公开发行未上市的股票，采用估值技术确定公允价值；</w:t>
      </w:r>
    </w:p>
    <w:p w14:paraId="47B97F5C" w14:textId="0C522581" w:rsidR="009A3F33" w:rsidRPr="009A3F33" w:rsidRDefault="009A3F33" w:rsidP="009A3F33">
      <w:pPr>
        <w:spacing w:line="360" w:lineRule="auto"/>
        <w:ind w:firstLineChars="200" w:firstLine="480"/>
        <w:rPr>
          <w:rFonts w:ascii="宋体" w:hAnsi="宋体"/>
          <w:sz w:val="24"/>
          <w:szCs w:val="24"/>
        </w:rPr>
      </w:pPr>
      <w:r w:rsidRPr="009A3F33">
        <w:rPr>
          <w:rFonts w:ascii="宋体" w:hAnsi="宋体" w:hint="eastAsia"/>
          <w:sz w:val="24"/>
          <w:szCs w:val="24"/>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3257B9D3" w14:textId="5FD316B4" w:rsidR="009A3F33" w:rsidRPr="009A3F33" w:rsidRDefault="009A3F33" w:rsidP="009A3F33">
      <w:pPr>
        <w:spacing w:line="360" w:lineRule="auto"/>
        <w:ind w:firstLineChars="200" w:firstLine="480"/>
        <w:rPr>
          <w:rFonts w:ascii="宋体" w:hAnsi="宋体"/>
          <w:sz w:val="24"/>
          <w:szCs w:val="24"/>
        </w:rPr>
      </w:pPr>
      <w:r w:rsidRPr="009A3F33">
        <w:rPr>
          <w:rFonts w:ascii="宋体" w:hAnsi="宋体" w:hint="eastAsia"/>
          <w:sz w:val="24"/>
          <w:szCs w:val="24"/>
        </w:rPr>
        <w:t>4）交易所未上市或未挂牌转让且不存在活跃市场的固定收益品种，应采用在当前情况下适用并且有足够可利用数据和其他信息支持的估值技术确定其公允价值。</w:t>
      </w:r>
    </w:p>
    <w:p w14:paraId="6A809F7A" w14:textId="6588C0A6" w:rsidR="009A3F33" w:rsidRPr="009A3F33" w:rsidRDefault="009A3F33" w:rsidP="009A3F33">
      <w:pPr>
        <w:spacing w:line="360" w:lineRule="auto"/>
        <w:ind w:firstLineChars="200" w:firstLine="480"/>
        <w:rPr>
          <w:rFonts w:ascii="宋体" w:hAnsi="宋体"/>
          <w:sz w:val="24"/>
          <w:szCs w:val="24"/>
        </w:rPr>
      </w:pPr>
      <w:r>
        <w:rPr>
          <w:rFonts w:ascii="宋体" w:hAnsi="宋体" w:hint="eastAsia"/>
          <w:sz w:val="24"/>
          <w:szCs w:val="24"/>
        </w:rPr>
        <w:t>（</w:t>
      </w:r>
      <w:r w:rsidRPr="009A3F33">
        <w:rPr>
          <w:rFonts w:ascii="宋体" w:hAnsi="宋体" w:hint="eastAsia"/>
          <w:sz w:val="24"/>
          <w:szCs w:val="24"/>
        </w:rPr>
        <w:t>3</w:t>
      </w:r>
      <w:r>
        <w:rPr>
          <w:rFonts w:ascii="宋体" w:hAnsi="宋体" w:hint="eastAsia"/>
          <w:sz w:val="24"/>
          <w:szCs w:val="24"/>
        </w:rPr>
        <w:t>）</w:t>
      </w:r>
      <w:r w:rsidRPr="009A3F33">
        <w:rPr>
          <w:rFonts w:ascii="宋体" w:hAnsi="宋体" w:hint="eastAsia"/>
          <w:sz w:val="24"/>
          <w:szCs w:val="24"/>
        </w:rPr>
        <w:t>对全国银行间市场上不含权的固定收益品种，选取估值日第三方估值基准服务机构提供的相应品种当日的估值全价；对全国银行间市场上含权的固定收益品种，选取估值日第三方估值基准服务机构提供的相应品种当日的唯一估值全价或推荐估值全价。</w:t>
      </w:r>
    </w:p>
    <w:p w14:paraId="637304A1" w14:textId="77777777" w:rsidR="009A3F33" w:rsidRPr="009A3F33" w:rsidRDefault="009A3F33" w:rsidP="009A3F33">
      <w:pPr>
        <w:spacing w:line="360" w:lineRule="auto"/>
        <w:ind w:firstLineChars="200" w:firstLine="480"/>
        <w:rPr>
          <w:rFonts w:ascii="宋体" w:hAnsi="宋体"/>
          <w:sz w:val="24"/>
          <w:szCs w:val="24"/>
        </w:rPr>
      </w:pPr>
      <w:r w:rsidRPr="009A3F33">
        <w:rPr>
          <w:rFonts w:ascii="宋体" w:hAnsi="宋体" w:hint="eastAsia"/>
          <w:sz w:val="24"/>
          <w:szCs w:val="24"/>
        </w:rPr>
        <w:t>对全国银行间市场未上市或未挂牌转让且不存在活跃市场的固定收益品种，应采用在当前情况下适用并且有足够可利用数据和其他信息支持的估值技术确</w:t>
      </w:r>
      <w:r w:rsidRPr="009A3F33">
        <w:rPr>
          <w:rFonts w:ascii="宋体" w:hAnsi="宋体" w:hint="eastAsia"/>
          <w:sz w:val="24"/>
          <w:szCs w:val="24"/>
        </w:rPr>
        <w:lastRenderedPageBreak/>
        <w:t>定其公允价值。</w:t>
      </w:r>
    </w:p>
    <w:p w14:paraId="4E857140" w14:textId="211318A6" w:rsidR="009A3F33" w:rsidRPr="009A3F33" w:rsidRDefault="009A3F33" w:rsidP="009A3F33">
      <w:pPr>
        <w:spacing w:line="360" w:lineRule="auto"/>
        <w:ind w:firstLineChars="200" w:firstLine="480"/>
        <w:rPr>
          <w:rFonts w:ascii="宋体" w:hAnsi="宋体"/>
          <w:sz w:val="24"/>
          <w:szCs w:val="24"/>
        </w:rPr>
      </w:pPr>
      <w:r>
        <w:rPr>
          <w:rFonts w:ascii="宋体" w:hAnsi="宋体" w:hint="eastAsia"/>
          <w:sz w:val="24"/>
          <w:szCs w:val="24"/>
        </w:rPr>
        <w:t>（</w:t>
      </w:r>
      <w:r w:rsidRPr="009A3F33">
        <w:rPr>
          <w:rFonts w:ascii="宋体" w:hAnsi="宋体" w:hint="eastAsia"/>
          <w:sz w:val="24"/>
          <w:szCs w:val="24"/>
        </w:rPr>
        <w:t>4</w:t>
      </w:r>
      <w:r>
        <w:rPr>
          <w:rFonts w:ascii="宋体" w:hAnsi="宋体" w:hint="eastAsia"/>
          <w:sz w:val="24"/>
          <w:szCs w:val="24"/>
        </w:rPr>
        <w:t>）</w:t>
      </w:r>
      <w:r w:rsidRPr="009A3F33">
        <w:rPr>
          <w:rFonts w:ascii="宋体" w:hAnsi="宋体" w:hint="eastAsia"/>
          <w:sz w:val="24"/>
          <w:szCs w:val="24"/>
        </w:rPr>
        <w:t>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70567924" w14:textId="7B5E576B" w:rsidR="009A3F33" w:rsidRPr="009A3F33" w:rsidRDefault="009A3F33" w:rsidP="009A3F33">
      <w:pPr>
        <w:spacing w:line="360" w:lineRule="auto"/>
        <w:ind w:firstLineChars="200" w:firstLine="480"/>
        <w:rPr>
          <w:rFonts w:ascii="宋体" w:hAnsi="宋体"/>
          <w:sz w:val="24"/>
          <w:szCs w:val="24"/>
        </w:rPr>
      </w:pPr>
      <w:r>
        <w:rPr>
          <w:rFonts w:ascii="宋体" w:hAnsi="宋体" w:hint="eastAsia"/>
          <w:sz w:val="24"/>
          <w:szCs w:val="24"/>
        </w:rPr>
        <w:t>（</w:t>
      </w:r>
      <w:r w:rsidRPr="009A3F33">
        <w:rPr>
          <w:rFonts w:ascii="宋体" w:hAnsi="宋体" w:hint="eastAsia"/>
          <w:sz w:val="24"/>
          <w:szCs w:val="24"/>
        </w:rPr>
        <w:t>5</w:t>
      </w:r>
      <w:r>
        <w:rPr>
          <w:rFonts w:ascii="宋体" w:hAnsi="宋体" w:hint="eastAsia"/>
          <w:sz w:val="24"/>
          <w:szCs w:val="24"/>
        </w:rPr>
        <w:t>）</w:t>
      </w:r>
      <w:r w:rsidRPr="009A3F33">
        <w:rPr>
          <w:rFonts w:ascii="宋体" w:hAnsi="宋体" w:hint="eastAsia"/>
          <w:sz w:val="24"/>
          <w:szCs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托管人协商一致后，可采用价格区间中的数据作为该债券投资品种的公允价值。</w:t>
      </w:r>
    </w:p>
    <w:p w14:paraId="40725290" w14:textId="057CC997" w:rsidR="009A3F33" w:rsidRPr="009A3F33" w:rsidRDefault="009A3F33" w:rsidP="009A3F33">
      <w:pPr>
        <w:spacing w:line="360" w:lineRule="auto"/>
        <w:ind w:firstLineChars="200" w:firstLine="480"/>
        <w:rPr>
          <w:rFonts w:ascii="宋体" w:hAnsi="宋体"/>
          <w:sz w:val="24"/>
          <w:szCs w:val="24"/>
        </w:rPr>
      </w:pPr>
      <w:r>
        <w:rPr>
          <w:rFonts w:ascii="宋体" w:hAnsi="宋体" w:hint="eastAsia"/>
          <w:sz w:val="24"/>
          <w:szCs w:val="24"/>
        </w:rPr>
        <w:t>（</w:t>
      </w:r>
      <w:r w:rsidRPr="009A3F33">
        <w:rPr>
          <w:rFonts w:ascii="宋体" w:hAnsi="宋体" w:hint="eastAsia"/>
          <w:sz w:val="24"/>
          <w:szCs w:val="24"/>
        </w:rPr>
        <w:t>6</w:t>
      </w:r>
      <w:r>
        <w:rPr>
          <w:rFonts w:ascii="宋体" w:hAnsi="宋体" w:hint="eastAsia"/>
          <w:sz w:val="24"/>
          <w:szCs w:val="24"/>
        </w:rPr>
        <w:t>）</w:t>
      </w:r>
      <w:r w:rsidRPr="009A3F33">
        <w:rPr>
          <w:rFonts w:ascii="宋体" w:hAnsi="宋体" w:hint="eastAsia"/>
          <w:sz w:val="24"/>
          <w:szCs w:val="24"/>
        </w:rPr>
        <w:t>同一证券同时在两个或两个以上市场交易的，按证券所处的市场分别估值。</w:t>
      </w:r>
    </w:p>
    <w:p w14:paraId="7CD63B25" w14:textId="55501CC0" w:rsidR="009A3F33" w:rsidRPr="009A3F33" w:rsidRDefault="009A3F33" w:rsidP="009A3F33">
      <w:pPr>
        <w:spacing w:line="360" w:lineRule="auto"/>
        <w:ind w:firstLineChars="200" w:firstLine="480"/>
        <w:rPr>
          <w:rFonts w:ascii="宋体" w:hAnsi="宋体"/>
          <w:sz w:val="24"/>
          <w:szCs w:val="24"/>
        </w:rPr>
      </w:pPr>
      <w:r>
        <w:rPr>
          <w:rFonts w:ascii="宋体" w:hAnsi="宋体" w:hint="eastAsia"/>
          <w:sz w:val="24"/>
          <w:szCs w:val="24"/>
        </w:rPr>
        <w:t>（</w:t>
      </w:r>
      <w:r w:rsidRPr="009A3F33">
        <w:rPr>
          <w:rFonts w:ascii="宋体" w:hAnsi="宋体" w:hint="eastAsia"/>
          <w:sz w:val="24"/>
          <w:szCs w:val="24"/>
        </w:rPr>
        <w:t>7</w:t>
      </w:r>
      <w:r>
        <w:rPr>
          <w:rFonts w:ascii="宋体" w:hAnsi="宋体" w:hint="eastAsia"/>
          <w:sz w:val="24"/>
          <w:szCs w:val="24"/>
        </w:rPr>
        <w:t>）</w:t>
      </w:r>
      <w:r w:rsidRPr="009A3F33">
        <w:rPr>
          <w:rFonts w:ascii="宋体" w:hAnsi="宋体" w:hint="eastAsia"/>
          <w:sz w:val="24"/>
          <w:szCs w:val="24"/>
        </w:rPr>
        <w:t>期货合约以估值当日结算价进行估值，估值当日无结算价的，且最近交易日后经济环境未发生重大变化的，采用最近交易日结算价估值。</w:t>
      </w:r>
    </w:p>
    <w:p w14:paraId="41A7FCAB" w14:textId="255849E0" w:rsidR="009A3F33" w:rsidRPr="009A3F33" w:rsidRDefault="009A3F33" w:rsidP="009A3F33">
      <w:pPr>
        <w:spacing w:line="360" w:lineRule="auto"/>
        <w:ind w:firstLineChars="200" w:firstLine="480"/>
        <w:rPr>
          <w:rFonts w:ascii="宋体" w:hAnsi="宋体"/>
          <w:sz w:val="24"/>
          <w:szCs w:val="24"/>
        </w:rPr>
      </w:pPr>
      <w:r>
        <w:rPr>
          <w:rFonts w:ascii="宋体" w:hAnsi="宋体" w:hint="eastAsia"/>
          <w:sz w:val="24"/>
          <w:szCs w:val="24"/>
        </w:rPr>
        <w:t>（</w:t>
      </w:r>
      <w:r w:rsidRPr="009A3F33">
        <w:rPr>
          <w:rFonts w:ascii="宋体" w:hAnsi="宋体" w:hint="eastAsia"/>
          <w:sz w:val="24"/>
          <w:szCs w:val="24"/>
        </w:rPr>
        <w:t>8</w:t>
      </w:r>
      <w:r>
        <w:rPr>
          <w:rFonts w:ascii="宋体" w:hAnsi="宋体" w:hint="eastAsia"/>
          <w:sz w:val="24"/>
          <w:szCs w:val="24"/>
        </w:rPr>
        <w:t>）</w:t>
      </w:r>
      <w:r w:rsidRPr="009A3F33">
        <w:rPr>
          <w:rFonts w:ascii="宋体" w:hAnsi="宋体" w:hint="eastAsia"/>
          <w:sz w:val="24"/>
          <w:szCs w:val="24"/>
        </w:rPr>
        <w:t>本基金投资存托凭证的估值核算，依照境内上市交易的股票执行。</w:t>
      </w:r>
    </w:p>
    <w:p w14:paraId="6494FA45" w14:textId="0C3F0BD8" w:rsidR="009A3F33" w:rsidRPr="009A3F33" w:rsidRDefault="009A3F33" w:rsidP="009A3F33">
      <w:pPr>
        <w:spacing w:line="360" w:lineRule="auto"/>
        <w:ind w:firstLineChars="200" w:firstLine="480"/>
        <w:rPr>
          <w:rFonts w:ascii="宋体" w:hAnsi="宋体"/>
          <w:sz w:val="24"/>
          <w:szCs w:val="24"/>
        </w:rPr>
      </w:pPr>
      <w:r>
        <w:rPr>
          <w:rFonts w:ascii="宋体" w:hAnsi="宋体" w:hint="eastAsia"/>
          <w:sz w:val="24"/>
          <w:szCs w:val="24"/>
        </w:rPr>
        <w:t>（</w:t>
      </w:r>
      <w:r w:rsidRPr="009A3F33">
        <w:rPr>
          <w:rFonts w:ascii="宋体" w:hAnsi="宋体" w:hint="eastAsia"/>
          <w:sz w:val="24"/>
          <w:szCs w:val="24"/>
        </w:rPr>
        <w:t>9</w:t>
      </w:r>
      <w:r>
        <w:rPr>
          <w:rFonts w:ascii="宋体" w:hAnsi="宋体" w:hint="eastAsia"/>
          <w:sz w:val="24"/>
          <w:szCs w:val="24"/>
        </w:rPr>
        <w:t>）</w:t>
      </w:r>
      <w:r w:rsidRPr="009A3F33">
        <w:rPr>
          <w:rFonts w:ascii="宋体" w:hAnsi="宋体" w:hint="eastAsia"/>
          <w:sz w:val="24"/>
          <w:szCs w:val="24"/>
        </w:rPr>
        <w:t>本基金投资股票期权，根据相关法律法规以及监管部门的规定估值。</w:t>
      </w:r>
    </w:p>
    <w:p w14:paraId="42521437" w14:textId="264FE358" w:rsidR="009A3F33" w:rsidRPr="009A3F33" w:rsidRDefault="009A3F33" w:rsidP="009A3F33">
      <w:pPr>
        <w:spacing w:line="360" w:lineRule="auto"/>
        <w:ind w:firstLineChars="200" w:firstLine="480"/>
        <w:rPr>
          <w:rFonts w:ascii="宋体" w:hAnsi="宋体"/>
          <w:sz w:val="24"/>
          <w:szCs w:val="24"/>
        </w:rPr>
      </w:pPr>
      <w:r>
        <w:rPr>
          <w:rFonts w:ascii="宋体" w:hAnsi="宋体" w:hint="eastAsia"/>
          <w:sz w:val="24"/>
          <w:szCs w:val="24"/>
        </w:rPr>
        <w:t>（</w:t>
      </w:r>
      <w:r w:rsidRPr="009A3F33">
        <w:rPr>
          <w:rFonts w:ascii="宋体" w:hAnsi="宋体" w:hint="eastAsia"/>
          <w:sz w:val="24"/>
          <w:szCs w:val="24"/>
        </w:rPr>
        <w:t>10</w:t>
      </w:r>
      <w:r>
        <w:rPr>
          <w:rFonts w:ascii="宋体" w:hAnsi="宋体" w:hint="eastAsia"/>
          <w:sz w:val="24"/>
          <w:szCs w:val="24"/>
        </w:rPr>
        <w:t>）</w:t>
      </w:r>
      <w:r w:rsidRPr="009A3F33">
        <w:rPr>
          <w:rFonts w:ascii="宋体" w:hAnsi="宋体" w:hint="eastAsia"/>
          <w:sz w:val="24"/>
          <w:szCs w:val="24"/>
        </w:rPr>
        <w:t>本基金参与转融通证券出借及融资业务，按照相关法律法规和行业协会的相关规定进行估值。</w:t>
      </w:r>
    </w:p>
    <w:p w14:paraId="61DE5214" w14:textId="7E3891E6" w:rsidR="009A3F33" w:rsidRPr="009A3F33" w:rsidRDefault="009A3F33" w:rsidP="009A3F33">
      <w:pPr>
        <w:spacing w:line="360" w:lineRule="auto"/>
        <w:ind w:firstLineChars="200" w:firstLine="480"/>
        <w:rPr>
          <w:rFonts w:ascii="宋体" w:hAnsi="宋体"/>
          <w:sz w:val="24"/>
          <w:szCs w:val="24"/>
        </w:rPr>
      </w:pPr>
      <w:r>
        <w:rPr>
          <w:rFonts w:ascii="宋体" w:hAnsi="宋体" w:hint="eastAsia"/>
          <w:sz w:val="24"/>
          <w:szCs w:val="24"/>
        </w:rPr>
        <w:t>（</w:t>
      </w:r>
      <w:r w:rsidRPr="009A3F33">
        <w:rPr>
          <w:rFonts w:ascii="宋体" w:hAnsi="宋体" w:hint="eastAsia"/>
          <w:sz w:val="24"/>
          <w:szCs w:val="24"/>
        </w:rPr>
        <w:t>11</w:t>
      </w:r>
      <w:r>
        <w:rPr>
          <w:rFonts w:ascii="宋体" w:hAnsi="宋体" w:hint="eastAsia"/>
          <w:sz w:val="24"/>
          <w:szCs w:val="24"/>
        </w:rPr>
        <w:t>）</w:t>
      </w:r>
      <w:r w:rsidRPr="009A3F33">
        <w:rPr>
          <w:rFonts w:ascii="宋体" w:hAnsi="宋体" w:hint="eastAsia"/>
          <w:sz w:val="24"/>
          <w:szCs w:val="24"/>
        </w:rPr>
        <w:t>当本基金发生大额申购或赎回情形时，基金管理人可以采用摆动定价机制，以确保基金估值的公平性。</w:t>
      </w:r>
    </w:p>
    <w:p w14:paraId="28FFA9C6" w14:textId="3A21E588" w:rsidR="009A3F33" w:rsidRPr="009A3F33" w:rsidRDefault="009A3F33" w:rsidP="009A3F33">
      <w:pPr>
        <w:spacing w:line="360" w:lineRule="auto"/>
        <w:ind w:firstLineChars="200" w:firstLine="480"/>
        <w:rPr>
          <w:rFonts w:ascii="宋体" w:hAnsi="宋体"/>
          <w:sz w:val="24"/>
          <w:szCs w:val="24"/>
        </w:rPr>
      </w:pPr>
      <w:r>
        <w:rPr>
          <w:rFonts w:ascii="宋体" w:hAnsi="宋体" w:hint="eastAsia"/>
          <w:sz w:val="24"/>
          <w:szCs w:val="24"/>
        </w:rPr>
        <w:t>（</w:t>
      </w:r>
      <w:r w:rsidRPr="009A3F33">
        <w:rPr>
          <w:rFonts w:ascii="宋体" w:hAnsi="宋体" w:hint="eastAsia"/>
          <w:sz w:val="24"/>
          <w:szCs w:val="24"/>
        </w:rPr>
        <w:t>12</w:t>
      </w:r>
      <w:r>
        <w:rPr>
          <w:rFonts w:ascii="宋体" w:hAnsi="宋体" w:hint="eastAsia"/>
          <w:sz w:val="24"/>
          <w:szCs w:val="24"/>
        </w:rPr>
        <w:t>）</w:t>
      </w:r>
      <w:r w:rsidRPr="009A3F33">
        <w:rPr>
          <w:rFonts w:ascii="宋体" w:hAnsi="宋体" w:hint="eastAsia"/>
          <w:sz w:val="24"/>
          <w:szCs w:val="24"/>
        </w:rPr>
        <w:t>如有确凿证据表明按上述方法进行估值不能客观反映其公允价值的，基金管理人可根据具体情况与基金托管人商定后，按最能反映公允价值的价格估值。</w:t>
      </w:r>
    </w:p>
    <w:p w14:paraId="70CC5E80" w14:textId="03414F44" w:rsidR="00E853FD" w:rsidRDefault="00E15BFA">
      <w:pPr>
        <w:spacing w:line="360" w:lineRule="auto"/>
        <w:ind w:firstLineChars="200" w:firstLine="480"/>
        <w:rPr>
          <w:rFonts w:ascii="Times New Roman" w:hAnsi="Times New Roman"/>
          <w:sz w:val="24"/>
        </w:rPr>
      </w:pPr>
      <w:r>
        <w:rPr>
          <w:rFonts w:ascii="宋体" w:hAnsi="宋体" w:hint="eastAsia"/>
          <w:sz w:val="24"/>
          <w:szCs w:val="24"/>
        </w:rPr>
        <w:t>（</w:t>
      </w:r>
      <w:r w:rsidR="009A3F33" w:rsidRPr="009A3F33">
        <w:rPr>
          <w:rFonts w:ascii="宋体" w:hAnsi="宋体" w:hint="eastAsia"/>
          <w:sz w:val="24"/>
          <w:szCs w:val="24"/>
        </w:rPr>
        <w:t>13</w:t>
      </w:r>
      <w:r w:rsidR="009A3F33">
        <w:rPr>
          <w:rFonts w:ascii="宋体" w:hAnsi="宋体" w:hint="eastAsia"/>
          <w:sz w:val="24"/>
          <w:szCs w:val="24"/>
        </w:rPr>
        <w:t>）</w:t>
      </w:r>
      <w:r w:rsidR="009A3F33" w:rsidRPr="009A3F33">
        <w:rPr>
          <w:rFonts w:ascii="宋体" w:hAnsi="宋体" w:hint="eastAsia"/>
          <w:sz w:val="24"/>
          <w:szCs w:val="24"/>
        </w:rPr>
        <w:t>相关法律法规以及监</w:t>
      </w:r>
      <w:r w:rsidR="00E50C72">
        <w:rPr>
          <w:rFonts w:ascii="宋体" w:hAnsi="宋体" w:hint="eastAsia"/>
          <w:sz w:val="24"/>
          <w:szCs w:val="24"/>
        </w:rPr>
        <w:t>管部门有强制规定的，从其规定。如有新增事项，按国家最新规定估值</w:t>
      </w:r>
      <w:r w:rsidR="00FE7D53">
        <w:rPr>
          <w:rFonts w:ascii="Times New Roman" w:hAnsi="Times New Roman" w:hint="eastAsia"/>
          <w:sz w:val="24"/>
        </w:rPr>
        <w:t>。</w:t>
      </w:r>
    </w:p>
    <w:p w14:paraId="6B525A78" w14:textId="77777777" w:rsidR="00E853FD" w:rsidRDefault="00FE7D53">
      <w:pPr>
        <w:spacing w:line="360" w:lineRule="auto"/>
        <w:ind w:firstLineChars="200" w:firstLine="480"/>
        <w:rPr>
          <w:rFonts w:ascii="Times New Roman" w:hAnsi="Times New Roman"/>
          <w:sz w:val="24"/>
        </w:rPr>
      </w:pPr>
      <w:r>
        <w:rPr>
          <w:rFonts w:ascii="Times New Roman" w:hAnsi="Times New Roman"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5165A51B" w14:textId="77777777" w:rsidR="00E853FD" w:rsidRDefault="00FE7D53">
      <w:pPr>
        <w:spacing w:line="360" w:lineRule="auto"/>
        <w:ind w:firstLineChars="200" w:firstLine="480"/>
        <w:rPr>
          <w:rFonts w:ascii="宋体"/>
          <w:sz w:val="24"/>
          <w:szCs w:val="24"/>
        </w:rPr>
      </w:pPr>
      <w:r>
        <w:rPr>
          <w:rFonts w:ascii="Times New Roman" w:hAnsi="Times New Roman" w:hint="eastAsia"/>
          <w:sz w:val="24"/>
        </w:rPr>
        <w:t>根据有关法律法规，基金资产净值计算和基金会计核算的义务由基金管理人</w:t>
      </w:r>
      <w:r>
        <w:rPr>
          <w:rFonts w:ascii="Times New Roman" w:hAnsi="Times New Roman" w:hint="eastAsia"/>
          <w:sz w:val="24"/>
        </w:rPr>
        <w:lastRenderedPageBreak/>
        <w:t>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437BCBDC" w14:textId="77777777" w:rsidR="00E853FD" w:rsidRDefault="00FE7D53">
      <w:pPr>
        <w:tabs>
          <w:tab w:val="left" w:pos="3375"/>
          <w:tab w:val="left" w:pos="4920"/>
        </w:tabs>
        <w:spacing w:line="360" w:lineRule="auto"/>
        <w:ind w:firstLineChars="200" w:firstLine="480"/>
        <w:rPr>
          <w:rFonts w:ascii="宋体"/>
          <w:sz w:val="24"/>
          <w:szCs w:val="24"/>
        </w:rPr>
      </w:pPr>
      <w:r>
        <w:rPr>
          <w:rFonts w:ascii="宋体" w:hAnsi="宋体"/>
          <w:sz w:val="24"/>
          <w:szCs w:val="24"/>
        </w:rPr>
        <w:t>3</w:t>
      </w:r>
      <w:r>
        <w:rPr>
          <w:rFonts w:ascii="宋体" w:hAnsi="宋体" w:hint="eastAsia"/>
          <w:sz w:val="24"/>
          <w:szCs w:val="24"/>
        </w:rPr>
        <w:t>．特殊情形的处理</w:t>
      </w:r>
      <w:r>
        <w:rPr>
          <w:rFonts w:ascii="宋体"/>
          <w:sz w:val="24"/>
          <w:szCs w:val="24"/>
        </w:rPr>
        <w:tab/>
      </w:r>
      <w:r>
        <w:rPr>
          <w:rFonts w:ascii="宋体"/>
          <w:sz w:val="24"/>
          <w:szCs w:val="24"/>
        </w:rPr>
        <w:tab/>
      </w:r>
    </w:p>
    <w:p w14:paraId="7F488299" w14:textId="7B8AA437" w:rsidR="00E853FD" w:rsidRDefault="00FE7D53">
      <w:pPr>
        <w:spacing w:line="360" w:lineRule="auto"/>
        <w:ind w:firstLineChars="200" w:firstLine="480"/>
        <w:rPr>
          <w:rFonts w:ascii="Times New Roman" w:hAnsi="Times New Roman"/>
          <w:bCs/>
          <w:sz w:val="24"/>
          <w:szCs w:val="20"/>
        </w:rPr>
      </w:pPr>
      <w:r>
        <w:rPr>
          <w:rFonts w:ascii="宋体" w:hAnsi="宋体" w:hint="eastAsia"/>
          <w:sz w:val="24"/>
          <w:szCs w:val="24"/>
        </w:rPr>
        <w:t>基金管理人、基金托管人</w:t>
      </w:r>
      <w:r>
        <w:rPr>
          <w:rFonts w:ascii="Times New Roman" w:hAnsi="Times New Roman" w:hint="eastAsia"/>
          <w:bCs/>
          <w:sz w:val="24"/>
          <w:szCs w:val="20"/>
        </w:rPr>
        <w:t>按估值方法的第</w:t>
      </w:r>
      <w:r>
        <w:rPr>
          <w:rFonts w:ascii="宋体" w:hAnsi="宋体" w:hint="eastAsia"/>
          <w:bCs/>
          <w:sz w:val="24"/>
          <w:szCs w:val="20"/>
        </w:rPr>
        <w:t>（</w:t>
      </w:r>
      <w:r w:rsidR="00F42551">
        <w:rPr>
          <w:rFonts w:ascii="宋体" w:hAnsi="宋体"/>
          <w:bCs/>
          <w:sz w:val="24"/>
          <w:szCs w:val="20"/>
        </w:rPr>
        <w:t>12</w:t>
      </w:r>
      <w:r>
        <w:rPr>
          <w:rFonts w:ascii="宋体" w:hAnsi="宋体" w:hint="eastAsia"/>
          <w:bCs/>
          <w:sz w:val="24"/>
          <w:szCs w:val="20"/>
        </w:rPr>
        <w:t>）</w:t>
      </w:r>
      <w:r>
        <w:rPr>
          <w:rFonts w:ascii="Times New Roman" w:hAnsi="Times New Roman" w:hint="eastAsia"/>
          <w:bCs/>
          <w:sz w:val="24"/>
          <w:szCs w:val="20"/>
        </w:rPr>
        <w:t>项条款进行估值时，所造成的误差不作为基金份额净值错误处理。</w:t>
      </w:r>
    </w:p>
    <w:p w14:paraId="1BC712F5" w14:textId="55A5CDFB" w:rsidR="00E853FD" w:rsidRDefault="00A350CB">
      <w:pPr>
        <w:spacing w:line="360" w:lineRule="auto"/>
        <w:ind w:firstLineChars="200" w:firstLine="480"/>
        <w:rPr>
          <w:rFonts w:ascii="Times New Roman" w:hAnsi="Times New Roman"/>
          <w:bCs/>
          <w:sz w:val="24"/>
          <w:szCs w:val="20"/>
        </w:rPr>
      </w:pPr>
      <w:r w:rsidRPr="00A350CB">
        <w:rPr>
          <w:rFonts w:hint="eastAsia"/>
          <w:bCs/>
          <w:sz w:val="24"/>
        </w:rPr>
        <w:t>由于证券交易所及其登记结算公司发送的数据错误，或由于其他不可抗力原因，基金管理人和基金托管人虽然已经采取必要、适当、合理的措施进行检查，但是未能发现该错误或未能避免错误发生的，由此造成的基金资产估值错误，基金管理人和基金托管人可以免除赔偿责任。但基金管理人、基金托管人应当积极采取必要的措施减轻或消除由此造成的影响</w:t>
      </w:r>
      <w:r w:rsidR="00FE7D53">
        <w:rPr>
          <w:rFonts w:ascii="Times New Roman" w:hAnsi="Times New Roman" w:hint="eastAsia"/>
          <w:bCs/>
          <w:sz w:val="24"/>
          <w:szCs w:val="20"/>
        </w:rPr>
        <w:t>。</w:t>
      </w:r>
    </w:p>
    <w:p w14:paraId="3F2EFFB8"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（三）基金份额净值错误的处理方式</w:t>
      </w:r>
    </w:p>
    <w:p w14:paraId="091510F6" w14:textId="51B3874A"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．当基金份额净值小数点后</w:t>
      </w:r>
      <w:r>
        <w:rPr>
          <w:rFonts w:ascii="宋体" w:hAnsi="宋体"/>
          <w:sz w:val="24"/>
          <w:szCs w:val="24"/>
        </w:rPr>
        <w:t>4</w:t>
      </w:r>
      <w:r>
        <w:rPr>
          <w:rFonts w:ascii="宋体" w:hAnsi="宋体" w:hint="eastAsia"/>
          <w:sz w:val="24"/>
          <w:szCs w:val="24"/>
        </w:rPr>
        <w:t>位以内（含第</w:t>
      </w:r>
      <w:r>
        <w:rPr>
          <w:rFonts w:ascii="宋体" w:hAnsi="宋体"/>
          <w:sz w:val="24"/>
          <w:szCs w:val="24"/>
        </w:rPr>
        <w:t>4</w:t>
      </w:r>
      <w:r>
        <w:rPr>
          <w:rFonts w:ascii="宋体" w:hAnsi="宋体" w:hint="eastAsia"/>
          <w:sz w:val="24"/>
          <w:szCs w:val="24"/>
        </w:rPr>
        <w:t>位）发生差错时，视为基金份额净值错误；基金份额净值出现错误时，基金管理人应当立即予以纠正，通报基金托管人，并采取合理的措施防止损失进一步扩大；</w:t>
      </w:r>
      <w:r w:rsidR="00312A91" w:rsidRPr="00312A91">
        <w:rPr>
          <w:rFonts w:ascii="宋体" w:hAnsi="宋体" w:hint="eastAsia"/>
          <w:sz w:val="24"/>
          <w:szCs w:val="24"/>
        </w:rPr>
        <w:t>任一类</w:t>
      </w:r>
      <w:r>
        <w:rPr>
          <w:rFonts w:ascii="宋体" w:hAnsi="宋体" w:hint="eastAsia"/>
          <w:sz w:val="24"/>
          <w:szCs w:val="24"/>
        </w:rPr>
        <w:t>错误偏差达到</w:t>
      </w:r>
      <w:r w:rsidR="00312A91">
        <w:rPr>
          <w:rFonts w:ascii="宋体" w:hAnsi="宋体" w:hint="eastAsia"/>
          <w:sz w:val="24"/>
          <w:szCs w:val="24"/>
        </w:rPr>
        <w:t>该类</w:t>
      </w:r>
      <w:r>
        <w:rPr>
          <w:rFonts w:ascii="宋体" w:hAnsi="宋体" w:hint="eastAsia"/>
          <w:sz w:val="24"/>
          <w:szCs w:val="24"/>
        </w:rPr>
        <w:t>基金份额净值的</w:t>
      </w:r>
      <w:r>
        <w:rPr>
          <w:rFonts w:ascii="宋体" w:hAnsi="宋体"/>
          <w:sz w:val="24"/>
          <w:szCs w:val="24"/>
        </w:rPr>
        <w:t>0.25%</w:t>
      </w:r>
      <w:r>
        <w:rPr>
          <w:rFonts w:ascii="宋体" w:hAnsi="宋体" w:hint="eastAsia"/>
          <w:sz w:val="24"/>
          <w:szCs w:val="24"/>
        </w:rPr>
        <w:t>时，基金管理人应当通报基金托管人并报中国证监会备案；</w:t>
      </w:r>
      <w:r w:rsidR="008250C0" w:rsidRPr="00312A91">
        <w:rPr>
          <w:rFonts w:ascii="宋体" w:hAnsi="宋体" w:hint="eastAsia"/>
          <w:sz w:val="24"/>
          <w:szCs w:val="24"/>
        </w:rPr>
        <w:t>任一类</w:t>
      </w:r>
      <w:r>
        <w:rPr>
          <w:rFonts w:ascii="宋体" w:hAnsi="宋体" w:hint="eastAsia"/>
          <w:sz w:val="24"/>
          <w:szCs w:val="24"/>
        </w:rPr>
        <w:t>错误偏差达到</w:t>
      </w:r>
      <w:r w:rsidR="008250C0">
        <w:rPr>
          <w:rFonts w:ascii="宋体" w:hAnsi="宋体" w:hint="eastAsia"/>
          <w:sz w:val="24"/>
          <w:szCs w:val="24"/>
        </w:rPr>
        <w:t>该类</w:t>
      </w:r>
      <w:r>
        <w:rPr>
          <w:rFonts w:ascii="宋体" w:hAnsi="宋体" w:hint="eastAsia"/>
          <w:sz w:val="24"/>
          <w:szCs w:val="24"/>
        </w:rPr>
        <w:t>基金份额净值的</w:t>
      </w:r>
      <w:r>
        <w:rPr>
          <w:rFonts w:ascii="宋体" w:hAnsi="宋体"/>
          <w:sz w:val="24"/>
          <w:szCs w:val="24"/>
        </w:rPr>
        <w:t>0.50%</w:t>
      </w:r>
      <w:r>
        <w:rPr>
          <w:rFonts w:ascii="宋体" w:hAnsi="宋体" w:hint="eastAsia"/>
          <w:sz w:val="24"/>
          <w:szCs w:val="24"/>
        </w:rPr>
        <w:t>时，基金管理人应当公告</w:t>
      </w:r>
      <w:r w:rsidR="00A16BF6">
        <w:rPr>
          <w:rFonts w:ascii="宋体" w:hAnsi="宋体" w:hint="eastAsia"/>
          <w:sz w:val="24"/>
          <w:szCs w:val="24"/>
        </w:rPr>
        <w:t>，</w:t>
      </w:r>
      <w:r w:rsidR="006A75EA" w:rsidRPr="006A75EA">
        <w:rPr>
          <w:rFonts w:ascii="宋体" w:hAnsi="宋体" w:hint="eastAsia"/>
          <w:sz w:val="24"/>
          <w:szCs w:val="24"/>
        </w:rPr>
        <w:t>并报中国证监会备案</w:t>
      </w:r>
      <w:r>
        <w:rPr>
          <w:rFonts w:ascii="宋体" w:hAnsi="宋体" w:hint="eastAsia"/>
          <w:sz w:val="24"/>
          <w:szCs w:val="24"/>
        </w:rPr>
        <w:t>。</w:t>
      </w:r>
    </w:p>
    <w:p w14:paraId="08385C0D" w14:textId="77777777" w:rsidR="00E853FD" w:rsidRDefault="00FE7D53">
      <w:pPr>
        <w:spacing w:line="360" w:lineRule="auto"/>
        <w:ind w:firstLineChars="200" w:firstLine="480"/>
        <w:rPr>
          <w:bCs/>
          <w:sz w:val="24"/>
        </w:rPr>
      </w:pPr>
      <w:r>
        <w:rPr>
          <w:rFonts w:ascii="宋体" w:hAnsi="宋体"/>
          <w:sz w:val="24"/>
          <w:szCs w:val="24"/>
        </w:rPr>
        <w:t xml:space="preserve">2. </w:t>
      </w:r>
      <w:r>
        <w:rPr>
          <w:rFonts w:hint="eastAsia"/>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bCs/>
          <w:sz w:val="24"/>
        </w:rPr>
        <w:t>(“</w:t>
      </w:r>
      <w:r>
        <w:rPr>
          <w:rFonts w:hint="eastAsia"/>
          <w:bCs/>
          <w:sz w:val="24"/>
        </w:rPr>
        <w:t>受损方</w:t>
      </w:r>
      <w:r>
        <w:rPr>
          <w:bCs/>
          <w:sz w:val="24"/>
        </w:rPr>
        <w:t>”)</w:t>
      </w:r>
      <w:r>
        <w:rPr>
          <w:rFonts w:hint="eastAsia"/>
          <w:bCs/>
          <w:sz w:val="24"/>
        </w:rPr>
        <w:t>的直接损失按下述</w:t>
      </w:r>
      <w:r>
        <w:rPr>
          <w:bCs/>
          <w:sz w:val="24"/>
        </w:rPr>
        <w:t>“</w:t>
      </w:r>
      <w:r>
        <w:rPr>
          <w:rFonts w:hint="eastAsia"/>
          <w:bCs/>
          <w:sz w:val="24"/>
        </w:rPr>
        <w:t>估值错误处理原则</w:t>
      </w:r>
      <w:r>
        <w:rPr>
          <w:bCs/>
          <w:sz w:val="24"/>
        </w:rPr>
        <w:t>”</w:t>
      </w:r>
      <w:r>
        <w:rPr>
          <w:rFonts w:hint="eastAsia"/>
          <w:bCs/>
          <w:sz w:val="24"/>
        </w:rPr>
        <w:t>给予赔偿，承担赔偿责任。</w:t>
      </w:r>
    </w:p>
    <w:p w14:paraId="7530186A" w14:textId="77777777" w:rsidR="00E853FD" w:rsidRDefault="00FE7D53">
      <w:pPr>
        <w:spacing w:line="360" w:lineRule="auto"/>
        <w:ind w:firstLineChars="200" w:firstLine="480"/>
        <w:rPr>
          <w:rFonts w:ascii="宋体"/>
          <w:sz w:val="24"/>
          <w:szCs w:val="24"/>
        </w:rPr>
      </w:pPr>
      <w:r>
        <w:rPr>
          <w:rFonts w:hint="eastAsia"/>
          <w:bCs/>
          <w:sz w:val="24"/>
        </w:rPr>
        <w:t>上述估值错误的主要类型包括但不限于：资料申报差错、数据传输差错、数据计算差错、系统故障差错、下达指令差错等。估值错误处理原则如下：</w:t>
      </w:r>
    </w:p>
    <w:p w14:paraId="51259577" w14:textId="77777777" w:rsidR="00E853FD" w:rsidRDefault="00FE7D53">
      <w:pPr>
        <w:spacing w:line="360" w:lineRule="auto"/>
        <w:ind w:firstLineChars="200" w:firstLine="480"/>
        <w:rPr>
          <w:bCs/>
          <w:sz w:val="24"/>
        </w:rPr>
      </w:pPr>
      <w:r>
        <w:rPr>
          <w:rFonts w:ascii="宋体" w:hAnsi="宋体" w:hint="eastAsia"/>
          <w:bCs/>
          <w:sz w:val="24"/>
        </w:rPr>
        <w:t>（</w:t>
      </w:r>
      <w:r>
        <w:rPr>
          <w:rFonts w:ascii="宋体" w:hAnsi="宋体"/>
          <w:bCs/>
          <w:sz w:val="24"/>
        </w:rPr>
        <w:t>1</w:t>
      </w:r>
      <w:r>
        <w:rPr>
          <w:rFonts w:ascii="宋体" w:hAnsi="宋体" w:hint="eastAsia"/>
          <w:bCs/>
          <w:sz w:val="24"/>
        </w:rPr>
        <w:t>）</w:t>
      </w:r>
      <w:r>
        <w:rPr>
          <w:rFonts w:hint="eastAsia"/>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w:t>
      </w:r>
      <w:r>
        <w:rPr>
          <w:rFonts w:hint="eastAsia"/>
          <w:bCs/>
          <w:sz w:val="24"/>
        </w:rPr>
        <w:lastRenderedPageBreak/>
        <w:t>任。估值错误责任方应对更正的情况向有关当事人进行确认，确保估值错误已得到更正。</w:t>
      </w:r>
    </w:p>
    <w:p w14:paraId="29E3D2EB" w14:textId="77777777" w:rsidR="00E853FD" w:rsidRDefault="00FE7D53">
      <w:pPr>
        <w:spacing w:line="360" w:lineRule="auto"/>
        <w:ind w:right="28" w:firstLineChars="200" w:firstLine="480"/>
        <w:rPr>
          <w:rFonts w:ascii="宋体"/>
          <w:sz w:val="24"/>
          <w:szCs w:val="24"/>
        </w:rPr>
      </w:pPr>
      <w:r>
        <w:rPr>
          <w:rFonts w:ascii="宋体" w:hAnsi="宋体" w:hint="eastAsia"/>
          <w:bCs/>
          <w:sz w:val="24"/>
        </w:rPr>
        <w:t>（</w:t>
      </w:r>
      <w:r>
        <w:rPr>
          <w:rFonts w:ascii="宋体" w:hAnsi="宋体"/>
          <w:bCs/>
          <w:sz w:val="24"/>
        </w:rPr>
        <w:t>2</w:t>
      </w:r>
      <w:r>
        <w:rPr>
          <w:rFonts w:ascii="宋体" w:hAnsi="宋体" w:hint="eastAsia"/>
          <w:bCs/>
          <w:sz w:val="24"/>
        </w:rPr>
        <w:t>）</w:t>
      </w:r>
      <w:r>
        <w:rPr>
          <w:rFonts w:hint="eastAsia"/>
          <w:bCs/>
          <w:sz w:val="24"/>
        </w:rPr>
        <w:t>估值错误的责任方对有关当事人的直接损失负责，不对间接损失负责，并且仅对估值错误的有关直接当事人负责，不对第三方负责。</w:t>
      </w:r>
    </w:p>
    <w:p w14:paraId="241F4F4C" w14:textId="77777777" w:rsidR="00E853FD" w:rsidRDefault="00FE7D53">
      <w:pPr>
        <w:spacing w:line="360" w:lineRule="auto"/>
        <w:ind w:firstLineChars="200" w:firstLine="480"/>
        <w:rPr>
          <w:bCs/>
          <w:sz w:val="24"/>
        </w:rPr>
      </w:pPr>
      <w:r>
        <w:rPr>
          <w:rFonts w:ascii="宋体" w:hAnsi="宋体" w:hint="eastAsia"/>
          <w:bCs/>
          <w:sz w:val="24"/>
        </w:rPr>
        <w:t>（</w:t>
      </w:r>
      <w:r>
        <w:rPr>
          <w:rFonts w:ascii="宋体" w:hAnsi="宋体"/>
          <w:bCs/>
          <w:sz w:val="24"/>
        </w:rPr>
        <w:t>3</w:t>
      </w:r>
      <w:r>
        <w:rPr>
          <w:rFonts w:ascii="宋体" w:hAnsi="宋体" w:hint="eastAsia"/>
          <w:bCs/>
          <w:sz w:val="24"/>
        </w:rPr>
        <w:t>）</w:t>
      </w:r>
      <w:r>
        <w:rPr>
          <w:rFonts w:hint="eastAsia"/>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bCs/>
          <w:sz w:val="24"/>
        </w:rPr>
        <w:t>(“</w:t>
      </w:r>
      <w:r>
        <w:rPr>
          <w:rFonts w:hint="eastAsia"/>
          <w:bCs/>
          <w:sz w:val="24"/>
        </w:rPr>
        <w:t>受损方</w:t>
      </w:r>
      <w:r>
        <w:rPr>
          <w:bCs/>
          <w:sz w:val="24"/>
        </w:rPr>
        <w:t>”)</w:t>
      </w:r>
      <w:r>
        <w:rPr>
          <w:rFonts w:hint="eastAsia"/>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031ECDA" w14:textId="77777777" w:rsidR="00E853FD" w:rsidRDefault="00FE7D53">
      <w:pPr>
        <w:spacing w:line="360" w:lineRule="auto"/>
        <w:ind w:firstLineChars="200" w:firstLine="480"/>
        <w:rPr>
          <w:bCs/>
          <w:sz w:val="24"/>
        </w:rPr>
      </w:pPr>
      <w:r>
        <w:rPr>
          <w:rFonts w:ascii="宋体" w:hAnsi="宋体" w:hint="eastAsia"/>
          <w:bCs/>
          <w:sz w:val="24"/>
        </w:rPr>
        <w:t>（</w:t>
      </w:r>
      <w:r>
        <w:rPr>
          <w:rFonts w:ascii="宋体" w:hAnsi="宋体"/>
          <w:bCs/>
          <w:sz w:val="24"/>
        </w:rPr>
        <w:t>4</w:t>
      </w:r>
      <w:r>
        <w:rPr>
          <w:rFonts w:ascii="宋体" w:hAnsi="宋体" w:hint="eastAsia"/>
          <w:bCs/>
          <w:sz w:val="24"/>
        </w:rPr>
        <w:t>）</w:t>
      </w:r>
      <w:r>
        <w:rPr>
          <w:rFonts w:hint="eastAsia"/>
          <w:bCs/>
          <w:sz w:val="24"/>
        </w:rPr>
        <w:t>估值错误调整采用尽量恢复至假设未发生估值错误的正确情形的方式。</w:t>
      </w:r>
    </w:p>
    <w:p w14:paraId="765843A7" w14:textId="77777777" w:rsidR="00E853FD" w:rsidRDefault="00FE7D53">
      <w:pPr>
        <w:spacing w:line="360" w:lineRule="auto"/>
        <w:ind w:firstLineChars="200" w:firstLine="480"/>
        <w:rPr>
          <w:bCs/>
          <w:sz w:val="24"/>
        </w:rPr>
      </w:pPr>
      <w:r>
        <w:rPr>
          <w:rFonts w:ascii="宋体" w:hAnsi="宋体"/>
          <w:sz w:val="24"/>
          <w:szCs w:val="24"/>
        </w:rPr>
        <w:t>3</w:t>
      </w:r>
      <w:r>
        <w:rPr>
          <w:rFonts w:ascii="宋体"/>
          <w:sz w:val="24"/>
          <w:szCs w:val="24"/>
        </w:rPr>
        <w:t>.</w:t>
      </w:r>
      <w:r>
        <w:rPr>
          <w:bCs/>
          <w:sz w:val="24"/>
        </w:rPr>
        <w:t xml:space="preserve"> </w:t>
      </w:r>
      <w:r>
        <w:rPr>
          <w:rFonts w:hint="eastAsia"/>
          <w:bCs/>
          <w:sz w:val="24"/>
        </w:rPr>
        <w:t>基金管理人和基金托管人由于各自技术系统设置而产生的净值计算尾差，以基金管理人计算结果为准。</w:t>
      </w:r>
    </w:p>
    <w:p w14:paraId="3328636B" w14:textId="77777777" w:rsidR="00E853FD" w:rsidRDefault="00FE7D53">
      <w:pPr>
        <w:spacing w:line="360" w:lineRule="auto"/>
        <w:ind w:firstLineChars="200" w:firstLine="480"/>
        <w:rPr>
          <w:bCs/>
          <w:sz w:val="24"/>
        </w:rPr>
      </w:pPr>
      <w:r>
        <w:rPr>
          <w:rFonts w:ascii="宋体" w:hAnsi="宋体"/>
          <w:sz w:val="24"/>
          <w:szCs w:val="24"/>
        </w:rPr>
        <w:t>4</w:t>
      </w:r>
      <w:r>
        <w:rPr>
          <w:rFonts w:ascii="宋体"/>
          <w:sz w:val="24"/>
          <w:szCs w:val="24"/>
        </w:rPr>
        <w:t>.</w:t>
      </w:r>
      <w:r>
        <w:rPr>
          <w:rFonts w:ascii="Times New Roman" w:hAnsi="Times New Roman" w:hint="eastAsia"/>
          <w:sz w:val="24"/>
        </w:rPr>
        <w:t>前述内容如法律法规</w:t>
      </w:r>
      <w:r>
        <w:rPr>
          <w:rFonts w:ascii="Times New Roman" w:hAnsi="Times New Roman" w:hint="eastAsia"/>
          <w:bCs/>
          <w:sz w:val="24"/>
          <w:szCs w:val="20"/>
        </w:rPr>
        <w:t>或</w:t>
      </w:r>
      <w:r>
        <w:rPr>
          <w:rFonts w:ascii="Times New Roman" w:hAnsi="Times New Roman" w:hint="eastAsia"/>
          <w:sz w:val="24"/>
        </w:rPr>
        <w:t>监管</w:t>
      </w:r>
      <w:r>
        <w:rPr>
          <w:rFonts w:ascii="Times New Roman" w:hAnsi="Times New Roman" w:hint="eastAsia"/>
          <w:bCs/>
          <w:sz w:val="24"/>
          <w:szCs w:val="20"/>
        </w:rPr>
        <w:t>机关</w:t>
      </w:r>
      <w:r>
        <w:rPr>
          <w:rFonts w:ascii="Times New Roman" w:hAnsi="Times New Roman" w:hint="eastAsia"/>
          <w:sz w:val="24"/>
        </w:rPr>
        <w:t>另有规定的，从其规定</w:t>
      </w:r>
      <w:r>
        <w:rPr>
          <w:rFonts w:ascii="Times New Roman" w:hAnsi="Times New Roman" w:hint="eastAsia"/>
          <w:bCs/>
          <w:sz w:val="24"/>
          <w:szCs w:val="20"/>
        </w:rPr>
        <w:t>处理</w:t>
      </w:r>
      <w:r>
        <w:rPr>
          <w:rFonts w:ascii="Times New Roman" w:hAnsi="Times New Roman" w:hint="eastAsia"/>
          <w:sz w:val="24"/>
        </w:rPr>
        <w:t>。</w:t>
      </w:r>
      <w:r>
        <w:rPr>
          <w:rFonts w:hint="eastAsia"/>
          <w:bCs/>
          <w:sz w:val="24"/>
        </w:rPr>
        <w:t>如果行业另有通行做法，双方当事人应本着平等和保护基金份额持有人利益的原则进行协商。</w:t>
      </w:r>
    </w:p>
    <w:p w14:paraId="2F7ABC31" w14:textId="77777777" w:rsidR="00E853FD" w:rsidRDefault="00FE7D53">
      <w:pPr>
        <w:spacing w:line="360" w:lineRule="auto"/>
        <w:ind w:firstLineChars="200" w:firstLine="480"/>
        <w:rPr>
          <w:rFonts w:ascii="宋体"/>
          <w:sz w:val="24"/>
          <w:szCs w:val="24"/>
        </w:rPr>
      </w:pPr>
      <w:r>
        <w:rPr>
          <w:rFonts w:ascii="宋体" w:hAnsi="宋体" w:hint="eastAsia"/>
          <w:sz w:val="24"/>
          <w:szCs w:val="24"/>
        </w:rPr>
        <w:t>（四）暂停估值与公告基金份额净值的情形</w:t>
      </w:r>
    </w:p>
    <w:p w14:paraId="12925FBF" w14:textId="77777777" w:rsidR="00E853FD" w:rsidRDefault="00FE7D53">
      <w:pPr>
        <w:spacing w:line="360" w:lineRule="auto"/>
        <w:ind w:firstLineChars="200" w:firstLine="480"/>
        <w:rPr>
          <w:rFonts w:ascii="Times New Roman" w:hAnsi="Times New Roman"/>
          <w:sz w:val="24"/>
        </w:rPr>
      </w:pPr>
      <w:r>
        <w:rPr>
          <w:rFonts w:ascii="宋体" w:hAnsi="宋体"/>
          <w:sz w:val="24"/>
          <w:szCs w:val="24"/>
        </w:rPr>
        <w:t>1</w:t>
      </w:r>
      <w:r>
        <w:rPr>
          <w:rFonts w:ascii="宋体"/>
          <w:sz w:val="24"/>
          <w:szCs w:val="24"/>
        </w:rPr>
        <w:t>.</w:t>
      </w:r>
      <w:r>
        <w:rPr>
          <w:rFonts w:ascii="Times New Roman" w:hAnsi="Times New Roman" w:hint="eastAsia"/>
          <w:sz w:val="24"/>
        </w:rPr>
        <w:t>基金投资所涉及的证券</w:t>
      </w:r>
      <w:r>
        <w:rPr>
          <w:rFonts w:ascii="Times New Roman" w:hAnsi="Times New Roman"/>
          <w:bCs/>
          <w:sz w:val="24"/>
          <w:szCs w:val="20"/>
        </w:rPr>
        <w:t>/</w:t>
      </w:r>
      <w:r>
        <w:rPr>
          <w:rFonts w:ascii="Times New Roman" w:hAnsi="Times New Roman" w:hint="eastAsia"/>
          <w:bCs/>
          <w:sz w:val="24"/>
          <w:szCs w:val="20"/>
        </w:rPr>
        <w:t>期货</w:t>
      </w:r>
      <w:r>
        <w:rPr>
          <w:rFonts w:ascii="Times New Roman" w:hAnsi="Times New Roman" w:hint="eastAsia"/>
          <w:sz w:val="24"/>
        </w:rPr>
        <w:t>交易市场遇法定节假日或因其他原因暂停营业时；</w:t>
      </w:r>
    </w:p>
    <w:p w14:paraId="146FE1DB" w14:textId="77777777" w:rsidR="00E853FD" w:rsidRDefault="00FE7D53">
      <w:pPr>
        <w:spacing w:line="360" w:lineRule="auto"/>
        <w:ind w:firstLineChars="200" w:firstLine="480"/>
        <w:rPr>
          <w:rFonts w:ascii="Times New Roman" w:hAnsi="Times New Roman"/>
          <w:sz w:val="24"/>
        </w:rPr>
      </w:pPr>
      <w:r>
        <w:rPr>
          <w:rFonts w:ascii="宋体" w:hAnsi="宋体"/>
          <w:sz w:val="24"/>
          <w:szCs w:val="24"/>
        </w:rPr>
        <w:t>2.</w:t>
      </w:r>
      <w:r>
        <w:rPr>
          <w:rFonts w:ascii="Times New Roman" w:hAnsi="Times New Roman" w:hint="eastAsia"/>
          <w:sz w:val="24"/>
        </w:rPr>
        <w:t>因不可抗力致使基金管理人、基金托管人无法准确评估基金资产价值时；</w:t>
      </w:r>
    </w:p>
    <w:p w14:paraId="23383C44" w14:textId="77777777" w:rsidR="00E853FD" w:rsidRDefault="00FE7D53">
      <w:pPr>
        <w:spacing w:line="360" w:lineRule="auto"/>
        <w:ind w:firstLineChars="200" w:firstLine="480"/>
        <w:rPr>
          <w:rFonts w:ascii="宋体"/>
          <w:sz w:val="24"/>
          <w:szCs w:val="24"/>
        </w:rPr>
      </w:pPr>
      <w:r>
        <w:rPr>
          <w:rFonts w:ascii="宋体" w:hAnsi="宋体"/>
          <w:sz w:val="24"/>
          <w:szCs w:val="24"/>
        </w:rPr>
        <w:t>3</w:t>
      </w:r>
      <w:r>
        <w:rPr>
          <w:rFonts w:ascii="宋体"/>
          <w:sz w:val="24"/>
          <w:szCs w:val="24"/>
        </w:rPr>
        <w:t>.</w:t>
      </w:r>
      <w:r>
        <w:rPr>
          <w:bCs/>
          <w:sz w:val="24"/>
        </w:rPr>
        <w:t xml:space="preserve"> </w:t>
      </w:r>
      <w:r>
        <w:rPr>
          <w:rFonts w:hint="eastAsia"/>
          <w:bCs/>
          <w:sz w:val="24"/>
        </w:rPr>
        <w:t>当前一估值日基金资产净值</w:t>
      </w:r>
      <w:r>
        <w:rPr>
          <w:bCs/>
          <w:sz w:val="24"/>
        </w:rPr>
        <w:t>50%</w:t>
      </w:r>
      <w:r>
        <w:rPr>
          <w:rFonts w:hint="eastAsia"/>
          <w:bCs/>
          <w:sz w:val="24"/>
        </w:rPr>
        <w:t>以上的资产出现无可参考的活跃市场价格且采用估值技术仍导致公允价值存在重大不确定性时，经与基金托管人协商一致的，基金管理人应当暂停估值；</w:t>
      </w:r>
    </w:p>
    <w:p w14:paraId="3F6CCEE6" w14:textId="77777777" w:rsidR="00E853FD" w:rsidRDefault="00FE7D53">
      <w:pPr>
        <w:spacing w:line="360" w:lineRule="auto"/>
        <w:ind w:firstLineChars="200" w:firstLine="480"/>
        <w:rPr>
          <w:rFonts w:ascii="Times New Roman" w:hAnsi="Times New Roman"/>
          <w:sz w:val="24"/>
        </w:rPr>
      </w:pPr>
      <w:r>
        <w:rPr>
          <w:rFonts w:ascii="宋体" w:hAnsi="宋体"/>
          <w:sz w:val="24"/>
          <w:szCs w:val="24"/>
        </w:rPr>
        <w:t>4.</w:t>
      </w:r>
      <w:r>
        <w:rPr>
          <w:rFonts w:ascii="Times New Roman" w:hAnsi="Times New Roman" w:hint="eastAsia"/>
          <w:sz w:val="24"/>
        </w:rPr>
        <w:t>中国证监会和基金合同认定的其它情形。</w:t>
      </w:r>
    </w:p>
    <w:p w14:paraId="4C4A315C"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（五）基金会计制度</w:t>
      </w:r>
    </w:p>
    <w:p w14:paraId="55546E29" w14:textId="77777777" w:rsidR="00E853FD" w:rsidRDefault="00FE7D53">
      <w:pPr>
        <w:spacing w:line="360" w:lineRule="auto"/>
        <w:ind w:firstLineChars="200" w:firstLine="480"/>
        <w:rPr>
          <w:rFonts w:ascii="宋体"/>
          <w:sz w:val="24"/>
          <w:szCs w:val="24"/>
        </w:rPr>
      </w:pPr>
      <w:r>
        <w:rPr>
          <w:rFonts w:ascii="宋体" w:hAnsi="宋体" w:hint="eastAsia"/>
          <w:sz w:val="24"/>
          <w:szCs w:val="24"/>
        </w:rPr>
        <w:t>按国家有关部门规定的会计制度执行。</w:t>
      </w:r>
    </w:p>
    <w:p w14:paraId="23130FA3" w14:textId="77777777" w:rsidR="00E853FD" w:rsidRDefault="00FE7D53">
      <w:pPr>
        <w:spacing w:line="360" w:lineRule="auto"/>
        <w:ind w:firstLineChars="200" w:firstLine="480"/>
        <w:rPr>
          <w:rFonts w:ascii="宋体"/>
          <w:sz w:val="24"/>
          <w:szCs w:val="24"/>
        </w:rPr>
      </w:pPr>
      <w:r>
        <w:rPr>
          <w:rFonts w:ascii="宋体" w:hAnsi="宋体" w:hint="eastAsia"/>
          <w:sz w:val="24"/>
          <w:szCs w:val="24"/>
        </w:rPr>
        <w:t>（六）基金账册的建立</w:t>
      </w:r>
    </w:p>
    <w:p w14:paraId="2D4B938B"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基金管理人进行基金会计核算并编制基金财务会计报告。基金管理人独立地设置、记录和保管本基金的全套账册。若基金管理人和基金托管人对会计处理方</w:t>
      </w:r>
      <w:r>
        <w:rPr>
          <w:rFonts w:ascii="宋体" w:hAnsi="宋体" w:hint="eastAsia"/>
          <w:sz w:val="24"/>
          <w:szCs w:val="24"/>
        </w:rPr>
        <w:lastRenderedPageBreak/>
        <w:t>法存在分歧，应以基金管理人的处理方法为准。若当日核对不符，暂时无法查找到错账的原因而影响到基金资产净值的计算和公告的，以基金管理人的账册为准。</w:t>
      </w:r>
    </w:p>
    <w:p w14:paraId="4767FF3B"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（七）基金财务报表与报告的编制和复核</w:t>
      </w:r>
    </w:p>
    <w:p w14:paraId="7BB75C10" w14:textId="77777777"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．财务报表的编制</w:t>
      </w:r>
    </w:p>
    <w:p w14:paraId="4453C5A7"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基金财务报表由基金管理人编制，基金托管人复核。</w:t>
      </w:r>
    </w:p>
    <w:p w14:paraId="5CD26A9D"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．报表复核</w:t>
      </w:r>
    </w:p>
    <w:p w14:paraId="0F50E5CD"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基金托管人在收到基金管理人编制的基金财务报表后，进行独立的复核。核对不符时，应及时通知基金管理人共同查出原因，进行调整，直至双方数据完全一致。</w:t>
      </w:r>
    </w:p>
    <w:p w14:paraId="2D8C9801" w14:textId="77777777" w:rsidR="00E853FD" w:rsidRDefault="00FE7D53">
      <w:pPr>
        <w:spacing w:line="360" w:lineRule="auto"/>
        <w:ind w:firstLineChars="200" w:firstLine="480"/>
        <w:rPr>
          <w:rFonts w:ascii="宋体"/>
          <w:sz w:val="24"/>
          <w:szCs w:val="24"/>
        </w:rPr>
      </w:pPr>
      <w:r>
        <w:rPr>
          <w:rFonts w:ascii="宋体" w:hAnsi="宋体"/>
          <w:sz w:val="24"/>
          <w:szCs w:val="24"/>
        </w:rPr>
        <w:t>3</w:t>
      </w:r>
      <w:r>
        <w:rPr>
          <w:rFonts w:ascii="宋体" w:hAnsi="宋体" w:hint="eastAsia"/>
          <w:sz w:val="24"/>
          <w:szCs w:val="24"/>
        </w:rPr>
        <w:t>．财务报表的编制与复核时间安排</w:t>
      </w:r>
    </w:p>
    <w:p w14:paraId="05B0307D" w14:textId="77777777" w:rsidR="00E853FD" w:rsidRDefault="00FE7D53">
      <w:pPr>
        <w:spacing w:line="360" w:lineRule="auto"/>
        <w:ind w:firstLineChars="200" w:firstLine="480"/>
        <w:rPr>
          <w:rFonts w:asci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）报表的编制</w:t>
      </w:r>
    </w:p>
    <w:p w14:paraId="5340E1E2" w14:textId="54DC08BF" w:rsidR="00E853FD" w:rsidRDefault="00FE7D53">
      <w:pPr>
        <w:spacing w:line="360" w:lineRule="auto"/>
        <w:ind w:firstLineChars="200" w:firstLine="480"/>
        <w:rPr>
          <w:rFonts w:ascii="宋体"/>
          <w:sz w:val="24"/>
          <w:szCs w:val="24"/>
        </w:rPr>
      </w:pPr>
      <w:r>
        <w:rPr>
          <w:rFonts w:ascii="宋体" w:hAnsi="宋体" w:cs="宋体" w:hint="eastAsia"/>
          <w:color w:val="000000"/>
          <w:sz w:val="24"/>
          <w:szCs w:val="24"/>
        </w:rPr>
        <w:t>基金管理人应当在每月结束后</w:t>
      </w:r>
      <w:r>
        <w:rPr>
          <w:rFonts w:ascii="宋体" w:hAnsi="宋体" w:cs="宋体"/>
          <w:color w:val="000000"/>
          <w:sz w:val="24"/>
          <w:szCs w:val="24"/>
        </w:rPr>
        <w:t>5</w:t>
      </w:r>
      <w:r>
        <w:rPr>
          <w:rFonts w:ascii="宋体" w:hAnsi="宋体" w:cs="宋体" w:hint="eastAsia"/>
          <w:color w:val="000000"/>
          <w:sz w:val="24"/>
          <w:szCs w:val="24"/>
        </w:rPr>
        <w:t>个工作日内完成月度报表的编制；在每个季度结束之日起</w:t>
      </w:r>
      <w:r>
        <w:rPr>
          <w:rFonts w:ascii="宋体" w:hAnsi="宋体" w:cs="宋体"/>
          <w:color w:val="000000"/>
          <w:sz w:val="24"/>
          <w:szCs w:val="24"/>
        </w:rPr>
        <w:t>15</w:t>
      </w:r>
      <w:r>
        <w:rPr>
          <w:rFonts w:ascii="宋体" w:hAnsi="宋体" w:cs="宋体" w:hint="eastAsia"/>
          <w:color w:val="000000"/>
          <w:sz w:val="24"/>
          <w:szCs w:val="24"/>
        </w:rPr>
        <w:t>个工作日内完成基金季度报告的编制并公告；在上半年结束之日起两个月内完成基金中期报告的编制并公告；在每年结束之日起三个月内完成基金年度报告的编制并公告。基金年度报告的财务会计报告应当经过</w:t>
      </w:r>
      <w:r w:rsidR="008F6572">
        <w:rPr>
          <w:rFonts w:hint="eastAsia"/>
          <w:bCs/>
          <w:sz w:val="24"/>
        </w:rPr>
        <w:t>符合《证券法》规定</w:t>
      </w:r>
      <w:r>
        <w:rPr>
          <w:rFonts w:ascii="宋体" w:hAnsi="宋体" w:cs="宋体" w:hint="eastAsia"/>
          <w:bCs/>
          <w:color w:val="000000"/>
          <w:sz w:val="24"/>
          <w:szCs w:val="24"/>
        </w:rPr>
        <w:t>的会计师事务所</w:t>
      </w:r>
      <w:r>
        <w:rPr>
          <w:rFonts w:ascii="宋体" w:hAnsi="宋体" w:cs="宋体" w:hint="eastAsia"/>
          <w:color w:val="000000"/>
          <w:sz w:val="24"/>
          <w:szCs w:val="24"/>
        </w:rPr>
        <w:t>审计。基金合同生效不足两个月的，基金管理人可以不编制当期季度报告、中期报告或者年度报告。</w:t>
      </w:r>
    </w:p>
    <w:p w14:paraId="7B2676F6" w14:textId="77777777" w:rsidR="00E853FD" w:rsidRDefault="00FE7D53">
      <w:pPr>
        <w:spacing w:line="360" w:lineRule="auto"/>
        <w:ind w:firstLineChars="200" w:firstLine="480"/>
        <w:rPr>
          <w:rFonts w:asci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）报表的复核</w:t>
      </w:r>
    </w:p>
    <w:p w14:paraId="0DAEAFBC"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01987639" w14:textId="6131E06C" w:rsidR="00E853FD" w:rsidRDefault="00FE7D53">
      <w:pPr>
        <w:spacing w:line="360" w:lineRule="auto"/>
        <w:ind w:firstLineChars="200" w:firstLine="480"/>
        <w:rPr>
          <w:rFonts w:ascii="宋体" w:hAnsi="宋体"/>
          <w:sz w:val="24"/>
          <w:szCs w:val="24"/>
        </w:rPr>
      </w:pPr>
      <w:r>
        <w:rPr>
          <w:rFonts w:ascii="宋体" w:hAnsi="宋体" w:hint="eastAsia"/>
          <w:sz w:val="24"/>
          <w:szCs w:val="24"/>
        </w:rPr>
        <w:t>基金管理人应留足充分的时间，便于基金托管人复核相关报表及报告。</w:t>
      </w:r>
    </w:p>
    <w:p w14:paraId="12CDC2D3" w14:textId="77777777" w:rsidR="00556ACC" w:rsidRDefault="00556ACC" w:rsidP="00556ACC">
      <w:pPr>
        <w:spacing w:line="360" w:lineRule="auto"/>
        <w:ind w:firstLine="480"/>
        <w:rPr>
          <w:rFonts w:ascii="宋体" w:hAnsi="宋体"/>
          <w:color w:val="000000"/>
          <w:sz w:val="24"/>
          <w:szCs w:val="24"/>
        </w:rPr>
      </w:pPr>
      <w:r>
        <w:rPr>
          <w:rFonts w:ascii="宋体" w:hAnsi="宋体"/>
          <w:color w:val="000000"/>
          <w:sz w:val="24"/>
          <w:szCs w:val="24"/>
        </w:rPr>
        <w:t>（八）本基金实施侧袋机制的，应根据本部分的约定对主袋账户资产进行估值并披露主袋账户的</w:t>
      </w:r>
      <w:r>
        <w:rPr>
          <w:rFonts w:ascii="宋体" w:hAnsi="宋体" w:hint="eastAsia"/>
          <w:sz w:val="24"/>
        </w:rPr>
        <w:t>基金净值信息</w:t>
      </w:r>
      <w:r>
        <w:rPr>
          <w:rFonts w:ascii="宋体" w:hAnsi="宋体"/>
          <w:color w:val="000000"/>
          <w:sz w:val="24"/>
          <w:szCs w:val="24"/>
        </w:rPr>
        <w:t>，暂停披露侧袋账户份额净值。</w:t>
      </w:r>
    </w:p>
    <w:p w14:paraId="517B8A31" w14:textId="77777777" w:rsidR="00556ACC" w:rsidRPr="00556ACC" w:rsidRDefault="00556ACC">
      <w:pPr>
        <w:spacing w:line="360" w:lineRule="auto"/>
        <w:ind w:firstLineChars="200" w:firstLine="480"/>
        <w:rPr>
          <w:rFonts w:ascii="宋体"/>
          <w:sz w:val="24"/>
          <w:szCs w:val="24"/>
        </w:rPr>
      </w:pPr>
    </w:p>
    <w:p w14:paraId="50FC21A7" w14:textId="77777777" w:rsidR="00E853FD" w:rsidRDefault="00FE7D53">
      <w:pPr>
        <w:spacing w:afterLines="100" w:after="312" w:line="360" w:lineRule="auto"/>
        <w:jc w:val="center"/>
        <w:outlineLvl w:val="0"/>
        <w:rPr>
          <w:b/>
          <w:sz w:val="30"/>
          <w:szCs w:val="30"/>
        </w:rPr>
      </w:pPr>
      <w:r>
        <w:rPr>
          <w:rFonts w:ascii="宋体"/>
          <w:sz w:val="24"/>
          <w:szCs w:val="24"/>
        </w:rPr>
        <w:br w:type="page"/>
      </w:r>
      <w:bookmarkStart w:id="17" w:name="_Toc440289538"/>
      <w:r>
        <w:rPr>
          <w:rFonts w:hint="eastAsia"/>
          <w:b/>
          <w:sz w:val="30"/>
          <w:szCs w:val="30"/>
        </w:rPr>
        <w:lastRenderedPageBreak/>
        <w:t>九、基金收益分配</w:t>
      </w:r>
      <w:bookmarkEnd w:id="17"/>
    </w:p>
    <w:p w14:paraId="73A3DF4E"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基金收益分配是指按规定将基金的可分配收益按基金份额进行比例分配。</w:t>
      </w:r>
    </w:p>
    <w:p w14:paraId="70BA9E42"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（一）基金收益分配的原则</w:t>
      </w:r>
    </w:p>
    <w:p w14:paraId="42562B9C"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基金收益分配应遵循下列原则：</w:t>
      </w:r>
    </w:p>
    <w:p w14:paraId="069BDE2A" w14:textId="77777777" w:rsidR="008F7FB7" w:rsidRPr="008F7FB7" w:rsidRDefault="00FE7D53" w:rsidP="008F7FB7">
      <w:pPr>
        <w:spacing w:line="360" w:lineRule="auto"/>
        <w:ind w:firstLineChars="200" w:firstLine="480"/>
        <w:rPr>
          <w:rFonts w:ascii="宋体" w:hAnsi="宋体"/>
          <w:sz w:val="24"/>
          <w:szCs w:val="24"/>
        </w:rPr>
      </w:pPr>
      <w:r>
        <w:rPr>
          <w:rFonts w:ascii="宋体" w:hAnsi="宋体"/>
          <w:sz w:val="24"/>
          <w:szCs w:val="24"/>
        </w:rPr>
        <w:t>1</w:t>
      </w:r>
      <w:r w:rsidR="008F7FB7" w:rsidRPr="008F7FB7">
        <w:rPr>
          <w:rFonts w:ascii="宋体" w:hAnsi="宋体" w:hint="eastAsia"/>
          <w:sz w:val="24"/>
          <w:szCs w:val="24"/>
        </w:rPr>
        <w:t>、在符合有关基金分红条件的前提下，基金管理人可以根据实际情况进行收益分配，具体分配方案以公告为准。若《基金合同》生效不满3个月可不进行收益分配；</w:t>
      </w:r>
    </w:p>
    <w:p w14:paraId="24A6A9C1" w14:textId="77777777" w:rsidR="008F7FB7" w:rsidRPr="008F7FB7" w:rsidRDefault="008F7FB7" w:rsidP="008F7FB7">
      <w:pPr>
        <w:spacing w:line="360" w:lineRule="auto"/>
        <w:ind w:firstLineChars="200" w:firstLine="480"/>
        <w:rPr>
          <w:rFonts w:ascii="宋体" w:hAnsi="宋体"/>
          <w:sz w:val="24"/>
          <w:szCs w:val="24"/>
        </w:rPr>
      </w:pPr>
      <w:r w:rsidRPr="008F7FB7">
        <w:rPr>
          <w:rFonts w:ascii="宋体" w:hAnsi="宋体" w:hint="eastAsia"/>
          <w:sz w:val="24"/>
          <w:szCs w:val="24"/>
        </w:rPr>
        <w:t>2、本基金收益分配方式分两种：现金分红与红利再投资，投资者可选择现金红利或将现金红利自动转为对应类别的基金份额进行再投资；若投资者不选择，本基金默认的收益分配方式是现金分红；</w:t>
      </w:r>
    </w:p>
    <w:p w14:paraId="28CB294E" w14:textId="77777777" w:rsidR="008F7FB7" w:rsidRPr="008F7FB7" w:rsidRDefault="008F7FB7" w:rsidP="008F7FB7">
      <w:pPr>
        <w:spacing w:line="360" w:lineRule="auto"/>
        <w:ind w:firstLineChars="200" w:firstLine="480"/>
        <w:rPr>
          <w:rFonts w:ascii="宋体" w:hAnsi="宋体"/>
          <w:sz w:val="24"/>
          <w:szCs w:val="24"/>
        </w:rPr>
      </w:pPr>
      <w:r w:rsidRPr="008F7FB7">
        <w:rPr>
          <w:rFonts w:ascii="宋体" w:hAnsi="宋体" w:hint="eastAsia"/>
          <w:sz w:val="24"/>
          <w:szCs w:val="24"/>
        </w:rPr>
        <w:t>3、基金收益分配后各类基金份额净值不能低于面值；即基金收益分配基准日的各类基金份额净值减去该类每单位基金份额收益分配金额后不能低于面值；</w:t>
      </w:r>
    </w:p>
    <w:p w14:paraId="14FC6729" w14:textId="77777777" w:rsidR="008F7FB7" w:rsidRPr="008F7FB7" w:rsidRDefault="008F7FB7" w:rsidP="008F7FB7">
      <w:pPr>
        <w:spacing w:line="360" w:lineRule="auto"/>
        <w:ind w:firstLineChars="200" w:firstLine="480"/>
        <w:rPr>
          <w:rFonts w:ascii="宋体" w:hAnsi="宋体"/>
          <w:sz w:val="24"/>
          <w:szCs w:val="24"/>
        </w:rPr>
      </w:pPr>
      <w:r w:rsidRPr="008F7FB7">
        <w:rPr>
          <w:rFonts w:ascii="宋体" w:hAnsi="宋体" w:hint="eastAsia"/>
          <w:sz w:val="24"/>
          <w:szCs w:val="24"/>
        </w:rPr>
        <w:t>4、由于本基金A类基金份额和C类基金份额费用收取不同，不同类别基金份额对应的可供分配收益将有所不同，基金管理人可对各类别基金份额分别制定收益分配方案。本基金同一类别的每一基金份额享有同等分配权；</w:t>
      </w:r>
    </w:p>
    <w:p w14:paraId="1A584B09" w14:textId="36D17C6B" w:rsidR="00E853FD" w:rsidRDefault="008F7FB7" w:rsidP="008F7FB7">
      <w:pPr>
        <w:spacing w:line="360" w:lineRule="auto"/>
        <w:ind w:firstLineChars="200" w:firstLine="480"/>
        <w:rPr>
          <w:rFonts w:ascii="宋体"/>
          <w:sz w:val="24"/>
          <w:szCs w:val="24"/>
        </w:rPr>
      </w:pPr>
      <w:r w:rsidRPr="008F7FB7">
        <w:rPr>
          <w:rFonts w:ascii="宋体" w:hAnsi="宋体" w:hint="eastAsia"/>
          <w:sz w:val="24"/>
          <w:szCs w:val="24"/>
        </w:rPr>
        <w:t>5、法律法规或监管机关另有规定的，从其规定</w:t>
      </w:r>
      <w:r w:rsidR="00FE7D53">
        <w:rPr>
          <w:rFonts w:ascii="宋体" w:hAnsi="宋体" w:hint="eastAsia"/>
          <w:sz w:val="24"/>
          <w:szCs w:val="24"/>
        </w:rPr>
        <w:t>。</w:t>
      </w:r>
    </w:p>
    <w:p w14:paraId="48434B72" w14:textId="7327A595" w:rsidR="00E853FD" w:rsidRDefault="008F7FB7">
      <w:pPr>
        <w:spacing w:line="360" w:lineRule="auto"/>
        <w:ind w:firstLineChars="200" w:firstLine="480"/>
        <w:rPr>
          <w:rFonts w:ascii="宋体"/>
          <w:sz w:val="24"/>
          <w:szCs w:val="24"/>
        </w:rPr>
      </w:pPr>
      <w:r w:rsidRPr="008F7FB7">
        <w:rPr>
          <w:rFonts w:ascii="宋体" w:hAnsi="宋体" w:hint="eastAsia"/>
          <w:sz w:val="24"/>
          <w:szCs w:val="24"/>
        </w:rPr>
        <w:t>在符合法律法规及基金合同约定，并对基金份额持有人利益无实质性不利影响的前提下，经与基金托管人协商一致并履行适当程序后，基金管理人可对基金收益分配原则和支付方式进行调整</w:t>
      </w:r>
      <w:r w:rsidR="00FE7D53">
        <w:rPr>
          <w:rFonts w:hint="eastAsia"/>
          <w:bCs/>
          <w:sz w:val="24"/>
        </w:rPr>
        <w:t>。</w:t>
      </w:r>
    </w:p>
    <w:p w14:paraId="58B23093" w14:textId="77777777" w:rsidR="00E853FD" w:rsidRDefault="00FE7D53">
      <w:pPr>
        <w:spacing w:line="360" w:lineRule="auto"/>
        <w:ind w:firstLineChars="200" w:firstLine="480"/>
        <w:rPr>
          <w:rFonts w:ascii="宋体" w:cs="宋体"/>
          <w:sz w:val="24"/>
          <w:szCs w:val="24"/>
        </w:rPr>
      </w:pPr>
      <w:r>
        <w:rPr>
          <w:rFonts w:ascii="宋体" w:hAnsi="宋体" w:cs="宋体" w:hint="eastAsia"/>
          <w:sz w:val="24"/>
          <w:szCs w:val="24"/>
        </w:rPr>
        <w:t>（二）基金收益分配方案的制定和实施程序</w:t>
      </w:r>
    </w:p>
    <w:p w14:paraId="46FE6147" w14:textId="53083BE4" w:rsidR="00E853FD" w:rsidRDefault="00FE7D53">
      <w:pPr>
        <w:spacing w:line="360" w:lineRule="auto"/>
        <w:ind w:firstLineChars="200" w:firstLine="480"/>
        <w:rPr>
          <w:rFonts w:ascii="宋体" w:cs="宋体"/>
          <w:sz w:val="24"/>
          <w:szCs w:val="24"/>
        </w:rPr>
      </w:pPr>
      <w:r>
        <w:rPr>
          <w:rFonts w:ascii="宋体" w:hAnsi="宋体" w:cs="宋体" w:hint="eastAsia"/>
          <w:sz w:val="24"/>
          <w:szCs w:val="24"/>
        </w:rPr>
        <w:t>本基金收益分配方案由基金管理人拟定，并由基金托管人复核，依照《信息披露办法》的有关规定在</w:t>
      </w:r>
      <w:r w:rsidR="00C91B0E">
        <w:rPr>
          <w:rFonts w:ascii="宋体" w:hAnsi="宋体" w:cs="宋体" w:hint="eastAsia"/>
          <w:sz w:val="24"/>
          <w:szCs w:val="24"/>
        </w:rPr>
        <w:t>规定媒介</w:t>
      </w:r>
      <w:r>
        <w:rPr>
          <w:rFonts w:ascii="宋体" w:hAnsi="宋体" w:cs="宋体" w:hint="eastAsia"/>
          <w:sz w:val="24"/>
          <w:szCs w:val="24"/>
        </w:rPr>
        <w:t>公告。</w:t>
      </w:r>
    </w:p>
    <w:p w14:paraId="27E6AD85" w14:textId="705026FC" w:rsidR="00E853FD" w:rsidRDefault="00FE7D53">
      <w:pPr>
        <w:spacing w:line="360" w:lineRule="auto"/>
        <w:ind w:firstLineChars="200" w:firstLine="480"/>
        <w:rPr>
          <w:rFonts w:ascii="宋体" w:hAnsi="宋体" w:cs="宋体"/>
          <w:sz w:val="24"/>
          <w:szCs w:val="24"/>
        </w:rPr>
      </w:pPr>
      <w:r>
        <w:rPr>
          <w:rFonts w:ascii="宋体" w:hAnsi="宋体" w:cs="宋体" w:hint="eastAsia"/>
          <w:sz w:val="24"/>
          <w:szCs w:val="24"/>
        </w:rPr>
        <w:t>基金管理人向基金托管人下达收益分配的付款指令，基金托管人按指令将收益分配的全部资金划入基金管理人的指定账户。</w:t>
      </w:r>
    </w:p>
    <w:p w14:paraId="7AC9126C" w14:textId="77777777" w:rsidR="00F56537" w:rsidRDefault="00F56537" w:rsidP="00F56537">
      <w:pPr>
        <w:snapToGrid w:val="0"/>
        <w:spacing w:line="360" w:lineRule="auto"/>
        <w:ind w:left="426"/>
        <w:rPr>
          <w:rStyle w:val="read"/>
          <w:rFonts w:ascii="宋体" w:hAnsi="宋体"/>
          <w:sz w:val="24"/>
        </w:rPr>
      </w:pPr>
      <w:r>
        <w:rPr>
          <w:rStyle w:val="read"/>
          <w:rFonts w:ascii="宋体" w:hAnsi="宋体" w:hint="eastAsia"/>
          <w:sz w:val="24"/>
        </w:rPr>
        <w:t>（三）实施侧袋机制期间的收益分配</w:t>
      </w:r>
    </w:p>
    <w:p w14:paraId="0ED4B325" w14:textId="77777777" w:rsidR="00F56537" w:rsidRDefault="00F56537" w:rsidP="00F56537">
      <w:pPr>
        <w:snapToGrid w:val="0"/>
        <w:spacing w:line="360" w:lineRule="auto"/>
        <w:ind w:left="426"/>
        <w:rPr>
          <w:rStyle w:val="read"/>
          <w:rFonts w:ascii="宋体" w:hAnsi="宋体"/>
          <w:sz w:val="24"/>
        </w:rPr>
      </w:pPr>
      <w:r>
        <w:rPr>
          <w:rStyle w:val="read"/>
          <w:rFonts w:ascii="宋体" w:hAnsi="宋体" w:hint="eastAsia"/>
          <w:sz w:val="24"/>
        </w:rPr>
        <w:t>本基金实施侧袋机制的，侧袋账户不进行收益分配。</w:t>
      </w:r>
    </w:p>
    <w:p w14:paraId="4DF490D9" w14:textId="77777777" w:rsidR="00F56537" w:rsidRPr="00F56537" w:rsidRDefault="00F56537">
      <w:pPr>
        <w:spacing w:line="360" w:lineRule="auto"/>
        <w:ind w:firstLineChars="200" w:firstLine="480"/>
        <w:rPr>
          <w:rFonts w:ascii="宋体"/>
          <w:sz w:val="24"/>
          <w:szCs w:val="24"/>
        </w:rPr>
      </w:pPr>
    </w:p>
    <w:p w14:paraId="579BA128" w14:textId="77777777" w:rsidR="00E853FD" w:rsidRDefault="00FE7D53">
      <w:pPr>
        <w:spacing w:afterLines="100" w:after="312" w:line="360" w:lineRule="auto"/>
        <w:jc w:val="center"/>
        <w:outlineLvl w:val="0"/>
        <w:rPr>
          <w:b/>
          <w:sz w:val="30"/>
          <w:szCs w:val="30"/>
        </w:rPr>
      </w:pPr>
      <w:r>
        <w:rPr>
          <w:rFonts w:ascii="宋体"/>
          <w:szCs w:val="21"/>
        </w:rPr>
        <w:br w:type="page"/>
      </w:r>
      <w:bookmarkStart w:id="18" w:name="_Toc440289539"/>
      <w:r>
        <w:rPr>
          <w:rFonts w:hint="eastAsia"/>
          <w:b/>
          <w:sz w:val="30"/>
          <w:szCs w:val="30"/>
        </w:rPr>
        <w:lastRenderedPageBreak/>
        <w:t>十、基金信息披露</w:t>
      </w:r>
      <w:bookmarkEnd w:id="18"/>
    </w:p>
    <w:p w14:paraId="08824D35"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（一）保密义务</w:t>
      </w:r>
    </w:p>
    <w:p w14:paraId="09D89D49"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5616A161" w14:textId="77777777"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．非因基金管理人和基金托管人的原因导致保密信息被披露、泄露或公开；</w:t>
      </w:r>
    </w:p>
    <w:p w14:paraId="3D39F85B"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．基金管理人和基金托管人为遵守和服从法院判决或裁定、仲裁裁决或中国证监会等监管机构的命令、决定所做出的信息披露或公开。</w:t>
      </w:r>
    </w:p>
    <w:p w14:paraId="73F98708"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（二）信息披露的内容</w:t>
      </w:r>
    </w:p>
    <w:p w14:paraId="46BE4527" w14:textId="3F487F42" w:rsidR="00E853FD" w:rsidRDefault="00FE7D53">
      <w:pPr>
        <w:spacing w:line="360" w:lineRule="auto"/>
        <w:ind w:firstLineChars="200" w:firstLine="480"/>
        <w:rPr>
          <w:rFonts w:ascii="宋体"/>
          <w:sz w:val="24"/>
          <w:szCs w:val="24"/>
        </w:rPr>
      </w:pPr>
      <w:r>
        <w:rPr>
          <w:rFonts w:ascii="宋体" w:hAnsi="宋体" w:hint="eastAsia"/>
          <w:sz w:val="24"/>
          <w:szCs w:val="24"/>
        </w:rPr>
        <w:t>基金的信息披露内容主要包括基金招募说明书、基金合同、托管协议、基金份额发售公告、基金合同生效公告、基金净值信息、基金份额申购、赎回价格、基金定期报告（包括基金年度报告、基金中期报告和基金季度报告）、临时报告、澄清公告、基金产品资料概要、基金清算报告、基金份额持有人大会决议、</w:t>
      </w:r>
      <w:r w:rsidR="003F5406" w:rsidRPr="003F5406">
        <w:rPr>
          <w:rFonts w:ascii="宋体" w:hAnsi="宋体" w:hint="eastAsia"/>
          <w:sz w:val="24"/>
          <w:szCs w:val="24"/>
        </w:rPr>
        <w:t>实施侧袋机制期间的信息披露</w:t>
      </w:r>
      <w:r>
        <w:rPr>
          <w:rFonts w:ascii="宋体" w:hAnsi="宋体" w:hint="eastAsia"/>
          <w:sz w:val="24"/>
          <w:szCs w:val="24"/>
        </w:rPr>
        <w:t>及中国证监会规定的其他信息。基金年度报告中的财务会计报告需经</w:t>
      </w:r>
      <w:r w:rsidR="008F6572">
        <w:rPr>
          <w:rFonts w:hint="eastAsia"/>
          <w:bCs/>
          <w:sz w:val="24"/>
        </w:rPr>
        <w:t>符合《证券法》规定</w:t>
      </w:r>
      <w:r>
        <w:rPr>
          <w:rFonts w:ascii="宋体" w:hAnsi="宋体" w:hint="eastAsia"/>
          <w:sz w:val="24"/>
          <w:szCs w:val="24"/>
        </w:rPr>
        <w:t>的会计师事务所审计后，方可披露。</w:t>
      </w:r>
    </w:p>
    <w:p w14:paraId="0C6FBDC4"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（三）基金托管人和基金管理人在信息披露中的职责和信息披露程序</w:t>
      </w:r>
    </w:p>
    <w:p w14:paraId="35CFBE74" w14:textId="77777777"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．职责</w:t>
      </w:r>
    </w:p>
    <w:p w14:paraId="7DCA2F18"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本章第（二）条规定的应由基金托管人复核的事项进行复核，基金托管人复核无误后，由基金管理人予以公布。</w:t>
      </w:r>
    </w:p>
    <w:p w14:paraId="507DAC72" w14:textId="77777777" w:rsidR="00E853FD" w:rsidRDefault="00FE7D53">
      <w:pPr>
        <w:spacing w:line="360" w:lineRule="auto"/>
        <w:ind w:firstLineChars="200" w:firstLine="480"/>
        <w:rPr>
          <w:rFonts w:ascii="宋体"/>
          <w:sz w:val="24"/>
          <w:szCs w:val="24"/>
        </w:rPr>
      </w:pPr>
      <w:r>
        <w:rPr>
          <w:rFonts w:ascii="宋体" w:hAnsi="宋体" w:hint="eastAsia"/>
          <w:sz w:val="24"/>
          <w:szCs w:val="24"/>
        </w:rPr>
        <w:t>对于不需要基金托管人（或基金管理人）复核的信息，基金管理人（或基金托管人）在公告前应告知基金托管人（或基金管理人）。</w:t>
      </w:r>
    </w:p>
    <w:p w14:paraId="004D6DA8"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基金管理人和基金托管人应积极配合、互相监督，保证按照法定方式和时限履行信息披露义务。</w:t>
      </w:r>
    </w:p>
    <w:p w14:paraId="35746A26" w14:textId="5B46EE9A" w:rsidR="00E853FD" w:rsidRDefault="00FE7D53">
      <w:pPr>
        <w:spacing w:line="360" w:lineRule="auto"/>
        <w:ind w:firstLineChars="200" w:firstLine="480"/>
        <w:rPr>
          <w:rFonts w:ascii="宋体"/>
          <w:sz w:val="24"/>
          <w:szCs w:val="24"/>
        </w:rPr>
      </w:pPr>
      <w:r>
        <w:rPr>
          <w:rFonts w:ascii="宋体" w:hAnsi="宋体" w:hint="eastAsia"/>
          <w:sz w:val="24"/>
          <w:szCs w:val="24"/>
        </w:rPr>
        <w:lastRenderedPageBreak/>
        <w:t>基金管理人应当在中国证监会规定的时间内，将应予披露的基金信息通过中国证监会</w:t>
      </w:r>
      <w:r w:rsidR="00C91B0E">
        <w:rPr>
          <w:rFonts w:ascii="宋体" w:hAnsi="宋体" w:hint="eastAsia"/>
          <w:sz w:val="24"/>
          <w:szCs w:val="24"/>
        </w:rPr>
        <w:t>规定媒介</w:t>
      </w:r>
      <w:r>
        <w:rPr>
          <w:rFonts w:ascii="宋体" w:hAnsi="宋体" w:hint="eastAsia"/>
          <w:sz w:val="24"/>
          <w:szCs w:val="24"/>
        </w:rPr>
        <w:t>披露。根据法律法规应由基金托管人公开披露的信息，基金托管人将根据《信息披露办法》的规定进行公开披露。</w:t>
      </w:r>
    </w:p>
    <w:p w14:paraId="4E18FC69" w14:textId="77777777" w:rsidR="00E853FD" w:rsidRDefault="00FE7D53">
      <w:pPr>
        <w:spacing w:line="360" w:lineRule="auto"/>
        <w:ind w:firstLineChars="200" w:firstLine="480"/>
        <w:rPr>
          <w:rFonts w:ascii="宋体"/>
          <w:sz w:val="24"/>
          <w:szCs w:val="24"/>
        </w:rPr>
      </w:pPr>
      <w:r>
        <w:rPr>
          <w:rFonts w:ascii="宋体" w:hAnsi="宋体" w:hint="eastAsia"/>
          <w:sz w:val="24"/>
          <w:szCs w:val="24"/>
        </w:rPr>
        <w:t>当出现下述情况时，基金管理人和基金托管人可暂停或延迟披露基金相关信息：</w:t>
      </w:r>
    </w:p>
    <w:p w14:paraId="2F9830BF" w14:textId="77777777" w:rsidR="00E853FD" w:rsidRDefault="00FE7D53">
      <w:pPr>
        <w:spacing w:line="360" w:lineRule="auto"/>
        <w:ind w:firstLineChars="200" w:firstLine="480"/>
        <w:rPr>
          <w:rFonts w:asci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）基金投资所涉及的证券</w:t>
      </w:r>
      <w:r>
        <w:rPr>
          <w:rFonts w:ascii="Times New Roman" w:hAnsi="Times New Roman"/>
          <w:bCs/>
          <w:sz w:val="24"/>
          <w:szCs w:val="20"/>
        </w:rPr>
        <w:t>/</w:t>
      </w:r>
      <w:r>
        <w:rPr>
          <w:rFonts w:ascii="Times New Roman" w:hAnsi="Times New Roman" w:hint="eastAsia"/>
          <w:bCs/>
          <w:sz w:val="24"/>
          <w:szCs w:val="20"/>
        </w:rPr>
        <w:t>期货</w:t>
      </w:r>
      <w:r>
        <w:rPr>
          <w:rFonts w:ascii="宋体" w:hAnsi="宋体" w:hint="eastAsia"/>
          <w:sz w:val="24"/>
          <w:szCs w:val="24"/>
        </w:rPr>
        <w:t>交易所遇法定节假日或因其他原因暂停营业时；</w:t>
      </w:r>
    </w:p>
    <w:p w14:paraId="7C92D8BD" w14:textId="77777777" w:rsidR="00E853FD" w:rsidRDefault="00FE7D53">
      <w:pPr>
        <w:spacing w:line="360" w:lineRule="auto"/>
        <w:ind w:firstLineChars="200" w:firstLine="480"/>
        <w:rPr>
          <w:rFonts w:asci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）因不可抗力致使基金管理人、基金托管人无法准确评估基金资产价值时；</w:t>
      </w:r>
    </w:p>
    <w:p w14:paraId="2891C432" w14:textId="77777777" w:rsidR="00E853FD" w:rsidRDefault="00FE7D53">
      <w:pPr>
        <w:spacing w:line="360" w:lineRule="auto"/>
        <w:ind w:firstLineChars="200" w:firstLine="480"/>
        <w:rPr>
          <w:rFonts w:asci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）法律法规、基金合同或中国证监会规定的情况。</w:t>
      </w:r>
    </w:p>
    <w:p w14:paraId="7B207D9D"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．程序</w:t>
      </w:r>
    </w:p>
    <w:p w14:paraId="287FECDE" w14:textId="77777777" w:rsidR="00E853FD" w:rsidRDefault="00FE7D53">
      <w:pPr>
        <w:spacing w:line="360" w:lineRule="auto"/>
        <w:ind w:firstLineChars="200" w:firstLine="480"/>
        <w:rPr>
          <w:rFonts w:ascii="宋体"/>
          <w:sz w:val="24"/>
          <w:szCs w:val="24"/>
        </w:rPr>
      </w:pPr>
      <w:r>
        <w:rPr>
          <w:rFonts w:ascii="宋体" w:hAnsi="宋体" w:hint="eastAsia"/>
          <w:sz w:val="24"/>
          <w:szCs w:val="24"/>
        </w:rPr>
        <w:t>按有关规定须经基金托管人复核的信息披露文件，由基金管理人起草、并经基金托管人复核后由基金管理人公告。发生基金合同中规定需要披露的事项时，按基金合同规定公布。</w:t>
      </w:r>
    </w:p>
    <w:p w14:paraId="4EAECBCD" w14:textId="77777777" w:rsidR="00E853FD" w:rsidRDefault="00FE7D53">
      <w:pPr>
        <w:spacing w:line="360" w:lineRule="auto"/>
        <w:ind w:firstLineChars="200" w:firstLine="480"/>
        <w:rPr>
          <w:rFonts w:ascii="宋体"/>
          <w:sz w:val="24"/>
          <w:szCs w:val="24"/>
        </w:rPr>
      </w:pPr>
      <w:r>
        <w:rPr>
          <w:rFonts w:ascii="宋体" w:hAnsi="宋体"/>
          <w:sz w:val="24"/>
          <w:szCs w:val="24"/>
        </w:rPr>
        <w:t>3</w:t>
      </w:r>
      <w:r>
        <w:rPr>
          <w:rFonts w:ascii="宋体" w:hAnsi="宋体" w:hint="eastAsia"/>
          <w:sz w:val="24"/>
          <w:szCs w:val="24"/>
        </w:rPr>
        <w:t>．信息文本的存放</w:t>
      </w:r>
    </w:p>
    <w:p w14:paraId="22CD586F" w14:textId="77777777" w:rsidR="00E853FD" w:rsidRDefault="00FE7D53">
      <w:pPr>
        <w:spacing w:line="360" w:lineRule="auto"/>
        <w:ind w:firstLineChars="200" w:firstLine="480"/>
        <w:rPr>
          <w:rFonts w:ascii="宋体"/>
          <w:sz w:val="24"/>
          <w:szCs w:val="24"/>
        </w:rPr>
      </w:pPr>
      <w:r>
        <w:rPr>
          <w:rFonts w:ascii="宋体" w:hAnsi="宋体" w:cs="宋体" w:hint="eastAsia"/>
          <w:color w:val="000000"/>
          <w:sz w:val="24"/>
          <w:szCs w:val="24"/>
        </w:rPr>
        <w:t>依法必须披露的信息发布后，基金管理人、基金托管人应当按照相关法律法规规定将信息置备于各自住所，供社会公众查阅、复制。基金管理人和基金托管人应保证文本的内容与所公告的内容完全一致。</w:t>
      </w:r>
    </w:p>
    <w:p w14:paraId="3AC64F73" w14:textId="77777777" w:rsidR="00E853FD" w:rsidRDefault="00FE7D53">
      <w:pPr>
        <w:spacing w:afterLines="100" w:after="312" w:line="360" w:lineRule="auto"/>
        <w:jc w:val="center"/>
        <w:outlineLvl w:val="0"/>
      </w:pPr>
      <w:r>
        <w:rPr>
          <w:rFonts w:ascii="宋体" w:hAnsi="宋体"/>
          <w:sz w:val="24"/>
          <w:szCs w:val="24"/>
        </w:rPr>
        <w:t xml:space="preserve"> </w:t>
      </w:r>
      <w:r>
        <w:rPr>
          <w:rFonts w:ascii="宋体" w:hAnsi="宋体"/>
          <w:sz w:val="24"/>
          <w:szCs w:val="24"/>
        </w:rPr>
        <w:br w:type="page"/>
      </w:r>
      <w:bookmarkStart w:id="19" w:name="_Toc440289540"/>
      <w:bookmarkStart w:id="20" w:name="_Toc440289541"/>
      <w:r>
        <w:rPr>
          <w:rFonts w:hint="eastAsia"/>
          <w:b/>
          <w:sz w:val="30"/>
          <w:szCs w:val="30"/>
        </w:rPr>
        <w:lastRenderedPageBreak/>
        <w:t>十一、基金费用</w:t>
      </w:r>
      <w:bookmarkEnd w:id="19"/>
      <w:bookmarkEnd w:id="20"/>
    </w:p>
    <w:p w14:paraId="64E2C04C"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（一）基金管理费的计提比例和计提方法</w:t>
      </w:r>
    </w:p>
    <w:p w14:paraId="69F8156C" w14:textId="4B3C6BCD" w:rsidR="00E853FD" w:rsidRDefault="00FE7D53">
      <w:pPr>
        <w:spacing w:line="360" w:lineRule="auto"/>
        <w:ind w:firstLineChars="200" w:firstLine="480"/>
        <w:rPr>
          <w:rFonts w:ascii="Times New Roman" w:hAnsi="Times New Roman"/>
          <w:sz w:val="24"/>
        </w:rPr>
      </w:pPr>
      <w:r>
        <w:rPr>
          <w:rFonts w:ascii="Times New Roman" w:hAnsi="Times New Roman" w:hint="eastAsia"/>
          <w:sz w:val="24"/>
        </w:rPr>
        <w:t>本基金的管理费按前一日基金资产净</w:t>
      </w:r>
      <w:r>
        <w:rPr>
          <w:rFonts w:ascii="宋体" w:hAnsi="宋体" w:hint="eastAsia"/>
          <w:sz w:val="24"/>
        </w:rPr>
        <w:t>值的</w:t>
      </w:r>
      <w:r w:rsidR="00F678EC" w:rsidRPr="00F678EC">
        <w:rPr>
          <w:rFonts w:ascii="宋体"/>
          <w:sz w:val="24"/>
        </w:rPr>
        <w:t>0.70</w:t>
      </w:r>
      <w:r>
        <w:rPr>
          <w:rFonts w:ascii="宋体" w:hAnsi="宋体"/>
          <w:sz w:val="24"/>
        </w:rPr>
        <w:t>%</w:t>
      </w:r>
      <w:r>
        <w:rPr>
          <w:rFonts w:ascii="宋体" w:hAnsi="宋体" w:hint="eastAsia"/>
          <w:sz w:val="24"/>
        </w:rPr>
        <w:t>年费</w:t>
      </w:r>
      <w:r>
        <w:rPr>
          <w:rFonts w:ascii="Times New Roman" w:hAnsi="Times New Roman" w:hint="eastAsia"/>
          <w:sz w:val="24"/>
        </w:rPr>
        <w:t>率计提。管理费的计算方法如下：</w:t>
      </w:r>
    </w:p>
    <w:p w14:paraId="6D5ACD10" w14:textId="680079DA" w:rsidR="00E853FD" w:rsidRDefault="00FE7D53">
      <w:pPr>
        <w:spacing w:line="360" w:lineRule="auto"/>
        <w:ind w:firstLineChars="200" w:firstLine="480"/>
        <w:rPr>
          <w:rFonts w:ascii="Times New Roman" w:hAnsi="Times New Roman"/>
          <w:sz w:val="24"/>
        </w:rPr>
      </w:pPr>
      <w:r>
        <w:rPr>
          <w:rFonts w:ascii="Times New Roman" w:hAnsi="Times New Roman"/>
          <w:sz w:val="24"/>
        </w:rPr>
        <w:t>H</w:t>
      </w:r>
      <w:r>
        <w:rPr>
          <w:rFonts w:ascii="Times New Roman" w:hAnsi="Times New Roman" w:hint="eastAsia"/>
          <w:sz w:val="24"/>
        </w:rPr>
        <w:t>＝</w:t>
      </w:r>
      <w:r>
        <w:rPr>
          <w:rFonts w:ascii="Times New Roman" w:hAnsi="Times New Roman"/>
          <w:sz w:val="24"/>
        </w:rPr>
        <w:t>E</w:t>
      </w:r>
      <w:r>
        <w:rPr>
          <w:rFonts w:ascii="宋体" w:hint="eastAsia"/>
          <w:sz w:val="24"/>
        </w:rPr>
        <w:t>×</w:t>
      </w:r>
      <w:r w:rsidR="00F678EC" w:rsidRPr="00F678EC">
        <w:rPr>
          <w:rFonts w:ascii="宋体"/>
          <w:sz w:val="24"/>
        </w:rPr>
        <w:t>0.70</w:t>
      </w:r>
      <w:r>
        <w:rPr>
          <w:rFonts w:ascii="宋体" w:hAnsi="宋体"/>
          <w:sz w:val="24"/>
        </w:rPr>
        <w:t>%</w:t>
      </w:r>
      <w:r>
        <w:rPr>
          <w:rFonts w:ascii="宋体" w:hAnsi="宋体" w:hint="eastAsia"/>
          <w:sz w:val="24"/>
        </w:rPr>
        <w:t>÷</w:t>
      </w:r>
      <w:r>
        <w:rPr>
          <w:rFonts w:ascii="Times New Roman" w:hAnsi="Times New Roman" w:hint="eastAsia"/>
          <w:sz w:val="24"/>
        </w:rPr>
        <w:t>当年天数</w:t>
      </w:r>
    </w:p>
    <w:p w14:paraId="4F79D02E" w14:textId="77777777" w:rsidR="00E853FD" w:rsidRDefault="00FE7D53">
      <w:pPr>
        <w:spacing w:line="360" w:lineRule="auto"/>
        <w:ind w:firstLineChars="200" w:firstLine="480"/>
        <w:rPr>
          <w:rFonts w:ascii="Times New Roman" w:hAnsi="Times New Roman"/>
          <w:sz w:val="24"/>
        </w:rPr>
      </w:pPr>
      <w:r>
        <w:rPr>
          <w:rFonts w:ascii="Times New Roman" w:hAnsi="Times New Roman"/>
          <w:sz w:val="24"/>
        </w:rPr>
        <w:t>H</w:t>
      </w:r>
      <w:r>
        <w:rPr>
          <w:rFonts w:ascii="Times New Roman" w:hAnsi="Times New Roman" w:hint="eastAsia"/>
          <w:sz w:val="24"/>
        </w:rPr>
        <w:t>为每日应计提的基金管理费</w:t>
      </w:r>
    </w:p>
    <w:p w14:paraId="0F3447CF" w14:textId="77777777" w:rsidR="00E853FD" w:rsidRDefault="00FE7D53">
      <w:pPr>
        <w:spacing w:line="360" w:lineRule="auto"/>
        <w:ind w:firstLineChars="200" w:firstLine="480"/>
        <w:rPr>
          <w:rFonts w:ascii="Times New Roman" w:hAnsi="Times New Roman"/>
          <w:sz w:val="24"/>
        </w:rPr>
      </w:pPr>
      <w:r>
        <w:rPr>
          <w:rFonts w:ascii="Times New Roman" w:hAnsi="Times New Roman"/>
          <w:sz w:val="24"/>
        </w:rPr>
        <w:t>E</w:t>
      </w:r>
      <w:r>
        <w:rPr>
          <w:rFonts w:ascii="Times New Roman" w:hAnsi="Times New Roman" w:hint="eastAsia"/>
          <w:sz w:val="24"/>
        </w:rPr>
        <w:t>为前一日的基金资产净值</w:t>
      </w:r>
    </w:p>
    <w:p w14:paraId="63B39488" w14:textId="7BEAC8F1" w:rsidR="00E853FD" w:rsidRDefault="001F2821">
      <w:pPr>
        <w:spacing w:line="360" w:lineRule="auto"/>
        <w:ind w:firstLineChars="200" w:firstLine="480"/>
        <w:rPr>
          <w:rFonts w:ascii="宋体" w:hAnsi="宋体" w:cs="宋体"/>
          <w:bCs/>
          <w:color w:val="000000"/>
          <w:sz w:val="24"/>
        </w:rPr>
      </w:pPr>
      <w:r w:rsidRPr="001F2821">
        <w:rPr>
          <w:rFonts w:ascii="宋体" w:hAnsi="宋体" w:cs="宋体" w:hint="eastAsia"/>
          <w:bCs/>
          <w:color w:val="000000"/>
          <w:sz w:val="24"/>
        </w:rPr>
        <w:t>基金管理费每日计提，逐日累计至每月月末，按月支付，经基金管理人与基金托管人核对一致后，按照双方协商一致的方式于次月首日起5</w:t>
      </w:r>
      <w:r w:rsidR="00595F92">
        <w:rPr>
          <w:rFonts w:ascii="宋体" w:hAnsi="宋体" w:cs="宋体" w:hint="eastAsia"/>
          <w:bCs/>
          <w:color w:val="000000"/>
          <w:sz w:val="24"/>
        </w:rPr>
        <w:t>个工作日内从基金财产中一次性支付给基金管理人</w:t>
      </w:r>
      <w:r w:rsidRPr="001F2821">
        <w:rPr>
          <w:rFonts w:ascii="宋体" w:hAnsi="宋体" w:cs="宋体" w:hint="eastAsia"/>
          <w:bCs/>
          <w:color w:val="000000"/>
          <w:sz w:val="24"/>
        </w:rPr>
        <w:t>。若遇法定节假日、休息日等，支付日期顺延</w:t>
      </w:r>
      <w:r w:rsidR="00FE7D53">
        <w:rPr>
          <w:rFonts w:ascii="宋体" w:hAnsi="宋体" w:cs="宋体" w:hint="eastAsia"/>
          <w:bCs/>
          <w:color w:val="000000"/>
          <w:sz w:val="24"/>
        </w:rPr>
        <w:t>。</w:t>
      </w:r>
    </w:p>
    <w:p w14:paraId="6A4389E5" w14:textId="1C27B9D2" w:rsidR="00E853FD" w:rsidRDefault="00FE7D53">
      <w:pPr>
        <w:spacing w:line="360" w:lineRule="auto"/>
        <w:ind w:firstLineChars="200" w:firstLine="480"/>
        <w:rPr>
          <w:rFonts w:ascii="宋体"/>
          <w:sz w:val="24"/>
          <w:szCs w:val="24"/>
        </w:rPr>
      </w:pPr>
      <w:r>
        <w:rPr>
          <w:rFonts w:ascii="宋体" w:hAnsi="宋体" w:hint="eastAsia"/>
          <w:sz w:val="24"/>
          <w:szCs w:val="24"/>
        </w:rPr>
        <w:t>（二）基金托管费的计提比例和计提方法</w:t>
      </w:r>
    </w:p>
    <w:p w14:paraId="3C0DF74D" w14:textId="3B1065B6" w:rsidR="00E853FD" w:rsidRDefault="00FE7D53">
      <w:pPr>
        <w:spacing w:line="360" w:lineRule="auto"/>
        <w:ind w:firstLineChars="200" w:firstLine="480"/>
        <w:rPr>
          <w:rFonts w:ascii="宋体"/>
          <w:sz w:val="24"/>
        </w:rPr>
      </w:pPr>
      <w:r>
        <w:rPr>
          <w:rFonts w:ascii="宋体" w:hAnsi="宋体" w:hint="eastAsia"/>
          <w:sz w:val="24"/>
        </w:rPr>
        <w:t>本基金的托管费按前一日基金资产净值的</w:t>
      </w:r>
      <w:r w:rsidR="00CF67C4" w:rsidRPr="00CF67C4">
        <w:rPr>
          <w:rFonts w:ascii="宋体" w:hAnsi="宋体"/>
          <w:sz w:val="24"/>
        </w:rPr>
        <w:t>0.20</w:t>
      </w:r>
      <w:r>
        <w:rPr>
          <w:rFonts w:ascii="宋体" w:hAnsi="宋体"/>
          <w:sz w:val="24"/>
        </w:rPr>
        <w:t>%</w:t>
      </w:r>
      <w:r>
        <w:rPr>
          <w:rFonts w:ascii="宋体" w:hAnsi="宋体" w:hint="eastAsia"/>
          <w:sz w:val="24"/>
        </w:rPr>
        <w:t>的年费率计提。托管费的计算方法如下：</w:t>
      </w:r>
    </w:p>
    <w:p w14:paraId="7ED50808" w14:textId="7F1AC856" w:rsidR="00E853FD" w:rsidRDefault="00FE7D53">
      <w:pPr>
        <w:spacing w:line="360" w:lineRule="auto"/>
        <w:ind w:firstLineChars="200" w:firstLine="480"/>
        <w:rPr>
          <w:rFonts w:ascii="宋体"/>
          <w:sz w:val="24"/>
        </w:rPr>
      </w:pPr>
      <w:r>
        <w:rPr>
          <w:rFonts w:ascii="宋体" w:hAnsi="宋体"/>
          <w:sz w:val="24"/>
        </w:rPr>
        <w:t>H</w:t>
      </w:r>
      <w:r>
        <w:rPr>
          <w:rFonts w:ascii="宋体" w:hAnsi="宋体" w:hint="eastAsia"/>
          <w:sz w:val="24"/>
        </w:rPr>
        <w:t>＝</w:t>
      </w:r>
      <w:r>
        <w:rPr>
          <w:rFonts w:ascii="宋体" w:hAnsi="宋体"/>
          <w:sz w:val="24"/>
        </w:rPr>
        <w:t>E</w:t>
      </w:r>
      <w:r>
        <w:rPr>
          <w:rFonts w:ascii="宋体" w:hAnsi="宋体" w:hint="eastAsia"/>
          <w:sz w:val="24"/>
        </w:rPr>
        <w:t>×</w:t>
      </w:r>
      <w:r w:rsidR="00CF67C4" w:rsidRPr="00CF67C4">
        <w:rPr>
          <w:rFonts w:ascii="宋体" w:hAnsi="宋体"/>
          <w:sz w:val="24"/>
        </w:rPr>
        <w:t>0.20</w:t>
      </w:r>
      <w:r>
        <w:rPr>
          <w:rFonts w:ascii="宋体" w:hAnsi="宋体"/>
          <w:sz w:val="24"/>
        </w:rPr>
        <w:t>%</w:t>
      </w:r>
      <w:r>
        <w:rPr>
          <w:rFonts w:ascii="宋体" w:hAnsi="宋体" w:hint="eastAsia"/>
          <w:sz w:val="24"/>
        </w:rPr>
        <w:t>÷当年天数</w:t>
      </w:r>
    </w:p>
    <w:p w14:paraId="4DA20A8D" w14:textId="77777777" w:rsidR="00E853FD" w:rsidRDefault="00FE7D53">
      <w:pPr>
        <w:spacing w:line="360" w:lineRule="auto"/>
        <w:ind w:firstLineChars="200" w:firstLine="480"/>
        <w:rPr>
          <w:rFonts w:ascii="宋体"/>
          <w:sz w:val="24"/>
        </w:rPr>
      </w:pPr>
      <w:r>
        <w:rPr>
          <w:rFonts w:ascii="宋体" w:hAnsi="宋体"/>
          <w:sz w:val="24"/>
        </w:rPr>
        <w:t>H</w:t>
      </w:r>
      <w:r>
        <w:rPr>
          <w:rFonts w:ascii="宋体" w:hAnsi="宋体" w:hint="eastAsia"/>
          <w:sz w:val="24"/>
        </w:rPr>
        <w:t>为每日应计提的基金托管费</w:t>
      </w:r>
    </w:p>
    <w:p w14:paraId="5C7B8F93" w14:textId="77777777" w:rsidR="00E853FD" w:rsidRDefault="00FE7D53">
      <w:pPr>
        <w:spacing w:line="360" w:lineRule="auto"/>
        <w:ind w:firstLineChars="200" w:firstLine="480"/>
        <w:rPr>
          <w:rFonts w:ascii="宋体" w:hAnsi="宋体"/>
          <w:sz w:val="24"/>
        </w:rPr>
      </w:pPr>
      <w:r>
        <w:rPr>
          <w:rFonts w:ascii="宋体" w:hAnsi="宋体"/>
          <w:sz w:val="24"/>
        </w:rPr>
        <w:t>E</w:t>
      </w:r>
      <w:r>
        <w:rPr>
          <w:rFonts w:ascii="宋体" w:hAnsi="宋体" w:hint="eastAsia"/>
          <w:sz w:val="24"/>
        </w:rPr>
        <w:t>为前一日的基金资产净值</w:t>
      </w:r>
    </w:p>
    <w:p w14:paraId="0B3FD7C4" w14:textId="3471242D" w:rsidR="00E853FD" w:rsidRDefault="001F2821">
      <w:pPr>
        <w:spacing w:line="360" w:lineRule="auto"/>
        <w:ind w:firstLineChars="200" w:firstLine="480"/>
        <w:rPr>
          <w:rFonts w:ascii="宋体" w:hAnsi="宋体"/>
          <w:sz w:val="24"/>
        </w:rPr>
      </w:pPr>
      <w:r w:rsidRPr="001F2821">
        <w:rPr>
          <w:rFonts w:ascii="宋体" w:hAnsi="宋体" w:hint="eastAsia"/>
          <w:sz w:val="24"/>
        </w:rPr>
        <w:t>基金托管费每日计提，逐日累计至每月月末，按月支付，经基金管理人与基金托管人核对一致后，按照双方协商一致的方式于次月首日起5个工作日内从基金财产中一次性支取。若遇法定节假日、休息日等，支付日期顺延</w:t>
      </w:r>
      <w:r w:rsidR="00FE7D53">
        <w:rPr>
          <w:rFonts w:ascii="宋体" w:hAnsi="宋体" w:hint="eastAsia"/>
          <w:sz w:val="24"/>
        </w:rPr>
        <w:t>。</w:t>
      </w:r>
    </w:p>
    <w:p w14:paraId="723B4301" w14:textId="29434691" w:rsidR="00E853FD" w:rsidRPr="000E123F" w:rsidRDefault="00FE7D53">
      <w:pPr>
        <w:spacing w:line="360" w:lineRule="auto"/>
        <w:ind w:firstLineChars="200" w:firstLine="480"/>
        <w:rPr>
          <w:rFonts w:ascii="宋体" w:hAnsi="宋体"/>
          <w:sz w:val="24"/>
        </w:rPr>
      </w:pPr>
      <w:r w:rsidRPr="000E123F">
        <w:rPr>
          <w:rFonts w:ascii="宋体" w:hAnsi="宋体" w:hint="eastAsia"/>
          <w:sz w:val="24"/>
        </w:rPr>
        <w:t>（三）</w:t>
      </w:r>
      <w:r w:rsidR="004B550D" w:rsidRPr="000E123F">
        <w:rPr>
          <w:rFonts w:ascii="宋体" w:hAnsi="宋体" w:hint="eastAsia"/>
          <w:sz w:val="24"/>
        </w:rPr>
        <w:t>基金销售服务费</w:t>
      </w:r>
    </w:p>
    <w:p w14:paraId="1C0A48B1" w14:textId="77777777" w:rsidR="001048D9" w:rsidRPr="000E123F" w:rsidRDefault="001048D9" w:rsidP="001048D9">
      <w:pPr>
        <w:spacing w:line="360" w:lineRule="auto"/>
        <w:ind w:firstLineChars="200" w:firstLine="480"/>
        <w:rPr>
          <w:rFonts w:ascii="宋体" w:hAnsi="宋体"/>
          <w:sz w:val="24"/>
        </w:rPr>
      </w:pPr>
      <w:r w:rsidRPr="000E123F">
        <w:rPr>
          <w:rFonts w:ascii="宋体" w:hAnsi="宋体" w:hint="eastAsia"/>
          <w:sz w:val="24"/>
        </w:rPr>
        <w:t>本基金A类基金份额不收取销售服务费，C类基金份额的销售服务费按前一日C类基金份额资产净值的0.20%年费率计提。计算方法如下：</w:t>
      </w:r>
    </w:p>
    <w:p w14:paraId="51936213" w14:textId="77777777" w:rsidR="001048D9" w:rsidRPr="000E123F" w:rsidRDefault="001048D9" w:rsidP="001048D9">
      <w:pPr>
        <w:spacing w:line="360" w:lineRule="auto"/>
        <w:ind w:firstLineChars="200" w:firstLine="480"/>
        <w:rPr>
          <w:rFonts w:ascii="宋体" w:hAnsi="宋体"/>
          <w:sz w:val="24"/>
        </w:rPr>
      </w:pPr>
      <w:r w:rsidRPr="000E123F">
        <w:rPr>
          <w:rFonts w:ascii="宋体" w:hAnsi="宋体" w:hint="eastAsia"/>
          <w:sz w:val="24"/>
        </w:rPr>
        <w:t>H＝E×0.20%÷当年天数</w:t>
      </w:r>
    </w:p>
    <w:p w14:paraId="1E266073" w14:textId="77777777" w:rsidR="001048D9" w:rsidRPr="000E123F" w:rsidRDefault="001048D9" w:rsidP="001048D9">
      <w:pPr>
        <w:spacing w:line="360" w:lineRule="auto"/>
        <w:ind w:firstLineChars="200" w:firstLine="480"/>
        <w:rPr>
          <w:rFonts w:ascii="宋体" w:hAnsi="宋体"/>
          <w:sz w:val="24"/>
        </w:rPr>
      </w:pPr>
      <w:r w:rsidRPr="000E123F">
        <w:rPr>
          <w:rFonts w:ascii="宋体" w:hAnsi="宋体" w:hint="eastAsia"/>
          <w:sz w:val="24"/>
        </w:rPr>
        <w:t>H为C类基金份额每日应计提的销售服务费</w:t>
      </w:r>
    </w:p>
    <w:p w14:paraId="414EE4AF" w14:textId="77777777" w:rsidR="001048D9" w:rsidRPr="000E123F" w:rsidRDefault="001048D9" w:rsidP="001048D9">
      <w:pPr>
        <w:spacing w:line="360" w:lineRule="auto"/>
        <w:ind w:firstLineChars="200" w:firstLine="480"/>
        <w:rPr>
          <w:rFonts w:ascii="宋体" w:hAnsi="宋体"/>
          <w:sz w:val="24"/>
        </w:rPr>
      </w:pPr>
      <w:r w:rsidRPr="000E123F">
        <w:rPr>
          <w:rFonts w:ascii="宋体" w:hAnsi="宋体" w:hint="eastAsia"/>
          <w:sz w:val="24"/>
        </w:rPr>
        <w:t>E为C类基金份额前一日基金资产净值</w:t>
      </w:r>
    </w:p>
    <w:p w14:paraId="0AA7DD4D" w14:textId="77777777" w:rsidR="001048D9" w:rsidRPr="000E123F" w:rsidRDefault="001048D9" w:rsidP="001048D9">
      <w:pPr>
        <w:spacing w:line="360" w:lineRule="auto"/>
        <w:ind w:firstLineChars="200" w:firstLine="480"/>
        <w:rPr>
          <w:rFonts w:ascii="宋体" w:hAnsi="宋体"/>
          <w:sz w:val="24"/>
        </w:rPr>
      </w:pPr>
      <w:r w:rsidRPr="000E123F">
        <w:rPr>
          <w:rFonts w:ascii="宋体" w:hAnsi="宋体" w:hint="eastAsia"/>
          <w:sz w:val="24"/>
        </w:rPr>
        <w:t>基金销售服务费每日计提。</w:t>
      </w:r>
    </w:p>
    <w:p w14:paraId="64E190A3" w14:textId="77777777" w:rsidR="001048D9" w:rsidRPr="000E123F" w:rsidRDefault="001048D9" w:rsidP="001048D9">
      <w:pPr>
        <w:spacing w:line="360" w:lineRule="auto"/>
        <w:ind w:firstLineChars="200" w:firstLine="480"/>
        <w:rPr>
          <w:rFonts w:ascii="宋体" w:hAnsi="宋体"/>
          <w:sz w:val="24"/>
        </w:rPr>
      </w:pPr>
      <w:r w:rsidRPr="000E123F">
        <w:rPr>
          <w:rFonts w:ascii="宋体" w:hAnsi="宋体" w:hint="eastAsia"/>
          <w:sz w:val="24"/>
        </w:rPr>
        <w:t xml:space="preserve">（1）直销机构： </w:t>
      </w:r>
    </w:p>
    <w:p w14:paraId="3C76A9DD" w14:textId="77777777" w:rsidR="001048D9" w:rsidRPr="000E123F" w:rsidRDefault="001048D9" w:rsidP="001048D9">
      <w:pPr>
        <w:spacing w:line="360" w:lineRule="auto"/>
        <w:ind w:firstLineChars="200" w:firstLine="480"/>
        <w:rPr>
          <w:rFonts w:ascii="宋体" w:hAnsi="宋体"/>
          <w:sz w:val="24"/>
        </w:rPr>
      </w:pPr>
      <w:r w:rsidRPr="000E123F">
        <w:rPr>
          <w:rFonts w:ascii="宋体" w:hAnsi="宋体" w:hint="eastAsia"/>
          <w:sz w:val="24"/>
        </w:rPr>
        <w:t>对于投资者通过直销机构持有的C类基金份额计提的销售服务费，在投资者</w:t>
      </w:r>
      <w:r w:rsidRPr="000E123F">
        <w:rPr>
          <w:rFonts w:ascii="宋体" w:hAnsi="宋体" w:hint="eastAsia"/>
          <w:sz w:val="24"/>
        </w:rPr>
        <w:lastRenderedPageBreak/>
        <w:t xml:space="preserve">赎回C类基金份额或基金合同终止时，随赎回款（或清算款）一并返还给投资者。 </w:t>
      </w:r>
    </w:p>
    <w:p w14:paraId="2F5F454C" w14:textId="77777777" w:rsidR="001048D9" w:rsidRPr="000E123F" w:rsidRDefault="001048D9" w:rsidP="001048D9">
      <w:pPr>
        <w:spacing w:line="360" w:lineRule="auto"/>
        <w:ind w:firstLineChars="200" w:firstLine="480"/>
        <w:rPr>
          <w:rFonts w:ascii="宋体" w:hAnsi="宋体"/>
          <w:sz w:val="24"/>
        </w:rPr>
      </w:pPr>
      <w:r w:rsidRPr="000E123F">
        <w:rPr>
          <w:rFonts w:ascii="宋体" w:hAnsi="宋体" w:hint="eastAsia"/>
          <w:sz w:val="24"/>
        </w:rPr>
        <w:t>基金管理人基金销售子公司销售母公司所管理基金的，按照本条要求执行。</w:t>
      </w:r>
    </w:p>
    <w:p w14:paraId="74F24F6B" w14:textId="77777777" w:rsidR="001048D9" w:rsidRPr="000E123F" w:rsidRDefault="001048D9" w:rsidP="001048D9">
      <w:pPr>
        <w:spacing w:line="360" w:lineRule="auto"/>
        <w:ind w:firstLineChars="200" w:firstLine="480"/>
        <w:rPr>
          <w:rFonts w:ascii="宋体" w:hAnsi="宋体"/>
          <w:sz w:val="24"/>
        </w:rPr>
      </w:pPr>
      <w:r w:rsidRPr="000E123F">
        <w:rPr>
          <w:rFonts w:ascii="宋体" w:hAnsi="宋体" w:hint="eastAsia"/>
          <w:sz w:val="24"/>
        </w:rPr>
        <w:t>（2）直销机构以外的其他销售机构：</w:t>
      </w:r>
    </w:p>
    <w:p w14:paraId="0EDDC1C5" w14:textId="77777777" w:rsidR="001048D9" w:rsidRPr="000E123F" w:rsidRDefault="001048D9" w:rsidP="001048D9">
      <w:pPr>
        <w:spacing w:line="360" w:lineRule="auto"/>
        <w:ind w:firstLineChars="200" w:firstLine="480"/>
        <w:rPr>
          <w:rFonts w:ascii="宋体" w:hAnsi="宋体"/>
          <w:sz w:val="24"/>
        </w:rPr>
      </w:pPr>
      <w:r w:rsidRPr="000E123F">
        <w:rPr>
          <w:rFonts w:ascii="宋体" w:hAnsi="宋体" w:hint="eastAsia"/>
          <w:sz w:val="24"/>
        </w:rPr>
        <w:t>对于投资者持续持有期限未超过一年（即365天，下同） 的基金份额收取的销售服务费，逐日累计至每月月末，按月支付，基金托管人与基金管理人按照双方协商一致的方式于次月首日起5个工作日内按照指定的账户路径进行支付。若遇法定节假日、公休假等，支付日期顺延。</w:t>
      </w:r>
    </w:p>
    <w:p w14:paraId="30176899" w14:textId="23056886" w:rsidR="00E853FD" w:rsidRDefault="001048D9" w:rsidP="002342B6">
      <w:pPr>
        <w:spacing w:line="360" w:lineRule="auto"/>
        <w:ind w:firstLineChars="200" w:firstLine="480"/>
        <w:rPr>
          <w:rFonts w:ascii="宋体"/>
          <w:sz w:val="24"/>
          <w:szCs w:val="24"/>
        </w:rPr>
      </w:pPr>
      <w:r w:rsidRPr="000E123F">
        <w:rPr>
          <w:rFonts w:ascii="宋体" w:hAnsi="宋体" w:hint="eastAsia"/>
          <w:sz w:val="24"/>
        </w:rPr>
        <w:t>对于持续持有期限超过一年的基金份额，持有超过一年后继续计提的销售服务费，在投资者赎回基金份额或基金合同终止时，随赎回款（或清算款）一并返还给投资者</w:t>
      </w:r>
      <w:r w:rsidR="00FE7D53" w:rsidRPr="000E123F">
        <w:rPr>
          <w:rFonts w:ascii="宋体" w:hAnsi="宋体" w:hint="eastAsia"/>
          <w:sz w:val="24"/>
        </w:rPr>
        <w:t>。</w:t>
      </w:r>
    </w:p>
    <w:p w14:paraId="0D14798C" w14:textId="2187AA88" w:rsidR="00E853FD" w:rsidRDefault="00FE7D53">
      <w:pPr>
        <w:spacing w:line="360" w:lineRule="auto"/>
        <w:ind w:firstLineChars="200" w:firstLine="480"/>
        <w:rPr>
          <w:rFonts w:ascii="宋体"/>
          <w:sz w:val="24"/>
          <w:szCs w:val="24"/>
        </w:rPr>
      </w:pPr>
      <w:r>
        <w:rPr>
          <w:rFonts w:ascii="宋体" w:hAnsi="宋体" w:hint="eastAsia"/>
          <w:sz w:val="24"/>
          <w:szCs w:val="24"/>
        </w:rPr>
        <w:t>（</w:t>
      </w:r>
      <w:r w:rsidR="00E62EB7">
        <w:rPr>
          <w:rFonts w:ascii="宋体" w:hAnsi="宋体" w:hint="eastAsia"/>
          <w:sz w:val="24"/>
          <w:szCs w:val="24"/>
        </w:rPr>
        <w:t>四</w:t>
      </w:r>
      <w:r>
        <w:rPr>
          <w:rFonts w:ascii="宋体" w:hAnsi="宋体" w:hint="eastAsia"/>
          <w:sz w:val="24"/>
          <w:szCs w:val="24"/>
        </w:rPr>
        <w:t>）不列入基金费用的项目</w:t>
      </w:r>
    </w:p>
    <w:p w14:paraId="658799AB" w14:textId="6CA5F2AE" w:rsidR="00E853FD" w:rsidRDefault="00FE7D53">
      <w:pPr>
        <w:spacing w:line="360" w:lineRule="auto"/>
        <w:ind w:firstLineChars="200" w:firstLine="480"/>
        <w:rPr>
          <w:rFonts w:ascii="宋体"/>
          <w:sz w:val="24"/>
          <w:szCs w:val="24"/>
        </w:rPr>
      </w:pPr>
      <w:r>
        <w:rPr>
          <w:rFonts w:ascii="宋体" w:hAnsi="宋体" w:hint="eastAsia"/>
          <w:sz w:val="24"/>
          <w:szCs w:val="24"/>
        </w:rPr>
        <w:t>基金合同生效前的律师费、会计师费、信息披露费用以及其他费用不得从基金财产中列支。基金管理人与基金托管人因未履行或未完全履行义务导致的费用支出或基金财产的损失，以及处理与基金运作无关的事项发生的费用</w:t>
      </w:r>
      <w:r w:rsidR="000C7557">
        <w:rPr>
          <w:rFonts w:ascii="宋体" w:hAnsi="宋体" w:hint="eastAsia"/>
          <w:sz w:val="24"/>
          <w:szCs w:val="24"/>
        </w:rPr>
        <w:t>、</w:t>
      </w:r>
      <w:r w:rsidR="000C7557" w:rsidRPr="000C7557">
        <w:rPr>
          <w:rFonts w:ascii="宋体" w:hAnsi="宋体" w:hint="eastAsia"/>
          <w:sz w:val="24"/>
          <w:szCs w:val="24"/>
        </w:rPr>
        <w:t>标的指数许可使用费其他根据相关法律法规及中国证监会的有关规定不得列入基金费用的项目</w:t>
      </w:r>
      <w:r>
        <w:rPr>
          <w:rFonts w:ascii="宋体" w:hAnsi="宋体" w:hint="eastAsia"/>
          <w:sz w:val="24"/>
          <w:szCs w:val="24"/>
        </w:rPr>
        <w:t>。</w:t>
      </w:r>
    </w:p>
    <w:p w14:paraId="1E1F1C99" w14:textId="355BDDCB" w:rsidR="00E853FD" w:rsidRDefault="00FE7D53">
      <w:pPr>
        <w:spacing w:line="360" w:lineRule="auto"/>
        <w:ind w:firstLineChars="200" w:firstLine="480"/>
        <w:rPr>
          <w:rFonts w:ascii="宋体"/>
          <w:sz w:val="24"/>
          <w:szCs w:val="24"/>
        </w:rPr>
      </w:pPr>
      <w:r>
        <w:rPr>
          <w:rFonts w:ascii="宋体" w:hAnsi="宋体" w:hint="eastAsia"/>
          <w:sz w:val="24"/>
          <w:szCs w:val="24"/>
        </w:rPr>
        <w:t>（</w:t>
      </w:r>
      <w:r w:rsidR="007C0341">
        <w:rPr>
          <w:rFonts w:ascii="宋体" w:hAnsi="宋体" w:hint="eastAsia"/>
          <w:sz w:val="24"/>
          <w:szCs w:val="24"/>
        </w:rPr>
        <w:t>五</w:t>
      </w:r>
      <w:r>
        <w:rPr>
          <w:rFonts w:ascii="宋体" w:hAnsi="宋体" w:hint="eastAsia"/>
          <w:sz w:val="24"/>
          <w:szCs w:val="24"/>
        </w:rPr>
        <w:t>）基金管理费、基金托管费的复核程序、支付方式和时间</w:t>
      </w:r>
    </w:p>
    <w:p w14:paraId="2A98ED81" w14:textId="77777777"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．复核程序</w:t>
      </w:r>
    </w:p>
    <w:p w14:paraId="47DC321F"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基金托管人对基金管理人计提的基金管理费、基金托管费等，根据本托管协议和基金合同的有关规定进行复核。</w:t>
      </w:r>
    </w:p>
    <w:p w14:paraId="657BBB4E"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．支付方式和时间</w:t>
      </w:r>
    </w:p>
    <w:p w14:paraId="56CD9CB1" w14:textId="66BF8973" w:rsidR="00E853FD" w:rsidRDefault="00FE7D53">
      <w:pPr>
        <w:spacing w:line="360" w:lineRule="auto"/>
        <w:ind w:firstLineChars="200" w:firstLine="480"/>
        <w:rPr>
          <w:bCs/>
          <w:sz w:val="24"/>
        </w:rPr>
      </w:pPr>
      <w:r>
        <w:rPr>
          <w:rFonts w:ascii="宋体" w:hAnsi="宋体" w:hint="eastAsia"/>
          <w:sz w:val="24"/>
          <w:szCs w:val="24"/>
        </w:rPr>
        <w:t>基金管理费、基金托管费</w:t>
      </w:r>
      <w:r>
        <w:rPr>
          <w:rFonts w:ascii="Times New Roman" w:hAnsi="Times New Roman" w:hint="eastAsia"/>
          <w:sz w:val="24"/>
        </w:rPr>
        <w:t>每日计算，逐日累计至每月月末，按月支付。</w:t>
      </w:r>
      <w:r w:rsidR="00FC65A3" w:rsidRPr="00FC65A3">
        <w:rPr>
          <w:rFonts w:ascii="Times New Roman" w:hAnsi="Times New Roman" w:hint="eastAsia"/>
          <w:sz w:val="24"/>
        </w:rPr>
        <w:t>经基金管理人与基金托管人核对一致后，按照双方协商一致的方式于次月首日起</w:t>
      </w:r>
      <w:r w:rsidR="00FC65A3" w:rsidRPr="00FC65A3">
        <w:rPr>
          <w:rFonts w:ascii="Times New Roman" w:hAnsi="Times New Roman" w:hint="eastAsia"/>
          <w:sz w:val="24"/>
        </w:rPr>
        <w:t>5</w:t>
      </w:r>
      <w:r w:rsidR="00FC65A3" w:rsidRPr="00FC65A3">
        <w:rPr>
          <w:rFonts w:ascii="Times New Roman" w:hAnsi="Times New Roman" w:hint="eastAsia"/>
          <w:sz w:val="24"/>
        </w:rPr>
        <w:t>个工作日内</w:t>
      </w:r>
      <w:r>
        <w:rPr>
          <w:rFonts w:hint="eastAsia"/>
          <w:bCs/>
          <w:sz w:val="24"/>
        </w:rPr>
        <w:t>从基金财产中一次性支付</w:t>
      </w:r>
      <w:r>
        <w:rPr>
          <w:rFonts w:ascii="宋体" w:hAnsi="宋体" w:hint="eastAsia"/>
          <w:sz w:val="24"/>
          <w:szCs w:val="24"/>
        </w:rPr>
        <w:t>给基金管理人和基金托管人</w:t>
      </w:r>
      <w:r>
        <w:rPr>
          <w:rFonts w:hint="eastAsia"/>
          <w:bCs/>
          <w:sz w:val="24"/>
        </w:rPr>
        <w:t>。</w:t>
      </w:r>
      <w:r>
        <w:rPr>
          <w:rFonts w:ascii="宋体" w:hAnsi="宋体" w:hint="eastAsia"/>
          <w:sz w:val="24"/>
        </w:rPr>
        <w:t>如发现数据不符，及时联系基金托管人协商解决。</w:t>
      </w:r>
    </w:p>
    <w:p w14:paraId="290107B9" w14:textId="185B2670" w:rsidR="00E853FD" w:rsidRDefault="00F549E3">
      <w:pPr>
        <w:spacing w:line="360" w:lineRule="auto"/>
        <w:ind w:firstLineChars="200" w:firstLine="480"/>
        <w:rPr>
          <w:rFonts w:ascii="宋体"/>
          <w:sz w:val="24"/>
          <w:szCs w:val="24"/>
        </w:rPr>
      </w:pPr>
      <w:r w:rsidRPr="00F549E3">
        <w:rPr>
          <w:rFonts w:ascii="宋体" w:hAnsi="宋体" w:hint="eastAsia"/>
          <w:sz w:val="24"/>
        </w:rPr>
        <w:t>若遇法定节假日、休息日等，支付日期顺延</w:t>
      </w:r>
      <w:r w:rsidR="00FE7D53">
        <w:rPr>
          <w:rFonts w:ascii="宋体" w:hAnsi="宋体" w:hint="eastAsia"/>
          <w:sz w:val="24"/>
        </w:rPr>
        <w:t>。</w:t>
      </w:r>
    </w:p>
    <w:p w14:paraId="2791FA62" w14:textId="7BDE51E1" w:rsidR="00E853FD" w:rsidRDefault="00FE7D53">
      <w:pPr>
        <w:spacing w:line="360" w:lineRule="auto"/>
        <w:ind w:firstLineChars="200" w:firstLine="480"/>
        <w:rPr>
          <w:rFonts w:ascii="宋体"/>
          <w:sz w:val="24"/>
          <w:szCs w:val="24"/>
        </w:rPr>
      </w:pPr>
      <w:r>
        <w:rPr>
          <w:rFonts w:ascii="宋体" w:hAnsi="宋体" w:hint="eastAsia"/>
          <w:sz w:val="24"/>
          <w:szCs w:val="24"/>
        </w:rPr>
        <w:t>（</w:t>
      </w:r>
      <w:r w:rsidR="002D4D93">
        <w:rPr>
          <w:rFonts w:ascii="宋体" w:hAnsi="宋体" w:hint="eastAsia"/>
          <w:sz w:val="24"/>
          <w:szCs w:val="24"/>
        </w:rPr>
        <w:t>六</w:t>
      </w:r>
      <w:r>
        <w:rPr>
          <w:rFonts w:ascii="宋体" w:hAnsi="宋体" w:hint="eastAsia"/>
          <w:sz w:val="24"/>
          <w:szCs w:val="24"/>
        </w:rPr>
        <w:t>）违规处理方式</w:t>
      </w:r>
    </w:p>
    <w:p w14:paraId="263F4198" w14:textId="59367831" w:rsidR="00E853FD" w:rsidRDefault="00FE7D53">
      <w:pPr>
        <w:spacing w:line="360" w:lineRule="auto"/>
        <w:ind w:firstLineChars="200" w:firstLine="480"/>
        <w:rPr>
          <w:rFonts w:ascii="宋体" w:hAnsi="宋体"/>
          <w:sz w:val="24"/>
          <w:szCs w:val="24"/>
        </w:rPr>
      </w:pPr>
      <w:r>
        <w:rPr>
          <w:rFonts w:ascii="宋体" w:hAnsi="宋体" w:hint="eastAsia"/>
          <w:sz w:val="24"/>
          <w:szCs w:val="24"/>
        </w:rPr>
        <w:t>基金托管人发现基金管理人违反《基金法》、基金合同、《运作办法》及其他有关规定从基金财产中列支费用时，基金托管人可要求基金管理人予以说明解释，</w:t>
      </w:r>
      <w:r>
        <w:rPr>
          <w:rFonts w:ascii="宋体" w:hAnsi="宋体" w:hint="eastAsia"/>
          <w:sz w:val="24"/>
          <w:szCs w:val="24"/>
        </w:rPr>
        <w:lastRenderedPageBreak/>
        <w:t>如基金管理人无正当理由，基金托管人可拒绝支付。</w:t>
      </w:r>
    </w:p>
    <w:p w14:paraId="53BD7257" w14:textId="77777777" w:rsidR="000D3B70" w:rsidRDefault="000D3B70" w:rsidP="000D3B70">
      <w:pPr>
        <w:spacing w:line="360" w:lineRule="auto"/>
        <w:ind w:firstLine="480"/>
        <w:rPr>
          <w:rFonts w:ascii="宋体" w:hAnsi="宋体"/>
          <w:color w:val="000000"/>
          <w:sz w:val="24"/>
          <w:szCs w:val="24"/>
        </w:rPr>
      </w:pPr>
      <w:r>
        <w:rPr>
          <w:rFonts w:ascii="宋体" w:hAnsi="宋体"/>
          <w:color w:val="000000"/>
          <w:sz w:val="24"/>
          <w:szCs w:val="24"/>
        </w:rPr>
        <w:t>（七）实施侧袋机制期间的基金费用</w:t>
      </w:r>
    </w:p>
    <w:p w14:paraId="25D84401" w14:textId="77777777" w:rsidR="000D3B70" w:rsidRDefault="000D3B70" w:rsidP="000D3B70">
      <w:pPr>
        <w:spacing w:line="360" w:lineRule="auto"/>
        <w:ind w:firstLine="480"/>
        <w:rPr>
          <w:rFonts w:ascii="宋体" w:hAnsi="宋体"/>
          <w:color w:val="000000"/>
          <w:sz w:val="24"/>
          <w:szCs w:val="24"/>
        </w:rPr>
      </w:pPr>
      <w:r>
        <w:rPr>
          <w:rFonts w:ascii="宋体" w:hAnsi="宋体"/>
          <w:color w:val="000000"/>
          <w:sz w:val="24"/>
          <w:szCs w:val="24"/>
        </w:rPr>
        <w:t>本基金实施侧袋机制的，与侧袋账户有关的费用可以从侧袋账户中列支，但应待侧袋账户资产变现后方可列支，有关费用可酌情收取或减免，但基金管理人不得就侧袋账户资产收取管理费，详见招募说明书的规定。</w:t>
      </w:r>
    </w:p>
    <w:p w14:paraId="19ADD375" w14:textId="77777777" w:rsidR="000D3B70" w:rsidRPr="000D3B70" w:rsidRDefault="000D3B70">
      <w:pPr>
        <w:spacing w:line="360" w:lineRule="auto"/>
        <w:ind w:firstLineChars="200" w:firstLine="480"/>
        <w:rPr>
          <w:rFonts w:ascii="宋体"/>
          <w:sz w:val="24"/>
          <w:szCs w:val="24"/>
        </w:rPr>
      </w:pPr>
    </w:p>
    <w:p w14:paraId="63C41C57" w14:textId="77777777" w:rsidR="00E853FD" w:rsidRDefault="00FE7D53">
      <w:pPr>
        <w:spacing w:afterLines="100" w:after="312" w:line="360" w:lineRule="auto"/>
        <w:jc w:val="center"/>
        <w:outlineLvl w:val="0"/>
        <w:rPr>
          <w:b/>
          <w:sz w:val="30"/>
          <w:szCs w:val="30"/>
        </w:rPr>
      </w:pPr>
      <w:r>
        <w:rPr>
          <w:rFonts w:ascii="宋体"/>
          <w:sz w:val="24"/>
          <w:szCs w:val="24"/>
        </w:rPr>
        <w:br w:type="page"/>
      </w:r>
      <w:bookmarkStart w:id="21" w:name="_Toc440289542"/>
      <w:r>
        <w:rPr>
          <w:rFonts w:hint="eastAsia"/>
          <w:b/>
          <w:sz w:val="30"/>
          <w:szCs w:val="30"/>
        </w:rPr>
        <w:lastRenderedPageBreak/>
        <w:t>十二、基金份额持有人名册的保管</w:t>
      </w:r>
      <w:bookmarkEnd w:id="21"/>
    </w:p>
    <w:p w14:paraId="75801151"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基金份额持有人名册至少应包括基金份额持有人的名称和持有的基金份额。基金份额持有人名册由基金登记机构根据基金管理人的指令编制和保管</w:t>
      </w:r>
      <w:r>
        <w:rPr>
          <w:rFonts w:ascii="宋体"/>
          <w:sz w:val="24"/>
          <w:szCs w:val="24"/>
        </w:rPr>
        <w:t>.</w:t>
      </w:r>
      <w:r>
        <w:rPr>
          <w:rFonts w:ascii="宋体" w:hAnsi="宋体" w:hint="eastAsia"/>
          <w:sz w:val="24"/>
          <w:szCs w:val="24"/>
        </w:rPr>
        <w:t>基金管理人应定期向基金托管人提供基金份额持有人名册，</w:t>
      </w:r>
      <w:r>
        <w:rPr>
          <w:rFonts w:ascii="Arial" w:hAnsi="Arial" w:cs="Arial" w:hint="eastAsia"/>
          <w:sz w:val="24"/>
          <w:szCs w:val="24"/>
        </w:rPr>
        <w:t>基金托管人得到基金管理人提供的持有人名册后与基金管理人</w:t>
      </w:r>
      <w:r>
        <w:rPr>
          <w:rFonts w:ascii="宋体" w:hAnsi="宋体" w:hint="eastAsia"/>
          <w:sz w:val="24"/>
          <w:szCs w:val="24"/>
        </w:rPr>
        <w:t>分别进行保管。保管方式可以采用电子或文档的形式，保存期不低于法律法规规定的最低期限。如不能妥善保管，则按相关法规承担责任。</w:t>
      </w:r>
    </w:p>
    <w:p w14:paraId="4D2536DA" w14:textId="09D5AAAA" w:rsidR="00E853FD" w:rsidRDefault="00FE7D53">
      <w:pPr>
        <w:spacing w:line="360" w:lineRule="auto"/>
        <w:ind w:firstLineChars="200" w:firstLine="480"/>
        <w:rPr>
          <w:rFonts w:ascii="宋体"/>
          <w:sz w:val="24"/>
          <w:szCs w:val="24"/>
        </w:rPr>
      </w:pPr>
      <w:r>
        <w:rPr>
          <w:rFonts w:ascii="宋体" w:hAnsi="宋体" w:hint="eastAsia"/>
          <w:sz w:val="24"/>
          <w:szCs w:val="24"/>
        </w:rPr>
        <w:t>基金托管人因编制基金定期报告等合理原因要求基金管理人提供相关资料时，基金管理人应将有关资料送交基金托管人，不得无故拒绝或延误提供，并保证其真实性、准确性和完整性。基金托管人不得将所保管的基金份额持有人名册用于基金托管业务以外的其他用途，并应遵守保密义务</w:t>
      </w:r>
      <w:r w:rsidR="008A79AD">
        <w:rPr>
          <w:rFonts w:ascii="宋体" w:hAnsi="宋体"/>
          <w:color w:val="000000"/>
          <w:sz w:val="24"/>
          <w:szCs w:val="24"/>
        </w:rPr>
        <w:t>，法律法规另有规定或有权机关另有要求的除外</w:t>
      </w:r>
      <w:r>
        <w:rPr>
          <w:rFonts w:ascii="宋体" w:hAnsi="宋体" w:hint="eastAsia"/>
          <w:sz w:val="24"/>
          <w:szCs w:val="24"/>
        </w:rPr>
        <w:t>。</w:t>
      </w:r>
    </w:p>
    <w:p w14:paraId="27B62EBA" w14:textId="77777777" w:rsidR="00E853FD" w:rsidRDefault="00FE7D53">
      <w:pPr>
        <w:spacing w:afterLines="100" w:after="312" w:line="360" w:lineRule="auto"/>
        <w:jc w:val="center"/>
        <w:outlineLvl w:val="0"/>
        <w:rPr>
          <w:b/>
          <w:sz w:val="30"/>
          <w:szCs w:val="30"/>
        </w:rPr>
      </w:pPr>
      <w:r>
        <w:rPr>
          <w:rFonts w:ascii="宋体"/>
          <w:sz w:val="24"/>
          <w:szCs w:val="24"/>
        </w:rPr>
        <w:br w:type="page"/>
      </w:r>
      <w:bookmarkStart w:id="22" w:name="_Toc440289543"/>
      <w:r>
        <w:rPr>
          <w:rFonts w:hint="eastAsia"/>
          <w:b/>
          <w:sz w:val="30"/>
          <w:szCs w:val="30"/>
        </w:rPr>
        <w:lastRenderedPageBreak/>
        <w:t>十三、基金有关文件档案的保存</w:t>
      </w:r>
      <w:bookmarkEnd w:id="22"/>
    </w:p>
    <w:p w14:paraId="132B4DC5"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（一）档案保存</w:t>
      </w:r>
    </w:p>
    <w:p w14:paraId="7F533AE1"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低于法律法规规定的最低期限。</w:t>
      </w:r>
    </w:p>
    <w:p w14:paraId="3706D269"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（二）合同档案的建立</w:t>
      </w:r>
    </w:p>
    <w:p w14:paraId="1BC2C59D" w14:textId="77777777"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．基金管理人签署重大合同文本后，应及时将合同文本正本送达基金托管人处。</w:t>
      </w:r>
    </w:p>
    <w:p w14:paraId="1A23C5BE"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．基金管理人应及时将与本基金账务处理、资金划拨等有关的合同、协议发送基金托管人。</w:t>
      </w:r>
    </w:p>
    <w:p w14:paraId="6965DC38"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（三）变更与协助</w:t>
      </w:r>
    </w:p>
    <w:p w14:paraId="03BE3427" w14:textId="77777777" w:rsidR="00E853FD" w:rsidRDefault="00FE7D53">
      <w:pPr>
        <w:spacing w:line="360" w:lineRule="auto"/>
        <w:ind w:firstLineChars="200" w:firstLine="480"/>
        <w:rPr>
          <w:rFonts w:ascii="宋体"/>
          <w:sz w:val="24"/>
          <w:szCs w:val="24"/>
        </w:rPr>
      </w:pPr>
      <w:r>
        <w:rPr>
          <w:rFonts w:ascii="宋体" w:hAnsi="宋体" w:hint="eastAsia"/>
          <w:sz w:val="24"/>
          <w:szCs w:val="24"/>
        </w:rPr>
        <w:t>若基金管理人</w:t>
      </w:r>
      <w:r>
        <w:rPr>
          <w:rFonts w:ascii="宋体" w:hAnsi="宋体"/>
          <w:sz w:val="24"/>
          <w:szCs w:val="24"/>
        </w:rPr>
        <w:t>/</w:t>
      </w:r>
      <w:r>
        <w:rPr>
          <w:rFonts w:ascii="宋体" w:hAnsi="宋体" w:hint="eastAsia"/>
          <w:sz w:val="24"/>
          <w:szCs w:val="24"/>
        </w:rPr>
        <w:t>基金托管人发生变更，未变更的一方有义务协助变更后的接任人接收相应文件。</w:t>
      </w:r>
    </w:p>
    <w:p w14:paraId="32E36D8C" w14:textId="77777777" w:rsidR="00E853FD" w:rsidRDefault="00FE7D53">
      <w:pPr>
        <w:spacing w:line="360" w:lineRule="auto"/>
        <w:ind w:firstLineChars="200" w:firstLine="480"/>
        <w:rPr>
          <w:rFonts w:ascii="宋体"/>
          <w:sz w:val="24"/>
          <w:szCs w:val="24"/>
        </w:rPr>
      </w:pPr>
      <w:r>
        <w:rPr>
          <w:rFonts w:ascii="宋体" w:hAnsi="宋体" w:hint="eastAsia"/>
          <w:sz w:val="24"/>
          <w:szCs w:val="24"/>
        </w:rPr>
        <w:t>（四）基金管理人和基金托管人应按各自职责完整保存原始凭证、记账凭证、基金账册、交易记录和重要合同等，承担保密义务并保存</w:t>
      </w:r>
      <w:r>
        <w:rPr>
          <w:rFonts w:ascii="宋体" w:hAnsi="宋体" w:cs="宋体" w:hint="eastAsia"/>
          <w:color w:val="000000"/>
          <w:sz w:val="24"/>
          <w:szCs w:val="24"/>
        </w:rPr>
        <w:t>，保存期限不低于法律法规规定的最低期限</w:t>
      </w:r>
      <w:r>
        <w:rPr>
          <w:rFonts w:ascii="宋体" w:hAnsi="宋体" w:hint="eastAsia"/>
          <w:sz w:val="24"/>
          <w:szCs w:val="24"/>
        </w:rPr>
        <w:t>。</w:t>
      </w:r>
    </w:p>
    <w:p w14:paraId="59EE623C" w14:textId="77777777" w:rsidR="00E853FD" w:rsidRDefault="00FE7D53">
      <w:pPr>
        <w:spacing w:afterLines="100" w:after="312" w:line="360" w:lineRule="auto"/>
        <w:jc w:val="center"/>
        <w:outlineLvl w:val="0"/>
        <w:rPr>
          <w:b/>
          <w:sz w:val="30"/>
          <w:szCs w:val="30"/>
        </w:rPr>
      </w:pPr>
      <w:r>
        <w:rPr>
          <w:rFonts w:ascii="宋体" w:hAnsi="宋体"/>
          <w:sz w:val="24"/>
          <w:szCs w:val="24"/>
        </w:rPr>
        <w:t xml:space="preserve"> </w:t>
      </w:r>
      <w:r>
        <w:rPr>
          <w:rFonts w:ascii="宋体" w:hAnsi="宋体"/>
          <w:sz w:val="24"/>
          <w:szCs w:val="24"/>
        </w:rPr>
        <w:br w:type="page"/>
      </w:r>
      <w:bookmarkStart w:id="23" w:name="_Toc440289544"/>
      <w:bookmarkStart w:id="24" w:name="_Toc440289545"/>
      <w:r>
        <w:rPr>
          <w:rFonts w:hint="eastAsia"/>
          <w:b/>
          <w:sz w:val="30"/>
          <w:szCs w:val="30"/>
        </w:rPr>
        <w:lastRenderedPageBreak/>
        <w:t>十四、基金管理人和基金托管人的更换</w:t>
      </w:r>
      <w:bookmarkEnd w:id="23"/>
      <w:bookmarkEnd w:id="24"/>
    </w:p>
    <w:p w14:paraId="293B717D" w14:textId="77777777"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t>（一）基金管理人的更换</w:t>
      </w:r>
    </w:p>
    <w:p w14:paraId="687D8C25" w14:textId="77777777" w:rsidR="00E853FD" w:rsidRPr="00114370" w:rsidRDefault="00FE7D53">
      <w:pPr>
        <w:spacing w:line="360" w:lineRule="auto"/>
        <w:ind w:firstLineChars="200" w:firstLine="480"/>
        <w:rPr>
          <w:rFonts w:ascii="宋体" w:hAnsi="宋体"/>
          <w:sz w:val="24"/>
        </w:rPr>
      </w:pPr>
      <w:r w:rsidRPr="00114370">
        <w:rPr>
          <w:rFonts w:ascii="宋体" w:hAnsi="宋体"/>
          <w:sz w:val="24"/>
        </w:rPr>
        <w:t>1</w:t>
      </w:r>
      <w:r w:rsidRPr="00114370">
        <w:rPr>
          <w:rFonts w:ascii="宋体" w:hAnsi="宋体" w:hint="eastAsia"/>
          <w:sz w:val="24"/>
        </w:rPr>
        <w:t>．基金管理人的更换条件</w:t>
      </w:r>
    </w:p>
    <w:p w14:paraId="33764913" w14:textId="77777777"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t>有下列情形之一的，基金管理人职责终止：</w:t>
      </w:r>
    </w:p>
    <w:p w14:paraId="5BDE2B60" w14:textId="77777777"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t>（</w:t>
      </w:r>
      <w:r w:rsidRPr="00114370">
        <w:rPr>
          <w:rFonts w:ascii="宋体" w:hAnsi="宋体"/>
          <w:sz w:val="24"/>
        </w:rPr>
        <w:t>1</w:t>
      </w:r>
      <w:r w:rsidRPr="00114370">
        <w:rPr>
          <w:rFonts w:ascii="宋体" w:hAnsi="宋体" w:hint="eastAsia"/>
          <w:sz w:val="24"/>
        </w:rPr>
        <w:t>）被依法取消基金管理资格；</w:t>
      </w:r>
    </w:p>
    <w:p w14:paraId="7532FB08" w14:textId="77777777"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t>（</w:t>
      </w:r>
      <w:r w:rsidRPr="00114370">
        <w:rPr>
          <w:rFonts w:ascii="宋体" w:hAnsi="宋体"/>
          <w:sz w:val="24"/>
        </w:rPr>
        <w:t>2</w:t>
      </w:r>
      <w:r w:rsidRPr="00114370">
        <w:rPr>
          <w:rFonts w:ascii="宋体" w:hAnsi="宋体" w:hint="eastAsia"/>
          <w:sz w:val="24"/>
        </w:rPr>
        <w:t>）被基金份额持有人大会解任；</w:t>
      </w:r>
    </w:p>
    <w:p w14:paraId="3FD55718" w14:textId="77777777"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t>（</w:t>
      </w:r>
      <w:r w:rsidRPr="00114370">
        <w:rPr>
          <w:rFonts w:ascii="宋体" w:hAnsi="宋体"/>
          <w:sz w:val="24"/>
        </w:rPr>
        <w:t>3</w:t>
      </w:r>
      <w:r w:rsidRPr="00114370">
        <w:rPr>
          <w:rFonts w:ascii="宋体" w:hAnsi="宋体" w:hint="eastAsia"/>
          <w:sz w:val="24"/>
        </w:rPr>
        <w:t>）依法解散、被依法撤销或被依法宣告破产；</w:t>
      </w:r>
    </w:p>
    <w:p w14:paraId="767B10DA" w14:textId="77777777"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t>（</w:t>
      </w:r>
      <w:r w:rsidRPr="00114370">
        <w:rPr>
          <w:rFonts w:ascii="宋体" w:hAnsi="宋体"/>
          <w:sz w:val="24"/>
        </w:rPr>
        <w:t>4</w:t>
      </w:r>
      <w:r w:rsidRPr="00114370">
        <w:rPr>
          <w:rFonts w:ascii="宋体" w:hAnsi="宋体" w:hint="eastAsia"/>
          <w:sz w:val="24"/>
        </w:rPr>
        <w:t>）法律法规及中国证监会规定的和《基金合同》约定的其他情形。</w:t>
      </w:r>
    </w:p>
    <w:p w14:paraId="6A4272EE" w14:textId="77777777" w:rsidR="00E853FD" w:rsidRPr="00114370" w:rsidRDefault="00FE7D53">
      <w:pPr>
        <w:spacing w:line="360" w:lineRule="auto"/>
        <w:ind w:firstLineChars="200" w:firstLine="480"/>
        <w:rPr>
          <w:rFonts w:ascii="宋体" w:hAnsi="宋体"/>
          <w:sz w:val="24"/>
        </w:rPr>
      </w:pPr>
      <w:r w:rsidRPr="00114370">
        <w:rPr>
          <w:rFonts w:ascii="宋体" w:hAnsi="宋体"/>
          <w:sz w:val="24"/>
        </w:rPr>
        <w:t>2</w:t>
      </w:r>
      <w:r w:rsidRPr="00114370">
        <w:rPr>
          <w:rFonts w:ascii="宋体" w:hAnsi="宋体" w:hint="eastAsia"/>
          <w:sz w:val="24"/>
        </w:rPr>
        <w:t>．基金管理人的更换程序</w:t>
      </w:r>
    </w:p>
    <w:p w14:paraId="123FF87E" w14:textId="77777777"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t>更换基金管理人必须依照如下程序进行：</w:t>
      </w:r>
    </w:p>
    <w:p w14:paraId="3B2CC00F" w14:textId="77777777"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t>（</w:t>
      </w:r>
      <w:r w:rsidRPr="00114370">
        <w:rPr>
          <w:rFonts w:ascii="宋体" w:hAnsi="宋体"/>
          <w:sz w:val="24"/>
        </w:rPr>
        <w:t>1</w:t>
      </w:r>
      <w:r w:rsidRPr="00114370">
        <w:rPr>
          <w:rFonts w:ascii="宋体" w:hAnsi="宋体" w:hint="eastAsia"/>
          <w:sz w:val="24"/>
        </w:rPr>
        <w:t>）提名：新任基金管理人由基金托管人或由单独或合计持</w:t>
      </w:r>
      <w:r>
        <w:rPr>
          <w:rFonts w:ascii="宋体" w:hAnsi="宋体" w:hint="eastAsia"/>
          <w:sz w:val="24"/>
        </w:rPr>
        <w:t>有</w:t>
      </w:r>
      <w:r w:rsidRPr="00114370">
        <w:rPr>
          <w:rFonts w:ascii="宋体" w:hAnsi="宋体"/>
          <w:sz w:val="24"/>
        </w:rPr>
        <w:t>10%</w:t>
      </w:r>
      <w:r>
        <w:rPr>
          <w:rFonts w:ascii="宋体" w:hAnsi="宋体" w:hint="eastAsia"/>
          <w:sz w:val="24"/>
        </w:rPr>
        <w:t>以上（含</w:t>
      </w:r>
      <w:r w:rsidRPr="00114370">
        <w:rPr>
          <w:rFonts w:ascii="宋体" w:hAnsi="宋体"/>
          <w:sz w:val="24"/>
        </w:rPr>
        <w:t>10%</w:t>
      </w:r>
      <w:r>
        <w:rPr>
          <w:rFonts w:ascii="宋体" w:hAnsi="宋体" w:hint="eastAsia"/>
          <w:sz w:val="24"/>
        </w:rPr>
        <w:t>）基金份额的基金份额持有人提名；</w:t>
      </w:r>
    </w:p>
    <w:p w14:paraId="3ED0C176" w14:textId="77777777" w:rsidR="00E853FD" w:rsidRPr="00114370" w:rsidRDefault="00FE7D53">
      <w:pPr>
        <w:spacing w:line="360" w:lineRule="auto"/>
        <w:ind w:firstLineChars="200" w:firstLine="480"/>
        <w:rPr>
          <w:rFonts w:ascii="宋体" w:hAnsi="宋体"/>
          <w:sz w:val="24"/>
        </w:rPr>
      </w:pPr>
      <w:r>
        <w:rPr>
          <w:rFonts w:ascii="宋体" w:hAnsi="宋体" w:hint="eastAsia"/>
          <w:sz w:val="24"/>
        </w:rPr>
        <w:t>（</w:t>
      </w:r>
      <w:r>
        <w:rPr>
          <w:rFonts w:ascii="宋体" w:hAnsi="宋体"/>
          <w:sz w:val="24"/>
        </w:rPr>
        <w:t>2</w:t>
      </w:r>
      <w:r>
        <w:rPr>
          <w:rFonts w:ascii="宋体" w:hAnsi="宋体" w:hint="eastAsia"/>
          <w:sz w:val="24"/>
        </w:rPr>
        <w:t>）决议：基金份额持有人大会在基金管理人职责终止后</w:t>
      </w:r>
      <w:r w:rsidRPr="00114370">
        <w:rPr>
          <w:rFonts w:ascii="宋体" w:hAnsi="宋体"/>
          <w:sz w:val="24"/>
        </w:rPr>
        <w:t>6</w:t>
      </w:r>
      <w:r>
        <w:rPr>
          <w:rFonts w:ascii="宋体" w:hAnsi="宋体" w:hint="eastAsia"/>
          <w:sz w:val="24"/>
        </w:rPr>
        <w:t>个月内对被</w:t>
      </w:r>
      <w:r w:rsidRPr="00114370">
        <w:rPr>
          <w:rFonts w:ascii="宋体" w:hAnsi="宋体" w:hint="eastAsia"/>
          <w:sz w:val="24"/>
        </w:rPr>
        <w:t>提名的基金管理人形成决议，该决议需经参加大会的基金份额持有人所持表决权的三分之二以上（含三分之二）表决通过；</w:t>
      </w:r>
    </w:p>
    <w:p w14:paraId="699AA6AE" w14:textId="77777777"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t>（</w:t>
      </w:r>
      <w:r w:rsidRPr="00114370">
        <w:rPr>
          <w:rFonts w:ascii="宋体" w:hAnsi="宋体"/>
          <w:sz w:val="24"/>
        </w:rPr>
        <w:t>3</w:t>
      </w:r>
      <w:r w:rsidRPr="00114370">
        <w:rPr>
          <w:rFonts w:ascii="宋体" w:hAnsi="宋体" w:hint="eastAsia"/>
          <w:sz w:val="24"/>
        </w:rPr>
        <w:t>）临时基金管理人：新任基金管理人产生之前，由中国证监会指定临时基金管理人；</w:t>
      </w:r>
    </w:p>
    <w:p w14:paraId="6CF940BE" w14:textId="77777777"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t>（</w:t>
      </w:r>
      <w:r w:rsidRPr="00114370">
        <w:rPr>
          <w:rFonts w:ascii="宋体" w:hAnsi="宋体"/>
          <w:sz w:val="24"/>
        </w:rPr>
        <w:t>4</w:t>
      </w:r>
      <w:r w:rsidRPr="00114370">
        <w:rPr>
          <w:rFonts w:ascii="宋体" w:hAnsi="宋体" w:hint="eastAsia"/>
          <w:sz w:val="24"/>
        </w:rPr>
        <w:t>）备案：基金份额持有人大会选任基金管理人的决议须报中国证监会备案；</w:t>
      </w:r>
    </w:p>
    <w:p w14:paraId="3135A991" w14:textId="1AF8119D"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t>（</w:t>
      </w:r>
      <w:r w:rsidRPr="00114370">
        <w:rPr>
          <w:rFonts w:ascii="宋体" w:hAnsi="宋体"/>
          <w:sz w:val="24"/>
        </w:rPr>
        <w:t>5</w:t>
      </w:r>
      <w:r w:rsidRPr="00114370">
        <w:rPr>
          <w:rFonts w:ascii="宋体" w:hAnsi="宋体" w:hint="eastAsia"/>
          <w:sz w:val="24"/>
        </w:rPr>
        <w:t>）公告：基金管理人更换后，由基金托管人在更换基金管理人的基金份额持有人大会决议生效</w:t>
      </w:r>
      <w:r>
        <w:rPr>
          <w:rFonts w:ascii="宋体" w:hAnsi="宋体" w:hint="eastAsia"/>
          <w:sz w:val="24"/>
        </w:rPr>
        <w:t>后</w:t>
      </w:r>
      <w:r>
        <w:rPr>
          <w:rFonts w:ascii="宋体" w:hAnsi="宋体"/>
          <w:sz w:val="24"/>
        </w:rPr>
        <w:t>2</w:t>
      </w:r>
      <w:r>
        <w:rPr>
          <w:rFonts w:ascii="宋体" w:hAnsi="宋体" w:hint="eastAsia"/>
          <w:sz w:val="24"/>
        </w:rPr>
        <w:t>日</w:t>
      </w:r>
      <w:r w:rsidRPr="00114370">
        <w:rPr>
          <w:rFonts w:ascii="宋体" w:hAnsi="宋体" w:hint="eastAsia"/>
          <w:sz w:val="24"/>
        </w:rPr>
        <w:t>内在</w:t>
      </w:r>
      <w:r w:rsidR="00C91B0E">
        <w:rPr>
          <w:rFonts w:ascii="宋体" w:hAnsi="宋体" w:hint="eastAsia"/>
          <w:sz w:val="24"/>
        </w:rPr>
        <w:t>规定媒介</w:t>
      </w:r>
      <w:r w:rsidRPr="00114370">
        <w:rPr>
          <w:rFonts w:ascii="宋体" w:hAnsi="宋体" w:hint="eastAsia"/>
          <w:sz w:val="24"/>
        </w:rPr>
        <w:t>公告；</w:t>
      </w:r>
    </w:p>
    <w:p w14:paraId="72B6F2EB" w14:textId="77777777"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t>（</w:t>
      </w:r>
      <w:r w:rsidRPr="00114370">
        <w:rPr>
          <w:rFonts w:ascii="宋体" w:hAnsi="宋体"/>
          <w:sz w:val="24"/>
        </w:rPr>
        <w:t>6</w:t>
      </w:r>
      <w:r w:rsidRPr="00114370">
        <w:rPr>
          <w:rFonts w:ascii="宋体" w:hAnsi="宋体" w:hint="eastAsia"/>
          <w:sz w:val="24"/>
        </w:rPr>
        <w:t>）交接：基金管理人职责终止的，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和净值；</w:t>
      </w:r>
    </w:p>
    <w:p w14:paraId="6F921A01" w14:textId="41D540A0"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t>（</w:t>
      </w:r>
      <w:r w:rsidRPr="00114370">
        <w:rPr>
          <w:rFonts w:ascii="宋体" w:hAnsi="宋体"/>
          <w:sz w:val="24"/>
        </w:rPr>
        <w:t>7</w:t>
      </w:r>
      <w:r w:rsidRPr="00114370">
        <w:rPr>
          <w:rFonts w:ascii="宋体" w:hAnsi="宋体" w:hint="eastAsia"/>
          <w:sz w:val="24"/>
        </w:rPr>
        <w:t>）审计：基金管理人职责终止的，应当按照法律法规规定聘请</w:t>
      </w:r>
      <w:r w:rsidR="000E46FE" w:rsidRPr="00114370">
        <w:rPr>
          <w:rFonts w:ascii="宋体" w:hAnsi="宋体" w:hint="eastAsia"/>
          <w:sz w:val="24"/>
        </w:rPr>
        <w:t>符合《证券法》规定的</w:t>
      </w:r>
      <w:r w:rsidRPr="00114370">
        <w:rPr>
          <w:rFonts w:ascii="宋体" w:hAnsi="宋体" w:hint="eastAsia"/>
          <w:sz w:val="24"/>
        </w:rPr>
        <w:t>会计师事务所对基金财产进行审计，并将审计结果予以公告，同时报中国证监会备案；</w:t>
      </w:r>
    </w:p>
    <w:p w14:paraId="52FC8349" w14:textId="77777777"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lastRenderedPageBreak/>
        <w:t>（</w:t>
      </w:r>
      <w:r w:rsidRPr="00114370">
        <w:rPr>
          <w:rFonts w:ascii="宋体" w:hAnsi="宋体"/>
          <w:sz w:val="24"/>
        </w:rPr>
        <w:t>8</w:t>
      </w:r>
      <w:r w:rsidRPr="00114370">
        <w:rPr>
          <w:rFonts w:ascii="宋体" w:hAnsi="宋体" w:hint="eastAsia"/>
          <w:sz w:val="24"/>
        </w:rPr>
        <w:t>）基金名称变更：基金管理人更换后，如果原任或新任基金管理人要求，应按其要求替换或删除基金名称中与原基金管理人有关的名称字样。</w:t>
      </w:r>
    </w:p>
    <w:p w14:paraId="3C456927" w14:textId="77777777"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t>（二）基金托管人的更换</w:t>
      </w:r>
    </w:p>
    <w:p w14:paraId="4DDFCAA5" w14:textId="77777777" w:rsidR="00E853FD" w:rsidRPr="00114370" w:rsidRDefault="00FE7D53">
      <w:pPr>
        <w:spacing w:line="360" w:lineRule="auto"/>
        <w:ind w:firstLineChars="200" w:firstLine="480"/>
        <w:rPr>
          <w:rFonts w:ascii="宋体" w:hAnsi="宋体"/>
          <w:sz w:val="24"/>
        </w:rPr>
      </w:pPr>
      <w:r w:rsidRPr="00114370">
        <w:rPr>
          <w:rFonts w:ascii="宋体" w:hAnsi="宋体"/>
          <w:sz w:val="24"/>
        </w:rPr>
        <w:t>1</w:t>
      </w:r>
      <w:r w:rsidRPr="00114370">
        <w:rPr>
          <w:rFonts w:ascii="宋体" w:hAnsi="宋体" w:hint="eastAsia"/>
          <w:sz w:val="24"/>
        </w:rPr>
        <w:t>．基金托管人的更换条件</w:t>
      </w:r>
    </w:p>
    <w:p w14:paraId="1D6DEEBD" w14:textId="77777777" w:rsidR="00E853FD" w:rsidRPr="00114370" w:rsidRDefault="00FE7D53">
      <w:pPr>
        <w:spacing w:line="360" w:lineRule="auto"/>
        <w:ind w:firstLineChars="200" w:firstLine="480"/>
        <w:rPr>
          <w:rFonts w:ascii="宋体" w:hAnsi="宋体"/>
          <w:sz w:val="24"/>
        </w:rPr>
      </w:pPr>
      <w:r w:rsidRPr="00114370">
        <w:rPr>
          <w:rFonts w:ascii="宋体" w:hAnsi="宋体" w:hint="eastAsia"/>
          <w:sz w:val="24"/>
        </w:rPr>
        <w:t>有下列情形之一的，基金托管人职责终止：</w:t>
      </w:r>
    </w:p>
    <w:p w14:paraId="1D6C977D" w14:textId="77777777" w:rsidR="00E853FD" w:rsidRPr="00114370" w:rsidRDefault="00FE7D53">
      <w:pPr>
        <w:spacing w:line="360" w:lineRule="auto"/>
        <w:ind w:firstLineChars="200" w:firstLine="480"/>
        <w:rPr>
          <w:rFonts w:ascii="宋体" w:hAnsi="宋体"/>
          <w:sz w:val="24"/>
        </w:rPr>
      </w:pPr>
      <w:r>
        <w:rPr>
          <w:rFonts w:ascii="宋体" w:hAnsi="宋体" w:hint="eastAsia"/>
          <w:sz w:val="24"/>
        </w:rPr>
        <w:t>（</w:t>
      </w:r>
      <w:r>
        <w:rPr>
          <w:rFonts w:ascii="宋体" w:hAnsi="宋体"/>
          <w:sz w:val="24"/>
        </w:rPr>
        <w:t>1</w:t>
      </w:r>
      <w:r>
        <w:rPr>
          <w:rFonts w:ascii="宋体" w:hAnsi="宋体" w:hint="eastAsia"/>
          <w:sz w:val="24"/>
        </w:rPr>
        <w:t>）被依法取消基金托管资格；</w:t>
      </w:r>
    </w:p>
    <w:p w14:paraId="69FC4D2E" w14:textId="77777777" w:rsidR="00E853FD" w:rsidRPr="00114370" w:rsidRDefault="00FE7D53">
      <w:pPr>
        <w:spacing w:line="360" w:lineRule="auto"/>
        <w:ind w:firstLineChars="200" w:firstLine="480"/>
        <w:rPr>
          <w:rFonts w:ascii="宋体" w:hAnsi="宋体"/>
          <w:sz w:val="24"/>
        </w:rPr>
      </w:pPr>
      <w:r>
        <w:rPr>
          <w:rFonts w:ascii="宋体" w:hAnsi="宋体" w:hint="eastAsia"/>
          <w:sz w:val="24"/>
        </w:rPr>
        <w:t>（</w:t>
      </w:r>
      <w:r>
        <w:rPr>
          <w:rFonts w:ascii="宋体" w:hAnsi="宋体"/>
          <w:sz w:val="24"/>
        </w:rPr>
        <w:t>2</w:t>
      </w:r>
      <w:r>
        <w:rPr>
          <w:rFonts w:ascii="宋体" w:hAnsi="宋体" w:hint="eastAsia"/>
          <w:sz w:val="24"/>
        </w:rPr>
        <w:t>）被基金份额持有人大会解任；</w:t>
      </w:r>
    </w:p>
    <w:p w14:paraId="0F29D573" w14:textId="77777777" w:rsidR="00E853FD" w:rsidRPr="00114370" w:rsidRDefault="00FE7D53">
      <w:pPr>
        <w:spacing w:line="360" w:lineRule="auto"/>
        <w:ind w:firstLineChars="200" w:firstLine="480"/>
        <w:rPr>
          <w:rFonts w:ascii="宋体" w:hAnsi="宋体"/>
          <w:sz w:val="24"/>
        </w:rPr>
      </w:pPr>
      <w:r>
        <w:rPr>
          <w:rFonts w:ascii="宋体" w:hAnsi="宋体" w:hint="eastAsia"/>
          <w:sz w:val="24"/>
        </w:rPr>
        <w:t>（</w:t>
      </w:r>
      <w:r>
        <w:rPr>
          <w:rFonts w:ascii="宋体" w:hAnsi="宋体"/>
          <w:sz w:val="24"/>
        </w:rPr>
        <w:t>3</w:t>
      </w:r>
      <w:r>
        <w:rPr>
          <w:rFonts w:ascii="宋体" w:hAnsi="宋体" w:hint="eastAsia"/>
          <w:sz w:val="24"/>
        </w:rPr>
        <w:t>）依法解散、被依法撤销或被依法宣告破产；</w:t>
      </w:r>
    </w:p>
    <w:p w14:paraId="52EE5A4B" w14:textId="77777777" w:rsidR="00E853FD" w:rsidRPr="00114370" w:rsidRDefault="00FE7D53">
      <w:pPr>
        <w:spacing w:line="360" w:lineRule="auto"/>
        <w:ind w:firstLineChars="200" w:firstLine="480"/>
        <w:rPr>
          <w:rFonts w:ascii="宋体" w:hAnsi="宋体"/>
          <w:sz w:val="24"/>
        </w:rPr>
      </w:pPr>
      <w:r>
        <w:rPr>
          <w:rFonts w:ascii="宋体" w:hAnsi="宋体" w:hint="eastAsia"/>
          <w:sz w:val="24"/>
        </w:rPr>
        <w:t>（</w:t>
      </w:r>
      <w:r>
        <w:rPr>
          <w:rFonts w:ascii="宋体" w:hAnsi="宋体"/>
          <w:sz w:val="24"/>
        </w:rPr>
        <w:t>4</w:t>
      </w:r>
      <w:r>
        <w:rPr>
          <w:rFonts w:ascii="宋体" w:hAnsi="宋体" w:hint="eastAsia"/>
          <w:sz w:val="24"/>
        </w:rPr>
        <w:t>）法律法规及中国证监会规定的和《基金合同》约定的其他情形。</w:t>
      </w:r>
    </w:p>
    <w:p w14:paraId="1D0ACDF5" w14:textId="77777777" w:rsidR="00E853FD" w:rsidRPr="00114370" w:rsidRDefault="00FE7D53">
      <w:pPr>
        <w:spacing w:line="360" w:lineRule="auto"/>
        <w:ind w:firstLineChars="200" w:firstLine="480"/>
        <w:rPr>
          <w:rFonts w:ascii="宋体" w:hAnsi="宋体"/>
          <w:sz w:val="24"/>
        </w:rPr>
      </w:pPr>
      <w:r w:rsidRPr="00114370">
        <w:rPr>
          <w:rFonts w:ascii="宋体" w:hAnsi="宋体"/>
          <w:sz w:val="24"/>
        </w:rPr>
        <w:t>2</w:t>
      </w:r>
      <w:r w:rsidRPr="00114370">
        <w:rPr>
          <w:rFonts w:ascii="宋体" w:hAnsi="宋体" w:hint="eastAsia"/>
          <w:sz w:val="24"/>
        </w:rPr>
        <w:t>．基金托管人的更换程序</w:t>
      </w:r>
    </w:p>
    <w:p w14:paraId="428BFA42" w14:textId="77777777" w:rsidR="00E853FD" w:rsidRPr="00114370" w:rsidRDefault="00FE7D53">
      <w:pPr>
        <w:spacing w:line="360" w:lineRule="auto"/>
        <w:ind w:firstLineChars="200" w:firstLine="480"/>
        <w:rPr>
          <w:rFonts w:ascii="宋体" w:hAnsi="宋体"/>
          <w:sz w:val="24"/>
        </w:rPr>
      </w:pPr>
      <w:r>
        <w:rPr>
          <w:rFonts w:ascii="宋体" w:hAnsi="宋体" w:hint="eastAsia"/>
          <w:sz w:val="24"/>
        </w:rPr>
        <w:t>（</w:t>
      </w:r>
      <w:r>
        <w:rPr>
          <w:rFonts w:ascii="宋体" w:hAnsi="宋体"/>
          <w:sz w:val="24"/>
        </w:rPr>
        <w:t>1</w:t>
      </w:r>
      <w:r>
        <w:rPr>
          <w:rFonts w:ascii="宋体" w:hAnsi="宋体" w:hint="eastAsia"/>
          <w:sz w:val="24"/>
        </w:rPr>
        <w:t>）提名：新任基金托管人由基金管理人或由单独或合计持有</w:t>
      </w:r>
      <w:r w:rsidRPr="00114370">
        <w:rPr>
          <w:rFonts w:ascii="宋体" w:hAnsi="宋体"/>
          <w:sz w:val="24"/>
        </w:rPr>
        <w:t>10%</w:t>
      </w:r>
      <w:r>
        <w:rPr>
          <w:rFonts w:ascii="宋体" w:hAnsi="宋体" w:hint="eastAsia"/>
          <w:sz w:val="24"/>
        </w:rPr>
        <w:t>以上（含</w:t>
      </w:r>
      <w:r w:rsidRPr="00114370">
        <w:rPr>
          <w:rFonts w:ascii="宋体" w:hAnsi="宋体"/>
          <w:sz w:val="24"/>
        </w:rPr>
        <w:t>10%</w:t>
      </w:r>
      <w:r>
        <w:rPr>
          <w:rFonts w:ascii="宋体" w:hAnsi="宋体" w:hint="eastAsia"/>
          <w:sz w:val="24"/>
        </w:rPr>
        <w:t>）基金份额的基金</w:t>
      </w:r>
      <w:r w:rsidRPr="00114370">
        <w:rPr>
          <w:rFonts w:ascii="宋体" w:hAnsi="宋体" w:hint="eastAsia"/>
          <w:sz w:val="24"/>
        </w:rPr>
        <w:t>份额</w:t>
      </w:r>
      <w:r>
        <w:rPr>
          <w:rFonts w:ascii="宋体" w:hAnsi="宋体" w:hint="eastAsia"/>
          <w:sz w:val="24"/>
        </w:rPr>
        <w:t>持有人提名；</w:t>
      </w:r>
    </w:p>
    <w:p w14:paraId="0F0C900B" w14:textId="77777777" w:rsidR="00E853FD" w:rsidRPr="00114370" w:rsidRDefault="00FE7D53">
      <w:pPr>
        <w:spacing w:line="360" w:lineRule="auto"/>
        <w:ind w:firstLineChars="200" w:firstLine="480"/>
        <w:rPr>
          <w:rFonts w:ascii="宋体" w:hAnsi="宋体"/>
          <w:sz w:val="24"/>
        </w:rPr>
      </w:pPr>
      <w:r>
        <w:rPr>
          <w:rFonts w:ascii="宋体" w:hAnsi="宋体" w:hint="eastAsia"/>
          <w:sz w:val="24"/>
        </w:rPr>
        <w:t>（</w:t>
      </w:r>
      <w:r>
        <w:rPr>
          <w:rFonts w:ascii="宋体" w:hAnsi="宋体"/>
          <w:sz w:val="24"/>
        </w:rPr>
        <w:t>2</w:t>
      </w:r>
      <w:r>
        <w:rPr>
          <w:rFonts w:ascii="宋体" w:hAnsi="宋体" w:hint="eastAsia"/>
          <w:sz w:val="24"/>
        </w:rPr>
        <w:t>）决议：基金份额持有人大会在基金托管人职责终止后</w:t>
      </w:r>
      <w:r w:rsidRPr="00114370">
        <w:rPr>
          <w:rFonts w:ascii="宋体" w:hAnsi="宋体"/>
          <w:sz w:val="24"/>
        </w:rPr>
        <w:t>6</w:t>
      </w:r>
      <w:r>
        <w:rPr>
          <w:rFonts w:ascii="宋体" w:hAnsi="宋体" w:hint="eastAsia"/>
          <w:sz w:val="24"/>
        </w:rPr>
        <w:t>个月内对被提名的基金托管人形成决议，该决议需经参加大会的基金份额持有人所持表决权的</w:t>
      </w:r>
      <w:r w:rsidRPr="00114370">
        <w:rPr>
          <w:rFonts w:ascii="宋体" w:hAnsi="宋体" w:hint="eastAsia"/>
          <w:sz w:val="24"/>
        </w:rPr>
        <w:t>三分之二</w:t>
      </w:r>
      <w:r>
        <w:rPr>
          <w:rFonts w:ascii="宋体" w:hAnsi="宋体" w:hint="eastAsia"/>
          <w:sz w:val="24"/>
        </w:rPr>
        <w:t>以上（含</w:t>
      </w:r>
      <w:r w:rsidRPr="00114370">
        <w:rPr>
          <w:rFonts w:ascii="宋体" w:hAnsi="宋体" w:hint="eastAsia"/>
          <w:sz w:val="24"/>
        </w:rPr>
        <w:t>三分之二</w:t>
      </w:r>
      <w:r>
        <w:rPr>
          <w:rFonts w:ascii="宋体" w:hAnsi="宋体" w:hint="eastAsia"/>
          <w:sz w:val="24"/>
        </w:rPr>
        <w:t>）表决通过；</w:t>
      </w:r>
    </w:p>
    <w:p w14:paraId="6FFEB635" w14:textId="77777777" w:rsidR="00E853FD" w:rsidRPr="00114370" w:rsidRDefault="00FE7D53">
      <w:pPr>
        <w:spacing w:line="360" w:lineRule="auto"/>
        <w:ind w:firstLineChars="200" w:firstLine="480"/>
        <w:rPr>
          <w:rFonts w:ascii="宋体" w:hAnsi="宋体"/>
          <w:sz w:val="24"/>
        </w:rPr>
      </w:pPr>
      <w:r>
        <w:rPr>
          <w:rFonts w:ascii="宋体" w:hAnsi="宋体" w:hint="eastAsia"/>
          <w:sz w:val="24"/>
        </w:rPr>
        <w:t>（</w:t>
      </w:r>
      <w:r>
        <w:rPr>
          <w:rFonts w:ascii="宋体" w:hAnsi="宋体"/>
          <w:sz w:val="24"/>
        </w:rPr>
        <w:t>3</w:t>
      </w:r>
      <w:r>
        <w:rPr>
          <w:rFonts w:ascii="宋体" w:hAnsi="宋体" w:hint="eastAsia"/>
          <w:sz w:val="24"/>
        </w:rPr>
        <w:t>）临时基金托管人：新任基金托管人产生之前，由中国证监会指定临时基金托管人；</w:t>
      </w:r>
    </w:p>
    <w:p w14:paraId="19A102A5" w14:textId="77777777" w:rsidR="00E853FD" w:rsidRPr="00114370" w:rsidRDefault="00FE7D53">
      <w:pPr>
        <w:spacing w:line="360" w:lineRule="auto"/>
        <w:ind w:firstLineChars="200" w:firstLine="480"/>
        <w:rPr>
          <w:rFonts w:ascii="宋体" w:hAnsi="宋体"/>
          <w:sz w:val="24"/>
        </w:rPr>
      </w:pPr>
      <w:r>
        <w:rPr>
          <w:rFonts w:ascii="宋体" w:hAnsi="宋体" w:hint="eastAsia"/>
          <w:sz w:val="24"/>
        </w:rPr>
        <w:t>（</w:t>
      </w:r>
      <w:r>
        <w:rPr>
          <w:rFonts w:ascii="宋体" w:hAnsi="宋体"/>
          <w:sz w:val="24"/>
        </w:rPr>
        <w:t>4</w:t>
      </w:r>
      <w:r>
        <w:rPr>
          <w:rFonts w:ascii="宋体" w:hAnsi="宋体" w:hint="eastAsia"/>
          <w:sz w:val="24"/>
        </w:rPr>
        <w:t>）</w:t>
      </w:r>
      <w:r w:rsidRPr="00114370">
        <w:rPr>
          <w:rFonts w:ascii="宋体" w:hAnsi="宋体" w:hint="eastAsia"/>
          <w:sz w:val="24"/>
        </w:rPr>
        <w:t>备案</w:t>
      </w:r>
      <w:r>
        <w:rPr>
          <w:rFonts w:ascii="宋体" w:hAnsi="宋体" w:hint="eastAsia"/>
          <w:sz w:val="24"/>
        </w:rPr>
        <w:t>：基金份额持有人大会更换基金托管人的决议须报中国证监会</w:t>
      </w:r>
      <w:r w:rsidRPr="00114370">
        <w:rPr>
          <w:rFonts w:ascii="宋体" w:hAnsi="宋体" w:hint="eastAsia"/>
          <w:sz w:val="24"/>
        </w:rPr>
        <w:t>备案</w:t>
      </w:r>
      <w:r>
        <w:rPr>
          <w:rFonts w:ascii="宋体" w:hAnsi="宋体" w:hint="eastAsia"/>
          <w:sz w:val="24"/>
        </w:rPr>
        <w:t>；</w:t>
      </w:r>
    </w:p>
    <w:p w14:paraId="50EF434A" w14:textId="57CAA32D" w:rsidR="00E853FD" w:rsidRPr="00114370" w:rsidRDefault="00FE7D53">
      <w:pPr>
        <w:spacing w:line="360" w:lineRule="auto"/>
        <w:ind w:firstLineChars="200" w:firstLine="480"/>
        <w:rPr>
          <w:rFonts w:ascii="宋体" w:hAnsi="宋体"/>
          <w:sz w:val="24"/>
        </w:rPr>
      </w:pPr>
      <w:r>
        <w:rPr>
          <w:rFonts w:ascii="宋体" w:hAnsi="宋体" w:hint="eastAsia"/>
          <w:sz w:val="24"/>
        </w:rPr>
        <w:t>（</w:t>
      </w:r>
      <w:r>
        <w:rPr>
          <w:rFonts w:ascii="宋体" w:hAnsi="宋体"/>
          <w:sz w:val="24"/>
        </w:rPr>
        <w:t>5</w:t>
      </w:r>
      <w:r>
        <w:rPr>
          <w:rFonts w:ascii="宋体" w:hAnsi="宋体" w:hint="eastAsia"/>
          <w:sz w:val="24"/>
        </w:rPr>
        <w:t>）公告：基金托管人更换后，由基金管理人在</w:t>
      </w:r>
      <w:r w:rsidRPr="00114370">
        <w:rPr>
          <w:rFonts w:ascii="宋体" w:hAnsi="宋体" w:hint="eastAsia"/>
          <w:sz w:val="24"/>
        </w:rPr>
        <w:t>更换基金托管人的基金份额持有人大会决议生效</w:t>
      </w:r>
      <w:r>
        <w:rPr>
          <w:rFonts w:ascii="宋体" w:hAnsi="宋体" w:hint="eastAsia"/>
          <w:sz w:val="24"/>
        </w:rPr>
        <w:t>后</w:t>
      </w:r>
      <w:r w:rsidRPr="00114370">
        <w:rPr>
          <w:rFonts w:ascii="宋体" w:hAnsi="宋体"/>
          <w:sz w:val="24"/>
        </w:rPr>
        <w:t>2</w:t>
      </w:r>
      <w:r>
        <w:rPr>
          <w:rFonts w:ascii="宋体" w:hAnsi="宋体" w:hint="eastAsia"/>
          <w:sz w:val="24"/>
        </w:rPr>
        <w:t>日内在</w:t>
      </w:r>
      <w:r w:rsidR="00C91B0E">
        <w:rPr>
          <w:rFonts w:ascii="宋体" w:hAnsi="宋体" w:hint="eastAsia"/>
          <w:sz w:val="24"/>
        </w:rPr>
        <w:t>规定媒介</w:t>
      </w:r>
      <w:r>
        <w:rPr>
          <w:rFonts w:ascii="宋体" w:hAnsi="宋体" w:hint="eastAsia"/>
          <w:sz w:val="24"/>
        </w:rPr>
        <w:t>公告</w:t>
      </w:r>
      <w:r w:rsidRPr="00114370">
        <w:rPr>
          <w:rFonts w:ascii="宋体" w:hAnsi="宋体" w:hint="eastAsia"/>
          <w:sz w:val="24"/>
        </w:rPr>
        <w:t>；</w:t>
      </w:r>
    </w:p>
    <w:p w14:paraId="05F55570" w14:textId="77777777" w:rsidR="00E853FD" w:rsidRDefault="00FE7D53">
      <w:pPr>
        <w:spacing w:line="360" w:lineRule="auto"/>
        <w:ind w:firstLineChars="200" w:firstLine="480"/>
        <w:rPr>
          <w:rFonts w:ascii="宋体" w:hAnsi="宋体"/>
          <w:sz w:val="24"/>
        </w:rPr>
      </w:pPr>
      <w:r>
        <w:rPr>
          <w:rFonts w:ascii="宋体" w:hAnsi="宋体" w:hint="eastAsia"/>
          <w:sz w:val="24"/>
        </w:rPr>
        <w:t>（</w:t>
      </w:r>
      <w:r>
        <w:rPr>
          <w:rFonts w:ascii="宋体" w:hAnsi="宋体"/>
          <w:sz w:val="24"/>
        </w:rPr>
        <w:t>6</w:t>
      </w:r>
      <w:r>
        <w:rPr>
          <w:rFonts w:ascii="宋体" w:hAnsi="宋体" w:hint="eastAsia"/>
          <w:sz w:val="24"/>
        </w:rPr>
        <w:t>）交接：基金托管人职责终止的，应当妥善保管基金财产和基金托管业务资料，及时办理基金财产和基金托管业务的移交手续，新任基金托管人或者临时基金托管人应当及时接收。</w:t>
      </w:r>
      <w:r w:rsidRPr="00114370">
        <w:rPr>
          <w:rFonts w:ascii="宋体" w:hAnsi="宋体" w:hint="eastAsia"/>
          <w:sz w:val="24"/>
        </w:rPr>
        <w:t>临时基金托管人或</w:t>
      </w:r>
      <w:r>
        <w:rPr>
          <w:rFonts w:ascii="宋体" w:hAnsi="宋体" w:hint="eastAsia"/>
          <w:sz w:val="24"/>
        </w:rPr>
        <w:t>新任基金托管人与基金管理人核对基金资产总值</w:t>
      </w:r>
      <w:r w:rsidRPr="00114370">
        <w:rPr>
          <w:rFonts w:ascii="宋体" w:hAnsi="宋体" w:hint="eastAsia"/>
          <w:sz w:val="24"/>
        </w:rPr>
        <w:t>和净值</w:t>
      </w:r>
      <w:r>
        <w:rPr>
          <w:rFonts w:ascii="宋体" w:hAnsi="宋体" w:hint="eastAsia"/>
          <w:sz w:val="24"/>
        </w:rPr>
        <w:t>；</w:t>
      </w:r>
      <w:r>
        <w:rPr>
          <w:rFonts w:ascii="宋体" w:hAnsi="宋体"/>
          <w:sz w:val="24"/>
        </w:rPr>
        <w:t xml:space="preserve"> </w:t>
      </w:r>
    </w:p>
    <w:p w14:paraId="2FDB5E37" w14:textId="31E669B6" w:rsidR="00E853FD" w:rsidRPr="00114370" w:rsidRDefault="00FE7D53">
      <w:pPr>
        <w:spacing w:line="360" w:lineRule="auto"/>
        <w:ind w:firstLineChars="200" w:firstLine="480"/>
        <w:rPr>
          <w:rFonts w:ascii="宋体" w:hAnsi="宋体"/>
          <w:sz w:val="24"/>
        </w:rPr>
      </w:pPr>
      <w:r>
        <w:rPr>
          <w:rFonts w:ascii="宋体" w:hAnsi="宋体" w:hint="eastAsia"/>
          <w:sz w:val="24"/>
        </w:rPr>
        <w:t>（</w:t>
      </w:r>
      <w:r>
        <w:rPr>
          <w:rFonts w:ascii="宋体" w:hAnsi="宋体"/>
          <w:sz w:val="24"/>
        </w:rPr>
        <w:t>7</w:t>
      </w:r>
      <w:r>
        <w:rPr>
          <w:rFonts w:ascii="宋体" w:hAnsi="宋体" w:hint="eastAsia"/>
          <w:sz w:val="24"/>
        </w:rPr>
        <w:t>）审计：基金托管人职责终止的，应当按照法律法规规定聘请</w:t>
      </w:r>
      <w:r w:rsidR="000E46FE" w:rsidRPr="000E46FE">
        <w:rPr>
          <w:rFonts w:ascii="宋体" w:hAnsi="宋体" w:hint="eastAsia"/>
          <w:sz w:val="24"/>
        </w:rPr>
        <w:t>符合《证券法》规定的</w:t>
      </w:r>
      <w:r>
        <w:rPr>
          <w:rFonts w:ascii="宋体" w:hAnsi="宋体" w:hint="eastAsia"/>
          <w:sz w:val="24"/>
        </w:rPr>
        <w:t>会计师事务所对基金财产进行审计，并将审计结果予以公告，同时报中国证监会备案。</w:t>
      </w:r>
    </w:p>
    <w:p w14:paraId="0DBA241F" w14:textId="77777777" w:rsidR="00E853FD" w:rsidRPr="00F32562" w:rsidRDefault="00FE7D53">
      <w:pPr>
        <w:spacing w:line="360" w:lineRule="auto"/>
        <w:ind w:firstLineChars="200" w:firstLine="480"/>
        <w:rPr>
          <w:rFonts w:ascii="宋体" w:hAnsi="宋体"/>
          <w:sz w:val="24"/>
        </w:rPr>
      </w:pPr>
      <w:r>
        <w:rPr>
          <w:rFonts w:ascii="宋体" w:hAnsi="宋体" w:hint="eastAsia"/>
          <w:sz w:val="24"/>
          <w:szCs w:val="24"/>
        </w:rPr>
        <w:t>（三）基</w:t>
      </w:r>
      <w:r w:rsidRPr="00F32562">
        <w:rPr>
          <w:rFonts w:ascii="宋体" w:hAnsi="宋体" w:hint="eastAsia"/>
          <w:sz w:val="24"/>
        </w:rPr>
        <w:t>金管理人与基金托管人同时更换</w:t>
      </w:r>
    </w:p>
    <w:p w14:paraId="39087F52" w14:textId="77777777" w:rsidR="00E853FD" w:rsidRPr="00F32562" w:rsidRDefault="00FE7D53">
      <w:pPr>
        <w:spacing w:line="360" w:lineRule="auto"/>
        <w:ind w:firstLineChars="200" w:firstLine="480"/>
        <w:rPr>
          <w:rFonts w:ascii="宋体" w:hAnsi="宋体"/>
          <w:sz w:val="24"/>
        </w:rPr>
      </w:pPr>
      <w:r>
        <w:rPr>
          <w:rFonts w:ascii="宋体" w:hAnsi="宋体"/>
          <w:sz w:val="24"/>
        </w:rPr>
        <w:lastRenderedPageBreak/>
        <w:t>1</w:t>
      </w:r>
      <w:r>
        <w:rPr>
          <w:rFonts w:ascii="宋体" w:hAnsi="宋体" w:hint="eastAsia"/>
          <w:sz w:val="24"/>
        </w:rPr>
        <w:t>．提名：如果基金管理人和基金托管人同时更换，由单独或合计持有基金总份额</w:t>
      </w:r>
      <w:r w:rsidRPr="00F32562">
        <w:rPr>
          <w:rFonts w:ascii="宋体" w:hAnsi="宋体"/>
          <w:sz w:val="24"/>
        </w:rPr>
        <w:t>10%</w:t>
      </w:r>
      <w:r>
        <w:rPr>
          <w:rFonts w:ascii="宋体" w:hAnsi="宋体" w:hint="eastAsia"/>
          <w:sz w:val="24"/>
        </w:rPr>
        <w:t>以上（含</w:t>
      </w:r>
      <w:r w:rsidRPr="00F32562">
        <w:rPr>
          <w:rFonts w:ascii="宋体" w:hAnsi="宋体"/>
          <w:sz w:val="24"/>
        </w:rPr>
        <w:t>10%</w:t>
      </w:r>
      <w:r>
        <w:rPr>
          <w:rFonts w:ascii="宋体" w:hAnsi="宋体" w:hint="eastAsia"/>
          <w:sz w:val="24"/>
        </w:rPr>
        <w:t>）的基金份额持有人提名新的基金管理人和基金托管人；</w:t>
      </w:r>
    </w:p>
    <w:p w14:paraId="16094043" w14:textId="77777777" w:rsidR="00E853FD" w:rsidRPr="00F32562" w:rsidRDefault="00FE7D53">
      <w:pPr>
        <w:spacing w:line="360" w:lineRule="auto"/>
        <w:ind w:firstLineChars="200" w:firstLine="480"/>
        <w:rPr>
          <w:rFonts w:ascii="宋体" w:hAnsi="宋体"/>
          <w:sz w:val="24"/>
        </w:rPr>
      </w:pPr>
      <w:r>
        <w:rPr>
          <w:rFonts w:ascii="宋体" w:hAnsi="宋体"/>
          <w:sz w:val="24"/>
        </w:rPr>
        <w:t>2</w:t>
      </w:r>
      <w:r>
        <w:rPr>
          <w:rFonts w:ascii="宋体" w:hAnsi="宋体" w:hint="eastAsia"/>
          <w:sz w:val="24"/>
        </w:rPr>
        <w:t>．基金管理人和基金托管人的更换分别按上述程序进行；</w:t>
      </w:r>
    </w:p>
    <w:p w14:paraId="7BF30B26" w14:textId="7F9AB173" w:rsidR="00E853FD" w:rsidRPr="00F32562" w:rsidRDefault="00FE7D53">
      <w:pPr>
        <w:spacing w:line="360" w:lineRule="auto"/>
        <w:ind w:firstLineChars="200" w:firstLine="480"/>
        <w:rPr>
          <w:rFonts w:ascii="宋体" w:hAnsi="宋体"/>
          <w:sz w:val="24"/>
        </w:rPr>
      </w:pPr>
      <w:r>
        <w:rPr>
          <w:rFonts w:ascii="宋体" w:hAnsi="宋体"/>
          <w:sz w:val="24"/>
        </w:rPr>
        <w:t>3</w:t>
      </w:r>
      <w:r>
        <w:rPr>
          <w:rFonts w:ascii="宋体" w:hAnsi="宋体" w:hint="eastAsia"/>
          <w:sz w:val="24"/>
        </w:rPr>
        <w:t>．公告：新任基金管理人和新任基金托管人应在更换基金管理人和基金托管人的基金份额持有人大会决议</w:t>
      </w:r>
      <w:r w:rsidRPr="00F32562">
        <w:rPr>
          <w:rFonts w:ascii="宋体" w:hAnsi="宋体" w:hint="eastAsia"/>
          <w:sz w:val="24"/>
        </w:rPr>
        <w:t>生效</w:t>
      </w:r>
      <w:r>
        <w:rPr>
          <w:rFonts w:ascii="宋体" w:hAnsi="宋体" w:hint="eastAsia"/>
          <w:sz w:val="24"/>
        </w:rPr>
        <w:t>后</w:t>
      </w:r>
      <w:r>
        <w:rPr>
          <w:rFonts w:ascii="宋体" w:hAnsi="宋体"/>
          <w:sz w:val="24"/>
        </w:rPr>
        <w:t>2</w:t>
      </w:r>
      <w:r>
        <w:rPr>
          <w:rFonts w:ascii="宋体" w:hAnsi="宋体" w:hint="eastAsia"/>
          <w:sz w:val="24"/>
        </w:rPr>
        <w:t>日内在</w:t>
      </w:r>
      <w:r w:rsidR="00C91B0E">
        <w:rPr>
          <w:rFonts w:ascii="宋体" w:hAnsi="宋体" w:hint="eastAsia"/>
          <w:sz w:val="24"/>
        </w:rPr>
        <w:t>规定媒介</w:t>
      </w:r>
      <w:r>
        <w:rPr>
          <w:rFonts w:ascii="宋体" w:hAnsi="宋体" w:hint="eastAsia"/>
          <w:sz w:val="24"/>
        </w:rPr>
        <w:t>上联合公告。</w:t>
      </w:r>
    </w:p>
    <w:p w14:paraId="35FFB594" w14:textId="77777777" w:rsidR="00E853FD" w:rsidRPr="00F32562" w:rsidRDefault="00FE7D53">
      <w:pPr>
        <w:spacing w:line="360" w:lineRule="auto"/>
        <w:ind w:firstLineChars="200" w:firstLine="480"/>
        <w:rPr>
          <w:rFonts w:ascii="宋体" w:hAnsi="宋体"/>
          <w:sz w:val="24"/>
        </w:rPr>
      </w:pPr>
      <w:r w:rsidRPr="00F32562">
        <w:rPr>
          <w:rFonts w:ascii="宋体" w:hAnsi="宋体" w:hint="eastAsia"/>
          <w:sz w:val="24"/>
        </w:rPr>
        <w:t>（四）新基金管理人接收基金管理业务或新基金托管人接收基金财产和基金托管业务前，原基金管理人或原基金托管人应继续履行相关职责，并保证不做出对基金份额持有人的利益造成损害的行为。</w:t>
      </w:r>
    </w:p>
    <w:p w14:paraId="2DE5C383" w14:textId="77777777" w:rsidR="00E853FD" w:rsidRPr="00F32562" w:rsidRDefault="00FE7D53">
      <w:pPr>
        <w:spacing w:line="360" w:lineRule="auto"/>
        <w:ind w:firstLineChars="200" w:firstLine="480"/>
        <w:rPr>
          <w:rFonts w:ascii="宋体" w:hAnsi="宋体"/>
          <w:sz w:val="24"/>
        </w:rPr>
      </w:pPr>
      <w:r w:rsidRPr="00F32562">
        <w:rPr>
          <w:rFonts w:ascii="宋体" w:hAnsi="宋体" w:hint="eastAsia"/>
          <w:sz w:val="24"/>
        </w:rPr>
        <w:t>（五）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628A3CC6" w14:textId="77777777" w:rsidR="00E853FD" w:rsidRDefault="00FE7D53">
      <w:pPr>
        <w:spacing w:afterLines="100" w:after="312" w:line="360" w:lineRule="auto"/>
        <w:jc w:val="center"/>
        <w:outlineLvl w:val="0"/>
        <w:rPr>
          <w:b/>
          <w:sz w:val="30"/>
          <w:szCs w:val="30"/>
        </w:rPr>
      </w:pPr>
      <w:r>
        <w:rPr>
          <w:rFonts w:ascii="宋体" w:hAnsi="宋体"/>
          <w:sz w:val="24"/>
          <w:szCs w:val="24"/>
        </w:rPr>
        <w:t xml:space="preserve"> </w:t>
      </w:r>
      <w:r>
        <w:rPr>
          <w:rFonts w:ascii="宋体" w:hAnsi="宋体"/>
          <w:sz w:val="24"/>
          <w:szCs w:val="24"/>
        </w:rPr>
        <w:br w:type="page"/>
      </w:r>
      <w:bookmarkStart w:id="25" w:name="_Toc440289546"/>
      <w:bookmarkStart w:id="26" w:name="_Toc440289547"/>
      <w:r>
        <w:rPr>
          <w:rFonts w:hint="eastAsia"/>
          <w:b/>
          <w:sz w:val="30"/>
          <w:szCs w:val="30"/>
        </w:rPr>
        <w:lastRenderedPageBreak/>
        <w:t>十五、禁止行为</w:t>
      </w:r>
      <w:bookmarkEnd w:id="25"/>
      <w:bookmarkEnd w:id="26"/>
    </w:p>
    <w:p w14:paraId="6C4A5D01" w14:textId="77777777" w:rsidR="00E853FD" w:rsidRDefault="00FE7D53">
      <w:pPr>
        <w:spacing w:line="360" w:lineRule="auto"/>
        <w:ind w:firstLineChars="200" w:firstLine="480"/>
        <w:rPr>
          <w:rFonts w:ascii="宋体"/>
          <w:sz w:val="24"/>
          <w:szCs w:val="24"/>
        </w:rPr>
      </w:pPr>
      <w:r>
        <w:rPr>
          <w:rFonts w:ascii="宋体" w:hAnsi="宋体" w:hint="eastAsia"/>
          <w:sz w:val="24"/>
          <w:szCs w:val="24"/>
        </w:rPr>
        <w:t>本协议当事人禁止从事的行为，包括但不限于：</w:t>
      </w:r>
    </w:p>
    <w:p w14:paraId="7BDEF0D6"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（一）基金管理人、基金托管人将其固有财产或者他人财产混同于基金财产从事证券投资。</w:t>
      </w:r>
    </w:p>
    <w:p w14:paraId="32CA3D26"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（二）基金管理人不公平地对待其管理的不同基金财产，基金托管人不公平地对待其托管的不同基金财产。</w:t>
      </w:r>
    </w:p>
    <w:p w14:paraId="1398BAF1"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（三）基金管理人、基金托管人利用基金财产为基金份额持有人以外的第三人牟取利益。</w:t>
      </w:r>
    </w:p>
    <w:p w14:paraId="654864BF" w14:textId="77777777" w:rsidR="00E853FD" w:rsidRDefault="00FE7D53">
      <w:pPr>
        <w:spacing w:line="360" w:lineRule="auto"/>
        <w:ind w:firstLineChars="200" w:firstLine="480"/>
        <w:rPr>
          <w:rFonts w:ascii="宋体"/>
          <w:sz w:val="24"/>
          <w:szCs w:val="24"/>
        </w:rPr>
      </w:pPr>
      <w:r>
        <w:rPr>
          <w:rFonts w:ascii="宋体" w:hAnsi="宋体" w:hint="eastAsia"/>
          <w:sz w:val="24"/>
          <w:szCs w:val="24"/>
        </w:rPr>
        <w:t>（四）基金管理人、基金托管人向基金份额持有人违规承诺收益或者承担损失。</w:t>
      </w:r>
    </w:p>
    <w:p w14:paraId="254DF23E"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（五）基金管理人、基金托管人对他人泄漏基金运作和管理过程中任何尚未按法律法规规定的方式公开披露的信息。</w:t>
      </w:r>
    </w:p>
    <w:p w14:paraId="3A52FBDB" w14:textId="77777777" w:rsidR="00E853FD" w:rsidRDefault="00FE7D53">
      <w:pPr>
        <w:spacing w:line="360" w:lineRule="auto"/>
        <w:ind w:firstLineChars="200" w:firstLine="480"/>
        <w:rPr>
          <w:rFonts w:ascii="宋体"/>
          <w:sz w:val="24"/>
          <w:szCs w:val="24"/>
        </w:rPr>
      </w:pPr>
      <w:r>
        <w:rPr>
          <w:rFonts w:ascii="宋体" w:hAnsi="宋体" w:hint="eastAsia"/>
          <w:sz w:val="24"/>
          <w:szCs w:val="24"/>
        </w:rPr>
        <w:t>（六）基金管理人在没有充足资金的情况下向基金托管人发出投资指令和赎回、分红资金的划拨指令，或违规向基金托管人发出指令。</w:t>
      </w:r>
    </w:p>
    <w:p w14:paraId="1C94D767"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（七）基金管理人、基金托管人高级管理人员和其他从业人员相互兼职。</w:t>
      </w:r>
    </w:p>
    <w:p w14:paraId="151851E7" w14:textId="77777777" w:rsidR="00E853FD" w:rsidRDefault="00FE7D53">
      <w:pPr>
        <w:spacing w:line="360" w:lineRule="auto"/>
        <w:ind w:firstLineChars="200" w:firstLine="480"/>
        <w:rPr>
          <w:rFonts w:ascii="宋体"/>
          <w:sz w:val="24"/>
          <w:szCs w:val="24"/>
        </w:rPr>
      </w:pPr>
      <w:r>
        <w:rPr>
          <w:rFonts w:ascii="宋体" w:hAnsi="宋体" w:hint="eastAsia"/>
          <w:sz w:val="24"/>
          <w:szCs w:val="24"/>
        </w:rPr>
        <w:t>（八）基金托管人私自动用或处分基金财产，根据基金管理人的合法指令、基金合同或托管协议的规定进行处分的除外。</w:t>
      </w:r>
    </w:p>
    <w:p w14:paraId="610AC955" w14:textId="77777777" w:rsidR="00E853FD" w:rsidRDefault="00FE7D53">
      <w:pPr>
        <w:spacing w:line="360" w:lineRule="auto"/>
        <w:ind w:firstLineChars="200" w:firstLine="480"/>
        <w:rPr>
          <w:rFonts w:ascii="宋体"/>
          <w:sz w:val="24"/>
          <w:szCs w:val="24"/>
        </w:rPr>
      </w:pPr>
      <w:r>
        <w:rPr>
          <w:rFonts w:ascii="宋体" w:hAnsi="宋体" w:hint="eastAsia"/>
          <w:sz w:val="24"/>
          <w:szCs w:val="24"/>
        </w:rPr>
        <w:t>（九）基金财产用于下列投资或者活动：（</w:t>
      </w:r>
      <w:r>
        <w:rPr>
          <w:rFonts w:ascii="宋体" w:hAnsi="宋体"/>
          <w:sz w:val="24"/>
          <w:szCs w:val="24"/>
        </w:rPr>
        <w:t>1</w:t>
      </w:r>
      <w:r>
        <w:rPr>
          <w:rFonts w:ascii="宋体" w:hAnsi="宋体" w:hint="eastAsia"/>
          <w:sz w:val="24"/>
          <w:szCs w:val="24"/>
        </w:rPr>
        <w:t>）承销证券；（</w:t>
      </w:r>
      <w:r>
        <w:rPr>
          <w:rFonts w:ascii="宋体" w:hAnsi="宋体"/>
          <w:sz w:val="24"/>
          <w:szCs w:val="24"/>
        </w:rPr>
        <w:t>2</w:t>
      </w:r>
      <w:r>
        <w:rPr>
          <w:rFonts w:ascii="宋体" w:hAnsi="宋体" w:hint="eastAsia"/>
          <w:sz w:val="24"/>
          <w:szCs w:val="24"/>
        </w:rPr>
        <w:t>）</w:t>
      </w:r>
      <w:r>
        <w:rPr>
          <w:rFonts w:hint="eastAsia"/>
          <w:bCs/>
          <w:sz w:val="24"/>
        </w:rPr>
        <w:t>违反规定</w:t>
      </w:r>
      <w:r>
        <w:rPr>
          <w:rFonts w:ascii="宋体" w:hAnsi="宋体" w:hint="eastAsia"/>
          <w:sz w:val="24"/>
          <w:szCs w:val="24"/>
        </w:rPr>
        <w:t>向他人贷款或者提供担保；（</w:t>
      </w:r>
      <w:r>
        <w:rPr>
          <w:rFonts w:ascii="宋体" w:hAnsi="宋体"/>
          <w:sz w:val="24"/>
          <w:szCs w:val="24"/>
        </w:rPr>
        <w:t>3</w:t>
      </w:r>
      <w:r>
        <w:rPr>
          <w:rFonts w:ascii="宋体" w:hAnsi="宋体" w:hint="eastAsia"/>
          <w:sz w:val="24"/>
          <w:szCs w:val="24"/>
        </w:rPr>
        <w:t>）从事承担无限责任的投资；（</w:t>
      </w:r>
      <w:r>
        <w:rPr>
          <w:rFonts w:ascii="宋体" w:hAnsi="宋体"/>
          <w:sz w:val="24"/>
          <w:szCs w:val="24"/>
        </w:rPr>
        <w:t>4</w:t>
      </w:r>
      <w:r>
        <w:rPr>
          <w:rFonts w:ascii="宋体" w:hAnsi="宋体" w:hint="eastAsia"/>
          <w:sz w:val="24"/>
          <w:szCs w:val="24"/>
        </w:rPr>
        <w:t>）向其基金管理人、基金托管人出资；（</w:t>
      </w:r>
      <w:r>
        <w:rPr>
          <w:rFonts w:ascii="宋体" w:hAnsi="宋体"/>
          <w:sz w:val="24"/>
          <w:szCs w:val="24"/>
        </w:rPr>
        <w:t>5</w:t>
      </w:r>
      <w:r>
        <w:rPr>
          <w:rFonts w:ascii="宋体" w:hAnsi="宋体" w:hint="eastAsia"/>
          <w:sz w:val="24"/>
          <w:szCs w:val="24"/>
        </w:rPr>
        <w:t>）从事内幕交易、操纵证券交易价格及其他不正当的证券交易活动；（</w:t>
      </w:r>
      <w:r>
        <w:rPr>
          <w:rFonts w:ascii="宋体" w:hAnsi="宋体"/>
          <w:sz w:val="24"/>
          <w:szCs w:val="24"/>
        </w:rPr>
        <w:t>6</w:t>
      </w:r>
      <w:r>
        <w:rPr>
          <w:rFonts w:ascii="宋体" w:hAnsi="宋体" w:hint="eastAsia"/>
          <w:sz w:val="24"/>
          <w:szCs w:val="24"/>
        </w:rPr>
        <w:t>）法律、行政法规和</w:t>
      </w:r>
      <w:r>
        <w:rPr>
          <w:rFonts w:hint="eastAsia"/>
          <w:bCs/>
          <w:sz w:val="24"/>
        </w:rPr>
        <w:t>中国证监会</w:t>
      </w:r>
      <w:r>
        <w:rPr>
          <w:rFonts w:ascii="宋体" w:hAnsi="宋体" w:hint="eastAsia"/>
          <w:sz w:val="24"/>
          <w:szCs w:val="24"/>
        </w:rPr>
        <w:t>规定禁止的其他活动。法律、行政法规或监管部门取消上述限制，如适用于本基金，则本基金投资不再受相关限制。</w:t>
      </w:r>
    </w:p>
    <w:p w14:paraId="75DAA77B" w14:textId="77777777" w:rsidR="00E853FD" w:rsidRDefault="00FE7D53">
      <w:pPr>
        <w:spacing w:line="360" w:lineRule="auto"/>
        <w:ind w:firstLineChars="200" w:firstLine="480"/>
        <w:rPr>
          <w:rFonts w:ascii="宋体"/>
          <w:sz w:val="24"/>
          <w:szCs w:val="24"/>
        </w:rPr>
      </w:pPr>
      <w:r>
        <w:rPr>
          <w:rFonts w:ascii="宋体" w:hAnsi="宋体" w:hint="eastAsia"/>
          <w:sz w:val="24"/>
          <w:szCs w:val="24"/>
        </w:rPr>
        <w:t>（十）法律法规和基金合同禁止的其他行为，以及依照法律、行政法规有关规定，由</w:t>
      </w:r>
      <w:r>
        <w:rPr>
          <w:rFonts w:hint="eastAsia"/>
          <w:bCs/>
          <w:sz w:val="24"/>
        </w:rPr>
        <w:t>中国证监会</w:t>
      </w:r>
      <w:r>
        <w:rPr>
          <w:rFonts w:ascii="宋体" w:hAnsi="宋体" w:hint="eastAsia"/>
          <w:sz w:val="24"/>
          <w:szCs w:val="24"/>
        </w:rPr>
        <w:t>规定禁止基金管理人、基金托管人从事的其他行为。</w:t>
      </w:r>
    </w:p>
    <w:p w14:paraId="6057FF36" w14:textId="77777777" w:rsidR="00E853FD" w:rsidRDefault="00FE7D53">
      <w:pPr>
        <w:spacing w:afterLines="100" w:after="312" w:line="360" w:lineRule="auto"/>
        <w:jc w:val="center"/>
        <w:outlineLvl w:val="0"/>
        <w:rPr>
          <w:b/>
          <w:sz w:val="30"/>
          <w:szCs w:val="30"/>
        </w:rPr>
      </w:pPr>
      <w:r>
        <w:rPr>
          <w:rFonts w:ascii="宋体" w:hAnsi="宋体"/>
          <w:sz w:val="24"/>
          <w:szCs w:val="24"/>
        </w:rPr>
        <w:t xml:space="preserve"> </w:t>
      </w:r>
      <w:r>
        <w:rPr>
          <w:rFonts w:ascii="宋体" w:hAnsi="宋体"/>
          <w:sz w:val="24"/>
          <w:szCs w:val="24"/>
        </w:rPr>
        <w:br w:type="page"/>
      </w:r>
      <w:bookmarkStart w:id="27" w:name="_Toc440289549"/>
      <w:bookmarkStart w:id="28" w:name="_Toc440289548"/>
      <w:r>
        <w:rPr>
          <w:rFonts w:hint="eastAsia"/>
          <w:b/>
          <w:sz w:val="30"/>
          <w:szCs w:val="30"/>
        </w:rPr>
        <w:lastRenderedPageBreak/>
        <w:t>十六、托管协议的变更、终止与基金财产的清算</w:t>
      </w:r>
      <w:bookmarkEnd w:id="27"/>
      <w:bookmarkEnd w:id="28"/>
    </w:p>
    <w:p w14:paraId="2AE69941"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（一）托管协议的变更程序</w:t>
      </w:r>
    </w:p>
    <w:p w14:paraId="6B9215E6" w14:textId="6C968D9F" w:rsidR="00E853FD" w:rsidRDefault="00FE7D53">
      <w:pPr>
        <w:spacing w:line="360" w:lineRule="auto"/>
        <w:ind w:firstLineChars="200" w:firstLine="480"/>
        <w:rPr>
          <w:rFonts w:ascii="宋体"/>
          <w:sz w:val="24"/>
          <w:szCs w:val="24"/>
        </w:rPr>
      </w:pPr>
      <w:r>
        <w:rPr>
          <w:rFonts w:ascii="宋体" w:hAnsi="宋体" w:hint="eastAsia"/>
          <w:sz w:val="24"/>
          <w:szCs w:val="24"/>
        </w:rPr>
        <w:t>本协议双方当事人经协商一致</w:t>
      </w:r>
      <w:r w:rsidR="00F07009" w:rsidRPr="00F07009">
        <w:rPr>
          <w:rFonts w:ascii="宋体" w:hAnsi="宋体" w:hint="eastAsia"/>
          <w:sz w:val="24"/>
          <w:szCs w:val="24"/>
        </w:rPr>
        <w:t>并履行适当程序后</w:t>
      </w:r>
      <w:r>
        <w:rPr>
          <w:rFonts w:ascii="宋体" w:hAnsi="宋体" w:hint="eastAsia"/>
          <w:sz w:val="24"/>
          <w:szCs w:val="24"/>
        </w:rPr>
        <w:t>，可以对协议进行修改。修改后的新协议，其内容不得与基金合同的规定有任何冲突。</w:t>
      </w:r>
    </w:p>
    <w:p w14:paraId="5E5EF6BD"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（二）基金托管协议终止出现的情形</w:t>
      </w:r>
    </w:p>
    <w:p w14:paraId="7C2C96EF" w14:textId="77777777"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．基金合同终止；</w:t>
      </w:r>
    </w:p>
    <w:p w14:paraId="55A74CB4"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．基金托管人解散、依法被撤销、破产或由其他基金托管人接管基金资产；</w:t>
      </w:r>
    </w:p>
    <w:p w14:paraId="0E36753A" w14:textId="77777777" w:rsidR="00E853FD" w:rsidRDefault="00FE7D53">
      <w:pPr>
        <w:spacing w:line="360" w:lineRule="auto"/>
        <w:ind w:firstLineChars="200" w:firstLine="480"/>
        <w:rPr>
          <w:rFonts w:ascii="宋体"/>
          <w:sz w:val="24"/>
          <w:szCs w:val="24"/>
        </w:rPr>
      </w:pPr>
      <w:r>
        <w:rPr>
          <w:rFonts w:ascii="宋体" w:hAnsi="宋体"/>
          <w:sz w:val="24"/>
          <w:szCs w:val="24"/>
        </w:rPr>
        <w:t>3</w:t>
      </w:r>
      <w:r>
        <w:rPr>
          <w:rFonts w:ascii="宋体" w:hAnsi="宋体" w:hint="eastAsia"/>
          <w:sz w:val="24"/>
          <w:szCs w:val="24"/>
        </w:rPr>
        <w:t>．基金管理人解散、依法被撤销、破产或由其他基金管理人接管基金管理权；</w:t>
      </w:r>
    </w:p>
    <w:p w14:paraId="5A3BF1C2" w14:textId="77777777" w:rsidR="00E853FD" w:rsidRDefault="00FE7D53">
      <w:pPr>
        <w:spacing w:line="360" w:lineRule="auto"/>
        <w:ind w:firstLineChars="200" w:firstLine="480"/>
        <w:rPr>
          <w:rFonts w:ascii="宋体"/>
          <w:sz w:val="24"/>
          <w:szCs w:val="24"/>
        </w:rPr>
      </w:pPr>
      <w:r>
        <w:rPr>
          <w:rFonts w:ascii="宋体" w:hAnsi="宋体"/>
          <w:sz w:val="24"/>
          <w:szCs w:val="24"/>
        </w:rPr>
        <w:t>4</w:t>
      </w:r>
      <w:r>
        <w:rPr>
          <w:rFonts w:ascii="宋体" w:hAnsi="宋体" w:hint="eastAsia"/>
          <w:sz w:val="24"/>
          <w:szCs w:val="24"/>
        </w:rPr>
        <w:t>．发生法律法规或基金合同规定的终止事项。</w:t>
      </w:r>
    </w:p>
    <w:p w14:paraId="48B68873"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（三）基金财产的清算</w:t>
      </w:r>
    </w:p>
    <w:p w14:paraId="1D9D8FFA" w14:textId="77777777"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．基金财产清算</w:t>
      </w:r>
      <w:r>
        <w:rPr>
          <w:rFonts w:ascii="宋体" w:hAnsi="宋体" w:hint="eastAsia"/>
          <w:kern w:val="0"/>
          <w:sz w:val="24"/>
        </w:rPr>
        <w:t>小</w:t>
      </w:r>
      <w:r>
        <w:rPr>
          <w:rFonts w:ascii="宋体" w:hAnsi="宋体" w:hint="eastAsia"/>
          <w:sz w:val="24"/>
          <w:szCs w:val="24"/>
        </w:rPr>
        <w:t>组</w:t>
      </w:r>
    </w:p>
    <w:p w14:paraId="40A92863" w14:textId="77777777" w:rsidR="00E853FD" w:rsidRDefault="00FE7D53">
      <w:pPr>
        <w:spacing w:line="360" w:lineRule="auto"/>
        <w:ind w:firstLineChars="200" w:firstLine="480"/>
        <w:rPr>
          <w:rFonts w:asci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）自出现基金合同终止事由之日起</w:t>
      </w:r>
      <w:r>
        <w:rPr>
          <w:rFonts w:ascii="宋体" w:hAnsi="宋体"/>
          <w:sz w:val="24"/>
          <w:szCs w:val="24"/>
        </w:rPr>
        <w:t>30</w:t>
      </w:r>
      <w:r>
        <w:rPr>
          <w:rFonts w:ascii="宋体" w:hAnsi="宋体" w:hint="eastAsia"/>
          <w:sz w:val="24"/>
          <w:szCs w:val="24"/>
        </w:rPr>
        <w:t>个工作日内成立清算</w:t>
      </w:r>
      <w:r>
        <w:rPr>
          <w:rFonts w:ascii="宋体" w:hAnsi="宋体" w:hint="eastAsia"/>
          <w:kern w:val="0"/>
          <w:sz w:val="24"/>
        </w:rPr>
        <w:t>小</w:t>
      </w:r>
      <w:r>
        <w:rPr>
          <w:rFonts w:ascii="宋体" w:hAnsi="宋体" w:hint="eastAsia"/>
          <w:sz w:val="24"/>
          <w:szCs w:val="24"/>
        </w:rPr>
        <w:t>组，基金管理人组织基金财产清算</w:t>
      </w:r>
      <w:r>
        <w:rPr>
          <w:rFonts w:ascii="宋体" w:hAnsi="宋体" w:hint="eastAsia"/>
          <w:kern w:val="0"/>
          <w:sz w:val="24"/>
        </w:rPr>
        <w:t>小</w:t>
      </w:r>
      <w:r>
        <w:rPr>
          <w:rFonts w:ascii="宋体" w:hAnsi="宋体" w:hint="eastAsia"/>
          <w:sz w:val="24"/>
          <w:szCs w:val="24"/>
        </w:rPr>
        <w:t>组在中国证监会的监督下进行基金清算。</w:t>
      </w:r>
    </w:p>
    <w:p w14:paraId="347F2B24" w14:textId="66C40EE9" w:rsidR="00E853FD" w:rsidRDefault="00FE7D53">
      <w:pPr>
        <w:spacing w:line="360" w:lineRule="auto"/>
        <w:ind w:firstLineChars="200" w:firstLine="480"/>
        <w:rPr>
          <w:rFonts w:asci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）基金财产清算</w:t>
      </w:r>
      <w:r>
        <w:rPr>
          <w:rFonts w:ascii="宋体" w:hAnsi="宋体" w:hint="eastAsia"/>
          <w:kern w:val="0"/>
          <w:sz w:val="24"/>
        </w:rPr>
        <w:t>小</w:t>
      </w:r>
      <w:r>
        <w:rPr>
          <w:rFonts w:ascii="宋体" w:hAnsi="宋体" w:hint="eastAsia"/>
          <w:sz w:val="24"/>
          <w:szCs w:val="24"/>
        </w:rPr>
        <w:t>组成员由基金管理人、基金托管人、</w:t>
      </w:r>
      <w:r w:rsidR="00286487" w:rsidRPr="00286487">
        <w:rPr>
          <w:rFonts w:ascii="宋体" w:hAnsi="宋体" w:hint="eastAsia"/>
          <w:sz w:val="24"/>
          <w:szCs w:val="24"/>
        </w:rPr>
        <w:t>符合《证券法》规定</w:t>
      </w:r>
      <w:r>
        <w:rPr>
          <w:rFonts w:ascii="宋体" w:hAnsi="宋体" w:hint="eastAsia"/>
          <w:sz w:val="24"/>
          <w:szCs w:val="24"/>
        </w:rPr>
        <w:t>的注册会计师、律师以及中国证监会指定的人员组成。基金财产清算</w:t>
      </w:r>
      <w:r>
        <w:rPr>
          <w:rFonts w:ascii="宋体" w:hAnsi="宋体" w:hint="eastAsia"/>
          <w:kern w:val="0"/>
          <w:sz w:val="24"/>
        </w:rPr>
        <w:t>小</w:t>
      </w:r>
      <w:r>
        <w:rPr>
          <w:rFonts w:ascii="宋体" w:hAnsi="宋体" w:hint="eastAsia"/>
          <w:sz w:val="24"/>
          <w:szCs w:val="24"/>
        </w:rPr>
        <w:t>组可以聘用必要的工作人员。</w:t>
      </w:r>
    </w:p>
    <w:p w14:paraId="0DA6E15E" w14:textId="77777777" w:rsidR="00E853FD" w:rsidRDefault="00FE7D53">
      <w:pPr>
        <w:spacing w:line="360" w:lineRule="auto"/>
        <w:ind w:firstLineChars="200" w:firstLine="480"/>
        <w:rPr>
          <w:rFonts w:asci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）在基金财产清算过程中，基金管理人和基金托管人应各自履行职责，继续忠实、勤勉、尽责地履行基金合同和本托管协议规定的义务，维护基金份额持有人的合法权益。</w:t>
      </w:r>
    </w:p>
    <w:p w14:paraId="56208C18" w14:textId="77777777" w:rsidR="00E853FD" w:rsidRDefault="00FE7D53">
      <w:pPr>
        <w:spacing w:line="360" w:lineRule="auto"/>
        <w:ind w:firstLineChars="200" w:firstLine="480"/>
        <w:rPr>
          <w:rFonts w:asci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）基金财产清算</w:t>
      </w:r>
      <w:r>
        <w:rPr>
          <w:rFonts w:ascii="宋体" w:hAnsi="宋体" w:hint="eastAsia"/>
          <w:kern w:val="0"/>
          <w:sz w:val="24"/>
        </w:rPr>
        <w:t>小</w:t>
      </w:r>
      <w:r>
        <w:rPr>
          <w:rFonts w:ascii="宋体" w:hAnsi="宋体" w:hint="eastAsia"/>
          <w:sz w:val="24"/>
          <w:szCs w:val="24"/>
        </w:rPr>
        <w:t>组负责基金财产的保管、清理、估价、变现和分配。基金财产清算</w:t>
      </w:r>
      <w:r>
        <w:rPr>
          <w:rFonts w:ascii="宋体" w:hAnsi="宋体" w:hint="eastAsia"/>
          <w:kern w:val="0"/>
          <w:sz w:val="24"/>
        </w:rPr>
        <w:t>小</w:t>
      </w:r>
      <w:r>
        <w:rPr>
          <w:rFonts w:ascii="宋体" w:hAnsi="宋体" w:hint="eastAsia"/>
          <w:sz w:val="24"/>
          <w:szCs w:val="24"/>
        </w:rPr>
        <w:t>组可以依法进行必要的民事活动。</w:t>
      </w:r>
    </w:p>
    <w:p w14:paraId="39AB505B"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．基金财产清算程序</w:t>
      </w:r>
    </w:p>
    <w:p w14:paraId="7C369284"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基金合同终止，应当按法律法规和基金合同的有关规定对基金财产进行清算。基金财产清算程序主要包括：</w:t>
      </w:r>
    </w:p>
    <w:p w14:paraId="549FBB87" w14:textId="4250CD25" w:rsidR="00E853FD" w:rsidRDefault="00FE7D53">
      <w:pPr>
        <w:spacing w:line="360" w:lineRule="auto"/>
        <w:ind w:firstLineChars="200" w:firstLine="480"/>
        <w:rPr>
          <w:bCs/>
          <w:sz w:val="24"/>
        </w:rPr>
      </w:pPr>
      <w:r>
        <w:rPr>
          <w:rFonts w:ascii="宋体" w:hAnsi="宋体" w:hint="eastAsia"/>
          <w:bCs/>
          <w:sz w:val="24"/>
        </w:rPr>
        <w:t>（</w:t>
      </w:r>
      <w:r>
        <w:rPr>
          <w:rFonts w:ascii="宋体" w:hAnsi="宋体"/>
          <w:bCs/>
          <w:sz w:val="24"/>
        </w:rPr>
        <w:t>1</w:t>
      </w:r>
      <w:r>
        <w:rPr>
          <w:rFonts w:ascii="宋体" w:hAnsi="宋体" w:hint="eastAsia"/>
          <w:bCs/>
          <w:sz w:val="24"/>
        </w:rPr>
        <w:t>）</w:t>
      </w:r>
      <w:r>
        <w:rPr>
          <w:rFonts w:hint="eastAsia"/>
          <w:bCs/>
          <w:sz w:val="24"/>
        </w:rPr>
        <w:t>《基金合同》终止情形出现时，由基金财产清算小组统一接管基金</w:t>
      </w:r>
      <w:r w:rsidR="007A4228">
        <w:rPr>
          <w:rFonts w:hint="eastAsia"/>
          <w:bCs/>
          <w:sz w:val="24"/>
        </w:rPr>
        <w:t>财产</w:t>
      </w:r>
      <w:r>
        <w:rPr>
          <w:rFonts w:hint="eastAsia"/>
          <w:bCs/>
          <w:sz w:val="24"/>
        </w:rPr>
        <w:t>；</w:t>
      </w:r>
    </w:p>
    <w:p w14:paraId="0EEA0156" w14:textId="77777777" w:rsidR="00E853FD" w:rsidRDefault="00FE7D53">
      <w:pPr>
        <w:spacing w:line="360" w:lineRule="auto"/>
        <w:ind w:firstLineChars="200" w:firstLine="480"/>
        <w:rPr>
          <w:bCs/>
          <w:sz w:val="24"/>
        </w:rPr>
      </w:pPr>
      <w:r>
        <w:rPr>
          <w:rFonts w:ascii="宋体" w:hAnsi="宋体" w:hint="eastAsia"/>
          <w:bCs/>
          <w:sz w:val="24"/>
        </w:rPr>
        <w:t>（</w:t>
      </w:r>
      <w:r>
        <w:rPr>
          <w:rFonts w:ascii="宋体" w:hAnsi="宋体"/>
          <w:bCs/>
          <w:sz w:val="24"/>
        </w:rPr>
        <w:t>2</w:t>
      </w:r>
      <w:r>
        <w:rPr>
          <w:rFonts w:ascii="宋体" w:hAnsi="宋体" w:hint="eastAsia"/>
          <w:bCs/>
          <w:sz w:val="24"/>
        </w:rPr>
        <w:t>）对</w:t>
      </w:r>
      <w:r>
        <w:rPr>
          <w:rFonts w:hint="eastAsia"/>
          <w:bCs/>
          <w:sz w:val="24"/>
        </w:rPr>
        <w:t>基金财产和债权债务进行清理和确认；</w:t>
      </w:r>
    </w:p>
    <w:p w14:paraId="42420B2C" w14:textId="77777777" w:rsidR="00E853FD" w:rsidRDefault="00FE7D53">
      <w:pPr>
        <w:spacing w:line="360" w:lineRule="auto"/>
        <w:ind w:firstLineChars="200" w:firstLine="480"/>
        <w:rPr>
          <w:bCs/>
          <w:sz w:val="24"/>
        </w:rPr>
      </w:pPr>
      <w:r>
        <w:rPr>
          <w:rFonts w:ascii="宋体" w:hAnsi="宋体" w:hint="eastAsia"/>
          <w:bCs/>
          <w:sz w:val="24"/>
        </w:rPr>
        <w:t>（</w:t>
      </w:r>
      <w:r>
        <w:rPr>
          <w:rFonts w:ascii="宋体" w:hAnsi="宋体"/>
          <w:bCs/>
          <w:sz w:val="24"/>
        </w:rPr>
        <w:t>3</w:t>
      </w:r>
      <w:r>
        <w:rPr>
          <w:rFonts w:ascii="宋体" w:hAnsi="宋体" w:hint="eastAsia"/>
          <w:bCs/>
          <w:sz w:val="24"/>
        </w:rPr>
        <w:t>）</w:t>
      </w:r>
      <w:r>
        <w:rPr>
          <w:rFonts w:hint="eastAsia"/>
          <w:bCs/>
          <w:sz w:val="24"/>
        </w:rPr>
        <w:t>对基金财产进行估值和变现；</w:t>
      </w:r>
    </w:p>
    <w:p w14:paraId="7AB36309" w14:textId="77777777" w:rsidR="00E853FD" w:rsidRDefault="00FE7D53">
      <w:pPr>
        <w:spacing w:line="360" w:lineRule="auto"/>
        <w:ind w:firstLineChars="200" w:firstLine="480"/>
        <w:rPr>
          <w:bCs/>
          <w:sz w:val="24"/>
        </w:rPr>
      </w:pPr>
      <w:r>
        <w:rPr>
          <w:rFonts w:ascii="宋体" w:hAnsi="宋体" w:hint="eastAsia"/>
          <w:bCs/>
          <w:sz w:val="24"/>
        </w:rPr>
        <w:lastRenderedPageBreak/>
        <w:t>（</w:t>
      </w:r>
      <w:r>
        <w:rPr>
          <w:rFonts w:ascii="宋体" w:hAnsi="宋体"/>
          <w:bCs/>
          <w:sz w:val="24"/>
        </w:rPr>
        <w:t>4</w:t>
      </w:r>
      <w:r>
        <w:rPr>
          <w:rFonts w:ascii="宋体" w:hAnsi="宋体" w:hint="eastAsia"/>
          <w:bCs/>
          <w:sz w:val="24"/>
        </w:rPr>
        <w:t>）</w:t>
      </w:r>
      <w:r>
        <w:rPr>
          <w:rFonts w:hint="eastAsia"/>
          <w:bCs/>
          <w:sz w:val="24"/>
        </w:rPr>
        <w:t>制作清算报告；</w:t>
      </w:r>
    </w:p>
    <w:p w14:paraId="4EEB381F" w14:textId="77777777" w:rsidR="00E853FD" w:rsidRDefault="00FE7D53">
      <w:pPr>
        <w:spacing w:line="360" w:lineRule="auto"/>
        <w:ind w:firstLineChars="200" w:firstLine="480"/>
        <w:rPr>
          <w:bCs/>
          <w:sz w:val="24"/>
        </w:rPr>
      </w:pPr>
      <w:r>
        <w:rPr>
          <w:rFonts w:ascii="宋体" w:hAnsi="宋体" w:hint="eastAsia"/>
          <w:bCs/>
          <w:sz w:val="24"/>
        </w:rPr>
        <w:t>（</w:t>
      </w:r>
      <w:r>
        <w:rPr>
          <w:rFonts w:ascii="宋体" w:hAnsi="宋体"/>
          <w:bCs/>
          <w:sz w:val="24"/>
        </w:rPr>
        <w:t>5</w:t>
      </w:r>
      <w:r>
        <w:rPr>
          <w:rFonts w:ascii="宋体" w:hAnsi="宋体" w:hint="eastAsia"/>
          <w:bCs/>
          <w:sz w:val="24"/>
        </w:rPr>
        <w:t>）聘</w:t>
      </w:r>
      <w:r>
        <w:rPr>
          <w:rFonts w:hint="eastAsia"/>
          <w:bCs/>
          <w:sz w:val="24"/>
        </w:rPr>
        <w:t>请会计师事务所对清算报告进行外部审计，聘请律师事务所对清算报告出具法律意见书；</w:t>
      </w:r>
    </w:p>
    <w:p w14:paraId="30D4CDD0" w14:textId="77777777" w:rsidR="00E853FD" w:rsidRDefault="00FE7D53">
      <w:pPr>
        <w:spacing w:line="360" w:lineRule="auto"/>
        <w:ind w:firstLineChars="200" w:firstLine="480"/>
        <w:rPr>
          <w:rFonts w:ascii="宋体"/>
          <w:bCs/>
          <w:sz w:val="24"/>
        </w:rPr>
      </w:pPr>
      <w:r>
        <w:rPr>
          <w:rFonts w:ascii="宋体" w:hAnsi="宋体" w:hint="eastAsia"/>
          <w:bCs/>
          <w:sz w:val="24"/>
        </w:rPr>
        <w:t>（</w:t>
      </w:r>
      <w:r>
        <w:rPr>
          <w:rFonts w:ascii="宋体" w:hAnsi="宋体"/>
          <w:bCs/>
          <w:sz w:val="24"/>
        </w:rPr>
        <w:t>6</w:t>
      </w:r>
      <w:r>
        <w:rPr>
          <w:rFonts w:ascii="宋体" w:hAnsi="宋体" w:hint="eastAsia"/>
          <w:bCs/>
          <w:sz w:val="24"/>
        </w:rPr>
        <w:t>）将清算报告报中国证监会备案并公告；</w:t>
      </w:r>
    </w:p>
    <w:p w14:paraId="6EE86227" w14:textId="77777777" w:rsidR="00E853FD" w:rsidRDefault="00FE7D53">
      <w:pPr>
        <w:spacing w:line="360" w:lineRule="auto"/>
        <w:ind w:firstLineChars="200" w:firstLine="480"/>
        <w:rPr>
          <w:rFonts w:ascii="宋体"/>
          <w:sz w:val="24"/>
          <w:szCs w:val="24"/>
        </w:rPr>
      </w:pPr>
      <w:r>
        <w:rPr>
          <w:rFonts w:ascii="宋体" w:hAnsi="宋体" w:hint="eastAsia"/>
          <w:bCs/>
          <w:sz w:val="24"/>
        </w:rPr>
        <w:t>（</w:t>
      </w:r>
      <w:r>
        <w:rPr>
          <w:rFonts w:ascii="宋体" w:hAnsi="宋体"/>
          <w:bCs/>
          <w:sz w:val="24"/>
        </w:rPr>
        <w:t>7</w:t>
      </w:r>
      <w:r>
        <w:rPr>
          <w:rFonts w:ascii="宋体" w:hAnsi="宋体" w:hint="eastAsia"/>
          <w:bCs/>
          <w:sz w:val="24"/>
        </w:rPr>
        <w:t>）对基</w:t>
      </w:r>
      <w:r>
        <w:rPr>
          <w:rFonts w:hint="eastAsia"/>
          <w:bCs/>
          <w:sz w:val="24"/>
        </w:rPr>
        <w:t>金剩余财产进行分配。</w:t>
      </w:r>
    </w:p>
    <w:p w14:paraId="640A57D8" w14:textId="77777777" w:rsidR="00E853FD" w:rsidRDefault="00FE7D53">
      <w:pPr>
        <w:spacing w:line="360" w:lineRule="auto"/>
        <w:ind w:firstLineChars="200" w:firstLine="480"/>
        <w:rPr>
          <w:bCs/>
          <w:sz w:val="24"/>
        </w:rPr>
      </w:pPr>
      <w:r>
        <w:rPr>
          <w:rFonts w:ascii="宋体" w:hAnsi="宋体"/>
          <w:sz w:val="24"/>
          <w:szCs w:val="24"/>
        </w:rPr>
        <w:t>3</w:t>
      </w:r>
      <w:r>
        <w:rPr>
          <w:rFonts w:ascii="宋体" w:hAnsi="宋体" w:hint="eastAsia"/>
          <w:sz w:val="24"/>
          <w:szCs w:val="24"/>
        </w:rPr>
        <w:t>．</w:t>
      </w:r>
      <w:r>
        <w:rPr>
          <w:rFonts w:hint="eastAsia"/>
          <w:bCs/>
          <w:sz w:val="24"/>
        </w:rPr>
        <w:t>基金财产清算的期限为</w:t>
      </w:r>
      <w:r>
        <w:rPr>
          <w:bCs/>
          <w:sz w:val="24"/>
        </w:rPr>
        <w:t>6</w:t>
      </w:r>
      <w:r>
        <w:rPr>
          <w:rFonts w:hint="eastAsia"/>
          <w:bCs/>
          <w:sz w:val="24"/>
        </w:rPr>
        <w:t>个月</w:t>
      </w:r>
      <w:r>
        <w:rPr>
          <w:rFonts w:ascii="Times New Roman" w:hAnsi="Times New Roman" w:hint="eastAsia"/>
          <w:bCs/>
          <w:sz w:val="24"/>
          <w:szCs w:val="20"/>
        </w:rPr>
        <w:t>，但因本基金所持证券的流动性受到限制而不能及时变现的，清算期限相应顺延</w:t>
      </w:r>
      <w:r>
        <w:rPr>
          <w:rFonts w:ascii="Times New Roman" w:hAnsi="Times New Roman" w:hint="eastAsia"/>
          <w:sz w:val="24"/>
        </w:rPr>
        <w:t>。</w:t>
      </w:r>
    </w:p>
    <w:p w14:paraId="7BD8E609" w14:textId="77777777" w:rsidR="00E853FD" w:rsidRDefault="00FE7D53">
      <w:pPr>
        <w:spacing w:line="360" w:lineRule="auto"/>
        <w:ind w:firstLineChars="200" w:firstLine="480"/>
        <w:rPr>
          <w:rFonts w:ascii="宋体"/>
          <w:sz w:val="24"/>
          <w:szCs w:val="24"/>
        </w:rPr>
      </w:pPr>
      <w:r>
        <w:rPr>
          <w:bCs/>
          <w:sz w:val="24"/>
        </w:rPr>
        <w:t xml:space="preserve">4. </w:t>
      </w:r>
      <w:r>
        <w:rPr>
          <w:rFonts w:ascii="宋体" w:hAnsi="宋体" w:hint="eastAsia"/>
          <w:sz w:val="24"/>
          <w:szCs w:val="24"/>
        </w:rPr>
        <w:t>清算费用</w:t>
      </w:r>
    </w:p>
    <w:p w14:paraId="4AFDEF0A" w14:textId="77777777" w:rsidR="00E853FD" w:rsidRDefault="00FE7D53">
      <w:pPr>
        <w:spacing w:line="360" w:lineRule="auto"/>
        <w:ind w:firstLineChars="200" w:firstLine="480"/>
        <w:rPr>
          <w:rFonts w:ascii="宋体"/>
          <w:sz w:val="24"/>
          <w:szCs w:val="24"/>
        </w:rPr>
      </w:pPr>
      <w:r>
        <w:rPr>
          <w:rFonts w:ascii="宋体" w:hAnsi="宋体" w:hint="eastAsia"/>
          <w:sz w:val="24"/>
          <w:szCs w:val="24"/>
        </w:rPr>
        <w:t>清算费用是指基金财产清算</w:t>
      </w:r>
      <w:r>
        <w:rPr>
          <w:rFonts w:ascii="宋体" w:hAnsi="宋体" w:hint="eastAsia"/>
          <w:kern w:val="0"/>
          <w:sz w:val="24"/>
        </w:rPr>
        <w:t>小</w:t>
      </w:r>
      <w:r>
        <w:rPr>
          <w:rFonts w:ascii="宋体" w:hAnsi="宋体" w:hint="eastAsia"/>
          <w:sz w:val="24"/>
          <w:szCs w:val="24"/>
        </w:rPr>
        <w:t>组在进行基金财产清算过程中发生的所有合理费用，清算费用由基金财产清算</w:t>
      </w:r>
      <w:r>
        <w:rPr>
          <w:rFonts w:ascii="宋体" w:hAnsi="宋体" w:hint="eastAsia"/>
          <w:kern w:val="0"/>
          <w:sz w:val="24"/>
        </w:rPr>
        <w:t>小</w:t>
      </w:r>
      <w:r>
        <w:rPr>
          <w:rFonts w:ascii="宋体" w:hAnsi="宋体" w:hint="eastAsia"/>
          <w:sz w:val="24"/>
          <w:szCs w:val="24"/>
        </w:rPr>
        <w:t>组优先从基金财产中支付。</w:t>
      </w:r>
    </w:p>
    <w:p w14:paraId="0AC83192" w14:textId="77777777" w:rsidR="00E853FD" w:rsidRDefault="00FE7D53">
      <w:pPr>
        <w:spacing w:line="360" w:lineRule="auto"/>
        <w:ind w:firstLineChars="200" w:firstLine="480"/>
        <w:rPr>
          <w:rFonts w:ascii="宋体"/>
          <w:sz w:val="24"/>
          <w:szCs w:val="24"/>
        </w:rPr>
      </w:pPr>
      <w:r>
        <w:rPr>
          <w:rFonts w:ascii="宋体" w:hAnsi="宋体"/>
          <w:sz w:val="24"/>
          <w:szCs w:val="24"/>
        </w:rPr>
        <w:t>5</w:t>
      </w:r>
      <w:r>
        <w:rPr>
          <w:rFonts w:ascii="宋体" w:hAnsi="宋体" w:hint="eastAsia"/>
          <w:sz w:val="24"/>
          <w:szCs w:val="24"/>
        </w:rPr>
        <w:t>．基金财产按下列顺序清偿：</w:t>
      </w:r>
    </w:p>
    <w:p w14:paraId="3D2266D6" w14:textId="77777777" w:rsidR="00E853FD" w:rsidRDefault="00FE7D53">
      <w:pPr>
        <w:spacing w:line="360" w:lineRule="auto"/>
        <w:ind w:firstLineChars="200" w:firstLine="480"/>
        <w:rPr>
          <w:rFonts w:asci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）支付清算费用；</w:t>
      </w:r>
    </w:p>
    <w:p w14:paraId="6BCFED71" w14:textId="77777777" w:rsidR="00E853FD" w:rsidRDefault="00FE7D53">
      <w:pPr>
        <w:spacing w:line="360" w:lineRule="auto"/>
        <w:ind w:firstLineChars="200" w:firstLine="480"/>
        <w:rPr>
          <w:rFonts w:asci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）交纳所欠税款；</w:t>
      </w:r>
    </w:p>
    <w:p w14:paraId="22D4EFC1" w14:textId="77777777" w:rsidR="00E853FD" w:rsidRDefault="00FE7D53">
      <w:pPr>
        <w:spacing w:line="360" w:lineRule="auto"/>
        <w:ind w:firstLineChars="200" w:firstLine="480"/>
        <w:rPr>
          <w:rFonts w:asci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）清偿基金债务；</w:t>
      </w:r>
    </w:p>
    <w:p w14:paraId="5DFE8193" w14:textId="4251C89D" w:rsidR="00E853FD" w:rsidRDefault="00FE7D53">
      <w:pPr>
        <w:spacing w:line="360" w:lineRule="auto"/>
        <w:ind w:firstLineChars="200" w:firstLine="480"/>
        <w:rPr>
          <w:rFonts w:asci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）按基金份额持有人持有的基金份额比例进行分配</w:t>
      </w:r>
      <w:r w:rsidR="004566F6" w:rsidRPr="004566F6">
        <w:rPr>
          <w:rFonts w:ascii="宋体" w:hAnsi="宋体" w:hint="eastAsia"/>
          <w:sz w:val="24"/>
          <w:szCs w:val="24"/>
        </w:rPr>
        <w:t>，并加上返还基金份额持有人的销售服务费（如有）</w:t>
      </w:r>
      <w:r>
        <w:rPr>
          <w:rFonts w:ascii="宋体" w:hAnsi="宋体" w:hint="eastAsia"/>
          <w:sz w:val="24"/>
          <w:szCs w:val="24"/>
        </w:rPr>
        <w:t>。</w:t>
      </w:r>
    </w:p>
    <w:p w14:paraId="07BDC2AA"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基金财产未按前款（</w:t>
      </w:r>
      <w:r>
        <w:rPr>
          <w:rFonts w:ascii="宋体" w:hAnsi="宋体"/>
          <w:sz w:val="24"/>
          <w:szCs w:val="24"/>
        </w:rPr>
        <w:t>1</w:t>
      </w:r>
      <w:r>
        <w:rPr>
          <w:rFonts w:ascii="宋体" w:hAnsi="宋体" w:hint="eastAsia"/>
          <w:sz w:val="24"/>
          <w:szCs w:val="24"/>
        </w:rPr>
        <w:t>）－（</w:t>
      </w:r>
      <w:r>
        <w:rPr>
          <w:rFonts w:ascii="宋体" w:hAnsi="宋体"/>
          <w:sz w:val="24"/>
          <w:szCs w:val="24"/>
        </w:rPr>
        <w:t>3</w:t>
      </w:r>
      <w:r>
        <w:rPr>
          <w:rFonts w:ascii="宋体" w:hAnsi="宋体" w:hint="eastAsia"/>
          <w:sz w:val="24"/>
          <w:szCs w:val="24"/>
        </w:rPr>
        <w:t>）项规定清偿前，不分配给基金份额持有人。</w:t>
      </w:r>
    </w:p>
    <w:p w14:paraId="15E1BA91" w14:textId="77777777" w:rsidR="00E853FD" w:rsidRDefault="00FE7D53">
      <w:pPr>
        <w:spacing w:line="360" w:lineRule="auto"/>
        <w:ind w:firstLineChars="200" w:firstLine="480"/>
        <w:rPr>
          <w:rFonts w:ascii="宋体"/>
          <w:sz w:val="24"/>
          <w:szCs w:val="24"/>
        </w:rPr>
      </w:pPr>
      <w:r>
        <w:rPr>
          <w:rFonts w:ascii="宋体" w:hAnsi="宋体"/>
          <w:sz w:val="24"/>
          <w:szCs w:val="24"/>
        </w:rPr>
        <w:t>6</w:t>
      </w:r>
      <w:r>
        <w:rPr>
          <w:rFonts w:ascii="宋体" w:hAnsi="宋体" w:hint="eastAsia"/>
          <w:sz w:val="24"/>
          <w:szCs w:val="24"/>
        </w:rPr>
        <w:t>．基金财产清算的公告</w:t>
      </w:r>
    </w:p>
    <w:p w14:paraId="0FBF191B" w14:textId="0A7CEE1E" w:rsidR="00E853FD" w:rsidRDefault="00FE7D53">
      <w:pPr>
        <w:spacing w:line="360" w:lineRule="auto"/>
        <w:ind w:firstLineChars="200" w:firstLine="480"/>
        <w:rPr>
          <w:rFonts w:ascii="宋体"/>
          <w:sz w:val="24"/>
          <w:szCs w:val="24"/>
        </w:rPr>
      </w:pPr>
      <w:r>
        <w:rPr>
          <w:rFonts w:ascii="宋体" w:hAnsi="宋体" w:cs="宋体" w:hint="eastAsia"/>
          <w:color w:val="000000"/>
          <w:sz w:val="24"/>
          <w:szCs w:val="24"/>
        </w:rPr>
        <w:t>清算过程中的有关重大事项须及时公告；基金财产清算报告经</w:t>
      </w:r>
      <w:r w:rsidR="00942507">
        <w:rPr>
          <w:rFonts w:hint="eastAsia"/>
          <w:bCs/>
          <w:sz w:val="24"/>
        </w:rPr>
        <w:t>符合《证券法》规定</w:t>
      </w:r>
      <w:r>
        <w:rPr>
          <w:rFonts w:ascii="宋体" w:hAnsi="宋体" w:cs="宋体" w:hint="eastAsia"/>
          <w:color w:val="000000"/>
          <w:sz w:val="24"/>
          <w:szCs w:val="24"/>
        </w:rPr>
        <w:t>的会计师事务所审计并由律师事务所出具法律意见书后报中国证监会备案并公告。基金财产清算公告于基金财产清算报告报中国证监会备案后</w:t>
      </w:r>
      <w:r>
        <w:rPr>
          <w:rFonts w:ascii="宋体" w:hAnsi="宋体" w:cs="宋体"/>
          <w:color w:val="000000"/>
          <w:sz w:val="24"/>
          <w:szCs w:val="24"/>
        </w:rPr>
        <w:t>5</w:t>
      </w:r>
      <w:r>
        <w:rPr>
          <w:rFonts w:ascii="宋体" w:hAnsi="宋体" w:cs="宋体" w:hint="eastAsia"/>
          <w:color w:val="000000"/>
          <w:sz w:val="24"/>
          <w:szCs w:val="24"/>
        </w:rPr>
        <w:t>个工作日内由基金财产清算小组进行公告。</w:t>
      </w:r>
    </w:p>
    <w:p w14:paraId="3132DEC7" w14:textId="77777777" w:rsidR="00E853FD" w:rsidRDefault="00FE7D53">
      <w:pPr>
        <w:spacing w:line="360" w:lineRule="auto"/>
        <w:ind w:firstLineChars="200" w:firstLine="480"/>
        <w:rPr>
          <w:rFonts w:ascii="宋体"/>
          <w:sz w:val="24"/>
          <w:szCs w:val="24"/>
        </w:rPr>
      </w:pPr>
      <w:r>
        <w:rPr>
          <w:rFonts w:ascii="宋体" w:hAnsi="宋体"/>
          <w:sz w:val="24"/>
          <w:szCs w:val="24"/>
        </w:rPr>
        <w:t>7</w:t>
      </w:r>
      <w:r>
        <w:rPr>
          <w:rFonts w:ascii="宋体" w:hAnsi="宋体" w:hint="eastAsia"/>
          <w:sz w:val="24"/>
          <w:szCs w:val="24"/>
        </w:rPr>
        <w:t>．基金财产清算账册及文件的保存</w:t>
      </w:r>
    </w:p>
    <w:p w14:paraId="07993417" w14:textId="77777777" w:rsidR="00E853FD" w:rsidRDefault="00FE7D53">
      <w:pPr>
        <w:spacing w:line="360" w:lineRule="auto"/>
        <w:ind w:firstLineChars="200" w:firstLine="480"/>
        <w:rPr>
          <w:rFonts w:ascii="宋体"/>
          <w:sz w:val="24"/>
          <w:szCs w:val="24"/>
        </w:rPr>
      </w:pPr>
      <w:r>
        <w:rPr>
          <w:rFonts w:ascii="宋体" w:hAnsi="宋体" w:hint="eastAsia"/>
          <w:sz w:val="24"/>
          <w:szCs w:val="24"/>
        </w:rPr>
        <w:t>基金财产清算账册及有关文件由基金托管人保存不低于法律法规规定的最低期限。</w:t>
      </w:r>
    </w:p>
    <w:p w14:paraId="1B7007E3" w14:textId="77777777" w:rsidR="00E853FD" w:rsidRDefault="00FE7D53">
      <w:pPr>
        <w:spacing w:afterLines="100" w:after="312" w:line="360" w:lineRule="auto"/>
        <w:jc w:val="center"/>
        <w:outlineLvl w:val="0"/>
        <w:rPr>
          <w:b/>
          <w:sz w:val="30"/>
          <w:szCs w:val="30"/>
        </w:rPr>
      </w:pPr>
      <w:r>
        <w:rPr>
          <w:rFonts w:ascii="宋体" w:hAnsi="宋体"/>
          <w:sz w:val="24"/>
          <w:szCs w:val="24"/>
        </w:rPr>
        <w:t xml:space="preserve"> </w:t>
      </w:r>
      <w:r>
        <w:rPr>
          <w:rFonts w:ascii="宋体" w:hAnsi="宋体"/>
          <w:sz w:val="24"/>
          <w:szCs w:val="24"/>
        </w:rPr>
        <w:br w:type="page"/>
      </w:r>
      <w:bookmarkStart w:id="29" w:name="_Toc440289550"/>
      <w:bookmarkStart w:id="30" w:name="_Toc440289551"/>
      <w:r>
        <w:rPr>
          <w:rFonts w:hint="eastAsia"/>
          <w:b/>
          <w:sz w:val="30"/>
          <w:szCs w:val="30"/>
        </w:rPr>
        <w:lastRenderedPageBreak/>
        <w:t>十七、违约责任</w:t>
      </w:r>
      <w:bookmarkEnd w:id="29"/>
      <w:bookmarkEnd w:id="30"/>
    </w:p>
    <w:p w14:paraId="33EB456A"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（一）基金管理人、基金托管人不履行本协议或履行本协议不符合约定的，应当承担违约责任。</w:t>
      </w:r>
    </w:p>
    <w:p w14:paraId="63D2C4F4"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w:t>
      </w:r>
    </w:p>
    <w:p w14:paraId="27DAAF7D" w14:textId="781E9EDE" w:rsidR="00E853FD" w:rsidRDefault="00FE7D53">
      <w:pPr>
        <w:spacing w:line="360" w:lineRule="auto"/>
        <w:ind w:firstLineChars="200" w:firstLine="480"/>
        <w:rPr>
          <w:rFonts w:ascii="宋体"/>
          <w:sz w:val="24"/>
          <w:szCs w:val="24"/>
        </w:rPr>
      </w:pPr>
      <w:r>
        <w:rPr>
          <w:rFonts w:ascii="宋体" w:hAnsi="宋体" w:hint="eastAsia"/>
          <w:sz w:val="24"/>
          <w:szCs w:val="24"/>
        </w:rPr>
        <w:t>（三）一方当事人违约，给另一方当事人造成损失的，应就损失进行赔偿；给基金财产造成损失的，应就损失进行赔偿，另一方当事人有权利及义务代表基金向违约方追偿。</w:t>
      </w:r>
      <w:r>
        <w:rPr>
          <w:rFonts w:hint="eastAsia"/>
          <w:bCs/>
          <w:sz w:val="24"/>
        </w:rPr>
        <w:t>对损失的赔偿，仅限于直接损失。</w:t>
      </w:r>
      <w:r>
        <w:rPr>
          <w:rFonts w:ascii="宋体" w:hAnsi="宋体" w:hint="eastAsia"/>
          <w:sz w:val="24"/>
          <w:szCs w:val="24"/>
        </w:rPr>
        <w:t>但是如发生下列情况</w:t>
      </w:r>
      <w:r w:rsidR="00A9156A">
        <w:rPr>
          <w:rFonts w:ascii="宋体" w:hAnsi="宋体" w:hint="eastAsia"/>
          <w:sz w:val="24"/>
          <w:szCs w:val="24"/>
        </w:rPr>
        <w:t>之一的</w:t>
      </w:r>
      <w:r>
        <w:rPr>
          <w:rFonts w:ascii="宋体" w:hAnsi="宋体" w:hint="eastAsia"/>
          <w:sz w:val="24"/>
          <w:szCs w:val="24"/>
        </w:rPr>
        <w:t>，当事人可以免责：</w:t>
      </w:r>
    </w:p>
    <w:p w14:paraId="0B8B2901" w14:textId="77777777" w:rsidR="00E853FD" w:rsidRDefault="00FE7D53">
      <w:pPr>
        <w:spacing w:line="360" w:lineRule="auto"/>
        <w:ind w:firstLineChars="200" w:firstLine="480"/>
        <w:rPr>
          <w:rFonts w:ascii="宋体"/>
          <w:sz w:val="24"/>
          <w:szCs w:val="24"/>
        </w:rPr>
      </w:pPr>
      <w:r>
        <w:rPr>
          <w:rFonts w:ascii="宋体" w:hAnsi="宋体"/>
          <w:sz w:val="24"/>
          <w:szCs w:val="24"/>
        </w:rPr>
        <w:t>1</w:t>
      </w:r>
      <w:r>
        <w:rPr>
          <w:rFonts w:ascii="宋体" w:hAnsi="宋体" w:hint="eastAsia"/>
          <w:sz w:val="24"/>
          <w:szCs w:val="24"/>
        </w:rPr>
        <w:t>．不可抗力；</w:t>
      </w:r>
    </w:p>
    <w:p w14:paraId="74B0AFA0" w14:textId="77777777" w:rsidR="00E853FD" w:rsidRDefault="00FE7D53">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．基金管理人、基金托管人按照当时有效的法律法规或中国证监会的规定作为或不作为而造成的损失等；</w:t>
      </w:r>
    </w:p>
    <w:p w14:paraId="394E8A08" w14:textId="77777777" w:rsidR="00E853FD" w:rsidRDefault="00FE7D53">
      <w:pPr>
        <w:spacing w:line="360" w:lineRule="auto"/>
        <w:ind w:firstLineChars="200" w:firstLine="480"/>
        <w:rPr>
          <w:rFonts w:ascii="宋体"/>
          <w:sz w:val="24"/>
          <w:szCs w:val="24"/>
        </w:rPr>
      </w:pPr>
      <w:r>
        <w:rPr>
          <w:rFonts w:ascii="宋体" w:hAnsi="宋体"/>
          <w:sz w:val="24"/>
          <w:szCs w:val="24"/>
        </w:rPr>
        <w:t>3</w:t>
      </w:r>
      <w:r>
        <w:rPr>
          <w:rFonts w:ascii="宋体" w:hAnsi="宋体" w:hint="eastAsia"/>
          <w:sz w:val="24"/>
          <w:szCs w:val="24"/>
        </w:rPr>
        <w:t>．基金管理人由于按照基金合同规定的投资原则投资或不投资造成的损失。</w:t>
      </w:r>
    </w:p>
    <w:p w14:paraId="16C54313" w14:textId="2749B762" w:rsidR="0097255F" w:rsidRDefault="0097255F">
      <w:pPr>
        <w:spacing w:line="360" w:lineRule="auto"/>
        <w:ind w:firstLineChars="200" w:firstLine="480"/>
        <w:rPr>
          <w:rFonts w:ascii="宋体" w:hAnsi="宋体"/>
          <w:sz w:val="24"/>
          <w:szCs w:val="24"/>
        </w:rPr>
      </w:pPr>
      <w:r w:rsidRPr="0097255F">
        <w:rPr>
          <w:rFonts w:ascii="宋体" w:hAnsi="宋体" w:hint="eastAsia"/>
          <w:sz w:val="24"/>
          <w:szCs w:val="24"/>
        </w:rPr>
        <w:t>4.本基金约定的会计核算事项中若包含基金托管人从托管账户、市场公开渠道、第三方估值机构（如中债、中证等）中不可直接获得的数据或实际无法计算的内容，基金托管人以基金管理人或其指定机构提供的数据或计算结果进行账务处理而造成的责任与损失</w:t>
      </w:r>
      <w:r>
        <w:rPr>
          <w:rFonts w:ascii="宋体" w:hAnsi="宋体" w:hint="eastAsia"/>
          <w:sz w:val="24"/>
          <w:szCs w:val="24"/>
        </w:rPr>
        <w:t>。</w:t>
      </w:r>
    </w:p>
    <w:p w14:paraId="151226F5" w14:textId="37E99350" w:rsidR="00E853FD" w:rsidRDefault="00FE7D53">
      <w:pPr>
        <w:spacing w:line="360" w:lineRule="auto"/>
        <w:ind w:firstLineChars="200" w:firstLine="480"/>
        <w:rPr>
          <w:rFonts w:ascii="宋体"/>
          <w:sz w:val="24"/>
          <w:szCs w:val="24"/>
        </w:rPr>
      </w:pPr>
      <w:r>
        <w:rPr>
          <w:rFonts w:ascii="宋体" w:hAnsi="宋体" w:hint="eastAsia"/>
          <w:sz w:val="24"/>
          <w:szCs w:val="24"/>
        </w:rPr>
        <w:t>（四）一方当事人违约，另一方当事人在职责范围内有义务及时采取必要的措施，尽力防止损失的扩大；没有采取适当措施致使损失扩大的，不得就扩大的损失要求赔偿。守约方因防止损失扩大而支出的合理费用由违约方承担。</w:t>
      </w:r>
    </w:p>
    <w:p w14:paraId="746D3481"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五）违约行为虽已发生，但本托管协议能够继续履行的，在最大限度地保护基金份额持有人利益的前提下，基金管理人和基金托管人应当继续履行本协议。若基金管理人或基金托管人因履行本协议而被起诉，另一方应提供合理的必要支持。</w:t>
      </w:r>
    </w:p>
    <w:p w14:paraId="1C843F36" w14:textId="77777777" w:rsidR="00E853FD" w:rsidRDefault="00FE7D53">
      <w:pPr>
        <w:spacing w:line="360" w:lineRule="auto"/>
        <w:ind w:firstLineChars="200" w:firstLine="480"/>
        <w:rPr>
          <w:rFonts w:ascii="宋体"/>
          <w:sz w:val="24"/>
          <w:szCs w:val="24"/>
        </w:rPr>
      </w:pPr>
      <w:r>
        <w:rPr>
          <w:rFonts w:ascii="宋体" w:hAnsi="宋体" w:hint="eastAsia"/>
          <w:sz w:val="24"/>
          <w:szCs w:val="24"/>
        </w:rPr>
        <w:t>（六）由于基金管理人、基金托管人不可控制的因素导致业务出现差错，基金管理人和基金托管人虽然已经采取必要、适当、合理的措施进行检查，但是未</w:t>
      </w:r>
      <w:r>
        <w:rPr>
          <w:rFonts w:ascii="宋体" w:hAnsi="宋体" w:hint="eastAsia"/>
          <w:sz w:val="24"/>
          <w:szCs w:val="24"/>
        </w:rPr>
        <w:lastRenderedPageBreak/>
        <w:t>能发现错误的，由此造成基金财产或投资人损失，基金管理人和基金托管人免除赔偿责任。但是基金管理人和基金托管人应积极采取必要的措施消除或减轻由此造成的影响。</w:t>
      </w:r>
    </w:p>
    <w:p w14:paraId="1879C852" w14:textId="77777777" w:rsidR="00E853FD" w:rsidRDefault="00FE7D53">
      <w:pPr>
        <w:spacing w:afterLines="100" w:after="312" w:line="360" w:lineRule="auto"/>
        <w:jc w:val="center"/>
        <w:outlineLvl w:val="0"/>
      </w:pPr>
      <w:r>
        <w:rPr>
          <w:rFonts w:ascii="宋体"/>
          <w:sz w:val="24"/>
          <w:szCs w:val="24"/>
        </w:rPr>
        <w:br w:type="page"/>
      </w:r>
      <w:bookmarkStart w:id="31" w:name="_Toc440289552"/>
      <w:r>
        <w:rPr>
          <w:rFonts w:hint="eastAsia"/>
          <w:b/>
          <w:sz w:val="30"/>
          <w:szCs w:val="30"/>
        </w:rPr>
        <w:lastRenderedPageBreak/>
        <w:t>十八、争议解决方式</w:t>
      </w:r>
      <w:bookmarkEnd w:id="31"/>
    </w:p>
    <w:p w14:paraId="1306B321" w14:textId="09BE0397" w:rsidR="00E853FD" w:rsidRDefault="00FE7D53">
      <w:pPr>
        <w:spacing w:line="360" w:lineRule="auto"/>
        <w:ind w:firstLineChars="200" w:firstLine="480"/>
        <w:rPr>
          <w:rFonts w:ascii="宋体"/>
          <w:sz w:val="24"/>
          <w:szCs w:val="24"/>
        </w:rPr>
      </w:pPr>
      <w:r>
        <w:rPr>
          <w:rFonts w:ascii="宋体" w:hAnsi="宋体" w:cs="宋体" w:hint="eastAsia"/>
          <w:bCs/>
          <w:color w:val="000000"/>
          <w:sz w:val="24"/>
        </w:rPr>
        <w:t>各方当事人同意，因基金合同及本协议而产生的或与基金合同或本协议有关的一切争议，如经友好协商未能解决的，任何一方均有权将争议提交</w:t>
      </w:r>
      <w:r w:rsidR="002E2C26" w:rsidRPr="002E2C26">
        <w:rPr>
          <w:rFonts w:ascii="宋体" w:hAnsi="宋体" w:cs="宋体" w:hint="eastAsia"/>
          <w:bCs/>
          <w:color w:val="000000"/>
          <w:sz w:val="24"/>
        </w:rPr>
        <w:t>广州仲裁委员会</w:t>
      </w:r>
      <w:r>
        <w:rPr>
          <w:rFonts w:ascii="宋体" w:hAnsi="宋体" w:cs="宋体" w:hint="eastAsia"/>
          <w:bCs/>
          <w:color w:val="000000"/>
          <w:sz w:val="24"/>
        </w:rPr>
        <w:t>，按照该会届时有效的仲裁规则进行仲裁。仲裁地点为</w:t>
      </w:r>
      <w:r w:rsidR="002E2C26">
        <w:rPr>
          <w:rFonts w:ascii="宋体" w:hAnsi="宋体" w:cs="宋体" w:hint="eastAsia"/>
          <w:bCs/>
          <w:color w:val="000000"/>
          <w:sz w:val="24"/>
        </w:rPr>
        <w:t>广州</w:t>
      </w:r>
      <w:r>
        <w:rPr>
          <w:rFonts w:ascii="宋体" w:hAnsi="宋体" w:cs="宋体" w:hint="eastAsia"/>
          <w:bCs/>
          <w:color w:val="000000"/>
          <w:sz w:val="24"/>
        </w:rPr>
        <w:t>市。仲裁裁决是终局的，对各方当事人均有约束力，仲裁费用和律师费用由败诉方承担，除非仲裁裁决另有规定</w:t>
      </w:r>
      <w:r>
        <w:rPr>
          <w:rFonts w:ascii="宋体" w:hAnsi="宋体" w:cs="宋体" w:hint="eastAsia"/>
          <w:color w:val="000000"/>
          <w:sz w:val="24"/>
          <w:szCs w:val="24"/>
        </w:rPr>
        <w:t>。</w:t>
      </w:r>
    </w:p>
    <w:p w14:paraId="0312BB74"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争议处理期间，双方当事人应恪守基金管理人和基金托管人职责，各自继续忠实、勤勉、尽责地履行基金合同和本托管协议规定的义务，维护基金份额持有人的合法权益。</w:t>
      </w:r>
    </w:p>
    <w:p w14:paraId="00AE090B" w14:textId="512A166A" w:rsidR="00E853FD" w:rsidRDefault="00FE7D53">
      <w:pPr>
        <w:spacing w:line="360" w:lineRule="auto"/>
        <w:ind w:firstLineChars="200" w:firstLine="480"/>
        <w:rPr>
          <w:rFonts w:ascii="宋体"/>
          <w:sz w:val="24"/>
          <w:szCs w:val="24"/>
        </w:rPr>
      </w:pPr>
      <w:r>
        <w:rPr>
          <w:rFonts w:ascii="宋体" w:hAnsi="宋体" w:hint="eastAsia"/>
          <w:sz w:val="24"/>
          <w:szCs w:val="24"/>
        </w:rPr>
        <w:t>本协议受中国法律</w:t>
      </w:r>
      <w:r w:rsidR="00D029ED" w:rsidRPr="00D029ED">
        <w:rPr>
          <w:rFonts w:ascii="宋体" w:hAnsi="宋体" w:hint="eastAsia"/>
          <w:bCs/>
          <w:sz w:val="24"/>
          <w:szCs w:val="24"/>
        </w:rPr>
        <w:t>（不包括香港、澳门特别行政区及台湾地区法律）</w:t>
      </w:r>
      <w:r>
        <w:rPr>
          <w:rFonts w:ascii="宋体" w:hAnsi="宋体" w:hint="eastAsia"/>
          <w:sz w:val="24"/>
          <w:szCs w:val="24"/>
        </w:rPr>
        <w:t>管辖。</w:t>
      </w:r>
    </w:p>
    <w:p w14:paraId="2F9D8B72" w14:textId="77777777" w:rsidR="00E853FD" w:rsidRDefault="00FE7D53">
      <w:pPr>
        <w:spacing w:afterLines="100" w:after="312" w:line="360" w:lineRule="auto"/>
        <w:jc w:val="center"/>
        <w:outlineLvl w:val="0"/>
        <w:rPr>
          <w:b/>
          <w:sz w:val="30"/>
          <w:szCs w:val="30"/>
        </w:rPr>
      </w:pPr>
      <w:r>
        <w:rPr>
          <w:rFonts w:ascii="宋体" w:hAnsi="宋体"/>
          <w:sz w:val="24"/>
          <w:szCs w:val="24"/>
        </w:rPr>
        <w:t xml:space="preserve"> </w:t>
      </w:r>
      <w:r>
        <w:rPr>
          <w:rFonts w:ascii="宋体" w:hAnsi="宋体"/>
          <w:sz w:val="24"/>
          <w:szCs w:val="24"/>
        </w:rPr>
        <w:br w:type="page"/>
      </w:r>
      <w:bookmarkStart w:id="32" w:name="_Toc440289553"/>
      <w:bookmarkStart w:id="33" w:name="_Toc440289554"/>
      <w:r>
        <w:rPr>
          <w:rFonts w:hint="eastAsia"/>
          <w:b/>
          <w:sz w:val="30"/>
          <w:szCs w:val="30"/>
        </w:rPr>
        <w:lastRenderedPageBreak/>
        <w:t>十九、托管协议的效力</w:t>
      </w:r>
      <w:bookmarkEnd w:id="32"/>
      <w:bookmarkEnd w:id="33"/>
    </w:p>
    <w:p w14:paraId="49FB5179" w14:textId="77777777" w:rsidR="00E853FD" w:rsidRDefault="00FE7D53">
      <w:pPr>
        <w:spacing w:line="360" w:lineRule="auto"/>
        <w:ind w:firstLineChars="200" w:firstLine="480"/>
        <w:rPr>
          <w:rFonts w:ascii="宋体"/>
          <w:sz w:val="24"/>
          <w:szCs w:val="24"/>
        </w:rPr>
      </w:pPr>
      <w:r>
        <w:rPr>
          <w:rFonts w:ascii="宋体" w:hAnsi="宋体" w:hint="eastAsia"/>
          <w:sz w:val="24"/>
          <w:szCs w:val="24"/>
        </w:rPr>
        <w:t>双方对托管协议的效力约定如下：</w:t>
      </w:r>
    </w:p>
    <w:p w14:paraId="49717D70"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一）基金管理人在向中国证监会申请发售基金份额时提交的托管协议草案，应经托管协议当事人双方盖章以及双方法定代表人或授权代表签字，协议当事人双方根据中国证监会的意见修改托管协议草案。托管协议以中国证监会注册的文本为正式文本。</w:t>
      </w:r>
    </w:p>
    <w:p w14:paraId="21E61831" w14:textId="77777777" w:rsidR="00E853FD" w:rsidRDefault="00FE7D53">
      <w:pPr>
        <w:spacing w:line="360" w:lineRule="auto"/>
        <w:ind w:firstLineChars="200" w:firstLine="480"/>
        <w:rPr>
          <w:rFonts w:ascii="宋体"/>
          <w:sz w:val="24"/>
          <w:szCs w:val="24"/>
        </w:rPr>
      </w:pPr>
      <w:r>
        <w:rPr>
          <w:rFonts w:ascii="宋体" w:hAnsi="宋体" w:hint="eastAsia"/>
          <w:sz w:val="24"/>
          <w:szCs w:val="24"/>
        </w:rPr>
        <w:t>（二）托管协议自基金合同生效之日起生效。托管协议的有效期自其生效之日起至基金财产清算结果报中国证监会备案并公告之日止。</w:t>
      </w:r>
    </w:p>
    <w:p w14:paraId="133AD5DD" w14:textId="77777777" w:rsidR="00E853FD" w:rsidRDefault="00FE7D53">
      <w:pPr>
        <w:spacing w:line="360" w:lineRule="auto"/>
        <w:ind w:firstLineChars="200" w:firstLine="480"/>
        <w:rPr>
          <w:rFonts w:ascii="宋体"/>
          <w:sz w:val="24"/>
          <w:szCs w:val="24"/>
        </w:rPr>
      </w:pPr>
      <w:r>
        <w:rPr>
          <w:rFonts w:ascii="宋体" w:hAnsi="宋体" w:hint="eastAsia"/>
          <w:sz w:val="24"/>
          <w:szCs w:val="24"/>
        </w:rPr>
        <w:t>（三）托管协议自生效之日起对托管协议当事人具有同等的法律约束力。</w:t>
      </w:r>
    </w:p>
    <w:p w14:paraId="532B2C64" w14:textId="77777777" w:rsidR="00E853FD" w:rsidRDefault="00FE7D53">
      <w:pPr>
        <w:spacing w:line="360" w:lineRule="auto"/>
        <w:ind w:firstLineChars="200" w:firstLine="480"/>
        <w:rPr>
          <w:rFonts w:ascii="宋体"/>
          <w:sz w:val="24"/>
          <w:szCs w:val="24"/>
        </w:rPr>
      </w:pPr>
      <w:r>
        <w:rPr>
          <w:rFonts w:ascii="宋体" w:hAnsi="宋体" w:hint="eastAsia"/>
          <w:sz w:val="24"/>
          <w:szCs w:val="24"/>
        </w:rPr>
        <w:t>（四）</w:t>
      </w:r>
      <w:r>
        <w:rPr>
          <w:rFonts w:ascii="宋体" w:hAnsi="宋体" w:hint="eastAsia"/>
          <w:color w:val="000000"/>
          <w:sz w:val="24"/>
          <w:szCs w:val="24"/>
        </w:rPr>
        <w:t>本协议一式三份，协议双方各持一份，上报中国证监会一份，每份具有同等法律效力。</w:t>
      </w:r>
    </w:p>
    <w:p w14:paraId="3A52DF81" w14:textId="77777777" w:rsidR="00E853FD" w:rsidRDefault="00FE7D53">
      <w:pPr>
        <w:spacing w:afterLines="100" w:after="312" w:line="360" w:lineRule="auto"/>
        <w:jc w:val="center"/>
        <w:outlineLvl w:val="0"/>
        <w:rPr>
          <w:b/>
          <w:sz w:val="30"/>
          <w:szCs w:val="30"/>
        </w:rPr>
      </w:pPr>
      <w:r>
        <w:rPr>
          <w:rFonts w:ascii="宋体" w:hAnsi="宋体"/>
          <w:sz w:val="24"/>
          <w:szCs w:val="24"/>
        </w:rPr>
        <w:t xml:space="preserve"> </w:t>
      </w:r>
      <w:r>
        <w:rPr>
          <w:rFonts w:ascii="宋体" w:hAnsi="宋体"/>
          <w:sz w:val="24"/>
          <w:szCs w:val="24"/>
        </w:rPr>
        <w:br w:type="page"/>
      </w:r>
      <w:bookmarkStart w:id="34" w:name="_Toc440289555"/>
      <w:bookmarkStart w:id="35" w:name="_Toc440289556"/>
      <w:r>
        <w:rPr>
          <w:rFonts w:hint="eastAsia"/>
          <w:b/>
          <w:sz w:val="30"/>
          <w:szCs w:val="30"/>
        </w:rPr>
        <w:lastRenderedPageBreak/>
        <w:t>二十、其他事项</w:t>
      </w:r>
      <w:bookmarkEnd w:id="34"/>
      <w:bookmarkEnd w:id="35"/>
    </w:p>
    <w:p w14:paraId="18553647" w14:textId="77777777" w:rsidR="00E853FD" w:rsidRPr="003F1EEB" w:rsidRDefault="00FE7D53">
      <w:pPr>
        <w:spacing w:line="360" w:lineRule="auto"/>
        <w:ind w:firstLineChars="200" w:firstLine="480"/>
        <w:rPr>
          <w:rFonts w:ascii="宋体" w:hAnsi="宋体"/>
          <w:sz w:val="24"/>
          <w:szCs w:val="24"/>
        </w:rPr>
      </w:pPr>
      <w:r>
        <w:rPr>
          <w:rFonts w:ascii="宋体" w:hAnsi="宋体" w:hint="eastAsia"/>
          <w:sz w:val="24"/>
          <w:szCs w:val="24"/>
        </w:rPr>
        <w:t>如发生有权司法机关依法冻结基金份额持有人的基金份额时，基金管理人应予以配合，承担司法协助义务。</w:t>
      </w:r>
    </w:p>
    <w:p w14:paraId="180FF02D" w14:textId="77777777" w:rsidR="00E853FD" w:rsidRDefault="00FE7D53">
      <w:pPr>
        <w:spacing w:line="360" w:lineRule="auto"/>
        <w:ind w:firstLineChars="200" w:firstLine="480"/>
        <w:rPr>
          <w:rFonts w:ascii="宋体" w:hAnsi="宋体"/>
          <w:sz w:val="24"/>
          <w:szCs w:val="24"/>
        </w:rPr>
      </w:pPr>
      <w:r>
        <w:rPr>
          <w:rFonts w:ascii="宋体" w:hAnsi="宋体" w:hint="eastAsia"/>
          <w:sz w:val="24"/>
          <w:szCs w:val="24"/>
        </w:rPr>
        <w:t>除本协议有明确定义外，本协议的用语定义适用基金合同的约定。本协议未尽事宜，当事人依据基金合同、有关法律法规等规定协商办理。</w:t>
      </w:r>
    </w:p>
    <w:p w14:paraId="367DB289" w14:textId="77777777" w:rsidR="00E853FD" w:rsidRPr="003F1EEB" w:rsidRDefault="00FE7D53" w:rsidP="003F1EEB">
      <w:pPr>
        <w:spacing w:line="360" w:lineRule="auto"/>
        <w:ind w:firstLineChars="200" w:firstLine="480"/>
        <w:rPr>
          <w:rFonts w:ascii="宋体" w:hAnsi="宋体"/>
          <w:sz w:val="24"/>
          <w:szCs w:val="24"/>
        </w:rPr>
      </w:pPr>
      <w:r w:rsidRPr="003F1EEB">
        <w:rPr>
          <w:rFonts w:ascii="宋体" w:hAnsi="宋体" w:hint="eastAsia"/>
          <w:sz w:val="24"/>
          <w:szCs w:val="24"/>
        </w:rPr>
        <w:t>管理人应按照金融机构反洗钱相关工作的规定，履行反洗钱义务。</w:t>
      </w:r>
    </w:p>
    <w:p w14:paraId="0F36F07D" w14:textId="77777777" w:rsidR="00E853FD" w:rsidRPr="003F1EEB" w:rsidRDefault="00E853FD">
      <w:pPr>
        <w:spacing w:line="360" w:lineRule="auto"/>
        <w:ind w:firstLineChars="200" w:firstLine="480"/>
        <w:rPr>
          <w:rFonts w:ascii="宋体" w:hAnsi="宋体"/>
          <w:sz w:val="24"/>
          <w:szCs w:val="24"/>
        </w:rPr>
      </w:pPr>
    </w:p>
    <w:p w14:paraId="49B4A029" w14:textId="2499B864" w:rsidR="00E853FD" w:rsidRDefault="00FE7D53" w:rsidP="00290D93">
      <w:pPr>
        <w:spacing w:line="360" w:lineRule="auto"/>
        <w:ind w:firstLineChars="200" w:firstLine="480"/>
        <w:jc w:val="center"/>
        <w:rPr>
          <w:b/>
          <w:sz w:val="30"/>
          <w:szCs w:val="30"/>
        </w:rPr>
      </w:pPr>
      <w:r>
        <w:rPr>
          <w:rFonts w:ascii="宋体" w:hAnsi="宋体"/>
          <w:sz w:val="24"/>
          <w:szCs w:val="24"/>
        </w:rPr>
        <w:br w:type="page"/>
      </w:r>
      <w:bookmarkStart w:id="36" w:name="_Toc440289557"/>
      <w:bookmarkStart w:id="37" w:name="_Toc440289558"/>
      <w:r>
        <w:rPr>
          <w:rFonts w:hint="eastAsia"/>
          <w:b/>
          <w:sz w:val="30"/>
          <w:szCs w:val="30"/>
        </w:rPr>
        <w:lastRenderedPageBreak/>
        <w:t>二十一、托管协议的签订</w:t>
      </w:r>
      <w:bookmarkEnd w:id="36"/>
      <w:bookmarkEnd w:id="37"/>
    </w:p>
    <w:p w14:paraId="4CB8FF6A" w14:textId="77777777" w:rsidR="00E853FD" w:rsidRDefault="00FE7D53">
      <w:pPr>
        <w:spacing w:line="360" w:lineRule="auto"/>
        <w:ind w:firstLineChars="200" w:firstLine="480"/>
        <w:rPr>
          <w:rFonts w:ascii="宋体"/>
          <w:sz w:val="24"/>
          <w:szCs w:val="24"/>
        </w:rPr>
        <w:sectPr w:rsidR="00E853FD">
          <w:footerReference w:type="default" r:id="rId13"/>
          <w:headerReference w:type="first" r:id="rId14"/>
          <w:footerReference w:type="first" r:id="rId15"/>
          <w:pgSz w:w="11906" w:h="16838"/>
          <w:pgMar w:top="1440" w:right="1797" w:bottom="1440" w:left="1797" w:header="851" w:footer="992" w:gutter="0"/>
          <w:cols w:space="720"/>
          <w:titlePg/>
          <w:docGrid w:type="lines" w:linePitch="312"/>
        </w:sectPr>
      </w:pPr>
      <w:r>
        <w:rPr>
          <w:rFonts w:ascii="宋体" w:hAnsi="宋体" w:hint="eastAsia"/>
          <w:sz w:val="24"/>
        </w:rPr>
        <w:t>本托管协议经基金管理人和基金托管人认可后，由该双方当事人在基金托管协议上盖章，并由各自的法定代表人或授权代表签署，并注明基金托管协议的签订地点和签订日期。</w:t>
      </w:r>
    </w:p>
    <w:p w14:paraId="702B6184" w14:textId="012F176E" w:rsidR="00E853FD" w:rsidRDefault="00FE7D53" w:rsidP="000C5C54">
      <w:pPr>
        <w:pStyle w:val="a6"/>
        <w:spacing w:before="100" w:beforeAutospacing="1" w:after="100" w:afterAutospacing="1" w:line="360" w:lineRule="auto"/>
        <w:ind w:leftChars="0" w:left="0"/>
        <w:rPr>
          <w:rFonts w:ascii="宋体"/>
          <w:sz w:val="24"/>
          <w:szCs w:val="24"/>
        </w:rPr>
      </w:pPr>
      <w:r>
        <w:rPr>
          <w:rFonts w:ascii="宋体" w:hint="eastAsia"/>
          <w:sz w:val="24"/>
          <w:szCs w:val="24"/>
        </w:rPr>
        <w:lastRenderedPageBreak/>
        <w:t>（本页无正文，为《</w:t>
      </w:r>
      <w:r w:rsidR="00FB4C2A">
        <w:rPr>
          <w:bCs/>
          <w:sz w:val="24"/>
        </w:rPr>
        <w:t>广发中证全指指数增强型证券投资基金</w:t>
      </w:r>
      <w:r>
        <w:rPr>
          <w:rFonts w:ascii="宋体" w:hint="eastAsia"/>
          <w:sz w:val="24"/>
          <w:szCs w:val="24"/>
        </w:rPr>
        <w:t>托管协议》签署页）</w:t>
      </w:r>
    </w:p>
    <w:p w14:paraId="4B490741" w14:textId="77777777" w:rsidR="00E853FD" w:rsidRPr="00635A1E" w:rsidRDefault="00E853FD" w:rsidP="00635A1E">
      <w:pPr>
        <w:spacing w:before="100" w:beforeAutospacing="1" w:after="100" w:afterAutospacing="1" w:line="360" w:lineRule="auto"/>
        <w:ind w:firstLine="403"/>
        <w:rPr>
          <w:szCs w:val="21"/>
        </w:rPr>
      </w:pPr>
    </w:p>
    <w:p w14:paraId="0B869618" w14:textId="707E1706" w:rsidR="00E853FD" w:rsidRPr="00635A1E" w:rsidRDefault="00FE7D53" w:rsidP="00635A1E">
      <w:pPr>
        <w:spacing w:before="100" w:beforeAutospacing="1" w:after="100" w:afterAutospacing="1" w:line="360" w:lineRule="auto"/>
        <w:ind w:firstLine="403"/>
        <w:rPr>
          <w:rFonts w:ascii="宋体"/>
          <w:bCs/>
          <w:sz w:val="24"/>
        </w:rPr>
      </w:pPr>
      <w:r>
        <w:rPr>
          <w:rFonts w:ascii="宋体" w:hAnsi="宋体" w:hint="eastAsia"/>
          <w:bCs/>
          <w:sz w:val="24"/>
        </w:rPr>
        <w:t>基金管理人：</w:t>
      </w:r>
      <w:r w:rsidR="00FB4C2A">
        <w:rPr>
          <w:bCs/>
          <w:sz w:val="24"/>
        </w:rPr>
        <w:t>广发基金管理有限公司</w:t>
      </w:r>
      <w:r>
        <w:rPr>
          <w:rFonts w:ascii="宋体" w:hAnsi="宋体" w:hint="eastAsia"/>
          <w:bCs/>
          <w:sz w:val="24"/>
        </w:rPr>
        <w:t>（公章）</w:t>
      </w:r>
    </w:p>
    <w:p w14:paraId="4538C4F3" w14:textId="77777777" w:rsidR="00E853FD" w:rsidRDefault="00FE7D53" w:rsidP="00635A1E">
      <w:pPr>
        <w:pStyle w:val="Web"/>
        <w:spacing w:line="360" w:lineRule="auto"/>
        <w:ind w:firstLine="403"/>
        <w:rPr>
          <w:bCs/>
        </w:rPr>
      </w:pPr>
      <w:r>
        <w:rPr>
          <w:rFonts w:hint="eastAsia"/>
          <w:bCs/>
        </w:rPr>
        <w:t>法定代表人或授权代表：</w:t>
      </w:r>
      <w:r>
        <w:rPr>
          <w:bCs/>
        </w:rPr>
        <w:t xml:space="preserve"> </w:t>
      </w:r>
    </w:p>
    <w:p w14:paraId="2DE87AE4" w14:textId="77777777" w:rsidR="00E853FD" w:rsidRDefault="00E853FD" w:rsidP="00635A1E">
      <w:pPr>
        <w:pStyle w:val="Web"/>
        <w:spacing w:line="360" w:lineRule="auto"/>
        <w:ind w:firstLine="420"/>
        <w:rPr>
          <w:bCs/>
        </w:rPr>
      </w:pPr>
    </w:p>
    <w:p w14:paraId="4ABF43C9" w14:textId="77777777" w:rsidR="00E853FD" w:rsidRDefault="00E853FD" w:rsidP="00635A1E">
      <w:pPr>
        <w:pStyle w:val="Web"/>
        <w:spacing w:line="360" w:lineRule="auto"/>
        <w:ind w:firstLine="420"/>
        <w:rPr>
          <w:bCs/>
        </w:rPr>
      </w:pPr>
    </w:p>
    <w:p w14:paraId="26985063" w14:textId="77777777" w:rsidR="00E853FD" w:rsidRDefault="00FE7D53" w:rsidP="00635A1E">
      <w:pPr>
        <w:pStyle w:val="Web"/>
        <w:spacing w:line="360" w:lineRule="auto"/>
        <w:ind w:firstLine="420"/>
        <w:rPr>
          <w:bCs/>
        </w:rPr>
      </w:pPr>
      <w:r>
        <w:rPr>
          <w:rFonts w:hint="eastAsia"/>
          <w:bCs/>
        </w:rPr>
        <w:t>签订日：</w:t>
      </w:r>
      <w:r>
        <w:rPr>
          <w:bCs/>
        </w:rPr>
        <w:t xml:space="preserve">     </w:t>
      </w:r>
      <w:r>
        <w:rPr>
          <w:rFonts w:hint="eastAsia"/>
          <w:bCs/>
        </w:rPr>
        <w:t>年</w:t>
      </w:r>
      <w:r>
        <w:rPr>
          <w:bCs/>
        </w:rPr>
        <w:t xml:space="preserve">   </w:t>
      </w:r>
      <w:r>
        <w:rPr>
          <w:rFonts w:hint="eastAsia"/>
          <w:bCs/>
        </w:rPr>
        <w:t>月</w:t>
      </w:r>
      <w:r>
        <w:rPr>
          <w:bCs/>
        </w:rPr>
        <w:t xml:space="preserve">   </w:t>
      </w:r>
      <w:r>
        <w:rPr>
          <w:rFonts w:hint="eastAsia"/>
          <w:bCs/>
        </w:rPr>
        <w:t>日</w:t>
      </w:r>
      <w:r>
        <w:rPr>
          <w:bCs/>
        </w:rPr>
        <w:t xml:space="preserve"> </w:t>
      </w:r>
    </w:p>
    <w:p w14:paraId="3C509BB0" w14:textId="407B3F56" w:rsidR="00E853FD" w:rsidRDefault="00FE7D53" w:rsidP="00635A1E">
      <w:pPr>
        <w:pStyle w:val="Web"/>
        <w:spacing w:line="360" w:lineRule="auto"/>
        <w:ind w:firstLine="403"/>
        <w:rPr>
          <w:bCs/>
        </w:rPr>
      </w:pPr>
      <w:r>
        <w:rPr>
          <w:rFonts w:hint="eastAsia"/>
          <w:bCs/>
        </w:rPr>
        <w:t>签订地：</w:t>
      </w:r>
      <w:r w:rsidR="008A3BA4">
        <w:rPr>
          <w:rFonts w:hint="eastAsia"/>
          <w:bCs/>
        </w:rPr>
        <w:t>广州</w:t>
      </w:r>
    </w:p>
    <w:p w14:paraId="7B7191D7" w14:textId="77777777" w:rsidR="00E853FD" w:rsidRDefault="00E853FD" w:rsidP="00635A1E">
      <w:pPr>
        <w:spacing w:line="360" w:lineRule="auto"/>
        <w:ind w:firstLine="482"/>
        <w:rPr>
          <w:rFonts w:ascii="宋体"/>
          <w:bCs/>
          <w:sz w:val="24"/>
          <w:szCs w:val="24"/>
        </w:rPr>
      </w:pPr>
    </w:p>
    <w:p w14:paraId="4EF4DC51" w14:textId="77777777" w:rsidR="00E853FD" w:rsidRDefault="00E853FD" w:rsidP="00635A1E">
      <w:pPr>
        <w:pStyle w:val="Web"/>
        <w:spacing w:line="360" w:lineRule="auto"/>
        <w:rPr>
          <w:bCs/>
          <w:kern w:val="2"/>
          <w:sz w:val="21"/>
          <w:szCs w:val="21"/>
        </w:rPr>
      </w:pPr>
    </w:p>
    <w:p w14:paraId="115A27E5" w14:textId="174E68C9" w:rsidR="00E853FD" w:rsidRDefault="00FE7D53" w:rsidP="00635A1E">
      <w:pPr>
        <w:pStyle w:val="Web"/>
        <w:spacing w:line="360" w:lineRule="auto"/>
        <w:ind w:firstLine="403"/>
        <w:rPr>
          <w:bCs/>
        </w:rPr>
      </w:pPr>
      <w:r>
        <w:rPr>
          <w:rFonts w:hint="eastAsia"/>
          <w:bCs/>
        </w:rPr>
        <w:t>基金托管人</w:t>
      </w:r>
      <w:r>
        <w:rPr>
          <w:bCs/>
        </w:rPr>
        <w:t>:</w:t>
      </w:r>
      <w:r>
        <w:rPr>
          <w:rFonts w:hint="eastAsia"/>
          <w:bCs/>
        </w:rPr>
        <w:t>中国光大银行股份有限公司（公章）</w:t>
      </w:r>
    </w:p>
    <w:p w14:paraId="4AB93FB4" w14:textId="77777777" w:rsidR="00E853FD" w:rsidRDefault="00FE7D53" w:rsidP="00635A1E">
      <w:pPr>
        <w:pStyle w:val="Web"/>
        <w:spacing w:line="360" w:lineRule="auto"/>
        <w:ind w:firstLine="403"/>
        <w:rPr>
          <w:bCs/>
        </w:rPr>
      </w:pPr>
      <w:r>
        <w:rPr>
          <w:rFonts w:hint="eastAsia"/>
          <w:bCs/>
        </w:rPr>
        <w:t>法定代表人或授权代表：</w:t>
      </w:r>
    </w:p>
    <w:p w14:paraId="3FCDA91E" w14:textId="77777777" w:rsidR="00E853FD" w:rsidRDefault="00E853FD" w:rsidP="00635A1E">
      <w:pPr>
        <w:pStyle w:val="Web"/>
        <w:spacing w:line="360" w:lineRule="auto"/>
        <w:ind w:firstLine="420"/>
        <w:rPr>
          <w:bCs/>
        </w:rPr>
      </w:pPr>
    </w:p>
    <w:p w14:paraId="4FDDBDBD" w14:textId="77777777" w:rsidR="00E853FD" w:rsidRDefault="00E853FD" w:rsidP="00635A1E">
      <w:pPr>
        <w:pStyle w:val="Web"/>
        <w:spacing w:line="360" w:lineRule="auto"/>
        <w:ind w:firstLine="420"/>
        <w:rPr>
          <w:bCs/>
        </w:rPr>
      </w:pPr>
    </w:p>
    <w:p w14:paraId="08C4CD56" w14:textId="77777777" w:rsidR="00E853FD" w:rsidRDefault="00FE7D53" w:rsidP="00635A1E">
      <w:pPr>
        <w:pStyle w:val="Web"/>
        <w:spacing w:line="360" w:lineRule="auto"/>
        <w:ind w:firstLine="403"/>
        <w:rPr>
          <w:bCs/>
        </w:rPr>
      </w:pPr>
      <w:r>
        <w:rPr>
          <w:rFonts w:hint="eastAsia"/>
          <w:bCs/>
        </w:rPr>
        <w:t>签订日：</w:t>
      </w:r>
      <w:r>
        <w:rPr>
          <w:bCs/>
        </w:rPr>
        <w:t xml:space="preserve">     </w:t>
      </w:r>
      <w:r>
        <w:rPr>
          <w:rFonts w:hint="eastAsia"/>
          <w:bCs/>
        </w:rPr>
        <w:t>年</w:t>
      </w:r>
      <w:r>
        <w:rPr>
          <w:bCs/>
        </w:rPr>
        <w:t xml:space="preserve">   </w:t>
      </w:r>
      <w:r>
        <w:rPr>
          <w:rFonts w:hint="eastAsia"/>
          <w:bCs/>
        </w:rPr>
        <w:t>月</w:t>
      </w:r>
      <w:r>
        <w:rPr>
          <w:bCs/>
        </w:rPr>
        <w:t xml:space="preserve">   </w:t>
      </w:r>
      <w:r>
        <w:rPr>
          <w:rFonts w:hint="eastAsia"/>
          <w:bCs/>
        </w:rPr>
        <w:t>日</w:t>
      </w:r>
    </w:p>
    <w:p w14:paraId="59D34100" w14:textId="783FF28D" w:rsidR="00E853FD" w:rsidRPr="00635A1E" w:rsidRDefault="00FE7D53" w:rsidP="00635A1E">
      <w:pPr>
        <w:pStyle w:val="Web"/>
        <w:spacing w:line="360" w:lineRule="auto"/>
        <w:ind w:firstLine="420"/>
        <w:rPr>
          <w:bCs/>
        </w:rPr>
      </w:pPr>
      <w:r>
        <w:rPr>
          <w:rFonts w:hint="eastAsia"/>
          <w:bCs/>
        </w:rPr>
        <w:t>签订地：北京</w:t>
      </w:r>
    </w:p>
    <w:sectPr w:rsidR="00E853FD" w:rsidRPr="00635A1E">
      <w:headerReference w:type="first" r:id="rId16"/>
      <w:footerReference w:type="first" r:id="rId17"/>
      <w:pgSz w:w="11906" w:h="16838"/>
      <w:pgMar w:top="1440" w:right="1797" w:bottom="1440" w:left="1797"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11EE8" w14:textId="77777777" w:rsidR="006136B3" w:rsidRDefault="006136B3">
      <w:r>
        <w:separator/>
      </w:r>
    </w:p>
  </w:endnote>
  <w:endnote w:type="continuationSeparator" w:id="0">
    <w:p w14:paraId="304FC53F" w14:textId="77777777" w:rsidR="006136B3" w:rsidRDefault="00613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7A5B1" w14:textId="77777777" w:rsidR="00E853FD" w:rsidRDefault="006136B3">
    <w:pPr>
      <w:pStyle w:val="ac"/>
      <w:jc w:val="center"/>
      <w:rPr>
        <w:rFonts w:ascii="宋体"/>
      </w:rPr>
    </w:pPr>
    <w:r>
      <w:pict w14:anchorId="6941DF6B">
        <v:shapetype id="_x0000_t202" coordsize="21600,21600" o:spt="202" path="m,l,21600r21600,l21600,xe">
          <v:stroke joinstyle="miter"/>
          <v:path gradientshapeok="t" o:connecttype="rect"/>
        </v:shapetype>
        <v:shape id="文本框 2" o:spid="_x0000_s2052" type="#_x0000_t202" style="position:absolute;left:0;text-align:left;margin-left:0;margin-top:0;width:4.6pt;height:11pt;z-index:251659264;mso-wrap-style:none;mso-position-horizontal:center;mso-position-horizontal-relative:margin;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" filled="f" stroked="f">
          <v:textbox style="mso-fit-shape-to-text:t" inset="0,0,0,0">
            <w:txbxContent>
              <w:p w14:paraId="10BACC72" w14:textId="676DBED0" w:rsidR="00E853FD" w:rsidRDefault="00FE7D53">
                <w:pPr>
                  <w:pStyle w:val="ac"/>
                  <w:jc w:val="center"/>
                </w:pPr>
                <w:r>
                  <w:fldChar w:fldCharType="begin"/>
                </w:r>
                <w:r>
                  <w:instrText xml:space="preserve"> PAGE   \* MERGEFORMAT </w:instrText>
                </w:r>
                <w:r>
                  <w:fldChar w:fldCharType="separate"/>
                </w:r>
                <w:r w:rsidR="00B440B0" w:rsidRPr="00B440B0">
                  <w:rPr>
                    <w:noProof/>
                    <w:lang w:val="zh-CN"/>
                  </w:rPr>
                  <w:t>1</w:t>
                </w:r>
                <w: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F8DE3" w14:textId="77777777" w:rsidR="00E853FD" w:rsidRDefault="00FE7D53">
    <w:pPr>
      <w:pStyle w:val="ac"/>
      <w:jc w:val="center"/>
    </w:pPr>
    <w:r>
      <w:fldChar w:fldCharType="begin"/>
    </w:r>
    <w:r>
      <w:instrText xml:space="preserve"> PAGE   \* MERGEFORMAT </w:instrText>
    </w:r>
    <w:r>
      <w:fldChar w:fldCharType="separate"/>
    </w:r>
    <w:r>
      <w:rPr>
        <w:lang w:val="zh-CN"/>
      </w:rPr>
      <w:t>1</w:t>
    </w:r>
    <w:r>
      <w:fldChar w:fldCharType="end"/>
    </w:r>
  </w:p>
  <w:p w14:paraId="2582FBF5" w14:textId="77777777" w:rsidR="00E853FD" w:rsidRDefault="00E853FD">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2C3E3" w14:textId="77777777" w:rsidR="00E853FD" w:rsidRDefault="006136B3">
    <w:pPr>
      <w:pStyle w:val="ac"/>
      <w:jc w:val="center"/>
      <w:rPr>
        <w:rFonts w:ascii="宋体"/>
      </w:rPr>
    </w:pPr>
    <w:r>
      <w:pict w14:anchorId="3B230835">
        <v:shapetype id="_x0000_t202" coordsize="21600,21600" o:spt="202" path="m,l,21600r21600,l21600,xe">
          <v:stroke joinstyle="miter"/>
          <v:path gradientshapeok="t" o:connecttype="rect"/>
        </v:shapetype>
        <v:shape id="_x0000_s2051" type="#_x0000_t202" style="position:absolute;left:0;text-align:left;margin-left:0;margin-top:0;width:9.15pt;height:11pt;z-index:251660288;mso-wrap-style:none;mso-position-horizontal:center;mso-position-horizontal-relative:margin;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" filled="f" stroked="f">
          <v:textbox style="mso-next-textbox:#_x0000_s2051;mso-fit-shape-to-text:t" inset="0,0,0,0">
            <w:txbxContent>
              <w:p w14:paraId="2680ED79" w14:textId="7757D8AC" w:rsidR="00E853FD" w:rsidRDefault="00FE7D53">
                <w:pPr>
                  <w:pStyle w:val="ac"/>
                  <w:jc w:val="center"/>
                </w:pPr>
                <w:r>
                  <w:fldChar w:fldCharType="begin"/>
                </w:r>
                <w:r>
                  <w:instrText xml:space="preserve"> PAGE   \* MERGEFORMAT </w:instrText>
                </w:r>
                <w:r>
                  <w:fldChar w:fldCharType="separate"/>
                </w:r>
                <w:r w:rsidR="00B440B0" w:rsidRPr="00B440B0">
                  <w:rPr>
                    <w:noProof/>
                    <w:lang w:val="zh-CN"/>
                  </w:rPr>
                  <w:t>3</w:t>
                </w:r>
                <w:r>
                  <w:fldChar w:fldCharType="end"/>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5A84B" w14:textId="77777777" w:rsidR="00E853FD" w:rsidRDefault="006136B3">
    <w:pPr>
      <w:pStyle w:val="ac"/>
      <w:jc w:val="center"/>
    </w:pPr>
    <w:r>
      <w:pict w14:anchorId="475E8F5C">
        <v:shapetype id="_x0000_t202" coordsize="21600,21600" o:spt="202" path="m,l,21600r21600,l21600,xe">
          <v:stroke joinstyle="miter"/>
          <v:path gradientshapeok="t" o:connecttype="rect"/>
        </v:shapetype>
        <v:shape id="文本框 4" o:spid="_x0000_s2050" type="#_x0000_t202" style="position:absolute;left:0;text-align:left;margin-left:0;margin-top:0;width:4.6pt;height:11pt;z-index:251661312;mso-wrap-style:none;mso-position-horizontal:center;mso-position-horizontal-relative:margin;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" filled="f" stroked="f">
          <v:textbox style="mso-next-textbox:#文本框 4;mso-fit-shape-to-text:t" inset="0,0,0,0">
            <w:txbxContent>
              <w:p w14:paraId="578C95E0" w14:textId="16301237" w:rsidR="00E853FD" w:rsidRDefault="00FE7D53">
                <w:pPr>
                  <w:pStyle w:val="ac"/>
                  <w:jc w:val="center"/>
                </w:pPr>
                <w:r>
                  <w:fldChar w:fldCharType="begin"/>
                </w:r>
                <w:r>
                  <w:instrText xml:space="preserve"> PAGE   \* MERGEFORMAT </w:instrText>
                </w:r>
                <w:r>
                  <w:fldChar w:fldCharType="separate"/>
                </w:r>
                <w:r w:rsidR="00B440B0" w:rsidRPr="00B440B0">
                  <w:rPr>
                    <w:noProof/>
                    <w:lang w:val="zh-CN"/>
                  </w:rPr>
                  <w:t>2</w:t>
                </w:r>
                <w:r>
                  <w:fldChar w:fldCharType="end"/>
                </w:r>
              </w:p>
            </w:txbxContent>
          </v:textbox>
          <w10:wrap anchorx="margin"/>
        </v:shape>
      </w:pict>
    </w:r>
  </w:p>
  <w:p w14:paraId="742B9E76" w14:textId="77777777" w:rsidR="00E853FD" w:rsidRDefault="00E853FD">
    <w:pPr>
      <w:pStyle w:val="ac"/>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77F50" w14:textId="0F7E3E6D" w:rsidR="00E853FD" w:rsidRDefault="00E853F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693BE" w14:textId="77777777" w:rsidR="006136B3" w:rsidRDefault="006136B3">
      <w:r>
        <w:separator/>
      </w:r>
    </w:p>
  </w:footnote>
  <w:footnote w:type="continuationSeparator" w:id="0">
    <w:p w14:paraId="6FF6E8D6" w14:textId="77777777" w:rsidR="006136B3" w:rsidRDefault="00613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19DC" w14:textId="06A287F8" w:rsidR="002342B6" w:rsidRDefault="002342B6" w:rsidP="00290D93">
    <w:pPr>
      <w:pStyle w:val="ae"/>
      <w:jc w:val="right"/>
    </w:pPr>
    <w:r>
      <w:rPr>
        <w:rFonts w:hint="eastAsia"/>
      </w:rPr>
      <w:t>托管协议</w:t>
    </w:r>
  </w:p>
  <w:p w14:paraId="40C37506" w14:textId="0FC1180B" w:rsidR="00E853FD" w:rsidRDefault="00E853FD">
    <w:pPr>
      <w:pStyle w:val="ae"/>
      <w:pBdr>
        <w:bottom w:val="none" w:sz="0" w:space="0" w:color="auto"/>
      </w:pBdr>
      <w:tabs>
        <w:tab w:val="clear" w:pos="8306"/>
        <w:tab w:val="right" w:pos="8312"/>
      </w:tabs>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336D" w14:textId="77777777" w:rsidR="00E853FD" w:rsidRDefault="00E853FD">
    <w:pPr>
      <w:pStyle w:val="ae"/>
      <w:pBdr>
        <w:bottom w:val="none" w:sz="0" w:space="0" w:color="auto"/>
      </w:pBdr>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1A5A0" w14:textId="2446EC21" w:rsidR="002C0432" w:rsidRDefault="002C0432" w:rsidP="00290D93">
    <w:pPr>
      <w:pStyle w:val="ae"/>
      <w:jc w:val="right"/>
    </w:pPr>
    <w:r>
      <w:rPr>
        <w:rFonts w:hint="eastAsia"/>
      </w:rPr>
      <w:t>托管协议</w:t>
    </w:r>
  </w:p>
  <w:p w14:paraId="5AFCEC3F" w14:textId="77777777" w:rsidR="00E853FD" w:rsidRDefault="00E853FD">
    <w:pPr>
      <w:pStyle w:val="ae"/>
      <w:pBdr>
        <w:bottom w:val="none" w:sz="0" w:space="0" w:color="auto"/>
      </w:pBdr>
      <w:jc w:val="both"/>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F248" w14:textId="4FDD6D93" w:rsidR="004A025A" w:rsidRDefault="004A025A" w:rsidP="00290D93">
    <w:pPr>
      <w:pStyle w:val="ae"/>
      <w:jc w:val="right"/>
    </w:pPr>
    <w:r>
      <w:rPr>
        <w:rFonts w:hint="eastAsia"/>
      </w:rPr>
      <w:t>托管协议</w:t>
    </w:r>
  </w:p>
  <w:p w14:paraId="5EAFB5A1" w14:textId="77777777" w:rsidR="004A025A" w:rsidRDefault="004A025A">
    <w:pPr>
      <w:pStyle w:val="ae"/>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42E0F77"/>
    <w:multiLevelType w:val="singleLevel"/>
    <w:tmpl w:val="C42E0F77"/>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embedSystem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90F90"/>
    <w:rsid w:val="000010ED"/>
    <w:rsid w:val="00003549"/>
    <w:rsid w:val="00004155"/>
    <w:rsid w:val="000123E3"/>
    <w:rsid w:val="00012855"/>
    <w:rsid w:val="00013266"/>
    <w:rsid w:val="000140F5"/>
    <w:rsid w:val="000142AC"/>
    <w:rsid w:val="00015DA7"/>
    <w:rsid w:val="000169F3"/>
    <w:rsid w:val="000202CE"/>
    <w:rsid w:val="0002108A"/>
    <w:rsid w:val="00021D34"/>
    <w:rsid w:val="000220E6"/>
    <w:rsid w:val="00024189"/>
    <w:rsid w:val="00027F73"/>
    <w:rsid w:val="000354F1"/>
    <w:rsid w:val="00037BA6"/>
    <w:rsid w:val="000412B7"/>
    <w:rsid w:val="00044717"/>
    <w:rsid w:val="0004556E"/>
    <w:rsid w:val="00045FDC"/>
    <w:rsid w:val="0004607F"/>
    <w:rsid w:val="00055231"/>
    <w:rsid w:val="0005552E"/>
    <w:rsid w:val="00056BF3"/>
    <w:rsid w:val="00056CD2"/>
    <w:rsid w:val="00060F4A"/>
    <w:rsid w:val="00060FE1"/>
    <w:rsid w:val="000611BB"/>
    <w:rsid w:val="00061C7C"/>
    <w:rsid w:val="000655DD"/>
    <w:rsid w:val="000663AF"/>
    <w:rsid w:val="0006642D"/>
    <w:rsid w:val="00070DD1"/>
    <w:rsid w:val="000722D1"/>
    <w:rsid w:val="0007368E"/>
    <w:rsid w:val="000776AC"/>
    <w:rsid w:val="00077F98"/>
    <w:rsid w:val="00084D5B"/>
    <w:rsid w:val="0008770E"/>
    <w:rsid w:val="000951CA"/>
    <w:rsid w:val="000A1EB4"/>
    <w:rsid w:val="000A3AF5"/>
    <w:rsid w:val="000A74DA"/>
    <w:rsid w:val="000B08EA"/>
    <w:rsid w:val="000B091C"/>
    <w:rsid w:val="000B55FA"/>
    <w:rsid w:val="000B7D66"/>
    <w:rsid w:val="000C0062"/>
    <w:rsid w:val="000C4B71"/>
    <w:rsid w:val="000C5C54"/>
    <w:rsid w:val="000C6499"/>
    <w:rsid w:val="000C7557"/>
    <w:rsid w:val="000C75D5"/>
    <w:rsid w:val="000D24B2"/>
    <w:rsid w:val="000D3B70"/>
    <w:rsid w:val="000D712F"/>
    <w:rsid w:val="000E123F"/>
    <w:rsid w:val="000E1AE0"/>
    <w:rsid w:val="000E280D"/>
    <w:rsid w:val="000E33E6"/>
    <w:rsid w:val="000E46FE"/>
    <w:rsid w:val="000E5C9C"/>
    <w:rsid w:val="000F0605"/>
    <w:rsid w:val="000F2712"/>
    <w:rsid w:val="000F4542"/>
    <w:rsid w:val="000F5843"/>
    <w:rsid w:val="000F7139"/>
    <w:rsid w:val="000F7EE5"/>
    <w:rsid w:val="00101929"/>
    <w:rsid w:val="00101CD2"/>
    <w:rsid w:val="00102D6D"/>
    <w:rsid w:val="0010306C"/>
    <w:rsid w:val="001048D9"/>
    <w:rsid w:val="00105364"/>
    <w:rsid w:val="0010769C"/>
    <w:rsid w:val="001107C4"/>
    <w:rsid w:val="00110A83"/>
    <w:rsid w:val="001110E7"/>
    <w:rsid w:val="00111AEB"/>
    <w:rsid w:val="00111EEB"/>
    <w:rsid w:val="00112F1C"/>
    <w:rsid w:val="00113D9D"/>
    <w:rsid w:val="00114370"/>
    <w:rsid w:val="001148F3"/>
    <w:rsid w:val="0011597C"/>
    <w:rsid w:val="00120E9D"/>
    <w:rsid w:val="0012281F"/>
    <w:rsid w:val="00123236"/>
    <w:rsid w:val="00124E89"/>
    <w:rsid w:val="00126901"/>
    <w:rsid w:val="0012759A"/>
    <w:rsid w:val="00131612"/>
    <w:rsid w:val="00132EBD"/>
    <w:rsid w:val="00132EC1"/>
    <w:rsid w:val="00133ACD"/>
    <w:rsid w:val="00134370"/>
    <w:rsid w:val="00136C5C"/>
    <w:rsid w:val="0013716B"/>
    <w:rsid w:val="00145C59"/>
    <w:rsid w:val="00146E23"/>
    <w:rsid w:val="001471C9"/>
    <w:rsid w:val="001514ED"/>
    <w:rsid w:val="00152948"/>
    <w:rsid w:val="0015364C"/>
    <w:rsid w:val="001551CC"/>
    <w:rsid w:val="0015568E"/>
    <w:rsid w:val="0016235B"/>
    <w:rsid w:val="001636C5"/>
    <w:rsid w:val="0016397C"/>
    <w:rsid w:val="00165172"/>
    <w:rsid w:val="0017001A"/>
    <w:rsid w:val="00171480"/>
    <w:rsid w:val="00171710"/>
    <w:rsid w:val="00172F94"/>
    <w:rsid w:val="00174DA3"/>
    <w:rsid w:val="0018334A"/>
    <w:rsid w:val="00193873"/>
    <w:rsid w:val="001970FE"/>
    <w:rsid w:val="001A0EBC"/>
    <w:rsid w:val="001A726D"/>
    <w:rsid w:val="001B0442"/>
    <w:rsid w:val="001B2DBB"/>
    <w:rsid w:val="001B3081"/>
    <w:rsid w:val="001B3764"/>
    <w:rsid w:val="001B4991"/>
    <w:rsid w:val="001C0A9E"/>
    <w:rsid w:val="001C2323"/>
    <w:rsid w:val="001C4A5A"/>
    <w:rsid w:val="001C558E"/>
    <w:rsid w:val="001C6092"/>
    <w:rsid w:val="001C7E0A"/>
    <w:rsid w:val="001D00A4"/>
    <w:rsid w:val="001D1E69"/>
    <w:rsid w:val="001D7E49"/>
    <w:rsid w:val="001E0138"/>
    <w:rsid w:val="001E0A56"/>
    <w:rsid w:val="001E289E"/>
    <w:rsid w:val="001E4E4F"/>
    <w:rsid w:val="001F0552"/>
    <w:rsid w:val="001F1E67"/>
    <w:rsid w:val="001F2821"/>
    <w:rsid w:val="001F3AF5"/>
    <w:rsid w:val="001F4597"/>
    <w:rsid w:val="001F6066"/>
    <w:rsid w:val="0020299E"/>
    <w:rsid w:val="00207919"/>
    <w:rsid w:val="00213407"/>
    <w:rsid w:val="00214A25"/>
    <w:rsid w:val="00215587"/>
    <w:rsid w:val="00215A49"/>
    <w:rsid w:val="00222177"/>
    <w:rsid w:val="00223A52"/>
    <w:rsid w:val="00224646"/>
    <w:rsid w:val="00226382"/>
    <w:rsid w:val="00227D2D"/>
    <w:rsid w:val="00233B78"/>
    <w:rsid w:val="00233DB2"/>
    <w:rsid w:val="002342B6"/>
    <w:rsid w:val="00235C87"/>
    <w:rsid w:val="00240724"/>
    <w:rsid w:val="00242606"/>
    <w:rsid w:val="00246B2D"/>
    <w:rsid w:val="00247E74"/>
    <w:rsid w:val="00250BA7"/>
    <w:rsid w:val="0025115D"/>
    <w:rsid w:val="0025123A"/>
    <w:rsid w:val="002514FA"/>
    <w:rsid w:val="00252BCE"/>
    <w:rsid w:val="00253289"/>
    <w:rsid w:val="002561AE"/>
    <w:rsid w:val="00257560"/>
    <w:rsid w:val="00262077"/>
    <w:rsid w:val="0026486D"/>
    <w:rsid w:val="00274265"/>
    <w:rsid w:val="00274930"/>
    <w:rsid w:val="00274B2A"/>
    <w:rsid w:val="00276023"/>
    <w:rsid w:val="00277882"/>
    <w:rsid w:val="00284319"/>
    <w:rsid w:val="00286487"/>
    <w:rsid w:val="00290686"/>
    <w:rsid w:val="0029070B"/>
    <w:rsid w:val="00290D93"/>
    <w:rsid w:val="00297C1C"/>
    <w:rsid w:val="002A1CAB"/>
    <w:rsid w:val="002A338D"/>
    <w:rsid w:val="002A5305"/>
    <w:rsid w:val="002A5585"/>
    <w:rsid w:val="002A60F8"/>
    <w:rsid w:val="002A6CB8"/>
    <w:rsid w:val="002B29FA"/>
    <w:rsid w:val="002B6691"/>
    <w:rsid w:val="002C0432"/>
    <w:rsid w:val="002C4E3B"/>
    <w:rsid w:val="002C51ED"/>
    <w:rsid w:val="002C7100"/>
    <w:rsid w:val="002C74B3"/>
    <w:rsid w:val="002D0007"/>
    <w:rsid w:val="002D0C4B"/>
    <w:rsid w:val="002D2EC7"/>
    <w:rsid w:val="002D4A9D"/>
    <w:rsid w:val="002D4D93"/>
    <w:rsid w:val="002D7FCB"/>
    <w:rsid w:val="002E09C2"/>
    <w:rsid w:val="002E2C26"/>
    <w:rsid w:val="002E6223"/>
    <w:rsid w:val="002E65E9"/>
    <w:rsid w:val="002F1CB7"/>
    <w:rsid w:val="002F4343"/>
    <w:rsid w:val="002F5E04"/>
    <w:rsid w:val="002F6194"/>
    <w:rsid w:val="002F7391"/>
    <w:rsid w:val="003102BC"/>
    <w:rsid w:val="0031171E"/>
    <w:rsid w:val="00312A91"/>
    <w:rsid w:val="003161B0"/>
    <w:rsid w:val="0032380B"/>
    <w:rsid w:val="00332C9B"/>
    <w:rsid w:val="003349CA"/>
    <w:rsid w:val="00334E07"/>
    <w:rsid w:val="00336F90"/>
    <w:rsid w:val="00341543"/>
    <w:rsid w:val="00342CA0"/>
    <w:rsid w:val="0034525B"/>
    <w:rsid w:val="00351AB7"/>
    <w:rsid w:val="00361324"/>
    <w:rsid w:val="0036666D"/>
    <w:rsid w:val="00367DA5"/>
    <w:rsid w:val="0037117F"/>
    <w:rsid w:val="003712DA"/>
    <w:rsid w:val="003720EB"/>
    <w:rsid w:val="0037303B"/>
    <w:rsid w:val="0037463C"/>
    <w:rsid w:val="00377722"/>
    <w:rsid w:val="00385962"/>
    <w:rsid w:val="00386748"/>
    <w:rsid w:val="00390C0B"/>
    <w:rsid w:val="00391AF8"/>
    <w:rsid w:val="00392598"/>
    <w:rsid w:val="00393632"/>
    <w:rsid w:val="003949A8"/>
    <w:rsid w:val="003A2372"/>
    <w:rsid w:val="003A3F0F"/>
    <w:rsid w:val="003A70B3"/>
    <w:rsid w:val="003A77D8"/>
    <w:rsid w:val="003A7C93"/>
    <w:rsid w:val="003B0373"/>
    <w:rsid w:val="003B0CF8"/>
    <w:rsid w:val="003C0E20"/>
    <w:rsid w:val="003C565F"/>
    <w:rsid w:val="003D0874"/>
    <w:rsid w:val="003D1672"/>
    <w:rsid w:val="003D3FA3"/>
    <w:rsid w:val="003D57E0"/>
    <w:rsid w:val="003E079D"/>
    <w:rsid w:val="003E159D"/>
    <w:rsid w:val="003E36CD"/>
    <w:rsid w:val="003E406E"/>
    <w:rsid w:val="003E51E6"/>
    <w:rsid w:val="003E5C58"/>
    <w:rsid w:val="003E733D"/>
    <w:rsid w:val="003F0C1A"/>
    <w:rsid w:val="003F1601"/>
    <w:rsid w:val="003F180C"/>
    <w:rsid w:val="003F1EEB"/>
    <w:rsid w:val="003F5406"/>
    <w:rsid w:val="003F5613"/>
    <w:rsid w:val="003F7597"/>
    <w:rsid w:val="00401C92"/>
    <w:rsid w:val="00401D7D"/>
    <w:rsid w:val="00406C45"/>
    <w:rsid w:val="00411937"/>
    <w:rsid w:val="004143CD"/>
    <w:rsid w:val="0041593D"/>
    <w:rsid w:val="00420571"/>
    <w:rsid w:val="0042063B"/>
    <w:rsid w:val="0042357F"/>
    <w:rsid w:val="004258F2"/>
    <w:rsid w:val="00431EBF"/>
    <w:rsid w:val="00435DE2"/>
    <w:rsid w:val="0043626F"/>
    <w:rsid w:val="00436372"/>
    <w:rsid w:val="00437815"/>
    <w:rsid w:val="00437D90"/>
    <w:rsid w:val="00437DCF"/>
    <w:rsid w:val="004412DE"/>
    <w:rsid w:val="004418B1"/>
    <w:rsid w:val="00443701"/>
    <w:rsid w:val="0044775D"/>
    <w:rsid w:val="0045113F"/>
    <w:rsid w:val="004518A1"/>
    <w:rsid w:val="004566F6"/>
    <w:rsid w:val="00457223"/>
    <w:rsid w:val="00460A2C"/>
    <w:rsid w:val="00461099"/>
    <w:rsid w:val="00463BD3"/>
    <w:rsid w:val="00466C0E"/>
    <w:rsid w:val="00466FE7"/>
    <w:rsid w:val="00470133"/>
    <w:rsid w:val="00471507"/>
    <w:rsid w:val="00477DE0"/>
    <w:rsid w:val="004806B6"/>
    <w:rsid w:val="004828BB"/>
    <w:rsid w:val="004837C8"/>
    <w:rsid w:val="00483A50"/>
    <w:rsid w:val="004866BD"/>
    <w:rsid w:val="00487A27"/>
    <w:rsid w:val="00490C3F"/>
    <w:rsid w:val="00491727"/>
    <w:rsid w:val="00491C44"/>
    <w:rsid w:val="00493320"/>
    <w:rsid w:val="00495E39"/>
    <w:rsid w:val="00496429"/>
    <w:rsid w:val="004A025A"/>
    <w:rsid w:val="004A2515"/>
    <w:rsid w:val="004A32E3"/>
    <w:rsid w:val="004A5B74"/>
    <w:rsid w:val="004A7D4B"/>
    <w:rsid w:val="004B2480"/>
    <w:rsid w:val="004B37F5"/>
    <w:rsid w:val="004B550D"/>
    <w:rsid w:val="004B67EF"/>
    <w:rsid w:val="004C4D9A"/>
    <w:rsid w:val="004C625B"/>
    <w:rsid w:val="004C6342"/>
    <w:rsid w:val="004C6E69"/>
    <w:rsid w:val="004D0557"/>
    <w:rsid w:val="004D129E"/>
    <w:rsid w:val="004D3904"/>
    <w:rsid w:val="004D460A"/>
    <w:rsid w:val="004D7321"/>
    <w:rsid w:val="004E0E36"/>
    <w:rsid w:val="004E5DDC"/>
    <w:rsid w:val="004E6AC5"/>
    <w:rsid w:val="004F6A98"/>
    <w:rsid w:val="005001D2"/>
    <w:rsid w:val="005055AE"/>
    <w:rsid w:val="00505E6A"/>
    <w:rsid w:val="005120DC"/>
    <w:rsid w:val="005143C0"/>
    <w:rsid w:val="00515485"/>
    <w:rsid w:val="005161FD"/>
    <w:rsid w:val="005173BE"/>
    <w:rsid w:val="00520F9A"/>
    <w:rsid w:val="00522C7F"/>
    <w:rsid w:val="0052337D"/>
    <w:rsid w:val="005252C5"/>
    <w:rsid w:val="00525DC7"/>
    <w:rsid w:val="00527E59"/>
    <w:rsid w:val="00530189"/>
    <w:rsid w:val="00532D52"/>
    <w:rsid w:val="00535D05"/>
    <w:rsid w:val="00541AA3"/>
    <w:rsid w:val="00542767"/>
    <w:rsid w:val="005429FC"/>
    <w:rsid w:val="005451B2"/>
    <w:rsid w:val="005507A2"/>
    <w:rsid w:val="00551ADA"/>
    <w:rsid w:val="0055426B"/>
    <w:rsid w:val="00554905"/>
    <w:rsid w:val="00556ACC"/>
    <w:rsid w:val="00560490"/>
    <w:rsid w:val="005613D0"/>
    <w:rsid w:val="005619ED"/>
    <w:rsid w:val="00562A6B"/>
    <w:rsid w:val="0056333C"/>
    <w:rsid w:val="00572531"/>
    <w:rsid w:val="00572790"/>
    <w:rsid w:val="005816BC"/>
    <w:rsid w:val="0058535D"/>
    <w:rsid w:val="005855F0"/>
    <w:rsid w:val="00585A09"/>
    <w:rsid w:val="005866A4"/>
    <w:rsid w:val="0058744B"/>
    <w:rsid w:val="00592FE1"/>
    <w:rsid w:val="00595F92"/>
    <w:rsid w:val="00596682"/>
    <w:rsid w:val="005A19D9"/>
    <w:rsid w:val="005A4F05"/>
    <w:rsid w:val="005A60F2"/>
    <w:rsid w:val="005B7473"/>
    <w:rsid w:val="005C0D48"/>
    <w:rsid w:val="005C5F30"/>
    <w:rsid w:val="005C6FA5"/>
    <w:rsid w:val="005C7C80"/>
    <w:rsid w:val="005D7D2C"/>
    <w:rsid w:val="005E2DC4"/>
    <w:rsid w:val="005E52A6"/>
    <w:rsid w:val="005F1D75"/>
    <w:rsid w:val="005F459E"/>
    <w:rsid w:val="005F59B1"/>
    <w:rsid w:val="005F5E6B"/>
    <w:rsid w:val="005F644B"/>
    <w:rsid w:val="005F69AE"/>
    <w:rsid w:val="00602E73"/>
    <w:rsid w:val="00604EF7"/>
    <w:rsid w:val="006059A8"/>
    <w:rsid w:val="00605ED9"/>
    <w:rsid w:val="00607BAE"/>
    <w:rsid w:val="006136B3"/>
    <w:rsid w:val="00613E11"/>
    <w:rsid w:val="00617230"/>
    <w:rsid w:val="00620995"/>
    <w:rsid w:val="00620EA9"/>
    <w:rsid w:val="00621A99"/>
    <w:rsid w:val="00627603"/>
    <w:rsid w:val="00627CB1"/>
    <w:rsid w:val="00627F88"/>
    <w:rsid w:val="00630AAD"/>
    <w:rsid w:val="0063343E"/>
    <w:rsid w:val="006353EE"/>
    <w:rsid w:val="00635A1E"/>
    <w:rsid w:val="00635E14"/>
    <w:rsid w:val="00640F4D"/>
    <w:rsid w:val="0064116B"/>
    <w:rsid w:val="006445F4"/>
    <w:rsid w:val="00645342"/>
    <w:rsid w:val="0064743C"/>
    <w:rsid w:val="00654421"/>
    <w:rsid w:val="006570C1"/>
    <w:rsid w:val="0066061F"/>
    <w:rsid w:val="00660FE9"/>
    <w:rsid w:val="006610A8"/>
    <w:rsid w:val="00664EF6"/>
    <w:rsid w:val="00665DE6"/>
    <w:rsid w:val="006673E3"/>
    <w:rsid w:val="006704BC"/>
    <w:rsid w:val="006716FE"/>
    <w:rsid w:val="00673ADB"/>
    <w:rsid w:val="0067474D"/>
    <w:rsid w:val="0068319E"/>
    <w:rsid w:val="00683894"/>
    <w:rsid w:val="006857EB"/>
    <w:rsid w:val="00686024"/>
    <w:rsid w:val="00687FC4"/>
    <w:rsid w:val="0069004F"/>
    <w:rsid w:val="00693084"/>
    <w:rsid w:val="00695DAE"/>
    <w:rsid w:val="00696EB6"/>
    <w:rsid w:val="00697453"/>
    <w:rsid w:val="00697C0A"/>
    <w:rsid w:val="006A004B"/>
    <w:rsid w:val="006A07D8"/>
    <w:rsid w:val="006A3086"/>
    <w:rsid w:val="006A480C"/>
    <w:rsid w:val="006A5E11"/>
    <w:rsid w:val="006A6D4F"/>
    <w:rsid w:val="006A7503"/>
    <w:rsid w:val="006A75EA"/>
    <w:rsid w:val="006B5E7D"/>
    <w:rsid w:val="006C485B"/>
    <w:rsid w:val="006D049A"/>
    <w:rsid w:val="006E1463"/>
    <w:rsid w:val="006E3A63"/>
    <w:rsid w:val="006E4BAA"/>
    <w:rsid w:val="006E5DC6"/>
    <w:rsid w:val="006F2179"/>
    <w:rsid w:val="006F24F3"/>
    <w:rsid w:val="006F2EFD"/>
    <w:rsid w:val="006F70C6"/>
    <w:rsid w:val="006F7121"/>
    <w:rsid w:val="00701DBF"/>
    <w:rsid w:val="0070340F"/>
    <w:rsid w:val="00704CC7"/>
    <w:rsid w:val="00707515"/>
    <w:rsid w:val="00711A1B"/>
    <w:rsid w:val="007142DA"/>
    <w:rsid w:val="00717592"/>
    <w:rsid w:val="00720B77"/>
    <w:rsid w:val="00721B61"/>
    <w:rsid w:val="007233C6"/>
    <w:rsid w:val="00724C04"/>
    <w:rsid w:val="007321F7"/>
    <w:rsid w:val="00732CF4"/>
    <w:rsid w:val="00733106"/>
    <w:rsid w:val="00733B6B"/>
    <w:rsid w:val="00740F8D"/>
    <w:rsid w:val="00741F3D"/>
    <w:rsid w:val="00742CD3"/>
    <w:rsid w:val="0074322F"/>
    <w:rsid w:val="007441BB"/>
    <w:rsid w:val="00745386"/>
    <w:rsid w:val="00747931"/>
    <w:rsid w:val="00751199"/>
    <w:rsid w:val="00751A93"/>
    <w:rsid w:val="0075292E"/>
    <w:rsid w:val="00753894"/>
    <w:rsid w:val="00754540"/>
    <w:rsid w:val="007559AF"/>
    <w:rsid w:val="00757420"/>
    <w:rsid w:val="00761167"/>
    <w:rsid w:val="007635F4"/>
    <w:rsid w:val="00763960"/>
    <w:rsid w:val="00763D57"/>
    <w:rsid w:val="00763E4E"/>
    <w:rsid w:val="007656ED"/>
    <w:rsid w:val="00766AB0"/>
    <w:rsid w:val="00766DE3"/>
    <w:rsid w:val="0077057E"/>
    <w:rsid w:val="00770DE6"/>
    <w:rsid w:val="00771F6A"/>
    <w:rsid w:val="007828BA"/>
    <w:rsid w:val="00783B18"/>
    <w:rsid w:val="00784639"/>
    <w:rsid w:val="00790394"/>
    <w:rsid w:val="007906A2"/>
    <w:rsid w:val="00792E38"/>
    <w:rsid w:val="007A17CC"/>
    <w:rsid w:val="007A4228"/>
    <w:rsid w:val="007A5860"/>
    <w:rsid w:val="007A6CB5"/>
    <w:rsid w:val="007B14E9"/>
    <w:rsid w:val="007B1F0C"/>
    <w:rsid w:val="007B3D53"/>
    <w:rsid w:val="007B3FD0"/>
    <w:rsid w:val="007C0341"/>
    <w:rsid w:val="007C09F9"/>
    <w:rsid w:val="007C2210"/>
    <w:rsid w:val="007C3495"/>
    <w:rsid w:val="007D12F0"/>
    <w:rsid w:val="007D27A1"/>
    <w:rsid w:val="007D3A35"/>
    <w:rsid w:val="007D44C4"/>
    <w:rsid w:val="007D5F22"/>
    <w:rsid w:val="007D6E10"/>
    <w:rsid w:val="007D7B7A"/>
    <w:rsid w:val="007E080E"/>
    <w:rsid w:val="007E3173"/>
    <w:rsid w:val="007E3A86"/>
    <w:rsid w:val="007E4569"/>
    <w:rsid w:val="007E4821"/>
    <w:rsid w:val="007E6F3E"/>
    <w:rsid w:val="007F09AB"/>
    <w:rsid w:val="007F11C6"/>
    <w:rsid w:val="007F1257"/>
    <w:rsid w:val="007F3C7F"/>
    <w:rsid w:val="007F3E08"/>
    <w:rsid w:val="007F69CB"/>
    <w:rsid w:val="00800BC5"/>
    <w:rsid w:val="008033BF"/>
    <w:rsid w:val="00803F31"/>
    <w:rsid w:val="00810FD1"/>
    <w:rsid w:val="00811D68"/>
    <w:rsid w:val="008139CC"/>
    <w:rsid w:val="00816F68"/>
    <w:rsid w:val="0082015C"/>
    <w:rsid w:val="0082063C"/>
    <w:rsid w:val="008250C0"/>
    <w:rsid w:val="00825DE2"/>
    <w:rsid w:val="00826C01"/>
    <w:rsid w:val="00834EDC"/>
    <w:rsid w:val="0083765D"/>
    <w:rsid w:val="008447BB"/>
    <w:rsid w:val="00846DA8"/>
    <w:rsid w:val="00850461"/>
    <w:rsid w:val="00850972"/>
    <w:rsid w:val="008547B2"/>
    <w:rsid w:val="00855638"/>
    <w:rsid w:val="0085640D"/>
    <w:rsid w:val="00865C60"/>
    <w:rsid w:val="00866636"/>
    <w:rsid w:val="008727DF"/>
    <w:rsid w:val="0087682D"/>
    <w:rsid w:val="0088102F"/>
    <w:rsid w:val="0088312D"/>
    <w:rsid w:val="00884101"/>
    <w:rsid w:val="0088494E"/>
    <w:rsid w:val="00891EB5"/>
    <w:rsid w:val="008937F0"/>
    <w:rsid w:val="008941DC"/>
    <w:rsid w:val="00895F47"/>
    <w:rsid w:val="008968FF"/>
    <w:rsid w:val="00896FAD"/>
    <w:rsid w:val="008A0D5B"/>
    <w:rsid w:val="008A19B3"/>
    <w:rsid w:val="008A1E28"/>
    <w:rsid w:val="008A3BA4"/>
    <w:rsid w:val="008A6376"/>
    <w:rsid w:val="008A79AD"/>
    <w:rsid w:val="008B479A"/>
    <w:rsid w:val="008B5158"/>
    <w:rsid w:val="008B6648"/>
    <w:rsid w:val="008C0711"/>
    <w:rsid w:val="008C0EE5"/>
    <w:rsid w:val="008C42F9"/>
    <w:rsid w:val="008C6569"/>
    <w:rsid w:val="008D5C41"/>
    <w:rsid w:val="008D6DEE"/>
    <w:rsid w:val="008E47AA"/>
    <w:rsid w:val="008E6984"/>
    <w:rsid w:val="008F0055"/>
    <w:rsid w:val="008F163A"/>
    <w:rsid w:val="008F627F"/>
    <w:rsid w:val="008F6572"/>
    <w:rsid w:val="008F6903"/>
    <w:rsid w:val="008F7FB7"/>
    <w:rsid w:val="00900B71"/>
    <w:rsid w:val="009026C7"/>
    <w:rsid w:val="00903CD2"/>
    <w:rsid w:val="00905970"/>
    <w:rsid w:val="00906170"/>
    <w:rsid w:val="00906B88"/>
    <w:rsid w:val="009100DD"/>
    <w:rsid w:val="00916E6E"/>
    <w:rsid w:val="0091796F"/>
    <w:rsid w:val="009216EA"/>
    <w:rsid w:val="00923D41"/>
    <w:rsid w:val="00924BC5"/>
    <w:rsid w:val="009261DA"/>
    <w:rsid w:val="00926FF5"/>
    <w:rsid w:val="0092756F"/>
    <w:rsid w:val="00932584"/>
    <w:rsid w:val="009359D1"/>
    <w:rsid w:val="009375F3"/>
    <w:rsid w:val="00940DD9"/>
    <w:rsid w:val="00942507"/>
    <w:rsid w:val="00944483"/>
    <w:rsid w:val="00944A63"/>
    <w:rsid w:val="00945664"/>
    <w:rsid w:val="00945A1D"/>
    <w:rsid w:val="00946499"/>
    <w:rsid w:val="00947CDE"/>
    <w:rsid w:val="00947D2E"/>
    <w:rsid w:val="00954683"/>
    <w:rsid w:val="00957072"/>
    <w:rsid w:val="00957437"/>
    <w:rsid w:val="00957F0D"/>
    <w:rsid w:val="00961CEA"/>
    <w:rsid w:val="00962E69"/>
    <w:rsid w:val="0097255F"/>
    <w:rsid w:val="00974D64"/>
    <w:rsid w:val="00974E92"/>
    <w:rsid w:val="009759F3"/>
    <w:rsid w:val="00986405"/>
    <w:rsid w:val="00991342"/>
    <w:rsid w:val="00991A79"/>
    <w:rsid w:val="00993BAB"/>
    <w:rsid w:val="009A1654"/>
    <w:rsid w:val="009A29D2"/>
    <w:rsid w:val="009A2BCF"/>
    <w:rsid w:val="009A30EF"/>
    <w:rsid w:val="009A3F33"/>
    <w:rsid w:val="009A5614"/>
    <w:rsid w:val="009A5BA8"/>
    <w:rsid w:val="009A7A9B"/>
    <w:rsid w:val="009B2A15"/>
    <w:rsid w:val="009B3482"/>
    <w:rsid w:val="009B3F2F"/>
    <w:rsid w:val="009B4E92"/>
    <w:rsid w:val="009B54A9"/>
    <w:rsid w:val="009B5A9B"/>
    <w:rsid w:val="009B5BCD"/>
    <w:rsid w:val="009C034C"/>
    <w:rsid w:val="009C2660"/>
    <w:rsid w:val="009C2D38"/>
    <w:rsid w:val="009C72ED"/>
    <w:rsid w:val="009D2C48"/>
    <w:rsid w:val="009D366E"/>
    <w:rsid w:val="009D4D33"/>
    <w:rsid w:val="009D5025"/>
    <w:rsid w:val="009D79A3"/>
    <w:rsid w:val="009E0549"/>
    <w:rsid w:val="009E17DD"/>
    <w:rsid w:val="009E714D"/>
    <w:rsid w:val="009F21AC"/>
    <w:rsid w:val="009F5453"/>
    <w:rsid w:val="009F6437"/>
    <w:rsid w:val="00A01994"/>
    <w:rsid w:val="00A028BE"/>
    <w:rsid w:val="00A03AEE"/>
    <w:rsid w:val="00A05508"/>
    <w:rsid w:val="00A05A79"/>
    <w:rsid w:val="00A05F9A"/>
    <w:rsid w:val="00A10FD4"/>
    <w:rsid w:val="00A1259D"/>
    <w:rsid w:val="00A147B6"/>
    <w:rsid w:val="00A15036"/>
    <w:rsid w:val="00A16BF6"/>
    <w:rsid w:val="00A20A3C"/>
    <w:rsid w:val="00A2502B"/>
    <w:rsid w:val="00A2601A"/>
    <w:rsid w:val="00A30B65"/>
    <w:rsid w:val="00A350CB"/>
    <w:rsid w:val="00A35B71"/>
    <w:rsid w:val="00A413D1"/>
    <w:rsid w:val="00A41AC4"/>
    <w:rsid w:val="00A44B46"/>
    <w:rsid w:val="00A44F8C"/>
    <w:rsid w:val="00A45095"/>
    <w:rsid w:val="00A467A9"/>
    <w:rsid w:val="00A479CC"/>
    <w:rsid w:val="00A517E4"/>
    <w:rsid w:val="00A54327"/>
    <w:rsid w:val="00A55B81"/>
    <w:rsid w:val="00A60CEE"/>
    <w:rsid w:val="00A614B8"/>
    <w:rsid w:val="00A616DB"/>
    <w:rsid w:val="00A63B3C"/>
    <w:rsid w:val="00A64639"/>
    <w:rsid w:val="00A6485F"/>
    <w:rsid w:val="00A66062"/>
    <w:rsid w:val="00A66638"/>
    <w:rsid w:val="00A67F01"/>
    <w:rsid w:val="00A70D6E"/>
    <w:rsid w:val="00A7190F"/>
    <w:rsid w:val="00A73D5E"/>
    <w:rsid w:val="00A75C1F"/>
    <w:rsid w:val="00A76417"/>
    <w:rsid w:val="00A765E6"/>
    <w:rsid w:val="00A774FB"/>
    <w:rsid w:val="00A8233E"/>
    <w:rsid w:val="00A83638"/>
    <w:rsid w:val="00A869BC"/>
    <w:rsid w:val="00A90F90"/>
    <w:rsid w:val="00A91086"/>
    <w:rsid w:val="00A9156A"/>
    <w:rsid w:val="00A91AC1"/>
    <w:rsid w:val="00A92504"/>
    <w:rsid w:val="00A94158"/>
    <w:rsid w:val="00A94311"/>
    <w:rsid w:val="00A97F7F"/>
    <w:rsid w:val="00AA21BF"/>
    <w:rsid w:val="00AA21FC"/>
    <w:rsid w:val="00AA44F4"/>
    <w:rsid w:val="00AA4D16"/>
    <w:rsid w:val="00AA68E3"/>
    <w:rsid w:val="00AB09D4"/>
    <w:rsid w:val="00AB20FB"/>
    <w:rsid w:val="00AC0600"/>
    <w:rsid w:val="00AC1F22"/>
    <w:rsid w:val="00AC6323"/>
    <w:rsid w:val="00AC657A"/>
    <w:rsid w:val="00AD0AD7"/>
    <w:rsid w:val="00AD5EA5"/>
    <w:rsid w:val="00AE2361"/>
    <w:rsid w:val="00AE38DF"/>
    <w:rsid w:val="00AE72B5"/>
    <w:rsid w:val="00AF1363"/>
    <w:rsid w:val="00AF3191"/>
    <w:rsid w:val="00AF5B86"/>
    <w:rsid w:val="00AF79B4"/>
    <w:rsid w:val="00B01411"/>
    <w:rsid w:val="00B02668"/>
    <w:rsid w:val="00B11617"/>
    <w:rsid w:val="00B144E0"/>
    <w:rsid w:val="00B155A6"/>
    <w:rsid w:val="00B15765"/>
    <w:rsid w:val="00B20410"/>
    <w:rsid w:val="00B20F1E"/>
    <w:rsid w:val="00B21FEA"/>
    <w:rsid w:val="00B25742"/>
    <w:rsid w:val="00B31E79"/>
    <w:rsid w:val="00B33C60"/>
    <w:rsid w:val="00B35E88"/>
    <w:rsid w:val="00B36475"/>
    <w:rsid w:val="00B36F03"/>
    <w:rsid w:val="00B440B0"/>
    <w:rsid w:val="00B45446"/>
    <w:rsid w:val="00B474CD"/>
    <w:rsid w:val="00B51598"/>
    <w:rsid w:val="00B532D3"/>
    <w:rsid w:val="00B5772B"/>
    <w:rsid w:val="00B600B3"/>
    <w:rsid w:val="00B60AF3"/>
    <w:rsid w:val="00B62294"/>
    <w:rsid w:val="00B6356F"/>
    <w:rsid w:val="00B67F8C"/>
    <w:rsid w:val="00B70283"/>
    <w:rsid w:val="00B75A45"/>
    <w:rsid w:val="00B762D7"/>
    <w:rsid w:val="00B77DE9"/>
    <w:rsid w:val="00B84902"/>
    <w:rsid w:val="00B90A90"/>
    <w:rsid w:val="00B946D2"/>
    <w:rsid w:val="00B94C0F"/>
    <w:rsid w:val="00B97434"/>
    <w:rsid w:val="00BA0440"/>
    <w:rsid w:val="00BA1ECF"/>
    <w:rsid w:val="00BA3106"/>
    <w:rsid w:val="00BA3155"/>
    <w:rsid w:val="00BA595D"/>
    <w:rsid w:val="00BB0256"/>
    <w:rsid w:val="00BB4344"/>
    <w:rsid w:val="00BB47F1"/>
    <w:rsid w:val="00BB68DC"/>
    <w:rsid w:val="00BC2661"/>
    <w:rsid w:val="00BC5507"/>
    <w:rsid w:val="00BC5A3B"/>
    <w:rsid w:val="00BC66A6"/>
    <w:rsid w:val="00BD007B"/>
    <w:rsid w:val="00BD2D35"/>
    <w:rsid w:val="00BD3975"/>
    <w:rsid w:val="00BD5C2E"/>
    <w:rsid w:val="00BE2C45"/>
    <w:rsid w:val="00BF1524"/>
    <w:rsid w:val="00BF2108"/>
    <w:rsid w:val="00BF2D87"/>
    <w:rsid w:val="00BF3710"/>
    <w:rsid w:val="00C0178D"/>
    <w:rsid w:val="00C0532B"/>
    <w:rsid w:val="00C0575F"/>
    <w:rsid w:val="00C059FC"/>
    <w:rsid w:val="00C06B61"/>
    <w:rsid w:val="00C112E9"/>
    <w:rsid w:val="00C11A61"/>
    <w:rsid w:val="00C13D9B"/>
    <w:rsid w:val="00C13F4B"/>
    <w:rsid w:val="00C1476B"/>
    <w:rsid w:val="00C166B7"/>
    <w:rsid w:val="00C21D39"/>
    <w:rsid w:val="00C23892"/>
    <w:rsid w:val="00C2472D"/>
    <w:rsid w:val="00C27BB7"/>
    <w:rsid w:val="00C317D7"/>
    <w:rsid w:val="00C337C0"/>
    <w:rsid w:val="00C37080"/>
    <w:rsid w:val="00C40EEC"/>
    <w:rsid w:val="00C4109F"/>
    <w:rsid w:val="00C41183"/>
    <w:rsid w:val="00C41337"/>
    <w:rsid w:val="00C4451A"/>
    <w:rsid w:val="00C5279A"/>
    <w:rsid w:val="00C54DE9"/>
    <w:rsid w:val="00C57D79"/>
    <w:rsid w:val="00C6062B"/>
    <w:rsid w:val="00C6080D"/>
    <w:rsid w:val="00C62BC6"/>
    <w:rsid w:val="00C63625"/>
    <w:rsid w:val="00C659BA"/>
    <w:rsid w:val="00C65AB3"/>
    <w:rsid w:val="00C670DB"/>
    <w:rsid w:val="00C704C9"/>
    <w:rsid w:val="00C806CA"/>
    <w:rsid w:val="00C82346"/>
    <w:rsid w:val="00C84079"/>
    <w:rsid w:val="00C866B9"/>
    <w:rsid w:val="00C91B0E"/>
    <w:rsid w:val="00C962F1"/>
    <w:rsid w:val="00C967F1"/>
    <w:rsid w:val="00CA0468"/>
    <w:rsid w:val="00CA055F"/>
    <w:rsid w:val="00CA1C3E"/>
    <w:rsid w:val="00CA2F35"/>
    <w:rsid w:val="00CB6185"/>
    <w:rsid w:val="00CB7064"/>
    <w:rsid w:val="00CC2639"/>
    <w:rsid w:val="00CC5851"/>
    <w:rsid w:val="00CC5B8F"/>
    <w:rsid w:val="00CC5FBC"/>
    <w:rsid w:val="00CC6F06"/>
    <w:rsid w:val="00CD25C8"/>
    <w:rsid w:val="00CD6133"/>
    <w:rsid w:val="00CD770C"/>
    <w:rsid w:val="00CE0D75"/>
    <w:rsid w:val="00CE183D"/>
    <w:rsid w:val="00CE3D1E"/>
    <w:rsid w:val="00CE78D2"/>
    <w:rsid w:val="00CF1618"/>
    <w:rsid w:val="00CF1991"/>
    <w:rsid w:val="00CF2583"/>
    <w:rsid w:val="00CF5C28"/>
    <w:rsid w:val="00CF67C4"/>
    <w:rsid w:val="00CF687B"/>
    <w:rsid w:val="00CF6EFF"/>
    <w:rsid w:val="00D029ED"/>
    <w:rsid w:val="00D039A0"/>
    <w:rsid w:val="00D03FC2"/>
    <w:rsid w:val="00D04F11"/>
    <w:rsid w:val="00D05375"/>
    <w:rsid w:val="00D066B9"/>
    <w:rsid w:val="00D06C37"/>
    <w:rsid w:val="00D12D1C"/>
    <w:rsid w:val="00D15731"/>
    <w:rsid w:val="00D20C6E"/>
    <w:rsid w:val="00D22E12"/>
    <w:rsid w:val="00D23B20"/>
    <w:rsid w:val="00D24321"/>
    <w:rsid w:val="00D255EC"/>
    <w:rsid w:val="00D336B3"/>
    <w:rsid w:val="00D348F4"/>
    <w:rsid w:val="00D35068"/>
    <w:rsid w:val="00D37689"/>
    <w:rsid w:val="00D441ED"/>
    <w:rsid w:val="00D4746E"/>
    <w:rsid w:val="00D47763"/>
    <w:rsid w:val="00D477EF"/>
    <w:rsid w:val="00D50FCA"/>
    <w:rsid w:val="00D5203F"/>
    <w:rsid w:val="00D535D6"/>
    <w:rsid w:val="00D56FD0"/>
    <w:rsid w:val="00D601AF"/>
    <w:rsid w:val="00D6221F"/>
    <w:rsid w:val="00D65562"/>
    <w:rsid w:val="00D65763"/>
    <w:rsid w:val="00D66BCE"/>
    <w:rsid w:val="00D67B50"/>
    <w:rsid w:val="00D72FBB"/>
    <w:rsid w:val="00D77804"/>
    <w:rsid w:val="00D77EF6"/>
    <w:rsid w:val="00D806B0"/>
    <w:rsid w:val="00D8332D"/>
    <w:rsid w:val="00D84314"/>
    <w:rsid w:val="00D8625D"/>
    <w:rsid w:val="00D865A9"/>
    <w:rsid w:val="00D9064E"/>
    <w:rsid w:val="00D906FB"/>
    <w:rsid w:val="00D91623"/>
    <w:rsid w:val="00D93DBB"/>
    <w:rsid w:val="00D94739"/>
    <w:rsid w:val="00D9741B"/>
    <w:rsid w:val="00DA65BA"/>
    <w:rsid w:val="00DB52C4"/>
    <w:rsid w:val="00DC161F"/>
    <w:rsid w:val="00DC5DE4"/>
    <w:rsid w:val="00DD0395"/>
    <w:rsid w:val="00DD1BC6"/>
    <w:rsid w:val="00DD1D6E"/>
    <w:rsid w:val="00DD34ED"/>
    <w:rsid w:val="00DD3524"/>
    <w:rsid w:val="00DD74E7"/>
    <w:rsid w:val="00DE022F"/>
    <w:rsid w:val="00DE0FD9"/>
    <w:rsid w:val="00DE18A8"/>
    <w:rsid w:val="00DE3104"/>
    <w:rsid w:val="00DE32DC"/>
    <w:rsid w:val="00DE434E"/>
    <w:rsid w:val="00DE5DF8"/>
    <w:rsid w:val="00DE6E9C"/>
    <w:rsid w:val="00DE7932"/>
    <w:rsid w:val="00DE7A41"/>
    <w:rsid w:val="00DF0744"/>
    <w:rsid w:val="00DF1344"/>
    <w:rsid w:val="00DF2BCF"/>
    <w:rsid w:val="00E00A28"/>
    <w:rsid w:val="00E028DF"/>
    <w:rsid w:val="00E0330D"/>
    <w:rsid w:val="00E05CD6"/>
    <w:rsid w:val="00E064CA"/>
    <w:rsid w:val="00E13294"/>
    <w:rsid w:val="00E13A12"/>
    <w:rsid w:val="00E1417C"/>
    <w:rsid w:val="00E15BFA"/>
    <w:rsid w:val="00E15E2F"/>
    <w:rsid w:val="00E1645B"/>
    <w:rsid w:val="00E2438F"/>
    <w:rsid w:val="00E24907"/>
    <w:rsid w:val="00E26620"/>
    <w:rsid w:val="00E274FA"/>
    <w:rsid w:val="00E27891"/>
    <w:rsid w:val="00E31866"/>
    <w:rsid w:val="00E31BA6"/>
    <w:rsid w:val="00E3218F"/>
    <w:rsid w:val="00E34A5B"/>
    <w:rsid w:val="00E415E2"/>
    <w:rsid w:val="00E50C72"/>
    <w:rsid w:val="00E51DDB"/>
    <w:rsid w:val="00E55047"/>
    <w:rsid w:val="00E6267B"/>
    <w:rsid w:val="00E62EB7"/>
    <w:rsid w:val="00E632E3"/>
    <w:rsid w:val="00E71008"/>
    <w:rsid w:val="00E76857"/>
    <w:rsid w:val="00E8056E"/>
    <w:rsid w:val="00E80EC1"/>
    <w:rsid w:val="00E81AE2"/>
    <w:rsid w:val="00E853FD"/>
    <w:rsid w:val="00E9000D"/>
    <w:rsid w:val="00E90731"/>
    <w:rsid w:val="00E91349"/>
    <w:rsid w:val="00E933D5"/>
    <w:rsid w:val="00E9365A"/>
    <w:rsid w:val="00E938CB"/>
    <w:rsid w:val="00E95498"/>
    <w:rsid w:val="00E963DC"/>
    <w:rsid w:val="00EA045E"/>
    <w:rsid w:val="00EA0773"/>
    <w:rsid w:val="00EA1777"/>
    <w:rsid w:val="00EA177C"/>
    <w:rsid w:val="00EA4D28"/>
    <w:rsid w:val="00EA52B2"/>
    <w:rsid w:val="00EB1B30"/>
    <w:rsid w:val="00EB3060"/>
    <w:rsid w:val="00EB5691"/>
    <w:rsid w:val="00EC36BB"/>
    <w:rsid w:val="00EC6DD3"/>
    <w:rsid w:val="00ED0922"/>
    <w:rsid w:val="00ED0F96"/>
    <w:rsid w:val="00ED2D7D"/>
    <w:rsid w:val="00ED594C"/>
    <w:rsid w:val="00ED6586"/>
    <w:rsid w:val="00ED678C"/>
    <w:rsid w:val="00ED6B5D"/>
    <w:rsid w:val="00EE010B"/>
    <w:rsid w:val="00EE17EF"/>
    <w:rsid w:val="00EE1CB1"/>
    <w:rsid w:val="00EF17E2"/>
    <w:rsid w:val="00EF1E17"/>
    <w:rsid w:val="00EF2BEE"/>
    <w:rsid w:val="00EF33E5"/>
    <w:rsid w:val="00EF4525"/>
    <w:rsid w:val="00EF47B4"/>
    <w:rsid w:val="00EF70C8"/>
    <w:rsid w:val="00EF7255"/>
    <w:rsid w:val="00F01DE7"/>
    <w:rsid w:val="00F027AF"/>
    <w:rsid w:val="00F04E54"/>
    <w:rsid w:val="00F0581B"/>
    <w:rsid w:val="00F063C7"/>
    <w:rsid w:val="00F07009"/>
    <w:rsid w:val="00F072FD"/>
    <w:rsid w:val="00F116EA"/>
    <w:rsid w:val="00F11D44"/>
    <w:rsid w:val="00F1319D"/>
    <w:rsid w:val="00F1374B"/>
    <w:rsid w:val="00F1588A"/>
    <w:rsid w:val="00F16434"/>
    <w:rsid w:val="00F220E4"/>
    <w:rsid w:val="00F2251D"/>
    <w:rsid w:val="00F22FBA"/>
    <w:rsid w:val="00F24C96"/>
    <w:rsid w:val="00F264B5"/>
    <w:rsid w:val="00F26B22"/>
    <w:rsid w:val="00F3064B"/>
    <w:rsid w:val="00F30AAC"/>
    <w:rsid w:val="00F32562"/>
    <w:rsid w:val="00F33000"/>
    <w:rsid w:val="00F348EE"/>
    <w:rsid w:val="00F40A4D"/>
    <w:rsid w:val="00F40E40"/>
    <w:rsid w:val="00F42551"/>
    <w:rsid w:val="00F43FA9"/>
    <w:rsid w:val="00F47BC4"/>
    <w:rsid w:val="00F53E7E"/>
    <w:rsid w:val="00F549E3"/>
    <w:rsid w:val="00F56537"/>
    <w:rsid w:val="00F60639"/>
    <w:rsid w:val="00F678EC"/>
    <w:rsid w:val="00F70DB9"/>
    <w:rsid w:val="00F713D4"/>
    <w:rsid w:val="00F7476A"/>
    <w:rsid w:val="00F828C3"/>
    <w:rsid w:val="00F83716"/>
    <w:rsid w:val="00F839CE"/>
    <w:rsid w:val="00F83EFA"/>
    <w:rsid w:val="00F85F99"/>
    <w:rsid w:val="00F86B17"/>
    <w:rsid w:val="00F931E1"/>
    <w:rsid w:val="00F942AD"/>
    <w:rsid w:val="00F9526D"/>
    <w:rsid w:val="00F9530F"/>
    <w:rsid w:val="00F96A22"/>
    <w:rsid w:val="00FA0497"/>
    <w:rsid w:val="00FA0ACC"/>
    <w:rsid w:val="00FA24C1"/>
    <w:rsid w:val="00FA325D"/>
    <w:rsid w:val="00FA4AC8"/>
    <w:rsid w:val="00FA6818"/>
    <w:rsid w:val="00FB1A59"/>
    <w:rsid w:val="00FB2353"/>
    <w:rsid w:val="00FB4933"/>
    <w:rsid w:val="00FB4C2A"/>
    <w:rsid w:val="00FB7264"/>
    <w:rsid w:val="00FC3264"/>
    <w:rsid w:val="00FC53C3"/>
    <w:rsid w:val="00FC65A3"/>
    <w:rsid w:val="00FD1CA7"/>
    <w:rsid w:val="00FD2A20"/>
    <w:rsid w:val="00FD37E3"/>
    <w:rsid w:val="00FD4DBC"/>
    <w:rsid w:val="00FD6885"/>
    <w:rsid w:val="00FD691E"/>
    <w:rsid w:val="00FD7994"/>
    <w:rsid w:val="00FE0BEF"/>
    <w:rsid w:val="00FE23D2"/>
    <w:rsid w:val="00FE7973"/>
    <w:rsid w:val="00FE7D53"/>
    <w:rsid w:val="00FF0F2A"/>
    <w:rsid w:val="00FF1C98"/>
    <w:rsid w:val="00FF24DD"/>
    <w:rsid w:val="00FF2CCD"/>
    <w:rsid w:val="00FF5F29"/>
    <w:rsid w:val="00FF626D"/>
    <w:rsid w:val="0288605C"/>
    <w:rsid w:val="0498228D"/>
    <w:rsid w:val="051C19D2"/>
    <w:rsid w:val="058566C8"/>
    <w:rsid w:val="07381179"/>
    <w:rsid w:val="089B623F"/>
    <w:rsid w:val="0D111FCE"/>
    <w:rsid w:val="0E7A5E7E"/>
    <w:rsid w:val="0FE00854"/>
    <w:rsid w:val="14BD3405"/>
    <w:rsid w:val="1611796D"/>
    <w:rsid w:val="18CA0E8C"/>
    <w:rsid w:val="1B5828BA"/>
    <w:rsid w:val="1C9B405D"/>
    <w:rsid w:val="1E19756E"/>
    <w:rsid w:val="1ED16504"/>
    <w:rsid w:val="1F456A51"/>
    <w:rsid w:val="1FC34680"/>
    <w:rsid w:val="2501326D"/>
    <w:rsid w:val="2CC9360B"/>
    <w:rsid w:val="2E1D0078"/>
    <w:rsid w:val="34777AA4"/>
    <w:rsid w:val="36DB0092"/>
    <w:rsid w:val="37253CF5"/>
    <w:rsid w:val="3A60231F"/>
    <w:rsid w:val="3C247935"/>
    <w:rsid w:val="3CFA28E4"/>
    <w:rsid w:val="43675ED6"/>
    <w:rsid w:val="43A708D1"/>
    <w:rsid w:val="45444F61"/>
    <w:rsid w:val="4AEB4B7D"/>
    <w:rsid w:val="4D6255A9"/>
    <w:rsid w:val="4EFE7044"/>
    <w:rsid w:val="50266110"/>
    <w:rsid w:val="511D6C5E"/>
    <w:rsid w:val="52204778"/>
    <w:rsid w:val="533F5F78"/>
    <w:rsid w:val="540E20A8"/>
    <w:rsid w:val="54BF0290"/>
    <w:rsid w:val="563B1EDC"/>
    <w:rsid w:val="57094A8A"/>
    <w:rsid w:val="58234B1C"/>
    <w:rsid w:val="589B5B2A"/>
    <w:rsid w:val="5922110E"/>
    <w:rsid w:val="5B25136C"/>
    <w:rsid w:val="5B61006F"/>
    <w:rsid w:val="5B66331C"/>
    <w:rsid w:val="5B950163"/>
    <w:rsid w:val="5C6C4355"/>
    <w:rsid w:val="5CDF7F11"/>
    <w:rsid w:val="5D7A6212"/>
    <w:rsid w:val="5D9054A0"/>
    <w:rsid w:val="5F1F779F"/>
    <w:rsid w:val="60600E46"/>
    <w:rsid w:val="60C22FA0"/>
    <w:rsid w:val="60D6474C"/>
    <w:rsid w:val="60F03DC7"/>
    <w:rsid w:val="66005CB9"/>
    <w:rsid w:val="66D82F83"/>
    <w:rsid w:val="68613380"/>
    <w:rsid w:val="69434C8E"/>
    <w:rsid w:val="69725C07"/>
    <w:rsid w:val="6AF632C7"/>
    <w:rsid w:val="6C485089"/>
    <w:rsid w:val="6D4F300B"/>
    <w:rsid w:val="6E9018D3"/>
    <w:rsid w:val="6FD654DD"/>
    <w:rsid w:val="6FD942B6"/>
    <w:rsid w:val="703F58AB"/>
    <w:rsid w:val="7108734C"/>
    <w:rsid w:val="7408106C"/>
    <w:rsid w:val="74185C61"/>
    <w:rsid w:val="76C00E3D"/>
    <w:rsid w:val="7BB7329D"/>
    <w:rsid w:val="7D5D1924"/>
    <w:rsid w:val="7F08166D"/>
    <w:rsid w:val="7F3C6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693E98B4"/>
  <w15:docId w15:val="{1AC56547-A830-4DBB-A0EA-AFF90FB9C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semiHidden="1" w:qFormat="1"/>
    <w:lsdException w:name="annotation text" w:uiPriority="99" w:qFormat="1"/>
    <w:lsdException w:name="header" w:uiPriority="99" w:qFormat="1"/>
    <w:lsdException w:name="footer" w:qFormat="1"/>
    <w:lsdException w:name="caption" w:locked="1" w:semiHidden="1" w:unhideWhenUsed="1" w:qFormat="1"/>
    <w:lsdException w:name="annotation reference" w:semiHidden="1" w:qFormat="1"/>
    <w:lsdException w:name="Title" w:locked="1" w:qFormat="1"/>
    <w:lsdException w:name="Default Paragraph Font" w:semiHidden="1" w:uiPriority="1" w:unhideWhenUsed="1" w:qFormat="1"/>
    <w:lsdException w:name="Body Text Indent" w:qFormat="1"/>
    <w:lsdException w:name="Subtitle" w:locked="1" w:qFormat="1"/>
    <w:lsdException w:name="Body Text Indent 3" w:qFormat="1"/>
    <w:lsdException w:name="Hyperlink" w:qFormat="1"/>
    <w:lsdException w:name="FollowedHyperlink" w:qFormat="1"/>
    <w:lsdException w:name="Strong" w:locked="1" w:qFormat="1"/>
    <w:lsdException w:name="Emphasis" w:locked="1"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qFormat/>
    <w:pPr>
      <w:keepNext/>
      <w:keepLines/>
      <w:spacing w:line="360" w:lineRule="auto"/>
      <w:outlineLvl w:val="0"/>
    </w:pPr>
    <w:rPr>
      <w:b/>
      <w:bCs/>
      <w:kern w:val="44"/>
      <w:sz w:val="28"/>
      <w:szCs w:val="44"/>
    </w:rPr>
  </w:style>
  <w:style w:type="paragraph" w:styleId="2">
    <w:name w:val="heading 2"/>
    <w:basedOn w:val="a"/>
    <w:next w:val="a"/>
    <w:link w:val="20"/>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qFormat/>
    <w:rPr>
      <w:rFonts w:ascii="宋体"/>
      <w:sz w:val="18"/>
      <w:szCs w:val="18"/>
    </w:rPr>
  </w:style>
  <w:style w:type="paragraph" w:styleId="a5">
    <w:name w:val="annotation text"/>
    <w:basedOn w:val="a"/>
    <w:link w:val="11"/>
    <w:uiPriority w:val="99"/>
    <w:qFormat/>
    <w:pPr>
      <w:jc w:val="left"/>
    </w:pPr>
  </w:style>
  <w:style w:type="paragraph" w:styleId="a6">
    <w:name w:val="Body Text Indent"/>
    <w:basedOn w:val="a"/>
    <w:link w:val="a7"/>
    <w:qFormat/>
    <w:pPr>
      <w:spacing w:after="120"/>
      <w:ind w:leftChars="200" w:left="420"/>
    </w:pPr>
  </w:style>
  <w:style w:type="paragraph" w:styleId="a8">
    <w:name w:val="Plain Text"/>
    <w:basedOn w:val="a"/>
    <w:link w:val="a9"/>
    <w:qFormat/>
    <w:rPr>
      <w:rFonts w:ascii="宋体" w:hAnsi="Courier New"/>
      <w:szCs w:val="21"/>
    </w:rPr>
  </w:style>
  <w:style w:type="paragraph" w:styleId="aa">
    <w:name w:val="Balloon Text"/>
    <w:basedOn w:val="a"/>
    <w:link w:val="ab"/>
    <w:semiHidden/>
    <w:qFormat/>
    <w:rPr>
      <w:sz w:val="18"/>
      <w:szCs w:val="18"/>
    </w:rPr>
  </w:style>
  <w:style w:type="paragraph" w:styleId="ac">
    <w:name w:val="footer"/>
    <w:basedOn w:val="a"/>
    <w:link w:val="ad"/>
    <w:qFormat/>
    <w:pPr>
      <w:tabs>
        <w:tab w:val="center" w:pos="4153"/>
        <w:tab w:val="right" w:pos="8306"/>
      </w:tabs>
      <w:snapToGrid w:val="0"/>
      <w:jc w:val="left"/>
    </w:pPr>
    <w:rPr>
      <w:sz w:val="18"/>
      <w:szCs w:val="18"/>
    </w:rPr>
  </w:style>
  <w:style w:type="paragraph" w:styleId="ae">
    <w:name w:val="header"/>
    <w:basedOn w:val="a"/>
    <w:link w:val="af"/>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
    <w:next w:val="a"/>
    <w:semiHidden/>
    <w:qFormat/>
    <w:pPr>
      <w:widowControl/>
      <w:spacing w:after="100" w:line="276" w:lineRule="auto"/>
      <w:jc w:val="left"/>
    </w:pPr>
    <w:rPr>
      <w:kern w:val="0"/>
      <w:sz w:val="22"/>
    </w:rPr>
  </w:style>
  <w:style w:type="paragraph" w:styleId="31">
    <w:name w:val="Body Text Indent 3"/>
    <w:basedOn w:val="a"/>
    <w:qFormat/>
    <w:pPr>
      <w:spacing w:after="120"/>
      <w:ind w:leftChars="200" w:left="420"/>
    </w:pPr>
    <w:rPr>
      <w:rFonts w:ascii="Times New Roman" w:hAnsi="Times New Roman"/>
      <w:sz w:val="16"/>
      <w:szCs w:val="16"/>
    </w:rPr>
  </w:style>
  <w:style w:type="paragraph" w:styleId="af0">
    <w:name w:val="annotation subject"/>
    <w:basedOn w:val="a5"/>
    <w:next w:val="a5"/>
    <w:link w:val="af1"/>
    <w:semiHidden/>
    <w:qFormat/>
    <w:rPr>
      <w:b/>
      <w:bCs/>
    </w:rPr>
  </w:style>
  <w:style w:type="character" w:styleId="af2">
    <w:name w:val="FollowedHyperlink"/>
    <w:qFormat/>
    <w:rPr>
      <w:color w:val="800080"/>
      <w:u w:val="single"/>
    </w:rPr>
  </w:style>
  <w:style w:type="character" w:styleId="af3">
    <w:name w:val="Hyperlink"/>
    <w:qFormat/>
    <w:rPr>
      <w:color w:val="0000FF"/>
      <w:u w:val="single"/>
    </w:rPr>
  </w:style>
  <w:style w:type="character" w:styleId="af4">
    <w:name w:val="annotation reference"/>
    <w:semiHidden/>
    <w:qFormat/>
    <w:rPr>
      <w:sz w:val="21"/>
    </w:rPr>
  </w:style>
  <w:style w:type="character" w:customStyle="1" w:styleId="af1">
    <w:name w:val="批注主题 字符"/>
    <w:link w:val="af0"/>
    <w:semiHidden/>
    <w:qFormat/>
    <w:locked/>
    <w:rPr>
      <w:rFonts w:ascii="Calibri" w:eastAsia="宋体" w:hAnsi="Calibri"/>
      <w:b/>
      <w:kern w:val="2"/>
      <w:sz w:val="22"/>
      <w:lang w:val="en-US" w:eastAsia="zh-CN"/>
    </w:rPr>
  </w:style>
  <w:style w:type="character" w:customStyle="1" w:styleId="a9">
    <w:name w:val="纯文本 字符"/>
    <w:link w:val="a8"/>
    <w:qFormat/>
    <w:locked/>
    <w:rPr>
      <w:rFonts w:ascii="宋体" w:hAnsi="Courier New"/>
      <w:kern w:val="2"/>
      <w:sz w:val="21"/>
    </w:rPr>
  </w:style>
  <w:style w:type="character" w:customStyle="1" w:styleId="af">
    <w:name w:val="页眉 字符"/>
    <w:link w:val="ae"/>
    <w:uiPriority w:val="99"/>
    <w:qFormat/>
    <w:locked/>
    <w:rPr>
      <w:rFonts w:ascii="Calibri" w:eastAsia="宋体" w:hAnsi="Calibri"/>
      <w:kern w:val="2"/>
      <w:sz w:val="18"/>
      <w:lang w:val="en-US" w:eastAsia="zh-CN"/>
    </w:rPr>
  </w:style>
  <w:style w:type="character" w:customStyle="1" w:styleId="20">
    <w:name w:val="标题 2 字符"/>
    <w:link w:val="2"/>
    <w:qFormat/>
    <w:locked/>
    <w:rPr>
      <w:rFonts w:ascii="Cambria" w:eastAsia="宋体" w:hAnsi="Cambria"/>
      <w:b/>
      <w:kern w:val="2"/>
      <w:sz w:val="32"/>
      <w:lang w:val="en-US" w:eastAsia="zh-CN"/>
    </w:rPr>
  </w:style>
  <w:style w:type="character" w:customStyle="1" w:styleId="ab">
    <w:name w:val="批注框文本 字符"/>
    <w:link w:val="aa"/>
    <w:semiHidden/>
    <w:qFormat/>
    <w:locked/>
    <w:rPr>
      <w:rFonts w:ascii="Calibri" w:eastAsia="宋体" w:hAnsi="Calibri"/>
      <w:kern w:val="2"/>
      <w:sz w:val="18"/>
      <w:lang w:val="en-US" w:eastAsia="zh-CN"/>
    </w:rPr>
  </w:style>
  <w:style w:type="character" w:customStyle="1" w:styleId="10">
    <w:name w:val="标题 1 字符"/>
    <w:link w:val="1"/>
    <w:qFormat/>
    <w:locked/>
    <w:rPr>
      <w:rFonts w:ascii="Calibri" w:eastAsia="宋体" w:hAnsi="Calibri"/>
      <w:b/>
      <w:kern w:val="44"/>
      <w:sz w:val="44"/>
      <w:lang w:val="en-US" w:eastAsia="zh-CN"/>
    </w:rPr>
  </w:style>
  <w:style w:type="character" w:customStyle="1" w:styleId="ad">
    <w:name w:val="页脚 字符"/>
    <w:link w:val="ac"/>
    <w:qFormat/>
    <w:locked/>
    <w:rPr>
      <w:rFonts w:ascii="Calibri" w:eastAsia="宋体" w:hAnsi="Calibri"/>
      <w:kern w:val="2"/>
      <w:sz w:val="18"/>
      <w:lang w:val="en-US" w:eastAsia="zh-CN"/>
    </w:rPr>
  </w:style>
  <w:style w:type="character" w:customStyle="1" w:styleId="11">
    <w:name w:val="批注文字 字符1"/>
    <w:link w:val="a5"/>
    <w:qFormat/>
    <w:locked/>
    <w:rPr>
      <w:rFonts w:ascii="Calibri" w:eastAsia="宋体" w:hAnsi="Calibri"/>
      <w:kern w:val="2"/>
      <w:sz w:val="22"/>
      <w:lang w:val="en-US" w:eastAsia="zh-CN"/>
    </w:rPr>
  </w:style>
  <w:style w:type="character" w:customStyle="1" w:styleId="a4">
    <w:name w:val="文档结构图 字符"/>
    <w:link w:val="a3"/>
    <w:semiHidden/>
    <w:qFormat/>
    <w:locked/>
    <w:rPr>
      <w:rFonts w:ascii="宋体" w:eastAsia="宋体" w:hAnsi="Calibri"/>
      <w:kern w:val="2"/>
      <w:sz w:val="18"/>
      <w:lang w:val="en-US" w:eastAsia="zh-CN"/>
    </w:rPr>
  </w:style>
  <w:style w:type="character" w:customStyle="1" w:styleId="30">
    <w:name w:val="标题 3 字符"/>
    <w:link w:val="3"/>
    <w:qFormat/>
    <w:locked/>
    <w:rPr>
      <w:rFonts w:ascii="Calibri" w:eastAsia="宋体" w:hAnsi="Calibri"/>
      <w:b/>
      <w:kern w:val="2"/>
      <w:sz w:val="32"/>
      <w:lang w:val="en-US" w:eastAsia="zh-CN"/>
    </w:rPr>
  </w:style>
  <w:style w:type="character" w:customStyle="1" w:styleId="a7">
    <w:name w:val="正文文本缩进 字符"/>
    <w:link w:val="a6"/>
    <w:qFormat/>
    <w:locked/>
    <w:rPr>
      <w:rFonts w:ascii="Calibri" w:hAnsi="Calibri"/>
      <w:kern w:val="2"/>
      <w:sz w:val="22"/>
    </w:rPr>
  </w:style>
  <w:style w:type="paragraph" w:customStyle="1" w:styleId="13">
    <w:name w:val="列出段落1"/>
    <w:basedOn w:val="a"/>
    <w:qFormat/>
    <w:pPr>
      <w:ind w:firstLineChars="200" w:firstLine="420"/>
    </w:pPr>
    <w:rPr>
      <w:rFonts w:ascii="Times New Roman" w:hAnsi="Times New Roman"/>
      <w:szCs w:val="24"/>
    </w:rPr>
  </w:style>
  <w:style w:type="paragraph" w:customStyle="1" w:styleId="14">
    <w:name w:val="目录标题1"/>
    <w:basedOn w:val="1"/>
    <w:next w:val="a"/>
    <w:qFormat/>
    <w:pPr>
      <w:widowControl/>
      <w:spacing w:before="480" w:line="276" w:lineRule="auto"/>
      <w:jc w:val="left"/>
      <w:outlineLvl w:val="9"/>
    </w:pPr>
    <w:rPr>
      <w:rFonts w:ascii="Cambria" w:hAnsi="Cambria"/>
      <w:color w:val="365F91"/>
      <w:kern w:val="0"/>
      <w:szCs w:val="28"/>
    </w:rPr>
  </w:style>
  <w:style w:type="paragraph" w:customStyle="1" w:styleId="21">
    <w:name w:val="！正文缩进2字符"/>
    <w:basedOn w:val="a"/>
    <w:qFormat/>
    <w:pPr>
      <w:widowControl/>
      <w:spacing w:line="360" w:lineRule="auto"/>
      <w:ind w:firstLineChars="200" w:firstLine="200"/>
    </w:pPr>
    <w:rPr>
      <w:rFonts w:ascii="Times New Roman" w:hAnsi="Times New Roman"/>
      <w:sz w:val="24"/>
      <w:szCs w:val="24"/>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 w:type="paragraph" w:customStyle="1" w:styleId="15">
    <w:name w:val="修订1"/>
    <w:hidden/>
    <w:qFormat/>
    <w:rPr>
      <w:rFonts w:ascii="Calibri" w:hAnsi="Calibri"/>
      <w:kern w:val="2"/>
      <w:sz w:val="21"/>
      <w:szCs w:val="22"/>
    </w:rPr>
  </w:style>
  <w:style w:type="character" w:customStyle="1" w:styleId="af5">
    <w:name w:val="批注文字 字符"/>
    <w:uiPriority w:val="99"/>
    <w:qFormat/>
    <w:rPr>
      <w:rFonts w:ascii="Calibri" w:hAnsi="Calibri"/>
      <w:kern w:val="2"/>
      <w:sz w:val="22"/>
    </w:rPr>
  </w:style>
  <w:style w:type="paragraph" w:customStyle="1" w:styleId="CharChar">
    <w:name w:val="Char Char"/>
    <w:basedOn w:val="a"/>
    <w:qFormat/>
    <w:rPr>
      <w:rFonts w:ascii="Times New Roman" w:hAnsi="Times New Roman"/>
      <w:szCs w:val="20"/>
    </w:rPr>
  </w:style>
  <w:style w:type="paragraph" w:customStyle="1" w:styleId="22">
    <w:name w:val="修订2"/>
    <w:hidden/>
    <w:uiPriority w:val="99"/>
    <w:semiHidden/>
    <w:qFormat/>
    <w:rPr>
      <w:rFonts w:ascii="Calibri" w:hAnsi="Calibri"/>
      <w:kern w:val="2"/>
      <w:sz w:val="21"/>
      <w:szCs w:val="22"/>
    </w:rPr>
  </w:style>
  <w:style w:type="character" w:customStyle="1" w:styleId="read">
    <w:name w:val="read"/>
    <w:qFormat/>
    <w:rsid w:val="00F56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100"/>
    <customShpInfo spid="_x0000_s4099"/>
    <customShpInfo spid="_x0000_s4098"/>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8146A2-C23A-421B-9AB9-82EE01F9E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52</Pages>
  <Words>4790</Words>
  <Characters>27304</Characters>
  <Application>Microsoft Office Word</Application>
  <DocSecurity>0</DocSecurity>
  <Lines>227</Lines>
  <Paragraphs>64</Paragraphs>
  <ScaleCrop>false</ScaleCrop>
  <Company>Sky123.Org</Company>
  <LinksUpToDate>false</LinksUpToDate>
  <CharactersWithSpaces>32030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合同编码:光银托管 2016J002</dc:title>
  <dc:creator>李宁</dc:creator>
  <cp:lastModifiedBy>晁梦婷</cp:lastModifiedBy>
  <cp:revision>175</cp:revision>
  <cp:lastPrinted>2017-02-10T08:08:00Z</cp:lastPrinted>
  <dcterms:created xsi:type="dcterms:W3CDTF">2020-12-16T02:46:00Z</dcterms:created>
  <dcterms:modified xsi:type="dcterms:W3CDTF">2026-07-30T09:45:00Z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879DB7353CBA4428BDE51487442622B0</vt:lpwstr>
  </property>
</Properties>
</file>