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466A370" w14:textId="77777777" w:rsidR="00FA4736" w:rsidRPr="00925CE2" w:rsidRDefault="00FA4736" w:rsidP="00FA4736">
      <w:pPr>
        <w:tabs>
          <w:tab w:val="left" w:pos="4471"/>
        </w:tabs>
        <w:spacing w:line="360" w:lineRule="auto"/>
        <w:jc w:val="center"/>
        <w:rPr>
          <w:bCs/>
          <w:sz w:val="44"/>
        </w:rPr>
      </w:pPr>
    </w:p>
    <w:p w14:paraId="6098D16F" w14:textId="77777777" w:rsidR="00FA4736" w:rsidRPr="00925CE2" w:rsidRDefault="00FA4736" w:rsidP="00FA4736">
      <w:pPr>
        <w:jc w:val="center"/>
        <w:rPr>
          <w:rFonts w:eastAsia="仿宋_GB2312"/>
          <w:sz w:val="28"/>
          <w:szCs w:val="28"/>
        </w:rPr>
      </w:pPr>
    </w:p>
    <w:p w14:paraId="61A76FAE" w14:textId="77777777" w:rsidR="00FA4736" w:rsidRPr="00925CE2" w:rsidRDefault="00FA4736" w:rsidP="00FA4736">
      <w:pPr>
        <w:jc w:val="center"/>
        <w:rPr>
          <w:b/>
          <w:sz w:val="52"/>
        </w:rPr>
      </w:pPr>
    </w:p>
    <w:p w14:paraId="6F7456AD" w14:textId="77777777" w:rsidR="00015ADF" w:rsidRPr="004D199C" w:rsidRDefault="00B67EDE" w:rsidP="00FA4736">
      <w:pPr>
        <w:spacing w:line="600" w:lineRule="auto"/>
        <w:jc w:val="center"/>
        <w:rPr>
          <w:b/>
          <w:noProof/>
          <w:sz w:val="40"/>
          <w:szCs w:val="36"/>
        </w:rPr>
      </w:pPr>
      <w:r w:rsidRPr="004D199C">
        <w:rPr>
          <w:rFonts w:hint="eastAsia"/>
          <w:b/>
          <w:noProof/>
          <w:sz w:val="40"/>
          <w:szCs w:val="36"/>
        </w:rPr>
        <w:t>汇添富金融优选混合型发起式证券投资基金</w:t>
      </w:r>
    </w:p>
    <w:p w14:paraId="5D2E1D56" w14:textId="17B6DD9D" w:rsidR="00FA4736" w:rsidRPr="004D199C" w:rsidRDefault="00B67EDE" w:rsidP="00FA4736">
      <w:pPr>
        <w:spacing w:line="600" w:lineRule="auto"/>
        <w:jc w:val="center"/>
        <w:rPr>
          <w:b/>
          <w:sz w:val="56"/>
        </w:rPr>
      </w:pPr>
      <w:r w:rsidRPr="004D199C">
        <w:rPr>
          <w:rFonts w:hint="eastAsia"/>
          <w:b/>
          <w:sz w:val="40"/>
          <w:szCs w:val="36"/>
        </w:rPr>
        <w:t>招募说明书</w:t>
      </w:r>
    </w:p>
    <w:p w14:paraId="4D285B10" w14:textId="77777777" w:rsidR="00FA4736" w:rsidRPr="00BA7DD7" w:rsidRDefault="00FA4736" w:rsidP="00FA4736">
      <w:pPr>
        <w:jc w:val="center"/>
        <w:rPr>
          <w:b/>
        </w:rPr>
      </w:pPr>
    </w:p>
    <w:p w14:paraId="203A4117" w14:textId="77777777" w:rsidR="00FA4736" w:rsidRPr="00B77B33" w:rsidRDefault="00FA4736" w:rsidP="00FA4736">
      <w:pPr>
        <w:jc w:val="center"/>
        <w:rPr>
          <w:b/>
          <w:sz w:val="52"/>
        </w:rPr>
      </w:pPr>
    </w:p>
    <w:p w14:paraId="75DFE5BF" w14:textId="77777777" w:rsidR="00FA4736" w:rsidRPr="0028782A" w:rsidRDefault="00FA4736" w:rsidP="00FA4736">
      <w:pPr>
        <w:jc w:val="center"/>
        <w:rPr>
          <w:sz w:val="24"/>
          <w:szCs w:val="24"/>
        </w:rPr>
      </w:pPr>
      <w:bookmarkStart w:id="0" w:name="_Toc123112222"/>
      <w:bookmarkStart w:id="1" w:name="_Toc123112261"/>
      <w:bookmarkStart w:id="2" w:name="_Toc123701381"/>
      <w:bookmarkStart w:id="3" w:name="_Toc139991724"/>
      <w:bookmarkStart w:id="4" w:name="_Toc139992299"/>
    </w:p>
    <w:p w14:paraId="297DBAC9" w14:textId="77777777" w:rsidR="00FA4736" w:rsidRDefault="00FA4736" w:rsidP="008B50F1">
      <w:pPr>
        <w:jc w:val="center"/>
        <w:rPr>
          <w:sz w:val="24"/>
          <w:szCs w:val="24"/>
        </w:rPr>
      </w:pPr>
    </w:p>
    <w:bookmarkEnd w:id="0"/>
    <w:bookmarkEnd w:id="1"/>
    <w:bookmarkEnd w:id="2"/>
    <w:bookmarkEnd w:id="3"/>
    <w:bookmarkEnd w:id="4"/>
    <w:p w14:paraId="57738829" w14:textId="77777777" w:rsidR="00FA4736" w:rsidRDefault="00FA4736" w:rsidP="00FA4736">
      <w:pPr>
        <w:jc w:val="center"/>
        <w:rPr>
          <w:bCs/>
          <w:sz w:val="32"/>
          <w:szCs w:val="36"/>
        </w:rPr>
      </w:pPr>
    </w:p>
    <w:p w14:paraId="063B7041" w14:textId="77777777" w:rsidR="00CA11E1" w:rsidRPr="00BA7DD7" w:rsidRDefault="00CA11E1" w:rsidP="00FA4736">
      <w:pPr>
        <w:jc w:val="center"/>
        <w:rPr>
          <w:b/>
          <w:sz w:val="52"/>
        </w:rPr>
      </w:pPr>
    </w:p>
    <w:p w14:paraId="314E1B8C" w14:textId="77777777" w:rsidR="00FA4736" w:rsidRPr="00BA7DD7" w:rsidRDefault="00FA4736" w:rsidP="00FA4736">
      <w:pPr>
        <w:jc w:val="center"/>
        <w:rPr>
          <w:b/>
          <w:sz w:val="52"/>
        </w:rPr>
      </w:pPr>
    </w:p>
    <w:p w14:paraId="1C838A9A" w14:textId="77777777" w:rsidR="00FA4736" w:rsidRPr="00BA7DD7" w:rsidRDefault="00FA4736" w:rsidP="00FA4736">
      <w:pPr>
        <w:jc w:val="center"/>
        <w:rPr>
          <w:b/>
          <w:sz w:val="52"/>
        </w:rPr>
      </w:pPr>
    </w:p>
    <w:p w14:paraId="7D68E705" w14:textId="77777777" w:rsidR="00FA4736" w:rsidRPr="00BA7DD7" w:rsidRDefault="00FA4736" w:rsidP="00FA4736">
      <w:pPr>
        <w:jc w:val="center"/>
        <w:rPr>
          <w:b/>
          <w:sz w:val="52"/>
        </w:rPr>
      </w:pPr>
    </w:p>
    <w:p w14:paraId="3C73AA0C" w14:textId="77777777" w:rsidR="00FA4736" w:rsidRPr="00BA7DD7" w:rsidRDefault="00FA4736" w:rsidP="00FA4736">
      <w:pPr>
        <w:rPr>
          <w:b/>
        </w:rPr>
      </w:pPr>
    </w:p>
    <w:p w14:paraId="3C4F5252" w14:textId="77777777" w:rsidR="00FA4736" w:rsidRPr="00BA7DD7" w:rsidRDefault="00B67EDE" w:rsidP="00FA4736">
      <w:pPr>
        <w:jc w:val="center"/>
        <w:rPr>
          <w:b/>
          <w:sz w:val="36"/>
        </w:rPr>
      </w:pPr>
      <w:r w:rsidRPr="00BA7DD7">
        <w:rPr>
          <w:b/>
          <w:sz w:val="36"/>
        </w:rPr>
        <w:t>基金管理人：</w:t>
      </w:r>
      <w:r>
        <w:rPr>
          <w:b/>
          <w:noProof/>
          <w:sz w:val="36"/>
        </w:rPr>
        <w:t>汇添富基金管理股份有限公司</w:t>
      </w:r>
    </w:p>
    <w:p w14:paraId="4A15E3F6" w14:textId="77777777" w:rsidR="00FA4736" w:rsidRPr="00D809E2" w:rsidRDefault="00B67EDE" w:rsidP="00FA4736">
      <w:pPr>
        <w:jc w:val="center"/>
        <w:rPr>
          <w:b/>
          <w:sz w:val="36"/>
          <w:szCs w:val="36"/>
        </w:rPr>
      </w:pPr>
      <w:r w:rsidRPr="00BA7DD7">
        <w:rPr>
          <w:b/>
          <w:sz w:val="36"/>
        </w:rPr>
        <w:t>基金托管人：</w:t>
      </w:r>
      <w:r w:rsidRPr="00850F74">
        <w:rPr>
          <w:rFonts w:hint="eastAsia"/>
          <w:b/>
          <w:noProof/>
          <w:sz w:val="36"/>
          <w:szCs w:val="36"/>
        </w:rPr>
        <w:t>中国农业银行股份有限公司</w:t>
      </w:r>
    </w:p>
    <w:p w14:paraId="44D73BD8" w14:textId="77777777" w:rsidR="00FA4736" w:rsidRPr="00BA7DD7" w:rsidRDefault="00FA4736" w:rsidP="00FA4736">
      <w:pPr>
        <w:jc w:val="center"/>
        <w:rPr>
          <w:bCs/>
          <w:sz w:val="32"/>
        </w:rPr>
      </w:pPr>
    </w:p>
    <w:p w14:paraId="101FA164" w14:textId="77777777" w:rsidR="00FA4736" w:rsidRPr="00BA7DD7" w:rsidRDefault="00FA4736" w:rsidP="00FA4736">
      <w:pPr>
        <w:jc w:val="center"/>
        <w:rPr>
          <w:bCs/>
          <w:sz w:val="32"/>
        </w:rPr>
      </w:pPr>
    </w:p>
    <w:p w14:paraId="287F3D97" w14:textId="77777777" w:rsidR="00FA4736" w:rsidRPr="00BA7DD7" w:rsidRDefault="00FA4736" w:rsidP="00FA4736">
      <w:pPr>
        <w:jc w:val="center"/>
        <w:rPr>
          <w:bCs/>
          <w:sz w:val="32"/>
        </w:rPr>
      </w:pPr>
    </w:p>
    <w:p w14:paraId="346A8F8A" w14:textId="583269B2" w:rsidR="00FA4736" w:rsidRPr="00603D0B" w:rsidRDefault="00FA4736" w:rsidP="00FA4736">
      <w:pPr>
        <w:jc w:val="center"/>
        <w:rPr>
          <w:b/>
          <w:bCs/>
          <w:sz w:val="32"/>
        </w:rPr>
      </w:pPr>
    </w:p>
    <w:p w14:paraId="7711781F" w14:textId="77777777" w:rsidR="00FA4736" w:rsidRPr="00BA7DD7" w:rsidRDefault="00FA4736" w:rsidP="00FA4736">
      <w:pPr>
        <w:jc w:val="center"/>
        <w:rPr>
          <w:bCs/>
          <w:sz w:val="32"/>
        </w:rPr>
      </w:pPr>
    </w:p>
    <w:p w14:paraId="743A390A" w14:textId="77777777" w:rsidR="00B034AA" w:rsidRPr="00EB4987" w:rsidRDefault="00B034AA" w:rsidP="008B50F1">
      <w:pPr>
        <w:rPr>
          <w:rFonts w:ascii="宋体"/>
          <w:b/>
          <w:bCs/>
          <w:sz w:val="30"/>
        </w:rPr>
        <w:sectPr w:rsidR="00B034AA" w:rsidRPr="00EB4987" w:rsidSect="003D4BDD">
          <w:footerReference w:type="default" r:id="rId9"/>
          <w:pgSz w:w="11906" w:h="16838"/>
          <w:pgMar w:top="1440" w:right="1800" w:bottom="1440" w:left="1800" w:header="851" w:footer="992" w:gutter="0"/>
          <w:cols w:space="720"/>
          <w:docGrid w:type="lines" w:linePitch="312"/>
        </w:sectPr>
      </w:pPr>
      <w:bookmarkStart w:id="5" w:name="_Toc123112227"/>
      <w:bookmarkStart w:id="6" w:name="_Toc123112266"/>
      <w:bookmarkStart w:id="7" w:name="_Toc123701386"/>
      <w:bookmarkStart w:id="8" w:name="_Toc139991729"/>
      <w:bookmarkStart w:id="9" w:name="_Toc23386"/>
      <w:bookmarkStart w:id="10" w:name="_Toc141703880"/>
      <w:bookmarkStart w:id="11" w:name="_Toc139991730"/>
      <w:bookmarkStart w:id="12" w:name="_Toc4867"/>
      <w:bookmarkStart w:id="13" w:name="_Toc6306"/>
      <w:bookmarkStart w:id="14" w:name="_Toc8727"/>
      <w:bookmarkStart w:id="15" w:name="_Toc30935"/>
      <w:bookmarkStart w:id="16" w:name="_Toc32639"/>
      <w:bookmarkStart w:id="17" w:name="_Toc15517"/>
      <w:bookmarkStart w:id="18" w:name="_Toc29629"/>
      <w:bookmarkStart w:id="19" w:name="_Toc26897"/>
      <w:bookmarkStart w:id="20" w:name="_Toc4966"/>
      <w:bookmarkStart w:id="21" w:name="_Toc123701389"/>
      <w:bookmarkStart w:id="22" w:name="_Toc123112268"/>
      <w:bookmarkStart w:id="23" w:name="_Toc123112229"/>
      <w:bookmarkStart w:id="24" w:name="_Toc233456271"/>
      <w:bookmarkEnd w:id="5"/>
      <w:bookmarkEnd w:id="6"/>
      <w:bookmarkEnd w:id="7"/>
      <w:bookmarkEnd w:id="8"/>
    </w:p>
    <w:p w14:paraId="78AB3788" w14:textId="77777777" w:rsidR="009E26D0" w:rsidRDefault="000028C2" w:rsidP="00A77AE9">
      <w:pPr>
        <w:autoSpaceDE w:val="0"/>
        <w:autoSpaceDN w:val="0"/>
        <w:adjustRightInd w:val="0"/>
        <w:spacing w:line="360" w:lineRule="auto"/>
        <w:ind w:firstLineChars="200" w:firstLine="482"/>
        <w:jc w:val="center"/>
        <w:rPr>
          <w:rFonts w:ascii="宋体" w:hAnsi="宋体" w:cs="宋体"/>
          <w:b/>
          <w:noProof/>
          <w:sz w:val="24"/>
        </w:rPr>
      </w:pPr>
      <w:r w:rsidRPr="00657FE9">
        <w:rPr>
          <w:rStyle w:val="read"/>
          <w:rFonts w:ascii="宋体" w:hAnsi="宋体" w:cs="宋体"/>
          <w:b/>
          <w:sz w:val="24"/>
        </w:rPr>
        <w:lastRenderedPageBreak/>
        <w:t>目录</w:t>
      </w:r>
    </w:p>
    <w:p w14:paraId="5B7E42D5" w14:textId="59F76BEE" w:rsidR="00AE2B28" w:rsidRDefault="00B67EDE">
      <w:pPr>
        <w:pStyle w:val="10"/>
        <w:rPr>
          <w:rFonts w:asciiTheme="minorHAnsi" w:hAnsiTheme="minorHAnsi"/>
          <w:noProof/>
        </w:rPr>
      </w:pPr>
      <w:r w:rsidRPr="00657FE9">
        <w:rPr>
          <w:rStyle w:val="read"/>
          <w:rFonts w:ascii="宋体" w:hAnsi="宋体" w:cs="宋体"/>
          <w:b/>
          <w:sz w:val="24"/>
        </w:rPr>
        <w:fldChar w:fldCharType="begin"/>
      </w:r>
      <w:r w:rsidR="000028C2" w:rsidRPr="00657FE9">
        <w:rPr>
          <w:rStyle w:val="read"/>
          <w:rFonts w:ascii="宋体" w:hAnsi="宋体" w:cs="宋体"/>
          <w:b/>
          <w:sz w:val="24"/>
        </w:rPr>
        <w:instrText>TOC \o "1-1" \h \z \u</w:instrText>
      </w:r>
      <w:r w:rsidRPr="00657FE9">
        <w:rPr>
          <w:rStyle w:val="read"/>
          <w:rFonts w:ascii="宋体" w:hAnsi="宋体" w:cs="宋体"/>
          <w:b/>
          <w:sz w:val="24"/>
        </w:rPr>
        <w:fldChar w:fldCharType="separate"/>
      </w:r>
      <w:hyperlink w:anchor="_Toc256000000" w:history="1">
        <w:r w:rsidRPr="009E26D0">
          <w:rPr>
            <w:rStyle w:val="a9"/>
            <w:noProof/>
          </w:rPr>
          <w:t>第一部分</w:t>
        </w:r>
        <w:r w:rsidRPr="009E26D0">
          <w:rPr>
            <w:rStyle w:val="a9"/>
            <w:noProof/>
          </w:rPr>
          <w:t xml:space="preserve">  </w:t>
        </w:r>
        <w:r w:rsidRPr="009E26D0">
          <w:rPr>
            <w:rStyle w:val="a9"/>
            <w:noProof/>
          </w:rPr>
          <w:t>绪言</w:t>
        </w:r>
        <w:r>
          <w:rPr>
            <w:noProof/>
          </w:rPr>
          <w:tab/>
        </w:r>
        <w:r>
          <w:rPr>
            <w:noProof/>
          </w:rPr>
          <w:fldChar w:fldCharType="begin"/>
        </w:r>
        <w:r>
          <w:rPr>
            <w:noProof/>
          </w:rPr>
          <w:instrText xml:space="preserve"> PAGEREF _Toc256000000 \h </w:instrText>
        </w:r>
        <w:r>
          <w:rPr>
            <w:noProof/>
          </w:rPr>
        </w:r>
        <w:r>
          <w:rPr>
            <w:noProof/>
          </w:rPr>
          <w:fldChar w:fldCharType="separate"/>
        </w:r>
        <w:r w:rsidR="00C53084">
          <w:rPr>
            <w:noProof/>
          </w:rPr>
          <w:t>5</w:t>
        </w:r>
        <w:r>
          <w:rPr>
            <w:noProof/>
          </w:rPr>
          <w:fldChar w:fldCharType="end"/>
        </w:r>
      </w:hyperlink>
    </w:p>
    <w:p w14:paraId="15D6CAE9" w14:textId="03F463D4" w:rsidR="00AE2B28" w:rsidRDefault="00AF7BFE">
      <w:pPr>
        <w:pStyle w:val="10"/>
        <w:rPr>
          <w:rFonts w:asciiTheme="minorHAnsi" w:hAnsiTheme="minorHAnsi"/>
          <w:noProof/>
        </w:rPr>
      </w:pPr>
      <w:hyperlink w:anchor="_Toc256000001" w:history="1">
        <w:r w:rsidR="00B67EDE" w:rsidRPr="009E26D0">
          <w:rPr>
            <w:rStyle w:val="a9"/>
            <w:noProof/>
          </w:rPr>
          <w:t>第二部分</w:t>
        </w:r>
        <w:r w:rsidR="00B67EDE" w:rsidRPr="009E26D0">
          <w:rPr>
            <w:rStyle w:val="a9"/>
            <w:noProof/>
          </w:rPr>
          <w:t xml:space="preserve">  </w:t>
        </w:r>
        <w:r w:rsidR="00B67EDE" w:rsidRPr="009E26D0">
          <w:rPr>
            <w:rStyle w:val="a9"/>
            <w:noProof/>
          </w:rPr>
          <w:t>释义</w:t>
        </w:r>
        <w:r w:rsidR="00B67EDE">
          <w:rPr>
            <w:noProof/>
          </w:rPr>
          <w:tab/>
        </w:r>
        <w:r w:rsidR="00B67EDE">
          <w:rPr>
            <w:noProof/>
          </w:rPr>
          <w:fldChar w:fldCharType="begin"/>
        </w:r>
        <w:r w:rsidR="00B67EDE">
          <w:rPr>
            <w:noProof/>
          </w:rPr>
          <w:instrText xml:space="preserve"> PAGEREF _Toc256000001 \h </w:instrText>
        </w:r>
        <w:r w:rsidR="00B67EDE">
          <w:rPr>
            <w:noProof/>
          </w:rPr>
        </w:r>
        <w:r w:rsidR="00B67EDE">
          <w:rPr>
            <w:noProof/>
          </w:rPr>
          <w:fldChar w:fldCharType="separate"/>
        </w:r>
        <w:r w:rsidR="00C53084">
          <w:rPr>
            <w:noProof/>
          </w:rPr>
          <w:t>6</w:t>
        </w:r>
        <w:r w:rsidR="00B67EDE">
          <w:rPr>
            <w:noProof/>
          </w:rPr>
          <w:fldChar w:fldCharType="end"/>
        </w:r>
      </w:hyperlink>
    </w:p>
    <w:p w14:paraId="6C3304D7" w14:textId="51A67D34" w:rsidR="00AE2B28" w:rsidRDefault="00AF7BFE">
      <w:pPr>
        <w:pStyle w:val="10"/>
        <w:rPr>
          <w:rFonts w:asciiTheme="minorHAnsi" w:hAnsiTheme="minorHAnsi"/>
          <w:noProof/>
        </w:rPr>
      </w:pPr>
      <w:hyperlink w:anchor="_Toc256000002" w:history="1">
        <w:r w:rsidR="00B67EDE" w:rsidRPr="009E26D0">
          <w:rPr>
            <w:rStyle w:val="a9"/>
            <w:noProof/>
          </w:rPr>
          <w:t>第三部分</w:t>
        </w:r>
        <w:r w:rsidR="00B67EDE" w:rsidRPr="009E26D0">
          <w:rPr>
            <w:rStyle w:val="a9"/>
            <w:noProof/>
          </w:rPr>
          <w:t xml:space="preserve">  </w:t>
        </w:r>
        <w:r w:rsidR="00B67EDE" w:rsidRPr="009E26D0">
          <w:rPr>
            <w:rStyle w:val="a9"/>
            <w:noProof/>
          </w:rPr>
          <w:t>基金管理人</w:t>
        </w:r>
        <w:r w:rsidR="00B67EDE">
          <w:rPr>
            <w:noProof/>
          </w:rPr>
          <w:tab/>
        </w:r>
        <w:r w:rsidR="00B67EDE">
          <w:rPr>
            <w:noProof/>
          </w:rPr>
          <w:fldChar w:fldCharType="begin"/>
        </w:r>
        <w:r w:rsidR="00B67EDE">
          <w:rPr>
            <w:noProof/>
          </w:rPr>
          <w:instrText xml:space="preserve"> PAGEREF _Toc256000002 \h </w:instrText>
        </w:r>
        <w:r w:rsidR="00B67EDE">
          <w:rPr>
            <w:noProof/>
          </w:rPr>
        </w:r>
        <w:r w:rsidR="00B67EDE">
          <w:rPr>
            <w:noProof/>
          </w:rPr>
          <w:fldChar w:fldCharType="separate"/>
        </w:r>
        <w:r w:rsidR="00C53084">
          <w:rPr>
            <w:noProof/>
          </w:rPr>
          <w:t>13</w:t>
        </w:r>
        <w:r w:rsidR="00B67EDE">
          <w:rPr>
            <w:noProof/>
          </w:rPr>
          <w:fldChar w:fldCharType="end"/>
        </w:r>
      </w:hyperlink>
    </w:p>
    <w:p w14:paraId="7C4D8EC8" w14:textId="7B1E0EC6" w:rsidR="00AE2B28" w:rsidRDefault="00AF7BFE">
      <w:pPr>
        <w:pStyle w:val="10"/>
        <w:rPr>
          <w:rFonts w:asciiTheme="minorHAnsi" w:hAnsiTheme="minorHAnsi"/>
          <w:noProof/>
        </w:rPr>
      </w:pPr>
      <w:hyperlink w:anchor="_Toc256000003" w:history="1">
        <w:r w:rsidR="00B67EDE" w:rsidRPr="009E26D0">
          <w:rPr>
            <w:rStyle w:val="a9"/>
            <w:noProof/>
          </w:rPr>
          <w:t>第四部分</w:t>
        </w:r>
        <w:r w:rsidR="00B67EDE" w:rsidRPr="009E26D0">
          <w:rPr>
            <w:rStyle w:val="a9"/>
            <w:noProof/>
          </w:rPr>
          <w:t xml:space="preserve">  </w:t>
        </w:r>
        <w:r w:rsidR="00B67EDE" w:rsidRPr="009E26D0">
          <w:rPr>
            <w:rStyle w:val="a9"/>
            <w:noProof/>
          </w:rPr>
          <w:t>基金托管人</w:t>
        </w:r>
        <w:r w:rsidR="00B67EDE">
          <w:rPr>
            <w:noProof/>
          </w:rPr>
          <w:tab/>
        </w:r>
        <w:r w:rsidR="00B67EDE">
          <w:rPr>
            <w:noProof/>
          </w:rPr>
          <w:fldChar w:fldCharType="begin"/>
        </w:r>
        <w:r w:rsidR="00B67EDE">
          <w:rPr>
            <w:noProof/>
          </w:rPr>
          <w:instrText xml:space="preserve"> PAGEREF _Toc256000003 \h </w:instrText>
        </w:r>
        <w:r w:rsidR="00B67EDE">
          <w:rPr>
            <w:noProof/>
          </w:rPr>
        </w:r>
        <w:r w:rsidR="00B67EDE">
          <w:rPr>
            <w:noProof/>
          </w:rPr>
          <w:fldChar w:fldCharType="separate"/>
        </w:r>
        <w:r w:rsidR="00C53084">
          <w:rPr>
            <w:noProof/>
          </w:rPr>
          <w:t>26</w:t>
        </w:r>
        <w:r w:rsidR="00B67EDE">
          <w:rPr>
            <w:noProof/>
          </w:rPr>
          <w:fldChar w:fldCharType="end"/>
        </w:r>
      </w:hyperlink>
    </w:p>
    <w:p w14:paraId="466B9766" w14:textId="4B29CECB" w:rsidR="00AE2B28" w:rsidRDefault="00AF7BFE">
      <w:pPr>
        <w:pStyle w:val="10"/>
        <w:rPr>
          <w:rFonts w:asciiTheme="minorHAnsi" w:hAnsiTheme="minorHAnsi"/>
          <w:noProof/>
        </w:rPr>
      </w:pPr>
      <w:hyperlink w:anchor="_Toc256000004" w:history="1">
        <w:r w:rsidR="00B67EDE" w:rsidRPr="009E26D0">
          <w:rPr>
            <w:rStyle w:val="a9"/>
            <w:noProof/>
          </w:rPr>
          <w:t>第五部分</w:t>
        </w:r>
        <w:r w:rsidR="00B67EDE" w:rsidRPr="009E26D0">
          <w:rPr>
            <w:rStyle w:val="a9"/>
            <w:noProof/>
          </w:rPr>
          <w:t xml:space="preserve">  </w:t>
        </w:r>
        <w:r w:rsidR="00B67EDE" w:rsidRPr="009E26D0">
          <w:rPr>
            <w:rStyle w:val="a9"/>
            <w:noProof/>
          </w:rPr>
          <w:t>相关服务机构</w:t>
        </w:r>
        <w:r w:rsidR="00B67EDE">
          <w:rPr>
            <w:noProof/>
          </w:rPr>
          <w:tab/>
        </w:r>
        <w:r w:rsidR="00B67EDE">
          <w:rPr>
            <w:noProof/>
          </w:rPr>
          <w:fldChar w:fldCharType="begin"/>
        </w:r>
        <w:r w:rsidR="00B67EDE">
          <w:rPr>
            <w:noProof/>
          </w:rPr>
          <w:instrText xml:space="preserve"> PAGEREF _Toc256000004 \h </w:instrText>
        </w:r>
        <w:r w:rsidR="00B67EDE">
          <w:rPr>
            <w:noProof/>
          </w:rPr>
        </w:r>
        <w:r w:rsidR="00B67EDE">
          <w:rPr>
            <w:noProof/>
          </w:rPr>
          <w:fldChar w:fldCharType="separate"/>
        </w:r>
        <w:r w:rsidR="00C53084">
          <w:rPr>
            <w:noProof/>
          </w:rPr>
          <w:t>29</w:t>
        </w:r>
        <w:r w:rsidR="00B67EDE">
          <w:rPr>
            <w:noProof/>
          </w:rPr>
          <w:fldChar w:fldCharType="end"/>
        </w:r>
      </w:hyperlink>
    </w:p>
    <w:p w14:paraId="289C10ED" w14:textId="1DEF2E2B" w:rsidR="00AE2B28" w:rsidRDefault="00AF7BFE">
      <w:pPr>
        <w:pStyle w:val="10"/>
        <w:rPr>
          <w:rFonts w:asciiTheme="minorHAnsi" w:hAnsiTheme="minorHAnsi"/>
          <w:noProof/>
        </w:rPr>
      </w:pPr>
      <w:hyperlink w:anchor="_Toc256000005" w:history="1">
        <w:r w:rsidR="00B67EDE" w:rsidRPr="009E26D0">
          <w:rPr>
            <w:rStyle w:val="a9"/>
            <w:noProof/>
          </w:rPr>
          <w:t>第六部分</w:t>
        </w:r>
        <w:r w:rsidR="00B67EDE" w:rsidRPr="009E26D0">
          <w:rPr>
            <w:rStyle w:val="a9"/>
            <w:noProof/>
          </w:rPr>
          <w:t xml:space="preserve">  </w:t>
        </w:r>
        <w:r w:rsidR="00B67EDE" w:rsidRPr="009E26D0">
          <w:rPr>
            <w:rStyle w:val="a9"/>
            <w:noProof/>
          </w:rPr>
          <w:t>基金的募集</w:t>
        </w:r>
        <w:r w:rsidR="00B67EDE">
          <w:rPr>
            <w:noProof/>
          </w:rPr>
          <w:tab/>
        </w:r>
        <w:r w:rsidR="00B67EDE">
          <w:rPr>
            <w:noProof/>
          </w:rPr>
          <w:fldChar w:fldCharType="begin"/>
        </w:r>
        <w:r w:rsidR="00B67EDE">
          <w:rPr>
            <w:noProof/>
          </w:rPr>
          <w:instrText xml:space="preserve"> PAGEREF _Toc256000005 \h </w:instrText>
        </w:r>
        <w:r w:rsidR="00B67EDE">
          <w:rPr>
            <w:noProof/>
          </w:rPr>
        </w:r>
        <w:r w:rsidR="00B67EDE">
          <w:rPr>
            <w:noProof/>
          </w:rPr>
          <w:fldChar w:fldCharType="separate"/>
        </w:r>
        <w:r w:rsidR="00C53084">
          <w:rPr>
            <w:noProof/>
          </w:rPr>
          <w:t>31</w:t>
        </w:r>
        <w:r w:rsidR="00B67EDE">
          <w:rPr>
            <w:noProof/>
          </w:rPr>
          <w:fldChar w:fldCharType="end"/>
        </w:r>
      </w:hyperlink>
    </w:p>
    <w:p w14:paraId="06422B05" w14:textId="7BCAFB16" w:rsidR="00AE2B28" w:rsidRDefault="00AF7BFE">
      <w:pPr>
        <w:pStyle w:val="10"/>
        <w:rPr>
          <w:rFonts w:asciiTheme="minorHAnsi" w:hAnsiTheme="minorHAnsi"/>
          <w:noProof/>
        </w:rPr>
      </w:pPr>
      <w:hyperlink w:anchor="_Toc256000006" w:history="1">
        <w:r w:rsidR="00B67EDE" w:rsidRPr="009E26D0">
          <w:rPr>
            <w:rStyle w:val="a9"/>
            <w:noProof/>
          </w:rPr>
          <w:t>第七部分</w:t>
        </w:r>
        <w:r w:rsidR="00B67EDE" w:rsidRPr="009E26D0">
          <w:rPr>
            <w:rStyle w:val="a9"/>
            <w:noProof/>
          </w:rPr>
          <w:t xml:space="preserve">  </w:t>
        </w:r>
        <w:r w:rsidR="00B67EDE" w:rsidRPr="009E26D0">
          <w:rPr>
            <w:rStyle w:val="a9"/>
            <w:noProof/>
          </w:rPr>
          <w:t>基金合同的生效</w:t>
        </w:r>
        <w:r w:rsidR="00B67EDE">
          <w:rPr>
            <w:noProof/>
          </w:rPr>
          <w:tab/>
        </w:r>
        <w:r w:rsidR="00B67EDE">
          <w:rPr>
            <w:noProof/>
          </w:rPr>
          <w:fldChar w:fldCharType="begin"/>
        </w:r>
        <w:r w:rsidR="00B67EDE">
          <w:rPr>
            <w:noProof/>
          </w:rPr>
          <w:instrText xml:space="preserve"> PAGEREF _Toc256000006 \h </w:instrText>
        </w:r>
        <w:r w:rsidR="00B67EDE">
          <w:rPr>
            <w:noProof/>
          </w:rPr>
        </w:r>
        <w:r w:rsidR="00B67EDE">
          <w:rPr>
            <w:noProof/>
          </w:rPr>
          <w:fldChar w:fldCharType="separate"/>
        </w:r>
        <w:r w:rsidR="00C53084">
          <w:rPr>
            <w:noProof/>
          </w:rPr>
          <w:t>37</w:t>
        </w:r>
        <w:r w:rsidR="00B67EDE">
          <w:rPr>
            <w:noProof/>
          </w:rPr>
          <w:fldChar w:fldCharType="end"/>
        </w:r>
      </w:hyperlink>
    </w:p>
    <w:p w14:paraId="337906E7" w14:textId="350F8888" w:rsidR="00AE2B28" w:rsidRDefault="00AF7BFE">
      <w:pPr>
        <w:pStyle w:val="10"/>
        <w:rPr>
          <w:rFonts w:asciiTheme="minorHAnsi" w:hAnsiTheme="minorHAnsi"/>
          <w:noProof/>
        </w:rPr>
      </w:pPr>
      <w:hyperlink w:anchor="_Toc256000007" w:history="1">
        <w:r w:rsidR="00B67EDE" w:rsidRPr="009E26D0">
          <w:rPr>
            <w:rStyle w:val="a9"/>
            <w:noProof/>
          </w:rPr>
          <w:t>第八部分</w:t>
        </w:r>
        <w:r w:rsidR="00B67EDE" w:rsidRPr="009E26D0">
          <w:rPr>
            <w:rStyle w:val="a9"/>
            <w:noProof/>
          </w:rPr>
          <w:t xml:space="preserve">  </w:t>
        </w:r>
        <w:r w:rsidR="00B67EDE" w:rsidRPr="009E26D0">
          <w:rPr>
            <w:rStyle w:val="a9"/>
            <w:noProof/>
          </w:rPr>
          <w:t>基金份额的申购与赎回</w:t>
        </w:r>
        <w:r w:rsidR="00B67EDE">
          <w:rPr>
            <w:noProof/>
          </w:rPr>
          <w:tab/>
        </w:r>
        <w:r w:rsidR="00B67EDE">
          <w:rPr>
            <w:noProof/>
          </w:rPr>
          <w:fldChar w:fldCharType="begin"/>
        </w:r>
        <w:r w:rsidR="00B67EDE">
          <w:rPr>
            <w:noProof/>
          </w:rPr>
          <w:instrText xml:space="preserve"> PAGEREF _Toc256000007 \h </w:instrText>
        </w:r>
        <w:r w:rsidR="00B67EDE">
          <w:rPr>
            <w:noProof/>
          </w:rPr>
        </w:r>
        <w:r w:rsidR="00B67EDE">
          <w:rPr>
            <w:noProof/>
          </w:rPr>
          <w:fldChar w:fldCharType="separate"/>
        </w:r>
        <w:r w:rsidR="00C53084">
          <w:rPr>
            <w:noProof/>
          </w:rPr>
          <w:t>39</w:t>
        </w:r>
        <w:r w:rsidR="00B67EDE">
          <w:rPr>
            <w:noProof/>
          </w:rPr>
          <w:fldChar w:fldCharType="end"/>
        </w:r>
      </w:hyperlink>
    </w:p>
    <w:p w14:paraId="450AAC93" w14:textId="2FF5A7E4" w:rsidR="00AE2B28" w:rsidRDefault="00AF7BFE">
      <w:pPr>
        <w:pStyle w:val="10"/>
        <w:rPr>
          <w:rFonts w:asciiTheme="minorHAnsi" w:hAnsiTheme="minorHAnsi"/>
          <w:noProof/>
        </w:rPr>
      </w:pPr>
      <w:hyperlink w:anchor="_Toc256000008" w:history="1">
        <w:r w:rsidR="00B67EDE" w:rsidRPr="009E26D0">
          <w:rPr>
            <w:rStyle w:val="a9"/>
            <w:noProof/>
          </w:rPr>
          <w:t>第九部分</w:t>
        </w:r>
        <w:r w:rsidR="00B67EDE" w:rsidRPr="009E26D0">
          <w:rPr>
            <w:rStyle w:val="a9"/>
            <w:noProof/>
          </w:rPr>
          <w:t xml:space="preserve">  </w:t>
        </w:r>
        <w:r w:rsidR="00B67EDE" w:rsidRPr="009E26D0">
          <w:rPr>
            <w:rStyle w:val="a9"/>
            <w:noProof/>
          </w:rPr>
          <w:t>基金的投资</w:t>
        </w:r>
        <w:r w:rsidR="00B67EDE">
          <w:rPr>
            <w:noProof/>
          </w:rPr>
          <w:tab/>
        </w:r>
        <w:r w:rsidR="00B67EDE">
          <w:rPr>
            <w:noProof/>
          </w:rPr>
          <w:fldChar w:fldCharType="begin"/>
        </w:r>
        <w:r w:rsidR="00B67EDE">
          <w:rPr>
            <w:noProof/>
          </w:rPr>
          <w:instrText xml:space="preserve"> PAGEREF _Toc256000008 \h </w:instrText>
        </w:r>
        <w:r w:rsidR="00B67EDE">
          <w:rPr>
            <w:noProof/>
          </w:rPr>
        </w:r>
        <w:r w:rsidR="00B67EDE">
          <w:rPr>
            <w:noProof/>
          </w:rPr>
          <w:fldChar w:fldCharType="separate"/>
        </w:r>
        <w:r w:rsidR="00C53084">
          <w:rPr>
            <w:noProof/>
          </w:rPr>
          <w:t>53</w:t>
        </w:r>
        <w:r w:rsidR="00B67EDE">
          <w:rPr>
            <w:noProof/>
          </w:rPr>
          <w:fldChar w:fldCharType="end"/>
        </w:r>
      </w:hyperlink>
    </w:p>
    <w:p w14:paraId="458B6961" w14:textId="7E36B189" w:rsidR="00AE2B28" w:rsidRDefault="00AF7BFE">
      <w:pPr>
        <w:pStyle w:val="10"/>
        <w:rPr>
          <w:rFonts w:asciiTheme="minorHAnsi" w:hAnsiTheme="minorHAnsi"/>
          <w:noProof/>
        </w:rPr>
      </w:pPr>
      <w:hyperlink w:anchor="_Toc256000009" w:history="1">
        <w:r w:rsidR="00B67EDE" w:rsidRPr="009E26D0">
          <w:rPr>
            <w:rStyle w:val="a9"/>
            <w:noProof/>
          </w:rPr>
          <w:t>第十部分</w:t>
        </w:r>
        <w:r w:rsidR="00B67EDE" w:rsidRPr="009E26D0">
          <w:rPr>
            <w:rStyle w:val="a9"/>
            <w:noProof/>
          </w:rPr>
          <w:t xml:space="preserve">  </w:t>
        </w:r>
        <w:r w:rsidR="00B67EDE" w:rsidRPr="009E26D0">
          <w:rPr>
            <w:rStyle w:val="a9"/>
            <w:noProof/>
          </w:rPr>
          <w:t>基金的财产</w:t>
        </w:r>
        <w:r w:rsidR="00B67EDE">
          <w:rPr>
            <w:noProof/>
          </w:rPr>
          <w:tab/>
        </w:r>
        <w:r w:rsidR="00B67EDE">
          <w:rPr>
            <w:noProof/>
          </w:rPr>
          <w:fldChar w:fldCharType="begin"/>
        </w:r>
        <w:r w:rsidR="00B67EDE">
          <w:rPr>
            <w:noProof/>
          </w:rPr>
          <w:instrText xml:space="preserve"> PAGEREF _Toc256000009 \h </w:instrText>
        </w:r>
        <w:r w:rsidR="00B67EDE">
          <w:rPr>
            <w:noProof/>
          </w:rPr>
        </w:r>
        <w:r w:rsidR="00B67EDE">
          <w:rPr>
            <w:noProof/>
          </w:rPr>
          <w:fldChar w:fldCharType="separate"/>
        </w:r>
        <w:r w:rsidR="00C53084">
          <w:rPr>
            <w:noProof/>
          </w:rPr>
          <w:t>67</w:t>
        </w:r>
        <w:r w:rsidR="00B67EDE">
          <w:rPr>
            <w:noProof/>
          </w:rPr>
          <w:fldChar w:fldCharType="end"/>
        </w:r>
      </w:hyperlink>
    </w:p>
    <w:p w14:paraId="1056903F" w14:textId="1345E190" w:rsidR="00AE2B28" w:rsidRDefault="00AF7BFE">
      <w:pPr>
        <w:pStyle w:val="10"/>
        <w:rPr>
          <w:rFonts w:asciiTheme="minorHAnsi" w:hAnsiTheme="minorHAnsi"/>
          <w:noProof/>
        </w:rPr>
      </w:pPr>
      <w:hyperlink w:anchor="_Toc256000010" w:history="1">
        <w:r w:rsidR="00B67EDE" w:rsidRPr="009E26D0">
          <w:rPr>
            <w:rStyle w:val="a9"/>
            <w:noProof/>
          </w:rPr>
          <w:t>第十一部分</w:t>
        </w:r>
        <w:r w:rsidR="00B67EDE" w:rsidRPr="009E26D0">
          <w:rPr>
            <w:rStyle w:val="a9"/>
            <w:noProof/>
          </w:rPr>
          <w:t xml:space="preserve">  </w:t>
        </w:r>
        <w:r w:rsidR="00B67EDE" w:rsidRPr="009E26D0">
          <w:rPr>
            <w:rStyle w:val="a9"/>
            <w:noProof/>
          </w:rPr>
          <w:t>基金资产估值</w:t>
        </w:r>
        <w:r w:rsidR="00B67EDE">
          <w:rPr>
            <w:noProof/>
          </w:rPr>
          <w:tab/>
        </w:r>
        <w:r w:rsidR="00B67EDE">
          <w:rPr>
            <w:noProof/>
          </w:rPr>
          <w:fldChar w:fldCharType="begin"/>
        </w:r>
        <w:r w:rsidR="00B67EDE">
          <w:rPr>
            <w:noProof/>
          </w:rPr>
          <w:instrText xml:space="preserve"> PAGEREF _Toc256000010 \h </w:instrText>
        </w:r>
        <w:r w:rsidR="00B67EDE">
          <w:rPr>
            <w:noProof/>
          </w:rPr>
        </w:r>
        <w:r w:rsidR="00B67EDE">
          <w:rPr>
            <w:noProof/>
          </w:rPr>
          <w:fldChar w:fldCharType="separate"/>
        </w:r>
        <w:r w:rsidR="00C53084">
          <w:rPr>
            <w:noProof/>
          </w:rPr>
          <w:t>68</w:t>
        </w:r>
        <w:r w:rsidR="00B67EDE">
          <w:rPr>
            <w:noProof/>
          </w:rPr>
          <w:fldChar w:fldCharType="end"/>
        </w:r>
      </w:hyperlink>
    </w:p>
    <w:p w14:paraId="63E88AD7" w14:textId="7AEB1079" w:rsidR="00AE2B28" w:rsidRDefault="00AF7BFE">
      <w:pPr>
        <w:pStyle w:val="10"/>
        <w:rPr>
          <w:rFonts w:asciiTheme="minorHAnsi" w:hAnsiTheme="minorHAnsi"/>
          <w:noProof/>
        </w:rPr>
      </w:pPr>
      <w:hyperlink w:anchor="_Toc256000011" w:history="1">
        <w:r w:rsidR="00B67EDE" w:rsidRPr="009E26D0">
          <w:rPr>
            <w:rStyle w:val="a9"/>
            <w:noProof/>
          </w:rPr>
          <w:t>第十二部分</w:t>
        </w:r>
        <w:r w:rsidR="00B67EDE" w:rsidRPr="009E26D0">
          <w:rPr>
            <w:rStyle w:val="a9"/>
            <w:noProof/>
          </w:rPr>
          <w:t xml:space="preserve">  </w:t>
        </w:r>
        <w:r w:rsidR="00B67EDE" w:rsidRPr="009E26D0">
          <w:rPr>
            <w:rStyle w:val="a9"/>
            <w:noProof/>
          </w:rPr>
          <w:t>基金的收益与分配</w:t>
        </w:r>
        <w:r w:rsidR="00B67EDE">
          <w:rPr>
            <w:noProof/>
          </w:rPr>
          <w:tab/>
        </w:r>
        <w:r w:rsidR="00B67EDE">
          <w:rPr>
            <w:noProof/>
          </w:rPr>
          <w:fldChar w:fldCharType="begin"/>
        </w:r>
        <w:r w:rsidR="00B67EDE">
          <w:rPr>
            <w:noProof/>
          </w:rPr>
          <w:instrText xml:space="preserve"> PAGEREF _Toc256000011 \h </w:instrText>
        </w:r>
        <w:r w:rsidR="00B67EDE">
          <w:rPr>
            <w:noProof/>
          </w:rPr>
        </w:r>
        <w:r w:rsidR="00B67EDE">
          <w:rPr>
            <w:noProof/>
          </w:rPr>
          <w:fldChar w:fldCharType="separate"/>
        </w:r>
        <w:r w:rsidR="00C53084">
          <w:rPr>
            <w:noProof/>
          </w:rPr>
          <w:t>75</w:t>
        </w:r>
        <w:r w:rsidR="00B67EDE">
          <w:rPr>
            <w:noProof/>
          </w:rPr>
          <w:fldChar w:fldCharType="end"/>
        </w:r>
      </w:hyperlink>
    </w:p>
    <w:p w14:paraId="6B233EA8" w14:textId="26E3F6E2" w:rsidR="00AE2B28" w:rsidRDefault="00AF7BFE">
      <w:pPr>
        <w:pStyle w:val="10"/>
        <w:rPr>
          <w:rFonts w:asciiTheme="minorHAnsi" w:hAnsiTheme="minorHAnsi"/>
          <w:noProof/>
        </w:rPr>
      </w:pPr>
      <w:hyperlink w:anchor="_Toc256000012" w:history="1">
        <w:r w:rsidR="00B67EDE" w:rsidRPr="009E26D0">
          <w:rPr>
            <w:rStyle w:val="a9"/>
            <w:noProof/>
          </w:rPr>
          <w:t>第十三部分</w:t>
        </w:r>
        <w:r w:rsidR="00B67EDE" w:rsidRPr="009E26D0">
          <w:rPr>
            <w:rStyle w:val="a9"/>
            <w:noProof/>
          </w:rPr>
          <w:t xml:space="preserve">  </w:t>
        </w:r>
        <w:r w:rsidR="00B67EDE" w:rsidRPr="009E26D0">
          <w:rPr>
            <w:rStyle w:val="a9"/>
            <w:noProof/>
          </w:rPr>
          <w:t>基金费用与税收</w:t>
        </w:r>
        <w:r w:rsidR="00B67EDE">
          <w:rPr>
            <w:noProof/>
          </w:rPr>
          <w:tab/>
        </w:r>
        <w:r w:rsidR="00B67EDE">
          <w:rPr>
            <w:noProof/>
          </w:rPr>
          <w:fldChar w:fldCharType="begin"/>
        </w:r>
        <w:r w:rsidR="00B67EDE">
          <w:rPr>
            <w:noProof/>
          </w:rPr>
          <w:instrText xml:space="preserve"> PAGEREF _Toc256000012 \h </w:instrText>
        </w:r>
        <w:r w:rsidR="00B67EDE">
          <w:rPr>
            <w:noProof/>
          </w:rPr>
        </w:r>
        <w:r w:rsidR="00B67EDE">
          <w:rPr>
            <w:noProof/>
          </w:rPr>
          <w:fldChar w:fldCharType="separate"/>
        </w:r>
        <w:r w:rsidR="00C53084">
          <w:rPr>
            <w:noProof/>
          </w:rPr>
          <w:t>77</w:t>
        </w:r>
        <w:r w:rsidR="00B67EDE">
          <w:rPr>
            <w:noProof/>
          </w:rPr>
          <w:fldChar w:fldCharType="end"/>
        </w:r>
      </w:hyperlink>
    </w:p>
    <w:p w14:paraId="4227AA18" w14:textId="1282F892" w:rsidR="00AE2B28" w:rsidRDefault="00AF7BFE">
      <w:pPr>
        <w:pStyle w:val="10"/>
        <w:rPr>
          <w:rFonts w:asciiTheme="minorHAnsi" w:hAnsiTheme="minorHAnsi"/>
          <w:noProof/>
        </w:rPr>
      </w:pPr>
      <w:hyperlink w:anchor="_Toc256000013" w:history="1">
        <w:r w:rsidR="00B67EDE" w:rsidRPr="009E26D0">
          <w:rPr>
            <w:rStyle w:val="a9"/>
            <w:noProof/>
          </w:rPr>
          <w:t>第十四部分</w:t>
        </w:r>
        <w:r w:rsidR="00B67EDE" w:rsidRPr="009E26D0">
          <w:rPr>
            <w:rStyle w:val="a9"/>
            <w:noProof/>
          </w:rPr>
          <w:t xml:space="preserve">  </w:t>
        </w:r>
        <w:r w:rsidR="00B67EDE" w:rsidRPr="009E26D0">
          <w:rPr>
            <w:rStyle w:val="a9"/>
            <w:noProof/>
          </w:rPr>
          <w:t>基金的会计与审计</w:t>
        </w:r>
        <w:r w:rsidR="00B67EDE">
          <w:rPr>
            <w:noProof/>
          </w:rPr>
          <w:tab/>
        </w:r>
        <w:r w:rsidR="00B67EDE">
          <w:rPr>
            <w:noProof/>
          </w:rPr>
          <w:fldChar w:fldCharType="begin"/>
        </w:r>
        <w:r w:rsidR="00B67EDE">
          <w:rPr>
            <w:noProof/>
          </w:rPr>
          <w:instrText xml:space="preserve"> PAGEREF _Toc256000013 \h </w:instrText>
        </w:r>
        <w:r w:rsidR="00B67EDE">
          <w:rPr>
            <w:noProof/>
          </w:rPr>
        </w:r>
        <w:r w:rsidR="00B67EDE">
          <w:rPr>
            <w:noProof/>
          </w:rPr>
          <w:fldChar w:fldCharType="separate"/>
        </w:r>
        <w:r w:rsidR="00C53084">
          <w:rPr>
            <w:noProof/>
          </w:rPr>
          <w:t>83</w:t>
        </w:r>
        <w:r w:rsidR="00B67EDE">
          <w:rPr>
            <w:noProof/>
          </w:rPr>
          <w:fldChar w:fldCharType="end"/>
        </w:r>
      </w:hyperlink>
    </w:p>
    <w:p w14:paraId="06B52653" w14:textId="4586C2EB" w:rsidR="00AE2B28" w:rsidRDefault="00AF7BFE">
      <w:pPr>
        <w:pStyle w:val="10"/>
        <w:rPr>
          <w:rFonts w:asciiTheme="minorHAnsi" w:hAnsiTheme="minorHAnsi"/>
          <w:noProof/>
        </w:rPr>
      </w:pPr>
      <w:hyperlink w:anchor="_Toc256000014" w:history="1">
        <w:r w:rsidR="00B67EDE" w:rsidRPr="009E26D0">
          <w:rPr>
            <w:rStyle w:val="a9"/>
            <w:noProof/>
          </w:rPr>
          <w:t>第十五部分</w:t>
        </w:r>
        <w:r w:rsidR="00B67EDE" w:rsidRPr="009E26D0">
          <w:rPr>
            <w:rStyle w:val="a9"/>
            <w:noProof/>
          </w:rPr>
          <w:t xml:space="preserve">  </w:t>
        </w:r>
        <w:r w:rsidR="00B67EDE" w:rsidRPr="009E26D0">
          <w:rPr>
            <w:rStyle w:val="a9"/>
            <w:noProof/>
          </w:rPr>
          <w:t>基金的信息披露</w:t>
        </w:r>
        <w:r w:rsidR="00B67EDE">
          <w:rPr>
            <w:noProof/>
          </w:rPr>
          <w:tab/>
        </w:r>
        <w:r w:rsidR="00B67EDE">
          <w:rPr>
            <w:noProof/>
          </w:rPr>
          <w:fldChar w:fldCharType="begin"/>
        </w:r>
        <w:r w:rsidR="00B67EDE">
          <w:rPr>
            <w:noProof/>
          </w:rPr>
          <w:instrText xml:space="preserve"> PAGEREF _Toc256000014 \h </w:instrText>
        </w:r>
        <w:r w:rsidR="00B67EDE">
          <w:rPr>
            <w:noProof/>
          </w:rPr>
        </w:r>
        <w:r w:rsidR="00B67EDE">
          <w:rPr>
            <w:noProof/>
          </w:rPr>
          <w:fldChar w:fldCharType="separate"/>
        </w:r>
        <w:r w:rsidR="00C53084">
          <w:rPr>
            <w:noProof/>
          </w:rPr>
          <w:t>84</w:t>
        </w:r>
        <w:r w:rsidR="00B67EDE">
          <w:rPr>
            <w:noProof/>
          </w:rPr>
          <w:fldChar w:fldCharType="end"/>
        </w:r>
      </w:hyperlink>
    </w:p>
    <w:p w14:paraId="6E8BFC31" w14:textId="5DF08EF4" w:rsidR="00AE2B28" w:rsidRDefault="00AF7BFE">
      <w:pPr>
        <w:pStyle w:val="10"/>
        <w:rPr>
          <w:rFonts w:asciiTheme="minorHAnsi" w:hAnsiTheme="minorHAnsi"/>
          <w:noProof/>
        </w:rPr>
      </w:pPr>
      <w:hyperlink w:anchor="_Toc256000015" w:history="1">
        <w:r w:rsidR="00B67EDE" w:rsidRPr="009E26D0">
          <w:rPr>
            <w:rStyle w:val="a9"/>
            <w:noProof/>
          </w:rPr>
          <w:t>第十六部分</w:t>
        </w:r>
        <w:r w:rsidR="00B67EDE" w:rsidRPr="009E26D0">
          <w:rPr>
            <w:rStyle w:val="a9"/>
            <w:noProof/>
          </w:rPr>
          <w:t xml:space="preserve">  </w:t>
        </w:r>
        <w:r w:rsidR="00B67EDE" w:rsidRPr="009E26D0">
          <w:rPr>
            <w:rStyle w:val="a9"/>
            <w:noProof/>
          </w:rPr>
          <w:t>风险揭示</w:t>
        </w:r>
        <w:r w:rsidR="00B67EDE">
          <w:rPr>
            <w:noProof/>
          </w:rPr>
          <w:tab/>
        </w:r>
        <w:r w:rsidR="00B67EDE">
          <w:rPr>
            <w:noProof/>
          </w:rPr>
          <w:fldChar w:fldCharType="begin"/>
        </w:r>
        <w:r w:rsidR="00B67EDE">
          <w:rPr>
            <w:noProof/>
          </w:rPr>
          <w:instrText xml:space="preserve"> PAGEREF _Toc256000015 \h </w:instrText>
        </w:r>
        <w:r w:rsidR="00B67EDE">
          <w:rPr>
            <w:noProof/>
          </w:rPr>
        </w:r>
        <w:r w:rsidR="00B67EDE">
          <w:rPr>
            <w:noProof/>
          </w:rPr>
          <w:fldChar w:fldCharType="separate"/>
        </w:r>
        <w:r w:rsidR="00C53084">
          <w:rPr>
            <w:noProof/>
          </w:rPr>
          <w:t>92</w:t>
        </w:r>
        <w:r w:rsidR="00B67EDE">
          <w:rPr>
            <w:noProof/>
          </w:rPr>
          <w:fldChar w:fldCharType="end"/>
        </w:r>
      </w:hyperlink>
    </w:p>
    <w:p w14:paraId="0B56CCEE" w14:textId="70A921D2" w:rsidR="00AE2B28" w:rsidRDefault="00AF7BFE">
      <w:pPr>
        <w:pStyle w:val="10"/>
        <w:rPr>
          <w:rFonts w:asciiTheme="minorHAnsi" w:hAnsiTheme="minorHAnsi"/>
          <w:noProof/>
        </w:rPr>
      </w:pPr>
      <w:hyperlink w:anchor="_Toc256000016" w:history="1">
        <w:r w:rsidR="00B67EDE" w:rsidRPr="009E26D0">
          <w:rPr>
            <w:rStyle w:val="a9"/>
            <w:noProof/>
          </w:rPr>
          <w:t>第十七部分</w:t>
        </w:r>
        <w:r w:rsidR="00B67EDE" w:rsidRPr="009E26D0">
          <w:rPr>
            <w:rStyle w:val="a9"/>
            <w:noProof/>
          </w:rPr>
          <w:t xml:space="preserve">  </w:t>
        </w:r>
        <w:r w:rsidR="00B67EDE" w:rsidRPr="009E26D0">
          <w:rPr>
            <w:rStyle w:val="a9"/>
            <w:noProof/>
          </w:rPr>
          <w:t>侧袋机制</w:t>
        </w:r>
        <w:r w:rsidR="00B67EDE">
          <w:rPr>
            <w:noProof/>
          </w:rPr>
          <w:tab/>
        </w:r>
        <w:r w:rsidR="00B67EDE">
          <w:rPr>
            <w:noProof/>
          </w:rPr>
          <w:fldChar w:fldCharType="begin"/>
        </w:r>
        <w:r w:rsidR="00B67EDE">
          <w:rPr>
            <w:noProof/>
          </w:rPr>
          <w:instrText xml:space="preserve"> PAGEREF _Toc256000016 \h </w:instrText>
        </w:r>
        <w:r w:rsidR="00B67EDE">
          <w:rPr>
            <w:noProof/>
          </w:rPr>
        </w:r>
        <w:r w:rsidR="00B67EDE">
          <w:rPr>
            <w:noProof/>
          </w:rPr>
          <w:fldChar w:fldCharType="separate"/>
        </w:r>
        <w:r w:rsidR="00C53084">
          <w:rPr>
            <w:noProof/>
          </w:rPr>
          <w:t>105</w:t>
        </w:r>
        <w:r w:rsidR="00B67EDE">
          <w:rPr>
            <w:noProof/>
          </w:rPr>
          <w:fldChar w:fldCharType="end"/>
        </w:r>
      </w:hyperlink>
    </w:p>
    <w:p w14:paraId="1C0073F2" w14:textId="238366CF" w:rsidR="00AE2B28" w:rsidRDefault="00AF7BFE">
      <w:pPr>
        <w:pStyle w:val="10"/>
        <w:rPr>
          <w:rFonts w:asciiTheme="minorHAnsi" w:hAnsiTheme="minorHAnsi"/>
          <w:noProof/>
        </w:rPr>
      </w:pPr>
      <w:hyperlink w:anchor="_Toc256000017" w:history="1">
        <w:r w:rsidR="00B67EDE" w:rsidRPr="009E26D0">
          <w:rPr>
            <w:rStyle w:val="a9"/>
            <w:noProof/>
          </w:rPr>
          <w:t>第十八部分</w:t>
        </w:r>
        <w:r w:rsidR="00B67EDE" w:rsidRPr="009E26D0">
          <w:rPr>
            <w:rStyle w:val="a9"/>
            <w:noProof/>
          </w:rPr>
          <w:t xml:space="preserve">  </w:t>
        </w:r>
        <w:r w:rsidR="00B67EDE" w:rsidRPr="009E26D0">
          <w:rPr>
            <w:rStyle w:val="a9"/>
            <w:noProof/>
          </w:rPr>
          <w:t>基金合同的变更、终止与基金财产的清算</w:t>
        </w:r>
        <w:r w:rsidR="00B67EDE">
          <w:rPr>
            <w:noProof/>
          </w:rPr>
          <w:tab/>
        </w:r>
        <w:r w:rsidR="00B67EDE">
          <w:rPr>
            <w:noProof/>
          </w:rPr>
          <w:fldChar w:fldCharType="begin"/>
        </w:r>
        <w:r w:rsidR="00B67EDE">
          <w:rPr>
            <w:noProof/>
          </w:rPr>
          <w:instrText xml:space="preserve"> PAGEREF _Toc256000017 \h </w:instrText>
        </w:r>
        <w:r w:rsidR="00B67EDE">
          <w:rPr>
            <w:noProof/>
          </w:rPr>
        </w:r>
        <w:r w:rsidR="00B67EDE">
          <w:rPr>
            <w:noProof/>
          </w:rPr>
          <w:fldChar w:fldCharType="separate"/>
        </w:r>
        <w:r w:rsidR="00C53084">
          <w:rPr>
            <w:noProof/>
          </w:rPr>
          <w:t>108</w:t>
        </w:r>
        <w:r w:rsidR="00B67EDE">
          <w:rPr>
            <w:noProof/>
          </w:rPr>
          <w:fldChar w:fldCharType="end"/>
        </w:r>
      </w:hyperlink>
    </w:p>
    <w:p w14:paraId="586CC834" w14:textId="030BCDDF" w:rsidR="00AE2B28" w:rsidRDefault="00AF7BFE">
      <w:pPr>
        <w:pStyle w:val="10"/>
        <w:rPr>
          <w:rFonts w:asciiTheme="minorHAnsi" w:hAnsiTheme="minorHAnsi"/>
          <w:noProof/>
        </w:rPr>
      </w:pPr>
      <w:hyperlink w:anchor="_Toc256000018" w:history="1">
        <w:r w:rsidR="00B67EDE" w:rsidRPr="009E26D0">
          <w:rPr>
            <w:rStyle w:val="a9"/>
            <w:noProof/>
          </w:rPr>
          <w:t>第十九部分</w:t>
        </w:r>
        <w:r w:rsidR="00B67EDE" w:rsidRPr="009E26D0">
          <w:rPr>
            <w:rStyle w:val="a9"/>
            <w:noProof/>
          </w:rPr>
          <w:t xml:space="preserve">  </w:t>
        </w:r>
        <w:r w:rsidR="00B67EDE" w:rsidRPr="009E26D0">
          <w:rPr>
            <w:rStyle w:val="a9"/>
            <w:noProof/>
          </w:rPr>
          <w:t>基金合同的内容摘要</w:t>
        </w:r>
        <w:r w:rsidR="00B67EDE">
          <w:rPr>
            <w:noProof/>
          </w:rPr>
          <w:tab/>
        </w:r>
        <w:r w:rsidR="00B67EDE">
          <w:rPr>
            <w:noProof/>
          </w:rPr>
          <w:fldChar w:fldCharType="begin"/>
        </w:r>
        <w:r w:rsidR="00B67EDE">
          <w:rPr>
            <w:noProof/>
          </w:rPr>
          <w:instrText xml:space="preserve"> PAGEREF _Toc256000018 \h </w:instrText>
        </w:r>
        <w:r w:rsidR="00B67EDE">
          <w:rPr>
            <w:noProof/>
          </w:rPr>
        </w:r>
        <w:r w:rsidR="00B67EDE">
          <w:rPr>
            <w:noProof/>
          </w:rPr>
          <w:fldChar w:fldCharType="separate"/>
        </w:r>
        <w:r w:rsidR="00C53084">
          <w:rPr>
            <w:noProof/>
          </w:rPr>
          <w:t>110</w:t>
        </w:r>
        <w:r w:rsidR="00B67EDE">
          <w:rPr>
            <w:noProof/>
          </w:rPr>
          <w:fldChar w:fldCharType="end"/>
        </w:r>
      </w:hyperlink>
    </w:p>
    <w:p w14:paraId="6049630E" w14:textId="76E5A01A" w:rsidR="00AE2B28" w:rsidRDefault="00AF7BFE">
      <w:pPr>
        <w:pStyle w:val="10"/>
        <w:rPr>
          <w:rFonts w:asciiTheme="minorHAnsi" w:hAnsiTheme="minorHAnsi"/>
          <w:noProof/>
        </w:rPr>
      </w:pPr>
      <w:hyperlink w:anchor="_Toc256000019" w:history="1">
        <w:r w:rsidR="00B67EDE" w:rsidRPr="009E26D0">
          <w:rPr>
            <w:rStyle w:val="a9"/>
            <w:noProof/>
          </w:rPr>
          <w:t>第二十部分</w:t>
        </w:r>
        <w:r w:rsidR="00B67EDE" w:rsidRPr="009E26D0">
          <w:rPr>
            <w:rStyle w:val="a9"/>
            <w:noProof/>
          </w:rPr>
          <w:t xml:space="preserve">  </w:t>
        </w:r>
        <w:r w:rsidR="00B67EDE" w:rsidRPr="009E26D0">
          <w:rPr>
            <w:rStyle w:val="a9"/>
            <w:noProof/>
          </w:rPr>
          <w:t>托管协议的内容摘要</w:t>
        </w:r>
        <w:r w:rsidR="00B67EDE">
          <w:rPr>
            <w:noProof/>
          </w:rPr>
          <w:tab/>
        </w:r>
        <w:r w:rsidR="00B67EDE">
          <w:rPr>
            <w:noProof/>
          </w:rPr>
          <w:fldChar w:fldCharType="begin"/>
        </w:r>
        <w:r w:rsidR="00B67EDE">
          <w:rPr>
            <w:noProof/>
          </w:rPr>
          <w:instrText xml:space="preserve"> PAGEREF _Toc256000019 \h </w:instrText>
        </w:r>
        <w:r w:rsidR="00B67EDE">
          <w:rPr>
            <w:noProof/>
          </w:rPr>
        </w:r>
        <w:r w:rsidR="00B67EDE">
          <w:rPr>
            <w:noProof/>
          </w:rPr>
          <w:fldChar w:fldCharType="separate"/>
        </w:r>
        <w:r w:rsidR="00C53084">
          <w:rPr>
            <w:noProof/>
          </w:rPr>
          <w:t>128</w:t>
        </w:r>
        <w:r w:rsidR="00B67EDE">
          <w:rPr>
            <w:noProof/>
          </w:rPr>
          <w:fldChar w:fldCharType="end"/>
        </w:r>
      </w:hyperlink>
    </w:p>
    <w:p w14:paraId="7A6A0D10" w14:textId="623BF936" w:rsidR="00AE2B28" w:rsidRDefault="00AF7BFE">
      <w:pPr>
        <w:pStyle w:val="10"/>
        <w:rPr>
          <w:rFonts w:asciiTheme="minorHAnsi" w:hAnsiTheme="minorHAnsi"/>
          <w:noProof/>
        </w:rPr>
      </w:pPr>
      <w:hyperlink w:anchor="_Toc256000020" w:history="1">
        <w:r w:rsidR="00B67EDE" w:rsidRPr="009E26D0">
          <w:rPr>
            <w:rStyle w:val="a9"/>
            <w:noProof/>
          </w:rPr>
          <w:t>第二十一部分</w:t>
        </w:r>
        <w:r w:rsidR="00B67EDE" w:rsidRPr="009E26D0">
          <w:rPr>
            <w:rStyle w:val="a9"/>
            <w:noProof/>
          </w:rPr>
          <w:t xml:space="preserve">  </w:t>
        </w:r>
        <w:r w:rsidR="00B67EDE" w:rsidRPr="009E26D0">
          <w:rPr>
            <w:rStyle w:val="a9"/>
            <w:noProof/>
          </w:rPr>
          <w:t>对基金份额持有人的服务</w:t>
        </w:r>
        <w:r w:rsidR="00B67EDE">
          <w:rPr>
            <w:noProof/>
          </w:rPr>
          <w:tab/>
        </w:r>
        <w:r w:rsidR="00B67EDE">
          <w:rPr>
            <w:noProof/>
          </w:rPr>
          <w:fldChar w:fldCharType="begin"/>
        </w:r>
        <w:r w:rsidR="00B67EDE">
          <w:rPr>
            <w:noProof/>
          </w:rPr>
          <w:instrText xml:space="preserve"> PAGEREF _Toc256000020 \h </w:instrText>
        </w:r>
        <w:r w:rsidR="00B67EDE">
          <w:rPr>
            <w:noProof/>
          </w:rPr>
        </w:r>
        <w:r w:rsidR="00B67EDE">
          <w:rPr>
            <w:noProof/>
          </w:rPr>
          <w:fldChar w:fldCharType="separate"/>
        </w:r>
        <w:r w:rsidR="00C53084">
          <w:rPr>
            <w:noProof/>
          </w:rPr>
          <w:t>151</w:t>
        </w:r>
        <w:r w:rsidR="00B67EDE">
          <w:rPr>
            <w:noProof/>
          </w:rPr>
          <w:fldChar w:fldCharType="end"/>
        </w:r>
      </w:hyperlink>
    </w:p>
    <w:p w14:paraId="51841E1D" w14:textId="31D46F73" w:rsidR="00AE2B28" w:rsidRDefault="00AF7BFE">
      <w:pPr>
        <w:pStyle w:val="10"/>
        <w:rPr>
          <w:rFonts w:asciiTheme="minorHAnsi" w:hAnsiTheme="minorHAnsi"/>
          <w:noProof/>
        </w:rPr>
      </w:pPr>
      <w:hyperlink w:anchor="_Toc256000021" w:history="1">
        <w:r w:rsidR="00B67EDE" w:rsidRPr="009E26D0">
          <w:rPr>
            <w:rStyle w:val="a9"/>
            <w:noProof/>
          </w:rPr>
          <w:t>第二十二部分</w:t>
        </w:r>
        <w:r w:rsidR="00B67EDE" w:rsidRPr="009E26D0">
          <w:rPr>
            <w:rStyle w:val="a9"/>
            <w:noProof/>
          </w:rPr>
          <w:t xml:space="preserve">  </w:t>
        </w:r>
        <w:r w:rsidR="00B67EDE" w:rsidRPr="009E26D0">
          <w:rPr>
            <w:rStyle w:val="a9"/>
            <w:noProof/>
          </w:rPr>
          <w:t>其他应披露事项</w:t>
        </w:r>
        <w:r w:rsidR="00B67EDE">
          <w:rPr>
            <w:noProof/>
          </w:rPr>
          <w:tab/>
        </w:r>
        <w:r w:rsidR="00B67EDE">
          <w:rPr>
            <w:noProof/>
          </w:rPr>
          <w:fldChar w:fldCharType="begin"/>
        </w:r>
        <w:r w:rsidR="00B67EDE">
          <w:rPr>
            <w:noProof/>
          </w:rPr>
          <w:instrText xml:space="preserve"> PAGEREF _Toc256000021 \h </w:instrText>
        </w:r>
        <w:r w:rsidR="00B67EDE">
          <w:rPr>
            <w:noProof/>
          </w:rPr>
        </w:r>
        <w:r w:rsidR="00B67EDE">
          <w:rPr>
            <w:noProof/>
          </w:rPr>
          <w:fldChar w:fldCharType="separate"/>
        </w:r>
        <w:r w:rsidR="00C53084">
          <w:rPr>
            <w:noProof/>
          </w:rPr>
          <w:t>153</w:t>
        </w:r>
        <w:r w:rsidR="00B67EDE">
          <w:rPr>
            <w:noProof/>
          </w:rPr>
          <w:fldChar w:fldCharType="end"/>
        </w:r>
      </w:hyperlink>
    </w:p>
    <w:p w14:paraId="54842FC0" w14:textId="3DC458A8" w:rsidR="00AE2B28" w:rsidRDefault="00AF7BFE">
      <w:pPr>
        <w:pStyle w:val="10"/>
        <w:rPr>
          <w:rFonts w:asciiTheme="minorHAnsi" w:hAnsiTheme="minorHAnsi"/>
          <w:noProof/>
        </w:rPr>
      </w:pPr>
      <w:hyperlink w:anchor="_Toc256000022" w:history="1">
        <w:r w:rsidR="00B67EDE" w:rsidRPr="009E26D0">
          <w:rPr>
            <w:rStyle w:val="a9"/>
            <w:noProof/>
          </w:rPr>
          <w:t>第二十三部分</w:t>
        </w:r>
        <w:r w:rsidR="00B67EDE" w:rsidRPr="009E26D0">
          <w:rPr>
            <w:rStyle w:val="a9"/>
            <w:noProof/>
          </w:rPr>
          <w:t xml:space="preserve">  </w:t>
        </w:r>
        <w:r w:rsidR="00B67EDE" w:rsidRPr="009E26D0">
          <w:rPr>
            <w:rStyle w:val="a9"/>
            <w:noProof/>
          </w:rPr>
          <w:t>招募说明书的存放和查阅方式</w:t>
        </w:r>
        <w:r w:rsidR="00B67EDE">
          <w:rPr>
            <w:noProof/>
          </w:rPr>
          <w:tab/>
        </w:r>
        <w:r w:rsidR="00B67EDE">
          <w:rPr>
            <w:noProof/>
          </w:rPr>
          <w:fldChar w:fldCharType="begin"/>
        </w:r>
        <w:r w:rsidR="00B67EDE">
          <w:rPr>
            <w:noProof/>
          </w:rPr>
          <w:instrText xml:space="preserve"> PAGEREF _Toc256000022 \h </w:instrText>
        </w:r>
        <w:r w:rsidR="00B67EDE">
          <w:rPr>
            <w:noProof/>
          </w:rPr>
        </w:r>
        <w:r w:rsidR="00B67EDE">
          <w:rPr>
            <w:noProof/>
          </w:rPr>
          <w:fldChar w:fldCharType="separate"/>
        </w:r>
        <w:r w:rsidR="00C53084">
          <w:rPr>
            <w:noProof/>
          </w:rPr>
          <w:t>154</w:t>
        </w:r>
        <w:r w:rsidR="00B67EDE">
          <w:rPr>
            <w:noProof/>
          </w:rPr>
          <w:fldChar w:fldCharType="end"/>
        </w:r>
      </w:hyperlink>
    </w:p>
    <w:p w14:paraId="6E28C432" w14:textId="308A029E" w:rsidR="00AE2B28" w:rsidRDefault="00AF7BFE">
      <w:pPr>
        <w:pStyle w:val="10"/>
        <w:rPr>
          <w:rFonts w:asciiTheme="minorHAnsi" w:hAnsiTheme="minorHAnsi"/>
          <w:noProof/>
        </w:rPr>
      </w:pPr>
      <w:hyperlink w:anchor="_Toc256000023" w:history="1">
        <w:r w:rsidR="00B67EDE" w:rsidRPr="009E26D0">
          <w:rPr>
            <w:rStyle w:val="a9"/>
            <w:noProof/>
          </w:rPr>
          <w:t>第二十四部分</w:t>
        </w:r>
        <w:r w:rsidR="00B67EDE" w:rsidRPr="009E26D0">
          <w:rPr>
            <w:rStyle w:val="a9"/>
            <w:noProof/>
          </w:rPr>
          <w:t xml:space="preserve">  </w:t>
        </w:r>
        <w:r w:rsidR="00B67EDE" w:rsidRPr="009E26D0">
          <w:rPr>
            <w:rStyle w:val="a9"/>
            <w:noProof/>
          </w:rPr>
          <w:t>备查文件</w:t>
        </w:r>
        <w:r w:rsidR="00B67EDE">
          <w:rPr>
            <w:noProof/>
          </w:rPr>
          <w:tab/>
        </w:r>
        <w:r w:rsidR="00B67EDE">
          <w:rPr>
            <w:noProof/>
          </w:rPr>
          <w:fldChar w:fldCharType="begin"/>
        </w:r>
        <w:r w:rsidR="00B67EDE">
          <w:rPr>
            <w:noProof/>
          </w:rPr>
          <w:instrText xml:space="preserve"> PAGEREF _Toc256000023 \h </w:instrText>
        </w:r>
        <w:r w:rsidR="00B67EDE">
          <w:rPr>
            <w:noProof/>
          </w:rPr>
        </w:r>
        <w:r w:rsidR="00B67EDE">
          <w:rPr>
            <w:noProof/>
          </w:rPr>
          <w:fldChar w:fldCharType="separate"/>
        </w:r>
        <w:r w:rsidR="00C53084">
          <w:rPr>
            <w:noProof/>
          </w:rPr>
          <w:t>155</w:t>
        </w:r>
        <w:r w:rsidR="00B67EDE">
          <w:rPr>
            <w:noProof/>
          </w:rPr>
          <w:fldChar w:fldCharType="end"/>
        </w:r>
      </w:hyperlink>
    </w:p>
    <w:p w14:paraId="2CFB9E23" w14:textId="77777777" w:rsidR="000028C2" w:rsidRPr="00657FE9" w:rsidRDefault="00B67EDE">
      <w:pPr>
        <w:jc w:val="left"/>
        <w:rPr>
          <w:rStyle w:val="read"/>
          <w:rFonts w:ascii="宋体" w:hAnsi="宋体" w:cs="宋体"/>
          <w:b/>
          <w:sz w:val="24"/>
        </w:rPr>
        <w:sectPr w:rsidR="000028C2" w:rsidRPr="00657FE9" w:rsidSect="0024488F">
          <w:headerReference w:type="default" r:id="rId10"/>
          <w:footerReference w:type="default" r:id="rId11"/>
          <w:pgSz w:w="11906" w:h="16838"/>
          <w:pgMar w:top="1440" w:right="1800" w:bottom="1440" w:left="1800" w:header="851" w:footer="992" w:gutter="0"/>
          <w:pgNumType w:start="1"/>
          <w:cols w:space="720"/>
          <w:docGrid w:type="lines" w:linePitch="312"/>
        </w:sectPr>
      </w:pPr>
      <w:r w:rsidRPr="00657FE9">
        <w:rPr>
          <w:rStyle w:val="read"/>
          <w:rFonts w:ascii="宋体" w:hAnsi="宋体" w:cs="宋体"/>
          <w:b/>
          <w:sz w:val="24"/>
        </w:rPr>
        <w:fldChar w:fldCharType="end"/>
      </w:r>
      <w:bookmarkStart w:id="25" w:name="_Toc452127896"/>
      <w:bookmarkStart w:id="26" w:name="_Toc2163435"/>
      <w:bookmarkStart w:id="27" w:name="_Toc11660"/>
    </w:p>
    <w:p w14:paraId="4BEE74D0" w14:textId="77777777" w:rsidR="00C07BA4" w:rsidRPr="00743F3A" w:rsidRDefault="00B67EDE" w:rsidP="00C07BA4">
      <w:pPr>
        <w:widowControl/>
        <w:jc w:val="center"/>
        <w:rPr>
          <w:b/>
          <w:bCs/>
          <w:sz w:val="30"/>
        </w:rPr>
      </w:pPr>
      <w:r w:rsidRPr="00743F3A">
        <w:rPr>
          <w:b/>
          <w:bCs/>
          <w:noProof/>
          <w:sz w:val="30"/>
        </w:rPr>
        <w:lastRenderedPageBreak/>
        <w:t>重要提示</w:t>
      </w:r>
    </w:p>
    <w:p w14:paraId="16043013" w14:textId="77777777" w:rsidR="00743F3A" w:rsidRPr="00743F3A" w:rsidRDefault="00743F3A" w:rsidP="00C07BA4">
      <w:pPr>
        <w:widowControl/>
        <w:jc w:val="center"/>
        <w:rPr>
          <w:sz w:val="30"/>
        </w:rPr>
      </w:pPr>
    </w:p>
    <w:p w14:paraId="39B4FA95" w14:textId="11DC385B" w:rsidR="00AE2B28" w:rsidRDefault="00B67EDE">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汇添富金融优选混合型发起式证券投资基金</w:t>
      </w:r>
      <w:r>
        <w:rPr>
          <w:rFonts w:ascii="宋体" w:hAnsi="宋体" w:cs="宋体"/>
          <w:kern w:val="0"/>
          <w:sz w:val="24"/>
          <w:szCs w:val="24"/>
        </w:rPr>
        <w:t>（以下简称“本基金”）经中国证券监督管理委员会</w:t>
      </w:r>
      <w:r w:rsidR="00E66E09">
        <w:rPr>
          <w:rFonts w:ascii="宋体" w:hAnsi="宋体" w:cs="宋体"/>
          <w:kern w:val="0"/>
          <w:sz w:val="24"/>
          <w:szCs w:val="24"/>
        </w:rPr>
        <w:t>2026</w:t>
      </w:r>
      <w:r>
        <w:rPr>
          <w:rFonts w:ascii="宋体" w:hAnsi="宋体" w:cs="宋体"/>
          <w:kern w:val="0"/>
          <w:sz w:val="24"/>
          <w:szCs w:val="24"/>
        </w:rPr>
        <w:t>年</w:t>
      </w:r>
      <w:r w:rsidR="00E66E09">
        <w:rPr>
          <w:rFonts w:ascii="宋体" w:hAnsi="宋体" w:cs="宋体" w:hint="eastAsia"/>
          <w:kern w:val="0"/>
          <w:sz w:val="24"/>
          <w:szCs w:val="24"/>
        </w:rPr>
        <w:t>6</w:t>
      </w:r>
      <w:r>
        <w:rPr>
          <w:rFonts w:ascii="宋体" w:hAnsi="宋体" w:cs="宋体"/>
          <w:kern w:val="0"/>
          <w:sz w:val="24"/>
          <w:szCs w:val="24"/>
        </w:rPr>
        <w:t>月</w:t>
      </w:r>
      <w:r w:rsidR="00E66E09">
        <w:rPr>
          <w:rFonts w:ascii="宋体" w:hAnsi="宋体" w:cs="宋体"/>
          <w:kern w:val="0"/>
          <w:sz w:val="24"/>
          <w:szCs w:val="24"/>
        </w:rPr>
        <w:t>2</w:t>
      </w:r>
      <w:r>
        <w:rPr>
          <w:rFonts w:ascii="宋体" w:hAnsi="宋体" w:cs="宋体"/>
          <w:kern w:val="0"/>
          <w:sz w:val="24"/>
          <w:szCs w:val="24"/>
        </w:rPr>
        <w:t>日证监许可【</w:t>
      </w:r>
      <w:r w:rsidR="00E66E09">
        <w:rPr>
          <w:rFonts w:ascii="宋体" w:hAnsi="宋体" w:cs="宋体"/>
          <w:kern w:val="0"/>
          <w:sz w:val="24"/>
          <w:szCs w:val="24"/>
        </w:rPr>
        <w:t>2026</w:t>
      </w:r>
      <w:r>
        <w:rPr>
          <w:rFonts w:ascii="宋体" w:hAnsi="宋体" w:cs="宋体"/>
          <w:kern w:val="0"/>
          <w:sz w:val="24"/>
          <w:szCs w:val="24"/>
        </w:rPr>
        <w:t>】</w:t>
      </w:r>
      <w:r w:rsidR="00E66E09">
        <w:rPr>
          <w:rFonts w:ascii="宋体" w:hAnsi="宋体" w:cs="宋体" w:hint="eastAsia"/>
          <w:kern w:val="0"/>
          <w:sz w:val="24"/>
          <w:szCs w:val="24"/>
        </w:rPr>
        <w:t>1</w:t>
      </w:r>
      <w:r w:rsidR="00E66E09">
        <w:rPr>
          <w:rFonts w:ascii="宋体" w:hAnsi="宋体" w:cs="宋体"/>
          <w:kern w:val="0"/>
          <w:sz w:val="24"/>
          <w:szCs w:val="24"/>
        </w:rPr>
        <w:t>372</w:t>
      </w:r>
      <w:r>
        <w:rPr>
          <w:rFonts w:ascii="宋体" w:hAnsi="宋体" w:cs="宋体"/>
          <w:kern w:val="0"/>
          <w:sz w:val="24"/>
          <w:szCs w:val="24"/>
        </w:rPr>
        <w:t>号文注册募集。</w:t>
      </w:r>
    </w:p>
    <w:p w14:paraId="6EFDEA03"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基金管理人保证《</w:t>
      </w:r>
      <w:r>
        <w:rPr>
          <w:rStyle w:val="custom"/>
          <w:rFonts w:ascii="宋体" w:hAnsi="宋体" w:cs="宋体"/>
          <w:kern w:val="0"/>
          <w:sz w:val="24"/>
          <w:szCs w:val="24"/>
        </w:rPr>
        <w:t>汇添富金融优选混合型发起式证券投资基金</w:t>
      </w:r>
      <w:r>
        <w:rPr>
          <w:rFonts w:ascii="宋体" w:hAnsi="宋体" w:cs="宋体"/>
          <w:kern w:val="0"/>
          <w:sz w:val="24"/>
          <w:szCs w:val="24"/>
        </w:rPr>
        <w:t>招募说明书》(以下简称“招募说明书”或“本招募说明书”)的内容真实、准确、完整。本招募说明书经中国证监会注册，但中国证监会对本基金募集的注册，并不表明其对本基金的投资价值和市场前景作出实质性判断或保证，也不表明投资于本基金没有风险。</w:t>
      </w:r>
    </w:p>
    <w:p w14:paraId="1E0764A9"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投资有风险，投资者根据所持有份额享受基金的收益，但同时也要承担相应的投资风险。投资者拟认购（或申购）基金时应认真阅读本招募说明书、基金合同、基金产品资料概要等信息披露文件</w:t>
      </w:r>
      <w:r>
        <w:rPr>
          <w:rFonts w:ascii="宋体" w:hAnsi="宋体" w:cs="宋体"/>
          <w:color w:val="000000"/>
          <w:kern w:val="0"/>
          <w:sz w:val="24"/>
          <w:szCs w:val="24"/>
        </w:rPr>
        <w:t>，根据自身的投资目的、投资期限、投资经验、资产状况等判断基金是否和投资者的风险承受能力相适应，自主判断基金的投资价值，</w:t>
      </w:r>
      <w:r>
        <w:rPr>
          <w:rFonts w:ascii="宋体" w:hAnsi="宋体" w:cs="宋体"/>
          <w:kern w:val="0"/>
          <w:sz w:val="24"/>
          <w:szCs w:val="24"/>
        </w:rPr>
        <w:t>自主做出投资决策，全面认识本基金产品的风险收益特征，并承担基金投资中出现的各类风险，包括：因整体政治、经济、社会等环境因素对证券价格产生影响而形成的系统性风险，个别证券特有的非系统性风险，由于基金投资者连续大量赎回基金产生的流动性风险，基金管理人在基金管理实施过程中产生的基金管理风险，本基金的特定风险等等。</w:t>
      </w:r>
    </w:p>
    <w:p w14:paraId="1CAD6CB5"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本基金为混合型基金，其预期风险及预期收益水平低于股票型基金，高于债券型基金、货币市场基金。</w:t>
      </w:r>
    </w:p>
    <w:p w14:paraId="44300FE7" w14:textId="77777777" w:rsidR="00AE2B28" w:rsidRDefault="00B67EDE">
      <w:pPr>
        <w:pStyle w:val="div"/>
        <w:spacing w:line="360" w:lineRule="auto"/>
        <w:ind w:firstLine="420"/>
        <w:rPr>
          <w:rFonts w:eastAsia="Times New Roman"/>
          <w:kern w:val="0"/>
          <w:sz w:val="24"/>
          <w:szCs w:val="24"/>
        </w:rPr>
      </w:pPr>
      <w:r>
        <w:rPr>
          <w:rFonts w:ascii="宋体" w:hAnsi="宋体" w:cs="宋体"/>
          <w:color w:val="000000"/>
          <w:kern w:val="0"/>
          <w:sz w:val="24"/>
          <w:szCs w:val="24"/>
        </w:rPr>
        <w:t>本基金招募说明书“基金的投资”章节中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销售适当性风险评价”，不同的销售机构采用的评价方法也不尽相同，因此销售机构的基金产品“风险等级评价”与“基金的投资”章节中“风险收益特征”的表述可能存在不同，投资人在购买本基金时需按照销售机构的要求完成风险承受能力与产品风险之间的匹配检验。</w:t>
      </w:r>
    </w:p>
    <w:p w14:paraId="02DEFAF2"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基金的过往业绩并不预示其未来表现，基金管理人管理的其他基金的业绩也</w:t>
      </w:r>
      <w:r>
        <w:rPr>
          <w:rFonts w:ascii="宋体" w:hAnsi="宋体" w:cs="宋体"/>
          <w:kern w:val="0"/>
          <w:sz w:val="24"/>
          <w:szCs w:val="24"/>
        </w:rPr>
        <w:lastRenderedPageBreak/>
        <w:t>不构成对本基金业绩表现的保证。</w:t>
      </w:r>
    </w:p>
    <w:p w14:paraId="3F4DCA37"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基金管理人依照恪尽职守、诚实信用、谨慎勤勉的原则管理和运用基金财产，但不保证投资于本基金一定盈利，也不保证最低收益。</w:t>
      </w:r>
    </w:p>
    <w:p w14:paraId="26537195"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投资者应充分考虑自身的风险承受能力，并对于认购（或申购）基金的意愿、时机、数量等投资行为作出独立决策。基金管理人提醒投资者基金投资的“买者自负”原则，在投资者作出投资决策后，基金运营状况与基金净值变化导致的投资风险，由投资者自行负担。</w:t>
      </w:r>
    </w:p>
    <w:p w14:paraId="6A392430"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当本基金持有特定资产且存在或潜在大额赎回申请时，基金管理人履行相应程序后，可以启用侧袋机制，具体详见基金合同和本招募说明书“侧袋机制”等有关章节。侧袋机制实施期间，基金管理人将对基金简称进行特殊标识，并不办理侧袋账户的申购赎回。请基金份额持有人仔细阅读相关内容并关注本基金启用侧袋机制时的特定风险。</w:t>
      </w:r>
    </w:p>
    <w:p w14:paraId="2D2E3515" w14:textId="08720ED8"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投资相关股票市场交易互联互通机制（以下简称“港股通机制”）允许买卖的规定范围内的香港联合交易所上市的股票（以下简称“港股通标的股票”）的，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60B732D4"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本基金可根据投资策略需要或不同配置地市场环境的变化，选择将部分基金资产投资于港股或选择不将基金资产投资于港股，基金资产并非必然投资港股。</w:t>
      </w:r>
    </w:p>
    <w:p w14:paraId="6F25E4CD"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可投资存托凭证，除普通股票投资可能面临的宏观经济风险、政策风险、市场风险、流动性风险外，还将面临存托凭证持有人与持有基础股票的股东在法律地位享有权利等方面存在差异可能引发的风险、发行人采用协议控制架构的风险、增发基础证券可能导致的存托凭证持有人权益被摊薄的风险、交易机制相关风险、存托凭证退市风险等其他风险。</w:t>
      </w:r>
    </w:p>
    <w:p w14:paraId="1BC77AFF"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为对冲信用风险,本基金可能投资于信用衍生品,信用衍生品的投资可能面临流动性风险、偿付风险以及价格波动风险等。</w:t>
      </w:r>
    </w:p>
    <w:p w14:paraId="1F1E4B70" w14:textId="77777777" w:rsidR="00CB5841"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本基金单一投资者（基金管理人、基金管理人高级管理人员或基金经理等人员作为发起资金提供方除外）持有基金份额数不得达到或超过基金份额总数的50%，但在基金运作过程中因基金份额赎回等基金管理人无法予以控制的情形导致被动达到或超过50%的除外。法律法规或监管机构另有规定的，从其规定。</w:t>
      </w:r>
    </w:p>
    <w:p w14:paraId="75AE31A0" w14:textId="77777777" w:rsidR="00567F6D" w:rsidRDefault="00CB5841">
      <w:pPr>
        <w:pStyle w:val="div"/>
        <w:spacing w:line="360" w:lineRule="auto"/>
        <w:ind w:firstLine="420"/>
        <w:rPr>
          <w:rStyle w:val="custom"/>
          <w:rFonts w:ascii="宋体" w:hAnsi="宋体" w:cs="宋体"/>
          <w:kern w:val="0"/>
          <w:sz w:val="24"/>
          <w:szCs w:val="24"/>
        </w:rPr>
      </w:pPr>
      <w:r w:rsidRPr="00CB5841">
        <w:rPr>
          <w:rStyle w:val="custom"/>
          <w:rFonts w:ascii="宋体" w:hAnsi="宋体" w:cs="宋体" w:hint="eastAsia"/>
          <w:kern w:val="0"/>
          <w:sz w:val="24"/>
          <w:szCs w:val="24"/>
        </w:rPr>
        <w:t>本基金的管理费由固定管理费、或有管理费和超额管理费组成，其中或有管理费和超额管理费取决于基金份额持有人每笔认/申购份额的持有时间和年化收益率与同期业绩比较基准年化收益率的情况，因此投资者在认/申购本基金时无法预先确定该笔基金份额适用的管理费水平。由于本基金在计算各类基金份额净值时，按前一日基金资产净值的1.20%年费率计算管理费，该费率可能高于或低于不同投资者最终适用的管理费率。在基金份额赎回或基金合同终止的情形发生时，基金投资者实际收到的赎回款项或清算款项的金额可能与按披露的该类基金份额净值计算的结果存在差异。投资者的实际赎回金额和清算资金以登记机构确认数据为准。本基金采用浮动管理费的收费模式，不代表基金管理人对基金收益的保证。</w:t>
      </w:r>
    </w:p>
    <w:p w14:paraId="4EC6391D" w14:textId="2EEA3C9C" w:rsidR="00AE2B28" w:rsidRDefault="00567F6D">
      <w:pPr>
        <w:pStyle w:val="div"/>
        <w:spacing w:line="360" w:lineRule="auto"/>
        <w:ind w:firstLine="420"/>
        <w:rPr>
          <w:rFonts w:eastAsia="Times New Roman"/>
          <w:kern w:val="0"/>
          <w:sz w:val="24"/>
          <w:szCs w:val="24"/>
        </w:rPr>
      </w:pPr>
      <w:r w:rsidRPr="00567F6D">
        <w:rPr>
          <w:rStyle w:val="custom"/>
          <w:rFonts w:ascii="宋体" w:hAnsi="宋体" w:cs="宋体" w:hint="eastAsia"/>
          <w:kern w:val="0"/>
          <w:sz w:val="24"/>
          <w:szCs w:val="24"/>
        </w:rPr>
        <w:t>对于投资者通过直销机构（含基金管理人及其销售子公司，下同）认购/申购C类基金份额计提的销售服务费、通过其他销售机构认购/申购的C类基金份额持续持有期限超过一年（即365天）以后继续计提的销售服务费采取先收后返模式，基金投资者实际收到的赎回款项或清算款项的金额可能与按披露的C类基金份额净值计算的结果存在差异。投资者的实际赎回金额和清算资金以登记机构确认数据为准。</w:t>
      </w:r>
      <w:r w:rsidR="00B67EDE">
        <w:rPr>
          <w:rStyle w:val="custom"/>
          <w:rFonts w:ascii="宋体" w:hAnsi="宋体" w:cs="宋体"/>
          <w:kern w:val="0"/>
          <w:sz w:val="24"/>
          <w:szCs w:val="24"/>
        </w:rPr>
        <w:br w:type="page"/>
      </w:r>
    </w:p>
    <w:p w14:paraId="2589FB62" w14:textId="77777777" w:rsidR="009D63C8" w:rsidRDefault="00B67EDE" w:rsidP="009E26D0">
      <w:pPr>
        <w:pStyle w:val="1"/>
        <w:spacing w:before="0" w:after="0"/>
        <w:jc w:val="center"/>
        <w:rPr>
          <w:rFonts w:ascii="Times New Roman"/>
          <w:color w:val="auto"/>
          <w:sz w:val="30"/>
        </w:rPr>
      </w:pPr>
      <w:bookmarkStart w:id="28" w:name="_Toc139991731"/>
      <w:bookmarkStart w:id="29" w:name="_Toc25600000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9E26D0">
        <w:rPr>
          <w:rFonts w:ascii="Times New Roman"/>
          <w:noProof/>
          <w:color w:val="auto"/>
          <w:sz w:val="30"/>
        </w:rPr>
        <w:lastRenderedPageBreak/>
        <w:t>第一部分</w:t>
      </w:r>
      <w:r w:rsidRPr="009E26D0">
        <w:rPr>
          <w:rFonts w:ascii="Times New Roman"/>
          <w:noProof/>
          <w:color w:val="auto"/>
          <w:sz w:val="30"/>
        </w:rPr>
        <w:t xml:space="preserve">  </w:t>
      </w:r>
      <w:r w:rsidRPr="009E26D0">
        <w:rPr>
          <w:rFonts w:ascii="Times New Roman"/>
          <w:noProof/>
          <w:color w:val="auto"/>
          <w:sz w:val="30"/>
        </w:rPr>
        <w:t>绪言</w:t>
      </w:r>
      <w:bookmarkEnd w:id="29"/>
    </w:p>
    <w:p w14:paraId="397D9D04" w14:textId="77777777" w:rsidR="007A2B34" w:rsidRPr="0017353E" w:rsidRDefault="007A2B34" w:rsidP="0090469D"/>
    <w:p w14:paraId="22FD880F"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及其他有关法律法规以及《汇添富金融优选混合型发起式证券投资基金基金合同》（以下简称“基金合同”）编写。</w:t>
      </w:r>
    </w:p>
    <w:p w14:paraId="7359669C"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本基金管理人承诺本招募说明书不存在任何虚假记载、误导性陈述或重大遗漏，并对其真实性、准确性、完整性承担法律责任。</w:t>
      </w:r>
    </w:p>
    <w:p w14:paraId="47C27398"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本基金根据本招募说明书所载明的资料申请募集。本基金管理人没有委托或授权任何其他人提供未在本招募说明书中载明的信息，或对本招募说明书作任何解释或者说明。</w:t>
      </w:r>
    </w:p>
    <w:p w14:paraId="09D9710E"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本招募说明书根据本基金的基金合同编写，并经中国证监会注册。基金合同是约定基金合同当事人之间权利、义务的法律文件。本基金投资者自依基金合同取得基金份额，即成为本基金基金份额持有人和基金合同当事人，其持有本基金基金份额的行为本身即表明其对基金合同的承认和接受，并按照《基金法》、基金合同及其他有关规定享有权利、承担义务。基金投资者欲了解本基金份额持有人的权利和义务，应详细查阅基金合同。</w:t>
      </w:r>
      <w:r>
        <w:rPr>
          <w:rFonts w:ascii="宋体" w:hAnsi="宋体" w:cs="宋体"/>
          <w:kern w:val="0"/>
          <w:sz w:val="24"/>
          <w:szCs w:val="24"/>
        </w:rPr>
        <w:br w:type="page"/>
      </w:r>
    </w:p>
    <w:p w14:paraId="75D2C999" w14:textId="77777777" w:rsidR="009D63C8" w:rsidRDefault="00B67EDE" w:rsidP="009E26D0">
      <w:pPr>
        <w:pStyle w:val="1"/>
        <w:spacing w:before="0" w:after="0"/>
        <w:jc w:val="center"/>
        <w:rPr>
          <w:rFonts w:ascii="Times New Roman"/>
          <w:color w:val="auto"/>
          <w:sz w:val="30"/>
        </w:rPr>
      </w:pPr>
      <w:bookmarkStart w:id="30" w:name="_Toc256000001"/>
      <w:r w:rsidRPr="009E26D0">
        <w:rPr>
          <w:rFonts w:ascii="Times New Roman"/>
          <w:noProof/>
          <w:color w:val="auto"/>
          <w:sz w:val="30"/>
        </w:rPr>
        <w:lastRenderedPageBreak/>
        <w:t>第二部分</w:t>
      </w:r>
      <w:r w:rsidRPr="009E26D0">
        <w:rPr>
          <w:rFonts w:ascii="Times New Roman"/>
          <w:noProof/>
          <w:color w:val="auto"/>
          <w:sz w:val="30"/>
        </w:rPr>
        <w:t xml:space="preserve">  </w:t>
      </w:r>
      <w:r w:rsidRPr="009E26D0">
        <w:rPr>
          <w:rFonts w:ascii="Times New Roman"/>
          <w:noProof/>
          <w:color w:val="auto"/>
          <w:sz w:val="30"/>
        </w:rPr>
        <w:t>释义</w:t>
      </w:r>
      <w:bookmarkEnd w:id="30"/>
    </w:p>
    <w:p w14:paraId="328CF688" w14:textId="77777777" w:rsidR="007A2B34" w:rsidRPr="0017353E" w:rsidRDefault="007A2B34" w:rsidP="0090469D"/>
    <w:p w14:paraId="64DA944C"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在本招募说明书中，除非文意另有所指，下列词语或简称具有如下含义：</w:t>
      </w:r>
    </w:p>
    <w:p w14:paraId="30782018"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1、基金或本基金：指汇添富金融优选混合型发起式证券投资基金</w:t>
      </w:r>
    </w:p>
    <w:p w14:paraId="0B74158F"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2、基金管理人：指汇添富基金管理股份有限公司</w:t>
      </w:r>
    </w:p>
    <w:p w14:paraId="7F6BC472"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3、基金托管人：指中国农业银行股份有限公司</w:t>
      </w:r>
    </w:p>
    <w:p w14:paraId="645C3DC7"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4、基金合同：指《汇添富金融优选混合型发起式证券投资基金基金合同》及对基金合同的任何有效修订和补充</w:t>
      </w:r>
    </w:p>
    <w:p w14:paraId="41BAD894"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5、托管协议：指基金管理人与基金托管人就本基金签订之《汇添富金融优选混合型发起式证券投资基金托管协议》及对该托管协议的任何有效修订和补充</w:t>
      </w:r>
    </w:p>
    <w:p w14:paraId="38138513"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6、招募说明书或本招募说明书：指《汇添富金融优选混合型发起式证券投资基金招募说明书》及其更新</w:t>
      </w:r>
    </w:p>
    <w:p w14:paraId="5FE5058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7、基金产品资料概要：指《汇添富金融优选混合型发起式证券投资基金基金产品资料概要》及其更新</w:t>
      </w:r>
    </w:p>
    <w:p w14:paraId="70125E9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8、基金份额发售公告：指《汇添富金融优选混合型发起式证券投资基金基金份额发售公告》</w:t>
      </w:r>
    </w:p>
    <w:p w14:paraId="0BC3B06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9、法律法规：指中国现行有效并公布实施的法律、行政法规、规范性文件、司法解释、行政规章以及其他对基金合同当事人有约束力的决定、决议、通知等</w:t>
      </w:r>
    </w:p>
    <w:p w14:paraId="6D54434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54A4DF8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11、《销售办法》：指中国证监会2020年8月28日颁布、同年10月1日实施的《公开募集证券投资基金销售机构监督管理办法》及颁布机关对其不时做出的修订</w:t>
      </w:r>
    </w:p>
    <w:p w14:paraId="5420A38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12、《信息披露办法》：指中国证监会2019年7月26日颁布、同年9月1</w:t>
      </w:r>
      <w:r>
        <w:rPr>
          <w:rFonts w:ascii="宋体" w:hAnsi="宋体" w:cs="宋体"/>
          <w:kern w:val="0"/>
          <w:sz w:val="24"/>
          <w:szCs w:val="24"/>
        </w:rPr>
        <w:lastRenderedPageBreak/>
        <w:t>日实施的，并经2020年3月20日中国证监会《关于修改部分证券期货规章的决定》修正的《公开募集证券投资基金信息披露管理办法》及颁布机关对其不时做出的修订</w:t>
      </w:r>
    </w:p>
    <w:p w14:paraId="032F19B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13、《运作办法》：指中国证监会2014年7月7日颁布、同年8月8日实施的《公开募集证券投资基金运作管理办法》及颁布机关对其不时做出的修订</w:t>
      </w:r>
    </w:p>
    <w:p w14:paraId="40FA2B8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14、《流动性风险管理规定》：指中国证监会2017年8月31日颁布、同年10月1日实施的《公开募集开放式证券投资基金流动性风险管理规定》及颁布机关对其不时做出的修订</w:t>
      </w:r>
    </w:p>
    <w:p w14:paraId="58643CF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15、中国证监会：指中国证券监督管理委员会</w:t>
      </w:r>
    </w:p>
    <w:p w14:paraId="1883FB0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16、银行业监督管理机构：指中国人民银行和/或国家金融监督管理总局</w:t>
      </w:r>
    </w:p>
    <w:p w14:paraId="1A41AB2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17、基金合同当事人：指受基金合同约束，根据基金合同享有权利并承担义务的法律主体，包括基金管理人、基金托管人和基金份额持有人</w:t>
      </w:r>
    </w:p>
    <w:p w14:paraId="644F19A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18、个人投资者：指依据有关法律法规规定可投资于证券投资基金的自然人</w:t>
      </w:r>
    </w:p>
    <w:p w14:paraId="499827D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19、机构投资者：指依法可以投资证券投资基金的、在中华人民共和国境内合法登记并存续或经有关政府部门批准设立并存续的企业法人、事业法人、社会团体或其他组织</w:t>
      </w:r>
    </w:p>
    <w:p w14:paraId="6D3DF6F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20、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7D39407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21、投资人、投资者：指个人投资者、机构投资者、合格境外投资者、发起资金提供方以及法律法规或中国证监会允许购买证券投资基金的其他投资人的合称</w:t>
      </w:r>
    </w:p>
    <w:p w14:paraId="186B1F7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22、基金份额持有人：指依基金合同和招募说明书合法取得基金份额的投资人</w:t>
      </w:r>
    </w:p>
    <w:p w14:paraId="60A343B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23、基金销售业务：指基金管理人或销售机构宣传推介基金，发售基金份额，办理基金份额的申购、赎回、转换、转托管及定期定额投资等业务</w:t>
      </w:r>
    </w:p>
    <w:p w14:paraId="726AA13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24、销售机构：指汇添富基金管理股份有限公司以及符合《销售办法》和中国证监会规定的其他条件，取得基金销售业务资格并与基金管理人签订了基金销</w:t>
      </w:r>
      <w:r>
        <w:rPr>
          <w:rFonts w:ascii="宋体" w:hAnsi="宋体" w:cs="宋体"/>
          <w:kern w:val="0"/>
          <w:sz w:val="24"/>
          <w:szCs w:val="24"/>
        </w:rPr>
        <w:lastRenderedPageBreak/>
        <w:t>售服务协议，办理基金销售业务的机构</w:t>
      </w:r>
    </w:p>
    <w:p w14:paraId="7FB8C3D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25、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6E3D830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26、登记机构：指办理登记业务的机构。基金的登记机构为汇添富基金管理股份有限公司或接受汇添富基金管理股份有限公司委托代为办理登记业务的机构</w:t>
      </w:r>
    </w:p>
    <w:p w14:paraId="48D90D8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27、基金账户：指登记机构为投资人开立的、记录其持有的、基金管理人所管理的基金份额余额及其变动情况的账户</w:t>
      </w:r>
    </w:p>
    <w:p w14:paraId="49E9718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28、基金交易账户：指销售机构为投资人开立的、记录投资人通过该销售机构办理认购、申购、赎回、转换、转托管及定期定额投资等业务而引起的基金份额变动及结余情况的账户</w:t>
      </w:r>
    </w:p>
    <w:p w14:paraId="1BB50E5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29、基金合同生效日：指基金募集达到法律法规规定及基金合同规定的条件，基金管理人向中国证监会办理基金备案手续完毕，并获得中国证监会书面确认的日期</w:t>
      </w:r>
    </w:p>
    <w:p w14:paraId="0BF36E8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30、基金合同终止日：指基金合同规定的基金合同终止事由出现后，基金财产清算完毕，清算结果报中国证监会备案并予以公告的日期</w:t>
      </w:r>
    </w:p>
    <w:p w14:paraId="14E40BD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31、基金募集期：指自基金份额发售之日起至发售结束之日止的期间，最长不得超过3个月</w:t>
      </w:r>
    </w:p>
    <w:p w14:paraId="0BA7B01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32、存续期：指基金合同生效至终止之间的不定期期限</w:t>
      </w:r>
    </w:p>
    <w:p w14:paraId="3B1B52E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33、工作日：指上海证券交易所、深圳证券交易所的正常交易日</w:t>
      </w:r>
    </w:p>
    <w:p w14:paraId="224814A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34、T日：指销售机构在规定时间受理投资人申购、赎回或其他业务申请的开放日</w:t>
      </w:r>
    </w:p>
    <w:p w14:paraId="424D0F0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35、T+n日：指自T日起第n个工作日(不包含T日)</w:t>
      </w:r>
    </w:p>
    <w:p w14:paraId="2145660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36、开放日：指为投资人办理基金份额申购、赎回或其他业务的工作日（如遇香港联合交易所法定节假日或因其他原因暂停营业或港股通暂停交易的情形，基金管理人有权暂停办理基金份额的申购和赎回业务）</w:t>
      </w:r>
    </w:p>
    <w:p w14:paraId="7E677A5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37、开放时间：指开放日基金接受申购、赎回或其他交易的时间段</w:t>
      </w:r>
    </w:p>
    <w:p w14:paraId="62CC97F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38、《业务规则》：指《汇添富基金管理股份有限公司开放式基金业务规则》，</w:t>
      </w:r>
      <w:r>
        <w:rPr>
          <w:rFonts w:ascii="宋体" w:hAnsi="宋体" w:cs="宋体"/>
          <w:kern w:val="0"/>
          <w:sz w:val="24"/>
          <w:szCs w:val="24"/>
        </w:rPr>
        <w:lastRenderedPageBreak/>
        <w:t>是规范基金管理人所管理的开放式证券投资基金登记方面的业务规则，由基金管理人和投资人共同遵守</w:t>
      </w:r>
    </w:p>
    <w:p w14:paraId="5DEDF80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39、认购：指在基金募集期内，投资人根据基金合同和招募说明书的规定申请购买基金份额的行为</w:t>
      </w:r>
    </w:p>
    <w:p w14:paraId="0D50171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40、申购：指基金合同生效后，投资人根据基金合同和招募说明书的规定申请购买基金份额的行为</w:t>
      </w:r>
    </w:p>
    <w:p w14:paraId="5492368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41、赎回：指基金合同生效后，基金份额持有人按基金合同和招募说明书规定的条件要求将基金份额兑换为现金的行为</w:t>
      </w:r>
    </w:p>
    <w:p w14:paraId="0841BD59" w14:textId="533F5C4C"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42</w:t>
      </w:r>
      <w:r w:rsidR="00C1095B">
        <w:rPr>
          <w:rFonts w:ascii="宋体" w:hAnsi="宋体" w:cs="宋体"/>
          <w:kern w:val="0"/>
          <w:sz w:val="24"/>
          <w:szCs w:val="24"/>
        </w:rPr>
        <w:t>、基金转换：指基金份额持有人按照</w:t>
      </w:r>
      <w:r>
        <w:rPr>
          <w:rFonts w:ascii="宋体" w:hAnsi="宋体" w:cs="宋体"/>
          <w:kern w:val="0"/>
          <w:sz w:val="24"/>
          <w:szCs w:val="24"/>
        </w:rPr>
        <w:t>基金合同和基金管理人届时有效公告规定的条件，申请将其持有基金管理人管理的、某一基金的基金份额转换为基金管理人管理的该基金其他基金份额或其他基金基金份额的行为</w:t>
      </w:r>
    </w:p>
    <w:p w14:paraId="5D09A19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43、转托管：指基金份额持有人在本基金的不同销售机构之间实施的变更所持基金份额销售机构的操作</w:t>
      </w:r>
    </w:p>
    <w:p w14:paraId="55885E9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44、定期定额投资计划：指投资人通过有关销售机构提出申请，约定每期申购日、扣款金额及扣款方式，由销售机构于每期约定扣款日在投资人指定银行账户内自动完成扣款及受理基金申购申请的一种投资方式</w:t>
      </w:r>
    </w:p>
    <w:p w14:paraId="6BA2A18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45、巨额赎回：指本基金单个开放日，基金净赎回申请（赎回申请份额总数加上基金转换中转出申请份额总数后扣除申购申请份额总数及基金转换中转入申请份额总数后的余额，不同类别份额合并计算）超过上一开放日基金总份额的10%</w:t>
      </w:r>
    </w:p>
    <w:p w14:paraId="591C630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46、元：指人民币元</w:t>
      </w:r>
    </w:p>
    <w:p w14:paraId="310F13F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47、基金收益：指基金投资所得红利、股息、债券利息、买卖证券价差、银行存款利息、已实现的其他合法收入及因运用基金财产带来的成本和费用的节约</w:t>
      </w:r>
    </w:p>
    <w:p w14:paraId="2A7E25E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48、基金资产总值：指基金拥有的各类有价证券及票据价值、银行存款本息、基金应收申购款及其他资产的价值总和</w:t>
      </w:r>
    </w:p>
    <w:p w14:paraId="4480DEB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49、基金资产净值：指基金资产总值减去基金负债后的价值</w:t>
      </w:r>
    </w:p>
    <w:p w14:paraId="1EECFD7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50、基金份额净值：指计算日基金资产净值除以计算日基金份额总数</w:t>
      </w:r>
    </w:p>
    <w:p w14:paraId="04C519D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51、基金资产估值：指计算评估基金资产和负债的价值，以确定基金资产净值和基金份额净值的过程</w:t>
      </w:r>
    </w:p>
    <w:p w14:paraId="187D5C3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52、规定媒介：指符合中国证监会规定条件的用以进行信息披露的全国性报刊及《信息披露办法》规定的互联网网站（包括基金管理人网站、基金托管人网站、中国证监会基金电子披露网站）等媒介</w:t>
      </w:r>
    </w:p>
    <w:p w14:paraId="1C47A7A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53、基金份额类别：根据认购/申购费用、销售服务费收取方式等事项的不同，将基金份额分为不同的类别，各基金份额类别分别设置代码、计算并公告基金份额净值和基金份额累计净值</w:t>
      </w:r>
    </w:p>
    <w:p w14:paraId="03F6E326" w14:textId="38FDE23D"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54、A类基金份额：指在投资者</w:t>
      </w:r>
      <w:r w:rsidR="002F4B13">
        <w:rPr>
          <w:rFonts w:ascii="宋体" w:hAnsi="宋体" w:cs="宋体"/>
          <w:kern w:val="0"/>
          <w:sz w:val="24"/>
          <w:szCs w:val="24"/>
        </w:rPr>
        <w:t>通过直销机构以外的其他销售机构</w:t>
      </w:r>
      <w:r>
        <w:rPr>
          <w:rFonts w:ascii="宋体" w:hAnsi="宋体" w:cs="宋体"/>
          <w:kern w:val="0"/>
          <w:sz w:val="24"/>
          <w:szCs w:val="24"/>
        </w:rPr>
        <w:t>认购、申购时收取认购、申购费用，在赎回时根据持有期限收取赎回费用，但不从本类别基金财产中计提销售服务费的基金份额</w:t>
      </w:r>
      <w:r w:rsidR="002F4B13">
        <w:rPr>
          <w:rFonts w:ascii="宋体" w:hAnsi="宋体" w:cs="宋体"/>
          <w:kern w:val="0"/>
          <w:sz w:val="24"/>
          <w:szCs w:val="24"/>
        </w:rPr>
        <w:t>；投资者通过直销机构认购/申购A类基金份额时不收取认购/申购费用</w:t>
      </w:r>
    </w:p>
    <w:p w14:paraId="3174CE7F" w14:textId="69BF1248"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55、C类基金份额：指从</w:t>
      </w:r>
      <w:r w:rsidR="002F4B13">
        <w:rPr>
          <w:rFonts w:ascii="宋体" w:hAnsi="宋体" w:cs="宋体"/>
          <w:kern w:val="0"/>
          <w:sz w:val="24"/>
          <w:szCs w:val="24"/>
        </w:rPr>
        <w:t>直销机构以外的其他销售机构保有的</w:t>
      </w:r>
      <w:r>
        <w:rPr>
          <w:rFonts w:ascii="宋体" w:hAnsi="宋体" w:cs="宋体"/>
          <w:kern w:val="0"/>
          <w:sz w:val="24"/>
          <w:szCs w:val="24"/>
        </w:rPr>
        <w:t>本类别基金财产中计提销售服务费而不收取认购、申购费用，在赎回时根据持有期限收取赎回费用的基金份额</w:t>
      </w:r>
      <w:r w:rsidR="002F4B13">
        <w:rPr>
          <w:rFonts w:ascii="宋体" w:hAnsi="宋体" w:cs="宋体"/>
          <w:kern w:val="0"/>
          <w:sz w:val="24"/>
          <w:szCs w:val="24"/>
        </w:rPr>
        <w:t>，其中对于投资者通过直销机构认购/申购的C类基金份额所计提的销售服务费或者通过其他销售机构认购/申购且持续持有期限超过一年（即365天）以后继续计提的C类基金份额销售服务费，将在投资者赎回相应基金份额或基金合同终止时随赎回款或清算款一并返还给投资者</w:t>
      </w:r>
    </w:p>
    <w:p w14:paraId="69229F9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56、销售服务费：指从基金财产中计提的，用于本基金市场推广、销售以及基金份额持有人服务的费用</w:t>
      </w:r>
    </w:p>
    <w:p w14:paraId="70528D8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14:paraId="2A0C23B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58、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如未来法律法规变动，基金管理人在履行适当程序后，</w:t>
      </w:r>
      <w:r>
        <w:rPr>
          <w:rFonts w:ascii="宋体" w:hAnsi="宋体" w:cs="宋体"/>
          <w:kern w:val="0"/>
          <w:sz w:val="24"/>
          <w:szCs w:val="24"/>
        </w:rPr>
        <w:lastRenderedPageBreak/>
        <w:t>可对前述摆动定价机制的定义进行调整</w:t>
      </w:r>
    </w:p>
    <w:p w14:paraId="2EC2519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59、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6FC0ACE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60、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4DB4EED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61、港股通标的股票：指内地投资者委托内地证券公司，经由内地证券交易所设立的证券交易服务公司，向香港联合交易所进行申报，买卖规定范围内的香港联合交易所上市的股票</w:t>
      </w:r>
    </w:p>
    <w:p w14:paraId="313C2D8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62、信用衍生品：指符合证券交易所或银行间市场相关业务规则，专门用于管理信用风险的信用衍生工具</w:t>
      </w:r>
    </w:p>
    <w:p w14:paraId="6CABC2C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63、信用保护买方：亦称信用保护购买方，指接受信用风险保护的一方</w:t>
      </w:r>
    </w:p>
    <w:p w14:paraId="145C164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64、信用保护卖方：亦称信用保护提供方，指提供信用风险保护的一方</w:t>
      </w:r>
    </w:p>
    <w:p w14:paraId="2BCE538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65、名义本金：亦称交易名义本金，指为一笔信用衍生品交易提供信用风险保护的金额，各项支付和结算以此金额为计算基准</w:t>
      </w:r>
    </w:p>
    <w:p w14:paraId="2566C69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66、发起式基金：指符合中国证监会有关规定，由基金管理人、基金管理人股东、基金管理人高级管理人员或基金经理（指基金管理人员工中依法具有基金经理资格者，包括但可能不限于本基金的基金经理，同时也可以包括基金经理之外公司投研人员，下同）等人员承诺认购一定金额并持有一定期限的证券投资基金</w:t>
      </w:r>
    </w:p>
    <w:p w14:paraId="72DE892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67、发起资金：指用于认购发起式基金且来源于基金管理人的股东资金、基金管理人固有资金、基金管理人高级管理人员或基金经理等人员的资金</w:t>
      </w:r>
    </w:p>
    <w:p w14:paraId="5E41146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68、发起资金提供方：指以发起资金认购本基金且承诺以发起资金认购的基金份额持有期限不少于三年的基金管理人的股东、基金管理人、基金管理人高级管理人员或基金经理等人员</w:t>
      </w:r>
    </w:p>
    <w:p w14:paraId="01B9A9B0" w14:textId="55D3195C"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69</w:t>
      </w:r>
      <w:r w:rsidR="00C1095B">
        <w:rPr>
          <w:rFonts w:ascii="宋体" w:hAnsi="宋体" w:cs="宋体"/>
          <w:kern w:val="0"/>
          <w:sz w:val="24"/>
          <w:szCs w:val="24"/>
        </w:rPr>
        <w:t>、不可抗力：指</w:t>
      </w:r>
      <w:r>
        <w:rPr>
          <w:rFonts w:ascii="宋体" w:hAnsi="宋体" w:cs="宋体"/>
          <w:kern w:val="0"/>
          <w:sz w:val="24"/>
          <w:szCs w:val="24"/>
        </w:rPr>
        <w:t>基金合同当事人不能预见、不能避免且不能克服的客观事</w:t>
      </w:r>
      <w:r>
        <w:rPr>
          <w:rFonts w:ascii="宋体" w:hAnsi="宋体" w:cs="宋体"/>
          <w:kern w:val="0"/>
          <w:sz w:val="24"/>
          <w:szCs w:val="24"/>
        </w:rPr>
        <w:lastRenderedPageBreak/>
        <w:t>件</w:t>
      </w:r>
      <w:r>
        <w:rPr>
          <w:rFonts w:ascii="宋体" w:hAnsi="宋体" w:cs="宋体"/>
          <w:kern w:val="0"/>
          <w:sz w:val="24"/>
          <w:szCs w:val="24"/>
        </w:rPr>
        <w:br w:type="page"/>
      </w:r>
    </w:p>
    <w:p w14:paraId="4AAF83BA" w14:textId="77777777" w:rsidR="009D63C8" w:rsidRDefault="00B67EDE" w:rsidP="009E26D0">
      <w:pPr>
        <w:pStyle w:val="1"/>
        <w:spacing w:before="0" w:after="0"/>
        <w:jc w:val="center"/>
        <w:rPr>
          <w:rFonts w:ascii="Times New Roman"/>
          <w:color w:val="auto"/>
          <w:sz w:val="30"/>
        </w:rPr>
      </w:pPr>
      <w:bookmarkStart w:id="31" w:name="_Toc256000002"/>
      <w:r w:rsidRPr="009E26D0">
        <w:rPr>
          <w:rFonts w:ascii="Times New Roman"/>
          <w:noProof/>
          <w:color w:val="auto"/>
          <w:sz w:val="30"/>
        </w:rPr>
        <w:lastRenderedPageBreak/>
        <w:t>第三部分</w:t>
      </w:r>
      <w:r w:rsidRPr="009E26D0">
        <w:rPr>
          <w:rFonts w:ascii="Times New Roman"/>
          <w:noProof/>
          <w:color w:val="auto"/>
          <w:sz w:val="30"/>
        </w:rPr>
        <w:t xml:space="preserve">  </w:t>
      </w:r>
      <w:r w:rsidRPr="009E26D0">
        <w:rPr>
          <w:rFonts w:ascii="Times New Roman"/>
          <w:noProof/>
          <w:color w:val="auto"/>
          <w:sz w:val="30"/>
        </w:rPr>
        <w:t>基金管理人</w:t>
      </w:r>
      <w:bookmarkEnd w:id="31"/>
    </w:p>
    <w:p w14:paraId="4A5D58A7" w14:textId="77777777" w:rsidR="007A2B34" w:rsidRPr="0017353E" w:rsidRDefault="007A2B34" w:rsidP="0090469D"/>
    <w:p w14:paraId="7A1EE697"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一、基金管理人简况</w:t>
      </w:r>
    </w:p>
    <w:p w14:paraId="0E812C97"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名称：汇添富基金管理股份有限公司</w:t>
      </w:r>
    </w:p>
    <w:p w14:paraId="0C98488B"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住所：上海市黄浦区外马路728号9楼</w:t>
      </w:r>
    </w:p>
    <w:p w14:paraId="4923AC00"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办公地址：上海市黄浦区外马路728号</w:t>
      </w:r>
    </w:p>
    <w:p w14:paraId="788A5BFB"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法定代表人：鲁伟铭</w:t>
      </w:r>
    </w:p>
    <w:p w14:paraId="6EF7A02C"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成立时间：2005年2月3日</w:t>
      </w:r>
    </w:p>
    <w:p w14:paraId="2CC898B8"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批准设立机关：中国证监会</w:t>
      </w:r>
    </w:p>
    <w:p w14:paraId="26979181"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批准设立文号：证监基金字[2005]5号</w:t>
      </w:r>
    </w:p>
    <w:p w14:paraId="1FB5C05B"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注册资本：人民币</w:t>
      </w:r>
      <w:r>
        <w:rPr>
          <w:rStyle w:val="custom"/>
          <w:rFonts w:ascii="宋体" w:hAnsi="宋体" w:cs="宋体"/>
          <w:kern w:val="0"/>
          <w:sz w:val="24"/>
          <w:szCs w:val="24"/>
        </w:rPr>
        <w:t>132,724,224</w:t>
      </w:r>
      <w:r>
        <w:rPr>
          <w:rFonts w:ascii="宋体" w:hAnsi="宋体" w:cs="宋体"/>
          <w:kern w:val="0"/>
          <w:sz w:val="24"/>
          <w:szCs w:val="24"/>
        </w:rPr>
        <w:t>元</w:t>
      </w:r>
    </w:p>
    <w:p w14:paraId="1AA12945"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联系人：李鹏</w:t>
      </w:r>
    </w:p>
    <w:p w14:paraId="33B8F71C"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联系电话：（021）28932888</w:t>
      </w:r>
    </w:p>
    <w:p w14:paraId="59ECCC1B"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股东名称及其出资比例：</w:t>
      </w:r>
    </w:p>
    <w:tbl>
      <w:tblPr>
        <w:tblStyle w:val="tableTable"/>
        <w:tblW w:w="500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firstRow="1" w:lastRow="1" w:firstColumn="1" w:lastColumn="1" w:noHBand="0" w:noVBand="1"/>
      </w:tblPr>
      <w:tblGrid>
        <w:gridCol w:w="5621"/>
        <w:gridCol w:w="2665"/>
      </w:tblGrid>
      <w:tr w:rsidR="00AE2B28" w14:paraId="1F05C486" w14:textId="77777777">
        <w:trPr>
          <w:jc w:val="center"/>
        </w:trPr>
        <w:tc>
          <w:tcPr>
            <w:tcW w:w="5389" w:type="dxa"/>
            <w:tcBorders>
              <w:bottom w:val="single" w:sz="6" w:space="0" w:color="000000"/>
              <w:right w:val="single" w:sz="6" w:space="0" w:color="000000"/>
            </w:tcBorders>
            <w:tcMar>
              <w:top w:w="0" w:type="dxa"/>
              <w:left w:w="111" w:type="dxa"/>
              <w:bottom w:w="0" w:type="dxa"/>
              <w:right w:w="108" w:type="dxa"/>
            </w:tcMar>
            <w:hideMark/>
          </w:tcPr>
          <w:p w14:paraId="6C5F06F7" w14:textId="77777777" w:rsidR="00AE2B28" w:rsidRDefault="00B67EDE">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股东名称</w:t>
            </w:r>
          </w:p>
        </w:tc>
        <w:tc>
          <w:tcPr>
            <w:tcW w:w="2555" w:type="dxa"/>
            <w:tcBorders>
              <w:left w:val="single" w:sz="6" w:space="0" w:color="000000"/>
              <w:bottom w:val="single" w:sz="6" w:space="0" w:color="000000"/>
            </w:tcBorders>
            <w:tcMar>
              <w:top w:w="0" w:type="dxa"/>
              <w:left w:w="108" w:type="dxa"/>
              <w:bottom w:w="0" w:type="dxa"/>
              <w:right w:w="111" w:type="dxa"/>
            </w:tcMar>
            <w:hideMark/>
          </w:tcPr>
          <w:p w14:paraId="149B25CC" w14:textId="77777777" w:rsidR="00AE2B28" w:rsidRDefault="00B67EDE">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股权比例</w:t>
            </w:r>
          </w:p>
        </w:tc>
      </w:tr>
      <w:tr w:rsidR="00AE2B28" w14:paraId="5303423E" w14:textId="77777777">
        <w:trPr>
          <w:jc w:val="center"/>
        </w:trPr>
        <w:tc>
          <w:tcPr>
            <w:tcW w:w="5389" w:type="dxa"/>
            <w:tcBorders>
              <w:top w:val="single" w:sz="6" w:space="0" w:color="000000"/>
              <w:bottom w:val="single" w:sz="6" w:space="0" w:color="000000"/>
              <w:right w:val="single" w:sz="6" w:space="0" w:color="000000"/>
            </w:tcBorders>
            <w:tcMar>
              <w:top w:w="0" w:type="dxa"/>
              <w:left w:w="111" w:type="dxa"/>
              <w:bottom w:w="0" w:type="dxa"/>
              <w:right w:w="108" w:type="dxa"/>
            </w:tcMar>
            <w:vAlign w:val="center"/>
            <w:hideMark/>
          </w:tcPr>
          <w:p w14:paraId="3B51121C" w14:textId="77777777" w:rsidR="00AE2B28" w:rsidRDefault="00B67EDE">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东方证券股份有限公司</w:t>
            </w:r>
          </w:p>
        </w:tc>
        <w:tc>
          <w:tcPr>
            <w:tcW w:w="2555" w:type="dxa"/>
            <w:tcBorders>
              <w:top w:val="single" w:sz="6" w:space="0" w:color="000000"/>
              <w:left w:val="single" w:sz="6" w:space="0" w:color="000000"/>
              <w:bottom w:val="single" w:sz="6" w:space="0" w:color="000000"/>
            </w:tcBorders>
            <w:tcMar>
              <w:top w:w="0" w:type="dxa"/>
              <w:left w:w="108" w:type="dxa"/>
              <w:bottom w:w="0" w:type="dxa"/>
              <w:right w:w="111" w:type="dxa"/>
            </w:tcMar>
            <w:vAlign w:val="center"/>
            <w:hideMark/>
          </w:tcPr>
          <w:p w14:paraId="30309650" w14:textId="77777777" w:rsidR="00AE2B28" w:rsidRDefault="00B67EDE">
            <w:pPr>
              <w:pStyle w:val="div"/>
              <w:widowControl/>
              <w:spacing w:line="360" w:lineRule="auto"/>
              <w:jc w:val="center"/>
              <w:rPr>
                <w:rFonts w:eastAsia="Times New Roman"/>
                <w:color w:val="000000"/>
                <w:kern w:val="0"/>
                <w:sz w:val="24"/>
                <w:szCs w:val="24"/>
              </w:rPr>
            </w:pPr>
            <w:r>
              <w:rPr>
                <w:rFonts w:eastAsia="Times New Roman"/>
                <w:color w:val="000000"/>
                <w:kern w:val="0"/>
                <w:sz w:val="24"/>
                <w:szCs w:val="24"/>
              </w:rPr>
              <w:t>35.412%</w:t>
            </w:r>
          </w:p>
        </w:tc>
      </w:tr>
      <w:tr w:rsidR="00AE2B28" w14:paraId="28BD59A0" w14:textId="77777777">
        <w:trPr>
          <w:jc w:val="center"/>
        </w:trPr>
        <w:tc>
          <w:tcPr>
            <w:tcW w:w="5389" w:type="dxa"/>
            <w:tcBorders>
              <w:top w:val="single" w:sz="6" w:space="0" w:color="000000"/>
              <w:bottom w:val="single" w:sz="6" w:space="0" w:color="000000"/>
              <w:right w:val="single" w:sz="6" w:space="0" w:color="000000"/>
            </w:tcBorders>
            <w:tcMar>
              <w:top w:w="0" w:type="dxa"/>
              <w:left w:w="111" w:type="dxa"/>
              <w:bottom w:w="0" w:type="dxa"/>
              <w:right w:w="108" w:type="dxa"/>
            </w:tcMar>
            <w:vAlign w:val="center"/>
            <w:hideMark/>
          </w:tcPr>
          <w:p w14:paraId="3F1133CB" w14:textId="77777777" w:rsidR="00AE2B28" w:rsidRDefault="00B67EDE">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上海菁聚金投资管理合伙企业（有限合伙）</w:t>
            </w:r>
          </w:p>
        </w:tc>
        <w:tc>
          <w:tcPr>
            <w:tcW w:w="2555" w:type="dxa"/>
            <w:tcBorders>
              <w:top w:val="single" w:sz="6" w:space="0" w:color="000000"/>
              <w:left w:val="single" w:sz="6" w:space="0" w:color="000000"/>
              <w:bottom w:val="single" w:sz="6" w:space="0" w:color="000000"/>
            </w:tcBorders>
            <w:tcMar>
              <w:top w:w="0" w:type="dxa"/>
              <w:left w:w="108" w:type="dxa"/>
              <w:bottom w:w="0" w:type="dxa"/>
              <w:right w:w="111" w:type="dxa"/>
            </w:tcMar>
            <w:vAlign w:val="center"/>
            <w:hideMark/>
          </w:tcPr>
          <w:p w14:paraId="11FCC279" w14:textId="77777777" w:rsidR="00AE2B28" w:rsidRDefault="00B67EDE">
            <w:pPr>
              <w:pStyle w:val="div"/>
              <w:widowControl/>
              <w:spacing w:line="360" w:lineRule="auto"/>
              <w:jc w:val="center"/>
              <w:rPr>
                <w:rFonts w:eastAsia="Times New Roman"/>
                <w:color w:val="000000"/>
                <w:kern w:val="0"/>
                <w:sz w:val="24"/>
                <w:szCs w:val="24"/>
              </w:rPr>
            </w:pPr>
            <w:r>
              <w:rPr>
                <w:rFonts w:eastAsia="Times New Roman"/>
                <w:color w:val="000000"/>
                <w:kern w:val="0"/>
                <w:sz w:val="24"/>
                <w:szCs w:val="24"/>
              </w:rPr>
              <w:t>24.656%</w:t>
            </w:r>
          </w:p>
        </w:tc>
      </w:tr>
      <w:tr w:rsidR="00AE2B28" w14:paraId="74F61C58" w14:textId="77777777">
        <w:trPr>
          <w:trHeight w:val="429"/>
          <w:jc w:val="center"/>
        </w:trPr>
        <w:tc>
          <w:tcPr>
            <w:tcW w:w="5389" w:type="dxa"/>
            <w:tcBorders>
              <w:top w:val="single" w:sz="6" w:space="0" w:color="000000"/>
              <w:bottom w:val="single" w:sz="6" w:space="0" w:color="000000"/>
              <w:right w:val="single" w:sz="6" w:space="0" w:color="000000"/>
            </w:tcBorders>
            <w:tcMar>
              <w:top w:w="0" w:type="dxa"/>
              <w:left w:w="111" w:type="dxa"/>
              <w:bottom w:w="0" w:type="dxa"/>
              <w:right w:w="108" w:type="dxa"/>
            </w:tcMar>
            <w:vAlign w:val="center"/>
            <w:hideMark/>
          </w:tcPr>
          <w:p w14:paraId="03241569" w14:textId="77777777" w:rsidR="00AE2B28" w:rsidRDefault="00B67EDE">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上海上报资产管理有限公司</w:t>
            </w:r>
          </w:p>
        </w:tc>
        <w:tc>
          <w:tcPr>
            <w:tcW w:w="2555" w:type="dxa"/>
            <w:tcBorders>
              <w:top w:val="single" w:sz="6" w:space="0" w:color="000000"/>
              <w:left w:val="single" w:sz="6" w:space="0" w:color="000000"/>
              <w:bottom w:val="single" w:sz="6" w:space="0" w:color="000000"/>
            </w:tcBorders>
            <w:tcMar>
              <w:top w:w="0" w:type="dxa"/>
              <w:left w:w="108" w:type="dxa"/>
              <w:bottom w:w="0" w:type="dxa"/>
              <w:right w:w="111" w:type="dxa"/>
            </w:tcMar>
            <w:vAlign w:val="center"/>
            <w:hideMark/>
          </w:tcPr>
          <w:p w14:paraId="1A561F29" w14:textId="77777777" w:rsidR="00AE2B28" w:rsidRDefault="00B67EDE">
            <w:pPr>
              <w:pStyle w:val="div"/>
              <w:widowControl/>
              <w:spacing w:line="360" w:lineRule="auto"/>
              <w:jc w:val="center"/>
              <w:rPr>
                <w:rFonts w:eastAsia="Times New Roman"/>
                <w:color w:val="000000"/>
                <w:kern w:val="0"/>
                <w:sz w:val="24"/>
                <w:szCs w:val="24"/>
              </w:rPr>
            </w:pPr>
            <w:r>
              <w:rPr>
                <w:rFonts w:eastAsia="Times New Roman"/>
                <w:color w:val="000000"/>
                <w:kern w:val="0"/>
                <w:sz w:val="24"/>
                <w:szCs w:val="24"/>
              </w:rPr>
              <w:t>19.966%</w:t>
            </w:r>
          </w:p>
        </w:tc>
      </w:tr>
      <w:tr w:rsidR="00AE2B28" w14:paraId="5101CB44" w14:textId="77777777">
        <w:trPr>
          <w:jc w:val="center"/>
        </w:trPr>
        <w:tc>
          <w:tcPr>
            <w:tcW w:w="5389" w:type="dxa"/>
            <w:tcBorders>
              <w:top w:val="single" w:sz="6" w:space="0" w:color="000000"/>
              <w:bottom w:val="single" w:sz="6" w:space="0" w:color="000000"/>
              <w:right w:val="single" w:sz="6" w:space="0" w:color="000000"/>
            </w:tcBorders>
            <w:tcMar>
              <w:top w:w="0" w:type="dxa"/>
              <w:left w:w="111" w:type="dxa"/>
              <w:bottom w:w="0" w:type="dxa"/>
              <w:right w:w="108" w:type="dxa"/>
            </w:tcMar>
            <w:vAlign w:val="center"/>
            <w:hideMark/>
          </w:tcPr>
          <w:p w14:paraId="20AA5282" w14:textId="77777777" w:rsidR="00AE2B28" w:rsidRDefault="00B67EDE">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东航金控有限责任公司</w:t>
            </w:r>
          </w:p>
        </w:tc>
        <w:tc>
          <w:tcPr>
            <w:tcW w:w="2555" w:type="dxa"/>
            <w:tcBorders>
              <w:top w:val="single" w:sz="6" w:space="0" w:color="000000"/>
              <w:left w:val="single" w:sz="6" w:space="0" w:color="000000"/>
              <w:bottom w:val="single" w:sz="6" w:space="0" w:color="000000"/>
            </w:tcBorders>
            <w:tcMar>
              <w:top w:w="0" w:type="dxa"/>
              <w:left w:w="108" w:type="dxa"/>
              <w:bottom w:w="0" w:type="dxa"/>
              <w:right w:w="111" w:type="dxa"/>
            </w:tcMar>
            <w:vAlign w:val="center"/>
            <w:hideMark/>
          </w:tcPr>
          <w:p w14:paraId="412C067D" w14:textId="77777777" w:rsidR="00AE2B28" w:rsidRDefault="00B67EDE">
            <w:pPr>
              <w:pStyle w:val="div"/>
              <w:widowControl/>
              <w:spacing w:line="360" w:lineRule="auto"/>
              <w:jc w:val="center"/>
              <w:rPr>
                <w:rFonts w:eastAsia="Times New Roman"/>
                <w:color w:val="000000"/>
                <w:kern w:val="0"/>
                <w:sz w:val="24"/>
                <w:szCs w:val="24"/>
              </w:rPr>
            </w:pPr>
            <w:r>
              <w:rPr>
                <w:rFonts w:eastAsia="Times New Roman"/>
                <w:color w:val="000000"/>
                <w:kern w:val="0"/>
                <w:sz w:val="24"/>
                <w:szCs w:val="24"/>
              </w:rPr>
              <w:t>19.966%</w:t>
            </w:r>
          </w:p>
        </w:tc>
      </w:tr>
      <w:tr w:rsidR="00AE2B28" w14:paraId="1A65918C" w14:textId="77777777">
        <w:trPr>
          <w:jc w:val="center"/>
        </w:trPr>
        <w:tc>
          <w:tcPr>
            <w:tcW w:w="5389" w:type="dxa"/>
            <w:tcBorders>
              <w:top w:val="single" w:sz="6" w:space="0" w:color="000000"/>
              <w:right w:val="single" w:sz="6" w:space="0" w:color="000000"/>
            </w:tcBorders>
            <w:tcMar>
              <w:top w:w="0" w:type="dxa"/>
              <w:left w:w="111" w:type="dxa"/>
              <w:bottom w:w="0" w:type="dxa"/>
              <w:right w:w="108" w:type="dxa"/>
            </w:tcMar>
            <w:vAlign w:val="center"/>
            <w:hideMark/>
          </w:tcPr>
          <w:p w14:paraId="4CDFD215" w14:textId="77777777" w:rsidR="00AE2B28" w:rsidRDefault="00B67EDE">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合计</w:t>
            </w:r>
          </w:p>
        </w:tc>
        <w:tc>
          <w:tcPr>
            <w:tcW w:w="2555" w:type="dxa"/>
            <w:tcBorders>
              <w:top w:val="single" w:sz="6" w:space="0" w:color="000000"/>
              <w:left w:val="single" w:sz="6" w:space="0" w:color="000000"/>
            </w:tcBorders>
            <w:tcMar>
              <w:top w:w="0" w:type="dxa"/>
              <w:left w:w="108" w:type="dxa"/>
              <w:bottom w:w="0" w:type="dxa"/>
              <w:right w:w="111" w:type="dxa"/>
            </w:tcMar>
            <w:vAlign w:val="center"/>
            <w:hideMark/>
          </w:tcPr>
          <w:p w14:paraId="418B5C6D" w14:textId="77777777" w:rsidR="00AE2B28" w:rsidRDefault="00B67EDE">
            <w:pPr>
              <w:pStyle w:val="div"/>
              <w:widowControl/>
              <w:spacing w:line="360" w:lineRule="auto"/>
              <w:jc w:val="center"/>
              <w:rPr>
                <w:rFonts w:eastAsia="Times New Roman"/>
                <w:color w:val="000000"/>
                <w:kern w:val="0"/>
                <w:sz w:val="24"/>
                <w:szCs w:val="24"/>
              </w:rPr>
            </w:pPr>
            <w:r>
              <w:rPr>
                <w:rFonts w:eastAsia="Times New Roman"/>
                <w:color w:val="000000"/>
                <w:kern w:val="0"/>
                <w:sz w:val="24"/>
                <w:szCs w:val="24"/>
              </w:rPr>
              <w:t>100%</w:t>
            </w:r>
          </w:p>
        </w:tc>
      </w:tr>
    </w:tbl>
    <w:p w14:paraId="458D7A6E" w14:textId="77777777" w:rsidR="00AE2B28" w:rsidRDefault="00B67EDE">
      <w:pPr>
        <w:pStyle w:val="div"/>
        <w:spacing w:line="360" w:lineRule="auto"/>
        <w:ind w:firstLine="480"/>
        <w:jc w:val="left"/>
        <w:rPr>
          <w:rFonts w:eastAsia="Times New Roman"/>
          <w:kern w:val="0"/>
          <w:sz w:val="24"/>
          <w:szCs w:val="24"/>
        </w:rPr>
      </w:pPr>
      <w:r>
        <w:rPr>
          <w:rFonts w:ascii="宋体" w:hAnsi="宋体" w:cs="宋体"/>
          <w:kern w:val="0"/>
          <w:sz w:val="24"/>
          <w:szCs w:val="24"/>
        </w:rPr>
        <w:t>二、主要人员情况</w:t>
      </w:r>
    </w:p>
    <w:p w14:paraId="5F9EAE3E" w14:textId="77777777" w:rsidR="00AE2B28" w:rsidRDefault="00B67EDE">
      <w:pPr>
        <w:pStyle w:val="div"/>
        <w:spacing w:line="360" w:lineRule="auto"/>
        <w:ind w:firstLine="480"/>
        <w:jc w:val="left"/>
        <w:rPr>
          <w:rFonts w:eastAsia="Times New Roman"/>
          <w:kern w:val="0"/>
          <w:sz w:val="24"/>
          <w:szCs w:val="24"/>
        </w:rPr>
      </w:pPr>
      <w:r>
        <w:rPr>
          <w:rFonts w:ascii="宋体" w:hAnsi="宋体" w:cs="宋体"/>
          <w:kern w:val="0"/>
          <w:sz w:val="24"/>
          <w:szCs w:val="24"/>
        </w:rPr>
        <w:t>1、董事会成员</w:t>
      </w:r>
    </w:p>
    <w:p w14:paraId="707F07F8" w14:textId="77777777" w:rsidR="00AF7BFE" w:rsidRPr="00AF7BFE" w:rsidRDefault="00AF7BFE" w:rsidP="00AF7BFE">
      <w:pPr>
        <w:pStyle w:val="div"/>
        <w:spacing w:line="360" w:lineRule="auto"/>
        <w:ind w:firstLine="480"/>
        <w:jc w:val="left"/>
        <w:rPr>
          <w:rFonts w:ascii="宋体" w:hAnsi="宋体" w:cs="宋体"/>
          <w:kern w:val="0"/>
          <w:sz w:val="24"/>
          <w:szCs w:val="24"/>
        </w:rPr>
      </w:pPr>
      <w:bookmarkStart w:id="32" w:name="OLE_LINK2"/>
      <w:r w:rsidRPr="00AF7BFE">
        <w:rPr>
          <w:rFonts w:ascii="宋体" w:hAnsi="宋体" w:cs="宋体" w:hint="eastAsia"/>
          <w:kern w:val="0"/>
          <w:sz w:val="24"/>
          <w:szCs w:val="24"/>
        </w:rPr>
        <w:t>鲁伟铭先生，国籍：中国，经济学硕士。现任东方证券股份有限公司副董事长、执行董事，汇添富基金管理股份有限公司党委书记、董事长。历任中国国泰证券有限公司交易部业务员、交易部经营处项目经理；东方证券股份有限公司交易总部证券投资部职员、副总经理，证券投资业务总部高级投资经理，固定收益业务总部总经理助理、副总经理、副总经理（主持工作）、总经理，金融衍生品业务总部总经理，总裁助理、副总裁、党委副书记、总裁等职务。</w:t>
      </w:r>
    </w:p>
    <w:p w14:paraId="5461B868" w14:textId="77777777" w:rsidR="00AF7BFE" w:rsidRPr="00AF7BFE" w:rsidRDefault="00AF7BFE" w:rsidP="00AF7BFE">
      <w:pPr>
        <w:pStyle w:val="div"/>
        <w:spacing w:line="360" w:lineRule="auto"/>
        <w:ind w:firstLine="480"/>
        <w:jc w:val="left"/>
        <w:rPr>
          <w:rFonts w:ascii="宋体" w:hAnsi="宋体" w:cs="宋体"/>
          <w:kern w:val="0"/>
          <w:sz w:val="24"/>
          <w:szCs w:val="24"/>
        </w:rPr>
      </w:pPr>
      <w:r w:rsidRPr="00AF7BFE">
        <w:rPr>
          <w:rFonts w:ascii="宋体" w:hAnsi="宋体" w:cs="宋体" w:hint="eastAsia"/>
          <w:kern w:val="0"/>
          <w:sz w:val="24"/>
          <w:szCs w:val="24"/>
        </w:rPr>
        <w:t>李芸女士，国籍：中国，经济学硕士，高级编辑。历任上海第四师范学校</w:t>
      </w:r>
      <w:r w:rsidRPr="00AF7BFE">
        <w:rPr>
          <w:rFonts w:ascii="宋体" w:hAnsi="宋体" w:cs="宋体" w:hint="eastAsia"/>
          <w:kern w:val="0"/>
          <w:sz w:val="24"/>
          <w:szCs w:val="24"/>
        </w:rPr>
        <w:lastRenderedPageBreak/>
        <w:t>团委书记、教师；共青团卢湾区委学校部副部长、部长、副书记，卢湾区妇女联合会副主任，卢湾区委办公室副主任，卢湾区五里桥街道党工委书记，卢湾区委常委、宣传部部长；闵行区委常委、宣传部部长；解放日报报业集团党委副书记、纪委书记，解放日报党委书记；上海报业集团党委副书记，解放日报社党委书记、社长，上海报业集团党委书记、社长。其他兼任职务包括上海众源资本管理有限公司董事长，东方证券股份有限公司董事。</w:t>
      </w:r>
    </w:p>
    <w:p w14:paraId="43EC4107" w14:textId="77777777" w:rsidR="00AF7BFE" w:rsidRPr="00AF7BFE" w:rsidRDefault="00AF7BFE" w:rsidP="00AF7BFE">
      <w:pPr>
        <w:pStyle w:val="div"/>
        <w:spacing w:line="360" w:lineRule="auto"/>
        <w:ind w:firstLine="480"/>
        <w:jc w:val="left"/>
        <w:rPr>
          <w:rFonts w:ascii="宋体" w:hAnsi="宋体" w:cs="宋体"/>
          <w:kern w:val="0"/>
          <w:sz w:val="24"/>
          <w:szCs w:val="24"/>
        </w:rPr>
      </w:pPr>
      <w:r w:rsidRPr="00AF7BFE">
        <w:rPr>
          <w:rFonts w:ascii="宋体" w:hAnsi="宋体" w:cs="宋体" w:hint="eastAsia"/>
          <w:kern w:val="0"/>
          <w:sz w:val="24"/>
          <w:szCs w:val="24"/>
        </w:rPr>
        <w:t>毛海东先生，国籍：中国，经济学硕士。现任东航私募基金管理有限公司董事长、党支部书记、总经理，东航国际控股（香港）有限公司董事，东航国际金融（香港）有限公司董事。历任东航期货有限责任公司总经理、董事长、党总支书记，东航金控有限责任公司财富管理中心总经理、总经理助理，汇添富基金管理股份有限公司监事、监事会主席，曾任职于东航集团财务有限责任公司等。</w:t>
      </w:r>
    </w:p>
    <w:p w14:paraId="59877BD0" w14:textId="77777777" w:rsidR="00AF7BFE" w:rsidRPr="00AF7BFE" w:rsidRDefault="00AF7BFE" w:rsidP="00AF7BFE">
      <w:pPr>
        <w:pStyle w:val="div"/>
        <w:spacing w:line="360" w:lineRule="auto"/>
        <w:ind w:firstLine="480"/>
        <w:jc w:val="left"/>
        <w:rPr>
          <w:rFonts w:ascii="宋体" w:hAnsi="宋体" w:cs="宋体"/>
          <w:kern w:val="0"/>
          <w:sz w:val="24"/>
          <w:szCs w:val="24"/>
        </w:rPr>
      </w:pPr>
      <w:r w:rsidRPr="00AF7BFE">
        <w:rPr>
          <w:rFonts w:ascii="宋体" w:hAnsi="宋体" w:cs="宋体" w:hint="eastAsia"/>
          <w:kern w:val="0"/>
          <w:sz w:val="24"/>
          <w:szCs w:val="24"/>
        </w:rPr>
        <w:t>张晖先生，国籍：中国，经济学硕士。现任汇添富基金管理股份有限公司总经理，汇添富资本管理有限公司董事长，汇添富资产管理（香港）有限公司董事长。历任申银万国证券研究所高级分析师，富国基金管理有限公司高级分析师、研究主管和基金经理，汇添富基金管理股份有限公司副总经理、投资总监，曾担任中国证券监督管理委员会第十届和第十一届发行审核委员会委员。</w:t>
      </w:r>
    </w:p>
    <w:p w14:paraId="3DA5C556" w14:textId="77777777" w:rsidR="00AF7BFE" w:rsidRPr="00AF7BFE" w:rsidRDefault="00AF7BFE" w:rsidP="00AF7BFE">
      <w:pPr>
        <w:pStyle w:val="div"/>
        <w:spacing w:line="360" w:lineRule="auto"/>
        <w:ind w:firstLine="480"/>
        <w:jc w:val="left"/>
        <w:rPr>
          <w:rFonts w:ascii="宋体" w:hAnsi="宋体" w:cs="宋体"/>
          <w:kern w:val="0"/>
          <w:sz w:val="24"/>
          <w:szCs w:val="24"/>
        </w:rPr>
      </w:pPr>
      <w:r w:rsidRPr="00AF7BFE">
        <w:rPr>
          <w:rFonts w:ascii="宋体" w:hAnsi="宋体" w:cs="宋体" w:hint="eastAsia"/>
          <w:kern w:val="0"/>
          <w:sz w:val="24"/>
          <w:szCs w:val="24"/>
        </w:rPr>
        <w:t>魏尚进先生，国籍：美国，经济学博士。现任哥伦比亚大学商学院金融学与经济学系终身讲席教授、复旦国际金融学院学术访问教授、美国国民经济研究局国际金融与宏观经济项目研究员及中国经济研究组主任、深圳高等金融研究院国际顾问委员会委员、清华大学五道口金融学院国际顾问委员会委员、对外经贸大学全球价值链研究院顾问、香港金融管理局金融研究院国际顾问委员会委员。曾任亚洲开发银行首位华人首席经济学家、哈佛大学肯尼迪政府学院副教授、美国布鲁金斯学会高级研究员、国际货币基金组织贸易与投资研究主管、世界银行顾问等。</w:t>
      </w:r>
    </w:p>
    <w:p w14:paraId="1B9047DD" w14:textId="77777777" w:rsidR="00AF7BFE" w:rsidRPr="00AF7BFE" w:rsidRDefault="00AF7BFE" w:rsidP="00AF7BFE">
      <w:pPr>
        <w:pStyle w:val="div"/>
        <w:spacing w:line="360" w:lineRule="auto"/>
        <w:ind w:firstLine="480"/>
        <w:jc w:val="left"/>
        <w:rPr>
          <w:rFonts w:ascii="宋体" w:hAnsi="宋体" w:cs="宋体"/>
          <w:kern w:val="0"/>
          <w:sz w:val="24"/>
          <w:szCs w:val="24"/>
        </w:rPr>
      </w:pPr>
      <w:r w:rsidRPr="00AF7BFE">
        <w:rPr>
          <w:rFonts w:ascii="宋体" w:hAnsi="宋体" w:cs="宋体" w:hint="eastAsia"/>
          <w:kern w:val="0"/>
          <w:sz w:val="24"/>
          <w:szCs w:val="24"/>
        </w:rPr>
        <w:t>连平先生，国籍：中国，金融专业博士，教授，博士生导师。现任中国首席经济学家论坛理事长、复旦大学管理学院特聘教授、上海首席经济学家金融发展中心理事长、上海市经济学会副会长、上海交通大学上海高级金融学院兼聘教授、江苏联合水务科技股份有限公司独立董事。曾任交通银行首席经济学</w:t>
      </w:r>
      <w:r w:rsidRPr="00AF7BFE">
        <w:rPr>
          <w:rFonts w:ascii="宋体" w:hAnsi="宋体" w:cs="宋体" w:hint="eastAsia"/>
          <w:kern w:val="0"/>
          <w:sz w:val="24"/>
          <w:szCs w:val="24"/>
        </w:rPr>
        <w:lastRenderedPageBreak/>
        <w:t>家，中国金融40人论坛常务理事和特邀成员、中国银行业协会行业发展研究委员会主任等，多次出席党和国家领导人主持的专家会议，多次担任上海市人民政府决策咨询特聘专家，享受国务院政府特殊津贴。</w:t>
      </w:r>
    </w:p>
    <w:p w14:paraId="0921B80A" w14:textId="77777777" w:rsidR="00AF7BFE" w:rsidRPr="00AF7BFE" w:rsidRDefault="00AF7BFE" w:rsidP="00AF7BFE">
      <w:pPr>
        <w:pStyle w:val="div"/>
        <w:spacing w:line="360" w:lineRule="auto"/>
        <w:ind w:firstLine="480"/>
        <w:jc w:val="left"/>
        <w:rPr>
          <w:rFonts w:ascii="宋体" w:hAnsi="宋体" w:cs="宋体"/>
          <w:kern w:val="0"/>
          <w:sz w:val="24"/>
          <w:szCs w:val="24"/>
        </w:rPr>
      </w:pPr>
      <w:r w:rsidRPr="00AF7BFE">
        <w:rPr>
          <w:rFonts w:ascii="宋体" w:hAnsi="宋体" w:cs="宋体" w:hint="eastAsia"/>
          <w:kern w:val="0"/>
          <w:sz w:val="24"/>
          <w:szCs w:val="24"/>
        </w:rPr>
        <w:t>吕毅先生，国籍：中国，法学硕士，执业律师。现任北京观韬（上海）律师事务所权益合伙人，曾任上海市第一（沪一）律师事务所合伙人，上海市君悦律师事务所高级合伙人、副主任，中国人民政治协商会议上海市虹口区委员会第十四届常委。其他兼任职务包括中国人民政治协商会议上海市虹口区委员会第十五届常委，上海国际经济贸易仲裁委员会仲裁员，上海市经济和信息化委员会兼职法律顾问，同济大学经管学院MPA研究生客座教授及华东政法大学硕士生指导教师。</w:t>
      </w:r>
    </w:p>
    <w:p w14:paraId="6D9E076F" w14:textId="77777777" w:rsidR="00AF7BFE" w:rsidRPr="00AF7BFE" w:rsidRDefault="00AF7BFE" w:rsidP="00AF7BFE">
      <w:pPr>
        <w:pStyle w:val="div"/>
        <w:spacing w:line="360" w:lineRule="auto"/>
        <w:ind w:firstLine="480"/>
        <w:jc w:val="left"/>
        <w:rPr>
          <w:rFonts w:ascii="宋体" w:hAnsi="宋体" w:cs="宋体"/>
          <w:kern w:val="0"/>
          <w:sz w:val="24"/>
          <w:szCs w:val="24"/>
        </w:rPr>
      </w:pPr>
      <w:r w:rsidRPr="00AF7BFE">
        <w:rPr>
          <w:rFonts w:ascii="宋体" w:hAnsi="宋体" w:cs="宋体" w:hint="eastAsia"/>
          <w:kern w:val="0"/>
          <w:sz w:val="24"/>
          <w:szCs w:val="24"/>
        </w:rPr>
        <w:t>2、监事会成员</w:t>
      </w:r>
    </w:p>
    <w:p w14:paraId="6290292E" w14:textId="77777777" w:rsidR="00AF7BFE" w:rsidRPr="00AF7BFE" w:rsidRDefault="00AF7BFE" w:rsidP="00AF7BFE">
      <w:pPr>
        <w:pStyle w:val="div"/>
        <w:spacing w:line="360" w:lineRule="auto"/>
        <w:ind w:firstLine="480"/>
        <w:jc w:val="left"/>
        <w:rPr>
          <w:rFonts w:ascii="宋体" w:hAnsi="宋体" w:cs="宋体"/>
          <w:kern w:val="0"/>
          <w:sz w:val="24"/>
          <w:szCs w:val="24"/>
        </w:rPr>
      </w:pPr>
      <w:r w:rsidRPr="00AF7BFE">
        <w:rPr>
          <w:rFonts w:ascii="宋体" w:hAnsi="宋体" w:cs="宋体" w:hint="eastAsia"/>
          <w:kern w:val="0"/>
          <w:sz w:val="24"/>
          <w:szCs w:val="24"/>
        </w:rPr>
        <w:t>韩家明先生，国籍：中国，法学硕士，中级经济师。现任上海上报资产管理有限公司副总经理。曾担任中共上海市委宣传部文化改革发展办公室主任科员、支部委员，东方明珠新媒体股份有限公司战略与投资中心运营管理总监。其他兼任职务包括上海市闵行区文化创意产业协会副秘书长，上海颐歌资产管理有限公司董事，上海瑞力投资基金管理有限公司董事，上海杏花楼（集团）股份有限公司董事，上海民族乐器一厂有限公司董事。</w:t>
      </w:r>
    </w:p>
    <w:p w14:paraId="4F88AD4A" w14:textId="77777777" w:rsidR="00AF7BFE" w:rsidRPr="00AF7BFE" w:rsidRDefault="00AF7BFE" w:rsidP="00AF7BFE">
      <w:pPr>
        <w:pStyle w:val="div"/>
        <w:spacing w:line="360" w:lineRule="auto"/>
        <w:ind w:firstLine="480"/>
        <w:jc w:val="left"/>
        <w:rPr>
          <w:rFonts w:ascii="宋体" w:hAnsi="宋体" w:cs="宋体"/>
          <w:kern w:val="0"/>
          <w:sz w:val="24"/>
          <w:szCs w:val="24"/>
        </w:rPr>
      </w:pPr>
      <w:r w:rsidRPr="00AF7BFE">
        <w:rPr>
          <w:rFonts w:ascii="宋体" w:hAnsi="宋体" w:cs="宋体" w:hint="eastAsia"/>
          <w:kern w:val="0"/>
          <w:sz w:val="24"/>
          <w:szCs w:val="24"/>
        </w:rPr>
        <w:t>丁艳女士，国籍：中国，法学硕士，理学硕士。现任东方证券股份有限公司审计中心总经理、职工监事，上海东方证券资本投资有限公司董事。曾担任中国人民银行上海分行银行管理处科员，中国人民银行上海分行办公室副主任科员，中国人民银行上海总部综合管理部秘书处副主任科员，中国人民银行上海总部金融服务二部反洗钱处主任科员、科长，东方证券股份有限公司稽核总部拟任总经理助理、总经理助理、副总经理、副总经理（主持工作）、总经理。</w:t>
      </w:r>
    </w:p>
    <w:p w14:paraId="496CD915" w14:textId="77777777" w:rsidR="00AF7BFE" w:rsidRPr="00AF7BFE" w:rsidRDefault="00AF7BFE" w:rsidP="00AF7BFE">
      <w:pPr>
        <w:pStyle w:val="div"/>
        <w:spacing w:line="360" w:lineRule="auto"/>
        <w:ind w:firstLine="480"/>
        <w:jc w:val="left"/>
        <w:rPr>
          <w:rFonts w:ascii="宋体" w:hAnsi="宋体" w:cs="宋体"/>
          <w:kern w:val="0"/>
          <w:sz w:val="24"/>
          <w:szCs w:val="24"/>
        </w:rPr>
      </w:pPr>
      <w:r w:rsidRPr="00AF7BFE">
        <w:rPr>
          <w:rFonts w:ascii="宋体" w:hAnsi="宋体" w:cs="宋体" w:hint="eastAsia"/>
          <w:kern w:val="0"/>
          <w:sz w:val="24"/>
          <w:szCs w:val="24"/>
        </w:rPr>
        <w:t>信春霞女士，国籍：中国，经济学博士。现任东航金控有限责任公司董事会秘书。曾担任上海市国有资产监督管理委员会预算财务处主任科员，上海市金融办金融机构服务处副调研员，上海市金融服务办公室市属金融国资监管服务处副调研员、副处长，上海市国有资产监督管理委员会金融企业评价处副处长。</w:t>
      </w:r>
    </w:p>
    <w:p w14:paraId="6FD0D55D" w14:textId="77777777" w:rsidR="00AF7BFE" w:rsidRPr="00AF7BFE" w:rsidRDefault="00AF7BFE" w:rsidP="00AF7BFE">
      <w:pPr>
        <w:pStyle w:val="div"/>
        <w:spacing w:line="360" w:lineRule="auto"/>
        <w:ind w:firstLine="480"/>
        <w:jc w:val="left"/>
        <w:rPr>
          <w:rFonts w:ascii="宋体" w:hAnsi="宋体" w:cs="宋体"/>
          <w:kern w:val="0"/>
          <w:sz w:val="24"/>
          <w:szCs w:val="24"/>
        </w:rPr>
      </w:pPr>
      <w:r w:rsidRPr="00AF7BFE">
        <w:rPr>
          <w:rFonts w:ascii="宋体" w:hAnsi="宋体" w:cs="宋体" w:hint="eastAsia"/>
          <w:kern w:val="0"/>
          <w:sz w:val="24"/>
          <w:szCs w:val="24"/>
        </w:rPr>
        <w:lastRenderedPageBreak/>
        <w:t>王静女士，国籍：中国，工商管理硕士。现任汇添富基金管理股份有限公司私人财富管理中心总监。曾任职于中国东方航空集团公司宣传部，东航金控有限责任公司研究发展部。</w:t>
      </w:r>
    </w:p>
    <w:p w14:paraId="39964FB7" w14:textId="77777777" w:rsidR="00AF7BFE" w:rsidRPr="00AF7BFE" w:rsidRDefault="00AF7BFE" w:rsidP="00AF7BFE">
      <w:pPr>
        <w:pStyle w:val="div"/>
        <w:spacing w:line="360" w:lineRule="auto"/>
        <w:ind w:firstLine="480"/>
        <w:jc w:val="left"/>
        <w:rPr>
          <w:rFonts w:ascii="宋体" w:hAnsi="宋体" w:cs="宋体"/>
          <w:kern w:val="0"/>
          <w:sz w:val="24"/>
          <w:szCs w:val="24"/>
        </w:rPr>
      </w:pPr>
      <w:r w:rsidRPr="00AF7BFE">
        <w:rPr>
          <w:rFonts w:ascii="宋体" w:hAnsi="宋体" w:cs="宋体" w:hint="eastAsia"/>
          <w:kern w:val="0"/>
          <w:sz w:val="24"/>
          <w:szCs w:val="24"/>
        </w:rPr>
        <w:t>陈杰先生，国籍：中国，理学博士。现任汇添富基金管理股份有限公司综合办公室总监，汇添富基金销售（上海）有限公司监事。曾任职于罗兰贝格管理咨询有限公司，泰科电子（上海）有限公司。</w:t>
      </w:r>
    </w:p>
    <w:p w14:paraId="567CEDEE" w14:textId="77777777" w:rsidR="00AF7BFE" w:rsidRPr="00AF7BFE" w:rsidRDefault="00AF7BFE" w:rsidP="00AF7BFE">
      <w:pPr>
        <w:pStyle w:val="div"/>
        <w:spacing w:line="360" w:lineRule="auto"/>
        <w:ind w:firstLine="480"/>
        <w:jc w:val="left"/>
        <w:rPr>
          <w:rFonts w:ascii="宋体" w:hAnsi="宋体" w:cs="宋体"/>
          <w:kern w:val="0"/>
          <w:sz w:val="24"/>
          <w:szCs w:val="24"/>
        </w:rPr>
      </w:pPr>
      <w:r w:rsidRPr="00AF7BFE">
        <w:rPr>
          <w:rFonts w:ascii="宋体" w:hAnsi="宋体" w:cs="宋体" w:hint="eastAsia"/>
          <w:kern w:val="0"/>
          <w:sz w:val="24"/>
          <w:szCs w:val="24"/>
        </w:rPr>
        <w:t>曹翊君女士，国籍：中国，经济学硕士。现任汇添富基金管理股份有限公司合规稽核部总监，汇添富资本管理有限公司监事。曾任职于上海证券报社新闻中心。</w:t>
      </w:r>
    </w:p>
    <w:p w14:paraId="11C0A41F" w14:textId="77777777" w:rsidR="00AF7BFE" w:rsidRPr="00AF7BFE" w:rsidRDefault="00AF7BFE" w:rsidP="00AF7BFE">
      <w:pPr>
        <w:pStyle w:val="div"/>
        <w:spacing w:line="360" w:lineRule="auto"/>
        <w:ind w:firstLine="480"/>
        <w:jc w:val="left"/>
        <w:rPr>
          <w:rFonts w:ascii="宋体" w:hAnsi="宋体" w:cs="宋体"/>
          <w:kern w:val="0"/>
          <w:sz w:val="24"/>
          <w:szCs w:val="24"/>
        </w:rPr>
      </w:pPr>
      <w:r w:rsidRPr="00AF7BFE">
        <w:rPr>
          <w:rFonts w:ascii="宋体" w:hAnsi="宋体" w:cs="宋体" w:hint="eastAsia"/>
          <w:kern w:val="0"/>
          <w:sz w:val="24"/>
          <w:szCs w:val="24"/>
        </w:rPr>
        <w:t>3、高管人员</w:t>
      </w:r>
    </w:p>
    <w:p w14:paraId="2664F8E1" w14:textId="77777777" w:rsidR="00AF7BFE" w:rsidRPr="00AF7BFE" w:rsidRDefault="00AF7BFE" w:rsidP="00AF7BFE">
      <w:pPr>
        <w:pStyle w:val="div"/>
        <w:spacing w:line="360" w:lineRule="auto"/>
        <w:ind w:firstLine="480"/>
        <w:jc w:val="left"/>
        <w:rPr>
          <w:rFonts w:ascii="宋体" w:hAnsi="宋体" w:cs="宋体"/>
          <w:kern w:val="0"/>
          <w:sz w:val="24"/>
          <w:szCs w:val="24"/>
        </w:rPr>
      </w:pPr>
      <w:r w:rsidRPr="00AF7BFE">
        <w:rPr>
          <w:rFonts w:ascii="宋体" w:hAnsi="宋体" w:cs="宋体" w:hint="eastAsia"/>
          <w:kern w:val="0"/>
          <w:sz w:val="24"/>
          <w:szCs w:val="24"/>
        </w:rPr>
        <w:t>张晖先生，2015年6月25日起担任总经理。（简历请参见上述董事会成员介绍）</w:t>
      </w:r>
    </w:p>
    <w:p w14:paraId="0AAC8B63" w14:textId="77777777" w:rsidR="00AF7BFE" w:rsidRPr="00AF7BFE" w:rsidRDefault="00AF7BFE" w:rsidP="00AF7BFE">
      <w:pPr>
        <w:pStyle w:val="div"/>
        <w:spacing w:line="360" w:lineRule="auto"/>
        <w:ind w:firstLine="480"/>
        <w:jc w:val="left"/>
        <w:rPr>
          <w:rFonts w:ascii="宋体" w:hAnsi="宋体" w:cs="宋体"/>
          <w:kern w:val="0"/>
          <w:sz w:val="24"/>
          <w:szCs w:val="24"/>
        </w:rPr>
      </w:pPr>
      <w:r w:rsidRPr="00AF7BFE">
        <w:rPr>
          <w:rFonts w:ascii="宋体" w:hAnsi="宋体" w:cs="宋体" w:hint="eastAsia"/>
          <w:kern w:val="0"/>
          <w:sz w:val="24"/>
          <w:szCs w:val="24"/>
        </w:rPr>
        <w:t>雷继明先生，2012年3月7日起担任副总经理。中国籍，1971年出生，工商管理硕士。2011年12月加入汇添富基金管理股份有限公司，现任公司副总经理、市场总监。历任中国民族国际信托投资公司网上交易部副总经理，中国民族证券有限责任公司营业部总经理、经纪业务总监、总裁助理。</w:t>
      </w:r>
    </w:p>
    <w:p w14:paraId="186BF88F" w14:textId="77777777" w:rsidR="00AF7BFE" w:rsidRPr="00AF7BFE" w:rsidRDefault="00AF7BFE" w:rsidP="00AF7BFE">
      <w:pPr>
        <w:pStyle w:val="div"/>
        <w:spacing w:line="360" w:lineRule="auto"/>
        <w:ind w:firstLine="480"/>
        <w:jc w:val="left"/>
        <w:rPr>
          <w:rFonts w:ascii="宋体" w:hAnsi="宋体" w:cs="宋体"/>
          <w:kern w:val="0"/>
          <w:sz w:val="24"/>
          <w:szCs w:val="24"/>
        </w:rPr>
      </w:pPr>
      <w:r w:rsidRPr="00AF7BFE">
        <w:rPr>
          <w:rFonts w:ascii="宋体" w:hAnsi="宋体" w:cs="宋体" w:hint="eastAsia"/>
          <w:kern w:val="0"/>
          <w:sz w:val="24"/>
          <w:szCs w:val="24"/>
        </w:rPr>
        <w:t>娄焱女士，2013年1月7日起担任副总经理。中国籍，1971年出生，金融经济学硕士。2011年4月加入汇添富基金管理股份有限公司，现任公司副总经理。历任赛格国际信托投资股份有限公司投资银行业务高级经理，华夏证券股份有限公司研究所证券分析师，嘉实基金管理有限公司市场部产品主管，招商基金管理有限公司产品研发部总监、机构理财部副总监、业务发展部副总监，华夏基金管理有限公司研究发展部产品策划总监，富达基金（香港）有限公司北京代表处、上海代表处首席代表，汇添富基金管理股份有限公司总经理助理。</w:t>
      </w:r>
    </w:p>
    <w:p w14:paraId="012B4425" w14:textId="77777777" w:rsidR="00AF7BFE" w:rsidRPr="00AF7BFE" w:rsidRDefault="00AF7BFE" w:rsidP="00AF7BFE">
      <w:pPr>
        <w:pStyle w:val="div"/>
        <w:spacing w:line="360" w:lineRule="auto"/>
        <w:ind w:firstLine="480"/>
        <w:jc w:val="left"/>
        <w:rPr>
          <w:rFonts w:ascii="宋体" w:hAnsi="宋体" w:cs="宋体"/>
          <w:kern w:val="0"/>
          <w:sz w:val="24"/>
          <w:szCs w:val="24"/>
        </w:rPr>
      </w:pPr>
      <w:r w:rsidRPr="00AF7BFE">
        <w:rPr>
          <w:rFonts w:ascii="宋体" w:hAnsi="宋体" w:cs="宋体" w:hint="eastAsia"/>
          <w:kern w:val="0"/>
          <w:sz w:val="24"/>
          <w:szCs w:val="24"/>
        </w:rPr>
        <w:t>袁建军先生，2015年8月5日起担任副总经理。中国籍，1972年出生，金融学硕士。2005年4月加入汇添富基金管理股份有限公司，现任公司副总经理、投资决策委员会主席。历任华夏证券股份有限公司研究所行业二部副经理，汇添富基金管理股份有限公司基金经理、专户投资总监、总经理助理，并于2014年至2015年期间担任中国证券监督管理委员会第十六届主板发行审核</w:t>
      </w:r>
      <w:r w:rsidRPr="00AF7BFE">
        <w:rPr>
          <w:rFonts w:ascii="宋体" w:hAnsi="宋体" w:cs="宋体" w:hint="eastAsia"/>
          <w:kern w:val="0"/>
          <w:sz w:val="24"/>
          <w:szCs w:val="24"/>
        </w:rPr>
        <w:lastRenderedPageBreak/>
        <w:t>委员会专职委员。</w:t>
      </w:r>
    </w:p>
    <w:p w14:paraId="73E1E9C6" w14:textId="77777777" w:rsidR="00AF7BFE" w:rsidRPr="00AF7BFE" w:rsidRDefault="00AF7BFE" w:rsidP="00AF7BFE">
      <w:pPr>
        <w:pStyle w:val="div"/>
        <w:spacing w:line="360" w:lineRule="auto"/>
        <w:ind w:firstLine="480"/>
        <w:jc w:val="left"/>
        <w:rPr>
          <w:rFonts w:ascii="宋体" w:hAnsi="宋体" w:cs="宋体"/>
          <w:kern w:val="0"/>
          <w:sz w:val="24"/>
          <w:szCs w:val="24"/>
        </w:rPr>
      </w:pPr>
      <w:r w:rsidRPr="00AF7BFE">
        <w:rPr>
          <w:rFonts w:ascii="宋体" w:hAnsi="宋体" w:cs="宋体" w:hint="eastAsia"/>
          <w:kern w:val="0"/>
          <w:sz w:val="24"/>
          <w:szCs w:val="24"/>
        </w:rPr>
        <w:t>李骁先生，2017年3月3日起担任副总经理。中国籍，1969年出生，武汉大学金融学硕士。2016年9月加入汇添富基金管理股份有限公司，现任公司副总经理、首席信息官，汇添富基金销售（上海）有限公司执行董事。历任厦门建行计算机处副处长，厦门建行信用卡部副处长、处长，厦门建行信息技术部处长，建总行北京开发中心负责人，建总行信息技术管理部副总经理，建总行信息技术管理部副总经理兼北京研发中心主任，建总行信息技术管理部资深专员（副总经理级）。</w:t>
      </w:r>
    </w:p>
    <w:p w14:paraId="10827A5A" w14:textId="66BC3548" w:rsidR="00AE2B28" w:rsidRDefault="00AF7BFE">
      <w:pPr>
        <w:pStyle w:val="div"/>
        <w:widowControl/>
        <w:spacing w:line="360" w:lineRule="auto"/>
        <w:ind w:firstLine="480"/>
        <w:jc w:val="left"/>
        <w:rPr>
          <w:rFonts w:eastAsia="Times New Roman"/>
          <w:kern w:val="0"/>
          <w:sz w:val="24"/>
          <w:szCs w:val="24"/>
        </w:rPr>
      </w:pPr>
      <w:r w:rsidRPr="00AF7BFE">
        <w:rPr>
          <w:rFonts w:ascii="宋体" w:hAnsi="宋体" w:cs="宋体" w:hint="eastAsia"/>
          <w:kern w:val="0"/>
          <w:sz w:val="24"/>
          <w:szCs w:val="24"/>
        </w:rPr>
        <w:t>李鹏先生，2015年6月25日起担任督察长。中国籍，1978年出生，上海财经大学经济学博士。2015年3月加入汇添富基金管理股份有限公司，现任公司督察长，汇添富资本管理有限公司董事，上海汇添富公益基金会理事长。历任上海证监局主任科员、副处长，上海农商银行同业金融部副总经理，汇添富基金管理股份有限公司稽核监察部总监</w:t>
      </w:r>
      <w:bookmarkEnd w:id="32"/>
      <w:r w:rsidR="00B67EDE">
        <w:rPr>
          <w:rFonts w:ascii="宋体" w:hAnsi="宋体" w:cs="宋体"/>
          <w:kern w:val="0"/>
          <w:sz w:val="24"/>
          <w:szCs w:val="24"/>
        </w:rPr>
        <w:t>。</w:t>
      </w:r>
    </w:p>
    <w:p w14:paraId="789C8C95"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4、基金经理</w:t>
      </w:r>
    </w:p>
    <w:p w14:paraId="28CA31AF" w14:textId="21B0C222"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邵蕴奇，</w:t>
      </w:r>
      <w:r w:rsidR="00AF7BFE" w:rsidRPr="00AF7BFE">
        <w:rPr>
          <w:rFonts w:ascii="宋体" w:hAnsi="宋体" w:cs="宋体" w:hint="eastAsia"/>
          <w:kern w:val="0"/>
          <w:sz w:val="24"/>
          <w:szCs w:val="24"/>
        </w:rPr>
        <w:t>国籍：中国。学历：北京大学金融硕士。从业资格：证券投资基金从业资格。从业经历：2017年7月起任汇添富基金管理股份有限公司行业分析师、高级行业分析师。2023年8月7日至2026年4月10日任汇添富上证50基本面增强指数型证券投资基金的基金经理。2023年12月26日至今任汇添富行业整合主题混合型证券投资基金的基金经理。2024年9月26日至今任汇添富稳健汇盈一年持有期混合型证券投资基金的基金经理。2024年10月15日至今任汇添富优选价值混合型发起式证券投资基金的基金经理。2024年10月29日至今任汇添富弘悦回报混合型发起式证券投资基金的基金经理。2025年7月10日至今任汇添富国企创新增长股票型证券投资基金的基金经理。2025年8月5日至今任汇添富港股通红利回报混合型发起式证券投资基金的基金经理。2025年11月26日至今任汇添富稳健回报债券型证券投资基金的基金经理。2026年4月28</w:t>
      </w:r>
      <w:r w:rsidR="00AF7BFE">
        <w:rPr>
          <w:rFonts w:ascii="宋体" w:hAnsi="宋体" w:cs="宋体" w:hint="eastAsia"/>
          <w:kern w:val="0"/>
          <w:sz w:val="24"/>
          <w:szCs w:val="24"/>
        </w:rPr>
        <w:t>日至今任汇添富港股通周期精选混合型证券投资基金的基金经理</w:t>
      </w:r>
      <w:r w:rsidR="009A035B" w:rsidRPr="009A035B">
        <w:rPr>
          <w:rFonts w:ascii="宋体" w:hAnsi="宋体" w:cs="宋体" w:hint="eastAsia"/>
          <w:kern w:val="0"/>
          <w:sz w:val="24"/>
          <w:szCs w:val="24"/>
        </w:rPr>
        <w:t>。</w:t>
      </w:r>
    </w:p>
    <w:p w14:paraId="7FC470D9" w14:textId="0D0DDDB6" w:rsidR="008D7FC4" w:rsidRPr="008D7FC4" w:rsidRDefault="008D7FC4" w:rsidP="008D7FC4">
      <w:pPr>
        <w:pStyle w:val="div"/>
        <w:spacing w:line="360" w:lineRule="auto"/>
        <w:ind w:firstLine="480"/>
        <w:rPr>
          <w:rFonts w:ascii="宋体" w:hAnsi="宋体" w:cs="宋体"/>
          <w:kern w:val="0"/>
          <w:sz w:val="24"/>
          <w:szCs w:val="24"/>
        </w:rPr>
      </w:pPr>
      <w:r w:rsidRPr="008D7FC4">
        <w:rPr>
          <w:rFonts w:ascii="宋体" w:hAnsi="宋体" w:cs="宋体" w:hint="eastAsia"/>
          <w:kern w:val="0"/>
          <w:sz w:val="24"/>
          <w:szCs w:val="24"/>
        </w:rPr>
        <w:t>何旺，国籍：中国。学历：上海交通大学金融硕士。从业资格：证券投资基金从业资格。从业经历：</w:t>
      </w:r>
      <w:r w:rsidR="004D199C" w:rsidRPr="004D199C">
        <w:rPr>
          <w:rFonts w:ascii="宋体" w:hAnsi="宋体" w:cs="宋体" w:hint="eastAsia"/>
          <w:kern w:val="0"/>
          <w:sz w:val="24"/>
          <w:szCs w:val="24"/>
        </w:rPr>
        <w:t>2017年7月加入汇添富基金管理股份有限公司工作</w:t>
      </w:r>
      <w:r w:rsidRPr="008D7FC4">
        <w:rPr>
          <w:rFonts w:ascii="宋体" w:hAnsi="宋体" w:cs="宋体" w:hint="eastAsia"/>
          <w:kern w:val="0"/>
          <w:sz w:val="24"/>
          <w:szCs w:val="24"/>
        </w:rPr>
        <w:t>。</w:t>
      </w:r>
    </w:p>
    <w:p w14:paraId="1BA49284"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5、投资决策委员会</w:t>
      </w:r>
    </w:p>
    <w:p w14:paraId="7CF26BB3" w14:textId="51FCFB86" w:rsidR="00AF7BFE" w:rsidRPr="00AF7BFE" w:rsidRDefault="00AF7BFE" w:rsidP="00AF7BFE">
      <w:pPr>
        <w:pStyle w:val="div"/>
        <w:spacing w:line="360" w:lineRule="auto"/>
        <w:ind w:firstLine="420"/>
        <w:rPr>
          <w:rFonts w:ascii="宋体" w:hAnsi="宋体" w:cs="宋体"/>
          <w:kern w:val="0"/>
          <w:sz w:val="24"/>
          <w:szCs w:val="24"/>
        </w:rPr>
      </w:pPr>
      <w:r w:rsidRPr="00AF7BFE">
        <w:rPr>
          <w:rFonts w:ascii="宋体" w:hAnsi="宋体" w:cs="宋体" w:hint="eastAsia"/>
          <w:kern w:val="0"/>
          <w:sz w:val="24"/>
          <w:szCs w:val="24"/>
        </w:rPr>
        <w:lastRenderedPageBreak/>
        <w:t>主席：袁建军（副总经理）</w:t>
      </w:r>
    </w:p>
    <w:p w14:paraId="6E936BEF" w14:textId="7B1AB4A0" w:rsidR="00AE2B28" w:rsidRDefault="00AF7BFE" w:rsidP="00AF7BFE">
      <w:pPr>
        <w:pStyle w:val="div"/>
        <w:spacing w:line="360" w:lineRule="auto"/>
        <w:ind w:firstLine="420"/>
        <w:rPr>
          <w:rFonts w:eastAsia="Times New Roman"/>
          <w:kern w:val="0"/>
          <w:sz w:val="24"/>
          <w:szCs w:val="24"/>
        </w:rPr>
      </w:pPr>
      <w:r w:rsidRPr="00AF7BFE">
        <w:rPr>
          <w:rFonts w:ascii="宋体" w:hAnsi="宋体" w:cs="宋体" w:hint="eastAsia"/>
          <w:kern w:val="0"/>
          <w:sz w:val="24"/>
          <w:szCs w:val="24"/>
        </w:rPr>
        <w:t>成员：邵佳民（首席固收投资官）、马翔（总经理助理，权益投资总监）、刘伟林（研究总监）、韩贤旺（总经理助理，兼任首席经济学家、国际业务部总监、新加坡子公司总经理）、宋鹏（养老金投资部总监）、吴江宏（稳健收益部总经理）</w:t>
      </w:r>
    </w:p>
    <w:p w14:paraId="28A0AB62"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6、上述人员之间不存在近亲属关系。</w:t>
      </w:r>
    </w:p>
    <w:p w14:paraId="36DB964F"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三、基金管理人的职责</w:t>
      </w:r>
    </w:p>
    <w:p w14:paraId="21222806"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根据《基金法》、《运作办法》及其他法律、法规的规定，基金管理人应履行以下职责：</w:t>
      </w:r>
    </w:p>
    <w:p w14:paraId="3666210F"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1、依法募集资金，办理或者委托经中国证监会认定的其他机构代为办理基金份额的发售、申购、赎回和登记事宜；</w:t>
      </w:r>
    </w:p>
    <w:p w14:paraId="070EFCBE"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2、办理基金备案手续；</w:t>
      </w:r>
    </w:p>
    <w:p w14:paraId="6502B2A7"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3、对所管理的不同基金财产分别管理、分别记账，进行证券投资；</w:t>
      </w:r>
    </w:p>
    <w:p w14:paraId="338CA243"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4、按照基金合同的约定确定基金收益分配方案，及时足额向基金份额持有人分配收益；</w:t>
      </w:r>
    </w:p>
    <w:p w14:paraId="3539A5E7"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5、进行基金会计核算并编制基金财务会计报告；</w:t>
      </w:r>
    </w:p>
    <w:p w14:paraId="7F9E6648"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6、编制基金季度报告、中期报告和年度报告；</w:t>
      </w:r>
    </w:p>
    <w:p w14:paraId="7AC6D06A"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7、计算并公告基金净值信息，确定基金份额申购、赎回价格；</w:t>
      </w:r>
    </w:p>
    <w:p w14:paraId="383660E1"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8、办理与基金财产管理业务活动有关的信息披露事项；</w:t>
      </w:r>
    </w:p>
    <w:p w14:paraId="192F60A5"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9、按照规定召集基金份额持有人大会；</w:t>
      </w:r>
    </w:p>
    <w:p w14:paraId="499B69AA"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10、保存基金财产管理业务活动的记录、账册、报表和其他相关资料；</w:t>
      </w:r>
    </w:p>
    <w:p w14:paraId="6A3182C9"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11、以基金管理人名义，代表基金份额持有人利益行使诉讼权利或者实施其他法律行为；</w:t>
      </w:r>
    </w:p>
    <w:p w14:paraId="087345AB"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12、法律、行政法规、中国证监会和基金合同规定的其他职责。</w:t>
      </w:r>
    </w:p>
    <w:p w14:paraId="49447322"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四、基金管理人和基金经理的承诺</w:t>
      </w:r>
    </w:p>
    <w:p w14:paraId="6201BA2A"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本基金管理人承诺严格遵守现行有效的相关法律、行政法规、规章、基金合同和中国证监会的有关规定，建立健全内部控制制度，采取有效措施，防止违反现行有效的有关法律、行政法规、规章、基金合同和中国证监会有关规定的行为发生。</w:t>
      </w:r>
    </w:p>
    <w:p w14:paraId="774FBCCA"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lastRenderedPageBreak/>
        <w:t>2、本基金管理人承诺严格遵守《中华人民共和国证券法》、《基金法》及有关法律法规，建立健全的内部控制制度，采取有效措施，防止下列行为发生：</w:t>
      </w:r>
    </w:p>
    <w:p w14:paraId="490A81ED"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（1）将其固有财产或者他人财产混同于基金财产从事证券投资；</w:t>
      </w:r>
    </w:p>
    <w:p w14:paraId="33273458"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（2）不公平地对待其管理的不同基金财产；</w:t>
      </w:r>
    </w:p>
    <w:p w14:paraId="020FE63E"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（3）利用基金财产或职务之便为基金份额持有人以外的第三人牟取利益；</w:t>
      </w:r>
    </w:p>
    <w:p w14:paraId="37009CEF"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（4）向基金份额持有人违规承诺收益或者承担损失；</w:t>
      </w:r>
    </w:p>
    <w:p w14:paraId="2D915073"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（5）侵占、挪用基金财产；</w:t>
      </w:r>
    </w:p>
    <w:p w14:paraId="3AC80B2B"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（6）泄露因职务便利获取的未公开信息、利用该信息从事或者明示、暗示他人从事相关的交易活动；</w:t>
      </w:r>
    </w:p>
    <w:p w14:paraId="27613DB9"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（7）玩忽职守，不按照规定履行职责；</w:t>
      </w:r>
    </w:p>
    <w:p w14:paraId="5889B886"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（8）法律、行政法规和中国证监会规定禁止的其他行为。</w:t>
      </w:r>
    </w:p>
    <w:p w14:paraId="3678D01C"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3、本基金管理人承诺加强人员管理，强化职业操守，督促和约束员工遵守国家有关法律、法规及行业规范，诚实信用、勤勉尽责，不从事以下活动：</w:t>
      </w:r>
    </w:p>
    <w:p w14:paraId="53D49D6F"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（1）越权或违规经营；</w:t>
      </w:r>
    </w:p>
    <w:p w14:paraId="1EA88E4F"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（2）违反基金合同或托管协议；</w:t>
      </w:r>
    </w:p>
    <w:p w14:paraId="43681E27"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（3）故意损害基金份额持有人或其他基金相关机构的合法利益；</w:t>
      </w:r>
    </w:p>
    <w:p w14:paraId="0C599384"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（4）在向中国证监会报送的资料中弄虚作假；</w:t>
      </w:r>
    </w:p>
    <w:p w14:paraId="637CDE28"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（5）拒绝、干扰、阻挠或严重影响中国证监会依法监管；</w:t>
      </w:r>
    </w:p>
    <w:p w14:paraId="48638F01"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（6）玩忽职守、滥用职权，不按照规定履行职责；</w:t>
      </w:r>
    </w:p>
    <w:p w14:paraId="2E71F77A"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7）违反现行有效的有关法律、法规、规章、基金合同和中国证监会的有关规定，泄露在任职期间知悉的有关证券、基金的商业秘密，尚未依法公开的基金投资内容、基金投资计划等信息，或利用该信息从事或者明示、暗示他人从事相关的交易活动；</w:t>
      </w:r>
    </w:p>
    <w:p w14:paraId="652FBC30"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（8）违反证券交易场所业务规则，利用对敲、倒仓等手段操纵市场价格，扰乱市场秩序；</w:t>
      </w:r>
    </w:p>
    <w:p w14:paraId="73537878"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（9）贬损同行，以抬高自己；</w:t>
      </w:r>
    </w:p>
    <w:p w14:paraId="6441772C"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（10）以不正当手段谋求业务发展；</w:t>
      </w:r>
    </w:p>
    <w:p w14:paraId="3E85BC42"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（11）有悖社会公德，损害证券投资基金人员形象；</w:t>
      </w:r>
    </w:p>
    <w:p w14:paraId="2B9411AF"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（12）在公开信息披露和广告中故意含有虚假、误导、欺诈成分；</w:t>
      </w:r>
    </w:p>
    <w:p w14:paraId="6A773B04"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lastRenderedPageBreak/>
        <w:t>（13）法律、行政法规以及中国证监会规定禁止的行为。</w:t>
      </w:r>
    </w:p>
    <w:p w14:paraId="7B1FFD7D"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4、基金经理承诺</w:t>
      </w:r>
    </w:p>
    <w:p w14:paraId="154C99FA"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（1）依照有关法律、行政法规和基金合同的规定，本着谨慎勤勉的原则为基金份额持有人谋取最大利益；</w:t>
      </w:r>
    </w:p>
    <w:p w14:paraId="36BBBF26"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（2）不利用职务之便为自己及其代理人、受雇人或任何第三人谋取利益；</w:t>
      </w:r>
    </w:p>
    <w:p w14:paraId="5BA0D88A"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3）不违反现行有效的有关法律法规、基金合同和中国证监会的有关规定，泄露在任职期间知悉的有关证券、基金的商业秘密、尚未依法公开的基金投资内容、基金投资计划等信息，或利用该信息从事或者明示、暗示他人从事相关的交易活动；</w:t>
      </w:r>
    </w:p>
    <w:p w14:paraId="44A007C4"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（4）不从事损害基金财产和基金份额持有人利益的证券交易及其他活动。</w:t>
      </w:r>
    </w:p>
    <w:p w14:paraId="4A56B7AE"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五、基金管理人的风险管理体系</w:t>
      </w:r>
    </w:p>
    <w:p w14:paraId="7BD16101"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本基金管理人将经营管理中的主要风险划分为投资风险、合规风险、营运风险和道德风险四大类，其中，投资风险主要包括市场风险、信用风险、流动性风险等。针对上述各类风险，基金管理人建立了一套完整的风险管理体系。</w:t>
      </w:r>
    </w:p>
    <w:p w14:paraId="2A83588E"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1、风险管理原则</w:t>
      </w:r>
    </w:p>
    <w:p w14:paraId="0BE8F65D"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基金管理人风险管理体系的构建遵循以下六项基本原则：</w:t>
      </w:r>
    </w:p>
    <w:p w14:paraId="033FF8CC"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（1）营造良好的风险管理文化和内部控制环境，使风险意识贯穿到每位员工、各个岗位和经营管理的各个环节。</w:t>
      </w:r>
    </w:p>
    <w:p w14:paraId="483867A0"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（2）建立完善的风险管理组织体系，切实保证风险管理部门的独立性和权威性，使其有效地发挥职能作用。</w:t>
      </w:r>
    </w:p>
    <w:p w14:paraId="36EC43D6"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（3）确保风险管理制度的严肃性，保证风险管理制度在投资管理和经营活动过程中得到切实有效的执行。</w:t>
      </w:r>
    </w:p>
    <w:p w14:paraId="20F34A00"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（4）运用合理有效的风险指标和模型，实现风险事前配置和预警、事中实时监控、事后评估和反馈的全程嵌入式投资风险管理模式。</w:t>
      </w:r>
    </w:p>
    <w:p w14:paraId="306AB300"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（5）建立和推进员工职业守则教育和专业培训体系，确保员工具备良好的职业操守和充分的职责胜任能力。</w:t>
      </w:r>
    </w:p>
    <w:p w14:paraId="0861C80B"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（6）建立风险事件学习机制，认真剖析各类风险事件，汲取经验和教训，不断完善风险管理体系。</w:t>
      </w:r>
    </w:p>
    <w:p w14:paraId="2A43F496"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2、风险管理组织架构</w:t>
      </w:r>
    </w:p>
    <w:p w14:paraId="0C0AE6E0"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lastRenderedPageBreak/>
        <w:t>本基金管理人建立了董事会、经营管理层、风险管理部门、各职能部门四级风险管理组织架构，并明确了相应的风险管理职能。</w:t>
      </w:r>
    </w:p>
    <w:p w14:paraId="1947E4B0" w14:textId="77777777" w:rsidR="00AE2B28" w:rsidRDefault="00B67EDE">
      <w:pPr>
        <w:pStyle w:val="div"/>
        <w:spacing w:line="360" w:lineRule="auto"/>
        <w:ind w:firstLine="420"/>
        <w:jc w:val="center"/>
        <w:rPr>
          <w:rFonts w:eastAsia="Times New Roman"/>
          <w:kern w:val="0"/>
          <w:sz w:val="24"/>
          <w:szCs w:val="24"/>
        </w:rPr>
      </w:pPr>
      <w:r>
        <w:rPr>
          <w:rFonts w:ascii="宋体" w:hAnsi="宋体" w:cs="宋体"/>
          <w:b/>
          <w:bCs/>
          <w:kern w:val="0"/>
          <w:sz w:val="24"/>
          <w:szCs w:val="24"/>
        </w:rPr>
        <w:t>汇添富风险管理组织结构图</w:t>
      </w:r>
    </w:p>
    <w:p w14:paraId="761CE816" w14:textId="77777777" w:rsidR="00AE2B28" w:rsidRDefault="00B67EDE">
      <w:pPr>
        <w:widowControl/>
        <w:spacing w:after="216"/>
        <w:jc w:val="center"/>
        <w:rPr>
          <w:rFonts w:eastAsia="Times New Roman"/>
          <w:kern w:val="0"/>
          <w:sz w:val="24"/>
          <w:szCs w:val="24"/>
        </w:rPr>
      </w:pPr>
      <w:r>
        <w:rPr>
          <w:rFonts w:eastAsia="Times New Roman"/>
          <w:noProof/>
          <w:kern w:val="0"/>
          <w:sz w:val="24"/>
          <w:szCs w:val="24"/>
        </w:rPr>
        <w:drawing>
          <wp:inline distT="0" distB="0" distL="0" distR="0" wp14:anchorId="1EEED3DA" wp14:editId="4B420AFE">
            <wp:extent cx="3795556" cy="2473262"/>
            <wp:effectExtent l="0" t="0" r="0"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2"/>
                    <a:stretch>
                      <a:fillRect/>
                    </a:stretch>
                  </pic:blipFill>
                  <pic:spPr>
                    <a:xfrm>
                      <a:off x="0" y="0"/>
                      <a:ext cx="3795556" cy="2473262"/>
                    </a:xfrm>
                    <a:prstGeom prst="rect">
                      <a:avLst/>
                    </a:prstGeom>
                  </pic:spPr>
                </pic:pic>
              </a:graphicData>
            </a:graphic>
          </wp:inline>
        </w:drawing>
      </w:r>
    </w:p>
    <w:p w14:paraId="4E007E04"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董事会对公司风险管理负有最终责任，董事会下设审计与风险管理委员会与督察长。审计与风险管理委员会主要负责审核和指导公司的风险管理政策，对公司的整体风险水平、风险控制措施的实施情况进行评价。督察长负责组织指导公司合规稽核和风险管理工作，监督检查受托资产和公司运作的合法合规情况及公司内部风险控制情况。</w:t>
      </w:r>
    </w:p>
    <w:p w14:paraId="03EF3A32"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（2）经营管理层负责风险管理政策、风险控制措施的制定和落实，经营管理层下设风险控制委员会。风险控制委员会主要负责审议风险管理制度和流程，处置重大风险事件，促进风险管理文化的形成。</w:t>
      </w:r>
    </w:p>
    <w:p w14:paraId="0B98425F"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（3）合规稽核部和风险管理部是合规管理和风险管理的职能部门，负责合规风险、投资组合市场风险、信用风险、流动性风险、营运风险、道德风险等的管理。</w:t>
      </w:r>
    </w:p>
    <w:p w14:paraId="6B36DE72"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（4）各职能部门负责从经营管理的各业务环节上贯彻落实风险管理措施，执行风险识别、风险测量、风险控制、风险评价和风险报告等风险管理程序，并持续完善相应的内部控制制度和流程。</w:t>
      </w:r>
    </w:p>
    <w:p w14:paraId="3300B480"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3、风险管理内容</w:t>
      </w:r>
    </w:p>
    <w:p w14:paraId="3D195A5B"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本基金管理人的风险管理包括风险识别、风险测量、风险控制、风险评价、风险报告等内容。</w:t>
      </w:r>
    </w:p>
    <w:p w14:paraId="10AC3652"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lastRenderedPageBreak/>
        <w:t>（1）风险识别是指对现实以及潜在的各种风险加以判断、归类和鉴定风险性质的过程。</w:t>
      </w:r>
    </w:p>
    <w:p w14:paraId="39AC926D"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（2）风险测量是指估计和预测风险发生的概率和可能造成的损失，并根据这两个因素的结合来衡量风险大小的程度。</w:t>
      </w:r>
    </w:p>
    <w:p w14:paraId="2C7A20A3"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（3）风险控制是指采取相应的措施，监控和防止各种风险的发生，实现以合理的成本在最大限度内防范风险和减轻损失。</w:t>
      </w:r>
    </w:p>
    <w:p w14:paraId="6442DA2A"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（4）风险评价是指分析风险识别、风险测量和风险控制的执行情况和运行效果的过程。</w:t>
      </w:r>
    </w:p>
    <w:p w14:paraId="73B86C00"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（5）风险报告是指将风险事件及处置、风险评价情况以一定程序进行报告的过程。</w:t>
      </w:r>
    </w:p>
    <w:p w14:paraId="051427AD"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六、基金管理人的内部控制制度</w:t>
      </w:r>
    </w:p>
    <w:p w14:paraId="7142CC12"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内部控制是指基金管理人为防范和化解风险，保证经营运作符合基金管理人发展规划，在充分考虑内外部环境的基础上，通过建立组织机制、运用管理方法、实施控制程序与控制措施而形成的系统。</w:t>
      </w:r>
    </w:p>
    <w:p w14:paraId="2A9BBF88"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基金管理人结合自身具体情况，建立了科学合理、控制严密、运行高效的内部控制体系，并制定了科学完善的内部控制制度。</w:t>
      </w:r>
    </w:p>
    <w:p w14:paraId="340F9AF3"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1、内部控制目标</w:t>
      </w:r>
    </w:p>
    <w:p w14:paraId="55B82E3F"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（1）保证基金管理人经营运作遵守国家法律法规和行业监管规则，自觉形成守法经营、规范运作的经营思想和经营理念。</w:t>
      </w:r>
    </w:p>
    <w:p w14:paraId="15D31C27"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（2）防范和化解经营风险，提高经营管理效益，确保经营业务的稳健运行和受托资产的安全完整，实现持续、稳定、健康发展。</w:t>
      </w:r>
    </w:p>
    <w:p w14:paraId="5EEBC1E8"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（3）确保基金管理人和基金财务及其他信息的真实、准确、及时、完整。</w:t>
      </w:r>
    </w:p>
    <w:p w14:paraId="157AD4E6"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2、内部控制原则</w:t>
      </w:r>
    </w:p>
    <w:p w14:paraId="24463973"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（1）健全性原则。内部控制机制覆盖基金管理人的各项业务、各个部门和各级人员，并渗透到决策、执行、监督、反馈等各个环节。</w:t>
      </w:r>
    </w:p>
    <w:p w14:paraId="3516A59A"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（2）有效性原则。通过科学的内部控制手段和方法，建立合理的内部控制程序，维护内部控制的有效执行。</w:t>
      </w:r>
    </w:p>
    <w:p w14:paraId="40DBE0F5"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（3）独立性原则。基金管理人各机构、部门和岗位职责保持相对独立，基金资产、固有财产、其他资产的运作相互分离。</w:t>
      </w:r>
    </w:p>
    <w:p w14:paraId="4E51F2F1"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lastRenderedPageBreak/>
        <w:t>（4）相互制约原则。基金管理人内部部门和岗位的设置权责分明、相互制衡。</w:t>
      </w:r>
    </w:p>
    <w:p w14:paraId="38E1DC85"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（5）成本效益原则。基金管理人运用科学化的经营管理方法降低运作成本，提高经济效益，以合理的控制成本达到最佳的内部控制效果。</w:t>
      </w:r>
    </w:p>
    <w:p w14:paraId="4BD5B368"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3、内部控制内容</w:t>
      </w:r>
    </w:p>
    <w:p w14:paraId="6050757F"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基金管理人的内部控制要求建立：不相容职务相分离的机制、完善的岗位责任制、规范的岗位管理措施、完整的信息资料保全系统、严格的授权控制、有效的风险防范系统和快速反应机制等。</w:t>
      </w:r>
    </w:p>
    <w:p w14:paraId="09B86561"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遵守国家有关法律法规，遵循合法合规性原则、全面性原则、审慎性原则和适时性原则，制订了系统完善的内部控制制度。内部控制的内容包括投资管理业务控制、信息披露控制、信息技术系统控制、会计系统控制以及内部稽核控制等。</w:t>
      </w:r>
    </w:p>
    <w:p w14:paraId="0215DE5C"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（1）投资管理业务控制</w:t>
      </w:r>
    </w:p>
    <w:p w14:paraId="1C0011AB"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通过规范投资业务流程，分层次强化投资风险控制。公司根据投资管理业务不同阶段的性质和特点，制定了完善的管理规章、操作流程和岗位手册，明确揭示不同业务可能存在的风险，分别采取不同措施进行控制。</w:t>
      </w:r>
    </w:p>
    <w:p w14:paraId="49B280F9"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针对投资研究业务，基金管理人制定了《汇添富基金管理股份有限公司投资研究部制度》，对研究工作的业务流程、研究报告质量评价，研究与投资的交流渠道等都做了明确的规定；对于投资决策业务，基金管理人制定了《汇添富基金管理股份有限公司投资管理制度》，保证投资决策严格遵守法律法规的有关规定，符合基金合同所规定的要求，同时设立了汇添富投资风险评估与管理制度以及投资管理业绩评价体系；对于基金交易业务，基金管理人将实行集中交易与防火墙制度，建立交易监测系统、预警系统和交易反馈系统，完善相关的安全设施，交易流程将严格按照“审核—执行—反馈—复核—存档”的程序进行，防止不正当关联交易损害基金份额持有人利益。</w:t>
      </w:r>
    </w:p>
    <w:p w14:paraId="600AB59C"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（2）信息披露控制</w:t>
      </w:r>
    </w:p>
    <w:p w14:paraId="15E603C2"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通过完善信息披露制度，确保基金份额持有人及时完整地了解基金信息。基金管理人按照法律、法规和中国证监会有关规定，建立了《汇添富基金管理股份有限公司公开募集证券投资基金信息披露管理制度》，指定了信息披露责任人负责信息披露工作，进行信息的组织、审核和发布，并将定期对信息披</w:t>
      </w:r>
      <w:r>
        <w:rPr>
          <w:rFonts w:ascii="宋体" w:hAnsi="宋体" w:cs="宋体"/>
          <w:kern w:val="0"/>
          <w:sz w:val="24"/>
          <w:szCs w:val="24"/>
        </w:rPr>
        <w:lastRenderedPageBreak/>
        <w:t>露进行检查和评价，保证公开披露的信息真实、准确、完整。</w:t>
      </w:r>
    </w:p>
    <w:p w14:paraId="342AD409"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（3）信息技术系统控制</w:t>
      </w:r>
    </w:p>
    <w:p w14:paraId="6A153DB3"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建立了先进的信息技术系统和完善的信息技术管理制度。基金管理人的信息技术系统由先进的计算机系统构成，通过了国家、金融行业软件工程标准的认证，并有完整的技术资料。基金管理人制定了严格的信息技术岗位责任制度、门禁制度、内外网分离制度等管理措施，对电子信息数据进行即时保存和备份，重要数据实行异地备份并且长期保存，确保了系统可靠、稳定、安全地运行。在人员控制方面，对信息技术人员进行有关信息系统安全的统一培训和考核；信息技术人员之间定期轮换岗位。</w:t>
      </w:r>
    </w:p>
    <w:p w14:paraId="4BECF376"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（4）会计系统控制</w:t>
      </w:r>
    </w:p>
    <w:p w14:paraId="5C44E43C"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通过建立严格的会计系统控制措施，确保会计核算正常运转。基金管理人根据《中华人民共和国会计法》、《证券投资基金会计核算业务指引》、《企业财务通则》等国家有关法律、法规制订了基金会计制度、公司财务制度、会计工作操作流程和会计岗位工作手册。通过事前防范、事中检查、事后监督的方式发现、堵截、杜绝基金会计核算中存在的各种风险。具体措施包括：采用了目前最先进的基金核算软件；基金会计严格执行复核制度；基金会计核算采用基金管理人与基金托管人双人同步独立核算、相互核对的方式；每日制作基金会计核算估值系统电子数据的备份，同时打印保存书面的记账凭证、各类会计报表、统计报表，并由专人保存原始记账凭证等。</w:t>
      </w:r>
    </w:p>
    <w:p w14:paraId="59F4C0FD"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（5）内部稽核控制</w:t>
      </w:r>
    </w:p>
    <w:p w14:paraId="1D9C9908"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通过制定稽核监察制度，开展独立监督，确保内部控制的有效性。基金管理人设立督察长，督察长可以列席基金管理人召开的任何会议，调阅相关档案，就内部控制制度的执行情况独立地履行检查、评价、报告、建议职能。督察长定期和不定期向董事会报告公司内部控制执行情况。公司为合规稽核部配备充足合格的稽核监察人员，监督各业务部门和人员遵守法律、法规和规章的有关情况；检查各业务部门和人员执行内部控制制度、各项管理制度和业务规章的情况。</w:t>
      </w:r>
    </w:p>
    <w:p w14:paraId="1BA789B2"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4、基金管理人关于内部控制制度声明书</w:t>
      </w:r>
    </w:p>
    <w:p w14:paraId="055A3793"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（1）基金管理人承诺以上关于内部控制制度的披露真实、准确；</w:t>
      </w:r>
    </w:p>
    <w:p w14:paraId="7112C7EF"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lastRenderedPageBreak/>
        <w:t>（2）基金管理人承诺根据市场变化和基金管理人业务发展不断完善内部风险控制制度。</w:t>
      </w:r>
      <w:r>
        <w:rPr>
          <w:rFonts w:ascii="宋体" w:hAnsi="宋体" w:cs="宋体"/>
          <w:kern w:val="0"/>
          <w:sz w:val="24"/>
          <w:szCs w:val="24"/>
        </w:rPr>
        <w:br w:type="page"/>
      </w:r>
    </w:p>
    <w:p w14:paraId="788D0B3D" w14:textId="77777777" w:rsidR="009D63C8" w:rsidRDefault="00B67EDE" w:rsidP="009E26D0">
      <w:pPr>
        <w:pStyle w:val="1"/>
        <w:spacing w:before="0" w:after="0"/>
        <w:jc w:val="center"/>
        <w:rPr>
          <w:rFonts w:ascii="Times New Roman"/>
          <w:color w:val="auto"/>
          <w:sz w:val="30"/>
        </w:rPr>
      </w:pPr>
      <w:bookmarkStart w:id="33" w:name="_Toc256000003"/>
      <w:r w:rsidRPr="009E26D0">
        <w:rPr>
          <w:rFonts w:ascii="Times New Roman"/>
          <w:noProof/>
          <w:color w:val="auto"/>
          <w:sz w:val="30"/>
        </w:rPr>
        <w:lastRenderedPageBreak/>
        <w:t>第四部分</w:t>
      </w:r>
      <w:r w:rsidRPr="009E26D0">
        <w:rPr>
          <w:rFonts w:ascii="Times New Roman"/>
          <w:noProof/>
          <w:color w:val="auto"/>
          <w:sz w:val="30"/>
        </w:rPr>
        <w:t xml:space="preserve">  </w:t>
      </w:r>
      <w:r w:rsidRPr="009E26D0">
        <w:rPr>
          <w:rFonts w:ascii="Times New Roman"/>
          <w:noProof/>
          <w:color w:val="auto"/>
          <w:sz w:val="30"/>
        </w:rPr>
        <w:t>基金托管人</w:t>
      </w:r>
      <w:bookmarkEnd w:id="33"/>
    </w:p>
    <w:p w14:paraId="55F52742" w14:textId="77777777" w:rsidR="007A2B34" w:rsidRPr="0017353E" w:rsidRDefault="007A2B34" w:rsidP="0090469D"/>
    <w:p w14:paraId="65BC0669" w14:textId="42FBB26E" w:rsidR="00C53084" w:rsidRPr="00C53084" w:rsidRDefault="00C53084" w:rsidP="00C53084">
      <w:pPr>
        <w:pStyle w:val="div"/>
        <w:spacing w:line="360" w:lineRule="auto"/>
        <w:ind w:firstLine="420"/>
        <w:rPr>
          <w:rFonts w:ascii="宋体" w:hAnsi="宋体" w:cs="宋体"/>
          <w:kern w:val="0"/>
          <w:sz w:val="24"/>
          <w:szCs w:val="24"/>
        </w:rPr>
      </w:pPr>
      <w:bookmarkStart w:id="34" w:name="_Hlk212216225"/>
      <w:r w:rsidRPr="00C53084">
        <w:rPr>
          <w:rFonts w:ascii="宋体" w:hAnsi="宋体" w:cs="宋体" w:hint="eastAsia"/>
          <w:kern w:val="0"/>
          <w:sz w:val="24"/>
          <w:szCs w:val="24"/>
        </w:rPr>
        <w:t>（一）基金托管人情况</w:t>
      </w:r>
    </w:p>
    <w:p w14:paraId="794EE34D"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1、基本情况</w:t>
      </w:r>
    </w:p>
    <w:p w14:paraId="6272F629"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名称：中国农业银行股份有限公司（简称中国农业银行）</w:t>
      </w:r>
    </w:p>
    <w:p w14:paraId="6F5A6007"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住所：北京市东城区建国门内大街69号</w:t>
      </w:r>
    </w:p>
    <w:p w14:paraId="7922E446"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办公地址：北京市西城区复兴门内大街28号凯晨世贸中心东座</w:t>
      </w:r>
    </w:p>
    <w:p w14:paraId="4A9C5BD2"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法定代表人：谷澍</w:t>
      </w:r>
    </w:p>
    <w:p w14:paraId="6B7B7402"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成立日期：2009年1月15日</w:t>
      </w:r>
    </w:p>
    <w:p w14:paraId="7A1E6011"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批准设立机关和批准设立文号：中国银监会银监复[2009]13号</w:t>
      </w:r>
    </w:p>
    <w:p w14:paraId="7A586961"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基金托管资格批文及文号：中国证监会证监基字[1998]23号</w:t>
      </w:r>
    </w:p>
    <w:p w14:paraId="2CCF9C29"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注册资本：34,998,303.4万元人民币</w:t>
      </w:r>
    </w:p>
    <w:p w14:paraId="33A6965B"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存续期间：持续经营</w:t>
      </w:r>
    </w:p>
    <w:p w14:paraId="18E2E326"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联系电话：010-66060069</w:t>
      </w:r>
    </w:p>
    <w:p w14:paraId="5330E439"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传真：010-68121816</w:t>
      </w:r>
    </w:p>
    <w:p w14:paraId="15B03A1F"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联系人：任航</w:t>
      </w:r>
    </w:p>
    <w:p w14:paraId="24B281D1"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6F2AFE7F"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中国农业银行是中国第一批开展托管业务的国内商业银行，经验丰富，服务</w:t>
      </w:r>
      <w:r w:rsidRPr="00C53084">
        <w:rPr>
          <w:rFonts w:ascii="宋体" w:hAnsi="宋体" w:cs="宋体" w:hint="eastAsia"/>
          <w:kern w:val="0"/>
          <w:sz w:val="24"/>
          <w:szCs w:val="24"/>
        </w:rPr>
        <w:lastRenderedPageBreak/>
        <w:t>优质，业绩突出，2004年被英国《全球托管人》评为中国“最佳托管银行”。2007年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2019年荣获证券时报授予的“2019年度资产托管银行天玑奖”称号；2020年被美国《环球金融》评为中国“最佳托管银行”；2021年荣获全国银行间同业拆借中心首次设立的“银行间本币市场优秀托管行”奖；2022年在权威杂志《财资》年度评选中首次荣获“中国最佳保险托管银行”。</w:t>
      </w:r>
    </w:p>
    <w:p w14:paraId="5F724A97"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中国农业银行证券投资基金托管部于1998年5月经中国证监会和中国人民银行批准成立，2004年更名为中国农业银行托管业务部。目前内设风险合规部/综合管理部、业务管理部、客户一部、客户二部、客户三部、客户四部、系统与信息管理部、营运管理部、营运一部、营运二部，拥有先进的安全防范设施和基金托管业务系统。</w:t>
      </w:r>
    </w:p>
    <w:p w14:paraId="3EA477D2"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2、主要人员情况</w:t>
      </w:r>
    </w:p>
    <w:p w14:paraId="46957B85"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中国农业银行托管业务部现有员工302名，其中具有高级职称的专家60名，服务团队成员专业水平高、业务素质好、服务能力强，高级管理层均有20年以上金融从业经验和高级技术职称，精通国内外证券市场的运作。</w:t>
      </w:r>
    </w:p>
    <w:p w14:paraId="6FB07B0D"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3、基金托管业务经营情况</w:t>
      </w:r>
    </w:p>
    <w:p w14:paraId="606D847A"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截止到2026年3月31日，中国农业银行托管的封闭式证券投资基金和开放式证券投资基金共1027只。</w:t>
      </w:r>
    </w:p>
    <w:p w14:paraId="648025BE" w14:textId="2CF70B39" w:rsidR="00C53084" w:rsidRPr="00C53084" w:rsidRDefault="00C53084" w:rsidP="00C53084">
      <w:pPr>
        <w:pStyle w:val="div"/>
        <w:spacing w:line="360" w:lineRule="auto"/>
        <w:ind w:firstLine="420"/>
        <w:rPr>
          <w:rFonts w:ascii="宋体" w:hAnsi="宋体" w:cs="宋体"/>
          <w:kern w:val="0"/>
          <w:sz w:val="24"/>
          <w:szCs w:val="24"/>
        </w:rPr>
      </w:pPr>
      <w:r>
        <w:rPr>
          <w:rFonts w:ascii="宋体" w:hAnsi="宋体" w:cs="宋体" w:hint="eastAsia"/>
          <w:kern w:val="0"/>
          <w:sz w:val="24"/>
          <w:szCs w:val="24"/>
        </w:rPr>
        <w:t>（二）</w:t>
      </w:r>
      <w:r w:rsidRPr="00C53084">
        <w:rPr>
          <w:rFonts w:ascii="宋体" w:hAnsi="宋体" w:cs="宋体" w:hint="eastAsia"/>
          <w:kern w:val="0"/>
          <w:sz w:val="24"/>
          <w:szCs w:val="24"/>
        </w:rPr>
        <w:t>基金托管人的内部风险控制制度说明</w:t>
      </w:r>
    </w:p>
    <w:p w14:paraId="2334D9AB"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lastRenderedPageBreak/>
        <w:t>1、内部控制目标</w:t>
      </w:r>
    </w:p>
    <w:p w14:paraId="3D8F4153"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14:paraId="3BC9DC94"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2、内部控制组织结构</w:t>
      </w:r>
    </w:p>
    <w:p w14:paraId="4A1FE1EC"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14:paraId="442AF180"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3、内部控制制度及措施</w:t>
      </w:r>
    </w:p>
    <w:p w14:paraId="3E7FA261"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418525C6" w14:textId="01046F82" w:rsidR="00C53084" w:rsidRPr="00C53084" w:rsidRDefault="00C53084" w:rsidP="00C53084">
      <w:pPr>
        <w:pStyle w:val="div"/>
        <w:spacing w:line="360" w:lineRule="auto"/>
        <w:ind w:firstLine="420"/>
        <w:rPr>
          <w:rFonts w:ascii="宋体" w:hAnsi="宋体" w:cs="宋体"/>
          <w:kern w:val="0"/>
          <w:sz w:val="24"/>
          <w:szCs w:val="24"/>
        </w:rPr>
      </w:pPr>
      <w:r>
        <w:rPr>
          <w:rFonts w:ascii="宋体" w:hAnsi="宋体" w:cs="宋体" w:hint="eastAsia"/>
          <w:kern w:val="0"/>
          <w:sz w:val="24"/>
          <w:szCs w:val="24"/>
        </w:rPr>
        <w:t>（三）</w:t>
      </w:r>
      <w:r w:rsidRPr="00C53084">
        <w:rPr>
          <w:rFonts w:ascii="宋体" w:hAnsi="宋体" w:cs="宋体" w:hint="eastAsia"/>
          <w:kern w:val="0"/>
          <w:sz w:val="24"/>
          <w:szCs w:val="24"/>
        </w:rPr>
        <w:t>基金托管人对基金管理人运作基金进行监督的方法和程序</w:t>
      </w:r>
    </w:p>
    <w:p w14:paraId="2C070229"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23EAA195"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当基金出现异常交易行为时，基金托管人应当针对不同情况进行以下方式的处理：</w:t>
      </w:r>
    </w:p>
    <w:p w14:paraId="7B459DED"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1、电话提示。对媒体和舆论反映集中的问题，电话提示基金管理人；</w:t>
      </w:r>
    </w:p>
    <w:p w14:paraId="38C89445"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2、书面警示。对本基金投资比例接近超标、资金头寸不足等问题，以书面方式对基金管理人进行提示；</w:t>
      </w:r>
    </w:p>
    <w:p w14:paraId="44F08FFF" w14:textId="649AACD9" w:rsidR="00974072"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3、书面报告。对投资比例超标、清算资金透支以及其他涉嫌违规交易等行为，书面提示有关基金管理人并报中国证监会</w:t>
      </w:r>
      <w:r w:rsidR="00974072" w:rsidRPr="00FA0B0C">
        <w:rPr>
          <w:rFonts w:ascii="宋体" w:hAnsi="宋体" w:cs="宋体" w:hint="eastAsia"/>
          <w:kern w:val="0"/>
          <w:sz w:val="24"/>
          <w:szCs w:val="24"/>
        </w:rPr>
        <w:t>。</w:t>
      </w:r>
    </w:p>
    <w:bookmarkEnd w:id="34"/>
    <w:p w14:paraId="38EFF1CF" w14:textId="77777777" w:rsidR="00690CAC" w:rsidRDefault="00B67EDE" w:rsidP="008D13E6">
      <w:pPr>
        <w:autoSpaceDE w:val="0"/>
        <w:autoSpaceDN w:val="0"/>
        <w:adjustRightInd w:val="0"/>
        <w:spacing w:line="360" w:lineRule="auto"/>
        <w:ind w:firstLineChars="200" w:firstLine="480"/>
        <w:jc w:val="center"/>
        <w:rPr>
          <w:rFonts w:ascii="宋体"/>
          <w:noProof/>
          <w:color w:val="000000"/>
          <w:kern w:val="0"/>
          <w:sz w:val="24"/>
          <w:szCs w:val="24"/>
        </w:rPr>
      </w:pPr>
      <w:r>
        <w:rPr>
          <w:rFonts w:ascii="宋体"/>
          <w:noProof/>
          <w:color w:val="000000"/>
          <w:kern w:val="0"/>
          <w:sz w:val="24"/>
          <w:szCs w:val="24"/>
        </w:rPr>
        <w:br w:type="page"/>
      </w:r>
    </w:p>
    <w:p w14:paraId="681C5C14" w14:textId="77777777" w:rsidR="009D63C8" w:rsidRDefault="00B67EDE" w:rsidP="009E26D0">
      <w:pPr>
        <w:pStyle w:val="1"/>
        <w:spacing w:before="0" w:after="0"/>
        <w:jc w:val="center"/>
        <w:rPr>
          <w:rFonts w:ascii="Times New Roman"/>
          <w:color w:val="auto"/>
          <w:sz w:val="30"/>
        </w:rPr>
      </w:pPr>
      <w:bookmarkStart w:id="35" w:name="_Toc256000004"/>
      <w:r w:rsidRPr="009E26D0">
        <w:rPr>
          <w:rFonts w:ascii="Times New Roman"/>
          <w:noProof/>
          <w:color w:val="auto"/>
          <w:sz w:val="30"/>
        </w:rPr>
        <w:lastRenderedPageBreak/>
        <w:t>第五部分</w:t>
      </w:r>
      <w:r w:rsidRPr="009E26D0">
        <w:rPr>
          <w:rFonts w:ascii="Times New Roman"/>
          <w:noProof/>
          <w:color w:val="auto"/>
          <w:sz w:val="30"/>
        </w:rPr>
        <w:t xml:space="preserve">  </w:t>
      </w:r>
      <w:r w:rsidRPr="009E26D0">
        <w:rPr>
          <w:rFonts w:ascii="Times New Roman"/>
          <w:noProof/>
          <w:color w:val="auto"/>
          <w:sz w:val="30"/>
        </w:rPr>
        <w:t>相关服务机构</w:t>
      </w:r>
      <w:bookmarkEnd w:id="35"/>
    </w:p>
    <w:p w14:paraId="230548DA" w14:textId="77777777" w:rsidR="007A2B34" w:rsidRPr="0017353E" w:rsidRDefault="007A2B34" w:rsidP="0090469D"/>
    <w:p w14:paraId="1CC8A804"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一、基金份额销售机构</w:t>
      </w:r>
    </w:p>
    <w:p w14:paraId="58E26C9B"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1、直销机构</w:t>
      </w:r>
    </w:p>
    <w:p w14:paraId="016D5745" w14:textId="5AC1DEF9"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w:t>
      </w:r>
      <w:r w:rsidR="00C53084">
        <w:rPr>
          <w:rFonts w:ascii="宋体" w:hAnsi="宋体" w:cs="宋体"/>
          <w:kern w:val="0"/>
          <w:sz w:val="24"/>
          <w:szCs w:val="24"/>
        </w:rPr>
        <w:t>汇添富基金管理股份有限公司</w:t>
      </w:r>
      <w:r>
        <w:rPr>
          <w:rFonts w:ascii="宋体" w:hAnsi="宋体" w:cs="宋体"/>
          <w:kern w:val="0"/>
          <w:sz w:val="24"/>
          <w:szCs w:val="24"/>
        </w:rPr>
        <w:t>直销中心</w:t>
      </w:r>
    </w:p>
    <w:p w14:paraId="5AB9A730"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住所：上海市黄浦区外马路728号9楼</w:t>
      </w:r>
    </w:p>
    <w:p w14:paraId="1F4FD454"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办公地址：上海市浦东新区樱花路868号建工大唐国际广场A座7楼</w:t>
      </w:r>
    </w:p>
    <w:p w14:paraId="54914B11"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法定代表人：鲁伟铭</w:t>
      </w:r>
    </w:p>
    <w:p w14:paraId="64F9BFFD"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电话：（021）28932893</w:t>
      </w:r>
    </w:p>
    <w:p w14:paraId="5C472D91"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传真：（021）50199035或（021）50199036</w:t>
      </w:r>
    </w:p>
    <w:p w14:paraId="31ABF9A8"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联系人：陈卓膺</w:t>
      </w:r>
    </w:p>
    <w:p w14:paraId="2D955DAD"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客户服务电话：400-888-9918（免长途话费）</w:t>
      </w:r>
    </w:p>
    <w:p w14:paraId="56377FCD"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网址：www.99fund.com</w:t>
      </w:r>
    </w:p>
    <w:p w14:paraId="2A2EC007"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邮箱：guitai@htffund.com</w:t>
      </w:r>
    </w:p>
    <w:p w14:paraId="5E899D3D"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（2）汇添富基金管理股份有限公司线上直销系统</w:t>
      </w:r>
    </w:p>
    <w:p w14:paraId="60621F0D"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2、其他销售机构</w:t>
      </w:r>
    </w:p>
    <w:p w14:paraId="2F4E1329"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本基金的其他销售机构请详见基金管理人官网公示的销售机构信息表。基金管理人可根据有关法律法规的要求，选择其他符合要求的机构销售基金，并在基金管理人网站公示。</w:t>
      </w:r>
    </w:p>
    <w:p w14:paraId="6141D2C6"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二、登记机构</w:t>
      </w:r>
    </w:p>
    <w:p w14:paraId="353FEFB0"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名称：汇添富基金管理股份有限公司</w:t>
      </w:r>
    </w:p>
    <w:p w14:paraId="70DB1325"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住所：上海市黄浦区外马路728号9楼</w:t>
      </w:r>
    </w:p>
    <w:p w14:paraId="1F7A54F9"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办公地址：上海市浦东新区樱花路868号建工大唐国际广场A座7楼</w:t>
      </w:r>
    </w:p>
    <w:p w14:paraId="331AA8E7"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法定代表人：鲁伟铭</w:t>
      </w:r>
    </w:p>
    <w:p w14:paraId="20CE7498"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电话：（021）28932888</w:t>
      </w:r>
    </w:p>
    <w:p w14:paraId="2B5BBA6B"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传真：（021）28932876</w:t>
      </w:r>
    </w:p>
    <w:p w14:paraId="790B747B"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联系人：马树超</w:t>
      </w:r>
    </w:p>
    <w:p w14:paraId="47809C2D"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三、出具法律意见书的律师事务所</w:t>
      </w:r>
    </w:p>
    <w:p w14:paraId="48E408C3"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名称：上海市通力律师事务所</w:t>
      </w:r>
    </w:p>
    <w:p w14:paraId="6F310C0F"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lastRenderedPageBreak/>
        <w:t>住所：上海市银城中路68号时代金融中心19楼</w:t>
      </w:r>
    </w:p>
    <w:p w14:paraId="47A898E1"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办公地址：上海市银城中路68号时代金融中心19楼</w:t>
      </w:r>
    </w:p>
    <w:p w14:paraId="29FDCC47"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负责人：陈臻</w:t>
      </w:r>
    </w:p>
    <w:p w14:paraId="08927FC9"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电话：（021）31358666</w:t>
      </w:r>
    </w:p>
    <w:p w14:paraId="773CFA23"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传真：（021）31358600</w:t>
      </w:r>
    </w:p>
    <w:p w14:paraId="795512CA"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经办律师：陈颖华、吴曹圆</w:t>
      </w:r>
    </w:p>
    <w:p w14:paraId="07D0A90B" w14:textId="20E76F45" w:rsidR="00AE2B28" w:rsidRDefault="00C53084">
      <w:pPr>
        <w:pStyle w:val="div"/>
        <w:spacing w:line="360" w:lineRule="auto"/>
        <w:ind w:firstLine="420"/>
        <w:rPr>
          <w:rFonts w:eastAsia="Times New Roman"/>
          <w:kern w:val="0"/>
          <w:sz w:val="24"/>
          <w:szCs w:val="24"/>
        </w:rPr>
      </w:pPr>
      <w:r w:rsidRPr="00C53084">
        <w:rPr>
          <w:rFonts w:ascii="宋体" w:hAnsi="宋体" w:cs="宋体" w:hint="eastAsia"/>
          <w:kern w:val="0"/>
          <w:sz w:val="24"/>
          <w:szCs w:val="24"/>
        </w:rPr>
        <w:t>联系人：陈颖华</w:t>
      </w:r>
    </w:p>
    <w:p w14:paraId="6AF1C643"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四、审计基金财产的会计师事务所</w:t>
      </w:r>
    </w:p>
    <w:p w14:paraId="0534D6F6"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名称：安永华明会计师事务所（特殊普通合伙）</w:t>
      </w:r>
    </w:p>
    <w:p w14:paraId="57275224"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执行事务合伙人：毛鞍宁</w:t>
      </w:r>
    </w:p>
    <w:p w14:paraId="1A870074"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住所：北京市东城区东长安街1号东方广场安永大楼17层</w:t>
      </w:r>
    </w:p>
    <w:p w14:paraId="48291FA8"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办公地址：北京市东城区东长安街1号东方广场安永大楼17层</w:t>
      </w:r>
    </w:p>
    <w:p w14:paraId="6CB04EBD"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邮政编码：100738</w:t>
      </w:r>
    </w:p>
    <w:p w14:paraId="42C99947"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公司电话：010-58153000</w:t>
      </w:r>
    </w:p>
    <w:p w14:paraId="4B0A12EE"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公司传真：010-85188298</w:t>
      </w:r>
    </w:p>
    <w:p w14:paraId="5C852201" w14:textId="77777777" w:rsidR="00C53084" w:rsidRPr="00C53084" w:rsidRDefault="00C53084" w:rsidP="00C53084">
      <w:pPr>
        <w:pStyle w:val="div"/>
        <w:spacing w:line="360" w:lineRule="auto"/>
        <w:ind w:firstLine="420"/>
        <w:rPr>
          <w:rFonts w:ascii="宋体" w:hAnsi="宋体" w:cs="宋体"/>
          <w:kern w:val="0"/>
          <w:sz w:val="24"/>
          <w:szCs w:val="24"/>
        </w:rPr>
      </w:pPr>
      <w:r w:rsidRPr="00C53084">
        <w:rPr>
          <w:rFonts w:ascii="宋体" w:hAnsi="宋体" w:cs="宋体" w:hint="eastAsia"/>
          <w:kern w:val="0"/>
          <w:sz w:val="24"/>
          <w:szCs w:val="24"/>
        </w:rPr>
        <w:t>签章会计师：陈露、蔺育化、戴唯</w:t>
      </w:r>
    </w:p>
    <w:p w14:paraId="63C181F4" w14:textId="63DF5F18" w:rsidR="00AE2B28" w:rsidRDefault="00C53084">
      <w:pPr>
        <w:pStyle w:val="div"/>
        <w:spacing w:line="360" w:lineRule="auto"/>
        <w:ind w:firstLine="420"/>
        <w:rPr>
          <w:rFonts w:eastAsia="Times New Roman"/>
          <w:kern w:val="0"/>
          <w:sz w:val="24"/>
          <w:szCs w:val="24"/>
        </w:rPr>
      </w:pPr>
      <w:r w:rsidRPr="00C53084">
        <w:rPr>
          <w:rFonts w:ascii="宋体" w:hAnsi="宋体" w:cs="宋体" w:hint="eastAsia"/>
          <w:kern w:val="0"/>
          <w:sz w:val="24"/>
          <w:szCs w:val="24"/>
        </w:rPr>
        <w:t>业务联系人：戴唯</w:t>
      </w:r>
      <w:r w:rsidR="00B67EDE">
        <w:rPr>
          <w:rFonts w:ascii="宋体" w:hAnsi="宋体" w:cs="宋体"/>
          <w:kern w:val="0"/>
          <w:sz w:val="24"/>
          <w:szCs w:val="24"/>
        </w:rPr>
        <w:br w:type="page"/>
      </w:r>
    </w:p>
    <w:p w14:paraId="11A358CB" w14:textId="77777777" w:rsidR="009D63C8" w:rsidRDefault="00B67EDE" w:rsidP="009E26D0">
      <w:pPr>
        <w:pStyle w:val="1"/>
        <w:spacing w:before="0" w:after="0"/>
        <w:jc w:val="center"/>
        <w:rPr>
          <w:rFonts w:ascii="Times New Roman"/>
          <w:color w:val="auto"/>
          <w:sz w:val="30"/>
        </w:rPr>
      </w:pPr>
      <w:bookmarkStart w:id="36" w:name="_Toc256000005"/>
      <w:r w:rsidRPr="009E26D0">
        <w:rPr>
          <w:rFonts w:ascii="Times New Roman"/>
          <w:noProof/>
          <w:color w:val="auto"/>
          <w:sz w:val="30"/>
        </w:rPr>
        <w:lastRenderedPageBreak/>
        <w:t>第六部分</w:t>
      </w:r>
      <w:r w:rsidRPr="009E26D0">
        <w:rPr>
          <w:rFonts w:ascii="Times New Roman"/>
          <w:noProof/>
          <w:color w:val="auto"/>
          <w:sz w:val="30"/>
        </w:rPr>
        <w:t xml:space="preserve">  </w:t>
      </w:r>
      <w:r w:rsidRPr="009E26D0">
        <w:rPr>
          <w:rFonts w:ascii="Times New Roman"/>
          <w:noProof/>
          <w:color w:val="auto"/>
          <w:sz w:val="30"/>
        </w:rPr>
        <w:t>基金的募集</w:t>
      </w:r>
      <w:bookmarkEnd w:id="36"/>
    </w:p>
    <w:p w14:paraId="42920D7B" w14:textId="77777777" w:rsidR="007A2B34" w:rsidRPr="0017353E" w:rsidRDefault="007A2B34" w:rsidP="0090469D"/>
    <w:p w14:paraId="781C0830" w14:textId="48CDAF80"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本基金由基金管理人依照《基金法》、《运作办法》、《销售办法》、《信息披露办法》等有关法律法规以及基金合同的规定，经中国证监会证监许可【</w:t>
      </w:r>
      <w:r w:rsidR="00E66E09">
        <w:rPr>
          <w:rFonts w:ascii="宋体" w:hAnsi="宋体" w:cs="宋体"/>
          <w:kern w:val="0"/>
          <w:sz w:val="24"/>
          <w:szCs w:val="24"/>
        </w:rPr>
        <w:t>2026</w:t>
      </w:r>
      <w:r>
        <w:rPr>
          <w:rFonts w:ascii="宋体" w:hAnsi="宋体" w:cs="宋体"/>
          <w:kern w:val="0"/>
          <w:sz w:val="24"/>
          <w:szCs w:val="24"/>
        </w:rPr>
        <w:t>】</w:t>
      </w:r>
      <w:r w:rsidR="00E66E09">
        <w:rPr>
          <w:rFonts w:ascii="宋体" w:hAnsi="宋体" w:cs="宋体" w:hint="eastAsia"/>
          <w:kern w:val="0"/>
          <w:sz w:val="24"/>
          <w:szCs w:val="24"/>
        </w:rPr>
        <w:t>1</w:t>
      </w:r>
      <w:r w:rsidR="00E66E09">
        <w:rPr>
          <w:rFonts w:ascii="宋体" w:hAnsi="宋体" w:cs="宋体"/>
          <w:kern w:val="0"/>
          <w:sz w:val="24"/>
          <w:szCs w:val="24"/>
        </w:rPr>
        <w:t>372</w:t>
      </w:r>
      <w:r>
        <w:rPr>
          <w:rFonts w:ascii="宋体" w:hAnsi="宋体" w:cs="宋体"/>
          <w:kern w:val="0"/>
          <w:sz w:val="24"/>
          <w:szCs w:val="24"/>
        </w:rPr>
        <w:t>号文件准予注册募集。</w:t>
      </w:r>
    </w:p>
    <w:p w14:paraId="667317D7"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一、基金的类型、运作方式及存续期限</w:t>
      </w:r>
    </w:p>
    <w:p w14:paraId="68667D6D"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1、基金类型：</w:t>
      </w:r>
    </w:p>
    <w:p w14:paraId="3EE6B522"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混合型证券投资基金</w:t>
      </w:r>
    </w:p>
    <w:p w14:paraId="33BFC0D4"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2、基金运作方式：</w:t>
      </w:r>
    </w:p>
    <w:p w14:paraId="5E5558EF"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契约型开放式、发起式</w:t>
      </w:r>
    </w:p>
    <w:p w14:paraId="0B41B373"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3、存续期限：不定期</w:t>
      </w:r>
    </w:p>
    <w:p w14:paraId="728E0875"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二、基金份额的募集期限、募集对象、募集方式、募集场所</w:t>
      </w:r>
    </w:p>
    <w:p w14:paraId="4DE76DDC"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1、募集期限</w:t>
      </w:r>
    </w:p>
    <w:p w14:paraId="426E666A"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自基金份额发售之日起最长不得超过3个月，具体发售时间见基金份额发售公告。</w:t>
      </w:r>
    </w:p>
    <w:p w14:paraId="7DE15951" w14:textId="51AEB4BF" w:rsidR="00AE2B28" w:rsidRPr="00C1095B" w:rsidRDefault="00B67EDE" w:rsidP="00C1095B">
      <w:pPr>
        <w:pStyle w:val="div"/>
        <w:spacing w:line="360" w:lineRule="auto"/>
        <w:ind w:firstLine="420"/>
        <w:jc w:val="left"/>
        <w:rPr>
          <w:rFonts w:eastAsia="Times New Roman"/>
          <w:kern w:val="0"/>
          <w:sz w:val="24"/>
          <w:szCs w:val="24"/>
        </w:rPr>
      </w:pPr>
      <w:r>
        <w:rPr>
          <w:rFonts w:ascii="宋体" w:hAnsi="宋体" w:cs="宋体"/>
          <w:kern w:val="0"/>
          <w:sz w:val="24"/>
          <w:szCs w:val="24"/>
        </w:rPr>
        <w:t>2、募集对象</w:t>
      </w:r>
    </w:p>
    <w:p w14:paraId="492C7DA6" w14:textId="77777777" w:rsidR="00AE2B28" w:rsidRDefault="00B67EDE">
      <w:pPr>
        <w:pStyle w:val="div"/>
        <w:widowControl/>
        <w:spacing w:line="360" w:lineRule="auto"/>
        <w:ind w:firstLine="480"/>
        <w:jc w:val="left"/>
        <w:rPr>
          <w:rFonts w:eastAsia="Times New Roman"/>
          <w:kern w:val="0"/>
          <w:sz w:val="24"/>
          <w:szCs w:val="24"/>
        </w:rPr>
      </w:pPr>
      <w:r>
        <w:rPr>
          <w:rFonts w:ascii="宋体" w:hAnsi="宋体" w:cs="宋体"/>
          <w:kern w:val="0"/>
          <w:sz w:val="24"/>
          <w:szCs w:val="24"/>
        </w:rPr>
        <w:t>符合法律法规规定的可投资于证券投资基金的个人投资者、机构投资者、合格境外投资者、发起资金提供方以及法律法规或中国证监会允许购买证券投资基金的其他投资人。</w:t>
      </w:r>
    </w:p>
    <w:p w14:paraId="4ADD21A5"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者自行承担。</w:t>
      </w:r>
    </w:p>
    <w:p w14:paraId="206096B4"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3、募集方式</w:t>
      </w:r>
    </w:p>
    <w:p w14:paraId="3482301D"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通过各销售机构的基金销售网点公开发售，各销售机构的具体名单见基金管理人网站届时公示的基金销售机构名录。</w:t>
      </w:r>
    </w:p>
    <w:p w14:paraId="017C8F46"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4、募集场所</w:t>
      </w:r>
    </w:p>
    <w:p w14:paraId="22910F87"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本基金将通过基金管理人的直销机构及其他基金销售机构的销售网点公开发售。</w:t>
      </w:r>
    </w:p>
    <w:p w14:paraId="320D7022"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lastRenderedPageBreak/>
        <w:t>投资者还可以登录基金管理人网站（www.99fund.com）办理开户、认购等业务，网上交易开通流程、业务规则请登录基金管理人网站查询。</w:t>
      </w:r>
    </w:p>
    <w:p w14:paraId="48938F45"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募集期间，基金管理人可根据情况变更或增减基金销售机构，并在基金管理人网站公示。具体销售城市（或网点）名单和联系方式，请参见基金管理人网站届时公示的基金销售机构名录以及当地基金销售机构以各种形式发布的公告。</w:t>
      </w:r>
    </w:p>
    <w:p w14:paraId="5FEC3420"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三、基金份额类别设置</w:t>
      </w:r>
    </w:p>
    <w:p w14:paraId="0398A0E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本基金根据认购/申购费用、销售服务费收取方式等事项的不同，将基金份额分为不同的类别。</w:t>
      </w:r>
    </w:p>
    <w:p w14:paraId="1162236D" w14:textId="318A8846"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A类基金份额在投资者</w:t>
      </w:r>
      <w:r w:rsidR="002F4B13">
        <w:rPr>
          <w:rFonts w:ascii="宋体" w:hAnsi="宋体" w:cs="宋体"/>
          <w:kern w:val="0"/>
          <w:sz w:val="24"/>
          <w:szCs w:val="24"/>
        </w:rPr>
        <w:t>通过直销机构以外的其他销售机构</w:t>
      </w:r>
      <w:r>
        <w:rPr>
          <w:rFonts w:ascii="宋体" w:hAnsi="宋体" w:cs="宋体"/>
          <w:kern w:val="0"/>
          <w:sz w:val="24"/>
          <w:szCs w:val="24"/>
        </w:rPr>
        <w:t>认购、申购时收取认购、申购费用，在赎回时根据持有期限收取赎回费用，但不从本类别基金财产中计提销售服务费；</w:t>
      </w:r>
      <w:r w:rsidR="002F4B13">
        <w:rPr>
          <w:rFonts w:ascii="宋体" w:hAnsi="宋体" w:cs="宋体"/>
          <w:kern w:val="0"/>
          <w:sz w:val="24"/>
          <w:szCs w:val="24"/>
        </w:rPr>
        <w:t>投资者通过直销机构认购/申购A类基金份额时不收取认购/申购费用。</w:t>
      </w:r>
      <w:r>
        <w:rPr>
          <w:rFonts w:ascii="宋体" w:hAnsi="宋体" w:cs="宋体"/>
          <w:kern w:val="0"/>
          <w:sz w:val="24"/>
          <w:szCs w:val="24"/>
        </w:rPr>
        <w:t>C类基金份额从</w:t>
      </w:r>
      <w:r w:rsidR="002F4B13">
        <w:rPr>
          <w:rFonts w:ascii="宋体" w:hAnsi="宋体" w:cs="宋体"/>
          <w:kern w:val="0"/>
          <w:sz w:val="24"/>
          <w:szCs w:val="24"/>
        </w:rPr>
        <w:t>直销机构以外的其他销售机构保有的</w:t>
      </w:r>
      <w:r>
        <w:rPr>
          <w:rFonts w:ascii="宋体" w:hAnsi="宋体" w:cs="宋体"/>
          <w:kern w:val="0"/>
          <w:sz w:val="24"/>
          <w:szCs w:val="24"/>
        </w:rPr>
        <w:t>本类别基金财产中计提销售服务费而不收取认购、申购费用，在赎回时根据持有期限收取赎回费用。</w:t>
      </w:r>
      <w:r w:rsidR="002F4B13">
        <w:rPr>
          <w:rFonts w:ascii="宋体" w:hAnsi="宋体" w:cs="宋体"/>
          <w:kern w:val="0"/>
          <w:sz w:val="24"/>
          <w:szCs w:val="24"/>
        </w:rPr>
        <w:t>其中，对于投资者通过直销机构认购/申购的C类基金份额所计提的销售服务费或者通过其他销售机构认购/申购且持续持有期限超过一年（即365天）以后继续计提的C类基金份额销售服务费，将在投资者赎回相应基金份额或基金合同终止时随赎回款或清算款一并返还给投资者。</w:t>
      </w:r>
    </w:p>
    <w:p w14:paraId="7CF5CE1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本基金A类、C类基金份额分别设置代码。由于基金费用的不同，本基金A类、C类基金份额将分别计算基金份额净值，计算公式为计算日各类别基金资产净值除以计算日发售在外的该类别基金份额总数。</w:t>
      </w:r>
    </w:p>
    <w:p w14:paraId="7CEFF263" w14:textId="6AECB595"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投资者可自行选择认购、申购的基金份额类别。在不违反法律法规、基金合同的约定以及对基金份额持有人利益无实质性不利影响的情况下，经与基金托管人协商一致，在履行适当程序后基金管理人可增加、减少或调整基金份额类别设置、对基金份额分类办法及规则进行调整并在调整实施之日前依照《信息披露办法》的有关规定在规定媒介上公告，不需要召开基金份额持有人大会。</w:t>
      </w:r>
    </w:p>
    <w:p w14:paraId="1C32BC6C"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四、基金份额的认购</w:t>
      </w:r>
    </w:p>
    <w:p w14:paraId="617349D5"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除法律法规或中国证监会有关规定另有规定外，任何与基金份额发售有关的当事人不得预留和提前发售基金份额。</w:t>
      </w:r>
    </w:p>
    <w:p w14:paraId="1EE45EFA"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1、基金份额的发售面值</w:t>
      </w:r>
    </w:p>
    <w:p w14:paraId="3A1C5431"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lastRenderedPageBreak/>
        <w:t>本基金基金份额发售面值为人民币1.00元。</w:t>
      </w:r>
    </w:p>
    <w:p w14:paraId="6BD6BE8E"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2、认购费用</w:t>
      </w:r>
    </w:p>
    <w:p w14:paraId="79C148D5" w14:textId="77777777" w:rsidR="002F4B13" w:rsidRDefault="002F4B13" w:rsidP="002F4B13">
      <w:pPr>
        <w:pStyle w:val="div"/>
        <w:spacing w:line="360" w:lineRule="auto"/>
        <w:ind w:firstLine="420"/>
        <w:rPr>
          <w:rFonts w:ascii="宋体" w:hAnsi="宋体" w:cs="宋体"/>
          <w:kern w:val="0"/>
          <w:sz w:val="24"/>
          <w:szCs w:val="24"/>
        </w:rPr>
      </w:pPr>
      <w:r>
        <w:rPr>
          <w:rFonts w:ascii="宋体" w:hAnsi="宋体" w:cs="宋体" w:hint="eastAsia"/>
          <w:kern w:val="0"/>
          <w:sz w:val="24"/>
          <w:szCs w:val="24"/>
        </w:rPr>
        <w:t>投资者</w:t>
      </w:r>
      <w:r w:rsidRPr="00922D8C">
        <w:rPr>
          <w:rFonts w:ascii="宋体" w:hAnsi="宋体" w:cs="宋体" w:hint="eastAsia"/>
          <w:kern w:val="0"/>
          <w:sz w:val="24"/>
          <w:szCs w:val="24"/>
        </w:rPr>
        <w:t>通过直销机构认购本基金基金份额的，不收取认购费。</w:t>
      </w:r>
    </w:p>
    <w:p w14:paraId="0713FEE8" w14:textId="77777777" w:rsidR="002F4B13" w:rsidRDefault="002F4B13" w:rsidP="002F4B13">
      <w:pPr>
        <w:pStyle w:val="div"/>
        <w:spacing w:line="360" w:lineRule="auto"/>
        <w:ind w:firstLine="420"/>
        <w:rPr>
          <w:rFonts w:ascii="宋体" w:hAnsi="宋体" w:cs="宋体"/>
          <w:kern w:val="0"/>
          <w:sz w:val="24"/>
          <w:szCs w:val="24"/>
        </w:rPr>
      </w:pPr>
      <w:r>
        <w:rPr>
          <w:rFonts w:ascii="宋体" w:hAnsi="宋体" w:cs="宋体"/>
          <w:kern w:val="0"/>
          <w:sz w:val="24"/>
          <w:szCs w:val="24"/>
        </w:rPr>
        <w:t>投资者</w:t>
      </w:r>
      <w:r>
        <w:rPr>
          <w:rFonts w:ascii="宋体" w:hAnsi="宋体" w:cs="宋体" w:hint="eastAsia"/>
          <w:kern w:val="0"/>
          <w:sz w:val="24"/>
          <w:szCs w:val="24"/>
        </w:rPr>
        <w:t>通过</w:t>
      </w:r>
      <w:r w:rsidRPr="00922D8C">
        <w:rPr>
          <w:rFonts w:ascii="宋体" w:hAnsi="宋体" w:cs="宋体" w:hint="eastAsia"/>
          <w:kern w:val="0"/>
          <w:sz w:val="24"/>
          <w:szCs w:val="24"/>
        </w:rPr>
        <w:t>直销机构以外的其他销售机构</w:t>
      </w:r>
      <w:r>
        <w:rPr>
          <w:rFonts w:ascii="宋体" w:hAnsi="宋体" w:cs="宋体"/>
          <w:kern w:val="0"/>
          <w:sz w:val="24"/>
          <w:szCs w:val="24"/>
        </w:rPr>
        <w:t>认购C类基金份额不收取认购费用</w:t>
      </w:r>
      <w:r>
        <w:rPr>
          <w:rFonts w:ascii="宋体" w:hAnsi="宋体" w:cs="宋体" w:hint="eastAsia"/>
          <w:kern w:val="0"/>
          <w:sz w:val="24"/>
          <w:szCs w:val="24"/>
        </w:rPr>
        <w:t>；认购</w:t>
      </w:r>
      <w:r>
        <w:rPr>
          <w:rFonts w:ascii="宋体" w:hAnsi="宋体" w:cs="宋体"/>
          <w:kern w:val="0"/>
          <w:sz w:val="24"/>
          <w:szCs w:val="24"/>
        </w:rPr>
        <w:t>本基金A类基金份额的</w:t>
      </w:r>
      <w:r>
        <w:rPr>
          <w:rFonts w:ascii="宋体" w:hAnsi="宋体" w:cs="宋体" w:hint="eastAsia"/>
          <w:kern w:val="0"/>
          <w:sz w:val="24"/>
          <w:szCs w:val="24"/>
        </w:rPr>
        <w:t>，</w:t>
      </w:r>
      <w:r>
        <w:rPr>
          <w:rFonts w:ascii="宋体" w:hAnsi="宋体" w:cs="宋体"/>
          <w:kern w:val="0"/>
          <w:sz w:val="24"/>
          <w:szCs w:val="24"/>
        </w:rPr>
        <w:t>认购费率随认购金额增加而递减。在募集期内如果有多笔认购，适用费率按单笔认购申请单独计算。投资者</w:t>
      </w:r>
      <w:r>
        <w:rPr>
          <w:rFonts w:ascii="宋体" w:hAnsi="宋体" w:cs="宋体" w:hint="eastAsia"/>
          <w:kern w:val="0"/>
          <w:sz w:val="24"/>
          <w:szCs w:val="24"/>
        </w:rPr>
        <w:t>通过</w:t>
      </w:r>
      <w:r w:rsidRPr="00922D8C">
        <w:rPr>
          <w:rFonts w:ascii="宋体" w:hAnsi="宋体" w:cs="宋体" w:hint="eastAsia"/>
          <w:kern w:val="0"/>
          <w:sz w:val="24"/>
          <w:szCs w:val="24"/>
        </w:rPr>
        <w:t>直销机构以外的其他销售机构</w:t>
      </w:r>
      <w:r>
        <w:rPr>
          <w:rFonts w:ascii="宋体" w:hAnsi="宋体" w:cs="宋体"/>
          <w:kern w:val="0"/>
          <w:sz w:val="24"/>
          <w:szCs w:val="24"/>
        </w:rPr>
        <w:t>认购A类基金份额的具体认购费率如下表所示：</w:t>
      </w:r>
    </w:p>
    <w:tbl>
      <w:tblPr>
        <w:tblStyle w:val="tableTable"/>
        <w:tblW w:w="7940"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firstRow="1" w:lastRow="1" w:firstColumn="1" w:lastColumn="1" w:noHBand="0" w:noVBand="1"/>
      </w:tblPr>
      <w:tblGrid>
        <w:gridCol w:w="4257"/>
        <w:gridCol w:w="3683"/>
      </w:tblGrid>
      <w:tr w:rsidR="00AE2B28" w14:paraId="395B4674" w14:textId="77777777">
        <w:trPr>
          <w:trHeight w:val="460"/>
          <w:jc w:val="center"/>
        </w:trPr>
        <w:tc>
          <w:tcPr>
            <w:tcW w:w="0" w:type="auto"/>
            <w:tcBorders>
              <w:bottom w:val="single" w:sz="6" w:space="0" w:color="000000"/>
              <w:right w:val="single" w:sz="6" w:space="0" w:color="000000"/>
            </w:tcBorders>
            <w:tcMar>
              <w:top w:w="0" w:type="dxa"/>
              <w:left w:w="110" w:type="dxa"/>
              <w:bottom w:w="0" w:type="dxa"/>
              <w:right w:w="108" w:type="dxa"/>
            </w:tcMar>
            <w:vAlign w:val="center"/>
            <w:hideMark/>
          </w:tcPr>
          <w:p w14:paraId="2B023EBC" w14:textId="77777777" w:rsidR="00AE2B28" w:rsidRDefault="00B67EDE">
            <w:pPr>
              <w:pStyle w:val="div"/>
              <w:jc w:val="center"/>
              <w:rPr>
                <w:rFonts w:ascii="宋体" w:hAnsi="宋体" w:cs="宋体"/>
                <w:color w:val="000000"/>
                <w:kern w:val="0"/>
                <w:sz w:val="24"/>
                <w:szCs w:val="24"/>
              </w:rPr>
            </w:pPr>
            <w:r>
              <w:rPr>
                <w:rFonts w:ascii="宋体" w:hAnsi="宋体" w:cs="宋体"/>
                <w:color w:val="000000"/>
                <w:kern w:val="0"/>
                <w:sz w:val="24"/>
                <w:szCs w:val="24"/>
              </w:rPr>
              <w:t>认购金额（M）</w:t>
            </w:r>
          </w:p>
        </w:tc>
        <w:tc>
          <w:tcPr>
            <w:tcW w:w="0" w:type="auto"/>
            <w:tcBorders>
              <w:left w:val="single" w:sz="6" w:space="0" w:color="000000"/>
              <w:bottom w:val="single" w:sz="6" w:space="0" w:color="000000"/>
            </w:tcBorders>
            <w:tcMar>
              <w:top w:w="0" w:type="dxa"/>
              <w:left w:w="108" w:type="dxa"/>
              <w:bottom w:w="0" w:type="dxa"/>
              <w:right w:w="110" w:type="dxa"/>
            </w:tcMar>
            <w:vAlign w:val="center"/>
            <w:hideMark/>
          </w:tcPr>
          <w:p w14:paraId="102D6A7F" w14:textId="77777777" w:rsidR="00AE2B28" w:rsidRDefault="00B67EDE">
            <w:pPr>
              <w:pStyle w:val="div"/>
              <w:jc w:val="center"/>
              <w:rPr>
                <w:rFonts w:ascii="宋体" w:hAnsi="宋体" w:cs="宋体"/>
                <w:color w:val="000000"/>
                <w:kern w:val="0"/>
                <w:sz w:val="24"/>
                <w:szCs w:val="24"/>
              </w:rPr>
            </w:pPr>
            <w:r>
              <w:rPr>
                <w:rFonts w:ascii="宋体" w:hAnsi="宋体" w:cs="宋体"/>
                <w:color w:val="000000"/>
                <w:kern w:val="0"/>
                <w:sz w:val="24"/>
                <w:szCs w:val="24"/>
              </w:rPr>
              <w:t>认购费率</w:t>
            </w:r>
          </w:p>
        </w:tc>
      </w:tr>
      <w:tr w:rsidR="00AE2B28" w14:paraId="66AC0FAA" w14:textId="77777777">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hideMark/>
          </w:tcPr>
          <w:p w14:paraId="7DAAB271" w14:textId="25F1FF76" w:rsidR="00AE2B28" w:rsidRDefault="00B67EDE">
            <w:pPr>
              <w:pStyle w:val="div"/>
              <w:jc w:val="center"/>
              <w:rPr>
                <w:rFonts w:ascii="宋体" w:hAnsi="宋体" w:cs="宋体"/>
                <w:color w:val="000000"/>
                <w:kern w:val="0"/>
                <w:sz w:val="24"/>
                <w:szCs w:val="24"/>
              </w:rPr>
            </w:pPr>
            <w:r>
              <w:rPr>
                <w:rFonts w:ascii="宋体" w:hAnsi="宋体" w:cs="宋体"/>
                <w:color w:val="000000"/>
                <w:kern w:val="0"/>
                <w:sz w:val="24"/>
                <w:szCs w:val="24"/>
              </w:rPr>
              <w:t>M＜</w:t>
            </w:r>
            <w:r w:rsidR="002F4B13">
              <w:rPr>
                <w:rFonts w:ascii="宋体" w:hAnsi="宋体" w:cs="宋体"/>
                <w:color w:val="000000"/>
                <w:kern w:val="0"/>
                <w:sz w:val="24"/>
                <w:szCs w:val="24"/>
              </w:rPr>
              <w:t>5</w:t>
            </w:r>
            <w:r>
              <w:rPr>
                <w:rFonts w:ascii="宋体" w:hAnsi="宋体" w:cs="宋体"/>
                <w:color w:val="000000"/>
                <w:kern w:val="0"/>
                <w:sz w:val="24"/>
                <w:szCs w:val="24"/>
              </w:rPr>
              <w:t>00万元</w:t>
            </w:r>
          </w:p>
        </w:tc>
        <w:tc>
          <w:tcPr>
            <w:tcW w:w="0" w:type="auto"/>
            <w:tcBorders>
              <w:top w:val="single" w:sz="6" w:space="0" w:color="000000"/>
              <w:left w:val="single" w:sz="6" w:space="0" w:color="000000"/>
              <w:bottom w:val="single" w:sz="6" w:space="0" w:color="000000"/>
            </w:tcBorders>
            <w:tcMar>
              <w:top w:w="0" w:type="dxa"/>
              <w:left w:w="108" w:type="dxa"/>
              <w:bottom w:w="0" w:type="dxa"/>
              <w:right w:w="110" w:type="dxa"/>
            </w:tcMar>
            <w:vAlign w:val="center"/>
            <w:hideMark/>
          </w:tcPr>
          <w:p w14:paraId="188CA53F" w14:textId="4FE22B1B" w:rsidR="00AE2B28" w:rsidRDefault="002F4B13">
            <w:pPr>
              <w:pStyle w:val="div"/>
              <w:jc w:val="center"/>
              <w:rPr>
                <w:rFonts w:ascii="宋体" w:hAnsi="宋体" w:cs="宋体"/>
                <w:color w:val="000000"/>
                <w:kern w:val="0"/>
                <w:sz w:val="24"/>
                <w:szCs w:val="24"/>
              </w:rPr>
            </w:pPr>
            <w:r>
              <w:rPr>
                <w:rFonts w:ascii="宋体" w:hAnsi="宋体" w:cs="宋体"/>
                <w:color w:val="000000"/>
                <w:kern w:val="0"/>
                <w:sz w:val="24"/>
                <w:szCs w:val="24"/>
              </w:rPr>
              <w:t>0.80</w:t>
            </w:r>
            <w:r w:rsidR="00B67EDE">
              <w:rPr>
                <w:rFonts w:ascii="宋体" w:hAnsi="宋体" w:cs="宋体"/>
                <w:color w:val="000000"/>
                <w:kern w:val="0"/>
                <w:sz w:val="24"/>
                <w:szCs w:val="24"/>
              </w:rPr>
              <w:t>%</w:t>
            </w:r>
          </w:p>
        </w:tc>
      </w:tr>
      <w:tr w:rsidR="00AE2B28" w14:paraId="35E36B17" w14:textId="77777777">
        <w:trPr>
          <w:trHeight w:val="460"/>
          <w:jc w:val="center"/>
        </w:trPr>
        <w:tc>
          <w:tcPr>
            <w:tcW w:w="0" w:type="auto"/>
            <w:tcBorders>
              <w:top w:val="single" w:sz="6" w:space="0" w:color="000000"/>
              <w:right w:val="single" w:sz="6" w:space="0" w:color="000000"/>
            </w:tcBorders>
            <w:tcMar>
              <w:top w:w="0" w:type="dxa"/>
              <w:left w:w="110" w:type="dxa"/>
              <w:bottom w:w="0" w:type="dxa"/>
              <w:right w:w="108" w:type="dxa"/>
            </w:tcMar>
            <w:vAlign w:val="center"/>
            <w:hideMark/>
          </w:tcPr>
          <w:p w14:paraId="49CD1A74" w14:textId="77777777" w:rsidR="00AE2B28" w:rsidRDefault="00B67EDE">
            <w:pPr>
              <w:pStyle w:val="div"/>
              <w:jc w:val="center"/>
              <w:rPr>
                <w:rFonts w:ascii="宋体" w:hAnsi="宋体" w:cs="宋体"/>
                <w:color w:val="000000"/>
                <w:kern w:val="0"/>
                <w:sz w:val="24"/>
                <w:szCs w:val="24"/>
              </w:rPr>
            </w:pPr>
            <w:r>
              <w:rPr>
                <w:rFonts w:ascii="宋体" w:hAnsi="宋体" w:cs="宋体"/>
                <w:color w:val="000000"/>
                <w:kern w:val="0"/>
                <w:sz w:val="24"/>
                <w:szCs w:val="24"/>
              </w:rPr>
              <w:t>M≥500万元</w:t>
            </w:r>
          </w:p>
        </w:tc>
        <w:tc>
          <w:tcPr>
            <w:tcW w:w="0" w:type="auto"/>
            <w:tcBorders>
              <w:top w:val="single" w:sz="6" w:space="0" w:color="000000"/>
              <w:left w:val="single" w:sz="6" w:space="0" w:color="000000"/>
            </w:tcBorders>
            <w:tcMar>
              <w:top w:w="0" w:type="dxa"/>
              <w:left w:w="108" w:type="dxa"/>
              <w:bottom w:w="0" w:type="dxa"/>
              <w:right w:w="110" w:type="dxa"/>
            </w:tcMar>
            <w:vAlign w:val="center"/>
            <w:hideMark/>
          </w:tcPr>
          <w:p w14:paraId="5C7CAC1B" w14:textId="77777777" w:rsidR="00AE2B28" w:rsidRDefault="00B67EDE">
            <w:pPr>
              <w:pStyle w:val="div"/>
              <w:jc w:val="center"/>
              <w:rPr>
                <w:rFonts w:ascii="宋体" w:hAnsi="宋体" w:cs="宋体"/>
                <w:color w:val="000000"/>
                <w:kern w:val="0"/>
                <w:sz w:val="24"/>
                <w:szCs w:val="24"/>
              </w:rPr>
            </w:pPr>
            <w:r>
              <w:rPr>
                <w:rFonts w:ascii="宋体" w:hAnsi="宋体" w:cs="宋体"/>
                <w:color w:val="000000"/>
                <w:kern w:val="0"/>
                <w:sz w:val="24"/>
                <w:szCs w:val="24"/>
              </w:rPr>
              <w:t>每笔1000元</w:t>
            </w:r>
          </w:p>
        </w:tc>
      </w:tr>
    </w:tbl>
    <w:p w14:paraId="63F5E46E" w14:textId="5A16E7D2" w:rsidR="00AE2B28" w:rsidRDefault="002F4B13">
      <w:pPr>
        <w:pStyle w:val="div"/>
        <w:spacing w:line="360" w:lineRule="auto"/>
        <w:ind w:firstLine="420"/>
        <w:rPr>
          <w:rFonts w:ascii="宋体" w:hAnsi="宋体" w:cs="宋体"/>
          <w:kern w:val="0"/>
          <w:sz w:val="24"/>
          <w:szCs w:val="24"/>
        </w:rPr>
      </w:pPr>
      <w:r>
        <w:rPr>
          <w:rFonts w:ascii="宋体" w:hAnsi="宋体" w:cs="宋体"/>
          <w:kern w:val="0"/>
          <w:sz w:val="24"/>
          <w:szCs w:val="24"/>
        </w:rPr>
        <w:t>A类基金份额的认购费用由</w:t>
      </w:r>
      <w:r>
        <w:rPr>
          <w:rFonts w:ascii="宋体" w:hAnsi="宋体" w:cs="宋体" w:hint="eastAsia"/>
          <w:kern w:val="0"/>
          <w:sz w:val="24"/>
          <w:szCs w:val="24"/>
        </w:rPr>
        <w:t>通过</w:t>
      </w:r>
      <w:r w:rsidRPr="00922D8C">
        <w:rPr>
          <w:rFonts w:ascii="宋体" w:hAnsi="宋体" w:cs="宋体" w:hint="eastAsia"/>
          <w:kern w:val="0"/>
          <w:sz w:val="24"/>
          <w:szCs w:val="24"/>
        </w:rPr>
        <w:t>直销机构以外的其他销售</w:t>
      </w:r>
      <w:r>
        <w:rPr>
          <w:rFonts w:ascii="宋体" w:hAnsi="宋体" w:cs="宋体" w:hint="eastAsia"/>
          <w:kern w:val="0"/>
          <w:sz w:val="24"/>
          <w:szCs w:val="24"/>
        </w:rPr>
        <w:t>机构</w:t>
      </w:r>
      <w:r>
        <w:rPr>
          <w:rFonts w:ascii="宋体" w:hAnsi="宋体" w:cs="宋体"/>
          <w:kern w:val="0"/>
          <w:sz w:val="24"/>
          <w:szCs w:val="24"/>
        </w:rPr>
        <w:t>认购A类基金份额的投资者承担，</w:t>
      </w:r>
      <w:r w:rsidR="00B67EDE">
        <w:rPr>
          <w:rFonts w:ascii="宋体" w:hAnsi="宋体" w:cs="宋体"/>
          <w:kern w:val="0"/>
          <w:sz w:val="24"/>
          <w:szCs w:val="24"/>
        </w:rPr>
        <w:t>不列入基金财产，主要用于基金的市场推广、销售等基金募集期间发生的各项费用。</w:t>
      </w:r>
    </w:p>
    <w:p w14:paraId="6B494D77"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基金管理人可以在不违反法律法规规定及基金合同约定的情况下根据市场情况制定基金促销计划，定期和不定期地开展基金促销活动。在基金促销活动期间，基金管理人可以按相关监管部门要求履行必要手续后，对基金投资者适当调低基金认购费率。</w:t>
      </w:r>
    </w:p>
    <w:p w14:paraId="762DB195" w14:textId="77777777" w:rsidR="00AE2B28" w:rsidRDefault="00B67EDE">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认购份额的计算</w:t>
      </w:r>
    </w:p>
    <w:p w14:paraId="52029BF0"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基金认购采用金额认购的方式。</w:t>
      </w:r>
    </w:p>
    <w:p w14:paraId="492514F0" w14:textId="77777777" w:rsidR="00AE2B28" w:rsidRDefault="00B67EDE">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（1）</w:t>
      </w:r>
      <w:r>
        <w:rPr>
          <w:rFonts w:ascii="宋体" w:hAnsi="宋体" w:cs="宋体"/>
          <w:kern w:val="0"/>
          <w:sz w:val="24"/>
          <w:szCs w:val="24"/>
        </w:rPr>
        <w:t>A类基金份额</w:t>
      </w:r>
    </w:p>
    <w:p w14:paraId="26B4B4A1" w14:textId="77777777" w:rsidR="00E0417D" w:rsidRPr="00865C83" w:rsidRDefault="00E0417D" w:rsidP="00E0417D">
      <w:pPr>
        <w:pStyle w:val="div"/>
        <w:spacing w:line="360" w:lineRule="auto"/>
        <w:ind w:firstLine="420"/>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w:t>
      </w:r>
      <w:r w:rsidRPr="00865C83">
        <w:rPr>
          <w:rFonts w:ascii="宋体" w:hAnsi="宋体" w:cs="宋体" w:hint="eastAsia"/>
          <w:kern w:val="0"/>
          <w:sz w:val="24"/>
          <w:szCs w:val="24"/>
        </w:rPr>
        <w:t>若投资者通过直销机构认购A类基金份额：</w:t>
      </w:r>
    </w:p>
    <w:p w14:paraId="7D823F87" w14:textId="77777777" w:rsidR="00E0417D" w:rsidRDefault="00E0417D" w:rsidP="00E0417D">
      <w:pPr>
        <w:pStyle w:val="div"/>
        <w:spacing w:line="360" w:lineRule="auto"/>
        <w:ind w:firstLine="420"/>
        <w:rPr>
          <w:rFonts w:ascii="宋体" w:hAnsi="宋体" w:cs="宋体"/>
          <w:kern w:val="0"/>
          <w:sz w:val="24"/>
          <w:szCs w:val="24"/>
        </w:rPr>
      </w:pPr>
      <w:r>
        <w:rPr>
          <w:rFonts w:ascii="宋体" w:hAnsi="宋体" w:cs="宋体"/>
          <w:kern w:val="0"/>
          <w:sz w:val="24"/>
          <w:szCs w:val="24"/>
        </w:rPr>
        <w:t>认购份额=（认购金额＋认购利息）/基金份额发售面值</w:t>
      </w:r>
    </w:p>
    <w:p w14:paraId="2EA1115B" w14:textId="0724CFC7" w:rsidR="00AE2B28" w:rsidRDefault="00E0417D">
      <w:pPr>
        <w:pStyle w:val="div"/>
        <w:spacing w:line="360" w:lineRule="auto"/>
        <w:ind w:firstLine="420"/>
        <w:rPr>
          <w:rFonts w:ascii="宋体" w:hAnsi="宋体" w:cs="宋体"/>
          <w:kern w:val="0"/>
          <w:sz w:val="24"/>
          <w:szCs w:val="24"/>
        </w:rPr>
      </w:pPr>
      <w:r>
        <w:rPr>
          <w:rFonts w:ascii="宋体" w:hAnsi="宋体" w:cs="宋体"/>
          <w:kern w:val="0"/>
          <w:sz w:val="24"/>
          <w:szCs w:val="24"/>
        </w:rPr>
        <w:t>2</w:t>
      </w:r>
      <w:r>
        <w:rPr>
          <w:rFonts w:ascii="宋体" w:hAnsi="宋体" w:cs="宋体" w:hint="eastAsia"/>
          <w:kern w:val="0"/>
          <w:sz w:val="24"/>
          <w:szCs w:val="24"/>
        </w:rPr>
        <w:t>）</w:t>
      </w:r>
      <w:r w:rsidRPr="00865C83">
        <w:rPr>
          <w:rFonts w:ascii="宋体" w:hAnsi="宋体" w:cs="宋体" w:hint="eastAsia"/>
          <w:kern w:val="0"/>
          <w:sz w:val="24"/>
          <w:szCs w:val="24"/>
        </w:rPr>
        <w:t>若投资者通过直销机构</w:t>
      </w:r>
      <w:r>
        <w:rPr>
          <w:rFonts w:ascii="宋体" w:hAnsi="宋体" w:cs="宋体" w:hint="eastAsia"/>
          <w:kern w:val="0"/>
          <w:sz w:val="24"/>
          <w:szCs w:val="24"/>
        </w:rPr>
        <w:t>以外的其他销售机构</w:t>
      </w:r>
      <w:r w:rsidRPr="00865C83">
        <w:rPr>
          <w:rFonts w:ascii="宋体" w:hAnsi="宋体" w:cs="宋体" w:hint="eastAsia"/>
          <w:kern w:val="0"/>
          <w:sz w:val="24"/>
          <w:szCs w:val="24"/>
        </w:rPr>
        <w:t>认购</w:t>
      </w:r>
      <w:r w:rsidR="00B67EDE">
        <w:rPr>
          <w:rFonts w:ascii="宋体" w:hAnsi="宋体" w:cs="宋体"/>
          <w:kern w:val="0"/>
          <w:sz w:val="24"/>
          <w:szCs w:val="24"/>
        </w:rPr>
        <w:t>A类基金份额的</w:t>
      </w:r>
      <w:r>
        <w:rPr>
          <w:rFonts w:ascii="宋体" w:hAnsi="宋体" w:cs="宋体"/>
          <w:kern w:val="0"/>
          <w:sz w:val="24"/>
          <w:szCs w:val="24"/>
        </w:rPr>
        <w:t>，</w:t>
      </w:r>
      <w:r w:rsidR="00B67EDE">
        <w:rPr>
          <w:rFonts w:ascii="宋体" w:hAnsi="宋体" w:cs="宋体"/>
          <w:kern w:val="0"/>
          <w:sz w:val="24"/>
          <w:szCs w:val="24"/>
        </w:rPr>
        <w:t>认购金额包括认购费用和净认购金额。计算公式为：</w:t>
      </w:r>
    </w:p>
    <w:p w14:paraId="7423A58D" w14:textId="1016BC09" w:rsidR="00AE2B28" w:rsidRDefault="00E0417D">
      <w:pPr>
        <w:pStyle w:val="div"/>
        <w:spacing w:line="360" w:lineRule="auto"/>
        <w:ind w:firstLine="420"/>
        <w:rPr>
          <w:rFonts w:ascii="宋体" w:hAnsi="宋体" w:cs="宋体"/>
          <w:kern w:val="0"/>
          <w:sz w:val="24"/>
          <w:szCs w:val="24"/>
        </w:rPr>
      </w:pPr>
      <w:r>
        <w:rPr>
          <w:rStyle w:val="custom"/>
          <w:rFonts w:ascii="宋体" w:hAnsi="宋体" w:cs="宋体" w:hint="eastAsia"/>
          <w:kern w:val="0"/>
          <w:sz w:val="24"/>
          <w:szCs w:val="24"/>
        </w:rPr>
        <w:t>①</w:t>
      </w:r>
      <w:r w:rsidR="00B67EDE">
        <w:rPr>
          <w:rFonts w:ascii="宋体" w:hAnsi="宋体" w:cs="宋体"/>
          <w:kern w:val="0"/>
          <w:sz w:val="24"/>
          <w:szCs w:val="24"/>
        </w:rPr>
        <w:t>认购费用适用比例费率：</w:t>
      </w:r>
    </w:p>
    <w:p w14:paraId="1692F5BB"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净认购金额=认购金额/（1＋认购费率）</w:t>
      </w:r>
    </w:p>
    <w:p w14:paraId="1EE9C2CE"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认购费用=认购金额-净认购金额</w:t>
      </w:r>
    </w:p>
    <w:p w14:paraId="08E31156"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认购份额=（净认购金额＋认购利息）/基金份额发售面值</w:t>
      </w:r>
    </w:p>
    <w:p w14:paraId="0A1CC213" w14:textId="3721017C" w:rsidR="00AE2B28" w:rsidRDefault="00E0417D">
      <w:pPr>
        <w:pStyle w:val="div"/>
        <w:spacing w:line="360" w:lineRule="auto"/>
        <w:ind w:firstLine="420"/>
        <w:rPr>
          <w:rFonts w:ascii="宋体" w:hAnsi="宋体" w:cs="宋体"/>
          <w:kern w:val="0"/>
          <w:sz w:val="24"/>
          <w:szCs w:val="24"/>
        </w:rPr>
      </w:pPr>
      <w:r>
        <w:rPr>
          <w:rStyle w:val="custom"/>
          <w:rFonts w:ascii="宋体" w:hAnsi="宋体" w:cs="宋体" w:hint="eastAsia"/>
          <w:kern w:val="0"/>
          <w:sz w:val="24"/>
          <w:szCs w:val="24"/>
        </w:rPr>
        <w:t>②</w:t>
      </w:r>
      <w:r w:rsidR="00B67EDE">
        <w:rPr>
          <w:rFonts w:ascii="宋体" w:hAnsi="宋体" w:cs="宋体"/>
          <w:kern w:val="0"/>
          <w:sz w:val="24"/>
          <w:szCs w:val="24"/>
        </w:rPr>
        <w:t>认购费用适用固定金额：</w:t>
      </w:r>
    </w:p>
    <w:p w14:paraId="0C4DFE5D"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lastRenderedPageBreak/>
        <w:t>认购费用=固定金额</w:t>
      </w:r>
    </w:p>
    <w:p w14:paraId="2723F6C0"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净认购金额=认购金额-认购费用</w:t>
      </w:r>
    </w:p>
    <w:p w14:paraId="29BDE9BC"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认购份额=（净认购金额＋认购利息）/基金份额发售面值</w:t>
      </w:r>
    </w:p>
    <w:p w14:paraId="75BC9DCC" w14:textId="77777777" w:rsidR="00AE2B28" w:rsidRDefault="00B67EDE">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（2）C类</w:t>
      </w:r>
      <w:r>
        <w:rPr>
          <w:rFonts w:ascii="宋体" w:hAnsi="宋体" w:cs="宋体"/>
          <w:kern w:val="0"/>
          <w:sz w:val="24"/>
          <w:szCs w:val="24"/>
        </w:rPr>
        <w:t>基金份额</w:t>
      </w:r>
    </w:p>
    <w:p w14:paraId="5FFE8668"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认购份额=（认购金额＋认购利息）/基金份额发售面值</w:t>
      </w:r>
    </w:p>
    <w:p w14:paraId="427721D1" w14:textId="77777777" w:rsidR="00AE2B28" w:rsidRDefault="00B67EDE">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上述认购份额（含利息折算的份额）计算结果保留到小数点后2位，小数点2位以后的部分四舍五入，由此误差产生的收益或损失由基金财产承担。</w:t>
      </w:r>
    </w:p>
    <w:p w14:paraId="60348F1C" w14:textId="77777777" w:rsidR="00EA2A9E" w:rsidRDefault="00EA2A9E" w:rsidP="00EA2A9E">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例1.</w:t>
      </w:r>
      <w:r>
        <w:rPr>
          <w:rFonts w:ascii="宋体" w:hAnsi="宋体" w:cs="宋体"/>
          <w:kern w:val="0"/>
          <w:sz w:val="24"/>
          <w:szCs w:val="24"/>
        </w:rPr>
        <w:t>某投资者</w:t>
      </w:r>
      <w:r>
        <w:rPr>
          <w:rFonts w:ascii="宋体" w:hAnsi="宋体" w:cs="宋体" w:hint="eastAsia"/>
          <w:kern w:val="0"/>
          <w:sz w:val="24"/>
          <w:szCs w:val="24"/>
        </w:rPr>
        <w:t>通过其他销售机构</w:t>
      </w:r>
      <w:r>
        <w:rPr>
          <w:rFonts w:ascii="宋体" w:hAnsi="宋体" w:cs="宋体"/>
          <w:kern w:val="0"/>
          <w:sz w:val="24"/>
          <w:szCs w:val="24"/>
        </w:rPr>
        <w:t>投资10,000元认购本基金A类基金份额，假设其认购资金在认购期间产生的利息为3.00元，其对应的认购费率为</w:t>
      </w:r>
      <w:r>
        <w:rPr>
          <w:rStyle w:val="custom"/>
          <w:rFonts w:ascii="宋体" w:hAnsi="宋体" w:cs="宋体" w:hint="eastAsia"/>
          <w:kern w:val="0"/>
          <w:sz w:val="24"/>
          <w:szCs w:val="24"/>
        </w:rPr>
        <w:t>0</w:t>
      </w:r>
      <w:r>
        <w:rPr>
          <w:rStyle w:val="custom"/>
          <w:rFonts w:ascii="宋体" w:hAnsi="宋体" w:cs="宋体"/>
          <w:kern w:val="0"/>
          <w:sz w:val="24"/>
          <w:szCs w:val="24"/>
        </w:rPr>
        <w:t>.80%</w:t>
      </w:r>
      <w:r>
        <w:rPr>
          <w:rFonts w:ascii="宋体" w:hAnsi="宋体" w:cs="宋体"/>
          <w:kern w:val="0"/>
          <w:sz w:val="24"/>
          <w:szCs w:val="24"/>
        </w:rPr>
        <w:t>，则其可得到的认购份额为：</w:t>
      </w:r>
    </w:p>
    <w:p w14:paraId="5B63138A" w14:textId="77777777" w:rsidR="00EA2A9E" w:rsidRDefault="00EA2A9E" w:rsidP="00EA2A9E">
      <w:pPr>
        <w:pStyle w:val="div"/>
        <w:spacing w:line="360" w:lineRule="auto"/>
        <w:ind w:firstLine="420"/>
        <w:rPr>
          <w:rFonts w:ascii="宋体" w:hAnsi="宋体" w:cs="宋体"/>
          <w:kern w:val="0"/>
          <w:sz w:val="24"/>
          <w:szCs w:val="24"/>
        </w:rPr>
      </w:pPr>
      <w:r>
        <w:rPr>
          <w:rFonts w:ascii="宋体" w:hAnsi="宋体" w:cs="宋体"/>
          <w:kern w:val="0"/>
          <w:sz w:val="24"/>
          <w:szCs w:val="24"/>
        </w:rPr>
        <w:t>净认购金额=10,000/（1+0.80%）=9,920.63元</w:t>
      </w:r>
    </w:p>
    <w:p w14:paraId="02F18455" w14:textId="77777777" w:rsidR="00EA2A9E" w:rsidRDefault="00EA2A9E" w:rsidP="00EA2A9E">
      <w:pPr>
        <w:pStyle w:val="div"/>
        <w:spacing w:line="360" w:lineRule="auto"/>
        <w:ind w:firstLine="420"/>
        <w:rPr>
          <w:rFonts w:ascii="宋体" w:hAnsi="宋体" w:cs="宋体"/>
          <w:kern w:val="0"/>
          <w:sz w:val="24"/>
          <w:szCs w:val="24"/>
        </w:rPr>
      </w:pPr>
      <w:r>
        <w:rPr>
          <w:rFonts w:ascii="宋体" w:hAnsi="宋体" w:cs="宋体"/>
          <w:kern w:val="0"/>
          <w:sz w:val="24"/>
          <w:szCs w:val="24"/>
        </w:rPr>
        <w:t>认购费用=10,000-9,920.63=79.37元</w:t>
      </w:r>
    </w:p>
    <w:p w14:paraId="066E5346" w14:textId="77777777" w:rsidR="00EA2A9E" w:rsidRDefault="00EA2A9E" w:rsidP="00EA2A9E">
      <w:pPr>
        <w:pStyle w:val="div"/>
        <w:spacing w:line="360" w:lineRule="auto"/>
        <w:ind w:firstLine="420"/>
        <w:rPr>
          <w:rFonts w:ascii="宋体" w:hAnsi="宋体" w:cs="宋体"/>
          <w:kern w:val="0"/>
          <w:sz w:val="24"/>
          <w:szCs w:val="24"/>
        </w:rPr>
      </w:pPr>
      <w:r>
        <w:rPr>
          <w:rFonts w:ascii="宋体" w:hAnsi="宋体" w:cs="宋体"/>
          <w:kern w:val="0"/>
          <w:sz w:val="24"/>
          <w:szCs w:val="24"/>
        </w:rPr>
        <w:t>认购份额=（9,920.63+3.00）/1.00=9,923.63份</w:t>
      </w:r>
    </w:p>
    <w:p w14:paraId="517D6638" w14:textId="77777777" w:rsidR="00EA2A9E" w:rsidRDefault="00EA2A9E" w:rsidP="00EA2A9E">
      <w:pPr>
        <w:pStyle w:val="div"/>
        <w:spacing w:line="360" w:lineRule="auto"/>
        <w:ind w:firstLine="420"/>
        <w:rPr>
          <w:rFonts w:ascii="宋体" w:hAnsi="宋体" w:cs="宋体"/>
          <w:kern w:val="0"/>
          <w:sz w:val="24"/>
          <w:szCs w:val="24"/>
        </w:rPr>
      </w:pPr>
      <w:r>
        <w:rPr>
          <w:rFonts w:ascii="宋体" w:hAnsi="宋体" w:cs="宋体"/>
          <w:kern w:val="0"/>
          <w:sz w:val="24"/>
          <w:szCs w:val="24"/>
        </w:rPr>
        <w:t>即：投资者</w:t>
      </w:r>
      <w:r>
        <w:rPr>
          <w:rFonts w:ascii="宋体" w:hAnsi="宋体" w:cs="宋体" w:hint="eastAsia"/>
          <w:kern w:val="0"/>
          <w:sz w:val="24"/>
          <w:szCs w:val="24"/>
        </w:rPr>
        <w:t>通过其他销售机构</w:t>
      </w:r>
      <w:r>
        <w:rPr>
          <w:rFonts w:ascii="宋体" w:hAnsi="宋体" w:cs="宋体"/>
          <w:kern w:val="0"/>
          <w:sz w:val="24"/>
          <w:szCs w:val="24"/>
        </w:rPr>
        <w:t>投资10,000元认购本基金A类基金份额，假设其认购资金在认购期间产生的利息为3.00元，则其可得到9,923.63份本基金A类基金份额。</w:t>
      </w:r>
    </w:p>
    <w:p w14:paraId="52C74F3F" w14:textId="77777777" w:rsidR="00EA2A9E" w:rsidRDefault="00EA2A9E" w:rsidP="00EA2A9E">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例2.</w:t>
      </w:r>
      <w:r>
        <w:rPr>
          <w:rFonts w:ascii="宋体" w:hAnsi="宋体" w:cs="宋体"/>
          <w:kern w:val="0"/>
          <w:sz w:val="24"/>
          <w:szCs w:val="24"/>
        </w:rPr>
        <w:t>某</w:t>
      </w:r>
      <w:r>
        <w:rPr>
          <w:rFonts w:ascii="宋体" w:hAnsi="宋体" w:cs="宋体" w:hint="eastAsia"/>
          <w:kern w:val="0"/>
          <w:sz w:val="24"/>
          <w:szCs w:val="24"/>
        </w:rPr>
        <w:t>投资者</w:t>
      </w:r>
      <w:r>
        <w:rPr>
          <w:rFonts w:ascii="宋体" w:hAnsi="宋体" w:cs="宋体"/>
          <w:kern w:val="0"/>
          <w:sz w:val="24"/>
          <w:szCs w:val="24"/>
        </w:rPr>
        <w:t>通过直销机构投资100,000元认购本基金A类基金份额，</w:t>
      </w:r>
      <w:r>
        <w:rPr>
          <w:rFonts w:ascii="宋体" w:hAnsi="宋体" w:cs="宋体" w:hint="eastAsia"/>
          <w:kern w:val="0"/>
          <w:sz w:val="24"/>
          <w:szCs w:val="24"/>
        </w:rPr>
        <w:t>不收取认购费用</w:t>
      </w:r>
      <w:r>
        <w:rPr>
          <w:rFonts w:ascii="宋体" w:hAnsi="宋体" w:cs="宋体"/>
          <w:kern w:val="0"/>
          <w:sz w:val="24"/>
          <w:szCs w:val="24"/>
        </w:rPr>
        <w:t>，假设其认购资金在认购期间产生的利息为50.00元，则其可得到的认购份额为：</w:t>
      </w:r>
    </w:p>
    <w:p w14:paraId="4337F76F" w14:textId="77777777" w:rsidR="00EA2A9E" w:rsidRDefault="00EA2A9E" w:rsidP="00EA2A9E">
      <w:pPr>
        <w:pStyle w:val="div"/>
        <w:spacing w:line="360" w:lineRule="auto"/>
        <w:ind w:firstLine="420"/>
        <w:rPr>
          <w:rFonts w:ascii="宋体" w:hAnsi="宋体" w:cs="宋体"/>
          <w:kern w:val="0"/>
          <w:sz w:val="24"/>
          <w:szCs w:val="24"/>
        </w:rPr>
      </w:pPr>
      <w:r>
        <w:rPr>
          <w:rFonts w:ascii="宋体" w:hAnsi="宋体" w:cs="宋体"/>
          <w:kern w:val="0"/>
          <w:sz w:val="24"/>
          <w:szCs w:val="24"/>
        </w:rPr>
        <w:t>认购份额=（100,000.00+50.00）/1.00=100,050.00份</w:t>
      </w:r>
    </w:p>
    <w:p w14:paraId="551C251B" w14:textId="77777777" w:rsidR="00EA2A9E" w:rsidRDefault="00EA2A9E" w:rsidP="00EA2A9E">
      <w:pPr>
        <w:pStyle w:val="div"/>
        <w:spacing w:line="360" w:lineRule="auto"/>
        <w:ind w:firstLine="420"/>
        <w:rPr>
          <w:rFonts w:ascii="宋体" w:hAnsi="宋体" w:cs="宋体"/>
          <w:kern w:val="0"/>
          <w:sz w:val="24"/>
          <w:szCs w:val="24"/>
        </w:rPr>
      </w:pPr>
      <w:r>
        <w:rPr>
          <w:rFonts w:ascii="宋体" w:hAnsi="宋体" w:cs="宋体"/>
          <w:kern w:val="0"/>
          <w:sz w:val="24"/>
          <w:szCs w:val="24"/>
        </w:rPr>
        <w:t>即：</w:t>
      </w:r>
      <w:r>
        <w:rPr>
          <w:rFonts w:ascii="宋体" w:hAnsi="宋体" w:cs="宋体" w:hint="eastAsia"/>
          <w:kern w:val="0"/>
          <w:sz w:val="24"/>
          <w:szCs w:val="24"/>
        </w:rPr>
        <w:t>投资者</w:t>
      </w:r>
      <w:r>
        <w:rPr>
          <w:rFonts w:ascii="宋体" w:hAnsi="宋体" w:cs="宋体"/>
          <w:kern w:val="0"/>
          <w:sz w:val="24"/>
          <w:szCs w:val="24"/>
        </w:rPr>
        <w:t>通过直销机构投资100,000元认购本基金A类基金份额，假设募集期间其认购资金所得利息为50.00元，则其可得到100,050.00份本基金A类基金份额。</w:t>
      </w:r>
    </w:p>
    <w:p w14:paraId="3C95ED36" w14:textId="77777777" w:rsidR="00AE2B28" w:rsidRDefault="00B67EDE">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例3.</w:t>
      </w:r>
      <w:r>
        <w:rPr>
          <w:rFonts w:ascii="宋体" w:hAnsi="宋体" w:cs="宋体"/>
          <w:kern w:val="0"/>
          <w:sz w:val="24"/>
          <w:szCs w:val="24"/>
        </w:rPr>
        <w:t>某投资者投资10,000元认购本基金</w:t>
      </w:r>
      <w:r>
        <w:rPr>
          <w:rStyle w:val="custom"/>
          <w:rFonts w:ascii="宋体" w:hAnsi="宋体" w:cs="宋体"/>
          <w:kern w:val="0"/>
          <w:sz w:val="24"/>
          <w:szCs w:val="24"/>
        </w:rPr>
        <w:t>C类</w:t>
      </w:r>
      <w:r>
        <w:rPr>
          <w:rFonts w:ascii="宋体" w:hAnsi="宋体" w:cs="宋体"/>
          <w:kern w:val="0"/>
          <w:sz w:val="24"/>
          <w:szCs w:val="24"/>
        </w:rPr>
        <w:t>基金份额，由于募集期间基金份额发售面值为人民币1.00元，假设其认购资金在认购期间产生的利息为3.00元，则其可得到的认购份额为：</w:t>
      </w:r>
    </w:p>
    <w:p w14:paraId="5EB9F819"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认购份额=（10,000+3.00）/1.00=10,003.00份</w:t>
      </w:r>
    </w:p>
    <w:p w14:paraId="1F6FBBDD"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即：投资者投资10,000元认购本基金</w:t>
      </w:r>
      <w:r>
        <w:rPr>
          <w:rStyle w:val="custom"/>
          <w:rFonts w:ascii="宋体" w:hAnsi="宋体" w:cs="宋体"/>
          <w:kern w:val="0"/>
          <w:sz w:val="24"/>
          <w:szCs w:val="24"/>
        </w:rPr>
        <w:t>C类</w:t>
      </w:r>
      <w:r>
        <w:rPr>
          <w:rFonts w:ascii="宋体" w:hAnsi="宋体" w:cs="宋体"/>
          <w:kern w:val="0"/>
          <w:sz w:val="24"/>
          <w:szCs w:val="24"/>
        </w:rPr>
        <w:t>基金份额，假设其认购资金在认购期间产生的利息为3.00元，则其可得到10,003.00份</w:t>
      </w:r>
      <w:r>
        <w:rPr>
          <w:rStyle w:val="custom"/>
          <w:rFonts w:ascii="宋体" w:hAnsi="宋体" w:cs="宋体"/>
          <w:kern w:val="0"/>
          <w:sz w:val="24"/>
          <w:szCs w:val="24"/>
        </w:rPr>
        <w:t>C类</w:t>
      </w:r>
      <w:r>
        <w:rPr>
          <w:rFonts w:ascii="宋体" w:hAnsi="宋体" w:cs="宋体"/>
          <w:kern w:val="0"/>
          <w:sz w:val="24"/>
          <w:szCs w:val="24"/>
        </w:rPr>
        <w:t>基金份额。</w:t>
      </w:r>
    </w:p>
    <w:p w14:paraId="1C86CC87"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lastRenderedPageBreak/>
        <w:t>4、基金份额的认购程序</w:t>
      </w:r>
    </w:p>
    <w:p w14:paraId="7A611634"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（1）认购时间安排</w:t>
      </w:r>
    </w:p>
    <w:p w14:paraId="799DCDCF"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投资者认购本基金的具体业务办理时间由基金管理人和基金销售机构确定，请参见本基金的基金份额发售公告。</w:t>
      </w:r>
    </w:p>
    <w:p w14:paraId="35ED8765"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（2）投资者认购本基金份额应提交的文件和办理的手续</w:t>
      </w:r>
    </w:p>
    <w:p w14:paraId="746FF7A5"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投资者认购本基金份额应提交的文件和办理的手续详见本基金的基金份额发售公告。</w:t>
      </w:r>
    </w:p>
    <w:p w14:paraId="067C5980"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（3）基金份额的认购采用金额认购方式</w:t>
      </w:r>
    </w:p>
    <w:p w14:paraId="6B822DFB"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投资者认购本基金采取全额缴款认购的方式。投资者在募集期内可多次认购，认购期间单个投资者的累计认购金额没有限制，但本招募说明书、基金份额发售公告、其他相关公告另有规定的除外。投资者的认购申请一经受理不得撤销。</w:t>
      </w:r>
    </w:p>
    <w:p w14:paraId="7C2AF602"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（4）认购申请的确认</w:t>
      </w:r>
    </w:p>
    <w:p w14:paraId="172CA670"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当日（T日）在规定时间内提交的申请，投资者通常应在T+2日到销售机构查询认购申请的受理结果，并可在募集截止日后4个工作日内到销售机构打印交易确认书。</w:t>
      </w:r>
    </w:p>
    <w:p w14:paraId="26F9C5F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者自行承担。</w:t>
      </w:r>
    </w:p>
    <w:p w14:paraId="572C862C"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（5）认购金额的限制</w:t>
      </w:r>
    </w:p>
    <w:p w14:paraId="62241FF9" w14:textId="1A3388FF"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1）在基金募集期内，投资者可多次认购基金份额。投资者通过基金管理人直销中心首次认购本基金的最低金额为人民币50,000元；通过基金管理人线上直销系统认购本基金单笔最低金额为人民币1元；通过其他销售机构的销售网点认购本基金单笔最低金额为人民币1元（含认购费）。超过最低认购金额的部分不设金额级差。各销售机构对本基金最低认购金额及交易级差有其他规定的，以各销售机构的业务规定为准。募集期间不设置投资者单个账户最高认购金额限制，但本招募说明书、基金份额发售公告、其他相关公告另有规定的除外。</w:t>
      </w:r>
    </w:p>
    <w:p w14:paraId="1EEB7311"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2）基金管理人可以对募集期间的本基金募集规模设置上限。募集期内超过募集规模上限时，基金管理人可以采用比例确认或其他方式进行确认，具体办</w:t>
      </w:r>
      <w:r>
        <w:rPr>
          <w:rFonts w:ascii="宋体" w:hAnsi="宋体" w:cs="宋体"/>
          <w:kern w:val="0"/>
          <w:sz w:val="24"/>
          <w:szCs w:val="24"/>
        </w:rPr>
        <w:lastRenderedPageBreak/>
        <w:t>法参见基金份额发售公告或相关公告。</w:t>
      </w:r>
    </w:p>
    <w:p w14:paraId="49AA2453"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3）如本基金单个投资人（基金管理人、基金管理人高级管理人员或基金经理等人员作为发起资金提供方除外）累计认购的基金份额数达到或者超过基金份额总数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1F405321"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5、募集期利息的处理方式</w:t>
      </w:r>
    </w:p>
    <w:p w14:paraId="01C1DDB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有效认购款项在募集期间产生的利息将折算为基金份额归基金份额持有人所有，其中利息转份额以登记机构的记录为准。</w:t>
      </w:r>
    </w:p>
    <w:p w14:paraId="0562E529"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五、募集资金的管理</w:t>
      </w:r>
    </w:p>
    <w:p w14:paraId="3DFE142A"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基金管理人应将基金募集期间募集的资金存入专门账户，在基金募集行为结束前，任何人不得动用。</w:t>
      </w:r>
    </w:p>
    <w:p w14:paraId="5758578E"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六、发起资金的认购</w:t>
      </w:r>
    </w:p>
    <w:p w14:paraId="7323B80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股东资金、基金管理人固有资金、基金管理人高级管理人员、基金经理等人员认购本基金的发起资金金额不少于1000万元人民币，且发起资金认购的基金份额持有期限不少于3年（基金合同生效不满3年提前终止的情况除外），法律法规或中国证监会另有规定的除外。</w:t>
      </w:r>
    </w:p>
    <w:p w14:paraId="3C56DAE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本基金发起资金的认购情况见基金管理人届时发布的公告。</w:t>
      </w:r>
      <w:r>
        <w:rPr>
          <w:rFonts w:ascii="宋体" w:hAnsi="宋体" w:cs="宋体"/>
          <w:kern w:val="0"/>
          <w:sz w:val="24"/>
          <w:szCs w:val="24"/>
        </w:rPr>
        <w:br w:type="page"/>
      </w:r>
    </w:p>
    <w:p w14:paraId="6B188FFB" w14:textId="77777777" w:rsidR="009D63C8" w:rsidRDefault="00B67EDE" w:rsidP="009E26D0">
      <w:pPr>
        <w:pStyle w:val="1"/>
        <w:spacing w:before="0" w:after="0"/>
        <w:jc w:val="center"/>
        <w:rPr>
          <w:rFonts w:ascii="Times New Roman"/>
          <w:color w:val="auto"/>
          <w:sz w:val="30"/>
        </w:rPr>
      </w:pPr>
      <w:bookmarkStart w:id="37" w:name="_Toc256000006"/>
      <w:bookmarkStart w:id="38" w:name="_Hlk213244683"/>
      <w:r w:rsidRPr="009E26D0">
        <w:rPr>
          <w:rFonts w:ascii="Times New Roman"/>
          <w:noProof/>
          <w:color w:val="auto"/>
          <w:sz w:val="30"/>
        </w:rPr>
        <w:lastRenderedPageBreak/>
        <w:t>第七部分</w:t>
      </w:r>
      <w:r w:rsidRPr="009E26D0">
        <w:rPr>
          <w:rFonts w:ascii="Times New Roman"/>
          <w:noProof/>
          <w:color w:val="auto"/>
          <w:sz w:val="30"/>
        </w:rPr>
        <w:t xml:space="preserve">  </w:t>
      </w:r>
      <w:r w:rsidRPr="009E26D0">
        <w:rPr>
          <w:rFonts w:ascii="Times New Roman"/>
          <w:noProof/>
          <w:color w:val="auto"/>
          <w:sz w:val="30"/>
        </w:rPr>
        <w:t>基金合同的生效</w:t>
      </w:r>
      <w:bookmarkEnd w:id="37"/>
    </w:p>
    <w:p w14:paraId="285875A3" w14:textId="77777777" w:rsidR="007A2B34" w:rsidRPr="0017353E" w:rsidRDefault="007A2B34" w:rsidP="0090469D"/>
    <w:p w14:paraId="64A5C5F4"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一、基金备案的条件</w:t>
      </w:r>
    </w:p>
    <w:p w14:paraId="46A8166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本基金自基金份额发售之日起3个月内，在发起资金提供方认购本基金的金额不少于1000万元人民币且发起资金提供方承诺持有期限不少于3年的条件下，基金募集期届满或基金管理人依据法律法规及招募说明书可以决定停止基金发售，并在10日内聘请法定验资机构验资，会计师事务所提交的验资报告需对发起资金提供方及其持有份额进行专门说明。自收到验资报告之日起10日内，向中国证监会办理基金备案手续。</w:t>
      </w:r>
    </w:p>
    <w:p w14:paraId="396F60E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0E64E3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二、基金合同不能生效时募集资金的处理方式</w:t>
      </w:r>
    </w:p>
    <w:p w14:paraId="1E52B5C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如果募集期限届满，未满足基金备案条件，基金管理人应当承担下列责任：</w:t>
      </w:r>
    </w:p>
    <w:p w14:paraId="6615209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1、以其固有财产承担因募集行为而产生的债务和费用；</w:t>
      </w:r>
    </w:p>
    <w:p w14:paraId="538FF8C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2、在基金募集期限届满后30日内返还投资者已缴纳的款项，并加计银行同期活期存款利息；</w:t>
      </w:r>
    </w:p>
    <w:p w14:paraId="55483AE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3、如基金募集失败，基金管理人、基金托管人及销售机构不得请求报酬。基金管理人、基金托管人和销售机构为基金募集支付之一切费用应由各方各自承担。</w:t>
      </w:r>
    </w:p>
    <w:p w14:paraId="4F08310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三、基金存续期内的基金份额持有人数量和资产规模</w:t>
      </w:r>
    </w:p>
    <w:p w14:paraId="084E424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合同》生效满三年后继续存续的，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14:paraId="3D5131A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法律法规或中国证监会另有规定时，从其规定。</w:t>
      </w:r>
    </w:p>
    <w:p w14:paraId="6EEA8C5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四、基金的自动终止</w:t>
      </w:r>
    </w:p>
    <w:p w14:paraId="3715BF31" w14:textId="0AA48650"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基金合同生效满三年之日（指自然日），若基金资产净值低于2</w:t>
      </w:r>
      <w:r w:rsidR="00C1095B">
        <w:rPr>
          <w:rFonts w:ascii="宋体" w:hAnsi="宋体" w:cs="宋体"/>
          <w:kern w:val="0"/>
          <w:sz w:val="24"/>
          <w:szCs w:val="24"/>
        </w:rPr>
        <w:t>亿元人民币的，</w:t>
      </w:r>
      <w:r>
        <w:rPr>
          <w:rFonts w:ascii="宋体" w:hAnsi="宋体" w:cs="宋体"/>
          <w:kern w:val="0"/>
          <w:sz w:val="24"/>
          <w:szCs w:val="24"/>
        </w:rPr>
        <w:t>基金合同自动终止，且不得通过召开基金份额持有人大会延续基金合同期限。若届时的法律法规或中国证监会规定发生变化，上述终止规定被取消、更改或补充时，则本基金可以参照届时有效的法律法规或中国证监会规定执行。</w:t>
      </w:r>
      <w:r>
        <w:rPr>
          <w:rFonts w:ascii="宋体" w:hAnsi="宋体" w:cs="宋体"/>
          <w:kern w:val="0"/>
          <w:sz w:val="24"/>
          <w:szCs w:val="24"/>
        </w:rPr>
        <w:br w:type="page"/>
      </w:r>
    </w:p>
    <w:p w14:paraId="58548474" w14:textId="77777777" w:rsidR="009D63C8" w:rsidRDefault="00B67EDE" w:rsidP="009E26D0">
      <w:pPr>
        <w:pStyle w:val="1"/>
        <w:spacing w:before="0" w:after="0"/>
        <w:jc w:val="center"/>
        <w:rPr>
          <w:rFonts w:ascii="Times New Roman"/>
          <w:color w:val="auto"/>
          <w:sz w:val="30"/>
        </w:rPr>
      </w:pPr>
      <w:bookmarkStart w:id="39" w:name="_Toc256000007"/>
      <w:r w:rsidRPr="009E26D0">
        <w:rPr>
          <w:rFonts w:ascii="Times New Roman"/>
          <w:noProof/>
          <w:color w:val="auto"/>
          <w:sz w:val="30"/>
        </w:rPr>
        <w:lastRenderedPageBreak/>
        <w:t>第八部分</w:t>
      </w:r>
      <w:r w:rsidRPr="009E26D0">
        <w:rPr>
          <w:rFonts w:ascii="Times New Roman"/>
          <w:noProof/>
          <w:color w:val="auto"/>
          <w:sz w:val="30"/>
        </w:rPr>
        <w:t xml:space="preserve">  </w:t>
      </w:r>
      <w:r w:rsidRPr="009E26D0">
        <w:rPr>
          <w:rFonts w:ascii="Times New Roman"/>
          <w:noProof/>
          <w:color w:val="auto"/>
          <w:sz w:val="30"/>
        </w:rPr>
        <w:t>基金份额的申购与赎回</w:t>
      </w:r>
      <w:bookmarkEnd w:id="39"/>
    </w:p>
    <w:p w14:paraId="3D6A452F" w14:textId="77777777" w:rsidR="007A2B34" w:rsidRPr="0017353E" w:rsidRDefault="007A2B34" w:rsidP="0090469D"/>
    <w:p w14:paraId="30ECFD42"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申购和赎回场所</w:t>
      </w:r>
    </w:p>
    <w:p w14:paraId="0EBC970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的申购与赎回将通过销售机构进行。具体的销售机构将由基金管理人在招募说明书或其他相关公示中列明。基金管理人可根据情况变更或增减销售机构，并在基金管理人网站公示。基金投资者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14:paraId="73F9ECE2"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申购和赎回的开放日及时间</w:t>
      </w:r>
    </w:p>
    <w:p w14:paraId="56018D0A"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1、开放日及开放时间</w:t>
      </w:r>
    </w:p>
    <w:p w14:paraId="148CAB0D" w14:textId="6C12063F"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投资人在开放日办理基金份额的申购和赎回，具体办理时间为上海证券交易所、深圳证券交易所的正常交易日的交易时间（如遇香港联合交易所法定节假日或因其他原因暂停营业或港股通暂停交易的情形，基金管理人有权暂停办理基金份额的</w:t>
      </w:r>
      <w:r w:rsidR="00C1095B">
        <w:rPr>
          <w:rFonts w:ascii="宋体" w:hAnsi="宋体" w:cs="宋体"/>
          <w:kern w:val="0"/>
          <w:sz w:val="24"/>
          <w:szCs w:val="24"/>
        </w:rPr>
        <w:t>申购和赎回业务），但基金管理人根据法律法规、中国证监会的要求或</w:t>
      </w:r>
      <w:r>
        <w:rPr>
          <w:rFonts w:ascii="宋体" w:hAnsi="宋体" w:cs="宋体"/>
          <w:kern w:val="0"/>
          <w:sz w:val="24"/>
          <w:szCs w:val="24"/>
        </w:rPr>
        <w:t>基金合同的规定公告暂停申购、赎回时除外。开放日的具体业务办理时间在招募说明书或基金管理人届时发布的相关公告中载明。</w:t>
      </w:r>
    </w:p>
    <w:p w14:paraId="738AD335"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合同生效后，若出现新的证券/期货交易市场、证券/期货交易所交易时间变更、其他特殊情况或根据业务需要，基金管理人将视情况对前述开放日及开放时间进行相应的调整，但应在实施日前依照《信息披露办法》的有关规定在规定媒介上公告。</w:t>
      </w:r>
    </w:p>
    <w:p w14:paraId="2FD58F04"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2、申购、赎回开始日及业务办理时间</w:t>
      </w:r>
    </w:p>
    <w:p w14:paraId="2EDC628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基金管理人可根据实际情况依法决定本基金开始办理申购的具体日期，具体业务办理时间在开放申购业务的公告中规定。</w:t>
      </w:r>
    </w:p>
    <w:p w14:paraId="57BD636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基金管理人自基金合同生效之日起不超过3个月开始办理赎回，具体业务办理时间在开放赎回业务的公告中规定。</w:t>
      </w:r>
    </w:p>
    <w:p w14:paraId="179A8E3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在确定申购开始与赎回开始时间后，基金管理人应在申购、赎回开放日前依照《信息披露办法》的有关规定在规定媒介上公告申购与赎回的开始时间。</w:t>
      </w:r>
    </w:p>
    <w:p w14:paraId="1F4F28E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基金管理人不得在基金合同约定之外的日期或者时间办理基金份额的申购、</w:t>
      </w:r>
      <w:r>
        <w:rPr>
          <w:rFonts w:ascii="宋体" w:hAnsi="宋体" w:cs="宋体"/>
          <w:kern w:val="0"/>
          <w:sz w:val="24"/>
          <w:szCs w:val="24"/>
        </w:rPr>
        <w:lastRenderedPageBreak/>
        <w:t>赎回或者转换。投资人在基金合同约定之外的日期和时间提出申购、赎回或转换申请且登记机构确认接受的，其基金份额申购、赎回价格为下一开放日相应类别的基金份额申购、赎回的价格。</w:t>
      </w:r>
    </w:p>
    <w:p w14:paraId="3AE1EE7B"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申购与赎回的原则</w:t>
      </w:r>
    </w:p>
    <w:p w14:paraId="0886AB1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1、“未知价”原则，即申购、赎回价格以申请当日收市后计算的相应类别的基金份额净值为基准进行计算；</w:t>
      </w:r>
    </w:p>
    <w:p w14:paraId="315F6DD9"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2、“金额申购、份额赎回”原则，即申购以金额申请，赎回以份额申请；</w:t>
      </w:r>
    </w:p>
    <w:p w14:paraId="3505F067"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3、当日的申购与赎回申请可以在基金管理人规定的时间以内撤销；</w:t>
      </w:r>
    </w:p>
    <w:p w14:paraId="3FE47FB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4、赎回遵循“先进先出”原则，即按照投资人认购、申购的先后次序进行顺序赎回；</w:t>
      </w:r>
    </w:p>
    <w:p w14:paraId="3C03DF87"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5、办理申购、赎回业务时，应当遵循基金份额持有人利益优先原则，确保投资者的合法权益不受损害并得到公平对待。</w:t>
      </w:r>
    </w:p>
    <w:p w14:paraId="7BA30E4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基金管理人可在法律法规允许的情况下，对上述原则进行调整。基金管理人必须在新规则开始实施前依照《信息披露办法》的有关规定在规定媒介上公告。</w:t>
      </w:r>
    </w:p>
    <w:p w14:paraId="39681B54"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申购与赎回的程序</w:t>
      </w:r>
    </w:p>
    <w:p w14:paraId="69ED3576"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1、申购和赎回的申请方式</w:t>
      </w:r>
    </w:p>
    <w:p w14:paraId="4C28E8C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投资人必须根据销售机构规定的程序，在开放日的具体业务办理时间内提出申购或赎回的申请。投资者在提交申购申请时，须按销售机构规定的方式备足申购资金，投资者在提交赎回申请时，应确保账户内有足够的基金份额余额，否则申购、赎回申请不成立。</w:t>
      </w:r>
    </w:p>
    <w:p w14:paraId="5877E0C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2、申购和赎回的款项支付</w:t>
      </w:r>
    </w:p>
    <w:p w14:paraId="09F6359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投资人申购基金份额时，必须在规定时间前全额交付申购款项，否则所提交的申购申请不成立。投资人在规定时间前全额交付申购款项，申购成立；基金份额登记机构确认基金份额时，申购生效。</w:t>
      </w:r>
    </w:p>
    <w:p w14:paraId="45739849" w14:textId="684A55D8"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在提交赎回申请时，必须有足够的基金份额余额，否则所提交的赎回申请不成立。基金份额持有人递交赎回申请，赎回成立；基金份额登记机构确认赎回时，赎回生效。投资者赎回申请生效后，基金管理人将在T+7日（</w:t>
      </w:r>
      <w:r w:rsidR="00C1095B">
        <w:rPr>
          <w:rFonts w:ascii="宋体" w:hAnsi="宋体" w:cs="宋体"/>
          <w:kern w:val="0"/>
          <w:sz w:val="24"/>
          <w:szCs w:val="24"/>
        </w:rPr>
        <w:t>包括该日）内支付赎回款项。在发生巨额赎回时，款项的支付办法参照</w:t>
      </w:r>
      <w:r>
        <w:rPr>
          <w:rFonts w:ascii="宋体" w:hAnsi="宋体" w:cs="宋体"/>
          <w:kern w:val="0"/>
          <w:sz w:val="24"/>
          <w:szCs w:val="24"/>
        </w:rPr>
        <w:t>基金合同有关条款处理。</w:t>
      </w:r>
    </w:p>
    <w:p w14:paraId="7EA5F09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遇交易所或交易市场数据传输延迟、通讯系统故障、银行数据交换系统故障、港股通交易系统故障、港股通资金交收规则限制或其他非基金管理人及基金托管人所能控制的因素影响业务处理流程，则赎回款项顺延至上述情形消除后的下一个工作日划出。</w:t>
      </w:r>
    </w:p>
    <w:p w14:paraId="3F0C13B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基金管理人可以在法律法规和基金合同允许的范围内，对上述业务办理时间进行调整，基金管理人必须在调整实施前依照《信息披露办法》的有关规定在规定媒介上公告。</w:t>
      </w:r>
    </w:p>
    <w:p w14:paraId="4D5E4B18"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3、申购和赎回申请的确认</w:t>
      </w:r>
    </w:p>
    <w:p w14:paraId="3573C73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立或无效，则申购款项退还给投资人。</w:t>
      </w:r>
    </w:p>
    <w:p w14:paraId="35AE473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销售机构对申购、赎回申请的受理并不代表申请一定成功，而仅代表销售机构确实接收到申请。申购、赎回的确认以登记机构的确认结果为准。对于申请的确认情况，投资者应及时查询并妥善行使合法权利，否则，由此产生的任何损失由投资人自行承担。</w:t>
      </w:r>
    </w:p>
    <w:p w14:paraId="79F0138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在法律法规允许的范围内，本基金管理人或登记机构可根据业务规则，对上述业务办理时间进行调整，基金管理人必须在调整实施前依照《信息披露办法》的有关规定在规定媒介上公告。</w:t>
      </w:r>
    </w:p>
    <w:bookmarkEnd w:id="38"/>
    <w:p w14:paraId="0A2AF5FF"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申购和赎回的数量限制</w:t>
      </w:r>
    </w:p>
    <w:p w14:paraId="2D2BEF29" w14:textId="2218897A"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投资者通过基金管理人直销中心首次申购本基金基金份额的最低金额为人民币50,000元；通过基金管理人线上直销系统申购本基金基金份额单笔最低金额为人民币1元；通过其他销售机构的销售网点申购本基金基金份额单笔最低金额为人民币1元（含申购费）。超过最低申购金额的部分不设金额级差。各销售机构对本基金最低申购金额及交易级差有其他规定的，以各销售机构的业务规定为准。</w:t>
      </w:r>
    </w:p>
    <w:p w14:paraId="7861E5BC" w14:textId="7EC6E03E" w:rsidR="00AE2B28" w:rsidRDefault="00F9487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w:t>
      </w:r>
      <w:r w:rsidR="00B67EDE">
        <w:rPr>
          <w:rStyle w:val="custom"/>
          <w:rFonts w:ascii="宋体" w:hAnsi="宋体" w:cs="宋体"/>
          <w:kern w:val="0"/>
          <w:sz w:val="24"/>
          <w:szCs w:val="24"/>
        </w:rPr>
        <w:t>、基金份额持有人可将其全部或部分基金份额赎回，赎回最低份额0.1份，基金份额持有人在销售机构保留的基金份额不足0.1份的，登记系统有权将全部</w:t>
      </w:r>
      <w:r w:rsidR="00B67EDE">
        <w:rPr>
          <w:rStyle w:val="custom"/>
          <w:rFonts w:ascii="宋体" w:hAnsi="宋体" w:cs="宋体"/>
          <w:kern w:val="0"/>
          <w:sz w:val="24"/>
          <w:szCs w:val="24"/>
        </w:rPr>
        <w:lastRenderedPageBreak/>
        <w:t>剩余份额自动赎回。</w:t>
      </w:r>
    </w:p>
    <w:p w14:paraId="5EB7661D" w14:textId="2E959C91" w:rsidR="00AE2B28" w:rsidRDefault="0030120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w:t>
      </w:r>
      <w:r w:rsidR="00B67EDE">
        <w:rPr>
          <w:rStyle w:val="custom"/>
          <w:rFonts w:ascii="宋体" w:hAnsi="宋体" w:cs="宋体"/>
          <w:kern w:val="0"/>
          <w:sz w:val="24"/>
          <w:szCs w:val="24"/>
        </w:rPr>
        <w:t>、投资者可多次申购，对单个投资者累计持有基金份额的比例或数量不设上限限制，对单个投资者申购金额上限、基金规模上限或基金单日净申购比例不设上限，但单一投资者（基金管理人、基金管理人高级管理人员或基金经理等人员作为发起资金提供方除外）持有基金份额数不得达到或超过基金份额总数的50%（在基金运作过程中因基金份额赎回等基金管理人无法予以控制的情形导致被动达到或超过50%的除外）。法律法规或监管机构另有规定的，从其规定。</w:t>
      </w:r>
    </w:p>
    <w:p w14:paraId="3CD55A73" w14:textId="3CA42BD6" w:rsidR="00AE2B28" w:rsidRDefault="008D29F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sidR="00B67EDE">
        <w:rPr>
          <w:rStyle w:val="custom"/>
          <w:rFonts w:ascii="宋体" w:hAnsi="宋体" w:cs="宋体"/>
          <w:kern w:val="0"/>
          <w:sz w:val="24"/>
          <w:szCs w:val="24"/>
        </w:rPr>
        <w:t>、</w:t>
      </w:r>
      <w:r w:rsidR="00B67EDE">
        <w:rPr>
          <w:rFonts w:ascii="宋体" w:hAnsi="宋体" w:cs="宋体"/>
          <w:kern w:val="0"/>
          <w:sz w:val="24"/>
          <w:szCs w:val="24"/>
        </w:rPr>
        <w:t>基金管理人可在法律法规允许的情况下，调整上述规定申购金额和赎回份额的数量限制或新增基金规模控制措施。当接受申购申请对存量基金份额持有人利益构成潜在重大不利影响时，基金管理人应当采取设定单一投资者申购金额上限、基金规模上限或基金单日净申购比例上限、拒绝大额申购、暂停基金申购等措施，切实保护存量基金份额持有人的合法权益。基金管理人基于投资运作与风险控制的需要，可采取上述措施对基金规模予以控制。基金管理人必须在调整实施前依照《信息披露办法》的有关规定在规定媒介上公告。</w:t>
      </w:r>
    </w:p>
    <w:p w14:paraId="5FFBC78A"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申购费用和赎回费用</w:t>
      </w:r>
    </w:p>
    <w:p w14:paraId="5922EA33"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申购费用</w:t>
      </w:r>
    </w:p>
    <w:p w14:paraId="27D6E4BB" w14:textId="7AD1F715" w:rsidR="002F4B13" w:rsidRDefault="002F4B13" w:rsidP="002B5A6F">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投资者通过直销机构申购本基金的，不收取申购费。</w:t>
      </w:r>
    </w:p>
    <w:p w14:paraId="741A0C10" w14:textId="6E89992B" w:rsidR="002F4B13" w:rsidRDefault="002F4B13" w:rsidP="002F4B13">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投资者通过直销机构以外的其他销售机构申购本基金C类基金份额不收取申购费用；申购本基金A类基金份额的，申购费率随申购金额增加而递减。投资者在一天之内如果有多笔申购，适用费率按单笔申购申请单独计算。投资者通过直销机构以外的其他销售机构申购A类基金份额的具体申购费率如下表所示：</w:t>
      </w:r>
    </w:p>
    <w:tbl>
      <w:tblPr>
        <w:tblStyle w:val="tableTable"/>
        <w:tblW w:w="7940"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firstRow="1" w:lastRow="1" w:firstColumn="1" w:lastColumn="1" w:noHBand="0" w:noVBand="1"/>
      </w:tblPr>
      <w:tblGrid>
        <w:gridCol w:w="4257"/>
        <w:gridCol w:w="3683"/>
      </w:tblGrid>
      <w:tr w:rsidR="00AE2B28" w14:paraId="09FFCBA4" w14:textId="77777777">
        <w:trPr>
          <w:trHeight w:val="460"/>
          <w:jc w:val="center"/>
        </w:trPr>
        <w:tc>
          <w:tcPr>
            <w:tcW w:w="0" w:type="auto"/>
            <w:tcBorders>
              <w:bottom w:val="single" w:sz="6" w:space="0" w:color="000000"/>
              <w:right w:val="single" w:sz="6" w:space="0" w:color="000000"/>
            </w:tcBorders>
            <w:tcMar>
              <w:top w:w="0" w:type="dxa"/>
              <w:left w:w="110" w:type="dxa"/>
              <w:bottom w:w="0" w:type="dxa"/>
              <w:right w:w="108" w:type="dxa"/>
            </w:tcMar>
            <w:vAlign w:val="center"/>
            <w:hideMark/>
          </w:tcPr>
          <w:p w14:paraId="2B61B8FF" w14:textId="77777777" w:rsidR="00AE2B28" w:rsidRDefault="00B67EDE">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申购金额（M）</w:t>
            </w:r>
          </w:p>
        </w:tc>
        <w:tc>
          <w:tcPr>
            <w:tcW w:w="0" w:type="auto"/>
            <w:tcBorders>
              <w:left w:val="single" w:sz="6" w:space="0" w:color="000000"/>
              <w:bottom w:val="single" w:sz="6" w:space="0" w:color="000000"/>
            </w:tcBorders>
            <w:tcMar>
              <w:top w:w="0" w:type="dxa"/>
              <w:left w:w="108" w:type="dxa"/>
              <w:bottom w:w="0" w:type="dxa"/>
              <w:right w:w="110" w:type="dxa"/>
            </w:tcMar>
            <w:vAlign w:val="center"/>
            <w:hideMark/>
          </w:tcPr>
          <w:p w14:paraId="5F02D059" w14:textId="77777777" w:rsidR="00AE2B28" w:rsidRDefault="00B67EDE">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申购费率</w:t>
            </w:r>
          </w:p>
        </w:tc>
      </w:tr>
      <w:tr w:rsidR="00AE2B28" w14:paraId="432E4B7C" w14:textId="77777777">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hideMark/>
          </w:tcPr>
          <w:p w14:paraId="3533F5DF" w14:textId="2FC5F2E5" w:rsidR="00AE2B28" w:rsidRDefault="00B67EDE">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M＜</w:t>
            </w:r>
            <w:r w:rsidR="002F4B13">
              <w:rPr>
                <w:rStyle w:val="custom"/>
                <w:rFonts w:ascii="宋体" w:hAnsi="宋体" w:cs="宋体"/>
                <w:color w:val="000000"/>
                <w:kern w:val="0"/>
                <w:sz w:val="24"/>
                <w:szCs w:val="24"/>
              </w:rPr>
              <w:t>5</w:t>
            </w:r>
            <w:r>
              <w:rPr>
                <w:rStyle w:val="custom"/>
                <w:rFonts w:ascii="宋体" w:hAnsi="宋体" w:cs="宋体"/>
                <w:color w:val="000000"/>
                <w:kern w:val="0"/>
                <w:sz w:val="24"/>
                <w:szCs w:val="24"/>
              </w:rPr>
              <w:t>00万元</w:t>
            </w:r>
          </w:p>
        </w:tc>
        <w:tc>
          <w:tcPr>
            <w:tcW w:w="0" w:type="auto"/>
            <w:tcBorders>
              <w:top w:val="single" w:sz="6" w:space="0" w:color="000000"/>
              <w:left w:val="single" w:sz="6" w:space="0" w:color="000000"/>
              <w:bottom w:val="single" w:sz="6" w:space="0" w:color="000000"/>
            </w:tcBorders>
            <w:tcMar>
              <w:top w:w="0" w:type="dxa"/>
              <w:left w:w="108" w:type="dxa"/>
              <w:bottom w:w="0" w:type="dxa"/>
              <w:right w:w="110" w:type="dxa"/>
            </w:tcMar>
            <w:vAlign w:val="center"/>
            <w:hideMark/>
          </w:tcPr>
          <w:p w14:paraId="256C34B2" w14:textId="580400CC" w:rsidR="00AE2B28" w:rsidRDefault="002F4B1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0.8</w:t>
            </w:r>
            <w:r w:rsidR="00B67EDE">
              <w:rPr>
                <w:rStyle w:val="custom"/>
                <w:rFonts w:ascii="宋体" w:hAnsi="宋体" w:cs="宋体"/>
                <w:color w:val="000000"/>
                <w:kern w:val="0"/>
                <w:sz w:val="24"/>
                <w:szCs w:val="24"/>
              </w:rPr>
              <w:t>0%</w:t>
            </w:r>
          </w:p>
        </w:tc>
      </w:tr>
      <w:tr w:rsidR="00AE2B28" w14:paraId="63E752AD" w14:textId="77777777">
        <w:trPr>
          <w:trHeight w:val="460"/>
          <w:jc w:val="center"/>
        </w:trPr>
        <w:tc>
          <w:tcPr>
            <w:tcW w:w="0" w:type="auto"/>
            <w:tcBorders>
              <w:top w:val="single" w:sz="6" w:space="0" w:color="000000"/>
              <w:right w:val="single" w:sz="6" w:space="0" w:color="000000"/>
            </w:tcBorders>
            <w:tcMar>
              <w:top w:w="0" w:type="dxa"/>
              <w:left w:w="110" w:type="dxa"/>
              <w:bottom w:w="0" w:type="dxa"/>
              <w:right w:w="108" w:type="dxa"/>
            </w:tcMar>
            <w:vAlign w:val="center"/>
            <w:hideMark/>
          </w:tcPr>
          <w:p w14:paraId="1696DE67" w14:textId="77777777" w:rsidR="00AE2B28" w:rsidRDefault="00B67EDE">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M≥500万元</w:t>
            </w:r>
          </w:p>
        </w:tc>
        <w:tc>
          <w:tcPr>
            <w:tcW w:w="0" w:type="auto"/>
            <w:tcBorders>
              <w:top w:val="single" w:sz="6" w:space="0" w:color="000000"/>
              <w:left w:val="single" w:sz="6" w:space="0" w:color="000000"/>
            </w:tcBorders>
            <w:tcMar>
              <w:top w:w="0" w:type="dxa"/>
              <w:left w:w="108" w:type="dxa"/>
              <w:bottom w:w="0" w:type="dxa"/>
              <w:right w:w="110" w:type="dxa"/>
            </w:tcMar>
            <w:vAlign w:val="center"/>
            <w:hideMark/>
          </w:tcPr>
          <w:p w14:paraId="34DED6E8" w14:textId="77777777" w:rsidR="00AE2B28" w:rsidRDefault="00B67EDE">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每笔1000元</w:t>
            </w:r>
          </w:p>
        </w:tc>
      </w:tr>
    </w:tbl>
    <w:p w14:paraId="24F7A5FE" w14:textId="4F8FEE59" w:rsidR="00AE2B28" w:rsidRDefault="002F4B13">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A类基金份额的申购费用由通过直销机构以外的其他销售机构申购A类基金份额的投资者承担，</w:t>
      </w:r>
      <w:r w:rsidR="00B67EDE">
        <w:rPr>
          <w:rStyle w:val="custom"/>
          <w:rFonts w:ascii="宋体" w:hAnsi="宋体" w:cs="宋体"/>
          <w:kern w:val="0"/>
          <w:sz w:val="24"/>
          <w:szCs w:val="24"/>
        </w:rPr>
        <w:t>不列入基金财产，主要用于本基金的市场推广、销售等各项费用。</w:t>
      </w:r>
    </w:p>
    <w:p w14:paraId="4BA7C6A8"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赎回费用</w:t>
      </w:r>
    </w:p>
    <w:p w14:paraId="7E7CFC82"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基金赎回费率按基金份额持有人持有该部分基金份额的时间分段设定。</w:t>
      </w:r>
    </w:p>
    <w:p w14:paraId="1BF0137F" w14:textId="5FB7B06F"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本基金A类基金份额</w:t>
      </w:r>
      <w:r w:rsidR="002F4B13">
        <w:rPr>
          <w:rStyle w:val="custom"/>
          <w:rFonts w:ascii="宋体" w:hAnsi="宋体" w:cs="宋体"/>
          <w:kern w:val="0"/>
          <w:sz w:val="24"/>
          <w:szCs w:val="24"/>
        </w:rPr>
        <w:t>和C类基金份额采用相同的赎回费率结构，</w:t>
      </w:r>
      <w:r>
        <w:rPr>
          <w:rStyle w:val="custom"/>
          <w:rFonts w:ascii="宋体" w:hAnsi="宋体" w:cs="宋体"/>
          <w:kern w:val="0"/>
          <w:sz w:val="24"/>
          <w:szCs w:val="24"/>
        </w:rPr>
        <w:t>赎回费率具体如下：</w:t>
      </w:r>
    </w:p>
    <w:tbl>
      <w:tblPr>
        <w:tblStyle w:val="tableTable"/>
        <w:tblW w:w="4826"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firstRow="1" w:lastRow="1" w:firstColumn="1" w:lastColumn="1" w:noHBand="0" w:noVBand="1"/>
      </w:tblPr>
      <w:tblGrid>
        <w:gridCol w:w="2980"/>
        <w:gridCol w:w="1846"/>
      </w:tblGrid>
      <w:tr w:rsidR="002F4B13" w14:paraId="222F13EA" w14:textId="77777777" w:rsidTr="001E58A7">
        <w:trPr>
          <w:trHeight w:val="460"/>
          <w:jc w:val="center"/>
        </w:trPr>
        <w:tc>
          <w:tcPr>
            <w:tcW w:w="0" w:type="auto"/>
            <w:tcBorders>
              <w:bottom w:val="single" w:sz="6" w:space="0" w:color="000000"/>
              <w:right w:val="single" w:sz="6" w:space="0" w:color="000000"/>
            </w:tcBorders>
            <w:tcMar>
              <w:top w:w="0" w:type="dxa"/>
              <w:left w:w="110" w:type="dxa"/>
              <w:bottom w:w="0" w:type="dxa"/>
              <w:right w:w="108" w:type="dxa"/>
            </w:tcMar>
            <w:vAlign w:val="center"/>
            <w:hideMark/>
          </w:tcPr>
          <w:p w14:paraId="6428A3CF" w14:textId="77777777" w:rsidR="002F4B13" w:rsidRDefault="002F4B1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持有期限（N）</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2130A4" w14:textId="77777777" w:rsidR="002F4B13" w:rsidRDefault="002F4B1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赎回费率</w:t>
            </w:r>
          </w:p>
        </w:tc>
      </w:tr>
      <w:tr w:rsidR="002F4B13" w14:paraId="3FEEDD0F" w14:textId="77777777" w:rsidTr="001E58A7">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hideMark/>
          </w:tcPr>
          <w:p w14:paraId="031BB1C8" w14:textId="77777777" w:rsidR="002F4B13" w:rsidRDefault="002F4B1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N＜7天</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7FFADB" w14:textId="77777777" w:rsidR="002F4B13" w:rsidRDefault="002F4B1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1.50%</w:t>
            </w:r>
          </w:p>
        </w:tc>
      </w:tr>
      <w:tr w:rsidR="002F4B13" w14:paraId="53278666" w14:textId="77777777" w:rsidTr="001E58A7">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hideMark/>
          </w:tcPr>
          <w:p w14:paraId="49A35639" w14:textId="6D062176" w:rsidR="002F4B13" w:rsidRDefault="002F4B13" w:rsidP="002F4B1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7天≤N&lt;30天</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2FB761" w14:textId="41AF880C" w:rsidR="002F4B13" w:rsidRDefault="002F4B13" w:rsidP="002F4B1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1.00%</w:t>
            </w:r>
          </w:p>
        </w:tc>
      </w:tr>
      <w:tr w:rsidR="002F4B13" w14:paraId="19D052DC" w14:textId="77777777" w:rsidTr="001E58A7">
        <w:trPr>
          <w:trHeight w:val="460"/>
          <w:jc w:val="center"/>
        </w:trPr>
        <w:tc>
          <w:tcPr>
            <w:tcW w:w="0" w:type="auto"/>
            <w:tcBorders>
              <w:top w:val="single" w:sz="6" w:space="0" w:color="000000"/>
              <w:bottom w:val="single" w:sz="6" w:space="0" w:color="000000"/>
              <w:right w:val="single" w:sz="6" w:space="0" w:color="000000"/>
            </w:tcBorders>
            <w:tcMar>
              <w:top w:w="0" w:type="dxa"/>
              <w:left w:w="110" w:type="dxa"/>
              <w:bottom w:w="0" w:type="dxa"/>
              <w:right w:w="108" w:type="dxa"/>
            </w:tcMar>
            <w:vAlign w:val="center"/>
            <w:hideMark/>
          </w:tcPr>
          <w:p w14:paraId="2E5BE0B4" w14:textId="0F9611A7" w:rsidR="002F4B13" w:rsidRDefault="002F4B13" w:rsidP="002F4B1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30天≤N&lt;180天</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C83794" w14:textId="77777777" w:rsidR="002F4B13" w:rsidRDefault="002F4B13" w:rsidP="002F4B1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0.50%</w:t>
            </w:r>
          </w:p>
        </w:tc>
      </w:tr>
      <w:tr w:rsidR="002F4B13" w14:paraId="30D8F167" w14:textId="77777777" w:rsidTr="001E58A7">
        <w:trPr>
          <w:trHeight w:val="460"/>
          <w:jc w:val="center"/>
        </w:trPr>
        <w:tc>
          <w:tcPr>
            <w:tcW w:w="0" w:type="auto"/>
            <w:tcBorders>
              <w:top w:val="single" w:sz="6" w:space="0" w:color="000000"/>
              <w:right w:val="single" w:sz="6" w:space="0" w:color="000000"/>
            </w:tcBorders>
            <w:tcMar>
              <w:top w:w="0" w:type="dxa"/>
              <w:left w:w="110" w:type="dxa"/>
              <w:bottom w:w="0" w:type="dxa"/>
              <w:right w:w="108" w:type="dxa"/>
            </w:tcMar>
            <w:vAlign w:val="center"/>
            <w:hideMark/>
          </w:tcPr>
          <w:p w14:paraId="7D38DAC9" w14:textId="4B0202BD" w:rsidR="002F4B13" w:rsidRDefault="002F4B13" w:rsidP="002F4B1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N≥180天</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14:paraId="092E4D2E" w14:textId="77777777" w:rsidR="002F4B13" w:rsidRDefault="002F4B13" w:rsidP="002F4B1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0</w:t>
            </w:r>
          </w:p>
        </w:tc>
      </w:tr>
    </w:tbl>
    <w:p w14:paraId="7AD16F82" w14:textId="1B854F57" w:rsidR="00AE2B28" w:rsidRDefault="00AE2B28" w:rsidP="00EA2A9E">
      <w:pPr>
        <w:pStyle w:val="div"/>
        <w:spacing w:line="360" w:lineRule="auto"/>
        <w:ind w:firstLine="420"/>
        <w:rPr>
          <w:rStyle w:val="custom"/>
          <w:rFonts w:ascii="宋体" w:hAnsi="宋体" w:cs="宋体"/>
          <w:kern w:val="0"/>
          <w:sz w:val="24"/>
          <w:szCs w:val="24"/>
        </w:rPr>
      </w:pPr>
    </w:p>
    <w:p w14:paraId="20B8C4B0" w14:textId="415DFA4C"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赎回费用由赎回基金份额的基金份额持有人承担，在基金份额持有人赎回基金份额时收取。</w:t>
      </w:r>
      <w:r w:rsidR="002F4B13">
        <w:rPr>
          <w:rStyle w:val="custom"/>
          <w:rFonts w:ascii="宋体" w:hAnsi="宋体" w:cs="宋体"/>
          <w:kern w:val="0"/>
          <w:sz w:val="24"/>
          <w:szCs w:val="24"/>
        </w:rPr>
        <w:t>赎回费用全额计入基金财产</w:t>
      </w:r>
      <w:r>
        <w:rPr>
          <w:rStyle w:val="custom"/>
          <w:rFonts w:ascii="宋体" w:hAnsi="宋体" w:cs="宋体"/>
          <w:kern w:val="0"/>
          <w:sz w:val="24"/>
          <w:szCs w:val="24"/>
        </w:rPr>
        <w:t>。</w:t>
      </w:r>
    </w:p>
    <w:p w14:paraId="6B5E5559"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基金管理人可以在基金合同约定的范围内调整费率或收费方式，并最迟应于新的费率或收费方式实施日前依照《信息披露办法》的有关规定在规定媒介上公告。</w:t>
      </w:r>
    </w:p>
    <w:p w14:paraId="1CFD2721"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当本基金发生大额申购或赎回情形时，基金管理人可以采用摆动定价机制，以确保基金估值的公平性。具体处理原则与操作规范遵循相关法律法规以及监管部门、自律规则的规定。基金管理人依照《信息披露办法》的有关规定，将摆动定价机制的具体操作规则在规定媒介上公告。</w:t>
      </w:r>
    </w:p>
    <w:p w14:paraId="36D2D0C4"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管理人可以在不违反法律法规规定及基金合同约定的情形下根据市场情况制定基金促销计划，定期或不定期地开展基金促销活动。在基金促销活动期间，在对存量基金份额持有人利益无实质性不利影响的前提下，按相关监管部门要求履行必要手续后，基金管理人可以适当调低基金销售费率。</w:t>
      </w:r>
    </w:p>
    <w:p w14:paraId="509FB662"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申购份额与赎回金额的计算</w:t>
      </w:r>
    </w:p>
    <w:p w14:paraId="1A24BCDF"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本基金申购份额的计算</w:t>
      </w:r>
    </w:p>
    <w:p w14:paraId="0E6E86BD"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（1）申购A类基金份额</w:t>
      </w:r>
    </w:p>
    <w:p w14:paraId="168E54C9" w14:textId="77777777" w:rsidR="002F4B13" w:rsidRDefault="002F4B13" w:rsidP="002F4B13">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1）若投资者通过直销机构申购A类基金份额：</w:t>
      </w:r>
    </w:p>
    <w:p w14:paraId="6D57622F" w14:textId="77777777" w:rsidR="002F4B13" w:rsidRDefault="002F4B13" w:rsidP="002F4B13">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申购份额=申购金额/申购当日A类基金份额净值</w:t>
      </w:r>
    </w:p>
    <w:p w14:paraId="4133BE54" w14:textId="0186515B" w:rsidR="00AE2B28" w:rsidRDefault="002F4B13">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2）若投资者通过直销机构以外的其他销售机构申购</w:t>
      </w:r>
      <w:r w:rsidR="00B67EDE">
        <w:rPr>
          <w:rStyle w:val="custom"/>
          <w:rFonts w:ascii="宋体" w:hAnsi="宋体" w:cs="宋体"/>
          <w:kern w:val="0"/>
          <w:sz w:val="24"/>
          <w:szCs w:val="24"/>
        </w:rPr>
        <w:t>A类基金份额的</w:t>
      </w:r>
      <w:r>
        <w:rPr>
          <w:rStyle w:val="custom"/>
          <w:rFonts w:ascii="宋体" w:hAnsi="宋体" w:cs="宋体"/>
          <w:kern w:val="0"/>
          <w:sz w:val="24"/>
          <w:szCs w:val="24"/>
        </w:rPr>
        <w:t>，</w:t>
      </w:r>
      <w:r w:rsidR="00B67EDE">
        <w:rPr>
          <w:rStyle w:val="custom"/>
          <w:rFonts w:ascii="宋体" w:hAnsi="宋体" w:cs="宋体"/>
          <w:kern w:val="0"/>
          <w:sz w:val="24"/>
          <w:szCs w:val="24"/>
        </w:rPr>
        <w:t>申购金额包括申购费用和净申购金额，其中：</w:t>
      </w:r>
    </w:p>
    <w:p w14:paraId="791962CC" w14:textId="4410DA93" w:rsidR="00AE2B28" w:rsidRDefault="002F4B13">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①</w:t>
      </w:r>
      <w:r w:rsidR="00B67EDE">
        <w:rPr>
          <w:rStyle w:val="custom"/>
          <w:rFonts w:ascii="宋体" w:hAnsi="宋体" w:cs="宋体"/>
          <w:kern w:val="0"/>
          <w:sz w:val="24"/>
          <w:szCs w:val="24"/>
        </w:rPr>
        <w:t>申购费用适用比例费率时：</w:t>
      </w:r>
    </w:p>
    <w:p w14:paraId="5DF0147C"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净申购金额=申购金额/（1＋申购费率）</w:t>
      </w:r>
    </w:p>
    <w:p w14:paraId="5E4EB3EF"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申购费用=申购金额-净申购金额</w:t>
      </w:r>
    </w:p>
    <w:p w14:paraId="0C59BE54"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申购份额=净申购金额/申购当日A类基金份额净值</w:t>
      </w:r>
    </w:p>
    <w:p w14:paraId="69E76292" w14:textId="2A8917E4" w:rsidR="00AE2B28" w:rsidRDefault="002F4B13">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②</w:t>
      </w:r>
      <w:r w:rsidR="00B67EDE">
        <w:rPr>
          <w:rStyle w:val="custom"/>
          <w:rFonts w:ascii="宋体" w:hAnsi="宋体" w:cs="宋体"/>
          <w:kern w:val="0"/>
          <w:sz w:val="24"/>
          <w:szCs w:val="24"/>
        </w:rPr>
        <w:t>申购费用适用固定金额时：</w:t>
      </w:r>
    </w:p>
    <w:p w14:paraId="6CBD74DF"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申购费用=固定金额</w:t>
      </w:r>
    </w:p>
    <w:p w14:paraId="3B397630"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净申购金额=申购金额-申购费用</w:t>
      </w:r>
    </w:p>
    <w:p w14:paraId="2677EDED"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申购份额=净申购金额/申购当日A类基金份额净值</w:t>
      </w:r>
    </w:p>
    <w:p w14:paraId="61EF5272"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（2）申购C类基金份额</w:t>
      </w:r>
    </w:p>
    <w:p w14:paraId="353AC5D8"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申购份额=申购金额/申购当日C类基金份额净值</w:t>
      </w:r>
    </w:p>
    <w:p w14:paraId="2AC4AE8F"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（3）上述申购份额计算结果保留到小数点后2位，小数点2位以后的部分四舍五入，由此误差产生的收益或损失由基金财产承担。</w:t>
      </w:r>
    </w:p>
    <w:p w14:paraId="13F700C0" w14:textId="35B3EB5F" w:rsidR="002F4B13" w:rsidRDefault="002F4B13" w:rsidP="002F4B13">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例1.某投资者通过其他销售机构投资50,000元申购本基金A类基金份额，其对应的申购费率为0.80%，假设申购当日A类基金份额净值为1.0520元，则可得到的申购份额为：</w:t>
      </w:r>
    </w:p>
    <w:p w14:paraId="05E46F7D" w14:textId="490F7C5F" w:rsidR="002F4B13" w:rsidRDefault="002F4B13" w:rsidP="002F4B13">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净申购金额=50,000/（1+0.80%）=49,603.17元</w:t>
      </w:r>
    </w:p>
    <w:p w14:paraId="2795C88E" w14:textId="72233096" w:rsidR="002F4B13" w:rsidRDefault="002F4B13" w:rsidP="002F4B13">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申购费用=50,000–49,603.17=396.83元</w:t>
      </w:r>
    </w:p>
    <w:p w14:paraId="383BC7A1" w14:textId="1F2F8EC4" w:rsidR="002F4B13" w:rsidRDefault="002F4B13" w:rsidP="002F4B13">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申购份额=49,603.17/1.0520=47,151.30份</w:t>
      </w:r>
    </w:p>
    <w:p w14:paraId="68662F5F" w14:textId="442E82A0" w:rsidR="002F4B13" w:rsidRDefault="002F4B13" w:rsidP="002F4B13">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即：投资者通过其他销售机构投资50,000元申购本基金A类基金份额，其对应的申购费率为0.80%，假设申购当日A类基金份额净值为1.0520元，则其可得到47,151.30份A类基金份额。</w:t>
      </w:r>
    </w:p>
    <w:p w14:paraId="33343F15" w14:textId="2499EEBE" w:rsidR="002F4B13" w:rsidRDefault="002F4B13" w:rsidP="002F4B13">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例2.某投资者通过直销机构投资10万元申购本基金A类基金份额，不收取申购费用，假设申购当日A类基金份额净值为1.0150元，则其可得到的申购份额计算如下：</w:t>
      </w:r>
    </w:p>
    <w:p w14:paraId="143A6AD5" w14:textId="1284712B" w:rsidR="002F4B13" w:rsidRDefault="002F4B13" w:rsidP="002F4B13">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申购份额=100,000/1.0150=98,522.17份</w:t>
      </w:r>
    </w:p>
    <w:p w14:paraId="2021353D" w14:textId="277E3FFB" w:rsidR="002F4B13" w:rsidRDefault="002F4B13" w:rsidP="002F4B13">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即：投资者通过直销机构投资10万元申购本基金A类基金份额，不收取申购费用，假设申购当日的A类基金份额净值为1.0150元，则其可得到98,522.17份A类基金份额。</w:t>
      </w:r>
    </w:p>
    <w:p w14:paraId="18893FF0"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例3.某投资者投资50,000元申购本基金C类基金份额，假设申购当日C类基金份额净值为1.0520元，则其可得到的C类基金份额为：</w:t>
      </w:r>
    </w:p>
    <w:p w14:paraId="646692AE"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申购份额=50,000.00/1.0520=47,528.52份</w:t>
      </w:r>
    </w:p>
    <w:p w14:paraId="4E161BC4"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即：投资者投资50,000元申购本基金C类基金份额，假设申购当日C类基金份额净值为1.0520元，则可得到47,528.52份C类基金份额。</w:t>
      </w:r>
    </w:p>
    <w:p w14:paraId="41340006"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本基金赎回金额的计算</w:t>
      </w:r>
    </w:p>
    <w:p w14:paraId="1165BA36" w14:textId="08FE7EB2"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本基金赎回采用“份额赎回”的方式，赎回金额以当日该类基金份额净值为基准进行计算，计算公式</w:t>
      </w:r>
      <w:r w:rsidR="0051711B">
        <w:rPr>
          <w:rStyle w:val="custom"/>
          <w:rFonts w:ascii="宋体" w:hAnsi="宋体" w:cs="宋体" w:hint="eastAsia"/>
          <w:kern w:val="0"/>
          <w:sz w:val="24"/>
          <w:szCs w:val="24"/>
        </w:rPr>
        <w:t>如下</w:t>
      </w:r>
      <w:r>
        <w:rPr>
          <w:rStyle w:val="custom"/>
          <w:rFonts w:ascii="宋体" w:hAnsi="宋体" w:cs="宋体"/>
          <w:kern w:val="0"/>
          <w:sz w:val="24"/>
          <w:szCs w:val="24"/>
        </w:rPr>
        <w:t>：</w:t>
      </w:r>
    </w:p>
    <w:p w14:paraId="06A57620"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赎回总金额=赎回份额×赎回当日该类基金份额净值</w:t>
      </w:r>
    </w:p>
    <w:p w14:paraId="14B15F34"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赎回费用=赎回总金额×赎回费率</w:t>
      </w:r>
    </w:p>
    <w:p w14:paraId="739DFC7E" w14:textId="11DC93E5"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净赎回金额=赎回总金额-赎回费用</w:t>
      </w:r>
      <w:r w:rsidR="00AB2113" w:rsidRPr="00AB2113">
        <w:rPr>
          <w:rStyle w:val="custom"/>
          <w:rFonts w:ascii="宋体" w:hAnsi="宋体" w:cs="宋体" w:hint="eastAsia"/>
          <w:kern w:val="0"/>
          <w:sz w:val="24"/>
          <w:szCs w:val="24"/>
        </w:rPr>
        <w:t>±该笔赎回确认应返还的或有管理费（如有）或该笔赎回确认应扣除的超额管理费（如有）</w:t>
      </w:r>
    </w:p>
    <w:p w14:paraId="56227495" w14:textId="0E0CDB32" w:rsidR="00AB2113" w:rsidRPr="00850F74" w:rsidRDefault="00AB2113">
      <w:pPr>
        <w:pStyle w:val="div"/>
        <w:spacing w:line="360" w:lineRule="auto"/>
        <w:ind w:firstLine="420"/>
        <w:rPr>
          <w:rFonts w:eastAsiaTheme="minorEastAsia"/>
          <w:kern w:val="0"/>
          <w:sz w:val="24"/>
          <w:szCs w:val="24"/>
        </w:rPr>
      </w:pPr>
      <w:r w:rsidRPr="00AB2113">
        <w:rPr>
          <w:rFonts w:eastAsiaTheme="minorEastAsia" w:hint="eastAsia"/>
          <w:kern w:val="0"/>
          <w:sz w:val="24"/>
          <w:szCs w:val="24"/>
        </w:rPr>
        <w:t>其中，“±”表示：“</w:t>
      </w:r>
      <w:r w:rsidRPr="00AB2113">
        <w:rPr>
          <w:rFonts w:eastAsiaTheme="minorEastAsia" w:hint="eastAsia"/>
          <w:kern w:val="0"/>
          <w:sz w:val="24"/>
          <w:szCs w:val="24"/>
        </w:rPr>
        <w:t>+</w:t>
      </w:r>
      <w:r w:rsidRPr="00AB2113">
        <w:rPr>
          <w:rFonts w:eastAsiaTheme="minorEastAsia" w:hint="eastAsia"/>
          <w:kern w:val="0"/>
          <w:sz w:val="24"/>
          <w:szCs w:val="24"/>
        </w:rPr>
        <w:t>”时，为加上该笔赎回确认应返还的或有管理费（如有）；“</w:t>
      </w:r>
      <w:r w:rsidRPr="00AB2113">
        <w:rPr>
          <w:rFonts w:eastAsiaTheme="minorEastAsia" w:hint="eastAsia"/>
          <w:kern w:val="0"/>
          <w:sz w:val="24"/>
          <w:szCs w:val="24"/>
        </w:rPr>
        <w:t>-</w:t>
      </w:r>
      <w:r w:rsidRPr="00AB2113">
        <w:rPr>
          <w:rFonts w:eastAsiaTheme="minorEastAsia" w:hint="eastAsia"/>
          <w:kern w:val="0"/>
          <w:sz w:val="24"/>
          <w:szCs w:val="24"/>
        </w:rPr>
        <w:t>”时，为扣除该笔赎回确认应扣除的超额管理费（如有）。该笔赎回是否涉及返还或有管理费或扣除超额管理费的具体条件及计算方法等具体安排详见本招募说明书“基金的费用与税收”部分。</w:t>
      </w:r>
    </w:p>
    <w:p w14:paraId="0EEC6D3B"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上述计算结果均按四舍五入方法，保留到小数点后2位，由此产生的收益或损失由基金财产承担。</w:t>
      </w:r>
    </w:p>
    <w:p w14:paraId="64BE5645" w14:textId="77777777" w:rsidR="008F255A" w:rsidRDefault="008F255A" w:rsidP="00AB2113">
      <w:pPr>
        <w:pStyle w:val="div"/>
        <w:spacing w:line="360" w:lineRule="auto"/>
        <w:ind w:firstLine="420"/>
        <w:jc w:val="left"/>
        <w:rPr>
          <w:rStyle w:val="custom"/>
          <w:rFonts w:ascii="宋体" w:hAnsi="宋体" w:cs="宋体"/>
          <w:kern w:val="0"/>
          <w:sz w:val="24"/>
          <w:szCs w:val="24"/>
        </w:rPr>
      </w:pPr>
      <w:r w:rsidRPr="008F255A">
        <w:rPr>
          <w:rStyle w:val="custom"/>
          <w:rFonts w:ascii="宋体" w:hAnsi="宋体" w:cs="宋体" w:hint="eastAsia"/>
          <w:kern w:val="0"/>
          <w:sz w:val="24"/>
          <w:szCs w:val="24"/>
        </w:rPr>
        <w:t>此外，对于投资者通过直销机构认购/申购的C类基金份额所计提的销售服务费或者通过其他销售机构认购/申购且持续持有期限超过一年（即365天）以后继续计提的C类基金份额销售服务费，将在投资者赎回相应基金份额时随赎回款一并返还给投资者。</w:t>
      </w:r>
    </w:p>
    <w:p w14:paraId="55D6305B" w14:textId="0FE524B8" w:rsidR="00AB2113" w:rsidRPr="00AB2113" w:rsidRDefault="00B67EDE" w:rsidP="00AB2113">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例4.</w:t>
      </w:r>
      <w:r w:rsidR="00AB2113" w:rsidRPr="00AB2113">
        <w:rPr>
          <w:rStyle w:val="custom"/>
          <w:rFonts w:ascii="宋体" w:hAnsi="宋体" w:cs="宋体" w:hint="eastAsia"/>
          <w:kern w:val="0"/>
          <w:sz w:val="24"/>
          <w:szCs w:val="24"/>
        </w:rPr>
        <w:t>某投资者在T日赎回10,000份A类基金份额，假设赎回当日A类基金份额净值为1.2500元，持有时间为100日（未满365天），赎回费率为0.50%，其获得的净赎回金额计算如下：</w:t>
      </w:r>
    </w:p>
    <w:p w14:paraId="150A010E" w14:textId="77777777" w:rsidR="00AB2113" w:rsidRPr="00AB2113" w:rsidRDefault="00AB2113" w:rsidP="00AB2113">
      <w:pPr>
        <w:pStyle w:val="div"/>
        <w:spacing w:line="360" w:lineRule="auto"/>
        <w:ind w:firstLine="420"/>
        <w:jc w:val="left"/>
        <w:rPr>
          <w:rStyle w:val="custom"/>
          <w:rFonts w:ascii="宋体" w:hAnsi="宋体" w:cs="宋体"/>
          <w:kern w:val="0"/>
          <w:sz w:val="24"/>
          <w:szCs w:val="24"/>
        </w:rPr>
      </w:pPr>
      <w:r w:rsidRPr="00AB2113">
        <w:rPr>
          <w:rStyle w:val="custom"/>
          <w:rFonts w:ascii="宋体" w:hAnsi="宋体" w:cs="宋体" w:hint="eastAsia"/>
          <w:kern w:val="0"/>
          <w:sz w:val="24"/>
          <w:szCs w:val="24"/>
        </w:rPr>
        <w:t>赎回总金额＝10,000×1.2500＝12,500.00元</w:t>
      </w:r>
    </w:p>
    <w:p w14:paraId="3BD74270" w14:textId="77777777" w:rsidR="00AB2113" w:rsidRPr="00AB2113" w:rsidRDefault="00AB2113" w:rsidP="00AB2113">
      <w:pPr>
        <w:pStyle w:val="div"/>
        <w:spacing w:line="360" w:lineRule="auto"/>
        <w:ind w:firstLine="420"/>
        <w:jc w:val="left"/>
        <w:rPr>
          <w:rStyle w:val="custom"/>
          <w:rFonts w:ascii="宋体" w:hAnsi="宋体" w:cs="宋体"/>
          <w:kern w:val="0"/>
          <w:sz w:val="24"/>
          <w:szCs w:val="24"/>
        </w:rPr>
      </w:pPr>
      <w:r w:rsidRPr="00AB2113">
        <w:rPr>
          <w:rStyle w:val="custom"/>
          <w:rFonts w:ascii="宋体" w:hAnsi="宋体" w:cs="宋体" w:hint="eastAsia"/>
          <w:kern w:val="0"/>
          <w:sz w:val="24"/>
          <w:szCs w:val="24"/>
        </w:rPr>
        <w:t>赎回费用＝12,500.00×0.50%=62.50元</w:t>
      </w:r>
    </w:p>
    <w:p w14:paraId="4C1CA00C" w14:textId="7DEDCC4E" w:rsidR="00AB2113" w:rsidRPr="00AB2113" w:rsidRDefault="00AB2113" w:rsidP="00AB2113">
      <w:pPr>
        <w:pStyle w:val="div"/>
        <w:spacing w:line="360" w:lineRule="auto"/>
        <w:ind w:firstLine="420"/>
        <w:jc w:val="left"/>
        <w:rPr>
          <w:rStyle w:val="custom"/>
          <w:rFonts w:ascii="宋体" w:hAnsi="宋体" w:cs="宋体"/>
          <w:kern w:val="0"/>
          <w:sz w:val="24"/>
          <w:szCs w:val="24"/>
        </w:rPr>
      </w:pPr>
      <w:r w:rsidRPr="00AB2113">
        <w:rPr>
          <w:rStyle w:val="custom"/>
          <w:rFonts w:ascii="宋体" w:hAnsi="宋体" w:cs="宋体" w:hint="eastAsia"/>
          <w:kern w:val="0"/>
          <w:sz w:val="24"/>
          <w:szCs w:val="24"/>
        </w:rPr>
        <w:t>净赎回金额</w:t>
      </w:r>
      <w:r w:rsidRPr="00AB2113">
        <w:rPr>
          <w:rStyle w:val="custom"/>
          <w:rFonts w:ascii="宋体" w:hAnsi="宋体" w:cs="宋体"/>
          <w:kern w:val="0"/>
          <w:sz w:val="24"/>
          <w:szCs w:val="24"/>
        </w:rPr>
        <w:t>=12,500.00</w:t>
      </w:r>
      <w:r w:rsidR="000D231B">
        <w:rPr>
          <w:rStyle w:val="custom"/>
          <w:rFonts w:ascii="宋体" w:hAnsi="宋体" w:cs="宋体"/>
          <w:kern w:val="0"/>
          <w:sz w:val="24"/>
          <w:szCs w:val="24"/>
        </w:rPr>
        <w:t>-</w:t>
      </w:r>
      <w:r w:rsidRPr="00AB2113">
        <w:rPr>
          <w:rStyle w:val="custom"/>
          <w:rFonts w:ascii="宋体" w:hAnsi="宋体" w:cs="宋体"/>
          <w:kern w:val="0"/>
          <w:sz w:val="24"/>
          <w:szCs w:val="24"/>
        </w:rPr>
        <w:t>62.50=12,437.50</w:t>
      </w:r>
      <w:r w:rsidRPr="00AB2113">
        <w:rPr>
          <w:rStyle w:val="custom"/>
          <w:rFonts w:ascii="宋体" w:hAnsi="宋体" w:cs="宋体" w:hint="eastAsia"/>
          <w:kern w:val="0"/>
          <w:sz w:val="24"/>
          <w:szCs w:val="24"/>
        </w:rPr>
        <w:t>元</w:t>
      </w:r>
    </w:p>
    <w:p w14:paraId="0134D2A4" w14:textId="77777777" w:rsidR="00AB2113" w:rsidRPr="00AB2113" w:rsidRDefault="00AB2113" w:rsidP="00AB2113">
      <w:pPr>
        <w:pStyle w:val="div"/>
        <w:spacing w:line="360" w:lineRule="auto"/>
        <w:ind w:firstLine="420"/>
        <w:jc w:val="left"/>
        <w:rPr>
          <w:rStyle w:val="custom"/>
          <w:rFonts w:ascii="宋体" w:hAnsi="宋体" w:cs="宋体"/>
          <w:kern w:val="0"/>
          <w:sz w:val="24"/>
          <w:szCs w:val="24"/>
        </w:rPr>
      </w:pPr>
      <w:r w:rsidRPr="00AB2113">
        <w:rPr>
          <w:rStyle w:val="custom"/>
          <w:rFonts w:ascii="宋体" w:hAnsi="宋体" w:cs="宋体" w:hint="eastAsia"/>
          <w:kern w:val="0"/>
          <w:sz w:val="24"/>
          <w:szCs w:val="24"/>
        </w:rPr>
        <w:t>即：该投资者赎回10,000份A类基金份额，假设赎回当日A类基金份额净值为1.2500元，持有时间为100日，则其获得的净赎回金额为12,437.50元。</w:t>
      </w:r>
    </w:p>
    <w:p w14:paraId="62818EBB" w14:textId="504C246E" w:rsidR="00AB2113" w:rsidRPr="00AB2113" w:rsidRDefault="00AB2113" w:rsidP="00AB2113">
      <w:pPr>
        <w:pStyle w:val="div"/>
        <w:spacing w:line="360" w:lineRule="auto"/>
        <w:ind w:firstLine="420"/>
        <w:jc w:val="left"/>
        <w:rPr>
          <w:rStyle w:val="custom"/>
          <w:rFonts w:ascii="宋体" w:hAnsi="宋体" w:cs="宋体"/>
          <w:kern w:val="0"/>
          <w:sz w:val="24"/>
          <w:szCs w:val="24"/>
        </w:rPr>
      </w:pPr>
      <w:r w:rsidRPr="00AB2113">
        <w:rPr>
          <w:rStyle w:val="custom"/>
          <w:rFonts w:ascii="宋体" w:hAnsi="宋体" w:cs="宋体" w:hint="eastAsia"/>
          <w:kern w:val="0"/>
          <w:sz w:val="24"/>
          <w:szCs w:val="24"/>
        </w:rPr>
        <w:t>例5.某投资者在T日赎回10,000份</w:t>
      </w:r>
      <w:r w:rsidR="0042167A">
        <w:rPr>
          <w:rStyle w:val="custom"/>
          <w:rFonts w:ascii="宋体" w:hAnsi="宋体" w:cs="宋体"/>
          <w:kern w:val="0"/>
          <w:sz w:val="24"/>
          <w:szCs w:val="24"/>
        </w:rPr>
        <w:t>A</w:t>
      </w:r>
      <w:r w:rsidRPr="00AB2113">
        <w:rPr>
          <w:rStyle w:val="custom"/>
          <w:rFonts w:ascii="宋体" w:hAnsi="宋体" w:cs="宋体" w:hint="eastAsia"/>
          <w:kern w:val="0"/>
          <w:sz w:val="24"/>
          <w:szCs w:val="24"/>
        </w:rPr>
        <w:t>类基金份额，假设赎回当日</w:t>
      </w:r>
      <w:r w:rsidR="0042167A">
        <w:rPr>
          <w:rStyle w:val="custom"/>
          <w:rFonts w:ascii="宋体" w:hAnsi="宋体" w:cs="宋体"/>
          <w:kern w:val="0"/>
          <w:sz w:val="24"/>
          <w:szCs w:val="24"/>
        </w:rPr>
        <w:t>A</w:t>
      </w:r>
      <w:r w:rsidRPr="00AB2113">
        <w:rPr>
          <w:rStyle w:val="custom"/>
          <w:rFonts w:ascii="宋体" w:hAnsi="宋体" w:cs="宋体" w:hint="eastAsia"/>
          <w:kern w:val="0"/>
          <w:sz w:val="24"/>
          <w:szCs w:val="24"/>
        </w:rPr>
        <w:t>类基金</w:t>
      </w:r>
      <w:r w:rsidRPr="00AB2113">
        <w:rPr>
          <w:rStyle w:val="custom"/>
          <w:rFonts w:ascii="宋体" w:hAnsi="宋体" w:cs="宋体" w:hint="eastAsia"/>
          <w:kern w:val="0"/>
          <w:sz w:val="24"/>
          <w:szCs w:val="24"/>
        </w:rPr>
        <w:lastRenderedPageBreak/>
        <w:t>份额净值为1.2500元，持有时间为366日，赎回费率为0，且假设该笔赎回确认应收取的超额管理费为35.00元（即该笔赎回的基金份额达到超额管理费收取情形，应从赎回款中扣除超额管理费），其获得的净赎回金额计算如下：</w:t>
      </w:r>
    </w:p>
    <w:p w14:paraId="1F4D7BC5" w14:textId="77777777" w:rsidR="00AB2113" w:rsidRPr="00AB2113" w:rsidRDefault="00AB2113" w:rsidP="00AB2113">
      <w:pPr>
        <w:pStyle w:val="div"/>
        <w:spacing w:line="360" w:lineRule="auto"/>
        <w:ind w:firstLine="420"/>
        <w:jc w:val="left"/>
        <w:rPr>
          <w:rStyle w:val="custom"/>
          <w:rFonts w:ascii="宋体" w:hAnsi="宋体" w:cs="宋体"/>
          <w:kern w:val="0"/>
          <w:sz w:val="24"/>
          <w:szCs w:val="24"/>
        </w:rPr>
      </w:pPr>
      <w:r w:rsidRPr="00AB2113">
        <w:rPr>
          <w:rStyle w:val="custom"/>
          <w:rFonts w:ascii="宋体" w:hAnsi="宋体" w:cs="宋体" w:hint="eastAsia"/>
          <w:kern w:val="0"/>
          <w:sz w:val="24"/>
          <w:szCs w:val="24"/>
        </w:rPr>
        <w:t>赎回总金额＝10,000×1.2500＝12,500.00元</w:t>
      </w:r>
    </w:p>
    <w:p w14:paraId="7A91FFB7" w14:textId="77777777" w:rsidR="00AB2113" w:rsidRPr="00AB2113" w:rsidRDefault="00AB2113" w:rsidP="00AB2113">
      <w:pPr>
        <w:pStyle w:val="div"/>
        <w:spacing w:line="360" w:lineRule="auto"/>
        <w:ind w:firstLine="420"/>
        <w:jc w:val="left"/>
        <w:rPr>
          <w:rStyle w:val="custom"/>
          <w:rFonts w:ascii="宋体" w:hAnsi="宋体" w:cs="宋体"/>
          <w:kern w:val="0"/>
          <w:sz w:val="24"/>
          <w:szCs w:val="24"/>
        </w:rPr>
      </w:pPr>
      <w:r w:rsidRPr="00AB2113">
        <w:rPr>
          <w:rStyle w:val="custom"/>
          <w:rFonts w:ascii="宋体" w:hAnsi="宋体" w:cs="宋体" w:hint="eastAsia"/>
          <w:kern w:val="0"/>
          <w:sz w:val="24"/>
          <w:szCs w:val="24"/>
        </w:rPr>
        <w:t xml:space="preserve">赎回费用＝12,500.00×0=0.00元 </w:t>
      </w:r>
    </w:p>
    <w:p w14:paraId="4E0C16CD" w14:textId="43E13D3E" w:rsidR="00AB2113" w:rsidRPr="00AB2113" w:rsidRDefault="00AB2113" w:rsidP="00AB2113">
      <w:pPr>
        <w:pStyle w:val="div"/>
        <w:spacing w:line="360" w:lineRule="auto"/>
        <w:ind w:firstLine="420"/>
        <w:jc w:val="left"/>
        <w:rPr>
          <w:rStyle w:val="custom"/>
          <w:rFonts w:ascii="宋体" w:hAnsi="宋体" w:cs="宋体"/>
          <w:kern w:val="0"/>
          <w:sz w:val="24"/>
          <w:szCs w:val="24"/>
        </w:rPr>
      </w:pPr>
      <w:r w:rsidRPr="00AB2113">
        <w:rPr>
          <w:rStyle w:val="custom"/>
          <w:rFonts w:ascii="宋体" w:hAnsi="宋体" w:cs="宋体" w:hint="eastAsia"/>
          <w:kern w:val="0"/>
          <w:sz w:val="24"/>
          <w:szCs w:val="24"/>
        </w:rPr>
        <w:t>净赎回金额</w:t>
      </w:r>
      <w:r w:rsidRPr="00AB2113">
        <w:rPr>
          <w:rStyle w:val="custom"/>
          <w:rFonts w:ascii="宋体" w:hAnsi="宋体" w:cs="宋体"/>
          <w:kern w:val="0"/>
          <w:sz w:val="24"/>
          <w:szCs w:val="24"/>
        </w:rPr>
        <w:t>=12,500.00</w:t>
      </w:r>
      <w:r w:rsidR="000D231B">
        <w:rPr>
          <w:rStyle w:val="custom"/>
          <w:rFonts w:ascii="宋体" w:hAnsi="宋体" w:cs="宋体"/>
          <w:kern w:val="0"/>
          <w:sz w:val="24"/>
          <w:szCs w:val="24"/>
        </w:rPr>
        <w:t>-</w:t>
      </w:r>
      <w:r w:rsidRPr="00AB2113">
        <w:rPr>
          <w:rStyle w:val="custom"/>
          <w:rFonts w:ascii="宋体" w:hAnsi="宋体" w:cs="宋体"/>
          <w:kern w:val="0"/>
          <w:sz w:val="24"/>
          <w:szCs w:val="24"/>
        </w:rPr>
        <w:t>0.00</w:t>
      </w:r>
      <w:r w:rsidR="000D231B">
        <w:rPr>
          <w:rStyle w:val="custom"/>
          <w:rFonts w:ascii="宋体" w:hAnsi="宋体" w:cs="宋体"/>
          <w:kern w:val="0"/>
          <w:sz w:val="24"/>
          <w:szCs w:val="24"/>
        </w:rPr>
        <w:t>-</w:t>
      </w:r>
      <w:r w:rsidRPr="00AB2113">
        <w:rPr>
          <w:rStyle w:val="custom"/>
          <w:rFonts w:ascii="宋体" w:hAnsi="宋体" w:cs="宋体"/>
          <w:kern w:val="0"/>
          <w:sz w:val="24"/>
          <w:szCs w:val="24"/>
        </w:rPr>
        <w:t>35.00=12,465.00</w:t>
      </w:r>
      <w:r w:rsidRPr="00AB2113">
        <w:rPr>
          <w:rStyle w:val="custom"/>
          <w:rFonts w:ascii="宋体" w:hAnsi="宋体" w:cs="宋体" w:hint="eastAsia"/>
          <w:kern w:val="0"/>
          <w:sz w:val="24"/>
          <w:szCs w:val="24"/>
        </w:rPr>
        <w:t>元</w:t>
      </w:r>
    </w:p>
    <w:p w14:paraId="40D3921C" w14:textId="6F7FBB9D" w:rsidR="00AB2113" w:rsidRPr="00AB2113" w:rsidRDefault="00AB2113" w:rsidP="00AB2113">
      <w:pPr>
        <w:pStyle w:val="div"/>
        <w:spacing w:line="360" w:lineRule="auto"/>
        <w:ind w:firstLine="420"/>
        <w:jc w:val="left"/>
        <w:rPr>
          <w:rStyle w:val="custom"/>
          <w:rFonts w:ascii="宋体" w:hAnsi="宋体" w:cs="宋体"/>
          <w:kern w:val="0"/>
          <w:sz w:val="24"/>
          <w:szCs w:val="24"/>
        </w:rPr>
      </w:pPr>
      <w:r w:rsidRPr="00AB2113">
        <w:rPr>
          <w:rStyle w:val="custom"/>
          <w:rFonts w:ascii="宋体" w:hAnsi="宋体" w:cs="宋体" w:hint="eastAsia"/>
          <w:kern w:val="0"/>
          <w:sz w:val="24"/>
          <w:szCs w:val="24"/>
        </w:rPr>
        <w:t>即：该投资者赎回10,000份</w:t>
      </w:r>
      <w:r w:rsidR="0042167A">
        <w:rPr>
          <w:rStyle w:val="custom"/>
          <w:rFonts w:ascii="宋体" w:hAnsi="宋体" w:cs="宋体"/>
          <w:kern w:val="0"/>
          <w:sz w:val="24"/>
          <w:szCs w:val="24"/>
        </w:rPr>
        <w:t>A</w:t>
      </w:r>
      <w:r w:rsidRPr="00AB2113">
        <w:rPr>
          <w:rStyle w:val="custom"/>
          <w:rFonts w:ascii="宋体" w:hAnsi="宋体" w:cs="宋体" w:hint="eastAsia"/>
          <w:kern w:val="0"/>
          <w:sz w:val="24"/>
          <w:szCs w:val="24"/>
        </w:rPr>
        <w:t>类基金份额，假设赎回当日</w:t>
      </w:r>
      <w:r w:rsidR="0042167A">
        <w:rPr>
          <w:rStyle w:val="custom"/>
          <w:rFonts w:ascii="宋体" w:hAnsi="宋体" w:cs="宋体"/>
          <w:kern w:val="0"/>
          <w:sz w:val="24"/>
          <w:szCs w:val="24"/>
        </w:rPr>
        <w:t>A</w:t>
      </w:r>
      <w:r w:rsidRPr="00AB2113">
        <w:rPr>
          <w:rStyle w:val="custom"/>
          <w:rFonts w:ascii="宋体" w:hAnsi="宋体" w:cs="宋体" w:hint="eastAsia"/>
          <w:kern w:val="0"/>
          <w:sz w:val="24"/>
          <w:szCs w:val="24"/>
        </w:rPr>
        <w:t>类基金份额净值为1.2500元，持有时间为366日，赎回费率为0，且假设该笔赎回确认应收取的超额管理费为35.00元（即该笔赎回的基金份额达到超额管理费收取情形，应从赎回款中扣除超额管理费），则其获得的净赎回金额为12,465.00元。</w:t>
      </w:r>
    </w:p>
    <w:p w14:paraId="0F991BA2" w14:textId="3F67C339" w:rsidR="00AB2113" w:rsidRPr="00AB2113" w:rsidRDefault="00AB2113" w:rsidP="00AB2113">
      <w:pPr>
        <w:pStyle w:val="div"/>
        <w:spacing w:line="360" w:lineRule="auto"/>
        <w:ind w:firstLine="420"/>
        <w:jc w:val="left"/>
        <w:rPr>
          <w:rStyle w:val="custom"/>
          <w:rFonts w:ascii="宋体" w:hAnsi="宋体" w:cs="宋体"/>
          <w:kern w:val="0"/>
          <w:sz w:val="24"/>
          <w:szCs w:val="24"/>
        </w:rPr>
      </w:pPr>
      <w:r w:rsidRPr="00AB2113">
        <w:rPr>
          <w:rStyle w:val="custom"/>
          <w:rFonts w:ascii="宋体" w:hAnsi="宋体" w:cs="宋体" w:hint="eastAsia"/>
          <w:kern w:val="0"/>
          <w:sz w:val="24"/>
          <w:szCs w:val="24"/>
        </w:rPr>
        <w:t>例6.某投资者在T日赎回100,000份</w:t>
      </w:r>
      <w:r w:rsidR="0042167A">
        <w:rPr>
          <w:rStyle w:val="custom"/>
          <w:rFonts w:ascii="宋体" w:hAnsi="宋体" w:cs="宋体"/>
          <w:kern w:val="0"/>
          <w:sz w:val="24"/>
          <w:szCs w:val="24"/>
        </w:rPr>
        <w:t>C</w:t>
      </w:r>
      <w:r w:rsidRPr="00AB2113">
        <w:rPr>
          <w:rStyle w:val="custom"/>
          <w:rFonts w:ascii="宋体" w:hAnsi="宋体" w:cs="宋体" w:hint="eastAsia"/>
          <w:kern w:val="0"/>
          <w:sz w:val="24"/>
          <w:szCs w:val="24"/>
        </w:rPr>
        <w:t>类基金份额，假设赎回当日</w:t>
      </w:r>
      <w:r w:rsidR="0042167A">
        <w:rPr>
          <w:rStyle w:val="custom"/>
          <w:rFonts w:ascii="宋体" w:hAnsi="宋体" w:cs="宋体"/>
          <w:kern w:val="0"/>
          <w:sz w:val="24"/>
          <w:szCs w:val="24"/>
        </w:rPr>
        <w:t>C</w:t>
      </w:r>
      <w:r w:rsidRPr="00AB2113">
        <w:rPr>
          <w:rStyle w:val="custom"/>
          <w:rFonts w:ascii="宋体" w:hAnsi="宋体" w:cs="宋体" w:hint="eastAsia"/>
          <w:kern w:val="0"/>
          <w:sz w:val="24"/>
          <w:szCs w:val="24"/>
        </w:rPr>
        <w:t>类基金份额净值为1.1000元，持有时间为730日，赎回费率为0，且假设该笔赎回确认应返还的或有管理费为700.00元（即该笔赎回的基金份额符合或有管理费为0的情形，应将持有期限内计提的或有管理费全额返还），</w:t>
      </w:r>
      <w:r w:rsidR="0042167A" w:rsidRPr="001E58A7">
        <w:rPr>
          <w:rStyle w:val="custom"/>
          <w:rFonts w:ascii="宋体" w:hAnsi="宋体" w:cs="宋体" w:hint="eastAsia"/>
          <w:kern w:val="0"/>
          <w:sz w:val="24"/>
          <w:szCs w:val="24"/>
        </w:rPr>
        <w:t>应返还的销售服务费为</w:t>
      </w:r>
      <w:r w:rsidR="0042167A" w:rsidRPr="0042167A">
        <w:rPr>
          <w:rStyle w:val="custom"/>
          <w:rFonts w:ascii="宋体" w:hAnsi="宋体" w:cs="宋体"/>
          <w:kern w:val="0"/>
          <w:sz w:val="24"/>
          <w:szCs w:val="24"/>
        </w:rPr>
        <w:t>450.00</w:t>
      </w:r>
      <w:r w:rsidR="0042167A" w:rsidRPr="001E58A7">
        <w:rPr>
          <w:rStyle w:val="custom"/>
          <w:rFonts w:ascii="宋体" w:hAnsi="宋体" w:cs="宋体" w:hint="eastAsia"/>
          <w:kern w:val="0"/>
          <w:sz w:val="24"/>
          <w:szCs w:val="24"/>
        </w:rPr>
        <w:t>元（即该笔赎回的基金份额是通过其他销售机构认购</w:t>
      </w:r>
      <w:r w:rsidR="0042167A" w:rsidRPr="001E58A7">
        <w:rPr>
          <w:rStyle w:val="custom"/>
          <w:rFonts w:ascii="宋体" w:hAnsi="宋体" w:cs="宋体"/>
          <w:kern w:val="0"/>
          <w:sz w:val="24"/>
          <w:szCs w:val="24"/>
        </w:rPr>
        <w:t>/</w:t>
      </w:r>
      <w:r w:rsidR="0042167A" w:rsidRPr="001E58A7">
        <w:rPr>
          <w:rStyle w:val="custom"/>
          <w:rFonts w:ascii="宋体" w:hAnsi="宋体" w:cs="宋体" w:hint="eastAsia"/>
          <w:kern w:val="0"/>
          <w:sz w:val="24"/>
          <w:szCs w:val="24"/>
        </w:rPr>
        <w:t>申购且持续持有期限超过一年的</w:t>
      </w:r>
      <w:r w:rsidR="0042167A" w:rsidRPr="0042167A">
        <w:rPr>
          <w:rStyle w:val="custom"/>
          <w:rFonts w:ascii="宋体" w:hAnsi="宋体" w:cs="宋体"/>
          <w:kern w:val="0"/>
          <w:sz w:val="24"/>
          <w:szCs w:val="24"/>
        </w:rPr>
        <w:t>C</w:t>
      </w:r>
      <w:r w:rsidR="0042167A" w:rsidRPr="001E58A7">
        <w:rPr>
          <w:rStyle w:val="custom"/>
          <w:rFonts w:ascii="宋体" w:hAnsi="宋体" w:cs="宋体" w:hint="eastAsia"/>
          <w:kern w:val="0"/>
          <w:sz w:val="24"/>
          <w:szCs w:val="24"/>
        </w:rPr>
        <w:t>类基金份额，</w:t>
      </w:r>
      <w:r w:rsidR="00561DE7">
        <w:rPr>
          <w:rStyle w:val="custom"/>
          <w:rFonts w:ascii="宋体" w:hAnsi="宋体" w:cs="宋体" w:hint="eastAsia"/>
          <w:kern w:val="0"/>
          <w:sz w:val="24"/>
          <w:szCs w:val="24"/>
        </w:rPr>
        <w:t>持有</w:t>
      </w:r>
      <w:r w:rsidR="00BD7E74">
        <w:rPr>
          <w:rStyle w:val="custom"/>
          <w:rFonts w:ascii="宋体" w:hAnsi="宋体" w:cs="宋体" w:hint="eastAsia"/>
          <w:kern w:val="0"/>
          <w:sz w:val="24"/>
          <w:szCs w:val="24"/>
        </w:rPr>
        <w:t>超过一年以后继续</w:t>
      </w:r>
      <w:r w:rsidR="0042167A" w:rsidRPr="001E58A7">
        <w:rPr>
          <w:rStyle w:val="custom"/>
          <w:rFonts w:ascii="宋体" w:hAnsi="宋体" w:cs="宋体" w:hint="eastAsia"/>
          <w:kern w:val="0"/>
          <w:sz w:val="24"/>
          <w:szCs w:val="24"/>
        </w:rPr>
        <w:t>计提的销售服务费应在投资者赎回相应基金份额时随赎回款一并返还给投资者），</w:t>
      </w:r>
      <w:r w:rsidRPr="00AB2113">
        <w:rPr>
          <w:rStyle w:val="custom"/>
          <w:rFonts w:ascii="宋体" w:hAnsi="宋体" w:cs="宋体" w:hint="eastAsia"/>
          <w:kern w:val="0"/>
          <w:sz w:val="24"/>
          <w:szCs w:val="24"/>
        </w:rPr>
        <w:t>其获得的净赎回金额计算如下：</w:t>
      </w:r>
    </w:p>
    <w:p w14:paraId="7FC5D90F" w14:textId="77777777" w:rsidR="00AB2113" w:rsidRPr="00AB2113" w:rsidRDefault="00AB2113" w:rsidP="00AB2113">
      <w:pPr>
        <w:pStyle w:val="div"/>
        <w:spacing w:line="360" w:lineRule="auto"/>
        <w:ind w:firstLine="420"/>
        <w:jc w:val="left"/>
        <w:rPr>
          <w:rStyle w:val="custom"/>
          <w:rFonts w:ascii="宋体" w:hAnsi="宋体" w:cs="宋体"/>
          <w:kern w:val="0"/>
          <w:sz w:val="24"/>
          <w:szCs w:val="24"/>
        </w:rPr>
      </w:pPr>
      <w:r w:rsidRPr="00AB2113">
        <w:rPr>
          <w:rStyle w:val="custom"/>
          <w:rFonts w:ascii="宋体" w:hAnsi="宋体" w:cs="宋体" w:hint="eastAsia"/>
          <w:kern w:val="0"/>
          <w:sz w:val="24"/>
          <w:szCs w:val="24"/>
        </w:rPr>
        <w:t>赎回总金额＝100,000×1.1000＝110,000.00元</w:t>
      </w:r>
    </w:p>
    <w:p w14:paraId="64251207" w14:textId="77777777" w:rsidR="00AB2113" w:rsidRPr="00AB2113" w:rsidRDefault="00AB2113" w:rsidP="00AB2113">
      <w:pPr>
        <w:pStyle w:val="div"/>
        <w:spacing w:line="360" w:lineRule="auto"/>
        <w:ind w:firstLine="420"/>
        <w:jc w:val="left"/>
        <w:rPr>
          <w:rStyle w:val="custom"/>
          <w:rFonts w:ascii="宋体" w:hAnsi="宋体" w:cs="宋体"/>
          <w:kern w:val="0"/>
          <w:sz w:val="24"/>
          <w:szCs w:val="24"/>
        </w:rPr>
      </w:pPr>
      <w:r w:rsidRPr="00AB2113">
        <w:rPr>
          <w:rStyle w:val="custom"/>
          <w:rFonts w:ascii="宋体" w:hAnsi="宋体" w:cs="宋体" w:hint="eastAsia"/>
          <w:kern w:val="0"/>
          <w:sz w:val="24"/>
          <w:szCs w:val="24"/>
        </w:rPr>
        <w:t>赎回费用＝110,000.00×0=0.00元</w:t>
      </w:r>
    </w:p>
    <w:p w14:paraId="7D3180DD" w14:textId="7DDDEAA9" w:rsidR="00AB2113" w:rsidRPr="00AB2113" w:rsidRDefault="00AB2113" w:rsidP="00AB2113">
      <w:pPr>
        <w:pStyle w:val="div"/>
        <w:spacing w:line="360" w:lineRule="auto"/>
        <w:ind w:firstLine="420"/>
        <w:jc w:val="left"/>
        <w:rPr>
          <w:rStyle w:val="custom"/>
          <w:rFonts w:ascii="宋体" w:hAnsi="宋体" w:cs="宋体"/>
          <w:kern w:val="0"/>
          <w:sz w:val="24"/>
          <w:szCs w:val="24"/>
        </w:rPr>
      </w:pPr>
      <w:r w:rsidRPr="00AB2113">
        <w:rPr>
          <w:rStyle w:val="custom"/>
          <w:rFonts w:ascii="宋体" w:hAnsi="宋体" w:cs="宋体" w:hint="eastAsia"/>
          <w:kern w:val="0"/>
          <w:sz w:val="24"/>
          <w:szCs w:val="24"/>
        </w:rPr>
        <w:t>净赎回金额</w:t>
      </w:r>
      <w:r w:rsidRPr="00AB2113">
        <w:rPr>
          <w:rStyle w:val="custom"/>
          <w:rFonts w:ascii="宋体" w:hAnsi="宋体" w:cs="宋体"/>
          <w:kern w:val="0"/>
          <w:sz w:val="24"/>
          <w:szCs w:val="24"/>
        </w:rPr>
        <w:t>=110,000.00</w:t>
      </w:r>
      <w:r w:rsidR="000D231B">
        <w:rPr>
          <w:rStyle w:val="custom"/>
          <w:rFonts w:ascii="宋体" w:hAnsi="宋体" w:cs="宋体"/>
          <w:kern w:val="0"/>
          <w:sz w:val="24"/>
          <w:szCs w:val="24"/>
        </w:rPr>
        <w:t>-</w:t>
      </w:r>
      <w:r w:rsidRPr="00AB2113">
        <w:rPr>
          <w:rStyle w:val="custom"/>
          <w:rFonts w:ascii="宋体" w:hAnsi="宋体" w:cs="宋体"/>
          <w:kern w:val="0"/>
          <w:sz w:val="24"/>
          <w:szCs w:val="24"/>
        </w:rPr>
        <w:t>0.00+700.00</w:t>
      </w:r>
      <w:r w:rsidR="0042167A">
        <w:rPr>
          <w:rStyle w:val="custom"/>
          <w:rFonts w:ascii="宋体" w:hAnsi="宋体" w:cs="宋体"/>
          <w:kern w:val="0"/>
          <w:sz w:val="24"/>
          <w:szCs w:val="24"/>
        </w:rPr>
        <w:t>+450.00</w:t>
      </w:r>
      <w:r w:rsidRPr="00AB2113">
        <w:rPr>
          <w:rStyle w:val="custom"/>
          <w:rFonts w:ascii="宋体" w:hAnsi="宋体" w:cs="宋体"/>
          <w:kern w:val="0"/>
          <w:sz w:val="24"/>
          <w:szCs w:val="24"/>
        </w:rPr>
        <w:t>=11</w:t>
      </w:r>
      <w:r w:rsidR="0042167A">
        <w:rPr>
          <w:rStyle w:val="custom"/>
          <w:rFonts w:ascii="宋体" w:hAnsi="宋体" w:cs="宋体"/>
          <w:kern w:val="0"/>
          <w:sz w:val="24"/>
          <w:szCs w:val="24"/>
        </w:rPr>
        <w:t>1</w:t>
      </w:r>
      <w:r w:rsidRPr="00AB2113">
        <w:rPr>
          <w:rStyle w:val="custom"/>
          <w:rFonts w:ascii="宋体" w:hAnsi="宋体" w:cs="宋体"/>
          <w:kern w:val="0"/>
          <w:sz w:val="24"/>
          <w:szCs w:val="24"/>
        </w:rPr>
        <w:t>,</w:t>
      </w:r>
      <w:r w:rsidR="0042167A">
        <w:rPr>
          <w:rStyle w:val="custom"/>
          <w:rFonts w:ascii="宋体" w:hAnsi="宋体" w:cs="宋体"/>
          <w:kern w:val="0"/>
          <w:sz w:val="24"/>
          <w:szCs w:val="24"/>
        </w:rPr>
        <w:t>15</w:t>
      </w:r>
      <w:r w:rsidRPr="00AB2113">
        <w:rPr>
          <w:rStyle w:val="custom"/>
          <w:rFonts w:ascii="宋体" w:hAnsi="宋体" w:cs="宋体"/>
          <w:kern w:val="0"/>
          <w:sz w:val="24"/>
          <w:szCs w:val="24"/>
        </w:rPr>
        <w:t>0.00</w:t>
      </w:r>
      <w:r w:rsidRPr="00AB2113">
        <w:rPr>
          <w:rStyle w:val="custom"/>
          <w:rFonts w:ascii="宋体" w:hAnsi="宋体" w:cs="宋体" w:hint="eastAsia"/>
          <w:kern w:val="0"/>
          <w:sz w:val="24"/>
          <w:szCs w:val="24"/>
        </w:rPr>
        <w:t>元</w:t>
      </w:r>
    </w:p>
    <w:p w14:paraId="3B8F97C2" w14:textId="40FE5190" w:rsidR="00AE2B28" w:rsidRDefault="00AB2113" w:rsidP="00AB2113">
      <w:pPr>
        <w:pStyle w:val="div"/>
        <w:spacing w:line="360" w:lineRule="auto"/>
        <w:ind w:firstLine="420"/>
        <w:jc w:val="left"/>
        <w:rPr>
          <w:rStyle w:val="custom"/>
          <w:rFonts w:ascii="宋体" w:hAnsi="宋体" w:cs="宋体"/>
          <w:kern w:val="0"/>
          <w:sz w:val="24"/>
          <w:szCs w:val="24"/>
        </w:rPr>
      </w:pPr>
      <w:r w:rsidRPr="00AB2113">
        <w:rPr>
          <w:rStyle w:val="custom"/>
          <w:rFonts w:ascii="宋体" w:hAnsi="宋体" w:cs="宋体" w:hint="eastAsia"/>
          <w:kern w:val="0"/>
          <w:sz w:val="24"/>
          <w:szCs w:val="24"/>
        </w:rPr>
        <w:t>即：该投资者赎回100,000份</w:t>
      </w:r>
      <w:r w:rsidR="0042167A">
        <w:rPr>
          <w:rStyle w:val="custom"/>
          <w:rFonts w:ascii="宋体" w:hAnsi="宋体" w:cs="宋体"/>
          <w:kern w:val="0"/>
          <w:sz w:val="24"/>
          <w:szCs w:val="24"/>
        </w:rPr>
        <w:t>C</w:t>
      </w:r>
      <w:r w:rsidRPr="00AB2113">
        <w:rPr>
          <w:rStyle w:val="custom"/>
          <w:rFonts w:ascii="宋体" w:hAnsi="宋体" w:cs="宋体" w:hint="eastAsia"/>
          <w:kern w:val="0"/>
          <w:sz w:val="24"/>
          <w:szCs w:val="24"/>
        </w:rPr>
        <w:t>类基金份额，假设赎回当日</w:t>
      </w:r>
      <w:r w:rsidR="0042167A">
        <w:rPr>
          <w:rStyle w:val="custom"/>
          <w:rFonts w:ascii="宋体" w:hAnsi="宋体" w:cs="宋体"/>
          <w:kern w:val="0"/>
          <w:sz w:val="24"/>
          <w:szCs w:val="24"/>
        </w:rPr>
        <w:t>C</w:t>
      </w:r>
      <w:r w:rsidRPr="00AB2113">
        <w:rPr>
          <w:rStyle w:val="custom"/>
          <w:rFonts w:ascii="宋体" w:hAnsi="宋体" w:cs="宋体" w:hint="eastAsia"/>
          <w:kern w:val="0"/>
          <w:sz w:val="24"/>
          <w:szCs w:val="24"/>
        </w:rPr>
        <w:t>类基金份额净值为1.1000元，持有时间为730日，赎回费率为0，且假设该笔赎回确认应返还的或有管理费为700.00元（即该笔赎回的基金份额符合或有管理费为0的情形，应将持有期限内计提的或有管理费全额返还），</w:t>
      </w:r>
      <w:r w:rsidR="0042167A" w:rsidRPr="000544D8">
        <w:rPr>
          <w:rStyle w:val="custom"/>
          <w:rFonts w:ascii="宋体" w:hAnsi="宋体" w:cs="宋体"/>
          <w:kern w:val="0"/>
          <w:sz w:val="24"/>
          <w:szCs w:val="24"/>
        </w:rPr>
        <w:t>应返还的销售服务费为</w:t>
      </w:r>
      <w:r w:rsidR="0042167A" w:rsidRPr="0042167A">
        <w:rPr>
          <w:rStyle w:val="custom"/>
          <w:rFonts w:ascii="宋体" w:hAnsi="宋体" w:cs="宋体"/>
          <w:kern w:val="0"/>
          <w:sz w:val="24"/>
          <w:szCs w:val="24"/>
        </w:rPr>
        <w:t>450.00</w:t>
      </w:r>
      <w:r w:rsidR="0042167A" w:rsidRPr="000544D8">
        <w:rPr>
          <w:rStyle w:val="custom"/>
          <w:rFonts w:ascii="宋体" w:hAnsi="宋体" w:cs="宋体"/>
          <w:kern w:val="0"/>
          <w:sz w:val="24"/>
          <w:szCs w:val="24"/>
        </w:rPr>
        <w:t>元（即该笔赎回的基金份额是通过其他销售机构认购/申购且持续持有期限超过一年的</w:t>
      </w:r>
      <w:r w:rsidR="0042167A" w:rsidRPr="0042167A">
        <w:rPr>
          <w:rStyle w:val="custom"/>
          <w:rFonts w:ascii="宋体" w:hAnsi="宋体" w:cs="宋体"/>
          <w:kern w:val="0"/>
          <w:sz w:val="24"/>
          <w:szCs w:val="24"/>
        </w:rPr>
        <w:t>C</w:t>
      </w:r>
      <w:r w:rsidR="0042167A" w:rsidRPr="000544D8">
        <w:rPr>
          <w:rStyle w:val="custom"/>
          <w:rFonts w:ascii="宋体" w:hAnsi="宋体" w:cs="宋体"/>
          <w:kern w:val="0"/>
          <w:sz w:val="24"/>
          <w:szCs w:val="24"/>
        </w:rPr>
        <w:t>类基金份额，</w:t>
      </w:r>
      <w:r w:rsidR="00561DE7">
        <w:rPr>
          <w:rStyle w:val="custom"/>
          <w:rFonts w:ascii="宋体" w:hAnsi="宋体" w:cs="宋体" w:hint="eastAsia"/>
          <w:kern w:val="0"/>
          <w:sz w:val="24"/>
          <w:szCs w:val="24"/>
        </w:rPr>
        <w:t>持有</w:t>
      </w:r>
      <w:r w:rsidR="00EF7ACC">
        <w:rPr>
          <w:rStyle w:val="custom"/>
          <w:rFonts w:ascii="宋体" w:hAnsi="宋体" w:cs="宋体" w:hint="eastAsia"/>
          <w:kern w:val="0"/>
          <w:sz w:val="24"/>
          <w:szCs w:val="24"/>
        </w:rPr>
        <w:t>超过一年以后继续</w:t>
      </w:r>
      <w:r w:rsidR="0042167A" w:rsidRPr="000544D8">
        <w:rPr>
          <w:rStyle w:val="custom"/>
          <w:rFonts w:ascii="宋体" w:hAnsi="宋体" w:cs="宋体"/>
          <w:kern w:val="0"/>
          <w:sz w:val="24"/>
          <w:szCs w:val="24"/>
        </w:rPr>
        <w:t>计提的销售服务费应在投资者赎回相应基金份额时随赎回款一并返还给投资者）</w:t>
      </w:r>
      <w:r w:rsidR="0042167A">
        <w:rPr>
          <w:rStyle w:val="custom"/>
          <w:rFonts w:ascii="宋体" w:hAnsi="宋体" w:cs="宋体" w:hint="eastAsia"/>
          <w:kern w:val="0"/>
          <w:sz w:val="24"/>
          <w:szCs w:val="24"/>
        </w:rPr>
        <w:t>,</w:t>
      </w:r>
      <w:r w:rsidRPr="00AB2113">
        <w:rPr>
          <w:rStyle w:val="custom"/>
          <w:rFonts w:ascii="宋体" w:hAnsi="宋体" w:cs="宋体" w:hint="eastAsia"/>
          <w:kern w:val="0"/>
          <w:sz w:val="24"/>
          <w:szCs w:val="24"/>
        </w:rPr>
        <w:t>则其获得的净赎回金</w:t>
      </w:r>
      <w:r w:rsidRPr="00AB2113">
        <w:rPr>
          <w:rStyle w:val="custom"/>
          <w:rFonts w:ascii="宋体" w:hAnsi="宋体" w:cs="宋体" w:hint="eastAsia"/>
          <w:kern w:val="0"/>
          <w:sz w:val="24"/>
          <w:szCs w:val="24"/>
        </w:rPr>
        <w:lastRenderedPageBreak/>
        <w:t>额为11</w:t>
      </w:r>
      <w:r w:rsidR="0042167A">
        <w:rPr>
          <w:rStyle w:val="custom"/>
          <w:rFonts w:ascii="宋体" w:hAnsi="宋体" w:cs="宋体"/>
          <w:kern w:val="0"/>
          <w:sz w:val="24"/>
          <w:szCs w:val="24"/>
        </w:rPr>
        <w:t>1</w:t>
      </w:r>
      <w:r w:rsidRPr="00AB2113">
        <w:rPr>
          <w:rStyle w:val="custom"/>
          <w:rFonts w:ascii="宋体" w:hAnsi="宋体" w:cs="宋体" w:hint="eastAsia"/>
          <w:kern w:val="0"/>
          <w:sz w:val="24"/>
          <w:szCs w:val="24"/>
        </w:rPr>
        <w:t>,</w:t>
      </w:r>
      <w:r w:rsidR="0042167A">
        <w:rPr>
          <w:rStyle w:val="custom"/>
          <w:rFonts w:ascii="宋体" w:hAnsi="宋体" w:cs="宋体"/>
          <w:kern w:val="0"/>
          <w:sz w:val="24"/>
          <w:szCs w:val="24"/>
        </w:rPr>
        <w:t>15</w:t>
      </w:r>
      <w:r w:rsidRPr="00AB2113">
        <w:rPr>
          <w:rStyle w:val="custom"/>
          <w:rFonts w:ascii="宋体" w:hAnsi="宋体" w:cs="宋体" w:hint="eastAsia"/>
          <w:kern w:val="0"/>
          <w:sz w:val="24"/>
          <w:szCs w:val="24"/>
        </w:rPr>
        <w:t>0.00元。</w:t>
      </w:r>
    </w:p>
    <w:p w14:paraId="0EBDB27D"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基金份额净值的计算</w:t>
      </w:r>
    </w:p>
    <w:p w14:paraId="1E75240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各类基金份额净值的计算，均保留到小数点后4位，小数点后第5位四舍五入，由此产生的收益或损失由基金财产承担。T日的各类基金份额净值在当天收市后计算，并根据基金合同的约定公告。遇特殊情况，经履行适当程序，可以适当延迟计算或公告。</w:t>
      </w:r>
    </w:p>
    <w:p w14:paraId="0EF4DADF" w14:textId="0FB023D5"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本基金A类、C类基金份额将分别计算基金份额净值。</w:t>
      </w:r>
    </w:p>
    <w:p w14:paraId="735B5D7F" w14:textId="0515D94B" w:rsidR="00AB2113" w:rsidRDefault="00AB2113">
      <w:pPr>
        <w:pStyle w:val="div"/>
        <w:spacing w:line="360" w:lineRule="auto"/>
        <w:ind w:firstLine="480"/>
        <w:rPr>
          <w:rFonts w:ascii="宋体" w:hAnsi="宋体" w:cs="宋体"/>
          <w:kern w:val="0"/>
          <w:sz w:val="24"/>
          <w:szCs w:val="24"/>
        </w:rPr>
      </w:pPr>
      <w:r w:rsidRPr="00AB2113">
        <w:rPr>
          <w:rFonts w:ascii="宋体" w:hAnsi="宋体" w:cs="宋体" w:hint="eastAsia"/>
          <w:kern w:val="0"/>
          <w:sz w:val="24"/>
          <w:szCs w:val="24"/>
        </w:rPr>
        <w:t>由于本基金在计算各类基金份额净值时，按前一日基金资产净值的1.20%年费率计算管理费，该费率可能高于或低于不同投资者最终适用的管理费率。在基金份额赎回时，基金投资者实际收到的赎回款项的金额可能与按披露的该类基金份额净值计算的结果存在差异。投资者的实际赎回金额以登记机构确认数据为准。</w:t>
      </w:r>
    </w:p>
    <w:p w14:paraId="627D4FD0"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拒绝或暂停申购的情形</w:t>
      </w:r>
    </w:p>
    <w:p w14:paraId="7C6BBE3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发生下列情况时，基金管理人可拒绝或暂停接受投资人的申购申请：</w:t>
      </w:r>
    </w:p>
    <w:p w14:paraId="4C6E4F0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1、因不可抗力导致基金无法正常运作或者因不可抗力导致基金管理人无法接受投资人的申购申请。</w:t>
      </w:r>
    </w:p>
    <w:p w14:paraId="3ED9A43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2、发生基金合同规定的暂停基金资产估值情况时，基金管理人可暂停接受投资人的申购申请。</w:t>
      </w:r>
    </w:p>
    <w:p w14:paraId="3E7DBD6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3、证券/期货交易所交易时间非正常停市，导致基金管理人无法计算当日基金资产净值。</w:t>
      </w:r>
    </w:p>
    <w:p w14:paraId="78D8EA9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4、接受某笔或某些申购申请可能会影响或损害现有基金份额持有人利益时。</w:t>
      </w:r>
    </w:p>
    <w:p w14:paraId="34ABB31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5、基金资产规模过大，使基金管理人无法找到合适的投资品种，或其他可能对基金业绩产生负面影响，或发生其他损害现有基金份额持有人利益的情形。</w:t>
      </w:r>
    </w:p>
    <w:p w14:paraId="3A01465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6、当前一估值日基金资产净值50%以上的资产出现无可参考的活跃市场价格且采用估值技术仍导致公允价值存在重大不确定性时，经与基金托管人协商确认后，基金管理人应当暂停接受基金申购申请。</w:t>
      </w:r>
    </w:p>
    <w:p w14:paraId="5DF4C6DB"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7、申请超过基金管理人设定的基金总规模、单日申购金额上限、单日净申购比例上限、单个投资者累计持有份额上限、单个投资者单日或单笔申购金额上限的。</w:t>
      </w:r>
    </w:p>
    <w:p w14:paraId="127DA96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8、基金管理人接受某笔或者某些申购申请有可能导致单一投资者（基金管</w:t>
      </w:r>
      <w:r>
        <w:rPr>
          <w:rFonts w:ascii="宋体" w:hAnsi="宋体" w:cs="宋体"/>
          <w:kern w:val="0"/>
          <w:sz w:val="24"/>
          <w:szCs w:val="24"/>
        </w:rPr>
        <w:lastRenderedPageBreak/>
        <w:t>理人、基金管理人高级管理人员或基金经理等人员作为发起资金提供方除外）持有基金份额的比例达到或者超过50%，或者变相规避50%集中度的情形。</w:t>
      </w:r>
    </w:p>
    <w:p w14:paraId="79D9D40C"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9、基金管理人、基金托管人、基金销售机构、登记机构、支付结算机构等因异常情况导致基金销售系统、基金销售支付结算系统、基金登记结算系统、基金会计系统无法正常运行。</w:t>
      </w:r>
    </w:p>
    <w:p w14:paraId="34A8D09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10、基金参与港股通交易且港股通交易每日额度不足。</w:t>
      </w:r>
    </w:p>
    <w:p w14:paraId="4B55F60F"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11、法律法规规定或中国证监会认定的其他情形。</w:t>
      </w:r>
    </w:p>
    <w:p w14:paraId="3BCD7DCF"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发生除上述第4、7、8项暂停申购情形之一且基金管理人决定暂停接受投资人申购申请时，基金管理人应当根据有关规定在规定媒介上刊登暂停申购公告。如果投资人的申购申请被全部或部分拒绝的，被拒绝的申购款项将退还给投资人。在暂停申购的情况消除时，基金管理人应及时恢复申购业务的办理。</w:t>
      </w:r>
    </w:p>
    <w:p w14:paraId="5560384D"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暂停赎回或延缓支付赎回款项的情形</w:t>
      </w:r>
    </w:p>
    <w:p w14:paraId="675CD47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发生下列情形时，基金管理人可暂停接受投资人的赎回申请或延缓支付赎回款项：</w:t>
      </w:r>
    </w:p>
    <w:p w14:paraId="6F4FA1AF"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1、因不可抗力导致基金管理人不能支付赎回款项。</w:t>
      </w:r>
    </w:p>
    <w:p w14:paraId="5CFAA937"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2、发生基金合同规定的暂停基金资产估值情况时，基金管理人可暂停接受投资人的赎回申请或延缓支付赎回款项。</w:t>
      </w:r>
    </w:p>
    <w:p w14:paraId="173A798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3、证券/期货交易所交易时间非正常停市，导致基金管理人无法计算当日基金资产净值。</w:t>
      </w:r>
    </w:p>
    <w:p w14:paraId="3954DBA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4、连续两个或两个以上开放日发生巨额赎回。</w:t>
      </w:r>
    </w:p>
    <w:p w14:paraId="077B6492"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5、发生继续接受赎回申请将损害现有基金份额持有人利益的情形时，基金管理人可暂停接受基金份额持有人的赎回申请。</w:t>
      </w:r>
    </w:p>
    <w:p w14:paraId="23CDF2C8"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2EE7AFE9"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7、法律法规规定或中国证监会认定的其他情形。</w:t>
      </w:r>
    </w:p>
    <w:p w14:paraId="09543B8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发生上述情形之一且基金管理人决定暂停赎回或延缓支付赎回款项时，基金管理人应在当日报中国证监会备案，已确认的赎回申请，基金管理人应足额支付；如暂时不能足额支付，应将可支付部分按单个账户申请量占申请总量的比例分配</w:t>
      </w:r>
      <w:r>
        <w:rPr>
          <w:rFonts w:ascii="宋体" w:hAnsi="宋体" w:cs="宋体"/>
          <w:kern w:val="0"/>
          <w:sz w:val="24"/>
          <w:szCs w:val="24"/>
        </w:rPr>
        <w:lastRenderedPageBreak/>
        <w:t>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7F7CD1F4"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巨额赎回的情形及处理方式</w:t>
      </w:r>
    </w:p>
    <w:p w14:paraId="728F8003"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1、巨额赎回的认定</w:t>
      </w:r>
    </w:p>
    <w:p w14:paraId="062EF56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若本基金单个开放日内的基金份额净赎回申请(赎回申请份额总数加上基金转换中转出申请份额总数后扣除申购申请份额总数及基金转换中转入申请份额总数后的余额，不同类别份额合并计算）超过前一开放日的基金总份额的10%，即认为是发生了巨额赎回。</w:t>
      </w:r>
    </w:p>
    <w:p w14:paraId="5288D25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2、巨额赎回的处理方式</w:t>
      </w:r>
    </w:p>
    <w:p w14:paraId="65FB669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当基金出现巨额赎回时，基金管理人可以根据基金当时的资产组合状况决定全额赎回或部分延期赎回。</w:t>
      </w:r>
    </w:p>
    <w:p w14:paraId="789AC3A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（1）全额赎回：当基金管理人认为有能力支付投资人的全部赎回申请时，按正常赎回程序执行。</w:t>
      </w:r>
    </w:p>
    <w:p w14:paraId="644FFA7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w:t>
      </w:r>
    </w:p>
    <w:p w14:paraId="6B486E2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延期的赎回申请与下一开放日赎回申请一并处理，无优先权并以下一开放日的该类基金份额净值为基础计算赎回金额，以此类推，直到全部赎回为止。</w:t>
      </w:r>
    </w:p>
    <w:p w14:paraId="54B801C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如投资人在提交赎回申请时未作明确选择，投资人未能赎回部分作自动延期赎回处理。</w:t>
      </w:r>
    </w:p>
    <w:p w14:paraId="3229F1B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（3）如发生单个开放日内单个基金份额持有人申请赎回的基金份额超过前一开放日的基金总份额的30%时，本基金管理人可以对该单个基金份额持有人超</w:t>
      </w:r>
      <w:r>
        <w:rPr>
          <w:rFonts w:ascii="宋体" w:hAnsi="宋体" w:cs="宋体"/>
          <w:kern w:val="0"/>
          <w:sz w:val="24"/>
          <w:szCs w:val="24"/>
        </w:rPr>
        <w:lastRenderedPageBreak/>
        <w:t>过30%比例的赎回申请实施延期办理。</w:t>
      </w:r>
    </w:p>
    <w:p w14:paraId="0E2A9D9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对该单个基金份额持有人不超过30%比例的赎回申请，与当日其他赎回申请一起，按上述（1）、（2）方式处理。如下一开放日，该单一基金份额持有人剩余未赎回部分仍旧超出前一开放日基金总份额的30%时，继续按前述规则处理，直至该单一基金份额持有人单个开放日内申请赎回的基金份额占前一开放日基金总份额的比例低于30%。</w:t>
      </w:r>
    </w:p>
    <w:p w14:paraId="13ECBF3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基金管理人在履行适当程序后，有权根据当时市场环境调整前述比例及处理规则，并在规定媒介上进行公告。</w:t>
      </w:r>
    </w:p>
    <w:p w14:paraId="7C6F6EA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59F4CAD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3、巨额赎回的公告</w:t>
      </w:r>
    </w:p>
    <w:p w14:paraId="1F159F2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当发生上述巨额赎回并延期办理时，基金管理人应当通过邮寄、传真或者招募说明书规定的其他方式在3个交易日内通知基金份额持有人，说明有关处理方法，并在2日内在规定媒介上刊登公告。</w:t>
      </w:r>
    </w:p>
    <w:p w14:paraId="1B874BE0"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十一、</w:t>
      </w:r>
      <w:r>
        <w:rPr>
          <w:rFonts w:ascii="宋体" w:hAnsi="宋体" w:cs="宋体"/>
          <w:kern w:val="0"/>
          <w:sz w:val="24"/>
          <w:szCs w:val="24"/>
        </w:rPr>
        <w:t>暂停申购或赎回的公告和重新开放申购或赎回的公告</w:t>
      </w:r>
    </w:p>
    <w:p w14:paraId="30768666"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1、发生上述暂停申购或赎回情况的，基金管理人应在规定期限内在规定媒介上刊登暂停公告。</w:t>
      </w:r>
    </w:p>
    <w:p w14:paraId="4E0ECF78"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管理人可以根据暂停申购或赎回的时间，依照《信息披露办法》的有关规定，最迟于重新开放日在规定媒介刊登重新开放申购或赎回的公告；也可以根据实际情况在暂停公告中明确重新开放申购或赎回的时间，届时可不再另行发布重新开放的公告。</w:t>
      </w:r>
    </w:p>
    <w:p w14:paraId="293A1552"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十二、</w:t>
      </w:r>
      <w:r>
        <w:rPr>
          <w:rFonts w:ascii="宋体" w:hAnsi="宋体" w:cs="宋体"/>
          <w:kern w:val="0"/>
          <w:sz w:val="24"/>
          <w:szCs w:val="24"/>
        </w:rPr>
        <w:t>基金转换</w:t>
      </w:r>
    </w:p>
    <w:p w14:paraId="3450C5C1" w14:textId="3A8B2D55" w:rsidR="00AE2B28" w:rsidRDefault="00C1095B">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基金管理人可以根据相关法律法规以及</w:t>
      </w:r>
      <w:r w:rsidR="00B67EDE">
        <w:rPr>
          <w:rFonts w:ascii="宋体" w:hAnsi="宋体" w:cs="宋体"/>
          <w:kern w:val="0"/>
          <w:sz w:val="24"/>
          <w:szCs w:val="24"/>
        </w:rPr>
        <w:t>基金合同的规定决定开办本基金某一份额与基金管理人管理的其他基金基金份额或本基金其他份额之间的转换业务，基金转换可以收取一定的转换费，相关规则由基金</w:t>
      </w:r>
      <w:r>
        <w:rPr>
          <w:rFonts w:ascii="宋体" w:hAnsi="宋体" w:cs="宋体"/>
          <w:kern w:val="0"/>
          <w:sz w:val="24"/>
          <w:szCs w:val="24"/>
        </w:rPr>
        <w:t>管理人届时根据相关法律法规及</w:t>
      </w:r>
      <w:r w:rsidR="00B67EDE">
        <w:rPr>
          <w:rFonts w:ascii="宋体" w:hAnsi="宋体" w:cs="宋体"/>
          <w:kern w:val="0"/>
          <w:sz w:val="24"/>
          <w:szCs w:val="24"/>
        </w:rPr>
        <w:t>基金合同的规定制定并公告，并提前告知基金托管人与相关机构。</w:t>
      </w:r>
    </w:p>
    <w:p w14:paraId="19BF4439"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十三、</w:t>
      </w:r>
      <w:r>
        <w:rPr>
          <w:rFonts w:ascii="宋体" w:hAnsi="宋体" w:cs="宋体"/>
          <w:kern w:val="0"/>
          <w:sz w:val="24"/>
          <w:szCs w:val="24"/>
        </w:rPr>
        <w:t>基金份额的转让</w:t>
      </w:r>
    </w:p>
    <w:p w14:paraId="59A900A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在法律法规允许且条件具备的情况下，且对基金份额持有人无实质性不利影</w:t>
      </w:r>
      <w:r>
        <w:rPr>
          <w:rFonts w:ascii="宋体" w:hAnsi="宋体" w:cs="宋体"/>
          <w:kern w:val="0"/>
          <w:sz w:val="24"/>
          <w:szCs w:val="24"/>
        </w:rPr>
        <w:lastRenderedPageBreak/>
        <w:t>响的前提下，履行相关程序后，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438A8DC9"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十四、</w:t>
      </w:r>
      <w:r>
        <w:rPr>
          <w:rFonts w:ascii="宋体" w:hAnsi="宋体" w:cs="宋体"/>
          <w:kern w:val="0"/>
          <w:sz w:val="24"/>
          <w:szCs w:val="24"/>
        </w:rPr>
        <w:t>基金的非交易过户</w:t>
      </w:r>
    </w:p>
    <w:p w14:paraId="356E3BA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的非交易过户是指基金登记机构受理继承、捐赠和司法强制执行等情形而产生的非交易过户以及登记机构认可、符合法律法规的其它非交易过户或者按照相关法律法规或国家有权机关要求的方式进行处理的行为。无论在上述何种情况下，接受划转的主体必须是依法可以持有本基金基金份额的投资人。</w:t>
      </w:r>
    </w:p>
    <w:p w14:paraId="60F425A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1554E4A"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十五、</w:t>
      </w:r>
      <w:r>
        <w:rPr>
          <w:rFonts w:ascii="宋体" w:hAnsi="宋体" w:cs="宋体"/>
          <w:kern w:val="0"/>
          <w:sz w:val="24"/>
          <w:szCs w:val="24"/>
        </w:rPr>
        <w:t>基金的转托管</w:t>
      </w:r>
    </w:p>
    <w:p w14:paraId="10A91F7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基金份额持有人可办理已持有基金份额在不同销售机构之间的转托管，基金销售机构可以按照规定的标准收取转托管费。</w:t>
      </w:r>
    </w:p>
    <w:p w14:paraId="4328BCA5"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十六、</w:t>
      </w:r>
      <w:r>
        <w:rPr>
          <w:rFonts w:ascii="宋体" w:hAnsi="宋体" w:cs="宋体"/>
          <w:kern w:val="0"/>
          <w:sz w:val="24"/>
          <w:szCs w:val="24"/>
        </w:rPr>
        <w:t>定期定额投资计划</w:t>
      </w:r>
    </w:p>
    <w:p w14:paraId="0CD9EA6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可以为投资人办理定期定额投资计划，具体规则由基金管理人在届时发布的公告或更新的招募说明书中确定。投资人在办理定期定额投资计划时可自行约定每期扣款金额，每期扣款金额必须不低于基金管理人在相关公告或更新的招募说明书中所规定的定期定额投资计划最低申购金额。</w:t>
      </w:r>
    </w:p>
    <w:p w14:paraId="1F02FAF7"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十七、</w:t>
      </w:r>
      <w:r>
        <w:rPr>
          <w:rFonts w:ascii="宋体" w:hAnsi="宋体" w:cs="宋体"/>
          <w:kern w:val="0"/>
          <w:sz w:val="24"/>
          <w:szCs w:val="24"/>
        </w:rPr>
        <w:t>基金份额的冻结和解冻</w:t>
      </w:r>
    </w:p>
    <w:p w14:paraId="5062A56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基金登记机构只受理国家有权机关依法要求的基金份额的冻结与解冻，以及登记机构认可、符合法律法规的其他情况下的冻结与解冻。</w:t>
      </w:r>
    </w:p>
    <w:p w14:paraId="736F574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基金份额被冻结的，被冻结部分产生的权益一并冻结，被冻结部分份额仍然参与收益分配。法律法规或监管机构另有规定的除外。</w:t>
      </w:r>
    </w:p>
    <w:p w14:paraId="1174EF61"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十八、</w:t>
      </w:r>
      <w:r>
        <w:rPr>
          <w:rFonts w:ascii="宋体" w:hAnsi="宋体" w:cs="宋体"/>
          <w:kern w:val="0"/>
          <w:sz w:val="24"/>
          <w:szCs w:val="24"/>
        </w:rPr>
        <w:t>实施侧袋机制期间本基金的申购与赎回</w:t>
      </w:r>
    </w:p>
    <w:p w14:paraId="4E101DF3"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lastRenderedPageBreak/>
        <w:t>本基金实施侧袋机制的，本基金的申购和赎回安排详见本招募说明书“侧袋机制”章节的规定或相关公告。</w:t>
      </w:r>
    </w:p>
    <w:p w14:paraId="5B59D894" w14:textId="42F67830" w:rsidR="00AE2B28" w:rsidRDefault="006F1750">
      <w:pPr>
        <w:pStyle w:val="div"/>
        <w:spacing w:line="360" w:lineRule="auto"/>
        <w:ind w:firstLine="480"/>
        <w:jc w:val="left"/>
        <w:rPr>
          <w:rFonts w:ascii="宋体" w:hAnsi="宋体" w:cs="宋体"/>
          <w:kern w:val="0"/>
          <w:sz w:val="24"/>
          <w:szCs w:val="24"/>
        </w:rPr>
      </w:pPr>
      <w:r>
        <w:rPr>
          <w:rFonts w:ascii="宋体" w:hAnsi="宋体" w:cs="宋体"/>
          <w:kern w:val="0"/>
          <w:sz w:val="24"/>
          <w:szCs w:val="24"/>
        </w:rPr>
        <w:t>十九</w:t>
      </w:r>
      <w:r w:rsidR="00B67EDE">
        <w:rPr>
          <w:rFonts w:ascii="宋体" w:hAnsi="宋体" w:cs="宋体"/>
          <w:kern w:val="0"/>
          <w:sz w:val="24"/>
          <w:szCs w:val="24"/>
        </w:rPr>
        <w:t>、如相关法律法规允许基金管理人办理基金份额的质押业务或其他基金业务，基金管理人将制定和实施相应的业务规则。</w:t>
      </w:r>
    </w:p>
    <w:p w14:paraId="20D695C9" w14:textId="03FCA149" w:rsidR="00AE2B28" w:rsidRDefault="006F1750">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二十</w:t>
      </w:r>
      <w:r w:rsidR="00B67EDE">
        <w:rPr>
          <w:rFonts w:ascii="宋体" w:hAnsi="宋体" w:cs="宋体"/>
          <w:kern w:val="0"/>
          <w:sz w:val="24"/>
          <w:szCs w:val="24"/>
        </w:rPr>
        <w:t>、基金管理人可在法律法规允许的范围内，在不影响基金份额持有人实质利益的前提下，根据市场情况对上述申购和赎回的安排进行补充和调整并提前公告。</w:t>
      </w:r>
      <w:r w:rsidR="00B67EDE">
        <w:rPr>
          <w:rFonts w:ascii="宋体" w:hAnsi="宋体" w:cs="宋体"/>
          <w:kern w:val="0"/>
          <w:sz w:val="24"/>
          <w:szCs w:val="24"/>
        </w:rPr>
        <w:br w:type="page"/>
      </w:r>
    </w:p>
    <w:p w14:paraId="633D08B3" w14:textId="77777777" w:rsidR="009D63C8" w:rsidRDefault="00B67EDE" w:rsidP="009E26D0">
      <w:pPr>
        <w:pStyle w:val="1"/>
        <w:spacing w:before="0" w:after="0"/>
        <w:jc w:val="center"/>
        <w:rPr>
          <w:rFonts w:ascii="Times New Roman"/>
          <w:color w:val="auto"/>
          <w:sz w:val="30"/>
        </w:rPr>
      </w:pPr>
      <w:bookmarkStart w:id="40" w:name="_Toc256000008"/>
      <w:r w:rsidRPr="009E26D0">
        <w:rPr>
          <w:rFonts w:ascii="Times New Roman"/>
          <w:noProof/>
          <w:color w:val="auto"/>
          <w:sz w:val="30"/>
        </w:rPr>
        <w:lastRenderedPageBreak/>
        <w:t>第九部分</w:t>
      </w:r>
      <w:r w:rsidRPr="009E26D0">
        <w:rPr>
          <w:rFonts w:ascii="Times New Roman"/>
          <w:noProof/>
          <w:color w:val="auto"/>
          <w:sz w:val="30"/>
        </w:rPr>
        <w:t xml:space="preserve">  </w:t>
      </w:r>
      <w:r w:rsidRPr="009E26D0">
        <w:rPr>
          <w:rFonts w:ascii="Times New Roman"/>
          <w:noProof/>
          <w:color w:val="auto"/>
          <w:sz w:val="30"/>
        </w:rPr>
        <w:t>基金的投资</w:t>
      </w:r>
      <w:bookmarkEnd w:id="40"/>
    </w:p>
    <w:p w14:paraId="37839C36" w14:textId="77777777" w:rsidR="007A2B34" w:rsidRPr="0017353E" w:rsidRDefault="007A2B34" w:rsidP="0090469D"/>
    <w:p w14:paraId="4F0C8DA5" w14:textId="77777777" w:rsidR="00AE2B28" w:rsidRDefault="00B67EDE">
      <w:pPr>
        <w:pStyle w:val="div"/>
        <w:spacing w:line="360" w:lineRule="auto"/>
        <w:ind w:firstLine="480"/>
        <w:jc w:val="left"/>
        <w:rPr>
          <w:rFonts w:ascii="宋体" w:hAnsi="宋体" w:cs="宋体"/>
          <w:kern w:val="0"/>
          <w:sz w:val="24"/>
          <w:szCs w:val="24"/>
        </w:rPr>
      </w:pPr>
      <w:bookmarkStart w:id="41" w:name="_Hlk212215254"/>
      <w:r>
        <w:rPr>
          <w:rFonts w:ascii="宋体" w:hAnsi="宋体" w:cs="宋体"/>
          <w:kern w:val="0"/>
          <w:sz w:val="24"/>
          <w:szCs w:val="24"/>
        </w:rPr>
        <w:t>一、投资目标</w:t>
      </w:r>
    </w:p>
    <w:p w14:paraId="2FA2DE7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本基金在严格控制组合风险的前提下，以基本面分析为立足点，精选金融优选主题相关优质上市公司，力争实现基金资产的长期稳健增值。</w:t>
      </w:r>
    </w:p>
    <w:p w14:paraId="163D47CF"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二、投资范围</w:t>
      </w:r>
    </w:p>
    <w:p w14:paraId="47F89C1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的投资范围为具有良好流动性的金融工具，包括国内依法发行上市的股票（含主板、创业板及其他经中国证监会允许上市的股票、存托凭证）、港股通标的股票、债券（包括国债、央行票据、金融债、企业债、公司债、中期票据、短期融资券、超短期融资券、次级债券、政府支持债券、政府支持机构债券、地方政府债券、可交换债券、可转换债券（含分离交易可转债）及其他经中国证监会允许投资的债券）、信用衍生品、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14:paraId="27896B5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本基金还可根据法律法规参与融资业务。</w:t>
      </w:r>
    </w:p>
    <w:p w14:paraId="5DE8810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3BAC181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的投资组合比例为：本基金股票资产占基金资产的比例为60%-95%，其中，投资于港股通标的股票的比例不超过股票资产的50%。本基金投资于金融优选主题相关的股票比例不低于非现金基金资产的80%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14:paraId="5424AC3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1DF01BAB"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三、投资策略</w:t>
      </w:r>
    </w:p>
    <w:p w14:paraId="1F62267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本基金将在有效控制风险的前提下，采用科学的资产配置策略和个股精选策略，定量与定性分析相结合，力争实现基金资产的长期稳健增值。</w:t>
      </w:r>
    </w:p>
    <w:p w14:paraId="136B928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1、资产配置策略</w:t>
      </w:r>
    </w:p>
    <w:p w14:paraId="20E12E5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综合分析和持续跟踪基本面、政策面、市场面等多方面因素，结合全球宏观经济形势，研判国内外经济的发展趋势，并在严格控制投资组合风险的前提下，对投资组合中股票、债券、货币市场工具、金融衍生品和法律法规或中国证监会允许基金投资的其他品种的投资比例进行战略配置和动态调整，以期分散市场风险，力争实现基金资产的长期稳健增值。</w:t>
      </w:r>
    </w:p>
    <w:p w14:paraId="79BABB2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2、个股精选策略</w:t>
      </w:r>
    </w:p>
    <w:p w14:paraId="0BA9DBC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（1）金融优选主题界定</w:t>
      </w:r>
    </w:p>
    <w:p w14:paraId="0E61EFD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本基金界定的金融优选主题主要包括以下公司：</w:t>
      </w:r>
    </w:p>
    <w:p w14:paraId="5E3BA11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1、经营金融商品的传统机构，包括银行、保险、证券、信托、期货、资产管理及其他多元金融公司等；</w:t>
      </w:r>
    </w:p>
    <w:p w14:paraId="309FC4D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2、提供金融产品和金融服务的其他机构，包括第三方支付、融资租赁、资金借贷、金融控股、金融科技与金融信息服务、证券交易所等。</w:t>
      </w:r>
    </w:p>
    <w:p w14:paraId="7C4F9C5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未来随着科技进步、政策或市场环境发生变化导致本基金对相关主题的界定范围发生变动，基金管理人可在履行适当程序后调整上述界定标准，并在更新的招募说明书中进行公告。</w:t>
      </w:r>
    </w:p>
    <w:p w14:paraId="152D717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（2）股票库的构建</w:t>
      </w:r>
    </w:p>
    <w:p w14:paraId="0B670DE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将结合定量评估、定性分析和估值分析来综合评估备选公司的投资价值，精选行业背景良好、商业模式清晰、公司治理优良、竞争优势突出且估值相对合理的上市公司。具体而言，主要考虑以下几方面因素：</w:t>
      </w:r>
    </w:p>
    <w:p w14:paraId="0B8CC2F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1）治理结构、公司管理层和财务状况评价</w:t>
      </w:r>
    </w:p>
    <w:p w14:paraId="3221319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主要从股东结构和激励约束机制两方面对公司治理进行分析。股东结构主要从股东背景、股权变更情况、关联交易、独立性等方面予以考察，激励约束机制则从股权激励、管理层与股东利益的一致性等方面考察。</w:t>
      </w:r>
    </w:p>
    <w:p w14:paraId="3E79156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本基金将致力于寻找中国优秀的企业家以及其管理的企业。优秀的企业家具备出色的经营才能，而且怀着清晰、长期的愿景，充满激情，不懈努力，执行力强。</w:t>
      </w:r>
    </w:p>
    <w:p w14:paraId="4635C65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本基金投资标的的财务状况应当健康和稳健。通过对目标企业的资产负债、损益、现金流量的分析，评估企业盈利能力、营运能力、偿债能力及增长能力等</w:t>
      </w:r>
      <w:r>
        <w:rPr>
          <w:rFonts w:ascii="宋体" w:hAnsi="宋体" w:cs="宋体"/>
          <w:kern w:val="0"/>
          <w:sz w:val="24"/>
          <w:szCs w:val="24"/>
        </w:rPr>
        <w:lastRenderedPageBreak/>
        <w:t>财务状况。</w:t>
      </w:r>
    </w:p>
    <w:p w14:paraId="1806AF8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2）企业竞争优势评估</w:t>
      </w:r>
    </w:p>
    <w:p w14:paraId="5387AEA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企业竞争优势评估主要从生产、市场、技术和政策环境等四方面进行分析。生产优势集中体现在能以相对更低的成本为顾客提供更好的产品或服务。市场优势主要表现在产品线、营销渠道及品牌竞争力三方面。技术优势从专利权及知识产权保护、研究开发两方面考察。政策环境主要关注所在行业是否符合国家产业政策的方向。</w:t>
      </w:r>
    </w:p>
    <w:p w14:paraId="1744C8E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3）行业背景和商业模式分析</w:t>
      </w:r>
    </w:p>
    <w:p w14:paraId="44DC76F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主要从行业集中度和行业地位两方面对行业背景进行分析，优选具有较好的行业集中度及行业地位，并具备独特核心竞争优势的企业。企业所在行业有一定的集中度，其主导产品的市场份额高于市场平均水准，而且在经营许可、规模、资源、技术、品牌、创新能力等一个或数个方面具有竞争对手在中长期时间内难以模仿的优势。</w:t>
      </w:r>
    </w:p>
    <w:p w14:paraId="58CD109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优秀的商业模式通常有以下两种：第一，较强的定价能力，在行业地位领先且稳固，对上下游具有较强的议价能力，能够通过不断提升产品价格或降低成本以提高盈利能力，即使在宏观经济向下的阶段，能够通过控制产量等方式延缓甚至避免价格的下跌；第二，扩张成本低，即利润增长对资本的需求和依赖较低，表现在财务数据上就是净资产收益率高，很少或者几乎不需要股权融资就可以实现较高增长，最好商业模式能够较快复制，能够以较快的速度形成规模效益。</w:t>
      </w:r>
    </w:p>
    <w:p w14:paraId="4E032EE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4）ESG评价优选</w:t>
      </w:r>
    </w:p>
    <w:p w14:paraId="6B2C166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将根据环境（E）、社会（S）和公司治理（G）三个方面的指标对上市公司进行综合评价，在传统财务指标以外评估企业经营的可持续性，对社会的影响，以及公司治理层面的道德水平。以期从ESG的投资理念中找寻真正能够对企业绩效、对企业可持续发展带来贡献的因素。</w:t>
      </w:r>
    </w:p>
    <w:p w14:paraId="15648B9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具体而言本基金将结合公开披露的信息和主动调研的情况，分为E、S、G三个大类进行评分。E评分指标包括但不限于产业环境风险、资源使用效率、清洁环保投入、环境信息披露水平、监管处罚等方面评估上市公司的环境责任情况；S评分指标包括但不限于对员工的责任、客户和消费者责任、供应链责任、产品质量、纳税贡献、慈善事业发展状况等多个方面评估公司的社会责任情况；G评</w:t>
      </w:r>
      <w:r>
        <w:rPr>
          <w:rFonts w:ascii="宋体" w:hAnsi="宋体" w:cs="宋体"/>
          <w:kern w:val="0"/>
          <w:sz w:val="24"/>
          <w:szCs w:val="24"/>
        </w:rPr>
        <w:lastRenderedPageBreak/>
        <w:t>分指标包括但不限于商业道德、董事会及管理层、股东及股权结构、高管薪酬及激励、分红、财务治理、信息披露透明度等多个方面评估上市公司的治理水平。对以上各细分指标进行定期（一般为中期报告或年度报告时点）或不定期（突发事件）综合评定，再根据公司内部研究体系设定的不同行业加权计算综合得分，并且参考外部第三方ESG评价体系，作为投资评价依据，选择各行业中ESG评价结果优秀的公司进入本基金的核心股票库。</w:t>
      </w:r>
    </w:p>
    <w:p w14:paraId="4D4C0AC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5）估值精选</w:t>
      </w:r>
    </w:p>
    <w:p w14:paraId="794655D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本基金将根据企业所在行业所适用的估值指标进行价值评估，选择股价没有充分反映其长期投资价值的标的，权衡风险收益特征后，构建投资组合。</w:t>
      </w:r>
    </w:p>
    <w:p w14:paraId="1A5852B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3、港股通标的股票的投资策略</w:t>
      </w:r>
    </w:p>
    <w:p w14:paraId="49699A6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考虑到香港股票市场与A股股票市场的差异，对于港股通标的股票，本基金除按照上述“自下而上”的个股精选策略，还将结合公司基本面、国内经济和相关行业发展前景、香港市场资金面和投资者行为，以及世界主要经济体经济发展前景和货币政策、主流资本市场对投资者的相对吸引力等因素，精选符合本基金投资目标的港股通标的股票。</w:t>
      </w:r>
    </w:p>
    <w:p w14:paraId="7354770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4、存托凭证的投资策略</w:t>
      </w:r>
    </w:p>
    <w:p w14:paraId="0A66D75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本基金投资存托凭证的策略依照上述境内上市交易的股票投资策略执行。</w:t>
      </w:r>
    </w:p>
    <w:p w14:paraId="26607E2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5、债券投资策略</w:t>
      </w:r>
    </w:p>
    <w:p w14:paraId="5ED350B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管理人将基于对国内外宏观经济形势的深入分析、国内外财政政策与货币市场政策等因素对债券市场的影响，进行合理的利率预期，判断债券市场的基本走势，制定久期控制下的资产类属配置策略。在债券投资组合构建和管理过程中，本基金管理人将具体采用期限结构配置、市场转换、信用利差和相对价值判断、信用风险评估、现金管理等管理手段进行个券选择。</w:t>
      </w:r>
    </w:p>
    <w:p w14:paraId="6BCC541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6、可转债及可交换债投资策略</w:t>
      </w:r>
    </w:p>
    <w:p w14:paraId="18C21D5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对于本基金中可转债的投资，本基金主要采用可转债相对价值分析策略。</w:t>
      </w:r>
    </w:p>
    <w:p w14:paraId="69EC748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由于可转债兼具债性和股性，其投资风险和收益介于股票和债券之间，可转债相对价值分析策略通过分析不同市场环境下其股性和债性的相对价值，把握可转债的价值走向，选择相应券种，力争获取较高投资收益。</w:t>
      </w:r>
    </w:p>
    <w:p w14:paraId="2F3F951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其次，在进行可转债筛选时，本基金还对可转债自身的基本面要素进行综合</w:t>
      </w:r>
      <w:r>
        <w:rPr>
          <w:rFonts w:ascii="宋体" w:hAnsi="宋体" w:cs="宋体"/>
          <w:kern w:val="0"/>
          <w:sz w:val="24"/>
          <w:szCs w:val="24"/>
        </w:rPr>
        <w:lastRenderedPageBreak/>
        <w:t>分析，这些基本面要素包括股性特征、债性特征、摊薄率、流动性等，形成对基础股票的价值评估。本基金将可转债自身的基本面分析和其基础股票的基本面分析结合在一起，最终确定投资的品种。</w:t>
      </w:r>
    </w:p>
    <w:p w14:paraId="3548889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可交换债券与可转换债券的区别在于换股期间用于交换的股票并非自身新发的股票，而是发行人持有的其他上市公司的股票。可交换债券同样具有债券属性和权益属性，其中债券属性与可转换债券相同，即选择持有可交换债券至到期以获取票面价值和票面利息；而对于权益属性的分析则需关注目标公司的股票价值以及发行人作为股东的换股意愿等。本基金将通过对目标公司股票的投资价值、可交换债券的债券价值、以及条款带来的期权价值等综合分析，进行投资决策。</w:t>
      </w:r>
    </w:p>
    <w:p w14:paraId="3AAC3FB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7、资产支持证券投资策略</w:t>
      </w:r>
    </w:p>
    <w:p w14:paraId="7D15919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将在宏观经济和基本面分析的基础上，对资产支持证券标的资产的质量和构成、利率风险、信用风险、流动性风险和提前偿付风险等进行分析，评估其相对投资价值并作出相应的投资决策，以在控制风险的前提下尽可能的提高本基金的收益。</w:t>
      </w:r>
    </w:p>
    <w:p w14:paraId="3F804C7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在资产支持证券的选择上，本基金将采取“自上而下”和“自下而上”相结合的策略。“自上而下”投资策略指在平均久期配置策略与期限结构配置策略基础上，本基金运用数量化或定性分析方法对资产支持证券的利率风险、提前偿付风险、流动性风险溢价、税收溢价等因素进行分析，对收益率走势及其收益和风险进行判断。“自下而上”投资策略指运用数量化或定性分析方法对资产池信用风险进行分析和度量，选择风险与收益相匹配的更优品种进行配置。</w:t>
      </w:r>
    </w:p>
    <w:p w14:paraId="3801503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8、股指期货投资策略</w:t>
      </w:r>
    </w:p>
    <w:p w14:paraId="256EF43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投资股指期货将根据风险管理的原则，以套期保值为目的，充分考虑股指期货的收益性、流动性及风险性特征，运用股指期货对冲系统性风险、对冲特殊情况下的流动性风险，如大额申购赎回等，以降低交易成本和组合风险，提高投资效率。</w:t>
      </w:r>
    </w:p>
    <w:p w14:paraId="2C9AEE1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9、国债期货投资策略</w:t>
      </w:r>
    </w:p>
    <w:p w14:paraId="4EABDC1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投资国债期货将根据风险管理的原则，以套期保值为目的，结合对宏观经济形势和政策趋势的判断、对债券市场进行定性和定量分析，对国债期货和现货基差、国债期货的流动性、波动水平等指标进行跟踪监控。</w:t>
      </w:r>
    </w:p>
    <w:p w14:paraId="322736F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10、股票期权投资策略</w:t>
      </w:r>
    </w:p>
    <w:p w14:paraId="2575A9E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本基金投资股票期权将按照风险管理的原则，以套期保值为主要目的，结合投资目标、比例限制、风险收益特征以及法律法规的相关限定和要求，确定参与股票期权交易的投资时机和投资比例。</w:t>
      </w:r>
    </w:p>
    <w:p w14:paraId="2E03F7E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未来如法律法规或监管机构允许基金投资股指期权或其他期权品种，本基金将在履行适当程序后，纳入投资范围并制定相应投资策略，并在招募说明书中更新公告。</w:t>
      </w:r>
    </w:p>
    <w:p w14:paraId="6949615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11、信用衍生品投资策略</w:t>
      </w:r>
    </w:p>
    <w:p w14:paraId="3F27D79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768784C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12、融资投资策略</w:t>
      </w:r>
    </w:p>
    <w:p w14:paraId="47FE22A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将在充分考虑风险和收益特征的基础上，审慎参与融资交易。本基金将基于对市场行情和组合风险收益特征的分析，确定投资时机、标的证券以及投资比例。若相关融资业务法律法规和监管要求发生变化，本基金将从其最新规定，在符合本基金投资目标的前提下，依照相关法律法规和监管要求制定融资策略。</w:t>
      </w:r>
    </w:p>
    <w:p w14:paraId="7B8468C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未来，随着投资工具的发展和丰富，本基金可在不改变投资目标和风险收益特征的前提下，相应调整和更新相关投资策略，并在招募说明书更新中公告。</w:t>
      </w:r>
    </w:p>
    <w:p w14:paraId="21B5CEFA"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四、投资限制</w:t>
      </w:r>
    </w:p>
    <w:p w14:paraId="56D2175F"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1、组合限制</w:t>
      </w:r>
    </w:p>
    <w:p w14:paraId="54D78D7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基金的投资组合应遵循以下限制：</w:t>
      </w:r>
    </w:p>
    <w:p w14:paraId="6C5A4AD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（1）本基金股票资产占基金资产的比例为60%-95%；其中，投资于港股通标的股票的比例不超过股票资产的50%；本基金投资于金融优选主题相关的股票比例不低于非现金基金资产的80%；</w:t>
      </w:r>
    </w:p>
    <w:p w14:paraId="5EF71B8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（2）每个交易日日终在扣除国债期货、股指期货和股票期权合约需缴纳的交易保证金后，本基金保留的现金或投资于到期日在一年以内的政府债券的比例</w:t>
      </w:r>
      <w:r>
        <w:rPr>
          <w:rFonts w:ascii="宋体" w:hAnsi="宋体" w:cs="宋体"/>
          <w:kern w:val="0"/>
          <w:sz w:val="24"/>
          <w:szCs w:val="24"/>
        </w:rPr>
        <w:lastRenderedPageBreak/>
        <w:t>合计不低于基金资产净值的5%。其中现金不包括结算备付金、存出保证金和应收申购款等；</w:t>
      </w:r>
    </w:p>
    <w:p w14:paraId="48E83E6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（3）本基金持有一家公司发行的证券（同一家公司在内地和香港同时上市的A+H股合并计算），其市值不超过基金资产净值的10％；</w:t>
      </w:r>
    </w:p>
    <w:p w14:paraId="10AE8A8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本基金管理人管理的全部基金持有一家公司发行的证券（同一家公司在内地和香港同时上市的A+H股合并计算），不超过该证券的10％，完全按照有关指数的构成比例进行证券投资的基金品种可以不受此条款规定的比例限制；</w:t>
      </w:r>
    </w:p>
    <w:p w14:paraId="1305FF3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（5）本基金投资于同一原始权益人的各类资产支持证券的比例，不得超过基金资产净值的10%；</w:t>
      </w:r>
    </w:p>
    <w:p w14:paraId="681DB3F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（6）本基金持有的全部资产支持证券，其市值不得超过基金资产净值的20%；</w:t>
      </w:r>
    </w:p>
    <w:p w14:paraId="568D8DF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（7）本基金持有的同一(指同一信用级别)资产支持证券的比例，不得超过该资产支持证券规模的10%；</w:t>
      </w:r>
    </w:p>
    <w:p w14:paraId="0F8B9C3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（8）本基金管理人管理的全部基金投资于同一原始权益人的各类资产支持证券，不得超过其各类资产支持证券合计规模的10%；</w:t>
      </w:r>
    </w:p>
    <w:p w14:paraId="79F4A3E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3940980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（10）基金财产参与股票发行申购，本基金所申报的金额不超过本基金的总资产，本基金所申报的股票数量不超过拟发行股票公司本次发行股票的总量；</w:t>
      </w:r>
    </w:p>
    <w:p w14:paraId="7E16215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209A85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12）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378B481A" w14:textId="0AAD1238"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（13）本基金与私募类证券资管产品及中国证监会认定的其他</w:t>
      </w:r>
      <w:r w:rsidR="00C1095B">
        <w:rPr>
          <w:rFonts w:ascii="宋体" w:hAnsi="宋体" w:cs="宋体"/>
          <w:kern w:val="0"/>
          <w:sz w:val="24"/>
          <w:szCs w:val="24"/>
        </w:rPr>
        <w:t>主体为交易对</w:t>
      </w:r>
      <w:r w:rsidR="00C1095B">
        <w:rPr>
          <w:rFonts w:ascii="宋体" w:hAnsi="宋体" w:cs="宋体"/>
          <w:kern w:val="0"/>
          <w:sz w:val="24"/>
          <w:szCs w:val="24"/>
        </w:rPr>
        <w:lastRenderedPageBreak/>
        <w:t>手开展逆回购交易的，可接受质押品的资质要求应当与</w:t>
      </w:r>
      <w:r>
        <w:rPr>
          <w:rFonts w:ascii="宋体" w:hAnsi="宋体" w:cs="宋体"/>
          <w:kern w:val="0"/>
          <w:sz w:val="24"/>
          <w:szCs w:val="24"/>
        </w:rPr>
        <w:t>基金合同约定的投资范围保持一致；</w:t>
      </w:r>
    </w:p>
    <w:p w14:paraId="7559E00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（14）本基金资产总值不超过基金资产净值的140%；</w:t>
      </w:r>
    </w:p>
    <w:p w14:paraId="13F3D9B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（15）本基金参与股指期货和国债期货交易的，应当遵守下列要求：</w:t>
      </w:r>
    </w:p>
    <w:p w14:paraId="0CF4EAE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2AE3443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6BBD4F6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589BA5D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16）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6636F6E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（17）本基金不得持有信用保护卖方属性的信用衍生品，持有的信用衍生品的名义本金不得超过本基金对应受保护债券面值的100%，本基金不得投资于合约类信用衍生品；</w:t>
      </w:r>
    </w:p>
    <w:p w14:paraId="65AB2A8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（18）本基金投资于同一信用保护卖方的各类信用衍生品的名义本金合计不</w:t>
      </w:r>
      <w:r>
        <w:rPr>
          <w:rFonts w:ascii="宋体" w:hAnsi="宋体" w:cs="宋体"/>
          <w:kern w:val="0"/>
          <w:sz w:val="24"/>
          <w:szCs w:val="24"/>
        </w:rPr>
        <w:lastRenderedPageBreak/>
        <w:t>得超过基金资产净值的10%；</w:t>
      </w:r>
    </w:p>
    <w:p w14:paraId="728A52E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因证券、期货市场波动、证券发行人合并、基金规模变动等基金管理人之外的因素致使基金不符合前述（17）、（18）所规定比例限制的，基金管理人应在3个月之内进行调整；</w:t>
      </w:r>
    </w:p>
    <w:p w14:paraId="3F9A6E8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（19）本基金参与融资的，每个交易日日终，本基金持有的融资买入股票与其他有价证券市值之和，不得超过基金资产净值的95%；</w:t>
      </w:r>
    </w:p>
    <w:p w14:paraId="228F4DB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（20）本基金投资存托凭证的比例限制依照境内上市交易的股票执行；</w:t>
      </w:r>
    </w:p>
    <w:p w14:paraId="6EA55E6A"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（21）法律法规及中国证监会规定的和《基金合同》约定的其他投资限制。</w:t>
      </w:r>
    </w:p>
    <w:p w14:paraId="5923E8CA"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除上述第（2）、（9）、（12）、（13）、（17）、（18）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51A676F5" w14:textId="27088282"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w:t>
      </w:r>
      <w:r w:rsidR="00C1095B">
        <w:rPr>
          <w:rFonts w:ascii="宋体" w:hAnsi="宋体" w:cs="宋体"/>
          <w:kern w:val="0"/>
          <w:sz w:val="24"/>
          <w:szCs w:val="24"/>
        </w:rPr>
        <w:t>略应当符合基金合同的约定。基金托管人对基金的投资的监督与检查自</w:t>
      </w:r>
      <w:r>
        <w:rPr>
          <w:rFonts w:ascii="宋体" w:hAnsi="宋体" w:cs="宋体"/>
          <w:kern w:val="0"/>
          <w:sz w:val="24"/>
          <w:szCs w:val="24"/>
        </w:rPr>
        <w:t>基金合同生效之日起开始。</w:t>
      </w:r>
    </w:p>
    <w:p w14:paraId="7A2E6C3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61FA8AAA"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2、禁止行为</w:t>
      </w:r>
    </w:p>
    <w:p w14:paraId="63A6925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为维护基金份额持有人的合法权益，基金财产不得用于下列投资或者活动：</w:t>
      </w:r>
    </w:p>
    <w:p w14:paraId="084A0E99"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（1）承销证券；</w:t>
      </w:r>
    </w:p>
    <w:p w14:paraId="1C1EAD05"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（2）违反规定向他人贷款或者提供担保；</w:t>
      </w:r>
    </w:p>
    <w:p w14:paraId="5FE05D73"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（3）从事承担无限责任的投资；</w:t>
      </w:r>
    </w:p>
    <w:p w14:paraId="3D6DED4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（4）买卖其他基金份额，但是法律法规或中国证监会另有规定的除外；</w:t>
      </w:r>
    </w:p>
    <w:p w14:paraId="3D358BB9"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（5）向其基金管理人、基金托管人出资；</w:t>
      </w:r>
    </w:p>
    <w:p w14:paraId="4A3E0F80"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（6）从事内幕交易、操纵证券交易价格及其他不正当的证券交易活动；</w:t>
      </w:r>
    </w:p>
    <w:p w14:paraId="49E56C6E"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（7）法律、行政法规和中国证监会规定禁止的其他活动。</w:t>
      </w:r>
    </w:p>
    <w:p w14:paraId="017D840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73E4EF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3C6743F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五、业绩比较基准</w:t>
      </w:r>
    </w:p>
    <w:p w14:paraId="1BACBFB6" w14:textId="7E51C022"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本基金的业绩比较基准为：中证全指金融指数收益率*60%+中证港股通内地金融指数（港元）收益率*2</w:t>
      </w:r>
      <w:r w:rsidR="00784287">
        <w:rPr>
          <w:rFonts w:ascii="宋体" w:hAnsi="宋体" w:cs="宋体"/>
          <w:kern w:val="0"/>
          <w:sz w:val="24"/>
          <w:szCs w:val="24"/>
        </w:rPr>
        <w:t>0</w:t>
      </w:r>
      <w:r>
        <w:rPr>
          <w:rFonts w:ascii="宋体" w:hAnsi="宋体" w:cs="宋体"/>
          <w:kern w:val="0"/>
          <w:sz w:val="24"/>
          <w:szCs w:val="24"/>
        </w:rPr>
        <w:t>%+中债-国债总全价(1-3年)指数收益率*1</w:t>
      </w:r>
      <w:r w:rsidR="00784287">
        <w:rPr>
          <w:rFonts w:ascii="宋体" w:hAnsi="宋体" w:cs="宋体"/>
          <w:kern w:val="0"/>
          <w:sz w:val="24"/>
          <w:szCs w:val="24"/>
        </w:rPr>
        <w:t>5</w:t>
      </w:r>
      <w:r>
        <w:rPr>
          <w:rFonts w:ascii="宋体" w:hAnsi="宋体" w:cs="宋体"/>
          <w:kern w:val="0"/>
          <w:sz w:val="24"/>
          <w:szCs w:val="24"/>
        </w:rPr>
        <w:t>%+活期存款基准利率*5%</w:t>
      </w:r>
    </w:p>
    <w:p w14:paraId="4D436536" w14:textId="7CF105D4"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1、业绩比较基准设定的原因</w:t>
      </w:r>
    </w:p>
    <w:p w14:paraId="2D8E9605" w14:textId="7713FD65"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（1）基于基金投资范围以及预期投资的主要资产类别，本基金主要投资于A股股票、港股通</w:t>
      </w:r>
      <w:r w:rsidR="00480AB6">
        <w:rPr>
          <w:rStyle w:val="custom"/>
          <w:rFonts w:ascii="宋体" w:hAnsi="宋体" w:cs="宋体" w:hint="eastAsia"/>
          <w:kern w:val="0"/>
          <w:sz w:val="24"/>
          <w:szCs w:val="24"/>
        </w:rPr>
        <w:t>标的</w:t>
      </w:r>
      <w:r>
        <w:rPr>
          <w:rFonts w:ascii="宋体" w:hAnsi="宋体" w:cs="宋体"/>
          <w:kern w:val="0"/>
          <w:sz w:val="24"/>
          <w:szCs w:val="24"/>
        </w:rPr>
        <w:t>股票、债券、流动性管理等资产，相应选取与之匹配的A股指数、港股指数、债券指数和活期存款基准利率作为基准要素。同时基于基金投资股票资产占基金资产的比例为60%-95%（其中港股通</w:t>
      </w:r>
      <w:r w:rsidR="00480AB6">
        <w:rPr>
          <w:rStyle w:val="custom"/>
          <w:rFonts w:ascii="宋体" w:hAnsi="宋体" w:cs="宋体" w:hint="eastAsia"/>
          <w:kern w:val="0"/>
          <w:sz w:val="24"/>
          <w:szCs w:val="24"/>
        </w:rPr>
        <w:t>标的</w:t>
      </w:r>
      <w:r>
        <w:rPr>
          <w:rFonts w:ascii="宋体" w:hAnsi="宋体" w:cs="宋体"/>
          <w:kern w:val="0"/>
          <w:sz w:val="24"/>
          <w:szCs w:val="24"/>
        </w:rPr>
        <w:t>股票不超过股票资产的50%）等投资比例限制，以及预期的资产配置比例中枢，本基金将股票资产、债券资产和流动性管理部分资产所对应的基准要素权重分别设置为8</w:t>
      </w:r>
      <w:r w:rsidR="00784287">
        <w:rPr>
          <w:rFonts w:ascii="宋体" w:hAnsi="宋体" w:cs="宋体"/>
          <w:kern w:val="0"/>
          <w:sz w:val="24"/>
          <w:szCs w:val="24"/>
        </w:rPr>
        <w:t>0</w:t>
      </w:r>
      <w:r>
        <w:rPr>
          <w:rFonts w:ascii="宋体" w:hAnsi="宋体" w:cs="宋体"/>
          <w:kern w:val="0"/>
          <w:sz w:val="24"/>
          <w:szCs w:val="24"/>
        </w:rPr>
        <w:t>%、1</w:t>
      </w:r>
      <w:r w:rsidR="00784287">
        <w:rPr>
          <w:rFonts w:ascii="宋体" w:hAnsi="宋体" w:cs="宋体"/>
          <w:kern w:val="0"/>
          <w:sz w:val="24"/>
          <w:szCs w:val="24"/>
        </w:rPr>
        <w:t>5</w:t>
      </w:r>
      <w:r>
        <w:rPr>
          <w:rFonts w:ascii="宋体" w:hAnsi="宋体" w:cs="宋体"/>
          <w:kern w:val="0"/>
          <w:sz w:val="24"/>
          <w:szCs w:val="24"/>
        </w:rPr>
        <w:t>%与5%，其中将股票资产中的A股股票与港股通</w:t>
      </w:r>
      <w:r w:rsidR="00480AB6">
        <w:rPr>
          <w:rStyle w:val="custom"/>
          <w:rFonts w:ascii="宋体" w:hAnsi="宋体" w:cs="宋体" w:hint="eastAsia"/>
          <w:kern w:val="0"/>
          <w:sz w:val="24"/>
          <w:szCs w:val="24"/>
        </w:rPr>
        <w:t>标的</w:t>
      </w:r>
      <w:r>
        <w:rPr>
          <w:rFonts w:ascii="宋体" w:hAnsi="宋体" w:cs="宋体"/>
          <w:kern w:val="0"/>
          <w:sz w:val="24"/>
          <w:szCs w:val="24"/>
        </w:rPr>
        <w:t>股票所对应的基准要素权重分别设置为60%与2</w:t>
      </w:r>
      <w:r w:rsidR="00784287">
        <w:rPr>
          <w:rFonts w:ascii="宋体" w:hAnsi="宋体" w:cs="宋体"/>
          <w:kern w:val="0"/>
          <w:sz w:val="24"/>
          <w:szCs w:val="24"/>
        </w:rPr>
        <w:t>0</w:t>
      </w:r>
      <w:r>
        <w:rPr>
          <w:rFonts w:ascii="宋体" w:hAnsi="宋体" w:cs="宋体"/>
          <w:kern w:val="0"/>
          <w:sz w:val="24"/>
          <w:szCs w:val="24"/>
        </w:rPr>
        <w:t>%。</w:t>
      </w:r>
    </w:p>
    <w:p w14:paraId="521E09A5" w14:textId="54ED0F7D"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2）基于基金投资目标、投资范围和投资策略，本基金在严格控制组合风险的前提下，以基本面分析为立足点，精选金融优选主题相关优质上市公司，力争实现基金资产的长期稳健增值。综合考虑基准指数与产品定位、投资风格与主题的匹配度，同时兼顾考虑基准指数的表征性、认可度，以及主题界定、市值覆盖、行业与个股分布等，本基金选取中证全指金融指数和中证港股通内地金融指数（港元）分别作为A股股票和港股通</w:t>
      </w:r>
      <w:r w:rsidR="00480AB6">
        <w:rPr>
          <w:rStyle w:val="custom"/>
          <w:rFonts w:ascii="宋体" w:hAnsi="宋体" w:cs="宋体" w:hint="eastAsia"/>
          <w:kern w:val="0"/>
          <w:sz w:val="24"/>
          <w:szCs w:val="24"/>
        </w:rPr>
        <w:t>标的</w:t>
      </w:r>
      <w:r>
        <w:rPr>
          <w:rFonts w:ascii="宋体" w:hAnsi="宋体" w:cs="宋体"/>
          <w:kern w:val="0"/>
          <w:sz w:val="24"/>
          <w:szCs w:val="24"/>
        </w:rPr>
        <w:t>股票部分的基准要素，具体情况如下：</w:t>
      </w:r>
    </w:p>
    <w:p w14:paraId="6564D1E3" w14:textId="25781BBC" w:rsidR="007046F2" w:rsidRDefault="00667163" w:rsidP="007046F2">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中证全指金融</w:t>
      </w:r>
      <w:r>
        <w:rPr>
          <w:rFonts w:ascii="宋体" w:hAnsi="宋体" w:cs="宋体" w:hint="eastAsia"/>
          <w:kern w:val="0"/>
          <w:sz w:val="24"/>
          <w:szCs w:val="24"/>
        </w:rPr>
        <w:t>指数由中证指数有限公司编制，</w:t>
      </w:r>
      <w:r w:rsidRPr="009A42CB">
        <w:rPr>
          <w:rFonts w:ascii="宋体" w:hAnsi="宋体" w:cs="宋体"/>
          <w:kern w:val="0"/>
          <w:sz w:val="24"/>
          <w:szCs w:val="24"/>
        </w:rPr>
        <w:t>从中证全指金融行业中选取符合一定流动性与市值筛选条件的上市公司作为指数样本，以反映金融</w:t>
      </w:r>
      <w:r>
        <w:rPr>
          <w:rFonts w:ascii="宋体" w:hAnsi="宋体" w:cs="宋体"/>
          <w:kern w:val="0"/>
          <w:sz w:val="24"/>
          <w:szCs w:val="24"/>
        </w:rPr>
        <w:t>行业内较具代表性与可投资性的上市公司证券的整体表现</w:t>
      </w:r>
      <w:r w:rsidR="007046F2">
        <w:rPr>
          <w:rFonts w:ascii="宋体" w:hAnsi="宋体" w:cs="宋体"/>
          <w:kern w:val="0"/>
          <w:sz w:val="24"/>
          <w:szCs w:val="24"/>
        </w:rPr>
        <w:t>，适合作为本基金A股股票部分的业绩比较基准要素。</w:t>
      </w:r>
    </w:p>
    <w:p w14:paraId="67D4CE39" w14:textId="2CF52AC9"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中证港股通内地金融指数（港元）由中证指数有限公司编制，从港股通范围内选取内地控股金融主题上市公司证券作为指数样本，以反映港股通范围内内地金融上市公司证券的整体表现，适合作为本基金港股通</w:t>
      </w:r>
      <w:r w:rsidR="00122712">
        <w:rPr>
          <w:rFonts w:ascii="宋体" w:hAnsi="宋体" w:cs="宋体"/>
          <w:kern w:val="0"/>
          <w:sz w:val="24"/>
          <w:szCs w:val="24"/>
        </w:rPr>
        <w:t>标的</w:t>
      </w:r>
      <w:r>
        <w:rPr>
          <w:rFonts w:ascii="宋体" w:hAnsi="宋体" w:cs="宋体"/>
          <w:kern w:val="0"/>
          <w:sz w:val="24"/>
          <w:szCs w:val="24"/>
        </w:rPr>
        <w:t>股票部分的业绩比较基准要素。</w:t>
      </w:r>
    </w:p>
    <w:p w14:paraId="69F85BF6" w14:textId="77777777"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3）基于基金投资目标、投资范围和投资策略，本基金的债券资产采用全市场策略，主要通过类属配置与券种选择进行投资管理，预期组合久期整体偏向于中短久期。综合考虑基准指数与产品定位和投资风格的匹配度，同时兼顾考虑基准指数的表征性、认可度，以及基准指数券种、久期、信用等级分布特征等，选取中债-国债总全价（1-3年）指数作为债券部分的业绩比较基准要素。</w:t>
      </w:r>
    </w:p>
    <w:p w14:paraId="77ECE4D9" w14:textId="77777777"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中债-国债总全价（1-3年）指数隶属于中债-国债总指数，该指数成份券由在境内公开发行且上市流通的记账式国债组成，是一个反映境内记账式国债整体价格走势情况的总指数，适合作为本基金债券部分的业绩比较基准要素。</w:t>
      </w:r>
    </w:p>
    <w:p w14:paraId="56145C08" w14:textId="03C31AF8"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（4）基于本基金每个交易日日终在扣除国债期货、股指期货和股票期权合约需缴纳的交易保证金后，保留的现金或投资于到期日在一年以内的政府债券的比例合计不低于基金资产净值的5%</w:t>
      </w:r>
      <w:r w:rsidR="00480AB6">
        <w:rPr>
          <w:rFonts w:ascii="宋体" w:hAnsi="宋体" w:cs="宋体" w:hint="eastAsia"/>
          <w:kern w:val="0"/>
          <w:sz w:val="24"/>
          <w:szCs w:val="24"/>
        </w:rPr>
        <w:t>，</w:t>
      </w:r>
      <w:r>
        <w:rPr>
          <w:rFonts w:ascii="宋体" w:hAnsi="宋体" w:cs="宋体"/>
          <w:kern w:val="0"/>
          <w:sz w:val="24"/>
          <w:szCs w:val="24"/>
        </w:rPr>
        <w:t>选取活期存款基准利率作为本基金流动性管理部分的业绩比较基准要素。</w:t>
      </w:r>
    </w:p>
    <w:p w14:paraId="661B7AD7" w14:textId="4A24268B"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活期存款基准利率具有较强的权威性和市场影响力，适合作为本基金流动性管理部分的业绩比较基准</w:t>
      </w:r>
      <w:r w:rsidR="00480AB6">
        <w:rPr>
          <w:rStyle w:val="custom"/>
          <w:rFonts w:ascii="宋体" w:hAnsi="宋体" w:cs="宋体" w:hint="eastAsia"/>
          <w:kern w:val="0"/>
          <w:sz w:val="24"/>
          <w:szCs w:val="24"/>
        </w:rPr>
        <w:t>要素</w:t>
      </w:r>
      <w:r>
        <w:rPr>
          <w:rFonts w:ascii="宋体" w:hAnsi="宋体" w:cs="宋体"/>
          <w:kern w:val="0"/>
          <w:sz w:val="24"/>
          <w:szCs w:val="24"/>
        </w:rPr>
        <w:t>。</w:t>
      </w:r>
    </w:p>
    <w:p w14:paraId="47448570" w14:textId="77777777"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综上，本基金选取的业绩比较基准与基金投资目标、投资范围、投资策略、投资比例限制相匹配。</w:t>
      </w:r>
    </w:p>
    <w:p w14:paraId="2ABFF2C7" w14:textId="77777777"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2、业绩比较基准要素的基本信息</w:t>
      </w:r>
    </w:p>
    <w:p w14:paraId="20D19503" w14:textId="466DD2B2"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中证全指金融指数由中证指数有限公司编制发布，指数代码为</w:t>
      </w:r>
      <w:r w:rsidR="00667163" w:rsidRPr="000921C9">
        <w:rPr>
          <w:rStyle w:val="custom"/>
          <w:rFonts w:ascii="宋体" w:hAnsi="宋体" w:cs="宋体"/>
          <w:kern w:val="0"/>
          <w:sz w:val="24"/>
          <w:szCs w:val="24"/>
        </w:rPr>
        <w:t>9320</w:t>
      </w:r>
      <w:r w:rsidR="00667163">
        <w:rPr>
          <w:rStyle w:val="custom"/>
          <w:rFonts w:ascii="宋体" w:hAnsi="宋体" w:cs="宋体"/>
          <w:kern w:val="0"/>
          <w:sz w:val="24"/>
          <w:szCs w:val="24"/>
        </w:rPr>
        <w:t>75</w:t>
      </w:r>
      <w:r>
        <w:rPr>
          <w:rFonts w:ascii="宋体" w:hAnsi="宋体" w:cs="宋体"/>
          <w:kern w:val="0"/>
          <w:sz w:val="24"/>
          <w:szCs w:val="24"/>
        </w:rPr>
        <w:t>，指数具体信息详见中证指数有限公司网站，网址：www.csindex.com.cn。</w:t>
      </w:r>
    </w:p>
    <w:p w14:paraId="234E49F7" w14:textId="77777777"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中证港股通内地金融指数（港元）由中证指数有限公司编制发布，指数代码为H11146，指数具体信息详见中证指数有限公司网站，网址：</w:t>
      </w:r>
      <w:r>
        <w:rPr>
          <w:rFonts w:ascii="宋体" w:hAnsi="宋体" w:cs="宋体"/>
          <w:kern w:val="0"/>
          <w:sz w:val="24"/>
          <w:szCs w:val="24"/>
        </w:rPr>
        <w:lastRenderedPageBreak/>
        <w:t>www.csindex.com.cn。</w:t>
      </w:r>
    </w:p>
    <w:p w14:paraId="0D785336" w14:textId="1B2F5B49"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中债-国债总全价（1-3年）指数由</w:t>
      </w:r>
      <w:r w:rsidR="00480AB6" w:rsidRPr="00480AB6">
        <w:rPr>
          <w:rFonts w:ascii="宋体" w:hAnsi="宋体" w:cs="宋体" w:hint="eastAsia"/>
          <w:kern w:val="0"/>
          <w:sz w:val="24"/>
          <w:szCs w:val="24"/>
        </w:rPr>
        <w:t>中债金融估值中心有限公司</w:t>
      </w:r>
      <w:r>
        <w:rPr>
          <w:rFonts w:ascii="宋体" w:hAnsi="宋体" w:cs="宋体"/>
          <w:kern w:val="0"/>
          <w:sz w:val="24"/>
          <w:szCs w:val="24"/>
        </w:rPr>
        <w:t>编制发布，指数代码为CBA00623,指数具体信息详见</w:t>
      </w:r>
      <w:r w:rsidR="00927FD7" w:rsidRPr="00927FD7">
        <w:rPr>
          <w:rFonts w:ascii="宋体" w:hAnsi="宋体" w:cs="宋体" w:hint="eastAsia"/>
          <w:kern w:val="0"/>
          <w:sz w:val="24"/>
          <w:szCs w:val="24"/>
        </w:rPr>
        <w:t>中债金融估值中心官网</w:t>
      </w:r>
      <w:r>
        <w:rPr>
          <w:rFonts w:ascii="宋体" w:hAnsi="宋体" w:cs="宋体"/>
          <w:kern w:val="0"/>
          <w:sz w:val="24"/>
          <w:szCs w:val="24"/>
        </w:rPr>
        <w:t>，网址：</w:t>
      </w:r>
      <w:r w:rsidR="00927FD7" w:rsidRPr="00927FD7">
        <w:rPr>
          <w:rFonts w:ascii="宋体" w:hAnsi="宋体" w:cs="宋体"/>
          <w:kern w:val="0"/>
          <w:sz w:val="24"/>
          <w:szCs w:val="24"/>
        </w:rPr>
        <w:t>index.chinabond.com.cn</w:t>
      </w:r>
      <w:r>
        <w:rPr>
          <w:rFonts w:ascii="宋体" w:hAnsi="宋体" w:cs="宋体"/>
          <w:kern w:val="0"/>
          <w:sz w:val="24"/>
          <w:szCs w:val="24"/>
        </w:rPr>
        <w:t>。</w:t>
      </w:r>
    </w:p>
    <w:p w14:paraId="5C1D0739" w14:textId="77777777"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活期存款基准利率由中国人民银行制定并发布，具体信息详见中国人民银行网站，网址：www.pbc.gov.cn。</w:t>
      </w:r>
    </w:p>
    <w:p w14:paraId="60AAEFEB" w14:textId="77777777"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3、业绩比较基准的计算方法</w:t>
      </w:r>
    </w:p>
    <w:p w14:paraId="18C2FEE3" w14:textId="7E38D991"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本基金业绩比较基准收益率的计算方法以每日收益率为基础，以时间加权为计算原则。本基金先分别计算业绩比较基准中中证全指金融指数、中证港股通内地金融指数（港元）、中债-国债总全价（1-3年）指数、活期存款基准利率的每日收益率，再按照预设权重比例计算当日组合要素基准的日收益率，并连乘每日收益率。其中，中证港股通内地金融指数（港元）收益率采用估值汇率进行调整，由港元计价折算为人民币计价后，再纳入计算。</w:t>
      </w:r>
    </w:p>
    <w:p w14:paraId="0BB90F41" w14:textId="77777777"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4、管理投资偏离业绩比较基准的定性或定量方法</w:t>
      </w:r>
    </w:p>
    <w:p w14:paraId="558ADA59" w14:textId="77777777"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本基金管理人对基金实际投资与业绩比较基准的偏离情况进行动态跟踪与监测评估，监测指标主要包括信息比率、跟踪误差、超额收益、卡玛比率等，以更好管理基金实际投资与业绩比较基准的偏离情况，从而在控制风险的基础上追求超越业绩比较基准的投资回报。</w:t>
      </w:r>
    </w:p>
    <w:p w14:paraId="4AE768D7" w14:textId="77777777"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2AADD826" w14:textId="653823D2"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5、未来可能变更业绩比较基准的情况和程序</w:t>
      </w:r>
    </w:p>
    <w:p w14:paraId="6A49EDB0" w14:textId="075914AE"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31306882" w14:textId="77777777"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(1)原有业绩比较基准的要素无法持续运作、编制方案发生重大修订等客观因素导致业绩比较基准无法再表征基金产品投资风格，或不再符合基金合同关于</w:t>
      </w:r>
      <w:r>
        <w:rPr>
          <w:rFonts w:ascii="宋体" w:hAnsi="宋体" w:cs="宋体"/>
          <w:kern w:val="0"/>
          <w:sz w:val="24"/>
          <w:szCs w:val="24"/>
        </w:rPr>
        <w:lastRenderedPageBreak/>
        <w:t>投资目标、投资范围、投资策略、投资比例限制等的约定，或与主要的资产类别、国别或地区、市场板块、货币类型等不再匹配；或业绩比较基准的要素不再具备市场代表性；</w:t>
      </w:r>
    </w:p>
    <w:p w14:paraId="29260876" w14:textId="77777777"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(2)调整业绩比较基准的要素权重、更换相同或相近特征的要素等，使新业绩比较基准代表性更强，且符合相关法律法规规定的；</w:t>
      </w:r>
    </w:p>
    <w:p w14:paraId="331F6A6A" w14:textId="77777777"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(3)中国证监会认可的其他情形。</w:t>
      </w:r>
    </w:p>
    <w:p w14:paraId="57422C4A" w14:textId="77777777"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业绩比较基准变更涉及以下情形的，基金管理人应当按照规定履行变更注册、召开基金份额持有人大会等程序，法律法规、中国证监会另有规定的除外：</w:t>
      </w:r>
    </w:p>
    <w:p w14:paraId="20A9ED2C" w14:textId="77777777"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(1)基金投资目标、投资范围、投资策略、投资比例等拟进行重大调整，并变更业绩比较基准的；</w:t>
      </w:r>
    </w:p>
    <w:p w14:paraId="7A99AE46" w14:textId="2CA5F3FE" w:rsidR="00AE2B28" w:rsidRDefault="007046F2">
      <w:pPr>
        <w:pStyle w:val="div"/>
        <w:spacing w:line="360" w:lineRule="auto"/>
        <w:ind w:firstLine="480"/>
        <w:rPr>
          <w:rFonts w:ascii="宋体" w:hAnsi="宋体" w:cs="宋体"/>
          <w:kern w:val="0"/>
          <w:sz w:val="24"/>
          <w:szCs w:val="24"/>
        </w:rPr>
      </w:pPr>
      <w:r>
        <w:rPr>
          <w:rFonts w:ascii="宋体" w:hAnsi="宋体" w:cs="宋体"/>
          <w:kern w:val="0"/>
          <w:sz w:val="24"/>
          <w:szCs w:val="24"/>
        </w:rPr>
        <w:t>(2)其他对基金份额持有人利益产生重大实质性影响的情形。</w:t>
      </w:r>
    </w:p>
    <w:p w14:paraId="74BFA7F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六、风险收益特征</w:t>
      </w:r>
    </w:p>
    <w:p w14:paraId="779AB3C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本基金属于混合型基金，其预期的风险与收益低于股票型基金，高于债券型基金与货币市场基金。</w:t>
      </w:r>
    </w:p>
    <w:p w14:paraId="04EF8A1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本基金除了投资A股以外，还可以根据法律法规规定投资港股通标的股票，将面临港股通机制下因投资环境、投资标的、市场制度以及交易规则等差异带来的特有风险。</w:t>
      </w:r>
    </w:p>
    <w:p w14:paraId="7490B7F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七、基金管理人代表基金行使股东或债权人权利的处理原则及方法</w:t>
      </w:r>
    </w:p>
    <w:p w14:paraId="6EEE805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1、基金管理人按照国家有关规定代表基金独立行使股东或债权人权利，保护基金份额持有人的利益；</w:t>
      </w:r>
    </w:p>
    <w:p w14:paraId="4EBF063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2、不谋求对上市公司的控股；</w:t>
      </w:r>
    </w:p>
    <w:p w14:paraId="115D4545"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3、有利于基金财产的安全与增值；</w:t>
      </w:r>
    </w:p>
    <w:p w14:paraId="423715C6"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4、不通过关联交易为自身、雇员、授权代理人或任何存在利害关系的第三人牟取任何不当利益。</w:t>
      </w:r>
    </w:p>
    <w:p w14:paraId="564B1F20"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八、侧袋机制的实施和投资运作安排</w:t>
      </w:r>
    </w:p>
    <w:p w14:paraId="1AF5F26F" w14:textId="737EBDD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r w:rsidR="006B1F0E" w:rsidRPr="006B1F0E">
        <w:rPr>
          <w:rFonts w:ascii="宋体" w:hAnsi="宋体" w:cs="宋体" w:hint="eastAsia"/>
          <w:kern w:val="0"/>
          <w:sz w:val="24"/>
          <w:szCs w:val="24"/>
        </w:rPr>
        <w:t>，无需召开基金份额持有人大会审议</w:t>
      </w:r>
      <w:r>
        <w:rPr>
          <w:rFonts w:ascii="宋体" w:hAnsi="宋体" w:cs="宋体"/>
          <w:kern w:val="0"/>
          <w:sz w:val="24"/>
          <w:szCs w:val="24"/>
        </w:rPr>
        <w:t>。</w:t>
      </w:r>
    </w:p>
    <w:p w14:paraId="68623DB3"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lastRenderedPageBreak/>
        <w:t>侧袋机制实施期间，本部分约定的投资组合比例、投资策略、组合限制、业绩比较基准、风险收益特征等约定仅适用于主袋账户。</w:t>
      </w:r>
    </w:p>
    <w:p w14:paraId="1BE5F0C5"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侧袋账户的实施条件、实施程序、运作安排、投资安排、特定资产的处置变现和支付等对投资者权益有重大影响的事项详见本招募说明书“侧袋机制”章节的规定。</w:t>
      </w:r>
      <w:r>
        <w:rPr>
          <w:rFonts w:ascii="宋体" w:hAnsi="宋体" w:cs="宋体"/>
          <w:kern w:val="0"/>
          <w:sz w:val="24"/>
          <w:szCs w:val="24"/>
        </w:rPr>
        <w:br w:type="page"/>
      </w:r>
    </w:p>
    <w:p w14:paraId="5F5268E4" w14:textId="1D2D73BF" w:rsidR="009D63C8" w:rsidRDefault="00B67EDE" w:rsidP="009E26D0">
      <w:pPr>
        <w:pStyle w:val="1"/>
        <w:spacing w:before="0" w:after="0"/>
        <w:jc w:val="center"/>
        <w:rPr>
          <w:rFonts w:ascii="Times New Roman"/>
          <w:color w:val="auto"/>
          <w:sz w:val="30"/>
        </w:rPr>
      </w:pPr>
      <w:bookmarkStart w:id="42" w:name="_Toc256000009"/>
      <w:bookmarkEnd w:id="41"/>
      <w:r w:rsidRPr="009E26D0">
        <w:rPr>
          <w:rFonts w:ascii="Times New Roman"/>
          <w:noProof/>
          <w:color w:val="auto"/>
          <w:sz w:val="30"/>
        </w:rPr>
        <w:lastRenderedPageBreak/>
        <w:t>第十部分</w:t>
      </w:r>
      <w:r w:rsidRPr="009E26D0">
        <w:rPr>
          <w:rFonts w:ascii="Times New Roman"/>
          <w:noProof/>
          <w:color w:val="auto"/>
          <w:sz w:val="30"/>
        </w:rPr>
        <w:t xml:space="preserve">  </w:t>
      </w:r>
      <w:r w:rsidRPr="009E26D0">
        <w:rPr>
          <w:rFonts w:ascii="Times New Roman"/>
          <w:noProof/>
          <w:color w:val="auto"/>
          <w:sz w:val="30"/>
        </w:rPr>
        <w:t>基金的财产</w:t>
      </w:r>
      <w:bookmarkEnd w:id="42"/>
    </w:p>
    <w:p w14:paraId="778EDCEC" w14:textId="77777777" w:rsidR="007A2B34" w:rsidRPr="0017353E" w:rsidRDefault="007A2B34" w:rsidP="0090469D"/>
    <w:p w14:paraId="3EBE51BB" w14:textId="77777777" w:rsidR="00AE2B28" w:rsidRDefault="00B67EDE">
      <w:pPr>
        <w:pStyle w:val="div"/>
        <w:spacing w:line="360" w:lineRule="auto"/>
        <w:ind w:firstLine="480"/>
        <w:jc w:val="left"/>
        <w:rPr>
          <w:rFonts w:ascii="宋体" w:hAnsi="宋体" w:cs="宋体"/>
          <w:kern w:val="0"/>
          <w:sz w:val="24"/>
          <w:szCs w:val="24"/>
        </w:rPr>
      </w:pPr>
      <w:bookmarkStart w:id="43" w:name="_Hlk212215287"/>
      <w:r>
        <w:rPr>
          <w:rFonts w:ascii="宋体" w:hAnsi="宋体" w:cs="宋体"/>
          <w:kern w:val="0"/>
          <w:sz w:val="24"/>
          <w:szCs w:val="24"/>
        </w:rPr>
        <w:t>一、基金资产总值</w:t>
      </w:r>
    </w:p>
    <w:p w14:paraId="2652407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基金资产总值是指购买的各类有价证券及票据价值、银行存款本息和基金应收的申购基金款以及其他投资所形成的价值总和。</w:t>
      </w:r>
    </w:p>
    <w:p w14:paraId="3C80AED0"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二、基金资产净值</w:t>
      </w:r>
    </w:p>
    <w:p w14:paraId="2FBF2C4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基金资产净值是指基金资产总值减去基金负债后的价值。</w:t>
      </w:r>
    </w:p>
    <w:p w14:paraId="54120A36"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三、基金财产的账户</w:t>
      </w:r>
    </w:p>
    <w:p w14:paraId="531EADD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5AFF93A7"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四、基金财产的保管和处分</w:t>
      </w:r>
    </w:p>
    <w:p w14:paraId="19D04E4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756CC42" w14:textId="7991F2B6"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bookmarkEnd w:id="43"/>
      <w:r>
        <w:rPr>
          <w:rFonts w:ascii="宋体" w:hAnsi="宋体" w:cs="宋体"/>
          <w:kern w:val="0"/>
          <w:sz w:val="24"/>
          <w:szCs w:val="24"/>
        </w:rPr>
        <w:br w:type="page"/>
      </w:r>
    </w:p>
    <w:p w14:paraId="07E6E61C" w14:textId="77777777" w:rsidR="009D63C8" w:rsidRDefault="00B67EDE" w:rsidP="009E26D0">
      <w:pPr>
        <w:pStyle w:val="1"/>
        <w:spacing w:before="0" w:after="0"/>
        <w:jc w:val="center"/>
        <w:rPr>
          <w:rFonts w:ascii="Times New Roman"/>
          <w:color w:val="auto"/>
          <w:sz w:val="30"/>
        </w:rPr>
      </w:pPr>
      <w:bookmarkStart w:id="44" w:name="_Toc256000010"/>
      <w:r w:rsidRPr="009E26D0">
        <w:rPr>
          <w:rFonts w:ascii="Times New Roman"/>
          <w:noProof/>
          <w:color w:val="auto"/>
          <w:sz w:val="30"/>
        </w:rPr>
        <w:lastRenderedPageBreak/>
        <w:t>第十一部分</w:t>
      </w:r>
      <w:r w:rsidRPr="009E26D0">
        <w:rPr>
          <w:rFonts w:ascii="Times New Roman"/>
          <w:noProof/>
          <w:color w:val="auto"/>
          <w:sz w:val="30"/>
        </w:rPr>
        <w:t xml:space="preserve">  </w:t>
      </w:r>
      <w:r w:rsidRPr="009E26D0">
        <w:rPr>
          <w:rFonts w:ascii="Times New Roman"/>
          <w:noProof/>
          <w:color w:val="auto"/>
          <w:sz w:val="30"/>
        </w:rPr>
        <w:t>基金资产估值</w:t>
      </w:r>
      <w:bookmarkEnd w:id="44"/>
    </w:p>
    <w:p w14:paraId="40166363" w14:textId="77777777" w:rsidR="007A2B34" w:rsidRPr="0017353E" w:rsidRDefault="007A2B34" w:rsidP="0090469D"/>
    <w:p w14:paraId="35EFB50B" w14:textId="77777777" w:rsidR="00AE2B28" w:rsidRDefault="00B67EDE">
      <w:pPr>
        <w:pStyle w:val="div"/>
        <w:spacing w:line="360" w:lineRule="auto"/>
        <w:ind w:firstLine="480"/>
        <w:jc w:val="left"/>
        <w:rPr>
          <w:rFonts w:ascii="宋体" w:hAnsi="宋体" w:cs="宋体"/>
          <w:kern w:val="0"/>
          <w:sz w:val="24"/>
          <w:szCs w:val="24"/>
        </w:rPr>
      </w:pPr>
      <w:bookmarkStart w:id="45" w:name="_Hlk212215310"/>
      <w:r>
        <w:rPr>
          <w:rFonts w:ascii="宋体" w:hAnsi="宋体" w:cs="宋体"/>
          <w:kern w:val="0"/>
          <w:sz w:val="24"/>
          <w:szCs w:val="24"/>
        </w:rPr>
        <w:t>一、估值日</w:t>
      </w:r>
    </w:p>
    <w:p w14:paraId="480125F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本基金的估值日为本基金相关的证券交易场所的交易日以及国家法律法规规定需要对外披露基金净值的非交易日。</w:t>
      </w:r>
    </w:p>
    <w:p w14:paraId="6F1931D7"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二、估值对象</w:t>
      </w:r>
    </w:p>
    <w:p w14:paraId="3499F426"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基金所拥有的股票、债券、资产支持证券、股指期货合约、国债期货合约、股票期权合约、信用衍生品和银行存款本息、应收款项、其它投资等资产及负债。</w:t>
      </w:r>
    </w:p>
    <w:p w14:paraId="11383724"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三、估值原则</w:t>
      </w:r>
    </w:p>
    <w:p w14:paraId="34A811A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基金管理人在确定相关金融资产和金融负债的公允价值时，应符合《企业会计准则》、监管部门有关规定。</w:t>
      </w:r>
    </w:p>
    <w:p w14:paraId="2EBB237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C4D661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052B84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0755F6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（三）如经济环境发生重大变化或证券发行人发生影响证券价格的重大事件，使潜在估值调整对前一估值日的基金资产净值的影响在0.25%以上的，应对估值</w:t>
      </w:r>
      <w:r>
        <w:rPr>
          <w:rFonts w:ascii="宋体" w:hAnsi="宋体" w:cs="宋体"/>
          <w:kern w:val="0"/>
          <w:sz w:val="24"/>
          <w:szCs w:val="24"/>
        </w:rPr>
        <w:lastRenderedPageBreak/>
        <w:t>进行调整并确定公允价值。</w:t>
      </w:r>
    </w:p>
    <w:p w14:paraId="51D9CECE"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四、估值方法</w:t>
      </w:r>
    </w:p>
    <w:p w14:paraId="2BDF8D4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1、证券交易所上市的有价证券的估值</w:t>
      </w:r>
    </w:p>
    <w:p w14:paraId="3A3AB6F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98A6FC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EEF392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（3）交易所上市不存在活跃市场的有价证券，采用估值技术确定公允价值。</w:t>
      </w:r>
    </w:p>
    <w:p w14:paraId="4A6F690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2、处于未上市期间的有价证券应区分如下情况处理：</w:t>
      </w:r>
    </w:p>
    <w:p w14:paraId="2F1BFFD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14:paraId="6031AE1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（2）首次公开发行未上市的股票，采用估值技术确定公允价值，在估值技术难以可靠计量公允价值的情况下，按成本估值；</w:t>
      </w:r>
    </w:p>
    <w:p w14:paraId="6CF0BF4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AE6406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3、以公允价值计量的固定收益品种</w:t>
      </w:r>
    </w:p>
    <w:p w14:paraId="1E42CD1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（1）对于已上市或已挂牌转让的不含权固定收益品种，选取第三方估值基准服务机构提供的相应品种当日的估值全价；</w:t>
      </w:r>
    </w:p>
    <w:p w14:paraId="03C30BC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（2）对于已上市或已挂牌转让的含权固定收益品种，选取第三方估值基准服务机构提供的相应品种当日的唯一估值全价或推荐估值全价；</w:t>
      </w:r>
    </w:p>
    <w:p w14:paraId="6CA7A70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w:t>
      </w:r>
      <w:r>
        <w:rPr>
          <w:rFonts w:ascii="宋体" w:hAnsi="宋体" w:cs="宋体"/>
          <w:kern w:val="0"/>
          <w:sz w:val="24"/>
          <w:szCs w:val="24"/>
        </w:rPr>
        <w:lastRenderedPageBreak/>
        <w:t>价或推荐估值全价，同时应充分考虑发行人的信用风险变化对公允价值的影响。回售登记期截止日（含当日）后未行使回售权的按照长待偿期所对应的价格进行估值；</w:t>
      </w:r>
    </w:p>
    <w:p w14:paraId="76BEF02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（4）对于未上市或未挂牌转让且不存在活跃市场的固定收益品种，应采用在当前情况下适用并且有足够可利用数据和其他信息支持的估值技术确定其公允价值。</w:t>
      </w:r>
    </w:p>
    <w:p w14:paraId="160F44A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2C9C80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5、同一证券同时在两个或两个以上市场交易的，按证券所处的市场分别估值。</w:t>
      </w:r>
    </w:p>
    <w:p w14:paraId="720CB7E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14:paraId="6CF8B5B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7、本基金投资股票期权合约，一般以股票期权估值日的结算价进行估值，估值当日无结算价的，且最近交易日后经济环境未发生重大变化的，采用最近交易日结算价估值。</w:t>
      </w:r>
    </w:p>
    <w:p w14:paraId="1C603DB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8、本基金投资国债期货合约，一般以国债期货估值日的结算价进行估值，估值当日无结算价的，且最近交易日后经济环境未发生重大变化的，采用最近交易日结算价估值。</w:t>
      </w:r>
    </w:p>
    <w:p w14:paraId="332C88A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9、估值计算中涉及港币或其他外币币种对人民币汇率的，将依据下列信息提供机构所提供的汇率为基准：当日中国人民银行或其授权机构公布的人民币汇率的中间价，或其他可以反映公允价值的汇率进行估值。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4E8302C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w:t>
      </w:r>
      <w:r>
        <w:rPr>
          <w:rFonts w:ascii="宋体" w:hAnsi="宋体" w:cs="宋体"/>
          <w:kern w:val="0"/>
          <w:sz w:val="24"/>
          <w:szCs w:val="24"/>
        </w:rPr>
        <w:lastRenderedPageBreak/>
        <w:t>值调整。</w:t>
      </w:r>
    </w:p>
    <w:p w14:paraId="130D4D4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10、信用衍生品按第三方估值机构提供的当日的估值价格进行估值，但基金管理人依法应当承担的估值责任不因委托而免除；选定的第三方估值机构未提供估值价格的，依照有关法律法规及《企业会计准则》要求采用合理估值技术确定公允价值。</w:t>
      </w:r>
    </w:p>
    <w:p w14:paraId="005B5CB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11、本基金投资存托凭证的估值核算，依照境内上市交易的股票进行。</w:t>
      </w:r>
    </w:p>
    <w:p w14:paraId="4C01895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12、如有确凿证据表明按上述方法进行估值不能客观反映其公允价值的，基金管理人可根据具体情况与基金托管人商定后，按最能反映公允价值的价格估值。</w:t>
      </w:r>
    </w:p>
    <w:p w14:paraId="71FF924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13、当发生大额申购或赎回情形时，基金管理人可以采用摆动定价机制，以确保基金估值的公平性。</w:t>
      </w:r>
    </w:p>
    <w:p w14:paraId="749C49D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14、相关法律法规以及监管部门有强制规定的，从其规定。如有新增事项，按国家最新规定估值。</w:t>
      </w:r>
    </w:p>
    <w:p w14:paraId="2AC9D46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1BE5A99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54A8C918"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五、估值程序</w:t>
      </w:r>
    </w:p>
    <w:p w14:paraId="6A378E7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各类基金份额净值是按照每个估值日闭市后，各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p>
    <w:p w14:paraId="7062130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基金管理人每个估值日计算基金资产净值及各类基金份额净值，并按规定公告。</w:t>
      </w:r>
    </w:p>
    <w:p w14:paraId="7D8191B1" w14:textId="524F6AB9"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2、基</w:t>
      </w:r>
      <w:r w:rsidR="00C1095B">
        <w:rPr>
          <w:rFonts w:ascii="宋体" w:hAnsi="宋体" w:cs="宋体"/>
          <w:kern w:val="0"/>
          <w:sz w:val="24"/>
          <w:szCs w:val="24"/>
        </w:rPr>
        <w:t>金管理人应每个估值日对基金资产估值。但基金管理人根据法律法规或</w:t>
      </w:r>
      <w:r>
        <w:rPr>
          <w:rFonts w:ascii="宋体" w:hAnsi="宋体" w:cs="宋体"/>
          <w:kern w:val="0"/>
          <w:sz w:val="24"/>
          <w:szCs w:val="24"/>
        </w:rPr>
        <w:t>基金合同的规定暂停估值时除外。基金管理人每个估值日对基金资产估值后，将各类基金份额净值结果发送基金托管人，经基金托管人复核无误后，由基金管</w:t>
      </w:r>
      <w:r>
        <w:rPr>
          <w:rFonts w:ascii="宋体" w:hAnsi="宋体" w:cs="宋体"/>
          <w:kern w:val="0"/>
          <w:sz w:val="24"/>
          <w:szCs w:val="24"/>
        </w:rPr>
        <w:lastRenderedPageBreak/>
        <w:t>理人按约定对外公布。</w:t>
      </w:r>
    </w:p>
    <w:p w14:paraId="6EBF278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六、估值错误的处理</w:t>
      </w:r>
    </w:p>
    <w:p w14:paraId="365BC24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基金管理人和基金托管人将采取必要、适当、合理的措施确保基金资产估值的准确性、及时性。当某类基金份额净值小数点后4位以内(含第4位)发生估值错误时，视为该类基金份额净值错误。</w:t>
      </w:r>
    </w:p>
    <w:p w14:paraId="7939EB98" w14:textId="4BBE2694"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基金合同的当事人应按照以下约定处理：</w:t>
      </w:r>
    </w:p>
    <w:p w14:paraId="3E102E70"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1、估值错误类型</w:t>
      </w:r>
    </w:p>
    <w:p w14:paraId="0DD2613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5AE875B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上述估值错误的主要类型包括但不限于：资料申报差错、数据传输差错、数据计算差错、系统故障差错、下达指令差错等。</w:t>
      </w:r>
    </w:p>
    <w:p w14:paraId="22F8B530"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2、估值错误处理原则</w:t>
      </w:r>
    </w:p>
    <w:p w14:paraId="3A4BC5C2"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7EE7CB8"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（2）估值错误的责任方对有关当事人的直接损失负责，不对间接损失负责，并且仅对估值错误的有关直接当事人负责，不对第三方负责。</w:t>
      </w:r>
    </w:p>
    <w:p w14:paraId="63335F2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w:t>
      </w:r>
      <w:r>
        <w:rPr>
          <w:rFonts w:ascii="宋体" w:hAnsi="宋体" w:cs="宋体"/>
          <w:kern w:val="0"/>
          <w:sz w:val="24"/>
          <w:szCs w:val="24"/>
        </w:rPr>
        <w:lastRenderedPageBreak/>
        <w:t>获得的不当得利返还的总和超过其实际损失的差额部分支付给估值错误责任方。</w:t>
      </w:r>
    </w:p>
    <w:p w14:paraId="44D56F5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（4）估值错误调整采用尽量恢复至假设未发生估值错误的正确情形的方式。</w:t>
      </w:r>
    </w:p>
    <w:p w14:paraId="4B1D748F"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3、估值错误处理程序</w:t>
      </w:r>
    </w:p>
    <w:p w14:paraId="440D79E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估值错误被发现后，有关的当事人应当及时进行处理，处理的程序如下：</w:t>
      </w:r>
    </w:p>
    <w:p w14:paraId="54095DBE"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（1）查明估值错误发生的原因，列明所有的当事人，并根据估值错误发生的原因确定估值错误的责任方；</w:t>
      </w:r>
    </w:p>
    <w:p w14:paraId="065E13ED"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（2）根据估值错误处理原则或当事人协商的方法对因估值错误造成的损失进行评估；</w:t>
      </w:r>
    </w:p>
    <w:p w14:paraId="622F0CAA"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（3）根据估值错误处理原则或当事人协商的方法由估值错误的责任方进行更正和赔偿损失；</w:t>
      </w:r>
    </w:p>
    <w:p w14:paraId="4205BDFC"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（4）根据估值错误处理的方法，需要修改基金登记机构交易数据的，由基金登记机构进行更正，并就估值错误的更正向有关当事人进行确认。</w:t>
      </w:r>
    </w:p>
    <w:p w14:paraId="7156396C"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4、基金份额净值估值错误处理的方法如下：</w:t>
      </w:r>
    </w:p>
    <w:p w14:paraId="13E5CC0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（1）某类基金份额净值计算出现错误时，基金管理人应当立即予以纠正，通报基金托管人，并采取合理的措施防止损失进一步扩大。</w:t>
      </w:r>
    </w:p>
    <w:p w14:paraId="71D0589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（2）错误偏差达到该类基金份额净值的0.25%时，基金管理人应当通报基金托管人并报中国证监会备案；错误偏差达到该类基金份额净值的0.5%时，基金管理人应当公告，并报中国证监会备案。</w:t>
      </w:r>
    </w:p>
    <w:p w14:paraId="60E3A053"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（3）前述内容如法律法规或监管机构另有规定的，从其规定处理。如果行业另有通行做法，基金管理人和基金托管人应本着平等和保护基金份额持有人利益的原则进行协商。</w:t>
      </w:r>
    </w:p>
    <w:p w14:paraId="178A7994"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七、暂停估值的情形</w:t>
      </w:r>
    </w:p>
    <w:p w14:paraId="3666EC0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1、基金投资所涉及的证券/期货交易市场遇法定节假日或因其他原因暂停营业时；</w:t>
      </w:r>
    </w:p>
    <w:p w14:paraId="257A5490"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2、因不可抗力或其他情形致使基金管理人、基金托管人无法准确评估基金资产价值时；</w:t>
      </w:r>
    </w:p>
    <w:p w14:paraId="610AE7BC"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3、当特定资产占前一估值日基金资产净值50%以上的，经与基金托管人协商确认后，基金管理人应当暂停估值；</w:t>
      </w:r>
    </w:p>
    <w:p w14:paraId="7A6905D0"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4、法律法规规定、中国证监会和基金合同认定的其它情形。</w:t>
      </w:r>
    </w:p>
    <w:p w14:paraId="2A10F9B2"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八、基金净值的确认</w:t>
      </w:r>
    </w:p>
    <w:p w14:paraId="6847E25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用于基金信息披露的基金资产净值和各类基金份额净值由基金管理人负责计算，基金托管人负责进行复核。基金管理人应于每个估值日交易结束后计算当日的基金资产净值和各类基金份额净值并发送给基金托管人。基金托管人对净值计算结果复核确认后发送给基金管理人，由基金管理人对基金净值按约定予以公布。</w:t>
      </w:r>
    </w:p>
    <w:p w14:paraId="28C280FE" w14:textId="5FEDB9B6"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本基金在每个估值日计算基金资产净值及各类基金份额净值时，将统一按前一日基金资产净值的1.20%</w:t>
      </w:r>
      <w:r w:rsidR="00C1095B">
        <w:rPr>
          <w:rFonts w:ascii="宋体" w:hAnsi="宋体" w:cs="宋体"/>
          <w:kern w:val="0"/>
          <w:sz w:val="24"/>
          <w:szCs w:val="24"/>
        </w:rPr>
        <w:t>的年费率计算管理费，投资者实际承担的管理费将依据</w:t>
      </w:r>
      <w:r>
        <w:rPr>
          <w:rFonts w:ascii="宋体" w:hAnsi="宋体" w:cs="宋体"/>
          <w:kern w:val="0"/>
          <w:sz w:val="24"/>
          <w:szCs w:val="24"/>
        </w:rPr>
        <w:t>基金合同“第十五部分 基金费用与税收”的约定计算和收取。</w:t>
      </w:r>
    </w:p>
    <w:p w14:paraId="48DB46E5"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九、实施侧袋机制期间的基金资产估值</w:t>
      </w:r>
    </w:p>
    <w:p w14:paraId="1F3BA8F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本基金实施侧袋机制的，应根据本部分的约定对主袋账户资产进行估值并披露主袋账户的基金净值信息，暂停披露侧袋账户份额净值。</w:t>
      </w:r>
    </w:p>
    <w:p w14:paraId="4ECEDE08"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十、特殊情形的处理</w:t>
      </w:r>
    </w:p>
    <w:p w14:paraId="7128B6DD"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1、基金管理人、基金托管人按本部分有关估值方法约定的第12项进行估值时，所造成的误差不作为基金资产估值错误处理。</w:t>
      </w:r>
    </w:p>
    <w:p w14:paraId="41FC33F2" w14:textId="0089EA41"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由于证券/期货交易所、登记结算公司等第三方机构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bookmarkEnd w:id="45"/>
      <w:r>
        <w:rPr>
          <w:rFonts w:ascii="宋体" w:hAnsi="宋体" w:cs="宋体"/>
          <w:kern w:val="0"/>
          <w:sz w:val="24"/>
          <w:szCs w:val="24"/>
        </w:rPr>
        <w:br w:type="page"/>
      </w:r>
    </w:p>
    <w:p w14:paraId="0361A7E7" w14:textId="77777777" w:rsidR="009D63C8" w:rsidRDefault="00B67EDE" w:rsidP="009E26D0">
      <w:pPr>
        <w:pStyle w:val="1"/>
        <w:spacing w:before="0" w:after="0"/>
        <w:jc w:val="center"/>
        <w:rPr>
          <w:rFonts w:ascii="Times New Roman"/>
          <w:color w:val="auto"/>
          <w:sz w:val="30"/>
        </w:rPr>
      </w:pPr>
      <w:bookmarkStart w:id="46" w:name="_Toc256000011"/>
      <w:r w:rsidRPr="009E26D0">
        <w:rPr>
          <w:rFonts w:ascii="Times New Roman"/>
          <w:noProof/>
          <w:color w:val="auto"/>
          <w:sz w:val="30"/>
        </w:rPr>
        <w:lastRenderedPageBreak/>
        <w:t>第十二部分</w:t>
      </w:r>
      <w:r w:rsidRPr="009E26D0">
        <w:rPr>
          <w:rFonts w:ascii="Times New Roman"/>
          <w:noProof/>
          <w:color w:val="auto"/>
          <w:sz w:val="30"/>
        </w:rPr>
        <w:t xml:space="preserve">  </w:t>
      </w:r>
      <w:r w:rsidRPr="009E26D0">
        <w:rPr>
          <w:rFonts w:ascii="Times New Roman"/>
          <w:noProof/>
          <w:color w:val="auto"/>
          <w:sz w:val="30"/>
        </w:rPr>
        <w:t>基金的收益与分配</w:t>
      </w:r>
      <w:bookmarkEnd w:id="46"/>
    </w:p>
    <w:p w14:paraId="54730C5A" w14:textId="77777777" w:rsidR="007A2B34" w:rsidRPr="0017353E" w:rsidRDefault="007A2B34" w:rsidP="0090469D"/>
    <w:p w14:paraId="5CADC4D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一、基金利润的构成</w:t>
      </w:r>
    </w:p>
    <w:p w14:paraId="116463E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14:paraId="5358CCC3"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二、基金可供分配利润</w:t>
      </w:r>
    </w:p>
    <w:p w14:paraId="10B431C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基金可供分配利润指截至收益分配基准日基金未分配利润与未分配利润中已实现收益的孰低数。</w:t>
      </w:r>
    </w:p>
    <w:p w14:paraId="6BE5759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三、基金收益分配原则</w:t>
      </w:r>
    </w:p>
    <w:p w14:paraId="5CDC9F0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1、在符合有关基金分红条件的前提下，基金管理人可以根据实际情况进行收益分配，具体分配方案以公告为准，若《基金合同》生效不满3个月可不进行收益分配；</w:t>
      </w:r>
    </w:p>
    <w:p w14:paraId="16CCED7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2、本基金收益分配仅有现金分红一种方式；</w:t>
      </w:r>
    </w:p>
    <w:p w14:paraId="4EBEAA9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3、基金收益分配后各类基金份额净值不能低于面值，即基金收益分配基准日的各类基金份额净值减去每单位该类基金份额收益分配金额后不能低于面值；</w:t>
      </w:r>
    </w:p>
    <w:p w14:paraId="03A47F0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4、同一类别内的每一基金份额享有同等分配权；</w:t>
      </w:r>
    </w:p>
    <w:p w14:paraId="58AA5DF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5、法律法规或监管机构另有规定的，从其规定。</w:t>
      </w:r>
    </w:p>
    <w:p w14:paraId="1AE41444" w14:textId="2563A851"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在遵守法律法规和监管部门的规定，且在对基金份额持有人利益无实质性不利影响的前提下，基金管理人履行适当程序后，可对基金收益分配原则进行调整。</w:t>
      </w:r>
    </w:p>
    <w:p w14:paraId="3AEA436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四、收益分配方案</w:t>
      </w:r>
    </w:p>
    <w:p w14:paraId="4827AF7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基金收益分配方案中应载明截至收益分配基准日的可供分配利润、基金收益分配对象、分配时间、分配数额及比例、分配方式等内容。</w:t>
      </w:r>
    </w:p>
    <w:p w14:paraId="3582354D"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五、收益分配方案的确定、公告与实施</w:t>
      </w:r>
    </w:p>
    <w:p w14:paraId="5F43AE1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本基金收益分配方案由基金管理人拟定，并由基金托管人复核，在2日内在规定媒介公告。</w:t>
      </w:r>
    </w:p>
    <w:p w14:paraId="427B0133"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六、基金收益分配中发生的费用</w:t>
      </w:r>
    </w:p>
    <w:p w14:paraId="03E9CEA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基金收益分配时所发生的银行转账或其他手续费用由投资者自行承担。</w:t>
      </w:r>
    </w:p>
    <w:p w14:paraId="3BA8CCCE"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七、实施侧袋机制期间的收益分配</w:t>
      </w:r>
    </w:p>
    <w:p w14:paraId="55C5DE44"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本基金实施侧袋机制的，侧袋账户不进行收益分配，详见本招募说明书“侧</w:t>
      </w:r>
      <w:r>
        <w:rPr>
          <w:rFonts w:ascii="宋体" w:hAnsi="宋体" w:cs="宋体"/>
          <w:kern w:val="0"/>
          <w:sz w:val="24"/>
          <w:szCs w:val="24"/>
        </w:rPr>
        <w:lastRenderedPageBreak/>
        <w:t>袋机制”章节的规定。</w:t>
      </w:r>
      <w:r>
        <w:rPr>
          <w:rFonts w:ascii="宋体" w:hAnsi="宋体" w:cs="宋体"/>
          <w:kern w:val="0"/>
          <w:sz w:val="24"/>
          <w:szCs w:val="24"/>
        </w:rPr>
        <w:br w:type="page"/>
      </w:r>
    </w:p>
    <w:p w14:paraId="22ECB1F8" w14:textId="77777777" w:rsidR="009D63C8" w:rsidRDefault="00B67EDE" w:rsidP="009E26D0">
      <w:pPr>
        <w:pStyle w:val="1"/>
        <w:spacing w:before="0" w:after="0"/>
        <w:jc w:val="center"/>
        <w:rPr>
          <w:rFonts w:ascii="Times New Roman"/>
          <w:color w:val="auto"/>
          <w:sz w:val="30"/>
        </w:rPr>
      </w:pPr>
      <w:bookmarkStart w:id="47" w:name="_Toc256000012"/>
      <w:r w:rsidRPr="009E26D0">
        <w:rPr>
          <w:rFonts w:ascii="Times New Roman"/>
          <w:noProof/>
          <w:color w:val="auto"/>
          <w:sz w:val="30"/>
        </w:rPr>
        <w:lastRenderedPageBreak/>
        <w:t>第十三部分</w:t>
      </w:r>
      <w:r w:rsidRPr="009E26D0">
        <w:rPr>
          <w:rFonts w:ascii="Times New Roman"/>
          <w:noProof/>
          <w:color w:val="auto"/>
          <w:sz w:val="30"/>
        </w:rPr>
        <w:t xml:space="preserve">  </w:t>
      </w:r>
      <w:r w:rsidRPr="009E26D0">
        <w:rPr>
          <w:rFonts w:ascii="Times New Roman"/>
          <w:noProof/>
          <w:color w:val="auto"/>
          <w:sz w:val="30"/>
        </w:rPr>
        <w:t>基金费用与税收</w:t>
      </w:r>
      <w:bookmarkEnd w:id="47"/>
    </w:p>
    <w:p w14:paraId="6D7433B5" w14:textId="77777777" w:rsidR="007A2B34" w:rsidRPr="0017353E" w:rsidRDefault="007A2B34" w:rsidP="0090469D"/>
    <w:p w14:paraId="1DF0A4F0" w14:textId="77777777" w:rsidR="00AE2B28" w:rsidRDefault="00B67EDE">
      <w:pPr>
        <w:pStyle w:val="div"/>
        <w:spacing w:line="360" w:lineRule="auto"/>
        <w:ind w:firstLine="480"/>
        <w:jc w:val="left"/>
        <w:rPr>
          <w:rFonts w:ascii="宋体" w:hAnsi="宋体" w:cs="宋体"/>
          <w:kern w:val="0"/>
          <w:sz w:val="24"/>
          <w:szCs w:val="24"/>
        </w:rPr>
      </w:pPr>
      <w:bookmarkStart w:id="48" w:name="_Hlk212215352"/>
      <w:r>
        <w:rPr>
          <w:rFonts w:ascii="宋体" w:hAnsi="宋体" w:cs="宋体"/>
          <w:kern w:val="0"/>
          <w:sz w:val="24"/>
          <w:szCs w:val="24"/>
        </w:rPr>
        <w:t>一、基金费用的种类</w:t>
      </w:r>
    </w:p>
    <w:p w14:paraId="33F43A2B"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1、基金管理人的管理费（包括固定管理费、或有管理费和超额管理费）；</w:t>
      </w:r>
    </w:p>
    <w:p w14:paraId="3B68593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2、基金托管人的托管费；</w:t>
      </w:r>
    </w:p>
    <w:p w14:paraId="2D3270E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3、销售服务费；</w:t>
      </w:r>
    </w:p>
    <w:p w14:paraId="032278C2"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4、《基金合同》生效后与基金相关的信息披露费用（但法律法规、中国证监会另有规定的除外）；</w:t>
      </w:r>
    </w:p>
    <w:p w14:paraId="5C7F6359"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5、《基金合同》生效后与基金相关的会计师费、律师费、仲裁费和诉讼费；</w:t>
      </w:r>
    </w:p>
    <w:p w14:paraId="1E13220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6、基金份额持有人大会费用；</w:t>
      </w:r>
    </w:p>
    <w:p w14:paraId="5F0C549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7、基金的证券、期货等交易费用；</w:t>
      </w:r>
    </w:p>
    <w:p w14:paraId="7715B842"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8、基金的银行汇划费用；</w:t>
      </w:r>
    </w:p>
    <w:p w14:paraId="174ABDE8"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9、基金的账户开户费用、账户维护费用；</w:t>
      </w:r>
    </w:p>
    <w:p w14:paraId="29641F8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10、因投资港股通标的股票而产生的各项合理费用；</w:t>
      </w:r>
    </w:p>
    <w:p w14:paraId="011B8639"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11、按照国家有关规定和《基金合同》约定，可以在基金财产中列支的其他费用。</w:t>
      </w:r>
    </w:p>
    <w:p w14:paraId="17F8E0F2"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二、基金费用计提方法、计提标准和支付方式</w:t>
      </w:r>
    </w:p>
    <w:p w14:paraId="41DA6C2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1、基金管理人的管理费</w:t>
      </w:r>
    </w:p>
    <w:p w14:paraId="7373B0A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根据每笔基金份额的持有期限与持有期间年化收益率，在赎回（或转出，下同）基金份额或基金合同终止的情形发生时确定该笔基金份额对应的管理费。当投资者赎回基金份额或基金合同终止的情形发生时，持有期限不足一年（即365天，下同），则按1.20%年费率收取管理费；持有期限达到一年及以上，则根据持有期间年化收益率分为以下三种情况，分别确定对应的管理费率档位：</w:t>
      </w:r>
    </w:p>
    <w:p w14:paraId="384DCE4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若持有期间相对业绩比较基准的年化超额收益率（扣除超额管理费后）超过6%且持有收益率（扣除超额管理费后）为正，按1.50%年费率确认管理费；若持有期间的年化超额收益率在-3%及以下，按0.60%年费率确认管理费；其他情形按1.20%年费率确认管理费。</w:t>
      </w:r>
    </w:p>
    <w:tbl>
      <w:tblPr>
        <w:tblStyle w:val="tableTable"/>
        <w:tblW w:w="6653"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823"/>
        <w:gridCol w:w="2830"/>
      </w:tblGrid>
      <w:tr w:rsidR="00AE2B28" w14:paraId="64EED0B0" w14:textId="77777777">
        <w:trPr>
          <w:trHeight w:val="510"/>
          <w:jc w:val="center"/>
        </w:trPr>
        <w:tc>
          <w:tcPr>
            <w:tcW w:w="3830" w:type="dxa"/>
            <w:tcBorders>
              <w:top w:val="single" w:sz="8"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1BEFC706" w14:textId="77777777" w:rsidR="00AE2B28" w:rsidRDefault="00B67EDE">
            <w:pPr>
              <w:pStyle w:val="div"/>
              <w:spacing w:line="276" w:lineRule="auto"/>
              <w:rPr>
                <w:rFonts w:ascii="宋体" w:hAnsi="宋体" w:cs="宋体"/>
                <w:color w:val="000000"/>
                <w:kern w:val="0"/>
                <w:sz w:val="24"/>
                <w:szCs w:val="24"/>
              </w:rPr>
            </w:pPr>
            <w:r>
              <w:rPr>
                <w:rFonts w:ascii="宋体" w:hAnsi="宋体" w:cs="宋体"/>
                <w:b/>
                <w:bCs/>
                <w:color w:val="000000"/>
                <w:kern w:val="0"/>
                <w:sz w:val="24"/>
                <w:szCs w:val="24"/>
              </w:rPr>
              <w:t>持有期间年化收益率（R）</w:t>
            </w:r>
          </w:p>
        </w:tc>
        <w:tc>
          <w:tcPr>
            <w:tcW w:w="2834" w:type="dxa"/>
            <w:tcBorders>
              <w:top w:val="single" w:sz="8"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58B2F85C" w14:textId="77777777" w:rsidR="00AE2B28" w:rsidRDefault="00B67EDE">
            <w:pPr>
              <w:pStyle w:val="div"/>
              <w:spacing w:line="276" w:lineRule="auto"/>
              <w:rPr>
                <w:rFonts w:ascii="宋体" w:hAnsi="宋体" w:cs="宋体"/>
                <w:color w:val="000000"/>
                <w:kern w:val="0"/>
                <w:sz w:val="24"/>
                <w:szCs w:val="24"/>
              </w:rPr>
            </w:pPr>
            <w:r>
              <w:rPr>
                <w:rFonts w:ascii="宋体" w:hAnsi="宋体" w:cs="宋体"/>
                <w:b/>
                <w:bCs/>
                <w:color w:val="000000"/>
                <w:kern w:val="0"/>
                <w:sz w:val="24"/>
                <w:szCs w:val="24"/>
              </w:rPr>
              <w:t>管理费率（年费率）</w:t>
            </w:r>
          </w:p>
        </w:tc>
      </w:tr>
      <w:tr w:rsidR="00AE2B28" w14:paraId="7C9DD5E6" w14:textId="77777777">
        <w:trPr>
          <w:trHeight w:val="510"/>
          <w:jc w:val="center"/>
        </w:trPr>
        <w:tc>
          <w:tcPr>
            <w:tcW w:w="3830"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38C8E606" w14:textId="77777777" w:rsidR="00AE2B28" w:rsidRDefault="00B67EDE">
            <w:pPr>
              <w:pStyle w:val="div"/>
              <w:spacing w:line="276" w:lineRule="auto"/>
              <w:rPr>
                <w:rFonts w:ascii="宋体" w:hAnsi="宋体" w:cs="宋体"/>
                <w:color w:val="000000"/>
                <w:kern w:val="0"/>
                <w:sz w:val="24"/>
                <w:szCs w:val="24"/>
              </w:rPr>
            </w:pPr>
            <w:r>
              <w:rPr>
                <w:rFonts w:ascii="宋体" w:hAnsi="宋体" w:cs="宋体"/>
                <w:color w:val="000000"/>
                <w:kern w:val="0"/>
                <w:sz w:val="24"/>
                <w:szCs w:val="24"/>
              </w:rPr>
              <w:lastRenderedPageBreak/>
              <w:t>R＞R</w:t>
            </w:r>
            <w:r>
              <w:rPr>
                <w:rFonts w:ascii="宋体" w:hAnsi="宋体" w:cs="宋体"/>
                <w:color w:val="000000"/>
                <w:spacing w:val="-2"/>
                <w:kern w:val="0"/>
                <w:sz w:val="24"/>
                <w:szCs w:val="24"/>
                <w:vertAlign w:val="subscript"/>
              </w:rPr>
              <w:t>b</w:t>
            </w:r>
            <w:r>
              <w:rPr>
                <w:rFonts w:ascii="宋体" w:hAnsi="宋体" w:cs="宋体"/>
                <w:color w:val="000000"/>
                <w:kern w:val="0"/>
                <w:sz w:val="24"/>
                <w:szCs w:val="24"/>
              </w:rPr>
              <w:t>+6%，R＞0</w:t>
            </w:r>
          </w:p>
        </w:tc>
        <w:tc>
          <w:tcPr>
            <w:tcW w:w="283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0E2D5836" w14:textId="77777777" w:rsidR="00AE2B28" w:rsidRDefault="00B67EDE">
            <w:pPr>
              <w:pStyle w:val="div"/>
              <w:spacing w:line="276" w:lineRule="auto"/>
              <w:rPr>
                <w:rFonts w:ascii="宋体" w:hAnsi="宋体" w:cs="宋体"/>
                <w:color w:val="000000"/>
                <w:kern w:val="0"/>
                <w:sz w:val="24"/>
                <w:szCs w:val="24"/>
              </w:rPr>
            </w:pPr>
            <w:r>
              <w:rPr>
                <w:rFonts w:ascii="宋体" w:hAnsi="宋体" w:cs="宋体"/>
                <w:color w:val="000000"/>
                <w:kern w:val="0"/>
                <w:sz w:val="24"/>
                <w:szCs w:val="24"/>
              </w:rPr>
              <w:t>1.50%/年</w:t>
            </w:r>
          </w:p>
        </w:tc>
      </w:tr>
      <w:tr w:rsidR="00AE2B28" w14:paraId="2E4A4DD6" w14:textId="77777777">
        <w:trPr>
          <w:trHeight w:val="510"/>
          <w:jc w:val="center"/>
        </w:trPr>
        <w:tc>
          <w:tcPr>
            <w:tcW w:w="3830"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4E23C0EE" w14:textId="77777777" w:rsidR="00AE2B28" w:rsidRDefault="00B67EDE">
            <w:pPr>
              <w:pStyle w:val="div"/>
              <w:spacing w:line="276" w:lineRule="auto"/>
              <w:rPr>
                <w:rFonts w:ascii="宋体" w:hAnsi="宋体" w:cs="宋体"/>
                <w:color w:val="000000"/>
                <w:kern w:val="0"/>
                <w:sz w:val="24"/>
                <w:szCs w:val="24"/>
              </w:rPr>
            </w:pPr>
            <w:r>
              <w:rPr>
                <w:rFonts w:ascii="宋体" w:hAnsi="宋体" w:cs="宋体"/>
                <w:color w:val="000000"/>
                <w:kern w:val="0"/>
                <w:sz w:val="24"/>
                <w:szCs w:val="24"/>
              </w:rPr>
              <w:t>R≤R</w:t>
            </w:r>
            <w:r>
              <w:rPr>
                <w:rFonts w:ascii="宋体" w:hAnsi="宋体" w:cs="宋体"/>
                <w:color w:val="000000"/>
                <w:spacing w:val="-2"/>
                <w:kern w:val="0"/>
                <w:sz w:val="24"/>
                <w:szCs w:val="24"/>
                <w:vertAlign w:val="subscript"/>
              </w:rPr>
              <w:t>b</w:t>
            </w:r>
            <w:r>
              <w:rPr>
                <w:rFonts w:ascii="宋体" w:hAnsi="宋体" w:cs="宋体"/>
                <w:color w:val="000000"/>
                <w:kern w:val="0"/>
                <w:sz w:val="24"/>
                <w:szCs w:val="24"/>
              </w:rPr>
              <w:t>-3%</w:t>
            </w:r>
          </w:p>
        </w:tc>
        <w:tc>
          <w:tcPr>
            <w:tcW w:w="283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4CAD4559" w14:textId="77777777" w:rsidR="00AE2B28" w:rsidRDefault="00B67EDE">
            <w:pPr>
              <w:pStyle w:val="div"/>
              <w:spacing w:line="276" w:lineRule="auto"/>
              <w:rPr>
                <w:rFonts w:ascii="宋体" w:hAnsi="宋体" w:cs="宋体"/>
                <w:color w:val="000000"/>
                <w:kern w:val="0"/>
                <w:sz w:val="24"/>
                <w:szCs w:val="24"/>
              </w:rPr>
            </w:pPr>
            <w:r>
              <w:rPr>
                <w:rFonts w:ascii="宋体" w:hAnsi="宋体" w:cs="宋体"/>
                <w:color w:val="000000"/>
                <w:kern w:val="0"/>
                <w:sz w:val="24"/>
                <w:szCs w:val="24"/>
              </w:rPr>
              <w:t>0.60%/年</w:t>
            </w:r>
          </w:p>
        </w:tc>
      </w:tr>
      <w:tr w:rsidR="00AE2B28" w14:paraId="352FD3E1" w14:textId="77777777">
        <w:trPr>
          <w:trHeight w:val="510"/>
          <w:jc w:val="center"/>
        </w:trPr>
        <w:tc>
          <w:tcPr>
            <w:tcW w:w="3830" w:type="dxa"/>
            <w:tcBorders>
              <w:top w:val="single" w:sz="6" w:space="0" w:color="000000"/>
              <w:left w:val="single" w:sz="8" w:space="0" w:color="000000"/>
              <w:bottom w:val="single" w:sz="8" w:space="0" w:color="000000"/>
              <w:right w:val="single" w:sz="6" w:space="0" w:color="000000"/>
            </w:tcBorders>
            <w:tcMar>
              <w:top w:w="0" w:type="dxa"/>
              <w:left w:w="111" w:type="dxa"/>
              <w:bottom w:w="0" w:type="dxa"/>
              <w:right w:w="108" w:type="dxa"/>
            </w:tcMar>
            <w:vAlign w:val="center"/>
            <w:hideMark/>
          </w:tcPr>
          <w:p w14:paraId="7398D0CC" w14:textId="77777777" w:rsidR="00AE2B28" w:rsidRDefault="00B67EDE">
            <w:pPr>
              <w:pStyle w:val="div"/>
              <w:spacing w:line="276" w:lineRule="auto"/>
              <w:rPr>
                <w:rFonts w:ascii="宋体" w:hAnsi="宋体" w:cs="宋体"/>
                <w:color w:val="000000"/>
                <w:kern w:val="0"/>
                <w:sz w:val="24"/>
                <w:szCs w:val="24"/>
              </w:rPr>
            </w:pPr>
            <w:r>
              <w:rPr>
                <w:rFonts w:ascii="宋体" w:hAnsi="宋体" w:cs="宋体"/>
                <w:color w:val="000000"/>
                <w:kern w:val="0"/>
                <w:sz w:val="24"/>
                <w:szCs w:val="24"/>
              </w:rPr>
              <w:t>其他情形</w:t>
            </w:r>
          </w:p>
        </w:tc>
        <w:tc>
          <w:tcPr>
            <w:tcW w:w="2834"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11" w:type="dxa"/>
            </w:tcMar>
            <w:vAlign w:val="center"/>
            <w:hideMark/>
          </w:tcPr>
          <w:p w14:paraId="488F1BF1" w14:textId="77777777" w:rsidR="00AE2B28" w:rsidRDefault="00B67EDE">
            <w:pPr>
              <w:pStyle w:val="div"/>
              <w:spacing w:line="276" w:lineRule="auto"/>
              <w:rPr>
                <w:rFonts w:ascii="宋体" w:hAnsi="宋体" w:cs="宋体"/>
                <w:color w:val="000000"/>
                <w:kern w:val="0"/>
                <w:sz w:val="24"/>
                <w:szCs w:val="24"/>
              </w:rPr>
            </w:pPr>
            <w:r>
              <w:rPr>
                <w:rFonts w:ascii="宋体" w:hAnsi="宋体" w:cs="宋体"/>
                <w:color w:val="000000"/>
                <w:kern w:val="0"/>
                <w:sz w:val="24"/>
                <w:szCs w:val="24"/>
              </w:rPr>
              <w:t>1.20%/年</w:t>
            </w:r>
          </w:p>
        </w:tc>
      </w:tr>
    </w:tbl>
    <w:p w14:paraId="06E024B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注：①R为该笔基金份额的年化收益率，R</w:t>
      </w:r>
      <w:r>
        <w:rPr>
          <w:rFonts w:ascii="宋体" w:hAnsi="宋体" w:cs="宋体"/>
          <w:kern w:val="0"/>
          <w:sz w:val="30"/>
          <w:szCs w:val="30"/>
          <w:vertAlign w:val="subscript"/>
        </w:rPr>
        <w:t>b</w:t>
      </w:r>
      <w:r>
        <w:rPr>
          <w:rFonts w:ascii="宋体" w:hAnsi="宋体" w:cs="宋体"/>
          <w:kern w:val="0"/>
          <w:sz w:val="24"/>
          <w:szCs w:val="24"/>
        </w:rPr>
        <w:t>为本基金业绩比较基准同期年化收益率。</w:t>
      </w:r>
    </w:p>
    <w:p w14:paraId="5FED99B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②特别的，当持有期限达到一年及以上，R＞R</w:t>
      </w:r>
      <w:r>
        <w:rPr>
          <w:rFonts w:ascii="宋体" w:hAnsi="宋体" w:cs="宋体"/>
          <w:kern w:val="0"/>
          <w:sz w:val="30"/>
          <w:szCs w:val="30"/>
          <w:vertAlign w:val="subscript"/>
        </w:rPr>
        <w:t>b</w:t>
      </w:r>
      <w:r>
        <w:rPr>
          <w:rFonts w:ascii="宋体" w:hAnsi="宋体" w:cs="宋体"/>
          <w:kern w:val="0"/>
          <w:sz w:val="24"/>
          <w:szCs w:val="24"/>
        </w:rPr>
        <w:t>+6%且R＞0的情形下，若拟扣除超额管理费后的年化收益率小于等于R</w:t>
      </w:r>
      <w:r>
        <w:rPr>
          <w:rFonts w:ascii="宋体" w:hAnsi="宋体" w:cs="宋体"/>
          <w:kern w:val="0"/>
          <w:sz w:val="30"/>
          <w:szCs w:val="30"/>
          <w:vertAlign w:val="subscript"/>
        </w:rPr>
        <w:t>b</w:t>
      </w:r>
      <w:r>
        <w:rPr>
          <w:rFonts w:ascii="宋体" w:hAnsi="宋体" w:cs="宋体"/>
          <w:kern w:val="0"/>
          <w:sz w:val="24"/>
          <w:szCs w:val="24"/>
        </w:rPr>
        <w:t>+6%，或小于等于0时，仍按1.20%年费率收取该笔基金份额的管理费，以使得该笔基金份额在扣除超额管理费后的年化收益率仍满足本基金收取超额管理费的标准。</w:t>
      </w:r>
    </w:p>
    <w:p w14:paraId="392EA00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具体而言，本基金的管理费包含固定管理费、或有管理费和超额管理费，按以下方式计算和确认。</w:t>
      </w:r>
    </w:p>
    <w:p w14:paraId="4CBEF0C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（1）固定管理费</w:t>
      </w:r>
    </w:p>
    <w:p w14:paraId="54271AB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固定管理费按前一日基金资产净值的0.60%年费率每日计提。固定管理费的计算方法如下：</w:t>
      </w:r>
    </w:p>
    <w:p w14:paraId="7B39C3C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H</w:t>
      </w:r>
      <w:r>
        <w:rPr>
          <w:rFonts w:ascii="宋体" w:hAnsi="宋体" w:cs="宋体"/>
          <w:kern w:val="0"/>
          <w:sz w:val="30"/>
          <w:szCs w:val="30"/>
          <w:vertAlign w:val="subscript"/>
        </w:rPr>
        <w:t>1</w:t>
      </w:r>
      <w:r>
        <w:rPr>
          <w:rFonts w:ascii="宋体" w:hAnsi="宋体" w:cs="宋体"/>
          <w:kern w:val="0"/>
          <w:sz w:val="24"/>
          <w:szCs w:val="24"/>
        </w:rPr>
        <w:t>＝E×0.60%÷当年天数</w:t>
      </w:r>
    </w:p>
    <w:p w14:paraId="7219E5C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H</w:t>
      </w:r>
      <w:r>
        <w:rPr>
          <w:rFonts w:ascii="宋体" w:hAnsi="宋体" w:cs="宋体"/>
          <w:kern w:val="0"/>
          <w:sz w:val="30"/>
          <w:szCs w:val="30"/>
          <w:vertAlign w:val="subscript"/>
        </w:rPr>
        <w:t>1</w:t>
      </w:r>
      <w:r>
        <w:rPr>
          <w:rFonts w:ascii="宋体" w:hAnsi="宋体" w:cs="宋体"/>
          <w:kern w:val="0"/>
          <w:sz w:val="24"/>
          <w:szCs w:val="24"/>
        </w:rPr>
        <w:t>为每日应计提的固定管理费</w:t>
      </w:r>
    </w:p>
    <w:p w14:paraId="66907CE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E为前一日的基金资产净值</w:t>
      </w:r>
    </w:p>
    <w:p w14:paraId="5015592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固定管理费每日计提，逐日累计至每个月月末，按月支付。由基金托管人根据与基金管理人核对一致的财务数据，在次月月初5个工作日内、基金托管人按照与基金管理人协商一致的方式进行资金支付。若遇法定节假日、休息日或不可抗力致使无法按时支付的，顺延至法定节假日、休息日结束之日起5个工作日内或不可抗力情形消除之日起5个工作日内支付。费用扣划后，基金管理人应进行核对，如发现数据不符，及时联系基金托管人协商解决。</w:t>
      </w:r>
    </w:p>
    <w:p w14:paraId="5E0A0AD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（2）或有管理费和超额管理费</w:t>
      </w:r>
    </w:p>
    <w:p w14:paraId="424E42C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或有管理费按前一日基金资产净值的0.60%年费率每日计提。或有管理费的计算方法如下：</w:t>
      </w:r>
    </w:p>
    <w:p w14:paraId="4F659FD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H</w:t>
      </w:r>
      <w:r>
        <w:rPr>
          <w:rFonts w:ascii="宋体" w:hAnsi="宋体" w:cs="宋体"/>
          <w:kern w:val="0"/>
          <w:sz w:val="30"/>
          <w:szCs w:val="30"/>
          <w:vertAlign w:val="subscript"/>
        </w:rPr>
        <w:t>2</w:t>
      </w:r>
      <w:r>
        <w:rPr>
          <w:rFonts w:ascii="宋体" w:hAnsi="宋体" w:cs="宋体"/>
          <w:kern w:val="0"/>
          <w:sz w:val="24"/>
          <w:szCs w:val="24"/>
        </w:rPr>
        <w:t>＝E×0.60%÷当年天数</w:t>
      </w:r>
    </w:p>
    <w:p w14:paraId="08B2E8F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H</w:t>
      </w:r>
      <w:r>
        <w:rPr>
          <w:rFonts w:ascii="宋体" w:hAnsi="宋体" w:cs="宋体"/>
          <w:kern w:val="0"/>
          <w:sz w:val="30"/>
          <w:szCs w:val="30"/>
          <w:vertAlign w:val="subscript"/>
        </w:rPr>
        <w:t>2</w:t>
      </w:r>
      <w:r>
        <w:rPr>
          <w:rFonts w:ascii="宋体" w:hAnsi="宋体" w:cs="宋体"/>
          <w:kern w:val="0"/>
          <w:sz w:val="24"/>
          <w:szCs w:val="24"/>
        </w:rPr>
        <w:t>为每日应计提的或有管理费</w:t>
      </w:r>
    </w:p>
    <w:p w14:paraId="52A0BD2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E为前一日的基金资产净值</w:t>
      </w:r>
    </w:p>
    <w:p w14:paraId="7B853E1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投资者赎回基金份额或基金合同终止的情形发生时，若该笔基金份额持有天数达到或超过365天，且该笔基金份额的持有期间年化收益率（R）符合下表“情形一”的收取情形，或有管理费为0，则该笔基金份额持有期限内计提的或有管理费将全额随赎回款（或清算款）一并返还给投资者；在其他情形下，该笔基金份额持有期限内计提的或有管理费应确认为应由基金管理人收取的管理费。</w:t>
      </w:r>
    </w:p>
    <w:p w14:paraId="41AB9F5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本基金每日预估计算并记录每笔基金份额的超额管理费，基金超额管理费的预估计算方法如下：</w:t>
      </w:r>
    </w:p>
    <w:p w14:paraId="700BD1A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H</w:t>
      </w:r>
      <w:r>
        <w:rPr>
          <w:rFonts w:ascii="宋体" w:hAnsi="宋体" w:cs="宋体"/>
          <w:kern w:val="0"/>
          <w:sz w:val="30"/>
          <w:szCs w:val="30"/>
          <w:vertAlign w:val="subscript"/>
        </w:rPr>
        <w:t>3</w:t>
      </w:r>
      <w:r>
        <w:rPr>
          <w:rFonts w:ascii="宋体" w:hAnsi="宋体" w:cs="宋体"/>
          <w:kern w:val="0"/>
          <w:sz w:val="24"/>
          <w:szCs w:val="24"/>
        </w:rPr>
        <w:t>＝E×0.30%÷当年天数</w:t>
      </w:r>
    </w:p>
    <w:p w14:paraId="1076A46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H</w:t>
      </w:r>
      <w:r>
        <w:rPr>
          <w:rFonts w:ascii="宋体" w:hAnsi="宋体" w:cs="宋体"/>
          <w:kern w:val="0"/>
          <w:sz w:val="30"/>
          <w:szCs w:val="30"/>
          <w:vertAlign w:val="subscript"/>
        </w:rPr>
        <w:t>3</w:t>
      </w:r>
      <w:r>
        <w:rPr>
          <w:rFonts w:ascii="宋体" w:hAnsi="宋体" w:cs="宋体"/>
          <w:kern w:val="0"/>
          <w:sz w:val="24"/>
          <w:szCs w:val="24"/>
        </w:rPr>
        <w:t>为每日预估计算的基金超额管理费</w:t>
      </w:r>
    </w:p>
    <w:p w14:paraId="328CAD0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E为前一日的基金资产净值</w:t>
      </w:r>
    </w:p>
    <w:p w14:paraId="59D78BB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每笔基金份额的超额管理费每日预估计算，但不从基金资产中实际计提，逐日累计。投资者赎回基金份额或基金合同终止的情形发生时，当且仅当该笔基金份额持有天数达到或超过365天，且该笔基金份额的年化收益率（R）符合下表“情形三”的收取情形，将从该笔基金份额的赎回款（或清算款）中扣除0.30%年费率的超额管理费，并随已计提的或有管理费一同确认为应由基金管理人收取的管理费。</w:t>
      </w:r>
    </w:p>
    <w:p w14:paraId="3D17A39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当投资者赎回基金份额或基金合同终止的情形发生时，本基金根据以下三种情形确认应实际收取的或有管理费和超额管理费：</w:t>
      </w:r>
    </w:p>
    <w:tbl>
      <w:tblPr>
        <w:tblStyle w:val="tableTable"/>
        <w:tblW w:w="7577"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48"/>
        <w:gridCol w:w="2928"/>
        <w:gridCol w:w="1699"/>
        <w:gridCol w:w="1702"/>
      </w:tblGrid>
      <w:tr w:rsidR="00AE2B28" w14:paraId="0C39B3BD" w14:textId="77777777">
        <w:trPr>
          <w:trHeight w:val="454"/>
          <w:jc w:val="center"/>
        </w:trPr>
        <w:tc>
          <w:tcPr>
            <w:tcW w:w="1250" w:type="dxa"/>
            <w:tcBorders>
              <w:top w:val="single" w:sz="8"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4EEC26A8" w14:textId="77777777" w:rsidR="00AE2B28" w:rsidRDefault="00B67EDE">
            <w:pPr>
              <w:pStyle w:val="div"/>
              <w:rPr>
                <w:rFonts w:ascii="宋体" w:hAnsi="宋体" w:cs="宋体"/>
                <w:color w:val="000000"/>
                <w:kern w:val="0"/>
                <w:sz w:val="24"/>
                <w:szCs w:val="24"/>
              </w:rPr>
            </w:pPr>
            <w:bookmarkStart w:id="49" w:name="_Hlk195865040"/>
            <w:r>
              <w:rPr>
                <w:rFonts w:ascii="宋体" w:hAnsi="宋体" w:cs="宋体"/>
                <w:b/>
                <w:bCs/>
                <w:color w:val="000000"/>
                <w:kern w:val="0"/>
                <w:sz w:val="24"/>
                <w:szCs w:val="24"/>
              </w:rPr>
              <w:t>收取情形</w:t>
            </w:r>
            <w:bookmarkEnd w:id="49"/>
          </w:p>
        </w:tc>
        <w:tc>
          <w:tcPr>
            <w:tcW w:w="2933" w:type="dxa"/>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93E175" w14:textId="77777777" w:rsidR="00AE2B28" w:rsidRDefault="00B67EDE">
            <w:pPr>
              <w:pStyle w:val="div"/>
              <w:rPr>
                <w:rFonts w:ascii="宋体" w:hAnsi="宋体" w:cs="宋体"/>
                <w:color w:val="000000"/>
                <w:kern w:val="0"/>
                <w:sz w:val="24"/>
                <w:szCs w:val="24"/>
              </w:rPr>
            </w:pPr>
            <w:r>
              <w:rPr>
                <w:rFonts w:ascii="宋体" w:hAnsi="宋体" w:cs="宋体"/>
                <w:b/>
                <w:bCs/>
                <w:color w:val="000000"/>
                <w:kern w:val="0"/>
                <w:sz w:val="24"/>
                <w:szCs w:val="24"/>
              </w:rPr>
              <w:t>年化收益率（R）</w:t>
            </w:r>
          </w:p>
        </w:tc>
        <w:tc>
          <w:tcPr>
            <w:tcW w:w="1701" w:type="dxa"/>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3D2AF5" w14:textId="77777777" w:rsidR="00AE2B28" w:rsidRDefault="00B67EDE">
            <w:pPr>
              <w:pStyle w:val="div"/>
              <w:rPr>
                <w:rFonts w:ascii="宋体" w:hAnsi="宋体" w:cs="宋体"/>
                <w:color w:val="000000"/>
                <w:kern w:val="0"/>
                <w:sz w:val="24"/>
                <w:szCs w:val="24"/>
              </w:rPr>
            </w:pPr>
            <w:r>
              <w:rPr>
                <w:rFonts w:ascii="宋体" w:hAnsi="宋体" w:cs="宋体"/>
                <w:b/>
                <w:bCs/>
                <w:color w:val="000000"/>
                <w:kern w:val="0"/>
                <w:sz w:val="24"/>
                <w:szCs w:val="24"/>
              </w:rPr>
              <w:t>或有管理费</w:t>
            </w:r>
          </w:p>
          <w:p w14:paraId="6DA5D098" w14:textId="77777777" w:rsidR="00AE2B28" w:rsidRDefault="00B67EDE">
            <w:pPr>
              <w:pStyle w:val="div"/>
              <w:rPr>
                <w:rFonts w:ascii="宋体" w:hAnsi="宋体" w:cs="宋体"/>
                <w:color w:val="000000"/>
                <w:kern w:val="0"/>
                <w:sz w:val="24"/>
                <w:szCs w:val="24"/>
              </w:rPr>
            </w:pPr>
            <w:r>
              <w:rPr>
                <w:rFonts w:ascii="宋体" w:hAnsi="宋体" w:cs="宋体"/>
                <w:b/>
                <w:bCs/>
                <w:color w:val="000000"/>
                <w:kern w:val="0"/>
                <w:sz w:val="24"/>
                <w:szCs w:val="24"/>
              </w:rPr>
              <w:t>（年费率）</w:t>
            </w:r>
          </w:p>
        </w:tc>
        <w:tc>
          <w:tcPr>
            <w:tcW w:w="1704" w:type="dxa"/>
            <w:tcBorders>
              <w:top w:val="single" w:sz="8"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0D403E06" w14:textId="77777777" w:rsidR="00AE2B28" w:rsidRDefault="00B67EDE">
            <w:pPr>
              <w:pStyle w:val="div"/>
              <w:rPr>
                <w:rFonts w:ascii="宋体" w:hAnsi="宋体" w:cs="宋体"/>
                <w:color w:val="000000"/>
                <w:kern w:val="0"/>
                <w:sz w:val="24"/>
                <w:szCs w:val="24"/>
              </w:rPr>
            </w:pPr>
            <w:r>
              <w:rPr>
                <w:rFonts w:ascii="宋体" w:hAnsi="宋体" w:cs="宋体"/>
                <w:b/>
                <w:bCs/>
                <w:color w:val="000000"/>
                <w:kern w:val="0"/>
                <w:sz w:val="24"/>
                <w:szCs w:val="24"/>
              </w:rPr>
              <w:t>超额管理费</w:t>
            </w:r>
          </w:p>
          <w:p w14:paraId="749827BF" w14:textId="77777777" w:rsidR="00AE2B28" w:rsidRDefault="00B67EDE">
            <w:pPr>
              <w:pStyle w:val="div"/>
              <w:rPr>
                <w:rFonts w:ascii="宋体" w:hAnsi="宋体" w:cs="宋体"/>
                <w:color w:val="000000"/>
                <w:kern w:val="0"/>
                <w:sz w:val="24"/>
                <w:szCs w:val="24"/>
              </w:rPr>
            </w:pPr>
            <w:r>
              <w:rPr>
                <w:rFonts w:ascii="宋体" w:hAnsi="宋体" w:cs="宋体"/>
                <w:b/>
                <w:bCs/>
                <w:color w:val="000000"/>
                <w:kern w:val="0"/>
                <w:sz w:val="24"/>
                <w:szCs w:val="24"/>
              </w:rPr>
              <w:t>（年费率）</w:t>
            </w:r>
          </w:p>
        </w:tc>
      </w:tr>
      <w:tr w:rsidR="00AE2B28" w14:paraId="74B15F11" w14:textId="77777777">
        <w:trPr>
          <w:trHeight w:val="454"/>
          <w:jc w:val="center"/>
        </w:trPr>
        <w:tc>
          <w:tcPr>
            <w:tcW w:w="1250"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1CB11C20" w14:textId="77777777" w:rsidR="00AE2B28" w:rsidRDefault="00B67EDE">
            <w:pPr>
              <w:pStyle w:val="div"/>
              <w:rPr>
                <w:rFonts w:ascii="宋体" w:hAnsi="宋体" w:cs="宋体"/>
                <w:color w:val="000000"/>
                <w:kern w:val="0"/>
                <w:sz w:val="24"/>
                <w:szCs w:val="24"/>
              </w:rPr>
            </w:pPr>
            <w:r>
              <w:rPr>
                <w:rFonts w:ascii="宋体" w:hAnsi="宋体" w:cs="宋体"/>
                <w:color w:val="000000"/>
                <w:kern w:val="0"/>
                <w:sz w:val="24"/>
                <w:szCs w:val="24"/>
              </w:rPr>
              <w:t>情形一</w:t>
            </w:r>
          </w:p>
        </w:tc>
        <w:tc>
          <w:tcPr>
            <w:tcW w:w="2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90AF85" w14:textId="77777777" w:rsidR="00AE2B28" w:rsidRDefault="00B67EDE">
            <w:pPr>
              <w:pStyle w:val="div"/>
              <w:rPr>
                <w:rFonts w:ascii="宋体" w:hAnsi="宋体" w:cs="宋体"/>
                <w:color w:val="000000"/>
                <w:kern w:val="0"/>
                <w:sz w:val="24"/>
                <w:szCs w:val="24"/>
              </w:rPr>
            </w:pPr>
            <w:r>
              <w:rPr>
                <w:rFonts w:ascii="宋体" w:hAnsi="宋体" w:cs="宋体"/>
                <w:color w:val="000000"/>
                <w:kern w:val="0"/>
                <w:sz w:val="24"/>
                <w:szCs w:val="24"/>
              </w:rPr>
              <w:t>R≤R</w:t>
            </w:r>
            <w:r>
              <w:rPr>
                <w:rFonts w:ascii="宋体" w:hAnsi="宋体" w:cs="宋体"/>
                <w:color w:val="000000"/>
                <w:kern w:val="0"/>
                <w:sz w:val="24"/>
                <w:szCs w:val="24"/>
                <w:vertAlign w:val="subscript"/>
              </w:rPr>
              <w:t>b</w:t>
            </w:r>
            <w:r>
              <w:rPr>
                <w:rFonts w:ascii="宋体" w:hAnsi="宋体" w:cs="宋体"/>
                <w:color w:val="000000"/>
                <w:kern w:val="0"/>
                <w:sz w:val="24"/>
                <w:szCs w:val="24"/>
              </w:rPr>
              <w:t>-3%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AA6E7D" w14:textId="77777777" w:rsidR="00AE2B28" w:rsidRDefault="00B67EDE">
            <w:pPr>
              <w:pStyle w:val="div"/>
              <w:rPr>
                <w:rFonts w:ascii="宋体" w:hAnsi="宋体" w:cs="宋体"/>
                <w:color w:val="000000"/>
                <w:kern w:val="0"/>
                <w:sz w:val="24"/>
                <w:szCs w:val="24"/>
              </w:rPr>
            </w:pPr>
            <w:r>
              <w:rPr>
                <w:rFonts w:ascii="宋体" w:hAnsi="宋体" w:cs="宋体"/>
                <w:color w:val="000000"/>
                <w:kern w:val="0"/>
                <w:sz w:val="24"/>
                <w:szCs w:val="24"/>
              </w:rPr>
              <w:t>0</w:t>
            </w:r>
          </w:p>
        </w:tc>
        <w:tc>
          <w:tcPr>
            <w:tcW w:w="170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435D7DD6" w14:textId="77777777" w:rsidR="00AE2B28" w:rsidRDefault="00B67EDE">
            <w:pPr>
              <w:pStyle w:val="div"/>
              <w:rPr>
                <w:rFonts w:ascii="宋体" w:hAnsi="宋体" w:cs="宋体"/>
                <w:color w:val="000000"/>
                <w:kern w:val="0"/>
                <w:sz w:val="24"/>
                <w:szCs w:val="24"/>
              </w:rPr>
            </w:pPr>
            <w:r>
              <w:rPr>
                <w:rFonts w:ascii="宋体" w:hAnsi="宋体" w:cs="宋体"/>
                <w:color w:val="000000"/>
                <w:kern w:val="0"/>
                <w:sz w:val="24"/>
                <w:szCs w:val="24"/>
              </w:rPr>
              <w:t>0</w:t>
            </w:r>
          </w:p>
        </w:tc>
      </w:tr>
      <w:tr w:rsidR="00AE2B28" w14:paraId="106FE642" w14:textId="77777777">
        <w:trPr>
          <w:trHeight w:val="454"/>
          <w:jc w:val="center"/>
        </w:trPr>
        <w:tc>
          <w:tcPr>
            <w:tcW w:w="1250"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539917B2" w14:textId="77777777" w:rsidR="00AE2B28" w:rsidRDefault="00B67EDE">
            <w:pPr>
              <w:pStyle w:val="div"/>
              <w:rPr>
                <w:rFonts w:ascii="宋体" w:hAnsi="宋体" w:cs="宋体"/>
                <w:color w:val="000000"/>
                <w:kern w:val="0"/>
                <w:sz w:val="24"/>
                <w:szCs w:val="24"/>
              </w:rPr>
            </w:pPr>
            <w:r>
              <w:rPr>
                <w:rFonts w:ascii="宋体" w:hAnsi="宋体" w:cs="宋体"/>
                <w:color w:val="000000"/>
                <w:kern w:val="0"/>
                <w:sz w:val="24"/>
                <w:szCs w:val="24"/>
              </w:rPr>
              <w:t>情形二</w:t>
            </w:r>
          </w:p>
        </w:tc>
        <w:tc>
          <w:tcPr>
            <w:tcW w:w="2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2EDFB5" w14:textId="77777777" w:rsidR="00AE2B28" w:rsidRDefault="00B67EDE">
            <w:pPr>
              <w:pStyle w:val="div"/>
              <w:rPr>
                <w:rFonts w:ascii="宋体" w:hAnsi="宋体" w:cs="宋体"/>
                <w:color w:val="000000"/>
                <w:kern w:val="0"/>
                <w:sz w:val="24"/>
                <w:szCs w:val="24"/>
              </w:rPr>
            </w:pPr>
            <w:r>
              <w:rPr>
                <w:rFonts w:ascii="宋体" w:hAnsi="宋体" w:cs="宋体"/>
                <w:color w:val="000000"/>
                <w:kern w:val="0"/>
                <w:sz w:val="24"/>
                <w:szCs w:val="24"/>
              </w:rPr>
              <w:t>其他情形</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48E6A4" w14:textId="77777777" w:rsidR="00AE2B28" w:rsidRDefault="00B67EDE">
            <w:pPr>
              <w:pStyle w:val="div"/>
              <w:rPr>
                <w:rFonts w:ascii="宋体" w:hAnsi="宋体" w:cs="宋体"/>
                <w:color w:val="000000"/>
                <w:kern w:val="0"/>
                <w:sz w:val="24"/>
                <w:szCs w:val="24"/>
              </w:rPr>
            </w:pPr>
            <w:r>
              <w:rPr>
                <w:rFonts w:ascii="宋体" w:hAnsi="宋体" w:cs="宋体"/>
                <w:color w:val="000000"/>
                <w:kern w:val="0"/>
                <w:sz w:val="24"/>
                <w:szCs w:val="24"/>
              </w:rPr>
              <w:t>0.60%</w:t>
            </w:r>
          </w:p>
        </w:tc>
        <w:tc>
          <w:tcPr>
            <w:tcW w:w="170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0FC4EAC9" w14:textId="77777777" w:rsidR="00AE2B28" w:rsidRDefault="00B67EDE">
            <w:pPr>
              <w:pStyle w:val="div"/>
              <w:rPr>
                <w:rFonts w:ascii="宋体" w:hAnsi="宋体" w:cs="宋体"/>
                <w:color w:val="000000"/>
                <w:kern w:val="0"/>
                <w:sz w:val="24"/>
                <w:szCs w:val="24"/>
              </w:rPr>
            </w:pPr>
            <w:r>
              <w:rPr>
                <w:rFonts w:ascii="宋体" w:hAnsi="宋体" w:cs="宋体"/>
                <w:color w:val="000000"/>
                <w:kern w:val="0"/>
                <w:sz w:val="24"/>
                <w:szCs w:val="24"/>
              </w:rPr>
              <w:t>0</w:t>
            </w:r>
          </w:p>
        </w:tc>
      </w:tr>
      <w:tr w:rsidR="00AE2B28" w14:paraId="68EEE367" w14:textId="77777777">
        <w:trPr>
          <w:trHeight w:val="454"/>
          <w:jc w:val="center"/>
        </w:trPr>
        <w:tc>
          <w:tcPr>
            <w:tcW w:w="1250" w:type="dxa"/>
            <w:tcBorders>
              <w:top w:val="single" w:sz="6" w:space="0" w:color="000000"/>
              <w:left w:val="single" w:sz="8" w:space="0" w:color="000000"/>
              <w:bottom w:val="single" w:sz="8" w:space="0" w:color="000000"/>
              <w:right w:val="single" w:sz="6" w:space="0" w:color="000000"/>
            </w:tcBorders>
            <w:tcMar>
              <w:top w:w="0" w:type="dxa"/>
              <w:left w:w="111" w:type="dxa"/>
              <w:bottom w:w="0" w:type="dxa"/>
              <w:right w:w="108" w:type="dxa"/>
            </w:tcMar>
            <w:vAlign w:val="center"/>
            <w:hideMark/>
          </w:tcPr>
          <w:p w14:paraId="2FE11F29" w14:textId="77777777" w:rsidR="00AE2B28" w:rsidRDefault="00B67EDE">
            <w:pPr>
              <w:pStyle w:val="div"/>
              <w:rPr>
                <w:rFonts w:ascii="宋体" w:hAnsi="宋体" w:cs="宋体"/>
                <w:color w:val="000000"/>
                <w:kern w:val="0"/>
                <w:sz w:val="24"/>
                <w:szCs w:val="24"/>
              </w:rPr>
            </w:pPr>
            <w:r>
              <w:rPr>
                <w:rFonts w:ascii="宋体" w:hAnsi="宋体" w:cs="宋体"/>
                <w:color w:val="000000"/>
                <w:kern w:val="0"/>
                <w:sz w:val="24"/>
                <w:szCs w:val="24"/>
              </w:rPr>
              <w:t>情形三</w:t>
            </w:r>
          </w:p>
        </w:tc>
        <w:tc>
          <w:tcPr>
            <w:tcW w:w="2933" w:type="dxa"/>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hideMark/>
          </w:tcPr>
          <w:p w14:paraId="6A752FAC" w14:textId="77777777" w:rsidR="00AE2B28" w:rsidRDefault="00B67EDE">
            <w:pPr>
              <w:pStyle w:val="div"/>
              <w:spacing w:line="276" w:lineRule="auto"/>
              <w:rPr>
                <w:rFonts w:ascii="宋体" w:hAnsi="宋体" w:cs="宋体"/>
                <w:color w:val="000000"/>
                <w:kern w:val="0"/>
                <w:sz w:val="24"/>
                <w:szCs w:val="24"/>
              </w:rPr>
            </w:pPr>
            <w:r>
              <w:rPr>
                <w:rFonts w:ascii="宋体" w:hAnsi="宋体" w:cs="宋体"/>
                <w:color w:val="000000"/>
                <w:kern w:val="0"/>
                <w:sz w:val="24"/>
                <w:szCs w:val="24"/>
              </w:rPr>
              <w:t>R＞R</w:t>
            </w:r>
            <w:r>
              <w:rPr>
                <w:rFonts w:ascii="宋体" w:hAnsi="宋体" w:cs="宋体"/>
                <w:color w:val="000000"/>
                <w:spacing w:val="-2"/>
                <w:kern w:val="0"/>
                <w:sz w:val="24"/>
                <w:szCs w:val="24"/>
                <w:vertAlign w:val="subscript"/>
              </w:rPr>
              <w:t>b</w:t>
            </w:r>
            <w:r>
              <w:rPr>
                <w:rFonts w:ascii="宋体" w:hAnsi="宋体" w:cs="宋体"/>
                <w:color w:val="000000"/>
                <w:kern w:val="0"/>
                <w:sz w:val="24"/>
                <w:szCs w:val="24"/>
              </w:rPr>
              <w:t>+6%，R＞0</w:t>
            </w:r>
          </w:p>
        </w:tc>
        <w:tc>
          <w:tcPr>
            <w:tcW w:w="1701" w:type="dxa"/>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hideMark/>
          </w:tcPr>
          <w:p w14:paraId="2CB2DA23" w14:textId="77777777" w:rsidR="00AE2B28" w:rsidRDefault="00B67EDE">
            <w:pPr>
              <w:pStyle w:val="div"/>
              <w:rPr>
                <w:rFonts w:ascii="宋体" w:hAnsi="宋体" w:cs="宋体"/>
                <w:color w:val="000000"/>
                <w:kern w:val="0"/>
                <w:sz w:val="24"/>
                <w:szCs w:val="24"/>
              </w:rPr>
            </w:pPr>
            <w:r>
              <w:rPr>
                <w:rFonts w:ascii="宋体" w:hAnsi="宋体" w:cs="宋体"/>
                <w:color w:val="000000"/>
                <w:kern w:val="0"/>
                <w:sz w:val="24"/>
                <w:szCs w:val="24"/>
              </w:rPr>
              <w:t>0.60%</w:t>
            </w:r>
          </w:p>
        </w:tc>
        <w:tc>
          <w:tcPr>
            <w:tcW w:w="1704"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11" w:type="dxa"/>
            </w:tcMar>
            <w:vAlign w:val="center"/>
            <w:hideMark/>
          </w:tcPr>
          <w:p w14:paraId="646745D5" w14:textId="77777777" w:rsidR="00AE2B28" w:rsidRDefault="00B67EDE">
            <w:pPr>
              <w:pStyle w:val="div"/>
              <w:rPr>
                <w:rFonts w:ascii="宋体" w:hAnsi="宋体" w:cs="宋体"/>
                <w:color w:val="000000"/>
                <w:kern w:val="0"/>
                <w:sz w:val="24"/>
                <w:szCs w:val="24"/>
              </w:rPr>
            </w:pPr>
            <w:r>
              <w:rPr>
                <w:rFonts w:ascii="宋体" w:hAnsi="宋体" w:cs="宋体"/>
                <w:color w:val="000000"/>
                <w:kern w:val="0"/>
                <w:sz w:val="24"/>
                <w:szCs w:val="24"/>
              </w:rPr>
              <w:t>0.30%</w:t>
            </w:r>
          </w:p>
        </w:tc>
      </w:tr>
    </w:tbl>
    <w:p w14:paraId="2F96DD4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对于“情形三”，若拟扣除超额管理费后的年化收益率小于等于R</w:t>
      </w:r>
      <w:r>
        <w:rPr>
          <w:rFonts w:ascii="宋体" w:hAnsi="宋体" w:cs="宋体"/>
          <w:kern w:val="0"/>
          <w:sz w:val="30"/>
          <w:szCs w:val="30"/>
          <w:vertAlign w:val="subscript"/>
        </w:rPr>
        <w:t>b</w:t>
      </w:r>
      <w:r>
        <w:rPr>
          <w:rFonts w:ascii="宋体" w:hAnsi="宋体" w:cs="宋体"/>
          <w:kern w:val="0"/>
          <w:sz w:val="24"/>
          <w:szCs w:val="24"/>
        </w:rPr>
        <w:t>+6%，或小于等于0时，仍按1.20%年费率收取该笔基金份额的管理费，以使得该笔基金份额在扣除超额管理费后的年化收益率仍满足本基金收取超额管理费的标准。</w:t>
      </w:r>
    </w:p>
    <w:p w14:paraId="49B2E39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每笔基金份额的年化收益率（R）计算方法如下：</w:t>
      </w:r>
    </w:p>
    <w:p w14:paraId="6ED24E61" w14:textId="77777777" w:rsidR="00AE2B28" w:rsidRDefault="00B67EDE">
      <w:pPr>
        <w:pStyle w:val="p"/>
        <w:spacing w:line="360" w:lineRule="auto"/>
        <w:ind w:firstLine="420"/>
        <w:rPr>
          <w:rFonts w:ascii="宋体" w:hAnsi="宋体" w:cs="宋体"/>
          <w:kern w:val="0"/>
          <w:sz w:val="24"/>
          <w:szCs w:val="24"/>
        </w:rPr>
      </w:pPr>
      <w:r>
        <w:rPr>
          <w:rFonts w:ascii="宋体" w:hAnsi="宋体" w:cs="宋体"/>
          <w:noProof/>
          <w:kern w:val="0"/>
          <w:sz w:val="24"/>
          <w:szCs w:val="24"/>
        </w:rPr>
        <w:lastRenderedPageBreak/>
        <w:drawing>
          <wp:inline distT="0" distB="0" distL="0" distR="0" wp14:anchorId="3FAC7FF9" wp14:editId="57B65B28">
            <wp:extent cx="2200275" cy="40005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3"/>
                    <a:stretch>
                      <a:fillRect/>
                    </a:stretch>
                  </pic:blipFill>
                  <pic:spPr>
                    <a:xfrm>
                      <a:off x="0" y="0"/>
                      <a:ext cx="2200275" cy="400050"/>
                    </a:xfrm>
                    <a:prstGeom prst="rect">
                      <a:avLst/>
                    </a:prstGeom>
                  </pic:spPr>
                </pic:pic>
              </a:graphicData>
            </a:graphic>
          </wp:inline>
        </w:drawing>
      </w:r>
    </w:p>
    <w:p w14:paraId="1515CB5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拟扣除超额管理费后的年化收益率（R*）的计算方法如下：</w:t>
      </w:r>
    </w:p>
    <w:p w14:paraId="00276676" w14:textId="77777777" w:rsidR="00AE2B28" w:rsidRDefault="00B67EDE">
      <w:pPr>
        <w:pStyle w:val="p"/>
        <w:spacing w:line="360" w:lineRule="auto"/>
        <w:ind w:firstLine="420"/>
        <w:rPr>
          <w:rFonts w:ascii="宋体" w:hAnsi="宋体" w:cs="宋体"/>
          <w:kern w:val="0"/>
          <w:sz w:val="24"/>
          <w:szCs w:val="24"/>
        </w:rPr>
      </w:pPr>
      <w:bookmarkStart w:id="50" w:name="_Hlk196342196"/>
      <w:r>
        <w:rPr>
          <w:rFonts w:ascii="宋体" w:hAnsi="宋体" w:cs="宋体"/>
          <w:noProof/>
          <w:kern w:val="0"/>
          <w:sz w:val="24"/>
          <w:szCs w:val="24"/>
        </w:rPr>
        <w:drawing>
          <wp:inline distT="0" distB="0" distL="0" distR="0" wp14:anchorId="09D3F65C" wp14:editId="239EDF52">
            <wp:extent cx="3019425" cy="40005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4"/>
                    <a:stretch>
                      <a:fillRect/>
                    </a:stretch>
                  </pic:blipFill>
                  <pic:spPr>
                    <a:xfrm>
                      <a:off x="0" y="0"/>
                      <a:ext cx="3019425" cy="400050"/>
                    </a:xfrm>
                    <a:prstGeom prst="rect">
                      <a:avLst/>
                    </a:prstGeom>
                  </pic:spPr>
                </pic:pic>
              </a:graphicData>
            </a:graphic>
          </wp:inline>
        </w:drawing>
      </w:r>
      <w:bookmarkEnd w:id="50"/>
    </w:p>
    <w:p w14:paraId="02926EC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R为该笔基金份额的年化收益率；R</w:t>
      </w:r>
      <w:r>
        <w:rPr>
          <w:rFonts w:ascii="宋体" w:hAnsi="宋体" w:cs="宋体"/>
          <w:kern w:val="0"/>
          <w:sz w:val="30"/>
          <w:szCs w:val="30"/>
          <w:vertAlign w:val="subscript"/>
        </w:rPr>
        <w:t>b</w:t>
      </w:r>
      <w:r>
        <w:rPr>
          <w:rFonts w:ascii="宋体" w:hAnsi="宋体" w:cs="宋体"/>
          <w:kern w:val="0"/>
          <w:sz w:val="24"/>
          <w:szCs w:val="24"/>
        </w:rPr>
        <w:t>为本基金业绩比较基准同期年化收益率；</w:t>
      </w:r>
    </w:p>
    <w:p w14:paraId="46B0545C" w14:textId="77777777" w:rsidR="00AE2B28" w:rsidRDefault="00B67EDE">
      <w:pPr>
        <w:pStyle w:val="div"/>
        <w:spacing w:line="360" w:lineRule="auto"/>
        <w:ind w:firstLine="420"/>
        <w:rPr>
          <w:rFonts w:ascii="宋体" w:hAnsi="宋体" w:cs="宋体"/>
          <w:kern w:val="0"/>
          <w:sz w:val="24"/>
          <w:szCs w:val="24"/>
        </w:rPr>
      </w:pPr>
      <w:r>
        <w:rPr>
          <w:rFonts w:ascii="宋体" w:hAnsi="宋体" w:cs="宋体"/>
          <w:noProof/>
          <w:kern w:val="0"/>
          <w:sz w:val="24"/>
          <w:szCs w:val="24"/>
        </w:rPr>
        <w:drawing>
          <wp:inline distT="0" distB="0" distL="0" distR="0" wp14:anchorId="20EA1399" wp14:editId="4EFEA102">
            <wp:extent cx="352425" cy="200025"/>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15"/>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为该笔基金份额赎回申请受理当日或基金合同终止情形发生日的基金份额累计净值；</w:t>
      </w:r>
    </w:p>
    <w:p w14:paraId="75A118A3" w14:textId="77777777" w:rsidR="00AE2B28" w:rsidRDefault="00B67EDE">
      <w:pPr>
        <w:pStyle w:val="div"/>
        <w:spacing w:line="360" w:lineRule="auto"/>
        <w:ind w:firstLine="420"/>
        <w:rPr>
          <w:rFonts w:ascii="宋体" w:hAnsi="宋体" w:cs="宋体"/>
          <w:kern w:val="0"/>
          <w:sz w:val="24"/>
          <w:szCs w:val="24"/>
        </w:rPr>
      </w:pPr>
      <w:r>
        <w:rPr>
          <w:rFonts w:ascii="宋体" w:hAnsi="宋体" w:cs="宋体"/>
          <w:noProof/>
          <w:kern w:val="0"/>
          <w:sz w:val="24"/>
          <w:szCs w:val="24"/>
        </w:rPr>
        <w:drawing>
          <wp:inline distT="0" distB="0" distL="0" distR="0" wp14:anchorId="1973AE0F" wp14:editId="05E9313F">
            <wp:extent cx="352425" cy="200025"/>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16"/>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为该笔基金份额申购申请受理当日的基金份额累计净值（对于认购份额而言，</w:t>
      </w:r>
      <w:r>
        <w:rPr>
          <w:rFonts w:ascii="宋体" w:hAnsi="宋体" w:cs="宋体"/>
          <w:noProof/>
          <w:kern w:val="0"/>
          <w:sz w:val="24"/>
          <w:szCs w:val="24"/>
        </w:rPr>
        <w:drawing>
          <wp:inline distT="0" distB="0" distL="0" distR="0" wp14:anchorId="5E12EF6A" wp14:editId="177791D3">
            <wp:extent cx="352425" cy="200025"/>
            <wp:effectExtent l="0" t="0" r="0" b="0"/>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16"/>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为1.00元）；</w:t>
      </w:r>
    </w:p>
    <w:p w14:paraId="403B0D37" w14:textId="77777777" w:rsidR="00AE2B28" w:rsidRDefault="00B67EDE">
      <w:pPr>
        <w:pStyle w:val="div"/>
        <w:spacing w:line="360" w:lineRule="auto"/>
        <w:ind w:firstLine="420"/>
        <w:rPr>
          <w:rFonts w:ascii="宋体" w:hAnsi="宋体" w:cs="宋体"/>
          <w:kern w:val="0"/>
          <w:sz w:val="24"/>
          <w:szCs w:val="24"/>
        </w:rPr>
      </w:pPr>
      <w:r>
        <w:rPr>
          <w:rFonts w:ascii="宋体" w:hAnsi="宋体" w:cs="宋体"/>
          <w:noProof/>
          <w:kern w:val="0"/>
          <w:sz w:val="24"/>
          <w:szCs w:val="24"/>
        </w:rPr>
        <w:drawing>
          <wp:inline distT="0" distB="0" distL="0" distR="0" wp14:anchorId="6121F6BC" wp14:editId="6F037524">
            <wp:extent cx="352425" cy="200025"/>
            <wp:effectExtent l="0" t="0" r="0" b="0"/>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17"/>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为该笔基金份额申购申请受理当日的基金份额单位净值（对于认购份额而言，</w:t>
      </w:r>
      <w:r>
        <w:rPr>
          <w:rFonts w:ascii="宋体" w:hAnsi="宋体" w:cs="宋体"/>
          <w:noProof/>
          <w:kern w:val="0"/>
          <w:sz w:val="24"/>
          <w:szCs w:val="24"/>
        </w:rPr>
        <w:drawing>
          <wp:inline distT="0" distB="0" distL="0" distR="0" wp14:anchorId="72B1E707" wp14:editId="2DF8E89C">
            <wp:extent cx="352425" cy="200025"/>
            <wp:effectExtent l="0" t="0" r="0" b="0"/>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17"/>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为1.00元）；</w:t>
      </w:r>
    </w:p>
    <w:p w14:paraId="3476D55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T为每笔基金份额的持有天数，即基金合同生效日（对于认购份额而言，含当日）或该笔基金份额申购申请确认日（对于申购份额而言，含当日）到该笔基金份额赎回申请确认日或基金合同终止情形发生日下一工作日的天数。</w:t>
      </w:r>
    </w:p>
    <w:p w14:paraId="4DE2523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F为该笔基金份额的份额数；</w:t>
      </w:r>
    </w:p>
    <w:p w14:paraId="7E785D31" w14:textId="12C4968C" w:rsidR="00AE2B28" w:rsidRDefault="006B1F0E">
      <w:pPr>
        <w:pStyle w:val="div"/>
        <w:spacing w:line="360" w:lineRule="auto"/>
        <w:ind w:firstLine="480"/>
        <w:rPr>
          <w:rFonts w:ascii="宋体" w:hAnsi="宋体" w:cs="宋体"/>
          <w:kern w:val="0"/>
          <w:sz w:val="24"/>
          <w:szCs w:val="24"/>
        </w:rPr>
      </w:pPr>
      <w:r w:rsidRPr="006B1F0E">
        <w:rPr>
          <w:rFonts w:ascii="Cambria Math" w:hAnsi="Cambria Math" w:cs="Cambria Math"/>
          <w:kern w:val="0"/>
          <w:sz w:val="24"/>
          <w:szCs w:val="24"/>
        </w:rPr>
        <w:t>𝑀𝑐</w:t>
      </w:r>
      <w:r w:rsidR="00B67EDE">
        <w:rPr>
          <w:rFonts w:ascii="宋体" w:hAnsi="宋体" w:cs="宋体"/>
          <w:kern w:val="0"/>
          <w:sz w:val="24"/>
          <w:szCs w:val="24"/>
        </w:rPr>
        <w:t>为该笔基金份额持有期限内累计计算的超额管理费。</w:t>
      </w:r>
    </w:p>
    <w:p w14:paraId="6A9C2BD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对于已经确认为基金管理人收入的或有管理费和超额管理费，由基金托管人根据与基金管理人核对一致的财务数据，在次月月初5个工作日内、基金托管人按照与基金管理人协商一致的方式进行资金支付。若遇法定节假日、休息日或不可抗力致使无法按时支付的，顺延至法定节假日、休息日结束之日起5个工作日内或不可抗力情形消除之日起5个工作日内支付。费用扣划后，基金管理人应进行核对，如发现数据不符，及时联系基金托管人协商解决。</w:t>
      </w:r>
    </w:p>
    <w:p w14:paraId="044BC24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69692DCE"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2、基金托管人的托管费</w:t>
      </w:r>
    </w:p>
    <w:p w14:paraId="030F160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本基金的托管费按前一日基金资产净值的0.20%的年费率计提。托管费的计算方法如下：</w:t>
      </w:r>
    </w:p>
    <w:p w14:paraId="74CCA40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H＝E×0.20%÷当年天数</w:t>
      </w:r>
    </w:p>
    <w:p w14:paraId="69BD245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H为每日应计提的基金托管费</w:t>
      </w:r>
    </w:p>
    <w:p w14:paraId="1828FEB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E为前一日的基金资产净值</w:t>
      </w:r>
    </w:p>
    <w:p w14:paraId="77C19BA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托管费每日计提，逐日累计至每月月末，按月支付，经基金管理人与基金托管人双方核对无误后，基金托管人根据基金管理人的授权自动在次月初五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w:t>
      </w:r>
    </w:p>
    <w:p w14:paraId="597C832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3、销售服务费</w:t>
      </w:r>
    </w:p>
    <w:p w14:paraId="18C1096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本基金A类基金份额不收取销售服务费，C类基金份额的销售服务费年费率为0.40%。</w:t>
      </w:r>
    </w:p>
    <w:p w14:paraId="4093574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计算方法如下：</w:t>
      </w:r>
    </w:p>
    <w:p w14:paraId="6F8890A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H＝E×0.40%÷当年天数</w:t>
      </w:r>
    </w:p>
    <w:p w14:paraId="6522C15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H为C类基金份额每日应计提的销售服务费</w:t>
      </w:r>
    </w:p>
    <w:p w14:paraId="016022E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E为C类基金份额前一日基金资产净值</w:t>
      </w:r>
    </w:p>
    <w:p w14:paraId="60282B98" w14:textId="1351C535"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销售服务费每日计提，逐日累计至每月月末，按月支付</w:t>
      </w:r>
      <w:r w:rsidR="007046F2">
        <w:rPr>
          <w:rFonts w:ascii="宋体" w:hAnsi="宋体" w:cs="宋体"/>
          <w:kern w:val="0"/>
          <w:sz w:val="24"/>
          <w:szCs w:val="24"/>
        </w:rPr>
        <w:t>。对于确认为基金财产支付的销售服务费</w:t>
      </w:r>
      <w:r>
        <w:rPr>
          <w:rFonts w:ascii="宋体" w:hAnsi="宋体" w:cs="宋体"/>
          <w:kern w:val="0"/>
          <w:sz w:val="24"/>
          <w:szCs w:val="24"/>
        </w:rPr>
        <w:t>，经基金管理人与基金托管人双方核对无误后，基金托管人根据基金管理人的授权自动在次月初五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w:t>
      </w:r>
    </w:p>
    <w:p w14:paraId="1EAD3A31" w14:textId="77777777"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其中，对于投资者通过直销机构认购/申购的C类基金份额所计提的销售服务费或者通过其他销售机构认购/申购且持续持有期限超过一年（即365天）以后继续计提的C类基金份额销售服务费，将在投资者赎回相应基金份额或基金合同终止时随赎回款或清算款一并返还给投资者。</w:t>
      </w:r>
    </w:p>
    <w:p w14:paraId="001D561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上述“一、基金费用的种类”中第4－11项费用，根据有关法规及相应协议</w:t>
      </w:r>
      <w:r>
        <w:rPr>
          <w:rFonts w:ascii="宋体" w:hAnsi="宋体" w:cs="宋体"/>
          <w:kern w:val="0"/>
          <w:sz w:val="24"/>
          <w:szCs w:val="24"/>
        </w:rPr>
        <w:lastRenderedPageBreak/>
        <w:t>规定，按费用实际支出金额列入当期费用，由基金托管人从基金财产中支付。</w:t>
      </w:r>
    </w:p>
    <w:p w14:paraId="007C769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三、不列入基金费用的项目</w:t>
      </w:r>
    </w:p>
    <w:p w14:paraId="41DD53B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下列费用不列入基金费用：</w:t>
      </w:r>
    </w:p>
    <w:p w14:paraId="62E1A72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1、基金管理人和基金托管人因未履行或未完全履行义务导致的费用支出或基金财产的损失；</w:t>
      </w:r>
    </w:p>
    <w:p w14:paraId="05D6522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2、基金管理人和基金托管人处理与基金运作无关的事项发生的费用；</w:t>
      </w:r>
    </w:p>
    <w:p w14:paraId="0A1A1A2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3、《基金合同》生效前的相关费用；</w:t>
      </w:r>
    </w:p>
    <w:p w14:paraId="266A134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4、其他根据相关法律法规及中国证监会的有关规定不得列入基金费用的项目。</w:t>
      </w:r>
    </w:p>
    <w:p w14:paraId="4E732F3D"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四、实施侧袋机制期间的基金费用</w:t>
      </w:r>
    </w:p>
    <w:p w14:paraId="33E80ED4" w14:textId="31E2684B"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本基金实施侧袋机制的，与侧袋账户有关的费用可以从侧袋账户中列支，但应待侧袋账户资产变现后方可列支，有关费用可酌情收取或减免，但不得收取管理费</w:t>
      </w:r>
      <w:r w:rsidR="006B1F0E" w:rsidRPr="006B1F0E">
        <w:rPr>
          <w:rFonts w:ascii="宋体" w:hAnsi="宋体" w:cs="宋体" w:hint="eastAsia"/>
          <w:kern w:val="0"/>
          <w:sz w:val="24"/>
          <w:szCs w:val="24"/>
        </w:rPr>
        <w:t>（包括固定管理费、或有管理费和超额管理费）</w:t>
      </w:r>
      <w:r>
        <w:rPr>
          <w:rFonts w:ascii="宋体" w:hAnsi="宋体" w:cs="宋体"/>
          <w:kern w:val="0"/>
          <w:sz w:val="24"/>
          <w:szCs w:val="24"/>
        </w:rPr>
        <w:t>，详见本招募说明书“侧袋机制”章节的规定。</w:t>
      </w:r>
    </w:p>
    <w:p w14:paraId="688DA26C"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五、基金税收</w:t>
      </w:r>
    </w:p>
    <w:p w14:paraId="1C9CE70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rFonts w:ascii="宋体" w:hAnsi="宋体" w:cs="宋体"/>
          <w:kern w:val="0"/>
          <w:sz w:val="24"/>
          <w:szCs w:val="24"/>
        </w:rPr>
        <w:br w:type="page"/>
      </w:r>
    </w:p>
    <w:p w14:paraId="4A587AB8" w14:textId="77777777" w:rsidR="009D63C8" w:rsidRDefault="00B67EDE" w:rsidP="009E26D0">
      <w:pPr>
        <w:pStyle w:val="1"/>
        <w:spacing w:before="0" w:after="0"/>
        <w:jc w:val="center"/>
        <w:rPr>
          <w:rFonts w:ascii="Times New Roman"/>
          <w:color w:val="auto"/>
          <w:sz w:val="30"/>
        </w:rPr>
      </w:pPr>
      <w:bookmarkStart w:id="51" w:name="_Toc256000013"/>
      <w:r w:rsidRPr="009E26D0">
        <w:rPr>
          <w:rFonts w:ascii="Times New Roman"/>
          <w:noProof/>
          <w:color w:val="auto"/>
          <w:sz w:val="30"/>
        </w:rPr>
        <w:lastRenderedPageBreak/>
        <w:t>第十四部分</w:t>
      </w:r>
      <w:r w:rsidRPr="009E26D0">
        <w:rPr>
          <w:rFonts w:ascii="Times New Roman"/>
          <w:noProof/>
          <w:color w:val="auto"/>
          <w:sz w:val="30"/>
        </w:rPr>
        <w:t xml:space="preserve">  </w:t>
      </w:r>
      <w:r w:rsidRPr="009E26D0">
        <w:rPr>
          <w:rFonts w:ascii="Times New Roman"/>
          <w:noProof/>
          <w:color w:val="auto"/>
          <w:sz w:val="30"/>
        </w:rPr>
        <w:t>基金的会计与审计</w:t>
      </w:r>
      <w:bookmarkEnd w:id="51"/>
    </w:p>
    <w:p w14:paraId="3F68C9FF" w14:textId="77777777" w:rsidR="007A2B34" w:rsidRPr="0017353E" w:rsidRDefault="007A2B34" w:rsidP="0090469D"/>
    <w:p w14:paraId="321A1DB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一、基金会计政策</w:t>
      </w:r>
    </w:p>
    <w:p w14:paraId="2EF2ECC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1、基金管理人为本基金的基金会计责任方；</w:t>
      </w:r>
    </w:p>
    <w:p w14:paraId="3871FBA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2、基金的会计年度为公历年度的1月1日至12月31日；基金首次募集的会计年度按如下原则：如果《基金合同》生效少于2个月，可以并入下一个会计年度披露；</w:t>
      </w:r>
    </w:p>
    <w:p w14:paraId="07CF6D4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3、基金核算以人民币为记账本位币，以人民币元为记账单位；</w:t>
      </w:r>
    </w:p>
    <w:p w14:paraId="3BA077E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4、会计制度执行国家有关会计制度；</w:t>
      </w:r>
    </w:p>
    <w:p w14:paraId="16242EA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5、本基金独立建账、独立核算；</w:t>
      </w:r>
    </w:p>
    <w:p w14:paraId="051ED22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6、基金管理人及基金托管人各自保留完整的会计账目、凭证并进行日常的会计核算，按照有关规定编制基金会计报表；</w:t>
      </w:r>
    </w:p>
    <w:p w14:paraId="0A70E3F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7、基金托管人每月与基金管理人就基金的会计核算、报表编制等进行核对并以书面方式确认。</w:t>
      </w:r>
    </w:p>
    <w:p w14:paraId="27E5F3E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二、基金的年度审计</w:t>
      </w:r>
    </w:p>
    <w:p w14:paraId="3BCB1D8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1、基金管理人聘请与基金管理人、基金托管人相互独立的符合《中华人民共和国证券法》规定的会计师事务所及其注册会计师对本基金的年度财务报表进行审计。</w:t>
      </w:r>
    </w:p>
    <w:p w14:paraId="7A39268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2、会计师事务所更换经办注册会计师，应事先征得基金管理人同意。</w:t>
      </w:r>
    </w:p>
    <w:p w14:paraId="7D88CCE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3、基金管理人认为有充足理由更换会计师事务所，须通报基金托管人。更换会计师事务所需在2日内在规定媒介公告。</w:t>
      </w:r>
      <w:r>
        <w:rPr>
          <w:rFonts w:ascii="宋体" w:hAnsi="宋体" w:cs="宋体"/>
          <w:kern w:val="0"/>
          <w:sz w:val="24"/>
          <w:szCs w:val="24"/>
        </w:rPr>
        <w:br w:type="page"/>
      </w:r>
    </w:p>
    <w:p w14:paraId="0428D60B" w14:textId="77777777" w:rsidR="009D63C8" w:rsidRDefault="00B67EDE" w:rsidP="009E26D0">
      <w:pPr>
        <w:pStyle w:val="1"/>
        <w:spacing w:before="0" w:after="0"/>
        <w:jc w:val="center"/>
        <w:rPr>
          <w:rFonts w:ascii="Times New Roman"/>
          <w:color w:val="auto"/>
          <w:sz w:val="30"/>
        </w:rPr>
      </w:pPr>
      <w:bookmarkStart w:id="52" w:name="_Toc256000014"/>
      <w:r w:rsidRPr="009E26D0">
        <w:rPr>
          <w:rFonts w:ascii="Times New Roman"/>
          <w:noProof/>
          <w:color w:val="auto"/>
          <w:sz w:val="30"/>
        </w:rPr>
        <w:lastRenderedPageBreak/>
        <w:t>第十五部分</w:t>
      </w:r>
      <w:r w:rsidRPr="009E26D0">
        <w:rPr>
          <w:rFonts w:ascii="Times New Roman"/>
          <w:noProof/>
          <w:color w:val="auto"/>
          <w:sz w:val="30"/>
        </w:rPr>
        <w:t xml:space="preserve">  </w:t>
      </w:r>
      <w:r w:rsidRPr="009E26D0">
        <w:rPr>
          <w:rFonts w:ascii="Times New Roman"/>
          <w:noProof/>
          <w:color w:val="auto"/>
          <w:sz w:val="30"/>
        </w:rPr>
        <w:t>基金的信息披露</w:t>
      </w:r>
      <w:bookmarkEnd w:id="52"/>
    </w:p>
    <w:p w14:paraId="2DA812AE" w14:textId="77777777" w:rsidR="007A2B34" w:rsidRPr="0017353E" w:rsidRDefault="007A2B34" w:rsidP="0090469D"/>
    <w:p w14:paraId="23E156E8"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一、本基金的信息披露应符合《基金法》、《运作办法》、《信息披露办法》、《流动性风险管理规定》、《基金合同》及其他有关规定。相关法律法规关于信息披露的规定发生变化时，本基金从其最新规定。</w:t>
      </w:r>
    </w:p>
    <w:p w14:paraId="16CFD6E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二、信息披露义务人</w:t>
      </w:r>
    </w:p>
    <w:p w14:paraId="3E732BF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本基金信息披露义务人包括基金管理人、基金托管人、召集基金份额持有人大会的基金份额持有人等法律法规和中国证监会规定的自然人、法人和非法人组织。</w:t>
      </w:r>
    </w:p>
    <w:p w14:paraId="636B4FD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26E3D20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信息披露义务人应当在中国证监会规定时间内，将应予披露的基金信息通过符合中国证监会规定条件的全国性报刊（以下简称“规定报刊”）和《信息披露办法》规定的互联网网站（以下简称“规定网站”）等规定媒介披露，并保证基金投资者能够按照《基金合同》约定的时间和方式查阅或者复制公开披露的信息资料。</w:t>
      </w:r>
    </w:p>
    <w:p w14:paraId="0CFC992E"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三、本基金信息披露义务人承诺公开披露的基金信息，不得有下列行为：</w:t>
      </w:r>
    </w:p>
    <w:p w14:paraId="518D364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1、虚假记载、误导性陈述或者重大遗漏；</w:t>
      </w:r>
    </w:p>
    <w:p w14:paraId="31672C76"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2、对证券投资业绩进行预测；</w:t>
      </w:r>
    </w:p>
    <w:p w14:paraId="5E218454"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3、违规承诺收益或者承担损失；</w:t>
      </w:r>
    </w:p>
    <w:p w14:paraId="46DE8613"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4、诋毁其他基金管理人、基金托管人或者基金销售机构；</w:t>
      </w:r>
    </w:p>
    <w:p w14:paraId="61CA4E8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5、登载任何自然人、法人和非法人组织的祝贺性、恭维性或推荐性的文字；</w:t>
      </w:r>
    </w:p>
    <w:p w14:paraId="2933AA2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6、中国证监会禁止的其他行为。</w:t>
      </w:r>
    </w:p>
    <w:p w14:paraId="3E12449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四、本基金公开披露的信息应采用中文文本。如同时采用外文文本的，基金信息披露义务人应保证不同文本的内容一致。不同文本之间发生歧义的，以中文文本为准。</w:t>
      </w:r>
    </w:p>
    <w:p w14:paraId="5DDF6E0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本基金公开披露的信息采用阿拉伯数字；除特别说明外，货币单位为人民币元。</w:t>
      </w:r>
    </w:p>
    <w:p w14:paraId="5F8D4D2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五、公开披露的基金信息</w:t>
      </w:r>
    </w:p>
    <w:p w14:paraId="4AD58AA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公开披露的基金信息包括：</w:t>
      </w:r>
    </w:p>
    <w:p w14:paraId="7D34754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（一）基金招募说明书、《基金合同》、基金托管协议、基金产品资料概要</w:t>
      </w:r>
    </w:p>
    <w:p w14:paraId="60839AA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1、《基金合同》是界定《基金合同》当事人的各项权利、义务关系，明确基金份额持有人大会召开的规则及具体程序，说明基金产品的特性等涉及基金投资者重大利益的事项的法律文件。</w:t>
      </w:r>
    </w:p>
    <w:p w14:paraId="33D1CB1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26A29C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3、基金托管协议是界定基金托管人和基金管理人在基金财产保管及基金运作监督等活动中的权利、义务关系的法律文件。</w:t>
      </w:r>
    </w:p>
    <w:p w14:paraId="0DD2402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55F468E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募集申请经中国证监会注册后，基金管理人在基金份额发售的3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1C69DB2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（二）基金份额发售公告</w:t>
      </w:r>
    </w:p>
    <w:p w14:paraId="24097AE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基金管理人应当就基金份额发售的具体事宜编制基金份额发售公告，并在披露招募说明书的当日登载于规定媒介上。</w:t>
      </w:r>
    </w:p>
    <w:p w14:paraId="1ABDB76F"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（三）《基金合同》生效公告</w:t>
      </w:r>
    </w:p>
    <w:p w14:paraId="7B32CEE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基金管理人应当在收到中国证监会确认文件的次日在规定媒介上登载《基金合同》生效公告。</w:t>
      </w:r>
    </w:p>
    <w:p w14:paraId="67393D6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《基金合同》生效公告中应当说明基金募集情况及基金管理人、基金管理人高级管理人员、基金经理等人员以及基金管理人股东持有的基金份额、承诺持有的期限等情况。</w:t>
      </w:r>
    </w:p>
    <w:p w14:paraId="19F47FA4"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（四）基金净值信息</w:t>
      </w:r>
    </w:p>
    <w:p w14:paraId="53D1826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合同》生效后，在开始办理基金份额申购或者赎回前，基金管理人应当至少每周在规定网站披露一次各类基金份额净值和基金份额累计净值。在开始办理基金份额申购或者赎回后，基金管理人应当在不晚于每个开放日的次日，通过规定网站、基金销售机构网站或者营业网点，披露开放日的各类基金份额净值和基金份额累计净值。</w:t>
      </w:r>
    </w:p>
    <w:p w14:paraId="2784A2B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基金管理人应当在不晚于半年度和年度最后一日的次日，在规定网站披露半年度和年度最后一日的各类基金份额净值和基金份额累计净值。</w:t>
      </w:r>
    </w:p>
    <w:p w14:paraId="26639655"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（五）基金份额申购、赎回价格</w:t>
      </w:r>
    </w:p>
    <w:p w14:paraId="558B0FC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52E8F10D"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（六）基金定期报告，包括基金年度报告、基金中期报告和基金季度报告</w:t>
      </w:r>
    </w:p>
    <w:p w14:paraId="4D745C8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040FB5D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基金管理人应当在上半年结束之日起两个月内，编制完成基金中期报告，将中期报告登载在规定网站上，并将中期报告提示性公告登载在规定报刊上。</w:t>
      </w:r>
    </w:p>
    <w:p w14:paraId="69BEBA9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基金管理人应当在季度结束之日起15个工作日内，编制完成基金季度报告，将季度报告登载在规定网站上，并将季度报告提示性公告登载在规定报刊上。</w:t>
      </w:r>
    </w:p>
    <w:p w14:paraId="5508038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《基金合同》生效不足2个月的，基金管理人可以不编制当期季度报告、中期报告或者年度报告。</w:t>
      </w:r>
    </w:p>
    <w:p w14:paraId="2F7C040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43B3139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基金管理人应当在基金年度报告和中期报告中披露基金组合资产情况及其流动性风险分析等。</w:t>
      </w:r>
    </w:p>
    <w:p w14:paraId="4802CD7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基金管理人应在年度报告、中期报告、季度报告中分别披露基金管理人、基金管理人高级管理人员、基金经理等人员以及基金管理人股东持有基金的份额、期限及期间的变动情况。</w:t>
      </w:r>
    </w:p>
    <w:p w14:paraId="2E91FB2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基金管理人应当在中期报告和年度报告中披露固定管理费、或有管理费和超额管理费收取情况。</w:t>
      </w:r>
    </w:p>
    <w:p w14:paraId="315C7FE7"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（七）临时报告</w:t>
      </w:r>
    </w:p>
    <w:p w14:paraId="44A3830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本基金发生重大事件，有关信息披露义务人应当在2日内编制临时报告书，并登载在规定报刊和规定网站上。</w:t>
      </w:r>
    </w:p>
    <w:p w14:paraId="4FE59F2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前款所称重大事件，是指可能对基金份额持有人权益或者基金份额的价格产生重大影响的下列事件：</w:t>
      </w:r>
    </w:p>
    <w:p w14:paraId="371729DB"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1、基金份额持有人大会的召开及决定的事项；</w:t>
      </w:r>
    </w:p>
    <w:p w14:paraId="0EAD811E"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2、《基金合同》终止、基金清算；</w:t>
      </w:r>
    </w:p>
    <w:p w14:paraId="313F051C"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3、转换基金运作方式、基金合并；</w:t>
      </w:r>
    </w:p>
    <w:p w14:paraId="59B3D943"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4、更换基金管理人、基金托管人、基金份额登记机构，基金改聘会计师事务所；</w:t>
      </w:r>
    </w:p>
    <w:p w14:paraId="63A2D43A"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5、基金管理人委托基金服务机构代为办理基金的份额登记、核算、估值等事项，基金托管人委托基金服务机构代为办理基金的核算、估值、复核等事项；</w:t>
      </w:r>
    </w:p>
    <w:p w14:paraId="78B49CB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6、基金管理人、基金托管人的法定名称、住所发生变更；</w:t>
      </w:r>
    </w:p>
    <w:p w14:paraId="43EC3A85"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7、基金管理人变更持有百分之五以上股权的股东、基金管理人的实际控制人变更；</w:t>
      </w:r>
    </w:p>
    <w:p w14:paraId="588DE2D9"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8、基金募集期延长或提前结束募集；</w:t>
      </w:r>
    </w:p>
    <w:p w14:paraId="56447333"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9、基金管理人的高级管理人员、基金经理和基金托管人专门基金托管部门</w:t>
      </w:r>
      <w:r>
        <w:rPr>
          <w:rFonts w:ascii="宋体" w:hAnsi="宋体" w:cs="宋体"/>
          <w:kern w:val="0"/>
          <w:sz w:val="24"/>
          <w:szCs w:val="24"/>
        </w:rPr>
        <w:lastRenderedPageBreak/>
        <w:t>负责人发生变动；</w:t>
      </w:r>
    </w:p>
    <w:p w14:paraId="1B045999"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10、基金管理人的董事在最近12个月内变更超过百分之五十，基金管理人、基金托管人专门基金托管部门的主要业务人员在最近12个月内变动超过百分之三十；</w:t>
      </w:r>
    </w:p>
    <w:p w14:paraId="10EE15E8"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11、涉及基金财产、基金管理业务、基金托管业务的诉讼或仲裁；</w:t>
      </w:r>
    </w:p>
    <w:p w14:paraId="18CB1829"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426A9D2F"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0F1CE812"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14、基金收益分配事项；</w:t>
      </w:r>
    </w:p>
    <w:p w14:paraId="62FFC5C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15、管理费（包括固定管理费、或有管理费和超额管理费）、托管费、销售服务费、申购费和赎回费等费用计提标准、计提方式和费率发生变更；</w:t>
      </w:r>
    </w:p>
    <w:p w14:paraId="0952D82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16、某类基金份额净值估值错误达该类基金份额净值百分之零点五；</w:t>
      </w:r>
    </w:p>
    <w:p w14:paraId="4A3A415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17、本基金开始办理申购、赎回；</w:t>
      </w:r>
    </w:p>
    <w:p w14:paraId="37EA11F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18、本基金发生巨额赎回并延期办理；</w:t>
      </w:r>
    </w:p>
    <w:p w14:paraId="29BFABF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19、本基金连续发生巨额赎回并暂停接受赎回申请或延缓支付赎回款项；</w:t>
      </w:r>
    </w:p>
    <w:p w14:paraId="3933D80D"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20、本基金暂停接受申购、赎回申请或者重新接受申购、赎回申请；</w:t>
      </w:r>
    </w:p>
    <w:p w14:paraId="14F4379A"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21、调整基金份额类别的设置；</w:t>
      </w:r>
    </w:p>
    <w:p w14:paraId="7805D05B"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22、本基金推出新业务或服务；</w:t>
      </w:r>
    </w:p>
    <w:p w14:paraId="121722DB"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23、发生涉及基金申购、赎回事项调整或潜在影响投资者赎回等重大事项时；</w:t>
      </w:r>
    </w:p>
    <w:p w14:paraId="1CA0DF56"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24、基金管理人采用摆动定价机制进行估值；</w:t>
      </w:r>
    </w:p>
    <w:p w14:paraId="62A4AD6C"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25、基金信息披露义务人认为可能对基金份额持有人权益或者基金份额的价格产生重大影响的其他事项或中国证监会规定的其他事项。</w:t>
      </w:r>
    </w:p>
    <w:p w14:paraId="629DF780"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（八）澄清公告</w:t>
      </w:r>
    </w:p>
    <w:p w14:paraId="612CDF9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在《基金合同》存续期限内，任何公共媒介中出现的或者在市场上流传的消息可能对基金份额价格产生误导性影响或者引起较大波动，以及可能损害基金份</w:t>
      </w:r>
      <w:r>
        <w:rPr>
          <w:rFonts w:ascii="宋体" w:hAnsi="宋体" w:cs="宋体"/>
          <w:kern w:val="0"/>
          <w:sz w:val="24"/>
          <w:szCs w:val="24"/>
        </w:rPr>
        <w:lastRenderedPageBreak/>
        <w:t>额持有人权益的，相关信息披露义务人知悉后应当立即对该消息进行公开澄清。</w:t>
      </w:r>
    </w:p>
    <w:p w14:paraId="118A6186"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（九）清算报告</w:t>
      </w:r>
    </w:p>
    <w:p w14:paraId="04CC17F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基金合同终止情形发生时，基金管理人应当依法组织基金财产清算小组对基金财产进行清算并作出清算报告。基金财产清算小组应当将清算报告登载在规定网站上，并将清算报告提示性公告登载在规定报刊上。</w:t>
      </w:r>
    </w:p>
    <w:p w14:paraId="24C020BF"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（十）基金份额持有人大会决议</w:t>
      </w:r>
    </w:p>
    <w:p w14:paraId="79B4F3D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基金份额持有人大会决定的事项，应当依法报中国证监会备案，并予以公告。</w:t>
      </w:r>
    </w:p>
    <w:p w14:paraId="2DFB384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（十一）投资股指期货的信息披露</w:t>
      </w:r>
    </w:p>
    <w:p w14:paraId="19AAC60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477C946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（十二）投资国债期货的信息披露</w:t>
      </w:r>
    </w:p>
    <w:p w14:paraId="1156D9D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4BEECD9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（十三）投资股票期权的信息披露</w:t>
      </w:r>
    </w:p>
    <w:p w14:paraId="2351E93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186C577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（十四）投资资产支持证券的信息披露</w:t>
      </w:r>
    </w:p>
    <w:p w14:paraId="0F6364F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732431B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（十五）参与融资业务的信息披露</w:t>
      </w:r>
    </w:p>
    <w:p w14:paraId="4E93195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基金管理人应在季度报告、中期报告、年度报告等定期报告和招募说明书（更</w:t>
      </w:r>
      <w:r>
        <w:rPr>
          <w:rFonts w:ascii="宋体" w:hAnsi="宋体" w:cs="宋体"/>
          <w:kern w:val="0"/>
          <w:sz w:val="24"/>
          <w:szCs w:val="24"/>
        </w:rPr>
        <w:lastRenderedPageBreak/>
        <w:t>新）等文件中披露参与融资交易的情况，包括投资策略、业务开展情况、损益情况、风险及管理情况。</w:t>
      </w:r>
    </w:p>
    <w:p w14:paraId="7C40B1F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（十六）投资港股通标的股票的信息披露</w:t>
      </w:r>
    </w:p>
    <w:p w14:paraId="58F83EE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基金管理人应在季度报告、中期报告、年度报告等定期报告和招募说明书（更新）等文件中披露港股通交易的相关情况。</w:t>
      </w:r>
    </w:p>
    <w:p w14:paraId="4690F1D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（十七）投资信用衍生品的信息披露</w:t>
      </w:r>
    </w:p>
    <w:p w14:paraId="41999B9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3CF3DB2F" w14:textId="56105003"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（十</w:t>
      </w:r>
      <w:r w:rsidR="006F1750">
        <w:rPr>
          <w:rFonts w:ascii="宋体" w:hAnsi="宋体" w:cs="宋体" w:hint="eastAsia"/>
          <w:kern w:val="0"/>
          <w:sz w:val="24"/>
          <w:szCs w:val="24"/>
        </w:rPr>
        <w:t>八</w:t>
      </w:r>
      <w:r>
        <w:rPr>
          <w:rFonts w:ascii="宋体" w:hAnsi="宋体" w:cs="宋体"/>
          <w:kern w:val="0"/>
          <w:sz w:val="24"/>
          <w:szCs w:val="24"/>
        </w:rPr>
        <w:t>）实施侧袋机制期间的信息披露</w:t>
      </w:r>
    </w:p>
    <w:p w14:paraId="722C6B4B"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本基金实施侧袋机制的，相关信息披露义务人应当根据法律法规、基金合同和招募说明书的规定进行信息披露，详见本招募说明书“侧袋机制”章节的规定。</w:t>
      </w:r>
    </w:p>
    <w:p w14:paraId="2D1D188E" w14:textId="38BE2A85"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（十</w:t>
      </w:r>
      <w:r w:rsidR="006F1750">
        <w:rPr>
          <w:rFonts w:ascii="宋体" w:hAnsi="宋体" w:cs="宋体" w:hint="eastAsia"/>
          <w:kern w:val="0"/>
          <w:sz w:val="24"/>
          <w:szCs w:val="24"/>
        </w:rPr>
        <w:t>九</w:t>
      </w:r>
      <w:r>
        <w:rPr>
          <w:rFonts w:ascii="宋体" w:hAnsi="宋体" w:cs="宋体"/>
          <w:kern w:val="0"/>
          <w:sz w:val="24"/>
          <w:szCs w:val="24"/>
        </w:rPr>
        <w:t>）中国证监会规定的其他信息。</w:t>
      </w:r>
    </w:p>
    <w:p w14:paraId="5043C040"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六、暂停或延迟信息披露的情形</w:t>
      </w:r>
    </w:p>
    <w:p w14:paraId="523327B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1、基金投资所涉及的证券/期货交易所遇法定节假日或因其他原因暂停营业时；</w:t>
      </w:r>
    </w:p>
    <w:p w14:paraId="0F87C13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2、因不可抗力或其他情形致使基金管理人、基金托管人无法准确评估基金资产价值时；</w:t>
      </w:r>
    </w:p>
    <w:p w14:paraId="660B5E9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3、法律法规规定、中国证监会或《基金合同》认定的其他情形。</w:t>
      </w:r>
    </w:p>
    <w:p w14:paraId="5D38FFB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七、信息披露事务管理</w:t>
      </w:r>
    </w:p>
    <w:p w14:paraId="6EB67A5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基金管理人、基金托管人应当建立健全信息披露管理制度，指定专门部门及高级管理人员负责管理信息披露事务。</w:t>
      </w:r>
    </w:p>
    <w:p w14:paraId="69809FF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基金信息披露义务人公开披露基金信息，应当符合中国证监会相关基金信息披露内容与格式准则等法规的规定。</w:t>
      </w:r>
    </w:p>
    <w:p w14:paraId="0686B04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托管人应当按照相关法律法规、中国证监会的规定和《基金合同》的约定，对基金管理人编制的基金资产净值、各类基金份额净值、基金份额申购赎回价格、基金定期报告、更新的招募说明书、更新的基金产品资料概要、基金清算报告等公开披露的相关基金信息进行复核、审查，并向基金管理人进行书面或电</w:t>
      </w:r>
      <w:r>
        <w:rPr>
          <w:rFonts w:ascii="宋体" w:hAnsi="宋体" w:cs="宋体"/>
          <w:kern w:val="0"/>
          <w:sz w:val="24"/>
          <w:szCs w:val="24"/>
        </w:rPr>
        <w:lastRenderedPageBreak/>
        <w:t>子确认。</w:t>
      </w:r>
    </w:p>
    <w:p w14:paraId="7824BDC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3491410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43796DC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247483B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为基金信息披露义务人公开披露的基金信息出具审计报告、法律意见书的专业机构，应当制作工作底稿，并将相关档案至少保存到《基金合同》终止后10年。</w:t>
      </w:r>
    </w:p>
    <w:p w14:paraId="24EEE8D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八、信息披露文件的存放与查阅</w:t>
      </w:r>
    </w:p>
    <w:p w14:paraId="7C6656C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依法必须披露的信息发布后，基金管理人、基金托管人应当按照相关法律法规规定将信息置备于各自住所，供社会公众查阅、复制。</w:t>
      </w:r>
      <w:r>
        <w:rPr>
          <w:rFonts w:ascii="宋体" w:hAnsi="宋体" w:cs="宋体"/>
          <w:kern w:val="0"/>
          <w:sz w:val="24"/>
          <w:szCs w:val="24"/>
        </w:rPr>
        <w:br w:type="page"/>
      </w:r>
    </w:p>
    <w:p w14:paraId="7D1B89EC" w14:textId="77777777" w:rsidR="009D63C8" w:rsidRDefault="00B67EDE" w:rsidP="009E26D0">
      <w:pPr>
        <w:pStyle w:val="1"/>
        <w:spacing w:before="0" w:after="0"/>
        <w:jc w:val="center"/>
        <w:rPr>
          <w:rFonts w:ascii="Times New Roman"/>
          <w:color w:val="auto"/>
          <w:sz w:val="30"/>
        </w:rPr>
      </w:pPr>
      <w:bookmarkStart w:id="53" w:name="_Toc256000015"/>
      <w:r w:rsidRPr="009E26D0">
        <w:rPr>
          <w:rFonts w:ascii="Times New Roman"/>
          <w:noProof/>
          <w:color w:val="auto"/>
          <w:sz w:val="30"/>
        </w:rPr>
        <w:lastRenderedPageBreak/>
        <w:t>第十六部分</w:t>
      </w:r>
      <w:r w:rsidRPr="009E26D0">
        <w:rPr>
          <w:rFonts w:ascii="Times New Roman"/>
          <w:noProof/>
          <w:color w:val="auto"/>
          <w:sz w:val="30"/>
        </w:rPr>
        <w:t xml:space="preserve">  </w:t>
      </w:r>
      <w:r w:rsidRPr="009E26D0">
        <w:rPr>
          <w:rFonts w:ascii="Times New Roman"/>
          <w:noProof/>
          <w:color w:val="auto"/>
          <w:sz w:val="30"/>
        </w:rPr>
        <w:t>风险揭示</w:t>
      </w:r>
      <w:bookmarkEnd w:id="53"/>
    </w:p>
    <w:p w14:paraId="24871228" w14:textId="77777777" w:rsidR="007A2B34" w:rsidRPr="0017353E" w:rsidRDefault="007A2B34" w:rsidP="0090469D"/>
    <w:p w14:paraId="6CD03FE7"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市场风险</w:t>
      </w:r>
    </w:p>
    <w:p w14:paraId="0C3063AD"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市场风险是指证券市场价格受到经济因素、政治因素、投资心理和交易制度等各种因素的影响而变化，导致收益水平存在的不确定性。市场风险主要包括：</w:t>
      </w:r>
    </w:p>
    <w:p w14:paraId="376CA6E9"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政策风险</w:t>
      </w:r>
    </w:p>
    <w:p w14:paraId="5E4C01EC"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因国家宏观政策（如货币政策、财政政策、行业政策、地区发展政策等）发生变化，导致市场价格波动而产生风险。</w:t>
      </w:r>
    </w:p>
    <w:p w14:paraId="24F2AD4D"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经济周期风险</w:t>
      </w:r>
    </w:p>
    <w:p w14:paraId="0CEF3266"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随经济运行的周期性变化，证券市场的收益水平也呈周期性变化。基金投资于证券，收益水平也会随之变化，从而产生风险。</w:t>
      </w:r>
    </w:p>
    <w:p w14:paraId="4F6D3B36"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利率风险</w:t>
      </w:r>
    </w:p>
    <w:p w14:paraId="2C855D63"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金融市场利率的波动会导致证券市场价格和收益率的变动。利率直接影响着证券的价格和收益率，影响着企业的融资成本和利润。基金投资于证券，其收益水平会受到利率变化的影响。</w:t>
      </w:r>
    </w:p>
    <w:p w14:paraId="135C5F7B"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上市公司经营风险</w:t>
      </w:r>
    </w:p>
    <w:p w14:paraId="59C7B438"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上市公司的经营好坏受多种因素影响，如管理能力、财务状况、市场前景、行业竞争、人员素质等，这些都会导致企业的盈利发生变化。</w:t>
      </w:r>
    </w:p>
    <w:p w14:paraId="5D59AD92"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如果基金所投资的上市公司经营不善，其股票价格可能下跌，或者能够用于分配的利润减少，使基金投资收益下降。</w:t>
      </w:r>
    </w:p>
    <w:p w14:paraId="5464A316"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虽然基金可以通过投资多样化来分散这种非系统风险，但不能完全规避。</w:t>
      </w:r>
    </w:p>
    <w:p w14:paraId="33D17628"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信用风险</w:t>
      </w:r>
    </w:p>
    <w:p w14:paraId="05AEBD58"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主要是指债务人的违约风险，若债务人经营不善，资不抵债，债权人可能会损失掉大部分的投资，这主要体现在企业债中。</w:t>
      </w:r>
    </w:p>
    <w:p w14:paraId="1BA28029"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购买力风险</w:t>
      </w:r>
    </w:p>
    <w:p w14:paraId="441B584C"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基金的利润将主要通过现金形式来分配，而现金可能因为通货膨胀的影响而导致购买力下降，从而使基金的实际收益下降。</w:t>
      </w:r>
    </w:p>
    <w:p w14:paraId="68172650"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债券收益率曲线风险</w:t>
      </w:r>
    </w:p>
    <w:p w14:paraId="5B25A892"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债券收益率曲线风险是指与收益率曲线非平行移动有关的风险，单一的久期</w:t>
      </w:r>
      <w:r>
        <w:rPr>
          <w:rFonts w:ascii="宋体" w:hAnsi="宋体" w:cs="宋体"/>
          <w:kern w:val="0"/>
          <w:sz w:val="24"/>
          <w:szCs w:val="24"/>
        </w:rPr>
        <w:lastRenderedPageBreak/>
        <w:t>指标并不能充分反映这一风险的存在。</w:t>
      </w:r>
    </w:p>
    <w:p w14:paraId="4EC0DD41"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再投资风险</w:t>
      </w:r>
    </w:p>
    <w:p w14:paraId="57F4D5E3"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比之前较少的收益率。</w:t>
      </w:r>
    </w:p>
    <w:p w14:paraId="66BE460C" w14:textId="77777777" w:rsidR="00AE2B28" w:rsidRDefault="00B67EDE">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9、波动性风险</w:t>
      </w:r>
    </w:p>
    <w:p w14:paraId="2C92195F"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波动性风险主要存在于可转换债券的投资中，具体表现为可转换债券的价格受到其相对应股票价格波动的影响，同时可转换债券还有信用风险与转股风险。转股风险指相对应股票价格跌破转股价，不能获得转股收益，从而无法弥补当初付出的转股期权价值。</w:t>
      </w:r>
    </w:p>
    <w:p w14:paraId="7BE41146"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管理风险</w:t>
      </w:r>
    </w:p>
    <w:p w14:paraId="77779A5F"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在基金管理运作过程中，基金管理人的知识、技能、经验、判断等主观因素会影响其对相关信息和经济形势、证券价格走势的判断，从而影响基金收益水平。</w:t>
      </w:r>
    </w:p>
    <w:p w14:paraId="426A16BD"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流动性风险</w:t>
      </w:r>
    </w:p>
    <w:p w14:paraId="7AF71D9C"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流动性风险可视为一种综合性风险，它是其他风险在基金管理和公司整体经营方面的综合体现。中国的证券市场还处在初期发展阶段，在某些情况下某些投资品种的流动性不佳，由此可能影响到基金投资收益的实现。</w:t>
      </w:r>
    </w:p>
    <w:p w14:paraId="7537D86A"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要随时应对投资者的赎回，如果基金资产不能迅速转变成现金，或者变现为现金时对基金资产净值产生不利的影响，都会影响基金运作和收益水平。尤其是在发生巨额赎回时，如果基金资产变现能力差，可能会产生基金仓位调整的困难，导致流动性风险，可能影响基金份额净值。</w:t>
      </w:r>
    </w:p>
    <w:p w14:paraId="7A764654"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1、投资市场、行业及资产的流动性风险评估</w:t>
      </w:r>
    </w:p>
    <w:p w14:paraId="2674ED0B"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（1）投资市场的流动性风险</w:t>
      </w:r>
    </w:p>
    <w:p w14:paraId="6EB68174"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主要投资于国内依法发行上市的股票、债券、港股通标的股票、资产支持证券、债券回购、同业存单、银行存款、货币市场工具等投资品种。上述资产均在规范的交易场所、运作时间长，市场透明度较高，运作方式规范，历史流动性状况良好，正常情况下能够及时满足基金变现需求，保证基金按时应对赎回要求。极端市场情况下，上述资产可能出现流动性不足，导致基金资产无法变现，</w:t>
      </w:r>
      <w:r>
        <w:rPr>
          <w:rStyle w:val="custom"/>
          <w:rFonts w:ascii="宋体" w:hAnsi="宋体" w:cs="宋体"/>
          <w:kern w:val="0"/>
          <w:sz w:val="24"/>
          <w:szCs w:val="24"/>
        </w:rPr>
        <w:lastRenderedPageBreak/>
        <w:t>从而影响投资者按时收到赎回款项。根据过往经验统计，绝大部分时间上述资产流动性充裕，流动性风险可控，当遇到极端市场情况时，基金管理人会按照基金合同及相关法律法规要求，及时启动流动性风险应对措施，保护基金投资者的合法权益。</w:t>
      </w:r>
    </w:p>
    <w:p w14:paraId="6A9143C3"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（2）投资行业的流动性风险</w:t>
      </w:r>
    </w:p>
    <w:p w14:paraId="61E17D29" w14:textId="5D3E3A4C"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股票投资方面，本基金将在考虑</w:t>
      </w:r>
      <w:r w:rsidR="006F1750">
        <w:rPr>
          <w:rStyle w:val="custom"/>
          <w:rFonts w:ascii="宋体" w:hAnsi="宋体" w:cs="宋体"/>
          <w:kern w:val="0"/>
          <w:sz w:val="24"/>
          <w:szCs w:val="24"/>
        </w:rPr>
        <w:t>本基金投资主题下各细分</w:t>
      </w:r>
      <w:r>
        <w:rPr>
          <w:rStyle w:val="custom"/>
          <w:rFonts w:ascii="宋体" w:hAnsi="宋体" w:cs="宋体"/>
          <w:kern w:val="0"/>
          <w:sz w:val="24"/>
          <w:szCs w:val="24"/>
        </w:rPr>
        <w:t>行业生命周期、景气程度、估值水平以及股票市场行业轮动规律的基础上决定</w:t>
      </w:r>
      <w:r w:rsidR="006F1750">
        <w:rPr>
          <w:rStyle w:val="custom"/>
          <w:rFonts w:ascii="宋体" w:hAnsi="宋体" w:cs="宋体"/>
          <w:kern w:val="0"/>
          <w:sz w:val="24"/>
          <w:szCs w:val="24"/>
        </w:rPr>
        <w:t>各细分</w:t>
      </w:r>
      <w:r>
        <w:rPr>
          <w:rStyle w:val="custom"/>
          <w:rFonts w:ascii="宋体" w:hAnsi="宋体" w:cs="宋体"/>
          <w:kern w:val="0"/>
          <w:sz w:val="24"/>
          <w:szCs w:val="24"/>
        </w:rPr>
        <w:t>行业的配置，同时本基金将根据宏观经济和证券市场环境的变化，及时对行业配置进行动态调整。</w:t>
      </w:r>
    </w:p>
    <w:p w14:paraId="228B6843"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债券投资方面，本基金通过深入分析宏观经济数据、货币政策和利率变化趋势以及不同类属的收益率水平、流动性和信用风险等因素，以久期控制和结构分布策略为主，以收益率曲线策略、利差策略等为辅，构造能够提供稳定收益的债券和货币市场工具组合。</w:t>
      </w:r>
    </w:p>
    <w:p w14:paraId="592B8810"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因此本基金在投资运作过程中的行业配置较为灵活，在综合考虑宏观因素及行业基本面的前提下进行配置，不以投资于某单一行业为投资目标，行业分散度较高，受到单一行业流动性风险的影响较小。</w:t>
      </w:r>
    </w:p>
    <w:p w14:paraId="760FB0B7"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（3）投资资产的流动性风险</w:t>
      </w:r>
    </w:p>
    <w:p w14:paraId="52FB53B1"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本基金针对流动性较低资产的投资进行了严格的限制，以降低基金的流动性风险：</w:t>
      </w:r>
    </w:p>
    <w:p w14:paraId="0EC686D8"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为开放式基金，主动投资于流动性受限资产的市值合计不得超过基金资产净值的15%。本基金为保持较高的组合流动性，方便投资人安排投资，在遵守本基金有关投资限制与投资比例的前提下，将主要投资于高流动性的投资品种，防范流动性风险。同时，结合市场流动性特点，本基金将提前合理安排组合流动性，统筹考虑投资者申购赎回特征和客户大额资金流向特征，以确定本基金在不同投资品种的配置比例，确保流动性充裕。</w:t>
      </w:r>
    </w:p>
    <w:p w14:paraId="712FC244"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本基金申购、赎回安排</w:t>
      </w:r>
    </w:p>
    <w:p w14:paraId="503C9493"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投资人可在本基金的开放日办理基金份额的申购和赎回业务。</w:t>
      </w:r>
    </w:p>
    <w:p w14:paraId="3F1CBE91"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为切实保护存量基金份额持有人的合法权益，遵循基金份额持有人利益优先原则，本基金管理人将合理控制基金份额持有人集中度，审慎确认申购赎回业务</w:t>
      </w:r>
      <w:r>
        <w:rPr>
          <w:rFonts w:ascii="宋体" w:hAnsi="宋体" w:cs="宋体"/>
          <w:kern w:val="0"/>
          <w:sz w:val="24"/>
          <w:szCs w:val="24"/>
        </w:rPr>
        <w:lastRenderedPageBreak/>
        <w:t>申请，包括但不限于：</w:t>
      </w:r>
    </w:p>
    <w:p w14:paraId="4CC7A17C"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当接受申购申请对存量基金份额持有人利益构成潜在重大不利影响时，基金管理人应当采取设定单一投资者申购金额上限、基金规模上限或基金单日净申购比例上限、拒绝大额申购、暂停基金申购等措施，切实保护存量基金份额持有人的合法权益。</w:t>
      </w:r>
    </w:p>
    <w:p w14:paraId="218ADF9A"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（2）本基金管理人对持续持有期少于7日的投资者收取不低于1.5%的赎回费，并将上述赎回费全额计入基金财产。</w:t>
      </w:r>
    </w:p>
    <w:p w14:paraId="67B0CA58"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当发生大额申购或赎回情形时，基金管理人可以采用摆动定价机制，以确保基金估值的公平性。</w:t>
      </w:r>
    </w:p>
    <w:p w14:paraId="044F830A"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当前一估值日基金资产净值50%以上的资产出现无可参考的活跃市场价格且采用估值技术仍导致公允价值存在重大不确定性时，经与基金托管人协商确认后，基金管理人应当暂停接受基金申购申请、赎回申请或延缓支付赎回款项。</w:t>
      </w:r>
    </w:p>
    <w:p w14:paraId="7962CDC7"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具体措施详见本招募说明书“基金份额的申购与赎回”部分的规定。</w:t>
      </w:r>
    </w:p>
    <w:p w14:paraId="5E7D3F81"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巨额赎回情形下流动性风险管理措施</w:t>
      </w:r>
    </w:p>
    <w:p w14:paraId="05FA2D94"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当本基金出现巨额赎回情形时，本基金管理人经内部决策，并与基金托管人协商一致后，将运用多种流动性风险管理工具对赎回申请进行适度调整，以应对流动性风险，保护基金份额持有人的利益，包括但不限于：</w:t>
      </w:r>
    </w:p>
    <w:p w14:paraId="69B347F3"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延期办理巨额赎回申请；</w:t>
      </w:r>
    </w:p>
    <w:p w14:paraId="1DDC3688"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（2）暂停接受赎回申请；</w:t>
      </w:r>
    </w:p>
    <w:p w14:paraId="2424BF8C"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延缓支付赎回款项；</w:t>
      </w:r>
    </w:p>
    <w:p w14:paraId="30D523EB"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中国证监会认可的其他措施。</w:t>
      </w:r>
    </w:p>
    <w:p w14:paraId="7BCFC1D6"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具体措施详见本招募说明书“基金份额的申购与赎回”部分的规定。</w:t>
      </w:r>
    </w:p>
    <w:p w14:paraId="6C4C3C48"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实施备用的流动性风险管理工具的情形、程序及对投资者的潜在影响</w:t>
      </w:r>
    </w:p>
    <w:p w14:paraId="43B174A4"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经与基金托管人协商一致，在确保投资者得到公平对待的前提下，可依照法律法规及基金合同的约定，综合运用各类流动性风险管理工具，对赎回申请进行适度调整，作为特定情形下基金管理人流动性风险管理的辅助措施。</w:t>
      </w:r>
    </w:p>
    <w:p w14:paraId="09D4935E"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当基金管理人认为支付投资人的赎回申请有困难或认为因支付投资人的赎回申请而进行的财产变现可能会对基金资产净值造成较大波动时，可综合运用包</w:t>
      </w:r>
      <w:r>
        <w:rPr>
          <w:rFonts w:ascii="宋体" w:hAnsi="宋体" w:cs="宋体"/>
          <w:kern w:val="0"/>
          <w:sz w:val="24"/>
          <w:szCs w:val="24"/>
        </w:rPr>
        <w:lastRenderedPageBreak/>
        <w:t>括延期办理巨额赎回申请</w:t>
      </w:r>
      <w:r>
        <w:rPr>
          <w:rStyle w:val="custom"/>
          <w:rFonts w:ascii="宋体" w:hAnsi="宋体" w:cs="宋体"/>
          <w:kern w:val="0"/>
          <w:sz w:val="24"/>
          <w:szCs w:val="24"/>
        </w:rPr>
        <w:t>、暂停接受赎回申请</w:t>
      </w:r>
      <w:r>
        <w:rPr>
          <w:rFonts w:ascii="宋体" w:hAnsi="宋体" w:cs="宋体"/>
          <w:kern w:val="0"/>
          <w:sz w:val="24"/>
          <w:szCs w:val="24"/>
        </w:rPr>
        <w:t>、延缓支付赎回款项</w:t>
      </w:r>
      <w:r>
        <w:rPr>
          <w:rStyle w:val="custom"/>
          <w:rFonts w:ascii="宋体" w:hAnsi="宋体" w:cs="宋体"/>
          <w:kern w:val="0"/>
          <w:sz w:val="24"/>
          <w:szCs w:val="24"/>
        </w:rPr>
        <w:t>、收取短期赎回费</w:t>
      </w:r>
      <w:r>
        <w:rPr>
          <w:rFonts w:ascii="宋体" w:hAnsi="宋体" w:cs="宋体"/>
          <w:kern w:val="0"/>
          <w:sz w:val="24"/>
          <w:szCs w:val="24"/>
        </w:rPr>
        <w:t>、暂停基金估值、摆动定价、实施侧袋机制等流动性风险管理工具，投资者将面临无法办理申购、其赎回申请被拒绝或延期办理、赎回款项延缓支付，或面临赎回成本或申购成本较高等的风险。</w:t>
      </w:r>
    </w:p>
    <w:p w14:paraId="3B26442E"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本基金实施备用的流动性风险管理工具包括但不限于：</w:t>
      </w:r>
    </w:p>
    <w:p w14:paraId="46127A0B"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延期办理巨额赎回申请；</w:t>
      </w:r>
    </w:p>
    <w:p w14:paraId="4DE0CFF6"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（2）暂停接受赎回申请；</w:t>
      </w:r>
    </w:p>
    <w:p w14:paraId="4496F3A6"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延缓支付赎回款项；</w:t>
      </w:r>
    </w:p>
    <w:p w14:paraId="6E0DF4A1"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（4）收取短期赎回费；</w:t>
      </w:r>
    </w:p>
    <w:p w14:paraId="286EAFB6"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暂停基金估值；</w:t>
      </w:r>
    </w:p>
    <w:p w14:paraId="3957B042"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摆动定价；</w:t>
      </w:r>
    </w:p>
    <w:p w14:paraId="7411B754"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实施侧袋机制；</w:t>
      </w:r>
    </w:p>
    <w:p w14:paraId="66B30C2C"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中国证监会认定的其他措施。</w:t>
      </w:r>
    </w:p>
    <w:p w14:paraId="7DE6DB28"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特有风险</w:t>
      </w:r>
    </w:p>
    <w:p w14:paraId="1C72924F"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1、本基金可以投资港股通标的股票，投资风险包括：</w:t>
      </w:r>
    </w:p>
    <w:p w14:paraId="72638F14"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本基金将通过“港股通”投资于香港市场，在市场环境、市场进入、投资额度、可投资对象、税务政策、市场制度等方面都有一定的限制，而且此类限制可能会不断调整，这些限制因素的变化可能对本基金进入或退出当地市场造成障碍，从而对投资收益以及正常的申购赎回产生直接或间接的影响。</w:t>
      </w:r>
    </w:p>
    <w:p w14:paraId="7074DCD0"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（2）香港市场交易规则有别于内地A股市场规则，此外，在港股通下参与香港股票投资还将面临包括但不限于如下特殊风险：</w:t>
      </w:r>
    </w:p>
    <w:p w14:paraId="4E47FCCA"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①香港市场实行T+0回转交易，且证券交易价格并无涨跌幅上下限的规定，因此每日涨跌幅空间相对较大，港股股价可能表现出比A股更为剧烈的股价波动；</w:t>
      </w:r>
    </w:p>
    <w:p w14:paraId="3AB9BA82"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②根据现行的港股通规则，只有内地和香港两地均为交易日方可进行港股通交易，因此存在港股通交易日不连贯的风险（如在内地开市香港休市的情形下，港股通不能正常交易，港股不能及时卖出），可能带来一定的流动性风险；</w:t>
      </w:r>
    </w:p>
    <w:p w14:paraId="0234E100"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③香港出现台风、黑色暴雨或者联交所规定的其他情形时，联交所将可能停市，投资者将面临在停市期间无法进行港股通交易的风险；出现境内证券交易服</w:t>
      </w:r>
      <w:r>
        <w:rPr>
          <w:rStyle w:val="custom"/>
          <w:rFonts w:ascii="宋体" w:hAnsi="宋体" w:cs="宋体"/>
          <w:kern w:val="0"/>
          <w:sz w:val="24"/>
          <w:szCs w:val="24"/>
        </w:rPr>
        <w:lastRenderedPageBreak/>
        <w:t>务公司认定的交易异常情况时，境内证券交易服务公司将可能暂停提供部分或者全部港股通服务，投资者将面临在暂停服务期间无法进行港股通交易的风险；</w:t>
      </w:r>
    </w:p>
    <w:p w14:paraId="41A87353"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④投资者因港股通股票权益分派、转换、上市公司被收购等情形或者异常情况，所取得的港股通股票以外的联交所上市证券，只能通过港股通卖出，但不得买入，证券交易所另有规定的除外；因港股通股票权益分派或者转换等情形取得的联交所上市股票的认购权利在联交所上市的，可以通过港股通卖出，但不得行权；因港股通股票权益分派、转换或者上市公司被收购等所取得的非联交所上市证券，可以享有相关权益，但不得通过港股通买入或卖出；</w:t>
      </w:r>
    </w:p>
    <w:p w14:paraId="765D0514"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⑤代理投票。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14:paraId="6998BD82"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⑥汇率风险。投资港股通标的股票还面临汇率风险，汇率波动可能对基金的投资收益造成影响；</w:t>
      </w:r>
    </w:p>
    <w:p w14:paraId="23AB1E23"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⑦本基金可根据投资策略需要或不同配置地市场环境的变化，选择将部分基金资产投资于港股或选择不将基金资产投资于港股，基金资产并非必然投资港股。</w:t>
      </w:r>
    </w:p>
    <w:p w14:paraId="76AFEC7E"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（3）港股通额度限制。现行的港股通规则，对港股通设有每日额度上限的限制；本基金可能因为港股通市场每日额度不足，而不能买入看好的投资标的进而错失投资机会的风险。</w:t>
      </w:r>
    </w:p>
    <w:p w14:paraId="56109E6D"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2、国债期货投资风险</w:t>
      </w:r>
    </w:p>
    <w:p w14:paraId="569A90CA"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可投资国债期货，国债期货的投资可能面临市场风险、基差风险、流动性风险。市场风险是因期货市场价格波动使所持有的期货合约价值发生变化的风险。基差风险是期货市场的特有风险之一，是指由于期货与现货间的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02B18362"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3、股指期货投资风险</w:t>
      </w:r>
    </w:p>
    <w:p w14:paraId="6F09EC96"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本基金可投资股指期货，股指期货采用保证金交易制度，由于保证金交易具</w:t>
      </w:r>
      <w:r>
        <w:rPr>
          <w:rStyle w:val="custom"/>
          <w:rFonts w:ascii="宋体" w:hAnsi="宋体" w:cs="宋体"/>
          <w:kern w:val="0"/>
          <w:sz w:val="24"/>
          <w:szCs w:val="24"/>
        </w:rPr>
        <w:lastRenderedPageBreak/>
        <w:t>有杠杆性，当出现不利行情时，股价指数微小的变动就可能会使投资人权益遭受较大损失。股指期货采用每日无负债结算制度，如果没有在规定的时间内补足保证金，按规定将被强制平仓，可能给投资带来重大损失。</w:t>
      </w:r>
    </w:p>
    <w:p w14:paraId="6AC63A37"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4、股票期权投资风险</w:t>
      </w:r>
    </w:p>
    <w:p w14:paraId="51B44D56"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本基金的投资范围包括股票期权，股票期权的风险主要包括：</w:t>
      </w:r>
    </w:p>
    <w:p w14:paraId="0D07B1BD"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（1）市场风险</w:t>
      </w:r>
    </w:p>
    <w:p w14:paraId="7B3A5CCC"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期权定价模型较为复杂，其市值将会受到期权合约价格、标的物价格、标的物波动率等多因素影响。若期权标的价格波动导致期权不具行权价值，期权买方将损失付出的所有权利金；期权卖方由于需承担行权履约义务，因合约标的价格波动导致的损失可能远大于其收取的权利金；</w:t>
      </w:r>
    </w:p>
    <w:p w14:paraId="090706B5"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（2）行权风险</w:t>
      </w:r>
    </w:p>
    <w:p w14:paraId="6D990653"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对于期权交易的买方，在合约到期时选择行权的，若行权资金（认购期权）或合约标的不足（认沽期权）将可能导致不足部分对应的行权申报失败的风险。对于期权交易的卖方，如果未能在规定期限内准备好足额的资金（认沽期权）或者证券（认购期权），就会构成行权资金交收违约或者行权证券交割违约，需按照交易所规定支付违约金。此外，由于行权日和证券交割后的可交易日的差异而导致行权后持有现货证券等，还将面临证券价格涨跌风险；</w:t>
      </w:r>
    </w:p>
    <w:p w14:paraId="22947D50"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（3）流动性风险</w:t>
      </w:r>
    </w:p>
    <w:p w14:paraId="359833EA"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期权业务的流动性风险主要包括流通量风险和无法缴足保证金（现金或现货）的流动性风险；</w:t>
      </w:r>
    </w:p>
    <w:p w14:paraId="2B0C6749"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（4）时间价值风险</w:t>
      </w:r>
    </w:p>
    <w:p w14:paraId="15E315BE"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期权交易的买方拥有期权的时间价值，时间价值随着期权到期日的临近而不断损耗。上述风险可能增加本基金净值的波动性。</w:t>
      </w:r>
    </w:p>
    <w:p w14:paraId="43C5D2AB"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5、资产支持证券投资风险</w:t>
      </w:r>
    </w:p>
    <w:p w14:paraId="172FD040"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可投资资产支持证券，资产支持证券在国内市场尚处发展初期，具有低流动性、高收益的特征，并存在一定的投资风险。资产支持证券的投资与基金资产密切相关，因此会受到特定原始权益人破产风险及现金流预测风险等的影响；当本基金投资的资产支持证券信用评级发生变化时，本基金将需要面对临时调整持仓的风险；此外当资产支持证券相关的发行人、管理人、托管人等出现违规违</w:t>
      </w:r>
      <w:r>
        <w:rPr>
          <w:rStyle w:val="custom"/>
          <w:rFonts w:ascii="宋体" w:hAnsi="宋体" w:cs="宋体"/>
          <w:kern w:val="0"/>
          <w:sz w:val="24"/>
          <w:szCs w:val="24"/>
        </w:rPr>
        <w:lastRenderedPageBreak/>
        <w:t>约时，本基金将面临无法收取投资收益甚至损失本金的风险。</w:t>
      </w:r>
    </w:p>
    <w:p w14:paraId="2054F0D5"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6、参与融资交易风险</w:t>
      </w:r>
    </w:p>
    <w:p w14:paraId="75A7DD17"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可参与融资交易，融资交易的风险主要包括流动性风险、信用风险等，这些风险可能会给基金净值带来一定的负面影响和损失。为了更好的防范融资交易所面临的各类风险，基金管理人将遵守审慎经营原则，制定科学合理的投资策略和风险管理制度，有效防范和控制风险，切实维护基金财产的安全和基金份额持有人利益。</w:t>
      </w:r>
    </w:p>
    <w:p w14:paraId="43D9A0A9"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7、流通受限证券投资风险</w:t>
      </w:r>
    </w:p>
    <w:p w14:paraId="0EF53D0D"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可投资流通受限证券，按监管机构或行业协会有关规定确定公允价值，本基金的基金净值可能由于估值方法的原因偏离所持有证券的收盘价所对应的净值，因此，投资者在申购赎回时，需考虑估值方法对基金净值的影响。另外，本基金可能由于投资流通受限证券而面临流动性风险以及流通受限期间内证券价格大幅下跌的风险。</w:t>
      </w:r>
    </w:p>
    <w:p w14:paraId="7133E467"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8、存托凭证投资风险</w:t>
      </w:r>
    </w:p>
    <w:p w14:paraId="6ECE2499"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本基金可投资存托凭证，除普通股票投资可能面临的宏观经济风险、政策风险、市场风险、流动性风险外，投资存托凭证可能还会面临以下风险：</w:t>
      </w:r>
    </w:p>
    <w:p w14:paraId="755EF20C"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（1）存托凭证持有人与持有基础股票的股东在法律地位享有权利等方面存在差异可能引发的风险</w:t>
      </w:r>
    </w:p>
    <w:p w14:paraId="5678A8EC"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存托凭证系由存托人以境外发行的证券为基础，在中国境内发行的代表境外基础证券权益的证券。存托凭证持有人实际享有的权益与境外基础证券持有人的权益虽然基本相当，但并不能等同于直接持有境外基础证券。存托凭证持有人与境外基础证券发行人股东之间在法律地位、享有权利等方面存在一定的差异。境外基础证券发行人股东为公司的直接股东，可以直接享有股东权利（包括但不限于投票权、分红等收益权等）；存托凭证持有人为间接拥有公司相关权益的证券持有人，其投票权、收益权等仅能根据存托协议的约定，通过存托人享有并间接行使分红、投票等权利。若未来发行人或存托人未能履行存托协议的约定，不对存托凭证持有人进行分红派息或者分红派息金额少于应得金额，或者存托人行使股东表决权时未充分代表存托凭证持有人的共同意见，则存托凭证持有人的利益将受到损害，本基金作为存托凭证持有人可能会面临一定的投资损失。</w:t>
      </w:r>
    </w:p>
    <w:p w14:paraId="6DF55B98"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（2）发行人采用协议控制架构的风险</w:t>
      </w:r>
    </w:p>
    <w:p w14:paraId="78C7CBB4"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境外基础证券发行人如采用协议控制架构，可能由于法律、政策变化带来合规、经营等风险，可能面临对境内实体运营企业重大依赖、协议控制架构下相关主体违约等风险。</w:t>
      </w:r>
    </w:p>
    <w:p w14:paraId="23DEB167"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（3）增发基础证券可能导致的存托凭证持有人权益被摊薄的风险</w:t>
      </w:r>
    </w:p>
    <w:p w14:paraId="31487D62"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存托凭证发行时，其对应的净资产已经固定，但未来若发行人增发基础证券，将会导致存托凭证持有人权益被摊薄。</w:t>
      </w:r>
    </w:p>
    <w:p w14:paraId="44FEDE96"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（4）交易机制相关风险</w:t>
      </w:r>
    </w:p>
    <w:p w14:paraId="00ADED00"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境外基础证券与境内存托凭证由于时差、交易时间、交易制度、停复牌规则、异常交易情形、做空机制等差异，境内存托凭证的交易价格可能受到境外市场影响，从而出现大幅波动。此外，在境内法律及监管政策允许的情况下，发行人现在及将来境外发行的股票或存托凭证可能转移至境内市场上市交易，从而增加境内市场的存托凭证供给数量，可能引起交易价格大幅波动。</w:t>
      </w:r>
    </w:p>
    <w:p w14:paraId="2B69B793"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（5）存托凭证退市风险</w:t>
      </w:r>
    </w:p>
    <w:p w14:paraId="11B43A14"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如果发行人不再符合上市条件或者发生其他重大违法行为，可能导致存托凭证面临退市。基金作为存托凭证持有人可能面临存托人无法根据存托协议的约定卖出基础证券、持有的存托凭证无法转到境内其他市场进行公开交易或者转让、存托人无法继续按照存托协议的约定为基金提供相应服务等风险。</w:t>
      </w:r>
    </w:p>
    <w:p w14:paraId="4A24CEAB"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（6）其它风险</w:t>
      </w:r>
    </w:p>
    <w:p w14:paraId="01195D90"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存托凭证存续期间，存托凭证项目内容可能发生重大、实质变化，包括但不限于存托凭证与基础证券转换比例发生调整、红筹公司和存托人可能对存托协议作出修改、更换存托人、更换托管人、存托凭证主动退市等。部分变化可能仅以事先通知的方式，即对投资者生效。本基金作为存托凭证投资者可能无法对此行使表决权。</w:t>
      </w:r>
    </w:p>
    <w:p w14:paraId="45271A9B"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存托凭证存续期间，对应的基础证券等财产可能出现被质押、挪用、司法冻结、强制执行等情形，本基金作为存托凭证投资者可能面临失去应有权利的风险。</w:t>
      </w:r>
    </w:p>
    <w:p w14:paraId="0834761E"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存托人可能向存托凭证持有人收取存托凭证相关费用。</w:t>
      </w:r>
    </w:p>
    <w:p w14:paraId="5FA4189D"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9、信用衍生品的投资风险</w:t>
      </w:r>
    </w:p>
    <w:p w14:paraId="35513652"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本基金可能投资信用衍生品，信用衍生品的投资可能面临流动性风险、偿付</w:t>
      </w:r>
      <w:r>
        <w:rPr>
          <w:rStyle w:val="custom"/>
          <w:rFonts w:ascii="宋体" w:hAnsi="宋体" w:cs="宋体"/>
          <w:kern w:val="0"/>
          <w:sz w:val="24"/>
          <w:szCs w:val="24"/>
        </w:rPr>
        <w:lastRenderedPageBreak/>
        <w:t>风险以及价格波动风险。流动性风险是指信用衍生品在交易转让过程中因无法找到交易对手或交易对手较少，导致难以将信用衍生品以合理价格变现的风险。偿付风险是指在信用衍生品存续期间，由于不可控制的市场及环境变化，创设机构可能出现经营状况不佳或创设机构的现金流与预期发生一定偏差，从而影响信用衍生品结算的风险。价格波动风险是指由于创设机构或所受保护的债券主体经营状况或利率环境发生变化，引起信用衍生品价格出现波动的风险。</w:t>
      </w:r>
    </w:p>
    <w:p w14:paraId="079DC83A"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10、基金自动终止的风险</w:t>
      </w:r>
    </w:p>
    <w:p w14:paraId="4B1703C7" w14:textId="77777777" w:rsidR="00AE2B28" w:rsidRDefault="00B67EDE">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为发起式基金，基金合同生效满三年之日（指自然日），若基金资产净值低于2亿元人民币的，基金合同自动终止，且不得通过召开基金份额持有人大会延续基金合同期限。若届时的法律法规或中国证监会规定发生变化，上述终止规定被取消、更改或补充时，则本基金可以参照届时有效的法律法规或中国证监会规定执行。</w:t>
      </w:r>
    </w:p>
    <w:p w14:paraId="4CF8D7A9"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因此，本基金的投资者面临本基金自动终止的风险。</w:t>
      </w:r>
    </w:p>
    <w:p w14:paraId="01765D98"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启用侧袋机制的风险</w:t>
      </w:r>
    </w:p>
    <w:p w14:paraId="34F1329D"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当本基金启用侧袋机制时，实施侧袋机制期间，侧袋账户份额将停止披露基金净值信息，并不得办理申购、赎回和转换，仅主袋账户份额正常开放赎回，因此启用侧袋机制时持有基金份额的持有人将在启用侧袋机制后同时持有主袋账户份额和侧袋账户份额。因特定资产的变现时间具有不确定性，最终变现价格也具有不确定性并且有可能大幅低于启用侧袋机制时的特定资产的估值，基金份额持有人可能因此面临损失。</w:t>
      </w:r>
    </w:p>
    <w:p w14:paraId="242F72D3"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实施侧袋机制期间，因本基金不披露侧袋账户的基金净值信息，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4B54DA10"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基金管理人将根据主袋账户运作情况合理确定申购政策，因此实施侧袋机制后主袋账户份额存在暂停申购的可能。</w:t>
      </w:r>
    </w:p>
    <w:p w14:paraId="113E6BFF" w14:textId="77777777" w:rsidR="00AE2B28" w:rsidRDefault="00B67EDE">
      <w:pPr>
        <w:pStyle w:val="div"/>
        <w:spacing w:line="360" w:lineRule="auto"/>
        <w:ind w:firstLine="420"/>
        <w:rPr>
          <w:rFonts w:ascii="宋体" w:hAnsi="宋体" w:cs="宋体"/>
          <w:kern w:val="0"/>
          <w:sz w:val="24"/>
          <w:szCs w:val="24"/>
        </w:rPr>
      </w:pPr>
      <w:r>
        <w:rPr>
          <w:rFonts w:ascii="宋体" w:hAnsi="宋体" w:cs="宋体"/>
          <w:kern w:val="0"/>
          <w:sz w:val="24"/>
          <w:szCs w:val="24"/>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w:t>
      </w:r>
      <w:r>
        <w:rPr>
          <w:rFonts w:ascii="宋体" w:hAnsi="宋体" w:cs="宋体"/>
          <w:kern w:val="0"/>
          <w:sz w:val="24"/>
          <w:szCs w:val="24"/>
        </w:rPr>
        <w:lastRenderedPageBreak/>
        <w:t>及变化情况。</w:t>
      </w:r>
    </w:p>
    <w:p w14:paraId="267727DC" w14:textId="77777777" w:rsidR="001D0BB2" w:rsidRDefault="001D0BB2" w:rsidP="001D0BB2">
      <w:pPr>
        <w:pStyle w:val="div"/>
        <w:spacing w:line="360" w:lineRule="auto"/>
        <w:ind w:firstLine="420"/>
        <w:rPr>
          <w:rFonts w:eastAsiaTheme="minorEastAsia"/>
          <w:kern w:val="0"/>
          <w:sz w:val="24"/>
          <w:szCs w:val="24"/>
        </w:rPr>
      </w:pPr>
      <w:r>
        <w:rPr>
          <w:rFonts w:eastAsiaTheme="minorEastAsia"/>
          <w:kern w:val="0"/>
          <w:sz w:val="24"/>
          <w:szCs w:val="24"/>
        </w:rPr>
        <w:t>12</w:t>
      </w:r>
      <w:r>
        <w:rPr>
          <w:rFonts w:eastAsiaTheme="minorEastAsia" w:hint="eastAsia"/>
          <w:kern w:val="0"/>
          <w:sz w:val="24"/>
          <w:szCs w:val="24"/>
        </w:rPr>
        <w:t>、浮动管理费模式相关风险</w:t>
      </w:r>
    </w:p>
    <w:p w14:paraId="4440F92A" w14:textId="77777777" w:rsidR="001D0BB2" w:rsidRPr="00195B8F" w:rsidRDefault="001D0BB2" w:rsidP="001D0BB2">
      <w:pPr>
        <w:spacing w:line="360" w:lineRule="auto"/>
        <w:ind w:firstLineChars="200" w:firstLine="480"/>
        <w:rPr>
          <w:sz w:val="24"/>
        </w:rPr>
      </w:pPr>
      <w:r w:rsidRPr="00195B8F">
        <w:rPr>
          <w:rFonts w:hint="eastAsia"/>
          <w:sz w:val="24"/>
        </w:rPr>
        <w:t>（</w:t>
      </w:r>
      <w:r w:rsidRPr="00195B8F">
        <w:rPr>
          <w:sz w:val="24"/>
        </w:rPr>
        <w:t>1</w:t>
      </w:r>
      <w:r w:rsidRPr="00195B8F">
        <w:rPr>
          <w:rFonts w:hint="eastAsia"/>
          <w:sz w:val="24"/>
        </w:rPr>
        <w:t>）本基金的管理费由</w:t>
      </w:r>
      <w:r>
        <w:rPr>
          <w:rFonts w:hint="eastAsia"/>
          <w:bCs/>
          <w:sz w:val="24"/>
        </w:rPr>
        <w:t>固定管理费、或有</w:t>
      </w:r>
      <w:r w:rsidRPr="00195B8F">
        <w:rPr>
          <w:rFonts w:hint="eastAsia"/>
          <w:sz w:val="24"/>
        </w:rPr>
        <w:t>管理费和</w:t>
      </w:r>
      <w:r>
        <w:rPr>
          <w:rFonts w:asciiTheme="minorEastAsia" w:hAnsiTheme="minorEastAsia" w:hint="eastAsia"/>
          <w:sz w:val="24"/>
          <w:szCs w:val="24"/>
        </w:rPr>
        <w:t>超额管理费</w:t>
      </w:r>
      <w:r w:rsidRPr="00195B8F">
        <w:rPr>
          <w:rFonts w:hint="eastAsia"/>
          <w:sz w:val="24"/>
        </w:rPr>
        <w:t>组成，</w:t>
      </w:r>
      <w:r>
        <w:rPr>
          <w:rFonts w:hint="eastAsia"/>
          <w:bCs/>
          <w:sz w:val="24"/>
        </w:rPr>
        <w:t>其中或有</w:t>
      </w:r>
      <w:r w:rsidRPr="00195B8F">
        <w:rPr>
          <w:rFonts w:hint="eastAsia"/>
          <w:sz w:val="24"/>
        </w:rPr>
        <w:t>管理费</w:t>
      </w:r>
      <w:r>
        <w:rPr>
          <w:rFonts w:hint="eastAsia"/>
          <w:bCs/>
          <w:sz w:val="24"/>
        </w:rPr>
        <w:t>和</w:t>
      </w:r>
      <w:r>
        <w:rPr>
          <w:rFonts w:asciiTheme="minorEastAsia" w:hAnsiTheme="minorEastAsia" w:hint="eastAsia"/>
          <w:sz w:val="24"/>
          <w:szCs w:val="24"/>
        </w:rPr>
        <w:t>超额管理费</w:t>
      </w:r>
      <w:r w:rsidRPr="00195B8F">
        <w:rPr>
          <w:rFonts w:hint="eastAsia"/>
          <w:sz w:val="24"/>
        </w:rPr>
        <w:t>取决于</w:t>
      </w:r>
      <w:r>
        <w:rPr>
          <w:rFonts w:asciiTheme="minorEastAsia" w:hAnsiTheme="minorEastAsia" w:hint="eastAsia"/>
          <w:bCs/>
          <w:sz w:val="24"/>
          <w:szCs w:val="24"/>
        </w:rPr>
        <w:t>基金份额持有人每笔认</w:t>
      </w:r>
      <w:r>
        <w:rPr>
          <w:rFonts w:asciiTheme="minorEastAsia" w:hAnsiTheme="minorEastAsia"/>
          <w:bCs/>
          <w:sz w:val="24"/>
          <w:szCs w:val="24"/>
        </w:rPr>
        <w:t>/申购份额的持有时间和年化收益率与同期业绩比较基准年化收益率的</w:t>
      </w:r>
      <w:r>
        <w:rPr>
          <w:rFonts w:asciiTheme="minorEastAsia" w:hAnsiTheme="minorEastAsia" w:hint="eastAsia"/>
          <w:sz w:val="24"/>
          <w:szCs w:val="24"/>
        </w:rPr>
        <w:t>情况</w:t>
      </w:r>
      <w:r w:rsidRPr="00195B8F">
        <w:rPr>
          <w:rFonts w:hint="eastAsia"/>
          <w:sz w:val="24"/>
        </w:rPr>
        <w:t>，因此投资者在认</w:t>
      </w:r>
      <w:r w:rsidRPr="00195B8F">
        <w:rPr>
          <w:sz w:val="24"/>
        </w:rPr>
        <w:t>/</w:t>
      </w:r>
      <w:r w:rsidRPr="00195B8F">
        <w:rPr>
          <w:rFonts w:hint="eastAsia"/>
          <w:sz w:val="24"/>
        </w:rPr>
        <w:t>申购本基金时无法预先确定</w:t>
      </w:r>
      <w:r>
        <w:rPr>
          <w:rFonts w:hint="eastAsia"/>
          <w:bCs/>
          <w:sz w:val="24"/>
        </w:rPr>
        <w:t>该笔</w:t>
      </w:r>
      <w:r w:rsidRPr="00195B8F">
        <w:rPr>
          <w:rFonts w:hint="eastAsia"/>
          <w:sz w:val="24"/>
        </w:rPr>
        <w:t>基金</w:t>
      </w:r>
      <w:r>
        <w:rPr>
          <w:rFonts w:hint="eastAsia"/>
          <w:bCs/>
          <w:sz w:val="24"/>
        </w:rPr>
        <w:t>份额适用</w:t>
      </w:r>
      <w:r w:rsidRPr="00195B8F">
        <w:rPr>
          <w:rFonts w:hint="eastAsia"/>
          <w:sz w:val="24"/>
        </w:rPr>
        <w:t>的管理费水平。</w:t>
      </w:r>
    </w:p>
    <w:p w14:paraId="0BA39CB9" w14:textId="77777777" w:rsidR="001D0BB2" w:rsidRPr="00195B8F" w:rsidRDefault="001D0BB2" w:rsidP="001D0BB2">
      <w:pPr>
        <w:spacing w:line="360" w:lineRule="auto"/>
        <w:ind w:firstLineChars="200" w:firstLine="480"/>
        <w:rPr>
          <w:sz w:val="24"/>
        </w:rPr>
      </w:pPr>
      <w:r w:rsidRPr="00195B8F">
        <w:rPr>
          <w:sz w:val="24"/>
        </w:rPr>
        <w:t>（</w:t>
      </w:r>
      <w:r w:rsidRPr="00195B8F">
        <w:rPr>
          <w:sz w:val="24"/>
        </w:rPr>
        <w:t>2</w:t>
      </w:r>
      <w:r w:rsidRPr="00195B8F">
        <w:rPr>
          <w:sz w:val="24"/>
        </w:rPr>
        <w:t>）</w:t>
      </w:r>
      <w:r>
        <w:rPr>
          <w:rFonts w:hint="eastAsia"/>
          <w:bCs/>
          <w:sz w:val="24"/>
        </w:rPr>
        <w:t>由于</w:t>
      </w:r>
      <w:r w:rsidRPr="00195B8F">
        <w:rPr>
          <w:rFonts w:hint="eastAsia"/>
          <w:sz w:val="24"/>
        </w:rPr>
        <w:t>本基金</w:t>
      </w:r>
      <w:r>
        <w:rPr>
          <w:rFonts w:hint="eastAsia"/>
          <w:bCs/>
          <w:sz w:val="24"/>
        </w:rPr>
        <w:t>在计算</w:t>
      </w:r>
      <w:r w:rsidRPr="00195B8F">
        <w:rPr>
          <w:rFonts w:hint="eastAsia"/>
          <w:sz w:val="24"/>
        </w:rPr>
        <w:t>各类基金份额净值</w:t>
      </w:r>
      <w:r>
        <w:rPr>
          <w:rFonts w:hint="eastAsia"/>
          <w:bCs/>
          <w:sz w:val="24"/>
        </w:rPr>
        <w:t>时，</w:t>
      </w:r>
      <w:r w:rsidRPr="00195B8F">
        <w:rPr>
          <w:rFonts w:hint="eastAsia"/>
          <w:sz w:val="24"/>
        </w:rPr>
        <w:t>按</w:t>
      </w:r>
      <w:r>
        <w:rPr>
          <w:rFonts w:hint="eastAsia"/>
          <w:bCs/>
          <w:sz w:val="24"/>
        </w:rPr>
        <w:t>前一日基金资产净值的</w:t>
      </w:r>
      <w:r w:rsidRPr="00195B8F">
        <w:rPr>
          <w:sz w:val="24"/>
        </w:rPr>
        <w:t>1.</w:t>
      </w:r>
      <w:r>
        <w:rPr>
          <w:bCs/>
          <w:sz w:val="24"/>
        </w:rPr>
        <w:t>20%</w:t>
      </w:r>
      <w:r w:rsidRPr="00195B8F">
        <w:rPr>
          <w:rFonts w:hint="eastAsia"/>
          <w:sz w:val="24"/>
        </w:rPr>
        <w:t>年</w:t>
      </w:r>
      <w:r>
        <w:rPr>
          <w:rFonts w:hint="eastAsia"/>
          <w:bCs/>
          <w:sz w:val="24"/>
        </w:rPr>
        <w:t>费率计算</w:t>
      </w:r>
      <w:r w:rsidRPr="00195B8F">
        <w:rPr>
          <w:rFonts w:hint="eastAsia"/>
          <w:sz w:val="24"/>
        </w:rPr>
        <w:t>管理费</w:t>
      </w:r>
      <w:r>
        <w:rPr>
          <w:rFonts w:hint="eastAsia"/>
          <w:bCs/>
          <w:sz w:val="24"/>
        </w:rPr>
        <w:t>，该费率可能高于或低于不同投资者最终适用</w:t>
      </w:r>
      <w:r w:rsidRPr="00195B8F">
        <w:rPr>
          <w:rFonts w:hint="eastAsia"/>
          <w:sz w:val="24"/>
        </w:rPr>
        <w:t>的</w:t>
      </w:r>
      <w:r>
        <w:rPr>
          <w:rFonts w:hint="eastAsia"/>
          <w:bCs/>
          <w:sz w:val="24"/>
        </w:rPr>
        <w:t>管理费率。在</w:t>
      </w:r>
      <w:r w:rsidRPr="00195B8F">
        <w:rPr>
          <w:rFonts w:hint="eastAsia"/>
          <w:sz w:val="24"/>
        </w:rPr>
        <w:t>基金</w:t>
      </w:r>
      <w:r>
        <w:rPr>
          <w:rFonts w:hint="eastAsia"/>
          <w:bCs/>
          <w:sz w:val="24"/>
        </w:rPr>
        <w:t>份额</w:t>
      </w:r>
      <w:r w:rsidRPr="00195B8F">
        <w:rPr>
          <w:rFonts w:hint="eastAsia"/>
          <w:sz w:val="24"/>
        </w:rPr>
        <w:t>赎回或基金合同终止</w:t>
      </w:r>
      <w:r>
        <w:rPr>
          <w:rFonts w:hint="eastAsia"/>
          <w:bCs/>
          <w:sz w:val="24"/>
        </w:rPr>
        <w:t>的</w:t>
      </w:r>
      <w:r w:rsidRPr="00195B8F">
        <w:rPr>
          <w:rFonts w:hint="eastAsia"/>
          <w:sz w:val="24"/>
        </w:rPr>
        <w:t>情形发生时</w:t>
      </w:r>
      <w:r>
        <w:rPr>
          <w:rFonts w:hint="eastAsia"/>
          <w:bCs/>
          <w:sz w:val="24"/>
        </w:rPr>
        <w:t>，基金</w:t>
      </w:r>
      <w:r w:rsidRPr="00195B8F">
        <w:rPr>
          <w:rFonts w:hint="eastAsia"/>
          <w:sz w:val="24"/>
        </w:rPr>
        <w:t>投资者实际</w:t>
      </w:r>
      <w:r>
        <w:rPr>
          <w:rFonts w:hint="eastAsia"/>
          <w:bCs/>
          <w:sz w:val="24"/>
        </w:rPr>
        <w:t>收到</w:t>
      </w:r>
      <w:r w:rsidRPr="00195B8F">
        <w:rPr>
          <w:rFonts w:hint="eastAsia"/>
          <w:sz w:val="24"/>
        </w:rPr>
        <w:t>的赎回</w:t>
      </w:r>
      <w:r>
        <w:rPr>
          <w:rFonts w:hint="eastAsia"/>
          <w:bCs/>
          <w:sz w:val="24"/>
        </w:rPr>
        <w:t>款项</w:t>
      </w:r>
      <w:r w:rsidRPr="00195B8F">
        <w:rPr>
          <w:rFonts w:hint="eastAsia"/>
          <w:sz w:val="24"/>
        </w:rPr>
        <w:t>或清算</w:t>
      </w:r>
      <w:r>
        <w:rPr>
          <w:rFonts w:hint="eastAsia"/>
          <w:bCs/>
          <w:sz w:val="24"/>
        </w:rPr>
        <w:t>款项的金额</w:t>
      </w:r>
      <w:r w:rsidRPr="00195B8F">
        <w:rPr>
          <w:rFonts w:hint="eastAsia"/>
          <w:sz w:val="24"/>
        </w:rPr>
        <w:t>可能与</w:t>
      </w:r>
      <w:r>
        <w:rPr>
          <w:rFonts w:hint="eastAsia"/>
          <w:bCs/>
          <w:sz w:val="24"/>
        </w:rPr>
        <w:t>按</w:t>
      </w:r>
      <w:r w:rsidRPr="00195B8F">
        <w:rPr>
          <w:rFonts w:hint="eastAsia"/>
          <w:sz w:val="24"/>
        </w:rPr>
        <w:t>披露</w:t>
      </w:r>
      <w:r>
        <w:rPr>
          <w:rFonts w:hint="eastAsia"/>
          <w:bCs/>
          <w:sz w:val="24"/>
        </w:rPr>
        <w:t>的该类基金份额</w:t>
      </w:r>
      <w:r w:rsidRPr="00195B8F">
        <w:rPr>
          <w:rFonts w:hint="eastAsia"/>
          <w:sz w:val="24"/>
        </w:rPr>
        <w:t>净值计算的结果</w:t>
      </w:r>
      <w:r>
        <w:rPr>
          <w:rFonts w:hint="eastAsia"/>
          <w:bCs/>
          <w:sz w:val="24"/>
        </w:rPr>
        <w:t>存在差异</w:t>
      </w:r>
      <w:r w:rsidRPr="00195B8F">
        <w:rPr>
          <w:rFonts w:hint="eastAsia"/>
          <w:sz w:val="24"/>
        </w:rPr>
        <w:t>。投资者</w:t>
      </w:r>
      <w:r>
        <w:rPr>
          <w:rFonts w:hint="eastAsia"/>
          <w:bCs/>
          <w:sz w:val="24"/>
        </w:rPr>
        <w:t>的</w:t>
      </w:r>
      <w:r w:rsidRPr="00195B8F">
        <w:rPr>
          <w:rFonts w:hint="eastAsia"/>
          <w:sz w:val="24"/>
        </w:rPr>
        <w:t>实际赎回金额</w:t>
      </w:r>
      <w:r>
        <w:rPr>
          <w:rFonts w:hint="eastAsia"/>
          <w:bCs/>
          <w:sz w:val="24"/>
        </w:rPr>
        <w:t>和</w:t>
      </w:r>
      <w:r w:rsidRPr="00195B8F">
        <w:rPr>
          <w:rFonts w:hint="eastAsia"/>
          <w:sz w:val="24"/>
        </w:rPr>
        <w:t>清算资金以登记机构确认数据为准。</w:t>
      </w:r>
    </w:p>
    <w:p w14:paraId="7E2682DC" w14:textId="1EC01E3B" w:rsidR="001D0BB2" w:rsidRDefault="001D0BB2" w:rsidP="001D0BB2">
      <w:pPr>
        <w:pStyle w:val="div"/>
        <w:spacing w:line="360" w:lineRule="auto"/>
        <w:ind w:firstLine="420"/>
        <w:rPr>
          <w:rFonts w:eastAsia="Times New Roman"/>
          <w:kern w:val="0"/>
          <w:sz w:val="24"/>
          <w:szCs w:val="24"/>
        </w:rPr>
      </w:pPr>
      <w:r w:rsidRPr="00195B8F">
        <w:rPr>
          <w:sz w:val="24"/>
        </w:rPr>
        <w:t>（</w:t>
      </w:r>
      <w:r w:rsidRPr="00195B8F">
        <w:rPr>
          <w:sz w:val="24"/>
        </w:rPr>
        <w:t>3</w:t>
      </w:r>
      <w:r w:rsidRPr="00195B8F">
        <w:rPr>
          <w:sz w:val="24"/>
        </w:rPr>
        <w:t>）</w:t>
      </w:r>
      <w:r>
        <w:rPr>
          <w:rFonts w:asciiTheme="minorEastAsia" w:hAnsiTheme="minorEastAsia" w:hint="eastAsia"/>
          <w:sz w:val="24"/>
          <w:szCs w:val="24"/>
        </w:rPr>
        <w:t>本基金采用浮动管理费的收费模式，不代表基金管理人对基金收益的保证。</w:t>
      </w:r>
    </w:p>
    <w:p w14:paraId="1EC78694" w14:textId="11991ABF" w:rsidR="00026D9E" w:rsidRPr="003062A5" w:rsidRDefault="00026D9E" w:rsidP="00026D9E">
      <w:pPr>
        <w:pStyle w:val="div"/>
        <w:spacing w:line="360" w:lineRule="auto"/>
        <w:ind w:firstLine="420"/>
        <w:rPr>
          <w:rFonts w:ascii="宋体" w:hAnsi="宋体" w:cs="宋体"/>
          <w:kern w:val="0"/>
          <w:sz w:val="24"/>
          <w:szCs w:val="24"/>
        </w:rPr>
      </w:pPr>
      <w:r w:rsidRPr="003062A5">
        <w:rPr>
          <w:rFonts w:ascii="宋体" w:hAnsi="宋体" w:cs="宋体" w:hint="eastAsia"/>
          <w:kern w:val="0"/>
          <w:sz w:val="24"/>
          <w:szCs w:val="24"/>
        </w:rPr>
        <w:t>1</w:t>
      </w:r>
      <w:r>
        <w:rPr>
          <w:rFonts w:ascii="宋体" w:hAnsi="宋体" w:cs="宋体"/>
          <w:kern w:val="0"/>
          <w:sz w:val="24"/>
          <w:szCs w:val="24"/>
        </w:rPr>
        <w:t>3</w:t>
      </w:r>
      <w:r w:rsidRPr="003062A5">
        <w:rPr>
          <w:rFonts w:ascii="宋体" w:hAnsi="宋体" w:cs="宋体" w:hint="eastAsia"/>
          <w:kern w:val="0"/>
          <w:sz w:val="24"/>
          <w:szCs w:val="24"/>
        </w:rPr>
        <w:t>、销售服务费计提与返还机制的相关风险</w:t>
      </w:r>
    </w:p>
    <w:p w14:paraId="6782AEA2" w14:textId="77777777" w:rsidR="00026D9E" w:rsidRDefault="00026D9E" w:rsidP="00026D9E">
      <w:pPr>
        <w:pStyle w:val="div"/>
        <w:spacing w:line="360" w:lineRule="auto"/>
        <w:ind w:firstLine="420"/>
        <w:rPr>
          <w:rFonts w:ascii="宋体" w:hAnsi="宋体" w:cs="宋体"/>
          <w:kern w:val="0"/>
          <w:sz w:val="24"/>
          <w:szCs w:val="24"/>
        </w:rPr>
      </w:pPr>
      <w:r w:rsidRPr="003062A5">
        <w:rPr>
          <w:rFonts w:ascii="宋体" w:hAnsi="宋体" w:cs="宋体" w:hint="eastAsia"/>
          <w:kern w:val="0"/>
          <w:sz w:val="24"/>
          <w:szCs w:val="24"/>
        </w:rPr>
        <w:t>对于投资者通过直销机构认/申购C类基金份额计提的销售服务费、通过其他销售机构认/申购的C类基金份额持续持有期限超过一年（即365天）以后继续计提的销售服务费采取先收后返模式，基金投资者实际收到的赎回款项或清算款项的金额可能与按披露的C类基金份额净值计算的结果存在差异。投资者的实际赎回金额和清算资金以登记机构确认数据为准。</w:t>
      </w:r>
    </w:p>
    <w:p w14:paraId="22C1DF12"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以上所述因素可能会给本基金投资带来特殊交易风险。</w:t>
      </w:r>
    </w:p>
    <w:p w14:paraId="02976952"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税负增加风险</w:t>
      </w:r>
    </w:p>
    <w:p w14:paraId="05B00F9D"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财政部、国家税务总局财政[2016]140号《关于明确金融、房地产开发、教育辅助服务等增值税政策的通知》第四条规定：“资管产品运营过程中发生的增值税应税行为，以资管产品管理人为增值税纳税人。”鉴于基金合同中基金管理人的管理费中不包括产品运营过程中发生的税款，本基金运营过程中需要缴纳增值税应税的，将由基金份额持有人承担并从基金资产中支付，按照税务机关的规定以基金管理人为增值税纳税人履行纳税义务，因此可能增加基金份额持有人的投资税费成本。</w:t>
      </w:r>
    </w:p>
    <w:p w14:paraId="4E539C94"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操作或技术风险</w:t>
      </w:r>
    </w:p>
    <w:p w14:paraId="78AAC07B"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lastRenderedPageBreak/>
        <w:t>相关当事人在业务各环节操作过程中，因内部控制存在缺陷或者人为因素造成操作失误或违反操作规程等引致的风险，例如，越权违规交易、会计部门欺诈、交易错误、IT系统故障等风险。</w:t>
      </w:r>
    </w:p>
    <w:p w14:paraId="49A720B9" w14:textId="77777777" w:rsidR="00AE2B28" w:rsidRDefault="00B67EDE">
      <w:pPr>
        <w:pStyle w:val="div"/>
        <w:spacing w:line="360" w:lineRule="auto"/>
        <w:ind w:firstLine="420"/>
        <w:rPr>
          <w:rFonts w:eastAsia="Times New Roman"/>
          <w:kern w:val="0"/>
          <w:sz w:val="24"/>
          <w:szCs w:val="24"/>
        </w:rPr>
      </w:pPr>
      <w:r>
        <w:rPr>
          <w:rStyle w:val="custom"/>
          <w:rFonts w:ascii="宋体" w:hAnsi="宋体" w:cs="宋体"/>
          <w:kern w:val="0"/>
          <w:sz w:val="24"/>
          <w:szCs w:val="24"/>
        </w:rPr>
        <w:t>在开放式基金的各种交易行为或者后台运作中，可能因为技术系统的故障或者差错而影响交易的正常进行或者导致基金份额持有人的利益受到影响。这种技术风险可能来自基金管理人、登记机构、销售机构、证券、期货交易所、证券登记结算机构等等。</w:t>
      </w:r>
    </w:p>
    <w:p w14:paraId="2B9F44BB"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合规性风险</w:t>
      </w:r>
    </w:p>
    <w:p w14:paraId="181C8683"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指基金管理或运作过程中，违反国家法律法规的规定，或者基金投资违反法规及基金合同有关规定的风险。</w:t>
      </w:r>
    </w:p>
    <w:p w14:paraId="19611B7F"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本基金法律文件风险收益特征表述与销售机构基金风险评价可能不一致的风险</w:t>
      </w:r>
    </w:p>
    <w:p w14:paraId="3D688AB0"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尽相同，因此销售机构的风险等级评价与基金法律文件中风险收益特征的表述可能存在不同，投资人在购买本基金时需按照销售机构的要求完成风险承受能力与产品风险之间的匹配检验。</w:t>
      </w:r>
    </w:p>
    <w:p w14:paraId="6E9D5A93"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其他风险</w:t>
      </w:r>
    </w:p>
    <w:p w14:paraId="25A8B509"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战争、自然灾害等不可抗力因素的出现，将会严重影响证券市场的运行，可能导致基金资产的损失。</w:t>
      </w:r>
    </w:p>
    <w:p w14:paraId="5435E905"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金融市场危机、行业竞争、代理商违约、基金托管人违约等超出基金管理人自身直接控制能力之外的风险，也可能导致基金或者基金份额持有人利益受损。</w:t>
      </w:r>
    </w:p>
    <w:p w14:paraId="33393AFC"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声明</w:t>
      </w:r>
    </w:p>
    <w:p w14:paraId="3598AB0B"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本基金未经任何一级政府、机构及部门担保。投资者自愿投资于本基金，须自行承担投资风险。</w:t>
      </w:r>
    </w:p>
    <w:p w14:paraId="3CE68223" w14:textId="77777777" w:rsidR="00AE2B28" w:rsidRDefault="00B67EDE">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除基金管理人直接办理本基金的销售外，本基金还可通过其他销售机构</w:t>
      </w:r>
      <w:r>
        <w:rPr>
          <w:rFonts w:ascii="宋体" w:hAnsi="宋体" w:cs="宋体"/>
          <w:kern w:val="0"/>
          <w:sz w:val="24"/>
          <w:szCs w:val="24"/>
        </w:rPr>
        <w:lastRenderedPageBreak/>
        <w:t>销售，但是，基金并不是销售机构的存款或负债，也没有经销售机构担保或者背书，销售机构并不能保证其收益或本金安全。</w:t>
      </w:r>
      <w:r>
        <w:rPr>
          <w:rFonts w:ascii="宋体" w:hAnsi="宋体" w:cs="宋体"/>
          <w:kern w:val="0"/>
          <w:sz w:val="24"/>
          <w:szCs w:val="24"/>
        </w:rPr>
        <w:br w:type="page"/>
      </w:r>
    </w:p>
    <w:p w14:paraId="721B5AF1" w14:textId="77777777" w:rsidR="009D63C8" w:rsidRDefault="00B67EDE" w:rsidP="009E26D0">
      <w:pPr>
        <w:pStyle w:val="1"/>
        <w:spacing w:before="0" w:after="0"/>
        <w:jc w:val="center"/>
        <w:rPr>
          <w:rFonts w:ascii="Times New Roman"/>
          <w:color w:val="auto"/>
          <w:sz w:val="30"/>
        </w:rPr>
      </w:pPr>
      <w:bookmarkStart w:id="54" w:name="_Toc256000016"/>
      <w:r w:rsidRPr="009E26D0">
        <w:rPr>
          <w:rFonts w:ascii="Times New Roman"/>
          <w:noProof/>
          <w:color w:val="auto"/>
          <w:sz w:val="30"/>
        </w:rPr>
        <w:lastRenderedPageBreak/>
        <w:t>第十七部分</w:t>
      </w:r>
      <w:r w:rsidRPr="009E26D0">
        <w:rPr>
          <w:rFonts w:ascii="Times New Roman"/>
          <w:noProof/>
          <w:color w:val="auto"/>
          <w:sz w:val="30"/>
        </w:rPr>
        <w:t xml:space="preserve">  </w:t>
      </w:r>
      <w:r w:rsidRPr="009E26D0">
        <w:rPr>
          <w:rFonts w:ascii="Times New Roman"/>
          <w:noProof/>
          <w:color w:val="auto"/>
          <w:sz w:val="30"/>
        </w:rPr>
        <w:t>侧袋机制</w:t>
      </w:r>
      <w:bookmarkEnd w:id="54"/>
    </w:p>
    <w:p w14:paraId="1E7CD4C7" w14:textId="77777777" w:rsidR="007A2B34" w:rsidRPr="0017353E" w:rsidRDefault="007A2B34" w:rsidP="0090469D"/>
    <w:p w14:paraId="35FB8845"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一、侧袋机制的实施条件、实施程序</w:t>
      </w:r>
    </w:p>
    <w:p w14:paraId="0DA79ED4"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基金管理人应当在启用侧袋机制当日报中国证监会及公司所在地中国证监会派出机构备案。</w:t>
      </w:r>
    </w:p>
    <w:p w14:paraId="7284E3BC"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启用侧袋机制当日，基金管理人应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6F219064"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二、侧袋机制实施期间的基金运作安排</w:t>
      </w:r>
    </w:p>
    <w:p w14:paraId="75AD3826"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（一）基金份额的申购与赎回</w:t>
      </w:r>
    </w:p>
    <w:p w14:paraId="114FF255"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1、侧袋账户</w:t>
      </w:r>
    </w:p>
    <w:p w14:paraId="43106957"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侧袋机制实施期间，基金管理人不办理侧袋账户的申购、赎回和转换。基金份额持有人申请申购、赎回或转换侧袋账户基金份额的，该申购、赎回或转换申请将被拒绝。</w:t>
      </w:r>
    </w:p>
    <w:p w14:paraId="67A60CDD"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2、主袋账户</w:t>
      </w:r>
    </w:p>
    <w:p w14:paraId="68486774"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基金管理人将依法保障主袋账户份额持有人享有基金合同约定的赎回权利，并根据主袋账户运作情况合理确定申购事项，具体事项届时将由基金管理人在相关公告中规定。</w:t>
      </w:r>
    </w:p>
    <w:p w14:paraId="3CB5BFEE"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本招募说明书“基金份额的申购与赎回”部分的申购、赎回规定适用于主袋账户份额。巨额赎回按照单个开放日内主袋账户份额净赎回申请超过前一开放日主袋账户总份额的10%认定。</w:t>
      </w:r>
    </w:p>
    <w:p w14:paraId="2390F1CB"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（二）基金的投资</w:t>
      </w:r>
    </w:p>
    <w:p w14:paraId="0A98B48B"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侧袋机制实施期间，招募说明书“基金的投资”部分约定的投资组合比例、投资策略、组合限制、业绩比较基准、风险收益特征等约定仅适用于主袋账户；且本基金的各项投资运作指标和基金业绩指标应当以主袋账户资产为基准。</w:t>
      </w:r>
    </w:p>
    <w:p w14:paraId="1F52EA07"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基金管理人原则上应当在侧袋机制启用后20个交易日内完成对主袋账户投资组合的调整，但因资产流动性受限等中国证监会规定的情形除外。</w:t>
      </w:r>
    </w:p>
    <w:p w14:paraId="4AE8C47E"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基金管理人不得在侧袋账户中进行除特定资产处置变现以外的其他投资操作。</w:t>
      </w:r>
    </w:p>
    <w:p w14:paraId="5EC6E738"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（三）基金的费用</w:t>
      </w:r>
    </w:p>
    <w:p w14:paraId="0FA13A32" w14:textId="6A3D1A32"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侧袋机制实施期间，侧袋账户资产不收取管理费</w:t>
      </w:r>
      <w:r w:rsidR="006B1F0E" w:rsidRPr="006B1F0E">
        <w:rPr>
          <w:rFonts w:ascii="宋体" w:hAnsi="宋体" w:cs="宋体" w:hint="eastAsia"/>
          <w:kern w:val="0"/>
          <w:sz w:val="24"/>
          <w:szCs w:val="24"/>
        </w:rPr>
        <w:t>（包括固定管理费、或有管理费和超额管理费）</w:t>
      </w:r>
      <w:r>
        <w:rPr>
          <w:rFonts w:ascii="宋体" w:hAnsi="宋体" w:cs="宋体"/>
          <w:kern w:val="0"/>
          <w:sz w:val="24"/>
          <w:szCs w:val="24"/>
        </w:rPr>
        <w:t>。</w:t>
      </w:r>
    </w:p>
    <w:p w14:paraId="37424464"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基金管理人可以将与侧袋账户有关的费用从侧袋账户资产中列支，但应待特定资产变现后方可列支。</w:t>
      </w:r>
    </w:p>
    <w:p w14:paraId="04467AF6"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主袋账户的管理费和托管费等费用仍按主袋账户基金资产净值作为基数计提。</w:t>
      </w:r>
    </w:p>
    <w:p w14:paraId="1EE7DF8C"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（四）基金的收益分配</w:t>
      </w:r>
    </w:p>
    <w:p w14:paraId="4077CFD5"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侧袋机制实施期间，在主袋账户份额满足基金合同收益分配条件的情形下，基金管理人可对主袋账户份额进行收益分配。侧袋账户不进行收益分配。</w:t>
      </w:r>
    </w:p>
    <w:p w14:paraId="4F6CED47"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（五）基金的信息披露</w:t>
      </w:r>
    </w:p>
    <w:p w14:paraId="20D7A0E6"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1、基金净值信息</w:t>
      </w:r>
    </w:p>
    <w:p w14:paraId="0B4464CF"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应按照招募说明书“基金的信息披露”部分规定的基金净值信息披露方式和频率披露主袋账户份额的基金净值信息。侧袋机制实施期间，基金管理人应当暂停披露侧袋账户的基金份额净值和基金份额累计净值。</w:t>
      </w:r>
    </w:p>
    <w:p w14:paraId="59DC1717"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2、定期报告</w:t>
      </w:r>
    </w:p>
    <w:p w14:paraId="6B6EA88A"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应当在基金定期报告中披露报告期内特定资产处置进展情况，披露报告期末特定资产可变现净值或净值区间的，该净值或净值区间并不代表特定资产最终的变现价格，不作为基金管理人对特定资产最终变现价格的承诺。</w:t>
      </w:r>
    </w:p>
    <w:p w14:paraId="0F44B883"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侧袋机制实施期间，基金定期报告中的基金会计报表仅需针对主袋账户进行编制。会计师事务所对基金年度报告进行审计时，应对报告期内基金侧袋机制运行相关的会计核算和年度报告披露等发表审计意见。</w:t>
      </w:r>
    </w:p>
    <w:p w14:paraId="5A672F2A"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3、临时报告</w:t>
      </w:r>
    </w:p>
    <w:p w14:paraId="4389333A"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基金管理人在启用侧袋机制、处置特定资产、终止侧袋机制以及发生其他可能对投资者利益产生重大影响的事项后应及时发布临时公告。</w:t>
      </w:r>
    </w:p>
    <w:p w14:paraId="017F112A"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lastRenderedPageBreak/>
        <w:t>启用侧袋机制的临时公告内容应当包括启用原因及程序、特定资产流动性和估值情况、对投资者申购赎回的影响、风险提示等重要信息。</w:t>
      </w:r>
    </w:p>
    <w:p w14:paraId="02C22A9D"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处置特定资产的临时公告内容应当包括特定资产处置价格和时间、向侧袋账户份额持有人支付的款项、相关费用发生情况等重要信息。</w:t>
      </w:r>
    </w:p>
    <w:p w14:paraId="6DE97EE8"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（六）特定资产处置清算</w:t>
      </w:r>
    </w:p>
    <w:p w14:paraId="31B686A0"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特定资产以可出售、可转让、恢复交易等方式恢复流动性后，基金管理人将按照基金份额持有人利益最大化原则，采取将特定资产予以处置变现等方式，及时向侧袋账户份额持有人支付的款项。</w:t>
      </w:r>
    </w:p>
    <w:p w14:paraId="4257687D"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（七）侧袋的审计</w:t>
      </w:r>
    </w:p>
    <w:p w14:paraId="2E505E60"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基金管理人应当在启用侧袋机制和终止侧袋机制后，及时聘请符合《中华人民共和国证券法》规定的会计师事务所进行审计并披露专项审计意见。</w:t>
      </w:r>
    </w:p>
    <w:p w14:paraId="5C414FFB"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三、本部分关于侧袋机制的相关规定，凡是直接引用法律法规或监管规则的部分，如将来法律法规或监管规则修改导致相关内容被取消或变更的，或将来法律法规或监管规则针对侧袋机制的内容有进一步规定的，基金管理人经与基金托管人协商一致并履行适当程序后，可直接对本部分内容进行修改和调整，无需召开基金份额持有人大会审议。</w:t>
      </w:r>
      <w:r>
        <w:rPr>
          <w:rFonts w:ascii="宋体" w:hAnsi="宋体" w:cs="宋体"/>
          <w:kern w:val="0"/>
          <w:sz w:val="24"/>
          <w:szCs w:val="24"/>
        </w:rPr>
        <w:br w:type="page"/>
      </w:r>
    </w:p>
    <w:p w14:paraId="50A6387C" w14:textId="77777777" w:rsidR="009D63C8" w:rsidRDefault="00B67EDE" w:rsidP="009E26D0">
      <w:pPr>
        <w:pStyle w:val="1"/>
        <w:spacing w:before="0" w:after="0"/>
        <w:jc w:val="center"/>
        <w:rPr>
          <w:rFonts w:ascii="Times New Roman"/>
          <w:color w:val="auto"/>
          <w:sz w:val="30"/>
        </w:rPr>
      </w:pPr>
      <w:bookmarkStart w:id="55" w:name="_Toc256000017"/>
      <w:r w:rsidRPr="009E26D0">
        <w:rPr>
          <w:rFonts w:ascii="Times New Roman"/>
          <w:noProof/>
          <w:color w:val="auto"/>
          <w:sz w:val="30"/>
        </w:rPr>
        <w:lastRenderedPageBreak/>
        <w:t>第十八部分</w:t>
      </w:r>
      <w:r w:rsidRPr="009E26D0">
        <w:rPr>
          <w:rFonts w:ascii="Times New Roman"/>
          <w:noProof/>
          <w:color w:val="auto"/>
          <w:sz w:val="30"/>
        </w:rPr>
        <w:t xml:space="preserve">  </w:t>
      </w:r>
      <w:r w:rsidRPr="009E26D0">
        <w:rPr>
          <w:rFonts w:ascii="Times New Roman"/>
          <w:noProof/>
          <w:color w:val="auto"/>
          <w:sz w:val="30"/>
        </w:rPr>
        <w:t>基金合同的变更、终止与基金财产的清算</w:t>
      </w:r>
      <w:bookmarkEnd w:id="55"/>
    </w:p>
    <w:p w14:paraId="13D1C0E5" w14:textId="77777777" w:rsidR="007A2B34" w:rsidRPr="0017353E" w:rsidRDefault="007A2B34" w:rsidP="0090469D"/>
    <w:p w14:paraId="70E1CE7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一、《基金合同》的变更</w:t>
      </w:r>
    </w:p>
    <w:p w14:paraId="21BB34DA" w14:textId="47802DD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w:t>
      </w:r>
      <w:r w:rsidR="00C1095B">
        <w:rPr>
          <w:rFonts w:ascii="宋体" w:hAnsi="宋体" w:cs="宋体"/>
          <w:kern w:val="0"/>
          <w:sz w:val="24"/>
          <w:szCs w:val="24"/>
        </w:rPr>
        <w:t>、变更基金合同涉及法律法规规定或</w:t>
      </w:r>
      <w:r>
        <w:rPr>
          <w:rFonts w:ascii="宋体" w:hAnsi="宋体" w:cs="宋体"/>
          <w:kern w:val="0"/>
          <w:sz w:val="24"/>
          <w:szCs w:val="24"/>
        </w:rPr>
        <w:t>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25E765E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2、关于《基金合同》变更的基金份额持有人大会决议自生效后方可执行，自决议生效后两日内在规定媒介公告。</w:t>
      </w:r>
    </w:p>
    <w:p w14:paraId="393C956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二、《基金合同》的终止事由</w:t>
      </w:r>
    </w:p>
    <w:p w14:paraId="643B4A8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有下列情形之一的，经履行相关程序后，《基金合同》应当终止：</w:t>
      </w:r>
    </w:p>
    <w:p w14:paraId="51A7284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1、基金份额持有人大会决定终止的；</w:t>
      </w:r>
    </w:p>
    <w:p w14:paraId="14C0588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2、基金管理人、基金托管人职责终止，在6个月内没有新基金管理人、新基金托管人承接的；</w:t>
      </w:r>
    </w:p>
    <w:p w14:paraId="3211D44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3、基金合同生效满三年之日（指自然日），若基金资产净值低于2亿元人民币的；</w:t>
      </w:r>
    </w:p>
    <w:p w14:paraId="710913A2"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4、《基金合同》约定的其他情形；</w:t>
      </w:r>
    </w:p>
    <w:p w14:paraId="0443336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5、相关法律法规和中国证监会规定的其他情况。</w:t>
      </w:r>
    </w:p>
    <w:p w14:paraId="2116B7BA"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三、基金财产的清算</w:t>
      </w:r>
    </w:p>
    <w:p w14:paraId="7F9329D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1、基金财产清算小组：自出现《基金合同》终止事由之日起30个工作日内成立清算小组，基金管理人组织基金财产清算小组并在中国证监会的监督下进行基金清算。</w:t>
      </w:r>
    </w:p>
    <w:p w14:paraId="4BB9240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18A8E5C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3、基金财产清算小组职责：基金财产清算小组负责基金财产的保管、清理、估价、变现和分配。基金财产清算小组可以依法进行必要的民事活动。</w:t>
      </w:r>
    </w:p>
    <w:p w14:paraId="2284FCE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4、基金财产清算程序：</w:t>
      </w:r>
    </w:p>
    <w:p w14:paraId="62E8224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（1）《基金合同》终止情形出现时，由基金财产清算小组统一接管基金；</w:t>
      </w:r>
    </w:p>
    <w:p w14:paraId="7E780C9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（2）对基金财产和债权债务进行清理和确认；</w:t>
      </w:r>
    </w:p>
    <w:p w14:paraId="5E88781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（3）对基金财产进行估值和变现；</w:t>
      </w:r>
    </w:p>
    <w:p w14:paraId="3473E5D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（4）制作清算报告；</w:t>
      </w:r>
    </w:p>
    <w:p w14:paraId="5D4560F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（5）聘请符合《中华人民共和国证券法》规定的会计师事务所对清算报告进行外部审计，聘请律师事务所对清算报告出具法律意见书；</w:t>
      </w:r>
    </w:p>
    <w:p w14:paraId="49A6BBB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（6）将清算报告报中国证监会备案并公告；</w:t>
      </w:r>
    </w:p>
    <w:p w14:paraId="1C7CA50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（7）对基金剩余财产进行分配。</w:t>
      </w:r>
    </w:p>
    <w:p w14:paraId="74D43BA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5、基金财产清算的期限为6个月，但因本基金所持证券的流动性受到限制而不能及时变现的，清算期限相应顺延。</w:t>
      </w:r>
    </w:p>
    <w:p w14:paraId="0D00AF3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四、清算费用</w:t>
      </w:r>
    </w:p>
    <w:p w14:paraId="6E4F748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79362FD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五、基金财产清算剩余资产的分配</w:t>
      </w:r>
    </w:p>
    <w:p w14:paraId="2ED5379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依据基金财产清算的分配方案，将基金财产清算后的全部剩余资产扣除基金财产清算费用、交纳所欠税款并清偿基金债务后，按基金份额持有人持有的基金份额比例进行分配，并扣除相应的超额管理费（如有）。</w:t>
      </w:r>
    </w:p>
    <w:p w14:paraId="2FF68DA5" w14:textId="77777777"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其中，对于投资者通过直销机构认购/申购的C类基金份额所计提的销售服务费或者通过其他销售机构认购/申购且持续持有期限超过一年（即365天）以后继续计提的C类基金份额销售服务费，将在基金合同终止时随清算款一并返还给投资者。</w:t>
      </w:r>
    </w:p>
    <w:p w14:paraId="44C1C35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六、基金财产清算的公告</w:t>
      </w:r>
    </w:p>
    <w:p w14:paraId="5870B32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7694EBD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七、基金财产清算账册及文件的保存</w:t>
      </w:r>
    </w:p>
    <w:p w14:paraId="4A28F57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基金财产清算账册及有关文件由基金托管人保存，保存期限不少于法定最低期限。</w:t>
      </w:r>
      <w:r>
        <w:rPr>
          <w:rFonts w:ascii="宋体" w:hAnsi="宋体" w:cs="宋体"/>
          <w:kern w:val="0"/>
          <w:sz w:val="24"/>
          <w:szCs w:val="24"/>
        </w:rPr>
        <w:br w:type="page"/>
      </w:r>
    </w:p>
    <w:p w14:paraId="205EC0D0" w14:textId="3435760E" w:rsidR="009D63C8" w:rsidRDefault="00B67EDE" w:rsidP="009E26D0">
      <w:pPr>
        <w:pStyle w:val="1"/>
        <w:spacing w:before="0" w:after="0"/>
        <w:jc w:val="center"/>
        <w:rPr>
          <w:rFonts w:ascii="Times New Roman"/>
          <w:color w:val="auto"/>
          <w:sz w:val="30"/>
        </w:rPr>
      </w:pPr>
      <w:bookmarkStart w:id="56" w:name="_Toc256000018"/>
      <w:bookmarkEnd w:id="48"/>
      <w:r w:rsidRPr="009E26D0">
        <w:rPr>
          <w:rFonts w:ascii="Times New Roman"/>
          <w:noProof/>
          <w:color w:val="auto"/>
          <w:sz w:val="30"/>
        </w:rPr>
        <w:lastRenderedPageBreak/>
        <w:t>第十九部分</w:t>
      </w:r>
      <w:r w:rsidRPr="009E26D0">
        <w:rPr>
          <w:rFonts w:ascii="Times New Roman"/>
          <w:noProof/>
          <w:color w:val="auto"/>
          <w:sz w:val="30"/>
        </w:rPr>
        <w:t xml:space="preserve">  </w:t>
      </w:r>
      <w:r w:rsidRPr="009E26D0">
        <w:rPr>
          <w:rFonts w:ascii="Times New Roman"/>
          <w:noProof/>
          <w:color w:val="auto"/>
          <w:sz w:val="30"/>
        </w:rPr>
        <w:t>基金合同的内容摘要</w:t>
      </w:r>
      <w:bookmarkEnd w:id="56"/>
    </w:p>
    <w:p w14:paraId="6E179D76" w14:textId="77777777" w:rsidR="007A2B34" w:rsidRPr="0017353E" w:rsidRDefault="007A2B34" w:rsidP="0090469D"/>
    <w:p w14:paraId="1B00B706" w14:textId="77777777" w:rsidR="00AE2B28" w:rsidRDefault="00B67EDE">
      <w:pPr>
        <w:pStyle w:val="2"/>
        <w:keepNext w:val="0"/>
        <w:keepLines w:val="0"/>
        <w:spacing w:before="0" w:after="0" w:line="360" w:lineRule="auto"/>
        <w:ind w:firstLine="420"/>
        <w:jc w:val="left"/>
        <w:rPr>
          <w:rFonts w:ascii="Times New Roman" w:eastAsia="Times New Roman" w:hAnsi="Times New Roman"/>
          <w:bCs/>
          <w:kern w:val="0"/>
          <w:sz w:val="24"/>
          <w:szCs w:val="24"/>
        </w:rPr>
      </w:pPr>
      <w:bookmarkStart w:id="57" w:name="_Hlk212216715"/>
      <w:r>
        <w:rPr>
          <w:rFonts w:ascii="宋体" w:eastAsia="宋体" w:hAnsi="宋体" w:cs="宋体"/>
          <w:bCs/>
          <w:kern w:val="0"/>
          <w:sz w:val="24"/>
          <w:szCs w:val="24"/>
        </w:rPr>
        <w:t>一、基金合同当事人的权利、义务</w:t>
      </w:r>
    </w:p>
    <w:p w14:paraId="057A1E1A"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（一）基金管理人的权利与义务</w:t>
      </w:r>
    </w:p>
    <w:p w14:paraId="38E17269"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1、根据《基金法》、《运作办法》及其他有关规定，基金管理人的权利包括但不限于：</w:t>
      </w:r>
    </w:p>
    <w:p w14:paraId="3BEEEB0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（1）依法募集资金；</w:t>
      </w:r>
    </w:p>
    <w:p w14:paraId="57BA5C6E"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（2）自《基金合同》生效之日起，根据法律法规和《基金合同》独立运用并管理基金财产；</w:t>
      </w:r>
    </w:p>
    <w:p w14:paraId="2378C459"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（3）依照《基金合同》收取基金管理费（包括固定管理费、或有管理费和超额管理费）以及法律法规规定或中国证监会批准的其他费用；</w:t>
      </w:r>
    </w:p>
    <w:p w14:paraId="6B1162BF"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（4）销售基金份额；</w:t>
      </w:r>
    </w:p>
    <w:p w14:paraId="1506201E"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（5）按照规定召集基金份额持有人大会；</w:t>
      </w:r>
    </w:p>
    <w:p w14:paraId="270AD393"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65637C7A"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（7）在基金托管人更换时，提名新的基金托管人；</w:t>
      </w:r>
    </w:p>
    <w:p w14:paraId="34AB3880"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（8）选择、更换基金销售机构，对基金销售机构的相关行为进行监督和处理；</w:t>
      </w:r>
    </w:p>
    <w:p w14:paraId="27A35AB9"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（9）担任或委托其他符合条件的机构担任基金登记机构办理基金登记业务并获得《基金合同》规定的费用；</w:t>
      </w:r>
    </w:p>
    <w:p w14:paraId="40DC24FA"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（10）依据《基金合同》及有关法律规定决定基金收益的分配方案；</w:t>
      </w:r>
    </w:p>
    <w:p w14:paraId="58836662"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（11）在《基金合同》约定的范围内，拒绝或暂停受理申购与赎回申请；</w:t>
      </w:r>
    </w:p>
    <w:p w14:paraId="43FB961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（12）依照法律法规为基金的利益对被投资公司行使股东权利，为基金的利益行使因基金财产投资于证券所产生的权利；</w:t>
      </w:r>
    </w:p>
    <w:p w14:paraId="25B9DE0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（13）在法律法规允许的前提下，为基金的利益依法为基金进行融资；</w:t>
      </w:r>
    </w:p>
    <w:p w14:paraId="66886F90"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（14）以基金管理人的名义，代表基金份额持有人的利益行使诉讼权利或者实施其他法律行为；</w:t>
      </w:r>
    </w:p>
    <w:p w14:paraId="1B2CD52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（15）选择、更换律师事务所、会计师事务所、证券经纪商、期货经纪机构</w:t>
      </w:r>
      <w:r>
        <w:rPr>
          <w:rFonts w:ascii="宋体" w:hAnsi="宋体" w:cs="宋体"/>
          <w:kern w:val="0"/>
          <w:sz w:val="24"/>
          <w:szCs w:val="24"/>
        </w:rPr>
        <w:lastRenderedPageBreak/>
        <w:t>或其他为基金提供服务的外部机构；</w:t>
      </w:r>
    </w:p>
    <w:p w14:paraId="21FA445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（16）在符合有关法律、法规的前提下，制订和调整有关基金认购、申购、赎回、转换、定期定额投资、转托管和非交易过户等业务规则；</w:t>
      </w:r>
    </w:p>
    <w:p w14:paraId="191B704E"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（17）在法律法规和基金合同规定的范围内决定调整基金费率结构和收费方式；</w:t>
      </w:r>
    </w:p>
    <w:p w14:paraId="4CB01F80"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（18）法律法规及中国证监会规定的和《基金合同》约定的其他权利。</w:t>
      </w:r>
    </w:p>
    <w:p w14:paraId="1BB55010"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2、根据《基金法》、《运作办法》及其他有关规定，基金管理人的义务包括但不限于：</w:t>
      </w:r>
    </w:p>
    <w:p w14:paraId="15CD3222"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（1）依法募集资金，办理或者委托经中国证监会认定的其他机构代为办理基金份额的发售、申购、赎回和登记事宜；</w:t>
      </w:r>
    </w:p>
    <w:p w14:paraId="7C08FE4A"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（2）办理基金备案手续；</w:t>
      </w:r>
    </w:p>
    <w:p w14:paraId="00106914"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（3）自《基金合同》生效之日起，以诚实信用、谨慎勤勉的原则管理和运用基金财产；</w:t>
      </w:r>
    </w:p>
    <w:p w14:paraId="109BD20D"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（4）配备足够的具有专业资格的人员进行基金投资分析、决策，以专业化的经营方式管理和运作基金财产；</w:t>
      </w:r>
    </w:p>
    <w:p w14:paraId="44D5EF87"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（5）建立健全内部风险控制、监察与稽核、财务管理及人事管理等制度，保证所管理的基金财产和基金管理人的财产相互独立，对所管理的不同基金分别管理，分别记账，进行证券投资；</w:t>
      </w:r>
    </w:p>
    <w:p w14:paraId="5E52D504"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（6）除依据《基金法》、《基金合同》及其他有关规定外，不得利用基金财产为自己及任何第三人谋取利益，不得委托第三人运作基金财产；</w:t>
      </w:r>
    </w:p>
    <w:p w14:paraId="2AC2F350"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（7）依法接受基金托管人的监督；</w:t>
      </w:r>
    </w:p>
    <w:p w14:paraId="13FD1D6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（8）采取适当合理的措施使计算基金份额认购、申购、赎回和注销价格的方法符合《基金合同》等法律文件的规定，按有关规定计算并公告基金净值信息，确定基金份额申购、赎回的价格；</w:t>
      </w:r>
    </w:p>
    <w:p w14:paraId="705CD97E"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（9）进行基金会计核算并编制基金财务会计报告；</w:t>
      </w:r>
    </w:p>
    <w:p w14:paraId="3510AD03"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（10）编制季度报告、中期报告和年度报告；</w:t>
      </w:r>
    </w:p>
    <w:p w14:paraId="5BCA17D7"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（11）严格按照《基金法》、《基金合同》及其他有关规定，履行信息披露及报告义务；</w:t>
      </w:r>
    </w:p>
    <w:p w14:paraId="7301857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（12）保守基金商业秘密，不泄露基金投资计划、投资意向等。除《基金</w:t>
      </w:r>
      <w:r>
        <w:rPr>
          <w:rFonts w:ascii="宋体" w:hAnsi="宋体" w:cs="宋体"/>
          <w:kern w:val="0"/>
          <w:sz w:val="24"/>
          <w:szCs w:val="24"/>
        </w:rPr>
        <w:lastRenderedPageBreak/>
        <w:t>法》、《基金合同》及其他有关规定另有规定外，在基金信息公开披露前应予保密，不向他人泄露，但应监管机构、司法机关等有权机关的要求，或因审计、法律等外部专业顾问提供服务需要提供的情况除外；</w:t>
      </w:r>
    </w:p>
    <w:p w14:paraId="1C69474D"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（13）按《基金合同》的约定确定基金收益分配方案，及时向基金份额持有人分配基金收益；</w:t>
      </w:r>
    </w:p>
    <w:p w14:paraId="0DE10335"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（14）按规定受理申购与赎回申请，及时、足额支付赎回款项；</w:t>
      </w:r>
    </w:p>
    <w:p w14:paraId="0C44BE8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（15）依据《基金法》、《基金合同》及其他有关规定召集基金份额持有人大会或配合基金托管人、基金份额持有人依法召集基金份额持有人大会；</w:t>
      </w:r>
    </w:p>
    <w:p w14:paraId="444D21D2"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（16）按规定保存基金财产管理业务活动的会计账册、报表、记录和其他相关资料不少于法定最低期限；</w:t>
      </w:r>
    </w:p>
    <w:p w14:paraId="5E174FA7"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F5795C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（18）组织并参加基金财产清算小组，参与基金财产的保管、清理、估价、变现和分配；</w:t>
      </w:r>
    </w:p>
    <w:p w14:paraId="1E18F005"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（19）面临解散、依法被撤销或者被依法宣告破产时，及时报告中国证监会并通知基金托管人；</w:t>
      </w:r>
    </w:p>
    <w:p w14:paraId="3DBCC0AA"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（20）因违反《基金合同》导致基金财产的损失或损害基金份额持有人合法权益时，应当承担赔偿责任，其赔偿责任不因其退任而免除；</w:t>
      </w:r>
    </w:p>
    <w:p w14:paraId="0D38133A"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（21）监督基金托管人按法律法规和《基金合同》规定履行自己的义务，基金托管人违反《基金合同》造成基金财产损失时，基金管理人应为基金份额持有人利益向基金托管人追偿；</w:t>
      </w:r>
    </w:p>
    <w:p w14:paraId="3B4646E7"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（22）当基金管理人将其义务委托第三方处理时，应当对第三方处理有关基金事务的行为承担责任；</w:t>
      </w:r>
    </w:p>
    <w:p w14:paraId="121AD38D"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（23）以基金管理人名义，代表基金份额持有人利益行使诉讼权利或实施其他法律行为；</w:t>
      </w:r>
    </w:p>
    <w:p w14:paraId="2A329494"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（24）基金管理人在募集期间未能达到基金的备案条件，《基金合同》不能生效，基金管理人承担全部募集费用，将已募集资金并加计银行同期活期存款利息在基金募集期结束后30日内退还基金认购人；</w:t>
      </w:r>
    </w:p>
    <w:p w14:paraId="717AA8C3"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（25）执行生效的基金份额持有人大会的决议；</w:t>
      </w:r>
    </w:p>
    <w:p w14:paraId="09A9271F"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（26）建立并保存基金份额持有人名册；</w:t>
      </w:r>
    </w:p>
    <w:p w14:paraId="394E817E"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（27）法律法规及中国证监会规定的和《基金合同》约定的其他义务。</w:t>
      </w:r>
    </w:p>
    <w:p w14:paraId="13CA7F37"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（二）基金托管人的权利与义务</w:t>
      </w:r>
    </w:p>
    <w:p w14:paraId="5A7F1C8C"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1、根据《基金法》、《运作办法》及其他有关规定，基金托管人的权利包括但不限于：</w:t>
      </w:r>
    </w:p>
    <w:p w14:paraId="59771035"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（1）自《基金合同》生效之日起，依法律法规和《基金合同》的规定安全保管基金财产；</w:t>
      </w:r>
    </w:p>
    <w:p w14:paraId="47B5A9EE"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（2）依《基金合同》约定获得基金托管费以及法律法规规定或监管部门批准的其他费用；</w:t>
      </w:r>
    </w:p>
    <w:p w14:paraId="1F44DFC9"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049F11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（4）根据相关市场规则，为基金开设资金账户和证券账户等投资所需账户，为基金办理证券、期货交易资金清算；</w:t>
      </w:r>
    </w:p>
    <w:p w14:paraId="1FB20B38"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（5）提议召开或召集基金份额持有人大会；</w:t>
      </w:r>
    </w:p>
    <w:p w14:paraId="0C65285B"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（6）在基金管理人更换时，提名新的基金管理人；</w:t>
      </w:r>
    </w:p>
    <w:p w14:paraId="1FC9E9B3"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（7）法律法规及中国证监会规定的和《基金合同》约定的其他权利。</w:t>
      </w:r>
    </w:p>
    <w:p w14:paraId="20174C2D"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2、根据《基金法》、《运作办法》及其他有关规定，基金托管人的义务包括但不限于：</w:t>
      </w:r>
    </w:p>
    <w:p w14:paraId="38D20D26"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（1）以诚实信用、勤勉尽责的原则持有并安全保管基金财产；</w:t>
      </w:r>
    </w:p>
    <w:p w14:paraId="6D4F4A7C"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（2）设立专门的基金托管部门，具有符合要求的营业场所，配备足够的、合格的熟悉基金托管业务的专职人员，负责基金财产托管事宜；</w:t>
      </w:r>
    </w:p>
    <w:p w14:paraId="15E97587"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84E86E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（4）除依据《基金法》、《基金合同》及其他有关规定外，不得利用基金财产为自己及任何第三人谋取利益，不得委托第三人托管基金财产；</w:t>
      </w:r>
    </w:p>
    <w:p w14:paraId="3799EAA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（5）保管由基金管理人代表基金签订的与基金有关的重大合同及有关凭证；</w:t>
      </w:r>
    </w:p>
    <w:p w14:paraId="26CB5B3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（6）按规定开设基金财产的资金账户和证券账户等投资所需账户，按照《基金合同》的约定，根据基金管理人的投资指令，及时办理清算、交割事宜；</w:t>
      </w:r>
    </w:p>
    <w:p w14:paraId="6276107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7）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6662586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（8）复核、审查基金管理人计算的基金资产净值、各类基金份额净值、基金份额申购、赎回价格；</w:t>
      </w:r>
    </w:p>
    <w:p w14:paraId="65E669F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（9）办理与基金托管业务活动有关的信息披露事项；</w:t>
      </w:r>
    </w:p>
    <w:p w14:paraId="537B2C6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7641E5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（11）保存基金托管业务活动的记录、账册、报表和其他相关资料不少于法定最低期限；</w:t>
      </w:r>
    </w:p>
    <w:p w14:paraId="16EC2FF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（12）建立并保存基金份额持有人名册；</w:t>
      </w:r>
    </w:p>
    <w:p w14:paraId="7DF9F4F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（13）按规定制作相关账册并与基金管理人核对；</w:t>
      </w:r>
    </w:p>
    <w:p w14:paraId="7936C14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（14）依据基金管理人的指令或有关规定向基金份额持有人支付基金收益和赎回款项；</w:t>
      </w:r>
    </w:p>
    <w:p w14:paraId="44A29BA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（15）依据《基金法》、《基金合同》及其他有关规定，召集基金份额持有人大会或配合基金管理人、基金份额持有人依法召集基金份额持有人大会；</w:t>
      </w:r>
    </w:p>
    <w:p w14:paraId="2D398F0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（16）按照法律法规和《基金合同》的规定监督基金管理人的投资运作；</w:t>
      </w:r>
    </w:p>
    <w:p w14:paraId="143034E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（17）参加基金财产清算小组，参与基金财产的保管、清理、估价、变现和分配；</w:t>
      </w:r>
    </w:p>
    <w:p w14:paraId="186AD22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（18）面临解散、依法被撤销或者被依法宣告破产时，及时报告中国证监会和银行业监督管理机构，并通知基金管理人；</w:t>
      </w:r>
    </w:p>
    <w:p w14:paraId="550CA6D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（19）因违反《基金合同》导致基金财产损失时，应承担赔偿责任，其赔偿责任不因其退任而免除；</w:t>
      </w:r>
    </w:p>
    <w:p w14:paraId="61685D7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（20）按规定监督基金管理人按法律法规和《基金合同》规定履行自己的义务，基金管理人因违反《基金合同》造成基金财产损失时，应为基金份额持有人利益向基金管理人追偿；</w:t>
      </w:r>
    </w:p>
    <w:p w14:paraId="7BD596C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（21）执行生效的基金份额持有人大会的决议；</w:t>
      </w:r>
    </w:p>
    <w:p w14:paraId="4C05811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（22）法律法规及中国证监会规定的和《基金合同》约定的其他义务。</w:t>
      </w:r>
    </w:p>
    <w:p w14:paraId="0A364FDC"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（三）基金份额持有人的权利和义务</w:t>
      </w:r>
    </w:p>
    <w:p w14:paraId="60A2721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3003EB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同一类别内每份基金份额具有同等的合法权益。</w:t>
      </w:r>
    </w:p>
    <w:p w14:paraId="4B72C23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1、根据《基金法》、《运作办法》及其他有关规定，基金份额持有人的权利包括但不限于：</w:t>
      </w:r>
    </w:p>
    <w:p w14:paraId="0C9128E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（1）分享基金财产收益；</w:t>
      </w:r>
    </w:p>
    <w:p w14:paraId="37DBAC0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（2）参与分配清算后的剩余基金财产；</w:t>
      </w:r>
    </w:p>
    <w:p w14:paraId="0162FDD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（3）依法转让或者申请赎回其持有的基金份额；</w:t>
      </w:r>
    </w:p>
    <w:p w14:paraId="4DB088D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（4）按照规定要求召开基金份额持有人大会或者召集基金份额持有人大会；</w:t>
      </w:r>
    </w:p>
    <w:p w14:paraId="087E0C8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（5）出席或者委派代表出席基金份额持有人大会，对基金份额持有人大会审议事项行使表决权；</w:t>
      </w:r>
    </w:p>
    <w:p w14:paraId="66B452D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（6）查阅或者复制公开披露的基金信息资料；</w:t>
      </w:r>
    </w:p>
    <w:p w14:paraId="2EDBD9B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（7）监督基金管理人的投资运作；</w:t>
      </w:r>
    </w:p>
    <w:p w14:paraId="433C8E8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（8）对基金管理人、基金托管人、基金服务机构损害其合法权益的行为依法提起诉讼或仲裁；</w:t>
      </w:r>
    </w:p>
    <w:p w14:paraId="0535E39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（9）法律法规及中国证监会规定的和《基金合同》约定的其他权利。</w:t>
      </w:r>
    </w:p>
    <w:p w14:paraId="7F67B61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2、根据《基金法》、《运作办法》及其他有关规定，基金份额持有人的义务包括但不限于：</w:t>
      </w:r>
    </w:p>
    <w:p w14:paraId="48C1AC0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（1）认真阅读并遵守《基金合同》、《招募说明书》等信息披露文件；</w:t>
      </w:r>
    </w:p>
    <w:p w14:paraId="48F2804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（2）了解所投资基金产品，了解自身风险承受能力，自主判断基金的投资价值，自主做出投资决策，自行承担投资风险；</w:t>
      </w:r>
    </w:p>
    <w:p w14:paraId="1A312DC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（3）关注基金信息披露，及时行使权利和履行义务；</w:t>
      </w:r>
    </w:p>
    <w:p w14:paraId="6BB5949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（4）交纳基金认购、申购款项及法律法规和《基金合同》所规定的费用；</w:t>
      </w:r>
    </w:p>
    <w:p w14:paraId="30123D4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（5）在其持有的基金份额范围内，承担基金亏损或者《基金合同》终止的有限责任；</w:t>
      </w:r>
    </w:p>
    <w:p w14:paraId="46C566C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（6）不从事任何有损基金及其他《基金合同》当事人合法权益的活动；</w:t>
      </w:r>
    </w:p>
    <w:p w14:paraId="1E0554B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（7）执行生效的基金份额持有人大会的决议；</w:t>
      </w:r>
    </w:p>
    <w:p w14:paraId="4D8F913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（8）返还在基金交易过程中因任何原因获得的不当得利；</w:t>
      </w:r>
    </w:p>
    <w:p w14:paraId="17C3200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（9）发起资金提供方持有认购的基金份额不少于3年（基金合同生效不满3年提前终止的情况除外）；</w:t>
      </w:r>
    </w:p>
    <w:p w14:paraId="33AFC093"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（10）提供基金管理人和监管机构依法要求提供的信息，以及不时的更新和补充，并保证其真实性；</w:t>
      </w:r>
    </w:p>
    <w:p w14:paraId="787B84B1"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（11）遵守基金管理人、基金托管人、销售机构和登记机构的相关交易及业务规则；</w:t>
      </w:r>
    </w:p>
    <w:p w14:paraId="359E6A7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（12）法律法规及中国证监会规定的和《基金合同》约定的其他义务。</w:t>
      </w:r>
    </w:p>
    <w:p w14:paraId="1967544A" w14:textId="77777777" w:rsidR="00AE2B28" w:rsidRDefault="00B67EDE">
      <w:pPr>
        <w:pStyle w:val="2"/>
        <w:keepNext w:val="0"/>
        <w:keepLines w:val="0"/>
        <w:spacing w:before="0" w:after="0" w:line="360" w:lineRule="auto"/>
        <w:ind w:firstLine="420"/>
        <w:jc w:val="left"/>
        <w:rPr>
          <w:rFonts w:ascii="Times New Roman" w:eastAsia="Times New Roman" w:hAnsi="Times New Roman"/>
          <w:bCs/>
          <w:kern w:val="0"/>
          <w:sz w:val="24"/>
          <w:szCs w:val="24"/>
        </w:rPr>
      </w:pPr>
      <w:r>
        <w:rPr>
          <w:rFonts w:ascii="宋体" w:eastAsia="宋体" w:hAnsi="宋体" w:cs="宋体"/>
          <w:bCs/>
          <w:kern w:val="0"/>
          <w:sz w:val="24"/>
          <w:szCs w:val="24"/>
        </w:rPr>
        <w:t>二、基金份额持有人大会召集、议事及表决的程序和规则</w:t>
      </w:r>
    </w:p>
    <w:p w14:paraId="2C19546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62C8C69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本基金份额持有人大会不设日常机构。</w:t>
      </w:r>
    </w:p>
    <w:p w14:paraId="4B788040"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（一）召开事由</w:t>
      </w:r>
    </w:p>
    <w:p w14:paraId="68DD03D2"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1、当出现或需要决定下列事由之一的，应当召开基金份额持有人大会，法律法规、中国证监会另有规定的除外：</w:t>
      </w:r>
    </w:p>
    <w:p w14:paraId="01E870B3"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（1）终止《基金合同》，《基金合同》另有约定的除外；</w:t>
      </w:r>
    </w:p>
    <w:p w14:paraId="4D383B99"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（2）更换基金管理人；</w:t>
      </w:r>
    </w:p>
    <w:p w14:paraId="01533BBF"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（3）更换基金托管人；</w:t>
      </w:r>
    </w:p>
    <w:p w14:paraId="7127CCB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（4）转换基金运作方式；</w:t>
      </w:r>
    </w:p>
    <w:p w14:paraId="1EE5DA3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（5）调整基金管理人、基金托管人的报酬标准或提高销售服务费率；</w:t>
      </w:r>
    </w:p>
    <w:p w14:paraId="72F0F227"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（6）变更基金类别；</w:t>
      </w:r>
    </w:p>
    <w:p w14:paraId="2086A646"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（7）本基金与其他基金的合并；</w:t>
      </w:r>
    </w:p>
    <w:p w14:paraId="68A598AE"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（8）变更基金投资目标、范围或策略；</w:t>
      </w:r>
    </w:p>
    <w:p w14:paraId="33DF2F77"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（9）变更基金份额持有人大会程序；</w:t>
      </w:r>
    </w:p>
    <w:p w14:paraId="142CC36C"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（10）基金管理人或基金托管人要求召开基金份额持有人大会；</w:t>
      </w:r>
    </w:p>
    <w:p w14:paraId="1451BBE3"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（11）单独或合计持有本基金总份额10%以上（含10%）基金份额的基金份额持有人（以基金管理人收到提议当日的基金份额计算，下同）就同一事项书面要求召开基金份额持有人大会；</w:t>
      </w:r>
    </w:p>
    <w:p w14:paraId="1EA1A90A"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（12）对基金合同当事人权利和义务产生重大影响的其他事项；</w:t>
      </w:r>
    </w:p>
    <w:p w14:paraId="3ADEB99A"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（13）法律法规、《基金合同》或中国证监会规定的其他应当召开基金份额持有人大会的事项。</w:t>
      </w:r>
    </w:p>
    <w:p w14:paraId="0D83220A"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2、在法律法规规定和《基金合同》约定的范围内且对基金份额持有人利益无实质性不利影响的前提下，以下情况可由基金管理人和基金托管人协商后修改，不需召开基金份额持有人大会：</w:t>
      </w:r>
    </w:p>
    <w:p w14:paraId="7ABD8BFB"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（1）法律法规要求增加的基金费用的收取；</w:t>
      </w:r>
    </w:p>
    <w:p w14:paraId="54B01EC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（2）调整本基金的申购费率、调低销售服务费率或变更收费方式；</w:t>
      </w:r>
    </w:p>
    <w:p w14:paraId="0399CF94"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（3）增加、减少或调整基金份额类别设置或者调整基金份额分类办法及规则等；</w:t>
      </w:r>
    </w:p>
    <w:p w14:paraId="3EBD09F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（4）因相应的法律法规发生变动而应当对《基金合同》进行修改；</w:t>
      </w:r>
    </w:p>
    <w:p w14:paraId="753491E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（5）基金管理人和基金登记机构等调整或修改《业务规则》，包括但不限于有关基金认购、申购、赎回、转换、非交易过户、转托管等内容；</w:t>
      </w:r>
    </w:p>
    <w:p w14:paraId="7CCE8C87"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（6）对《基金合同》的修改对基金份额持有人利益无实质性不利影响或修改不涉及《基金合同》当事人权利义务关系发生重大变化；</w:t>
      </w:r>
    </w:p>
    <w:p w14:paraId="1AF22509"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（7）在履行适当程序后，基金推出新业务或服务；</w:t>
      </w:r>
    </w:p>
    <w:p w14:paraId="0EB24C18" w14:textId="247A865C"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（8）按照法律法规和《基金合同》规定不需召开基金份额持有人大会的其他情形。</w:t>
      </w:r>
    </w:p>
    <w:p w14:paraId="691DF707"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（二）会议召集人及召集方式</w:t>
      </w:r>
    </w:p>
    <w:p w14:paraId="3D9ABE3B"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1、除法律法规规定或《基金合同》另有约定外，基金份额持有人大会由基金管理人召集。</w:t>
      </w:r>
    </w:p>
    <w:p w14:paraId="7480AC7B"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2、基金管理人未按规定召集或不能召集时，由基金托管人召集。</w:t>
      </w:r>
    </w:p>
    <w:p w14:paraId="0765DCBA"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3、基金托管人认为有必要召开基金份额持有人大会的，应当向基金管理人</w:t>
      </w:r>
      <w:r>
        <w:rPr>
          <w:rFonts w:ascii="宋体" w:hAnsi="宋体" w:cs="宋体"/>
          <w:kern w:val="0"/>
          <w:sz w:val="24"/>
          <w:szCs w:val="24"/>
        </w:rPr>
        <w:lastRenderedPageBreak/>
        <w:t>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69D190BA"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27AA2283"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44FAC77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6、基金份额持有人会议的召集人负责选择确定开会时间、地点、方式和权益登记日。</w:t>
      </w:r>
    </w:p>
    <w:p w14:paraId="63C406A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（三）召开基金份额持有人大会的通知时间、通知内容、通知方式</w:t>
      </w:r>
    </w:p>
    <w:p w14:paraId="7241669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1、召开基金份额持有人大会，召集人应于会议召开前30日，在规定媒介公告。基金份额持有人大会通知应至少载明以下内容：</w:t>
      </w:r>
    </w:p>
    <w:p w14:paraId="5209110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（1）会议召开的时间、地点和会议形式；</w:t>
      </w:r>
    </w:p>
    <w:p w14:paraId="40DF550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（2）会议拟审议的事项、议事程序和表决方式；</w:t>
      </w:r>
    </w:p>
    <w:p w14:paraId="52CD76F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（3）有权出席基金份额持有人大会的基金份额持有人的权益登记日；</w:t>
      </w:r>
    </w:p>
    <w:p w14:paraId="2F5A770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（4）授权委托证明的内容要求（包括但不限于代理人身份，代理权限和代理有效期限等）、送达时间和地点；</w:t>
      </w:r>
    </w:p>
    <w:p w14:paraId="3C959E2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（5）会务常设联系人姓名及联系电话；</w:t>
      </w:r>
    </w:p>
    <w:p w14:paraId="52E086F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（6）出席会议者必须准备的文件和必须履行的手续；</w:t>
      </w:r>
    </w:p>
    <w:p w14:paraId="0AA5D0C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（7）召集人需要通知的其他事项。</w:t>
      </w:r>
    </w:p>
    <w:p w14:paraId="1647142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3FDBBB1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BA4FBF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（四）基金份额持有人出席会议的方式</w:t>
      </w:r>
    </w:p>
    <w:p w14:paraId="3362ABF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基金份额持有人大会可通过现场开会方式、通讯开会方式或法律法规、监管机构允许的其他方式召开，会议的召开方式由会议召集人确定。</w:t>
      </w:r>
    </w:p>
    <w:p w14:paraId="6B6CD58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949C82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E91890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w:t>
      </w:r>
      <w:r>
        <w:rPr>
          <w:rFonts w:ascii="宋体" w:hAnsi="宋体" w:cs="宋体"/>
          <w:kern w:val="0"/>
          <w:sz w:val="24"/>
          <w:szCs w:val="24"/>
        </w:rPr>
        <w:lastRenderedPageBreak/>
        <w:t>本基金在权益登记日基金总份额的三分之一（含三分之一）。</w:t>
      </w:r>
    </w:p>
    <w:p w14:paraId="2042456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通讯开会。通讯开会系指基金份额持有人将其对表决事项的投票以书面形式或大会公告载明的其他方式在表决截止日以前送达至召集人指定的地址或系统。通讯开会应以书面方式或大会公告载明的其他方式进行表决。</w:t>
      </w:r>
    </w:p>
    <w:p w14:paraId="296D704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在同时符合以下条件时，通讯开会的方式视为有效：</w:t>
      </w:r>
    </w:p>
    <w:p w14:paraId="667981A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（1）会议召集人按《基金合同》约定公布会议通知后，在2个工作日内连续公布相关提示性公告；</w:t>
      </w:r>
    </w:p>
    <w:p w14:paraId="5E6EC08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59DDAA8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27E2E31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462DD29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在法律法规和监管机构允许的情况下，本基金亦可采用网络、电话、短信等其他非现场方式或者以非现场方式与现场方式结合的方式召开基金份额持有人大会，或者采用网络、电话、短信或其他方式授权他人代为出席会议并表决，会议程序比照现场开会和通讯方式开会的程序进行。</w:t>
      </w:r>
    </w:p>
    <w:p w14:paraId="66F5261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（五）议事内容与程序</w:t>
      </w:r>
    </w:p>
    <w:p w14:paraId="65C38A3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1、议事内容及提案权</w:t>
      </w:r>
    </w:p>
    <w:p w14:paraId="199A207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8DD6AA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14:paraId="71522DB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基金份额持有人大会不得对未事先公告的议事内容进行表决。</w:t>
      </w:r>
    </w:p>
    <w:p w14:paraId="78B0882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2、议事程序</w:t>
      </w:r>
    </w:p>
    <w:p w14:paraId="2764A69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（1）现场开会</w:t>
      </w:r>
    </w:p>
    <w:p w14:paraId="5B571DDB" w14:textId="5A68FCF8"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在现场开会的方式下，首先由大会主持人按照下列第</w:t>
      </w:r>
      <w:r w:rsidR="00103B75">
        <w:rPr>
          <w:rFonts w:ascii="宋体" w:hAnsi="宋体" w:cs="宋体" w:hint="eastAsia"/>
          <w:kern w:val="0"/>
          <w:sz w:val="24"/>
          <w:szCs w:val="24"/>
        </w:rPr>
        <w:t>（</w:t>
      </w:r>
      <w:r>
        <w:rPr>
          <w:rFonts w:ascii="宋体" w:hAnsi="宋体" w:cs="宋体"/>
          <w:kern w:val="0"/>
          <w:sz w:val="24"/>
          <w:szCs w:val="24"/>
        </w:rPr>
        <w:t>七</w:t>
      </w:r>
      <w:r w:rsidR="00103B75">
        <w:rPr>
          <w:rFonts w:ascii="宋体" w:hAnsi="宋体" w:cs="宋体" w:hint="eastAsia"/>
          <w:kern w:val="0"/>
          <w:sz w:val="24"/>
          <w:szCs w:val="24"/>
        </w:rPr>
        <w:t>）</w:t>
      </w:r>
      <w:r>
        <w:rPr>
          <w:rFonts w:ascii="宋体" w:hAnsi="宋体" w:cs="宋体"/>
          <w:kern w:val="0"/>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38214D3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709B73E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（2）通讯开会</w:t>
      </w:r>
    </w:p>
    <w:p w14:paraId="16BAE8C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14:paraId="1B80A4B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（六）表决</w:t>
      </w:r>
    </w:p>
    <w:p w14:paraId="313B971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基金份额持有人所持每份基金份额有一票表决权。</w:t>
      </w:r>
    </w:p>
    <w:p w14:paraId="5620E17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基金份额持有人大会决议分为一般决议和特别决议：</w:t>
      </w:r>
    </w:p>
    <w:p w14:paraId="4676795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1、一般决议，一般决议须经参加大会的基金份额持有人或其代理人所持表</w:t>
      </w:r>
      <w:r>
        <w:rPr>
          <w:rFonts w:ascii="宋体" w:hAnsi="宋体" w:cs="宋体"/>
          <w:kern w:val="0"/>
          <w:sz w:val="24"/>
          <w:szCs w:val="24"/>
        </w:rPr>
        <w:lastRenderedPageBreak/>
        <w:t>决权的二分之一以上（含二分之一）通过方为有效；除下列第2项所规定的须以特别决议通过事项以外的其他事项均以一般决议的方式通过。</w:t>
      </w:r>
    </w:p>
    <w:p w14:paraId="4A19895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2、特别决议，特别决议应当经参加大会的基金份额持有人或其代理人所持表决权的三分之二以上（含三分之二）通过方可做出。</w:t>
      </w:r>
    </w:p>
    <w:p w14:paraId="50B5E7A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除法律法规另有规定或《基金合同》另有约定外，转换基金运作方式、更换基金管理人或者基金托管人、终止《基金合同》、本基金与其他基金合并以特别决议通过方为有效。</w:t>
      </w:r>
    </w:p>
    <w:p w14:paraId="6D84DBD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基金份额持有人大会采取记名方式进行投票表决。</w:t>
      </w:r>
    </w:p>
    <w:p w14:paraId="1CF2AFB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254B7C1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基金份额持有人大会的各项提案或同一项提案内并列的各项议题应当分开审议、逐项表决。</w:t>
      </w:r>
    </w:p>
    <w:p w14:paraId="5BE5115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（七）计票</w:t>
      </w:r>
    </w:p>
    <w:p w14:paraId="7DD7284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1、现场开会</w:t>
      </w:r>
    </w:p>
    <w:p w14:paraId="4230CDF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14:paraId="655A299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（2）监票人应当在基金份额持有人表决后立即进行清点并由大会主持人当场公布计票结果。</w:t>
      </w:r>
    </w:p>
    <w:p w14:paraId="4EFB3E4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w:t>
      </w:r>
      <w:r>
        <w:rPr>
          <w:rFonts w:ascii="宋体" w:hAnsi="宋体" w:cs="宋体"/>
          <w:kern w:val="0"/>
          <w:sz w:val="24"/>
          <w:szCs w:val="24"/>
        </w:rPr>
        <w:lastRenderedPageBreak/>
        <w:t>点结果。</w:t>
      </w:r>
    </w:p>
    <w:p w14:paraId="1792211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（4）计票过程应由公证机关予以公证，基金管理人或基金托管人拒不出席大会的，不影响计票的效力。</w:t>
      </w:r>
    </w:p>
    <w:p w14:paraId="5C0D02C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2、通讯开会</w:t>
      </w:r>
    </w:p>
    <w:p w14:paraId="7A30F47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4320824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（八）生效与公告</w:t>
      </w:r>
    </w:p>
    <w:p w14:paraId="5133BFF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基金份额持有人大会的决议，召集人应当自通过之日起5日内报中国证监会备案。</w:t>
      </w:r>
    </w:p>
    <w:p w14:paraId="4958CB4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基金份额持有人大会的决议自表决通过之日起生效。</w:t>
      </w:r>
    </w:p>
    <w:p w14:paraId="6E7AA35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基金份额持有人大会决议自生效之日起2日内在规定媒介上公告。如果采用通讯方式进行表决，在公告基金份额持有人大会决议时，必须将公证书全文、公证机构、公证员姓名等一同公告。</w:t>
      </w:r>
    </w:p>
    <w:p w14:paraId="71D8AD1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207675C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（九）实施侧袋机制期间基金份额持有人大会的特殊约定</w:t>
      </w:r>
    </w:p>
    <w:p w14:paraId="7B90FBF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41F97D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1、基金份额持有人行使提议权、召集权、提名权所需单独或合计代表相关基金份额10%以上（含10%）；</w:t>
      </w:r>
    </w:p>
    <w:p w14:paraId="4B11BE7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2、现场开会的到会者在权益登记日代表的基金份额不少于本基金在权益登记日相关基金份额的二分之一（含二分之一）；</w:t>
      </w:r>
    </w:p>
    <w:p w14:paraId="02C3E7F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3、通讯开会的直接出具书面意见或授权他人代表出具书面意见的基金份额持有人所持有的基金份额不小于在权益登记日相关基金份额的二分之一（含二分</w:t>
      </w:r>
      <w:r>
        <w:rPr>
          <w:rFonts w:ascii="宋体" w:hAnsi="宋体" w:cs="宋体"/>
          <w:kern w:val="0"/>
          <w:sz w:val="24"/>
          <w:szCs w:val="24"/>
        </w:rPr>
        <w:lastRenderedPageBreak/>
        <w:t>之一）；</w:t>
      </w:r>
    </w:p>
    <w:p w14:paraId="30A7C72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2F90E34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5、现场开会由出席大会的基金份额持有人和代理人所持表决权的50%以上（含50%）选举产生一名基金份额持有人作为该次基金份额持有人大会的主持人；</w:t>
      </w:r>
    </w:p>
    <w:p w14:paraId="646B70F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6、一般决议须经参加大会的基金份额持有人或其代理人所持表决权的二分之一以上（含二分之一）通过；</w:t>
      </w:r>
    </w:p>
    <w:p w14:paraId="08DA3FC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7、特别决议应当经参加大会的基金份额持有人或其代理人所持表决权的三分之二以上（含三分之二）通过。</w:t>
      </w:r>
    </w:p>
    <w:p w14:paraId="37CC782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同一主侧袋账户内的每份基金份额具有平等的表决权。</w:t>
      </w:r>
    </w:p>
    <w:p w14:paraId="3A2B1E8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233E11A2" w14:textId="77777777" w:rsidR="00AE2B28" w:rsidRDefault="00B67EDE">
      <w:pPr>
        <w:pStyle w:val="2"/>
        <w:keepNext w:val="0"/>
        <w:keepLines w:val="0"/>
        <w:spacing w:before="0" w:after="0" w:line="360" w:lineRule="auto"/>
        <w:ind w:firstLine="420"/>
        <w:jc w:val="left"/>
        <w:rPr>
          <w:rFonts w:ascii="Times New Roman" w:eastAsia="Times New Roman" w:hAnsi="Times New Roman"/>
          <w:bCs/>
          <w:kern w:val="0"/>
          <w:sz w:val="24"/>
          <w:szCs w:val="24"/>
        </w:rPr>
      </w:pPr>
      <w:r>
        <w:rPr>
          <w:rFonts w:ascii="宋体" w:eastAsia="宋体" w:hAnsi="宋体" w:cs="宋体"/>
          <w:bCs/>
          <w:kern w:val="0"/>
          <w:sz w:val="24"/>
          <w:szCs w:val="24"/>
        </w:rPr>
        <w:t>三、基金合同解除和终止的事由、程序以及基金财产清算方式</w:t>
      </w:r>
    </w:p>
    <w:p w14:paraId="1F37345E"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（一）《基金合同》的变更</w:t>
      </w:r>
    </w:p>
    <w:p w14:paraId="23E0BCB0"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7FB36ACC"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2、关于《基金合同》变更的基金份额持有人大会决议自生效后方可执行，自决议生效后两日内在规定媒介公告。</w:t>
      </w:r>
    </w:p>
    <w:p w14:paraId="21152386"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（二）《基金合同》的终止事由</w:t>
      </w:r>
    </w:p>
    <w:p w14:paraId="430098A2"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有下列情形之一的，经履行相关程序后，《基金合同》应当终止：</w:t>
      </w:r>
    </w:p>
    <w:p w14:paraId="08EC473C"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1、基金份额持有人大会决定终止的；</w:t>
      </w:r>
    </w:p>
    <w:p w14:paraId="6B758E1A"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lastRenderedPageBreak/>
        <w:t>2、基金管理人、基金托管人职责终止，在6个月内没有新基金管理人、新基金托管人承接的；</w:t>
      </w:r>
    </w:p>
    <w:p w14:paraId="17D97C53"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3、基金合同生效满三年之日（指自然日），若基金资产净值低于2亿元人民币的；</w:t>
      </w:r>
    </w:p>
    <w:p w14:paraId="0D833FD1" w14:textId="77777777" w:rsidR="00AE2B28" w:rsidRDefault="00B67EDE">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4、《基金合同》约定的其他情形；</w:t>
      </w:r>
    </w:p>
    <w:p w14:paraId="7F33E939" w14:textId="77777777" w:rsidR="00AE2B28" w:rsidRDefault="00B67EDE">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5、相关法律法规和中国证监会规定的其他情况。</w:t>
      </w:r>
    </w:p>
    <w:p w14:paraId="058727AC" w14:textId="77777777" w:rsidR="00AE2B28" w:rsidRDefault="00B67EDE">
      <w:pPr>
        <w:pStyle w:val="div"/>
        <w:shd w:val="clear" w:color="auto" w:fill="FFFFFF"/>
        <w:spacing w:line="360" w:lineRule="auto"/>
        <w:ind w:firstLine="480"/>
        <w:jc w:val="left"/>
        <w:rPr>
          <w:rFonts w:ascii="宋体" w:hAnsi="宋体" w:cs="宋体"/>
          <w:color w:val="272C36"/>
          <w:kern w:val="0"/>
          <w:sz w:val="24"/>
          <w:szCs w:val="24"/>
        </w:rPr>
      </w:pPr>
      <w:r>
        <w:rPr>
          <w:rFonts w:ascii="宋体" w:hAnsi="宋体" w:cs="宋体"/>
          <w:color w:val="272C36"/>
          <w:kern w:val="0"/>
          <w:sz w:val="24"/>
          <w:szCs w:val="24"/>
        </w:rPr>
        <w:t>（三）基金财产的清算</w:t>
      </w:r>
    </w:p>
    <w:p w14:paraId="2D099D9E"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1、基金财产清算小组：自出现《基金合同》终止事由之日起30个工作日内成立清算小组，基金管理人组织基金财产清算小组并在中国证监会的监督下进行基金清算。</w:t>
      </w:r>
    </w:p>
    <w:p w14:paraId="64F08FB6"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BC626BC"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3、基金财产清算小组职责：基金财产清算小组负责基金财产的保管、清理、估价、变现和分配。基金财产清算小组可以依法进行必要的民事活动。</w:t>
      </w:r>
    </w:p>
    <w:p w14:paraId="7BC8F088"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4、基金财产清算程序：</w:t>
      </w:r>
    </w:p>
    <w:p w14:paraId="66C08385"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（1）《基金合同》终止情形出现时，由基金财产清算小组统一接管基金；</w:t>
      </w:r>
    </w:p>
    <w:p w14:paraId="028277BC"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（2）对基金财产和债权债务进行清理和确认；</w:t>
      </w:r>
    </w:p>
    <w:p w14:paraId="623828C8"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（3）对基金财产进行估值和变现；</w:t>
      </w:r>
    </w:p>
    <w:p w14:paraId="1F81776C"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（4）制作清算报告；</w:t>
      </w:r>
    </w:p>
    <w:p w14:paraId="44CF30E4"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（5）聘请符合《中华人民共和国证券法》规定的会计师事务所对清算报告进行外部审计，聘请律师事务所对清算报告出具法律意见书；</w:t>
      </w:r>
    </w:p>
    <w:p w14:paraId="5B937FAE"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（6）将清算报告报中国证监会备案并公告；</w:t>
      </w:r>
    </w:p>
    <w:p w14:paraId="449622C8"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（7）对基金剩余财产进行分配。</w:t>
      </w:r>
    </w:p>
    <w:p w14:paraId="4EC13410"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5、基金财产清算的期限为6个月，但因本基金所持证券的流动性受到限制而不能及时变现的，清算期限相应顺延。</w:t>
      </w:r>
    </w:p>
    <w:p w14:paraId="64F728BF"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（四）清算费用</w:t>
      </w:r>
    </w:p>
    <w:p w14:paraId="78E3068B"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清算费用是指基金财产清算小组在进行基金财产清算过程中发生的所有合理费用，清算费用由基金财产清算小组优先从基金剩余财产中支付。</w:t>
      </w:r>
    </w:p>
    <w:p w14:paraId="387EF690"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lastRenderedPageBreak/>
        <w:t>（五）基金财产清算剩余资产的分配</w:t>
      </w:r>
    </w:p>
    <w:p w14:paraId="79C5B3B9"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依据基金财产清算的分配方案，将基金财产清算后的全部剩余资产扣除基金财产清算费用、交纳所欠税款并清偿基金债务后，按基金份额持有人持有的基金份额比例进行分配，并扣除相应的超额管理费（如有）。</w:t>
      </w:r>
    </w:p>
    <w:p w14:paraId="274BFA85" w14:textId="77777777" w:rsidR="007046F2" w:rsidRDefault="007046F2" w:rsidP="007046F2">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其中，对于投资者通过直销机构认购/申购的C类基金份额所计提的销售服务费或者通过其他销售机构认购/申购且持续持有期限超过一年（即365天）以后继续计提的C类基金份额销售服务费，将在基金合同终止时随清算款一并返还给投资者。</w:t>
      </w:r>
    </w:p>
    <w:p w14:paraId="308CB000"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（六）基金财产清算的公告</w:t>
      </w:r>
    </w:p>
    <w:p w14:paraId="2048CA24"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37F8E43"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（七）基金财产清算账册及文件的保存</w:t>
      </w:r>
    </w:p>
    <w:p w14:paraId="6F81693E"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基金财产清算账册及有关文件由基金托管人保存，保存期限不少于法定最低期限。</w:t>
      </w:r>
    </w:p>
    <w:p w14:paraId="52AF659C" w14:textId="77777777" w:rsidR="00AE2B28" w:rsidRDefault="00B67EDE">
      <w:pPr>
        <w:pStyle w:val="2"/>
        <w:keepNext w:val="0"/>
        <w:keepLines w:val="0"/>
        <w:spacing w:before="0" w:after="0" w:line="360" w:lineRule="auto"/>
        <w:ind w:firstLine="420"/>
        <w:jc w:val="left"/>
        <w:rPr>
          <w:rFonts w:ascii="Times New Roman" w:eastAsia="Times New Roman" w:hAnsi="Times New Roman"/>
          <w:bCs/>
          <w:kern w:val="0"/>
          <w:sz w:val="24"/>
          <w:szCs w:val="24"/>
        </w:rPr>
      </w:pPr>
      <w:r>
        <w:rPr>
          <w:rFonts w:ascii="宋体" w:eastAsia="宋体" w:hAnsi="宋体" w:cs="宋体"/>
          <w:bCs/>
          <w:kern w:val="0"/>
          <w:sz w:val="24"/>
          <w:szCs w:val="24"/>
        </w:rPr>
        <w:t>四、争议解决方式</w:t>
      </w:r>
    </w:p>
    <w:p w14:paraId="2DD9F5B4"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各方当事人同意，因《基金合同》而产生的或与《基金合同》有关的一切争议可通过友好协商或者调解解决，如未能协商或者调解解决的，任何一方均有权将争议提交中国国际经济贸易仲裁委员会，按照其届时有效的仲裁规则进行仲裁，仲裁地点为北京市。仲裁裁决是终局的，对各方当事人均有约束力，除非仲裁裁决另有决定，仲裁费由败诉方承担。</w:t>
      </w:r>
    </w:p>
    <w:p w14:paraId="1DB3C0AD"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争议处理期间，基金合同当事人应恪守各自的职责，继续忠实、勤勉、尽责地履行基金合同规定的义务，维护基金份额持有人的合法权益。</w:t>
      </w:r>
    </w:p>
    <w:p w14:paraId="13F36EDD" w14:textId="77777777" w:rsidR="00AE2B28" w:rsidRDefault="00B67EDE">
      <w:pPr>
        <w:pStyle w:val="div"/>
        <w:shd w:val="clear" w:color="auto" w:fill="FFFFFF"/>
        <w:spacing w:line="360" w:lineRule="auto"/>
        <w:ind w:firstLine="480"/>
        <w:rPr>
          <w:rFonts w:ascii="宋体" w:hAnsi="宋体" w:cs="宋体"/>
          <w:color w:val="272C36"/>
          <w:kern w:val="0"/>
          <w:sz w:val="24"/>
          <w:szCs w:val="24"/>
        </w:rPr>
      </w:pPr>
      <w:r>
        <w:rPr>
          <w:rFonts w:ascii="宋体" w:hAnsi="宋体" w:cs="宋体"/>
          <w:color w:val="272C36"/>
          <w:kern w:val="0"/>
          <w:sz w:val="24"/>
          <w:szCs w:val="24"/>
        </w:rPr>
        <w:t>《基金合同》受中国法律（为本基金合同之目的，在此不包括香港、澳门特别行政区和台湾地区法律）管辖并从其解释。</w:t>
      </w:r>
    </w:p>
    <w:p w14:paraId="7CF0C8BB" w14:textId="77777777" w:rsidR="00AE2B28" w:rsidRDefault="00B67EDE">
      <w:pPr>
        <w:pStyle w:val="2"/>
        <w:keepNext w:val="0"/>
        <w:keepLines w:val="0"/>
        <w:spacing w:before="0" w:after="0" w:line="360" w:lineRule="auto"/>
        <w:ind w:firstLine="420"/>
        <w:jc w:val="left"/>
        <w:rPr>
          <w:rFonts w:ascii="Times New Roman" w:eastAsia="Times New Roman" w:hAnsi="Times New Roman"/>
          <w:bCs/>
          <w:kern w:val="0"/>
          <w:sz w:val="24"/>
          <w:szCs w:val="24"/>
        </w:rPr>
      </w:pPr>
      <w:r>
        <w:rPr>
          <w:rFonts w:ascii="宋体" w:eastAsia="宋体" w:hAnsi="宋体" w:cs="宋体"/>
          <w:bCs/>
          <w:kern w:val="0"/>
          <w:sz w:val="24"/>
          <w:szCs w:val="24"/>
        </w:rPr>
        <w:t>五、基金合同存放地和投资者取得基金合同的方式</w:t>
      </w:r>
    </w:p>
    <w:p w14:paraId="3C51B3D5" w14:textId="77777777" w:rsidR="00AE2B28" w:rsidRDefault="00B67EDE">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《基金合同》可印制成册，供投资者在基金管理人、基金托管人、销售机</w:t>
      </w:r>
      <w:r>
        <w:rPr>
          <w:rFonts w:ascii="宋体" w:hAnsi="宋体" w:cs="宋体"/>
          <w:kern w:val="0"/>
          <w:sz w:val="24"/>
          <w:szCs w:val="24"/>
        </w:rPr>
        <w:lastRenderedPageBreak/>
        <w:t>构的办公场所和营业场所查阅。</w:t>
      </w:r>
      <w:r>
        <w:rPr>
          <w:rFonts w:ascii="宋体" w:hAnsi="宋体" w:cs="宋体"/>
          <w:kern w:val="0"/>
          <w:sz w:val="24"/>
          <w:szCs w:val="24"/>
        </w:rPr>
        <w:br w:type="page"/>
      </w:r>
    </w:p>
    <w:p w14:paraId="256CBCA3" w14:textId="00E197C5" w:rsidR="009D63C8" w:rsidRDefault="00B67EDE" w:rsidP="009E26D0">
      <w:pPr>
        <w:pStyle w:val="1"/>
        <w:spacing w:before="0" w:after="0"/>
        <w:jc w:val="center"/>
        <w:rPr>
          <w:rFonts w:ascii="Times New Roman"/>
          <w:color w:val="auto"/>
          <w:sz w:val="30"/>
        </w:rPr>
      </w:pPr>
      <w:bookmarkStart w:id="58" w:name="_Toc256000019"/>
      <w:bookmarkEnd w:id="57"/>
      <w:r w:rsidRPr="009E26D0">
        <w:rPr>
          <w:rFonts w:ascii="Times New Roman"/>
          <w:noProof/>
          <w:color w:val="auto"/>
          <w:sz w:val="30"/>
        </w:rPr>
        <w:lastRenderedPageBreak/>
        <w:t>第二十部分</w:t>
      </w:r>
      <w:r w:rsidRPr="009E26D0">
        <w:rPr>
          <w:rFonts w:ascii="Times New Roman"/>
          <w:noProof/>
          <w:color w:val="auto"/>
          <w:sz w:val="30"/>
        </w:rPr>
        <w:t xml:space="preserve">  </w:t>
      </w:r>
      <w:r w:rsidRPr="009E26D0">
        <w:rPr>
          <w:rFonts w:ascii="Times New Roman"/>
          <w:noProof/>
          <w:color w:val="auto"/>
          <w:sz w:val="30"/>
        </w:rPr>
        <w:t>托管协议的内容摘要</w:t>
      </w:r>
      <w:bookmarkEnd w:id="58"/>
    </w:p>
    <w:p w14:paraId="578D6CEA" w14:textId="77777777" w:rsidR="007A2B34" w:rsidRPr="0017353E" w:rsidRDefault="007A2B34" w:rsidP="0090469D"/>
    <w:p w14:paraId="67983395" w14:textId="77777777" w:rsidR="00AE2B28" w:rsidRDefault="00B67EDE">
      <w:pPr>
        <w:pStyle w:val="2"/>
        <w:keepNext w:val="0"/>
        <w:keepLines w:val="0"/>
        <w:spacing w:before="0" w:after="0" w:line="240" w:lineRule="auto"/>
        <w:ind w:firstLine="480"/>
        <w:rPr>
          <w:rFonts w:ascii="宋体" w:eastAsia="宋体" w:hAnsi="宋体" w:cs="宋体"/>
          <w:bCs/>
          <w:kern w:val="0"/>
          <w:sz w:val="24"/>
          <w:szCs w:val="24"/>
        </w:rPr>
      </w:pPr>
      <w:bookmarkStart w:id="59" w:name="_Hlk212216930"/>
      <w:r>
        <w:rPr>
          <w:rFonts w:ascii="宋体" w:eastAsia="宋体" w:hAnsi="宋体" w:cs="宋体"/>
          <w:bCs/>
          <w:kern w:val="0"/>
          <w:sz w:val="24"/>
          <w:szCs w:val="24"/>
        </w:rPr>
        <w:t>一、基金托管协议当事人</w:t>
      </w:r>
    </w:p>
    <w:p w14:paraId="54FFCE8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（一）基金管理人</w:t>
      </w:r>
    </w:p>
    <w:p w14:paraId="74A293A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名称：汇添富基金管理股份有限公司</w:t>
      </w:r>
    </w:p>
    <w:p w14:paraId="1C07C85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注册地址：上海市黄浦区外马路728号9楼</w:t>
      </w:r>
    </w:p>
    <w:p w14:paraId="719C59B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办公地址：上海市黄浦区外马路728号</w:t>
      </w:r>
    </w:p>
    <w:p w14:paraId="162B75B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邮政编码：200010</w:t>
      </w:r>
    </w:p>
    <w:p w14:paraId="1C5091A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法定代表人：鲁伟铭</w:t>
      </w:r>
    </w:p>
    <w:p w14:paraId="59EF894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成立日期：2005年2月3日</w:t>
      </w:r>
    </w:p>
    <w:p w14:paraId="5572670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批准设立机关及批准设立文号：中国证监会证监基金字【2005】5号</w:t>
      </w:r>
    </w:p>
    <w:p w14:paraId="20E813A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组织形式：股份有限公司</w:t>
      </w:r>
    </w:p>
    <w:p w14:paraId="02477EE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注册资本：人民币132,724,224元</w:t>
      </w:r>
    </w:p>
    <w:p w14:paraId="0BDD5B5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存续期间：持续经营</w:t>
      </w:r>
    </w:p>
    <w:p w14:paraId="4604C04A" w14:textId="77777777" w:rsidR="00AE2B28" w:rsidRDefault="00AE2B28">
      <w:pPr>
        <w:pStyle w:val="p"/>
        <w:spacing w:line="360" w:lineRule="auto"/>
        <w:ind w:firstLine="480"/>
        <w:rPr>
          <w:rFonts w:ascii="宋体" w:hAnsi="宋体" w:cs="宋体"/>
          <w:kern w:val="0"/>
          <w:sz w:val="24"/>
          <w:szCs w:val="24"/>
        </w:rPr>
      </w:pPr>
    </w:p>
    <w:p w14:paraId="3F51B88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（二）基金托管人</w:t>
      </w:r>
    </w:p>
    <w:p w14:paraId="3D20116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名称：中国农业银行股份有限公司</w:t>
      </w:r>
    </w:p>
    <w:p w14:paraId="1249069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注册地址：北京市东城区建国门内大街69号</w:t>
      </w:r>
    </w:p>
    <w:p w14:paraId="168DDA9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办公地址：北京市西城区复兴门内大街28号凯晨世贸中心东座九层</w:t>
      </w:r>
    </w:p>
    <w:p w14:paraId="5B06CA1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邮政编码：100031</w:t>
      </w:r>
    </w:p>
    <w:p w14:paraId="2E84816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法定代表人：谷澍</w:t>
      </w:r>
    </w:p>
    <w:p w14:paraId="2C65B94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成立时间：2009年1月15日</w:t>
      </w:r>
    </w:p>
    <w:p w14:paraId="558145E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基金托管资格批文及文号：中国证监会证监基字[1998]23号</w:t>
      </w:r>
    </w:p>
    <w:p w14:paraId="5B63DE2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批准设立机关和批准设立文号：中国银监会银监复[2009]13号</w:t>
      </w:r>
    </w:p>
    <w:p w14:paraId="214F38B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注册资本：34,998,303.4万元人民币</w:t>
      </w:r>
    </w:p>
    <w:p w14:paraId="773FB28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存续期间：持续经营</w:t>
      </w:r>
    </w:p>
    <w:p w14:paraId="61B19E8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提供保管箱服务；代理</w:t>
      </w:r>
      <w:r>
        <w:rPr>
          <w:rFonts w:ascii="宋体" w:hAnsi="宋体" w:cs="宋体"/>
          <w:kern w:val="0"/>
          <w:sz w:val="24"/>
          <w:szCs w:val="24"/>
        </w:rPr>
        <w:lastRenderedPageBreak/>
        <w:t>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保险兼业代理业务。</w:t>
      </w:r>
    </w:p>
    <w:p w14:paraId="761C13BC" w14:textId="77777777" w:rsidR="00AE2B28" w:rsidRDefault="00B67EDE">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二、基金托管人对基金管理人的业务监督和核查</w:t>
      </w:r>
    </w:p>
    <w:p w14:paraId="2E2DF9F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合理疑义的事项进行核查。</w:t>
      </w:r>
    </w:p>
    <w:p w14:paraId="34DAB36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的投资范围为具有良好流动性的金融工具，包括国内依法发行上市的股票（含主板、创业板及其他经中国证监会允许上市的股票、存托凭证）、港股通标的股票、债券（包括国债、央行票据、金融债、企业债、公司债、中期票据、短期融资券、超短期融资券、次级债券、政府支持债券、政府支持机构债券、地方政府债券、可交换债券、可转换债券（含分离交易可转债）及其他经中国证监会允许投资的债券）、信用衍生品、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14:paraId="45220F6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本基金还可根据法律法规参与融资业务。</w:t>
      </w:r>
    </w:p>
    <w:p w14:paraId="46B59BB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402479C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基金的投资组合比例为：</w:t>
      </w:r>
    </w:p>
    <w:p w14:paraId="5260922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本基金股票资产占基金资产的比例为60%-95%，其中，投资于港股通标的股票的比例不超过股票资产的50%。本基金投资于金融优选主题相关的股票比例不</w:t>
      </w:r>
      <w:r>
        <w:rPr>
          <w:rFonts w:ascii="宋体" w:hAnsi="宋体" w:cs="宋体"/>
          <w:kern w:val="0"/>
          <w:sz w:val="24"/>
          <w:szCs w:val="24"/>
        </w:rPr>
        <w:lastRenderedPageBreak/>
        <w:t>低于非现金基金资产的80%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14:paraId="5DD380E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1604707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（二）基金托管人根据有关法律法规的规定及基金合同的约定，对基金投资比例进行监督。基金托管人按下述比例和调整期限进行监督：</w:t>
      </w:r>
    </w:p>
    <w:p w14:paraId="435A48B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（1）本基金股票资产占基金资产的比例为60%-95%；其中，投资于港股通标的股票的比例不超过股票资产的50%；本基金投资于金融优选主题相关的股票比例不低于非现金基金资产的80%；</w:t>
      </w:r>
    </w:p>
    <w:p w14:paraId="79A447A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每个交易日日终在扣除国债期货、股指期货和股票期权合约需缴纳的交易保证金后，本基金保留的现金或投资于到期日在一年以内的政府债券的比例合计不低于基金资产净值的5%。其中现金不包括结算备付金、存出保证金和应收申购款等；</w:t>
      </w:r>
    </w:p>
    <w:p w14:paraId="2E5DD43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（3）本基金持有一家公司发行的证券（同一家公司在内地和香港同时上市的A+H股合并计算），其市值不超过基金资产净值的10％；</w:t>
      </w:r>
    </w:p>
    <w:p w14:paraId="60A245D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本基金管理人管理的且由本基金托管人托管的全部基金持有一家公司发行的证券（同一家公司在内地和香港同时上市的A+H股合并计算），不超过该证券的10％，完全按照有关指数的构成比例进行证券投资的基金品种可以不受此条款规定的比例限制；</w:t>
      </w:r>
    </w:p>
    <w:p w14:paraId="4C5D8A5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（5）本基金投资于同一原始权益人的各类资产支持证券的比例，不得超过基金资产净值的10%；</w:t>
      </w:r>
    </w:p>
    <w:p w14:paraId="3B90170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（6）本基金持有的全部资产支持证券，其市值不得超过基金资产净值的20%；</w:t>
      </w:r>
    </w:p>
    <w:p w14:paraId="21D0139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（7）本基金持有的同一(指同一信用级别)资产支持证券的比例，不得超过该资产支持证券规模的10%；</w:t>
      </w:r>
    </w:p>
    <w:p w14:paraId="468CCD4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（8）本基金管理人管理的且由本基金托管人托管的全部基金投资于同一原始权益人的各类资产支持证券，不得超过其各类资产支持证券合计规模的10%；</w:t>
      </w:r>
    </w:p>
    <w:p w14:paraId="22AC81A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（9）本基金应投资于信用级别评级为BBB以上(含BBB)的资产支持证券。</w:t>
      </w:r>
      <w:r>
        <w:rPr>
          <w:rFonts w:ascii="宋体" w:hAnsi="宋体" w:cs="宋体"/>
          <w:kern w:val="0"/>
          <w:sz w:val="24"/>
          <w:szCs w:val="24"/>
        </w:rPr>
        <w:lastRenderedPageBreak/>
        <w:t>基金持有资产支持证券期间，如果其信用等级下降、不再符合投资标准，应在评级报告发布之日起3个月内予以全部卖出；</w:t>
      </w:r>
    </w:p>
    <w:p w14:paraId="4EF5A6A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（10）基金财产参与股票发行申购，本基金所申报的金额不超过本基金的总资产，本基金所申报的股票数量不超过拟发行股票公司本次发行股票的总量；</w:t>
      </w:r>
    </w:p>
    <w:p w14:paraId="4106174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11）本基金管理人管理的且由本基金托管人托管的全部开放式基金持有一家上市公司发行的可流通股票，不得超过该上市公司可流通股票的15%；本基金管理人管理的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21B6C4E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12）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7BAC6C7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（13）本基金与私募类证券资管产品及中国证监会认定的其他主体为交易对手开展逆回购交易的，可接受质押品的资质要求应当与基金合同约定的投资范围保持一致；</w:t>
      </w:r>
    </w:p>
    <w:p w14:paraId="20C9106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（14）本基金资产总值不超过基金资产净值的140%；</w:t>
      </w:r>
    </w:p>
    <w:p w14:paraId="5C881CA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（15）本基金参与股指期货和国债期货交易的，应当遵守下列要求：</w:t>
      </w:r>
    </w:p>
    <w:p w14:paraId="6CC04AE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28071D2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33F6E7F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222CE2E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16）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2F0A071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（17）本基金不得持有信用保护卖方属性的信用衍生品，持有的信用衍生品的名义本金不得超过本基金对应受保护债券面值的100%，本基金不得投资于合约类信用衍生品；</w:t>
      </w:r>
    </w:p>
    <w:p w14:paraId="2EBF06A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（18）本基金投资于同一信用保护卖方的各类信用衍生品的名义本金合计不得超过基金资产净值的10%；</w:t>
      </w:r>
    </w:p>
    <w:p w14:paraId="716DF8F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因证券、期货市场波动、证券发行人合并、基金规模变动等基金管理人之外的因素致使基金不符合前述（17）、（18）所规定比例限制的，基金管理人应在3个月之内进行调整；</w:t>
      </w:r>
    </w:p>
    <w:p w14:paraId="22F541E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（19）本基金参与融资的，每个交易日日终，本基金持有的融资买入股票与其他有价证券市值之和，不得超过基金资产净值的95%；</w:t>
      </w:r>
    </w:p>
    <w:p w14:paraId="35EED01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（20）本基金投资存托凭证的比例限制依照境内上市交易的股票执行；</w:t>
      </w:r>
    </w:p>
    <w:p w14:paraId="25B164D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（21）法律法规及中国证监会规定的和《基金合同》约定的其他投资限制。</w:t>
      </w:r>
    </w:p>
    <w:p w14:paraId="217629D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除上述第（2）、（9）、（12）、（13）、（17）、（18）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4D306E4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w:t>
      </w:r>
      <w:r>
        <w:rPr>
          <w:rFonts w:ascii="宋体" w:hAnsi="宋体" w:cs="宋体"/>
          <w:kern w:val="0"/>
          <w:sz w:val="24"/>
          <w:szCs w:val="24"/>
        </w:rPr>
        <w:lastRenderedPageBreak/>
        <w:t>基金合同的约定。基金托管人对基金的投资的监督与检查自基金合同生效之日起开始。</w:t>
      </w:r>
    </w:p>
    <w:p w14:paraId="5604859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068506B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（三）基金托管人根据有关法律法规的规定及基金合同的约定，对本协议第十五条第（十一）项基金投资禁止行为进行监督。</w:t>
      </w:r>
    </w:p>
    <w:p w14:paraId="385F315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根据法律法规有关基金从事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有权向中国证监会报告。</w:t>
      </w:r>
    </w:p>
    <w:p w14:paraId="36F4731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AEFA10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如法律法规或监管部门取消或变更上述限制，如适用于本基金，基金管理人在履行适当程序后可不受上述规定的限制或按照变更后的规定执行。</w:t>
      </w:r>
    </w:p>
    <w:p w14:paraId="36007BE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（四）基金托管人根据有关法律法规的规定及基金合同的约定，对基金管理人参与银行间债券市场进行监督。</w:t>
      </w:r>
    </w:p>
    <w:p w14:paraId="4B9F27C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在基金投资运作之前向基金托管人提供经慎重选择的、本基金适用的银行间债券市场交易对手名单，并约定各交易对手所适用的交易结算方式。基金托管人监督基金管理人是否按事前提供的银行间债券市场交易对手名单进</w:t>
      </w:r>
      <w:r>
        <w:rPr>
          <w:rFonts w:ascii="宋体" w:hAnsi="宋体" w:cs="宋体"/>
          <w:kern w:val="0"/>
          <w:sz w:val="24"/>
          <w:szCs w:val="24"/>
        </w:rPr>
        <w:lastRenderedPageBreak/>
        <w:t>行交易。基金管理人可以每半年对银行间债券市场交易对手名单进行更新，如基金管理人根据市场情况需要临时调整银行间债券市场交易对手名单，应向基金托管人说明理由，在与交易对手发生交易前与基金托管人协商解决。基金管理人收到基金托管人书面确认后，被确认调整的名单开始生效，新名单生效前已与本次剔除的交易对手所进行但尚未结算的交易，仍应按照协议进行结算。基金管理人负责对交易对手的资信进行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或交易方式进行交易时，基金托管人应及时提醒基金管理人，基金托管人不承担由此造成的相应损失和责任。如基金管理人在基金投资运作之前未向基金托管人提供银行间债券市场交易对手名单的，视为基金管理人认可全市场交易对手。</w:t>
      </w:r>
    </w:p>
    <w:p w14:paraId="33C5369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（五）基金托管人根据有关法律法规的规定及基金合同的约定，对基金管理人投资银行存款进行监督。</w:t>
      </w:r>
    </w:p>
    <w:p w14:paraId="2FCAFA2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基金投资银行存款的，基金管理人应根据法律法规的规定及基金合同的约定，建立投资制度、审慎选择存款银行，做好风险控制；并按照基金托管人的要求配合基金托管人完成相关业务办理。</w:t>
      </w:r>
    </w:p>
    <w:p w14:paraId="18EC24E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六）基金托管人根据有关法律法规的规定及基金合同的约定，对基金资产净值计算、各类别基金份额的基金份额净值计算、应收资金到账、基金费用开支及收入确定、基金收益分配、相关信息披露、基金宣传推介材料中登载基金业绩表现数据等进行监督和核查。</w:t>
      </w:r>
    </w:p>
    <w:p w14:paraId="364F9CB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如果基金管理人未经基金托管人的审核擅自将不实的业绩表现数据印制在宣传推介材料上，则基金托管人对此不承担相应责任，并将在发现后立即报告中国证监会。</w:t>
      </w:r>
    </w:p>
    <w:p w14:paraId="273CBFB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（七）基金托管人根据有关法律法规的规定及基金合同的约定，对基金投资流通受限证券进行监督。</w:t>
      </w:r>
    </w:p>
    <w:p w14:paraId="609302F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1、基金投资流通受限证券，应遵守《关于基金投资非公开发行股票等流通受限证券有关问题的通知》等有关法律法规规定。</w:t>
      </w:r>
    </w:p>
    <w:p w14:paraId="02E61F9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2、流通受限证券与上文所述的流动性受限资产范围并不完全一致，包括非</w:t>
      </w:r>
      <w:r>
        <w:rPr>
          <w:rFonts w:ascii="宋体" w:hAnsi="宋体" w:cs="宋体"/>
          <w:kern w:val="0"/>
          <w:sz w:val="24"/>
          <w:szCs w:val="24"/>
        </w:rPr>
        <w:lastRenderedPageBreak/>
        <w:t>公开发行股票、公开发行股票网下配售部分等在发行时明确一定期限锁定期的可交易证券，不包括由于发布重大消息或其他原因而临时停牌的证券、已发行未上市证券、回购交易中的质押券等流通受限证券。</w:t>
      </w:r>
    </w:p>
    <w:p w14:paraId="5155C2F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w:t>
      </w:r>
    </w:p>
    <w:p w14:paraId="6226181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上述规章制度须经基金管理人董事会批准。上述规章制度经董事会通过之后，基金管理人应当将上述规章制度以及董事会批准上述规章制度的决议提交给基金托管人。</w:t>
      </w:r>
    </w:p>
    <w:p w14:paraId="6A75F87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4、在投资流通受限证券之前，基金管理人应至少提前一个交易日向基金托管人提供有关流通受限证券的相关信息，具体应当包括但不限于如下文件（如有）：</w:t>
      </w:r>
    </w:p>
    <w:p w14:paraId="4ACA31E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49E9D6C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若基金管理人未在规定期限内补充、整改以及说明的，基金托管人经事先书面告知基金管理人，有权拒绝执行其有关指令。因拒绝执行该指令造成基金财产损失的，基金托管人不承担相应责任，并有权报告中国证监会。</w:t>
      </w:r>
    </w:p>
    <w:p w14:paraId="2AE1FC1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基金管理人应保证基金投资的流通受限证券登记存管在本基金名下，并确保基金托管人能够正常查询。因基金管理人原因产生的流通受限证券登记存管问题，造成基金财产的损失或基金托管人无法安全保管基金财产的责任与损失，由基金管理人承担。</w:t>
      </w:r>
    </w:p>
    <w:p w14:paraId="3A90F01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7、如果基金管理人未按照本协议的约定向基金托管人报送相关数据或者报送了虚假的数据，导致基金托管人不能履行基金托管人职责的，基金管理人应依法承担相应法律后果。除基金托管人未能依据基金合同及本协议履行职责外，因</w:t>
      </w:r>
      <w:r>
        <w:rPr>
          <w:rFonts w:ascii="宋体" w:hAnsi="宋体" w:cs="宋体"/>
          <w:kern w:val="0"/>
          <w:sz w:val="24"/>
          <w:szCs w:val="24"/>
        </w:rPr>
        <w:lastRenderedPageBreak/>
        <w:t>投资流通受限证券产生的损失，基金托管人按照本协议履行监督职责后不承担上述损失。</w:t>
      </w:r>
    </w:p>
    <w:p w14:paraId="6557BE9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八）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14:paraId="7237294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九）基金管理人有义务配合和协助基金托管人依照法律法规、基金合同和本托管协议对基金业务执行核查。对基金托管人发出的书面提示，基金管理人应在规定时间内答复并改正，或就基金托管人的合理疑义进行解释或举证；对基金托管人按照法规要求需向中国证监会报送基金监督报告的事项，基金管理人应积极配合提供相关数据资料和制度等。</w:t>
      </w:r>
    </w:p>
    <w:p w14:paraId="4936754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十）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493D4C4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十一）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4FA5125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侧袋机制实施期间，本基金的投资组合比例、投资策略、组合限制、业绩比较基准、风险收益特征等约定仅适用于主袋账户。</w:t>
      </w:r>
    </w:p>
    <w:p w14:paraId="0ABCA04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侧袋账户的实施条件、实施程序、运作安排（包括但不限于对基金赎回的影</w:t>
      </w:r>
      <w:r>
        <w:rPr>
          <w:rFonts w:ascii="宋体" w:hAnsi="宋体" w:cs="宋体"/>
          <w:kern w:val="0"/>
          <w:sz w:val="24"/>
          <w:szCs w:val="24"/>
        </w:rPr>
        <w:lastRenderedPageBreak/>
        <w:t>响、信息披露、费用列支等）、投资安排、特定资产的处置变现和支付等对投资者权益有重大影响的事项详见基金合同和招募说明书的规定。</w:t>
      </w:r>
    </w:p>
    <w:p w14:paraId="015E222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基金托管人依照相关法律法规的规定以及基金合同和招募说明书的约定，对侧袋机制启用、特定资产处置和信息披露等方面进行复核和监督。</w:t>
      </w:r>
    </w:p>
    <w:p w14:paraId="13521CC0" w14:textId="77777777" w:rsidR="00AE2B28" w:rsidRDefault="00B67EDE">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三、基金管理人对基金托管人的业务核查</w:t>
      </w:r>
    </w:p>
    <w:p w14:paraId="5025A3A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一）基金管理人对基金托管人履行托管职责情况进行核查，核查事项包括基金托管人安全保管基金财产、开设基金财产的资金账户和证券账户等投资所需账户、复核基金管理人计算的基金资产净值和各类别基金份额的基金份额净值、根据基金管理人指令办理清算交收、相关信息披露和监督基金投资运作等行为。</w:t>
      </w:r>
    </w:p>
    <w:p w14:paraId="4F0421F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C97A5E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0C41FA1" w14:textId="77777777" w:rsidR="00AE2B28" w:rsidRDefault="00B67EDE">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四、基金财产的保管</w:t>
      </w:r>
    </w:p>
    <w:p w14:paraId="4EFE2A7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（一）基金财产保管的原则</w:t>
      </w:r>
    </w:p>
    <w:p w14:paraId="07AF31C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1、基金财产应独立于基金管理人、基金托管人的固有财产。</w:t>
      </w:r>
    </w:p>
    <w:p w14:paraId="67157B6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2、基金托管人应安全保管基金财产。未经基金管理人依据合法程序作出的合法合规指令，基金托管人不得自行运用、处分、分配基金的任何财产。</w:t>
      </w:r>
    </w:p>
    <w:p w14:paraId="3E2B1B2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3、基金托管人按照规定开设基金财产的资金账户和证券账户等投资所需账户。</w:t>
      </w:r>
    </w:p>
    <w:p w14:paraId="16BD2B4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4、基金托管人对所托管的不同基金财产分别设置账户，独立核算，分账管理，确保基金财产的完整与独立。</w:t>
      </w:r>
    </w:p>
    <w:p w14:paraId="72328F5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5、基金托管人根据基金管理人的指令，按照基金合同和本协议的约定保管基金财产，如有特殊情况双方可另行协商解决。</w:t>
      </w:r>
    </w:p>
    <w:p w14:paraId="18B21E8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对于因为基金投资产生的应收资产，应由基金管理人负责与有关当事人确定到账日期并通知基金托管人，到账日基金财产没有到达基金资金账户的，基金托管人应及时通知基金管理人采取措施进行催收。由此给基金财产造成损失的，基金托管人应予以必要的协助和配合，但对此不承担相应责任。</w:t>
      </w:r>
    </w:p>
    <w:p w14:paraId="0449E8C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7、除依据法律法规和基金合同的规定外，基金托管人不得委托第三人托管基金财产。</w:t>
      </w:r>
    </w:p>
    <w:p w14:paraId="2272E11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（二）基金募集期间及募集资金的验资</w:t>
      </w:r>
    </w:p>
    <w:p w14:paraId="2C3148C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1、基金募集期间的资金应存于基金管理人在具有托管资格的商业银行开设的基金认购专户。该账户由基金管理人或接受基金管理人委托代为办理登记业务的机构开立并管理。</w:t>
      </w:r>
    </w:p>
    <w:p w14:paraId="79C1E0F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中华人民共和国证券法》规定的会计师事务所进行验资，出具验资报告。会计师事务所提交的验资报告需对发起资金提供方及其持有份额进行专门说明。出具的验资报告由参加验资的2名或2名以上中国注册会计师签字方为有效。</w:t>
      </w:r>
    </w:p>
    <w:p w14:paraId="1DDF77E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3、若基金募集期限届满，未能达到基金合同生效的条件，由基金管理人按规定办理退款等事宜，基金托管人应提供充分协助。</w:t>
      </w:r>
    </w:p>
    <w:p w14:paraId="2107F0F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（三）基金资金账户的开立和管理</w:t>
      </w:r>
    </w:p>
    <w:p w14:paraId="48B362C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1、基金托管人应负责本基金的资金账户的开设和管理。</w:t>
      </w:r>
    </w:p>
    <w:p w14:paraId="24E2727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基金托管人可以本基金的名义在其营业机构开设本基金的资金账户，并根据基金管理人合法合规的指令办理资金收付。本基金的银行预留印鉴由基金托管人保管和使用。本基金的一切货币收支活动，包括但不限于投资、支付赎回款、支付基金收益、收取申购款，均需通过本基金的资金账户进行。</w:t>
      </w:r>
    </w:p>
    <w:p w14:paraId="1E4D51B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3、基金托管资金账户的开立和使用，限于满足开展本基金业务的需要。基金托管人和基金管理人不得假借本基金的名义开立任何其他银行账户；亦不得使用基金的任何账户进行本基金业务以外的活动。</w:t>
      </w:r>
    </w:p>
    <w:p w14:paraId="1743915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4、基金托管资金账户的开立和管理应符合相关法律法规的有关规定。</w:t>
      </w:r>
    </w:p>
    <w:p w14:paraId="162BD6F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5、在符合法律法规规定的条件下，基金托管人可以通过基金托管人专用账户办理基金资产的支付。</w:t>
      </w:r>
    </w:p>
    <w:p w14:paraId="2AE21D6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（四）基金证券账户和结算备付金账户的开立和管理</w:t>
      </w:r>
    </w:p>
    <w:p w14:paraId="3F8E5B7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1、基金托管人在中国证券登记结算有限责任公司上海分公司、深圳分公司和北京分公司为基金开立基金托管人与基金联名的证券账户。</w:t>
      </w:r>
    </w:p>
    <w:p w14:paraId="5358ECA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2、基金证券账户的开立和使用，限于满足开展本基金业务的需要。基金托管人和基金管理人不得出借或未经对方同意擅自转让基金的任何证券账户，亦不得使用基金的任何账户进行本基金业务以外的活动。</w:t>
      </w:r>
    </w:p>
    <w:p w14:paraId="157ABFF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 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14:paraId="2124558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4、基金证券账户的开立由基金托管人负责，账户资产的管理和运用由基金管理人负责。</w:t>
      </w:r>
    </w:p>
    <w:p w14:paraId="09F114B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5、在本托管协议生效日之后，本基金被允许从事其他投资品种的投资业务，涉及相关账户的开设、使用的，按有关规定开设、使用并管理；若无相关规定，则基金托管人应协助基金管理人办理账户的开立手续。</w:t>
      </w:r>
    </w:p>
    <w:p w14:paraId="00B4D56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（五）债券托管与结算账户的开设和管理</w:t>
      </w:r>
    </w:p>
    <w:p w14:paraId="346B7BE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合同生效后，基金托管人根据中国人民银行、中央国债登记结算有限责任公司、银行间市场清算所股份有限公司的有关规定，以基金的名义在中央国债登记结算有限责任公司、银行间市场清算所股份有限公司开立债券托管与结算账户，并代表基金进行银行间市场债券的结算。基金管理人代表基金签订全国银行间债券市场债券回购主协议。</w:t>
      </w:r>
    </w:p>
    <w:p w14:paraId="1A7C27B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（六）期货的相关账户的开立和管理</w:t>
      </w:r>
    </w:p>
    <w:p w14:paraId="280BF5E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基金管理人应当按照相关规定开立期货结算账户、期货资金账户，在中国金</w:t>
      </w:r>
      <w:r>
        <w:rPr>
          <w:rFonts w:ascii="宋体" w:hAnsi="宋体" w:cs="宋体"/>
          <w:kern w:val="0"/>
          <w:sz w:val="24"/>
          <w:szCs w:val="24"/>
        </w:rPr>
        <w:lastRenderedPageBreak/>
        <w:t>融期货交易所获取交易编码。期货结算账户名称、期货资金账户名称及交易编码对应名称应按照有关规定设立。</w:t>
      </w:r>
    </w:p>
    <w:p w14:paraId="6DE46D8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基金托管人已取得期货保证金存管银行资格，基金管理人授权基金托管人办理相关银期转账业务。</w:t>
      </w:r>
    </w:p>
    <w:p w14:paraId="6F4A996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（七）其他账户的开立和管理</w:t>
      </w:r>
    </w:p>
    <w:p w14:paraId="1BEB5C2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1、因业务发展需要而开立的其他账户，可以根据法律法规和基金合同的规定，在基金管理人和基金托管人商议后开立。新账户按有关规则使用并管理。</w:t>
      </w:r>
    </w:p>
    <w:p w14:paraId="2F3C3C3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2、法律法规等有关规定对相关账户的开立和管理另有规定的，从其规定办理。</w:t>
      </w:r>
    </w:p>
    <w:p w14:paraId="34DF966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（八）基金财产投资的有关有价凭证等的保管</w:t>
      </w:r>
    </w:p>
    <w:p w14:paraId="0098ACC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财产投资的有关实物证券、银行定期存款存单等有价凭证由基金托管人负责妥善保管，保管凭证由基金托管人持有。基金管理人承诺对交接给基金托管人保管的有价凭证的真实性、完整性负责，基金托管人只负责对有价凭证进行保管，不负责对有价凭证真伪的辨别，不对有价凭证对应存款的本金及收益的安全负责。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14:paraId="7C29283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（九）与基金财产有关的重大合同的保管</w:t>
      </w:r>
    </w:p>
    <w:p w14:paraId="51F851E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由基金管理人代表基金签署的、与基金有关的重大合同的原件分别由基金管理人、基金托管人保管。基金管理人在代表基金签署与基金有关的重大合同时应保证基金一方持有两份以上的正本，以便基金管理人和基金托管人至少各持有一份正本的原件。重大合同的保管期限不低于法律法规规定的最低期限。</w:t>
      </w:r>
    </w:p>
    <w:p w14:paraId="3E6A9F13" w14:textId="77777777" w:rsidR="00AE2B28" w:rsidRDefault="00B67EDE">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五、基金资产净值计算和会计核算</w:t>
      </w:r>
    </w:p>
    <w:p w14:paraId="1B65706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（一）基金资产净值的计算及复核程序</w:t>
      </w:r>
    </w:p>
    <w:p w14:paraId="1D96B4E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1、基金资产净值</w:t>
      </w:r>
    </w:p>
    <w:p w14:paraId="39A5E6D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基金资产净值是指基金资产总值减去基金负债后的价值。</w:t>
      </w:r>
    </w:p>
    <w:p w14:paraId="2C94B9E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各类别基金份额净值是按照每个估值日闭市后，该类别基金份额的基金资产净值除以当日该类别基金份额的余额数量计算，均精确到0.0001元，小数点后第5位四舍五入，由此产生的误差计入基金财产。基金管理人可以设立大额赎回</w:t>
      </w:r>
      <w:r>
        <w:rPr>
          <w:rFonts w:ascii="宋体" w:hAnsi="宋体" w:cs="宋体"/>
          <w:kern w:val="0"/>
          <w:sz w:val="24"/>
          <w:szCs w:val="24"/>
        </w:rPr>
        <w:lastRenderedPageBreak/>
        <w:t>情形下的净值精度应急调整机制。国家另有规定的，从其规定。</w:t>
      </w:r>
    </w:p>
    <w:p w14:paraId="60AD259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基金管理人每个估值日计算基金资产净值及各类别基金份额的基金份额净值，并按规定公告。</w:t>
      </w:r>
    </w:p>
    <w:p w14:paraId="6D88EF8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2、复核程序</w:t>
      </w:r>
    </w:p>
    <w:p w14:paraId="395A9CD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基金管理人每个估值日对基金资产进行估值后，将各类基金份额净值结果发送基金托管人，经基金托管人复核无误后，由基金管理人依据基金合同约定和相关法律法规的规定对外公布。</w:t>
      </w:r>
    </w:p>
    <w:p w14:paraId="643F829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（二）基金资产估值方法和特殊情形的处理</w:t>
      </w:r>
    </w:p>
    <w:p w14:paraId="7382250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1、估值对象</w:t>
      </w:r>
    </w:p>
    <w:p w14:paraId="62D2C07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基金所拥有的股票、债券、资产支持证券、股指期货合约、国债期货合约、股票期权合约、信用衍生品和银行存款本息、应收款项、其它投资等资产及负债。</w:t>
      </w:r>
    </w:p>
    <w:p w14:paraId="4A2EE0C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2、估值方法</w:t>
      </w:r>
    </w:p>
    <w:p w14:paraId="037352E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（1）证券交易所上市的有价证券的估值</w:t>
      </w:r>
    </w:p>
    <w:p w14:paraId="7A3FF20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2350AC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7EA4CA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3）交易所上市不存在活跃市场的有价证券，采用估值技术确定公允价值。</w:t>
      </w:r>
    </w:p>
    <w:p w14:paraId="028C7C6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（2）处于未上市期间的有价证券应区分如下情况处理：</w:t>
      </w:r>
    </w:p>
    <w:p w14:paraId="628CD64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14:paraId="500451D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2）首次公开发行未上市的股票，采用估值技术确定公允价值，在估值技术难以可靠计量公允价值的情况下，按成本估值；</w:t>
      </w:r>
    </w:p>
    <w:p w14:paraId="50C5320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3）在发行时明确一定期限限售期的股票，包括但不限于非公开发行股票、</w:t>
      </w:r>
      <w:r>
        <w:rPr>
          <w:rFonts w:ascii="宋体" w:hAnsi="宋体" w:cs="宋体"/>
          <w:kern w:val="0"/>
          <w:sz w:val="24"/>
          <w:szCs w:val="24"/>
        </w:rPr>
        <w:lastRenderedPageBreak/>
        <w:t>首次公开发行股票时公司股东公开发售股份、通过大宗交易取得的带限售期的股票等，不包括停牌、新发行未上市、回购交易中的质押券等流通受限股票，按监管机构或行业协会有关规定确定公允价值。</w:t>
      </w:r>
    </w:p>
    <w:p w14:paraId="381CE67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（3）以公允价值计量的固定收益品种</w:t>
      </w:r>
    </w:p>
    <w:p w14:paraId="47C3799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1）对于已上市或已挂牌转让的不含权固定收益品种，选取第三方估值基准服务机构提供的相应品种当日的估值全价；</w:t>
      </w:r>
    </w:p>
    <w:p w14:paraId="311B8AF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2）对于已上市或已挂牌转让的含权固定收益品种，选取第三方估值基准服务机构提供的相应品种当日的唯一估值全价或推荐估值全价；</w:t>
      </w:r>
    </w:p>
    <w:p w14:paraId="08ADFC2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15AFD57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4）对于未上市或未挂牌转让且不存在活跃市场的固定收益品种，应采用在当前情况下适用并且有足够可利用数据和其他信息支持的估值技术确定其公允价值。</w:t>
      </w:r>
    </w:p>
    <w:p w14:paraId="159BFF0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1C93AB7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（5）同一证券同时在两个或两个以上市场交易的，按证券所处的市场分别估值。</w:t>
      </w:r>
    </w:p>
    <w:p w14:paraId="68262B6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14:paraId="1B5CF91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（7）本基金投资股票期权合约，一般以股票期权估值日的结算价进行估值，估值当日无结算价的，且最近交易日后经济环境未发生重大变化的，采用最近交易日结算价估值。</w:t>
      </w:r>
    </w:p>
    <w:p w14:paraId="58CC06C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（8）本基金投资国债期货合约，一般以国债期货估值日的结算价进行估值，估值当日无结算价的，且最近交易日后经济环境未发生重大变化的，采用最近交易日结算价估值。</w:t>
      </w:r>
    </w:p>
    <w:p w14:paraId="262CAE9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9）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1B33072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FA6991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10）信用衍生品按第三方估值机构提供的当日的估值价格进行估值，但基金管理人依法应当承担的估值责任不因委托而免除；选定的第三方估值机构未提供估值价格的，依照有关法律法规及《企业会计准则》要求采用合理估值技术确定公允价值。</w:t>
      </w:r>
    </w:p>
    <w:p w14:paraId="054C087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（11）本基金投资存托凭证的估值核算，依照境内上市交易的股票进行。</w:t>
      </w:r>
    </w:p>
    <w:p w14:paraId="50ED491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（12）如有确凿证据表明按上述方法进行估值不能客观反映其公允价值的，基金管理人可根据具体情况与基金托管人商定后，按最能反映公允价值的价格估值。</w:t>
      </w:r>
    </w:p>
    <w:p w14:paraId="3A1905D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（13）当发生大额申购或赎回情形时，基金管理人可以采用摆动定价机制，以确保基金估值的公平性。</w:t>
      </w:r>
    </w:p>
    <w:p w14:paraId="6D01DBD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（14）相关法律法规以及监管部门有强制规定的，从其规定。如有新增事项，按国家最新规定估值。</w:t>
      </w:r>
    </w:p>
    <w:p w14:paraId="7B5B1BD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71491B5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w:t>
      </w:r>
      <w:r>
        <w:rPr>
          <w:rFonts w:ascii="宋体" w:hAnsi="宋体" w:cs="宋体"/>
          <w:kern w:val="0"/>
          <w:sz w:val="24"/>
          <w:szCs w:val="24"/>
        </w:rPr>
        <w:lastRenderedPageBreak/>
        <w:t>基金管理人对基金净值信息的计算结果对外予以公布，由此给基金份额持有人和基金造成的损失以及因该交易日基金资产净值计算顺延错误而引起的损失，由基金管理人负责赔付，基金托管人不负责赔付。</w:t>
      </w:r>
    </w:p>
    <w:p w14:paraId="1CAAD70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3、特殊情形的处理</w:t>
      </w:r>
    </w:p>
    <w:p w14:paraId="6107520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（1）基金管理人、基金托管人按估值方法的第（12）项进行估值时，所造成的误差不作为基金资产估值错误处理。</w:t>
      </w:r>
    </w:p>
    <w:p w14:paraId="70E38CE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由于证券/期货交易所、登记结算公司等第三方机构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p>
    <w:p w14:paraId="64A114A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（三）基金份额净值错误的处理方式</w:t>
      </w:r>
    </w:p>
    <w:p w14:paraId="12A2B81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基金管理人和基金托管人将采取必要、适当、合理的措施确保基金资产估值的准确性、及时性。当某类基金份额净值小数点后4位以内（含第4位）发生估值错误时，视为该类基金份额净值错误。</w:t>
      </w:r>
    </w:p>
    <w:p w14:paraId="077E222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基金合同的当事人应按照以下约定处理：</w:t>
      </w:r>
    </w:p>
    <w:p w14:paraId="0CF00D8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1、估值错误类型</w:t>
      </w:r>
    </w:p>
    <w:p w14:paraId="7044B19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65DBFC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上述估值错误的主要类型包括但不限于：资料申报差错、数据传输差错、数据计算差错、系统故障差错、下达指令差错等。</w:t>
      </w:r>
    </w:p>
    <w:p w14:paraId="2592171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2、估值错误处理原则</w:t>
      </w:r>
    </w:p>
    <w:p w14:paraId="708DC91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w:t>
      </w:r>
      <w:r>
        <w:rPr>
          <w:rFonts w:ascii="宋体" w:hAnsi="宋体" w:cs="宋体"/>
          <w:kern w:val="0"/>
          <w:sz w:val="24"/>
          <w:szCs w:val="24"/>
        </w:rPr>
        <w:lastRenderedPageBreak/>
        <w:t>任。估值错误责任方应对更正的情况向有关当事人进行确认，确保估值错误已得到更正。</w:t>
      </w:r>
    </w:p>
    <w:p w14:paraId="0A68667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（2）估值错误的责任方对有关当事人的直接损失负责，不对间接损失负责，并且仅对估值错误的有关直接当事人负责，不对第三方负责。</w:t>
      </w:r>
    </w:p>
    <w:p w14:paraId="6230182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A1C8FF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（4）估值错误调整采用尽量恢复至假设未发生估值错误的正确情形的方式。</w:t>
      </w:r>
    </w:p>
    <w:p w14:paraId="64CB450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3、估值错误处理程序</w:t>
      </w:r>
    </w:p>
    <w:p w14:paraId="6524F38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估值错误被发现后，有关的当事人应当及时进行处理，处理的程序如下：</w:t>
      </w:r>
    </w:p>
    <w:p w14:paraId="559EE91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（1）查明估值错误发生的原因，列明所有的当事人，并根据估值错误发生的原因确定估值错误的责任方；</w:t>
      </w:r>
    </w:p>
    <w:p w14:paraId="4C6104E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（2）根据估值错误处理原则或当事人协商的方法对因估值错误造成的损失进行评估；</w:t>
      </w:r>
    </w:p>
    <w:p w14:paraId="4105DAD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（3）根据估值错误处理原则或当事人协商的方法由估值错误的责任方进行更正和赔偿损失；</w:t>
      </w:r>
    </w:p>
    <w:p w14:paraId="18A8A06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（4）根据估值错误处理的方法，需要修改基金登记机构交易数据的，由基金登记机构进行更正，并就估值错误的更正向有关当事人进行确认。</w:t>
      </w:r>
    </w:p>
    <w:p w14:paraId="181D66E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4、基金份额净值估值错误处理的方法如下：</w:t>
      </w:r>
    </w:p>
    <w:p w14:paraId="3B019891"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（1）某类基金份额净值计算出现错误时，基金管理人应当立即予以纠正，通报基金托管人，并采取合理的措施防止损失进一步扩大。</w:t>
      </w:r>
    </w:p>
    <w:p w14:paraId="4746B4B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（2）错误偏差达到该类基金份额净值的0.25%时，基金管理人应当通报基金托管人并报中国证监会备案；错误偏差达到该类基金份额净值的0.5%时，基金管理人应当公告，并报中国证监会备案。</w:t>
      </w:r>
    </w:p>
    <w:p w14:paraId="7E8E9EB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（3）当基金份额净值计算差错给基金和基金份额持有人造成损失需要进行</w:t>
      </w:r>
      <w:r>
        <w:rPr>
          <w:rFonts w:ascii="宋体" w:hAnsi="宋体" w:cs="宋体"/>
          <w:kern w:val="0"/>
          <w:sz w:val="24"/>
          <w:szCs w:val="24"/>
        </w:rPr>
        <w:lastRenderedPageBreak/>
        <w:t>赔偿时，基金管理人和基金托管人应根据实际情况界定双方承担的责任，经确认后按以下条款进行赔偿：</w:t>
      </w:r>
    </w:p>
    <w:p w14:paraId="406D0B4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256B9C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4421BAF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5D0F88D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④由于基金管理人提供的信息错误（包括但不限于基金申购或赎回金额等），进而导致基金份额净值计算错误而引起的基金份额持有人和基金财产的损失，由基金管理人负责赔付。</w:t>
      </w:r>
    </w:p>
    <w:p w14:paraId="3801E03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（4）前述内容如法律法规或者监管机构另有规定的，从其规定。如果行业另有通行做法，基金管理人和基金托管人应本着平等和保护基金份额持有人利益的原则进行协商。</w:t>
      </w:r>
    </w:p>
    <w:p w14:paraId="3B03BA0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（四）暂停估值的情形</w:t>
      </w:r>
    </w:p>
    <w:p w14:paraId="190592A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1、基金投资所涉及的证券/期货交易市场遇法定节假日或因其他原因暂停营业时；</w:t>
      </w:r>
    </w:p>
    <w:p w14:paraId="05D7521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2、因不可抗力或其他情形致使基金管理人、基金托管人无法准确评估基金资产价值时；</w:t>
      </w:r>
    </w:p>
    <w:p w14:paraId="307595F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3、当特定资产占前一估值日基金资产净值50%以上的，经与基金托管人协商确认后，基金管理人应当暂停估值；</w:t>
      </w:r>
    </w:p>
    <w:p w14:paraId="2A06515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4、法律法规规定、中国证监会和基金合同认定的其他情形。</w:t>
      </w:r>
    </w:p>
    <w:p w14:paraId="4F6B23B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（五）基金会计制度</w:t>
      </w:r>
    </w:p>
    <w:p w14:paraId="5C45E44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按国家有关部门规定的会计制度执行。</w:t>
      </w:r>
    </w:p>
    <w:p w14:paraId="0053EFA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（六）基金账册的建立</w:t>
      </w:r>
    </w:p>
    <w:p w14:paraId="2F1DD4C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26789A7B"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（七）基金财务报表与报告的编制和复核</w:t>
      </w:r>
    </w:p>
    <w:p w14:paraId="7BCB2DC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1、财务报表的编制</w:t>
      </w:r>
    </w:p>
    <w:p w14:paraId="3CA84E5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当及时编制并对外提供真实、完整的基金财务会计报告。月度报表的编制，基金管理人应于每月终了后5个工作日内完成；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季度报告应在季度结束之日起15个工作日内编制完毕并予以公告；中期报告在上半年结束之日起两个月内编制完毕并予以公告；年度报告在每年结束之日起三个月内编制完毕并予以公告。基金合同生效不足2个月的，基金管理人可以不编制当期季度报告、中期报告或者年度报告。</w:t>
      </w:r>
    </w:p>
    <w:p w14:paraId="1FD21CA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2、报表复核</w:t>
      </w:r>
    </w:p>
    <w:p w14:paraId="5AA2CDB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在收到后7个工作日内完成复核，并将复核结果书面通知基金管理人。基金管理人在中期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传真的方式或双方商定的其他方式进行。</w:t>
      </w:r>
    </w:p>
    <w:p w14:paraId="32BBFB5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w:t>
      </w:r>
      <w:r>
        <w:rPr>
          <w:rFonts w:ascii="宋体" w:hAnsi="宋体" w:cs="宋体"/>
          <w:kern w:val="0"/>
          <w:sz w:val="24"/>
          <w:szCs w:val="24"/>
        </w:rPr>
        <w:lastRenderedPageBreak/>
        <w:t>金管理人提供的报告上加盖托管业务专用章或者出具加盖托管业务专用章的复核意见书或进行电子确认，双方各自留存一份。如果基金管理人与基金托管人不能于应当发布公告之日之前就相关报表达成一致，基金管理人有权按照其编制的报表对外发布公告，基金托管人有权就相关情况报中国证监会备案。</w:t>
      </w:r>
    </w:p>
    <w:p w14:paraId="70A71CF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（八）基金管理人应每季向基金托管人提供基金业绩比较基准的基础数据和编制结果。</w:t>
      </w:r>
    </w:p>
    <w:p w14:paraId="560F051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（九）实施侧袋机制期间的基金资产估值</w:t>
      </w:r>
    </w:p>
    <w:p w14:paraId="19427F8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本基金实施侧袋机制的，应根据本部分的约定对主袋账户资产进行估值并披露主袋账户的基金净值信息，暂停披露侧袋账户份额净值。</w:t>
      </w:r>
    </w:p>
    <w:p w14:paraId="2723E8F0" w14:textId="77777777" w:rsidR="00AE2B28" w:rsidRDefault="00B67EDE">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六、基金份额持有人名册的保管</w:t>
      </w:r>
    </w:p>
    <w:p w14:paraId="27AC192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基金的基金管理人和基金托管人须分别妥善保管的基金份额持有人名册，包括基金合同生效日、基金合同终止日、基金权益登记日、基金份额持有人大会权益登记日、每年6月30日、12月31日的基金份额持有人名册。基金份额持有人名册的内容至少应包括基金份额持有人的名称和持有的基金份额。</w:t>
      </w:r>
    </w:p>
    <w:p w14:paraId="104EB2F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14:paraId="3634322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14:paraId="0B74D12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管理人和基金托管人应妥善保管基金份额持有人名册，保存期限不低于法律法规规定的最低期限。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1B883D27" w14:textId="77777777" w:rsidR="00AE2B28" w:rsidRDefault="00B67EDE">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七、争议解决方式</w:t>
      </w:r>
    </w:p>
    <w:p w14:paraId="549ECA4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因本协议产生或与之相关的争议，双方当事人应通过协商、调解解决，协商、调解不能解决的，任何一方均有权将争议提交中国国际经济贸易仲裁委员会，按照中国国际经济贸易仲裁委员会届时有效的仲裁规则进行仲裁，仲裁地点为北京</w:t>
      </w:r>
      <w:r>
        <w:rPr>
          <w:rFonts w:ascii="宋体" w:hAnsi="宋体" w:cs="宋体"/>
          <w:kern w:val="0"/>
          <w:sz w:val="24"/>
          <w:szCs w:val="24"/>
        </w:rPr>
        <w:lastRenderedPageBreak/>
        <w:t>市。仲裁裁决是终局的，对当事人均有约束力。除非仲裁裁决另有规定，仲裁费由败诉方承担。</w:t>
      </w:r>
    </w:p>
    <w:p w14:paraId="6AC3AA3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争议处理期间，双方当事人应恪守基金管理人和基金托管人职责，各自继续忠实、勤勉、尽责地履行基金合同和本托管协议规定的义务，维护基金份额持有人的合法权益。</w:t>
      </w:r>
    </w:p>
    <w:p w14:paraId="6F66BDD3"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本协议适用中华人民共和国法律（为本协议之目的，不包括香港特别行政区、澳门特别行政区和台湾地区法律）并从其解释。</w:t>
      </w:r>
    </w:p>
    <w:p w14:paraId="538D356C" w14:textId="77777777" w:rsidR="00AE2B28" w:rsidRDefault="00B67EDE">
      <w:pPr>
        <w:pStyle w:val="2"/>
        <w:keepNext w:val="0"/>
        <w:keepLines w:val="0"/>
        <w:spacing w:before="0" w:after="0" w:line="240" w:lineRule="auto"/>
        <w:ind w:firstLine="480"/>
        <w:rPr>
          <w:rFonts w:ascii="宋体" w:eastAsia="宋体" w:hAnsi="宋体" w:cs="宋体"/>
          <w:bCs/>
          <w:kern w:val="0"/>
          <w:sz w:val="24"/>
          <w:szCs w:val="24"/>
        </w:rPr>
      </w:pPr>
      <w:r>
        <w:rPr>
          <w:rFonts w:ascii="宋体" w:eastAsia="宋体" w:hAnsi="宋体" w:cs="宋体"/>
          <w:bCs/>
          <w:kern w:val="0"/>
          <w:sz w:val="24"/>
          <w:szCs w:val="24"/>
        </w:rPr>
        <w:t>八、基金托管协议的变更、终止与基金财产的清算</w:t>
      </w:r>
    </w:p>
    <w:p w14:paraId="6B474E1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（一）托管协议的变更程序</w:t>
      </w:r>
    </w:p>
    <w:p w14:paraId="298CC59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本协议双方当事人经协商一致，可以对协议进行修改。修改后的新协议，其内容不得与基金合同的规定有任何冲突。</w:t>
      </w:r>
    </w:p>
    <w:p w14:paraId="188512E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（二）基金托管协议终止的情形</w:t>
      </w:r>
    </w:p>
    <w:p w14:paraId="443270EC"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1、基金合同终止；</w:t>
      </w:r>
    </w:p>
    <w:p w14:paraId="5E22DB2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2、基金托管人解散、依法被撤销、破产或由其他基金托管人接管基金资产；</w:t>
      </w:r>
    </w:p>
    <w:p w14:paraId="7A3D998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3、基金管理人解散、依法被撤销、破产或由其他基金管理人接管基金管理权；</w:t>
      </w:r>
    </w:p>
    <w:p w14:paraId="28383C7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4、发生法律法规、中国证监会或基金合同规定的终止事项。</w:t>
      </w:r>
    </w:p>
    <w:p w14:paraId="107397E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（三）基金财产的清算</w:t>
      </w:r>
    </w:p>
    <w:p w14:paraId="3D96BB5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1、基金财产清算小组：自出现《基金合同》终止事由之日起30个工作日内成立清算小组，基金管理人组织基金财产清算小组并在中国证监会的监督下进行基金清算。</w:t>
      </w:r>
    </w:p>
    <w:p w14:paraId="5A9D5384"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6099CC2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3、基金财产清算小组职责：基金财产清算小组负责基金财产的保管、清理、估价、变现和分配。基金财产清算小组可以依法进行必要的民事活动。</w:t>
      </w:r>
    </w:p>
    <w:p w14:paraId="073A3F9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4、基金财产清算程序：</w:t>
      </w:r>
    </w:p>
    <w:p w14:paraId="60A6B05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（1）《基金合同》终止情形出现时，由基金财产清算小组统一接管基金；</w:t>
      </w:r>
    </w:p>
    <w:p w14:paraId="75C7D8B0"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（2）对基金财产和债权债务进行清理和确认；</w:t>
      </w:r>
    </w:p>
    <w:p w14:paraId="0ED0C50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（3）对基金财产进行估值和变现；</w:t>
      </w:r>
    </w:p>
    <w:p w14:paraId="7A23AFBA"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（4）制作清算报告；</w:t>
      </w:r>
    </w:p>
    <w:p w14:paraId="46195B0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（5）聘请符合《中华人民共和国证券法》规定的会计师事务所对清算报告进行外部审计，聘请律师事务所对清算报告出具法律意见书；</w:t>
      </w:r>
    </w:p>
    <w:p w14:paraId="55C5B0B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（6）将清算报告报中国证监会备案并公告；</w:t>
      </w:r>
    </w:p>
    <w:p w14:paraId="1C1A78B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（7）对基金剩余财产进行分配。</w:t>
      </w:r>
    </w:p>
    <w:p w14:paraId="3E96ACF9"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5、基金财产清算的期限为6个月，但因本基金所持证券的流动性受到限制而不能及时变现的，清算期限相应顺延。</w:t>
      </w:r>
    </w:p>
    <w:p w14:paraId="35769CC8"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（四）清算费用</w:t>
      </w:r>
    </w:p>
    <w:p w14:paraId="226973B5"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4288B26F"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（五）基金财产清算剩余资产的分配</w:t>
      </w:r>
    </w:p>
    <w:p w14:paraId="11321156"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依据基金财产清算的分配方案，将基金财产清算后的全部剩余资产扣除基金财产清算费用、交纳所欠税款并清偿基金债务后，按基金份额持有人持有的基金份额比例进行分配，并扣除相应的超额管理费（如有）。</w:t>
      </w:r>
    </w:p>
    <w:p w14:paraId="48CDC5EF" w14:textId="77777777" w:rsidR="007046F2" w:rsidRDefault="007046F2" w:rsidP="007046F2">
      <w:pPr>
        <w:pStyle w:val="div"/>
        <w:spacing w:line="360" w:lineRule="auto"/>
        <w:ind w:firstLine="480"/>
        <w:rPr>
          <w:rFonts w:ascii="宋体" w:hAnsi="宋体" w:cs="宋体"/>
          <w:kern w:val="0"/>
          <w:sz w:val="24"/>
          <w:szCs w:val="24"/>
        </w:rPr>
      </w:pPr>
      <w:r>
        <w:rPr>
          <w:rFonts w:ascii="宋体" w:hAnsi="宋体" w:cs="宋体"/>
          <w:kern w:val="0"/>
          <w:sz w:val="24"/>
          <w:szCs w:val="24"/>
        </w:rPr>
        <w:t>其中，对于投资者通过直销机构认购/申购的C类基金份额所计提的销售服务费或者通过其他销售机构认购/申购且持续持有期限超过一年（即365天）以后继续计提的C类基金份额销售服务费，将在基金合同终止时随清算款一并返还给投资者。</w:t>
      </w:r>
    </w:p>
    <w:p w14:paraId="48CFCEE2"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（六）基金财产清算的公告</w:t>
      </w:r>
    </w:p>
    <w:p w14:paraId="6740883E"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31B7B20D"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（七）基金财产清算账册及文件的保存</w:t>
      </w:r>
    </w:p>
    <w:p w14:paraId="6F367C67" w14:textId="77777777" w:rsidR="00AE2B28" w:rsidRDefault="00B67EDE">
      <w:pPr>
        <w:pStyle w:val="div"/>
        <w:spacing w:line="360" w:lineRule="auto"/>
        <w:ind w:firstLine="480"/>
        <w:rPr>
          <w:rFonts w:ascii="宋体" w:hAnsi="宋体" w:cs="宋体"/>
          <w:kern w:val="0"/>
          <w:sz w:val="24"/>
          <w:szCs w:val="24"/>
        </w:rPr>
      </w:pPr>
      <w:r>
        <w:rPr>
          <w:rFonts w:ascii="宋体" w:hAnsi="宋体" w:cs="宋体"/>
          <w:kern w:val="0"/>
          <w:sz w:val="24"/>
          <w:szCs w:val="24"/>
        </w:rPr>
        <w:t>基金财产清算账册及有关文件由基金托管人保存，保存期限不少于法定最低期限。</w:t>
      </w:r>
      <w:r>
        <w:rPr>
          <w:rFonts w:ascii="宋体" w:hAnsi="宋体" w:cs="宋体"/>
          <w:kern w:val="0"/>
          <w:sz w:val="24"/>
          <w:szCs w:val="24"/>
        </w:rPr>
        <w:br w:type="page"/>
      </w:r>
    </w:p>
    <w:p w14:paraId="184F79E6" w14:textId="77777777" w:rsidR="009D63C8" w:rsidRDefault="00B67EDE" w:rsidP="009E26D0">
      <w:pPr>
        <w:pStyle w:val="1"/>
        <w:spacing w:before="0" w:after="0"/>
        <w:jc w:val="center"/>
        <w:rPr>
          <w:rFonts w:ascii="Times New Roman"/>
          <w:color w:val="auto"/>
          <w:sz w:val="30"/>
        </w:rPr>
      </w:pPr>
      <w:bookmarkStart w:id="60" w:name="_Toc256000020"/>
      <w:bookmarkEnd w:id="59"/>
      <w:r w:rsidRPr="009E26D0">
        <w:rPr>
          <w:rFonts w:ascii="Times New Roman"/>
          <w:noProof/>
          <w:color w:val="auto"/>
          <w:sz w:val="30"/>
        </w:rPr>
        <w:lastRenderedPageBreak/>
        <w:t>第二十一部分</w:t>
      </w:r>
      <w:r w:rsidRPr="009E26D0">
        <w:rPr>
          <w:rFonts w:ascii="Times New Roman"/>
          <w:noProof/>
          <w:color w:val="auto"/>
          <w:sz w:val="30"/>
        </w:rPr>
        <w:t xml:space="preserve">  </w:t>
      </w:r>
      <w:r w:rsidRPr="009E26D0">
        <w:rPr>
          <w:rFonts w:ascii="Times New Roman"/>
          <w:noProof/>
          <w:color w:val="auto"/>
          <w:sz w:val="30"/>
        </w:rPr>
        <w:t>对基金份额持有人的服务</w:t>
      </w:r>
      <w:bookmarkEnd w:id="60"/>
    </w:p>
    <w:p w14:paraId="3C043769" w14:textId="77777777" w:rsidR="007A2B34" w:rsidRPr="0017353E" w:rsidRDefault="007A2B34" w:rsidP="0090469D"/>
    <w:p w14:paraId="08CE7C3B"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对于基金份额持有人，基金管理人将根据具体情况提供一系列的服务，并将根据基金份额持有人的需要和市场的变化，增加或变更服务项目。主要服务内容如下：</w:t>
      </w:r>
    </w:p>
    <w:p w14:paraId="7480A90A"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一、基金份额持有人登记服务</w:t>
      </w:r>
    </w:p>
    <w:p w14:paraId="06E1DB06"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为基金份额持有人提供登记服务。基金管理人将配备安全、完善的电脑系统及通讯系统，准确、及时地为基金投资者办理基金账户、基金份额的登记、管理、托管与转托管；基金转换和非交易过户；基金份额持有人名册的管理；权益分配时红利的登记派发；基金交易份额的清算过户和基金交易资金的交收等服务。</w:t>
      </w:r>
    </w:p>
    <w:p w14:paraId="219C285C"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二、基金份额持有人交易信息查询及信息定制服务</w:t>
      </w:r>
    </w:p>
    <w:p w14:paraId="7EC50738"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1、基金交易确认查询服务：基金投资者在交易申请被受理的2个工作日后，可以到销售网点查询和打印该项交易的确认信息，或者通过基金管理人客服电话及网站进行查询。</w:t>
      </w:r>
    </w:p>
    <w:p w14:paraId="67B2D937"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2、基金对账单服务：基金管理人向基金份额持有人提供对账单服务，基金份额持有人可自主选择对账单的发送方式，如纸制对账单、电子邮件对账单或短信对账单，或者通过基金管理人网站进行在线对账单的查询与打印。</w:t>
      </w:r>
    </w:p>
    <w:p w14:paraId="53440625"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3、信息定制服务：基金份额持有人可以通过基金管理人网站、客服热线电话、手机短信等通道提交信息定制申请。可定制的信息主要有：基金份额净值、交易确认、对账单服务等。基金管理人可根据实际业务需要，调整定制信息的条件、方式和内容。</w:t>
      </w:r>
    </w:p>
    <w:p w14:paraId="73AC9A3F"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三、客户服务中心电话服务</w:t>
      </w:r>
    </w:p>
    <w:p w14:paraId="3FA656CD"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基金管理人客户服务中心提供24小时自动语音查询服务，基金份额持有人可查询基金余额、交易情况、基金产品与服务等相关信息。</w:t>
      </w:r>
    </w:p>
    <w:p w14:paraId="6B5CD04F"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客户服务中心在每一工作日提供不少于12小时的人工咨询服务。基金份额持有人可通过基金管理人全国统一客服热线：400-888-9918（免长途话费）享受业务咨询、信息查询、信息定制、通讯资料修改、投诉建议等多项服务。</w:t>
      </w:r>
    </w:p>
    <w:p w14:paraId="62B05EBC"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四、网站服务</w:t>
      </w:r>
    </w:p>
    <w:p w14:paraId="232F2BD7"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基金份额持有人可以通过基金管理人网站（www.99fund.com）享受理财资讯、信息披露、账户信息、交易信息、在线咨询等多项服务。</w:t>
      </w:r>
    </w:p>
    <w:p w14:paraId="63B18CE7"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基金份额持有人可以通过基金管理人网站“网上交易”办理开户、交易及查询等业务。有关基金网上交易的协议文本请参见基金管理人网站。</w:t>
      </w:r>
    </w:p>
    <w:p w14:paraId="2D7763CB"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五、投诉受理服务</w:t>
      </w:r>
    </w:p>
    <w:p w14:paraId="583C2F79" w14:textId="77777777" w:rsidR="00AE2B28" w:rsidRDefault="00B67EDE">
      <w:pPr>
        <w:pStyle w:val="div"/>
        <w:widowControl/>
        <w:spacing w:line="360" w:lineRule="auto"/>
        <w:ind w:firstLine="480"/>
        <w:jc w:val="left"/>
        <w:rPr>
          <w:rFonts w:eastAsia="Times New Roman"/>
          <w:kern w:val="0"/>
          <w:sz w:val="24"/>
          <w:szCs w:val="24"/>
        </w:rPr>
      </w:pPr>
      <w:r>
        <w:rPr>
          <w:rFonts w:ascii="宋体" w:hAnsi="宋体" w:cs="宋体"/>
          <w:kern w:val="0"/>
          <w:sz w:val="24"/>
          <w:szCs w:val="24"/>
        </w:rPr>
        <w:t>基金份额持有人可以通过基金管理人客服电话、网站、信函、电子邮件（客户服务邮箱：</w:t>
      </w:r>
      <w:hyperlink r:id="rId18" w:history="1">
        <w:r>
          <w:rPr>
            <w:rFonts w:ascii="宋体" w:hAnsi="宋体" w:cs="宋体"/>
            <w:color w:val="000000"/>
            <w:kern w:val="0"/>
            <w:sz w:val="24"/>
            <w:szCs w:val="24"/>
            <w:u w:val="single" w:color="0000EE"/>
            <w:lang w:eastAsia="en-US"/>
          </w:rPr>
          <w:t>service@99fund.com</w:t>
        </w:r>
      </w:hyperlink>
      <w:r>
        <w:rPr>
          <w:rFonts w:ascii="宋体" w:hAnsi="宋体" w:cs="宋体"/>
          <w:kern w:val="0"/>
          <w:sz w:val="24"/>
          <w:szCs w:val="24"/>
        </w:rPr>
        <w:t>）、传真（</w:t>
      </w:r>
      <w:r>
        <w:rPr>
          <w:rFonts w:ascii="宋体" w:hAnsi="宋体" w:cs="宋体"/>
          <w:kern w:val="0"/>
          <w:sz w:val="24"/>
          <w:szCs w:val="24"/>
          <w:lang w:eastAsia="en-US"/>
        </w:rPr>
        <w:t>021-28932998</w:t>
      </w:r>
      <w:r>
        <w:rPr>
          <w:rFonts w:ascii="宋体" w:hAnsi="宋体" w:cs="宋体"/>
          <w:kern w:val="0"/>
          <w:sz w:val="24"/>
          <w:szCs w:val="24"/>
        </w:rPr>
        <w:t>）等方式对基金管理人、销售机构所提供的服务进行投诉。现场投诉和意见簿投诉是补充投诉渠道，由基金管理人和各销售机构分别管理。</w:t>
      </w:r>
    </w:p>
    <w:p w14:paraId="17F60ECC" w14:textId="77777777" w:rsidR="00AE2B28" w:rsidRDefault="00B67EDE">
      <w:pPr>
        <w:pStyle w:val="div"/>
        <w:widowControl/>
        <w:spacing w:line="360" w:lineRule="auto"/>
        <w:ind w:firstLine="480"/>
        <w:jc w:val="left"/>
        <w:rPr>
          <w:rFonts w:eastAsia="Times New Roman"/>
          <w:kern w:val="0"/>
          <w:sz w:val="24"/>
          <w:szCs w:val="24"/>
        </w:rPr>
      </w:pPr>
      <w:r>
        <w:rPr>
          <w:rFonts w:ascii="宋体" w:hAnsi="宋体" w:cs="宋体"/>
          <w:kern w:val="0"/>
          <w:sz w:val="24"/>
          <w:szCs w:val="24"/>
        </w:rPr>
        <w:t>基金管理人客户服务中心负责受理投诉，并承诺在收到投诉后24 小时（工作日）之内做出回应。</w:t>
      </w:r>
    </w:p>
    <w:p w14:paraId="55A279C8"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六、如本招募说明书存在任何您/贵机构无法理解的内容，可通过上述方式联系基金管理人。请确保投资前，您/贵机构已经全面理解了本招募说明书。</w:t>
      </w:r>
      <w:r>
        <w:rPr>
          <w:rFonts w:ascii="宋体" w:hAnsi="宋体" w:cs="宋体"/>
          <w:kern w:val="0"/>
          <w:sz w:val="24"/>
          <w:szCs w:val="24"/>
        </w:rPr>
        <w:br w:type="page"/>
      </w:r>
    </w:p>
    <w:p w14:paraId="5526C70B" w14:textId="77777777" w:rsidR="009D63C8" w:rsidRDefault="00B67EDE" w:rsidP="009E26D0">
      <w:pPr>
        <w:pStyle w:val="1"/>
        <w:spacing w:before="0" w:after="0"/>
        <w:jc w:val="center"/>
        <w:rPr>
          <w:rFonts w:ascii="Times New Roman"/>
          <w:color w:val="auto"/>
          <w:sz w:val="30"/>
        </w:rPr>
      </w:pPr>
      <w:bookmarkStart w:id="61" w:name="_Toc256000021"/>
      <w:r w:rsidRPr="009E26D0">
        <w:rPr>
          <w:rFonts w:ascii="Times New Roman"/>
          <w:noProof/>
          <w:color w:val="auto"/>
          <w:sz w:val="30"/>
        </w:rPr>
        <w:lastRenderedPageBreak/>
        <w:t>第二十二部分</w:t>
      </w:r>
      <w:r w:rsidRPr="009E26D0">
        <w:rPr>
          <w:rFonts w:ascii="Times New Roman"/>
          <w:noProof/>
          <w:color w:val="auto"/>
          <w:sz w:val="30"/>
        </w:rPr>
        <w:t xml:space="preserve">  </w:t>
      </w:r>
      <w:r w:rsidRPr="009E26D0">
        <w:rPr>
          <w:rFonts w:ascii="Times New Roman"/>
          <w:noProof/>
          <w:color w:val="auto"/>
          <w:sz w:val="30"/>
        </w:rPr>
        <w:t>其他应披露事项</w:t>
      </w:r>
      <w:bookmarkEnd w:id="61"/>
    </w:p>
    <w:p w14:paraId="4BAEE596" w14:textId="77777777" w:rsidR="007A2B34" w:rsidRPr="0017353E" w:rsidRDefault="007A2B34" w:rsidP="0090469D"/>
    <w:p w14:paraId="0FAA773F" w14:textId="77777777" w:rsidR="00AE2B28" w:rsidRDefault="00B67EDE">
      <w:pPr>
        <w:pStyle w:val="div"/>
        <w:widowControl/>
        <w:spacing w:line="360" w:lineRule="auto"/>
        <w:jc w:val="left"/>
        <w:rPr>
          <w:rFonts w:eastAsia="Times New Roman"/>
          <w:kern w:val="0"/>
          <w:sz w:val="24"/>
          <w:szCs w:val="24"/>
        </w:rPr>
      </w:pPr>
      <w:r>
        <w:rPr>
          <w:rFonts w:ascii="宋体" w:hAnsi="宋体" w:cs="宋体"/>
          <w:kern w:val="0"/>
          <w:sz w:val="24"/>
          <w:szCs w:val="24"/>
        </w:rPr>
        <w:t>    本基金的其他应披露事项将严格按照《基金法》、《运作办法》、《销售办法》、《信息披露办法》等相关法律法规规定的内容与格式进行披露，并在规定媒介上公告。</w:t>
      </w:r>
      <w:r>
        <w:rPr>
          <w:rFonts w:ascii="宋体" w:hAnsi="宋体" w:cs="宋体"/>
          <w:kern w:val="0"/>
          <w:sz w:val="24"/>
          <w:szCs w:val="24"/>
        </w:rPr>
        <w:br w:type="page"/>
      </w:r>
    </w:p>
    <w:p w14:paraId="19AD77DE" w14:textId="77777777" w:rsidR="009D63C8" w:rsidRDefault="00B67EDE" w:rsidP="009E26D0">
      <w:pPr>
        <w:pStyle w:val="1"/>
        <w:spacing w:before="0" w:after="0"/>
        <w:jc w:val="center"/>
        <w:rPr>
          <w:rFonts w:ascii="Times New Roman"/>
          <w:color w:val="auto"/>
          <w:sz w:val="30"/>
        </w:rPr>
      </w:pPr>
      <w:bookmarkStart w:id="62" w:name="_Toc256000022"/>
      <w:r w:rsidRPr="009E26D0">
        <w:rPr>
          <w:rFonts w:ascii="Times New Roman"/>
          <w:noProof/>
          <w:color w:val="auto"/>
          <w:sz w:val="30"/>
        </w:rPr>
        <w:lastRenderedPageBreak/>
        <w:t>第二十三部分</w:t>
      </w:r>
      <w:r w:rsidRPr="009E26D0">
        <w:rPr>
          <w:rFonts w:ascii="Times New Roman"/>
          <w:noProof/>
          <w:color w:val="auto"/>
          <w:sz w:val="30"/>
        </w:rPr>
        <w:t xml:space="preserve">  </w:t>
      </w:r>
      <w:r w:rsidRPr="009E26D0">
        <w:rPr>
          <w:rFonts w:ascii="Times New Roman"/>
          <w:noProof/>
          <w:color w:val="auto"/>
          <w:sz w:val="30"/>
        </w:rPr>
        <w:t>招募说明书的存放和查阅方式</w:t>
      </w:r>
      <w:bookmarkEnd w:id="62"/>
    </w:p>
    <w:p w14:paraId="2EDC3A2B" w14:textId="77777777" w:rsidR="007A2B34" w:rsidRPr="0017353E" w:rsidRDefault="007A2B34" w:rsidP="0090469D"/>
    <w:p w14:paraId="51B05824"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本基金招募说明书存放于基金管理人、基金托管人和基金销售机构的住所，供公众查阅、复制。基金投资者在支付工本费后，可在合理时间内取得招募说明书的复印件。对投资者按上述方式所获得的文件及其复印件，基金管理人和基金托管人保证与所公告文本的内容完全一致。</w:t>
      </w:r>
    </w:p>
    <w:p w14:paraId="753232B8"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投资者还可以直接登录基金管理人的网站(www.99fund.com)查阅和下载招募说明书。</w:t>
      </w:r>
      <w:r>
        <w:rPr>
          <w:rFonts w:ascii="宋体" w:hAnsi="宋体" w:cs="宋体"/>
          <w:kern w:val="0"/>
          <w:sz w:val="24"/>
          <w:szCs w:val="24"/>
        </w:rPr>
        <w:br w:type="page"/>
      </w:r>
    </w:p>
    <w:p w14:paraId="21D0AE4A" w14:textId="77777777" w:rsidR="009D63C8" w:rsidRDefault="00B67EDE" w:rsidP="009E26D0">
      <w:pPr>
        <w:pStyle w:val="1"/>
        <w:spacing w:before="0" w:after="0"/>
        <w:jc w:val="center"/>
        <w:rPr>
          <w:rFonts w:ascii="Times New Roman"/>
          <w:color w:val="auto"/>
          <w:sz w:val="30"/>
        </w:rPr>
      </w:pPr>
      <w:bookmarkStart w:id="63" w:name="_Toc256000023"/>
      <w:bookmarkStart w:id="64" w:name="_GoBack"/>
      <w:bookmarkEnd w:id="64"/>
      <w:r w:rsidRPr="009E26D0">
        <w:rPr>
          <w:rFonts w:ascii="Times New Roman"/>
          <w:noProof/>
          <w:color w:val="auto"/>
          <w:sz w:val="30"/>
        </w:rPr>
        <w:lastRenderedPageBreak/>
        <w:t>第二十四部分</w:t>
      </w:r>
      <w:r w:rsidRPr="009E26D0">
        <w:rPr>
          <w:rFonts w:ascii="Times New Roman"/>
          <w:noProof/>
          <w:color w:val="auto"/>
          <w:sz w:val="30"/>
        </w:rPr>
        <w:t xml:space="preserve">  </w:t>
      </w:r>
      <w:r w:rsidRPr="009E26D0">
        <w:rPr>
          <w:rFonts w:ascii="Times New Roman"/>
          <w:noProof/>
          <w:color w:val="auto"/>
          <w:sz w:val="30"/>
        </w:rPr>
        <w:t>备查文件</w:t>
      </w:r>
      <w:bookmarkEnd w:id="63"/>
    </w:p>
    <w:p w14:paraId="5DBB00A8" w14:textId="77777777" w:rsidR="007A2B34" w:rsidRPr="0017353E" w:rsidRDefault="007A2B34" w:rsidP="0090469D"/>
    <w:p w14:paraId="6A151A93"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一、本基金备查文件包括下列文件：</w:t>
      </w:r>
    </w:p>
    <w:p w14:paraId="46A968AC"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1、中国证监会准予汇添富金融优选混合型发起式证券投资基金注册的文件；</w:t>
      </w:r>
    </w:p>
    <w:p w14:paraId="6C215E35"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2、《汇添富金融优选混合型发起式证券投资基金基金合同》；</w:t>
      </w:r>
    </w:p>
    <w:p w14:paraId="5727FB48"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3、《汇添富金融优选混合型发起式证券投资基金托管协议》；</w:t>
      </w:r>
    </w:p>
    <w:p w14:paraId="33DFE5E1"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4、法律意见书；</w:t>
      </w:r>
    </w:p>
    <w:p w14:paraId="2F82B1B8"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5、基金管理人业务资格批件、营业执照；</w:t>
      </w:r>
    </w:p>
    <w:p w14:paraId="43E8B689"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6、基金托管人业务资格批件、营业执照；</w:t>
      </w:r>
    </w:p>
    <w:p w14:paraId="51AF85AD"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7、中国证监会要求的其他文件。</w:t>
      </w:r>
    </w:p>
    <w:p w14:paraId="55A82ADE" w14:textId="77777777" w:rsidR="00AE2B28" w:rsidRDefault="00B67EDE">
      <w:pPr>
        <w:pStyle w:val="div"/>
        <w:spacing w:line="360" w:lineRule="auto"/>
        <w:ind w:firstLine="420"/>
        <w:jc w:val="left"/>
        <w:rPr>
          <w:rFonts w:eastAsia="Times New Roman"/>
          <w:kern w:val="0"/>
          <w:sz w:val="24"/>
          <w:szCs w:val="24"/>
        </w:rPr>
      </w:pPr>
      <w:r>
        <w:rPr>
          <w:rFonts w:ascii="宋体" w:hAnsi="宋体" w:cs="宋体"/>
          <w:kern w:val="0"/>
          <w:sz w:val="24"/>
          <w:szCs w:val="24"/>
        </w:rPr>
        <w:t>二、备查文件的存放地点和投资者查阅方式：</w:t>
      </w:r>
    </w:p>
    <w:p w14:paraId="2F816B81" w14:textId="77777777" w:rsidR="00AE2B28" w:rsidRDefault="00B67EDE">
      <w:pPr>
        <w:pStyle w:val="div"/>
        <w:spacing w:line="360" w:lineRule="auto"/>
        <w:ind w:firstLine="420"/>
        <w:rPr>
          <w:rFonts w:eastAsia="Times New Roman"/>
          <w:kern w:val="0"/>
          <w:sz w:val="24"/>
          <w:szCs w:val="24"/>
        </w:rPr>
      </w:pPr>
      <w:r>
        <w:rPr>
          <w:rFonts w:ascii="宋体" w:hAnsi="宋体" w:cs="宋体"/>
          <w:kern w:val="0"/>
          <w:sz w:val="24"/>
          <w:szCs w:val="24"/>
        </w:rPr>
        <w:t>以上备查文件存放在基金管理人和基金托管人的办公场所，在办公时间可供免费查阅。</w:t>
      </w:r>
    </w:p>
    <w:p w14:paraId="1305FA13" w14:textId="77777777" w:rsidR="00AE2B28" w:rsidRDefault="00B67EDE">
      <w:pPr>
        <w:pStyle w:val="div"/>
        <w:spacing w:line="360" w:lineRule="auto"/>
        <w:ind w:firstLine="420"/>
        <w:jc w:val="right"/>
        <w:rPr>
          <w:rFonts w:eastAsia="Times New Roman"/>
          <w:kern w:val="0"/>
          <w:sz w:val="24"/>
          <w:szCs w:val="24"/>
        </w:rPr>
      </w:pPr>
      <w:r>
        <w:rPr>
          <w:rFonts w:ascii="宋体" w:hAnsi="宋体" w:cs="宋体"/>
          <w:kern w:val="0"/>
          <w:sz w:val="24"/>
          <w:szCs w:val="24"/>
        </w:rPr>
        <w:t>汇添富基金管理股份有限公司</w:t>
      </w:r>
    </w:p>
    <w:p w14:paraId="675765F2" w14:textId="136E4B55" w:rsidR="00AE2B28" w:rsidRDefault="00C53084">
      <w:pPr>
        <w:pStyle w:val="div"/>
        <w:spacing w:line="360" w:lineRule="auto"/>
        <w:ind w:firstLine="420"/>
        <w:jc w:val="right"/>
        <w:rPr>
          <w:rFonts w:eastAsia="Times New Roman"/>
          <w:kern w:val="0"/>
          <w:sz w:val="24"/>
          <w:szCs w:val="24"/>
        </w:rPr>
      </w:pPr>
      <w:r>
        <w:rPr>
          <w:rFonts w:ascii="宋体" w:hAnsi="宋体" w:cs="宋体"/>
          <w:kern w:val="0"/>
          <w:sz w:val="24"/>
          <w:szCs w:val="24"/>
        </w:rPr>
        <w:t>2026</w:t>
      </w:r>
      <w:r w:rsidR="00B67EDE">
        <w:rPr>
          <w:rFonts w:ascii="宋体" w:hAnsi="宋体" w:cs="宋体"/>
          <w:kern w:val="0"/>
          <w:sz w:val="24"/>
          <w:szCs w:val="24"/>
        </w:rPr>
        <w:t>年</w:t>
      </w:r>
      <w:r>
        <w:rPr>
          <w:rFonts w:ascii="宋体" w:hAnsi="宋体" w:cs="宋体"/>
          <w:kern w:val="0"/>
          <w:sz w:val="24"/>
          <w:szCs w:val="24"/>
        </w:rPr>
        <w:t>7</w:t>
      </w:r>
      <w:r w:rsidR="00B67EDE">
        <w:rPr>
          <w:rFonts w:ascii="宋体" w:hAnsi="宋体" w:cs="宋体"/>
          <w:kern w:val="0"/>
          <w:sz w:val="24"/>
          <w:szCs w:val="24"/>
        </w:rPr>
        <w:t>月</w:t>
      </w:r>
      <w:r>
        <w:rPr>
          <w:rFonts w:ascii="宋体" w:hAnsi="宋体" w:cs="宋体"/>
          <w:kern w:val="0"/>
          <w:sz w:val="24"/>
          <w:szCs w:val="24"/>
        </w:rPr>
        <w:t>1</w:t>
      </w:r>
      <w:r w:rsidR="00B67EDE">
        <w:rPr>
          <w:rFonts w:ascii="宋体" w:hAnsi="宋体" w:cs="宋体"/>
          <w:kern w:val="0"/>
          <w:sz w:val="24"/>
          <w:szCs w:val="24"/>
        </w:rPr>
        <w:t>日</w:t>
      </w:r>
    </w:p>
    <w:sectPr w:rsidR="00AE2B28" w:rsidSect="0055201B">
      <w:footerReference w:type="default" r:id="rId19"/>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55E7C5" w16cid:durableId="2D7134A8"/>
  <w16cid:commentId w16cid:paraId="04EEA86B" w16cid:durableId="2D713C7C"/>
  <w16cid:commentId w16cid:paraId="08FA07B4" w16cid:durableId="2D7134D9"/>
  <w16cid:commentId w16cid:paraId="7878D3B5" w16cid:durableId="2D713726"/>
  <w16cid:commentId w16cid:paraId="211045C9" w16cid:durableId="2D7623CB"/>
  <w16cid:commentId w16cid:paraId="72D81DA2" w16cid:durableId="2D7624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2D4F9" w14:textId="77777777" w:rsidR="00776D56" w:rsidRDefault="00776D56">
      <w:r>
        <w:separator/>
      </w:r>
    </w:p>
  </w:endnote>
  <w:endnote w:type="continuationSeparator" w:id="0">
    <w:p w14:paraId="1FB22352" w14:textId="77777777" w:rsidR="00776D56" w:rsidRDefault="0077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0FEB6" w14:textId="77777777" w:rsidR="00AF7BFE" w:rsidRPr="00A77AE9" w:rsidRDefault="00AF7BFE" w:rsidP="00A77AE9">
    <w:pPr>
      <w:pStyle w:val="af1"/>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346627"/>
      <w:docPartObj>
        <w:docPartGallery w:val="Page Numbers (Bottom of Page)"/>
        <w:docPartUnique/>
      </w:docPartObj>
    </w:sdtPr>
    <w:sdtEndPr/>
    <w:sdtContent>
      <w:p w14:paraId="51C8985A" w14:textId="77777777" w:rsidR="00AF7BFE" w:rsidRPr="0024488F" w:rsidRDefault="00AF7BFE" w:rsidP="0024488F">
        <w:pPr>
          <w:pStyle w:val="af1"/>
          <w:jc w:val="center"/>
        </w:pPr>
        <w:r>
          <w:fldChar w:fldCharType="begin"/>
        </w:r>
        <w:r>
          <w:instrText>PAGE   \* MERGEFORMAT</w:instrText>
        </w:r>
        <w:r>
          <w:fldChar w:fldCharType="separate"/>
        </w:r>
        <w:r w:rsidR="008B02AA" w:rsidRPr="008B02AA">
          <w:rPr>
            <w:noProof/>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739671"/>
      <w:docPartObj>
        <w:docPartGallery w:val="Page Numbers (Bottom of Page)"/>
        <w:docPartUnique/>
      </w:docPartObj>
    </w:sdtPr>
    <w:sdtEndPr/>
    <w:sdtContent>
      <w:p w14:paraId="16CE65AC" w14:textId="77777777" w:rsidR="00AF7BFE" w:rsidRPr="0024488F" w:rsidRDefault="00AF7BFE" w:rsidP="0024488F">
        <w:pPr>
          <w:pStyle w:val="af1"/>
          <w:jc w:val="center"/>
        </w:pPr>
        <w:r>
          <w:fldChar w:fldCharType="begin"/>
        </w:r>
        <w:r>
          <w:instrText>PAGE   \* MERGEFORMAT</w:instrText>
        </w:r>
        <w:r>
          <w:fldChar w:fldCharType="separate"/>
        </w:r>
        <w:r w:rsidR="008B02AA" w:rsidRPr="008B02AA">
          <w:rPr>
            <w:noProof/>
            <w:lang w:val="zh-CN"/>
          </w:rPr>
          <w:t>155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1EBD9" w14:textId="77777777" w:rsidR="00776D56" w:rsidRDefault="00776D56">
      <w:r>
        <w:separator/>
      </w:r>
    </w:p>
  </w:footnote>
  <w:footnote w:type="continuationSeparator" w:id="0">
    <w:p w14:paraId="7317952F" w14:textId="77777777" w:rsidR="00776D56" w:rsidRDefault="00776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A167F" w14:textId="686E35AC" w:rsidR="00AF7BFE" w:rsidRDefault="00AF7BFE" w:rsidP="00F14601">
    <w:pPr>
      <w:pStyle w:val="a7"/>
      <w:tabs>
        <w:tab w:val="clear" w:pos="4153"/>
      </w:tabs>
      <w:jc w:val="left"/>
    </w:pPr>
    <w:r>
      <w:rPr>
        <w:noProof/>
      </w:rPr>
      <w:t>汇添富金融优选混合型发起式证券投资基金</w:t>
    </w:r>
    <w:r>
      <w:rPr>
        <w:noProof/>
      </w:rPr>
      <w:tab/>
    </w:r>
    <w:r>
      <w:rPr>
        <w:rFonts w:hint="eastAsia"/>
      </w:rPr>
      <w:t>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E643BC9"/>
    <w:multiLevelType w:val="hybridMultilevel"/>
    <w:tmpl w:val="F108657E"/>
    <w:lvl w:ilvl="0" w:tplc="9146B258">
      <w:start w:val="1"/>
      <w:numFmt w:val="lowerRoman"/>
      <w:lvlText w:val="%1."/>
      <w:lvlJc w:val="right"/>
      <w:pPr>
        <w:ind w:left="900" w:hanging="420"/>
      </w:pPr>
      <w:rPr>
        <w:rFonts w:hint="eastAsia"/>
      </w:rPr>
    </w:lvl>
    <w:lvl w:ilvl="1" w:tplc="733435AA" w:tentative="1">
      <w:start w:val="1"/>
      <w:numFmt w:val="lowerLetter"/>
      <w:lvlText w:val="%2)"/>
      <w:lvlJc w:val="left"/>
      <w:pPr>
        <w:ind w:left="1320" w:hanging="420"/>
      </w:pPr>
    </w:lvl>
    <w:lvl w:ilvl="2" w:tplc="2020DD5A" w:tentative="1">
      <w:start w:val="1"/>
      <w:numFmt w:val="lowerRoman"/>
      <w:lvlText w:val="%3."/>
      <w:lvlJc w:val="right"/>
      <w:pPr>
        <w:ind w:left="1740" w:hanging="420"/>
      </w:pPr>
    </w:lvl>
    <w:lvl w:ilvl="3" w:tplc="65446038" w:tentative="1">
      <w:start w:val="1"/>
      <w:numFmt w:val="decimal"/>
      <w:lvlText w:val="%4."/>
      <w:lvlJc w:val="left"/>
      <w:pPr>
        <w:ind w:left="2160" w:hanging="420"/>
      </w:pPr>
    </w:lvl>
    <w:lvl w:ilvl="4" w:tplc="D466E9D8" w:tentative="1">
      <w:start w:val="1"/>
      <w:numFmt w:val="lowerLetter"/>
      <w:lvlText w:val="%5)"/>
      <w:lvlJc w:val="left"/>
      <w:pPr>
        <w:ind w:left="2580" w:hanging="420"/>
      </w:pPr>
    </w:lvl>
    <w:lvl w:ilvl="5" w:tplc="C5029996" w:tentative="1">
      <w:start w:val="1"/>
      <w:numFmt w:val="lowerRoman"/>
      <w:lvlText w:val="%6."/>
      <w:lvlJc w:val="right"/>
      <w:pPr>
        <w:ind w:left="3000" w:hanging="420"/>
      </w:pPr>
    </w:lvl>
    <w:lvl w:ilvl="6" w:tplc="B21A0B0E" w:tentative="1">
      <w:start w:val="1"/>
      <w:numFmt w:val="decimal"/>
      <w:lvlText w:val="%7."/>
      <w:lvlJc w:val="left"/>
      <w:pPr>
        <w:ind w:left="3420" w:hanging="420"/>
      </w:pPr>
    </w:lvl>
    <w:lvl w:ilvl="7" w:tplc="8D7EB168" w:tentative="1">
      <w:start w:val="1"/>
      <w:numFmt w:val="lowerLetter"/>
      <w:lvlText w:val="%8)"/>
      <w:lvlJc w:val="left"/>
      <w:pPr>
        <w:ind w:left="3840" w:hanging="420"/>
      </w:pPr>
    </w:lvl>
    <w:lvl w:ilvl="8" w:tplc="91CCE7DE" w:tentative="1">
      <w:start w:val="1"/>
      <w:numFmt w:val="lowerRoman"/>
      <w:lvlText w:val="%9."/>
      <w:lvlJc w:val="right"/>
      <w:pPr>
        <w:ind w:left="4260" w:hanging="420"/>
      </w:pPr>
    </w:lvl>
  </w:abstractNum>
  <w:abstractNum w:abstractNumId="3">
    <w:nsid w:val="1E86392D"/>
    <w:multiLevelType w:val="hybridMultilevel"/>
    <w:tmpl w:val="73120538"/>
    <w:lvl w:ilvl="0" w:tplc="71264DF4">
      <w:start w:val="1"/>
      <w:numFmt w:val="decimal"/>
      <w:lvlText w:val="1.%1."/>
      <w:lvlJc w:val="left"/>
      <w:pPr>
        <w:ind w:left="900" w:hanging="420"/>
      </w:pPr>
      <w:rPr>
        <w:rFonts w:hint="eastAsia"/>
      </w:rPr>
    </w:lvl>
    <w:lvl w:ilvl="1" w:tplc="1B7E2C3E" w:tentative="1">
      <w:start w:val="1"/>
      <w:numFmt w:val="lowerLetter"/>
      <w:lvlText w:val="%2)"/>
      <w:lvlJc w:val="left"/>
      <w:pPr>
        <w:ind w:left="1320" w:hanging="420"/>
      </w:pPr>
    </w:lvl>
    <w:lvl w:ilvl="2" w:tplc="BCF0CA1E" w:tentative="1">
      <w:start w:val="1"/>
      <w:numFmt w:val="lowerRoman"/>
      <w:lvlText w:val="%3."/>
      <w:lvlJc w:val="right"/>
      <w:pPr>
        <w:ind w:left="1740" w:hanging="420"/>
      </w:pPr>
    </w:lvl>
    <w:lvl w:ilvl="3" w:tplc="65B89C0A" w:tentative="1">
      <w:start w:val="1"/>
      <w:numFmt w:val="decimal"/>
      <w:lvlText w:val="%4."/>
      <w:lvlJc w:val="left"/>
      <w:pPr>
        <w:ind w:left="2160" w:hanging="420"/>
      </w:pPr>
    </w:lvl>
    <w:lvl w:ilvl="4" w:tplc="B582BDDE" w:tentative="1">
      <w:start w:val="1"/>
      <w:numFmt w:val="lowerLetter"/>
      <w:lvlText w:val="%5)"/>
      <w:lvlJc w:val="left"/>
      <w:pPr>
        <w:ind w:left="2580" w:hanging="420"/>
      </w:pPr>
    </w:lvl>
    <w:lvl w:ilvl="5" w:tplc="7F184AC0" w:tentative="1">
      <w:start w:val="1"/>
      <w:numFmt w:val="lowerRoman"/>
      <w:lvlText w:val="%6."/>
      <w:lvlJc w:val="right"/>
      <w:pPr>
        <w:ind w:left="3000" w:hanging="420"/>
      </w:pPr>
    </w:lvl>
    <w:lvl w:ilvl="6" w:tplc="36140332" w:tentative="1">
      <w:start w:val="1"/>
      <w:numFmt w:val="decimal"/>
      <w:lvlText w:val="%7."/>
      <w:lvlJc w:val="left"/>
      <w:pPr>
        <w:ind w:left="3420" w:hanging="420"/>
      </w:pPr>
    </w:lvl>
    <w:lvl w:ilvl="7" w:tplc="F1606FCA" w:tentative="1">
      <w:start w:val="1"/>
      <w:numFmt w:val="lowerLetter"/>
      <w:lvlText w:val="%8)"/>
      <w:lvlJc w:val="left"/>
      <w:pPr>
        <w:ind w:left="3840" w:hanging="420"/>
      </w:pPr>
    </w:lvl>
    <w:lvl w:ilvl="8" w:tplc="153CF0BC" w:tentative="1">
      <w:start w:val="1"/>
      <w:numFmt w:val="lowerRoman"/>
      <w:lvlText w:val="%9."/>
      <w:lvlJc w:val="right"/>
      <w:pPr>
        <w:ind w:left="4260" w:hanging="420"/>
      </w:pPr>
    </w:lvl>
  </w:abstractNum>
  <w:abstractNum w:abstractNumId="4">
    <w:nsid w:val="247E28A3"/>
    <w:multiLevelType w:val="hybridMultilevel"/>
    <w:tmpl w:val="699A8FC6"/>
    <w:lvl w:ilvl="0" w:tplc="CEEA5B6C">
      <w:start w:val="1"/>
      <w:numFmt w:val="lowerRoman"/>
      <w:lvlText w:val="%1."/>
      <w:lvlJc w:val="right"/>
      <w:pPr>
        <w:ind w:left="900" w:hanging="420"/>
      </w:pPr>
      <w:rPr>
        <w:rFonts w:hint="eastAsia"/>
      </w:rPr>
    </w:lvl>
    <w:lvl w:ilvl="1" w:tplc="C88C3378" w:tentative="1">
      <w:start w:val="1"/>
      <w:numFmt w:val="lowerLetter"/>
      <w:lvlText w:val="%2)"/>
      <w:lvlJc w:val="left"/>
      <w:pPr>
        <w:ind w:left="840" w:hanging="420"/>
      </w:pPr>
    </w:lvl>
    <w:lvl w:ilvl="2" w:tplc="EE420350" w:tentative="1">
      <w:start w:val="1"/>
      <w:numFmt w:val="lowerRoman"/>
      <w:lvlText w:val="%3."/>
      <w:lvlJc w:val="right"/>
      <w:pPr>
        <w:ind w:left="1260" w:hanging="420"/>
      </w:pPr>
    </w:lvl>
    <w:lvl w:ilvl="3" w:tplc="94B4409E" w:tentative="1">
      <w:start w:val="1"/>
      <w:numFmt w:val="decimal"/>
      <w:lvlText w:val="%4."/>
      <w:lvlJc w:val="left"/>
      <w:pPr>
        <w:ind w:left="1680" w:hanging="420"/>
      </w:pPr>
    </w:lvl>
    <w:lvl w:ilvl="4" w:tplc="7C380730" w:tentative="1">
      <w:start w:val="1"/>
      <w:numFmt w:val="lowerLetter"/>
      <w:lvlText w:val="%5)"/>
      <w:lvlJc w:val="left"/>
      <w:pPr>
        <w:ind w:left="2100" w:hanging="420"/>
      </w:pPr>
    </w:lvl>
    <w:lvl w:ilvl="5" w:tplc="2514B7B2" w:tentative="1">
      <w:start w:val="1"/>
      <w:numFmt w:val="lowerRoman"/>
      <w:lvlText w:val="%6."/>
      <w:lvlJc w:val="right"/>
      <w:pPr>
        <w:ind w:left="2520" w:hanging="420"/>
      </w:pPr>
    </w:lvl>
    <w:lvl w:ilvl="6" w:tplc="B4C8D7A0" w:tentative="1">
      <w:start w:val="1"/>
      <w:numFmt w:val="decimal"/>
      <w:lvlText w:val="%7."/>
      <w:lvlJc w:val="left"/>
      <w:pPr>
        <w:ind w:left="2940" w:hanging="420"/>
      </w:pPr>
    </w:lvl>
    <w:lvl w:ilvl="7" w:tplc="9BFCB3D8" w:tentative="1">
      <w:start w:val="1"/>
      <w:numFmt w:val="lowerLetter"/>
      <w:lvlText w:val="%8)"/>
      <w:lvlJc w:val="left"/>
      <w:pPr>
        <w:ind w:left="3360" w:hanging="420"/>
      </w:pPr>
    </w:lvl>
    <w:lvl w:ilvl="8" w:tplc="0BCAB0B2" w:tentative="1">
      <w:start w:val="1"/>
      <w:numFmt w:val="lowerRoman"/>
      <w:lvlText w:val="%9."/>
      <w:lvlJc w:val="right"/>
      <w:pPr>
        <w:ind w:left="3780" w:hanging="420"/>
      </w:pPr>
    </w:lvl>
  </w:abstractNum>
  <w:abstractNum w:abstractNumId="5">
    <w:nsid w:val="49771199"/>
    <w:multiLevelType w:val="hybridMultilevel"/>
    <w:tmpl w:val="B406E642"/>
    <w:lvl w:ilvl="0" w:tplc="B9E65E62">
      <w:start w:val="1"/>
      <w:numFmt w:val="decimal"/>
      <w:lvlText w:val="%1）"/>
      <w:lvlJc w:val="left"/>
      <w:pPr>
        <w:ind w:left="840" w:hanging="360"/>
      </w:pPr>
      <w:rPr>
        <w:rFonts w:hint="default"/>
      </w:rPr>
    </w:lvl>
    <w:lvl w:ilvl="1" w:tplc="46EAFD72" w:tentative="1">
      <w:start w:val="1"/>
      <w:numFmt w:val="lowerLetter"/>
      <w:lvlText w:val="%2)"/>
      <w:lvlJc w:val="left"/>
      <w:pPr>
        <w:ind w:left="1320" w:hanging="420"/>
      </w:pPr>
    </w:lvl>
    <w:lvl w:ilvl="2" w:tplc="AAD06D64" w:tentative="1">
      <w:start w:val="1"/>
      <w:numFmt w:val="lowerRoman"/>
      <w:lvlText w:val="%3."/>
      <w:lvlJc w:val="right"/>
      <w:pPr>
        <w:ind w:left="1740" w:hanging="420"/>
      </w:pPr>
    </w:lvl>
    <w:lvl w:ilvl="3" w:tplc="F64A3F1C" w:tentative="1">
      <w:start w:val="1"/>
      <w:numFmt w:val="decimal"/>
      <w:lvlText w:val="%4."/>
      <w:lvlJc w:val="left"/>
      <w:pPr>
        <w:ind w:left="2160" w:hanging="420"/>
      </w:pPr>
    </w:lvl>
    <w:lvl w:ilvl="4" w:tplc="78F25C02" w:tentative="1">
      <w:start w:val="1"/>
      <w:numFmt w:val="lowerLetter"/>
      <w:lvlText w:val="%5)"/>
      <w:lvlJc w:val="left"/>
      <w:pPr>
        <w:ind w:left="2580" w:hanging="420"/>
      </w:pPr>
    </w:lvl>
    <w:lvl w:ilvl="5" w:tplc="177899E2" w:tentative="1">
      <w:start w:val="1"/>
      <w:numFmt w:val="lowerRoman"/>
      <w:lvlText w:val="%6."/>
      <w:lvlJc w:val="right"/>
      <w:pPr>
        <w:ind w:left="3000" w:hanging="420"/>
      </w:pPr>
    </w:lvl>
    <w:lvl w:ilvl="6" w:tplc="0462698E" w:tentative="1">
      <w:start w:val="1"/>
      <w:numFmt w:val="decimal"/>
      <w:lvlText w:val="%7."/>
      <w:lvlJc w:val="left"/>
      <w:pPr>
        <w:ind w:left="3420" w:hanging="420"/>
      </w:pPr>
    </w:lvl>
    <w:lvl w:ilvl="7" w:tplc="C282AFDA" w:tentative="1">
      <w:start w:val="1"/>
      <w:numFmt w:val="lowerLetter"/>
      <w:lvlText w:val="%8)"/>
      <w:lvlJc w:val="left"/>
      <w:pPr>
        <w:ind w:left="3840" w:hanging="420"/>
      </w:pPr>
    </w:lvl>
    <w:lvl w:ilvl="8" w:tplc="AD4267E8" w:tentative="1">
      <w:start w:val="1"/>
      <w:numFmt w:val="lowerRoman"/>
      <w:lvlText w:val="%9."/>
      <w:lvlJc w:val="right"/>
      <w:pPr>
        <w:ind w:left="4260" w:hanging="420"/>
      </w:pPr>
    </w:lvl>
  </w:abstractNum>
  <w:abstractNum w:abstractNumId="6">
    <w:nsid w:val="51E216DA"/>
    <w:multiLevelType w:val="hybridMultilevel"/>
    <w:tmpl w:val="997A61C2"/>
    <w:lvl w:ilvl="0" w:tplc="201E6268">
      <w:start w:val="1"/>
      <w:numFmt w:val="decimal"/>
      <w:lvlText w:val="（%1）"/>
      <w:lvlJc w:val="left"/>
      <w:pPr>
        <w:ind w:left="1200" w:hanging="720"/>
      </w:pPr>
      <w:rPr>
        <w:rFonts w:hint="default"/>
      </w:rPr>
    </w:lvl>
    <w:lvl w:ilvl="1" w:tplc="A690599C" w:tentative="1">
      <w:start w:val="1"/>
      <w:numFmt w:val="lowerLetter"/>
      <w:lvlText w:val="%2)"/>
      <w:lvlJc w:val="left"/>
      <w:pPr>
        <w:ind w:left="1320" w:hanging="420"/>
      </w:pPr>
    </w:lvl>
    <w:lvl w:ilvl="2" w:tplc="25C45CCA" w:tentative="1">
      <w:start w:val="1"/>
      <w:numFmt w:val="lowerRoman"/>
      <w:lvlText w:val="%3."/>
      <w:lvlJc w:val="right"/>
      <w:pPr>
        <w:ind w:left="1740" w:hanging="420"/>
      </w:pPr>
    </w:lvl>
    <w:lvl w:ilvl="3" w:tplc="0C3CDDFC" w:tentative="1">
      <w:start w:val="1"/>
      <w:numFmt w:val="decimal"/>
      <w:lvlText w:val="%4."/>
      <w:lvlJc w:val="left"/>
      <w:pPr>
        <w:ind w:left="2160" w:hanging="420"/>
      </w:pPr>
    </w:lvl>
    <w:lvl w:ilvl="4" w:tplc="ADFC4F50" w:tentative="1">
      <w:start w:val="1"/>
      <w:numFmt w:val="lowerLetter"/>
      <w:lvlText w:val="%5)"/>
      <w:lvlJc w:val="left"/>
      <w:pPr>
        <w:ind w:left="2580" w:hanging="420"/>
      </w:pPr>
    </w:lvl>
    <w:lvl w:ilvl="5" w:tplc="1E76D5A4" w:tentative="1">
      <w:start w:val="1"/>
      <w:numFmt w:val="lowerRoman"/>
      <w:lvlText w:val="%6."/>
      <w:lvlJc w:val="right"/>
      <w:pPr>
        <w:ind w:left="3000" w:hanging="420"/>
      </w:pPr>
    </w:lvl>
    <w:lvl w:ilvl="6" w:tplc="7584A316" w:tentative="1">
      <w:start w:val="1"/>
      <w:numFmt w:val="decimal"/>
      <w:lvlText w:val="%7."/>
      <w:lvlJc w:val="left"/>
      <w:pPr>
        <w:ind w:left="3420" w:hanging="420"/>
      </w:pPr>
    </w:lvl>
    <w:lvl w:ilvl="7" w:tplc="220CA636" w:tentative="1">
      <w:start w:val="1"/>
      <w:numFmt w:val="lowerLetter"/>
      <w:lvlText w:val="%8)"/>
      <w:lvlJc w:val="left"/>
      <w:pPr>
        <w:ind w:left="3840" w:hanging="420"/>
      </w:pPr>
    </w:lvl>
    <w:lvl w:ilvl="8" w:tplc="133896D6" w:tentative="1">
      <w:start w:val="1"/>
      <w:numFmt w:val="lowerRoman"/>
      <w:lvlText w:val="%9."/>
      <w:lvlJc w:val="right"/>
      <w:pPr>
        <w:ind w:left="4260" w:hanging="420"/>
      </w:pPr>
    </w:lvl>
  </w:abstractNum>
  <w:abstractNum w:abstractNumId="7">
    <w:nsid w:val="5A860B59"/>
    <w:multiLevelType w:val="hybridMultilevel"/>
    <w:tmpl w:val="72E65FD6"/>
    <w:lvl w:ilvl="0" w:tplc="2294DA08">
      <w:start w:val="1"/>
      <w:numFmt w:val="decimalEnclosedCircle"/>
      <w:lvlText w:val="%1"/>
      <w:lvlJc w:val="left"/>
      <w:pPr>
        <w:ind w:left="360" w:hanging="360"/>
      </w:pPr>
      <w:rPr>
        <w:rFonts w:hint="default"/>
      </w:rPr>
    </w:lvl>
    <w:lvl w:ilvl="1" w:tplc="0D861306" w:tentative="1">
      <w:start w:val="1"/>
      <w:numFmt w:val="lowerLetter"/>
      <w:lvlText w:val="%2)"/>
      <w:lvlJc w:val="left"/>
      <w:pPr>
        <w:ind w:left="840" w:hanging="420"/>
      </w:pPr>
    </w:lvl>
    <w:lvl w:ilvl="2" w:tplc="0D528350" w:tentative="1">
      <w:start w:val="1"/>
      <w:numFmt w:val="lowerRoman"/>
      <w:lvlText w:val="%3."/>
      <w:lvlJc w:val="right"/>
      <w:pPr>
        <w:ind w:left="1260" w:hanging="420"/>
      </w:pPr>
    </w:lvl>
    <w:lvl w:ilvl="3" w:tplc="FCC48C2C" w:tentative="1">
      <w:start w:val="1"/>
      <w:numFmt w:val="decimal"/>
      <w:lvlText w:val="%4."/>
      <w:lvlJc w:val="left"/>
      <w:pPr>
        <w:ind w:left="1680" w:hanging="420"/>
      </w:pPr>
    </w:lvl>
    <w:lvl w:ilvl="4" w:tplc="0EBE0EB0" w:tentative="1">
      <w:start w:val="1"/>
      <w:numFmt w:val="lowerLetter"/>
      <w:lvlText w:val="%5)"/>
      <w:lvlJc w:val="left"/>
      <w:pPr>
        <w:ind w:left="2100" w:hanging="420"/>
      </w:pPr>
    </w:lvl>
    <w:lvl w:ilvl="5" w:tplc="BE0417A6" w:tentative="1">
      <w:start w:val="1"/>
      <w:numFmt w:val="lowerRoman"/>
      <w:lvlText w:val="%6."/>
      <w:lvlJc w:val="right"/>
      <w:pPr>
        <w:ind w:left="2520" w:hanging="420"/>
      </w:pPr>
    </w:lvl>
    <w:lvl w:ilvl="6" w:tplc="8D14DD36" w:tentative="1">
      <w:start w:val="1"/>
      <w:numFmt w:val="decimal"/>
      <w:lvlText w:val="%7."/>
      <w:lvlJc w:val="left"/>
      <w:pPr>
        <w:ind w:left="2940" w:hanging="420"/>
      </w:pPr>
    </w:lvl>
    <w:lvl w:ilvl="7" w:tplc="EE780EAC" w:tentative="1">
      <w:start w:val="1"/>
      <w:numFmt w:val="lowerLetter"/>
      <w:lvlText w:val="%8)"/>
      <w:lvlJc w:val="left"/>
      <w:pPr>
        <w:ind w:left="3360" w:hanging="420"/>
      </w:pPr>
    </w:lvl>
    <w:lvl w:ilvl="8" w:tplc="1F6A93A0" w:tentative="1">
      <w:start w:val="1"/>
      <w:numFmt w:val="lowerRoman"/>
      <w:lvlText w:val="%9."/>
      <w:lvlJc w:val="right"/>
      <w:pPr>
        <w:ind w:left="3780" w:hanging="420"/>
      </w:pPr>
    </w:lvl>
  </w:abstractNum>
  <w:abstractNum w:abstractNumId="8">
    <w:nsid w:val="5B28C0D8"/>
    <w:multiLevelType w:val="singleLevel"/>
    <w:tmpl w:val="5B28C0D8"/>
    <w:lvl w:ilvl="0">
      <w:start w:val="6"/>
      <w:numFmt w:val="chineseCounting"/>
      <w:suff w:val="nothing"/>
      <w:lvlText w:val="%1、"/>
      <w:lvlJc w:val="left"/>
    </w:lvl>
  </w:abstractNum>
  <w:abstractNum w:abstractNumId="9">
    <w:nsid w:val="5BD27EBD"/>
    <w:multiLevelType w:val="singleLevel"/>
    <w:tmpl w:val="5BD27EBD"/>
    <w:lvl w:ilvl="0">
      <w:start w:val="3"/>
      <w:numFmt w:val="chineseCounting"/>
      <w:suff w:val="nothing"/>
      <w:lvlText w:val="%1、"/>
      <w:lvlJc w:val="left"/>
    </w:lvl>
  </w:abstractNum>
  <w:abstractNum w:abstractNumId="10">
    <w:nsid w:val="614E4323"/>
    <w:multiLevelType w:val="hybridMultilevel"/>
    <w:tmpl w:val="BF34A04A"/>
    <w:lvl w:ilvl="0" w:tplc="9D540F4A">
      <w:start w:val="1"/>
      <w:numFmt w:val="lowerRoman"/>
      <w:lvlText w:val="%1."/>
      <w:lvlJc w:val="right"/>
      <w:pPr>
        <w:ind w:left="900" w:hanging="420"/>
      </w:pPr>
    </w:lvl>
    <w:lvl w:ilvl="1" w:tplc="0C6CE574" w:tentative="1">
      <w:start w:val="1"/>
      <w:numFmt w:val="lowerLetter"/>
      <w:lvlText w:val="%2)"/>
      <w:lvlJc w:val="left"/>
      <w:pPr>
        <w:ind w:left="1320" w:hanging="420"/>
      </w:pPr>
    </w:lvl>
    <w:lvl w:ilvl="2" w:tplc="48C077B6" w:tentative="1">
      <w:start w:val="1"/>
      <w:numFmt w:val="lowerRoman"/>
      <w:lvlText w:val="%3."/>
      <w:lvlJc w:val="right"/>
      <w:pPr>
        <w:ind w:left="1740" w:hanging="420"/>
      </w:pPr>
    </w:lvl>
    <w:lvl w:ilvl="3" w:tplc="DE1EB388" w:tentative="1">
      <w:start w:val="1"/>
      <w:numFmt w:val="decimal"/>
      <w:lvlText w:val="%4."/>
      <w:lvlJc w:val="left"/>
      <w:pPr>
        <w:ind w:left="2160" w:hanging="420"/>
      </w:pPr>
    </w:lvl>
    <w:lvl w:ilvl="4" w:tplc="D93C6DA2" w:tentative="1">
      <w:start w:val="1"/>
      <w:numFmt w:val="lowerLetter"/>
      <w:lvlText w:val="%5)"/>
      <w:lvlJc w:val="left"/>
      <w:pPr>
        <w:ind w:left="2580" w:hanging="420"/>
      </w:pPr>
    </w:lvl>
    <w:lvl w:ilvl="5" w:tplc="3F60BB1C" w:tentative="1">
      <w:start w:val="1"/>
      <w:numFmt w:val="lowerRoman"/>
      <w:lvlText w:val="%6."/>
      <w:lvlJc w:val="right"/>
      <w:pPr>
        <w:ind w:left="3000" w:hanging="420"/>
      </w:pPr>
    </w:lvl>
    <w:lvl w:ilvl="6" w:tplc="A156D3FC" w:tentative="1">
      <w:start w:val="1"/>
      <w:numFmt w:val="decimal"/>
      <w:lvlText w:val="%7."/>
      <w:lvlJc w:val="left"/>
      <w:pPr>
        <w:ind w:left="3420" w:hanging="420"/>
      </w:pPr>
    </w:lvl>
    <w:lvl w:ilvl="7" w:tplc="16D65730" w:tentative="1">
      <w:start w:val="1"/>
      <w:numFmt w:val="lowerLetter"/>
      <w:lvlText w:val="%8)"/>
      <w:lvlJc w:val="left"/>
      <w:pPr>
        <w:ind w:left="3840" w:hanging="420"/>
      </w:pPr>
    </w:lvl>
    <w:lvl w:ilvl="8" w:tplc="44F00A4C" w:tentative="1">
      <w:start w:val="1"/>
      <w:numFmt w:val="lowerRoman"/>
      <w:lvlText w:val="%9."/>
      <w:lvlJc w:val="right"/>
      <w:pPr>
        <w:ind w:left="4260" w:hanging="420"/>
      </w:pPr>
    </w:lvl>
  </w:abstractNum>
  <w:abstractNum w:abstractNumId="11">
    <w:nsid w:val="7F7B5D5B"/>
    <w:multiLevelType w:val="hybridMultilevel"/>
    <w:tmpl w:val="AA78389E"/>
    <w:lvl w:ilvl="0" w:tplc="ED521484">
      <w:start w:val="1"/>
      <w:numFmt w:val="decimal"/>
      <w:lvlText w:val="%1、"/>
      <w:lvlJc w:val="left"/>
      <w:pPr>
        <w:ind w:left="840" w:hanging="360"/>
      </w:pPr>
      <w:rPr>
        <w:rFonts w:ascii="Times New Roman" w:eastAsia="宋体" w:hAnsi="Times New Roman" w:hint="default"/>
        <w:sz w:val="24"/>
      </w:rPr>
    </w:lvl>
    <w:lvl w:ilvl="1" w:tplc="732E1A08" w:tentative="1">
      <w:start w:val="1"/>
      <w:numFmt w:val="lowerLetter"/>
      <w:lvlText w:val="%2)"/>
      <w:lvlJc w:val="left"/>
      <w:pPr>
        <w:ind w:left="1320" w:hanging="420"/>
      </w:pPr>
    </w:lvl>
    <w:lvl w:ilvl="2" w:tplc="17961440" w:tentative="1">
      <w:start w:val="1"/>
      <w:numFmt w:val="lowerRoman"/>
      <w:lvlText w:val="%3."/>
      <w:lvlJc w:val="right"/>
      <w:pPr>
        <w:ind w:left="1740" w:hanging="420"/>
      </w:pPr>
    </w:lvl>
    <w:lvl w:ilvl="3" w:tplc="2866329E" w:tentative="1">
      <w:start w:val="1"/>
      <w:numFmt w:val="decimal"/>
      <w:lvlText w:val="%4."/>
      <w:lvlJc w:val="left"/>
      <w:pPr>
        <w:ind w:left="2160" w:hanging="420"/>
      </w:pPr>
    </w:lvl>
    <w:lvl w:ilvl="4" w:tplc="564C1BDA" w:tentative="1">
      <w:start w:val="1"/>
      <w:numFmt w:val="lowerLetter"/>
      <w:lvlText w:val="%5)"/>
      <w:lvlJc w:val="left"/>
      <w:pPr>
        <w:ind w:left="2580" w:hanging="420"/>
      </w:pPr>
    </w:lvl>
    <w:lvl w:ilvl="5" w:tplc="FD703DD0" w:tentative="1">
      <w:start w:val="1"/>
      <w:numFmt w:val="lowerRoman"/>
      <w:lvlText w:val="%6."/>
      <w:lvlJc w:val="right"/>
      <w:pPr>
        <w:ind w:left="3000" w:hanging="420"/>
      </w:pPr>
    </w:lvl>
    <w:lvl w:ilvl="6" w:tplc="C05AED3E" w:tentative="1">
      <w:start w:val="1"/>
      <w:numFmt w:val="decimal"/>
      <w:lvlText w:val="%7."/>
      <w:lvlJc w:val="left"/>
      <w:pPr>
        <w:ind w:left="3420" w:hanging="420"/>
      </w:pPr>
    </w:lvl>
    <w:lvl w:ilvl="7" w:tplc="2522EB8E" w:tentative="1">
      <w:start w:val="1"/>
      <w:numFmt w:val="lowerLetter"/>
      <w:lvlText w:val="%8)"/>
      <w:lvlJc w:val="left"/>
      <w:pPr>
        <w:ind w:left="3840" w:hanging="420"/>
      </w:pPr>
    </w:lvl>
    <w:lvl w:ilvl="8" w:tplc="3E522656" w:tentative="1">
      <w:start w:val="1"/>
      <w:numFmt w:val="lowerRoman"/>
      <w:lvlText w:val="%9."/>
      <w:lvlJc w:val="right"/>
      <w:pPr>
        <w:ind w:left="4260" w:hanging="420"/>
      </w:pPr>
    </w:lvl>
  </w:abstractNum>
  <w:abstractNum w:abstractNumId="12">
    <w:nsid w:val="7FED6DA0"/>
    <w:multiLevelType w:val="hybridMultilevel"/>
    <w:tmpl w:val="DDC8C464"/>
    <w:lvl w:ilvl="0" w:tplc="A3A8CBF8">
      <w:start w:val="1"/>
      <w:numFmt w:val="lowerRoman"/>
      <w:lvlText w:val="%1."/>
      <w:lvlJc w:val="right"/>
      <w:pPr>
        <w:ind w:left="360" w:hanging="360"/>
      </w:pPr>
      <w:rPr>
        <w:rFonts w:hint="eastAsia"/>
      </w:rPr>
    </w:lvl>
    <w:lvl w:ilvl="1" w:tplc="6D8ADB4E" w:tentative="1">
      <w:start w:val="1"/>
      <w:numFmt w:val="lowerLetter"/>
      <w:lvlText w:val="%2)"/>
      <w:lvlJc w:val="left"/>
      <w:pPr>
        <w:ind w:left="840" w:hanging="420"/>
      </w:pPr>
    </w:lvl>
    <w:lvl w:ilvl="2" w:tplc="DC462CAC" w:tentative="1">
      <w:start w:val="1"/>
      <w:numFmt w:val="lowerRoman"/>
      <w:lvlText w:val="%3."/>
      <w:lvlJc w:val="right"/>
      <w:pPr>
        <w:ind w:left="1260" w:hanging="420"/>
      </w:pPr>
    </w:lvl>
    <w:lvl w:ilvl="3" w:tplc="48184302" w:tentative="1">
      <w:start w:val="1"/>
      <w:numFmt w:val="decimal"/>
      <w:lvlText w:val="%4."/>
      <w:lvlJc w:val="left"/>
      <w:pPr>
        <w:ind w:left="1680" w:hanging="420"/>
      </w:pPr>
    </w:lvl>
    <w:lvl w:ilvl="4" w:tplc="224C0328" w:tentative="1">
      <w:start w:val="1"/>
      <w:numFmt w:val="lowerLetter"/>
      <w:lvlText w:val="%5)"/>
      <w:lvlJc w:val="left"/>
      <w:pPr>
        <w:ind w:left="2100" w:hanging="420"/>
      </w:pPr>
    </w:lvl>
    <w:lvl w:ilvl="5" w:tplc="59A8FB9A" w:tentative="1">
      <w:start w:val="1"/>
      <w:numFmt w:val="lowerRoman"/>
      <w:lvlText w:val="%6."/>
      <w:lvlJc w:val="right"/>
      <w:pPr>
        <w:ind w:left="2520" w:hanging="420"/>
      </w:pPr>
    </w:lvl>
    <w:lvl w:ilvl="6" w:tplc="0D606532" w:tentative="1">
      <w:start w:val="1"/>
      <w:numFmt w:val="decimal"/>
      <w:lvlText w:val="%7."/>
      <w:lvlJc w:val="left"/>
      <w:pPr>
        <w:ind w:left="2940" w:hanging="420"/>
      </w:pPr>
    </w:lvl>
    <w:lvl w:ilvl="7" w:tplc="8B580FDC" w:tentative="1">
      <w:start w:val="1"/>
      <w:numFmt w:val="lowerLetter"/>
      <w:lvlText w:val="%8)"/>
      <w:lvlJc w:val="left"/>
      <w:pPr>
        <w:ind w:left="3360" w:hanging="420"/>
      </w:pPr>
    </w:lvl>
    <w:lvl w:ilvl="8" w:tplc="C93A33AC" w:tentative="1">
      <w:start w:val="1"/>
      <w:numFmt w:val="lowerRoman"/>
      <w:lvlText w:val="%9."/>
      <w:lvlJc w:val="right"/>
      <w:pPr>
        <w:ind w:left="3780" w:hanging="420"/>
      </w:pPr>
    </w:lvl>
  </w:abstractNum>
  <w:num w:numId="1">
    <w:abstractNumId w:val="1"/>
  </w:num>
  <w:num w:numId="2">
    <w:abstractNumId w:val="0"/>
  </w:num>
  <w:num w:numId="3">
    <w:abstractNumId w:val="11"/>
  </w:num>
  <w:num w:numId="4">
    <w:abstractNumId w:val="8"/>
  </w:num>
  <w:num w:numId="5">
    <w:abstractNumId w:val="9"/>
  </w:num>
  <w:num w:numId="6">
    <w:abstractNumId w:val="5"/>
  </w:num>
  <w:num w:numId="7">
    <w:abstractNumId w:val="6"/>
  </w:num>
  <w:num w:numId="8">
    <w:abstractNumId w:val="7"/>
  </w:num>
  <w:num w:numId="9">
    <w:abstractNumId w:val="10"/>
  </w:num>
  <w:num w:numId="10">
    <w:abstractNumId w:val="2"/>
  </w:num>
  <w:num w:numId="11">
    <w:abstractNumId w:val="3"/>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1C"/>
    <w:rsid w:val="00001954"/>
    <w:rsid w:val="000028C2"/>
    <w:rsid w:val="00002AF1"/>
    <w:rsid w:val="00002B2F"/>
    <w:rsid w:val="00004542"/>
    <w:rsid w:val="00011FA0"/>
    <w:rsid w:val="00014CA0"/>
    <w:rsid w:val="000150FF"/>
    <w:rsid w:val="000155E7"/>
    <w:rsid w:val="0001599A"/>
    <w:rsid w:val="000159FE"/>
    <w:rsid w:val="00015ADF"/>
    <w:rsid w:val="00015B61"/>
    <w:rsid w:val="00016C0C"/>
    <w:rsid w:val="00016D49"/>
    <w:rsid w:val="000175EB"/>
    <w:rsid w:val="00017955"/>
    <w:rsid w:val="00017E0A"/>
    <w:rsid w:val="0002079A"/>
    <w:rsid w:val="00020F04"/>
    <w:rsid w:val="00022669"/>
    <w:rsid w:val="0002292E"/>
    <w:rsid w:val="000231E0"/>
    <w:rsid w:val="00026323"/>
    <w:rsid w:val="00026D9E"/>
    <w:rsid w:val="00032906"/>
    <w:rsid w:val="00032A5E"/>
    <w:rsid w:val="00035B3D"/>
    <w:rsid w:val="000402C2"/>
    <w:rsid w:val="00040E8E"/>
    <w:rsid w:val="000421FF"/>
    <w:rsid w:val="000425E1"/>
    <w:rsid w:val="00044193"/>
    <w:rsid w:val="0004568D"/>
    <w:rsid w:val="000464E5"/>
    <w:rsid w:val="000466DC"/>
    <w:rsid w:val="0005235A"/>
    <w:rsid w:val="00055194"/>
    <w:rsid w:val="00056035"/>
    <w:rsid w:val="00056089"/>
    <w:rsid w:val="00056B5C"/>
    <w:rsid w:val="0005789D"/>
    <w:rsid w:val="0006098B"/>
    <w:rsid w:val="0006588B"/>
    <w:rsid w:val="000658E8"/>
    <w:rsid w:val="00067658"/>
    <w:rsid w:val="000700C4"/>
    <w:rsid w:val="00072899"/>
    <w:rsid w:val="0007536D"/>
    <w:rsid w:val="00080338"/>
    <w:rsid w:val="0008313D"/>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231B"/>
    <w:rsid w:val="000D5B88"/>
    <w:rsid w:val="000E01C9"/>
    <w:rsid w:val="000E1B21"/>
    <w:rsid w:val="000E379A"/>
    <w:rsid w:val="000E46DC"/>
    <w:rsid w:val="000E7118"/>
    <w:rsid w:val="000F1390"/>
    <w:rsid w:val="000F2D8B"/>
    <w:rsid w:val="00100D07"/>
    <w:rsid w:val="00101D37"/>
    <w:rsid w:val="00103B75"/>
    <w:rsid w:val="00103ED6"/>
    <w:rsid w:val="001079D9"/>
    <w:rsid w:val="001104AD"/>
    <w:rsid w:val="0011068C"/>
    <w:rsid w:val="00110ABD"/>
    <w:rsid w:val="00112932"/>
    <w:rsid w:val="00113269"/>
    <w:rsid w:val="001134B3"/>
    <w:rsid w:val="001220F7"/>
    <w:rsid w:val="00122712"/>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353E"/>
    <w:rsid w:val="00174D1A"/>
    <w:rsid w:val="0017558A"/>
    <w:rsid w:val="0017750B"/>
    <w:rsid w:val="001813A6"/>
    <w:rsid w:val="00182814"/>
    <w:rsid w:val="00184368"/>
    <w:rsid w:val="00184A75"/>
    <w:rsid w:val="00184B76"/>
    <w:rsid w:val="00187BCF"/>
    <w:rsid w:val="0019240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B6D82"/>
    <w:rsid w:val="001C101B"/>
    <w:rsid w:val="001C1B8F"/>
    <w:rsid w:val="001C2331"/>
    <w:rsid w:val="001C4009"/>
    <w:rsid w:val="001C5537"/>
    <w:rsid w:val="001C6D6A"/>
    <w:rsid w:val="001C7B68"/>
    <w:rsid w:val="001D0BB2"/>
    <w:rsid w:val="001D57AF"/>
    <w:rsid w:val="001E094C"/>
    <w:rsid w:val="001E0FF2"/>
    <w:rsid w:val="001E2C2E"/>
    <w:rsid w:val="001E505C"/>
    <w:rsid w:val="001E58A7"/>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37FE2"/>
    <w:rsid w:val="00244337"/>
    <w:rsid w:val="0024488F"/>
    <w:rsid w:val="0024511A"/>
    <w:rsid w:val="00245AE5"/>
    <w:rsid w:val="0024674D"/>
    <w:rsid w:val="00251CDE"/>
    <w:rsid w:val="00261207"/>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87487"/>
    <w:rsid w:val="0028782A"/>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5A6F"/>
    <w:rsid w:val="002B72E5"/>
    <w:rsid w:val="002B7554"/>
    <w:rsid w:val="002C077B"/>
    <w:rsid w:val="002C28E2"/>
    <w:rsid w:val="002C3D58"/>
    <w:rsid w:val="002C59D2"/>
    <w:rsid w:val="002C7792"/>
    <w:rsid w:val="002C7A62"/>
    <w:rsid w:val="002D179A"/>
    <w:rsid w:val="002E0E13"/>
    <w:rsid w:val="002E3842"/>
    <w:rsid w:val="002E426E"/>
    <w:rsid w:val="002E5101"/>
    <w:rsid w:val="002E6AA0"/>
    <w:rsid w:val="002F0CE1"/>
    <w:rsid w:val="002F0DB6"/>
    <w:rsid w:val="002F1A4D"/>
    <w:rsid w:val="002F2B69"/>
    <w:rsid w:val="002F4328"/>
    <w:rsid w:val="002F4B13"/>
    <w:rsid w:val="002F6E80"/>
    <w:rsid w:val="00301208"/>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47925"/>
    <w:rsid w:val="003506C2"/>
    <w:rsid w:val="00351826"/>
    <w:rsid w:val="00351F38"/>
    <w:rsid w:val="003528FF"/>
    <w:rsid w:val="00352A25"/>
    <w:rsid w:val="00353D96"/>
    <w:rsid w:val="00357A08"/>
    <w:rsid w:val="0036095B"/>
    <w:rsid w:val="003610DF"/>
    <w:rsid w:val="00361178"/>
    <w:rsid w:val="00362023"/>
    <w:rsid w:val="003641E7"/>
    <w:rsid w:val="00365108"/>
    <w:rsid w:val="00365EDD"/>
    <w:rsid w:val="00370B76"/>
    <w:rsid w:val="00370BD6"/>
    <w:rsid w:val="003713B6"/>
    <w:rsid w:val="003714C1"/>
    <w:rsid w:val="00372795"/>
    <w:rsid w:val="003740DF"/>
    <w:rsid w:val="00376302"/>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04F"/>
    <w:rsid w:val="003964CB"/>
    <w:rsid w:val="003A0664"/>
    <w:rsid w:val="003A0ABC"/>
    <w:rsid w:val="003A10C0"/>
    <w:rsid w:val="003A12CE"/>
    <w:rsid w:val="003A1D99"/>
    <w:rsid w:val="003A4187"/>
    <w:rsid w:val="003A4239"/>
    <w:rsid w:val="003A7966"/>
    <w:rsid w:val="003B1DF6"/>
    <w:rsid w:val="003B46E8"/>
    <w:rsid w:val="003B6E3D"/>
    <w:rsid w:val="003C19BF"/>
    <w:rsid w:val="003C2D60"/>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E7D71"/>
    <w:rsid w:val="003F33E0"/>
    <w:rsid w:val="003F47B0"/>
    <w:rsid w:val="003F485F"/>
    <w:rsid w:val="003F4C16"/>
    <w:rsid w:val="004030CE"/>
    <w:rsid w:val="00412396"/>
    <w:rsid w:val="00415036"/>
    <w:rsid w:val="00421136"/>
    <w:rsid w:val="0042167A"/>
    <w:rsid w:val="00424437"/>
    <w:rsid w:val="00425210"/>
    <w:rsid w:val="00425551"/>
    <w:rsid w:val="0043083F"/>
    <w:rsid w:val="004356A1"/>
    <w:rsid w:val="004421C9"/>
    <w:rsid w:val="00442AAF"/>
    <w:rsid w:val="00443E05"/>
    <w:rsid w:val="00443F0B"/>
    <w:rsid w:val="004455DC"/>
    <w:rsid w:val="0045064E"/>
    <w:rsid w:val="00450CC9"/>
    <w:rsid w:val="004514D2"/>
    <w:rsid w:val="004523BC"/>
    <w:rsid w:val="00454167"/>
    <w:rsid w:val="00456A74"/>
    <w:rsid w:val="004630AA"/>
    <w:rsid w:val="00463C2E"/>
    <w:rsid w:val="0046493A"/>
    <w:rsid w:val="004663BB"/>
    <w:rsid w:val="004748B5"/>
    <w:rsid w:val="00476147"/>
    <w:rsid w:val="00477B2F"/>
    <w:rsid w:val="00480AB6"/>
    <w:rsid w:val="00481428"/>
    <w:rsid w:val="004817AB"/>
    <w:rsid w:val="00482449"/>
    <w:rsid w:val="00483A5A"/>
    <w:rsid w:val="004850E4"/>
    <w:rsid w:val="00485743"/>
    <w:rsid w:val="00485D6C"/>
    <w:rsid w:val="00490162"/>
    <w:rsid w:val="00493E9A"/>
    <w:rsid w:val="00493F38"/>
    <w:rsid w:val="0049407A"/>
    <w:rsid w:val="004945FC"/>
    <w:rsid w:val="004A065C"/>
    <w:rsid w:val="004A23AD"/>
    <w:rsid w:val="004A3A39"/>
    <w:rsid w:val="004A44C9"/>
    <w:rsid w:val="004B0446"/>
    <w:rsid w:val="004B0880"/>
    <w:rsid w:val="004B0FF1"/>
    <w:rsid w:val="004B342D"/>
    <w:rsid w:val="004B404F"/>
    <w:rsid w:val="004B638A"/>
    <w:rsid w:val="004B7E43"/>
    <w:rsid w:val="004C101A"/>
    <w:rsid w:val="004C27BF"/>
    <w:rsid w:val="004C5BE8"/>
    <w:rsid w:val="004D00B8"/>
    <w:rsid w:val="004D087E"/>
    <w:rsid w:val="004D199C"/>
    <w:rsid w:val="004D3CB7"/>
    <w:rsid w:val="004D3E32"/>
    <w:rsid w:val="004D4076"/>
    <w:rsid w:val="004D4597"/>
    <w:rsid w:val="004D4B2E"/>
    <w:rsid w:val="004D73FF"/>
    <w:rsid w:val="004D787B"/>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11B"/>
    <w:rsid w:val="00517CC1"/>
    <w:rsid w:val="00521E6C"/>
    <w:rsid w:val="0052235B"/>
    <w:rsid w:val="005232C1"/>
    <w:rsid w:val="00523C59"/>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01B"/>
    <w:rsid w:val="00552979"/>
    <w:rsid w:val="00552F78"/>
    <w:rsid w:val="005538E7"/>
    <w:rsid w:val="00554DDC"/>
    <w:rsid w:val="00555AAE"/>
    <w:rsid w:val="00555F55"/>
    <w:rsid w:val="0056021E"/>
    <w:rsid w:val="00560C71"/>
    <w:rsid w:val="00561DE7"/>
    <w:rsid w:val="00563105"/>
    <w:rsid w:val="00563823"/>
    <w:rsid w:val="00563EDF"/>
    <w:rsid w:val="00565504"/>
    <w:rsid w:val="0056786D"/>
    <w:rsid w:val="00567F6D"/>
    <w:rsid w:val="0057194C"/>
    <w:rsid w:val="0057438E"/>
    <w:rsid w:val="00574A8F"/>
    <w:rsid w:val="005754B9"/>
    <w:rsid w:val="00580F61"/>
    <w:rsid w:val="00581C8A"/>
    <w:rsid w:val="0058322B"/>
    <w:rsid w:val="00584CC5"/>
    <w:rsid w:val="00586283"/>
    <w:rsid w:val="00586CEE"/>
    <w:rsid w:val="005940EA"/>
    <w:rsid w:val="005965DB"/>
    <w:rsid w:val="00597C83"/>
    <w:rsid w:val="005A1356"/>
    <w:rsid w:val="005A5B49"/>
    <w:rsid w:val="005A6629"/>
    <w:rsid w:val="005A7366"/>
    <w:rsid w:val="005B6D99"/>
    <w:rsid w:val="005C0E89"/>
    <w:rsid w:val="005C4915"/>
    <w:rsid w:val="005C5F32"/>
    <w:rsid w:val="005C7536"/>
    <w:rsid w:val="005C7EF8"/>
    <w:rsid w:val="005D24E6"/>
    <w:rsid w:val="005D357F"/>
    <w:rsid w:val="005D59A2"/>
    <w:rsid w:val="005E32FD"/>
    <w:rsid w:val="005E4871"/>
    <w:rsid w:val="005E55B6"/>
    <w:rsid w:val="005E6D9B"/>
    <w:rsid w:val="005F295D"/>
    <w:rsid w:val="005F5458"/>
    <w:rsid w:val="005F6173"/>
    <w:rsid w:val="005F6A5D"/>
    <w:rsid w:val="006011D2"/>
    <w:rsid w:val="00603D0B"/>
    <w:rsid w:val="00604F22"/>
    <w:rsid w:val="00605A97"/>
    <w:rsid w:val="00606858"/>
    <w:rsid w:val="00607E89"/>
    <w:rsid w:val="006103F2"/>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4AA8"/>
    <w:rsid w:val="006552E2"/>
    <w:rsid w:val="00657286"/>
    <w:rsid w:val="00657D3A"/>
    <w:rsid w:val="00657FE9"/>
    <w:rsid w:val="006606FE"/>
    <w:rsid w:val="00661030"/>
    <w:rsid w:val="00662BED"/>
    <w:rsid w:val="00663D33"/>
    <w:rsid w:val="00664169"/>
    <w:rsid w:val="00664530"/>
    <w:rsid w:val="006664CC"/>
    <w:rsid w:val="00667163"/>
    <w:rsid w:val="006701B3"/>
    <w:rsid w:val="006702F3"/>
    <w:rsid w:val="00670F9A"/>
    <w:rsid w:val="006722F4"/>
    <w:rsid w:val="0067274B"/>
    <w:rsid w:val="00673663"/>
    <w:rsid w:val="0067368B"/>
    <w:rsid w:val="00673AB4"/>
    <w:rsid w:val="00673FAE"/>
    <w:rsid w:val="00674B1A"/>
    <w:rsid w:val="00674F82"/>
    <w:rsid w:val="006762BB"/>
    <w:rsid w:val="00676302"/>
    <w:rsid w:val="0067672B"/>
    <w:rsid w:val="006806D8"/>
    <w:rsid w:val="00682C24"/>
    <w:rsid w:val="0068352C"/>
    <w:rsid w:val="00683692"/>
    <w:rsid w:val="0068450B"/>
    <w:rsid w:val="00685D12"/>
    <w:rsid w:val="00690CAC"/>
    <w:rsid w:val="00693FD0"/>
    <w:rsid w:val="00695E69"/>
    <w:rsid w:val="00697450"/>
    <w:rsid w:val="006A0656"/>
    <w:rsid w:val="006A3901"/>
    <w:rsid w:val="006A6358"/>
    <w:rsid w:val="006B12D5"/>
    <w:rsid w:val="006B1598"/>
    <w:rsid w:val="006B1F0E"/>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1750"/>
    <w:rsid w:val="006F367C"/>
    <w:rsid w:val="006F58F9"/>
    <w:rsid w:val="006F6CF3"/>
    <w:rsid w:val="006F7791"/>
    <w:rsid w:val="00700086"/>
    <w:rsid w:val="0070265C"/>
    <w:rsid w:val="0070377A"/>
    <w:rsid w:val="00703791"/>
    <w:rsid w:val="007046F2"/>
    <w:rsid w:val="00704AD1"/>
    <w:rsid w:val="00705388"/>
    <w:rsid w:val="007067D5"/>
    <w:rsid w:val="00706B2C"/>
    <w:rsid w:val="00707F30"/>
    <w:rsid w:val="00711976"/>
    <w:rsid w:val="007123BE"/>
    <w:rsid w:val="00713766"/>
    <w:rsid w:val="00713AC7"/>
    <w:rsid w:val="00716341"/>
    <w:rsid w:val="00717B1F"/>
    <w:rsid w:val="00720089"/>
    <w:rsid w:val="00720353"/>
    <w:rsid w:val="00720642"/>
    <w:rsid w:val="00720B4C"/>
    <w:rsid w:val="00722540"/>
    <w:rsid w:val="0072493D"/>
    <w:rsid w:val="0072734B"/>
    <w:rsid w:val="00730D8B"/>
    <w:rsid w:val="00733D7A"/>
    <w:rsid w:val="0073694A"/>
    <w:rsid w:val="00740E45"/>
    <w:rsid w:val="00742CD2"/>
    <w:rsid w:val="00743628"/>
    <w:rsid w:val="00743F3A"/>
    <w:rsid w:val="00745B02"/>
    <w:rsid w:val="0074618C"/>
    <w:rsid w:val="0074622F"/>
    <w:rsid w:val="00750672"/>
    <w:rsid w:val="0075086B"/>
    <w:rsid w:val="00750958"/>
    <w:rsid w:val="00751D0B"/>
    <w:rsid w:val="007521DD"/>
    <w:rsid w:val="00753830"/>
    <w:rsid w:val="00755AB7"/>
    <w:rsid w:val="00756F36"/>
    <w:rsid w:val="00762D25"/>
    <w:rsid w:val="00763F7A"/>
    <w:rsid w:val="007648C4"/>
    <w:rsid w:val="00766335"/>
    <w:rsid w:val="00766F9D"/>
    <w:rsid w:val="0077581E"/>
    <w:rsid w:val="00776A3D"/>
    <w:rsid w:val="00776D56"/>
    <w:rsid w:val="00777266"/>
    <w:rsid w:val="00783AC6"/>
    <w:rsid w:val="00784287"/>
    <w:rsid w:val="007864FC"/>
    <w:rsid w:val="00794106"/>
    <w:rsid w:val="00794462"/>
    <w:rsid w:val="007A0C54"/>
    <w:rsid w:val="007A101D"/>
    <w:rsid w:val="007A1A99"/>
    <w:rsid w:val="007A2B34"/>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0B88"/>
    <w:rsid w:val="007F100A"/>
    <w:rsid w:val="007F116F"/>
    <w:rsid w:val="007F166C"/>
    <w:rsid w:val="007F2532"/>
    <w:rsid w:val="007F317B"/>
    <w:rsid w:val="007F74BB"/>
    <w:rsid w:val="007F7644"/>
    <w:rsid w:val="0080005F"/>
    <w:rsid w:val="00800606"/>
    <w:rsid w:val="008023A4"/>
    <w:rsid w:val="0080292B"/>
    <w:rsid w:val="008034F4"/>
    <w:rsid w:val="00803E5F"/>
    <w:rsid w:val="00804D8A"/>
    <w:rsid w:val="00805681"/>
    <w:rsid w:val="00811A98"/>
    <w:rsid w:val="00812BE2"/>
    <w:rsid w:val="008157DE"/>
    <w:rsid w:val="008160D9"/>
    <w:rsid w:val="008161AC"/>
    <w:rsid w:val="00816F47"/>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0F74"/>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977DD"/>
    <w:rsid w:val="008A0C44"/>
    <w:rsid w:val="008A1936"/>
    <w:rsid w:val="008A29AF"/>
    <w:rsid w:val="008A3C1F"/>
    <w:rsid w:val="008A664D"/>
    <w:rsid w:val="008B02AA"/>
    <w:rsid w:val="008B377E"/>
    <w:rsid w:val="008B50F1"/>
    <w:rsid w:val="008B5538"/>
    <w:rsid w:val="008B69A5"/>
    <w:rsid w:val="008C2DB4"/>
    <w:rsid w:val="008C3F2C"/>
    <w:rsid w:val="008C5E8F"/>
    <w:rsid w:val="008D13E6"/>
    <w:rsid w:val="008D1538"/>
    <w:rsid w:val="008D29FA"/>
    <w:rsid w:val="008D4520"/>
    <w:rsid w:val="008D7FC4"/>
    <w:rsid w:val="008E1E18"/>
    <w:rsid w:val="008E46DA"/>
    <w:rsid w:val="008E4ED9"/>
    <w:rsid w:val="008F2229"/>
    <w:rsid w:val="008F255A"/>
    <w:rsid w:val="008F6482"/>
    <w:rsid w:val="008F6EDD"/>
    <w:rsid w:val="008F70D1"/>
    <w:rsid w:val="008F74FC"/>
    <w:rsid w:val="008F7AF3"/>
    <w:rsid w:val="00901A11"/>
    <w:rsid w:val="00901A71"/>
    <w:rsid w:val="00902A83"/>
    <w:rsid w:val="009031F7"/>
    <w:rsid w:val="0090469D"/>
    <w:rsid w:val="009068AA"/>
    <w:rsid w:val="00906972"/>
    <w:rsid w:val="009101C5"/>
    <w:rsid w:val="00910434"/>
    <w:rsid w:val="0091238F"/>
    <w:rsid w:val="00913DA3"/>
    <w:rsid w:val="00913F4F"/>
    <w:rsid w:val="00913F7B"/>
    <w:rsid w:val="00916542"/>
    <w:rsid w:val="00920BE7"/>
    <w:rsid w:val="00923276"/>
    <w:rsid w:val="00923E84"/>
    <w:rsid w:val="00925CE2"/>
    <w:rsid w:val="00927FD7"/>
    <w:rsid w:val="00932558"/>
    <w:rsid w:val="0093355C"/>
    <w:rsid w:val="00937205"/>
    <w:rsid w:val="00937C1D"/>
    <w:rsid w:val="00940EDA"/>
    <w:rsid w:val="00942271"/>
    <w:rsid w:val="00943759"/>
    <w:rsid w:val="009503C7"/>
    <w:rsid w:val="00950B05"/>
    <w:rsid w:val="00953B50"/>
    <w:rsid w:val="00956320"/>
    <w:rsid w:val="00957CC9"/>
    <w:rsid w:val="00963AB1"/>
    <w:rsid w:val="009667E1"/>
    <w:rsid w:val="00970AC2"/>
    <w:rsid w:val="00970CA9"/>
    <w:rsid w:val="00971A90"/>
    <w:rsid w:val="00971EF9"/>
    <w:rsid w:val="009727EA"/>
    <w:rsid w:val="00972A6E"/>
    <w:rsid w:val="00972B9E"/>
    <w:rsid w:val="009732FF"/>
    <w:rsid w:val="00974072"/>
    <w:rsid w:val="00976551"/>
    <w:rsid w:val="00976BDA"/>
    <w:rsid w:val="00990F3B"/>
    <w:rsid w:val="00991559"/>
    <w:rsid w:val="009920F3"/>
    <w:rsid w:val="0099256E"/>
    <w:rsid w:val="009928AE"/>
    <w:rsid w:val="00992D3F"/>
    <w:rsid w:val="00992F6A"/>
    <w:rsid w:val="00995394"/>
    <w:rsid w:val="00996C25"/>
    <w:rsid w:val="009975BB"/>
    <w:rsid w:val="009A025A"/>
    <w:rsid w:val="009A035B"/>
    <w:rsid w:val="009A278E"/>
    <w:rsid w:val="009A3A3C"/>
    <w:rsid w:val="009A40E8"/>
    <w:rsid w:val="009A6A18"/>
    <w:rsid w:val="009B6E72"/>
    <w:rsid w:val="009B6EE2"/>
    <w:rsid w:val="009B7163"/>
    <w:rsid w:val="009C2AB5"/>
    <w:rsid w:val="009C2F87"/>
    <w:rsid w:val="009C639F"/>
    <w:rsid w:val="009C66AD"/>
    <w:rsid w:val="009D0008"/>
    <w:rsid w:val="009D0482"/>
    <w:rsid w:val="009D1365"/>
    <w:rsid w:val="009D3B83"/>
    <w:rsid w:val="009D60D5"/>
    <w:rsid w:val="009D63C8"/>
    <w:rsid w:val="009E1B30"/>
    <w:rsid w:val="009E24C1"/>
    <w:rsid w:val="009E26D0"/>
    <w:rsid w:val="009E3B0F"/>
    <w:rsid w:val="009E4A27"/>
    <w:rsid w:val="009E5EC6"/>
    <w:rsid w:val="009F0CB2"/>
    <w:rsid w:val="009F19ED"/>
    <w:rsid w:val="009F3032"/>
    <w:rsid w:val="009F55A0"/>
    <w:rsid w:val="009F5843"/>
    <w:rsid w:val="00A00CA5"/>
    <w:rsid w:val="00A04077"/>
    <w:rsid w:val="00A040FC"/>
    <w:rsid w:val="00A0476B"/>
    <w:rsid w:val="00A04EA3"/>
    <w:rsid w:val="00A05FC9"/>
    <w:rsid w:val="00A101F6"/>
    <w:rsid w:val="00A10B1C"/>
    <w:rsid w:val="00A11684"/>
    <w:rsid w:val="00A127F2"/>
    <w:rsid w:val="00A14248"/>
    <w:rsid w:val="00A15ACF"/>
    <w:rsid w:val="00A16B61"/>
    <w:rsid w:val="00A16F99"/>
    <w:rsid w:val="00A17CCE"/>
    <w:rsid w:val="00A17CE4"/>
    <w:rsid w:val="00A21E18"/>
    <w:rsid w:val="00A2402C"/>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908"/>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A4E12"/>
    <w:rsid w:val="00AA6315"/>
    <w:rsid w:val="00AB2113"/>
    <w:rsid w:val="00AB26E0"/>
    <w:rsid w:val="00AB27CB"/>
    <w:rsid w:val="00AB2C05"/>
    <w:rsid w:val="00AB4A8C"/>
    <w:rsid w:val="00AB71F2"/>
    <w:rsid w:val="00AB7A20"/>
    <w:rsid w:val="00AC49A3"/>
    <w:rsid w:val="00AC4A36"/>
    <w:rsid w:val="00AC5613"/>
    <w:rsid w:val="00AC759D"/>
    <w:rsid w:val="00AD131E"/>
    <w:rsid w:val="00AD490B"/>
    <w:rsid w:val="00AE1E32"/>
    <w:rsid w:val="00AE2B28"/>
    <w:rsid w:val="00AE3458"/>
    <w:rsid w:val="00AE36DC"/>
    <w:rsid w:val="00AE6A6D"/>
    <w:rsid w:val="00AF00F9"/>
    <w:rsid w:val="00AF0888"/>
    <w:rsid w:val="00AF0D99"/>
    <w:rsid w:val="00AF30BD"/>
    <w:rsid w:val="00AF31D5"/>
    <w:rsid w:val="00AF6810"/>
    <w:rsid w:val="00AF7BFE"/>
    <w:rsid w:val="00B0001B"/>
    <w:rsid w:val="00B034AA"/>
    <w:rsid w:val="00B03EB7"/>
    <w:rsid w:val="00B0594C"/>
    <w:rsid w:val="00B05FC7"/>
    <w:rsid w:val="00B06E05"/>
    <w:rsid w:val="00B13ECD"/>
    <w:rsid w:val="00B172BA"/>
    <w:rsid w:val="00B17B36"/>
    <w:rsid w:val="00B2034A"/>
    <w:rsid w:val="00B2097F"/>
    <w:rsid w:val="00B22512"/>
    <w:rsid w:val="00B244A2"/>
    <w:rsid w:val="00B277C1"/>
    <w:rsid w:val="00B3323E"/>
    <w:rsid w:val="00B342DE"/>
    <w:rsid w:val="00B34F9B"/>
    <w:rsid w:val="00B36F96"/>
    <w:rsid w:val="00B42022"/>
    <w:rsid w:val="00B459FB"/>
    <w:rsid w:val="00B50249"/>
    <w:rsid w:val="00B50840"/>
    <w:rsid w:val="00B54994"/>
    <w:rsid w:val="00B5539B"/>
    <w:rsid w:val="00B574DB"/>
    <w:rsid w:val="00B60816"/>
    <w:rsid w:val="00B60C8A"/>
    <w:rsid w:val="00B610A6"/>
    <w:rsid w:val="00B63FF0"/>
    <w:rsid w:val="00B6498C"/>
    <w:rsid w:val="00B67EDE"/>
    <w:rsid w:val="00B70D7C"/>
    <w:rsid w:val="00B70F05"/>
    <w:rsid w:val="00B76C5D"/>
    <w:rsid w:val="00B77B33"/>
    <w:rsid w:val="00B77E6E"/>
    <w:rsid w:val="00B80F15"/>
    <w:rsid w:val="00B820B0"/>
    <w:rsid w:val="00B83268"/>
    <w:rsid w:val="00B83905"/>
    <w:rsid w:val="00B84510"/>
    <w:rsid w:val="00B92430"/>
    <w:rsid w:val="00B92EB2"/>
    <w:rsid w:val="00B9384A"/>
    <w:rsid w:val="00B96267"/>
    <w:rsid w:val="00B97730"/>
    <w:rsid w:val="00BA10E0"/>
    <w:rsid w:val="00BA4089"/>
    <w:rsid w:val="00BA5954"/>
    <w:rsid w:val="00BA5F37"/>
    <w:rsid w:val="00BA66B6"/>
    <w:rsid w:val="00BA6891"/>
    <w:rsid w:val="00BA6DDE"/>
    <w:rsid w:val="00BA7DD7"/>
    <w:rsid w:val="00BB3744"/>
    <w:rsid w:val="00BB378E"/>
    <w:rsid w:val="00BB4EF7"/>
    <w:rsid w:val="00BB5CE1"/>
    <w:rsid w:val="00BB73A2"/>
    <w:rsid w:val="00BB778B"/>
    <w:rsid w:val="00BC072A"/>
    <w:rsid w:val="00BC0911"/>
    <w:rsid w:val="00BC289B"/>
    <w:rsid w:val="00BC349B"/>
    <w:rsid w:val="00BD100A"/>
    <w:rsid w:val="00BD119E"/>
    <w:rsid w:val="00BD1BD8"/>
    <w:rsid w:val="00BD1D83"/>
    <w:rsid w:val="00BD4B19"/>
    <w:rsid w:val="00BD4D60"/>
    <w:rsid w:val="00BD719F"/>
    <w:rsid w:val="00BD7E74"/>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07BA4"/>
    <w:rsid w:val="00C1095B"/>
    <w:rsid w:val="00C17D71"/>
    <w:rsid w:val="00C20C6E"/>
    <w:rsid w:val="00C2130B"/>
    <w:rsid w:val="00C21371"/>
    <w:rsid w:val="00C21495"/>
    <w:rsid w:val="00C218E3"/>
    <w:rsid w:val="00C23AC6"/>
    <w:rsid w:val="00C23E97"/>
    <w:rsid w:val="00C25578"/>
    <w:rsid w:val="00C26CB0"/>
    <w:rsid w:val="00C360FE"/>
    <w:rsid w:val="00C4213E"/>
    <w:rsid w:val="00C44D73"/>
    <w:rsid w:val="00C47105"/>
    <w:rsid w:val="00C47560"/>
    <w:rsid w:val="00C4784C"/>
    <w:rsid w:val="00C526B4"/>
    <w:rsid w:val="00C5308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768D1"/>
    <w:rsid w:val="00C81211"/>
    <w:rsid w:val="00C81B0F"/>
    <w:rsid w:val="00C826CC"/>
    <w:rsid w:val="00C842FD"/>
    <w:rsid w:val="00C84DE6"/>
    <w:rsid w:val="00C85AC5"/>
    <w:rsid w:val="00C867B4"/>
    <w:rsid w:val="00C87382"/>
    <w:rsid w:val="00C912C3"/>
    <w:rsid w:val="00C918E4"/>
    <w:rsid w:val="00C92258"/>
    <w:rsid w:val="00C922B7"/>
    <w:rsid w:val="00C92A27"/>
    <w:rsid w:val="00C92AE6"/>
    <w:rsid w:val="00C9344B"/>
    <w:rsid w:val="00C94EA1"/>
    <w:rsid w:val="00C95BA3"/>
    <w:rsid w:val="00C9787F"/>
    <w:rsid w:val="00C97932"/>
    <w:rsid w:val="00C97D3B"/>
    <w:rsid w:val="00C97ED7"/>
    <w:rsid w:val="00CA11E1"/>
    <w:rsid w:val="00CA1800"/>
    <w:rsid w:val="00CB0EBD"/>
    <w:rsid w:val="00CB1D5F"/>
    <w:rsid w:val="00CB5841"/>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1F00"/>
    <w:rsid w:val="00D425C1"/>
    <w:rsid w:val="00D517C0"/>
    <w:rsid w:val="00D53CBF"/>
    <w:rsid w:val="00D54E76"/>
    <w:rsid w:val="00D56097"/>
    <w:rsid w:val="00D57FB4"/>
    <w:rsid w:val="00D60175"/>
    <w:rsid w:val="00D603B4"/>
    <w:rsid w:val="00D6219D"/>
    <w:rsid w:val="00D6225B"/>
    <w:rsid w:val="00D63801"/>
    <w:rsid w:val="00D6456C"/>
    <w:rsid w:val="00D7179F"/>
    <w:rsid w:val="00D72128"/>
    <w:rsid w:val="00D74235"/>
    <w:rsid w:val="00D74DD5"/>
    <w:rsid w:val="00D7798C"/>
    <w:rsid w:val="00D809B2"/>
    <w:rsid w:val="00D809E2"/>
    <w:rsid w:val="00D80BD2"/>
    <w:rsid w:val="00D8240B"/>
    <w:rsid w:val="00D917AA"/>
    <w:rsid w:val="00D960B9"/>
    <w:rsid w:val="00D96A71"/>
    <w:rsid w:val="00D9751D"/>
    <w:rsid w:val="00DA1106"/>
    <w:rsid w:val="00DA3198"/>
    <w:rsid w:val="00DA369A"/>
    <w:rsid w:val="00DA638A"/>
    <w:rsid w:val="00DA63D9"/>
    <w:rsid w:val="00DA6D09"/>
    <w:rsid w:val="00DA7439"/>
    <w:rsid w:val="00DB3C13"/>
    <w:rsid w:val="00DB526D"/>
    <w:rsid w:val="00DB5E02"/>
    <w:rsid w:val="00DB7A97"/>
    <w:rsid w:val="00DC539C"/>
    <w:rsid w:val="00DD0467"/>
    <w:rsid w:val="00DD37F2"/>
    <w:rsid w:val="00DE42D6"/>
    <w:rsid w:val="00DE5BF1"/>
    <w:rsid w:val="00DE5C4B"/>
    <w:rsid w:val="00DE6386"/>
    <w:rsid w:val="00DF1B61"/>
    <w:rsid w:val="00DF4B7F"/>
    <w:rsid w:val="00DF6CF0"/>
    <w:rsid w:val="00E0176F"/>
    <w:rsid w:val="00E0417D"/>
    <w:rsid w:val="00E071ED"/>
    <w:rsid w:val="00E07B47"/>
    <w:rsid w:val="00E07D18"/>
    <w:rsid w:val="00E143BF"/>
    <w:rsid w:val="00E1661D"/>
    <w:rsid w:val="00E20617"/>
    <w:rsid w:val="00E20AE4"/>
    <w:rsid w:val="00E223F9"/>
    <w:rsid w:val="00E22A22"/>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66E09"/>
    <w:rsid w:val="00E72494"/>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5BD9"/>
    <w:rsid w:val="00E97D4D"/>
    <w:rsid w:val="00EA1731"/>
    <w:rsid w:val="00EA1AA1"/>
    <w:rsid w:val="00EA1BCB"/>
    <w:rsid w:val="00EA2A9E"/>
    <w:rsid w:val="00EA510A"/>
    <w:rsid w:val="00EB0F58"/>
    <w:rsid w:val="00EB22B0"/>
    <w:rsid w:val="00EB4528"/>
    <w:rsid w:val="00EB4987"/>
    <w:rsid w:val="00EB5A25"/>
    <w:rsid w:val="00EB7E47"/>
    <w:rsid w:val="00EC0720"/>
    <w:rsid w:val="00EC1F01"/>
    <w:rsid w:val="00EC7309"/>
    <w:rsid w:val="00ED2461"/>
    <w:rsid w:val="00ED6959"/>
    <w:rsid w:val="00ED7C5D"/>
    <w:rsid w:val="00EE0AAC"/>
    <w:rsid w:val="00EE0F8E"/>
    <w:rsid w:val="00EE2D8D"/>
    <w:rsid w:val="00EE4FCC"/>
    <w:rsid w:val="00EE5325"/>
    <w:rsid w:val="00EE59DF"/>
    <w:rsid w:val="00EE6ED5"/>
    <w:rsid w:val="00EF454C"/>
    <w:rsid w:val="00EF7ACC"/>
    <w:rsid w:val="00F00E3A"/>
    <w:rsid w:val="00F020FA"/>
    <w:rsid w:val="00F021A7"/>
    <w:rsid w:val="00F03624"/>
    <w:rsid w:val="00F04A60"/>
    <w:rsid w:val="00F04B0C"/>
    <w:rsid w:val="00F04CBC"/>
    <w:rsid w:val="00F05186"/>
    <w:rsid w:val="00F05B4B"/>
    <w:rsid w:val="00F067B1"/>
    <w:rsid w:val="00F07ACC"/>
    <w:rsid w:val="00F10AF9"/>
    <w:rsid w:val="00F12513"/>
    <w:rsid w:val="00F13154"/>
    <w:rsid w:val="00F14601"/>
    <w:rsid w:val="00F1497B"/>
    <w:rsid w:val="00F1511F"/>
    <w:rsid w:val="00F15308"/>
    <w:rsid w:val="00F1542E"/>
    <w:rsid w:val="00F16121"/>
    <w:rsid w:val="00F17477"/>
    <w:rsid w:val="00F240C3"/>
    <w:rsid w:val="00F2510E"/>
    <w:rsid w:val="00F26717"/>
    <w:rsid w:val="00F30019"/>
    <w:rsid w:val="00F319E1"/>
    <w:rsid w:val="00F3325C"/>
    <w:rsid w:val="00F33507"/>
    <w:rsid w:val="00F3405A"/>
    <w:rsid w:val="00F340CE"/>
    <w:rsid w:val="00F34AE8"/>
    <w:rsid w:val="00F37A92"/>
    <w:rsid w:val="00F41A59"/>
    <w:rsid w:val="00F4489F"/>
    <w:rsid w:val="00F46BDF"/>
    <w:rsid w:val="00F47FCF"/>
    <w:rsid w:val="00F51791"/>
    <w:rsid w:val="00F560DB"/>
    <w:rsid w:val="00F56821"/>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4872"/>
    <w:rsid w:val="00F95E09"/>
    <w:rsid w:val="00FA4736"/>
    <w:rsid w:val="00FA61FC"/>
    <w:rsid w:val="00FA6673"/>
    <w:rsid w:val="00FA6FBF"/>
    <w:rsid w:val="00FB272A"/>
    <w:rsid w:val="00FB3BE3"/>
    <w:rsid w:val="00FB42F8"/>
    <w:rsid w:val="00FB4359"/>
    <w:rsid w:val="00FB47CC"/>
    <w:rsid w:val="00FB4C97"/>
    <w:rsid w:val="00FB508E"/>
    <w:rsid w:val="00FB5469"/>
    <w:rsid w:val="00FC1898"/>
    <w:rsid w:val="00FC6AFF"/>
    <w:rsid w:val="00FD07A4"/>
    <w:rsid w:val="00FD15FD"/>
    <w:rsid w:val="00FD32E4"/>
    <w:rsid w:val="00FD6030"/>
    <w:rsid w:val="00FD743D"/>
    <w:rsid w:val="00FE04EE"/>
    <w:rsid w:val="00FE13E2"/>
    <w:rsid w:val="00FE42E5"/>
    <w:rsid w:val="00FE66B1"/>
    <w:rsid w:val="00FE769B"/>
    <w:rsid w:val="00FF2104"/>
    <w:rsid w:val="00FF3B47"/>
    <w:rsid w:val="00FF41B3"/>
    <w:rsid w:val="00FF516D"/>
    <w:rsid w:val="00FF5DC4"/>
    <w:rsid w:val="00FF7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5F09E"/>
  <w15:docId w15:val="{BB4298B8-3372-41C0-BE51-D03B45B2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rsid w:val="004D087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D087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D087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lang w:val="x-none" w:eastAsia="x-none"/>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lang w:val="x-none" w:eastAsia="x-none"/>
    </w:rPr>
  </w:style>
  <w:style w:type="character" w:customStyle="1" w:styleId="Char1">
    <w:name w:val="页眉 Char"/>
    <w:link w:val="a7"/>
    <w:uiPriority w:val="99"/>
    <w:rPr>
      <w:kern w:val="2"/>
      <w:sz w:val="18"/>
    </w:rPr>
  </w:style>
  <w:style w:type="character" w:customStyle="1" w:styleId="read">
    <w:name w:val="read"/>
    <w:basedOn w:val="a0"/>
    <w:qFormat/>
    <w:rsid w:val="004D087E"/>
  </w:style>
  <w:style w:type="character" w:styleId="a8">
    <w:name w:val="page number"/>
    <w:basedOn w:val="a0"/>
  </w:style>
  <w:style w:type="character" w:styleId="a9">
    <w:name w:val="Hyperlink"/>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rsid w:val="004D087E"/>
    <w:pPr>
      <w:spacing w:before="60" w:after="60"/>
      <w:ind w:left="15" w:right="15"/>
    </w:pPr>
    <w:rPr>
      <w:rFonts w:ascii="宋体" w:hAnsi="宋体" w:hint="eastAsia"/>
      <w:color w:val="000000"/>
      <w:sz w:val="18"/>
      <w:szCs w:val="18"/>
    </w:rPr>
  </w:style>
  <w:style w:type="paragraph" w:customStyle="1" w:styleId="Listbullet">
    <w:name w:val="List_bullet"/>
    <w:basedOn w:val="a"/>
    <w:rsid w:val="004D087E"/>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a">
    <w:name w:val="正文正文"/>
    <w:basedOn w:val="a"/>
    <w:rsid w:val="004D087E"/>
    <w:pPr>
      <w:spacing w:afterLines="25" w:after="78" w:line="360" w:lineRule="auto"/>
      <w:ind w:firstLineChars="200" w:firstLine="200"/>
    </w:pPr>
    <w:rPr>
      <w:sz w:val="24"/>
    </w:rPr>
  </w:style>
  <w:style w:type="paragraph" w:styleId="ab">
    <w:name w:val="annotation subject"/>
    <w:basedOn w:val="ac"/>
    <w:next w:val="ac"/>
    <w:rPr>
      <w:b/>
    </w:rPr>
  </w:style>
  <w:style w:type="paragraph" w:styleId="ac">
    <w:name w:val="annotation text"/>
    <w:basedOn w:val="a"/>
    <w:link w:val="Char2"/>
    <w:qFormat/>
    <w:rsid w:val="004D087E"/>
    <w:pPr>
      <w:jc w:val="left"/>
    </w:pPr>
  </w:style>
  <w:style w:type="paragraph" w:styleId="ad">
    <w:name w:val="Document Map"/>
    <w:basedOn w:val="a"/>
    <w:pPr>
      <w:shd w:val="clear" w:color="auto" w:fill="000080"/>
    </w:pPr>
  </w:style>
  <w:style w:type="paragraph" w:customStyle="1" w:styleId="Char3">
    <w:name w:val="Char"/>
    <w:basedOn w:val="a"/>
  </w:style>
  <w:style w:type="paragraph" w:styleId="a6">
    <w:name w:val="Title"/>
    <w:basedOn w:val="a"/>
    <w:next w:val="a"/>
    <w:link w:val="Char0"/>
    <w:qFormat/>
    <w:rsid w:val="004D087E"/>
    <w:pPr>
      <w:spacing w:before="240" w:after="60"/>
      <w:jc w:val="center"/>
      <w:outlineLvl w:val="0"/>
    </w:pPr>
    <w:rPr>
      <w:rFonts w:ascii="Cambria" w:hAnsi="Cambria"/>
      <w:b/>
      <w:sz w:val="32"/>
      <w:lang w:val="x-none" w:eastAsia="x-none"/>
    </w:rPr>
  </w:style>
  <w:style w:type="paragraph" w:styleId="a3">
    <w:name w:val="Body Text"/>
    <w:basedOn w:val="a"/>
    <w:link w:val="Char"/>
    <w:rsid w:val="004D087E"/>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pPr>
      <w:ind w:firstLineChars="200" w:firstLine="420"/>
    </w:pPr>
  </w:style>
  <w:style w:type="paragraph" w:styleId="a7">
    <w:name w:val="header"/>
    <w:basedOn w:val="a"/>
    <w:link w:val="Char1"/>
    <w:uiPriority w:val="99"/>
    <w:rsid w:val="004D087E"/>
    <w:pPr>
      <w:pBdr>
        <w:bottom w:val="single" w:sz="6" w:space="1" w:color="auto"/>
      </w:pBdr>
      <w:tabs>
        <w:tab w:val="center" w:pos="4153"/>
        <w:tab w:val="right" w:pos="8306"/>
      </w:tabs>
      <w:snapToGrid w:val="0"/>
      <w:jc w:val="center"/>
    </w:pPr>
    <w:rPr>
      <w:sz w:val="18"/>
    </w:rPr>
  </w:style>
  <w:style w:type="paragraph" w:customStyle="1" w:styleId="Char00">
    <w:name w:val="Char_0"/>
    <w:basedOn w:val="a"/>
  </w:style>
  <w:style w:type="paragraph" w:customStyle="1" w:styleId="CharCharChar">
    <w:name w:val="Char Char Char"/>
    <w:basedOn w:val="a"/>
  </w:style>
  <w:style w:type="paragraph" w:styleId="af">
    <w:name w:val="Balloon Text"/>
    <w:basedOn w:val="a"/>
    <w:rPr>
      <w:sz w:val="18"/>
    </w:rPr>
  </w:style>
  <w:style w:type="paragraph" w:styleId="af0">
    <w:name w:val="footnote text"/>
    <w:basedOn w:val="a"/>
    <w:pPr>
      <w:snapToGrid w:val="0"/>
      <w:jc w:val="left"/>
    </w:pPr>
    <w:rPr>
      <w:sz w:val="18"/>
    </w:rPr>
  </w:style>
  <w:style w:type="paragraph" w:styleId="10">
    <w:name w:val="toc 1"/>
    <w:basedOn w:val="a"/>
    <w:next w:val="a"/>
    <w:pPr>
      <w:tabs>
        <w:tab w:val="right" w:leader="dot" w:pos="8296"/>
      </w:tabs>
    </w:pPr>
    <w:rPr>
      <w:sz w:val="22"/>
    </w:rPr>
  </w:style>
  <w:style w:type="paragraph" w:styleId="af1">
    <w:name w:val="footer"/>
    <w:basedOn w:val="a"/>
    <w:link w:val="Char4"/>
    <w:uiPriority w:val="99"/>
    <w:pPr>
      <w:tabs>
        <w:tab w:val="center" w:pos="4153"/>
        <w:tab w:val="right" w:pos="8306"/>
      </w:tabs>
      <w:snapToGrid w:val="0"/>
      <w:jc w:val="left"/>
    </w:pPr>
    <w:rPr>
      <w:sz w:val="18"/>
    </w:rPr>
  </w:style>
  <w:style w:type="paragraph" w:styleId="af2">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rsid w:val="004D087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3">
    <w:name w:val="正文所"/>
    <w:basedOn w:val="a"/>
    <w:pPr>
      <w:spacing w:line="360" w:lineRule="auto"/>
      <w:ind w:firstLineChars="200" w:firstLine="420"/>
    </w:pPr>
    <w:rPr>
      <w:rFonts w:ascii="宋体"/>
    </w:rPr>
  </w:style>
  <w:style w:type="paragraph" w:styleId="af4">
    <w:name w:val="Revision"/>
    <w:hidden/>
    <w:uiPriority w:val="99"/>
    <w:semiHidden/>
    <w:rsid w:val="00315C67"/>
    <w:rPr>
      <w:kern w:val="2"/>
      <w:sz w:val="21"/>
    </w:rPr>
  </w:style>
  <w:style w:type="character" w:customStyle="1" w:styleId="1Char">
    <w:name w:val="标题 1 Char"/>
    <w:link w:val="1"/>
    <w:rsid w:val="001B1027"/>
    <w:rPr>
      <w:rFonts w:ascii="宋体"/>
      <w:b/>
      <w:color w:val="000000"/>
      <w:sz w:val="24"/>
    </w:rPr>
  </w:style>
  <w:style w:type="character" w:customStyle="1" w:styleId="Char2">
    <w:name w:val="批注文字 Char"/>
    <w:link w:val="ac"/>
    <w:rsid w:val="00D72128"/>
    <w:rPr>
      <w:kern w:val="2"/>
      <w:sz w:val="21"/>
    </w:rPr>
  </w:style>
  <w:style w:type="paragraph" w:customStyle="1" w:styleId="CharChar0">
    <w:name w:val="Char Char_0"/>
    <w:basedOn w:val="a"/>
    <w:rsid w:val="00184368"/>
  </w:style>
  <w:style w:type="paragraph" w:customStyle="1" w:styleId="CharChar10">
    <w:name w:val="Char Char_1"/>
    <w:basedOn w:val="a"/>
    <w:rsid w:val="0045064E"/>
  </w:style>
  <w:style w:type="paragraph" w:customStyle="1" w:styleId="Char10">
    <w:name w:val="Char_1"/>
    <w:basedOn w:val="a"/>
    <w:rsid w:val="0045064E"/>
  </w:style>
  <w:style w:type="paragraph" w:customStyle="1" w:styleId="CharCharChar0">
    <w:name w:val="Char Char Char_0"/>
    <w:basedOn w:val="a"/>
    <w:rsid w:val="0045064E"/>
  </w:style>
  <w:style w:type="paragraph" w:customStyle="1" w:styleId="CharCharCharChar0">
    <w:name w:val="Char Char Char Char_0"/>
    <w:basedOn w:val="a"/>
    <w:rsid w:val="0045064E"/>
    <w:pPr>
      <w:tabs>
        <w:tab w:val="left" w:pos="360"/>
      </w:tabs>
    </w:pPr>
  </w:style>
  <w:style w:type="paragraph" w:customStyle="1" w:styleId="CharChar100">
    <w:name w:val="Char Char1_0"/>
    <w:basedOn w:val="a"/>
    <w:rsid w:val="0045064E"/>
  </w:style>
  <w:style w:type="paragraph" w:customStyle="1" w:styleId="CharChar2">
    <w:name w:val="Char Char_2"/>
    <w:basedOn w:val="a"/>
    <w:rsid w:val="00365EDD"/>
  </w:style>
  <w:style w:type="paragraph" w:styleId="af5">
    <w:name w:val="List Paragraph"/>
    <w:basedOn w:val="a"/>
    <w:uiPriority w:val="34"/>
    <w:qFormat/>
    <w:rsid w:val="006C5EAA"/>
    <w:pPr>
      <w:ind w:firstLineChars="200" w:firstLine="420"/>
    </w:pPr>
  </w:style>
  <w:style w:type="paragraph" w:customStyle="1" w:styleId="CharChar11">
    <w:name w:val="Char Char1_1"/>
    <w:basedOn w:val="a"/>
    <w:rsid w:val="006701B3"/>
  </w:style>
  <w:style w:type="paragraph" w:customStyle="1" w:styleId="Char20">
    <w:name w:val="Char_2"/>
    <w:basedOn w:val="a"/>
    <w:rsid w:val="006701B3"/>
  </w:style>
  <w:style w:type="paragraph" w:customStyle="1" w:styleId="CharChar12">
    <w:name w:val="Char Char1_2"/>
    <w:basedOn w:val="a"/>
    <w:rsid w:val="00923276"/>
  </w:style>
  <w:style w:type="paragraph" w:customStyle="1" w:styleId="Char30">
    <w:name w:val="Char_3"/>
    <w:basedOn w:val="a"/>
    <w:rsid w:val="00923276"/>
  </w:style>
  <w:style w:type="paragraph" w:styleId="af6">
    <w:name w:val="Normal (Web)"/>
    <w:basedOn w:val="a"/>
    <w:uiPriority w:val="99"/>
    <w:semiHidden/>
    <w:unhideWhenUsed/>
    <w:rsid w:val="006D0092"/>
    <w:pPr>
      <w:widowControl/>
      <w:spacing w:before="100" w:beforeAutospacing="1" w:after="100" w:afterAutospacing="1"/>
      <w:jc w:val="left"/>
    </w:pPr>
    <w:rPr>
      <w:rFonts w:ascii="宋体" w:hAnsi="宋体" w:cs="宋体"/>
      <w:kern w:val="0"/>
      <w:sz w:val="24"/>
      <w:szCs w:val="24"/>
    </w:rPr>
  </w:style>
  <w:style w:type="paragraph" w:customStyle="1" w:styleId="CharChar13">
    <w:name w:val="Char Char1_3"/>
    <w:basedOn w:val="a"/>
    <w:rsid w:val="004D087E"/>
  </w:style>
  <w:style w:type="paragraph" w:customStyle="1" w:styleId="Char40">
    <w:name w:val="Char_4"/>
    <w:basedOn w:val="a"/>
    <w:rsid w:val="004D087E"/>
  </w:style>
  <w:style w:type="paragraph" w:customStyle="1" w:styleId="CharChar3">
    <w:name w:val="Char Char_3"/>
    <w:basedOn w:val="a"/>
    <w:rsid w:val="00503385"/>
  </w:style>
  <w:style w:type="character" w:customStyle="1" w:styleId="Char4">
    <w:name w:val="页脚 Char"/>
    <w:basedOn w:val="a0"/>
    <w:link w:val="af1"/>
    <w:uiPriority w:val="99"/>
    <w:rsid w:val="00E5297C"/>
    <w:rPr>
      <w:kern w:val="2"/>
      <w:sz w:val="18"/>
    </w:rPr>
  </w:style>
  <w:style w:type="paragraph" w:customStyle="1" w:styleId="div">
    <w:name w:val="div"/>
    <w:basedOn w:val="a"/>
  </w:style>
  <w:style w:type="character" w:customStyle="1" w:styleId="custom">
    <w:name w:val="custom"/>
    <w:basedOn w:val="a0"/>
    <w:qFormat/>
  </w:style>
  <w:style w:type="paragraph" w:customStyle="1" w:styleId="table">
    <w:name w:val="table"/>
    <w:basedOn w:val="a"/>
  </w:style>
  <w:style w:type="table" w:customStyle="1" w:styleId="tableTable">
    <w:name w:val="table Table"/>
    <w:basedOn w:val="a1"/>
    <w:tblPr>
      <w:tblInd w:w="0" w:type="dxa"/>
      <w:tblCellMar>
        <w:top w:w="0" w:type="dxa"/>
        <w:left w:w="108" w:type="dxa"/>
        <w:bottom w:w="0" w:type="dxa"/>
        <w:right w:w="108" w:type="dxa"/>
      </w:tblCellMar>
    </w:tblPr>
  </w:style>
  <w:style w:type="paragraph" w:customStyle="1" w:styleId="imageimageresized">
    <w:name w:val="image_image_resized"/>
    <w:basedOn w:val="a"/>
  </w:style>
  <w:style w:type="paragraph" w:customStyle="1" w:styleId="p">
    <w:name w:val="p"/>
    <w:basedOn w:val="a"/>
  </w:style>
  <w:style w:type="paragraph" w:styleId="21">
    <w:name w:val="toc 2"/>
    <w:basedOn w:val="a"/>
    <w:next w:val="a"/>
    <w:autoRedefine/>
    <w:rsid w:val="00805BCE"/>
    <w:pPr>
      <w:ind w:left="24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40590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service@99fund.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9C536-04FD-4750-9264-46CFAAC0CEF2}">
  <ds:schemaRefs>
    <ds:schemaRef ds:uri="http://schemas.openxmlformats.org/officeDocument/2006/bibliography"/>
  </ds:schemaRefs>
</ds:datastoreItem>
</file>

<file path=customXml/itemProps2.xml><?xml version="1.0" encoding="utf-8"?>
<ds:datastoreItem xmlns:ds="http://schemas.openxmlformats.org/officeDocument/2006/customXml" ds:itemID="{98B22D90-62B7-4EB0-8F3C-BD8712C2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156</Pages>
  <Words>16638</Words>
  <Characters>94841</Characters>
  <Application>Microsoft Office Word</Application>
  <DocSecurity>0</DocSecurity>
  <Lines>790</Lines>
  <Paragraphs>222</Paragraphs>
  <ScaleCrop>false</ScaleCrop>
  <Company/>
  <LinksUpToDate>false</LinksUpToDate>
  <CharactersWithSpaces>111257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沈艳芬</dc:creator>
  <cp:lastModifiedBy>王梦晖</cp:lastModifiedBy>
  <cp:revision>6</cp:revision>
  <cp:lastPrinted>2020-07-16T11:58:00Z</cp:lastPrinted>
  <dcterms:created xsi:type="dcterms:W3CDTF">2026-06-30T01:54:00Z</dcterms:created>
  <dcterms:modified xsi:type="dcterms:W3CDTF">2026-06-30T03:22:00Z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property>
</Properties>
</file>