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691A" w:rsidRDefault="006E24B4">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rsidR="00E8691A" w:rsidRDefault="00E8691A">
      <w:pPr>
        <w:jc w:val="center"/>
        <w:rPr>
          <w:b/>
          <w:sz w:val="52"/>
        </w:rPr>
      </w:pPr>
    </w:p>
    <w:p w:rsidR="00E8691A" w:rsidRPr="00D05755" w:rsidRDefault="006E24B4">
      <w:pPr>
        <w:jc w:val="center"/>
        <w:rPr>
          <w:b/>
          <w:sz w:val="52"/>
        </w:rPr>
      </w:pPr>
      <w:r w:rsidRPr="00D05755">
        <w:rPr>
          <w:b/>
          <w:sz w:val="52"/>
        </w:rPr>
        <w:tab/>
      </w:r>
      <w:r w:rsidRPr="00D05755">
        <w:rPr>
          <w:b/>
          <w:sz w:val="52"/>
        </w:rPr>
        <w:tab/>
      </w:r>
      <w:r w:rsidRPr="00D05755">
        <w:rPr>
          <w:b/>
          <w:sz w:val="52"/>
        </w:rPr>
        <w:tab/>
      </w:r>
      <w:r w:rsidRPr="00D05755">
        <w:rPr>
          <w:b/>
          <w:sz w:val="52"/>
        </w:rPr>
        <w:tab/>
      </w:r>
      <w:r w:rsidRPr="00D05755">
        <w:rPr>
          <w:b/>
          <w:sz w:val="52"/>
        </w:rPr>
        <w:tab/>
      </w:r>
      <w:r w:rsidRPr="00D05755">
        <w:rPr>
          <w:b/>
          <w:sz w:val="52"/>
        </w:rPr>
        <w:tab/>
      </w:r>
      <w:r w:rsidRPr="00D05755">
        <w:rPr>
          <w:b/>
          <w:sz w:val="52"/>
        </w:rPr>
        <w:tab/>
      </w:r>
      <w:r w:rsidRPr="00D05755">
        <w:rPr>
          <w:b/>
          <w:sz w:val="52"/>
        </w:rPr>
        <w:tab/>
      </w:r>
      <w:r w:rsidRPr="00D05755">
        <w:rPr>
          <w:b/>
          <w:sz w:val="52"/>
        </w:rPr>
        <w:tab/>
      </w:r>
    </w:p>
    <w:p w:rsidR="00E8691A" w:rsidRPr="00D05755" w:rsidRDefault="00E8691A">
      <w:pPr>
        <w:rPr>
          <w:b/>
        </w:rPr>
      </w:pPr>
    </w:p>
    <w:p w:rsidR="00E8691A" w:rsidRPr="00D05755" w:rsidRDefault="00E8691A">
      <w:pPr>
        <w:jc w:val="center"/>
        <w:rPr>
          <w:b/>
          <w:sz w:val="52"/>
        </w:rPr>
      </w:pPr>
    </w:p>
    <w:p w:rsidR="00E8691A" w:rsidRPr="00D05755" w:rsidRDefault="006E24B4">
      <w:pPr>
        <w:jc w:val="center"/>
        <w:rPr>
          <w:rFonts w:ascii="宋体" w:hAnsi="宋体"/>
          <w:b/>
          <w:sz w:val="48"/>
        </w:rPr>
      </w:pPr>
      <w:bookmarkStart w:id="0" w:name="_Toc139992300"/>
      <w:bookmarkStart w:id="1" w:name="_Toc139991725"/>
      <w:bookmarkStart w:id="2" w:name="_Toc123112262"/>
      <w:bookmarkStart w:id="3" w:name="_Toc123701382"/>
      <w:bookmarkStart w:id="4" w:name="_Toc123112223"/>
      <w:proofErr w:type="gramStart"/>
      <w:r w:rsidRPr="00D05755">
        <w:rPr>
          <w:rFonts w:ascii="宋体" w:hAnsi="宋体"/>
          <w:b/>
          <w:sz w:val="48"/>
        </w:rPr>
        <w:t>汇添富金融</w:t>
      </w:r>
      <w:proofErr w:type="gramEnd"/>
      <w:r w:rsidRPr="00D05755">
        <w:rPr>
          <w:rFonts w:ascii="宋体" w:hAnsi="宋体"/>
          <w:b/>
          <w:sz w:val="48"/>
        </w:rPr>
        <w:t>优选混合型发起式</w:t>
      </w:r>
    </w:p>
    <w:p w:rsidR="00654AA9" w:rsidRDefault="006E24B4">
      <w:pPr>
        <w:jc w:val="center"/>
        <w:rPr>
          <w:rFonts w:ascii="宋体" w:hAnsi="宋体"/>
          <w:b/>
          <w:sz w:val="48"/>
        </w:rPr>
      </w:pPr>
      <w:r w:rsidRPr="00D05755">
        <w:rPr>
          <w:rFonts w:ascii="宋体" w:hAnsi="宋体"/>
          <w:b/>
          <w:sz w:val="48"/>
        </w:rPr>
        <w:t>证券投资基金</w:t>
      </w:r>
    </w:p>
    <w:p w:rsidR="00E8691A" w:rsidRPr="00D05755" w:rsidRDefault="006E24B4">
      <w:pPr>
        <w:jc w:val="center"/>
        <w:rPr>
          <w:rFonts w:ascii="宋体" w:hAnsi="宋体"/>
          <w:b/>
          <w:sz w:val="48"/>
        </w:rPr>
      </w:pPr>
      <w:r w:rsidRPr="00D05755">
        <w:rPr>
          <w:rFonts w:ascii="宋体" w:hAnsi="宋体" w:hint="eastAsia"/>
          <w:b/>
          <w:sz w:val="48"/>
        </w:rPr>
        <w:t>基金合同</w:t>
      </w:r>
      <w:bookmarkEnd w:id="0"/>
      <w:bookmarkEnd w:id="1"/>
      <w:bookmarkEnd w:id="2"/>
      <w:bookmarkEnd w:id="3"/>
      <w:bookmarkEnd w:id="4"/>
    </w:p>
    <w:p w:rsidR="00E8691A" w:rsidRPr="00D05755" w:rsidRDefault="00E8691A">
      <w:pPr>
        <w:jc w:val="center"/>
        <w:rPr>
          <w:b/>
          <w:sz w:val="52"/>
        </w:rPr>
      </w:pPr>
    </w:p>
    <w:p w:rsidR="00E8691A" w:rsidRPr="00D05755" w:rsidRDefault="00E8691A">
      <w:pPr>
        <w:jc w:val="center"/>
        <w:rPr>
          <w:b/>
          <w:sz w:val="52"/>
        </w:rPr>
      </w:pPr>
    </w:p>
    <w:p w:rsidR="00E8691A" w:rsidRPr="00D05755" w:rsidRDefault="00E8691A">
      <w:pPr>
        <w:jc w:val="center"/>
        <w:rPr>
          <w:b/>
          <w:sz w:val="52"/>
        </w:rPr>
      </w:pPr>
    </w:p>
    <w:p w:rsidR="00E8691A" w:rsidRPr="00D05755" w:rsidRDefault="00E8691A">
      <w:pPr>
        <w:jc w:val="center"/>
        <w:rPr>
          <w:b/>
          <w:sz w:val="52"/>
        </w:rPr>
      </w:pPr>
    </w:p>
    <w:p w:rsidR="00E8691A" w:rsidRPr="00D05755" w:rsidRDefault="00E8691A">
      <w:pPr>
        <w:jc w:val="center"/>
        <w:rPr>
          <w:b/>
          <w:sz w:val="52"/>
        </w:rPr>
      </w:pPr>
    </w:p>
    <w:p w:rsidR="00E8691A" w:rsidRPr="00D05755" w:rsidRDefault="00E8691A">
      <w:pPr>
        <w:jc w:val="center"/>
        <w:rPr>
          <w:b/>
          <w:sz w:val="52"/>
        </w:rPr>
      </w:pPr>
    </w:p>
    <w:p w:rsidR="00E8691A" w:rsidRPr="00D05755" w:rsidRDefault="006E24B4">
      <w:pPr>
        <w:rPr>
          <w:b/>
          <w:sz w:val="52"/>
        </w:rPr>
      </w:pPr>
      <w:r w:rsidRPr="00D05755">
        <w:rPr>
          <w:b/>
          <w:sz w:val="52"/>
        </w:rPr>
        <w:tab/>
      </w:r>
      <w:r w:rsidRPr="00D05755">
        <w:rPr>
          <w:b/>
          <w:sz w:val="52"/>
        </w:rPr>
        <w:tab/>
      </w:r>
      <w:r w:rsidRPr="00D05755">
        <w:rPr>
          <w:b/>
          <w:sz w:val="52"/>
        </w:rPr>
        <w:tab/>
      </w:r>
      <w:r w:rsidRPr="00D05755">
        <w:rPr>
          <w:b/>
          <w:sz w:val="52"/>
        </w:rPr>
        <w:tab/>
      </w:r>
      <w:r w:rsidRPr="00D05755">
        <w:rPr>
          <w:b/>
          <w:sz w:val="52"/>
        </w:rPr>
        <w:tab/>
      </w:r>
      <w:r w:rsidRPr="00D05755">
        <w:rPr>
          <w:b/>
          <w:sz w:val="52"/>
        </w:rPr>
        <w:tab/>
      </w:r>
      <w:r w:rsidRPr="00D05755">
        <w:rPr>
          <w:b/>
          <w:sz w:val="52"/>
        </w:rPr>
        <w:tab/>
      </w:r>
      <w:r w:rsidRPr="00D05755">
        <w:rPr>
          <w:b/>
          <w:sz w:val="52"/>
        </w:rPr>
        <w:tab/>
      </w:r>
      <w:r w:rsidRPr="00D05755">
        <w:rPr>
          <w:b/>
          <w:sz w:val="52"/>
        </w:rPr>
        <w:tab/>
      </w:r>
      <w:r w:rsidRPr="00D05755">
        <w:rPr>
          <w:b/>
          <w:sz w:val="52"/>
        </w:rPr>
        <w:tab/>
      </w:r>
    </w:p>
    <w:p w:rsidR="00E8691A" w:rsidRPr="00D05755" w:rsidRDefault="006E24B4">
      <w:pPr>
        <w:jc w:val="center"/>
        <w:rPr>
          <w:b/>
          <w:sz w:val="32"/>
        </w:rPr>
      </w:pPr>
      <w:bookmarkStart w:id="5" w:name="_Toc123112263"/>
      <w:bookmarkStart w:id="6" w:name="_Toc139991726"/>
      <w:bookmarkStart w:id="7" w:name="_Toc139992301"/>
      <w:bookmarkStart w:id="8" w:name="_Toc123112224"/>
      <w:bookmarkStart w:id="9" w:name="_Toc123701383"/>
      <w:r w:rsidRPr="00D05755">
        <w:rPr>
          <w:rFonts w:hint="eastAsia"/>
          <w:b/>
          <w:sz w:val="32"/>
        </w:rPr>
        <w:t>基金管理人：</w:t>
      </w:r>
      <w:bookmarkEnd w:id="5"/>
      <w:bookmarkEnd w:id="6"/>
      <w:bookmarkEnd w:id="7"/>
      <w:bookmarkEnd w:id="8"/>
      <w:bookmarkEnd w:id="9"/>
      <w:proofErr w:type="gramStart"/>
      <w:r w:rsidRPr="00D05755">
        <w:rPr>
          <w:b/>
          <w:sz w:val="32"/>
        </w:rPr>
        <w:t>汇添富基金</w:t>
      </w:r>
      <w:proofErr w:type="gramEnd"/>
      <w:r w:rsidRPr="00D05755">
        <w:rPr>
          <w:b/>
          <w:sz w:val="32"/>
        </w:rPr>
        <w:t>管理股份有限公司</w:t>
      </w:r>
    </w:p>
    <w:p w:rsidR="00E8691A" w:rsidRPr="00D05755" w:rsidRDefault="006E24B4">
      <w:pPr>
        <w:jc w:val="center"/>
        <w:rPr>
          <w:b/>
          <w:sz w:val="32"/>
        </w:rPr>
      </w:pPr>
      <w:bookmarkStart w:id="10" w:name="_Toc123112264"/>
      <w:bookmarkStart w:id="11" w:name="_Toc139992302"/>
      <w:bookmarkStart w:id="12" w:name="_Toc123701384"/>
      <w:bookmarkStart w:id="13" w:name="_Toc123112225"/>
      <w:bookmarkStart w:id="14" w:name="_Toc139991727"/>
      <w:r w:rsidRPr="00D05755">
        <w:rPr>
          <w:rFonts w:hint="eastAsia"/>
          <w:b/>
          <w:sz w:val="32"/>
        </w:rPr>
        <w:t>基金托管人：</w:t>
      </w:r>
      <w:bookmarkEnd w:id="10"/>
      <w:bookmarkEnd w:id="11"/>
      <w:bookmarkEnd w:id="12"/>
      <w:bookmarkEnd w:id="13"/>
      <w:bookmarkEnd w:id="14"/>
      <w:r w:rsidRPr="00D05755">
        <w:rPr>
          <w:b/>
          <w:sz w:val="32"/>
        </w:rPr>
        <w:t>中国农业银行股份有限公司</w:t>
      </w:r>
    </w:p>
    <w:p w:rsidR="00E8691A" w:rsidRPr="00D05755" w:rsidRDefault="00E8691A">
      <w:pPr>
        <w:jc w:val="center"/>
        <w:rPr>
          <w:b/>
          <w:sz w:val="30"/>
        </w:rPr>
      </w:pPr>
      <w:bookmarkStart w:id="15" w:name="_Toc123701386"/>
      <w:bookmarkStart w:id="16" w:name="_Toc123112266"/>
      <w:bookmarkStart w:id="17" w:name="_Toc123112227"/>
      <w:bookmarkStart w:id="18" w:name="_Toc139991729"/>
    </w:p>
    <w:p w:rsidR="00E8691A" w:rsidRPr="00D05755" w:rsidRDefault="00E8691A">
      <w:pPr>
        <w:jc w:val="center"/>
        <w:rPr>
          <w:b/>
          <w:sz w:val="30"/>
        </w:rPr>
      </w:pPr>
    </w:p>
    <w:p w:rsidR="00E8691A" w:rsidRPr="00D05755" w:rsidRDefault="00E8691A">
      <w:pPr>
        <w:jc w:val="center"/>
        <w:rPr>
          <w:b/>
          <w:bCs/>
          <w:sz w:val="30"/>
        </w:rPr>
      </w:pPr>
    </w:p>
    <w:p w:rsidR="00E8691A" w:rsidRPr="00D05755" w:rsidRDefault="00E8691A">
      <w:pPr>
        <w:jc w:val="center"/>
        <w:rPr>
          <w:rFonts w:ascii="宋体"/>
          <w:b/>
          <w:bCs/>
          <w:sz w:val="30"/>
        </w:rPr>
      </w:pPr>
    </w:p>
    <w:p w:rsidR="00900BED" w:rsidRDefault="00900BED">
      <w:pPr>
        <w:widowControl/>
        <w:jc w:val="left"/>
        <w:rPr>
          <w:rFonts w:ascii="宋体"/>
          <w:b/>
          <w:bCs/>
          <w:sz w:val="30"/>
        </w:rPr>
      </w:pPr>
      <w:bookmarkStart w:id="19" w:name="_Toc139991730"/>
      <w:bookmarkStart w:id="20" w:name="_Toc26897"/>
      <w:bookmarkStart w:id="21" w:name="_Toc4966"/>
      <w:bookmarkStart w:id="22" w:name="_Toc4867"/>
      <w:bookmarkStart w:id="23" w:name="_Toc8727"/>
      <w:bookmarkStart w:id="24" w:name="_Toc29629"/>
      <w:bookmarkStart w:id="25" w:name="_Toc141703880"/>
      <w:bookmarkStart w:id="26" w:name="_Toc15517"/>
      <w:bookmarkStart w:id="27" w:name="_Toc123112268"/>
      <w:bookmarkStart w:id="28" w:name="_Toc123112229"/>
      <w:bookmarkStart w:id="29" w:name="_Toc123701389"/>
      <w:bookmarkStart w:id="30" w:name="_Toc233456271"/>
      <w:bookmarkStart w:id="31" w:name="_Toc6306"/>
      <w:bookmarkStart w:id="32" w:name="_Toc30935"/>
      <w:bookmarkStart w:id="33" w:name="_Toc23386"/>
      <w:bookmarkStart w:id="34" w:name="_Toc32639"/>
      <w:bookmarkEnd w:id="15"/>
      <w:bookmarkEnd w:id="16"/>
      <w:bookmarkEnd w:id="17"/>
      <w:bookmarkEnd w:id="18"/>
      <w:r>
        <w:rPr>
          <w:rFonts w:ascii="宋体"/>
          <w:b/>
          <w:bCs/>
          <w:sz w:val="30"/>
        </w:rPr>
        <w:br w:type="page"/>
      </w:r>
    </w:p>
    <w:p w:rsidR="00E8691A" w:rsidRPr="00900BED" w:rsidRDefault="00E8691A">
      <w:pPr>
        <w:jc w:val="center"/>
        <w:rPr>
          <w:rFonts w:ascii="宋体"/>
          <w:b/>
          <w:bCs/>
          <w:sz w:val="30"/>
        </w:rPr>
        <w:sectPr w:rsidR="00E8691A" w:rsidRPr="00900BED" w:rsidSect="00081F0C">
          <w:footerReference w:type="default" r:id="rId8"/>
          <w:pgSz w:w="11906" w:h="16838"/>
          <w:pgMar w:top="1440" w:right="1800" w:bottom="1440" w:left="1800" w:header="851" w:footer="992" w:gutter="0"/>
          <w:cols w:space="720"/>
          <w:titlePg/>
          <w:docGrid w:type="lines" w:linePitch="312"/>
        </w:sectPr>
      </w:pPr>
    </w:p>
    <w:p w:rsidR="00E8691A" w:rsidRPr="00D05755" w:rsidRDefault="006E24B4">
      <w:pPr>
        <w:autoSpaceDE w:val="0"/>
        <w:autoSpaceDN w:val="0"/>
        <w:adjustRightInd w:val="0"/>
        <w:spacing w:line="360" w:lineRule="auto"/>
        <w:ind w:firstLineChars="200" w:firstLine="482"/>
        <w:jc w:val="center"/>
        <w:rPr>
          <w:rFonts w:ascii="宋体" w:hAnsi="宋体" w:cs="宋体"/>
          <w:b/>
          <w:sz w:val="24"/>
        </w:rPr>
      </w:pPr>
      <w:r w:rsidRPr="00D05755">
        <w:rPr>
          <w:rStyle w:val="read"/>
          <w:rFonts w:ascii="宋体" w:hAnsi="宋体" w:cs="宋体"/>
          <w:b/>
          <w:sz w:val="24"/>
        </w:rPr>
        <w:lastRenderedPageBreak/>
        <w:t>目录</w:t>
      </w:r>
    </w:p>
    <w:p w:rsidR="00E8691A" w:rsidRPr="00D05755" w:rsidRDefault="006E24B4">
      <w:pPr>
        <w:pStyle w:val="10"/>
        <w:rPr>
          <w:rFonts w:asciiTheme="minorHAnsi" w:hAnsiTheme="minorHAnsi"/>
          <w:noProof/>
        </w:rPr>
      </w:pPr>
      <w:r w:rsidRPr="00D05755">
        <w:rPr>
          <w:rStyle w:val="read"/>
          <w:rFonts w:ascii="宋体" w:hAnsi="宋体" w:cs="宋体"/>
          <w:b/>
          <w:sz w:val="24"/>
        </w:rPr>
        <w:fldChar w:fldCharType="begin"/>
      </w:r>
      <w:r w:rsidRPr="00D05755">
        <w:rPr>
          <w:rStyle w:val="read"/>
          <w:rFonts w:ascii="宋体" w:hAnsi="宋体" w:cs="宋体"/>
          <w:b/>
          <w:sz w:val="24"/>
        </w:rPr>
        <w:instrText>TOC \o "1-1" \h \z \u</w:instrText>
      </w:r>
      <w:r w:rsidRPr="00D05755">
        <w:rPr>
          <w:rStyle w:val="read"/>
          <w:rFonts w:ascii="宋体" w:hAnsi="宋体" w:cs="宋体"/>
          <w:b/>
          <w:sz w:val="24"/>
        </w:rPr>
        <w:fldChar w:fldCharType="separate"/>
      </w:r>
      <w:hyperlink w:anchor="_Toc256000000" w:history="1">
        <w:r w:rsidRPr="00D05755">
          <w:rPr>
            <w:rStyle w:val="af1"/>
            <w:noProof/>
          </w:rPr>
          <w:t>第一部分</w:t>
        </w:r>
        <w:r w:rsidRPr="00D05755">
          <w:rPr>
            <w:rStyle w:val="af1"/>
            <w:noProof/>
          </w:rPr>
          <w:t xml:space="preserve">  </w:t>
        </w:r>
        <w:r w:rsidRPr="00D05755">
          <w:rPr>
            <w:rStyle w:val="af1"/>
            <w:noProof/>
          </w:rPr>
          <w:t>前言</w:t>
        </w:r>
        <w:r w:rsidRPr="00D05755">
          <w:rPr>
            <w:noProof/>
          </w:rPr>
          <w:tab/>
        </w:r>
        <w:r w:rsidRPr="00D05755">
          <w:rPr>
            <w:noProof/>
          </w:rPr>
          <w:fldChar w:fldCharType="begin"/>
        </w:r>
        <w:r w:rsidRPr="00D05755">
          <w:rPr>
            <w:noProof/>
          </w:rPr>
          <w:instrText xml:space="preserve"> PAGEREF _Toc256000000 \h </w:instrText>
        </w:r>
        <w:r w:rsidRPr="00D05755">
          <w:rPr>
            <w:noProof/>
          </w:rPr>
        </w:r>
        <w:r w:rsidRPr="00D05755">
          <w:rPr>
            <w:noProof/>
          </w:rPr>
          <w:fldChar w:fldCharType="separate"/>
        </w:r>
        <w:r w:rsidR="00C01A25">
          <w:rPr>
            <w:noProof/>
          </w:rPr>
          <w:t>2</w:t>
        </w:r>
        <w:r w:rsidRPr="00D05755">
          <w:rPr>
            <w:noProof/>
          </w:rPr>
          <w:fldChar w:fldCharType="end"/>
        </w:r>
      </w:hyperlink>
    </w:p>
    <w:p w:rsidR="00E8691A" w:rsidRPr="00D05755" w:rsidRDefault="00232E67">
      <w:pPr>
        <w:pStyle w:val="10"/>
        <w:rPr>
          <w:rFonts w:asciiTheme="minorHAnsi" w:hAnsiTheme="minorHAnsi"/>
          <w:noProof/>
        </w:rPr>
      </w:pPr>
      <w:hyperlink w:anchor="_Toc256000001" w:history="1">
        <w:r w:rsidR="006E24B4" w:rsidRPr="00D05755">
          <w:rPr>
            <w:rStyle w:val="af1"/>
            <w:noProof/>
          </w:rPr>
          <w:t>第二部分</w:t>
        </w:r>
        <w:r w:rsidR="006E24B4" w:rsidRPr="00D05755">
          <w:rPr>
            <w:rStyle w:val="af1"/>
            <w:noProof/>
          </w:rPr>
          <w:t xml:space="preserve">  </w:t>
        </w:r>
        <w:r w:rsidR="006E24B4" w:rsidRPr="00D05755">
          <w:rPr>
            <w:rStyle w:val="af1"/>
            <w:noProof/>
          </w:rPr>
          <w:t>释义</w:t>
        </w:r>
        <w:r w:rsidR="006E24B4" w:rsidRPr="00D05755">
          <w:rPr>
            <w:noProof/>
          </w:rPr>
          <w:tab/>
        </w:r>
        <w:r w:rsidR="006E24B4" w:rsidRPr="00D05755">
          <w:rPr>
            <w:noProof/>
          </w:rPr>
          <w:fldChar w:fldCharType="begin"/>
        </w:r>
        <w:r w:rsidR="006E24B4" w:rsidRPr="00D05755">
          <w:rPr>
            <w:noProof/>
          </w:rPr>
          <w:instrText xml:space="preserve"> PAGEREF _Toc256000001 \h </w:instrText>
        </w:r>
        <w:r w:rsidR="006E24B4" w:rsidRPr="00D05755">
          <w:rPr>
            <w:noProof/>
          </w:rPr>
        </w:r>
        <w:r w:rsidR="006E24B4" w:rsidRPr="00D05755">
          <w:rPr>
            <w:noProof/>
          </w:rPr>
          <w:fldChar w:fldCharType="separate"/>
        </w:r>
        <w:r w:rsidR="00C01A25">
          <w:rPr>
            <w:noProof/>
          </w:rPr>
          <w:t>5</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02" w:history="1">
        <w:r w:rsidR="006E24B4" w:rsidRPr="00D05755">
          <w:rPr>
            <w:rStyle w:val="af1"/>
            <w:noProof/>
          </w:rPr>
          <w:t>第三部分</w:t>
        </w:r>
        <w:r w:rsidR="006E24B4" w:rsidRPr="00D05755">
          <w:rPr>
            <w:rStyle w:val="af1"/>
            <w:noProof/>
          </w:rPr>
          <w:t xml:space="preserve">  </w:t>
        </w:r>
        <w:r w:rsidR="006E24B4" w:rsidRPr="00D05755">
          <w:rPr>
            <w:rStyle w:val="af1"/>
            <w:noProof/>
          </w:rPr>
          <w:t>基金的基本情况</w:t>
        </w:r>
        <w:r w:rsidR="006E24B4" w:rsidRPr="00D05755">
          <w:rPr>
            <w:noProof/>
          </w:rPr>
          <w:tab/>
        </w:r>
        <w:r w:rsidR="006E24B4" w:rsidRPr="00D05755">
          <w:rPr>
            <w:noProof/>
          </w:rPr>
          <w:fldChar w:fldCharType="begin"/>
        </w:r>
        <w:r w:rsidR="006E24B4" w:rsidRPr="00D05755">
          <w:rPr>
            <w:noProof/>
          </w:rPr>
          <w:instrText xml:space="preserve"> PAGEREF _Toc256000002 \h </w:instrText>
        </w:r>
        <w:r w:rsidR="006E24B4" w:rsidRPr="00D05755">
          <w:rPr>
            <w:noProof/>
          </w:rPr>
        </w:r>
        <w:r w:rsidR="006E24B4" w:rsidRPr="00D05755">
          <w:rPr>
            <w:noProof/>
          </w:rPr>
          <w:fldChar w:fldCharType="separate"/>
        </w:r>
        <w:r w:rsidR="00C01A25">
          <w:rPr>
            <w:noProof/>
          </w:rPr>
          <w:t>11</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03" w:history="1">
        <w:r w:rsidR="006E24B4" w:rsidRPr="00D05755">
          <w:rPr>
            <w:rStyle w:val="af1"/>
            <w:noProof/>
          </w:rPr>
          <w:t>第四部分</w:t>
        </w:r>
        <w:r w:rsidR="006E24B4" w:rsidRPr="00D05755">
          <w:rPr>
            <w:rStyle w:val="af1"/>
            <w:noProof/>
          </w:rPr>
          <w:t xml:space="preserve">  </w:t>
        </w:r>
        <w:r w:rsidR="006E24B4" w:rsidRPr="00D05755">
          <w:rPr>
            <w:rStyle w:val="af1"/>
            <w:noProof/>
          </w:rPr>
          <w:t>基金份额的发售</w:t>
        </w:r>
        <w:r w:rsidR="006E24B4" w:rsidRPr="00D05755">
          <w:rPr>
            <w:noProof/>
          </w:rPr>
          <w:tab/>
        </w:r>
        <w:r w:rsidR="006E24B4" w:rsidRPr="00D05755">
          <w:rPr>
            <w:noProof/>
          </w:rPr>
          <w:fldChar w:fldCharType="begin"/>
        </w:r>
        <w:r w:rsidR="006E24B4" w:rsidRPr="00D05755">
          <w:rPr>
            <w:noProof/>
          </w:rPr>
          <w:instrText xml:space="preserve"> PAGEREF _Toc256000003 \h </w:instrText>
        </w:r>
        <w:r w:rsidR="006E24B4" w:rsidRPr="00D05755">
          <w:rPr>
            <w:noProof/>
          </w:rPr>
        </w:r>
        <w:r w:rsidR="006E24B4" w:rsidRPr="00D05755">
          <w:rPr>
            <w:noProof/>
          </w:rPr>
          <w:fldChar w:fldCharType="separate"/>
        </w:r>
        <w:r w:rsidR="00C01A25">
          <w:rPr>
            <w:noProof/>
          </w:rPr>
          <w:t>13</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04" w:history="1">
        <w:r w:rsidR="006E24B4" w:rsidRPr="00D05755">
          <w:rPr>
            <w:rStyle w:val="af1"/>
            <w:noProof/>
          </w:rPr>
          <w:t>第五部分</w:t>
        </w:r>
        <w:r w:rsidR="006E24B4" w:rsidRPr="00D05755">
          <w:rPr>
            <w:rStyle w:val="af1"/>
            <w:noProof/>
          </w:rPr>
          <w:t xml:space="preserve">  </w:t>
        </w:r>
        <w:r w:rsidR="006E24B4" w:rsidRPr="00D05755">
          <w:rPr>
            <w:rStyle w:val="af1"/>
            <w:noProof/>
          </w:rPr>
          <w:t>基金备案</w:t>
        </w:r>
        <w:r w:rsidR="006E24B4" w:rsidRPr="00D05755">
          <w:rPr>
            <w:noProof/>
          </w:rPr>
          <w:tab/>
        </w:r>
        <w:r w:rsidR="006E24B4" w:rsidRPr="00D05755">
          <w:rPr>
            <w:noProof/>
          </w:rPr>
          <w:fldChar w:fldCharType="begin"/>
        </w:r>
        <w:r w:rsidR="006E24B4" w:rsidRPr="00D05755">
          <w:rPr>
            <w:noProof/>
          </w:rPr>
          <w:instrText xml:space="preserve"> PAGEREF _Toc256000004 \h </w:instrText>
        </w:r>
        <w:r w:rsidR="006E24B4" w:rsidRPr="00D05755">
          <w:rPr>
            <w:noProof/>
          </w:rPr>
        </w:r>
        <w:r w:rsidR="006E24B4" w:rsidRPr="00D05755">
          <w:rPr>
            <w:noProof/>
          </w:rPr>
          <w:fldChar w:fldCharType="separate"/>
        </w:r>
        <w:r w:rsidR="00C01A25">
          <w:rPr>
            <w:noProof/>
          </w:rPr>
          <w:t>15</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05" w:history="1">
        <w:r w:rsidR="006E24B4" w:rsidRPr="00D05755">
          <w:rPr>
            <w:rStyle w:val="af1"/>
            <w:noProof/>
          </w:rPr>
          <w:t>第六部分</w:t>
        </w:r>
        <w:r w:rsidR="006E24B4" w:rsidRPr="00D05755">
          <w:rPr>
            <w:rStyle w:val="af1"/>
            <w:noProof/>
          </w:rPr>
          <w:t xml:space="preserve">  </w:t>
        </w:r>
        <w:r w:rsidR="006E24B4" w:rsidRPr="00D05755">
          <w:rPr>
            <w:rStyle w:val="af1"/>
            <w:noProof/>
          </w:rPr>
          <w:t>基金份额的申购与赎回</w:t>
        </w:r>
        <w:r w:rsidR="006E24B4" w:rsidRPr="00D05755">
          <w:rPr>
            <w:noProof/>
          </w:rPr>
          <w:tab/>
        </w:r>
        <w:r w:rsidR="006E24B4" w:rsidRPr="00D05755">
          <w:rPr>
            <w:noProof/>
          </w:rPr>
          <w:fldChar w:fldCharType="begin"/>
        </w:r>
        <w:r w:rsidR="006E24B4" w:rsidRPr="00D05755">
          <w:rPr>
            <w:noProof/>
          </w:rPr>
          <w:instrText xml:space="preserve"> PAGEREF _Toc256000005 \h </w:instrText>
        </w:r>
        <w:r w:rsidR="006E24B4" w:rsidRPr="00D05755">
          <w:rPr>
            <w:noProof/>
          </w:rPr>
        </w:r>
        <w:r w:rsidR="006E24B4" w:rsidRPr="00D05755">
          <w:rPr>
            <w:noProof/>
          </w:rPr>
          <w:fldChar w:fldCharType="separate"/>
        </w:r>
        <w:r w:rsidR="00C01A25">
          <w:rPr>
            <w:noProof/>
          </w:rPr>
          <w:t>17</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06" w:history="1">
        <w:r w:rsidR="006E24B4" w:rsidRPr="00D05755">
          <w:rPr>
            <w:rStyle w:val="af1"/>
            <w:noProof/>
          </w:rPr>
          <w:t>第七部分</w:t>
        </w:r>
        <w:r w:rsidR="006E24B4" w:rsidRPr="00D05755">
          <w:rPr>
            <w:rStyle w:val="af1"/>
            <w:noProof/>
          </w:rPr>
          <w:t xml:space="preserve">  </w:t>
        </w:r>
        <w:r w:rsidR="006E24B4" w:rsidRPr="00D05755">
          <w:rPr>
            <w:rStyle w:val="af1"/>
            <w:noProof/>
          </w:rPr>
          <w:t>基金合同当事人及权利义务</w:t>
        </w:r>
        <w:r w:rsidR="006E24B4" w:rsidRPr="00D05755">
          <w:rPr>
            <w:noProof/>
          </w:rPr>
          <w:tab/>
        </w:r>
        <w:r w:rsidR="006E24B4" w:rsidRPr="00D05755">
          <w:rPr>
            <w:noProof/>
          </w:rPr>
          <w:fldChar w:fldCharType="begin"/>
        </w:r>
        <w:r w:rsidR="006E24B4" w:rsidRPr="00D05755">
          <w:rPr>
            <w:noProof/>
          </w:rPr>
          <w:instrText xml:space="preserve"> PAGEREF _Toc256000006 \h </w:instrText>
        </w:r>
        <w:r w:rsidR="006E24B4" w:rsidRPr="00D05755">
          <w:rPr>
            <w:noProof/>
          </w:rPr>
        </w:r>
        <w:r w:rsidR="006E24B4" w:rsidRPr="00D05755">
          <w:rPr>
            <w:noProof/>
          </w:rPr>
          <w:fldChar w:fldCharType="separate"/>
        </w:r>
        <w:r w:rsidR="00C01A25">
          <w:rPr>
            <w:noProof/>
          </w:rPr>
          <w:t>27</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07" w:history="1">
        <w:r w:rsidR="006E24B4" w:rsidRPr="00D05755">
          <w:rPr>
            <w:rStyle w:val="af1"/>
            <w:noProof/>
          </w:rPr>
          <w:t>第八部分</w:t>
        </w:r>
        <w:r w:rsidR="006E24B4" w:rsidRPr="00D05755">
          <w:rPr>
            <w:rStyle w:val="af1"/>
            <w:noProof/>
          </w:rPr>
          <w:t xml:space="preserve">  </w:t>
        </w:r>
        <w:r w:rsidR="006E24B4" w:rsidRPr="00D05755">
          <w:rPr>
            <w:rStyle w:val="af1"/>
            <w:noProof/>
          </w:rPr>
          <w:t>基金份额持有人大会</w:t>
        </w:r>
        <w:r w:rsidR="006E24B4" w:rsidRPr="00D05755">
          <w:rPr>
            <w:noProof/>
          </w:rPr>
          <w:tab/>
        </w:r>
        <w:r w:rsidR="006E24B4" w:rsidRPr="00D05755">
          <w:rPr>
            <w:noProof/>
          </w:rPr>
          <w:fldChar w:fldCharType="begin"/>
        </w:r>
        <w:r w:rsidR="006E24B4" w:rsidRPr="00D05755">
          <w:rPr>
            <w:noProof/>
          </w:rPr>
          <w:instrText xml:space="preserve"> PAGEREF _Toc256000007 \h </w:instrText>
        </w:r>
        <w:r w:rsidR="006E24B4" w:rsidRPr="00D05755">
          <w:rPr>
            <w:noProof/>
          </w:rPr>
        </w:r>
        <w:r w:rsidR="006E24B4" w:rsidRPr="00D05755">
          <w:rPr>
            <w:noProof/>
          </w:rPr>
          <w:fldChar w:fldCharType="separate"/>
        </w:r>
        <w:r w:rsidR="00C01A25">
          <w:rPr>
            <w:noProof/>
          </w:rPr>
          <w:t>35</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08" w:history="1">
        <w:r w:rsidR="006E24B4" w:rsidRPr="00D05755">
          <w:rPr>
            <w:rStyle w:val="af1"/>
            <w:noProof/>
          </w:rPr>
          <w:t>第九部分</w:t>
        </w:r>
        <w:r w:rsidR="006E24B4" w:rsidRPr="00D05755">
          <w:rPr>
            <w:rStyle w:val="af1"/>
            <w:noProof/>
          </w:rPr>
          <w:t xml:space="preserve">  </w:t>
        </w:r>
        <w:r w:rsidR="006E24B4" w:rsidRPr="00D05755">
          <w:rPr>
            <w:rStyle w:val="af1"/>
            <w:noProof/>
          </w:rPr>
          <w:t>基金管理人、基金托管人的更换条件和程序</w:t>
        </w:r>
        <w:r w:rsidR="006E24B4" w:rsidRPr="00D05755">
          <w:rPr>
            <w:noProof/>
          </w:rPr>
          <w:tab/>
        </w:r>
        <w:r w:rsidR="006E24B4" w:rsidRPr="00D05755">
          <w:rPr>
            <w:noProof/>
          </w:rPr>
          <w:fldChar w:fldCharType="begin"/>
        </w:r>
        <w:r w:rsidR="006E24B4" w:rsidRPr="00D05755">
          <w:rPr>
            <w:noProof/>
          </w:rPr>
          <w:instrText xml:space="preserve"> PAGEREF _Toc256000008 \h </w:instrText>
        </w:r>
        <w:r w:rsidR="006E24B4" w:rsidRPr="00D05755">
          <w:rPr>
            <w:noProof/>
          </w:rPr>
        </w:r>
        <w:r w:rsidR="006E24B4" w:rsidRPr="00D05755">
          <w:rPr>
            <w:noProof/>
          </w:rPr>
          <w:fldChar w:fldCharType="separate"/>
        </w:r>
        <w:r w:rsidR="00C01A25">
          <w:rPr>
            <w:noProof/>
          </w:rPr>
          <w:t>44</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09" w:history="1">
        <w:r w:rsidR="006E24B4" w:rsidRPr="00D05755">
          <w:rPr>
            <w:rStyle w:val="af1"/>
            <w:noProof/>
          </w:rPr>
          <w:t>第十部分</w:t>
        </w:r>
        <w:r w:rsidR="006E24B4" w:rsidRPr="00D05755">
          <w:rPr>
            <w:rStyle w:val="af1"/>
            <w:noProof/>
          </w:rPr>
          <w:t xml:space="preserve">  </w:t>
        </w:r>
        <w:r w:rsidR="006E24B4" w:rsidRPr="00D05755">
          <w:rPr>
            <w:rStyle w:val="af1"/>
            <w:noProof/>
          </w:rPr>
          <w:t>基金的托管</w:t>
        </w:r>
        <w:r w:rsidR="006E24B4" w:rsidRPr="00D05755">
          <w:rPr>
            <w:noProof/>
          </w:rPr>
          <w:tab/>
        </w:r>
        <w:r w:rsidR="006E24B4" w:rsidRPr="00D05755">
          <w:rPr>
            <w:noProof/>
          </w:rPr>
          <w:fldChar w:fldCharType="begin"/>
        </w:r>
        <w:r w:rsidR="006E24B4" w:rsidRPr="00D05755">
          <w:rPr>
            <w:noProof/>
          </w:rPr>
          <w:instrText xml:space="preserve"> PAGEREF _Toc256000009 \h </w:instrText>
        </w:r>
        <w:r w:rsidR="006E24B4" w:rsidRPr="00D05755">
          <w:rPr>
            <w:noProof/>
          </w:rPr>
        </w:r>
        <w:r w:rsidR="006E24B4" w:rsidRPr="00D05755">
          <w:rPr>
            <w:noProof/>
          </w:rPr>
          <w:fldChar w:fldCharType="separate"/>
        </w:r>
        <w:r w:rsidR="00C01A25">
          <w:rPr>
            <w:noProof/>
          </w:rPr>
          <w:t>47</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10" w:history="1">
        <w:r w:rsidR="006E24B4" w:rsidRPr="00D05755">
          <w:rPr>
            <w:rStyle w:val="af1"/>
            <w:noProof/>
          </w:rPr>
          <w:t>第十一部分</w:t>
        </w:r>
        <w:r w:rsidR="006E24B4" w:rsidRPr="00D05755">
          <w:rPr>
            <w:rStyle w:val="af1"/>
            <w:noProof/>
          </w:rPr>
          <w:t xml:space="preserve">  </w:t>
        </w:r>
        <w:r w:rsidR="006E24B4" w:rsidRPr="00D05755">
          <w:rPr>
            <w:rStyle w:val="af1"/>
            <w:noProof/>
          </w:rPr>
          <w:t>基金份额的登记</w:t>
        </w:r>
        <w:r w:rsidR="006E24B4" w:rsidRPr="00D05755">
          <w:rPr>
            <w:noProof/>
          </w:rPr>
          <w:tab/>
        </w:r>
        <w:r w:rsidR="006E24B4" w:rsidRPr="00D05755">
          <w:rPr>
            <w:noProof/>
          </w:rPr>
          <w:fldChar w:fldCharType="begin"/>
        </w:r>
        <w:r w:rsidR="006E24B4" w:rsidRPr="00D05755">
          <w:rPr>
            <w:noProof/>
          </w:rPr>
          <w:instrText xml:space="preserve"> PAGEREF _Toc256000010 \h </w:instrText>
        </w:r>
        <w:r w:rsidR="006E24B4" w:rsidRPr="00D05755">
          <w:rPr>
            <w:noProof/>
          </w:rPr>
        </w:r>
        <w:r w:rsidR="006E24B4" w:rsidRPr="00D05755">
          <w:rPr>
            <w:noProof/>
          </w:rPr>
          <w:fldChar w:fldCharType="separate"/>
        </w:r>
        <w:r w:rsidR="00C01A25">
          <w:rPr>
            <w:noProof/>
          </w:rPr>
          <w:t>48</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11" w:history="1">
        <w:r w:rsidR="006E24B4" w:rsidRPr="00D05755">
          <w:rPr>
            <w:rStyle w:val="af1"/>
            <w:noProof/>
          </w:rPr>
          <w:t>第十二部分</w:t>
        </w:r>
        <w:r w:rsidR="006E24B4" w:rsidRPr="00D05755">
          <w:rPr>
            <w:rStyle w:val="af1"/>
            <w:noProof/>
          </w:rPr>
          <w:t xml:space="preserve">  </w:t>
        </w:r>
        <w:r w:rsidR="006E24B4" w:rsidRPr="00D05755">
          <w:rPr>
            <w:rStyle w:val="af1"/>
            <w:noProof/>
          </w:rPr>
          <w:t>基金的投资</w:t>
        </w:r>
        <w:r w:rsidR="006E24B4" w:rsidRPr="00D05755">
          <w:rPr>
            <w:noProof/>
          </w:rPr>
          <w:tab/>
        </w:r>
        <w:r w:rsidR="006E24B4" w:rsidRPr="00D05755">
          <w:rPr>
            <w:noProof/>
          </w:rPr>
          <w:fldChar w:fldCharType="begin"/>
        </w:r>
        <w:r w:rsidR="006E24B4" w:rsidRPr="00D05755">
          <w:rPr>
            <w:noProof/>
          </w:rPr>
          <w:instrText xml:space="preserve"> PAGEREF _Toc256000011 \h </w:instrText>
        </w:r>
        <w:r w:rsidR="006E24B4" w:rsidRPr="00D05755">
          <w:rPr>
            <w:noProof/>
          </w:rPr>
        </w:r>
        <w:r w:rsidR="006E24B4" w:rsidRPr="00D05755">
          <w:rPr>
            <w:noProof/>
          </w:rPr>
          <w:fldChar w:fldCharType="separate"/>
        </w:r>
        <w:r w:rsidR="00C01A25">
          <w:rPr>
            <w:noProof/>
          </w:rPr>
          <w:t>50</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12" w:history="1">
        <w:r w:rsidR="006E24B4" w:rsidRPr="00D05755">
          <w:rPr>
            <w:rStyle w:val="af1"/>
            <w:noProof/>
          </w:rPr>
          <w:t>第十三部分</w:t>
        </w:r>
        <w:r w:rsidR="006E24B4" w:rsidRPr="00D05755">
          <w:rPr>
            <w:rStyle w:val="af1"/>
            <w:noProof/>
          </w:rPr>
          <w:t xml:space="preserve">  </w:t>
        </w:r>
        <w:r w:rsidR="006E24B4" w:rsidRPr="00D05755">
          <w:rPr>
            <w:rStyle w:val="af1"/>
            <w:noProof/>
          </w:rPr>
          <w:t>基金的财产</w:t>
        </w:r>
        <w:r w:rsidR="006E24B4" w:rsidRPr="00D05755">
          <w:rPr>
            <w:noProof/>
          </w:rPr>
          <w:tab/>
        </w:r>
        <w:r w:rsidR="006E24B4" w:rsidRPr="00D05755">
          <w:rPr>
            <w:noProof/>
          </w:rPr>
          <w:fldChar w:fldCharType="begin"/>
        </w:r>
        <w:r w:rsidR="006E24B4" w:rsidRPr="00D05755">
          <w:rPr>
            <w:noProof/>
          </w:rPr>
          <w:instrText xml:space="preserve"> PAGEREF _Toc256000012 \h </w:instrText>
        </w:r>
        <w:r w:rsidR="006E24B4" w:rsidRPr="00D05755">
          <w:rPr>
            <w:noProof/>
          </w:rPr>
        </w:r>
        <w:r w:rsidR="006E24B4" w:rsidRPr="00D05755">
          <w:rPr>
            <w:noProof/>
          </w:rPr>
          <w:fldChar w:fldCharType="separate"/>
        </w:r>
        <w:r w:rsidR="00C01A25">
          <w:rPr>
            <w:noProof/>
          </w:rPr>
          <w:t>64</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13" w:history="1">
        <w:r w:rsidR="006E24B4" w:rsidRPr="00D05755">
          <w:rPr>
            <w:rStyle w:val="af1"/>
            <w:noProof/>
          </w:rPr>
          <w:t>第十四部分</w:t>
        </w:r>
        <w:r w:rsidR="006E24B4" w:rsidRPr="00D05755">
          <w:rPr>
            <w:rStyle w:val="af1"/>
            <w:noProof/>
          </w:rPr>
          <w:t xml:space="preserve">  </w:t>
        </w:r>
        <w:r w:rsidR="006E24B4" w:rsidRPr="00D05755">
          <w:rPr>
            <w:rStyle w:val="af1"/>
            <w:noProof/>
          </w:rPr>
          <w:t>基金资产估值</w:t>
        </w:r>
        <w:r w:rsidR="006E24B4" w:rsidRPr="00D05755">
          <w:rPr>
            <w:noProof/>
          </w:rPr>
          <w:tab/>
        </w:r>
        <w:r w:rsidR="006E24B4" w:rsidRPr="00D05755">
          <w:rPr>
            <w:noProof/>
          </w:rPr>
          <w:fldChar w:fldCharType="begin"/>
        </w:r>
        <w:r w:rsidR="006E24B4" w:rsidRPr="00D05755">
          <w:rPr>
            <w:noProof/>
          </w:rPr>
          <w:instrText xml:space="preserve"> PAGEREF _Toc256000013 \h </w:instrText>
        </w:r>
        <w:r w:rsidR="006E24B4" w:rsidRPr="00D05755">
          <w:rPr>
            <w:noProof/>
          </w:rPr>
        </w:r>
        <w:r w:rsidR="006E24B4" w:rsidRPr="00D05755">
          <w:rPr>
            <w:noProof/>
          </w:rPr>
          <w:fldChar w:fldCharType="separate"/>
        </w:r>
        <w:r w:rsidR="00C01A25">
          <w:rPr>
            <w:noProof/>
          </w:rPr>
          <w:t>65</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14" w:history="1">
        <w:r w:rsidR="006E24B4" w:rsidRPr="00D05755">
          <w:rPr>
            <w:rStyle w:val="af1"/>
            <w:noProof/>
          </w:rPr>
          <w:t>第十五部分</w:t>
        </w:r>
        <w:r w:rsidR="006E24B4" w:rsidRPr="00D05755">
          <w:rPr>
            <w:rStyle w:val="af1"/>
            <w:noProof/>
          </w:rPr>
          <w:t xml:space="preserve">  </w:t>
        </w:r>
        <w:r w:rsidR="006E24B4" w:rsidRPr="00D05755">
          <w:rPr>
            <w:rStyle w:val="af1"/>
            <w:noProof/>
          </w:rPr>
          <w:t>基金费用与税收</w:t>
        </w:r>
        <w:r w:rsidR="006E24B4" w:rsidRPr="00D05755">
          <w:rPr>
            <w:noProof/>
          </w:rPr>
          <w:tab/>
        </w:r>
        <w:r w:rsidR="006E24B4" w:rsidRPr="00D05755">
          <w:rPr>
            <w:noProof/>
          </w:rPr>
          <w:fldChar w:fldCharType="begin"/>
        </w:r>
        <w:r w:rsidR="006E24B4" w:rsidRPr="00D05755">
          <w:rPr>
            <w:noProof/>
          </w:rPr>
          <w:instrText xml:space="preserve"> PAGEREF _Toc256000014 \h </w:instrText>
        </w:r>
        <w:r w:rsidR="006E24B4" w:rsidRPr="00D05755">
          <w:rPr>
            <w:noProof/>
          </w:rPr>
        </w:r>
        <w:r w:rsidR="006E24B4" w:rsidRPr="00D05755">
          <w:rPr>
            <w:noProof/>
          </w:rPr>
          <w:fldChar w:fldCharType="separate"/>
        </w:r>
        <w:r w:rsidR="00C01A25">
          <w:rPr>
            <w:noProof/>
          </w:rPr>
          <w:t>72</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15" w:history="1">
        <w:r w:rsidR="006E24B4" w:rsidRPr="00D05755">
          <w:rPr>
            <w:rStyle w:val="af1"/>
            <w:noProof/>
          </w:rPr>
          <w:t>第十六部分</w:t>
        </w:r>
        <w:r w:rsidR="006E24B4" w:rsidRPr="00D05755">
          <w:rPr>
            <w:rStyle w:val="af1"/>
            <w:noProof/>
          </w:rPr>
          <w:t xml:space="preserve">  </w:t>
        </w:r>
        <w:r w:rsidR="006E24B4" w:rsidRPr="00D05755">
          <w:rPr>
            <w:rStyle w:val="af1"/>
            <w:noProof/>
          </w:rPr>
          <w:t>基金的收益与分配</w:t>
        </w:r>
        <w:r w:rsidR="006E24B4" w:rsidRPr="00D05755">
          <w:rPr>
            <w:noProof/>
          </w:rPr>
          <w:tab/>
        </w:r>
        <w:r w:rsidR="006E24B4" w:rsidRPr="00D05755">
          <w:rPr>
            <w:noProof/>
          </w:rPr>
          <w:fldChar w:fldCharType="begin"/>
        </w:r>
        <w:r w:rsidR="006E24B4" w:rsidRPr="00D05755">
          <w:rPr>
            <w:noProof/>
          </w:rPr>
          <w:instrText xml:space="preserve"> PAGEREF _Toc256000015 \h </w:instrText>
        </w:r>
        <w:r w:rsidR="006E24B4" w:rsidRPr="00D05755">
          <w:rPr>
            <w:noProof/>
          </w:rPr>
        </w:r>
        <w:r w:rsidR="006E24B4" w:rsidRPr="00D05755">
          <w:rPr>
            <w:noProof/>
          </w:rPr>
          <w:fldChar w:fldCharType="separate"/>
        </w:r>
        <w:r w:rsidR="00C01A25">
          <w:rPr>
            <w:noProof/>
          </w:rPr>
          <w:t>78</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16" w:history="1">
        <w:r w:rsidR="006E24B4" w:rsidRPr="00D05755">
          <w:rPr>
            <w:rStyle w:val="af1"/>
            <w:noProof/>
          </w:rPr>
          <w:t>第十七部分</w:t>
        </w:r>
        <w:r w:rsidR="006E24B4" w:rsidRPr="00D05755">
          <w:rPr>
            <w:rStyle w:val="af1"/>
            <w:noProof/>
          </w:rPr>
          <w:t xml:space="preserve">  </w:t>
        </w:r>
        <w:r w:rsidR="006E24B4" w:rsidRPr="00D05755">
          <w:rPr>
            <w:rStyle w:val="af1"/>
            <w:noProof/>
          </w:rPr>
          <w:t>基金的会计与审计</w:t>
        </w:r>
        <w:r w:rsidR="006E24B4" w:rsidRPr="00D05755">
          <w:rPr>
            <w:noProof/>
          </w:rPr>
          <w:tab/>
        </w:r>
        <w:r w:rsidR="006E24B4" w:rsidRPr="00D05755">
          <w:rPr>
            <w:noProof/>
          </w:rPr>
          <w:fldChar w:fldCharType="begin"/>
        </w:r>
        <w:r w:rsidR="006E24B4" w:rsidRPr="00D05755">
          <w:rPr>
            <w:noProof/>
          </w:rPr>
          <w:instrText xml:space="preserve"> PAGEREF _Toc256000016 \h </w:instrText>
        </w:r>
        <w:r w:rsidR="006E24B4" w:rsidRPr="00D05755">
          <w:rPr>
            <w:noProof/>
          </w:rPr>
        </w:r>
        <w:r w:rsidR="006E24B4" w:rsidRPr="00D05755">
          <w:rPr>
            <w:noProof/>
          </w:rPr>
          <w:fldChar w:fldCharType="separate"/>
        </w:r>
        <w:r w:rsidR="00C01A25">
          <w:rPr>
            <w:noProof/>
          </w:rPr>
          <w:t>79</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17" w:history="1">
        <w:r w:rsidR="006E24B4" w:rsidRPr="00D05755">
          <w:rPr>
            <w:rStyle w:val="af1"/>
            <w:noProof/>
          </w:rPr>
          <w:t>第十八部分</w:t>
        </w:r>
        <w:r w:rsidR="006E24B4" w:rsidRPr="00D05755">
          <w:rPr>
            <w:rStyle w:val="af1"/>
            <w:noProof/>
          </w:rPr>
          <w:t xml:space="preserve">  </w:t>
        </w:r>
        <w:r w:rsidR="006E24B4" w:rsidRPr="00D05755">
          <w:rPr>
            <w:rStyle w:val="af1"/>
            <w:noProof/>
          </w:rPr>
          <w:t>基金的信息披露</w:t>
        </w:r>
        <w:r w:rsidR="006E24B4" w:rsidRPr="00D05755">
          <w:rPr>
            <w:noProof/>
          </w:rPr>
          <w:tab/>
        </w:r>
        <w:r w:rsidR="006E24B4" w:rsidRPr="00D05755">
          <w:rPr>
            <w:noProof/>
          </w:rPr>
          <w:fldChar w:fldCharType="begin"/>
        </w:r>
        <w:r w:rsidR="006E24B4" w:rsidRPr="00D05755">
          <w:rPr>
            <w:noProof/>
          </w:rPr>
          <w:instrText xml:space="preserve"> PAGEREF _Toc256000017 \h </w:instrText>
        </w:r>
        <w:r w:rsidR="006E24B4" w:rsidRPr="00D05755">
          <w:rPr>
            <w:noProof/>
          </w:rPr>
        </w:r>
        <w:r w:rsidR="006E24B4" w:rsidRPr="00D05755">
          <w:rPr>
            <w:noProof/>
          </w:rPr>
          <w:fldChar w:fldCharType="separate"/>
        </w:r>
        <w:r w:rsidR="00C01A25">
          <w:rPr>
            <w:noProof/>
          </w:rPr>
          <w:t>80</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18" w:history="1">
        <w:r w:rsidR="006E24B4" w:rsidRPr="00D05755">
          <w:rPr>
            <w:rStyle w:val="af1"/>
            <w:noProof/>
          </w:rPr>
          <w:t>第十九部分</w:t>
        </w:r>
        <w:r w:rsidR="006E24B4" w:rsidRPr="00D05755">
          <w:rPr>
            <w:rStyle w:val="af1"/>
            <w:noProof/>
          </w:rPr>
          <w:t xml:space="preserve">  </w:t>
        </w:r>
        <w:r w:rsidR="006E24B4" w:rsidRPr="00D05755">
          <w:rPr>
            <w:rStyle w:val="af1"/>
            <w:noProof/>
          </w:rPr>
          <w:t>基金合同的变更、终止与基金财产的清算</w:t>
        </w:r>
        <w:r w:rsidR="006E24B4" w:rsidRPr="00D05755">
          <w:rPr>
            <w:noProof/>
          </w:rPr>
          <w:tab/>
        </w:r>
        <w:r w:rsidR="006E24B4" w:rsidRPr="00D05755">
          <w:rPr>
            <w:noProof/>
          </w:rPr>
          <w:fldChar w:fldCharType="begin"/>
        </w:r>
        <w:r w:rsidR="006E24B4" w:rsidRPr="00D05755">
          <w:rPr>
            <w:noProof/>
          </w:rPr>
          <w:instrText xml:space="preserve"> PAGEREF _Toc256000018 \h </w:instrText>
        </w:r>
        <w:r w:rsidR="006E24B4" w:rsidRPr="00D05755">
          <w:rPr>
            <w:noProof/>
          </w:rPr>
        </w:r>
        <w:r w:rsidR="006E24B4" w:rsidRPr="00D05755">
          <w:rPr>
            <w:noProof/>
          </w:rPr>
          <w:fldChar w:fldCharType="separate"/>
        </w:r>
        <w:r w:rsidR="00C01A25">
          <w:rPr>
            <w:noProof/>
          </w:rPr>
          <w:t>88</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19" w:history="1">
        <w:r w:rsidR="006E24B4" w:rsidRPr="00D05755">
          <w:rPr>
            <w:rStyle w:val="af1"/>
            <w:noProof/>
          </w:rPr>
          <w:t>第二十部分</w:t>
        </w:r>
        <w:r w:rsidR="006E24B4" w:rsidRPr="00D05755">
          <w:rPr>
            <w:rStyle w:val="af1"/>
            <w:noProof/>
          </w:rPr>
          <w:t xml:space="preserve">  </w:t>
        </w:r>
        <w:r w:rsidR="006E24B4" w:rsidRPr="00D05755">
          <w:rPr>
            <w:rStyle w:val="af1"/>
            <w:noProof/>
          </w:rPr>
          <w:t>违约责任</w:t>
        </w:r>
        <w:r w:rsidR="006E24B4" w:rsidRPr="00D05755">
          <w:rPr>
            <w:noProof/>
          </w:rPr>
          <w:tab/>
        </w:r>
        <w:r w:rsidR="006E24B4" w:rsidRPr="00D05755">
          <w:rPr>
            <w:noProof/>
          </w:rPr>
          <w:fldChar w:fldCharType="begin"/>
        </w:r>
        <w:r w:rsidR="006E24B4" w:rsidRPr="00D05755">
          <w:rPr>
            <w:noProof/>
          </w:rPr>
          <w:instrText xml:space="preserve"> PAGEREF _Toc256000019 \h </w:instrText>
        </w:r>
        <w:r w:rsidR="006E24B4" w:rsidRPr="00D05755">
          <w:rPr>
            <w:noProof/>
          </w:rPr>
        </w:r>
        <w:r w:rsidR="006E24B4" w:rsidRPr="00D05755">
          <w:rPr>
            <w:noProof/>
          </w:rPr>
          <w:fldChar w:fldCharType="separate"/>
        </w:r>
        <w:r w:rsidR="00C01A25">
          <w:rPr>
            <w:noProof/>
          </w:rPr>
          <w:t>90</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20" w:history="1">
        <w:r w:rsidR="006E24B4" w:rsidRPr="00D05755">
          <w:rPr>
            <w:rStyle w:val="af1"/>
            <w:noProof/>
          </w:rPr>
          <w:t>第二十一部分</w:t>
        </w:r>
        <w:r w:rsidR="006E24B4" w:rsidRPr="00D05755">
          <w:rPr>
            <w:rStyle w:val="af1"/>
            <w:noProof/>
          </w:rPr>
          <w:t xml:space="preserve">  </w:t>
        </w:r>
        <w:r w:rsidR="006E24B4" w:rsidRPr="00D05755">
          <w:rPr>
            <w:rStyle w:val="af1"/>
            <w:noProof/>
          </w:rPr>
          <w:t>争议的处理和适用的法律</w:t>
        </w:r>
        <w:r w:rsidR="006E24B4" w:rsidRPr="00D05755">
          <w:rPr>
            <w:noProof/>
          </w:rPr>
          <w:tab/>
        </w:r>
        <w:r w:rsidR="006E24B4" w:rsidRPr="00D05755">
          <w:rPr>
            <w:noProof/>
          </w:rPr>
          <w:fldChar w:fldCharType="begin"/>
        </w:r>
        <w:r w:rsidR="006E24B4" w:rsidRPr="00D05755">
          <w:rPr>
            <w:noProof/>
          </w:rPr>
          <w:instrText xml:space="preserve"> PAGEREF _Toc256000020 \h </w:instrText>
        </w:r>
        <w:r w:rsidR="006E24B4" w:rsidRPr="00D05755">
          <w:rPr>
            <w:noProof/>
          </w:rPr>
        </w:r>
        <w:r w:rsidR="006E24B4" w:rsidRPr="00D05755">
          <w:rPr>
            <w:noProof/>
          </w:rPr>
          <w:fldChar w:fldCharType="separate"/>
        </w:r>
        <w:r w:rsidR="00C01A25">
          <w:rPr>
            <w:noProof/>
          </w:rPr>
          <w:t>91</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21" w:history="1">
        <w:r w:rsidR="006E24B4" w:rsidRPr="00D05755">
          <w:rPr>
            <w:rStyle w:val="af1"/>
            <w:noProof/>
          </w:rPr>
          <w:t>第二十二部分</w:t>
        </w:r>
        <w:r w:rsidR="006E24B4" w:rsidRPr="00D05755">
          <w:rPr>
            <w:rStyle w:val="af1"/>
            <w:noProof/>
          </w:rPr>
          <w:t xml:space="preserve">  </w:t>
        </w:r>
        <w:r w:rsidR="006E24B4" w:rsidRPr="00D05755">
          <w:rPr>
            <w:rStyle w:val="af1"/>
            <w:noProof/>
          </w:rPr>
          <w:t>基金合同的效力</w:t>
        </w:r>
        <w:r w:rsidR="006E24B4" w:rsidRPr="00D05755">
          <w:rPr>
            <w:noProof/>
          </w:rPr>
          <w:tab/>
        </w:r>
        <w:r w:rsidR="006E24B4" w:rsidRPr="00D05755">
          <w:rPr>
            <w:noProof/>
          </w:rPr>
          <w:fldChar w:fldCharType="begin"/>
        </w:r>
        <w:r w:rsidR="006E24B4" w:rsidRPr="00D05755">
          <w:rPr>
            <w:noProof/>
          </w:rPr>
          <w:instrText xml:space="preserve"> PAGEREF _Toc256000021 \h </w:instrText>
        </w:r>
        <w:r w:rsidR="006E24B4" w:rsidRPr="00D05755">
          <w:rPr>
            <w:noProof/>
          </w:rPr>
        </w:r>
        <w:r w:rsidR="006E24B4" w:rsidRPr="00D05755">
          <w:rPr>
            <w:noProof/>
          </w:rPr>
          <w:fldChar w:fldCharType="separate"/>
        </w:r>
        <w:r w:rsidR="00C01A25">
          <w:rPr>
            <w:noProof/>
          </w:rPr>
          <w:t>92</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22" w:history="1">
        <w:r w:rsidR="006E24B4" w:rsidRPr="00D05755">
          <w:rPr>
            <w:rStyle w:val="af1"/>
            <w:noProof/>
          </w:rPr>
          <w:t>第二十三部分</w:t>
        </w:r>
        <w:r w:rsidR="006E24B4" w:rsidRPr="00D05755">
          <w:rPr>
            <w:rStyle w:val="af1"/>
            <w:noProof/>
          </w:rPr>
          <w:t xml:space="preserve">  </w:t>
        </w:r>
        <w:r w:rsidR="006E24B4" w:rsidRPr="00D05755">
          <w:rPr>
            <w:rStyle w:val="af1"/>
            <w:noProof/>
          </w:rPr>
          <w:t>其他事项</w:t>
        </w:r>
        <w:r w:rsidR="006E24B4" w:rsidRPr="00D05755">
          <w:rPr>
            <w:noProof/>
          </w:rPr>
          <w:tab/>
        </w:r>
        <w:r w:rsidR="006E24B4" w:rsidRPr="00D05755">
          <w:rPr>
            <w:noProof/>
          </w:rPr>
          <w:fldChar w:fldCharType="begin"/>
        </w:r>
        <w:r w:rsidR="006E24B4" w:rsidRPr="00D05755">
          <w:rPr>
            <w:noProof/>
          </w:rPr>
          <w:instrText xml:space="preserve"> PAGEREF _Toc256000022 \h </w:instrText>
        </w:r>
        <w:r w:rsidR="006E24B4" w:rsidRPr="00D05755">
          <w:rPr>
            <w:noProof/>
          </w:rPr>
        </w:r>
        <w:r w:rsidR="006E24B4" w:rsidRPr="00D05755">
          <w:rPr>
            <w:noProof/>
          </w:rPr>
          <w:fldChar w:fldCharType="separate"/>
        </w:r>
        <w:r w:rsidR="00C01A25">
          <w:rPr>
            <w:noProof/>
          </w:rPr>
          <w:t>93</w:t>
        </w:r>
        <w:r w:rsidR="006E24B4" w:rsidRPr="00D05755">
          <w:rPr>
            <w:noProof/>
          </w:rPr>
          <w:fldChar w:fldCharType="end"/>
        </w:r>
      </w:hyperlink>
    </w:p>
    <w:p w:rsidR="00E8691A" w:rsidRPr="00D05755" w:rsidRDefault="00232E67">
      <w:pPr>
        <w:pStyle w:val="10"/>
        <w:rPr>
          <w:rFonts w:asciiTheme="minorHAnsi" w:hAnsiTheme="minorHAnsi"/>
          <w:noProof/>
        </w:rPr>
      </w:pPr>
      <w:hyperlink w:anchor="_Toc256000023" w:history="1">
        <w:r w:rsidR="006E24B4" w:rsidRPr="00D05755">
          <w:rPr>
            <w:rStyle w:val="af1"/>
            <w:noProof/>
          </w:rPr>
          <w:t>第二十四部分</w:t>
        </w:r>
        <w:r w:rsidR="006E24B4" w:rsidRPr="00D05755">
          <w:rPr>
            <w:rStyle w:val="af1"/>
            <w:noProof/>
          </w:rPr>
          <w:t xml:space="preserve">  </w:t>
        </w:r>
        <w:r w:rsidR="006E24B4" w:rsidRPr="00D05755">
          <w:rPr>
            <w:rStyle w:val="af1"/>
            <w:noProof/>
          </w:rPr>
          <w:t>基金合同内容摘要</w:t>
        </w:r>
        <w:r w:rsidR="006E24B4" w:rsidRPr="00D05755">
          <w:rPr>
            <w:noProof/>
          </w:rPr>
          <w:tab/>
        </w:r>
        <w:r w:rsidR="006E24B4" w:rsidRPr="00D05755">
          <w:rPr>
            <w:noProof/>
          </w:rPr>
          <w:fldChar w:fldCharType="begin"/>
        </w:r>
        <w:r w:rsidR="006E24B4" w:rsidRPr="00D05755">
          <w:rPr>
            <w:noProof/>
          </w:rPr>
          <w:instrText xml:space="preserve"> PAGEREF _Toc256000023 \h </w:instrText>
        </w:r>
        <w:r w:rsidR="006E24B4" w:rsidRPr="00D05755">
          <w:rPr>
            <w:noProof/>
          </w:rPr>
        </w:r>
        <w:r w:rsidR="006E24B4" w:rsidRPr="00D05755">
          <w:rPr>
            <w:noProof/>
          </w:rPr>
          <w:fldChar w:fldCharType="separate"/>
        </w:r>
        <w:r w:rsidR="00C01A25">
          <w:rPr>
            <w:noProof/>
          </w:rPr>
          <w:t>94</w:t>
        </w:r>
        <w:r w:rsidR="006E24B4" w:rsidRPr="00D05755">
          <w:rPr>
            <w:noProof/>
          </w:rPr>
          <w:fldChar w:fldCharType="end"/>
        </w:r>
      </w:hyperlink>
    </w:p>
    <w:p w:rsidR="000B7447" w:rsidRDefault="006E24B4">
      <w:pPr>
        <w:jc w:val="left"/>
        <w:rPr>
          <w:rStyle w:val="read"/>
          <w:rFonts w:ascii="宋体" w:hAnsi="宋体" w:cs="宋体"/>
          <w:b/>
          <w:sz w:val="24"/>
        </w:rPr>
      </w:pPr>
      <w:r w:rsidRPr="00D05755">
        <w:rPr>
          <w:rStyle w:val="read"/>
          <w:rFonts w:ascii="宋体" w:hAnsi="宋体" w:cs="宋体"/>
          <w:b/>
          <w:sz w:val="24"/>
        </w:rPr>
        <w:fldChar w:fldCharType="end"/>
      </w:r>
      <w:bookmarkStart w:id="35" w:name="_Toc2163435"/>
      <w:bookmarkStart w:id="36" w:name="_Toc11660"/>
      <w:bookmarkStart w:id="37" w:name="_Toc452127896"/>
    </w:p>
    <w:p w:rsidR="000B7447" w:rsidRDefault="000B7447">
      <w:pPr>
        <w:widowControl/>
        <w:jc w:val="left"/>
        <w:rPr>
          <w:rStyle w:val="read"/>
          <w:rFonts w:ascii="宋体" w:hAnsi="宋体" w:cs="宋体"/>
          <w:b/>
          <w:sz w:val="24"/>
        </w:rPr>
      </w:pPr>
      <w:r>
        <w:rPr>
          <w:rStyle w:val="read"/>
          <w:rFonts w:ascii="宋体" w:hAnsi="宋体" w:cs="宋体"/>
          <w:b/>
          <w:sz w:val="24"/>
        </w:rPr>
        <w:br w:type="page"/>
      </w:r>
    </w:p>
    <w:p w:rsidR="00E8691A" w:rsidRPr="00D05755" w:rsidRDefault="006E24B4">
      <w:pPr>
        <w:pStyle w:val="1"/>
        <w:spacing w:before="0" w:after="0"/>
        <w:jc w:val="center"/>
        <w:rPr>
          <w:rFonts w:ascii="Times New Roman"/>
          <w:color w:val="auto"/>
          <w:sz w:val="30"/>
        </w:rPr>
      </w:pPr>
      <w:bookmarkStart w:id="38" w:name="_Toc139991731"/>
      <w:bookmarkStart w:id="39" w:name="_Toc256000000"/>
      <w:bookmarkStart w:id="40" w:name="_GoBack"/>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0"/>
      <w:r w:rsidRPr="00D05755">
        <w:rPr>
          <w:rFonts w:ascii="Times New Roman"/>
          <w:color w:val="auto"/>
          <w:sz w:val="30"/>
        </w:rPr>
        <w:lastRenderedPageBreak/>
        <w:t>第一部分</w:t>
      </w:r>
      <w:r w:rsidRPr="00D05755">
        <w:rPr>
          <w:rFonts w:ascii="Times New Roman"/>
          <w:color w:val="auto"/>
          <w:sz w:val="30"/>
        </w:rPr>
        <w:t xml:space="preserve">  </w:t>
      </w:r>
      <w:r w:rsidRPr="00D05755">
        <w:rPr>
          <w:rFonts w:ascii="Times New Roman"/>
          <w:color w:val="auto"/>
          <w:sz w:val="30"/>
        </w:rPr>
        <w:t>前言</w:t>
      </w:r>
      <w:bookmarkEnd w:id="39"/>
    </w:p>
    <w:p w:rsidR="00E8691A" w:rsidRPr="00D05755" w:rsidRDefault="00E8691A"/>
    <w:p w:rsidR="00E8691A" w:rsidRPr="00D05755" w:rsidRDefault="006E24B4">
      <w:pPr>
        <w:pStyle w:val="div"/>
        <w:spacing w:line="360" w:lineRule="auto"/>
        <w:ind w:firstLine="420"/>
        <w:rPr>
          <w:rFonts w:eastAsia="Times New Roman"/>
          <w:kern w:val="0"/>
          <w:sz w:val="24"/>
          <w:szCs w:val="24"/>
        </w:rPr>
      </w:pPr>
      <w:bookmarkStart w:id="41" w:name="OLE_LINK18"/>
      <w:bookmarkStart w:id="42" w:name="OLE_LINK17"/>
      <w:r w:rsidRPr="00D05755">
        <w:rPr>
          <w:rStyle w:val="custom"/>
          <w:rFonts w:ascii="宋体" w:hAnsi="宋体" w:cs="宋体"/>
          <w:kern w:val="0"/>
          <w:sz w:val="24"/>
          <w:szCs w:val="24"/>
        </w:rPr>
        <w:t>一、</w:t>
      </w:r>
      <w:r w:rsidRPr="00D05755">
        <w:rPr>
          <w:rFonts w:ascii="宋体" w:hAnsi="宋体" w:cs="宋体"/>
          <w:kern w:val="0"/>
          <w:sz w:val="24"/>
          <w:szCs w:val="24"/>
        </w:rPr>
        <w:t>订立本基金合同的目的、依据和原则</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订立本基金合同的目的是保护投资人合法权益，明确基金合同当事人的权利义务，规范基金运作。</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和其他有关法律法规。</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订立本基金合同的原则是平等自愿、诚实信用、充分保护投资人合法权益。</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三、</w:t>
      </w:r>
      <w:proofErr w:type="gramStart"/>
      <w:r w:rsidRPr="00D05755">
        <w:rPr>
          <w:rStyle w:val="custom"/>
          <w:rFonts w:ascii="宋体" w:hAnsi="宋体" w:cs="宋体"/>
          <w:kern w:val="0"/>
          <w:sz w:val="24"/>
          <w:szCs w:val="24"/>
        </w:rPr>
        <w:t>汇添富金融</w:t>
      </w:r>
      <w:proofErr w:type="gramEnd"/>
      <w:r w:rsidRPr="00D05755">
        <w:rPr>
          <w:rStyle w:val="custom"/>
          <w:rFonts w:ascii="宋体" w:hAnsi="宋体" w:cs="宋体"/>
          <w:kern w:val="0"/>
          <w:sz w:val="24"/>
          <w:szCs w:val="24"/>
        </w:rPr>
        <w:t>优选混合型发起式证券投资基金</w:t>
      </w:r>
      <w:r w:rsidRPr="00D05755">
        <w:rPr>
          <w:rFonts w:ascii="宋体" w:hAnsi="宋体" w:cs="宋体"/>
          <w:kern w:val="0"/>
          <w:sz w:val="24"/>
          <w:szCs w:val="24"/>
        </w:rPr>
        <w:t>由基金管理人依照《基金法》、基金合同及其他有关规定募集，并经中国证券监督管理委员会(以下简称“中国证监会”)注册。</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中国证监会对本基金</w:t>
      </w:r>
      <w:r w:rsidRPr="00D05755">
        <w:rPr>
          <w:rStyle w:val="custom"/>
          <w:rFonts w:ascii="宋体" w:hAnsi="宋体" w:cs="宋体"/>
          <w:kern w:val="0"/>
          <w:sz w:val="24"/>
          <w:szCs w:val="24"/>
        </w:rPr>
        <w:t>募集</w:t>
      </w:r>
      <w:r w:rsidRPr="00D05755">
        <w:rPr>
          <w:rFonts w:ascii="宋体" w:hAnsi="宋体" w:cs="宋体"/>
          <w:kern w:val="0"/>
          <w:sz w:val="24"/>
          <w:szCs w:val="24"/>
        </w:rPr>
        <w:t>的注册，并不表明其对本基金的投资价值和市场前景做出实质性判断或保证，也不表明投资于本基金没有风险。</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基金管理人依照恪尽职守、诚实信用、谨慎勤勉的原则管理和运用基金财产，但不保证投资于本基金一定盈利，也不保证最低收益。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投资者应当认真阅读基金招募说明书、基金合同、基金产品资料概要等信息披露文件，自主判断基金的投资价值，自主做出投资决策，自行承担投资风险。</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lastRenderedPageBreak/>
        <w:t>四、</w:t>
      </w:r>
      <w:r w:rsidRPr="00D05755">
        <w:rPr>
          <w:rFonts w:ascii="宋体" w:hAnsi="宋体" w:cs="宋体"/>
          <w:kern w:val="0"/>
          <w:sz w:val="24"/>
          <w:szCs w:val="24"/>
        </w:rPr>
        <w:t>基金管理人、基金托管人在本基金合同之外披露涉及本基金的信息，其内容涉及界定基金合同当事人之间权利义务关系的，如与基金合同有冲突，以基金合同为准。</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五、</w:t>
      </w:r>
      <w:r w:rsidRPr="00D05755">
        <w:rPr>
          <w:rFonts w:ascii="宋体" w:hAnsi="宋体" w:cs="宋体"/>
          <w:kern w:val="0"/>
          <w:sz w:val="24"/>
          <w:szCs w:val="24"/>
        </w:rPr>
        <w:t>本基金按照中国法律法规成立并运作，</w:t>
      </w:r>
      <w:proofErr w:type="gramStart"/>
      <w:r w:rsidRPr="00D05755">
        <w:rPr>
          <w:rFonts w:ascii="宋体" w:hAnsi="宋体" w:cs="宋体"/>
          <w:kern w:val="0"/>
          <w:sz w:val="24"/>
          <w:szCs w:val="24"/>
        </w:rPr>
        <w:t>若基金</w:t>
      </w:r>
      <w:proofErr w:type="gramEnd"/>
      <w:r w:rsidRPr="00D05755">
        <w:rPr>
          <w:rFonts w:ascii="宋体" w:hAnsi="宋体" w:cs="宋体"/>
          <w:kern w:val="0"/>
          <w:sz w:val="24"/>
          <w:szCs w:val="24"/>
        </w:rPr>
        <w:t>合同的内容与届时有效的法律法规的强制性规定不一致，应当以届时有效的法律法规的规定为准。</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六、本基金投资相关股票市场交易互联互通机制（以下简称“港股通机制”）允许买卖的规定范围内的香港联合交易所上市的股票（以下简称“港股通标的股票”）的，会面临港股</w:t>
      </w:r>
      <w:proofErr w:type="gramStart"/>
      <w:r w:rsidRPr="00D05755">
        <w:rPr>
          <w:rStyle w:val="custom"/>
          <w:rFonts w:ascii="宋体" w:hAnsi="宋体" w:cs="宋体"/>
          <w:kern w:val="0"/>
          <w:sz w:val="24"/>
          <w:szCs w:val="24"/>
        </w:rPr>
        <w:t>通机制</w:t>
      </w:r>
      <w:proofErr w:type="gramEnd"/>
      <w:r w:rsidRPr="00D05755">
        <w:rPr>
          <w:rStyle w:val="custom"/>
          <w:rFonts w:ascii="宋体" w:hAnsi="宋体" w:cs="宋体"/>
          <w:kern w:val="0"/>
          <w:sz w:val="24"/>
          <w:szCs w:val="24"/>
        </w:rPr>
        <w:t>下因投资环境、投资标的、市场制度以及交易规则等差异带来的特有风险，包括港股市场股价波动较大的风险（港股市</w:t>
      </w:r>
      <w:proofErr w:type="gramStart"/>
      <w:r w:rsidRPr="00D05755">
        <w:rPr>
          <w:rStyle w:val="custom"/>
          <w:rFonts w:ascii="宋体" w:hAnsi="宋体" w:cs="宋体"/>
          <w:kern w:val="0"/>
          <w:sz w:val="24"/>
          <w:szCs w:val="24"/>
        </w:rPr>
        <w:t>场实行</w:t>
      </w:r>
      <w:proofErr w:type="gramEnd"/>
      <w:r w:rsidRPr="00D05755">
        <w:rPr>
          <w:rStyle w:val="custom"/>
          <w:rFonts w:ascii="宋体" w:hAnsi="宋体" w:cs="宋体"/>
          <w:kern w:val="0"/>
          <w:sz w:val="24"/>
          <w:szCs w:val="24"/>
        </w:rPr>
        <w:t>T+0回转交易，且对个股不设涨跌幅限制，港股股价可能表现出比A股更为剧烈的股价波动）、汇率风险（汇率波动可能对基金的投资收益造成损失）、港股</w:t>
      </w:r>
      <w:proofErr w:type="gramStart"/>
      <w:r w:rsidRPr="00D05755">
        <w:rPr>
          <w:rStyle w:val="custom"/>
          <w:rFonts w:ascii="宋体" w:hAnsi="宋体" w:cs="宋体"/>
          <w:kern w:val="0"/>
          <w:sz w:val="24"/>
          <w:szCs w:val="24"/>
        </w:rPr>
        <w:t>通机制</w:t>
      </w:r>
      <w:proofErr w:type="gramEnd"/>
      <w:r w:rsidRPr="00D05755">
        <w:rPr>
          <w:rStyle w:val="custom"/>
          <w:rFonts w:ascii="宋体" w:hAnsi="宋体" w:cs="宋体"/>
          <w:kern w:val="0"/>
          <w:sz w:val="24"/>
          <w:szCs w:val="24"/>
        </w:rPr>
        <w:t>下交易日不连贯可能带来的风险（在内地开市香港休市的情形下，港股</w:t>
      </w:r>
      <w:proofErr w:type="gramStart"/>
      <w:r w:rsidRPr="00D05755">
        <w:rPr>
          <w:rStyle w:val="custom"/>
          <w:rFonts w:ascii="宋体" w:hAnsi="宋体" w:cs="宋体"/>
          <w:kern w:val="0"/>
          <w:sz w:val="24"/>
          <w:szCs w:val="24"/>
        </w:rPr>
        <w:t>通不能</w:t>
      </w:r>
      <w:proofErr w:type="gramEnd"/>
      <w:r w:rsidRPr="00D05755">
        <w:rPr>
          <w:rStyle w:val="custom"/>
          <w:rFonts w:ascii="宋体" w:hAnsi="宋体" w:cs="宋体"/>
          <w:kern w:val="0"/>
          <w:sz w:val="24"/>
          <w:szCs w:val="24"/>
        </w:rPr>
        <w:t>正常交易，港股不能及时卖出，可能带来一定的流动性风险）等。具体风险请查阅本基金招募说明书的“风险揭示”章节的具体内容。</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本基金可根据投资策略需要或不同配置地市场环境的变化，选择将部分基金资产投资于港股或选择不将基金资产投资于港股，基金资产并非必然投资港股。</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七、本基金可投资存托凭证，除普通股票投资可能面临的宏观经济风险、政策风险、市场风险、流动性风险外，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w:t>
      </w:r>
      <w:proofErr w:type="gramStart"/>
      <w:r w:rsidRPr="00D05755">
        <w:rPr>
          <w:rStyle w:val="custom"/>
          <w:rFonts w:ascii="宋体" w:hAnsi="宋体" w:cs="宋体"/>
          <w:kern w:val="0"/>
          <w:sz w:val="24"/>
          <w:szCs w:val="24"/>
        </w:rPr>
        <w:t>市风险</w:t>
      </w:r>
      <w:proofErr w:type="gramEnd"/>
      <w:r w:rsidRPr="00D05755">
        <w:rPr>
          <w:rStyle w:val="custom"/>
          <w:rFonts w:ascii="宋体" w:hAnsi="宋体" w:cs="宋体"/>
          <w:kern w:val="0"/>
          <w:sz w:val="24"/>
          <w:szCs w:val="24"/>
        </w:rPr>
        <w:t>等其他风险。</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八、为对冲信用风险，本基金可能投资信用衍生品，信用衍生品的投资可能面临流动性风险、偿付风险和价格波动风险等。</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九、本基金单一投资者（基金管理人、基金管理人高级管理人员或基金经理等人员作为发起资金提供方除外）持有基金份额数不得达到或超过基金份额总数的50%，但在基金运作过程中因基金份额赎回等基金管理人无法予以控制的情形导致被动达到或超过50%的除外。法律法规或监管机构另有规定的，从其规定。</w:t>
      </w:r>
    </w:p>
    <w:p w:rsidR="00E8691A" w:rsidRPr="00D05755" w:rsidRDefault="006E24B4">
      <w:pPr>
        <w:spacing w:line="360" w:lineRule="auto"/>
        <w:ind w:firstLineChars="200" w:firstLine="480"/>
        <w:rPr>
          <w:rFonts w:asciiTheme="minorEastAsia" w:hAnsiTheme="minorEastAsia"/>
          <w:sz w:val="24"/>
          <w:szCs w:val="24"/>
        </w:rPr>
      </w:pPr>
      <w:r w:rsidRPr="00D05755">
        <w:rPr>
          <w:rFonts w:asciiTheme="minorEastAsia" w:hAnsiTheme="minorEastAsia" w:cs="宋体" w:hint="eastAsia"/>
          <w:kern w:val="0"/>
          <w:sz w:val="24"/>
          <w:szCs w:val="24"/>
        </w:rPr>
        <w:t>十、</w:t>
      </w:r>
      <w:r w:rsidRPr="00D05755">
        <w:rPr>
          <w:rFonts w:hint="eastAsia"/>
          <w:bCs/>
          <w:sz w:val="24"/>
        </w:rPr>
        <w:t>本基金的管理费由固定管理费、或有管理费和</w:t>
      </w:r>
      <w:r w:rsidRPr="00D05755">
        <w:rPr>
          <w:rFonts w:asciiTheme="minorEastAsia" w:hAnsiTheme="minorEastAsia" w:hint="eastAsia"/>
          <w:sz w:val="24"/>
          <w:szCs w:val="24"/>
        </w:rPr>
        <w:t>超额管理费</w:t>
      </w:r>
      <w:r w:rsidRPr="00D05755">
        <w:rPr>
          <w:rFonts w:hint="eastAsia"/>
          <w:bCs/>
          <w:sz w:val="24"/>
        </w:rPr>
        <w:t>组成，其中或有管理费和</w:t>
      </w:r>
      <w:r w:rsidRPr="00D05755">
        <w:rPr>
          <w:rFonts w:asciiTheme="minorEastAsia" w:hAnsiTheme="minorEastAsia" w:hint="eastAsia"/>
          <w:sz w:val="24"/>
          <w:szCs w:val="24"/>
        </w:rPr>
        <w:t>超额管理费</w:t>
      </w:r>
      <w:r w:rsidRPr="00D05755">
        <w:rPr>
          <w:rFonts w:hint="eastAsia"/>
          <w:bCs/>
          <w:sz w:val="24"/>
        </w:rPr>
        <w:t>取决于</w:t>
      </w:r>
      <w:r w:rsidRPr="00D05755">
        <w:rPr>
          <w:rFonts w:asciiTheme="minorEastAsia" w:hAnsiTheme="minorEastAsia" w:hint="eastAsia"/>
          <w:bCs/>
          <w:sz w:val="24"/>
          <w:szCs w:val="24"/>
        </w:rPr>
        <w:t>基金份额持有人每笔认</w:t>
      </w:r>
      <w:r w:rsidRPr="00D05755">
        <w:rPr>
          <w:rFonts w:asciiTheme="minorEastAsia" w:hAnsiTheme="minorEastAsia"/>
          <w:bCs/>
          <w:sz w:val="24"/>
          <w:szCs w:val="24"/>
        </w:rPr>
        <w:t>/申购份额的持有时间</w:t>
      </w:r>
      <w:proofErr w:type="gramStart"/>
      <w:r w:rsidRPr="00D05755">
        <w:rPr>
          <w:rFonts w:asciiTheme="minorEastAsia" w:hAnsiTheme="minorEastAsia"/>
          <w:bCs/>
          <w:sz w:val="24"/>
          <w:szCs w:val="24"/>
        </w:rPr>
        <w:t>和年</w:t>
      </w:r>
      <w:r w:rsidRPr="00D05755">
        <w:rPr>
          <w:rFonts w:asciiTheme="minorEastAsia" w:hAnsiTheme="minorEastAsia"/>
          <w:bCs/>
          <w:sz w:val="24"/>
          <w:szCs w:val="24"/>
        </w:rPr>
        <w:lastRenderedPageBreak/>
        <w:t>化收益率</w:t>
      </w:r>
      <w:proofErr w:type="gramEnd"/>
      <w:r w:rsidRPr="00D05755">
        <w:rPr>
          <w:rFonts w:asciiTheme="minorEastAsia" w:hAnsiTheme="minorEastAsia"/>
          <w:bCs/>
          <w:sz w:val="24"/>
          <w:szCs w:val="24"/>
        </w:rPr>
        <w:t>与同期业绩比较</w:t>
      </w:r>
      <w:proofErr w:type="gramStart"/>
      <w:r w:rsidRPr="00D05755">
        <w:rPr>
          <w:rFonts w:asciiTheme="minorEastAsia" w:hAnsiTheme="minorEastAsia"/>
          <w:bCs/>
          <w:sz w:val="24"/>
          <w:szCs w:val="24"/>
        </w:rPr>
        <w:t>基准年化收益率</w:t>
      </w:r>
      <w:proofErr w:type="gramEnd"/>
      <w:r w:rsidRPr="00D05755">
        <w:rPr>
          <w:rFonts w:asciiTheme="minorEastAsia" w:hAnsiTheme="minorEastAsia"/>
          <w:bCs/>
          <w:sz w:val="24"/>
          <w:szCs w:val="24"/>
        </w:rPr>
        <w:t>的</w:t>
      </w:r>
      <w:r w:rsidRPr="00D05755">
        <w:rPr>
          <w:rFonts w:asciiTheme="minorEastAsia" w:hAnsiTheme="minorEastAsia" w:hint="eastAsia"/>
          <w:sz w:val="24"/>
          <w:szCs w:val="24"/>
        </w:rPr>
        <w:t>情况</w:t>
      </w:r>
      <w:r w:rsidRPr="00D05755">
        <w:rPr>
          <w:rFonts w:hint="eastAsia"/>
          <w:bCs/>
          <w:sz w:val="24"/>
        </w:rPr>
        <w:t>，因此投资者在认</w:t>
      </w:r>
      <w:r w:rsidRPr="00D05755">
        <w:rPr>
          <w:bCs/>
          <w:sz w:val="24"/>
        </w:rPr>
        <w:t>/</w:t>
      </w:r>
      <w:r w:rsidRPr="00D05755">
        <w:rPr>
          <w:rFonts w:hint="eastAsia"/>
          <w:bCs/>
          <w:sz w:val="24"/>
        </w:rPr>
        <w:t>申购本基金时无法预先确定该笔基金份额适用的管理费水平。由于本基金在计算各类基金份额净值时，按前一日基金资产净值的</w:t>
      </w:r>
      <w:r w:rsidRPr="00D05755">
        <w:rPr>
          <w:bCs/>
          <w:sz w:val="24"/>
        </w:rPr>
        <w:t>1.20%</w:t>
      </w:r>
      <w:r w:rsidRPr="00D05755">
        <w:rPr>
          <w:rFonts w:hint="eastAsia"/>
          <w:bCs/>
          <w:sz w:val="24"/>
        </w:rPr>
        <w:t>年费率计算管理费，该费率可能高于或低于不同投资者最终适用的管理费率。在基金份额赎回或基金合同终止的情形发生时，基金投资者实际收到的赎回款项或清算款项的金额可能与按披露的该类基金份额净值计算的结果存在差异。</w:t>
      </w:r>
      <w:bookmarkStart w:id="43" w:name="_Hlk198158537"/>
      <w:r w:rsidRPr="00D05755">
        <w:rPr>
          <w:rFonts w:hint="eastAsia"/>
          <w:bCs/>
          <w:sz w:val="24"/>
        </w:rPr>
        <w:t>投资者的实际赎回金额和清算资金以登记机构确认数据为准。</w:t>
      </w:r>
      <w:bookmarkEnd w:id="43"/>
      <w:r w:rsidRPr="00D05755">
        <w:rPr>
          <w:rFonts w:asciiTheme="minorEastAsia" w:hAnsiTheme="minorEastAsia" w:hint="eastAsia"/>
          <w:sz w:val="24"/>
          <w:szCs w:val="24"/>
        </w:rPr>
        <w:t>本基金采用浮动管理费的收费模式，不代表基金管理人对基金收益的保证。</w:t>
      </w:r>
    </w:p>
    <w:p w:rsidR="00E8691A" w:rsidRPr="00D05755" w:rsidRDefault="006E24B4">
      <w:pPr>
        <w:spacing w:line="360" w:lineRule="auto"/>
        <w:ind w:firstLineChars="200" w:firstLine="480"/>
        <w:rPr>
          <w:rFonts w:asciiTheme="minorEastAsia" w:hAnsiTheme="minorEastAsia"/>
          <w:sz w:val="24"/>
          <w:szCs w:val="24"/>
        </w:rPr>
      </w:pPr>
      <w:r w:rsidRPr="00D05755">
        <w:rPr>
          <w:rStyle w:val="serial-tag"/>
          <w:rFonts w:ascii="宋体" w:hAnsi="宋体" w:cs="宋体"/>
          <w:kern w:val="0"/>
          <w:sz w:val="24"/>
          <w:szCs w:val="24"/>
        </w:rPr>
        <w:t>十一、</w:t>
      </w:r>
      <w:r w:rsidRPr="00D05755">
        <w:rPr>
          <w:rFonts w:ascii="宋体" w:hAnsi="宋体" w:cs="宋体"/>
          <w:kern w:val="0"/>
          <w:sz w:val="24"/>
          <w:szCs w:val="24"/>
        </w:rPr>
        <w:t>对于投资者通过直销机构（含基金管理人及其销售子公司，下同）认购/申购C类基金份额计提的销售服务费、通过其他销售机构认购/申购的C类基金份额持续持有期限超过一年（即365天）以后继续计提的销售服务费采取先收后返模式，基金投资者实际收到的赎回款项或清算款项的金额可能与按披露的C类基金份额净值计算的结果存在差异。投资者的实际赎回金额和清算资金以登记机构确认数据为准。</w:t>
      </w:r>
      <w:r w:rsidRPr="00D05755">
        <w:rPr>
          <w:rFonts w:asciiTheme="minorEastAsia" w:hAnsiTheme="minorEastAsia" w:hint="eastAsia"/>
          <w:sz w:val="24"/>
          <w:szCs w:val="24"/>
        </w:rPr>
        <w:t xml:space="preserve"> </w:t>
      </w:r>
    </w:p>
    <w:p w:rsidR="00E8691A" w:rsidRPr="00D05755" w:rsidRDefault="00E8691A">
      <w:pPr>
        <w:spacing w:line="360" w:lineRule="auto"/>
        <w:ind w:firstLineChars="200" w:firstLine="480"/>
        <w:rPr>
          <w:rFonts w:asciiTheme="minorEastAsia" w:hAnsiTheme="minorEastAsia"/>
          <w:sz w:val="24"/>
          <w:szCs w:val="24"/>
        </w:rPr>
      </w:pPr>
    </w:p>
    <w:bookmarkEnd w:id="41"/>
    <w:bookmarkEnd w:id="42"/>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44" w:name="_Toc256000001"/>
      <w:r w:rsidRPr="00D05755">
        <w:rPr>
          <w:rFonts w:ascii="Times New Roman"/>
          <w:color w:val="auto"/>
          <w:sz w:val="30"/>
        </w:rPr>
        <w:lastRenderedPageBreak/>
        <w:t>第二部分</w:t>
      </w:r>
      <w:r w:rsidRPr="00D05755">
        <w:rPr>
          <w:rFonts w:ascii="Times New Roman"/>
          <w:color w:val="auto"/>
          <w:sz w:val="30"/>
        </w:rPr>
        <w:t xml:space="preserve">  </w:t>
      </w:r>
      <w:r w:rsidRPr="00D05755">
        <w:rPr>
          <w:rFonts w:ascii="Times New Roman"/>
          <w:color w:val="auto"/>
          <w:sz w:val="30"/>
        </w:rPr>
        <w:t>释义</w:t>
      </w:r>
      <w:bookmarkEnd w:id="44"/>
    </w:p>
    <w:p w:rsidR="00E8691A" w:rsidRPr="00D05755" w:rsidRDefault="00E8691A"/>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在本基金合同中，除非文意另有所指，下列词语或简称具有如下含义：</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基金或本基金：</w:t>
      </w:r>
      <w:proofErr w:type="gramStart"/>
      <w:r w:rsidRPr="00D05755">
        <w:rPr>
          <w:rFonts w:ascii="宋体" w:hAnsi="宋体" w:cs="宋体"/>
          <w:kern w:val="0"/>
          <w:sz w:val="24"/>
          <w:szCs w:val="24"/>
        </w:rPr>
        <w:t>指</w:t>
      </w:r>
      <w:r w:rsidRPr="00D05755">
        <w:rPr>
          <w:rStyle w:val="custom"/>
          <w:rFonts w:ascii="宋体" w:hAnsi="宋体" w:cs="宋体"/>
          <w:kern w:val="0"/>
          <w:sz w:val="24"/>
          <w:szCs w:val="24"/>
        </w:rPr>
        <w:t>汇添富金融</w:t>
      </w:r>
      <w:proofErr w:type="gramEnd"/>
      <w:r w:rsidRPr="00D05755">
        <w:rPr>
          <w:rStyle w:val="custom"/>
          <w:rFonts w:ascii="宋体" w:hAnsi="宋体" w:cs="宋体"/>
          <w:kern w:val="0"/>
          <w:sz w:val="24"/>
          <w:szCs w:val="24"/>
        </w:rPr>
        <w:t>优选混合型发起式证券投资基金</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基金管理人：</w:t>
      </w:r>
      <w:proofErr w:type="gramStart"/>
      <w:r w:rsidRPr="00D05755">
        <w:rPr>
          <w:rFonts w:ascii="宋体" w:hAnsi="宋体" w:cs="宋体"/>
          <w:kern w:val="0"/>
          <w:sz w:val="24"/>
          <w:szCs w:val="24"/>
        </w:rPr>
        <w:t>指汇添富基金</w:t>
      </w:r>
      <w:proofErr w:type="gramEnd"/>
      <w:r w:rsidRPr="00D05755">
        <w:rPr>
          <w:rFonts w:ascii="宋体" w:hAnsi="宋体" w:cs="宋体"/>
          <w:kern w:val="0"/>
          <w:sz w:val="24"/>
          <w:szCs w:val="24"/>
        </w:rPr>
        <w:t>管理股份有限公司</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基金托管人：指</w:t>
      </w:r>
      <w:r w:rsidRPr="00D05755">
        <w:rPr>
          <w:rStyle w:val="custom"/>
          <w:rFonts w:ascii="宋体" w:hAnsi="宋体" w:cs="宋体"/>
          <w:kern w:val="0"/>
          <w:sz w:val="24"/>
          <w:szCs w:val="24"/>
        </w:rPr>
        <w:t>中国农业银行股份有限公司</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基金合同或本基金合同：指《</w:t>
      </w:r>
      <w:r w:rsidRPr="00D05755">
        <w:rPr>
          <w:rStyle w:val="custom"/>
          <w:rFonts w:ascii="宋体" w:hAnsi="宋体" w:cs="宋体"/>
          <w:kern w:val="0"/>
          <w:sz w:val="24"/>
          <w:szCs w:val="24"/>
        </w:rPr>
        <w:t>汇添富金融优选混合型发起式证券投资基金</w:t>
      </w:r>
      <w:r w:rsidRPr="00D05755">
        <w:rPr>
          <w:rFonts w:ascii="宋体" w:hAnsi="宋体" w:cs="宋体"/>
          <w:kern w:val="0"/>
          <w:sz w:val="24"/>
          <w:szCs w:val="24"/>
        </w:rPr>
        <w:t>基金合同》及对本基金合同的任何有效修订和补充</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托管协议：指基金管理人与基金托管人就本基金签订之《</w:t>
      </w:r>
      <w:r w:rsidRPr="00D05755">
        <w:rPr>
          <w:rStyle w:val="custom"/>
          <w:rFonts w:ascii="宋体" w:hAnsi="宋体" w:cs="宋体"/>
          <w:kern w:val="0"/>
          <w:sz w:val="24"/>
          <w:szCs w:val="24"/>
        </w:rPr>
        <w:t>汇添富金融优选混合型发起式证券投资基金</w:t>
      </w:r>
      <w:r w:rsidRPr="00D05755">
        <w:rPr>
          <w:rFonts w:ascii="宋体" w:hAnsi="宋体" w:cs="宋体"/>
          <w:kern w:val="0"/>
          <w:sz w:val="24"/>
          <w:szCs w:val="24"/>
        </w:rPr>
        <w:t>托管协议》及对该托管协议的任何有效修订和补充</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招募说明书：指《</w:t>
      </w:r>
      <w:r w:rsidRPr="00D05755">
        <w:rPr>
          <w:rStyle w:val="custom"/>
          <w:rFonts w:ascii="宋体" w:hAnsi="宋体" w:cs="宋体"/>
          <w:kern w:val="0"/>
          <w:sz w:val="24"/>
          <w:szCs w:val="24"/>
        </w:rPr>
        <w:t>汇添富金融优选混合型发起式证券投资基金</w:t>
      </w:r>
      <w:r w:rsidRPr="00D05755">
        <w:rPr>
          <w:rFonts w:ascii="宋体" w:hAnsi="宋体" w:cs="宋体"/>
          <w:kern w:val="0"/>
          <w:sz w:val="24"/>
          <w:szCs w:val="24"/>
        </w:rPr>
        <w:t>招募说明书》及其更新</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基金产品资料概要：指《</w:t>
      </w:r>
      <w:r w:rsidRPr="00D05755">
        <w:rPr>
          <w:rStyle w:val="custom"/>
          <w:rFonts w:ascii="宋体" w:hAnsi="宋体" w:cs="宋体"/>
          <w:kern w:val="0"/>
          <w:sz w:val="24"/>
          <w:szCs w:val="24"/>
        </w:rPr>
        <w:t>汇添富金融优选混合型发起式证券投资基金</w:t>
      </w:r>
      <w:r w:rsidRPr="00D05755">
        <w:rPr>
          <w:rFonts w:ascii="宋体" w:hAnsi="宋体" w:cs="宋体"/>
          <w:kern w:val="0"/>
          <w:sz w:val="24"/>
          <w:szCs w:val="24"/>
        </w:rPr>
        <w:t>基金产品资料概要》及其更新</w:t>
      </w:r>
    </w:p>
    <w:p w:rsidR="00E8691A" w:rsidRPr="00D05755" w:rsidRDefault="006E24B4">
      <w:pPr>
        <w:pStyle w:val="div"/>
        <w:spacing w:line="360" w:lineRule="auto"/>
        <w:ind w:firstLine="420"/>
        <w:rPr>
          <w:rFonts w:eastAsia="Times New Roman"/>
          <w:kern w:val="0"/>
          <w:sz w:val="24"/>
          <w:szCs w:val="24"/>
        </w:rPr>
      </w:pPr>
      <w:r w:rsidRPr="00D05755">
        <w:rPr>
          <w:rStyle w:val="serial-tag"/>
          <w:rFonts w:ascii="宋体" w:hAnsi="宋体" w:cs="宋体"/>
          <w:kern w:val="0"/>
          <w:sz w:val="24"/>
          <w:szCs w:val="24"/>
        </w:rPr>
        <w:t>8、</w:t>
      </w:r>
      <w:r w:rsidRPr="00D05755">
        <w:rPr>
          <w:rStyle w:val="custom"/>
          <w:rFonts w:ascii="宋体" w:hAnsi="宋体" w:cs="宋体"/>
          <w:kern w:val="0"/>
          <w:sz w:val="24"/>
          <w:szCs w:val="24"/>
        </w:rPr>
        <w:t>基金份额发售公告：指《汇添富金融优选混合型发起式证券投资基金基金份额发售公告》</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9、</w:t>
      </w:r>
      <w:r w:rsidRPr="00D05755">
        <w:rPr>
          <w:rFonts w:ascii="宋体" w:hAnsi="宋体" w:cs="宋体"/>
          <w:kern w:val="0"/>
          <w:sz w:val="24"/>
          <w:szCs w:val="24"/>
        </w:rPr>
        <w:t>法律法规：指中国现行有效并公布实施的法律、行政法规、规范性文件、司法解释、行政规章以及其他对基金合同当事人有约束力的决定、决议、通知等</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10、</w:t>
      </w:r>
      <w:r w:rsidRPr="00D05755">
        <w:rPr>
          <w:rFonts w:ascii="宋体" w:hAnsi="宋体" w:cs="宋体"/>
          <w:kern w:val="0"/>
          <w:sz w:val="24"/>
          <w:szCs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11、</w:t>
      </w:r>
      <w:r w:rsidRPr="00D05755">
        <w:rPr>
          <w:rFonts w:ascii="宋体" w:hAnsi="宋体" w:cs="宋体"/>
          <w:kern w:val="0"/>
          <w:sz w:val="24"/>
          <w:szCs w:val="24"/>
        </w:rPr>
        <w:t>《销售办法》：指中国证监会2020年8月28日颁布、同年10月1日实施的《公开募集证券投资基金销售机构监督管理办法》及颁布机关对其不时做出的修订</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12、</w:t>
      </w:r>
      <w:r w:rsidRPr="00D05755">
        <w:rPr>
          <w:rFonts w:ascii="宋体" w:hAnsi="宋体" w:cs="宋体"/>
          <w:kern w:val="0"/>
          <w:sz w:val="24"/>
          <w:szCs w:val="24"/>
        </w:rPr>
        <w:t>《信息披露办法》：指中国证监会2019年7月26日颁布、同年9月1日实施的，并经2020年3月20日中国证监会《关于修改部分证券期货规章的决</w:t>
      </w:r>
      <w:r w:rsidRPr="00D05755">
        <w:rPr>
          <w:rFonts w:ascii="宋体" w:hAnsi="宋体" w:cs="宋体"/>
          <w:kern w:val="0"/>
          <w:sz w:val="24"/>
          <w:szCs w:val="24"/>
        </w:rPr>
        <w:lastRenderedPageBreak/>
        <w:t>定》修正的《公开募集证券投资基金信息披露管理办法》及颁布机关对其不时做出的修订</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13、</w:t>
      </w:r>
      <w:r w:rsidRPr="00D05755">
        <w:rPr>
          <w:rFonts w:ascii="宋体" w:hAnsi="宋体" w:cs="宋体"/>
          <w:kern w:val="0"/>
          <w:sz w:val="24"/>
          <w:szCs w:val="24"/>
        </w:rPr>
        <w:t>《运作办法》：指中国证监会2014年7月7日颁布、同年8月8日实施的《公开募集证券投资基金运作管理办法》及颁布机关对其不时做出的修订</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14、</w:t>
      </w:r>
      <w:r w:rsidRPr="00D05755">
        <w:rPr>
          <w:rFonts w:ascii="宋体" w:hAnsi="宋体" w:cs="宋体"/>
          <w:kern w:val="0"/>
          <w:sz w:val="24"/>
          <w:szCs w:val="24"/>
        </w:rPr>
        <w:t>《流动性风险管理规定》：指中国证监会2017年8月31日颁布、同年10月1日实施的《公开募集开放式证券投资基金流动性风险管理规定》及颁布机关对其不时做出的修订</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15、</w:t>
      </w:r>
      <w:r w:rsidRPr="00D05755">
        <w:rPr>
          <w:rFonts w:ascii="宋体" w:hAnsi="宋体" w:cs="宋体"/>
          <w:kern w:val="0"/>
          <w:sz w:val="24"/>
          <w:szCs w:val="24"/>
        </w:rPr>
        <w:t>中国证监会：指中国证券监督管理委员会</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16、银行业监督管理机构：指中国人民银行和/或国家金融监督管理总局</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17、</w:t>
      </w:r>
      <w:r w:rsidRPr="00D05755">
        <w:rPr>
          <w:rFonts w:ascii="宋体" w:hAnsi="宋体" w:cs="宋体"/>
          <w:kern w:val="0"/>
          <w:sz w:val="24"/>
          <w:szCs w:val="24"/>
        </w:rPr>
        <w:t>基金合同当事人：指受基金合同约束，根据基金合同享有权利并承担义务的法律主体，包括基金管理人、基金托管人和基金份额持有人</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18、</w:t>
      </w:r>
      <w:r w:rsidRPr="00D05755">
        <w:rPr>
          <w:rFonts w:ascii="宋体" w:hAnsi="宋体" w:cs="宋体"/>
          <w:kern w:val="0"/>
          <w:sz w:val="24"/>
          <w:szCs w:val="24"/>
        </w:rPr>
        <w:t>个人投资者：指依据有关法律法规规定可投资于证券投资基金的自然人</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19、</w:t>
      </w:r>
      <w:r w:rsidRPr="00D05755">
        <w:rPr>
          <w:rFonts w:ascii="宋体" w:hAnsi="宋体" w:cs="宋体"/>
          <w:kern w:val="0"/>
          <w:sz w:val="24"/>
          <w:szCs w:val="24"/>
        </w:rPr>
        <w:t>机构投资者：指依法可以投资证券投资基金的、在中华人民共和国境内合法登记并存续或经有关政府部门批准设立并存续的企业法人、事业法人、社会团体或其他组织</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20、</w:t>
      </w:r>
      <w:r w:rsidRPr="00D05755">
        <w:rPr>
          <w:rFonts w:ascii="宋体" w:hAnsi="宋体" w:cs="宋体"/>
          <w:kern w:val="0"/>
          <w:sz w:val="24"/>
          <w:szCs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21、投资人、投资者：指个人投资者、机构投资者、合格境外投资者、发起资金提供方以及法律法规或中国证监会允许购买证券投资基金的其他投资人的合称</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22、</w:t>
      </w:r>
      <w:r w:rsidRPr="00D05755">
        <w:rPr>
          <w:rFonts w:ascii="宋体" w:hAnsi="宋体" w:cs="宋体"/>
          <w:kern w:val="0"/>
          <w:sz w:val="24"/>
          <w:szCs w:val="24"/>
        </w:rPr>
        <w:t>基金份额持有人：指依基金合同和招募说明书合法取得基金份额的投资人</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23、</w:t>
      </w:r>
      <w:r w:rsidRPr="00D05755">
        <w:rPr>
          <w:rFonts w:ascii="宋体" w:hAnsi="宋体" w:cs="宋体"/>
          <w:kern w:val="0"/>
          <w:sz w:val="24"/>
          <w:szCs w:val="24"/>
        </w:rPr>
        <w:t>基金销售业务：指基金管理人或销售机构宣传推介基金，</w:t>
      </w:r>
      <w:r w:rsidRPr="00D05755">
        <w:rPr>
          <w:rStyle w:val="custom"/>
          <w:rFonts w:ascii="宋体" w:hAnsi="宋体" w:cs="宋体"/>
          <w:kern w:val="0"/>
          <w:sz w:val="24"/>
          <w:szCs w:val="24"/>
        </w:rPr>
        <w:t>发售基金份额，</w:t>
      </w:r>
      <w:r w:rsidRPr="00D05755">
        <w:rPr>
          <w:rFonts w:ascii="宋体" w:hAnsi="宋体" w:cs="宋体"/>
          <w:kern w:val="0"/>
          <w:sz w:val="24"/>
          <w:szCs w:val="24"/>
        </w:rPr>
        <w:t>办理基金份额的申购、赎回、转换、转托管及定期定额投资等业务</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24、销售机构：</w:t>
      </w:r>
      <w:proofErr w:type="gramStart"/>
      <w:r w:rsidRPr="00D05755">
        <w:rPr>
          <w:rStyle w:val="custom"/>
          <w:rFonts w:ascii="宋体" w:hAnsi="宋体" w:cs="宋体"/>
          <w:kern w:val="0"/>
          <w:sz w:val="24"/>
          <w:szCs w:val="24"/>
        </w:rPr>
        <w:t>指汇添富基金</w:t>
      </w:r>
      <w:proofErr w:type="gramEnd"/>
      <w:r w:rsidRPr="00D05755">
        <w:rPr>
          <w:rStyle w:val="custom"/>
          <w:rFonts w:ascii="宋体" w:hAnsi="宋体" w:cs="宋体"/>
          <w:kern w:val="0"/>
          <w:sz w:val="24"/>
          <w:szCs w:val="24"/>
        </w:rPr>
        <w:t>管理股份有限公司以及符合《销售办法》和中国证监会规定的其他条件，取得基金销售业务资格并与基金管理人签订了基金销售服务协议，办理基金销售业务的机构</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lastRenderedPageBreak/>
        <w:t>25、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D05755">
        <w:rPr>
          <w:rStyle w:val="custom"/>
          <w:rFonts w:ascii="宋体" w:hAnsi="宋体" w:cs="宋体"/>
          <w:kern w:val="0"/>
          <w:sz w:val="24"/>
          <w:szCs w:val="24"/>
        </w:rPr>
        <w:t>非交易</w:t>
      </w:r>
      <w:proofErr w:type="gramEnd"/>
      <w:r w:rsidRPr="00D05755">
        <w:rPr>
          <w:rStyle w:val="custom"/>
          <w:rFonts w:ascii="宋体" w:hAnsi="宋体" w:cs="宋体"/>
          <w:kern w:val="0"/>
          <w:sz w:val="24"/>
          <w:szCs w:val="24"/>
        </w:rPr>
        <w:t>过户等</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26、</w:t>
      </w:r>
      <w:r w:rsidRPr="00D05755">
        <w:rPr>
          <w:rFonts w:ascii="宋体" w:hAnsi="宋体" w:cs="宋体"/>
          <w:kern w:val="0"/>
          <w:sz w:val="24"/>
          <w:szCs w:val="24"/>
        </w:rPr>
        <w:t>登记机构：</w:t>
      </w:r>
      <w:proofErr w:type="gramStart"/>
      <w:r w:rsidRPr="00D05755">
        <w:rPr>
          <w:rFonts w:ascii="宋体" w:hAnsi="宋体" w:cs="宋体"/>
          <w:kern w:val="0"/>
          <w:sz w:val="24"/>
          <w:szCs w:val="24"/>
        </w:rPr>
        <w:t>指办理</w:t>
      </w:r>
      <w:proofErr w:type="gramEnd"/>
      <w:r w:rsidRPr="00D05755">
        <w:rPr>
          <w:rFonts w:ascii="宋体" w:hAnsi="宋体" w:cs="宋体"/>
          <w:kern w:val="0"/>
          <w:sz w:val="24"/>
          <w:szCs w:val="24"/>
        </w:rPr>
        <w:t>登记业务的机构。基金的登记机构为</w:t>
      </w:r>
      <w:proofErr w:type="gramStart"/>
      <w:r w:rsidRPr="00D05755">
        <w:rPr>
          <w:rFonts w:ascii="宋体" w:hAnsi="宋体" w:cs="宋体"/>
          <w:kern w:val="0"/>
          <w:sz w:val="24"/>
          <w:szCs w:val="24"/>
        </w:rPr>
        <w:t>汇添富基金</w:t>
      </w:r>
      <w:proofErr w:type="gramEnd"/>
      <w:r w:rsidRPr="00D05755">
        <w:rPr>
          <w:rFonts w:ascii="宋体" w:hAnsi="宋体" w:cs="宋体"/>
          <w:kern w:val="0"/>
          <w:sz w:val="24"/>
          <w:szCs w:val="24"/>
        </w:rPr>
        <w:t>管理股份有限公司或接受</w:t>
      </w:r>
      <w:proofErr w:type="gramStart"/>
      <w:r w:rsidRPr="00D05755">
        <w:rPr>
          <w:rFonts w:ascii="宋体" w:hAnsi="宋体" w:cs="宋体"/>
          <w:kern w:val="0"/>
          <w:sz w:val="24"/>
          <w:szCs w:val="24"/>
        </w:rPr>
        <w:t>汇添富基金</w:t>
      </w:r>
      <w:proofErr w:type="gramEnd"/>
      <w:r w:rsidRPr="00D05755">
        <w:rPr>
          <w:rFonts w:ascii="宋体" w:hAnsi="宋体" w:cs="宋体"/>
          <w:kern w:val="0"/>
          <w:sz w:val="24"/>
          <w:szCs w:val="24"/>
        </w:rPr>
        <w:t>管理股份有限公司委托代为办理登记业务的机构</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27、基金账户：指登记机构为投资人开立的、记录其持有的、基金管理人所管理的基金份额余额及其变动情况的账户</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28、</w:t>
      </w:r>
      <w:r w:rsidRPr="00D05755">
        <w:rPr>
          <w:rFonts w:ascii="宋体" w:hAnsi="宋体" w:cs="宋体"/>
          <w:kern w:val="0"/>
          <w:sz w:val="24"/>
          <w:szCs w:val="24"/>
        </w:rPr>
        <w:t>基金交易账户：指销售机构为投资人开立的、记录投资人通过该销售机构办理</w:t>
      </w:r>
      <w:r w:rsidRPr="00D05755">
        <w:rPr>
          <w:rStyle w:val="custom"/>
          <w:rFonts w:ascii="宋体" w:hAnsi="宋体" w:cs="宋体"/>
          <w:kern w:val="0"/>
          <w:sz w:val="24"/>
          <w:szCs w:val="24"/>
        </w:rPr>
        <w:t>认购、</w:t>
      </w:r>
      <w:r w:rsidRPr="00D05755">
        <w:rPr>
          <w:rFonts w:ascii="宋体" w:hAnsi="宋体" w:cs="宋体"/>
          <w:kern w:val="0"/>
          <w:sz w:val="24"/>
          <w:szCs w:val="24"/>
        </w:rPr>
        <w:t>申购、赎回、转换、转托管及定期定额投资等业务而引起的基金份额变动及结余情况的账户</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29、</w:t>
      </w:r>
      <w:r w:rsidRPr="00D05755">
        <w:rPr>
          <w:rFonts w:ascii="宋体" w:hAnsi="宋体" w:cs="宋体"/>
          <w:kern w:val="0"/>
          <w:sz w:val="24"/>
          <w:szCs w:val="24"/>
        </w:rPr>
        <w:t>基金合同生效日：</w:t>
      </w:r>
      <w:r w:rsidRPr="00D05755">
        <w:rPr>
          <w:rStyle w:val="custom"/>
          <w:rFonts w:ascii="宋体" w:hAnsi="宋体" w:cs="宋体"/>
          <w:kern w:val="0"/>
          <w:sz w:val="24"/>
          <w:szCs w:val="24"/>
        </w:rPr>
        <w:t>指基金募集达到法律法规规定及基金合同规定的条件，基金管理人向中国证监会办理基金备案手续完毕，并获得中国证监会书面确认的日期</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30、</w:t>
      </w:r>
      <w:r w:rsidRPr="00D05755">
        <w:rPr>
          <w:rFonts w:ascii="宋体" w:hAnsi="宋体" w:cs="宋体"/>
          <w:kern w:val="0"/>
          <w:sz w:val="24"/>
          <w:szCs w:val="24"/>
        </w:rPr>
        <w:t>基金合同终止日：指基金合同规定的基金合同终止事由出现后，基金财产清算完毕，清算结果报中国证监会备案并予以公告的日期</w:t>
      </w:r>
    </w:p>
    <w:p w:rsidR="00E8691A" w:rsidRPr="00D05755" w:rsidRDefault="006E24B4">
      <w:pPr>
        <w:pStyle w:val="div"/>
        <w:spacing w:line="360" w:lineRule="auto"/>
        <w:ind w:firstLine="420"/>
        <w:rPr>
          <w:rFonts w:eastAsia="Times New Roman"/>
          <w:kern w:val="0"/>
          <w:sz w:val="24"/>
          <w:szCs w:val="24"/>
        </w:rPr>
      </w:pPr>
      <w:r w:rsidRPr="00D05755">
        <w:rPr>
          <w:rStyle w:val="serial-tag"/>
          <w:rFonts w:ascii="宋体" w:hAnsi="宋体" w:cs="宋体"/>
          <w:kern w:val="0"/>
          <w:sz w:val="24"/>
          <w:szCs w:val="24"/>
        </w:rPr>
        <w:t>31、</w:t>
      </w:r>
      <w:r w:rsidRPr="00D05755">
        <w:rPr>
          <w:rStyle w:val="custom"/>
          <w:rFonts w:ascii="宋体" w:hAnsi="宋体" w:cs="宋体"/>
          <w:kern w:val="0"/>
          <w:sz w:val="24"/>
          <w:szCs w:val="24"/>
        </w:rPr>
        <w:t>基金募集期：指自基金份额发售之日起至发售结束之日止的期间，最长不得超过3个月</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32、</w:t>
      </w:r>
      <w:r w:rsidRPr="00D05755">
        <w:rPr>
          <w:rFonts w:ascii="宋体" w:hAnsi="宋体" w:cs="宋体"/>
          <w:kern w:val="0"/>
          <w:sz w:val="24"/>
          <w:szCs w:val="24"/>
        </w:rPr>
        <w:t>存续期：指基金合同生效至终止之间的不定期期限</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33、</w:t>
      </w:r>
      <w:r w:rsidRPr="00D05755">
        <w:rPr>
          <w:rFonts w:ascii="宋体" w:hAnsi="宋体" w:cs="宋体"/>
          <w:kern w:val="0"/>
          <w:sz w:val="24"/>
          <w:szCs w:val="24"/>
        </w:rPr>
        <w:t>工作日：指上海证券交易所、深圳证券交易所的正常交易日</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34、</w:t>
      </w:r>
      <w:r w:rsidRPr="00D05755">
        <w:rPr>
          <w:rFonts w:ascii="宋体" w:hAnsi="宋体" w:cs="宋体"/>
          <w:kern w:val="0"/>
          <w:sz w:val="24"/>
          <w:szCs w:val="24"/>
        </w:rPr>
        <w:t>T日：指销售机构在规定时间受理投资人申购、赎回或其他业务申请的开放日</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35、</w:t>
      </w:r>
      <w:r w:rsidRPr="00D05755">
        <w:rPr>
          <w:rFonts w:ascii="宋体" w:hAnsi="宋体" w:cs="宋体"/>
          <w:kern w:val="0"/>
          <w:sz w:val="24"/>
          <w:szCs w:val="24"/>
        </w:rPr>
        <w:t>T+n日：指自T日起第n</w:t>
      </w:r>
      <w:proofErr w:type="gramStart"/>
      <w:r w:rsidRPr="00D05755">
        <w:rPr>
          <w:rFonts w:ascii="宋体" w:hAnsi="宋体" w:cs="宋体"/>
          <w:kern w:val="0"/>
          <w:sz w:val="24"/>
          <w:szCs w:val="24"/>
        </w:rPr>
        <w:t>个</w:t>
      </w:r>
      <w:proofErr w:type="gramEnd"/>
      <w:r w:rsidRPr="00D05755">
        <w:rPr>
          <w:rFonts w:ascii="宋体" w:hAnsi="宋体" w:cs="宋体"/>
          <w:kern w:val="0"/>
          <w:sz w:val="24"/>
          <w:szCs w:val="24"/>
        </w:rPr>
        <w:t>工作日(不包含T日)</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36、开放日：指为投资人办理基金份额申购、赎回或其他业务的工作日（如遇香港联合交易所法定节假日或因其他原因暂停营业或港股通暂停交易的情形，基金管理人有权暂停办理基金份额的申购和赎回业务）</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37、</w:t>
      </w:r>
      <w:r w:rsidRPr="00D05755">
        <w:rPr>
          <w:rFonts w:ascii="宋体" w:hAnsi="宋体" w:cs="宋体"/>
          <w:kern w:val="0"/>
          <w:sz w:val="24"/>
          <w:szCs w:val="24"/>
        </w:rPr>
        <w:t>开放时间：指开放日基金接受申购、赎回或其他交易的时间段</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38、《业务规则》：指《汇添富基金管理股份有限公司开放式基金业务规则》，是规范基金管理人所管理的开放式证券投资基金登记方面的业务规则，由基金管</w:t>
      </w:r>
      <w:r w:rsidRPr="00D05755">
        <w:rPr>
          <w:rStyle w:val="custom"/>
          <w:rFonts w:ascii="宋体" w:hAnsi="宋体" w:cs="宋体"/>
          <w:kern w:val="0"/>
          <w:sz w:val="24"/>
          <w:szCs w:val="24"/>
        </w:rPr>
        <w:lastRenderedPageBreak/>
        <w:t>理人和投资人共同遵守</w:t>
      </w:r>
    </w:p>
    <w:p w:rsidR="00E8691A" w:rsidRPr="00D05755" w:rsidRDefault="006E24B4">
      <w:pPr>
        <w:pStyle w:val="div"/>
        <w:spacing w:line="360" w:lineRule="auto"/>
        <w:ind w:firstLine="420"/>
        <w:rPr>
          <w:rFonts w:eastAsia="Times New Roman"/>
          <w:kern w:val="0"/>
          <w:sz w:val="24"/>
          <w:szCs w:val="24"/>
        </w:rPr>
      </w:pPr>
      <w:r w:rsidRPr="00D05755">
        <w:rPr>
          <w:rStyle w:val="serial-tag"/>
          <w:rFonts w:ascii="宋体" w:hAnsi="宋体" w:cs="宋体"/>
          <w:kern w:val="0"/>
          <w:sz w:val="24"/>
          <w:szCs w:val="24"/>
        </w:rPr>
        <w:t>39、</w:t>
      </w:r>
      <w:r w:rsidRPr="00D05755">
        <w:rPr>
          <w:rStyle w:val="custom"/>
          <w:rFonts w:ascii="宋体" w:hAnsi="宋体" w:cs="宋体"/>
          <w:kern w:val="0"/>
          <w:sz w:val="24"/>
          <w:szCs w:val="24"/>
        </w:rPr>
        <w:t>认购：指在基金募集期内，投资人根据基金合同和招募说明书的规定申请购买基金份额的行为</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40、申购：指基金合同生效后，投资人根据基金合同和招募说明书的规定申请购买基金份额的行为</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41、赎回：指基金合同生效后，基金份额持有人按基金合同和招募说明书规定的条件要求将基金份额兑换为现金的行为</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42、</w:t>
      </w:r>
      <w:r w:rsidRPr="00D05755">
        <w:rPr>
          <w:rFonts w:ascii="宋体" w:hAnsi="宋体" w:cs="宋体"/>
          <w:kern w:val="0"/>
          <w:sz w:val="24"/>
          <w:szCs w:val="24"/>
        </w:rPr>
        <w:t>基金转换：指基金份额持有人按照本基金合同和基金管理人届时有效公告规定的条件，申请将其持有基金管理人管理的、某一基金的基金份额转换为基金管理人管理的</w:t>
      </w:r>
      <w:r w:rsidRPr="00D05755">
        <w:rPr>
          <w:rFonts w:ascii="宋体" w:hAnsi="宋体" w:cs="宋体" w:hint="eastAsia"/>
          <w:kern w:val="0"/>
          <w:sz w:val="24"/>
          <w:szCs w:val="24"/>
        </w:rPr>
        <w:t>该基金其他基金份额或</w:t>
      </w:r>
      <w:r w:rsidRPr="00D05755">
        <w:rPr>
          <w:rFonts w:ascii="宋体" w:hAnsi="宋体" w:cs="宋体"/>
          <w:kern w:val="0"/>
          <w:sz w:val="24"/>
          <w:szCs w:val="24"/>
        </w:rPr>
        <w:t>其他</w:t>
      </w:r>
      <w:proofErr w:type="gramStart"/>
      <w:r w:rsidRPr="00D05755">
        <w:rPr>
          <w:rFonts w:ascii="宋体" w:hAnsi="宋体" w:cs="宋体"/>
          <w:kern w:val="0"/>
          <w:sz w:val="24"/>
          <w:szCs w:val="24"/>
        </w:rPr>
        <w:t>基金基金</w:t>
      </w:r>
      <w:proofErr w:type="gramEnd"/>
      <w:r w:rsidRPr="00D05755">
        <w:rPr>
          <w:rFonts w:ascii="宋体" w:hAnsi="宋体" w:cs="宋体"/>
          <w:kern w:val="0"/>
          <w:sz w:val="24"/>
          <w:szCs w:val="24"/>
        </w:rPr>
        <w:t>份额的行为</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43、转托管：指基金份额持有人在本基金的不同销售机构之间实施的变更所持基金份额销售机构的操作</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44、定期定额投资计划：指投资人通过有关销售机构提出申请，约定每期申购日、扣款金额及扣款方式，由销售机构于每期约定扣款日在投资人指定银行账户内自动完成扣款及受理基金申购申请的一种投资方式</w:t>
      </w:r>
    </w:p>
    <w:p w:rsidR="00E8691A" w:rsidRPr="00D05755" w:rsidRDefault="006E24B4">
      <w:pPr>
        <w:pStyle w:val="div"/>
        <w:spacing w:line="360" w:lineRule="auto"/>
        <w:ind w:firstLine="480"/>
        <w:rPr>
          <w:rFonts w:eastAsia="Times New Roman"/>
          <w:kern w:val="0"/>
          <w:sz w:val="24"/>
          <w:szCs w:val="24"/>
        </w:rPr>
      </w:pPr>
      <w:r w:rsidRPr="00D05755">
        <w:rPr>
          <w:rStyle w:val="custom"/>
          <w:rFonts w:ascii="宋体" w:hAnsi="宋体" w:cs="宋体"/>
          <w:kern w:val="0"/>
          <w:sz w:val="24"/>
          <w:szCs w:val="24"/>
        </w:rPr>
        <w:t>45、巨额赎回：指本基金单个开放日，基金净赎回申请（赎回申请份额总数加上基金转换中转出申请份额总数后扣除申购申请份额总数及基金转换中转入申请份额总数后的余额，不同类别份额合并计算）超过上一开放日基金总份额的10%</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46、</w:t>
      </w:r>
      <w:r w:rsidRPr="00D05755">
        <w:rPr>
          <w:rFonts w:ascii="宋体" w:hAnsi="宋体" w:cs="宋体"/>
          <w:kern w:val="0"/>
          <w:sz w:val="24"/>
          <w:szCs w:val="24"/>
        </w:rPr>
        <w:t>元：指人民币元</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47、基金收益：指基金投资所得红利、股息、债券利息、买卖证券价差、银行存款利息、已实现的其他合法收入及因运用基金财产带来的成本和费用的节约</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48、基金资产总值：指基金拥有的各类有价证券及票据价值、银行存款本息、基金应收申购款及其他资产的价值总和</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49、</w:t>
      </w:r>
      <w:r w:rsidRPr="00D05755">
        <w:rPr>
          <w:rFonts w:ascii="宋体" w:hAnsi="宋体" w:cs="宋体"/>
          <w:kern w:val="0"/>
          <w:sz w:val="24"/>
          <w:szCs w:val="24"/>
        </w:rPr>
        <w:t>基金资产净值：指基金资产总值减去基金负债后的价值</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50、</w:t>
      </w:r>
      <w:r w:rsidRPr="00D05755">
        <w:rPr>
          <w:rFonts w:ascii="宋体" w:hAnsi="宋体" w:cs="宋体"/>
          <w:kern w:val="0"/>
          <w:sz w:val="24"/>
          <w:szCs w:val="24"/>
        </w:rPr>
        <w:t>基金份额净值：指计算日基金资产净值除以计算日基金份额总数</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51、</w:t>
      </w:r>
      <w:r w:rsidRPr="00D05755">
        <w:rPr>
          <w:rFonts w:ascii="宋体" w:hAnsi="宋体" w:cs="宋体"/>
          <w:kern w:val="0"/>
          <w:sz w:val="24"/>
          <w:szCs w:val="24"/>
        </w:rPr>
        <w:t>基金资产估值：指计算评估基金资产和负债的价值，以确定基金资产净值和基金份额净值的过程</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52、</w:t>
      </w:r>
      <w:r w:rsidRPr="00D05755">
        <w:rPr>
          <w:rFonts w:ascii="宋体" w:hAnsi="宋体" w:cs="宋体"/>
          <w:kern w:val="0"/>
          <w:sz w:val="24"/>
          <w:szCs w:val="24"/>
        </w:rPr>
        <w:t>规定媒介：指符合中国证监会规定条件的用以进行信息披露的全国性报</w:t>
      </w:r>
      <w:r w:rsidRPr="00D05755">
        <w:rPr>
          <w:rFonts w:ascii="宋体" w:hAnsi="宋体" w:cs="宋体"/>
          <w:kern w:val="0"/>
          <w:sz w:val="24"/>
          <w:szCs w:val="24"/>
        </w:rPr>
        <w:lastRenderedPageBreak/>
        <w:t>刊及《信息披露办法》规定的互联网网站（包括基金管理人网站、基金托管人网站、中国证监会基金电子披露网站）等媒介</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53、基金份额类别：根据认购/申购费用、销售服务费收取方式等事项的不同，将基金份额分为不同的类别，各基金份额类别分别设置代码、计算并公告基金份额净值和基金份额累计净值</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54、A类基金份额：指在投资者通过直销机构以外的其他销售机构认购、申购时收取认购、申购费用，在赎回时根据持有期限收取赎回费用，但不从本类别基金财产中计</w:t>
      </w:r>
      <w:proofErr w:type="gramStart"/>
      <w:r w:rsidRPr="00D05755">
        <w:rPr>
          <w:rStyle w:val="custom"/>
          <w:rFonts w:ascii="宋体" w:hAnsi="宋体" w:cs="宋体"/>
          <w:kern w:val="0"/>
          <w:sz w:val="24"/>
          <w:szCs w:val="24"/>
        </w:rPr>
        <w:t>提销售</w:t>
      </w:r>
      <w:proofErr w:type="gramEnd"/>
      <w:r w:rsidRPr="00D05755">
        <w:rPr>
          <w:rStyle w:val="custom"/>
          <w:rFonts w:ascii="宋体" w:hAnsi="宋体" w:cs="宋体"/>
          <w:kern w:val="0"/>
          <w:sz w:val="24"/>
          <w:szCs w:val="24"/>
        </w:rPr>
        <w:t>服务费的基金份额；投资者通过直销机构认购/申购A类基金份额时不收取认购/申购费用</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55、C类基金份额：指从直销机构以外的其他销售机构保有的本类别基金财产中计</w:t>
      </w:r>
      <w:proofErr w:type="gramStart"/>
      <w:r w:rsidRPr="00D05755">
        <w:rPr>
          <w:rStyle w:val="custom"/>
          <w:rFonts w:ascii="宋体" w:hAnsi="宋体" w:cs="宋体"/>
          <w:kern w:val="0"/>
          <w:sz w:val="24"/>
          <w:szCs w:val="24"/>
        </w:rPr>
        <w:t>提销售</w:t>
      </w:r>
      <w:proofErr w:type="gramEnd"/>
      <w:r w:rsidRPr="00D05755">
        <w:rPr>
          <w:rStyle w:val="custom"/>
          <w:rFonts w:ascii="宋体" w:hAnsi="宋体" w:cs="宋体"/>
          <w:kern w:val="0"/>
          <w:sz w:val="24"/>
          <w:szCs w:val="24"/>
        </w:rPr>
        <w:t>服务费而不收取认购、申购费用，在赎回时根据持有期限收取赎回费用的基金份额，其中对于投资者通过直销机构认购/申购的C类基金份额所计提的销售服务费或者通过其他销售机构认购/申购且持续持有期限超过一年（即365天）以后继续计提的C类基金份额销售服务费，将在投资者赎回相应基金份额或基金合同终止时随</w:t>
      </w:r>
      <w:proofErr w:type="gramStart"/>
      <w:r w:rsidRPr="00D05755">
        <w:rPr>
          <w:rStyle w:val="custom"/>
          <w:rFonts w:ascii="宋体" w:hAnsi="宋体" w:cs="宋体"/>
          <w:kern w:val="0"/>
          <w:sz w:val="24"/>
          <w:szCs w:val="24"/>
        </w:rPr>
        <w:t>赎回款或清算款</w:t>
      </w:r>
      <w:proofErr w:type="gramEnd"/>
      <w:r w:rsidRPr="00D05755">
        <w:rPr>
          <w:rStyle w:val="custom"/>
          <w:rFonts w:ascii="宋体" w:hAnsi="宋体" w:cs="宋体"/>
          <w:kern w:val="0"/>
          <w:sz w:val="24"/>
          <w:szCs w:val="24"/>
        </w:rPr>
        <w:t>一并返还给投资者</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56、销售服务费：指从基金财产中计提的，用于本基金市场推广、销售以及基金份额持有人服务的费用</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57、</w:t>
      </w:r>
      <w:r w:rsidRPr="00D05755">
        <w:rPr>
          <w:rFonts w:ascii="宋体" w:hAnsi="宋体" w:cs="宋体"/>
          <w:kern w:val="0"/>
          <w:sz w:val="24"/>
          <w:szCs w:val="24"/>
        </w:rPr>
        <w:t>流动性受限资产：指由于法律法规、监管、合同或操作障碍等原因无法以合理价格予以变现的资产，包括但不限于到期日在10个交易日以上的逆回购与银行定期存款（</w:t>
      </w:r>
      <w:proofErr w:type="gramStart"/>
      <w:r w:rsidRPr="00D05755">
        <w:rPr>
          <w:rFonts w:ascii="宋体" w:hAnsi="宋体" w:cs="宋体"/>
          <w:kern w:val="0"/>
          <w:sz w:val="24"/>
          <w:szCs w:val="24"/>
        </w:rPr>
        <w:t>含协议</w:t>
      </w:r>
      <w:proofErr w:type="gramEnd"/>
      <w:r w:rsidRPr="00D05755">
        <w:rPr>
          <w:rFonts w:ascii="宋体" w:hAnsi="宋体" w:cs="宋体"/>
          <w:kern w:val="0"/>
          <w:sz w:val="24"/>
          <w:szCs w:val="24"/>
        </w:rPr>
        <w:t>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58、</w:t>
      </w:r>
      <w:r w:rsidRPr="00D05755">
        <w:rPr>
          <w:rFonts w:ascii="宋体" w:hAnsi="宋体" w:cs="宋体"/>
          <w:kern w:val="0"/>
          <w:sz w:val="24"/>
          <w:szCs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如未来法律法规变动，基金管理人在履行适当程序后，可对前述摆动定价机制的定义进行调整</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lastRenderedPageBreak/>
        <w:t>59、</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：指将基金投资组合中的特定资产从原有账户分离至一个专门账户进行处置清算，目的在于有效隔离并化解风险，确保投资者得到公平对待，属于流动性风险管理工具。</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实施期间，原有账户称为主袋账户，专门账户</w:t>
      </w:r>
      <w:proofErr w:type="gramStart"/>
      <w:r w:rsidRPr="00D05755">
        <w:rPr>
          <w:rFonts w:ascii="宋体" w:hAnsi="宋体" w:cs="宋体"/>
          <w:kern w:val="0"/>
          <w:sz w:val="24"/>
          <w:szCs w:val="24"/>
        </w:rPr>
        <w:t>称为侧袋账户</w:t>
      </w:r>
      <w:proofErr w:type="gramEnd"/>
    </w:p>
    <w:p w:rsidR="00E8691A" w:rsidRPr="00D05755" w:rsidRDefault="006E24B4">
      <w:pPr>
        <w:pStyle w:val="div"/>
        <w:spacing w:line="360" w:lineRule="auto"/>
        <w:ind w:firstLine="480"/>
        <w:rPr>
          <w:rFonts w:eastAsia="Times New Roman"/>
          <w:kern w:val="0"/>
          <w:sz w:val="24"/>
          <w:szCs w:val="24"/>
        </w:rPr>
      </w:pPr>
      <w:r w:rsidRPr="00D05755">
        <w:rPr>
          <w:rStyle w:val="custom"/>
          <w:rFonts w:ascii="宋体" w:hAnsi="宋体" w:cs="宋体"/>
          <w:kern w:val="0"/>
          <w:sz w:val="24"/>
          <w:szCs w:val="24"/>
        </w:rPr>
        <w:t>60、</w:t>
      </w:r>
      <w:r w:rsidRPr="00D05755">
        <w:rPr>
          <w:rFonts w:ascii="宋体" w:hAnsi="宋体" w:cs="宋体"/>
          <w:kern w:val="0"/>
          <w:sz w:val="24"/>
          <w:szCs w:val="24"/>
        </w:rPr>
        <w:t>特定资产：包括：（一）无可参考的活跃市场价格且采用估值技术</w:t>
      </w:r>
      <w:proofErr w:type="gramStart"/>
      <w:r w:rsidRPr="00D05755">
        <w:rPr>
          <w:rFonts w:ascii="宋体" w:hAnsi="宋体" w:cs="宋体"/>
          <w:kern w:val="0"/>
          <w:sz w:val="24"/>
          <w:szCs w:val="24"/>
        </w:rPr>
        <w:t>仍导致</w:t>
      </w:r>
      <w:proofErr w:type="gramEnd"/>
      <w:r w:rsidRPr="00D05755">
        <w:rPr>
          <w:rFonts w:ascii="宋体" w:hAnsi="宋体" w:cs="宋体"/>
          <w:kern w:val="0"/>
          <w:sz w:val="24"/>
          <w:szCs w:val="24"/>
        </w:rPr>
        <w:t>公允价值存在重大不确定性的资产；（二）</w:t>
      </w:r>
      <w:proofErr w:type="gramStart"/>
      <w:r w:rsidRPr="00D05755">
        <w:rPr>
          <w:rFonts w:ascii="宋体" w:hAnsi="宋体" w:cs="宋体"/>
          <w:kern w:val="0"/>
          <w:sz w:val="24"/>
          <w:szCs w:val="24"/>
        </w:rPr>
        <w:t>按摊余成本</w:t>
      </w:r>
      <w:proofErr w:type="gramEnd"/>
      <w:r w:rsidRPr="00D05755">
        <w:rPr>
          <w:rFonts w:ascii="宋体" w:hAnsi="宋体" w:cs="宋体"/>
          <w:kern w:val="0"/>
          <w:sz w:val="24"/>
          <w:szCs w:val="24"/>
        </w:rPr>
        <w:t>计量且计提资产减值</w:t>
      </w:r>
      <w:proofErr w:type="gramStart"/>
      <w:r w:rsidRPr="00D05755">
        <w:rPr>
          <w:rFonts w:ascii="宋体" w:hAnsi="宋体" w:cs="宋体"/>
          <w:kern w:val="0"/>
          <w:sz w:val="24"/>
          <w:szCs w:val="24"/>
        </w:rPr>
        <w:t>准备仍导致</w:t>
      </w:r>
      <w:proofErr w:type="gramEnd"/>
      <w:r w:rsidRPr="00D05755">
        <w:rPr>
          <w:rFonts w:ascii="宋体" w:hAnsi="宋体" w:cs="宋体"/>
          <w:kern w:val="0"/>
          <w:sz w:val="24"/>
          <w:szCs w:val="24"/>
        </w:rPr>
        <w:t>资产价值存在重大不确定性的资产；（三）其他资产价值存在重大不确定性的资产</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61、港股通标的股票：指内地投资者委托内地证券公司，经由内地证券交易所设立的证券交易服务公司，向香港联合交易所进行申报，买卖规定范围内的香港联合交易所上市的股票</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62、信用衍生品：指符合证券交易所或银行间市场相关业务规则，专门用于管理信用风险的信用衍生工具</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63、信用保护买方：亦称信用保护购买方，指接受信用风险保护的一方</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64、信用保护卖方：亦称信用保护提供方，指提供信用风险保护的一方</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65、名义本金：亦称交易名义本金，指为一笔信用衍生品交易提供信用</w:t>
      </w:r>
      <w:r w:rsidRPr="00D05755">
        <w:rPr>
          <w:rStyle w:val="custom"/>
          <w:rFonts w:ascii="宋体" w:hAnsi="宋体" w:cs="宋体" w:hint="eastAsia"/>
          <w:kern w:val="0"/>
          <w:sz w:val="24"/>
          <w:szCs w:val="24"/>
        </w:rPr>
        <w:t>风险</w:t>
      </w:r>
      <w:r w:rsidRPr="00D05755">
        <w:rPr>
          <w:rStyle w:val="custom"/>
          <w:rFonts w:ascii="宋体" w:hAnsi="宋体" w:cs="宋体"/>
          <w:kern w:val="0"/>
          <w:sz w:val="24"/>
          <w:szCs w:val="24"/>
        </w:rPr>
        <w:t>保护的金额，各项支付和结算以此金额为计算基准</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66、发起式基金：指符合中国证监会有关规定，由基金管理人、基金管理人股东、基金管理人高级管理人员或基金经理（指基金管理人员工中依法具有基金经理资格者，包括但可能不限于本基金的基金经理，同时也可以包括基金经理之外公司投</w:t>
      </w:r>
      <w:proofErr w:type="gramStart"/>
      <w:r w:rsidRPr="00D05755">
        <w:rPr>
          <w:rStyle w:val="custom"/>
          <w:rFonts w:ascii="宋体" w:hAnsi="宋体" w:cs="宋体"/>
          <w:kern w:val="0"/>
          <w:sz w:val="24"/>
          <w:szCs w:val="24"/>
        </w:rPr>
        <w:t>研</w:t>
      </w:r>
      <w:proofErr w:type="gramEnd"/>
      <w:r w:rsidRPr="00D05755">
        <w:rPr>
          <w:rStyle w:val="custom"/>
          <w:rFonts w:ascii="宋体" w:hAnsi="宋体" w:cs="宋体"/>
          <w:kern w:val="0"/>
          <w:sz w:val="24"/>
          <w:szCs w:val="24"/>
        </w:rPr>
        <w:t>人员，下同）等人员承诺认购一定金额并持有一定期限的证券投资基金</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67、发起资金：指用于认购发起</w:t>
      </w:r>
      <w:proofErr w:type="gramStart"/>
      <w:r w:rsidRPr="00D05755">
        <w:rPr>
          <w:rStyle w:val="custom"/>
          <w:rFonts w:ascii="宋体" w:hAnsi="宋体" w:cs="宋体"/>
          <w:kern w:val="0"/>
          <w:sz w:val="24"/>
          <w:szCs w:val="24"/>
        </w:rPr>
        <w:t>式基金</w:t>
      </w:r>
      <w:proofErr w:type="gramEnd"/>
      <w:r w:rsidRPr="00D05755">
        <w:rPr>
          <w:rStyle w:val="custom"/>
          <w:rFonts w:ascii="宋体" w:hAnsi="宋体" w:cs="宋体"/>
          <w:kern w:val="0"/>
          <w:sz w:val="24"/>
          <w:szCs w:val="24"/>
        </w:rPr>
        <w:t>且来源于基金管理人的股东资金、基金管理人固有资金、基金管理人高级管理人员或基金经理等人员的资金</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68、发起资金提供方：指以发起资金认购本基金且承诺以发起资金认购的基金份额持有期限不少于三年的基金管理人的股东、基金管理人、基金管理人高级管理人员或基金经理等人员</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69、</w:t>
      </w:r>
      <w:r w:rsidRPr="00D05755">
        <w:rPr>
          <w:rFonts w:ascii="宋体" w:hAnsi="宋体" w:cs="宋体"/>
          <w:kern w:val="0"/>
          <w:sz w:val="24"/>
          <w:szCs w:val="24"/>
        </w:rPr>
        <w:t>不可抗力：指本基金合同当事人不能预见、不能避免且不能克服的客观事件</w:t>
      </w:r>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45" w:name="_Toc256000002"/>
      <w:r w:rsidRPr="00D05755">
        <w:rPr>
          <w:rFonts w:ascii="Times New Roman"/>
          <w:color w:val="auto"/>
          <w:sz w:val="30"/>
        </w:rPr>
        <w:lastRenderedPageBreak/>
        <w:t>第三部分</w:t>
      </w:r>
      <w:r w:rsidRPr="00D05755">
        <w:rPr>
          <w:rFonts w:ascii="Times New Roman"/>
          <w:color w:val="auto"/>
          <w:sz w:val="30"/>
        </w:rPr>
        <w:t xml:space="preserve">  </w:t>
      </w:r>
      <w:r w:rsidRPr="00D05755">
        <w:rPr>
          <w:rFonts w:ascii="Times New Roman"/>
          <w:color w:val="auto"/>
          <w:sz w:val="30"/>
        </w:rPr>
        <w:t>基金的基本情况</w:t>
      </w:r>
      <w:bookmarkEnd w:id="45"/>
    </w:p>
    <w:p w:rsidR="00E8691A" w:rsidRPr="00D05755" w:rsidRDefault="00E8691A"/>
    <w:p w:rsidR="00E8691A" w:rsidRPr="00D05755" w:rsidRDefault="006E24B4">
      <w:pPr>
        <w:pStyle w:val="div"/>
        <w:spacing w:line="360" w:lineRule="auto"/>
        <w:ind w:firstLine="480"/>
        <w:jc w:val="left"/>
        <w:rPr>
          <w:rStyle w:val="custom"/>
          <w:rFonts w:ascii="宋体" w:hAnsi="宋体" w:cs="宋体"/>
        </w:rPr>
      </w:pPr>
      <w:r w:rsidRPr="00D05755">
        <w:rPr>
          <w:rStyle w:val="custom"/>
          <w:rFonts w:ascii="宋体" w:hAnsi="宋体" w:cs="宋体"/>
          <w:kern w:val="0"/>
          <w:sz w:val="24"/>
          <w:szCs w:val="24"/>
        </w:rPr>
        <w:t>一、</w:t>
      </w:r>
      <w:r w:rsidRPr="00D05755">
        <w:rPr>
          <w:rStyle w:val="custom"/>
        </w:rPr>
        <w:t>基金名称</w:t>
      </w:r>
    </w:p>
    <w:p w:rsidR="00E8691A" w:rsidRPr="00D05755" w:rsidRDefault="006E24B4">
      <w:pPr>
        <w:pStyle w:val="div"/>
        <w:spacing w:line="360" w:lineRule="auto"/>
        <w:ind w:firstLine="480"/>
        <w:jc w:val="left"/>
        <w:rPr>
          <w:rStyle w:val="custom"/>
          <w:rFonts w:ascii="宋体" w:hAnsi="宋体" w:cs="宋体"/>
          <w:kern w:val="0"/>
          <w:sz w:val="24"/>
          <w:szCs w:val="24"/>
        </w:rPr>
      </w:pPr>
      <w:proofErr w:type="gramStart"/>
      <w:r w:rsidRPr="00D05755">
        <w:rPr>
          <w:rStyle w:val="custom"/>
          <w:rFonts w:ascii="宋体" w:hAnsi="宋体" w:cs="宋体"/>
          <w:kern w:val="0"/>
          <w:sz w:val="24"/>
          <w:szCs w:val="24"/>
        </w:rPr>
        <w:t>汇添富金融</w:t>
      </w:r>
      <w:proofErr w:type="gramEnd"/>
      <w:r w:rsidRPr="00D05755">
        <w:rPr>
          <w:rStyle w:val="custom"/>
          <w:rFonts w:ascii="宋体" w:hAnsi="宋体" w:cs="宋体"/>
          <w:kern w:val="0"/>
          <w:sz w:val="24"/>
          <w:szCs w:val="24"/>
        </w:rPr>
        <w:t>优选混合型发起式证券投资基金</w:t>
      </w:r>
    </w:p>
    <w:p w:rsidR="00E8691A" w:rsidRPr="00D05755" w:rsidRDefault="006E24B4">
      <w:pPr>
        <w:pStyle w:val="div"/>
        <w:spacing w:line="360" w:lineRule="auto"/>
        <w:ind w:firstLine="480"/>
        <w:jc w:val="left"/>
        <w:rPr>
          <w:rStyle w:val="custom"/>
          <w:rFonts w:ascii="宋体" w:hAnsi="宋体" w:cs="宋体"/>
          <w:kern w:val="0"/>
          <w:sz w:val="24"/>
          <w:szCs w:val="24"/>
        </w:rPr>
      </w:pPr>
      <w:r w:rsidRPr="00D05755">
        <w:rPr>
          <w:rStyle w:val="custom"/>
          <w:rFonts w:ascii="宋体" w:hAnsi="宋体" w:cs="宋体"/>
          <w:kern w:val="0"/>
          <w:sz w:val="24"/>
          <w:szCs w:val="24"/>
        </w:rPr>
        <w:t>二、基金的类别</w:t>
      </w:r>
    </w:p>
    <w:p w:rsidR="00E8691A" w:rsidRPr="00D05755" w:rsidRDefault="006E24B4">
      <w:pPr>
        <w:pStyle w:val="div"/>
        <w:spacing w:line="360" w:lineRule="auto"/>
        <w:ind w:firstLine="480"/>
        <w:jc w:val="left"/>
        <w:rPr>
          <w:rStyle w:val="custom"/>
          <w:rFonts w:ascii="宋体" w:hAnsi="宋体" w:cs="宋体"/>
          <w:kern w:val="0"/>
          <w:sz w:val="24"/>
          <w:szCs w:val="24"/>
        </w:rPr>
      </w:pPr>
      <w:r w:rsidRPr="00D05755">
        <w:rPr>
          <w:rStyle w:val="custom"/>
          <w:rFonts w:ascii="宋体" w:hAnsi="宋体" w:cs="宋体"/>
          <w:kern w:val="0"/>
          <w:sz w:val="24"/>
          <w:szCs w:val="24"/>
        </w:rPr>
        <w:t>混合型证券投资基金</w:t>
      </w:r>
    </w:p>
    <w:p w:rsidR="00E8691A" w:rsidRPr="00D05755" w:rsidRDefault="006E24B4">
      <w:pPr>
        <w:pStyle w:val="div"/>
        <w:spacing w:line="360" w:lineRule="auto"/>
        <w:ind w:firstLine="480"/>
        <w:jc w:val="left"/>
        <w:rPr>
          <w:rStyle w:val="custom"/>
          <w:rFonts w:ascii="宋体" w:hAnsi="宋体" w:cs="宋体"/>
          <w:kern w:val="0"/>
          <w:sz w:val="24"/>
          <w:szCs w:val="24"/>
        </w:rPr>
      </w:pPr>
      <w:r w:rsidRPr="00D05755">
        <w:rPr>
          <w:rStyle w:val="custom"/>
          <w:rFonts w:ascii="宋体" w:hAnsi="宋体" w:cs="宋体"/>
          <w:kern w:val="0"/>
          <w:sz w:val="24"/>
          <w:szCs w:val="24"/>
        </w:rPr>
        <w:t>三、基金的运作方式</w:t>
      </w:r>
    </w:p>
    <w:p w:rsidR="00E8691A" w:rsidRPr="00D05755" w:rsidRDefault="006E24B4">
      <w:pPr>
        <w:pStyle w:val="div"/>
        <w:spacing w:line="360" w:lineRule="auto"/>
        <w:ind w:firstLine="480"/>
        <w:jc w:val="left"/>
        <w:rPr>
          <w:rStyle w:val="custom"/>
          <w:rFonts w:ascii="宋体" w:hAnsi="宋体" w:cs="宋体"/>
          <w:kern w:val="0"/>
          <w:sz w:val="24"/>
          <w:szCs w:val="24"/>
        </w:rPr>
      </w:pPr>
      <w:r w:rsidRPr="00D05755">
        <w:rPr>
          <w:rStyle w:val="custom"/>
          <w:rFonts w:ascii="宋体" w:hAnsi="宋体" w:cs="宋体"/>
          <w:kern w:val="0"/>
          <w:sz w:val="24"/>
          <w:szCs w:val="24"/>
        </w:rPr>
        <w:t>契约型开放式、发起式</w:t>
      </w:r>
    </w:p>
    <w:p w:rsidR="00E8691A" w:rsidRPr="00D05755" w:rsidRDefault="006E24B4">
      <w:pPr>
        <w:pStyle w:val="div"/>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四、基金的投资目标</w:t>
      </w:r>
    </w:p>
    <w:p w:rsidR="00E8691A" w:rsidRPr="00D05755" w:rsidRDefault="006E24B4">
      <w:pPr>
        <w:pStyle w:val="div"/>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本基金在严格控制组合风险的前提下，以基本面分析为立足点，精选金融优选主题相关优质上市公司，力争实现基金资产的长期稳健增值。</w:t>
      </w:r>
    </w:p>
    <w:p w:rsidR="00E8691A" w:rsidRPr="00D05755" w:rsidRDefault="006E24B4">
      <w:pPr>
        <w:pStyle w:val="div"/>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五、发起资金的认购</w:t>
      </w:r>
    </w:p>
    <w:p w:rsidR="00E8691A" w:rsidRPr="00D05755" w:rsidRDefault="006E24B4">
      <w:pPr>
        <w:pStyle w:val="div"/>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基金管理</w:t>
      </w:r>
      <w:proofErr w:type="gramStart"/>
      <w:r w:rsidRPr="00D05755">
        <w:rPr>
          <w:rStyle w:val="custom"/>
          <w:rFonts w:ascii="宋体" w:hAnsi="宋体" w:cs="宋体"/>
          <w:kern w:val="0"/>
          <w:sz w:val="24"/>
          <w:szCs w:val="24"/>
        </w:rPr>
        <w:t>人股东</w:t>
      </w:r>
      <w:proofErr w:type="gramEnd"/>
      <w:r w:rsidRPr="00D05755">
        <w:rPr>
          <w:rStyle w:val="custom"/>
          <w:rFonts w:ascii="宋体" w:hAnsi="宋体" w:cs="宋体"/>
          <w:kern w:val="0"/>
          <w:sz w:val="24"/>
          <w:szCs w:val="24"/>
        </w:rPr>
        <w:t>资金、基金管理人固有资金、基金管理人高级管理人员、基金经理等人员认购本基金的发起资金金额不少于1000万元人民币，且发起资金认购的基金份额持有期限不少于3年（基金合同生效不满3年提前终止的情况除外），法律法规或中国证监会另有规定的除外。</w:t>
      </w:r>
    </w:p>
    <w:p w:rsidR="00E8691A" w:rsidRPr="00D05755" w:rsidRDefault="006E24B4">
      <w:pPr>
        <w:pStyle w:val="div"/>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六、基金的最低募集份额总额和金额</w:t>
      </w:r>
    </w:p>
    <w:p w:rsidR="00E8691A" w:rsidRPr="00D05755" w:rsidRDefault="006E24B4">
      <w:pPr>
        <w:pStyle w:val="div"/>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本基金的最低募集份额总额为1000万份，最低募集金额为1000万元人民币。</w:t>
      </w:r>
    </w:p>
    <w:p w:rsidR="00E8691A" w:rsidRPr="00D05755" w:rsidRDefault="006E24B4">
      <w:pPr>
        <w:pStyle w:val="div"/>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七、基金份额发售面值和认购费用</w:t>
      </w:r>
    </w:p>
    <w:p w:rsidR="00E8691A" w:rsidRPr="00D05755" w:rsidRDefault="006E24B4">
      <w:pPr>
        <w:pStyle w:val="div"/>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本</w:t>
      </w:r>
      <w:proofErr w:type="gramStart"/>
      <w:r w:rsidRPr="00D05755">
        <w:rPr>
          <w:rStyle w:val="custom"/>
          <w:rFonts w:ascii="宋体" w:hAnsi="宋体" w:cs="宋体"/>
          <w:kern w:val="0"/>
          <w:sz w:val="24"/>
          <w:szCs w:val="24"/>
        </w:rPr>
        <w:t>基金基金</w:t>
      </w:r>
      <w:proofErr w:type="gramEnd"/>
      <w:r w:rsidRPr="00D05755">
        <w:rPr>
          <w:rStyle w:val="custom"/>
          <w:rFonts w:ascii="宋体" w:hAnsi="宋体" w:cs="宋体"/>
          <w:kern w:val="0"/>
          <w:sz w:val="24"/>
          <w:szCs w:val="24"/>
        </w:rPr>
        <w:t>份额发售面值为人民币1.00元。</w:t>
      </w:r>
    </w:p>
    <w:p w:rsidR="00E8691A" w:rsidRPr="00D05755" w:rsidRDefault="006E24B4">
      <w:pPr>
        <w:pStyle w:val="div"/>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本基金C类基金份额不收取认购费，A类基金份额的认购费率按招募说明书及基金产品资料概要的规定执行。</w:t>
      </w:r>
    </w:p>
    <w:p w:rsidR="00E8691A" w:rsidRPr="00D05755" w:rsidRDefault="006E24B4">
      <w:pPr>
        <w:pStyle w:val="div"/>
        <w:spacing w:line="360" w:lineRule="auto"/>
        <w:ind w:firstLine="480"/>
        <w:rPr>
          <w:rStyle w:val="custom"/>
          <w:rFonts w:ascii="宋体" w:hAnsi="宋体" w:cs="宋体"/>
          <w:kern w:val="0"/>
          <w:sz w:val="24"/>
          <w:szCs w:val="24"/>
        </w:rPr>
      </w:pPr>
      <w:r w:rsidRPr="00D05755">
        <w:rPr>
          <w:rStyle w:val="custom"/>
          <w:rFonts w:ascii="宋体" w:hAnsi="宋体" w:cs="宋体" w:hint="eastAsia"/>
          <w:kern w:val="0"/>
          <w:sz w:val="24"/>
          <w:szCs w:val="24"/>
        </w:rPr>
        <w:t>八</w:t>
      </w:r>
      <w:r w:rsidRPr="00D05755">
        <w:rPr>
          <w:rStyle w:val="custom"/>
          <w:rFonts w:ascii="宋体" w:hAnsi="宋体" w:cs="宋体"/>
          <w:kern w:val="0"/>
          <w:sz w:val="24"/>
          <w:szCs w:val="24"/>
        </w:rPr>
        <w:t>、基金存续期限</w:t>
      </w:r>
    </w:p>
    <w:p w:rsidR="00E8691A" w:rsidRPr="00D05755" w:rsidRDefault="006E24B4">
      <w:pPr>
        <w:pStyle w:val="div"/>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不定期</w:t>
      </w:r>
    </w:p>
    <w:p w:rsidR="00E8691A" w:rsidRPr="00D05755" w:rsidRDefault="006E24B4">
      <w:pPr>
        <w:pStyle w:val="div"/>
        <w:spacing w:line="360" w:lineRule="auto"/>
        <w:ind w:firstLine="480"/>
        <w:rPr>
          <w:rStyle w:val="custom"/>
          <w:rFonts w:ascii="宋体" w:hAnsi="宋体" w:cs="宋体"/>
          <w:kern w:val="0"/>
          <w:sz w:val="24"/>
          <w:szCs w:val="24"/>
        </w:rPr>
      </w:pPr>
      <w:r w:rsidRPr="00D05755">
        <w:rPr>
          <w:rStyle w:val="custom"/>
          <w:rFonts w:ascii="宋体" w:hAnsi="宋体" w:cs="宋体" w:hint="eastAsia"/>
          <w:kern w:val="0"/>
          <w:sz w:val="24"/>
          <w:szCs w:val="24"/>
        </w:rPr>
        <w:t>九</w:t>
      </w:r>
      <w:r w:rsidRPr="00D05755">
        <w:rPr>
          <w:rStyle w:val="custom"/>
          <w:rFonts w:ascii="宋体" w:hAnsi="宋体" w:cs="宋体"/>
          <w:kern w:val="0"/>
          <w:sz w:val="24"/>
          <w:szCs w:val="24"/>
        </w:rPr>
        <w:t>、基金份额类别设置</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本基金根据认购/申购费用、销售服务费收取方式等事项的不同，将基金份额分为不同的类别。</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eastAsia="Times New Roman"/>
          <w:kern w:val="0"/>
          <w:sz w:val="24"/>
          <w:szCs w:val="24"/>
        </w:rPr>
        <w:t>A</w:t>
      </w:r>
      <w:r w:rsidRPr="00D05755">
        <w:rPr>
          <w:rStyle w:val="custom"/>
          <w:rFonts w:ascii="宋体" w:hAnsi="宋体" w:cs="宋体"/>
          <w:kern w:val="0"/>
          <w:sz w:val="24"/>
          <w:szCs w:val="24"/>
        </w:rPr>
        <w:t>类基金份额在投资者通过直销机构以外的其他销售机构认购、申购时收取</w:t>
      </w:r>
      <w:r w:rsidRPr="00D05755">
        <w:rPr>
          <w:rStyle w:val="custom"/>
          <w:rFonts w:ascii="宋体" w:hAnsi="宋体" w:cs="宋体"/>
          <w:kern w:val="0"/>
          <w:sz w:val="24"/>
          <w:szCs w:val="24"/>
        </w:rPr>
        <w:lastRenderedPageBreak/>
        <w:t>认购、申购费用，在赎回时根据持有期限收取赎回费用，但不从本类别基金财产中计</w:t>
      </w:r>
      <w:proofErr w:type="gramStart"/>
      <w:r w:rsidRPr="00D05755">
        <w:rPr>
          <w:rStyle w:val="custom"/>
          <w:rFonts w:ascii="宋体" w:hAnsi="宋体" w:cs="宋体"/>
          <w:kern w:val="0"/>
          <w:sz w:val="24"/>
          <w:szCs w:val="24"/>
        </w:rPr>
        <w:t>提销售</w:t>
      </w:r>
      <w:proofErr w:type="gramEnd"/>
      <w:r w:rsidRPr="00D05755">
        <w:rPr>
          <w:rStyle w:val="custom"/>
          <w:rFonts w:ascii="宋体" w:hAnsi="宋体" w:cs="宋体"/>
          <w:kern w:val="0"/>
          <w:sz w:val="24"/>
          <w:szCs w:val="24"/>
        </w:rPr>
        <w:t>服务费；投资者通过直销机构认购/申购A类基金份额时不收取认购/申购费用。C类基金份额从直销机构以外的其他销售机构保有的本类别基金财产中计</w:t>
      </w:r>
      <w:proofErr w:type="gramStart"/>
      <w:r w:rsidRPr="00D05755">
        <w:rPr>
          <w:rStyle w:val="custom"/>
          <w:rFonts w:ascii="宋体" w:hAnsi="宋体" w:cs="宋体"/>
          <w:kern w:val="0"/>
          <w:sz w:val="24"/>
          <w:szCs w:val="24"/>
        </w:rPr>
        <w:t>提销售</w:t>
      </w:r>
      <w:proofErr w:type="gramEnd"/>
      <w:r w:rsidRPr="00D05755">
        <w:rPr>
          <w:rStyle w:val="custom"/>
          <w:rFonts w:ascii="宋体" w:hAnsi="宋体" w:cs="宋体"/>
          <w:kern w:val="0"/>
          <w:sz w:val="24"/>
          <w:szCs w:val="24"/>
        </w:rPr>
        <w:t>服务费而不收取认购、申购费用，在赎回时根据持有期限收取赎回费用。其中，对于投资者通过直销机构认购/申购的C类基金份额所计提的销售服务费或者通过其他销售机构认购/申购且持续持有期限超过一年（即365天）以后继续计提的C类基金份额销售服务费，将在投资者赎回相应基金份额或基金合同终止时随</w:t>
      </w:r>
      <w:proofErr w:type="gramStart"/>
      <w:r w:rsidRPr="00D05755">
        <w:rPr>
          <w:rStyle w:val="custom"/>
          <w:rFonts w:ascii="宋体" w:hAnsi="宋体" w:cs="宋体"/>
          <w:kern w:val="0"/>
          <w:sz w:val="24"/>
          <w:szCs w:val="24"/>
        </w:rPr>
        <w:t>赎回款或清算款</w:t>
      </w:r>
      <w:proofErr w:type="gramEnd"/>
      <w:r w:rsidRPr="00D05755">
        <w:rPr>
          <w:rStyle w:val="custom"/>
          <w:rFonts w:ascii="宋体" w:hAnsi="宋体" w:cs="宋体"/>
          <w:kern w:val="0"/>
          <w:sz w:val="24"/>
          <w:szCs w:val="24"/>
        </w:rPr>
        <w:t>一并返还给投资者。</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本基金A类、C类基金份额分别设置代码。由于基金费用的不同，本基金A类、C类基金份额将分别计算基金份额净值，计算公式为计算日各类别基金资产净值除以计算日发售在外的该类别基金份额总数。</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投资者可自行选择认购、申购的基金份额类别。有关基金份额类别的具体设置，费率水平等由基金管理人确定，并在招募说明书中公告。在不违反法律法规、基金合同的约定以及对基金份额持有人利益无实质性不利影响的情况下，经与基金托管人协商一致，在履行适当程序后基金管理人可增加、减少或调整基金份额类别设置、对基金份额分类办法及规则进行调整并在调整实施之日前依照《信息披露办法》的有关规定在规定媒介上公告，不需要召开基金份额持有人大会。</w:t>
      </w:r>
      <w:r w:rsidRPr="00D05755">
        <w:rPr>
          <w:rStyle w:val="custom"/>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46" w:name="_Toc256000003"/>
      <w:r w:rsidRPr="00D05755">
        <w:rPr>
          <w:rFonts w:ascii="Times New Roman"/>
          <w:color w:val="auto"/>
          <w:sz w:val="30"/>
        </w:rPr>
        <w:lastRenderedPageBreak/>
        <w:t>第四部分</w:t>
      </w:r>
      <w:r w:rsidRPr="00D05755">
        <w:rPr>
          <w:rFonts w:ascii="Times New Roman"/>
          <w:color w:val="auto"/>
          <w:sz w:val="30"/>
        </w:rPr>
        <w:t xml:space="preserve">  </w:t>
      </w:r>
      <w:r w:rsidRPr="00D05755">
        <w:rPr>
          <w:rFonts w:ascii="Times New Roman"/>
          <w:color w:val="auto"/>
          <w:sz w:val="30"/>
        </w:rPr>
        <w:t>基金份额的发售</w:t>
      </w:r>
      <w:bookmarkEnd w:id="46"/>
    </w:p>
    <w:p w:rsidR="00E8691A" w:rsidRPr="00D05755" w:rsidRDefault="00E8691A"/>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一、基金份额的发售时间、发售方式、发售对象</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1、发售时间</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自基金份额发售之日起最长不得超过3个月，具体发售时间</w:t>
      </w:r>
      <w:proofErr w:type="gramStart"/>
      <w:r w:rsidRPr="00D05755">
        <w:rPr>
          <w:rFonts w:ascii="宋体" w:hAnsi="宋体" w:cs="宋体"/>
          <w:kern w:val="0"/>
          <w:sz w:val="24"/>
          <w:szCs w:val="24"/>
        </w:rPr>
        <w:t>见基金</w:t>
      </w:r>
      <w:proofErr w:type="gramEnd"/>
      <w:r w:rsidRPr="00D05755">
        <w:rPr>
          <w:rFonts w:ascii="宋体" w:hAnsi="宋体" w:cs="宋体"/>
          <w:kern w:val="0"/>
          <w:sz w:val="24"/>
          <w:szCs w:val="24"/>
        </w:rPr>
        <w:t>份额发售公告。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2、发售方式</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通过各销售机构的基金销售网</w:t>
      </w:r>
      <w:proofErr w:type="gramStart"/>
      <w:r w:rsidRPr="00D05755">
        <w:rPr>
          <w:rFonts w:ascii="宋体" w:hAnsi="宋体" w:cs="宋体"/>
          <w:kern w:val="0"/>
          <w:sz w:val="24"/>
          <w:szCs w:val="24"/>
        </w:rPr>
        <w:t>点公开</w:t>
      </w:r>
      <w:proofErr w:type="gramEnd"/>
      <w:r w:rsidRPr="00D05755">
        <w:rPr>
          <w:rFonts w:ascii="宋体" w:hAnsi="宋体" w:cs="宋体"/>
          <w:kern w:val="0"/>
          <w:sz w:val="24"/>
          <w:szCs w:val="24"/>
        </w:rPr>
        <w:t>发售，各销售机构的具体名单</w:t>
      </w:r>
      <w:proofErr w:type="gramStart"/>
      <w:r w:rsidRPr="00D05755">
        <w:rPr>
          <w:rFonts w:ascii="宋体" w:hAnsi="宋体" w:cs="宋体"/>
          <w:kern w:val="0"/>
          <w:sz w:val="24"/>
          <w:szCs w:val="24"/>
        </w:rPr>
        <w:t>见基金</w:t>
      </w:r>
      <w:proofErr w:type="gramEnd"/>
      <w:r w:rsidRPr="00D05755">
        <w:rPr>
          <w:rFonts w:ascii="宋体" w:hAnsi="宋体" w:cs="宋体"/>
          <w:kern w:val="0"/>
          <w:sz w:val="24"/>
          <w:szCs w:val="24"/>
        </w:rPr>
        <w:t>管理人网站届时公示的基金销售机构名录。</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3、发售对象</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符合法律法规规定的可投资于证券投资基金的个人投资者、机构投资者、合格境外投资者、发起资金提供方以及法律法规或中国证监会允许购买证券投资基金的其他投资人。</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二、基金份额的认购</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1、认购费用</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本基金C类基金份额不收取认购费，A类基金份额的认购费率由基金管理人决定，并在招募说明书及基金产品资料概要中列示。基金认购费用不列入基金财产。</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2、募集期利息的处理方式</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有效认购款项在募集期间产生的利息将折算为基金份额</w:t>
      </w:r>
      <w:proofErr w:type="gramStart"/>
      <w:r w:rsidRPr="00D05755">
        <w:rPr>
          <w:rFonts w:ascii="宋体" w:hAnsi="宋体" w:cs="宋体"/>
          <w:kern w:val="0"/>
          <w:sz w:val="24"/>
          <w:szCs w:val="24"/>
        </w:rPr>
        <w:t>归基金</w:t>
      </w:r>
      <w:proofErr w:type="gramEnd"/>
      <w:r w:rsidRPr="00D05755">
        <w:rPr>
          <w:rFonts w:ascii="宋体" w:hAnsi="宋体" w:cs="宋体"/>
          <w:kern w:val="0"/>
          <w:sz w:val="24"/>
          <w:szCs w:val="24"/>
        </w:rPr>
        <w:t>份额持有人所有，其中利息转份额以登记机构的记录为准。</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3、基金认购份额的计算</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基金认购份额具体的计算方法在招募说明书中列示。</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4、认购份额余额的处理方式</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认购份额（含利息折算的份额）的计算保留到小数点后2位，小数点2位以后的部分四舍五入，由此误差产生的收益或损失由基金财产承担。</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5、认购申请的确认</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销售机构对认购申请的受理并不代表该申请一定成功，而仅代表销售机构确实接收到认购申请。认购申请的确认以登记机构的确认结果为准。对于认购申请</w:t>
      </w:r>
      <w:r w:rsidRPr="00D05755">
        <w:rPr>
          <w:rFonts w:ascii="宋体" w:hAnsi="宋体" w:cs="宋体"/>
          <w:kern w:val="0"/>
          <w:sz w:val="24"/>
          <w:szCs w:val="24"/>
        </w:rPr>
        <w:lastRenderedPageBreak/>
        <w:t>及认购份额的确认情况，投资人应及时查询并妥善行使合法权利，否则，由此产生的任何损失由投资者自行承担。</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三、基金份额认购金额的限制</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1、投资人认购时，需按销售机构规定的方式全额缴款。</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2、基金管理人可以对每个基金交易账户的单笔最低认购金额进行限制，具体限制请参看招募说明书或相关公告。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3、基金管理人可以对募集期间的单个投资人的累计认购金额进行限制，具体限制和处理方法请参看招募说明书或相关公告。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4、基金管理人可以对募集期间的本基金募集规模设置上限。募集期内超过募集规模上限时，基金管理人可以采用比例确认或其他方式进行确认，具体办法参见基金份额发售公告或相关公告。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5、投资人在募集期内可以多次认购基金份额，但已受理的认购申请不得撤销。</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6、如本基金单个投资人（基金管理人、基金管理人高级管理人员或基金经理等人员作为发起资金提供方除外）累计认购的基金份额数达到或者超过基金份额总数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四、发起资金的认购</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基金管理</w:t>
      </w:r>
      <w:proofErr w:type="gramStart"/>
      <w:r w:rsidRPr="00D05755">
        <w:rPr>
          <w:rFonts w:ascii="宋体" w:hAnsi="宋体" w:cs="宋体"/>
          <w:kern w:val="0"/>
          <w:sz w:val="24"/>
          <w:szCs w:val="24"/>
        </w:rPr>
        <w:t>人股东</w:t>
      </w:r>
      <w:proofErr w:type="gramEnd"/>
      <w:r w:rsidRPr="00D05755">
        <w:rPr>
          <w:rFonts w:ascii="宋体" w:hAnsi="宋体" w:cs="宋体"/>
          <w:kern w:val="0"/>
          <w:sz w:val="24"/>
          <w:szCs w:val="24"/>
        </w:rPr>
        <w:t>资金、基金管理人固有资金、基金管理人高级管理人员、基金经理等人员认购本基金的发起资金金额不少于1000万元人民币，且发起资金认购的基金份额持有期限不少于3年（基金合同生效不满3年提前终止的情况除外），法律法规或中国证监会另有规定的除外。</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本基金发起资金的认购情况</w:t>
      </w:r>
      <w:proofErr w:type="gramStart"/>
      <w:r w:rsidRPr="00D05755">
        <w:rPr>
          <w:rFonts w:ascii="宋体" w:hAnsi="宋体" w:cs="宋体"/>
          <w:kern w:val="0"/>
          <w:sz w:val="24"/>
          <w:szCs w:val="24"/>
        </w:rPr>
        <w:t>见基金</w:t>
      </w:r>
      <w:proofErr w:type="gramEnd"/>
      <w:r w:rsidRPr="00D05755">
        <w:rPr>
          <w:rFonts w:ascii="宋体" w:hAnsi="宋体" w:cs="宋体"/>
          <w:kern w:val="0"/>
          <w:sz w:val="24"/>
          <w:szCs w:val="24"/>
        </w:rPr>
        <w:t>管理人届时发布的公告。</w:t>
      </w:r>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47" w:name="_Toc256000004"/>
      <w:r w:rsidRPr="00D05755">
        <w:rPr>
          <w:rFonts w:ascii="Times New Roman"/>
          <w:color w:val="auto"/>
          <w:sz w:val="30"/>
        </w:rPr>
        <w:lastRenderedPageBreak/>
        <w:t>第五部分</w:t>
      </w:r>
      <w:r w:rsidRPr="00D05755">
        <w:rPr>
          <w:rFonts w:ascii="Times New Roman"/>
          <w:color w:val="auto"/>
          <w:sz w:val="30"/>
        </w:rPr>
        <w:t xml:space="preserve">  </w:t>
      </w:r>
      <w:r w:rsidRPr="00D05755">
        <w:rPr>
          <w:rFonts w:ascii="Times New Roman"/>
          <w:color w:val="auto"/>
          <w:sz w:val="30"/>
        </w:rPr>
        <w:t>基金备案</w:t>
      </w:r>
      <w:bookmarkEnd w:id="47"/>
    </w:p>
    <w:p w:rsidR="00E8691A" w:rsidRPr="00D05755" w:rsidRDefault="00E8691A"/>
    <w:p w:rsidR="00E8691A" w:rsidRPr="00D05755" w:rsidRDefault="006E24B4">
      <w:pPr>
        <w:pStyle w:val="div"/>
        <w:widowControl/>
        <w:spacing w:line="360" w:lineRule="auto"/>
        <w:ind w:firstLine="480"/>
        <w:jc w:val="left"/>
        <w:rPr>
          <w:rStyle w:val="custom"/>
          <w:rFonts w:ascii="宋体" w:hAnsi="宋体" w:cs="宋体"/>
          <w:kern w:val="0"/>
          <w:sz w:val="24"/>
          <w:szCs w:val="24"/>
        </w:rPr>
      </w:pPr>
      <w:bookmarkStart w:id="48" w:name="OLE_LINK19"/>
      <w:r w:rsidRPr="00D05755">
        <w:rPr>
          <w:rStyle w:val="serial-tag"/>
          <w:rFonts w:ascii="宋体" w:hAnsi="宋体" w:cs="宋体"/>
          <w:kern w:val="0"/>
          <w:sz w:val="24"/>
          <w:szCs w:val="24"/>
        </w:rPr>
        <w:t>一、</w:t>
      </w:r>
      <w:r w:rsidRPr="00D05755">
        <w:rPr>
          <w:rStyle w:val="custom"/>
          <w:rFonts w:ascii="宋体" w:hAnsi="宋体" w:cs="宋体"/>
          <w:kern w:val="0"/>
          <w:sz w:val="24"/>
          <w:szCs w:val="24"/>
        </w:rPr>
        <w:t>基金备案的条件</w:t>
      </w:r>
    </w:p>
    <w:p w:rsidR="00E8691A" w:rsidRPr="00D05755" w:rsidRDefault="006E24B4">
      <w:pPr>
        <w:pStyle w:val="div"/>
        <w:widowControl/>
        <w:spacing w:line="360" w:lineRule="auto"/>
        <w:ind w:firstLine="480"/>
        <w:jc w:val="left"/>
        <w:rPr>
          <w:rStyle w:val="custom"/>
          <w:rFonts w:ascii="宋体" w:hAnsi="宋体" w:cs="宋体"/>
          <w:kern w:val="0"/>
          <w:sz w:val="24"/>
          <w:szCs w:val="24"/>
        </w:rPr>
      </w:pPr>
      <w:r w:rsidRPr="00D05755">
        <w:rPr>
          <w:rStyle w:val="custom"/>
          <w:rFonts w:ascii="宋体" w:hAnsi="宋体" w:cs="宋体"/>
          <w:kern w:val="0"/>
          <w:sz w:val="24"/>
          <w:szCs w:val="24"/>
        </w:rPr>
        <w:t>本基金自基金份额发售之日起3个月内，在发起资金提供方认购本基金的金额不少于1000万元人民币且发起资金提供方承诺持有期限不少于3年的条件下，基金募集期届满或基金管理人依据法律法规及招募说明书可以决定停止基金发售，并在10日内聘请法定验资机构验资，会计师事务所提交的验资报告需对发起资金提供方及其持有份额进行专门说明。自收到验资报告之日起10日内，向中国证监会办理基金备案手续。</w:t>
      </w:r>
    </w:p>
    <w:p w:rsidR="00E8691A" w:rsidRPr="00D05755" w:rsidRDefault="006E24B4">
      <w:pPr>
        <w:pStyle w:val="div"/>
        <w:widowControl/>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E8691A" w:rsidRPr="00D05755" w:rsidRDefault="006E24B4">
      <w:pPr>
        <w:pStyle w:val="div"/>
        <w:widowControl/>
        <w:spacing w:line="360" w:lineRule="auto"/>
        <w:ind w:firstLine="480"/>
        <w:rPr>
          <w:rStyle w:val="custom"/>
          <w:rFonts w:ascii="宋体" w:hAnsi="宋体" w:cs="宋体"/>
          <w:kern w:val="0"/>
          <w:sz w:val="24"/>
          <w:szCs w:val="24"/>
        </w:rPr>
      </w:pPr>
      <w:r w:rsidRPr="00D05755">
        <w:rPr>
          <w:rStyle w:val="serial-tag"/>
          <w:rFonts w:ascii="宋体" w:hAnsi="宋体" w:cs="宋体"/>
          <w:kern w:val="0"/>
          <w:sz w:val="24"/>
          <w:szCs w:val="24"/>
        </w:rPr>
        <w:t>二、</w:t>
      </w:r>
      <w:r w:rsidRPr="00D05755">
        <w:rPr>
          <w:rStyle w:val="custom"/>
          <w:rFonts w:ascii="宋体" w:hAnsi="宋体" w:cs="宋体"/>
          <w:kern w:val="0"/>
          <w:sz w:val="24"/>
          <w:szCs w:val="24"/>
        </w:rPr>
        <w:t>基金合同不能生效时募集资金的处理方式</w:t>
      </w:r>
    </w:p>
    <w:p w:rsidR="00E8691A" w:rsidRPr="00D05755" w:rsidRDefault="006E24B4">
      <w:pPr>
        <w:pStyle w:val="div"/>
        <w:widowControl/>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如果募集期限届满，未满足基金备案条件，基金管理人应当承担下列责任：</w:t>
      </w:r>
    </w:p>
    <w:p w:rsidR="00E8691A" w:rsidRPr="00D05755" w:rsidRDefault="006E24B4">
      <w:pPr>
        <w:pStyle w:val="div"/>
        <w:widowControl/>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1、以其固有财产承担因募集行为而产生的债务和费用；</w:t>
      </w:r>
    </w:p>
    <w:p w:rsidR="00E8691A" w:rsidRPr="00D05755" w:rsidRDefault="006E24B4">
      <w:pPr>
        <w:pStyle w:val="div"/>
        <w:widowControl/>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2、在基金募集期限届满后30日内返还投资者已缴纳的款项，并加计银行同期活期存款利息；</w:t>
      </w:r>
    </w:p>
    <w:p w:rsidR="00E8691A" w:rsidRPr="00D05755" w:rsidRDefault="006E24B4">
      <w:pPr>
        <w:pStyle w:val="div"/>
        <w:widowControl/>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3、如基金募集失败，基金管理人、基金托管人及销售机构不得请求报酬。基金管理人、基金托管人和销售机构为基金募集支付之一切费用应由各方各自承担。</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三、</w:t>
      </w:r>
      <w:r w:rsidRPr="00D05755">
        <w:rPr>
          <w:rFonts w:ascii="宋体" w:hAnsi="宋体" w:cs="宋体"/>
          <w:kern w:val="0"/>
          <w:sz w:val="24"/>
          <w:szCs w:val="24"/>
        </w:rPr>
        <w:t>基金存续期内的基金份额持有人数量和资产规模</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基金合同》生效满三年后继续存续的，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法律法规或中国证监会另有规定时，从其规定。</w:t>
      </w:r>
      <w:bookmarkEnd w:id="48"/>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lastRenderedPageBreak/>
        <w:t>四、基金的自动终止</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基金合同生效满三年之日（指自然日），</w:t>
      </w:r>
      <w:proofErr w:type="gramStart"/>
      <w:r w:rsidRPr="00D05755">
        <w:rPr>
          <w:rStyle w:val="custom"/>
          <w:rFonts w:ascii="宋体" w:hAnsi="宋体" w:cs="宋体"/>
          <w:kern w:val="0"/>
          <w:sz w:val="24"/>
          <w:szCs w:val="24"/>
        </w:rPr>
        <w:t>若基金</w:t>
      </w:r>
      <w:proofErr w:type="gramEnd"/>
      <w:r w:rsidRPr="00D05755">
        <w:rPr>
          <w:rStyle w:val="custom"/>
          <w:rFonts w:ascii="宋体" w:hAnsi="宋体" w:cs="宋体"/>
          <w:kern w:val="0"/>
          <w:sz w:val="24"/>
          <w:szCs w:val="24"/>
        </w:rPr>
        <w:t>资产净值低于2亿元人民币的，本基金合同自动终止，且不得通过召开基金份额持有人大会延续基金合同期限。若届时的法律法规或中国证监会规定发生变化，上述终止规定被取消、更改或补充时，则本基金可以参照届时有效的法律法规或中国证监会规定执行</w:t>
      </w:r>
      <w:r w:rsidRPr="00D05755">
        <w:rPr>
          <w:rFonts w:ascii="宋体" w:hAnsi="宋体" w:cs="宋体"/>
          <w:kern w:val="0"/>
          <w:sz w:val="24"/>
          <w:szCs w:val="24"/>
        </w:rPr>
        <w:t>。</w:t>
      </w:r>
      <w:r w:rsidRPr="00D05755">
        <w:rPr>
          <w:rStyle w:val="custom"/>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49" w:name="_Toc256000005"/>
      <w:r w:rsidRPr="00D05755">
        <w:rPr>
          <w:rFonts w:ascii="Times New Roman"/>
          <w:color w:val="auto"/>
          <w:sz w:val="30"/>
        </w:rPr>
        <w:lastRenderedPageBreak/>
        <w:t>第六部分</w:t>
      </w:r>
      <w:r w:rsidRPr="00D05755">
        <w:rPr>
          <w:rFonts w:ascii="Times New Roman"/>
          <w:color w:val="auto"/>
          <w:sz w:val="30"/>
        </w:rPr>
        <w:t xml:space="preserve">  </w:t>
      </w:r>
      <w:r w:rsidRPr="00D05755">
        <w:rPr>
          <w:rFonts w:ascii="Times New Roman"/>
          <w:color w:val="auto"/>
          <w:sz w:val="30"/>
        </w:rPr>
        <w:t>基金份额的申购与赎回</w:t>
      </w:r>
      <w:bookmarkEnd w:id="49"/>
    </w:p>
    <w:p w:rsidR="00E8691A" w:rsidRPr="00D05755" w:rsidRDefault="00E8691A"/>
    <w:p w:rsidR="00E8691A" w:rsidRPr="00D05755" w:rsidRDefault="006E24B4">
      <w:pPr>
        <w:pStyle w:val="div"/>
        <w:spacing w:line="360" w:lineRule="auto"/>
        <w:ind w:firstLine="420"/>
        <w:jc w:val="left"/>
        <w:rPr>
          <w:rFonts w:eastAsia="Times New Roman"/>
          <w:kern w:val="0"/>
          <w:sz w:val="24"/>
          <w:szCs w:val="24"/>
        </w:rPr>
      </w:pPr>
      <w:bookmarkStart w:id="50" w:name="OLE_LINK20"/>
      <w:bookmarkStart w:id="51" w:name="OLE_LINK21"/>
      <w:r w:rsidRPr="00D05755">
        <w:rPr>
          <w:rStyle w:val="custom"/>
          <w:rFonts w:ascii="宋体" w:hAnsi="宋体" w:cs="宋体"/>
          <w:kern w:val="0"/>
          <w:sz w:val="24"/>
          <w:szCs w:val="24"/>
        </w:rPr>
        <w:t>一、</w:t>
      </w:r>
      <w:r w:rsidRPr="00D05755">
        <w:rPr>
          <w:rFonts w:ascii="宋体" w:hAnsi="宋体" w:cs="宋体"/>
          <w:kern w:val="0"/>
          <w:sz w:val="24"/>
          <w:szCs w:val="24"/>
        </w:rPr>
        <w:t>申购和赎回场所</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本基金的申购与赎回将通过销售机构进行。具体的销售机构将由基金管理人在招募说明书或其他相</w:t>
      </w:r>
      <w:proofErr w:type="gramStart"/>
      <w:r w:rsidRPr="00D05755">
        <w:rPr>
          <w:rFonts w:ascii="宋体" w:hAnsi="宋体" w:cs="宋体"/>
          <w:kern w:val="0"/>
          <w:sz w:val="24"/>
          <w:szCs w:val="24"/>
        </w:rPr>
        <w:t>关公示中列明</w:t>
      </w:r>
      <w:proofErr w:type="gramEnd"/>
      <w:r w:rsidRPr="00D05755">
        <w:rPr>
          <w:rFonts w:ascii="宋体" w:hAnsi="宋体" w:cs="宋体"/>
          <w:kern w:val="0"/>
          <w:sz w:val="24"/>
          <w:szCs w:val="24"/>
        </w:rPr>
        <w:t>。基金管理人可根据情况变更或增减销售机构，并在基金管理人网站公示。基金投资者应当在销售机构办理基金销售业务的营业场所或按销售机构提供的其他方式办理基金份额的申购与赎回。</w:t>
      </w:r>
      <w:proofErr w:type="gramStart"/>
      <w:r w:rsidRPr="00D05755">
        <w:rPr>
          <w:rFonts w:ascii="宋体" w:hAnsi="宋体" w:cs="宋体"/>
          <w:kern w:val="0"/>
          <w:sz w:val="24"/>
          <w:szCs w:val="24"/>
        </w:rPr>
        <w:t>若基金</w:t>
      </w:r>
      <w:proofErr w:type="gramEnd"/>
      <w:r w:rsidRPr="00D05755">
        <w:rPr>
          <w:rFonts w:ascii="宋体" w:hAnsi="宋体" w:cs="宋体"/>
          <w:kern w:val="0"/>
          <w:sz w:val="24"/>
          <w:szCs w:val="24"/>
        </w:rPr>
        <w:t>管理人或其指定的销售机构开通电话、传真或网上等交易方式，投资人可以通过上述方式进行申购与赎回。</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申购和赎回的开放日及时间</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开放日及开放时间</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投资人在开放日办理基金份额的申购和赎回，</w:t>
      </w:r>
      <w:r w:rsidRPr="00D05755">
        <w:rPr>
          <w:rFonts w:ascii="宋体" w:hAnsi="宋体" w:cs="宋体"/>
          <w:kern w:val="0"/>
          <w:sz w:val="24"/>
          <w:szCs w:val="24"/>
        </w:rPr>
        <w:t>具体办理时间为上海证券交易所、深圳证券交易所的正常交易日的交易时间</w:t>
      </w:r>
      <w:r w:rsidRPr="00D05755">
        <w:rPr>
          <w:rStyle w:val="custom"/>
          <w:rFonts w:ascii="宋体" w:hAnsi="宋体" w:cs="宋体"/>
          <w:kern w:val="0"/>
          <w:sz w:val="24"/>
          <w:szCs w:val="24"/>
        </w:rPr>
        <w:t>（如遇香港联合交易所法定节假日或因其他原因暂停营业或港股通暂停交易的情形，基金管理人有权暂停办理基金份额的申购和赎回业务）</w:t>
      </w:r>
      <w:r w:rsidRPr="00D05755">
        <w:rPr>
          <w:rFonts w:ascii="宋体" w:hAnsi="宋体" w:cs="宋体"/>
          <w:kern w:val="0"/>
          <w:sz w:val="24"/>
          <w:szCs w:val="24"/>
        </w:rPr>
        <w:t>，但基金管理人根据法律法规、中国证监会的要求或本基金合同的规定公告暂停申购、赎回时除外。开放日的具体业务办理时间在招募说明书或基金管理人届时发布的相关公告中载明。</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申购、赎回开始日及业务办理时间</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基金管理人可根据实际情况依法决定本基金开始办理申购的具体日期，具体业务办理时间在开放申购业务的公告中规定。</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基金管理人自基金合同生效之日起不超过3个月开始办理赎回，具体业务办理时间在开放赎回业务的公告中规定。</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在确定申购开始与赎回开始时间后，基金管理人应在申购、赎回开放日前依照《信息披露办法》的有关规定在规定媒介上公告申购与赎回的开始时间。</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基金管理人不得在基金合同约定之外的日期或者时间办理基金份额的申购、</w:t>
      </w:r>
      <w:r w:rsidRPr="00D05755">
        <w:rPr>
          <w:rStyle w:val="custom"/>
          <w:rFonts w:ascii="宋体" w:hAnsi="宋体" w:cs="宋体"/>
          <w:kern w:val="0"/>
          <w:sz w:val="24"/>
          <w:szCs w:val="24"/>
        </w:rPr>
        <w:lastRenderedPageBreak/>
        <w:t>赎回或者转换。投资人在基金合同约定之外的日期和时间提出申购、赎回或转换申请</w:t>
      </w:r>
      <w:proofErr w:type="gramStart"/>
      <w:r w:rsidRPr="00D05755">
        <w:rPr>
          <w:rStyle w:val="custom"/>
          <w:rFonts w:ascii="宋体" w:hAnsi="宋体" w:cs="宋体"/>
          <w:kern w:val="0"/>
          <w:sz w:val="24"/>
          <w:szCs w:val="24"/>
        </w:rPr>
        <w:t>且登记</w:t>
      </w:r>
      <w:proofErr w:type="gramEnd"/>
      <w:r w:rsidRPr="00D05755">
        <w:rPr>
          <w:rStyle w:val="custom"/>
          <w:rFonts w:ascii="宋体" w:hAnsi="宋体" w:cs="宋体"/>
          <w:kern w:val="0"/>
          <w:sz w:val="24"/>
          <w:szCs w:val="24"/>
        </w:rPr>
        <w:t>机构确认接受的，其基金份额申购、赎回价格为下一开放</w:t>
      </w:r>
      <w:proofErr w:type="gramStart"/>
      <w:r w:rsidRPr="00D05755">
        <w:rPr>
          <w:rStyle w:val="custom"/>
          <w:rFonts w:ascii="宋体" w:hAnsi="宋体" w:cs="宋体"/>
          <w:kern w:val="0"/>
          <w:sz w:val="24"/>
          <w:szCs w:val="24"/>
        </w:rPr>
        <w:t>日相应</w:t>
      </w:r>
      <w:proofErr w:type="gramEnd"/>
      <w:r w:rsidRPr="00D05755">
        <w:rPr>
          <w:rStyle w:val="custom"/>
          <w:rFonts w:ascii="宋体" w:hAnsi="宋体" w:cs="宋体"/>
          <w:kern w:val="0"/>
          <w:sz w:val="24"/>
          <w:szCs w:val="24"/>
        </w:rPr>
        <w:t>类别的基金份额申购、赎回的价格。</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三、</w:t>
      </w:r>
      <w:r w:rsidRPr="00D05755">
        <w:rPr>
          <w:rFonts w:ascii="宋体" w:hAnsi="宋体" w:cs="宋体"/>
          <w:kern w:val="0"/>
          <w:sz w:val="24"/>
          <w:szCs w:val="24"/>
        </w:rPr>
        <w:t>申购与赎回的原则</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1、“未知价”原则，即申购、赎回价格以申请当日收市后计算的相应类别的基金份额净值为基准进行计算；</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“金额申购、份额赎回”原则，即申购以金额申请，赎回以份额申请；</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当日的申购与赎回申请可以在基金管理人规定的时间以内撤销；</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4、赎回遵循“先进先出”原则，即按照投资人认购、申购的先后次序进行顺序赎回；</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办理申购、赎回业务时，应当遵循基金份额持有人利益优先原则，确保投资者的合法权益不受损害并得到公平对待。</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基金管理人可在法律法规允许的情况下，对上述原则进行调整。基金管理人必须在新规则开始实施前依照《信息披露办法》的有关规定在规定媒介上公告。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四、</w:t>
      </w:r>
      <w:r w:rsidRPr="00D05755">
        <w:rPr>
          <w:rFonts w:ascii="宋体" w:hAnsi="宋体" w:cs="宋体"/>
          <w:kern w:val="0"/>
          <w:sz w:val="24"/>
          <w:szCs w:val="24"/>
        </w:rPr>
        <w:t>申购与赎回的程序</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申购和赎回的申请方式</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投资人必须根据销售机构规定的程序，在开放日的具体业务办理时间内提出申购或赎回的申请。投资者在提交申购申请时，须按销售机构规定的方式备足申购资金，投资者在提交赎回申请时，应确保账户内有足够的基金份额余额，否则申购、赎回申请不成立。</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申购和赎回的款项支付</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投资人申购基金份额时，必须在规定时间前全额交付申购款项，否则所提交的申购申请不成立。投资人在规定时间前全额交付申购款项，申购成立；基金份额登记机构确认基金份额时，申购生效。</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份额持有人在提交赎回申请时，必须有足够的基金份额余额，否则所提交的赎回申请不成立。基金份额持有人递交赎回申请，赎回成立；基金份额登记机构确认赎回时，赎回生效。投资者赎回申请生效后，基金管理人将在T+7日（包括该日）内支付赎回款项。在发生巨额赎回时，款项的支付办法参照本基金合同有关条款处理。</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lastRenderedPageBreak/>
        <w:t>遇交易所或交易市场数据传输延迟、通讯系统故障、银行数据交换系统故障</w:t>
      </w:r>
      <w:r w:rsidRPr="00D05755">
        <w:rPr>
          <w:rFonts w:ascii="宋体" w:hAnsi="宋体" w:cs="宋体" w:hint="eastAsia"/>
          <w:kern w:val="0"/>
          <w:sz w:val="24"/>
          <w:szCs w:val="24"/>
        </w:rPr>
        <w:t>、港股</w:t>
      </w:r>
      <w:proofErr w:type="gramStart"/>
      <w:r w:rsidRPr="00D05755">
        <w:rPr>
          <w:rFonts w:ascii="宋体" w:hAnsi="宋体" w:cs="宋体" w:hint="eastAsia"/>
          <w:kern w:val="0"/>
          <w:sz w:val="24"/>
          <w:szCs w:val="24"/>
        </w:rPr>
        <w:t>通交易</w:t>
      </w:r>
      <w:proofErr w:type="gramEnd"/>
      <w:r w:rsidRPr="00D05755">
        <w:rPr>
          <w:rFonts w:ascii="宋体" w:hAnsi="宋体" w:cs="宋体" w:hint="eastAsia"/>
          <w:kern w:val="0"/>
          <w:sz w:val="24"/>
          <w:szCs w:val="24"/>
        </w:rPr>
        <w:t>系统故障、港股</w:t>
      </w:r>
      <w:proofErr w:type="gramStart"/>
      <w:r w:rsidRPr="00D05755">
        <w:rPr>
          <w:rFonts w:ascii="宋体" w:hAnsi="宋体" w:cs="宋体" w:hint="eastAsia"/>
          <w:kern w:val="0"/>
          <w:sz w:val="24"/>
          <w:szCs w:val="24"/>
        </w:rPr>
        <w:t>通资金</w:t>
      </w:r>
      <w:proofErr w:type="gramEnd"/>
      <w:r w:rsidRPr="00D05755">
        <w:rPr>
          <w:rFonts w:ascii="宋体" w:hAnsi="宋体" w:cs="宋体" w:hint="eastAsia"/>
          <w:kern w:val="0"/>
          <w:sz w:val="24"/>
          <w:szCs w:val="24"/>
        </w:rPr>
        <w:t>交收规则限制</w:t>
      </w:r>
      <w:r w:rsidRPr="00D05755">
        <w:rPr>
          <w:rFonts w:ascii="宋体" w:hAnsi="宋体" w:cs="宋体"/>
          <w:kern w:val="0"/>
          <w:sz w:val="24"/>
          <w:szCs w:val="24"/>
        </w:rPr>
        <w:t>或其他</w:t>
      </w:r>
      <w:proofErr w:type="gramStart"/>
      <w:r w:rsidRPr="00D05755">
        <w:rPr>
          <w:rFonts w:ascii="宋体" w:hAnsi="宋体" w:cs="宋体"/>
          <w:kern w:val="0"/>
          <w:sz w:val="24"/>
          <w:szCs w:val="24"/>
        </w:rPr>
        <w:t>非基金</w:t>
      </w:r>
      <w:proofErr w:type="gramEnd"/>
      <w:r w:rsidRPr="00D05755">
        <w:rPr>
          <w:rFonts w:ascii="宋体" w:hAnsi="宋体" w:cs="宋体"/>
          <w:kern w:val="0"/>
          <w:sz w:val="24"/>
          <w:szCs w:val="24"/>
        </w:rPr>
        <w:t>管理人及基金托管人所能控制的因素影响业务处理流程，则赎回款项顺延至上述情形消除后的下一个工作日划出。</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基金管理人可以在法律法规和基金合同允许的范围内，对上述业务办理时间进行调整，基金管理人必须在调整实施前依照《信息披露办法》的有关规定在规定媒介上公告。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申购和赎回申请的确认</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退还给投资人。</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销售机构对申购、赎回申请的受理并不代表申请一定成功，而仅代表销售机构确实接收到申请。申购、赎回的确认以登记机构的确认结果为准。对于申请的确认情况，投资者应及时查询并妥善行使合法权利，否则，由此产生的任何损失由投资人自行承担。</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在法律法规允许的范围内，本基金管理人或登记机构可根据业务规则，对上述业务办理时间进行调整，基金管理人必须在调整实施前依照《信息披露办法》的有关规定在规定媒介上公告。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五、</w:t>
      </w:r>
      <w:r w:rsidRPr="00D05755">
        <w:rPr>
          <w:rFonts w:ascii="宋体" w:hAnsi="宋体" w:cs="宋体"/>
          <w:kern w:val="0"/>
          <w:sz w:val="24"/>
          <w:szCs w:val="24"/>
        </w:rPr>
        <w:t>申购和赎回的数量限制</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基金管理人可以规定投资人首次申购和每次申购的最低金额以及每次赎回的最低份额，具体规定请参见招募说明书或相关公告。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基金管理人可以规定投资人每个基金交易账户的最低基金份额余额，具体规定请参见招募说明书或相关公告。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基金管理人可以规定单个投资人累计持有的基金份额上限，具体规定请参见招募说明书或相关公告。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当接受申购申请对存量基金份额持有人利益构成潜在重大不利影响时，基金管理人应当采取设定单一投资者申购金额上限、基金规模上限或基金单日</w:t>
      </w:r>
      <w:r w:rsidRPr="00D05755">
        <w:rPr>
          <w:rFonts w:ascii="宋体" w:hAnsi="宋体" w:cs="宋体"/>
          <w:kern w:val="0"/>
          <w:sz w:val="24"/>
          <w:szCs w:val="24"/>
        </w:rPr>
        <w:lastRenderedPageBreak/>
        <w:t>净申购比例上限、拒绝大额申购、暂停基金申购等措施，切实保护存量基金份额持有人的合法权益。基金管理人基于投资运作与风险控制的需要，可采取上述措施对基金规模予以控制。具体</w:t>
      </w:r>
      <w:proofErr w:type="gramStart"/>
      <w:r w:rsidRPr="00D05755">
        <w:rPr>
          <w:rFonts w:ascii="宋体" w:hAnsi="宋体" w:cs="宋体"/>
          <w:kern w:val="0"/>
          <w:sz w:val="24"/>
          <w:szCs w:val="24"/>
        </w:rPr>
        <w:t>见基金</w:t>
      </w:r>
      <w:proofErr w:type="gramEnd"/>
      <w:r w:rsidRPr="00D05755">
        <w:rPr>
          <w:rFonts w:ascii="宋体" w:hAnsi="宋体" w:cs="宋体"/>
          <w:kern w:val="0"/>
          <w:sz w:val="24"/>
          <w:szCs w:val="24"/>
        </w:rPr>
        <w:t>管理人相关公告。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基金管理人可在法律法规允许的情况下，调整上述规定申购金额和赎回份额的数量限制或新增基金规模控制措施。基金管理人必须在调整实施前依照《信息披露办法》的有关规定在规定媒介上公告。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六、</w:t>
      </w:r>
      <w:r w:rsidRPr="00D05755">
        <w:rPr>
          <w:rFonts w:ascii="宋体" w:hAnsi="宋体" w:cs="宋体"/>
          <w:kern w:val="0"/>
          <w:sz w:val="24"/>
          <w:szCs w:val="24"/>
        </w:rPr>
        <w:t>申购和赎回的价格、费用及其用途</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1、本基金各类基金份额净值的计算，均保留到小数点后4位，小数点后第5位四舍五入，由此产生的收益或损失由基金财产承担。T日的各类基金份额净值在当天收市后计算，并根据基金合同的约定公告。</w:t>
      </w:r>
      <w:r w:rsidRPr="00D05755">
        <w:rPr>
          <w:rFonts w:ascii="宋体" w:hAnsi="宋体" w:cs="宋体"/>
          <w:kern w:val="0"/>
          <w:sz w:val="24"/>
          <w:szCs w:val="24"/>
        </w:rPr>
        <w:t>遇特殊情况，</w:t>
      </w:r>
      <w:r w:rsidRPr="00D05755">
        <w:rPr>
          <w:rFonts w:ascii="宋体" w:hAnsi="宋体" w:cs="宋体"/>
          <w:color w:val="000000"/>
          <w:kern w:val="0"/>
          <w:sz w:val="24"/>
          <w:szCs w:val="24"/>
        </w:rPr>
        <w:t>经履行适当程序</w:t>
      </w:r>
      <w:r w:rsidRPr="00D05755">
        <w:rPr>
          <w:rFonts w:ascii="宋体" w:hAnsi="宋体" w:cs="宋体"/>
          <w:kern w:val="0"/>
          <w:sz w:val="24"/>
          <w:szCs w:val="24"/>
        </w:rPr>
        <w:t>，可以适当延迟计算或公告。</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本基金A类、C类基金份额将分别计算基金份额净值。</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2、申购份额的计算及余额的处理方式：本基金申购份额的计算及余额的处理方式详见《招募说明书》。本基金的C类基金份额不收取申购费，A类基金份额的申购费率由基金管理人决定，并在招募说明书及基金产品资料概要中列示。申购的有效份额为净申购金额除以当日的该类基金份额净值，有效份额单位为份，上述计算结果均按四舍五入方法，保留到小数点后2位，由此产生的收益或损失由基金财产承担。</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3、赎回金额的计算及处理方式：本基金赎回金额的计算及处理方式详见《招募说明书》。本基金的赎回费率由基金管理人决定，并在招募说明书及基金产品资料概要中列示。</w:t>
      </w:r>
      <w:r w:rsidRPr="00D05755">
        <w:rPr>
          <w:rStyle w:val="custom"/>
          <w:rFonts w:ascii="宋体" w:hAnsi="宋体" w:cs="宋体" w:hint="eastAsia"/>
          <w:kern w:val="0"/>
          <w:sz w:val="24"/>
          <w:szCs w:val="24"/>
        </w:rPr>
        <w:t>赎回金额为按实际确认的有效赎回份额乘以当日该类基金份额净值并扣除或加上相应的费用，赎回金额单位为元</w:t>
      </w:r>
      <w:r w:rsidRPr="00D05755">
        <w:rPr>
          <w:rStyle w:val="custom"/>
          <w:rFonts w:ascii="宋体" w:hAnsi="宋体" w:cs="宋体"/>
          <w:kern w:val="0"/>
          <w:sz w:val="24"/>
          <w:szCs w:val="24"/>
        </w:rPr>
        <w:t>。上述计算结果均按四舍五入方法，保留到小数点后2位，由此产生的收益或损失由基金财产承担。</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通过直销机构以外的其他销售机构申购A类基金份额的，申购费用由申购A类基金份额的投资人承担，不列入基金财产。C类基金份额不收取申购费，而是从直销机构以外的其他销售机构保有的该类别基金资产中计</w:t>
      </w:r>
      <w:proofErr w:type="gramStart"/>
      <w:r w:rsidRPr="00D05755">
        <w:rPr>
          <w:rStyle w:val="custom"/>
          <w:rFonts w:ascii="宋体" w:hAnsi="宋体" w:cs="宋体"/>
          <w:kern w:val="0"/>
          <w:sz w:val="24"/>
          <w:szCs w:val="24"/>
        </w:rPr>
        <w:t>提销售</w:t>
      </w:r>
      <w:proofErr w:type="gramEnd"/>
      <w:r w:rsidRPr="00D05755">
        <w:rPr>
          <w:rStyle w:val="custom"/>
          <w:rFonts w:ascii="宋体" w:hAnsi="宋体" w:cs="宋体"/>
          <w:kern w:val="0"/>
          <w:sz w:val="24"/>
          <w:szCs w:val="24"/>
        </w:rPr>
        <w:t>服务费；其中，对于投资者通过直销机构认购/申购的C类基金份额所计提的销售服务费或者通过其他销售机构认购/申购且持续持有期限超过一年（即365天）以后继续计提的C类基金份额销售服务费，将在投资者赎回相应基金份额时随</w:t>
      </w:r>
      <w:proofErr w:type="gramStart"/>
      <w:r w:rsidRPr="00D05755">
        <w:rPr>
          <w:rStyle w:val="custom"/>
          <w:rFonts w:ascii="宋体" w:hAnsi="宋体" w:cs="宋体"/>
          <w:kern w:val="0"/>
          <w:sz w:val="24"/>
          <w:szCs w:val="24"/>
        </w:rPr>
        <w:t>赎回款</w:t>
      </w:r>
      <w:proofErr w:type="gramEnd"/>
      <w:r w:rsidRPr="00D05755">
        <w:rPr>
          <w:rStyle w:val="custom"/>
          <w:rFonts w:ascii="宋体" w:hAnsi="宋体" w:cs="宋体"/>
          <w:kern w:val="0"/>
          <w:sz w:val="24"/>
          <w:szCs w:val="24"/>
        </w:rPr>
        <w:t>一</w:t>
      </w:r>
      <w:r w:rsidRPr="00D05755">
        <w:rPr>
          <w:rStyle w:val="custom"/>
          <w:rFonts w:ascii="宋体" w:hAnsi="宋体" w:cs="宋体"/>
          <w:kern w:val="0"/>
          <w:sz w:val="24"/>
          <w:szCs w:val="24"/>
        </w:rPr>
        <w:lastRenderedPageBreak/>
        <w:t>并返还给投资者。</w:t>
      </w:r>
    </w:p>
    <w:p w:rsidR="00E8691A" w:rsidRPr="00D05755" w:rsidRDefault="006E24B4">
      <w:pPr>
        <w:pStyle w:val="div"/>
        <w:spacing w:line="360" w:lineRule="auto"/>
        <w:ind w:firstLine="420"/>
        <w:jc w:val="left"/>
        <w:rPr>
          <w:rStyle w:val="custom"/>
          <w:rFonts w:ascii="宋体" w:hAnsi="宋体" w:cs="宋体"/>
          <w:kern w:val="0"/>
          <w:sz w:val="24"/>
          <w:szCs w:val="24"/>
        </w:rPr>
      </w:pPr>
      <w:r w:rsidRPr="00D05755">
        <w:rPr>
          <w:rStyle w:val="custom"/>
          <w:rFonts w:ascii="宋体" w:hAnsi="宋体" w:cs="宋体"/>
          <w:kern w:val="0"/>
          <w:sz w:val="24"/>
          <w:szCs w:val="24"/>
        </w:rPr>
        <w:t>5、赎回费用由赎回基金份额的基金份额持有人承担，在基金份额持有人赎回基金份额时收取。赎回费用全额计入基金财产。</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7、</w:t>
      </w:r>
      <w:r w:rsidRPr="00D05755">
        <w:rPr>
          <w:rStyle w:val="custom"/>
          <w:rFonts w:ascii="宋体" w:hAnsi="宋体" w:cs="宋体" w:hint="eastAsia"/>
          <w:kern w:val="0"/>
          <w:sz w:val="24"/>
          <w:szCs w:val="24"/>
        </w:rPr>
        <w:t>由于本基金在计算各类基金份额净值时，按前一日基金资产净值的1.20%年费率计算管理费，该费率可能高于或低于不同投资者最终适用的管理费率。在基金份额赎回时，基金投资者实际收到的赎回款项的金额可能与按披露的该类基金份额净值计算的结果存在差异。投资者的实际赎回金额以登记机构确认数据为准。</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hint="eastAsia"/>
          <w:kern w:val="0"/>
          <w:sz w:val="24"/>
          <w:szCs w:val="24"/>
        </w:rPr>
        <w:t>8、</w:t>
      </w:r>
      <w:r w:rsidRPr="00D05755">
        <w:rPr>
          <w:rFonts w:ascii="宋体" w:hAnsi="宋体" w:cs="宋体"/>
          <w:kern w:val="0"/>
          <w:sz w:val="24"/>
          <w:szCs w:val="24"/>
        </w:rPr>
        <w:t>当本基金发生大额申购或赎回情形时，基金管理人可以采用摆动定价机制，以确保基金估值的公平性。具体处理原则与操作规范遵循相关法律法规以及监管部门、自律规则的规定。基金管理人依照《信息披露办法》的有关规定，将摆动定价机制的具体操作规则在规定媒介上公告。</w:t>
      </w:r>
    </w:p>
    <w:p w:rsidR="00E8691A" w:rsidRPr="00D05755" w:rsidRDefault="006E24B4">
      <w:pPr>
        <w:pStyle w:val="div"/>
        <w:spacing w:line="360" w:lineRule="auto"/>
        <w:ind w:firstLineChars="200" w:firstLine="480"/>
        <w:jc w:val="left"/>
        <w:rPr>
          <w:rFonts w:eastAsia="Times New Roman"/>
          <w:kern w:val="0"/>
          <w:sz w:val="24"/>
          <w:szCs w:val="24"/>
        </w:rPr>
      </w:pPr>
      <w:r w:rsidRPr="00D05755">
        <w:rPr>
          <w:rStyle w:val="custom"/>
          <w:rFonts w:ascii="宋体" w:hAnsi="宋体" w:cs="宋体"/>
          <w:kern w:val="0"/>
          <w:sz w:val="24"/>
          <w:szCs w:val="24"/>
        </w:rPr>
        <w:t>9、</w:t>
      </w:r>
      <w:r w:rsidRPr="00D05755">
        <w:rPr>
          <w:rFonts w:ascii="宋体" w:hAnsi="宋体" w:cs="宋体"/>
          <w:kern w:val="0"/>
          <w:sz w:val="24"/>
          <w:szCs w:val="24"/>
        </w:rPr>
        <w:t>基金管理人可以在不违反法律法规规定及基金合同约定的情形下根据市场情况制定基金促销计划，定期或不定期地开展基金促销活动。在基金促销活动期间，在对存量基金份额持有人利益无实质性不利影响的前提下，按相关监管部门要求履行必要手续后，基金管理人可以适当调低基金销售费率。</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七、</w:t>
      </w:r>
      <w:r w:rsidRPr="00D05755">
        <w:rPr>
          <w:rFonts w:ascii="宋体" w:hAnsi="宋体" w:cs="宋体"/>
          <w:kern w:val="0"/>
          <w:sz w:val="24"/>
          <w:szCs w:val="24"/>
        </w:rPr>
        <w:t>拒绝或暂停申购的情形</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发生下列情况时，基金管理人可拒绝或暂停接受投资人的申购申请：</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因不可抗力导致基金无法正常运作或者因不可抗力导致基金管理人无法接受投资人的申购申请。</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发生基金合同规定的暂停基金资产估值情况时，基金管理人可暂停接受投资人的申购申请。</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3、证券/期货交易所交易时间非正常停市，导致基金管理人无法计算当日基金资产净值。</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lastRenderedPageBreak/>
        <w:t>4、</w:t>
      </w:r>
      <w:r w:rsidRPr="00D05755">
        <w:rPr>
          <w:rFonts w:ascii="宋体" w:hAnsi="宋体" w:cs="宋体"/>
          <w:kern w:val="0"/>
          <w:sz w:val="24"/>
          <w:szCs w:val="24"/>
        </w:rPr>
        <w:t>接受某笔或某些申购申请可能会影响或损害现有基金份额持有人利益时。</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基金资产规模过大，使基金管理人无法找到合适的投资品种，或其他可能对基金业绩产生负面影响，或发生其他损害现有基金份额持有人利益的情形。</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当前一估值日基金资产净值50%以上的资产出现无可参考的活跃市场价格且采用估值技术</w:t>
      </w:r>
      <w:proofErr w:type="gramStart"/>
      <w:r w:rsidRPr="00D05755">
        <w:rPr>
          <w:rFonts w:ascii="宋体" w:hAnsi="宋体" w:cs="宋体"/>
          <w:kern w:val="0"/>
          <w:sz w:val="24"/>
          <w:szCs w:val="24"/>
        </w:rPr>
        <w:t>仍导致</w:t>
      </w:r>
      <w:proofErr w:type="gramEnd"/>
      <w:r w:rsidRPr="00D05755">
        <w:rPr>
          <w:rFonts w:ascii="宋体" w:hAnsi="宋体" w:cs="宋体"/>
          <w:kern w:val="0"/>
          <w:sz w:val="24"/>
          <w:szCs w:val="24"/>
        </w:rPr>
        <w:t>公允价值存在重大不确定性时，经与基金托管人协商确认后，基金管理人应当暂停接受基金申购申请。</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申请超过基金管理人设定的基金总规模、单日申购金额上限、单日净申购比例上限、单个投资者累计持有份额上限、单个投资者单日或单笔申购金额上限的。</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8、基金管理人接受某笔或者某些申购申请有可能导致单一投资者（基金管理人、基金管理人高级管理人员或基金经理等人员作为发起资金提供方除外）持有基金份额的比例达到或者超过50%，或者变相规避50%集中度的情形。</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9、</w:t>
      </w:r>
      <w:r w:rsidRPr="00D05755">
        <w:rPr>
          <w:rFonts w:ascii="宋体" w:hAnsi="宋体" w:cs="宋体"/>
          <w:kern w:val="0"/>
          <w:sz w:val="24"/>
          <w:szCs w:val="24"/>
        </w:rPr>
        <w:t>基金管理人、基金托管人、基金销售机构、登记机构、支付结算机构等因异常情况导致基金销售系统、基金销售支付结算系统、基金登记结算系统、基金会计系统无法正常运行。</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10、基金参与港股</w:t>
      </w:r>
      <w:proofErr w:type="gramStart"/>
      <w:r w:rsidRPr="00D05755">
        <w:rPr>
          <w:rStyle w:val="custom"/>
          <w:rFonts w:ascii="宋体" w:hAnsi="宋体" w:cs="宋体"/>
          <w:kern w:val="0"/>
          <w:sz w:val="24"/>
          <w:szCs w:val="24"/>
        </w:rPr>
        <w:t>通交易且港股通交易</w:t>
      </w:r>
      <w:proofErr w:type="gramEnd"/>
      <w:r w:rsidRPr="00D05755">
        <w:rPr>
          <w:rStyle w:val="custom"/>
          <w:rFonts w:ascii="宋体" w:hAnsi="宋体" w:cs="宋体"/>
          <w:kern w:val="0"/>
          <w:sz w:val="24"/>
          <w:szCs w:val="24"/>
        </w:rPr>
        <w:t>每日额度不足。</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11、</w:t>
      </w:r>
      <w:r w:rsidRPr="00D05755">
        <w:rPr>
          <w:rFonts w:ascii="宋体" w:hAnsi="宋体" w:cs="宋体"/>
          <w:kern w:val="0"/>
          <w:sz w:val="24"/>
          <w:szCs w:val="24"/>
        </w:rPr>
        <w:t>法律法规规定或中国证监会认定的其他情形。</w:t>
      </w:r>
    </w:p>
    <w:p w:rsidR="00E8691A" w:rsidRPr="00D05755" w:rsidRDefault="006E24B4">
      <w:pPr>
        <w:pStyle w:val="div"/>
        <w:widowControl/>
        <w:spacing w:line="360" w:lineRule="auto"/>
        <w:ind w:firstLine="480"/>
        <w:jc w:val="left"/>
        <w:rPr>
          <w:rFonts w:eastAsia="Times New Roman"/>
          <w:kern w:val="0"/>
          <w:sz w:val="24"/>
          <w:szCs w:val="24"/>
        </w:rPr>
      </w:pPr>
      <w:r w:rsidRPr="00D05755">
        <w:rPr>
          <w:rStyle w:val="custom"/>
          <w:rFonts w:ascii="宋体" w:hAnsi="宋体" w:cs="宋体"/>
          <w:kern w:val="0"/>
          <w:sz w:val="24"/>
          <w:szCs w:val="24"/>
        </w:rPr>
        <w:t>发生除上述第4、7、8项暂停申购情形之一</w:t>
      </w:r>
      <w:proofErr w:type="gramStart"/>
      <w:r w:rsidRPr="00D05755">
        <w:rPr>
          <w:rFonts w:ascii="宋体" w:hAnsi="宋体" w:cs="宋体"/>
          <w:kern w:val="0"/>
          <w:sz w:val="24"/>
          <w:szCs w:val="24"/>
        </w:rPr>
        <w:t>且基金</w:t>
      </w:r>
      <w:proofErr w:type="gramEnd"/>
      <w:r w:rsidRPr="00D05755">
        <w:rPr>
          <w:rFonts w:ascii="宋体" w:hAnsi="宋体" w:cs="宋体"/>
          <w:kern w:val="0"/>
          <w:sz w:val="24"/>
          <w:szCs w:val="24"/>
        </w:rPr>
        <w:t>管理人决定暂停接受投资人申购申请时，基金管理人应当根据有关规定在规定媒介上刊登暂停申购公告。如果投资人的申购申请被全部或部分拒绝的，被拒绝的申购款项将退还给投资人。</w:t>
      </w:r>
      <w:r w:rsidRPr="00D05755">
        <w:rPr>
          <w:rStyle w:val="custom"/>
          <w:rFonts w:ascii="宋体" w:hAnsi="宋体" w:cs="宋体"/>
          <w:kern w:val="0"/>
          <w:sz w:val="24"/>
          <w:szCs w:val="24"/>
        </w:rPr>
        <w:t>在暂停申购的情况消除时，基金管理人应及时恢复申购业务的办理。</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八、</w:t>
      </w:r>
      <w:r w:rsidRPr="00D05755">
        <w:rPr>
          <w:rFonts w:ascii="宋体" w:hAnsi="宋体" w:cs="宋体"/>
          <w:kern w:val="0"/>
          <w:sz w:val="24"/>
          <w:szCs w:val="24"/>
        </w:rPr>
        <w:t>暂停赎回或延缓支付赎回款项的情形</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发生下列情形时，基金管理人可暂停接受投资人的赎回申请或延缓支付赎回款项：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因不可抗力导致基金管理人不能支付赎回款项。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发生基金合同规定的暂停基金资产估值情况时，基金管理人可暂停接受投资人的赎回申请或延缓支付赎回款项。</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3、证券/期货交易所交易时间非正常停市，导致基金管理人无法计算当日基金资产净值。</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lastRenderedPageBreak/>
        <w:t>4、连续两个或两个以上开放日发生巨额赎回。</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发生继续接受赎回申请将损害现有基金份额持有人利益的情形时，基金管理人可暂停接受基金份额持有人的赎回申请。</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当前一估值日基金资产净值50%以上的资产出现无可参考的活跃市场价格且采用估值技术</w:t>
      </w:r>
      <w:proofErr w:type="gramStart"/>
      <w:r w:rsidRPr="00D05755">
        <w:rPr>
          <w:rFonts w:ascii="宋体" w:hAnsi="宋体" w:cs="宋体"/>
          <w:kern w:val="0"/>
          <w:sz w:val="24"/>
          <w:szCs w:val="24"/>
        </w:rPr>
        <w:t>仍导致</w:t>
      </w:r>
      <w:proofErr w:type="gramEnd"/>
      <w:r w:rsidRPr="00D05755">
        <w:rPr>
          <w:rFonts w:ascii="宋体" w:hAnsi="宋体" w:cs="宋体"/>
          <w:kern w:val="0"/>
          <w:sz w:val="24"/>
          <w:szCs w:val="24"/>
        </w:rPr>
        <w:t>公允价值存在重大不确定性时，经与基金托管人协商确认后，基金管理人应当延缓支付赎回款项或暂停接受基金赎回申请。</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法律法规规定或中国证监会认定的其他情形。</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发生上述情形之一</w:t>
      </w:r>
      <w:proofErr w:type="gramStart"/>
      <w:r w:rsidRPr="00D05755">
        <w:rPr>
          <w:rFonts w:ascii="宋体" w:hAnsi="宋体" w:cs="宋体"/>
          <w:kern w:val="0"/>
          <w:sz w:val="24"/>
          <w:szCs w:val="24"/>
        </w:rPr>
        <w:t>且基金</w:t>
      </w:r>
      <w:proofErr w:type="gramEnd"/>
      <w:r w:rsidRPr="00D05755">
        <w:rPr>
          <w:rFonts w:ascii="宋体" w:hAnsi="宋体" w:cs="宋体"/>
          <w:kern w:val="0"/>
          <w:sz w:val="24"/>
          <w:szCs w:val="24"/>
        </w:rPr>
        <w:t>管理人决定暂停赎回或延缓支付赎回款项时，基金管理人应在当日报中国证监会备案，已确认的赎回申请，基金管理人应足额支付；</w:t>
      </w:r>
      <w:r w:rsidRPr="00D05755">
        <w:rPr>
          <w:rStyle w:val="custom"/>
          <w:rFonts w:ascii="宋体" w:hAnsi="宋体" w:cs="宋体"/>
          <w:kern w:val="0"/>
          <w:sz w:val="24"/>
          <w:szCs w:val="24"/>
        </w:rPr>
        <w:t>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九、</w:t>
      </w:r>
      <w:r w:rsidRPr="00D05755">
        <w:rPr>
          <w:rFonts w:ascii="宋体" w:hAnsi="宋体" w:cs="宋体"/>
          <w:kern w:val="0"/>
          <w:sz w:val="24"/>
          <w:szCs w:val="24"/>
        </w:rPr>
        <w:t>巨额赎回的情形及处理方式</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巨额赎回的认定</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若本基金单个开放日内的基金份额净赎回申请(赎回申请份额总数加上基金转换中转出申请份额总数后扣除申购申请份额总数及基金转换中转入申请份额总数后的余额，不同类别份额合并计算）超过前一开放日的基金总份额的10%，即认为是发生了巨额赎回。</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2、巨额赎回的处理方式</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当基金出现巨额赎回时，基金管理人可以根据基金当时的资产组合状况决定全额赎回或部分延期赎回。</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全额赎回：当基金管理人认为有能力支付投资人的全部赎回申请时，按正常赎回程序执行。</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w:t>
      </w:r>
      <w:r w:rsidRPr="00D05755">
        <w:rPr>
          <w:rStyle w:val="custom"/>
          <w:rFonts w:ascii="宋体" w:hAnsi="宋体" w:cs="宋体"/>
          <w:kern w:val="0"/>
          <w:sz w:val="24"/>
          <w:szCs w:val="24"/>
        </w:rPr>
        <w:lastRenderedPageBreak/>
        <w:t>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延期的赎回申请与下一开放日赎回申请一并处理，无优先权</w:t>
      </w:r>
      <w:proofErr w:type="gramStart"/>
      <w:r w:rsidRPr="00D05755">
        <w:rPr>
          <w:rStyle w:val="custom"/>
          <w:rFonts w:ascii="宋体" w:hAnsi="宋体" w:cs="宋体"/>
          <w:kern w:val="0"/>
          <w:sz w:val="24"/>
          <w:szCs w:val="24"/>
        </w:rPr>
        <w:t>并以下</w:t>
      </w:r>
      <w:proofErr w:type="gramEnd"/>
      <w:r w:rsidRPr="00D05755">
        <w:rPr>
          <w:rStyle w:val="custom"/>
          <w:rFonts w:ascii="宋体" w:hAnsi="宋体" w:cs="宋体"/>
          <w:kern w:val="0"/>
          <w:sz w:val="24"/>
          <w:szCs w:val="24"/>
        </w:rPr>
        <w:t>一开放日的该类基金份额净值为基础计算赎回金额，以此类推，直到全部赎回为止。</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如投资人在提交赎回申请时未作明确选择，投资人未能赎回部分作自动延期赎回处理。</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（3）</w:t>
      </w:r>
      <w:r w:rsidRPr="00D05755">
        <w:rPr>
          <w:rStyle w:val="custom"/>
          <w:rFonts w:ascii="宋体" w:hAnsi="宋体" w:cs="宋体"/>
          <w:bCs/>
          <w:kern w:val="0"/>
          <w:sz w:val="24"/>
          <w:szCs w:val="24"/>
        </w:rPr>
        <w:t>如发生单个开放日内单个基金份额持有人申请赎回的基金份额超过前一开放日的基金总份额的30%时，本基金管理人可以对该单个基金份额持有人超过30%比例的赎回申请实施延期办理。</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对该单个基金份额持有人不超过30%比例的赎回申请，与当日其他赎回申请一起，按上述（1）、（2）方式处理。如下一开放日，该</w:t>
      </w:r>
      <w:proofErr w:type="gramStart"/>
      <w:r w:rsidRPr="00D05755">
        <w:rPr>
          <w:rStyle w:val="custom"/>
          <w:rFonts w:ascii="宋体" w:hAnsi="宋体" w:cs="宋体"/>
          <w:kern w:val="0"/>
          <w:sz w:val="24"/>
          <w:szCs w:val="24"/>
        </w:rPr>
        <w:t>单一基金</w:t>
      </w:r>
      <w:proofErr w:type="gramEnd"/>
      <w:r w:rsidRPr="00D05755">
        <w:rPr>
          <w:rStyle w:val="custom"/>
          <w:rFonts w:ascii="宋体" w:hAnsi="宋体" w:cs="宋体"/>
          <w:kern w:val="0"/>
          <w:sz w:val="24"/>
          <w:szCs w:val="24"/>
        </w:rPr>
        <w:t>份额持有人剩余未赎回部分仍旧超出前一开放日基金总份额的30%时，继续按前述规则处理，直至该</w:t>
      </w:r>
      <w:proofErr w:type="gramStart"/>
      <w:r w:rsidRPr="00D05755">
        <w:rPr>
          <w:rStyle w:val="custom"/>
          <w:rFonts w:ascii="宋体" w:hAnsi="宋体" w:cs="宋体"/>
          <w:kern w:val="0"/>
          <w:sz w:val="24"/>
          <w:szCs w:val="24"/>
        </w:rPr>
        <w:t>单一基金</w:t>
      </w:r>
      <w:proofErr w:type="gramEnd"/>
      <w:r w:rsidRPr="00D05755">
        <w:rPr>
          <w:rStyle w:val="custom"/>
          <w:rFonts w:ascii="宋体" w:hAnsi="宋体" w:cs="宋体"/>
          <w:kern w:val="0"/>
          <w:sz w:val="24"/>
          <w:szCs w:val="24"/>
        </w:rPr>
        <w:t>份额持有人单个开放日内申请赎回的基金份额占前一开放日基金总份额的比例低于30%。</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基金管理人在履行适当程序后，有权根据当时市场环境调整前述比例及处理规则，并在规定媒介上进行公告。</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3、巨额赎回的公告</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当发生上述巨额赎回并延期办理时，基金管理人应当通过邮寄、传真或者招募说明书规定的其他方式在3个交易日内通知基金份额持有人，说明有关处理方法，并在2日内在规定媒介上刊登公告。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十、</w:t>
      </w:r>
      <w:r w:rsidRPr="00D05755">
        <w:rPr>
          <w:rFonts w:ascii="宋体" w:hAnsi="宋体" w:cs="宋体"/>
          <w:kern w:val="0"/>
          <w:sz w:val="24"/>
          <w:szCs w:val="24"/>
        </w:rPr>
        <w:t>暂停申购或赎回的公告和重新开放申购或赎回的公告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发生上述暂停申购或赎回情况的，基金管理人应在规定期限内在规定媒介上刊登暂停公告。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基金管理人可以根据暂停申购或赎回的时间，依照《信息披露办法》的</w:t>
      </w:r>
      <w:r w:rsidRPr="00D05755">
        <w:rPr>
          <w:rFonts w:ascii="宋体" w:hAnsi="宋体" w:cs="宋体"/>
          <w:kern w:val="0"/>
          <w:sz w:val="24"/>
          <w:szCs w:val="24"/>
        </w:rPr>
        <w:lastRenderedPageBreak/>
        <w:t>有关规定，最迟于重新开放日在规定媒介刊登重新开放申购或赎回的公告；也可以根据实际情况在暂停公告中明确重新开放申购或赎回的时间，届时可不再另行发布重新开放的公告。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十一、</w:t>
      </w:r>
      <w:r w:rsidRPr="00D05755">
        <w:rPr>
          <w:rFonts w:ascii="宋体" w:hAnsi="宋体" w:cs="宋体"/>
          <w:kern w:val="0"/>
          <w:sz w:val="24"/>
          <w:szCs w:val="24"/>
        </w:rPr>
        <w:t>基金转换</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基金管理人可以根据相关法律法规以及本基金合同的规定决定开办本基金</w:t>
      </w:r>
      <w:r w:rsidRPr="00D05755">
        <w:rPr>
          <w:rFonts w:ascii="宋体" w:hAnsi="宋体" w:cs="宋体" w:hint="eastAsia"/>
          <w:kern w:val="0"/>
          <w:sz w:val="24"/>
          <w:szCs w:val="24"/>
        </w:rPr>
        <w:t>某一份额</w:t>
      </w:r>
      <w:r w:rsidRPr="00D05755">
        <w:rPr>
          <w:rFonts w:ascii="宋体" w:hAnsi="宋体" w:cs="宋体"/>
          <w:kern w:val="0"/>
          <w:sz w:val="24"/>
          <w:szCs w:val="24"/>
        </w:rPr>
        <w:t>与基金管理人管理的其他</w:t>
      </w:r>
      <w:proofErr w:type="gramStart"/>
      <w:r w:rsidRPr="00D05755">
        <w:rPr>
          <w:rFonts w:ascii="宋体" w:hAnsi="宋体" w:cs="宋体"/>
          <w:kern w:val="0"/>
          <w:sz w:val="24"/>
          <w:szCs w:val="24"/>
        </w:rPr>
        <w:t>基金</w:t>
      </w:r>
      <w:r w:rsidRPr="00D05755">
        <w:rPr>
          <w:rFonts w:ascii="宋体" w:hAnsi="宋体" w:cs="宋体" w:hint="eastAsia"/>
          <w:kern w:val="0"/>
          <w:sz w:val="24"/>
          <w:szCs w:val="24"/>
        </w:rPr>
        <w:t>基金</w:t>
      </w:r>
      <w:proofErr w:type="gramEnd"/>
      <w:r w:rsidRPr="00D05755">
        <w:rPr>
          <w:rFonts w:ascii="宋体" w:hAnsi="宋体" w:cs="宋体" w:hint="eastAsia"/>
          <w:kern w:val="0"/>
          <w:sz w:val="24"/>
          <w:szCs w:val="24"/>
        </w:rPr>
        <w:t>份额或本基金其他份额</w:t>
      </w:r>
      <w:r w:rsidRPr="00D05755">
        <w:rPr>
          <w:rFonts w:ascii="宋体" w:hAnsi="宋体" w:cs="宋体"/>
          <w:kern w:val="0"/>
          <w:sz w:val="24"/>
          <w:szCs w:val="24"/>
        </w:rPr>
        <w:t>之间的转换业务，基金转换可以收取一定的转换费，相关规则由基金管理人届时根据相关法律法规及本基金合同的规定制定并公告，并提前告知基金托管人与相关机构。</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十二、</w:t>
      </w:r>
      <w:r w:rsidRPr="00D05755">
        <w:rPr>
          <w:rFonts w:ascii="宋体" w:hAnsi="宋体" w:cs="宋体"/>
          <w:kern w:val="0"/>
          <w:sz w:val="24"/>
          <w:szCs w:val="24"/>
        </w:rPr>
        <w:t>基金份额的转让</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在法律法规允许且条件具备的情况下，且对基金份额持有人无实质性不利影响的前提下，履行相关程序后，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十三、</w:t>
      </w:r>
      <w:r w:rsidRPr="00D05755">
        <w:rPr>
          <w:rFonts w:ascii="宋体" w:hAnsi="宋体" w:cs="宋体"/>
          <w:kern w:val="0"/>
          <w:sz w:val="24"/>
          <w:szCs w:val="24"/>
        </w:rPr>
        <w:t>基金的</w:t>
      </w:r>
      <w:proofErr w:type="gramStart"/>
      <w:r w:rsidRPr="00D05755">
        <w:rPr>
          <w:rFonts w:ascii="宋体" w:hAnsi="宋体" w:cs="宋体"/>
          <w:kern w:val="0"/>
          <w:sz w:val="24"/>
          <w:szCs w:val="24"/>
        </w:rPr>
        <w:t>非交易</w:t>
      </w:r>
      <w:proofErr w:type="gramEnd"/>
      <w:r w:rsidRPr="00D05755">
        <w:rPr>
          <w:rFonts w:ascii="宋体" w:hAnsi="宋体" w:cs="宋体"/>
          <w:kern w:val="0"/>
          <w:sz w:val="24"/>
          <w:szCs w:val="24"/>
        </w:rPr>
        <w:t>过户</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基金的</w:t>
      </w:r>
      <w:proofErr w:type="gramStart"/>
      <w:r w:rsidRPr="00D05755">
        <w:rPr>
          <w:rFonts w:ascii="宋体" w:hAnsi="宋体" w:cs="宋体"/>
          <w:kern w:val="0"/>
          <w:sz w:val="24"/>
          <w:szCs w:val="24"/>
        </w:rPr>
        <w:t>非交易</w:t>
      </w:r>
      <w:proofErr w:type="gramEnd"/>
      <w:r w:rsidRPr="00D05755">
        <w:rPr>
          <w:rFonts w:ascii="宋体" w:hAnsi="宋体" w:cs="宋体"/>
          <w:kern w:val="0"/>
          <w:sz w:val="24"/>
          <w:szCs w:val="24"/>
        </w:rPr>
        <w:t>过户是指基金登记机构受理继承、捐赠和司法强制执行等情形而产生的</w:t>
      </w:r>
      <w:proofErr w:type="gramStart"/>
      <w:r w:rsidRPr="00D05755">
        <w:rPr>
          <w:rFonts w:ascii="宋体" w:hAnsi="宋体" w:cs="宋体"/>
          <w:kern w:val="0"/>
          <w:sz w:val="24"/>
          <w:szCs w:val="24"/>
        </w:rPr>
        <w:t>非交易</w:t>
      </w:r>
      <w:proofErr w:type="gramEnd"/>
      <w:r w:rsidRPr="00D05755">
        <w:rPr>
          <w:rFonts w:ascii="宋体" w:hAnsi="宋体" w:cs="宋体"/>
          <w:kern w:val="0"/>
          <w:sz w:val="24"/>
          <w:szCs w:val="24"/>
        </w:rPr>
        <w:t>过户以及登记机构认可、符合法律法规的其它</w:t>
      </w:r>
      <w:proofErr w:type="gramStart"/>
      <w:r w:rsidRPr="00D05755">
        <w:rPr>
          <w:rFonts w:ascii="宋体" w:hAnsi="宋体" w:cs="宋体"/>
          <w:kern w:val="0"/>
          <w:sz w:val="24"/>
          <w:szCs w:val="24"/>
        </w:rPr>
        <w:t>非交易</w:t>
      </w:r>
      <w:proofErr w:type="gramEnd"/>
      <w:r w:rsidRPr="00D05755">
        <w:rPr>
          <w:rFonts w:ascii="宋体" w:hAnsi="宋体" w:cs="宋体"/>
          <w:kern w:val="0"/>
          <w:sz w:val="24"/>
          <w:szCs w:val="24"/>
        </w:rPr>
        <w:t>过户或者按照相关法律法规或国家有权机关要求的方式进行处理的行为。无论在上述何种情况下，接受划转的主体必须是依法可以持有本</w:t>
      </w:r>
      <w:proofErr w:type="gramStart"/>
      <w:r w:rsidRPr="00D05755">
        <w:rPr>
          <w:rFonts w:ascii="宋体" w:hAnsi="宋体" w:cs="宋体"/>
          <w:kern w:val="0"/>
          <w:sz w:val="24"/>
          <w:szCs w:val="24"/>
        </w:rPr>
        <w:t>基金基金</w:t>
      </w:r>
      <w:proofErr w:type="gramEnd"/>
      <w:r w:rsidRPr="00D05755">
        <w:rPr>
          <w:rFonts w:ascii="宋体" w:hAnsi="宋体" w:cs="宋体"/>
          <w:kern w:val="0"/>
          <w:sz w:val="24"/>
          <w:szCs w:val="24"/>
        </w:rPr>
        <w:t>份额的投资人。</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D05755">
        <w:rPr>
          <w:rFonts w:ascii="宋体" w:hAnsi="宋体" w:cs="宋体"/>
          <w:kern w:val="0"/>
          <w:sz w:val="24"/>
          <w:szCs w:val="24"/>
        </w:rPr>
        <w:t>非交易</w:t>
      </w:r>
      <w:proofErr w:type="gramEnd"/>
      <w:r w:rsidRPr="00D05755">
        <w:rPr>
          <w:rFonts w:ascii="宋体" w:hAnsi="宋体" w:cs="宋体"/>
          <w:kern w:val="0"/>
          <w:sz w:val="24"/>
          <w:szCs w:val="24"/>
        </w:rPr>
        <w:t>过户必须提供基金登记机构要求提供的相关资料，对于符合条件的</w:t>
      </w:r>
      <w:proofErr w:type="gramStart"/>
      <w:r w:rsidRPr="00D05755">
        <w:rPr>
          <w:rFonts w:ascii="宋体" w:hAnsi="宋体" w:cs="宋体"/>
          <w:kern w:val="0"/>
          <w:sz w:val="24"/>
          <w:szCs w:val="24"/>
        </w:rPr>
        <w:t>非交易过户申请按</w:t>
      </w:r>
      <w:proofErr w:type="gramEnd"/>
      <w:r w:rsidRPr="00D05755">
        <w:rPr>
          <w:rFonts w:ascii="宋体" w:hAnsi="宋体" w:cs="宋体"/>
          <w:kern w:val="0"/>
          <w:sz w:val="24"/>
          <w:szCs w:val="24"/>
        </w:rPr>
        <w:t>基金登记机构的规定办理，并按基金登记机构规定的标准收费。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十四、</w:t>
      </w:r>
      <w:r w:rsidRPr="00D05755">
        <w:rPr>
          <w:rFonts w:ascii="宋体" w:hAnsi="宋体" w:cs="宋体"/>
          <w:kern w:val="0"/>
          <w:sz w:val="24"/>
          <w:szCs w:val="24"/>
        </w:rPr>
        <w:t>基金的转托管</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基金份额持有人可办理已持有基金份额在不同销售机构之间的转托管，基金销售机构可以按照规定的标准收取转托管费。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十五、</w:t>
      </w:r>
      <w:r w:rsidRPr="00D05755">
        <w:rPr>
          <w:rFonts w:ascii="宋体" w:hAnsi="宋体" w:cs="宋体"/>
          <w:kern w:val="0"/>
          <w:sz w:val="24"/>
          <w:szCs w:val="24"/>
        </w:rPr>
        <w:t>定期定额投资计划</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lastRenderedPageBreak/>
        <w:t>基金管理人可以为投资人办理定期定额投资计划，具体规则由基金管理人在届时发布的公告或更新的招募说明书中确定。投资人在办理定期定额投资计划时可自行约定每期扣款金额，每期扣款金额必须不低于基金管理人在相关公告或更新的招募说明书中所规定的定期定额投资计划最低申购金额。</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十六、</w:t>
      </w:r>
      <w:r w:rsidRPr="00D05755">
        <w:rPr>
          <w:rFonts w:ascii="宋体" w:hAnsi="宋体" w:cs="宋体"/>
          <w:kern w:val="0"/>
          <w:sz w:val="24"/>
          <w:szCs w:val="24"/>
        </w:rPr>
        <w:t>基金份额的冻结和解冻</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基金登记机构只受理国家有权机关依法要求的基金份额的冻结与解冻，以及登记机构认可、符合法律法规的其他情况下的冻结与解冻。</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基金份额被冻结的，被冻结部分产生的权益一并冻结，被冻结部分份额仍然参与收益分配。法律法规或监管机构另有规定的除外。</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十七、</w:t>
      </w:r>
      <w:r w:rsidRPr="00D05755">
        <w:rPr>
          <w:rFonts w:ascii="宋体" w:hAnsi="宋体" w:cs="宋体"/>
          <w:kern w:val="0"/>
          <w:sz w:val="24"/>
          <w:szCs w:val="24"/>
        </w:rPr>
        <w:t>实施</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期间本基金的申购与赎回</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本基金实施</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的，本基金的申购和赎回安排详见招募说明书或相关公告。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十八、</w:t>
      </w:r>
      <w:r w:rsidRPr="00D05755">
        <w:rPr>
          <w:rFonts w:ascii="宋体" w:hAnsi="宋体" w:cs="宋体"/>
          <w:kern w:val="0"/>
          <w:sz w:val="24"/>
          <w:szCs w:val="24"/>
        </w:rPr>
        <w:t>如相关法律法规允许基金管理人办理基金份额的质押业务或其他基金业务，基金管理人将制定和实施相应的业务规则。</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十九、</w:t>
      </w:r>
      <w:r w:rsidRPr="00D05755">
        <w:rPr>
          <w:rFonts w:ascii="宋体" w:hAnsi="宋体" w:cs="宋体"/>
          <w:kern w:val="0"/>
          <w:sz w:val="24"/>
          <w:szCs w:val="24"/>
        </w:rPr>
        <w:t>基金管理人可在法律法规允许的范围内，在不影响基金份额持有人实质利益的前提下，根据市场情况对上述申购和赎回的安排进行补充和调整并提前公告。</w:t>
      </w:r>
      <w:bookmarkEnd w:id="50"/>
      <w:bookmarkEnd w:id="51"/>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52" w:name="_Toc256000006"/>
      <w:r w:rsidRPr="00D05755">
        <w:rPr>
          <w:rFonts w:ascii="Times New Roman"/>
          <w:color w:val="auto"/>
          <w:sz w:val="30"/>
        </w:rPr>
        <w:lastRenderedPageBreak/>
        <w:t>第七部分</w:t>
      </w:r>
      <w:r w:rsidRPr="00D05755">
        <w:rPr>
          <w:rFonts w:ascii="Times New Roman"/>
          <w:color w:val="auto"/>
          <w:sz w:val="30"/>
        </w:rPr>
        <w:t xml:space="preserve">  </w:t>
      </w:r>
      <w:r w:rsidRPr="00D05755">
        <w:rPr>
          <w:rFonts w:ascii="Times New Roman"/>
          <w:color w:val="auto"/>
          <w:sz w:val="30"/>
        </w:rPr>
        <w:t>基金合同当事人及权利义务</w:t>
      </w:r>
      <w:bookmarkEnd w:id="52"/>
    </w:p>
    <w:p w:rsidR="00E8691A" w:rsidRPr="00D05755" w:rsidRDefault="00E8691A"/>
    <w:p w:rsidR="00E8691A" w:rsidRPr="00D05755" w:rsidRDefault="006E24B4">
      <w:pPr>
        <w:pStyle w:val="div"/>
        <w:spacing w:line="360" w:lineRule="auto"/>
        <w:ind w:firstLine="420"/>
        <w:jc w:val="left"/>
        <w:rPr>
          <w:rFonts w:eastAsia="Times New Roman"/>
          <w:kern w:val="0"/>
          <w:sz w:val="24"/>
          <w:szCs w:val="24"/>
        </w:rPr>
      </w:pPr>
      <w:bookmarkStart w:id="53" w:name="OLE_LINK22"/>
      <w:r w:rsidRPr="00D05755">
        <w:rPr>
          <w:rStyle w:val="custom"/>
          <w:rFonts w:ascii="宋体" w:hAnsi="宋体" w:cs="宋体"/>
          <w:kern w:val="0"/>
          <w:sz w:val="24"/>
          <w:szCs w:val="24"/>
        </w:rPr>
        <w:t>一、</w:t>
      </w:r>
      <w:r w:rsidRPr="00D05755">
        <w:rPr>
          <w:rFonts w:ascii="宋体" w:hAnsi="宋体" w:cs="宋体"/>
          <w:kern w:val="0"/>
          <w:sz w:val="24"/>
          <w:szCs w:val="24"/>
        </w:rPr>
        <w:t>基金管理人</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（一）</w:t>
      </w:r>
      <w:r w:rsidRPr="00D05755">
        <w:rPr>
          <w:rFonts w:ascii="宋体" w:hAnsi="宋体" w:cs="宋体"/>
          <w:kern w:val="0"/>
          <w:sz w:val="24"/>
          <w:szCs w:val="24"/>
        </w:rPr>
        <w:t>基金管理人简况</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名称：</w:t>
      </w:r>
      <w:proofErr w:type="gramStart"/>
      <w:r w:rsidRPr="00D05755">
        <w:rPr>
          <w:rFonts w:ascii="宋体" w:hAnsi="宋体" w:cs="宋体"/>
          <w:kern w:val="0"/>
          <w:sz w:val="24"/>
          <w:szCs w:val="24"/>
        </w:rPr>
        <w:t>汇添富基金</w:t>
      </w:r>
      <w:proofErr w:type="gramEnd"/>
      <w:r w:rsidRPr="00D05755">
        <w:rPr>
          <w:rFonts w:ascii="宋体" w:hAnsi="宋体" w:cs="宋体"/>
          <w:kern w:val="0"/>
          <w:sz w:val="24"/>
          <w:szCs w:val="24"/>
        </w:rPr>
        <w:t>管理股份有限公司</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住所：上海市黄浦区外马路728号9楼</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法定代表人：</w:t>
      </w:r>
      <w:proofErr w:type="gramStart"/>
      <w:r w:rsidRPr="00D05755">
        <w:rPr>
          <w:rFonts w:ascii="宋体" w:hAnsi="宋体" w:cs="宋体"/>
          <w:kern w:val="0"/>
          <w:sz w:val="24"/>
          <w:szCs w:val="24"/>
        </w:rPr>
        <w:t>鲁伟铭</w:t>
      </w:r>
      <w:proofErr w:type="gramEnd"/>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设立日期：2005年2月3日</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批准设立机关及批准设立文号：中国证监会证</w:t>
      </w:r>
      <w:proofErr w:type="gramStart"/>
      <w:r w:rsidRPr="00D05755">
        <w:rPr>
          <w:rFonts w:ascii="宋体" w:hAnsi="宋体" w:cs="宋体"/>
          <w:kern w:val="0"/>
          <w:sz w:val="24"/>
          <w:szCs w:val="24"/>
        </w:rPr>
        <w:t>监基金字</w:t>
      </w:r>
      <w:proofErr w:type="gramEnd"/>
      <w:r w:rsidRPr="00D05755">
        <w:rPr>
          <w:rFonts w:ascii="宋体" w:hAnsi="宋体" w:cs="宋体"/>
          <w:kern w:val="0"/>
          <w:sz w:val="24"/>
          <w:szCs w:val="24"/>
        </w:rPr>
        <w:t>【2005】5号</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组织形式：股份有限公司</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注册资本：人民币132,724,224元</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存续期限：持续经营</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联系电话：（021）28932888</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基金管理人的权利与义务</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根据《基金法》、《运作办法》及其他有关规定，基金管理人的权利包括但不限于：</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依法募集资金；</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自《基金合同》生效之日起，根据法律法规和《基金合同》独立运用并管理基金财产；</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依照《基金合同》收取基金管理费</w:t>
      </w:r>
      <w:r w:rsidRPr="00D05755">
        <w:rPr>
          <w:rFonts w:ascii="宋体" w:hAnsi="宋体" w:cs="宋体" w:hint="eastAsia"/>
          <w:kern w:val="0"/>
          <w:sz w:val="24"/>
          <w:szCs w:val="24"/>
        </w:rPr>
        <w:t>（包括固定管理费、或有管理费和超额管理费）</w:t>
      </w:r>
      <w:r w:rsidRPr="00D05755">
        <w:rPr>
          <w:rFonts w:ascii="宋体" w:hAnsi="宋体" w:cs="宋体"/>
          <w:kern w:val="0"/>
          <w:sz w:val="24"/>
          <w:szCs w:val="24"/>
        </w:rPr>
        <w:t>以及法律法规规定或中国证监会批准的其他费用；</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销售基金份额；</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按照规定召集基金份额持有人大会；</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依据《基金合同》及有关法律规定监督基金托管人，如认为基金托管人违反了《基金合同》及国家有关法律规定，应呈报中国证监会和其他监管部门，并采取必要措施保护基金投资者的利益；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在基金托管人更换时，提名新的基金托管人；</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（8）</w:t>
      </w:r>
      <w:r w:rsidRPr="00D05755">
        <w:rPr>
          <w:rFonts w:ascii="宋体" w:hAnsi="宋体" w:cs="宋体"/>
          <w:kern w:val="0"/>
          <w:sz w:val="24"/>
          <w:szCs w:val="24"/>
        </w:rPr>
        <w:t>选择、更换基金销售机构，对基金销售机构的相关行为进行监督和处理；</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lastRenderedPageBreak/>
        <w:t>（9）</w:t>
      </w:r>
      <w:r w:rsidRPr="00D05755">
        <w:rPr>
          <w:rFonts w:ascii="宋体" w:hAnsi="宋体" w:cs="宋体"/>
          <w:kern w:val="0"/>
          <w:sz w:val="24"/>
          <w:szCs w:val="24"/>
        </w:rPr>
        <w:t>担任或委托其他符合条件的机构担任基金登记机构办理基金登记业务并获得《基金合同》规定的费用；</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（10）</w:t>
      </w:r>
      <w:r w:rsidRPr="00D05755">
        <w:rPr>
          <w:rFonts w:ascii="宋体" w:hAnsi="宋体" w:cs="宋体"/>
          <w:kern w:val="0"/>
          <w:sz w:val="24"/>
          <w:szCs w:val="24"/>
        </w:rPr>
        <w:t>依据《基金合同》及有关法律规定决定基金收益的分配方案；</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（11）</w:t>
      </w:r>
      <w:r w:rsidRPr="00D05755">
        <w:rPr>
          <w:rFonts w:ascii="宋体" w:hAnsi="宋体" w:cs="宋体"/>
          <w:kern w:val="0"/>
          <w:sz w:val="24"/>
          <w:szCs w:val="24"/>
        </w:rPr>
        <w:t>在《基金合同》约定的范围内，拒绝或暂停受理申购与赎回申请；</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（12）依照法律法规为基金的利益对被投资公司行使股东权利，为基金的利益行使因基金财产投资于证券所产生的权利；</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（13）在法律法规允许的前提下，为基金的利益依法为基金进行融资；</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（14）</w:t>
      </w:r>
      <w:r w:rsidRPr="00D05755">
        <w:rPr>
          <w:rFonts w:ascii="宋体" w:hAnsi="宋体" w:cs="宋体"/>
          <w:kern w:val="0"/>
          <w:sz w:val="24"/>
          <w:szCs w:val="24"/>
        </w:rPr>
        <w:t>以基金管理人的名义，代表基金份额持有人的利益行使诉讼权利或者实施其他法律行为；</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（15）选择、更换律师事务所、会计师事务所、证券经纪商、期货经纪机构或其他为基金提供服务的外部机构；</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（16）在符合有关法律、法规的前提下，制订和调整有关基金认购、申购、赎回、转换、定期定额投资、转托管和</w:t>
      </w:r>
      <w:proofErr w:type="gramStart"/>
      <w:r w:rsidRPr="00D05755">
        <w:rPr>
          <w:rStyle w:val="custom"/>
          <w:rFonts w:ascii="宋体" w:hAnsi="宋体" w:cs="宋体"/>
          <w:kern w:val="0"/>
          <w:sz w:val="24"/>
          <w:szCs w:val="24"/>
        </w:rPr>
        <w:t>非交易</w:t>
      </w:r>
      <w:proofErr w:type="gramEnd"/>
      <w:r w:rsidRPr="00D05755">
        <w:rPr>
          <w:rStyle w:val="custom"/>
          <w:rFonts w:ascii="宋体" w:hAnsi="宋体" w:cs="宋体"/>
          <w:kern w:val="0"/>
          <w:sz w:val="24"/>
          <w:szCs w:val="24"/>
        </w:rPr>
        <w:t>过户等业务规则；</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（17）</w:t>
      </w:r>
      <w:r w:rsidRPr="00D05755">
        <w:rPr>
          <w:rFonts w:ascii="宋体" w:hAnsi="宋体" w:cs="宋体"/>
          <w:kern w:val="0"/>
          <w:sz w:val="24"/>
          <w:szCs w:val="24"/>
        </w:rPr>
        <w:t>在法律法规和基金合同规定的范围内决定调整基金费率结构和收费方式；</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（18）</w:t>
      </w:r>
      <w:r w:rsidRPr="00D05755">
        <w:rPr>
          <w:rFonts w:ascii="宋体" w:hAnsi="宋体" w:cs="宋体"/>
          <w:kern w:val="0"/>
          <w:sz w:val="24"/>
          <w:szCs w:val="24"/>
        </w:rPr>
        <w:t>法律法规及中国证监会规定的和《基金合同》约定的其他权利。</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根据《基金法》、《运作办法》及其他有关规定，基金管理人的义务包括但不限于：</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依法募集资金，办理或者委托经中国证监会认定的其他机构代为办理基金份额的</w:t>
      </w:r>
      <w:r w:rsidRPr="00D05755">
        <w:rPr>
          <w:rStyle w:val="custom"/>
          <w:rFonts w:ascii="宋体" w:hAnsi="宋体" w:cs="宋体"/>
          <w:kern w:val="0"/>
          <w:sz w:val="24"/>
          <w:szCs w:val="24"/>
        </w:rPr>
        <w:t>发售、</w:t>
      </w:r>
      <w:r w:rsidRPr="00D05755">
        <w:rPr>
          <w:rFonts w:ascii="宋体" w:hAnsi="宋体" w:cs="宋体"/>
          <w:kern w:val="0"/>
          <w:sz w:val="24"/>
          <w:szCs w:val="24"/>
        </w:rPr>
        <w:t>申购、赎回和登记事宜；</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办理基金备案手续；</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自《基金合同》生效之日起，以诚实信用、谨慎勤勉的原则管理和运用基金财产；</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配备足够的具有专业资格的人员进行基金投资分析、决策，以专业化的经营方式管理和运作基金财产；</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建立健全内部风险控制、监察与稽核、财务管理及人事管理等制度，保证所管理的基金财产和基金管理人的财产相互独立，对所管理的不同基金分别管理，分别记账，进行证券投资；</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除依据《基金法》、《基金合同》及其他有关规定外，不得利用基金</w:t>
      </w:r>
      <w:r w:rsidRPr="00D05755">
        <w:rPr>
          <w:rFonts w:ascii="宋体" w:hAnsi="宋体" w:cs="宋体"/>
          <w:kern w:val="0"/>
          <w:sz w:val="24"/>
          <w:szCs w:val="24"/>
        </w:rPr>
        <w:lastRenderedPageBreak/>
        <w:t>财产为自己及任何第三人谋取利益，不得委托第三人运作基金财产；</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依法接受基金托管人的监督；</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（8）</w:t>
      </w:r>
      <w:r w:rsidRPr="00D05755">
        <w:rPr>
          <w:rFonts w:ascii="宋体" w:hAnsi="宋体" w:cs="宋体"/>
          <w:kern w:val="0"/>
          <w:sz w:val="24"/>
          <w:szCs w:val="24"/>
        </w:rPr>
        <w:t>采取适当合理的措施使计算基金份额</w:t>
      </w:r>
      <w:r w:rsidRPr="00D05755">
        <w:rPr>
          <w:rStyle w:val="custom"/>
          <w:rFonts w:ascii="宋体" w:hAnsi="宋体" w:cs="宋体"/>
          <w:kern w:val="0"/>
          <w:sz w:val="24"/>
          <w:szCs w:val="24"/>
        </w:rPr>
        <w:t>认购、</w:t>
      </w:r>
      <w:r w:rsidRPr="00D05755">
        <w:rPr>
          <w:rFonts w:ascii="宋体" w:hAnsi="宋体" w:cs="宋体"/>
          <w:kern w:val="0"/>
          <w:sz w:val="24"/>
          <w:szCs w:val="24"/>
        </w:rPr>
        <w:t>申购、赎回和注销价格的方法符合《基金合同》等法律文件的规定，按有关规定计算并公告基金净值信息，确定基金份额申购、赎回的价格；</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（9）</w:t>
      </w:r>
      <w:r w:rsidRPr="00D05755">
        <w:rPr>
          <w:rFonts w:ascii="宋体" w:hAnsi="宋体" w:cs="宋体"/>
          <w:kern w:val="0"/>
          <w:sz w:val="24"/>
          <w:szCs w:val="24"/>
        </w:rPr>
        <w:t>进行基金会计核算并编制基金财务会计报告；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（10）</w:t>
      </w:r>
      <w:r w:rsidRPr="00D05755">
        <w:rPr>
          <w:rFonts w:ascii="宋体" w:hAnsi="宋体" w:cs="宋体"/>
          <w:kern w:val="0"/>
          <w:sz w:val="24"/>
          <w:szCs w:val="24"/>
        </w:rPr>
        <w:t>编制季度报告、中期报告和年度报告；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（11）</w:t>
      </w:r>
      <w:r w:rsidRPr="00D05755">
        <w:rPr>
          <w:rFonts w:ascii="宋体" w:hAnsi="宋体" w:cs="宋体"/>
          <w:kern w:val="0"/>
          <w:sz w:val="24"/>
          <w:szCs w:val="24"/>
        </w:rPr>
        <w:t>严格按照《基金法》、《基金合同》及其他有关规定，履行信息披露及报告义务；</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（12）</w:t>
      </w:r>
      <w:r w:rsidRPr="00D05755">
        <w:rPr>
          <w:rFonts w:ascii="宋体" w:hAnsi="宋体" w:cs="宋体"/>
          <w:kern w:val="0"/>
          <w:sz w:val="24"/>
          <w:szCs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（13）</w:t>
      </w:r>
      <w:r w:rsidRPr="00D05755">
        <w:rPr>
          <w:rFonts w:ascii="宋体" w:hAnsi="宋体" w:cs="宋体"/>
          <w:kern w:val="0"/>
          <w:sz w:val="24"/>
          <w:szCs w:val="24"/>
        </w:rPr>
        <w:t>按《基金合同》的约定确定基金收益分配方案，及时向基金份额持有人分配基金收益；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（14）</w:t>
      </w:r>
      <w:r w:rsidRPr="00D05755">
        <w:rPr>
          <w:rFonts w:ascii="宋体" w:hAnsi="宋体" w:cs="宋体"/>
          <w:kern w:val="0"/>
          <w:sz w:val="24"/>
          <w:szCs w:val="24"/>
        </w:rPr>
        <w:t>按规定受理申购与赎回申请，及时、足额支付赎回款项；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（15）</w:t>
      </w:r>
      <w:r w:rsidRPr="00D05755">
        <w:rPr>
          <w:rFonts w:ascii="宋体" w:hAnsi="宋体" w:cs="宋体"/>
          <w:kern w:val="0"/>
          <w:sz w:val="24"/>
          <w:szCs w:val="24"/>
        </w:rPr>
        <w:t>依据《基金法》、《基金合同》及其他有关规定召集基金份额持有人大会或配合基金托管人、基金份额持有人依法召集基金份额持有人大会；</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（16）</w:t>
      </w:r>
      <w:r w:rsidRPr="00D05755">
        <w:rPr>
          <w:rFonts w:ascii="宋体" w:hAnsi="宋体" w:cs="宋体"/>
          <w:kern w:val="0"/>
          <w:sz w:val="24"/>
          <w:szCs w:val="24"/>
        </w:rPr>
        <w:t>按规定保存基金财产管理业务活动的会计账册、报表、记录和其他相关资料不少于法定最低期限；</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（17）</w:t>
      </w:r>
      <w:r w:rsidRPr="00D05755">
        <w:rPr>
          <w:rFonts w:ascii="宋体" w:hAnsi="宋体" w:cs="宋体"/>
          <w:kern w:val="0"/>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（18）</w:t>
      </w:r>
      <w:r w:rsidRPr="00D05755">
        <w:rPr>
          <w:rFonts w:ascii="宋体" w:hAnsi="宋体" w:cs="宋体"/>
          <w:kern w:val="0"/>
          <w:sz w:val="24"/>
          <w:szCs w:val="24"/>
        </w:rPr>
        <w:t>组织并参加基金财产清算小组，参与基金财产的保管、清理、估价、变现和分配；</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（19）</w:t>
      </w:r>
      <w:r w:rsidRPr="00D05755">
        <w:rPr>
          <w:rFonts w:ascii="宋体" w:hAnsi="宋体" w:cs="宋体"/>
          <w:kern w:val="0"/>
          <w:sz w:val="24"/>
          <w:szCs w:val="24"/>
        </w:rPr>
        <w:t>面临解散、依法被撤销或者被依法宣告破产时，及时报告中国证监会并通知基金托管人；</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（20）</w:t>
      </w:r>
      <w:r w:rsidRPr="00D05755">
        <w:rPr>
          <w:rFonts w:ascii="宋体" w:hAnsi="宋体" w:cs="宋体"/>
          <w:kern w:val="0"/>
          <w:sz w:val="24"/>
          <w:szCs w:val="24"/>
        </w:rPr>
        <w:t>因违反《基金合同》导致基金财产的损失或损害基金份额持有人合法权益时，应当承担赔偿责任，其赔偿责任不因其退任而免除；</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lastRenderedPageBreak/>
        <w:t>（21）</w:t>
      </w:r>
      <w:r w:rsidRPr="00D05755">
        <w:rPr>
          <w:rFonts w:ascii="宋体" w:hAnsi="宋体" w:cs="宋体"/>
          <w:kern w:val="0"/>
          <w:sz w:val="24"/>
          <w:szCs w:val="24"/>
        </w:rPr>
        <w:t>监督基金托管人按法律法规和《基金合同》规定履行自己的义务，基金托管人违反《基金合同》造成基金财产损失时，基金管理人应为基金份额持有人利益向基金托管人追偿；</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（22）</w:t>
      </w:r>
      <w:r w:rsidRPr="00D05755">
        <w:rPr>
          <w:rFonts w:ascii="宋体" w:hAnsi="宋体" w:cs="宋体"/>
          <w:kern w:val="0"/>
          <w:sz w:val="24"/>
          <w:szCs w:val="24"/>
        </w:rPr>
        <w:t>当基金管理人将其义务委托第三方处理时，应当对第三方处理有关基金事务的行为承担责任；</w:t>
      </w:r>
    </w:p>
    <w:p w:rsidR="00E8691A" w:rsidRPr="00D05755" w:rsidRDefault="006E24B4">
      <w:pPr>
        <w:pStyle w:val="div"/>
        <w:spacing w:line="360" w:lineRule="auto"/>
        <w:ind w:firstLine="480"/>
        <w:jc w:val="left"/>
        <w:rPr>
          <w:rFonts w:eastAsia="Times New Roman"/>
          <w:kern w:val="0"/>
          <w:sz w:val="24"/>
          <w:szCs w:val="24"/>
        </w:rPr>
      </w:pPr>
      <w:r w:rsidRPr="00D05755">
        <w:rPr>
          <w:rStyle w:val="custom"/>
          <w:rFonts w:ascii="宋体" w:hAnsi="宋体" w:cs="宋体"/>
          <w:kern w:val="0"/>
          <w:sz w:val="24"/>
          <w:szCs w:val="24"/>
        </w:rPr>
        <w:t>（23）</w:t>
      </w:r>
      <w:r w:rsidRPr="00D05755">
        <w:rPr>
          <w:rFonts w:ascii="宋体" w:hAnsi="宋体" w:cs="宋体"/>
          <w:kern w:val="0"/>
          <w:sz w:val="24"/>
          <w:szCs w:val="24"/>
        </w:rPr>
        <w:t>以基金管理人名义，代表基金份额持有人利益行使诉讼权利或实施其他法律行为；</w:t>
      </w:r>
    </w:p>
    <w:p w:rsidR="00E8691A" w:rsidRPr="00D05755" w:rsidRDefault="006E24B4">
      <w:pPr>
        <w:widowControl/>
        <w:spacing w:line="360" w:lineRule="auto"/>
        <w:ind w:firstLine="480"/>
        <w:jc w:val="left"/>
        <w:rPr>
          <w:rStyle w:val="serial-tag"/>
          <w:rFonts w:ascii="宋体" w:hAnsi="宋体" w:cs="宋体"/>
          <w:kern w:val="0"/>
          <w:sz w:val="24"/>
          <w:szCs w:val="24"/>
        </w:rPr>
      </w:pPr>
      <w:r w:rsidRPr="00D05755">
        <w:rPr>
          <w:rStyle w:val="serial-tag"/>
          <w:rFonts w:ascii="宋体" w:hAnsi="宋体" w:cs="宋体"/>
          <w:kern w:val="0"/>
          <w:sz w:val="24"/>
          <w:szCs w:val="24"/>
        </w:rPr>
        <w:t>（24）</w:t>
      </w:r>
      <w:r w:rsidRPr="00D05755">
        <w:rPr>
          <w:rStyle w:val="custom"/>
          <w:rFonts w:ascii="宋体" w:hAnsi="宋体" w:cs="宋体"/>
          <w:kern w:val="0"/>
          <w:sz w:val="24"/>
          <w:szCs w:val="24"/>
        </w:rPr>
        <w:t>基金管理人在募集期间未能达到基金的备案条件，《基金合同》不能生效，基金管理人承担全部募集费用，将已募集资金并加计银行同期活期存款利息在基金募集期结束后30日内退还基金认购人；</w:t>
      </w:r>
    </w:p>
    <w:p w:rsidR="00E8691A" w:rsidRPr="00D05755" w:rsidRDefault="006E24B4">
      <w:pPr>
        <w:pStyle w:val="div"/>
        <w:spacing w:line="360" w:lineRule="auto"/>
        <w:ind w:firstLine="480"/>
        <w:jc w:val="left"/>
        <w:rPr>
          <w:rFonts w:eastAsia="Times New Roman"/>
          <w:kern w:val="0"/>
          <w:sz w:val="24"/>
          <w:szCs w:val="24"/>
        </w:rPr>
      </w:pPr>
      <w:r w:rsidRPr="00D05755">
        <w:rPr>
          <w:rStyle w:val="custom"/>
          <w:rFonts w:ascii="宋体" w:hAnsi="宋体" w:cs="宋体"/>
          <w:kern w:val="0"/>
          <w:sz w:val="24"/>
          <w:szCs w:val="24"/>
        </w:rPr>
        <w:t>（25）</w:t>
      </w:r>
      <w:r w:rsidRPr="00D05755">
        <w:rPr>
          <w:rFonts w:ascii="宋体" w:hAnsi="宋体" w:cs="宋体"/>
          <w:kern w:val="0"/>
          <w:sz w:val="24"/>
          <w:szCs w:val="24"/>
        </w:rPr>
        <w:t>执行生效的基金份额持有人大会的决议；</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（26）</w:t>
      </w:r>
      <w:r w:rsidRPr="00D05755">
        <w:rPr>
          <w:rFonts w:ascii="宋体" w:hAnsi="宋体" w:cs="宋体"/>
          <w:kern w:val="0"/>
          <w:sz w:val="24"/>
          <w:szCs w:val="24"/>
        </w:rPr>
        <w:t>建立并保存基金份额持有人名册；</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（27）</w:t>
      </w:r>
      <w:r w:rsidRPr="00D05755">
        <w:rPr>
          <w:rFonts w:ascii="宋体" w:hAnsi="宋体" w:cs="宋体"/>
          <w:kern w:val="0"/>
          <w:sz w:val="24"/>
          <w:szCs w:val="24"/>
        </w:rPr>
        <w:t>法律法规及中国证监会规定的和《基金合同》约定的其他义务。</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基金托管人</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（一）</w:t>
      </w:r>
      <w:r w:rsidRPr="00D05755">
        <w:rPr>
          <w:rFonts w:ascii="宋体" w:hAnsi="宋体" w:cs="宋体"/>
          <w:kern w:val="0"/>
          <w:sz w:val="24"/>
          <w:szCs w:val="24"/>
        </w:rPr>
        <w:t>基金托管人简况</w:t>
      </w:r>
    </w:p>
    <w:p w:rsidR="00E8691A" w:rsidRPr="00D05755" w:rsidRDefault="006E24B4">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名称：中国农业银行股份有限公司</w:t>
      </w:r>
    </w:p>
    <w:p w:rsidR="00E8691A" w:rsidRPr="00D05755" w:rsidRDefault="006E24B4">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住所：北京市东城区建国门内大街69号</w:t>
      </w:r>
    </w:p>
    <w:p w:rsidR="00E8691A" w:rsidRPr="00D05755" w:rsidRDefault="006E24B4">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法定代表人：谷澍</w:t>
      </w:r>
    </w:p>
    <w:p w:rsidR="00E8691A" w:rsidRPr="00D05755" w:rsidRDefault="006E24B4">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成立时间：2009年1月15日</w:t>
      </w:r>
    </w:p>
    <w:p w:rsidR="00E8691A" w:rsidRPr="00D05755" w:rsidRDefault="006E24B4">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批准设立机关和批准设立文号：中国银监</w:t>
      </w:r>
      <w:proofErr w:type="gramStart"/>
      <w:r w:rsidRPr="00D05755">
        <w:rPr>
          <w:rFonts w:ascii="宋体" w:hAnsi="宋体" w:cs="宋体"/>
          <w:kern w:val="0"/>
          <w:sz w:val="24"/>
          <w:szCs w:val="24"/>
        </w:rPr>
        <w:t>会银监复</w:t>
      </w:r>
      <w:proofErr w:type="gramEnd"/>
      <w:r w:rsidRPr="00D05755">
        <w:rPr>
          <w:rFonts w:ascii="宋体" w:hAnsi="宋体" w:cs="宋体"/>
          <w:kern w:val="0"/>
          <w:sz w:val="24"/>
          <w:szCs w:val="24"/>
        </w:rPr>
        <w:t>【2009】13号</w:t>
      </w:r>
    </w:p>
    <w:p w:rsidR="00E8691A" w:rsidRPr="00D05755" w:rsidRDefault="006E24B4">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组织形式：股份有限公司</w:t>
      </w:r>
    </w:p>
    <w:p w:rsidR="00E8691A" w:rsidRPr="00D05755" w:rsidRDefault="006E24B4">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注册资本：34,998,303.4万元人民币</w:t>
      </w:r>
    </w:p>
    <w:p w:rsidR="00E8691A" w:rsidRPr="00D05755" w:rsidRDefault="006E24B4">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存续期间：持续经营</w:t>
      </w:r>
    </w:p>
    <w:p w:rsidR="00E8691A" w:rsidRPr="00D05755" w:rsidRDefault="006E24B4">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基金托管资格批文及文号：中国证监会</w:t>
      </w:r>
      <w:proofErr w:type="gramStart"/>
      <w:r w:rsidRPr="00D05755">
        <w:rPr>
          <w:rFonts w:ascii="宋体" w:hAnsi="宋体" w:cs="宋体"/>
          <w:kern w:val="0"/>
          <w:sz w:val="24"/>
          <w:szCs w:val="24"/>
        </w:rPr>
        <w:t>证监基字</w:t>
      </w:r>
      <w:proofErr w:type="gramEnd"/>
      <w:r w:rsidRPr="00D05755">
        <w:rPr>
          <w:rFonts w:eastAsia="Times New Roman"/>
          <w:kern w:val="0"/>
          <w:sz w:val="24"/>
          <w:szCs w:val="24"/>
        </w:rPr>
        <w:t>[1998]23</w:t>
      </w:r>
      <w:r w:rsidRPr="00D05755">
        <w:rPr>
          <w:rFonts w:ascii="宋体" w:hAnsi="宋体" w:cs="宋体"/>
          <w:kern w:val="0"/>
          <w:sz w:val="24"/>
          <w:szCs w:val="24"/>
        </w:rPr>
        <w:t>号</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基金托管人的权利与义务</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根据《基金法》、《运作办法》及其他有关规定，基金托管人的权利包括但不限于：</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自《基金合同》生效之日起，依法</w:t>
      </w:r>
      <w:proofErr w:type="gramStart"/>
      <w:r w:rsidRPr="00D05755">
        <w:rPr>
          <w:rFonts w:ascii="宋体" w:hAnsi="宋体" w:cs="宋体"/>
          <w:kern w:val="0"/>
          <w:sz w:val="24"/>
          <w:szCs w:val="24"/>
        </w:rPr>
        <w:t>律法规</w:t>
      </w:r>
      <w:proofErr w:type="gramEnd"/>
      <w:r w:rsidRPr="00D05755">
        <w:rPr>
          <w:rFonts w:ascii="宋体" w:hAnsi="宋体" w:cs="宋体"/>
          <w:kern w:val="0"/>
          <w:sz w:val="24"/>
          <w:szCs w:val="24"/>
        </w:rPr>
        <w:t>和《基金合同》的规定安全保管基金财产；</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lastRenderedPageBreak/>
        <w:t>（2）</w:t>
      </w:r>
      <w:r w:rsidRPr="00D05755">
        <w:rPr>
          <w:rFonts w:ascii="宋体" w:hAnsi="宋体" w:cs="宋体"/>
          <w:kern w:val="0"/>
          <w:sz w:val="24"/>
          <w:szCs w:val="24"/>
        </w:rPr>
        <w:t>依《基金合同》约定获得基金托管费以及法律法规规定或监管部门批准的其他费用；</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（4）根据相关市场规则，为基金开设资金账户和证券账户等投资所需账户，为基金办理证券、期货交易资金清算；</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提议召开或召集基金份额持有人大会；</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在基金管理人更换时，提名新的基金管理人；</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法律法规及中国证监会规定的和《基金合同》约定的其他权利。</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根据《基金法》、《运作办法》及其他有关规定，基金托管人的义务包括但不限于：</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以诚实信用、勤勉尽责的原则持有并安全保管基金财产；</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设立专门的基金托管部门，具有符合要求的营业场所，配备足够的、合格的熟悉基金托管业务的专职人员，负责基金财产托管事宜；</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除依据《基金法》、《基金合同》及其他有关规定外，不得利用基金财产为自己及任何第三人谋取利益，不得委托第三人托管基金财产；</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保管由基金管理人代表基金签订的与基金有关的重大合同及有关凭证；</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按规定开设基金财产的资金账户和证券账户等投资所需账户，按照《基金合同》的约定，根据基金管理人的投资指令，及时办理清算、交割事宜；</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（8）</w:t>
      </w:r>
      <w:r w:rsidRPr="00D05755">
        <w:rPr>
          <w:rFonts w:ascii="宋体" w:hAnsi="宋体" w:cs="宋体"/>
          <w:kern w:val="0"/>
          <w:sz w:val="24"/>
          <w:szCs w:val="24"/>
        </w:rPr>
        <w:t>复核、审查基金管理人计算的基金资产净值、</w:t>
      </w:r>
      <w:r w:rsidRPr="00D05755">
        <w:rPr>
          <w:rStyle w:val="custom"/>
          <w:rFonts w:ascii="宋体" w:hAnsi="宋体" w:cs="宋体"/>
          <w:kern w:val="0"/>
          <w:sz w:val="24"/>
          <w:szCs w:val="24"/>
        </w:rPr>
        <w:t>各类</w:t>
      </w:r>
      <w:r w:rsidRPr="00D05755">
        <w:rPr>
          <w:rFonts w:ascii="宋体" w:hAnsi="宋体" w:cs="宋体"/>
          <w:kern w:val="0"/>
          <w:sz w:val="24"/>
          <w:szCs w:val="24"/>
        </w:rPr>
        <w:t>基金份额净值、基金</w:t>
      </w:r>
      <w:r w:rsidRPr="00D05755">
        <w:rPr>
          <w:rFonts w:ascii="宋体" w:hAnsi="宋体" w:cs="宋体"/>
          <w:kern w:val="0"/>
          <w:sz w:val="24"/>
          <w:szCs w:val="24"/>
        </w:rPr>
        <w:lastRenderedPageBreak/>
        <w:t>份额申购、赎回价格；</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（9）</w:t>
      </w:r>
      <w:r w:rsidRPr="00D05755">
        <w:rPr>
          <w:rFonts w:ascii="宋体" w:hAnsi="宋体" w:cs="宋体"/>
          <w:kern w:val="0"/>
          <w:sz w:val="24"/>
          <w:szCs w:val="24"/>
        </w:rPr>
        <w:t>办理与基金托管业务活动有关的信息披露事项；</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（10）</w:t>
      </w:r>
      <w:r w:rsidRPr="00D05755">
        <w:rPr>
          <w:rFonts w:ascii="宋体" w:hAnsi="宋体" w:cs="宋体"/>
          <w:kern w:val="0"/>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（11）</w:t>
      </w:r>
      <w:r w:rsidRPr="00D05755">
        <w:rPr>
          <w:rFonts w:ascii="宋体" w:hAnsi="宋体" w:cs="宋体"/>
          <w:kern w:val="0"/>
          <w:sz w:val="24"/>
          <w:szCs w:val="24"/>
        </w:rPr>
        <w:t>保存基金托管业务活动的记录、账册、报表和其他相关资料不少于法定最低期限；</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（12）</w:t>
      </w:r>
      <w:r w:rsidRPr="00D05755">
        <w:rPr>
          <w:rFonts w:ascii="宋体" w:hAnsi="宋体" w:cs="宋体"/>
          <w:kern w:val="0"/>
          <w:sz w:val="24"/>
          <w:szCs w:val="24"/>
        </w:rPr>
        <w:t>建立并保存基金份额持有人名册；</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（13）</w:t>
      </w:r>
      <w:r w:rsidRPr="00D05755">
        <w:rPr>
          <w:rFonts w:ascii="宋体" w:hAnsi="宋体" w:cs="宋体"/>
          <w:kern w:val="0"/>
          <w:sz w:val="24"/>
          <w:szCs w:val="24"/>
        </w:rPr>
        <w:t>按规定制作相关账册并与基金管理人核对；</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（14）</w:t>
      </w:r>
      <w:r w:rsidRPr="00D05755">
        <w:rPr>
          <w:rFonts w:ascii="宋体" w:hAnsi="宋体" w:cs="宋体"/>
          <w:kern w:val="0"/>
          <w:sz w:val="24"/>
          <w:szCs w:val="24"/>
        </w:rPr>
        <w:t>依据基金管理人的指令或有关规定向基金份额持有人支付基金收益和赎回款项；</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（15）</w:t>
      </w:r>
      <w:r w:rsidRPr="00D05755">
        <w:rPr>
          <w:rFonts w:ascii="宋体" w:hAnsi="宋体" w:cs="宋体"/>
          <w:kern w:val="0"/>
          <w:sz w:val="24"/>
          <w:szCs w:val="24"/>
        </w:rPr>
        <w:t>依据《基金法》、《基金合同》及其他有关规定，召集基金份额持有人大会或配合基金管理人、基金份额持有人依法召集基金份额持有人大会；</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（16）</w:t>
      </w:r>
      <w:r w:rsidRPr="00D05755">
        <w:rPr>
          <w:rFonts w:ascii="宋体" w:hAnsi="宋体" w:cs="宋体"/>
          <w:kern w:val="0"/>
          <w:sz w:val="24"/>
          <w:szCs w:val="24"/>
        </w:rPr>
        <w:t>按照法律法规和《基金合同》的规定监督基金管理人的投资运作；</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（17）</w:t>
      </w:r>
      <w:r w:rsidRPr="00D05755">
        <w:rPr>
          <w:rFonts w:ascii="宋体" w:hAnsi="宋体" w:cs="宋体"/>
          <w:kern w:val="0"/>
          <w:sz w:val="24"/>
          <w:szCs w:val="24"/>
        </w:rPr>
        <w:t>参加基金财产清算小组，参与基金财产的保管、清理、估价、变现和分配；</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（18）面临解散、依法被撤销或者被依法宣告破产时，及时报告中国证监会和银行业监督管理机构，并通知基金管理人；</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（19）</w:t>
      </w:r>
      <w:r w:rsidRPr="00D05755">
        <w:rPr>
          <w:rFonts w:ascii="宋体" w:hAnsi="宋体" w:cs="宋体"/>
          <w:kern w:val="0"/>
          <w:sz w:val="24"/>
          <w:szCs w:val="24"/>
        </w:rPr>
        <w:t>因违反《基金合同》导致基金财产损失时，应承担赔偿责任，其赔偿责任不因其退任而免除；</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（20）</w:t>
      </w:r>
      <w:r w:rsidRPr="00D05755">
        <w:rPr>
          <w:rFonts w:ascii="宋体" w:hAnsi="宋体" w:cs="宋体"/>
          <w:kern w:val="0"/>
          <w:sz w:val="24"/>
          <w:szCs w:val="24"/>
        </w:rPr>
        <w:t>按规定监督基金管理人按法律法规和《基金合同》规定履行自己的义务，基金管理人因违反《基金合同》造成基金财产损失时，应为基金份额持有人利益向基金管理人追偿；</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（21）</w:t>
      </w:r>
      <w:r w:rsidRPr="00D05755">
        <w:rPr>
          <w:rFonts w:ascii="宋体" w:hAnsi="宋体" w:cs="宋体"/>
          <w:kern w:val="0"/>
          <w:sz w:val="24"/>
          <w:szCs w:val="24"/>
        </w:rPr>
        <w:t>执行生效的基金份额持有人大会的决议；</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（22）</w:t>
      </w:r>
      <w:r w:rsidRPr="00D05755">
        <w:rPr>
          <w:rFonts w:ascii="宋体" w:hAnsi="宋体" w:cs="宋体"/>
          <w:kern w:val="0"/>
          <w:sz w:val="24"/>
          <w:szCs w:val="24"/>
        </w:rPr>
        <w:t>法律法规及中国证监会规定的和《基金合同》约定的其他义务。</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三、</w:t>
      </w:r>
      <w:r w:rsidRPr="00D05755">
        <w:rPr>
          <w:rFonts w:ascii="宋体" w:hAnsi="宋体" w:cs="宋体"/>
          <w:kern w:val="0"/>
          <w:sz w:val="24"/>
          <w:szCs w:val="24"/>
        </w:rPr>
        <w:t>基金份额持有人</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基金投资者持有本</w:t>
      </w:r>
      <w:proofErr w:type="gramStart"/>
      <w:r w:rsidRPr="00D05755">
        <w:rPr>
          <w:rFonts w:ascii="宋体" w:hAnsi="宋体" w:cs="宋体"/>
          <w:kern w:val="0"/>
          <w:sz w:val="24"/>
          <w:szCs w:val="24"/>
        </w:rPr>
        <w:t>基金基金</w:t>
      </w:r>
      <w:proofErr w:type="gramEnd"/>
      <w:r w:rsidRPr="00D05755">
        <w:rPr>
          <w:rFonts w:ascii="宋体" w:hAnsi="宋体" w:cs="宋体"/>
          <w:kern w:val="0"/>
          <w:sz w:val="24"/>
          <w:szCs w:val="24"/>
        </w:rPr>
        <w:t>份额的行为即视为对《基金合同》的承认和接受，基金投资者</w:t>
      </w:r>
      <w:proofErr w:type="gramStart"/>
      <w:r w:rsidRPr="00D05755">
        <w:rPr>
          <w:rFonts w:ascii="宋体" w:hAnsi="宋体" w:cs="宋体"/>
          <w:kern w:val="0"/>
          <w:sz w:val="24"/>
          <w:szCs w:val="24"/>
        </w:rPr>
        <w:t>自依据</w:t>
      </w:r>
      <w:proofErr w:type="gramEnd"/>
      <w:r w:rsidRPr="00D05755">
        <w:rPr>
          <w:rFonts w:ascii="宋体" w:hAnsi="宋体" w:cs="宋体"/>
          <w:kern w:val="0"/>
          <w:sz w:val="24"/>
          <w:szCs w:val="24"/>
        </w:rPr>
        <w:t>《基金合同》取得基金份额，即成为本基金份额持有人和《基</w:t>
      </w:r>
      <w:r w:rsidRPr="00D05755">
        <w:rPr>
          <w:rFonts w:ascii="宋体" w:hAnsi="宋体" w:cs="宋体"/>
          <w:kern w:val="0"/>
          <w:sz w:val="24"/>
          <w:szCs w:val="24"/>
        </w:rPr>
        <w:lastRenderedPageBreak/>
        <w:t>金合同》的当事人，直至其不再持有本基金的基金份额。基金份额持有人作为《基金合同》当事人并不以在《基金合同》上书面签章或签字为必要条件。</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同一类别内每份基金份额具有同等的合法权益。</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根据《基金法》、《运作办法》及其他有关规定，基金份额持有人的权利包括但不限于：</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分享基金财产收益；</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参与分配清算后的剩余基金财产；</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依法转让或者申请赎回其持有的基金份额；</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按照规定要求召开基金份额持有人大会或者召集基金份额持有人大会；</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出席或者委派代表出席基金份额持有人大会，对基金份额持有人大会审议事项行使表决权；</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查阅或者复制公开披露的基金信息资料；</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监督基金管理人的投资运作；</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（8）</w:t>
      </w:r>
      <w:r w:rsidRPr="00D05755">
        <w:rPr>
          <w:rFonts w:ascii="宋体" w:hAnsi="宋体" w:cs="宋体"/>
          <w:kern w:val="0"/>
          <w:sz w:val="24"/>
          <w:szCs w:val="24"/>
        </w:rPr>
        <w:t>对基金管理人、基金托管人、基金服务机构损害其合法权益的行为依法提起诉讼或仲裁；</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（9）</w:t>
      </w:r>
      <w:r w:rsidRPr="00D05755">
        <w:rPr>
          <w:rFonts w:ascii="宋体" w:hAnsi="宋体" w:cs="宋体"/>
          <w:kern w:val="0"/>
          <w:sz w:val="24"/>
          <w:szCs w:val="24"/>
        </w:rPr>
        <w:t>法律法规及中国证监会规定的和《基金合同》约定的其他权利。</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根据《基金法》、《运作办法》及其他有关规定，基金份额持有人的义务包括但不限于：</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认真阅读并遵守《基金合同》、《招募说明书》等信息披露文件；</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了解所投资基金产品，了解自身风险承受能力，自主判断基金的投资价值，自主做出投资决策，自行承担投资风险；</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关注基金信息披露，及时行使权利和履行义务；</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交纳基金</w:t>
      </w:r>
      <w:r w:rsidRPr="00D05755">
        <w:rPr>
          <w:rStyle w:val="custom"/>
          <w:rFonts w:ascii="宋体" w:hAnsi="宋体" w:cs="宋体"/>
          <w:kern w:val="0"/>
          <w:sz w:val="24"/>
          <w:szCs w:val="24"/>
        </w:rPr>
        <w:t>认购、</w:t>
      </w:r>
      <w:r w:rsidRPr="00D05755">
        <w:rPr>
          <w:rFonts w:ascii="宋体" w:hAnsi="宋体" w:cs="宋体"/>
          <w:kern w:val="0"/>
          <w:sz w:val="24"/>
          <w:szCs w:val="24"/>
        </w:rPr>
        <w:t>申购款项及法律法规和《基金合同》所规定的费用；</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在其持有的基金份额范围内，承担基金亏损或者《基金合同》终止的有限责任；</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不从事任何有损基金及其他《基金合同》当事人合法权益的活动；</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执行生效的基金份额持有人大会的决议；</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（8）</w:t>
      </w:r>
      <w:r w:rsidRPr="00D05755">
        <w:rPr>
          <w:rFonts w:ascii="宋体" w:hAnsi="宋体" w:cs="宋体"/>
          <w:kern w:val="0"/>
          <w:sz w:val="24"/>
          <w:szCs w:val="24"/>
        </w:rPr>
        <w:t>返还在基金交易过程中因任何原因获得的不当得利；</w:t>
      </w:r>
    </w:p>
    <w:bookmarkEnd w:id="53"/>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（9）发起资金提供方持有认购的基金份额不少于3年（基金合同生效不满3</w:t>
      </w:r>
      <w:r w:rsidRPr="00D05755">
        <w:rPr>
          <w:rStyle w:val="custom"/>
          <w:rFonts w:ascii="宋体" w:hAnsi="宋体" w:cs="宋体"/>
          <w:kern w:val="0"/>
          <w:sz w:val="24"/>
          <w:szCs w:val="24"/>
        </w:rPr>
        <w:lastRenderedPageBreak/>
        <w:t>年提前终止的情况除外）；</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（10）</w:t>
      </w:r>
      <w:r w:rsidRPr="00D05755">
        <w:rPr>
          <w:rFonts w:ascii="宋体" w:hAnsi="宋体" w:cs="宋体"/>
          <w:kern w:val="0"/>
          <w:sz w:val="24"/>
          <w:szCs w:val="24"/>
        </w:rPr>
        <w:t>提供基金管理人和监管机构依法要求提供的信息，以及不时的更新和补充，并保证其真实性；</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（11）</w:t>
      </w:r>
      <w:r w:rsidRPr="00D05755">
        <w:rPr>
          <w:rFonts w:ascii="宋体" w:hAnsi="宋体" w:cs="宋体"/>
          <w:kern w:val="0"/>
          <w:sz w:val="24"/>
          <w:szCs w:val="24"/>
        </w:rPr>
        <w:t>遵守基金管理人、基金托管人、销售机构和登记机构的相关交易及业务规则；</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（12）</w:t>
      </w:r>
      <w:r w:rsidRPr="00D05755">
        <w:rPr>
          <w:rFonts w:ascii="宋体" w:hAnsi="宋体" w:cs="宋体"/>
          <w:kern w:val="0"/>
          <w:sz w:val="24"/>
          <w:szCs w:val="24"/>
        </w:rPr>
        <w:t>法律法规及中国证监会规定的和《基金合同》约定的其他义务。</w:t>
      </w:r>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54" w:name="_Toc256000007"/>
      <w:r w:rsidRPr="00D05755">
        <w:rPr>
          <w:rFonts w:ascii="Times New Roman"/>
          <w:color w:val="auto"/>
          <w:sz w:val="30"/>
        </w:rPr>
        <w:lastRenderedPageBreak/>
        <w:t>第八部分</w:t>
      </w:r>
      <w:r w:rsidRPr="00D05755">
        <w:rPr>
          <w:rFonts w:ascii="Times New Roman"/>
          <w:color w:val="auto"/>
          <w:sz w:val="30"/>
        </w:rPr>
        <w:t xml:space="preserve">  </w:t>
      </w:r>
      <w:r w:rsidRPr="00D05755">
        <w:rPr>
          <w:rFonts w:ascii="Times New Roman"/>
          <w:color w:val="auto"/>
          <w:sz w:val="30"/>
        </w:rPr>
        <w:t>基金份额持有人大会</w:t>
      </w:r>
      <w:bookmarkEnd w:id="54"/>
    </w:p>
    <w:p w:rsidR="00E8691A" w:rsidRPr="00D05755" w:rsidRDefault="00E8691A"/>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本基金份额持有人大会不设日常机构。</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一、</w:t>
      </w:r>
      <w:r w:rsidRPr="00D05755">
        <w:rPr>
          <w:rFonts w:ascii="宋体" w:hAnsi="宋体" w:cs="宋体"/>
          <w:kern w:val="0"/>
          <w:sz w:val="24"/>
          <w:szCs w:val="24"/>
        </w:rPr>
        <w:t>召开事由</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当出现或需要决定下列事由之一的，应当召开基金份额持有人大会，法律法规、中国证监会另有规定的除外：</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终止《基金合同》</w:t>
      </w:r>
      <w:r w:rsidRPr="00D05755">
        <w:rPr>
          <w:rFonts w:ascii="宋体" w:hAnsi="宋体" w:cs="宋体" w:hint="eastAsia"/>
          <w:kern w:val="0"/>
          <w:sz w:val="24"/>
          <w:szCs w:val="24"/>
        </w:rPr>
        <w:t>，《基金合同》另有约定的除外</w:t>
      </w:r>
      <w:r w:rsidRPr="00D05755">
        <w:rPr>
          <w:rFonts w:ascii="宋体" w:hAnsi="宋体" w:cs="宋体"/>
          <w:kern w:val="0"/>
          <w:sz w:val="24"/>
          <w:szCs w:val="24"/>
        </w:rPr>
        <w:t>；</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更换基金管理人；</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更换基金托管人；</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（4）转换基金运作方式；</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（5）调整基金管理人、基金托管人的报酬标准或提高销售服务费率；</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变更基金类别；</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本基金与其他基金的合并；</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（8）</w:t>
      </w:r>
      <w:r w:rsidRPr="00D05755">
        <w:rPr>
          <w:rFonts w:ascii="宋体" w:hAnsi="宋体" w:cs="宋体"/>
          <w:kern w:val="0"/>
          <w:sz w:val="24"/>
          <w:szCs w:val="24"/>
        </w:rPr>
        <w:t>变更基金投资目标、范围或策略；</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（9）</w:t>
      </w:r>
      <w:r w:rsidRPr="00D05755">
        <w:rPr>
          <w:rFonts w:ascii="宋体" w:hAnsi="宋体" w:cs="宋体"/>
          <w:kern w:val="0"/>
          <w:sz w:val="24"/>
          <w:szCs w:val="24"/>
        </w:rPr>
        <w:t>变更基金份额持有人大会程序；</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（10）</w:t>
      </w:r>
      <w:r w:rsidRPr="00D05755">
        <w:rPr>
          <w:rFonts w:ascii="宋体" w:hAnsi="宋体" w:cs="宋体"/>
          <w:kern w:val="0"/>
          <w:sz w:val="24"/>
          <w:szCs w:val="24"/>
        </w:rPr>
        <w:t>基金管理人或基金托管人要求召开基金份额持有人大会；</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（11）</w:t>
      </w:r>
      <w:r w:rsidRPr="00D05755">
        <w:rPr>
          <w:rFonts w:ascii="宋体" w:hAnsi="宋体" w:cs="宋体"/>
          <w:kern w:val="0"/>
          <w:sz w:val="24"/>
          <w:szCs w:val="24"/>
        </w:rPr>
        <w:t>单独或合计持有本基金总份额10%以上（含10%）基金份额的基金份额持有人（以基金管理人收到提议当日的基金份额计算，下同）就同一事项书面要求召开基金份额持有人大会；</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（12）</w:t>
      </w:r>
      <w:r w:rsidRPr="00D05755">
        <w:rPr>
          <w:rFonts w:ascii="宋体" w:hAnsi="宋体" w:cs="宋体"/>
          <w:kern w:val="0"/>
          <w:sz w:val="24"/>
          <w:szCs w:val="24"/>
        </w:rPr>
        <w:t>对基金合同当事人权利和义务产生重大影响的其他事项；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（13）</w:t>
      </w:r>
      <w:r w:rsidRPr="00D05755">
        <w:rPr>
          <w:rFonts w:ascii="宋体" w:hAnsi="宋体" w:cs="宋体"/>
          <w:kern w:val="0"/>
          <w:sz w:val="24"/>
          <w:szCs w:val="24"/>
        </w:rPr>
        <w:t>法律法规、《基金合同》或中国证监会规定的其他应当召开基金份额持有人大会的事项。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在法律法规规定和《基金合同》约定的范围内且对基金份额持有人利益无实质性不利影响的前提下，以下情况可由基金管理人和基金托管人协商后修改，不需召开基金份额持有人大会：</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法律法规要求增加的基金费用的收取；</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lastRenderedPageBreak/>
        <w:t>（2）调整本基金的申购费率、调低销售服务费率或变更收费方式；</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增加、减少或调整基金份额类别设置或者调整基金份额分类办法及规则等；</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w:t>
      </w:r>
      <w:proofErr w:type="gramStart"/>
      <w:r w:rsidRPr="00D05755">
        <w:rPr>
          <w:rStyle w:val="custom"/>
          <w:rFonts w:ascii="宋体" w:hAnsi="宋体" w:cs="宋体"/>
          <w:kern w:val="0"/>
          <w:sz w:val="24"/>
          <w:szCs w:val="24"/>
        </w:rPr>
        <w:t>因相应</w:t>
      </w:r>
      <w:proofErr w:type="gramEnd"/>
      <w:r w:rsidRPr="00D05755">
        <w:rPr>
          <w:rStyle w:val="custom"/>
          <w:rFonts w:ascii="宋体" w:hAnsi="宋体" w:cs="宋体"/>
          <w:kern w:val="0"/>
          <w:sz w:val="24"/>
          <w:szCs w:val="24"/>
        </w:rPr>
        <w:t>的法律法规发生变动而应当对《基金合同》进行修改；</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（5）基金管理人和基金登记机构等调整或修改《业务规则》，包括但不限于有关基金认购、申购、赎回、转换、</w:t>
      </w:r>
      <w:proofErr w:type="gramStart"/>
      <w:r w:rsidRPr="00D05755">
        <w:rPr>
          <w:rStyle w:val="custom"/>
          <w:rFonts w:ascii="宋体" w:hAnsi="宋体" w:cs="宋体"/>
          <w:kern w:val="0"/>
          <w:sz w:val="24"/>
          <w:szCs w:val="24"/>
        </w:rPr>
        <w:t>非交易</w:t>
      </w:r>
      <w:proofErr w:type="gramEnd"/>
      <w:r w:rsidRPr="00D05755">
        <w:rPr>
          <w:rStyle w:val="custom"/>
          <w:rFonts w:ascii="宋体" w:hAnsi="宋体" w:cs="宋体"/>
          <w:kern w:val="0"/>
          <w:sz w:val="24"/>
          <w:szCs w:val="24"/>
        </w:rPr>
        <w:t>过户、转托管等内容；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对《基金合同》的修改对基金份额持有人利益无实质性不利影响或修改不涉及《基金合同》当事人权利义务关系发生重大变化；</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（7）</w:t>
      </w:r>
      <w:r w:rsidRPr="00D05755">
        <w:rPr>
          <w:rStyle w:val="custom"/>
          <w:rFonts w:ascii="宋体" w:hAnsi="宋体" w:cs="宋体" w:hint="eastAsia"/>
          <w:kern w:val="0"/>
          <w:sz w:val="24"/>
          <w:szCs w:val="24"/>
        </w:rPr>
        <w:t>在履行适当程序后，</w:t>
      </w:r>
      <w:r w:rsidRPr="00D05755">
        <w:rPr>
          <w:rFonts w:ascii="宋体" w:hAnsi="宋体" w:cs="宋体"/>
          <w:kern w:val="0"/>
          <w:sz w:val="24"/>
          <w:szCs w:val="24"/>
        </w:rPr>
        <w:t>基金推出新业务或服务；</w:t>
      </w:r>
    </w:p>
    <w:p w:rsidR="00E8691A" w:rsidRPr="00D05755" w:rsidRDefault="006E24B4" w:rsidP="00F85CCF">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（8）</w:t>
      </w:r>
      <w:r w:rsidRPr="00D05755">
        <w:rPr>
          <w:rFonts w:ascii="宋体" w:hAnsi="宋体" w:cs="宋体"/>
          <w:kern w:val="0"/>
          <w:sz w:val="24"/>
          <w:szCs w:val="24"/>
        </w:rPr>
        <w:t>按照法律法规和《基金合同》规定不需召开基金份额持有人大会的其他情形。</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会议召集人及召集方式</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除法律法规规定或《基金合同》另有约定外，基金份额持有人大会由基金管理人召集。</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基金管理人未按规定召集或不能召集时，由基金托管人召集。</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w:t>
      </w:r>
      <w:r w:rsidRPr="00D05755">
        <w:rPr>
          <w:rFonts w:ascii="宋体" w:hAnsi="宋体" w:cs="宋体"/>
          <w:kern w:val="0"/>
          <w:sz w:val="24"/>
          <w:szCs w:val="24"/>
        </w:rPr>
        <w:lastRenderedPageBreak/>
        <w:t>书面决定之日起60日内召开并告知基金管理人，基金管理人应当配合。</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基金份额持有人会议的召集人负责选择确定开会时间、地点、方式和权益登记日。</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三、</w:t>
      </w:r>
      <w:r w:rsidRPr="00D05755">
        <w:rPr>
          <w:rFonts w:ascii="宋体" w:hAnsi="宋体" w:cs="宋体"/>
          <w:kern w:val="0"/>
          <w:sz w:val="24"/>
          <w:szCs w:val="24"/>
        </w:rPr>
        <w:t>召开基金份额持有人大会的通知时间、通知内容、通知方式</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召开基金份额持有人大会，召集人应于会议召开前30日，在规定媒介公告。基金份额持有人大会通知应至少载明以下内容：</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会议召开的时间、地点和会议形式；</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会议</w:t>
      </w:r>
      <w:proofErr w:type="gramStart"/>
      <w:r w:rsidRPr="00D05755">
        <w:rPr>
          <w:rFonts w:ascii="宋体" w:hAnsi="宋体" w:cs="宋体"/>
          <w:kern w:val="0"/>
          <w:sz w:val="24"/>
          <w:szCs w:val="24"/>
        </w:rPr>
        <w:t>拟审议</w:t>
      </w:r>
      <w:proofErr w:type="gramEnd"/>
      <w:r w:rsidRPr="00D05755">
        <w:rPr>
          <w:rFonts w:ascii="宋体" w:hAnsi="宋体" w:cs="宋体"/>
          <w:kern w:val="0"/>
          <w:sz w:val="24"/>
          <w:szCs w:val="24"/>
        </w:rPr>
        <w:t>的事项、议事程序和表决方式；</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有权出席基金份额持有人大会的基金份额持有人的权益登记日；</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授权委托证明的内容要求（包括但不限于代理人身份，代理权限和代理有效期限等）、送达时间和地点；</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会务常设联系人姓名及联系电话；</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出席会议者必须准备的文件和必须履行的手续；</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召集人需要通知的其他事项。</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05755">
        <w:rPr>
          <w:rFonts w:ascii="宋体" w:hAnsi="宋体" w:cs="宋体"/>
          <w:kern w:val="0"/>
          <w:sz w:val="24"/>
          <w:szCs w:val="24"/>
        </w:rPr>
        <w:t>拒不派</w:t>
      </w:r>
      <w:proofErr w:type="gramEnd"/>
      <w:r w:rsidRPr="00D05755">
        <w:rPr>
          <w:rFonts w:ascii="宋体" w:hAnsi="宋体" w:cs="宋体"/>
          <w:kern w:val="0"/>
          <w:sz w:val="24"/>
          <w:szCs w:val="24"/>
        </w:rPr>
        <w:t>代表对表决意见的计票进行监督的，不影响表决意见的计票效力。</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四、</w:t>
      </w:r>
      <w:r w:rsidRPr="00D05755">
        <w:rPr>
          <w:rFonts w:ascii="宋体" w:hAnsi="宋体" w:cs="宋体"/>
          <w:kern w:val="0"/>
          <w:sz w:val="24"/>
          <w:szCs w:val="24"/>
        </w:rPr>
        <w:t>基金份额持有人出席会议的方式</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lastRenderedPageBreak/>
        <w:t>基金份额持有人大会可通过现场开会方式、通讯开会方式或法律法规、监管机构允许的其他方式召开，会议的召开方式由会议召集人确定。</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通讯开会。通讯开会系指基金份额持有人将其对表决事项的投票以书面形式</w:t>
      </w:r>
      <w:proofErr w:type="gramStart"/>
      <w:r w:rsidRPr="00D05755">
        <w:rPr>
          <w:rFonts w:ascii="宋体" w:hAnsi="宋体" w:cs="宋体"/>
          <w:kern w:val="0"/>
          <w:sz w:val="24"/>
          <w:szCs w:val="24"/>
        </w:rPr>
        <w:t>或大会</w:t>
      </w:r>
      <w:proofErr w:type="gramEnd"/>
      <w:r w:rsidRPr="00D05755">
        <w:rPr>
          <w:rFonts w:ascii="宋体" w:hAnsi="宋体" w:cs="宋体"/>
          <w:kern w:val="0"/>
          <w:sz w:val="24"/>
          <w:szCs w:val="24"/>
        </w:rPr>
        <w:t>公告载明的其他方式在表决截止日以前送达至召集人指定的地址或系统。通讯开会应以书面方式</w:t>
      </w:r>
      <w:proofErr w:type="gramStart"/>
      <w:r w:rsidRPr="00D05755">
        <w:rPr>
          <w:rFonts w:ascii="宋体" w:hAnsi="宋体" w:cs="宋体"/>
          <w:kern w:val="0"/>
          <w:sz w:val="24"/>
          <w:szCs w:val="24"/>
        </w:rPr>
        <w:t>或大会</w:t>
      </w:r>
      <w:proofErr w:type="gramEnd"/>
      <w:r w:rsidRPr="00D05755">
        <w:rPr>
          <w:rFonts w:ascii="宋体" w:hAnsi="宋体" w:cs="宋体"/>
          <w:kern w:val="0"/>
          <w:sz w:val="24"/>
          <w:szCs w:val="24"/>
        </w:rPr>
        <w:t>公告载明的其他方式进行表决。</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在同时符合以下条件时，通讯开会的方式视为有效：</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会议召集人按《基金合同》约定公布会议通知后，在2个工作日内连续公布相关提示性公告；</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本人直接出具书面意见或授权他人代表出具书面意见的，基金份额持有人所持有的基金份额不小于在权益登记日基金总份额的二分之一（含二分之一）；</w:t>
      </w:r>
      <w:r w:rsidRPr="00D05755">
        <w:rPr>
          <w:rFonts w:ascii="宋体" w:hAnsi="宋体" w:cs="宋体"/>
          <w:kern w:val="0"/>
          <w:sz w:val="24"/>
          <w:szCs w:val="24"/>
        </w:rPr>
        <w:lastRenderedPageBreak/>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五、</w:t>
      </w:r>
      <w:r w:rsidRPr="00D05755">
        <w:rPr>
          <w:rFonts w:ascii="宋体" w:hAnsi="宋体" w:cs="宋体"/>
          <w:kern w:val="0"/>
          <w:sz w:val="24"/>
          <w:szCs w:val="24"/>
        </w:rPr>
        <w:t>议事内容与程序</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议事内容及提案权</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基金份额持有人大会的召集人发出召集会议的通知后，对原有提案的修改应当在基金份额持有人大会召开前及时公告。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基金份额持有人大会不得对未事先公告的议事内容进行表决。</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议事程序</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现场开会</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sidRPr="00D05755">
        <w:rPr>
          <w:rFonts w:ascii="宋体" w:hAnsi="宋体" w:cs="宋体"/>
          <w:kern w:val="0"/>
          <w:sz w:val="24"/>
          <w:szCs w:val="24"/>
        </w:rPr>
        <w:lastRenderedPageBreak/>
        <w:t>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sidRPr="00D05755">
        <w:rPr>
          <w:rFonts w:ascii="宋体" w:hAnsi="宋体" w:cs="宋体"/>
          <w:kern w:val="0"/>
          <w:sz w:val="24"/>
          <w:szCs w:val="24"/>
        </w:rPr>
        <w:t>作出</w:t>
      </w:r>
      <w:proofErr w:type="gramEnd"/>
      <w:r w:rsidRPr="00D05755">
        <w:rPr>
          <w:rFonts w:ascii="宋体" w:hAnsi="宋体" w:cs="宋体"/>
          <w:kern w:val="0"/>
          <w:sz w:val="24"/>
          <w:szCs w:val="24"/>
        </w:rPr>
        <w:t>的决议的效力。</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会议召集人应当制作出席会议人员的签名册。签名</w:t>
      </w:r>
      <w:proofErr w:type="gramStart"/>
      <w:r w:rsidRPr="00D05755">
        <w:rPr>
          <w:rFonts w:ascii="宋体" w:hAnsi="宋体" w:cs="宋体"/>
          <w:kern w:val="0"/>
          <w:sz w:val="24"/>
          <w:szCs w:val="24"/>
        </w:rPr>
        <w:t>册</w:t>
      </w:r>
      <w:proofErr w:type="gramEnd"/>
      <w:r w:rsidRPr="00D05755">
        <w:rPr>
          <w:rFonts w:ascii="宋体" w:hAnsi="宋体" w:cs="宋体"/>
          <w:kern w:val="0"/>
          <w:sz w:val="24"/>
          <w:szCs w:val="24"/>
        </w:rPr>
        <w:t>载明参加会议人员姓名（或单位名称）、身份证明文件号码、持有或代表有表决权的基金份额、委托人姓名（或单位名称）和联系方式等事项。</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通讯开会</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六、</w:t>
      </w:r>
      <w:r w:rsidRPr="00D05755">
        <w:rPr>
          <w:rFonts w:ascii="宋体" w:hAnsi="宋体" w:cs="宋体"/>
          <w:kern w:val="0"/>
          <w:sz w:val="24"/>
          <w:szCs w:val="24"/>
        </w:rPr>
        <w:t>表决</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基金份额持有人所持每份基金份额有一票表决权。</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基金份额持有人大会决议分为一般决议和特别决议：</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E8691A" w:rsidRPr="00D05755" w:rsidRDefault="006E24B4">
      <w:pPr>
        <w:pStyle w:val="div"/>
        <w:spacing w:line="360" w:lineRule="auto"/>
        <w:ind w:firstLine="420"/>
        <w:rPr>
          <w:rFonts w:ascii="宋体" w:hAnsi="宋体" w:cs="宋体"/>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特别决议，特别决议应当经参加大会的基金份额持有人或其代理人所持表决权的三分之二以上（含三分之二）通过方可做出。</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除法律法规另有规定或《基金合同》另有约定外，转换基金运作方式、更换基金管理人或者基金托管人、终止《基金合同》、本基金与其他基金合并以特别决议通过方为有效。</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基金份额持有人大会采取记名方式进行投票表决。</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基金份额持有人大会的各项提案或同一项提案内并列的各项议题应当分开</w:t>
      </w:r>
      <w:r w:rsidRPr="00D05755">
        <w:rPr>
          <w:rFonts w:ascii="宋体" w:hAnsi="宋体" w:cs="宋体"/>
          <w:kern w:val="0"/>
          <w:sz w:val="24"/>
          <w:szCs w:val="24"/>
        </w:rPr>
        <w:lastRenderedPageBreak/>
        <w:t>审议、逐项表决。</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七、</w:t>
      </w:r>
      <w:r w:rsidRPr="00D05755">
        <w:rPr>
          <w:rFonts w:ascii="宋体" w:hAnsi="宋体" w:cs="宋体"/>
          <w:kern w:val="0"/>
          <w:sz w:val="24"/>
          <w:szCs w:val="24"/>
        </w:rPr>
        <w:t>计票</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现场开会</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w:t>
      </w:r>
      <w:proofErr w:type="gramStart"/>
      <w:r w:rsidRPr="00D05755">
        <w:rPr>
          <w:rFonts w:ascii="宋体" w:hAnsi="宋体" w:cs="宋体"/>
          <w:kern w:val="0"/>
          <w:sz w:val="24"/>
          <w:szCs w:val="24"/>
        </w:rPr>
        <w:t>或大会</w:t>
      </w:r>
      <w:proofErr w:type="gramEnd"/>
      <w:r w:rsidRPr="00D05755">
        <w:rPr>
          <w:rFonts w:ascii="宋体" w:hAnsi="宋体" w:cs="宋体"/>
          <w:kern w:val="0"/>
          <w:sz w:val="24"/>
          <w:szCs w:val="24"/>
        </w:rPr>
        <w:t>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监票人应当在基金份额持有人表决后立即进行清点并由大会主持人当场公布计票结果。</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如果会议主持人或基金份额持有人或代理人对于提交的表决结果有异议，可以在宣布表决结果后立即对所投票</w:t>
      </w:r>
      <w:proofErr w:type="gramStart"/>
      <w:r w:rsidRPr="00D05755">
        <w:rPr>
          <w:rFonts w:ascii="宋体" w:hAnsi="宋体" w:cs="宋体"/>
          <w:kern w:val="0"/>
          <w:sz w:val="24"/>
          <w:szCs w:val="24"/>
        </w:rPr>
        <w:t>数要求</w:t>
      </w:r>
      <w:proofErr w:type="gramEnd"/>
      <w:r w:rsidRPr="00D05755">
        <w:rPr>
          <w:rFonts w:ascii="宋体" w:hAnsi="宋体" w:cs="宋体"/>
          <w:kern w:val="0"/>
          <w:sz w:val="24"/>
          <w:szCs w:val="24"/>
        </w:rPr>
        <w:t>进行重新清点。监票人应当进行重新清点，重新清点以一次为限。重新清点后，大会主持人应当当场公布重新清点结果。</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计票过程应由公证机关予以公证，基金管理人或基金托管人拒不出席大会的，不影响计票的效力。</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通讯开会</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D05755">
        <w:rPr>
          <w:rFonts w:ascii="宋体" w:hAnsi="宋体" w:cs="宋体"/>
          <w:kern w:val="0"/>
          <w:sz w:val="24"/>
          <w:szCs w:val="24"/>
        </w:rPr>
        <w:t>人拒派</w:t>
      </w:r>
      <w:proofErr w:type="gramEnd"/>
      <w:r w:rsidRPr="00D05755">
        <w:rPr>
          <w:rFonts w:ascii="宋体" w:hAnsi="宋体" w:cs="宋体"/>
          <w:kern w:val="0"/>
          <w:sz w:val="24"/>
          <w:szCs w:val="24"/>
        </w:rPr>
        <w:t>代表对书面表决意见的计票进行监督的，不影响计票和表决结果。</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八、</w:t>
      </w:r>
      <w:r w:rsidRPr="00D05755">
        <w:rPr>
          <w:rFonts w:ascii="宋体" w:hAnsi="宋体" w:cs="宋体"/>
          <w:kern w:val="0"/>
          <w:sz w:val="24"/>
          <w:szCs w:val="24"/>
        </w:rPr>
        <w:t>生效与公告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基金份额持有人大会的决议，召集人应当自通过之日起5日内报中国证监会备案。</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基金份额持有人大会的决议自表决通过之日起生效。</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w:t>
      </w:r>
      <w:r w:rsidRPr="00D05755">
        <w:rPr>
          <w:rFonts w:ascii="宋体" w:hAnsi="宋体" w:cs="宋体"/>
          <w:kern w:val="0"/>
          <w:sz w:val="24"/>
          <w:szCs w:val="24"/>
        </w:rPr>
        <w:lastRenderedPageBreak/>
        <w:t>证机构、公证员姓名等一同公告。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九、</w:t>
      </w:r>
      <w:r w:rsidRPr="00D05755">
        <w:rPr>
          <w:rFonts w:ascii="宋体" w:hAnsi="宋体" w:cs="宋体"/>
          <w:kern w:val="0"/>
          <w:sz w:val="24"/>
          <w:szCs w:val="24"/>
        </w:rPr>
        <w:t>实施</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期间基金份额持有人大会的特殊约定</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若本基金</w:t>
      </w:r>
      <w:proofErr w:type="gramStart"/>
      <w:r w:rsidRPr="00D05755">
        <w:rPr>
          <w:rFonts w:ascii="宋体" w:hAnsi="宋体" w:cs="宋体"/>
          <w:kern w:val="0"/>
          <w:sz w:val="24"/>
          <w:szCs w:val="24"/>
        </w:rPr>
        <w:t>实施侧袋机制</w:t>
      </w:r>
      <w:proofErr w:type="gramEnd"/>
      <w:r w:rsidRPr="00D05755">
        <w:rPr>
          <w:rFonts w:ascii="宋体" w:hAnsi="宋体" w:cs="宋体"/>
          <w:kern w:val="0"/>
          <w:sz w:val="24"/>
          <w:szCs w:val="24"/>
        </w:rPr>
        <w:t>，</w:t>
      </w:r>
      <w:proofErr w:type="gramStart"/>
      <w:r w:rsidRPr="00D05755">
        <w:rPr>
          <w:rFonts w:ascii="宋体" w:hAnsi="宋体" w:cs="宋体"/>
          <w:kern w:val="0"/>
          <w:sz w:val="24"/>
          <w:szCs w:val="24"/>
        </w:rPr>
        <w:t>则相关</w:t>
      </w:r>
      <w:proofErr w:type="gramEnd"/>
      <w:r w:rsidRPr="00D05755">
        <w:rPr>
          <w:rFonts w:ascii="宋体" w:hAnsi="宋体" w:cs="宋体"/>
          <w:kern w:val="0"/>
          <w:sz w:val="24"/>
          <w:szCs w:val="24"/>
        </w:rPr>
        <w:t>基金份额或表决权的比例</w:t>
      </w:r>
      <w:proofErr w:type="gramStart"/>
      <w:r w:rsidRPr="00D05755">
        <w:rPr>
          <w:rFonts w:ascii="宋体" w:hAnsi="宋体" w:cs="宋体"/>
          <w:kern w:val="0"/>
          <w:sz w:val="24"/>
          <w:szCs w:val="24"/>
        </w:rPr>
        <w:t>指主袋份额</w:t>
      </w:r>
      <w:proofErr w:type="gramEnd"/>
      <w:r w:rsidRPr="00D05755">
        <w:rPr>
          <w:rFonts w:ascii="宋体" w:hAnsi="宋体" w:cs="宋体"/>
          <w:kern w:val="0"/>
          <w:sz w:val="24"/>
          <w:szCs w:val="24"/>
        </w:rPr>
        <w:t>持有</w:t>
      </w:r>
      <w:proofErr w:type="gramStart"/>
      <w:r w:rsidRPr="00D05755">
        <w:rPr>
          <w:rFonts w:ascii="宋体" w:hAnsi="宋体" w:cs="宋体"/>
          <w:kern w:val="0"/>
          <w:sz w:val="24"/>
          <w:szCs w:val="24"/>
        </w:rPr>
        <w:t>人和侧袋份额</w:t>
      </w:r>
      <w:proofErr w:type="gramEnd"/>
      <w:r w:rsidRPr="00D05755">
        <w:rPr>
          <w:rFonts w:ascii="宋体" w:hAnsi="宋体" w:cs="宋体"/>
          <w:kern w:val="0"/>
          <w:sz w:val="24"/>
          <w:szCs w:val="24"/>
        </w:rPr>
        <w:t>持有人分别持有或代表的基金份额或表决权符合该等比例，但</w:t>
      </w:r>
      <w:proofErr w:type="gramStart"/>
      <w:r w:rsidRPr="00D05755">
        <w:rPr>
          <w:rFonts w:ascii="宋体" w:hAnsi="宋体" w:cs="宋体"/>
          <w:kern w:val="0"/>
          <w:sz w:val="24"/>
          <w:szCs w:val="24"/>
        </w:rPr>
        <w:t>若相关</w:t>
      </w:r>
      <w:proofErr w:type="gramEnd"/>
      <w:r w:rsidRPr="00D05755">
        <w:rPr>
          <w:rFonts w:ascii="宋体" w:hAnsi="宋体" w:cs="宋体"/>
          <w:kern w:val="0"/>
          <w:sz w:val="24"/>
          <w:szCs w:val="24"/>
        </w:rPr>
        <w:t>基金份额持有人大会召集和审议事项不</w:t>
      </w:r>
      <w:proofErr w:type="gramStart"/>
      <w:r w:rsidRPr="00D05755">
        <w:rPr>
          <w:rFonts w:ascii="宋体" w:hAnsi="宋体" w:cs="宋体"/>
          <w:kern w:val="0"/>
          <w:sz w:val="24"/>
          <w:szCs w:val="24"/>
        </w:rPr>
        <w:t>涉及侧袋账户</w:t>
      </w:r>
      <w:proofErr w:type="gramEnd"/>
      <w:r w:rsidRPr="00D05755">
        <w:rPr>
          <w:rFonts w:ascii="宋体" w:hAnsi="宋体" w:cs="宋体"/>
          <w:kern w:val="0"/>
          <w:sz w:val="24"/>
          <w:szCs w:val="24"/>
        </w:rPr>
        <w:t>的，则仅</w:t>
      </w:r>
      <w:proofErr w:type="gramStart"/>
      <w:r w:rsidRPr="00D05755">
        <w:rPr>
          <w:rFonts w:ascii="宋体" w:hAnsi="宋体" w:cs="宋体"/>
          <w:kern w:val="0"/>
          <w:sz w:val="24"/>
          <w:szCs w:val="24"/>
        </w:rPr>
        <w:t>指主袋份额</w:t>
      </w:r>
      <w:proofErr w:type="gramEnd"/>
      <w:r w:rsidRPr="00D05755">
        <w:rPr>
          <w:rFonts w:ascii="宋体" w:hAnsi="宋体" w:cs="宋体"/>
          <w:kern w:val="0"/>
          <w:sz w:val="24"/>
          <w:szCs w:val="24"/>
        </w:rPr>
        <w:t>持有人持有或代表的基金份额或表决权符合该等比例：</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基金份额持有人行使提议权、召集权、提名权所需单独或合计代表相关基金份额10%以上（含10%）；</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现场开会的到会者在权益登记日代表的基金份额不少于本基金在权益登记</w:t>
      </w:r>
      <w:proofErr w:type="gramStart"/>
      <w:r w:rsidRPr="00D05755">
        <w:rPr>
          <w:rFonts w:ascii="宋体" w:hAnsi="宋体" w:cs="宋体"/>
          <w:kern w:val="0"/>
          <w:sz w:val="24"/>
          <w:szCs w:val="24"/>
        </w:rPr>
        <w:t>日相关</w:t>
      </w:r>
      <w:proofErr w:type="gramEnd"/>
      <w:r w:rsidRPr="00D05755">
        <w:rPr>
          <w:rFonts w:ascii="宋体" w:hAnsi="宋体" w:cs="宋体"/>
          <w:kern w:val="0"/>
          <w:sz w:val="24"/>
          <w:szCs w:val="24"/>
        </w:rPr>
        <w:t>基金份额的二分之一（含二分之一）；</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通讯开会的直接出具书面意见或授权他人代表出具书面意见的基金份额持有人所持有的基金份额不小于在权益登记</w:t>
      </w:r>
      <w:proofErr w:type="gramStart"/>
      <w:r w:rsidRPr="00D05755">
        <w:rPr>
          <w:rFonts w:ascii="宋体" w:hAnsi="宋体" w:cs="宋体"/>
          <w:kern w:val="0"/>
          <w:sz w:val="24"/>
          <w:szCs w:val="24"/>
        </w:rPr>
        <w:t>日相关</w:t>
      </w:r>
      <w:proofErr w:type="gramEnd"/>
      <w:r w:rsidRPr="00D05755">
        <w:rPr>
          <w:rFonts w:ascii="宋体" w:hAnsi="宋体" w:cs="宋体"/>
          <w:kern w:val="0"/>
          <w:sz w:val="24"/>
          <w:szCs w:val="24"/>
        </w:rPr>
        <w:t>基金份额的二分之一（含二分之一）；</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在参与基金份额持有人大会投票的基金份额持有人所持有的基金份额小于在权益登记</w:t>
      </w:r>
      <w:proofErr w:type="gramStart"/>
      <w:r w:rsidRPr="00D05755">
        <w:rPr>
          <w:rFonts w:ascii="宋体" w:hAnsi="宋体" w:cs="宋体"/>
          <w:kern w:val="0"/>
          <w:sz w:val="24"/>
          <w:szCs w:val="24"/>
        </w:rPr>
        <w:t>日相关</w:t>
      </w:r>
      <w:proofErr w:type="gramEnd"/>
      <w:r w:rsidRPr="00D05755">
        <w:rPr>
          <w:rFonts w:ascii="宋体" w:hAnsi="宋体" w:cs="宋体"/>
          <w:kern w:val="0"/>
          <w:sz w:val="24"/>
          <w:szCs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现场开会由出席大会的基金份额持有人和代理人所持表决权的50%以上（含50%）选举产生一名基金份额持有人作为该次基金份额持有人大会的主持人；</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一般决议须经参加大会的基金份额持有人或其代理人所持表决权的二分之一以上（含二分之一）通过；</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特别决议应当经参加大会的基金份额持有人或其代理人所持表决权的三分之二以上（含三分之二）通过。</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同</w:t>
      </w:r>
      <w:proofErr w:type="gramStart"/>
      <w:r w:rsidRPr="00D05755">
        <w:rPr>
          <w:rFonts w:ascii="宋体" w:hAnsi="宋体" w:cs="宋体"/>
          <w:kern w:val="0"/>
          <w:sz w:val="24"/>
          <w:szCs w:val="24"/>
        </w:rPr>
        <w:t>一主侧袋账户</w:t>
      </w:r>
      <w:proofErr w:type="gramEnd"/>
      <w:r w:rsidRPr="00D05755">
        <w:rPr>
          <w:rFonts w:ascii="宋体" w:hAnsi="宋体" w:cs="宋体"/>
          <w:kern w:val="0"/>
          <w:sz w:val="24"/>
          <w:szCs w:val="24"/>
        </w:rPr>
        <w:t>内的每份基金份额具有平等的表决权。</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十、</w:t>
      </w:r>
      <w:r w:rsidRPr="00D05755">
        <w:rPr>
          <w:rFonts w:ascii="宋体" w:hAnsi="宋体" w:cs="宋体"/>
          <w:kern w:val="0"/>
          <w:sz w:val="24"/>
          <w:szCs w:val="24"/>
        </w:rPr>
        <w:t>本部</w:t>
      </w:r>
      <w:proofErr w:type="gramStart"/>
      <w:r w:rsidRPr="00D05755">
        <w:rPr>
          <w:rFonts w:ascii="宋体" w:hAnsi="宋体" w:cs="宋体"/>
          <w:kern w:val="0"/>
          <w:sz w:val="24"/>
          <w:szCs w:val="24"/>
        </w:rPr>
        <w:t>分关于</w:t>
      </w:r>
      <w:proofErr w:type="gramEnd"/>
      <w:r w:rsidRPr="00D05755">
        <w:rPr>
          <w:rFonts w:ascii="宋体" w:hAnsi="宋体" w:cs="宋体"/>
          <w:kern w:val="0"/>
          <w:sz w:val="24"/>
          <w:szCs w:val="24"/>
        </w:rPr>
        <w:t>基金份额持有人大会召开事由、召开条件、议事程序、表决</w:t>
      </w:r>
      <w:r w:rsidRPr="00D05755">
        <w:rPr>
          <w:rFonts w:ascii="宋体" w:hAnsi="宋体" w:cs="宋体"/>
          <w:kern w:val="0"/>
          <w:sz w:val="24"/>
          <w:szCs w:val="24"/>
        </w:rPr>
        <w:lastRenderedPageBreak/>
        <w:t>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55" w:name="_Toc256000008"/>
      <w:bookmarkStart w:id="56" w:name="_Hlk194505782"/>
      <w:r w:rsidRPr="00D05755">
        <w:rPr>
          <w:rFonts w:ascii="Times New Roman"/>
          <w:color w:val="auto"/>
          <w:sz w:val="30"/>
        </w:rPr>
        <w:lastRenderedPageBreak/>
        <w:t>第九部分</w:t>
      </w:r>
      <w:r w:rsidRPr="00D05755">
        <w:rPr>
          <w:rFonts w:ascii="Times New Roman"/>
          <w:color w:val="auto"/>
          <w:sz w:val="30"/>
        </w:rPr>
        <w:t xml:space="preserve">  </w:t>
      </w:r>
      <w:r w:rsidRPr="00D05755">
        <w:rPr>
          <w:rFonts w:ascii="Times New Roman"/>
          <w:color w:val="auto"/>
          <w:sz w:val="30"/>
        </w:rPr>
        <w:t>基金管理人、基金托管人的更换条件和程序</w:t>
      </w:r>
      <w:bookmarkEnd w:id="55"/>
    </w:p>
    <w:p w:rsidR="00E8691A" w:rsidRPr="00D05755" w:rsidRDefault="00E8691A"/>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一、</w:t>
      </w:r>
      <w:r w:rsidRPr="00D05755">
        <w:rPr>
          <w:rFonts w:ascii="宋体" w:hAnsi="宋体" w:cs="宋体"/>
          <w:kern w:val="0"/>
          <w:sz w:val="24"/>
          <w:szCs w:val="24"/>
        </w:rPr>
        <w:t>基金管理人和基金托管人职责终止的情形</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（一）</w:t>
      </w:r>
      <w:r w:rsidRPr="00D05755">
        <w:rPr>
          <w:rFonts w:ascii="宋体" w:hAnsi="宋体" w:cs="宋体"/>
          <w:kern w:val="0"/>
          <w:sz w:val="24"/>
          <w:szCs w:val="24"/>
        </w:rPr>
        <w:t>基金管理人职责终止的情形</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有下列情形之一的，基金管理人职责终止：</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被依法取消基金管理资格；</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被基金份额持有人大会解任；</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依法解散、被依法撤销或被依法宣告破产；</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法律法规及中国证监会规定的和《基金合同》约定的其他情形。</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基金托管人职责终止的情形</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有下列情形之一的，基金托管人职责终止：</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被依法取消基金托管资格；</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被基金份额持有人大会解任；</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依法解散、被依法撤销或被依法宣告破产；</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法律法规及中国证监会规定的和《基金合同》约定的其他情形。</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基金管理人和基金托管人的更换程序</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（一）</w:t>
      </w:r>
      <w:r w:rsidRPr="00D05755">
        <w:rPr>
          <w:rFonts w:ascii="宋体" w:hAnsi="宋体" w:cs="宋体"/>
          <w:kern w:val="0"/>
          <w:sz w:val="24"/>
          <w:szCs w:val="24"/>
        </w:rPr>
        <w:t>基金管理人的更换程序</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提名：</w:t>
      </w:r>
      <w:proofErr w:type="gramStart"/>
      <w:r w:rsidRPr="00D05755">
        <w:rPr>
          <w:rFonts w:ascii="宋体" w:hAnsi="宋体" w:cs="宋体"/>
          <w:kern w:val="0"/>
          <w:sz w:val="24"/>
          <w:szCs w:val="24"/>
        </w:rPr>
        <w:t>新任基金</w:t>
      </w:r>
      <w:proofErr w:type="gramEnd"/>
      <w:r w:rsidRPr="00D05755">
        <w:rPr>
          <w:rFonts w:ascii="宋体" w:hAnsi="宋体" w:cs="宋体"/>
          <w:kern w:val="0"/>
          <w:sz w:val="24"/>
          <w:szCs w:val="24"/>
        </w:rPr>
        <w:t>管理人由基金托管人或由单独或合计持有10%以上（含10%）基金份额的基金份额持有人提名；</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临时基金管理人：</w:t>
      </w:r>
      <w:proofErr w:type="gramStart"/>
      <w:r w:rsidRPr="00D05755">
        <w:rPr>
          <w:rFonts w:ascii="宋体" w:hAnsi="宋体" w:cs="宋体"/>
          <w:kern w:val="0"/>
          <w:sz w:val="24"/>
          <w:szCs w:val="24"/>
        </w:rPr>
        <w:t>新任基金</w:t>
      </w:r>
      <w:proofErr w:type="gramEnd"/>
      <w:r w:rsidRPr="00D05755">
        <w:rPr>
          <w:rFonts w:ascii="宋体" w:hAnsi="宋体" w:cs="宋体"/>
          <w:kern w:val="0"/>
          <w:sz w:val="24"/>
          <w:szCs w:val="24"/>
        </w:rPr>
        <w:t>管理人产生之前，由中国证监会指定临时基金管理人；</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备案：基金份额持有人大会更换基金管理人的决议须报中国证监会备案；</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公告：基金管理人更换后，由基金托管人在更换基金管理人的基金份额持有人大会决议生效后2日内在规定媒介公告；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交接：基金管理人职责终止的，基金管理人应妥善保管基金管理业务资</w:t>
      </w:r>
      <w:r w:rsidRPr="00D05755">
        <w:rPr>
          <w:rFonts w:ascii="宋体" w:hAnsi="宋体" w:cs="宋体"/>
          <w:kern w:val="0"/>
          <w:sz w:val="24"/>
          <w:szCs w:val="24"/>
        </w:rPr>
        <w:lastRenderedPageBreak/>
        <w:t>料，及时向临时基金管理人或</w:t>
      </w:r>
      <w:proofErr w:type="gramStart"/>
      <w:r w:rsidRPr="00D05755">
        <w:rPr>
          <w:rFonts w:ascii="宋体" w:hAnsi="宋体" w:cs="宋体"/>
          <w:kern w:val="0"/>
          <w:sz w:val="24"/>
          <w:szCs w:val="24"/>
        </w:rPr>
        <w:t>新任基金</w:t>
      </w:r>
      <w:proofErr w:type="gramEnd"/>
      <w:r w:rsidRPr="00D05755">
        <w:rPr>
          <w:rFonts w:ascii="宋体" w:hAnsi="宋体" w:cs="宋体"/>
          <w:kern w:val="0"/>
          <w:sz w:val="24"/>
          <w:szCs w:val="24"/>
        </w:rPr>
        <w:t>管理人办理基金管理业务的移交手续，临时基金管理人或</w:t>
      </w:r>
      <w:proofErr w:type="gramStart"/>
      <w:r w:rsidRPr="00D05755">
        <w:rPr>
          <w:rFonts w:ascii="宋体" w:hAnsi="宋体" w:cs="宋体"/>
          <w:kern w:val="0"/>
          <w:sz w:val="24"/>
          <w:szCs w:val="24"/>
        </w:rPr>
        <w:t>新任基金</w:t>
      </w:r>
      <w:proofErr w:type="gramEnd"/>
      <w:r w:rsidRPr="00D05755">
        <w:rPr>
          <w:rFonts w:ascii="宋体" w:hAnsi="宋体" w:cs="宋体"/>
          <w:kern w:val="0"/>
          <w:sz w:val="24"/>
          <w:szCs w:val="24"/>
        </w:rPr>
        <w:t>管理人应及时接收。临时基金管理人或</w:t>
      </w:r>
      <w:proofErr w:type="gramStart"/>
      <w:r w:rsidRPr="00D05755">
        <w:rPr>
          <w:rFonts w:ascii="宋体" w:hAnsi="宋体" w:cs="宋体"/>
          <w:kern w:val="0"/>
          <w:sz w:val="24"/>
          <w:szCs w:val="24"/>
        </w:rPr>
        <w:t>新任基金</w:t>
      </w:r>
      <w:proofErr w:type="gramEnd"/>
      <w:r w:rsidRPr="00D05755">
        <w:rPr>
          <w:rFonts w:ascii="宋体" w:hAnsi="宋体" w:cs="宋体"/>
          <w:kern w:val="0"/>
          <w:sz w:val="24"/>
          <w:szCs w:val="24"/>
        </w:rPr>
        <w:t>管理人应与基金托管人核对基金资产总值和基金资产净值；</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审计：基金管理人职责终止的，应当按照法律法规规定聘请符合《中华人民共和国证券法》规定的会计师事务所对基金财产进行审计，并将审计结果予以公告，同时报中国证监会备案，审计费用从基金财产中列支；</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8、</w:t>
      </w:r>
      <w:r w:rsidRPr="00D05755">
        <w:rPr>
          <w:rFonts w:ascii="宋体" w:hAnsi="宋体" w:cs="宋体"/>
          <w:kern w:val="0"/>
          <w:sz w:val="24"/>
          <w:szCs w:val="24"/>
        </w:rPr>
        <w:t>基金名称变更：基金管理人更换后，如果原任或</w:t>
      </w:r>
      <w:proofErr w:type="gramStart"/>
      <w:r w:rsidRPr="00D05755">
        <w:rPr>
          <w:rFonts w:ascii="宋体" w:hAnsi="宋体" w:cs="宋体"/>
          <w:kern w:val="0"/>
          <w:sz w:val="24"/>
          <w:szCs w:val="24"/>
        </w:rPr>
        <w:t>新任基金</w:t>
      </w:r>
      <w:proofErr w:type="gramEnd"/>
      <w:r w:rsidRPr="00D05755">
        <w:rPr>
          <w:rFonts w:ascii="宋体" w:hAnsi="宋体" w:cs="宋体"/>
          <w:kern w:val="0"/>
          <w:sz w:val="24"/>
          <w:szCs w:val="24"/>
        </w:rPr>
        <w:t>管理人要求，应按其要求替换或删除基金名称中与原任基金管理人有关的名称字样。</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基金托管人的更换程序</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提名：</w:t>
      </w:r>
      <w:proofErr w:type="gramStart"/>
      <w:r w:rsidRPr="00D05755">
        <w:rPr>
          <w:rFonts w:ascii="宋体" w:hAnsi="宋体" w:cs="宋体"/>
          <w:kern w:val="0"/>
          <w:sz w:val="24"/>
          <w:szCs w:val="24"/>
        </w:rPr>
        <w:t>新任基金</w:t>
      </w:r>
      <w:proofErr w:type="gramEnd"/>
      <w:r w:rsidRPr="00D05755">
        <w:rPr>
          <w:rFonts w:ascii="宋体" w:hAnsi="宋体" w:cs="宋体"/>
          <w:kern w:val="0"/>
          <w:sz w:val="24"/>
          <w:szCs w:val="24"/>
        </w:rPr>
        <w:t>托管人由基金管理人或由单独或合计持有10%以上（含10%）基金份额的基金份额持有人提名；</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临时基金托管人：</w:t>
      </w:r>
      <w:proofErr w:type="gramStart"/>
      <w:r w:rsidRPr="00D05755">
        <w:rPr>
          <w:rFonts w:ascii="宋体" w:hAnsi="宋体" w:cs="宋体"/>
          <w:kern w:val="0"/>
          <w:sz w:val="24"/>
          <w:szCs w:val="24"/>
        </w:rPr>
        <w:t>新任基金</w:t>
      </w:r>
      <w:proofErr w:type="gramEnd"/>
      <w:r w:rsidRPr="00D05755">
        <w:rPr>
          <w:rFonts w:ascii="宋体" w:hAnsi="宋体" w:cs="宋体"/>
          <w:kern w:val="0"/>
          <w:sz w:val="24"/>
          <w:szCs w:val="24"/>
        </w:rPr>
        <w:t>托管人产生之前，由中国证监会指定临时基金托管人；</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备案：基金份额持有人大会更换基金托管人的决议须报中国证监会备案；</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公告：基金托管人更换后，由基金管理人在更换基金托管人的基金份额持有人大会决议生效后2日内在规定媒介公告；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交接：基金托管人职责终止的，应当妥善保管基金财产和基金托管业务资料，及时</w:t>
      </w:r>
      <w:r w:rsidRPr="00D05755">
        <w:rPr>
          <w:rFonts w:ascii="宋体" w:hAnsi="宋体" w:cs="宋体" w:hint="eastAsia"/>
          <w:kern w:val="0"/>
          <w:sz w:val="24"/>
          <w:szCs w:val="24"/>
        </w:rPr>
        <w:t>向临时基金托管人或</w:t>
      </w:r>
      <w:proofErr w:type="gramStart"/>
      <w:r w:rsidRPr="00D05755">
        <w:rPr>
          <w:rFonts w:ascii="宋体" w:hAnsi="宋体" w:cs="宋体" w:hint="eastAsia"/>
          <w:kern w:val="0"/>
          <w:sz w:val="24"/>
          <w:szCs w:val="24"/>
        </w:rPr>
        <w:t>新任基金</w:t>
      </w:r>
      <w:proofErr w:type="gramEnd"/>
      <w:r w:rsidRPr="00D05755">
        <w:rPr>
          <w:rFonts w:ascii="宋体" w:hAnsi="宋体" w:cs="宋体" w:hint="eastAsia"/>
          <w:kern w:val="0"/>
          <w:sz w:val="24"/>
          <w:szCs w:val="24"/>
        </w:rPr>
        <w:t>托管人</w:t>
      </w:r>
      <w:r w:rsidRPr="00D05755">
        <w:rPr>
          <w:rFonts w:ascii="宋体" w:hAnsi="宋体" w:cs="宋体"/>
          <w:kern w:val="0"/>
          <w:sz w:val="24"/>
          <w:szCs w:val="24"/>
        </w:rPr>
        <w:t>办理基金财产和基金托管业务的移交手续，</w:t>
      </w:r>
      <w:proofErr w:type="gramStart"/>
      <w:r w:rsidRPr="00D05755">
        <w:rPr>
          <w:rFonts w:ascii="宋体" w:hAnsi="宋体" w:cs="宋体"/>
          <w:kern w:val="0"/>
          <w:sz w:val="24"/>
          <w:szCs w:val="24"/>
        </w:rPr>
        <w:t>新任基金</w:t>
      </w:r>
      <w:proofErr w:type="gramEnd"/>
      <w:r w:rsidRPr="00D05755">
        <w:rPr>
          <w:rFonts w:ascii="宋体" w:hAnsi="宋体" w:cs="宋体"/>
          <w:kern w:val="0"/>
          <w:sz w:val="24"/>
          <w:szCs w:val="24"/>
        </w:rPr>
        <w:t>托管人或者临时基金托管人应当及时接收。临时基金托管人或</w:t>
      </w:r>
      <w:proofErr w:type="gramStart"/>
      <w:r w:rsidRPr="00D05755">
        <w:rPr>
          <w:rFonts w:ascii="宋体" w:hAnsi="宋体" w:cs="宋体"/>
          <w:kern w:val="0"/>
          <w:sz w:val="24"/>
          <w:szCs w:val="24"/>
        </w:rPr>
        <w:t>新任基金</w:t>
      </w:r>
      <w:proofErr w:type="gramEnd"/>
      <w:r w:rsidRPr="00D05755">
        <w:rPr>
          <w:rFonts w:ascii="宋体" w:hAnsi="宋体" w:cs="宋体"/>
          <w:kern w:val="0"/>
          <w:sz w:val="24"/>
          <w:szCs w:val="24"/>
        </w:rPr>
        <w:t>托管人与基金管理人核对基金资产总值和基金资产净值；</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审计：基金托管人职责终止的，应当按照法律法规规定聘请符合《中华人民共和国证券法》规定的会计师事务所对基金财产进行审计，并将审计结果予以公告，同时报中国证监会备案，审计费用从基金财产中列支。</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（三）</w:t>
      </w:r>
      <w:r w:rsidRPr="00D05755">
        <w:rPr>
          <w:rFonts w:ascii="宋体" w:hAnsi="宋体" w:cs="宋体"/>
          <w:kern w:val="0"/>
          <w:sz w:val="24"/>
          <w:szCs w:val="24"/>
        </w:rPr>
        <w:t>基金管理人与基金托管人同时更换的条件和程序</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提名：如果基金管理人和基金托管人同时更换，由单独或合计持有基金</w:t>
      </w:r>
      <w:r w:rsidRPr="00D05755">
        <w:rPr>
          <w:rFonts w:ascii="宋体" w:hAnsi="宋体" w:cs="宋体"/>
          <w:kern w:val="0"/>
          <w:sz w:val="24"/>
          <w:szCs w:val="24"/>
        </w:rPr>
        <w:lastRenderedPageBreak/>
        <w:t>总份额10%以上（含10%）的基金份额持有人提名新的基金管理人和基金托管人；</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基金管理人和基金托管人的更换分别按上述程序进行；</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公告：</w:t>
      </w:r>
      <w:proofErr w:type="gramStart"/>
      <w:r w:rsidRPr="00D05755">
        <w:rPr>
          <w:rFonts w:ascii="宋体" w:hAnsi="宋体" w:cs="宋体"/>
          <w:kern w:val="0"/>
          <w:sz w:val="24"/>
          <w:szCs w:val="24"/>
        </w:rPr>
        <w:t>新任基金</w:t>
      </w:r>
      <w:proofErr w:type="gramEnd"/>
      <w:r w:rsidRPr="00D05755">
        <w:rPr>
          <w:rFonts w:ascii="宋体" w:hAnsi="宋体" w:cs="宋体"/>
          <w:kern w:val="0"/>
          <w:sz w:val="24"/>
          <w:szCs w:val="24"/>
        </w:rPr>
        <w:t>管理人和</w:t>
      </w:r>
      <w:proofErr w:type="gramStart"/>
      <w:r w:rsidRPr="00D05755">
        <w:rPr>
          <w:rFonts w:ascii="宋体" w:hAnsi="宋体" w:cs="宋体"/>
          <w:kern w:val="0"/>
          <w:sz w:val="24"/>
          <w:szCs w:val="24"/>
        </w:rPr>
        <w:t>新任基金</w:t>
      </w:r>
      <w:proofErr w:type="gramEnd"/>
      <w:r w:rsidRPr="00D05755">
        <w:rPr>
          <w:rFonts w:ascii="宋体" w:hAnsi="宋体" w:cs="宋体"/>
          <w:kern w:val="0"/>
          <w:sz w:val="24"/>
          <w:szCs w:val="24"/>
        </w:rPr>
        <w:t>托管人应在更换基金管理人和基金托管人的基金份额持有人大会决议生效后2日内在规定媒介上联合公告。</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三、</w:t>
      </w:r>
      <w:proofErr w:type="gramStart"/>
      <w:r w:rsidRPr="00D05755">
        <w:rPr>
          <w:rFonts w:ascii="宋体" w:hAnsi="宋体" w:cs="宋体"/>
          <w:kern w:val="0"/>
          <w:sz w:val="24"/>
          <w:szCs w:val="24"/>
        </w:rPr>
        <w:t>新任基金</w:t>
      </w:r>
      <w:proofErr w:type="gramEnd"/>
      <w:r w:rsidRPr="00D05755">
        <w:rPr>
          <w:rFonts w:ascii="宋体" w:hAnsi="宋体" w:cs="宋体"/>
          <w:kern w:val="0"/>
          <w:sz w:val="24"/>
          <w:szCs w:val="24"/>
        </w:rPr>
        <w:t>管理人或临时基金管理人接收基金管理业务，或</w:t>
      </w:r>
      <w:proofErr w:type="gramStart"/>
      <w:r w:rsidRPr="00D05755">
        <w:rPr>
          <w:rFonts w:ascii="宋体" w:hAnsi="宋体" w:cs="宋体"/>
          <w:kern w:val="0"/>
          <w:sz w:val="24"/>
          <w:szCs w:val="24"/>
        </w:rPr>
        <w:t>新任基金</w:t>
      </w:r>
      <w:proofErr w:type="gramEnd"/>
      <w:r w:rsidRPr="00D05755">
        <w:rPr>
          <w:rFonts w:ascii="宋体" w:hAnsi="宋体" w:cs="宋体"/>
          <w:kern w:val="0"/>
          <w:sz w:val="24"/>
          <w:szCs w:val="24"/>
        </w:rPr>
        <w:t>托管人或临时基金托管人接收基金财产和基金托管业务前，</w:t>
      </w:r>
      <w:proofErr w:type="gramStart"/>
      <w:r w:rsidRPr="00D05755">
        <w:rPr>
          <w:rFonts w:ascii="宋体" w:hAnsi="宋体" w:cs="宋体"/>
          <w:kern w:val="0"/>
          <w:sz w:val="24"/>
          <w:szCs w:val="24"/>
        </w:rPr>
        <w:t>原基金</w:t>
      </w:r>
      <w:proofErr w:type="gramEnd"/>
      <w:r w:rsidRPr="00D05755">
        <w:rPr>
          <w:rFonts w:ascii="宋体" w:hAnsi="宋体" w:cs="宋体"/>
          <w:kern w:val="0"/>
          <w:sz w:val="24"/>
          <w:szCs w:val="24"/>
        </w:rPr>
        <w:t>管理人或</w:t>
      </w:r>
      <w:proofErr w:type="gramStart"/>
      <w:r w:rsidRPr="00D05755">
        <w:rPr>
          <w:rFonts w:ascii="宋体" w:hAnsi="宋体" w:cs="宋体"/>
          <w:kern w:val="0"/>
          <w:sz w:val="24"/>
          <w:szCs w:val="24"/>
        </w:rPr>
        <w:t>原基金</w:t>
      </w:r>
      <w:proofErr w:type="gramEnd"/>
      <w:r w:rsidRPr="00D05755">
        <w:rPr>
          <w:rFonts w:ascii="宋体" w:hAnsi="宋体" w:cs="宋体"/>
          <w:kern w:val="0"/>
          <w:sz w:val="24"/>
          <w:szCs w:val="24"/>
        </w:rPr>
        <w:t>托管人应依据法律法规和《基金合同》的约定继续履行相关职责，并保证不做出对基金份额持有人的利益造成损害的行为。</w:t>
      </w:r>
      <w:proofErr w:type="gramStart"/>
      <w:r w:rsidRPr="00D05755">
        <w:rPr>
          <w:rFonts w:ascii="宋体" w:hAnsi="宋体" w:cs="宋体"/>
          <w:kern w:val="0"/>
          <w:sz w:val="24"/>
          <w:szCs w:val="24"/>
        </w:rPr>
        <w:t>原基金</w:t>
      </w:r>
      <w:proofErr w:type="gramEnd"/>
      <w:r w:rsidRPr="00D05755">
        <w:rPr>
          <w:rFonts w:ascii="宋体" w:hAnsi="宋体" w:cs="宋体"/>
          <w:kern w:val="0"/>
          <w:sz w:val="24"/>
          <w:szCs w:val="24"/>
        </w:rPr>
        <w:t>管理人或</w:t>
      </w:r>
      <w:proofErr w:type="gramStart"/>
      <w:r w:rsidRPr="00D05755">
        <w:rPr>
          <w:rFonts w:ascii="宋体" w:hAnsi="宋体" w:cs="宋体"/>
          <w:kern w:val="0"/>
          <w:sz w:val="24"/>
          <w:szCs w:val="24"/>
        </w:rPr>
        <w:t>原基金</w:t>
      </w:r>
      <w:proofErr w:type="gramEnd"/>
      <w:r w:rsidRPr="00D05755">
        <w:rPr>
          <w:rFonts w:ascii="宋体" w:hAnsi="宋体" w:cs="宋体"/>
          <w:kern w:val="0"/>
          <w:sz w:val="24"/>
          <w:szCs w:val="24"/>
        </w:rPr>
        <w:t>托管人在继续履行相关职责期间，仍有权按照《基金合同》的约定收取基金管理费（</w:t>
      </w:r>
      <w:r w:rsidRPr="00D05755">
        <w:rPr>
          <w:rFonts w:ascii="宋体" w:hAnsi="宋体" w:cs="宋体" w:hint="eastAsia"/>
          <w:kern w:val="0"/>
          <w:sz w:val="24"/>
          <w:szCs w:val="24"/>
        </w:rPr>
        <w:t>包括固定管理费、或有管理费和超额管理费</w:t>
      </w:r>
      <w:r w:rsidRPr="00D05755">
        <w:rPr>
          <w:rFonts w:ascii="宋体" w:hAnsi="宋体" w:cs="宋体"/>
          <w:kern w:val="0"/>
          <w:sz w:val="24"/>
          <w:szCs w:val="24"/>
        </w:rPr>
        <w:t>）或基金托管费。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四、</w:t>
      </w:r>
      <w:r w:rsidRPr="00D05755">
        <w:rPr>
          <w:rFonts w:ascii="宋体" w:hAnsi="宋体" w:cs="宋体"/>
          <w:kern w:val="0"/>
          <w:sz w:val="24"/>
          <w:szCs w:val="24"/>
        </w:rPr>
        <w:t>本部</w:t>
      </w:r>
      <w:proofErr w:type="gramStart"/>
      <w:r w:rsidRPr="00D05755">
        <w:rPr>
          <w:rFonts w:ascii="宋体" w:hAnsi="宋体" w:cs="宋体"/>
          <w:kern w:val="0"/>
          <w:sz w:val="24"/>
          <w:szCs w:val="24"/>
        </w:rPr>
        <w:t>分关于</w:t>
      </w:r>
      <w:proofErr w:type="gramEnd"/>
      <w:r w:rsidRPr="00D05755">
        <w:rPr>
          <w:rFonts w:ascii="宋体" w:hAnsi="宋体" w:cs="宋体"/>
          <w:kern w:val="0"/>
          <w:sz w:val="24"/>
          <w:szCs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57" w:name="_Toc256000009"/>
      <w:bookmarkEnd w:id="56"/>
      <w:r w:rsidRPr="00D05755">
        <w:rPr>
          <w:rFonts w:ascii="Times New Roman"/>
          <w:color w:val="auto"/>
          <w:sz w:val="30"/>
        </w:rPr>
        <w:lastRenderedPageBreak/>
        <w:t>第十部分</w:t>
      </w:r>
      <w:r w:rsidRPr="00D05755">
        <w:rPr>
          <w:rFonts w:ascii="Times New Roman"/>
          <w:color w:val="auto"/>
          <w:sz w:val="30"/>
        </w:rPr>
        <w:t xml:space="preserve">  </w:t>
      </w:r>
      <w:r w:rsidRPr="00D05755">
        <w:rPr>
          <w:rFonts w:ascii="Times New Roman"/>
          <w:color w:val="auto"/>
          <w:sz w:val="30"/>
        </w:rPr>
        <w:t>基金的托管</w:t>
      </w:r>
      <w:bookmarkEnd w:id="57"/>
    </w:p>
    <w:p w:rsidR="00E8691A" w:rsidRPr="00D05755" w:rsidRDefault="00E8691A"/>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基金托管人和基金管理人按照《基金法》、《基金合同》及其他有关规定订立托管协议。</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58" w:name="_Toc256000010"/>
      <w:r w:rsidRPr="00D05755">
        <w:rPr>
          <w:rFonts w:ascii="Times New Roman"/>
          <w:color w:val="auto"/>
          <w:sz w:val="30"/>
        </w:rPr>
        <w:lastRenderedPageBreak/>
        <w:t>第十一部分</w:t>
      </w:r>
      <w:r w:rsidRPr="00D05755">
        <w:rPr>
          <w:rFonts w:ascii="Times New Roman"/>
          <w:color w:val="auto"/>
          <w:sz w:val="30"/>
        </w:rPr>
        <w:t xml:space="preserve">  </w:t>
      </w:r>
      <w:r w:rsidRPr="00D05755">
        <w:rPr>
          <w:rFonts w:ascii="Times New Roman"/>
          <w:color w:val="auto"/>
          <w:sz w:val="30"/>
        </w:rPr>
        <w:t>基金份额的登记</w:t>
      </w:r>
      <w:bookmarkEnd w:id="58"/>
    </w:p>
    <w:p w:rsidR="00E8691A" w:rsidRPr="00D05755" w:rsidRDefault="00E8691A"/>
    <w:p w:rsidR="00E8691A" w:rsidRPr="00D05755" w:rsidRDefault="006E24B4">
      <w:pPr>
        <w:pStyle w:val="div"/>
        <w:spacing w:line="360" w:lineRule="auto"/>
        <w:ind w:firstLine="420"/>
        <w:jc w:val="left"/>
        <w:rPr>
          <w:rFonts w:eastAsia="Times New Roman"/>
          <w:kern w:val="0"/>
          <w:sz w:val="24"/>
          <w:szCs w:val="24"/>
        </w:rPr>
      </w:pPr>
      <w:bookmarkStart w:id="59" w:name="OLE_LINK23"/>
      <w:bookmarkStart w:id="60" w:name="OLE_LINK24"/>
      <w:r w:rsidRPr="00D05755">
        <w:rPr>
          <w:rStyle w:val="custom"/>
          <w:rFonts w:ascii="宋体" w:hAnsi="宋体" w:cs="宋体"/>
          <w:kern w:val="0"/>
          <w:sz w:val="24"/>
          <w:szCs w:val="24"/>
        </w:rPr>
        <w:t>一、</w:t>
      </w:r>
      <w:r w:rsidRPr="00D05755">
        <w:rPr>
          <w:rFonts w:ascii="宋体" w:hAnsi="宋体" w:cs="宋体"/>
          <w:kern w:val="0"/>
          <w:sz w:val="24"/>
          <w:szCs w:val="24"/>
        </w:rPr>
        <w:t>基金份额的登记业务</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D05755">
        <w:rPr>
          <w:rStyle w:val="custom"/>
          <w:rFonts w:ascii="宋体" w:hAnsi="宋体" w:cs="宋体"/>
          <w:kern w:val="0"/>
          <w:sz w:val="24"/>
          <w:szCs w:val="24"/>
        </w:rPr>
        <w:t>非交易</w:t>
      </w:r>
      <w:proofErr w:type="gramEnd"/>
      <w:r w:rsidRPr="00D05755">
        <w:rPr>
          <w:rStyle w:val="custom"/>
          <w:rFonts w:ascii="宋体" w:hAnsi="宋体" w:cs="宋体"/>
          <w:kern w:val="0"/>
          <w:sz w:val="24"/>
          <w:szCs w:val="24"/>
        </w:rPr>
        <w:t>过户等。</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基金登记业务办理机构</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w:t>
      </w:r>
      <w:r w:rsidRPr="00D05755">
        <w:rPr>
          <w:rStyle w:val="custom"/>
          <w:rFonts w:ascii="宋体" w:hAnsi="宋体" w:cs="宋体"/>
          <w:kern w:val="0"/>
          <w:sz w:val="24"/>
          <w:szCs w:val="24"/>
        </w:rPr>
        <w:t>以明确基金管理人和代理机构在投资者基金账户管理、</w:t>
      </w:r>
      <w:r w:rsidRPr="00D05755">
        <w:rPr>
          <w:rFonts w:ascii="宋体" w:hAnsi="宋体" w:cs="宋体"/>
          <w:kern w:val="0"/>
          <w:sz w:val="24"/>
          <w:szCs w:val="24"/>
        </w:rPr>
        <w:t>基金份额登记、清算及基金交易确认、发放红利、建立并保管基金份额持有人名册等事宜中的权利和义务，保护基金份额持有人的合法权益。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三、</w:t>
      </w:r>
      <w:r w:rsidRPr="00D05755">
        <w:rPr>
          <w:rFonts w:ascii="宋体" w:hAnsi="宋体" w:cs="宋体"/>
          <w:kern w:val="0"/>
          <w:sz w:val="24"/>
          <w:szCs w:val="24"/>
        </w:rPr>
        <w:t>基金登记机构的权利</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基金登记机构享有以下权利：</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取得登记费；</w:t>
      </w:r>
    </w:p>
    <w:p w:rsidR="00E8691A" w:rsidRPr="00D05755" w:rsidRDefault="006E24B4">
      <w:pPr>
        <w:pStyle w:val="div"/>
        <w:spacing w:line="360" w:lineRule="auto"/>
        <w:ind w:firstLine="420"/>
        <w:jc w:val="left"/>
        <w:rPr>
          <w:rFonts w:eastAsia="Times New Roman"/>
          <w:kern w:val="0"/>
          <w:sz w:val="24"/>
          <w:szCs w:val="24"/>
        </w:rPr>
      </w:pPr>
      <w:r w:rsidRPr="00D05755">
        <w:rPr>
          <w:rStyle w:val="serial-tag"/>
          <w:rFonts w:ascii="宋体" w:hAnsi="宋体" w:cs="宋体"/>
          <w:kern w:val="0"/>
          <w:sz w:val="24"/>
          <w:szCs w:val="24"/>
        </w:rPr>
        <w:t>2、</w:t>
      </w:r>
      <w:r w:rsidRPr="00D05755">
        <w:rPr>
          <w:rFonts w:ascii="宋体" w:hAnsi="宋体" w:cs="宋体"/>
          <w:kern w:val="0"/>
          <w:sz w:val="24"/>
          <w:szCs w:val="24"/>
        </w:rPr>
        <w:t>建立和管理投资者</w:t>
      </w:r>
      <w:r w:rsidRPr="00D05755">
        <w:rPr>
          <w:rStyle w:val="custom"/>
          <w:rFonts w:ascii="宋体" w:hAnsi="宋体" w:cs="宋体"/>
          <w:kern w:val="0"/>
          <w:sz w:val="24"/>
          <w:szCs w:val="24"/>
        </w:rPr>
        <w:t>基金账户</w:t>
      </w:r>
      <w:r w:rsidRPr="00D05755">
        <w:rPr>
          <w:rFonts w:ascii="宋体" w:hAnsi="宋体" w:cs="宋体"/>
          <w:kern w:val="0"/>
          <w:sz w:val="24"/>
          <w:szCs w:val="24"/>
        </w:rPr>
        <w:t>；</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保管基金份额持有人开户资料、交易资料、基金份额持有人名册等；</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在法律法规允许的范围内，对登记业务的办理时间进行调整，并依照有关规定于开始实施前在规定媒介上公告；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法律法规及中国证监会规定的和《基金合同》约定的其他权利。</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四、</w:t>
      </w:r>
      <w:r w:rsidRPr="00D05755">
        <w:rPr>
          <w:rFonts w:ascii="宋体" w:hAnsi="宋体" w:cs="宋体"/>
          <w:kern w:val="0"/>
          <w:sz w:val="24"/>
          <w:szCs w:val="24"/>
        </w:rPr>
        <w:t>基金登记机构的义务</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基金登记机构承担以下义务：</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配备足够的专业人员办理本基金份额的登记业务；</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严格按照法律法规和《基金合同》规定的条件办理本基金份额的登记业务；</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妥善保存登记数据，并将基金份额持有人名称、身份信息及基金份额明细等数据备份至中国证监会认定的机构。其保存期限自基金账户销户之日起不得少于20年；</w:t>
      </w:r>
    </w:p>
    <w:p w:rsidR="00E8691A" w:rsidRPr="00D05755" w:rsidRDefault="006E24B4">
      <w:pPr>
        <w:pStyle w:val="div"/>
        <w:spacing w:line="360" w:lineRule="auto"/>
        <w:ind w:firstLine="420"/>
        <w:rPr>
          <w:rFonts w:eastAsia="Times New Roman"/>
          <w:kern w:val="0"/>
          <w:sz w:val="24"/>
          <w:szCs w:val="24"/>
        </w:rPr>
      </w:pPr>
      <w:r w:rsidRPr="00D05755">
        <w:rPr>
          <w:rStyle w:val="serial-tag"/>
          <w:rFonts w:ascii="宋体" w:hAnsi="宋体" w:cs="宋体"/>
          <w:kern w:val="0"/>
          <w:sz w:val="24"/>
          <w:szCs w:val="24"/>
        </w:rPr>
        <w:lastRenderedPageBreak/>
        <w:t>4、</w:t>
      </w:r>
      <w:r w:rsidRPr="00D05755">
        <w:rPr>
          <w:rFonts w:ascii="宋体" w:hAnsi="宋体" w:cs="宋体"/>
          <w:kern w:val="0"/>
          <w:sz w:val="24"/>
          <w:szCs w:val="24"/>
        </w:rPr>
        <w:t>对基金份额持有人的</w:t>
      </w:r>
      <w:r w:rsidRPr="00D05755">
        <w:rPr>
          <w:rStyle w:val="custom"/>
          <w:rFonts w:ascii="宋体" w:hAnsi="宋体" w:cs="宋体"/>
          <w:kern w:val="0"/>
          <w:sz w:val="24"/>
          <w:szCs w:val="24"/>
        </w:rPr>
        <w:t>基金账户信息</w:t>
      </w:r>
      <w:r w:rsidRPr="00D05755">
        <w:rPr>
          <w:rFonts w:ascii="宋体" w:hAnsi="宋体" w:cs="宋体"/>
          <w:kern w:val="0"/>
          <w:sz w:val="24"/>
          <w:szCs w:val="24"/>
        </w:rPr>
        <w:t>负有保密义务，因违反该保密义务对投资者或基金带来的损失，须承担相应的赔偿责任，但司法强制检查情形及法律法规及中国证监会规定的和《基金合同》约定的其他情形除外；</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按《基金合同》及招募说明书规定为投资者办理</w:t>
      </w:r>
      <w:proofErr w:type="gramStart"/>
      <w:r w:rsidRPr="00D05755">
        <w:rPr>
          <w:rFonts w:ascii="宋体" w:hAnsi="宋体" w:cs="宋体"/>
          <w:kern w:val="0"/>
          <w:sz w:val="24"/>
          <w:szCs w:val="24"/>
        </w:rPr>
        <w:t>非交易</w:t>
      </w:r>
      <w:proofErr w:type="gramEnd"/>
      <w:r w:rsidRPr="00D05755">
        <w:rPr>
          <w:rFonts w:ascii="宋体" w:hAnsi="宋体" w:cs="宋体"/>
          <w:kern w:val="0"/>
          <w:sz w:val="24"/>
          <w:szCs w:val="24"/>
        </w:rPr>
        <w:t>过户业务、提供其他必要的服务；</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接受基金管理人的监督；</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法律法规及中国证监会规定的和《基金合同》约定的其他义务。</w:t>
      </w:r>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61" w:name="_Toc256000011"/>
      <w:bookmarkEnd w:id="59"/>
      <w:bookmarkEnd w:id="60"/>
      <w:r w:rsidRPr="00D05755">
        <w:rPr>
          <w:rFonts w:ascii="Times New Roman"/>
          <w:color w:val="auto"/>
          <w:sz w:val="30"/>
        </w:rPr>
        <w:lastRenderedPageBreak/>
        <w:t>第十二部分</w:t>
      </w:r>
      <w:r w:rsidRPr="00D05755">
        <w:rPr>
          <w:rFonts w:ascii="Times New Roman"/>
          <w:color w:val="auto"/>
          <w:sz w:val="30"/>
        </w:rPr>
        <w:t xml:space="preserve">  </w:t>
      </w:r>
      <w:r w:rsidRPr="00D05755">
        <w:rPr>
          <w:rFonts w:ascii="Times New Roman"/>
          <w:color w:val="auto"/>
          <w:sz w:val="30"/>
        </w:rPr>
        <w:t>基金的投资</w:t>
      </w:r>
      <w:bookmarkEnd w:id="61"/>
    </w:p>
    <w:p w:rsidR="00E8691A" w:rsidRPr="00D05755" w:rsidRDefault="00E8691A"/>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一、</w:t>
      </w:r>
      <w:r w:rsidRPr="00D05755">
        <w:rPr>
          <w:rFonts w:ascii="宋体" w:hAnsi="宋体" w:cs="宋体"/>
          <w:kern w:val="0"/>
          <w:sz w:val="24"/>
          <w:szCs w:val="24"/>
        </w:rPr>
        <w:t>投资目标</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本基金在严格控制组合风险的前提下，以基本面分析为立足点，精选金融优选主题相关优质上市公司，力争实现基金资产的长期稳健增值。</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投资范围</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w:t>
      </w:r>
      <w:proofErr w:type="gramStart"/>
      <w:r w:rsidRPr="00D05755">
        <w:rPr>
          <w:rStyle w:val="custom"/>
          <w:rFonts w:ascii="宋体" w:hAnsi="宋体" w:cs="宋体"/>
          <w:kern w:val="0"/>
          <w:sz w:val="24"/>
          <w:szCs w:val="24"/>
        </w:rPr>
        <w:t>券</w:t>
      </w:r>
      <w:proofErr w:type="gramEnd"/>
      <w:r w:rsidRPr="00D05755">
        <w:rPr>
          <w:rStyle w:val="custom"/>
          <w:rFonts w:ascii="宋体" w:hAnsi="宋体" w:cs="宋体"/>
          <w:kern w:val="0"/>
          <w:sz w:val="24"/>
          <w:szCs w:val="24"/>
        </w:rPr>
        <w:t>、超短期融资</w:t>
      </w:r>
      <w:proofErr w:type="gramStart"/>
      <w:r w:rsidRPr="00D05755">
        <w:rPr>
          <w:rStyle w:val="custom"/>
          <w:rFonts w:ascii="宋体" w:hAnsi="宋体" w:cs="宋体"/>
          <w:kern w:val="0"/>
          <w:sz w:val="24"/>
          <w:szCs w:val="24"/>
        </w:rPr>
        <w:t>券</w:t>
      </w:r>
      <w:proofErr w:type="gramEnd"/>
      <w:r w:rsidRPr="00D05755">
        <w:rPr>
          <w:rStyle w:val="custom"/>
          <w:rFonts w:ascii="宋体" w:hAnsi="宋体" w:cs="宋体"/>
          <w:kern w:val="0"/>
          <w:sz w:val="24"/>
          <w:szCs w:val="24"/>
        </w:rPr>
        <w:t>、次级债券、政府支持债券、政府支持机构债券、地方政府债券、可交换债券、可转换债券（含分离交易可转债）及其他经中国证监会允许投资的债券）、信用衍生品、股指期货、国债期货、股票期权、资产支持证券、</w:t>
      </w:r>
      <w:r w:rsidRPr="00D05755">
        <w:rPr>
          <w:rFonts w:ascii="宋体" w:hAnsi="宋体" w:cs="宋体"/>
          <w:kern w:val="0"/>
          <w:sz w:val="24"/>
          <w:szCs w:val="24"/>
        </w:rPr>
        <w:t>债券回购、同业存单、银行存款（包含协议存款、定期存款及其他银行存款）、货币市场工具以及法律法规或中国证监会允许基金投资的其他金融工具</w:t>
      </w:r>
      <w:r w:rsidRPr="00D05755">
        <w:rPr>
          <w:rStyle w:val="custom"/>
          <w:rFonts w:ascii="宋体" w:hAnsi="宋体" w:cs="宋体"/>
          <w:kern w:val="0"/>
          <w:sz w:val="24"/>
          <w:szCs w:val="24"/>
        </w:rPr>
        <w:t>(</w:t>
      </w:r>
      <w:r w:rsidRPr="00D05755">
        <w:rPr>
          <w:rFonts w:ascii="宋体" w:hAnsi="宋体" w:cs="宋体"/>
          <w:kern w:val="0"/>
          <w:sz w:val="24"/>
          <w:szCs w:val="24"/>
        </w:rPr>
        <w:t>但须符合中国证监会相关规定</w:t>
      </w:r>
      <w:r w:rsidRPr="00D05755">
        <w:rPr>
          <w:rStyle w:val="custom"/>
          <w:rFonts w:ascii="宋体" w:hAnsi="宋体" w:cs="宋体"/>
          <w:kern w:val="0"/>
          <w:sz w:val="24"/>
          <w:szCs w:val="24"/>
        </w:rPr>
        <w:t>)</w:t>
      </w:r>
      <w:r w:rsidRPr="00D05755">
        <w:rPr>
          <w:rFonts w:ascii="宋体" w:hAnsi="宋体" w:cs="宋体"/>
          <w:kern w:val="0"/>
          <w:sz w:val="24"/>
          <w:szCs w:val="24"/>
        </w:rPr>
        <w:t>。</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本基金还可根据法律法规参与融资业务。</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如法律法规或监管机构以后允许基金投资其他品种，基金管理人在履行适当程序后，可以将其纳入投资范围。</w:t>
      </w:r>
    </w:p>
    <w:p w:rsidR="00E8691A" w:rsidRPr="00D05755" w:rsidRDefault="006E24B4">
      <w:pPr>
        <w:pStyle w:val="div"/>
        <w:spacing w:line="360" w:lineRule="auto"/>
        <w:ind w:firstLine="420"/>
        <w:rPr>
          <w:rStyle w:val="custom"/>
          <w:rFonts w:eastAsia="Times New Roman"/>
          <w:kern w:val="0"/>
          <w:sz w:val="24"/>
          <w:szCs w:val="24"/>
        </w:rPr>
      </w:pPr>
      <w:r w:rsidRPr="00D05755">
        <w:rPr>
          <w:rFonts w:ascii="宋体" w:hAnsi="宋体" w:cs="宋体"/>
          <w:kern w:val="0"/>
          <w:sz w:val="24"/>
          <w:szCs w:val="24"/>
        </w:rPr>
        <w:t>基金的投资组合比例为：</w:t>
      </w:r>
      <w:bookmarkStart w:id="62" w:name="OLE_LINK1"/>
      <w:r w:rsidRPr="00D05755">
        <w:rPr>
          <w:rStyle w:val="custom"/>
          <w:rFonts w:ascii="宋体" w:hAnsi="宋体" w:cs="宋体"/>
          <w:kern w:val="0"/>
          <w:sz w:val="24"/>
          <w:szCs w:val="24"/>
        </w:rPr>
        <w:t>本基金股票资产占基金资产的比例为60%-95%，其中，投资于港股通标的股票的比例不超过股票资产的50%。本基金投资于</w:t>
      </w:r>
      <w:r w:rsidRPr="00D05755">
        <w:rPr>
          <w:rStyle w:val="custom"/>
          <w:rFonts w:ascii="宋体" w:hAnsi="宋体" w:cs="宋体" w:hint="eastAsia"/>
          <w:kern w:val="0"/>
          <w:sz w:val="24"/>
          <w:szCs w:val="24"/>
        </w:rPr>
        <w:t>金融</w:t>
      </w:r>
      <w:r w:rsidRPr="00D05755">
        <w:rPr>
          <w:rStyle w:val="custom"/>
          <w:rFonts w:ascii="宋体" w:hAnsi="宋体" w:cs="宋体"/>
          <w:kern w:val="0"/>
          <w:sz w:val="24"/>
          <w:szCs w:val="24"/>
        </w:rPr>
        <w:t>优选主题相关的股票比例不低于非现金基金资产的80%。每个交易日日终在扣除国债期货、股指期货和股票期权合约需缴纳的交易保证金后，本基金保留的现金或投资于到期日在一年以内的政府债券的比例合计不低于基金资产净值的5%。</w:t>
      </w:r>
      <w:r w:rsidRPr="00D05755">
        <w:rPr>
          <w:rFonts w:ascii="宋体" w:hAnsi="宋体" w:cs="宋体"/>
          <w:kern w:val="0"/>
          <w:sz w:val="24"/>
          <w:szCs w:val="24"/>
        </w:rPr>
        <w:t>其中现金不包括结算备付金、存出保证金、应收申购款等。</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如法律法规或监管机构变更投资品种的投资比例限制，基金管理人在履行适当程序后，可以调整上述投资品种的投资比例。</w:t>
      </w:r>
    </w:p>
    <w:bookmarkEnd w:id="62"/>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三、</w:t>
      </w:r>
      <w:r w:rsidRPr="00D05755">
        <w:rPr>
          <w:rFonts w:ascii="宋体" w:hAnsi="宋体" w:cs="宋体"/>
          <w:kern w:val="0"/>
          <w:sz w:val="24"/>
          <w:szCs w:val="24"/>
        </w:rPr>
        <w:t>投资策略</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本基金将在有效控制风险的前提下，采用科学的资产配置策略和个股精选策略，定量与定性分析相结合，力争实现基金资产的长期</w:t>
      </w:r>
      <w:r w:rsidRPr="00D05755">
        <w:rPr>
          <w:rStyle w:val="custom"/>
          <w:rFonts w:ascii="宋体" w:hAnsi="宋体" w:cs="宋体" w:hint="eastAsia"/>
          <w:kern w:val="0"/>
          <w:sz w:val="24"/>
          <w:szCs w:val="24"/>
        </w:rPr>
        <w:t>稳健增值</w:t>
      </w:r>
      <w:r w:rsidRPr="00D05755">
        <w:rPr>
          <w:rStyle w:val="custom"/>
          <w:rFonts w:ascii="宋体" w:hAnsi="宋体" w:cs="宋体"/>
          <w:kern w:val="0"/>
          <w:sz w:val="24"/>
          <w:szCs w:val="24"/>
        </w:rPr>
        <w:t>。</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lastRenderedPageBreak/>
        <w:t>1、资产配置策略</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本基金综合分析和持续跟踪基本面、政策面、市场面等多方面因素，结合全球宏观经济形势，</w:t>
      </w:r>
      <w:proofErr w:type="gramStart"/>
      <w:r w:rsidRPr="00D05755">
        <w:rPr>
          <w:rStyle w:val="custom"/>
          <w:rFonts w:ascii="宋体" w:hAnsi="宋体" w:cs="宋体"/>
          <w:kern w:val="0"/>
          <w:sz w:val="24"/>
          <w:szCs w:val="24"/>
        </w:rPr>
        <w:t>研</w:t>
      </w:r>
      <w:proofErr w:type="gramEnd"/>
      <w:r w:rsidRPr="00D05755">
        <w:rPr>
          <w:rStyle w:val="custom"/>
          <w:rFonts w:ascii="宋体" w:hAnsi="宋体" w:cs="宋体"/>
          <w:kern w:val="0"/>
          <w:sz w:val="24"/>
          <w:szCs w:val="24"/>
        </w:rPr>
        <w:t>判国内外经济的发展趋势，并在严格控制投资组合风险的前提下，对</w:t>
      </w:r>
      <w:r w:rsidRPr="00D05755">
        <w:rPr>
          <w:rStyle w:val="custom"/>
          <w:rFonts w:ascii="宋体" w:hAnsi="宋体" w:cs="宋体" w:hint="eastAsia"/>
          <w:kern w:val="0"/>
          <w:sz w:val="24"/>
          <w:szCs w:val="24"/>
        </w:rPr>
        <w:t>投资</w:t>
      </w:r>
      <w:r w:rsidRPr="00D05755">
        <w:rPr>
          <w:rStyle w:val="custom"/>
          <w:rFonts w:ascii="宋体" w:hAnsi="宋体" w:cs="宋体"/>
          <w:kern w:val="0"/>
          <w:sz w:val="24"/>
          <w:szCs w:val="24"/>
        </w:rPr>
        <w:t>组合中股票、债券、货币市场工具、金融衍生品和法律法规或中国证监会允许基金投资的其他品种的投资比例进行战略配置和动态调整，以</w:t>
      </w:r>
      <w:r w:rsidRPr="00D05755">
        <w:rPr>
          <w:rStyle w:val="custom"/>
          <w:rFonts w:ascii="宋体" w:hAnsi="宋体" w:cs="宋体" w:hint="eastAsia"/>
          <w:kern w:val="0"/>
          <w:sz w:val="24"/>
          <w:szCs w:val="24"/>
        </w:rPr>
        <w:t>期</w:t>
      </w:r>
      <w:r w:rsidRPr="00D05755">
        <w:rPr>
          <w:rStyle w:val="custom"/>
          <w:rFonts w:ascii="宋体" w:hAnsi="宋体" w:cs="宋体"/>
          <w:kern w:val="0"/>
          <w:sz w:val="24"/>
          <w:szCs w:val="24"/>
        </w:rPr>
        <w:t>分散市场风险，力争实现基金资产的</w:t>
      </w:r>
      <w:r w:rsidRPr="00D05755">
        <w:rPr>
          <w:rStyle w:val="custom"/>
          <w:rFonts w:ascii="宋体" w:hAnsi="宋体" w:cs="宋体" w:hint="eastAsia"/>
          <w:kern w:val="0"/>
          <w:sz w:val="24"/>
          <w:szCs w:val="24"/>
        </w:rPr>
        <w:t>长期稳健增值</w:t>
      </w:r>
      <w:r w:rsidRPr="00D05755">
        <w:rPr>
          <w:rStyle w:val="custom"/>
          <w:rFonts w:ascii="宋体" w:hAnsi="宋体" w:cs="宋体"/>
          <w:kern w:val="0"/>
          <w:sz w:val="24"/>
          <w:szCs w:val="24"/>
        </w:rPr>
        <w:t>。</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2、个股精选策略</w:t>
      </w:r>
    </w:p>
    <w:p w:rsidR="00E8691A" w:rsidRPr="00D05755" w:rsidRDefault="006E24B4">
      <w:pPr>
        <w:spacing w:line="271" w:lineRule="auto"/>
        <w:ind w:firstLine="480"/>
        <w:rPr>
          <w:rStyle w:val="custom"/>
          <w:rFonts w:ascii="宋体" w:hAnsi="宋体" w:cs="宋体"/>
          <w:kern w:val="0"/>
          <w:sz w:val="24"/>
          <w:szCs w:val="24"/>
        </w:rPr>
      </w:pPr>
      <w:r w:rsidRPr="00D05755">
        <w:rPr>
          <w:rStyle w:val="custom"/>
          <w:rFonts w:ascii="宋体" w:hAnsi="宋体" w:cs="宋体"/>
          <w:kern w:val="0"/>
          <w:sz w:val="24"/>
          <w:szCs w:val="24"/>
        </w:rPr>
        <w:t>（1）金融优选主题界定</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本基金界定的金融优选主题主要包括以下公司：</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1、经营金融商品的传统机构，</w:t>
      </w:r>
      <w:r w:rsidRPr="00D05755">
        <w:rPr>
          <w:rStyle w:val="custom"/>
          <w:rFonts w:ascii="宋体" w:hAnsi="宋体" w:cs="宋体" w:hint="eastAsia"/>
          <w:kern w:val="0"/>
          <w:sz w:val="24"/>
          <w:szCs w:val="24"/>
        </w:rPr>
        <w:t>包括</w:t>
      </w:r>
      <w:r w:rsidRPr="00D05755">
        <w:rPr>
          <w:rStyle w:val="custom"/>
          <w:rFonts w:ascii="宋体" w:hAnsi="宋体" w:cs="宋体"/>
          <w:kern w:val="0"/>
          <w:sz w:val="24"/>
          <w:szCs w:val="24"/>
        </w:rPr>
        <w:t>银行、保险、证券、信托、期货、资产管理及其他多元金融公司等；</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2、提供金融产品和金融服务的其他机构，包括第三方支付、融资租赁、资金借贷、金融控股、金融科技与金融信息服务、证券交易所等。</w:t>
      </w:r>
    </w:p>
    <w:p w:rsidR="00E8691A" w:rsidRPr="00D05755" w:rsidRDefault="006E24B4">
      <w:pPr>
        <w:pStyle w:val="div"/>
        <w:spacing w:line="360" w:lineRule="auto"/>
        <w:ind w:firstLine="420"/>
        <w:rPr>
          <w:rStyle w:val="custom"/>
          <w:rFonts w:ascii="宋体" w:hAnsi="宋体" w:cs="宋体"/>
          <w:kern w:val="0"/>
          <w:sz w:val="24"/>
          <w:szCs w:val="24"/>
        </w:rPr>
      </w:pPr>
      <w:r w:rsidRPr="00D05755">
        <w:rPr>
          <w:rFonts w:ascii="宋体" w:hAnsi="宋体" w:cs="宋体"/>
          <w:kern w:val="0"/>
          <w:sz w:val="24"/>
          <w:szCs w:val="24"/>
        </w:rPr>
        <w:t>未来随着科技进步、政策或市场环境发生变化导致本基金对相关主题的界定范围发生变动，</w:t>
      </w:r>
      <w:r w:rsidRPr="00D05755">
        <w:rPr>
          <w:rFonts w:ascii="宋体" w:hAnsi="宋体" w:cs="宋体" w:hint="eastAsia"/>
          <w:kern w:val="0"/>
          <w:sz w:val="24"/>
          <w:szCs w:val="24"/>
        </w:rPr>
        <w:t>基金管理人可在履行适当程序后</w:t>
      </w:r>
      <w:r w:rsidRPr="00D05755">
        <w:rPr>
          <w:rFonts w:ascii="宋体" w:hAnsi="宋体" w:cs="宋体"/>
          <w:kern w:val="0"/>
          <w:sz w:val="24"/>
          <w:szCs w:val="24"/>
        </w:rPr>
        <w:t>调整上述界定标准，并在更新的招募说明书中进行公告。</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（2）股票库的构建</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将结合定量评估、定性分析和估值分析来综合评估备选公司的投资价值，精选行业背景良好、商业模式清晰、公司治理优良、竞争优势突出且估值相对合理的上市公司。具体而言，主要考虑以下几方面因素：</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1）治理结构、公司管理层和财务状况评价</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主要从股东结构和激励约束机制两方面对公司治理进行分析。股东结构主要从股东背景、股权变更情况、关联交易、独立性等方面予以考察，激励约束机制则从股权激励、管理层与股东利益的一致性等方面考察。</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本基金将致力于寻找中国优秀的企业家以及其管理的企业。优秀的企业家具备出色的经营才能，而且怀着清晰、长期的愿景，充满激情，不懈努力，执行力强。</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本基金投资标的</w:t>
      </w:r>
      <w:proofErr w:type="gramStart"/>
      <w:r w:rsidRPr="00D05755">
        <w:rPr>
          <w:rStyle w:val="custom"/>
          <w:rFonts w:ascii="宋体" w:hAnsi="宋体" w:cs="宋体"/>
          <w:kern w:val="0"/>
          <w:sz w:val="24"/>
          <w:szCs w:val="24"/>
        </w:rPr>
        <w:t>的</w:t>
      </w:r>
      <w:proofErr w:type="gramEnd"/>
      <w:r w:rsidRPr="00D05755">
        <w:rPr>
          <w:rStyle w:val="custom"/>
          <w:rFonts w:ascii="宋体" w:hAnsi="宋体" w:cs="宋体"/>
          <w:kern w:val="0"/>
          <w:sz w:val="24"/>
          <w:szCs w:val="24"/>
        </w:rPr>
        <w:t>财务状况应当健康和稳健。通过对目标企业的资产负债、损益、现金流量的分析，评估企业盈利能力、营运能力、偿债能力及增长能力等财务状况。</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lastRenderedPageBreak/>
        <w:t>2）企业竞争优势评估</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3）行业背景和商业模式分析</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主要从行业集中度和行业地位两方面对行业背景进行分析，优选具有较好的行业集中度及行业地位，并具备独特核心竞争优势的企业。企业所在行业有一定的集中度，其主导产品的市场份额高于市场平均水准，而且在经营许可、规模、资源、技术、品牌、创新能力等一个或数个方面具有竞争对手在中长期时间内难以模仿的优势。</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优秀的商业模式通常有以下两种：第一，较强的定价能力，在行业地位领先且稳固，对上下游具有较强的议价能力，能够通过不断提升产品价格或降低成本以提高盈利能力，即使在宏观经济向下的阶段，能够通过控制产量等方式延缓甚至避免价格的下跌；第二，扩张成本低，即利润增长对资本的需求和依赖较低，表现在财务数据上就是净资产收益率高，很少或者几乎不需要股权融资就可以实现较高增长，最好商业模式能够较快复制，能够以较快的速度形成规模效益。</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w:t>
      </w:r>
      <w:r w:rsidRPr="00D05755">
        <w:rPr>
          <w:rStyle w:val="custom"/>
          <w:rFonts w:ascii="宋体" w:hAnsi="宋体" w:cs="宋体" w:hint="eastAsia"/>
          <w:kern w:val="0"/>
          <w:sz w:val="24"/>
          <w:szCs w:val="24"/>
        </w:rPr>
        <w:t>）</w:t>
      </w:r>
      <w:r w:rsidRPr="00D05755">
        <w:rPr>
          <w:rStyle w:val="custom"/>
          <w:rFonts w:ascii="宋体" w:hAnsi="宋体" w:cs="宋体"/>
          <w:kern w:val="0"/>
          <w:sz w:val="24"/>
          <w:szCs w:val="24"/>
        </w:rPr>
        <w:t>ESG评价优选</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将根据环境（E）、社会（S）和公司治理（G）三个方面的指标对上市公司进行综合评价，在传统财务指标以外评估企业经营的可持续性，对社会的影响，以及公司治理层面的道德水平。以期从ESG的投资理念中找寻真正能够对企业绩效、对企业可持续发展带来贡献的因素。</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具体而言本基金将结合公开披露的信息和主动调研的情况，分为E、S、G三个大类进行评分。E评分指标包括但不限于产业环境风险、资源使用效率、清洁环保投入、环境信息披露水平、监管处罚等方面评估上市公司的环境责任情况；S评分指标包括但不限于对员工的责任、客户和消费者责任、供应链责任、产品质量、纳税贡献、慈善事业发展状况等多个方面评估公司的社会责任情况；G评分指标包括但不限于商业道德、董事会及管理层、股东及股权结构、高管薪酬及</w:t>
      </w:r>
      <w:r w:rsidRPr="00D05755">
        <w:rPr>
          <w:rStyle w:val="custom"/>
          <w:rFonts w:ascii="宋体" w:hAnsi="宋体" w:cs="宋体"/>
          <w:kern w:val="0"/>
          <w:sz w:val="24"/>
          <w:szCs w:val="24"/>
        </w:rPr>
        <w:lastRenderedPageBreak/>
        <w:t>激励、分红、财务治理、信息披露透明度等多个方面评估上市公司的治理水平。对以上各细分指标进行定期（一般为中期报告或年度报告时点）或不定期（突发事件）综合评定，再根据公司内部研究体系设定的不同行业加权计算综合得分，并且参考外部第三方ESG评价体系，作为投资评价依据，选择各行业中ESG评价结果优秀的公司进入本基金的核心股票库。</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5）估值精选</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本基金将根据企业所在行业所适用的估值指标进行价值评估，选择股价没有充分反映其长期投资价值的标的，权衡风险收益特征后，构建投资组合。</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3、港股通标的股票的投资策略</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考虑到香港股票市场与A股股票市场的差异，对于港股通标的股票，本基金除按照上述“自下而上”的个股精选策略，还将结合公司基本面、国内经济和相关行业发展前景、香港市场资金面和投资者行为，以及世界主要经济体经济发展前景和货币政策、主流资本市场对投资者的相对吸引力等因素，精选符合本基金投资目标的</w:t>
      </w:r>
      <w:r w:rsidRPr="00D05755">
        <w:rPr>
          <w:rStyle w:val="custom"/>
          <w:rFonts w:ascii="宋体" w:hAnsi="宋体" w:cs="宋体" w:hint="eastAsia"/>
          <w:kern w:val="0"/>
          <w:sz w:val="24"/>
          <w:szCs w:val="24"/>
        </w:rPr>
        <w:t>港股通标的</w:t>
      </w:r>
      <w:r w:rsidRPr="00D05755">
        <w:rPr>
          <w:rStyle w:val="custom"/>
          <w:rFonts w:ascii="宋体" w:hAnsi="宋体" w:cs="宋体"/>
          <w:kern w:val="0"/>
          <w:sz w:val="24"/>
          <w:szCs w:val="24"/>
        </w:rPr>
        <w:t>股票。</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4、存托凭证的投资策略</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本基金投资存托凭证的策略依照上述境内上市交易的股票投资策略执行。</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5、债券投资策略</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本基金管理人将基于对国内外宏观经济形势的深入分析、国内外财政政策与货币市场政策等因素对债券市场的影响，进行合理的利率预期，判断债券市场的基本走势，</w:t>
      </w:r>
      <w:proofErr w:type="gramStart"/>
      <w:r w:rsidRPr="00D05755">
        <w:rPr>
          <w:rStyle w:val="custom"/>
          <w:rFonts w:ascii="宋体" w:hAnsi="宋体" w:cs="宋体"/>
          <w:kern w:val="0"/>
          <w:sz w:val="24"/>
          <w:szCs w:val="24"/>
        </w:rPr>
        <w:t>制定久期控制</w:t>
      </w:r>
      <w:proofErr w:type="gramEnd"/>
      <w:r w:rsidRPr="00D05755">
        <w:rPr>
          <w:rStyle w:val="custom"/>
          <w:rFonts w:ascii="宋体" w:hAnsi="宋体" w:cs="宋体"/>
          <w:kern w:val="0"/>
          <w:sz w:val="24"/>
          <w:szCs w:val="24"/>
        </w:rPr>
        <w:t>下的资产类属配置策略。在债券投资组合构建和管理过程中，本基金管理人将具体采用期限结构配置、市场转换、信用利差和相对价值判断、信用风险评估、现金管理等管理手段进行个</w:t>
      </w:r>
      <w:proofErr w:type="gramStart"/>
      <w:r w:rsidRPr="00D05755">
        <w:rPr>
          <w:rStyle w:val="custom"/>
          <w:rFonts w:ascii="宋体" w:hAnsi="宋体" w:cs="宋体"/>
          <w:kern w:val="0"/>
          <w:sz w:val="24"/>
          <w:szCs w:val="24"/>
        </w:rPr>
        <w:t>券</w:t>
      </w:r>
      <w:proofErr w:type="gramEnd"/>
      <w:r w:rsidRPr="00D05755">
        <w:rPr>
          <w:rStyle w:val="custom"/>
          <w:rFonts w:ascii="宋体" w:hAnsi="宋体" w:cs="宋体"/>
          <w:kern w:val="0"/>
          <w:sz w:val="24"/>
          <w:szCs w:val="24"/>
        </w:rPr>
        <w:t>选择。</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6、可转债及可交换债投资策略</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对于本基金中可转债的投资，本基金主要采用可转</w:t>
      </w:r>
      <w:proofErr w:type="gramStart"/>
      <w:r w:rsidRPr="00D05755">
        <w:rPr>
          <w:rStyle w:val="custom"/>
          <w:rFonts w:ascii="宋体" w:hAnsi="宋体" w:cs="宋体"/>
          <w:kern w:val="0"/>
          <w:sz w:val="24"/>
          <w:szCs w:val="24"/>
        </w:rPr>
        <w:t>债相对</w:t>
      </w:r>
      <w:proofErr w:type="gramEnd"/>
      <w:r w:rsidRPr="00D05755">
        <w:rPr>
          <w:rStyle w:val="custom"/>
          <w:rFonts w:ascii="宋体" w:hAnsi="宋体" w:cs="宋体"/>
          <w:kern w:val="0"/>
          <w:sz w:val="24"/>
          <w:szCs w:val="24"/>
        </w:rPr>
        <w:t>价值分析策略。</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由于可转债</w:t>
      </w:r>
      <w:proofErr w:type="gramStart"/>
      <w:r w:rsidRPr="00D05755">
        <w:rPr>
          <w:rStyle w:val="custom"/>
          <w:rFonts w:ascii="宋体" w:hAnsi="宋体" w:cs="宋体"/>
          <w:kern w:val="0"/>
          <w:sz w:val="24"/>
          <w:szCs w:val="24"/>
        </w:rPr>
        <w:t>兼具债性和</w:t>
      </w:r>
      <w:proofErr w:type="gramEnd"/>
      <w:r w:rsidRPr="00D05755">
        <w:rPr>
          <w:rStyle w:val="custom"/>
          <w:rFonts w:ascii="宋体" w:hAnsi="宋体" w:cs="宋体"/>
          <w:kern w:val="0"/>
          <w:sz w:val="24"/>
          <w:szCs w:val="24"/>
        </w:rPr>
        <w:t>股性，其投资风险和收益介于股票和债券之间，可转</w:t>
      </w:r>
      <w:proofErr w:type="gramStart"/>
      <w:r w:rsidRPr="00D05755">
        <w:rPr>
          <w:rStyle w:val="custom"/>
          <w:rFonts w:ascii="宋体" w:hAnsi="宋体" w:cs="宋体"/>
          <w:kern w:val="0"/>
          <w:sz w:val="24"/>
          <w:szCs w:val="24"/>
        </w:rPr>
        <w:t>债相对</w:t>
      </w:r>
      <w:proofErr w:type="gramEnd"/>
      <w:r w:rsidRPr="00D05755">
        <w:rPr>
          <w:rStyle w:val="custom"/>
          <w:rFonts w:ascii="宋体" w:hAnsi="宋体" w:cs="宋体"/>
          <w:kern w:val="0"/>
          <w:sz w:val="24"/>
          <w:szCs w:val="24"/>
        </w:rPr>
        <w:t>价值分析策略通过分析不同市场环境下其股性</w:t>
      </w:r>
      <w:proofErr w:type="gramStart"/>
      <w:r w:rsidRPr="00D05755">
        <w:rPr>
          <w:rStyle w:val="custom"/>
          <w:rFonts w:ascii="宋体" w:hAnsi="宋体" w:cs="宋体"/>
          <w:kern w:val="0"/>
          <w:sz w:val="24"/>
          <w:szCs w:val="24"/>
        </w:rPr>
        <w:t>和债性</w:t>
      </w:r>
      <w:proofErr w:type="gramEnd"/>
      <w:r w:rsidRPr="00D05755">
        <w:rPr>
          <w:rStyle w:val="custom"/>
          <w:rFonts w:ascii="宋体" w:hAnsi="宋体" w:cs="宋体"/>
          <w:kern w:val="0"/>
          <w:sz w:val="24"/>
          <w:szCs w:val="24"/>
        </w:rPr>
        <w:t>的相对价值，把握可转债的价值走向，选择相应券种，力争获取较高投资收益。</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其次，在进行可转债筛选时，本基金还对可转债自身的基本面要素进行综合分析，这些基本面要素</w:t>
      </w:r>
      <w:proofErr w:type="gramStart"/>
      <w:r w:rsidRPr="00D05755">
        <w:rPr>
          <w:rStyle w:val="custom"/>
          <w:rFonts w:ascii="宋体" w:hAnsi="宋体" w:cs="宋体"/>
          <w:kern w:val="0"/>
          <w:sz w:val="24"/>
          <w:szCs w:val="24"/>
        </w:rPr>
        <w:t>包括股</w:t>
      </w:r>
      <w:proofErr w:type="gramEnd"/>
      <w:r w:rsidRPr="00D05755">
        <w:rPr>
          <w:rStyle w:val="custom"/>
          <w:rFonts w:ascii="宋体" w:hAnsi="宋体" w:cs="宋体"/>
          <w:kern w:val="0"/>
          <w:sz w:val="24"/>
          <w:szCs w:val="24"/>
        </w:rPr>
        <w:t>性特征、</w:t>
      </w:r>
      <w:proofErr w:type="gramStart"/>
      <w:r w:rsidRPr="00D05755">
        <w:rPr>
          <w:rStyle w:val="custom"/>
          <w:rFonts w:ascii="宋体" w:hAnsi="宋体" w:cs="宋体"/>
          <w:kern w:val="0"/>
          <w:sz w:val="24"/>
          <w:szCs w:val="24"/>
        </w:rPr>
        <w:t>债性特征</w:t>
      </w:r>
      <w:proofErr w:type="gramEnd"/>
      <w:r w:rsidRPr="00D05755">
        <w:rPr>
          <w:rStyle w:val="custom"/>
          <w:rFonts w:ascii="宋体" w:hAnsi="宋体" w:cs="宋体"/>
          <w:kern w:val="0"/>
          <w:sz w:val="24"/>
          <w:szCs w:val="24"/>
        </w:rPr>
        <w:t>、摊薄率、流动性等，形成对基</w:t>
      </w:r>
      <w:r w:rsidRPr="00D05755">
        <w:rPr>
          <w:rStyle w:val="custom"/>
          <w:rFonts w:ascii="宋体" w:hAnsi="宋体" w:cs="宋体"/>
          <w:kern w:val="0"/>
          <w:sz w:val="24"/>
          <w:szCs w:val="24"/>
        </w:rPr>
        <w:lastRenderedPageBreak/>
        <w:t>础股票的价值评估。本基金将可转债自身的基本面分析和其基础股票的基本面分析结合在一起，最终确定投资的品种。</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可交换债券与可转换债券的区别在于换股期间用于交换的股票并非自身新发的股票，而是发行人持有的其他上市公司的股票。可交换债券同样具有债券属性和权益属性，其中债券属性与可转换债券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7、资产支持证券投资策略</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本基金将在宏观经济和基本面分析的基础上，对资产支持证券标的资产的质量和构成、利率风险、信用风险、流动性风险和提前偿付风险等进行分析，评估其相对投资价值并</w:t>
      </w:r>
      <w:proofErr w:type="gramStart"/>
      <w:r w:rsidRPr="00D05755">
        <w:rPr>
          <w:rStyle w:val="custom"/>
          <w:rFonts w:ascii="宋体" w:hAnsi="宋体" w:cs="宋体"/>
          <w:kern w:val="0"/>
          <w:sz w:val="24"/>
          <w:szCs w:val="24"/>
        </w:rPr>
        <w:t>作出</w:t>
      </w:r>
      <w:proofErr w:type="gramEnd"/>
      <w:r w:rsidRPr="00D05755">
        <w:rPr>
          <w:rStyle w:val="custom"/>
          <w:rFonts w:ascii="宋体" w:hAnsi="宋体" w:cs="宋体"/>
          <w:kern w:val="0"/>
          <w:sz w:val="24"/>
          <w:szCs w:val="24"/>
        </w:rPr>
        <w:t>相应的投资决策，以在控制风险的前提下尽可能的提高本基金的收益。</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在资产支持证券的选择上，本基金将采取“自上而下”和“自下而上”相结合的策略。“自上而下”投资策略指在</w:t>
      </w:r>
      <w:proofErr w:type="gramStart"/>
      <w:r w:rsidRPr="00D05755">
        <w:rPr>
          <w:rStyle w:val="custom"/>
          <w:rFonts w:ascii="宋体" w:hAnsi="宋体" w:cs="宋体"/>
          <w:kern w:val="0"/>
          <w:sz w:val="24"/>
          <w:szCs w:val="24"/>
        </w:rPr>
        <w:t>平均久期配置</w:t>
      </w:r>
      <w:proofErr w:type="gramEnd"/>
      <w:r w:rsidRPr="00D05755">
        <w:rPr>
          <w:rStyle w:val="custom"/>
          <w:rFonts w:ascii="宋体" w:hAnsi="宋体" w:cs="宋体"/>
          <w:kern w:val="0"/>
          <w:sz w:val="24"/>
          <w:szCs w:val="24"/>
        </w:rPr>
        <w:t>策略与期限结构配置策略基础上，本基金运用数量化或定性分析方法对资产支持证券的利率风险、提前偿付风险、流动性风险溢价、税收溢价等因素进行分析，对收益率走势及其收益和风险进行判断。“自下而上”投资策略指运用数量化或定性分析方法对资产池信用风险进行分析和度量，选择风险与收益相匹配的更优品种进行配置。</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8、股指期货投资策略</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投资股指期货将根据风险管理的原则，以套期保值为目的，充分考虑股指期货的收益性、流动性及风险性特征，运用股指期货对冲系统性风险、对冲特殊情况下的流动性风险，如大额申购赎回等，以降低交易成本和组合风险，提高投资效率。</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9、国债期货投资策略</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投资国债期货将根据风险管理的原则，以套期保值为目的，结合对宏观经济形势和政策趋势的判断、对债券市场进行定性和定量分析，对国债期货和现货基差、国债期货的流动性、波动水平等指标进行跟踪监控。</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10、股票期权投资策略</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lastRenderedPageBreak/>
        <w:t>本基金投资股票期权将按照风险管理的原则，以套期保值为主要目的，结合投资目标、比例限制、风险收益特征以及法律法规的相关限定和要求，确定参与股票期权交易的投资时机和投资比例。</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未来如法律法规或监管机构允许基金投资股指期权或其他期权品种，本基金将在履行适当程序后，纳入投资范围并制定相应投资策略，并在招募说明书中更新公告。</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11、信用衍生</w:t>
      </w:r>
      <w:proofErr w:type="gramStart"/>
      <w:r w:rsidRPr="00D05755">
        <w:rPr>
          <w:rStyle w:val="custom"/>
          <w:rFonts w:ascii="宋体" w:hAnsi="宋体" w:cs="宋体"/>
          <w:kern w:val="0"/>
          <w:sz w:val="24"/>
          <w:szCs w:val="24"/>
        </w:rPr>
        <w:t>品投资</w:t>
      </w:r>
      <w:proofErr w:type="gramEnd"/>
      <w:r w:rsidRPr="00D05755">
        <w:rPr>
          <w:rStyle w:val="custom"/>
          <w:rFonts w:ascii="宋体" w:hAnsi="宋体" w:cs="宋体"/>
          <w:kern w:val="0"/>
          <w:sz w:val="24"/>
          <w:szCs w:val="24"/>
        </w:rPr>
        <w:t>策略</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12、融资投资策略</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本基金将在充分考虑风险和收益特征的基础上，审慎参与融资交易。本基金将基于对市场行情和组合风险收益特征的分析，确定投资时机、标的证券以及投资比例。</w:t>
      </w:r>
      <w:proofErr w:type="gramStart"/>
      <w:r w:rsidRPr="00D05755">
        <w:rPr>
          <w:rStyle w:val="custom"/>
          <w:rFonts w:ascii="宋体" w:hAnsi="宋体" w:cs="宋体"/>
          <w:kern w:val="0"/>
          <w:sz w:val="24"/>
          <w:szCs w:val="24"/>
        </w:rPr>
        <w:t>若相关</w:t>
      </w:r>
      <w:proofErr w:type="gramEnd"/>
      <w:r w:rsidRPr="00D05755">
        <w:rPr>
          <w:rStyle w:val="custom"/>
          <w:rFonts w:ascii="宋体" w:hAnsi="宋体" w:cs="宋体"/>
          <w:kern w:val="0"/>
          <w:sz w:val="24"/>
          <w:szCs w:val="24"/>
        </w:rPr>
        <w:t>融资业务法律法规和监管要求发生变化，本基金将从其最新规定，在符合本基金投资目标的前提下，依照相关法律法规和监管要求制定融资策略。</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未来，随着投资工具的发展和丰富，本基金可在不改变投资目标和风险收益特征的前提下，相应调整和更新相关投资策略，并在招募说明书更新中公告。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四、</w:t>
      </w:r>
      <w:r w:rsidRPr="00D05755">
        <w:rPr>
          <w:rFonts w:ascii="宋体" w:hAnsi="宋体" w:cs="宋体"/>
          <w:kern w:val="0"/>
          <w:sz w:val="24"/>
          <w:szCs w:val="24"/>
        </w:rPr>
        <w:t>投资限制</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组合限制</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基金的投资组合应遵循以下限制：</w:t>
      </w:r>
    </w:p>
    <w:p w:rsidR="00E8691A" w:rsidRPr="00D05755" w:rsidRDefault="006E24B4">
      <w:pPr>
        <w:pStyle w:val="div"/>
        <w:spacing w:line="360" w:lineRule="auto"/>
        <w:ind w:firstLine="420"/>
        <w:rPr>
          <w:rFonts w:eastAsia="Times New Roman"/>
          <w:kern w:val="0"/>
          <w:sz w:val="24"/>
          <w:szCs w:val="24"/>
        </w:rPr>
      </w:pPr>
      <w:bookmarkStart w:id="63" w:name="OLE_LINK2"/>
      <w:r w:rsidRPr="00D05755">
        <w:rPr>
          <w:rStyle w:val="custom"/>
          <w:rFonts w:ascii="宋体" w:hAnsi="宋体" w:cs="宋体"/>
          <w:kern w:val="0"/>
          <w:sz w:val="24"/>
          <w:szCs w:val="24"/>
        </w:rPr>
        <w:t>（1）本基金股票资产占基金资产</w:t>
      </w:r>
      <w:r w:rsidRPr="00D05755">
        <w:rPr>
          <w:rStyle w:val="custom"/>
          <w:rFonts w:ascii="宋体" w:hAnsi="宋体" w:cs="宋体" w:hint="eastAsia"/>
          <w:kern w:val="0"/>
          <w:sz w:val="24"/>
          <w:szCs w:val="24"/>
        </w:rPr>
        <w:t>的比例</w:t>
      </w:r>
      <w:r w:rsidRPr="00D05755">
        <w:rPr>
          <w:rStyle w:val="custom"/>
          <w:rFonts w:ascii="宋体" w:hAnsi="宋体" w:cs="宋体"/>
          <w:kern w:val="0"/>
          <w:sz w:val="24"/>
          <w:szCs w:val="24"/>
        </w:rPr>
        <w:t>为60%-95%；其中，投资于港股通标的股票的比例不超过股票资产的50%；本基金投资于</w:t>
      </w:r>
      <w:r w:rsidRPr="00D05755">
        <w:rPr>
          <w:rStyle w:val="custom"/>
          <w:rFonts w:ascii="宋体" w:hAnsi="宋体" w:cs="宋体" w:hint="eastAsia"/>
          <w:kern w:val="0"/>
          <w:sz w:val="24"/>
          <w:szCs w:val="24"/>
        </w:rPr>
        <w:t>金融</w:t>
      </w:r>
      <w:r w:rsidRPr="00D05755">
        <w:rPr>
          <w:rStyle w:val="custom"/>
          <w:rFonts w:ascii="宋体" w:hAnsi="宋体" w:cs="宋体"/>
          <w:kern w:val="0"/>
          <w:sz w:val="24"/>
          <w:szCs w:val="24"/>
        </w:rPr>
        <w:t>优选主题相关的股票比例不低于非现金基金资产的80%</w:t>
      </w:r>
      <w:r w:rsidRPr="00D05755">
        <w:rPr>
          <w:rStyle w:val="custom"/>
          <w:rFonts w:ascii="宋体" w:hAnsi="宋体" w:cs="宋体" w:hint="eastAsia"/>
          <w:kern w:val="0"/>
          <w:sz w:val="24"/>
          <w:szCs w:val="24"/>
        </w:rPr>
        <w:t>；</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w:t>
      </w:r>
      <w:r w:rsidRPr="00D05755">
        <w:rPr>
          <w:rFonts w:ascii="宋体" w:hAnsi="宋体" w:cs="宋体"/>
          <w:kern w:val="0"/>
          <w:sz w:val="24"/>
          <w:szCs w:val="24"/>
        </w:rPr>
        <w:t>其中现金不包括结算备付金、存出保证金和应收</w:t>
      </w:r>
      <w:r w:rsidRPr="00D05755">
        <w:rPr>
          <w:rFonts w:ascii="宋体" w:hAnsi="宋体" w:cs="宋体"/>
          <w:kern w:val="0"/>
          <w:sz w:val="24"/>
          <w:szCs w:val="24"/>
        </w:rPr>
        <w:lastRenderedPageBreak/>
        <w:t>申购款等；</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（3）本基金持有一家公司发行的证券（同一家公司在内地和香港同时上市的A+H股合并计算），其市值不超过基金资产净值的10％；</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w:t>
      </w:r>
      <w:r w:rsidRPr="00D05755">
        <w:rPr>
          <w:rStyle w:val="custom"/>
          <w:rFonts w:ascii="宋体" w:hAnsi="宋体" w:cs="宋体" w:hint="eastAsia"/>
          <w:kern w:val="0"/>
          <w:sz w:val="24"/>
          <w:szCs w:val="24"/>
        </w:rPr>
        <w:t>本基金管理人管理的</w:t>
      </w:r>
      <w:r w:rsidRPr="00D05755">
        <w:rPr>
          <w:rStyle w:val="custom"/>
          <w:rFonts w:ascii="宋体" w:hAnsi="宋体" w:cs="宋体"/>
          <w:kern w:val="0"/>
          <w:sz w:val="24"/>
          <w:szCs w:val="24"/>
        </w:rPr>
        <w:t>全部基金持有一家公司发行的证券（同一家公司在内地和香港同时上市的A+H股合并计算），不超过该证券的10％，完全按照有关指数的构成比例进行证券投资的基金品种可以不受此条款规定的比例限制；</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（5）本基金投资于同一原始权益人的各类资产支持证券的比例，不得超过基金资产净值的10%；</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（6）本基金持有的全部资产支持证券，其市值不得超过基金资产净值的20%；</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（7）本基金持有的同一(指同一信用级别)资产支持证券的比例，不得超过该资产支持证券规模的10%；</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（8）</w:t>
      </w:r>
      <w:r w:rsidRPr="00D05755">
        <w:rPr>
          <w:rStyle w:val="custom"/>
          <w:rFonts w:ascii="宋体" w:hAnsi="宋体" w:cs="宋体" w:hint="eastAsia"/>
          <w:kern w:val="0"/>
          <w:sz w:val="24"/>
          <w:szCs w:val="24"/>
        </w:rPr>
        <w:t>本基金管理人管理的</w:t>
      </w:r>
      <w:r w:rsidRPr="00D05755">
        <w:rPr>
          <w:rStyle w:val="custom"/>
          <w:rFonts w:ascii="宋体" w:hAnsi="宋体" w:cs="宋体"/>
          <w:kern w:val="0"/>
          <w:sz w:val="24"/>
          <w:szCs w:val="24"/>
        </w:rPr>
        <w:t>全部基金投资于同一原始权益人的各类资产支持证券，不得超过其各类资产支持证券合计规模的10%；</w:t>
      </w:r>
    </w:p>
    <w:p w:rsidR="00E8691A" w:rsidRPr="00D05755" w:rsidRDefault="006E24B4">
      <w:pPr>
        <w:pStyle w:val="div"/>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（9）本基金应投资于信用级别评级为</w:t>
      </w:r>
      <w:r w:rsidRPr="00D05755">
        <w:rPr>
          <w:rStyle w:val="custom"/>
          <w:rFonts w:eastAsia="Times New Roman"/>
          <w:kern w:val="0"/>
          <w:sz w:val="24"/>
          <w:szCs w:val="24"/>
        </w:rPr>
        <w:t>BBB</w:t>
      </w:r>
      <w:r w:rsidRPr="00D05755">
        <w:rPr>
          <w:rStyle w:val="custom"/>
          <w:rFonts w:ascii="宋体" w:hAnsi="宋体" w:cs="宋体"/>
          <w:kern w:val="0"/>
          <w:sz w:val="24"/>
          <w:szCs w:val="24"/>
        </w:rPr>
        <w:t>以上</w:t>
      </w:r>
      <w:r w:rsidRPr="00D05755">
        <w:rPr>
          <w:rStyle w:val="custom"/>
          <w:rFonts w:eastAsia="Times New Roman"/>
          <w:kern w:val="0"/>
          <w:sz w:val="24"/>
          <w:szCs w:val="24"/>
        </w:rPr>
        <w:t>(</w:t>
      </w:r>
      <w:r w:rsidRPr="00D05755">
        <w:rPr>
          <w:rStyle w:val="custom"/>
          <w:rFonts w:ascii="宋体" w:hAnsi="宋体" w:cs="宋体"/>
          <w:kern w:val="0"/>
          <w:sz w:val="24"/>
          <w:szCs w:val="24"/>
        </w:rPr>
        <w:t>含</w:t>
      </w:r>
      <w:r w:rsidRPr="00D05755">
        <w:rPr>
          <w:rStyle w:val="custom"/>
          <w:rFonts w:eastAsia="Times New Roman"/>
          <w:kern w:val="0"/>
          <w:sz w:val="24"/>
          <w:szCs w:val="24"/>
        </w:rPr>
        <w:t>BBB)</w:t>
      </w:r>
      <w:r w:rsidRPr="00D05755">
        <w:rPr>
          <w:rStyle w:val="custom"/>
          <w:rFonts w:ascii="宋体" w:hAnsi="宋体" w:cs="宋体"/>
          <w:kern w:val="0"/>
          <w:sz w:val="24"/>
          <w:szCs w:val="24"/>
        </w:rPr>
        <w:t>的资产支持证券。基金持有资产支持证券期间，如果其信用等级下降、不再符合投资标准，应在评级报告发布之日起</w:t>
      </w:r>
      <w:r w:rsidRPr="00D05755">
        <w:rPr>
          <w:rStyle w:val="custom"/>
          <w:rFonts w:eastAsia="Times New Roman"/>
          <w:kern w:val="0"/>
          <w:sz w:val="24"/>
          <w:szCs w:val="24"/>
        </w:rPr>
        <w:t>3</w:t>
      </w:r>
      <w:r w:rsidRPr="00D05755">
        <w:rPr>
          <w:rStyle w:val="custom"/>
          <w:rFonts w:ascii="宋体" w:hAnsi="宋体" w:cs="宋体"/>
          <w:kern w:val="0"/>
          <w:sz w:val="24"/>
          <w:szCs w:val="24"/>
        </w:rPr>
        <w:t>个月内予以全部卖出；</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（10）基金财产参与股票发行申购，本基金所申报的金额不超过本基金的总资产，本基金所申报的股票数量不超过拟发行股票公司本次发行股票的总量；</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（12）</w:t>
      </w:r>
      <w:r w:rsidRPr="00D05755">
        <w:rPr>
          <w:rFonts w:ascii="宋体" w:hAnsi="宋体" w:cs="宋体"/>
          <w:kern w:val="0"/>
          <w:sz w:val="24"/>
          <w:szCs w:val="24"/>
        </w:rPr>
        <w:t>本基金主动投资于流动性受限资产的市值合计不得超过本基金资产净值的15%；因证券市场波动、</w:t>
      </w:r>
      <w:r w:rsidRPr="00D05755">
        <w:rPr>
          <w:rStyle w:val="custom"/>
          <w:rFonts w:ascii="宋体" w:hAnsi="宋体" w:cs="宋体"/>
          <w:kern w:val="0"/>
          <w:sz w:val="24"/>
          <w:szCs w:val="24"/>
        </w:rPr>
        <w:t>上市公司股票停牌、</w:t>
      </w:r>
      <w:r w:rsidRPr="00D05755">
        <w:rPr>
          <w:rFonts w:ascii="宋体" w:hAnsi="宋体" w:cs="宋体"/>
          <w:kern w:val="0"/>
          <w:sz w:val="24"/>
          <w:szCs w:val="24"/>
        </w:rPr>
        <w:t>基金规模变动等基金管理人之外的因素致使基金不符合该比例限制的，基金管理人不得主动新增流动性受限资产的投资；</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（13）</w:t>
      </w:r>
      <w:r w:rsidRPr="00D05755">
        <w:rPr>
          <w:rFonts w:ascii="宋体" w:hAnsi="宋体" w:cs="宋体"/>
          <w:kern w:val="0"/>
          <w:sz w:val="24"/>
          <w:szCs w:val="24"/>
        </w:rPr>
        <w:t>本基金与私募类</w:t>
      </w:r>
      <w:proofErr w:type="gramStart"/>
      <w:r w:rsidRPr="00D05755">
        <w:rPr>
          <w:rFonts w:ascii="宋体" w:hAnsi="宋体" w:cs="宋体"/>
          <w:kern w:val="0"/>
          <w:sz w:val="24"/>
          <w:szCs w:val="24"/>
        </w:rPr>
        <w:t>证券资管产品</w:t>
      </w:r>
      <w:proofErr w:type="gramEnd"/>
      <w:r w:rsidRPr="00D05755">
        <w:rPr>
          <w:rFonts w:ascii="宋体" w:hAnsi="宋体" w:cs="宋体"/>
          <w:kern w:val="0"/>
          <w:sz w:val="24"/>
          <w:szCs w:val="24"/>
        </w:rPr>
        <w:t>及中国证监会认定的其他主体为交易对手开展逆回购交易的，可接受质押品的资质要求应当与本基金合同约定的投资范</w:t>
      </w:r>
      <w:r w:rsidRPr="00D05755">
        <w:rPr>
          <w:rFonts w:ascii="宋体" w:hAnsi="宋体" w:cs="宋体"/>
          <w:kern w:val="0"/>
          <w:sz w:val="24"/>
          <w:szCs w:val="24"/>
        </w:rPr>
        <w:lastRenderedPageBreak/>
        <w:t>围保持一致；</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（14）</w:t>
      </w:r>
      <w:r w:rsidRPr="00D05755">
        <w:rPr>
          <w:rFonts w:ascii="宋体" w:hAnsi="宋体" w:cs="宋体"/>
          <w:kern w:val="0"/>
          <w:sz w:val="24"/>
          <w:szCs w:val="24"/>
        </w:rPr>
        <w:t>本基金资产总值不超过基金资产净值的140%；</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（15）本基金参与股指期货和国债期货交易的，应当遵守下列要求：</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serial-tag"/>
          <w:rFonts w:ascii="宋体" w:hAnsi="宋体"/>
          <w:kern w:val="0"/>
          <w:sz w:val="24"/>
        </w:rPr>
        <w:t>（17）</w:t>
      </w:r>
      <w:r w:rsidRPr="00D05755">
        <w:rPr>
          <w:rStyle w:val="custom"/>
          <w:rFonts w:ascii="宋体" w:hAnsi="宋体" w:cs="宋体"/>
          <w:kern w:val="0"/>
          <w:sz w:val="24"/>
          <w:szCs w:val="24"/>
        </w:rPr>
        <w:t>本基金不得持有信用保护卖方属性的信用衍生品，持有的信用衍生品的名义本金不得超过本基金对应受保护债券面值的100%，本基金不得投资于合约类信用衍生品；</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serial-tag"/>
          <w:rFonts w:ascii="宋体" w:hAnsi="宋体" w:cs="宋体"/>
          <w:kern w:val="0"/>
          <w:sz w:val="24"/>
          <w:szCs w:val="24"/>
        </w:rPr>
        <w:t>（18）</w:t>
      </w:r>
      <w:r w:rsidRPr="00D05755">
        <w:rPr>
          <w:rStyle w:val="custom"/>
          <w:rFonts w:ascii="宋体" w:hAnsi="宋体" w:cs="宋体"/>
          <w:kern w:val="0"/>
          <w:sz w:val="24"/>
          <w:szCs w:val="24"/>
        </w:rPr>
        <w:t>本基金投资于同一信用保护卖方的各类信用衍生品的名义本金合计不得超过基金资产净值的10%；</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lastRenderedPageBreak/>
        <w:t>因证券、期货市场波动、证券发行人合并、基金规模变动等基金管理人之外的因素致使基金不符合前述（17）、（18）所规定比例限制的，基金管理人应在3个月之内进行调整；</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（19）本基金参与融资的，每个交易日日终，本基金持有的融资买入股票与其他有价证券市值之和，不得超过基金资产净值的95%；</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（20）本基金投资存托凭证的比例限制依照境内上市交易的股票执行；</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（21）</w:t>
      </w:r>
      <w:r w:rsidRPr="00D05755">
        <w:rPr>
          <w:rFonts w:ascii="宋体" w:hAnsi="宋体" w:cs="宋体"/>
          <w:kern w:val="0"/>
          <w:sz w:val="24"/>
          <w:szCs w:val="24"/>
        </w:rPr>
        <w:t>法律法规及中国证监会规定的和《基金合同》约定的其他投资限制。</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除上述</w:t>
      </w:r>
      <w:r w:rsidRPr="00D05755">
        <w:rPr>
          <w:rFonts w:ascii="宋体" w:hAnsi="宋体" w:cs="宋体" w:hint="eastAsia"/>
          <w:kern w:val="0"/>
          <w:sz w:val="24"/>
          <w:szCs w:val="24"/>
        </w:rPr>
        <w:t>第</w:t>
      </w:r>
      <w:r w:rsidRPr="00D05755">
        <w:rPr>
          <w:rFonts w:ascii="宋体" w:hAnsi="宋体" w:cs="宋体"/>
          <w:kern w:val="0"/>
          <w:sz w:val="24"/>
          <w:szCs w:val="24"/>
        </w:rPr>
        <w:t>（2）、</w:t>
      </w:r>
      <w:r w:rsidRPr="00D05755">
        <w:rPr>
          <w:rStyle w:val="custom"/>
          <w:rFonts w:ascii="宋体" w:hAnsi="宋体" w:cs="宋体"/>
          <w:kern w:val="0"/>
          <w:sz w:val="24"/>
          <w:szCs w:val="24"/>
        </w:rPr>
        <w:t>（9）、（12）</w:t>
      </w:r>
      <w:r w:rsidRPr="00D05755">
        <w:rPr>
          <w:rFonts w:ascii="宋体" w:hAnsi="宋体" w:cs="宋体"/>
          <w:kern w:val="0"/>
          <w:sz w:val="24"/>
          <w:szCs w:val="24"/>
        </w:rPr>
        <w:t>、</w:t>
      </w:r>
      <w:r w:rsidRPr="00D05755">
        <w:rPr>
          <w:rStyle w:val="custom"/>
          <w:rFonts w:ascii="宋体" w:hAnsi="宋体" w:cs="宋体"/>
          <w:kern w:val="0"/>
          <w:sz w:val="24"/>
          <w:szCs w:val="24"/>
        </w:rPr>
        <w:t>（13）</w:t>
      </w:r>
      <w:r w:rsidRPr="00D05755">
        <w:rPr>
          <w:rFonts w:ascii="宋体" w:hAnsi="宋体" w:cs="宋体"/>
          <w:kern w:val="0"/>
          <w:sz w:val="24"/>
          <w:szCs w:val="24"/>
        </w:rPr>
        <w:t>、</w:t>
      </w:r>
      <w:r w:rsidRPr="00D05755">
        <w:rPr>
          <w:rStyle w:val="custom"/>
          <w:rFonts w:ascii="宋体" w:hAnsi="宋体" w:cs="宋体"/>
          <w:kern w:val="0"/>
          <w:sz w:val="24"/>
          <w:szCs w:val="24"/>
        </w:rPr>
        <w:t>（17）、（18）</w:t>
      </w:r>
      <w:r w:rsidRPr="00D05755">
        <w:rPr>
          <w:rFonts w:ascii="宋体" w:hAnsi="宋体" w:cs="宋体"/>
          <w:kern w:val="0"/>
          <w:sz w:val="24"/>
          <w:szCs w:val="24"/>
        </w:rPr>
        <w:t>项情形之外，</w:t>
      </w:r>
      <w:r w:rsidRPr="00D05755">
        <w:rPr>
          <w:rStyle w:val="custom"/>
          <w:rFonts w:ascii="宋体" w:hAnsi="宋体" w:cs="宋体"/>
          <w:kern w:val="0"/>
          <w:sz w:val="24"/>
          <w:szCs w:val="24"/>
        </w:rPr>
        <w:t>因证券/期货市场波动、</w:t>
      </w:r>
      <w:r w:rsidRPr="00D05755">
        <w:rPr>
          <w:rFonts w:ascii="宋体" w:hAnsi="宋体" w:cs="宋体"/>
          <w:kern w:val="0"/>
          <w:sz w:val="24"/>
          <w:szCs w:val="24"/>
        </w:rPr>
        <w:t>证券发行人合并、基金规模变动等基金管理人之外的因素致使基金投资比例不符合上述规定投资比例的，基金管理人应当在</w:t>
      </w:r>
      <w:r w:rsidRPr="00D05755">
        <w:rPr>
          <w:rStyle w:val="custom"/>
          <w:rFonts w:ascii="宋体" w:hAnsi="宋体" w:cs="宋体"/>
          <w:kern w:val="0"/>
          <w:sz w:val="24"/>
          <w:szCs w:val="24"/>
        </w:rPr>
        <w:t>10</w:t>
      </w:r>
      <w:r w:rsidRPr="00D05755">
        <w:rPr>
          <w:rFonts w:ascii="宋体" w:hAnsi="宋体" w:cs="宋体"/>
          <w:kern w:val="0"/>
          <w:sz w:val="24"/>
          <w:szCs w:val="24"/>
        </w:rPr>
        <w:t>个交易日内进行调整，但中国证监会规定的特殊情形除外。法律法规另有规定的从其规定。</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bookmarkEnd w:id="63"/>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禁止行为</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为维护基金份额持有人的合法权益，基金财产不得用于下列投资或者活动：</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承销证券；</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违反规定向他人贷款或者提供担保；</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从事承担无限责任的投资；</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（4）买卖其他基金份额，但是法律法规或中国证监会另有规定的除外；</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向其基金管理人、基金托管人出资；</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从事内幕交易、操纵证券交易价格及其他不正当的证券交易活动；</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法律、行政法规和中国证监会规定禁止的其他活动。</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基金管理人运用基金财产买卖基金管理人、基金托管人及其控股股东、实际</w:t>
      </w:r>
      <w:r w:rsidRPr="00D05755">
        <w:rPr>
          <w:rFonts w:ascii="宋体" w:hAnsi="宋体" w:cs="宋体"/>
          <w:kern w:val="0"/>
          <w:sz w:val="24"/>
          <w:szCs w:val="24"/>
        </w:rPr>
        <w:lastRenderedPageBreak/>
        <w:t>控制人或者与其有</w:t>
      </w:r>
      <w:r w:rsidRPr="00D05755">
        <w:rPr>
          <w:rFonts w:ascii="宋体" w:hAnsi="宋体" w:cs="宋体" w:hint="eastAsia"/>
          <w:kern w:val="0"/>
          <w:sz w:val="24"/>
          <w:szCs w:val="24"/>
        </w:rPr>
        <w:t>其他</w:t>
      </w:r>
      <w:r w:rsidRPr="00D05755">
        <w:rPr>
          <w:rFonts w:ascii="宋体" w:hAnsi="宋体" w:cs="宋体"/>
          <w:kern w:val="0"/>
          <w:sz w:val="24"/>
          <w:szCs w:val="24"/>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五、业绩比较基准</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本基金的业绩比较基准为：</w:t>
      </w:r>
      <w:proofErr w:type="gramStart"/>
      <w:r w:rsidRPr="00D05755">
        <w:rPr>
          <w:rFonts w:ascii="宋体" w:hAnsi="宋体" w:cs="宋体"/>
          <w:kern w:val="0"/>
          <w:sz w:val="24"/>
          <w:szCs w:val="24"/>
        </w:rPr>
        <w:t>中证全指</w:t>
      </w:r>
      <w:proofErr w:type="gramEnd"/>
      <w:r w:rsidRPr="00D05755">
        <w:rPr>
          <w:rFonts w:ascii="宋体" w:hAnsi="宋体" w:cs="宋体"/>
          <w:kern w:val="0"/>
          <w:sz w:val="24"/>
          <w:szCs w:val="24"/>
        </w:rPr>
        <w:t>金融指数收益率*60%+</w:t>
      </w:r>
      <w:r w:rsidRPr="00D05755">
        <w:rPr>
          <w:rFonts w:ascii="宋体" w:hAnsi="宋体" w:cs="宋体" w:hint="eastAsia"/>
          <w:kern w:val="0"/>
          <w:sz w:val="24"/>
          <w:szCs w:val="24"/>
        </w:rPr>
        <w:t>中证港股通内地金融指数（港元）</w:t>
      </w:r>
      <w:r w:rsidRPr="00D05755">
        <w:rPr>
          <w:rFonts w:ascii="宋体" w:hAnsi="宋体" w:cs="宋体"/>
          <w:kern w:val="0"/>
          <w:sz w:val="24"/>
          <w:szCs w:val="24"/>
        </w:rPr>
        <w:t>收益率*2</w:t>
      </w:r>
      <w:r w:rsidR="00564AA3" w:rsidRPr="00D05755">
        <w:rPr>
          <w:rFonts w:ascii="宋体" w:hAnsi="宋体" w:cs="宋体"/>
          <w:kern w:val="0"/>
          <w:sz w:val="24"/>
          <w:szCs w:val="24"/>
        </w:rPr>
        <w:t>0</w:t>
      </w:r>
      <w:r w:rsidRPr="00D05755">
        <w:rPr>
          <w:rFonts w:ascii="宋体" w:hAnsi="宋体" w:cs="宋体"/>
          <w:kern w:val="0"/>
          <w:sz w:val="24"/>
          <w:szCs w:val="24"/>
        </w:rPr>
        <w:t>%+中债-国债总全价(1-3年)指数收益率*1</w:t>
      </w:r>
      <w:r w:rsidR="00564AA3" w:rsidRPr="00D05755">
        <w:rPr>
          <w:rFonts w:ascii="宋体" w:hAnsi="宋体" w:cs="宋体"/>
          <w:kern w:val="0"/>
          <w:sz w:val="24"/>
          <w:szCs w:val="24"/>
        </w:rPr>
        <w:t>5</w:t>
      </w:r>
      <w:r w:rsidRPr="00D05755">
        <w:rPr>
          <w:rFonts w:ascii="宋体" w:hAnsi="宋体" w:cs="宋体"/>
          <w:kern w:val="0"/>
          <w:sz w:val="24"/>
          <w:szCs w:val="24"/>
        </w:rPr>
        <w:t>%+</w:t>
      </w:r>
      <w:r w:rsidRPr="00D05755">
        <w:rPr>
          <w:rStyle w:val="custom"/>
          <w:rFonts w:ascii="宋体" w:hAnsi="宋体" w:cs="宋体"/>
          <w:kern w:val="0"/>
          <w:sz w:val="24"/>
          <w:szCs w:val="24"/>
        </w:rPr>
        <w:t>活期存款基准利率</w:t>
      </w:r>
      <w:r w:rsidRPr="00D05755">
        <w:rPr>
          <w:rFonts w:ascii="宋体" w:hAnsi="宋体" w:cs="宋体"/>
          <w:kern w:val="0"/>
          <w:sz w:val="24"/>
          <w:szCs w:val="24"/>
        </w:rPr>
        <w:t>*5%</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hint="eastAsia"/>
          <w:kern w:val="0"/>
          <w:sz w:val="24"/>
          <w:szCs w:val="24"/>
        </w:rPr>
        <w:t>1</w:t>
      </w:r>
      <w:r w:rsidRPr="00D05755">
        <w:rPr>
          <w:rStyle w:val="custom"/>
          <w:rFonts w:ascii="宋体" w:hAnsi="宋体" w:cs="宋体"/>
          <w:kern w:val="0"/>
          <w:sz w:val="24"/>
          <w:szCs w:val="24"/>
        </w:rPr>
        <w:t>、</w:t>
      </w:r>
      <w:r w:rsidRPr="00D05755">
        <w:rPr>
          <w:rStyle w:val="custom"/>
          <w:rFonts w:ascii="宋体" w:hAnsi="宋体" w:cs="宋体" w:hint="eastAsia"/>
          <w:kern w:val="0"/>
          <w:sz w:val="24"/>
          <w:szCs w:val="24"/>
        </w:rPr>
        <w:t>业绩比较基准设定的原因</w:t>
      </w:r>
    </w:p>
    <w:p w:rsidR="00E8691A" w:rsidRPr="00D05755" w:rsidRDefault="006E24B4">
      <w:pPr>
        <w:spacing w:line="360" w:lineRule="auto"/>
        <w:ind w:firstLineChars="200" w:firstLine="480"/>
        <w:rPr>
          <w:rStyle w:val="custom"/>
          <w:rFonts w:ascii="宋体" w:hAnsi="宋体" w:cs="宋体"/>
          <w:kern w:val="0"/>
          <w:sz w:val="24"/>
          <w:szCs w:val="24"/>
        </w:rPr>
      </w:pPr>
      <w:r w:rsidRPr="00D05755">
        <w:rPr>
          <w:rStyle w:val="custom"/>
          <w:rFonts w:ascii="宋体" w:hAnsi="宋体" w:cs="宋体" w:hint="eastAsia"/>
          <w:kern w:val="0"/>
          <w:sz w:val="24"/>
          <w:szCs w:val="24"/>
        </w:rPr>
        <w:t>（1）基于基金投资范围以及预期投资的主要资产类别，本基金主要投资于A股股票、港股通标的股票、债券、流动性管理等资产，相应选取与之匹配的A股指数、港股指数、债券指数和活期存款基准利率作为基准要素。同时基于基金投资股票资产占基金资产的比例为</w:t>
      </w:r>
      <w:r w:rsidRPr="00D05755">
        <w:rPr>
          <w:rStyle w:val="custom"/>
          <w:rFonts w:ascii="宋体" w:hAnsi="宋体" w:cs="宋体"/>
          <w:kern w:val="0"/>
          <w:sz w:val="24"/>
          <w:szCs w:val="24"/>
        </w:rPr>
        <w:t>60%-95%</w:t>
      </w:r>
      <w:r w:rsidRPr="00D05755">
        <w:rPr>
          <w:rStyle w:val="custom"/>
          <w:rFonts w:ascii="宋体" w:hAnsi="宋体" w:cs="宋体" w:hint="eastAsia"/>
          <w:kern w:val="0"/>
          <w:sz w:val="24"/>
          <w:szCs w:val="24"/>
        </w:rPr>
        <w:t>（其中港股通标的股票不超过股票资产的50%）等投资比例限制，以及预期的资产配置比例中枢，本基金将股票资产、债券资产和流动性管理部分资产所对应的基准要素权重分别设置为</w:t>
      </w:r>
      <w:r w:rsidRPr="00D05755">
        <w:rPr>
          <w:rStyle w:val="custom"/>
          <w:rFonts w:ascii="宋体" w:hAnsi="宋体" w:cs="宋体"/>
          <w:kern w:val="0"/>
          <w:sz w:val="24"/>
          <w:szCs w:val="24"/>
        </w:rPr>
        <w:t>8</w:t>
      </w:r>
      <w:r w:rsidR="00564AA3" w:rsidRPr="00D05755">
        <w:rPr>
          <w:rStyle w:val="custom"/>
          <w:rFonts w:ascii="宋体" w:hAnsi="宋体" w:cs="宋体"/>
          <w:kern w:val="0"/>
          <w:sz w:val="24"/>
          <w:szCs w:val="24"/>
        </w:rPr>
        <w:t>0</w:t>
      </w:r>
      <w:r w:rsidRPr="00D05755">
        <w:rPr>
          <w:rStyle w:val="custom"/>
          <w:rFonts w:ascii="宋体" w:hAnsi="宋体" w:cs="宋体"/>
          <w:kern w:val="0"/>
          <w:sz w:val="24"/>
          <w:szCs w:val="24"/>
        </w:rPr>
        <w:t>%</w:t>
      </w:r>
      <w:r w:rsidRPr="00D05755">
        <w:rPr>
          <w:rStyle w:val="custom"/>
          <w:rFonts w:ascii="宋体" w:hAnsi="宋体" w:cs="宋体" w:hint="eastAsia"/>
          <w:kern w:val="0"/>
          <w:sz w:val="24"/>
          <w:szCs w:val="24"/>
        </w:rPr>
        <w:t>、</w:t>
      </w:r>
      <w:r w:rsidRPr="00D05755">
        <w:rPr>
          <w:rStyle w:val="custom"/>
          <w:rFonts w:ascii="宋体" w:hAnsi="宋体" w:cs="宋体"/>
          <w:kern w:val="0"/>
          <w:sz w:val="24"/>
          <w:szCs w:val="24"/>
        </w:rPr>
        <w:t>1</w:t>
      </w:r>
      <w:r w:rsidR="00564AA3" w:rsidRPr="00D05755">
        <w:rPr>
          <w:rStyle w:val="custom"/>
          <w:rFonts w:ascii="宋体" w:hAnsi="宋体" w:cs="宋体"/>
          <w:kern w:val="0"/>
          <w:sz w:val="24"/>
          <w:szCs w:val="24"/>
        </w:rPr>
        <w:t>5</w:t>
      </w:r>
      <w:r w:rsidRPr="00D05755">
        <w:rPr>
          <w:rStyle w:val="custom"/>
          <w:rFonts w:ascii="宋体" w:hAnsi="宋体" w:cs="宋体"/>
          <w:kern w:val="0"/>
          <w:sz w:val="24"/>
          <w:szCs w:val="24"/>
        </w:rPr>
        <w:t>%</w:t>
      </w:r>
      <w:r w:rsidRPr="00D05755">
        <w:rPr>
          <w:rStyle w:val="custom"/>
          <w:rFonts w:ascii="宋体" w:hAnsi="宋体" w:cs="宋体" w:hint="eastAsia"/>
          <w:kern w:val="0"/>
          <w:sz w:val="24"/>
          <w:szCs w:val="24"/>
        </w:rPr>
        <w:t>与5</w:t>
      </w:r>
      <w:r w:rsidRPr="00D05755">
        <w:rPr>
          <w:rStyle w:val="custom"/>
          <w:rFonts w:ascii="宋体" w:hAnsi="宋体" w:cs="宋体"/>
          <w:kern w:val="0"/>
          <w:sz w:val="24"/>
          <w:szCs w:val="24"/>
        </w:rPr>
        <w:t>%</w:t>
      </w:r>
      <w:r w:rsidRPr="00D05755">
        <w:rPr>
          <w:rStyle w:val="custom"/>
          <w:rFonts w:ascii="宋体" w:hAnsi="宋体" w:cs="宋体" w:hint="eastAsia"/>
          <w:kern w:val="0"/>
          <w:sz w:val="24"/>
          <w:szCs w:val="24"/>
        </w:rPr>
        <w:t>，其中将股票资产中的A股股票与港股通标的股票所对应的基准要素权重分别设置为</w:t>
      </w:r>
      <w:r w:rsidRPr="00D05755">
        <w:rPr>
          <w:rStyle w:val="custom"/>
          <w:rFonts w:ascii="宋体" w:hAnsi="宋体" w:cs="宋体"/>
          <w:kern w:val="0"/>
          <w:sz w:val="24"/>
          <w:szCs w:val="24"/>
        </w:rPr>
        <w:t>60</w:t>
      </w:r>
      <w:r w:rsidRPr="00D05755">
        <w:rPr>
          <w:rStyle w:val="custom"/>
          <w:rFonts w:ascii="宋体" w:hAnsi="宋体" w:cs="宋体" w:hint="eastAsia"/>
          <w:kern w:val="0"/>
          <w:sz w:val="24"/>
          <w:szCs w:val="24"/>
        </w:rPr>
        <w:t>%与2</w:t>
      </w:r>
      <w:r w:rsidR="00564AA3" w:rsidRPr="00D05755">
        <w:rPr>
          <w:rStyle w:val="custom"/>
          <w:rFonts w:ascii="宋体" w:hAnsi="宋体" w:cs="宋体"/>
          <w:kern w:val="0"/>
          <w:sz w:val="24"/>
          <w:szCs w:val="24"/>
        </w:rPr>
        <w:t>0</w:t>
      </w:r>
      <w:r w:rsidRPr="00D05755">
        <w:rPr>
          <w:rStyle w:val="custom"/>
          <w:rFonts w:ascii="宋体" w:hAnsi="宋体" w:cs="宋体" w:hint="eastAsia"/>
          <w:kern w:val="0"/>
          <w:sz w:val="24"/>
          <w:szCs w:val="24"/>
        </w:rPr>
        <w:t>%。</w:t>
      </w:r>
    </w:p>
    <w:p w:rsidR="00E8691A" w:rsidRPr="00D05755" w:rsidRDefault="006E24B4">
      <w:pPr>
        <w:pStyle w:val="div"/>
        <w:spacing w:line="360" w:lineRule="auto"/>
        <w:ind w:firstLine="480"/>
        <w:rPr>
          <w:rStyle w:val="custom"/>
          <w:rFonts w:ascii="宋体" w:hAnsi="宋体" w:cs="宋体"/>
          <w:kern w:val="0"/>
          <w:sz w:val="24"/>
          <w:szCs w:val="24"/>
        </w:rPr>
      </w:pPr>
      <w:r w:rsidRPr="00D05755">
        <w:rPr>
          <w:rStyle w:val="custom"/>
          <w:rFonts w:ascii="宋体" w:hAnsi="宋体" w:cs="宋体" w:hint="eastAsia"/>
          <w:kern w:val="0"/>
          <w:sz w:val="24"/>
          <w:szCs w:val="24"/>
        </w:rPr>
        <w:t>（2）基于基金投资目标、投资范围和投资策略，</w:t>
      </w:r>
      <w:r w:rsidRPr="00D05755">
        <w:rPr>
          <w:rFonts w:ascii="宋体" w:hAnsi="宋体" w:cs="宋体"/>
          <w:kern w:val="0"/>
          <w:sz w:val="24"/>
          <w:szCs w:val="24"/>
        </w:rPr>
        <w:t>本基金在严格控制组合风险的前提下，以基本面分析为立足点，精选金融优选主题相关优质上市公司，力争实现基金资产的长期稳健增值</w:t>
      </w:r>
      <w:r w:rsidRPr="00D05755">
        <w:rPr>
          <w:rStyle w:val="custom"/>
          <w:rFonts w:ascii="宋体" w:hAnsi="宋体" w:cs="宋体" w:hint="eastAsia"/>
          <w:kern w:val="0"/>
          <w:sz w:val="24"/>
          <w:szCs w:val="24"/>
        </w:rPr>
        <w:t>。综合考虑基准指数与产品定位、投资风格与主题的匹配度，同时兼顾考虑基准指数的表征性、认可度，以及主题界定、市值覆盖、行业与</w:t>
      </w:r>
      <w:proofErr w:type="gramStart"/>
      <w:r w:rsidRPr="00D05755">
        <w:rPr>
          <w:rStyle w:val="custom"/>
          <w:rFonts w:ascii="宋体" w:hAnsi="宋体" w:cs="宋体" w:hint="eastAsia"/>
          <w:kern w:val="0"/>
          <w:sz w:val="24"/>
          <w:szCs w:val="24"/>
        </w:rPr>
        <w:t>个股分</w:t>
      </w:r>
      <w:proofErr w:type="gramEnd"/>
      <w:r w:rsidRPr="00D05755">
        <w:rPr>
          <w:rStyle w:val="custom"/>
          <w:rFonts w:ascii="宋体" w:hAnsi="宋体" w:cs="宋体" w:hint="eastAsia"/>
          <w:kern w:val="0"/>
          <w:sz w:val="24"/>
          <w:szCs w:val="24"/>
        </w:rPr>
        <w:t>布等，本基金选取</w:t>
      </w:r>
      <w:proofErr w:type="gramStart"/>
      <w:r w:rsidRPr="00D05755">
        <w:rPr>
          <w:rFonts w:ascii="宋体" w:hAnsi="宋体" w:cs="宋体"/>
          <w:kern w:val="0"/>
          <w:sz w:val="24"/>
          <w:szCs w:val="24"/>
        </w:rPr>
        <w:t>中证全指</w:t>
      </w:r>
      <w:proofErr w:type="gramEnd"/>
      <w:r w:rsidRPr="00D05755">
        <w:rPr>
          <w:rFonts w:ascii="宋体" w:hAnsi="宋体" w:cs="宋体"/>
          <w:kern w:val="0"/>
          <w:sz w:val="24"/>
          <w:szCs w:val="24"/>
        </w:rPr>
        <w:t>金融指数</w:t>
      </w:r>
      <w:r w:rsidRPr="00D05755">
        <w:rPr>
          <w:rStyle w:val="custom"/>
          <w:rFonts w:ascii="宋体" w:hAnsi="宋体" w:cs="宋体" w:hint="eastAsia"/>
          <w:kern w:val="0"/>
          <w:sz w:val="24"/>
          <w:szCs w:val="24"/>
        </w:rPr>
        <w:t>和</w:t>
      </w:r>
      <w:r w:rsidRPr="00D05755">
        <w:rPr>
          <w:rFonts w:ascii="宋体" w:hAnsi="宋体" w:cs="宋体" w:hint="eastAsia"/>
          <w:kern w:val="0"/>
          <w:sz w:val="24"/>
          <w:szCs w:val="24"/>
        </w:rPr>
        <w:t>中证港股通内地金融指数（港元）</w:t>
      </w:r>
      <w:r w:rsidRPr="00D05755">
        <w:rPr>
          <w:rStyle w:val="custom"/>
          <w:rFonts w:ascii="宋体" w:hAnsi="宋体" w:cs="宋体" w:hint="eastAsia"/>
          <w:kern w:val="0"/>
          <w:sz w:val="24"/>
          <w:szCs w:val="24"/>
        </w:rPr>
        <w:t>分别作为A股股票和港股通标的股票部分的基准要素，具体情况如下：</w:t>
      </w:r>
    </w:p>
    <w:p w:rsidR="00E8691A" w:rsidRPr="00D05755" w:rsidRDefault="006E24B4">
      <w:pPr>
        <w:pStyle w:val="div"/>
        <w:spacing w:line="360" w:lineRule="auto"/>
        <w:ind w:firstLine="420"/>
        <w:rPr>
          <w:rFonts w:ascii="宋体" w:hAnsi="宋体" w:cs="宋体"/>
          <w:kern w:val="0"/>
          <w:sz w:val="24"/>
          <w:szCs w:val="24"/>
        </w:rPr>
      </w:pPr>
      <w:proofErr w:type="gramStart"/>
      <w:r w:rsidRPr="00D05755">
        <w:rPr>
          <w:rFonts w:ascii="宋体" w:hAnsi="宋体" w:cs="宋体"/>
          <w:kern w:val="0"/>
          <w:sz w:val="24"/>
          <w:szCs w:val="24"/>
        </w:rPr>
        <w:t>中证全指</w:t>
      </w:r>
      <w:proofErr w:type="gramEnd"/>
      <w:r w:rsidRPr="00D05755">
        <w:rPr>
          <w:rFonts w:ascii="宋体" w:hAnsi="宋体" w:cs="宋体"/>
          <w:kern w:val="0"/>
          <w:sz w:val="24"/>
          <w:szCs w:val="24"/>
        </w:rPr>
        <w:t>金融</w:t>
      </w:r>
      <w:r w:rsidRPr="00D05755">
        <w:rPr>
          <w:rFonts w:ascii="宋体" w:hAnsi="宋体" w:cs="宋体" w:hint="eastAsia"/>
          <w:kern w:val="0"/>
          <w:sz w:val="24"/>
          <w:szCs w:val="24"/>
        </w:rPr>
        <w:t>指数由中证指数有限公司编制，</w:t>
      </w:r>
      <w:proofErr w:type="gramStart"/>
      <w:r w:rsidRPr="00D05755">
        <w:rPr>
          <w:rFonts w:ascii="宋体" w:hAnsi="宋体" w:cs="宋体"/>
          <w:kern w:val="0"/>
          <w:sz w:val="24"/>
          <w:szCs w:val="24"/>
        </w:rPr>
        <w:t>从中证全指</w:t>
      </w:r>
      <w:proofErr w:type="gramEnd"/>
      <w:r w:rsidRPr="00D05755">
        <w:rPr>
          <w:rFonts w:ascii="宋体" w:hAnsi="宋体" w:cs="宋体"/>
          <w:kern w:val="0"/>
          <w:sz w:val="24"/>
          <w:szCs w:val="24"/>
        </w:rPr>
        <w:t>金融行业中选取符</w:t>
      </w:r>
      <w:r w:rsidRPr="00D05755">
        <w:rPr>
          <w:rFonts w:ascii="宋体" w:hAnsi="宋体" w:cs="宋体"/>
          <w:kern w:val="0"/>
          <w:sz w:val="24"/>
          <w:szCs w:val="24"/>
        </w:rPr>
        <w:lastRenderedPageBreak/>
        <w:t>合一定流动性与市值筛选条件的上市公司作为指数样本，以反映金融行业内较具代表性与可投资性的上市公司证券的整体表现</w:t>
      </w:r>
      <w:r w:rsidRPr="00D05755">
        <w:rPr>
          <w:rFonts w:ascii="宋体" w:hAnsi="宋体" w:cs="宋体" w:hint="eastAsia"/>
          <w:kern w:val="0"/>
          <w:sz w:val="24"/>
          <w:szCs w:val="24"/>
        </w:rPr>
        <w:t>，适合作为本基金A股股票部分的业绩比较基准要素</w:t>
      </w:r>
      <w:r w:rsidRPr="00D05755">
        <w:rPr>
          <w:rFonts w:ascii="宋体" w:hAnsi="宋体" w:cs="宋体"/>
          <w:kern w:val="0"/>
          <w:sz w:val="24"/>
          <w:szCs w:val="24"/>
        </w:rPr>
        <w:t>。</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hint="eastAsia"/>
          <w:kern w:val="0"/>
          <w:sz w:val="24"/>
          <w:szCs w:val="24"/>
        </w:rPr>
        <w:t>中证港股通内地金融指数（港元）由</w:t>
      </w:r>
      <w:r w:rsidRPr="00D05755">
        <w:rPr>
          <w:rFonts w:ascii="宋体" w:hAnsi="宋体" w:cs="宋体"/>
          <w:kern w:val="0"/>
          <w:sz w:val="24"/>
          <w:szCs w:val="24"/>
        </w:rPr>
        <w:t>中证</w:t>
      </w:r>
      <w:r w:rsidRPr="00D05755">
        <w:rPr>
          <w:rFonts w:ascii="宋体" w:hAnsi="宋体" w:cs="宋体" w:hint="eastAsia"/>
          <w:kern w:val="0"/>
          <w:sz w:val="24"/>
          <w:szCs w:val="24"/>
        </w:rPr>
        <w:t>指数有限公司编制，从港股</w:t>
      </w:r>
      <w:proofErr w:type="gramStart"/>
      <w:r w:rsidRPr="00D05755">
        <w:rPr>
          <w:rFonts w:ascii="宋体" w:hAnsi="宋体" w:cs="宋体" w:hint="eastAsia"/>
          <w:kern w:val="0"/>
          <w:sz w:val="24"/>
          <w:szCs w:val="24"/>
        </w:rPr>
        <w:t>通范围</w:t>
      </w:r>
      <w:proofErr w:type="gramEnd"/>
      <w:r w:rsidRPr="00D05755">
        <w:rPr>
          <w:rFonts w:ascii="宋体" w:hAnsi="宋体" w:cs="宋体" w:hint="eastAsia"/>
          <w:kern w:val="0"/>
          <w:sz w:val="24"/>
          <w:szCs w:val="24"/>
        </w:rPr>
        <w:t>内选取</w:t>
      </w:r>
      <w:r w:rsidRPr="00D05755">
        <w:rPr>
          <w:rFonts w:ascii="宋体" w:hAnsi="宋体" w:cs="宋体"/>
          <w:kern w:val="0"/>
          <w:sz w:val="24"/>
          <w:szCs w:val="24"/>
        </w:rPr>
        <w:t>内地控股金融主题上市公司证券作为指数样本，以反映港股</w:t>
      </w:r>
      <w:proofErr w:type="gramStart"/>
      <w:r w:rsidRPr="00D05755">
        <w:rPr>
          <w:rFonts w:ascii="宋体" w:hAnsi="宋体" w:cs="宋体"/>
          <w:kern w:val="0"/>
          <w:sz w:val="24"/>
          <w:szCs w:val="24"/>
        </w:rPr>
        <w:t>通范围</w:t>
      </w:r>
      <w:proofErr w:type="gramEnd"/>
      <w:r w:rsidRPr="00D05755">
        <w:rPr>
          <w:rFonts w:ascii="宋体" w:hAnsi="宋体" w:cs="宋体"/>
          <w:kern w:val="0"/>
          <w:sz w:val="24"/>
          <w:szCs w:val="24"/>
        </w:rPr>
        <w:t>内内地金融上市公司证券的整体表现，适合作为本基金港股通</w:t>
      </w:r>
      <w:r w:rsidRPr="00D05755">
        <w:rPr>
          <w:rFonts w:ascii="宋体" w:hAnsi="宋体" w:cs="宋体" w:hint="eastAsia"/>
          <w:kern w:val="0"/>
          <w:sz w:val="24"/>
          <w:szCs w:val="24"/>
        </w:rPr>
        <w:t>标的</w:t>
      </w:r>
      <w:r w:rsidRPr="00D05755">
        <w:rPr>
          <w:rFonts w:ascii="宋体" w:hAnsi="宋体" w:cs="宋体"/>
          <w:kern w:val="0"/>
          <w:sz w:val="24"/>
          <w:szCs w:val="24"/>
        </w:rPr>
        <w:t>股票部分的业绩比较基准要素。</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hint="eastAsia"/>
          <w:kern w:val="0"/>
          <w:sz w:val="24"/>
          <w:szCs w:val="24"/>
        </w:rPr>
        <w:t>（3）基于基金投资目标、投资范围和投资策略，本基金的债券资产采用全市场策略，主要通过类属配置与券种选择进行投资管理，预期</w:t>
      </w:r>
      <w:proofErr w:type="gramStart"/>
      <w:r w:rsidRPr="00D05755">
        <w:rPr>
          <w:rStyle w:val="custom"/>
          <w:rFonts w:ascii="宋体" w:hAnsi="宋体" w:cs="宋体" w:hint="eastAsia"/>
          <w:kern w:val="0"/>
          <w:sz w:val="24"/>
          <w:szCs w:val="24"/>
        </w:rPr>
        <w:t>组合久期整体</w:t>
      </w:r>
      <w:proofErr w:type="gramEnd"/>
      <w:r w:rsidRPr="00D05755">
        <w:rPr>
          <w:rStyle w:val="custom"/>
          <w:rFonts w:ascii="宋体" w:hAnsi="宋体" w:cs="宋体" w:hint="eastAsia"/>
          <w:kern w:val="0"/>
          <w:sz w:val="24"/>
          <w:szCs w:val="24"/>
        </w:rPr>
        <w:t>偏向于中</w:t>
      </w:r>
      <w:proofErr w:type="gramStart"/>
      <w:r w:rsidRPr="00D05755">
        <w:rPr>
          <w:rStyle w:val="custom"/>
          <w:rFonts w:ascii="宋体" w:hAnsi="宋体" w:cs="宋体" w:hint="eastAsia"/>
          <w:kern w:val="0"/>
          <w:sz w:val="24"/>
          <w:szCs w:val="24"/>
        </w:rPr>
        <w:t>短久期</w:t>
      </w:r>
      <w:proofErr w:type="gramEnd"/>
      <w:r w:rsidRPr="00D05755">
        <w:rPr>
          <w:rStyle w:val="custom"/>
          <w:rFonts w:ascii="宋体" w:hAnsi="宋体" w:cs="宋体" w:hint="eastAsia"/>
          <w:kern w:val="0"/>
          <w:sz w:val="24"/>
          <w:szCs w:val="24"/>
        </w:rPr>
        <w:t>。综合考虑基准指数与产品定位和投资风格的匹配度，同时兼顾考虑基准指数的表征性、认可度，以及基准指数券种、久期、信用等级分布特征等，选取</w:t>
      </w:r>
      <w:r w:rsidRPr="00D05755">
        <w:rPr>
          <w:rStyle w:val="custom"/>
          <w:rFonts w:ascii="宋体" w:hAnsi="宋体" w:cs="宋体"/>
          <w:kern w:val="0"/>
          <w:sz w:val="24"/>
          <w:szCs w:val="24"/>
        </w:rPr>
        <w:t>中债-国债总全价（1-3年）</w:t>
      </w:r>
      <w:r w:rsidRPr="00D05755">
        <w:rPr>
          <w:rStyle w:val="custom"/>
          <w:rFonts w:ascii="宋体" w:hAnsi="宋体" w:cs="宋体" w:hint="eastAsia"/>
          <w:kern w:val="0"/>
          <w:sz w:val="24"/>
          <w:szCs w:val="24"/>
        </w:rPr>
        <w:t>指数作为债券部分的业绩比较基准要素。</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中债-国债总全价（1-3年）指数隶属于中债-国债总指数，该指数成</w:t>
      </w:r>
      <w:r w:rsidRPr="00D05755">
        <w:rPr>
          <w:rFonts w:ascii="宋体" w:hAnsi="宋体" w:cs="宋体" w:hint="eastAsia"/>
          <w:kern w:val="0"/>
          <w:sz w:val="24"/>
          <w:szCs w:val="24"/>
        </w:rPr>
        <w:t>份</w:t>
      </w:r>
      <w:proofErr w:type="gramStart"/>
      <w:r w:rsidRPr="00D05755">
        <w:rPr>
          <w:rFonts w:ascii="宋体" w:hAnsi="宋体" w:cs="宋体"/>
          <w:kern w:val="0"/>
          <w:sz w:val="24"/>
          <w:szCs w:val="24"/>
        </w:rPr>
        <w:t>券</w:t>
      </w:r>
      <w:proofErr w:type="gramEnd"/>
      <w:r w:rsidRPr="00D05755">
        <w:rPr>
          <w:rFonts w:ascii="宋体" w:hAnsi="宋体" w:cs="宋体"/>
          <w:kern w:val="0"/>
          <w:sz w:val="24"/>
          <w:szCs w:val="24"/>
        </w:rPr>
        <w:t>由在境内公开发行且上市流通的记账式国债组成，是一个反映境内记账式国债整体价格走势情况的总指数，适合作为本基金债券部分的业绩比较基准要素</w:t>
      </w:r>
      <w:r w:rsidRPr="00D05755">
        <w:rPr>
          <w:rFonts w:ascii="宋体" w:hAnsi="宋体" w:cs="宋体" w:hint="eastAsia"/>
          <w:kern w:val="0"/>
          <w:sz w:val="24"/>
          <w:szCs w:val="24"/>
        </w:rPr>
        <w:t>。</w:t>
      </w:r>
    </w:p>
    <w:p w:rsidR="00E8691A" w:rsidRPr="00D05755" w:rsidRDefault="006E24B4">
      <w:pPr>
        <w:pStyle w:val="div"/>
        <w:numPr>
          <w:ilvl w:val="255"/>
          <w:numId w:val="0"/>
        </w:numPr>
        <w:spacing w:line="360" w:lineRule="auto"/>
        <w:ind w:firstLine="420"/>
        <w:rPr>
          <w:rStyle w:val="custom"/>
          <w:rFonts w:ascii="宋体" w:hAnsi="宋体" w:cs="宋体"/>
          <w:kern w:val="0"/>
          <w:sz w:val="24"/>
          <w:szCs w:val="24"/>
        </w:rPr>
      </w:pPr>
      <w:r w:rsidRPr="00D05755">
        <w:rPr>
          <w:rStyle w:val="custom"/>
          <w:rFonts w:ascii="宋体" w:hAnsi="宋体" w:cs="宋体" w:hint="eastAsia"/>
          <w:kern w:val="0"/>
          <w:sz w:val="24"/>
          <w:szCs w:val="24"/>
        </w:rPr>
        <w:t>（4）基于本基金</w:t>
      </w:r>
      <w:r w:rsidRPr="00D05755">
        <w:rPr>
          <w:rStyle w:val="custom"/>
          <w:rFonts w:ascii="宋体" w:hAnsi="宋体" w:cs="宋体"/>
          <w:kern w:val="0"/>
          <w:sz w:val="24"/>
          <w:szCs w:val="24"/>
        </w:rPr>
        <w:t>每个交易日日终在扣除国债期货、股指期货和股票期权合约需缴纳的交易保证金后，保留的现金或投资于到期日在一年以内的政府债券的比例合计不低于基金资产净值的5%</w:t>
      </w:r>
      <w:r w:rsidRPr="00D05755">
        <w:rPr>
          <w:rStyle w:val="custom"/>
          <w:rFonts w:ascii="宋体" w:hAnsi="宋体" w:cs="宋体" w:hint="eastAsia"/>
          <w:kern w:val="0"/>
          <w:sz w:val="24"/>
          <w:szCs w:val="24"/>
        </w:rPr>
        <w:t>，选取活期存款基准利率作为本基金流动性管理部分的业绩比较基准要素。</w:t>
      </w:r>
    </w:p>
    <w:p w:rsidR="00E8691A" w:rsidRPr="00D05755" w:rsidRDefault="006E24B4">
      <w:pPr>
        <w:pStyle w:val="div"/>
        <w:numPr>
          <w:ilvl w:val="255"/>
          <w:numId w:val="0"/>
        </w:numPr>
        <w:spacing w:line="360" w:lineRule="auto"/>
        <w:ind w:firstLine="420"/>
        <w:rPr>
          <w:rStyle w:val="custom"/>
          <w:rFonts w:ascii="宋体" w:hAnsi="宋体" w:cs="宋体"/>
          <w:kern w:val="0"/>
          <w:sz w:val="24"/>
          <w:szCs w:val="24"/>
        </w:rPr>
      </w:pPr>
      <w:r w:rsidRPr="00D05755">
        <w:rPr>
          <w:rStyle w:val="custom"/>
          <w:rFonts w:ascii="宋体" w:hAnsi="宋体" w:cs="宋体" w:hint="eastAsia"/>
          <w:kern w:val="0"/>
          <w:sz w:val="24"/>
          <w:szCs w:val="24"/>
        </w:rPr>
        <w:t>活期存款基准利率具有较强的权威性和市场影响力，适合作为本基金流动性管理部分的业绩比较基准要素。</w:t>
      </w:r>
    </w:p>
    <w:p w:rsidR="00E8691A" w:rsidRPr="00D05755" w:rsidRDefault="006E24B4">
      <w:pPr>
        <w:pStyle w:val="div"/>
        <w:numPr>
          <w:ilvl w:val="255"/>
          <w:numId w:val="0"/>
        </w:numPr>
        <w:spacing w:line="360" w:lineRule="auto"/>
        <w:ind w:firstLine="420"/>
        <w:rPr>
          <w:rStyle w:val="custom"/>
          <w:rFonts w:ascii="宋体" w:hAnsi="宋体" w:cs="宋体"/>
          <w:kern w:val="0"/>
          <w:sz w:val="24"/>
          <w:szCs w:val="24"/>
        </w:rPr>
      </w:pPr>
      <w:r w:rsidRPr="00D05755">
        <w:rPr>
          <w:rStyle w:val="custom"/>
          <w:rFonts w:ascii="宋体" w:hAnsi="宋体" w:cs="宋体" w:hint="eastAsia"/>
          <w:kern w:val="0"/>
          <w:sz w:val="24"/>
          <w:szCs w:val="24"/>
        </w:rPr>
        <w:t>综上，本基金选取的业绩比较基准与基金投资目标、投资范围、投资策略、投资比例限制相匹配。</w:t>
      </w:r>
    </w:p>
    <w:p w:rsidR="00E8691A" w:rsidRPr="00D05755" w:rsidRDefault="006E24B4">
      <w:pPr>
        <w:pStyle w:val="div"/>
        <w:numPr>
          <w:ilvl w:val="0"/>
          <w:numId w:val="2"/>
        </w:numPr>
        <w:spacing w:line="360" w:lineRule="auto"/>
        <w:ind w:firstLineChars="200" w:firstLine="480"/>
        <w:rPr>
          <w:rStyle w:val="custom"/>
          <w:rFonts w:ascii="宋体" w:hAnsi="宋体" w:cs="宋体"/>
          <w:kern w:val="0"/>
          <w:sz w:val="24"/>
          <w:szCs w:val="24"/>
        </w:rPr>
      </w:pPr>
      <w:r w:rsidRPr="00D05755">
        <w:rPr>
          <w:rStyle w:val="custom"/>
          <w:rFonts w:ascii="宋体" w:hAnsi="宋体" w:cs="宋体" w:hint="eastAsia"/>
          <w:kern w:val="0"/>
          <w:sz w:val="24"/>
          <w:szCs w:val="24"/>
        </w:rPr>
        <w:t>业绩比较基准要素的基本信息</w:t>
      </w:r>
    </w:p>
    <w:p w:rsidR="00E8691A" w:rsidRPr="00D05755" w:rsidRDefault="006E24B4">
      <w:pPr>
        <w:pStyle w:val="div"/>
        <w:numPr>
          <w:ilvl w:val="255"/>
          <w:numId w:val="0"/>
        </w:numPr>
        <w:spacing w:line="360" w:lineRule="auto"/>
        <w:ind w:firstLineChars="200" w:firstLine="480"/>
        <w:rPr>
          <w:rStyle w:val="custom"/>
          <w:rFonts w:ascii="宋体" w:hAnsi="宋体" w:cs="宋体"/>
          <w:kern w:val="0"/>
          <w:sz w:val="24"/>
          <w:szCs w:val="24"/>
        </w:rPr>
      </w:pPr>
      <w:proofErr w:type="gramStart"/>
      <w:r w:rsidRPr="00D05755">
        <w:rPr>
          <w:rFonts w:ascii="宋体" w:hAnsi="宋体" w:cs="宋体"/>
          <w:kern w:val="0"/>
          <w:sz w:val="24"/>
          <w:szCs w:val="24"/>
        </w:rPr>
        <w:t>中证全指</w:t>
      </w:r>
      <w:proofErr w:type="gramEnd"/>
      <w:r w:rsidRPr="00D05755">
        <w:rPr>
          <w:rFonts w:ascii="宋体" w:hAnsi="宋体" w:cs="宋体"/>
          <w:kern w:val="0"/>
          <w:sz w:val="24"/>
          <w:szCs w:val="24"/>
        </w:rPr>
        <w:t>金融</w:t>
      </w:r>
      <w:r w:rsidRPr="00D05755">
        <w:rPr>
          <w:rFonts w:ascii="宋体" w:hAnsi="宋体" w:cs="宋体" w:hint="eastAsia"/>
          <w:kern w:val="0"/>
          <w:sz w:val="24"/>
          <w:szCs w:val="24"/>
        </w:rPr>
        <w:t>指数</w:t>
      </w:r>
      <w:r w:rsidRPr="00D05755">
        <w:rPr>
          <w:rStyle w:val="custom"/>
          <w:rFonts w:ascii="宋体" w:hAnsi="宋体" w:cs="宋体" w:hint="eastAsia"/>
          <w:kern w:val="0"/>
          <w:sz w:val="24"/>
          <w:szCs w:val="24"/>
        </w:rPr>
        <w:t>由中证指数有限公司编制发布，指数代码为</w:t>
      </w:r>
      <w:r w:rsidRPr="00D05755">
        <w:rPr>
          <w:rStyle w:val="custom"/>
          <w:rFonts w:ascii="宋体" w:hAnsi="宋体" w:cs="宋体"/>
          <w:kern w:val="0"/>
          <w:sz w:val="24"/>
          <w:szCs w:val="24"/>
        </w:rPr>
        <w:t>932075</w:t>
      </w:r>
      <w:r w:rsidRPr="00D05755">
        <w:rPr>
          <w:rStyle w:val="custom"/>
          <w:rFonts w:ascii="宋体" w:hAnsi="宋体" w:cs="宋体" w:hint="eastAsia"/>
          <w:kern w:val="0"/>
          <w:sz w:val="24"/>
          <w:szCs w:val="24"/>
        </w:rPr>
        <w:t>，指数具体信息详见中证指数有限公司网站，网址：</w:t>
      </w:r>
      <w:hyperlink r:id="rId9" w:history="1">
        <w:r w:rsidRPr="00D05755">
          <w:rPr>
            <w:rStyle w:val="custom"/>
            <w:rFonts w:ascii="宋体" w:hAnsi="宋体" w:cs="宋体"/>
            <w:kern w:val="0"/>
            <w:sz w:val="24"/>
            <w:szCs w:val="24"/>
          </w:rPr>
          <w:t>www.csindex.com.cn</w:t>
        </w:r>
      </w:hyperlink>
      <w:r w:rsidRPr="00D05755">
        <w:rPr>
          <w:rStyle w:val="custom"/>
          <w:rFonts w:ascii="宋体" w:hAnsi="宋体" w:cs="宋体" w:hint="eastAsia"/>
          <w:kern w:val="0"/>
          <w:sz w:val="24"/>
          <w:szCs w:val="24"/>
        </w:rPr>
        <w:t>。</w:t>
      </w:r>
    </w:p>
    <w:p w:rsidR="00E8691A" w:rsidRPr="00D05755" w:rsidRDefault="006E24B4">
      <w:pPr>
        <w:pStyle w:val="div"/>
        <w:numPr>
          <w:ilvl w:val="255"/>
          <w:numId w:val="0"/>
        </w:numPr>
        <w:spacing w:line="360" w:lineRule="auto"/>
        <w:ind w:firstLineChars="200" w:firstLine="480"/>
      </w:pPr>
      <w:r w:rsidRPr="00D05755">
        <w:rPr>
          <w:rFonts w:ascii="宋体" w:hAnsi="宋体" w:cs="宋体" w:hint="eastAsia"/>
          <w:kern w:val="0"/>
          <w:sz w:val="24"/>
          <w:szCs w:val="24"/>
        </w:rPr>
        <w:t>中证港股通内地金融指数（港元）</w:t>
      </w:r>
      <w:r w:rsidRPr="00D05755">
        <w:rPr>
          <w:rStyle w:val="custom"/>
          <w:rFonts w:ascii="宋体" w:hAnsi="宋体" w:cs="宋体" w:hint="eastAsia"/>
          <w:kern w:val="0"/>
          <w:sz w:val="24"/>
          <w:szCs w:val="24"/>
        </w:rPr>
        <w:t>由中证指数有限公司编制发布，指数代码为</w:t>
      </w:r>
      <w:r w:rsidRPr="00D05755">
        <w:rPr>
          <w:rStyle w:val="custom"/>
          <w:rFonts w:ascii="宋体" w:hAnsi="宋体" w:cs="宋体"/>
          <w:kern w:val="0"/>
          <w:sz w:val="24"/>
          <w:szCs w:val="24"/>
        </w:rPr>
        <w:t>H11146</w:t>
      </w:r>
      <w:r w:rsidRPr="00D05755">
        <w:rPr>
          <w:rStyle w:val="custom"/>
          <w:rFonts w:ascii="宋体" w:hAnsi="宋体" w:cs="宋体" w:hint="eastAsia"/>
          <w:kern w:val="0"/>
          <w:sz w:val="24"/>
          <w:szCs w:val="24"/>
        </w:rPr>
        <w:t>，指数具体信息详见中证指数有限公司网站，网址：</w:t>
      </w:r>
      <w:hyperlink r:id="rId10" w:history="1">
        <w:r w:rsidRPr="00D05755">
          <w:rPr>
            <w:rStyle w:val="custom"/>
            <w:rFonts w:ascii="宋体" w:hAnsi="宋体" w:cs="宋体"/>
            <w:kern w:val="0"/>
            <w:sz w:val="24"/>
            <w:szCs w:val="24"/>
          </w:rPr>
          <w:t>www.csindex.com.cn</w:t>
        </w:r>
      </w:hyperlink>
      <w:r w:rsidRPr="00D05755">
        <w:rPr>
          <w:rFonts w:hint="eastAsia"/>
        </w:rPr>
        <w:t>。</w:t>
      </w:r>
    </w:p>
    <w:p w:rsidR="00FD1E5B" w:rsidRDefault="00FD1E5B" w:rsidP="00FD1E5B">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中债-国债总全价（1-3年）指数由</w:t>
      </w:r>
      <w:r w:rsidRPr="00480AB6">
        <w:rPr>
          <w:rFonts w:ascii="宋体" w:hAnsi="宋体" w:cs="宋体" w:hint="eastAsia"/>
          <w:kern w:val="0"/>
          <w:sz w:val="24"/>
          <w:szCs w:val="24"/>
        </w:rPr>
        <w:t>中</w:t>
      </w:r>
      <w:proofErr w:type="gramStart"/>
      <w:r w:rsidRPr="00480AB6">
        <w:rPr>
          <w:rFonts w:ascii="宋体" w:hAnsi="宋体" w:cs="宋体" w:hint="eastAsia"/>
          <w:kern w:val="0"/>
          <w:sz w:val="24"/>
          <w:szCs w:val="24"/>
        </w:rPr>
        <w:t>债金融</w:t>
      </w:r>
      <w:proofErr w:type="gramEnd"/>
      <w:r w:rsidRPr="00480AB6">
        <w:rPr>
          <w:rFonts w:ascii="宋体" w:hAnsi="宋体" w:cs="宋体" w:hint="eastAsia"/>
          <w:kern w:val="0"/>
          <w:sz w:val="24"/>
          <w:szCs w:val="24"/>
        </w:rPr>
        <w:t>估值中心有限公司</w:t>
      </w:r>
      <w:r>
        <w:rPr>
          <w:rFonts w:ascii="宋体" w:hAnsi="宋体" w:cs="宋体"/>
          <w:kern w:val="0"/>
          <w:sz w:val="24"/>
          <w:szCs w:val="24"/>
        </w:rPr>
        <w:t>编制发布，指数代码为CBA00623,指数具体信息详见</w:t>
      </w:r>
      <w:r w:rsidRPr="00927FD7">
        <w:rPr>
          <w:rFonts w:ascii="宋体" w:hAnsi="宋体" w:cs="宋体" w:hint="eastAsia"/>
          <w:kern w:val="0"/>
          <w:sz w:val="24"/>
          <w:szCs w:val="24"/>
        </w:rPr>
        <w:t>中</w:t>
      </w:r>
      <w:proofErr w:type="gramStart"/>
      <w:r w:rsidRPr="00927FD7">
        <w:rPr>
          <w:rFonts w:ascii="宋体" w:hAnsi="宋体" w:cs="宋体" w:hint="eastAsia"/>
          <w:kern w:val="0"/>
          <w:sz w:val="24"/>
          <w:szCs w:val="24"/>
        </w:rPr>
        <w:t>债金融</w:t>
      </w:r>
      <w:proofErr w:type="gramEnd"/>
      <w:r w:rsidRPr="00927FD7">
        <w:rPr>
          <w:rFonts w:ascii="宋体" w:hAnsi="宋体" w:cs="宋体" w:hint="eastAsia"/>
          <w:kern w:val="0"/>
          <w:sz w:val="24"/>
          <w:szCs w:val="24"/>
        </w:rPr>
        <w:t>估值中心官网</w:t>
      </w:r>
      <w:r>
        <w:rPr>
          <w:rFonts w:ascii="宋体" w:hAnsi="宋体" w:cs="宋体"/>
          <w:kern w:val="0"/>
          <w:sz w:val="24"/>
          <w:szCs w:val="24"/>
        </w:rPr>
        <w:t>，网址：</w:t>
      </w:r>
      <w:r w:rsidRPr="00927FD7">
        <w:rPr>
          <w:rFonts w:ascii="宋体" w:hAnsi="宋体" w:cs="宋体"/>
          <w:kern w:val="0"/>
          <w:sz w:val="24"/>
          <w:szCs w:val="24"/>
        </w:rPr>
        <w:t>index.chinabond.com.cn</w:t>
      </w:r>
      <w:r>
        <w:rPr>
          <w:rFonts w:ascii="宋体" w:hAnsi="宋体" w:cs="宋体"/>
          <w:kern w:val="0"/>
          <w:sz w:val="24"/>
          <w:szCs w:val="24"/>
        </w:rPr>
        <w:t>。</w:t>
      </w:r>
    </w:p>
    <w:p w:rsidR="00E8691A" w:rsidRPr="00D05755" w:rsidRDefault="006E24B4">
      <w:pPr>
        <w:pStyle w:val="div"/>
        <w:numPr>
          <w:ilvl w:val="255"/>
          <w:numId w:val="0"/>
        </w:numPr>
        <w:spacing w:line="360" w:lineRule="auto"/>
        <w:ind w:firstLineChars="200" w:firstLine="480"/>
        <w:rPr>
          <w:rStyle w:val="custom"/>
          <w:rFonts w:ascii="宋体" w:hAnsi="宋体" w:cs="宋体"/>
          <w:kern w:val="0"/>
          <w:sz w:val="24"/>
          <w:szCs w:val="24"/>
        </w:rPr>
      </w:pPr>
      <w:r w:rsidRPr="00D05755">
        <w:rPr>
          <w:rStyle w:val="custom"/>
          <w:rFonts w:ascii="宋体" w:hAnsi="宋体" w:cs="宋体" w:hint="eastAsia"/>
          <w:kern w:val="0"/>
          <w:sz w:val="24"/>
          <w:szCs w:val="24"/>
        </w:rPr>
        <w:t>活期存款基准利率由中国人民银行制定并发布，具体信息详见</w:t>
      </w:r>
      <w:hyperlink r:id="rId11" w:history="1">
        <w:r w:rsidRPr="00D05755">
          <w:rPr>
            <w:rStyle w:val="custom"/>
            <w:rFonts w:ascii="宋体" w:hAnsi="宋体" w:cs="宋体" w:hint="eastAsia"/>
            <w:kern w:val="0"/>
            <w:sz w:val="24"/>
            <w:szCs w:val="24"/>
            <w:shd w:val="clear" w:color="auto" w:fill="FFFFFF"/>
          </w:rPr>
          <w:t>中国人民银行网站</w:t>
        </w:r>
      </w:hyperlink>
      <w:r w:rsidRPr="00D05755">
        <w:rPr>
          <w:rStyle w:val="custom"/>
          <w:rFonts w:ascii="宋体" w:hAnsi="宋体" w:cs="宋体" w:hint="eastAsia"/>
          <w:kern w:val="0"/>
          <w:sz w:val="24"/>
          <w:szCs w:val="24"/>
        </w:rPr>
        <w:t>，网址：</w:t>
      </w:r>
      <w:r w:rsidRPr="00526622">
        <w:rPr>
          <w:rFonts w:ascii="宋体" w:hAnsi="宋体" w:cs="宋体" w:hint="eastAsia"/>
          <w:kern w:val="0"/>
          <w:sz w:val="24"/>
          <w:szCs w:val="24"/>
          <w:shd w:val="clear" w:color="auto" w:fill="FFFFFF"/>
        </w:rPr>
        <w:t>www.pbc.gov.cn</w:t>
      </w:r>
      <w:r w:rsidRPr="00D05755">
        <w:rPr>
          <w:rStyle w:val="custom"/>
          <w:rFonts w:ascii="宋体" w:hAnsi="宋体" w:cs="宋体" w:hint="eastAsia"/>
          <w:kern w:val="0"/>
          <w:sz w:val="24"/>
          <w:szCs w:val="24"/>
        </w:rPr>
        <w:t>。</w:t>
      </w:r>
    </w:p>
    <w:p w:rsidR="00E8691A" w:rsidRPr="00D05755" w:rsidRDefault="006E24B4">
      <w:pPr>
        <w:pStyle w:val="div"/>
        <w:numPr>
          <w:ilvl w:val="255"/>
          <w:numId w:val="0"/>
        </w:numPr>
        <w:spacing w:line="360" w:lineRule="auto"/>
        <w:ind w:firstLineChars="200" w:firstLine="480"/>
        <w:rPr>
          <w:rStyle w:val="custom"/>
          <w:rFonts w:ascii="宋体" w:hAnsi="宋体" w:cs="宋体"/>
          <w:b/>
          <w:bCs/>
          <w:kern w:val="0"/>
          <w:sz w:val="24"/>
          <w:szCs w:val="24"/>
        </w:rPr>
      </w:pPr>
      <w:r w:rsidRPr="00D05755">
        <w:rPr>
          <w:rStyle w:val="custom"/>
          <w:rFonts w:ascii="宋体" w:hAnsi="宋体" w:cs="宋体" w:hint="eastAsia"/>
          <w:kern w:val="0"/>
          <w:sz w:val="24"/>
          <w:szCs w:val="24"/>
        </w:rPr>
        <w:t>3、业绩比较基准的计算方法</w:t>
      </w:r>
    </w:p>
    <w:p w:rsidR="00E8691A" w:rsidRPr="00D05755" w:rsidRDefault="006E24B4">
      <w:pPr>
        <w:pStyle w:val="div"/>
        <w:numPr>
          <w:ilvl w:val="255"/>
          <w:numId w:val="0"/>
        </w:numPr>
        <w:spacing w:line="360" w:lineRule="auto"/>
        <w:ind w:firstLineChars="200" w:firstLine="480"/>
        <w:rPr>
          <w:rStyle w:val="custom"/>
          <w:rFonts w:ascii="宋体" w:hAnsi="宋体" w:cs="宋体"/>
          <w:kern w:val="0"/>
          <w:sz w:val="24"/>
          <w:szCs w:val="24"/>
        </w:rPr>
      </w:pPr>
      <w:r w:rsidRPr="00D05755">
        <w:rPr>
          <w:rStyle w:val="custom"/>
          <w:rFonts w:ascii="宋体" w:hAnsi="宋体" w:cs="宋体" w:hint="eastAsia"/>
          <w:kern w:val="0"/>
          <w:sz w:val="24"/>
          <w:szCs w:val="24"/>
        </w:rPr>
        <w:t>本基金业绩比较基准收益率的计算方法以每日收益率为基础，以时间加权为计算原则。本基金先分别计算业绩比较基准中</w:t>
      </w:r>
      <w:proofErr w:type="gramStart"/>
      <w:r w:rsidRPr="00D05755">
        <w:rPr>
          <w:rFonts w:ascii="宋体" w:hAnsi="宋体" w:cs="宋体"/>
          <w:kern w:val="0"/>
          <w:sz w:val="24"/>
          <w:szCs w:val="24"/>
        </w:rPr>
        <w:t>中证全</w:t>
      </w:r>
      <w:proofErr w:type="gramEnd"/>
      <w:r w:rsidRPr="00D05755">
        <w:rPr>
          <w:rFonts w:ascii="宋体" w:hAnsi="宋体" w:cs="宋体"/>
          <w:kern w:val="0"/>
          <w:sz w:val="24"/>
          <w:szCs w:val="24"/>
        </w:rPr>
        <w:t>指金融</w:t>
      </w:r>
      <w:r w:rsidRPr="00D05755">
        <w:rPr>
          <w:rFonts w:ascii="宋体" w:hAnsi="宋体" w:cs="宋体" w:hint="eastAsia"/>
          <w:kern w:val="0"/>
          <w:sz w:val="24"/>
          <w:szCs w:val="24"/>
        </w:rPr>
        <w:t>指数、中证港股通内地金融指数（港元）</w:t>
      </w:r>
      <w:r w:rsidRPr="00D05755">
        <w:rPr>
          <w:rStyle w:val="custom"/>
          <w:rFonts w:ascii="宋体" w:hAnsi="宋体" w:cs="宋体" w:hint="eastAsia"/>
          <w:kern w:val="0"/>
          <w:sz w:val="24"/>
          <w:szCs w:val="24"/>
        </w:rPr>
        <w:t>、</w:t>
      </w:r>
      <w:r w:rsidRPr="00D05755">
        <w:rPr>
          <w:rStyle w:val="custom"/>
          <w:rFonts w:ascii="宋体" w:hAnsi="宋体" w:cs="宋体"/>
          <w:kern w:val="0"/>
          <w:sz w:val="24"/>
          <w:szCs w:val="24"/>
        </w:rPr>
        <w:t>中债-国债总全价（1-3年）指数、</w:t>
      </w:r>
      <w:r w:rsidRPr="00D05755">
        <w:rPr>
          <w:rFonts w:ascii="宋体" w:hAnsi="宋体" w:cs="宋体"/>
          <w:sz w:val="24"/>
          <w:szCs w:val="24"/>
        </w:rPr>
        <w:t>活期存款基准利率</w:t>
      </w:r>
      <w:r w:rsidRPr="00D05755">
        <w:rPr>
          <w:rStyle w:val="custom"/>
          <w:rFonts w:ascii="宋体" w:hAnsi="宋体" w:cs="宋体" w:hint="eastAsia"/>
          <w:kern w:val="0"/>
          <w:sz w:val="24"/>
          <w:szCs w:val="24"/>
        </w:rPr>
        <w:t>的每日收益率，再按照预设权重比例计算当日组合要素基准的日收益率，并连乘每日收益率。其中，</w:t>
      </w:r>
      <w:r w:rsidRPr="00D05755">
        <w:rPr>
          <w:rFonts w:ascii="宋体" w:hAnsi="宋体" w:cs="宋体" w:hint="eastAsia"/>
          <w:kern w:val="0"/>
          <w:sz w:val="24"/>
          <w:szCs w:val="24"/>
        </w:rPr>
        <w:t>中证港股通内地金融指数（港元）</w:t>
      </w:r>
      <w:r w:rsidRPr="00D05755">
        <w:rPr>
          <w:rStyle w:val="custom"/>
          <w:rFonts w:ascii="宋体" w:hAnsi="宋体" w:cs="宋体" w:hint="eastAsia"/>
          <w:kern w:val="0"/>
          <w:sz w:val="24"/>
          <w:szCs w:val="24"/>
        </w:rPr>
        <w:t>收益率采用估值汇率进行调整，由港元计价折算为人民币计价后，再纳入计算。</w:t>
      </w:r>
    </w:p>
    <w:p w:rsidR="00E8691A" w:rsidRPr="00D05755" w:rsidRDefault="006E24B4">
      <w:pPr>
        <w:pStyle w:val="div"/>
        <w:numPr>
          <w:ilvl w:val="255"/>
          <w:numId w:val="0"/>
        </w:numPr>
        <w:spacing w:line="360" w:lineRule="auto"/>
        <w:ind w:firstLineChars="200" w:firstLine="480"/>
        <w:rPr>
          <w:rStyle w:val="custom"/>
          <w:rFonts w:ascii="宋体" w:hAnsi="宋体" w:cs="宋体"/>
          <w:b/>
          <w:bCs/>
          <w:kern w:val="0"/>
          <w:sz w:val="24"/>
          <w:szCs w:val="24"/>
        </w:rPr>
      </w:pPr>
      <w:r w:rsidRPr="00D05755">
        <w:rPr>
          <w:rStyle w:val="custom"/>
          <w:rFonts w:ascii="宋体" w:hAnsi="宋体" w:cs="宋体" w:hint="eastAsia"/>
          <w:kern w:val="0"/>
          <w:sz w:val="24"/>
          <w:szCs w:val="24"/>
        </w:rPr>
        <w:t>4、管理投资偏离业绩比较基准的定性或定量方法</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hint="eastAsia"/>
          <w:kern w:val="0"/>
          <w:sz w:val="24"/>
          <w:szCs w:val="24"/>
        </w:rPr>
        <w:t>本基金管理人对基金实际投资与业绩比较基准的偏离情况进行动态跟踪与监测评估，监测指标主要包括信息比率、跟踪误差、超额收益、卡</w:t>
      </w:r>
      <w:proofErr w:type="gramStart"/>
      <w:r w:rsidRPr="00D05755">
        <w:rPr>
          <w:rStyle w:val="custom"/>
          <w:rFonts w:ascii="宋体" w:hAnsi="宋体" w:cs="宋体" w:hint="eastAsia"/>
          <w:kern w:val="0"/>
          <w:sz w:val="24"/>
          <w:szCs w:val="24"/>
        </w:rPr>
        <w:t>玛</w:t>
      </w:r>
      <w:proofErr w:type="gramEnd"/>
      <w:r w:rsidRPr="00D05755">
        <w:rPr>
          <w:rStyle w:val="custom"/>
          <w:rFonts w:ascii="宋体" w:hAnsi="宋体" w:cs="宋体" w:hint="eastAsia"/>
          <w:kern w:val="0"/>
          <w:sz w:val="24"/>
          <w:szCs w:val="24"/>
        </w:rPr>
        <w:t>比率等，以更好管理基金实际投资与业绩比较基准的偏离情况，从而在控制风险的基础上追求超越业绩比较基准的投资回报。</w:t>
      </w:r>
    </w:p>
    <w:p w:rsidR="00E8691A" w:rsidRPr="00D05755" w:rsidRDefault="006E24B4">
      <w:pPr>
        <w:pStyle w:val="div"/>
        <w:spacing w:line="360" w:lineRule="auto"/>
        <w:ind w:firstLineChars="200" w:firstLine="480"/>
        <w:rPr>
          <w:rStyle w:val="custom"/>
          <w:rFonts w:ascii="宋体" w:hAnsi="宋体" w:cs="宋体"/>
          <w:kern w:val="0"/>
          <w:sz w:val="24"/>
          <w:szCs w:val="24"/>
        </w:rPr>
      </w:pPr>
      <w:r w:rsidRPr="00D05755">
        <w:rPr>
          <w:rStyle w:val="custom"/>
          <w:rFonts w:ascii="宋体" w:hAnsi="宋体" w:cs="宋体" w:hint="eastAsia"/>
          <w:kern w:val="0"/>
          <w:sz w:val="24"/>
          <w:szCs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sidRPr="00D05755">
        <w:rPr>
          <w:rStyle w:val="custom"/>
          <w:rFonts w:ascii="宋体" w:hAnsi="宋体" w:cs="宋体" w:hint="eastAsia"/>
          <w:kern w:val="0"/>
          <w:sz w:val="24"/>
          <w:szCs w:val="24"/>
        </w:rPr>
        <w:t>研判等</w:t>
      </w:r>
      <w:proofErr w:type="gramEnd"/>
      <w:r w:rsidRPr="00D05755">
        <w:rPr>
          <w:rStyle w:val="custom"/>
          <w:rFonts w:ascii="宋体" w:hAnsi="宋体" w:cs="宋体" w:hint="eastAsia"/>
          <w:kern w:val="0"/>
          <w:sz w:val="24"/>
          <w:szCs w:val="24"/>
        </w:rPr>
        <w:t>综合因素，自主构建投资组合，包括酌情投资于业绩比较基准要素成份证券外的证券。本基金投资组合相对业绩比较基准要素成份证券和权重可能存在偏离。</w:t>
      </w:r>
    </w:p>
    <w:p w:rsidR="00E8691A" w:rsidRPr="00D05755" w:rsidRDefault="006E24B4">
      <w:pPr>
        <w:pStyle w:val="div"/>
        <w:spacing w:line="360" w:lineRule="auto"/>
        <w:ind w:firstLineChars="200" w:firstLine="480"/>
        <w:rPr>
          <w:rStyle w:val="custom"/>
          <w:rFonts w:ascii="宋体" w:hAnsi="宋体" w:cs="宋体"/>
          <w:b/>
          <w:bCs/>
          <w:kern w:val="0"/>
          <w:sz w:val="24"/>
          <w:szCs w:val="24"/>
        </w:rPr>
      </w:pPr>
      <w:r w:rsidRPr="00D05755">
        <w:rPr>
          <w:rStyle w:val="custom"/>
          <w:rFonts w:ascii="宋体" w:hAnsi="宋体" w:cs="宋体" w:hint="eastAsia"/>
          <w:kern w:val="0"/>
          <w:sz w:val="24"/>
          <w:szCs w:val="24"/>
        </w:rPr>
        <w:t>5、未来可能变更业绩比较基准的情况和程序</w:t>
      </w:r>
    </w:p>
    <w:p w:rsidR="00E8691A" w:rsidRPr="00D05755" w:rsidRDefault="006E24B4">
      <w:pPr>
        <w:pStyle w:val="div"/>
        <w:spacing w:line="360" w:lineRule="auto"/>
        <w:ind w:firstLineChars="200" w:firstLine="480"/>
        <w:rPr>
          <w:rStyle w:val="custom"/>
          <w:rFonts w:ascii="宋体" w:hAnsi="宋体" w:cs="宋体"/>
          <w:kern w:val="0"/>
          <w:sz w:val="24"/>
          <w:szCs w:val="24"/>
        </w:rPr>
      </w:pPr>
      <w:r w:rsidRPr="00D05755">
        <w:rPr>
          <w:rStyle w:val="custom"/>
          <w:rFonts w:ascii="宋体" w:hAnsi="宋体" w:cs="宋体" w:hint="eastAsia"/>
          <w:kern w:val="0"/>
          <w:sz w:val="24"/>
          <w:szCs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rsidR="00E8691A" w:rsidRPr="00D05755" w:rsidRDefault="006E24B4">
      <w:pPr>
        <w:pStyle w:val="div"/>
        <w:spacing w:line="360" w:lineRule="auto"/>
        <w:ind w:firstLineChars="200" w:firstLine="480"/>
        <w:rPr>
          <w:rStyle w:val="custom"/>
          <w:rFonts w:ascii="宋体" w:hAnsi="宋体" w:cs="宋体"/>
          <w:kern w:val="0"/>
          <w:sz w:val="24"/>
          <w:szCs w:val="24"/>
        </w:rPr>
      </w:pPr>
      <w:r w:rsidRPr="00D05755">
        <w:rPr>
          <w:rStyle w:val="custom"/>
          <w:rFonts w:ascii="宋体" w:hAnsi="宋体" w:cs="宋体"/>
          <w:kern w:val="0"/>
          <w:sz w:val="24"/>
          <w:szCs w:val="24"/>
        </w:rPr>
        <w:t>(1)</w:t>
      </w:r>
      <w:r w:rsidRPr="00D05755">
        <w:rPr>
          <w:rStyle w:val="custom"/>
          <w:rFonts w:ascii="宋体" w:hAnsi="宋体" w:cs="宋体" w:hint="eastAsia"/>
          <w:kern w:val="0"/>
          <w:sz w:val="24"/>
          <w:szCs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w:t>
      </w:r>
      <w:r w:rsidRPr="00D05755">
        <w:rPr>
          <w:rStyle w:val="custom"/>
          <w:rFonts w:ascii="宋体" w:hAnsi="宋体" w:cs="宋体" w:hint="eastAsia"/>
          <w:kern w:val="0"/>
          <w:sz w:val="24"/>
          <w:szCs w:val="24"/>
        </w:rPr>
        <w:lastRenderedPageBreak/>
        <w:t>国别或地区、市场板块、货币类型等不再匹配；或业绩比较基准的要素不再具备市场代表性；</w:t>
      </w:r>
    </w:p>
    <w:p w:rsidR="00E8691A" w:rsidRPr="00D05755" w:rsidRDefault="006E24B4">
      <w:pPr>
        <w:pStyle w:val="div"/>
        <w:numPr>
          <w:ilvl w:val="255"/>
          <w:numId w:val="0"/>
        </w:numPr>
        <w:spacing w:line="360" w:lineRule="auto"/>
        <w:ind w:firstLineChars="200" w:firstLine="480"/>
        <w:rPr>
          <w:rStyle w:val="custom"/>
          <w:rFonts w:ascii="宋体" w:hAnsi="宋体" w:cs="宋体"/>
          <w:kern w:val="0"/>
          <w:sz w:val="24"/>
          <w:szCs w:val="24"/>
        </w:rPr>
      </w:pPr>
      <w:r w:rsidRPr="00D05755">
        <w:rPr>
          <w:rStyle w:val="custom"/>
          <w:rFonts w:ascii="宋体" w:hAnsi="宋体" w:cs="宋体"/>
          <w:kern w:val="0"/>
          <w:sz w:val="24"/>
          <w:szCs w:val="24"/>
        </w:rPr>
        <w:t>(2)</w:t>
      </w:r>
      <w:r w:rsidRPr="00D05755">
        <w:rPr>
          <w:rStyle w:val="custom"/>
          <w:rFonts w:ascii="宋体" w:hAnsi="宋体" w:cs="宋体" w:hint="eastAsia"/>
          <w:kern w:val="0"/>
          <w:sz w:val="24"/>
          <w:szCs w:val="24"/>
        </w:rPr>
        <w:t>调整业绩比较基准的要素权重、更换相同或相近特征的要素等，使新业绩比较基准代表性更强，且符合相关法律法规规定的；</w:t>
      </w:r>
    </w:p>
    <w:p w:rsidR="00E8691A" w:rsidRPr="00D05755" w:rsidRDefault="006E24B4">
      <w:pPr>
        <w:pStyle w:val="div"/>
        <w:numPr>
          <w:ilvl w:val="255"/>
          <w:numId w:val="0"/>
        </w:numPr>
        <w:spacing w:line="360" w:lineRule="auto"/>
        <w:ind w:firstLineChars="200" w:firstLine="480"/>
        <w:rPr>
          <w:rStyle w:val="custom"/>
          <w:rFonts w:ascii="宋体" w:hAnsi="宋体" w:cs="宋体"/>
          <w:kern w:val="0"/>
          <w:sz w:val="24"/>
          <w:szCs w:val="24"/>
        </w:rPr>
      </w:pPr>
      <w:r w:rsidRPr="00D05755">
        <w:rPr>
          <w:rStyle w:val="custom"/>
          <w:rFonts w:ascii="宋体" w:hAnsi="宋体" w:cs="宋体"/>
          <w:kern w:val="0"/>
          <w:sz w:val="24"/>
          <w:szCs w:val="24"/>
        </w:rPr>
        <w:t>(3)</w:t>
      </w:r>
      <w:r w:rsidRPr="00D05755">
        <w:rPr>
          <w:rStyle w:val="custom"/>
          <w:rFonts w:ascii="宋体" w:hAnsi="宋体" w:cs="宋体" w:hint="eastAsia"/>
          <w:kern w:val="0"/>
          <w:sz w:val="24"/>
          <w:szCs w:val="24"/>
        </w:rPr>
        <w:t>中国证监会认可的其他情形。</w:t>
      </w:r>
    </w:p>
    <w:p w:rsidR="00E8691A" w:rsidRPr="00D05755" w:rsidRDefault="006E24B4">
      <w:pPr>
        <w:pStyle w:val="div"/>
        <w:numPr>
          <w:ilvl w:val="255"/>
          <w:numId w:val="0"/>
        </w:numPr>
        <w:spacing w:line="360" w:lineRule="auto"/>
        <w:ind w:firstLineChars="200" w:firstLine="480"/>
        <w:rPr>
          <w:rStyle w:val="custom"/>
          <w:rFonts w:ascii="宋体" w:hAnsi="宋体" w:cs="宋体"/>
          <w:kern w:val="0"/>
          <w:sz w:val="24"/>
          <w:szCs w:val="24"/>
        </w:rPr>
      </w:pPr>
      <w:r w:rsidRPr="00D05755">
        <w:rPr>
          <w:rStyle w:val="custom"/>
          <w:rFonts w:ascii="宋体" w:hAnsi="宋体" w:cs="宋体" w:hint="eastAsia"/>
          <w:kern w:val="0"/>
          <w:sz w:val="24"/>
          <w:szCs w:val="24"/>
        </w:rPr>
        <w:t>业绩比较基准变更涉及以下情形的，基金管理人应当按照规定履行变更注册、召开基金份额持有人大会等程序，法律法规、中国证监会另有规定的除外：</w:t>
      </w:r>
    </w:p>
    <w:p w:rsidR="00E8691A" w:rsidRPr="00D05755" w:rsidRDefault="006E24B4">
      <w:pPr>
        <w:pStyle w:val="div"/>
        <w:numPr>
          <w:ilvl w:val="255"/>
          <w:numId w:val="0"/>
        </w:numPr>
        <w:spacing w:line="360" w:lineRule="auto"/>
        <w:ind w:firstLineChars="200" w:firstLine="480"/>
        <w:rPr>
          <w:rStyle w:val="custom"/>
          <w:rFonts w:ascii="宋体" w:hAnsi="宋体" w:cs="宋体"/>
          <w:kern w:val="0"/>
          <w:sz w:val="24"/>
          <w:szCs w:val="24"/>
        </w:rPr>
      </w:pPr>
      <w:r w:rsidRPr="00D05755">
        <w:rPr>
          <w:rStyle w:val="custom"/>
          <w:rFonts w:ascii="宋体" w:hAnsi="宋体" w:cs="宋体"/>
          <w:kern w:val="0"/>
          <w:sz w:val="24"/>
          <w:szCs w:val="24"/>
        </w:rPr>
        <w:t>(1)</w:t>
      </w:r>
      <w:r w:rsidRPr="00D05755">
        <w:rPr>
          <w:rStyle w:val="custom"/>
          <w:rFonts w:ascii="宋体" w:hAnsi="宋体" w:cs="宋体" w:hint="eastAsia"/>
          <w:kern w:val="0"/>
          <w:sz w:val="24"/>
          <w:szCs w:val="24"/>
        </w:rPr>
        <w:t>基金投资目标、投资范围、投资策略、投资比例等拟进行重大调整，并变更业绩比较基准的；</w:t>
      </w:r>
    </w:p>
    <w:p w:rsidR="00E8691A" w:rsidRPr="00D05755" w:rsidRDefault="006E24B4">
      <w:pPr>
        <w:pStyle w:val="div"/>
        <w:numPr>
          <w:ilvl w:val="255"/>
          <w:numId w:val="0"/>
        </w:numPr>
        <w:spacing w:line="360" w:lineRule="auto"/>
        <w:ind w:firstLineChars="200" w:firstLine="480"/>
        <w:rPr>
          <w:rStyle w:val="custom"/>
          <w:rFonts w:ascii="宋体" w:hAnsi="宋体" w:cs="宋体"/>
          <w:kern w:val="0"/>
          <w:sz w:val="24"/>
          <w:szCs w:val="24"/>
        </w:rPr>
      </w:pPr>
      <w:r w:rsidRPr="00D05755">
        <w:rPr>
          <w:rStyle w:val="custom"/>
          <w:rFonts w:ascii="宋体" w:hAnsi="宋体" w:cs="宋体"/>
          <w:kern w:val="0"/>
          <w:sz w:val="24"/>
          <w:szCs w:val="24"/>
        </w:rPr>
        <w:t>(2)</w:t>
      </w:r>
      <w:r w:rsidRPr="00D05755">
        <w:rPr>
          <w:rStyle w:val="custom"/>
          <w:rFonts w:ascii="宋体" w:hAnsi="宋体" w:cs="宋体" w:hint="eastAsia"/>
          <w:kern w:val="0"/>
          <w:sz w:val="24"/>
          <w:szCs w:val="24"/>
        </w:rPr>
        <w:t>其他对基金份额持有人利益产生重大实质性影响的情形。</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六、</w:t>
      </w:r>
      <w:r w:rsidRPr="00D05755">
        <w:rPr>
          <w:rFonts w:ascii="宋体" w:hAnsi="宋体" w:cs="宋体"/>
          <w:kern w:val="0"/>
          <w:sz w:val="24"/>
          <w:szCs w:val="24"/>
        </w:rPr>
        <w:t>风险收益特征</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本基金属于混合型基金，其预期的风险与收益低于股票型基金，高于债券型基金与货币市场基金。</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本基金除了投资A股以外，还可以根据法律法规规定投资港股通标的股票，将面临港股</w:t>
      </w:r>
      <w:proofErr w:type="gramStart"/>
      <w:r w:rsidRPr="00D05755">
        <w:rPr>
          <w:rStyle w:val="custom"/>
          <w:rFonts w:ascii="宋体" w:hAnsi="宋体" w:cs="宋体"/>
          <w:kern w:val="0"/>
          <w:sz w:val="24"/>
          <w:szCs w:val="24"/>
        </w:rPr>
        <w:t>通机制</w:t>
      </w:r>
      <w:proofErr w:type="gramEnd"/>
      <w:r w:rsidRPr="00D05755">
        <w:rPr>
          <w:rStyle w:val="custom"/>
          <w:rFonts w:ascii="宋体" w:hAnsi="宋体" w:cs="宋体"/>
          <w:kern w:val="0"/>
          <w:sz w:val="24"/>
          <w:szCs w:val="24"/>
        </w:rPr>
        <w:t>下因投资环境、投资标的、市场制度以及交易规则等差异带来的特有风险。</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七、基金管理人代表基金行使股东或债权人权利的处理原则及方法</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1、基金管理人按照国家有关规定代表基金独立行使股东或债权人权利，保护基金份额持有人的利益；</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2、不谋求对上市公司的控股；</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有利于基金财产的安全与增值；</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不通过关联交易为自身、雇员、授权代理人或任何存在利害关系的第三人牟取任何不当利益。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八、</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的实施和投资运作安排</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D05755">
        <w:rPr>
          <w:rFonts w:ascii="宋体" w:hAnsi="宋体" w:cs="宋体"/>
          <w:kern w:val="0"/>
          <w:sz w:val="24"/>
          <w:szCs w:val="24"/>
        </w:rPr>
        <w:t>启用侧袋机制</w:t>
      </w:r>
      <w:proofErr w:type="gramEnd"/>
      <w:r w:rsidRPr="00D05755">
        <w:rPr>
          <w:rFonts w:ascii="宋体" w:hAnsi="宋体" w:cs="宋体" w:hint="eastAsia"/>
          <w:kern w:val="0"/>
          <w:sz w:val="24"/>
          <w:szCs w:val="24"/>
        </w:rPr>
        <w:t>，无需召开基金份额持有人大会审议</w:t>
      </w:r>
      <w:r w:rsidRPr="00D05755">
        <w:rPr>
          <w:rFonts w:ascii="宋体" w:hAnsi="宋体" w:cs="宋体"/>
          <w:kern w:val="0"/>
          <w:sz w:val="24"/>
          <w:szCs w:val="24"/>
        </w:rPr>
        <w:t>。</w:t>
      </w:r>
    </w:p>
    <w:p w:rsidR="00E8691A" w:rsidRPr="00D05755" w:rsidRDefault="006E24B4">
      <w:pPr>
        <w:pStyle w:val="div"/>
        <w:spacing w:line="360" w:lineRule="auto"/>
        <w:ind w:firstLine="420"/>
        <w:rPr>
          <w:rFonts w:eastAsia="Times New Roman"/>
          <w:kern w:val="0"/>
          <w:sz w:val="24"/>
          <w:szCs w:val="24"/>
        </w:rPr>
      </w:pP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实施期间，本部分约定的投资组合比例、投资策略、组合限制、业</w:t>
      </w:r>
      <w:r w:rsidRPr="00D05755">
        <w:rPr>
          <w:rFonts w:ascii="宋体" w:hAnsi="宋体" w:cs="宋体"/>
          <w:kern w:val="0"/>
          <w:sz w:val="24"/>
          <w:szCs w:val="24"/>
        </w:rPr>
        <w:lastRenderedPageBreak/>
        <w:t>绩比较基准、风险收益特征等约定仅</w:t>
      </w:r>
      <w:proofErr w:type="gramStart"/>
      <w:r w:rsidRPr="00D05755">
        <w:rPr>
          <w:rFonts w:ascii="宋体" w:hAnsi="宋体" w:cs="宋体"/>
          <w:kern w:val="0"/>
          <w:sz w:val="24"/>
          <w:szCs w:val="24"/>
        </w:rPr>
        <w:t>适用于主袋账户</w:t>
      </w:r>
      <w:proofErr w:type="gramEnd"/>
      <w:r w:rsidRPr="00D05755">
        <w:rPr>
          <w:rFonts w:ascii="宋体" w:hAnsi="宋体" w:cs="宋体"/>
          <w:kern w:val="0"/>
          <w:sz w:val="24"/>
          <w:szCs w:val="24"/>
        </w:rPr>
        <w:t>。</w:t>
      </w:r>
    </w:p>
    <w:p w:rsidR="00E8691A" w:rsidRPr="00D05755" w:rsidRDefault="006E24B4">
      <w:pPr>
        <w:pStyle w:val="div"/>
        <w:spacing w:line="360" w:lineRule="auto"/>
        <w:ind w:firstLine="420"/>
        <w:rPr>
          <w:rFonts w:eastAsia="Times New Roman"/>
          <w:kern w:val="0"/>
          <w:sz w:val="24"/>
          <w:szCs w:val="24"/>
        </w:rPr>
      </w:pPr>
      <w:proofErr w:type="gramStart"/>
      <w:r w:rsidRPr="00D05755">
        <w:rPr>
          <w:rFonts w:ascii="宋体" w:hAnsi="宋体" w:cs="宋体"/>
          <w:kern w:val="0"/>
          <w:sz w:val="24"/>
          <w:szCs w:val="24"/>
        </w:rPr>
        <w:t>侧袋账户</w:t>
      </w:r>
      <w:proofErr w:type="gramEnd"/>
      <w:r w:rsidRPr="00D05755">
        <w:rPr>
          <w:rFonts w:ascii="宋体" w:hAnsi="宋体" w:cs="宋体"/>
          <w:kern w:val="0"/>
          <w:sz w:val="24"/>
          <w:szCs w:val="24"/>
        </w:rPr>
        <w:t>的实施条件、实施程序、运作安排、投资安排、特定资产的处置变现和支付等对投资者权益有重大影响的事项详见招募说明书的规定。</w:t>
      </w:r>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64" w:name="_Toc256000012"/>
      <w:r w:rsidRPr="00D05755">
        <w:rPr>
          <w:rFonts w:ascii="Times New Roman"/>
          <w:color w:val="auto"/>
          <w:sz w:val="30"/>
        </w:rPr>
        <w:lastRenderedPageBreak/>
        <w:t>第十三部分</w:t>
      </w:r>
      <w:r w:rsidRPr="00D05755">
        <w:rPr>
          <w:rFonts w:ascii="Times New Roman"/>
          <w:color w:val="auto"/>
          <w:sz w:val="30"/>
        </w:rPr>
        <w:t xml:space="preserve">  </w:t>
      </w:r>
      <w:r w:rsidRPr="00D05755">
        <w:rPr>
          <w:rFonts w:ascii="Times New Roman"/>
          <w:color w:val="auto"/>
          <w:sz w:val="30"/>
        </w:rPr>
        <w:t>基金的财产</w:t>
      </w:r>
      <w:bookmarkEnd w:id="64"/>
    </w:p>
    <w:p w:rsidR="00E8691A" w:rsidRPr="00D05755" w:rsidRDefault="00E8691A"/>
    <w:p w:rsidR="00E8691A" w:rsidRPr="00D05755" w:rsidRDefault="006E24B4">
      <w:pPr>
        <w:pStyle w:val="div"/>
        <w:spacing w:line="360" w:lineRule="auto"/>
        <w:ind w:firstLine="420"/>
        <w:jc w:val="left"/>
        <w:rPr>
          <w:rFonts w:eastAsia="Times New Roman"/>
          <w:kern w:val="0"/>
          <w:sz w:val="24"/>
          <w:szCs w:val="24"/>
        </w:rPr>
      </w:pPr>
      <w:bookmarkStart w:id="65" w:name="OLE_LINK26"/>
      <w:bookmarkStart w:id="66" w:name="OLE_LINK25"/>
      <w:r w:rsidRPr="00D05755">
        <w:rPr>
          <w:rStyle w:val="custom"/>
          <w:rFonts w:ascii="宋体" w:hAnsi="宋体" w:cs="宋体"/>
          <w:kern w:val="0"/>
          <w:sz w:val="24"/>
          <w:szCs w:val="24"/>
        </w:rPr>
        <w:t>一、</w:t>
      </w:r>
      <w:r w:rsidRPr="00D05755">
        <w:rPr>
          <w:rFonts w:ascii="宋体" w:hAnsi="宋体" w:cs="宋体"/>
          <w:kern w:val="0"/>
          <w:sz w:val="24"/>
          <w:szCs w:val="24"/>
        </w:rPr>
        <w:t>基金资产总值</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基金资产总值是指购买的各类有价证券及票据价值、银行存款本息和基金应收的申购基金款以及其他投资所形成的价值总和。</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基金资产净值</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基金资产净值是指基金资产总值减去基金负债后的价值。</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三、</w:t>
      </w:r>
      <w:r w:rsidRPr="00D05755">
        <w:rPr>
          <w:rFonts w:ascii="宋体" w:hAnsi="宋体" w:cs="宋体"/>
          <w:kern w:val="0"/>
          <w:sz w:val="24"/>
          <w:szCs w:val="24"/>
        </w:rPr>
        <w:t>基金财产的账户</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四、</w:t>
      </w:r>
      <w:r w:rsidRPr="00D05755">
        <w:rPr>
          <w:rFonts w:ascii="宋体" w:hAnsi="宋体" w:cs="宋体"/>
          <w:kern w:val="0"/>
          <w:sz w:val="24"/>
          <w:szCs w:val="24"/>
        </w:rPr>
        <w:t>基金财产的保管和处分</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D05755">
        <w:rPr>
          <w:rFonts w:ascii="宋体" w:hAnsi="宋体" w:cs="宋体"/>
          <w:kern w:val="0"/>
          <w:sz w:val="24"/>
          <w:szCs w:val="24"/>
        </w:rPr>
        <w:t>律法规</w:t>
      </w:r>
      <w:proofErr w:type="gramEnd"/>
      <w:r w:rsidRPr="00D05755">
        <w:rPr>
          <w:rFonts w:ascii="宋体" w:hAnsi="宋体" w:cs="宋体"/>
          <w:kern w:val="0"/>
          <w:sz w:val="24"/>
          <w:szCs w:val="24"/>
        </w:rPr>
        <w:t>和《基金合同》的规定处分外，基金财产不得被处分。</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D05755">
        <w:rPr>
          <w:rFonts w:ascii="宋体" w:hAnsi="宋体" w:cs="宋体"/>
          <w:kern w:val="0"/>
          <w:sz w:val="24"/>
          <w:szCs w:val="24"/>
        </w:rPr>
        <w:t>抵销</w:t>
      </w:r>
      <w:proofErr w:type="gramEnd"/>
      <w:r w:rsidRPr="00D05755">
        <w:rPr>
          <w:rFonts w:ascii="宋体" w:hAnsi="宋体" w:cs="宋体"/>
          <w:kern w:val="0"/>
          <w:sz w:val="24"/>
          <w:szCs w:val="24"/>
        </w:rPr>
        <w:t>；基金管理人管理运作不同基金的基金财产所产生的债权债务不得相互</w:t>
      </w:r>
      <w:proofErr w:type="gramStart"/>
      <w:r w:rsidRPr="00D05755">
        <w:rPr>
          <w:rFonts w:ascii="宋体" w:hAnsi="宋体" w:cs="宋体"/>
          <w:kern w:val="0"/>
          <w:sz w:val="24"/>
          <w:szCs w:val="24"/>
        </w:rPr>
        <w:t>抵销</w:t>
      </w:r>
      <w:proofErr w:type="gramEnd"/>
      <w:r w:rsidRPr="00D05755">
        <w:rPr>
          <w:rFonts w:ascii="宋体" w:hAnsi="宋体" w:cs="宋体"/>
          <w:kern w:val="0"/>
          <w:sz w:val="24"/>
          <w:szCs w:val="24"/>
        </w:rPr>
        <w:t>。非因基金财产本身承担的债务，不得对基金财产强制执行。</w:t>
      </w:r>
      <w:bookmarkEnd w:id="65"/>
      <w:bookmarkEnd w:id="66"/>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67" w:name="_Toc256000013"/>
      <w:r w:rsidRPr="00D05755">
        <w:rPr>
          <w:rFonts w:ascii="Times New Roman"/>
          <w:color w:val="auto"/>
          <w:sz w:val="30"/>
        </w:rPr>
        <w:lastRenderedPageBreak/>
        <w:t>第十四部分</w:t>
      </w:r>
      <w:r w:rsidRPr="00D05755">
        <w:rPr>
          <w:rFonts w:ascii="Times New Roman"/>
          <w:color w:val="auto"/>
          <w:sz w:val="30"/>
        </w:rPr>
        <w:t xml:space="preserve">  </w:t>
      </w:r>
      <w:r w:rsidRPr="00D05755">
        <w:rPr>
          <w:rFonts w:ascii="Times New Roman"/>
          <w:color w:val="auto"/>
          <w:sz w:val="30"/>
        </w:rPr>
        <w:t>基金资产估值</w:t>
      </w:r>
      <w:bookmarkEnd w:id="67"/>
    </w:p>
    <w:p w:rsidR="00E8691A" w:rsidRPr="00D05755" w:rsidRDefault="00E8691A"/>
    <w:p w:rsidR="00E8691A" w:rsidRPr="00D05755" w:rsidRDefault="006E24B4">
      <w:pPr>
        <w:pStyle w:val="div"/>
        <w:spacing w:line="360" w:lineRule="auto"/>
        <w:ind w:firstLine="420"/>
        <w:jc w:val="left"/>
        <w:rPr>
          <w:rFonts w:eastAsia="Times New Roman"/>
          <w:kern w:val="0"/>
          <w:sz w:val="24"/>
          <w:szCs w:val="24"/>
        </w:rPr>
      </w:pPr>
      <w:bookmarkStart w:id="68" w:name="OLE_LINK27"/>
      <w:bookmarkStart w:id="69" w:name="OLE_LINK28"/>
      <w:r w:rsidRPr="00D05755">
        <w:rPr>
          <w:rFonts w:ascii="宋体" w:hAnsi="宋体" w:cs="宋体"/>
          <w:kern w:val="0"/>
          <w:sz w:val="24"/>
          <w:szCs w:val="24"/>
        </w:rPr>
        <w:t>一、估值日</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本基金的估值日为本基金相关的证券交易场所的交易日以及国家法律法规规定需要对外披露基金净值的</w:t>
      </w:r>
      <w:proofErr w:type="gramStart"/>
      <w:r w:rsidRPr="00D05755">
        <w:rPr>
          <w:rFonts w:ascii="宋体" w:hAnsi="宋体" w:cs="宋体"/>
          <w:kern w:val="0"/>
          <w:sz w:val="24"/>
          <w:szCs w:val="24"/>
        </w:rPr>
        <w:t>非交易</w:t>
      </w:r>
      <w:proofErr w:type="gramEnd"/>
      <w:r w:rsidRPr="00D05755">
        <w:rPr>
          <w:rFonts w:ascii="宋体" w:hAnsi="宋体" w:cs="宋体"/>
          <w:kern w:val="0"/>
          <w:sz w:val="24"/>
          <w:szCs w:val="24"/>
        </w:rPr>
        <w:t>日。</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二、估值对象</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基金所拥有的股票、债券、资产支持证券、股指期货合约、国债期货合约、股票期权合约、信用衍生品和银行存款本息、应收款项、其它投资等资产及负债。</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三、估值原则</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基金管理人在确定相关金融资产和金融负债的公允价值时，应符合《企业会计准则》、监管部门有关规定。</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（三）如经济环境发生重大变化或证券发行人发生影响证券价格的重大事件，使潜在估值调整对前一估值日的基金资产净值的影响在0.25%以上的，应对估值</w:t>
      </w:r>
      <w:r w:rsidRPr="00D05755">
        <w:rPr>
          <w:rFonts w:ascii="宋体" w:hAnsi="宋体" w:cs="宋体"/>
          <w:kern w:val="0"/>
          <w:sz w:val="24"/>
          <w:szCs w:val="24"/>
        </w:rPr>
        <w:lastRenderedPageBreak/>
        <w:t>进行调整并确定公允价值。</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四、估值方法</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1、证券交易所上市的有价证券的估值</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8691A" w:rsidRPr="00D05755" w:rsidRDefault="006E24B4">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（3）交易所上市不存在活跃市场的有价证券，采用估值技术确定公允价值。</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2、处于未上市期间的有价证券应区分如下情况处理：</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（2）首次公开发行未上市的股票，采用估值技术确定公允价值，在估值技术难以可靠计量公允价值的情况下，按成本估值；</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D05755">
        <w:rPr>
          <w:rFonts w:ascii="宋体" w:hAnsi="宋体" w:cs="宋体"/>
          <w:kern w:val="0"/>
          <w:sz w:val="24"/>
          <w:szCs w:val="24"/>
        </w:rPr>
        <w:t>券</w:t>
      </w:r>
      <w:proofErr w:type="gramEnd"/>
      <w:r w:rsidRPr="00D05755">
        <w:rPr>
          <w:rFonts w:ascii="宋体" w:hAnsi="宋体" w:cs="宋体"/>
          <w:kern w:val="0"/>
          <w:sz w:val="24"/>
          <w:szCs w:val="24"/>
        </w:rPr>
        <w:t>等流通受限股票，按监管机构或行业协会有关规定确定公允价值。</w:t>
      </w:r>
    </w:p>
    <w:p w:rsidR="00E8691A" w:rsidRPr="00D05755" w:rsidRDefault="006E24B4">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3、以公允价值计量的固定收益品种</w:t>
      </w:r>
    </w:p>
    <w:p w:rsidR="00E8691A" w:rsidRPr="00D05755" w:rsidRDefault="006E24B4">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（1）对于已上市或已挂牌转让的不含</w:t>
      </w:r>
      <w:proofErr w:type="gramStart"/>
      <w:r w:rsidRPr="00D05755">
        <w:rPr>
          <w:rFonts w:ascii="宋体" w:hAnsi="宋体" w:cs="宋体"/>
          <w:kern w:val="0"/>
          <w:sz w:val="24"/>
          <w:szCs w:val="24"/>
        </w:rPr>
        <w:t>权固定</w:t>
      </w:r>
      <w:proofErr w:type="gramEnd"/>
      <w:r w:rsidRPr="00D05755">
        <w:rPr>
          <w:rFonts w:ascii="宋体" w:hAnsi="宋体" w:cs="宋体"/>
          <w:kern w:val="0"/>
          <w:sz w:val="24"/>
          <w:szCs w:val="24"/>
        </w:rPr>
        <w:t>收益品种，选取第三方估值基准服务机构提供的相应品种当日的估值全价；</w:t>
      </w:r>
    </w:p>
    <w:p w:rsidR="00E8691A" w:rsidRPr="00D05755" w:rsidRDefault="006E24B4">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（2）对于已上市或已挂牌转让的含</w:t>
      </w:r>
      <w:proofErr w:type="gramStart"/>
      <w:r w:rsidRPr="00D05755">
        <w:rPr>
          <w:rFonts w:ascii="宋体" w:hAnsi="宋体" w:cs="宋体"/>
          <w:kern w:val="0"/>
          <w:sz w:val="24"/>
          <w:szCs w:val="24"/>
        </w:rPr>
        <w:t>权固定</w:t>
      </w:r>
      <w:proofErr w:type="gramEnd"/>
      <w:r w:rsidRPr="00D05755">
        <w:rPr>
          <w:rFonts w:ascii="宋体" w:hAnsi="宋体" w:cs="宋体"/>
          <w:kern w:val="0"/>
          <w:sz w:val="24"/>
          <w:szCs w:val="24"/>
        </w:rPr>
        <w:t>收益品种，选取第三方估值基准服务机构提供的相应品种当日的唯一估值全价或推荐估值全价；</w:t>
      </w:r>
    </w:p>
    <w:p w:rsidR="00E8691A" w:rsidRPr="00D05755" w:rsidRDefault="006E24B4">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w:t>
      </w:r>
      <w:r w:rsidRPr="00D05755">
        <w:rPr>
          <w:rFonts w:ascii="宋体" w:hAnsi="宋体" w:cs="宋体"/>
          <w:kern w:val="0"/>
          <w:sz w:val="24"/>
          <w:szCs w:val="24"/>
        </w:rPr>
        <w:lastRenderedPageBreak/>
        <w:t>价或推荐估值全价，同时应充分考虑发行人的信用风险变化对公允价值的影响。回售登记期截止日（含当日）后未行使回售权的按照长待偿期所对应的价格进行估值；</w:t>
      </w:r>
    </w:p>
    <w:p w:rsidR="00E8691A" w:rsidRPr="00D05755" w:rsidRDefault="006E24B4">
      <w:pPr>
        <w:pStyle w:val="div"/>
        <w:spacing w:line="360" w:lineRule="auto"/>
        <w:ind w:firstLine="480"/>
        <w:rPr>
          <w:rFonts w:ascii="宋体" w:hAnsi="宋体" w:cs="宋体"/>
          <w:kern w:val="0"/>
          <w:sz w:val="24"/>
          <w:szCs w:val="24"/>
        </w:rPr>
      </w:pPr>
      <w:r w:rsidRPr="00D05755">
        <w:rPr>
          <w:rFonts w:ascii="宋体" w:hAnsi="宋体" w:cs="宋体"/>
          <w:kern w:val="0"/>
          <w:sz w:val="24"/>
          <w:szCs w:val="24"/>
        </w:rPr>
        <w:t>（</w:t>
      </w:r>
      <w:r w:rsidRPr="00D05755">
        <w:rPr>
          <w:rFonts w:eastAsia="Times New Roman"/>
          <w:kern w:val="0"/>
          <w:sz w:val="24"/>
          <w:szCs w:val="24"/>
        </w:rPr>
        <w:t>4</w:t>
      </w:r>
      <w:r w:rsidRPr="00D05755">
        <w:rPr>
          <w:rFonts w:ascii="宋体" w:hAnsi="宋体" w:cs="宋体"/>
          <w:kern w:val="0"/>
          <w:sz w:val="24"/>
          <w:szCs w:val="24"/>
        </w:rPr>
        <w:t>）对于未上市或未挂牌转让且不存在活跃市场的固定收益品种，应采用在当前情况下适用并且有足够可利用数据和其他信息支持的估值技术确定其公允价值。</w:t>
      </w:r>
    </w:p>
    <w:p w:rsidR="00E8691A" w:rsidRPr="00D05755" w:rsidRDefault="006E24B4">
      <w:pPr>
        <w:pStyle w:val="div"/>
        <w:spacing w:line="360" w:lineRule="auto"/>
        <w:ind w:firstLine="480"/>
        <w:rPr>
          <w:rFonts w:ascii="宋体" w:hAnsi="宋体" w:cs="宋体"/>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5、同一</w:t>
      </w:r>
      <w:r w:rsidRPr="00D05755">
        <w:rPr>
          <w:rFonts w:ascii="宋体" w:hAnsi="宋体" w:cs="宋体" w:hint="eastAsia"/>
          <w:kern w:val="0"/>
          <w:sz w:val="24"/>
          <w:szCs w:val="24"/>
        </w:rPr>
        <w:t>证券</w:t>
      </w:r>
      <w:r w:rsidRPr="00D05755">
        <w:rPr>
          <w:rFonts w:ascii="宋体" w:hAnsi="宋体" w:cs="宋体"/>
          <w:kern w:val="0"/>
          <w:sz w:val="24"/>
          <w:szCs w:val="24"/>
        </w:rPr>
        <w:t>同时在两个或两个以上市场交易的，按</w:t>
      </w:r>
      <w:r w:rsidRPr="00D05755">
        <w:rPr>
          <w:rFonts w:ascii="宋体" w:hAnsi="宋体" w:cs="宋体" w:hint="eastAsia"/>
          <w:kern w:val="0"/>
          <w:sz w:val="24"/>
          <w:szCs w:val="24"/>
        </w:rPr>
        <w:t>证券</w:t>
      </w:r>
      <w:r w:rsidRPr="00D05755">
        <w:rPr>
          <w:rFonts w:ascii="宋体" w:hAnsi="宋体" w:cs="宋体"/>
          <w:kern w:val="0"/>
          <w:sz w:val="24"/>
          <w:szCs w:val="24"/>
        </w:rPr>
        <w:t>所处的市场分别估值。</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7、本基金投资股票期权合约，一般以股票期权估值日的结算价进行估值，估值当日无结算价的，且最近交易日后经济环境未发生重大变化的，采用最近交易日结算价估值。</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8、本基金投资国债期货合约，一般以国债期货估值日的结算价</w:t>
      </w:r>
      <w:r w:rsidRPr="00D05755">
        <w:rPr>
          <w:rFonts w:ascii="宋体" w:hAnsi="宋体" w:cs="宋体" w:hint="eastAsia"/>
          <w:kern w:val="0"/>
          <w:sz w:val="24"/>
          <w:szCs w:val="24"/>
        </w:rPr>
        <w:t>进行</w:t>
      </w:r>
      <w:r w:rsidRPr="00D05755">
        <w:rPr>
          <w:rFonts w:ascii="宋体" w:hAnsi="宋体" w:cs="宋体"/>
          <w:kern w:val="0"/>
          <w:sz w:val="24"/>
          <w:szCs w:val="24"/>
        </w:rPr>
        <w:t>估值，估值当日无结算价的，且最近交易日后经济环境未发生重大变化的，采用最近交易日结算价估值。</w:t>
      </w:r>
    </w:p>
    <w:p w:rsidR="00E8691A" w:rsidRPr="00D05755" w:rsidRDefault="006E24B4">
      <w:pPr>
        <w:pStyle w:val="div"/>
        <w:spacing w:line="360" w:lineRule="auto"/>
        <w:ind w:firstLine="420"/>
        <w:rPr>
          <w:rStyle w:val="af2"/>
        </w:rPr>
      </w:pPr>
      <w:r w:rsidRPr="00D05755">
        <w:rPr>
          <w:rFonts w:ascii="宋体" w:hAnsi="宋体" w:cs="宋体"/>
          <w:kern w:val="0"/>
          <w:sz w:val="24"/>
          <w:szCs w:val="24"/>
        </w:rPr>
        <w:t>9、估值计算中</w:t>
      </w:r>
      <w:r w:rsidRPr="00D05755">
        <w:rPr>
          <w:rFonts w:ascii="宋体" w:hAnsi="宋体"/>
          <w:kern w:val="0"/>
          <w:sz w:val="24"/>
        </w:rPr>
        <w:t>涉及</w:t>
      </w:r>
      <w:r w:rsidRPr="00D05755">
        <w:rPr>
          <w:rFonts w:ascii="宋体" w:hAnsi="宋体" w:cs="宋体"/>
          <w:kern w:val="0"/>
          <w:sz w:val="24"/>
          <w:szCs w:val="24"/>
        </w:rPr>
        <w:t>港币或其他外币币种</w:t>
      </w:r>
      <w:r w:rsidRPr="00D05755">
        <w:rPr>
          <w:rFonts w:ascii="宋体" w:hAnsi="宋体"/>
          <w:kern w:val="0"/>
          <w:sz w:val="24"/>
        </w:rPr>
        <w:t>对人民币汇率的，</w:t>
      </w:r>
      <w:r w:rsidRPr="00D05755">
        <w:rPr>
          <w:rFonts w:ascii="宋体" w:hAnsi="宋体" w:cs="宋体"/>
          <w:kern w:val="0"/>
          <w:sz w:val="24"/>
          <w:szCs w:val="24"/>
        </w:rPr>
        <w:t>将依据下列信息提供机构所提供的</w:t>
      </w:r>
      <w:r w:rsidRPr="00D05755">
        <w:rPr>
          <w:rFonts w:ascii="宋体" w:hAnsi="宋体"/>
          <w:kern w:val="0"/>
          <w:sz w:val="24"/>
        </w:rPr>
        <w:t>汇率</w:t>
      </w:r>
      <w:r w:rsidRPr="00D05755">
        <w:rPr>
          <w:rFonts w:ascii="宋体" w:hAnsi="宋体" w:cs="宋体"/>
          <w:kern w:val="0"/>
          <w:sz w:val="24"/>
          <w:szCs w:val="24"/>
        </w:rPr>
        <w:t>为基准：当日中国人民银行或其授权机构公布的人民币汇率的中间价，或其他可以反映公允价值的汇率进行估值</w:t>
      </w:r>
      <w:r w:rsidRPr="00D05755">
        <w:rPr>
          <w:rFonts w:ascii="宋体" w:hAnsi="宋体"/>
          <w:sz w:val="24"/>
        </w:rPr>
        <w:t>。</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w:t>
      </w:r>
      <w:r w:rsidRPr="00D05755">
        <w:rPr>
          <w:rFonts w:ascii="宋体" w:hAnsi="宋体" w:cs="宋体"/>
          <w:kern w:val="0"/>
          <w:sz w:val="24"/>
          <w:szCs w:val="24"/>
        </w:rPr>
        <w:lastRenderedPageBreak/>
        <w:t>值调整。</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10、信用衍生品按第三方估值机构提供的当日的估值价格进行估值，但基金管理人依法应当承担的估值责任不因委托而免除；选定的第三方估值机构未提供估值价格的，依照有关法律法规及《企业会计准则》要求采用合理估值技术确定公允价值。</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11、本基金投资存托凭证的估值核算，依照境内上市交易的股票进行。</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12、如有确凿证据表明按上述方法进行估值不能客观反映其公允价值的，基金管理人可根据具体情况与基金托管人商定后，按最能反映公允价值的价格估值。</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13、当发生大额申购或赎回情形时，基金管理人可以采用摆动定价机制，以确保基金估值的公平性。</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14、相关法律法规以及监管部门有强制规定的，从其规定。如有新增事项，按国家最新规定估值。</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五、估值程序</w:t>
      </w:r>
    </w:p>
    <w:p w:rsidR="00E8691A" w:rsidRPr="00D05755" w:rsidRDefault="006E24B4">
      <w:pPr>
        <w:pStyle w:val="div"/>
        <w:spacing w:line="360" w:lineRule="auto"/>
        <w:ind w:firstLine="420"/>
        <w:rPr>
          <w:rFonts w:ascii="宋体" w:hAnsi="宋体" w:cs="宋体"/>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基金管理人每个估值日计算基金资产净值及各类基金份额净值，并按规定公告。</w:t>
      </w:r>
    </w:p>
    <w:p w:rsidR="00E8691A" w:rsidRPr="00D05755" w:rsidRDefault="006E24B4">
      <w:pPr>
        <w:pStyle w:val="div"/>
        <w:spacing w:line="360" w:lineRule="auto"/>
        <w:ind w:firstLine="420"/>
        <w:rPr>
          <w:rFonts w:ascii="宋体" w:hAnsi="宋体" w:cs="宋体"/>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基金管理人</w:t>
      </w:r>
      <w:proofErr w:type="gramStart"/>
      <w:r w:rsidRPr="00D05755">
        <w:rPr>
          <w:rFonts w:ascii="宋体" w:hAnsi="宋体" w:cs="宋体"/>
          <w:kern w:val="0"/>
          <w:sz w:val="24"/>
          <w:szCs w:val="24"/>
        </w:rPr>
        <w:t>应每个</w:t>
      </w:r>
      <w:proofErr w:type="gramEnd"/>
      <w:r w:rsidRPr="00D05755">
        <w:rPr>
          <w:rFonts w:ascii="宋体" w:hAnsi="宋体" w:cs="宋体"/>
          <w:kern w:val="0"/>
          <w:sz w:val="24"/>
          <w:szCs w:val="24"/>
        </w:rPr>
        <w:t>估值日对基金资产估值。但基金管理人根据法律法规或本基金合同的规定暂停估值时除外。基金管理人每个估值日对基金资产估值后，将各类基金份额净值结果发送基金托管人，经基金托管人复核无误后，由基金管</w:t>
      </w:r>
      <w:r w:rsidRPr="00D05755">
        <w:rPr>
          <w:rFonts w:ascii="宋体" w:hAnsi="宋体" w:cs="宋体"/>
          <w:kern w:val="0"/>
          <w:sz w:val="24"/>
          <w:szCs w:val="24"/>
        </w:rPr>
        <w:lastRenderedPageBreak/>
        <w:t>理人按约定对外公布。</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六、估值错误的处理</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基金管理人和基金托管人将采取必要、适当、合理的措施确保基金资产估值的准确性、及时性。当某类基金份额净值小数点后4位以内(含第4位)发生估值错误时，视为该类基金份额净值错误。</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本基金合同的当事人应按照以下约定处理：</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1、估值错误类型</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上述估值错误的主要类型包括但不限于：资料申报差错、数据传输差错、数据计算差错、系统故障差错、下达指令差错等。</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2、估值错误处理原则</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（2）估值错误的责任方对有关当事人的直接损失负责，不对间接损失负责，并且仅对估值错误的有关直接当事人负责，不对第三方负责。</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（3）因估值错误而获得不当得利的当事人负有及时返还不当得利的义务。但估值错误责任方仍应对估值错误负责。如果由于获得不当得利的当事人</w:t>
      </w:r>
      <w:proofErr w:type="gramStart"/>
      <w:r w:rsidRPr="00D05755">
        <w:rPr>
          <w:rFonts w:ascii="宋体" w:hAnsi="宋体" w:cs="宋体"/>
          <w:kern w:val="0"/>
          <w:sz w:val="24"/>
          <w:szCs w:val="24"/>
        </w:rPr>
        <w:t>不</w:t>
      </w:r>
      <w:proofErr w:type="gramEnd"/>
      <w:r w:rsidRPr="00D05755">
        <w:rPr>
          <w:rFonts w:ascii="宋体" w:hAnsi="宋体" w:cs="宋体"/>
          <w:kern w:val="0"/>
          <w:sz w:val="24"/>
          <w:szCs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w:t>
      </w:r>
      <w:r w:rsidRPr="00D05755">
        <w:rPr>
          <w:rFonts w:ascii="宋体" w:hAnsi="宋体" w:cs="宋体"/>
          <w:kern w:val="0"/>
          <w:sz w:val="24"/>
          <w:szCs w:val="24"/>
        </w:rPr>
        <w:lastRenderedPageBreak/>
        <w:t>获得的不当得利返还的总和超过其实际损失的差额部分支付给估值错误责任方。</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（4）估值错误调整采用尽量恢复至假设未发生估值错误的正确情形的方式。</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3、估值错误处理程序</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估值错误被发现后，有关的当事人应当及时进行处理，处理的程序如下：</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（1）查明估值错误发生的原因，列明所有的当事人，并根据估值错误发生的原因确定估值错误的责任方；</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（2）根据估值错误处理原则或当事人协商的方法对因估值错误造成的损失进行评估；</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（3）根据估值错误处理原则或当事人协商的方法由估值错误的责任方进行更正和赔偿损失；</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（4）根据估值错误处理的方法，需要修改基金登记机构交易数据的，由基金登记机构进行更正，并就估值错误的更正向有关当事人进行确认。</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4、基金份额净值估值错误处理的方法如下：</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（1）某类基金份额净值计算出现错误时，基金管理人应当立即予以纠正，通报基金托管人，并采取合理的措施防止损失进一步扩大。</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（2）错误偏差达到该类基金份额净值的0.25%时，基金管理人应当通报基金托管人并报中国证监会备案；错误偏差达到该类基金份额净值的0.5%时，基金管理人应当公告，并报中国证监会备案。</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（3）前述内容如法律法规或监管机构另有规定的，从其规定处理。如果行业另有通行做法，基金管理人和基金托管人应本着平等和保护基金份额持有人利益的原则进行协商。</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七、暂停估值的情形</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1、基金投资所涉及的证券/期货交易市场遇法定节假日或因其他原因暂停营业时；</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2、因不可抗力或其他情形致使基金管理人、基金托管人无法准确评估基金资产价值时；</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3、当特定资产占前一估值日基金资产净值50%以上的，经与基金托管人协商确认后，基金管理人应当暂停估值；</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lastRenderedPageBreak/>
        <w:t>4、法律法规规定、中国证监会和基金合同认定的其它情形。</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八、基金净值的确认</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用于基金信息披露的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对基金净值按约定予以公布。</w:t>
      </w:r>
    </w:p>
    <w:p w:rsidR="00E8691A" w:rsidRPr="00D05755" w:rsidRDefault="006E24B4">
      <w:pPr>
        <w:pStyle w:val="div"/>
        <w:spacing w:line="360" w:lineRule="auto"/>
        <w:ind w:firstLine="420"/>
        <w:rPr>
          <w:rFonts w:eastAsia="Times New Roman"/>
          <w:kern w:val="0"/>
          <w:sz w:val="24"/>
          <w:szCs w:val="24"/>
        </w:rPr>
      </w:pPr>
      <w:bookmarkStart w:id="70" w:name="OLE_LINK40"/>
      <w:bookmarkStart w:id="71" w:name="OLE_LINK10"/>
      <w:bookmarkStart w:id="72" w:name="OLE_LINK39"/>
      <w:r w:rsidRPr="00D05755">
        <w:rPr>
          <w:rFonts w:ascii="宋体" w:hAnsi="宋体" w:cs="宋体" w:hint="eastAsia"/>
          <w:kern w:val="0"/>
          <w:sz w:val="24"/>
          <w:szCs w:val="24"/>
        </w:rPr>
        <w:t>本基金在每个估值日计算基金资产净值及各类基金份额净值时，将统一按前一日基金资产净值的</w:t>
      </w:r>
      <w:r w:rsidRPr="00D05755">
        <w:rPr>
          <w:rFonts w:eastAsia="Times New Roman"/>
          <w:kern w:val="0"/>
          <w:sz w:val="24"/>
          <w:szCs w:val="24"/>
        </w:rPr>
        <w:t>1.20%</w:t>
      </w:r>
      <w:r w:rsidRPr="00D05755">
        <w:rPr>
          <w:rFonts w:ascii="宋体" w:hAnsi="宋体" w:cs="宋体" w:hint="eastAsia"/>
          <w:kern w:val="0"/>
          <w:sz w:val="24"/>
          <w:szCs w:val="24"/>
        </w:rPr>
        <w:t>的年费率计算管理费，投资者实际承担的管理费将依据本基金合同</w:t>
      </w:r>
      <w:r w:rsidRPr="00D05755">
        <w:rPr>
          <w:rFonts w:eastAsia="Times New Roman"/>
          <w:kern w:val="0"/>
          <w:sz w:val="24"/>
          <w:szCs w:val="24"/>
        </w:rPr>
        <w:t>“</w:t>
      </w:r>
      <w:r w:rsidRPr="00D05755">
        <w:rPr>
          <w:rFonts w:ascii="宋体" w:hAnsi="宋体" w:cs="宋体" w:hint="eastAsia"/>
          <w:kern w:val="0"/>
          <w:sz w:val="24"/>
          <w:szCs w:val="24"/>
        </w:rPr>
        <w:t>第十五部分</w:t>
      </w:r>
      <w:r w:rsidRPr="00D05755">
        <w:rPr>
          <w:rFonts w:eastAsia="Times New Roman"/>
          <w:kern w:val="0"/>
          <w:sz w:val="24"/>
          <w:szCs w:val="24"/>
        </w:rPr>
        <w:t xml:space="preserve">  </w:t>
      </w:r>
      <w:r w:rsidRPr="00D05755">
        <w:rPr>
          <w:rFonts w:ascii="宋体" w:hAnsi="宋体" w:cs="宋体" w:hint="eastAsia"/>
          <w:kern w:val="0"/>
          <w:sz w:val="24"/>
          <w:szCs w:val="24"/>
        </w:rPr>
        <w:t>基金费用与税收</w:t>
      </w:r>
      <w:r w:rsidRPr="00D05755">
        <w:rPr>
          <w:rFonts w:eastAsia="Times New Roman"/>
          <w:kern w:val="0"/>
          <w:sz w:val="24"/>
          <w:szCs w:val="24"/>
        </w:rPr>
        <w:t>”</w:t>
      </w:r>
      <w:r w:rsidRPr="00D05755">
        <w:rPr>
          <w:rFonts w:ascii="宋体" w:hAnsi="宋体" w:cs="宋体" w:hint="eastAsia"/>
          <w:kern w:val="0"/>
          <w:sz w:val="24"/>
          <w:szCs w:val="24"/>
        </w:rPr>
        <w:t>的约定计算和收取。</w:t>
      </w:r>
    </w:p>
    <w:bookmarkEnd w:id="70"/>
    <w:bookmarkEnd w:id="71"/>
    <w:bookmarkEnd w:id="72"/>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九、实施</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期间的基金资产估值</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本基金实施</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的，应根据本部分的约定</w:t>
      </w:r>
      <w:proofErr w:type="gramStart"/>
      <w:r w:rsidRPr="00D05755">
        <w:rPr>
          <w:rFonts w:ascii="宋体" w:hAnsi="宋体" w:cs="宋体"/>
          <w:kern w:val="0"/>
          <w:sz w:val="24"/>
          <w:szCs w:val="24"/>
        </w:rPr>
        <w:t>对主袋账户</w:t>
      </w:r>
      <w:proofErr w:type="gramEnd"/>
      <w:r w:rsidRPr="00D05755">
        <w:rPr>
          <w:rFonts w:ascii="宋体" w:hAnsi="宋体" w:cs="宋体"/>
          <w:kern w:val="0"/>
          <w:sz w:val="24"/>
          <w:szCs w:val="24"/>
        </w:rPr>
        <w:t>资产进行估值并</w:t>
      </w:r>
      <w:proofErr w:type="gramStart"/>
      <w:r w:rsidRPr="00D05755">
        <w:rPr>
          <w:rFonts w:ascii="宋体" w:hAnsi="宋体" w:cs="宋体"/>
          <w:kern w:val="0"/>
          <w:sz w:val="24"/>
          <w:szCs w:val="24"/>
        </w:rPr>
        <w:t>披露主袋账户</w:t>
      </w:r>
      <w:proofErr w:type="gramEnd"/>
      <w:r w:rsidRPr="00D05755">
        <w:rPr>
          <w:rFonts w:ascii="宋体" w:hAnsi="宋体" w:cs="宋体"/>
          <w:kern w:val="0"/>
          <w:sz w:val="24"/>
          <w:szCs w:val="24"/>
        </w:rPr>
        <w:t>的基金净值信息，暂停</w:t>
      </w:r>
      <w:proofErr w:type="gramStart"/>
      <w:r w:rsidRPr="00D05755">
        <w:rPr>
          <w:rFonts w:ascii="宋体" w:hAnsi="宋体" w:cs="宋体"/>
          <w:kern w:val="0"/>
          <w:sz w:val="24"/>
          <w:szCs w:val="24"/>
        </w:rPr>
        <w:t>披露侧袋账户</w:t>
      </w:r>
      <w:proofErr w:type="gramEnd"/>
      <w:r w:rsidRPr="00D05755">
        <w:rPr>
          <w:rFonts w:ascii="宋体" w:hAnsi="宋体" w:cs="宋体"/>
          <w:kern w:val="0"/>
          <w:sz w:val="24"/>
          <w:szCs w:val="24"/>
        </w:rPr>
        <w:t>份额净值。</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十、特殊情形的处理</w:t>
      </w:r>
    </w:p>
    <w:p w:rsidR="00E8691A" w:rsidRPr="00D05755" w:rsidRDefault="006E24B4">
      <w:pPr>
        <w:pStyle w:val="div"/>
        <w:spacing w:line="360" w:lineRule="auto"/>
        <w:ind w:firstLine="420"/>
        <w:jc w:val="left"/>
        <w:rPr>
          <w:rFonts w:ascii="宋体" w:hAnsi="宋体" w:cs="宋体"/>
          <w:kern w:val="0"/>
          <w:sz w:val="24"/>
          <w:szCs w:val="24"/>
        </w:rPr>
      </w:pPr>
      <w:r w:rsidRPr="00D05755">
        <w:rPr>
          <w:rFonts w:ascii="宋体" w:hAnsi="宋体" w:cs="宋体"/>
          <w:kern w:val="0"/>
          <w:sz w:val="24"/>
          <w:szCs w:val="24"/>
        </w:rPr>
        <w:t>1、基金管理人、基金托管人按本部分有关估值方法约定的第12项进行估值时，所造成的误差不作为基金资产估值错误处理。</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2、由于证券/期货交易所、登记结算公司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bookmarkEnd w:id="68"/>
      <w:bookmarkEnd w:id="69"/>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73" w:name="_Toc256000014"/>
      <w:r w:rsidRPr="00D05755">
        <w:rPr>
          <w:rFonts w:ascii="Times New Roman"/>
          <w:color w:val="auto"/>
          <w:sz w:val="30"/>
        </w:rPr>
        <w:lastRenderedPageBreak/>
        <w:t>第十五部分</w:t>
      </w:r>
      <w:r w:rsidRPr="00D05755">
        <w:rPr>
          <w:rFonts w:ascii="Times New Roman"/>
          <w:color w:val="auto"/>
          <w:sz w:val="30"/>
        </w:rPr>
        <w:t xml:space="preserve">  </w:t>
      </w:r>
      <w:r w:rsidRPr="00D05755">
        <w:rPr>
          <w:rFonts w:ascii="Times New Roman"/>
          <w:color w:val="auto"/>
          <w:sz w:val="30"/>
        </w:rPr>
        <w:t>基金费用与税收</w:t>
      </w:r>
      <w:bookmarkEnd w:id="73"/>
    </w:p>
    <w:p w:rsidR="00E8691A" w:rsidRPr="00D05755" w:rsidRDefault="00E8691A"/>
    <w:p w:rsidR="00E8691A" w:rsidRPr="00D05755" w:rsidRDefault="006E24B4">
      <w:pPr>
        <w:pStyle w:val="div"/>
        <w:spacing w:line="360" w:lineRule="auto"/>
        <w:ind w:firstLine="480"/>
        <w:jc w:val="left"/>
        <w:rPr>
          <w:rFonts w:eastAsia="Times New Roman"/>
          <w:kern w:val="0"/>
          <w:sz w:val="24"/>
          <w:szCs w:val="24"/>
        </w:rPr>
      </w:pPr>
      <w:r w:rsidRPr="00D05755">
        <w:rPr>
          <w:rStyle w:val="custom"/>
          <w:rFonts w:ascii="宋体" w:hAnsi="宋体" w:cs="宋体"/>
          <w:kern w:val="0"/>
          <w:sz w:val="24"/>
          <w:szCs w:val="24"/>
        </w:rPr>
        <w:t>一、</w:t>
      </w:r>
      <w:r w:rsidRPr="00D05755">
        <w:rPr>
          <w:rFonts w:ascii="宋体" w:hAnsi="宋体" w:cs="宋体"/>
          <w:kern w:val="0"/>
          <w:sz w:val="24"/>
          <w:szCs w:val="24"/>
        </w:rPr>
        <w:t>基金费用的种类</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基金管理人的管理费</w:t>
      </w:r>
      <w:r w:rsidRPr="00D05755">
        <w:rPr>
          <w:rFonts w:ascii="宋体" w:hAnsi="宋体" w:cs="宋体" w:hint="eastAsia"/>
          <w:kern w:val="0"/>
          <w:sz w:val="24"/>
          <w:szCs w:val="24"/>
        </w:rPr>
        <w:t>（包括固定管理费、或有管理费和超额管理费）</w:t>
      </w:r>
      <w:r w:rsidRPr="00D05755">
        <w:rPr>
          <w:rFonts w:ascii="宋体" w:hAnsi="宋体" w:cs="宋体"/>
          <w:kern w:val="0"/>
          <w:sz w:val="24"/>
          <w:szCs w:val="24"/>
        </w:rPr>
        <w:t>；</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基金托管人的托管费；</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3、销售服务费；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《基金合同》生效后与基金相关的信息披露费用（但法律法规、中国证监会另有规定的除外）；</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《基金合同》生效后与基金相关的会计师费、律师费、仲裁费和诉讼费；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基金份额持有人大会费用；</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7、基金的证券、期货等交易费用；</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8、</w:t>
      </w:r>
      <w:r w:rsidRPr="00D05755">
        <w:rPr>
          <w:rFonts w:ascii="宋体" w:hAnsi="宋体" w:cs="宋体"/>
          <w:kern w:val="0"/>
          <w:sz w:val="24"/>
          <w:szCs w:val="24"/>
        </w:rPr>
        <w:t>基金的银行汇划费用；</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9、</w:t>
      </w:r>
      <w:r w:rsidRPr="00D05755">
        <w:rPr>
          <w:rFonts w:ascii="宋体" w:hAnsi="宋体" w:cs="宋体"/>
          <w:kern w:val="0"/>
          <w:sz w:val="24"/>
          <w:szCs w:val="24"/>
        </w:rPr>
        <w:t>基金的账户开户费用、账户维护费用；</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10、因投资港股通标的股票而产生的各项合理费用；</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11、</w:t>
      </w:r>
      <w:r w:rsidRPr="00D05755">
        <w:rPr>
          <w:rFonts w:ascii="宋体" w:hAnsi="宋体" w:cs="宋体"/>
          <w:kern w:val="0"/>
          <w:sz w:val="24"/>
          <w:szCs w:val="24"/>
        </w:rPr>
        <w:t>按照国家有关规定和《基金合同》约定，可以在基金财产中列支的其他费用。</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基金费用计提方法、计提标准和支付方式</w:t>
      </w:r>
    </w:p>
    <w:p w:rsidR="00E8691A" w:rsidRPr="00D05755" w:rsidRDefault="006E24B4">
      <w:pPr>
        <w:pStyle w:val="div"/>
        <w:spacing w:line="360" w:lineRule="auto"/>
        <w:ind w:firstLine="420"/>
        <w:rPr>
          <w:rFonts w:asciiTheme="minorEastAsia" w:eastAsiaTheme="minorEastAsia" w:hAnsiTheme="minorEastAsia"/>
          <w:kern w:val="0"/>
          <w:sz w:val="24"/>
          <w:szCs w:val="24"/>
        </w:rPr>
      </w:pPr>
      <w:r w:rsidRPr="00D05755">
        <w:rPr>
          <w:rFonts w:asciiTheme="minorEastAsia" w:eastAsiaTheme="minorEastAsia" w:hAnsiTheme="minorEastAsia"/>
          <w:kern w:val="0"/>
          <w:sz w:val="24"/>
          <w:szCs w:val="24"/>
        </w:rPr>
        <w:t>1</w:t>
      </w:r>
      <w:r w:rsidRPr="00D05755">
        <w:rPr>
          <w:rFonts w:asciiTheme="minorEastAsia" w:eastAsiaTheme="minorEastAsia" w:hAnsiTheme="minorEastAsia" w:hint="eastAsia"/>
          <w:kern w:val="0"/>
          <w:sz w:val="24"/>
          <w:szCs w:val="24"/>
        </w:rPr>
        <w:t>、基金管理人的管理费</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bookmarkStart w:id="74" w:name="OLE_LINK38"/>
      <w:bookmarkStart w:id="75" w:name="OLE_LINK32"/>
      <w:bookmarkStart w:id="76" w:name="OLE_LINK6"/>
      <w:bookmarkStart w:id="77" w:name="OLE_LINK36"/>
      <w:bookmarkStart w:id="78" w:name="OLE_LINK14"/>
      <w:bookmarkStart w:id="79" w:name="OLE_LINK7"/>
      <w:bookmarkStart w:id="80" w:name="OLE_LINK35"/>
      <w:bookmarkStart w:id="81" w:name="_Hlk195864969"/>
      <w:bookmarkStart w:id="82" w:name="OLE_LINK8"/>
      <w:bookmarkStart w:id="83" w:name="OLE_LINK15"/>
      <w:bookmarkStart w:id="84" w:name="OLE_LINK9"/>
      <w:bookmarkStart w:id="85" w:name="_Hlk196294748"/>
      <w:bookmarkStart w:id="86" w:name="OLE_LINK41"/>
      <w:bookmarkStart w:id="87" w:name="OLE_LINK5"/>
      <w:bookmarkStart w:id="88" w:name="OLE_LINK16"/>
      <w:r w:rsidRPr="00D05755">
        <w:rPr>
          <w:rFonts w:asciiTheme="minorEastAsia" w:eastAsiaTheme="minorEastAsia" w:hAnsiTheme="minorEastAsia" w:hint="eastAsia"/>
          <w:bCs/>
          <w:sz w:val="24"/>
          <w:szCs w:val="24"/>
          <w14:ligatures w14:val="standardContextual"/>
        </w:rPr>
        <w:t>本基金根据每</w:t>
      </w:r>
      <w:bookmarkStart w:id="89" w:name="_Hlk196338562"/>
      <w:r w:rsidRPr="00D05755">
        <w:rPr>
          <w:rFonts w:asciiTheme="minorEastAsia" w:eastAsiaTheme="minorEastAsia" w:hAnsiTheme="minorEastAsia" w:hint="eastAsia"/>
          <w:bCs/>
          <w:sz w:val="24"/>
          <w:szCs w:val="24"/>
          <w14:ligatures w14:val="standardContextual"/>
        </w:rPr>
        <w:t>笔基金份额的持有期限与持有</w:t>
      </w:r>
      <w:proofErr w:type="gramStart"/>
      <w:r w:rsidRPr="00D05755">
        <w:rPr>
          <w:rFonts w:asciiTheme="minorEastAsia" w:eastAsiaTheme="minorEastAsia" w:hAnsiTheme="minorEastAsia" w:hint="eastAsia"/>
          <w:bCs/>
          <w:sz w:val="24"/>
          <w:szCs w:val="24"/>
          <w14:ligatures w14:val="standardContextual"/>
        </w:rPr>
        <w:t>期间年化收益率</w:t>
      </w:r>
      <w:proofErr w:type="gramEnd"/>
      <w:r w:rsidRPr="00D05755">
        <w:rPr>
          <w:rFonts w:asciiTheme="minorEastAsia" w:eastAsiaTheme="minorEastAsia" w:hAnsiTheme="minorEastAsia" w:hint="eastAsia"/>
          <w:bCs/>
          <w:sz w:val="24"/>
          <w:szCs w:val="24"/>
          <w14:ligatures w14:val="standardContextual"/>
        </w:rPr>
        <w:t>，在赎回（或转出，下同）基金份额或基金合同终止的情形发生时确定该笔基金份额对应的管理费</w:t>
      </w:r>
      <w:bookmarkEnd w:id="89"/>
      <w:r w:rsidRPr="00D05755">
        <w:rPr>
          <w:rFonts w:asciiTheme="minorEastAsia" w:eastAsiaTheme="minorEastAsia" w:hAnsiTheme="minorEastAsia" w:hint="eastAsia"/>
          <w:bCs/>
          <w:sz w:val="24"/>
          <w:szCs w:val="24"/>
          <w14:ligatures w14:val="standardContextual"/>
        </w:rPr>
        <w:t>。当投资者赎回基金份额或基金合同终止的情形发生时，持有期限</w:t>
      </w:r>
      <w:bookmarkStart w:id="90" w:name="_Hlk196338589"/>
      <w:r w:rsidRPr="00D05755">
        <w:rPr>
          <w:rFonts w:asciiTheme="minorEastAsia" w:eastAsiaTheme="minorEastAsia" w:hAnsiTheme="minorEastAsia" w:hint="eastAsia"/>
          <w:bCs/>
          <w:sz w:val="24"/>
          <w:szCs w:val="24"/>
          <w14:ligatures w14:val="standardContextual"/>
        </w:rPr>
        <w:t>不足一年（即365天，下同），则按1.20%年费率收取管理费；持有期限达到一年及以上，则根据持有</w:t>
      </w:r>
      <w:proofErr w:type="gramStart"/>
      <w:r w:rsidRPr="00D05755">
        <w:rPr>
          <w:rFonts w:asciiTheme="minorEastAsia" w:eastAsiaTheme="minorEastAsia" w:hAnsiTheme="minorEastAsia" w:hint="eastAsia"/>
          <w:bCs/>
          <w:sz w:val="24"/>
          <w:szCs w:val="24"/>
          <w14:ligatures w14:val="standardContextual"/>
        </w:rPr>
        <w:t>期间年化收益率</w:t>
      </w:r>
      <w:proofErr w:type="gramEnd"/>
      <w:r w:rsidRPr="00D05755">
        <w:rPr>
          <w:rFonts w:asciiTheme="minorEastAsia" w:eastAsiaTheme="minorEastAsia" w:hAnsiTheme="minorEastAsia" w:hint="eastAsia"/>
          <w:bCs/>
          <w:sz w:val="24"/>
          <w:szCs w:val="24"/>
          <w14:ligatures w14:val="standardContextual"/>
        </w:rPr>
        <w:t>分为以下三种情况，分别确定对应的管理费率档位：</w:t>
      </w:r>
    </w:p>
    <w:bookmarkEnd w:id="90"/>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若持有期间相对业绩比较基准</w:t>
      </w:r>
      <w:proofErr w:type="gramStart"/>
      <w:r w:rsidRPr="00D05755">
        <w:rPr>
          <w:rFonts w:asciiTheme="minorEastAsia" w:eastAsiaTheme="minorEastAsia" w:hAnsiTheme="minorEastAsia" w:hint="eastAsia"/>
          <w:bCs/>
          <w:sz w:val="24"/>
          <w:szCs w:val="24"/>
          <w14:ligatures w14:val="standardContextual"/>
        </w:rPr>
        <w:t>的年化超额</w:t>
      </w:r>
      <w:proofErr w:type="gramEnd"/>
      <w:r w:rsidRPr="00D05755">
        <w:rPr>
          <w:rFonts w:asciiTheme="minorEastAsia" w:eastAsiaTheme="minorEastAsia" w:hAnsiTheme="minorEastAsia" w:hint="eastAsia"/>
          <w:bCs/>
          <w:sz w:val="24"/>
          <w:szCs w:val="24"/>
          <w14:ligatures w14:val="standardContextual"/>
        </w:rPr>
        <w:t>收益率（扣除超额管理费后）超过6%且持有收益率（扣除超额管理费后）为正，按1.50%年费率确认管理费；若持有期间</w:t>
      </w:r>
      <w:proofErr w:type="gramStart"/>
      <w:r w:rsidRPr="00D05755">
        <w:rPr>
          <w:rFonts w:asciiTheme="minorEastAsia" w:eastAsiaTheme="minorEastAsia" w:hAnsiTheme="minorEastAsia" w:hint="eastAsia"/>
          <w:bCs/>
          <w:sz w:val="24"/>
          <w:szCs w:val="24"/>
          <w14:ligatures w14:val="standardContextual"/>
        </w:rPr>
        <w:t>的年化超额</w:t>
      </w:r>
      <w:proofErr w:type="gramEnd"/>
      <w:r w:rsidRPr="00D05755">
        <w:rPr>
          <w:rFonts w:asciiTheme="minorEastAsia" w:eastAsiaTheme="minorEastAsia" w:hAnsiTheme="minorEastAsia" w:hint="eastAsia"/>
          <w:bCs/>
          <w:sz w:val="24"/>
          <w:szCs w:val="24"/>
          <w14:ligatures w14:val="standardContextual"/>
        </w:rPr>
        <w:t>收益率在-3%及以下，按0.60%年费率确认管理费；其他情形按1.20%年费率确认管理费。</w:t>
      </w:r>
    </w:p>
    <w:tbl>
      <w:tblPr>
        <w:tblStyle w:val="af"/>
        <w:tblW w:w="6658" w:type="dxa"/>
        <w:jc w:val="center"/>
        <w:tblLook w:val="04A0" w:firstRow="1" w:lastRow="0" w:firstColumn="1" w:lastColumn="0" w:noHBand="0" w:noVBand="1"/>
      </w:tblPr>
      <w:tblGrid>
        <w:gridCol w:w="3827"/>
        <w:gridCol w:w="2831"/>
      </w:tblGrid>
      <w:tr w:rsidR="00E8691A" w:rsidRPr="00D05755">
        <w:trPr>
          <w:trHeight w:val="510"/>
          <w:jc w:val="center"/>
        </w:trPr>
        <w:tc>
          <w:tcPr>
            <w:tcW w:w="3827" w:type="dxa"/>
            <w:vAlign w:val="center"/>
          </w:tcPr>
          <w:p w:rsidR="00E8691A" w:rsidRPr="00D05755" w:rsidRDefault="006E24B4">
            <w:pPr>
              <w:spacing w:line="276" w:lineRule="auto"/>
              <w:rPr>
                <w:rFonts w:asciiTheme="minorEastAsia" w:eastAsiaTheme="minorEastAsia" w:hAnsiTheme="minorEastAsia"/>
                <w:b/>
                <w:sz w:val="24"/>
                <w:szCs w:val="24"/>
                <w14:ligatures w14:val="standardContextual"/>
              </w:rPr>
            </w:pPr>
            <w:r w:rsidRPr="00D05755">
              <w:rPr>
                <w:rFonts w:asciiTheme="minorEastAsia" w:eastAsiaTheme="minorEastAsia" w:hAnsiTheme="minorEastAsia" w:hint="eastAsia"/>
                <w:b/>
                <w:sz w:val="24"/>
                <w:szCs w:val="24"/>
                <w14:ligatures w14:val="standardContextual"/>
              </w:rPr>
              <w:t>持有</w:t>
            </w:r>
            <w:proofErr w:type="gramStart"/>
            <w:r w:rsidRPr="00D05755">
              <w:rPr>
                <w:rFonts w:asciiTheme="minorEastAsia" w:eastAsiaTheme="minorEastAsia" w:hAnsiTheme="minorEastAsia" w:hint="eastAsia"/>
                <w:b/>
                <w:sz w:val="24"/>
                <w:szCs w:val="24"/>
                <w14:ligatures w14:val="standardContextual"/>
              </w:rPr>
              <w:t>期间年化收益率</w:t>
            </w:r>
            <w:proofErr w:type="gramEnd"/>
            <w:r w:rsidRPr="00D05755">
              <w:rPr>
                <w:rFonts w:asciiTheme="minorEastAsia" w:eastAsiaTheme="minorEastAsia" w:hAnsiTheme="minorEastAsia" w:hint="eastAsia"/>
                <w:b/>
                <w:sz w:val="24"/>
                <w:szCs w:val="24"/>
                <w14:ligatures w14:val="standardContextual"/>
              </w:rPr>
              <w:t>（</w:t>
            </w:r>
            <w:r w:rsidRPr="00D05755">
              <w:rPr>
                <w:rFonts w:asciiTheme="minorEastAsia" w:eastAsiaTheme="minorEastAsia" w:hAnsiTheme="minorEastAsia"/>
                <w:b/>
                <w:sz w:val="24"/>
                <w:szCs w:val="24"/>
                <w14:ligatures w14:val="standardContextual"/>
              </w:rPr>
              <w:t>R</w:t>
            </w:r>
            <w:r w:rsidRPr="00D05755">
              <w:rPr>
                <w:rFonts w:asciiTheme="minorEastAsia" w:eastAsiaTheme="minorEastAsia" w:hAnsiTheme="minorEastAsia" w:hint="eastAsia"/>
                <w:b/>
                <w:sz w:val="24"/>
                <w:szCs w:val="24"/>
                <w14:ligatures w14:val="standardContextual"/>
              </w:rPr>
              <w:t>）</w:t>
            </w:r>
          </w:p>
        </w:tc>
        <w:tc>
          <w:tcPr>
            <w:tcW w:w="2831" w:type="dxa"/>
            <w:vAlign w:val="center"/>
          </w:tcPr>
          <w:p w:rsidR="00E8691A" w:rsidRPr="00D05755" w:rsidRDefault="006E24B4">
            <w:pPr>
              <w:spacing w:line="276" w:lineRule="auto"/>
              <w:rPr>
                <w:rFonts w:asciiTheme="minorEastAsia" w:eastAsiaTheme="minorEastAsia" w:hAnsiTheme="minorEastAsia"/>
                <w:b/>
                <w:sz w:val="24"/>
                <w:szCs w:val="24"/>
                <w14:ligatures w14:val="standardContextual"/>
              </w:rPr>
            </w:pPr>
            <w:r w:rsidRPr="00D05755">
              <w:rPr>
                <w:rFonts w:asciiTheme="minorEastAsia" w:eastAsiaTheme="minorEastAsia" w:hAnsiTheme="minorEastAsia" w:hint="eastAsia"/>
                <w:b/>
                <w:sz w:val="24"/>
                <w:szCs w:val="24"/>
                <w14:ligatures w14:val="standardContextual"/>
              </w:rPr>
              <w:t>管理费率（年费率）</w:t>
            </w:r>
          </w:p>
        </w:tc>
      </w:tr>
      <w:tr w:rsidR="00E8691A" w:rsidRPr="00D05755">
        <w:trPr>
          <w:trHeight w:val="510"/>
          <w:jc w:val="center"/>
        </w:trPr>
        <w:tc>
          <w:tcPr>
            <w:tcW w:w="3827" w:type="dxa"/>
            <w:vAlign w:val="center"/>
          </w:tcPr>
          <w:p w:rsidR="00E8691A" w:rsidRPr="00D05755" w:rsidRDefault="006E24B4">
            <w:pPr>
              <w:spacing w:line="276" w:lineRule="auto"/>
              <w:rPr>
                <w:rFonts w:asciiTheme="minorEastAsia" w:eastAsiaTheme="minorEastAsia" w:hAnsiTheme="minorEastAsia"/>
                <w:b/>
                <w:sz w:val="24"/>
                <w:szCs w:val="24"/>
                <w14:ligatures w14:val="standardContextual"/>
              </w:rPr>
            </w:pPr>
            <w:r w:rsidRPr="00D05755">
              <w:rPr>
                <w:rFonts w:asciiTheme="minorEastAsia" w:eastAsiaTheme="minorEastAsia" w:hAnsiTheme="minorEastAsia"/>
                <w:bCs/>
                <w:sz w:val="24"/>
                <w:szCs w:val="24"/>
              </w:rPr>
              <w:lastRenderedPageBreak/>
              <w:t>R</w:t>
            </w:r>
            <w:r w:rsidRPr="00D05755">
              <w:rPr>
                <w:rFonts w:asciiTheme="minorEastAsia" w:eastAsiaTheme="minorEastAsia" w:hAnsiTheme="minorEastAsia" w:hint="eastAsia"/>
                <w:bCs/>
                <w:sz w:val="24"/>
                <w:szCs w:val="24"/>
              </w:rPr>
              <w:t>＞</w:t>
            </w:r>
            <w:r w:rsidRPr="00D05755">
              <w:rPr>
                <w:rFonts w:asciiTheme="minorEastAsia" w:eastAsiaTheme="minorEastAsia" w:hAnsiTheme="minorEastAsia"/>
                <w:bCs/>
                <w:sz w:val="24"/>
                <w:szCs w:val="24"/>
              </w:rPr>
              <w:t>R</w:t>
            </w:r>
            <w:r w:rsidRPr="00D05755">
              <w:rPr>
                <w:rFonts w:asciiTheme="minorEastAsia" w:eastAsiaTheme="minorEastAsia" w:hAnsiTheme="minorEastAsia"/>
                <w:spacing w:val="-2"/>
                <w:sz w:val="24"/>
                <w:szCs w:val="24"/>
                <w:vertAlign w:val="subscript"/>
              </w:rPr>
              <w:t>b</w:t>
            </w:r>
            <w:r w:rsidRPr="00D05755">
              <w:rPr>
                <w:rFonts w:asciiTheme="minorEastAsia" w:eastAsiaTheme="minorEastAsia" w:hAnsiTheme="minorEastAsia"/>
                <w:bCs/>
                <w:sz w:val="24"/>
                <w:szCs w:val="24"/>
              </w:rPr>
              <w:t>+6%</w:t>
            </w:r>
            <w:r w:rsidRPr="00D05755">
              <w:rPr>
                <w:rFonts w:asciiTheme="minorEastAsia" w:eastAsiaTheme="minorEastAsia" w:hAnsiTheme="minorEastAsia" w:hint="eastAsia"/>
                <w:bCs/>
                <w:sz w:val="24"/>
                <w:szCs w:val="24"/>
              </w:rPr>
              <w:t>，</w:t>
            </w:r>
            <w:r w:rsidRPr="00D05755">
              <w:rPr>
                <w:rFonts w:asciiTheme="minorEastAsia" w:eastAsiaTheme="minorEastAsia" w:hAnsiTheme="minorEastAsia"/>
                <w:bCs/>
                <w:sz w:val="24"/>
                <w:szCs w:val="24"/>
              </w:rPr>
              <w:t>R</w:t>
            </w:r>
            <w:r w:rsidRPr="00D05755">
              <w:rPr>
                <w:rFonts w:asciiTheme="minorEastAsia" w:eastAsiaTheme="minorEastAsia" w:hAnsiTheme="minorEastAsia" w:hint="eastAsia"/>
                <w:bCs/>
                <w:sz w:val="24"/>
                <w:szCs w:val="24"/>
              </w:rPr>
              <w:t>＞</w:t>
            </w:r>
            <w:r w:rsidRPr="00D05755">
              <w:rPr>
                <w:rFonts w:asciiTheme="minorEastAsia" w:eastAsiaTheme="minorEastAsia" w:hAnsiTheme="minorEastAsia"/>
                <w:bCs/>
                <w:sz w:val="24"/>
                <w:szCs w:val="24"/>
              </w:rPr>
              <w:t>0</w:t>
            </w:r>
          </w:p>
        </w:tc>
        <w:tc>
          <w:tcPr>
            <w:tcW w:w="2831" w:type="dxa"/>
            <w:vAlign w:val="center"/>
          </w:tcPr>
          <w:p w:rsidR="00E8691A" w:rsidRPr="00D05755" w:rsidRDefault="006E24B4">
            <w:pPr>
              <w:spacing w:line="276" w:lineRule="auto"/>
              <w:rPr>
                <w:rFonts w:asciiTheme="minorEastAsia" w:eastAsiaTheme="minorEastAsia" w:hAnsiTheme="minorEastAsia"/>
                <w:kern w:val="0"/>
                <w:sz w:val="24"/>
                <w:szCs w:val="24"/>
                <w14:ligatures w14:val="standardContextual"/>
              </w:rPr>
            </w:pPr>
            <w:r w:rsidRPr="00D05755">
              <w:rPr>
                <w:rFonts w:asciiTheme="minorEastAsia" w:eastAsiaTheme="minorEastAsia" w:hAnsiTheme="minorEastAsia"/>
                <w:kern w:val="0"/>
                <w:sz w:val="24"/>
                <w:szCs w:val="24"/>
                <w14:ligatures w14:val="standardContextual"/>
              </w:rPr>
              <w:t>1.50%/</w:t>
            </w:r>
            <w:r w:rsidRPr="00D05755">
              <w:rPr>
                <w:rFonts w:asciiTheme="minorEastAsia" w:eastAsiaTheme="minorEastAsia" w:hAnsiTheme="minorEastAsia" w:hint="eastAsia"/>
                <w:bCs/>
                <w:kern w:val="0"/>
                <w:sz w:val="24"/>
                <w:szCs w:val="24"/>
                <w14:ligatures w14:val="standardContextual"/>
              </w:rPr>
              <w:t>年</w:t>
            </w:r>
          </w:p>
        </w:tc>
      </w:tr>
      <w:tr w:rsidR="00E8691A" w:rsidRPr="00D05755">
        <w:trPr>
          <w:trHeight w:val="510"/>
          <w:jc w:val="center"/>
        </w:trPr>
        <w:tc>
          <w:tcPr>
            <w:tcW w:w="3827" w:type="dxa"/>
            <w:vAlign w:val="center"/>
          </w:tcPr>
          <w:p w:rsidR="00E8691A" w:rsidRPr="00D05755" w:rsidRDefault="006E24B4">
            <w:pPr>
              <w:spacing w:line="276" w:lineRule="auto"/>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bCs/>
                <w:sz w:val="24"/>
                <w:szCs w:val="24"/>
              </w:rPr>
              <w:t>R</w:t>
            </w:r>
            <w:r w:rsidRPr="00D05755">
              <w:rPr>
                <w:rFonts w:asciiTheme="minorEastAsia" w:eastAsiaTheme="minorEastAsia" w:hAnsiTheme="minorEastAsia" w:hint="eastAsia"/>
                <w:bCs/>
                <w:sz w:val="24"/>
                <w:szCs w:val="24"/>
              </w:rPr>
              <w:t>≤</w:t>
            </w:r>
            <w:r w:rsidRPr="00D05755">
              <w:rPr>
                <w:rFonts w:asciiTheme="minorEastAsia" w:eastAsiaTheme="minorEastAsia" w:hAnsiTheme="minorEastAsia"/>
                <w:bCs/>
                <w:sz w:val="24"/>
                <w:szCs w:val="24"/>
              </w:rPr>
              <w:t>R</w:t>
            </w:r>
            <w:r w:rsidRPr="00D05755">
              <w:rPr>
                <w:rFonts w:asciiTheme="minorEastAsia" w:eastAsiaTheme="minorEastAsia" w:hAnsiTheme="minorEastAsia"/>
                <w:spacing w:val="-2"/>
                <w:sz w:val="24"/>
                <w:szCs w:val="24"/>
                <w:vertAlign w:val="subscript"/>
              </w:rPr>
              <w:t>b</w:t>
            </w:r>
            <w:r w:rsidRPr="00D05755">
              <w:rPr>
                <w:rFonts w:asciiTheme="minorEastAsia" w:eastAsiaTheme="minorEastAsia" w:hAnsiTheme="minorEastAsia"/>
                <w:bCs/>
                <w:sz w:val="24"/>
                <w:szCs w:val="24"/>
              </w:rPr>
              <w:t>-3%</w:t>
            </w:r>
          </w:p>
        </w:tc>
        <w:tc>
          <w:tcPr>
            <w:tcW w:w="2831" w:type="dxa"/>
            <w:vAlign w:val="center"/>
          </w:tcPr>
          <w:p w:rsidR="00E8691A" w:rsidRPr="00D05755" w:rsidRDefault="006E24B4">
            <w:pPr>
              <w:spacing w:line="276" w:lineRule="auto"/>
              <w:rPr>
                <w:rFonts w:asciiTheme="minorEastAsia" w:eastAsiaTheme="minorEastAsia" w:hAnsiTheme="minorEastAsia"/>
                <w:kern w:val="0"/>
                <w:sz w:val="24"/>
                <w:szCs w:val="24"/>
                <w14:ligatures w14:val="standardContextual"/>
              </w:rPr>
            </w:pPr>
            <w:r w:rsidRPr="00D05755">
              <w:rPr>
                <w:rFonts w:asciiTheme="minorEastAsia" w:eastAsiaTheme="minorEastAsia" w:hAnsiTheme="minorEastAsia"/>
                <w:kern w:val="0"/>
                <w:sz w:val="24"/>
                <w:szCs w:val="24"/>
                <w14:ligatures w14:val="standardContextual"/>
              </w:rPr>
              <w:t>0.60%/</w:t>
            </w:r>
            <w:r w:rsidRPr="00D05755">
              <w:rPr>
                <w:rFonts w:asciiTheme="minorEastAsia" w:eastAsiaTheme="minorEastAsia" w:hAnsiTheme="minorEastAsia" w:hint="eastAsia"/>
                <w:bCs/>
                <w:kern w:val="0"/>
                <w:sz w:val="24"/>
                <w:szCs w:val="24"/>
                <w14:ligatures w14:val="standardContextual"/>
              </w:rPr>
              <w:t>年</w:t>
            </w:r>
          </w:p>
        </w:tc>
      </w:tr>
      <w:tr w:rsidR="00E8691A" w:rsidRPr="00D05755">
        <w:trPr>
          <w:trHeight w:val="510"/>
          <w:jc w:val="center"/>
        </w:trPr>
        <w:tc>
          <w:tcPr>
            <w:tcW w:w="3827" w:type="dxa"/>
            <w:vAlign w:val="center"/>
          </w:tcPr>
          <w:p w:rsidR="00E8691A" w:rsidRPr="00D05755" w:rsidRDefault="006E24B4">
            <w:pPr>
              <w:spacing w:line="276" w:lineRule="auto"/>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其他情形</w:t>
            </w:r>
          </w:p>
        </w:tc>
        <w:tc>
          <w:tcPr>
            <w:tcW w:w="2831" w:type="dxa"/>
            <w:vAlign w:val="center"/>
          </w:tcPr>
          <w:p w:rsidR="00E8691A" w:rsidRPr="00D05755" w:rsidRDefault="006E24B4">
            <w:pPr>
              <w:spacing w:line="276" w:lineRule="auto"/>
              <w:rPr>
                <w:rFonts w:asciiTheme="minorEastAsia" w:eastAsiaTheme="minorEastAsia" w:hAnsiTheme="minorEastAsia"/>
                <w:kern w:val="0"/>
                <w:sz w:val="24"/>
                <w:szCs w:val="24"/>
                <w14:ligatures w14:val="standardContextual"/>
              </w:rPr>
            </w:pPr>
            <w:r w:rsidRPr="00D05755">
              <w:rPr>
                <w:rFonts w:asciiTheme="minorEastAsia" w:eastAsiaTheme="minorEastAsia" w:hAnsiTheme="minorEastAsia"/>
                <w:kern w:val="0"/>
                <w:sz w:val="24"/>
                <w:szCs w:val="24"/>
                <w14:ligatures w14:val="standardContextual"/>
              </w:rPr>
              <w:t>1.20%/</w:t>
            </w:r>
            <w:r w:rsidRPr="00D05755">
              <w:rPr>
                <w:rFonts w:asciiTheme="minorEastAsia" w:eastAsiaTheme="minorEastAsia" w:hAnsiTheme="minorEastAsia" w:hint="eastAsia"/>
                <w:bCs/>
                <w:kern w:val="0"/>
                <w:sz w:val="24"/>
                <w:szCs w:val="24"/>
                <w14:ligatures w14:val="standardContextual"/>
              </w:rPr>
              <w:t>年</w:t>
            </w:r>
          </w:p>
        </w:tc>
      </w:tr>
    </w:tbl>
    <w:p w:rsidR="00E8691A" w:rsidRPr="00D05755" w:rsidRDefault="006E24B4">
      <w:pPr>
        <w:spacing w:line="360" w:lineRule="auto"/>
        <w:ind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注：①</w:t>
      </w:r>
      <w:r w:rsidRPr="00D05755">
        <w:rPr>
          <w:rFonts w:asciiTheme="minorEastAsia" w:eastAsiaTheme="minorEastAsia" w:hAnsiTheme="minorEastAsia"/>
          <w:bCs/>
          <w:sz w:val="24"/>
          <w:szCs w:val="24"/>
          <w14:ligatures w14:val="standardContextual"/>
        </w:rPr>
        <w:t>R</w:t>
      </w:r>
      <w:r w:rsidRPr="00D05755">
        <w:rPr>
          <w:rFonts w:asciiTheme="minorEastAsia" w:eastAsiaTheme="minorEastAsia" w:hAnsiTheme="minorEastAsia" w:hint="eastAsia"/>
          <w:bCs/>
          <w:sz w:val="24"/>
          <w:szCs w:val="24"/>
          <w14:ligatures w14:val="standardContextual"/>
        </w:rPr>
        <w:t>为该笔基金份额</w:t>
      </w:r>
      <w:proofErr w:type="gramStart"/>
      <w:r w:rsidRPr="00D05755">
        <w:rPr>
          <w:rFonts w:asciiTheme="minorEastAsia" w:eastAsiaTheme="minorEastAsia" w:hAnsiTheme="minorEastAsia" w:hint="eastAsia"/>
          <w:bCs/>
          <w:sz w:val="24"/>
          <w:szCs w:val="24"/>
          <w14:ligatures w14:val="standardContextual"/>
        </w:rPr>
        <w:t>的年化收益率</w:t>
      </w:r>
      <w:proofErr w:type="gramEnd"/>
      <w:r w:rsidRPr="00D05755">
        <w:rPr>
          <w:rFonts w:asciiTheme="minorEastAsia" w:eastAsiaTheme="minorEastAsia" w:hAnsiTheme="minorEastAsia" w:hint="eastAsia"/>
          <w:bCs/>
          <w:sz w:val="24"/>
          <w:szCs w:val="24"/>
          <w14:ligatures w14:val="standardContextual"/>
        </w:rPr>
        <w:t>，</w:t>
      </w:r>
      <w:r w:rsidRPr="00D05755">
        <w:rPr>
          <w:rFonts w:asciiTheme="minorEastAsia" w:eastAsiaTheme="minorEastAsia" w:hAnsiTheme="minorEastAsia"/>
          <w:bCs/>
          <w:sz w:val="24"/>
          <w:szCs w:val="24"/>
          <w14:ligatures w14:val="standardContextual"/>
        </w:rPr>
        <w:t>R</w:t>
      </w:r>
      <w:r w:rsidRPr="00D05755">
        <w:rPr>
          <w:rFonts w:asciiTheme="minorEastAsia" w:eastAsiaTheme="minorEastAsia" w:hAnsiTheme="minorEastAsia"/>
          <w:bCs/>
          <w:sz w:val="24"/>
          <w:szCs w:val="24"/>
          <w:vertAlign w:val="subscript"/>
          <w14:ligatures w14:val="standardContextual"/>
        </w:rPr>
        <w:t>b</w:t>
      </w:r>
      <w:r w:rsidRPr="00D05755">
        <w:rPr>
          <w:rFonts w:asciiTheme="minorEastAsia" w:eastAsiaTheme="minorEastAsia" w:hAnsiTheme="minorEastAsia" w:hint="eastAsia"/>
          <w:bCs/>
          <w:sz w:val="24"/>
          <w:szCs w:val="24"/>
          <w14:ligatures w14:val="standardContextual"/>
        </w:rPr>
        <w:t>为本基金业绩比较基准</w:t>
      </w:r>
      <w:proofErr w:type="gramStart"/>
      <w:r w:rsidRPr="00D05755">
        <w:rPr>
          <w:rFonts w:asciiTheme="minorEastAsia" w:eastAsiaTheme="minorEastAsia" w:hAnsiTheme="minorEastAsia" w:hint="eastAsia"/>
          <w:bCs/>
          <w:sz w:val="24"/>
          <w:szCs w:val="24"/>
          <w14:ligatures w14:val="standardContextual"/>
        </w:rPr>
        <w:t>同期年化</w:t>
      </w:r>
      <w:proofErr w:type="gramEnd"/>
      <w:r w:rsidRPr="00D05755">
        <w:rPr>
          <w:rFonts w:asciiTheme="minorEastAsia" w:eastAsiaTheme="minorEastAsia" w:hAnsiTheme="minorEastAsia" w:hint="eastAsia"/>
          <w:bCs/>
          <w:sz w:val="24"/>
          <w:szCs w:val="24"/>
          <w14:ligatures w14:val="standardContextual"/>
        </w:rPr>
        <w:t>收益率。</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②特别的，当持有期限达到一年及以上，</w:t>
      </w:r>
      <w:r w:rsidRPr="00D05755">
        <w:rPr>
          <w:rFonts w:asciiTheme="minorEastAsia" w:eastAsiaTheme="minorEastAsia" w:hAnsiTheme="minorEastAsia"/>
          <w:bCs/>
          <w:sz w:val="24"/>
          <w:szCs w:val="24"/>
          <w14:ligatures w14:val="standardContextual"/>
        </w:rPr>
        <w:t>R</w:t>
      </w:r>
      <w:r w:rsidRPr="00D05755">
        <w:rPr>
          <w:rFonts w:asciiTheme="minorEastAsia" w:eastAsiaTheme="minorEastAsia" w:hAnsiTheme="minorEastAsia" w:hint="eastAsia"/>
          <w:bCs/>
          <w:sz w:val="24"/>
          <w:szCs w:val="24"/>
          <w14:ligatures w14:val="standardContextual"/>
        </w:rPr>
        <w:t>＞</w:t>
      </w:r>
      <w:r w:rsidRPr="00D05755">
        <w:rPr>
          <w:rFonts w:asciiTheme="minorEastAsia" w:eastAsiaTheme="minorEastAsia" w:hAnsiTheme="minorEastAsia"/>
          <w:bCs/>
          <w:sz w:val="24"/>
          <w:szCs w:val="24"/>
          <w14:ligatures w14:val="standardContextual"/>
        </w:rPr>
        <w:t>R</w:t>
      </w:r>
      <w:r w:rsidRPr="00D05755">
        <w:rPr>
          <w:rFonts w:asciiTheme="minorEastAsia" w:eastAsiaTheme="minorEastAsia" w:hAnsiTheme="minorEastAsia"/>
          <w:bCs/>
          <w:sz w:val="24"/>
          <w:szCs w:val="24"/>
          <w:vertAlign w:val="subscript"/>
          <w14:ligatures w14:val="standardContextual"/>
        </w:rPr>
        <w:t>b</w:t>
      </w:r>
      <w:r w:rsidRPr="00D05755">
        <w:rPr>
          <w:rFonts w:asciiTheme="minorEastAsia" w:eastAsiaTheme="minorEastAsia" w:hAnsiTheme="minorEastAsia"/>
          <w:bCs/>
          <w:sz w:val="24"/>
          <w:szCs w:val="24"/>
          <w14:ligatures w14:val="standardContextual"/>
        </w:rPr>
        <w:t>+6%</w:t>
      </w:r>
      <w:r w:rsidRPr="00D05755">
        <w:rPr>
          <w:rFonts w:asciiTheme="minorEastAsia" w:eastAsiaTheme="minorEastAsia" w:hAnsiTheme="minorEastAsia" w:hint="eastAsia"/>
          <w:bCs/>
          <w:sz w:val="24"/>
          <w:szCs w:val="24"/>
          <w14:ligatures w14:val="standardContextual"/>
        </w:rPr>
        <w:t>且</w:t>
      </w:r>
      <w:r w:rsidRPr="00D05755">
        <w:rPr>
          <w:rFonts w:asciiTheme="minorEastAsia" w:eastAsiaTheme="minorEastAsia" w:hAnsiTheme="minorEastAsia"/>
          <w:bCs/>
          <w:sz w:val="24"/>
          <w:szCs w:val="24"/>
          <w14:ligatures w14:val="standardContextual"/>
        </w:rPr>
        <w:t>R</w:t>
      </w:r>
      <w:r w:rsidRPr="00D05755">
        <w:rPr>
          <w:rFonts w:asciiTheme="minorEastAsia" w:eastAsiaTheme="minorEastAsia" w:hAnsiTheme="minorEastAsia" w:hint="eastAsia"/>
          <w:bCs/>
          <w:sz w:val="24"/>
          <w:szCs w:val="24"/>
          <w14:ligatures w14:val="standardContextual"/>
        </w:rPr>
        <w:t>＞</w:t>
      </w:r>
      <w:r w:rsidRPr="00D05755">
        <w:rPr>
          <w:rFonts w:asciiTheme="minorEastAsia" w:eastAsiaTheme="minorEastAsia" w:hAnsiTheme="minorEastAsia"/>
          <w:bCs/>
          <w:sz w:val="24"/>
          <w:szCs w:val="24"/>
          <w14:ligatures w14:val="standardContextual"/>
        </w:rPr>
        <w:t>0</w:t>
      </w:r>
      <w:r w:rsidRPr="00D05755">
        <w:rPr>
          <w:rFonts w:asciiTheme="minorEastAsia" w:eastAsiaTheme="minorEastAsia" w:hAnsiTheme="minorEastAsia" w:hint="eastAsia"/>
          <w:bCs/>
          <w:sz w:val="24"/>
          <w:szCs w:val="24"/>
          <w14:ligatures w14:val="standardContextual"/>
        </w:rPr>
        <w:t>的情形下，</w:t>
      </w:r>
      <w:proofErr w:type="gramStart"/>
      <w:r w:rsidRPr="00D05755">
        <w:rPr>
          <w:rFonts w:asciiTheme="minorEastAsia" w:eastAsiaTheme="minorEastAsia" w:hAnsiTheme="minorEastAsia" w:hint="eastAsia"/>
          <w:bCs/>
          <w:sz w:val="24"/>
          <w:szCs w:val="24"/>
          <w14:ligatures w14:val="standardContextual"/>
        </w:rPr>
        <w:t>若拟扣除</w:t>
      </w:r>
      <w:proofErr w:type="gramEnd"/>
      <w:r w:rsidRPr="00D05755">
        <w:rPr>
          <w:rFonts w:asciiTheme="minorEastAsia" w:eastAsiaTheme="minorEastAsia" w:hAnsiTheme="minorEastAsia" w:hint="eastAsia"/>
          <w:bCs/>
          <w:sz w:val="24"/>
          <w:szCs w:val="24"/>
          <w14:ligatures w14:val="standardContextual"/>
        </w:rPr>
        <w:t>超额管理费后</w:t>
      </w:r>
      <w:proofErr w:type="gramStart"/>
      <w:r w:rsidRPr="00D05755">
        <w:rPr>
          <w:rFonts w:asciiTheme="minorEastAsia" w:eastAsiaTheme="minorEastAsia" w:hAnsiTheme="minorEastAsia" w:hint="eastAsia"/>
          <w:bCs/>
          <w:sz w:val="24"/>
          <w:szCs w:val="24"/>
          <w14:ligatures w14:val="standardContextual"/>
        </w:rPr>
        <w:t>的年化收益率</w:t>
      </w:r>
      <w:proofErr w:type="gramEnd"/>
      <w:r w:rsidRPr="00D05755">
        <w:rPr>
          <w:rFonts w:asciiTheme="minorEastAsia" w:eastAsiaTheme="minorEastAsia" w:hAnsiTheme="minorEastAsia" w:hint="eastAsia"/>
          <w:bCs/>
          <w:sz w:val="24"/>
          <w:szCs w:val="24"/>
          <w14:ligatures w14:val="standardContextual"/>
        </w:rPr>
        <w:t>小于等于</w:t>
      </w:r>
      <w:r w:rsidRPr="00D05755">
        <w:rPr>
          <w:rFonts w:asciiTheme="minorEastAsia" w:eastAsiaTheme="minorEastAsia" w:hAnsiTheme="minorEastAsia"/>
          <w:bCs/>
          <w:sz w:val="24"/>
          <w:szCs w:val="24"/>
          <w14:ligatures w14:val="standardContextual"/>
        </w:rPr>
        <w:t>R</w:t>
      </w:r>
      <w:r w:rsidRPr="00D05755">
        <w:rPr>
          <w:rFonts w:asciiTheme="minorEastAsia" w:eastAsiaTheme="minorEastAsia" w:hAnsiTheme="minorEastAsia"/>
          <w:bCs/>
          <w:sz w:val="24"/>
          <w:szCs w:val="24"/>
          <w:vertAlign w:val="subscript"/>
          <w14:ligatures w14:val="standardContextual"/>
        </w:rPr>
        <w:t>b</w:t>
      </w:r>
      <w:r w:rsidRPr="00D05755">
        <w:rPr>
          <w:rFonts w:asciiTheme="minorEastAsia" w:eastAsiaTheme="minorEastAsia" w:hAnsiTheme="minorEastAsia"/>
          <w:bCs/>
          <w:sz w:val="24"/>
          <w:szCs w:val="24"/>
          <w14:ligatures w14:val="standardContextual"/>
        </w:rPr>
        <w:t>+6%</w:t>
      </w:r>
      <w:r w:rsidRPr="00D05755">
        <w:rPr>
          <w:rFonts w:asciiTheme="minorEastAsia" w:eastAsiaTheme="minorEastAsia" w:hAnsiTheme="minorEastAsia" w:hint="eastAsia"/>
          <w:bCs/>
          <w:sz w:val="24"/>
          <w:szCs w:val="24"/>
          <w14:ligatures w14:val="standardContextual"/>
        </w:rPr>
        <w:t>，或小于等于</w:t>
      </w:r>
      <w:r w:rsidRPr="00D05755">
        <w:rPr>
          <w:rFonts w:asciiTheme="minorEastAsia" w:eastAsiaTheme="minorEastAsia" w:hAnsiTheme="minorEastAsia"/>
          <w:bCs/>
          <w:sz w:val="24"/>
          <w:szCs w:val="24"/>
          <w14:ligatures w14:val="standardContextual"/>
        </w:rPr>
        <w:t>0</w:t>
      </w:r>
      <w:r w:rsidRPr="00D05755">
        <w:rPr>
          <w:rFonts w:asciiTheme="minorEastAsia" w:eastAsiaTheme="minorEastAsia" w:hAnsiTheme="minorEastAsia" w:hint="eastAsia"/>
          <w:bCs/>
          <w:sz w:val="24"/>
          <w:szCs w:val="24"/>
          <w14:ligatures w14:val="standardContextual"/>
        </w:rPr>
        <w:t>时，仍按</w:t>
      </w:r>
      <w:r w:rsidRPr="00D05755">
        <w:rPr>
          <w:rFonts w:asciiTheme="minorEastAsia" w:eastAsiaTheme="minorEastAsia" w:hAnsiTheme="minorEastAsia"/>
          <w:bCs/>
          <w:sz w:val="24"/>
          <w:szCs w:val="24"/>
          <w14:ligatures w14:val="standardContextual"/>
        </w:rPr>
        <w:t>1.20%</w:t>
      </w:r>
      <w:r w:rsidRPr="00D05755">
        <w:rPr>
          <w:rFonts w:asciiTheme="minorEastAsia" w:eastAsiaTheme="minorEastAsia" w:hAnsiTheme="minorEastAsia" w:hint="eastAsia"/>
          <w:bCs/>
          <w:sz w:val="24"/>
          <w:szCs w:val="24"/>
          <w14:ligatures w14:val="standardContextual"/>
        </w:rPr>
        <w:t>年费率收取该笔基金份额的管理费，以使得该笔基金份额在扣除超额管理费后</w:t>
      </w:r>
      <w:proofErr w:type="gramStart"/>
      <w:r w:rsidRPr="00D05755">
        <w:rPr>
          <w:rFonts w:asciiTheme="minorEastAsia" w:eastAsiaTheme="minorEastAsia" w:hAnsiTheme="minorEastAsia" w:hint="eastAsia"/>
          <w:bCs/>
          <w:sz w:val="24"/>
          <w:szCs w:val="24"/>
          <w14:ligatures w14:val="standardContextual"/>
        </w:rPr>
        <w:t>的年化收益率</w:t>
      </w:r>
      <w:proofErr w:type="gramEnd"/>
      <w:r w:rsidRPr="00D05755">
        <w:rPr>
          <w:rFonts w:asciiTheme="minorEastAsia" w:eastAsiaTheme="minorEastAsia" w:hAnsiTheme="minorEastAsia" w:hint="eastAsia"/>
          <w:bCs/>
          <w:sz w:val="24"/>
          <w:szCs w:val="24"/>
          <w14:ligatures w14:val="standardContextual"/>
        </w:rPr>
        <w:t>仍满足本基金收取超额管理费的标准。</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具体而言，本基金的管理费包含固定管理费、或有管理费和超额管理费，按以下方式计算和确认。</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w:t>
      </w:r>
      <w:r w:rsidRPr="00D05755">
        <w:rPr>
          <w:rFonts w:asciiTheme="minorEastAsia" w:eastAsiaTheme="minorEastAsia" w:hAnsiTheme="minorEastAsia"/>
          <w:bCs/>
          <w:sz w:val="24"/>
          <w:szCs w:val="24"/>
          <w14:ligatures w14:val="standardContextual"/>
        </w:rPr>
        <w:t>1</w:t>
      </w:r>
      <w:r w:rsidRPr="00D05755">
        <w:rPr>
          <w:rFonts w:asciiTheme="minorEastAsia" w:eastAsiaTheme="minorEastAsia" w:hAnsiTheme="minorEastAsia" w:hint="eastAsia"/>
          <w:bCs/>
          <w:sz w:val="24"/>
          <w:szCs w:val="24"/>
          <w14:ligatures w14:val="standardContextual"/>
        </w:rPr>
        <w:t>）固定管理费</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固定管理费按前一日基金资产净值的</w:t>
      </w:r>
      <w:r w:rsidRPr="00D05755">
        <w:rPr>
          <w:rFonts w:asciiTheme="minorEastAsia" w:eastAsiaTheme="minorEastAsia" w:hAnsiTheme="minorEastAsia"/>
          <w:bCs/>
          <w:sz w:val="24"/>
          <w:szCs w:val="24"/>
          <w14:ligatures w14:val="standardContextual"/>
        </w:rPr>
        <w:t>0.60%</w:t>
      </w:r>
      <w:r w:rsidRPr="00D05755">
        <w:rPr>
          <w:rFonts w:asciiTheme="minorEastAsia" w:eastAsiaTheme="minorEastAsia" w:hAnsiTheme="minorEastAsia" w:hint="eastAsia"/>
          <w:bCs/>
          <w:sz w:val="24"/>
          <w:szCs w:val="24"/>
          <w14:ligatures w14:val="standardContextual"/>
        </w:rPr>
        <w:t>年费率每日计提。固定管理费的计算方法如下：</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bCs/>
          <w:sz w:val="24"/>
          <w:szCs w:val="24"/>
          <w14:ligatures w14:val="standardContextual"/>
        </w:rPr>
        <w:t>H</w:t>
      </w:r>
      <w:r w:rsidRPr="00D05755">
        <w:rPr>
          <w:rFonts w:asciiTheme="minorEastAsia" w:eastAsiaTheme="minorEastAsia" w:hAnsiTheme="minorEastAsia"/>
          <w:bCs/>
          <w:sz w:val="24"/>
          <w:szCs w:val="24"/>
          <w:vertAlign w:val="subscript"/>
          <w14:ligatures w14:val="standardContextual"/>
        </w:rPr>
        <w:t>1</w:t>
      </w:r>
      <w:r w:rsidRPr="00D05755">
        <w:rPr>
          <w:rFonts w:asciiTheme="minorEastAsia" w:eastAsiaTheme="minorEastAsia" w:hAnsiTheme="minorEastAsia" w:hint="eastAsia"/>
          <w:bCs/>
          <w:sz w:val="24"/>
          <w:szCs w:val="24"/>
          <w14:ligatures w14:val="standardContextual"/>
        </w:rPr>
        <w:t>＝</w:t>
      </w:r>
      <w:r w:rsidRPr="00D05755">
        <w:rPr>
          <w:rFonts w:asciiTheme="minorEastAsia" w:eastAsiaTheme="minorEastAsia" w:hAnsiTheme="minorEastAsia"/>
          <w:bCs/>
          <w:sz w:val="24"/>
          <w:szCs w:val="24"/>
          <w14:ligatures w14:val="standardContextual"/>
        </w:rPr>
        <w:t>E</w:t>
      </w:r>
      <w:r w:rsidRPr="00D05755">
        <w:rPr>
          <w:rFonts w:asciiTheme="minorEastAsia" w:eastAsiaTheme="minorEastAsia" w:hAnsiTheme="minorEastAsia" w:hint="eastAsia"/>
          <w:bCs/>
          <w:sz w:val="24"/>
          <w:szCs w:val="24"/>
          <w14:ligatures w14:val="standardContextual"/>
        </w:rPr>
        <w:t>×</w:t>
      </w:r>
      <w:r w:rsidRPr="00D05755">
        <w:rPr>
          <w:rFonts w:asciiTheme="minorEastAsia" w:eastAsiaTheme="minorEastAsia" w:hAnsiTheme="minorEastAsia"/>
          <w:bCs/>
          <w:sz w:val="24"/>
          <w:szCs w:val="24"/>
          <w14:ligatures w14:val="standardContextual"/>
        </w:rPr>
        <w:t>0.60%</w:t>
      </w:r>
      <w:r w:rsidRPr="00D05755">
        <w:rPr>
          <w:rFonts w:asciiTheme="minorEastAsia" w:eastAsiaTheme="minorEastAsia" w:hAnsiTheme="minorEastAsia" w:hint="eastAsia"/>
          <w:bCs/>
          <w:sz w:val="24"/>
          <w:szCs w:val="24"/>
          <w14:ligatures w14:val="standardContextual"/>
        </w:rPr>
        <w:t>÷当年天数</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bCs/>
          <w:sz w:val="24"/>
          <w:szCs w:val="24"/>
          <w14:ligatures w14:val="standardContextual"/>
        </w:rPr>
        <w:t>H</w:t>
      </w:r>
      <w:r w:rsidRPr="00D05755">
        <w:rPr>
          <w:rFonts w:asciiTheme="minorEastAsia" w:eastAsiaTheme="minorEastAsia" w:hAnsiTheme="minorEastAsia"/>
          <w:bCs/>
          <w:sz w:val="24"/>
          <w:szCs w:val="24"/>
          <w:vertAlign w:val="subscript"/>
          <w14:ligatures w14:val="standardContextual"/>
        </w:rPr>
        <w:t>1</w:t>
      </w:r>
      <w:r w:rsidRPr="00D05755">
        <w:rPr>
          <w:rFonts w:asciiTheme="minorEastAsia" w:eastAsiaTheme="minorEastAsia" w:hAnsiTheme="minorEastAsia" w:hint="eastAsia"/>
          <w:bCs/>
          <w:sz w:val="24"/>
          <w:szCs w:val="24"/>
          <w14:ligatures w14:val="standardContextual"/>
        </w:rPr>
        <w:t>为每日应计提的固定管理费</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bCs/>
          <w:sz w:val="24"/>
          <w:szCs w:val="24"/>
          <w14:ligatures w14:val="standardContextual"/>
        </w:rPr>
        <w:t>E</w:t>
      </w:r>
      <w:r w:rsidRPr="00D05755">
        <w:rPr>
          <w:rFonts w:asciiTheme="minorEastAsia" w:eastAsiaTheme="minorEastAsia" w:hAnsiTheme="minorEastAsia" w:hint="eastAsia"/>
          <w:bCs/>
          <w:sz w:val="24"/>
          <w:szCs w:val="24"/>
          <w14:ligatures w14:val="standardContextual"/>
        </w:rPr>
        <w:t>为前一日的基金资产净值</w:t>
      </w:r>
    </w:p>
    <w:p w:rsidR="00E8691A" w:rsidRPr="00D05755" w:rsidRDefault="006E24B4">
      <w:pPr>
        <w:spacing w:line="360" w:lineRule="auto"/>
        <w:ind w:firstLine="482"/>
        <w:rPr>
          <w:rFonts w:asciiTheme="minorEastAsia" w:eastAsiaTheme="minorEastAsia" w:hAnsiTheme="minorEastAsia"/>
          <w:bCs/>
          <w:sz w:val="24"/>
          <w:szCs w:val="24"/>
        </w:rPr>
      </w:pPr>
      <w:r w:rsidRPr="00D05755">
        <w:rPr>
          <w:rFonts w:asciiTheme="minorEastAsia" w:eastAsiaTheme="minorEastAsia" w:hAnsiTheme="minorEastAsia" w:hint="eastAsia"/>
          <w:bCs/>
          <w:sz w:val="24"/>
          <w:szCs w:val="24"/>
          <w14:ligatures w14:val="standardContextual"/>
        </w:rPr>
        <w:t>固定管理费每日计提，逐日累计至每个月月末，按月支付。由基金托管人根据与基金管理人核对一致的财务数据，</w:t>
      </w:r>
      <w:r w:rsidRPr="00D05755">
        <w:rPr>
          <w:rFonts w:asciiTheme="minorEastAsia" w:eastAsiaTheme="minorEastAsia" w:hAnsiTheme="minorEastAsia"/>
          <w:bCs/>
          <w:sz w:val="24"/>
          <w:szCs w:val="24"/>
        </w:rPr>
        <w:t>在次月月初5个工作日内、基金托管人按照与基金管理人协商一致的方式进行资金支付。</w:t>
      </w:r>
      <w:r w:rsidRPr="00D05755">
        <w:rPr>
          <w:rFonts w:asciiTheme="minorEastAsia" w:eastAsiaTheme="minorEastAsia" w:hAnsiTheme="minorEastAsia" w:hint="eastAsia"/>
          <w:bCs/>
          <w:sz w:val="24"/>
          <w:szCs w:val="24"/>
        </w:rPr>
        <w:t>若遇法定节假日、休息日或不可抗力致使无法按时支付的，顺延至法定节假日、休息日结束之日起5个工作日内或不可抗力情形消除之日起5个工作日内支付。费用扣划后，基金管理人应进行核对，如发现数据不符，及时联系基金托管人协商解决。</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w:t>
      </w:r>
      <w:r w:rsidRPr="00D05755">
        <w:rPr>
          <w:rFonts w:asciiTheme="minorEastAsia" w:eastAsiaTheme="minorEastAsia" w:hAnsiTheme="minorEastAsia"/>
          <w:bCs/>
          <w:sz w:val="24"/>
          <w:szCs w:val="24"/>
          <w14:ligatures w14:val="standardContextual"/>
        </w:rPr>
        <w:t>2</w:t>
      </w:r>
      <w:r w:rsidRPr="00D05755">
        <w:rPr>
          <w:rFonts w:asciiTheme="minorEastAsia" w:eastAsiaTheme="minorEastAsia" w:hAnsiTheme="minorEastAsia" w:hint="eastAsia"/>
          <w:bCs/>
          <w:sz w:val="24"/>
          <w:szCs w:val="24"/>
          <w14:ligatures w14:val="standardContextual"/>
        </w:rPr>
        <w:t>）或有管理费和超额管理费</w:t>
      </w:r>
    </w:p>
    <w:p w:rsidR="00E8691A" w:rsidRPr="00D05755" w:rsidRDefault="006E24B4">
      <w:pPr>
        <w:spacing w:line="300" w:lineRule="auto"/>
        <w:ind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或有管理费按前一日基金资产净值的</w:t>
      </w:r>
      <w:r w:rsidRPr="00D05755">
        <w:rPr>
          <w:rFonts w:asciiTheme="minorEastAsia" w:eastAsiaTheme="minorEastAsia" w:hAnsiTheme="minorEastAsia"/>
          <w:bCs/>
          <w:sz w:val="24"/>
          <w:szCs w:val="24"/>
          <w14:ligatures w14:val="standardContextual"/>
        </w:rPr>
        <w:t>0.60%</w:t>
      </w:r>
      <w:r w:rsidRPr="00D05755">
        <w:rPr>
          <w:rFonts w:asciiTheme="minorEastAsia" w:eastAsiaTheme="minorEastAsia" w:hAnsiTheme="minorEastAsia" w:hint="eastAsia"/>
          <w:bCs/>
          <w:sz w:val="24"/>
          <w:szCs w:val="24"/>
          <w14:ligatures w14:val="standardContextual"/>
        </w:rPr>
        <w:t>年费率每日计提。或有管理费的计算方法如下：</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bCs/>
          <w:sz w:val="24"/>
          <w:szCs w:val="24"/>
          <w14:ligatures w14:val="standardContextual"/>
        </w:rPr>
        <w:t>H</w:t>
      </w:r>
      <w:r w:rsidRPr="00D05755">
        <w:rPr>
          <w:rFonts w:asciiTheme="minorEastAsia" w:eastAsiaTheme="minorEastAsia" w:hAnsiTheme="minorEastAsia"/>
          <w:bCs/>
          <w:sz w:val="24"/>
          <w:szCs w:val="24"/>
          <w:vertAlign w:val="subscript"/>
          <w14:ligatures w14:val="standardContextual"/>
        </w:rPr>
        <w:t>2</w:t>
      </w:r>
      <w:r w:rsidRPr="00D05755">
        <w:rPr>
          <w:rFonts w:asciiTheme="minorEastAsia" w:eastAsiaTheme="minorEastAsia" w:hAnsiTheme="minorEastAsia" w:hint="eastAsia"/>
          <w:bCs/>
          <w:sz w:val="24"/>
          <w:szCs w:val="24"/>
          <w14:ligatures w14:val="standardContextual"/>
        </w:rPr>
        <w:t>＝</w:t>
      </w:r>
      <w:r w:rsidRPr="00D05755">
        <w:rPr>
          <w:rFonts w:asciiTheme="minorEastAsia" w:eastAsiaTheme="minorEastAsia" w:hAnsiTheme="minorEastAsia"/>
          <w:bCs/>
          <w:sz w:val="24"/>
          <w:szCs w:val="24"/>
          <w14:ligatures w14:val="standardContextual"/>
        </w:rPr>
        <w:t>E</w:t>
      </w:r>
      <w:r w:rsidRPr="00D05755">
        <w:rPr>
          <w:rFonts w:asciiTheme="minorEastAsia" w:eastAsiaTheme="minorEastAsia" w:hAnsiTheme="minorEastAsia" w:hint="eastAsia"/>
          <w:bCs/>
          <w:sz w:val="24"/>
          <w:szCs w:val="24"/>
          <w14:ligatures w14:val="standardContextual"/>
        </w:rPr>
        <w:t>×</w:t>
      </w:r>
      <w:r w:rsidRPr="00D05755">
        <w:rPr>
          <w:rFonts w:asciiTheme="minorEastAsia" w:eastAsiaTheme="minorEastAsia" w:hAnsiTheme="minorEastAsia"/>
          <w:bCs/>
          <w:sz w:val="24"/>
          <w:szCs w:val="24"/>
          <w14:ligatures w14:val="standardContextual"/>
        </w:rPr>
        <w:t>0.60%</w:t>
      </w:r>
      <w:r w:rsidRPr="00D05755">
        <w:rPr>
          <w:rFonts w:asciiTheme="minorEastAsia" w:eastAsiaTheme="minorEastAsia" w:hAnsiTheme="minorEastAsia" w:hint="eastAsia"/>
          <w:bCs/>
          <w:sz w:val="24"/>
          <w:szCs w:val="24"/>
          <w14:ligatures w14:val="standardContextual"/>
        </w:rPr>
        <w:t>÷当年天数</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bCs/>
          <w:sz w:val="24"/>
          <w:szCs w:val="24"/>
          <w14:ligatures w14:val="standardContextual"/>
        </w:rPr>
        <w:t>H</w:t>
      </w:r>
      <w:r w:rsidRPr="00D05755">
        <w:rPr>
          <w:rFonts w:asciiTheme="minorEastAsia" w:eastAsiaTheme="minorEastAsia" w:hAnsiTheme="minorEastAsia"/>
          <w:bCs/>
          <w:sz w:val="24"/>
          <w:szCs w:val="24"/>
          <w:vertAlign w:val="subscript"/>
          <w14:ligatures w14:val="standardContextual"/>
        </w:rPr>
        <w:t>2</w:t>
      </w:r>
      <w:r w:rsidRPr="00D05755">
        <w:rPr>
          <w:rFonts w:asciiTheme="minorEastAsia" w:eastAsiaTheme="minorEastAsia" w:hAnsiTheme="minorEastAsia" w:hint="eastAsia"/>
          <w:bCs/>
          <w:sz w:val="24"/>
          <w:szCs w:val="24"/>
          <w14:ligatures w14:val="standardContextual"/>
        </w:rPr>
        <w:t>为每日应计提的或有管理费</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bCs/>
          <w:sz w:val="24"/>
          <w:szCs w:val="24"/>
          <w14:ligatures w14:val="standardContextual"/>
        </w:rPr>
        <w:t>E</w:t>
      </w:r>
      <w:r w:rsidRPr="00D05755">
        <w:rPr>
          <w:rFonts w:asciiTheme="minorEastAsia" w:eastAsiaTheme="minorEastAsia" w:hAnsiTheme="minorEastAsia" w:hint="eastAsia"/>
          <w:bCs/>
          <w:sz w:val="24"/>
          <w:szCs w:val="24"/>
          <w14:ligatures w14:val="standardContextual"/>
        </w:rPr>
        <w:t>为前一日的基金资产净值</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lastRenderedPageBreak/>
        <w:t>投资者赎回基金份额或基金合同终止的情形发生时，若该笔基金份额持有天数达到或超过</w:t>
      </w:r>
      <w:r w:rsidRPr="00D05755">
        <w:rPr>
          <w:rFonts w:asciiTheme="minorEastAsia" w:eastAsiaTheme="minorEastAsia" w:hAnsiTheme="minorEastAsia"/>
          <w:bCs/>
          <w:sz w:val="24"/>
          <w:szCs w:val="24"/>
          <w14:ligatures w14:val="standardContextual"/>
        </w:rPr>
        <w:t>365</w:t>
      </w:r>
      <w:r w:rsidRPr="00D05755">
        <w:rPr>
          <w:rFonts w:asciiTheme="minorEastAsia" w:eastAsiaTheme="minorEastAsia" w:hAnsiTheme="minorEastAsia" w:hint="eastAsia"/>
          <w:bCs/>
          <w:sz w:val="24"/>
          <w:szCs w:val="24"/>
          <w14:ligatures w14:val="standardContextual"/>
        </w:rPr>
        <w:t>天，且该笔基金份额的持有</w:t>
      </w:r>
      <w:proofErr w:type="gramStart"/>
      <w:r w:rsidRPr="00D05755">
        <w:rPr>
          <w:rFonts w:asciiTheme="minorEastAsia" w:eastAsiaTheme="minorEastAsia" w:hAnsiTheme="minorEastAsia" w:hint="eastAsia"/>
          <w:bCs/>
          <w:sz w:val="24"/>
          <w:szCs w:val="24"/>
          <w14:ligatures w14:val="standardContextual"/>
        </w:rPr>
        <w:t>期间年化收益率</w:t>
      </w:r>
      <w:proofErr w:type="gramEnd"/>
      <w:r w:rsidRPr="00D05755">
        <w:rPr>
          <w:rFonts w:asciiTheme="minorEastAsia" w:eastAsiaTheme="minorEastAsia" w:hAnsiTheme="minorEastAsia" w:hint="eastAsia"/>
          <w:bCs/>
          <w:sz w:val="24"/>
          <w:szCs w:val="24"/>
          <w14:ligatures w14:val="standardContextual"/>
        </w:rPr>
        <w:t>（</w:t>
      </w:r>
      <w:r w:rsidRPr="00D05755">
        <w:rPr>
          <w:rFonts w:asciiTheme="minorEastAsia" w:eastAsiaTheme="minorEastAsia" w:hAnsiTheme="minorEastAsia"/>
          <w:bCs/>
          <w:sz w:val="24"/>
          <w:szCs w:val="24"/>
          <w14:ligatures w14:val="standardContextual"/>
        </w:rPr>
        <w:t>R</w:t>
      </w:r>
      <w:r w:rsidRPr="00D05755">
        <w:rPr>
          <w:rFonts w:asciiTheme="minorEastAsia" w:eastAsiaTheme="minorEastAsia" w:hAnsiTheme="minorEastAsia" w:hint="eastAsia"/>
          <w:bCs/>
          <w:sz w:val="24"/>
          <w:szCs w:val="24"/>
          <w14:ligatures w14:val="standardContextual"/>
        </w:rPr>
        <w:t>）符合下表“情形一”的收取情形，或有管理费为</w:t>
      </w:r>
      <w:r w:rsidRPr="00D05755">
        <w:rPr>
          <w:rFonts w:asciiTheme="minorEastAsia" w:eastAsiaTheme="minorEastAsia" w:hAnsiTheme="minorEastAsia"/>
          <w:bCs/>
          <w:sz w:val="24"/>
          <w:szCs w:val="24"/>
          <w14:ligatures w14:val="standardContextual"/>
        </w:rPr>
        <w:t>0</w:t>
      </w:r>
      <w:r w:rsidRPr="00D05755">
        <w:rPr>
          <w:rFonts w:asciiTheme="minorEastAsia" w:eastAsiaTheme="minorEastAsia" w:hAnsiTheme="minorEastAsia" w:hint="eastAsia"/>
          <w:bCs/>
          <w:sz w:val="24"/>
          <w:szCs w:val="24"/>
          <w14:ligatures w14:val="standardContextual"/>
        </w:rPr>
        <w:t>，则该笔基金份额</w:t>
      </w:r>
      <w:bookmarkStart w:id="91" w:name="_Hlk196468735"/>
      <w:r w:rsidRPr="00D05755">
        <w:rPr>
          <w:rFonts w:asciiTheme="minorEastAsia" w:eastAsiaTheme="minorEastAsia" w:hAnsiTheme="minorEastAsia" w:hint="eastAsia"/>
          <w:bCs/>
          <w:sz w:val="24"/>
          <w:szCs w:val="24"/>
          <w14:ligatures w14:val="standardContextual"/>
        </w:rPr>
        <w:t>持有期限内计提的或有管理费将</w:t>
      </w:r>
      <w:bookmarkEnd w:id="91"/>
      <w:r w:rsidRPr="00D05755">
        <w:rPr>
          <w:rFonts w:asciiTheme="minorEastAsia" w:eastAsiaTheme="minorEastAsia" w:hAnsiTheme="minorEastAsia" w:hint="eastAsia"/>
          <w:bCs/>
          <w:sz w:val="24"/>
          <w:szCs w:val="24"/>
          <w14:ligatures w14:val="standardContextual"/>
        </w:rPr>
        <w:t>全额随赎回款（或清算款）一并返还给投资者；在其他情形下，该笔基金份额持有期限内计提的或有管理费应确认为应由基金管理人收取的管理费。</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本基金每日预估计算并记录每笔基金份额的超额管理费，基金超额管理费的预估计算方法如下：</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bCs/>
          <w:sz w:val="24"/>
          <w:szCs w:val="24"/>
          <w14:ligatures w14:val="standardContextual"/>
        </w:rPr>
        <w:t>H</w:t>
      </w:r>
      <w:r w:rsidRPr="00D05755">
        <w:rPr>
          <w:rFonts w:asciiTheme="minorEastAsia" w:eastAsiaTheme="minorEastAsia" w:hAnsiTheme="minorEastAsia"/>
          <w:bCs/>
          <w:sz w:val="24"/>
          <w:szCs w:val="24"/>
          <w:vertAlign w:val="subscript"/>
          <w14:ligatures w14:val="standardContextual"/>
        </w:rPr>
        <w:t>3</w:t>
      </w:r>
      <w:r w:rsidRPr="00D05755">
        <w:rPr>
          <w:rFonts w:asciiTheme="minorEastAsia" w:eastAsiaTheme="minorEastAsia" w:hAnsiTheme="minorEastAsia" w:hint="eastAsia"/>
          <w:bCs/>
          <w:sz w:val="24"/>
          <w:szCs w:val="24"/>
          <w14:ligatures w14:val="standardContextual"/>
        </w:rPr>
        <w:t>＝</w:t>
      </w:r>
      <w:r w:rsidRPr="00D05755">
        <w:rPr>
          <w:rFonts w:asciiTheme="minorEastAsia" w:eastAsiaTheme="minorEastAsia" w:hAnsiTheme="minorEastAsia"/>
          <w:bCs/>
          <w:sz w:val="24"/>
          <w:szCs w:val="24"/>
          <w14:ligatures w14:val="standardContextual"/>
        </w:rPr>
        <w:t>E</w:t>
      </w:r>
      <w:r w:rsidRPr="00D05755">
        <w:rPr>
          <w:rFonts w:asciiTheme="minorEastAsia" w:eastAsiaTheme="minorEastAsia" w:hAnsiTheme="minorEastAsia" w:hint="eastAsia"/>
          <w:bCs/>
          <w:sz w:val="24"/>
          <w:szCs w:val="24"/>
          <w14:ligatures w14:val="standardContextual"/>
        </w:rPr>
        <w:t>×</w:t>
      </w:r>
      <w:r w:rsidRPr="00D05755">
        <w:rPr>
          <w:rFonts w:asciiTheme="minorEastAsia" w:eastAsiaTheme="minorEastAsia" w:hAnsiTheme="minorEastAsia"/>
          <w:bCs/>
          <w:sz w:val="24"/>
          <w:szCs w:val="24"/>
          <w14:ligatures w14:val="standardContextual"/>
        </w:rPr>
        <w:t>0.30%</w:t>
      </w:r>
      <w:r w:rsidRPr="00D05755">
        <w:rPr>
          <w:rFonts w:asciiTheme="minorEastAsia" w:eastAsiaTheme="minorEastAsia" w:hAnsiTheme="minorEastAsia" w:hint="eastAsia"/>
          <w:bCs/>
          <w:sz w:val="24"/>
          <w:szCs w:val="24"/>
          <w14:ligatures w14:val="standardContextual"/>
        </w:rPr>
        <w:t>÷当年天数</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bCs/>
          <w:sz w:val="24"/>
          <w:szCs w:val="24"/>
          <w14:ligatures w14:val="standardContextual"/>
        </w:rPr>
        <w:t>H</w:t>
      </w:r>
      <w:r w:rsidRPr="00D05755">
        <w:rPr>
          <w:rFonts w:asciiTheme="minorEastAsia" w:eastAsiaTheme="minorEastAsia" w:hAnsiTheme="minorEastAsia"/>
          <w:bCs/>
          <w:sz w:val="24"/>
          <w:szCs w:val="24"/>
          <w:vertAlign w:val="subscript"/>
          <w14:ligatures w14:val="standardContextual"/>
        </w:rPr>
        <w:t>3</w:t>
      </w:r>
      <w:r w:rsidRPr="00D05755">
        <w:rPr>
          <w:rFonts w:asciiTheme="minorEastAsia" w:eastAsiaTheme="minorEastAsia" w:hAnsiTheme="minorEastAsia" w:hint="eastAsia"/>
          <w:bCs/>
          <w:sz w:val="24"/>
          <w:szCs w:val="24"/>
          <w14:ligatures w14:val="standardContextual"/>
        </w:rPr>
        <w:t>为每日预估计算的基金超额管理费</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bCs/>
          <w:sz w:val="24"/>
          <w:szCs w:val="24"/>
          <w14:ligatures w14:val="standardContextual"/>
        </w:rPr>
        <w:t>E</w:t>
      </w:r>
      <w:r w:rsidRPr="00D05755">
        <w:rPr>
          <w:rFonts w:asciiTheme="minorEastAsia" w:eastAsiaTheme="minorEastAsia" w:hAnsiTheme="minorEastAsia" w:hint="eastAsia"/>
          <w:bCs/>
          <w:sz w:val="24"/>
          <w:szCs w:val="24"/>
          <w14:ligatures w14:val="standardContextual"/>
        </w:rPr>
        <w:t>为前一日的基金资产净值</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每笔基金份额的超额管理费每日预估计算，但不从基金资产中实际计提，逐日累计。投资者赎回基金份额或基金合同终止的情形发生时，当且仅当该笔基金份额持有天数达到或超过</w:t>
      </w:r>
      <w:r w:rsidRPr="00D05755">
        <w:rPr>
          <w:rFonts w:asciiTheme="minorEastAsia" w:eastAsiaTheme="minorEastAsia" w:hAnsiTheme="minorEastAsia"/>
          <w:bCs/>
          <w:sz w:val="24"/>
          <w:szCs w:val="24"/>
          <w14:ligatures w14:val="standardContextual"/>
        </w:rPr>
        <w:t>365</w:t>
      </w:r>
      <w:r w:rsidRPr="00D05755">
        <w:rPr>
          <w:rFonts w:asciiTheme="minorEastAsia" w:eastAsiaTheme="minorEastAsia" w:hAnsiTheme="minorEastAsia" w:hint="eastAsia"/>
          <w:bCs/>
          <w:sz w:val="24"/>
          <w:szCs w:val="24"/>
          <w14:ligatures w14:val="standardContextual"/>
        </w:rPr>
        <w:t>天，且该笔基金份额</w:t>
      </w:r>
      <w:proofErr w:type="gramStart"/>
      <w:r w:rsidRPr="00D05755">
        <w:rPr>
          <w:rFonts w:asciiTheme="minorEastAsia" w:eastAsiaTheme="minorEastAsia" w:hAnsiTheme="minorEastAsia" w:hint="eastAsia"/>
          <w:bCs/>
          <w:sz w:val="24"/>
          <w:szCs w:val="24"/>
          <w14:ligatures w14:val="standardContextual"/>
        </w:rPr>
        <w:t>的年化收益率</w:t>
      </w:r>
      <w:proofErr w:type="gramEnd"/>
      <w:r w:rsidRPr="00D05755">
        <w:rPr>
          <w:rFonts w:asciiTheme="minorEastAsia" w:eastAsiaTheme="minorEastAsia" w:hAnsiTheme="minorEastAsia" w:hint="eastAsia"/>
          <w:bCs/>
          <w:sz w:val="24"/>
          <w:szCs w:val="24"/>
          <w14:ligatures w14:val="standardContextual"/>
        </w:rPr>
        <w:t>（</w:t>
      </w:r>
      <w:r w:rsidRPr="00D05755">
        <w:rPr>
          <w:rFonts w:asciiTheme="minorEastAsia" w:eastAsiaTheme="minorEastAsia" w:hAnsiTheme="minorEastAsia"/>
          <w:bCs/>
          <w:sz w:val="24"/>
          <w:szCs w:val="24"/>
          <w14:ligatures w14:val="standardContextual"/>
        </w:rPr>
        <w:t>R</w:t>
      </w:r>
      <w:r w:rsidRPr="00D05755">
        <w:rPr>
          <w:rFonts w:asciiTheme="minorEastAsia" w:eastAsiaTheme="minorEastAsia" w:hAnsiTheme="minorEastAsia" w:hint="eastAsia"/>
          <w:bCs/>
          <w:sz w:val="24"/>
          <w:szCs w:val="24"/>
          <w14:ligatures w14:val="standardContextual"/>
        </w:rPr>
        <w:t>）符合下表“情形三”的</w:t>
      </w:r>
      <w:bookmarkStart w:id="92" w:name="_Hlk196468430"/>
      <w:r w:rsidRPr="00D05755">
        <w:rPr>
          <w:rFonts w:asciiTheme="minorEastAsia" w:eastAsiaTheme="minorEastAsia" w:hAnsiTheme="minorEastAsia" w:hint="eastAsia"/>
          <w:bCs/>
          <w:sz w:val="24"/>
          <w:szCs w:val="24"/>
          <w14:ligatures w14:val="standardContextual"/>
        </w:rPr>
        <w:t>收取情形，将从该笔基金份额的赎回款（或清算款）中扣除</w:t>
      </w:r>
      <w:r w:rsidRPr="00D05755">
        <w:rPr>
          <w:rFonts w:asciiTheme="minorEastAsia" w:eastAsiaTheme="minorEastAsia" w:hAnsiTheme="minorEastAsia"/>
          <w:bCs/>
          <w:sz w:val="24"/>
          <w:szCs w:val="24"/>
          <w14:ligatures w14:val="standardContextual"/>
        </w:rPr>
        <w:t>0.30%</w:t>
      </w:r>
      <w:r w:rsidRPr="00D05755">
        <w:rPr>
          <w:rFonts w:asciiTheme="minorEastAsia" w:eastAsiaTheme="minorEastAsia" w:hAnsiTheme="minorEastAsia" w:hint="eastAsia"/>
          <w:bCs/>
          <w:sz w:val="24"/>
          <w:szCs w:val="24"/>
          <w14:ligatures w14:val="standardContextual"/>
        </w:rPr>
        <w:t>年费率的超额管理费</w:t>
      </w:r>
      <w:bookmarkEnd w:id="92"/>
      <w:r w:rsidRPr="00D05755">
        <w:rPr>
          <w:rFonts w:asciiTheme="minorEastAsia" w:eastAsiaTheme="minorEastAsia" w:hAnsiTheme="minorEastAsia" w:hint="eastAsia"/>
          <w:bCs/>
          <w:sz w:val="24"/>
          <w:szCs w:val="24"/>
          <w14:ligatures w14:val="standardContextual"/>
        </w:rPr>
        <w:t>，并随已计提的或有管理费一同确认为应由基金管理人收取的管理费。</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当投资者赎回基金份额或基金合同终止的情形发生时，本基金根据以下三种情形确认</w:t>
      </w:r>
      <w:proofErr w:type="gramStart"/>
      <w:r w:rsidRPr="00D05755">
        <w:rPr>
          <w:rFonts w:asciiTheme="minorEastAsia" w:eastAsiaTheme="minorEastAsia" w:hAnsiTheme="minorEastAsia" w:hint="eastAsia"/>
          <w:bCs/>
          <w:sz w:val="24"/>
          <w:szCs w:val="24"/>
          <w14:ligatures w14:val="standardContextual"/>
        </w:rPr>
        <w:t>应实际</w:t>
      </w:r>
      <w:proofErr w:type="gramEnd"/>
      <w:r w:rsidRPr="00D05755">
        <w:rPr>
          <w:rFonts w:asciiTheme="minorEastAsia" w:eastAsiaTheme="minorEastAsia" w:hAnsiTheme="minorEastAsia" w:hint="eastAsia"/>
          <w:bCs/>
          <w:sz w:val="24"/>
          <w:szCs w:val="24"/>
          <w14:ligatures w14:val="standardContextual"/>
        </w:rPr>
        <w:t>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E8691A" w:rsidRPr="00D05755">
        <w:trPr>
          <w:trHeight w:val="454"/>
          <w:jc w:val="center"/>
        </w:trPr>
        <w:tc>
          <w:tcPr>
            <w:tcW w:w="1247" w:type="dxa"/>
            <w:vAlign w:val="center"/>
          </w:tcPr>
          <w:p w:rsidR="00E8691A" w:rsidRPr="00D05755" w:rsidRDefault="006E24B4">
            <w:pPr>
              <w:rPr>
                <w:rFonts w:asciiTheme="minorEastAsia" w:eastAsiaTheme="minorEastAsia" w:hAnsiTheme="minorEastAsia"/>
                <w:b/>
                <w:bCs/>
                <w:kern w:val="0"/>
                <w:sz w:val="24"/>
                <w:szCs w:val="24"/>
              </w:rPr>
            </w:pPr>
            <w:bookmarkStart w:id="93" w:name="_Hlk195865040"/>
            <w:r w:rsidRPr="00D05755">
              <w:rPr>
                <w:rFonts w:asciiTheme="minorEastAsia" w:eastAsiaTheme="minorEastAsia" w:hAnsiTheme="minorEastAsia" w:hint="eastAsia"/>
                <w:b/>
                <w:bCs/>
                <w:kern w:val="0"/>
                <w:sz w:val="24"/>
                <w:szCs w:val="24"/>
              </w:rPr>
              <w:t>收取情形</w:t>
            </w:r>
          </w:p>
        </w:tc>
        <w:tc>
          <w:tcPr>
            <w:tcW w:w="2933" w:type="dxa"/>
            <w:vAlign w:val="center"/>
          </w:tcPr>
          <w:p w:rsidR="00E8691A" w:rsidRPr="00D05755" w:rsidRDefault="006E24B4">
            <w:pPr>
              <w:rPr>
                <w:rFonts w:asciiTheme="minorEastAsia" w:eastAsiaTheme="minorEastAsia" w:hAnsiTheme="minorEastAsia"/>
                <w:b/>
                <w:bCs/>
                <w:kern w:val="0"/>
                <w:sz w:val="24"/>
                <w:szCs w:val="24"/>
              </w:rPr>
            </w:pPr>
            <w:proofErr w:type="gramStart"/>
            <w:r w:rsidRPr="00D05755">
              <w:rPr>
                <w:rFonts w:asciiTheme="minorEastAsia" w:eastAsiaTheme="minorEastAsia" w:hAnsiTheme="minorEastAsia" w:hint="eastAsia"/>
                <w:b/>
                <w:bCs/>
                <w:kern w:val="0"/>
                <w:sz w:val="24"/>
                <w:szCs w:val="24"/>
              </w:rPr>
              <w:t>年化收益率</w:t>
            </w:r>
            <w:proofErr w:type="gramEnd"/>
            <w:r w:rsidRPr="00D05755">
              <w:rPr>
                <w:rFonts w:asciiTheme="minorEastAsia" w:eastAsiaTheme="minorEastAsia" w:hAnsiTheme="minorEastAsia" w:hint="eastAsia"/>
                <w:b/>
                <w:bCs/>
                <w:kern w:val="0"/>
                <w:sz w:val="24"/>
                <w:szCs w:val="24"/>
              </w:rPr>
              <w:t>（</w:t>
            </w:r>
            <w:r w:rsidRPr="00D05755">
              <w:rPr>
                <w:rFonts w:asciiTheme="minorEastAsia" w:eastAsiaTheme="minorEastAsia" w:hAnsiTheme="minorEastAsia"/>
                <w:b/>
                <w:bCs/>
                <w:kern w:val="0"/>
                <w:sz w:val="24"/>
                <w:szCs w:val="24"/>
              </w:rPr>
              <w:t>R）</w:t>
            </w:r>
          </w:p>
        </w:tc>
        <w:tc>
          <w:tcPr>
            <w:tcW w:w="1701" w:type="dxa"/>
            <w:vAlign w:val="center"/>
          </w:tcPr>
          <w:p w:rsidR="00E8691A" w:rsidRPr="00D05755" w:rsidRDefault="006E24B4">
            <w:pPr>
              <w:rPr>
                <w:rFonts w:asciiTheme="minorEastAsia" w:eastAsiaTheme="minorEastAsia" w:hAnsiTheme="minorEastAsia"/>
                <w:b/>
                <w:bCs/>
                <w:kern w:val="0"/>
                <w:sz w:val="24"/>
                <w:szCs w:val="24"/>
              </w:rPr>
            </w:pPr>
            <w:r w:rsidRPr="00D05755">
              <w:rPr>
                <w:rFonts w:asciiTheme="minorEastAsia" w:eastAsiaTheme="minorEastAsia" w:hAnsiTheme="minorEastAsia" w:hint="eastAsia"/>
                <w:b/>
                <w:bCs/>
                <w:kern w:val="0"/>
                <w:sz w:val="24"/>
                <w:szCs w:val="24"/>
              </w:rPr>
              <w:t>或有管理费</w:t>
            </w:r>
          </w:p>
          <w:p w:rsidR="00E8691A" w:rsidRPr="00D05755" w:rsidRDefault="006E24B4">
            <w:pPr>
              <w:rPr>
                <w:rFonts w:asciiTheme="minorEastAsia" w:eastAsiaTheme="minorEastAsia" w:hAnsiTheme="minorEastAsia"/>
                <w:b/>
                <w:bCs/>
                <w:kern w:val="0"/>
                <w:sz w:val="24"/>
                <w:szCs w:val="24"/>
              </w:rPr>
            </w:pPr>
            <w:r w:rsidRPr="00D05755">
              <w:rPr>
                <w:rFonts w:asciiTheme="minorEastAsia" w:eastAsiaTheme="minorEastAsia" w:hAnsiTheme="minorEastAsia" w:hint="eastAsia"/>
                <w:b/>
                <w:bCs/>
                <w:kern w:val="0"/>
                <w:sz w:val="24"/>
                <w:szCs w:val="24"/>
              </w:rPr>
              <w:t>（年费率）</w:t>
            </w:r>
          </w:p>
        </w:tc>
        <w:tc>
          <w:tcPr>
            <w:tcW w:w="1701" w:type="dxa"/>
            <w:vAlign w:val="center"/>
          </w:tcPr>
          <w:p w:rsidR="00E8691A" w:rsidRPr="00D05755" w:rsidRDefault="006E24B4">
            <w:pPr>
              <w:rPr>
                <w:rFonts w:asciiTheme="minorEastAsia" w:eastAsiaTheme="minorEastAsia" w:hAnsiTheme="minorEastAsia"/>
                <w:b/>
                <w:bCs/>
                <w:kern w:val="0"/>
                <w:sz w:val="24"/>
                <w:szCs w:val="24"/>
              </w:rPr>
            </w:pPr>
            <w:r w:rsidRPr="00D05755">
              <w:rPr>
                <w:rFonts w:asciiTheme="minorEastAsia" w:eastAsiaTheme="minorEastAsia" w:hAnsiTheme="minorEastAsia" w:hint="eastAsia"/>
                <w:b/>
                <w:bCs/>
                <w:kern w:val="0"/>
                <w:sz w:val="24"/>
                <w:szCs w:val="24"/>
              </w:rPr>
              <w:t>超额管理费</w:t>
            </w:r>
          </w:p>
          <w:p w:rsidR="00E8691A" w:rsidRPr="00D05755" w:rsidRDefault="006E24B4">
            <w:pPr>
              <w:rPr>
                <w:rFonts w:asciiTheme="minorEastAsia" w:eastAsiaTheme="minorEastAsia" w:hAnsiTheme="minorEastAsia"/>
                <w:b/>
                <w:bCs/>
                <w:kern w:val="0"/>
                <w:sz w:val="24"/>
                <w:szCs w:val="24"/>
              </w:rPr>
            </w:pPr>
            <w:r w:rsidRPr="00D05755">
              <w:rPr>
                <w:rFonts w:asciiTheme="minorEastAsia" w:eastAsiaTheme="minorEastAsia" w:hAnsiTheme="minorEastAsia" w:hint="eastAsia"/>
                <w:b/>
                <w:bCs/>
                <w:kern w:val="0"/>
                <w:sz w:val="24"/>
                <w:szCs w:val="24"/>
              </w:rPr>
              <w:t>（年费率）</w:t>
            </w:r>
          </w:p>
        </w:tc>
      </w:tr>
      <w:tr w:rsidR="00E8691A" w:rsidRPr="00D05755">
        <w:trPr>
          <w:trHeight w:val="454"/>
          <w:jc w:val="center"/>
        </w:trPr>
        <w:tc>
          <w:tcPr>
            <w:tcW w:w="1247" w:type="dxa"/>
            <w:vAlign w:val="center"/>
          </w:tcPr>
          <w:p w:rsidR="00E8691A" w:rsidRPr="00D05755" w:rsidRDefault="006E24B4">
            <w:pPr>
              <w:rPr>
                <w:rFonts w:asciiTheme="minorEastAsia" w:eastAsiaTheme="minorEastAsia" w:hAnsiTheme="minorEastAsia"/>
                <w:kern w:val="0"/>
                <w:sz w:val="24"/>
                <w:szCs w:val="24"/>
              </w:rPr>
            </w:pPr>
            <w:r w:rsidRPr="00D05755">
              <w:rPr>
                <w:rFonts w:asciiTheme="minorEastAsia" w:eastAsiaTheme="minorEastAsia" w:hAnsiTheme="minorEastAsia" w:hint="eastAsia"/>
                <w:bCs/>
                <w:kern w:val="0"/>
                <w:sz w:val="24"/>
                <w:szCs w:val="24"/>
              </w:rPr>
              <w:t>情形</w:t>
            </w:r>
            <w:proofErr w:type="gramStart"/>
            <w:r w:rsidRPr="00D05755">
              <w:rPr>
                <w:rFonts w:asciiTheme="minorEastAsia" w:eastAsiaTheme="minorEastAsia" w:hAnsiTheme="minorEastAsia" w:hint="eastAsia"/>
                <w:kern w:val="0"/>
                <w:sz w:val="24"/>
                <w:szCs w:val="24"/>
              </w:rPr>
              <w:t>一</w:t>
            </w:r>
            <w:proofErr w:type="gramEnd"/>
          </w:p>
        </w:tc>
        <w:tc>
          <w:tcPr>
            <w:tcW w:w="2933" w:type="dxa"/>
            <w:vAlign w:val="center"/>
          </w:tcPr>
          <w:p w:rsidR="00E8691A" w:rsidRPr="00D05755" w:rsidRDefault="006E24B4">
            <w:pPr>
              <w:rPr>
                <w:rFonts w:asciiTheme="minorEastAsia" w:eastAsiaTheme="minorEastAsia" w:hAnsiTheme="minorEastAsia"/>
                <w:i/>
                <w:kern w:val="0"/>
                <w:sz w:val="24"/>
                <w:szCs w:val="24"/>
              </w:rPr>
            </w:pPr>
            <w:r w:rsidRPr="00D05755">
              <w:rPr>
                <w:rFonts w:asciiTheme="minorEastAsia" w:eastAsiaTheme="minorEastAsia" w:hAnsiTheme="minorEastAsia"/>
                <w:kern w:val="0"/>
                <w:sz w:val="24"/>
                <w:szCs w:val="24"/>
              </w:rPr>
              <w:t>R</w:t>
            </w:r>
            <w:r w:rsidRPr="00D05755">
              <w:rPr>
                <w:rFonts w:asciiTheme="minorEastAsia" w:eastAsiaTheme="minorEastAsia" w:hAnsiTheme="minorEastAsia" w:hint="eastAsia"/>
                <w:kern w:val="0"/>
                <w:sz w:val="24"/>
                <w:szCs w:val="24"/>
              </w:rPr>
              <w:t>≤</w:t>
            </w:r>
            <w:r w:rsidRPr="00D05755">
              <w:rPr>
                <w:rFonts w:asciiTheme="minorEastAsia" w:eastAsiaTheme="minorEastAsia" w:hAnsiTheme="minorEastAsia"/>
                <w:kern w:val="0"/>
                <w:sz w:val="24"/>
                <w:szCs w:val="24"/>
              </w:rPr>
              <w:t>R</w:t>
            </w:r>
            <w:r w:rsidRPr="00D05755">
              <w:rPr>
                <w:rFonts w:asciiTheme="minorEastAsia" w:eastAsiaTheme="minorEastAsia" w:hAnsiTheme="minorEastAsia"/>
                <w:kern w:val="0"/>
                <w:sz w:val="24"/>
                <w:szCs w:val="24"/>
                <w:vertAlign w:val="subscript"/>
              </w:rPr>
              <w:t>b</w:t>
            </w:r>
            <w:r w:rsidRPr="00D05755">
              <w:rPr>
                <w:rFonts w:asciiTheme="minorEastAsia" w:eastAsiaTheme="minorEastAsia" w:hAnsiTheme="minorEastAsia"/>
                <w:kern w:val="0"/>
                <w:sz w:val="24"/>
                <w:szCs w:val="24"/>
              </w:rPr>
              <w:t>-3%</w:t>
            </w:r>
          </w:p>
        </w:tc>
        <w:tc>
          <w:tcPr>
            <w:tcW w:w="1701" w:type="dxa"/>
            <w:vAlign w:val="center"/>
          </w:tcPr>
          <w:p w:rsidR="00E8691A" w:rsidRPr="00D05755" w:rsidRDefault="006E24B4">
            <w:pPr>
              <w:rPr>
                <w:rFonts w:asciiTheme="minorEastAsia" w:eastAsiaTheme="minorEastAsia" w:hAnsiTheme="minorEastAsia"/>
                <w:kern w:val="0"/>
                <w:sz w:val="24"/>
                <w:szCs w:val="24"/>
              </w:rPr>
            </w:pPr>
            <w:r w:rsidRPr="00D05755">
              <w:rPr>
                <w:rFonts w:asciiTheme="minorEastAsia" w:eastAsiaTheme="minorEastAsia" w:hAnsiTheme="minorEastAsia"/>
                <w:kern w:val="0"/>
                <w:sz w:val="24"/>
                <w:szCs w:val="24"/>
              </w:rPr>
              <w:t>0</w:t>
            </w:r>
          </w:p>
        </w:tc>
        <w:tc>
          <w:tcPr>
            <w:tcW w:w="1701" w:type="dxa"/>
            <w:vAlign w:val="center"/>
          </w:tcPr>
          <w:p w:rsidR="00E8691A" w:rsidRPr="00D05755" w:rsidRDefault="006E24B4">
            <w:pPr>
              <w:rPr>
                <w:rFonts w:asciiTheme="minorEastAsia" w:eastAsiaTheme="minorEastAsia" w:hAnsiTheme="minorEastAsia"/>
                <w:kern w:val="0"/>
                <w:sz w:val="24"/>
                <w:szCs w:val="24"/>
              </w:rPr>
            </w:pPr>
            <w:r w:rsidRPr="00D05755">
              <w:rPr>
                <w:rFonts w:asciiTheme="minorEastAsia" w:eastAsiaTheme="minorEastAsia" w:hAnsiTheme="minorEastAsia"/>
                <w:kern w:val="0"/>
                <w:sz w:val="24"/>
                <w:szCs w:val="24"/>
              </w:rPr>
              <w:t>0</w:t>
            </w:r>
          </w:p>
        </w:tc>
      </w:tr>
      <w:tr w:rsidR="00E8691A" w:rsidRPr="00D05755">
        <w:trPr>
          <w:trHeight w:val="454"/>
          <w:jc w:val="center"/>
        </w:trPr>
        <w:tc>
          <w:tcPr>
            <w:tcW w:w="1247" w:type="dxa"/>
            <w:vAlign w:val="center"/>
          </w:tcPr>
          <w:p w:rsidR="00E8691A" w:rsidRPr="00D05755" w:rsidRDefault="006E24B4">
            <w:pPr>
              <w:rPr>
                <w:rFonts w:asciiTheme="minorEastAsia" w:eastAsiaTheme="minorEastAsia" w:hAnsiTheme="minorEastAsia"/>
                <w:kern w:val="0"/>
                <w:sz w:val="24"/>
                <w:szCs w:val="24"/>
              </w:rPr>
            </w:pPr>
            <w:r w:rsidRPr="00D05755">
              <w:rPr>
                <w:rFonts w:asciiTheme="minorEastAsia" w:eastAsiaTheme="minorEastAsia" w:hAnsiTheme="minorEastAsia" w:hint="eastAsia"/>
                <w:bCs/>
                <w:kern w:val="0"/>
                <w:sz w:val="24"/>
                <w:szCs w:val="24"/>
              </w:rPr>
              <w:t>情形</w:t>
            </w:r>
            <w:r w:rsidRPr="00D05755">
              <w:rPr>
                <w:rFonts w:asciiTheme="minorEastAsia" w:eastAsiaTheme="minorEastAsia" w:hAnsiTheme="minorEastAsia" w:hint="eastAsia"/>
                <w:kern w:val="0"/>
                <w:sz w:val="24"/>
                <w:szCs w:val="24"/>
              </w:rPr>
              <w:t>二</w:t>
            </w:r>
          </w:p>
        </w:tc>
        <w:tc>
          <w:tcPr>
            <w:tcW w:w="2933" w:type="dxa"/>
            <w:vAlign w:val="center"/>
          </w:tcPr>
          <w:p w:rsidR="00E8691A" w:rsidRPr="00D05755" w:rsidRDefault="006E24B4">
            <w:pPr>
              <w:rPr>
                <w:rFonts w:asciiTheme="minorEastAsia" w:eastAsiaTheme="minorEastAsia" w:hAnsiTheme="minorEastAsia"/>
                <w:kern w:val="0"/>
                <w:sz w:val="24"/>
                <w:szCs w:val="24"/>
              </w:rPr>
            </w:pPr>
            <w:r w:rsidRPr="00D05755">
              <w:rPr>
                <w:rFonts w:asciiTheme="minorEastAsia" w:eastAsiaTheme="minorEastAsia" w:hAnsiTheme="minorEastAsia" w:hint="eastAsia"/>
                <w:bCs/>
                <w:kern w:val="0"/>
                <w:sz w:val="24"/>
                <w:szCs w:val="24"/>
              </w:rPr>
              <w:t>其他情形</w:t>
            </w:r>
          </w:p>
        </w:tc>
        <w:tc>
          <w:tcPr>
            <w:tcW w:w="1701" w:type="dxa"/>
            <w:vAlign w:val="center"/>
          </w:tcPr>
          <w:p w:rsidR="00E8691A" w:rsidRPr="00D05755" w:rsidRDefault="006E24B4">
            <w:pPr>
              <w:rPr>
                <w:rFonts w:asciiTheme="minorEastAsia" w:eastAsiaTheme="minorEastAsia" w:hAnsiTheme="minorEastAsia"/>
                <w:kern w:val="0"/>
                <w:sz w:val="24"/>
                <w:szCs w:val="24"/>
              </w:rPr>
            </w:pPr>
            <w:r w:rsidRPr="00D05755">
              <w:rPr>
                <w:rFonts w:asciiTheme="minorEastAsia" w:eastAsiaTheme="minorEastAsia" w:hAnsiTheme="minorEastAsia"/>
                <w:kern w:val="0"/>
                <w:sz w:val="24"/>
                <w:szCs w:val="24"/>
              </w:rPr>
              <w:t>0.60%</w:t>
            </w:r>
          </w:p>
        </w:tc>
        <w:tc>
          <w:tcPr>
            <w:tcW w:w="1701" w:type="dxa"/>
            <w:vAlign w:val="center"/>
          </w:tcPr>
          <w:p w:rsidR="00E8691A" w:rsidRPr="00D05755" w:rsidRDefault="006E24B4">
            <w:pPr>
              <w:rPr>
                <w:rFonts w:asciiTheme="minorEastAsia" w:eastAsiaTheme="minorEastAsia" w:hAnsiTheme="minorEastAsia"/>
                <w:kern w:val="0"/>
                <w:sz w:val="24"/>
                <w:szCs w:val="24"/>
              </w:rPr>
            </w:pPr>
            <w:r w:rsidRPr="00D05755">
              <w:rPr>
                <w:rFonts w:asciiTheme="minorEastAsia" w:eastAsiaTheme="minorEastAsia" w:hAnsiTheme="minorEastAsia"/>
                <w:kern w:val="0"/>
                <w:sz w:val="24"/>
                <w:szCs w:val="24"/>
              </w:rPr>
              <w:t>0</w:t>
            </w:r>
          </w:p>
        </w:tc>
      </w:tr>
      <w:tr w:rsidR="00E8691A" w:rsidRPr="00D05755">
        <w:trPr>
          <w:trHeight w:val="454"/>
          <w:jc w:val="center"/>
        </w:trPr>
        <w:tc>
          <w:tcPr>
            <w:tcW w:w="1247" w:type="dxa"/>
            <w:vAlign w:val="center"/>
          </w:tcPr>
          <w:p w:rsidR="00E8691A" w:rsidRPr="00D05755" w:rsidRDefault="006E24B4">
            <w:pPr>
              <w:rPr>
                <w:rFonts w:asciiTheme="minorEastAsia" w:eastAsiaTheme="minorEastAsia" w:hAnsiTheme="minorEastAsia"/>
                <w:kern w:val="0"/>
                <w:sz w:val="24"/>
                <w:szCs w:val="24"/>
              </w:rPr>
            </w:pPr>
            <w:r w:rsidRPr="00D05755">
              <w:rPr>
                <w:rFonts w:asciiTheme="minorEastAsia" w:eastAsiaTheme="minorEastAsia" w:hAnsiTheme="minorEastAsia" w:hint="eastAsia"/>
                <w:kern w:val="0"/>
                <w:sz w:val="24"/>
                <w:szCs w:val="24"/>
              </w:rPr>
              <w:t>情形三</w:t>
            </w:r>
          </w:p>
        </w:tc>
        <w:tc>
          <w:tcPr>
            <w:tcW w:w="2933" w:type="dxa"/>
            <w:vAlign w:val="center"/>
          </w:tcPr>
          <w:p w:rsidR="00E8691A" w:rsidRPr="00D05755" w:rsidRDefault="006E24B4">
            <w:pPr>
              <w:spacing w:line="276" w:lineRule="auto"/>
              <w:rPr>
                <w:rFonts w:asciiTheme="minorEastAsia" w:eastAsiaTheme="minorEastAsia" w:hAnsiTheme="minorEastAsia"/>
                <w:b/>
                <w:bCs/>
                <w:kern w:val="0"/>
                <w:sz w:val="24"/>
                <w:szCs w:val="24"/>
              </w:rPr>
            </w:pPr>
            <w:r w:rsidRPr="00D05755">
              <w:rPr>
                <w:rFonts w:asciiTheme="minorEastAsia" w:eastAsiaTheme="minorEastAsia" w:hAnsiTheme="minorEastAsia"/>
                <w:bCs/>
                <w:sz w:val="24"/>
                <w:szCs w:val="24"/>
              </w:rPr>
              <w:t>R</w:t>
            </w:r>
            <w:r w:rsidRPr="00D05755">
              <w:rPr>
                <w:rFonts w:asciiTheme="minorEastAsia" w:eastAsiaTheme="minorEastAsia" w:hAnsiTheme="minorEastAsia" w:hint="eastAsia"/>
                <w:bCs/>
                <w:sz w:val="24"/>
                <w:szCs w:val="24"/>
              </w:rPr>
              <w:t>＞</w:t>
            </w:r>
            <w:r w:rsidRPr="00D05755">
              <w:rPr>
                <w:rFonts w:asciiTheme="minorEastAsia" w:eastAsiaTheme="minorEastAsia" w:hAnsiTheme="minorEastAsia"/>
                <w:bCs/>
                <w:sz w:val="24"/>
                <w:szCs w:val="24"/>
              </w:rPr>
              <w:t>R</w:t>
            </w:r>
            <w:r w:rsidRPr="00D05755">
              <w:rPr>
                <w:rFonts w:asciiTheme="minorEastAsia" w:eastAsiaTheme="minorEastAsia" w:hAnsiTheme="minorEastAsia"/>
                <w:spacing w:val="-2"/>
                <w:sz w:val="24"/>
                <w:szCs w:val="24"/>
                <w:vertAlign w:val="subscript"/>
              </w:rPr>
              <w:t>b</w:t>
            </w:r>
            <w:r w:rsidRPr="00D05755">
              <w:rPr>
                <w:rFonts w:asciiTheme="minorEastAsia" w:eastAsiaTheme="minorEastAsia" w:hAnsiTheme="minorEastAsia"/>
                <w:bCs/>
                <w:sz w:val="24"/>
                <w:szCs w:val="24"/>
              </w:rPr>
              <w:t>+6%</w:t>
            </w:r>
            <w:r w:rsidRPr="00D05755">
              <w:rPr>
                <w:rFonts w:asciiTheme="minorEastAsia" w:eastAsiaTheme="minorEastAsia" w:hAnsiTheme="minorEastAsia" w:hint="eastAsia"/>
                <w:bCs/>
                <w:sz w:val="24"/>
                <w:szCs w:val="24"/>
              </w:rPr>
              <w:t>，</w:t>
            </w:r>
            <w:r w:rsidRPr="00D05755">
              <w:rPr>
                <w:rFonts w:asciiTheme="minorEastAsia" w:eastAsiaTheme="minorEastAsia" w:hAnsiTheme="minorEastAsia"/>
                <w:bCs/>
                <w:sz w:val="24"/>
                <w:szCs w:val="24"/>
              </w:rPr>
              <w:t>R</w:t>
            </w:r>
            <w:r w:rsidRPr="00D05755">
              <w:rPr>
                <w:rFonts w:asciiTheme="minorEastAsia" w:eastAsiaTheme="minorEastAsia" w:hAnsiTheme="minorEastAsia" w:hint="eastAsia"/>
                <w:bCs/>
                <w:sz w:val="24"/>
                <w:szCs w:val="24"/>
              </w:rPr>
              <w:t>＞</w:t>
            </w:r>
            <w:r w:rsidRPr="00D05755">
              <w:rPr>
                <w:rFonts w:asciiTheme="minorEastAsia" w:eastAsiaTheme="minorEastAsia" w:hAnsiTheme="minorEastAsia"/>
                <w:bCs/>
                <w:sz w:val="24"/>
                <w:szCs w:val="24"/>
              </w:rPr>
              <w:t>0</w:t>
            </w:r>
          </w:p>
        </w:tc>
        <w:tc>
          <w:tcPr>
            <w:tcW w:w="1701" w:type="dxa"/>
            <w:vAlign w:val="center"/>
          </w:tcPr>
          <w:p w:rsidR="00E8691A" w:rsidRPr="00D05755" w:rsidRDefault="006E24B4">
            <w:pPr>
              <w:rPr>
                <w:rFonts w:asciiTheme="minorEastAsia" w:eastAsiaTheme="minorEastAsia" w:hAnsiTheme="minorEastAsia"/>
                <w:kern w:val="0"/>
                <w:sz w:val="24"/>
                <w:szCs w:val="24"/>
              </w:rPr>
            </w:pPr>
            <w:r w:rsidRPr="00D05755">
              <w:rPr>
                <w:rFonts w:asciiTheme="minorEastAsia" w:eastAsiaTheme="minorEastAsia" w:hAnsiTheme="minorEastAsia"/>
                <w:kern w:val="0"/>
                <w:sz w:val="24"/>
                <w:szCs w:val="24"/>
              </w:rPr>
              <w:t>0.60%</w:t>
            </w:r>
          </w:p>
        </w:tc>
        <w:tc>
          <w:tcPr>
            <w:tcW w:w="1701" w:type="dxa"/>
            <w:vAlign w:val="center"/>
          </w:tcPr>
          <w:p w:rsidR="00E8691A" w:rsidRPr="00D05755" w:rsidRDefault="006E24B4">
            <w:pPr>
              <w:rPr>
                <w:rFonts w:asciiTheme="minorEastAsia" w:eastAsiaTheme="minorEastAsia" w:hAnsiTheme="minorEastAsia"/>
                <w:kern w:val="0"/>
                <w:sz w:val="24"/>
                <w:szCs w:val="24"/>
              </w:rPr>
            </w:pPr>
            <w:r w:rsidRPr="00D05755">
              <w:rPr>
                <w:rFonts w:asciiTheme="minorEastAsia" w:eastAsiaTheme="minorEastAsia" w:hAnsiTheme="minorEastAsia"/>
                <w:kern w:val="0"/>
                <w:sz w:val="24"/>
                <w:szCs w:val="24"/>
              </w:rPr>
              <w:t>0.30%</w:t>
            </w:r>
          </w:p>
        </w:tc>
      </w:tr>
    </w:tbl>
    <w:bookmarkEnd w:id="93"/>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对于“情形三”，</w:t>
      </w:r>
      <w:proofErr w:type="gramStart"/>
      <w:r w:rsidRPr="00D05755">
        <w:rPr>
          <w:rFonts w:asciiTheme="minorEastAsia" w:eastAsiaTheme="minorEastAsia" w:hAnsiTheme="minorEastAsia" w:hint="eastAsia"/>
          <w:bCs/>
          <w:sz w:val="24"/>
          <w:szCs w:val="24"/>
          <w14:ligatures w14:val="standardContextual"/>
        </w:rPr>
        <w:t>若拟扣除</w:t>
      </w:r>
      <w:proofErr w:type="gramEnd"/>
      <w:r w:rsidRPr="00D05755">
        <w:rPr>
          <w:rFonts w:asciiTheme="minorEastAsia" w:eastAsiaTheme="minorEastAsia" w:hAnsiTheme="minorEastAsia" w:hint="eastAsia"/>
          <w:bCs/>
          <w:sz w:val="24"/>
          <w:szCs w:val="24"/>
          <w14:ligatures w14:val="standardContextual"/>
        </w:rPr>
        <w:t>超额管理费后</w:t>
      </w:r>
      <w:proofErr w:type="gramStart"/>
      <w:r w:rsidRPr="00D05755">
        <w:rPr>
          <w:rFonts w:asciiTheme="minorEastAsia" w:eastAsiaTheme="minorEastAsia" w:hAnsiTheme="minorEastAsia" w:hint="eastAsia"/>
          <w:bCs/>
          <w:sz w:val="24"/>
          <w:szCs w:val="24"/>
          <w14:ligatures w14:val="standardContextual"/>
        </w:rPr>
        <w:t>的年化收益率</w:t>
      </w:r>
      <w:proofErr w:type="gramEnd"/>
      <w:r w:rsidRPr="00D05755">
        <w:rPr>
          <w:rFonts w:asciiTheme="minorEastAsia" w:eastAsiaTheme="minorEastAsia" w:hAnsiTheme="minorEastAsia" w:hint="eastAsia"/>
          <w:bCs/>
          <w:sz w:val="24"/>
          <w:szCs w:val="24"/>
          <w14:ligatures w14:val="standardContextual"/>
        </w:rPr>
        <w:t>小于等于</w:t>
      </w:r>
      <w:r w:rsidRPr="00D05755">
        <w:rPr>
          <w:rFonts w:asciiTheme="minorEastAsia" w:eastAsiaTheme="minorEastAsia" w:hAnsiTheme="minorEastAsia"/>
          <w:bCs/>
          <w:sz w:val="24"/>
          <w:szCs w:val="24"/>
        </w:rPr>
        <w:t>R</w:t>
      </w:r>
      <w:r w:rsidRPr="00D05755">
        <w:rPr>
          <w:rFonts w:asciiTheme="minorEastAsia" w:eastAsiaTheme="minorEastAsia" w:hAnsiTheme="minorEastAsia"/>
          <w:spacing w:val="-2"/>
          <w:sz w:val="24"/>
          <w:szCs w:val="24"/>
          <w:vertAlign w:val="subscript"/>
        </w:rPr>
        <w:t>b</w:t>
      </w:r>
      <w:r w:rsidRPr="00D05755">
        <w:rPr>
          <w:rFonts w:asciiTheme="minorEastAsia" w:eastAsiaTheme="minorEastAsia" w:hAnsiTheme="minorEastAsia"/>
          <w:bCs/>
          <w:sz w:val="24"/>
          <w:szCs w:val="24"/>
          <w14:ligatures w14:val="standardContextual"/>
        </w:rPr>
        <w:t>+6%</w:t>
      </w:r>
      <w:r w:rsidRPr="00D05755">
        <w:rPr>
          <w:rFonts w:asciiTheme="minorEastAsia" w:eastAsiaTheme="minorEastAsia" w:hAnsiTheme="minorEastAsia" w:hint="eastAsia"/>
          <w:bCs/>
          <w:sz w:val="24"/>
          <w:szCs w:val="24"/>
          <w14:ligatures w14:val="standardContextual"/>
        </w:rPr>
        <w:t>，或小于等于</w:t>
      </w:r>
      <w:r w:rsidRPr="00D05755">
        <w:rPr>
          <w:rFonts w:asciiTheme="minorEastAsia" w:eastAsiaTheme="minorEastAsia" w:hAnsiTheme="minorEastAsia"/>
          <w:bCs/>
          <w:sz w:val="24"/>
          <w:szCs w:val="24"/>
          <w14:ligatures w14:val="standardContextual"/>
        </w:rPr>
        <w:t>0</w:t>
      </w:r>
      <w:r w:rsidRPr="00D05755">
        <w:rPr>
          <w:rFonts w:asciiTheme="minorEastAsia" w:eastAsiaTheme="minorEastAsia" w:hAnsiTheme="minorEastAsia" w:hint="eastAsia"/>
          <w:bCs/>
          <w:sz w:val="24"/>
          <w:szCs w:val="24"/>
          <w14:ligatures w14:val="standardContextual"/>
        </w:rPr>
        <w:t>时，仍按</w:t>
      </w:r>
      <w:r w:rsidRPr="00D05755">
        <w:rPr>
          <w:rFonts w:asciiTheme="minorEastAsia" w:eastAsiaTheme="minorEastAsia" w:hAnsiTheme="minorEastAsia"/>
          <w:bCs/>
          <w:sz w:val="24"/>
          <w:szCs w:val="24"/>
          <w14:ligatures w14:val="standardContextual"/>
        </w:rPr>
        <w:t>1.20%</w:t>
      </w:r>
      <w:r w:rsidRPr="00D05755">
        <w:rPr>
          <w:rFonts w:asciiTheme="minorEastAsia" w:eastAsiaTheme="minorEastAsia" w:hAnsiTheme="minorEastAsia" w:hint="eastAsia"/>
          <w:bCs/>
          <w:sz w:val="24"/>
          <w:szCs w:val="24"/>
          <w14:ligatures w14:val="standardContextual"/>
        </w:rPr>
        <w:t>年费率收取该笔基金份额的管理费，以使得该笔基金份额在扣除超额管理费后</w:t>
      </w:r>
      <w:proofErr w:type="gramStart"/>
      <w:r w:rsidRPr="00D05755">
        <w:rPr>
          <w:rFonts w:asciiTheme="minorEastAsia" w:eastAsiaTheme="minorEastAsia" w:hAnsiTheme="minorEastAsia" w:hint="eastAsia"/>
          <w:bCs/>
          <w:sz w:val="24"/>
          <w:szCs w:val="24"/>
          <w14:ligatures w14:val="standardContextual"/>
        </w:rPr>
        <w:t>的年化收益率</w:t>
      </w:r>
      <w:proofErr w:type="gramEnd"/>
      <w:r w:rsidRPr="00D05755">
        <w:rPr>
          <w:rFonts w:asciiTheme="minorEastAsia" w:eastAsiaTheme="minorEastAsia" w:hAnsiTheme="minorEastAsia" w:hint="eastAsia"/>
          <w:bCs/>
          <w:sz w:val="24"/>
          <w:szCs w:val="24"/>
          <w14:ligatures w14:val="standardContextual"/>
        </w:rPr>
        <w:t>仍满足本基金收取超额管理费的标准。</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每笔基金份额</w:t>
      </w:r>
      <w:proofErr w:type="gramStart"/>
      <w:r w:rsidRPr="00D05755">
        <w:rPr>
          <w:rFonts w:asciiTheme="minorEastAsia" w:eastAsiaTheme="minorEastAsia" w:hAnsiTheme="minorEastAsia" w:hint="eastAsia"/>
          <w:bCs/>
          <w:sz w:val="24"/>
          <w:szCs w:val="24"/>
          <w14:ligatures w14:val="standardContextual"/>
        </w:rPr>
        <w:t>的年化收益率</w:t>
      </w:r>
      <w:proofErr w:type="gramEnd"/>
      <w:r w:rsidRPr="00D05755">
        <w:rPr>
          <w:rFonts w:asciiTheme="minorEastAsia" w:eastAsiaTheme="minorEastAsia" w:hAnsiTheme="minorEastAsia" w:hint="eastAsia"/>
          <w:bCs/>
          <w:sz w:val="24"/>
          <w:szCs w:val="24"/>
          <w14:ligatures w14:val="standardContextual"/>
        </w:rPr>
        <w:t>（</w:t>
      </w:r>
      <w:r w:rsidRPr="00D05755">
        <w:rPr>
          <w:rFonts w:asciiTheme="minorEastAsia" w:eastAsiaTheme="minorEastAsia" w:hAnsiTheme="minorEastAsia"/>
          <w:bCs/>
          <w:sz w:val="24"/>
          <w:szCs w:val="24"/>
          <w14:ligatures w14:val="standardContextual"/>
        </w:rPr>
        <w:t>R</w:t>
      </w:r>
      <w:r w:rsidRPr="00D05755">
        <w:rPr>
          <w:rFonts w:asciiTheme="minorEastAsia" w:eastAsiaTheme="minorEastAsia" w:hAnsiTheme="minorEastAsia" w:hint="eastAsia"/>
          <w:bCs/>
          <w:sz w:val="24"/>
          <w:szCs w:val="24"/>
          <w14:ligatures w14:val="standardContextual"/>
        </w:rPr>
        <w:t>）计算方法如下：</w:t>
      </w:r>
    </w:p>
    <w:p w:rsidR="00E8691A" w:rsidRPr="00D05755" w:rsidRDefault="006E24B4">
      <w:pPr>
        <w:spacing w:line="360" w:lineRule="auto"/>
        <w:ind w:firstLineChars="200" w:firstLine="480"/>
        <w:rPr>
          <w:rFonts w:asciiTheme="minorEastAsia" w:eastAsiaTheme="minorEastAsia" w:hAnsiTheme="minorEastAsia"/>
          <w:sz w:val="24"/>
          <w:szCs w:val="24"/>
        </w:rPr>
      </w:pPr>
      <m:oMathPara>
        <m:oMath>
          <m:r>
            <w:rPr>
              <w:rFonts w:ascii="Cambria Math" w:eastAsiaTheme="minorEastAsia" w:hAnsi="Cambria Math"/>
              <w:sz w:val="24"/>
              <w:szCs w:val="24"/>
            </w:rPr>
            <m:t>R</m:t>
          </m:r>
          <m:r>
            <m:rPr>
              <m:sty m:val="p"/>
            </m:rPr>
            <w:rPr>
              <w:rFonts w:ascii="Cambria Math" w:eastAsiaTheme="minorEastAsia" w:hAnsi="Cambria Math"/>
              <w:sz w:val="24"/>
              <w:szCs w:val="24"/>
            </w:rPr>
            <m:t>=</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w:rPr>
                      <w:rFonts w:ascii="Cambria Math" w:eastAsiaTheme="minorEastAsia" w:hAnsi="Cambria Math"/>
                      <w:sz w:val="24"/>
                      <w:szCs w:val="24"/>
                    </w:rPr>
                    <m:t>Nav</m:t>
                  </m:r>
                </m:e>
                <m:sub>
                  <m:r>
                    <m:rPr>
                      <m:sty m:val="p"/>
                    </m:rPr>
                    <w:rPr>
                      <w:rFonts w:ascii="Cambria Math" w:eastAsiaTheme="minorEastAsia" w:hAnsi="Cambria Math"/>
                      <w:sz w:val="24"/>
                      <w:szCs w:val="24"/>
                    </w:rPr>
                    <m:t>1</m:t>
                  </m:r>
                </m:sub>
              </m:sSub>
              <m:r>
                <m:rPr>
                  <m:sty m:val="p"/>
                </m:rPr>
                <w:rPr>
                  <w:rFonts w:ascii="Cambria Math" w:eastAsiaTheme="minorEastAsia" w:hAnsi="Cambria Math"/>
                  <w:sz w:val="24"/>
                  <w:szCs w:val="24"/>
                </w:rPr>
                <m:t>-</m:t>
              </m:r>
              <m:sSub>
                <m:sSubPr>
                  <m:ctrlPr>
                    <w:rPr>
                      <w:rFonts w:ascii="Cambria Math" w:eastAsiaTheme="minorEastAsia" w:hAnsi="Cambria Math"/>
                      <w:sz w:val="24"/>
                      <w:szCs w:val="24"/>
                    </w:rPr>
                  </m:ctrlPr>
                </m:sSubPr>
                <m:e>
                  <m:r>
                    <w:rPr>
                      <w:rFonts w:ascii="Cambria Math" w:eastAsiaTheme="minorEastAsia" w:hAnsi="Cambria Math"/>
                      <w:sz w:val="24"/>
                      <w:szCs w:val="24"/>
                    </w:rPr>
                    <m:t>Nav</m:t>
                  </m:r>
                </m:e>
                <m:sub>
                  <m:r>
                    <m:rPr>
                      <m:sty m:val="p"/>
                    </m:rPr>
                    <w:rPr>
                      <w:rFonts w:ascii="Cambria Math" w:eastAsiaTheme="minorEastAsia" w:hAnsi="Cambria Math"/>
                      <w:sz w:val="24"/>
                      <w:szCs w:val="24"/>
                    </w:rPr>
                    <m:t>0</m:t>
                  </m:r>
                </m:sub>
              </m:sSub>
            </m:num>
            <m:den>
              <m:sSubSup>
                <m:sSubSupPr>
                  <m:ctrlPr>
                    <w:rPr>
                      <w:rFonts w:ascii="Cambria Math" w:eastAsiaTheme="minorEastAsia" w:hAnsi="Cambria Math"/>
                      <w:sz w:val="24"/>
                      <w:szCs w:val="24"/>
                    </w:rPr>
                  </m:ctrlPr>
                </m:sSubSupPr>
                <m:e>
                  <m:r>
                    <w:rPr>
                      <w:rFonts w:ascii="Cambria Math" w:eastAsiaTheme="minorEastAsia" w:hAnsi="Cambria Math"/>
                      <w:sz w:val="24"/>
                      <w:szCs w:val="24"/>
                    </w:rPr>
                    <m:t>Nav</m:t>
                  </m:r>
                </m:e>
                <m:sub>
                  <m:r>
                    <m:rPr>
                      <m:sty m:val="p"/>
                    </m:rPr>
                    <w:rPr>
                      <w:rFonts w:ascii="Cambria Math" w:eastAsiaTheme="minorEastAsia" w:hAnsi="Cambria Math"/>
                      <w:sz w:val="24"/>
                      <w:szCs w:val="24"/>
                    </w:rPr>
                    <m:t>0</m:t>
                  </m:r>
                </m:sub>
                <m:sup>
                  <m:r>
                    <m:rPr>
                      <m:sty m:val="p"/>
                    </m:rPr>
                    <w:rPr>
                      <w:rFonts w:ascii="Cambria Math" w:eastAsiaTheme="minorEastAsia" w:hAnsi="Cambria Math"/>
                      <w:sz w:val="24"/>
                      <w:szCs w:val="24"/>
                    </w:rPr>
                    <m:t>*</m:t>
                  </m:r>
                </m:sup>
              </m:sSubSup>
            </m:den>
          </m:f>
          <m:r>
            <m:rPr>
              <m:sty m:val="p"/>
            </m:rPr>
            <w:rPr>
              <w:rFonts w:ascii="Cambria Math" w:eastAsiaTheme="minorEastAsia" w:hAnsi="Cambria Math" w:hint="eastAsia"/>
              <w:sz w:val="24"/>
              <w:szCs w:val="24"/>
            </w:rPr>
            <m:t>×</m:t>
          </m:r>
          <m:f>
            <m:fPr>
              <m:ctrlPr>
                <w:rPr>
                  <w:rFonts w:ascii="Cambria Math" w:eastAsiaTheme="minorEastAsia" w:hAnsi="Cambria Math"/>
                  <w:sz w:val="24"/>
                  <w:szCs w:val="24"/>
                </w:rPr>
              </m:ctrlPr>
            </m:fPr>
            <m:num>
              <m:r>
                <m:rPr>
                  <m:sty m:val="p"/>
                </m:rPr>
                <w:rPr>
                  <w:rFonts w:ascii="Cambria Math" w:eastAsiaTheme="minorEastAsia" w:hAnsi="Cambria Math" w:hint="eastAsia"/>
                  <w:sz w:val="24"/>
                  <w:szCs w:val="24"/>
                </w:rPr>
                <m:t>365</m:t>
              </m:r>
            </m:num>
            <m:den>
              <m:r>
                <m:rPr>
                  <m:sty m:val="p"/>
                </m:rPr>
                <w:rPr>
                  <w:rFonts w:ascii="Cambria Math" w:eastAsiaTheme="minorEastAsia" w:hAnsi="Cambria Math" w:hint="eastAsia"/>
                  <w:sz w:val="24"/>
                  <w:szCs w:val="24"/>
                </w:rPr>
                <m:t>T</m:t>
              </m:r>
            </m:den>
          </m:f>
          <m:r>
            <m:rPr>
              <m:sty m:val="p"/>
            </m:rPr>
            <w:rPr>
              <w:rFonts w:ascii="Cambria Math" w:eastAsiaTheme="minorEastAsia" w:hAnsi="Cambria Math" w:hint="eastAsia"/>
              <w:sz w:val="24"/>
              <w:szCs w:val="24"/>
            </w:rPr>
            <m:t>×</m:t>
          </m:r>
          <m:r>
            <m:rPr>
              <m:sty m:val="p"/>
            </m:rPr>
            <w:rPr>
              <w:rFonts w:ascii="Cambria Math" w:eastAsiaTheme="minorEastAsia" w:hAnsi="Cambria Math"/>
              <w:sz w:val="24"/>
              <w:szCs w:val="24"/>
            </w:rPr>
            <m:t>100%</m:t>
          </m:r>
        </m:oMath>
      </m:oMathPara>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拟扣除超额管理费后</w:t>
      </w:r>
      <w:proofErr w:type="gramStart"/>
      <w:r w:rsidRPr="00D05755">
        <w:rPr>
          <w:rFonts w:asciiTheme="minorEastAsia" w:eastAsiaTheme="minorEastAsia" w:hAnsiTheme="minorEastAsia" w:hint="eastAsia"/>
          <w:bCs/>
          <w:sz w:val="24"/>
          <w:szCs w:val="24"/>
          <w14:ligatures w14:val="standardContextual"/>
        </w:rPr>
        <w:t>的年化收益率</w:t>
      </w:r>
      <w:proofErr w:type="gramEnd"/>
      <w:r w:rsidRPr="00D05755">
        <w:rPr>
          <w:rFonts w:asciiTheme="minorEastAsia" w:eastAsiaTheme="minorEastAsia" w:hAnsiTheme="minorEastAsia" w:hint="eastAsia"/>
          <w:bCs/>
          <w:sz w:val="24"/>
          <w:szCs w:val="24"/>
          <w14:ligatures w14:val="standardContextual"/>
        </w:rPr>
        <w:t>（R*）的计算方法如下：</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bookmarkStart w:id="94" w:name="_Hlk196342196"/>
      <m:oMathPara>
        <m:oMath>
          <m:r>
            <m:rPr>
              <m:sty m:val="p"/>
            </m:rPr>
            <w:rPr>
              <w:rFonts w:ascii="Cambria Math" w:eastAsiaTheme="minorEastAsia" w:hAnsi="Cambria Math"/>
              <w:sz w:val="24"/>
              <w:szCs w:val="24"/>
              <w14:ligatures w14:val="standardContextual"/>
            </w:rPr>
            <w:lastRenderedPageBreak/>
            <m:t>R</m:t>
          </m:r>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F×</m:t>
              </m:r>
              <m:d>
                <m:dPr>
                  <m:ctrlPr>
                    <w:rPr>
                      <w:rFonts w:ascii="Cambria Math" w:eastAsiaTheme="minorEastAsia" w:hAnsi="Cambria Math"/>
                      <w:bCs/>
                      <w:i/>
                      <w:sz w:val="24"/>
                      <w:szCs w:val="24"/>
                      <w14:ligatures w14:val="standardContextual"/>
                    </w:rPr>
                  </m:ctrlPr>
                </m:dPr>
                <m:e>
                  <m:sSub>
                    <m:sSubPr>
                      <m:ctrlPr>
                        <w:rPr>
                          <w:rFonts w:ascii="Cambria Math" w:eastAsiaTheme="minorEastAsia" w:hAnsi="Cambria Math"/>
                          <w:sz w:val="24"/>
                          <w:szCs w:val="24"/>
                        </w:rPr>
                      </m:ctrlPr>
                    </m:sSubPr>
                    <m:e>
                      <m:r>
                        <w:rPr>
                          <w:rFonts w:ascii="Cambria Math" w:eastAsiaTheme="minorEastAsia" w:hAnsi="Cambria Math"/>
                          <w:sz w:val="24"/>
                          <w:szCs w:val="24"/>
                        </w:rPr>
                        <m:t>Nav</m:t>
                      </m:r>
                    </m:e>
                    <m:sub>
                      <m:r>
                        <m:rPr>
                          <m:sty m:val="p"/>
                        </m:rPr>
                        <w:rPr>
                          <w:rFonts w:ascii="Cambria Math" w:eastAsiaTheme="minorEastAsia" w:hAnsi="Cambria Math"/>
                          <w:sz w:val="24"/>
                          <w:szCs w:val="24"/>
                        </w:rPr>
                        <m:t>1</m:t>
                      </m:r>
                    </m:sub>
                  </m:sSub>
                  <m:r>
                    <m:rPr>
                      <m:sty m:val="p"/>
                    </m:rPr>
                    <w:rPr>
                      <w:rFonts w:ascii="Cambria Math" w:eastAsiaTheme="minorEastAsia" w:hAnsi="Cambria Math"/>
                      <w:sz w:val="24"/>
                      <w:szCs w:val="24"/>
                    </w:rPr>
                    <m:t>-</m:t>
                  </m:r>
                  <m:sSub>
                    <m:sSubPr>
                      <m:ctrlPr>
                        <w:rPr>
                          <w:rFonts w:ascii="Cambria Math" w:eastAsiaTheme="minorEastAsia" w:hAnsi="Cambria Math"/>
                          <w:sz w:val="24"/>
                          <w:szCs w:val="24"/>
                        </w:rPr>
                      </m:ctrlPr>
                    </m:sSubPr>
                    <m:e>
                      <m:r>
                        <w:rPr>
                          <w:rFonts w:ascii="Cambria Math" w:eastAsiaTheme="minorEastAsia" w:hAnsi="Cambria Math"/>
                          <w:sz w:val="24"/>
                          <w:szCs w:val="24"/>
                        </w:rPr>
                        <m:t>Nav</m:t>
                      </m:r>
                    </m:e>
                    <m:sub>
                      <m:r>
                        <m:rPr>
                          <m:sty m:val="p"/>
                        </m:rPr>
                        <w:rPr>
                          <w:rFonts w:ascii="Cambria Math" w:eastAsiaTheme="minorEastAsia" w:hAnsi="Cambria Math"/>
                          <w:sz w:val="24"/>
                          <w:szCs w:val="24"/>
                        </w:rPr>
                        <m:t>0</m:t>
                      </m:r>
                    </m:sub>
                  </m:sSub>
                </m:e>
              </m:d>
              <m:r>
                <w:rPr>
                  <w:rFonts w:ascii="Cambria Math" w:eastAsiaTheme="minorEastAsia" w:hAnsi="Cambria Math"/>
                  <w:sz w:val="24"/>
                  <w:szCs w:val="24"/>
                  <w14:ligatures w14:val="standardContextual"/>
                </w:rPr>
                <m:t>-</m:t>
              </m:r>
              <m:sSub>
                <m:sSubPr>
                  <m:ctrlPr>
                    <w:rPr>
                      <w:rFonts w:ascii="Cambria Math" w:eastAsiaTheme="minorEastAsia" w:hAnsi="Cambria Math"/>
                      <w:bCs/>
                      <w:i/>
                      <w:sz w:val="24"/>
                      <w:szCs w:val="24"/>
                      <w14:ligatures w14:val="standardContextual"/>
                    </w:rPr>
                  </m:ctrlPr>
                </m:sSubPr>
                <m:e>
                  <m:r>
                    <w:rPr>
                      <w:rFonts w:ascii="Cambria Math" w:eastAsiaTheme="minorEastAsia" w:hAnsi="Cambria Math"/>
                      <w:sz w:val="24"/>
                      <w:szCs w:val="24"/>
                      <w14:ligatures w14:val="standardContextual"/>
                    </w:rPr>
                    <m:t>M</m:t>
                  </m:r>
                </m:e>
                <m:sub>
                  <m:r>
                    <w:rPr>
                      <w:rFonts w:ascii="Cambria Math" w:eastAsiaTheme="minorEastAsia" w:hAnsi="Cambria Math"/>
                      <w:sz w:val="24"/>
                      <w:szCs w:val="24"/>
                      <w14:ligatures w14:val="standardContextual"/>
                    </w:rPr>
                    <m:t>C</m:t>
                  </m:r>
                </m:sub>
              </m:sSub>
            </m:num>
            <m:den>
              <m:r>
                <w:rPr>
                  <w:rFonts w:ascii="Cambria Math" w:eastAsiaTheme="minorEastAsia" w:hAnsi="Cambria Math"/>
                  <w:sz w:val="24"/>
                  <w:szCs w:val="24"/>
                  <w14:ligatures w14:val="standardContextual"/>
                </w:rPr>
                <m:t>F×</m:t>
              </m:r>
              <m:sSubSup>
                <m:sSubSupPr>
                  <m:ctrlPr>
                    <w:rPr>
                      <w:rFonts w:ascii="Cambria Math" w:eastAsiaTheme="minorEastAsia" w:hAnsi="Cambria Math"/>
                      <w:sz w:val="24"/>
                      <w:szCs w:val="24"/>
                    </w:rPr>
                  </m:ctrlPr>
                </m:sSubSupPr>
                <m:e>
                  <m:r>
                    <w:rPr>
                      <w:rFonts w:ascii="Cambria Math" w:eastAsiaTheme="minorEastAsia" w:hAnsi="Cambria Math"/>
                      <w:sz w:val="24"/>
                      <w:szCs w:val="24"/>
                    </w:rPr>
                    <m:t>Nav</m:t>
                  </m:r>
                </m:e>
                <m:sub>
                  <m:r>
                    <m:rPr>
                      <m:sty m:val="p"/>
                    </m:rPr>
                    <w:rPr>
                      <w:rFonts w:ascii="Cambria Math" w:eastAsiaTheme="minorEastAsia" w:hAnsi="Cambria Math"/>
                      <w:sz w:val="24"/>
                      <w:szCs w:val="24"/>
                    </w:rPr>
                    <m:t>0</m:t>
                  </m:r>
                </m:sub>
                <m:sup>
                  <m:r>
                    <m:rPr>
                      <m:sty m:val="p"/>
                    </m:rPr>
                    <w:rPr>
                      <w:rFonts w:ascii="Cambria Math" w:eastAsiaTheme="minorEastAsia" w:hAnsi="Cambria Math"/>
                      <w:sz w:val="24"/>
                      <w:szCs w:val="24"/>
                    </w:rPr>
                    <m:t>*</m:t>
                  </m:r>
                </m:sup>
              </m:sSubSup>
            </m:den>
          </m:f>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365</m:t>
              </m:r>
            </m:num>
            <m:den>
              <m:r>
                <m:rPr>
                  <m:sty m:val="p"/>
                </m:rPr>
                <w:rPr>
                  <w:rFonts w:ascii="Cambria Math" w:eastAsiaTheme="minorEastAsia" w:hAnsi="Cambria Math" w:hint="eastAsia"/>
                  <w:sz w:val="24"/>
                  <w:szCs w:val="24"/>
                </w:rPr>
                <m:t>T</m:t>
              </m:r>
            </m:den>
          </m:f>
          <m:r>
            <w:rPr>
              <w:rFonts w:ascii="Cambria Math" w:eastAsiaTheme="minorEastAsia" w:hAnsi="Cambria Math" w:cs="TimesNewRomanPSMT"/>
              <w:sz w:val="24"/>
              <w:szCs w:val="24"/>
              <w14:ligatures w14:val="standardContextual"/>
            </w:rPr>
            <m:t>×100%</m:t>
          </m:r>
        </m:oMath>
      </m:oMathPara>
    </w:p>
    <w:bookmarkEnd w:id="94"/>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bCs/>
          <w:sz w:val="24"/>
          <w:szCs w:val="24"/>
          <w14:ligatures w14:val="standardContextual"/>
        </w:rPr>
        <w:t>R</w:t>
      </w:r>
      <w:r w:rsidRPr="00D05755">
        <w:rPr>
          <w:rFonts w:asciiTheme="minorEastAsia" w:eastAsiaTheme="minorEastAsia" w:hAnsiTheme="minorEastAsia" w:hint="eastAsia"/>
          <w:bCs/>
          <w:sz w:val="24"/>
          <w:szCs w:val="24"/>
          <w14:ligatures w14:val="standardContextual"/>
        </w:rPr>
        <w:t>为该笔基金份额</w:t>
      </w:r>
      <w:proofErr w:type="gramStart"/>
      <w:r w:rsidRPr="00D05755">
        <w:rPr>
          <w:rFonts w:asciiTheme="minorEastAsia" w:eastAsiaTheme="minorEastAsia" w:hAnsiTheme="minorEastAsia" w:hint="eastAsia"/>
          <w:bCs/>
          <w:sz w:val="24"/>
          <w:szCs w:val="24"/>
          <w14:ligatures w14:val="standardContextual"/>
        </w:rPr>
        <w:t>的年化收益率</w:t>
      </w:r>
      <w:proofErr w:type="gramEnd"/>
      <w:r w:rsidRPr="00D05755">
        <w:rPr>
          <w:rFonts w:asciiTheme="minorEastAsia" w:eastAsiaTheme="minorEastAsia" w:hAnsiTheme="minorEastAsia" w:hint="eastAsia"/>
          <w:bCs/>
          <w:sz w:val="24"/>
          <w:szCs w:val="24"/>
          <w14:ligatures w14:val="standardContextual"/>
        </w:rPr>
        <w:t>；</w:t>
      </w:r>
      <w:r w:rsidRPr="00D05755">
        <w:rPr>
          <w:rFonts w:asciiTheme="minorEastAsia" w:eastAsiaTheme="minorEastAsia" w:hAnsiTheme="minorEastAsia"/>
          <w:bCs/>
          <w:sz w:val="24"/>
          <w:szCs w:val="24"/>
          <w14:ligatures w14:val="standardContextual"/>
        </w:rPr>
        <w:t>R</w:t>
      </w:r>
      <w:r w:rsidRPr="00D05755">
        <w:rPr>
          <w:rFonts w:asciiTheme="minorEastAsia" w:eastAsiaTheme="minorEastAsia" w:hAnsiTheme="minorEastAsia"/>
          <w:bCs/>
          <w:sz w:val="24"/>
          <w:szCs w:val="24"/>
          <w:vertAlign w:val="subscript"/>
          <w14:ligatures w14:val="standardContextual"/>
        </w:rPr>
        <w:t>b</w:t>
      </w:r>
      <w:r w:rsidRPr="00D05755">
        <w:rPr>
          <w:rFonts w:asciiTheme="minorEastAsia" w:eastAsiaTheme="minorEastAsia" w:hAnsiTheme="minorEastAsia" w:hint="eastAsia"/>
          <w:bCs/>
          <w:sz w:val="24"/>
          <w:szCs w:val="24"/>
          <w14:ligatures w14:val="standardContextual"/>
        </w:rPr>
        <w:t>为本基金业绩比较基准</w:t>
      </w:r>
      <w:proofErr w:type="gramStart"/>
      <w:r w:rsidRPr="00D05755">
        <w:rPr>
          <w:rFonts w:asciiTheme="minorEastAsia" w:eastAsiaTheme="minorEastAsia" w:hAnsiTheme="minorEastAsia" w:hint="eastAsia"/>
          <w:bCs/>
          <w:sz w:val="24"/>
          <w:szCs w:val="24"/>
          <w14:ligatures w14:val="standardContextual"/>
        </w:rPr>
        <w:t>同期年化</w:t>
      </w:r>
      <w:proofErr w:type="gramEnd"/>
      <w:r w:rsidRPr="00D05755">
        <w:rPr>
          <w:rFonts w:asciiTheme="minorEastAsia" w:eastAsiaTheme="minorEastAsia" w:hAnsiTheme="minorEastAsia" w:hint="eastAsia"/>
          <w:bCs/>
          <w:sz w:val="24"/>
          <w:szCs w:val="24"/>
          <w14:ligatures w14:val="standardContextual"/>
        </w:rPr>
        <w:t>收益率；</w:t>
      </w:r>
    </w:p>
    <w:p w:rsidR="00E8691A" w:rsidRPr="00D05755" w:rsidRDefault="007F4AF7">
      <w:pPr>
        <w:spacing w:line="360" w:lineRule="auto"/>
        <w:ind w:firstLineChars="200" w:firstLine="480"/>
        <w:rPr>
          <w:rFonts w:asciiTheme="minorEastAsia" w:eastAsiaTheme="minorEastAsia" w:hAnsiTheme="minorEastAsia"/>
          <w:sz w:val="24"/>
          <w:szCs w:val="24"/>
        </w:rPr>
      </w:pPr>
      <m:oMath>
        <m:sSub>
          <m:sSubPr>
            <m:ctrlPr>
              <w:rPr>
                <w:rFonts w:ascii="Cambria Math" w:eastAsiaTheme="minorEastAsia" w:hAnsi="Cambria Math"/>
                <w:sz w:val="24"/>
                <w:szCs w:val="24"/>
              </w:rPr>
            </m:ctrlPr>
          </m:sSubPr>
          <m:e>
            <m:r>
              <w:rPr>
                <w:rFonts w:ascii="Cambria Math" w:eastAsiaTheme="minorEastAsia" w:hAnsi="Cambria Math"/>
                <w:sz w:val="24"/>
                <w:szCs w:val="24"/>
              </w:rPr>
              <m:t>Nav</m:t>
            </m:r>
          </m:e>
          <m:sub>
            <m:r>
              <m:rPr>
                <m:sty m:val="p"/>
              </m:rPr>
              <w:rPr>
                <w:rFonts w:ascii="Cambria Math" w:eastAsiaTheme="minorEastAsia" w:hAnsi="Cambria Math"/>
                <w:sz w:val="24"/>
                <w:szCs w:val="24"/>
              </w:rPr>
              <m:t>1</m:t>
            </m:r>
          </m:sub>
        </m:sSub>
      </m:oMath>
      <w:r w:rsidR="006E24B4" w:rsidRPr="00D05755">
        <w:rPr>
          <w:rFonts w:asciiTheme="minorEastAsia" w:eastAsiaTheme="minorEastAsia" w:hAnsiTheme="minorEastAsia" w:hint="eastAsia"/>
          <w:sz w:val="24"/>
          <w:szCs w:val="24"/>
        </w:rPr>
        <w:t>为该笔基金份额赎回申请受理当日或基金合同终止情形发生日的基金份额累计净值；</w:t>
      </w:r>
      <w:r w:rsidR="006E24B4" w:rsidRPr="00D05755">
        <w:rPr>
          <w:rFonts w:asciiTheme="minorEastAsia" w:eastAsiaTheme="minorEastAsia" w:hAnsiTheme="minorEastAsia"/>
          <w:sz w:val="24"/>
          <w:szCs w:val="24"/>
        </w:rPr>
        <w:t xml:space="preserve"> </w:t>
      </w:r>
    </w:p>
    <w:p w:rsidR="00E8691A" w:rsidRPr="00D05755" w:rsidRDefault="007F4AF7">
      <w:pPr>
        <w:spacing w:line="360" w:lineRule="auto"/>
        <w:ind w:firstLineChars="200" w:firstLine="480"/>
        <w:rPr>
          <w:rFonts w:asciiTheme="minorEastAsia" w:eastAsiaTheme="minorEastAsia" w:hAnsiTheme="minorEastAsia"/>
          <w:sz w:val="24"/>
          <w:szCs w:val="24"/>
        </w:rPr>
      </w:pPr>
      <m:oMath>
        <m:sSub>
          <m:sSubPr>
            <m:ctrlPr>
              <w:rPr>
                <w:rFonts w:ascii="Cambria Math" w:eastAsiaTheme="minorEastAsia" w:hAnsi="Cambria Math"/>
                <w:sz w:val="24"/>
                <w:szCs w:val="24"/>
              </w:rPr>
            </m:ctrlPr>
          </m:sSubPr>
          <m:e>
            <m:r>
              <w:rPr>
                <w:rFonts w:ascii="Cambria Math" w:eastAsiaTheme="minorEastAsia" w:hAnsi="Cambria Math"/>
                <w:sz w:val="24"/>
                <w:szCs w:val="24"/>
              </w:rPr>
              <m:t>Nav</m:t>
            </m:r>
          </m:e>
          <m:sub>
            <m:r>
              <m:rPr>
                <m:sty m:val="p"/>
              </m:rPr>
              <w:rPr>
                <w:rFonts w:ascii="Cambria Math" w:eastAsiaTheme="minorEastAsia" w:hAnsi="Cambria Math"/>
                <w:sz w:val="24"/>
                <w:szCs w:val="24"/>
              </w:rPr>
              <m:t>0</m:t>
            </m:r>
          </m:sub>
        </m:sSub>
      </m:oMath>
      <w:r w:rsidR="006E24B4" w:rsidRPr="00D05755">
        <w:rPr>
          <w:rFonts w:asciiTheme="minorEastAsia" w:eastAsiaTheme="minorEastAsia" w:hAnsiTheme="minorEastAsia" w:hint="eastAsia"/>
          <w:sz w:val="24"/>
          <w:szCs w:val="24"/>
        </w:rPr>
        <w:t>为该笔基金份额申购申请受理当日</w:t>
      </w:r>
      <w:r w:rsidR="006E24B4" w:rsidRPr="00D05755">
        <w:rPr>
          <w:rFonts w:asciiTheme="minorEastAsia" w:eastAsiaTheme="minorEastAsia" w:hAnsiTheme="minorEastAsia"/>
          <w:sz w:val="24"/>
          <w:szCs w:val="24"/>
        </w:rPr>
        <w:t>的基金份额累计净值</w:t>
      </w:r>
      <w:r w:rsidR="006E24B4" w:rsidRPr="00D05755">
        <w:rPr>
          <w:rFonts w:asciiTheme="minorEastAsia" w:eastAsiaTheme="minorEastAsia" w:hAnsiTheme="minorEastAsia" w:hint="eastAsia"/>
          <w:sz w:val="24"/>
          <w:szCs w:val="24"/>
        </w:rPr>
        <w:t>（对于认购份额而言</w:t>
      </w:r>
      <w:r w:rsidR="006E24B4" w:rsidRPr="00D05755">
        <w:rPr>
          <w:rFonts w:asciiTheme="minorEastAsia" w:eastAsiaTheme="minorEastAsia" w:hAnsiTheme="minorEastAsia"/>
          <w:sz w:val="24"/>
          <w:szCs w:val="24"/>
        </w:rPr>
        <w:t>，</w:t>
      </w:r>
      <m:oMath>
        <m:sSub>
          <m:sSubPr>
            <m:ctrlPr>
              <w:rPr>
                <w:rFonts w:ascii="Cambria Math" w:eastAsiaTheme="minorEastAsia" w:hAnsi="Cambria Math"/>
                <w:sz w:val="24"/>
                <w:szCs w:val="24"/>
              </w:rPr>
            </m:ctrlPr>
          </m:sSubPr>
          <m:e>
            <m:r>
              <w:rPr>
                <w:rFonts w:ascii="Cambria Math" w:eastAsiaTheme="minorEastAsia" w:hAnsi="Cambria Math"/>
                <w:sz w:val="24"/>
                <w:szCs w:val="24"/>
              </w:rPr>
              <m:t>Nav</m:t>
            </m:r>
          </m:e>
          <m:sub>
            <m:r>
              <m:rPr>
                <m:sty m:val="p"/>
              </m:rPr>
              <w:rPr>
                <w:rFonts w:ascii="Cambria Math" w:eastAsiaTheme="minorEastAsia" w:hAnsi="Cambria Math"/>
                <w:sz w:val="24"/>
                <w:szCs w:val="24"/>
              </w:rPr>
              <m:t>0</m:t>
            </m:r>
          </m:sub>
        </m:sSub>
      </m:oMath>
      <w:r w:rsidR="006E24B4" w:rsidRPr="00D05755">
        <w:rPr>
          <w:rFonts w:asciiTheme="minorEastAsia" w:eastAsiaTheme="minorEastAsia" w:hAnsiTheme="minorEastAsia"/>
          <w:sz w:val="24"/>
          <w:szCs w:val="24"/>
        </w:rPr>
        <w:t>为1.00元</w:t>
      </w:r>
      <w:r w:rsidR="006E24B4" w:rsidRPr="00D05755">
        <w:rPr>
          <w:rFonts w:asciiTheme="minorEastAsia" w:eastAsiaTheme="minorEastAsia" w:hAnsiTheme="minorEastAsia" w:hint="eastAsia"/>
          <w:sz w:val="24"/>
          <w:szCs w:val="24"/>
        </w:rPr>
        <w:t>）；</w:t>
      </w:r>
    </w:p>
    <w:p w:rsidR="00E8691A" w:rsidRPr="00D05755" w:rsidRDefault="007F4AF7">
      <w:pPr>
        <w:spacing w:line="360" w:lineRule="auto"/>
        <w:ind w:firstLineChars="200" w:firstLine="480"/>
        <w:rPr>
          <w:rFonts w:asciiTheme="minorEastAsia" w:eastAsiaTheme="minorEastAsia" w:hAnsiTheme="minorEastAsia"/>
          <w:sz w:val="24"/>
          <w:szCs w:val="24"/>
        </w:rPr>
      </w:pPr>
      <m:oMath>
        <m:sSubSup>
          <m:sSubSupPr>
            <m:ctrlPr>
              <w:rPr>
                <w:rFonts w:ascii="Cambria Math" w:eastAsiaTheme="minorEastAsia" w:hAnsi="Cambria Math"/>
                <w:sz w:val="24"/>
                <w:szCs w:val="24"/>
              </w:rPr>
            </m:ctrlPr>
          </m:sSubSupPr>
          <m:e>
            <m:r>
              <w:rPr>
                <w:rFonts w:ascii="Cambria Math" w:eastAsiaTheme="minorEastAsia" w:hAnsi="Cambria Math"/>
                <w:sz w:val="24"/>
                <w:szCs w:val="24"/>
              </w:rPr>
              <m:t>Nav</m:t>
            </m:r>
          </m:e>
          <m:sub>
            <m:r>
              <m:rPr>
                <m:sty m:val="p"/>
              </m:rPr>
              <w:rPr>
                <w:rFonts w:ascii="Cambria Math" w:eastAsiaTheme="minorEastAsia" w:hAnsi="Cambria Math"/>
                <w:sz w:val="24"/>
                <w:szCs w:val="24"/>
              </w:rPr>
              <m:t>0</m:t>
            </m:r>
          </m:sub>
          <m:sup>
            <m:r>
              <m:rPr>
                <m:sty m:val="p"/>
              </m:rPr>
              <w:rPr>
                <w:rFonts w:ascii="Cambria Math" w:eastAsiaTheme="minorEastAsia" w:hAnsi="Cambria Math"/>
                <w:sz w:val="24"/>
                <w:szCs w:val="24"/>
              </w:rPr>
              <m:t>*</m:t>
            </m:r>
          </m:sup>
        </m:sSubSup>
      </m:oMath>
      <w:r w:rsidR="006E24B4" w:rsidRPr="00D05755">
        <w:rPr>
          <w:rFonts w:asciiTheme="minorEastAsia" w:eastAsiaTheme="minorEastAsia" w:hAnsiTheme="minorEastAsia" w:hint="eastAsia"/>
          <w:sz w:val="24"/>
          <w:szCs w:val="24"/>
        </w:rPr>
        <w:t>为该笔基金份额申购申请受理当日</w:t>
      </w:r>
      <w:r w:rsidR="006E24B4" w:rsidRPr="00D05755">
        <w:rPr>
          <w:rFonts w:asciiTheme="minorEastAsia" w:eastAsiaTheme="minorEastAsia" w:hAnsiTheme="minorEastAsia"/>
          <w:sz w:val="24"/>
          <w:szCs w:val="24"/>
        </w:rPr>
        <w:t>的基金份额单位净值（</w:t>
      </w:r>
      <w:r w:rsidR="006E24B4" w:rsidRPr="00D05755">
        <w:rPr>
          <w:rFonts w:asciiTheme="minorEastAsia" w:eastAsiaTheme="minorEastAsia" w:hAnsiTheme="minorEastAsia" w:hint="eastAsia"/>
          <w:sz w:val="24"/>
          <w:szCs w:val="24"/>
        </w:rPr>
        <w:t>对于认购份额而言</w:t>
      </w:r>
      <w:r w:rsidR="006E24B4" w:rsidRPr="00D05755">
        <w:rPr>
          <w:rFonts w:asciiTheme="minorEastAsia" w:eastAsiaTheme="minorEastAsia" w:hAnsiTheme="minorEastAsia"/>
          <w:sz w:val="24"/>
          <w:szCs w:val="24"/>
        </w:rPr>
        <w:t>，</w:t>
      </w:r>
      <m:oMath>
        <m:sSubSup>
          <m:sSubSupPr>
            <m:ctrlPr>
              <w:rPr>
                <w:rFonts w:ascii="Cambria Math" w:eastAsiaTheme="minorEastAsia" w:hAnsi="Cambria Math"/>
                <w:sz w:val="24"/>
                <w:szCs w:val="24"/>
              </w:rPr>
            </m:ctrlPr>
          </m:sSubSupPr>
          <m:e>
            <m:r>
              <w:rPr>
                <w:rFonts w:ascii="Cambria Math" w:eastAsiaTheme="minorEastAsia" w:hAnsi="Cambria Math"/>
                <w:sz w:val="24"/>
                <w:szCs w:val="24"/>
              </w:rPr>
              <m:t>Nav</m:t>
            </m:r>
          </m:e>
          <m:sub>
            <m:r>
              <m:rPr>
                <m:sty m:val="p"/>
              </m:rPr>
              <w:rPr>
                <w:rFonts w:ascii="Cambria Math" w:eastAsiaTheme="minorEastAsia" w:hAnsi="Cambria Math"/>
                <w:sz w:val="24"/>
                <w:szCs w:val="24"/>
              </w:rPr>
              <m:t>0</m:t>
            </m:r>
          </m:sub>
          <m:sup>
            <m:r>
              <m:rPr>
                <m:sty m:val="p"/>
              </m:rPr>
              <w:rPr>
                <w:rFonts w:ascii="Cambria Math" w:eastAsiaTheme="minorEastAsia" w:hAnsi="Cambria Math"/>
                <w:sz w:val="24"/>
                <w:szCs w:val="24"/>
              </w:rPr>
              <m:t>*</m:t>
            </m:r>
          </m:sup>
        </m:sSubSup>
      </m:oMath>
      <w:r w:rsidR="006E24B4" w:rsidRPr="00D05755">
        <w:rPr>
          <w:rFonts w:asciiTheme="minorEastAsia" w:eastAsiaTheme="minorEastAsia" w:hAnsiTheme="minorEastAsia"/>
          <w:sz w:val="24"/>
          <w:szCs w:val="24"/>
        </w:rPr>
        <w:t>为1.00元）；</w:t>
      </w:r>
    </w:p>
    <w:p w:rsidR="00E8691A" w:rsidRPr="00D05755" w:rsidRDefault="006E24B4">
      <w:pPr>
        <w:spacing w:line="360" w:lineRule="auto"/>
        <w:ind w:firstLineChars="200" w:firstLine="480"/>
        <w:rPr>
          <w:rFonts w:asciiTheme="minorEastAsia" w:eastAsiaTheme="minorEastAsia" w:hAnsiTheme="minorEastAsia"/>
          <w:sz w:val="24"/>
          <w:szCs w:val="24"/>
        </w:rPr>
      </w:pPr>
      <w:r w:rsidRPr="00D05755">
        <w:rPr>
          <w:rFonts w:asciiTheme="minorEastAsia" w:eastAsiaTheme="minorEastAsia" w:hAnsiTheme="minorEastAsia"/>
          <w:sz w:val="24"/>
          <w:szCs w:val="24"/>
        </w:rPr>
        <w:t>T为每笔基金份额的持有天数，即基金合同生效日（对于认购份额而言，含当日）或该笔基金份额申购申请确认日（对于申购份额而言，含当日）</w:t>
      </w:r>
      <w:r w:rsidRPr="00D05755">
        <w:rPr>
          <w:rFonts w:asciiTheme="minorEastAsia" w:eastAsiaTheme="minorEastAsia" w:hAnsiTheme="minorEastAsia" w:hint="eastAsia"/>
          <w:sz w:val="24"/>
          <w:szCs w:val="24"/>
        </w:rPr>
        <w:t>到该笔基金份额赎回申请确认日或基金合同终止情形发生日下</w:t>
      </w:r>
      <w:proofErr w:type="gramStart"/>
      <w:r w:rsidRPr="00D05755">
        <w:rPr>
          <w:rFonts w:asciiTheme="minorEastAsia" w:eastAsiaTheme="minorEastAsia" w:hAnsiTheme="minorEastAsia" w:hint="eastAsia"/>
          <w:sz w:val="24"/>
          <w:szCs w:val="24"/>
        </w:rPr>
        <w:t>一</w:t>
      </w:r>
      <w:proofErr w:type="gramEnd"/>
      <w:r w:rsidRPr="00D05755">
        <w:rPr>
          <w:rFonts w:asciiTheme="minorEastAsia" w:eastAsiaTheme="minorEastAsia" w:hAnsiTheme="minorEastAsia" w:hint="eastAsia"/>
          <w:sz w:val="24"/>
          <w:szCs w:val="24"/>
        </w:rPr>
        <w:t>工作日的天数。</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Theme="minorEastAsia" w:eastAsiaTheme="minorEastAsia" w:hAnsiTheme="minorEastAsia" w:hint="eastAsia"/>
          <w:bCs/>
          <w:sz w:val="24"/>
          <w:szCs w:val="24"/>
          <w14:ligatures w14:val="standardContextual"/>
        </w:rPr>
        <w:t>F为该笔基金份额的份额数；</w:t>
      </w:r>
    </w:p>
    <w:p w:rsidR="00E8691A" w:rsidRPr="00D05755" w:rsidRDefault="006E24B4">
      <w:pPr>
        <w:spacing w:line="360" w:lineRule="auto"/>
        <w:ind w:firstLineChars="200" w:firstLine="480"/>
        <w:rPr>
          <w:rFonts w:asciiTheme="minorEastAsia" w:eastAsiaTheme="minorEastAsia" w:hAnsiTheme="minorEastAsia"/>
          <w:bCs/>
          <w:sz w:val="24"/>
          <w:szCs w:val="24"/>
          <w14:ligatures w14:val="standardContextual"/>
        </w:rPr>
      </w:pPr>
      <w:r w:rsidRPr="00D05755">
        <w:rPr>
          <w:rFonts w:ascii="Cambria Math" w:eastAsiaTheme="minorEastAsia" w:hAnsi="Cambria Math" w:cs="Cambria Math"/>
          <w:bCs/>
          <w:sz w:val="24"/>
          <w:szCs w:val="24"/>
          <w14:ligatures w14:val="standardContextual"/>
        </w:rPr>
        <w:t>𝑀𝑐</w:t>
      </w:r>
      <w:r w:rsidRPr="00D05755">
        <w:rPr>
          <w:rFonts w:asciiTheme="minorEastAsia" w:eastAsiaTheme="minorEastAsia" w:hAnsiTheme="minorEastAsia" w:hint="eastAsia"/>
          <w:bCs/>
          <w:sz w:val="24"/>
          <w:szCs w:val="24"/>
          <w14:ligatures w14:val="standardContextual"/>
        </w:rPr>
        <w:t>为该笔基金份额持有期限内累计计算的超额管理费。</w:t>
      </w:r>
    </w:p>
    <w:p w:rsidR="00E8691A" w:rsidRPr="00D05755" w:rsidRDefault="006E24B4">
      <w:pPr>
        <w:spacing w:line="360" w:lineRule="auto"/>
        <w:ind w:firstLine="482"/>
        <w:rPr>
          <w:rFonts w:asciiTheme="minorEastAsia" w:eastAsiaTheme="minorEastAsia" w:hAnsiTheme="minorEastAsia"/>
          <w:bCs/>
          <w:sz w:val="24"/>
          <w:szCs w:val="24"/>
        </w:rPr>
      </w:pPr>
      <w:r w:rsidRPr="00D05755">
        <w:rPr>
          <w:rFonts w:asciiTheme="minorEastAsia" w:eastAsiaTheme="minorEastAsia" w:hAnsiTheme="minorEastAsia" w:hint="eastAsia"/>
          <w:bCs/>
          <w:sz w:val="24"/>
          <w:szCs w:val="24"/>
          <w14:ligatures w14:val="standardContextual"/>
        </w:rPr>
        <w:t>对于已经确认为基金管理人收入的或有管理费和超额管理费，由基金托管人根据与基金管理人核对一致的财务数据，</w:t>
      </w:r>
      <w:r w:rsidRPr="00D05755">
        <w:rPr>
          <w:rFonts w:asciiTheme="minorEastAsia" w:eastAsiaTheme="minorEastAsia" w:hAnsiTheme="minorEastAsia"/>
          <w:bCs/>
          <w:sz w:val="24"/>
          <w:szCs w:val="24"/>
        </w:rPr>
        <w:t>在次月月初5个工作日内、基金托管人按照与基金管理人协商一致的方式进行资金支付。</w:t>
      </w:r>
      <w:r w:rsidRPr="00D05755">
        <w:rPr>
          <w:rFonts w:asciiTheme="minorEastAsia" w:eastAsiaTheme="minorEastAsia" w:hAnsiTheme="minorEastAsia" w:hint="eastAsia"/>
          <w:bCs/>
          <w:sz w:val="24"/>
          <w:szCs w:val="24"/>
        </w:rPr>
        <w:t>若遇法定节假日、休息日或不可抗力致使无法按时支付的，顺延至法定节假日、休息日结束之日起5个工作日内或不可抗力情形消除之日起5个工作日内支付。费用扣划后，基金管理人应进行核对，如发现数据不符，及时联系基金托管人协商解决。</w:t>
      </w:r>
    </w:p>
    <w:p w:rsidR="00E8691A" w:rsidRPr="00D05755" w:rsidRDefault="006E24B4">
      <w:pPr>
        <w:spacing w:line="360" w:lineRule="auto"/>
        <w:ind w:firstLineChars="200" w:firstLine="480"/>
        <w:rPr>
          <w:rFonts w:asciiTheme="minorEastAsia" w:eastAsiaTheme="minorEastAsia" w:hAnsiTheme="minorEastAsia"/>
          <w:bCs/>
          <w:sz w:val="24"/>
          <w:szCs w:val="24"/>
        </w:rPr>
      </w:pPr>
      <w:r w:rsidRPr="00D05755">
        <w:rPr>
          <w:rFonts w:asciiTheme="minorEastAsia" w:eastAsiaTheme="minorEastAsia" w:hAnsiTheme="minorEastAsia" w:hint="eastAsia"/>
          <w:bCs/>
          <w:sz w:val="24"/>
          <w:szCs w:val="24"/>
        </w:rPr>
        <w:t>在不违反法律法规、基金合同的约定的情况下，基金管理人可根据基金实际运作情况和市场环境变化，经履行适当程序后，对本基金的管理费（</w:t>
      </w:r>
      <w:proofErr w:type="gramStart"/>
      <w:r w:rsidRPr="00D05755">
        <w:rPr>
          <w:rFonts w:asciiTheme="minorEastAsia" w:eastAsiaTheme="minorEastAsia" w:hAnsiTheme="minorEastAsia" w:hint="eastAsia"/>
          <w:bCs/>
          <w:sz w:val="24"/>
          <w:szCs w:val="24"/>
        </w:rPr>
        <w:t>含固定</w:t>
      </w:r>
      <w:proofErr w:type="gramEnd"/>
      <w:r w:rsidRPr="00D05755">
        <w:rPr>
          <w:rFonts w:asciiTheme="minorEastAsia" w:eastAsiaTheme="minorEastAsia" w:hAnsiTheme="minorEastAsia" w:hint="eastAsia"/>
          <w:bCs/>
          <w:sz w:val="24"/>
          <w:szCs w:val="24"/>
        </w:rPr>
        <w:t>管理费、或有管理费和超额管理费）计提标准或收取方式进行调整。</w:t>
      </w:r>
    </w:p>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基金托管人的托管费</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本基金的托管费按前一日基金资产净值的0.20%的年费率计提。托管费的计算方法如下：</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H＝E×0.20%÷当年天数</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H为每日应计提的基金托管费</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E为前一日的基金资产净值</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基金托管费每日计提，逐日累计至每月月末，按月支付，经基金管理人与基</w:t>
      </w:r>
      <w:r w:rsidRPr="00D05755">
        <w:rPr>
          <w:rFonts w:ascii="宋体" w:hAnsi="宋体" w:cs="宋体"/>
          <w:kern w:val="0"/>
          <w:sz w:val="24"/>
          <w:szCs w:val="24"/>
        </w:rPr>
        <w:lastRenderedPageBreak/>
        <w:t>金托管人双方核对无误后，</w:t>
      </w:r>
      <w:r w:rsidRPr="00D05755">
        <w:rPr>
          <w:rFonts w:ascii="宋体" w:hAnsi="宋体" w:cs="宋体" w:hint="eastAsia"/>
          <w:kern w:val="0"/>
          <w:sz w:val="24"/>
          <w:szCs w:val="24"/>
        </w:rPr>
        <w:t>基金托管人根据基金管理人的授权</w:t>
      </w:r>
      <w:r w:rsidRPr="00D05755">
        <w:rPr>
          <w:rFonts w:ascii="宋体" w:hAnsi="宋体" w:cs="宋体"/>
          <w:kern w:val="0"/>
          <w:sz w:val="24"/>
          <w:szCs w:val="24"/>
        </w:rPr>
        <w:t>自动在次月初五</w:t>
      </w:r>
      <w:proofErr w:type="gramStart"/>
      <w:r w:rsidRPr="00D05755">
        <w:rPr>
          <w:rFonts w:ascii="宋体" w:hAnsi="宋体" w:cs="宋体"/>
          <w:kern w:val="0"/>
          <w:sz w:val="24"/>
          <w:szCs w:val="24"/>
        </w:rPr>
        <w:t>个</w:t>
      </w:r>
      <w:proofErr w:type="gramEnd"/>
      <w:r w:rsidRPr="00D05755">
        <w:rPr>
          <w:rFonts w:ascii="宋体" w:hAnsi="宋体" w:cs="宋体"/>
          <w:kern w:val="0"/>
          <w:sz w:val="24"/>
          <w:szCs w:val="24"/>
        </w:rPr>
        <w:t>工作日内、按照指定的账户路径进行资金支付，基金管理人无需再出具资金划拨指令。若遇法定节假日、休息日或不可抗力致使无法按时支付的，顺延至法定节假日、休息日结束之日起</w:t>
      </w:r>
      <w:r w:rsidRPr="00D05755">
        <w:rPr>
          <w:rStyle w:val="custom"/>
          <w:rFonts w:ascii="宋体" w:hAnsi="宋体" w:cs="宋体"/>
          <w:kern w:val="0"/>
          <w:sz w:val="24"/>
          <w:szCs w:val="24"/>
        </w:rPr>
        <w:t>5</w:t>
      </w:r>
      <w:r w:rsidRPr="00D05755">
        <w:rPr>
          <w:rFonts w:ascii="宋体" w:hAnsi="宋体" w:cs="宋体"/>
          <w:kern w:val="0"/>
          <w:sz w:val="24"/>
          <w:szCs w:val="24"/>
        </w:rPr>
        <w:t>个工作日内或不可抗力情形消除之日起</w:t>
      </w:r>
      <w:r w:rsidRPr="00D05755">
        <w:rPr>
          <w:rStyle w:val="custom"/>
          <w:rFonts w:ascii="宋体" w:hAnsi="宋体" w:cs="宋体"/>
          <w:kern w:val="0"/>
          <w:sz w:val="24"/>
          <w:szCs w:val="24"/>
        </w:rPr>
        <w:t>5</w:t>
      </w:r>
      <w:r w:rsidRPr="00D05755">
        <w:rPr>
          <w:rFonts w:ascii="宋体" w:hAnsi="宋体" w:cs="宋体"/>
          <w:kern w:val="0"/>
          <w:sz w:val="24"/>
          <w:szCs w:val="24"/>
        </w:rPr>
        <w:t>个工作日内支付。</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3、销售服务费</w:t>
      </w:r>
    </w:p>
    <w:p w:rsidR="00E8691A" w:rsidRPr="00D05755" w:rsidRDefault="006E24B4">
      <w:pPr>
        <w:pStyle w:val="div"/>
        <w:spacing w:line="360" w:lineRule="auto"/>
        <w:ind w:firstLine="480"/>
        <w:rPr>
          <w:rStyle w:val="custom"/>
          <w:rFonts w:ascii="宋体" w:hAnsi="宋体" w:cs="宋体"/>
          <w:kern w:val="0"/>
          <w:sz w:val="24"/>
          <w:szCs w:val="24"/>
        </w:rPr>
      </w:pPr>
      <w:r w:rsidRPr="00D05755">
        <w:rPr>
          <w:rStyle w:val="custom"/>
          <w:rFonts w:ascii="宋体" w:hAnsi="宋体" w:cs="宋体"/>
          <w:kern w:val="0"/>
          <w:sz w:val="24"/>
          <w:szCs w:val="24"/>
        </w:rPr>
        <w:t>本基金A类基金份额不收取销售服务费，C类基金份额的销售服务费年费率为0.40%。</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计算方法如下：</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H＝E×0.40%÷当年天数</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H为C类基金份额每日应计提的销售服务费</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E为C类基金份额前一日基金资产净值</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销售服务费每日计提，逐日累计至每月月末，按月支付。对于确认为基金财产支付的销售服务费，经基金管理人与基金托管人双方核对无误后，</w:t>
      </w:r>
      <w:r w:rsidRPr="00D05755">
        <w:rPr>
          <w:rStyle w:val="custom"/>
          <w:rFonts w:ascii="宋体" w:hAnsi="宋体" w:cs="宋体" w:hint="eastAsia"/>
          <w:kern w:val="0"/>
          <w:sz w:val="24"/>
          <w:szCs w:val="24"/>
        </w:rPr>
        <w:t>基金托管人根据基金管理人的授权</w:t>
      </w:r>
      <w:r w:rsidRPr="00D05755">
        <w:rPr>
          <w:rStyle w:val="custom"/>
          <w:rFonts w:ascii="宋体" w:hAnsi="宋体" w:cs="宋体"/>
          <w:kern w:val="0"/>
          <w:sz w:val="24"/>
          <w:szCs w:val="24"/>
        </w:rPr>
        <w:t>自动在次月初五</w:t>
      </w:r>
      <w:proofErr w:type="gramStart"/>
      <w:r w:rsidRPr="00D05755">
        <w:rPr>
          <w:rStyle w:val="custom"/>
          <w:rFonts w:ascii="宋体" w:hAnsi="宋体" w:cs="宋体"/>
          <w:kern w:val="0"/>
          <w:sz w:val="24"/>
          <w:szCs w:val="24"/>
        </w:rPr>
        <w:t>个</w:t>
      </w:r>
      <w:proofErr w:type="gramEnd"/>
      <w:r w:rsidRPr="00D05755">
        <w:rPr>
          <w:rStyle w:val="custom"/>
          <w:rFonts w:ascii="宋体" w:hAnsi="宋体" w:cs="宋体"/>
          <w:kern w:val="0"/>
          <w:sz w:val="24"/>
          <w:szCs w:val="24"/>
        </w:rPr>
        <w:t>工作日内、按照指定的账户路径进行资金支付，基金管理人无需再出具资金划拨指令。若遇法定节假日、休息日或不可抗力致使无法按时支付的，顺延至法定节假日、休息日结束之日起</w:t>
      </w:r>
      <w:r w:rsidRPr="00D05755">
        <w:rPr>
          <w:rStyle w:val="custom"/>
          <w:rFonts w:ascii="Calibri" w:eastAsia="Calibri" w:hAnsi="Calibri" w:cs="Calibri"/>
          <w:kern w:val="0"/>
          <w:sz w:val="24"/>
          <w:szCs w:val="24"/>
        </w:rPr>
        <w:t>5</w:t>
      </w:r>
      <w:r w:rsidRPr="00D05755">
        <w:rPr>
          <w:rStyle w:val="custom"/>
          <w:rFonts w:ascii="宋体" w:hAnsi="宋体" w:cs="宋体"/>
          <w:kern w:val="0"/>
          <w:sz w:val="24"/>
          <w:szCs w:val="24"/>
        </w:rPr>
        <w:t>个工作日内或不可抗力情形消除之日起</w:t>
      </w:r>
      <w:r w:rsidRPr="00D05755">
        <w:rPr>
          <w:rStyle w:val="custom"/>
          <w:rFonts w:ascii="Calibri" w:eastAsia="Calibri" w:hAnsi="Calibri" w:cs="Calibri"/>
          <w:kern w:val="0"/>
          <w:sz w:val="24"/>
          <w:szCs w:val="24"/>
        </w:rPr>
        <w:t>5</w:t>
      </w:r>
      <w:r w:rsidRPr="00D05755">
        <w:rPr>
          <w:rStyle w:val="custom"/>
          <w:rFonts w:ascii="宋体" w:hAnsi="宋体" w:cs="宋体"/>
          <w:kern w:val="0"/>
          <w:sz w:val="24"/>
          <w:szCs w:val="24"/>
        </w:rPr>
        <w:t>个工作日内支付。</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其中，对于投资者通过直销机构认购/申购的C类基金份额所计提的销售服务费或者通过其他销售机构认购/申购且持续持有期限超过一年（即365天）以后继续计提的C类基金份额销售服务费，将在投资者赎回相应基金份额或基金合同终止时随</w:t>
      </w:r>
      <w:proofErr w:type="gramStart"/>
      <w:r w:rsidRPr="00D05755">
        <w:rPr>
          <w:rStyle w:val="custom"/>
          <w:rFonts w:ascii="宋体" w:hAnsi="宋体" w:cs="宋体"/>
          <w:kern w:val="0"/>
          <w:sz w:val="24"/>
          <w:szCs w:val="24"/>
        </w:rPr>
        <w:t>赎回款或清算款</w:t>
      </w:r>
      <w:proofErr w:type="gramEnd"/>
      <w:r w:rsidRPr="00D05755">
        <w:rPr>
          <w:rStyle w:val="custom"/>
          <w:rFonts w:ascii="宋体" w:hAnsi="宋体" w:cs="宋体"/>
          <w:kern w:val="0"/>
          <w:sz w:val="24"/>
          <w:szCs w:val="24"/>
        </w:rPr>
        <w:t>一并返还给投资者。</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上述“一、基金费用的种类”中第</w:t>
      </w:r>
      <w:r w:rsidRPr="00D05755">
        <w:rPr>
          <w:rStyle w:val="custom"/>
          <w:rFonts w:ascii="宋体" w:hAnsi="宋体" w:cs="宋体"/>
          <w:kern w:val="0"/>
          <w:sz w:val="24"/>
          <w:szCs w:val="24"/>
        </w:rPr>
        <w:t>4</w:t>
      </w:r>
      <w:r w:rsidRPr="00D05755">
        <w:rPr>
          <w:rFonts w:ascii="宋体" w:hAnsi="宋体" w:cs="宋体"/>
          <w:kern w:val="0"/>
          <w:sz w:val="24"/>
          <w:szCs w:val="24"/>
        </w:rPr>
        <w:t>－</w:t>
      </w:r>
      <w:r w:rsidRPr="00D05755">
        <w:rPr>
          <w:rStyle w:val="custom"/>
          <w:rFonts w:ascii="宋体" w:hAnsi="宋体" w:cs="宋体"/>
          <w:kern w:val="0"/>
          <w:sz w:val="24"/>
          <w:szCs w:val="24"/>
        </w:rPr>
        <w:t>11</w:t>
      </w:r>
      <w:r w:rsidRPr="00D05755">
        <w:rPr>
          <w:rFonts w:ascii="宋体" w:hAnsi="宋体" w:cs="宋体"/>
          <w:kern w:val="0"/>
          <w:sz w:val="24"/>
          <w:szCs w:val="24"/>
        </w:rPr>
        <w:t>项费用，根据有关法规及相应协议规定，按费用实际支出金额列入当期费用，由基金托管人从基金财产中支付。</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三、</w:t>
      </w:r>
      <w:r w:rsidRPr="00D05755">
        <w:rPr>
          <w:rFonts w:ascii="宋体" w:hAnsi="宋体" w:cs="宋体"/>
          <w:kern w:val="0"/>
          <w:sz w:val="24"/>
          <w:szCs w:val="24"/>
        </w:rPr>
        <w:t>不列入基金费用的项目</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下列费用不列入基金费用：</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基金管理人和基金托管人因未履行或未完全履行义务导致的费用支出或基金财产的损失；</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基金管理人和基金托管人处理与基金运作无关的事项发生的费用；</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lastRenderedPageBreak/>
        <w:t>3、</w:t>
      </w:r>
      <w:r w:rsidRPr="00D05755">
        <w:rPr>
          <w:rFonts w:ascii="宋体" w:hAnsi="宋体" w:cs="宋体"/>
          <w:kern w:val="0"/>
          <w:sz w:val="24"/>
          <w:szCs w:val="24"/>
        </w:rPr>
        <w:t>《基金合同》生效前的相关费用；</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其他根据相关法律法规及中国证监会的有关规定不得列入基金费用的项目。</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四、</w:t>
      </w:r>
      <w:r w:rsidRPr="00D05755">
        <w:rPr>
          <w:rFonts w:ascii="宋体" w:hAnsi="宋体" w:cs="宋体"/>
          <w:kern w:val="0"/>
          <w:sz w:val="24"/>
          <w:szCs w:val="24"/>
        </w:rPr>
        <w:t>实施</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期间的基金费用</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本基金实施</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的，</w:t>
      </w:r>
      <w:proofErr w:type="gramStart"/>
      <w:r w:rsidRPr="00D05755">
        <w:rPr>
          <w:rFonts w:ascii="宋体" w:hAnsi="宋体" w:cs="宋体"/>
          <w:kern w:val="0"/>
          <w:sz w:val="24"/>
          <w:szCs w:val="24"/>
        </w:rPr>
        <w:t>与侧袋账户</w:t>
      </w:r>
      <w:proofErr w:type="gramEnd"/>
      <w:r w:rsidRPr="00D05755">
        <w:rPr>
          <w:rFonts w:ascii="宋体" w:hAnsi="宋体" w:cs="宋体"/>
          <w:kern w:val="0"/>
          <w:sz w:val="24"/>
          <w:szCs w:val="24"/>
        </w:rPr>
        <w:t>有关的费用可以</w:t>
      </w:r>
      <w:proofErr w:type="gramStart"/>
      <w:r w:rsidRPr="00D05755">
        <w:rPr>
          <w:rFonts w:ascii="宋体" w:hAnsi="宋体" w:cs="宋体"/>
          <w:kern w:val="0"/>
          <w:sz w:val="24"/>
          <w:szCs w:val="24"/>
        </w:rPr>
        <w:t>从侧袋账户</w:t>
      </w:r>
      <w:proofErr w:type="gramEnd"/>
      <w:r w:rsidRPr="00D05755">
        <w:rPr>
          <w:rFonts w:ascii="宋体" w:hAnsi="宋体" w:cs="宋体"/>
          <w:kern w:val="0"/>
          <w:sz w:val="24"/>
          <w:szCs w:val="24"/>
        </w:rPr>
        <w:t>中列支，但应</w:t>
      </w:r>
      <w:proofErr w:type="gramStart"/>
      <w:r w:rsidRPr="00D05755">
        <w:rPr>
          <w:rFonts w:ascii="宋体" w:hAnsi="宋体" w:cs="宋体"/>
          <w:kern w:val="0"/>
          <w:sz w:val="24"/>
          <w:szCs w:val="24"/>
        </w:rPr>
        <w:t>待侧袋</w:t>
      </w:r>
      <w:proofErr w:type="gramEnd"/>
      <w:r w:rsidRPr="00D05755">
        <w:rPr>
          <w:rFonts w:ascii="宋体" w:hAnsi="宋体" w:cs="宋体"/>
          <w:kern w:val="0"/>
          <w:sz w:val="24"/>
          <w:szCs w:val="24"/>
        </w:rPr>
        <w:t>账户资产变现后方可列支，有关费用可酌情收取或减免，但不得收取管理费</w:t>
      </w:r>
      <w:bookmarkStart w:id="95" w:name="_Hlk194505735"/>
      <w:r w:rsidRPr="00D05755">
        <w:rPr>
          <w:rFonts w:ascii="宋体" w:hAnsi="宋体" w:cs="宋体" w:hint="eastAsia"/>
          <w:kern w:val="0"/>
          <w:sz w:val="24"/>
          <w:szCs w:val="24"/>
        </w:rPr>
        <w:t>（包括固定管理费、或有管理费和超额管理费）</w:t>
      </w:r>
      <w:bookmarkEnd w:id="95"/>
      <w:r w:rsidRPr="00D05755">
        <w:rPr>
          <w:rFonts w:ascii="宋体" w:hAnsi="宋体" w:cs="宋体"/>
          <w:kern w:val="0"/>
          <w:sz w:val="24"/>
          <w:szCs w:val="24"/>
        </w:rPr>
        <w:t>，详见招募说明书的规定。</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五、</w:t>
      </w:r>
      <w:r w:rsidRPr="00D05755">
        <w:rPr>
          <w:rFonts w:ascii="宋体" w:hAnsi="宋体" w:cs="宋体"/>
          <w:kern w:val="0"/>
          <w:sz w:val="24"/>
          <w:szCs w:val="24"/>
        </w:rPr>
        <w:t>基金税收</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96" w:name="_Toc256000015"/>
      <w:r w:rsidRPr="00D05755">
        <w:rPr>
          <w:rFonts w:ascii="Times New Roman"/>
          <w:color w:val="auto"/>
          <w:sz w:val="30"/>
        </w:rPr>
        <w:lastRenderedPageBreak/>
        <w:t>第十六部分</w:t>
      </w:r>
      <w:r w:rsidRPr="00D05755">
        <w:rPr>
          <w:rFonts w:ascii="Times New Roman"/>
          <w:color w:val="auto"/>
          <w:sz w:val="30"/>
        </w:rPr>
        <w:t xml:space="preserve">  </w:t>
      </w:r>
      <w:r w:rsidRPr="00D05755">
        <w:rPr>
          <w:rFonts w:ascii="Times New Roman"/>
          <w:color w:val="auto"/>
          <w:sz w:val="30"/>
        </w:rPr>
        <w:t>基金的收益与分配</w:t>
      </w:r>
      <w:bookmarkEnd w:id="96"/>
    </w:p>
    <w:p w:rsidR="00E8691A" w:rsidRPr="00D05755" w:rsidRDefault="00E8691A"/>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一、</w:t>
      </w:r>
      <w:r w:rsidRPr="00D05755">
        <w:rPr>
          <w:rFonts w:ascii="宋体" w:hAnsi="宋体" w:cs="宋体"/>
          <w:kern w:val="0"/>
          <w:sz w:val="24"/>
          <w:szCs w:val="24"/>
        </w:rPr>
        <w:t>基金利润的构成</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基金可供分配利润</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基金可供分配利润指截至收益分配基准日基金未分配利润与未分配利润中已实现收益的孰低数。</w:t>
      </w:r>
    </w:p>
    <w:p w:rsidR="00E8691A" w:rsidRPr="00D05755" w:rsidRDefault="006E24B4">
      <w:pPr>
        <w:spacing w:line="360" w:lineRule="auto"/>
        <w:ind w:firstLineChars="200" w:firstLine="480"/>
        <w:rPr>
          <w:rFonts w:asciiTheme="minorEastAsia" w:hAnsiTheme="minorEastAsia"/>
          <w:sz w:val="24"/>
          <w:szCs w:val="24"/>
        </w:rPr>
      </w:pPr>
      <w:r w:rsidRPr="00D05755">
        <w:rPr>
          <w:rFonts w:asciiTheme="minorEastAsia" w:hAnsiTheme="minorEastAsia" w:hint="eastAsia"/>
          <w:sz w:val="24"/>
          <w:szCs w:val="24"/>
        </w:rPr>
        <w:t>三、基金收益分配原则</w:t>
      </w:r>
    </w:p>
    <w:p w:rsidR="00E8691A" w:rsidRPr="00D05755" w:rsidRDefault="006E24B4">
      <w:pPr>
        <w:spacing w:line="360" w:lineRule="auto"/>
        <w:ind w:firstLineChars="200" w:firstLine="480"/>
        <w:rPr>
          <w:rFonts w:ascii="宋体" w:hAnsi="宋体"/>
          <w:sz w:val="24"/>
        </w:rPr>
      </w:pPr>
      <w:bookmarkStart w:id="97" w:name="OLE_LINK3"/>
      <w:bookmarkStart w:id="98" w:name="OLE_LINK4"/>
      <w:r w:rsidRPr="00D05755">
        <w:rPr>
          <w:rFonts w:ascii="宋体" w:hAnsi="宋体"/>
          <w:sz w:val="24"/>
        </w:rPr>
        <w:t>1、</w:t>
      </w:r>
      <w:r w:rsidRPr="00D05755">
        <w:rPr>
          <w:rFonts w:ascii="宋体" w:hAnsi="宋体" w:cs="宋体"/>
          <w:sz w:val="24"/>
          <w:szCs w:val="24"/>
        </w:rPr>
        <w:t>在符合有关</w:t>
      </w:r>
      <w:r w:rsidRPr="00D05755">
        <w:rPr>
          <w:rFonts w:ascii="宋体" w:hAnsi="宋体"/>
          <w:sz w:val="24"/>
        </w:rPr>
        <w:t>基金</w:t>
      </w:r>
      <w:r w:rsidRPr="00D05755">
        <w:rPr>
          <w:rFonts w:ascii="宋体" w:hAnsi="宋体" w:cs="宋体"/>
          <w:sz w:val="24"/>
          <w:szCs w:val="24"/>
        </w:rPr>
        <w:t>分红条件的前提下，基金管理人可以根据实际情况进行收益分配，具体分配方案以公告为准，若《基金合同》生效不满3个月可</w:t>
      </w:r>
      <w:r w:rsidRPr="00D05755">
        <w:rPr>
          <w:rFonts w:ascii="宋体" w:hAnsi="宋体"/>
          <w:sz w:val="24"/>
        </w:rPr>
        <w:t>不进行收益分配</w:t>
      </w:r>
      <w:r w:rsidRPr="00D05755">
        <w:rPr>
          <w:rFonts w:ascii="宋体" w:hAnsi="宋体" w:cs="宋体"/>
          <w:sz w:val="24"/>
          <w:szCs w:val="24"/>
        </w:rPr>
        <w:t>；</w:t>
      </w:r>
    </w:p>
    <w:p w:rsidR="00E8691A" w:rsidRPr="00D05755" w:rsidRDefault="006E24B4">
      <w:pPr>
        <w:spacing w:line="360" w:lineRule="auto"/>
        <w:ind w:firstLineChars="200" w:firstLine="480"/>
        <w:rPr>
          <w:rFonts w:ascii="宋体" w:hAnsi="宋体" w:cs="宋体"/>
          <w:sz w:val="24"/>
          <w:szCs w:val="24"/>
        </w:rPr>
      </w:pPr>
      <w:r w:rsidRPr="00D05755">
        <w:rPr>
          <w:rFonts w:ascii="宋体" w:hAnsi="宋体"/>
          <w:sz w:val="24"/>
        </w:rPr>
        <w:t>2、</w:t>
      </w:r>
      <w:r w:rsidRPr="00D05755">
        <w:rPr>
          <w:rFonts w:ascii="宋体" w:hAnsi="宋体" w:cs="宋体" w:hint="eastAsia"/>
          <w:sz w:val="24"/>
          <w:szCs w:val="24"/>
        </w:rPr>
        <w:t>本基金收益分配仅有现金分红一种方式；</w:t>
      </w:r>
    </w:p>
    <w:p w:rsidR="00E8691A" w:rsidRPr="00D05755" w:rsidRDefault="006E24B4">
      <w:pPr>
        <w:spacing w:line="360" w:lineRule="auto"/>
        <w:ind w:firstLineChars="200" w:firstLine="480"/>
        <w:rPr>
          <w:rFonts w:ascii="宋体" w:hAnsi="宋体" w:cs="宋体"/>
          <w:sz w:val="24"/>
          <w:szCs w:val="24"/>
        </w:rPr>
      </w:pPr>
      <w:r w:rsidRPr="00D05755">
        <w:rPr>
          <w:rFonts w:ascii="宋体" w:hAnsi="宋体" w:cs="宋体"/>
          <w:sz w:val="24"/>
          <w:szCs w:val="24"/>
        </w:rPr>
        <w:t>3、基金收益分配后各类基金份额净值不能低于面值，即基金收益分配基准日的各类基金份额净值减去每单位该类基金份额收益分配金额后不能低于面值；</w:t>
      </w:r>
    </w:p>
    <w:p w:rsidR="00E8691A" w:rsidRPr="00D05755" w:rsidRDefault="006E24B4">
      <w:pPr>
        <w:spacing w:line="360" w:lineRule="auto"/>
        <w:ind w:firstLineChars="200" w:firstLine="480"/>
        <w:rPr>
          <w:rFonts w:ascii="宋体" w:hAnsi="宋体" w:cs="宋体"/>
          <w:sz w:val="24"/>
          <w:szCs w:val="24"/>
        </w:rPr>
      </w:pPr>
      <w:r w:rsidRPr="00D05755">
        <w:rPr>
          <w:rFonts w:ascii="宋体" w:hAnsi="宋体" w:cs="宋体"/>
          <w:sz w:val="24"/>
          <w:szCs w:val="24"/>
        </w:rPr>
        <w:t>4、</w:t>
      </w:r>
      <w:r w:rsidRPr="00D05755">
        <w:rPr>
          <w:rFonts w:ascii="宋体" w:hAnsi="宋体" w:cs="宋体" w:hint="eastAsia"/>
          <w:sz w:val="24"/>
          <w:szCs w:val="24"/>
        </w:rPr>
        <w:t>同一类别内的</w:t>
      </w:r>
      <w:r w:rsidRPr="00D05755">
        <w:rPr>
          <w:rFonts w:ascii="宋体" w:hAnsi="宋体" w:cs="宋体"/>
          <w:sz w:val="24"/>
          <w:szCs w:val="24"/>
        </w:rPr>
        <w:t>每一基金份额享有同等分配权；</w:t>
      </w:r>
    </w:p>
    <w:p w:rsidR="00E8691A" w:rsidRPr="00D05755" w:rsidRDefault="006E24B4">
      <w:pPr>
        <w:spacing w:line="360" w:lineRule="auto"/>
        <w:ind w:firstLineChars="200" w:firstLine="480"/>
        <w:rPr>
          <w:rFonts w:asciiTheme="minorEastAsia" w:hAnsiTheme="minorEastAsia"/>
          <w:sz w:val="24"/>
          <w:szCs w:val="24"/>
        </w:rPr>
      </w:pPr>
      <w:r w:rsidRPr="00D05755">
        <w:rPr>
          <w:rFonts w:ascii="宋体" w:hAnsi="宋体" w:cs="宋体"/>
          <w:sz w:val="24"/>
          <w:szCs w:val="24"/>
        </w:rPr>
        <w:t>5、</w:t>
      </w:r>
      <w:r w:rsidRPr="00D05755">
        <w:rPr>
          <w:rFonts w:ascii="宋体" w:hAnsi="宋体"/>
          <w:sz w:val="24"/>
        </w:rPr>
        <w:t>法律法规或监管</w:t>
      </w:r>
      <w:r w:rsidRPr="00D05755">
        <w:rPr>
          <w:rFonts w:ascii="宋体" w:hAnsi="宋体" w:cs="宋体"/>
          <w:sz w:val="24"/>
          <w:szCs w:val="24"/>
        </w:rPr>
        <w:t>机构</w:t>
      </w:r>
      <w:r w:rsidRPr="00D05755">
        <w:rPr>
          <w:rFonts w:ascii="宋体" w:hAnsi="宋体"/>
          <w:sz w:val="24"/>
        </w:rPr>
        <w:t>另有规定的，从其规定。</w:t>
      </w:r>
    </w:p>
    <w:bookmarkEnd w:id="97"/>
    <w:bookmarkEnd w:id="98"/>
    <w:p w:rsidR="00E8691A" w:rsidRPr="00D05755" w:rsidRDefault="006E24B4">
      <w:pPr>
        <w:spacing w:line="360" w:lineRule="auto"/>
        <w:ind w:firstLineChars="200" w:firstLine="480"/>
        <w:rPr>
          <w:rFonts w:asciiTheme="minorEastAsia" w:hAnsiTheme="minorEastAsia"/>
          <w:sz w:val="24"/>
          <w:szCs w:val="24"/>
        </w:rPr>
      </w:pPr>
      <w:r w:rsidRPr="00D05755">
        <w:rPr>
          <w:rFonts w:asciiTheme="minorEastAsia" w:hAnsiTheme="minorEastAsia" w:hint="eastAsia"/>
          <w:sz w:val="24"/>
          <w:szCs w:val="24"/>
        </w:rPr>
        <w:t>在遵守法律法规和监管部门的规定，且在对基金份额持有人利益无实质性不利影响的前提下，基金管理人履行适当程序后，可对基金收益分配原则进行调整。</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四、</w:t>
      </w:r>
      <w:r w:rsidRPr="00D05755">
        <w:rPr>
          <w:rFonts w:ascii="宋体" w:hAnsi="宋体" w:cs="宋体"/>
          <w:kern w:val="0"/>
          <w:sz w:val="24"/>
          <w:szCs w:val="24"/>
        </w:rPr>
        <w:t>收益分配方案</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基金收益分配方案中应载明截至收益分配基准日的可供分配利润、基金收益分配对象、分配时间、分配数额及比例、分配方式等内容。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五、</w:t>
      </w:r>
      <w:r w:rsidRPr="00D05755">
        <w:rPr>
          <w:rFonts w:ascii="宋体" w:hAnsi="宋体" w:cs="宋体"/>
          <w:kern w:val="0"/>
          <w:sz w:val="24"/>
          <w:szCs w:val="24"/>
        </w:rPr>
        <w:t>收益分配方案的确定、公告与实施</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本基金收益分配方案由基金管理人拟定，并由基金托管人复核，在2日内在规定媒介公告。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六、</w:t>
      </w:r>
      <w:r w:rsidRPr="00D05755">
        <w:rPr>
          <w:rFonts w:ascii="宋体" w:hAnsi="宋体" w:cs="宋体"/>
          <w:kern w:val="0"/>
          <w:sz w:val="24"/>
          <w:szCs w:val="24"/>
        </w:rPr>
        <w:t>基金收益分配中发生的费用</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基金收益分配时所发生的银行转账或其他手续费用由投资者自行承担。</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七、</w:t>
      </w:r>
      <w:r w:rsidRPr="00D05755">
        <w:rPr>
          <w:rFonts w:ascii="宋体" w:hAnsi="宋体" w:cs="宋体"/>
          <w:kern w:val="0"/>
          <w:sz w:val="24"/>
          <w:szCs w:val="24"/>
        </w:rPr>
        <w:t>实施</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期间的收益分配</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本基金实施</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的，</w:t>
      </w:r>
      <w:proofErr w:type="gramStart"/>
      <w:r w:rsidRPr="00D05755">
        <w:rPr>
          <w:rFonts w:ascii="宋体" w:hAnsi="宋体" w:cs="宋体"/>
          <w:kern w:val="0"/>
          <w:sz w:val="24"/>
          <w:szCs w:val="24"/>
        </w:rPr>
        <w:t>侧袋账户</w:t>
      </w:r>
      <w:proofErr w:type="gramEnd"/>
      <w:r w:rsidRPr="00D05755">
        <w:rPr>
          <w:rFonts w:ascii="宋体" w:hAnsi="宋体" w:cs="宋体"/>
          <w:kern w:val="0"/>
          <w:sz w:val="24"/>
          <w:szCs w:val="24"/>
        </w:rPr>
        <w:t>不进行收益分配，详见招募说明书的规定。</w:t>
      </w:r>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99" w:name="_Toc256000016"/>
      <w:r w:rsidRPr="00D05755">
        <w:rPr>
          <w:rFonts w:ascii="Times New Roman"/>
          <w:color w:val="auto"/>
          <w:sz w:val="30"/>
        </w:rPr>
        <w:lastRenderedPageBreak/>
        <w:t>第十七部分</w:t>
      </w:r>
      <w:r w:rsidRPr="00D05755">
        <w:rPr>
          <w:rFonts w:ascii="Times New Roman"/>
          <w:color w:val="auto"/>
          <w:sz w:val="30"/>
        </w:rPr>
        <w:t xml:space="preserve">  </w:t>
      </w:r>
      <w:r w:rsidRPr="00D05755">
        <w:rPr>
          <w:rFonts w:ascii="Times New Roman"/>
          <w:color w:val="auto"/>
          <w:sz w:val="30"/>
        </w:rPr>
        <w:t>基金的会计与审计</w:t>
      </w:r>
      <w:bookmarkEnd w:id="99"/>
    </w:p>
    <w:p w:rsidR="00E8691A" w:rsidRPr="00D05755" w:rsidRDefault="00E8691A"/>
    <w:p w:rsidR="00E8691A" w:rsidRPr="00D05755" w:rsidRDefault="006E24B4">
      <w:pPr>
        <w:pStyle w:val="div"/>
        <w:spacing w:line="360" w:lineRule="auto"/>
        <w:ind w:firstLine="420"/>
        <w:rPr>
          <w:rFonts w:eastAsia="Times New Roman"/>
          <w:kern w:val="0"/>
          <w:sz w:val="24"/>
          <w:szCs w:val="24"/>
        </w:rPr>
      </w:pPr>
      <w:bookmarkStart w:id="100" w:name="OLE_LINK29"/>
      <w:r w:rsidRPr="00D05755">
        <w:rPr>
          <w:rFonts w:ascii="宋体" w:hAnsi="宋体" w:cs="宋体"/>
          <w:kern w:val="0"/>
          <w:sz w:val="24"/>
          <w:szCs w:val="24"/>
        </w:rPr>
        <w:t>一、基金会计政策</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1、基金管理人为本基金的基金会计责任方；</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2、基金的会计年度为公历年度的1月1日至12月31日；</w:t>
      </w:r>
      <w:r w:rsidRPr="00D05755">
        <w:rPr>
          <w:rStyle w:val="custom"/>
          <w:rFonts w:ascii="宋体" w:hAnsi="宋体" w:cs="宋体"/>
          <w:kern w:val="0"/>
          <w:sz w:val="24"/>
          <w:szCs w:val="24"/>
        </w:rPr>
        <w:t>基金首次募集的会计年度按如下原则：如果《基金合同》生效少于2个月，可以并入下一个会计年度披露；</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3、基金核算以人民币为记账本位币，以人民币元为记账单位；</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4、会计制度执行国家有关会计制度；</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5、本基金独立建账、独立核算；</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6、基金管理人及基金托管人各自保留完整的会计账目、凭证并进行日常的会计核算，按照有关规定编制基金会计报表；</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7、基金托管人每月与基金管理人就基金的会计核算、报表编制等进行核对并以书面方式确认。</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二、基金的年度审计</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1、基金管理人聘请与基金管理人、基金托管人相互独立的符合《中华人民共和国证券法》规定的会计师事务所及其注册会计师对本基金的年度财务报表进行审计。</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2、会计师事务所更换经办注册会计师，应事先征得基金管理人同意。</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3、基金管理人认为有充足理由更换会计师事务所，须通报基金托管人。更换会计师事务所需在2日内在规定媒介公告。</w:t>
      </w:r>
      <w:bookmarkEnd w:id="100"/>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101" w:name="_Toc256000017"/>
      <w:r w:rsidRPr="00D05755">
        <w:rPr>
          <w:rFonts w:ascii="Times New Roman"/>
          <w:color w:val="auto"/>
          <w:sz w:val="30"/>
        </w:rPr>
        <w:lastRenderedPageBreak/>
        <w:t>第十八部分</w:t>
      </w:r>
      <w:r w:rsidRPr="00D05755">
        <w:rPr>
          <w:rFonts w:ascii="Times New Roman"/>
          <w:color w:val="auto"/>
          <w:sz w:val="30"/>
        </w:rPr>
        <w:t xml:space="preserve">  </w:t>
      </w:r>
      <w:r w:rsidRPr="00D05755">
        <w:rPr>
          <w:rFonts w:ascii="Times New Roman"/>
          <w:color w:val="auto"/>
          <w:sz w:val="30"/>
        </w:rPr>
        <w:t>基金的信息披露</w:t>
      </w:r>
      <w:bookmarkEnd w:id="101"/>
    </w:p>
    <w:p w:rsidR="00E8691A" w:rsidRPr="00D05755" w:rsidRDefault="00E8691A"/>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一、</w:t>
      </w:r>
      <w:r w:rsidRPr="00D05755">
        <w:rPr>
          <w:rFonts w:ascii="宋体" w:hAnsi="宋体" w:cs="宋体"/>
          <w:kern w:val="0"/>
          <w:sz w:val="24"/>
          <w:szCs w:val="24"/>
        </w:rPr>
        <w:t>本基金的信息披露应符合《基金法》、《运作办法》、《信息披露办法》、《流动性风险管理规定》、《基金合同》及其他有关规定。相关法律法规关于信息披露的规定发生变化时，本基金从其最新规定。</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信息披露义务人</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本基金信息披露义务人包括基金管理人、基金托管人、召集基金份额持有人大会的基金份额持有人等法律法规和中国证监会规定的自然人、法人和非法人组织。</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本基金信息披露义务人以保护基金份额持有人利益为根本出发点，按照法律法规和中国证监会的规定披露基金信息，并保证所披露信息的真实性、准确性、完整性、及时性、简明性和易得性。</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信息披露义务人应当在中国证监会规定时间内，将应予披露的基金信息通过符合中国证监会规定条件的全国性报刊（以下简称“规定报刊”）和《信息披露办法》规定的互联网网站（以下简称“规定网站”）等规定媒介披露，并保证基金投资者能够按照《基金合同》约定的时间和方式查阅或者复制公开披露的信息资料。</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三、</w:t>
      </w:r>
      <w:r w:rsidRPr="00D05755">
        <w:rPr>
          <w:rFonts w:ascii="宋体" w:hAnsi="宋体" w:cs="宋体"/>
          <w:kern w:val="0"/>
          <w:sz w:val="24"/>
          <w:szCs w:val="24"/>
        </w:rPr>
        <w:t>本基金信息披露义务人承诺公开披露的基金信息，不得有下列行为：</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虚假记载、误导性陈述或者重大遗漏；</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对证券投资业绩进行预测；</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违规承诺收益或者承担损失；</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诋毁其他基金管理人、基金托管人或者基金销售机构；</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登载任何自然人、法人和非法人组织的祝贺性、恭维性或推荐性的文字；</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中国证监会禁止的其他行为。</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四、</w:t>
      </w:r>
      <w:r w:rsidRPr="00D05755">
        <w:rPr>
          <w:rFonts w:ascii="宋体" w:hAnsi="宋体" w:cs="宋体"/>
          <w:kern w:val="0"/>
          <w:sz w:val="24"/>
          <w:szCs w:val="24"/>
        </w:rPr>
        <w:t>本基金公开披露的信息应采用中文文本。如同时采用外文文本的，基金信息披露义务人应保证不同文本的内容一致。不同文本之间发生歧义的，以中文文本为准。</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本基金公开披露的信息采用阿拉伯数字；除特别说明外，货币单位为人民币元。</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lastRenderedPageBreak/>
        <w:t>五、</w:t>
      </w:r>
      <w:r w:rsidRPr="00D05755">
        <w:rPr>
          <w:rFonts w:ascii="宋体" w:hAnsi="宋体" w:cs="宋体"/>
          <w:kern w:val="0"/>
          <w:sz w:val="24"/>
          <w:szCs w:val="24"/>
        </w:rPr>
        <w:t>公开披露的基金信息</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公开披露的基金信息包括：</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（一）</w:t>
      </w:r>
      <w:r w:rsidRPr="00D05755">
        <w:rPr>
          <w:rFonts w:ascii="宋体" w:hAnsi="宋体" w:cs="宋体"/>
          <w:kern w:val="0"/>
          <w:sz w:val="24"/>
          <w:szCs w:val="24"/>
        </w:rPr>
        <w:t>基金招募说明书、《基金合同》、基金托管协议、基金产品资料概要</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《基金合同》是界定《基金合同》当事人的各项权利、义务关系，明确基金份额持有人大会召开的规则及具体程序，说明基金产品的特性等涉及基金投资者重大利益的事项的法律文件。</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基金招募说明书应当最大限度地披露影响基金投资者决策的全部事项，说明基金</w:t>
      </w:r>
      <w:r w:rsidRPr="00D05755">
        <w:rPr>
          <w:rStyle w:val="custom"/>
          <w:rFonts w:ascii="宋体" w:hAnsi="宋体" w:cs="宋体"/>
          <w:kern w:val="0"/>
          <w:sz w:val="24"/>
          <w:szCs w:val="24"/>
        </w:rPr>
        <w:t>认购、</w:t>
      </w:r>
      <w:r w:rsidRPr="00D05755">
        <w:rPr>
          <w:rFonts w:ascii="宋体" w:hAnsi="宋体" w:cs="宋体"/>
          <w:kern w:val="0"/>
          <w:sz w:val="24"/>
          <w:szCs w:val="24"/>
        </w:rPr>
        <w:t>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基金托管协议是界定基金托管人和基金管理人在基金财产保管及基金运作监督等活动中的权利、义务关系的法律文件。</w:t>
      </w:r>
    </w:p>
    <w:p w:rsidR="00E8691A" w:rsidRPr="00D05755" w:rsidRDefault="006E24B4">
      <w:pPr>
        <w:pStyle w:val="div"/>
        <w:spacing w:line="360" w:lineRule="auto"/>
        <w:ind w:firstLine="420"/>
        <w:rPr>
          <w:rFonts w:eastAsia="Times New Roman"/>
          <w:kern w:val="0"/>
          <w:sz w:val="24"/>
          <w:szCs w:val="24"/>
        </w:rPr>
      </w:pPr>
      <w:r w:rsidRPr="00D05755">
        <w:rPr>
          <w:rStyle w:val="serial-tag"/>
          <w:rFonts w:ascii="宋体" w:hAnsi="宋体" w:cs="宋体"/>
          <w:kern w:val="0"/>
          <w:sz w:val="24"/>
          <w:szCs w:val="24"/>
        </w:rPr>
        <w:t>4、</w:t>
      </w:r>
      <w:r w:rsidRPr="00D05755">
        <w:rPr>
          <w:rFonts w:ascii="宋体" w:hAnsi="宋体" w:cs="宋体"/>
          <w:kern w:val="0"/>
          <w:sz w:val="24"/>
          <w:szCs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rsidR="00E8691A" w:rsidRPr="00D05755" w:rsidRDefault="006E24B4">
      <w:pPr>
        <w:pStyle w:val="div"/>
        <w:spacing w:line="360" w:lineRule="auto"/>
        <w:ind w:firstLine="420"/>
        <w:rPr>
          <w:rFonts w:eastAsia="Times New Roman"/>
          <w:kern w:val="0"/>
          <w:sz w:val="24"/>
          <w:szCs w:val="24"/>
        </w:rPr>
      </w:pPr>
      <w:r w:rsidRPr="00D05755">
        <w:rPr>
          <w:rStyle w:val="serial-tag"/>
          <w:rFonts w:ascii="宋体" w:hAnsi="宋体" w:cs="宋体"/>
          <w:kern w:val="0"/>
          <w:sz w:val="24"/>
          <w:szCs w:val="24"/>
        </w:rPr>
        <w:t>（二）</w:t>
      </w:r>
      <w:r w:rsidRPr="00D05755">
        <w:rPr>
          <w:rStyle w:val="custom"/>
          <w:rFonts w:ascii="宋体" w:hAnsi="宋体" w:cs="宋体"/>
          <w:kern w:val="0"/>
          <w:sz w:val="24"/>
          <w:szCs w:val="24"/>
        </w:rPr>
        <w:t>基金份额发售公告</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基金管理人应当就基金份额发售的具体事宜编制基金份额发售公告，并在披露招募说明书的当日登载于规定媒介上。</w:t>
      </w:r>
    </w:p>
    <w:p w:rsidR="00E8691A" w:rsidRPr="00D05755" w:rsidRDefault="006E24B4">
      <w:pPr>
        <w:pStyle w:val="div"/>
        <w:spacing w:line="360" w:lineRule="auto"/>
        <w:ind w:firstLine="420"/>
        <w:jc w:val="left"/>
        <w:rPr>
          <w:rFonts w:eastAsia="Times New Roman"/>
          <w:kern w:val="0"/>
          <w:sz w:val="24"/>
          <w:szCs w:val="24"/>
        </w:rPr>
      </w:pPr>
      <w:r w:rsidRPr="00D05755">
        <w:rPr>
          <w:rStyle w:val="serial-tag"/>
          <w:rFonts w:ascii="宋体" w:hAnsi="宋体" w:cs="宋体"/>
          <w:kern w:val="0"/>
          <w:sz w:val="24"/>
          <w:szCs w:val="24"/>
        </w:rPr>
        <w:lastRenderedPageBreak/>
        <w:t>（三）</w:t>
      </w:r>
      <w:r w:rsidRPr="00D05755">
        <w:rPr>
          <w:rStyle w:val="custom"/>
          <w:rFonts w:ascii="宋体" w:hAnsi="宋体" w:cs="宋体"/>
          <w:kern w:val="0"/>
          <w:sz w:val="24"/>
          <w:szCs w:val="24"/>
        </w:rPr>
        <w:t>《基金合同》生效公告</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基金管理人应当在收到中国证监会确认文件的次日在规定媒介上登载《基金合同》生效公告。</w:t>
      </w:r>
    </w:p>
    <w:p w:rsidR="00E8691A" w:rsidRPr="00D05755" w:rsidRDefault="006E24B4">
      <w:pPr>
        <w:pStyle w:val="div"/>
        <w:spacing w:line="360" w:lineRule="auto"/>
        <w:ind w:firstLine="420"/>
        <w:rPr>
          <w:rFonts w:eastAsiaTheme="minorEastAsia"/>
          <w:kern w:val="0"/>
          <w:sz w:val="24"/>
          <w:szCs w:val="24"/>
        </w:rPr>
      </w:pPr>
      <w:r w:rsidRPr="00D05755">
        <w:rPr>
          <w:rStyle w:val="custom"/>
          <w:rFonts w:ascii="宋体" w:hAnsi="宋体" w:cs="宋体"/>
          <w:kern w:val="0"/>
          <w:sz w:val="24"/>
          <w:szCs w:val="24"/>
        </w:rPr>
        <w:t>《基金合同》生效公告中应当说明基金募集情况及基金管理人、基金管理人高级管理人员、基金经理等人员以及基金管理</w:t>
      </w:r>
      <w:proofErr w:type="gramStart"/>
      <w:r w:rsidRPr="00D05755">
        <w:rPr>
          <w:rStyle w:val="custom"/>
          <w:rFonts w:ascii="宋体" w:hAnsi="宋体" w:cs="宋体"/>
          <w:kern w:val="0"/>
          <w:sz w:val="24"/>
          <w:szCs w:val="24"/>
        </w:rPr>
        <w:t>人股东</w:t>
      </w:r>
      <w:proofErr w:type="gramEnd"/>
      <w:r w:rsidRPr="00D05755">
        <w:rPr>
          <w:rStyle w:val="custom"/>
          <w:rFonts w:ascii="宋体" w:hAnsi="宋体" w:cs="宋体"/>
          <w:kern w:val="0"/>
          <w:sz w:val="24"/>
          <w:szCs w:val="24"/>
        </w:rPr>
        <w:t>持有的基金份额、承诺持有的期限等情况。</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（四）</w:t>
      </w:r>
      <w:r w:rsidRPr="00D05755">
        <w:rPr>
          <w:rFonts w:ascii="宋体" w:hAnsi="宋体" w:cs="宋体"/>
          <w:kern w:val="0"/>
          <w:sz w:val="24"/>
          <w:szCs w:val="24"/>
        </w:rPr>
        <w:t>基金净值信息</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基金合同》生效后，在开始办理基金份额申购或者赎回前，基金管理人应当至少每周在规定网站披露一次各类基金份额净值和基金份额累计净值。在开始办理基金份额申购或者赎回后，基金管理人应当在不晚于每个开放日的次日，通过规定网站、基金销售机构网站或者营业网点，披露开放日的各类基金份额净值和基金份额累计净值。</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基金管理人应当在不晚于半年度和年度最后一日的次日，在规定网站披露半年度和年度最后一日的各类基金份额净值和基金份额累计净值。</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（五）</w:t>
      </w:r>
      <w:r w:rsidRPr="00D05755">
        <w:rPr>
          <w:rFonts w:ascii="宋体" w:hAnsi="宋体" w:cs="宋体"/>
          <w:kern w:val="0"/>
          <w:sz w:val="24"/>
          <w:szCs w:val="24"/>
        </w:rPr>
        <w:t>基金份额申购、赎回价格</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基金管理人应当在《基金合同》、招募说明书等信息披露文件上载</w:t>
      </w:r>
      <w:proofErr w:type="gramStart"/>
      <w:r w:rsidRPr="00D05755">
        <w:rPr>
          <w:rFonts w:ascii="宋体" w:hAnsi="宋体" w:cs="宋体"/>
          <w:kern w:val="0"/>
          <w:sz w:val="24"/>
          <w:szCs w:val="24"/>
        </w:rPr>
        <w:t>明基金</w:t>
      </w:r>
      <w:proofErr w:type="gramEnd"/>
      <w:r w:rsidRPr="00D05755">
        <w:rPr>
          <w:rFonts w:ascii="宋体" w:hAnsi="宋体" w:cs="宋体"/>
          <w:kern w:val="0"/>
          <w:sz w:val="24"/>
          <w:szCs w:val="24"/>
        </w:rPr>
        <w:t>份额申购、赎回价格的计算方式及有关申购、赎回费率，并保证投资者能够在基金销售机构网站或营业网点查阅或者复制前述信息资料。</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（六）</w:t>
      </w:r>
      <w:r w:rsidRPr="00D05755">
        <w:rPr>
          <w:rFonts w:ascii="宋体" w:hAnsi="宋体" w:cs="宋体"/>
          <w:kern w:val="0"/>
          <w:sz w:val="24"/>
          <w:szCs w:val="24"/>
        </w:rPr>
        <w:t>基金定期报告，包括基金年度报告、基金中期报告和基金季度报告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基金管理人应当在上半年结束之日起两个月内，编制完成基金中期报告，将中期报告登载在规定网站上，并将中期报告提示性公告登载在规定报刊上。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基金管理人应当在季度结束之日起15个工作日内，编制完成基金季度报告，将季度报告登载在规定网站上，并将季度报告提示性公告登载在规定报刊上。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《基金合同》生效不足2个月的，基金管理人可以不编制当期季度报告、中期报告或者年度报告。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lastRenderedPageBreak/>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E8691A" w:rsidRPr="00D05755" w:rsidRDefault="006E24B4">
      <w:pPr>
        <w:pStyle w:val="div"/>
        <w:spacing w:line="360" w:lineRule="auto"/>
        <w:ind w:firstLine="420"/>
        <w:rPr>
          <w:rFonts w:ascii="宋体" w:hAnsi="宋体" w:cs="宋体"/>
          <w:kern w:val="0"/>
          <w:sz w:val="24"/>
          <w:szCs w:val="24"/>
        </w:rPr>
      </w:pPr>
      <w:r w:rsidRPr="00D05755">
        <w:rPr>
          <w:rFonts w:ascii="宋体" w:hAnsi="宋体" w:cs="宋体"/>
          <w:kern w:val="0"/>
          <w:sz w:val="24"/>
          <w:szCs w:val="24"/>
        </w:rPr>
        <w:t>基金管理人应当在基金年度报告和中期报告中披露基金组合资产情况及其流动性风险分析等。</w:t>
      </w:r>
    </w:p>
    <w:p w:rsidR="00E8691A" w:rsidRPr="00D05755" w:rsidRDefault="006E24B4">
      <w:pPr>
        <w:pStyle w:val="div"/>
        <w:spacing w:line="360" w:lineRule="auto"/>
        <w:ind w:firstLine="420"/>
        <w:rPr>
          <w:rFonts w:eastAsiaTheme="minorEastAsia"/>
          <w:kern w:val="0"/>
          <w:sz w:val="24"/>
          <w:szCs w:val="24"/>
        </w:rPr>
      </w:pPr>
      <w:r w:rsidRPr="00D05755">
        <w:rPr>
          <w:rStyle w:val="custom"/>
          <w:rFonts w:ascii="宋体" w:hAnsi="宋体"/>
          <w:kern w:val="0"/>
          <w:sz w:val="24"/>
        </w:rPr>
        <w:t>基金管理人</w:t>
      </w:r>
      <w:r w:rsidRPr="00D05755">
        <w:rPr>
          <w:rStyle w:val="custom"/>
          <w:rFonts w:ascii="宋体" w:hAnsi="宋体" w:cs="宋体"/>
          <w:kern w:val="0"/>
          <w:sz w:val="24"/>
          <w:szCs w:val="24"/>
        </w:rPr>
        <w:t>应</w:t>
      </w:r>
      <w:r w:rsidRPr="00D05755">
        <w:rPr>
          <w:rStyle w:val="custom"/>
          <w:rFonts w:ascii="宋体" w:hAnsi="宋体"/>
          <w:kern w:val="0"/>
          <w:sz w:val="24"/>
        </w:rPr>
        <w:t>在</w:t>
      </w:r>
      <w:r w:rsidRPr="00D05755">
        <w:rPr>
          <w:rStyle w:val="custom"/>
          <w:rFonts w:ascii="宋体" w:hAnsi="宋体" w:cs="宋体"/>
          <w:kern w:val="0"/>
          <w:sz w:val="24"/>
          <w:szCs w:val="24"/>
        </w:rPr>
        <w:t>年度报告、</w:t>
      </w:r>
      <w:r w:rsidRPr="00D05755">
        <w:rPr>
          <w:rStyle w:val="custom"/>
          <w:rFonts w:ascii="宋体" w:hAnsi="宋体"/>
          <w:kern w:val="0"/>
          <w:sz w:val="24"/>
        </w:rPr>
        <w:t>中期报告</w:t>
      </w:r>
      <w:r w:rsidRPr="00D05755">
        <w:rPr>
          <w:rStyle w:val="custom"/>
          <w:rFonts w:ascii="宋体" w:hAnsi="宋体" w:cs="宋体"/>
          <w:kern w:val="0"/>
          <w:sz w:val="24"/>
          <w:szCs w:val="24"/>
        </w:rPr>
        <w:t>、季度</w:t>
      </w:r>
      <w:r w:rsidRPr="00D05755">
        <w:rPr>
          <w:rStyle w:val="custom"/>
          <w:rFonts w:ascii="宋体" w:hAnsi="宋体"/>
          <w:kern w:val="0"/>
          <w:sz w:val="24"/>
        </w:rPr>
        <w:t>报告中</w:t>
      </w:r>
      <w:r w:rsidRPr="00D05755">
        <w:rPr>
          <w:rStyle w:val="custom"/>
          <w:rFonts w:ascii="宋体" w:hAnsi="宋体" w:cs="宋体"/>
          <w:kern w:val="0"/>
          <w:sz w:val="24"/>
          <w:szCs w:val="24"/>
        </w:rPr>
        <w:t>分别</w:t>
      </w:r>
      <w:r w:rsidRPr="00D05755">
        <w:rPr>
          <w:rStyle w:val="custom"/>
          <w:rFonts w:ascii="宋体" w:hAnsi="宋体"/>
          <w:kern w:val="0"/>
          <w:sz w:val="24"/>
        </w:rPr>
        <w:t>披露</w:t>
      </w:r>
      <w:r w:rsidRPr="00D05755">
        <w:rPr>
          <w:rStyle w:val="custom"/>
          <w:rFonts w:ascii="宋体" w:hAnsi="宋体" w:cs="宋体"/>
          <w:kern w:val="0"/>
          <w:sz w:val="24"/>
          <w:szCs w:val="24"/>
        </w:rPr>
        <w:t>基金管理人、基金管理人高级管理人员、基金经理等人员以及基金管理</w:t>
      </w:r>
      <w:proofErr w:type="gramStart"/>
      <w:r w:rsidRPr="00D05755">
        <w:rPr>
          <w:rStyle w:val="custom"/>
          <w:rFonts w:ascii="宋体" w:hAnsi="宋体" w:cs="宋体"/>
          <w:kern w:val="0"/>
          <w:sz w:val="24"/>
          <w:szCs w:val="24"/>
        </w:rPr>
        <w:t>人股东</w:t>
      </w:r>
      <w:proofErr w:type="gramEnd"/>
      <w:r w:rsidRPr="00D05755">
        <w:rPr>
          <w:rStyle w:val="custom"/>
          <w:rFonts w:ascii="宋体" w:hAnsi="宋体" w:cs="宋体"/>
          <w:kern w:val="0"/>
          <w:sz w:val="24"/>
          <w:szCs w:val="24"/>
        </w:rPr>
        <w:t>持有基金的份额、期限</w:t>
      </w:r>
      <w:proofErr w:type="gramStart"/>
      <w:r w:rsidRPr="00D05755">
        <w:rPr>
          <w:rStyle w:val="custom"/>
          <w:rFonts w:ascii="宋体" w:hAnsi="宋体" w:cs="宋体"/>
          <w:kern w:val="0"/>
          <w:sz w:val="24"/>
          <w:szCs w:val="24"/>
        </w:rPr>
        <w:t>及期间</w:t>
      </w:r>
      <w:proofErr w:type="gramEnd"/>
      <w:r w:rsidRPr="00D05755">
        <w:rPr>
          <w:rStyle w:val="custom"/>
          <w:rFonts w:ascii="宋体" w:hAnsi="宋体" w:cs="宋体"/>
          <w:kern w:val="0"/>
          <w:sz w:val="24"/>
          <w:szCs w:val="24"/>
        </w:rPr>
        <w:t>的变动</w:t>
      </w:r>
      <w:r w:rsidRPr="00D05755">
        <w:rPr>
          <w:rStyle w:val="custom"/>
          <w:rFonts w:ascii="宋体" w:hAnsi="宋体"/>
          <w:kern w:val="0"/>
          <w:sz w:val="24"/>
        </w:rPr>
        <w:t>情况。</w:t>
      </w:r>
    </w:p>
    <w:p w:rsidR="00E8691A" w:rsidRPr="00D05755" w:rsidRDefault="006E24B4">
      <w:pPr>
        <w:pStyle w:val="div"/>
        <w:spacing w:line="360" w:lineRule="auto"/>
        <w:ind w:firstLine="420"/>
        <w:rPr>
          <w:rFonts w:eastAsia="Times New Roman"/>
          <w:kern w:val="0"/>
          <w:sz w:val="24"/>
          <w:szCs w:val="24"/>
        </w:rPr>
      </w:pPr>
      <w:r w:rsidRPr="00D05755">
        <w:rPr>
          <w:rFonts w:eastAsiaTheme="minorEastAsia" w:hint="eastAsia"/>
          <w:kern w:val="0"/>
          <w:sz w:val="24"/>
          <w:szCs w:val="24"/>
        </w:rPr>
        <w:t>基金管理人应当在中期报告和年度报告中披露固定管理费、或有管理费和</w:t>
      </w:r>
      <w:r w:rsidRPr="00D05755">
        <w:rPr>
          <w:rFonts w:eastAsiaTheme="minorEastAsia"/>
          <w:kern w:val="0"/>
          <w:sz w:val="24"/>
          <w:szCs w:val="24"/>
        </w:rPr>
        <w:t>超额</w:t>
      </w:r>
      <w:r w:rsidRPr="00D05755">
        <w:rPr>
          <w:rFonts w:eastAsiaTheme="minorEastAsia" w:hint="eastAsia"/>
          <w:kern w:val="0"/>
          <w:sz w:val="24"/>
          <w:szCs w:val="24"/>
        </w:rPr>
        <w:t>管理费收取情况。</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（七）</w:t>
      </w:r>
      <w:r w:rsidRPr="00D05755">
        <w:rPr>
          <w:rFonts w:ascii="宋体" w:hAnsi="宋体" w:cs="宋体"/>
          <w:kern w:val="0"/>
          <w:sz w:val="24"/>
          <w:szCs w:val="24"/>
        </w:rPr>
        <w:t>临时报告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本基金发生重大事件，有关信息披露义务人应当在2日内编制临时报告书，并登载在规定报刊和规定网站上。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前款所称重大事件，是指可能对基金份额持有人权益或者基金份额的价格产生重大影响的下列事件：</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基金份额持有人大会的召开及决定的事项；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《基金合同》终止、基金清算；</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转换基金运作方式、基金合并；</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更换基金管理人、基金托管人、基金份额登记机构，基金改聘会计师事务所；</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基金管理人委托基金服务机构代为办理基金的份额登记、核算、估值等事项，基金托管人委托基金服务机构代为办理基金的核算、估值、复核等事项；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基金管理人、基金托管人的法定名称、住所发生变更；</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基金管理人变更持有百分之五以上股权的股东、基金管理人的实际控制人变更；</w:t>
      </w:r>
    </w:p>
    <w:p w:rsidR="00E8691A" w:rsidRPr="00D05755" w:rsidRDefault="006E24B4">
      <w:pPr>
        <w:pStyle w:val="div"/>
        <w:spacing w:line="360" w:lineRule="auto"/>
        <w:ind w:firstLine="420"/>
        <w:jc w:val="left"/>
        <w:rPr>
          <w:rFonts w:eastAsia="Times New Roman"/>
          <w:kern w:val="0"/>
          <w:sz w:val="24"/>
          <w:szCs w:val="24"/>
        </w:rPr>
      </w:pPr>
      <w:r w:rsidRPr="00D05755">
        <w:rPr>
          <w:rStyle w:val="serial-tag"/>
          <w:rFonts w:ascii="宋体" w:hAnsi="宋体" w:cs="宋体"/>
          <w:kern w:val="0"/>
          <w:sz w:val="24"/>
          <w:szCs w:val="24"/>
        </w:rPr>
        <w:t>8、</w:t>
      </w:r>
      <w:r w:rsidRPr="00D05755">
        <w:rPr>
          <w:rStyle w:val="custom"/>
          <w:rFonts w:ascii="宋体" w:hAnsi="宋体" w:cs="宋体"/>
          <w:kern w:val="0"/>
          <w:sz w:val="24"/>
          <w:szCs w:val="24"/>
        </w:rPr>
        <w:t>基金募集期延长或提前结束募集；</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9、</w:t>
      </w:r>
      <w:r w:rsidRPr="00D05755">
        <w:rPr>
          <w:rFonts w:ascii="宋体" w:hAnsi="宋体" w:cs="宋体"/>
          <w:kern w:val="0"/>
          <w:sz w:val="24"/>
          <w:szCs w:val="24"/>
        </w:rPr>
        <w:t>基金管理人的高级管理人员、基金经理和基金托管人专门基金托管部门</w:t>
      </w:r>
      <w:r w:rsidRPr="00D05755">
        <w:rPr>
          <w:rFonts w:ascii="宋体" w:hAnsi="宋体" w:cs="宋体"/>
          <w:kern w:val="0"/>
          <w:sz w:val="24"/>
          <w:szCs w:val="24"/>
        </w:rPr>
        <w:lastRenderedPageBreak/>
        <w:t>负责人发生变动；</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10、</w:t>
      </w:r>
      <w:r w:rsidRPr="00D05755">
        <w:rPr>
          <w:rFonts w:ascii="宋体" w:hAnsi="宋体" w:cs="宋体"/>
          <w:kern w:val="0"/>
          <w:sz w:val="24"/>
          <w:szCs w:val="24"/>
        </w:rPr>
        <w:t>基金管理人的董事在最近12个月内变更超过百分之五十，基金管理人、基金托管人专门基金托管部门的主要业务人员在最近12个月内变动超过百分之三十；</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11、</w:t>
      </w:r>
      <w:r w:rsidRPr="00D05755">
        <w:rPr>
          <w:rFonts w:ascii="宋体" w:hAnsi="宋体" w:cs="宋体"/>
          <w:kern w:val="0"/>
          <w:sz w:val="24"/>
          <w:szCs w:val="24"/>
        </w:rPr>
        <w:t>涉及基金财产、基金管理业务、基金托管业务的诉讼或仲裁；</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12、</w:t>
      </w:r>
      <w:r w:rsidRPr="00D05755">
        <w:rPr>
          <w:rFonts w:ascii="宋体" w:hAnsi="宋体" w:cs="宋体"/>
          <w:kern w:val="0"/>
          <w:sz w:val="24"/>
          <w:szCs w:val="24"/>
        </w:rPr>
        <w:t>基金管理人或其高级管理人员、基金经理因基金管理业务相关行为受到重大行政处罚、刑事处罚，基金托管人或其专门基金托管部门负责人因基金托管业务相关行为受到重大行政处罚、刑事处罚；</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13、</w:t>
      </w:r>
      <w:r w:rsidRPr="00D05755">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14、</w:t>
      </w:r>
      <w:r w:rsidRPr="00D05755">
        <w:rPr>
          <w:rFonts w:ascii="宋体" w:hAnsi="宋体" w:cs="宋体"/>
          <w:kern w:val="0"/>
          <w:sz w:val="24"/>
          <w:szCs w:val="24"/>
        </w:rPr>
        <w:t>基金收益分配事项；</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15、管理费</w:t>
      </w:r>
      <w:r w:rsidRPr="00D05755">
        <w:rPr>
          <w:rStyle w:val="custom"/>
          <w:rFonts w:ascii="宋体" w:hAnsi="宋体" w:cs="宋体" w:hint="eastAsia"/>
          <w:kern w:val="0"/>
          <w:sz w:val="24"/>
          <w:szCs w:val="24"/>
        </w:rPr>
        <w:t>（</w:t>
      </w:r>
      <w:r w:rsidRPr="00D05755">
        <w:rPr>
          <w:rFonts w:ascii="宋体" w:hAnsi="宋体" w:cs="宋体" w:hint="eastAsia"/>
          <w:kern w:val="0"/>
          <w:sz w:val="24"/>
          <w:szCs w:val="24"/>
        </w:rPr>
        <w:t>包括固定管理费、或有管理费和超额管理费</w:t>
      </w:r>
      <w:r w:rsidRPr="00D05755">
        <w:rPr>
          <w:rStyle w:val="custom"/>
          <w:rFonts w:ascii="宋体" w:hAnsi="宋体" w:cs="宋体" w:hint="eastAsia"/>
          <w:kern w:val="0"/>
          <w:sz w:val="24"/>
          <w:szCs w:val="24"/>
        </w:rPr>
        <w:t>）</w:t>
      </w:r>
      <w:r w:rsidRPr="00D05755">
        <w:rPr>
          <w:rStyle w:val="custom"/>
          <w:rFonts w:ascii="宋体" w:hAnsi="宋体" w:cs="宋体"/>
          <w:kern w:val="0"/>
          <w:sz w:val="24"/>
          <w:szCs w:val="24"/>
        </w:rPr>
        <w:t>、托管费、销售服务费、申购费和赎回费等费用计提标准、计提方式和费率发生变更；</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16、某类基金份额净值估值错误达该类基金份额净值百分之零点五；</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17、本基金开始办理申购、赎回；</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18、本基金发生巨额赎回并延期办理；</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19、本基金连续发生巨额赎回并暂停接受赎回申请或延缓支付赎回款项；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20、</w:t>
      </w:r>
      <w:r w:rsidRPr="00D05755">
        <w:rPr>
          <w:rFonts w:ascii="宋体" w:hAnsi="宋体" w:cs="宋体"/>
          <w:kern w:val="0"/>
          <w:sz w:val="24"/>
          <w:szCs w:val="24"/>
        </w:rPr>
        <w:t>本基金暂停接受申购、赎回申请或者重新接受申购、赎回申请；</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21、</w:t>
      </w:r>
      <w:r w:rsidRPr="00D05755">
        <w:rPr>
          <w:rFonts w:ascii="宋体" w:hAnsi="宋体" w:cs="宋体"/>
          <w:kern w:val="0"/>
          <w:sz w:val="24"/>
          <w:szCs w:val="24"/>
        </w:rPr>
        <w:t>调整基金份额类别的设置；</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22、</w:t>
      </w:r>
      <w:r w:rsidRPr="00D05755">
        <w:rPr>
          <w:rFonts w:ascii="宋体" w:hAnsi="宋体" w:cs="宋体"/>
          <w:kern w:val="0"/>
          <w:sz w:val="24"/>
          <w:szCs w:val="24"/>
        </w:rPr>
        <w:t>本基金推出新业务或服务；</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23、</w:t>
      </w:r>
      <w:r w:rsidRPr="00D05755">
        <w:rPr>
          <w:rFonts w:ascii="宋体" w:hAnsi="宋体" w:cs="宋体"/>
          <w:kern w:val="0"/>
          <w:sz w:val="24"/>
          <w:szCs w:val="24"/>
        </w:rPr>
        <w:t>发生涉及基金申购、赎回事项调整或潜在影响投资者赎回等重大事项时；</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24、</w:t>
      </w:r>
      <w:r w:rsidRPr="00D05755">
        <w:rPr>
          <w:rFonts w:ascii="宋体" w:hAnsi="宋体" w:cs="宋体"/>
          <w:kern w:val="0"/>
          <w:sz w:val="24"/>
          <w:szCs w:val="24"/>
        </w:rPr>
        <w:t>基金管理人采用摆动定价机制进行估值；</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25、</w:t>
      </w:r>
      <w:r w:rsidRPr="00D05755">
        <w:rPr>
          <w:rFonts w:ascii="宋体" w:hAnsi="宋体" w:cs="宋体"/>
          <w:kern w:val="0"/>
          <w:sz w:val="24"/>
          <w:szCs w:val="24"/>
        </w:rPr>
        <w:t>基金信息披露义务人认为可能对基金份额持有人权益或者基金份额的价格产生重大影响的其他事项或中国证监会规定的其他事项。</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（八）</w:t>
      </w:r>
      <w:r w:rsidRPr="00D05755">
        <w:rPr>
          <w:rFonts w:ascii="宋体" w:hAnsi="宋体" w:cs="宋体"/>
          <w:kern w:val="0"/>
          <w:sz w:val="24"/>
          <w:szCs w:val="24"/>
        </w:rPr>
        <w:t>澄清公告</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在《基金合同》存续期限内，任何公共媒介中出现的或者在市场上流传的消息可能对基金份额价格产生误导性影响或者引起较大波动，以及可能损害基金份</w:t>
      </w:r>
      <w:r w:rsidRPr="00D05755">
        <w:rPr>
          <w:rStyle w:val="custom"/>
          <w:rFonts w:ascii="宋体" w:hAnsi="宋体" w:cs="宋体"/>
          <w:kern w:val="0"/>
          <w:sz w:val="24"/>
          <w:szCs w:val="24"/>
        </w:rPr>
        <w:lastRenderedPageBreak/>
        <w:t>额持有人权益的，相关信息披露义务人知悉后应当立即对该消息进行公开澄清。</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（九）</w:t>
      </w:r>
      <w:r w:rsidRPr="00D05755">
        <w:rPr>
          <w:rFonts w:ascii="宋体" w:hAnsi="宋体" w:cs="宋体"/>
          <w:kern w:val="0"/>
          <w:sz w:val="24"/>
          <w:szCs w:val="24"/>
        </w:rPr>
        <w:t>清算报告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基金合同终止情形发生时，基金管理人应当依法组织基金财产清算小组对基金财产进行清算并</w:t>
      </w:r>
      <w:proofErr w:type="gramStart"/>
      <w:r w:rsidRPr="00D05755">
        <w:rPr>
          <w:rFonts w:ascii="宋体" w:hAnsi="宋体" w:cs="宋体"/>
          <w:kern w:val="0"/>
          <w:sz w:val="24"/>
          <w:szCs w:val="24"/>
        </w:rPr>
        <w:t>作出</w:t>
      </w:r>
      <w:proofErr w:type="gramEnd"/>
      <w:r w:rsidRPr="00D05755">
        <w:rPr>
          <w:rFonts w:ascii="宋体" w:hAnsi="宋体" w:cs="宋体"/>
          <w:kern w:val="0"/>
          <w:sz w:val="24"/>
          <w:szCs w:val="24"/>
        </w:rPr>
        <w:t>清算报告。基金财产清算小组应当将清算报告登载在规定网站上，并将清算报告提示性公告登载在规定报刊上。</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（十）</w:t>
      </w:r>
      <w:r w:rsidRPr="00D05755">
        <w:rPr>
          <w:rFonts w:ascii="宋体" w:hAnsi="宋体" w:cs="宋体"/>
          <w:kern w:val="0"/>
          <w:sz w:val="24"/>
          <w:szCs w:val="24"/>
        </w:rPr>
        <w:t>基金份额持有人大会决议</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基金份额持有人大会决定的事项，应当依法报中国证监会备案，并予以公告。</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（十一）投资股指期货的信息披露</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基金管理人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（十二）投资国债期货的信息披露</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（十三）投资股票期权的信息披露</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（十四）投资资产支持证券的信息披露</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（十五）参与融资业务的信息披露</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基金管理人应在季度报告、中期报告、年度报告等定期报告和招募说明书（更</w:t>
      </w:r>
      <w:r w:rsidRPr="00D05755">
        <w:rPr>
          <w:rStyle w:val="custom"/>
          <w:rFonts w:ascii="宋体" w:hAnsi="宋体" w:cs="宋体"/>
          <w:kern w:val="0"/>
          <w:sz w:val="24"/>
          <w:szCs w:val="24"/>
        </w:rPr>
        <w:lastRenderedPageBreak/>
        <w:t>新）等文件中披露参与融资交易的情况，包括投资策略、业务开展情况、损益情况、风险及管理情况。</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（十六）投资港股通标的股票的信息披露</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基金管理人应在季度报告、中期报告、年度报告等定期报告和招募说明书（更新）等文件中披露港股</w:t>
      </w:r>
      <w:proofErr w:type="gramStart"/>
      <w:r w:rsidRPr="00D05755">
        <w:rPr>
          <w:rStyle w:val="custom"/>
          <w:rFonts w:ascii="宋体" w:hAnsi="宋体" w:cs="宋体"/>
          <w:kern w:val="0"/>
          <w:sz w:val="24"/>
          <w:szCs w:val="24"/>
        </w:rPr>
        <w:t>通交易</w:t>
      </w:r>
      <w:proofErr w:type="gramEnd"/>
      <w:r w:rsidRPr="00D05755">
        <w:rPr>
          <w:rStyle w:val="custom"/>
          <w:rFonts w:ascii="宋体" w:hAnsi="宋体" w:cs="宋体"/>
          <w:kern w:val="0"/>
          <w:sz w:val="24"/>
          <w:szCs w:val="24"/>
        </w:rPr>
        <w:t>的相关情况。</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（十</w:t>
      </w:r>
      <w:r w:rsidRPr="00D05755">
        <w:rPr>
          <w:rStyle w:val="custom"/>
          <w:rFonts w:ascii="宋体" w:hAnsi="宋体" w:cs="宋体" w:hint="eastAsia"/>
          <w:kern w:val="0"/>
          <w:sz w:val="24"/>
          <w:szCs w:val="24"/>
        </w:rPr>
        <w:t>七</w:t>
      </w:r>
      <w:r w:rsidRPr="00D05755">
        <w:rPr>
          <w:rStyle w:val="custom"/>
          <w:rFonts w:ascii="宋体" w:hAnsi="宋体" w:cs="宋体"/>
          <w:kern w:val="0"/>
          <w:sz w:val="24"/>
          <w:szCs w:val="24"/>
        </w:rPr>
        <w:t>）投资信用衍生品的信息披露</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基金管理人应当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（十八）实施</w:t>
      </w:r>
      <w:proofErr w:type="gramStart"/>
      <w:r w:rsidRPr="00D05755">
        <w:rPr>
          <w:rStyle w:val="custom"/>
          <w:rFonts w:ascii="宋体" w:hAnsi="宋体" w:cs="宋体"/>
          <w:kern w:val="0"/>
          <w:sz w:val="24"/>
          <w:szCs w:val="24"/>
        </w:rPr>
        <w:t>侧袋机制</w:t>
      </w:r>
      <w:proofErr w:type="gramEnd"/>
      <w:r w:rsidRPr="00D05755">
        <w:rPr>
          <w:rStyle w:val="custom"/>
          <w:rFonts w:ascii="宋体" w:hAnsi="宋体" w:cs="宋体"/>
          <w:kern w:val="0"/>
          <w:sz w:val="24"/>
          <w:szCs w:val="24"/>
        </w:rPr>
        <w:t>期间的信息披露</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本基金实施</w:t>
      </w:r>
      <w:proofErr w:type="gramStart"/>
      <w:r w:rsidRPr="00D05755">
        <w:rPr>
          <w:rStyle w:val="custom"/>
          <w:rFonts w:ascii="宋体" w:hAnsi="宋体" w:cs="宋体"/>
          <w:kern w:val="0"/>
          <w:sz w:val="24"/>
          <w:szCs w:val="24"/>
        </w:rPr>
        <w:t>侧袋机制</w:t>
      </w:r>
      <w:proofErr w:type="gramEnd"/>
      <w:r w:rsidRPr="00D05755">
        <w:rPr>
          <w:rStyle w:val="custom"/>
          <w:rFonts w:ascii="宋体" w:hAnsi="宋体" w:cs="宋体"/>
          <w:kern w:val="0"/>
          <w:sz w:val="24"/>
          <w:szCs w:val="24"/>
        </w:rPr>
        <w:t>的，相关信息披露义务人应当根据法律法规、基金合同和招募说明书的规定进行信息披露，详见招募说明书的规定。</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（十</w:t>
      </w:r>
      <w:r w:rsidRPr="00D05755">
        <w:rPr>
          <w:rStyle w:val="custom"/>
          <w:rFonts w:ascii="宋体" w:hAnsi="宋体" w:cs="宋体" w:hint="eastAsia"/>
          <w:kern w:val="0"/>
          <w:sz w:val="24"/>
          <w:szCs w:val="24"/>
        </w:rPr>
        <w:t>九</w:t>
      </w:r>
      <w:r w:rsidRPr="00D05755">
        <w:rPr>
          <w:rStyle w:val="custom"/>
          <w:rFonts w:ascii="宋体" w:hAnsi="宋体" w:cs="宋体"/>
          <w:kern w:val="0"/>
          <w:sz w:val="24"/>
          <w:szCs w:val="24"/>
        </w:rPr>
        <w:t>）</w:t>
      </w:r>
      <w:r w:rsidRPr="00D05755">
        <w:rPr>
          <w:rFonts w:ascii="宋体" w:hAnsi="宋体" w:cs="宋体"/>
          <w:kern w:val="0"/>
          <w:sz w:val="24"/>
          <w:szCs w:val="24"/>
        </w:rPr>
        <w:t>中国证监会规定的其他信息。</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六、</w:t>
      </w:r>
      <w:r w:rsidRPr="00D05755">
        <w:rPr>
          <w:rFonts w:ascii="宋体" w:hAnsi="宋体" w:cs="宋体"/>
          <w:kern w:val="0"/>
          <w:sz w:val="24"/>
          <w:szCs w:val="24"/>
        </w:rPr>
        <w:t>暂停或延迟信息披露的情形</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1、基金投资所涉及的证券/期货交易所遇法定节假日或因其他原因暂停营业时；</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因不可抗力或其他情形致使基金管理人、基金托管人无法准确评估基金资产价值时；</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法律法规规定、中国证监会或《基金合同》认定的其他情形。</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七、</w:t>
      </w:r>
      <w:r w:rsidRPr="00D05755">
        <w:rPr>
          <w:rFonts w:ascii="宋体" w:hAnsi="宋体" w:cs="宋体"/>
          <w:kern w:val="0"/>
          <w:sz w:val="24"/>
          <w:szCs w:val="24"/>
        </w:rPr>
        <w:t>信息披露事务管理</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基金管理人、基金托管人应当建立健全信息披露管理制度，指定专门部门及高级管理人员负责管理信息披露事务。</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基金信息披露义务人公开披露基金信息，应当符合中国证监会相关基金信息披露内容与格式准则等法规的规定。</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基金托管人应当按照相关法律法规、中国证监会的规定和《基金合同》的约定，对基金管理人编制的基金资产净值、各类基金份额净值、基金份额申购赎回价格、基金定期报告、更新的招募说明书、更新的基金产品资料概要、基金清算报告等公开披露的相关基金信息进行复核、审查，并向基金管理人进行书面或电</w:t>
      </w:r>
      <w:r w:rsidRPr="00D05755">
        <w:rPr>
          <w:rStyle w:val="custom"/>
          <w:rFonts w:ascii="宋体" w:hAnsi="宋体" w:cs="宋体"/>
          <w:kern w:val="0"/>
          <w:sz w:val="24"/>
          <w:szCs w:val="24"/>
        </w:rPr>
        <w:lastRenderedPageBreak/>
        <w:t>子确认。</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基金管理人、基金托管人除依法在规定媒介上披露信息外，还可以根据需要在其他公共媒介披露信息，但是其他公共媒介不得早于规定媒介披露信息，并且在不同媒介上披露同一信息的内容应当一致。</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基金管理人、基金托管人除按法律法规要求披露信息外，也可着眼于为投资者决策提供有用信息的角度，在保证公平对待投资者、</w:t>
      </w:r>
      <w:proofErr w:type="gramStart"/>
      <w:r w:rsidRPr="00D05755">
        <w:rPr>
          <w:rFonts w:ascii="宋体" w:hAnsi="宋体" w:cs="宋体"/>
          <w:kern w:val="0"/>
          <w:sz w:val="24"/>
          <w:szCs w:val="24"/>
        </w:rPr>
        <w:t>不</w:t>
      </w:r>
      <w:proofErr w:type="gramEnd"/>
      <w:r w:rsidRPr="00D05755">
        <w:rPr>
          <w:rFonts w:ascii="宋体" w:hAnsi="宋体" w:cs="宋体"/>
          <w:kern w:val="0"/>
          <w:sz w:val="24"/>
          <w:szCs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为基金信息披露义务人公开披露的基金信息出具审计报告、法律意见书的专业机构，应当制作工作底稿，并将相关档案至少保存到《基金合同》终止后10年。</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八、</w:t>
      </w:r>
      <w:r w:rsidRPr="00D05755">
        <w:rPr>
          <w:rFonts w:ascii="宋体" w:hAnsi="宋体" w:cs="宋体"/>
          <w:kern w:val="0"/>
          <w:sz w:val="24"/>
          <w:szCs w:val="24"/>
        </w:rPr>
        <w:t>信息披露文件的存放与查阅</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依法必须披露的信息发布后，基金管理人、基金托管人应当按照相关法律法规规定将信息置备于各自住所，供社会公众查阅、复制。</w:t>
      </w:r>
      <w:r w:rsidRPr="00D05755">
        <w:rPr>
          <w:rStyle w:val="custom"/>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102" w:name="_Toc256000018"/>
      <w:r w:rsidRPr="00D05755">
        <w:rPr>
          <w:rFonts w:ascii="Times New Roman"/>
          <w:color w:val="auto"/>
          <w:sz w:val="30"/>
        </w:rPr>
        <w:lastRenderedPageBreak/>
        <w:t>第十九部分</w:t>
      </w:r>
      <w:r w:rsidRPr="00D05755">
        <w:rPr>
          <w:rFonts w:ascii="Times New Roman"/>
          <w:color w:val="auto"/>
          <w:sz w:val="30"/>
        </w:rPr>
        <w:t xml:space="preserve">  </w:t>
      </w:r>
      <w:r w:rsidRPr="00D05755">
        <w:rPr>
          <w:rFonts w:ascii="Times New Roman"/>
          <w:color w:val="auto"/>
          <w:sz w:val="30"/>
        </w:rPr>
        <w:t>基金合同的变更、终止与基金财产的清算</w:t>
      </w:r>
      <w:bookmarkEnd w:id="102"/>
    </w:p>
    <w:p w:rsidR="00E8691A" w:rsidRPr="00D05755" w:rsidRDefault="00E8691A"/>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一、</w:t>
      </w:r>
      <w:r w:rsidRPr="00D05755">
        <w:rPr>
          <w:rFonts w:ascii="宋体" w:hAnsi="宋体" w:cs="宋体"/>
          <w:kern w:val="0"/>
          <w:sz w:val="24"/>
          <w:szCs w:val="24"/>
        </w:rPr>
        <w:t>《基金合同》的变更</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变更基金合同涉及法律法规规定或本基金合同约定应经基金份额持有人大会决议通过的事项的，应召</w:t>
      </w:r>
      <w:proofErr w:type="gramStart"/>
      <w:r w:rsidRPr="00D05755">
        <w:rPr>
          <w:rFonts w:ascii="宋体" w:hAnsi="宋体" w:cs="宋体"/>
          <w:kern w:val="0"/>
          <w:sz w:val="24"/>
          <w:szCs w:val="24"/>
        </w:rPr>
        <w:t>开基金</w:t>
      </w:r>
      <w:proofErr w:type="gramEnd"/>
      <w:r w:rsidRPr="00D05755">
        <w:rPr>
          <w:rFonts w:ascii="宋体" w:hAnsi="宋体" w:cs="宋体"/>
          <w:kern w:val="0"/>
          <w:sz w:val="24"/>
          <w:szCs w:val="24"/>
        </w:rPr>
        <w:t>份额持有人大会决议通过。对于法律法规规定和基金合同约定可不经基金份额持有人大会决议通过的事项，由基金管理人和基金托管人同意后变更并公告。</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关于《基金合同》变更的基金份额持有人大会决议自生效后方可执行，</w:t>
      </w:r>
      <w:proofErr w:type="gramStart"/>
      <w:r w:rsidRPr="00D05755">
        <w:rPr>
          <w:rFonts w:ascii="宋体" w:hAnsi="宋体" w:cs="宋体"/>
          <w:kern w:val="0"/>
          <w:sz w:val="24"/>
          <w:szCs w:val="24"/>
        </w:rPr>
        <w:t>自决议</w:t>
      </w:r>
      <w:proofErr w:type="gramEnd"/>
      <w:r w:rsidRPr="00D05755">
        <w:rPr>
          <w:rFonts w:ascii="宋体" w:hAnsi="宋体" w:cs="宋体"/>
          <w:kern w:val="0"/>
          <w:sz w:val="24"/>
          <w:szCs w:val="24"/>
        </w:rPr>
        <w:t>生效后两日内在规定媒介公告。</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二、</w:t>
      </w:r>
      <w:r w:rsidRPr="00D05755">
        <w:rPr>
          <w:rFonts w:ascii="宋体" w:hAnsi="宋体" w:cs="宋体"/>
          <w:kern w:val="0"/>
          <w:sz w:val="24"/>
          <w:szCs w:val="24"/>
        </w:rPr>
        <w:t>《基金合同》的终止事由</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有下列情形之一的，经履行相关程序后，《基金合同》应当终止：</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基金份额持有人大会决定终止的；</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基金管理人、基金托管人职责终止，在6个月内没有新基金管理人、新基金托管人承接的；</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3、基金合同生效满三年之日（指自然日），</w:t>
      </w:r>
      <w:proofErr w:type="gramStart"/>
      <w:r w:rsidRPr="00D05755">
        <w:rPr>
          <w:rStyle w:val="custom"/>
          <w:rFonts w:ascii="宋体" w:hAnsi="宋体" w:cs="宋体"/>
          <w:kern w:val="0"/>
          <w:sz w:val="24"/>
          <w:szCs w:val="24"/>
        </w:rPr>
        <w:t>若基金</w:t>
      </w:r>
      <w:proofErr w:type="gramEnd"/>
      <w:r w:rsidRPr="00D05755">
        <w:rPr>
          <w:rStyle w:val="custom"/>
          <w:rFonts w:ascii="宋体" w:hAnsi="宋体" w:cs="宋体"/>
          <w:kern w:val="0"/>
          <w:sz w:val="24"/>
          <w:szCs w:val="24"/>
        </w:rPr>
        <w:t>资产净值低于2亿元人民币的；</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《基金合同》约定的其他情形；</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相关法律法规和中国证监会规定的其他情况。</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三、</w:t>
      </w:r>
      <w:r w:rsidRPr="00D05755">
        <w:rPr>
          <w:rFonts w:ascii="宋体" w:hAnsi="宋体" w:cs="宋体"/>
          <w:kern w:val="0"/>
          <w:sz w:val="24"/>
          <w:szCs w:val="24"/>
        </w:rPr>
        <w:t>基金财产的清算</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基金财产清算小组：自出现《基金合同》终止事由之日起30个工作日内成立清算小组，基金管理人组织基金财产清算小组并在中国证监会的监督下进行基金清算。</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2、</w:t>
      </w:r>
      <w:r w:rsidRPr="00D05755">
        <w:rPr>
          <w:rFonts w:ascii="宋体" w:hAnsi="宋体" w:cs="宋体"/>
          <w:kern w:val="0"/>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基金财产清算小组职责：基金财产清算小组负责基金财产的保管、清理、估价、变现和分配。基金财产清算小组可以依法进行必要的民事活动。</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基金财产清算程序：</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（1）</w:t>
      </w:r>
      <w:r w:rsidRPr="00D05755">
        <w:rPr>
          <w:rFonts w:ascii="宋体" w:hAnsi="宋体" w:cs="宋体"/>
          <w:kern w:val="0"/>
          <w:sz w:val="24"/>
          <w:szCs w:val="24"/>
        </w:rPr>
        <w:t>《基金合同》终止情形出现时，由基金财产清算小组统一接管基金；</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lastRenderedPageBreak/>
        <w:t>（2）</w:t>
      </w:r>
      <w:r w:rsidRPr="00D05755">
        <w:rPr>
          <w:rFonts w:ascii="宋体" w:hAnsi="宋体" w:cs="宋体"/>
          <w:kern w:val="0"/>
          <w:sz w:val="24"/>
          <w:szCs w:val="24"/>
        </w:rPr>
        <w:t>对基金财产和债权债务进行清理和确认；</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（3）</w:t>
      </w:r>
      <w:r w:rsidRPr="00D05755">
        <w:rPr>
          <w:rFonts w:ascii="宋体" w:hAnsi="宋体" w:cs="宋体"/>
          <w:kern w:val="0"/>
          <w:sz w:val="24"/>
          <w:szCs w:val="24"/>
        </w:rPr>
        <w:t>对基金财产进行估值和变现；</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（4）</w:t>
      </w:r>
      <w:r w:rsidRPr="00D05755">
        <w:rPr>
          <w:rFonts w:ascii="宋体" w:hAnsi="宋体" w:cs="宋体"/>
          <w:kern w:val="0"/>
          <w:sz w:val="24"/>
          <w:szCs w:val="24"/>
        </w:rPr>
        <w:t>制作清算报告；</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聘请符合《中华人民共和国证券法》规定的会计师事务所对清算报告进行外部审计，聘请律师事务所对清算报告出具法律意见书；</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（6）</w:t>
      </w:r>
      <w:r w:rsidRPr="00D05755">
        <w:rPr>
          <w:rFonts w:ascii="宋体" w:hAnsi="宋体" w:cs="宋体"/>
          <w:kern w:val="0"/>
          <w:sz w:val="24"/>
          <w:szCs w:val="24"/>
        </w:rPr>
        <w:t>将清算报告报中国证监会备案并公告；</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（7）</w:t>
      </w:r>
      <w:r w:rsidRPr="00D05755">
        <w:rPr>
          <w:rFonts w:ascii="宋体" w:hAnsi="宋体" w:cs="宋体"/>
          <w:kern w:val="0"/>
          <w:sz w:val="24"/>
          <w:szCs w:val="24"/>
        </w:rPr>
        <w:t>对基金剩余财产进行分配。</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5、</w:t>
      </w:r>
      <w:r w:rsidRPr="00D05755">
        <w:rPr>
          <w:rFonts w:ascii="宋体" w:hAnsi="宋体" w:cs="宋体"/>
          <w:kern w:val="0"/>
          <w:sz w:val="24"/>
          <w:szCs w:val="24"/>
        </w:rPr>
        <w:t>基金财产清算的期限为6个月，但因本基金所持证券的流动性受到限制而不能及时变现的，清算期限相应顺延。</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四、</w:t>
      </w:r>
      <w:r w:rsidRPr="00D05755">
        <w:rPr>
          <w:rFonts w:ascii="宋体" w:hAnsi="宋体" w:cs="宋体"/>
          <w:kern w:val="0"/>
          <w:sz w:val="24"/>
          <w:szCs w:val="24"/>
        </w:rPr>
        <w:t>清算费用</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五、</w:t>
      </w:r>
      <w:r w:rsidRPr="00D05755">
        <w:rPr>
          <w:rFonts w:ascii="宋体" w:hAnsi="宋体" w:cs="宋体"/>
          <w:kern w:val="0"/>
          <w:sz w:val="24"/>
          <w:szCs w:val="24"/>
        </w:rPr>
        <w:t>基金财产清算剩余资产的分配</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w:t>
      </w:r>
      <w:r w:rsidRPr="00D05755">
        <w:rPr>
          <w:rFonts w:ascii="宋体" w:hAnsi="宋体" w:cs="宋体" w:hint="eastAsia"/>
          <w:kern w:val="0"/>
          <w:sz w:val="24"/>
          <w:szCs w:val="24"/>
        </w:rPr>
        <w:t>，并扣除相应的超额管理费（如有）</w:t>
      </w:r>
      <w:r w:rsidRPr="00D05755">
        <w:rPr>
          <w:rFonts w:ascii="宋体" w:hAnsi="宋体" w:cs="宋体"/>
          <w:kern w:val="0"/>
          <w:sz w:val="24"/>
          <w:szCs w:val="24"/>
        </w:rPr>
        <w:t>。</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其中，对于投资者通过直销机构认购/申购的C类基金份额所计提的销售服务费或者通过其他销售机构认购/申购且持续持有期限超过一年（即365天）以后继续计提的C类基金份额销售服务费，将在基金合同终止时随</w:t>
      </w:r>
      <w:proofErr w:type="gramStart"/>
      <w:r w:rsidRPr="00D05755">
        <w:rPr>
          <w:rFonts w:ascii="宋体" w:hAnsi="宋体" w:cs="宋体"/>
          <w:kern w:val="0"/>
          <w:sz w:val="24"/>
          <w:szCs w:val="24"/>
        </w:rPr>
        <w:t>清算款</w:t>
      </w:r>
      <w:proofErr w:type="gramEnd"/>
      <w:r w:rsidRPr="00D05755">
        <w:rPr>
          <w:rFonts w:ascii="宋体" w:hAnsi="宋体" w:cs="宋体"/>
          <w:kern w:val="0"/>
          <w:sz w:val="24"/>
          <w:szCs w:val="24"/>
        </w:rPr>
        <w:t>一并返还给投资者。</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六、</w:t>
      </w:r>
      <w:r w:rsidRPr="00D05755">
        <w:rPr>
          <w:rFonts w:ascii="宋体" w:hAnsi="宋体" w:cs="宋体"/>
          <w:kern w:val="0"/>
          <w:sz w:val="24"/>
          <w:szCs w:val="24"/>
        </w:rPr>
        <w:t>基金财产清算的公告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清算过程中的有关重大事项须及时公告；基金财产清算报告</w:t>
      </w:r>
      <w:proofErr w:type="gramStart"/>
      <w:r w:rsidRPr="00D05755">
        <w:rPr>
          <w:rFonts w:ascii="宋体" w:hAnsi="宋体" w:cs="宋体"/>
          <w:kern w:val="0"/>
          <w:sz w:val="24"/>
          <w:szCs w:val="24"/>
        </w:rPr>
        <w:t>经符合</w:t>
      </w:r>
      <w:proofErr w:type="gramEnd"/>
      <w:r w:rsidRPr="00D05755">
        <w:rPr>
          <w:rFonts w:ascii="宋体" w:hAnsi="宋体" w:cs="宋体"/>
          <w:kern w:val="0"/>
          <w:sz w:val="24"/>
          <w:szCs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E8691A" w:rsidRPr="00D05755" w:rsidRDefault="006E24B4">
      <w:pPr>
        <w:pStyle w:val="div"/>
        <w:spacing w:line="360" w:lineRule="auto"/>
        <w:ind w:firstLine="420"/>
        <w:rPr>
          <w:rFonts w:eastAsia="Times New Roman"/>
          <w:kern w:val="0"/>
          <w:sz w:val="24"/>
          <w:szCs w:val="24"/>
        </w:rPr>
      </w:pPr>
      <w:r w:rsidRPr="00D05755">
        <w:rPr>
          <w:rStyle w:val="custom"/>
          <w:rFonts w:ascii="宋体" w:hAnsi="宋体" w:cs="宋体"/>
          <w:kern w:val="0"/>
          <w:sz w:val="24"/>
          <w:szCs w:val="24"/>
        </w:rPr>
        <w:t>七、</w:t>
      </w:r>
      <w:r w:rsidRPr="00D05755">
        <w:rPr>
          <w:rFonts w:ascii="宋体" w:hAnsi="宋体" w:cs="宋体"/>
          <w:kern w:val="0"/>
          <w:sz w:val="24"/>
          <w:szCs w:val="24"/>
        </w:rPr>
        <w:t>基金财产清算账册及文件的保存</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基金财产清算账册及有关文件由基金托管人保存，保存期限不少于法定最低期限。</w:t>
      </w:r>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103" w:name="_Toc256000019"/>
      <w:r w:rsidRPr="00D05755">
        <w:rPr>
          <w:rFonts w:ascii="Times New Roman"/>
          <w:color w:val="auto"/>
          <w:sz w:val="30"/>
        </w:rPr>
        <w:lastRenderedPageBreak/>
        <w:t>第二十部分</w:t>
      </w:r>
      <w:r w:rsidRPr="00D05755">
        <w:rPr>
          <w:rFonts w:ascii="Times New Roman"/>
          <w:color w:val="auto"/>
          <w:sz w:val="30"/>
        </w:rPr>
        <w:t xml:space="preserve">  </w:t>
      </w:r>
      <w:r w:rsidRPr="00D05755">
        <w:rPr>
          <w:rFonts w:ascii="Times New Roman"/>
          <w:color w:val="auto"/>
          <w:sz w:val="30"/>
        </w:rPr>
        <w:t>违约责任</w:t>
      </w:r>
      <w:bookmarkEnd w:id="103"/>
    </w:p>
    <w:p w:rsidR="00E8691A" w:rsidRPr="00D05755" w:rsidRDefault="00E8691A"/>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1、不可抗力；</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2、基金管理人和/或基金托管人按照当时有效的法律法规或中国证监会的规定作为或不作为而造成的损失等；</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3、基金管理人由于按照《基金合同》规定的投资原则行使或不行使其投资权而造成的损失等。</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104" w:name="_Toc256000020"/>
      <w:r w:rsidRPr="00D05755">
        <w:rPr>
          <w:rFonts w:ascii="Times New Roman"/>
          <w:color w:val="auto"/>
          <w:sz w:val="30"/>
        </w:rPr>
        <w:lastRenderedPageBreak/>
        <w:t>第二十一部分</w:t>
      </w:r>
      <w:r w:rsidRPr="00D05755">
        <w:rPr>
          <w:rFonts w:ascii="Times New Roman"/>
          <w:color w:val="auto"/>
          <w:sz w:val="30"/>
        </w:rPr>
        <w:t xml:space="preserve">  </w:t>
      </w:r>
      <w:r w:rsidRPr="00D05755">
        <w:rPr>
          <w:rFonts w:ascii="Times New Roman"/>
          <w:color w:val="auto"/>
          <w:sz w:val="30"/>
        </w:rPr>
        <w:t>争议的处理和适用的法律</w:t>
      </w:r>
      <w:bookmarkEnd w:id="104"/>
    </w:p>
    <w:p w:rsidR="00E8691A" w:rsidRPr="00D05755" w:rsidRDefault="00E8691A"/>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w:t>
      </w:r>
      <w:r w:rsidRPr="00D05755">
        <w:rPr>
          <w:rFonts w:ascii="宋体" w:hAnsi="宋体" w:cs="宋体" w:hint="eastAsia"/>
          <w:kern w:val="0"/>
          <w:sz w:val="24"/>
          <w:szCs w:val="24"/>
        </w:rPr>
        <w:t>中国国际经济贸易仲裁委员会</w:t>
      </w:r>
      <w:r w:rsidRPr="00D05755">
        <w:rPr>
          <w:rFonts w:ascii="宋体" w:hAnsi="宋体" w:cs="宋体"/>
          <w:kern w:val="0"/>
          <w:sz w:val="24"/>
          <w:szCs w:val="24"/>
        </w:rPr>
        <w:t>，按照其届时有效的仲裁规则进行仲裁，仲裁地点为</w:t>
      </w:r>
      <w:r w:rsidRPr="00D05755">
        <w:rPr>
          <w:rFonts w:ascii="宋体" w:hAnsi="宋体" w:cs="宋体" w:hint="eastAsia"/>
          <w:kern w:val="0"/>
          <w:sz w:val="24"/>
          <w:szCs w:val="24"/>
        </w:rPr>
        <w:t>北京</w:t>
      </w:r>
      <w:r w:rsidRPr="00D05755">
        <w:rPr>
          <w:rFonts w:ascii="宋体" w:hAnsi="宋体" w:cs="宋体"/>
          <w:kern w:val="0"/>
          <w:sz w:val="24"/>
          <w:szCs w:val="24"/>
        </w:rPr>
        <w:t>市。仲裁裁决是终局的，对各方当事人均有约束力，除非仲裁裁决另有决定，仲裁费由败诉方承担。</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争议处理期间，基金合同当事人应恪守各自的职责，继续忠实、勤勉、尽责地履行基金合同规定的义务，维护基金份额持有人的合法权益。</w:t>
      </w:r>
    </w:p>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《基金合同》受中国法律（为本基金合同之目的，在此不包括香港、澳门特别行政区和台湾地区法律）管辖并从其解释。</w:t>
      </w:r>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105" w:name="_Toc256000021"/>
      <w:r w:rsidRPr="00D05755">
        <w:rPr>
          <w:rFonts w:ascii="Times New Roman"/>
          <w:color w:val="auto"/>
          <w:sz w:val="30"/>
        </w:rPr>
        <w:lastRenderedPageBreak/>
        <w:t>第二十二部分</w:t>
      </w:r>
      <w:r w:rsidRPr="00D05755">
        <w:rPr>
          <w:rFonts w:ascii="Times New Roman"/>
          <w:color w:val="auto"/>
          <w:sz w:val="30"/>
        </w:rPr>
        <w:t xml:space="preserve">  </w:t>
      </w:r>
      <w:r w:rsidRPr="00D05755">
        <w:rPr>
          <w:rFonts w:ascii="Times New Roman"/>
          <w:color w:val="auto"/>
          <w:sz w:val="30"/>
        </w:rPr>
        <w:t>基金合同的效力</w:t>
      </w:r>
      <w:bookmarkEnd w:id="105"/>
    </w:p>
    <w:p w:rsidR="00E8691A" w:rsidRPr="00D05755" w:rsidRDefault="00E8691A"/>
    <w:p w:rsidR="00E8691A" w:rsidRPr="00D05755" w:rsidRDefault="006E24B4">
      <w:pPr>
        <w:pStyle w:val="div"/>
        <w:spacing w:line="360" w:lineRule="auto"/>
        <w:ind w:firstLine="420"/>
        <w:rPr>
          <w:rFonts w:eastAsia="Times New Roman"/>
          <w:kern w:val="0"/>
          <w:sz w:val="24"/>
          <w:szCs w:val="24"/>
        </w:rPr>
      </w:pPr>
      <w:r w:rsidRPr="00D05755">
        <w:rPr>
          <w:rFonts w:ascii="宋体" w:hAnsi="宋体" w:cs="宋体"/>
          <w:kern w:val="0"/>
          <w:sz w:val="24"/>
          <w:szCs w:val="24"/>
        </w:rPr>
        <w:t>《基金合同》是约定基金合同当事人之间权利义务关系的法律文件。</w:t>
      </w:r>
    </w:p>
    <w:p w:rsidR="00E8691A" w:rsidRPr="00D05755" w:rsidRDefault="006E24B4">
      <w:pPr>
        <w:pStyle w:val="div"/>
        <w:spacing w:line="360" w:lineRule="auto"/>
        <w:ind w:firstLine="420"/>
        <w:jc w:val="left"/>
        <w:rPr>
          <w:rFonts w:eastAsia="Times New Roman"/>
          <w:kern w:val="0"/>
          <w:sz w:val="24"/>
          <w:szCs w:val="24"/>
        </w:rPr>
      </w:pPr>
      <w:r w:rsidRPr="00D05755">
        <w:rPr>
          <w:rStyle w:val="custom"/>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2、《基金合同》的有效期自其生效之日起至基金财产清算结果报中国证监会备案并公告之日止。</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3、《基金合同》自生效之日起对包括基金管理人、基金托管人和基金份额持有人在内的《基金合同》各方当事人具有同等的法律约束力。</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4、《基金合同》正本一式叁份，除上报有关监管机构一式壹份外，基金管理人、基金托管人各持有壹份，每份具有同等的法律效力。</w:t>
      </w:r>
    </w:p>
    <w:p w:rsidR="00E8691A" w:rsidRPr="00D05755" w:rsidRDefault="006E24B4">
      <w:pPr>
        <w:pStyle w:val="div"/>
        <w:spacing w:line="360" w:lineRule="auto"/>
        <w:ind w:firstLine="420"/>
        <w:jc w:val="left"/>
        <w:rPr>
          <w:rFonts w:eastAsia="Times New Roman"/>
          <w:kern w:val="0"/>
          <w:sz w:val="24"/>
          <w:szCs w:val="24"/>
        </w:rPr>
      </w:pPr>
      <w:r w:rsidRPr="00D05755">
        <w:rPr>
          <w:rFonts w:ascii="宋体" w:hAnsi="宋体" w:cs="宋体"/>
          <w:kern w:val="0"/>
          <w:sz w:val="24"/>
          <w:szCs w:val="24"/>
        </w:rPr>
        <w:t>5、《基金合同》可印制成册，供投资者在基金管理人、基金托管人、销售机构的办公场所和营业场所查阅。</w:t>
      </w:r>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106" w:name="_Toc256000022"/>
      <w:r w:rsidRPr="00D05755">
        <w:rPr>
          <w:rFonts w:ascii="Times New Roman"/>
          <w:color w:val="auto"/>
          <w:sz w:val="30"/>
        </w:rPr>
        <w:lastRenderedPageBreak/>
        <w:t>第二十三部分</w:t>
      </w:r>
      <w:r w:rsidRPr="00D05755">
        <w:rPr>
          <w:rFonts w:ascii="Times New Roman"/>
          <w:color w:val="auto"/>
          <w:sz w:val="30"/>
        </w:rPr>
        <w:t xml:space="preserve">  </w:t>
      </w:r>
      <w:r w:rsidRPr="00D05755">
        <w:rPr>
          <w:rFonts w:ascii="Times New Roman"/>
          <w:color w:val="auto"/>
          <w:sz w:val="30"/>
        </w:rPr>
        <w:t>其他事项</w:t>
      </w:r>
      <w:bookmarkEnd w:id="106"/>
    </w:p>
    <w:p w:rsidR="00E8691A" w:rsidRPr="00D05755" w:rsidRDefault="00E8691A"/>
    <w:p w:rsidR="00E8691A" w:rsidRPr="00D05755" w:rsidRDefault="006E24B4">
      <w:pPr>
        <w:pStyle w:val="div"/>
        <w:spacing w:line="360" w:lineRule="auto"/>
        <w:ind w:firstLine="420"/>
        <w:rPr>
          <w:rFonts w:eastAsia="Times New Roman"/>
          <w:kern w:val="0"/>
          <w:sz w:val="24"/>
          <w:szCs w:val="24"/>
        </w:rPr>
      </w:pPr>
      <w:bookmarkStart w:id="107" w:name="OLE_LINK30"/>
      <w:bookmarkStart w:id="108" w:name="OLE_LINK31"/>
      <w:r w:rsidRPr="00D05755">
        <w:rPr>
          <w:rFonts w:ascii="宋体" w:hAnsi="宋体" w:cs="宋体"/>
          <w:kern w:val="0"/>
          <w:sz w:val="24"/>
          <w:szCs w:val="24"/>
        </w:rPr>
        <w:t>《基金合同》如有未尽事宜，由《基金合同》当事人各方按有关法律法规协商解决。</w:t>
      </w:r>
      <w:bookmarkEnd w:id="107"/>
      <w:bookmarkEnd w:id="108"/>
      <w:r w:rsidRPr="00D05755">
        <w:rPr>
          <w:rFonts w:ascii="宋体" w:hAnsi="宋体" w:cs="宋体"/>
          <w:kern w:val="0"/>
          <w:sz w:val="24"/>
          <w:szCs w:val="24"/>
        </w:rPr>
        <w:br w:type="page"/>
      </w:r>
    </w:p>
    <w:p w:rsidR="00E8691A" w:rsidRPr="00D05755" w:rsidRDefault="006E24B4">
      <w:pPr>
        <w:pStyle w:val="1"/>
        <w:spacing w:before="0" w:after="0"/>
        <w:jc w:val="center"/>
        <w:rPr>
          <w:rFonts w:ascii="Times New Roman"/>
          <w:color w:val="auto"/>
          <w:sz w:val="30"/>
        </w:rPr>
      </w:pPr>
      <w:bookmarkStart w:id="109" w:name="_Toc256000023"/>
      <w:r w:rsidRPr="00D05755">
        <w:rPr>
          <w:rFonts w:ascii="Times New Roman"/>
          <w:color w:val="auto"/>
          <w:sz w:val="30"/>
        </w:rPr>
        <w:lastRenderedPageBreak/>
        <w:t>第二十四部分</w:t>
      </w:r>
      <w:r w:rsidRPr="00D05755">
        <w:rPr>
          <w:rFonts w:ascii="Times New Roman"/>
          <w:color w:val="auto"/>
          <w:sz w:val="30"/>
        </w:rPr>
        <w:t xml:space="preserve">  </w:t>
      </w:r>
      <w:r w:rsidRPr="00D05755">
        <w:rPr>
          <w:rFonts w:ascii="Times New Roman"/>
          <w:color w:val="auto"/>
          <w:sz w:val="30"/>
        </w:rPr>
        <w:t>基金合同内容摘要</w:t>
      </w:r>
      <w:bookmarkEnd w:id="109"/>
      <w:r w:rsidRPr="00D05755">
        <w:rPr>
          <w:rFonts w:ascii="Times New Roman"/>
          <w:color w:val="auto"/>
          <w:sz w:val="30"/>
        </w:rPr>
        <w:br/>
      </w:r>
    </w:p>
    <w:p w:rsidR="00E8691A" w:rsidRPr="00D05755" w:rsidRDefault="006E24B4">
      <w:pPr>
        <w:pStyle w:val="2"/>
        <w:keepNext w:val="0"/>
        <w:keepLines w:val="0"/>
        <w:spacing w:before="0" w:after="0" w:line="240" w:lineRule="auto"/>
        <w:ind w:firstLine="480"/>
        <w:rPr>
          <w:rFonts w:ascii="Times New Roman" w:eastAsia="Times New Roman" w:hAnsi="Times New Roman"/>
          <w:bCs/>
          <w:kern w:val="0"/>
          <w:sz w:val="24"/>
          <w:szCs w:val="24"/>
        </w:rPr>
      </w:pPr>
      <w:r w:rsidRPr="00D05755">
        <w:rPr>
          <w:rFonts w:ascii="宋体" w:eastAsia="宋体" w:hAnsi="宋体" w:cs="宋体"/>
          <w:bCs/>
          <w:kern w:val="0"/>
          <w:sz w:val="24"/>
          <w:szCs w:val="24"/>
        </w:rPr>
        <w:t>一、基金合同当事人及权利义务</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（一）基金管理人的权利与义务</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1、根据《基金法》、《运作办法》及其他有关规定，基金管理人的权利包括但不限于：</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（1）依法募集资金；</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（2）自《基金合同》生效之日起，根据法律法规和《基金合同》独立运用并管理基金财产；</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（3）依照《基金合同》收取基金管理费（包括固定管理费、或有管理费和超额管理费）以及法律法规规定或中国证监会批准的其他费用；</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（4）销售基金份额；</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（5）按照规定召集基金份额持有人大会；</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（6）依据《基金合同》及有关法律规定监督基金托管人，如认为基金托管人违反了《基金合同》及国家有关法律规定，应呈报中国证监会和其他监管部门，并采取必要措施保护基金投资者的利益；</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（7）在基金托管人更换时，提名新的基金托管人；</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（8）选择、更换基金销售机构，对基金销售机构的相关行为进行监督和处理；</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（9）担任或委托其他符合条件的机构担任基金登记机构办理基金登记业务并获得《基金合同》规定的费用；</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（10）依据《基金合同》及有关法律规定决定基金收益的分配方案；</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（11）在《基金合同》约定的范围内，拒绝或暂停受理申购与赎回申请；</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（12）依照法律法规为基金的利益对被投资公司行使股东权利，为基金的利益行使因基金财产投资于证券所产生的权利；</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（13）在法律法规允许的前提下，为基金的利益依法为基金进行融资；</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（14）以基金管理人的名义，代表基金份额持有人的利益行使诉讼权利或者实施其他法律行为；</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（15）选择、更换律师事务所、会计师事务所、证券经纪商、期货经纪机构</w:t>
      </w:r>
      <w:r w:rsidRPr="00D05755">
        <w:rPr>
          <w:rFonts w:ascii="宋体" w:hAnsi="宋体" w:cs="宋体"/>
          <w:kern w:val="0"/>
          <w:sz w:val="24"/>
          <w:szCs w:val="24"/>
        </w:rPr>
        <w:lastRenderedPageBreak/>
        <w:t>或其他为基金提供服务的外部机构；</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（16）在符合有关法律、法规的前提下，制订和调整有关基金认购、申购、赎回、转换、定期定额投资、转托管和</w:t>
      </w:r>
      <w:proofErr w:type="gramStart"/>
      <w:r w:rsidRPr="00D05755">
        <w:rPr>
          <w:rFonts w:ascii="宋体" w:hAnsi="宋体" w:cs="宋体"/>
          <w:kern w:val="0"/>
          <w:sz w:val="24"/>
          <w:szCs w:val="24"/>
        </w:rPr>
        <w:t>非交易</w:t>
      </w:r>
      <w:proofErr w:type="gramEnd"/>
      <w:r w:rsidRPr="00D05755">
        <w:rPr>
          <w:rFonts w:ascii="宋体" w:hAnsi="宋体" w:cs="宋体"/>
          <w:kern w:val="0"/>
          <w:sz w:val="24"/>
          <w:szCs w:val="24"/>
        </w:rPr>
        <w:t>过户等业务规则；</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（17）在法律法规和基金合同规定的范围内决定调整基金费率结构和收费方式；</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（18）法律法规及中国证监会规定的和《基金合同》约定的其他权利。</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2、根据《基金法》、《运作办法》及其他有关规定，基金管理人的义务包括但不限于：</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（1）依法募集资金，办理或者委托经中国证监会认定的其他机构代为办理基金份额的发售、申购、赎回和登记事宜；</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（2）办理基金备案手续；</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（3）自《基金合同》生效之日起，以诚实信用、谨慎勤勉的原则管理和运用基金财产；</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（4）配备足够的具有专业资格的人员进行基金投资分析、决策，以专业化的经营方式管理和运作基金财产；</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（5）建立健全内部风险控制、监察与稽核、财务管理及人事管理等制度，保证所管理的基金财产和基金管理人的财产相互独立，对所管理的不同基金分别管理，分别记账，进行证券投资；</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（6）除依据《基金法》、《基金合同》及其他有关规定外，不得利用基金财产为自己及任何第三人谋取利益，不得委托第三人运作基金财产；</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（7）依法接受基金托管人的监督；</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（8）采取适当合理的措施使计算基金份额认购、申购、赎回和注销价格的方法符合《基金合同》等法律文件的规定，按有关规定计算并公告基金净值信息，确定基金份额申购、赎回的价格；</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（9）进行基金会计核算并编制基金财务会计报告；</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（10）编制季度报告、中期报告和年度报告；</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（11）严格按照《基金法》、《基金合同》及其他有关规定，履行信息披露及报告义务；</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（12）保守基金商业秘密，不泄露基金投资计划、投资意向等。除《基金</w:t>
      </w:r>
      <w:r w:rsidRPr="00D05755">
        <w:rPr>
          <w:rFonts w:ascii="宋体" w:hAnsi="宋体" w:cs="宋体"/>
          <w:kern w:val="0"/>
          <w:sz w:val="24"/>
          <w:szCs w:val="24"/>
        </w:rPr>
        <w:lastRenderedPageBreak/>
        <w:t>法》、《基金合同》及其他有关规定另有规定外，在基金信息公开披露前应予保密，不向他人泄露，但应监管机构、司法机关等有权机关的要求，或因审计、法律等外部专业顾问提供服务需要提供的情况除外；</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（13）按《基金合同》的约定确定基金收益分配方案，及时向基金份额持有人分配基金收益；</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（14）按规定受理申购与赎回申请，及时、足额支付赎回款项；</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（15）依据《基金法》、《基金合同》及其他有关规定召集基金份额持有人大会或配合基金托管人、基金份额持有人依法召集基金份额持有人大会；</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（16）按规定保存基金财产管理业务活动的会计账册、报表、记录和其他相关资料不少于法定最低期限；</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（18）组织并参加基金财产清算小组，参与基金财产的保管、清理、估价、变现和分配；</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（19）面临解散、依法被撤销或者被依法宣告破产时，及时报告中国证监会并通知基金托管人；</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（20）因违反《基金合同》导致基金财产的损失或损害基金份额持有人合法权益时，应当承担赔偿责任，其赔偿责任不因其退任而免除；</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（21）监督基金托管人按法律法规和《基金合同》规定履行自己的义务，基金托管人违反《基金合同》造成基金财产损失时，基金管理人应为基金份额持有人利益向基金托管人追偿；</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（22）当基金管理人将其义务委托第三方处理时，应当对第三方处理有关基金事务的行为承担责任；</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（23）以基金管理人名义，代表基金份额持有人利益行使诉讼权利或实施其他法律行为；</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（24）基金管理人在募集期间未能达到基金的备案条件，《基金合同》不能生效，基金管理人承担全部募集费用，将已募集资金并加计银行同期活期存款利息在基金募集期结束后30日内退还基金认购人；</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lastRenderedPageBreak/>
        <w:t>（25）执行生效的基金份额持有人大会的决议；</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（26）建立并保存基金份额持有人名册；</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（27）法律法规及中国证监会规定的和《基金合同》约定的其他义务。</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（二）基金托管人的权利与义务</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1、根据《基金法》、《运作办法》及其他有关规定，基金托管人的权利包括但不限于：</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（1）自《基金合同》生效之日起，依法</w:t>
      </w:r>
      <w:proofErr w:type="gramStart"/>
      <w:r w:rsidRPr="00D05755">
        <w:rPr>
          <w:rFonts w:ascii="宋体" w:hAnsi="宋体" w:cs="宋体"/>
          <w:kern w:val="0"/>
          <w:sz w:val="24"/>
          <w:szCs w:val="24"/>
        </w:rPr>
        <w:t>律法规</w:t>
      </w:r>
      <w:proofErr w:type="gramEnd"/>
      <w:r w:rsidRPr="00D05755">
        <w:rPr>
          <w:rFonts w:ascii="宋体" w:hAnsi="宋体" w:cs="宋体"/>
          <w:kern w:val="0"/>
          <w:sz w:val="24"/>
          <w:szCs w:val="24"/>
        </w:rPr>
        <w:t>和《基金合同》的规定安全保管基金财产；</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（2）依《基金合同》约定获得基金托管费以及法律法规规定或监管部门批准的其他费用；</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（4）根据相关市场规则，为基金开设资金账户和证券账户等投资所需账户，为基金办理证券、期货交易资金清算；</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（5）提议召开或召集基金份额持有人大会；</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（6）在基金管理人更换时，提名新的基金管理人；</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（7）法律法规及中国证监会规定的和《基金合同》约定的其他权利。</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2、根据《基金法》、《运作办法》及其他有关规定，基金托管人的义务包括但不限于：</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（1）以诚实信用、勤勉尽责的原则持有并安全保管基金财产；</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（2）设立专门的基金托管部门，具有符合要求的营业场所，配备足够的、合格的熟悉基金托管业务的专职人员，负责基金财产托管事宜；</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（4）除依据《基金法》、《基金合同》及其他有关规定外，不得利用基金财产为自己及任何第三人谋取利益，不得委托第三人托管基金财产；</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lastRenderedPageBreak/>
        <w:t>（5）保管由基金管理人代表基金签订的与基金有关的重大合同及有关凭证；</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（6）按规定开设基金财产的资金账户和证券账户等投资所需账户，按照《基金合同》的约定，根据基金管理人的投资指令，及时办理清算、交割事宜；</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（8）复核、审查基金管理人计算的基金资产净值、各类基金份额净值、基金份额申购、赎回价格；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（9）办理与基金托管业务活动有关的信息披露事项；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（11）保存基金托管业务活动的记录、账册、报表和其他相关资料不少于法定最低期限；</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（12）建立并保存基金份额持有人名册；</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（13）按规定制作相关账册并与基金管理人核对；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（14）依据基金管理人的指令或有关规定向基金份额持有人支付基金收益和赎回款项；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（15）依据《基金法》、《基金合同》及其他有关规定，召集基金份额持有人大会或配合基金管理人、基金份额持有人依法召集基金份额持有人大会；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（16）按照法律法规和《基金合同》的规定监督基金管理人的投资运作；</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（17）参加基金财产清算小组，参与基金财产的保管、清理、估价、变现和分配；</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（18）面临解散、依法被撤销或者被依法宣告破产时，及时报告中国证监会和银行业监督管理机构，并通知基金管理人；</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（19）因违反《基金合同》导致基金财产损失时，应承担赔偿责任，其赔偿责任不因其退任而免除；</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lastRenderedPageBreak/>
        <w:t>（20）按规定监督基金管理人按法律法规和《基金合同》规定履行自己的义务，基金管理人因违反《基金合同》造成基金财产损失时，应为基金份额持有人利益向基金管理人追偿；</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（21）执行生效的基金份额持有人大会的决议；</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（22）法律法规及中国证监会规定的和《基金合同》约定的其他义务。</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（三）基金份额持有人的权利和义务</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基金投资者持有本</w:t>
      </w:r>
      <w:proofErr w:type="gramStart"/>
      <w:r w:rsidRPr="00D05755">
        <w:rPr>
          <w:rFonts w:ascii="宋体" w:hAnsi="宋体" w:cs="宋体"/>
          <w:kern w:val="0"/>
          <w:sz w:val="24"/>
          <w:szCs w:val="24"/>
        </w:rPr>
        <w:t>基金基金</w:t>
      </w:r>
      <w:proofErr w:type="gramEnd"/>
      <w:r w:rsidRPr="00D05755">
        <w:rPr>
          <w:rFonts w:ascii="宋体" w:hAnsi="宋体" w:cs="宋体"/>
          <w:kern w:val="0"/>
          <w:sz w:val="24"/>
          <w:szCs w:val="24"/>
        </w:rPr>
        <w:t>份额的行为即视为对《基金合同》的承认和接受，基金投资者</w:t>
      </w:r>
      <w:proofErr w:type="gramStart"/>
      <w:r w:rsidRPr="00D05755">
        <w:rPr>
          <w:rFonts w:ascii="宋体" w:hAnsi="宋体" w:cs="宋体"/>
          <w:kern w:val="0"/>
          <w:sz w:val="24"/>
          <w:szCs w:val="24"/>
        </w:rPr>
        <w:t>自依据</w:t>
      </w:r>
      <w:proofErr w:type="gramEnd"/>
      <w:r w:rsidRPr="00D05755">
        <w:rPr>
          <w:rFonts w:ascii="宋体" w:hAnsi="宋体" w:cs="宋体"/>
          <w:kern w:val="0"/>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同一类别内每份基金份额具有同等的合法权益。</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1、根据《基金法》、《运作办法》及其他有关规定，基金份额持有人的权利包括但不限于：</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（1）分享基金财产收益；</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（2）参与分配清算后的剩余基金财产；</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（3）依法转让或者申请赎回其持有的基金份额；</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（4）按照规定要求召开基金份额持有人大会或者召集基金份额持有人大会；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（5）出席或者委派代表出席基金份额持有人大会，对基金份额持有人大会审议事项行使表决权；</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（6）查阅或者复制公开披露的基金信息资料；</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（7）监督基金管理人的投资运作；</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（8）对基金管理人、基金托管人、基金服务机构损害其合法权益的行为依法提起诉讼或仲裁；</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（9）法律法规及中国证监会规定的和《基金合同》约定的其他权利。</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2、根据《基金法》、《运作办法》及其他有关规定，基金份额持有人的义务包括但不限于：</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（1）认真阅读并遵守《基金合同》、《招募说明书》等信息披露文件；</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（2）了解所投资基金产品，了解自身风险承受能力，自主判断基金的投资价值，自主做出投资决策，自行承担投资风险；</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lastRenderedPageBreak/>
        <w:t>（3）关注基金信息披露，及时行使权利和履行义务；</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（4）交纳基金认购、申购款项及法律法规和《基金合同》所规定的费用；</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（5）在其持有的基金份额范围内，承担基金亏损或者《基金合同》终止的有限责任；</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（6）不从事任何有损基金及其他《基金合同》当事人合法权益的活动；</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（7）执行生效的基金份额持有人大会的决议；</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（8）返还在基金交易过程中因任何原因获得的不当得利；</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（9）发起资金提供方持有认购的基金份额不少于3年（基金合同生效不满3年提前终止的情况除外）；</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（10）提供基金管理人和监管机构依法要求提供的信息，以及不时的更新和补充，并保证其真实性；</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（11）遵守基金管理人、基金托管人、销售机构和登记机构的相关交易及业务规则；</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（12）法律法规及中国证监会规定的和《基金合同》约定的其他义务。</w:t>
      </w:r>
    </w:p>
    <w:p w:rsidR="00E8691A" w:rsidRPr="00D05755" w:rsidRDefault="006E24B4">
      <w:pPr>
        <w:pStyle w:val="2"/>
        <w:keepNext w:val="0"/>
        <w:keepLines w:val="0"/>
        <w:spacing w:before="0" w:after="0" w:line="240" w:lineRule="auto"/>
        <w:ind w:firstLine="480"/>
        <w:rPr>
          <w:rFonts w:ascii="Times New Roman" w:eastAsia="Times New Roman" w:hAnsi="Times New Roman"/>
          <w:bCs/>
          <w:kern w:val="0"/>
          <w:sz w:val="24"/>
          <w:szCs w:val="24"/>
        </w:rPr>
      </w:pPr>
      <w:r w:rsidRPr="00D05755">
        <w:rPr>
          <w:rFonts w:ascii="宋体" w:eastAsia="宋体" w:hAnsi="宋体" w:cs="宋体"/>
          <w:bCs/>
          <w:kern w:val="0"/>
          <w:sz w:val="24"/>
          <w:szCs w:val="24"/>
        </w:rPr>
        <w:t>二、基金份额持有人大会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本基金份额持有人大会不设日常机构。</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（一）召开事由</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1、当出现或需要决定下列事由之一的，应当召开基金份额持有人大会，法律法规、中国证监会另有规定的除外：</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（1）终止《基金合同》，《基金合同》另有约定的除外；</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（2）更换基金管理人；</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（3）更换基金托管人；</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（4）转换基金运作方式；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（5）调整基金管理人、基金托管人的报酬标准或提高销售服务费率；</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（6）变更基金类别；</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（7）本基金与其他基金的合并；</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（8）变更基金投资目标、范围或策略；</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lastRenderedPageBreak/>
        <w:t>（9）变更基金份额持有人大会程序；</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（10）基金管理人或基金托管人要求召开基金份额持有人大会；</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（11）单独或合计持有本基金总份额10%以上（含10%）基金份额的基金份额持有人（以基金管理人收到提议当日的基金份额计算，下同）就同一事项书面要求召开基金份额持有人大会；</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（12）对基金合同当事人权利和义务产生重大影响的其他事项；</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（13）法律法规、《基金合同》或中国证监会规定的其他应当召开基金份额持有人大会的事项。</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2、在法律法规规定和《基金合同》约定的范围内且对基金份额持有人利益无实质性不利影响的前提下，以下情况可由基金管理人和基金托管人协商后修改，不需召开基金份额持有人大会：</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（1）法律法规要求增加的基金费用的收取；</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（2）调整本基金的申购费率、调低销售服务费率或变更收费方式；</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（3）增加、减少或调整基金份额类别设置或者调整基金份额分类办法及规则等；</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w:t>
      </w:r>
      <w:proofErr w:type="gramStart"/>
      <w:r w:rsidRPr="00D05755">
        <w:rPr>
          <w:rFonts w:ascii="宋体" w:hAnsi="宋体" w:cs="宋体"/>
          <w:kern w:val="0"/>
          <w:sz w:val="24"/>
          <w:szCs w:val="24"/>
        </w:rPr>
        <w:t>因相应</w:t>
      </w:r>
      <w:proofErr w:type="gramEnd"/>
      <w:r w:rsidRPr="00D05755">
        <w:rPr>
          <w:rFonts w:ascii="宋体" w:hAnsi="宋体" w:cs="宋体"/>
          <w:kern w:val="0"/>
          <w:sz w:val="24"/>
          <w:szCs w:val="24"/>
        </w:rPr>
        <w:t>的法律法规发生变动而应当对《基金合同》进行修改；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（5）基金管理人和基金登记机构等调整或修改《业务规则》，包括但不限于有关基金认购、申购、赎回、转换、</w:t>
      </w:r>
      <w:proofErr w:type="gramStart"/>
      <w:r w:rsidRPr="00D05755">
        <w:rPr>
          <w:rFonts w:ascii="宋体" w:hAnsi="宋体" w:cs="宋体"/>
          <w:kern w:val="0"/>
          <w:sz w:val="24"/>
          <w:szCs w:val="24"/>
        </w:rPr>
        <w:t>非交易</w:t>
      </w:r>
      <w:proofErr w:type="gramEnd"/>
      <w:r w:rsidRPr="00D05755">
        <w:rPr>
          <w:rFonts w:ascii="宋体" w:hAnsi="宋体" w:cs="宋体"/>
          <w:kern w:val="0"/>
          <w:sz w:val="24"/>
          <w:szCs w:val="24"/>
        </w:rPr>
        <w:t>过户、转托管等内容；</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（6）对《基金合同》的修改对基金份额持有人利益无实质性不利影响或修改不涉及《基金合同》当事人权利义务关系发生重大变化；</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（7）在履行适当程序后，基金推出新业务或服务；</w:t>
      </w:r>
    </w:p>
    <w:p w:rsidR="00E8691A" w:rsidRPr="00D05755" w:rsidRDefault="006E24B4" w:rsidP="00F85CCF">
      <w:pPr>
        <w:spacing w:line="360" w:lineRule="auto"/>
        <w:ind w:firstLine="480"/>
        <w:jc w:val="left"/>
        <w:rPr>
          <w:rFonts w:ascii="宋体" w:hAnsi="宋体" w:cs="宋体"/>
          <w:kern w:val="0"/>
          <w:sz w:val="24"/>
          <w:szCs w:val="24"/>
        </w:rPr>
      </w:pPr>
      <w:r w:rsidRPr="00D05755">
        <w:rPr>
          <w:rFonts w:ascii="宋体" w:hAnsi="宋体" w:cs="宋体"/>
          <w:kern w:val="0"/>
          <w:sz w:val="24"/>
          <w:szCs w:val="24"/>
        </w:rPr>
        <w:t>（8）按照法律法规和《基金合同》规定不需召开基金份额持有人大会的其他情形。</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（二）会议召集人及召集方式</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1、除法律法规规定或《基金合同》另有约定外，基金份额持有人大会由基金管理人召集。</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2、基金管理人未按规定召集或不能召集时，由基金托管人召集。</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3、基金托管人认为有必要召开基金份额持有人大会的，应当向基金管理人提出书面提议。基金管理人应当自收到书面提议之日起10日内决定是否召集，</w:t>
      </w:r>
      <w:r w:rsidRPr="00D05755">
        <w:rPr>
          <w:rFonts w:ascii="宋体" w:hAnsi="宋体" w:cs="宋体"/>
          <w:kern w:val="0"/>
          <w:sz w:val="24"/>
          <w:szCs w:val="24"/>
        </w:rPr>
        <w:lastRenderedPageBreak/>
        <w:t>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6、基金份额持有人会议的召集人负责选择确定开会时间、地点、方式和权益登记日。</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（三）召开基金份额持有人大会的通知时间、通知内容、通知方式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1、召开基金份额持有人大会，召集人应于会议召开前30日，在规定媒介公告。基金份额持有人大会通知应至少载明以下内容：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（1）会议召开的时间、地点和会议形式；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（2）会议</w:t>
      </w:r>
      <w:proofErr w:type="gramStart"/>
      <w:r w:rsidRPr="00D05755">
        <w:rPr>
          <w:rFonts w:ascii="宋体" w:hAnsi="宋体" w:cs="宋体"/>
          <w:kern w:val="0"/>
          <w:sz w:val="24"/>
          <w:szCs w:val="24"/>
        </w:rPr>
        <w:t>拟审议</w:t>
      </w:r>
      <w:proofErr w:type="gramEnd"/>
      <w:r w:rsidRPr="00D05755">
        <w:rPr>
          <w:rFonts w:ascii="宋体" w:hAnsi="宋体" w:cs="宋体"/>
          <w:kern w:val="0"/>
          <w:sz w:val="24"/>
          <w:szCs w:val="24"/>
        </w:rPr>
        <w:t>的事项、议事程序和表决方式；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（3）有权出席基金份额持有人大会的基金份额持有人的权益登记日；</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（4）授权委托证明的内容要求（包括但不限于代理人身份，代理权限和代理有效期限等）、送达时间和地点；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（5）会务常设联系人姓名及联系电话；</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lastRenderedPageBreak/>
        <w:t>（6）出席会议者必须准备的文件和必须履行的手续；</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（7）召集人需要通知的其他事项。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05755">
        <w:rPr>
          <w:rFonts w:ascii="宋体" w:hAnsi="宋体" w:cs="宋体"/>
          <w:kern w:val="0"/>
          <w:sz w:val="24"/>
          <w:szCs w:val="24"/>
        </w:rPr>
        <w:t>拒不派</w:t>
      </w:r>
      <w:proofErr w:type="gramEnd"/>
      <w:r w:rsidRPr="00D05755">
        <w:rPr>
          <w:rFonts w:ascii="宋体" w:hAnsi="宋体" w:cs="宋体"/>
          <w:kern w:val="0"/>
          <w:sz w:val="24"/>
          <w:szCs w:val="24"/>
        </w:rPr>
        <w:t>代表对表决意见的计票进行监督的，不影响表决意见的计票效力。</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（四）基金份额持有人出席会议的方式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基金份额持有人大会可通过现场开会方式、通讯开会方式或法律法规、监管机构允许的其他方式召开，会议的召开方式由会议召集人确定。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lastRenderedPageBreak/>
        <w:t>2、通讯开会。通讯开会系指基金份额持有人将其对表决事项的投票以书面形式</w:t>
      </w:r>
      <w:proofErr w:type="gramStart"/>
      <w:r w:rsidRPr="00D05755">
        <w:rPr>
          <w:rFonts w:ascii="宋体" w:hAnsi="宋体" w:cs="宋体"/>
          <w:kern w:val="0"/>
          <w:sz w:val="24"/>
          <w:szCs w:val="24"/>
        </w:rPr>
        <w:t>或大会</w:t>
      </w:r>
      <w:proofErr w:type="gramEnd"/>
      <w:r w:rsidRPr="00D05755">
        <w:rPr>
          <w:rFonts w:ascii="宋体" w:hAnsi="宋体" w:cs="宋体"/>
          <w:kern w:val="0"/>
          <w:sz w:val="24"/>
          <w:szCs w:val="24"/>
        </w:rPr>
        <w:t>公告载明的其他方式在表决截止日以前送达至召集人指定的地址或系统。通讯开会应以书面方式</w:t>
      </w:r>
      <w:proofErr w:type="gramStart"/>
      <w:r w:rsidRPr="00D05755">
        <w:rPr>
          <w:rFonts w:ascii="宋体" w:hAnsi="宋体" w:cs="宋体"/>
          <w:kern w:val="0"/>
          <w:sz w:val="24"/>
          <w:szCs w:val="24"/>
        </w:rPr>
        <w:t>或大会</w:t>
      </w:r>
      <w:proofErr w:type="gramEnd"/>
      <w:r w:rsidRPr="00D05755">
        <w:rPr>
          <w:rFonts w:ascii="宋体" w:hAnsi="宋体" w:cs="宋体"/>
          <w:kern w:val="0"/>
          <w:sz w:val="24"/>
          <w:szCs w:val="24"/>
        </w:rPr>
        <w:t>公告载明的其他方式进行表决。</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在同时符合以下条件时，通讯开会的方式视为有效：</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（1）会议召集人按《基金合同》约定公布会议通知后，在2个工作日内连续公布相关提示性公告；</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（五）议事内容与程序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1、议事内容及提案权</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基金份额持有人大会的召集人发出召集会议的通知后，对原有提案的修改应当在基金份额持有人大会召开前及时公告。</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基金份额持有人大会不得对未事先公告的议事内容进行表决。</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2、议事程序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（1）现场开会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在现场开会的方式下，首先由大会主持人按照下列第</w:t>
      </w:r>
      <w:r w:rsidRPr="00D05755">
        <w:rPr>
          <w:rFonts w:ascii="宋体" w:hAnsi="宋体" w:cs="宋体" w:hint="eastAsia"/>
          <w:kern w:val="0"/>
          <w:sz w:val="24"/>
          <w:szCs w:val="24"/>
        </w:rPr>
        <w:t>（</w:t>
      </w:r>
      <w:r w:rsidRPr="00D05755">
        <w:rPr>
          <w:rFonts w:ascii="宋体" w:hAnsi="宋体" w:cs="宋体"/>
          <w:kern w:val="0"/>
          <w:sz w:val="24"/>
          <w:szCs w:val="24"/>
        </w:rPr>
        <w:t>七</w:t>
      </w:r>
      <w:r w:rsidRPr="00D05755">
        <w:rPr>
          <w:rFonts w:ascii="宋体" w:hAnsi="宋体" w:cs="宋体" w:hint="eastAsia"/>
          <w:kern w:val="0"/>
          <w:sz w:val="24"/>
          <w:szCs w:val="24"/>
        </w:rPr>
        <w:t>）</w:t>
      </w:r>
      <w:r w:rsidRPr="00D05755">
        <w:rPr>
          <w:rFonts w:ascii="宋体" w:hAnsi="宋体" w:cs="宋体"/>
          <w:kern w:val="0"/>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sidRPr="00D05755">
        <w:rPr>
          <w:rFonts w:ascii="宋体" w:hAnsi="宋体" w:cs="宋体"/>
          <w:kern w:val="0"/>
          <w:sz w:val="24"/>
          <w:szCs w:val="24"/>
        </w:rPr>
        <w:t>作出</w:t>
      </w:r>
      <w:proofErr w:type="gramEnd"/>
      <w:r w:rsidRPr="00D05755">
        <w:rPr>
          <w:rFonts w:ascii="宋体" w:hAnsi="宋体" w:cs="宋体"/>
          <w:kern w:val="0"/>
          <w:sz w:val="24"/>
          <w:szCs w:val="24"/>
        </w:rPr>
        <w:t>的决议的效力。</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会议召集人应当制作出席会议人员的签名册。签名</w:t>
      </w:r>
      <w:proofErr w:type="gramStart"/>
      <w:r w:rsidRPr="00D05755">
        <w:rPr>
          <w:rFonts w:ascii="宋体" w:hAnsi="宋体" w:cs="宋体"/>
          <w:kern w:val="0"/>
          <w:sz w:val="24"/>
          <w:szCs w:val="24"/>
        </w:rPr>
        <w:t>册</w:t>
      </w:r>
      <w:proofErr w:type="gramEnd"/>
      <w:r w:rsidRPr="00D05755">
        <w:rPr>
          <w:rFonts w:ascii="宋体" w:hAnsi="宋体" w:cs="宋体"/>
          <w:kern w:val="0"/>
          <w:sz w:val="24"/>
          <w:szCs w:val="24"/>
        </w:rPr>
        <w:t>载明参加会议人员姓名（或单位名称）、身份证明文件号码、持有或代表有表决权的基金份额、委托人姓名（或单位名称）和联系方式等事项。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（2）通讯开会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（六）表决</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基金份额持有人所持每份基金份额有一票表决权。</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基金份额持有人大会决议分为一般决议和特别决议：</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1、一般决议，一般决议须经参加大会的基金份额持有人或其代理人所持表决权的二分之一以上（含二分之一）通过方为有效；除下列第2项所规定的须以</w:t>
      </w:r>
      <w:r w:rsidRPr="00D05755">
        <w:rPr>
          <w:rFonts w:ascii="宋体" w:hAnsi="宋体" w:cs="宋体"/>
          <w:kern w:val="0"/>
          <w:sz w:val="24"/>
          <w:szCs w:val="24"/>
        </w:rPr>
        <w:lastRenderedPageBreak/>
        <w:t>特别决议通过事项以外的其他事项均以一般决议的方式通过。</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2、特别决议，特别决议应当经参加大会的基金份额持有人或其代理人所持表决权的三分之二以上（含三分之二）通过方可做出。</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除法律法规另有规定或《基金合同》另有约定外，转换基金运作方式、更换基金管理人或者基金托管人、终止《基金合同》、本基金与其他基金合并以特别决议通过方为有效。</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基金份额持有人大会采取记名方式进行投票表决。</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基金份额持有人大会的各项提案或同一项提案内并列的各项议题应当分开审议、逐项表决。</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（七）计票</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1、现场开会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w:t>
      </w:r>
      <w:proofErr w:type="gramStart"/>
      <w:r w:rsidRPr="00D05755">
        <w:rPr>
          <w:rFonts w:ascii="宋体" w:hAnsi="宋体" w:cs="宋体"/>
          <w:kern w:val="0"/>
          <w:sz w:val="24"/>
          <w:szCs w:val="24"/>
        </w:rPr>
        <w:t>或大会</w:t>
      </w:r>
      <w:proofErr w:type="gramEnd"/>
      <w:r w:rsidRPr="00D05755">
        <w:rPr>
          <w:rFonts w:ascii="宋体" w:hAnsi="宋体" w:cs="宋体"/>
          <w:kern w:val="0"/>
          <w:sz w:val="24"/>
          <w:szCs w:val="24"/>
        </w:rPr>
        <w:t>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（2）监票人应当在基金份额持有人表决后立即进行清点并由大会主持人当场公布计票结果。</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（3）如果会议主持人或基金份额持有人或代理人对于提交的表决结果有异议，可以在宣布表决结果后立即对所投票</w:t>
      </w:r>
      <w:proofErr w:type="gramStart"/>
      <w:r w:rsidRPr="00D05755">
        <w:rPr>
          <w:rFonts w:ascii="宋体" w:hAnsi="宋体" w:cs="宋体"/>
          <w:kern w:val="0"/>
          <w:sz w:val="24"/>
          <w:szCs w:val="24"/>
        </w:rPr>
        <w:t>数要求</w:t>
      </w:r>
      <w:proofErr w:type="gramEnd"/>
      <w:r w:rsidRPr="00D05755">
        <w:rPr>
          <w:rFonts w:ascii="宋体" w:hAnsi="宋体" w:cs="宋体"/>
          <w:kern w:val="0"/>
          <w:sz w:val="24"/>
          <w:szCs w:val="24"/>
        </w:rPr>
        <w:t>进行重新清点。监票人应当进行重新清点，重新清点以一次为限。重新清点后，大会主持人应当当场公布重新清点结果。</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lastRenderedPageBreak/>
        <w:t>（4）计票过程应由公证机关予以公证，基金管理人或基金托管人拒不出席大会的，不影响计票的效力。</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2、通讯开会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D05755">
        <w:rPr>
          <w:rFonts w:ascii="宋体" w:hAnsi="宋体" w:cs="宋体"/>
          <w:kern w:val="0"/>
          <w:sz w:val="24"/>
          <w:szCs w:val="24"/>
        </w:rPr>
        <w:t>人拒派</w:t>
      </w:r>
      <w:proofErr w:type="gramEnd"/>
      <w:r w:rsidRPr="00D05755">
        <w:rPr>
          <w:rFonts w:ascii="宋体" w:hAnsi="宋体" w:cs="宋体"/>
          <w:kern w:val="0"/>
          <w:sz w:val="24"/>
          <w:szCs w:val="24"/>
        </w:rPr>
        <w:t>代表对书面表决意见的计票进行监督的，不影响计票和表决结果。</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（八）生效与公告</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基金份额持有人大会的决议，召集人应当自通过之日起5日内报中国证监会备案。</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基金份额持有人大会的决议自表决通过之日起生效。</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（九）实施</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期间基金份额持有人大会的特殊约定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若本基金</w:t>
      </w:r>
      <w:proofErr w:type="gramStart"/>
      <w:r w:rsidRPr="00D05755">
        <w:rPr>
          <w:rFonts w:ascii="宋体" w:hAnsi="宋体" w:cs="宋体"/>
          <w:kern w:val="0"/>
          <w:sz w:val="24"/>
          <w:szCs w:val="24"/>
        </w:rPr>
        <w:t>实施侧袋机制</w:t>
      </w:r>
      <w:proofErr w:type="gramEnd"/>
      <w:r w:rsidRPr="00D05755">
        <w:rPr>
          <w:rFonts w:ascii="宋体" w:hAnsi="宋体" w:cs="宋体"/>
          <w:kern w:val="0"/>
          <w:sz w:val="24"/>
          <w:szCs w:val="24"/>
        </w:rPr>
        <w:t>，</w:t>
      </w:r>
      <w:proofErr w:type="gramStart"/>
      <w:r w:rsidRPr="00D05755">
        <w:rPr>
          <w:rFonts w:ascii="宋体" w:hAnsi="宋体" w:cs="宋体"/>
          <w:kern w:val="0"/>
          <w:sz w:val="24"/>
          <w:szCs w:val="24"/>
        </w:rPr>
        <w:t>则相关</w:t>
      </w:r>
      <w:proofErr w:type="gramEnd"/>
      <w:r w:rsidRPr="00D05755">
        <w:rPr>
          <w:rFonts w:ascii="宋体" w:hAnsi="宋体" w:cs="宋体"/>
          <w:kern w:val="0"/>
          <w:sz w:val="24"/>
          <w:szCs w:val="24"/>
        </w:rPr>
        <w:t>基金份额或表决权的比例</w:t>
      </w:r>
      <w:proofErr w:type="gramStart"/>
      <w:r w:rsidRPr="00D05755">
        <w:rPr>
          <w:rFonts w:ascii="宋体" w:hAnsi="宋体" w:cs="宋体"/>
          <w:kern w:val="0"/>
          <w:sz w:val="24"/>
          <w:szCs w:val="24"/>
        </w:rPr>
        <w:t>指主袋份额</w:t>
      </w:r>
      <w:proofErr w:type="gramEnd"/>
      <w:r w:rsidRPr="00D05755">
        <w:rPr>
          <w:rFonts w:ascii="宋体" w:hAnsi="宋体" w:cs="宋体"/>
          <w:kern w:val="0"/>
          <w:sz w:val="24"/>
          <w:szCs w:val="24"/>
        </w:rPr>
        <w:t>持有</w:t>
      </w:r>
      <w:proofErr w:type="gramStart"/>
      <w:r w:rsidRPr="00D05755">
        <w:rPr>
          <w:rFonts w:ascii="宋体" w:hAnsi="宋体" w:cs="宋体"/>
          <w:kern w:val="0"/>
          <w:sz w:val="24"/>
          <w:szCs w:val="24"/>
        </w:rPr>
        <w:t>人和侧袋份额</w:t>
      </w:r>
      <w:proofErr w:type="gramEnd"/>
      <w:r w:rsidRPr="00D05755">
        <w:rPr>
          <w:rFonts w:ascii="宋体" w:hAnsi="宋体" w:cs="宋体"/>
          <w:kern w:val="0"/>
          <w:sz w:val="24"/>
          <w:szCs w:val="24"/>
        </w:rPr>
        <w:t>持有人分别持有或代表的基金份额或表决权符合该等比例，但</w:t>
      </w:r>
      <w:proofErr w:type="gramStart"/>
      <w:r w:rsidRPr="00D05755">
        <w:rPr>
          <w:rFonts w:ascii="宋体" w:hAnsi="宋体" w:cs="宋体"/>
          <w:kern w:val="0"/>
          <w:sz w:val="24"/>
          <w:szCs w:val="24"/>
        </w:rPr>
        <w:t>若相关</w:t>
      </w:r>
      <w:proofErr w:type="gramEnd"/>
      <w:r w:rsidRPr="00D05755">
        <w:rPr>
          <w:rFonts w:ascii="宋体" w:hAnsi="宋体" w:cs="宋体"/>
          <w:kern w:val="0"/>
          <w:sz w:val="24"/>
          <w:szCs w:val="24"/>
        </w:rPr>
        <w:t>基金份额持有人大会召集和审议事项不</w:t>
      </w:r>
      <w:proofErr w:type="gramStart"/>
      <w:r w:rsidRPr="00D05755">
        <w:rPr>
          <w:rFonts w:ascii="宋体" w:hAnsi="宋体" w:cs="宋体"/>
          <w:kern w:val="0"/>
          <w:sz w:val="24"/>
          <w:szCs w:val="24"/>
        </w:rPr>
        <w:t>涉及侧袋账户</w:t>
      </w:r>
      <w:proofErr w:type="gramEnd"/>
      <w:r w:rsidRPr="00D05755">
        <w:rPr>
          <w:rFonts w:ascii="宋体" w:hAnsi="宋体" w:cs="宋体"/>
          <w:kern w:val="0"/>
          <w:sz w:val="24"/>
          <w:szCs w:val="24"/>
        </w:rPr>
        <w:t>的，则仅</w:t>
      </w:r>
      <w:proofErr w:type="gramStart"/>
      <w:r w:rsidRPr="00D05755">
        <w:rPr>
          <w:rFonts w:ascii="宋体" w:hAnsi="宋体" w:cs="宋体"/>
          <w:kern w:val="0"/>
          <w:sz w:val="24"/>
          <w:szCs w:val="24"/>
        </w:rPr>
        <w:t>指主袋份额</w:t>
      </w:r>
      <w:proofErr w:type="gramEnd"/>
      <w:r w:rsidRPr="00D05755">
        <w:rPr>
          <w:rFonts w:ascii="宋体" w:hAnsi="宋体" w:cs="宋体"/>
          <w:kern w:val="0"/>
          <w:sz w:val="24"/>
          <w:szCs w:val="24"/>
        </w:rPr>
        <w:t>持有人持有或代表的基金份额或表决权符合该等比例：</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1、基金份额持有人行使提议权、召集权、提名权所需单独或合计代表相关基金份额10%以上（含10%）；</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2、现场开会的到会者在权益登记日代表的基金份额不少于本基金在权益登记</w:t>
      </w:r>
      <w:proofErr w:type="gramStart"/>
      <w:r w:rsidRPr="00D05755">
        <w:rPr>
          <w:rFonts w:ascii="宋体" w:hAnsi="宋体" w:cs="宋体"/>
          <w:kern w:val="0"/>
          <w:sz w:val="24"/>
          <w:szCs w:val="24"/>
        </w:rPr>
        <w:t>日相关</w:t>
      </w:r>
      <w:proofErr w:type="gramEnd"/>
      <w:r w:rsidRPr="00D05755">
        <w:rPr>
          <w:rFonts w:ascii="宋体" w:hAnsi="宋体" w:cs="宋体"/>
          <w:kern w:val="0"/>
          <w:sz w:val="24"/>
          <w:szCs w:val="24"/>
        </w:rPr>
        <w:t>基金份额的二分之一（含二分之一）；</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3、通讯开会的直接出具书面意见或授权他人代表出具书面意见的基金份额持有人所持有的基金份额不小于在权益登记</w:t>
      </w:r>
      <w:proofErr w:type="gramStart"/>
      <w:r w:rsidRPr="00D05755">
        <w:rPr>
          <w:rFonts w:ascii="宋体" w:hAnsi="宋体" w:cs="宋体"/>
          <w:kern w:val="0"/>
          <w:sz w:val="24"/>
          <w:szCs w:val="24"/>
        </w:rPr>
        <w:t>日相关</w:t>
      </w:r>
      <w:proofErr w:type="gramEnd"/>
      <w:r w:rsidRPr="00D05755">
        <w:rPr>
          <w:rFonts w:ascii="宋体" w:hAnsi="宋体" w:cs="宋体"/>
          <w:kern w:val="0"/>
          <w:sz w:val="24"/>
          <w:szCs w:val="24"/>
        </w:rPr>
        <w:t>基金份额的二分之一（含二分之一）；</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lastRenderedPageBreak/>
        <w:t>4、在参与基金份额持有人大会投票的基金份额持有人所持有的基金份额小于在权益登记</w:t>
      </w:r>
      <w:proofErr w:type="gramStart"/>
      <w:r w:rsidRPr="00D05755">
        <w:rPr>
          <w:rFonts w:ascii="宋体" w:hAnsi="宋体" w:cs="宋体"/>
          <w:kern w:val="0"/>
          <w:sz w:val="24"/>
          <w:szCs w:val="24"/>
        </w:rPr>
        <w:t>日相关</w:t>
      </w:r>
      <w:proofErr w:type="gramEnd"/>
      <w:r w:rsidRPr="00D05755">
        <w:rPr>
          <w:rFonts w:ascii="宋体" w:hAnsi="宋体" w:cs="宋体"/>
          <w:kern w:val="0"/>
          <w:sz w:val="24"/>
          <w:szCs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5、现场开会由出席大会的基金份额持有人和代理人所持表决权的50%以上（含50%）选举产生一名基金份额持有人作为该次基金份额持有人大会的主持人；</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6、一般决议须经参加大会的基金份额持有人或其代理人所持表决权的二分之一以上（含二分之一）通过；</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7、特别决议应当经参加大会的基金份额持有人或其代理人所持表决权的三分之二以上（含三分之二）通过。</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同</w:t>
      </w:r>
      <w:proofErr w:type="gramStart"/>
      <w:r w:rsidRPr="00D05755">
        <w:rPr>
          <w:rFonts w:ascii="宋体" w:hAnsi="宋体" w:cs="宋体"/>
          <w:kern w:val="0"/>
          <w:sz w:val="24"/>
          <w:szCs w:val="24"/>
        </w:rPr>
        <w:t>一主侧袋账户</w:t>
      </w:r>
      <w:proofErr w:type="gramEnd"/>
      <w:r w:rsidRPr="00D05755">
        <w:rPr>
          <w:rFonts w:ascii="宋体" w:hAnsi="宋体" w:cs="宋体"/>
          <w:kern w:val="0"/>
          <w:sz w:val="24"/>
          <w:szCs w:val="24"/>
        </w:rPr>
        <w:t>内的每份基金份额具有平等的表决权。</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（十）本部</w:t>
      </w:r>
      <w:proofErr w:type="gramStart"/>
      <w:r w:rsidRPr="00D05755">
        <w:rPr>
          <w:rFonts w:ascii="宋体" w:hAnsi="宋体" w:cs="宋体"/>
          <w:kern w:val="0"/>
          <w:sz w:val="24"/>
          <w:szCs w:val="24"/>
        </w:rPr>
        <w:t>分关于</w:t>
      </w:r>
      <w:proofErr w:type="gramEnd"/>
      <w:r w:rsidRPr="00D05755">
        <w:rPr>
          <w:rFonts w:ascii="宋体" w:hAnsi="宋体" w:cs="宋体"/>
          <w:kern w:val="0"/>
          <w:sz w:val="24"/>
          <w:szCs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E8691A" w:rsidRPr="00D05755" w:rsidRDefault="006E24B4">
      <w:pPr>
        <w:pStyle w:val="2"/>
        <w:keepNext w:val="0"/>
        <w:keepLines w:val="0"/>
        <w:spacing w:before="0" w:after="0" w:line="240" w:lineRule="auto"/>
        <w:ind w:firstLine="480"/>
        <w:rPr>
          <w:rFonts w:ascii="Times New Roman" w:eastAsia="Times New Roman" w:hAnsi="Times New Roman"/>
          <w:bCs/>
          <w:kern w:val="0"/>
          <w:sz w:val="24"/>
          <w:szCs w:val="24"/>
        </w:rPr>
      </w:pPr>
      <w:r w:rsidRPr="00D05755">
        <w:rPr>
          <w:rFonts w:ascii="宋体" w:eastAsia="宋体" w:hAnsi="宋体" w:cs="宋体"/>
          <w:bCs/>
          <w:kern w:val="0"/>
          <w:sz w:val="24"/>
          <w:szCs w:val="24"/>
        </w:rPr>
        <w:t>三、基金收益分配原则、执行方式</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（一）基金利润的构成</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（二）基金可供分配利润</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基金可供分配利润指截至收益分配基准日基金未分配利润与未分配利润中已实现收益的孰低数。</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（三）基金收益分配原则</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1、在符合有关基金分红条件的前提下，基金管理人可以根据实际情况进行收益分配，具体分配方案以公告为准，若《基金合同》生效不满3个月可不进行收益分配；</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2、本基金收益分配仅有现金分红一种方式；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3、基金收益分配后各类基金份额净值不能低于面值，即基金收益分配基准</w:t>
      </w:r>
      <w:r w:rsidRPr="00D05755">
        <w:rPr>
          <w:rFonts w:ascii="宋体" w:hAnsi="宋体" w:cs="宋体"/>
          <w:kern w:val="0"/>
          <w:sz w:val="24"/>
          <w:szCs w:val="24"/>
        </w:rPr>
        <w:lastRenderedPageBreak/>
        <w:t>日的各类基金份额净值减去每单位该类基金份额收益分配金额后不能低于面值；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4、同一类别内的每一基金份额享有同等分配权；</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5、法律法规或监管机构另有规定的，从其规定。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在遵守法律法规和监管部门的规定，且在对基金份额持有人利益无实质性不利影响的前提下，基金管理人履行适当程序后，可对基金收益分配原则进行调整。</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（四）收益分配方案</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基金收益分配方案中应载明截至收益分配基准日的可供分配利润、基金收益分配对象、分配时间、分配数额及比例、分配方式等内容。</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（五）收益分配方案的确定、公告与实施</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本基金收益分配方案由基金管理人拟定，并由基金托管人复核，在2日内在规定媒介公告。</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（六）基金收益分配中发生的费用</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基金收益分配时所发生的银行转账或其他手续费用由投资者自行承担。</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（七）实施</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期间的收益分配</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本基金实施</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的，</w:t>
      </w:r>
      <w:proofErr w:type="gramStart"/>
      <w:r w:rsidRPr="00D05755">
        <w:rPr>
          <w:rFonts w:ascii="宋体" w:hAnsi="宋体" w:cs="宋体"/>
          <w:kern w:val="0"/>
          <w:sz w:val="24"/>
          <w:szCs w:val="24"/>
        </w:rPr>
        <w:t>侧袋账户</w:t>
      </w:r>
      <w:proofErr w:type="gramEnd"/>
      <w:r w:rsidRPr="00D05755">
        <w:rPr>
          <w:rFonts w:ascii="宋体" w:hAnsi="宋体" w:cs="宋体"/>
          <w:kern w:val="0"/>
          <w:sz w:val="24"/>
          <w:szCs w:val="24"/>
        </w:rPr>
        <w:t>不进行收益分配，详见招募说明书的规定。</w:t>
      </w:r>
    </w:p>
    <w:p w:rsidR="00E8691A" w:rsidRPr="00D05755" w:rsidRDefault="006E24B4">
      <w:pPr>
        <w:pStyle w:val="2"/>
        <w:keepNext w:val="0"/>
        <w:keepLines w:val="0"/>
        <w:spacing w:before="0" w:after="0" w:line="240" w:lineRule="auto"/>
        <w:ind w:firstLine="480"/>
        <w:rPr>
          <w:rFonts w:ascii="Times New Roman" w:eastAsia="Times New Roman" w:hAnsi="Times New Roman"/>
          <w:bCs/>
          <w:kern w:val="0"/>
          <w:sz w:val="24"/>
          <w:szCs w:val="24"/>
        </w:rPr>
      </w:pPr>
      <w:r w:rsidRPr="00D05755">
        <w:rPr>
          <w:rFonts w:ascii="宋体" w:eastAsia="宋体" w:hAnsi="宋体" w:cs="宋体"/>
          <w:bCs/>
          <w:kern w:val="0"/>
          <w:sz w:val="24"/>
          <w:szCs w:val="24"/>
        </w:rPr>
        <w:t>四、与基金财产管理、运用有关费用的提取、支付方式与比例</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（一）基金费用的种类</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1、基金管理人的管理费（包括固定管理费、或有管理费和超额管理费）；</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2、基金托管人的托管费；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3、销售服务费；</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4、《基金合同》生效后与基金相关的信息披露费用（但法律法规、中国证监会另有规定的除外）；</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5、《基金合同》生效后与基金相关的会计师费、律师费、仲裁费和诉讼费；</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6、基金份额持有人大会费用；</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7、基金的证券、期货等交易费用；</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8、基金的银行汇划费用；</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9、基金的账户开户费用、账户维护费用；</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10、因投资港股通标的股票而产生的各项合理费用；</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11、按照国家有关规定和《基金合同》约定，可以在基金财产中列支的其</w:t>
      </w:r>
      <w:r w:rsidRPr="00D05755">
        <w:rPr>
          <w:rFonts w:ascii="宋体" w:hAnsi="宋体" w:cs="宋体"/>
          <w:kern w:val="0"/>
          <w:sz w:val="24"/>
          <w:szCs w:val="24"/>
        </w:rPr>
        <w:lastRenderedPageBreak/>
        <w:t>他费用。</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（二）基金费用计提方法、计提标准和支付方式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1、基金管理人的管理费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本基金根据每笔基金份额的持有期限与持有</w:t>
      </w:r>
      <w:proofErr w:type="gramStart"/>
      <w:r w:rsidRPr="00D05755">
        <w:rPr>
          <w:rFonts w:ascii="宋体" w:hAnsi="宋体" w:cs="宋体"/>
          <w:kern w:val="0"/>
          <w:sz w:val="24"/>
          <w:szCs w:val="24"/>
        </w:rPr>
        <w:t>期间年化收益率</w:t>
      </w:r>
      <w:proofErr w:type="gramEnd"/>
      <w:r w:rsidRPr="00D05755">
        <w:rPr>
          <w:rFonts w:ascii="宋体" w:hAnsi="宋体" w:cs="宋体"/>
          <w:kern w:val="0"/>
          <w:sz w:val="24"/>
          <w:szCs w:val="24"/>
        </w:rPr>
        <w:t>，在赎回（或转出，下同）基金份额或基金合同终止的情形发生时确定该笔基金份额对应的管理费。当投资者赎回基金份额或基金合同终止的情形发生时，持有期限不足一年（即365天，下同），则按1.20%年费率收取管理费；持有期限达到一年及以上，则根据持有</w:t>
      </w:r>
      <w:proofErr w:type="gramStart"/>
      <w:r w:rsidRPr="00D05755">
        <w:rPr>
          <w:rFonts w:ascii="宋体" w:hAnsi="宋体" w:cs="宋体"/>
          <w:kern w:val="0"/>
          <w:sz w:val="24"/>
          <w:szCs w:val="24"/>
        </w:rPr>
        <w:t>期间年化收益率</w:t>
      </w:r>
      <w:proofErr w:type="gramEnd"/>
      <w:r w:rsidRPr="00D05755">
        <w:rPr>
          <w:rFonts w:ascii="宋体" w:hAnsi="宋体" w:cs="宋体"/>
          <w:kern w:val="0"/>
          <w:sz w:val="24"/>
          <w:szCs w:val="24"/>
        </w:rPr>
        <w:t>分为以下三种情况，分别确定对应的管理费率档位：</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若持有期间相对业绩比较基准</w:t>
      </w:r>
      <w:proofErr w:type="gramStart"/>
      <w:r w:rsidRPr="00D05755">
        <w:rPr>
          <w:rFonts w:ascii="宋体" w:hAnsi="宋体" w:cs="宋体"/>
          <w:kern w:val="0"/>
          <w:sz w:val="24"/>
          <w:szCs w:val="24"/>
        </w:rPr>
        <w:t>的年化超额</w:t>
      </w:r>
      <w:proofErr w:type="gramEnd"/>
      <w:r w:rsidRPr="00D05755">
        <w:rPr>
          <w:rFonts w:ascii="宋体" w:hAnsi="宋体" w:cs="宋体"/>
          <w:kern w:val="0"/>
          <w:sz w:val="24"/>
          <w:szCs w:val="24"/>
        </w:rPr>
        <w:t>收益率（扣除超额管理费后）超过6%且持有收益率（扣除超额管理费后）为正，按1.50%年费率确认管理费；若持有期间</w:t>
      </w:r>
      <w:proofErr w:type="gramStart"/>
      <w:r w:rsidRPr="00D05755">
        <w:rPr>
          <w:rFonts w:ascii="宋体" w:hAnsi="宋体" w:cs="宋体"/>
          <w:kern w:val="0"/>
          <w:sz w:val="24"/>
          <w:szCs w:val="24"/>
        </w:rPr>
        <w:t>的年化超额</w:t>
      </w:r>
      <w:proofErr w:type="gramEnd"/>
      <w:r w:rsidRPr="00D05755">
        <w:rPr>
          <w:rFonts w:ascii="宋体" w:hAnsi="宋体" w:cs="宋体"/>
          <w:kern w:val="0"/>
          <w:sz w:val="24"/>
          <w:szCs w:val="24"/>
        </w:rPr>
        <w:t>收益率在-3%及以下，按0.60%年费率确认管理费；其他情形按1.20%年费率确认管理费。</w:t>
      </w:r>
    </w:p>
    <w:tbl>
      <w:tblPr>
        <w:tblW w:w="6658"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27"/>
        <w:gridCol w:w="2831"/>
      </w:tblGrid>
      <w:tr w:rsidR="00E8691A" w:rsidRPr="00D05755">
        <w:trPr>
          <w:trHeight w:val="510"/>
          <w:jc w:val="center"/>
        </w:trPr>
        <w:tc>
          <w:tcPr>
            <w:tcW w:w="3827" w:type="dxa"/>
            <w:tcBorders>
              <w:bottom w:val="single" w:sz="6" w:space="0" w:color="000000"/>
              <w:right w:val="single" w:sz="6" w:space="0" w:color="000000"/>
            </w:tcBorders>
            <w:tcMar>
              <w:top w:w="0" w:type="dxa"/>
              <w:left w:w="108" w:type="dxa"/>
              <w:bottom w:w="0" w:type="dxa"/>
              <w:right w:w="108" w:type="dxa"/>
            </w:tcMar>
            <w:vAlign w:val="center"/>
          </w:tcPr>
          <w:p w:rsidR="00E8691A" w:rsidRPr="00D05755" w:rsidRDefault="006E24B4">
            <w:pPr>
              <w:spacing w:line="276" w:lineRule="auto"/>
              <w:rPr>
                <w:rFonts w:eastAsia="Times New Roman"/>
                <w:color w:val="000000"/>
                <w:kern w:val="0"/>
                <w:sz w:val="24"/>
                <w:szCs w:val="24"/>
              </w:rPr>
            </w:pPr>
            <w:r w:rsidRPr="00D05755">
              <w:rPr>
                <w:rFonts w:ascii="宋体" w:hAnsi="宋体" w:cs="宋体"/>
                <w:b/>
                <w:bCs/>
                <w:color w:val="000000"/>
                <w:kern w:val="0"/>
                <w:sz w:val="24"/>
                <w:szCs w:val="24"/>
              </w:rPr>
              <w:t>持有</w:t>
            </w:r>
            <w:proofErr w:type="gramStart"/>
            <w:r w:rsidRPr="00D05755">
              <w:rPr>
                <w:rFonts w:ascii="宋体" w:hAnsi="宋体" w:cs="宋体"/>
                <w:b/>
                <w:bCs/>
                <w:color w:val="000000"/>
                <w:kern w:val="0"/>
                <w:sz w:val="24"/>
                <w:szCs w:val="24"/>
              </w:rPr>
              <w:t>期间年化收益率</w:t>
            </w:r>
            <w:proofErr w:type="gramEnd"/>
            <w:r w:rsidRPr="00D05755">
              <w:rPr>
                <w:rFonts w:ascii="宋体" w:hAnsi="宋体" w:cs="宋体"/>
                <w:b/>
                <w:bCs/>
                <w:color w:val="000000"/>
                <w:kern w:val="0"/>
                <w:sz w:val="24"/>
                <w:szCs w:val="24"/>
              </w:rPr>
              <w:t>（R）</w:t>
            </w:r>
          </w:p>
        </w:tc>
        <w:tc>
          <w:tcPr>
            <w:tcW w:w="2831" w:type="dxa"/>
            <w:tcBorders>
              <w:left w:val="single" w:sz="6" w:space="0" w:color="000000"/>
              <w:bottom w:val="single" w:sz="6" w:space="0" w:color="000000"/>
            </w:tcBorders>
            <w:tcMar>
              <w:top w:w="0" w:type="dxa"/>
              <w:left w:w="108" w:type="dxa"/>
              <w:bottom w:w="0" w:type="dxa"/>
              <w:right w:w="108" w:type="dxa"/>
            </w:tcMar>
            <w:vAlign w:val="center"/>
          </w:tcPr>
          <w:p w:rsidR="00E8691A" w:rsidRPr="00D05755" w:rsidRDefault="006E24B4">
            <w:pPr>
              <w:spacing w:line="276" w:lineRule="auto"/>
              <w:rPr>
                <w:rFonts w:eastAsia="Times New Roman"/>
                <w:color w:val="000000"/>
                <w:kern w:val="0"/>
                <w:sz w:val="24"/>
                <w:szCs w:val="24"/>
              </w:rPr>
            </w:pPr>
            <w:r w:rsidRPr="00D05755">
              <w:rPr>
                <w:rFonts w:ascii="宋体" w:hAnsi="宋体" w:cs="宋体"/>
                <w:b/>
                <w:bCs/>
                <w:color w:val="000000"/>
                <w:kern w:val="0"/>
                <w:sz w:val="24"/>
                <w:szCs w:val="24"/>
              </w:rPr>
              <w:t>管理费率（年费率）</w:t>
            </w:r>
          </w:p>
        </w:tc>
      </w:tr>
      <w:tr w:rsidR="00E8691A" w:rsidRPr="00D05755">
        <w:trPr>
          <w:trHeight w:val="510"/>
          <w:jc w:val="center"/>
        </w:trPr>
        <w:tc>
          <w:tcPr>
            <w:tcW w:w="3827"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E8691A" w:rsidRPr="00D05755" w:rsidRDefault="006E24B4">
            <w:pPr>
              <w:spacing w:line="276" w:lineRule="auto"/>
              <w:rPr>
                <w:rFonts w:eastAsia="Times New Roman"/>
                <w:color w:val="000000"/>
                <w:kern w:val="0"/>
                <w:sz w:val="24"/>
                <w:szCs w:val="24"/>
              </w:rPr>
            </w:pPr>
            <w:r w:rsidRPr="00D05755">
              <w:rPr>
                <w:rFonts w:ascii="宋体" w:hAnsi="宋体" w:cs="宋体"/>
                <w:color w:val="000000"/>
                <w:kern w:val="0"/>
                <w:sz w:val="24"/>
                <w:szCs w:val="24"/>
              </w:rPr>
              <w:t>R＞R</w:t>
            </w:r>
            <w:r w:rsidRPr="00D05755">
              <w:rPr>
                <w:rFonts w:ascii="宋体" w:hAnsi="宋体" w:cs="宋体"/>
                <w:color w:val="000000"/>
                <w:spacing w:val="-2"/>
                <w:kern w:val="0"/>
                <w:sz w:val="24"/>
                <w:szCs w:val="24"/>
                <w:vertAlign w:val="subscript"/>
              </w:rPr>
              <w:t>b</w:t>
            </w:r>
            <w:r w:rsidRPr="00D05755">
              <w:rPr>
                <w:rFonts w:ascii="宋体" w:hAnsi="宋体" w:cs="宋体"/>
                <w:color w:val="000000"/>
                <w:kern w:val="0"/>
                <w:sz w:val="24"/>
                <w:szCs w:val="24"/>
              </w:rPr>
              <w:t>+6%，R＞0</w:t>
            </w:r>
          </w:p>
        </w:tc>
        <w:tc>
          <w:tcPr>
            <w:tcW w:w="283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E8691A" w:rsidRPr="00D05755" w:rsidRDefault="006E24B4">
            <w:pPr>
              <w:spacing w:line="276" w:lineRule="auto"/>
              <w:rPr>
                <w:rFonts w:eastAsia="Times New Roman"/>
                <w:color w:val="000000"/>
                <w:kern w:val="0"/>
                <w:sz w:val="24"/>
                <w:szCs w:val="24"/>
              </w:rPr>
            </w:pPr>
            <w:r w:rsidRPr="00D05755">
              <w:rPr>
                <w:rFonts w:ascii="宋体" w:hAnsi="宋体" w:cs="宋体"/>
                <w:color w:val="000000"/>
                <w:kern w:val="0"/>
                <w:sz w:val="24"/>
                <w:szCs w:val="24"/>
              </w:rPr>
              <w:t>1.50%/年</w:t>
            </w:r>
          </w:p>
        </w:tc>
      </w:tr>
      <w:tr w:rsidR="00E8691A" w:rsidRPr="00D05755">
        <w:trPr>
          <w:trHeight w:val="510"/>
          <w:jc w:val="center"/>
        </w:trPr>
        <w:tc>
          <w:tcPr>
            <w:tcW w:w="3827"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E8691A" w:rsidRPr="00D05755" w:rsidRDefault="006E24B4">
            <w:pPr>
              <w:spacing w:line="276" w:lineRule="auto"/>
              <w:rPr>
                <w:rFonts w:eastAsia="Times New Roman"/>
                <w:color w:val="000000"/>
                <w:kern w:val="0"/>
                <w:sz w:val="24"/>
                <w:szCs w:val="24"/>
              </w:rPr>
            </w:pPr>
            <w:r w:rsidRPr="00D05755">
              <w:rPr>
                <w:rFonts w:ascii="宋体" w:hAnsi="宋体" w:cs="宋体"/>
                <w:color w:val="000000"/>
                <w:kern w:val="0"/>
                <w:sz w:val="24"/>
                <w:szCs w:val="24"/>
              </w:rPr>
              <w:t>R≤R</w:t>
            </w:r>
            <w:r w:rsidRPr="00D05755">
              <w:rPr>
                <w:rFonts w:ascii="宋体" w:hAnsi="宋体" w:cs="宋体"/>
                <w:color w:val="000000"/>
                <w:spacing w:val="-2"/>
                <w:kern w:val="0"/>
                <w:sz w:val="24"/>
                <w:szCs w:val="24"/>
                <w:vertAlign w:val="subscript"/>
              </w:rPr>
              <w:t>b</w:t>
            </w:r>
            <w:r w:rsidRPr="00D05755">
              <w:rPr>
                <w:rFonts w:ascii="宋体" w:hAnsi="宋体" w:cs="宋体"/>
                <w:color w:val="000000"/>
                <w:kern w:val="0"/>
                <w:sz w:val="24"/>
                <w:szCs w:val="24"/>
              </w:rPr>
              <w:t>-3%</w:t>
            </w:r>
          </w:p>
        </w:tc>
        <w:tc>
          <w:tcPr>
            <w:tcW w:w="283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E8691A" w:rsidRPr="00D05755" w:rsidRDefault="006E24B4">
            <w:pPr>
              <w:spacing w:line="276" w:lineRule="auto"/>
              <w:rPr>
                <w:rFonts w:eastAsia="Times New Roman"/>
                <w:color w:val="000000"/>
                <w:kern w:val="0"/>
                <w:sz w:val="24"/>
                <w:szCs w:val="24"/>
              </w:rPr>
            </w:pPr>
            <w:r w:rsidRPr="00D05755">
              <w:rPr>
                <w:rFonts w:ascii="宋体" w:hAnsi="宋体" w:cs="宋体"/>
                <w:color w:val="000000"/>
                <w:kern w:val="0"/>
                <w:sz w:val="24"/>
                <w:szCs w:val="24"/>
              </w:rPr>
              <w:t>0.60%/年</w:t>
            </w:r>
          </w:p>
        </w:tc>
      </w:tr>
      <w:tr w:rsidR="00E8691A" w:rsidRPr="00D05755">
        <w:trPr>
          <w:trHeight w:val="510"/>
          <w:jc w:val="center"/>
        </w:trPr>
        <w:tc>
          <w:tcPr>
            <w:tcW w:w="3827" w:type="dxa"/>
            <w:tcBorders>
              <w:top w:val="single" w:sz="6" w:space="0" w:color="000000"/>
              <w:right w:val="single" w:sz="6" w:space="0" w:color="000000"/>
            </w:tcBorders>
            <w:tcMar>
              <w:top w:w="0" w:type="dxa"/>
              <w:left w:w="108" w:type="dxa"/>
              <w:bottom w:w="0" w:type="dxa"/>
              <w:right w:w="108" w:type="dxa"/>
            </w:tcMar>
            <w:vAlign w:val="center"/>
          </w:tcPr>
          <w:p w:rsidR="00E8691A" w:rsidRPr="00D05755" w:rsidRDefault="006E24B4">
            <w:pPr>
              <w:spacing w:line="276" w:lineRule="auto"/>
              <w:rPr>
                <w:rFonts w:eastAsia="Times New Roman"/>
                <w:color w:val="000000"/>
                <w:kern w:val="0"/>
                <w:sz w:val="24"/>
                <w:szCs w:val="24"/>
              </w:rPr>
            </w:pPr>
            <w:r w:rsidRPr="00D05755">
              <w:rPr>
                <w:rFonts w:ascii="宋体" w:hAnsi="宋体" w:cs="宋体"/>
                <w:color w:val="000000"/>
                <w:kern w:val="0"/>
                <w:sz w:val="24"/>
                <w:szCs w:val="24"/>
              </w:rPr>
              <w:t>其他情形</w:t>
            </w:r>
          </w:p>
        </w:tc>
        <w:tc>
          <w:tcPr>
            <w:tcW w:w="2831" w:type="dxa"/>
            <w:tcBorders>
              <w:top w:val="single" w:sz="6" w:space="0" w:color="000000"/>
              <w:left w:val="single" w:sz="6" w:space="0" w:color="000000"/>
            </w:tcBorders>
            <w:tcMar>
              <w:top w:w="0" w:type="dxa"/>
              <w:left w:w="108" w:type="dxa"/>
              <w:bottom w:w="0" w:type="dxa"/>
              <w:right w:w="108" w:type="dxa"/>
            </w:tcMar>
            <w:vAlign w:val="center"/>
          </w:tcPr>
          <w:p w:rsidR="00E8691A" w:rsidRPr="00D05755" w:rsidRDefault="006E24B4">
            <w:pPr>
              <w:spacing w:line="276" w:lineRule="auto"/>
              <w:rPr>
                <w:rFonts w:eastAsia="Times New Roman"/>
                <w:color w:val="000000"/>
                <w:kern w:val="0"/>
                <w:sz w:val="24"/>
                <w:szCs w:val="24"/>
              </w:rPr>
            </w:pPr>
            <w:r w:rsidRPr="00D05755">
              <w:rPr>
                <w:rFonts w:ascii="宋体" w:hAnsi="宋体" w:cs="宋体"/>
                <w:color w:val="000000"/>
                <w:kern w:val="0"/>
                <w:sz w:val="24"/>
                <w:szCs w:val="24"/>
              </w:rPr>
              <w:t>1.20%/年</w:t>
            </w:r>
          </w:p>
        </w:tc>
      </w:tr>
    </w:tbl>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注：①R为该笔基金份额</w:t>
      </w:r>
      <w:proofErr w:type="gramStart"/>
      <w:r w:rsidRPr="00D05755">
        <w:rPr>
          <w:rFonts w:ascii="宋体" w:hAnsi="宋体" w:cs="宋体"/>
          <w:kern w:val="0"/>
          <w:sz w:val="24"/>
          <w:szCs w:val="24"/>
        </w:rPr>
        <w:t>的年化收益率</w:t>
      </w:r>
      <w:proofErr w:type="gramEnd"/>
      <w:r w:rsidRPr="00D05755">
        <w:rPr>
          <w:rFonts w:ascii="宋体" w:hAnsi="宋体" w:cs="宋体"/>
          <w:kern w:val="0"/>
          <w:sz w:val="24"/>
          <w:szCs w:val="24"/>
        </w:rPr>
        <w:t>，R</w:t>
      </w:r>
      <w:r w:rsidRPr="00D05755">
        <w:rPr>
          <w:rFonts w:ascii="宋体" w:hAnsi="宋体" w:cs="宋体"/>
          <w:kern w:val="0"/>
          <w:sz w:val="30"/>
          <w:szCs w:val="30"/>
          <w:vertAlign w:val="subscript"/>
        </w:rPr>
        <w:t>b</w:t>
      </w:r>
      <w:r w:rsidRPr="00D05755">
        <w:rPr>
          <w:rFonts w:ascii="宋体" w:hAnsi="宋体" w:cs="宋体"/>
          <w:kern w:val="0"/>
          <w:sz w:val="24"/>
          <w:szCs w:val="24"/>
        </w:rPr>
        <w:t>为本基金业绩比较基准</w:t>
      </w:r>
      <w:proofErr w:type="gramStart"/>
      <w:r w:rsidRPr="00D05755">
        <w:rPr>
          <w:rFonts w:ascii="宋体" w:hAnsi="宋体" w:cs="宋体"/>
          <w:kern w:val="0"/>
          <w:sz w:val="24"/>
          <w:szCs w:val="24"/>
        </w:rPr>
        <w:t>同期年化</w:t>
      </w:r>
      <w:proofErr w:type="gramEnd"/>
      <w:r w:rsidRPr="00D05755">
        <w:rPr>
          <w:rFonts w:ascii="宋体" w:hAnsi="宋体" w:cs="宋体"/>
          <w:kern w:val="0"/>
          <w:sz w:val="24"/>
          <w:szCs w:val="24"/>
        </w:rPr>
        <w:t>收益率。</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②特别的，当持有期限达到一年及以上，R＞R</w:t>
      </w:r>
      <w:r w:rsidRPr="00D05755">
        <w:rPr>
          <w:rFonts w:ascii="宋体" w:hAnsi="宋体" w:cs="宋体"/>
          <w:kern w:val="0"/>
          <w:sz w:val="30"/>
          <w:szCs w:val="30"/>
          <w:vertAlign w:val="subscript"/>
        </w:rPr>
        <w:t>b</w:t>
      </w:r>
      <w:r w:rsidRPr="00D05755">
        <w:rPr>
          <w:rFonts w:ascii="宋体" w:hAnsi="宋体" w:cs="宋体"/>
          <w:kern w:val="0"/>
          <w:sz w:val="24"/>
          <w:szCs w:val="24"/>
        </w:rPr>
        <w:t>+6%且R＞0的情形下，</w:t>
      </w:r>
      <w:proofErr w:type="gramStart"/>
      <w:r w:rsidRPr="00D05755">
        <w:rPr>
          <w:rFonts w:ascii="宋体" w:hAnsi="宋体" w:cs="宋体"/>
          <w:kern w:val="0"/>
          <w:sz w:val="24"/>
          <w:szCs w:val="24"/>
        </w:rPr>
        <w:t>若拟扣除</w:t>
      </w:r>
      <w:proofErr w:type="gramEnd"/>
      <w:r w:rsidRPr="00D05755">
        <w:rPr>
          <w:rFonts w:ascii="宋体" w:hAnsi="宋体" w:cs="宋体"/>
          <w:kern w:val="0"/>
          <w:sz w:val="24"/>
          <w:szCs w:val="24"/>
        </w:rPr>
        <w:t>超额管理费后</w:t>
      </w:r>
      <w:proofErr w:type="gramStart"/>
      <w:r w:rsidRPr="00D05755">
        <w:rPr>
          <w:rFonts w:ascii="宋体" w:hAnsi="宋体" w:cs="宋体"/>
          <w:kern w:val="0"/>
          <w:sz w:val="24"/>
          <w:szCs w:val="24"/>
        </w:rPr>
        <w:t>的年化收益率</w:t>
      </w:r>
      <w:proofErr w:type="gramEnd"/>
      <w:r w:rsidRPr="00D05755">
        <w:rPr>
          <w:rFonts w:ascii="宋体" w:hAnsi="宋体" w:cs="宋体"/>
          <w:kern w:val="0"/>
          <w:sz w:val="24"/>
          <w:szCs w:val="24"/>
        </w:rPr>
        <w:t>小于等于R</w:t>
      </w:r>
      <w:r w:rsidRPr="00D05755">
        <w:rPr>
          <w:rFonts w:ascii="宋体" w:hAnsi="宋体" w:cs="宋体"/>
          <w:kern w:val="0"/>
          <w:sz w:val="30"/>
          <w:szCs w:val="30"/>
          <w:vertAlign w:val="subscript"/>
        </w:rPr>
        <w:t>b</w:t>
      </w:r>
      <w:r w:rsidRPr="00D05755">
        <w:rPr>
          <w:rFonts w:ascii="宋体" w:hAnsi="宋体" w:cs="宋体"/>
          <w:kern w:val="0"/>
          <w:sz w:val="24"/>
          <w:szCs w:val="24"/>
        </w:rPr>
        <w:t>+6%，或小于等于0时，仍按1.20%年费率收取该笔基金份额的管理费，以使得该笔基金份额在扣除超额管理费后</w:t>
      </w:r>
      <w:proofErr w:type="gramStart"/>
      <w:r w:rsidRPr="00D05755">
        <w:rPr>
          <w:rFonts w:ascii="宋体" w:hAnsi="宋体" w:cs="宋体"/>
          <w:kern w:val="0"/>
          <w:sz w:val="24"/>
          <w:szCs w:val="24"/>
        </w:rPr>
        <w:t>的年化收益率</w:t>
      </w:r>
      <w:proofErr w:type="gramEnd"/>
      <w:r w:rsidRPr="00D05755">
        <w:rPr>
          <w:rFonts w:ascii="宋体" w:hAnsi="宋体" w:cs="宋体"/>
          <w:kern w:val="0"/>
          <w:sz w:val="24"/>
          <w:szCs w:val="24"/>
        </w:rPr>
        <w:t>仍满足本基金收取超额管理费的标准。</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具体而言，本基金的管理费包含固定管理费、或有管理费和超额管理费，按以下方式计算和确认。</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（1）固定管理费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固定管理费按前一日基金资产净值的0.60%年费率每日计提。固定管理费的计算方法如下：</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H</w:t>
      </w:r>
      <w:r w:rsidRPr="00D05755">
        <w:rPr>
          <w:rFonts w:ascii="宋体" w:hAnsi="宋体" w:cs="宋体"/>
          <w:kern w:val="0"/>
          <w:sz w:val="30"/>
          <w:szCs w:val="30"/>
          <w:vertAlign w:val="subscript"/>
        </w:rPr>
        <w:t>1</w:t>
      </w:r>
      <w:r w:rsidRPr="00D05755">
        <w:rPr>
          <w:rFonts w:ascii="宋体" w:hAnsi="宋体" w:cs="宋体"/>
          <w:kern w:val="0"/>
          <w:sz w:val="24"/>
          <w:szCs w:val="24"/>
        </w:rPr>
        <w:t>＝E×0.60%÷当年天数</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lastRenderedPageBreak/>
        <w:t>H</w:t>
      </w:r>
      <w:r w:rsidRPr="00D05755">
        <w:rPr>
          <w:rFonts w:ascii="宋体" w:hAnsi="宋体" w:cs="宋体"/>
          <w:kern w:val="0"/>
          <w:sz w:val="30"/>
          <w:szCs w:val="30"/>
          <w:vertAlign w:val="subscript"/>
        </w:rPr>
        <w:t>1</w:t>
      </w:r>
      <w:r w:rsidRPr="00D05755">
        <w:rPr>
          <w:rFonts w:ascii="宋体" w:hAnsi="宋体" w:cs="宋体"/>
          <w:kern w:val="0"/>
          <w:sz w:val="24"/>
          <w:szCs w:val="24"/>
        </w:rPr>
        <w:t>为每日应计提的固定管理费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E为前一日的基金资产净值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固定管理费每日计提，逐日累计至每个月月末，按月支付。由基金托管人根据与基金管理人核对一致的财务数据，在次月月初5个工作日内、基金托管人按照与基金管理人协商一致的方式进行资金支付。若遇法定节假日、休息日或不可抗力致使无法按时支付的，顺延至法定节假日、休息日结束之日起5个工作日内或不可抗力情形消除之日起5个工作日内支付。费用扣划后，基金管理人应进行核对，如发现数据不符，及时联系基金托管人协商解决。</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（2）或有管理费和超额管理费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或有管理费按前一日基金资产净值的0.60%年费率每日计提。或有管理费的计算方法如下：</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H</w:t>
      </w:r>
      <w:r w:rsidRPr="00D05755">
        <w:rPr>
          <w:rFonts w:ascii="宋体" w:hAnsi="宋体" w:cs="宋体"/>
          <w:kern w:val="0"/>
          <w:sz w:val="30"/>
          <w:szCs w:val="30"/>
          <w:vertAlign w:val="subscript"/>
        </w:rPr>
        <w:t>2</w:t>
      </w:r>
      <w:r w:rsidRPr="00D05755">
        <w:rPr>
          <w:rFonts w:ascii="宋体" w:hAnsi="宋体" w:cs="宋体"/>
          <w:kern w:val="0"/>
          <w:sz w:val="24"/>
          <w:szCs w:val="24"/>
        </w:rPr>
        <w:t>＝E×0.60%÷当年天数</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H</w:t>
      </w:r>
      <w:r w:rsidRPr="00D05755">
        <w:rPr>
          <w:rFonts w:ascii="宋体" w:hAnsi="宋体" w:cs="宋体"/>
          <w:kern w:val="0"/>
          <w:sz w:val="30"/>
          <w:szCs w:val="30"/>
          <w:vertAlign w:val="subscript"/>
        </w:rPr>
        <w:t>2</w:t>
      </w:r>
      <w:r w:rsidRPr="00D05755">
        <w:rPr>
          <w:rFonts w:ascii="宋体" w:hAnsi="宋体" w:cs="宋体"/>
          <w:kern w:val="0"/>
          <w:sz w:val="24"/>
          <w:szCs w:val="24"/>
        </w:rPr>
        <w:t>为每日应计提的或有管理费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E为前一日的基金资产净值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投资者赎回基金份额或基金合同终止的情形发生时，若该笔基金份额持有天数达到或超过365天，且该笔基金份额的持有</w:t>
      </w:r>
      <w:proofErr w:type="gramStart"/>
      <w:r w:rsidRPr="00D05755">
        <w:rPr>
          <w:rFonts w:ascii="宋体" w:hAnsi="宋体" w:cs="宋体"/>
          <w:kern w:val="0"/>
          <w:sz w:val="24"/>
          <w:szCs w:val="24"/>
        </w:rPr>
        <w:t>期间年化收益率</w:t>
      </w:r>
      <w:proofErr w:type="gramEnd"/>
      <w:r w:rsidRPr="00D05755">
        <w:rPr>
          <w:rFonts w:ascii="宋体" w:hAnsi="宋体" w:cs="宋体"/>
          <w:kern w:val="0"/>
          <w:sz w:val="24"/>
          <w:szCs w:val="24"/>
        </w:rPr>
        <w:t>（R）符合下表“情形一”的收取情形，或有管理费为0，则该笔基金份额持有期限内计提的或有管理费将全额随赎回款（或清算款）一并返还给投资者；在其他情形下，该笔基金份额持有期限内计提的或有管理费应确认为应由基金管理人收取的管理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本基金每日预估计算并记录每笔基金份额的超额管理费，基金超额管理费的预估计算方法如下：</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H</w:t>
      </w:r>
      <w:r w:rsidRPr="00D05755">
        <w:rPr>
          <w:rFonts w:ascii="宋体" w:hAnsi="宋体" w:cs="宋体"/>
          <w:kern w:val="0"/>
          <w:sz w:val="30"/>
          <w:szCs w:val="30"/>
          <w:vertAlign w:val="subscript"/>
        </w:rPr>
        <w:t>3</w:t>
      </w:r>
      <w:r w:rsidRPr="00D05755">
        <w:rPr>
          <w:rFonts w:ascii="宋体" w:hAnsi="宋体" w:cs="宋体"/>
          <w:kern w:val="0"/>
          <w:sz w:val="24"/>
          <w:szCs w:val="24"/>
        </w:rPr>
        <w:t>＝E×0.30%÷当年天数</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H</w:t>
      </w:r>
      <w:r w:rsidRPr="00D05755">
        <w:rPr>
          <w:rFonts w:ascii="宋体" w:hAnsi="宋体" w:cs="宋体"/>
          <w:kern w:val="0"/>
          <w:sz w:val="30"/>
          <w:szCs w:val="30"/>
          <w:vertAlign w:val="subscript"/>
        </w:rPr>
        <w:t>3</w:t>
      </w:r>
      <w:r w:rsidRPr="00D05755">
        <w:rPr>
          <w:rFonts w:ascii="宋体" w:hAnsi="宋体" w:cs="宋体"/>
          <w:kern w:val="0"/>
          <w:sz w:val="24"/>
          <w:szCs w:val="24"/>
        </w:rPr>
        <w:t>为每日预估计算的基金超额管理费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E为前一日的基金资产净值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每笔基金份额的超额管理费每日预估计算，但不从基金资产中实际计提，逐日累计。投资者赎回基金份额或基金合同终止的情形发生时，当且仅当该笔基金份额持有天数达到或超过365天，且该笔基金份额</w:t>
      </w:r>
      <w:proofErr w:type="gramStart"/>
      <w:r w:rsidRPr="00D05755">
        <w:rPr>
          <w:rFonts w:ascii="宋体" w:hAnsi="宋体" w:cs="宋体"/>
          <w:kern w:val="0"/>
          <w:sz w:val="24"/>
          <w:szCs w:val="24"/>
        </w:rPr>
        <w:t>的年化收益率</w:t>
      </w:r>
      <w:proofErr w:type="gramEnd"/>
      <w:r w:rsidRPr="00D05755">
        <w:rPr>
          <w:rFonts w:ascii="宋体" w:hAnsi="宋体" w:cs="宋体"/>
          <w:kern w:val="0"/>
          <w:sz w:val="24"/>
          <w:szCs w:val="24"/>
        </w:rPr>
        <w:t>（R）符合下表“情形三”的收取情形，将从该笔基金份额的赎回款（或清算款）中扣除0.30%</w:t>
      </w:r>
      <w:r w:rsidRPr="00D05755">
        <w:rPr>
          <w:rFonts w:ascii="宋体" w:hAnsi="宋体" w:cs="宋体"/>
          <w:kern w:val="0"/>
          <w:sz w:val="24"/>
          <w:szCs w:val="24"/>
        </w:rPr>
        <w:lastRenderedPageBreak/>
        <w:t>年费率的超额管理费，并随已计提的或有管理费一同确认为应由基金管理人收取的管理费。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当投资者赎回基金份额或基金合同终止的情形发生时，本基金根据以下三种情形确认</w:t>
      </w:r>
      <w:proofErr w:type="gramStart"/>
      <w:r w:rsidRPr="00D05755">
        <w:rPr>
          <w:rFonts w:ascii="宋体" w:hAnsi="宋体" w:cs="宋体"/>
          <w:kern w:val="0"/>
          <w:sz w:val="24"/>
          <w:szCs w:val="24"/>
        </w:rPr>
        <w:t>应实际</w:t>
      </w:r>
      <w:proofErr w:type="gramEnd"/>
      <w:r w:rsidRPr="00D05755">
        <w:rPr>
          <w:rFonts w:ascii="宋体" w:hAnsi="宋体" w:cs="宋体"/>
          <w:kern w:val="0"/>
          <w:sz w:val="24"/>
          <w:szCs w:val="24"/>
        </w:rPr>
        <w:t>收取的或有管理费和超额管理费：</w:t>
      </w:r>
    </w:p>
    <w:tbl>
      <w:tblPr>
        <w:tblW w:w="7582"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47"/>
        <w:gridCol w:w="2933"/>
        <w:gridCol w:w="1701"/>
        <w:gridCol w:w="1701"/>
      </w:tblGrid>
      <w:tr w:rsidR="00E8691A" w:rsidRPr="00D05755">
        <w:trPr>
          <w:trHeight w:val="454"/>
          <w:jc w:val="center"/>
        </w:trPr>
        <w:tc>
          <w:tcPr>
            <w:tcW w:w="1247" w:type="dxa"/>
            <w:tcBorders>
              <w:bottom w:val="single" w:sz="6" w:space="0" w:color="000000"/>
              <w:right w:val="single" w:sz="6" w:space="0" w:color="000000"/>
            </w:tcBorders>
            <w:tcMar>
              <w:top w:w="0" w:type="dxa"/>
              <w:left w:w="108" w:type="dxa"/>
              <w:bottom w:w="0" w:type="dxa"/>
              <w:right w:w="108" w:type="dxa"/>
            </w:tcMar>
            <w:vAlign w:val="center"/>
          </w:tcPr>
          <w:p w:rsidR="00E8691A" w:rsidRPr="00D05755" w:rsidRDefault="006E24B4">
            <w:pPr>
              <w:rPr>
                <w:rFonts w:eastAsia="Times New Roman"/>
                <w:color w:val="000000"/>
                <w:kern w:val="0"/>
                <w:sz w:val="24"/>
                <w:szCs w:val="24"/>
              </w:rPr>
            </w:pPr>
            <w:r w:rsidRPr="00D05755">
              <w:rPr>
                <w:rFonts w:ascii="宋体" w:hAnsi="宋体" w:cs="宋体"/>
                <w:b/>
                <w:bCs/>
                <w:color w:val="000000"/>
                <w:kern w:val="0"/>
                <w:sz w:val="24"/>
                <w:szCs w:val="24"/>
              </w:rPr>
              <w:t>收取情形</w:t>
            </w:r>
          </w:p>
        </w:tc>
        <w:tc>
          <w:tcPr>
            <w:tcW w:w="293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E8691A" w:rsidRPr="00D05755" w:rsidRDefault="006E24B4">
            <w:pPr>
              <w:rPr>
                <w:rFonts w:eastAsia="Times New Roman"/>
                <w:color w:val="000000"/>
                <w:kern w:val="0"/>
                <w:sz w:val="24"/>
                <w:szCs w:val="24"/>
              </w:rPr>
            </w:pPr>
            <w:proofErr w:type="gramStart"/>
            <w:r w:rsidRPr="00D05755">
              <w:rPr>
                <w:rFonts w:ascii="宋体" w:hAnsi="宋体" w:cs="宋体"/>
                <w:b/>
                <w:bCs/>
                <w:color w:val="000000"/>
                <w:kern w:val="0"/>
                <w:sz w:val="24"/>
                <w:szCs w:val="24"/>
              </w:rPr>
              <w:t>年化收益率</w:t>
            </w:r>
            <w:proofErr w:type="gramEnd"/>
            <w:r w:rsidRPr="00D05755">
              <w:rPr>
                <w:rFonts w:ascii="宋体" w:hAnsi="宋体" w:cs="宋体"/>
                <w:b/>
                <w:bCs/>
                <w:color w:val="000000"/>
                <w:kern w:val="0"/>
                <w:sz w:val="24"/>
                <w:szCs w:val="24"/>
              </w:rPr>
              <w:t>（R）</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E8691A" w:rsidRPr="00D05755" w:rsidRDefault="006E24B4">
            <w:pPr>
              <w:rPr>
                <w:rFonts w:eastAsia="Times New Roman"/>
                <w:color w:val="000000"/>
                <w:kern w:val="0"/>
                <w:sz w:val="24"/>
                <w:szCs w:val="24"/>
              </w:rPr>
            </w:pPr>
            <w:r w:rsidRPr="00D05755">
              <w:rPr>
                <w:rFonts w:ascii="宋体" w:hAnsi="宋体" w:cs="宋体"/>
                <w:b/>
                <w:bCs/>
                <w:color w:val="000000"/>
                <w:kern w:val="0"/>
                <w:sz w:val="24"/>
                <w:szCs w:val="24"/>
              </w:rPr>
              <w:t>或有管理费</w:t>
            </w:r>
          </w:p>
          <w:p w:rsidR="00E8691A" w:rsidRPr="00D05755" w:rsidRDefault="006E24B4">
            <w:pPr>
              <w:rPr>
                <w:rFonts w:eastAsia="Times New Roman"/>
                <w:color w:val="000000"/>
                <w:kern w:val="0"/>
                <w:sz w:val="24"/>
                <w:szCs w:val="24"/>
              </w:rPr>
            </w:pPr>
            <w:r w:rsidRPr="00D05755">
              <w:rPr>
                <w:rFonts w:ascii="宋体" w:hAnsi="宋体" w:cs="宋体"/>
                <w:b/>
                <w:bCs/>
                <w:color w:val="000000"/>
                <w:kern w:val="0"/>
                <w:sz w:val="24"/>
                <w:szCs w:val="24"/>
              </w:rPr>
              <w:t>（年费率）</w:t>
            </w:r>
          </w:p>
        </w:tc>
        <w:tc>
          <w:tcPr>
            <w:tcW w:w="1701" w:type="dxa"/>
            <w:tcBorders>
              <w:left w:val="single" w:sz="6" w:space="0" w:color="000000"/>
              <w:bottom w:val="single" w:sz="6" w:space="0" w:color="000000"/>
            </w:tcBorders>
            <w:tcMar>
              <w:top w:w="0" w:type="dxa"/>
              <w:left w:w="108" w:type="dxa"/>
              <w:bottom w:w="0" w:type="dxa"/>
              <w:right w:w="108" w:type="dxa"/>
            </w:tcMar>
            <w:vAlign w:val="center"/>
          </w:tcPr>
          <w:p w:rsidR="00E8691A" w:rsidRPr="00D05755" w:rsidRDefault="006E24B4">
            <w:pPr>
              <w:rPr>
                <w:rFonts w:eastAsia="Times New Roman"/>
                <w:color w:val="000000"/>
                <w:kern w:val="0"/>
                <w:sz w:val="24"/>
                <w:szCs w:val="24"/>
              </w:rPr>
            </w:pPr>
            <w:r w:rsidRPr="00D05755">
              <w:rPr>
                <w:rFonts w:ascii="宋体" w:hAnsi="宋体" w:cs="宋体"/>
                <w:b/>
                <w:bCs/>
                <w:color w:val="000000"/>
                <w:kern w:val="0"/>
                <w:sz w:val="24"/>
                <w:szCs w:val="24"/>
              </w:rPr>
              <w:t>超额管理费</w:t>
            </w:r>
          </w:p>
          <w:p w:rsidR="00E8691A" w:rsidRPr="00D05755" w:rsidRDefault="006E24B4">
            <w:pPr>
              <w:rPr>
                <w:rFonts w:eastAsia="Times New Roman"/>
                <w:color w:val="000000"/>
                <w:kern w:val="0"/>
                <w:sz w:val="24"/>
                <w:szCs w:val="24"/>
              </w:rPr>
            </w:pPr>
            <w:r w:rsidRPr="00D05755">
              <w:rPr>
                <w:rFonts w:ascii="宋体" w:hAnsi="宋体" w:cs="宋体"/>
                <w:b/>
                <w:bCs/>
                <w:color w:val="000000"/>
                <w:kern w:val="0"/>
                <w:sz w:val="24"/>
                <w:szCs w:val="24"/>
              </w:rPr>
              <w:t>（年费率）</w:t>
            </w:r>
          </w:p>
        </w:tc>
      </w:tr>
      <w:tr w:rsidR="00E8691A" w:rsidRPr="00D05755">
        <w:trPr>
          <w:trHeight w:val="454"/>
          <w:jc w:val="center"/>
        </w:trPr>
        <w:tc>
          <w:tcPr>
            <w:tcW w:w="1247"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E8691A" w:rsidRPr="00D05755" w:rsidRDefault="006E24B4">
            <w:pPr>
              <w:rPr>
                <w:rFonts w:eastAsia="Times New Roman"/>
                <w:color w:val="000000"/>
                <w:kern w:val="0"/>
                <w:sz w:val="24"/>
                <w:szCs w:val="24"/>
              </w:rPr>
            </w:pPr>
            <w:r w:rsidRPr="00D05755">
              <w:rPr>
                <w:rFonts w:ascii="宋体" w:hAnsi="宋体" w:cs="宋体"/>
                <w:color w:val="000000"/>
                <w:kern w:val="0"/>
                <w:sz w:val="24"/>
                <w:szCs w:val="24"/>
              </w:rPr>
              <w:t>情形</w:t>
            </w:r>
            <w:proofErr w:type="gramStart"/>
            <w:r w:rsidRPr="00D05755">
              <w:rPr>
                <w:rFonts w:ascii="宋体" w:hAnsi="宋体" w:cs="宋体"/>
                <w:color w:val="000000"/>
                <w:kern w:val="0"/>
                <w:sz w:val="24"/>
                <w:szCs w:val="24"/>
              </w:rPr>
              <w:t>一</w:t>
            </w:r>
            <w:proofErr w:type="gramEnd"/>
          </w:p>
        </w:tc>
        <w:tc>
          <w:tcPr>
            <w:tcW w:w="2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8691A" w:rsidRPr="00D05755" w:rsidRDefault="006E24B4">
            <w:pPr>
              <w:rPr>
                <w:rFonts w:eastAsia="Times New Roman"/>
                <w:color w:val="000000"/>
                <w:kern w:val="0"/>
                <w:sz w:val="24"/>
                <w:szCs w:val="24"/>
              </w:rPr>
            </w:pPr>
            <w:r w:rsidRPr="00D05755">
              <w:rPr>
                <w:rFonts w:ascii="宋体" w:hAnsi="宋体" w:cs="宋体"/>
                <w:color w:val="000000"/>
                <w:kern w:val="0"/>
                <w:sz w:val="24"/>
                <w:szCs w:val="24"/>
              </w:rPr>
              <w:t>R≤R</w:t>
            </w:r>
            <w:r w:rsidRPr="00D05755">
              <w:rPr>
                <w:rFonts w:ascii="宋体" w:hAnsi="宋体" w:cs="宋体"/>
                <w:color w:val="000000"/>
                <w:kern w:val="0"/>
                <w:sz w:val="24"/>
                <w:szCs w:val="24"/>
                <w:vertAlign w:val="subscript"/>
              </w:rPr>
              <w:t>b</w:t>
            </w:r>
            <w:r w:rsidRPr="00D05755">
              <w:rPr>
                <w:rFonts w:ascii="宋体" w:hAnsi="宋体" w:cs="宋体"/>
                <w:color w:val="000000"/>
                <w:kern w:val="0"/>
                <w:sz w:val="24"/>
                <w:szCs w:val="24"/>
              </w:rPr>
              <w:t>-3%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8691A" w:rsidRPr="00D05755" w:rsidRDefault="006E24B4">
            <w:pPr>
              <w:rPr>
                <w:rFonts w:eastAsia="Times New Roman"/>
                <w:color w:val="000000"/>
                <w:kern w:val="0"/>
                <w:sz w:val="24"/>
                <w:szCs w:val="24"/>
              </w:rPr>
            </w:pPr>
            <w:r w:rsidRPr="00D05755">
              <w:rPr>
                <w:rFonts w:ascii="宋体" w:hAnsi="宋体" w:cs="宋体"/>
                <w:color w:val="000000"/>
                <w:kern w:val="0"/>
                <w:sz w:val="24"/>
                <w:szCs w:val="24"/>
              </w:rPr>
              <w:t>0</w:t>
            </w:r>
          </w:p>
        </w:tc>
        <w:tc>
          <w:tcPr>
            <w:tcW w:w="1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E8691A" w:rsidRPr="00D05755" w:rsidRDefault="006E24B4">
            <w:pPr>
              <w:rPr>
                <w:rFonts w:eastAsia="Times New Roman"/>
                <w:color w:val="000000"/>
                <w:kern w:val="0"/>
                <w:sz w:val="24"/>
                <w:szCs w:val="24"/>
              </w:rPr>
            </w:pPr>
            <w:r w:rsidRPr="00D05755">
              <w:rPr>
                <w:rFonts w:ascii="宋体" w:hAnsi="宋体" w:cs="宋体"/>
                <w:color w:val="000000"/>
                <w:kern w:val="0"/>
                <w:sz w:val="24"/>
                <w:szCs w:val="24"/>
              </w:rPr>
              <w:t>0</w:t>
            </w:r>
          </w:p>
        </w:tc>
      </w:tr>
      <w:tr w:rsidR="00E8691A" w:rsidRPr="00D05755">
        <w:trPr>
          <w:trHeight w:val="454"/>
          <w:jc w:val="center"/>
        </w:trPr>
        <w:tc>
          <w:tcPr>
            <w:tcW w:w="1247"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E8691A" w:rsidRPr="00D05755" w:rsidRDefault="006E24B4">
            <w:pPr>
              <w:rPr>
                <w:rFonts w:eastAsia="Times New Roman"/>
                <w:color w:val="000000"/>
                <w:kern w:val="0"/>
                <w:sz w:val="24"/>
                <w:szCs w:val="24"/>
              </w:rPr>
            </w:pPr>
            <w:r w:rsidRPr="00D05755">
              <w:rPr>
                <w:rFonts w:ascii="宋体" w:hAnsi="宋体" w:cs="宋体"/>
                <w:color w:val="000000"/>
                <w:kern w:val="0"/>
                <w:sz w:val="24"/>
                <w:szCs w:val="24"/>
              </w:rPr>
              <w:t>情形二</w:t>
            </w:r>
          </w:p>
        </w:tc>
        <w:tc>
          <w:tcPr>
            <w:tcW w:w="2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8691A" w:rsidRPr="00D05755" w:rsidRDefault="006E24B4">
            <w:pPr>
              <w:rPr>
                <w:rFonts w:eastAsia="Times New Roman"/>
                <w:color w:val="000000"/>
                <w:kern w:val="0"/>
                <w:sz w:val="24"/>
                <w:szCs w:val="24"/>
              </w:rPr>
            </w:pPr>
            <w:r w:rsidRPr="00D05755">
              <w:rPr>
                <w:rFonts w:ascii="宋体" w:hAnsi="宋体" w:cs="宋体"/>
                <w:color w:val="000000"/>
                <w:kern w:val="0"/>
                <w:sz w:val="24"/>
                <w:szCs w:val="24"/>
              </w:rPr>
              <w:t>其他情形</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8691A" w:rsidRPr="00D05755" w:rsidRDefault="006E24B4">
            <w:pPr>
              <w:rPr>
                <w:rFonts w:eastAsia="Times New Roman"/>
                <w:color w:val="000000"/>
                <w:kern w:val="0"/>
                <w:sz w:val="24"/>
                <w:szCs w:val="24"/>
              </w:rPr>
            </w:pPr>
            <w:r w:rsidRPr="00D05755">
              <w:rPr>
                <w:rFonts w:ascii="宋体" w:hAnsi="宋体" w:cs="宋体"/>
                <w:color w:val="000000"/>
                <w:kern w:val="0"/>
                <w:sz w:val="24"/>
                <w:szCs w:val="24"/>
              </w:rPr>
              <w:t>0.60%</w:t>
            </w:r>
          </w:p>
        </w:tc>
        <w:tc>
          <w:tcPr>
            <w:tcW w:w="1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E8691A" w:rsidRPr="00D05755" w:rsidRDefault="006E24B4">
            <w:pPr>
              <w:rPr>
                <w:rFonts w:eastAsia="Times New Roman"/>
                <w:color w:val="000000"/>
                <w:kern w:val="0"/>
                <w:sz w:val="24"/>
                <w:szCs w:val="24"/>
              </w:rPr>
            </w:pPr>
            <w:r w:rsidRPr="00D05755">
              <w:rPr>
                <w:rFonts w:ascii="宋体" w:hAnsi="宋体" w:cs="宋体"/>
                <w:color w:val="000000"/>
                <w:kern w:val="0"/>
                <w:sz w:val="24"/>
                <w:szCs w:val="24"/>
              </w:rPr>
              <w:t>0</w:t>
            </w:r>
          </w:p>
        </w:tc>
      </w:tr>
      <w:tr w:rsidR="00E8691A" w:rsidRPr="00D05755">
        <w:trPr>
          <w:trHeight w:val="454"/>
          <w:jc w:val="center"/>
        </w:trPr>
        <w:tc>
          <w:tcPr>
            <w:tcW w:w="1247" w:type="dxa"/>
            <w:tcBorders>
              <w:top w:val="single" w:sz="6" w:space="0" w:color="000000"/>
              <w:right w:val="single" w:sz="6" w:space="0" w:color="000000"/>
            </w:tcBorders>
            <w:tcMar>
              <w:top w:w="0" w:type="dxa"/>
              <w:left w:w="108" w:type="dxa"/>
              <w:bottom w:w="0" w:type="dxa"/>
              <w:right w:w="108" w:type="dxa"/>
            </w:tcMar>
            <w:vAlign w:val="center"/>
          </w:tcPr>
          <w:p w:rsidR="00E8691A" w:rsidRPr="00D05755" w:rsidRDefault="006E24B4">
            <w:pPr>
              <w:rPr>
                <w:rFonts w:eastAsia="Times New Roman"/>
                <w:color w:val="000000"/>
                <w:kern w:val="0"/>
                <w:sz w:val="24"/>
                <w:szCs w:val="24"/>
              </w:rPr>
            </w:pPr>
            <w:r w:rsidRPr="00D05755">
              <w:rPr>
                <w:rFonts w:ascii="宋体" w:hAnsi="宋体" w:cs="宋体"/>
                <w:color w:val="000000"/>
                <w:kern w:val="0"/>
                <w:sz w:val="24"/>
                <w:szCs w:val="24"/>
              </w:rPr>
              <w:t>情形三</w:t>
            </w:r>
          </w:p>
        </w:tc>
        <w:tc>
          <w:tcPr>
            <w:tcW w:w="2933"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E8691A" w:rsidRPr="00D05755" w:rsidRDefault="006E24B4">
            <w:pPr>
              <w:spacing w:line="276" w:lineRule="auto"/>
              <w:rPr>
                <w:rFonts w:eastAsia="Times New Roman"/>
                <w:color w:val="000000"/>
                <w:kern w:val="0"/>
                <w:sz w:val="24"/>
                <w:szCs w:val="24"/>
              </w:rPr>
            </w:pPr>
            <w:r w:rsidRPr="00D05755">
              <w:rPr>
                <w:rFonts w:ascii="宋体" w:hAnsi="宋体" w:cs="宋体"/>
                <w:color w:val="000000"/>
                <w:kern w:val="0"/>
                <w:sz w:val="24"/>
                <w:szCs w:val="24"/>
              </w:rPr>
              <w:t>R＞R</w:t>
            </w:r>
            <w:r w:rsidRPr="00D05755">
              <w:rPr>
                <w:rFonts w:ascii="宋体" w:hAnsi="宋体" w:cs="宋体"/>
                <w:color w:val="000000"/>
                <w:spacing w:val="-2"/>
                <w:kern w:val="0"/>
                <w:sz w:val="24"/>
                <w:szCs w:val="24"/>
                <w:vertAlign w:val="subscript"/>
              </w:rPr>
              <w:t>b</w:t>
            </w:r>
            <w:r w:rsidRPr="00D05755">
              <w:rPr>
                <w:rFonts w:ascii="宋体" w:hAnsi="宋体" w:cs="宋体"/>
                <w:color w:val="000000"/>
                <w:kern w:val="0"/>
                <w:sz w:val="24"/>
                <w:szCs w:val="24"/>
              </w:rPr>
              <w:t>+6%，R＞0</w:t>
            </w:r>
          </w:p>
        </w:tc>
        <w:tc>
          <w:tcPr>
            <w:tcW w:w="1701"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E8691A" w:rsidRPr="00D05755" w:rsidRDefault="006E24B4">
            <w:pPr>
              <w:rPr>
                <w:rFonts w:eastAsia="Times New Roman"/>
                <w:color w:val="000000"/>
                <w:kern w:val="0"/>
                <w:sz w:val="24"/>
                <w:szCs w:val="24"/>
              </w:rPr>
            </w:pPr>
            <w:r w:rsidRPr="00D05755">
              <w:rPr>
                <w:rFonts w:ascii="宋体" w:hAnsi="宋体" w:cs="宋体"/>
                <w:color w:val="000000"/>
                <w:kern w:val="0"/>
                <w:sz w:val="24"/>
                <w:szCs w:val="24"/>
              </w:rPr>
              <w:t>0.60%</w:t>
            </w:r>
          </w:p>
        </w:tc>
        <w:tc>
          <w:tcPr>
            <w:tcW w:w="1701" w:type="dxa"/>
            <w:tcBorders>
              <w:top w:val="single" w:sz="6" w:space="0" w:color="000000"/>
              <w:left w:val="single" w:sz="6" w:space="0" w:color="000000"/>
            </w:tcBorders>
            <w:tcMar>
              <w:top w:w="0" w:type="dxa"/>
              <w:left w:w="108" w:type="dxa"/>
              <w:bottom w:w="0" w:type="dxa"/>
              <w:right w:w="108" w:type="dxa"/>
            </w:tcMar>
            <w:vAlign w:val="center"/>
          </w:tcPr>
          <w:p w:rsidR="00E8691A" w:rsidRPr="00D05755" w:rsidRDefault="006E24B4">
            <w:pPr>
              <w:rPr>
                <w:rFonts w:eastAsia="Times New Roman"/>
                <w:color w:val="000000"/>
                <w:kern w:val="0"/>
                <w:sz w:val="24"/>
                <w:szCs w:val="24"/>
              </w:rPr>
            </w:pPr>
            <w:r w:rsidRPr="00D05755">
              <w:rPr>
                <w:rFonts w:ascii="宋体" w:hAnsi="宋体" w:cs="宋体"/>
                <w:color w:val="000000"/>
                <w:kern w:val="0"/>
                <w:sz w:val="24"/>
                <w:szCs w:val="24"/>
              </w:rPr>
              <w:t>0.30%</w:t>
            </w:r>
          </w:p>
        </w:tc>
      </w:tr>
    </w:tbl>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对于“情形三”，</w:t>
      </w:r>
      <w:proofErr w:type="gramStart"/>
      <w:r w:rsidRPr="00D05755">
        <w:rPr>
          <w:rFonts w:ascii="宋体" w:hAnsi="宋体" w:cs="宋体"/>
          <w:kern w:val="0"/>
          <w:sz w:val="24"/>
          <w:szCs w:val="24"/>
        </w:rPr>
        <w:t>若拟扣除</w:t>
      </w:r>
      <w:proofErr w:type="gramEnd"/>
      <w:r w:rsidRPr="00D05755">
        <w:rPr>
          <w:rFonts w:ascii="宋体" w:hAnsi="宋体" w:cs="宋体"/>
          <w:kern w:val="0"/>
          <w:sz w:val="24"/>
          <w:szCs w:val="24"/>
        </w:rPr>
        <w:t>超额管理费后</w:t>
      </w:r>
      <w:proofErr w:type="gramStart"/>
      <w:r w:rsidRPr="00D05755">
        <w:rPr>
          <w:rFonts w:ascii="宋体" w:hAnsi="宋体" w:cs="宋体"/>
          <w:kern w:val="0"/>
          <w:sz w:val="24"/>
          <w:szCs w:val="24"/>
        </w:rPr>
        <w:t>的年化收益率</w:t>
      </w:r>
      <w:proofErr w:type="gramEnd"/>
      <w:r w:rsidRPr="00D05755">
        <w:rPr>
          <w:rFonts w:ascii="宋体" w:hAnsi="宋体" w:cs="宋体"/>
          <w:kern w:val="0"/>
          <w:sz w:val="24"/>
          <w:szCs w:val="24"/>
        </w:rPr>
        <w:t>小于等于R</w:t>
      </w:r>
      <w:r w:rsidRPr="00D05755">
        <w:rPr>
          <w:rFonts w:ascii="宋体" w:hAnsi="宋体" w:cs="宋体"/>
          <w:kern w:val="0"/>
          <w:sz w:val="30"/>
          <w:szCs w:val="30"/>
          <w:vertAlign w:val="subscript"/>
        </w:rPr>
        <w:t>b</w:t>
      </w:r>
      <w:r w:rsidRPr="00D05755">
        <w:rPr>
          <w:rFonts w:ascii="宋体" w:hAnsi="宋体" w:cs="宋体"/>
          <w:kern w:val="0"/>
          <w:sz w:val="24"/>
          <w:szCs w:val="24"/>
        </w:rPr>
        <w:t>+6%，或小于等于0时，仍按1.20%年费率收取该笔基金份额的管理费，以使得该笔基金份额在扣除超额管理费后</w:t>
      </w:r>
      <w:proofErr w:type="gramStart"/>
      <w:r w:rsidRPr="00D05755">
        <w:rPr>
          <w:rFonts w:ascii="宋体" w:hAnsi="宋体" w:cs="宋体"/>
          <w:kern w:val="0"/>
          <w:sz w:val="24"/>
          <w:szCs w:val="24"/>
        </w:rPr>
        <w:t>的年化收益率</w:t>
      </w:r>
      <w:proofErr w:type="gramEnd"/>
      <w:r w:rsidRPr="00D05755">
        <w:rPr>
          <w:rFonts w:ascii="宋体" w:hAnsi="宋体" w:cs="宋体"/>
          <w:kern w:val="0"/>
          <w:sz w:val="24"/>
          <w:szCs w:val="24"/>
        </w:rPr>
        <w:t>仍满足本基金收取超额管理费的标准。</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每笔基金份额</w:t>
      </w:r>
      <w:proofErr w:type="gramStart"/>
      <w:r w:rsidRPr="00D05755">
        <w:rPr>
          <w:rFonts w:ascii="宋体" w:hAnsi="宋体" w:cs="宋体"/>
          <w:kern w:val="0"/>
          <w:sz w:val="24"/>
          <w:szCs w:val="24"/>
        </w:rPr>
        <w:t>的年化收益率</w:t>
      </w:r>
      <w:proofErr w:type="gramEnd"/>
      <w:r w:rsidRPr="00D05755">
        <w:rPr>
          <w:rFonts w:ascii="宋体" w:hAnsi="宋体" w:cs="宋体"/>
          <w:kern w:val="0"/>
          <w:sz w:val="24"/>
          <w:szCs w:val="24"/>
        </w:rPr>
        <w:t>（R）计算方法如下：</w:t>
      </w:r>
    </w:p>
    <w:p w:rsidR="00E8691A" w:rsidRPr="00D05755" w:rsidRDefault="006E24B4">
      <w:pPr>
        <w:spacing w:line="360" w:lineRule="auto"/>
        <w:ind w:firstLine="420"/>
        <w:rPr>
          <w:rFonts w:eastAsia="Times New Roman"/>
          <w:kern w:val="0"/>
          <w:sz w:val="24"/>
          <w:szCs w:val="24"/>
        </w:rPr>
      </w:pPr>
      <w:r w:rsidRPr="00D05755">
        <w:rPr>
          <w:rFonts w:eastAsia="Times New Roman"/>
          <w:noProof/>
          <w:kern w:val="0"/>
          <w:sz w:val="24"/>
          <w:szCs w:val="24"/>
        </w:rPr>
        <w:drawing>
          <wp:inline distT="0" distB="0" distL="0" distR="0">
            <wp:extent cx="2200275" cy="394335"/>
            <wp:effectExtent l="0" t="0" r="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2"/>
                    <a:stretch>
                      <a:fillRect/>
                    </a:stretch>
                  </pic:blipFill>
                  <pic:spPr>
                    <a:xfrm>
                      <a:off x="0" y="0"/>
                      <a:ext cx="2200275" cy="394677"/>
                    </a:xfrm>
                    <a:prstGeom prst="rect">
                      <a:avLst/>
                    </a:prstGeom>
                  </pic:spPr>
                </pic:pic>
              </a:graphicData>
            </a:graphic>
          </wp:inline>
        </w:drawing>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拟扣除超额管理费后</w:t>
      </w:r>
      <w:proofErr w:type="gramStart"/>
      <w:r w:rsidRPr="00D05755">
        <w:rPr>
          <w:rFonts w:ascii="宋体" w:hAnsi="宋体" w:cs="宋体"/>
          <w:kern w:val="0"/>
          <w:sz w:val="24"/>
          <w:szCs w:val="24"/>
        </w:rPr>
        <w:t>的年化收益率</w:t>
      </w:r>
      <w:proofErr w:type="gramEnd"/>
      <w:r w:rsidRPr="00D05755">
        <w:rPr>
          <w:rFonts w:ascii="宋体" w:hAnsi="宋体" w:cs="宋体"/>
          <w:kern w:val="0"/>
          <w:sz w:val="24"/>
          <w:szCs w:val="24"/>
        </w:rPr>
        <w:t>（R*）的计算方法如下：</w:t>
      </w:r>
    </w:p>
    <w:p w:rsidR="00E8691A" w:rsidRPr="00D05755" w:rsidRDefault="006E24B4">
      <w:pPr>
        <w:spacing w:line="360" w:lineRule="auto"/>
        <w:ind w:firstLine="420"/>
        <w:rPr>
          <w:rFonts w:eastAsia="Times New Roman"/>
          <w:kern w:val="0"/>
          <w:sz w:val="24"/>
          <w:szCs w:val="24"/>
        </w:rPr>
      </w:pPr>
      <w:r w:rsidRPr="00D05755">
        <w:rPr>
          <w:rFonts w:eastAsia="Times New Roman"/>
          <w:noProof/>
          <w:kern w:val="0"/>
          <w:sz w:val="24"/>
          <w:szCs w:val="24"/>
        </w:rPr>
        <w:drawing>
          <wp:inline distT="0" distB="0" distL="0" distR="0">
            <wp:extent cx="3019425" cy="394335"/>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3"/>
                    <a:stretch>
                      <a:fillRect/>
                    </a:stretch>
                  </pic:blipFill>
                  <pic:spPr>
                    <a:xfrm>
                      <a:off x="0" y="0"/>
                      <a:ext cx="3019425" cy="394584"/>
                    </a:xfrm>
                    <a:prstGeom prst="rect">
                      <a:avLst/>
                    </a:prstGeom>
                  </pic:spPr>
                </pic:pic>
              </a:graphicData>
            </a:graphic>
          </wp:inline>
        </w:drawing>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R为该笔基金份额</w:t>
      </w:r>
      <w:proofErr w:type="gramStart"/>
      <w:r w:rsidRPr="00D05755">
        <w:rPr>
          <w:rFonts w:ascii="宋体" w:hAnsi="宋体" w:cs="宋体"/>
          <w:kern w:val="0"/>
          <w:sz w:val="24"/>
          <w:szCs w:val="24"/>
        </w:rPr>
        <w:t>的年化收益率</w:t>
      </w:r>
      <w:proofErr w:type="gramEnd"/>
      <w:r w:rsidRPr="00D05755">
        <w:rPr>
          <w:rFonts w:ascii="宋体" w:hAnsi="宋体" w:cs="宋体"/>
          <w:kern w:val="0"/>
          <w:sz w:val="24"/>
          <w:szCs w:val="24"/>
        </w:rPr>
        <w:t>；R</w:t>
      </w:r>
      <w:r w:rsidRPr="00D05755">
        <w:rPr>
          <w:rFonts w:ascii="宋体" w:hAnsi="宋体" w:cs="宋体"/>
          <w:kern w:val="0"/>
          <w:sz w:val="30"/>
          <w:szCs w:val="30"/>
          <w:vertAlign w:val="subscript"/>
        </w:rPr>
        <w:t>b</w:t>
      </w:r>
      <w:r w:rsidRPr="00D05755">
        <w:rPr>
          <w:rFonts w:ascii="宋体" w:hAnsi="宋体" w:cs="宋体"/>
          <w:kern w:val="0"/>
          <w:sz w:val="24"/>
          <w:szCs w:val="24"/>
        </w:rPr>
        <w:t>为本基金业绩比较基准</w:t>
      </w:r>
      <w:proofErr w:type="gramStart"/>
      <w:r w:rsidRPr="00D05755">
        <w:rPr>
          <w:rFonts w:ascii="宋体" w:hAnsi="宋体" w:cs="宋体"/>
          <w:kern w:val="0"/>
          <w:sz w:val="24"/>
          <w:szCs w:val="24"/>
        </w:rPr>
        <w:t>同期年化</w:t>
      </w:r>
      <w:proofErr w:type="gramEnd"/>
      <w:r w:rsidRPr="00D05755">
        <w:rPr>
          <w:rFonts w:ascii="宋体" w:hAnsi="宋体" w:cs="宋体"/>
          <w:kern w:val="0"/>
          <w:sz w:val="24"/>
          <w:szCs w:val="24"/>
        </w:rPr>
        <w:t>收益率；</w:t>
      </w:r>
    </w:p>
    <w:p w:rsidR="00E8691A" w:rsidRPr="00D05755" w:rsidRDefault="006E24B4">
      <w:pPr>
        <w:spacing w:line="360" w:lineRule="auto"/>
        <w:ind w:firstLine="420"/>
        <w:rPr>
          <w:rFonts w:eastAsia="Times New Roman"/>
          <w:kern w:val="0"/>
          <w:sz w:val="24"/>
          <w:szCs w:val="24"/>
        </w:rPr>
      </w:pPr>
      <w:r w:rsidRPr="00D05755">
        <w:rPr>
          <w:rFonts w:eastAsia="Times New Roman"/>
          <w:noProof/>
          <w:kern w:val="0"/>
          <w:sz w:val="24"/>
          <w:szCs w:val="24"/>
        </w:rPr>
        <w:drawing>
          <wp:inline distT="0" distB="0" distL="0" distR="0">
            <wp:extent cx="352425" cy="19304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14"/>
                    <a:stretch>
                      <a:fillRect/>
                    </a:stretch>
                  </pic:blipFill>
                  <pic:spPr>
                    <a:xfrm>
                      <a:off x="0" y="0"/>
                      <a:ext cx="352425" cy="193451"/>
                    </a:xfrm>
                    <a:prstGeom prst="rect">
                      <a:avLst/>
                    </a:prstGeom>
                  </pic:spPr>
                </pic:pic>
              </a:graphicData>
            </a:graphic>
          </wp:inline>
        </w:drawing>
      </w:r>
      <w:r w:rsidRPr="00D05755">
        <w:rPr>
          <w:rFonts w:ascii="宋体" w:hAnsi="宋体" w:cs="宋体"/>
          <w:kern w:val="0"/>
          <w:sz w:val="24"/>
          <w:szCs w:val="24"/>
        </w:rPr>
        <w:t>为该笔基金份额赎回申请受理当日或基金合同终止情形发生日的基金份额累计净值；</w:t>
      </w:r>
    </w:p>
    <w:p w:rsidR="00E8691A" w:rsidRPr="00D05755" w:rsidRDefault="006E24B4">
      <w:pPr>
        <w:spacing w:line="360" w:lineRule="auto"/>
        <w:ind w:firstLine="420"/>
        <w:rPr>
          <w:rFonts w:eastAsia="Times New Roman"/>
          <w:kern w:val="0"/>
          <w:sz w:val="24"/>
          <w:szCs w:val="24"/>
        </w:rPr>
      </w:pPr>
      <w:r w:rsidRPr="00D05755">
        <w:rPr>
          <w:rFonts w:eastAsia="Times New Roman"/>
          <w:noProof/>
          <w:kern w:val="0"/>
          <w:sz w:val="24"/>
          <w:szCs w:val="24"/>
        </w:rPr>
        <w:drawing>
          <wp:inline distT="0" distB="0" distL="0" distR="0">
            <wp:extent cx="352425" cy="19304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5"/>
                    <a:stretch>
                      <a:fillRect/>
                    </a:stretch>
                  </pic:blipFill>
                  <pic:spPr>
                    <a:xfrm>
                      <a:off x="0" y="0"/>
                      <a:ext cx="352425" cy="193451"/>
                    </a:xfrm>
                    <a:prstGeom prst="rect">
                      <a:avLst/>
                    </a:prstGeom>
                  </pic:spPr>
                </pic:pic>
              </a:graphicData>
            </a:graphic>
          </wp:inline>
        </w:drawing>
      </w:r>
      <w:r w:rsidRPr="00D05755">
        <w:rPr>
          <w:rFonts w:ascii="宋体" w:hAnsi="宋体" w:cs="宋体"/>
          <w:kern w:val="0"/>
          <w:sz w:val="24"/>
          <w:szCs w:val="24"/>
        </w:rPr>
        <w:t>为该笔基金份额申购申请受理当日的基金份额累计净值（对于认购份额而言，</w:t>
      </w:r>
      <w:r w:rsidRPr="00D05755">
        <w:rPr>
          <w:rFonts w:eastAsia="Times New Roman"/>
          <w:noProof/>
          <w:kern w:val="0"/>
          <w:sz w:val="24"/>
          <w:szCs w:val="24"/>
        </w:rPr>
        <w:drawing>
          <wp:inline distT="0" distB="0" distL="0" distR="0">
            <wp:extent cx="352425" cy="19304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5"/>
                    <a:stretch>
                      <a:fillRect/>
                    </a:stretch>
                  </pic:blipFill>
                  <pic:spPr>
                    <a:xfrm>
                      <a:off x="0" y="0"/>
                      <a:ext cx="352425" cy="193451"/>
                    </a:xfrm>
                    <a:prstGeom prst="rect">
                      <a:avLst/>
                    </a:prstGeom>
                  </pic:spPr>
                </pic:pic>
              </a:graphicData>
            </a:graphic>
          </wp:inline>
        </w:drawing>
      </w:r>
      <w:r w:rsidRPr="00D05755">
        <w:rPr>
          <w:rFonts w:ascii="宋体" w:hAnsi="宋体" w:cs="宋体"/>
          <w:kern w:val="0"/>
          <w:sz w:val="24"/>
          <w:szCs w:val="24"/>
        </w:rPr>
        <w:t>为1.00元）；</w:t>
      </w:r>
    </w:p>
    <w:p w:rsidR="00E8691A" w:rsidRPr="00D05755" w:rsidRDefault="006E24B4">
      <w:pPr>
        <w:spacing w:line="360" w:lineRule="auto"/>
        <w:ind w:firstLine="420"/>
        <w:rPr>
          <w:rFonts w:eastAsia="Times New Roman"/>
          <w:kern w:val="0"/>
          <w:sz w:val="24"/>
          <w:szCs w:val="24"/>
        </w:rPr>
      </w:pPr>
      <w:r w:rsidRPr="00D05755">
        <w:rPr>
          <w:rFonts w:eastAsia="Times New Roman"/>
          <w:noProof/>
          <w:kern w:val="0"/>
          <w:sz w:val="24"/>
          <w:szCs w:val="24"/>
        </w:rPr>
        <w:drawing>
          <wp:inline distT="0" distB="0" distL="0" distR="0">
            <wp:extent cx="352425" cy="193040"/>
            <wp:effectExtent l="0" t="0" r="0" b="0"/>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16"/>
                    <a:stretch>
                      <a:fillRect/>
                    </a:stretch>
                  </pic:blipFill>
                  <pic:spPr>
                    <a:xfrm>
                      <a:off x="0" y="0"/>
                      <a:ext cx="352425" cy="193451"/>
                    </a:xfrm>
                    <a:prstGeom prst="rect">
                      <a:avLst/>
                    </a:prstGeom>
                  </pic:spPr>
                </pic:pic>
              </a:graphicData>
            </a:graphic>
          </wp:inline>
        </w:drawing>
      </w:r>
      <w:r w:rsidRPr="00D05755">
        <w:rPr>
          <w:rFonts w:ascii="宋体" w:hAnsi="宋体" w:cs="宋体"/>
          <w:kern w:val="0"/>
          <w:sz w:val="24"/>
          <w:szCs w:val="24"/>
        </w:rPr>
        <w:t>为该笔基金份额申购申请受理当日的基金份额单位净值（对于认购份额而言，</w:t>
      </w:r>
      <w:r w:rsidRPr="00D05755">
        <w:rPr>
          <w:rFonts w:eastAsia="Times New Roman"/>
          <w:noProof/>
          <w:kern w:val="0"/>
          <w:sz w:val="24"/>
          <w:szCs w:val="24"/>
        </w:rPr>
        <w:drawing>
          <wp:inline distT="0" distB="0" distL="0" distR="0">
            <wp:extent cx="352425" cy="193040"/>
            <wp:effectExtent l="0" t="0" r="0" b="0"/>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16"/>
                    <a:stretch>
                      <a:fillRect/>
                    </a:stretch>
                  </pic:blipFill>
                  <pic:spPr>
                    <a:xfrm>
                      <a:off x="0" y="0"/>
                      <a:ext cx="352425" cy="193451"/>
                    </a:xfrm>
                    <a:prstGeom prst="rect">
                      <a:avLst/>
                    </a:prstGeom>
                  </pic:spPr>
                </pic:pic>
              </a:graphicData>
            </a:graphic>
          </wp:inline>
        </w:drawing>
      </w:r>
      <w:r w:rsidRPr="00D05755">
        <w:rPr>
          <w:rFonts w:ascii="宋体" w:hAnsi="宋体" w:cs="宋体"/>
          <w:kern w:val="0"/>
          <w:sz w:val="24"/>
          <w:szCs w:val="24"/>
        </w:rPr>
        <w:t>为1.00元）；</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T为每笔基金份额的持有天数，即基金合同生效日（对于认购份额而言，含当日）或该笔基金份额申购申请确认日（对于申购份额而言，含当日）到该笔基金份额赎回申请确认日或基金合同终止情形发生日下</w:t>
      </w:r>
      <w:proofErr w:type="gramStart"/>
      <w:r w:rsidRPr="00D05755">
        <w:rPr>
          <w:rFonts w:ascii="宋体" w:hAnsi="宋体" w:cs="宋体"/>
          <w:kern w:val="0"/>
          <w:sz w:val="24"/>
          <w:szCs w:val="24"/>
        </w:rPr>
        <w:t>一</w:t>
      </w:r>
      <w:proofErr w:type="gramEnd"/>
      <w:r w:rsidRPr="00D05755">
        <w:rPr>
          <w:rFonts w:ascii="宋体" w:hAnsi="宋体" w:cs="宋体"/>
          <w:kern w:val="0"/>
          <w:sz w:val="24"/>
          <w:szCs w:val="24"/>
        </w:rPr>
        <w:t>工作日的天数。</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F为该笔基金份额的份额数；</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lastRenderedPageBreak/>
        <w:t>𝑀𝑐为该笔基金份额持有期限内累计计算的超额管理费。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对于已经确认为基金管理人收入的或有管理费和超额管理费，由基金托管人根据与基金管理人核对一致的财务数据，在次月月初5个工作日内、基金托管人按照与基金管理人协商一致的方式进行资金支付。若遇法定节假日、休息日或不可抗力致使无法按时支付的，顺延至法定节假日、休息日结束之日起5个工作日内或不可抗力情形消除之日起5个工作日内支付。费用扣划后，基金管理人应进行核对，如发现数据不符，及时联系基金托管人协商解决。</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在不违反法律法规、基金合同的约定的情况下，基金管理人可根据基金实际运作情况和市场环境变化，经履行适当程序后，对本基金的管理费（</w:t>
      </w:r>
      <w:proofErr w:type="gramStart"/>
      <w:r w:rsidRPr="00D05755">
        <w:rPr>
          <w:rFonts w:ascii="宋体" w:hAnsi="宋体" w:cs="宋体"/>
          <w:kern w:val="0"/>
          <w:sz w:val="24"/>
          <w:szCs w:val="24"/>
        </w:rPr>
        <w:t>含固定</w:t>
      </w:r>
      <w:proofErr w:type="gramEnd"/>
      <w:r w:rsidRPr="00D05755">
        <w:rPr>
          <w:rFonts w:ascii="宋体" w:hAnsi="宋体" w:cs="宋体"/>
          <w:kern w:val="0"/>
          <w:sz w:val="24"/>
          <w:szCs w:val="24"/>
        </w:rPr>
        <w:t>管理费、或有管理费和超额管理费）计提标准或收取方式进行调整。</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2、基金托管人的托管费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本基金的托管费按前一日基金资产净值的0.20%的年费率计提。托管费的计算方法如下：</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H＝E×0.20%÷当年天数</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H为每日应计提的基金托管费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E为前一日的基金资产净值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基金托管费每日计提，逐日累计至每月月末，按月支付，经基金管理人与基金托管人双方核对无误后，基金托管人根据基金管理人的授权自动在次月初五</w:t>
      </w:r>
      <w:proofErr w:type="gramStart"/>
      <w:r w:rsidRPr="00D05755">
        <w:rPr>
          <w:rFonts w:ascii="宋体" w:hAnsi="宋体" w:cs="宋体"/>
          <w:kern w:val="0"/>
          <w:sz w:val="24"/>
          <w:szCs w:val="24"/>
        </w:rPr>
        <w:t>个</w:t>
      </w:r>
      <w:proofErr w:type="gramEnd"/>
      <w:r w:rsidRPr="00D05755">
        <w:rPr>
          <w:rFonts w:ascii="宋体" w:hAnsi="宋体" w:cs="宋体"/>
          <w:kern w:val="0"/>
          <w:sz w:val="24"/>
          <w:szCs w:val="24"/>
        </w:rPr>
        <w:t>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3、销售服务费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本基金A类基金份额不收取销售服务费，C类基金份额的销售服务费年费率为0.40%。</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计算方法如下：</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H＝E×0.40%÷当年天数</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H为C类基金份额每日应计提的销售服务费</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E为C类基金份额前一日基金资产净值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lastRenderedPageBreak/>
        <w:t>销售服务费每日计提，逐日累计至每月月末，按月支付</w:t>
      </w:r>
      <w:r w:rsidRPr="00D05755">
        <w:rPr>
          <w:rStyle w:val="custom"/>
          <w:rFonts w:ascii="宋体" w:hAnsi="宋体" w:cs="宋体"/>
          <w:kern w:val="0"/>
          <w:sz w:val="24"/>
          <w:szCs w:val="24"/>
        </w:rPr>
        <w:t>。对于确认为基金财产支付的销售服务费</w:t>
      </w:r>
      <w:r w:rsidRPr="00D05755">
        <w:rPr>
          <w:rFonts w:ascii="宋体" w:hAnsi="宋体" w:cs="宋体"/>
          <w:kern w:val="0"/>
          <w:sz w:val="24"/>
          <w:szCs w:val="24"/>
        </w:rPr>
        <w:t>，经基金管理人与基金托管人双方核对无误后，基金托管人根据基金管理人的授权自动在次月初五</w:t>
      </w:r>
      <w:proofErr w:type="gramStart"/>
      <w:r w:rsidRPr="00D05755">
        <w:rPr>
          <w:rFonts w:ascii="宋体" w:hAnsi="宋体" w:cs="宋体"/>
          <w:kern w:val="0"/>
          <w:sz w:val="24"/>
          <w:szCs w:val="24"/>
        </w:rPr>
        <w:t>个</w:t>
      </w:r>
      <w:proofErr w:type="gramEnd"/>
      <w:r w:rsidRPr="00D05755">
        <w:rPr>
          <w:rFonts w:ascii="宋体" w:hAnsi="宋体" w:cs="宋体"/>
          <w:kern w:val="0"/>
          <w:sz w:val="24"/>
          <w:szCs w:val="24"/>
        </w:rPr>
        <w:t>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p>
    <w:p w:rsidR="00E8691A" w:rsidRPr="00D05755" w:rsidRDefault="006E24B4">
      <w:pPr>
        <w:pStyle w:val="div"/>
        <w:spacing w:line="360" w:lineRule="auto"/>
        <w:ind w:firstLine="420"/>
        <w:rPr>
          <w:rStyle w:val="custom"/>
          <w:rFonts w:ascii="宋体" w:hAnsi="宋体" w:cs="宋体"/>
          <w:kern w:val="0"/>
          <w:sz w:val="24"/>
          <w:szCs w:val="24"/>
        </w:rPr>
      </w:pPr>
      <w:r w:rsidRPr="00D05755">
        <w:rPr>
          <w:rStyle w:val="custom"/>
          <w:rFonts w:ascii="宋体" w:hAnsi="宋体" w:cs="宋体"/>
          <w:kern w:val="0"/>
          <w:sz w:val="24"/>
          <w:szCs w:val="24"/>
        </w:rPr>
        <w:t>其中，对于投资者通过直销机构认购/申购的C类基金份额所计提的销售服务费或者通过其他销售机构认购/申购且持续持有期限超过一年（即365天）以后继续计提的C类基金份额销售服务费，将在投资者赎回相应基金份额或基金合同终止时随</w:t>
      </w:r>
      <w:proofErr w:type="gramStart"/>
      <w:r w:rsidRPr="00D05755">
        <w:rPr>
          <w:rStyle w:val="custom"/>
          <w:rFonts w:ascii="宋体" w:hAnsi="宋体" w:cs="宋体"/>
          <w:kern w:val="0"/>
          <w:sz w:val="24"/>
          <w:szCs w:val="24"/>
        </w:rPr>
        <w:t>赎回款或清算款</w:t>
      </w:r>
      <w:proofErr w:type="gramEnd"/>
      <w:r w:rsidRPr="00D05755">
        <w:rPr>
          <w:rStyle w:val="custom"/>
          <w:rFonts w:ascii="宋体" w:hAnsi="宋体" w:cs="宋体"/>
          <w:kern w:val="0"/>
          <w:sz w:val="24"/>
          <w:szCs w:val="24"/>
        </w:rPr>
        <w:t>一并返还给投资者。</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上述“</w:t>
      </w:r>
      <w:r w:rsidRPr="00D05755">
        <w:rPr>
          <w:rFonts w:ascii="宋体" w:hAnsi="宋体" w:cs="宋体" w:hint="eastAsia"/>
          <w:kern w:val="0"/>
          <w:sz w:val="24"/>
          <w:szCs w:val="24"/>
        </w:rPr>
        <w:t>（</w:t>
      </w:r>
      <w:r w:rsidRPr="00D05755">
        <w:rPr>
          <w:rFonts w:ascii="宋体" w:hAnsi="宋体" w:cs="宋体"/>
          <w:kern w:val="0"/>
          <w:sz w:val="24"/>
          <w:szCs w:val="24"/>
        </w:rPr>
        <w:t>一</w:t>
      </w:r>
      <w:r w:rsidRPr="00D05755">
        <w:rPr>
          <w:rFonts w:ascii="宋体" w:hAnsi="宋体" w:cs="宋体" w:hint="eastAsia"/>
          <w:kern w:val="0"/>
          <w:sz w:val="24"/>
          <w:szCs w:val="24"/>
        </w:rPr>
        <w:t>）</w:t>
      </w:r>
      <w:r w:rsidRPr="00D05755">
        <w:rPr>
          <w:rFonts w:ascii="宋体" w:hAnsi="宋体" w:cs="宋体"/>
          <w:kern w:val="0"/>
          <w:sz w:val="24"/>
          <w:szCs w:val="24"/>
        </w:rPr>
        <w:t>基金费用的种类”中第4－11项费用，根据有关法规及相应协议规定，按费用实际支出金额列入当期费用，由基金托管人从基金财产中支付。</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（三）不列入基金费用的项目</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下列费用不列入基金费用：</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1、基金管理人和基金托管人因未履行或未完全履行义务导致的费用支出或基金财产的损失；</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2、基金管理人和基金托管人处理与基金运作无关的事项发生的费用；</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3、《基金合同》生效前的相关费用；</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4、其他根据相关法律法规及中国证监会的有关规定不得列入基金费用的项目。</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（四）实施</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期间的基金费用</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本基金实施</w:t>
      </w:r>
      <w:proofErr w:type="gramStart"/>
      <w:r w:rsidRPr="00D05755">
        <w:rPr>
          <w:rFonts w:ascii="宋体" w:hAnsi="宋体" w:cs="宋体"/>
          <w:kern w:val="0"/>
          <w:sz w:val="24"/>
          <w:szCs w:val="24"/>
        </w:rPr>
        <w:t>侧袋机制</w:t>
      </w:r>
      <w:proofErr w:type="gramEnd"/>
      <w:r w:rsidRPr="00D05755">
        <w:rPr>
          <w:rFonts w:ascii="宋体" w:hAnsi="宋体" w:cs="宋体"/>
          <w:kern w:val="0"/>
          <w:sz w:val="24"/>
          <w:szCs w:val="24"/>
        </w:rPr>
        <w:t>的，</w:t>
      </w:r>
      <w:proofErr w:type="gramStart"/>
      <w:r w:rsidRPr="00D05755">
        <w:rPr>
          <w:rFonts w:ascii="宋体" w:hAnsi="宋体" w:cs="宋体"/>
          <w:kern w:val="0"/>
          <w:sz w:val="24"/>
          <w:szCs w:val="24"/>
        </w:rPr>
        <w:t>与侧袋账户</w:t>
      </w:r>
      <w:proofErr w:type="gramEnd"/>
      <w:r w:rsidRPr="00D05755">
        <w:rPr>
          <w:rFonts w:ascii="宋体" w:hAnsi="宋体" w:cs="宋体"/>
          <w:kern w:val="0"/>
          <w:sz w:val="24"/>
          <w:szCs w:val="24"/>
        </w:rPr>
        <w:t>有关的费用可以</w:t>
      </w:r>
      <w:proofErr w:type="gramStart"/>
      <w:r w:rsidRPr="00D05755">
        <w:rPr>
          <w:rFonts w:ascii="宋体" w:hAnsi="宋体" w:cs="宋体"/>
          <w:kern w:val="0"/>
          <w:sz w:val="24"/>
          <w:szCs w:val="24"/>
        </w:rPr>
        <w:t>从侧袋账户</w:t>
      </w:r>
      <w:proofErr w:type="gramEnd"/>
      <w:r w:rsidRPr="00D05755">
        <w:rPr>
          <w:rFonts w:ascii="宋体" w:hAnsi="宋体" w:cs="宋体"/>
          <w:kern w:val="0"/>
          <w:sz w:val="24"/>
          <w:szCs w:val="24"/>
        </w:rPr>
        <w:t>中列支，但应</w:t>
      </w:r>
      <w:proofErr w:type="gramStart"/>
      <w:r w:rsidRPr="00D05755">
        <w:rPr>
          <w:rFonts w:ascii="宋体" w:hAnsi="宋体" w:cs="宋体"/>
          <w:kern w:val="0"/>
          <w:sz w:val="24"/>
          <w:szCs w:val="24"/>
        </w:rPr>
        <w:t>待侧袋</w:t>
      </w:r>
      <w:proofErr w:type="gramEnd"/>
      <w:r w:rsidRPr="00D05755">
        <w:rPr>
          <w:rFonts w:ascii="宋体" w:hAnsi="宋体" w:cs="宋体"/>
          <w:kern w:val="0"/>
          <w:sz w:val="24"/>
          <w:szCs w:val="24"/>
        </w:rPr>
        <w:t>账户资产变现后方可列支，有关费用可酌情收取或减免，但不得收取管理费（包括固定管理费、或有管理费和超额管理费），详见招募说明书的规定。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（五）基金税收</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E8691A" w:rsidRPr="00D05755" w:rsidRDefault="006E24B4">
      <w:pPr>
        <w:pStyle w:val="2"/>
        <w:keepNext w:val="0"/>
        <w:keepLines w:val="0"/>
        <w:spacing w:before="0" w:after="0" w:line="240" w:lineRule="auto"/>
        <w:ind w:firstLine="480"/>
        <w:rPr>
          <w:rFonts w:ascii="Times New Roman" w:eastAsia="Times New Roman" w:hAnsi="Times New Roman"/>
          <w:bCs/>
          <w:kern w:val="0"/>
          <w:sz w:val="24"/>
          <w:szCs w:val="24"/>
        </w:rPr>
      </w:pPr>
      <w:r w:rsidRPr="00D05755">
        <w:rPr>
          <w:rFonts w:ascii="宋体" w:eastAsia="宋体" w:hAnsi="宋体" w:cs="宋体"/>
          <w:bCs/>
          <w:kern w:val="0"/>
          <w:sz w:val="24"/>
          <w:szCs w:val="24"/>
        </w:rPr>
        <w:t>五、基金财产的投资范围和投资限制</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（一）投资范围</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lastRenderedPageBreak/>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w:t>
      </w:r>
      <w:proofErr w:type="gramStart"/>
      <w:r w:rsidRPr="00D05755">
        <w:rPr>
          <w:rFonts w:ascii="宋体" w:hAnsi="宋体" w:cs="宋体"/>
          <w:kern w:val="0"/>
          <w:sz w:val="24"/>
          <w:szCs w:val="24"/>
        </w:rPr>
        <w:t>券</w:t>
      </w:r>
      <w:proofErr w:type="gramEnd"/>
      <w:r w:rsidRPr="00D05755">
        <w:rPr>
          <w:rFonts w:ascii="宋体" w:hAnsi="宋体" w:cs="宋体"/>
          <w:kern w:val="0"/>
          <w:sz w:val="24"/>
          <w:szCs w:val="24"/>
        </w:rPr>
        <w:t>、超短期融资</w:t>
      </w:r>
      <w:proofErr w:type="gramStart"/>
      <w:r w:rsidRPr="00D05755">
        <w:rPr>
          <w:rFonts w:ascii="宋体" w:hAnsi="宋体" w:cs="宋体"/>
          <w:kern w:val="0"/>
          <w:sz w:val="24"/>
          <w:szCs w:val="24"/>
        </w:rPr>
        <w:t>券</w:t>
      </w:r>
      <w:proofErr w:type="gramEnd"/>
      <w:r w:rsidRPr="00D05755">
        <w:rPr>
          <w:rFonts w:ascii="宋体" w:hAnsi="宋体" w:cs="宋体"/>
          <w:kern w:val="0"/>
          <w:sz w:val="24"/>
          <w:szCs w:val="24"/>
        </w:rPr>
        <w:t>、次级债券、政府支持债券、政府支持机构债券、地方政府债券、可交换债券、可转换债券（含分离交易可转债）及其他经中国证监会允许投资的债券）、信用衍生品、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本基金还可根据法律法规参与融资业务。</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如法律法规或监管机构以后允许基金投资其他品种，基金管理人在履行适当程序后，可以将其纳入投资范围。</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的投资组合比例为：本基金股票资产占基金资产的比例为60%-95%，其中，投资于港股通标的股票的比例不超过股票资产的50%。本基金投资于金融优选主题相关的股票比例不低于非现金基金资产的80%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如法律法规或监管机构变更投资品种的投资比例限制，基金管理人在履行适当程序后，可以调整上述投资品种的投资比例。</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（二）投资限制</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1、组合限制</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基金的投资组合应遵循以下限制：</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（1）本基金股票资产占基金资产的比例为60%-95%；其中，投资于港股通标的股票的比例不超过股票资产的50%；本基金投资于金融优选主题相关的股票比例不低于非现金基金资产的80%；</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其中现金不包括结算备付金、存出保证金和应</w:t>
      </w:r>
      <w:r w:rsidRPr="00D05755">
        <w:rPr>
          <w:rFonts w:ascii="宋体" w:hAnsi="宋体" w:cs="宋体"/>
          <w:kern w:val="0"/>
          <w:sz w:val="24"/>
          <w:szCs w:val="24"/>
        </w:rPr>
        <w:lastRenderedPageBreak/>
        <w:t>收申购款等；</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（3）本基金持有一家公司发行的证券（同一家公司在内地和香港同时上市的A+H股合并计算），其市值不超过基金资产净值的10％；</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本基金管理人管理的全部基金持有一家公司发行的证券（同一家公司在内地和香港同时上市的A+H股合并计算），不超过该证券的10％，完全按照有关指数的构成比例进行证券投资的基金品种可以不受此条款规定的比例限制；</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（5）本基金投资于同一原始权益人的各类资产支持证券的比例，不得超过基金资产净值的10%；</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（6）本基金持有的全部资产支持证券，其市值不得超过基金资产净值的20%；</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（7）本基金持有的同一(指同一信用级别)资产支持证券的比例，不得超过该资产支持证券规模的10%；</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（8）本基金管理人管理的全部基金投资于同一原始权益人的各类资产支持证券，不得超过其各类资产支持证券合计规模的10%；</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（9）本基金应投资于信用级别评级为BBB以上(含BBB)的资产支持证券。基金持有资产支持证券期间，如果其信用等级下降、不再符合投资标准，应在评级报告发布之日起3个月内予以全部卖出；</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（10）基金财产参与股票发行申购，本基金所申报的金额不超过本基金的总资产，本基金所申报的股票数量不超过拟发行股票公司本次发行股票的总量；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12）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（13）本基金与私募类</w:t>
      </w:r>
      <w:proofErr w:type="gramStart"/>
      <w:r w:rsidRPr="00D05755">
        <w:rPr>
          <w:rFonts w:ascii="宋体" w:hAnsi="宋体" w:cs="宋体"/>
          <w:kern w:val="0"/>
          <w:sz w:val="24"/>
          <w:szCs w:val="24"/>
        </w:rPr>
        <w:t>证券资管产品</w:t>
      </w:r>
      <w:proofErr w:type="gramEnd"/>
      <w:r w:rsidRPr="00D05755">
        <w:rPr>
          <w:rFonts w:ascii="宋体" w:hAnsi="宋体" w:cs="宋体"/>
          <w:kern w:val="0"/>
          <w:sz w:val="24"/>
          <w:szCs w:val="24"/>
        </w:rPr>
        <w:t>及中国证监会认定的其他主体为交易对手开展逆回购交易的，可接受质押品的资质要求应当与本基金合同约定的投资范</w:t>
      </w:r>
      <w:r w:rsidRPr="00D05755">
        <w:rPr>
          <w:rFonts w:ascii="宋体" w:hAnsi="宋体" w:cs="宋体"/>
          <w:kern w:val="0"/>
          <w:sz w:val="24"/>
          <w:szCs w:val="24"/>
        </w:rPr>
        <w:lastRenderedPageBreak/>
        <w:t>围保持一致；</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（14）本基金资产总值不超过基金资产净值的140%；</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（15）本基金参与股指期货和国债期货交易的，应当遵守下列要求：</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（17）本基金不得持有信用保护卖方属性的信用衍生品，持有的信用衍生品的名义本金不得超过本基金对应受保护债券面值的100%，本基金不得投资于合约类信用衍生品；</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（18）本基金投资于同一信用保护卖方的各类信用衍生品的名义本金合计不得超过基金资产净值的10%；</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lastRenderedPageBreak/>
        <w:t>因证券、期货市场波动、证券发行人合并、基金规模变动等基金管理人之外的因素致使基金不符合前述（17）、（18）所规定比例限制的，基金管理人应在3个月之内进行调整；</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（19）本基金参与融资的，每个交易日日终，本基金持有的融资买入股票与其他有价证券市值之和，不得超过基金资产净值的95%；</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（20）本基金投资存托凭证的比例限制依照境内上市交易的股票执行；</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（21）法律法规及中国证监会规定的和《基金合同》约定的其他投资限制。</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除上述第（2）、（9）、（12）、（13）、（17）、（18）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2、禁止行为</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为维护基金份额持有人的合法权益，基金财产不得用于下列投资或者活动：</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（1）承销证券；</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（2）违反规定向他人贷款或者提供担保；</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（3）从事承担无限责任的投资；</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（4）买卖其他基金份额，但是法律法规或中国证监会另有规定的除外；</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（5）向其基金管理人、基金托管人出资；</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（6）从事内幕交易、操纵证券交易价格及其他不正当的证券交易活动；</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（7）法律、行政法规和中国证监会规定禁止的其他活动。</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基金管理人运用基金财产买卖基金管理人、基金托管人及其控股股东、实际</w:t>
      </w:r>
      <w:r w:rsidRPr="00D05755">
        <w:rPr>
          <w:rFonts w:ascii="宋体" w:hAnsi="宋体" w:cs="宋体"/>
          <w:kern w:val="0"/>
          <w:sz w:val="24"/>
          <w:szCs w:val="24"/>
        </w:rPr>
        <w:lastRenderedPageBreak/>
        <w:t>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rsidR="00E8691A" w:rsidRPr="00D05755" w:rsidRDefault="006E24B4">
      <w:pPr>
        <w:pStyle w:val="2"/>
        <w:keepNext w:val="0"/>
        <w:keepLines w:val="0"/>
        <w:spacing w:before="0" w:after="0" w:line="240" w:lineRule="auto"/>
        <w:ind w:firstLine="480"/>
        <w:rPr>
          <w:rFonts w:ascii="Times New Roman" w:eastAsia="Times New Roman" w:hAnsi="Times New Roman"/>
          <w:bCs/>
          <w:kern w:val="0"/>
          <w:sz w:val="24"/>
          <w:szCs w:val="24"/>
        </w:rPr>
      </w:pPr>
      <w:r w:rsidRPr="00D05755">
        <w:rPr>
          <w:rFonts w:ascii="宋体" w:eastAsia="宋体" w:hAnsi="宋体" w:cs="宋体"/>
          <w:bCs/>
          <w:kern w:val="0"/>
          <w:sz w:val="24"/>
          <w:szCs w:val="24"/>
        </w:rPr>
        <w:t>六、基金资产净值的计算方法和公告方式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（一）估值方法</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1、证券交易所上市的有价证券的估值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（3）交易所上市不存在活跃市场的有价证券，采用估值技术确定公允价值。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2、处于未上市期间的有价证券应区分如下情况处理：</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（2）首次公开发行未上市的股票，采用估值技术确定公允价值，在估值技术难以可靠计量公允价值的情况下，按成本估值；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D05755">
        <w:rPr>
          <w:rFonts w:ascii="宋体" w:hAnsi="宋体" w:cs="宋体"/>
          <w:kern w:val="0"/>
          <w:sz w:val="24"/>
          <w:szCs w:val="24"/>
        </w:rPr>
        <w:t>券</w:t>
      </w:r>
      <w:proofErr w:type="gramEnd"/>
      <w:r w:rsidRPr="00D05755">
        <w:rPr>
          <w:rFonts w:ascii="宋体" w:hAnsi="宋体" w:cs="宋体"/>
          <w:kern w:val="0"/>
          <w:sz w:val="24"/>
          <w:szCs w:val="24"/>
        </w:rPr>
        <w:t>等流通受限股票，按监</w:t>
      </w:r>
      <w:r w:rsidRPr="00D05755">
        <w:rPr>
          <w:rFonts w:ascii="宋体" w:hAnsi="宋体" w:cs="宋体"/>
          <w:kern w:val="0"/>
          <w:sz w:val="24"/>
          <w:szCs w:val="24"/>
        </w:rPr>
        <w:lastRenderedPageBreak/>
        <w:t>管机构或行业协会有关规定确定公允价值。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3、以公允价值计量的固定收益品种</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（1）对于已上市或已挂牌转让的不含</w:t>
      </w:r>
      <w:proofErr w:type="gramStart"/>
      <w:r w:rsidRPr="00D05755">
        <w:rPr>
          <w:rFonts w:ascii="宋体" w:hAnsi="宋体" w:cs="宋体"/>
          <w:kern w:val="0"/>
          <w:sz w:val="24"/>
          <w:szCs w:val="24"/>
        </w:rPr>
        <w:t>权固定</w:t>
      </w:r>
      <w:proofErr w:type="gramEnd"/>
      <w:r w:rsidRPr="00D05755">
        <w:rPr>
          <w:rFonts w:ascii="宋体" w:hAnsi="宋体" w:cs="宋体"/>
          <w:kern w:val="0"/>
          <w:sz w:val="24"/>
          <w:szCs w:val="24"/>
        </w:rPr>
        <w:t>收益品种，选取第三方估值基准服务机构提供的相应品种当日的估值全价；</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（2）对于已上市或已挂牌转让的含</w:t>
      </w:r>
      <w:proofErr w:type="gramStart"/>
      <w:r w:rsidRPr="00D05755">
        <w:rPr>
          <w:rFonts w:ascii="宋体" w:hAnsi="宋体" w:cs="宋体"/>
          <w:kern w:val="0"/>
          <w:sz w:val="24"/>
          <w:szCs w:val="24"/>
        </w:rPr>
        <w:t>权固定</w:t>
      </w:r>
      <w:proofErr w:type="gramEnd"/>
      <w:r w:rsidRPr="00D05755">
        <w:rPr>
          <w:rFonts w:ascii="宋体" w:hAnsi="宋体" w:cs="宋体"/>
          <w:kern w:val="0"/>
          <w:sz w:val="24"/>
          <w:szCs w:val="24"/>
        </w:rPr>
        <w:t>收益品种，选取第三方估值基准服务机构提供的相应品种当日的唯一估值全价或推荐估值全价；</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（4）对于未上市或未挂牌转让且不存在活跃市场的固定收益品种，应采用在当前情况下适用并且有足够可利用数据和其他信息支持的估值技术确定其公允价值。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5、同一证券同时在两个或两个以上市场交易的，按证券所处的市场分别估值。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7、本基金投资股票期权合约，一般以股票期权估值日的结算价进行估值，估值当日无结算价的，且最近交易日后经济环境未发生重大变化的，采用最近交易日结算价估值。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8、本基金投资国债期货合约，一般以国债期货估值日的结算价进行估值，估值当日无结算价的，且最近交易日后经济环境未发生重大变化的，采用最近交</w:t>
      </w:r>
      <w:r w:rsidRPr="00D05755">
        <w:rPr>
          <w:rFonts w:ascii="宋体" w:hAnsi="宋体" w:cs="宋体"/>
          <w:kern w:val="0"/>
          <w:sz w:val="24"/>
          <w:szCs w:val="24"/>
        </w:rPr>
        <w:lastRenderedPageBreak/>
        <w:t>易日结算价估值。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10、信用衍生品按第三方估值机构提供的当日的估值价格进行估值，但基金管理人依法应当承担的估值责任不因委托而免除；选定的第三方估值机构未提供估值价格的，依照有关法律法规及《企业会计准则》要求采用合理估值技术确定公允价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11、本基金投资存托凭证的估值核算，依照境内上市交易的股票进行。</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12、如有确凿证据表明按上述方法进行估值不能客观反映其公允价值的，基金管理人可根据具体情况与基金托管人商定后，按最能反映公允价值的价格估值。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13、当发生大额申购或赎回情形时，基金管理人可以采用摆动定价机制，以确保基金估值的公平性。</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14、相关法律法规以及监管部门有强制规定的，从其规定。如有新增事项，按国家最新规定估值。</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（二）估值程序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1、各类基金份额净值是按照每个估值日闭市后，各类基金资产净值除以当</w:t>
      </w:r>
      <w:r w:rsidRPr="00D05755">
        <w:rPr>
          <w:rFonts w:ascii="宋体" w:hAnsi="宋体" w:cs="宋体"/>
          <w:kern w:val="0"/>
          <w:sz w:val="24"/>
          <w:szCs w:val="24"/>
        </w:rPr>
        <w:lastRenderedPageBreak/>
        <w:t>日该类基金份额的余额数量计算，均精确到0.0001元，小数点后第5位四舍五入，由此产生的误差计入基金财产。基金管理人可以设立大额赎回情形下的净值精度应急调整机制。国家另有规定的，从其规定。</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基金管理人每个估值日计算基金资产净值及各类基金份额净值，并按规定公告。</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2、基金管理人</w:t>
      </w:r>
      <w:proofErr w:type="gramStart"/>
      <w:r w:rsidRPr="00D05755">
        <w:rPr>
          <w:rFonts w:ascii="宋体" w:hAnsi="宋体" w:cs="宋体"/>
          <w:kern w:val="0"/>
          <w:sz w:val="24"/>
          <w:szCs w:val="24"/>
        </w:rPr>
        <w:t>应每个</w:t>
      </w:r>
      <w:proofErr w:type="gramEnd"/>
      <w:r w:rsidRPr="00D05755">
        <w:rPr>
          <w:rFonts w:ascii="宋体" w:hAnsi="宋体" w:cs="宋体"/>
          <w:kern w:val="0"/>
          <w:sz w:val="24"/>
          <w:szCs w:val="24"/>
        </w:rPr>
        <w:t>估值日对基金资产估值。但基金管理人根据法律法规或本基金合同的规定暂停估值时除外。基金管理人每个估值日对基金资产估值后，将各类基金份额净值结果发送基金托管人，经基金托管人复核无误后，由基金管理人按约定对外公布。</w:t>
      </w:r>
    </w:p>
    <w:p w:rsidR="00E8691A" w:rsidRPr="00D05755" w:rsidRDefault="006E24B4">
      <w:pPr>
        <w:pStyle w:val="2"/>
        <w:keepNext w:val="0"/>
        <w:keepLines w:val="0"/>
        <w:spacing w:before="0" w:after="0" w:line="240" w:lineRule="auto"/>
        <w:ind w:firstLine="480"/>
        <w:rPr>
          <w:rFonts w:ascii="Times New Roman" w:eastAsia="Times New Roman" w:hAnsi="Times New Roman"/>
          <w:bCs/>
          <w:kern w:val="0"/>
          <w:sz w:val="24"/>
          <w:szCs w:val="24"/>
        </w:rPr>
      </w:pPr>
      <w:r w:rsidRPr="00D05755">
        <w:rPr>
          <w:rFonts w:ascii="宋体" w:eastAsia="宋体" w:hAnsi="宋体" w:cs="宋体"/>
          <w:bCs/>
          <w:kern w:val="0"/>
          <w:sz w:val="24"/>
          <w:szCs w:val="24"/>
        </w:rPr>
        <w:t>七、基金合同解除和终止的事由、程序以及基金财产清算方式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（一）《基金合同》的变更</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1、变更基金合同涉及法律法规规定或本基金合同约定应经基金份额持有人大会决议通过的事项的，应召</w:t>
      </w:r>
      <w:proofErr w:type="gramStart"/>
      <w:r w:rsidRPr="00D05755">
        <w:rPr>
          <w:rFonts w:ascii="宋体" w:hAnsi="宋体" w:cs="宋体"/>
          <w:kern w:val="0"/>
          <w:sz w:val="24"/>
          <w:szCs w:val="24"/>
        </w:rPr>
        <w:t>开基金</w:t>
      </w:r>
      <w:proofErr w:type="gramEnd"/>
      <w:r w:rsidRPr="00D05755">
        <w:rPr>
          <w:rFonts w:ascii="宋体" w:hAnsi="宋体" w:cs="宋体"/>
          <w:kern w:val="0"/>
          <w:sz w:val="24"/>
          <w:szCs w:val="24"/>
        </w:rPr>
        <w:t>份额持有人大会决议通过。对于法律法规规定和基金合同约定可不经基金份额持有人大会决议通过的事项，由基金管理人和基金托管人同意后变更并公告。</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2、关于《基金合同》变更的基金份额持有人大会决议自生效后方可执行，</w:t>
      </w:r>
      <w:proofErr w:type="gramStart"/>
      <w:r w:rsidRPr="00D05755">
        <w:rPr>
          <w:rFonts w:ascii="宋体" w:hAnsi="宋体" w:cs="宋体"/>
          <w:kern w:val="0"/>
          <w:sz w:val="24"/>
          <w:szCs w:val="24"/>
        </w:rPr>
        <w:t>自决议</w:t>
      </w:r>
      <w:proofErr w:type="gramEnd"/>
      <w:r w:rsidRPr="00D05755">
        <w:rPr>
          <w:rFonts w:ascii="宋体" w:hAnsi="宋体" w:cs="宋体"/>
          <w:kern w:val="0"/>
          <w:sz w:val="24"/>
          <w:szCs w:val="24"/>
        </w:rPr>
        <w:t>生效后两日内在规定媒介公告。</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（二）《基金合同》的终止事由</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有下列情形之一的，经履行相关程序后，《基金合同》应当终止：</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1、基金份额持有人大会决定终止的；</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2、基金管理人、基金托管人职责终止，在6个月内没有新基金管理人、新基金托管人承接的；</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3、基金合同生效满三年之日（指自然日），</w:t>
      </w:r>
      <w:proofErr w:type="gramStart"/>
      <w:r w:rsidRPr="00D05755">
        <w:rPr>
          <w:rFonts w:ascii="宋体" w:hAnsi="宋体" w:cs="宋体"/>
          <w:kern w:val="0"/>
          <w:sz w:val="24"/>
          <w:szCs w:val="24"/>
        </w:rPr>
        <w:t>若基金</w:t>
      </w:r>
      <w:proofErr w:type="gramEnd"/>
      <w:r w:rsidRPr="00D05755">
        <w:rPr>
          <w:rFonts w:ascii="宋体" w:hAnsi="宋体" w:cs="宋体"/>
          <w:kern w:val="0"/>
          <w:sz w:val="24"/>
          <w:szCs w:val="24"/>
        </w:rPr>
        <w:t>资产净值低于2亿元人民币的；</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4、《基金合同》约定的其他情形；</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5、相关法律法规和中国证监会规定的其他情况。</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（三）基金财产的清算</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lastRenderedPageBreak/>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3、基金财产清算小组职责：基金财产清算小组负责基金财产的保管、清理、估价、变现和分配。基金财产清算小组可以依法进行必要的民事活动。</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4、基金财产清算程序：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（1）《基金合同》终止情形出现时，由基金财产清算小组统一接管基金；</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（2）对基金财产和债权债务进行清理和确认；</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（3）对基金财产进行估值和变现；</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（4）制作清算报告；</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（5）聘请符合《中华人民共和国证券法》规定的会计师事务所对清算报告进行外部审计，聘请律师事务所对清算报告出具法律意见书；</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（6）将清算报告报中国证监会备案并公告；</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（7）对基金剩余财产进行分配。</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5、基金财产清算的期限为6个月，但因本基金所持证券的流动性受到限制而不能及时变现的，清算期限相应顺延。</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（四）清算费用</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（五）基金财产清算剩余资产的分配</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依据基金财产清算的分配方案，将基金财产清算后的全部剩余资产扣除基金财产清算费用、交纳所欠税款并清偿基金债务后，按基金份额持有人持有的基金份额比例进行分配，并扣除相应的超额管理费（如有）。</w:t>
      </w:r>
    </w:p>
    <w:p w:rsidR="00E8691A" w:rsidRPr="00D05755" w:rsidRDefault="006E24B4">
      <w:pPr>
        <w:pStyle w:val="div"/>
        <w:spacing w:line="360" w:lineRule="auto"/>
        <w:ind w:firstLine="420"/>
        <w:rPr>
          <w:rFonts w:eastAsia="Times New Roman"/>
          <w:kern w:val="0"/>
          <w:sz w:val="24"/>
          <w:szCs w:val="24"/>
        </w:rPr>
      </w:pPr>
      <w:bookmarkStart w:id="110" w:name="OLE_LINK12"/>
      <w:bookmarkStart w:id="111" w:name="OLE_LINK11"/>
      <w:r w:rsidRPr="00D05755">
        <w:rPr>
          <w:rFonts w:ascii="宋体" w:hAnsi="宋体" w:cs="宋体"/>
          <w:kern w:val="0"/>
          <w:sz w:val="24"/>
          <w:szCs w:val="24"/>
        </w:rPr>
        <w:t>其中，对于投资者通过直销机构认购/申购的C类基金份额所计提的销售服务费或者通过其他销售机构认购/申购且持续持有期限超过一年（即365天）以后继续计提的C类基金份额销售服务费，将在基金合同终止时随</w:t>
      </w:r>
      <w:proofErr w:type="gramStart"/>
      <w:r w:rsidRPr="00D05755">
        <w:rPr>
          <w:rFonts w:ascii="宋体" w:hAnsi="宋体" w:cs="宋体"/>
          <w:kern w:val="0"/>
          <w:sz w:val="24"/>
          <w:szCs w:val="24"/>
        </w:rPr>
        <w:t>清算款</w:t>
      </w:r>
      <w:proofErr w:type="gramEnd"/>
      <w:r w:rsidRPr="00D05755">
        <w:rPr>
          <w:rFonts w:ascii="宋体" w:hAnsi="宋体" w:cs="宋体"/>
          <w:kern w:val="0"/>
          <w:sz w:val="24"/>
          <w:szCs w:val="24"/>
        </w:rPr>
        <w:t>一并返还给投资者。</w:t>
      </w:r>
    </w:p>
    <w:bookmarkEnd w:id="110"/>
    <w:bookmarkEnd w:id="111"/>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（六）基金财产清算的公告</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清算过程中的有关重大事项须及时公告；基金财产清算报告</w:t>
      </w:r>
      <w:proofErr w:type="gramStart"/>
      <w:r w:rsidRPr="00D05755">
        <w:rPr>
          <w:rFonts w:ascii="宋体" w:hAnsi="宋体" w:cs="宋体"/>
          <w:kern w:val="0"/>
          <w:sz w:val="24"/>
          <w:szCs w:val="24"/>
        </w:rPr>
        <w:t>经符合</w:t>
      </w:r>
      <w:proofErr w:type="gramEnd"/>
      <w:r w:rsidRPr="00D05755">
        <w:rPr>
          <w:rFonts w:ascii="宋体" w:hAnsi="宋体" w:cs="宋体"/>
          <w:kern w:val="0"/>
          <w:sz w:val="24"/>
          <w:szCs w:val="24"/>
        </w:rPr>
        <w:t>《中华人</w:t>
      </w:r>
      <w:r w:rsidRPr="00D05755">
        <w:rPr>
          <w:rFonts w:ascii="宋体" w:hAnsi="宋体" w:cs="宋体"/>
          <w:kern w:val="0"/>
          <w:sz w:val="24"/>
          <w:szCs w:val="24"/>
        </w:rPr>
        <w:lastRenderedPageBreak/>
        <w:t>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（七）基金财产清算账册及文件的保存</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基金财产清算账册及有关文件由基金托管人保存，保存期限不少于法定最低期限。</w:t>
      </w:r>
    </w:p>
    <w:p w:rsidR="00E8691A" w:rsidRPr="00D05755" w:rsidRDefault="006E24B4">
      <w:pPr>
        <w:pStyle w:val="2"/>
        <w:keepNext w:val="0"/>
        <w:keepLines w:val="0"/>
        <w:spacing w:before="0" w:after="0" w:line="240" w:lineRule="auto"/>
        <w:ind w:firstLine="480"/>
        <w:rPr>
          <w:rFonts w:ascii="Times New Roman" w:eastAsia="Times New Roman" w:hAnsi="Times New Roman"/>
          <w:bCs/>
          <w:kern w:val="0"/>
          <w:sz w:val="24"/>
          <w:szCs w:val="24"/>
        </w:rPr>
      </w:pPr>
      <w:r w:rsidRPr="00D05755">
        <w:rPr>
          <w:rFonts w:ascii="宋体" w:eastAsia="宋体" w:hAnsi="宋体" w:cs="宋体"/>
          <w:bCs/>
          <w:kern w:val="0"/>
          <w:sz w:val="24"/>
          <w:szCs w:val="24"/>
        </w:rPr>
        <w:t>八、争议解决方式</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中国国际经济贸易仲裁委员会，按照其届时有效的仲裁规则进行仲裁，仲裁地点为北京市。仲裁裁决是终局的，对各方当事人均有约束力，除非仲裁裁决另有决定，仲裁费由败诉方承担。</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争议处理期间，基金合同当事人应恪守各自的职责，继续忠实、勤勉、尽责地履行基金合同规定的义务，维护基金份额持有人的合法权益。</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《基金合同》受中国法律（为本基金合同之目的，在此不包括香港、澳门特别行政区和台湾地区法律）管辖并从其解释。</w:t>
      </w:r>
    </w:p>
    <w:p w:rsidR="00E8691A" w:rsidRPr="00D05755" w:rsidRDefault="006E24B4">
      <w:pPr>
        <w:pStyle w:val="2"/>
        <w:keepNext w:val="0"/>
        <w:keepLines w:val="0"/>
        <w:spacing w:before="0" w:after="0" w:line="240" w:lineRule="auto"/>
        <w:ind w:firstLine="480"/>
        <w:rPr>
          <w:rFonts w:ascii="Times New Roman" w:eastAsia="Times New Roman" w:hAnsi="Times New Roman"/>
          <w:bCs/>
          <w:kern w:val="0"/>
          <w:sz w:val="24"/>
          <w:szCs w:val="24"/>
        </w:rPr>
      </w:pPr>
      <w:r w:rsidRPr="00D05755">
        <w:rPr>
          <w:rFonts w:ascii="宋体" w:eastAsia="宋体" w:hAnsi="宋体" w:cs="宋体"/>
          <w:bCs/>
          <w:kern w:val="0"/>
          <w:sz w:val="24"/>
          <w:szCs w:val="24"/>
        </w:rPr>
        <w:t>九、基金合同的效力</w:t>
      </w:r>
    </w:p>
    <w:p w:rsidR="00E8691A" w:rsidRPr="00D05755" w:rsidRDefault="006E24B4">
      <w:pPr>
        <w:spacing w:line="360" w:lineRule="auto"/>
        <w:ind w:firstLine="480"/>
        <w:rPr>
          <w:rFonts w:eastAsia="Times New Roman"/>
          <w:kern w:val="0"/>
          <w:sz w:val="24"/>
          <w:szCs w:val="24"/>
        </w:rPr>
      </w:pPr>
      <w:r w:rsidRPr="00D05755">
        <w:rPr>
          <w:rFonts w:ascii="宋体" w:hAnsi="宋体" w:cs="宋体"/>
          <w:kern w:val="0"/>
          <w:sz w:val="24"/>
          <w:szCs w:val="24"/>
        </w:rPr>
        <w:t>《基金合同》是约定基金合同当事人之间权利义务关系的法律文件。</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2、《基金合同》的有效期自其生效之日起至基金财产清算结果报中国证监会备案并公告之日止。</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3、《基金合同》自生效之日起对包括基金管理人、基金托管人和基金份额持有人在内的《基金合同》各方当事人具有同等的法律约束力。</w:t>
      </w:r>
    </w:p>
    <w:p w:rsidR="00E8691A" w:rsidRPr="00D05755" w:rsidRDefault="006E24B4">
      <w:pPr>
        <w:spacing w:line="360" w:lineRule="auto"/>
        <w:ind w:firstLine="480"/>
        <w:jc w:val="left"/>
        <w:rPr>
          <w:rFonts w:eastAsia="Times New Roman"/>
          <w:kern w:val="0"/>
          <w:sz w:val="24"/>
          <w:szCs w:val="24"/>
        </w:rPr>
      </w:pPr>
      <w:r w:rsidRPr="00D05755">
        <w:rPr>
          <w:rFonts w:ascii="宋体" w:hAnsi="宋体" w:cs="宋体"/>
          <w:kern w:val="0"/>
          <w:sz w:val="24"/>
          <w:szCs w:val="24"/>
        </w:rPr>
        <w:t>4、《基金合同》正本一式叁份，除上报有关监管机构一式壹份外，基金管理人、基金托管人各持有壹份，每份具有同等的法律效力。</w:t>
      </w:r>
    </w:p>
    <w:p w:rsidR="00E8691A" w:rsidRPr="00654AA9" w:rsidRDefault="006E24B4" w:rsidP="00654AA9">
      <w:pPr>
        <w:spacing w:line="360" w:lineRule="auto"/>
        <w:ind w:firstLine="480"/>
        <w:jc w:val="left"/>
        <w:rPr>
          <w:rFonts w:eastAsia="Times New Roman"/>
          <w:kern w:val="0"/>
          <w:sz w:val="24"/>
          <w:szCs w:val="24"/>
        </w:rPr>
      </w:pPr>
      <w:r w:rsidRPr="00D05755">
        <w:rPr>
          <w:rFonts w:ascii="宋体" w:hAnsi="宋体" w:cs="宋体"/>
          <w:kern w:val="0"/>
          <w:sz w:val="24"/>
          <w:szCs w:val="24"/>
        </w:rPr>
        <w:t>5、《基金合同》可印制成册，供投资者在基金管理人、基金托管人、销售机构的办公场所和营业场所查阅。</w:t>
      </w:r>
    </w:p>
    <w:sectPr w:rsidR="00E8691A" w:rsidRPr="00654AA9" w:rsidSect="00C01A25">
      <w:headerReference w:type="default" r:id="rId17"/>
      <w:type w:val="continuous"/>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AF7" w:rsidRDefault="007F4AF7">
      <w:r>
        <w:separator/>
      </w:r>
    </w:p>
  </w:endnote>
  <w:endnote w:type="continuationSeparator" w:id="0">
    <w:p w:rsidR="007F4AF7" w:rsidRDefault="007F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微软雅黑"/>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433161"/>
      <w:docPartObj>
        <w:docPartGallery w:val="Page Numbers (Bottom of Page)"/>
        <w:docPartUnique/>
      </w:docPartObj>
    </w:sdtPr>
    <w:sdtEndPr/>
    <w:sdtContent>
      <w:p w:rsidR="00232E67" w:rsidRDefault="00232E67">
        <w:pPr>
          <w:pStyle w:val="a9"/>
          <w:jc w:val="center"/>
        </w:pPr>
        <w:r>
          <w:fldChar w:fldCharType="begin"/>
        </w:r>
        <w:r>
          <w:instrText>PAGE   \* MERGEFORMAT</w:instrText>
        </w:r>
        <w:r>
          <w:fldChar w:fldCharType="separate"/>
        </w:r>
        <w:r w:rsidR="00081F0C" w:rsidRPr="00081F0C">
          <w:rPr>
            <w:noProof/>
            <w:lang w:val="zh-CN"/>
          </w:rPr>
          <w:t>20</w:t>
        </w:r>
        <w:r>
          <w:fldChar w:fldCharType="end"/>
        </w:r>
      </w:p>
    </w:sdtContent>
  </w:sdt>
  <w:p w:rsidR="00232E67" w:rsidRDefault="00232E67">
    <w:pPr>
      <w:pStyle w:val="a9"/>
      <w:jc w:val="center"/>
      <w:rPr>
        <w:color w:val="000000" w:themeColor="text1"/>
        <w14:shadow w14:blurRad="38100" w14:dist="19050" w14:dir="2700000" w14:sx="100000" w14:sy="100000" w14:kx="0" w14:ky="0" w14:algn="tl">
          <w14:schemeClr w14:val="dk1">
            <w14:alpha w14:val="60000"/>
          </w14:schemeClr>
        </w14:shad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AF7" w:rsidRDefault="007F4AF7">
      <w:r>
        <w:separator/>
      </w:r>
    </w:p>
  </w:footnote>
  <w:footnote w:type="continuationSeparator" w:id="0">
    <w:p w:rsidR="007F4AF7" w:rsidRDefault="007F4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67" w:rsidRDefault="00232E67">
    <w:pPr>
      <w:pStyle w:val="aa"/>
      <w:tabs>
        <w:tab w:val="clear" w:pos="4153"/>
      </w:tabs>
      <w:jc w:val="left"/>
    </w:pPr>
    <w:proofErr w:type="gramStart"/>
    <w:r>
      <w:t>汇添富</w:t>
    </w:r>
    <w:r>
      <w:rPr>
        <w:rFonts w:hint="eastAsia"/>
      </w:rPr>
      <w:t>金融</w:t>
    </w:r>
    <w:proofErr w:type="gramEnd"/>
    <w:r>
      <w:rPr>
        <w:rFonts w:hint="eastAsia"/>
      </w:rPr>
      <w:t>优选混合型发起式</w:t>
    </w:r>
    <w:r>
      <w:t>证券投资基金</w:t>
    </w:r>
    <w:r>
      <w:tab/>
    </w:r>
    <w: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1D0A47"/>
    <w:multiLevelType w:val="singleLevel"/>
    <w:tmpl w:val="881D0A47"/>
    <w:lvl w:ilvl="0">
      <w:start w:val="2"/>
      <w:numFmt w:val="decimal"/>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FEF36B08"/>
    <w:rsid w:val="0000081C"/>
    <w:rsid w:val="00001954"/>
    <w:rsid w:val="000028C2"/>
    <w:rsid w:val="00002AF1"/>
    <w:rsid w:val="00002B2F"/>
    <w:rsid w:val="00004542"/>
    <w:rsid w:val="00007665"/>
    <w:rsid w:val="00011FA0"/>
    <w:rsid w:val="000133C4"/>
    <w:rsid w:val="00013D3A"/>
    <w:rsid w:val="00014CA0"/>
    <w:rsid w:val="000150FF"/>
    <w:rsid w:val="000155E7"/>
    <w:rsid w:val="0001599A"/>
    <w:rsid w:val="000159FE"/>
    <w:rsid w:val="00015B61"/>
    <w:rsid w:val="00016D49"/>
    <w:rsid w:val="00016DFA"/>
    <w:rsid w:val="000175EB"/>
    <w:rsid w:val="00017955"/>
    <w:rsid w:val="00017E0A"/>
    <w:rsid w:val="0002079A"/>
    <w:rsid w:val="00020F04"/>
    <w:rsid w:val="00022669"/>
    <w:rsid w:val="0002292E"/>
    <w:rsid w:val="00022A15"/>
    <w:rsid w:val="00025167"/>
    <w:rsid w:val="00026323"/>
    <w:rsid w:val="00032906"/>
    <w:rsid w:val="00032A5E"/>
    <w:rsid w:val="000331C1"/>
    <w:rsid w:val="00034BC8"/>
    <w:rsid w:val="00035B3D"/>
    <w:rsid w:val="000402C2"/>
    <w:rsid w:val="00040E8E"/>
    <w:rsid w:val="000421FF"/>
    <w:rsid w:val="000425E1"/>
    <w:rsid w:val="00044193"/>
    <w:rsid w:val="0004568D"/>
    <w:rsid w:val="000464E5"/>
    <w:rsid w:val="000466DC"/>
    <w:rsid w:val="00047F51"/>
    <w:rsid w:val="00050EC4"/>
    <w:rsid w:val="0005235A"/>
    <w:rsid w:val="00055194"/>
    <w:rsid w:val="00056035"/>
    <w:rsid w:val="00056089"/>
    <w:rsid w:val="00056B5C"/>
    <w:rsid w:val="0005705B"/>
    <w:rsid w:val="0005789D"/>
    <w:rsid w:val="0006098B"/>
    <w:rsid w:val="0006167D"/>
    <w:rsid w:val="000626A7"/>
    <w:rsid w:val="0006588B"/>
    <w:rsid w:val="000658E8"/>
    <w:rsid w:val="0006758D"/>
    <w:rsid w:val="00067658"/>
    <w:rsid w:val="000700C4"/>
    <w:rsid w:val="000708F5"/>
    <w:rsid w:val="00071DC8"/>
    <w:rsid w:val="00072899"/>
    <w:rsid w:val="0007536D"/>
    <w:rsid w:val="00080338"/>
    <w:rsid w:val="00081F0C"/>
    <w:rsid w:val="0008313D"/>
    <w:rsid w:val="00085407"/>
    <w:rsid w:val="00085549"/>
    <w:rsid w:val="00085738"/>
    <w:rsid w:val="0008618A"/>
    <w:rsid w:val="00087617"/>
    <w:rsid w:val="00090C27"/>
    <w:rsid w:val="000921C9"/>
    <w:rsid w:val="00093C4F"/>
    <w:rsid w:val="00093E3D"/>
    <w:rsid w:val="000946A7"/>
    <w:rsid w:val="00094E37"/>
    <w:rsid w:val="0009782F"/>
    <w:rsid w:val="000A0044"/>
    <w:rsid w:val="000A101E"/>
    <w:rsid w:val="000A4208"/>
    <w:rsid w:val="000A5432"/>
    <w:rsid w:val="000A5CA1"/>
    <w:rsid w:val="000A62B2"/>
    <w:rsid w:val="000B0373"/>
    <w:rsid w:val="000B2B5D"/>
    <w:rsid w:val="000B2D11"/>
    <w:rsid w:val="000B2E1D"/>
    <w:rsid w:val="000B3A83"/>
    <w:rsid w:val="000B4B44"/>
    <w:rsid w:val="000B7447"/>
    <w:rsid w:val="000B7698"/>
    <w:rsid w:val="000C24FA"/>
    <w:rsid w:val="000C3747"/>
    <w:rsid w:val="000C486F"/>
    <w:rsid w:val="000C6F2B"/>
    <w:rsid w:val="000C7015"/>
    <w:rsid w:val="000C718F"/>
    <w:rsid w:val="000C7F98"/>
    <w:rsid w:val="000D214C"/>
    <w:rsid w:val="000D44FB"/>
    <w:rsid w:val="000D5B88"/>
    <w:rsid w:val="000E01C9"/>
    <w:rsid w:val="000E0810"/>
    <w:rsid w:val="000E1B21"/>
    <w:rsid w:val="000E2485"/>
    <w:rsid w:val="000E379A"/>
    <w:rsid w:val="000E46DC"/>
    <w:rsid w:val="000E7118"/>
    <w:rsid w:val="000F1390"/>
    <w:rsid w:val="000F2D8B"/>
    <w:rsid w:val="000F6C71"/>
    <w:rsid w:val="0010069D"/>
    <w:rsid w:val="00100D07"/>
    <w:rsid w:val="00101D37"/>
    <w:rsid w:val="00103ED6"/>
    <w:rsid w:val="001062B4"/>
    <w:rsid w:val="001079D9"/>
    <w:rsid w:val="001104AD"/>
    <w:rsid w:val="0011068C"/>
    <w:rsid w:val="00110ABD"/>
    <w:rsid w:val="001111F7"/>
    <w:rsid w:val="00113269"/>
    <w:rsid w:val="001134B3"/>
    <w:rsid w:val="00114BDB"/>
    <w:rsid w:val="001154AA"/>
    <w:rsid w:val="001220F7"/>
    <w:rsid w:val="00123EB0"/>
    <w:rsid w:val="0012415C"/>
    <w:rsid w:val="00126AE2"/>
    <w:rsid w:val="00126E79"/>
    <w:rsid w:val="001318F0"/>
    <w:rsid w:val="001342AC"/>
    <w:rsid w:val="00134954"/>
    <w:rsid w:val="00137FA4"/>
    <w:rsid w:val="00141EF4"/>
    <w:rsid w:val="001469DA"/>
    <w:rsid w:val="001514B8"/>
    <w:rsid w:val="001522C5"/>
    <w:rsid w:val="001531D8"/>
    <w:rsid w:val="00153D01"/>
    <w:rsid w:val="00153E62"/>
    <w:rsid w:val="00154395"/>
    <w:rsid w:val="00154557"/>
    <w:rsid w:val="00156762"/>
    <w:rsid w:val="00156A25"/>
    <w:rsid w:val="00157A3D"/>
    <w:rsid w:val="00163549"/>
    <w:rsid w:val="00163986"/>
    <w:rsid w:val="00164D53"/>
    <w:rsid w:val="00171C27"/>
    <w:rsid w:val="00172A27"/>
    <w:rsid w:val="0017353E"/>
    <w:rsid w:val="00174D1A"/>
    <w:rsid w:val="0017558A"/>
    <w:rsid w:val="001763D8"/>
    <w:rsid w:val="0017750B"/>
    <w:rsid w:val="001813A6"/>
    <w:rsid w:val="00181834"/>
    <w:rsid w:val="00182814"/>
    <w:rsid w:val="00184368"/>
    <w:rsid w:val="00184A75"/>
    <w:rsid w:val="00184B76"/>
    <w:rsid w:val="00185E1F"/>
    <w:rsid w:val="00187BCF"/>
    <w:rsid w:val="001945E9"/>
    <w:rsid w:val="00194664"/>
    <w:rsid w:val="00194873"/>
    <w:rsid w:val="00194E95"/>
    <w:rsid w:val="0019565B"/>
    <w:rsid w:val="0019649B"/>
    <w:rsid w:val="001A3218"/>
    <w:rsid w:val="001A4100"/>
    <w:rsid w:val="001A7E11"/>
    <w:rsid w:val="001B09FE"/>
    <w:rsid w:val="001B0ACB"/>
    <w:rsid w:val="001B1027"/>
    <w:rsid w:val="001B23B7"/>
    <w:rsid w:val="001B3121"/>
    <w:rsid w:val="001B325B"/>
    <w:rsid w:val="001B64E6"/>
    <w:rsid w:val="001B6BAC"/>
    <w:rsid w:val="001B7B9C"/>
    <w:rsid w:val="001C101B"/>
    <w:rsid w:val="001C1B8F"/>
    <w:rsid w:val="001C1DA0"/>
    <w:rsid w:val="001C4009"/>
    <w:rsid w:val="001C5537"/>
    <w:rsid w:val="001C64F4"/>
    <w:rsid w:val="001C6D6A"/>
    <w:rsid w:val="001C771D"/>
    <w:rsid w:val="001C7B68"/>
    <w:rsid w:val="001D2751"/>
    <w:rsid w:val="001D5559"/>
    <w:rsid w:val="001D57AF"/>
    <w:rsid w:val="001E04B5"/>
    <w:rsid w:val="001E094C"/>
    <w:rsid w:val="001E0FF2"/>
    <w:rsid w:val="001E2C2E"/>
    <w:rsid w:val="001E478B"/>
    <w:rsid w:val="001E505C"/>
    <w:rsid w:val="001E5853"/>
    <w:rsid w:val="001E5A8A"/>
    <w:rsid w:val="001E5F81"/>
    <w:rsid w:val="001E5F9D"/>
    <w:rsid w:val="001F0926"/>
    <w:rsid w:val="001F0940"/>
    <w:rsid w:val="001F13BD"/>
    <w:rsid w:val="001F1915"/>
    <w:rsid w:val="001F4B18"/>
    <w:rsid w:val="001F50E1"/>
    <w:rsid w:val="0020061C"/>
    <w:rsid w:val="002034E8"/>
    <w:rsid w:val="00204621"/>
    <w:rsid w:val="00206016"/>
    <w:rsid w:val="002063A1"/>
    <w:rsid w:val="00210EF2"/>
    <w:rsid w:val="00214B3C"/>
    <w:rsid w:val="00215C7F"/>
    <w:rsid w:val="00216CFA"/>
    <w:rsid w:val="002172E3"/>
    <w:rsid w:val="002178D8"/>
    <w:rsid w:val="0022040F"/>
    <w:rsid w:val="00222562"/>
    <w:rsid w:val="00222DE4"/>
    <w:rsid w:val="002254B5"/>
    <w:rsid w:val="002256A5"/>
    <w:rsid w:val="00226C42"/>
    <w:rsid w:val="0022787F"/>
    <w:rsid w:val="002306FB"/>
    <w:rsid w:val="00230C96"/>
    <w:rsid w:val="00231881"/>
    <w:rsid w:val="00232C19"/>
    <w:rsid w:val="00232E67"/>
    <w:rsid w:val="00234E30"/>
    <w:rsid w:val="00236F6C"/>
    <w:rsid w:val="00244337"/>
    <w:rsid w:val="0024488F"/>
    <w:rsid w:val="00244F1A"/>
    <w:rsid w:val="00245AE5"/>
    <w:rsid w:val="00245EC0"/>
    <w:rsid w:val="0024674D"/>
    <w:rsid w:val="0024792E"/>
    <w:rsid w:val="00251CDE"/>
    <w:rsid w:val="002537C0"/>
    <w:rsid w:val="00254E6E"/>
    <w:rsid w:val="0026130F"/>
    <w:rsid w:val="002636AE"/>
    <w:rsid w:val="00265178"/>
    <w:rsid w:val="00265761"/>
    <w:rsid w:val="00265EF4"/>
    <w:rsid w:val="00266093"/>
    <w:rsid w:val="0026618B"/>
    <w:rsid w:val="00270BAA"/>
    <w:rsid w:val="00270F39"/>
    <w:rsid w:val="00271C88"/>
    <w:rsid w:val="00272A4E"/>
    <w:rsid w:val="002732E9"/>
    <w:rsid w:val="00273649"/>
    <w:rsid w:val="00273B12"/>
    <w:rsid w:val="0027418C"/>
    <w:rsid w:val="0027425C"/>
    <w:rsid w:val="0027450C"/>
    <w:rsid w:val="00276450"/>
    <w:rsid w:val="00280098"/>
    <w:rsid w:val="002807DE"/>
    <w:rsid w:val="00284FBC"/>
    <w:rsid w:val="00287487"/>
    <w:rsid w:val="00287D58"/>
    <w:rsid w:val="00290F25"/>
    <w:rsid w:val="00291175"/>
    <w:rsid w:val="00291A05"/>
    <w:rsid w:val="00291FEB"/>
    <w:rsid w:val="00292622"/>
    <w:rsid w:val="00294077"/>
    <w:rsid w:val="00294659"/>
    <w:rsid w:val="00296254"/>
    <w:rsid w:val="00296F4D"/>
    <w:rsid w:val="002A05A3"/>
    <w:rsid w:val="002A0C0C"/>
    <w:rsid w:val="002A1130"/>
    <w:rsid w:val="002A20A0"/>
    <w:rsid w:val="002A2661"/>
    <w:rsid w:val="002A7FE4"/>
    <w:rsid w:val="002B0550"/>
    <w:rsid w:val="002B2641"/>
    <w:rsid w:val="002B3231"/>
    <w:rsid w:val="002B5581"/>
    <w:rsid w:val="002B7554"/>
    <w:rsid w:val="002C077B"/>
    <w:rsid w:val="002C0955"/>
    <w:rsid w:val="002C28E2"/>
    <w:rsid w:val="002C3D58"/>
    <w:rsid w:val="002C42BD"/>
    <w:rsid w:val="002C4EC5"/>
    <w:rsid w:val="002C5078"/>
    <w:rsid w:val="002C59D2"/>
    <w:rsid w:val="002C7792"/>
    <w:rsid w:val="002C7A62"/>
    <w:rsid w:val="002D0BE2"/>
    <w:rsid w:val="002D179A"/>
    <w:rsid w:val="002D330B"/>
    <w:rsid w:val="002E0E13"/>
    <w:rsid w:val="002E13E1"/>
    <w:rsid w:val="002E3842"/>
    <w:rsid w:val="002E426E"/>
    <w:rsid w:val="002E4DEA"/>
    <w:rsid w:val="002E5101"/>
    <w:rsid w:val="002E6AA0"/>
    <w:rsid w:val="002E7F15"/>
    <w:rsid w:val="002F0CE1"/>
    <w:rsid w:val="002F0DB6"/>
    <w:rsid w:val="002F1A4D"/>
    <w:rsid w:val="002F2B69"/>
    <w:rsid w:val="002F4328"/>
    <w:rsid w:val="002F6E80"/>
    <w:rsid w:val="002F7AFD"/>
    <w:rsid w:val="00303634"/>
    <w:rsid w:val="00303F10"/>
    <w:rsid w:val="003055ED"/>
    <w:rsid w:val="00306205"/>
    <w:rsid w:val="00307524"/>
    <w:rsid w:val="00311061"/>
    <w:rsid w:val="00313741"/>
    <w:rsid w:val="003150F0"/>
    <w:rsid w:val="00315C67"/>
    <w:rsid w:val="00317456"/>
    <w:rsid w:val="00317491"/>
    <w:rsid w:val="0032091F"/>
    <w:rsid w:val="003211EB"/>
    <w:rsid w:val="00321B94"/>
    <w:rsid w:val="003227EC"/>
    <w:rsid w:val="003228DF"/>
    <w:rsid w:val="0032387B"/>
    <w:rsid w:val="00323CC5"/>
    <w:rsid w:val="00325D32"/>
    <w:rsid w:val="00326283"/>
    <w:rsid w:val="00327601"/>
    <w:rsid w:val="00330637"/>
    <w:rsid w:val="00331C52"/>
    <w:rsid w:val="00331EA2"/>
    <w:rsid w:val="003326C2"/>
    <w:rsid w:val="00341D5C"/>
    <w:rsid w:val="00341FC3"/>
    <w:rsid w:val="00342867"/>
    <w:rsid w:val="00343C18"/>
    <w:rsid w:val="00343C28"/>
    <w:rsid w:val="00351F38"/>
    <w:rsid w:val="003528FF"/>
    <w:rsid w:val="00352A25"/>
    <w:rsid w:val="00353D96"/>
    <w:rsid w:val="003549ED"/>
    <w:rsid w:val="00357A08"/>
    <w:rsid w:val="0036095B"/>
    <w:rsid w:val="003610DF"/>
    <w:rsid w:val="00361178"/>
    <w:rsid w:val="00362023"/>
    <w:rsid w:val="003641E7"/>
    <w:rsid w:val="00365108"/>
    <w:rsid w:val="00365EDD"/>
    <w:rsid w:val="00370B76"/>
    <w:rsid w:val="00370BD6"/>
    <w:rsid w:val="003713B6"/>
    <w:rsid w:val="003714C1"/>
    <w:rsid w:val="00373CEE"/>
    <w:rsid w:val="003740DF"/>
    <w:rsid w:val="0037546D"/>
    <w:rsid w:val="00375DC1"/>
    <w:rsid w:val="003767F5"/>
    <w:rsid w:val="00376907"/>
    <w:rsid w:val="00376F9E"/>
    <w:rsid w:val="00377337"/>
    <w:rsid w:val="00377423"/>
    <w:rsid w:val="0037755C"/>
    <w:rsid w:val="00381934"/>
    <w:rsid w:val="003824C3"/>
    <w:rsid w:val="003867ED"/>
    <w:rsid w:val="00386A89"/>
    <w:rsid w:val="00386F6A"/>
    <w:rsid w:val="003879AF"/>
    <w:rsid w:val="003923A1"/>
    <w:rsid w:val="0039392C"/>
    <w:rsid w:val="00394BC7"/>
    <w:rsid w:val="00394DD2"/>
    <w:rsid w:val="00394E0E"/>
    <w:rsid w:val="003964CB"/>
    <w:rsid w:val="003A0664"/>
    <w:rsid w:val="003A0ABC"/>
    <w:rsid w:val="003A10C0"/>
    <w:rsid w:val="003A12CE"/>
    <w:rsid w:val="003A1D99"/>
    <w:rsid w:val="003A2E79"/>
    <w:rsid w:val="003A4187"/>
    <w:rsid w:val="003A4239"/>
    <w:rsid w:val="003A645F"/>
    <w:rsid w:val="003A7966"/>
    <w:rsid w:val="003B1DF6"/>
    <w:rsid w:val="003B46E8"/>
    <w:rsid w:val="003B5D7E"/>
    <w:rsid w:val="003B6E3D"/>
    <w:rsid w:val="003C1368"/>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E730F"/>
    <w:rsid w:val="003F33E0"/>
    <w:rsid w:val="003F47B0"/>
    <w:rsid w:val="003F485F"/>
    <w:rsid w:val="003F4C16"/>
    <w:rsid w:val="004030CE"/>
    <w:rsid w:val="00412396"/>
    <w:rsid w:val="00415036"/>
    <w:rsid w:val="00416341"/>
    <w:rsid w:val="00421136"/>
    <w:rsid w:val="00424437"/>
    <w:rsid w:val="00425210"/>
    <w:rsid w:val="00425551"/>
    <w:rsid w:val="00427998"/>
    <w:rsid w:val="0043083F"/>
    <w:rsid w:val="0043207F"/>
    <w:rsid w:val="004329EA"/>
    <w:rsid w:val="004356A1"/>
    <w:rsid w:val="00437E04"/>
    <w:rsid w:val="00440B25"/>
    <w:rsid w:val="00441163"/>
    <w:rsid w:val="0044151B"/>
    <w:rsid w:val="004421C9"/>
    <w:rsid w:val="0044226E"/>
    <w:rsid w:val="00443E05"/>
    <w:rsid w:val="00443F0B"/>
    <w:rsid w:val="00443FF2"/>
    <w:rsid w:val="00444555"/>
    <w:rsid w:val="00444683"/>
    <w:rsid w:val="004455DC"/>
    <w:rsid w:val="004459AC"/>
    <w:rsid w:val="0045064E"/>
    <w:rsid w:val="004514D2"/>
    <w:rsid w:val="004523BC"/>
    <w:rsid w:val="00454167"/>
    <w:rsid w:val="00456A74"/>
    <w:rsid w:val="00461B17"/>
    <w:rsid w:val="004630AA"/>
    <w:rsid w:val="0046354F"/>
    <w:rsid w:val="00463C2E"/>
    <w:rsid w:val="0046493A"/>
    <w:rsid w:val="004663BB"/>
    <w:rsid w:val="004748B5"/>
    <w:rsid w:val="00476147"/>
    <w:rsid w:val="00477B2F"/>
    <w:rsid w:val="00481428"/>
    <w:rsid w:val="004817AB"/>
    <w:rsid w:val="00482449"/>
    <w:rsid w:val="004828A8"/>
    <w:rsid w:val="00483A5A"/>
    <w:rsid w:val="00483E1E"/>
    <w:rsid w:val="004850E4"/>
    <w:rsid w:val="00485743"/>
    <w:rsid w:val="00485D6C"/>
    <w:rsid w:val="00485F80"/>
    <w:rsid w:val="00490162"/>
    <w:rsid w:val="00493E9A"/>
    <w:rsid w:val="00493F38"/>
    <w:rsid w:val="0049407A"/>
    <w:rsid w:val="00495B72"/>
    <w:rsid w:val="00496B22"/>
    <w:rsid w:val="004A064E"/>
    <w:rsid w:val="004A065C"/>
    <w:rsid w:val="004A23AD"/>
    <w:rsid w:val="004A2A64"/>
    <w:rsid w:val="004A3A39"/>
    <w:rsid w:val="004A44C9"/>
    <w:rsid w:val="004A5B63"/>
    <w:rsid w:val="004A5BFB"/>
    <w:rsid w:val="004B0446"/>
    <w:rsid w:val="004B0880"/>
    <w:rsid w:val="004B0FF1"/>
    <w:rsid w:val="004B1847"/>
    <w:rsid w:val="004B342D"/>
    <w:rsid w:val="004B404F"/>
    <w:rsid w:val="004B638A"/>
    <w:rsid w:val="004B65AA"/>
    <w:rsid w:val="004B798D"/>
    <w:rsid w:val="004B7E43"/>
    <w:rsid w:val="004C0CF1"/>
    <w:rsid w:val="004C101A"/>
    <w:rsid w:val="004C27BF"/>
    <w:rsid w:val="004C3EB3"/>
    <w:rsid w:val="004C5BE8"/>
    <w:rsid w:val="004C640F"/>
    <w:rsid w:val="004C7C19"/>
    <w:rsid w:val="004D00B8"/>
    <w:rsid w:val="004D087E"/>
    <w:rsid w:val="004D1F74"/>
    <w:rsid w:val="004D3CB7"/>
    <w:rsid w:val="004D3E32"/>
    <w:rsid w:val="004D4076"/>
    <w:rsid w:val="004D4597"/>
    <w:rsid w:val="004D4B2E"/>
    <w:rsid w:val="004D6E32"/>
    <w:rsid w:val="004D7EE6"/>
    <w:rsid w:val="004E2FB8"/>
    <w:rsid w:val="004E3F60"/>
    <w:rsid w:val="004E71CB"/>
    <w:rsid w:val="004E7693"/>
    <w:rsid w:val="004F19F4"/>
    <w:rsid w:val="004F235D"/>
    <w:rsid w:val="004F2BF3"/>
    <w:rsid w:val="004F67DD"/>
    <w:rsid w:val="004F7634"/>
    <w:rsid w:val="005002BE"/>
    <w:rsid w:val="0050140C"/>
    <w:rsid w:val="00501C12"/>
    <w:rsid w:val="0050234F"/>
    <w:rsid w:val="00503385"/>
    <w:rsid w:val="005042D7"/>
    <w:rsid w:val="005043A3"/>
    <w:rsid w:val="005047C9"/>
    <w:rsid w:val="0050527D"/>
    <w:rsid w:val="005071AC"/>
    <w:rsid w:val="0051032E"/>
    <w:rsid w:val="00510629"/>
    <w:rsid w:val="00510B3C"/>
    <w:rsid w:val="00510F70"/>
    <w:rsid w:val="00511E60"/>
    <w:rsid w:val="00512A1C"/>
    <w:rsid w:val="005143CF"/>
    <w:rsid w:val="00517402"/>
    <w:rsid w:val="00517CC1"/>
    <w:rsid w:val="0052013F"/>
    <w:rsid w:val="00521E6C"/>
    <w:rsid w:val="0052235B"/>
    <w:rsid w:val="005232C1"/>
    <w:rsid w:val="00523C59"/>
    <w:rsid w:val="00523FEC"/>
    <w:rsid w:val="0052416A"/>
    <w:rsid w:val="00524736"/>
    <w:rsid w:val="005250A6"/>
    <w:rsid w:val="0052660B"/>
    <w:rsid w:val="00526622"/>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564CC"/>
    <w:rsid w:val="0056021E"/>
    <w:rsid w:val="00560C71"/>
    <w:rsid w:val="00562C6C"/>
    <w:rsid w:val="00563105"/>
    <w:rsid w:val="00563823"/>
    <w:rsid w:val="00563EDF"/>
    <w:rsid w:val="00564AA3"/>
    <w:rsid w:val="00565504"/>
    <w:rsid w:val="0056786D"/>
    <w:rsid w:val="00567A3A"/>
    <w:rsid w:val="00573B86"/>
    <w:rsid w:val="0057438E"/>
    <w:rsid w:val="00574A8F"/>
    <w:rsid w:val="005754B9"/>
    <w:rsid w:val="00577556"/>
    <w:rsid w:val="00577A71"/>
    <w:rsid w:val="00580F61"/>
    <w:rsid w:val="00581C8A"/>
    <w:rsid w:val="0058322B"/>
    <w:rsid w:val="00584CC5"/>
    <w:rsid w:val="00586283"/>
    <w:rsid w:val="00586CEE"/>
    <w:rsid w:val="005940EA"/>
    <w:rsid w:val="00597C83"/>
    <w:rsid w:val="005A1356"/>
    <w:rsid w:val="005A5B49"/>
    <w:rsid w:val="005A6629"/>
    <w:rsid w:val="005A7366"/>
    <w:rsid w:val="005A7C4B"/>
    <w:rsid w:val="005B1F22"/>
    <w:rsid w:val="005B2C59"/>
    <w:rsid w:val="005B6D99"/>
    <w:rsid w:val="005C0E89"/>
    <w:rsid w:val="005C4915"/>
    <w:rsid w:val="005C5F32"/>
    <w:rsid w:val="005C7EF8"/>
    <w:rsid w:val="005D0EA9"/>
    <w:rsid w:val="005D24E6"/>
    <w:rsid w:val="005D357F"/>
    <w:rsid w:val="005D38BC"/>
    <w:rsid w:val="005D59A2"/>
    <w:rsid w:val="005D6AC0"/>
    <w:rsid w:val="005E2427"/>
    <w:rsid w:val="005E32FD"/>
    <w:rsid w:val="005E4871"/>
    <w:rsid w:val="005E55B6"/>
    <w:rsid w:val="005E6D9B"/>
    <w:rsid w:val="005E7EB6"/>
    <w:rsid w:val="005F2469"/>
    <w:rsid w:val="005F295D"/>
    <w:rsid w:val="005F3BC6"/>
    <w:rsid w:val="005F5458"/>
    <w:rsid w:val="005F6173"/>
    <w:rsid w:val="005F6A5D"/>
    <w:rsid w:val="005F7D12"/>
    <w:rsid w:val="00602DDF"/>
    <w:rsid w:val="0060304B"/>
    <w:rsid w:val="00604F22"/>
    <w:rsid w:val="00605A97"/>
    <w:rsid w:val="00606858"/>
    <w:rsid w:val="00607E89"/>
    <w:rsid w:val="0061051E"/>
    <w:rsid w:val="006136FE"/>
    <w:rsid w:val="00613E27"/>
    <w:rsid w:val="00614B17"/>
    <w:rsid w:val="006152B7"/>
    <w:rsid w:val="00615B3D"/>
    <w:rsid w:val="00616766"/>
    <w:rsid w:val="0062254D"/>
    <w:rsid w:val="0062281A"/>
    <w:rsid w:val="00624BF6"/>
    <w:rsid w:val="00625DC5"/>
    <w:rsid w:val="006273F7"/>
    <w:rsid w:val="00632B7F"/>
    <w:rsid w:val="00632C60"/>
    <w:rsid w:val="0063350D"/>
    <w:rsid w:val="00635BAC"/>
    <w:rsid w:val="00640B38"/>
    <w:rsid w:val="00646405"/>
    <w:rsid w:val="00647016"/>
    <w:rsid w:val="00647A6D"/>
    <w:rsid w:val="00647C44"/>
    <w:rsid w:val="00654AA9"/>
    <w:rsid w:val="006552E2"/>
    <w:rsid w:val="0065636E"/>
    <w:rsid w:val="00657286"/>
    <w:rsid w:val="00657FE9"/>
    <w:rsid w:val="006606FE"/>
    <w:rsid w:val="00661030"/>
    <w:rsid w:val="0066289B"/>
    <w:rsid w:val="00662BED"/>
    <w:rsid w:val="00663D33"/>
    <w:rsid w:val="00664530"/>
    <w:rsid w:val="006664CC"/>
    <w:rsid w:val="00667376"/>
    <w:rsid w:val="00670197"/>
    <w:rsid w:val="006701B3"/>
    <w:rsid w:val="006702F3"/>
    <w:rsid w:val="00670F9A"/>
    <w:rsid w:val="006722F4"/>
    <w:rsid w:val="00672678"/>
    <w:rsid w:val="0067274B"/>
    <w:rsid w:val="00673663"/>
    <w:rsid w:val="00673AB4"/>
    <w:rsid w:val="00673FAE"/>
    <w:rsid w:val="00674B1A"/>
    <w:rsid w:val="00674F82"/>
    <w:rsid w:val="0067567E"/>
    <w:rsid w:val="006762BB"/>
    <w:rsid w:val="00676302"/>
    <w:rsid w:val="0067672B"/>
    <w:rsid w:val="006806D8"/>
    <w:rsid w:val="006813D5"/>
    <w:rsid w:val="00682C24"/>
    <w:rsid w:val="0068352C"/>
    <w:rsid w:val="00683692"/>
    <w:rsid w:val="0068450B"/>
    <w:rsid w:val="00685410"/>
    <w:rsid w:val="00690CAC"/>
    <w:rsid w:val="00693FD0"/>
    <w:rsid w:val="00695E69"/>
    <w:rsid w:val="00697450"/>
    <w:rsid w:val="006A0656"/>
    <w:rsid w:val="006A3901"/>
    <w:rsid w:val="006A4726"/>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571"/>
    <w:rsid w:val="006C6740"/>
    <w:rsid w:val="006D0092"/>
    <w:rsid w:val="006D1090"/>
    <w:rsid w:val="006D1817"/>
    <w:rsid w:val="006D4A86"/>
    <w:rsid w:val="006D73F3"/>
    <w:rsid w:val="006E0DF1"/>
    <w:rsid w:val="006E10A7"/>
    <w:rsid w:val="006E19F8"/>
    <w:rsid w:val="006E24B4"/>
    <w:rsid w:val="006E2E24"/>
    <w:rsid w:val="006E2EE7"/>
    <w:rsid w:val="006E51E3"/>
    <w:rsid w:val="006E5717"/>
    <w:rsid w:val="006E5B29"/>
    <w:rsid w:val="006E6751"/>
    <w:rsid w:val="006E6F3F"/>
    <w:rsid w:val="006F0026"/>
    <w:rsid w:val="006F0EAB"/>
    <w:rsid w:val="006F367C"/>
    <w:rsid w:val="006F58F9"/>
    <w:rsid w:val="006F6823"/>
    <w:rsid w:val="006F6CF3"/>
    <w:rsid w:val="006F7791"/>
    <w:rsid w:val="00700086"/>
    <w:rsid w:val="0070265C"/>
    <w:rsid w:val="0070373D"/>
    <w:rsid w:val="0070377A"/>
    <w:rsid w:val="00704AD1"/>
    <w:rsid w:val="00705388"/>
    <w:rsid w:val="007067D5"/>
    <w:rsid w:val="00706886"/>
    <w:rsid w:val="00706B2C"/>
    <w:rsid w:val="0070732B"/>
    <w:rsid w:val="00707F30"/>
    <w:rsid w:val="00711976"/>
    <w:rsid w:val="007123BE"/>
    <w:rsid w:val="00713766"/>
    <w:rsid w:val="00713AC7"/>
    <w:rsid w:val="00716341"/>
    <w:rsid w:val="00717B1F"/>
    <w:rsid w:val="00720089"/>
    <w:rsid w:val="00720353"/>
    <w:rsid w:val="00720B4C"/>
    <w:rsid w:val="00721CD6"/>
    <w:rsid w:val="00722540"/>
    <w:rsid w:val="0072493D"/>
    <w:rsid w:val="0072734B"/>
    <w:rsid w:val="00730D8B"/>
    <w:rsid w:val="007320A5"/>
    <w:rsid w:val="00733D7A"/>
    <w:rsid w:val="0073694A"/>
    <w:rsid w:val="00740E45"/>
    <w:rsid w:val="00742CD2"/>
    <w:rsid w:val="00743628"/>
    <w:rsid w:val="00744048"/>
    <w:rsid w:val="00745B02"/>
    <w:rsid w:val="00745CD4"/>
    <w:rsid w:val="0074618C"/>
    <w:rsid w:val="0074622F"/>
    <w:rsid w:val="00750672"/>
    <w:rsid w:val="00750958"/>
    <w:rsid w:val="00750D0E"/>
    <w:rsid w:val="00751D0B"/>
    <w:rsid w:val="007521DD"/>
    <w:rsid w:val="007526E5"/>
    <w:rsid w:val="00753830"/>
    <w:rsid w:val="00756F36"/>
    <w:rsid w:val="007574B9"/>
    <w:rsid w:val="00762D25"/>
    <w:rsid w:val="00763F7A"/>
    <w:rsid w:val="00765853"/>
    <w:rsid w:val="00766335"/>
    <w:rsid w:val="00766F9D"/>
    <w:rsid w:val="00767B10"/>
    <w:rsid w:val="0077581E"/>
    <w:rsid w:val="00776A3D"/>
    <w:rsid w:val="00777266"/>
    <w:rsid w:val="00783AC6"/>
    <w:rsid w:val="007864FC"/>
    <w:rsid w:val="00794106"/>
    <w:rsid w:val="00794462"/>
    <w:rsid w:val="007A07F6"/>
    <w:rsid w:val="007A0C54"/>
    <w:rsid w:val="007A101D"/>
    <w:rsid w:val="007A1A99"/>
    <w:rsid w:val="007A2B34"/>
    <w:rsid w:val="007A3944"/>
    <w:rsid w:val="007A3D17"/>
    <w:rsid w:val="007A6E51"/>
    <w:rsid w:val="007A7475"/>
    <w:rsid w:val="007A7AFA"/>
    <w:rsid w:val="007B016B"/>
    <w:rsid w:val="007B02EC"/>
    <w:rsid w:val="007B032F"/>
    <w:rsid w:val="007B102F"/>
    <w:rsid w:val="007B141F"/>
    <w:rsid w:val="007B162A"/>
    <w:rsid w:val="007B1F6E"/>
    <w:rsid w:val="007B217A"/>
    <w:rsid w:val="007B401B"/>
    <w:rsid w:val="007B5408"/>
    <w:rsid w:val="007B5B0D"/>
    <w:rsid w:val="007B7A3D"/>
    <w:rsid w:val="007C03F5"/>
    <w:rsid w:val="007C0B84"/>
    <w:rsid w:val="007C22E8"/>
    <w:rsid w:val="007C36EF"/>
    <w:rsid w:val="007D114A"/>
    <w:rsid w:val="007D12A7"/>
    <w:rsid w:val="007D24FC"/>
    <w:rsid w:val="007D2E71"/>
    <w:rsid w:val="007D4FC2"/>
    <w:rsid w:val="007D7A8F"/>
    <w:rsid w:val="007E0C49"/>
    <w:rsid w:val="007E1CEB"/>
    <w:rsid w:val="007E4B7D"/>
    <w:rsid w:val="007E53EB"/>
    <w:rsid w:val="007E5EDC"/>
    <w:rsid w:val="007E6761"/>
    <w:rsid w:val="007E715D"/>
    <w:rsid w:val="007E73E5"/>
    <w:rsid w:val="007F0B88"/>
    <w:rsid w:val="007F100A"/>
    <w:rsid w:val="007F116F"/>
    <w:rsid w:val="007F2532"/>
    <w:rsid w:val="007F317B"/>
    <w:rsid w:val="007F35B6"/>
    <w:rsid w:val="007F4AF7"/>
    <w:rsid w:val="007F74BB"/>
    <w:rsid w:val="007F7644"/>
    <w:rsid w:val="0080005F"/>
    <w:rsid w:val="008023A4"/>
    <w:rsid w:val="0080292B"/>
    <w:rsid w:val="008034F4"/>
    <w:rsid w:val="00803E5F"/>
    <w:rsid w:val="00804D8A"/>
    <w:rsid w:val="00805681"/>
    <w:rsid w:val="00805E44"/>
    <w:rsid w:val="008071A5"/>
    <w:rsid w:val="00811A98"/>
    <w:rsid w:val="00812BE2"/>
    <w:rsid w:val="00812F32"/>
    <w:rsid w:val="008157DE"/>
    <w:rsid w:val="008161AC"/>
    <w:rsid w:val="00816F47"/>
    <w:rsid w:val="00817FDD"/>
    <w:rsid w:val="00820176"/>
    <w:rsid w:val="008215E7"/>
    <w:rsid w:val="0082282E"/>
    <w:rsid w:val="00823C3C"/>
    <w:rsid w:val="00823F0A"/>
    <w:rsid w:val="008279AF"/>
    <w:rsid w:val="00830F84"/>
    <w:rsid w:val="00831C63"/>
    <w:rsid w:val="00832E34"/>
    <w:rsid w:val="008349B9"/>
    <w:rsid w:val="00835199"/>
    <w:rsid w:val="00835969"/>
    <w:rsid w:val="008367AC"/>
    <w:rsid w:val="0084171C"/>
    <w:rsid w:val="008420CD"/>
    <w:rsid w:val="00842454"/>
    <w:rsid w:val="00844920"/>
    <w:rsid w:val="0084548A"/>
    <w:rsid w:val="00845783"/>
    <w:rsid w:val="00846146"/>
    <w:rsid w:val="0084625E"/>
    <w:rsid w:val="00846EC0"/>
    <w:rsid w:val="00847077"/>
    <w:rsid w:val="00847110"/>
    <w:rsid w:val="00847DAC"/>
    <w:rsid w:val="0085381D"/>
    <w:rsid w:val="008558F2"/>
    <w:rsid w:val="00860643"/>
    <w:rsid w:val="0086158D"/>
    <w:rsid w:val="008619BE"/>
    <w:rsid w:val="008620E7"/>
    <w:rsid w:val="00862569"/>
    <w:rsid w:val="00862736"/>
    <w:rsid w:val="0086637C"/>
    <w:rsid w:val="00866A73"/>
    <w:rsid w:val="0087054D"/>
    <w:rsid w:val="0087098C"/>
    <w:rsid w:val="00871345"/>
    <w:rsid w:val="00871A2B"/>
    <w:rsid w:val="008736AF"/>
    <w:rsid w:val="0087576D"/>
    <w:rsid w:val="008768E9"/>
    <w:rsid w:val="00876C1A"/>
    <w:rsid w:val="0087743D"/>
    <w:rsid w:val="0088000F"/>
    <w:rsid w:val="00880897"/>
    <w:rsid w:val="00880D13"/>
    <w:rsid w:val="008822BE"/>
    <w:rsid w:val="00883CD5"/>
    <w:rsid w:val="00885664"/>
    <w:rsid w:val="008863E5"/>
    <w:rsid w:val="008867E2"/>
    <w:rsid w:val="00886F29"/>
    <w:rsid w:val="008872D3"/>
    <w:rsid w:val="00892283"/>
    <w:rsid w:val="00893D84"/>
    <w:rsid w:val="00894D35"/>
    <w:rsid w:val="00896085"/>
    <w:rsid w:val="008960D3"/>
    <w:rsid w:val="008972FF"/>
    <w:rsid w:val="008A0C44"/>
    <w:rsid w:val="008A1936"/>
    <w:rsid w:val="008A29AF"/>
    <w:rsid w:val="008A3C1F"/>
    <w:rsid w:val="008A5675"/>
    <w:rsid w:val="008A664D"/>
    <w:rsid w:val="008B17FC"/>
    <w:rsid w:val="008B377E"/>
    <w:rsid w:val="008B5538"/>
    <w:rsid w:val="008B69A5"/>
    <w:rsid w:val="008C2DB4"/>
    <w:rsid w:val="008C2F9E"/>
    <w:rsid w:val="008C3F2C"/>
    <w:rsid w:val="008C42C4"/>
    <w:rsid w:val="008C5E8F"/>
    <w:rsid w:val="008C7BB9"/>
    <w:rsid w:val="008D13E6"/>
    <w:rsid w:val="008D1538"/>
    <w:rsid w:val="008D4520"/>
    <w:rsid w:val="008D5639"/>
    <w:rsid w:val="008E1E18"/>
    <w:rsid w:val="008E46DA"/>
    <w:rsid w:val="008E4ED9"/>
    <w:rsid w:val="008E5532"/>
    <w:rsid w:val="008E68FC"/>
    <w:rsid w:val="008F02BE"/>
    <w:rsid w:val="008F175D"/>
    <w:rsid w:val="008F1767"/>
    <w:rsid w:val="008F1C76"/>
    <w:rsid w:val="008F2229"/>
    <w:rsid w:val="008F4AD7"/>
    <w:rsid w:val="008F6482"/>
    <w:rsid w:val="008F6EDD"/>
    <w:rsid w:val="008F70D1"/>
    <w:rsid w:val="008F74FC"/>
    <w:rsid w:val="008F7AF3"/>
    <w:rsid w:val="00900494"/>
    <w:rsid w:val="00900BED"/>
    <w:rsid w:val="00901A11"/>
    <w:rsid w:val="00901A5C"/>
    <w:rsid w:val="00901A71"/>
    <w:rsid w:val="00902A83"/>
    <w:rsid w:val="00902C50"/>
    <w:rsid w:val="0090469D"/>
    <w:rsid w:val="009068AA"/>
    <w:rsid w:val="00906972"/>
    <w:rsid w:val="009101C5"/>
    <w:rsid w:val="00910434"/>
    <w:rsid w:val="0091154C"/>
    <w:rsid w:val="0091238F"/>
    <w:rsid w:val="00913DA3"/>
    <w:rsid w:val="00913F4F"/>
    <w:rsid w:val="00913F7B"/>
    <w:rsid w:val="00916542"/>
    <w:rsid w:val="00920BE7"/>
    <w:rsid w:val="0092112B"/>
    <w:rsid w:val="009212E2"/>
    <w:rsid w:val="009222D9"/>
    <w:rsid w:val="00923276"/>
    <w:rsid w:val="00923E84"/>
    <w:rsid w:val="00926C15"/>
    <w:rsid w:val="0093156D"/>
    <w:rsid w:val="00932484"/>
    <w:rsid w:val="00932558"/>
    <w:rsid w:val="0093355C"/>
    <w:rsid w:val="00937205"/>
    <w:rsid w:val="00937C1D"/>
    <w:rsid w:val="00940EDA"/>
    <w:rsid w:val="00942271"/>
    <w:rsid w:val="00943759"/>
    <w:rsid w:val="009456D3"/>
    <w:rsid w:val="009472B9"/>
    <w:rsid w:val="009503C7"/>
    <w:rsid w:val="00950B05"/>
    <w:rsid w:val="0095289B"/>
    <w:rsid w:val="00953B50"/>
    <w:rsid w:val="00953CFC"/>
    <w:rsid w:val="00957CC9"/>
    <w:rsid w:val="00963AB1"/>
    <w:rsid w:val="009667E1"/>
    <w:rsid w:val="00970AC2"/>
    <w:rsid w:val="00970CA9"/>
    <w:rsid w:val="00971A90"/>
    <w:rsid w:val="00971EF9"/>
    <w:rsid w:val="009727EA"/>
    <w:rsid w:val="00972A6E"/>
    <w:rsid w:val="009732FF"/>
    <w:rsid w:val="00976551"/>
    <w:rsid w:val="00976BDA"/>
    <w:rsid w:val="00977F69"/>
    <w:rsid w:val="00981AFB"/>
    <w:rsid w:val="009837BE"/>
    <w:rsid w:val="00984220"/>
    <w:rsid w:val="00990F3B"/>
    <w:rsid w:val="00991559"/>
    <w:rsid w:val="009920F3"/>
    <w:rsid w:val="0099256E"/>
    <w:rsid w:val="009928AE"/>
    <w:rsid w:val="00992F6A"/>
    <w:rsid w:val="00995394"/>
    <w:rsid w:val="00996C25"/>
    <w:rsid w:val="009975BB"/>
    <w:rsid w:val="009978A4"/>
    <w:rsid w:val="009A025A"/>
    <w:rsid w:val="009A278E"/>
    <w:rsid w:val="009A3A3C"/>
    <w:rsid w:val="009A40E8"/>
    <w:rsid w:val="009A42CB"/>
    <w:rsid w:val="009A56B6"/>
    <w:rsid w:val="009A5BE7"/>
    <w:rsid w:val="009A6A18"/>
    <w:rsid w:val="009B0B47"/>
    <w:rsid w:val="009B129E"/>
    <w:rsid w:val="009B689C"/>
    <w:rsid w:val="009B6E72"/>
    <w:rsid w:val="009B6EE2"/>
    <w:rsid w:val="009B7163"/>
    <w:rsid w:val="009C0099"/>
    <w:rsid w:val="009C2AB5"/>
    <w:rsid w:val="009C2AEE"/>
    <w:rsid w:val="009C2F87"/>
    <w:rsid w:val="009C30E4"/>
    <w:rsid w:val="009C42D0"/>
    <w:rsid w:val="009C639F"/>
    <w:rsid w:val="009D0008"/>
    <w:rsid w:val="009D0482"/>
    <w:rsid w:val="009D1365"/>
    <w:rsid w:val="009D3B83"/>
    <w:rsid w:val="009D4E0F"/>
    <w:rsid w:val="009D60D5"/>
    <w:rsid w:val="009D63C8"/>
    <w:rsid w:val="009D792E"/>
    <w:rsid w:val="009E1B30"/>
    <w:rsid w:val="009E24C1"/>
    <w:rsid w:val="009E26D0"/>
    <w:rsid w:val="009E3B0F"/>
    <w:rsid w:val="009E4A27"/>
    <w:rsid w:val="009E5EC6"/>
    <w:rsid w:val="009F19ED"/>
    <w:rsid w:val="009F1B4B"/>
    <w:rsid w:val="009F3032"/>
    <w:rsid w:val="009F55A0"/>
    <w:rsid w:val="009F5843"/>
    <w:rsid w:val="009F6843"/>
    <w:rsid w:val="00A00CA5"/>
    <w:rsid w:val="00A02394"/>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02C"/>
    <w:rsid w:val="00A247DD"/>
    <w:rsid w:val="00A2541E"/>
    <w:rsid w:val="00A264EE"/>
    <w:rsid w:val="00A2663F"/>
    <w:rsid w:val="00A26828"/>
    <w:rsid w:val="00A300CA"/>
    <w:rsid w:val="00A30DC0"/>
    <w:rsid w:val="00A31230"/>
    <w:rsid w:val="00A318C6"/>
    <w:rsid w:val="00A35B5E"/>
    <w:rsid w:val="00A35F87"/>
    <w:rsid w:val="00A373BD"/>
    <w:rsid w:val="00A4194B"/>
    <w:rsid w:val="00A43A9A"/>
    <w:rsid w:val="00A43AD4"/>
    <w:rsid w:val="00A43CEF"/>
    <w:rsid w:val="00A448FB"/>
    <w:rsid w:val="00A45211"/>
    <w:rsid w:val="00A46E4F"/>
    <w:rsid w:val="00A47C76"/>
    <w:rsid w:val="00A51A53"/>
    <w:rsid w:val="00A52567"/>
    <w:rsid w:val="00A53761"/>
    <w:rsid w:val="00A53AE8"/>
    <w:rsid w:val="00A53CE6"/>
    <w:rsid w:val="00A5727C"/>
    <w:rsid w:val="00A6205F"/>
    <w:rsid w:val="00A64A63"/>
    <w:rsid w:val="00A65193"/>
    <w:rsid w:val="00A66BC0"/>
    <w:rsid w:val="00A67AD3"/>
    <w:rsid w:val="00A717A1"/>
    <w:rsid w:val="00A72F4A"/>
    <w:rsid w:val="00A73902"/>
    <w:rsid w:val="00A73925"/>
    <w:rsid w:val="00A756D5"/>
    <w:rsid w:val="00A75C27"/>
    <w:rsid w:val="00A76B1E"/>
    <w:rsid w:val="00A77A39"/>
    <w:rsid w:val="00A77AE9"/>
    <w:rsid w:val="00A814A0"/>
    <w:rsid w:val="00A81503"/>
    <w:rsid w:val="00A81C90"/>
    <w:rsid w:val="00A8233D"/>
    <w:rsid w:val="00A84F89"/>
    <w:rsid w:val="00A8574B"/>
    <w:rsid w:val="00A85D20"/>
    <w:rsid w:val="00A86332"/>
    <w:rsid w:val="00A86DD4"/>
    <w:rsid w:val="00A91504"/>
    <w:rsid w:val="00A92F62"/>
    <w:rsid w:val="00A93449"/>
    <w:rsid w:val="00A93B7F"/>
    <w:rsid w:val="00A946EB"/>
    <w:rsid w:val="00AA1A0C"/>
    <w:rsid w:val="00AA1CAC"/>
    <w:rsid w:val="00AA2810"/>
    <w:rsid w:val="00AA3C89"/>
    <w:rsid w:val="00AA6315"/>
    <w:rsid w:val="00AB26E0"/>
    <w:rsid w:val="00AB27CB"/>
    <w:rsid w:val="00AB2C05"/>
    <w:rsid w:val="00AB4A8C"/>
    <w:rsid w:val="00AB71F2"/>
    <w:rsid w:val="00AC49A3"/>
    <w:rsid w:val="00AC4A36"/>
    <w:rsid w:val="00AC5613"/>
    <w:rsid w:val="00AC6D53"/>
    <w:rsid w:val="00AC759D"/>
    <w:rsid w:val="00AD1E0B"/>
    <w:rsid w:val="00AD490B"/>
    <w:rsid w:val="00AE0865"/>
    <w:rsid w:val="00AE1E32"/>
    <w:rsid w:val="00AE3458"/>
    <w:rsid w:val="00AE36DC"/>
    <w:rsid w:val="00AE6A6D"/>
    <w:rsid w:val="00AF00F9"/>
    <w:rsid w:val="00AF0888"/>
    <w:rsid w:val="00AF0D99"/>
    <w:rsid w:val="00AF2C92"/>
    <w:rsid w:val="00AF30BD"/>
    <w:rsid w:val="00AF31D5"/>
    <w:rsid w:val="00AF6810"/>
    <w:rsid w:val="00AF6920"/>
    <w:rsid w:val="00AF735C"/>
    <w:rsid w:val="00B0001B"/>
    <w:rsid w:val="00B02590"/>
    <w:rsid w:val="00B034AA"/>
    <w:rsid w:val="00B03EB7"/>
    <w:rsid w:val="00B04121"/>
    <w:rsid w:val="00B04ECA"/>
    <w:rsid w:val="00B0594C"/>
    <w:rsid w:val="00B05FC7"/>
    <w:rsid w:val="00B06E05"/>
    <w:rsid w:val="00B10A19"/>
    <w:rsid w:val="00B13ECD"/>
    <w:rsid w:val="00B1678A"/>
    <w:rsid w:val="00B172BA"/>
    <w:rsid w:val="00B17B36"/>
    <w:rsid w:val="00B2034A"/>
    <w:rsid w:val="00B20436"/>
    <w:rsid w:val="00B2097F"/>
    <w:rsid w:val="00B22512"/>
    <w:rsid w:val="00B23268"/>
    <w:rsid w:val="00B2357E"/>
    <w:rsid w:val="00B244A2"/>
    <w:rsid w:val="00B2767E"/>
    <w:rsid w:val="00B277C1"/>
    <w:rsid w:val="00B3323E"/>
    <w:rsid w:val="00B332E6"/>
    <w:rsid w:val="00B342DE"/>
    <w:rsid w:val="00B34F9B"/>
    <w:rsid w:val="00B36F96"/>
    <w:rsid w:val="00B37C99"/>
    <w:rsid w:val="00B42022"/>
    <w:rsid w:val="00B459FB"/>
    <w:rsid w:val="00B50249"/>
    <w:rsid w:val="00B50840"/>
    <w:rsid w:val="00B527C3"/>
    <w:rsid w:val="00B54994"/>
    <w:rsid w:val="00B55282"/>
    <w:rsid w:val="00B5539B"/>
    <w:rsid w:val="00B574DB"/>
    <w:rsid w:val="00B60816"/>
    <w:rsid w:val="00B60C8A"/>
    <w:rsid w:val="00B610A6"/>
    <w:rsid w:val="00B63073"/>
    <w:rsid w:val="00B63FF0"/>
    <w:rsid w:val="00B6498C"/>
    <w:rsid w:val="00B7087E"/>
    <w:rsid w:val="00B70F05"/>
    <w:rsid w:val="00B733BA"/>
    <w:rsid w:val="00B755CC"/>
    <w:rsid w:val="00B76C5D"/>
    <w:rsid w:val="00B77E6E"/>
    <w:rsid w:val="00B809BA"/>
    <w:rsid w:val="00B80F15"/>
    <w:rsid w:val="00B820B0"/>
    <w:rsid w:val="00B83268"/>
    <w:rsid w:val="00B83905"/>
    <w:rsid w:val="00B83B30"/>
    <w:rsid w:val="00B84510"/>
    <w:rsid w:val="00B85692"/>
    <w:rsid w:val="00B857C6"/>
    <w:rsid w:val="00B91174"/>
    <w:rsid w:val="00B91E0C"/>
    <w:rsid w:val="00B9237C"/>
    <w:rsid w:val="00B92430"/>
    <w:rsid w:val="00B92EB2"/>
    <w:rsid w:val="00B9384A"/>
    <w:rsid w:val="00B93F4E"/>
    <w:rsid w:val="00B96267"/>
    <w:rsid w:val="00B97730"/>
    <w:rsid w:val="00BA023C"/>
    <w:rsid w:val="00BA10E0"/>
    <w:rsid w:val="00BA5954"/>
    <w:rsid w:val="00BA66B6"/>
    <w:rsid w:val="00BA6891"/>
    <w:rsid w:val="00BA6DDE"/>
    <w:rsid w:val="00BA76B6"/>
    <w:rsid w:val="00BB3744"/>
    <w:rsid w:val="00BB378E"/>
    <w:rsid w:val="00BB4EF7"/>
    <w:rsid w:val="00BB5CE1"/>
    <w:rsid w:val="00BB73A2"/>
    <w:rsid w:val="00BB778B"/>
    <w:rsid w:val="00BC04DD"/>
    <w:rsid w:val="00BC072A"/>
    <w:rsid w:val="00BC0911"/>
    <w:rsid w:val="00BC289B"/>
    <w:rsid w:val="00BC3A42"/>
    <w:rsid w:val="00BC436D"/>
    <w:rsid w:val="00BC76D7"/>
    <w:rsid w:val="00BD100A"/>
    <w:rsid w:val="00BD119E"/>
    <w:rsid w:val="00BD1BD8"/>
    <w:rsid w:val="00BD1D83"/>
    <w:rsid w:val="00BD4B19"/>
    <w:rsid w:val="00BD4D60"/>
    <w:rsid w:val="00BD719F"/>
    <w:rsid w:val="00BD78E4"/>
    <w:rsid w:val="00BE0549"/>
    <w:rsid w:val="00BE09AE"/>
    <w:rsid w:val="00BE1995"/>
    <w:rsid w:val="00BE1AF4"/>
    <w:rsid w:val="00BE2BB3"/>
    <w:rsid w:val="00BE3099"/>
    <w:rsid w:val="00BE4003"/>
    <w:rsid w:val="00BE4FD6"/>
    <w:rsid w:val="00BE66C4"/>
    <w:rsid w:val="00BE685E"/>
    <w:rsid w:val="00BE6E15"/>
    <w:rsid w:val="00BE7122"/>
    <w:rsid w:val="00BF1F0A"/>
    <w:rsid w:val="00BF223F"/>
    <w:rsid w:val="00BF4C43"/>
    <w:rsid w:val="00BF4D18"/>
    <w:rsid w:val="00BF78C9"/>
    <w:rsid w:val="00C00233"/>
    <w:rsid w:val="00C00695"/>
    <w:rsid w:val="00C00CBF"/>
    <w:rsid w:val="00C018F5"/>
    <w:rsid w:val="00C019B9"/>
    <w:rsid w:val="00C01A01"/>
    <w:rsid w:val="00C01A25"/>
    <w:rsid w:val="00C04A28"/>
    <w:rsid w:val="00C058B4"/>
    <w:rsid w:val="00C0710F"/>
    <w:rsid w:val="00C15662"/>
    <w:rsid w:val="00C17D71"/>
    <w:rsid w:val="00C20C6E"/>
    <w:rsid w:val="00C20F3C"/>
    <w:rsid w:val="00C2130B"/>
    <w:rsid w:val="00C21371"/>
    <w:rsid w:val="00C21495"/>
    <w:rsid w:val="00C215CB"/>
    <w:rsid w:val="00C222A2"/>
    <w:rsid w:val="00C23AC6"/>
    <w:rsid w:val="00C23E97"/>
    <w:rsid w:val="00C25578"/>
    <w:rsid w:val="00C26CB0"/>
    <w:rsid w:val="00C27584"/>
    <w:rsid w:val="00C33E53"/>
    <w:rsid w:val="00C343DB"/>
    <w:rsid w:val="00C360FE"/>
    <w:rsid w:val="00C4008D"/>
    <w:rsid w:val="00C4213E"/>
    <w:rsid w:val="00C4228E"/>
    <w:rsid w:val="00C44D73"/>
    <w:rsid w:val="00C46783"/>
    <w:rsid w:val="00C47105"/>
    <w:rsid w:val="00C47560"/>
    <w:rsid w:val="00C4784C"/>
    <w:rsid w:val="00C526B4"/>
    <w:rsid w:val="00C5320A"/>
    <w:rsid w:val="00C53D24"/>
    <w:rsid w:val="00C53E7C"/>
    <w:rsid w:val="00C54C09"/>
    <w:rsid w:val="00C55CEE"/>
    <w:rsid w:val="00C61C6F"/>
    <w:rsid w:val="00C64941"/>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3C20"/>
    <w:rsid w:val="00C842FD"/>
    <w:rsid w:val="00C84DE6"/>
    <w:rsid w:val="00C8651A"/>
    <w:rsid w:val="00C867B4"/>
    <w:rsid w:val="00C87382"/>
    <w:rsid w:val="00C909E7"/>
    <w:rsid w:val="00C911DC"/>
    <w:rsid w:val="00C912C3"/>
    <w:rsid w:val="00C918E4"/>
    <w:rsid w:val="00C92258"/>
    <w:rsid w:val="00C922B7"/>
    <w:rsid w:val="00C9246A"/>
    <w:rsid w:val="00C92A27"/>
    <w:rsid w:val="00C92AE6"/>
    <w:rsid w:val="00C9344B"/>
    <w:rsid w:val="00C94EA1"/>
    <w:rsid w:val="00C95BA3"/>
    <w:rsid w:val="00C9787F"/>
    <w:rsid w:val="00C97932"/>
    <w:rsid w:val="00C97D3B"/>
    <w:rsid w:val="00C97ED7"/>
    <w:rsid w:val="00CA1800"/>
    <w:rsid w:val="00CA2BAC"/>
    <w:rsid w:val="00CA6DA1"/>
    <w:rsid w:val="00CB0EBD"/>
    <w:rsid w:val="00CB1D5F"/>
    <w:rsid w:val="00CC0712"/>
    <w:rsid w:val="00CC0EBA"/>
    <w:rsid w:val="00CC1302"/>
    <w:rsid w:val="00CC22D6"/>
    <w:rsid w:val="00CC2C72"/>
    <w:rsid w:val="00CC4558"/>
    <w:rsid w:val="00CC5521"/>
    <w:rsid w:val="00CC55EB"/>
    <w:rsid w:val="00CC65E9"/>
    <w:rsid w:val="00CD17F0"/>
    <w:rsid w:val="00CD1F61"/>
    <w:rsid w:val="00CD26F0"/>
    <w:rsid w:val="00CD2A9F"/>
    <w:rsid w:val="00CD2ABA"/>
    <w:rsid w:val="00CD3A3F"/>
    <w:rsid w:val="00CD401C"/>
    <w:rsid w:val="00CE017B"/>
    <w:rsid w:val="00CE3418"/>
    <w:rsid w:val="00CE4BD7"/>
    <w:rsid w:val="00CE641C"/>
    <w:rsid w:val="00CE69BF"/>
    <w:rsid w:val="00CF06E2"/>
    <w:rsid w:val="00CF1F08"/>
    <w:rsid w:val="00CF2C35"/>
    <w:rsid w:val="00CF2EBA"/>
    <w:rsid w:val="00CF2FC1"/>
    <w:rsid w:val="00CF4783"/>
    <w:rsid w:val="00CF5873"/>
    <w:rsid w:val="00D00F42"/>
    <w:rsid w:val="00D03DB7"/>
    <w:rsid w:val="00D04541"/>
    <w:rsid w:val="00D048E8"/>
    <w:rsid w:val="00D05755"/>
    <w:rsid w:val="00D057A2"/>
    <w:rsid w:val="00D059D7"/>
    <w:rsid w:val="00D05F7D"/>
    <w:rsid w:val="00D07CF1"/>
    <w:rsid w:val="00D1180D"/>
    <w:rsid w:val="00D138FA"/>
    <w:rsid w:val="00D14200"/>
    <w:rsid w:val="00D146B0"/>
    <w:rsid w:val="00D15392"/>
    <w:rsid w:val="00D17421"/>
    <w:rsid w:val="00D208B0"/>
    <w:rsid w:val="00D2174C"/>
    <w:rsid w:val="00D21AF8"/>
    <w:rsid w:val="00D21B7C"/>
    <w:rsid w:val="00D240BB"/>
    <w:rsid w:val="00D267C1"/>
    <w:rsid w:val="00D27105"/>
    <w:rsid w:val="00D27E40"/>
    <w:rsid w:val="00D30937"/>
    <w:rsid w:val="00D345EB"/>
    <w:rsid w:val="00D34C36"/>
    <w:rsid w:val="00D35931"/>
    <w:rsid w:val="00D36466"/>
    <w:rsid w:val="00D40ACF"/>
    <w:rsid w:val="00D425C1"/>
    <w:rsid w:val="00D4340B"/>
    <w:rsid w:val="00D45C10"/>
    <w:rsid w:val="00D50177"/>
    <w:rsid w:val="00D517C0"/>
    <w:rsid w:val="00D53A4C"/>
    <w:rsid w:val="00D53CBF"/>
    <w:rsid w:val="00D54C7A"/>
    <w:rsid w:val="00D54E76"/>
    <w:rsid w:val="00D56097"/>
    <w:rsid w:val="00D56424"/>
    <w:rsid w:val="00D57FB4"/>
    <w:rsid w:val="00D60175"/>
    <w:rsid w:val="00D603B4"/>
    <w:rsid w:val="00D60F53"/>
    <w:rsid w:val="00D6219D"/>
    <w:rsid w:val="00D6225B"/>
    <w:rsid w:val="00D63801"/>
    <w:rsid w:val="00D6456C"/>
    <w:rsid w:val="00D7179F"/>
    <w:rsid w:val="00D72128"/>
    <w:rsid w:val="00D74235"/>
    <w:rsid w:val="00D74DD5"/>
    <w:rsid w:val="00D756CB"/>
    <w:rsid w:val="00D7798C"/>
    <w:rsid w:val="00D80005"/>
    <w:rsid w:val="00D809B2"/>
    <w:rsid w:val="00D80BD2"/>
    <w:rsid w:val="00D8240B"/>
    <w:rsid w:val="00D913A7"/>
    <w:rsid w:val="00D917AA"/>
    <w:rsid w:val="00D9406A"/>
    <w:rsid w:val="00D960B9"/>
    <w:rsid w:val="00D96A71"/>
    <w:rsid w:val="00D9751D"/>
    <w:rsid w:val="00DA1106"/>
    <w:rsid w:val="00DA3198"/>
    <w:rsid w:val="00DA369A"/>
    <w:rsid w:val="00DA638A"/>
    <w:rsid w:val="00DA6D09"/>
    <w:rsid w:val="00DA72EB"/>
    <w:rsid w:val="00DA7439"/>
    <w:rsid w:val="00DB2811"/>
    <w:rsid w:val="00DB2A2A"/>
    <w:rsid w:val="00DB2B8F"/>
    <w:rsid w:val="00DB3C13"/>
    <w:rsid w:val="00DB526D"/>
    <w:rsid w:val="00DB5E02"/>
    <w:rsid w:val="00DB7A97"/>
    <w:rsid w:val="00DC539C"/>
    <w:rsid w:val="00DD37F2"/>
    <w:rsid w:val="00DD7276"/>
    <w:rsid w:val="00DD78DA"/>
    <w:rsid w:val="00DD7FFE"/>
    <w:rsid w:val="00DE5BF1"/>
    <w:rsid w:val="00DE5C4B"/>
    <w:rsid w:val="00DE6386"/>
    <w:rsid w:val="00DF1B61"/>
    <w:rsid w:val="00DF42FF"/>
    <w:rsid w:val="00DF4B7F"/>
    <w:rsid w:val="00DF6CF0"/>
    <w:rsid w:val="00E0176F"/>
    <w:rsid w:val="00E041C6"/>
    <w:rsid w:val="00E07B47"/>
    <w:rsid w:val="00E07D18"/>
    <w:rsid w:val="00E143BF"/>
    <w:rsid w:val="00E1661D"/>
    <w:rsid w:val="00E20617"/>
    <w:rsid w:val="00E207DD"/>
    <w:rsid w:val="00E20AE4"/>
    <w:rsid w:val="00E223F9"/>
    <w:rsid w:val="00E22A22"/>
    <w:rsid w:val="00E234D3"/>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62B"/>
    <w:rsid w:val="00E44BCC"/>
    <w:rsid w:val="00E453CA"/>
    <w:rsid w:val="00E45B7A"/>
    <w:rsid w:val="00E45FA9"/>
    <w:rsid w:val="00E5297C"/>
    <w:rsid w:val="00E53E91"/>
    <w:rsid w:val="00E568FB"/>
    <w:rsid w:val="00E60498"/>
    <w:rsid w:val="00E60DD5"/>
    <w:rsid w:val="00E60E89"/>
    <w:rsid w:val="00E6336D"/>
    <w:rsid w:val="00E63A24"/>
    <w:rsid w:val="00E63BED"/>
    <w:rsid w:val="00E64934"/>
    <w:rsid w:val="00E649D8"/>
    <w:rsid w:val="00E6569A"/>
    <w:rsid w:val="00E65A08"/>
    <w:rsid w:val="00E6694F"/>
    <w:rsid w:val="00E716B0"/>
    <w:rsid w:val="00E72494"/>
    <w:rsid w:val="00E72B77"/>
    <w:rsid w:val="00E72BE2"/>
    <w:rsid w:val="00E739A6"/>
    <w:rsid w:val="00E73AC4"/>
    <w:rsid w:val="00E742BE"/>
    <w:rsid w:val="00E74484"/>
    <w:rsid w:val="00E754DE"/>
    <w:rsid w:val="00E75A64"/>
    <w:rsid w:val="00E75D28"/>
    <w:rsid w:val="00E77536"/>
    <w:rsid w:val="00E809AB"/>
    <w:rsid w:val="00E817A1"/>
    <w:rsid w:val="00E81F0B"/>
    <w:rsid w:val="00E82AE4"/>
    <w:rsid w:val="00E834AC"/>
    <w:rsid w:val="00E8366B"/>
    <w:rsid w:val="00E83C5D"/>
    <w:rsid w:val="00E83DDB"/>
    <w:rsid w:val="00E83FC3"/>
    <w:rsid w:val="00E843E1"/>
    <w:rsid w:val="00E84934"/>
    <w:rsid w:val="00E85F8A"/>
    <w:rsid w:val="00E8685D"/>
    <w:rsid w:val="00E8691A"/>
    <w:rsid w:val="00E86A72"/>
    <w:rsid w:val="00E9123E"/>
    <w:rsid w:val="00E9125E"/>
    <w:rsid w:val="00E9190B"/>
    <w:rsid w:val="00E91E01"/>
    <w:rsid w:val="00E9201B"/>
    <w:rsid w:val="00E92A9D"/>
    <w:rsid w:val="00E94635"/>
    <w:rsid w:val="00E94AED"/>
    <w:rsid w:val="00E94E19"/>
    <w:rsid w:val="00E9574F"/>
    <w:rsid w:val="00E95BD9"/>
    <w:rsid w:val="00E97D4D"/>
    <w:rsid w:val="00EA1731"/>
    <w:rsid w:val="00EA1BCB"/>
    <w:rsid w:val="00EA2A2B"/>
    <w:rsid w:val="00EA510A"/>
    <w:rsid w:val="00EA7A12"/>
    <w:rsid w:val="00EB0F58"/>
    <w:rsid w:val="00EB22B0"/>
    <w:rsid w:val="00EB4528"/>
    <w:rsid w:val="00EB4987"/>
    <w:rsid w:val="00EB5A25"/>
    <w:rsid w:val="00EB668D"/>
    <w:rsid w:val="00EB7E47"/>
    <w:rsid w:val="00EC0720"/>
    <w:rsid w:val="00EC1F01"/>
    <w:rsid w:val="00EC2553"/>
    <w:rsid w:val="00EC4822"/>
    <w:rsid w:val="00EC5A32"/>
    <w:rsid w:val="00EC7309"/>
    <w:rsid w:val="00ED086D"/>
    <w:rsid w:val="00ED2461"/>
    <w:rsid w:val="00ED30C4"/>
    <w:rsid w:val="00ED6959"/>
    <w:rsid w:val="00ED7C5D"/>
    <w:rsid w:val="00EE00EF"/>
    <w:rsid w:val="00EE0AAC"/>
    <w:rsid w:val="00EE0F8E"/>
    <w:rsid w:val="00EE2D8D"/>
    <w:rsid w:val="00EE4A7D"/>
    <w:rsid w:val="00EE4FCC"/>
    <w:rsid w:val="00EE59DF"/>
    <w:rsid w:val="00EE67C9"/>
    <w:rsid w:val="00EE6ED5"/>
    <w:rsid w:val="00EF454C"/>
    <w:rsid w:val="00F00E3A"/>
    <w:rsid w:val="00F0169D"/>
    <w:rsid w:val="00F020FA"/>
    <w:rsid w:val="00F021A7"/>
    <w:rsid w:val="00F03624"/>
    <w:rsid w:val="00F04A60"/>
    <w:rsid w:val="00F04B0C"/>
    <w:rsid w:val="00F04CBC"/>
    <w:rsid w:val="00F05186"/>
    <w:rsid w:val="00F05B4B"/>
    <w:rsid w:val="00F065C2"/>
    <w:rsid w:val="00F067B1"/>
    <w:rsid w:val="00F07ACC"/>
    <w:rsid w:val="00F109ED"/>
    <w:rsid w:val="00F10AF9"/>
    <w:rsid w:val="00F12513"/>
    <w:rsid w:val="00F13154"/>
    <w:rsid w:val="00F14601"/>
    <w:rsid w:val="00F1497B"/>
    <w:rsid w:val="00F1511F"/>
    <w:rsid w:val="00F15308"/>
    <w:rsid w:val="00F1542E"/>
    <w:rsid w:val="00F16121"/>
    <w:rsid w:val="00F17477"/>
    <w:rsid w:val="00F2407E"/>
    <w:rsid w:val="00F240C3"/>
    <w:rsid w:val="00F2510E"/>
    <w:rsid w:val="00F26717"/>
    <w:rsid w:val="00F30019"/>
    <w:rsid w:val="00F300FA"/>
    <w:rsid w:val="00F319E1"/>
    <w:rsid w:val="00F3227D"/>
    <w:rsid w:val="00F3325C"/>
    <w:rsid w:val="00F33507"/>
    <w:rsid w:val="00F3405A"/>
    <w:rsid w:val="00F340CE"/>
    <w:rsid w:val="00F34AE8"/>
    <w:rsid w:val="00F37A92"/>
    <w:rsid w:val="00F37CFB"/>
    <w:rsid w:val="00F40261"/>
    <w:rsid w:val="00F41A59"/>
    <w:rsid w:val="00F42C72"/>
    <w:rsid w:val="00F4489F"/>
    <w:rsid w:val="00F46BDF"/>
    <w:rsid w:val="00F47FCF"/>
    <w:rsid w:val="00F500A4"/>
    <w:rsid w:val="00F50792"/>
    <w:rsid w:val="00F51791"/>
    <w:rsid w:val="00F551A5"/>
    <w:rsid w:val="00F560DB"/>
    <w:rsid w:val="00F57C1D"/>
    <w:rsid w:val="00F60672"/>
    <w:rsid w:val="00F6076D"/>
    <w:rsid w:val="00F61A6A"/>
    <w:rsid w:val="00F62920"/>
    <w:rsid w:val="00F631F5"/>
    <w:rsid w:val="00F65FFA"/>
    <w:rsid w:val="00F666CA"/>
    <w:rsid w:val="00F67C50"/>
    <w:rsid w:val="00F7142F"/>
    <w:rsid w:val="00F7275B"/>
    <w:rsid w:val="00F75A5D"/>
    <w:rsid w:val="00F7689C"/>
    <w:rsid w:val="00F800CB"/>
    <w:rsid w:val="00F805E3"/>
    <w:rsid w:val="00F80661"/>
    <w:rsid w:val="00F8212D"/>
    <w:rsid w:val="00F84049"/>
    <w:rsid w:val="00F85CCF"/>
    <w:rsid w:val="00F8617F"/>
    <w:rsid w:val="00F86A56"/>
    <w:rsid w:val="00F92268"/>
    <w:rsid w:val="00F93D1B"/>
    <w:rsid w:val="00F94848"/>
    <w:rsid w:val="00F95E09"/>
    <w:rsid w:val="00F97915"/>
    <w:rsid w:val="00FA10B0"/>
    <w:rsid w:val="00FA50A5"/>
    <w:rsid w:val="00FA52ED"/>
    <w:rsid w:val="00FA61FC"/>
    <w:rsid w:val="00FA6673"/>
    <w:rsid w:val="00FA6FBF"/>
    <w:rsid w:val="00FA72D1"/>
    <w:rsid w:val="00FA765E"/>
    <w:rsid w:val="00FB20BF"/>
    <w:rsid w:val="00FB272A"/>
    <w:rsid w:val="00FB2D5C"/>
    <w:rsid w:val="00FB3BE3"/>
    <w:rsid w:val="00FB42F8"/>
    <w:rsid w:val="00FB4359"/>
    <w:rsid w:val="00FB47CC"/>
    <w:rsid w:val="00FB4C97"/>
    <w:rsid w:val="00FB508E"/>
    <w:rsid w:val="00FB5469"/>
    <w:rsid w:val="00FC1898"/>
    <w:rsid w:val="00FC5A5A"/>
    <w:rsid w:val="00FC6AFF"/>
    <w:rsid w:val="00FC7A79"/>
    <w:rsid w:val="00FD07A4"/>
    <w:rsid w:val="00FD1E5B"/>
    <w:rsid w:val="00FD32E4"/>
    <w:rsid w:val="00FD6030"/>
    <w:rsid w:val="00FD743D"/>
    <w:rsid w:val="00FE04EE"/>
    <w:rsid w:val="00FE13E2"/>
    <w:rsid w:val="00FE3EB1"/>
    <w:rsid w:val="00FE4290"/>
    <w:rsid w:val="00FE42E5"/>
    <w:rsid w:val="00FE5113"/>
    <w:rsid w:val="00FE66B1"/>
    <w:rsid w:val="00FE769B"/>
    <w:rsid w:val="00FF146D"/>
    <w:rsid w:val="00FF2104"/>
    <w:rsid w:val="00FF3B47"/>
    <w:rsid w:val="00FF41B3"/>
    <w:rsid w:val="00FF4704"/>
    <w:rsid w:val="00FF516D"/>
    <w:rsid w:val="00FF5DC4"/>
    <w:rsid w:val="00FF7CBD"/>
    <w:rsid w:val="0A1635F8"/>
    <w:rsid w:val="10352B13"/>
    <w:rsid w:val="204202FA"/>
    <w:rsid w:val="26F340E0"/>
    <w:rsid w:val="2DC157B9"/>
    <w:rsid w:val="33D33847"/>
    <w:rsid w:val="341844D4"/>
    <w:rsid w:val="3B374C35"/>
    <w:rsid w:val="5623517A"/>
    <w:rsid w:val="5B0B1F29"/>
    <w:rsid w:val="628A3B6A"/>
    <w:rsid w:val="63BC469B"/>
    <w:rsid w:val="70F47706"/>
    <w:rsid w:val="7E765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6DD8D9-06AE-4FCC-BDE9-51D10D9D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uiPriority w:val="99"/>
    <w:qFormat/>
    <w:pPr>
      <w:tabs>
        <w:tab w:val="center" w:pos="4153"/>
        <w:tab w:val="right" w:pos="8306"/>
      </w:tabs>
      <w:snapToGrid w:val="0"/>
      <w:jc w:val="left"/>
    </w:pPr>
    <w:rPr>
      <w:sz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pPr>
    <w:rPr>
      <w:sz w:val="22"/>
    </w:r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21">
    <w:name w:val="toc 2"/>
    <w:basedOn w:val="a"/>
    <w:next w:val="a"/>
    <w:qFormat/>
    <w:pPr>
      <w:ind w:left="240"/>
    </w:pPr>
    <w:rPr>
      <w:sz w:val="22"/>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pPr>
      <w:spacing w:before="240" w:after="60"/>
      <w:jc w:val="center"/>
      <w:outlineLvl w:val="0"/>
    </w:pPr>
    <w:rPr>
      <w:rFonts w:ascii="Cambria" w:hAnsi="Cambria"/>
      <w:b/>
      <w:sz w:val="32"/>
      <w:lang w:val="zh-CN"/>
    </w:rPr>
  </w:style>
  <w:style w:type="paragraph" w:styleId="ae">
    <w:name w:val="annotation subject"/>
    <w:basedOn w:val="a5"/>
    <w:next w:val="a5"/>
    <w:qFormat/>
    <w:rPr>
      <w:b/>
    </w:rPr>
  </w:style>
  <w:style w:type="table" w:styleId="af">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style>
  <w:style w:type="character" w:styleId="af1">
    <w:name w:val="Hyperlink"/>
    <w:qFormat/>
    <w:rPr>
      <w:color w:val="0000FF"/>
      <w:u w:val="single"/>
    </w:rPr>
  </w:style>
  <w:style w:type="character" w:styleId="af2">
    <w:name w:val="annotation reference"/>
    <w:qFormat/>
    <w:rPr>
      <w:sz w:val="21"/>
    </w:rPr>
  </w:style>
  <w:style w:type="character" w:styleId="af3">
    <w:name w:val="footnote reference"/>
    <w:qFormat/>
    <w:rPr>
      <w:vertAlign w:val="superscript"/>
    </w:rPr>
  </w:style>
  <w:style w:type="character" w:customStyle="1" w:styleId="Char0">
    <w:name w:val="正文文本 Char"/>
    <w:link w:val="a6"/>
    <w:qFormat/>
    <w:rPr>
      <w:rFonts w:ascii="宋体"/>
      <w:lang w:val="zh-CN" w:eastAsia="zh-CN"/>
    </w:rPr>
  </w:style>
  <w:style w:type="character" w:customStyle="1" w:styleId="unnamed11">
    <w:name w:val="unnamed11"/>
    <w:qFormat/>
    <w:rPr>
      <w:rFonts w:ascii="宋体" w:eastAsia="宋体" w:hAnsi="宋体" w:hint="eastAsia"/>
      <w:sz w:val="18"/>
    </w:rPr>
  </w:style>
  <w:style w:type="character" w:customStyle="1" w:styleId="Char3">
    <w:name w:val="标题 Char"/>
    <w:link w:val="ad"/>
    <w:qFormat/>
    <w:rPr>
      <w:rFonts w:ascii="Cambria" w:hAnsi="Cambria"/>
      <w:b/>
      <w:kern w:val="2"/>
      <w:sz w:val="32"/>
      <w:lang w:val="zh-CN" w:eastAsia="zh-CN"/>
    </w:rPr>
  </w:style>
  <w:style w:type="character" w:customStyle="1" w:styleId="Char2">
    <w:name w:val="页眉 Char"/>
    <w:link w:val="aa"/>
    <w:uiPriority w:val="99"/>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4">
    <w:name w:val="正文正文"/>
    <w:basedOn w:val="a"/>
    <w:qFormat/>
    <w:pPr>
      <w:spacing w:afterLines="25" w:after="78" w:line="360" w:lineRule="auto"/>
      <w:ind w:firstLineChars="200" w:firstLine="200"/>
    </w:pPr>
    <w:rPr>
      <w:sz w:val="24"/>
    </w:rPr>
  </w:style>
  <w:style w:type="paragraph" w:customStyle="1" w:styleId="Char4">
    <w:name w:val="Char"/>
    <w:basedOn w:val="a"/>
    <w:qFormat/>
  </w:style>
  <w:style w:type="paragraph" w:customStyle="1" w:styleId="Char00">
    <w:name w:val="Char_0"/>
    <w:basedOn w:val="a"/>
    <w:qFormat/>
  </w:style>
  <w:style w:type="paragraph" w:customStyle="1" w:styleId="CharCharChar">
    <w:name w:val="Char Char Char"/>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5">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1Char">
    <w:name w:val="标题 1 Char"/>
    <w:link w:val="1"/>
    <w:qFormat/>
    <w:rPr>
      <w:rFonts w:ascii="宋体"/>
      <w:b/>
      <w:color w:val="000000"/>
      <w:sz w:val="24"/>
    </w:rPr>
  </w:style>
  <w:style w:type="character" w:customStyle="1" w:styleId="Char">
    <w:name w:val="批注文字 Char"/>
    <w:link w:val="a5"/>
    <w:qFormat/>
    <w:rPr>
      <w:kern w:val="2"/>
      <w:sz w:val="21"/>
    </w:rPr>
  </w:style>
  <w:style w:type="paragraph" w:customStyle="1" w:styleId="CharChar0">
    <w:name w:val="Char Char_0"/>
    <w:basedOn w:val="a"/>
    <w:qFormat/>
  </w:style>
  <w:style w:type="paragraph" w:customStyle="1" w:styleId="CharChar10">
    <w:name w:val="Char Char_1"/>
    <w:basedOn w:val="a"/>
    <w:qFormat/>
  </w:style>
  <w:style w:type="paragraph" w:customStyle="1" w:styleId="Char10">
    <w:name w:val="Char_1"/>
    <w:basedOn w:val="a"/>
    <w:qFormat/>
  </w:style>
  <w:style w:type="paragraph" w:customStyle="1" w:styleId="CharCharChar0">
    <w:name w:val="Char Char Char_0"/>
    <w:basedOn w:val="a"/>
    <w:qFormat/>
  </w:style>
  <w:style w:type="paragraph" w:customStyle="1" w:styleId="CharCharCharChar0">
    <w:name w:val="Char Char Char Char_0"/>
    <w:basedOn w:val="a"/>
    <w:qFormat/>
    <w:pPr>
      <w:tabs>
        <w:tab w:val="left" w:pos="360"/>
      </w:tabs>
    </w:pPr>
  </w:style>
  <w:style w:type="paragraph" w:customStyle="1" w:styleId="CharChar100">
    <w:name w:val="Char Char1_0"/>
    <w:basedOn w:val="a"/>
    <w:qFormat/>
  </w:style>
  <w:style w:type="paragraph" w:customStyle="1" w:styleId="CharChar2">
    <w:name w:val="Char Char_2"/>
    <w:basedOn w:val="a"/>
    <w:qFormat/>
  </w:style>
  <w:style w:type="paragraph" w:customStyle="1" w:styleId="12">
    <w:name w:val="列出段落1"/>
    <w:basedOn w:val="a"/>
    <w:uiPriority w:val="34"/>
    <w:qFormat/>
    <w:pPr>
      <w:ind w:firstLineChars="200" w:firstLine="420"/>
    </w:pPr>
  </w:style>
  <w:style w:type="paragraph" w:customStyle="1" w:styleId="CharChar11">
    <w:name w:val="Char Char1_1"/>
    <w:basedOn w:val="a"/>
    <w:qFormat/>
  </w:style>
  <w:style w:type="paragraph" w:customStyle="1" w:styleId="Char20">
    <w:name w:val="Char_2"/>
    <w:basedOn w:val="a"/>
    <w:qFormat/>
  </w:style>
  <w:style w:type="paragraph" w:customStyle="1" w:styleId="CharChar12">
    <w:name w:val="Char Char1_2"/>
    <w:basedOn w:val="a"/>
    <w:qFormat/>
  </w:style>
  <w:style w:type="paragraph" w:customStyle="1" w:styleId="Char30">
    <w:name w:val="Char_3"/>
    <w:basedOn w:val="a"/>
    <w:qFormat/>
  </w:style>
  <w:style w:type="paragraph" w:customStyle="1" w:styleId="CharChar13">
    <w:name w:val="Char Char1_3"/>
    <w:basedOn w:val="a"/>
    <w:qFormat/>
  </w:style>
  <w:style w:type="paragraph" w:customStyle="1" w:styleId="Char40">
    <w:name w:val="Char_4"/>
    <w:basedOn w:val="a"/>
    <w:qFormat/>
  </w:style>
  <w:style w:type="paragraph" w:customStyle="1" w:styleId="CharChar3">
    <w:name w:val="Char Char_3"/>
    <w:basedOn w:val="a"/>
    <w:qFormat/>
  </w:style>
  <w:style w:type="character" w:customStyle="1" w:styleId="Char1">
    <w:name w:val="页脚 Char"/>
    <w:basedOn w:val="a0"/>
    <w:link w:val="a9"/>
    <w:uiPriority w:val="99"/>
    <w:qFormat/>
    <w:rPr>
      <w:kern w:val="2"/>
      <w:sz w:val="18"/>
    </w:rPr>
  </w:style>
  <w:style w:type="paragraph" w:customStyle="1" w:styleId="div">
    <w:name w:val="div"/>
    <w:basedOn w:val="a"/>
    <w:qFormat/>
  </w:style>
  <w:style w:type="character" w:customStyle="1" w:styleId="custom">
    <w:name w:val="custom"/>
    <w:basedOn w:val="a0"/>
    <w:qFormat/>
  </w:style>
  <w:style w:type="character" w:customStyle="1" w:styleId="serial-tag">
    <w:name w:val="serial-tag"/>
    <w:basedOn w:val="a0"/>
    <w:qFormat/>
  </w:style>
  <w:style w:type="character" w:customStyle="1" w:styleId="divCharacter">
    <w:name w:val="div Character"/>
    <w:basedOn w:val="a0"/>
    <w:qFormat/>
  </w:style>
  <w:style w:type="paragraph" w:customStyle="1" w:styleId="22">
    <w:name w:val="修订2"/>
    <w:hidden/>
    <w:uiPriority w:val="99"/>
    <w:semiHidden/>
    <w:qFormat/>
    <w:rPr>
      <w:kern w:val="2"/>
      <w:sz w:val="21"/>
    </w:rPr>
  </w:style>
  <w:style w:type="paragraph" w:customStyle="1" w:styleId="32">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styleId="af6">
    <w:name w:val="List Paragraph"/>
    <w:basedOn w:val="a"/>
    <w:uiPriority w:val="99"/>
    <w:qFormat/>
    <w:pPr>
      <w:spacing w:line="300" w:lineRule="auto"/>
      <w:ind w:firstLineChars="200" w:firstLine="420"/>
    </w:pPr>
    <w:rPr>
      <w:sz w:val="24"/>
      <w:szCs w:val="24"/>
    </w:rPr>
  </w:style>
  <w:style w:type="table" w:customStyle="1" w:styleId="13">
    <w:name w:val="网格型1"/>
    <w:basedOn w:val="a1"/>
    <w:uiPriority w:val="59"/>
    <w:qFormat/>
    <w:pPr>
      <w:widowControl w:val="0"/>
      <w:jc w:val="both"/>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
    <w:name w:val="修订5"/>
    <w:hidden/>
    <w:uiPriority w:val="99"/>
    <w:semiHidden/>
    <w:qFormat/>
    <w:rPr>
      <w:kern w:val="2"/>
      <w:sz w:val="21"/>
    </w:rPr>
  </w:style>
  <w:style w:type="character" w:customStyle="1" w:styleId="text-only">
    <w:name w:val="text-only"/>
    <w:basedOn w:val="a0"/>
    <w:qFormat/>
  </w:style>
  <w:style w:type="paragraph" w:styleId="af7">
    <w:name w:val="Revision"/>
    <w:hidden/>
    <w:uiPriority w:val="99"/>
    <w:semiHidden/>
    <w:rsid w:val="00F85CC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E4%B8%AD%E5%9B%BD%E4%BA%BA%E6%B0%91%E9%93%B6%E8%A1%8C%E5%AE%98%E6%96%B9%E7%BD%91%E7%AB%99&amp;rlz=1C1GCEU_zh-CNCN1050CN1050&amp;oq=&amp;gs_lcrp=EgZjaHJvbWUqCQgAEEUYOxjCAzIJCAAQRRg7GMIDMgkIARBFGDsYwgMyCQgCEEUYOxjCAzIJCAMQRRg7GMIDMgkIBBBFGDsYwgMyCQgFEEUYOxjCAzIJCAYQRRg7GMIDMgkIBxBFGDsYwgPSAQg4NTlqMGoxNagCCLACAQ&amp;sourceid=chrome&amp;ie=UTF-8&amp;mstk=AUtExfDUWKR7dk8cyKudA5Vqeri9e_PUfjBTmBB0-HEIXxxXKILxVuYthFfgHHQUy0T41MVZTqM1FRTPdOQyVuV07yBKVlCyxrbKTNC6DJB9h6l8c_EiyJ2W_1teKjoJOx_6k00&amp;csui=3&amp;ved=2ahUKEwip5sWbzpGTAxVeKUQIHT3mKKQQgK4QegQIARAB"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csindex.com.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sindex.com.cn" TargetMode="Externa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760C8-BAC5-4949-9236-7FB4B2CF1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13333</Words>
  <Characters>75999</Characters>
  <Application>Microsoft Office Word</Application>
  <DocSecurity>0</DocSecurity>
  <Lines>633</Lines>
  <Paragraphs>178</Paragraphs>
  <ScaleCrop>false</ScaleCrop>
  <Company/>
  <LinksUpToDate>false</LinksUpToDate>
  <CharactersWithSpaces>89154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刘军峰</dc:creator>
  <cp:lastModifiedBy>王梦晖</cp:lastModifiedBy>
  <cp:revision>11</cp:revision>
  <cp:lastPrinted>2025-11-21T05:12:00Z</cp:lastPrinted>
  <dcterms:created xsi:type="dcterms:W3CDTF">2026-06-04T00:42:00Z</dcterms:created>
  <dcterms:modified xsi:type="dcterms:W3CDTF">2026-06-30T03:09:00Z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CFCB23047FA044529EB998DD7A80F36C_13</vt:lpwstr>
  </property>
  <property fmtid="{D5CDD505-2E9C-101B-9397-08002B2CF9AE}" pid="3" name="KSOProductBuildVer">
    <vt:lpwstr>2052-12.1.0.25225</vt:lpwstr>
  </property>
  <property fmtid="{D5CDD505-2E9C-101B-9397-08002B2CF9AE}" pid="4" name="KSOTemplateDocerSaveRecord">
    <vt:lpwstr>eyJoZGlkIjoiOTMyOGQ3ZDBmN2UyMGQzYzA5MmYwMWQzMmE4MTNhMDMiLCJ1c2VySWQiOiI1NjkzNjEyMDkifQ==</vt:lpwstr>
  </property>
</Properties>
</file>