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7371E2" w:rsidRPr="002066FC" w:rsidP="007371E2">
      <w:pPr>
        <w:spacing w:line="360" w:lineRule="auto"/>
        <w:jc w:val="center"/>
        <w:rPr>
          <w:rFonts w:ascii="宋体" w:eastAsia="宋体" w:hAnsi="宋体" w:cs="宋体"/>
          <w:b/>
          <w:iCs/>
          <w:color w:val="000000"/>
          <w:sz w:val="28"/>
          <w:szCs w:val="28"/>
        </w:rPr>
      </w:pPr>
      <w:r w:rsidRPr="002066FC">
        <w:rPr>
          <w:rFonts w:ascii="宋体" w:eastAsia="宋体" w:hAnsi="宋体" w:cs="宋体"/>
          <w:b/>
          <w:iCs/>
          <w:color w:val="000000"/>
          <w:sz w:val="28"/>
          <w:szCs w:val="28"/>
        </w:rPr>
        <w:t>汇添富金融优选混合型发起式证券投资基金C类份额基金产品资料概要</w:t>
      </w:r>
    </w:p>
    <w:p w:rsidR="007371E2" w:rsidRPr="00D775F8" w:rsidP="00D775F8">
      <w:pPr>
        <w:spacing w:line="360" w:lineRule="auto"/>
        <w:jc w:val="right"/>
        <w:rPr>
          <w:rFonts w:ascii="宋体" w:eastAsia="宋体" w:hAnsi="宋体" w:cs="宋体"/>
          <w:color w:val="000000"/>
          <w:szCs w:val="21"/>
        </w:rPr>
      </w:pPr>
      <w:r w:rsidRPr="00D775F8">
        <w:rPr>
          <w:rFonts w:asciiTheme="minorEastAsia" w:hAnsiTheme="minorEastAsia" w:cs="方正仿宋简体"/>
          <w:iCs/>
          <w:szCs w:val="21"/>
        </w:rPr>
        <w:t xml:space="preserve">                     </w:t>
      </w:r>
      <w:r w:rsidRPr="00D775F8">
        <w:rPr>
          <w:rFonts w:asciiTheme="minorEastAsia" w:hAnsiTheme="minorEastAsia" w:cs="方正仿宋简体"/>
          <w:iCs/>
          <w:color w:val="000000" w:themeColor="text1"/>
          <w:szCs w:val="21"/>
        </w:rPr>
        <w:t xml:space="preserve">  </w:t>
      </w:r>
      <w:r w:rsidRPr="00D775F8">
        <w:rPr>
          <w:rFonts w:asciiTheme="minorEastAsia" w:hAnsiTheme="minorEastAsia" w:cs="方正仿宋简体"/>
          <w:iCs/>
          <w:szCs w:val="21"/>
        </w:rPr>
        <w:t xml:space="preserve">  </w:t>
      </w:r>
      <w:r w:rsidRPr="00D775F8">
        <w:rPr>
          <w:rFonts w:asciiTheme="minorEastAsia" w:hAnsiTheme="minorEastAsia" w:cs="方正仿宋简体" w:hint="eastAsia"/>
          <w:bCs/>
          <w:iCs/>
          <w:szCs w:val="21"/>
        </w:rPr>
        <w:t>编制日期：</w:t>
      </w:r>
      <w:r w:rsidRPr="00D775F8">
        <w:rPr>
          <w:rFonts w:ascii="宋体" w:eastAsia="宋体" w:hAnsi="宋体" w:cs="宋体"/>
          <w:color w:val="000000"/>
          <w:szCs w:val="21"/>
        </w:rPr>
        <w:t>2026年06月30日</w:t>
      </w:r>
    </w:p>
    <w:p w:rsidR="002066FC" w:rsidRPr="00D775F8" w:rsidP="0043717A">
      <w:pPr>
        <w:spacing w:line="360" w:lineRule="auto"/>
        <w:jc w:val="center"/>
        <w:rPr>
          <w:rFonts w:asciiTheme="minorEastAsia" w:hAnsiTheme="minorEastAsia" w:cs="方正仿宋简体" w:hint="eastAsia"/>
          <w:iCs/>
          <w:szCs w:val="21"/>
        </w:rPr>
      </w:pPr>
      <w:r w:rsidRPr="00D775F8">
        <w:rPr>
          <w:rFonts w:asciiTheme="minorEastAsia" w:hAnsiTheme="minorEastAsia" w:cs="Times New Roman" w:hint="eastAsia"/>
          <w:bCs/>
          <w:szCs w:val="21"/>
        </w:rPr>
        <w:t>送出日</w:t>
      </w:r>
      <w:bookmarkStart w:id="0" w:name="_GoBack"/>
      <w:r w:rsidRPr="00D775F8">
        <w:rPr>
          <w:rFonts w:asciiTheme="minorEastAsia" w:hAnsiTheme="minorEastAsia" w:cs="Times New Roman" w:hint="eastAsia"/>
          <w:bCs/>
          <w:szCs w:val="21"/>
        </w:rPr>
        <w:t>期：</w:t>
      </w:r>
      <w:r w:rsidRPr="00D775F8">
        <w:rPr>
          <w:rFonts w:ascii="宋体" w:eastAsia="宋体" w:hAnsi="宋体" w:cs="宋体"/>
          <w:color w:val="000000"/>
          <w:szCs w:val="21"/>
        </w:rPr>
        <w:t>2026年07月01日</w:t>
      </w:r>
      <w:bookmarkEnd w:id="0"/>
      <w:r w:rsidRPr="00D775F8">
        <w:rPr>
          <w:rFonts w:asciiTheme="minorEastAsia" w:hAnsiTheme="minorEastAsia" w:cs="方正仿宋简体"/>
          <w:iCs/>
          <w:szCs w:val="21"/>
        </w:rPr>
        <w:t xml:space="preserve"> </w:t>
      </w:r>
    </w:p>
    <w:p w:rsidR="00D775F8" w:rsidRPr="0043717A" w:rsidP="00D775F8">
      <w:pPr>
        <w:tabs>
          <w:tab w:val="left" w:pos="7770"/>
        </w:tabs>
        <w:spacing w:line="360" w:lineRule="auto"/>
        <w:jc w:val="center"/>
        <w:rPr>
          <w:rFonts w:asciiTheme="minorEastAsia" w:hAnsiTheme="minorEastAsia" w:cs="方正黑体简体"/>
          <w:bCs/>
          <w:iCs/>
          <w:szCs w:val="21"/>
        </w:rPr>
      </w:pPr>
      <w:r w:rsidRPr="0043717A">
        <w:rPr>
          <w:rFonts w:asciiTheme="minorEastAsia" w:hAnsiTheme="minorEastAsia" w:cs="方正黑体简体" w:hint="eastAsia"/>
          <w:bCs/>
          <w:iCs/>
          <w:szCs w:val="21"/>
        </w:rPr>
        <w:t>本概要提供本基金的重要信息，是招募说明书的一部分。</w:t>
      </w:r>
    </w:p>
    <w:p w:rsidR="00D775F8" w:rsidRPr="0043717A" w:rsidP="00D775F8">
      <w:pPr>
        <w:spacing w:line="360" w:lineRule="auto"/>
        <w:jc w:val="center"/>
        <w:rPr>
          <w:rFonts w:asciiTheme="minorEastAsia" w:hAnsiTheme="minorEastAsia" w:cs="方正仿宋简体"/>
          <w:iCs/>
          <w:szCs w:val="21"/>
        </w:rPr>
        <w:sectPr w:rsidSect="009107D8">
          <w:pgSz w:w="12240" w:h="15840"/>
          <w:pgMar w:top="1440" w:right="1800" w:bottom="1440" w:left="1800" w:header="720" w:footer="720" w:gutter="0"/>
          <w:cols w:space="720"/>
        </w:sectPr>
      </w:pPr>
      <w:r w:rsidRPr="0043717A">
        <w:rPr>
          <w:rFonts w:asciiTheme="minorEastAsia" w:hAnsiTheme="minorEastAsia" w:cs="方正黑体简体" w:hint="eastAsia"/>
          <w:bCs/>
          <w:iCs/>
          <w:szCs w:val="21"/>
        </w:rPr>
        <w:t>作出</w:t>
      </w:r>
      <w:r w:rsidRPr="0043717A">
        <w:rPr>
          <w:rFonts w:asciiTheme="minorEastAsia" w:hAnsiTheme="minorEastAsia" w:cs="方正黑体简体" w:hint="eastAsia"/>
          <w:bCs/>
          <w:iCs/>
          <w:szCs w:val="21"/>
        </w:rPr>
        <w:t>投资决定前，请阅读完整的招募说明书等销售文件。</w:t>
      </w:r>
    </w:p>
    <w:p w:rsidR="00834E25" w:rsidP="00213261">
      <w:pPr>
        <w:pStyle w:val="ListParagraph"/>
        <w:numPr>
          <w:ilvl w:val="0"/>
          <w:numId w:val="1"/>
        </w:numPr>
        <w:spacing w:line="360" w:lineRule="auto"/>
        <w:ind w:left="447" w:hanging="447" w:hangingChars="213"/>
        <w:rPr>
          <w:rFonts w:ascii="宋体" w:eastAsia="宋体" w:hAnsi="宋体" w:cs="方正仿宋简体"/>
          <w:b/>
          <w:bCs/>
          <w:iCs/>
          <w:szCs w:val="21"/>
        </w:rPr>
      </w:pPr>
      <w:r w:rsidRPr="00213261">
        <w:rPr>
          <w:rFonts w:ascii="宋体" w:eastAsia="宋体" w:hAnsi="宋体" w:cs="方正仿宋简体" w:hint="eastAsia"/>
          <w:b/>
          <w:bCs/>
          <w:iCs/>
          <w:szCs w:val="21"/>
        </w:rPr>
        <w:t>产品概况</w:t>
      </w:r>
    </w:p>
    <w:p w:rsidR="00DF6E25" w:rsidRPr="0074720D" w:rsidP="0074720D">
      <w:pPr>
        <w:rPr>
          <w:rFonts w:ascii="宋体" w:eastAsia="宋体" w:hAnsi="宋体" w:cs="方正仿宋简体"/>
          <w:bCs/>
          <w:iCs/>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8"/>
        <w:gridCol w:w="2158"/>
        <w:gridCol w:w="2158"/>
        <w:gridCol w:w="21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基金简称</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汇添富金融优选混合发起式</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基金代码</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028281</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下属基金简称</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汇添富金融优选混合发起式C</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下属基金代码</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028282</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基金管理人</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汇添富基金管理股份有限公司</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基金托管人</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中国农业银行股份有限公司</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基金合同生效日</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上市交易所</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上市日期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基金类型</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混合型</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交易币种</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人民币</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运作方式</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普通开放式</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开放频率</w:t>
            </w:r>
          </w:p>
        </w:tc>
        <w:tc>
          <w:tcPr>
            <w:tcW w:w="60000" w:type="dxa"/>
            <w:gridSpan w:val="3"/>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每个开放日</w:t>
            </w:r>
          </w:p>
        </w:tc>
      </w:tr>
      <w:tr>
        <w:tblPrEx>
          <w:tblW w:w="5000" w:type="pct"/>
          <w:tblCellMar>
            <w:left w:w="108" w:type="dxa"/>
            <w:right w:w="108" w:type="dxa"/>
          </w:tblCellMar>
        </w:tblPrEx>
        <w:tc>
          <w:tcPr>
            <w:tcW w:w="20000" w:type="dxa"/>
            <w:vMerge w:val="restart"/>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基金经理</w:t>
            </w:r>
          </w:p>
        </w:tc>
        <w:tc>
          <w:tcPr>
            <w:tcW w:w="20000" w:type="dxa"/>
            <w:vMerge w:val="restart"/>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邵蕴奇</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开始担任本基金基金经理的日期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r>
      <w:tr>
        <w:tblPrEx>
          <w:tblW w:w="5000" w:type="pct"/>
          <w:tblCellMar>
            <w:left w:w="108" w:type="dxa"/>
            <w:right w:w="108" w:type="dxa"/>
          </w:tblCellMar>
        </w:tblPrEx>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证券从业日期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2017年7月10日</w:t>
            </w:r>
          </w:p>
        </w:tc>
      </w:tr>
      <w:tr>
        <w:tblPrEx>
          <w:tblW w:w="5000" w:type="pct"/>
          <w:tblCellMar>
            <w:left w:w="108" w:type="dxa"/>
            <w:right w:w="108" w:type="dxa"/>
          </w:tblCellMar>
        </w:tblPrEx>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vMerge w:val="restart"/>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何旺</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开始担任本基金基金经理的日期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r>
      <w:tr>
        <w:tblPrEx>
          <w:tblW w:w="5000" w:type="pct"/>
          <w:tblCellMar>
            <w:left w:w="108" w:type="dxa"/>
            <w:right w:w="108" w:type="dxa"/>
          </w:tblCellMar>
        </w:tblPrEx>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证券从业日期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2017年10月10日</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其他</w:t>
            </w:r>
          </w:p>
        </w:tc>
        <w:tc>
          <w:tcPr>
            <w:tcW w:w="60000" w:type="dxa"/>
            <w:gridSpan w:val="3"/>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本基金为偏股混合型基金。</w:t>
            </w:r>
          </w:p>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基金合同生效满三年之日（指自然日），若基金资产净值低于2亿元人民币的，基金合同自动终止，且不得通过召开基金份额持有人大会延续基金合同期限。</w:t>
            </w:r>
          </w:p>
        </w:tc>
      </w:tr>
    </w:tbl>
    <w:p w:rsidR="00DF6E25" w:rsidRPr="0074720D" w:rsidP="0074720D">
      <w:pPr>
        <w:rPr>
          <w:rFonts w:ascii="宋体" w:eastAsia="宋体" w:hAnsi="宋体" w:cs="方正仿宋简体"/>
          <w:bCs/>
          <w:iCs/>
          <w:szCs w:val="21"/>
        </w:rPr>
      </w:pPr>
    </w:p>
    <w:p w:rsidR="00025EAC" w:rsidRPr="0074720D" w:rsidP="0074720D">
      <w:pPr>
        <w:rPr>
          <w:rFonts w:ascii="宋体" w:eastAsia="宋体" w:hAnsi="宋体" w:cs="宋体"/>
          <w:iCs/>
          <w:color w:val="000000"/>
          <w:szCs w:val="21"/>
        </w:rPr>
        <w:sectPr w:rsidSect="00FE250C">
          <w:type w:val="continuous"/>
          <w:pgSz w:w="12240" w:h="15840"/>
          <w:pgMar w:top="1440" w:right="1800" w:bottom="1440" w:left="1800" w:header="720" w:footer="720" w:gutter="0"/>
          <w:cols w:space="720"/>
        </w:sectPr>
      </w:pPr>
    </w:p>
    <w:p w:rsidR="00834E25" w:rsidRPr="00124F47" w:rsidP="00D32707">
      <w:pPr>
        <w:spacing w:line="360" w:lineRule="auto"/>
        <w:rPr>
          <w:rFonts w:ascii="宋体" w:eastAsia="宋体" w:hAnsi="宋体" w:cs="方正仿宋简体"/>
          <w:b/>
          <w:bCs/>
          <w:iCs/>
          <w:szCs w:val="21"/>
        </w:rPr>
      </w:pPr>
      <w:r w:rsidRPr="00124F47">
        <w:rPr>
          <w:rFonts w:ascii="宋体" w:eastAsia="宋体" w:hAnsi="宋体" w:cs="方正仿宋简体" w:hint="eastAsia"/>
          <w:b/>
          <w:bCs/>
          <w:iCs/>
          <w:szCs w:val="21"/>
        </w:rPr>
        <w:t>二、</w:t>
      </w:r>
      <w:r w:rsidRPr="00124F47">
        <w:rPr>
          <w:rFonts w:ascii="宋体" w:eastAsia="宋体" w:hAnsi="宋体" w:cs="方正仿宋简体"/>
          <w:b/>
          <w:bCs/>
          <w:iCs/>
          <w:szCs w:val="21"/>
        </w:rPr>
        <w:t xml:space="preserve"> </w:t>
      </w:r>
      <w:r w:rsidRPr="00124F47">
        <w:rPr>
          <w:rFonts w:ascii="宋体" w:eastAsia="宋体" w:hAnsi="宋体" w:cs="方正仿宋简体"/>
          <w:b/>
          <w:bCs/>
          <w:iCs/>
          <w:szCs w:val="21"/>
        </w:rPr>
        <w:t>基金投资与净值表现</w:t>
      </w:r>
    </w:p>
    <w:p w:rsidR="00834E25" w:rsidRPr="00124F47" w:rsidP="00D32707">
      <w:pPr>
        <w:spacing w:line="360" w:lineRule="auto"/>
        <w:rPr>
          <w:rFonts w:ascii="宋体" w:eastAsia="宋体" w:hAnsi="宋体" w:cs="方正仿宋简体"/>
          <w:b/>
          <w:bCs/>
          <w:iCs/>
          <w:szCs w:val="21"/>
        </w:rPr>
        <w:sectPr w:rsidSect="00512717">
          <w:type w:val="continuous"/>
          <w:pgSz w:w="12240" w:h="15840"/>
          <w:pgMar w:top="1440" w:right="1800" w:bottom="1440" w:left="1800" w:header="720" w:footer="720" w:gutter="0"/>
          <w:cols w:space="720"/>
        </w:sectPr>
      </w:pPr>
    </w:p>
    <w:p w:rsidR="00EB4244" w:rsidRPr="006E61A9" w:rsidP="00EB4244">
      <w:pPr>
        <w:spacing w:line="360" w:lineRule="auto"/>
        <w:rPr>
          <w:rFonts w:ascii="宋体" w:eastAsia="宋体" w:hAnsi="宋体" w:cs="方正仿宋简体"/>
          <w:b/>
          <w:bCs/>
          <w:iCs/>
          <w:szCs w:val="21"/>
        </w:rPr>
      </w:pPr>
      <w:r w:rsidRPr="00EB4244">
        <w:rPr>
          <w:rFonts w:ascii="宋体" w:eastAsia="宋体" w:hAnsi="宋体" w:cs="方正仿宋简体" w:hint="eastAsia"/>
          <w:b/>
          <w:bCs/>
          <w:iCs/>
          <w:szCs w:val="21"/>
        </w:rPr>
        <w:t>（一）</w:t>
      </w:r>
      <w:r w:rsidRPr="006E61A9">
        <w:rPr>
          <w:rFonts w:ascii="宋体" w:eastAsia="宋体" w:hAnsi="宋体" w:cs="方正仿宋简体"/>
          <w:b/>
          <w:bCs/>
          <w:iCs/>
          <w:szCs w:val="21"/>
        </w:rPr>
        <w:t>投资目标与投资策略</w:t>
      </w:r>
    </w:p>
    <w:tbl>
      <w:tblPr>
        <w:tblStyle w:val="TableNormal"/>
        <w:tblW w:w="878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6946"/>
      </w:tblGrid>
      <w:tr w:rsidTr="00EB4244">
        <w:tblPrEx>
          <w:tblW w:w="878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8"/>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投资目标</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本基金在严格控制组合风险的前提下，以基本面分析为立足点，精选金融优选主题相关优质上市公司，力争实现基金资产的长期稳健增值。</w:t>
            </w:r>
          </w:p>
        </w:tc>
      </w:tr>
      <w:tr w:rsidTr="00EB4244">
        <w:tblPrEx>
          <w:tblW w:w="8789" w:type="dxa"/>
          <w:tblInd w:w="27" w:type="dxa"/>
          <w:tblLook w:val="0000"/>
        </w:tblPrEx>
        <w:trPr>
          <w:trHeight w:val="416"/>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投资范围</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本基金还可根据法律法规参与融资业务。</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如法律法规或监管机构以后允许基金投资其他品种，基金管理人在履行适当程序后，可以将其纳入投资范围。</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基金的投资组合比例为：本基金股票资产占基金资产的比例为60%-95%，其中，投资于港股通标的股票的比例不超过股票资产的50%。本基金投资于金融优选主题相关的股票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如法律法规或监管机构变更投资品种的投资比例限制，基金管理人在履行适当程序后，可以调整上述投资品种的投资比例。</w:t>
            </w:r>
          </w:p>
        </w:tc>
      </w:tr>
      <w:tr w:rsidTr="00EB4244">
        <w:tblPrEx>
          <w:tblW w:w="8789" w:type="dxa"/>
          <w:tblInd w:w="27" w:type="dxa"/>
          <w:tblLook w:val="0000"/>
        </w:tblPrEx>
        <w:trPr>
          <w:trHeight w:val="407"/>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主要投资策略</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本基金将在有效控制风险的前提下，采用科学的资产配置策略和个股精选策略，定量与定性分析相结合，力争实现基金资产的长期稳健增值。</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的投资策略主要包括资产配置策略、个股精选策略、港股通标的股票的投资策略、存托凭证的投资策略、债券投资策略、可转债及可交换债投资策略、资产支持证券投资策略、股指期货投资策略、国债期货投资策略、股票期权投资策略、信用衍生品投资策略、融资投资策略。</w:t>
            </w:r>
          </w:p>
        </w:tc>
      </w:tr>
      <w:tr w:rsidTr="00EB4244">
        <w:tblPrEx>
          <w:tblW w:w="8789" w:type="dxa"/>
          <w:tblInd w:w="27" w:type="dxa"/>
          <w:tblLook w:val="0000"/>
        </w:tblPrEx>
        <w:trPr>
          <w:trHeight w:val="412"/>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业绩比较基准</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中证全指金融行业指数收益率*60%+中证港股通内地金融指数（港元）收益率*20%+中债-国债总全价(1-3年)指数收益率*15%+活期存款基准利率*5%</w:t>
            </w:r>
          </w:p>
        </w:tc>
      </w:tr>
      <w:tr w:rsidTr="00EB4244">
        <w:tblPrEx>
          <w:tblW w:w="8789" w:type="dxa"/>
          <w:tblInd w:w="27" w:type="dxa"/>
          <w:tblLook w:val="0000"/>
        </w:tblPrEx>
        <w:trPr>
          <w:trHeight w:val="419"/>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风险收益特征</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本基金属于混合型基金，其预期的风险与收益低于股票型基金，高于债券型基金与货币市场基金。</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本基金除了投资A股以外，还可以根据法律法规规定投资港股通标的股票，将面临港股通机制下因投资环境、投资标的、市场制度以及交易规则等差异带来的特有风险。</w:t>
            </w:r>
          </w:p>
        </w:tc>
      </w:tr>
    </w:tbl>
    <w:p w:rsidR="0051145B" w:rsidRPr="00EB4244" w:rsidP="00EB4244">
      <w:pPr>
        <w:rPr>
          <w:rFonts w:ascii="宋体" w:eastAsia="宋体" w:hAnsi="宋体" w:cs="方正仿宋简体"/>
          <w:iCs/>
          <w:szCs w:val="21"/>
        </w:rPr>
        <w:sectPr w:rsidSect="00F576B5">
          <w:type w:val="continuous"/>
          <w:pgSz w:w="12240" w:h="15840"/>
          <w:pgMar w:top="1440" w:right="1800" w:bottom="1440" w:left="1800" w:header="720" w:footer="720" w:gutter="0"/>
          <w:cols w:space="720"/>
        </w:sectPr>
      </w:pPr>
      <w:r w:rsidRPr="00EB4244">
        <w:rPr>
          <w:rFonts w:ascii="宋体" w:eastAsia="宋体" w:hAnsi="宋体" w:cs="方正仿宋简体"/>
          <w:iCs/>
          <w:szCs w:val="21"/>
        </w:rPr>
        <w:t>注：投资者欲了解本基金的详细情况，请仔细阅读本基金的《招募说明书》。本基金产品有风险，投资需谨慎。</w:t>
      </w:r>
    </w:p>
    <w:p w:rsidR="00834E25" w:rsidRPr="00340931" w:rsidP="00340931">
      <w:pPr>
        <w:spacing w:line="360" w:lineRule="auto"/>
        <w:rPr>
          <w:rFonts w:ascii="宋体" w:eastAsia="宋体" w:hAnsi="宋体" w:cs="方正仿宋简体"/>
          <w:b/>
          <w:bCs/>
          <w:iCs/>
          <w:szCs w:val="21"/>
        </w:rPr>
        <w:sectPr w:rsidSect="00F34BD9">
          <w:type w:val="continuous"/>
          <w:pgSz w:w="12240" w:h="15840"/>
          <w:pgMar w:top="1440" w:right="1800" w:bottom="1440" w:left="1800" w:header="720" w:footer="720" w:gutter="0"/>
          <w:cols w:space="720"/>
        </w:sectPr>
      </w:pPr>
      <w:r w:rsidRPr="00340931">
        <w:rPr>
          <w:rFonts w:ascii="宋体" w:eastAsia="宋体" w:hAnsi="宋体" w:cs="方正仿宋简体" w:hint="eastAsia"/>
          <w:b/>
          <w:bCs/>
          <w:iCs/>
          <w:szCs w:val="21"/>
        </w:rPr>
        <w:t>三、投资本基金涉及的费用</w:t>
      </w:r>
    </w:p>
    <w:p w:rsidR="00263627" w:rsidRPr="00B4654F" w:rsidP="00263627">
      <w:pPr>
        <w:spacing w:line="360" w:lineRule="auto"/>
        <w:rPr>
          <w:rFonts w:ascii="宋体" w:eastAsia="宋体" w:hAnsi="宋体"/>
          <w:b/>
        </w:rPr>
      </w:pPr>
      <w:r w:rsidRPr="00B4654F">
        <w:rPr>
          <w:rFonts w:ascii="宋体" w:eastAsia="宋体" w:hAnsi="宋体" w:hint="eastAsia"/>
          <w:b/>
        </w:rPr>
        <w:t>（一）基金销售相关费用</w:t>
      </w:r>
    </w:p>
    <w:p w:rsidR="00F66C8F" w:rsidRPr="00263627" w:rsidP="00F66C8F">
      <w:pPr>
        <w:spacing w:line="240" w:lineRule="atLeast"/>
        <w:rPr>
          <w:rFonts w:ascii="宋体" w:eastAsia="宋体" w:hAnsi="宋体" w:cs="宋体"/>
          <w:color w:val="000000"/>
        </w:rPr>
      </w:pPr>
      <w:r w:rsidRPr="00263627">
        <w:rPr>
          <w:rFonts w:ascii="宋体" w:eastAsia="宋体" w:hAnsi="宋体" w:cs="宋体"/>
          <w:color w:val="000000"/>
        </w:rPr>
        <w:t>以下费用在认购/申购/赎回基金过程中收取：</w:t>
      </w:r>
    </w:p>
    <w:p w:rsidR="00834E25" w:rsidRPr="00263627" w:rsidP="00BC38BD">
      <w:pPr>
        <w:spacing w:line="240" w:lineRule="atLeast"/>
        <w:rPr>
          <w:rFonts w:ascii="宋体" w:eastAsia="宋体" w:hAnsi="宋体"/>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8"/>
        <w:gridCol w:w="2158"/>
        <w:gridCol w:w="2158"/>
        <w:gridCol w:w="21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费用类型</w:t>
            </w:r>
          </w:p>
        </w:tc>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份额（S）或金额（M）/持有期限（N）</w:t>
            </w:r>
          </w:p>
        </w:tc>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费率/收费方式</w:t>
            </w:r>
          </w:p>
        </w:tc>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备注</w:t>
            </w:r>
          </w:p>
        </w:tc>
      </w:tr>
      <w:tr>
        <w:tblPrEx>
          <w:tblW w:w="5000" w:type="pct"/>
          <w:tblCellMar>
            <w:left w:w="108" w:type="dxa"/>
            <w:right w:w="108" w:type="dxa"/>
          </w:tblCellMar>
        </w:tblPrEx>
        <w:tc>
          <w:tcPr>
            <w:tcW w:w="20000" w:type="dxa"/>
            <w:vMerge w:val="restart"/>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 xml:space="preserve">赎回费 </w:t>
            </w:r>
          </w:p>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N&lt;7天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1.50%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7天≤N&lt;30天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1.00%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30天≤N&lt;180天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0.50%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N≥180天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0.00%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认购费</w:t>
            </w:r>
          </w:p>
        </w:tc>
        <w:tc>
          <w:tcPr>
            <w:tcW w:w="20000" w:type="dxa"/>
            <w:gridSpan w:val="3"/>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本基金C类基金份额不收取认购费用。</w:t>
            </w:r>
          </w:p>
        </w:tc>
      </w:tr>
      <w:tr>
        <w:tblPrEx>
          <w:tblW w:w="5000" w:type="pct"/>
          <w:tblCellMar>
            <w:left w:w="108" w:type="dxa"/>
            <w:right w:w="108" w:type="dxa"/>
          </w:tblCellMar>
        </w:tblPrEx>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申购费</w:t>
            </w:r>
          </w:p>
        </w:tc>
        <w:tc>
          <w:tcPr>
            <w:tcW w:w="20000" w:type="dxa"/>
            <w:gridSpan w:val="3"/>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本基金C类基金份额不收取申购费用。</w:t>
            </w:r>
          </w:p>
        </w:tc>
      </w:tr>
    </w:tbl>
    <w:p w:rsidR="00834E25" w:rsidRPr="00263627" w:rsidP="00BC38BD">
      <w:pPr>
        <w:spacing w:line="240" w:lineRule="atLeast"/>
        <w:rPr>
          <w:rFonts w:ascii="宋体" w:eastAsia="宋体" w:hAnsi="宋体"/>
        </w:rPr>
      </w:pPr>
    </w:p>
    <w:p w:rsidR="00263627" w:rsidRPr="00263627" w:rsidP="00BC38BD">
      <w:pPr>
        <w:spacing w:line="240" w:lineRule="atLeast"/>
        <w:rPr>
          <w:rFonts w:ascii="宋体" w:eastAsia="宋体" w:hAnsi="宋体"/>
        </w:rPr>
        <w:sectPr w:rsidSect="006A06BB">
          <w:type w:val="continuous"/>
          <w:pgSz w:w="12240" w:h="15840"/>
          <w:pgMar w:top="1440" w:right="1800" w:bottom="1440" w:left="1800" w:header="720" w:footer="720" w:gutter="0"/>
          <w:cols w:space="720"/>
        </w:sectPr>
      </w:pPr>
    </w:p>
    <w:p w:rsidR="004118E0" w:rsidRPr="004118E0" w:rsidP="004118E0">
      <w:pPr>
        <w:spacing w:line="360" w:lineRule="auto"/>
        <w:rPr>
          <w:rFonts w:ascii="宋体" w:eastAsia="宋体" w:hAnsi="宋体" w:cs="宋体"/>
          <w:b/>
          <w:bCs/>
          <w:iCs/>
          <w:color w:val="000000"/>
          <w:szCs w:val="21"/>
        </w:rPr>
      </w:pPr>
      <w:r w:rsidRPr="004118E0">
        <w:rPr>
          <w:rFonts w:ascii="宋体" w:eastAsia="宋体" w:hAnsi="宋体" w:cs="方正仿宋简体" w:hint="eastAsia"/>
          <w:b/>
          <w:bCs/>
          <w:iCs/>
          <w:szCs w:val="21"/>
        </w:rPr>
        <w:t>（二）</w:t>
      </w:r>
      <w:r w:rsidRPr="004118E0">
        <w:rPr>
          <w:rFonts w:ascii="宋体" w:eastAsia="宋体" w:hAnsi="宋体" w:cs="宋体"/>
          <w:b/>
          <w:bCs/>
          <w:iCs/>
          <w:color w:val="000000"/>
          <w:szCs w:val="21"/>
        </w:rPr>
        <w:t>基金运作相关费用</w:t>
      </w:r>
    </w:p>
    <w:p w:rsidR="004118E0" w:rsidP="004118E0">
      <w:pPr>
        <w:spacing w:line="360" w:lineRule="auto"/>
        <w:rPr>
          <w:rFonts w:ascii="宋体" w:eastAsia="宋体" w:hAnsi="宋体" w:cs="方正仿宋简体"/>
          <w:iCs/>
          <w:szCs w:val="21"/>
        </w:rPr>
      </w:pPr>
      <w:r w:rsidRPr="004118E0">
        <w:rPr>
          <w:rFonts w:ascii="宋体" w:eastAsia="宋体" w:hAnsi="宋体" w:cs="方正仿宋简体" w:hint="eastAsia"/>
          <w:iCs/>
          <w:szCs w:val="21"/>
        </w:rPr>
        <w:t>以下费用将从基金资产中扣除：</w:t>
      </w:r>
    </w:p>
    <w:p w:rsidR="004118E0" w:rsidRPr="004118E0" w:rsidP="004118E0">
      <w:pPr>
        <w:rPr>
          <w:rFonts w:ascii="宋体" w:eastAsia="宋体" w:hAnsi="宋体" w:cs="方正仿宋简体"/>
          <w:iCs/>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8"/>
        <w:gridCol w:w="2158"/>
        <w:gridCol w:w="2158"/>
        <w:gridCol w:w="21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费用类别</w:t>
            </w:r>
          </w:p>
        </w:tc>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年费率或金额</w:t>
            </w:r>
          </w:p>
        </w:tc>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收费方式</w:t>
            </w:r>
          </w:p>
        </w:tc>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收取方</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管理费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本基金根据每笔基金份额的持有期限与持有期间年化收益率，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期间年化收益率分为以下三种情况，分别确定对应的管理费率档位： 若持有期间相对业绩比较基准的年化超额收益率（扣除超额管理费后，超额管理费年费率为0.30%，下同）超过6%且持有收益率（扣除超额管理费后）为正，按1.50%年费率确认管理费；若持有期间的年化超额收益率在-3%及以下，按0.60%年费率确认管理费；其他情形按1.20%年费率确认管理费。</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基金管理人、销售机构</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托管费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0.2%</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基金托管人</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销售服务费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0.4%</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销售机构</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审计费用</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会计师事务所</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信息披露费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规定披露报刊</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指数许可使用费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指数编制公司</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其他费用</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基金合同》生效后与基金相关的律师费、仲裁费和诉讼费；基金份额持有人大会费用；基金的证券、期货等交易费用；基金的银行汇划费用；基金的账户开户费用、账户维护费用；因投资港股通标的股票而产生的各项合理费用；按照国家有关规定和《基金合同》约定，可以在基金财产中列支的其他费用。</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r>
    </w:tbl>
    <w:p w:rsidR="004118E0" w:rsidRPr="004118E0" w:rsidP="004118E0">
      <w:pPr>
        <w:rPr>
          <w:rFonts w:ascii="宋体" w:eastAsia="宋体" w:hAnsi="宋体" w:cs="方正仿宋简体"/>
          <w:iCs/>
          <w:szCs w:val="21"/>
        </w:rPr>
      </w:pPr>
    </w:p>
    <w:p w:rsidR="00834E25" w:rsidRPr="004118E0">
      <w:pPr>
        <w:rPr>
          <w:rFonts w:ascii="宋体" w:eastAsia="宋体" w:hAnsi="宋体" w:cs="宋体"/>
          <w:iCs/>
          <w:color w:val="000000"/>
          <w:szCs w:val="21"/>
        </w:rPr>
        <w:sectPr w:rsidSect="00580B2D">
          <w:type w:val="continuous"/>
          <w:pgSz w:w="12240" w:h="15840"/>
          <w:pgMar w:top="1440" w:right="1800" w:bottom="1440" w:left="1800" w:header="720" w:footer="720" w:gutter="0"/>
          <w:cols w:space="720"/>
        </w:sectPr>
      </w:pPr>
      <w:r w:rsidRPr="004118E0">
        <w:rPr>
          <w:rFonts w:ascii="宋体" w:eastAsia="宋体" w:hAnsi="宋体" w:cs="宋体"/>
          <w:iCs/>
          <w:color w:val="000000"/>
          <w:szCs w:val="21"/>
        </w:rPr>
        <w:t>注：本基金费用的计算方法和支付方式详见本基金的《招募说明书》。本基金交易证券、基金等产生的费用和税负，按实际发生额从基金资产扣除。本基金运作相关费用年金额为基金整体承担费用，非单个份额类别费用，且年金额为预估值，最终实际金额以基金定期报告披露为准。上表销售服务费仅适用于通过直销机构以外的其他销售机构认购、申购C类基金份额且持有未超过一年（即365天，下同）的情形。对于投资者通过直销机构认购/申购C类基金份额计提的销售服务费或者通过其他销售机构认购/申购的C类基金份额持续持有期限超过一年以后继续计提的销售服务费，将在投资者赎回相应基金份额或基金合同终止时随赎回款或清算款一并返还给投资者。</w:t>
      </w:r>
    </w:p>
    <w:p w:rsidR="00834E25" w:rsidRPr="00C2264A" w:rsidP="00C2264A">
      <w:pPr>
        <w:spacing w:line="360" w:lineRule="auto"/>
        <w:rPr>
          <w:rFonts w:ascii="宋体" w:eastAsia="宋体" w:hAnsi="宋体" w:cs="方正仿宋简体"/>
          <w:b/>
          <w:bCs/>
          <w:iCs/>
          <w:szCs w:val="21"/>
        </w:rPr>
        <w:sectPr w:rsidSect="000666D8">
          <w:type w:val="continuous"/>
          <w:pgSz w:w="12240" w:h="15840"/>
          <w:pgMar w:top="1440" w:right="1800" w:bottom="1440" w:left="1800" w:header="720" w:footer="720" w:gutter="0"/>
          <w:cols w:space="720"/>
        </w:sectPr>
      </w:pPr>
      <w:r w:rsidRPr="00C2264A">
        <w:rPr>
          <w:rFonts w:ascii="宋体" w:eastAsia="宋体" w:hAnsi="宋体" w:cs="方正仿宋简体" w:hint="eastAsia"/>
          <w:b/>
          <w:bCs/>
          <w:iCs/>
          <w:szCs w:val="21"/>
        </w:rPr>
        <w:t>四、</w:t>
      </w:r>
      <w:r w:rsidRPr="00C2264A">
        <w:rPr>
          <w:rFonts w:ascii="宋体" w:eastAsia="宋体" w:hAnsi="宋体" w:cs="方正仿宋简体"/>
          <w:b/>
          <w:bCs/>
          <w:iCs/>
          <w:szCs w:val="21"/>
        </w:rPr>
        <w:t>风险揭示与重要提示</w:t>
      </w:r>
    </w:p>
    <w:p w:rsidR="008C558C" w:rsidRPr="008C558C" w:rsidP="008C558C">
      <w:pPr>
        <w:spacing w:line="360" w:lineRule="auto"/>
        <w:rPr>
          <w:rFonts w:ascii="宋体" w:eastAsia="宋体" w:hAnsi="宋体" w:cs="方正仿宋简体"/>
          <w:b/>
          <w:bCs/>
          <w:iCs/>
          <w:szCs w:val="21"/>
        </w:rPr>
      </w:pPr>
      <w:r w:rsidRPr="008C558C">
        <w:rPr>
          <w:rFonts w:ascii="宋体" w:eastAsia="宋体" w:hAnsi="宋体" w:cs="方正仿宋简体" w:hint="eastAsia"/>
          <w:b/>
          <w:bCs/>
          <w:iCs/>
          <w:szCs w:val="21"/>
        </w:rPr>
        <w:t>（一）</w:t>
      </w:r>
      <w:r w:rsidRPr="008C558C">
        <w:rPr>
          <w:rFonts w:ascii="宋体" w:eastAsia="宋体" w:hAnsi="宋体" w:cs="方正仿宋简体"/>
          <w:b/>
          <w:bCs/>
          <w:iCs/>
          <w:szCs w:val="21"/>
        </w:rPr>
        <w:t>风险揭示</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本基金不提供任何保证。投资者可能损失本金。投资有风险，投资者购买基金时应认真阅读本基金的《招募说明书》等销售文件。</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本基金的风险包括市场风险、管理风险、流动性风险、特有风险、税负增加风险、操作或技术风险、合规性风险、本基金法律文件风险收益特征表述与销售机构基金风险评价可能不一致的风险、其他风险。其中特有风险包括：</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1、港股通标的股票投资风险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2、国债期货投资风险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3、股指期货投资风险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4、股票期权投资风险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5、资产支持证券投资风险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6、参与融资交易风险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7、流通受限证券投资风险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8、存托凭证投资风险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9、信用衍生品的投资风险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10、基金自动终止的风险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11、启用侧袋机制的风险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12、浮动管理费模式相关风险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本基金的管理费由固定管理费、或有管理费和超额管理费组成，其中或有管理费和超额管理费取决于基金份额持有人每笔认/申购份额的持有时间和年化收益率与同期业绩比较基准年化收益率的情况，因此投资者在认/申购本基金时无法预先确定该笔基金份额适用的管理费水平。</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2）由于本基金在计算各类基金份额净值时，按前一日基金资产净值的1.20%年费率计算管理费，该费率可能高于或低于不同投资者最终适用的管理费率。在基金份额赎回或基金合同终止的情形发生时，基金投资者实际收到的赎回款项或清算款项的金额可能与按披露的该类基金份额净值计算的结果存在差异。投资者的实际赎回金额和清算资金以登记机构确认数据为准。</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（3）本基金采用浮动管理费的收费模式，不代表基金管理人对基金收益的保证。</w:t>
      </w:r>
    </w:p>
    <w:p w:rsidR="00834E25" w:rsidRPr="008C558C" w:rsidP="008C558C">
      <w:pPr>
        <w:spacing w:line="360" w:lineRule="auto"/>
        <w:ind w:firstLine="420" w:firstLineChars="200"/>
        <w:rPr>
          <w:rFonts w:ascii="宋体" w:eastAsia="宋体" w:hAnsi="宋体" w:cs="方正仿宋简体"/>
          <w:iCs/>
          <w:szCs w:val="21"/>
        </w:rPr>
        <w:sectPr w:rsidSect="00730C3D">
          <w:type w:val="continuous"/>
          <w:pgSz w:w="12240" w:h="15840"/>
          <w:pgMar w:top="1440" w:right="1800" w:bottom="1440" w:left="1800" w:header="720" w:footer="720" w:gutter="0"/>
          <w:cols w:space="720"/>
        </w:sectPr>
      </w:pPr>
      <w:r w:rsidRPr="008C558C">
        <w:rPr>
          <w:rFonts w:ascii="宋体" w:eastAsia="宋体" w:hAnsi="宋体" w:cs="方正仿宋简体"/>
          <w:iCs/>
          <w:szCs w:val="21"/>
        </w:rPr>
        <w:t>13、销售服务费计提与返还机制的相关风险</w:t>
      </w:r>
    </w:p>
    <w:p w:rsidR="005468DA" w:rsidRPr="005468DA" w:rsidP="005468DA">
      <w:pPr>
        <w:spacing w:line="360" w:lineRule="auto"/>
        <w:rPr>
          <w:rFonts w:ascii="宋体" w:eastAsia="宋体" w:hAnsi="宋体" w:cs="方正仿宋简体"/>
          <w:b/>
          <w:bCs/>
          <w:iCs/>
          <w:szCs w:val="21"/>
        </w:rPr>
      </w:pPr>
      <w:r w:rsidRPr="005468DA">
        <w:rPr>
          <w:rFonts w:ascii="宋体" w:eastAsia="宋体" w:hAnsi="宋体" w:cs="方正仿宋简体" w:hint="eastAsia"/>
          <w:b/>
          <w:bCs/>
          <w:iCs/>
          <w:szCs w:val="21"/>
        </w:rPr>
        <w:t>（二）</w:t>
      </w:r>
      <w:r w:rsidRPr="005468DA">
        <w:rPr>
          <w:rFonts w:ascii="宋体" w:eastAsia="宋体" w:hAnsi="宋体" w:cs="方正仿宋简体"/>
          <w:b/>
          <w:bCs/>
          <w:iCs/>
          <w:szCs w:val="21"/>
        </w:rPr>
        <w:t>重要提示</w:t>
      </w:r>
    </w:p>
    <w:p w:rsidR="00727A53"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中国证监会对本基金募集的注册，并不表明其对本基金的价值和收益作出实质性判断或保证，也不表明投资于本基金没有风险。</w:t>
      </w:r>
    </w:p>
    <w:p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基金管理人依照恪尽职守、诚实信用、谨慎勤勉的原则管理和运用基金财产，但不保证基金一定盈利，也不保证最低收益。</w:t>
      </w:r>
    </w:p>
    <w:p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基金投资者自依基金合同取得基金份额，即成为基金份额持有人和基金合同的当事人。</w:t>
      </w:r>
    </w:p>
    <w:p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本基金的争议解决处理方式为仲裁。具体仲裁机构和仲裁地点详见基金合同的具体约定。</w:t>
      </w:r>
    </w:p>
    <w:p w:rsidRPr="001E2FEA" w:rsidP="00C50D7E">
      <w:pPr>
        <w:spacing w:line="360" w:lineRule="auto"/>
        <w:ind w:firstLine="420" w:firstLineChars="200"/>
        <w:jc w:val="left"/>
        <w:rPr>
          <w:rFonts w:ascii="宋体" w:eastAsia="宋体" w:hAnsi="宋体" w:cs="方正仿宋简体"/>
          <w:iCs/>
          <w:szCs w:val="21"/>
        </w:rPr>
        <w:sectPr w:rsidSect="005F782C">
          <w:type w:val="continuous"/>
          <w:pgSz w:w="12240" w:h="15840"/>
          <w:pgMar w:top="1440" w:right="1800" w:bottom="1440" w:left="1800" w:header="720" w:footer="720" w:gutter="0"/>
          <w:cols w:space="720"/>
        </w:sectPr>
      </w:pPr>
      <w:r w:rsidRPr="001E2FEA">
        <w:rPr>
          <w:rFonts w:ascii="宋体" w:eastAsia="宋体" w:hAnsi="宋体"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575F21" w:rsidRPr="00575F21" w:rsidP="00575F21">
      <w:pPr>
        <w:spacing w:line="360" w:lineRule="auto"/>
        <w:rPr>
          <w:rFonts w:ascii="宋体" w:eastAsia="宋体" w:hAnsi="宋体" w:cs="方正仿宋简体"/>
          <w:b/>
          <w:bCs/>
          <w:iCs/>
          <w:szCs w:val="21"/>
        </w:rPr>
      </w:pPr>
      <w:r w:rsidRPr="00575F21">
        <w:rPr>
          <w:rFonts w:ascii="宋体" w:eastAsia="宋体" w:hAnsi="宋体" w:cs="方正仿宋简体" w:hint="eastAsia"/>
          <w:b/>
          <w:bCs/>
          <w:iCs/>
          <w:szCs w:val="21"/>
        </w:rPr>
        <w:t>五、</w:t>
      </w:r>
      <w:r w:rsidRPr="00575F21">
        <w:rPr>
          <w:rFonts w:ascii="宋体" w:eastAsia="宋体" w:hAnsi="宋体" w:cs="方正仿宋简体"/>
          <w:b/>
          <w:bCs/>
          <w:iCs/>
          <w:szCs w:val="21"/>
        </w:rPr>
        <w:t>其他资料查询方式</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以下资料详见基金管理人网站：www.99fund.com、电话：400-888-9918</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1. 基金合同、托管协议、招募说明书</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2. 定期报告，包括基金季度报告、中期报告和年度报告</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3. 基金份额净值</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4. 基金销售机构及联系方式</w:t>
      </w:r>
    </w:p>
    <w:p w:rsidR="00834E25" w:rsidRPr="00575F21" w:rsidP="00575F21">
      <w:pPr>
        <w:spacing w:line="360" w:lineRule="auto"/>
        <w:ind w:firstLine="420" w:firstLineChars="200"/>
        <w:rPr>
          <w:rFonts w:ascii="宋体" w:eastAsia="宋体" w:hAnsi="宋体" w:cs="方正仿宋简体"/>
          <w:iCs/>
          <w:szCs w:val="21"/>
        </w:rPr>
        <w:sectPr w:rsidSect="0097619B">
          <w:type w:val="continuous"/>
          <w:pgSz w:w="12240" w:h="15840"/>
          <w:pgMar w:top="1440" w:right="1800" w:bottom="1440" w:left="1800" w:header="720" w:footer="720" w:gutter="0"/>
          <w:cols w:space="720"/>
        </w:sectPr>
      </w:pPr>
      <w:r w:rsidRPr="00575F21">
        <w:rPr>
          <w:rFonts w:ascii="宋体" w:eastAsia="宋体" w:hAnsi="宋体" w:cs="方正仿宋简体"/>
          <w:iCs/>
          <w:szCs w:val="21"/>
        </w:rPr>
        <w:t>5. 其他重要资料</w:t>
      </w:r>
    </w:p>
    <w:p w:rsidR="00834E25" w:rsidP="00C723AC">
      <w:pPr>
        <w:spacing w:line="360" w:lineRule="auto"/>
        <w:rPr>
          <w:rFonts w:ascii="宋体" w:eastAsia="宋体" w:hAnsi="宋体" w:cs="方正仿宋简体"/>
          <w:b/>
          <w:bCs/>
          <w:iCs/>
          <w:szCs w:val="21"/>
        </w:rPr>
      </w:pPr>
      <w:r>
        <w:rPr>
          <w:rFonts w:ascii="宋体" w:eastAsia="宋体" w:hAnsi="宋体" w:cs="方正仿宋简体" w:hint="eastAsia"/>
          <w:b/>
          <w:bCs/>
          <w:iCs/>
          <w:szCs w:val="21"/>
        </w:rPr>
        <w:t>六</w:t>
      </w:r>
      <w:r w:rsidRPr="00575F21" w:rsidR="00575F21">
        <w:rPr>
          <w:rFonts w:ascii="宋体" w:eastAsia="宋体" w:hAnsi="宋体" w:cs="方正仿宋简体" w:hint="eastAsia"/>
          <w:b/>
          <w:bCs/>
          <w:iCs/>
          <w:szCs w:val="21"/>
        </w:rPr>
        <w:t>、</w:t>
      </w:r>
      <w:r>
        <w:rPr>
          <w:rFonts w:ascii="宋体" w:eastAsia="宋体" w:hAnsi="宋体" w:cs="方正仿宋简体"/>
          <w:b/>
          <w:bCs/>
          <w:iCs/>
          <w:szCs w:val="21"/>
        </w:rPr>
        <w:t>其他情况说明</w:t>
      </w:r>
    </w:p>
    <w:p w:rsidR="00C723AC" w:rsidRPr="00C723AC" w:rsidP="00C723AC">
      <w:pPr>
        <w:spacing w:line="360" w:lineRule="auto"/>
        <w:ind w:firstLine="420" w:firstLineChars="200"/>
        <w:rPr>
          <w:rFonts w:ascii="宋体" w:eastAsia="宋体" w:hAnsi="宋体" w:cs="方正仿宋简体"/>
          <w:iCs/>
          <w:szCs w:val="21"/>
        </w:rPr>
      </w:pPr>
      <w:r w:rsidRPr="00C723AC">
        <w:rPr>
          <w:rFonts w:ascii="宋体" w:eastAsia="宋体" w:hAnsi="宋体" w:cs="方正仿宋简体"/>
          <w:iCs/>
          <w:szCs w:val="21"/>
        </w:rPr>
        <w:t>无</w:t>
      </w:r>
    </w:p>
    <w:sectPr w:rsidSect="0097619B">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panose1 w:val="00000000000000000000"/>
    <w:charset w:val="86"/>
    <w:family w:val="auto"/>
    <w:notTrueType/>
    <w:pitch w:val="default"/>
    <w:sig w:usb0="00000001" w:usb1="080E0000" w:usb2="00000010" w:usb3="00000000" w:csb0="00040000"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1C76CB"/>
    <w:multiLevelType w:val="hybridMultilevel"/>
    <w:tmpl w:val="3AA41978"/>
    <w:lvl w:ilvl="0">
      <w:start w:val="1"/>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BE"/>
    <w:rsid w:val="00025EAC"/>
    <w:rsid w:val="00036BDF"/>
    <w:rsid w:val="00124F47"/>
    <w:rsid w:val="001E2FEA"/>
    <w:rsid w:val="002066FC"/>
    <w:rsid w:val="00213261"/>
    <w:rsid w:val="00233040"/>
    <w:rsid w:val="00263627"/>
    <w:rsid w:val="002948F0"/>
    <w:rsid w:val="00331AA2"/>
    <w:rsid w:val="00340931"/>
    <w:rsid w:val="003E0F5A"/>
    <w:rsid w:val="004051D1"/>
    <w:rsid w:val="004118E0"/>
    <w:rsid w:val="0043717A"/>
    <w:rsid w:val="00486D7F"/>
    <w:rsid w:val="004F0A6C"/>
    <w:rsid w:val="0051145B"/>
    <w:rsid w:val="005468DA"/>
    <w:rsid w:val="00575F21"/>
    <w:rsid w:val="006E61A9"/>
    <w:rsid w:val="006F6BAE"/>
    <w:rsid w:val="00724EC9"/>
    <w:rsid w:val="00727A53"/>
    <w:rsid w:val="007371E2"/>
    <w:rsid w:val="0074720D"/>
    <w:rsid w:val="00834E25"/>
    <w:rsid w:val="00837612"/>
    <w:rsid w:val="008466B3"/>
    <w:rsid w:val="008A0B11"/>
    <w:rsid w:val="008C558C"/>
    <w:rsid w:val="008C59BE"/>
    <w:rsid w:val="009E1D5A"/>
    <w:rsid w:val="00AF19F0"/>
    <w:rsid w:val="00B4654F"/>
    <w:rsid w:val="00BC38BD"/>
    <w:rsid w:val="00C2264A"/>
    <w:rsid w:val="00C50D7E"/>
    <w:rsid w:val="00C723AC"/>
    <w:rsid w:val="00D32707"/>
    <w:rsid w:val="00D775F8"/>
    <w:rsid w:val="00DA3E8D"/>
    <w:rsid w:val="00DF6E25"/>
    <w:rsid w:val="00E01551"/>
    <w:rsid w:val="00E2656A"/>
    <w:rsid w:val="00EA2C49"/>
    <w:rsid w:val="00EB4244"/>
    <w:rsid w:val="00F66C8F"/>
  </w:rsids>
  <w:docVars>
    <w:docVar w:name="KGWebUrl" w:val="http://www.htfreportsit.com/RepTemplateManager//OfficeServer.aspx"/>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10106679-B46B-4B58-9AB5-D7054B88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61"/>
    <w:pPr>
      <w:ind w:firstLine="420" w:firstLineChars="20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66.67</cp:lastModifiedBy>
  <cp:revision>2</cp:revision>
  <dcterms:created xsi:type="dcterms:W3CDTF">2020-08-14T05:50:00Z</dcterms:created>
  <dcterms:modified xsi:type="dcterms:W3CDTF">2020-08-14T05:50:00Z</dcterms:modified>
</cp:coreProperties>
</file>