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840CFBF" w14:textId="77777777" w:rsidR="00496B2C" w:rsidRDefault="00496B2C">
      <w:pPr>
        <w:tabs>
          <w:tab w:val="left" w:pos="4471"/>
        </w:tabs>
        <w:spacing w:line="360" w:lineRule="auto"/>
        <w:jc w:val="center"/>
        <w:rPr>
          <w:bCs/>
          <w:sz w:val="44"/>
        </w:rPr>
      </w:pPr>
    </w:p>
    <w:p w14:paraId="296EA9E8" w14:textId="77777777" w:rsidR="00496B2C" w:rsidRDefault="00496B2C">
      <w:pPr>
        <w:jc w:val="center"/>
        <w:rPr>
          <w:rFonts w:eastAsia="仿宋_GB2312"/>
          <w:sz w:val="28"/>
          <w:szCs w:val="28"/>
        </w:rPr>
      </w:pPr>
    </w:p>
    <w:p w14:paraId="1578E2C1" w14:textId="77777777" w:rsidR="00496B2C" w:rsidRDefault="00496B2C">
      <w:pPr>
        <w:jc w:val="center"/>
        <w:rPr>
          <w:b/>
          <w:sz w:val="52"/>
        </w:rPr>
      </w:pPr>
    </w:p>
    <w:p w14:paraId="599FC5CD" w14:textId="77777777" w:rsidR="00CC12F2" w:rsidRDefault="00CC12F2">
      <w:pPr>
        <w:jc w:val="center"/>
        <w:rPr>
          <w:b/>
          <w:sz w:val="52"/>
        </w:rPr>
      </w:pPr>
    </w:p>
    <w:p w14:paraId="61743272" w14:textId="77777777" w:rsidR="00CC12F2" w:rsidRDefault="00CC12F2">
      <w:pPr>
        <w:jc w:val="center"/>
        <w:rPr>
          <w:b/>
          <w:sz w:val="52"/>
        </w:rPr>
      </w:pPr>
    </w:p>
    <w:p w14:paraId="41C02B9C" w14:textId="77777777" w:rsidR="00CC12F2" w:rsidRDefault="00CC12F2">
      <w:pPr>
        <w:jc w:val="center"/>
        <w:rPr>
          <w:b/>
          <w:sz w:val="52"/>
        </w:rPr>
      </w:pPr>
    </w:p>
    <w:p w14:paraId="0455E49B" w14:textId="77777777" w:rsidR="00CC12F2" w:rsidRDefault="00CC12F2">
      <w:pPr>
        <w:jc w:val="center"/>
        <w:rPr>
          <w:b/>
          <w:sz w:val="52"/>
        </w:rPr>
      </w:pPr>
    </w:p>
    <w:p w14:paraId="6E2FB51E" w14:textId="61E8AE2B" w:rsidR="00496B2C" w:rsidRDefault="005605B9">
      <w:pPr>
        <w:spacing w:line="600" w:lineRule="auto"/>
        <w:jc w:val="center"/>
        <w:rPr>
          <w:b/>
          <w:sz w:val="52"/>
        </w:rPr>
      </w:pPr>
      <w:r>
        <w:rPr>
          <w:b/>
          <w:sz w:val="36"/>
          <w:szCs w:val="36"/>
        </w:rPr>
        <w:t>汇添富睿选成长股票型证券投资基金招募说明书</w:t>
      </w:r>
    </w:p>
    <w:p w14:paraId="3744438C" w14:textId="77777777" w:rsidR="00496B2C" w:rsidRDefault="00496B2C">
      <w:pPr>
        <w:jc w:val="center"/>
        <w:rPr>
          <w:b/>
        </w:rPr>
      </w:pPr>
    </w:p>
    <w:p w14:paraId="50E0313E" w14:textId="77777777" w:rsidR="00496B2C" w:rsidRDefault="00496B2C">
      <w:pPr>
        <w:jc w:val="center"/>
        <w:rPr>
          <w:b/>
          <w:sz w:val="52"/>
        </w:rPr>
      </w:pPr>
    </w:p>
    <w:p w14:paraId="43CDFA21" w14:textId="77777777" w:rsidR="00496B2C" w:rsidRDefault="00496B2C">
      <w:pPr>
        <w:jc w:val="center"/>
        <w:rPr>
          <w:sz w:val="24"/>
          <w:szCs w:val="24"/>
        </w:rPr>
      </w:pPr>
      <w:bookmarkStart w:id="0" w:name="_Toc123701381"/>
      <w:bookmarkStart w:id="1" w:name="_Toc123112222"/>
      <w:bookmarkStart w:id="2" w:name="_Toc123112261"/>
      <w:bookmarkStart w:id="3" w:name="_Toc139992299"/>
      <w:bookmarkStart w:id="4" w:name="_Toc139991724"/>
    </w:p>
    <w:p w14:paraId="50019F53" w14:textId="77777777" w:rsidR="00496B2C" w:rsidRDefault="00496B2C">
      <w:pPr>
        <w:jc w:val="center"/>
        <w:rPr>
          <w:sz w:val="24"/>
          <w:szCs w:val="24"/>
        </w:rPr>
      </w:pPr>
    </w:p>
    <w:bookmarkEnd w:id="0"/>
    <w:bookmarkEnd w:id="1"/>
    <w:bookmarkEnd w:id="2"/>
    <w:bookmarkEnd w:id="3"/>
    <w:bookmarkEnd w:id="4"/>
    <w:p w14:paraId="694A1D19" w14:textId="77777777" w:rsidR="00496B2C" w:rsidRDefault="00496B2C">
      <w:pPr>
        <w:jc w:val="center"/>
        <w:rPr>
          <w:bCs/>
          <w:sz w:val="32"/>
          <w:szCs w:val="36"/>
        </w:rPr>
      </w:pPr>
    </w:p>
    <w:p w14:paraId="5B4B4224" w14:textId="77777777" w:rsidR="00496B2C" w:rsidRDefault="00496B2C">
      <w:pPr>
        <w:jc w:val="center"/>
        <w:rPr>
          <w:b/>
          <w:sz w:val="52"/>
        </w:rPr>
      </w:pPr>
    </w:p>
    <w:p w14:paraId="713534CB" w14:textId="77777777" w:rsidR="00496B2C" w:rsidRDefault="00496B2C">
      <w:pPr>
        <w:jc w:val="center"/>
        <w:rPr>
          <w:b/>
          <w:sz w:val="52"/>
        </w:rPr>
      </w:pPr>
    </w:p>
    <w:p w14:paraId="21374828" w14:textId="77777777" w:rsidR="00CC12F2" w:rsidRDefault="00CC12F2">
      <w:pPr>
        <w:jc w:val="center"/>
        <w:rPr>
          <w:b/>
          <w:sz w:val="52"/>
        </w:rPr>
      </w:pPr>
    </w:p>
    <w:p w14:paraId="60D7FC79" w14:textId="77777777" w:rsidR="00496B2C" w:rsidRDefault="00496B2C">
      <w:pPr>
        <w:jc w:val="center"/>
        <w:rPr>
          <w:b/>
          <w:sz w:val="52"/>
        </w:rPr>
      </w:pPr>
    </w:p>
    <w:p w14:paraId="58FD94E8" w14:textId="77777777" w:rsidR="00496B2C" w:rsidRDefault="00496B2C">
      <w:pPr>
        <w:jc w:val="center"/>
        <w:rPr>
          <w:b/>
          <w:sz w:val="52"/>
        </w:rPr>
      </w:pPr>
    </w:p>
    <w:p w14:paraId="13467827" w14:textId="77777777" w:rsidR="00496B2C" w:rsidRDefault="00496B2C">
      <w:pPr>
        <w:rPr>
          <w:b/>
        </w:rPr>
      </w:pPr>
    </w:p>
    <w:p w14:paraId="117C2AEA" w14:textId="77777777" w:rsidR="00496B2C" w:rsidRDefault="005605B9">
      <w:pPr>
        <w:jc w:val="center"/>
        <w:rPr>
          <w:b/>
          <w:sz w:val="36"/>
        </w:rPr>
      </w:pPr>
      <w:r>
        <w:rPr>
          <w:b/>
          <w:sz w:val="36"/>
        </w:rPr>
        <w:t>基金管理人：汇添富基金管理股份有限公司</w:t>
      </w:r>
    </w:p>
    <w:p w14:paraId="63871611" w14:textId="77777777" w:rsidR="00496B2C" w:rsidRDefault="005605B9">
      <w:pPr>
        <w:jc w:val="center"/>
        <w:rPr>
          <w:b/>
          <w:sz w:val="36"/>
        </w:rPr>
      </w:pPr>
      <w:r>
        <w:rPr>
          <w:b/>
          <w:sz w:val="36"/>
        </w:rPr>
        <w:t>基金托管人：</w:t>
      </w:r>
      <w:r>
        <w:rPr>
          <w:b/>
          <w:sz w:val="32"/>
        </w:rPr>
        <w:t>兴业银行股份有限公司</w:t>
      </w:r>
    </w:p>
    <w:p w14:paraId="506679D1" w14:textId="77777777" w:rsidR="00496B2C" w:rsidRDefault="00496B2C">
      <w:pPr>
        <w:jc w:val="center"/>
        <w:rPr>
          <w:bCs/>
          <w:sz w:val="32"/>
        </w:rPr>
      </w:pPr>
    </w:p>
    <w:p w14:paraId="617E6257" w14:textId="77777777" w:rsidR="00496B2C" w:rsidRDefault="00496B2C">
      <w:pPr>
        <w:jc w:val="center"/>
        <w:rPr>
          <w:bCs/>
          <w:sz w:val="32"/>
        </w:rPr>
      </w:pPr>
    </w:p>
    <w:p w14:paraId="488F8A7B" w14:textId="77777777" w:rsidR="00496B2C" w:rsidRDefault="00496B2C">
      <w:pPr>
        <w:rPr>
          <w:rFonts w:ascii="宋体"/>
          <w:b/>
          <w:bCs/>
          <w:sz w:val="30"/>
        </w:rPr>
        <w:sectPr w:rsidR="00496B2C">
          <w:footerReference w:type="default" r:id="rId7"/>
          <w:pgSz w:w="11906" w:h="16838"/>
          <w:pgMar w:top="1440" w:right="1800" w:bottom="1440" w:left="1800" w:header="851" w:footer="992" w:gutter="0"/>
          <w:cols w:space="720"/>
          <w:docGrid w:type="lines" w:linePitch="312"/>
        </w:sectPr>
      </w:pPr>
      <w:bookmarkStart w:id="5" w:name="_Toc123701386"/>
      <w:bookmarkStart w:id="6" w:name="_Toc139991729"/>
      <w:bookmarkStart w:id="7" w:name="_Toc123112227"/>
      <w:bookmarkStart w:id="8" w:name="_Toc123112266"/>
      <w:bookmarkStart w:id="9" w:name="_Toc123701389"/>
      <w:bookmarkStart w:id="10" w:name="_Toc23386"/>
      <w:bookmarkStart w:id="11" w:name="_Toc4966"/>
      <w:bookmarkStart w:id="12" w:name="_Toc26897"/>
      <w:bookmarkStart w:id="13" w:name="_Toc30935"/>
      <w:bookmarkStart w:id="14" w:name="_Toc15517"/>
      <w:bookmarkStart w:id="15" w:name="_Toc4867"/>
      <w:bookmarkStart w:id="16" w:name="_Toc139991730"/>
      <w:bookmarkStart w:id="17" w:name="_Toc123112268"/>
      <w:bookmarkStart w:id="18" w:name="_Toc29629"/>
      <w:bookmarkStart w:id="19" w:name="_Toc141703880"/>
      <w:bookmarkStart w:id="20" w:name="_Toc6306"/>
      <w:bookmarkStart w:id="21" w:name="_Toc32639"/>
      <w:bookmarkStart w:id="22" w:name="_Toc8727"/>
      <w:bookmarkStart w:id="23" w:name="_Toc233456271"/>
      <w:bookmarkStart w:id="24" w:name="_Toc123112229"/>
      <w:bookmarkEnd w:id="5"/>
      <w:bookmarkEnd w:id="6"/>
      <w:bookmarkEnd w:id="7"/>
      <w:bookmarkEnd w:id="8"/>
    </w:p>
    <w:p w14:paraId="45C07995" w14:textId="77777777" w:rsidR="00496B2C" w:rsidRDefault="005605B9">
      <w:pPr>
        <w:autoSpaceDE w:val="0"/>
        <w:autoSpaceDN w:val="0"/>
        <w:adjustRightInd w:val="0"/>
        <w:spacing w:line="360" w:lineRule="auto"/>
        <w:ind w:firstLineChars="200" w:firstLine="482"/>
        <w:jc w:val="center"/>
        <w:rPr>
          <w:rFonts w:ascii="宋体" w:hAnsi="宋体" w:cs="宋体"/>
          <w:b/>
          <w:sz w:val="24"/>
        </w:rPr>
      </w:pPr>
      <w:r>
        <w:rPr>
          <w:rStyle w:val="read"/>
          <w:rFonts w:ascii="宋体" w:hAnsi="宋体" w:cs="宋体"/>
          <w:b/>
          <w:sz w:val="24"/>
        </w:rPr>
        <w:lastRenderedPageBreak/>
        <w:t>目录</w:t>
      </w:r>
    </w:p>
    <w:p w14:paraId="04052E5C" w14:textId="77777777" w:rsidR="00496B2C" w:rsidRDefault="005605B9">
      <w:pPr>
        <w:pStyle w:val="10"/>
        <w:rPr>
          <w:rFonts w:asciiTheme="minorHAnsi" w:hAnsiTheme="minorHAnsi"/>
          <w:noProof/>
        </w:rPr>
      </w:pPr>
      <w:r>
        <w:rPr>
          <w:rStyle w:val="read"/>
          <w:rFonts w:ascii="宋体" w:hAnsi="宋体" w:cs="宋体"/>
          <w:b/>
          <w:sz w:val="24"/>
        </w:rPr>
        <w:fldChar w:fldCharType="begin"/>
      </w:r>
      <w:r>
        <w:rPr>
          <w:rStyle w:val="read"/>
          <w:rFonts w:ascii="宋体" w:hAnsi="宋体" w:cs="宋体"/>
          <w:b/>
          <w:sz w:val="24"/>
        </w:rPr>
        <w:instrText>TOC \o "1-1" \h \z \u</w:instrText>
      </w:r>
      <w:r>
        <w:rPr>
          <w:rStyle w:val="read"/>
          <w:rFonts w:ascii="宋体" w:hAnsi="宋体" w:cs="宋体"/>
          <w:b/>
          <w:sz w:val="24"/>
        </w:rPr>
        <w:fldChar w:fldCharType="separate"/>
      </w:r>
      <w:hyperlink w:anchor="_Toc256000000" w:history="1">
        <w:r>
          <w:rPr>
            <w:rStyle w:val="af1"/>
            <w:noProof/>
          </w:rPr>
          <w:t>第一部分</w:t>
        </w:r>
        <w:r>
          <w:rPr>
            <w:rStyle w:val="af1"/>
            <w:noProof/>
          </w:rPr>
          <w:t xml:space="preserve">  </w:t>
        </w:r>
        <w:r>
          <w:rPr>
            <w:rStyle w:val="af1"/>
            <w:noProof/>
          </w:rPr>
          <w:t>绪言</w:t>
        </w:r>
        <w:r>
          <w:rPr>
            <w:noProof/>
          </w:rPr>
          <w:tab/>
        </w:r>
        <w:r>
          <w:rPr>
            <w:noProof/>
          </w:rPr>
          <w:fldChar w:fldCharType="begin"/>
        </w:r>
        <w:r>
          <w:rPr>
            <w:noProof/>
          </w:rPr>
          <w:instrText xml:space="preserve"> PAGEREF _Toc256000000 \h </w:instrText>
        </w:r>
        <w:r>
          <w:rPr>
            <w:noProof/>
          </w:rPr>
        </w:r>
        <w:r>
          <w:rPr>
            <w:noProof/>
          </w:rPr>
          <w:fldChar w:fldCharType="separate"/>
        </w:r>
        <w:r w:rsidR="00BA1D80">
          <w:rPr>
            <w:noProof/>
          </w:rPr>
          <w:t>4</w:t>
        </w:r>
        <w:r>
          <w:rPr>
            <w:noProof/>
          </w:rPr>
          <w:fldChar w:fldCharType="end"/>
        </w:r>
      </w:hyperlink>
    </w:p>
    <w:p w14:paraId="55D0421B" w14:textId="77777777" w:rsidR="00496B2C" w:rsidRDefault="006156F7">
      <w:pPr>
        <w:pStyle w:val="10"/>
        <w:rPr>
          <w:rFonts w:asciiTheme="minorHAnsi" w:hAnsiTheme="minorHAnsi"/>
          <w:noProof/>
        </w:rPr>
      </w:pPr>
      <w:hyperlink w:anchor="_Toc256000001" w:history="1">
        <w:r w:rsidR="005605B9">
          <w:rPr>
            <w:rStyle w:val="af1"/>
            <w:noProof/>
          </w:rPr>
          <w:t>第二部分</w:t>
        </w:r>
        <w:r w:rsidR="005605B9">
          <w:rPr>
            <w:rStyle w:val="af1"/>
            <w:noProof/>
          </w:rPr>
          <w:t xml:space="preserve">  </w:t>
        </w:r>
        <w:r w:rsidR="005605B9">
          <w:rPr>
            <w:rStyle w:val="af1"/>
            <w:noProof/>
          </w:rPr>
          <w:t>释义</w:t>
        </w:r>
        <w:r w:rsidR="005605B9">
          <w:rPr>
            <w:noProof/>
          </w:rPr>
          <w:tab/>
        </w:r>
        <w:r w:rsidR="005605B9">
          <w:rPr>
            <w:noProof/>
          </w:rPr>
          <w:fldChar w:fldCharType="begin"/>
        </w:r>
        <w:r w:rsidR="005605B9">
          <w:rPr>
            <w:noProof/>
          </w:rPr>
          <w:instrText xml:space="preserve"> PAGEREF _Toc256000001 \h </w:instrText>
        </w:r>
        <w:r w:rsidR="005605B9">
          <w:rPr>
            <w:noProof/>
          </w:rPr>
        </w:r>
        <w:r w:rsidR="005605B9">
          <w:rPr>
            <w:noProof/>
          </w:rPr>
          <w:fldChar w:fldCharType="separate"/>
        </w:r>
        <w:r w:rsidR="00BA1D80">
          <w:rPr>
            <w:noProof/>
          </w:rPr>
          <w:t>5</w:t>
        </w:r>
        <w:r w:rsidR="005605B9">
          <w:rPr>
            <w:noProof/>
          </w:rPr>
          <w:fldChar w:fldCharType="end"/>
        </w:r>
      </w:hyperlink>
    </w:p>
    <w:p w14:paraId="3184F8F9" w14:textId="77777777" w:rsidR="00496B2C" w:rsidRDefault="006156F7">
      <w:pPr>
        <w:pStyle w:val="10"/>
        <w:rPr>
          <w:rFonts w:asciiTheme="minorHAnsi" w:hAnsiTheme="minorHAnsi"/>
          <w:noProof/>
        </w:rPr>
      </w:pPr>
      <w:hyperlink w:anchor="_Toc256000002" w:history="1">
        <w:r w:rsidR="005605B9">
          <w:rPr>
            <w:rStyle w:val="af1"/>
            <w:noProof/>
          </w:rPr>
          <w:t>第三部分</w:t>
        </w:r>
        <w:r w:rsidR="005605B9">
          <w:rPr>
            <w:rStyle w:val="af1"/>
            <w:noProof/>
          </w:rPr>
          <w:t xml:space="preserve">  </w:t>
        </w:r>
        <w:r w:rsidR="005605B9">
          <w:rPr>
            <w:rStyle w:val="af1"/>
            <w:noProof/>
          </w:rPr>
          <w:t>基金管理人</w:t>
        </w:r>
        <w:r w:rsidR="005605B9">
          <w:rPr>
            <w:noProof/>
          </w:rPr>
          <w:tab/>
        </w:r>
        <w:r w:rsidR="005605B9">
          <w:rPr>
            <w:noProof/>
          </w:rPr>
          <w:fldChar w:fldCharType="begin"/>
        </w:r>
        <w:r w:rsidR="005605B9">
          <w:rPr>
            <w:noProof/>
          </w:rPr>
          <w:instrText xml:space="preserve"> PAGEREF _Toc256000002 \h </w:instrText>
        </w:r>
        <w:r w:rsidR="005605B9">
          <w:rPr>
            <w:noProof/>
          </w:rPr>
        </w:r>
        <w:r w:rsidR="005605B9">
          <w:rPr>
            <w:noProof/>
          </w:rPr>
          <w:fldChar w:fldCharType="separate"/>
        </w:r>
        <w:r w:rsidR="00BA1D80">
          <w:rPr>
            <w:noProof/>
          </w:rPr>
          <w:t>11</w:t>
        </w:r>
        <w:r w:rsidR="005605B9">
          <w:rPr>
            <w:noProof/>
          </w:rPr>
          <w:fldChar w:fldCharType="end"/>
        </w:r>
      </w:hyperlink>
    </w:p>
    <w:p w14:paraId="55504943" w14:textId="77777777" w:rsidR="00496B2C" w:rsidRDefault="006156F7">
      <w:pPr>
        <w:pStyle w:val="10"/>
        <w:rPr>
          <w:rFonts w:asciiTheme="minorHAnsi" w:hAnsiTheme="minorHAnsi"/>
          <w:noProof/>
        </w:rPr>
      </w:pPr>
      <w:hyperlink w:anchor="_Toc256000003" w:history="1">
        <w:r w:rsidR="005605B9">
          <w:rPr>
            <w:rStyle w:val="af1"/>
            <w:noProof/>
          </w:rPr>
          <w:t>第四部分</w:t>
        </w:r>
        <w:r w:rsidR="005605B9">
          <w:rPr>
            <w:rStyle w:val="af1"/>
            <w:noProof/>
          </w:rPr>
          <w:t xml:space="preserve">  </w:t>
        </w:r>
        <w:r w:rsidR="005605B9">
          <w:rPr>
            <w:rStyle w:val="af1"/>
            <w:noProof/>
          </w:rPr>
          <w:t>基金托管人</w:t>
        </w:r>
        <w:r w:rsidR="005605B9">
          <w:rPr>
            <w:noProof/>
          </w:rPr>
          <w:tab/>
        </w:r>
        <w:r w:rsidR="005605B9">
          <w:rPr>
            <w:noProof/>
          </w:rPr>
          <w:fldChar w:fldCharType="begin"/>
        </w:r>
        <w:r w:rsidR="005605B9">
          <w:rPr>
            <w:noProof/>
          </w:rPr>
          <w:instrText xml:space="preserve"> PAGEREF _Toc256000003 \h </w:instrText>
        </w:r>
        <w:r w:rsidR="005605B9">
          <w:rPr>
            <w:noProof/>
          </w:rPr>
        </w:r>
        <w:r w:rsidR="005605B9">
          <w:rPr>
            <w:noProof/>
          </w:rPr>
          <w:fldChar w:fldCharType="separate"/>
        </w:r>
        <w:r w:rsidR="00BA1D80">
          <w:rPr>
            <w:noProof/>
          </w:rPr>
          <w:t>23</w:t>
        </w:r>
        <w:r w:rsidR="005605B9">
          <w:rPr>
            <w:noProof/>
          </w:rPr>
          <w:fldChar w:fldCharType="end"/>
        </w:r>
      </w:hyperlink>
    </w:p>
    <w:p w14:paraId="04178342" w14:textId="77777777" w:rsidR="00496B2C" w:rsidRDefault="006156F7">
      <w:pPr>
        <w:pStyle w:val="10"/>
        <w:rPr>
          <w:rFonts w:asciiTheme="minorHAnsi" w:hAnsiTheme="minorHAnsi"/>
          <w:noProof/>
        </w:rPr>
      </w:pPr>
      <w:hyperlink w:anchor="_Toc256000004" w:history="1">
        <w:r w:rsidR="005605B9">
          <w:rPr>
            <w:rStyle w:val="af1"/>
            <w:noProof/>
          </w:rPr>
          <w:t>第五部分</w:t>
        </w:r>
        <w:r w:rsidR="005605B9">
          <w:rPr>
            <w:rStyle w:val="af1"/>
            <w:noProof/>
          </w:rPr>
          <w:t xml:space="preserve">  </w:t>
        </w:r>
        <w:r w:rsidR="005605B9">
          <w:rPr>
            <w:rStyle w:val="af1"/>
            <w:noProof/>
          </w:rPr>
          <w:t>相关服务机构</w:t>
        </w:r>
        <w:r w:rsidR="005605B9">
          <w:rPr>
            <w:noProof/>
          </w:rPr>
          <w:tab/>
        </w:r>
        <w:r w:rsidR="005605B9">
          <w:rPr>
            <w:noProof/>
          </w:rPr>
          <w:fldChar w:fldCharType="begin"/>
        </w:r>
        <w:r w:rsidR="005605B9">
          <w:rPr>
            <w:noProof/>
          </w:rPr>
          <w:instrText xml:space="preserve"> PAGEREF _Toc256000004 \h </w:instrText>
        </w:r>
        <w:r w:rsidR="005605B9">
          <w:rPr>
            <w:noProof/>
          </w:rPr>
        </w:r>
        <w:r w:rsidR="005605B9">
          <w:rPr>
            <w:noProof/>
          </w:rPr>
          <w:fldChar w:fldCharType="separate"/>
        </w:r>
        <w:r w:rsidR="00BA1D80">
          <w:rPr>
            <w:noProof/>
          </w:rPr>
          <w:t>27</w:t>
        </w:r>
        <w:r w:rsidR="005605B9">
          <w:rPr>
            <w:noProof/>
          </w:rPr>
          <w:fldChar w:fldCharType="end"/>
        </w:r>
      </w:hyperlink>
    </w:p>
    <w:p w14:paraId="15132E61" w14:textId="77777777" w:rsidR="00496B2C" w:rsidRDefault="006156F7">
      <w:pPr>
        <w:pStyle w:val="10"/>
        <w:rPr>
          <w:rFonts w:asciiTheme="minorHAnsi" w:hAnsiTheme="minorHAnsi"/>
          <w:noProof/>
        </w:rPr>
      </w:pPr>
      <w:hyperlink w:anchor="_Toc256000005" w:history="1">
        <w:r w:rsidR="005605B9">
          <w:rPr>
            <w:rStyle w:val="af1"/>
            <w:noProof/>
          </w:rPr>
          <w:t>第六部分</w:t>
        </w:r>
        <w:r w:rsidR="005605B9">
          <w:rPr>
            <w:rStyle w:val="af1"/>
            <w:noProof/>
          </w:rPr>
          <w:t xml:space="preserve">  </w:t>
        </w:r>
        <w:r w:rsidR="005605B9">
          <w:rPr>
            <w:rStyle w:val="af1"/>
            <w:noProof/>
          </w:rPr>
          <w:t>基金的募集</w:t>
        </w:r>
        <w:r w:rsidR="005605B9">
          <w:rPr>
            <w:noProof/>
          </w:rPr>
          <w:tab/>
        </w:r>
        <w:r w:rsidR="005605B9">
          <w:rPr>
            <w:noProof/>
          </w:rPr>
          <w:fldChar w:fldCharType="begin"/>
        </w:r>
        <w:r w:rsidR="005605B9">
          <w:rPr>
            <w:noProof/>
          </w:rPr>
          <w:instrText xml:space="preserve"> PAGEREF _Toc256000005 \h </w:instrText>
        </w:r>
        <w:r w:rsidR="005605B9">
          <w:rPr>
            <w:noProof/>
          </w:rPr>
        </w:r>
        <w:r w:rsidR="005605B9">
          <w:rPr>
            <w:noProof/>
          </w:rPr>
          <w:fldChar w:fldCharType="separate"/>
        </w:r>
        <w:r w:rsidR="00BA1D80">
          <w:rPr>
            <w:noProof/>
          </w:rPr>
          <w:t>29</w:t>
        </w:r>
        <w:r w:rsidR="005605B9">
          <w:rPr>
            <w:noProof/>
          </w:rPr>
          <w:fldChar w:fldCharType="end"/>
        </w:r>
      </w:hyperlink>
    </w:p>
    <w:p w14:paraId="1BE709F2" w14:textId="77777777" w:rsidR="00496B2C" w:rsidRDefault="006156F7">
      <w:pPr>
        <w:pStyle w:val="10"/>
        <w:rPr>
          <w:rFonts w:asciiTheme="minorHAnsi" w:hAnsiTheme="minorHAnsi"/>
          <w:noProof/>
        </w:rPr>
      </w:pPr>
      <w:hyperlink w:anchor="_Toc256000006" w:history="1">
        <w:r w:rsidR="005605B9">
          <w:rPr>
            <w:rStyle w:val="af1"/>
            <w:noProof/>
          </w:rPr>
          <w:t>第七部分</w:t>
        </w:r>
        <w:r w:rsidR="005605B9">
          <w:rPr>
            <w:rStyle w:val="af1"/>
            <w:noProof/>
          </w:rPr>
          <w:t xml:space="preserve">  </w:t>
        </w:r>
        <w:r w:rsidR="005605B9">
          <w:rPr>
            <w:rStyle w:val="af1"/>
            <w:noProof/>
          </w:rPr>
          <w:t>基金合同的生效</w:t>
        </w:r>
        <w:r w:rsidR="005605B9">
          <w:rPr>
            <w:noProof/>
          </w:rPr>
          <w:tab/>
        </w:r>
        <w:r w:rsidR="005605B9">
          <w:rPr>
            <w:noProof/>
          </w:rPr>
          <w:fldChar w:fldCharType="begin"/>
        </w:r>
        <w:r w:rsidR="005605B9">
          <w:rPr>
            <w:noProof/>
          </w:rPr>
          <w:instrText xml:space="preserve"> PAGEREF _Toc256000006 \h </w:instrText>
        </w:r>
        <w:r w:rsidR="005605B9">
          <w:rPr>
            <w:noProof/>
          </w:rPr>
        </w:r>
        <w:r w:rsidR="005605B9">
          <w:rPr>
            <w:noProof/>
          </w:rPr>
          <w:fldChar w:fldCharType="separate"/>
        </w:r>
        <w:r w:rsidR="00BA1D80">
          <w:rPr>
            <w:noProof/>
          </w:rPr>
          <w:t>35</w:t>
        </w:r>
        <w:r w:rsidR="005605B9">
          <w:rPr>
            <w:noProof/>
          </w:rPr>
          <w:fldChar w:fldCharType="end"/>
        </w:r>
      </w:hyperlink>
    </w:p>
    <w:p w14:paraId="09754011" w14:textId="77777777" w:rsidR="00496B2C" w:rsidRDefault="006156F7">
      <w:pPr>
        <w:pStyle w:val="10"/>
        <w:rPr>
          <w:rFonts w:asciiTheme="minorHAnsi" w:hAnsiTheme="minorHAnsi"/>
          <w:noProof/>
        </w:rPr>
      </w:pPr>
      <w:hyperlink w:anchor="_Toc256000007" w:history="1">
        <w:r w:rsidR="005605B9">
          <w:rPr>
            <w:rStyle w:val="af1"/>
            <w:noProof/>
          </w:rPr>
          <w:t>第八部分</w:t>
        </w:r>
        <w:r w:rsidR="005605B9">
          <w:rPr>
            <w:rStyle w:val="af1"/>
            <w:noProof/>
          </w:rPr>
          <w:t xml:space="preserve">  </w:t>
        </w:r>
        <w:r w:rsidR="005605B9">
          <w:rPr>
            <w:rStyle w:val="af1"/>
            <w:noProof/>
          </w:rPr>
          <w:t>基金份额的申购与赎回</w:t>
        </w:r>
        <w:r w:rsidR="005605B9">
          <w:rPr>
            <w:noProof/>
          </w:rPr>
          <w:tab/>
        </w:r>
        <w:r w:rsidR="005605B9">
          <w:rPr>
            <w:noProof/>
          </w:rPr>
          <w:fldChar w:fldCharType="begin"/>
        </w:r>
        <w:r w:rsidR="005605B9">
          <w:rPr>
            <w:noProof/>
          </w:rPr>
          <w:instrText xml:space="preserve"> PAGEREF _Toc256000007 \h </w:instrText>
        </w:r>
        <w:r w:rsidR="005605B9">
          <w:rPr>
            <w:noProof/>
          </w:rPr>
        </w:r>
        <w:r w:rsidR="005605B9">
          <w:rPr>
            <w:noProof/>
          </w:rPr>
          <w:fldChar w:fldCharType="separate"/>
        </w:r>
        <w:r w:rsidR="00BA1D80">
          <w:rPr>
            <w:noProof/>
          </w:rPr>
          <w:t>36</w:t>
        </w:r>
        <w:r w:rsidR="005605B9">
          <w:rPr>
            <w:noProof/>
          </w:rPr>
          <w:fldChar w:fldCharType="end"/>
        </w:r>
      </w:hyperlink>
    </w:p>
    <w:p w14:paraId="722773A9" w14:textId="77777777" w:rsidR="00496B2C" w:rsidRDefault="006156F7">
      <w:pPr>
        <w:pStyle w:val="10"/>
        <w:rPr>
          <w:rFonts w:asciiTheme="minorHAnsi" w:hAnsiTheme="minorHAnsi"/>
          <w:noProof/>
        </w:rPr>
      </w:pPr>
      <w:hyperlink w:anchor="_Toc256000008" w:history="1">
        <w:r w:rsidR="005605B9">
          <w:rPr>
            <w:rStyle w:val="af1"/>
            <w:noProof/>
          </w:rPr>
          <w:t>第九部分</w:t>
        </w:r>
        <w:r w:rsidR="005605B9">
          <w:rPr>
            <w:rStyle w:val="af1"/>
            <w:noProof/>
          </w:rPr>
          <w:t xml:space="preserve">  </w:t>
        </w:r>
        <w:r w:rsidR="005605B9">
          <w:rPr>
            <w:rStyle w:val="af1"/>
            <w:noProof/>
          </w:rPr>
          <w:t>基金的投资</w:t>
        </w:r>
        <w:r w:rsidR="005605B9">
          <w:rPr>
            <w:noProof/>
          </w:rPr>
          <w:tab/>
        </w:r>
        <w:r w:rsidR="005605B9">
          <w:rPr>
            <w:noProof/>
          </w:rPr>
          <w:fldChar w:fldCharType="begin"/>
        </w:r>
        <w:r w:rsidR="005605B9">
          <w:rPr>
            <w:noProof/>
          </w:rPr>
          <w:instrText xml:space="preserve"> PAGEREF _Toc256000008 \h </w:instrText>
        </w:r>
        <w:r w:rsidR="005605B9">
          <w:rPr>
            <w:noProof/>
          </w:rPr>
        </w:r>
        <w:r w:rsidR="005605B9">
          <w:rPr>
            <w:noProof/>
          </w:rPr>
          <w:fldChar w:fldCharType="separate"/>
        </w:r>
        <w:r w:rsidR="00BA1D80">
          <w:rPr>
            <w:noProof/>
          </w:rPr>
          <w:t>49</w:t>
        </w:r>
        <w:r w:rsidR="005605B9">
          <w:rPr>
            <w:noProof/>
          </w:rPr>
          <w:fldChar w:fldCharType="end"/>
        </w:r>
      </w:hyperlink>
    </w:p>
    <w:p w14:paraId="6E8D1008" w14:textId="5F097246" w:rsidR="00496B2C" w:rsidRDefault="006156F7">
      <w:pPr>
        <w:pStyle w:val="10"/>
        <w:rPr>
          <w:rFonts w:asciiTheme="minorHAnsi" w:hAnsiTheme="minorHAnsi"/>
          <w:noProof/>
        </w:rPr>
      </w:pPr>
      <w:hyperlink w:anchor="_Toc256000009" w:history="1">
        <w:r w:rsidR="005605B9">
          <w:rPr>
            <w:rStyle w:val="af1"/>
            <w:noProof/>
          </w:rPr>
          <w:t>第十部分</w:t>
        </w:r>
        <w:r w:rsidR="005605B9">
          <w:rPr>
            <w:rStyle w:val="af1"/>
            <w:noProof/>
          </w:rPr>
          <w:t xml:space="preserve">  </w:t>
        </w:r>
        <w:r w:rsidR="005605B9">
          <w:rPr>
            <w:rStyle w:val="af1"/>
            <w:noProof/>
          </w:rPr>
          <w:t>基金的财产</w:t>
        </w:r>
        <w:r w:rsidR="005605B9">
          <w:rPr>
            <w:noProof/>
          </w:rPr>
          <w:tab/>
        </w:r>
        <w:r w:rsidR="005605B9">
          <w:rPr>
            <w:noProof/>
          </w:rPr>
          <w:fldChar w:fldCharType="begin"/>
        </w:r>
        <w:r w:rsidR="005605B9">
          <w:rPr>
            <w:noProof/>
          </w:rPr>
          <w:instrText xml:space="preserve"> PAGEREF _Toc256000009 \h </w:instrText>
        </w:r>
        <w:r w:rsidR="005605B9">
          <w:rPr>
            <w:noProof/>
          </w:rPr>
        </w:r>
        <w:r w:rsidR="005605B9">
          <w:rPr>
            <w:noProof/>
          </w:rPr>
          <w:fldChar w:fldCharType="separate"/>
        </w:r>
        <w:r w:rsidR="00BA1D80">
          <w:rPr>
            <w:noProof/>
          </w:rPr>
          <w:t>60</w:t>
        </w:r>
        <w:r w:rsidR="005605B9">
          <w:rPr>
            <w:noProof/>
          </w:rPr>
          <w:fldChar w:fldCharType="end"/>
        </w:r>
      </w:hyperlink>
    </w:p>
    <w:p w14:paraId="34ACE3A4" w14:textId="0871D115" w:rsidR="00496B2C" w:rsidRDefault="006156F7">
      <w:pPr>
        <w:pStyle w:val="10"/>
        <w:rPr>
          <w:rFonts w:asciiTheme="minorHAnsi" w:hAnsiTheme="minorHAnsi"/>
          <w:noProof/>
        </w:rPr>
      </w:pPr>
      <w:hyperlink w:anchor="_Toc256000010" w:history="1">
        <w:r w:rsidR="005605B9">
          <w:rPr>
            <w:rStyle w:val="af1"/>
            <w:noProof/>
          </w:rPr>
          <w:t>第十一部分</w:t>
        </w:r>
        <w:r w:rsidR="005605B9">
          <w:rPr>
            <w:rStyle w:val="af1"/>
            <w:noProof/>
          </w:rPr>
          <w:t xml:space="preserve">  </w:t>
        </w:r>
        <w:r w:rsidR="005605B9">
          <w:rPr>
            <w:rStyle w:val="af1"/>
            <w:noProof/>
          </w:rPr>
          <w:t>基金资产估值</w:t>
        </w:r>
        <w:r w:rsidR="005605B9">
          <w:rPr>
            <w:noProof/>
          </w:rPr>
          <w:tab/>
        </w:r>
        <w:r w:rsidR="005605B9">
          <w:rPr>
            <w:noProof/>
          </w:rPr>
          <w:fldChar w:fldCharType="begin"/>
        </w:r>
        <w:r w:rsidR="005605B9">
          <w:rPr>
            <w:noProof/>
          </w:rPr>
          <w:instrText xml:space="preserve"> PAGEREF _Toc256000010 \h </w:instrText>
        </w:r>
        <w:r w:rsidR="005605B9">
          <w:rPr>
            <w:noProof/>
          </w:rPr>
        </w:r>
        <w:r w:rsidR="005605B9">
          <w:rPr>
            <w:noProof/>
          </w:rPr>
          <w:fldChar w:fldCharType="separate"/>
        </w:r>
        <w:r w:rsidR="00BA1D80">
          <w:rPr>
            <w:noProof/>
          </w:rPr>
          <w:t>61</w:t>
        </w:r>
        <w:r w:rsidR="005605B9">
          <w:rPr>
            <w:noProof/>
          </w:rPr>
          <w:fldChar w:fldCharType="end"/>
        </w:r>
      </w:hyperlink>
    </w:p>
    <w:p w14:paraId="67A5D13C" w14:textId="116ECA74" w:rsidR="00496B2C" w:rsidRDefault="006156F7">
      <w:pPr>
        <w:pStyle w:val="10"/>
        <w:rPr>
          <w:rFonts w:asciiTheme="minorHAnsi" w:hAnsiTheme="minorHAnsi"/>
          <w:noProof/>
        </w:rPr>
      </w:pPr>
      <w:hyperlink w:anchor="_Toc256000011" w:history="1">
        <w:r w:rsidR="005605B9">
          <w:rPr>
            <w:rStyle w:val="af1"/>
            <w:noProof/>
          </w:rPr>
          <w:t>第十二部分</w:t>
        </w:r>
        <w:r w:rsidR="005605B9">
          <w:rPr>
            <w:rStyle w:val="af1"/>
            <w:noProof/>
          </w:rPr>
          <w:t xml:space="preserve">  </w:t>
        </w:r>
        <w:r w:rsidR="005605B9">
          <w:rPr>
            <w:rStyle w:val="af1"/>
            <w:noProof/>
          </w:rPr>
          <w:t>基金的收益与分配</w:t>
        </w:r>
        <w:r w:rsidR="005605B9">
          <w:rPr>
            <w:noProof/>
          </w:rPr>
          <w:tab/>
        </w:r>
        <w:r w:rsidR="005605B9">
          <w:rPr>
            <w:noProof/>
          </w:rPr>
          <w:fldChar w:fldCharType="begin"/>
        </w:r>
        <w:r w:rsidR="005605B9">
          <w:rPr>
            <w:noProof/>
          </w:rPr>
          <w:instrText xml:space="preserve"> PAGEREF _Toc256000011 \h </w:instrText>
        </w:r>
        <w:r w:rsidR="005605B9">
          <w:rPr>
            <w:noProof/>
          </w:rPr>
        </w:r>
        <w:r w:rsidR="005605B9">
          <w:rPr>
            <w:noProof/>
          </w:rPr>
          <w:fldChar w:fldCharType="separate"/>
        </w:r>
        <w:r w:rsidR="00BA1D80">
          <w:rPr>
            <w:noProof/>
          </w:rPr>
          <w:t>68</w:t>
        </w:r>
        <w:r w:rsidR="005605B9">
          <w:rPr>
            <w:noProof/>
          </w:rPr>
          <w:fldChar w:fldCharType="end"/>
        </w:r>
      </w:hyperlink>
    </w:p>
    <w:p w14:paraId="5F58CFA6" w14:textId="625983FA" w:rsidR="00496B2C" w:rsidRDefault="006156F7">
      <w:pPr>
        <w:pStyle w:val="10"/>
        <w:rPr>
          <w:rFonts w:asciiTheme="minorHAnsi" w:hAnsiTheme="minorHAnsi"/>
          <w:noProof/>
        </w:rPr>
      </w:pPr>
      <w:hyperlink w:anchor="_Toc256000012" w:history="1">
        <w:r w:rsidR="005605B9">
          <w:rPr>
            <w:rStyle w:val="af1"/>
            <w:noProof/>
          </w:rPr>
          <w:t>第十三部分</w:t>
        </w:r>
        <w:r w:rsidR="005605B9">
          <w:rPr>
            <w:rStyle w:val="af1"/>
            <w:noProof/>
          </w:rPr>
          <w:t xml:space="preserve">  </w:t>
        </w:r>
        <w:r w:rsidR="005605B9">
          <w:rPr>
            <w:rStyle w:val="af1"/>
            <w:noProof/>
          </w:rPr>
          <w:t>基金费用与税收</w:t>
        </w:r>
        <w:r w:rsidR="005605B9">
          <w:rPr>
            <w:noProof/>
          </w:rPr>
          <w:tab/>
        </w:r>
        <w:r w:rsidR="005605B9">
          <w:rPr>
            <w:noProof/>
          </w:rPr>
          <w:fldChar w:fldCharType="begin"/>
        </w:r>
        <w:r w:rsidR="005605B9">
          <w:rPr>
            <w:noProof/>
          </w:rPr>
          <w:instrText xml:space="preserve"> PAGEREF _Toc256000012 \h </w:instrText>
        </w:r>
        <w:r w:rsidR="005605B9">
          <w:rPr>
            <w:noProof/>
          </w:rPr>
        </w:r>
        <w:r w:rsidR="005605B9">
          <w:rPr>
            <w:noProof/>
          </w:rPr>
          <w:fldChar w:fldCharType="separate"/>
        </w:r>
        <w:r w:rsidR="00BA1D80">
          <w:rPr>
            <w:noProof/>
          </w:rPr>
          <w:t>69</w:t>
        </w:r>
        <w:r w:rsidR="005605B9">
          <w:rPr>
            <w:noProof/>
          </w:rPr>
          <w:fldChar w:fldCharType="end"/>
        </w:r>
      </w:hyperlink>
    </w:p>
    <w:p w14:paraId="6D22FFE0" w14:textId="1F2904BC" w:rsidR="00496B2C" w:rsidRDefault="006156F7">
      <w:pPr>
        <w:pStyle w:val="10"/>
        <w:rPr>
          <w:rFonts w:asciiTheme="minorHAnsi" w:hAnsiTheme="minorHAnsi"/>
          <w:noProof/>
        </w:rPr>
      </w:pPr>
      <w:hyperlink w:anchor="_Toc256000013" w:history="1">
        <w:r w:rsidR="005605B9">
          <w:rPr>
            <w:rStyle w:val="af1"/>
            <w:noProof/>
          </w:rPr>
          <w:t>第十四部分</w:t>
        </w:r>
        <w:r w:rsidR="005605B9">
          <w:rPr>
            <w:rStyle w:val="af1"/>
            <w:noProof/>
          </w:rPr>
          <w:t xml:space="preserve">  </w:t>
        </w:r>
        <w:r w:rsidR="005605B9">
          <w:rPr>
            <w:rStyle w:val="af1"/>
            <w:noProof/>
          </w:rPr>
          <w:t>基金的会计与审计</w:t>
        </w:r>
        <w:r w:rsidR="005605B9">
          <w:rPr>
            <w:noProof/>
          </w:rPr>
          <w:tab/>
        </w:r>
        <w:r w:rsidR="005605B9">
          <w:rPr>
            <w:noProof/>
          </w:rPr>
          <w:fldChar w:fldCharType="begin"/>
        </w:r>
        <w:r w:rsidR="005605B9">
          <w:rPr>
            <w:noProof/>
          </w:rPr>
          <w:instrText xml:space="preserve"> PAGEREF _Toc256000013 \h </w:instrText>
        </w:r>
        <w:r w:rsidR="005605B9">
          <w:rPr>
            <w:noProof/>
          </w:rPr>
        </w:r>
        <w:r w:rsidR="005605B9">
          <w:rPr>
            <w:noProof/>
          </w:rPr>
          <w:fldChar w:fldCharType="separate"/>
        </w:r>
        <w:r w:rsidR="00BA1D80">
          <w:rPr>
            <w:noProof/>
          </w:rPr>
          <w:t>75</w:t>
        </w:r>
        <w:r w:rsidR="005605B9">
          <w:rPr>
            <w:noProof/>
          </w:rPr>
          <w:fldChar w:fldCharType="end"/>
        </w:r>
      </w:hyperlink>
    </w:p>
    <w:p w14:paraId="72BF15C7" w14:textId="03A75DE4" w:rsidR="00496B2C" w:rsidRDefault="006156F7">
      <w:pPr>
        <w:pStyle w:val="10"/>
        <w:rPr>
          <w:rFonts w:asciiTheme="minorHAnsi" w:hAnsiTheme="minorHAnsi"/>
          <w:noProof/>
        </w:rPr>
      </w:pPr>
      <w:hyperlink w:anchor="_Toc256000014" w:history="1">
        <w:r w:rsidR="005605B9">
          <w:rPr>
            <w:rStyle w:val="af1"/>
            <w:noProof/>
          </w:rPr>
          <w:t>第十五部分</w:t>
        </w:r>
        <w:r w:rsidR="005605B9">
          <w:rPr>
            <w:rStyle w:val="af1"/>
            <w:noProof/>
          </w:rPr>
          <w:t xml:space="preserve">  </w:t>
        </w:r>
        <w:r w:rsidR="005605B9">
          <w:rPr>
            <w:rStyle w:val="af1"/>
            <w:noProof/>
          </w:rPr>
          <w:t>基金的信息披露</w:t>
        </w:r>
        <w:r w:rsidR="005605B9">
          <w:rPr>
            <w:noProof/>
          </w:rPr>
          <w:tab/>
        </w:r>
        <w:r w:rsidR="005605B9">
          <w:rPr>
            <w:noProof/>
          </w:rPr>
          <w:fldChar w:fldCharType="begin"/>
        </w:r>
        <w:r w:rsidR="005605B9">
          <w:rPr>
            <w:noProof/>
          </w:rPr>
          <w:instrText xml:space="preserve"> PAGEREF _Toc256000014 \h </w:instrText>
        </w:r>
        <w:r w:rsidR="005605B9">
          <w:rPr>
            <w:noProof/>
          </w:rPr>
        </w:r>
        <w:r w:rsidR="005605B9">
          <w:rPr>
            <w:noProof/>
          </w:rPr>
          <w:fldChar w:fldCharType="separate"/>
        </w:r>
        <w:r w:rsidR="00BA1D80">
          <w:rPr>
            <w:noProof/>
          </w:rPr>
          <w:t>76</w:t>
        </w:r>
        <w:r w:rsidR="005605B9">
          <w:rPr>
            <w:noProof/>
          </w:rPr>
          <w:fldChar w:fldCharType="end"/>
        </w:r>
      </w:hyperlink>
    </w:p>
    <w:p w14:paraId="27B37898" w14:textId="46C9B324" w:rsidR="00496B2C" w:rsidRDefault="006156F7">
      <w:pPr>
        <w:pStyle w:val="10"/>
        <w:rPr>
          <w:rFonts w:asciiTheme="minorHAnsi" w:hAnsiTheme="minorHAnsi"/>
          <w:noProof/>
        </w:rPr>
      </w:pPr>
      <w:hyperlink w:anchor="_Toc256000015" w:history="1">
        <w:r w:rsidR="005605B9">
          <w:rPr>
            <w:rStyle w:val="af1"/>
            <w:noProof/>
          </w:rPr>
          <w:t>第十六部分</w:t>
        </w:r>
        <w:r w:rsidR="005605B9">
          <w:rPr>
            <w:rStyle w:val="af1"/>
            <w:noProof/>
          </w:rPr>
          <w:t xml:space="preserve">  </w:t>
        </w:r>
        <w:r w:rsidR="005605B9">
          <w:rPr>
            <w:rStyle w:val="af1"/>
            <w:noProof/>
          </w:rPr>
          <w:t>风险揭示</w:t>
        </w:r>
        <w:r w:rsidR="005605B9">
          <w:rPr>
            <w:noProof/>
          </w:rPr>
          <w:tab/>
        </w:r>
        <w:r w:rsidR="005605B9">
          <w:rPr>
            <w:noProof/>
          </w:rPr>
          <w:fldChar w:fldCharType="begin"/>
        </w:r>
        <w:r w:rsidR="005605B9">
          <w:rPr>
            <w:noProof/>
          </w:rPr>
          <w:instrText xml:space="preserve"> PAGEREF _Toc256000015 \h </w:instrText>
        </w:r>
        <w:r w:rsidR="005605B9">
          <w:rPr>
            <w:noProof/>
          </w:rPr>
        </w:r>
        <w:r w:rsidR="005605B9">
          <w:rPr>
            <w:noProof/>
          </w:rPr>
          <w:fldChar w:fldCharType="separate"/>
        </w:r>
        <w:r w:rsidR="00BA1D80">
          <w:rPr>
            <w:noProof/>
          </w:rPr>
          <w:t>84</w:t>
        </w:r>
        <w:r w:rsidR="005605B9">
          <w:rPr>
            <w:noProof/>
          </w:rPr>
          <w:fldChar w:fldCharType="end"/>
        </w:r>
      </w:hyperlink>
    </w:p>
    <w:p w14:paraId="2B261817" w14:textId="42EA5893" w:rsidR="00496B2C" w:rsidRDefault="006156F7">
      <w:pPr>
        <w:pStyle w:val="10"/>
        <w:rPr>
          <w:rFonts w:asciiTheme="minorHAnsi" w:hAnsiTheme="minorHAnsi"/>
          <w:noProof/>
        </w:rPr>
      </w:pPr>
      <w:hyperlink w:anchor="_Toc256000016" w:history="1">
        <w:r w:rsidR="005605B9">
          <w:rPr>
            <w:rStyle w:val="af1"/>
            <w:noProof/>
          </w:rPr>
          <w:t>第十七部分</w:t>
        </w:r>
        <w:r w:rsidR="005605B9">
          <w:rPr>
            <w:rStyle w:val="af1"/>
            <w:noProof/>
          </w:rPr>
          <w:t xml:space="preserve">  </w:t>
        </w:r>
        <w:r w:rsidR="005605B9">
          <w:rPr>
            <w:rStyle w:val="af1"/>
            <w:noProof/>
          </w:rPr>
          <w:t>侧袋机制</w:t>
        </w:r>
        <w:r w:rsidR="005605B9">
          <w:rPr>
            <w:noProof/>
          </w:rPr>
          <w:tab/>
        </w:r>
        <w:r w:rsidR="005605B9">
          <w:rPr>
            <w:noProof/>
          </w:rPr>
          <w:fldChar w:fldCharType="begin"/>
        </w:r>
        <w:r w:rsidR="005605B9">
          <w:rPr>
            <w:noProof/>
          </w:rPr>
          <w:instrText xml:space="preserve"> PAGEREF _Toc256000016 \h </w:instrText>
        </w:r>
        <w:r w:rsidR="005605B9">
          <w:rPr>
            <w:noProof/>
          </w:rPr>
        </w:r>
        <w:r w:rsidR="005605B9">
          <w:rPr>
            <w:noProof/>
          </w:rPr>
          <w:fldChar w:fldCharType="separate"/>
        </w:r>
        <w:r w:rsidR="00BA1D80">
          <w:rPr>
            <w:noProof/>
          </w:rPr>
          <w:t>96</w:t>
        </w:r>
        <w:r w:rsidR="005605B9">
          <w:rPr>
            <w:noProof/>
          </w:rPr>
          <w:fldChar w:fldCharType="end"/>
        </w:r>
      </w:hyperlink>
    </w:p>
    <w:p w14:paraId="6F76FF06" w14:textId="3354D9D8" w:rsidR="00496B2C" w:rsidRDefault="006156F7">
      <w:pPr>
        <w:pStyle w:val="10"/>
        <w:rPr>
          <w:rFonts w:asciiTheme="minorHAnsi" w:hAnsiTheme="minorHAnsi"/>
          <w:noProof/>
        </w:rPr>
      </w:pPr>
      <w:hyperlink w:anchor="_Toc256000017" w:history="1">
        <w:r w:rsidR="005605B9">
          <w:rPr>
            <w:rStyle w:val="af1"/>
            <w:noProof/>
          </w:rPr>
          <w:t>第十八部分</w:t>
        </w:r>
        <w:r w:rsidR="005605B9">
          <w:rPr>
            <w:rStyle w:val="af1"/>
            <w:noProof/>
          </w:rPr>
          <w:t xml:space="preserve">  </w:t>
        </w:r>
        <w:r w:rsidR="005605B9">
          <w:rPr>
            <w:rStyle w:val="af1"/>
            <w:noProof/>
          </w:rPr>
          <w:t>基金合同的变更、终止与基金财产的清算</w:t>
        </w:r>
        <w:r w:rsidR="005605B9">
          <w:rPr>
            <w:noProof/>
          </w:rPr>
          <w:tab/>
        </w:r>
        <w:r w:rsidR="005605B9">
          <w:rPr>
            <w:noProof/>
          </w:rPr>
          <w:fldChar w:fldCharType="begin"/>
        </w:r>
        <w:r w:rsidR="005605B9">
          <w:rPr>
            <w:noProof/>
          </w:rPr>
          <w:instrText xml:space="preserve"> PAGEREF _Toc256000017 \h </w:instrText>
        </w:r>
        <w:r w:rsidR="005605B9">
          <w:rPr>
            <w:noProof/>
          </w:rPr>
        </w:r>
        <w:r w:rsidR="005605B9">
          <w:rPr>
            <w:noProof/>
          </w:rPr>
          <w:fldChar w:fldCharType="separate"/>
        </w:r>
        <w:r w:rsidR="00BA1D80">
          <w:rPr>
            <w:noProof/>
          </w:rPr>
          <w:t>99</w:t>
        </w:r>
        <w:r w:rsidR="005605B9">
          <w:rPr>
            <w:noProof/>
          </w:rPr>
          <w:fldChar w:fldCharType="end"/>
        </w:r>
      </w:hyperlink>
    </w:p>
    <w:p w14:paraId="43226CC2" w14:textId="5935F029" w:rsidR="00496B2C" w:rsidRDefault="006156F7">
      <w:pPr>
        <w:pStyle w:val="10"/>
        <w:rPr>
          <w:rFonts w:asciiTheme="minorHAnsi" w:hAnsiTheme="minorHAnsi"/>
          <w:noProof/>
        </w:rPr>
      </w:pPr>
      <w:hyperlink w:anchor="_Toc256000018" w:history="1">
        <w:r w:rsidR="005605B9">
          <w:rPr>
            <w:rStyle w:val="af1"/>
            <w:noProof/>
          </w:rPr>
          <w:t>第十九部分</w:t>
        </w:r>
        <w:r w:rsidR="005605B9">
          <w:rPr>
            <w:rStyle w:val="af1"/>
            <w:noProof/>
          </w:rPr>
          <w:t xml:space="preserve">  </w:t>
        </w:r>
        <w:r w:rsidR="005605B9">
          <w:rPr>
            <w:rStyle w:val="af1"/>
            <w:noProof/>
          </w:rPr>
          <w:t>基金合同的内容摘要</w:t>
        </w:r>
        <w:r w:rsidR="005605B9">
          <w:rPr>
            <w:noProof/>
          </w:rPr>
          <w:tab/>
        </w:r>
        <w:r w:rsidR="005605B9">
          <w:rPr>
            <w:noProof/>
          </w:rPr>
          <w:fldChar w:fldCharType="begin"/>
        </w:r>
        <w:r w:rsidR="005605B9">
          <w:rPr>
            <w:noProof/>
          </w:rPr>
          <w:instrText xml:space="preserve"> PAGEREF _Toc256000018 \h </w:instrText>
        </w:r>
        <w:r w:rsidR="005605B9">
          <w:rPr>
            <w:noProof/>
          </w:rPr>
        </w:r>
        <w:r w:rsidR="005605B9">
          <w:rPr>
            <w:noProof/>
          </w:rPr>
          <w:fldChar w:fldCharType="separate"/>
        </w:r>
        <w:r w:rsidR="00BA1D80">
          <w:rPr>
            <w:noProof/>
          </w:rPr>
          <w:t>101</w:t>
        </w:r>
        <w:r w:rsidR="005605B9">
          <w:rPr>
            <w:noProof/>
          </w:rPr>
          <w:fldChar w:fldCharType="end"/>
        </w:r>
      </w:hyperlink>
    </w:p>
    <w:p w14:paraId="1AB337C1" w14:textId="054B33AF" w:rsidR="00496B2C" w:rsidRDefault="006156F7">
      <w:pPr>
        <w:pStyle w:val="10"/>
        <w:rPr>
          <w:rFonts w:asciiTheme="minorHAnsi" w:hAnsiTheme="minorHAnsi"/>
          <w:noProof/>
        </w:rPr>
      </w:pPr>
      <w:hyperlink w:anchor="_Toc256000019" w:history="1">
        <w:r w:rsidR="005605B9">
          <w:rPr>
            <w:rStyle w:val="af1"/>
            <w:noProof/>
          </w:rPr>
          <w:t>第二十部分</w:t>
        </w:r>
        <w:r w:rsidR="005605B9">
          <w:rPr>
            <w:rStyle w:val="af1"/>
            <w:noProof/>
          </w:rPr>
          <w:t xml:space="preserve">  </w:t>
        </w:r>
        <w:r w:rsidR="005605B9">
          <w:rPr>
            <w:rStyle w:val="af1"/>
            <w:noProof/>
          </w:rPr>
          <w:t>托管协议的内容摘要</w:t>
        </w:r>
        <w:r w:rsidR="005605B9">
          <w:rPr>
            <w:noProof/>
          </w:rPr>
          <w:tab/>
        </w:r>
        <w:r w:rsidR="005605B9">
          <w:rPr>
            <w:noProof/>
          </w:rPr>
          <w:fldChar w:fldCharType="begin"/>
        </w:r>
        <w:r w:rsidR="005605B9">
          <w:rPr>
            <w:noProof/>
          </w:rPr>
          <w:instrText xml:space="preserve"> PAGEREF _Toc256000019 \h </w:instrText>
        </w:r>
        <w:r w:rsidR="005605B9">
          <w:rPr>
            <w:noProof/>
          </w:rPr>
        </w:r>
        <w:r w:rsidR="005605B9">
          <w:rPr>
            <w:noProof/>
          </w:rPr>
          <w:fldChar w:fldCharType="separate"/>
        </w:r>
        <w:r w:rsidR="00BA1D80">
          <w:rPr>
            <w:noProof/>
          </w:rPr>
          <w:t>118</w:t>
        </w:r>
        <w:r w:rsidR="005605B9">
          <w:rPr>
            <w:noProof/>
          </w:rPr>
          <w:fldChar w:fldCharType="end"/>
        </w:r>
      </w:hyperlink>
    </w:p>
    <w:p w14:paraId="686EA274" w14:textId="310A6B6F" w:rsidR="00496B2C" w:rsidRDefault="006156F7">
      <w:pPr>
        <w:pStyle w:val="10"/>
        <w:rPr>
          <w:rFonts w:asciiTheme="minorHAnsi" w:hAnsiTheme="minorHAnsi"/>
          <w:noProof/>
        </w:rPr>
      </w:pPr>
      <w:hyperlink w:anchor="_Toc256000020" w:history="1">
        <w:r w:rsidR="005605B9">
          <w:rPr>
            <w:rStyle w:val="af1"/>
            <w:noProof/>
          </w:rPr>
          <w:t>第二十一部分</w:t>
        </w:r>
        <w:r w:rsidR="005605B9">
          <w:rPr>
            <w:rStyle w:val="af1"/>
            <w:noProof/>
          </w:rPr>
          <w:t xml:space="preserve">  </w:t>
        </w:r>
        <w:r w:rsidR="005605B9">
          <w:rPr>
            <w:rStyle w:val="af1"/>
            <w:noProof/>
          </w:rPr>
          <w:t>对基金份额持有人的服务</w:t>
        </w:r>
        <w:r w:rsidR="005605B9">
          <w:rPr>
            <w:noProof/>
          </w:rPr>
          <w:tab/>
        </w:r>
        <w:r w:rsidR="005605B9">
          <w:rPr>
            <w:noProof/>
          </w:rPr>
          <w:fldChar w:fldCharType="begin"/>
        </w:r>
        <w:r w:rsidR="005605B9">
          <w:rPr>
            <w:noProof/>
          </w:rPr>
          <w:instrText xml:space="preserve"> PAGEREF _Toc256000020 \h </w:instrText>
        </w:r>
        <w:r w:rsidR="005605B9">
          <w:rPr>
            <w:noProof/>
          </w:rPr>
        </w:r>
        <w:r w:rsidR="005605B9">
          <w:rPr>
            <w:noProof/>
          </w:rPr>
          <w:fldChar w:fldCharType="separate"/>
        </w:r>
        <w:r w:rsidR="00BA1D80">
          <w:rPr>
            <w:noProof/>
          </w:rPr>
          <w:t>141</w:t>
        </w:r>
        <w:r w:rsidR="005605B9">
          <w:rPr>
            <w:noProof/>
          </w:rPr>
          <w:fldChar w:fldCharType="end"/>
        </w:r>
      </w:hyperlink>
    </w:p>
    <w:p w14:paraId="775B36F2" w14:textId="77C85744" w:rsidR="00496B2C" w:rsidRDefault="006156F7">
      <w:pPr>
        <w:pStyle w:val="10"/>
        <w:rPr>
          <w:rFonts w:asciiTheme="minorHAnsi" w:hAnsiTheme="minorHAnsi"/>
          <w:noProof/>
        </w:rPr>
      </w:pPr>
      <w:hyperlink w:anchor="_Toc256000021" w:history="1">
        <w:r w:rsidR="005605B9">
          <w:rPr>
            <w:rStyle w:val="af1"/>
            <w:noProof/>
          </w:rPr>
          <w:t>第二十二部分</w:t>
        </w:r>
        <w:r w:rsidR="005605B9">
          <w:rPr>
            <w:rStyle w:val="af1"/>
            <w:noProof/>
          </w:rPr>
          <w:t xml:space="preserve">  </w:t>
        </w:r>
        <w:r w:rsidR="005605B9">
          <w:rPr>
            <w:rStyle w:val="af1"/>
            <w:noProof/>
          </w:rPr>
          <w:t>其他应披露事项</w:t>
        </w:r>
        <w:r w:rsidR="005605B9">
          <w:rPr>
            <w:noProof/>
          </w:rPr>
          <w:tab/>
        </w:r>
        <w:r w:rsidR="005605B9">
          <w:rPr>
            <w:noProof/>
          </w:rPr>
          <w:fldChar w:fldCharType="begin"/>
        </w:r>
        <w:r w:rsidR="005605B9">
          <w:rPr>
            <w:noProof/>
          </w:rPr>
          <w:instrText xml:space="preserve"> PAGEREF _Toc256000021 \h </w:instrText>
        </w:r>
        <w:r w:rsidR="005605B9">
          <w:rPr>
            <w:noProof/>
          </w:rPr>
        </w:r>
        <w:r w:rsidR="005605B9">
          <w:rPr>
            <w:noProof/>
          </w:rPr>
          <w:fldChar w:fldCharType="separate"/>
        </w:r>
        <w:r w:rsidR="00BA1D80">
          <w:rPr>
            <w:noProof/>
          </w:rPr>
          <w:t>143</w:t>
        </w:r>
        <w:r w:rsidR="005605B9">
          <w:rPr>
            <w:noProof/>
          </w:rPr>
          <w:fldChar w:fldCharType="end"/>
        </w:r>
      </w:hyperlink>
    </w:p>
    <w:p w14:paraId="0157D6F5" w14:textId="5BC8B2A7" w:rsidR="00496B2C" w:rsidRDefault="006156F7">
      <w:pPr>
        <w:pStyle w:val="10"/>
        <w:rPr>
          <w:rFonts w:asciiTheme="minorHAnsi" w:hAnsiTheme="minorHAnsi"/>
          <w:noProof/>
        </w:rPr>
      </w:pPr>
      <w:hyperlink w:anchor="_Toc256000022" w:history="1">
        <w:r w:rsidR="005605B9">
          <w:rPr>
            <w:rStyle w:val="af1"/>
            <w:noProof/>
          </w:rPr>
          <w:t>第二十三部分</w:t>
        </w:r>
        <w:r w:rsidR="005605B9">
          <w:rPr>
            <w:rStyle w:val="af1"/>
            <w:noProof/>
          </w:rPr>
          <w:t xml:space="preserve">  </w:t>
        </w:r>
        <w:r w:rsidR="005605B9">
          <w:rPr>
            <w:rStyle w:val="af1"/>
            <w:noProof/>
          </w:rPr>
          <w:t>招募说明书的存放和查阅方式</w:t>
        </w:r>
        <w:r w:rsidR="005605B9">
          <w:rPr>
            <w:noProof/>
          </w:rPr>
          <w:tab/>
        </w:r>
        <w:r w:rsidR="005605B9">
          <w:rPr>
            <w:noProof/>
          </w:rPr>
          <w:fldChar w:fldCharType="begin"/>
        </w:r>
        <w:r w:rsidR="005605B9">
          <w:rPr>
            <w:noProof/>
          </w:rPr>
          <w:instrText xml:space="preserve"> PAGEREF _Toc256000022 \h </w:instrText>
        </w:r>
        <w:r w:rsidR="005605B9">
          <w:rPr>
            <w:noProof/>
          </w:rPr>
        </w:r>
        <w:r w:rsidR="005605B9">
          <w:rPr>
            <w:noProof/>
          </w:rPr>
          <w:fldChar w:fldCharType="separate"/>
        </w:r>
        <w:r w:rsidR="00BA1D80">
          <w:rPr>
            <w:noProof/>
          </w:rPr>
          <w:t>144</w:t>
        </w:r>
        <w:r w:rsidR="005605B9">
          <w:rPr>
            <w:noProof/>
          </w:rPr>
          <w:fldChar w:fldCharType="end"/>
        </w:r>
      </w:hyperlink>
    </w:p>
    <w:p w14:paraId="21DE1DFE" w14:textId="3D7AA0B0" w:rsidR="00496B2C" w:rsidRDefault="006156F7">
      <w:pPr>
        <w:pStyle w:val="10"/>
        <w:rPr>
          <w:rFonts w:asciiTheme="minorHAnsi" w:hAnsiTheme="minorHAnsi"/>
          <w:noProof/>
        </w:rPr>
      </w:pPr>
      <w:hyperlink w:anchor="_Toc256000023" w:history="1">
        <w:r w:rsidR="005605B9">
          <w:rPr>
            <w:rStyle w:val="af1"/>
            <w:noProof/>
          </w:rPr>
          <w:t>第二十四部分</w:t>
        </w:r>
        <w:r w:rsidR="005605B9">
          <w:rPr>
            <w:rStyle w:val="af1"/>
            <w:noProof/>
          </w:rPr>
          <w:t xml:space="preserve">  </w:t>
        </w:r>
        <w:r w:rsidR="005605B9">
          <w:rPr>
            <w:rStyle w:val="af1"/>
            <w:noProof/>
          </w:rPr>
          <w:t>备查文件</w:t>
        </w:r>
        <w:r w:rsidR="005605B9">
          <w:rPr>
            <w:noProof/>
          </w:rPr>
          <w:tab/>
        </w:r>
        <w:r w:rsidR="005605B9">
          <w:rPr>
            <w:noProof/>
          </w:rPr>
          <w:fldChar w:fldCharType="begin"/>
        </w:r>
        <w:r w:rsidR="005605B9">
          <w:rPr>
            <w:noProof/>
          </w:rPr>
          <w:instrText xml:space="preserve"> PAGEREF _Toc256000023 \h </w:instrText>
        </w:r>
        <w:r w:rsidR="005605B9">
          <w:rPr>
            <w:noProof/>
          </w:rPr>
        </w:r>
        <w:r w:rsidR="005605B9">
          <w:rPr>
            <w:noProof/>
          </w:rPr>
          <w:fldChar w:fldCharType="separate"/>
        </w:r>
        <w:r w:rsidR="00BA1D80">
          <w:rPr>
            <w:noProof/>
          </w:rPr>
          <w:t>145</w:t>
        </w:r>
        <w:r w:rsidR="005605B9">
          <w:rPr>
            <w:noProof/>
          </w:rPr>
          <w:fldChar w:fldCharType="end"/>
        </w:r>
      </w:hyperlink>
    </w:p>
    <w:p w14:paraId="61315A76" w14:textId="77777777" w:rsidR="00496B2C" w:rsidRDefault="005605B9">
      <w:pPr>
        <w:jc w:val="left"/>
        <w:rPr>
          <w:rStyle w:val="read"/>
          <w:rFonts w:ascii="宋体" w:hAnsi="宋体" w:cs="宋体"/>
          <w:b/>
          <w:sz w:val="24"/>
        </w:rPr>
        <w:sectPr w:rsidR="00496B2C">
          <w:headerReference w:type="default" r:id="rId8"/>
          <w:footerReference w:type="default" r:id="rId9"/>
          <w:pgSz w:w="11906" w:h="16838"/>
          <w:pgMar w:top="1440" w:right="1800" w:bottom="1440" w:left="1800" w:header="851" w:footer="992" w:gutter="0"/>
          <w:pgNumType w:start="1"/>
          <w:cols w:space="720"/>
          <w:docGrid w:type="lines" w:linePitch="312"/>
        </w:sectPr>
      </w:pPr>
      <w:r>
        <w:rPr>
          <w:rStyle w:val="read"/>
          <w:rFonts w:ascii="宋体" w:hAnsi="宋体" w:cs="宋体"/>
          <w:b/>
          <w:sz w:val="24"/>
        </w:rPr>
        <w:fldChar w:fldCharType="end"/>
      </w:r>
      <w:bookmarkStart w:id="25" w:name="_Toc452127896"/>
      <w:bookmarkStart w:id="26" w:name="_Toc2163435"/>
      <w:bookmarkStart w:id="27" w:name="_Toc11660"/>
    </w:p>
    <w:p w14:paraId="3D684742" w14:textId="77777777" w:rsidR="00496B2C" w:rsidRDefault="005605B9">
      <w:pPr>
        <w:widowControl/>
        <w:jc w:val="center"/>
        <w:rPr>
          <w:b/>
          <w:bCs/>
          <w:sz w:val="30"/>
        </w:rPr>
      </w:pPr>
      <w:r>
        <w:rPr>
          <w:b/>
          <w:bCs/>
          <w:sz w:val="30"/>
        </w:rPr>
        <w:lastRenderedPageBreak/>
        <w:t>重要提示</w:t>
      </w:r>
    </w:p>
    <w:p w14:paraId="64827DCD" w14:textId="77777777" w:rsidR="00496B2C" w:rsidRDefault="00496B2C">
      <w:pPr>
        <w:widowControl/>
        <w:jc w:val="center"/>
        <w:rPr>
          <w:sz w:val="30"/>
        </w:rPr>
      </w:pPr>
    </w:p>
    <w:p w14:paraId="7D20FE9B" w14:textId="221F03AA"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汇添富睿选成长股票型证券投资基金</w:t>
      </w:r>
      <w:r>
        <w:rPr>
          <w:rFonts w:ascii="宋体" w:hAnsi="宋体" w:cs="宋体"/>
          <w:kern w:val="0"/>
          <w:sz w:val="24"/>
          <w:szCs w:val="24"/>
        </w:rPr>
        <w:t>（以下简称“本基金”）经中国证券监督管理委员会20</w:t>
      </w:r>
      <w:r>
        <w:rPr>
          <w:rFonts w:ascii="宋体" w:hAnsi="宋体" w:cs="宋体" w:hint="eastAsia"/>
          <w:kern w:val="0"/>
          <w:sz w:val="24"/>
          <w:szCs w:val="24"/>
        </w:rPr>
        <w:t>26</w:t>
      </w:r>
      <w:r>
        <w:rPr>
          <w:rFonts w:ascii="宋体" w:hAnsi="宋体" w:cs="宋体"/>
          <w:kern w:val="0"/>
          <w:sz w:val="24"/>
          <w:szCs w:val="24"/>
        </w:rPr>
        <w:t>年</w:t>
      </w:r>
      <w:r>
        <w:rPr>
          <w:rFonts w:ascii="宋体" w:hAnsi="宋体" w:cs="宋体" w:hint="eastAsia"/>
          <w:kern w:val="0"/>
          <w:sz w:val="24"/>
          <w:szCs w:val="24"/>
        </w:rPr>
        <w:t>04</w:t>
      </w:r>
      <w:r>
        <w:rPr>
          <w:rFonts w:ascii="宋体" w:hAnsi="宋体" w:cs="宋体"/>
          <w:kern w:val="0"/>
          <w:sz w:val="24"/>
          <w:szCs w:val="24"/>
        </w:rPr>
        <w:t>月</w:t>
      </w:r>
      <w:r>
        <w:rPr>
          <w:rFonts w:ascii="宋体" w:hAnsi="宋体" w:cs="宋体" w:hint="eastAsia"/>
          <w:kern w:val="0"/>
          <w:sz w:val="24"/>
          <w:szCs w:val="24"/>
        </w:rPr>
        <w:t>28</w:t>
      </w:r>
      <w:r>
        <w:rPr>
          <w:rFonts w:ascii="宋体" w:hAnsi="宋体" w:cs="宋体"/>
          <w:kern w:val="0"/>
          <w:sz w:val="24"/>
          <w:szCs w:val="24"/>
        </w:rPr>
        <w:t>日证监许可【20</w:t>
      </w:r>
      <w:r>
        <w:rPr>
          <w:rFonts w:ascii="宋体" w:hAnsi="宋体" w:cs="宋体" w:hint="eastAsia"/>
          <w:kern w:val="0"/>
          <w:sz w:val="24"/>
          <w:szCs w:val="24"/>
        </w:rPr>
        <w:t>26</w:t>
      </w:r>
      <w:r>
        <w:rPr>
          <w:rFonts w:ascii="宋体" w:hAnsi="宋体" w:cs="宋体"/>
          <w:kern w:val="0"/>
          <w:sz w:val="24"/>
          <w:szCs w:val="24"/>
        </w:rPr>
        <w:t>】</w:t>
      </w:r>
      <w:r>
        <w:rPr>
          <w:rFonts w:ascii="宋体" w:hAnsi="宋体" w:cs="宋体" w:hint="eastAsia"/>
          <w:kern w:val="0"/>
          <w:sz w:val="24"/>
          <w:szCs w:val="24"/>
        </w:rPr>
        <w:t>1041</w:t>
      </w:r>
      <w:r>
        <w:rPr>
          <w:rFonts w:ascii="宋体" w:hAnsi="宋体" w:cs="宋体"/>
          <w:kern w:val="0"/>
          <w:sz w:val="24"/>
          <w:szCs w:val="24"/>
        </w:rPr>
        <w:t>号文注册募集。</w:t>
      </w:r>
    </w:p>
    <w:p w14:paraId="75D4780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基金管理人保证《</w:t>
      </w:r>
      <w:r>
        <w:rPr>
          <w:rStyle w:val="custom"/>
          <w:rFonts w:ascii="宋体" w:hAnsi="宋体" w:cs="宋体"/>
          <w:kern w:val="0"/>
          <w:sz w:val="24"/>
          <w:szCs w:val="24"/>
        </w:rPr>
        <w:t>汇添富睿选成长股票型证券投资基金</w:t>
      </w:r>
      <w:r>
        <w:rPr>
          <w:rFonts w:ascii="宋体" w:hAnsi="宋体" w:cs="宋体"/>
          <w:kern w:val="0"/>
          <w:sz w:val="24"/>
          <w:szCs w:val="24"/>
        </w:rPr>
        <w:t>招募说明书》(以下简称“招募说明书”或“本招募说明书”)的内容真实、准确、完整。本招募说明书经中国证监会注册，但中国证监会对本基金募集的注册，并不表明其对本基金的投资价值和市场前景作出实质性判断或保证，也不表明投资于本基金没有风险。</w:t>
      </w:r>
    </w:p>
    <w:p w14:paraId="730E2206"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投资有风险，投资者根据所持有份额享受基金的收益，但同时也要承担相应的投资风险。投资者拟认购（或申购）基金时应认真阅读本招募说明书、基金合同、基金产品资料概要等信息披露文件</w:t>
      </w:r>
      <w:r>
        <w:rPr>
          <w:rFonts w:ascii="宋体" w:hAnsi="宋体" w:cs="宋体"/>
          <w:color w:val="000000"/>
          <w:kern w:val="0"/>
          <w:sz w:val="24"/>
          <w:szCs w:val="24"/>
        </w:rPr>
        <w:t>，根据自身的投资目的、投资期限、投资经验、资产状况等判断基金是否和投资者的风险承受能力相适应，自主判断基金的投资价值，</w:t>
      </w:r>
      <w:r>
        <w:rPr>
          <w:rFonts w:ascii="宋体" w:hAnsi="宋体" w:cs="宋体"/>
          <w:kern w:val="0"/>
          <w:sz w:val="24"/>
          <w:szCs w:val="24"/>
        </w:rPr>
        <w:t>自主做出投资决策，全面认识本基金产品的风险收益特征，并承担基金投资中出现的各类风险，包括：因整体政治、经济、社会等环境因素对证券价格产生影响而形成的系统性风险，个别证券特有的非系统性风险，由于基金投资者连续大量赎回基金产生的流动性风险，基金管理人在基金管理实施过程中产生的基金管理风险，本基金的特定风险等等。</w:t>
      </w:r>
    </w:p>
    <w:p w14:paraId="003C2CE8"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本基金为股票型基金，其预期风险及预期收益水平高于混合型基金、债券型基金及货币市场基金。</w:t>
      </w:r>
    </w:p>
    <w:p w14:paraId="1F9362FA" w14:textId="77777777" w:rsidR="00496B2C" w:rsidRDefault="005605B9">
      <w:pPr>
        <w:pStyle w:val="div"/>
        <w:spacing w:line="360" w:lineRule="auto"/>
        <w:ind w:firstLine="420"/>
        <w:rPr>
          <w:rFonts w:eastAsia="Times New Roman"/>
          <w:kern w:val="0"/>
          <w:sz w:val="24"/>
          <w:szCs w:val="24"/>
        </w:rPr>
      </w:pPr>
      <w:r>
        <w:rPr>
          <w:rFonts w:ascii="宋体" w:hAnsi="宋体" w:cs="宋体"/>
          <w:color w:val="000000"/>
          <w:kern w:val="0"/>
          <w:sz w:val="24"/>
          <w:szCs w:val="24"/>
        </w:rPr>
        <w:t>本基金招募说明书“基金的投资”章节中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销售适当性风险评价”，不同的销售机构采用的评价方法也不尽相同，因此销售机构的基金产品“风险等级评价”与“基金的投资”章节中“风险收益特征”的表述可能存在不同，投资人在购买本基金时需按照销售机构的要求完成风险承受能力与产品风险之间的匹配检验。</w:t>
      </w:r>
    </w:p>
    <w:p w14:paraId="7448C81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基金的过往业绩并不预示其未来表现，基金管理人管理的其他基金的业绩也</w:t>
      </w:r>
      <w:r>
        <w:rPr>
          <w:rFonts w:ascii="宋体" w:hAnsi="宋体" w:cs="宋体"/>
          <w:kern w:val="0"/>
          <w:sz w:val="24"/>
          <w:szCs w:val="24"/>
        </w:rPr>
        <w:lastRenderedPageBreak/>
        <w:t>不构成对本基金业绩表现的保证。</w:t>
      </w:r>
    </w:p>
    <w:p w14:paraId="2732111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基金管理人依照恪尽职守、诚实信用、谨慎勤勉的原则管理和运用基金财产，但不保证投资于本基金一定盈利，也不保证最低收益。</w:t>
      </w:r>
    </w:p>
    <w:p w14:paraId="46C5C83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投资者应充分考虑自身的风险承受能力，并对于认购（或申购）基金的意愿、时机、数量等投资行为作出独立决策。基金管理人提醒投资者基金投资的“买者自负”原则，在投资者作出投资决策后，基金运营状况与基金净值变化导致的投资风险，由投资者自行负担。</w:t>
      </w:r>
    </w:p>
    <w:p w14:paraId="2C9EB64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本基金持有特定资产且存在或潜在大额赎回申请时，基金管理人履行相应程序后，可以启用侧袋机制，具体详见基金合同和本招募说明书“侧袋机制”等有关章节。侧袋机制实施期间，基金管理人将对基金简称进行特殊标识，并不办理侧袋账户的申购赎回。请基金份额持有人仔细阅读相关内容并关注本基金启用侧袋机制时的特定风险。</w:t>
      </w:r>
    </w:p>
    <w:p w14:paraId="5FC49D62"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投资相关股票市场交易互联互通机制（以下简称“港股通机制”）允许买卖的规定范围内的香港联合交易所上市的股票（以下简称“港股通标的股票”）的，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14:paraId="14D6AAA5"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本基金可根据投资策略需要或不同配置地市场环境的变化，选择将部分基金资产投资于港股或选择不将基金资产投资于港股，基金资产并非必然投资港股。</w:t>
      </w:r>
    </w:p>
    <w:p w14:paraId="0A5D40F4"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可投资存托凭证，除普通股票投资可能面临的宏观经济风险、政策风险、市场风险、流动性风险外，还将面临存托凭证持有人与持有基础股票的股东在法律地位享有权利等方面存在差异可能引发的风险、发行人采用协议控制架构的风险、增发基础证券可能导致的存托凭证持有人权益被摊薄的风险、交易机制相关风险、存托凭证退市风险等其他风险。</w:t>
      </w:r>
    </w:p>
    <w:p w14:paraId="36918F4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本基金单一投资者持有基金份额数不得达到或超过基金份额总数的50%，但在基金运作过程中因基金份额赎回等基金管理人无法予以控制的情形导致被动</w:t>
      </w:r>
      <w:r>
        <w:rPr>
          <w:rStyle w:val="custom"/>
          <w:rFonts w:ascii="宋体" w:hAnsi="宋体" w:cs="宋体"/>
          <w:kern w:val="0"/>
          <w:sz w:val="24"/>
          <w:szCs w:val="24"/>
        </w:rPr>
        <w:lastRenderedPageBreak/>
        <w:t>达到或超过50%的除外。法律法规或监管机构另有规定的，从其规定。</w:t>
      </w:r>
    </w:p>
    <w:p w14:paraId="0932914E"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对于投资者通过直销机构（含基金管理人及其销售子公司，下同）认/申购C类基金份额计提的销售服务费、通过其他销售机构认/申购的C类基金份额持续持有期限超过一年（即365天）以后继续计提的销售服务费采取先收后返模式，基金投资者实际收到的赎回款项或清算款项的金额可能与按披露的C类基金份额净值计算的结果存在差异。投资者的实际赎回金额和清算资金以登记机构确认数据为准。</w:t>
      </w:r>
    </w:p>
    <w:p w14:paraId="73FD1022" w14:textId="77777777" w:rsidR="00496B2C" w:rsidRDefault="005605B9">
      <w:pPr>
        <w:pStyle w:val="div"/>
        <w:spacing w:line="360" w:lineRule="auto"/>
        <w:ind w:firstLine="420"/>
        <w:rPr>
          <w:rFonts w:eastAsia="Times New Roman"/>
          <w:kern w:val="0"/>
          <w:sz w:val="24"/>
          <w:szCs w:val="24"/>
        </w:rPr>
      </w:pPr>
      <w:r>
        <w:rPr>
          <w:rFonts w:hint="eastAsia"/>
          <w:bCs/>
          <w:sz w:val="24"/>
        </w:rPr>
        <w:t>本基金的管理费由固定管理费、或有管理费和</w:t>
      </w:r>
      <w:r>
        <w:rPr>
          <w:rFonts w:asciiTheme="minorEastAsia" w:hAnsiTheme="minorEastAsia" w:hint="eastAsia"/>
          <w:sz w:val="24"/>
          <w:szCs w:val="24"/>
        </w:rPr>
        <w:t>超额管理费</w:t>
      </w:r>
      <w:r>
        <w:rPr>
          <w:rFonts w:hint="eastAsia"/>
          <w:bCs/>
          <w:sz w:val="24"/>
        </w:rPr>
        <w:t>组成，其中或有管理费和</w:t>
      </w:r>
      <w:r>
        <w:rPr>
          <w:rFonts w:asciiTheme="minorEastAsia" w:hAnsiTheme="minorEastAsia" w:hint="eastAsia"/>
          <w:sz w:val="24"/>
          <w:szCs w:val="24"/>
        </w:rPr>
        <w:t>超额管理费</w:t>
      </w:r>
      <w:r>
        <w:rPr>
          <w:rFonts w:hint="eastAsia"/>
          <w:bCs/>
          <w:sz w:val="24"/>
        </w:rPr>
        <w:t>取决于</w:t>
      </w:r>
      <w:r>
        <w:rPr>
          <w:rFonts w:asciiTheme="minorEastAsia" w:hAnsiTheme="minorEastAsia" w:hint="eastAsia"/>
          <w:bCs/>
          <w:sz w:val="24"/>
          <w:szCs w:val="24"/>
        </w:rPr>
        <w:t>基金份额持有人每笔认</w:t>
      </w:r>
      <w:r>
        <w:rPr>
          <w:rFonts w:asciiTheme="minorEastAsia" w:hAnsiTheme="minorEastAsia"/>
          <w:bCs/>
          <w:sz w:val="24"/>
          <w:szCs w:val="24"/>
        </w:rPr>
        <w:t>/申购份额的持有时间和年化收益率与同期业绩比较基准年化收益率的</w:t>
      </w:r>
      <w:r>
        <w:rPr>
          <w:rFonts w:asciiTheme="minorEastAsia" w:hAnsiTheme="minorEastAsia" w:hint="eastAsia"/>
          <w:sz w:val="24"/>
          <w:szCs w:val="24"/>
        </w:rPr>
        <w:t>情况</w:t>
      </w:r>
      <w:r>
        <w:rPr>
          <w:rFonts w:hint="eastAsia"/>
          <w:bCs/>
          <w:sz w:val="24"/>
        </w:rPr>
        <w:t>，因此投资者在认</w:t>
      </w:r>
      <w:r>
        <w:rPr>
          <w:bCs/>
          <w:sz w:val="24"/>
        </w:rPr>
        <w:t>/</w:t>
      </w:r>
      <w:r>
        <w:rPr>
          <w:rFonts w:hint="eastAsia"/>
          <w:bCs/>
          <w:sz w:val="24"/>
        </w:rPr>
        <w:t>申购本基金时无法预先确定该笔基金份额适用的管理费水平。由于本基金在计算各类基金份额净值时，按前一日基金资产净值的</w:t>
      </w:r>
      <w:r>
        <w:rPr>
          <w:bCs/>
          <w:sz w:val="24"/>
        </w:rPr>
        <w:t>1.20%</w:t>
      </w:r>
      <w:r>
        <w:rPr>
          <w:rFonts w:hint="eastAsia"/>
          <w:bCs/>
          <w:sz w:val="24"/>
        </w:rPr>
        <w:t>年费率计算管理费，该费率可能高于或低于不同投资者最终适用的管理费率。在基金份额赎回或基金合同终止的情形发生时，基金投资者实际收到的赎回款项或清算款项的金额可能与按披露的该类基金份额净值计算的结果存在差异。</w:t>
      </w:r>
      <w:bookmarkStart w:id="28" w:name="_Hlk198158537"/>
      <w:r>
        <w:rPr>
          <w:rFonts w:hint="eastAsia"/>
          <w:bCs/>
          <w:sz w:val="24"/>
        </w:rPr>
        <w:t>投资者的实际赎回金额和清算资金以登记机构确认数据为准。</w:t>
      </w:r>
      <w:bookmarkEnd w:id="28"/>
      <w:r>
        <w:rPr>
          <w:rFonts w:asciiTheme="minorEastAsia" w:hAnsiTheme="minorEastAsia" w:hint="eastAsia"/>
          <w:sz w:val="24"/>
          <w:szCs w:val="24"/>
        </w:rPr>
        <w:t>本基金采用浮动管理费的收费模式，不代表基金管理人对基金收益的保证。</w:t>
      </w:r>
      <w:r>
        <w:rPr>
          <w:rStyle w:val="custom"/>
          <w:rFonts w:ascii="宋体" w:hAnsi="宋体" w:cs="宋体"/>
          <w:kern w:val="0"/>
          <w:sz w:val="24"/>
          <w:szCs w:val="24"/>
        </w:rPr>
        <w:br w:type="page"/>
      </w:r>
    </w:p>
    <w:p w14:paraId="4E60EE66" w14:textId="77777777" w:rsidR="00496B2C" w:rsidRDefault="005605B9">
      <w:pPr>
        <w:pStyle w:val="1"/>
        <w:spacing w:before="0" w:after="0"/>
        <w:jc w:val="center"/>
        <w:rPr>
          <w:rFonts w:ascii="Times New Roman"/>
          <w:color w:val="auto"/>
          <w:sz w:val="30"/>
        </w:rPr>
      </w:pPr>
      <w:bookmarkStart w:id="29" w:name="_Toc139991731"/>
      <w:bookmarkStart w:id="30" w:name="_Toc256000000"/>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9"/>
      <w:r>
        <w:rPr>
          <w:rFonts w:ascii="Times New Roman"/>
          <w:color w:val="auto"/>
          <w:sz w:val="30"/>
        </w:rPr>
        <w:lastRenderedPageBreak/>
        <w:t>第一部分</w:t>
      </w:r>
      <w:r>
        <w:rPr>
          <w:rFonts w:ascii="Times New Roman"/>
          <w:color w:val="auto"/>
          <w:sz w:val="30"/>
        </w:rPr>
        <w:t xml:space="preserve">  </w:t>
      </w:r>
      <w:r>
        <w:rPr>
          <w:rFonts w:ascii="Times New Roman"/>
          <w:color w:val="auto"/>
          <w:sz w:val="30"/>
        </w:rPr>
        <w:t>绪言</w:t>
      </w:r>
      <w:bookmarkEnd w:id="30"/>
    </w:p>
    <w:p w14:paraId="77A6973E" w14:textId="77777777" w:rsidR="00496B2C" w:rsidRDefault="00496B2C"/>
    <w:p w14:paraId="4D051DB5"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本招募说明书依据《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及其他有关法律法规以及《汇添富睿选成长股票型证券投资基金基金合同》（以下简称“基金合同”）编写。</w:t>
      </w:r>
    </w:p>
    <w:p w14:paraId="5851901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本基金管理人承诺本招募说明书不存在任何虚假记载、误导性陈述或重大遗漏，并对其真实性、准确性、完整性承担法律责任。</w:t>
      </w:r>
    </w:p>
    <w:p w14:paraId="4C113B9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本基金根据本招募说明书所载明的资料申请募集。本基金管理人没有委托或授权任何其他人提供未在本招募说明书中载明的信息，或对本招募说明书作任何解释或者说明。</w:t>
      </w:r>
    </w:p>
    <w:p w14:paraId="4C28C28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招募说明书根据本基金的基金合同编写，并经中国证监会注册。基金合同是约定基金合同当事人之间权利、义务的法律文件。本基金投资者自依基金合同取得基金份额，即成为本基金基金份额持有人和基金合同当事人，其持有本基金基金份额的行为本身即表明其对基金合同的承认和接受，并按照《基金法》、基金合同及其他有关规定享有权利、承担义务。基金投资者欲了解本基金份额持有人的权利和义务，应详细查阅基金合同。</w:t>
      </w:r>
      <w:r>
        <w:rPr>
          <w:rFonts w:ascii="宋体" w:hAnsi="宋体" w:cs="宋体"/>
          <w:kern w:val="0"/>
          <w:sz w:val="24"/>
          <w:szCs w:val="24"/>
        </w:rPr>
        <w:br w:type="page"/>
      </w:r>
    </w:p>
    <w:p w14:paraId="52BBED11" w14:textId="77777777" w:rsidR="00496B2C" w:rsidRDefault="005605B9">
      <w:pPr>
        <w:pStyle w:val="1"/>
        <w:spacing w:before="0" w:after="0"/>
        <w:jc w:val="center"/>
        <w:rPr>
          <w:rFonts w:ascii="Times New Roman"/>
          <w:color w:val="auto"/>
          <w:sz w:val="30"/>
        </w:rPr>
      </w:pPr>
      <w:bookmarkStart w:id="31" w:name="_Toc256000001"/>
      <w:r>
        <w:rPr>
          <w:rFonts w:ascii="Times New Roman"/>
          <w:color w:val="auto"/>
          <w:sz w:val="30"/>
        </w:rPr>
        <w:lastRenderedPageBreak/>
        <w:t>第二部分</w:t>
      </w:r>
      <w:r>
        <w:rPr>
          <w:rFonts w:ascii="Times New Roman"/>
          <w:color w:val="auto"/>
          <w:sz w:val="30"/>
        </w:rPr>
        <w:t xml:space="preserve">  </w:t>
      </w:r>
      <w:r>
        <w:rPr>
          <w:rFonts w:ascii="Times New Roman"/>
          <w:color w:val="auto"/>
          <w:sz w:val="30"/>
        </w:rPr>
        <w:t>释义</w:t>
      </w:r>
      <w:bookmarkEnd w:id="31"/>
    </w:p>
    <w:p w14:paraId="0E828337" w14:textId="77777777" w:rsidR="00496B2C" w:rsidRDefault="00496B2C"/>
    <w:p w14:paraId="3FF086E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在本招募说明书中，除非文意另有所指，下列词语或简称具有如下含义：</w:t>
      </w:r>
    </w:p>
    <w:p w14:paraId="097364E5"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1、基金或本基金：指汇添富睿选成长股票型证券投资基金</w:t>
      </w:r>
    </w:p>
    <w:p w14:paraId="2AF26209"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2、基金管理人：指汇添富基金管理股份有限公司</w:t>
      </w:r>
    </w:p>
    <w:p w14:paraId="2FA7B9A1"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3、基金托管人：指兴业银行股份有限公司</w:t>
      </w:r>
    </w:p>
    <w:p w14:paraId="50891E78"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4、基金合同：指《汇添富睿选成长股票型证券投资基金基金合同》及对基金合同的任何有效修订和补充</w:t>
      </w:r>
    </w:p>
    <w:p w14:paraId="3762B849"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5、托管协议：指基金管理人与基金托管人就本基金签订之《汇添富睿选成长股票型证券投资基金托管协议》及对该托管协议的任何有效修订和补充</w:t>
      </w:r>
    </w:p>
    <w:p w14:paraId="6144A86D"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6、招募说明书或本招募说明书：指《汇添富睿选成长股票型证券投资基金招募说明书》及其更新</w:t>
      </w:r>
    </w:p>
    <w:p w14:paraId="21FE4A9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7、基金产品资料概要：指《汇添富睿选成长股票型证券投资基金基金产品资料概要》及其更新</w:t>
      </w:r>
    </w:p>
    <w:p w14:paraId="3381744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8、基金份额发售公告：指《汇添富睿选成长股票型证券投资基金基金份额发售公告》</w:t>
      </w:r>
    </w:p>
    <w:p w14:paraId="0855A7D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9、法律法规：指中国现行有效并公布实施的法律、行政法规、规范性文件、司法解释、行政规章以及其他对基金合同当事人有约束力的决定、决议、通知等</w:t>
      </w:r>
    </w:p>
    <w:p w14:paraId="591404B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基金法》：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p>
    <w:p w14:paraId="7004FF9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11、《销售办法》：指中国证监会2020年8月28日颁布、同年10月1日实施的《公开募集证券投资基金销售机构监督管理办法》及颁布机关对其不时做出的修订</w:t>
      </w:r>
    </w:p>
    <w:p w14:paraId="0ACE6FB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12、《信息披露办法》：指中国证监会2019年7月26日颁布、同年9月1日实施的，并经2020年3月20日中国证监会《关于修改部分证券期货规章的决</w:t>
      </w:r>
      <w:r>
        <w:rPr>
          <w:rFonts w:ascii="宋体" w:hAnsi="宋体" w:cs="宋体"/>
          <w:kern w:val="0"/>
          <w:sz w:val="24"/>
          <w:szCs w:val="24"/>
        </w:rPr>
        <w:lastRenderedPageBreak/>
        <w:t>定》修正的《公开募集证券投资基金信息披露管理办法》及颁布机关对其不时做出的修订</w:t>
      </w:r>
    </w:p>
    <w:p w14:paraId="2CA199E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13、《运作办法》：指中国证监会2014年7月7日颁布、同年8月8日实施的《公开募集证券投资基金运作管理办法》及颁布机关对其不时做出的修订</w:t>
      </w:r>
    </w:p>
    <w:p w14:paraId="4E98F5A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14、《流动性风险管理规定》：指中国证监会2017年8月31日颁布、同年10月1日实施的《公开募集开放式证券投资基金流动性风险管理规定》及颁布机关对其不时做出的修订</w:t>
      </w:r>
    </w:p>
    <w:p w14:paraId="5D14C1E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15、中国证监会：指中国证券监督管理委员会</w:t>
      </w:r>
    </w:p>
    <w:p w14:paraId="005F007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16、银行业监督管理机构：指中国人民银行和/或国家金融监督管理总局</w:t>
      </w:r>
    </w:p>
    <w:p w14:paraId="57A2081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17、基金合同当事人：指受基金合同约束，根据基金合同享有权利并承担义务的法律主体，包括基金管理人、基金托管人和基金份额持有人</w:t>
      </w:r>
    </w:p>
    <w:p w14:paraId="7E1CFD9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18、个人投资者：指依据有关法律法规规定可投资于证券投资基金的自然人</w:t>
      </w:r>
    </w:p>
    <w:p w14:paraId="3938C08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19、机构投资者：指依法可以投资证券投资基金的、在中华人民共和国境内合法登记并存续或经有关政府部门批准设立并存续的企业法人、事业法人、社会团体或其他组织</w:t>
      </w:r>
    </w:p>
    <w:p w14:paraId="513DCF1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20、合格境外投资者：指符合《合格境外机构投资者和人民币合格境外机构投资者境内证券期货投资管理办法》（包括其不时修订）及相关法律法规规定使用来自境外的资金进行境内证券期货投资的境外机构投资者，包括合格境外机构投资者和人民币合格境外机构投资者</w:t>
      </w:r>
    </w:p>
    <w:p w14:paraId="4B3E37A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21、投资人、投资者：指个人投资者、机构投资者、合格境外投资者以及法律法规或中国证监会允许购买证券投资基金的其他投资人的合称</w:t>
      </w:r>
    </w:p>
    <w:p w14:paraId="2CE94E5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22、基金份额持有人：指依基金合同和招募说明书合法取得基金份额的投资人</w:t>
      </w:r>
    </w:p>
    <w:p w14:paraId="0D6F4F8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23、基金销售业务：指基金管理人或销售机构宣传推介基金，发售基金份额，办理基金份额的申购、赎回、转换、转托管及定期定额投资等业务</w:t>
      </w:r>
    </w:p>
    <w:p w14:paraId="024B95F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24、销售机构：指汇添富基金管理股份有限公司以及符合《销售办法》和中国证监会规定的其他条件，取得基金销售业务资格并与基金管理人签订了基金销售服务协议，办理基金销售业务的机构</w:t>
      </w:r>
    </w:p>
    <w:p w14:paraId="28C3D72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25、登记业务：指基金登记、存管、过户、清算和结算业务，具体内容包括</w:t>
      </w:r>
      <w:r>
        <w:rPr>
          <w:rFonts w:ascii="宋体" w:hAnsi="宋体" w:cs="宋体"/>
          <w:kern w:val="0"/>
          <w:sz w:val="24"/>
          <w:szCs w:val="24"/>
        </w:rPr>
        <w:lastRenderedPageBreak/>
        <w:t>投资人基金账户的建立和管理、基金份额登记、基金销售业务的确认、清算和结算、代理发放红利、建立并保管基金份额持有人名册和办理非交易过户等</w:t>
      </w:r>
    </w:p>
    <w:p w14:paraId="7C20D6A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26、登记机构：指办理登记业务的机构。基金的登记机构为汇添富基金管理股份有限公司或接受汇添富基金管理股份有限公司委托代为办理登记业务的机构</w:t>
      </w:r>
    </w:p>
    <w:p w14:paraId="12D757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27、基金账户：指登记机构为投资人开立的、记录其持有的、基金管理人所管理的基金份额余额及其变动情况的账户</w:t>
      </w:r>
    </w:p>
    <w:p w14:paraId="6A496D5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28、基金交易账户：指销售机构为投资人开立的、记录投资人通过该销售机构办理认购、申购、赎回、转换、转托管及定期定额投资等业务而引起的基金份额变动及结余情况的账户</w:t>
      </w:r>
    </w:p>
    <w:p w14:paraId="1DF38E4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29、基金合同生效日：指基金募集达到法律法规规定及基金合同规定的条件，基金管理人向中国证监会办理基金备案手续完毕，并获得中国证监会书面确认的日期</w:t>
      </w:r>
    </w:p>
    <w:p w14:paraId="23A4EE3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30、基金合同终止日：指基金合同规定的基金合同终止事由出现后，基金财产清算完毕，清算结果报中国证监会备案并予以公告的日期</w:t>
      </w:r>
    </w:p>
    <w:p w14:paraId="095379F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31、基金募集期：指自基金份额发售之日起至发售结束之日止的期间，最长不得超过3个月</w:t>
      </w:r>
    </w:p>
    <w:p w14:paraId="627AC53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32、存续期：指基金合同生效至终止之间的不定期期限</w:t>
      </w:r>
    </w:p>
    <w:p w14:paraId="1AED53B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33、工作日：指上海证券交易所、深圳证券交易所的正常交易日</w:t>
      </w:r>
    </w:p>
    <w:p w14:paraId="1DB20AF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34、T日：指销售机构在规定时间受理投资人申购、赎回或其他业务申请的开放日</w:t>
      </w:r>
    </w:p>
    <w:p w14:paraId="525BA45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35、T+n日：指自T日起第n个工作日(不包含T日)</w:t>
      </w:r>
    </w:p>
    <w:p w14:paraId="20BD363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36、开放日：指为投资人办理基金份额申购、赎回或其他业务的工作日（如遇香港联合交易所法定节假日或因其他原因暂停营业或港股通暂停交易的情形，基金管理人有权暂停办理基金份额的申购和赎回业务）</w:t>
      </w:r>
    </w:p>
    <w:p w14:paraId="15D598D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37、开放时间：指开放日基金接受申购、赎回或其他交易的时间段</w:t>
      </w:r>
    </w:p>
    <w:p w14:paraId="3E549D0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38、《业务规则》：指《汇添富基金管理股份有限公司开放式基金业务规则》，是规范基金管理人所管理的开放式证券投资基金登记方面的业务规则，由基金管理人和投资人共同遵守</w:t>
      </w:r>
    </w:p>
    <w:p w14:paraId="4F18451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39、认购：指在基金募集期内，投资人根据基金合同和招募说明书的规定申请购买基金份额的行为</w:t>
      </w:r>
    </w:p>
    <w:p w14:paraId="711E9A3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40、申购：指基金合同生效后，投资人根据基金合同和招募说明书的规定申请购买基金份额的行为</w:t>
      </w:r>
    </w:p>
    <w:p w14:paraId="3E0FA9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41、赎回：指基金合同生效后，基金份额持有人按基金合同和招募说明书规定的条件要求将基金份额兑换为现金的行为</w:t>
      </w:r>
    </w:p>
    <w:p w14:paraId="79E05B9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42、基金转换：指基金份额持有人按照基金合同和基金管理人届时有效公告规定的条件，申请将其持有基金管理人管理的、某一基金的基金份额转换为基金管理人管理的该基金其他基金份额或其他基金基金份额的行为</w:t>
      </w:r>
    </w:p>
    <w:p w14:paraId="2F27EDF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43、转托管：指基金份额持有人在本基金的不同销售机构之间实施的变更所持基金份额销售机构的操作</w:t>
      </w:r>
    </w:p>
    <w:p w14:paraId="29E17C8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44、定期定额投资计划：指投资人通过有关销售机构提出申请，约定每期申购日、扣款金额及扣款方式，由销售机构于每期约定扣款日在投资人指定银行账户内自动完成扣款及受理基金申购申请的一种投资方式</w:t>
      </w:r>
    </w:p>
    <w:p w14:paraId="4A73A97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45、巨额赎回：指本基金单个开放日，基金净赎回申请（赎回申请份额总数加上基金转换中转出申请份额总数后扣除申购申请份额总数及基金转换中转入申请份额总数后的余额，不同类别份额合并计算）超过上一开放日基金总份额的10%</w:t>
      </w:r>
    </w:p>
    <w:p w14:paraId="5239840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46、元：指人民币元</w:t>
      </w:r>
    </w:p>
    <w:p w14:paraId="038A47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47、基金收益：指基金投资所得红利、股息、债券利息、买卖证券价差、银行存款利息、已实现的其他合法收入及因运用基金财产带来的成本和费用的节约</w:t>
      </w:r>
    </w:p>
    <w:p w14:paraId="6AD291A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48、基金资产总值：指基金拥有的各类有价证券及票据价值、银行存款本息、基金应收申购款及其他资产的价值总和</w:t>
      </w:r>
    </w:p>
    <w:p w14:paraId="2B2ABEE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49、基金资产净值：指基金资产总值减去基金负债后的价值</w:t>
      </w:r>
    </w:p>
    <w:p w14:paraId="21E9D0D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50、基金份额净值：指计算日基金资产净值除以计算日基金份额总数</w:t>
      </w:r>
    </w:p>
    <w:p w14:paraId="21FCF7A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51、基金资产估值：指计算评估基金资产和负债的价值，以确定基金资产净值和基金份额净值的过程</w:t>
      </w:r>
    </w:p>
    <w:p w14:paraId="00B4D88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52、规定媒介：指符合中国证监会规定条件的用以进行信息披露的全国性报刊及《信息披露办法》规定的互联网网站（包括基金管理人网站、基金托管人网</w:t>
      </w:r>
      <w:r>
        <w:rPr>
          <w:rFonts w:ascii="宋体" w:hAnsi="宋体" w:cs="宋体"/>
          <w:kern w:val="0"/>
          <w:sz w:val="24"/>
          <w:szCs w:val="24"/>
        </w:rPr>
        <w:lastRenderedPageBreak/>
        <w:t>站、中国证监会基金电子披露网站）等媒介</w:t>
      </w:r>
    </w:p>
    <w:p w14:paraId="34E42C6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53、基金份额类别：根据认购/申购费用、销售服务费收取方式等事项的不同，将基金份额分为不同的类别，各基金份额类别分别设置代码、计算</w:t>
      </w:r>
      <w:r>
        <w:rPr>
          <w:rFonts w:ascii="宋体" w:hAnsi="宋体" w:cs="宋体" w:hint="eastAsia"/>
          <w:kern w:val="0"/>
          <w:sz w:val="24"/>
          <w:szCs w:val="24"/>
        </w:rPr>
        <w:t>并</w:t>
      </w:r>
      <w:r>
        <w:rPr>
          <w:rFonts w:ascii="宋体" w:hAnsi="宋体" w:cs="宋体"/>
          <w:kern w:val="0"/>
          <w:sz w:val="24"/>
          <w:szCs w:val="24"/>
        </w:rPr>
        <w:t>公告基金份额净值和基金份额累计净值</w:t>
      </w:r>
    </w:p>
    <w:p w14:paraId="3088587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54、A类基金份额：指在投资者</w:t>
      </w:r>
      <w:r>
        <w:rPr>
          <w:rFonts w:hint="eastAsia"/>
          <w:bCs/>
          <w:sz w:val="24"/>
        </w:rPr>
        <w:t>通过直销机构以外的其他销售机构</w:t>
      </w:r>
      <w:r>
        <w:rPr>
          <w:rFonts w:ascii="宋体" w:hAnsi="宋体" w:cs="宋体"/>
          <w:kern w:val="0"/>
          <w:sz w:val="24"/>
          <w:szCs w:val="24"/>
        </w:rPr>
        <w:t>认购、申购时收取认购、申购费用，在赎回时根据持有期限收取赎回费用，但不从本类别基金财产中计提销售服务费的基金份额</w:t>
      </w:r>
      <w:r>
        <w:rPr>
          <w:rFonts w:ascii="宋体" w:hAnsi="宋体" w:cs="宋体" w:hint="eastAsia"/>
          <w:kern w:val="0"/>
          <w:sz w:val="24"/>
          <w:szCs w:val="24"/>
        </w:rPr>
        <w:t>；投资者通过直销机构认购/申购A类基金份额时不收取认购/申购费用</w:t>
      </w:r>
    </w:p>
    <w:p w14:paraId="79B5B10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55、C类基金份额：指从</w:t>
      </w:r>
      <w:r>
        <w:rPr>
          <w:rFonts w:hint="eastAsia"/>
          <w:bCs/>
          <w:kern w:val="0"/>
          <w:sz w:val="24"/>
          <w:szCs w:val="24"/>
          <w:lang w:bidi="en-US"/>
        </w:rPr>
        <w:t>直销机构以外的其他销售机构保有的</w:t>
      </w:r>
      <w:r>
        <w:rPr>
          <w:rFonts w:ascii="宋体" w:hAnsi="宋体" w:cs="宋体"/>
          <w:kern w:val="0"/>
          <w:sz w:val="24"/>
          <w:szCs w:val="24"/>
        </w:rPr>
        <w:t>本类别基金财产中计提销售服务费而不收取认购、申购费用，在赎回时根据持有期限收取赎回费用的基金份额</w:t>
      </w: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投资者赎回相应基金份额或基金合同终止时随赎回款或清算款一并返还给投资者</w:t>
      </w:r>
    </w:p>
    <w:p w14:paraId="4A55C7D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56、销售服务费：指从基金财产中计提的，用于本基金市场推广、销售以及基金份额持有人服务的费用</w:t>
      </w:r>
    </w:p>
    <w:p w14:paraId="57E0D82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57、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以及法律法规或中国证监会规定的其他流动性受限资产，如未来法律法规变动，基金管理人在履行适当程序后，可对上述流动性受限资产范围进行调整</w:t>
      </w:r>
    </w:p>
    <w:p w14:paraId="67D02CF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58、摆动定价机制：指当开放式基金遭遇大额申购赎回时，通过调整基金份额净值的方式，将基金调整投资组合的市场冲击成本分配给实际申购、赎回的投资者，从而减少对存量基金份额持有人利益的不利影响，确保投资人的合法权益不受损害并得到公平对待，如未来法律法规变动，基金管理人在履行适当程序后，可对前述摆动定价机制的定义进行调整</w:t>
      </w:r>
    </w:p>
    <w:p w14:paraId="385A352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59、侧袋机制：指将基金投资组合中的特定资产从原有账户分离至一个专门</w:t>
      </w:r>
      <w:r>
        <w:rPr>
          <w:rFonts w:ascii="宋体" w:hAnsi="宋体" w:cs="宋体"/>
          <w:kern w:val="0"/>
          <w:sz w:val="24"/>
          <w:szCs w:val="24"/>
        </w:rPr>
        <w:lastRenderedPageBreak/>
        <w:t>账户进行处置清算，目的在于有效隔离并化解风险，确保投资者得到公平对待，属于流动性风险管理工具。侧袋机制实施期间，原有账户称为主袋账户，专门账户称为侧袋账户</w:t>
      </w:r>
    </w:p>
    <w:p w14:paraId="77B529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60、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7C0CA0E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61、港股通标的股票：指内地投资者委托内地证券公司，经由内地证券交易所设立的证券交易服务公司，向香港联合交易所进行申报，买卖规定范围内的香港联合交易所上市的股票</w:t>
      </w:r>
    </w:p>
    <w:p w14:paraId="0B85635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62、不可抗力：指基金合同当事人不能预见、不能避免且不能克服的客观事件</w:t>
      </w:r>
      <w:r>
        <w:rPr>
          <w:rFonts w:ascii="宋体" w:hAnsi="宋体" w:cs="宋体"/>
          <w:kern w:val="0"/>
          <w:sz w:val="24"/>
          <w:szCs w:val="24"/>
        </w:rPr>
        <w:br w:type="page"/>
      </w:r>
    </w:p>
    <w:p w14:paraId="173F99C1" w14:textId="77777777" w:rsidR="00496B2C" w:rsidRDefault="005605B9">
      <w:pPr>
        <w:pStyle w:val="1"/>
        <w:spacing w:before="0" w:after="0"/>
        <w:jc w:val="center"/>
        <w:rPr>
          <w:rFonts w:ascii="Times New Roman"/>
          <w:color w:val="auto"/>
          <w:sz w:val="30"/>
        </w:rPr>
      </w:pPr>
      <w:bookmarkStart w:id="32" w:name="_Toc256000002"/>
      <w:r>
        <w:rPr>
          <w:rFonts w:ascii="Times New Roman"/>
          <w:color w:val="auto"/>
          <w:sz w:val="30"/>
        </w:rPr>
        <w:lastRenderedPageBreak/>
        <w:t>第三部分</w:t>
      </w:r>
      <w:r>
        <w:rPr>
          <w:rFonts w:ascii="Times New Roman"/>
          <w:color w:val="auto"/>
          <w:sz w:val="30"/>
        </w:rPr>
        <w:t xml:space="preserve">  </w:t>
      </w:r>
      <w:r>
        <w:rPr>
          <w:rFonts w:ascii="Times New Roman"/>
          <w:color w:val="auto"/>
          <w:sz w:val="30"/>
        </w:rPr>
        <w:t>基金管理人</w:t>
      </w:r>
      <w:bookmarkEnd w:id="32"/>
    </w:p>
    <w:p w14:paraId="7DFA4299" w14:textId="77777777" w:rsidR="00496B2C" w:rsidRDefault="00496B2C"/>
    <w:p w14:paraId="04D9DE5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一、基金管理人简况</w:t>
      </w:r>
    </w:p>
    <w:p w14:paraId="3533AC1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名称：汇添富基金管理股份有限公司</w:t>
      </w:r>
    </w:p>
    <w:p w14:paraId="1A5CB05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住所：上海市黄浦区外马路728号9楼</w:t>
      </w:r>
    </w:p>
    <w:p w14:paraId="70E5BAD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办公地址：上海市黄浦区外马路728号</w:t>
      </w:r>
    </w:p>
    <w:p w14:paraId="383EB88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法定代表人：鲁伟铭</w:t>
      </w:r>
    </w:p>
    <w:p w14:paraId="59390F6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成立时间：2005年2月3日</w:t>
      </w:r>
    </w:p>
    <w:p w14:paraId="7D106A0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批准设立机关：中国证监会</w:t>
      </w:r>
    </w:p>
    <w:p w14:paraId="79C1AF8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批准设立文号：证监基金字</w:t>
      </w:r>
      <w:r>
        <w:rPr>
          <w:rFonts w:ascii="宋体" w:hAnsi="宋体" w:cs="宋体" w:hint="eastAsia"/>
          <w:sz w:val="24"/>
          <w:szCs w:val="24"/>
        </w:rPr>
        <w:t>〔2005〕</w:t>
      </w:r>
      <w:r>
        <w:rPr>
          <w:rFonts w:ascii="宋体" w:hAnsi="宋体" w:cs="宋体"/>
          <w:kern w:val="0"/>
          <w:sz w:val="24"/>
          <w:szCs w:val="24"/>
        </w:rPr>
        <w:t>5号</w:t>
      </w:r>
    </w:p>
    <w:p w14:paraId="167754B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注册资本：人民币</w:t>
      </w:r>
      <w:r>
        <w:rPr>
          <w:rStyle w:val="custom"/>
          <w:rFonts w:ascii="宋体" w:hAnsi="宋体" w:cs="宋体"/>
          <w:kern w:val="0"/>
          <w:sz w:val="24"/>
          <w:szCs w:val="24"/>
        </w:rPr>
        <w:t>132,724,224</w:t>
      </w:r>
      <w:r>
        <w:rPr>
          <w:rFonts w:ascii="宋体" w:hAnsi="宋体" w:cs="宋体"/>
          <w:kern w:val="0"/>
          <w:sz w:val="24"/>
          <w:szCs w:val="24"/>
        </w:rPr>
        <w:t>元</w:t>
      </w:r>
    </w:p>
    <w:p w14:paraId="7AF9AA6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联系人：李鹏</w:t>
      </w:r>
    </w:p>
    <w:p w14:paraId="570AF48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联系电话：（021）28932888</w:t>
      </w:r>
    </w:p>
    <w:p w14:paraId="5A54BBD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股东名称及其出资比例：</w:t>
      </w:r>
    </w:p>
    <w:tbl>
      <w:tblPr>
        <w:tblStyle w:val="tableTable"/>
        <w:tblW w:w="5000" w:type="pct"/>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5785"/>
        <w:gridCol w:w="2743"/>
      </w:tblGrid>
      <w:tr w:rsidR="00496B2C" w14:paraId="02C124DB" w14:textId="77777777">
        <w:trPr>
          <w:jc w:val="center"/>
        </w:trPr>
        <w:tc>
          <w:tcPr>
            <w:tcW w:w="5389" w:type="dxa"/>
            <w:tcBorders>
              <w:bottom w:val="single" w:sz="6" w:space="0" w:color="000000"/>
              <w:right w:val="single" w:sz="6" w:space="0" w:color="000000"/>
            </w:tcBorders>
            <w:tcMar>
              <w:top w:w="0" w:type="dxa"/>
              <w:left w:w="111" w:type="dxa"/>
              <w:bottom w:w="0" w:type="dxa"/>
              <w:right w:w="108" w:type="dxa"/>
            </w:tcMar>
          </w:tcPr>
          <w:p w14:paraId="7FB6C8D2"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股东名称</w:t>
            </w:r>
          </w:p>
        </w:tc>
        <w:tc>
          <w:tcPr>
            <w:tcW w:w="2555" w:type="dxa"/>
            <w:tcBorders>
              <w:left w:val="single" w:sz="6" w:space="0" w:color="000000"/>
              <w:bottom w:val="single" w:sz="6" w:space="0" w:color="000000"/>
            </w:tcBorders>
            <w:tcMar>
              <w:top w:w="0" w:type="dxa"/>
              <w:left w:w="108" w:type="dxa"/>
              <w:bottom w:w="0" w:type="dxa"/>
              <w:right w:w="111" w:type="dxa"/>
            </w:tcMar>
          </w:tcPr>
          <w:p w14:paraId="22431674"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股权比例</w:t>
            </w:r>
          </w:p>
        </w:tc>
      </w:tr>
      <w:tr w:rsidR="00496B2C" w14:paraId="45103353" w14:textId="77777777">
        <w:trPr>
          <w:jc w:val="center"/>
        </w:trPr>
        <w:tc>
          <w:tcPr>
            <w:tcW w:w="5389"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14:paraId="46AF8853"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东方证券股份有限公司</w:t>
            </w:r>
          </w:p>
        </w:tc>
        <w:tc>
          <w:tcPr>
            <w:tcW w:w="2555"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14:paraId="570DBCC8" w14:textId="77777777" w:rsidR="00496B2C" w:rsidRDefault="005605B9">
            <w:pPr>
              <w:pStyle w:val="div"/>
              <w:widowControl/>
              <w:spacing w:line="360" w:lineRule="auto"/>
              <w:jc w:val="center"/>
              <w:rPr>
                <w:rFonts w:eastAsia="Times New Roman"/>
                <w:color w:val="000000"/>
                <w:kern w:val="0"/>
                <w:sz w:val="24"/>
                <w:szCs w:val="24"/>
              </w:rPr>
            </w:pPr>
            <w:r>
              <w:rPr>
                <w:rFonts w:eastAsia="Times New Roman"/>
                <w:color w:val="000000"/>
                <w:kern w:val="0"/>
                <w:sz w:val="24"/>
                <w:szCs w:val="24"/>
              </w:rPr>
              <w:t>35.412%</w:t>
            </w:r>
          </w:p>
        </w:tc>
      </w:tr>
      <w:tr w:rsidR="00496B2C" w14:paraId="72DD2472" w14:textId="77777777">
        <w:trPr>
          <w:jc w:val="center"/>
        </w:trPr>
        <w:tc>
          <w:tcPr>
            <w:tcW w:w="5389"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14:paraId="198DDBDC"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上海菁聚金投资管理合伙企业（有限合伙）</w:t>
            </w:r>
          </w:p>
        </w:tc>
        <w:tc>
          <w:tcPr>
            <w:tcW w:w="2555"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14:paraId="72383F31" w14:textId="77777777" w:rsidR="00496B2C" w:rsidRDefault="005605B9">
            <w:pPr>
              <w:pStyle w:val="div"/>
              <w:widowControl/>
              <w:spacing w:line="360" w:lineRule="auto"/>
              <w:jc w:val="center"/>
              <w:rPr>
                <w:rFonts w:eastAsia="Times New Roman"/>
                <w:color w:val="000000"/>
                <w:kern w:val="0"/>
                <w:sz w:val="24"/>
                <w:szCs w:val="24"/>
              </w:rPr>
            </w:pPr>
            <w:r>
              <w:rPr>
                <w:rFonts w:eastAsia="Times New Roman"/>
                <w:color w:val="000000"/>
                <w:kern w:val="0"/>
                <w:sz w:val="24"/>
                <w:szCs w:val="24"/>
              </w:rPr>
              <w:t>24.656%</w:t>
            </w:r>
          </w:p>
        </w:tc>
      </w:tr>
      <w:tr w:rsidR="00496B2C" w14:paraId="1440913E" w14:textId="77777777">
        <w:trPr>
          <w:trHeight w:val="429"/>
          <w:jc w:val="center"/>
        </w:trPr>
        <w:tc>
          <w:tcPr>
            <w:tcW w:w="5389"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14:paraId="28CC2E1D"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上海上报资产管理有限公司</w:t>
            </w:r>
          </w:p>
        </w:tc>
        <w:tc>
          <w:tcPr>
            <w:tcW w:w="2555"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14:paraId="3C11DC63" w14:textId="77777777" w:rsidR="00496B2C" w:rsidRDefault="005605B9">
            <w:pPr>
              <w:pStyle w:val="div"/>
              <w:widowControl/>
              <w:spacing w:line="360" w:lineRule="auto"/>
              <w:jc w:val="center"/>
              <w:rPr>
                <w:rFonts w:eastAsia="Times New Roman"/>
                <w:color w:val="000000"/>
                <w:kern w:val="0"/>
                <w:sz w:val="24"/>
                <w:szCs w:val="24"/>
              </w:rPr>
            </w:pPr>
            <w:r>
              <w:rPr>
                <w:rFonts w:eastAsia="Times New Roman"/>
                <w:color w:val="000000"/>
                <w:kern w:val="0"/>
                <w:sz w:val="24"/>
                <w:szCs w:val="24"/>
              </w:rPr>
              <w:t>19.966%</w:t>
            </w:r>
          </w:p>
        </w:tc>
      </w:tr>
      <w:tr w:rsidR="00496B2C" w14:paraId="76EB0A08" w14:textId="77777777">
        <w:trPr>
          <w:jc w:val="center"/>
        </w:trPr>
        <w:tc>
          <w:tcPr>
            <w:tcW w:w="5389" w:type="dxa"/>
            <w:tcBorders>
              <w:top w:val="single" w:sz="6" w:space="0" w:color="000000"/>
              <w:bottom w:val="single" w:sz="6" w:space="0" w:color="000000"/>
              <w:right w:val="single" w:sz="6" w:space="0" w:color="000000"/>
            </w:tcBorders>
            <w:tcMar>
              <w:top w:w="0" w:type="dxa"/>
              <w:left w:w="111" w:type="dxa"/>
              <w:bottom w:w="0" w:type="dxa"/>
              <w:right w:w="108" w:type="dxa"/>
            </w:tcMar>
            <w:vAlign w:val="center"/>
          </w:tcPr>
          <w:p w14:paraId="0C10B1BF"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东航金控有限责任公司</w:t>
            </w:r>
          </w:p>
        </w:tc>
        <w:tc>
          <w:tcPr>
            <w:tcW w:w="2555" w:type="dxa"/>
            <w:tcBorders>
              <w:top w:val="single" w:sz="6" w:space="0" w:color="000000"/>
              <w:left w:val="single" w:sz="6" w:space="0" w:color="000000"/>
              <w:bottom w:val="single" w:sz="6" w:space="0" w:color="000000"/>
            </w:tcBorders>
            <w:tcMar>
              <w:top w:w="0" w:type="dxa"/>
              <w:left w:w="108" w:type="dxa"/>
              <w:bottom w:w="0" w:type="dxa"/>
              <w:right w:w="111" w:type="dxa"/>
            </w:tcMar>
            <w:vAlign w:val="center"/>
          </w:tcPr>
          <w:p w14:paraId="777FA508" w14:textId="77777777" w:rsidR="00496B2C" w:rsidRDefault="005605B9">
            <w:pPr>
              <w:pStyle w:val="div"/>
              <w:widowControl/>
              <w:spacing w:line="360" w:lineRule="auto"/>
              <w:jc w:val="center"/>
              <w:rPr>
                <w:rFonts w:eastAsia="Times New Roman"/>
                <w:color w:val="000000"/>
                <w:kern w:val="0"/>
                <w:sz w:val="24"/>
                <w:szCs w:val="24"/>
              </w:rPr>
            </w:pPr>
            <w:r>
              <w:rPr>
                <w:rFonts w:eastAsia="Times New Roman"/>
                <w:color w:val="000000"/>
                <w:kern w:val="0"/>
                <w:sz w:val="24"/>
                <w:szCs w:val="24"/>
              </w:rPr>
              <w:t>19.966%</w:t>
            </w:r>
          </w:p>
        </w:tc>
      </w:tr>
      <w:tr w:rsidR="00496B2C" w14:paraId="629B1358" w14:textId="77777777">
        <w:trPr>
          <w:jc w:val="center"/>
        </w:trPr>
        <w:tc>
          <w:tcPr>
            <w:tcW w:w="5389" w:type="dxa"/>
            <w:tcBorders>
              <w:top w:val="single" w:sz="6" w:space="0" w:color="000000"/>
              <w:right w:val="single" w:sz="6" w:space="0" w:color="000000"/>
            </w:tcBorders>
            <w:tcMar>
              <w:top w:w="0" w:type="dxa"/>
              <w:left w:w="111" w:type="dxa"/>
              <w:bottom w:w="0" w:type="dxa"/>
              <w:right w:w="108" w:type="dxa"/>
            </w:tcMar>
            <w:vAlign w:val="center"/>
          </w:tcPr>
          <w:p w14:paraId="31ECC4ED" w14:textId="77777777" w:rsidR="00496B2C" w:rsidRDefault="005605B9">
            <w:pPr>
              <w:pStyle w:val="div"/>
              <w:widowControl/>
              <w:spacing w:line="360" w:lineRule="auto"/>
              <w:jc w:val="center"/>
              <w:rPr>
                <w:rFonts w:eastAsia="Times New Roman"/>
                <w:color w:val="000000"/>
                <w:kern w:val="0"/>
                <w:sz w:val="24"/>
                <w:szCs w:val="24"/>
              </w:rPr>
            </w:pPr>
            <w:r>
              <w:rPr>
                <w:rFonts w:ascii="宋体" w:hAnsi="宋体" w:cs="宋体"/>
                <w:color w:val="000000"/>
                <w:kern w:val="0"/>
                <w:sz w:val="24"/>
                <w:szCs w:val="24"/>
              </w:rPr>
              <w:t>合计</w:t>
            </w:r>
          </w:p>
        </w:tc>
        <w:tc>
          <w:tcPr>
            <w:tcW w:w="2555" w:type="dxa"/>
            <w:tcBorders>
              <w:top w:val="single" w:sz="6" w:space="0" w:color="000000"/>
              <w:left w:val="single" w:sz="6" w:space="0" w:color="000000"/>
            </w:tcBorders>
            <w:tcMar>
              <w:top w:w="0" w:type="dxa"/>
              <w:left w:w="108" w:type="dxa"/>
              <w:bottom w:w="0" w:type="dxa"/>
              <w:right w:w="111" w:type="dxa"/>
            </w:tcMar>
            <w:vAlign w:val="center"/>
          </w:tcPr>
          <w:p w14:paraId="634B80DA" w14:textId="77777777" w:rsidR="00496B2C" w:rsidRDefault="005605B9">
            <w:pPr>
              <w:pStyle w:val="div"/>
              <w:widowControl/>
              <w:spacing w:line="360" w:lineRule="auto"/>
              <w:jc w:val="center"/>
              <w:rPr>
                <w:rFonts w:eastAsia="Times New Roman"/>
                <w:color w:val="000000"/>
                <w:kern w:val="0"/>
                <w:sz w:val="24"/>
                <w:szCs w:val="24"/>
              </w:rPr>
            </w:pPr>
            <w:r>
              <w:rPr>
                <w:rFonts w:eastAsia="Times New Roman"/>
                <w:color w:val="000000"/>
                <w:kern w:val="0"/>
                <w:sz w:val="24"/>
                <w:szCs w:val="24"/>
              </w:rPr>
              <w:t>100%</w:t>
            </w:r>
          </w:p>
        </w:tc>
      </w:tr>
    </w:tbl>
    <w:p w14:paraId="7242033D" w14:textId="77777777" w:rsidR="00496B2C" w:rsidRDefault="005605B9">
      <w:pPr>
        <w:pStyle w:val="div"/>
        <w:spacing w:line="360" w:lineRule="auto"/>
        <w:ind w:firstLine="480"/>
        <w:jc w:val="left"/>
        <w:rPr>
          <w:rFonts w:eastAsia="Times New Roman"/>
          <w:kern w:val="0"/>
          <w:sz w:val="24"/>
          <w:szCs w:val="24"/>
        </w:rPr>
      </w:pPr>
      <w:r>
        <w:rPr>
          <w:rFonts w:ascii="宋体" w:hAnsi="宋体" w:cs="宋体"/>
          <w:kern w:val="0"/>
          <w:sz w:val="24"/>
          <w:szCs w:val="24"/>
        </w:rPr>
        <w:t>二、主要人员情况</w:t>
      </w:r>
    </w:p>
    <w:p w14:paraId="6983270E" w14:textId="77777777" w:rsidR="00496B2C" w:rsidRDefault="005605B9">
      <w:pPr>
        <w:pStyle w:val="div"/>
        <w:spacing w:line="360" w:lineRule="auto"/>
        <w:ind w:firstLine="480"/>
        <w:jc w:val="left"/>
        <w:rPr>
          <w:rFonts w:eastAsia="Times New Roman"/>
          <w:kern w:val="0"/>
          <w:sz w:val="24"/>
          <w:szCs w:val="24"/>
        </w:rPr>
      </w:pPr>
      <w:r>
        <w:rPr>
          <w:rFonts w:ascii="宋体" w:hAnsi="宋体" w:cs="宋体"/>
          <w:kern w:val="0"/>
          <w:sz w:val="24"/>
          <w:szCs w:val="24"/>
        </w:rPr>
        <w:t>1、董事会成员</w:t>
      </w:r>
    </w:p>
    <w:p w14:paraId="677E3381" w14:textId="77777777" w:rsidR="00CC12F2" w:rsidRPr="00CC12F2" w:rsidRDefault="00CC12F2" w:rsidP="00CC12F2">
      <w:pPr>
        <w:pStyle w:val="div"/>
        <w:spacing w:line="360" w:lineRule="auto"/>
        <w:ind w:firstLine="480"/>
        <w:jc w:val="left"/>
        <w:rPr>
          <w:rFonts w:ascii="宋体" w:hAnsi="宋体" w:cs="宋体"/>
          <w:kern w:val="0"/>
          <w:sz w:val="24"/>
          <w:szCs w:val="24"/>
        </w:rPr>
      </w:pPr>
      <w:bookmarkStart w:id="33" w:name="OLE_LINK2"/>
      <w:r w:rsidRPr="00CC12F2">
        <w:rPr>
          <w:rFonts w:ascii="宋体" w:hAnsi="宋体" w:cs="宋体" w:hint="eastAsia"/>
          <w:kern w:val="0"/>
          <w:sz w:val="24"/>
          <w:szCs w:val="24"/>
        </w:rPr>
        <w:t>鲁伟铭先生，国籍：中国，经济学硕士。现任东方证券股份有限公司副董事长、执行董事，汇添富基金管理股份有限公司党委书记、董事长。历任中国国泰证券有限公司交易部业务员、交易部经营处项目经理；东方证券股份有限公司交易总部证券投资部职员、副总经理，证券投资业务总部高级投资经理，固定收益业务总部总经理助理、副总经理、副总经理（主持工作）、总经理，金融衍生品业务总部总经理，总裁助理、副总裁、党委副书记、总裁等职务。</w:t>
      </w:r>
    </w:p>
    <w:p w14:paraId="6F8AB985"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李芸女士，国籍：中国，经济学硕士，高级编辑。历任上海第四师范学校团</w:t>
      </w:r>
      <w:r w:rsidRPr="00CC12F2">
        <w:rPr>
          <w:rFonts w:ascii="宋体" w:hAnsi="宋体" w:cs="宋体" w:hint="eastAsia"/>
          <w:kern w:val="0"/>
          <w:sz w:val="24"/>
          <w:szCs w:val="24"/>
        </w:rPr>
        <w:lastRenderedPageBreak/>
        <w:t>委书记、教师；共青团卢湾区委学校部副部长、部长、副书记，卢湾区妇女联合会副主任，卢湾区委办公室副主任，卢湾区五里桥街道党工委书记，卢湾区委常委、宣传部部长；闵行区委常委、宣传部部长；解放日报报业集团党委副书记、纪委书记，解放日报党委书记；上海报业集团党委副书记，解放日报社党委书记、社长，上海报业集团党委书记、社长。其他兼任职务包括上海众源资本管理有限公司董事长，东方证券股份有限公司董事。</w:t>
      </w:r>
    </w:p>
    <w:p w14:paraId="37FC2578"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毛海东先生，国籍：中国，经济学硕士。现任东航私募基金管理有限公司董事长、党支部书记、总经理，东航国际控股（香港）有限公司董事，东航国际金融（香港）有限公司董事。历任东航期货有限责任公司总经理、董事长、党总支书记，东航金控有限责任公司财富管理中心总经理、总经理助理，汇添富基金管理股份有限公司监事、监事会主席，曾任职于东航集团财务有限责任公司等。</w:t>
      </w:r>
    </w:p>
    <w:p w14:paraId="5F3633B3"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张晖先生，国籍：中国，经济学硕士。现任汇添富基金管理股份有限公司总经理，汇添富资本管理有限公司董事长，汇添富资产管理（香港）有限公司董事长。历任申银万国证券研究所高级分析师，富国基金管理有限公司高级分析师、研究主管和基金经理，汇添富基金管理股份有限公司副总经理、投资总监，曾担任中国证券监督管理委员会第十届和第十一届发行审核委员会委员。</w:t>
      </w:r>
    </w:p>
    <w:p w14:paraId="3D6A4254"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魏尚进先生，国籍：美国，经济学博士。现任哥伦比亚大学商学院金融学与经济学系终身讲席教授、复旦国际金融学院学术访问教授、美国国民经济研究局国际金融与宏观经济项目研究员及中国经济研究组主任、深圳高等金融研究院国际顾问委员会委员、清华大学五道口金融学院国际顾问委员会委员、对外经贸大学全球价值链研究院顾问、香港金融管理局金融研究院国际顾问委员会委员。曾任亚洲开发银行首位华人首席经济学家、哈佛大学肯尼迪政府学院副教授、美国布鲁金斯学会高级研究员、国际货币基金组织贸易与投资研究主管、世界银行顾问等。</w:t>
      </w:r>
    </w:p>
    <w:p w14:paraId="307F645D"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连平先生，国籍：中国，金融专业博士，教授，博士生导师。现任中国首席经济学家论坛理事长、复旦大学管理学院特聘教授、上海首席经济学家金融发展中心理事长、上海市经济学会副会长、上海交通大学上海高级金融学院兼聘教授、江苏联合水务科技股份有限公司独立董事。曾任交通银行首席经济学家，中国金融40人论坛常务理事和特邀成员、中国银行业协会行业发展研究委员会主任等，</w:t>
      </w:r>
      <w:r w:rsidRPr="00CC12F2">
        <w:rPr>
          <w:rFonts w:ascii="宋体" w:hAnsi="宋体" w:cs="宋体" w:hint="eastAsia"/>
          <w:kern w:val="0"/>
          <w:sz w:val="24"/>
          <w:szCs w:val="24"/>
        </w:rPr>
        <w:lastRenderedPageBreak/>
        <w:t>多次出席党和国家领导人主持的专家会议，多次担任上海市人民政府决策咨询特聘专家，享受国务院政府特殊津贴。</w:t>
      </w:r>
    </w:p>
    <w:p w14:paraId="223A0114"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吕毅先生，国籍：中国，法学硕士，执业律师。现任北京观韬（上海）律师事务所权益合伙人，曾任上海市第一（沪一）律师事务所合伙人，上海市君悦律师事务所高级合伙人、副主任，中国人民政治协商会议上海市虹口区委员会第十四届常委。其他兼任职务包括中国人民政治协商会议上海市虹口区委员会第十五届常委，上海国际经济贸易仲裁委员会仲裁员，上海市经济和信息化委员会兼职法律顾问，同济大学经管学院MPA研究生客座教授及华东政法大学硕士生指导教师。</w:t>
      </w:r>
    </w:p>
    <w:p w14:paraId="26482612"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2、监事会成员</w:t>
      </w:r>
    </w:p>
    <w:p w14:paraId="38E95728"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韩家明先生，国籍：中国，法学硕士，中级经济师。现任上海上报资产管理有限公司副总经理。曾担任中共上海市委宣传部文化改革发展办公室主任科员、支部委员，东方明珠新媒体股份有限公司战略与投资中心运营管理总监。其他兼任职务包括上海市闵行区文化创意产业协会副秘书长，上海颐歌资产管理有限公司董事，上海瑞力投资基金管理有限公司董事，上海杏花楼（集团）股份有限公司董事，上海民族乐器一厂有限公司董事。</w:t>
      </w:r>
    </w:p>
    <w:p w14:paraId="6AC17278"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丁艳女士，国籍：中国，法学硕士，理学硕士。现任东方证券股份有限公司审计中心总经理、职工监事，上海东方证券资本投资有限公司董事。曾担任中国人民银行上海分行银行管理处科员，中国人民银行上海分行办公室副主任科员，中国人民银行上海总部综合管理部秘书处副主任科员，中国人民银行上海总部金融服务二部反洗钱处主任科员、科长，东方证券股份有限公司稽核总部拟任总经理助理、总经理助理、副总经理、副总经理（主持工作）、总经理。</w:t>
      </w:r>
    </w:p>
    <w:p w14:paraId="1A5156BD"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信春霞女士，国籍：中国，经济学博士。现任东航金控有限责任公司董事会秘书。曾担任上海市国有资产监督管理委员会预算财务处主任科员，上海市金融办金融机构服务处副调研员，上海市金融服务办公室市属金融国资监管服务处副调研员、副处长，上海市国有资产监督管理委员会金融企业评价处副处长。</w:t>
      </w:r>
    </w:p>
    <w:p w14:paraId="3D794EC7"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王静女士，国籍：中国，工商管理硕士。现任汇添富基金管理股份有限公司私人财富管理中心总监。曾任职于中国东方航空集团公司宣传部，东航金控有限责任公司研究发展部。</w:t>
      </w:r>
    </w:p>
    <w:p w14:paraId="71CFF205"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lastRenderedPageBreak/>
        <w:t>陈杰先生，国籍：中国，理学博士。现任汇添富基金管理股份有限公司综合办公室总监，汇添富基金销售（上海）有限公司监事。曾任职于罗兰贝格管理咨询有限公司，泰科电子（上海）有限公司。</w:t>
      </w:r>
    </w:p>
    <w:p w14:paraId="51849FD4"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曹翊君女士，国籍：中国，经济学硕士。现任汇添富基金管理股份有限公司合规稽核部总监，汇添富资本管理有限公司监事。曾任职于上海证券报社新闻中心。</w:t>
      </w:r>
    </w:p>
    <w:p w14:paraId="67F46526"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3、高管人员</w:t>
      </w:r>
    </w:p>
    <w:p w14:paraId="25D95A8B"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张晖先生，2015年6月25日起担任总经理。（简历请参见上述董事会成员介绍）</w:t>
      </w:r>
    </w:p>
    <w:p w14:paraId="1E734404"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雷继明先生，2012年3月7日起担任副总经理。中国籍，1971年出生，工商管理硕士。2011年12月加入汇添富基金管理股份有限公司，现任公司副总经理、市场总监。历任中国民族国际信托投资公司网上交易部副总经理，中国民族证券有限责任公司营业部总经理、经纪业务总监、总裁助理。</w:t>
      </w:r>
    </w:p>
    <w:p w14:paraId="470505CD"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娄焱女士，2013年1月7日起担任副总经理。中国籍，1971年出生，金融经济学硕士。2011年4月加入汇添富基金管理股份有限公司，现任公司副总经理。历任赛格国际信托投资股份有限公司投资银行业务高级经理，华夏证券股份有限公司研究所证券分析师，嘉实基金管理有限公司市场部产品主管，招商基金管理有限公司产品研发部总监、机构理财部副总监、业务发展部副总监，华夏基金管理有限公司研究发展部产品策划总监，富达基金（香港）有限公司北京代表处、上海代表处首席代表，汇添富基金管理股份有限公司总经理助理。</w:t>
      </w:r>
    </w:p>
    <w:p w14:paraId="26BC53BA"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袁建军先生，2015年8月5日起担任副总经理。中国籍，1972年出生，金融学硕士。2005年4月加入汇添富基金管理股份有限公司，现任公司副总经理、投资决策委员会主席。历任华夏证券股份有限公司研究所行业二部副经理，汇添富基金管理股份有限公司基金经理、专户投资总监、总经理助理，并于2014年至2015年期间担任中国证券监督管理委员会第十六届主板发行审核委员会专职委员。</w:t>
      </w:r>
    </w:p>
    <w:p w14:paraId="21E4E0A3" w14:textId="77777777" w:rsidR="00CC12F2" w:rsidRPr="00CC12F2" w:rsidRDefault="00CC12F2" w:rsidP="00CC12F2">
      <w:pPr>
        <w:pStyle w:val="div"/>
        <w:spacing w:line="360" w:lineRule="auto"/>
        <w:ind w:firstLine="480"/>
        <w:jc w:val="left"/>
        <w:rPr>
          <w:rFonts w:ascii="宋体" w:hAnsi="宋体" w:cs="宋体"/>
          <w:kern w:val="0"/>
          <w:sz w:val="24"/>
          <w:szCs w:val="24"/>
        </w:rPr>
      </w:pPr>
      <w:r w:rsidRPr="00CC12F2">
        <w:rPr>
          <w:rFonts w:ascii="宋体" w:hAnsi="宋体" w:cs="宋体" w:hint="eastAsia"/>
          <w:kern w:val="0"/>
          <w:sz w:val="24"/>
          <w:szCs w:val="24"/>
        </w:rPr>
        <w:t>李骁先生，2017年3月3日起担任副总经理。中国籍，1969年出生，武汉大学金融学硕士。2016年9月加入汇添富基金管理股份有限公司，现任公司副总经理、首席信息官，汇添富基金销售（上海）有限公司执行董事。历任厦门建</w:t>
      </w:r>
      <w:r w:rsidRPr="00CC12F2">
        <w:rPr>
          <w:rFonts w:ascii="宋体" w:hAnsi="宋体" w:cs="宋体" w:hint="eastAsia"/>
          <w:kern w:val="0"/>
          <w:sz w:val="24"/>
          <w:szCs w:val="24"/>
        </w:rPr>
        <w:lastRenderedPageBreak/>
        <w:t>行计算机处副处长，厦门建行信用卡部副处长、处长，厦门建行信息技术部处长，建总行北京开发中心负责人，建总行信息技术管理部副总经理，建总行信息技术管理部副总经理兼北京研发中心主任，建总行信息技术管理部资深专员（副总经理级）。</w:t>
      </w:r>
    </w:p>
    <w:p w14:paraId="586E91B6" w14:textId="350A7401" w:rsidR="00496B2C" w:rsidRDefault="00CC12F2">
      <w:pPr>
        <w:pStyle w:val="div"/>
        <w:widowControl/>
        <w:spacing w:line="360" w:lineRule="auto"/>
        <w:ind w:firstLine="480"/>
        <w:jc w:val="left"/>
        <w:rPr>
          <w:rFonts w:eastAsia="Times New Roman"/>
          <w:kern w:val="0"/>
          <w:sz w:val="24"/>
          <w:szCs w:val="24"/>
        </w:rPr>
      </w:pPr>
      <w:r w:rsidRPr="00CC12F2">
        <w:rPr>
          <w:rFonts w:ascii="宋体" w:hAnsi="宋体" w:cs="宋体" w:hint="eastAsia"/>
          <w:kern w:val="0"/>
          <w:sz w:val="24"/>
          <w:szCs w:val="24"/>
        </w:rPr>
        <w:t>李鹏先生，2015年6月25日起担任督察长。中国籍，1978年出生，上海财经大学经济学博士。2015年3月加入汇添富基金管理股份有限公司，现任公司督察长，汇添富资本管理有限公司董事，上海汇添富公益基金会理事长。历任上海证监局主任科员、副处长，上海农商银行同业金融部副总经理，汇添富基金管理股份有限公司稽核监察部总监。</w:t>
      </w:r>
      <w:bookmarkEnd w:id="33"/>
    </w:p>
    <w:p w14:paraId="24D8D60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4、基金经理</w:t>
      </w:r>
    </w:p>
    <w:p w14:paraId="2D977507" w14:textId="68A2BC84"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王星星，</w:t>
      </w:r>
      <w:r w:rsidR="00CC12F2" w:rsidRPr="00CC12F2">
        <w:rPr>
          <w:rFonts w:ascii="宋体" w:hAnsi="宋体" w:cs="宋体" w:hint="eastAsia"/>
          <w:kern w:val="0"/>
          <w:sz w:val="24"/>
          <w:szCs w:val="24"/>
        </w:rPr>
        <w:t>国籍：中国。学历：中国人民大学金融工程硕士。从业资格：证券投资基金从业资格。从业经历：2015年8月至2023年2月任东方证券股份有限公司证券研究所研究员、高级研究员、高级分析师、业务总监（研究）。2023年2月加入汇添富基金管理股份有限公司，担任指数与量化投资部基金经理。2023年6月29日至今任汇添富中证1000指数增强型证券投资基金的基金经理。2023年11月7日至今任汇添富国证2000指数增强型证券投资基金的基金经理。2025年3月27日至今任汇添富中证A500指数增强型证券投资基金的基金经理。2025年9月30日至今任汇添富沪深300指数量化增强型证券投资基金的基金经理。2025年11月10日至今任汇添富量化选股混合型证券投资基金的基金经理。2026年6月23日至今任汇添富上证科创板综合价格指数增强型证券投资基金的基金经理。</w:t>
      </w:r>
    </w:p>
    <w:p w14:paraId="2671670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5、投资决策委员会</w:t>
      </w:r>
    </w:p>
    <w:p w14:paraId="67898CE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主席：袁建军（副总经理）</w:t>
      </w:r>
    </w:p>
    <w:p w14:paraId="22F0015E" w14:textId="63B31A69"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成员：</w:t>
      </w:r>
      <w:r w:rsidR="00CC12F2" w:rsidRPr="00CC12F2">
        <w:rPr>
          <w:rFonts w:ascii="宋体" w:hAnsi="宋体" w:cs="宋体" w:hint="eastAsia"/>
          <w:kern w:val="0"/>
          <w:sz w:val="24"/>
          <w:szCs w:val="24"/>
        </w:rPr>
        <w:t>邵佳民（首席固收投资官）、马翔（总经理助理，权益投资总监）、刘伟林（研究总监）、韩贤旺（总经理助理，兼任首席经济学家、国际业务部总监、新加坡子公司总经理）、宋鹏（养老金投资部总监）、吴江宏（稳健收益部总经理）</w:t>
      </w:r>
    </w:p>
    <w:p w14:paraId="6C713F7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6、上述人员之间不存在近亲属关系。</w:t>
      </w:r>
    </w:p>
    <w:p w14:paraId="4F9DEED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三、基金管理人的职责</w:t>
      </w:r>
    </w:p>
    <w:p w14:paraId="78E1545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根据《基金法》、《运作办法》及其他法律、法规的规定，基金管理人应履行以下职责：</w:t>
      </w:r>
    </w:p>
    <w:p w14:paraId="776DBFC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1、依法募集资金，办理或者委托经中国证监会认定的其他机构代为办理基金份额的发售、申购、赎回和登记事宜；</w:t>
      </w:r>
    </w:p>
    <w:p w14:paraId="486359C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2、办理基金备案手续；</w:t>
      </w:r>
    </w:p>
    <w:p w14:paraId="26775C4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3、对所管理的不同基金财产分别管理、分别记账，进行证券投资；</w:t>
      </w:r>
    </w:p>
    <w:p w14:paraId="4C1C638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4、按照基金合同的约定确定基金收益分配方案，及时足额向基金份额持有人分配收益；</w:t>
      </w:r>
    </w:p>
    <w:p w14:paraId="78238B1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5、进行基金会计核算并编制基金财务会计报告；</w:t>
      </w:r>
    </w:p>
    <w:p w14:paraId="069C932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6、编制基金季度报告、中期报告和年度报告；</w:t>
      </w:r>
    </w:p>
    <w:p w14:paraId="3FC715A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7、计算并公告基金净值信息，确定基金份额申购、赎回价格；</w:t>
      </w:r>
    </w:p>
    <w:p w14:paraId="5396FF5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8、办理与基金财产管理业务活动有关的信息披露事项；</w:t>
      </w:r>
    </w:p>
    <w:p w14:paraId="62CD70C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9、按照规定召集基金份额持有人大会；</w:t>
      </w:r>
    </w:p>
    <w:p w14:paraId="7E6BB45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10、保存基金财产管理业务活动的记录、账册、报表和其他相关资料；</w:t>
      </w:r>
    </w:p>
    <w:p w14:paraId="04F3579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11、以基金管理人名义，代表基金份额持有人利益行使诉讼权利或者实施其他法律行为；</w:t>
      </w:r>
    </w:p>
    <w:p w14:paraId="0673DC7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12、法律、行政法规、中国证监会和基金合同规定的其他职责。</w:t>
      </w:r>
    </w:p>
    <w:p w14:paraId="25DD022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四、基金管理人和基金经理的承诺</w:t>
      </w:r>
    </w:p>
    <w:p w14:paraId="2AA7FB2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本基金管理人承诺严格遵守现行有效的相关法律、行政法规、规章、基金合同和中国证监会的有关规定，建立健全内部控制制度，采取有效措施，防止违反现行有效的有关法律、行政法规、规章、基金合同和中国证监会有关规定的行为发生。</w:t>
      </w:r>
    </w:p>
    <w:p w14:paraId="095B5D2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2、本基金管理人承诺严格遵守《中华人民共和国证券法》、《基金法》及有关法律法规，建立健全的内部控制制度，采取有效措施，防止下列行为发生：</w:t>
      </w:r>
    </w:p>
    <w:p w14:paraId="1111E51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（1）将其固有财产或者他人财产混同于基金财产从事证券投资；</w:t>
      </w:r>
    </w:p>
    <w:p w14:paraId="768F164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（2）不公平地对待其管理的不同基金财产；</w:t>
      </w:r>
    </w:p>
    <w:p w14:paraId="6A56509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（3）利用基金财产或职务之便为基金份额持有人以外的第三人牟取利益；</w:t>
      </w:r>
    </w:p>
    <w:p w14:paraId="0C5FD1D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（4）向基金份额持有人违规承诺收益或者承担损失；</w:t>
      </w:r>
    </w:p>
    <w:p w14:paraId="5301ABB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（5）侵占、挪用基金财产；</w:t>
      </w:r>
    </w:p>
    <w:p w14:paraId="0224CB4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（6）泄露因职务便利获取的未公开信息、利用该信息从事或者明示、暗示他人从事相关的交易活动；</w:t>
      </w:r>
    </w:p>
    <w:p w14:paraId="5896D65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（7）玩忽职守，不按照规定履行职责；</w:t>
      </w:r>
    </w:p>
    <w:p w14:paraId="2DAA350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（8）法律、行政法规和中国证监会规定禁止的其他行为。</w:t>
      </w:r>
    </w:p>
    <w:p w14:paraId="75C23C5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3、本基金管理人承诺加强人员管理，强化职业操守，督促和约束员工遵守国家有关法律、法规及行业规范，诚实信用、勤勉尽责，不从事以下活动：</w:t>
      </w:r>
    </w:p>
    <w:p w14:paraId="3790CE4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（1）越权或违规经营；</w:t>
      </w:r>
    </w:p>
    <w:p w14:paraId="49469ED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（2）违反基金合同或托管协议；</w:t>
      </w:r>
    </w:p>
    <w:p w14:paraId="35493DA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（3）故意损害基金份额持有人或其他基金相关机构的合法利益；</w:t>
      </w:r>
    </w:p>
    <w:p w14:paraId="55D01B4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（4）在向中国证监会报送的资料中弄虚作假；</w:t>
      </w:r>
    </w:p>
    <w:p w14:paraId="2BB3F95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（5）拒绝、干扰、阻挠或严重影响中国证监会依法监管；</w:t>
      </w:r>
    </w:p>
    <w:p w14:paraId="32716A6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（6）玩忽职守、滥用职权，不按照规定履行职责；</w:t>
      </w:r>
    </w:p>
    <w:p w14:paraId="440CC00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7）违反现行有效的有关法律、法规、规章、基金合同和中国证监会的有关规定，泄露在任职期间知悉的有关证券、基金的商业秘密，尚未依法公开的基金投资内容、基金投资计划等信息，或利用该信息从事或者明示、暗示他人从事相关的交易活动；</w:t>
      </w:r>
    </w:p>
    <w:p w14:paraId="38306E2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（8）违反证券交易场所业务规则，利用对敲、倒仓等手段操纵市场价格，扰乱市场秩序；</w:t>
      </w:r>
    </w:p>
    <w:p w14:paraId="34FE367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（9）贬损同行，以抬高自己；</w:t>
      </w:r>
    </w:p>
    <w:p w14:paraId="177D4A5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（10）以不正当手段谋求业务发展；</w:t>
      </w:r>
    </w:p>
    <w:p w14:paraId="3C99481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（11）有悖社会公德，损害证券投资基金人员形象；</w:t>
      </w:r>
    </w:p>
    <w:p w14:paraId="5F6F707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（12）在公开信息披露和广告中故意含有虚假、误导、欺诈成分；</w:t>
      </w:r>
    </w:p>
    <w:p w14:paraId="5139BA4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（13）法律、行政法规以及中国证监会规定禁止的行为。</w:t>
      </w:r>
    </w:p>
    <w:p w14:paraId="2EAD039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4、基金经理承诺</w:t>
      </w:r>
    </w:p>
    <w:p w14:paraId="3E6FE67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（1）依照有关法律、行政法规和基金合同的规定，本着谨慎勤勉的原则为基金份额持有人谋取最大利益；</w:t>
      </w:r>
    </w:p>
    <w:p w14:paraId="65E8391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（2）不利用职务之便为自己及其代理人、受雇人或任何第三人谋取利益；</w:t>
      </w:r>
    </w:p>
    <w:p w14:paraId="18E22DF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（3）不违反现行有效的有关法律法规、基金合同和中国证监会的有关规定，泄露在任职期间知悉的有关证券、基金的商业秘密、尚未依法公开的基金投资内</w:t>
      </w:r>
      <w:r>
        <w:rPr>
          <w:rFonts w:ascii="宋体" w:hAnsi="宋体" w:cs="宋体"/>
          <w:kern w:val="0"/>
          <w:sz w:val="24"/>
          <w:szCs w:val="24"/>
        </w:rPr>
        <w:lastRenderedPageBreak/>
        <w:t>容、基金投资计划等信息，或利用该信息从事或者明示、暗示他人从事相关的交易活动；</w:t>
      </w:r>
    </w:p>
    <w:p w14:paraId="380A796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（4）不从事损害基金财产和基金份额持有人利益的证券交易及其他活动。</w:t>
      </w:r>
    </w:p>
    <w:p w14:paraId="04E05D5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五、基金管理人的风险管理体系</w:t>
      </w:r>
    </w:p>
    <w:p w14:paraId="2E6A25F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管理人将经营管理中的主要风险划分为投资风险、合规风险、营运风险和道德风险四大类，其中，投资风险主要包括市场风险、信用风险、流动性风险等。针对上述各类风险，基金管理人建立了一套完整的风险管理体系。</w:t>
      </w:r>
    </w:p>
    <w:p w14:paraId="393FD15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1、风险管理原则</w:t>
      </w:r>
    </w:p>
    <w:p w14:paraId="604E070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基金管理人风险管理体系的构建遵循以下六项基本原则：</w:t>
      </w:r>
    </w:p>
    <w:p w14:paraId="2C70D2B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（1）营造良好的风险管理文化和内部控制环境，使风险意识贯穿到每位员工、各个岗位和经营管理的各个环节。</w:t>
      </w:r>
    </w:p>
    <w:p w14:paraId="7F50864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（2）建立完善的风险管理组织体系，切实保证风险管理部门的独立性和权威性，使其有效地发挥职能作用。</w:t>
      </w:r>
    </w:p>
    <w:p w14:paraId="4F3C3CC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（3）确保风险管理制度的严肃性，保证风险管理制度在投资管理和经营活动过程中得到切实有效的执行。</w:t>
      </w:r>
    </w:p>
    <w:p w14:paraId="54F4F9E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（4）运用合理有效的风险指标和模型，实现风险事前配置和预警、事中实时监控、事后评估和反馈的全程嵌入式投资风险管理模式。</w:t>
      </w:r>
    </w:p>
    <w:p w14:paraId="5524220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（5）建立和推进员工职业守则教育和专业培训体系，确保员工具备良好的职业操守和充分的职责胜任能力。</w:t>
      </w:r>
    </w:p>
    <w:p w14:paraId="663A643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（6）建立风险事件学习机制，认真剖析各类风险事件，汲取经验和教训，不断完善风险管理体系。</w:t>
      </w:r>
    </w:p>
    <w:p w14:paraId="6922C37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2、风险管理组织架构</w:t>
      </w:r>
    </w:p>
    <w:p w14:paraId="75B12B8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本基金管理人建立了董事会、经营管理层、风险管理部门、各职能部门四级风险管理组织架构，并明确了相应的风险管理职能。</w:t>
      </w:r>
    </w:p>
    <w:p w14:paraId="28E0CE70" w14:textId="77777777" w:rsidR="00496B2C" w:rsidRDefault="005605B9">
      <w:pPr>
        <w:pStyle w:val="div"/>
        <w:spacing w:line="360" w:lineRule="auto"/>
        <w:ind w:firstLine="420"/>
        <w:jc w:val="center"/>
        <w:rPr>
          <w:rFonts w:eastAsia="Times New Roman"/>
          <w:kern w:val="0"/>
          <w:sz w:val="24"/>
          <w:szCs w:val="24"/>
        </w:rPr>
      </w:pPr>
      <w:r>
        <w:rPr>
          <w:rFonts w:ascii="宋体" w:hAnsi="宋体" w:cs="宋体"/>
          <w:b/>
          <w:bCs/>
          <w:kern w:val="0"/>
          <w:sz w:val="24"/>
          <w:szCs w:val="24"/>
        </w:rPr>
        <w:t>汇添富风险管理组织结构图</w:t>
      </w:r>
    </w:p>
    <w:p w14:paraId="535C6F3C" w14:textId="77777777" w:rsidR="00496B2C" w:rsidRDefault="005605B9">
      <w:pPr>
        <w:widowControl/>
        <w:spacing w:after="216"/>
        <w:jc w:val="center"/>
        <w:rPr>
          <w:rFonts w:eastAsia="Times New Roman"/>
          <w:kern w:val="0"/>
          <w:sz w:val="24"/>
          <w:szCs w:val="24"/>
        </w:rPr>
      </w:pPr>
      <w:r>
        <w:rPr>
          <w:rFonts w:eastAsia="Times New Roman"/>
          <w:noProof/>
          <w:kern w:val="0"/>
          <w:sz w:val="24"/>
          <w:szCs w:val="24"/>
        </w:rPr>
        <w:lastRenderedPageBreak/>
        <w:drawing>
          <wp:inline distT="0" distB="0" distL="114300" distR="114300" wp14:anchorId="262E547A" wp14:editId="5A6B95C0">
            <wp:extent cx="3795395" cy="2472690"/>
            <wp:effectExtent l="0" t="0" r="0" b="3810"/>
            <wp:docPr id="100002" name="图片 1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pic:cNvPicPr>
                      <a:picLocks noChangeAspect="1"/>
                    </pic:cNvPicPr>
                  </pic:nvPicPr>
                  <pic:blipFill>
                    <a:blip r:embed="rId10"/>
                    <a:stretch>
                      <a:fillRect/>
                    </a:stretch>
                  </pic:blipFill>
                  <pic:spPr>
                    <a:xfrm>
                      <a:off x="0" y="0"/>
                      <a:ext cx="3795556" cy="2473262"/>
                    </a:xfrm>
                    <a:prstGeom prst="rect">
                      <a:avLst/>
                    </a:prstGeom>
                  </pic:spPr>
                </pic:pic>
              </a:graphicData>
            </a:graphic>
          </wp:inline>
        </w:drawing>
      </w:r>
    </w:p>
    <w:p w14:paraId="1C2434C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董事会对公司风险管理负有最终责任，董事会下设审计与风险管理委员会与督察长。审计与风险管理委员会主要负责审核和指导公司的风险管理政策，对公司的整体风险水平、风险控制措施的实施情况进行评价。督察长负责组织指导公司合规稽核和风险管理工作，监督检查受托资产和公司运作的合法合规情况及公司内部风险控制情况。</w:t>
      </w:r>
    </w:p>
    <w:p w14:paraId="34088F6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（2）经营管理层负责风险管理政策、风险控制措施的制定和落实，经营管理层下设风险控制委员会。风险控制委员会主要负责审议风险管理制度和流程，处置重大风险事件，促进风险管理文化的形成。</w:t>
      </w:r>
    </w:p>
    <w:p w14:paraId="4773351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（3）合规稽核部和风险管理部是合规管理和风险管理的职能部门，负责合规风险、投资组合市场风险、信用风险、流动性风险、营运风险、道德风险等的管理。</w:t>
      </w:r>
    </w:p>
    <w:p w14:paraId="29C8B42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（4）各职能部门负责从经营管理的各业务环节上贯彻落实风险管理措施，执行风险识别、风险测量、风险控制、风险评价和风险报告等风险管理程序，并持续完善相应的内部控制制度和流程。</w:t>
      </w:r>
    </w:p>
    <w:p w14:paraId="13B4459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3、风险管理内容</w:t>
      </w:r>
    </w:p>
    <w:p w14:paraId="05DE6A4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本基金管理人的风险管理包括风险识别、风险测量、风险控制、风险评价、风险报告等内容。</w:t>
      </w:r>
    </w:p>
    <w:p w14:paraId="409FF70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（1）风险识别是指对现实以及潜在的各种风险加以判断、归类和鉴定风险性质的过程。</w:t>
      </w:r>
    </w:p>
    <w:p w14:paraId="53D42A6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（2）风险测量是指估计和预测风险发生的概率和可能造成的损失，并根据</w:t>
      </w:r>
      <w:r>
        <w:rPr>
          <w:rFonts w:ascii="宋体" w:hAnsi="宋体" w:cs="宋体"/>
          <w:kern w:val="0"/>
          <w:sz w:val="24"/>
          <w:szCs w:val="24"/>
        </w:rPr>
        <w:lastRenderedPageBreak/>
        <w:t>这两个因素的结合来衡量风险大小的程度。</w:t>
      </w:r>
    </w:p>
    <w:p w14:paraId="0D6B4BA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（3）风险控制是指采取相应的措施，监控和防止各种风险的发生，实现以合理的成本在最大限度内防范风险和减轻损失。</w:t>
      </w:r>
    </w:p>
    <w:p w14:paraId="6841C27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（4）风险评价是指分析风险识别、风险测量和风险控制的执行情况和运行效果的过程。</w:t>
      </w:r>
    </w:p>
    <w:p w14:paraId="3DCD708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（5）风险报告是指将风险事件及处置、风险评价情况以一定程序进行报告的过程。</w:t>
      </w:r>
    </w:p>
    <w:p w14:paraId="0D6287B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六、基金管理人的内部控制制度</w:t>
      </w:r>
    </w:p>
    <w:p w14:paraId="17FE4D4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内部控制是指基金管理人为防范和化解风险，保证经营运作符合基金管理人发展规划，在充分考虑内外部环境的基础上，通过建立组织机制、运用管理方法、实施控制程序与控制措施而形成的系统。</w:t>
      </w:r>
    </w:p>
    <w:p w14:paraId="11E8758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基金管理人结合自身具体情况，建立了科学合理、控制严密、运行高效的内部控制体系，并制定了科学完善的内部控制制度。</w:t>
      </w:r>
    </w:p>
    <w:p w14:paraId="1DF1FE8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1、内部控制目标</w:t>
      </w:r>
    </w:p>
    <w:p w14:paraId="67BF7C1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（1）保证基金管理人经营运作遵守国家法律法规和行业监管规则，自觉形成守法经营、规范运作的经营思想和经营理念。</w:t>
      </w:r>
    </w:p>
    <w:p w14:paraId="3808EE9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（2）防范和化解经营风险，提高经营管理效益，确保经营业务的稳健运行和受托资产的安全完整，实现持续、稳定、健康发展。</w:t>
      </w:r>
    </w:p>
    <w:p w14:paraId="49B5644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（3）确保基金管理人和基金财务及其他信息的真实、准确、及时、完整。</w:t>
      </w:r>
    </w:p>
    <w:p w14:paraId="4ED4E0B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2、内部控制原则</w:t>
      </w:r>
    </w:p>
    <w:p w14:paraId="57BCCB8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（1）健全性原则。内部控制机制覆盖基金管理人的各项业务、各个部门和各级人员，并渗透到决策、执行、监督、反馈等各个环节。</w:t>
      </w:r>
    </w:p>
    <w:p w14:paraId="00D8E31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（2）有效性原则。通过科学的内部控制手段和方法，建立合理的内部控制程序，维护内部控制的有效执行。</w:t>
      </w:r>
    </w:p>
    <w:p w14:paraId="1B8CDC8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（3）独立性原则。基金管理人各机构、部门和岗位职责保持相对独立，基金资产、固有财产、其他资产的运作相互分离。</w:t>
      </w:r>
    </w:p>
    <w:p w14:paraId="05F4BB2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（4）相互制约原则。基金管理人内部部门和岗位的设置权责分明、相互制衡。</w:t>
      </w:r>
    </w:p>
    <w:p w14:paraId="18BB93A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（5）成本效益原则。基金管理人运用科学化的经营管理方法降低运作成本，</w:t>
      </w:r>
      <w:r>
        <w:rPr>
          <w:rFonts w:ascii="宋体" w:hAnsi="宋体" w:cs="宋体"/>
          <w:kern w:val="0"/>
          <w:sz w:val="24"/>
          <w:szCs w:val="24"/>
        </w:rPr>
        <w:lastRenderedPageBreak/>
        <w:t>提高经济效益，以合理的控制成本达到最佳的内部控制效果。</w:t>
      </w:r>
    </w:p>
    <w:p w14:paraId="6F1D3C4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3、内部控制内容</w:t>
      </w:r>
    </w:p>
    <w:p w14:paraId="4F9DA17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基金管理人的内部控制要求建立：不相容职务相分离的机制、完善的岗位责任制、规范的岗位管理措施、完整的信息资料保全系统、严格的授权控制、有效的风险防范系统和快速反应机制等。</w:t>
      </w:r>
    </w:p>
    <w:p w14:paraId="6D47CFE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遵守国家有关法律法规，遵循合法合规性原则、全面性原则、审慎性原则和适时性原则，制订了系统完善的内部控制制度。内部控制的内容包括投资管理业务控制、信息披露控制、信息技术系统控制、会计系统控制以及内部稽核控制等。</w:t>
      </w:r>
    </w:p>
    <w:p w14:paraId="76FFDF4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（1）投资管理业务控制</w:t>
      </w:r>
    </w:p>
    <w:p w14:paraId="5125AB7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通过规范投资业务流程，分层次强化投资风险控制。公司根据投资管理业务不同阶段的性质和特点，制定了完善的管理规章、操作流程和岗位手册，明确揭示不同业务可能存在的风险，分别采取不同措施进行控制。</w:t>
      </w:r>
    </w:p>
    <w:p w14:paraId="2D30CEA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针对投资研究业务，基金管理人制定了《汇添富基金管理股份有限公司投资研究部制度》，对研究工作的业务流程、研究报告质量评价，研究与投资的交流渠道等都做了明确的规定；对于投资决策业务，基金管理人制定了《汇添富基金管理股份有限公司投资管理制度》，保证投资决策严格遵守法律法规的有关规定，符合基金合同所规定的要求，同时设立了汇添富投资风险评估与管理制度以及投资管理业绩评价体系；对于基金交易业务，基金管理人将实行集中交易与防火墙制度，建立交易监测系统、预警系统和交易反馈系统，完善相关的安全设施，交易流程将严格按照“审核—执行—反馈—复核—存档”的程序进行，防止不正当关联交易损害基金份额持有人利益。</w:t>
      </w:r>
    </w:p>
    <w:p w14:paraId="44739F6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（2）信息披露控制</w:t>
      </w:r>
    </w:p>
    <w:p w14:paraId="22B6ECA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通过完善信息披露制度，确保基金份额持有人及时完整地了解基金信息。基金管理人按照法律、法规和中国证监会有关规定，建立了《汇添富基金管理股份有限公司公开募集证券投资基金信息披露管理制度》，指定了信息披露责任人负责信息披露工作，进行信息的组织、审核和发布，并将定期对信息披露进行检查和评价，保证公开披露的信息真实、准确、完整。</w:t>
      </w:r>
    </w:p>
    <w:p w14:paraId="5EA1083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（3）信息技术系统控制</w:t>
      </w:r>
    </w:p>
    <w:p w14:paraId="62C558D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管理人建立了先进的信息技术系统和完善的信息技术管理制度。基金管理人的信息技术系统由先进的计算机系统构成，通过了国家、金融行业软件工程标准的认证，并有完整的技术资料。基金管理人制定了严格的信息技术岗位责任制度、门禁制度、内外网分离制度等管理措施，对电子信息数据进行即时保存和备份，重要数据实行异地备份并且长期保存，确保了系统可靠、稳定、安全地运行。在人员控制方面，对信息技术人员进行有关信息系统安全的统一培训和考核；信息技术人员之间定期轮换岗位。</w:t>
      </w:r>
    </w:p>
    <w:p w14:paraId="47EDD35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（4）会计系统控制</w:t>
      </w:r>
    </w:p>
    <w:p w14:paraId="09D0D8D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通过建立严格的会计系统控制措施，确保会计核算正常运转。基金管理人根据《中华人民共和国会计法》、《证券投资基金会计核算业务指引》、《企业财务通则》等国家有关法律、法规制订了基金会计制度、公司财务制度、会计工作操作流程和会计岗位工作手册。通过事前防范、事中检查、事后监督的方式发现、堵截、杜绝基金会计核算中存在的各种风险。具体措施包括：采用了目前最先进的基金核算软件；基金会计严格执行复核制度；基金会计核算采用基金管理人与基金托管人双人同步独立核算、相互核对的方式；每日制作基金会计核算估值系统电子数据的备份，同时打印保存书面的记账凭证、各类会计报表、统计报表，并由专人保存原始记账凭证等。</w:t>
      </w:r>
    </w:p>
    <w:p w14:paraId="2C1C7B9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（5）内部稽核控制</w:t>
      </w:r>
    </w:p>
    <w:p w14:paraId="5BBE198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通过制定稽核监察制度，开展独立监督，确保内部控制的有效性。基金管理人设立督察长，督察长可以列席基金管理人召开的任何会议，调阅相关档案，就内部控制制度的执行情况独立地履行检查、评价、报告、建议职能。督察长定期和不定期向董事会报告公司内部控制执行情况。公司为合规稽核部配备充足合格的稽核监察人员，监督各业务部门和人员遵守法律、法规和规章的有关情况；检查各业务部门和人员执行内部控制制度、各项管理制度和业务规章的情况。</w:t>
      </w:r>
    </w:p>
    <w:p w14:paraId="26E57F4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4、基金管理人关于内部控制制度声明书</w:t>
      </w:r>
    </w:p>
    <w:p w14:paraId="4D505B3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（1）基金管理人承诺以上关于内部控制制度的披露真实、准确；</w:t>
      </w:r>
    </w:p>
    <w:p w14:paraId="1EC9704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（2）基金管理人承诺根据市场变化和基金管理人业务发展不断完善内部风险控制制度。</w:t>
      </w:r>
      <w:r>
        <w:rPr>
          <w:rFonts w:ascii="宋体" w:hAnsi="宋体" w:cs="宋体"/>
          <w:kern w:val="0"/>
          <w:sz w:val="24"/>
          <w:szCs w:val="24"/>
        </w:rPr>
        <w:br w:type="page"/>
      </w:r>
    </w:p>
    <w:p w14:paraId="30E53F51" w14:textId="77777777" w:rsidR="00496B2C" w:rsidRDefault="005605B9">
      <w:pPr>
        <w:pStyle w:val="1"/>
        <w:spacing w:before="0" w:after="0"/>
        <w:jc w:val="center"/>
        <w:rPr>
          <w:rFonts w:ascii="Times New Roman"/>
          <w:color w:val="auto"/>
          <w:sz w:val="30"/>
        </w:rPr>
      </w:pPr>
      <w:bookmarkStart w:id="34" w:name="_Toc256000003"/>
      <w:r>
        <w:rPr>
          <w:rFonts w:ascii="Times New Roman"/>
          <w:color w:val="auto"/>
          <w:sz w:val="30"/>
        </w:rPr>
        <w:lastRenderedPageBreak/>
        <w:t>第四部分</w:t>
      </w:r>
      <w:r>
        <w:rPr>
          <w:rFonts w:ascii="Times New Roman"/>
          <w:color w:val="auto"/>
          <w:sz w:val="30"/>
        </w:rPr>
        <w:t xml:space="preserve">  </w:t>
      </w:r>
      <w:r>
        <w:rPr>
          <w:rFonts w:ascii="Times New Roman"/>
          <w:color w:val="auto"/>
          <w:sz w:val="30"/>
        </w:rPr>
        <w:t>基金托管人</w:t>
      </w:r>
      <w:bookmarkEnd w:id="34"/>
    </w:p>
    <w:p w14:paraId="65BAD300" w14:textId="77777777" w:rsidR="00496B2C" w:rsidRDefault="00496B2C"/>
    <w:p w14:paraId="4B3D9944"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一、基金托管人基本情况</w:t>
      </w:r>
    </w:p>
    <w:p w14:paraId="152D9F9F"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1、基本情况</w:t>
      </w:r>
    </w:p>
    <w:p w14:paraId="1251490B"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名称：兴业银行股份有限公司</w:t>
      </w:r>
    </w:p>
    <w:p w14:paraId="536BD9E6"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注册地址：福建省福州市台江区江滨中大道398号兴业银行大厦</w:t>
      </w:r>
    </w:p>
    <w:p w14:paraId="6B934184"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办公地址：上海市银城路167号</w:t>
      </w:r>
    </w:p>
    <w:p w14:paraId="0B45538D"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邮政编码：200120</w:t>
      </w:r>
    </w:p>
    <w:p w14:paraId="7DA2FF97"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 xml:space="preserve">法定代表人：吕家进 </w:t>
      </w:r>
    </w:p>
    <w:p w14:paraId="71344CF9" w14:textId="77777777" w:rsidR="00A15E66" w:rsidRPr="008F13F4" w:rsidRDefault="00A15E66" w:rsidP="008F13F4">
      <w:pPr>
        <w:pStyle w:val="div"/>
        <w:spacing w:line="360" w:lineRule="auto"/>
        <w:ind w:firstLine="420"/>
        <w:rPr>
          <w:rFonts w:ascii="宋体" w:hAnsi="宋体" w:cs="宋体"/>
          <w:kern w:val="0"/>
          <w:sz w:val="24"/>
          <w:szCs w:val="24"/>
        </w:rPr>
      </w:pPr>
      <w:bookmarkStart w:id="35" w:name="_GoBack"/>
      <w:bookmarkEnd w:id="35"/>
      <w:r w:rsidRPr="008F13F4">
        <w:rPr>
          <w:rFonts w:ascii="宋体" w:hAnsi="宋体" w:cs="宋体" w:hint="eastAsia"/>
          <w:kern w:val="0"/>
          <w:sz w:val="24"/>
          <w:szCs w:val="24"/>
        </w:rPr>
        <w:t>成立日期：1988年8月22日</w:t>
      </w:r>
    </w:p>
    <w:p w14:paraId="7E79D5E1"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批准设立机关和批准设立文号：中国人民银行总行，银复[1988]347号</w:t>
      </w:r>
    </w:p>
    <w:p w14:paraId="230F0875"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基金托管业务批准文号：中国证监会证监基金字[2005]74号</w:t>
      </w:r>
    </w:p>
    <w:p w14:paraId="12C443C1"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组织形式：股份有限公司</w:t>
      </w:r>
    </w:p>
    <w:p w14:paraId="0E67EF06"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注册资本：207.74亿元人民币</w:t>
      </w:r>
    </w:p>
    <w:p w14:paraId="44497D97"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存续期间：持续经营</w:t>
      </w:r>
    </w:p>
    <w:p w14:paraId="5263DD7A"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2、发展概况及财务状况</w:t>
      </w:r>
    </w:p>
    <w:p w14:paraId="5C346012"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兴业银行成立于1988年8月，是经国务院、中国人民银行批准成立的首批股份制商业银行之一，总行设在福建省福州市，2007年2月5日正式在上海证券交易所挂牌上市（股票代码：601166），注册资本207.74亿元。截至2025年12月31日，兴业银行资产总额达到11.09万亿元，较上年末增长5.58%。开业三十多年来，兴业银行始终坚持“真诚服务，相伴成长”的经营理念，致力于为客户提供全面、优质、高效的金融服务。</w:t>
      </w:r>
    </w:p>
    <w:p w14:paraId="605668B4"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二、托管业务部部门设置及员工情况</w:t>
      </w:r>
    </w:p>
    <w:p w14:paraId="6DFBBD3F"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兴业银行股份有限公司总行设资产托管部，下设综合管理处、证券基金处、信托保险处、理财私募处、需求支持处、稽核监察处、投资监督处、运行管理处，共有员工100余人，业务岗位人员均具有基金从业资格。</w:t>
      </w:r>
    </w:p>
    <w:p w14:paraId="6D97FD64"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三、基金托管业务经营情况</w:t>
      </w:r>
    </w:p>
    <w:p w14:paraId="7AE0C78E"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兴业银行股份有限公司于2005年4月26日取得基金托管资格。基金托管业务批准文号：证监基金字[2005]74号。截至2026年3月31日，兴业银行共托</w:t>
      </w:r>
      <w:r w:rsidRPr="008F13F4">
        <w:rPr>
          <w:rFonts w:ascii="宋体" w:hAnsi="宋体" w:cs="宋体" w:hint="eastAsia"/>
          <w:kern w:val="0"/>
          <w:sz w:val="24"/>
          <w:szCs w:val="24"/>
        </w:rPr>
        <w:lastRenderedPageBreak/>
        <w:t>管证券投资基金883只，托管基金的基金资产净值合计29120.24亿元，基金份额合计25214.35亿份。</w:t>
      </w:r>
    </w:p>
    <w:p w14:paraId="1C5497E3"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四、基金托管人的内部控制制度</w:t>
      </w:r>
    </w:p>
    <w:p w14:paraId="74539855"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（一）内部控制目标</w:t>
      </w:r>
    </w:p>
    <w:p w14:paraId="4607EFE9"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严格遵守国家有关托管业务的法律法规、行业监管规章和行内有关管理规定，守法经营、规范运作、严格监察，确保业务的稳健运行，保证基金资产的安全完整，确保有关信息的真实、准确、完整、及时，保护基金份额持有人的合法权益。</w:t>
      </w:r>
    </w:p>
    <w:p w14:paraId="398BA160"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（二）内部控制组织结构</w:t>
      </w:r>
    </w:p>
    <w:p w14:paraId="3CBAB0A6"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兴业银行基金托管业务内部控制组织架构由总行内部控制委员会、总行风险管理部门、总行审计部、总行资产托管部、总行运营管理部及分行托管运营机构共同组成。各级内部控制组织依照本行相关制度对本行托管业务风险管理和内部控制实施管理。</w:t>
      </w:r>
    </w:p>
    <w:p w14:paraId="6117A2CD"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（三）内部控制原则</w:t>
      </w:r>
    </w:p>
    <w:p w14:paraId="62CD6BC9"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1、全面性原则：内部控制贯穿资产托管业务的全过程，覆盖各项业务和产品，以及从事资产托管业务的各机构和从业人员；</w:t>
      </w:r>
    </w:p>
    <w:p w14:paraId="7DACEBA3"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2、重要性原则：内部控制应当在全面控制的基础上，关注重要业务事项和高风险领域；</w:t>
      </w:r>
    </w:p>
    <w:p w14:paraId="6DD8C273"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3、独立性原则：开展托管业务的部门和岗位的设置应权责分明、相对独立、相互制衡；</w:t>
      </w:r>
    </w:p>
    <w:p w14:paraId="2FA8A7E5"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4、审慎性原则：内控与风险管理必须以防范风险，保证托管资产的安全与完整为出发点，“内控优先”，“制度优先”，审慎发展资产托管业务；</w:t>
      </w:r>
    </w:p>
    <w:p w14:paraId="743DC83E"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5、制衡性原则：内部控制应当在治理结构、机构设置及权责分配、业务流程等方面形成相互制约、相互监督，同时兼顾运营效率；</w:t>
      </w:r>
    </w:p>
    <w:p w14:paraId="0137DA61"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6、适应性原则：内部控制体系应同所处的环境相适应，以合理的成本实现内控目标，内部制度的制订应当具有前瞻性，并应当根据国家政策、法律及经营管理的需要，适时进行相应修改和完善；内部控制存在的问题应当能够得到及时反馈和纠正；</w:t>
      </w:r>
    </w:p>
    <w:p w14:paraId="56C1656C"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7、成本效益原则：内部控制应当权衡实施成本与预期效益，以适当的成本实现有效控制。</w:t>
      </w:r>
    </w:p>
    <w:p w14:paraId="545CC430"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lastRenderedPageBreak/>
        <w:t>（四）内部控制制度及措施</w:t>
      </w:r>
    </w:p>
    <w:p w14:paraId="05DF5695"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1、制度建设：建立了明确的岗位职责、科学的业务流程、详细的操作手册、严格的人员行为规范等一系列规章制度。</w:t>
      </w:r>
    </w:p>
    <w:p w14:paraId="6409503E"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2、建立健全的组织管理结构：前后台分离，不同部门、岗位相互牵制。</w:t>
      </w:r>
    </w:p>
    <w:p w14:paraId="54584A9E"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3、风险识别与评估：稽核监察处指导业务处室进行风险识别、评估，制定并实施风险控制措施。</w:t>
      </w:r>
    </w:p>
    <w:p w14:paraId="5A335F0C"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4、相对独立的业务操作空间：业务操作区相对独立，实施门禁管理和音像监控。</w:t>
      </w:r>
    </w:p>
    <w:p w14:paraId="7FD22C6B"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5、人员管理：进行定期的业务与职业道德培训，使员工树立风险防范与控制理念，并签订承诺书。</w:t>
      </w:r>
    </w:p>
    <w:p w14:paraId="3CFEF5A4"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6、应急预案：制定完备的《应急预案》，并组织员工定期演练；建立异地灾备中心，保证业务不中断。</w:t>
      </w:r>
    </w:p>
    <w:p w14:paraId="1C22564B"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五、基金托管人对基金管理人运作基金进行监督的方法和程序</w:t>
      </w:r>
    </w:p>
    <w:p w14:paraId="6C553A2F"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基金托管人负有对基金管理人的投资运作行使监督权的职责。根据《基金法》、《运作办法》、基金合同及其他有关规定，托管人对基金的投资对象和范围、投资组合比例、投资限制、费用的计提和支付方式、基金会计核算、基金资产估值和基金净值的计算、收益分配、申购赎回以及其他有关基金投资和运作的事项，对基金管理人进行业务监督、核查。</w:t>
      </w:r>
    </w:p>
    <w:p w14:paraId="1CA60D18"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基金托管人发现基金管理人有违反《基金法》、《运作办法》、基金合同和有关法律法规规定的行为，应及时以书面形式通知基金管理人限期纠正，基金管理人收到通知后应及时核对并以书面形式对基金托管人发出回函。在限期内，基金托管人有权随时对通知事项进行复查，督促基金管理人改正。基金管理人对基金托管人通知的违规事项未能在限期内纠正的，基金托管人应报告中国证监会。基金托管人发现基金管理人有重大违规行为，立即报告中国证监会，同时，通知基金管理人限期纠正，并将纠正结果报告中国证监会。</w:t>
      </w:r>
    </w:p>
    <w:p w14:paraId="29511A7A" w14:textId="77777777" w:rsidR="00A15E66"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基金托管人发现基金管理人的指令违反法律、行政法规和其他有关规定，或者违反基金合同约定的，应当拒绝执行，立即通知基金管理人，并及时向中国证监会报告。</w:t>
      </w:r>
    </w:p>
    <w:p w14:paraId="6F9AEFF8" w14:textId="5EB6D9A7" w:rsidR="00496B2C" w:rsidRPr="008F13F4" w:rsidRDefault="00A15E66" w:rsidP="008F13F4">
      <w:pPr>
        <w:pStyle w:val="div"/>
        <w:spacing w:line="360" w:lineRule="auto"/>
        <w:ind w:firstLine="420"/>
        <w:rPr>
          <w:rFonts w:ascii="宋体" w:hAnsi="宋体" w:cs="宋体"/>
          <w:kern w:val="0"/>
          <w:sz w:val="24"/>
          <w:szCs w:val="24"/>
        </w:rPr>
      </w:pPr>
      <w:r w:rsidRPr="008F13F4">
        <w:rPr>
          <w:rFonts w:ascii="宋体" w:hAnsi="宋体" w:cs="宋体" w:hint="eastAsia"/>
          <w:kern w:val="0"/>
          <w:sz w:val="24"/>
          <w:szCs w:val="24"/>
        </w:rPr>
        <w:t>基金托管人发现基金管理人依据交易程序已经生效的投资指令违反法律、行</w:t>
      </w:r>
      <w:r w:rsidRPr="008F13F4">
        <w:rPr>
          <w:rFonts w:ascii="宋体" w:hAnsi="宋体" w:cs="宋体" w:hint="eastAsia"/>
          <w:kern w:val="0"/>
          <w:sz w:val="24"/>
          <w:szCs w:val="24"/>
        </w:rPr>
        <w:lastRenderedPageBreak/>
        <w:t>政法规和其他有关规定，或者违反基金合同约定的，应当立即通知基金管理人，并及时向中国证监会报告</w:t>
      </w:r>
      <w:r w:rsidR="005605B9" w:rsidRPr="008F13F4">
        <w:rPr>
          <w:rFonts w:ascii="宋体" w:hAnsi="宋体" w:cs="宋体" w:hint="eastAsia"/>
          <w:kern w:val="0"/>
          <w:sz w:val="24"/>
          <w:szCs w:val="24"/>
        </w:rPr>
        <w:t>。</w:t>
      </w:r>
      <w:r w:rsidR="005605B9" w:rsidRPr="008F13F4">
        <w:rPr>
          <w:rFonts w:ascii="宋体" w:hAnsi="宋体" w:cs="宋体"/>
          <w:kern w:val="0"/>
          <w:sz w:val="24"/>
          <w:szCs w:val="24"/>
        </w:rPr>
        <w:br w:type="page"/>
      </w:r>
    </w:p>
    <w:p w14:paraId="25F4E326" w14:textId="77777777" w:rsidR="00496B2C" w:rsidRDefault="005605B9">
      <w:pPr>
        <w:pStyle w:val="1"/>
        <w:spacing w:before="0" w:after="0"/>
        <w:jc w:val="center"/>
        <w:rPr>
          <w:rFonts w:ascii="Times New Roman"/>
          <w:color w:val="auto"/>
          <w:sz w:val="30"/>
        </w:rPr>
      </w:pPr>
      <w:bookmarkStart w:id="36" w:name="_Toc256000004"/>
      <w:r>
        <w:rPr>
          <w:rFonts w:ascii="Times New Roman"/>
          <w:color w:val="auto"/>
          <w:sz w:val="30"/>
        </w:rPr>
        <w:lastRenderedPageBreak/>
        <w:t>第五部分</w:t>
      </w:r>
      <w:r>
        <w:rPr>
          <w:rFonts w:ascii="Times New Roman"/>
          <w:color w:val="auto"/>
          <w:sz w:val="30"/>
        </w:rPr>
        <w:t xml:space="preserve">  </w:t>
      </w:r>
      <w:r>
        <w:rPr>
          <w:rFonts w:ascii="Times New Roman"/>
          <w:color w:val="auto"/>
          <w:sz w:val="30"/>
        </w:rPr>
        <w:t>相关服务机构</w:t>
      </w:r>
      <w:bookmarkEnd w:id="36"/>
    </w:p>
    <w:p w14:paraId="3EBAEB91" w14:textId="77777777" w:rsidR="00496B2C" w:rsidRDefault="00496B2C"/>
    <w:p w14:paraId="23EBED7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一、基金份额销售机构</w:t>
      </w:r>
    </w:p>
    <w:p w14:paraId="2D010B1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1、直销机构</w:t>
      </w:r>
    </w:p>
    <w:p w14:paraId="1C13B26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w:t>
      </w:r>
      <w:r w:rsidR="0046173F" w:rsidRPr="0046173F">
        <w:rPr>
          <w:rFonts w:ascii="宋体" w:hAnsi="宋体" w:cs="宋体" w:hint="eastAsia"/>
          <w:kern w:val="0"/>
          <w:sz w:val="24"/>
          <w:szCs w:val="24"/>
        </w:rPr>
        <w:t>汇添富基金管理股份有限公司</w:t>
      </w:r>
      <w:r>
        <w:rPr>
          <w:rFonts w:ascii="宋体" w:hAnsi="宋体" w:cs="宋体"/>
          <w:kern w:val="0"/>
          <w:sz w:val="24"/>
          <w:szCs w:val="24"/>
        </w:rPr>
        <w:t>直销中心</w:t>
      </w:r>
    </w:p>
    <w:p w14:paraId="3AAEBCC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住所：上海市黄浦区外马路728号9楼</w:t>
      </w:r>
    </w:p>
    <w:p w14:paraId="5C8C149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办公地址：上海市浦东新区樱花路868号建工大唐国际广场A座7楼</w:t>
      </w:r>
    </w:p>
    <w:p w14:paraId="04FE2AC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法定代表人：鲁伟铭</w:t>
      </w:r>
    </w:p>
    <w:p w14:paraId="25BC43A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电话：（021）28932893</w:t>
      </w:r>
    </w:p>
    <w:p w14:paraId="427B2C7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传真：（021）50199035或（021）50199036</w:t>
      </w:r>
    </w:p>
    <w:p w14:paraId="0A6594D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联系人：陈卓膺</w:t>
      </w:r>
    </w:p>
    <w:p w14:paraId="760AE99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客户服务电话：400-888-9918（免长途话费）</w:t>
      </w:r>
    </w:p>
    <w:p w14:paraId="1BB14E7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网址：www.99fund.com</w:t>
      </w:r>
    </w:p>
    <w:p w14:paraId="7C1C96B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邮箱：guitai@htffund.com</w:t>
      </w:r>
    </w:p>
    <w:p w14:paraId="6FCF59C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（2）汇添富基金管理股份有限公司线上直销系统</w:t>
      </w:r>
    </w:p>
    <w:p w14:paraId="00B4ED9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2、其他销售机构</w:t>
      </w:r>
    </w:p>
    <w:p w14:paraId="380C2EF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本基金的其他销售机构请详见基金管理人官网公示的销售机构信息表。基金管理人可根据有关法律法规的要求，选择其他符合要求的机构销售基金，并在基金管理人网站公示。</w:t>
      </w:r>
    </w:p>
    <w:p w14:paraId="4671D96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二、登记机构</w:t>
      </w:r>
    </w:p>
    <w:p w14:paraId="18AD068D"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名称：汇添富基金管理股份有限公司</w:t>
      </w:r>
    </w:p>
    <w:p w14:paraId="40E11E6C"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住所：上海市黄浦区外马路728号9楼</w:t>
      </w:r>
    </w:p>
    <w:p w14:paraId="1758EEDA"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办公地址：上海市浦东新区樱花路868号建工大唐国际广场A座7楼</w:t>
      </w:r>
    </w:p>
    <w:p w14:paraId="49CFDDF6"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法定代表人：鲁伟铭</w:t>
      </w:r>
    </w:p>
    <w:p w14:paraId="46830C1F"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电话：（021）28932888</w:t>
      </w:r>
    </w:p>
    <w:p w14:paraId="2C74CE5D"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传真：（021）28932876</w:t>
      </w:r>
    </w:p>
    <w:p w14:paraId="181D9C1B"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联系人：马树超</w:t>
      </w:r>
    </w:p>
    <w:p w14:paraId="42FA74E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三、出具法律意见书的律师事务所</w:t>
      </w:r>
    </w:p>
    <w:p w14:paraId="1D6290A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名称：上海市通力律师事务所</w:t>
      </w:r>
    </w:p>
    <w:p w14:paraId="6953A03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住所：上海市银城中路68号时代金融中心19楼</w:t>
      </w:r>
    </w:p>
    <w:p w14:paraId="483575F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办公地址：上海市银城中路68号时代金融中心19楼</w:t>
      </w:r>
    </w:p>
    <w:p w14:paraId="45FBF387" w14:textId="4A2DF04F"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负责人：</w:t>
      </w:r>
      <w:r w:rsidR="00924761" w:rsidRPr="00924761">
        <w:rPr>
          <w:rFonts w:ascii="宋体" w:hAnsi="宋体" w:cs="宋体" w:hint="eastAsia"/>
          <w:kern w:val="0"/>
          <w:sz w:val="24"/>
          <w:szCs w:val="24"/>
        </w:rPr>
        <w:t>陈臻</w:t>
      </w:r>
    </w:p>
    <w:p w14:paraId="6DBA579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电话：（021）31358666</w:t>
      </w:r>
    </w:p>
    <w:p w14:paraId="20BFE62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传真：（021）31358600</w:t>
      </w:r>
    </w:p>
    <w:p w14:paraId="7CECF79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经办律师：陈颖华、吴曹圆</w:t>
      </w:r>
    </w:p>
    <w:p w14:paraId="29E49B5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联系人：陈颖华</w:t>
      </w:r>
    </w:p>
    <w:p w14:paraId="4227B61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四、审计基金财产的会计师事务所</w:t>
      </w:r>
    </w:p>
    <w:p w14:paraId="088067C5"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名称：安永华明会计师事务所（特殊普通合伙）</w:t>
      </w:r>
    </w:p>
    <w:p w14:paraId="4119AFE2"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执行事务合伙人：毛鞍宁</w:t>
      </w:r>
    </w:p>
    <w:p w14:paraId="117D373D"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住所：北京市东城区东长安街1号东方广场安永大楼17层</w:t>
      </w:r>
    </w:p>
    <w:p w14:paraId="0BBCD33D"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办公地址：北京市东城区东长安街1号东方广场安永大楼17层</w:t>
      </w:r>
    </w:p>
    <w:p w14:paraId="660087DA"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邮政编码：100738</w:t>
      </w:r>
    </w:p>
    <w:p w14:paraId="3D6894FB"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公司电话：010-58153000</w:t>
      </w:r>
    </w:p>
    <w:p w14:paraId="70283267"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公司传真：010-85188298</w:t>
      </w:r>
    </w:p>
    <w:p w14:paraId="512295B9" w14:textId="77777777" w:rsidR="0046173F" w:rsidRPr="0046173F" w:rsidRDefault="0046173F" w:rsidP="0046173F">
      <w:pPr>
        <w:pStyle w:val="div"/>
        <w:spacing w:line="360" w:lineRule="auto"/>
        <w:ind w:firstLine="420"/>
        <w:rPr>
          <w:rFonts w:ascii="宋体" w:hAnsi="宋体" w:cs="宋体"/>
          <w:kern w:val="0"/>
          <w:sz w:val="24"/>
          <w:szCs w:val="24"/>
        </w:rPr>
      </w:pPr>
      <w:r w:rsidRPr="0046173F">
        <w:rPr>
          <w:rFonts w:ascii="宋体" w:hAnsi="宋体" w:cs="宋体" w:hint="eastAsia"/>
          <w:kern w:val="0"/>
          <w:sz w:val="24"/>
          <w:szCs w:val="24"/>
        </w:rPr>
        <w:t>签章会计师：陈露、蔺育化、戴唯</w:t>
      </w:r>
    </w:p>
    <w:p w14:paraId="27E9489A" w14:textId="31582D25" w:rsidR="00496B2C" w:rsidRDefault="0046173F">
      <w:pPr>
        <w:pStyle w:val="div"/>
        <w:spacing w:line="360" w:lineRule="auto"/>
        <w:ind w:firstLine="420"/>
        <w:rPr>
          <w:rFonts w:eastAsia="Times New Roman"/>
          <w:kern w:val="0"/>
          <w:sz w:val="24"/>
          <w:szCs w:val="24"/>
        </w:rPr>
      </w:pPr>
      <w:r w:rsidRPr="0046173F">
        <w:rPr>
          <w:rFonts w:ascii="宋体" w:hAnsi="宋体" w:cs="宋体" w:hint="eastAsia"/>
          <w:kern w:val="0"/>
          <w:sz w:val="24"/>
          <w:szCs w:val="24"/>
        </w:rPr>
        <w:t>业务联系人：戴唯</w:t>
      </w:r>
      <w:r w:rsidR="005605B9">
        <w:rPr>
          <w:rFonts w:ascii="宋体" w:hAnsi="宋体" w:cs="宋体"/>
          <w:kern w:val="0"/>
          <w:sz w:val="24"/>
          <w:szCs w:val="24"/>
        </w:rPr>
        <w:br w:type="page"/>
      </w:r>
    </w:p>
    <w:p w14:paraId="3B92FBAC" w14:textId="77777777" w:rsidR="00496B2C" w:rsidRDefault="005605B9">
      <w:pPr>
        <w:pStyle w:val="1"/>
        <w:spacing w:before="0" w:after="0"/>
        <w:jc w:val="center"/>
        <w:rPr>
          <w:rFonts w:ascii="Times New Roman"/>
          <w:color w:val="auto"/>
          <w:sz w:val="30"/>
        </w:rPr>
      </w:pPr>
      <w:bookmarkStart w:id="37" w:name="_Toc256000005"/>
      <w:r>
        <w:rPr>
          <w:rFonts w:ascii="Times New Roman"/>
          <w:color w:val="auto"/>
          <w:sz w:val="30"/>
        </w:rPr>
        <w:lastRenderedPageBreak/>
        <w:t>第六部分</w:t>
      </w:r>
      <w:r>
        <w:rPr>
          <w:rFonts w:ascii="Times New Roman"/>
          <w:color w:val="auto"/>
          <w:sz w:val="30"/>
        </w:rPr>
        <w:t xml:space="preserve">  </w:t>
      </w:r>
      <w:r>
        <w:rPr>
          <w:rFonts w:ascii="Times New Roman"/>
          <w:color w:val="auto"/>
          <w:sz w:val="30"/>
        </w:rPr>
        <w:t>基金的募集</w:t>
      </w:r>
      <w:bookmarkEnd w:id="37"/>
    </w:p>
    <w:p w14:paraId="10CDCEC4" w14:textId="77777777" w:rsidR="00496B2C" w:rsidRDefault="00496B2C"/>
    <w:p w14:paraId="4281E5C2" w14:textId="164FA0CC"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本基金由基金管理人依照《基金法》、《运作办法》、《销售办法》、《信息披露办法》等有关法律法规以及基金合同的规定，经中国证监会证监许可【20</w:t>
      </w:r>
      <w:r>
        <w:rPr>
          <w:rFonts w:ascii="宋体" w:hAnsi="宋体" w:cs="宋体" w:hint="eastAsia"/>
          <w:kern w:val="0"/>
          <w:sz w:val="24"/>
          <w:szCs w:val="24"/>
        </w:rPr>
        <w:t>26</w:t>
      </w:r>
      <w:r>
        <w:rPr>
          <w:rFonts w:ascii="宋体" w:hAnsi="宋体" w:cs="宋体"/>
          <w:kern w:val="0"/>
          <w:sz w:val="24"/>
          <w:szCs w:val="24"/>
        </w:rPr>
        <w:t>】</w:t>
      </w:r>
      <w:r>
        <w:rPr>
          <w:rFonts w:ascii="宋体" w:hAnsi="宋体" w:cs="宋体" w:hint="eastAsia"/>
          <w:kern w:val="0"/>
          <w:sz w:val="24"/>
          <w:szCs w:val="24"/>
        </w:rPr>
        <w:t>1041</w:t>
      </w:r>
      <w:r>
        <w:rPr>
          <w:rFonts w:ascii="宋体" w:hAnsi="宋体" w:cs="宋体"/>
          <w:kern w:val="0"/>
          <w:sz w:val="24"/>
          <w:szCs w:val="24"/>
        </w:rPr>
        <w:t>号文件准予注册募集。</w:t>
      </w:r>
    </w:p>
    <w:p w14:paraId="0C5811EE"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一、基金的类型、运作方式及存续期限</w:t>
      </w:r>
    </w:p>
    <w:p w14:paraId="29B491C2"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1、基金类型：</w:t>
      </w:r>
    </w:p>
    <w:p w14:paraId="0F487F1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股票型证券投资基金</w:t>
      </w:r>
    </w:p>
    <w:p w14:paraId="6B40775C"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2、基金运作方式：</w:t>
      </w:r>
    </w:p>
    <w:p w14:paraId="232FF4B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契约型开放式</w:t>
      </w:r>
    </w:p>
    <w:p w14:paraId="01CCDB4B"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3、存续期限：不定期</w:t>
      </w:r>
    </w:p>
    <w:p w14:paraId="2B057D8D"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二、基金份额的募集期限、募集对象、募集方式、募集场所</w:t>
      </w:r>
    </w:p>
    <w:p w14:paraId="0CAE51A3"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1、募集期限</w:t>
      </w:r>
    </w:p>
    <w:p w14:paraId="167E824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自基金份额发售之日起最长不得超过3个月，具体发售时间见基金份额发售公告。</w:t>
      </w:r>
    </w:p>
    <w:p w14:paraId="0E59A4A2"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2、募集对象</w:t>
      </w:r>
    </w:p>
    <w:p w14:paraId="200D9A78" w14:textId="77777777" w:rsidR="00496B2C" w:rsidRDefault="005605B9">
      <w:pPr>
        <w:pStyle w:val="div"/>
        <w:widowControl/>
        <w:spacing w:line="360" w:lineRule="auto"/>
        <w:ind w:firstLine="480"/>
        <w:jc w:val="left"/>
        <w:rPr>
          <w:rFonts w:eastAsia="Times New Roman"/>
          <w:kern w:val="0"/>
          <w:sz w:val="24"/>
          <w:szCs w:val="24"/>
        </w:rPr>
      </w:pPr>
      <w:r>
        <w:rPr>
          <w:rFonts w:ascii="宋体" w:hAnsi="宋体" w:cs="宋体"/>
          <w:kern w:val="0"/>
          <w:sz w:val="24"/>
          <w:szCs w:val="24"/>
        </w:rPr>
        <w:t>符合法律法规规定的可投资于证券投资基金的个人投资者、机构投资者、合格境外投资者以及法律法规或中国证监会允许购买证券投资基金的其他投资人。</w:t>
      </w:r>
    </w:p>
    <w:p w14:paraId="44EBA93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此产生的任何损失由投资者自行承担。</w:t>
      </w:r>
    </w:p>
    <w:p w14:paraId="1FC8531E"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3、募集方式</w:t>
      </w:r>
    </w:p>
    <w:p w14:paraId="63296416"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通过各销售机构的基金销售网点公开发售，各销售机构的具体名单见基金管理人网站届时公示的基金销售机构名录。</w:t>
      </w:r>
    </w:p>
    <w:p w14:paraId="45F1970E"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4、募集场所</w:t>
      </w:r>
    </w:p>
    <w:p w14:paraId="603CBF9D"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本基金将通过基金管理人的直销机构及其他基金销售机构的销售网点公开发售。</w:t>
      </w:r>
    </w:p>
    <w:p w14:paraId="158FC779"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投资者还可以登录基金管理人网站（www.99fund.com）办理开户、认购等业</w:t>
      </w:r>
      <w:r>
        <w:rPr>
          <w:rFonts w:ascii="宋体" w:hAnsi="宋体" w:cs="宋体"/>
          <w:kern w:val="0"/>
          <w:sz w:val="24"/>
          <w:szCs w:val="24"/>
        </w:rPr>
        <w:lastRenderedPageBreak/>
        <w:t>务，网上交易开通流程、业务规则请登录基金管理人网站查询。</w:t>
      </w:r>
    </w:p>
    <w:p w14:paraId="47E433D7"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募集期间，基金管理人可根据情况变更或增减基金销售机构，并在基金管理人网站公示。具体销售城市（或网点）名单和联系方式，请参见基金管理人网站届时公示的基金销售机构名录以及当地基金销售机构以各种形式发布的公告。</w:t>
      </w:r>
    </w:p>
    <w:p w14:paraId="18A59281"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三、基金份额类别设置</w:t>
      </w:r>
    </w:p>
    <w:p w14:paraId="22F218B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本基金根据认购/申购费用、销售服务费收取方式等事项的不同，将基金份额分为不同的类别。</w:t>
      </w:r>
    </w:p>
    <w:p w14:paraId="3CAABA49" w14:textId="77777777" w:rsidR="00496B2C" w:rsidRDefault="005605B9">
      <w:pPr>
        <w:pStyle w:val="div"/>
        <w:spacing w:line="360" w:lineRule="auto"/>
        <w:ind w:firstLine="480"/>
        <w:rPr>
          <w:bCs/>
          <w:kern w:val="0"/>
          <w:sz w:val="24"/>
          <w:szCs w:val="24"/>
          <w:lang w:bidi="en-US"/>
        </w:rPr>
      </w:pPr>
      <w:r>
        <w:rPr>
          <w:rFonts w:ascii="宋体" w:hAnsi="宋体" w:cs="宋体"/>
          <w:kern w:val="0"/>
          <w:sz w:val="24"/>
          <w:szCs w:val="24"/>
        </w:rPr>
        <w:t>A类基金份额在投资者</w:t>
      </w:r>
      <w:r>
        <w:rPr>
          <w:rFonts w:hint="eastAsia"/>
          <w:bCs/>
          <w:sz w:val="24"/>
        </w:rPr>
        <w:t>通过直销机构以外的其他销售机构</w:t>
      </w:r>
      <w:r>
        <w:rPr>
          <w:rFonts w:ascii="宋体" w:hAnsi="宋体" w:cs="宋体"/>
          <w:kern w:val="0"/>
          <w:sz w:val="24"/>
          <w:szCs w:val="24"/>
        </w:rPr>
        <w:t>认购、申购时收取认购、申购费用，在赎回时根据持有期限收取赎回费用，但不从本类别基金财产中计提销售服务费；</w:t>
      </w:r>
      <w:r>
        <w:rPr>
          <w:rFonts w:hint="eastAsia"/>
          <w:bCs/>
          <w:kern w:val="0"/>
          <w:sz w:val="24"/>
          <w:szCs w:val="24"/>
          <w:lang w:bidi="en-US"/>
        </w:rPr>
        <w:t>投资者通过直销机构认购</w:t>
      </w:r>
      <w:r>
        <w:rPr>
          <w:bCs/>
          <w:kern w:val="0"/>
          <w:sz w:val="24"/>
          <w:szCs w:val="24"/>
          <w:lang w:bidi="en-US"/>
        </w:rPr>
        <w:t>/</w:t>
      </w:r>
      <w:r>
        <w:rPr>
          <w:rFonts w:hint="eastAsia"/>
          <w:bCs/>
          <w:kern w:val="0"/>
          <w:sz w:val="24"/>
          <w:szCs w:val="24"/>
          <w:lang w:bidi="en-US"/>
        </w:rPr>
        <w:t>申购</w:t>
      </w:r>
      <w:r>
        <w:rPr>
          <w:bCs/>
          <w:kern w:val="0"/>
          <w:sz w:val="24"/>
          <w:szCs w:val="24"/>
          <w:lang w:bidi="en-US"/>
        </w:rPr>
        <w:t>A</w:t>
      </w:r>
      <w:r>
        <w:rPr>
          <w:rFonts w:hint="eastAsia"/>
          <w:bCs/>
          <w:kern w:val="0"/>
          <w:sz w:val="24"/>
          <w:szCs w:val="24"/>
          <w:lang w:bidi="en-US"/>
        </w:rPr>
        <w:t>类基金份额时不收取认购</w:t>
      </w:r>
      <w:r>
        <w:rPr>
          <w:bCs/>
          <w:kern w:val="0"/>
          <w:sz w:val="24"/>
          <w:szCs w:val="24"/>
          <w:lang w:bidi="en-US"/>
        </w:rPr>
        <w:t>/</w:t>
      </w:r>
      <w:r>
        <w:rPr>
          <w:rFonts w:hint="eastAsia"/>
          <w:bCs/>
          <w:kern w:val="0"/>
          <w:sz w:val="24"/>
          <w:szCs w:val="24"/>
          <w:lang w:bidi="en-US"/>
        </w:rPr>
        <w:t>申购费用。</w:t>
      </w:r>
    </w:p>
    <w:p w14:paraId="7CB956E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C类基金份额从</w:t>
      </w:r>
      <w:r>
        <w:rPr>
          <w:rFonts w:hint="eastAsia"/>
          <w:bCs/>
          <w:kern w:val="0"/>
          <w:sz w:val="24"/>
          <w:szCs w:val="24"/>
          <w:lang w:bidi="en-US"/>
        </w:rPr>
        <w:t>直销机构以外的其他销售机构保有的</w:t>
      </w:r>
      <w:r>
        <w:rPr>
          <w:rFonts w:ascii="宋体" w:hAnsi="宋体" w:cs="宋体"/>
          <w:kern w:val="0"/>
          <w:sz w:val="24"/>
          <w:szCs w:val="24"/>
        </w:rPr>
        <w:t>本类别基金财产中计提销售服务费而不收取认购、申购费用，在赎回时根据持有期限收取赎回费用。</w:t>
      </w: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投资者赎回相应基金份额或基金合同终止时随赎回款或清算款一并返还给投资者。</w:t>
      </w:r>
    </w:p>
    <w:p w14:paraId="6D47308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本基金A类、C类基金份额分别设置代码。由于基金费用的不同，本基金A类、C类基金份额将分别计算基金份额净值，计算公式为计算日各类别基金资产净值除以计算日发售在外的该类别基金份额总数。</w:t>
      </w:r>
    </w:p>
    <w:p w14:paraId="5F1DCB2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投资者可自行选择认购、申购的基金份额类别。在不违反法律法规、基金合同的约定以及对基金份额持有人利益无实质性不利影响的情况下，经与基金托管人协商一致，在履行适当程序后基金管理人可增加、减少或调整基金份额类别设置、对基金份额分类办法及规则进行调整并在调整实施之日前依照《信息披露办法》的有关规定在规定媒介上公告，不需要召开基金份额持有人大会。</w:t>
      </w:r>
    </w:p>
    <w:p w14:paraId="1507EA8B"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四、基金份额的认购</w:t>
      </w:r>
    </w:p>
    <w:p w14:paraId="6BBD99A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除法律法规或中国证监会有关规定另有规定外，任何与基金份额发售有关的当事人不得预留和提前发售基金份额。</w:t>
      </w:r>
    </w:p>
    <w:p w14:paraId="63BBAC19"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1、基金份额的发售面值</w:t>
      </w:r>
    </w:p>
    <w:p w14:paraId="31C6299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本基金基金份额发售面值为人民币1.00元。</w:t>
      </w:r>
    </w:p>
    <w:p w14:paraId="1A36CFB7"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2、认购费用</w:t>
      </w:r>
    </w:p>
    <w:p w14:paraId="43CB5FFE"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投资者通过直销机构认购本基金基金份额的，不收取认购费。</w:t>
      </w:r>
    </w:p>
    <w:p w14:paraId="6C2E7C2C"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投资者通过直销机构以外的其他销售机构认购C类基金份额不收取认购费用；认购本基金A类基金份额的，认购费率随认购金额增加而递减。在募集期内如果有多笔认购，适用费率按单笔认购申请单独计算。投资者通过直销机构以外的其他销售机构认购A类基金份额的具体认购费率如下表所示</w:t>
      </w:r>
      <w:r>
        <w:rPr>
          <w:rFonts w:ascii="宋体" w:hAnsi="宋体" w:cs="宋体"/>
          <w:kern w:val="0"/>
          <w:sz w:val="24"/>
          <w:szCs w:val="24"/>
        </w:rPr>
        <w:t>：</w:t>
      </w:r>
    </w:p>
    <w:tbl>
      <w:tblPr>
        <w:tblStyle w:val="tableTable"/>
        <w:tblW w:w="7940" w:type="dxa"/>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4257"/>
        <w:gridCol w:w="3683"/>
      </w:tblGrid>
      <w:tr w:rsidR="00496B2C" w14:paraId="1A28DDCC" w14:textId="77777777">
        <w:trPr>
          <w:trHeight w:val="460"/>
          <w:jc w:val="center"/>
        </w:trPr>
        <w:tc>
          <w:tcPr>
            <w:tcW w:w="0" w:type="auto"/>
            <w:tcBorders>
              <w:bottom w:val="single" w:sz="6" w:space="0" w:color="000000"/>
              <w:right w:val="single" w:sz="6" w:space="0" w:color="000000"/>
            </w:tcBorders>
            <w:tcMar>
              <w:top w:w="0" w:type="dxa"/>
              <w:left w:w="110" w:type="dxa"/>
              <w:bottom w:w="0" w:type="dxa"/>
              <w:right w:w="108" w:type="dxa"/>
            </w:tcMar>
            <w:vAlign w:val="center"/>
          </w:tcPr>
          <w:p w14:paraId="4E5E8936" w14:textId="77777777" w:rsidR="00496B2C" w:rsidRDefault="005605B9">
            <w:pPr>
              <w:pStyle w:val="div"/>
              <w:jc w:val="center"/>
              <w:rPr>
                <w:rFonts w:ascii="宋体" w:hAnsi="宋体" w:cs="宋体"/>
                <w:color w:val="000000"/>
                <w:kern w:val="0"/>
                <w:sz w:val="24"/>
                <w:szCs w:val="24"/>
              </w:rPr>
            </w:pPr>
            <w:r>
              <w:rPr>
                <w:rFonts w:ascii="宋体" w:hAnsi="宋体" w:cs="宋体"/>
                <w:color w:val="000000"/>
                <w:kern w:val="0"/>
                <w:sz w:val="24"/>
                <w:szCs w:val="24"/>
              </w:rPr>
              <w:t>认购金额（M）</w:t>
            </w:r>
          </w:p>
        </w:tc>
        <w:tc>
          <w:tcPr>
            <w:tcW w:w="0" w:type="auto"/>
            <w:tcBorders>
              <w:left w:val="single" w:sz="6" w:space="0" w:color="000000"/>
              <w:bottom w:val="single" w:sz="6" w:space="0" w:color="000000"/>
            </w:tcBorders>
            <w:tcMar>
              <w:top w:w="0" w:type="dxa"/>
              <w:left w:w="108" w:type="dxa"/>
              <w:bottom w:w="0" w:type="dxa"/>
              <w:right w:w="110" w:type="dxa"/>
            </w:tcMar>
            <w:vAlign w:val="center"/>
          </w:tcPr>
          <w:p w14:paraId="1BC2C5BE" w14:textId="77777777" w:rsidR="00496B2C" w:rsidRDefault="005605B9">
            <w:pPr>
              <w:pStyle w:val="div"/>
              <w:jc w:val="center"/>
              <w:rPr>
                <w:rFonts w:ascii="宋体" w:hAnsi="宋体" w:cs="宋体"/>
                <w:color w:val="000000"/>
                <w:kern w:val="0"/>
                <w:sz w:val="24"/>
                <w:szCs w:val="24"/>
              </w:rPr>
            </w:pPr>
            <w:r>
              <w:rPr>
                <w:rFonts w:ascii="宋体" w:hAnsi="宋体" w:cs="宋体"/>
                <w:color w:val="000000"/>
                <w:kern w:val="0"/>
                <w:sz w:val="24"/>
                <w:szCs w:val="24"/>
              </w:rPr>
              <w:t>认购费率</w:t>
            </w:r>
          </w:p>
        </w:tc>
      </w:tr>
      <w:tr w:rsidR="00496B2C" w14:paraId="6AFFF67D" w14:textId="77777777">
        <w:trPr>
          <w:trHeight w:val="460"/>
          <w:jc w:val="center"/>
        </w:trPr>
        <w:tc>
          <w:tcPr>
            <w:tcW w:w="0" w:type="auto"/>
            <w:tcBorders>
              <w:top w:val="single" w:sz="6" w:space="0" w:color="000000"/>
              <w:bottom w:val="single" w:sz="6" w:space="0" w:color="000000"/>
              <w:right w:val="single" w:sz="6" w:space="0" w:color="000000"/>
            </w:tcBorders>
            <w:tcMar>
              <w:top w:w="0" w:type="dxa"/>
              <w:left w:w="110" w:type="dxa"/>
              <w:bottom w:w="0" w:type="dxa"/>
              <w:right w:w="108" w:type="dxa"/>
            </w:tcMar>
            <w:vAlign w:val="center"/>
          </w:tcPr>
          <w:p w14:paraId="2CD1916F" w14:textId="77777777" w:rsidR="00496B2C" w:rsidRDefault="005605B9">
            <w:pPr>
              <w:pStyle w:val="div"/>
              <w:jc w:val="center"/>
              <w:rPr>
                <w:rFonts w:ascii="宋体" w:hAnsi="宋体" w:cs="宋体"/>
                <w:color w:val="000000"/>
                <w:kern w:val="0"/>
                <w:sz w:val="24"/>
                <w:szCs w:val="24"/>
              </w:rPr>
            </w:pPr>
            <w:r>
              <w:rPr>
                <w:rFonts w:ascii="宋体" w:hAnsi="宋体" w:cs="宋体"/>
                <w:color w:val="000000"/>
                <w:kern w:val="0"/>
                <w:sz w:val="24"/>
                <w:szCs w:val="24"/>
              </w:rPr>
              <w:t>M＜</w:t>
            </w:r>
            <w:r>
              <w:rPr>
                <w:rFonts w:ascii="宋体" w:hAnsi="宋体" w:cs="宋体" w:hint="eastAsia"/>
                <w:color w:val="000000"/>
                <w:kern w:val="0"/>
                <w:sz w:val="24"/>
                <w:szCs w:val="24"/>
              </w:rPr>
              <w:t>5</w:t>
            </w:r>
            <w:r>
              <w:rPr>
                <w:rFonts w:ascii="宋体" w:hAnsi="宋体" w:cs="宋体"/>
                <w:color w:val="000000"/>
                <w:kern w:val="0"/>
                <w:sz w:val="24"/>
                <w:szCs w:val="24"/>
              </w:rPr>
              <w:t>00万元</w:t>
            </w:r>
          </w:p>
        </w:tc>
        <w:tc>
          <w:tcPr>
            <w:tcW w:w="0" w:type="auto"/>
            <w:tcBorders>
              <w:top w:val="single" w:sz="6" w:space="0" w:color="000000"/>
              <w:left w:val="single" w:sz="6" w:space="0" w:color="000000"/>
              <w:bottom w:val="single" w:sz="6" w:space="0" w:color="000000"/>
            </w:tcBorders>
            <w:tcMar>
              <w:top w:w="0" w:type="dxa"/>
              <w:left w:w="108" w:type="dxa"/>
              <w:bottom w:w="0" w:type="dxa"/>
              <w:right w:w="110" w:type="dxa"/>
            </w:tcMar>
            <w:vAlign w:val="center"/>
          </w:tcPr>
          <w:p w14:paraId="7EC51D3F" w14:textId="77777777" w:rsidR="00496B2C" w:rsidRDefault="005605B9">
            <w:pPr>
              <w:pStyle w:val="div"/>
              <w:jc w:val="center"/>
              <w:rPr>
                <w:rFonts w:ascii="宋体" w:hAnsi="宋体" w:cs="宋体"/>
                <w:color w:val="000000"/>
                <w:kern w:val="0"/>
                <w:sz w:val="24"/>
                <w:szCs w:val="24"/>
              </w:rPr>
            </w:pPr>
            <w:r>
              <w:rPr>
                <w:rFonts w:ascii="宋体" w:hAnsi="宋体" w:cs="宋体" w:hint="eastAsia"/>
                <w:color w:val="000000"/>
                <w:kern w:val="0"/>
                <w:sz w:val="24"/>
                <w:szCs w:val="24"/>
              </w:rPr>
              <w:t>0.8</w:t>
            </w:r>
            <w:r>
              <w:rPr>
                <w:rFonts w:ascii="宋体" w:hAnsi="宋体" w:cs="宋体"/>
                <w:color w:val="000000"/>
                <w:kern w:val="0"/>
                <w:sz w:val="24"/>
                <w:szCs w:val="24"/>
              </w:rPr>
              <w:t>0%</w:t>
            </w:r>
          </w:p>
        </w:tc>
      </w:tr>
      <w:tr w:rsidR="00496B2C" w14:paraId="6D7E5626" w14:textId="77777777">
        <w:trPr>
          <w:trHeight w:val="460"/>
          <w:jc w:val="center"/>
        </w:trPr>
        <w:tc>
          <w:tcPr>
            <w:tcW w:w="0" w:type="auto"/>
            <w:tcBorders>
              <w:top w:val="single" w:sz="6" w:space="0" w:color="000000"/>
              <w:right w:val="single" w:sz="6" w:space="0" w:color="000000"/>
            </w:tcBorders>
            <w:tcMar>
              <w:top w:w="0" w:type="dxa"/>
              <w:left w:w="110" w:type="dxa"/>
              <w:bottom w:w="0" w:type="dxa"/>
              <w:right w:w="108" w:type="dxa"/>
            </w:tcMar>
            <w:vAlign w:val="center"/>
          </w:tcPr>
          <w:p w14:paraId="78A01C4F" w14:textId="77777777" w:rsidR="00496B2C" w:rsidRDefault="005605B9">
            <w:pPr>
              <w:pStyle w:val="div"/>
              <w:jc w:val="center"/>
              <w:rPr>
                <w:rFonts w:ascii="宋体" w:hAnsi="宋体" w:cs="宋体"/>
                <w:color w:val="000000"/>
                <w:kern w:val="0"/>
                <w:sz w:val="24"/>
                <w:szCs w:val="24"/>
              </w:rPr>
            </w:pPr>
            <w:r>
              <w:rPr>
                <w:rFonts w:ascii="宋体" w:hAnsi="宋体" w:cs="宋体"/>
                <w:color w:val="000000"/>
                <w:kern w:val="0"/>
                <w:sz w:val="24"/>
                <w:szCs w:val="24"/>
              </w:rPr>
              <w:t>M≥500万元</w:t>
            </w:r>
          </w:p>
        </w:tc>
        <w:tc>
          <w:tcPr>
            <w:tcW w:w="0" w:type="auto"/>
            <w:tcBorders>
              <w:top w:val="single" w:sz="6" w:space="0" w:color="000000"/>
              <w:left w:val="single" w:sz="6" w:space="0" w:color="000000"/>
            </w:tcBorders>
            <w:tcMar>
              <w:top w:w="0" w:type="dxa"/>
              <w:left w:w="108" w:type="dxa"/>
              <w:bottom w:w="0" w:type="dxa"/>
              <w:right w:w="110" w:type="dxa"/>
            </w:tcMar>
            <w:vAlign w:val="center"/>
          </w:tcPr>
          <w:p w14:paraId="316AE921" w14:textId="77777777" w:rsidR="00496B2C" w:rsidRDefault="005605B9">
            <w:pPr>
              <w:pStyle w:val="div"/>
              <w:jc w:val="center"/>
              <w:rPr>
                <w:rFonts w:ascii="宋体" w:hAnsi="宋体" w:cs="宋体"/>
                <w:color w:val="000000"/>
                <w:kern w:val="0"/>
                <w:sz w:val="24"/>
                <w:szCs w:val="24"/>
              </w:rPr>
            </w:pPr>
            <w:r>
              <w:rPr>
                <w:rFonts w:ascii="宋体" w:hAnsi="宋体" w:cs="宋体"/>
                <w:color w:val="000000"/>
                <w:kern w:val="0"/>
                <w:sz w:val="24"/>
                <w:szCs w:val="24"/>
              </w:rPr>
              <w:t>每笔1000元</w:t>
            </w:r>
          </w:p>
        </w:tc>
      </w:tr>
    </w:tbl>
    <w:p w14:paraId="22BBF4B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A类基金份额的认购费用由</w:t>
      </w:r>
      <w:r>
        <w:rPr>
          <w:rFonts w:ascii="宋体" w:hAnsi="宋体" w:cs="宋体" w:hint="eastAsia"/>
          <w:kern w:val="0"/>
          <w:sz w:val="24"/>
          <w:szCs w:val="24"/>
        </w:rPr>
        <w:t>通过直销机构以外的其他销售机构</w:t>
      </w:r>
      <w:r>
        <w:rPr>
          <w:rFonts w:ascii="宋体" w:hAnsi="宋体" w:cs="宋体"/>
          <w:kern w:val="0"/>
          <w:sz w:val="24"/>
          <w:szCs w:val="24"/>
        </w:rPr>
        <w:t>认购A类基金份额的投资者承担，不列入基金财产，主要用于基金的市场推广、销售等基金募集期间发生的各项费用。</w:t>
      </w:r>
    </w:p>
    <w:p w14:paraId="1FA86667"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基金管理人可以在不违反法律法规规定及基金合同约定的情况下根据市场情况制定基金促销计划，定期和不定期地开展基金促销活动。在基金促销活动期间，基金管理人可以按相关监管部门要求履行必要手续后，对基金投资者适当调低基金认购费率。</w:t>
      </w:r>
    </w:p>
    <w:p w14:paraId="1A6D474D"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3、</w:t>
      </w:r>
      <w:r>
        <w:rPr>
          <w:rFonts w:ascii="宋体" w:hAnsi="宋体" w:cs="宋体"/>
          <w:kern w:val="0"/>
          <w:sz w:val="24"/>
          <w:szCs w:val="24"/>
        </w:rPr>
        <w:t>认购份额的计算</w:t>
      </w:r>
    </w:p>
    <w:p w14:paraId="6D550C31"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基金认购采用金额认购的方式。</w:t>
      </w:r>
    </w:p>
    <w:p w14:paraId="72C1AEFB"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Fonts w:ascii="宋体" w:hAnsi="宋体" w:cs="宋体"/>
          <w:kern w:val="0"/>
          <w:sz w:val="24"/>
          <w:szCs w:val="24"/>
        </w:rPr>
        <w:t>A类基金份额</w:t>
      </w:r>
    </w:p>
    <w:p w14:paraId="0B62C4B4"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1）若投资者通过直销机构认购A类基金份额：</w:t>
      </w:r>
    </w:p>
    <w:p w14:paraId="6720E80F"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认购份额=（认购金额＋认购利息）/基金份额发售面值</w:t>
      </w:r>
    </w:p>
    <w:p w14:paraId="747369E7"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2）若投资者通过直销机构以外的其他销售机构认购</w:t>
      </w:r>
      <w:r>
        <w:rPr>
          <w:rFonts w:ascii="宋体" w:hAnsi="宋体" w:cs="宋体"/>
          <w:kern w:val="0"/>
          <w:sz w:val="24"/>
          <w:szCs w:val="24"/>
        </w:rPr>
        <w:t>A类基金份额的</w:t>
      </w:r>
      <w:r>
        <w:rPr>
          <w:rFonts w:ascii="宋体" w:hAnsi="宋体" w:cs="宋体" w:hint="eastAsia"/>
          <w:kern w:val="0"/>
          <w:sz w:val="24"/>
          <w:szCs w:val="24"/>
        </w:rPr>
        <w:t>，</w:t>
      </w:r>
      <w:r>
        <w:rPr>
          <w:rFonts w:ascii="宋体" w:hAnsi="宋体" w:cs="宋体"/>
          <w:kern w:val="0"/>
          <w:sz w:val="24"/>
          <w:szCs w:val="24"/>
        </w:rPr>
        <w:t>认购金额包括认购费用和净认购金额。计算公式为：</w:t>
      </w:r>
    </w:p>
    <w:p w14:paraId="0AB2B6B0"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hint="eastAsia"/>
          <w:kern w:val="0"/>
          <w:sz w:val="24"/>
          <w:szCs w:val="24"/>
        </w:rPr>
        <w:t>①</w:t>
      </w:r>
      <w:r>
        <w:rPr>
          <w:rFonts w:ascii="宋体" w:hAnsi="宋体" w:cs="宋体"/>
          <w:kern w:val="0"/>
          <w:sz w:val="24"/>
          <w:szCs w:val="24"/>
        </w:rPr>
        <w:t>认购费用适用比例费率：</w:t>
      </w:r>
    </w:p>
    <w:p w14:paraId="0517237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净认购金额=认购金额/（1＋认购费率）</w:t>
      </w:r>
    </w:p>
    <w:p w14:paraId="63B8D93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认购费用=认购金额-净认购金额</w:t>
      </w:r>
    </w:p>
    <w:p w14:paraId="4572AB70"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认购份额=（净认购金额＋认购利息）/基金份额发售面值</w:t>
      </w:r>
    </w:p>
    <w:p w14:paraId="5B27BCF4"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hint="eastAsia"/>
          <w:kern w:val="0"/>
          <w:sz w:val="24"/>
          <w:szCs w:val="24"/>
        </w:rPr>
        <w:t>②</w:t>
      </w:r>
      <w:r>
        <w:rPr>
          <w:rFonts w:ascii="宋体" w:hAnsi="宋体" w:cs="宋体"/>
          <w:kern w:val="0"/>
          <w:sz w:val="24"/>
          <w:szCs w:val="24"/>
        </w:rPr>
        <w:t>认购费用适用固定金额：</w:t>
      </w:r>
    </w:p>
    <w:p w14:paraId="1E88D19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lastRenderedPageBreak/>
        <w:t>认购费用=固定金额</w:t>
      </w:r>
    </w:p>
    <w:p w14:paraId="01DDEF8B"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净认购金额=认购金额-认购费用</w:t>
      </w:r>
    </w:p>
    <w:p w14:paraId="3A3B5EDE"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认购份额=（净认购金额＋认购利息）/基金份额发售面值</w:t>
      </w:r>
    </w:p>
    <w:p w14:paraId="12B34D69"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（2）C类</w:t>
      </w:r>
      <w:r>
        <w:rPr>
          <w:rFonts w:ascii="宋体" w:hAnsi="宋体" w:cs="宋体"/>
          <w:kern w:val="0"/>
          <w:sz w:val="24"/>
          <w:szCs w:val="24"/>
        </w:rPr>
        <w:t>基金份额</w:t>
      </w:r>
    </w:p>
    <w:p w14:paraId="03AD68B3"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认购份额=（认购金额＋认购利息）/基金份额发售面值</w:t>
      </w:r>
    </w:p>
    <w:p w14:paraId="2E964D4E"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（3）</w:t>
      </w:r>
      <w:r>
        <w:rPr>
          <w:rFonts w:ascii="宋体" w:hAnsi="宋体" w:cs="宋体"/>
          <w:kern w:val="0"/>
          <w:sz w:val="24"/>
          <w:szCs w:val="24"/>
        </w:rPr>
        <w:t>上述认购份额（含利息折算的份额）计算结果保留到小数点后2位，小数点2位以后的部分四舍五入，由此误差产生的收益或损失由基金财产承担。</w:t>
      </w:r>
    </w:p>
    <w:p w14:paraId="57207E9A"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例1.</w:t>
      </w:r>
      <w:r>
        <w:rPr>
          <w:rFonts w:ascii="宋体" w:hAnsi="宋体" w:cs="宋体"/>
          <w:kern w:val="0"/>
          <w:sz w:val="24"/>
          <w:szCs w:val="24"/>
        </w:rPr>
        <w:t>某投资者</w:t>
      </w:r>
      <w:r>
        <w:rPr>
          <w:rFonts w:ascii="宋体" w:hAnsi="宋体" w:cs="宋体" w:hint="eastAsia"/>
          <w:kern w:val="0"/>
          <w:sz w:val="24"/>
          <w:szCs w:val="24"/>
        </w:rPr>
        <w:t>通过其他销售机构</w:t>
      </w:r>
      <w:r>
        <w:rPr>
          <w:rFonts w:ascii="宋体" w:hAnsi="宋体" w:cs="宋体"/>
          <w:kern w:val="0"/>
          <w:sz w:val="24"/>
          <w:szCs w:val="24"/>
        </w:rPr>
        <w:t>投资10,000元认购本基金A类基金份额，假设其认购资金在认购期间产生的利息为3.00元，其对应的认购费率为</w:t>
      </w:r>
      <w:r>
        <w:rPr>
          <w:rStyle w:val="custom"/>
          <w:rFonts w:ascii="宋体" w:hAnsi="宋体" w:cs="宋体" w:hint="eastAsia"/>
          <w:kern w:val="0"/>
          <w:sz w:val="24"/>
          <w:szCs w:val="24"/>
        </w:rPr>
        <w:t>0.8</w:t>
      </w:r>
      <w:r>
        <w:rPr>
          <w:rStyle w:val="custom"/>
          <w:rFonts w:ascii="宋体" w:hAnsi="宋体" w:cs="宋体"/>
          <w:kern w:val="0"/>
          <w:sz w:val="24"/>
          <w:szCs w:val="24"/>
        </w:rPr>
        <w:t>0%</w:t>
      </w:r>
      <w:r>
        <w:rPr>
          <w:rFonts w:ascii="宋体" w:hAnsi="宋体" w:cs="宋体"/>
          <w:kern w:val="0"/>
          <w:sz w:val="24"/>
          <w:szCs w:val="24"/>
        </w:rPr>
        <w:t>，则其可得到的认购份额为：</w:t>
      </w:r>
    </w:p>
    <w:p w14:paraId="14A5CEE9"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净认购金额=10,000/（1+</w:t>
      </w:r>
      <w:r>
        <w:rPr>
          <w:rFonts w:ascii="宋体" w:hAnsi="宋体" w:cs="宋体" w:hint="eastAsia"/>
          <w:kern w:val="0"/>
          <w:sz w:val="24"/>
          <w:szCs w:val="24"/>
        </w:rPr>
        <w:t>0.8</w:t>
      </w:r>
      <w:r>
        <w:rPr>
          <w:rFonts w:ascii="宋体" w:hAnsi="宋体" w:cs="宋体"/>
          <w:kern w:val="0"/>
          <w:sz w:val="24"/>
          <w:szCs w:val="24"/>
        </w:rPr>
        <w:t>0%）=9,920.63元</w:t>
      </w:r>
    </w:p>
    <w:p w14:paraId="37FF88E0"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认购费用=10,000-9,920.63=</w:t>
      </w:r>
      <w:r>
        <w:rPr>
          <w:rFonts w:ascii="宋体" w:hAnsi="宋体" w:cs="宋体" w:hint="eastAsia"/>
          <w:kern w:val="0"/>
          <w:sz w:val="24"/>
          <w:szCs w:val="24"/>
        </w:rPr>
        <w:t>79.37</w:t>
      </w:r>
      <w:r>
        <w:rPr>
          <w:rFonts w:ascii="宋体" w:hAnsi="宋体" w:cs="宋体"/>
          <w:kern w:val="0"/>
          <w:sz w:val="24"/>
          <w:szCs w:val="24"/>
        </w:rPr>
        <w:t>元</w:t>
      </w:r>
    </w:p>
    <w:p w14:paraId="6132D71C"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认购份额=（9,920.63+3.00）/1.00=9,92</w:t>
      </w:r>
      <w:r>
        <w:rPr>
          <w:rFonts w:ascii="宋体" w:hAnsi="宋体" w:cs="宋体" w:hint="eastAsia"/>
          <w:kern w:val="0"/>
          <w:sz w:val="24"/>
          <w:szCs w:val="24"/>
        </w:rPr>
        <w:t>3</w:t>
      </w:r>
      <w:r>
        <w:rPr>
          <w:rFonts w:ascii="宋体" w:hAnsi="宋体" w:cs="宋体"/>
          <w:kern w:val="0"/>
          <w:sz w:val="24"/>
          <w:szCs w:val="24"/>
        </w:rPr>
        <w:t>.63份</w:t>
      </w:r>
    </w:p>
    <w:p w14:paraId="76732FED"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即：投资者</w:t>
      </w:r>
      <w:r>
        <w:rPr>
          <w:rFonts w:ascii="宋体" w:hAnsi="宋体" w:cs="宋体" w:hint="eastAsia"/>
          <w:kern w:val="0"/>
          <w:sz w:val="24"/>
          <w:szCs w:val="24"/>
        </w:rPr>
        <w:t>通过其他销售机构</w:t>
      </w:r>
      <w:r>
        <w:rPr>
          <w:rFonts w:ascii="宋体" w:hAnsi="宋体" w:cs="宋体"/>
          <w:kern w:val="0"/>
          <w:sz w:val="24"/>
          <w:szCs w:val="24"/>
        </w:rPr>
        <w:t>投资10,000元认购本基金A类基金份额，假设其认购资金在认购期间产生的利息为3.00元，则其可得到9,92</w:t>
      </w:r>
      <w:r>
        <w:rPr>
          <w:rFonts w:ascii="宋体" w:hAnsi="宋体" w:cs="宋体" w:hint="eastAsia"/>
          <w:kern w:val="0"/>
          <w:sz w:val="24"/>
          <w:szCs w:val="24"/>
        </w:rPr>
        <w:t>3</w:t>
      </w:r>
      <w:r>
        <w:rPr>
          <w:rFonts w:ascii="宋体" w:hAnsi="宋体" w:cs="宋体"/>
          <w:kern w:val="0"/>
          <w:sz w:val="24"/>
          <w:szCs w:val="24"/>
        </w:rPr>
        <w:t>.63份本基金A类基金份额。</w:t>
      </w:r>
    </w:p>
    <w:p w14:paraId="3C02805F"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例2.</w:t>
      </w:r>
      <w:r>
        <w:rPr>
          <w:rFonts w:ascii="宋体" w:hAnsi="宋体" w:cs="宋体"/>
          <w:kern w:val="0"/>
          <w:sz w:val="24"/>
          <w:szCs w:val="24"/>
        </w:rPr>
        <w:t>某</w:t>
      </w:r>
      <w:r>
        <w:rPr>
          <w:rFonts w:ascii="宋体" w:hAnsi="宋体" w:cs="宋体" w:hint="eastAsia"/>
          <w:kern w:val="0"/>
          <w:sz w:val="24"/>
          <w:szCs w:val="24"/>
        </w:rPr>
        <w:t>投资者</w:t>
      </w:r>
      <w:r>
        <w:rPr>
          <w:rFonts w:ascii="宋体" w:hAnsi="宋体" w:cs="宋体"/>
          <w:kern w:val="0"/>
          <w:sz w:val="24"/>
          <w:szCs w:val="24"/>
        </w:rPr>
        <w:t>通过</w:t>
      </w:r>
      <w:r>
        <w:rPr>
          <w:rFonts w:ascii="宋体" w:hAnsi="宋体" w:cs="宋体" w:hint="eastAsia"/>
          <w:kern w:val="0"/>
          <w:sz w:val="24"/>
          <w:szCs w:val="24"/>
        </w:rPr>
        <w:t>直销机构</w:t>
      </w:r>
      <w:r>
        <w:rPr>
          <w:rFonts w:ascii="宋体" w:hAnsi="宋体" w:cs="宋体"/>
          <w:kern w:val="0"/>
          <w:sz w:val="24"/>
          <w:szCs w:val="24"/>
        </w:rPr>
        <w:t>投资100,000元认购本基金A类基金份额，</w:t>
      </w:r>
      <w:r>
        <w:rPr>
          <w:rFonts w:ascii="宋体" w:hAnsi="宋体" w:cs="宋体" w:hint="eastAsia"/>
          <w:kern w:val="0"/>
          <w:sz w:val="24"/>
          <w:szCs w:val="24"/>
        </w:rPr>
        <w:t>不收取认购费用，</w:t>
      </w:r>
      <w:r>
        <w:rPr>
          <w:rFonts w:ascii="宋体" w:hAnsi="宋体" w:cs="宋体"/>
          <w:kern w:val="0"/>
          <w:sz w:val="24"/>
          <w:szCs w:val="24"/>
        </w:rPr>
        <w:t>假设其认购资金在认购期间产生的利息为50.00元，则其可得到的认购份额为：</w:t>
      </w:r>
    </w:p>
    <w:p w14:paraId="47039E4B"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认购份额=（100,000+50.00）/1.00=100,050.00份</w:t>
      </w:r>
    </w:p>
    <w:p w14:paraId="70DC7EA8"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即：投资者通过直销机构投资1</w:t>
      </w:r>
      <w:r>
        <w:rPr>
          <w:rFonts w:ascii="宋体" w:hAnsi="宋体" w:cs="宋体"/>
          <w:kern w:val="0"/>
          <w:sz w:val="24"/>
          <w:szCs w:val="24"/>
        </w:rPr>
        <w:t>0</w:t>
      </w:r>
      <w:r>
        <w:rPr>
          <w:rFonts w:ascii="宋体" w:hAnsi="宋体" w:cs="宋体" w:hint="eastAsia"/>
          <w:kern w:val="0"/>
          <w:sz w:val="24"/>
          <w:szCs w:val="24"/>
        </w:rPr>
        <w:t>0,000元认购本基金A类基金份额，不收取认购费用，假设其认购资金在认购期间产生的利息为50.00元，</w:t>
      </w:r>
      <w:r>
        <w:rPr>
          <w:rFonts w:ascii="宋体" w:hAnsi="宋体" w:cs="宋体"/>
          <w:kern w:val="0"/>
          <w:sz w:val="24"/>
          <w:szCs w:val="24"/>
        </w:rPr>
        <w:t>则其可得到</w:t>
      </w:r>
      <w:r>
        <w:rPr>
          <w:rFonts w:ascii="宋体" w:hAnsi="宋体" w:cs="宋体" w:hint="eastAsia"/>
          <w:kern w:val="0"/>
          <w:sz w:val="24"/>
          <w:szCs w:val="24"/>
        </w:rPr>
        <w:t>100,050.00</w:t>
      </w:r>
      <w:r>
        <w:rPr>
          <w:rFonts w:ascii="宋体" w:hAnsi="宋体" w:cs="宋体"/>
          <w:kern w:val="0"/>
          <w:sz w:val="24"/>
          <w:szCs w:val="24"/>
        </w:rPr>
        <w:t>份本基金A类基金份额。</w:t>
      </w:r>
    </w:p>
    <w:p w14:paraId="55F3E3F2"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例3.</w:t>
      </w:r>
      <w:r>
        <w:rPr>
          <w:rFonts w:ascii="宋体" w:hAnsi="宋体" w:cs="宋体"/>
          <w:kern w:val="0"/>
          <w:sz w:val="24"/>
          <w:szCs w:val="24"/>
        </w:rPr>
        <w:t>某投资者投资10,000元认购本基金</w:t>
      </w:r>
      <w:r>
        <w:rPr>
          <w:rStyle w:val="custom"/>
          <w:rFonts w:ascii="宋体" w:hAnsi="宋体" w:cs="宋体"/>
          <w:kern w:val="0"/>
          <w:sz w:val="24"/>
          <w:szCs w:val="24"/>
        </w:rPr>
        <w:t>C类</w:t>
      </w:r>
      <w:r>
        <w:rPr>
          <w:rFonts w:ascii="宋体" w:hAnsi="宋体" w:cs="宋体"/>
          <w:kern w:val="0"/>
          <w:sz w:val="24"/>
          <w:szCs w:val="24"/>
        </w:rPr>
        <w:t>基金份额，由于募集期间基金份额发售面值为人民币1.00元，假设其认购资金在认购期间产生的利息为3.00元，则其可得到的认购份额为：</w:t>
      </w:r>
    </w:p>
    <w:p w14:paraId="087CB0EE"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认购份额=（10,000+3.00）/1.00=10,003.00份</w:t>
      </w:r>
    </w:p>
    <w:p w14:paraId="329C5129"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即：投资者投资10,000元认购本基金</w:t>
      </w:r>
      <w:r>
        <w:rPr>
          <w:rStyle w:val="custom"/>
          <w:rFonts w:ascii="宋体" w:hAnsi="宋体" w:cs="宋体"/>
          <w:kern w:val="0"/>
          <w:sz w:val="24"/>
          <w:szCs w:val="24"/>
        </w:rPr>
        <w:t>C类</w:t>
      </w:r>
      <w:r>
        <w:rPr>
          <w:rFonts w:ascii="宋体" w:hAnsi="宋体" w:cs="宋体"/>
          <w:kern w:val="0"/>
          <w:sz w:val="24"/>
          <w:szCs w:val="24"/>
        </w:rPr>
        <w:t>基金份额，假设其认购资金在认购期间产生的利息为3.00元，则其可得到10,003.00份</w:t>
      </w:r>
      <w:r>
        <w:rPr>
          <w:rStyle w:val="custom"/>
          <w:rFonts w:ascii="宋体" w:hAnsi="宋体" w:cs="宋体"/>
          <w:kern w:val="0"/>
          <w:sz w:val="24"/>
          <w:szCs w:val="24"/>
        </w:rPr>
        <w:t>C类</w:t>
      </w:r>
      <w:r>
        <w:rPr>
          <w:rFonts w:ascii="宋体" w:hAnsi="宋体" w:cs="宋体"/>
          <w:kern w:val="0"/>
          <w:sz w:val="24"/>
          <w:szCs w:val="24"/>
        </w:rPr>
        <w:t>基金份额。</w:t>
      </w:r>
    </w:p>
    <w:p w14:paraId="31E25C4D"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4、基金份额的认购程序</w:t>
      </w:r>
    </w:p>
    <w:p w14:paraId="53FBB79C"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（1）认购时间安排</w:t>
      </w:r>
    </w:p>
    <w:p w14:paraId="7ABFBA0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投资者认购本基金的具体业务办理时间由基金管理人和基金销售机构确定，请参见本基金的基金份额发售公告。</w:t>
      </w:r>
    </w:p>
    <w:p w14:paraId="284FAC81"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（2）投资者认购本基金份额应提交的文件和办理的手续</w:t>
      </w:r>
    </w:p>
    <w:p w14:paraId="1399995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投资者认购本基金份额应提交的文件和办理的手续详见本基金的基金份额发售公告。</w:t>
      </w:r>
    </w:p>
    <w:p w14:paraId="069BAB12"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（3）基金份额的认购采用金额认购方式</w:t>
      </w:r>
    </w:p>
    <w:p w14:paraId="1CFE8192"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投资者认购本基金采取全额缴款认购的方式。投资者在募集期内可多次认购，认购期间单个投资者的累计认购金额没有限制，但本招募说明书、基金份额发售公告、其他相关公告另有规定的除外。投资者的认购申请一经受理不得撤销。</w:t>
      </w:r>
    </w:p>
    <w:p w14:paraId="6ABD8212"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（4）认购申请的确认</w:t>
      </w:r>
    </w:p>
    <w:p w14:paraId="0333EA0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当日（T日）在规定时间内提交的申请，投资者通常应在T+2日到销售机构查询认购申请的受理结果，并可在募集截止日后4个工作日内到销售机构打印交易确认书。</w:t>
      </w:r>
    </w:p>
    <w:p w14:paraId="79A68B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销售机构对认购申请的受理并不代表该申请一定成功，而仅代表销售机构确实接收到认购申请。认购申请的确认以登记机构的确认结果为准。对于认购申请及认购份额的确认情况，投资人应及时查询并妥善行使合法权利，否则，由此产生的任何损失由投资者自行承担。</w:t>
      </w:r>
    </w:p>
    <w:p w14:paraId="053CCFFF"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（5）认购金额的限制</w:t>
      </w:r>
    </w:p>
    <w:p w14:paraId="09041B05"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1）在基金募集期内，投资者可多次认购基金份额。投资者通过基金管理人直销中心首次认购本基金的最低金额为人民币50,000元；通过基金管理人线上直销系统认购本基金单笔最低金额为人民币1元；通过其他销售机构的销售网点认购本基金单笔最低金额为人民币1元（含认购费）。超过最低认购金额的部分不设金额级差。各销售机构对本基金最低认购金额及交易级差有其他规定的，以各销售机构的业务规定为准。募集期间不设置投资者单个账户最高认购金额限制，但本招募说明书、基金份额发售公告、其他相关公告另有规定的除外。</w:t>
      </w:r>
    </w:p>
    <w:p w14:paraId="7D8D36D3"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2）基金管理人可以对募集期间的本基金募集规模设置上限。募集期内超过募集规模上限时，基金管理人可以采用比例确认或其他方式进行确认，具体办法</w:t>
      </w:r>
      <w:r>
        <w:rPr>
          <w:rFonts w:ascii="宋体" w:hAnsi="宋体" w:cs="宋体"/>
          <w:kern w:val="0"/>
          <w:sz w:val="24"/>
          <w:szCs w:val="24"/>
        </w:rPr>
        <w:lastRenderedPageBreak/>
        <w:t>参见基金份额发售公告或相关公告。</w:t>
      </w:r>
    </w:p>
    <w:p w14:paraId="2D7D3CB5"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3）如本基金单个投资人累计认购的基金份额数达到或者超过基金份额总数的50%，基金管理人可以采取比例确认等方式对该投资人的认购申请进行限制。基金管理人接受某笔或者某些认购申请有可能导致投资者变相规避前述50%比例要求的，基金管理人有权拒绝该等全部或者部分认购申请。投资人认购的基金份额数以基金合同生效后登记机构的确认为准。</w:t>
      </w:r>
    </w:p>
    <w:p w14:paraId="388EAF91"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5、募集期利息的处理方式</w:t>
      </w:r>
    </w:p>
    <w:p w14:paraId="54F20FE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有效认购款项在募集期间产生的利息将折算为基金份额归基金份额持有人所有，其中利息转份额以登记机构的记录为准。</w:t>
      </w:r>
    </w:p>
    <w:p w14:paraId="65594D5C"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五、募集资金的管理</w:t>
      </w:r>
    </w:p>
    <w:p w14:paraId="2DF9BBF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基金管理人应将基金募集期间募集的资金存入专门账户，在基金募集行为结束前，任何人不得动用。</w:t>
      </w:r>
      <w:r>
        <w:rPr>
          <w:rFonts w:ascii="宋体" w:hAnsi="宋体" w:cs="宋体"/>
          <w:kern w:val="0"/>
          <w:sz w:val="24"/>
          <w:szCs w:val="24"/>
        </w:rPr>
        <w:br w:type="page"/>
      </w:r>
    </w:p>
    <w:p w14:paraId="60AC714E" w14:textId="77777777" w:rsidR="00496B2C" w:rsidRDefault="005605B9">
      <w:pPr>
        <w:pStyle w:val="1"/>
        <w:spacing w:before="0" w:after="0"/>
        <w:jc w:val="center"/>
        <w:rPr>
          <w:rFonts w:ascii="Times New Roman"/>
          <w:color w:val="auto"/>
          <w:sz w:val="30"/>
        </w:rPr>
      </w:pPr>
      <w:bookmarkStart w:id="38" w:name="_Toc256000006"/>
      <w:r>
        <w:rPr>
          <w:rFonts w:ascii="Times New Roman"/>
          <w:color w:val="auto"/>
          <w:sz w:val="30"/>
        </w:rPr>
        <w:lastRenderedPageBreak/>
        <w:t>第七部分</w:t>
      </w:r>
      <w:r>
        <w:rPr>
          <w:rFonts w:ascii="Times New Roman"/>
          <w:color w:val="auto"/>
          <w:sz w:val="30"/>
        </w:rPr>
        <w:t xml:space="preserve">  </w:t>
      </w:r>
      <w:r>
        <w:rPr>
          <w:rFonts w:ascii="Times New Roman"/>
          <w:color w:val="auto"/>
          <w:sz w:val="30"/>
        </w:rPr>
        <w:t>基金合同的生效</w:t>
      </w:r>
      <w:bookmarkEnd w:id="38"/>
    </w:p>
    <w:p w14:paraId="5283AC3B" w14:textId="77777777" w:rsidR="00496B2C" w:rsidRDefault="00496B2C"/>
    <w:p w14:paraId="207326A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一、基金备案的条件</w:t>
      </w:r>
    </w:p>
    <w:p w14:paraId="7C9FB37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本基金自基金份额发售之日起3个月内，在基金募集份额总额不少于2亿份，基金募集金额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15B5607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6A423C3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二、基金合同不能生效时募集资金的处理方式</w:t>
      </w:r>
    </w:p>
    <w:p w14:paraId="0A0C464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如果募集期限届满，未满足基金备案条件，基金管理人应当承担下列责任：</w:t>
      </w:r>
    </w:p>
    <w:p w14:paraId="13EFB0F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1、以其固有财产承担因募集行为而产生的债务和费用；</w:t>
      </w:r>
    </w:p>
    <w:p w14:paraId="6D6396B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2、在基金募集期限届满后30日内返还投资者已缴纳的款项，并加计银行同期活期存款利息；</w:t>
      </w:r>
    </w:p>
    <w:p w14:paraId="2098E44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3、如基金募集失败，基金管理人、基金托管人及销售机构不得请求报酬。基金管理人、基金托管人和销售机构为基金募集支付之一切费用应由各方各自承担。</w:t>
      </w:r>
    </w:p>
    <w:p w14:paraId="247A923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三、基金存续期内的基金份额持有人数量和资产规模</w:t>
      </w:r>
    </w:p>
    <w:p w14:paraId="0D48560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生效后，连续20个工作日出现基金份额持有人数量不满200人或者基金资产净值低于5000万元情形的，基金管理人应当在定期报告中予以披露；连续60个工作日出现前述情形的，基金管理人应当在10个工作日内向中国证监会报告并提出解决方案，如持续运作、转换运作方式、与其他基金合并或者终止基金合同等，并在6个月内召集基金份额持有人大会。</w:t>
      </w:r>
    </w:p>
    <w:p w14:paraId="2B19CCD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法律法规或中国证监会另有规定时，从其规定。</w:t>
      </w:r>
      <w:r>
        <w:rPr>
          <w:rFonts w:ascii="宋体" w:hAnsi="宋体" w:cs="宋体"/>
          <w:kern w:val="0"/>
          <w:sz w:val="24"/>
          <w:szCs w:val="24"/>
        </w:rPr>
        <w:br w:type="page"/>
      </w:r>
    </w:p>
    <w:p w14:paraId="17D3728D" w14:textId="77777777" w:rsidR="00496B2C" w:rsidRDefault="005605B9">
      <w:pPr>
        <w:pStyle w:val="1"/>
        <w:spacing w:before="0" w:after="0"/>
        <w:jc w:val="center"/>
        <w:rPr>
          <w:rFonts w:ascii="Times New Roman"/>
          <w:color w:val="auto"/>
          <w:sz w:val="30"/>
        </w:rPr>
      </w:pPr>
      <w:bookmarkStart w:id="39" w:name="_Toc256000007"/>
      <w:r>
        <w:rPr>
          <w:rFonts w:ascii="Times New Roman"/>
          <w:color w:val="auto"/>
          <w:sz w:val="30"/>
        </w:rPr>
        <w:lastRenderedPageBreak/>
        <w:t>第八部分</w:t>
      </w:r>
      <w:r>
        <w:rPr>
          <w:rFonts w:ascii="Times New Roman"/>
          <w:color w:val="auto"/>
          <w:sz w:val="30"/>
        </w:rPr>
        <w:t xml:space="preserve">  </w:t>
      </w:r>
      <w:r>
        <w:rPr>
          <w:rFonts w:ascii="Times New Roman"/>
          <w:color w:val="auto"/>
          <w:sz w:val="30"/>
        </w:rPr>
        <w:t>基金份额的申购与赎回</w:t>
      </w:r>
      <w:bookmarkEnd w:id="39"/>
    </w:p>
    <w:p w14:paraId="25DE5208" w14:textId="77777777" w:rsidR="00496B2C" w:rsidRDefault="00496B2C"/>
    <w:p w14:paraId="5CFDC955"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申购和赎回场所</w:t>
      </w:r>
    </w:p>
    <w:p w14:paraId="0F21A63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的申购与赎回将通过销售机构进行。具体的销售机构将由基金管理人在招募说明书或其他相关公示中列明。基金管理人可根据情况变更或增减销售机构，并在基金管理人网站公示。基金投资者应当在销售机构办理基金销售业务的营业场所或按销售机构提供的其他方式办理基金份额的申购与赎回。若基金管理人或其指定的销售机构开通电话、传真或网上等交易方式，投资人可以通过上述方式进行申购与赎回。</w:t>
      </w:r>
    </w:p>
    <w:p w14:paraId="18F2216A"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申购和赎回的开放日及时间</w:t>
      </w:r>
    </w:p>
    <w:p w14:paraId="1BF8910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1、开放日及开放时间</w:t>
      </w:r>
    </w:p>
    <w:p w14:paraId="29E0E29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投资人在开放日办理基金份额的申购和赎回，具体办理时间为上海证券交易所、深圳证券交易所的正常交易日的交易时间（如遇香港联合交易所法定节假日或因其他原因暂停营业或港股通暂停交易的情形，基金管理人有权暂停办理基金份额的申购和赎回业务），但基金管理人根据法律法规、中国证监会的要求或基金合同的规定公告暂停申购、赎回时除外。开放日的具体业务办理时间在招募说明书或基金管理人届时发布的相关公告中载明。</w:t>
      </w:r>
    </w:p>
    <w:p w14:paraId="33613F9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基金合同生效后，若出现新的证券/期货交易市场、证券/期货交易所交易时间变更、其他特殊情况或根据业务需要，基金管理人将视情况对前述开放日及开放时间进行相应的调整，但应在实施日前依照《信息披露办法》的有关规定在规定媒介上公告。</w:t>
      </w:r>
    </w:p>
    <w:p w14:paraId="34D0D54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2、申购、赎回开始日及业务办理时间</w:t>
      </w:r>
    </w:p>
    <w:p w14:paraId="4A91D2D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基金管理人可根据实际情况依法决定本基金开始办理申购的具体日期，具体业务办理时间在开放申购业务的公告中规定。</w:t>
      </w:r>
    </w:p>
    <w:p w14:paraId="57524CB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基金管理人自基金合同生效之日起不超过3个月开始办理赎回，具体业务办理时间在开放赎回业务的公告中规定。</w:t>
      </w:r>
    </w:p>
    <w:p w14:paraId="0B569ED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在确定申购开始与赎回开始时间后，基金管理人应在申购、赎回开放日前依照《信息披露办法》的有关规定在规定媒介上公告申购与赎回的开始时间。</w:t>
      </w:r>
    </w:p>
    <w:p w14:paraId="1518701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基金管理人不得在基金合同约定之外的日期或者时间办理基金份额的申购、</w:t>
      </w:r>
      <w:r>
        <w:rPr>
          <w:rFonts w:ascii="宋体" w:hAnsi="宋体" w:cs="宋体"/>
          <w:kern w:val="0"/>
          <w:sz w:val="24"/>
          <w:szCs w:val="24"/>
        </w:rPr>
        <w:lastRenderedPageBreak/>
        <w:t>赎回或者转换。投资人在基金合同约定之外的日期和时间提出申购、赎回或转换申请且登记机构确认接受的，其基金份额申购、赎回价格为下一开放日相应类别的基金份额申购、赎回的价格。</w:t>
      </w:r>
    </w:p>
    <w:p w14:paraId="65907E2A"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申购与赎回的原则</w:t>
      </w:r>
    </w:p>
    <w:p w14:paraId="7344F55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1、“未知价”原则，即申购、赎回价格以申请当日收市后计算的相应类别的基金份额净值为基准进行计算；</w:t>
      </w:r>
    </w:p>
    <w:p w14:paraId="3785BE0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2、“金额申购、份额赎回”原则，即申购以金额申请，赎回以份额申请；</w:t>
      </w:r>
    </w:p>
    <w:p w14:paraId="20D8439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3、当日的申购与赎回申请可以在基金管理人规定的时间以内撤销；</w:t>
      </w:r>
    </w:p>
    <w:p w14:paraId="23A626B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4、赎回遵循“先进先出”原则，即按照投资人认购、申购的先后次序进行顺序赎回；</w:t>
      </w:r>
    </w:p>
    <w:p w14:paraId="3828F88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5、办理申购、赎回业务时，应当遵循基金份额持有人利益优先原则，确保投资者的合法权益不受损害并得到公平对待。</w:t>
      </w:r>
    </w:p>
    <w:p w14:paraId="16D4158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基金管理人可在法律法规允许的情况下，对上述原则进行调整。基金管理人必须在新规则开始实施前依照《信息披露办法》的有关规定在规定媒介上公告。</w:t>
      </w:r>
    </w:p>
    <w:p w14:paraId="614AFA37"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申购与赎回的程序</w:t>
      </w:r>
    </w:p>
    <w:p w14:paraId="146DFAD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1、申购和赎回的申请方式</w:t>
      </w:r>
    </w:p>
    <w:p w14:paraId="5A3C719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投资人必须根据销售机构规定的程序，在开放日的具体业务办理时间内提出申购或赎回的申请。投资者在提交申购申请时，须按销售机构规定的方式备足申购资金，投资者在提交赎回申请时，应确保账户内有足够的基金份额余额，否则申购、赎回申请不成立。</w:t>
      </w:r>
    </w:p>
    <w:p w14:paraId="5BDF11F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2、申购和赎回的款项支付</w:t>
      </w:r>
    </w:p>
    <w:p w14:paraId="17BFFAB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投资人申购基金份额时，必须在规定时间前全额交付申购款项，否则所提交的申购申请不成立。投资人在规定时间前全额交付申购款项，申购成立；基金份额登记机构确认基金份额时，申购生效。</w:t>
      </w:r>
    </w:p>
    <w:p w14:paraId="3B02A9E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在提交赎回申请时，必须有足够的基金份额余额，否则所提交的赎回申请不成立。基金份额持有人递交赎回申请，赎回成立；基金份额登记机构确认赎回时，赎回生效。投资者赎回申请生效后，基金管理人将在T+7日（包括该日）内支付赎回款项。在发生巨额赎回时，款项的支付办法参照基金合同有关条款处理。</w:t>
      </w:r>
    </w:p>
    <w:p w14:paraId="703CF82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遇交易所或交易市场数据传输延迟、通讯系统故障、银行数据交换系统故障、港股通交易系统故障、港股通资金交收规则限制或其他非基金管理人及基金托管人所能控制的因素影响业务处理流程，则赎回款项顺延至上述情形消除后的下一个工作日划出。</w:t>
      </w:r>
    </w:p>
    <w:p w14:paraId="6E09E0D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基金管理人可以在法律法规和基金合同允许的范围内，对上述业务办理时间进行调整，基金管理人必须在调整实施前依照《信息披露办法》的有关规定在规定媒介上公告。</w:t>
      </w:r>
    </w:p>
    <w:p w14:paraId="0C027F2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3、申购和赎回申请的确认</w:t>
      </w:r>
    </w:p>
    <w:p w14:paraId="56D5C5A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以交易时间结束前受理有效申购和赎回申请的当天作为申购或赎回申请日(T日)，在正常情况下，本基金登记机构在T+1日内对该交易的有效性进行确认。T日提交的有效申请，投资人应在T+2日后(包括该日)及时到销售网点柜台或以销售机构规定的其他方式查询申请的确认情况。若申购不成立或无效，则申购款项退还给投资人。</w:t>
      </w:r>
    </w:p>
    <w:p w14:paraId="620D60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销售机构对申购、赎回申请的受理并不代表申请一定成功，而仅代表销售机构确实接收到申请。申购、赎回的确认以登记机构的确认结果为准。对于申请的确认情况，投资者应及时查询并妥善行使合法权利，否则，由此产生的任何损失由投资人自行承担。</w:t>
      </w:r>
    </w:p>
    <w:p w14:paraId="3628DE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在法律法规允许的范围内，本基金管理人或登记机构可根据业务规则，对上述业务办理时间进行调整，基金管理人必须在调整实施前依照《信息披露办法》的有关规定在规定媒介上公告。</w:t>
      </w:r>
    </w:p>
    <w:p w14:paraId="58E33FE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申购和赎回的数量限制</w:t>
      </w:r>
    </w:p>
    <w:p w14:paraId="2118388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投资者通过基金管理人直销中心首次申购本基金基金份额的最低金额为人民币50,000元；通过基金管理人线上直销系统申购本基金基金份额单笔最低金额为人民币1元；通过其他销售机构的销售网点申购本基金基金份额单笔最低金额为人民币1元（含申购费）。超过最低申购金额的部分不设金额级差。各销售机构对本基金最低申购金额及交易级差有其他规定的，以各销售机构的业务规定为准。</w:t>
      </w:r>
    </w:p>
    <w:p w14:paraId="393E175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2、基金份额持有人可将其全部或部分基金份额赎回，赎回最低份额0.1份，基金份额持有人在销售机构保留的基金份额不足0.1份的，登记系统有权将全部</w:t>
      </w:r>
      <w:r>
        <w:rPr>
          <w:rStyle w:val="custom"/>
          <w:rFonts w:ascii="宋体" w:hAnsi="宋体" w:cs="宋体"/>
          <w:kern w:val="0"/>
          <w:sz w:val="24"/>
          <w:szCs w:val="24"/>
        </w:rPr>
        <w:lastRenderedPageBreak/>
        <w:t>剩余份额自动赎回。</w:t>
      </w:r>
    </w:p>
    <w:p w14:paraId="1E12658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投资者可多次申购，对单个投资者累计持有基金份额的比例或数量不设上限限制，对单个投资者申购金额上限、基金规模上限或基金单日净申购比例不设上限，但单一投资者持有基金份额数不得达到或超过基金份额总数的50%（在基金运作过程中因基金份额赎回等基金管理人无法予以控制的情形导致被动达到或超过50%的除外）。法律法规或监管机构另有规定的，从其规定。</w:t>
      </w:r>
    </w:p>
    <w:p w14:paraId="42CEE994" w14:textId="77777777" w:rsidR="00496B2C" w:rsidRDefault="005605B9">
      <w:pPr>
        <w:pStyle w:val="div"/>
        <w:spacing w:line="360" w:lineRule="auto"/>
        <w:ind w:firstLine="420"/>
        <w:jc w:val="left"/>
        <w:rPr>
          <w:rFonts w:ascii="宋体" w:hAnsi="宋体" w:cs="宋体"/>
          <w:kern w:val="0"/>
          <w:sz w:val="24"/>
          <w:szCs w:val="24"/>
        </w:rPr>
      </w:pPr>
      <w:r>
        <w:rPr>
          <w:rStyle w:val="custom"/>
          <w:rFonts w:ascii="宋体" w:hAnsi="宋体" w:cs="宋体"/>
          <w:kern w:val="0"/>
          <w:sz w:val="24"/>
          <w:szCs w:val="24"/>
        </w:rPr>
        <w:t>4、</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净申购比例上限、拒绝大额申购、暂停基金申购等措施，切实保护存量基金份额持有人的合法权益。基金管理人基于投资运作与风险控制的需要，可采取上述措施对基金规模予以控制。</w:t>
      </w:r>
      <w:r>
        <w:rPr>
          <w:rFonts w:ascii="宋体" w:hAnsi="宋体" w:cs="宋体" w:hint="eastAsia"/>
          <w:kern w:val="0"/>
          <w:sz w:val="24"/>
          <w:szCs w:val="24"/>
        </w:rPr>
        <w:t>具体见基金管理人相关公告。</w:t>
      </w:r>
    </w:p>
    <w:p w14:paraId="16E3A950"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5</w:t>
      </w:r>
      <w:r>
        <w:rPr>
          <w:rFonts w:ascii="宋体" w:hAnsi="宋体" w:cs="宋体" w:hint="eastAsia"/>
          <w:kern w:val="0"/>
          <w:sz w:val="24"/>
          <w:szCs w:val="24"/>
        </w:rPr>
        <w:t>、基金管理人可在法律法规允许的情况下，调整上述规定申购金额和赎回份额的数量限制或新增基金规模控制措施。</w:t>
      </w:r>
      <w:r>
        <w:rPr>
          <w:rFonts w:ascii="宋体" w:hAnsi="宋体" w:cs="宋体"/>
          <w:kern w:val="0"/>
          <w:sz w:val="24"/>
          <w:szCs w:val="24"/>
        </w:rPr>
        <w:t>基金管理人必须在调整实施前依照《信息披露办法》的有关规定在规定媒介上公告。</w:t>
      </w:r>
    </w:p>
    <w:p w14:paraId="36E30DA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申购费用和赎回费用</w:t>
      </w:r>
    </w:p>
    <w:p w14:paraId="3F904E62"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申购费用</w:t>
      </w:r>
    </w:p>
    <w:p w14:paraId="1E1BE9B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投资者通过直销机构申购本基金基金份额的，不收取申购费。</w:t>
      </w:r>
    </w:p>
    <w:p w14:paraId="2FE19202"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投资者</w:t>
      </w:r>
      <w:r>
        <w:rPr>
          <w:rStyle w:val="custom"/>
          <w:rFonts w:ascii="宋体" w:hAnsi="宋体" w:cs="宋体" w:hint="eastAsia"/>
          <w:kern w:val="0"/>
          <w:sz w:val="24"/>
          <w:szCs w:val="24"/>
        </w:rPr>
        <w:t>通过直销机构以外的其他销售机构</w:t>
      </w:r>
      <w:r>
        <w:rPr>
          <w:rStyle w:val="custom"/>
          <w:rFonts w:ascii="宋体" w:hAnsi="宋体" w:cs="宋体"/>
          <w:kern w:val="0"/>
          <w:sz w:val="24"/>
          <w:szCs w:val="24"/>
        </w:rPr>
        <w:t>申购本基金C类基金份额不收取申购费用</w:t>
      </w:r>
      <w:r>
        <w:rPr>
          <w:rStyle w:val="custom"/>
          <w:rFonts w:ascii="宋体" w:hAnsi="宋体" w:cs="宋体" w:hint="eastAsia"/>
          <w:kern w:val="0"/>
          <w:sz w:val="24"/>
          <w:szCs w:val="24"/>
        </w:rPr>
        <w:t>；申购</w:t>
      </w:r>
      <w:r>
        <w:rPr>
          <w:rStyle w:val="custom"/>
          <w:rFonts w:ascii="宋体" w:hAnsi="宋体" w:cs="宋体"/>
          <w:kern w:val="0"/>
          <w:sz w:val="24"/>
          <w:szCs w:val="24"/>
        </w:rPr>
        <w:t>A类基金份额的</w:t>
      </w:r>
      <w:r>
        <w:rPr>
          <w:rStyle w:val="custom"/>
          <w:rFonts w:ascii="宋体" w:hAnsi="宋体" w:cs="宋体" w:hint="eastAsia"/>
          <w:kern w:val="0"/>
          <w:sz w:val="24"/>
          <w:szCs w:val="24"/>
        </w:rPr>
        <w:t>，</w:t>
      </w:r>
      <w:r>
        <w:rPr>
          <w:rStyle w:val="custom"/>
          <w:rFonts w:ascii="宋体" w:hAnsi="宋体" w:cs="宋体"/>
          <w:kern w:val="0"/>
          <w:sz w:val="24"/>
          <w:szCs w:val="24"/>
        </w:rPr>
        <w:t>申购费率随申购金额增加而递减。投资者在一天之内如果有多笔申购，适用费率按单笔申购申请单独计算。投资者</w:t>
      </w:r>
      <w:r>
        <w:rPr>
          <w:rStyle w:val="custom"/>
          <w:rFonts w:ascii="宋体" w:hAnsi="宋体" w:cs="宋体" w:hint="eastAsia"/>
          <w:kern w:val="0"/>
          <w:sz w:val="24"/>
          <w:szCs w:val="24"/>
        </w:rPr>
        <w:t>通过直销机构以外的其他销售机构</w:t>
      </w:r>
      <w:r>
        <w:rPr>
          <w:rStyle w:val="custom"/>
          <w:rFonts w:ascii="宋体" w:hAnsi="宋体" w:cs="宋体"/>
          <w:kern w:val="0"/>
          <w:sz w:val="24"/>
          <w:szCs w:val="24"/>
        </w:rPr>
        <w:t>申购A类基金份额的具体申购费率如下表所示：</w:t>
      </w:r>
    </w:p>
    <w:tbl>
      <w:tblPr>
        <w:tblStyle w:val="tableTable"/>
        <w:tblW w:w="7940" w:type="dxa"/>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4257"/>
        <w:gridCol w:w="3683"/>
      </w:tblGrid>
      <w:tr w:rsidR="00496B2C" w14:paraId="36AF7294" w14:textId="77777777">
        <w:trPr>
          <w:trHeight w:val="460"/>
          <w:jc w:val="center"/>
        </w:trPr>
        <w:tc>
          <w:tcPr>
            <w:tcW w:w="0" w:type="auto"/>
            <w:tcBorders>
              <w:bottom w:val="single" w:sz="6" w:space="0" w:color="000000"/>
              <w:right w:val="single" w:sz="6" w:space="0" w:color="000000"/>
            </w:tcBorders>
            <w:tcMar>
              <w:top w:w="0" w:type="dxa"/>
              <w:left w:w="110" w:type="dxa"/>
              <w:bottom w:w="0" w:type="dxa"/>
              <w:right w:w="108" w:type="dxa"/>
            </w:tcMar>
            <w:vAlign w:val="center"/>
          </w:tcPr>
          <w:p w14:paraId="7BAB149D"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申购金额（M）</w:t>
            </w:r>
          </w:p>
        </w:tc>
        <w:tc>
          <w:tcPr>
            <w:tcW w:w="0" w:type="auto"/>
            <w:tcBorders>
              <w:left w:val="single" w:sz="6" w:space="0" w:color="000000"/>
              <w:bottom w:val="single" w:sz="6" w:space="0" w:color="000000"/>
            </w:tcBorders>
            <w:tcMar>
              <w:top w:w="0" w:type="dxa"/>
              <w:left w:w="108" w:type="dxa"/>
              <w:bottom w:w="0" w:type="dxa"/>
              <w:right w:w="110" w:type="dxa"/>
            </w:tcMar>
            <w:vAlign w:val="center"/>
          </w:tcPr>
          <w:p w14:paraId="6D42CC95"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申购费率</w:t>
            </w:r>
          </w:p>
        </w:tc>
      </w:tr>
      <w:tr w:rsidR="00496B2C" w14:paraId="5AA3A53C" w14:textId="77777777">
        <w:trPr>
          <w:trHeight w:val="460"/>
          <w:jc w:val="center"/>
        </w:trPr>
        <w:tc>
          <w:tcPr>
            <w:tcW w:w="0" w:type="auto"/>
            <w:tcBorders>
              <w:top w:val="single" w:sz="6" w:space="0" w:color="000000"/>
              <w:bottom w:val="single" w:sz="6" w:space="0" w:color="000000"/>
              <w:right w:val="single" w:sz="6" w:space="0" w:color="000000"/>
            </w:tcBorders>
            <w:tcMar>
              <w:top w:w="0" w:type="dxa"/>
              <w:left w:w="110" w:type="dxa"/>
              <w:bottom w:w="0" w:type="dxa"/>
              <w:right w:w="108" w:type="dxa"/>
            </w:tcMar>
            <w:vAlign w:val="center"/>
          </w:tcPr>
          <w:p w14:paraId="03CB7AC0"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M＜</w:t>
            </w:r>
            <w:r>
              <w:rPr>
                <w:rStyle w:val="custom"/>
                <w:rFonts w:ascii="宋体" w:hAnsi="宋体" w:cs="宋体" w:hint="eastAsia"/>
                <w:color w:val="000000"/>
                <w:kern w:val="0"/>
                <w:sz w:val="24"/>
                <w:szCs w:val="24"/>
              </w:rPr>
              <w:t>5</w:t>
            </w:r>
            <w:r>
              <w:rPr>
                <w:rStyle w:val="custom"/>
                <w:rFonts w:ascii="宋体" w:hAnsi="宋体" w:cs="宋体"/>
                <w:color w:val="000000"/>
                <w:kern w:val="0"/>
                <w:sz w:val="24"/>
                <w:szCs w:val="24"/>
              </w:rPr>
              <w:t>00万元</w:t>
            </w:r>
          </w:p>
        </w:tc>
        <w:tc>
          <w:tcPr>
            <w:tcW w:w="0" w:type="auto"/>
            <w:tcBorders>
              <w:top w:val="single" w:sz="6" w:space="0" w:color="000000"/>
              <w:left w:val="single" w:sz="6" w:space="0" w:color="000000"/>
              <w:bottom w:val="single" w:sz="6" w:space="0" w:color="000000"/>
            </w:tcBorders>
            <w:tcMar>
              <w:top w:w="0" w:type="dxa"/>
              <w:left w:w="108" w:type="dxa"/>
              <w:bottom w:w="0" w:type="dxa"/>
              <w:right w:w="110" w:type="dxa"/>
            </w:tcMar>
            <w:vAlign w:val="center"/>
          </w:tcPr>
          <w:p w14:paraId="3030C934"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hint="eastAsia"/>
                <w:color w:val="000000"/>
                <w:kern w:val="0"/>
                <w:sz w:val="24"/>
                <w:szCs w:val="24"/>
              </w:rPr>
              <w:t>0.8</w:t>
            </w:r>
            <w:r>
              <w:rPr>
                <w:rStyle w:val="custom"/>
                <w:rFonts w:ascii="宋体" w:hAnsi="宋体" w:cs="宋体"/>
                <w:color w:val="000000"/>
                <w:kern w:val="0"/>
                <w:sz w:val="24"/>
                <w:szCs w:val="24"/>
              </w:rPr>
              <w:t>0%</w:t>
            </w:r>
          </w:p>
        </w:tc>
      </w:tr>
      <w:tr w:rsidR="00496B2C" w14:paraId="5B37D816" w14:textId="77777777">
        <w:trPr>
          <w:trHeight w:val="460"/>
          <w:jc w:val="center"/>
        </w:trPr>
        <w:tc>
          <w:tcPr>
            <w:tcW w:w="0" w:type="auto"/>
            <w:tcBorders>
              <w:top w:val="single" w:sz="6" w:space="0" w:color="000000"/>
              <w:right w:val="single" w:sz="6" w:space="0" w:color="000000"/>
            </w:tcBorders>
            <w:tcMar>
              <w:top w:w="0" w:type="dxa"/>
              <w:left w:w="110" w:type="dxa"/>
              <w:bottom w:w="0" w:type="dxa"/>
              <w:right w:w="108" w:type="dxa"/>
            </w:tcMar>
            <w:vAlign w:val="center"/>
          </w:tcPr>
          <w:p w14:paraId="5306C45D"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M≥500万元</w:t>
            </w:r>
          </w:p>
        </w:tc>
        <w:tc>
          <w:tcPr>
            <w:tcW w:w="0" w:type="auto"/>
            <w:tcBorders>
              <w:top w:val="single" w:sz="6" w:space="0" w:color="000000"/>
              <w:left w:val="single" w:sz="6" w:space="0" w:color="000000"/>
            </w:tcBorders>
            <w:tcMar>
              <w:top w:w="0" w:type="dxa"/>
              <w:left w:w="108" w:type="dxa"/>
              <w:bottom w:w="0" w:type="dxa"/>
              <w:right w:w="110" w:type="dxa"/>
            </w:tcMar>
            <w:vAlign w:val="center"/>
          </w:tcPr>
          <w:p w14:paraId="45A80E42"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每笔1000元</w:t>
            </w:r>
          </w:p>
        </w:tc>
      </w:tr>
    </w:tbl>
    <w:p w14:paraId="0869A33B"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A类基金份额的申购费用由</w:t>
      </w:r>
      <w:r>
        <w:rPr>
          <w:rStyle w:val="custom"/>
          <w:rFonts w:ascii="宋体" w:hAnsi="宋体" w:cs="宋体" w:hint="eastAsia"/>
          <w:kern w:val="0"/>
          <w:sz w:val="24"/>
          <w:szCs w:val="24"/>
        </w:rPr>
        <w:t>通过直销机构以外的其他销售机构申购</w:t>
      </w:r>
      <w:r>
        <w:rPr>
          <w:rStyle w:val="custom"/>
          <w:rFonts w:ascii="宋体" w:hAnsi="宋体" w:cs="宋体"/>
          <w:kern w:val="0"/>
          <w:sz w:val="24"/>
          <w:szCs w:val="24"/>
        </w:rPr>
        <w:t>A类基金份额的投资者承担，不列入基金财产，主要用于本基金的市场推广、销售等各项费用。</w:t>
      </w:r>
    </w:p>
    <w:p w14:paraId="57A7BCB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赎回费用</w:t>
      </w:r>
    </w:p>
    <w:p w14:paraId="5900823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基金赎回费率按基金份额持有人持有该部分基金份额的时间分段设定。</w:t>
      </w:r>
    </w:p>
    <w:p w14:paraId="0391475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本基金A</w:t>
      </w:r>
      <w:r>
        <w:rPr>
          <w:rStyle w:val="custom"/>
          <w:rFonts w:ascii="宋体" w:hAnsi="宋体" w:cs="宋体" w:hint="eastAsia"/>
          <w:kern w:val="0"/>
          <w:sz w:val="24"/>
          <w:szCs w:val="24"/>
        </w:rPr>
        <w:t>类、C</w:t>
      </w:r>
      <w:r>
        <w:rPr>
          <w:rStyle w:val="custom"/>
          <w:rFonts w:ascii="宋体" w:hAnsi="宋体" w:cs="宋体"/>
          <w:kern w:val="0"/>
          <w:sz w:val="24"/>
          <w:szCs w:val="24"/>
        </w:rPr>
        <w:t>类基金份额的赎回费率具体如下：</w:t>
      </w:r>
    </w:p>
    <w:tbl>
      <w:tblPr>
        <w:tblStyle w:val="tableTable"/>
        <w:tblW w:w="4756" w:type="dxa"/>
        <w:jc w:val="center"/>
        <w:tblBorders>
          <w:top w:val="single" w:sz="8" w:space="0" w:color="000000"/>
          <w:left w:val="single" w:sz="8" w:space="0" w:color="000000"/>
          <w:bottom w:val="single" w:sz="8" w:space="0" w:color="000000"/>
          <w:right w:val="single" w:sz="8" w:space="0" w:color="000000"/>
        </w:tblBorders>
        <w:tblCellMar>
          <w:left w:w="0" w:type="dxa"/>
          <w:right w:w="0" w:type="dxa"/>
        </w:tblCellMar>
        <w:tblLook w:val="04A0" w:firstRow="1" w:lastRow="0" w:firstColumn="1" w:lastColumn="0" w:noHBand="0" w:noVBand="1"/>
      </w:tblPr>
      <w:tblGrid>
        <w:gridCol w:w="3005"/>
        <w:gridCol w:w="1751"/>
      </w:tblGrid>
      <w:tr w:rsidR="00496B2C" w14:paraId="27DF8D52" w14:textId="77777777">
        <w:trPr>
          <w:trHeight w:val="460"/>
          <w:jc w:val="center"/>
        </w:trPr>
        <w:tc>
          <w:tcPr>
            <w:tcW w:w="0" w:type="auto"/>
            <w:tcBorders>
              <w:bottom w:val="single" w:sz="6" w:space="0" w:color="000000"/>
              <w:right w:val="single" w:sz="6" w:space="0" w:color="000000"/>
            </w:tcBorders>
            <w:tcMar>
              <w:top w:w="0" w:type="dxa"/>
              <w:left w:w="110" w:type="dxa"/>
              <w:bottom w:w="0" w:type="dxa"/>
              <w:right w:w="108" w:type="dxa"/>
            </w:tcMar>
            <w:vAlign w:val="center"/>
          </w:tcPr>
          <w:p w14:paraId="776B6F28"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持有期限（N）</w:t>
            </w:r>
          </w:p>
        </w:tc>
        <w:tc>
          <w:tcPr>
            <w:tcW w:w="0" w:type="auto"/>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6F945075"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赎回费率</w:t>
            </w:r>
          </w:p>
        </w:tc>
      </w:tr>
      <w:tr w:rsidR="00496B2C" w14:paraId="1EFE6A35" w14:textId="77777777">
        <w:trPr>
          <w:trHeight w:val="460"/>
          <w:jc w:val="center"/>
        </w:trPr>
        <w:tc>
          <w:tcPr>
            <w:tcW w:w="0" w:type="auto"/>
            <w:tcBorders>
              <w:top w:val="single" w:sz="6" w:space="0" w:color="000000"/>
              <w:bottom w:val="single" w:sz="6" w:space="0" w:color="000000"/>
              <w:right w:val="single" w:sz="6" w:space="0" w:color="000000"/>
            </w:tcBorders>
            <w:tcMar>
              <w:top w:w="0" w:type="dxa"/>
              <w:left w:w="110" w:type="dxa"/>
              <w:bottom w:w="0" w:type="dxa"/>
              <w:right w:w="108" w:type="dxa"/>
            </w:tcMar>
            <w:vAlign w:val="center"/>
          </w:tcPr>
          <w:p w14:paraId="463D3D28"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N＜7天</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60147A"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1.50%</w:t>
            </w:r>
          </w:p>
        </w:tc>
      </w:tr>
      <w:tr w:rsidR="00496B2C" w14:paraId="02D92D5B" w14:textId="77777777">
        <w:trPr>
          <w:trHeight w:val="460"/>
          <w:jc w:val="center"/>
        </w:trPr>
        <w:tc>
          <w:tcPr>
            <w:tcW w:w="0" w:type="auto"/>
            <w:tcBorders>
              <w:top w:val="single" w:sz="6" w:space="0" w:color="000000"/>
              <w:bottom w:val="single" w:sz="6" w:space="0" w:color="000000"/>
              <w:right w:val="single" w:sz="6" w:space="0" w:color="000000"/>
            </w:tcBorders>
            <w:tcMar>
              <w:top w:w="0" w:type="dxa"/>
              <w:left w:w="110" w:type="dxa"/>
              <w:bottom w:w="0" w:type="dxa"/>
              <w:right w:w="108" w:type="dxa"/>
            </w:tcMar>
            <w:vAlign w:val="center"/>
          </w:tcPr>
          <w:p w14:paraId="213D3D96"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7天≤N＜</w:t>
            </w:r>
            <w:r>
              <w:rPr>
                <w:rStyle w:val="custom"/>
                <w:rFonts w:ascii="宋体" w:hAnsi="宋体" w:cs="宋体" w:hint="eastAsia"/>
                <w:color w:val="000000"/>
                <w:kern w:val="0"/>
                <w:sz w:val="24"/>
                <w:szCs w:val="24"/>
              </w:rPr>
              <w:t>30天</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705E29"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hint="eastAsia"/>
                <w:color w:val="000000"/>
                <w:kern w:val="0"/>
                <w:sz w:val="24"/>
                <w:szCs w:val="24"/>
              </w:rPr>
              <w:t>1.00</w:t>
            </w:r>
            <w:r>
              <w:rPr>
                <w:rStyle w:val="custom"/>
                <w:rFonts w:ascii="宋体" w:hAnsi="宋体" w:cs="宋体"/>
                <w:color w:val="000000"/>
                <w:kern w:val="0"/>
                <w:sz w:val="24"/>
                <w:szCs w:val="24"/>
              </w:rPr>
              <w:t>%</w:t>
            </w:r>
          </w:p>
        </w:tc>
      </w:tr>
      <w:tr w:rsidR="00496B2C" w14:paraId="1B59F198" w14:textId="77777777">
        <w:trPr>
          <w:trHeight w:val="460"/>
          <w:jc w:val="center"/>
        </w:trPr>
        <w:tc>
          <w:tcPr>
            <w:tcW w:w="0" w:type="auto"/>
            <w:tcBorders>
              <w:top w:val="single" w:sz="6" w:space="0" w:color="000000"/>
              <w:bottom w:val="single" w:sz="6" w:space="0" w:color="000000"/>
              <w:right w:val="single" w:sz="6" w:space="0" w:color="000000"/>
            </w:tcBorders>
            <w:tcMar>
              <w:top w:w="0" w:type="dxa"/>
              <w:left w:w="110" w:type="dxa"/>
              <w:bottom w:w="0" w:type="dxa"/>
              <w:right w:w="108" w:type="dxa"/>
            </w:tcMar>
            <w:vAlign w:val="center"/>
          </w:tcPr>
          <w:p w14:paraId="60ADA318"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hint="eastAsia"/>
                <w:color w:val="000000"/>
                <w:kern w:val="0"/>
                <w:sz w:val="24"/>
                <w:szCs w:val="24"/>
              </w:rPr>
              <w:t>30天</w:t>
            </w:r>
            <w:r>
              <w:rPr>
                <w:rStyle w:val="custom"/>
                <w:rFonts w:ascii="宋体" w:hAnsi="宋体" w:cs="宋体"/>
                <w:color w:val="000000"/>
                <w:kern w:val="0"/>
                <w:sz w:val="24"/>
                <w:szCs w:val="24"/>
              </w:rPr>
              <w:t>≤N＜</w:t>
            </w:r>
            <w:r>
              <w:rPr>
                <w:rStyle w:val="custom"/>
                <w:rFonts w:ascii="宋体" w:hAnsi="宋体" w:cs="宋体" w:hint="eastAsia"/>
                <w:color w:val="000000"/>
                <w:kern w:val="0"/>
                <w:sz w:val="24"/>
                <w:szCs w:val="24"/>
              </w:rPr>
              <w:t>180天</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56C1EB"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0.50%</w:t>
            </w:r>
          </w:p>
        </w:tc>
      </w:tr>
      <w:tr w:rsidR="00496B2C" w14:paraId="078AC5CA" w14:textId="77777777">
        <w:trPr>
          <w:trHeight w:val="460"/>
          <w:jc w:val="center"/>
        </w:trPr>
        <w:tc>
          <w:tcPr>
            <w:tcW w:w="0" w:type="auto"/>
            <w:tcBorders>
              <w:top w:val="single" w:sz="6" w:space="0" w:color="000000"/>
              <w:right w:val="single" w:sz="6" w:space="0" w:color="000000"/>
            </w:tcBorders>
            <w:tcMar>
              <w:top w:w="0" w:type="dxa"/>
              <w:left w:w="110" w:type="dxa"/>
              <w:bottom w:w="0" w:type="dxa"/>
              <w:right w:w="108" w:type="dxa"/>
            </w:tcMar>
            <w:vAlign w:val="center"/>
          </w:tcPr>
          <w:p w14:paraId="649627EA"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N≥</w:t>
            </w:r>
            <w:r>
              <w:rPr>
                <w:rStyle w:val="custom"/>
                <w:rFonts w:ascii="宋体" w:hAnsi="宋体" w:cs="宋体" w:hint="eastAsia"/>
                <w:color w:val="000000"/>
                <w:kern w:val="0"/>
                <w:sz w:val="24"/>
                <w:szCs w:val="24"/>
              </w:rPr>
              <w:t>180天</w:t>
            </w:r>
          </w:p>
        </w:tc>
        <w:tc>
          <w:tcPr>
            <w:tcW w:w="0" w:type="auto"/>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6F86201C" w14:textId="77777777" w:rsidR="00496B2C" w:rsidRDefault="005605B9">
            <w:pPr>
              <w:pStyle w:val="div"/>
              <w:jc w:val="center"/>
              <w:rPr>
                <w:rStyle w:val="custom"/>
                <w:rFonts w:ascii="宋体" w:hAnsi="宋体" w:cs="宋体"/>
                <w:color w:val="000000"/>
                <w:kern w:val="0"/>
                <w:sz w:val="24"/>
                <w:szCs w:val="24"/>
              </w:rPr>
            </w:pPr>
            <w:r>
              <w:rPr>
                <w:rStyle w:val="custom"/>
                <w:rFonts w:ascii="宋体" w:hAnsi="宋体" w:cs="宋体"/>
                <w:color w:val="000000"/>
                <w:kern w:val="0"/>
                <w:sz w:val="24"/>
                <w:szCs w:val="24"/>
              </w:rPr>
              <w:t>0</w:t>
            </w:r>
          </w:p>
        </w:tc>
      </w:tr>
    </w:tbl>
    <w:p w14:paraId="71D29459"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赎回费用由赎回基金份额的基金份额持有人承担，在基金份额持有人赎回基金份额时收取。赎回费用全额计入基金财产。</w:t>
      </w:r>
    </w:p>
    <w:p w14:paraId="3691FC7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基金管理人可以在基金合同约定的范围内调整费率或收费方式，并最迟应于新的费率或收费方式实施日前依照《信息披露办法》的有关规定在规定媒介上公告。</w:t>
      </w:r>
    </w:p>
    <w:p w14:paraId="19901F74"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当本基金发生大额申购或赎回情形时，基金管理人可以采用摆动定价机制，以确保基金估值的公平性。具体处理原则与操作规范遵循相关法律法规以及监管部门、自律规则的规定。基金管理人依照《信息披露办法》的有关规定，将摆动定价机制的具体操作规则在规定媒介上公告。</w:t>
      </w:r>
    </w:p>
    <w:p w14:paraId="49136907"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基金管理人可以在不违反法律法规规定及基金合同约定的情形下根据市场情况制定基金促销计划，定期或不定期地开展基金促销活动。在基金促销活动期间，在对存量基金份额持有人利益无实质性不利影响的前提下，按相关监管部门要求履行必要手续后，基金管理人可以适当调低基金销售费率。</w:t>
      </w:r>
    </w:p>
    <w:p w14:paraId="08B0FAC0"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申购份额与赎回金额的计算</w:t>
      </w:r>
    </w:p>
    <w:p w14:paraId="08905CF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本基金申购份额的计算</w:t>
      </w:r>
    </w:p>
    <w:p w14:paraId="254C031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（1）申购A类基金份额</w:t>
      </w:r>
    </w:p>
    <w:p w14:paraId="701F777F"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kern w:val="0"/>
          <w:sz w:val="24"/>
          <w:szCs w:val="24"/>
        </w:rPr>
        <w:t>1</w:t>
      </w:r>
      <w:r>
        <w:rPr>
          <w:rStyle w:val="custom"/>
          <w:rFonts w:ascii="宋体" w:hAnsi="宋体" w:cs="宋体" w:hint="eastAsia"/>
          <w:kern w:val="0"/>
          <w:sz w:val="24"/>
          <w:szCs w:val="24"/>
        </w:rPr>
        <w:t>）</w:t>
      </w:r>
      <w:r>
        <w:rPr>
          <w:rFonts w:ascii="宋体" w:hAnsi="宋体" w:cs="宋体" w:hint="eastAsia"/>
          <w:kern w:val="0"/>
          <w:sz w:val="24"/>
          <w:szCs w:val="24"/>
        </w:rPr>
        <w:t>若投资者通过直销机构申购A类基金份额：</w:t>
      </w:r>
    </w:p>
    <w:p w14:paraId="023843CB"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申购份额=申购金额/申购当日</w:t>
      </w:r>
      <w:r>
        <w:rPr>
          <w:rStyle w:val="custom"/>
          <w:rFonts w:ascii="宋体" w:hAnsi="宋体" w:cs="宋体" w:hint="eastAsia"/>
          <w:kern w:val="0"/>
          <w:sz w:val="24"/>
          <w:szCs w:val="24"/>
        </w:rPr>
        <w:t>A</w:t>
      </w:r>
      <w:r>
        <w:rPr>
          <w:rStyle w:val="custom"/>
          <w:rFonts w:ascii="宋体" w:hAnsi="宋体" w:cs="宋体"/>
          <w:kern w:val="0"/>
          <w:sz w:val="24"/>
          <w:szCs w:val="24"/>
        </w:rPr>
        <w:t>类基金份额净值</w:t>
      </w:r>
    </w:p>
    <w:p w14:paraId="438D7194" w14:textId="77777777" w:rsidR="00496B2C" w:rsidRDefault="005605B9">
      <w:pPr>
        <w:pStyle w:val="div"/>
        <w:spacing w:line="360" w:lineRule="auto"/>
        <w:ind w:firstLine="420"/>
        <w:rPr>
          <w:rStyle w:val="custom"/>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）若投资者通过直销机构以外的其他销售机构申购</w:t>
      </w:r>
      <w:r>
        <w:rPr>
          <w:rStyle w:val="custom"/>
          <w:rFonts w:ascii="宋体" w:hAnsi="宋体" w:cs="宋体"/>
          <w:kern w:val="0"/>
          <w:sz w:val="24"/>
          <w:szCs w:val="24"/>
        </w:rPr>
        <w:t>A类基金份额的</w:t>
      </w:r>
      <w:r>
        <w:rPr>
          <w:rStyle w:val="custom"/>
          <w:rFonts w:ascii="宋体" w:hAnsi="宋体" w:cs="宋体" w:hint="eastAsia"/>
          <w:kern w:val="0"/>
          <w:sz w:val="24"/>
          <w:szCs w:val="24"/>
        </w:rPr>
        <w:t>，</w:t>
      </w:r>
      <w:r>
        <w:rPr>
          <w:rStyle w:val="custom"/>
          <w:rFonts w:ascii="宋体" w:hAnsi="宋体" w:cs="宋体"/>
          <w:kern w:val="0"/>
          <w:sz w:val="24"/>
          <w:szCs w:val="24"/>
        </w:rPr>
        <w:t>申购金额包括申购费用和净申购金额，其中：</w:t>
      </w:r>
    </w:p>
    <w:p w14:paraId="244B0267"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①</w:t>
      </w:r>
      <w:r>
        <w:rPr>
          <w:rStyle w:val="custom"/>
          <w:rFonts w:ascii="宋体" w:hAnsi="宋体" w:cs="宋体"/>
          <w:kern w:val="0"/>
          <w:sz w:val="24"/>
          <w:szCs w:val="24"/>
        </w:rPr>
        <w:t>申购费用适用比例费率时：</w:t>
      </w:r>
    </w:p>
    <w:p w14:paraId="6CA7E66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净申购金额=申购金额/（1＋申购费率）</w:t>
      </w:r>
    </w:p>
    <w:p w14:paraId="003F1E7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申购费用=申购金额-净申购金额</w:t>
      </w:r>
    </w:p>
    <w:p w14:paraId="107F95DE"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申购份额=净申购金额/申购当日A类基金份额净值</w:t>
      </w:r>
    </w:p>
    <w:p w14:paraId="09A51DB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②</w:t>
      </w:r>
      <w:r>
        <w:rPr>
          <w:rStyle w:val="custom"/>
          <w:rFonts w:ascii="宋体" w:hAnsi="宋体" w:cs="宋体"/>
          <w:kern w:val="0"/>
          <w:sz w:val="24"/>
          <w:szCs w:val="24"/>
        </w:rPr>
        <w:t>申购费用适用固定金额时：</w:t>
      </w:r>
    </w:p>
    <w:p w14:paraId="1E7118C7"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申购费用=固定金额</w:t>
      </w:r>
    </w:p>
    <w:p w14:paraId="73D05187"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净申购金额=申购金额-申购费用</w:t>
      </w:r>
    </w:p>
    <w:p w14:paraId="19D4A626"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申购份额=净申购金额/申购当日A类基金份额净值</w:t>
      </w:r>
    </w:p>
    <w:p w14:paraId="0DF6CE42"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（2）申购C类基金份额</w:t>
      </w:r>
    </w:p>
    <w:p w14:paraId="5053744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申购份额=申购金额/申购当日C类基金份额净值</w:t>
      </w:r>
    </w:p>
    <w:p w14:paraId="2CA0610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（3）上述申购份额计算结果保留到小数点后2位，小数点2位以后的部分四舍五入，由此误差产生的收益或损失由基金财产承担。</w:t>
      </w:r>
    </w:p>
    <w:p w14:paraId="1FB7C50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例1.某投资者</w:t>
      </w:r>
      <w:r>
        <w:rPr>
          <w:rStyle w:val="custom"/>
          <w:rFonts w:ascii="宋体" w:hAnsi="宋体" w:cs="宋体" w:hint="eastAsia"/>
          <w:kern w:val="0"/>
          <w:sz w:val="24"/>
          <w:szCs w:val="24"/>
        </w:rPr>
        <w:t>通过其他销售机构</w:t>
      </w:r>
      <w:r>
        <w:rPr>
          <w:rStyle w:val="custom"/>
          <w:rFonts w:ascii="宋体" w:hAnsi="宋体" w:cs="宋体"/>
          <w:kern w:val="0"/>
          <w:sz w:val="24"/>
          <w:szCs w:val="24"/>
        </w:rPr>
        <w:t>投资50,000元申购本基金A类基金份额，其对应的申购费率为</w:t>
      </w:r>
      <w:r>
        <w:rPr>
          <w:rStyle w:val="custom"/>
          <w:rFonts w:ascii="宋体" w:hAnsi="宋体" w:cs="宋体" w:hint="eastAsia"/>
          <w:kern w:val="0"/>
          <w:sz w:val="24"/>
          <w:szCs w:val="24"/>
        </w:rPr>
        <w:t>0.8</w:t>
      </w:r>
      <w:r>
        <w:rPr>
          <w:rStyle w:val="custom"/>
          <w:rFonts w:ascii="宋体" w:hAnsi="宋体" w:cs="宋体"/>
          <w:kern w:val="0"/>
          <w:sz w:val="24"/>
          <w:szCs w:val="24"/>
        </w:rPr>
        <w:t>0%，假设申购当日A类基金份额净值为1.0520元，则可得到的申购份额为：</w:t>
      </w:r>
    </w:p>
    <w:p w14:paraId="680D815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净申购金额=50,000/（1+</w:t>
      </w:r>
      <w:r>
        <w:rPr>
          <w:rStyle w:val="custom"/>
          <w:rFonts w:ascii="宋体" w:hAnsi="宋体" w:cs="宋体" w:hint="eastAsia"/>
          <w:kern w:val="0"/>
          <w:sz w:val="24"/>
          <w:szCs w:val="24"/>
        </w:rPr>
        <w:t>0.8</w:t>
      </w:r>
      <w:r>
        <w:rPr>
          <w:rStyle w:val="custom"/>
          <w:rFonts w:ascii="宋体" w:hAnsi="宋体" w:cs="宋体"/>
          <w:kern w:val="0"/>
          <w:sz w:val="24"/>
          <w:szCs w:val="24"/>
        </w:rPr>
        <w:t>0%）=49,603.17元</w:t>
      </w:r>
    </w:p>
    <w:p w14:paraId="6926E4F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申购费用=50,000–49,603.17=</w:t>
      </w:r>
      <w:r>
        <w:rPr>
          <w:rStyle w:val="custom"/>
          <w:rFonts w:ascii="宋体" w:hAnsi="宋体" w:cs="宋体" w:hint="eastAsia"/>
          <w:kern w:val="0"/>
          <w:sz w:val="24"/>
          <w:szCs w:val="24"/>
        </w:rPr>
        <w:t>396.83</w:t>
      </w:r>
      <w:r>
        <w:rPr>
          <w:rStyle w:val="custom"/>
          <w:rFonts w:ascii="宋体" w:hAnsi="宋体" w:cs="宋体"/>
          <w:kern w:val="0"/>
          <w:sz w:val="24"/>
          <w:szCs w:val="24"/>
        </w:rPr>
        <w:t>元</w:t>
      </w:r>
    </w:p>
    <w:p w14:paraId="142B41E2"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申购份额=49,603.17/1.0520=47,151.30份</w:t>
      </w:r>
    </w:p>
    <w:p w14:paraId="5A8B46A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即：投资者</w:t>
      </w:r>
      <w:r>
        <w:rPr>
          <w:rStyle w:val="custom"/>
          <w:rFonts w:ascii="宋体" w:hAnsi="宋体" w:cs="宋体" w:hint="eastAsia"/>
          <w:kern w:val="0"/>
          <w:sz w:val="24"/>
          <w:szCs w:val="24"/>
        </w:rPr>
        <w:t>通过其他销售机构</w:t>
      </w:r>
      <w:r>
        <w:rPr>
          <w:rStyle w:val="custom"/>
          <w:rFonts w:ascii="宋体" w:hAnsi="宋体" w:cs="宋体"/>
          <w:kern w:val="0"/>
          <w:sz w:val="24"/>
          <w:szCs w:val="24"/>
        </w:rPr>
        <w:t>投资50,000元申购本基金A类基金份额，其对应的申购费率为</w:t>
      </w:r>
      <w:r>
        <w:rPr>
          <w:rStyle w:val="custom"/>
          <w:rFonts w:ascii="宋体" w:hAnsi="宋体" w:cs="宋体" w:hint="eastAsia"/>
          <w:kern w:val="0"/>
          <w:sz w:val="24"/>
          <w:szCs w:val="24"/>
        </w:rPr>
        <w:t>0.8</w:t>
      </w:r>
      <w:r>
        <w:rPr>
          <w:rStyle w:val="custom"/>
          <w:rFonts w:ascii="宋体" w:hAnsi="宋体" w:cs="宋体"/>
          <w:kern w:val="0"/>
          <w:sz w:val="24"/>
          <w:szCs w:val="24"/>
        </w:rPr>
        <w:t>0%，假设申购当日A类基金份额净值为1.0520元，则其可得到47,151.30份A类基金份额。</w:t>
      </w:r>
    </w:p>
    <w:p w14:paraId="2C216BE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例2.某投资者通过直销机构投资10万元申购本基金A类基金份额，不收取申购费用，假设申购当日A类基金份额净值为1.0150元，则其可得到的申购份额计算如下：</w:t>
      </w:r>
    </w:p>
    <w:p w14:paraId="193629F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申购份额=100,000.00/1.0150=98,522.17份</w:t>
      </w:r>
    </w:p>
    <w:p w14:paraId="4DF5559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即：</w:t>
      </w:r>
      <w:r>
        <w:rPr>
          <w:rStyle w:val="custom"/>
          <w:rFonts w:ascii="宋体" w:hAnsi="宋体" w:cs="宋体" w:hint="eastAsia"/>
          <w:kern w:val="0"/>
          <w:sz w:val="24"/>
          <w:szCs w:val="24"/>
        </w:rPr>
        <w:t>投资者</w:t>
      </w:r>
      <w:r>
        <w:rPr>
          <w:rStyle w:val="custom"/>
          <w:rFonts w:ascii="宋体" w:hAnsi="宋体" w:cs="宋体"/>
          <w:kern w:val="0"/>
          <w:sz w:val="24"/>
          <w:szCs w:val="24"/>
        </w:rPr>
        <w:t>通过</w:t>
      </w:r>
      <w:r>
        <w:rPr>
          <w:rStyle w:val="custom"/>
          <w:rFonts w:ascii="宋体" w:hAnsi="宋体" w:cs="宋体" w:hint="eastAsia"/>
          <w:kern w:val="0"/>
          <w:sz w:val="24"/>
          <w:szCs w:val="24"/>
        </w:rPr>
        <w:t>直销机构</w:t>
      </w:r>
      <w:r>
        <w:rPr>
          <w:rStyle w:val="custom"/>
          <w:rFonts w:ascii="宋体" w:hAnsi="宋体" w:cs="宋体"/>
          <w:kern w:val="0"/>
          <w:sz w:val="24"/>
          <w:szCs w:val="24"/>
        </w:rPr>
        <w:t>投资10万元申购本基金A类基金份额，</w:t>
      </w:r>
      <w:r>
        <w:rPr>
          <w:rStyle w:val="custom"/>
          <w:rFonts w:ascii="宋体" w:hAnsi="宋体" w:cs="宋体" w:hint="eastAsia"/>
          <w:kern w:val="0"/>
          <w:sz w:val="24"/>
          <w:szCs w:val="24"/>
        </w:rPr>
        <w:t>不收取申购费</w:t>
      </w:r>
      <w:r>
        <w:rPr>
          <w:rStyle w:val="custom"/>
          <w:rFonts w:ascii="宋体" w:hAnsi="宋体" w:cs="宋体"/>
          <w:kern w:val="0"/>
          <w:sz w:val="24"/>
          <w:szCs w:val="24"/>
        </w:rPr>
        <w:t>，假设申购当日的A类基金份额净值为1.0150元，则其可得到98,522.17份A类基金份额。</w:t>
      </w:r>
    </w:p>
    <w:p w14:paraId="57E0EEF9"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例3.某投资者投资50,000元申购本基金C类基金份额，假设申购当日C类基金份额净值为1.0520元，则其可得到的C类基金份额为：</w:t>
      </w:r>
    </w:p>
    <w:p w14:paraId="6B3CA8F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申购份额=50,000.00/1.0520=47,528.52份</w:t>
      </w:r>
    </w:p>
    <w:p w14:paraId="112BC64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即：投资者投资50,000元申购本基金C类基金份额，假设申购当日C类基</w:t>
      </w:r>
      <w:r>
        <w:rPr>
          <w:rStyle w:val="custom"/>
          <w:rFonts w:ascii="宋体" w:hAnsi="宋体" w:cs="宋体"/>
          <w:kern w:val="0"/>
          <w:sz w:val="24"/>
          <w:szCs w:val="24"/>
        </w:rPr>
        <w:lastRenderedPageBreak/>
        <w:t>金份额净值为1.0520元，则可得到47,528.52份C类基金份额。</w:t>
      </w:r>
    </w:p>
    <w:p w14:paraId="57628003"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本基金赎回金额的计算</w:t>
      </w:r>
    </w:p>
    <w:p w14:paraId="78D5D458" w14:textId="77777777" w:rsidR="00496B2C" w:rsidRDefault="005605B9">
      <w:pPr>
        <w:spacing w:line="360" w:lineRule="auto"/>
        <w:ind w:firstLine="480"/>
        <w:rPr>
          <w:rFonts w:asciiTheme="minorEastAsia" w:eastAsiaTheme="minorEastAsia" w:hAnsiTheme="minorEastAsia"/>
          <w:sz w:val="24"/>
        </w:rPr>
      </w:pPr>
      <w:r>
        <w:rPr>
          <w:rFonts w:ascii="宋体" w:hAnsi="宋体" w:cs="宋体" w:hint="eastAsia"/>
          <w:kern w:val="0"/>
          <w:sz w:val="24"/>
          <w:szCs w:val="24"/>
        </w:rPr>
        <w:t>本基金赎回采用“份额赎回”的方式，赎回金额以当日该类基金份额净值为基准进行计算，</w:t>
      </w:r>
      <w:r>
        <w:rPr>
          <w:rFonts w:asciiTheme="minorEastAsia" w:eastAsiaTheme="minorEastAsia" w:hAnsiTheme="minorEastAsia" w:hint="eastAsia"/>
          <w:sz w:val="24"/>
        </w:rPr>
        <w:t>赎回金额的计算方法如下：</w:t>
      </w:r>
    </w:p>
    <w:p w14:paraId="3E402B54"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赎回总金额=赎回份额</w:t>
      </w:r>
      <w:r>
        <w:rPr>
          <w:rFonts w:asciiTheme="minorEastAsia" w:eastAsiaTheme="minorEastAsia" w:hAnsiTheme="minorEastAsia"/>
          <w:sz w:val="24"/>
        </w:rPr>
        <w:sym w:font="Symbol" w:char="F0B4"/>
      </w:r>
      <w:r>
        <w:rPr>
          <w:rFonts w:asciiTheme="minorEastAsia" w:eastAsiaTheme="minorEastAsia" w:hAnsiTheme="minorEastAsia"/>
          <w:sz w:val="24"/>
        </w:rPr>
        <w:t>赎回日</w:t>
      </w:r>
      <w:r>
        <w:rPr>
          <w:rFonts w:asciiTheme="minorEastAsia" w:eastAsiaTheme="minorEastAsia" w:hAnsiTheme="minorEastAsia" w:hint="eastAsia"/>
          <w:sz w:val="24"/>
        </w:rPr>
        <w:t>该类</w:t>
      </w:r>
      <w:r>
        <w:rPr>
          <w:rFonts w:asciiTheme="minorEastAsia" w:eastAsiaTheme="minorEastAsia" w:hAnsiTheme="minorEastAsia"/>
          <w:sz w:val="24"/>
        </w:rPr>
        <w:t>基金份额净值</w:t>
      </w:r>
    </w:p>
    <w:p w14:paraId="3ECB1CFE"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赎回费用＝赎回总金额×赎回费率</w:t>
      </w:r>
    </w:p>
    <w:p w14:paraId="11241032"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净赎回金额</w:t>
      </w:r>
      <w:r>
        <w:rPr>
          <w:rFonts w:asciiTheme="minorEastAsia" w:eastAsiaTheme="minorEastAsia" w:hAnsiTheme="minorEastAsia"/>
          <w:sz w:val="24"/>
        </w:rPr>
        <w:t>=</w:t>
      </w:r>
      <w:r>
        <w:rPr>
          <w:rFonts w:asciiTheme="minorEastAsia" w:eastAsiaTheme="minorEastAsia" w:hAnsiTheme="minorEastAsia" w:hint="eastAsia"/>
          <w:sz w:val="24"/>
        </w:rPr>
        <w:t>赎回总金额</w:t>
      </w:r>
      <w:r>
        <w:rPr>
          <w:rFonts w:asciiTheme="minorEastAsia" w:eastAsiaTheme="minorEastAsia" w:hAnsiTheme="minorEastAsia"/>
          <w:sz w:val="24"/>
        </w:rPr>
        <w:sym w:font="Symbol" w:char="F02D"/>
      </w:r>
      <w:r>
        <w:rPr>
          <w:rFonts w:asciiTheme="minorEastAsia" w:eastAsiaTheme="minorEastAsia" w:hAnsiTheme="minorEastAsia" w:hint="eastAsia"/>
          <w:sz w:val="24"/>
        </w:rPr>
        <w:t>赎回费用±该笔赎回确认应返还的或有管理费（如有）或该笔赎回确认应扣除的超额管理费（如有）</w:t>
      </w:r>
    </w:p>
    <w:p w14:paraId="2F8E126D"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其中，“±”表示：“</w:t>
      </w:r>
      <w:r>
        <w:rPr>
          <w:rFonts w:asciiTheme="minorEastAsia" w:eastAsiaTheme="minorEastAsia" w:hAnsiTheme="minorEastAsia"/>
          <w:sz w:val="24"/>
        </w:rPr>
        <w:t>+</w:t>
      </w:r>
      <w:r>
        <w:rPr>
          <w:rFonts w:asciiTheme="minorEastAsia" w:eastAsiaTheme="minorEastAsia" w:hAnsiTheme="minorEastAsia" w:hint="eastAsia"/>
          <w:sz w:val="24"/>
        </w:rPr>
        <w:t>”时，为加上该笔赎回确认应返还的或有管理费（如有）；“</w:t>
      </w:r>
      <w:r>
        <w:rPr>
          <w:rFonts w:asciiTheme="minorEastAsia" w:eastAsiaTheme="minorEastAsia" w:hAnsiTheme="minorEastAsia"/>
          <w:sz w:val="24"/>
        </w:rPr>
        <w:t>-</w:t>
      </w:r>
      <w:r>
        <w:rPr>
          <w:rFonts w:asciiTheme="minorEastAsia" w:eastAsiaTheme="minorEastAsia" w:hAnsiTheme="minorEastAsia" w:hint="eastAsia"/>
          <w:sz w:val="24"/>
        </w:rPr>
        <w:t>”时，为扣除该笔赎回确认应扣除的超额管理费（如有）。该笔赎回是否涉及返还或有管理费或扣除超额管理费的具体条件及计算方法等具体安排详见本招募说明书“基金费用与税收”部分。</w:t>
      </w:r>
    </w:p>
    <w:p w14:paraId="7865A547"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上述计算结果均按四舍五入方法，保留到小数点后2位，由此产生的收益或损失由基金财产承担。</w:t>
      </w:r>
    </w:p>
    <w:p w14:paraId="6E82922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此外，对于投资者通过直销机构认购/申购的C类基金份额所计提的销售服务费或者通过其他销售机构认购/申购且持续持有期限超过一年（即365天）以后继续计提的C类基金份额销售服务费，将在投资者赎回相应基金份额时随赎回款一并返还给投资者。</w:t>
      </w:r>
    </w:p>
    <w:p w14:paraId="222D914D"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例</w:t>
      </w:r>
      <w:r>
        <w:rPr>
          <w:rFonts w:asciiTheme="minorEastAsia" w:eastAsiaTheme="minorEastAsia" w:hAnsiTheme="minorEastAsia"/>
          <w:sz w:val="24"/>
        </w:rPr>
        <w:t>4</w:t>
      </w:r>
      <w:r>
        <w:rPr>
          <w:rFonts w:asciiTheme="minorEastAsia" w:eastAsiaTheme="minorEastAsia" w:hAnsiTheme="minorEastAsia" w:hint="eastAsia"/>
          <w:sz w:val="24"/>
        </w:rPr>
        <w:t>.某投资者在T日赎回10,000份A类基金份额，假设赎回当日A类基金份额净值为1.2500元，持有时间为</w:t>
      </w:r>
      <w:r>
        <w:rPr>
          <w:rFonts w:asciiTheme="minorEastAsia" w:eastAsiaTheme="minorEastAsia" w:hAnsiTheme="minorEastAsia"/>
          <w:sz w:val="24"/>
        </w:rPr>
        <w:t>100</w:t>
      </w:r>
      <w:r>
        <w:rPr>
          <w:rFonts w:asciiTheme="minorEastAsia" w:eastAsiaTheme="minorEastAsia" w:hAnsiTheme="minorEastAsia" w:hint="eastAsia"/>
          <w:sz w:val="24"/>
        </w:rPr>
        <w:t>日（未满</w:t>
      </w:r>
      <w:r>
        <w:rPr>
          <w:rFonts w:asciiTheme="minorEastAsia" w:eastAsiaTheme="minorEastAsia" w:hAnsiTheme="minorEastAsia"/>
          <w:sz w:val="24"/>
        </w:rPr>
        <w:t>365</w:t>
      </w:r>
      <w:r>
        <w:rPr>
          <w:rFonts w:asciiTheme="minorEastAsia" w:eastAsiaTheme="minorEastAsia" w:hAnsiTheme="minorEastAsia" w:hint="eastAsia"/>
          <w:sz w:val="24"/>
        </w:rPr>
        <w:t>天），赎回费率为</w:t>
      </w:r>
      <w:r>
        <w:rPr>
          <w:rFonts w:asciiTheme="minorEastAsia" w:eastAsiaTheme="minorEastAsia" w:hAnsiTheme="minorEastAsia"/>
          <w:sz w:val="24"/>
        </w:rPr>
        <w:t>0.50</w:t>
      </w:r>
      <w:r>
        <w:rPr>
          <w:rFonts w:asciiTheme="minorEastAsia" w:eastAsiaTheme="minorEastAsia" w:hAnsiTheme="minorEastAsia" w:hint="eastAsia"/>
          <w:sz w:val="24"/>
        </w:rPr>
        <w:t>%，其获得的净赎回金额计算如下：</w:t>
      </w:r>
    </w:p>
    <w:p w14:paraId="492BF430"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赎回</w:t>
      </w:r>
      <w:r>
        <w:rPr>
          <w:rFonts w:asciiTheme="minorEastAsia" w:eastAsiaTheme="minorEastAsia" w:hAnsiTheme="minorEastAsia"/>
          <w:sz w:val="24"/>
        </w:rPr>
        <w:t>总</w:t>
      </w:r>
      <w:r>
        <w:rPr>
          <w:rFonts w:asciiTheme="minorEastAsia" w:eastAsiaTheme="minorEastAsia" w:hAnsiTheme="minorEastAsia" w:hint="eastAsia"/>
          <w:sz w:val="24"/>
        </w:rPr>
        <w:t>金额＝10,000</w:t>
      </w:r>
      <w:r>
        <w:rPr>
          <w:rFonts w:asciiTheme="minorEastAsia" w:eastAsiaTheme="minorEastAsia" w:hAnsiTheme="minorEastAsia"/>
          <w:sz w:val="24"/>
        </w:rPr>
        <w:t>×</w:t>
      </w:r>
      <w:r>
        <w:rPr>
          <w:rFonts w:asciiTheme="minorEastAsia" w:eastAsiaTheme="minorEastAsia" w:hAnsiTheme="minorEastAsia" w:hint="eastAsia"/>
          <w:sz w:val="24"/>
        </w:rPr>
        <w:t>1.2500＝12,500.00元</w:t>
      </w:r>
    </w:p>
    <w:p w14:paraId="3643BEA3"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赎回费用＝</w:t>
      </w:r>
      <w:r>
        <w:rPr>
          <w:rFonts w:asciiTheme="minorEastAsia" w:eastAsiaTheme="minorEastAsia" w:hAnsiTheme="minorEastAsia" w:hint="eastAsia"/>
          <w:sz w:val="24"/>
        </w:rPr>
        <w:t>12,500.00</w:t>
      </w:r>
      <w:r>
        <w:rPr>
          <w:rFonts w:asciiTheme="minorEastAsia" w:eastAsiaTheme="minorEastAsia" w:hAnsiTheme="minorEastAsia"/>
          <w:sz w:val="24"/>
        </w:rPr>
        <w:t>×0.5</w:t>
      </w:r>
      <w:r>
        <w:rPr>
          <w:rFonts w:asciiTheme="minorEastAsia" w:eastAsiaTheme="minorEastAsia" w:hAnsiTheme="minorEastAsia" w:hint="eastAsia"/>
          <w:sz w:val="24"/>
        </w:rPr>
        <w:t>0%=</w:t>
      </w:r>
      <w:r>
        <w:rPr>
          <w:rFonts w:asciiTheme="minorEastAsia" w:eastAsiaTheme="minorEastAsia" w:hAnsiTheme="minorEastAsia"/>
          <w:sz w:val="24"/>
        </w:rPr>
        <w:t>62.50</w:t>
      </w:r>
      <w:r>
        <w:rPr>
          <w:rFonts w:asciiTheme="minorEastAsia" w:eastAsiaTheme="minorEastAsia" w:hAnsiTheme="minorEastAsia" w:hint="eastAsia"/>
          <w:sz w:val="24"/>
        </w:rPr>
        <w:t>元</w:t>
      </w:r>
    </w:p>
    <w:p w14:paraId="5FF54DF4"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净赎回金额=</w:t>
      </w:r>
      <w:r>
        <w:rPr>
          <w:rFonts w:asciiTheme="minorEastAsia" w:eastAsiaTheme="minorEastAsia" w:hAnsiTheme="minorEastAsia" w:hint="eastAsia"/>
          <w:sz w:val="24"/>
        </w:rPr>
        <w:t>12,500.00</w:t>
      </w:r>
      <w:r>
        <w:rPr>
          <w:rFonts w:asciiTheme="minorEastAsia" w:eastAsiaTheme="minorEastAsia" w:hAnsiTheme="minorEastAsia"/>
          <w:sz w:val="24"/>
        </w:rPr>
        <w:sym w:font="Symbol" w:char="F02D"/>
      </w:r>
      <w:r>
        <w:rPr>
          <w:rFonts w:asciiTheme="minorEastAsia" w:eastAsiaTheme="minorEastAsia" w:hAnsiTheme="minorEastAsia"/>
          <w:sz w:val="24"/>
        </w:rPr>
        <w:t>62.50</w:t>
      </w:r>
      <w:r>
        <w:rPr>
          <w:rFonts w:asciiTheme="minorEastAsia" w:eastAsiaTheme="minorEastAsia" w:hAnsiTheme="minorEastAsia" w:hint="eastAsia"/>
          <w:sz w:val="24"/>
        </w:rPr>
        <w:t>=</w:t>
      </w:r>
      <w:r>
        <w:rPr>
          <w:rFonts w:asciiTheme="minorEastAsia" w:eastAsiaTheme="minorEastAsia" w:hAnsiTheme="minorEastAsia"/>
          <w:sz w:val="24"/>
        </w:rPr>
        <w:t>12,437.5</w:t>
      </w:r>
      <w:r>
        <w:rPr>
          <w:rFonts w:asciiTheme="minorEastAsia" w:eastAsiaTheme="minorEastAsia" w:hAnsiTheme="minorEastAsia" w:hint="eastAsia"/>
          <w:sz w:val="24"/>
        </w:rPr>
        <w:t>0元</w:t>
      </w:r>
    </w:p>
    <w:p w14:paraId="60BC6234"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即：该投资者赎回10,000份A类基金份额，假设赎回当日A类基金份额净值为1.2500元，持有时间为</w:t>
      </w:r>
      <w:r>
        <w:rPr>
          <w:rFonts w:asciiTheme="minorEastAsia" w:eastAsiaTheme="minorEastAsia" w:hAnsiTheme="minorEastAsia"/>
          <w:sz w:val="24"/>
        </w:rPr>
        <w:t>100</w:t>
      </w:r>
      <w:r>
        <w:rPr>
          <w:rFonts w:asciiTheme="minorEastAsia" w:eastAsiaTheme="minorEastAsia" w:hAnsiTheme="minorEastAsia" w:hint="eastAsia"/>
          <w:sz w:val="24"/>
        </w:rPr>
        <w:t>日，则其获得的净赎回金额为</w:t>
      </w:r>
      <w:r>
        <w:rPr>
          <w:rFonts w:asciiTheme="minorEastAsia" w:eastAsiaTheme="minorEastAsia" w:hAnsiTheme="minorEastAsia"/>
          <w:sz w:val="24"/>
        </w:rPr>
        <w:t>12,437.5</w:t>
      </w:r>
      <w:r>
        <w:rPr>
          <w:rFonts w:asciiTheme="minorEastAsia" w:eastAsiaTheme="minorEastAsia" w:hAnsiTheme="minorEastAsia" w:hint="eastAsia"/>
          <w:sz w:val="24"/>
        </w:rPr>
        <w:t>0元。</w:t>
      </w:r>
    </w:p>
    <w:p w14:paraId="3610598E"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例</w:t>
      </w:r>
      <w:r>
        <w:rPr>
          <w:rFonts w:asciiTheme="minorEastAsia" w:eastAsiaTheme="minorEastAsia" w:hAnsiTheme="minorEastAsia"/>
          <w:sz w:val="24"/>
        </w:rPr>
        <w:t>5</w:t>
      </w:r>
      <w:r>
        <w:rPr>
          <w:rFonts w:asciiTheme="minorEastAsia" w:eastAsiaTheme="minorEastAsia" w:hAnsiTheme="minorEastAsia" w:hint="eastAsia"/>
          <w:sz w:val="24"/>
        </w:rPr>
        <w:t>.某投资者通过其他销售机构在T日赎回10,000份C类基金份额，假设赎回当日</w:t>
      </w:r>
      <w:r>
        <w:rPr>
          <w:rFonts w:asciiTheme="minorEastAsia" w:eastAsiaTheme="minorEastAsia" w:hAnsiTheme="minorEastAsia"/>
          <w:sz w:val="24"/>
        </w:rPr>
        <w:t>C</w:t>
      </w:r>
      <w:r>
        <w:rPr>
          <w:rFonts w:asciiTheme="minorEastAsia" w:eastAsiaTheme="minorEastAsia" w:hAnsiTheme="minorEastAsia" w:hint="eastAsia"/>
          <w:sz w:val="24"/>
        </w:rPr>
        <w:t>类基金份额净值为1.2500元，持有时间为200日，赎回费率为</w:t>
      </w:r>
      <w:r>
        <w:rPr>
          <w:rFonts w:asciiTheme="minorEastAsia" w:eastAsiaTheme="minorEastAsia" w:hAnsiTheme="minorEastAsia"/>
          <w:sz w:val="24"/>
        </w:rPr>
        <w:t>0</w:t>
      </w:r>
      <w:r>
        <w:rPr>
          <w:rFonts w:asciiTheme="minorEastAsia" w:eastAsiaTheme="minorEastAsia" w:hAnsiTheme="minorEastAsia" w:hint="eastAsia"/>
          <w:sz w:val="24"/>
        </w:rPr>
        <w:t>，且假设该笔赎回确认应收取的超额管理费为35.00元（即该笔赎回的基金份额达</w:t>
      </w:r>
      <w:r>
        <w:rPr>
          <w:rFonts w:asciiTheme="minorEastAsia" w:eastAsiaTheme="minorEastAsia" w:hAnsiTheme="minorEastAsia" w:hint="eastAsia"/>
          <w:sz w:val="24"/>
        </w:rPr>
        <w:lastRenderedPageBreak/>
        <w:t>到超额管理费收取情形，应从赎回款中扣除超额管理费），其获得的净赎回金额计算如下：</w:t>
      </w:r>
    </w:p>
    <w:p w14:paraId="2C486F4F"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赎回</w:t>
      </w:r>
      <w:r>
        <w:rPr>
          <w:rFonts w:asciiTheme="minorEastAsia" w:eastAsiaTheme="minorEastAsia" w:hAnsiTheme="minorEastAsia"/>
          <w:sz w:val="24"/>
        </w:rPr>
        <w:t>总</w:t>
      </w:r>
      <w:r>
        <w:rPr>
          <w:rFonts w:asciiTheme="minorEastAsia" w:eastAsiaTheme="minorEastAsia" w:hAnsiTheme="minorEastAsia" w:hint="eastAsia"/>
          <w:sz w:val="24"/>
        </w:rPr>
        <w:t>金额＝10,000</w:t>
      </w:r>
      <w:r>
        <w:rPr>
          <w:rFonts w:asciiTheme="minorEastAsia" w:eastAsiaTheme="minorEastAsia" w:hAnsiTheme="minorEastAsia"/>
          <w:sz w:val="24"/>
        </w:rPr>
        <w:t>×</w:t>
      </w:r>
      <w:r>
        <w:rPr>
          <w:rFonts w:asciiTheme="minorEastAsia" w:eastAsiaTheme="minorEastAsia" w:hAnsiTheme="minorEastAsia" w:hint="eastAsia"/>
          <w:sz w:val="24"/>
        </w:rPr>
        <w:t>1.2500＝12,500.00元</w:t>
      </w:r>
    </w:p>
    <w:p w14:paraId="71E2F18D"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赎回费用＝</w:t>
      </w:r>
      <w:r>
        <w:rPr>
          <w:rFonts w:ascii="宋体" w:hAnsi="宋体" w:cs="宋体" w:hint="eastAsia"/>
          <w:kern w:val="0"/>
          <w:sz w:val="24"/>
          <w:szCs w:val="24"/>
        </w:rPr>
        <w:t>12,500.00×0=</w:t>
      </w:r>
      <w:r>
        <w:rPr>
          <w:rFonts w:asciiTheme="minorEastAsia" w:eastAsiaTheme="minorEastAsia" w:hAnsiTheme="minorEastAsia"/>
          <w:sz w:val="24"/>
        </w:rPr>
        <w:t>0.00</w:t>
      </w:r>
      <w:r>
        <w:rPr>
          <w:rFonts w:asciiTheme="minorEastAsia" w:eastAsiaTheme="minorEastAsia" w:hAnsiTheme="minorEastAsia" w:hint="eastAsia"/>
          <w:sz w:val="24"/>
        </w:rPr>
        <w:t>元</w:t>
      </w:r>
    </w:p>
    <w:p w14:paraId="2A59B5D8"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sz w:val="24"/>
        </w:rPr>
        <w:t>净赎回金额=</w:t>
      </w:r>
      <w:r>
        <w:rPr>
          <w:rFonts w:asciiTheme="minorEastAsia" w:eastAsiaTheme="minorEastAsia" w:hAnsiTheme="minorEastAsia" w:hint="eastAsia"/>
          <w:sz w:val="24"/>
        </w:rPr>
        <w:t>12,500.00</w:t>
      </w:r>
      <w:r>
        <w:rPr>
          <w:rFonts w:asciiTheme="minorEastAsia" w:eastAsiaTheme="minorEastAsia" w:hAnsiTheme="minorEastAsia"/>
          <w:sz w:val="24"/>
        </w:rPr>
        <w:sym w:font="Symbol" w:char="F02D"/>
      </w:r>
      <w:r>
        <w:rPr>
          <w:rFonts w:asciiTheme="minorEastAsia" w:eastAsiaTheme="minorEastAsia" w:hAnsiTheme="minorEastAsia" w:hint="eastAsia"/>
          <w:sz w:val="24"/>
        </w:rPr>
        <w:t>0</w:t>
      </w:r>
      <w:r>
        <w:rPr>
          <w:rFonts w:asciiTheme="minorEastAsia" w:eastAsiaTheme="minorEastAsia" w:hAnsiTheme="minorEastAsia"/>
          <w:sz w:val="24"/>
        </w:rPr>
        <w:sym w:font="Symbol" w:char="F02D"/>
      </w:r>
      <w:r>
        <w:rPr>
          <w:rFonts w:asciiTheme="minorEastAsia" w:eastAsiaTheme="minorEastAsia" w:hAnsiTheme="minorEastAsia" w:hint="eastAsia"/>
          <w:sz w:val="24"/>
        </w:rPr>
        <w:t>35</w:t>
      </w:r>
      <w:r>
        <w:rPr>
          <w:rFonts w:asciiTheme="minorEastAsia" w:eastAsiaTheme="minorEastAsia" w:hAnsiTheme="minorEastAsia"/>
          <w:sz w:val="24"/>
        </w:rPr>
        <w:t>.00</w:t>
      </w:r>
      <w:r>
        <w:rPr>
          <w:rFonts w:asciiTheme="minorEastAsia" w:eastAsiaTheme="minorEastAsia" w:hAnsiTheme="minorEastAsia" w:hint="eastAsia"/>
          <w:sz w:val="24"/>
        </w:rPr>
        <w:t>=</w:t>
      </w:r>
      <w:r>
        <w:rPr>
          <w:rFonts w:asciiTheme="minorEastAsia" w:eastAsiaTheme="minorEastAsia" w:hAnsiTheme="minorEastAsia"/>
          <w:sz w:val="24"/>
        </w:rPr>
        <w:t>12,</w:t>
      </w:r>
      <w:r>
        <w:rPr>
          <w:rFonts w:asciiTheme="minorEastAsia" w:eastAsiaTheme="minorEastAsia" w:hAnsiTheme="minorEastAsia" w:hint="eastAsia"/>
          <w:sz w:val="24"/>
        </w:rPr>
        <w:t>465</w:t>
      </w:r>
      <w:r>
        <w:rPr>
          <w:rFonts w:asciiTheme="minorEastAsia" w:eastAsiaTheme="minorEastAsia" w:hAnsiTheme="minorEastAsia"/>
          <w:sz w:val="24"/>
        </w:rPr>
        <w:t>.00</w:t>
      </w:r>
      <w:r>
        <w:rPr>
          <w:rFonts w:asciiTheme="minorEastAsia" w:eastAsiaTheme="minorEastAsia" w:hAnsiTheme="minorEastAsia" w:hint="eastAsia"/>
          <w:sz w:val="24"/>
        </w:rPr>
        <w:t>元</w:t>
      </w:r>
    </w:p>
    <w:p w14:paraId="4EA1F09E"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即：该投资者通过其他销售机构赎回10,000份C类基金份额，假设赎回当日C类基金份额净值为1.2500元，持有时间为200日，赎回费率为</w:t>
      </w:r>
      <w:r>
        <w:rPr>
          <w:rFonts w:asciiTheme="minorEastAsia" w:eastAsiaTheme="minorEastAsia" w:hAnsiTheme="minorEastAsia"/>
          <w:sz w:val="24"/>
        </w:rPr>
        <w:t>0</w:t>
      </w:r>
      <w:r>
        <w:rPr>
          <w:rFonts w:asciiTheme="minorEastAsia" w:eastAsiaTheme="minorEastAsia" w:hAnsiTheme="minorEastAsia" w:hint="eastAsia"/>
          <w:sz w:val="24"/>
        </w:rPr>
        <w:t>，且假设该笔赎回确认应收取的超额管理费为35.00元（即该笔赎回的基金份额达到超额管理费收取情形，应从赎回款中扣除超额管理费），则其获得的净赎回金额为</w:t>
      </w:r>
      <w:r>
        <w:rPr>
          <w:rFonts w:asciiTheme="minorEastAsia" w:eastAsiaTheme="minorEastAsia" w:hAnsiTheme="minorEastAsia"/>
          <w:sz w:val="24"/>
        </w:rPr>
        <w:t>12,465.00</w:t>
      </w:r>
      <w:r>
        <w:rPr>
          <w:rFonts w:asciiTheme="minorEastAsia" w:eastAsiaTheme="minorEastAsia" w:hAnsiTheme="minorEastAsia" w:hint="eastAsia"/>
          <w:sz w:val="24"/>
        </w:rPr>
        <w:t>元。</w:t>
      </w:r>
    </w:p>
    <w:p w14:paraId="3598AC60"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例</w:t>
      </w:r>
      <w:r>
        <w:rPr>
          <w:rFonts w:asciiTheme="minorEastAsia" w:eastAsiaTheme="minorEastAsia" w:hAnsiTheme="minorEastAsia"/>
          <w:sz w:val="24"/>
        </w:rPr>
        <w:t>6.</w:t>
      </w:r>
      <w:r>
        <w:rPr>
          <w:rFonts w:asciiTheme="minorEastAsia" w:eastAsiaTheme="minorEastAsia" w:hAnsiTheme="minorEastAsia" w:hint="eastAsia"/>
          <w:sz w:val="24"/>
        </w:rPr>
        <w:t>某投资者在T日赎回100,000份A类基金份额，假设赎回当日A类基金份额净值为1.1000元，持有时间为730日，赎回费率为0，且假设该笔赎回确认应返还的或有管理费为</w:t>
      </w:r>
      <w:r>
        <w:rPr>
          <w:rFonts w:asciiTheme="minorEastAsia" w:eastAsiaTheme="minorEastAsia" w:hAnsiTheme="minorEastAsia"/>
          <w:sz w:val="24"/>
        </w:rPr>
        <w:t>700.00</w:t>
      </w:r>
      <w:r>
        <w:rPr>
          <w:rFonts w:asciiTheme="minorEastAsia" w:eastAsiaTheme="minorEastAsia" w:hAnsiTheme="minorEastAsia" w:hint="eastAsia"/>
          <w:sz w:val="24"/>
        </w:rPr>
        <w:t>元（即该笔赎回的基金份额符合或有管理费为0的情形，应将持有期限内计提的或有管理费全额返还），其获得的净赎回金额计算如下：</w:t>
      </w:r>
    </w:p>
    <w:p w14:paraId="3D19A396"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赎回总金额＝100,000×1.1000＝110,000.00元</w:t>
      </w:r>
    </w:p>
    <w:p w14:paraId="1BA57AA0"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赎回费用＝110,000.00</w:t>
      </w:r>
      <w:r>
        <w:rPr>
          <w:rFonts w:ascii="宋体" w:hAnsi="宋体" w:cs="宋体" w:hint="eastAsia"/>
          <w:kern w:val="0"/>
          <w:sz w:val="24"/>
          <w:szCs w:val="24"/>
        </w:rPr>
        <w:t>×0=</w:t>
      </w:r>
      <w:r>
        <w:rPr>
          <w:rFonts w:asciiTheme="minorEastAsia" w:eastAsiaTheme="minorEastAsia" w:hAnsiTheme="minorEastAsia" w:hint="eastAsia"/>
          <w:sz w:val="24"/>
        </w:rPr>
        <w:t>0</w:t>
      </w:r>
      <w:r>
        <w:rPr>
          <w:rFonts w:asciiTheme="minorEastAsia" w:eastAsiaTheme="minorEastAsia" w:hAnsiTheme="minorEastAsia"/>
          <w:sz w:val="24"/>
        </w:rPr>
        <w:t>.00</w:t>
      </w:r>
      <w:r>
        <w:rPr>
          <w:rFonts w:asciiTheme="minorEastAsia" w:eastAsiaTheme="minorEastAsia" w:hAnsiTheme="minorEastAsia" w:hint="eastAsia"/>
          <w:sz w:val="24"/>
        </w:rPr>
        <w:t>元</w:t>
      </w:r>
    </w:p>
    <w:p w14:paraId="365E0A64" w14:textId="77777777" w:rsidR="00496B2C" w:rsidRDefault="005605B9">
      <w:pPr>
        <w:spacing w:line="360" w:lineRule="auto"/>
        <w:ind w:firstLine="480"/>
        <w:rPr>
          <w:rFonts w:asciiTheme="minorEastAsia" w:eastAsiaTheme="minorEastAsia" w:hAnsiTheme="minorEastAsia"/>
          <w:sz w:val="24"/>
        </w:rPr>
      </w:pPr>
      <w:r>
        <w:rPr>
          <w:rFonts w:asciiTheme="minorEastAsia" w:eastAsiaTheme="minorEastAsia" w:hAnsiTheme="minorEastAsia" w:hint="eastAsia"/>
          <w:sz w:val="24"/>
        </w:rPr>
        <w:t>净赎回金额</w:t>
      </w:r>
      <w:r>
        <w:rPr>
          <w:rFonts w:asciiTheme="minorEastAsia" w:eastAsiaTheme="minorEastAsia" w:hAnsiTheme="minorEastAsia"/>
          <w:sz w:val="24"/>
        </w:rPr>
        <w:t>=</w:t>
      </w:r>
      <w:r>
        <w:rPr>
          <w:rFonts w:asciiTheme="minorEastAsia" w:eastAsiaTheme="minorEastAsia" w:hAnsiTheme="minorEastAsia" w:hint="eastAsia"/>
          <w:sz w:val="24"/>
        </w:rPr>
        <w:t>110,000.00</w:t>
      </w:r>
      <w:r>
        <w:rPr>
          <w:rFonts w:asciiTheme="minorEastAsia" w:eastAsiaTheme="minorEastAsia" w:hAnsiTheme="minorEastAsia"/>
          <w:sz w:val="24"/>
        </w:rPr>
        <w:sym w:font="Symbol" w:char="F02D"/>
      </w:r>
      <w:r>
        <w:rPr>
          <w:rFonts w:asciiTheme="minorEastAsia" w:eastAsiaTheme="minorEastAsia" w:hAnsiTheme="minorEastAsia"/>
          <w:sz w:val="24"/>
        </w:rPr>
        <w:t>0</w:t>
      </w:r>
      <w:r>
        <w:rPr>
          <w:rFonts w:asciiTheme="minorEastAsia" w:eastAsiaTheme="minorEastAsia" w:hAnsiTheme="minorEastAsia" w:hint="eastAsia"/>
          <w:sz w:val="24"/>
        </w:rPr>
        <w:t>+700</w:t>
      </w:r>
      <w:r>
        <w:rPr>
          <w:rFonts w:asciiTheme="minorEastAsia" w:eastAsiaTheme="minorEastAsia" w:hAnsiTheme="minorEastAsia"/>
          <w:sz w:val="24"/>
        </w:rPr>
        <w:t>.00=</w:t>
      </w:r>
      <w:r>
        <w:rPr>
          <w:rFonts w:asciiTheme="minorEastAsia" w:eastAsiaTheme="minorEastAsia" w:hAnsiTheme="minorEastAsia" w:hint="eastAsia"/>
          <w:sz w:val="24"/>
        </w:rPr>
        <w:t>110</w:t>
      </w:r>
      <w:r>
        <w:rPr>
          <w:rFonts w:asciiTheme="minorEastAsia" w:eastAsiaTheme="minorEastAsia" w:hAnsiTheme="minorEastAsia"/>
          <w:sz w:val="24"/>
        </w:rPr>
        <w:t>,</w:t>
      </w:r>
      <w:r>
        <w:rPr>
          <w:rFonts w:asciiTheme="minorEastAsia" w:eastAsiaTheme="minorEastAsia" w:hAnsiTheme="minorEastAsia" w:hint="eastAsia"/>
          <w:sz w:val="24"/>
        </w:rPr>
        <w:t>700</w:t>
      </w:r>
      <w:r>
        <w:rPr>
          <w:rFonts w:asciiTheme="minorEastAsia" w:eastAsiaTheme="minorEastAsia" w:hAnsiTheme="minorEastAsia"/>
          <w:sz w:val="24"/>
        </w:rPr>
        <w:t>.00</w:t>
      </w:r>
      <w:r>
        <w:rPr>
          <w:rFonts w:asciiTheme="minorEastAsia" w:eastAsiaTheme="minorEastAsia" w:hAnsiTheme="minorEastAsia" w:hint="eastAsia"/>
          <w:sz w:val="24"/>
        </w:rPr>
        <w:t>元</w:t>
      </w:r>
    </w:p>
    <w:p w14:paraId="50C175FE" w14:textId="77777777" w:rsidR="00496B2C" w:rsidRDefault="005605B9">
      <w:pPr>
        <w:pStyle w:val="div"/>
        <w:spacing w:line="360" w:lineRule="auto"/>
        <w:ind w:firstLine="420"/>
        <w:rPr>
          <w:rStyle w:val="custom"/>
          <w:rFonts w:ascii="宋体" w:hAnsi="宋体" w:cs="宋体"/>
          <w:kern w:val="0"/>
          <w:sz w:val="24"/>
          <w:szCs w:val="24"/>
        </w:rPr>
      </w:pPr>
      <w:r>
        <w:rPr>
          <w:rFonts w:asciiTheme="minorEastAsia" w:eastAsiaTheme="minorEastAsia" w:hAnsiTheme="minorEastAsia" w:hint="eastAsia"/>
          <w:sz w:val="24"/>
        </w:rPr>
        <w:t>即：该投资者赎回100,000份A类基金份额，假设赎回当日A类基金份额净值为1.1000元，持有时间为730日，赎回费率为0，且假设该笔赎回确认应返还的或有管理费为</w:t>
      </w:r>
      <w:r>
        <w:rPr>
          <w:rFonts w:asciiTheme="minorEastAsia" w:eastAsiaTheme="minorEastAsia" w:hAnsiTheme="minorEastAsia"/>
          <w:sz w:val="24"/>
        </w:rPr>
        <w:t>700.00</w:t>
      </w:r>
      <w:r>
        <w:rPr>
          <w:rFonts w:asciiTheme="minorEastAsia" w:eastAsiaTheme="minorEastAsia" w:hAnsiTheme="minorEastAsia" w:hint="eastAsia"/>
          <w:sz w:val="24"/>
        </w:rPr>
        <w:t>元（即该笔赎回的基金份额符合或有管理费为0的情形，应将持有期限内计提的或有管理费全额返还），则其获得的净赎回金额为110,700.00元</w:t>
      </w:r>
      <w:r>
        <w:rPr>
          <w:rStyle w:val="custom"/>
          <w:rFonts w:ascii="宋体" w:hAnsi="宋体" w:cs="宋体"/>
          <w:kern w:val="0"/>
          <w:sz w:val="24"/>
          <w:szCs w:val="24"/>
        </w:rPr>
        <w:t>。</w:t>
      </w:r>
    </w:p>
    <w:p w14:paraId="28D87F0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基金份额净值的计算</w:t>
      </w:r>
    </w:p>
    <w:p w14:paraId="249CB12A" w14:textId="07D86A89" w:rsidR="003B5F06"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各类基金份额净值的计算，均保留到小数点后4位，小数点后第5位四舍五入，由此产生的收益或损失由基金财产承担。T日的各类基金份额净值在当天收市后计算，并根据基金合同的约定公告。遇特殊情况，经履行适当程序，可以适当延迟计算或公告。</w:t>
      </w:r>
    </w:p>
    <w:p w14:paraId="4848511A" w14:textId="68CD5A6E" w:rsidR="00496B2C" w:rsidRDefault="005605B9" w:rsidP="008F13F4">
      <w:pPr>
        <w:pStyle w:val="div"/>
        <w:spacing w:line="360" w:lineRule="auto"/>
        <w:ind w:firstLine="480"/>
      </w:pPr>
      <w:r>
        <w:rPr>
          <w:rFonts w:ascii="宋体" w:hAnsi="宋体" w:cs="宋体"/>
          <w:kern w:val="0"/>
          <w:sz w:val="24"/>
          <w:szCs w:val="24"/>
        </w:rPr>
        <w:t>本基金A类、C类基金份额将分别计算基金份额净值。</w:t>
      </w:r>
    </w:p>
    <w:p w14:paraId="195C3487" w14:textId="77777777" w:rsidR="00496B2C" w:rsidRDefault="005605B9">
      <w:pPr>
        <w:pStyle w:val="div"/>
        <w:spacing w:line="360" w:lineRule="auto"/>
        <w:ind w:firstLine="480"/>
        <w:rPr>
          <w:rFonts w:ascii="宋体" w:hAnsi="宋体" w:cs="宋体"/>
          <w:kern w:val="0"/>
          <w:sz w:val="24"/>
          <w:szCs w:val="24"/>
        </w:rPr>
      </w:pPr>
      <w:r>
        <w:rPr>
          <w:rStyle w:val="custom"/>
          <w:rFonts w:ascii="宋体" w:hAnsi="宋体" w:cs="宋体" w:hint="eastAsia"/>
          <w:kern w:val="0"/>
          <w:sz w:val="24"/>
          <w:szCs w:val="24"/>
        </w:rPr>
        <w:lastRenderedPageBreak/>
        <w:t>由于本基金在计算各类基金份额净值时，按前一日基金资产净值的1.20%年费率计算管理费，该费率可能高于或低于不同投资者最终适用的管理费率。在基金份额赎回时，基金投资者实际收到的赎回款项的金额可能与按披露的该类基金份额净值计算的结果存在差异。投资者的实际赎回金额以登记机构确认数据为准。</w:t>
      </w:r>
    </w:p>
    <w:p w14:paraId="0157EFF8"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拒绝或暂停申购的情形</w:t>
      </w:r>
    </w:p>
    <w:p w14:paraId="259DB72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发生下列情况时，基金管理人可拒绝或暂停接受投资人的申购申请：</w:t>
      </w:r>
    </w:p>
    <w:p w14:paraId="2E88975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1、因不可抗力导致基金无法正常运作或者因不可抗力导致基金管理人无法接受投资人的申购申请。</w:t>
      </w:r>
    </w:p>
    <w:p w14:paraId="49226B6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2、发生基金合同规定的暂停基金资产估值情况时，基金管理人可暂停接受投资人的申购申请。</w:t>
      </w:r>
    </w:p>
    <w:p w14:paraId="487E8C7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3、证券/期货交易所交易时间非正常停市，导致基金管理人无法计算当日基金资产净值。</w:t>
      </w:r>
    </w:p>
    <w:p w14:paraId="39DEBA8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4、接受某笔或某些申购申请可能会影响或损害现有基金份额持有人利益时。</w:t>
      </w:r>
    </w:p>
    <w:p w14:paraId="30A74B2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5、基金资产规模过大，使基金管理人无法找到合适的投资品种，或其他可能对基金业绩产生负面影响，或发生其他损害现有基金份额持有人利益的情形。</w:t>
      </w:r>
    </w:p>
    <w:p w14:paraId="1CF9E24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6、当前一估值日基金资产净值50%以上的资产出现无可参考的活跃市场价格且采用估值技术仍导致公允价值存在重大不确定性时，经与基金托管人协商确认后，基金管理人应当暂停接受基金申购申请。</w:t>
      </w:r>
    </w:p>
    <w:p w14:paraId="396B1EA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7、申请超过基金管理人设定的基金总规模、单日申购金额上限、单日净申购比例上限、单个投资者累计持有份额上限、单个投资者单日或单笔申购金额上限的。</w:t>
      </w:r>
    </w:p>
    <w:p w14:paraId="5D83CA7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8、基金管理人接受某笔或者某些申购申请有可能导致单一投资者持有基金份额的比例达到或者超过50%，或者变相规避50%集中度的情形。</w:t>
      </w:r>
    </w:p>
    <w:p w14:paraId="23FB940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9、基金管理人、基金托管人、基金销售机构、登记机构、支付结算机构等因异常情况导致基金销售系统、基金销售支付结算系统、基金登记结算系统、基金会计系统无法正常运行。</w:t>
      </w:r>
    </w:p>
    <w:p w14:paraId="056B4F2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10、基金参与港股通交易且港股通交易每日额度不足。</w:t>
      </w:r>
    </w:p>
    <w:p w14:paraId="00C846E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11、法律法规规定或中国证监会认定的其他情形。</w:t>
      </w:r>
    </w:p>
    <w:p w14:paraId="1E54436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发生除上述第4、7、8项暂停申购情形之一且基金管理人决定暂停接受投资</w:t>
      </w:r>
      <w:r>
        <w:rPr>
          <w:rFonts w:ascii="宋体" w:hAnsi="宋体" w:cs="宋体"/>
          <w:kern w:val="0"/>
          <w:sz w:val="24"/>
          <w:szCs w:val="24"/>
        </w:rPr>
        <w:lastRenderedPageBreak/>
        <w:t>人申购申请时，基金管理人应当根据有关规定在规定媒介上刊登暂停申购公告。如果投资人的申购申请被全部或部分拒绝的，被拒绝的申购款项将退还给投资人。在暂停申购的情况消除时，基金管理人应及时恢复申购业务的办理。</w:t>
      </w:r>
    </w:p>
    <w:p w14:paraId="21AA0D67"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暂停赎回或延缓支付赎回款项的情形</w:t>
      </w:r>
    </w:p>
    <w:p w14:paraId="13D0DEA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发生下列情形时，基金管理人可暂停接受投资人的赎回申请或延缓支付赎回款项：</w:t>
      </w:r>
    </w:p>
    <w:p w14:paraId="4EF99D2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1、因不可抗力导致基金管理人不能支付赎回款项。</w:t>
      </w:r>
    </w:p>
    <w:p w14:paraId="590E5DA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2、发生基金合同规定的暂停基金资产估值情况时，基金管理人可暂停接受投资人的赎回申请或延缓支付赎回款项。</w:t>
      </w:r>
    </w:p>
    <w:p w14:paraId="172CDE7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3、证券/期货交易所交易时间非正常停市，导致基金管理人无法计算当日基金资产净值。</w:t>
      </w:r>
    </w:p>
    <w:p w14:paraId="2F5E3CB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4、连续两个或两个以上开放日发生巨额赎回。</w:t>
      </w:r>
    </w:p>
    <w:p w14:paraId="4D4B092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5、发生继续接受赎回申请将损害现有基金份额持有人利益的情形时，基金管理人可暂停接受基金份额持有人的赎回申请。</w:t>
      </w:r>
    </w:p>
    <w:p w14:paraId="52AACF2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当前一估值日基金资产净值50%以上的资产出现无可参考的活跃市场价格且采用估值技术仍导致公允价值存在重大不确定性时，经与基金托管人协商确认后，基金管理人应当延缓支付赎回款项或暂停接受基金赎回申请。</w:t>
      </w:r>
    </w:p>
    <w:p w14:paraId="7DD99E3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7、法律法规规定或中国证监会认定的其他情形。</w:t>
      </w:r>
    </w:p>
    <w:p w14:paraId="2096E99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发生上述情形之一且基金管理人决定暂停赎回或延缓支付赎回款项时，基金管理人应在当日报中国证监会备案，已确认的赎回申请，基金管理人应足额支付；如暂时不能足额支付，应将可支付部分按单个账户申请量占申请总量的比例分配给赎回申请人，未支付部分可延期支付。若出现上述第4项所述情形，按基金合同的相关条款处理。基金份额持有人在申请赎回时可事先选择将当日可能未获受理部分予以撤销。在暂停赎回的情况消除时，基金管理人应及时恢复赎回业务的办理并公告。</w:t>
      </w:r>
    </w:p>
    <w:p w14:paraId="588CF2D7"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巨额赎回的情形及处理方式</w:t>
      </w:r>
    </w:p>
    <w:p w14:paraId="324D14E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1、巨额赎回的认定</w:t>
      </w:r>
    </w:p>
    <w:p w14:paraId="5227798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若本基金单个开放日内的基金份额净赎回申请(赎回申请份额总数加上基金转换中转出申请份额总数后扣除申购申请份额总数及基金转换中转入申请份额</w:t>
      </w:r>
      <w:r>
        <w:rPr>
          <w:rFonts w:ascii="宋体" w:hAnsi="宋体" w:cs="宋体"/>
          <w:kern w:val="0"/>
          <w:sz w:val="24"/>
          <w:szCs w:val="24"/>
        </w:rPr>
        <w:lastRenderedPageBreak/>
        <w:t>总数后的余额，不同类别份额合并计算）超过前一开放日的基金总份额的10%，即认为是发生了巨额赎回。</w:t>
      </w:r>
    </w:p>
    <w:p w14:paraId="4F6DC57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2、巨额赎回的处理方式</w:t>
      </w:r>
    </w:p>
    <w:p w14:paraId="413D8AD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当基金出现巨额赎回时，基金管理人可以根据基金当时的资产组合状况决定全额赎回或部分延期赎回。</w:t>
      </w:r>
    </w:p>
    <w:p w14:paraId="7104832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（1）全额赎回：当基金管理人认为有能力支付投资人的全部赎回申请时，按正常赎回程序执行。</w:t>
      </w:r>
    </w:p>
    <w:p w14:paraId="5527F3E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w:t>
      </w:r>
    </w:p>
    <w:p w14:paraId="78C4366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延期的赎回申请与下一开放日赎回申请一并处理，无优先权并以下一开放日的该类基金份额净值为基础计算赎回金额，以此类推，直到全部赎回为止。</w:t>
      </w:r>
    </w:p>
    <w:p w14:paraId="1A67558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如投资人在提交赎回申请时未作明确选择，投资人未能赎回部分作自动延期赎回处理。</w:t>
      </w:r>
    </w:p>
    <w:p w14:paraId="0948BC5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（3）如发生单个开放日内单个基金份额持有人申请赎回的基金份额超过前一开放日的基金总份额的30%时，本基金管理人可以对该单个基金份额持有人超过30%比例的赎回申请实施延期办理。</w:t>
      </w:r>
    </w:p>
    <w:p w14:paraId="466E141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对该单个基金份额持有人不超过30%比例的赎回申请，与当日其他赎回申请一起，按上述（1）、（2）方式处理。如下一开放日，该单一基金份额持有人剩余未赎回部分仍旧超出前一开放日基金总份额的30%时，继续按前述规则处理，直至该单一基金份额持有人单个开放日内申请赎回的基金份额占前一开放日基金总份额的比例低于30%。</w:t>
      </w:r>
    </w:p>
    <w:p w14:paraId="0805C94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基金管理人在履行适当程序后，有权根据当时市场环境调整前述比例及处理规则，并在规定媒介上进行公告。</w:t>
      </w:r>
    </w:p>
    <w:p w14:paraId="6107FD4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4）暂停赎回：连续2个开放日以上(含本数)发生巨额赎回，如基金管理人认为有必要，可暂停接受基金的赎回申请；已经接受的赎回申请可以延缓支付赎回款项，但不得超过20个工作日，并应当在规定媒介上进行公告。</w:t>
      </w:r>
    </w:p>
    <w:p w14:paraId="0A8CDED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3、巨额赎回的公告</w:t>
      </w:r>
    </w:p>
    <w:p w14:paraId="594CD71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当发生上述巨额赎回并延期办理时，基金管理人应当通过邮寄、传真或者招募说明书规定的其他方式在3个交易日内通知基金份额持有人，说明有关处理方法，并在2日内在规定媒介上刊登公告。</w:t>
      </w:r>
    </w:p>
    <w:p w14:paraId="73E434B1"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十一、</w:t>
      </w:r>
      <w:r>
        <w:rPr>
          <w:rFonts w:ascii="宋体" w:hAnsi="宋体" w:cs="宋体"/>
          <w:kern w:val="0"/>
          <w:sz w:val="24"/>
          <w:szCs w:val="24"/>
        </w:rPr>
        <w:t>暂停申购或赎回的公告和重新开放申购或赎回的公告</w:t>
      </w:r>
    </w:p>
    <w:p w14:paraId="14C6520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1、发生上述暂停申购或赎回情况的，基金管理人应在规定期限内在规定媒介上刊登暂停公告。</w:t>
      </w:r>
    </w:p>
    <w:p w14:paraId="1744B2D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管理人可以根据暂停申购或赎回的时间，依照《信息披露办法》的有关规定，最迟于重新开放日在规定媒介刊登重新开放申购或赎回的公告；也可以根据实际情况在暂停公告中明确重新开放申购或赎回的时间，届时可不再另行发布重新开放的公告。</w:t>
      </w:r>
    </w:p>
    <w:p w14:paraId="418D26EA"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十二、</w:t>
      </w:r>
      <w:r>
        <w:rPr>
          <w:rFonts w:ascii="宋体" w:hAnsi="宋体" w:cs="宋体"/>
          <w:kern w:val="0"/>
          <w:sz w:val="24"/>
          <w:szCs w:val="24"/>
        </w:rPr>
        <w:t>基金转换</w:t>
      </w:r>
    </w:p>
    <w:p w14:paraId="5F1AA5D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以根据相关法律法规以及基金合同的规定决定开办本基金某一份额与基金管理人管理的其他基金基金份额或本基金其他份额之间的转换业务，基金转换可以收取一定的转换费，相关规则由基金管理人届时根据相关法律法规及基金合同的规定制定并公告，并提前告知基金托管人与相关机构。</w:t>
      </w:r>
    </w:p>
    <w:p w14:paraId="1C580F5B"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十三、</w:t>
      </w:r>
      <w:r>
        <w:rPr>
          <w:rFonts w:ascii="宋体" w:hAnsi="宋体" w:cs="宋体"/>
          <w:kern w:val="0"/>
          <w:sz w:val="24"/>
          <w:szCs w:val="24"/>
        </w:rPr>
        <w:t>基金份额的转让</w:t>
      </w:r>
    </w:p>
    <w:p w14:paraId="7951D40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法律法规允许且条件具备的情况下，且对基金份额持有人无实质性不利影响的前提下，履行相关程序后，基金管理人可受理基金份额持有人通过中国证监会认可的交易场所或者交易方式进行基金份额转让的申请并由登记机构办理基金份额的过户登记。基金管理人拟受理基金份额转让业务的，将提前公告，基金份额持有人应根据基金管理人公告的业务规则办理基金份额转让业务。</w:t>
      </w:r>
    </w:p>
    <w:p w14:paraId="533FCC56"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十四、</w:t>
      </w:r>
      <w:r>
        <w:rPr>
          <w:rFonts w:ascii="宋体" w:hAnsi="宋体" w:cs="宋体"/>
          <w:kern w:val="0"/>
          <w:sz w:val="24"/>
          <w:szCs w:val="24"/>
        </w:rPr>
        <w:t>基金的非交易过户</w:t>
      </w:r>
    </w:p>
    <w:p w14:paraId="518ED74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的非交易过户是指基金登记机构受理继承、捐赠和司法强制执行等情形而产生的非交易过户以及登记机构认可、符合法律法规的其它非交易过户或者按照相关法律法规或国家有权机关要求的方式进行处理的行为。无论在上述何种情</w:t>
      </w:r>
      <w:r>
        <w:rPr>
          <w:rFonts w:ascii="宋体" w:hAnsi="宋体" w:cs="宋体"/>
          <w:kern w:val="0"/>
          <w:sz w:val="24"/>
          <w:szCs w:val="24"/>
        </w:rPr>
        <w:lastRenderedPageBreak/>
        <w:t>况下，接受划转的主体必须是依法可以持有本基金基金份额的投资人。</w:t>
      </w:r>
    </w:p>
    <w:p w14:paraId="6FE5CF6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继承是指基金份额持有人死亡，其持有的基金份额由其合法的继承人继承；捐赠是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5E5291F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十五、</w:t>
      </w:r>
      <w:r>
        <w:rPr>
          <w:rFonts w:ascii="宋体" w:hAnsi="宋体" w:cs="宋体"/>
          <w:kern w:val="0"/>
          <w:sz w:val="24"/>
          <w:szCs w:val="24"/>
        </w:rPr>
        <w:t>基金的转托管</w:t>
      </w:r>
    </w:p>
    <w:p w14:paraId="20B75C3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基金份额持有人可办理已持有基金份额在不同销售机构之间的转托管，基金销售机构可以按照规定的标准收取转托管费。</w:t>
      </w:r>
    </w:p>
    <w:p w14:paraId="3559AAD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十六、</w:t>
      </w:r>
      <w:r>
        <w:rPr>
          <w:rFonts w:ascii="宋体" w:hAnsi="宋体" w:cs="宋体"/>
          <w:kern w:val="0"/>
          <w:sz w:val="24"/>
          <w:szCs w:val="24"/>
        </w:rPr>
        <w:t>定期定额投资计划</w:t>
      </w:r>
    </w:p>
    <w:p w14:paraId="4BFC7D9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可以为投资人办理定期定额投资计划，具体规则由基金管理人在届时发布的公告或更新的招募说明书中确定。投资人在办理定期定额投资计划时可自行约定每期扣款金额，每期扣款金额必须不低于基金管理人在相关公告或更新的招募说明书中所规定的定期定额投资计划最低申购金额。</w:t>
      </w:r>
    </w:p>
    <w:p w14:paraId="306A97CB"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十七、</w:t>
      </w:r>
      <w:r>
        <w:rPr>
          <w:rFonts w:ascii="宋体" w:hAnsi="宋体" w:cs="宋体"/>
          <w:kern w:val="0"/>
          <w:sz w:val="24"/>
          <w:szCs w:val="24"/>
        </w:rPr>
        <w:t>基金份额的冻结和解冻</w:t>
      </w:r>
    </w:p>
    <w:p w14:paraId="044E18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基金登记机构只受理国家有权机关依法要求的基金份额的冻结与解冻，以及登记机构认可、符合法律法规的其他情况下的冻结与解冻。</w:t>
      </w:r>
    </w:p>
    <w:p w14:paraId="4308BA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基金份额被冻结的，被冻结部分产生的权益一并冻结，被冻结部分份额仍然参与收益分配。法律法规或监管机构另有规定的除外。</w:t>
      </w:r>
    </w:p>
    <w:p w14:paraId="40E360A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十八、</w:t>
      </w:r>
      <w:r>
        <w:rPr>
          <w:rFonts w:ascii="宋体" w:hAnsi="宋体" w:cs="宋体"/>
          <w:kern w:val="0"/>
          <w:sz w:val="24"/>
          <w:szCs w:val="24"/>
        </w:rPr>
        <w:t>实施侧袋机制期间本基金的申购与赎回</w:t>
      </w:r>
    </w:p>
    <w:p w14:paraId="6E00983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本基金实施侧袋机制的，本基金的申购和赎回安排详见本招募说明书“侧袋机制”章节的规定或相关公告。</w:t>
      </w:r>
    </w:p>
    <w:p w14:paraId="27DCB89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十</w:t>
      </w:r>
      <w:r>
        <w:rPr>
          <w:rFonts w:ascii="宋体" w:hAnsi="宋体" w:cs="宋体" w:hint="eastAsia"/>
          <w:kern w:val="0"/>
          <w:sz w:val="24"/>
          <w:szCs w:val="24"/>
        </w:rPr>
        <w:t>九</w:t>
      </w:r>
      <w:r>
        <w:rPr>
          <w:rFonts w:ascii="宋体" w:hAnsi="宋体" w:cs="宋体"/>
          <w:kern w:val="0"/>
          <w:sz w:val="24"/>
          <w:szCs w:val="24"/>
        </w:rPr>
        <w:t>、如相关法律法规允许基金管理人办理基金份额的质押业务或其他基金业务，基金管理人将制定和实施相应的业务规则。</w:t>
      </w:r>
    </w:p>
    <w:p w14:paraId="59A1883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hint="eastAsia"/>
          <w:kern w:val="0"/>
          <w:sz w:val="24"/>
          <w:szCs w:val="24"/>
        </w:rPr>
        <w:t>二十</w:t>
      </w:r>
      <w:r>
        <w:rPr>
          <w:rFonts w:ascii="宋体" w:hAnsi="宋体" w:cs="宋体"/>
          <w:kern w:val="0"/>
          <w:sz w:val="24"/>
          <w:szCs w:val="24"/>
        </w:rPr>
        <w:t>、基金管理人可在法律法规允许的范围内，在不影响基金份额持有人实质利益的前提下，根据市场情况对上述申购和赎回的安排进行补充和调整并提前公告。</w:t>
      </w:r>
      <w:r>
        <w:rPr>
          <w:rFonts w:ascii="宋体" w:hAnsi="宋体" w:cs="宋体"/>
          <w:kern w:val="0"/>
          <w:sz w:val="24"/>
          <w:szCs w:val="24"/>
        </w:rPr>
        <w:br w:type="page"/>
      </w:r>
    </w:p>
    <w:p w14:paraId="24F465C7" w14:textId="77777777" w:rsidR="00496B2C" w:rsidRDefault="005605B9">
      <w:pPr>
        <w:pStyle w:val="1"/>
        <w:spacing w:before="0" w:after="0"/>
        <w:jc w:val="center"/>
        <w:rPr>
          <w:rFonts w:ascii="Times New Roman"/>
          <w:color w:val="auto"/>
          <w:sz w:val="30"/>
        </w:rPr>
      </w:pPr>
      <w:bookmarkStart w:id="40" w:name="_Toc256000008"/>
      <w:r>
        <w:rPr>
          <w:rFonts w:ascii="Times New Roman"/>
          <w:color w:val="auto"/>
          <w:sz w:val="30"/>
        </w:rPr>
        <w:lastRenderedPageBreak/>
        <w:t>第九部分</w:t>
      </w:r>
      <w:r>
        <w:rPr>
          <w:rFonts w:ascii="Times New Roman"/>
          <w:color w:val="auto"/>
          <w:sz w:val="30"/>
        </w:rPr>
        <w:t xml:space="preserve">  </w:t>
      </w:r>
      <w:r>
        <w:rPr>
          <w:rFonts w:ascii="Times New Roman"/>
          <w:color w:val="auto"/>
          <w:sz w:val="30"/>
        </w:rPr>
        <w:t>基金的投资</w:t>
      </w:r>
      <w:bookmarkEnd w:id="40"/>
    </w:p>
    <w:p w14:paraId="4EF1400F" w14:textId="77777777" w:rsidR="00496B2C" w:rsidRDefault="00496B2C"/>
    <w:p w14:paraId="1833653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一、投资目标</w:t>
      </w:r>
    </w:p>
    <w:p w14:paraId="06BE48FF" w14:textId="77777777" w:rsidR="00496B2C" w:rsidRDefault="005605B9">
      <w:pPr>
        <w:pStyle w:val="div"/>
        <w:spacing w:line="360" w:lineRule="auto"/>
        <w:ind w:firstLine="480"/>
        <w:rPr>
          <w:rFonts w:ascii="宋体" w:hAnsi="宋体" w:cs="宋体"/>
          <w:kern w:val="0"/>
          <w:sz w:val="24"/>
          <w:szCs w:val="24"/>
        </w:rPr>
      </w:pPr>
      <w:r>
        <w:rPr>
          <w:rFonts w:ascii="宋体" w:hAnsi="宋体" w:cs="宋体" w:hint="eastAsia"/>
          <w:kern w:val="0"/>
          <w:sz w:val="24"/>
          <w:szCs w:val="24"/>
        </w:rPr>
        <w:t>本基金在严格控制风险的前提下，追求超越业绩比较基准的投资回报，力争实现基金资产的长期稳健增值</w:t>
      </w:r>
      <w:r>
        <w:rPr>
          <w:rFonts w:ascii="宋体" w:hAnsi="宋体" w:cs="宋体"/>
          <w:kern w:val="0"/>
          <w:sz w:val="24"/>
          <w:szCs w:val="24"/>
        </w:rPr>
        <w:t>。</w:t>
      </w:r>
    </w:p>
    <w:p w14:paraId="4D030E9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二、投资范围</w:t>
      </w:r>
    </w:p>
    <w:p w14:paraId="09539A4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14:paraId="6752BDC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本基金还可根据法律法规参与融资业务。</w:t>
      </w:r>
    </w:p>
    <w:p w14:paraId="6C4784A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0EB8390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的投资组合比例为：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14:paraId="4C70BD4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1C1915D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三、投资策略</w:t>
      </w:r>
    </w:p>
    <w:p w14:paraId="0966DD67" w14:textId="77777777" w:rsidR="00496B2C" w:rsidRDefault="005605B9">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本基金将在有效控制风险的前提下，采用科学的资产配置策略和</w:t>
      </w:r>
      <w:r>
        <w:rPr>
          <w:rStyle w:val="custom"/>
          <w:rFonts w:ascii="宋体" w:hAnsi="宋体" w:cs="宋体" w:hint="eastAsia"/>
          <w:kern w:val="0"/>
          <w:sz w:val="24"/>
          <w:szCs w:val="24"/>
        </w:rPr>
        <w:t>股票投资</w:t>
      </w:r>
      <w:r>
        <w:rPr>
          <w:rStyle w:val="custom"/>
          <w:rFonts w:ascii="宋体" w:hAnsi="宋体" w:cs="宋体"/>
          <w:kern w:val="0"/>
          <w:sz w:val="24"/>
          <w:szCs w:val="24"/>
        </w:rPr>
        <w:t>策略，定量与定性分析相结合，力争实现基金资产的长期</w:t>
      </w:r>
      <w:r>
        <w:rPr>
          <w:rStyle w:val="custom"/>
          <w:rFonts w:ascii="宋体" w:hAnsi="宋体" w:cs="宋体" w:hint="eastAsia"/>
          <w:kern w:val="0"/>
          <w:sz w:val="24"/>
          <w:szCs w:val="24"/>
        </w:rPr>
        <w:t>稳健增值</w:t>
      </w:r>
      <w:r>
        <w:rPr>
          <w:rStyle w:val="custom"/>
          <w:rFonts w:ascii="宋体" w:hAnsi="宋体" w:cs="宋体"/>
          <w:kern w:val="0"/>
          <w:sz w:val="24"/>
          <w:szCs w:val="24"/>
        </w:rPr>
        <w:t>。其中，资产配置策略用于确定大类资产配置比例以有效规避系统性风险，</w:t>
      </w:r>
      <w:r>
        <w:rPr>
          <w:rStyle w:val="custom"/>
          <w:rFonts w:ascii="宋体" w:hAnsi="宋体" w:cs="宋体" w:hint="eastAsia"/>
          <w:kern w:val="0"/>
          <w:sz w:val="24"/>
          <w:szCs w:val="24"/>
        </w:rPr>
        <w:t>股票投资</w:t>
      </w:r>
      <w:r>
        <w:rPr>
          <w:rStyle w:val="custom"/>
          <w:rFonts w:ascii="宋体" w:hAnsi="宋体" w:cs="宋体"/>
          <w:kern w:val="0"/>
          <w:sz w:val="24"/>
          <w:szCs w:val="24"/>
        </w:rPr>
        <w:t>策略主要用</w:t>
      </w:r>
      <w:r>
        <w:rPr>
          <w:rStyle w:val="custom"/>
          <w:rFonts w:ascii="宋体" w:hAnsi="宋体" w:cs="宋体"/>
          <w:kern w:val="0"/>
          <w:sz w:val="24"/>
          <w:szCs w:val="24"/>
        </w:rPr>
        <w:lastRenderedPageBreak/>
        <w:t>于挖掘各行业中的优质股票以</w:t>
      </w:r>
      <w:r>
        <w:rPr>
          <w:rStyle w:val="custom"/>
          <w:rFonts w:ascii="宋体" w:hAnsi="宋体" w:cs="宋体" w:hint="eastAsia"/>
          <w:kern w:val="0"/>
          <w:sz w:val="24"/>
          <w:szCs w:val="24"/>
        </w:rPr>
        <w:t>期</w:t>
      </w:r>
      <w:r>
        <w:rPr>
          <w:rStyle w:val="custom"/>
          <w:rFonts w:ascii="宋体" w:hAnsi="宋体" w:cs="宋体"/>
          <w:kern w:val="0"/>
          <w:sz w:val="24"/>
          <w:szCs w:val="24"/>
        </w:rPr>
        <w:t>获取超额收益</w:t>
      </w:r>
      <w:r>
        <w:rPr>
          <w:rFonts w:ascii="宋体" w:hAnsi="宋体" w:cs="宋体"/>
          <w:kern w:val="0"/>
          <w:sz w:val="24"/>
          <w:szCs w:val="24"/>
        </w:rPr>
        <w:t>。</w:t>
      </w:r>
    </w:p>
    <w:p w14:paraId="4A48702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1、资产配置策略</w:t>
      </w:r>
    </w:p>
    <w:p w14:paraId="5803DA7E" w14:textId="77777777" w:rsidR="00496B2C" w:rsidRDefault="005605B9">
      <w:pPr>
        <w:pStyle w:val="div"/>
        <w:spacing w:line="360" w:lineRule="auto"/>
        <w:ind w:firstLine="480"/>
        <w:rPr>
          <w:rFonts w:ascii="宋体" w:hAnsi="宋体" w:cs="宋体"/>
          <w:kern w:val="0"/>
          <w:sz w:val="24"/>
          <w:szCs w:val="24"/>
        </w:rPr>
      </w:pPr>
      <w:r>
        <w:rPr>
          <w:rStyle w:val="custom"/>
          <w:rFonts w:ascii="宋体" w:hAnsi="宋体" w:cs="宋体"/>
          <w:kern w:val="0"/>
          <w:sz w:val="24"/>
          <w:szCs w:val="24"/>
        </w:rPr>
        <w:t>本基金综合分析和持续跟踪基本面、政策面、市场面等多方面因素，结合全球宏观经济形势，研判国内外经济的发展趋势，并在严格控制投资组合风险的前提下，对组合中股票、债券、货币市场工具、金融衍生品和法律法规或中国证监会允许基金投资的其他品种的投资比例进行战略配置和动态调整，以</w:t>
      </w:r>
      <w:r>
        <w:rPr>
          <w:rStyle w:val="custom"/>
          <w:rFonts w:ascii="宋体" w:hAnsi="宋体" w:cs="宋体" w:hint="eastAsia"/>
          <w:kern w:val="0"/>
          <w:sz w:val="24"/>
          <w:szCs w:val="24"/>
        </w:rPr>
        <w:t>期</w:t>
      </w:r>
      <w:r>
        <w:rPr>
          <w:rStyle w:val="custom"/>
          <w:rFonts w:ascii="宋体" w:hAnsi="宋体" w:cs="宋体"/>
          <w:kern w:val="0"/>
          <w:sz w:val="24"/>
          <w:szCs w:val="24"/>
        </w:rPr>
        <w:t>规避或分散市场风险，力争实现基金资产的长期</w:t>
      </w:r>
      <w:r>
        <w:rPr>
          <w:rStyle w:val="custom"/>
          <w:rFonts w:ascii="宋体" w:hAnsi="宋体" w:cs="宋体" w:hint="eastAsia"/>
          <w:kern w:val="0"/>
          <w:sz w:val="24"/>
          <w:szCs w:val="24"/>
        </w:rPr>
        <w:t>稳健增值</w:t>
      </w:r>
      <w:r>
        <w:rPr>
          <w:rFonts w:ascii="宋体" w:hAnsi="宋体" w:cs="宋体"/>
          <w:kern w:val="0"/>
          <w:sz w:val="24"/>
          <w:szCs w:val="24"/>
        </w:rPr>
        <w:t>。</w:t>
      </w:r>
    </w:p>
    <w:p w14:paraId="26E1E87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w:t>
      </w:r>
      <w:r>
        <w:rPr>
          <w:rFonts w:ascii="宋体" w:hAnsi="宋体" w:cs="宋体" w:hint="eastAsia"/>
          <w:kern w:val="0"/>
          <w:sz w:val="24"/>
          <w:szCs w:val="24"/>
        </w:rPr>
        <w:t>股票投资</w:t>
      </w:r>
      <w:r>
        <w:rPr>
          <w:rFonts w:ascii="宋体" w:hAnsi="宋体" w:cs="宋体"/>
          <w:kern w:val="0"/>
          <w:sz w:val="24"/>
          <w:szCs w:val="24"/>
        </w:rPr>
        <w:t>策略</w:t>
      </w:r>
    </w:p>
    <w:p w14:paraId="439F1AA1" w14:textId="77777777" w:rsidR="00496B2C" w:rsidRDefault="005605B9">
      <w:pPr>
        <w:pStyle w:val="div"/>
        <w:spacing w:line="360" w:lineRule="auto"/>
        <w:ind w:firstLine="420"/>
        <w:rPr>
          <w:rStyle w:val="custom"/>
          <w:rFonts w:ascii="宋体" w:hAnsi="宋体" w:cs="宋体"/>
          <w:kern w:val="0"/>
          <w:sz w:val="24"/>
          <w:szCs w:val="24"/>
        </w:rPr>
      </w:pPr>
      <w:r>
        <w:rPr>
          <w:rFonts w:ascii="宋体" w:hAnsi="宋体" w:cs="宋体"/>
          <w:kern w:val="0"/>
          <w:sz w:val="24"/>
          <w:szCs w:val="24"/>
        </w:rPr>
        <w:t>（1）</w:t>
      </w:r>
      <w:r>
        <w:rPr>
          <w:rStyle w:val="custom"/>
          <w:rFonts w:ascii="宋体" w:hAnsi="宋体" w:cs="宋体" w:hint="eastAsia"/>
          <w:kern w:val="0"/>
          <w:sz w:val="24"/>
          <w:szCs w:val="24"/>
        </w:rPr>
        <w:t>基本面选股策略</w:t>
      </w:r>
    </w:p>
    <w:p w14:paraId="49CD7BB0" w14:textId="77777777" w:rsidR="00496B2C" w:rsidRDefault="005605B9">
      <w:pPr>
        <w:pStyle w:val="div"/>
        <w:spacing w:line="360" w:lineRule="auto"/>
        <w:ind w:firstLine="480"/>
        <w:rPr>
          <w:rFonts w:ascii="宋体" w:hAnsi="宋体" w:cs="宋体"/>
          <w:kern w:val="0"/>
          <w:sz w:val="24"/>
          <w:szCs w:val="24"/>
        </w:rPr>
      </w:pPr>
      <w:r>
        <w:rPr>
          <w:rStyle w:val="custom"/>
          <w:rFonts w:ascii="宋体" w:hAnsi="宋体" w:cs="宋体" w:hint="eastAsia"/>
          <w:kern w:val="0"/>
          <w:sz w:val="24"/>
          <w:szCs w:val="24"/>
        </w:rPr>
        <w:t>在基本面选股层面，本基金坚持研究驱动投资的理念，充分发挥基金管理人的研究优势，采用“自下而上”的精选策略，精选出具有持续竞争优势且估值有吸引力的股票，精心科学构建股票投资组合，并辅以严格的投资组合风险控制，力争获得当期的较高投资收益。本基金将结合定量评估、定性分析和估值分析来综合评估备选公司的投资价值，精选行业背景良好、商业模式清晰、公司治理优良、竞争优势突出且估值相对合理的上市公司</w:t>
      </w:r>
      <w:r>
        <w:rPr>
          <w:rFonts w:ascii="宋体" w:hAnsi="宋体" w:cs="宋体"/>
          <w:kern w:val="0"/>
          <w:sz w:val="24"/>
          <w:szCs w:val="24"/>
        </w:rPr>
        <w:t>。</w:t>
      </w:r>
    </w:p>
    <w:p w14:paraId="6B0EE9AC" w14:textId="77777777" w:rsidR="00496B2C" w:rsidRDefault="005605B9">
      <w:pPr>
        <w:pStyle w:val="div"/>
        <w:spacing w:line="360" w:lineRule="auto"/>
        <w:ind w:firstLine="420"/>
        <w:rPr>
          <w:rStyle w:val="custom"/>
          <w:rFonts w:ascii="宋体" w:hAnsi="宋体" w:cs="宋体"/>
          <w:kern w:val="0"/>
          <w:sz w:val="24"/>
          <w:szCs w:val="24"/>
        </w:rPr>
      </w:pPr>
      <w:r>
        <w:rPr>
          <w:rFonts w:ascii="宋体" w:hAnsi="宋体" w:cs="宋体"/>
          <w:kern w:val="0"/>
          <w:sz w:val="24"/>
          <w:szCs w:val="24"/>
        </w:rPr>
        <w:t>（2）</w:t>
      </w:r>
      <w:r>
        <w:rPr>
          <w:rStyle w:val="custom"/>
          <w:rFonts w:ascii="宋体" w:hAnsi="宋体" w:cs="宋体" w:hint="eastAsia"/>
          <w:kern w:val="0"/>
          <w:sz w:val="24"/>
          <w:szCs w:val="24"/>
        </w:rPr>
        <w:t>量化模型选股策略</w:t>
      </w:r>
    </w:p>
    <w:p w14:paraId="36276A6A" w14:textId="77777777" w:rsidR="00496B2C" w:rsidRDefault="005605B9">
      <w:pPr>
        <w:pStyle w:val="div"/>
        <w:spacing w:line="360" w:lineRule="auto"/>
        <w:ind w:firstLine="480"/>
        <w:rPr>
          <w:rFonts w:ascii="宋体" w:hAnsi="宋体" w:cs="宋体"/>
          <w:kern w:val="0"/>
          <w:sz w:val="24"/>
          <w:szCs w:val="24"/>
        </w:rPr>
      </w:pPr>
      <w:r>
        <w:rPr>
          <w:rStyle w:val="custom"/>
          <w:rFonts w:ascii="宋体" w:hAnsi="宋体" w:cs="宋体" w:hint="eastAsia"/>
          <w:kern w:val="0"/>
          <w:sz w:val="24"/>
          <w:szCs w:val="24"/>
        </w:rPr>
        <w:t>本基金使用多因子量化模型发掘定价偏离。基金管理人开发的多因子量化模型，通过数量技术对历史数据进行深入研究，发掘影响证券价格的各类因子，在投资中利用这些因子对股票进行综合评分，剔除可能存在下行风险的股票，选入预期收益较高的股票</w:t>
      </w:r>
      <w:r>
        <w:rPr>
          <w:rFonts w:ascii="宋体" w:hAnsi="宋体" w:cs="宋体"/>
          <w:kern w:val="0"/>
          <w:sz w:val="24"/>
          <w:szCs w:val="24"/>
        </w:rPr>
        <w:t>。</w:t>
      </w:r>
    </w:p>
    <w:p w14:paraId="212A32F6" w14:textId="77777777" w:rsidR="00496B2C" w:rsidRDefault="005605B9">
      <w:pPr>
        <w:pStyle w:val="div"/>
        <w:numPr>
          <w:ilvl w:val="0"/>
          <w:numId w:val="2"/>
        </w:numPr>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通过风险控制模型衡量和控制风险</w:t>
      </w:r>
    </w:p>
    <w:p w14:paraId="6AF1C1A9" w14:textId="77777777" w:rsidR="00496B2C" w:rsidRDefault="005605B9">
      <w:pPr>
        <w:pStyle w:val="div"/>
        <w:spacing w:line="360" w:lineRule="auto"/>
        <w:ind w:firstLine="420"/>
        <w:rPr>
          <w:rFonts w:ascii="宋体" w:hAnsi="宋体" w:cs="宋体"/>
          <w:kern w:val="0"/>
          <w:sz w:val="24"/>
          <w:szCs w:val="24"/>
        </w:rPr>
      </w:pPr>
      <w:r>
        <w:rPr>
          <w:rStyle w:val="custom"/>
          <w:rFonts w:ascii="宋体" w:hAnsi="宋体" w:cs="宋体" w:hint="eastAsia"/>
          <w:kern w:val="0"/>
          <w:sz w:val="24"/>
          <w:szCs w:val="24"/>
        </w:rPr>
        <w:t>本基金通过风险控制模型衡量和控制包含行业风险、风格风险和个股风险在内的各种形式的风险，从而力争避免在某些市场环境下较大幅落后于市场；同时，本基金通过风险控制技术使得基金的投资集中在量化模型擅长的领域，避免承担模型无法识别的风险。</w:t>
      </w:r>
    </w:p>
    <w:p w14:paraId="579F565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w:t>
      </w:r>
      <w:r>
        <w:rPr>
          <w:rFonts w:ascii="宋体" w:hAnsi="宋体" w:cs="宋体" w:hint="eastAsia"/>
          <w:kern w:val="0"/>
          <w:sz w:val="24"/>
          <w:szCs w:val="24"/>
        </w:rPr>
        <w:t>4</w:t>
      </w:r>
      <w:r>
        <w:rPr>
          <w:rFonts w:ascii="宋体" w:hAnsi="宋体" w:cs="宋体"/>
          <w:kern w:val="0"/>
          <w:sz w:val="24"/>
          <w:szCs w:val="24"/>
        </w:rPr>
        <w:t>）使用定量技术减少交易成本</w:t>
      </w:r>
    </w:p>
    <w:p w14:paraId="16C15C9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在组合构建时将分析个股的流动性，在此基础上限制个股的权重；本基金在组合调整时将综合比较组合调整带来的潜在收益和组合调整的成本，避免不必要的交易；本基金在交易时将利用交易技术尽可能减少市场冲击，降低交易</w:t>
      </w:r>
      <w:r>
        <w:rPr>
          <w:rFonts w:ascii="宋体" w:hAnsi="宋体" w:cs="宋体"/>
          <w:kern w:val="0"/>
          <w:sz w:val="24"/>
          <w:szCs w:val="24"/>
        </w:rPr>
        <w:lastRenderedPageBreak/>
        <w:t>成本。</w:t>
      </w:r>
    </w:p>
    <w:p w14:paraId="130A042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（5）综合衡量获利机会、风险因素、交易成本，动态</w:t>
      </w:r>
      <w:r>
        <w:rPr>
          <w:rStyle w:val="custom"/>
          <w:rFonts w:ascii="宋体" w:hAnsi="宋体" w:cs="宋体" w:hint="eastAsia"/>
          <w:kern w:val="0"/>
          <w:sz w:val="24"/>
          <w:szCs w:val="24"/>
        </w:rPr>
        <w:t>构建</w:t>
      </w:r>
      <w:r>
        <w:rPr>
          <w:rFonts w:ascii="宋体" w:hAnsi="宋体" w:cs="宋体"/>
          <w:kern w:val="0"/>
          <w:sz w:val="24"/>
          <w:szCs w:val="24"/>
        </w:rPr>
        <w:t>组合</w:t>
      </w:r>
    </w:p>
    <w:p w14:paraId="024DB98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除了在价格发现、风险控制、交易技术等方面进行深入挖掘外，本基金将综合这些因素之间的相互联系，结合各行业的特性，在进行整体考虑后动态</w:t>
      </w:r>
      <w:r>
        <w:rPr>
          <w:rStyle w:val="custom"/>
          <w:rFonts w:ascii="宋体" w:hAnsi="宋体" w:cs="宋体" w:hint="eastAsia"/>
          <w:kern w:val="0"/>
          <w:sz w:val="24"/>
          <w:szCs w:val="24"/>
        </w:rPr>
        <w:t>构建</w:t>
      </w:r>
      <w:r>
        <w:rPr>
          <w:rFonts w:ascii="宋体" w:hAnsi="宋体" w:cs="宋体"/>
          <w:kern w:val="0"/>
          <w:sz w:val="24"/>
          <w:szCs w:val="24"/>
        </w:rPr>
        <w:t>组合。</w:t>
      </w:r>
    </w:p>
    <w:p w14:paraId="7AD2A7A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3、港股通标的股票的投资策略</w:t>
      </w:r>
    </w:p>
    <w:p w14:paraId="7E76ECC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考虑到香港股票市场与A股股票市场的差异，对于港股通标的股票，本基金除按照上述“自下而上”的个股精选策略，还将结合公司基本面、国内经济和相关行业发展前景、香港市场资金面和投资者行为，以及世界主要经济体经济发展前景和货币政策、主流资本市场对投资者的相对吸引力等因素，精选符合本基金投资目标的</w:t>
      </w:r>
      <w:r>
        <w:rPr>
          <w:rStyle w:val="custom"/>
          <w:rFonts w:ascii="宋体" w:hAnsi="宋体" w:cs="宋体" w:hint="eastAsia"/>
          <w:kern w:val="0"/>
          <w:sz w:val="24"/>
          <w:szCs w:val="24"/>
        </w:rPr>
        <w:t>港股通标的</w:t>
      </w:r>
      <w:r>
        <w:rPr>
          <w:rFonts w:ascii="宋体" w:hAnsi="宋体" w:cs="宋体"/>
          <w:kern w:val="0"/>
          <w:sz w:val="24"/>
          <w:szCs w:val="24"/>
        </w:rPr>
        <w:t>股票。</w:t>
      </w:r>
    </w:p>
    <w:p w14:paraId="3365FB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4、存托凭证的投资策略</w:t>
      </w:r>
    </w:p>
    <w:p w14:paraId="6A5C6E6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本基金投资存托凭证的策略依照上述境内上市交易的股票投资策略执行。</w:t>
      </w:r>
    </w:p>
    <w:p w14:paraId="770408A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5、债券投资策略</w:t>
      </w:r>
    </w:p>
    <w:p w14:paraId="70CC16E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管理人将基于对国内外宏观经济形势的深入分析、国内外财政政策与货币市场政策等因素对债券市场的影响，进行合理的利率预期，判断债券市场的基本走势，制定久期控制下的资产类属配置策略。在债券投资组合构建和管理过程中，本基金管理人将具体采用期限结构配置、市场转换、信用利差和相对价值判断、信用风险评估、现金管理等管理手段进行个券选择。</w:t>
      </w:r>
    </w:p>
    <w:p w14:paraId="6098677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6、可转债及可交换债投资策略</w:t>
      </w:r>
    </w:p>
    <w:p w14:paraId="51C6840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对于本基金中可转债的投资，本基金主要采用可转债相对价值分析策略。</w:t>
      </w:r>
    </w:p>
    <w:p w14:paraId="47C37F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由于可转债兼具债性和股性，其投资风险和收益介于股票和债券之间，可转债相对价值分析策略通过分析不同市场环境下其股性和债性的相对价值，把握可转债的价值走向，选择相应券种，力争获取较高投资收益。</w:t>
      </w:r>
    </w:p>
    <w:p w14:paraId="31F9306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其次，在进行可转债筛选时，本基金还对可转债自身的基本面要素进行综合分析，这些基本面要素包括股性特征、债性特征、摊薄率、流动性等，形成对基础股票的价值评估。本基金将可转债自身的基本面分析和其基础股票的基本面分析结合在一起，最终确定投资的品种。</w:t>
      </w:r>
    </w:p>
    <w:p w14:paraId="3FC2CCA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可交换债券与可转换债券的区别在于换股期间用于交换的股票并非自身新</w:t>
      </w:r>
      <w:r>
        <w:rPr>
          <w:rFonts w:ascii="宋体" w:hAnsi="宋体" w:cs="宋体"/>
          <w:kern w:val="0"/>
          <w:sz w:val="24"/>
          <w:szCs w:val="24"/>
        </w:rPr>
        <w:lastRenderedPageBreak/>
        <w:t>发的股票，而是发行人持有的其他上市公司的股票。可交换债券同样具有债券属性和权益属性，其中债券属性与可转换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2F3269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7、资产支持证券投资策略</w:t>
      </w:r>
    </w:p>
    <w:p w14:paraId="3BF8DD6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将在宏观经济和基本面分析的基础上，对资产支持证券标的资产的质量和构成、利率风险、信用风险、流动性风险和提前偿付风险等进行分析，评估其相对投资价值并作出相应的投资决策，以在控制风险的前提下尽可能的提高本基金的收益。</w:t>
      </w:r>
    </w:p>
    <w:p w14:paraId="55518E6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资产支持证券的选择上，本基金将采取“自上而下”和“自下而上”相结合的策略。“自上而下”投资策略指在平均久期配置策略与期限结构配置策略基础上，本基金运用数量化或定性分析方法对资产支持证券的利率风险、提前偿付风险、流动性风险溢价、税收溢价等因素进行分析，对收益率走势及其收益和风险进行判断。“自下而上”投资策略指运用数量化或定性分析方法对资产池信用风险进行分析和度量，选择风险与收益相匹配的更优品种进行配置。</w:t>
      </w:r>
    </w:p>
    <w:p w14:paraId="34D1002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8、股指期货投资策略</w:t>
      </w:r>
    </w:p>
    <w:p w14:paraId="50FF9FE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股指期货将根据风险管理的原则，以套期保值为目的，充分考虑股指期货的收益性、流动性及风险性特征，运用股指期货对冲系统性风险、对冲特殊情况下的流动性风险，如大额申购赎回等，以降低交易成本和组合风险，提高投资效率。</w:t>
      </w:r>
    </w:p>
    <w:p w14:paraId="79A527B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9、国债期货投资策略</w:t>
      </w:r>
    </w:p>
    <w:p w14:paraId="4FF0B0E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国债期货将根据风险管理的原则，以套期保值为目的，结合对宏观经济形势和政策趋势的判断、对债券市场进行定性和定量分析，对国债期货和现货基差、国债期货的流动性、波动水平等指标进行跟踪监控。</w:t>
      </w:r>
    </w:p>
    <w:p w14:paraId="5FBF74A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10、股票期权投资策略</w:t>
      </w:r>
    </w:p>
    <w:p w14:paraId="4EEAB8E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本基金投资股票期权将按照风险管理的原则，以套期保值为主要目的，结合投资目标、比例限制、风险收益特征以及法律法规的相关限定和要求，确定参与股票期权交易的投资时机和投资比例。</w:t>
      </w:r>
    </w:p>
    <w:p w14:paraId="1DC463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未来如法律法规或监管机构允许基金投资股指期权或其他期权品种，本基金将在履行适当程序后，纳入投资范围并制定相应投资策略，并在招募说明书中更新公告。</w:t>
      </w:r>
    </w:p>
    <w:p w14:paraId="1225B54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11、融资投资策略</w:t>
      </w:r>
    </w:p>
    <w:p w14:paraId="4BA7C58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将在充分考虑风险和收益特征的基础上，审慎参与融资交易。本基金将基于对市场行情和组合风险收益特征的分析，确定投资时机、标的证券以及投资比例。若相关融资业务法律法规和监管要求发生变化，本基金将从其最新规定，在符合本基金投资目标的前提下，依照相关法律法规和监管要求制定融资策略。</w:t>
      </w:r>
    </w:p>
    <w:p w14:paraId="7E526F8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未来，随着投资工具的发展和丰富，本基金可在不改变投资目标和风险收益特征的前提下，相应调整和更新相关投资策略，并在招募说明书更新中公告。</w:t>
      </w:r>
    </w:p>
    <w:p w14:paraId="3B8CE4C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四、投资限制</w:t>
      </w:r>
    </w:p>
    <w:p w14:paraId="2730BD2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1、组合限制</w:t>
      </w:r>
    </w:p>
    <w:p w14:paraId="13D5FA8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基金的投资组合应遵循以下限制：</w:t>
      </w:r>
    </w:p>
    <w:p w14:paraId="12F8FA1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（1）本基金股票资产占基金资产的比例为80%-95%；其中，投资于港股通标的股票的比例不超过股票资产的50%；</w:t>
      </w:r>
    </w:p>
    <w:p w14:paraId="749E1CA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其中现金不包括结算备付金、存出保证金和应收申购款等；</w:t>
      </w:r>
    </w:p>
    <w:p w14:paraId="70BE925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（3）本基金持有一家公司发行的证券（同一家公司在内地和香港同时上市的A+H股合并计算），其市值不超过基金资产净值的10％；</w:t>
      </w:r>
    </w:p>
    <w:p w14:paraId="5A0081F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基金品种可以不受此条款规定的比例限制；</w:t>
      </w:r>
    </w:p>
    <w:p w14:paraId="6087F99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（5）本基金投资于同一原始权益人的各类资产支持证券的比例，不得超过基金资产净值的10%；</w:t>
      </w:r>
    </w:p>
    <w:p w14:paraId="5B7FDE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（6）本基金持有的全部资产支持证券，其市值不得超过基金资产净值的20%；</w:t>
      </w:r>
    </w:p>
    <w:p w14:paraId="537615F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（7）本基金持有的同一(指同一信用级别)资产支持证券的比例，不得超过该资产支持证券规模的10%；</w:t>
      </w:r>
    </w:p>
    <w:p w14:paraId="7434EFD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（8）本基金管理人管理的全部基金投资于同一原始权益人的各类资产支持证券，不得超过其各类资产支持证券合计规模的10%；</w:t>
      </w:r>
    </w:p>
    <w:p w14:paraId="2DE18F1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413ABDD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（10）基金财产参与股票发行申购，本基金所申报的金额不超过本基金的总资产，本基金所申报的股票数量不超过拟发行股票公司本次发行股票的总量；</w:t>
      </w:r>
    </w:p>
    <w:p w14:paraId="0592D20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6C9125D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1765C99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（13）本基金与私募类证券资管产品及中国证监会认定的其他主体为交易对手开展逆回购交易的，可接受质押品的资质要求应当与基金合同约定的投资范围保持一致；</w:t>
      </w:r>
    </w:p>
    <w:p w14:paraId="36F3F5C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（14）本基金资产总值不超过基金资产净值的140%；</w:t>
      </w:r>
    </w:p>
    <w:p w14:paraId="4828D58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（15）本基金参与股指期货和国债期货交易的，应当遵守下列要求：</w:t>
      </w:r>
    </w:p>
    <w:p w14:paraId="61941D5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0A3589A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w:t>
      </w:r>
      <w:r>
        <w:rPr>
          <w:rFonts w:ascii="宋体" w:hAnsi="宋体" w:cs="宋体"/>
          <w:kern w:val="0"/>
          <w:sz w:val="24"/>
          <w:szCs w:val="24"/>
        </w:rPr>
        <w:lastRenderedPageBreak/>
        <w:t>的股票市值和买入、卖出股指期货合约价值，合计（轧差计算）应当符合《基金合同》关于股票投资比例的有关约定；</w:t>
      </w:r>
    </w:p>
    <w:p w14:paraId="42EE0A8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4117C9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4894140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（17）本基金参与融资的，每个交易日日终，本基金持有的融资买入股票与其他有价证券市值之和，不得超过基金资产净值的95%；</w:t>
      </w:r>
    </w:p>
    <w:p w14:paraId="73D223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（18）本基金投资存托凭证的比例限制依照境内上市交易的股票执行；</w:t>
      </w:r>
    </w:p>
    <w:p w14:paraId="5FB4F4B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（19）法律法规及中国证监会规定的和《基金合同》约定的其他投资限制。</w:t>
      </w:r>
    </w:p>
    <w:p w14:paraId="3C1E2BE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除上述（2）、（9）、（12）、（13）项情形之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6C8772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233C63F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5ED4858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2、禁止行为</w:t>
      </w:r>
    </w:p>
    <w:p w14:paraId="1A14453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为维护基金份额持有人的合法权益，基金财产不得用于下列投资或者活动：</w:t>
      </w:r>
    </w:p>
    <w:p w14:paraId="16B13F4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（1）承销证券；</w:t>
      </w:r>
    </w:p>
    <w:p w14:paraId="28D4716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（2）违反规定向他人贷款或者提供担保；</w:t>
      </w:r>
    </w:p>
    <w:p w14:paraId="790EB57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（3）从事承担无限责任的投资；</w:t>
      </w:r>
    </w:p>
    <w:p w14:paraId="4454492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（4）买卖其他基金份额，但是法律法规或中国证监会另有规定的除外；</w:t>
      </w:r>
    </w:p>
    <w:p w14:paraId="7088575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（5）向其基金管理人、基金托管人出资；</w:t>
      </w:r>
    </w:p>
    <w:p w14:paraId="398B27C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（6）从事内幕交易、操纵证券交易价格及其他不正当的证券交易活动；</w:t>
      </w:r>
    </w:p>
    <w:p w14:paraId="2A80E2D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（7）法律、行政法规和中国证监会规定禁止的其他活动。</w:t>
      </w:r>
    </w:p>
    <w:p w14:paraId="2D8C2A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54C1D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0401AA4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五、业绩比较基准</w:t>
      </w:r>
    </w:p>
    <w:p w14:paraId="4EED0887"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本基金的业绩比较基准为：中证500指数收益率*90%+中债-国债总全价(1-3年)指数收益率*5%+活期存款基准利率*5%</w:t>
      </w:r>
    </w:p>
    <w:p w14:paraId="766D147B"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1、业绩比较基准设定的原因</w:t>
      </w:r>
    </w:p>
    <w:p w14:paraId="51B7B309"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1）基于基金投资范围以及预期投资的主要资产类别，本基金主要投资于A股股票、债券、流动性管理等资产并进行流动性管理，相应选取与之匹配的A股指数、债券指数和活期存款基准利率作为基准要素；同时基于本基金股票资产占基金资产的比例为80%-95%等投资比例限制，以及预期的资产配置比例，本基金将股票资产、债券资产和流动性管理部分资产所对应的基准要素权重分别设置为90%、5%和5%。</w:t>
      </w:r>
    </w:p>
    <w:p w14:paraId="0F5C3FF5"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(2)基于基金投资目标、投资范围和投资策略，本基金将在有效控制风险的前提下，采用科学的资产配置策略和股票投资策略，定量与定性分析相结合，力争实现基金资产的长期稳健增值。其中，资产配置策略用于确定大类资产配置比</w:t>
      </w:r>
      <w:r>
        <w:rPr>
          <w:rFonts w:hint="eastAsia"/>
          <w:lang w:bidi="ar"/>
        </w:rPr>
        <w:lastRenderedPageBreak/>
        <w:t>例以有效规避系统性风险，股票投资策略主要用于挖掘各行业中的优质股票以期获取超额收益。综合考虑基准指数与产品定位和投资风格的匹配度，同时兼顾考虑基准指数的表征性、认可度，以及指数盘别/市值覆盖、风格特征、行业与个股分布等，本基金选取中证500指数作为股票部分的基准要素。</w:t>
      </w:r>
    </w:p>
    <w:p w14:paraId="610E4BC1"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中证500指数由中证指数有限公司编制，由</w:t>
      </w:r>
      <w:r>
        <w:rPr>
          <w:rStyle w:val="custom"/>
          <w:rFonts w:hint="eastAsia"/>
        </w:rPr>
        <w:t>沪深证券市场中500只沪深300指数成份股之外的流动性好、代表性强的中小市值股票组成，综合反映沪深证券市场中一批中小市值公司的整体情况</w:t>
      </w:r>
      <w:r>
        <w:rPr>
          <w:rFonts w:hint="eastAsia"/>
          <w:lang w:bidi="ar"/>
        </w:rPr>
        <w:t>，适合作为本基金股票部分的业绩比较基准要素。</w:t>
      </w:r>
    </w:p>
    <w:p w14:paraId="7C7D1C54"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（3）基于基金投资目标、投资范围和投资策略，本基金的债券资产采用</w:t>
      </w:r>
      <w:r>
        <w:rPr>
          <w:rFonts w:hint="eastAsia"/>
          <w:color w:val="000000"/>
        </w:rPr>
        <w:t>全市场策略，主要通过类属配置与券种选择进行投资管理，预期组合久期整体偏向于中短久期。综合考虑基准指数与产品定位和投资风格的匹配度，同时兼顾考虑基准指数的表征性、认可度，以及基准指数券种、久期、信用等级分布特征等，选取中债-国债总全价（1-3年）指数作为债券部分的业绩比较基准要素</w:t>
      </w:r>
      <w:r>
        <w:rPr>
          <w:rFonts w:hint="eastAsia"/>
          <w:lang w:bidi="ar"/>
        </w:rPr>
        <w:t>。</w:t>
      </w:r>
    </w:p>
    <w:p w14:paraId="66B4ADF6"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中债-国债总全价(1-3年)指数</w:t>
      </w:r>
      <w:r>
        <w:rPr>
          <w:rStyle w:val="custom"/>
          <w:rFonts w:hint="eastAsia"/>
        </w:rPr>
        <w:t>成份券由在境内公开发行且上市流通的记账式国债组成，成份券代偿期在1-3年（含1年），反映中短久期记账式国债市场价格走势情况，</w:t>
      </w:r>
      <w:r>
        <w:rPr>
          <w:rFonts w:hint="eastAsia"/>
          <w:lang w:bidi="ar"/>
        </w:rPr>
        <w:t>适合作为本基金债券部分的业绩比较基准要素。</w:t>
      </w:r>
    </w:p>
    <w:p w14:paraId="3C82A27D" w14:textId="77777777" w:rsidR="00496B2C" w:rsidRDefault="005605B9" w:rsidP="008F13F4">
      <w:pPr>
        <w:pStyle w:val="ac"/>
        <w:widowControl w:val="0"/>
        <w:numPr>
          <w:ilvl w:val="0"/>
          <w:numId w:val="2"/>
        </w:numPr>
        <w:spacing w:before="0" w:beforeAutospacing="0" w:after="0" w:afterAutospacing="0" w:line="360" w:lineRule="auto"/>
        <w:ind w:firstLine="420"/>
        <w:jc w:val="both"/>
        <w:rPr>
          <w:lang w:bidi="ar"/>
        </w:rPr>
      </w:pPr>
      <w:r>
        <w:rPr>
          <w:rFonts w:hint="eastAsia"/>
          <w:lang w:bidi="ar"/>
        </w:rPr>
        <w:t>基于本基金每个交易日日终在扣除国债期货、股指期货和股票期权合约需缴纳的交易保证金后，保留的现金或投资于到期日在一年以内的政府债券的比例合计不低于基金资产净值的5%，选取活期存款基准利率作为本基金流动性管理部分的业绩比较基准要素。</w:t>
      </w:r>
    </w:p>
    <w:p w14:paraId="7AA0735E" w14:textId="77777777" w:rsidR="00496B2C" w:rsidRDefault="005605B9" w:rsidP="008F13F4">
      <w:pPr>
        <w:pStyle w:val="ac"/>
        <w:widowControl w:val="0"/>
        <w:numPr>
          <w:ilvl w:val="255"/>
          <w:numId w:val="0"/>
        </w:numPr>
        <w:spacing w:before="0" w:beforeAutospacing="0" w:after="0" w:afterAutospacing="0" w:line="360" w:lineRule="auto"/>
        <w:ind w:firstLine="420"/>
        <w:jc w:val="both"/>
        <w:rPr>
          <w:lang w:bidi="ar"/>
        </w:rPr>
      </w:pPr>
      <w:r>
        <w:rPr>
          <w:rFonts w:hint="eastAsia"/>
          <w:lang w:bidi="ar"/>
        </w:rPr>
        <w:t>活期存款基准利率具有较强的权威性和市场影响力，适合作为本基金流动性管理部分的业绩比较基准要素。</w:t>
      </w:r>
    </w:p>
    <w:p w14:paraId="7876D4CE"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综上，本基金选取的业绩比较基准与基金投资目标、投资范围、投资策略、投资比例限制相匹配。</w:t>
      </w:r>
    </w:p>
    <w:p w14:paraId="01CEE630"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2、业绩比较基准要素的基本信息</w:t>
      </w:r>
    </w:p>
    <w:p w14:paraId="796182F2"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中证500指数由中证指数有限公司编制发布，指数代码为000905，指数具体信息详见中证指数有限公司网站，网址：www.csindex.com.cn。</w:t>
      </w:r>
    </w:p>
    <w:p w14:paraId="2CE97102"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中债-国债总全价(1-3年)指数由中债金融估值中心有限公司编制发布，指数代码为CBA00623,指数具体信息详见中国债券信息网，网址：</w:t>
      </w:r>
      <w:r>
        <w:rPr>
          <w:rFonts w:hint="eastAsia"/>
          <w:lang w:bidi="ar"/>
        </w:rPr>
        <w:lastRenderedPageBreak/>
        <w:t>index.chinabond.com.cn。</w:t>
      </w:r>
    </w:p>
    <w:p w14:paraId="12A12449"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活期存款基准利率由中国人民银行制定并发布，具体信息详见中国人民银行网站，网址：www.pbc.gov.cn。</w:t>
      </w:r>
    </w:p>
    <w:p w14:paraId="4AF9ADBB"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3、业绩比较基准的计算方法</w:t>
      </w:r>
    </w:p>
    <w:p w14:paraId="678AB506"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本基金业绩比较基准收益率的计算方法以每日收益率为基础，以时间加权为计算原则。本基金先分别计算业绩比较基准中中证500指数、中债-国债总全价(1-3年)指数和活期存款基准利率的每日收益率，再按照预设权重比例计算当日组合要素基准的日收益率，并连乘每日收益率。</w:t>
      </w:r>
    </w:p>
    <w:p w14:paraId="4F4F9C11"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4、管理投资偏离业绩比较基准的定性或定量方法</w:t>
      </w:r>
    </w:p>
    <w:p w14:paraId="3C231FCD"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本基金管理人对基金实际投资与业绩比较基准的偏离情况进行动态跟踪与监测评估，监测指标主要包括信息比率、跟踪误差、超额收益、卡玛比率等，以更好管理基金实际投资与业绩比较基准的偏离情况，从而在控制风险的基础上追求超越业绩比较基准的投资回报。</w:t>
      </w:r>
    </w:p>
    <w:p w14:paraId="2A87DD55"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3942C1E6"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5、未来可能变更业绩比较基准的情况和程序</w:t>
      </w:r>
    </w:p>
    <w:p w14:paraId="51155AFD"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3B506BDC"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1746A97F"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（2）调整业绩比较基准的要素权重、更换相同或相近特征的要素等，使新业绩比较基准代表性更强，且符合相关法律法规规定的；</w:t>
      </w:r>
    </w:p>
    <w:p w14:paraId="0CE1270F"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lastRenderedPageBreak/>
        <w:t>（3）中国证监会认可的其他情形。</w:t>
      </w:r>
    </w:p>
    <w:p w14:paraId="34A42D96"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业绩比较基准变更涉及以下情形的，基金管理人应当按照规定履行变更注册、召开基金份额持有人大会等程序，法律法规、中国证监会另有规定的除外：</w:t>
      </w:r>
    </w:p>
    <w:p w14:paraId="1975A3BE" w14:textId="77777777" w:rsidR="00496B2C" w:rsidRDefault="005605B9">
      <w:pPr>
        <w:pStyle w:val="ac"/>
        <w:widowControl w:val="0"/>
        <w:spacing w:before="0" w:beforeAutospacing="0" w:after="0" w:afterAutospacing="0" w:line="360" w:lineRule="auto"/>
        <w:ind w:firstLine="420"/>
        <w:jc w:val="both"/>
        <w:rPr>
          <w:lang w:bidi="ar"/>
        </w:rPr>
      </w:pPr>
      <w:r>
        <w:rPr>
          <w:rFonts w:hint="eastAsia"/>
          <w:lang w:bidi="ar"/>
        </w:rPr>
        <w:t>（1）基金投资目标、投资范围、投资策略、投资比例等拟进行重大调整，并变更业绩比较基准的；</w:t>
      </w:r>
    </w:p>
    <w:p w14:paraId="5117781B" w14:textId="291314EA" w:rsidR="00496B2C" w:rsidRDefault="005605B9">
      <w:pPr>
        <w:pStyle w:val="ac"/>
        <w:widowControl w:val="0"/>
        <w:spacing w:before="0" w:beforeAutospacing="0" w:after="0" w:afterAutospacing="0" w:line="360" w:lineRule="auto"/>
        <w:ind w:firstLine="420"/>
        <w:jc w:val="both"/>
        <w:rPr>
          <w:lang w:bidi="ar"/>
        </w:rPr>
      </w:pPr>
      <w:r>
        <w:rPr>
          <w:rFonts w:hint="eastAsia"/>
          <w:lang w:bidi="ar"/>
        </w:rPr>
        <w:t>（2）其他对基金份额持有人利益产生重大实质性影响的情形。</w:t>
      </w:r>
    </w:p>
    <w:p w14:paraId="0C67739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六、风险收益特征</w:t>
      </w:r>
    </w:p>
    <w:p w14:paraId="77CAEC4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本基金属于股票型基金，其预期的风险与收益高于混合型基金、债券型基金与货币市场基金。</w:t>
      </w:r>
    </w:p>
    <w:p w14:paraId="3ED854D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本基金除了投资A股以外，还可以根据法律法规规定投资港股通标的股票，将面临港股通机制下因投资环境、投资标的、市场制度以及交易规则等差异带来的特有风险。</w:t>
      </w:r>
    </w:p>
    <w:p w14:paraId="0C3C64C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七、基金管理人代表基金行使股东或债权人权利的处理原则及方法</w:t>
      </w:r>
    </w:p>
    <w:p w14:paraId="03F1D1A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1、基金管理人按照国家有关规定代表基金独立行使股东或债权人权利，保护基金份额持有人的利益；</w:t>
      </w:r>
    </w:p>
    <w:p w14:paraId="6F04941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2、不谋求对上市公司的控股；</w:t>
      </w:r>
    </w:p>
    <w:p w14:paraId="1DB2E8F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3、有利于基金财产的安全与增值；</w:t>
      </w:r>
    </w:p>
    <w:p w14:paraId="73A009B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4、不通过关联交易为自身、雇员、授权代理人或任何存在利害关系的第三人牟取任何不当利益。</w:t>
      </w:r>
    </w:p>
    <w:p w14:paraId="5DA0D3D2"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八、侧袋机制的实施和投资运作安排</w:t>
      </w:r>
    </w:p>
    <w:p w14:paraId="7DEAF75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A1F3BC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侧袋机制实施期间，本部分约定的投资组合比例、投资策略、组合限制、业绩比较基准、风险收益特征等约定仅适用于主袋账户。</w:t>
      </w:r>
    </w:p>
    <w:p w14:paraId="5B44978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侧袋账户的实施条件、实施程序、运作安排、投资安排、特定资产的处置变现和支付等对投资者权益有重大影响的事项详见本招募说明书“侧袋机制”章节的规定。</w:t>
      </w:r>
      <w:r>
        <w:rPr>
          <w:rFonts w:ascii="宋体" w:hAnsi="宋体" w:cs="宋体"/>
          <w:kern w:val="0"/>
          <w:sz w:val="24"/>
          <w:szCs w:val="24"/>
        </w:rPr>
        <w:br w:type="page"/>
      </w:r>
    </w:p>
    <w:p w14:paraId="71771C1E" w14:textId="77777777" w:rsidR="00496B2C" w:rsidRDefault="005605B9">
      <w:pPr>
        <w:pStyle w:val="1"/>
        <w:spacing w:before="0" w:after="0"/>
        <w:jc w:val="center"/>
        <w:rPr>
          <w:rFonts w:ascii="Times New Roman"/>
          <w:color w:val="auto"/>
          <w:sz w:val="30"/>
        </w:rPr>
      </w:pPr>
      <w:bookmarkStart w:id="41" w:name="_Toc256000009"/>
      <w:r>
        <w:rPr>
          <w:rFonts w:ascii="Times New Roman"/>
          <w:color w:val="auto"/>
          <w:sz w:val="30"/>
        </w:rPr>
        <w:lastRenderedPageBreak/>
        <w:t>第十部分</w:t>
      </w:r>
      <w:r>
        <w:rPr>
          <w:rFonts w:ascii="Times New Roman"/>
          <w:color w:val="auto"/>
          <w:sz w:val="30"/>
        </w:rPr>
        <w:t xml:space="preserve">  </w:t>
      </w:r>
      <w:r>
        <w:rPr>
          <w:rFonts w:ascii="Times New Roman"/>
          <w:color w:val="auto"/>
          <w:sz w:val="30"/>
        </w:rPr>
        <w:t>基金的财产</w:t>
      </w:r>
      <w:bookmarkEnd w:id="41"/>
    </w:p>
    <w:p w14:paraId="017E9C92" w14:textId="77777777" w:rsidR="00496B2C" w:rsidRDefault="00496B2C"/>
    <w:p w14:paraId="71492F4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一、基金资产总值</w:t>
      </w:r>
    </w:p>
    <w:p w14:paraId="1FA7B76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基金资产总值是指购买的各类有价证券及票据价值、银行存款本息和基金应收的申购基金款以及其他投资所形成的价值总和。</w:t>
      </w:r>
    </w:p>
    <w:p w14:paraId="0032913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二、基金资产净值</w:t>
      </w:r>
    </w:p>
    <w:p w14:paraId="2EF93B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基金资产净值是指基金资产总值减去基金负债后的价值。</w:t>
      </w:r>
    </w:p>
    <w:p w14:paraId="2A714AC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三、基金财产的账户</w:t>
      </w:r>
    </w:p>
    <w:p w14:paraId="574DD05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人根据相关法律法规、规范性文件为本基金开立资金账户、证券账户以及投资所需的其他专用账户。开立的基金专用账户与基金管理人、基金托管人、基金销售机构和基金登记机构自有的财产账户以及其他基金财产账户相独立。</w:t>
      </w:r>
    </w:p>
    <w:p w14:paraId="5F3E679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四、基金财产的保管和处分</w:t>
      </w:r>
    </w:p>
    <w:p w14:paraId="7819828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财产独立于基金管理人、基金托管人和基金销售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5B100A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非因基金财产本身承担的债务，不得对基金财产强制执行。</w:t>
      </w:r>
      <w:r>
        <w:rPr>
          <w:rFonts w:ascii="宋体" w:hAnsi="宋体" w:cs="宋体"/>
          <w:kern w:val="0"/>
          <w:sz w:val="24"/>
          <w:szCs w:val="24"/>
        </w:rPr>
        <w:br w:type="page"/>
      </w:r>
    </w:p>
    <w:p w14:paraId="72730CDD" w14:textId="77777777" w:rsidR="00496B2C" w:rsidRDefault="005605B9">
      <w:pPr>
        <w:pStyle w:val="1"/>
        <w:spacing w:before="0" w:after="0"/>
        <w:jc w:val="center"/>
        <w:rPr>
          <w:rFonts w:ascii="Times New Roman"/>
          <w:color w:val="auto"/>
          <w:sz w:val="30"/>
        </w:rPr>
      </w:pPr>
      <w:bookmarkStart w:id="42" w:name="_Toc256000010"/>
      <w:r>
        <w:rPr>
          <w:rFonts w:ascii="Times New Roman"/>
          <w:color w:val="auto"/>
          <w:sz w:val="30"/>
        </w:rPr>
        <w:lastRenderedPageBreak/>
        <w:t>第十一部分</w:t>
      </w:r>
      <w:r>
        <w:rPr>
          <w:rFonts w:ascii="Times New Roman"/>
          <w:color w:val="auto"/>
          <w:sz w:val="30"/>
        </w:rPr>
        <w:t xml:space="preserve">  </w:t>
      </w:r>
      <w:r>
        <w:rPr>
          <w:rFonts w:ascii="Times New Roman"/>
          <w:color w:val="auto"/>
          <w:sz w:val="30"/>
        </w:rPr>
        <w:t>基金资产估值</w:t>
      </w:r>
      <w:bookmarkEnd w:id="42"/>
    </w:p>
    <w:p w14:paraId="42C16056" w14:textId="77777777" w:rsidR="00496B2C" w:rsidRDefault="00496B2C"/>
    <w:p w14:paraId="0F99AC5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一、估值日</w:t>
      </w:r>
    </w:p>
    <w:p w14:paraId="157665E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本基金的估值日为本基金相关的证券交易场所的交易日以及国家法律法规规定需要对外披露基金净值的非交易日。</w:t>
      </w:r>
    </w:p>
    <w:p w14:paraId="7A30C50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二、估值对象</w:t>
      </w:r>
    </w:p>
    <w:p w14:paraId="3C049E6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基金所拥有的股票、债券、资产支持证券、股指期货合约、国债期货合约、股票期权合约和银行存款本息、应收款项、其它投资等资产及负债。</w:t>
      </w:r>
    </w:p>
    <w:p w14:paraId="183C9F1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三、估值原则</w:t>
      </w:r>
    </w:p>
    <w:p w14:paraId="68B11E5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基金管理人在确定相关金融资产和金融负债的公允价值时，应符合《企业会计准则》、监管部门有关规定。</w:t>
      </w:r>
    </w:p>
    <w:p w14:paraId="6DE68EC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4101577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6B84656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13270E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（三）如经济环境发生重大变化或证券发行人发生影响证券价格的重大事件，使潜在估值调整对前一估值日的基金资产净值的影响在0.25%以上的，应对估值进行调整并确定公允价值。</w:t>
      </w:r>
    </w:p>
    <w:p w14:paraId="172294D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四、估值方法</w:t>
      </w:r>
    </w:p>
    <w:p w14:paraId="24B552D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1、证券交易所上市的有价证券的估值</w:t>
      </w:r>
    </w:p>
    <w:p w14:paraId="5B383F0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17D5B99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7D3EBB5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（3）交易所上市不存在活跃市场的有价证券，采用估值技术确定公允价值。</w:t>
      </w:r>
    </w:p>
    <w:p w14:paraId="6AA5C36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2、处于未上市期间的有价证券应区分如下情况处理：</w:t>
      </w:r>
    </w:p>
    <w:p w14:paraId="74456B3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262F8E1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（2）首次公开发行未上市的股票，采用估值技术确定公允价值，在估值技术难以可靠计量公允价值的情况下，按成本估值；</w:t>
      </w:r>
    </w:p>
    <w:p w14:paraId="096B43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72F642B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3、以公允价值计量的固定收益品种</w:t>
      </w:r>
    </w:p>
    <w:p w14:paraId="6C6B7AD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72557CA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549AE83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w:t>
      </w:r>
      <w:r>
        <w:rPr>
          <w:rFonts w:ascii="宋体" w:hAnsi="宋体" w:cs="宋体"/>
          <w:kern w:val="0"/>
          <w:sz w:val="24"/>
          <w:szCs w:val="24"/>
        </w:rPr>
        <w:lastRenderedPageBreak/>
        <w:t>回售登记期截止日（含当日）后未行使回售权的按照长待偿期所对应的价格进行估值；</w:t>
      </w:r>
    </w:p>
    <w:p w14:paraId="55CB0A4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（4）对于未上市或未挂牌转让且不存在活跃市场的固定收益品种，应采用在当前情况下适用并且有足够可利用数据和其他信息支持的估值技术确定其公允价值。</w:t>
      </w:r>
    </w:p>
    <w:p w14:paraId="695520A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01D273A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5、同一债券或股票同时在两个或两个以上市场交易的，按债券或股票所处的市场分别估值。</w:t>
      </w:r>
    </w:p>
    <w:p w14:paraId="01AA632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00AA47C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7、本基金投资股票期权合约，一般以股票期权估值日的结算价进行估值，估值当日无结算价的，且最近交易日后经济环境未发生重大变化的，采用最近交易日结算价估值。</w:t>
      </w:r>
    </w:p>
    <w:p w14:paraId="1F8F824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8、本基金投资国债期货合约，一般以国债期货合约估值日的结算价估值，估值当日无结算价的，且最近交易日后经济环境未发生重大变化的，采用最近交易日结算价估值。</w:t>
      </w:r>
    </w:p>
    <w:p w14:paraId="5F851DA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10D012C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196CEDC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10、本基金投资存托凭证的估值核算，依照境内上市交易的股票进行。</w:t>
      </w:r>
    </w:p>
    <w:p w14:paraId="02E9C4F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11、银行存款、回购等固定收益工具按照约定利率在持有期内逐日确认利息收入，在利息到账日以实收利息入账。</w:t>
      </w:r>
    </w:p>
    <w:p w14:paraId="5D35953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12、如有确凿证据表明按上述方法进行估值不能客观反映其公允价值的，基金管理人可根据具体情况与基金托管人商定后，按最能反映公允价值的价格估值。</w:t>
      </w:r>
    </w:p>
    <w:p w14:paraId="6BA9366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5598970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14、相关法律法规以及监管部门有强制规定的，从其规定。如有新增事项，按国家最新规定估值。</w:t>
      </w:r>
    </w:p>
    <w:p w14:paraId="59E60B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6946D8C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5DF7C6B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五、估值程序</w:t>
      </w:r>
    </w:p>
    <w:p w14:paraId="058FA5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72C89C4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基金管理人每个估值日计算基金资产净值及各类基金份额净值，并按规定公告。</w:t>
      </w:r>
    </w:p>
    <w:p w14:paraId="1521584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管理人应每个估值日对基金资产估值。但基金管理人根据法律法规或基金合同的规定暂停估值时除外。基金管理人每个估值日对基金资产估值后，将各类基金份额净值结果发送基金托管人，经基金托管人复核无误后，由基金管理人按约定对外公布。</w:t>
      </w:r>
    </w:p>
    <w:p w14:paraId="3B44135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六、估值错误的处理</w:t>
      </w:r>
    </w:p>
    <w:p w14:paraId="3DA6433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基金管理人和基金托管人将采取必要、适当、合理的措施确保基金资产估值</w:t>
      </w:r>
      <w:r>
        <w:rPr>
          <w:rFonts w:ascii="宋体" w:hAnsi="宋体" w:cs="宋体"/>
          <w:kern w:val="0"/>
          <w:sz w:val="24"/>
          <w:szCs w:val="24"/>
        </w:rPr>
        <w:lastRenderedPageBreak/>
        <w:t>的准确性、及时性。当某类基金份额净值小数点后4位以内(含第4位)发生估值错误时，视为该类基金份额净值错误。</w:t>
      </w:r>
    </w:p>
    <w:p w14:paraId="2E6CD28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基金合同的当事人应按照以下约定处理：</w:t>
      </w:r>
    </w:p>
    <w:p w14:paraId="1FD50DB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1、估值错误类型</w:t>
      </w:r>
    </w:p>
    <w:p w14:paraId="4B7CC1D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0C24EEB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14:paraId="7FE75A6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2、估值错误处理原则</w:t>
      </w:r>
    </w:p>
    <w:p w14:paraId="6984969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1E91B88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（2）估值错误的责任方对有关当事人的直接损失负责，不对间接损失负责，并且仅对估值错误的有关直接当事人负责，不对第三方负责。</w:t>
      </w:r>
    </w:p>
    <w:p w14:paraId="5762050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668283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（4）估值错误调整采用尽量恢复至假设未发生估值错误的正确情形的方式。</w:t>
      </w:r>
    </w:p>
    <w:p w14:paraId="44DBF98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3、估值错误处理程序</w:t>
      </w:r>
    </w:p>
    <w:p w14:paraId="45FFD2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估值错误被发现后，有关的当事人应当及时进行处理，处理的程序如下：</w:t>
      </w:r>
    </w:p>
    <w:p w14:paraId="022E31E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（1）查明估值错误发生的原因，列明所有的当事人，并根据估值错误发生的原因确定估值错误的责任方；</w:t>
      </w:r>
    </w:p>
    <w:p w14:paraId="413C6D6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（2）根据估值错误处理原则或当事人协商的方法对因估值错误造成的损失进行评估；</w:t>
      </w:r>
    </w:p>
    <w:p w14:paraId="463E4BD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（3）根据估值错误处理原则或当事人协商的方法由估值错误的责任方进行更正和赔偿损失；</w:t>
      </w:r>
    </w:p>
    <w:p w14:paraId="5EF0106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（4）根据估值错误处理的方法，需要修改基金登记机构交易数据的，由基金登记机构进行更正，并就估值错误的更正向有关当事人进行确认。</w:t>
      </w:r>
    </w:p>
    <w:p w14:paraId="3AB334F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4、基金份额净值估值错误处理的方法如下：</w:t>
      </w:r>
    </w:p>
    <w:p w14:paraId="0802A10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（1）某类基金份额净值计算出现错误时，基金管理人应当立即予以纠正，通报基金托管人，并采取合理的措施防止损失进一步扩大。</w:t>
      </w:r>
    </w:p>
    <w:p w14:paraId="67E821B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（2）错误偏差达到该类基金份额净值的0.25%时，基金管理人应当通报基金托管人并报中国证监会备案；错误偏差达到该类基金份额净值的0.5%时，基金管理人应当公告，并报中国证监会备案。</w:t>
      </w:r>
    </w:p>
    <w:p w14:paraId="4F63699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（3）前述内容如法律法规或监管机构另有规定的，从其规定处理。如果行业另有通行做法，基金管理人和基金托管人应本着平等和保护基金份额持有人利益的原则进行协商。</w:t>
      </w:r>
    </w:p>
    <w:p w14:paraId="33D5969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七、暂停估值的情形</w:t>
      </w:r>
    </w:p>
    <w:p w14:paraId="23FF4AE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1、基金投资所涉及的证券/期货交易市场遇法定节假日或因其他原因暂停营业时；</w:t>
      </w:r>
    </w:p>
    <w:p w14:paraId="13E8E87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2、因不可抗力或其他情形致使基金管理人、基金托管人无法准确评估基金资产价值时；</w:t>
      </w:r>
    </w:p>
    <w:p w14:paraId="692AFCB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3、当特定资产占前一估值日基金资产净值50%以上的，经与基金托管人协商确认后，基金管理人应当暂停估值；</w:t>
      </w:r>
    </w:p>
    <w:p w14:paraId="312CD58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4、法律法规规定、中国证监会和基金合同认定的其它情形。</w:t>
      </w:r>
    </w:p>
    <w:p w14:paraId="2007D9C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八、基金净值的确认</w:t>
      </w:r>
    </w:p>
    <w:p w14:paraId="683B9E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用于基金信息披露的基金资产净值和各类基金份额净值由基金管理人负责计算，基金托管人负责进行复核。基金管理人应于每个估值日交易结束后计算当</w:t>
      </w:r>
      <w:r>
        <w:rPr>
          <w:rFonts w:ascii="宋体" w:hAnsi="宋体" w:cs="宋体"/>
          <w:kern w:val="0"/>
          <w:sz w:val="24"/>
          <w:szCs w:val="24"/>
        </w:rPr>
        <w:lastRenderedPageBreak/>
        <w:t>日的基金资产净值和各类基金份额净值并发送给基金托管人。基金托管人对净值计算结果复核确认后发送给基金管理人，由基金管理人对基金净值按约定予以公布。</w:t>
      </w:r>
    </w:p>
    <w:p w14:paraId="522F5B11" w14:textId="77777777" w:rsidR="00496B2C" w:rsidRDefault="005605B9">
      <w:pPr>
        <w:pStyle w:val="div"/>
        <w:spacing w:line="360" w:lineRule="auto"/>
        <w:ind w:firstLine="480"/>
        <w:rPr>
          <w:rFonts w:ascii="宋体" w:hAnsi="宋体" w:cs="宋体"/>
          <w:kern w:val="0"/>
          <w:sz w:val="24"/>
          <w:szCs w:val="24"/>
        </w:rPr>
      </w:pPr>
      <w:r>
        <w:rPr>
          <w:rFonts w:ascii="宋体" w:hAnsi="宋体" w:cs="宋体" w:hint="eastAsia"/>
          <w:kern w:val="0"/>
          <w:sz w:val="24"/>
          <w:szCs w:val="24"/>
        </w:rPr>
        <w:t>本基金在每个估值日计算基金资产净值及各类基金份额净值时，将统一按前一日基金资产净值的</w:t>
      </w:r>
      <w:r>
        <w:rPr>
          <w:rFonts w:eastAsia="Times New Roman"/>
          <w:kern w:val="0"/>
          <w:sz w:val="24"/>
          <w:szCs w:val="24"/>
        </w:rPr>
        <w:t>1.20%</w:t>
      </w:r>
      <w:r>
        <w:rPr>
          <w:rFonts w:ascii="宋体" w:hAnsi="宋体" w:cs="宋体" w:hint="eastAsia"/>
          <w:kern w:val="0"/>
          <w:sz w:val="24"/>
          <w:szCs w:val="24"/>
        </w:rPr>
        <w:t>的年费率计算管理费，投资者实际承担的管理费将依据基金合同</w:t>
      </w:r>
      <w:r>
        <w:rPr>
          <w:rFonts w:eastAsia="Times New Roman"/>
          <w:kern w:val="0"/>
          <w:sz w:val="24"/>
          <w:szCs w:val="24"/>
        </w:rPr>
        <w:t>“</w:t>
      </w:r>
      <w:r>
        <w:rPr>
          <w:rFonts w:ascii="宋体" w:hAnsi="宋体" w:cs="宋体" w:hint="eastAsia"/>
          <w:kern w:val="0"/>
          <w:sz w:val="24"/>
          <w:szCs w:val="24"/>
        </w:rPr>
        <w:t>第十五部分</w:t>
      </w:r>
      <w:r>
        <w:rPr>
          <w:rFonts w:eastAsia="Times New Roman"/>
          <w:kern w:val="0"/>
          <w:sz w:val="24"/>
          <w:szCs w:val="24"/>
        </w:rPr>
        <w:t xml:space="preserve">  </w:t>
      </w:r>
      <w:r>
        <w:rPr>
          <w:rFonts w:ascii="宋体" w:hAnsi="宋体" w:cs="宋体" w:hint="eastAsia"/>
          <w:kern w:val="0"/>
          <w:sz w:val="24"/>
          <w:szCs w:val="24"/>
        </w:rPr>
        <w:t>基金费用与税收</w:t>
      </w:r>
      <w:r>
        <w:rPr>
          <w:rFonts w:eastAsia="Times New Roman"/>
          <w:kern w:val="0"/>
          <w:sz w:val="24"/>
          <w:szCs w:val="24"/>
        </w:rPr>
        <w:t>”</w:t>
      </w:r>
      <w:r>
        <w:rPr>
          <w:rFonts w:ascii="宋体" w:hAnsi="宋体" w:cs="宋体" w:hint="eastAsia"/>
          <w:kern w:val="0"/>
          <w:sz w:val="24"/>
          <w:szCs w:val="24"/>
        </w:rPr>
        <w:t>的约定计算和收取。</w:t>
      </w:r>
    </w:p>
    <w:p w14:paraId="7DC582A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九、实施侧袋机制期间的基金资产估值</w:t>
      </w:r>
    </w:p>
    <w:p w14:paraId="1D32149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本基金实施侧袋机制的，应根据本部分的约定对主袋账户资产进行估值并披露主袋账户的基金净值信息，暂停披露侧袋账户份额净值。</w:t>
      </w:r>
    </w:p>
    <w:p w14:paraId="254CA91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十、特殊情形的处理</w:t>
      </w:r>
    </w:p>
    <w:p w14:paraId="0900A99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1、基金管理人、基金托管人按本部分有关估值方法约定的第12项进行估值时，所造成的误差不作为基金资产估值错误处理。</w:t>
      </w:r>
    </w:p>
    <w:p w14:paraId="7976901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由于证券/期货交易所、登记结算公司等第三方机构发送的数据错误，或由于其他不可抗力等原因，基金管理人和基金托管人虽然已经采取必要、适当、合理的措施进行检查，但未能发现错误的，由此造成的基金资产估值错误，基金管理人和基金托管人免除赔偿责任。但基金管理人和基金托管人应当积极采取必要的措施减轻或消除由此造成的影响。</w:t>
      </w:r>
      <w:r>
        <w:rPr>
          <w:rFonts w:ascii="宋体" w:hAnsi="宋体" w:cs="宋体"/>
          <w:kern w:val="0"/>
          <w:sz w:val="24"/>
          <w:szCs w:val="24"/>
        </w:rPr>
        <w:br w:type="page"/>
      </w:r>
    </w:p>
    <w:p w14:paraId="5483CAAE" w14:textId="77777777" w:rsidR="00496B2C" w:rsidRDefault="005605B9">
      <w:pPr>
        <w:pStyle w:val="1"/>
        <w:spacing w:before="0" w:after="0"/>
        <w:jc w:val="center"/>
        <w:rPr>
          <w:rFonts w:ascii="Times New Roman"/>
          <w:color w:val="auto"/>
          <w:sz w:val="30"/>
        </w:rPr>
      </w:pPr>
      <w:bookmarkStart w:id="43" w:name="_Toc256000011"/>
      <w:r>
        <w:rPr>
          <w:rFonts w:ascii="Times New Roman"/>
          <w:color w:val="auto"/>
          <w:sz w:val="30"/>
        </w:rPr>
        <w:lastRenderedPageBreak/>
        <w:t>第十二部分</w:t>
      </w:r>
      <w:r>
        <w:rPr>
          <w:rFonts w:ascii="Times New Roman"/>
          <w:color w:val="auto"/>
          <w:sz w:val="30"/>
        </w:rPr>
        <w:t xml:space="preserve">  </w:t>
      </w:r>
      <w:r>
        <w:rPr>
          <w:rFonts w:ascii="Times New Roman"/>
          <w:color w:val="auto"/>
          <w:sz w:val="30"/>
        </w:rPr>
        <w:t>基金的收益与分配</w:t>
      </w:r>
      <w:bookmarkEnd w:id="43"/>
    </w:p>
    <w:p w14:paraId="5F0351BF" w14:textId="77777777" w:rsidR="00496B2C" w:rsidRDefault="00496B2C"/>
    <w:p w14:paraId="1D63F2B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一、基金利润的构成</w:t>
      </w:r>
    </w:p>
    <w:p w14:paraId="1E641B2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基金利润指基金利息收入、投资收益、公允价值变动收益和其他收入扣除相关费用后的余额，基金已实现收益指基金利润减去公允价值变动收益后的余额。</w:t>
      </w:r>
    </w:p>
    <w:p w14:paraId="0172362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二、基金可供分配利润</w:t>
      </w:r>
    </w:p>
    <w:p w14:paraId="15945C9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基金可供分配利润指截至收益分配基准日基金未分配利润与未分配利润中已实现收益的孰低数。</w:t>
      </w:r>
    </w:p>
    <w:p w14:paraId="77B118A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三、基金收益分配原则</w:t>
      </w:r>
    </w:p>
    <w:p w14:paraId="600C619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1、在符合有关基金分红条件的前提下，本基金可进行基金收益分配，若《基金合同》生效不满3个月可不进行收益分配；</w:t>
      </w:r>
    </w:p>
    <w:p w14:paraId="560839F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2、本基金收益分配</w:t>
      </w:r>
      <w:r>
        <w:rPr>
          <w:rFonts w:ascii="宋体" w:hAnsi="宋体" w:cs="宋体" w:hint="eastAsia"/>
          <w:sz w:val="24"/>
          <w:szCs w:val="24"/>
        </w:rPr>
        <w:t>仅有现金分红一种方式</w:t>
      </w:r>
      <w:r>
        <w:rPr>
          <w:rFonts w:ascii="宋体" w:hAnsi="宋体" w:cs="宋体"/>
          <w:kern w:val="0"/>
          <w:sz w:val="24"/>
          <w:szCs w:val="24"/>
        </w:rPr>
        <w:t>；</w:t>
      </w:r>
    </w:p>
    <w:p w14:paraId="14A492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3、基金收益分配后各类基金份额净值不能低于面值，即基金收益分配基准日的各类基金份额净值减去每单位该类基金份额收益分配金额后不能低于面值；</w:t>
      </w:r>
    </w:p>
    <w:p w14:paraId="088F1D1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4、同一类别内每一基金份额享有同等分配权；</w:t>
      </w:r>
    </w:p>
    <w:p w14:paraId="755C2DD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5、法律法规或监管机构另有规定的，从其规定。</w:t>
      </w:r>
    </w:p>
    <w:p w14:paraId="6C5737D7" w14:textId="5C161E83"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在不违反法律法规且对基金份额持有人利益无实质性不利影响的前提下，经履行适当程序，基金管理人可</w:t>
      </w:r>
      <w:r>
        <w:rPr>
          <w:rFonts w:ascii="宋体" w:hAnsi="宋体" w:cs="宋体" w:hint="eastAsia"/>
          <w:kern w:val="0"/>
          <w:sz w:val="24"/>
          <w:szCs w:val="24"/>
        </w:rPr>
        <w:t>在履行适当程序后</w:t>
      </w:r>
      <w:r>
        <w:rPr>
          <w:rFonts w:ascii="宋体" w:hAnsi="宋体" w:cs="宋体"/>
          <w:kern w:val="0"/>
          <w:sz w:val="24"/>
          <w:szCs w:val="24"/>
        </w:rPr>
        <w:t>对基金收益分配原则进行调整。</w:t>
      </w:r>
    </w:p>
    <w:p w14:paraId="69062FD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四、收益分配方案</w:t>
      </w:r>
    </w:p>
    <w:p w14:paraId="2D66F56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基金收益分配方案中应载明截至收益分配基准日的可供分配利润、基金收益分配对象、分配时间、分配数额及比例、分配方式等内容。</w:t>
      </w:r>
    </w:p>
    <w:p w14:paraId="61E101C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五、收益分配方案的确定、公告与实施</w:t>
      </w:r>
    </w:p>
    <w:p w14:paraId="100EF4B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本基金收益分配方案由基金管理人拟定，并由基金托管人复核，在2日内在规定媒介公告。</w:t>
      </w:r>
    </w:p>
    <w:p w14:paraId="28CE986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六、基金收益分配中发生的费用</w:t>
      </w:r>
    </w:p>
    <w:p w14:paraId="18BA4A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基金收益分配时所发生的银行转账或其他手续费用由投资者自行承担。</w:t>
      </w:r>
    </w:p>
    <w:p w14:paraId="3DD4F6C3"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七、实施侧袋机制期间的收益分配</w:t>
      </w:r>
    </w:p>
    <w:p w14:paraId="2E0B719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本基金实施侧袋机制的，侧袋账户不进行收益分配，详见本招募说明书“侧袋机制”章节的规定。</w:t>
      </w:r>
      <w:r>
        <w:rPr>
          <w:rFonts w:ascii="宋体" w:hAnsi="宋体" w:cs="宋体"/>
          <w:kern w:val="0"/>
          <w:sz w:val="24"/>
          <w:szCs w:val="24"/>
        </w:rPr>
        <w:br w:type="page"/>
      </w:r>
    </w:p>
    <w:p w14:paraId="08111356" w14:textId="77777777" w:rsidR="00496B2C" w:rsidRDefault="005605B9">
      <w:pPr>
        <w:pStyle w:val="1"/>
        <w:spacing w:before="0" w:after="0"/>
        <w:jc w:val="center"/>
        <w:rPr>
          <w:rFonts w:ascii="Times New Roman"/>
          <w:color w:val="auto"/>
          <w:sz w:val="30"/>
        </w:rPr>
      </w:pPr>
      <w:bookmarkStart w:id="44" w:name="_Toc256000012"/>
      <w:r>
        <w:rPr>
          <w:rFonts w:ascii="Times New Roman"/>
          <w:color w:val="auto"/>
          <w:sz w:val="30"/>
        </w:rPr>
        <w:lastRenderedPageBreak/>
        <w:t>第十三部分</w:t>
      </w:r>
      <w:r>
        <w:rPr>
          <w:rFonts w:ascii="Times New Roman"/>
          <w:color w:val="auto"/>
          <w:sz w:val="30"/>
        </w:rPr>
        <w:t xml:space="preserve">  </w:t>
      </w:r>
      <w:r>
        <w:rPr>
          <w:rFonts w:ascii="Times New Roman"/>
          <w:color w:val="auto"/>
          <w:sz w:val="30"/>
        </w:rPr>
        <w:t>基金费用与税收</w:t>
      </w:r>
      <w:bookmarkEnd w:id="44"/>
    </w:p>
    <w:p w14:paraId="121F722F" w14:textId="77777777" w:rsidR="00496B2C" w:rsidRDefault="00496B2C"/>
    <w:p w14:paraId="5B6C216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一、基金费用的种类</w:t>
      </w:r>
    </w:p>
    <w:p w14:paraId="5E4B672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1、基金管理人的管理费</w:t>
      </w:r>
      <w:r>
        <w:rPr>
          <w:rFonts w:ascii="宋体" w:hAnsi="宋体" w:cs="宋体" w:hint="eastAsia"/>
          <w:kern w:val="0"/>
          <w:sz w:val="24"/>
          <w:szCs w:val="24"/>
        </w:rPr>
        <w:t>（包括固定管理费、或有管理费和超额管理费）</w:t>
      </w:r>
      <w:r>
        <w:rPr>
          <w:rFonts w:ascii="宋体" w:hAnsi="宋体" w:cs="宋体"/>
          <w:kern w:val="0"/>
          <w:sz w:val="24"/>
          <w:szCs w:val="24"/>
        </w:rPr>
        <w:t>；</w:t>
      </w:r>
    </w:p>
    <w:p w14:paraId="0DC230F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2、基金托管人的托管费；</w:t>
      </w:r>
    </w:p>
    <w:p w14:paraId="6DDD6B1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3、销售服务费；</w:t>
      </w:r>
    </w:p>
    <w:p w14:paraId="626238C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4、《基金合同》生效后与基金相关的信息披露费用（但法律法规、中国证监会另有规定的除外）；</w:t>
      </w:r>
    </w:p>
    <w:p w14:paraId="6D28376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5、《基金合同》生效后与基金相关的会计师费、律师费、仲裁费和诉讼费；</w:t>
      </w:r>
    </w:p>
    <w:p w14:paraId="3AE33F5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6、基金份额持有人大会费用；</w:t>
      </w:r>
    </w:p>
    <w:p w14:paraId="3B01D86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7、基金的证券、期货等交易费用；</w:t>
      </w:r>
    </w:p>
    <w:p w14:paraId="50D8B60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8、基金的银行汇划费用；</w:t>
      </w:r>
    </w:p>
    <w:p w14:paraId="24CCCC2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9、基金的账户开户费用、账户维护费用；</w:t>
      </w:r>
    </w:p>
    <w:p w14:paraId="5FC05C7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10、因投资港股通标的股票而产生的各项合理费用；</w:t>
      </w:r>
    </w:p>
    <w:p w14:paraId="71A9185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11、按照国家有关规定和《基金合同》约定，可以在基金财产中列支的其他费用。</w:t>
      </w:r>
    </w:p>
    <w:p w14:paraId="7F171E1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二、基金费用计提方法、计提标准和支付方式</w:t>
      </w:r>
    </w:p>
    <w:p w14:paraId="34EA2E9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1、基金管理人的管理费</w:t>
      </w:r>
    </w:p>
    <w:p w14:paraId="170A801F"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本基金根据每</w:t>
      </w:r>
      <w:bookmarkStart w:id="45" w:name="_Hlk196338562"/>
      <w:r>
        <w:rPr>
          <w:rFonts w:asciiTheme="minorEastAsia" w:eastAsiaTheme="minorEastAsia" w:hAnsiTheme="minorEastAsia" w:hint="eastAsia"/>
          <w:bCs/>
          <w:sz w:val="24"/>
          <w:szCs w:val="24"/>
          <w14:ligatures w14:val="standardContextual"/>
        </w:rPr>
        <w:t>笔基金份额的持有期限与持有期间年化收益率，在赎回（或转出，下同）基金份额或基金合同终止的情形发生时确定该笔基金份额对应的管理费</w:t>
      </w:r>
      <w:bookmarkEnd w:id="45"/>
      <w:r>
        <w:rPr>
          <w:rFonts w:asciiTheme="minorEastAsia" w:eastAsiaTheme="minorEastAsia" w:hAnsiTheme="minorEastAsia" w:hint="eastAsia"/>
          <w:bCs/>
          <w:sz w:val="24"/>
          <w:szCs w:val="24"/>
          <w14:ligatures w14:val="standardContextual"/>
        </w:rPr>
        <w:t>。当投资者赎回基金份额或基金合同终止的情形发生时，持有期限</w:t>
      </w:r>
      <w:bookmarkStart w:id="46" w:name="_Hlk196338589"/>
      <w:r>
        <w:rPr>
          <w:rFonts w:asciiTheme="minorEastAsia" w:eastAsiaTheme="minorEastAsia" w:hAnsiTheme="minorEastAsia" w:hint="eastAsia"/>
          <w:bCs/>
          <w:sz w:val="24"/>
          <w:szCs w:val="24"/>
          <w14:ligatures w14:val="standardContextual"/>
        </w:rPr>
        <w:t>不足一年（即365天，下同），则按1.20%年费率收取管理费；持有期限达到一年及以上，则根据持有期间年化收益率分为以下三种情况，分别确定对应的管理费率档位：</w:t>
      </w:r>
    </w:p>
    <w:bookmarkEnd w:id="46"/>
    <w:p w14:paraId="08E1E541"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若持有期间相对业绩比较基准的年化超额收益率（扣除超额管理费后）超过6%且持有收益率（扣除超额管理费后）为正，按1.50%年费率确认管理费；若持有期间的年化超额收益率在-3%及以下，按0.60%年费率确认管理费；其他情形按1.20%年费率确认管理费。</w:t>
      </w:r>
    </w:p>
    <w:tbl>
      <w:tblPr>
        <w:tblStyle w:val="af"/>
        <w:tblW w:w="6658" w:type="dxa"/>
        <w:jc w:val="center"/>
        <w:tblLook w:val="04A0" w:firstRow="1" w:lastRow="0" w:firstColumn="1" w:lastColumn="0" w:noHBand="0" w:noVBand="1"/>
      </w:tblPr>
      <w:tblGrid>
        <w:gridCol w:w="3827"/>
        <w:gridCol w:w="2831"/>
      </w:tblGrid>
      <w:tr w:rsidR="00496B2C" w14:paraId="1A797128" w14:textId="77777777">
        <w:trPr>
          <w:trHeight w:val="510"/>
          <w:jc w:val="center"/>
        </w:trPr>
        <w:tc>
          <w:tcPr>
            <w:tcW w:w="3827" w:type="dxa"/>
            <w:vAlign w:val="center"/>
          </w:tcPr>
          <w:p w14:paraId="5D24A6BC" w14:textId="77777777" w:rsidR="00496B2C" w:rsidRDefault="005605B9">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hint="eastAsia"/>
                <w:b/>
                <w:sz w:val="24"/>
                <w:szCs w:val="24"/>
                <w14:ligatures w14:val="standardContextual"/>
              </w:rPr>
              <w:t>持有期间年化收益率（</w:t>
            </w:r>
            <w:r>
              <w:rPr>
                <w:rFonts w:asciiTheme="minorEastAsia" w:eastAsiaTheme="minorEastAsia" w:hAnsiTheme="minorEastAsia"/>
                <w:b/>
                <w:sz w:val="24"/>
                <w:szCs w:val="24"/>
                <w14:ligatures w14:val="standardContextual"/>
              </w:rPr>
              <w:t>R</w:t>
            </w:r>
            <w:r>
              <w:rPr>
                <w:rFonts w:asciiTheme="minorEastAsia" w:eastAsiaTheme="minorEastAsia" w:hAnsiTheme="minorEastAsia" w:hint="eastAsia"/>
                <w:b/>
                <w:sz w:val="24"/>
                <w:szCs w:val="24"/>
                <w14:ligatures w14:val="standardContextual"/>
              </w:rPr>
              <w:t>）</w:t>
            </w:r>
          </w:p>
        </w:tc>
        <w:tc>
          <w:tcPr>
            <w:tcW w:w="2831" w:type="dxa"/>
            <w:vAlign w:val="center"/>
          </w:tcPr>
          <w:p w14:paraId="621D5602" w14:textId="77777777" w:rsidR="00496B2C" w:rsidRDefault="005605B9">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hint="eastAsia"/>
                <w:b/>
                <w:sz w:val="24"/>
                <w:szCs w:val="24"/>
                <w14:ligatures w14:val="standardContextual"/>
              </w:rPr>
              <w:t>管理费率（年费率）</w:t>
            </w:r>
          </w:p>
        </w:tc>
      </w:tr>
      <w:tr w:rsidR="00496B2C" w14:paraId="0AB51C80" w14:textId="77777777">
        <w:trPr>
          <w:trHeight w:val="510"/>
          <w:jc w:val="center"/>
        </w:trPr>
        <w:tc>
          <w:tcPr>
            <w:tcW w:w="3827" w:type="dxa"/>
            <w:vAlign w:val="center"/>
          </w:tcPr>
          <w:p w14:paraId="3FF6CA9F" w14:textId="77777777" w:rsidR="00496B2C" w:rsidRDefault="005605B9">
            <w:pPr>
              <w:spacing w:line="276" w:lineRule="auto"/>
              <w:rPr>
                <w:rFonts w:asciiTheme="minorEastAsia" w:eastAsiaTheme="minorEastAsia" w:hAnsiTheme="minorEastAsia"/>
                <w:b/>
                <w:sz w:val="24"/>
                <w:szCs w:val="24"/>
                <w14:ligatures w14:val="standardContextual"/>
              </w:rPr>
            </w:pP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+6%</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0</w:t>
            </w:r>
          </w:p>
        </w:tc>
        <w:tc>
          <w:tcPr>
            <w:tcW w:w="2831" w:type="dxa"/>
            <w:vAlign w:val="center"/>
          </w:tcPr>
          <w:p w14:paraId="79C80D5A" w14:textId="77777777" w:rsidR="00496B2C" w:rsidRDefault="005605B9">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1.50%/</w:t>
            </w:r>
            <w:r>
              <w:rPr>
                <w:rFonts w:asciiTheme="minorEastAsia" w:eastAsiaTheme="minorEastAsia" w:hAnsiTheme="minorEastAsia" w:hint="eastAsia"/>
                <w:bCs/>
                <w:kern w:val="0"/>
                <w:sz w:val="24"/>
                <w:szCs w:val="24"/>
                <w14:ligatures w14:val="standardContextual"/>
              </w:rPr>
              <w:t>年</w:t>
            </w:r>
          </w:p>
        </w:tc>
      </w:tr>
      <w:tr w:rsidR="00496B2C" w14:paraId="7456C45A" w14:textId="77777777">
        <w:trPr>
          <w:trHeight w:val="510"/>
          <w:jc w:val="center"/>
        </w:trPr>
        <w:tc>
          <w:tcPr>
            <w:tcW w:w="3827" w:type="dxa"/>
            <w:vAlign w:val="center"/>
          </w:tcPr>
          <w:p w14:paraId="61131611" w14:textId="77777777" w:rsidR="00496B2C" w:rsidRDefault="005605B9">
            <w:pPr>
              <w:spacing w:line="276" w:lineRule="auto"/>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rPr>
              <w:lastRenderedPageBreak/>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-3%</w:t>
            </w:r>
          </w:p>
        </w:tc>
        <w:tc>
          <w:tcPr>
            <w:tcW w:w="2831" w:type="dxa"/>
            <w:vAlign w:val="center"/>
          </w:tcPr>
          <w:p w14:paraId="34427387" w14:textId="77777777" w:rsidR="00496B2C" w:rsidRDefault="005605B9">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0.60%/</w:t>
            </w:r>
            <w:r>
              <w:rPr>
                <w:rFonts w:asciiTheme="minorEastAsia" w:eastAsiaTheme="minorEastAsia" w:hAnsiTheme="minorEastAsia" w:hint="eastAsia"/>
                <w:bCs/>
                <w:kern w:val="0"/>
                <w:sz w:val="24"/>
                <w:szCs w:val="24"/>
                <w14:ligatures w14:val="standardContextual"/>
              </w:rPr>
              <w:t>年</w:t>
            </w:r>
          </w:p>
        </w:tc>
      </w:tr>
      <w:tr w:rsidR="00496B2C" w14:paraId="3F53B759" w14:textId="77777777">
        <w:trPr>
          <w:trHeight w:val="510"/>
          <w:jc w:val="center"/>
        </w:trPr>
        <w:tc>
          <w:tcPr>
            <w:tcW w:w="3827" w:type="dxa"/>
            <w:vAlign w:val="center"/>
          </w:tcPr>
          <w:p w14:paraId="3FB7A762" w14:textId="77777777" w:rsidR="00496B2C" w:rsidRDefault="005605B9">
            <w:pPr>
              <w:spacing w:line="276" w:lineRule="auto"/>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其他情形</w:t>
            </w:r>
          </w:p>
        </w:tc>
        <w:tc>
          <w:tcPr>
            <w:tcW w:w="2831" w:type="dxa"/>
            <w:vAlign w:val="center"/>
          </w:tcPr>
          <w:p w14:paraId="039D29A8" w14:textId="77777777" w:rsidR="00496B2C" w:rsidRDefault="005605B9">
            <w:pPr>
              <w:spacing w:line="276" w:lineRule="auto"/>
              <w:rPr>
                <w:rFonts w:asciiTheme="minorEastAsia" w:eastAsiaTheme="minorEastAsia" w:hAnsiTheme="minorEastAsia"/>
                <w:kern w:val="0"/>
                <w:sz w:val="24"/>
                <w:szCs w:val="24"/>
                <w14:ligatures w14:val="standardContextual"/>
              </w:rPr>
            </w:pPr>
            <w:r>
              <w:rPr>
                <w:rFonts w:asciiTheme="minorEastAsia" w:eastAsiaTheme="minorEastAsia" w:hAnsiTheme="minorEastAsia"/>
                <w:kern w:val="0"/>
                <w:sz w:val="24"/>
                <w:szCs w:val="24"/>
                <w14:ligatures w14:val="standardContextual"/>
              </w:rPr>
              <w:t>1.20%/</w:t>
            </w:r>
            <w:r>
              <w:rPr>
                <w:rFonts w:asciiTheme="minorEastAsia" w:eastAsiaTheme="minorEastAsia" w:hAnsiTheme="minorEastAsia" w:hint="eastAsia"/>
                <w:bCs/>
                <w:kern w:val="0"/>
                <w:sz w:val="24"/>
                <w:szCs w:val="24"/>
                <w14:ligatures w14:val="standardContextual"/>
              </w:rPr>
              <w:t>年</w:t>
            </w:r>
          </w:p>
        </w:tc>
      </w:tr>
    </w:tbl>
    <w:p w14:paraId="09AD9658" w14:textId="77777777" w:rsidR="00496B2C" w:rsidRDefault="005605B9">
      <w:pPr>
        <w:spacing w:line="360" w:lineRule="auto"/>
        <w:ind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注：①</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为该笔基金份额的年化收益率，</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hint="eastAsia"/>
          <w:bCs/>
          <w:sz w:val="24"/>
          <w:szCs w:val="24"/>
          <w14:ligatures w14:val="standardContextual"/>
        </w:rPr>
        <w:t>为本基金业绩比较基准同期年化收益率。</w:t>
      </w:r>
    </w:p>
    <w:p w14:paraId="636D6C9B"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②特别的，当持有期限达到一年及以上，</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bCs/>
          <w:sz w:val="24"/>
          <w:szCs w:val="24"/>
          <w14:ligatures w14:val="standardContextual"/>
        </w:rPr>
        <w:t>+6%</w:t>
      </w:r>
      <w:r>
        <w:rPr>
          <w:rFonts w:asciiTheme="minorEastAsia" w:eastAsiaTheme="minorEastAsia" w:hAnsiTheme="minorEastAsia" w:hint="eastAsia"/>
          <w:bCs/>
          <w:sz w:val="24"/>
          <w:szCs w:val="24"/>
          <w14:ligatures w14:val="standardContextual"/>
        </w:rPr>
        <w:t>且</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的情形下，若拟扣除超额管理费后的年化收益率小于等于</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bCs/>
          <w:sz w:val="24"/>
          <w:szCs w:val="24"/>
          <w14:ligatures w14:val="standardContextual"/>
        </w:rPr>
        <w:t>+6%</w:t>
      </w:r>
      <w:r>
        <w:rPr>
          <w:rFonts w:asciiTheme="minorEastAsia" w:eastAsiaTheme="minorEastAsia" w:hAnsiTheme="minorEastAsia" w:hint="eastAsia"/>
          <w:bCs/>
          <w:sz w:val="24"/>
          <w:szCs w:val="24"/>
          <w14:ligatures w14:val="standardContextual"/>
        </w:rPr>
        <w:t>，或小于等于</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时，仍按</w:t>
      </w:r>
      <w:r>
        <w:rPr>
          <w:rFonts w:asciiTheme="minorEastAsia" w:eastAsiaTheme="minorEastAsia" w:hAnsiTheme="minorEastAsia"/>
          <w:bCs/>
          <w:sz w:val="24"/>
          <w:szCs w:val="24"/>
          <w14:ligatures w14:val="standardContextual"/>
        </w:rPr>
        <w:t>1.20%</w:t>
      </w:r>
      <w:r>
        <w:rPr>
          <w:rFonts w:asciiTheme="minorEastAsia" w:eastAsiaTheme="minorEastAsia" w:hAnsiTheme="minorEastAsia" w:hint="eastAsia"/>
          <w:bCs/>
          <w:sz w:val="24"/>
          <w:szCs w:val="24"/>
          <w14:ligatures w14:val="standardContextual"/>
        </w:rPr>
        <w:t>年费率收取该笔基金份额的管理费，以使得该笔基金份额在扣除超额管理费后的年化收益率仍满足本基金收取超额管理费的标准。</w:t>
      </w:r>
    </w:p>
    <w:p w14:paraId="77EC70D0"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具体而言，本基金的管理费包含固定管理费、或有管理费和超额管理费，按以下方式计算和确认。</w:t>
      </w:r>
    </w:p>
    <w:p w14:paraId="44B0DB17"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1</w:t>
      </w:r>
      <w:r>
        <w:rPr>
          <w:rFonts w:asciiTheme="minorEastAsia" w:eastAsiaTheme="minorEastAsia" w:hAnsiTheme="minorEastAsia" w:hint="eastAsia"/>
          <w:bCs/>
          <w:sz w:val="24"/>
          <w:szCs w:val="24"/>
          <w14:ligatures w14:val="standardContextual"/>
        </w:rPr>
        <w:t>）固定管理费</w:t>
      </w:r>
    </w:p>
    <w:p w14:paraId="4FD1E130"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固定管理费按前一日基金资产净值的</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年费率每日计提。固定管理费的计算方法如下：</w:t>
      </w:r>
    </w:p>
    <w:p w14:paraId="41B8D47D"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1</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÷当年天数</w:t>
      </w:r>
    </w:p>
    <w:p w14:paraId="6ABCA862"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1</w:t>
      </w:r>
      <w:r>
        <w:rPr>
          <w:rFonts w:asciiTheme="minorEastAsia" w:eastAsiaTheme="minorEastAsia" w:hAnsiTheme="minorEastAsia" w:hint="eastAsia"/>
          <w:bCs/>
          <w:sz w:val="24"/>
          <w:szCs w:val="24"/>
          <w14:ligatures w14:val="standardContextual"/>
        </w:rPr>
        <w:t>为每日应计提的固定管理费</w:t>
      </w:r>
    </w:p>
    <w:p w14:paraId="6294A3CC"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7B5CAE09" w14:textId="77777777" w:rsidR="00496B2C" w:rsidRDefault="005605B9">
      <w:pPr>
        <w:spacing w:line="360" w:lineRule="auto"/>
        <w:ind w:firstLine="482"/>
        <w:rPr>
          <w:rFonts w:asciiTheme="minorEastAsia" w:eastAsiaTheme="minorEastAsia" w:hAnsiTheme="minorEastAsia"/>
          <w:bCs/>
          <w:sz w:val="24"/>
          <w:szCs w:val="24"/>
        </w:rPr>
      </w:pPr>
      <w:r>
        <w:rPr>
          <w:rFonts w:asciiTheme="minorEastAsia" w:eastAsiaTheme="minorEastAsia" w:hAnsiTheme="minorEastAsia" w:hint="eastAsia"/>
          <w:bCs/>
          <w:sz w:val="24"/>
          <w:szCs w:val="24"/>
          <w14:ligatures w14:val="standardContextual"/>
        </w:rPr>
        <w:t>固定管理费每日计提，逐日累计至每个月月末，按月支付。由基金托管人根据与基金管理人核对一致的财务数据，</w:t>
      </w:r>
      <w:r>
        <w:rPr>
          <w:rFonts w:asciiTheme="minorEastAsia" w:eastAsiaTheme="minorEastAsia" w:hAnsiTheme="minorEastAsia"/>
          <w:bCs/>
          <w:sz w:val="24"/>
          <w:szCs w:val="24"/>
        </w:rPr>
        <w:t>在次月月初5个工作日内、基金托管人按照与基金管理人协商一致的方式进行资金支付。</w:t>
      </w:r>
      <w:r>
        <w:rPr>
          <w:rFonts w:asciiTheme="minorEastAsia" w:eastAsiaTheme="minorEastAsia" w:hAnsiTheme="minorEastAsia" w:hint="eastAsia"/>
          <w:bCs/>
          <w:sz w:val="24"/>
          <w:szCs w:val="24"/>
        </w:rPr>
        <w:t>若遇法定节假日、休息日或不可抗力致使无法按时支付的，顺延至法定节假日、休息日结束之日起5个工作日内或不可抗力情形消除之日起5个工作日内支付。费用扣划后，基金管理人应进行核对，如发现数据不符，及时联系基金托管人协商解决。</w:t>
      </w:r>
    </w:p>
    <w:p w14:paraId="2D8D82CF"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2</w:t>
      </w:r>
      <w:r>
        <w:rPr>
          <w:rFonts w:asciiTheme="minorEastAsia" w:eastAsiaTheme="minorEastAsia" w:hAnsiTheme="minorEastAsia" w:hint="eastAsia"/>
          <w:bCs/>
          <w:sz w:val="24"/>
          <w:szCs w:val="24"/>
          <w14:ligatures w14:val="standardContextual"/>
        </w:rPr>
        <w:t>）或有管理费和超额管理费</w:t>
      </w:r>
    </w:p>
    <w:p w14:paraId="28E01CA3" w14:textId="77777777" w:rsidR="00496B2C" w:rsidRDefault="005605B9">
      <w:pPr>
        <w:spacing w:line="300" w:lineRule="auto"/>
        <w:ind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或有管理费按前一日基金资产净值的</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年费率每日计提。或有管理费的计算方法如下：</w:t>
      </w:r>
    </w:p>
    <w:p w14:paraId="38B76019"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2</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0.60%</w:t>
      </w:r>
      <w:r>
        <w:rPr>
          <w:rFonts w:asciiTheme="minorEastAsia" w:eastAsiaTheme="minorEastAsia" w:hAnsiTheme="minorEastAsia" w:hint="eastAsia"/>
          <w:bCs/>
          <w:sz w:val="24"/>
          <w:szCs w:val="24"/>
          <w14:ligatures w14:val="standardContextual"/>
        </w:rPr>
        <w:t>÷当年天数</w:t>
      </w:r>
    </w:p>
    <w:p w14:paraId="6DEE727A"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2</w:t>
      </w:r>
      <w:r>
        <w:rPr>
          <w:rFonts w:asciiTheme="minorEastAsia" w:eastAsiaTheme="minorEastAsia" w:hAnsiTheme="minorEastAsia" w:hint="eastAsia"/>
          <w:bCs/>
          <w:sz w:val="24"/>
          <w:szCs w:val="24"/>
          <w14:ligatures w14:val="standardContextual"/>
        </w:rPr>
        <w:t>为每日应计提的或有管理费</w:t>
      </w:r>
    </w:p>
    <w:p w14:paraId="6FAA9287"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7DC42792"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投资者赎回基金份额或基金合同终止的情形发生时，若该笔基金份额持有天数达到或超过</w:t>
      </w:r>
      <w:r>
        <w:rPr>
          <w:rFonts w:asciiTheme="minorEastAsia" w:eastAsiaTheme="minorEastAsia" w:hAnsiTheme="minorEastAsia"/>
          <w:bCs/>
          <w:sz w:val="24"/>
          <w:szCs w:val="24"/>
          <w14:ligatures w14:val="standardContextual"/>
        </w:rPr>
        <w:t>365</w:t>
      </w:r>
      <w:r>
        <w:rPr>
          <w:rFonts w:asciiTheme="minorEastAsia" w:eastAsiaTheme="minorEastAsia" w:hAnsiTheme="minorEastAsia" w:hint="eastAsia"/>
          <w:bCs/>
          <w:sz w:val="24"/>
          <w:szCs w:val="24"/>
          <w14:ligatures w14:val="standardContextual"/>
        </w:rPr>
        <w:t>天，且该笔基金份额的持有期间年化收益率（</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）符合下表“情</w:t>
      </w:r>
      <w:r>
        <w:rPr>
          <w:rFonts w:asciiTheme="minorEastAsia" w:eastAsiaTheme="minorEastAsia" w:hAnsiTheme="minorEastAsia" w:hint="eastAsia"/>
          <w:bCs/>
          <w:sz w:val="24"/>
          <w:szCs w:val="24"/>
          <w14:ligatures w14:val="standardContextual"/>
        </w:rPr>
        <w:lastRenderedPageBreak/>
        <w:t>形一”的收取情形，或有管理费为</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，则该笔基金份额</w:t>
      </w:r>
      <w:bookmarkStart w:id="47" w:name="_Hlk196468735"/>
      <w:r>
        <w:rPr>
          <w:rFonts w:asciiTheme="minorEastAsia" w:eastAsiaTheme="minorEastAsia" w:hAnsiTheme="minorEastAsia" w:hint="eastAsia"/>
          <w:bCs/>
          <w:sz w:val="24"/>
          <w:szCs w:val="24"/>
          <w14:ligatures w14:val="standardContextual"/>
        </w:rPr>
        <w:t>持有期限内计提的或有管理费将</w:t>
      </w:r>
      <w:bookmarkEnd w:id="47"/>
      <w:r>
        <w:rPr>
          <w:rFonts w:asciiTheme="minorEastAsia" w:eastAsiaTheme="minorEastAsia" w:hAnsiTheme="minorEastAsia" w:hint="eastAsia"/>
          <w:bCs/>
          <w:sz w:val="24"/>
          <w:szCs w:val="24"/>
          <w14:ligatures w14:val="standardContextual"/>
        </w:rPr>
        <w:t>全额随赎回款（或清算款）一并返还给投资者；在其他情形下，该笔基金份额持有期限内计提的或有管理费应确认为应由基金管理人收取的管理费。</w:t>
      </w:r>
    </w:p>
    <w:p w14:paraId="692F06D8"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本基金每日预估计算并记录每笔基金份额的超额管理费，基金超额管理费的预估计算方法如下：</w:t>
      </w:r>
    </w:p>
    <w:p w14:paraId="4C268195"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3</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w:t>
      </w:r>
      <w:r>
        <w:rPr>
          <w:rFonts w:asciiTheme="minorEastAsia" w:eastAsiaTheme="minorEastAsia" w:hAnsiTheme="minorEastAsia"/>
          <w:bCs/>
          <w:sz w:val="24"/>
          <w:szCs w:val="24"/>
          <w14:ligatures w14:val="standardContextual"/>
        </w:rPr>
        <w:t>0.30%</w:t>
      </w:r>
      <w:r>
        <w:rPr>
          <w:rFonts w:asciiTheme="minorEastAsia" w:eastAsiaTheme="minorEastAsia" w:hAnsiTheme="minorEastAsia" w:hint="eastAsia"/>
          <w:bCs/>
          <w:sz w:val="24"/>
          <w:szCs w:val="24"/>
          <w14:ligatures w14:val="standardContextual"/>
        </w:rPr>
        <w:t>÷当年天数</w:t>
      </w:r>
    </w:p>
    <w:p w14:paraId="7C46074B"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H</w:t>
      </w:r>
      <w:r>
        <w:rPr>
          <w:rFonts w:asciiTheme="minorEastAsia" w:eastAsiaTheme="minorEastAsia" w:hAnsiTheme="minorEastAsia"/>
          <w:bCs/>
          <w:sz w:val="24"/>
          <w:szCs w:val="24"/>
          <w:vertAlign w:val="subscript"/>
          <w14:ligatures w14:val="standardContextual"/>
        </w:rPr>
        <w:t>3</w:t>
      </w:r>
      <w:r>
        <w:rPr>
          <w:rFonts w:asciiTheme="minorEastAsia" w:eastAsiaTheme="minorEastAsia" w:hAnsiTheme="minorEastAsia" w:hint="eastAsia"/>
          <w:bCs/>
          <w:sz w:val="24"/>
          <w:szCs w:val="24"/>
          <w14:ligatures w14:val="standardContextual"/>
        </w:rPr>
        <w:t>为每日预估计算的基金超额管理费</w:t>
      </w:r>
    </w:p>
    <w:p w14:paraId="2592C41B"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E</w:t>
      </w:r>
      <w:r>
        <w:rPr>
          <w:rFonts w:asciiTheme="minorEastAsia" w:eastAsiaTheme="minorEastAsia" w:hAnsiTheme="minorEastAsia" w:hint="eastAsia"/>
          <w:bCs/>
          <w:sz w:val="24"/>
          <w:szCs w:val="24"/>
          <w14:ligatures w14:val="standardContextual"/>
        </w:rPr>
        <w:t>为前一日的基金资产净值</w:t>
      </w:r>
    </w:p>
    <w:p w14:paraId="0A79FD07"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每笔基金份额的超额管理费每日预估计算，但不从基金资产中实际计提，逐日累计。投资者赎回基金份额或基金合同终止的情形发生时，当且仅当该笔基金份额持有天数达到或超过</w:t>
      </w:r>
      <w:r>
        <w:rPr>
          <w:rFonts w:asciiTheme="minorEastAsia" w:eastAsiaTheme="minorEastAsia" w:hAnsiTheme="minorEastAsia"/>
          <w:bCs/>
          <w:sz w:val="24"/>
          <w:szCs w:val="24"/>
          <w14:ligatures w14:val="standardContextual"/>
        </w:rPr>
        <w:t>365</w:t>
      </w:r>
      <w:r>
        <w:rPr>
          <w:rFonts w:asciiTheme="minorEastAsia" w:eastAsiaTheme="minorEastAsia" w:hAnsiTheme="minorEastAsia" w:hint="eastAsia"/>
          <w:bCs/>
          <w:sz w:val="24"/>
          <w:szCs w:val="24"/>
          <w14:ligatures w14:val="standardContextual"/>
        </w:rPr>
        <w:t>天，且该笔基金份额的持有期间年化收益率（</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）符合下表“情形三”的</w:t>
      </w:r>
      <w:bookmarkStart w:id="48" w:name="_Hlk196468430"/>
      <w:r>
        <w:rPr>
          <w:rFonts w:asciiTheme="minorEastAsia" w:eastAsiaTheme="minorEastAsia" w:hAnsiTheme="minorEastAsia" w:hint="eastAsia"/>
          <w:bCs/>
          <w:sz w:val="24"/>
          <w:szCs w:val="24"/>
          <w14:ligatures w14:val="standardContextual"/>
        </w:rPr>
        <w:t>收取情形，将从该笔基金份额的赎回款（或清算款）中扣除</w:t>
      </w:r>
      <w:r>
        <w:rPr>
          <w:rFonts w:asciiTheme="minorEastAsia" w:eastAsiaTheme="minorEastAsia" w:hAnsiTheme="minorEastAsia"/>
          <w:bCs/>
          <w:sz w:val="24"/>
          <w:szCs w:val="24"/>
          <w14:ligatures w14:val="standardContextual"/>
        </w:rPr>
        <w:t>0.30%</w:t>
      </w:r>
      <w:r>
        <w:rPr>
          <w:rFonts w:asciiTheme="minorEastAsia" w:eastAsiaTheme="minorEastAsia" w:hAnsiTheme="minorEastAsia" w:hint="eastAsia"/>
          <w:bCs/>
          <w:sz w:val="24"/>
          <w:szCs w:val="24"/>
          <w14:ligatures w14:val="standardContextual"/>
        </w:rPr>
        <w:t>年费率的超额管理费</w:t>
      </w:r>
      <w:bookmarkEnd w:id="48"/>
      <w:r>
        <w:rPr>
          <w:rFonts w:asciiTheme="minorEastAsia" w:eastAsiaTheme="minorEastAsia" w:hAnsiTheme="minorEastAsia" w:hint="eastAsia"/>
          <w:bCs/>
          <w:sz w:val="24"/>
          <w:szCs w:val="24"/>
          <w14:ligatures w14:val="standardContextual"/>
        </w:rPr>
        <w:t>，并随已计提的或有管理费一同确认为应由基金管理人收取的管理费。</w:t>
      </w:r>
    </w:p>
    <w:p w14:paraId="04ECB862"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当投资者赎回基金份额或基金合同终止的情形发生时，本基金根据以下三种情形确认应实际收取的或有管理费和超额管理费：</w:t>
      </w:r>
    </w:p>
    <w:tbl>
      <w:tblPr>
        <w:tblStyle w:val="12"/>
        <w:tblW w:w="7582" w:type="dxa"/>
        <w:jc w:val="center"/>
        <w:tblLook w:val="04A0" w:firstRow="1" w:lastRow="0" w:firstColumn="1" w:lastColumn="0" w:noHBand="0" w:noVBand="1"/>
      </w:tblPr>
      <w:tblGrid>
        <w:gridCol w:w="1247"/>
        <w:gridCol w:w="2933"/>
        <w:gridCol w:w="1701"/>
        <w:gridCol w:w="1701"/>
      </w:tblGrid>
      <w:tr w:rsidR="00496B2C" w14:paraId="3B4ED78D" w14:textId="77777777">
        <w:trPr>
          <w:trHeight w:val="454"/>
          <w:jc w:val="center"/>
        </w:trPr>
        <w:tc>
          <w:tcPr>
            <w:tcW w:w="1247" w:type="dxa"/>
            <w:vAlign w:val="center"/>
          </w:tcPr>
          <w:p w14:paraId="086A3BFB" w14:textId="77777777" w:rsidR="00496B2C" w:rsidRDefault="005605B9">
            <w:pPr>
              <w:rPr>
                <w:rFonts w:asciiTheme="minorEastAsia" w:eastAsiaTheme="minorEastAsia" w:hAnsiTheme="minorEastAsia"/>
                <w:b/>
                <w:bCs/>
                <w:kern w:val="0"/>
                <w:sz w:val="24"/>
                <w:szCs w:val="24"/>
              </w:rPr>
            </w:pPr>
            <w:bookmarkStart w:id="49" w:name="_Hlk195865040"/>
            <w:r>
              <w:rPr>
                <w:rFonts w:asciiTheme="minorEastAsia" w:eastAsiaTheme="minorEastAsia" w:hAnsiTheme="minorEastAsia" w:hint="eastAsia"/>
                <w:b/>
                <w:bCs/>
                <w:kern w:val="0"/>
                <w:sz w:val="24"/>
                <w:szCs w:val="24"/>
              </w:rPr>
              <w:t>收取情形</w:t>
            </w:r>
          </w:p>
        </w:tc>
        <w:tc>
          <w:tcPr>
            <w:tcW w:w="2933" w:type="dxa"/>
            <w:vAlign w:val="center"/>
          </w:tcPr>
          <w:p w14:paraId="6E8BBE62" w14:textId="77777777" w:rsidR="00496B2C" w:rsidRDefault="005605B9">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持有期间年化收益率（</w:t>
            </w:r>
            <w:r>
              <w:rPr>
                <w:rFonts w:asciiTheme="minorEastAsia" w:eastAsiaTheme="minorEastAsia" w:hAnsiTheme="minorEastAsia"/>
                <w:b/>
                <w:bCs/>
                <w:kern w:val="0"/>
                <w:sz w:val="24"/>
                <w:szCs w:val="24"/>
              </w:rPr>
              <w:t>R）</w:t>
            </w:r>
          </w:p>
        </w:tc>
        <w:tc>
          <w:tcPr>
            <w:tcW w:w="1701" w:type="dxa"/>
            <w:vAlign w:val="center"/>
          </w:tcPr>
          <w:p w14:paraId="0213AA45" w14:textId="77777777" w:rsidR="00496B2C" w:rsidRDefault="005605B9">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或有管理费</w:t>
            </w:r>
          </w:p>
          <w:p w14:paraId="4777C580" w14:textId="77777777" w:rsidR="00496B2C" w:rsidRDefault="005605B9">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（年费率）</w:t>
            </w:r>
          </w:p>
        </w:tc>
        <w:tc>
          <w:tcPr>
            <w:tcW w:w="1701" w:type="dxa"/>
            <w:vAlign w:val="center"/>
          </w:tcPr>
          <w:p w14:paraId="58E08E53" w14:textId="77777777" w:rsidR="00496B2C" w:rsidRDefault="005605B9">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超额管理费</w:t>
            </w:r>
          </w:p>
          <w:p w14:paraId="39C0FA4B" w14:textId="77777777" w:rsidR="00496B2C" w:rsidRDefault="005605B9">
            <w:pPr>
              <w:rPr>
                <w:rFonts w:asciiTheme="minorEastAsia" w:eastAsiaTheme="minorEastAsia" w:hAnsiTheme="minorEastAsia"/>
                <w:b/>
                <w:bCs/>
                <w:kern w:val="0"/>
                <w:sz w:val="24"/>
                <w:szCs w:val="24"/>
              </w:rPr>
            </w:pPr>
            <w:r>
              <w:rPr>
                <w:rFonts w:asciiTheme="minorEastAsia" w:eastAsiaTheme="minorEastAsia" w:hAnsiTheme="minorEastAsia" w:hint="eastAsia"/>
                <w:b/>
                <w:bCs/>
                <w:kern w:val="0"/>
                <w:sz w:val="24"/>
                <w:szCs w:val="24"/>
              </w:rPr>
              <w:t>（年费率）</w:t>
            </w:r>
          </w:p>
        </w:tc>
      </w:tr>
      <w:tr w:rsidR="00496B2C" w14:paraId="0E10BE45" w14:textId="77777777">
        <w:trPr>
          <w:trHeight w:val="454"/>
          <w:jc w:val="center"/>
        </w:trPr>
        <w:tc>
          <w:tcPr>
            <w:tcW w:w="1247" w:type="dxa"/>
            <w:vAlign w:val="center"/>
          </w:tcPr>
          <w:p w14:paraId="5AB020ED"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情形</w:t>
            </w:r>
            <w:r>
              <w:rPr>
                <w:rFonts w:asciiTheme="minorEastAsia" w:eastAsiaTheme="minorEastAsia" w:hAnsiTheme="minorEastAsia" w:hint="eastAsia"/>
                <w:kern w:val="0"/>
                <w:sz w:val="24"/>
                <w:szCs w:val="24"/>
              </w:rPr>
              <w:t>一</w:t>
            </w:r>
          </w:p>
        </w:tc>
        <w:tc>
          <w:tcPr>
            <w:tcW w:w="2933" w:type="dxa"/>
            <w:vAlign w:val="center"/>
          </w:tcPr>
          <w:p w14:paraId="31EC02BC" w14:textId="77777777" w:rsidR="00496B2C" w:rsidRDefault="005605B9">
            <w:pPr>
              <w:rPr>
                <w:rFonts w:asciiTheme="minorEastAsia" w:eastAsiaTheme="minorEastAsia" w:hAnsiTheme="minorEastAsia"/>
                <w:i/>
                <w:kern w:val="0"/>
                <w:sz w:val="24"/>
                <w:szCs w:val="24"/>
              </w:rPr>
            </w:pPr>
            <w:r>
              <w:rPr>
                <w:rFonts w:asciiTheme="minorEastAsia" w:eastAsiaTheme="minorEastAsia" w:hAnsiTheme="minorEastAsia"/>
                <w:kern w:val="0"/>
                <w:sz w:val="24"/>
                <w:szCs w:val="24"/>
              </w:rPr>
              <w:t>R</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R</w:t>
            </w:r>
            <w:r>
              <w:rPr>
                <w:rFonts w:asciiTheme="minorEastAsia" w:eastAsiaTheme="minorEastAsia" w:hAnsiTheme="minorEastAsia"/>
                <w:kern w:val="0"/>
                <w:sz w:val="24"/>
                <w:szCs w:val="24"/>
                <w:vertAlign w:val="subscript"/>
              </w:rPr>
              <w:t>b</w:t>
            </w:r>
            <w:r>
              <w:rPr>
                <w:rFonts w:asciiTheme="minorEastAsia" w:eastAsiaTheme="minorEastAsia" w:hAnsiTheme="minorEastAsia"/>
                <w:kern w:val="0"/>
                <w:sz w:val="24"/>
                <w:szCs w:val="24"/>
              </w:rPr>
              <w:t>-3%</w:t>
            </w:r>
          </w:p>
        </w:tc>
        <w:tc>
          <w:tcPr>
            <w:tcW w:w="1701" w:type="dxa"/>
            <w:vAlign w:val="center"/>
          </w:tcPr>
          <w:p w14:paraId="4631A995"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c>
          <w:tcPr>
            <w:tcW w:w="1701" w:type="dxa"/>
            <w:vAlign w:val="center"/>
          </w:tcPr>
          <w:p w14:paraId="7A43974F"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r>
      <w:tr w:rsidR="00496B2C" w14:paraId="61616B6C" w14:textId="77777777">
        <w:trPr>
          <w:trHeight w:val="454"/>
          <w:jc w:val="center"/>
        </w:trPr>
        <w:tc>
          <w:tcPr>
            <w:tcW w:w="1247" w:type="dxa"/>
            <w:vAlign w:val="center"/>
          </w:tcPr>
          <w:p w14:paraId="33600741"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情形</w:t>
            </w:r>
            <w:r>
              <w:rPr>
                <w:rFonts w:asciiTheme="minorEastAsia" w:eastAsiaTheme="minorEastAsia" w:hAnsiTheme="minorEastAsia" w:hint="eastAsia"/>
                <w:kern w:val="0"/>
                <w:sz w:val="24"/>
                <w:szCs w:val="24"/>
              </w:rPr>
              <w:t>二</w:t>
            </w:r>
          </w:p>
        </w:tc>
        <w:tc>
          <w:tcPr>
            <w:tcW w:w="2933" w:type="dxa"/>
            <w:vAlign w:val="center"/>
          </w:tcPr>
          <w:p w14:paraId="06030635"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hint="eastAsia"/>
                <w:bCs/>
                <w:kern w:val="0"/>
                <w:sz w:val="24"/>
                <w:szCs w:val="24"/>
              </w:rPr>
              <w:t>其他情形</w:t>
            </w:r>
          </w:p>
        </w:tc>
        <w:tc>
          <w:tcPr>
            <w:tcW w:w="1701" w:type="dxa"/>
            <w:vAlign w:val="center"/>
          </w:tcPr>
          <w:p w14:paraId="3D11DE92"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0.60%</w:t>
            </w:r>
          </w:p>
        </w:tc>
        <w:tc>
          <w:tcPr>
            <w:tcW w:w="1701" w:type="dxa"/>
            <w:vAlign w:val="center"/>
          </w:tcPr>
          <w:p w14:paraId="71944D2B"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w:t>
            </w:r>
          </w:p>
        </w:tc>
      </w:tr>
      <w:tr w:rsidR="00496B2C" w14:paraId="63CB709D" w14:textId="77777777">
        <w:trPr>
          <w:trHeight w:val="454"/>
          <w:jc w:val="center"/>
        </w:trPr>
        <w:tc>
          <w:tcPr>
            <w:tcW w:w="1247" w:type="dxa"/>
            <w:vAlign w:val="center"/>
          </w:tcPr>
          <w:p w14:paraId="7162F15D"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情形三</w:t>
            </w:r>
          </w:p>
        </w:tc>
        <w:tc>
          <w:tcPr>
            <w:tcW w:w="2933" w:type="dxa"/>
            <w:vAlign w:val="center"/>
          </w:tcPr>
          <w:p w14:paraId="7BD26289" w14:textId="77777777" w:rsidR="00496B2C" w:rsidRDefault="005605B9">
            <w:pPr>
              <w:spacing w:line="276" w:lineRule="auto"/>
              <w:rPr>
                <w:rFonts w:asciiTheme="minorEastAsia" w:eastAsiaTheme="minorEastAsia" w:hAnsiTheme="minorEastAsia"/>
                <w:b/>
                <w:bCs/>
                <w:kern w:val="0"/>
                <w:sz w:val="24"/>
                <w:szCs w:val="24"/>
              </w:rPr>
            </w:pP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rPr>
              <w:t>+6%</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R</w:t>
            </w:r>
            <w:r>
              <w:rPr>
                <w:rFonts w:asciiTheme="minorEastAsia" w:eastAsiaTheme="minorEastAsia" w:hAnsiTheme="minorEastAsia" w:hint="eastAsia"/>
                <w:bCs/>
                <w:sz w:val="24"/>
                <w:szCs w:val="24"/>
              </w:rPr>
              <w:t>＞</w:t>
            </w:r>
            <w:r>
              <w:rPr>
                <w:rFonts w:asciiTheme="minorEastAsia" w:eastAsiaTheme="minorEastAsia" w:hAnsiTheme="minorEastAsia"/>
                <w:bCs/>
                <w:sz w:val="24"/>
                <w:szCs w:val="24"/>
              </w:rPr>
              <w:t>0</w:t>
            </w:r>
          </w:p>
        </w:tc>
        <w:tc>
          <w:tcPr>
            <w:tcW w:w="1701" w:type="dxa"/>
            <w:vAlign w:val="center"/>
          </w:tcPr>
          <w:p w14:paraId="511B1562"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0.60%</w:t>
            </w:r>
          </w:p>
        </w:tc>
        <w:tc>
          <w:tcPr>
            <w:tcW w:w="1701" w:type="dxa"/>
            <w:vAlign w:val="center"/>
          </w:tcPr>
          <w:p w14:paraId="171034EF" w14:textId="77777777" w:rsidR="00496B2C" w:rsidRDefault="005605B9">
            <w:pPr>
              <w:rPr>
                <w:rFonts w:asciiTheme="minorEastAsia" w:eastAsiaTheme="minorEastAsia" w:hAnsiTheme="minorEastAsia"/>
                <w:kern w:val="0"/>
                <w:sz w:val="24"/>
                <w:szCs w:val="24"/>
              </w:rPr>
            </w:pPr>
            <w:r>
              <w:rPr>
                <w:rFonts w:asciiTheme="minorEastAsia" w:eastAsiaTheme="minorEastAsia" w:hAnsiTheme="minorEastAsia"/>
                <w:kern w:val="0"/>
                <w:sz w:val="24"/>
                <w:szCs w:val="24"/>
              </w:rPr>
              <w:t>0.30%</w:t>
            </w:r>
          </w:p>
        </w:tc>
      </w:tr>
    </w:tbl>
    <w:bookmarkEnd w:id="49"/>
    <w:p w14:paraId="0EAC354B"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对于“情形三”，若拟扣除超额管理费后的年化收益率小于等于</w:t>
      </w:r>
      <w:r>
        <w:rPr>
          <w:rFonts w:asciiTheme="minorEastAsia" w:eastAsiaTheme="minorEastAsia" w:hAnsiTheme="minorEastAsia"/>
          <w:bCs/>
          <w:sz w:val="24"/>
          <w:szCs w:val="24"/>
        </w:rPr>
        <w:t>R</w:t>
      </w:r>
      <w:r>
        <w:rPr>
          <w:rFonts w:asciiTheme="minorEastAsia" w:eastAsiaTheme="minorEastAsia" w:hAnsiTheme="minorEastAsia"/>
          <w:spacing w:val="-2"/>
          <w:sz w:val="24"/>
          <w:szCs w:val="24"/>
          <w:vertAlign w:val="subscript"/>
        </w:rPr>
        <w:t>b</w:t>
      </w:r>
      <w:r>
        <w:rPr>
          <w:rFonts w:asciiTheme="minorEastAsia" w:eastAsiaTheme="minorEastAsia" w:hAnsiTheme="minorEastAsia"/>
          <w:bCs/>
          <w:sz w:val="24"/>
          <w:szCs w:val="24"/>
          <w14:ligatures w14:val="standardContextual"/>
        </w:rPr>
        <w:t xml:space="preserve"> +6%</w:t>
      </w:r>
      <w:r>
        <w:rPr>
          <w:rFonts w:asciiTheme="minorEastAsia" w:eastAsiaTheme="minorEastAsia" w:hAnsiTheme="minorEastAsia" w:hint="eastAsia"/>
          <w:bCs/>
          <w:sz w:val="24"/>
          <w:szCs w:val="24"/>
          <w14:ligatures w14:val="standardContextual"/>
        </w:rPr>
        <w:t>，或小于等于</w:t>
      </w:r>
      <w:r>
        <w:rPr>
          <w:rFonts w:asciiTheme="minorEastAsia" w:eastAsiaTheme="minorEastAsia" w:hAnsiTheme="minorEastAsia"/>
          <w:bCs/>
          <w:sz w:val="24"/>
          <w:szCs w:val="24"/>
          <w14:ligatures w14:val="standardContextual"/>
        </w:rPr>
        <w:t>0</w:t>
      </w:r>
      <w:r>
        <w:rPr>
          <w:rFonts w:asciiTheme="minorEastAsia" w:eastAsiaTheme="minorEastAsia" w:hAnsiTheme="minorEastAsia" w:hint="eastAsia"/>
          <w:bCs/>
          <w:sz w:val="24"/>
          <w:szCs w:val="24"/>
          <w14:ligatures w14:val="standardContextual"/>
        </w:rPr>
        <w:t>时，仍按</w:t>
      </w:r>
      <w:r>
        <w:rPr>
          <w:rFonts w:asciiTheme="minorEastAsia" w:eastAsiaTheme="minorEastAsia" w:hAnsiTheme="minorEastAsia"/>
          <w:bCs/>
          <w:sz w:val="24"/>
          <w:szCs w:val="24"/>
          <w14:ligatures w14:val="standardContextual"/>
        </w:rPr>
        <w:t>1.20%</w:t>
      </w:r>
      <w:r>
        <w:rPr>
          <w:rFonts w:asciiTheme="minorEastAsia" w:eastAsiaTheme="minorEastAsia" w:hAnsiTheme="minorEastAsia" w:hint="eastAsia"/>
          <w:bCs/>
          <w:sz w:val="24"/>
          <w:szCs w:val="24"/>
          <w14:ligatures w14:val="standardContextual"/>
        </w:rPr>
        <w:t>年费率收取该笔基金份额的管理费，以使得该笔基金份额在扣除超额管理费后的年化收益率仍满足本基金收取超额管理费的标准。</w:t>
      </w:r>
    </w:p>
    <w:p w14:paraId="7F853431"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每笔基金份额的年化收益率（</w:t>
      </w: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）计算方法如下：</w:t>
      </w:r>
    </w:p>
    <w:p w14:paraId="3430339D" w14:textId="77777777" w:rsidR="00496B2C" w:rsidRDefault="005605B9">
      <w:pPr>
        <w:spacing w:line="360" w:lineRule="auto"/>
        <w:ind w:firstLineChars="200" w:firstLine="480"/>
        <w:rPr>
          <w:rFonts w:asciiTheme="minorEastAsia" w:eastAsiaTheme="minorEastAsia" w:hAnsiTheme="minorEastAsia"/>
          <w:sz w:val="24"/>
          <w:szCs w:val="24"/>
        </w:rPr>
      </w:pPr>
      <m:oMathPara>
        <m:oMath>
          <m:r>
            <w:rPr>
              <w:rFonts w:ascii="Cambria Math" w:eastAsiaTheme="minorEastAsia" w:hAnsi="Cambria Math"/>
              <w:sz w:val="24"/>
              <w:szCs w:val="24"/>
            </w:rPr>
            <m:t>R</m:t>
          </m:r>
          <m:r>
            <m:rPr>
              <m:sty m:val="p"/>
            </m:rPr>
            <w:rPr>
              <w:rFonts w:ascii="Cambria Math" w:eastAsiaTheme="minorEastAsia" w:hAnsi="Cambria Math"/>
              <w:sz w:val="24"/>
              <w:szCs w:val="24"/>
            </w:rPr>
            <m:t>=</m:t>
          </m:r>
          <m:f>
            <m:fPr>
              <m:ctrlPr>
                <w:rPr>
                  <w:rFonts w:ascii="Cambria Math" w:eastAsiaTheme="minorEastAsia" w:hAnsi="Cambria Math"/>
                  <w:sz w:val="24"/>
                  <w:szCs w:val="24"/>
                </w:rPr>
              </m:ctrlPr>
            </m:fPr>
            <m:num>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num>
            <m:den>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den>
          </m:f>
          <m:r>
            <m:rPr>
              <m:sty m:val="p"/>
            </m:rPr>
            <w:rPr>
              <w:rFonts w:ascii="Cambria Math" w:eastAsiaTheme="minorEastAsia" w:hAnsi="Cambria Math" w:hint="eastAsia"/>
              <w:sz w:val="24"/>
              <w:szCs w:val="24"/>
            </w:rPr>
            <m:t>×</m:t>
          </m:r>
          <m:f>
            <m:fPr>
              <m:ctrlPr>
                <w:rPr>
                  <w:rFonts w:ascii="Cambria Math" w:eastAsiaTheme="minorEastAsia" w:hAnsi="Cambria Math"/>
                  <w:sz w:val="24"/>
                  <w:szCs w:val="24"/>
                </w:rPr>
              </m:ctrlPr>
            </m:fPr>
            <m:num>
              <m:r>
                <m:rPr>
                  <m:sty m:val="p"/>
                </m:rPr>
                <w:rPr>
                  <w:rFonts w:ascii="Cambria Math" w:eastAsiaTheme="minorEastAsia" w:hAnsi="Cambria Math" w:hint="eastAsia"/>
                  <w:sz w:val="24"/>
                  <w:szCs w:val="24"/>
                </w:rPr>
                <m:t>365</m:t>
              </m:r>
            </m:num>
            <m:den>
              <m:r>
                <m:rPr>
                  <m:sty m:val="p"/>
                </m:rPr>
                <w:rPr>
                  <w:rFonts w:ascii="Cambria Math" w:eastAsiaTheme="minorEastAsia" w:hAnsi="Cambria Math" w:hint="eastAsia"/>
                  <w:sz w:val="24"/>
                  <w:szCs w:val="24"/>
                </w:rPr>
                <m:t>T</m:t>
              </m:r>
            </m:den>
          </m:f>
          <m:r>
            <m:rPr>
              <m:sty m:val="p"/>
            </m:rPr>
            <w:rPr>
              <w:rFonts w:ascii="Cambria Math" w:eastAsiaTheme="minorEastAsia" w:hAnsi="Cambria Math" w:hint="eastAsia"/>
              <w:sz w:val="24"/>
              <w:szCs w:val="24"/>
            </w:rPr>
            <m:t>×</m:t>
          </m:r>
          <m:r>
            <m:rPr>
              <m:sty m:val="p"/>
            </m:rPr>
            <w:rPr>
              <w:rFonts w:ascii="Cambria Math" w:eastAsiaTheme="minorEastAsia" w:hAnsi="Cambria Math"/>
              <w:sz w:val="24"/>
              <w:szCs w:val="24"/>
            </w:rPr>
            <m:t>100%</m:t>
          </m:r>
        </m:oMath>
      </m:oMathPara>
    </w:p>
    <w:p w14:paraId="3838D298"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拟扣除超额管理费后的年化收益率（R*）的计算方法如下：</w:t>
      </w:r>
    </w:p>
    <w:p w14:paraId="76F3F2C6" w14:textId="77777777" w:rsidR="00496B2C" w:rsidRDefault="005605B9">
      <w:pPr>
        <w:spacing w:line="360" w:lineRule="auto"/>
        <w:ind w:firstLineChars="200" w:firstLine="480"/>
        <w:jc w:val="center"/>
        <w:rPr>
          <w:rFonts w:asciiTheme="minorEastAsia" w:eastAsiaTheme="minorEastAsia" w:hAnsiTheme="minorEastAsia"/>
          <w:bCs/>
          <w:sz w:val="24"/>
          <w:szCs w:val="24"/>
          <w14:ligatures w14:val="standardContextual"/>
        </w:rPr>
      </w:pPr>
      <w:bookmarkStart w:id="50" w:name="_Hlk196342196"/>
      <m:oMathPara>
        <m:oMath>
          <m:r>
            <m:rPr>
              <m:sty m:val="p"/>
            </m:rPr>
            <w:rPr>
              <w:rFonts w:ascii="Cambria Math" w:eastAsiaTheme="minorEastAsia" w:hAnsi="Cambria Math"/>
              <w:sz w:val="24"/>
              <w:szCs w:val="24"/>
              <w14:ligatures w14:val="standardContextual"/>
            </w:rPr>
            <m:t>R</m:t>
          </m:r>
          <m:r>
            <w:rPr>
              <w:rFonts w:ascii="Cambria Math" w:eastAsiaTheme="minorEastAsia" w:hAnsi="Cambria Math"/>
              <w:sz w:val="24"/>
              <w:szCs w:val="24"/>
              <w14:ligatures w14:val="standardContextual"/>
            </w:rPr>
            <m:t>*=</m:t>
          </m:r>
          <m:f>
            <m:fPr>
              <m:ctrlPr>
                <w:rPr>
                  <w:rFonts w:ascii="Cambria Math" w:eastAsiaTheme="minorEastAsia" w:hAnsi="Cambria Math"/>
                  <w:bCs/>
                  <w:i/>
                  <w:sz w:val="24"/>
                  <w:szCs w:val="24"/>
                  <w14:ligatures w14:val="standardContextual"/>
                </w:rPr>
              </m:ctrlPr>
            </m:fPr>
            <m:num>
              <m:r>
                <w:rPr>
                  <w:rFonts w:ascii="Cambria Math" w:eastAsiaTheme="minorEastAsia" w:hAnsi="Cambria Math"/>
                  <w:sz w:val="24"/>
                  <w:szCs w:val="24"/>
                  <w14:ligatures w14:val="standardContextual"/>
                </w:rPr>
                <m:t>F×</m:t>
              </m:r>
              <m:d>
                <m:dPr>
                  <m:ctrlPr>
                    <w:rPr>
                      <w:rFonts w:ascii="Cambria Math" w:eastAsiaTheme="minorEastAsia" w:hAnsi="Cambria Math"/>
                      <w:bCs/>
                      <w:i/>
                      <w:sz w:val="24"/>
                      <w:szCs w:val="24"/>
                      <w14:ligatures w14:val="standardContextual"/>
                    </w:rPr>
                  </m:ctrlPr>
                </m:dPr>
                <m:e>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r>
                    <m:rPr>
                      <m:sty m:val="p"/>
                    </m:rPr>
                    <w:rPr>
                      <w:rFonts w:ascii="Cambria Math" w:eastAsiaTheme="minorEastAsia" w:hAnsi="Cambria Math"/>
                      <w:sz w:val="24"/>
                      <w:szCs w:val="24"/>
                    </w:rPr>
                    <m:t>-</m:t>
                  </m:r>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e>
              </m:d>
              <m:r>
                <w:rPr>
                  <w:rFonts w:ascii="Cambria Math" w:eastAsiaTheme="minorEastAsia" w:hAnsi="Cambria Math"/>
                  <w:sz w:val="24"/>
                  <w:szCs w:val="24"/>
                  <w14:ligatures w14:val="standardContextual"/>
                </w:rPr>
                <m:t>-</m:t>
              </m:r>
              <m:sSub>
                <m:sSubPr>
                  <m:ctrlPr>
                    <w:rPr>
                      <w:rFonts w:ascii="Cambria Math" w:eastAsiaTheme="minorEastAsia" w:hAnsi="Cambria Math"/>
                      <w:bCs/>
                      <w:i/>
                      <w:sz w:val="24"/>
                      <w:szCs w:val="24"/>
                      <w14:ligatures w14:val="standardContextual"/>
                    </w:rPr>
                  </m:ctrlPr>
                </m:sSubPr>
                <m:e>
                  <m:r>
                    <w:rPr>
                      <w:rFonts w:ascii="Cambria Math" w:eastAsiaTheme="minorEastAsia" w:hAnsi="Cambria Math"/>
                      <w:sz w:val="24"/>
                      <w:szCs w:val="24"/>
                      <w14:ligatures w14:val="standardContextual"/>
                    </w:rPr>
                    <m:t>M</m:t>
                  </m:r>
                </m:e>
                <m:sub>
                  <m:r>
                    <w:rPr>
                      <w:rFonts w:ascii="Cambria Math" w:eastAsiaTheme="minorEastAsia" w:hAnsi="Cambria Math"/>
                      <w:sz w:val="24"/>
                      <w:szCs w:val="24"/>
                      <w14:ligatures w14:val="standardContextual"/>
                    </w:rPr>
                    <m:t>C</m:t>
                  </m:r>
                </m:sub>
              </m:sSub>
            </m:num>
            <m:den>
              <m:r>
                <w:rPr>
                  <w:rFonts w:ascii="Cambria Math" w:eastAsiaTheme="minorEastAsia" w:hAnsi="Cambria Math"/>
                  <w:sz w:val="24"/>
                  <w:szCs w:val="24"/>
                  <w14:ligatures w14:val="standardContextual"/>
                </w:rPr>
                <m:t>F×</m:t>
              </m:r>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den>
          </m:f>
          <m:r>
            <w:rPr>
              <w:rFonts w:ascii="Cambria Math" w:eastAsiaTheme="minorEastAsia" w:hAnsi="Cambria Math"/>
              <w:sz w:val="24"/>
              <w:szCs w:val="24"/>
              <w14:ligatures w14:val="standardContextual"/>
            </w:rPr>
            <m:t>×</m:t>
          </m:r>
          <m:f>
            <m:fPr>
              <m:ctrlPr>
                <w:rPr>
                  <w:rFonts w:ascii="Cambria Math" w:eastAsiaTheme="minorEastAsia" w:hAnsi="Cambria Math"/>
                  <w:bCs/>
                  <w:i/>
                  <w:sz w:val="24"/>
                  <w:szCs w:val="24"/>
                  <w14:ligatures w14:val="standardContextual"/>
                </w:rPr>
              </m:ctrlPr>
            </m:fPr>
            <m:num>
              <m:r>
                <w:rPr>
                  <w:rFonts w:ascii="Cambria Math" w:eastAsiaTheme="minorEastAsia" w:hAnsi="Cambria Math"/>
                  <w:sz w:val="24"/>
                  <w:szCs w:val="24"/>
                  <w14:ligatures w14:val="standardContextual"/>
                </w:rPr>
                <m:t>365</m:t>
              </m:r>
            </m:num>
            <m:den>
              <m:r>
                <m:rPr>
                  <m:sty m:val="p"/>
                </m:rPr>
                <w:rPr>
                  <w:rFonts w:ascii="Cambria Math" w:eastAsiaTheme="minorEastAsia" w:hAnsi="Cambria Math" w:hint="eastAsia"/>
                  <w:sz w:val="24"/>
                  <w:szCs w:val="24"/>
                </w:rPr>
                <m:t>T</m:t>
              </m:r>
            </m:den>
          </m:f>
          <m:r>
            <w:rPr>
              <w:rFonts w:ascii="Cambria Math" w:eastAsiaTheme="minorEastAsia" w:hAnsi="Cambria Math" w:cs="TimesNewRomanPSMT"/>
              <w:sz w:val="24"/>
              <w:szCs w:val="24"/>
              <w14:ligatures w14:val="standardContextual"/>
            </w:rPr>
            <m:t>×100%</m:t>
          </m:r>
        </m:oMath>
      </m:oMathPara>
    </w:p>
    <w:bookmarkEnd w:id="50"/>
    <w:p w14:paraId="07B582CE"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bCs/>
          <w:sz w:val="24"/>
          <w:szCs w:val="24"/>
          <w14:ligatures w14:val="standardContextual"/>
        </w:rPr>
        <w:t>R</w:t>
      </w:r>
      <w:r>
        <w:rPr>
          <w:rFonts w:asciiTheme="minorEastAsia" w:eastAsiaTheme="minorEastAsia" w:hAnsiTheme="minorEastAsia" w:hint="eastAsia"/>
          <w:bCs/>
          <w:sz w:val="24"/>
          <w:szCs w:val="24"/>
          <w14:ligatures w14:val="standardContextual"/>
        </w:rPr>
        <w:t>为该笔基金份额的年化收益率；</w:t>
      </w:r>
      <w:r>
        <w:rPr>
          <w:rFonts w:asciiTheme="minorEastAsia" w:eastAsiaTheme="minorEastAsia" w:hAnsiTheme="minorEastAsia"/>
          <w:bCs/>
          <w:sz w:val="24"/>
          <w:szCs w:val="24"/>
          <w14:ligatures w14:val="standardContextual"/>
        </w:rPr>
        <w:t>R</w:t>
      </w:r>
      <w:r>
        <w:rPr>
          <w:rFonts w:asciiTheme="minorEastAsia" w:eastAsiaTheme="minorEastAsia" w:hAnsiTheme="minorEastAsia"/>
          <w:bCs/>
          <w:sz w:val="24"/>
          <w:szCs w:val="24"/>
          <w:vertAlign w:val="subscript"/>
          <w14:ligatures w14:val="standardContextual"/>
        </w:rPr>
        <w:t>b</w:t>
      </w:r>
      <w:r>
        <w:rPr>
          <w:rFonts w:asciiTheme="minorEastAsia" w:eastAsiaTheme="minorEastAsia" w:hAnsiTheme="minorEastAsia" w:hint="eastAsia"/>
          <w:bCs/>
          <w:sz w:val="24"/>
          <w:szCs w:val="24"/>
          <w14:ligatures w14:val="standardContextual"/>
        </w:rPr>
        <w:t>为本基金业绩比较基准同期年化收益率；</w:t>
      </w:r>
    </w:p>
    <w:p w14:paraId="5967C977" w14:textId="77777777" w:rsidR="00496B2C" w:rsidRDefault="006156F7">
      <w:pPr>
        <w:spacing w:line="360" w:lineRule="auto"/>
        <w:ind w:firstLineChars="200" w:firstLine="480"/>
        <w:rPr>
          <w:rFonts w:asciiTheme="minorEastAsia" w:eastAsiaTheme="minorEastAsia" w:hAnsiTheme="minorEastAsia"/>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1</m:t>
            </m:r>
          </m:sub>
        </m:sSub>
      </m:oMath>
      <w:r w:rsidR="005605B9">
        <w:rPr>
          <w:rFonts w:asciiTheme="minorEastAsia" w:eastAsiaTheme="minorEastAsia" w:hAnsiTheme="minorEastAsia" w:hint="eastAsia"/>
          <w:sz w:val="24"/>
          <w:szCs w:val="24"/>
        </w:rPr>
        <w:t>为该笔基金份额赎回申请受理当日或基金合同终止情形发生日的基金份额累计净值；</w:t>
      </w:r>
      <w:r w:rsidR="005605B9">
        <w:rPr>
          <w:rFonts w:asciiTheme="minorEastAsia" w:eastAsiaTheme="minorEastAsia" w:hAnsiTheme="minorEastAsia"/>
          <w:sz w:val="24"/>
          <w:szCs w:val="24"/>
        </w:rPr>
        <w:t xml:space="preserve"> </w:t>
      </w:r>
    </w:p>
    <w:p w14:paraId="7DA8AFA5" w14:textId="77777777" w:rsidR="00496B2C" w:rsidRDefault="006156F7">
      <w:pPr>
        <w:spacing w:line="360" w:lineRule="auto"/>
        <w:ind w:firstLineChars="200" w:firstLine="480"/>
        <w:rPr>
          <w:rFonts w:asciiTheme="minorEastAsia" w:eastAsiaTheme="minorEastAsia" w:hAnsiTheme="minorEastAsia"/>
          <w:sz w:val="24"/>
          <w:szCs w:val="24"/>
        </w:rPr>
      </w:pP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oMath>
      <w:r w:rsidR="005605B9">
        <w:rPr>
          <w:rFonts w:asciiTheme="minorEastAsia" w:eastAsiaTheme="minorEastAsia" w:hAnsiTheme="minorEastAsia" w:hint="eastAsia"/>
          <w:sz w:val="24"/>
          <w:szCs w:val="24"/>
        </w:rPr>
        <w:t>为该笔基金份额申购申请受理当日</w:t>
      </w:r>
      <w:r w:rsidR="005605B9">
        <w:rPr>
          <w:rFonts w:asciiTheme="minorEastAsia" w:eastAsiaTheme="minorEastAsia" w:hAnsiTheme="minorEastAsia"/>
          <w:sz w:val="24"/>
          <w:szCs w:val="24"/>
        </w:rPr>
        <w:t>的基金份额累计净值</w:t>
      </w:r>
      <w:r w:rsidR="005605B9">
        <w:rPr>
          <w:rFonts w:asciiTheme="minorEastAsia" w:eastAsiaTheme="minorEastAsia" w:hAnsiTheme="minorEastAsia" w:hint="eastAsia"/>
          <w:sz w:val="24"/>
          <w:szCs w:val="24"/>
        </w:rPr>
        <w:t>（对于认购份额而言</w:t>
      </w:r>
      <w:r w:rsidR="005605B9">
        <w:rPr>
          <w:rFonts w:asciiTheme="minorEastAsia" w:eastAsiaTheme="minorEastAsia" w:hAnsiTheme="minorEastAsia"/>
          <w:sz w:val="24"/>
          <w:szCs w:val="24"/>
        </w:rPr>
        <w:t>，</w:t>
      </w:r>
      <m:oMath>
        <m:sSub>
          <m:sSubPr>
            <m:ctrlPr>
              <w:rPr>
                <w:rFonts w:ascii="Cambria Math" w:eastAsiaTheme="minorEastAsia" w:hAnsi="Cambria Math"/>
                <w:sz w:val="24"/>
                <w:szCs w:val="24"/>
              </w:rPr>
            </m:ctrlPr>
          </m:sSub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Sub>
      </m:oMath>
      <w:r w:rsidR="005605B9">
        <w:rPr>
          <w:rFonts w:asciiTheme="minorEastAsia" w:eastAsiaTheme="minorEastAsia" w:hAnsiTheme="minorEastAsia"/>
          <w:sz w:val="24"/>
          <w:szCs w:val="24"/>
        </w:rPr>
        <w:t>为1.00元</w:t>
      </w:r>
      <w:r w:rsidR="005605B9">
        <w:rPr>
          <w:rFonts w:asciiTheme="minorEastAsia" w:eastAsiaTheme="minorEastAsia" w:hAnsiTheme="minorEastAsia" w:hint="eastAsia"/>
          <w:sz w:val="24"/>
          <w:szCs w:val="24"/>
        </w:rPr>
        <w:t>）；</w:t>
      </w:r>
    </w:p>
    <w:p w14:paraId="4B674FD7" w14:textId="77777777" w:rsidR="00496B2C" w:rsidRDefault="006156F7">
      <w:pPr>
        <w:spacing w:line="360" w:lineRule="auto"/>
        <w:ind w:firstLineChars="200" w:firstLine="480"/>
        <w:rPr>
          <w:rFonts w:asciiTheme="minorEastAsia" w:eastAsiaTheme="minorEastAsia" w:hAnsiTheme="minorEastAsia"/>
          <w:sz w:val="24"/>
          <w:szCs w:val="24"/>
        </w:rPr>
      </w:pPr>
      <m:oMath>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oMath>
      <w:r w:rsidR="005605B9">
        <w:rPr>
          <w:rFonts w:asciiTheme="minorEastAsia" w:eastAsiaTheme="minorEastAsia" w:hAnsiTheme="minorEastAsia" w:hint="eastAsia"/>
          <w:sz w:val="24"/>
          <w:szCs w:val="24"/>
        </w:rPr>
        <w:t>为该笔基金份额申购申请受理当日</w:t>
      </w:r>
      <w:r w:rsidR="005605B9">
        <w:rPr>
          <w:rFonts w:asciiTheme="minorEastAsia" w:eastAsiaTheme="minorEastAsia" w:hAnsiTheme="minorEastAsia"/>
          <w:sz w:val="24"/>
          <w:szCs w:val="24"/>
        </w:rPr>
        <w:t>的基金份额单位净值（</w:t>
      </w:r>
      <w:r w:rsidR="005605B9">
        <w:rPr>
          <w:rFonts w:asciiTheme="minorEastAsia" w:eastAsiaTheme="minorEastAsia" w:hAnsiTheme="minorEastAsia" w:hint="eastAsia"/>
          <w:sz w:val="24"/>
          <w:szCs w:val="24"/>
        </w:rPr>
        <w:t>对于认购份额而言</w:t>
      </w:r>
      <w:r w:rsidR="005605B9">
        <w:rPr>
          <w:rFonts w:asciiTheme="minorEastAsia" w:eastAsiaTheme="minorEastAsia" w:hAnsiTheme="minorEastAsia"/>
          <w:sz w:val="24"/>
          <w:szCs w:val="24"/>
        </w:rPr>
        <w:t>，</w:t>
      </w:r>
      <m:oMath>
        <m:sSubSup>
          <m:sSubSupPr>
            <m:ctrlPr>
              <w:rPr>
                <w:rFonts w:ascii="Cambria Math" w:eastAsiaTheme="minorEastAsia" w:hAnsi="Cambria Math"/>
                <w:sz w:val="24"/>
                <w:szCs w:val="24"/>
              </w:rPr>
            </m:ctrlPr>
          </m:sSubSupPr>
          <m:e>
            <m:r>
              <w:rPr>
                <w:rFonts w:ascii="Cambria Math" w:eastAsiaTheme="minorEastAsia" w:hAnsi="Cambria Math"/>
                <w:sz w:val="24"/>
                <w:szCs w:val="24"/>
              </w:rPr>
              <m:t>Nav</m:t>
            </m:r>
          </m:e>
          <m:sub>
            <m:r>
              <m:rPr>
                <m:sty m:val="p"/>
              </m:rPr>
              <w:rPr>
                <w:rFonts w:ascii="Cambria Math" w:eastAsiaTheme="minorEastAsia" w:hAnsi="Cambria Math"/>
                <w:sz w:val="24"/>
                <w:szCs w:val="24"/>
              </w:rPr>
              <m:t>0</m:t>
            </m:r>
          </m:sub>
          <m:sup>
            <m:r>
              <m:rPr>
                <m:sty m:val="p"/>
              </m:rPr>
              <w:rPr>
                <w:rFonts w:ascii="Cambria Math" w:eastAsiaTheme="minorEastAsia" w:hAnsi="Cambria Math"/>
                <w:sz w:val="24"/>
                <w:szCs w:val="24"/>
              </w:rPr>
              <m:t>*</m:t>
            </m:r>
          </m:sup>
        </m:sSubSup>
      </m:oMath>
      <w:r w:rsidR="005605B9">
        <w:rPr>
          <w:rFonts w:asciiTheme="minorEastAsia" w:eastAsiaTheme="minorEastAsia" w:hAnsiTheme="minorEastAsia"/>
          <w:sz w:val="24"/>
          <w:szCs w:val="24"/>
        </w:rPr>
        <w:t>为1.00元）；</w:t>
      </w:r>
    </w:p>
    <w:p w14:paraId="556ED188" w14:textId="77777777" w:rsidR="00496B2C" w:rsidRDefault="005605B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T为每笔基金份额的持有天数，即基金合同生效日（对于认购份额而言，含当日）或该笔基金份额申购申请确认日（对于申购份额而言，含当日）</w:t>
      </w:r>
      <w:r>
        <w:rPr>
          <w:rFonts w:asciiTheme="minorEastAsia" w:eastAsiaTheme="minorEastAsia" w:hAnsiTheme="minorEastAsia" w:hint="eastAsia"/>
          <w:sz w:val="24"/>
          <w:szCs w:val="24"/>
        </w:rPr>
        <w:t>到该笔基金份额赎回申请确认日或基金合同终止情形发生日下一工作日的天数；</w:t>
      </w:r>
    </w:p>
    <w:p w14:paraId="176933DD"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Theme="minorEastAsia" w:eastAsiaTheme="minorEastAsia" w:hAnsiTheme="minorEastAsia" w:hint="eastAsia"/>
          <w:bCs/>
          <w:sz w:val="24"/>
          <w:szCs w:val="24"/>
          <w14:ligatures w14:val="standardContextual"/>
        </w:rPr>
        <w:t>F为该笔基金份额的份额数；</w:t>
      </w:r>
    </w:p>
    <w:p w14:paraId="39F75684" w14:textId="77777777" w:rsidR="00496B2C" w:rsidRDefault="005605B9">
      <w:pPr>
        <w:spacing w:line="360" w:lineRule="auto"/>
        <w:ind w:firstLineChars="200" w:firstLine="480"/>
        <w:rPr>
          <w:rFonts w:asciiTheme="minorEastAsia" w:eastAsiaTheme="minorEastAsia" w:hAnsiTheme="minorEastAsia"/>
          <w:bCs/>
          <w:sz w:val="24"/>
          <w:szCs w:val="24"/>
          <w14:ligatures w14:val="standardContextual"/>
        </w:rPr>
      </w:pPr>
      <w:r>
        <w:rPr>
          <w:rFonts w:ascii="Cambria Math" w:eastAsiaTheme="minorEastAsia" w:hAnsi="Cambria Math" w:cs="Cambria Math"/>
          <w:bCs/>
          <w:sz w:val="24"/>
          <w:szCs w:val="24"/>
          <w14:ligatures w14:val="standardContextual"/>
        </w:rPr>
        <w:t>𝑀𝑐</w:t>
      </w:r>
      <w:r>
        <w:rPr>
          <w:rFonts w:asciiTheme="minorEastAsia" w:eastAsiaTheme="minorEastAsia" w:hAnsiTheme="minorEastAsia" w:hint="eastAsia"/>
          <w:bCs/>
          <w:sz w:val="24"/>
          <w:szCs w:val="24"/>
          <w14:ligatures w14:val="standardContextual"/>
        </w:rPr>
        <w:t>为该笔基金份额持有期限内累计计算的超额管理费。</w:t>
      </w:r>
    </w:p>
    <w:p w14:paraId="60BEC664" w14:textId="77777777" w:rsidR="00496B2C" w:rsidRDefault="005605B9">
      <w:pPr>
        <w:spacing w:line="360" w:lineRule="auto"/>
        <w:ind w:firstLine="482"/>
        <w:rPr>
          <w:rFonts w:asciiTheme="minorEastAsia" w:eastAsiaTheme="minorEastAsia" w:hAnsiTheme="minorEastAsia"/>
          <w:bCs/>
          <w:sz w:val="24"/>
          <w:szCs w:val="24"/>
        </w:rPr>
      </w:pPr>
      <w:r>
        <w:rPr>
          <w:rFonts w:asciiTheme="minorEastAsia" w:eastAsiaTheme="minorEastAsia" w:hAnsiTheme="minorEastAsia" w:hint="eastAsia"/>
          <w:bCs/>
          <w:sz w:val="24"/>
          <w:szCs w:val="24"/>
          <w14:ligatures w14:val="standardContextual"/>
        </w:rPr>
        <w:t>对于已经确认为基金管理人收入的或有管理费和超额管理费，由基金托管人根据与基金管理人核对一致的财务数据，</w:t>
      </w:r>
      <w:r>
        <w:rPr>
          <w:rFonts w:asciiTheme="minorEastAsia" w:eastAsiaTheme="minorEastAsia" w:hAnsiTheme="minorEastAsia"/>
          <w:bCs/>
          <w:sz w:val="24"/>
          <w:szCs w:val="24"/>
        </w:rPr>
        <w:t>在次月月初5个工作日内、基金托管人按照与基金管理人协商一致的方式进行资金支付。</w:t>
      </w:r>
      <w:r>
        <w:rPr>
          <w:rFonts w:asciiTheme="minorEastAsia" w:eastAsiaTheme="minorEastAsia" w:hAnsiTheme="minorEastAsia" w:hint="eastAsia"/>
          <w:bCs/>
          <w:sz w:val="24"/>
          <w:szCs w:val="24"/>
        </w:rPr>
        <w:t>若遇法定节假日、休息日或不可抗力致使无法按时支付的，顺延至法定节假日、休息日结束之日起5个工作日内或不可抗力情形消除之日起5个工作日内支付。费用扣划后，基金管理人应进行核对，如发现数据不符，及时联系基金托管人协商解决。</w:t>
      </w:r>
    </w:p>
    <w:p w14:paraId="11CDCC43" w14:textId="77777777" w:rsidR="00496B2C" w:rsidRDefault="005605B9">
      <w:pPr>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在不违反法律法规、基金合同的约定的情况下，基金管理人可根据基金实际运作情况和市场环境变化，经履行适当程序后，对本基金的管理费（含固定管理费、或有管理费和超额管理费）计提标准或收取方式进行调整。</w:t>
      </w:r>
    </w:p>
    <w:p w14:paraId="1F21E95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2、基金托管人的托管费</w:t>
      </w:r>
    </w:p>
    <w:p w14:paraId="7300FDD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本基金的托管费按前一日基金资产净值的0.2%的年费率计提。托管费的计算方法如下：</w:t>
      </w:r>
    </w:p>
    <w:p w14:paraId="08167E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H＝E×0.2%÷当年天数</w:t>
      </w:r>
    </w:p>
    <w:p w14:paraId="61F99EA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H为每日应计提的基金托管费</w:t>
      </w:r>
    </w:p>
    <w:p w14:paraId="40485EB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E为前一日的基金资产净值</w:t>
      </w:r>
    </w:p>
    <w:p w14:paraId="3366312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费每日计提，逐日累计至每月月末，按月支付，经基金管理人与基金托管人双方核对无误后，自动在次月初五个工作日内、按照指定的账户路径进行资金支付，基金管理人无需再出具资金划拨指令。若遇法定节假日、休息日或</w:t>
      </w:r>
      <w:r>
        <w:rPr>
          <w:rFonts w:ascii="宋体" w:hAnsi="宋体" w:cs="宋体"/>
          <w:kern w:val="0"/>
          <w:sz w:val="24"/>
          <w:szCs w:val="24"/>
        </w:rPr>
        <w:lastRenderedPageBreak/>
        <w:t>不可抗力致使无法按时支付的，顺延至法定节假日、休息日结束之日起5个工作日内或不可抗力情形消除之日起5个工作日内支付。</w:t>
      </w:r>
    </w:p>
    <w:p w14:paraId="72777DA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3、销售服务费</w:t>
      </w:r>
    </w:p>
    <w:p w14:paraId="6D1B5D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本基金A类基金份额不收取销售服务费，C类基金份额的销售服务费年费率为0.4%。</w:t>
      </w:r>
    </w:p>
    <w:p w14:paraId="4DE3E91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计算方法如下：</w:t>
      </w:r>
    </w:p>
    <w:p w14:paraId="3B71FE1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H＝E×0.4%÷当年天数</w:t>
      </w:r>
    </w:p>
    <w:p w14:paraId="1F2D469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H为C类基金份额每日应计提的销售服务费</w:t>
      </w:r>
    </w:p>
    <w:p w14:paraId="26F9FC5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E为C类基金份额前一日基金资产净值</w:t>
      </w:r>
    </w:p>
    <w:p w14:paraId="5F51E47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销售服务费每日计提，逐日累计至每月月末，按月支付</w:t>
      </w:r>
      <w:r>
        <w:rPr>
          <w:rStyle w:val="custom"/>
          <w:rFonts w:ascii="宋体" w:hAnsi="宋体" w:cs="宋体" w:hint="eastAsia"/>
          <w:kern w:val="0"/>
          <w:sz w:val="24"/>
          <w:szCs w:val="24"/>
        </w:rPr>
        <w:t>。对于确认为基金财产支付的销售服务费，</w:t>
      </w:r>
      <w:r>
        <w:rPr>
          <w:rStyle w:val="custom"/>
          <w:rFonts w:ascii="宋体" w:hAnsi="宋体" w:cs="宋体"/>
          <w:kern w:val="0"/>
          <w:sz w:val="24"/>
          <w:szCs w:val="24"/>
        </w:rPr>
        <w:t>经基金管理人与基金托管人双方核对无误后，自动在次月初五个工作日内、按照指定的账户路径进行资金支付，基金管理人无需再出具资金划拨指令。若遇法定节假日、休息日或不可抗力致使无法按时支付的，顺延至法定节假日、休息日结束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个工作日内或不可抗力情形消除之日起</w:t>
      </w:r>
      <w:r>
        <w:rPr>
          <w:rStyle w:val="custom"/>
          <w:rFonts w:ascii="Calibri" w:eastAsia="Calibri" w:hAnsi="Calibri" w:cs="Calibri"/>
          <w:kern w:val="0"/>
          <w:sz w:val="24"/>
          <w:szCs w:val="24"/>
        </w:rPr>
        <w:t>5</w:t>
      </w:r>
      <w:r>
        <w:rPr>
          <w:rStyle w:val="custom"/>
          <w:rFonts w:ascii="宋体" w:hAnsi="宋体" w:cs="宋体"/>
          <w:kern w:val="0"/>
          <w:sz w:val="24"/>
          <w:szCs w:val="24"/>
        </w:rPr>
        <w:t>个工作日内支付。</w:t>
      </w:r>
    </w:p>
    <w:p w14:paraId="63B609F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hint="eastAsia"/>
          <w:kern w:val="0"/>
          <w:sz w:val="24"/>
          <w:szCs w:val="24"/>
        </w:rPr>
        <w:t>其中，对于投资者通过直销机构认购/申购的</w:t>
      </w:r>
      <w:bookmarkStart w:id="51" w:name="_Hlk218688853"/>
      <w:r>
        <w:rPr>
          <w:rFonts w:hint="eastAsia"/>
          <w:bCs/>
          <w:sz w:val="24"/>
          <w:lang w:bidi="en-US"/>
        </w:rPr>
        <w:t>C</w:t>
      </w:r>
      <w:r>
        <w:rPr>
          <w:rFonts w:hint="eastAsia"/>
          <w:bCs/>
          <w:sz w:val="24"/>
          <w:lang w:bidi="en-US"/>
        </w:rPr>
        <w:t>类基金份额所计提的销售服务费</w:t>
      </w:r>
      <w:bookmarkEnd w:id="51"/>
      <w:r>
        <w:rPr>
          <w:rStyle w:val="custom"/>
          <w:rFonts w:ascii="宋体" w:hAnsi="宋体" w:cs="宋体" w:hint="eastAsia"/>
          <w:kern w:val="0"/>
          <w:sz w:val="24"/>
          <w:szCs w:val="24"/>
        </w:rPr>
        <w:t>或者通过其他销售机构认购/申购且持续持有期限超过一年</w:t>
      </w:r>
      <w:bookmarkStart w:id="52" w:name="_Hlk218688858"/>
      <w:r>
        <w:rPr>
          <w:rFonts w:hint="eastAsia"/>
          <w:bCs/>
          <w:sz w:val="24"/>
          <w:lang w:bidi="en-US"/>
        </w:rPr>
        <w:t>（即</w:t>
      </w:r>
      <w:r>
        <w:rPr>
          <w:rFonts w:hint="eastAsia"/>
          <w:bCs/>
          <w:sz w:val="24"/>
          <w:lang w:bidi="en-US"/>
        </w:rPr>
        <w:t>3</w:t>
      </w:r>
      <w:r>
        <w:rPr>
          <w:bCs/>
          <w:sz w:val="24"/>
          <w:lang w:bidi="en-US"/>
        </w:rPr>
        <w:t>65</w:t>
      </w:r>
      <w:r>
        <w:rPr>
          <w:rFonts w:hint="eastAsia"/>
          <w:bCs/>
          <w:sz w:val="24"/>
          <w:lang w:bidi="en-US"/>
        </w:rPr>
        <w:t>天）以后继续</w:t>
      </w:r>
      <w:bookmarkEnd w:id="52"/>
      <w:r>
        <w:rPr>
          <w:rFonts w:hint="eastAsia"/>
          <w:bCs/>
          <w:sz w:val="24"/>
          <w:lang w:bidi="en-US"/>
        </w:rPr>
        <w:t>计提</w:t>
      </w:r>
      <w:r>
        <w:rPr>
          <w:rStyle w:val="custom"/>
          <w:rFonts w:ascii="宋体" w:hAnsi="宋体" w:cs="宋体" w:hint="eastAsia"/>
          <w:kern w:val="0"/>
          <w:sz w:val="24"/>
          <w:szCs w:val="24"/>
        </w:rPr>
        <w:t>的C类基金份额销售服务费，将在投资者赎回相应基金份额或基金合同终止时随赎回款或清算款一并返还给投资者。</w:t>
      </w:r>
    </w:p>
    <w:p w14:paraId="59A9EC3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上述“一、基金费用的种类”中第4－11项费用，根据有关法规及相应协议规定，按费用实际支出金额列入当期费用，由基金托管人从基金财产中支付。</w:t>
      </w:r>
    </w:p>
    <w:p w14:paraId="66D750B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三、不列入基金费用的项目</w:t>
      </w:r>
    </w:p>
    <w:p w14:paraId="6D3F934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下列费用不列入基金费用：</w:t>
      </w:r>
    </w:p>
    <w:p w14:paraId="3B020A1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1、基金管理人和基金托管人因未履行或未完全履行义务导致的费用支出或基金财产的损失；</w:t>
      </w:r>
    </w:p>
    <w:p w14:paraId="584A2BE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2、基金管理人和基金托管人处理与基金运作无关的事项发生的费用；</w:t>
      </w:r>
    </w:p>
    <w:p w14:paraId="30845B4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3、《基金合同》生效前的相关费用；</w:t>
      </w:r>
    </w:p>
    <w:p w14:paraId="60AE520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4、其他根据相关法律法规及中国证监会的有关规定不得列入基金费用的项目。</w:t>
      </w:r>
    </w:p>
    <w:p w14:paraId="1A8E19A9"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四、实施侧袋机制期间的基金费用</w:t>
      </w:r>
    </w:p>
    <w:p w14:paraId="587B1B9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本基金实施侧袋机制的，与侧袋账户有关的费用可以从侧袋账户中列支，但应待侧袋账户资产变现后方可列支，有关费用可酌情收取或减免，但不得收取管理费</w:t>
      </w:r>
      <w:bookmarkStart w:id="53" w:name="_Hlk194505735"/>
      <w:r>
        <w:rPr>
          <w:rFonts w:ascii="宋体" w:hAnsi="宋体" w:cs="宋体" w:hint="eastAsia"/>
          <w:kern w:val="0"/>
          <w:sz w:val="24"/>
          <w:szCs w:val="24"/>
        </w:rPr>
        <w:t>（包括固定管理费、或有管理费和超额管理费）</w:t>
      </w:r>
      <w:bookmarkEnd w:id="53"/>
      <w:r>
        <w:rPr>
          <w:rFonts w:ascii="宋体" w:hAnsi="宋体" w:cs="宋体"/>
          <w:kern w:val="0"/>
          <w:sz w:val="24"/>
          <w:szCs w:val="24"/>
        </w:rPr>
        <w:t>，详见本招募说明书“侧袋机制”章节的规定。</w:t>
      </w:r>
    </w:p>
    <w:p w14:paraId="05DD8C34"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五、基金税收</w:t>
      </w:r>
    </w:p>
    <w:p w14:paraId="1F586A6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r>
        <w:rPr>
          <w:rFonts w:ascii="宋体" w:hAnsi="宋体" w:cs="宋体"/>
          <w:kern w:val="0"/>
          <w:sz w:val="24"/>
          <w:szCs w:val="24"/>
        </w:rPr>
        <w:br w:type="page"/>
      </w:r>
    </w:p>
    <w:p w14:paraId="1DF6BE26" w14:textId="77777777" w:rsidR="00496B2C" w:rsidRDefault="005605B9">
      <w:pPr>
        <w:pStyle w:val="1"/>
        <w:spacing w:before="0" w:after="0"/>
        <w:jc w:val="center"/>
        <w:rPr>
          <w:rFonts w:ascii="Times New Roman"/>
          <w:color w:val="auto"/>
          <w:sz w:val="30"/>
        </w:rPr>
      </w:pPr>
      <w:bookmarkStart w:id="54" w:name="_Toc256000013"/>
      <w:r>
        <w:rPr>
          <w:rFonts w:ascii="Times New Roman"/>
          <w:color w:val="auto"/>
          <w:sz w:val="30"/>
        </w:rPr>
        <w:lastRenderedPageBreak/>
        <w:t>第十四部分</w:t>
      </w:r>
      <w:r>
        <w:rPr>
          <w:rFonts w:ascii="Times New Roman"/>
          <w:color w:val="auto"/>
          <w:sz w:val="30"/>
        </w:rPr>
        <w:t xml:space="preserve">  </w:t>
      </w:r>
      <w:r>
        <w:rPr>
          <w:rFonts w:ascii="Times New Roman"/>
          <w:color w:val="auto"/>
          <w:sz w:val="30"/>
        </w:rPr>
        <w:t>基金的会计与审计</w:t>
      </w:r>
      <w:bookmarkEnd w:id="54"/>
    </w:p>
    <w:p w14:paraId="1DE96B48" w14:textId="77777777" w:rsidR="00496B2C" w:rsidRDefault="00496B2C"/>
    <w:p w14:paraId="1EC57AD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一、基金会计政策</w:t>
      </w:r>
    </w:p>
    <w:p w14:paraId="1905F06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1、基金管理人为本基金的基金会计责任方；</w:t>
      </w:r>
    </w:p>
    <w:p w14:paraId="13E4940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2、基金的会计年度为公历年度的1月1日至12月31日；基金首次募集的会计年度按如下原则：如果《基金合同》生效少于2个月，可以并入下一个会计年度披露；</w:t>
      </w:r>
    </w:p>
    <w:p w14:paraId="430EDC7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3、基金核算以人民币为记账本位币，以人民币元为记账单位；</w:t>
      </w:r>
    </w:p>
    <w:p w14:paraId="2C2D26A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4、会计制度执行国家有关会计制度；</w:t>
      </w:r>
    </w:p>
    <w:p w14:paraId="5B31024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5、本基金独立建账、独立核算；</w:t>
      </w:r>
    </w:p>
    <w:p w14:paraId="0231325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6、基金管理人及基金托管人各自保留完整的会计账目、凭证并进行日常的会计核算，按照有关规定编制基金会计报表；</w:t>
      </w:r>
    </w:p>
    <w:p w14:paraId="3463FCB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7、基金托管人每月与基金管理人就基金的会计核算、报表编制等进行核对并以书面方式确认。</w:t>
      </w:r>
    </w:p>
    <w:p w14:paraId="7AE276D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二、基金的年度审计</w:t>
      </w:r>
    </w:p>
    <w:p w14:paraId="5CF5BA5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1、基金管理人聘请与基金管理人、基金托管人相互独立的符合《中华人民共和国证券法》规定的会计师事务所及其注册会计师对本基金的年度财务报表进行审计。</w:t>
      </w:r>
    </w:p>
    <w:p w14:paraId="59FBA50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2、会计师事务所更换经办注册会计师，应事先征得基金管理人同意。</w:t>
      </w:r>
    </w:p>
    <w:p w14:paraId="25F7DC0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3、基金管理人认为有充足理由更换会计师事务所，须通报基金托管人。更换会计师事务所需在2日内在规定媒介公告。</w:t>
      </w:r>
      <w:r>
        <w:rPr>
          <w:rFonts w:ascii="宋体" w:hAnsi="宋体" w:cs="宋体"/>
          <w:kern w:val="0"/>
          <w:sz w:val="24"/>
          <w:szCs w:val="24"/>
        </w:rPr>
        <w:br w:type="page"/>
      </w:r>
    </w:p>
    <w:p w14:paraId="30C1FA5A" w14:textId="77777777" w:rsidR="00496B2C" w:rsidRDefault="005605B9">
      <w:pPr>
        <w:pStyle w:val="1"/>
        <w:spacing w:before="0" w:after="0"/>
        <w:jc w:val="center"/>
        <w:rPr>
          <w:rFonts w:ascii="Times New Roman"/>
          <w:color w:val="auto"/>
          <w:sz w:val="30"/>
        </w:rPr>
      </w:pPr>
      <w:bookmarkStart w:id="55" w:name="_Toc256000014"/>
      <w:r>
        <w:rPr>
          <w:rFonts w:ascii="Times New Roman"/>
          <w:color w:val="auto"/>
          <w:sz w:val="30"/>
        </w:rPr>
        <w:lastRenderedPageBreak/>
        <w:t>第十五部分</w:t>
      </w:r>
      <w:r>
        <w:rPr>
          <w:rFonts w:ascii="Times New Roman"/>
          <w:color w:val="auto"/>
          <w:sz w:val="30"/>
        </w:rPr>
        <w:t xml:space="preserve">  </w:t>
      </w:r>
      <w:r>
        <w:rPr>
          <w:rFonts w:ascii="Times New Roman"/>
          <w:color w:val="auto"/>
          <w:sz w:val="30"/>
        </w:rPr>
        <w:t>基金的信息披露</w:t>
      </w:r>
      <w:bookmarkEnd w:id="55"/>
    </w:p>
    <w:p w14:paraId="1CAE0C70" w14:textId="77777777" w:rsidR="00496B2C" w:rsidRDefault="00496B2C"/>
    <w:p w14:paraId="5C1FF1F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一、本基金的信息披露应符合《基金法》、《运作办法》、《信息披露办法》、《流动性风险管理规定》、《基金合同》及其他有关规定。相关法律法规关于信息披露的规定发生变化时，本基金从其最新规定。</w:t>
      </w:r>
    </w:p>
    <w:p w14:paraId="5091687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二、信息披露义务人</w:t>
      </w:r>
    </w:p>
    <w:p w14:paraId="7560923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本基金信息披露义务人包括基金管理人、基金托管人、召集基金份额持有人大会的基金份额持有人等法律法规和中国证监会规定的自然人、法人和非法人组织。</w:t>
      </w:r>
    </w:p>
    <w:p w14:paraId="14D70A2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本基金信息披露义务人以保护基金份额持有人利益为根本出发点，按照法律法规和中国证监会的规定披露基金信息，并保证所披露信息的真实性、准确性、完整性、及时性、简明性和易得性。</w:t>
      </w:r>
    </w:p>
    <w:p w14:paraId="18AE15E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信息披露义务人应当在中国证监会规定时间内，将应予披露的基金信息通过符合中国证监会规定条件的全国性报刊（以下简称“规定报刊”）和《信息披露办法》规定的互联网网站（以下简称“规定网站”）等规定媒介披露，并保证基金投资者能够按照《基金合同》约定的时间和方式查阅或者复制公开披露的信息资料。</w:t>
      </w:r>
    </w:p>
    <w:p w14:paraId="698BD3B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三、本基金信息披露义务人承诺公开披露的基金信息，不得有下列行为：</w:t>
      </w:r>
    </w:p>
    <w:p w14:paraId="3445797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1、虚假记载、误导性陈述或者重大遗漏；</w:t>
      </w:r>
    </w:p>
    <w:p w14:paraId="68523C6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2、对证券投资业绩进行预测；</w:t>
      </w:r>
    </w:p>
    <w:p w14:paraId="35E3F14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3、违规承诺收益或者承担损失；</w:t>
      </w:r>
    </w:p>
    <w:p w14:paraId="04AC94B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4、诋毁其他基金管理人、基金托管人或者基金销售机构；</w:t>
      </w:r>
    </w:p>
    <w:p w14:paraId="6BD26C2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5、登载任何自然人、法人和非法人组织的祝贺性、恭维性或推荐性的文字；</w:t>
      </w:r>
    </w:p>
    <w:p w14:paraId="028CD49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6、中国证监会禁止的其他行为。</w:t>
      </w:r>
    </w:p>
    <w:p w14:paraId="6FC3667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四、本基金公开披露的信息应采用中文文本。如同时采用外文文本的，基金信息披露义务人应保证不同文本的内容一致。不同文本之间发生歧义的，以中文文本为准。</w:t>
      </w:r>
    </w:p>
    <w:p w14:paraId="363EA80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本基金公开披露的信息采用阿拉伯数字；除特别说明外，货币单位为人民币元。</w:t>
      </w:r>
    </w:p>
    <w:p w14:paraId="1CC088A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五、公开披露的基金信息</w:t>
      </w:r>
    </w:p>
    <w:p w14:paraId="214666E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公开披露的基金信息包括：</w:t>
      </w:r>
    </w:p>
    <w:p w14:paraId="24E65A4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（一）基金招募说明书、《基金合同》、基金托管协议、基金产品资料概要</w:t>
      </w:r>
    </w:p>
    <w:p w14:paraId="3423002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1、《基金合同》是界定《基金合同》当事人的各项权利、义务关系，明确基金份额持有人大会召开的规则及具体程序，说明基金产品的特性等涉及基金投资者重大利益的事项的法律文件。</w:t>
      </w:r>
    </w:p>
    <w:p w14:paraId="3DC9E39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052DB2C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3、基金托管协议是界定基金托管人和基金管理人在基金财产保管及基金运作监督等活动中的权利、义务关系的法律文件。</w:t>
      </w:r>
    </w:p>
    <w:p w14:paraId="45309E1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752CABD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募集申请经中国证监会注册后，基金管理人在基金份额发售的3日前，将基金份额发售公告、基金招募说明书提示性公告、《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p>
    <w:p w14:paraId="4DCA5E9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（二）基金份额发售公告</w:t>
      </w:r>
    </w:p>
    <w:p w14:paraId="679C3CF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基金管理人应当就基金份额发售的具体事宜编制基金份额发售公告，并在披露招募说明书的当日登载于规定媒介上。</w:t>
      </w:r>
    </w:p>
    <w:p w14:paraId="6FDCD08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（三）《基金合同》生效公告</w:t>
      </w:r>
    </w:p>
    <w:p w14:paraId="0539FA8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基金管理人应当在收到中国证监会确认文件的次日在规定媒介上登载《基金合同》生效公告。</w:t>
      </w:r>
    </w:p>
    <w:p w14:paraId="1C4DF62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（四）基金净值信息</w:t>
      </w:r>
    </w:p>
    <w:p w14:paraId="75E7E99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生效后，在开始办理基金份额申购或者赎回前，基金管理人应当至少每周在规定网站披露一次各类基金份额净值和基金份额累计净值。在开始办理基金份额申购或者赎回后，基金管理人应当在不晚于每个开放日的次日，通过规定网站、基金销售机构网站或者营业网点，披露开放日的各类基金份额净值和基金份额累计净值。</w:t>
      </w:r>
    </w:p>
    <w:p w14:paraId="5CFA0A8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基金管理人应当在不晚于半年度和年度最后一日的次日，在规定网站披露半年度和年度最后一日的各类基金份额净值和基金份额累计净值。</w:t>
      </w:r>
    </w:p>
    <w:p w14:paraId="7F726C1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（五）基金份额申购、赎回价格</w:t>
      </w:r>
    </w:p>
    <w:p w14:paraId="63AA0ED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基金管理人应当在《基金合同》、招募说明书等信息披露文件上载明基金份额申购、赎回价格的计算方式及有关申购、赎回费率，并保证投资者能够在基金销售机构网站或营业网点查阅或者复制前述信息资料。</w:t>
      </w:r>
    </w:p>
    <w:p w14:paraId="0E082F7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（六）基金定期报告，包括基金年度报告、基金中期报告和基金季度报告</w:t>
      </w:r>
    </w:p>
    <w:p w14:paraId="6B10B3A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每年结束之日起三个月内，编制完成基金年度报告，将年度报告登载在规定网站上，并将年度报告提示性公告登载在规定报刊上。基金年度报告中的财务会计报告应当经过符合《中华人民共和国证券法》规定的会计师事务所审计。</w:t>
      </w:r>
    </w:p>
    <w:p w14:paraId="7AC8F0F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基金管理人应当在上半年结束之日起两个月内，编制完成基金中期报告，将中期报告登载在规定网站上，并将中期报告提示性公告登载在规定报刊上。</w:t>
      </w:r>
    </w:p>
    <w:p w14:paraId="09D067A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基金管理人应当在季度结束之日起15个工作日内，编制完成基金季度报告，将季度报告登载在规定网站上，并将季度报告提示性公告登载在规定报刊上。</w:t>
      </w:r>
    </w:p>
    <w:p w14:paraId="1B264A1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《基金合同》生效不足2个月的，基金管理人可以不编制当期季度报告、中期报告或者年度报告。</w:t>
      </w:r>
    </w:p>
    <w:p w14:paraId="26F6147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w:t>
      </w:r>
      <w:r>
        <w:rPr>
          <w:rFonts w:ascii="宋体" w:hAnsi="宋体" w:cs="宋体"/>
          <w:kern w:val="0"/>
          <w:sz w:val="24"/>
          <w:szCs w:val="24"/>
        </w:rPr>
        <w:lastRenderedPageBreak/>
        <w:t>期内持有份额变化情况及本基金的特有风险，中国证监会认定的特殊情形除外。</w:t>
      </w:r>
    </w:p>
    <w:p w14:paraId="497B586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基金管理人应当在基金年度报告和中期报告中披露基金组合资产情况及其流动性风险分析等。</w:t>
      </w:r>
    </w:p>
    <w:p w14:paraId="1BFBD624" w14:textId="77777777" w:rsidR="00496B2C" w:rsidRDefault="005605B9">
      <w:pPr>
        <w:pStyle w:val="div"/>
        <w:spacing w:line="360" w:lineRule="auto"/>
        <w:ind w:firstLine="480"/>
        <w:rPr>
          <w:rFonts w:ascii="宋体" w:hAnsi="宋体" w:cs="宋体"/>
          <w:kern w:val="0"/>
          <w:sz w:val="24"/>
          <w:szCs w:val="24"/>
        </w:rPr>
      </w:pPr>
      <w:r>
        <w:rPr>
          <w:rFonts w:eastAsiaTheme="minorEastAsia" w:hint="eastAsia"/>
          <w:kern w:val="0"/>
          <w:sz w:val="24"/>
          <w:szCs w:val="24"/>
        </w:rPr>
        <w:t>基金管理人应当在中期报告和年度报告中披露固定管理费、或有管理费和</w:t>
      </w:r>
      <w:r>
        <w:rPr>
          <w:rFonts w:eastAsiaTheme="minorEastAsia"/>
          <w:kern w:val="0"/>
          <w:sz w:val="24"/>
          <w:szCs w:val="24"/>
        </w:rPr>
        <w:t>超额</w:t>
      </w:r>
      <w:r>
        <w:rPr>
          <w:rFonts w:eastAsiaTheme="minorEastAsia" w:hint="eastAsia"/>
          <w:kern w:val="0"/>
          <w:sz w:val="24"/>
          <w:szCs w:val="24"/>
        </w:rPr>
        <w:t>管理费收取情况。</w:t>
      </w:r>
    </w:p>
    <w:p w14:paraId="2752F1A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（七）临时报告</w:t>
      </w:r>
    </w:p>
    <w:p w14:paraId="340E687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本基金发生重大事件，有关信息披露义务人应当在2日内编制临时报告书，并登载在规定报刊和规定网站上。</w:t>
      </w:r>
    </w:p>
    <w:p w14:paraId="27C994C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前款所称重大事件，是指可能对基金份额持有人权益或者基金份额的价格产生重大影响的下列事件：</w:t>
      </w:r>
    </w:p>
    <w:p w14:paraId="7B5DC5C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1、基金份额持有人大会的召开及决定的事项；</w:t>
      </w:r>
    </w:p>
    <w:p w14:paraId="5779263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2、《基金合同》终止、基金清算；</w:t>
      </w:r>
    </w:p>
    <w:p w14:paraId="5DBB7A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3、转换基金运作方式、基金合并；</w:t>
      </w:r>
    </w:p>
    <w:p w14:paraId="7C5DF3E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4、更换基金管理人、基金托管人、基金份额登记机构，基金改聘会计师事务所；</w:t>
      </w:r>
    </w:p>
    <w:p w14:paraId="3B62891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5、基金管理人委托基金服务机构代为办理基金的份额登记、核算、估值等事项，基金托管人委托基金服务机构代为办理基金的核算、估值、复核等事项；</w:t>
      </w:r>
    </w:p>
    <w:p w14:paraId="4E32C6D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6、基金管理人、基金托管人的法定名称、住所发生变更；</w:t>
      </w:r>
    </w:p>
    <w:p w14:paraId="0D02435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7、基金管理人变更持有百分之五以上股权的股东、基金管理人的实际控制人变更；</w:t>
      </w:r>
    </w:p>
    <w:p w14:paraId="2ADE9E1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8、基金募集期延长或提前结束募集；</w:t>
      </w:r>
    </w:p>
    <w:p w14:paraId="39640D1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9、基金管理人的高级管理人员、基金经理和基金托管人专门基金托管部门负责人发生变动；</w:t>
      </w:r>
    </w:p>
    <w:p w14:paraId="4E56BCF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10、基金管理人的董事在最近12个月内变更超过百分之五十，基金管理人、基金托管人专门基金托管部门的主要业务人员在最近12个月内变动超过百分之三十；</w:t>
      </w:r>
    </w:p>
    <w:p w14:paraId="709C1D8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11、涉及基金财产、基金管理业务、基金托管业务的诉讼或仲裁；</w:t>
      </w:r>
    </w:p>
    <w:p w14:paraId="3024CC8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12、基金管理人或其高级管理人员、基金经理因基金管理业务相关行为受到重大行政处罚、刑事处罚，基金托管人或其专门基金托管部门负责人因基金托管</w:t>
      </w:r>
      <w:r>
        <w:rPr>
          <w:rFonts w:ascii="宋体" w:hAnsi="宋体" w:cs="宋体"/>
          <w:kern w:val="0"/>
          <w:sz w:val="24"/>
          <w:szCs w:val="24"/>
        </w:rPr>
        <w:lastRenderedPageBreak/>
        <w:t>业务相关行为受到重大行政处罚、刑事处罚；</w:t>
      </w:r>
    </w:p>
    <w:p w14:paraId="0EC7623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p>
    <w:p w14:paraId="120E8AA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14、基金收益分配事项；</w:t>
      </w:r>
    </w:p>
    <w:p w14:paraId="52EAF46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15、管理费</w:t>
      </w:r>
      <w:r>
        <w:rPr>
          <w:rStyle w:val="custom"/>
          <w:rFonts w:ascii="宋体" w:hAnsi="宋体" w:cs="宋体" w:hint="eastAsia"/>
          <w:kern w:val="0"/>
          <w:sz w:val="24"/>
          <w:szCs w:val="24"/>
        </w:rPr>
        <w:t>（</w:t>
      </w:r>
      <w:r>
        <w:rPr>
          <w:rFonts w:ascii="宋体" w:hAnsi="宋体" w:cs="宋体" w:hint="eastAsia"/>
          <w:kern w:val="0"/>
          <w:sz w:val="24"/>
          <w:szCs w:val="24"/>
        </w:rPr>
        <w:t>包括固定管理费、或有管理费和超额管理费</w:t>
      </w:r>
      <w:r>
        <w:rPr>
          <w:rStyle w:val="custom"/>
          <w:rFonts w:ascii="宋体" w:hAnsi="宋体" w:cs="宋体" w:hint="eastAsia"/>
          <w:kern w:val="0"/>
          <w:sz w:val="24"/>
          <w:szCs w:val="24"/>
        </w:rPr>
        <w:t>）</w:t>
      </w:r>
      <w:r>
        <w:rPr>
          <w:rFonts w:ascii="宋体" w:hAnsi="宋体" w:cs="宋体"/>
          <w:kern w:val="0"/>
          <w:sz w:val="24"/>
          <w:szCs w:val="24"/>
        </w:rPr>
        <w:t>、托管费、销售服务费、申购费和赎回费等费用计提标准、计提方式和费率发生变更；</w:t>
      </w:r>
    </w:p>
    <w:p w14:paraId="1AADE57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16、某类基金份额净值估值错误达该类基金份额净值百分之零点五；</w:t>
      </w:r>
    </w:p>
    <w:p w14:paraId="1C47B60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17、本基金开始办理申购、赎回；</w:t>
      </w:r>
    </w:p>
    <w:p w14:paraId="061E26A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18、本基金发生巨额赎回并延期办理；</w:t>
      </w:r>
    </w:p>
    <w:p w14:paraId="4DBE53F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19、本基金连续发生巨额赎回并暂停接受赎回申请或延缓支付赎回款项；</w:t>
      </w:r>
    </w:p>
    <w:p w14:paraId="19A7655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20、本基金暂停接受申购、赎回申请或者重新接受申购、赎回申请；</w:t>
      </w:r>
    </w:p>
    <w:p w14:paraId="45E7D98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21、调整基金份额类别的设置；</w:t>
      </w:r>
    </w:p>
    <w:p w14:paraId="6A90F3D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22、本基金推出新业务或服务；</w:t>
      </w:r>
    </w:p>
    <w:p w14:paraId="55E7A39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23、发生涉及基金申购、赎回事项调整或潜在影响投资者赎回等重大事项时；</w:t>
      </w:r>
    </w:p>
    <w:p w14:paraId="327B0CC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24、基金管理人采用摆动定价机制进行估值；</w:t>
      </w:r>
    </w:p>
    <w:p w14:paraId="35A607F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25、基金信息披露义务人认为可能对基金份额持有人权益或者基金份额的价格产生重大影响的其他事项或中国证监会规定的其他事项。</w:t>
      </w:r>
    </w:p>
    <w:p w14:paraId="3D8D124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（八）澄清公告</w:t>
      </w:r>
    </w:p>
    <w:p w14:paraId="680335C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基金合同》存续期限内，任何公共媒介中出现的或者在市场上流传的消息可能对基金份额价格产生误导性影响或者引起较大波动，以及可能损害基金份额持有人权益的，相关信息披露义务人知悉后应当立即对该消息进行公开澄清。</w:t>
      </w:r>
    </w:p>
    <w:p w14:paraId="5E3353D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（九）清算报告</w:t>
      </w:r>
    </w:p>
    <w:p w14:paraId="7224F1B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基金合同终止情形发生时，基金管理人应当依法组织基金财产清算小组对基金财产进行清算并作出清算报告。基金财产清算小组应当将清算报告登载在规定网站上，并将清算报告提示性公告登载在规定报刊上。</w:t>
      </w:r>
    </w:p>
    <w:p w14:paraId="0E59EE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（十）基金份额持有人大会决议</w:t>
      </w:r>
    </w:p>
    <w:p w14:paraId="2B25F34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基金份额持有人大会决定的事项，应当依法报中国证监会备案，并予以公告。</w:t>
      </w:r>
    </w:p>
    <w:p w14:paraId="69F1FC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（十一）投资股指期货的信息披露</w:t>
      </w:r>
    </w:p>
    <w:p w14:paraId="036AC63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基金管理人在季度报告、中期报告、年度报告等定期报告和招募说明书(更新)等文件中披露股指期货交易情况，包括交易政策、持仓情况、损益情况、风险指标等，并充分揭示股指期货交易对基金总体风险的影响以及是否符合既定的交易政策和交易目标等。</w:t>
      </w:r>
    </w:p>
    <w:p w14:paraId="3242E45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（十二）投资国债期货的信息披露</w:t>
      </w:r>
    </w:p>
    <w:p w14:paraId="4B3E34C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在季度报告、中期报告、年度报告等定期报告和招募说明书（更新）等文件中披露国债期货交易情况，包括交易政策、持仓情况、损益情况、风险指标等，并充分揭示国债期货交易对基金总体风险的影响以及是否符合既定的交易政策和交易目标等。</w:t>
      </w:r>
    </w:p>
    <w:p w14:paraId="2C7B43A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（十三）投资股票期权的信息披露</w:t>
      </w:r>
    </w:p>
    <w:p w14:paraId="0FDE5E1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在定期信息披露文件中披露参与股票期权交易的有关情况，包括投资政策、持仓情况、损益情况、风险指标、估值方法等，并充分揭示股票期权交易对基金总体风险的影响以及是否符合既定的投资政策和投资目标。</w:t>
      </w:r>
    </w:p>
    <w:p w14:paraId="60CB7F3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（十四）投资资产支持证券的信息披露</w:t>
      </w:r>
    </w:p>
    <w:p w14:paraId="79DBBD3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7DF7B4B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（十五）参与融资业务的信息披露</w:t>
      </w:r>
    </w:p>
    <w:p w14:paraId="22DC85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基金管理人应在季度报告、中期报告、年度报告等定期报告和招募说明书（更新）等文件中披露参与融资交易的情况，包括投资策略、业务开展情况、损益情况、风险及管理情况。</w:t>
      </w:r>
    </w:p>
    <w:p w14:paraId="00ED1DB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（十六）投资港股通标的股票的信息披露</w:t>
      </w:r>
    </w:p>
    <w:p w14:paraId="2398875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基金管理人应在季度报告、中期报告、年度报告等定期报告和招募说明书（更新）等文件中披露港股通交易的相关情况。</w:t>
      </w:r>
    </w:p>
    <w:p w14:paraId="2D8DA486"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（十</w:t>
      </w:r>
      <w:r>
        <w:rPr>
          <w:rFonts w:ascii="宋体" w:hAnsi="宋体" w:cs="宋体" w:hint="eastAsia"/>
          <w:kern w:val="0"/>
          <w:sz w:val="24"/>
          <w:szCs w:val="24"/>
        </w:rPr>
        <w:t>七</w:t>
      </w:r>
      <w:r>
        <w:rPr>
          <w:rFonts w:ascii="宋体" w:hAnsi="宋体" w:cs="宋体"/>
          <w:kern w:val="0"/>
          <w:sz w:val="24"/>
          <w:szCs w:val="24"/>
        </w:rPr>
        <w:t>）实施侧袋机制期间的信息披露</w:t>
      </w:r>
    </w:p>
    <w:p w14:paraId="2DED6E5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本基金实施侧袋机制的，相关信息披露义务人应当根据法律法规、基金合同和招募说明书的规定进行信息披露，详见本招募说明书“侧袋机制”章节的规定。</w:t>
      </w:r>
    </w:p>
    <w:p w14:paraId="08AE4CD8"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lastRenderedPageBreak/>
        <w:t>（十</w:t>
      </w:r>
      <w:r>
        <w:rPr>
          <w:rFonts w:ascii="宋体" w:hAnsi="宋体" w:cs="宋体" w:hint="eastAsia"/>
          <w:kern w:val="0"/>
          <w:sz w:val="24"/>
          <w:szCs w:val="24"/>
        </w:rPr>
        <w:t>八</w:t>
      </w:r>
      <w:r>
        <w:rPr>
          <w:rFonts w:ascii="宋体" w:hAnsi="宋体" w:cs="宋体"/>
          <w:kern w:val="0"/>
          <w:sz w:val="24"/>
          <w:szCs w:val="24"/>
        </w:rPr>
        <w:t>）中国证监会规定的其他信息。</w:t>
      </w:r>
    </w:p>
    <w:p w14:paraId="21C6BEC5"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六、暂停或延迟信息披露的情形</w:t>
      </w:r>
    </w:p>
    <w:p w14:paraId="6091418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1、基金投资所涉及的证券/期货交易所遇法定节假日或因其他原因暂停营业时；</w:t>
      </w:r>
    </w:p>
    <w:p w14:paraId="3F8CA65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2、因不可抗力或其他情形致使基金管理人、基金托管人无法准确评估基金资产价值时；</w:t>
      </w:r>
    </w:p>
    <w:p w14:paraId="11D606D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3、法律法规规定、中国证监会或《基金合同》认定的其他情形。</w:t>
      </w:r>
    </w:p>
    <w:p w14:paraId="5AD01D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七、信息披露事务管理</w:t>
      </w:r>
    </w:p>
    <w:p w14:paraId="7D0F2D9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基金管理人、基金托管人应当建立健全信息披露管理制度，指定专门部门及高级管理人员负责管理信息披露事务。</w:t>
      </w:r>
    </w:p>
    <w:p w14:paraId="4A54FF7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基金信息披露义务人公开披露基金信息，应当符合中国证监会相关基金信息披露内容与格式准则等法规的规定。</w:t>
      </w:r>
    </w:p>
    <w:p w14:paraId="39D8D9E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人应当按照相关法律法规、中国证监会的规定和《基金合同》的约定，对基金管理人编制的基金资产净值、各类基金份额净值、基金份额申购赎回价格、基金定期报告、更新的招募说明书、更新的基金产品资料概要、基金清算报告等公开披露的相关基金信息进行复核、审查，并向基金管理人进行书面或电子确认。</w:t>
      </w:r>
    </w:p>
    <w:p w14:paraId="4F2B9DA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574BCE6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123960B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3E40218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为基金信息披露义务人公开披露的基金信息出具审计报告、法律意见书的专</w:t>
      </w:r>
      <w:r>
        <w:rPr>
          <w:rFonts w:ascii="宋体" w:hAnsi="宋体" w:cs="宋体"/>
          <w:kern w:val="0"/>
          <w:sz w:val="24"/>
          <w:szCs w:val="24"/>
        </w:rPr>
        <w:lastRenderedPageBreak/>
        <w:t>业机构，应当制作工作底稿，并将相关档案至少保存到《基金合同》终止后10年。</w:t>
      </w:r>
    </w:p>
    <w:p w14:paraId="3D52F1B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八、信息披露文件的存放与查阅</w:t>
      </w:r>
    </w:p>
    <w:p w14:paraId="3210B4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依法必须披露的信息发布后，基金管理人、基金托管人应当按照相关法律法规规定将信息置备于各自住所，供社会公众查阅、复制。</w:t>
      </w:r>
      <w:r>
        <w:rPr>
          <w:rFonts w:ascii="宋体" w:hAnsi="宋体" w:cs="宋体"/>
          <w:kern w:val="0"/>
          <w:sz w:val="24"/>
          <w:szCs w:val="24"/>
        </w:rPr>
        <w:br w:type="page"/>
      </w:r>
    </w:p>
    <w:p w14:paraId="45DFFE3A" w14:textId="77777777" w:rsidR="00496B2C" w:rsidRDefault="005605B9">
      <w:pPr>
        <w:pStyle w:val="1"/>
        <w:spacing w:before="0" w:after="0"/>
        <w:jc w:val="center"/>
        <w:rPr>
          <w:rFonts w:ascii="Times New Roman"/>
          <w:color w:val="auto"/>
          <w:sz w:val="30"/>
        </w:rPr>
      </w:pPr>
      <w:bookmarkStart w:id="56" w:name="_Toc256000015"/>
      <w:r>
        <w:rPr>
          <w:rFonts w:ascii="Times New Roman"/>
          <w:color w:val="auto"/>
          <w:sz w:val="30"/>
        </w:rPr>
        <w:lastRenderedPageBreak/>
        <w:t>第十六部分</w:t>
      </w:r>
      <w:r>
        <w:rPr>
          <w:rFonts w:ascii="Times New Roman"/>
          <w:color w:val="auto"/>
          <w:sz w:val="30"/>
        </w:rPr>
        <w:t xml:space="preserve">  </w:t>
      </w:r>
      <w:r>
        <w:rPr>
          <w:rFonts w:ascii="Times New Roman"/>
          <w:color w:val="auto"/>
          <w:sz w:val="30"/>
        </w:rPr>
        <w:t>风险揭示</w:t>
      </w:r>
      <w:bookmarkEnd w:id="56"/>
    </w:p>
    <w:p w14:paraId="3D28BE07" w14:textId="77777777" w:rsidR="00496B2C" w:rsidRDefault="00496B2C"/>
    <w:p w14:paraId="5F0EECE8"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一、</w:t>
      </w:r>
      <w:r>
        <w:rPr>
          <w:rFonts w:ascii="宋体" w:hAnsi="宋体" w:cs="宋体"/>
          <w:kern w:val="0"/>
          <w:sz w:val="24"/>
          <w:szCs w:val="24"/>
        </w:rPr>
        <w:t>市场风险</w:t>
      </w:r>
    </w:p>
    <w:p w14:paraId="5AA35C5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市场风险是指证券市场价格受到经济因素、政治因素、投资心理和交易制度等各种因素的影响而变化，导致收益水平存在的不确定性。市场风险主要包括：</w:t>
      </w:r>
    </w:p>
    <w:p w14:paraId="481B650E"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政策风险</w:t>
      </w:r>
    </w:p>
    <w:p w14:paraId="5E009AE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因国家宏观政策（如货币政策、财政政策、行业政策、地区发展政策等）发生变化，导致市场价格波动而产生风险。</w:t>
      </w:r>
    </w:p>
    <w:p w14:paraId="58449C4A"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经济周期风险</w:t>
      </w:r>
    </w:p>
    <w:p w14:paraId="5B2C981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随经济运行的周期性变化，证券市场的收益水平也呈周期性变化。基金投资于证券，收益水平也会随之变化，从而产生风险。</w:t>
      </w:r>
    </w:p>
    <w:p w14:paraId="58D2FEE5"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利率风险</w:t>
      </w:r>
    </w:p>
    <w:p w14:paraId="318989E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金融市场利率的波动会导致证券市场价格和收益率的变动。利率直接影响着证券的价格和收益率，影响着企业的融资成本和利润。基金投资于证券，其收益水平会受到利率变化的影响。</w:t>
      </w:r>
    </w:p>
    <w:p w14:paraId="047C66A5"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上市公司经营风险</w:t>
      </w:r>
    </w:p>
    <w:p w14:paraId="337A87D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上市公司的经营好坏受多种因素影响，如管理能力、财务状况、市场前景、行业竞争、人员素质等，这些都会导致企业的盈利发生变化。</w:t>
      </w:r>
    </w:p>
    <w:p w14:paraId="7EBAB412"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如果基金所投资的上市公司经营不善，其股票价格可能下跌，或者能够用于分配的利润减少，使基金投资收益下降。</w:t>
      </w:r>
    </w:p>
    <w:p w14:paraId="5B9B1CB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虽然基金可以通过投资多样化来分散这种非系统风险，但不能完全规避。</w:t>
      </w:r>
    </w:p>
    <w:p w14:paraId="68AA3E6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信用风险</w:t>
      </w:r>
    </w:p>
    <w:p w14:paraId="6629A52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主要是指债务人的违约风险，若债务人经营不善，资不抵债，债权人可能会损失掉大部分的投资，这主要体现在企业债中。</w:t>
      </w:r>
    </w:p>
    <w:p w14:paraId="66B2976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购买力风险</w:t>
      </w:r>
    </w:p>
    <w:p w14:paraId="6C67EF8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基金的利润将主要通过现金形式来分配，而现金可能因为通货膨胀的影响而导致购买力下降，从而使基金的实际收益下降。</w:t>
      </w:r>
    </w:p>
    <w:p w14:paraId="6A5D4AC9"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债券收益率曲线风险</w:t>
      </w:r>
    </w:p>
    <w:p w14:paraId="180AF02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债券收益率曲线风险是指与收益率曲线非平行移动有关的风险，单一的久期</w:t>
      </w:r>
      <w:r>
        <w:rPr>
          <w:rFonts w:ascii="宋体" w:hAnsi="宋体" w:cs="宋体"/>
          <w:kern w:val="0"/>
          <w:sz w:val="24"/>
          <w:szCs w:val="24"/>
        </w:rPr>
        <w:lastRenderedPageBreak/>
        <w:t>指标并不能充分反映这一风险的存在。</w:t>
      </w:r>
    </w:p>
    <w:p w14:paraId="76AB56D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再投资风险</w:t>
      </w:r>
    </w:p>
    <w:p w14:paraId="2630488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再投资风险反映了利率下降对固定收益证券利息收入再投资收益的影响，这与利率上升所带来的价格风险（即前面所提到的利率风险）互为消长。具体为当利率下降时，基金从投资的固定收益证券所得的利息收入进行再投资时，将获得比之前较少的收益率。</w:t>
      </w:r>
    </w:p>
    <w:p w14:paraId="255C5B8F" w14:textId="77777777" w:rsidR="00496B2C" w:rsidRDefault="005605B9">
      <w:pPr>
        <w:pStyle w:val="div"/>
        <w:spacing w:line="360" w:lineRule="auto"/>
        <w:ind w:firstLine="420"/>
        <w:jc w:val="left"/>
        <w:rPr>
          <w:rStyle w:val="custom"/>
          <w:rFonts w:ascii="宋体" w:hAnsi="宋体" w:cs="宋体"/>
          <w:kern w:val="0"/>
          <w:sz w:val="24"/>
          <w:szCs w:val="24"/>
        </w:rPr>
      </w:pPr>
      <w:r>
        <w:rPr>
          <w:rStyle w:val="custom"/>
          <w:rFonts w:ascii="宋体" w:hAnsi="宋体" w:cs="宋体"/>
          <w:kern w:val="0"/>
          <w:sz w:val="24"/>
          <w:szCs w:val="24"/>
        </w:rPr>
        <w:t>9、波动性风险</w:t>
      </w:r>
    </w:p>
    <w:p w14:paraId="63314CF9"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波动性风险主要存在于可转换债券的投资中，具体表现为可转换债券的价格受到其相对应股票价格波动的影响，同时可转换债券还有信用风险与转股风险。转股风险指相对应股票价格跌破转股价，不能获得转股收益，从而无法弥补当初付出的转股期权价值。</w:t>
      </w:r>
    </w:p>
    <w:p w14:paraId="7562C5FE"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二、</w:t>
      </w:r>
      <w:r>
        <w:rPr>
          <w:rFonts w:ascii="宋体" w:hAnsi="宋体" w:cs="宋体"/>
          <w:kern w:val="0"/>
          <w:sz w:val="24"/>
          <w:szCs w:val="24"/>
        </w:rPr>
        <w:t>管理风险</w:t>
      </w:r>
    </w:p>
    <w:p w14:paraId="6952A3CC"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在基金管理运作过程中，基金管理人的知识、技能、经验、判断等主观因素会影响其对相关信息和经济形势、证券价格走势的判断，从而影响基金收益水平。</w:t>
      </w:r>
    </w:p>
    <w:p w14:paraId="2262B323"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三、</w:t>
      </w:r>
      <w:r>
        <w:rPr>
          <w:rFonts w:ascii="宋体" w:hAnsi="宋体" w:cs="宋体"/>
          <w:kern w:val="0"/>
          <w:sz w:val="24"/>
          <w:szCs w:val="24"/>
        </w:rPr>
        <w:t>流动性风险</w:t>
      </w:r>
    </w:p>
    <w:p w14:paraId="3F7EFA04"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流动性风险可视为一种综合性风险，它是其他风险在基金管理和公司整体经营方面的综合体现。中国的证券市场还处在初期发展阶段，在某些情况下某些投资品种的流动性不佳，由此可能影响到基金投资收益的实现。</w:t>
      </w:r>
    </w:p>
    <w:p w14:paraId="054A3D0E"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要随时应对投资者的赎回，如果基金资产不能迅速转变成现金，或者变现为现金时对基金资产净值产生不利的影响，都会影响基金运作和收益水平。尤其是在发生巨额赎回时，如果基金资产变现能力差，可能会产生基金仓位调整的困难，导致流动性风险，可能影响基金份额净值。</w:t>
      </w:r>
    </w:p>
    <w:p w14:paraId="0C14EE26"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1、投资市场、行业及资产的流动性风险评估</w:t>
      </w:r>
    </w:p>
    <w:p w14:paraId="1A00D3C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（1）投资市场的流动性风险</w:t>
      </w:r>
    </w:p>
    <w:p w14:paraId="2CC9B7C3"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主要投资于国内依法发行上市的股票、债券、港股通标的股票、资产支持证券、债券回购、同业存单、银行存款、货币市场工具等投资品种。上述资产均在规范的交易场所、运作时间长，市场透明度较高，运作方式规范，历史流动性状况良好，正常情况下能够及时满足基金变现需求，保证基金按时应对赎回要求。极端市场情况下，上述资产可能出现流动性不足，导致基金资产无法变现，</w:t>
      </w:r>
      <w:r>
        <w:rPr>
          <w:rStyle w:val="custom"/>
          <w:rFonts w:ascii="宋体" w:hAnsi="宋体" w:cs="宋体"/>
          <w:kern w:val="0"/>
          <w:sz w:val="24"/>
          <w:szCs w:val="24"/>
        </w:rPr>
        <w:lastRenderedPageBreak/>
        <w:t>从而影响投资者按时收到赎回款项。根据过往经验统计，绝大部分时间上述资产流动性充裕，流动性风险可控，当遇到极端市场情况时，基金管理人会按照基金合同及相关法律法规要求，及时启动流动性风险应对措施，保护基金投资者的合法权益。</w:t>
      </w:r>
    </w:p>
    <w:p w14:paraId="519B8357"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（2）投资行业的流动性风险</w:t>
      </w:r>
    </w:p>
    <w:p w14:paraId="560A6FBB"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股票投资方面，本基金将在考虑行业生命周期、景气程度、估值水平以及股票市场行业轮动规律的基础上决定行业的配置，同时本基金将根据宏观经济和证券市场环境的变化，及时对行业配置进行动态调整。</w:t>
      </w:r>
    </w:p>
    <w:p w14:paraId="696D2B9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债券投资方面，本基金通过深入分析宏观经济数据、货币政策和利率变化趋势以及不同类属的收益率水平、流动性和信用风险等因素，以久期控制和结构分布策略为主，以收益率曲线策略、利差策略等为辅，构造能够提供稳定收益的债券和货币市场工具组合。</w:t>
      </w:r>
    </w:p>
    <w:p w14:paraId="1C2DB40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因此本基金在投资运作过程中的行业配置较为灵活，在综合考虑宏观因素及行业基本面的前提下进行配置，不以投资于某单一行业为投资目标，行业分散度较高，受到单一行业流动性风险的影响较小。</w:t>
      </w:r>
    </w:p>
    <w:p w14:paraId="205FE2D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（3）投资资产的流动性风险</w:t>
      </w:r>
    </w:p>
    <w:p w14:paraId="198DD60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本基金针对流动性较低资产的投资进行了严格的限制，以降低基金的流动性风险：</w:t>
      </w:r>
    </w:p>
    <w:p w14:paraId="7157A8EC"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本基金为开放式基金，主动投资于流动性受限资产的市值合计不得超过基金资产净值的15%。本基金为保持较高的组合流动性，方便投资人安排投资，在遵守本基金有关投资限制与投资比例的前提下，将主要投资于高流动性的投资品种，防范流动性风险。同时，结合市场流动性特点，本基金将提前合理安排组合流动性，统筹考虑投资者申购赎回特征和客户大额资金流向特征，以确定本基金在不同投资品种的配置比例，确保流动性充裕。</w:t>
      </w:r>
    </w:p>
    <w:p w14:paraId="4AF8474A"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本基金申购、赎回安排</w:t>
      </w:r>
    </w:p>
    <w:p w14:paraId="31D3CEE8"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投资人可在本基金的开放日办理基金份额的申购和赎回业务。</w:t>
      </w:r>
    </w:p>
    <w:p w14:paraId="25B558C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为切实保护存量基金份额持有人的合法权益，遵循基金份额持有人利益优先原则，本基金管理人将合理控制基金份额持有人集中度，审慎确认申购赎回业务申请，包括但不限于：</w:t>
      </w:r>
    </w:p>
    <w:p w14:paraId="391B6A23"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lastRenderedPageBreak/>
        <w:t>（1）</w:t>
      </w:r>
      <w:r>
        <w:rPr>
          <w:rFonts w:ascii="宋体" w:hAnsi="宋体" w:cs="宋体"/>
          <w:kern w:val="0"/>
          <w:sz w:val="24"/>
          <w:szCs w:val="24"/>
        </w:rPr>
        <w:t>当接受申购申请对存量基金份额持有人利益构成潜在重大不利影响时，基金管理人应当采取设定单一投资者申购金额上限、基金规模上限或基金单日净申购比例上限、拒绝大额申购、暂停基金申购等措施，切实保护存量基金份额持有人的合法权益。</w:t>
      </w:r>
    </w:p>
    <w:p w14:paraId="6BC3A21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（2）本基金管理人对持续持有期少于7日的投资者收取不低于1.5%的赎回费，并将上述赎回费全额计入基金财产。</w:t>
      </w:r>
    </w:p>
    <w:p w14:paraId="4B2F5E32"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当发生大额申购或赎回情形时，基金管理人可以采用摆动定价机制，以确保基金估值的公平性。</w:t>
      </w:r>
    </w:p>
    <w:p w14:paraId="733D8365"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当前一估值日基金资产净值50%以上的资产出现无可参考的活跃市场价格且采用估值技术仍导致公允价值存在重大不确定性时，经与基金托管人协商确认后，基金管理人应当暂停接受基金申购申请、赎回申请或延缓支付赎回款项。</w:t>
      </w:r>
    </w:p>
    <w:p w14:paraId="19E6B4B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具体措施详见本招募说明书“基金份额的申购与赎回”部分的规定。</w:t>
      </w:r>
    </w:p>
    <w:p w14:paraId="42B000F0"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巨额赎回情形下流动性风险管理措施</w:t>
      </w:r>
    </w:p>
    <w:p w14:paraId="7520C7F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本基金出现巨额赎回情形时，本基金管理人经内部决策，并与基金托管人协商一致后，将运用多种流动性风险管理工具对赎回申请进行适度调整，以应对流动性风险，保护基金份额持有人的利益，包括但不限于：</w:t>
      </w:r>
    </w:p>
    <w:p w14:paraId="05A3FADE"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延期办理巨额赎回申请；</w:t>
      </w:r>
    </w:p>
    <w:p w14:paraId="7EDBC9AC"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（2）暂停接受赎回申请；</w:t>
      </w:r>
    </w:p>
    <w:p w14:paraId="50D4C012"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延缓支付赎回款项；</w:t>
      </w:r>
    </w:p>
    <w:p w14:paraId="0CD964A9"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中国证监会认可的其他措施。</w:t>
      </w:r>
    </w:p>
    <w:p w14:paraId="0AF74D0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具体措施详见本招募说明书“基金份额的申购与赎回”部分的规定。</w:t>
      </w:r>
    </w:p>
    <w:p w14:paraId="4C52269C"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4、</w:t>
      </w:r>
      <w:r>
        <w:rPr>
          <w:rFonts w:ascii="宋体" w:hAnsi="宋体" w:cs="宋体"/>
          <w:kern w:val="0"/>
          <w:sz w:val="24"/>
          <w:szCs w:val="24"/>
        </w:rPr>
        <w:t>实施备用的流动性风险管理工具的情形、程序及对投资者的潜在影响</w:t>
      </w:r>
    </w:p>
    <w:p w14:paraId="06A0033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经与基金托管人协商一致，在确保投资者得到公平对待的前提下，可依照法律法规及基金合同的约定，综合运用各类流动性风险管理工具，对赎回申请进行适度调整，作为特定情形下基金管理人流动性风险管理的辅助措施。</w:t>
      </w:r>
    </w:p>
    <w:p w14:paraId="43A7447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当基金管理人认为支付投资人的赎回申请有困难或认为因支付投资人的赎回申请而进行的财产变现可能会对基金资产净值造成较大波动时，可综合运用包括延期办理巨额赎回申请</w:t>
      </w:r>
      <w:r>
        <w:rPr>
          <w:rStyle w:val="custom"/>
          <w:rFonts w:ascii="宋体" w:hAnsi="宋体" w:cs="宋体"/>
          <w:kern w:val="0"/>
          <w:sz w:val="24"/>
          <w:szCs w:val="24"/>
        </w:rPr>
        <w:t>、暂停接受赎回申请</w:t>
      </w:r>
      <w:r>
        <w:rPr>
          <w:rFonts w:ascii="宋体" w:hAnsi="宋体" w:cs="宋体"/>
          <w:kern w:val="0"/>
          <w:sz w:val="24"/>
          <w:szCs w:val="24"/>
        </w:rPr>
        <w:t>、延缓支付赎回款项</w:t>
      </w:r>
      <w:r>
        <w:rPr>
          <w:rStyle w:val="custom"/>
          <w:rFonts w:ascii="宋体" w:hAnsi="宋体" w:cs="宋体"/>
          <w:kern w:val="0"/>
          <w:sz w:val="24"/>
          <w:szCs w:val="24"/>
        </w:rPr>
        <w:t>、收取短期赎回费</w:t>
      </w:r>
      <w:r>
        <w:rPr>
          <w:rFonts w:ascii="宋体" w:hAnsi="宋体" w:cs="宋体"/>
          <w:kern w:val="0"/>
          <w:sz w:val="24"/>
          <w:szCs w:val="24"/>
        </w:rPr>
        <w:t>、暂停基金估值、摆动定价、实施侧袋机制等流动性风险管理工具，投资者</w:t>
      </w:r>
      <w:r>
        <w:rPr>
          <w:rFonts w:ascii="宋体" w:hAnsi="宋体" w:cs="宋体"/>
          <w:kern w:val="0"/>
          <w:sz w:val="24"/>
          <w:szCs w:val="24"/>
        </w:rPr>
        <w:lastRenderedPageBreak/>
        <w:t>将面临无法办理申购、其赎回申请被拒绝或延期办理、赎回款项延缓支付，或面临赎回成本或申购成本较高等的风险。</w:t>
      </w:r>
    </w:p>
    <w:p w14:paraId="02F9947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本基金实施备用的流动性风险管理工具包括但不限于：</w:t>
      </w:r>
    </w:p>
    <w:p w14:paraId="3BC27FC3"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延期办理巨额赎回申请；</w:t>
      </w:r>
    </w:p>
    <w:p w14:paraId="2FAC3B7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（2）暂停接受赎回申请；</w:t>
      </w:r>
    </w:p>
    <w:p w14:paraId="7D7192E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（3）</w:t>
      </w:r>
      <w:r>
        <w:rPr>
          <w:rFonts w:ascii="宋体" w:hAnsi="宋体" w:cs="宋体"/>
          <w:kern w:val="0"/>
          <w:sz w:val="24"/>
          <w:szCs w:val="24"/>
        </w:rPr>
        <w:t>延缓支付赎回款项；</w:t>
      </w:r>
    </w:p>
    <w:p w14:paraId="091E7A5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（4）收取短期赎回费；</w:t>
      </w:r>
    </w:p>
    <w:p w14:paraId="7149541E"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（5）</w:t>
      </w:r>
      <w:r>
        <w:rPr>
          <w:rFonts w:ascii="宋体" w:hAnsi="宋体" w:cs="宋体"/>
          <w:kern w:val="0"/>
          <w:sz w:val="24"/>
          <w:szCs w:val="24"/>
        </w:rPr>
        <w:t>暂停基金估值；</w:t>
      </w:r>
    </w:p>
    <w:p w14:paraId="252CF949"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（6）</w:t>
      </w:r>
      <w:r>
        <w:rPr>
          <w:rFonts w:ascii="宋体" w:hAnsi="宋体" w:cs="宋体"/>
          <w:kern w:val="0"/>
          <w:sz w:val="24"/>
          <w:szCs w:val="24"/>
        </w:rPr>
        <w:t>摆动定价；</w:t>
      </w:r>
    </w:p>
    <w:p w14:paraId="49643F0F"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（7）</w:t>
      </w:r>
      <w:r>
        <w:rPr>
          <w:rFonts w:ascii="宋体" w:hAnsi="宋体" w:cs="宋体"/>
          <w:kern w:val="0"/>
          <w:sz w:val="24"/>
          <w:szCs w:val="24"/>
        </w:rPr>
        <w:t>实施侧袋机制；</w:t>
      </w:r>
    </w:p>
    <w:p w14:paraId="25D3FE9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（8）</w:t>
      </w:r>
      <w:r>
        <w:rPr>
          <w:rFonts w:ascii="宋体" w:hAnsi="宋体" w:cs="宋体"/>
          <w:kern w:val="0"/>
          <w:sz w:val="24"/>
          <w:szCs w:val="24"/>
        </w:rPr>
        <w:t>中国证监会认定的其他措施。</w:t>
      </w:r>
    </w:p>
    <w:p w14:paraId="50DB908B"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四、</w:t>
      </w:r>
      <w:r>
        <w:rPr>
          <w:rFonts w:ascii="宋体" w:hAnsi="宋体" w:cs="宋体"/>
          <w:kern w:val="0"/>
          <w:sz w:val="24"/>
          <w:szCs w:val="24"/>
        </w:rPr>
        <w:t>特有风险</w:t>
      </w:r>
    </w:p>
    <w:p w14:paraId="12451797"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1、本基金可以投资港股通标的股票，投资风险包括：</w:t>
      </w:r>
    </w:p>
    <w:p w14:paraId="7FA6AF5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本基金将通过“港股通”投资于香港市场，在市场环境、市场进入、投资额度、可投资对象、税务政策、市场制度等方面都有一定的限制，而且此类限制可能会不断调整，这些限制因素的变化可能对本基金进入或退出当地市场造成障碍，从而对投资收益以及正常的申购赎回产生直接或间接的影响。</w:t>
      </w:r>
    </w:p>
    <w:p w14:paraId="38A1218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（2）香港市场交易规则有别于内地A股市场规则，此外，在港股通下参与香港股票投资还将面临包括但不限于如下特殊风险：</w:t>
      </w:r>
    </w:p>
    <w:p w14:paraId="1890F7C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①香港市场实行T+0回转交易，且证券交易价格并无涨跌幅上下限的规定，因此每日涨跌幅空间相对较大，港股股价可能表现出比A股更为剧烈的股价波动；</w:t>
      </w:r>
    </w:p>
    <w:p w14:paraId="0C7DD001"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②根据现行的港股通规则，只有内地和香港两地均为交易日方可进行港股通交易，因此存在港股通交易日不连贯的风险（如在内地开市香港休市的情形下，港股通不能正常交易，港股不能及时卖出），可能带来一定的流动性风险；</w:t>
      </w:r>
    </w:p>
    <w:p w14:paraId="51A179D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③香港出现联交所规定的情形时，联交所将可能停市，投资者将面临在停市期间无法进行港股通交易的风险；出现境内证券交易服务公司认定的交易异常情况时，境内证券交易服务公司将可能暂停提供部分或者全部港股通服务，投资者将面临在暂停服务期间无法进行港股通交易的风险；</w:t>
      </w:r>
    </w:p>
    <w:p w14:paraId="3ACD531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④投资者因港股通股票权益分派、转换、上市公司被收购等情形或者异常情</w:t>
      </w:r>
      <w:r>
        <w:rPr>
          <w:rStyle w:val="custom"/>
          <w:rFonts w:ascii="宋体" w:hAnsi="宋体" w:cs="宋体"/>
          <w:kern w:val="0"/>
          <w:sz w:val="24"/>
          <w:szCs w:val="24"/>
        </w:rPr>
        <w:lastRenderedPageBreak/>
        <w:t>况，所取得的港股通股票以外的联交所上市证券，只能通过港股通卖出，但不得买入，证券交易所另有规定的除外；因港股通股票权益分派或者转换等情形取得的联交所上市股票的认购权利在联交所上市的，可以通过港股通卖出，但不得行权；因港股通股票权益分派、转换或者上市公司被收购等所取得的非联交所上市证券，可以享有相关权益，但不得通过港股通买入或卖出；</w:t>
      </w:r>
    </w:p>
    <w:p w14:paraId="71F9E64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⑤代理投票。由于中国结算是在汇总投资者意愿后再向香港结算提交投票意愿，中国结算对投资者设定的意愿征集期比香港结算的征集期稍早结束；投票没有权益登记日的，以投票截止日的持有作为计算基准；投票数量超出持有数量的，按照比例分配持有基数；</w:t>
      </w:r>
    </w:p>
    <w:p w14:paraId="1B045032"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⑥汇率风险。投资港股通标的股票还面临汇率风险，汇率波动可能对基金的投资收益造成影响；</w:t>
      </w:r>
    </w:p>
    <w:p w14:paraId="0F85415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⑦本基金可根据投资策略需要或不同配置地市场环境的变化，选择将部分基金资产投资于港股或选择不将基金资产投资于港股，基金资产并非必然投资港股。</w:t>
      </w:r>
    </w:p>
    <w:p w14:paraId="062882C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（3）港股通额度限制。现行的港股通规则，对港股通设有每日额度上限的限制；本基金可能因为港股通市场每日额度不足，而不能买入看好的投资标的进而错失投资机会的风险。</w:t>
      </w:r>
    </w:p>
    <w:p w14:paraId="5B2D831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2、国债期货投资风险</w:t>
      </w:r>
    </w:p>
    <w:p w14:paraId="7C0A62F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投资国债期货，国债期货的投资可能面临市场风险、基差风险、流动性风险。市场风险是因期货市场价格波动使所持有的期货合约价值发生变化的风险。基差风险是期货市场的特有风险之一，是指由于期货与现货间的价差的波动，影响套期保值或套利效果，使之发生意外损益的风险。流动性风险可分为两类：一类为流通量风险，是指期货合约无法及时以所希望的价格建立或了结头寸的风险，此类风险往往是由市场缺乏广度或深度导致的；另一类为资金量风险，是指资金量无法满足保证金要求，使得所持有的头寸面临被强制平仓的风险。</w:t>
      </w:r>
    </w:p>
    <w:p w14:paraId="3584841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3、股指期货投资风险</w:t>
      </w:r>
    </w:p>
    <w:p w14:paraId="37CD1E4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投资股指期货，股指期货采用保证金交易制度，由于保证金交易具有杠杆性，当出现不利行情时，股价指数微小的变动就可能会使投资人权益遭受较大损失。股指期货采用每日无负债结算制度，如果没有在规定的时间内补足保证金，按规定将被强制平仓，可能给投资带来重大损失。</w:t>
      </w:r>
    </w:p>
    <w:p w14:paraId="530F908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lastRenderedPageBreak/>
        <w:t>4、股票期权投资风险</w:t>
      </w:r>
    </w:p>
    <w:p w14:paraId="1727E20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本基金的投资范围包括股票期权，股票期权的风险主要包括：</w:t>
      </w:r>
    </w:p>
    <w:p w14:paraId="7018259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（1）市场风险</w:t>
      </w:r>
    </w:p>
    <w:p w14:paraId="6966673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期权定价模型较为复杂，其市值将会受到期权合约价格、标的物价格、标的物波动率等多因素影响。若期权标的价格波动导致期权不具行权价值，期权买方将损失付出的所有权利金；期权卖方由于需承担行权履约义务，因合约标的价格波动导致的损失可能远大于其收取的权利金；</w:t>
      </w:r>
    </w:p>
    <w:p w14:paraId="1892C210"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（2）行权风险</w:t>
      </w:r>
    </w:p>
    <w:p w14:paraId="512B96C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对于期权交易的买方，在合约到期时选择行权的，若行权资金（认购期权）或合约标的不足（认沽期权）将可能导致不足部分对应的行权申报失败的风险。对于期权交易的卖方，如果未能在规定期限内准备好足额的资金（认沽期权）或者证券（认购期权），就会构成行权资金交收违约或者行权证券交割违约，需按照交易所规定支付违约金。此外，由于行权日和证券交割后的可交易日的差异而导致行权后持有现货证券等，还将面临证券价格涨跌风险；</w:t>
      </w:r>
    </w:p>
    <w:p w14:paraId="1045697B"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（3）流动性风险</w:t>
      </w:r>
    </w:p>
    <w:p w14:paraId="51EC44D6"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期权业务的流动性风险主要包括流通量风险和无法缴足保证金（现金或现货）的流动性风险；</w:t>
      </w:r>
    </w:p>
    <w:p w14:paraId="7019A593"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（4）时间价值风险</w:t>
      </w:r>
    </w:p>
    <w:p w14:paraId="22F1DE7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期权交易的买方拥有期权的时间价值，时间价值随着期权到期日的临近而不断损耗。上述风险可能增加本基金净值的波动性。</w:t>
      </w:r>
    </w:p>
    <w:p w14:paraId="33EFF14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5、资产支持证券投资风险</w:t>
      </w:r>
    </w:p>
    <w:p w14:paraId="1707917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投资资产支持证券，资产支持证券在国内市场尚处发展初期，具有低流动性、高收益的特征，并存在一定的投资风险。资产支持证券的投资与基金资产密切相关，因此会受到特定原始权益人破产风险及现金流预测风险等的影响；当本基金投资的资产支持证券信用评级发生变化时，本基金将需要面对临时调整持仓的风险；此外当资产支持证券相关的发行人、管理人、托管人等出现违规违约时，本基金将面临无法收取投资收益甚至损失本金的风险。</w:t>
      </w:r>
    </w:p>
    <w:p w14:paraId="1864ABA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6、参与融资交易风险</w:t>
      </w:r>
    </w:p>
    <w:p w14:paraId="6919A6DD"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本基金可参与融资交易，融资交易的风险主要包括流动性风险、信用风险等，</w:t>
      </w:r>
      <w:r>
        <w:rPr>
          <w:rStyle w:val="custom"/>
          <w:rFonts w:ascii="宋体" w:hAnsi="宋体" w:cs="宋体"/>
          <w:kern w:val="0"/>
          <w:sz w:val="24"/>
          <w:szCs w:val="24"/>
        </w:rPr>
        <w:lastRenderedPageBreak/>
        <w:t>这些风险可能会给基金净值带来一定的负面影响和损失。为了更好的防范融资交易所面临的各类风险，基金管理人将遵守审慎经营原则，制定科学合理的投资策略和风险管理制度，有效防范和控制风险，切实维护基金财产的安全和基金份额持有人利益。</w:t>
      </w:r>
    </w:p>
    <w:p w14:paraId="182368E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7、流通受限证券投资风险</w:t>
      </w:r>
    </w:p>
    <w:p w14:paraId="217BCF4B"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投资流通受限证券，按监管机构或行业协会有关规定确定公允价值，本基金的基金净值可能由于估值方法的原因偏离所持有证券的收盘价所对应的净值，因此，投资者在申购赎回时，需考虑估值方法对基金净值的影响。另外，本基金可能由于投资流通受限证券而面临流动性风险以及流通受限期间内证券价格大幅下跌的风险。</w:t>
      </w:r>
    </w:p>
    <w:p w14:paraId="25CC294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8、存托凭证投资风险</w:t>
      </w:r>
    </w:p>
    <w:p w14:paraId="2457F850"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本基金可投资存托凭证，除普通股票投资可能面临的宏观经济风险、政策风险、市场风险、流动性风险外，投资存托凭证可能还会面临以下风险：</w:t>
      </w:r>
    </w:p>
    <w:p w14:paraId="5DDDCA09"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（1）存托凭证持有人与持有基础股票的股东在法律地位享有权利等方面存在差异可能引发的风险</w:t>
      </w:r>
    </w:p>
    <w:p w14:paraId="209CA53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存托凭证系由存托人以境外发行的证券为基础，在中国境内发行的代表境外基础证券权益的证券。存托凭证持有人实际享有的权益与境外基础证券持有人的权益虽然基本相当，但并不能等同于直接持有境外基础证券。存托凭证持有人与境外基础证券发行人股东之间在法律地位、享有权利等方面存在一定的差异。境外基础证券发行人股东为公司的直接股东，可以直接享有股东权利（包括但不限于投票权、分红等收益权等）；存托凭证持有人为间接拥有公司相关权益的证券持有人，其投票权、收益权等仅能根据存托协议的约定，通过存托人享有并间接行使分红、投票等权利。若未来发行人或存托人未能履行存托协议的约定，不对存托凭证持有人进行分红派息或者分红派息金额少于应得金额，或者存托人行使股东表决权时未充分代表存托凭证持有人的共同意见，则存托凭证持有人的利益将受到损害，本基金作为存托凭证持有人可能会面临一定的投资损失。</w:t>
      </w:r>
    </w:p>
    <w:p w14:paraId="347B290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（2）发行人采用协议控制架构的风险</w:t>
      </w:r>
    </w:p>
    <w:p w14:paraId="73E23A59"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境外基础证券发行人如采用协议控制架构，可能由于法律、政策变化带来合规、经营等风险，可能面临对境内实体运营企业重大依赖、协议控制架构下相关</w:t>
      </w:r>
      <w:r>
        <w:rPr>
          <w:rStyle w:val="custom"/>
          <w:rFonts w:ascii="宋体" w:hAnsi="宋体" w:cs="宋体"/>
          <w:kern w:val="0"/>
          <w:sz w:val="24"/>
          <w:szCs w:val="24"/>
        </w:rPr>
        <w:lastRenderedPageBreak/>
        <w:t>主体违约等风险。</w:t>
      </w:r>
    </w:p>
    <w:p w14:paraId="48E560BE"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（3）增发基础证券可能导致的存托凭证持有人权益被摊薄的风险</w:t>
      </w:r>
    </w:p>
    <w:p w14:paraId="22BD2EF8"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存托凭证发行时，其对应的净资产已经固定，但未来若发行人增发基础证券，将会导致存托凭证持有人权益被摊薄。</w:t>
      </w:r>
    </w:p>
    <w:p w14:paraId="4EBFA0AE"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（4）交易机制相关风险</w:t>
      </w:r>
    </w:p>
    <w:p w14:paraId="28842315"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境外基础证券与境内存托凭证由于时差、交易时间、交易制度、停复牌规则、异常交易情形、做空机制等差异，境内存托凭证的交易价格可能受到境外市场影响，从而出现大幅波动。此外，在境内法律及监管政策允许的情况下，发行人现在及将来境外发行的股票或存托凭证可能转移至境内市场上市交易，从而增加境内市场的存托凭证供给数量，可能引起交易价格大幅波动。</w:t>
      </w:r>
    </w:p>
    <w:p w14:paraId="7042975F"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（5）存托凭证退市风险</w:t>
      </w:r>
    </w:p>
    <w:p w14:paraId="45B600F0"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如果发行人不再符合上市条件或者发生其他重大违法行为，可能导致存托凭证面临退市。基金作为存托凭证持有人可能面临存托人无法根据存托协议的约定卖出基础证券、持有的存托凭证无法转到境内其他市场进行公开交易或者转让、存托人无法继续按照存托协议的约定为基金提供相应服务等风险。</w:t>
      </w:r>
    </w:p>
    <w:p w14:paraId="724EC08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（6）其它风险</w:t>
      </w:r>
    </w:p>
    <w:p w14:paraId="523D67AA"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存托凭证存续期间，存托凭证项目内容可能发生重大、实质变化，包括但不限于存托凭证与基础证券转换比例发生调整、红筹公司和存托人可能对存托协议作出修改、更换存托人、更换托管人、存托凭证主动退市等。部分变化可能仅以事先通知的方式，即对投资者生效。本基金作为存托凭证投资者可能无法对此行使表决权。</w:t>
      </w:r>
    </w:p>
    <w:p w14:paraId="18BED694"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存托凭证存续期间，对应的基础证券等财产可能出现被质押、挪用、司法冻结、强制执行等情形，本基金作为存托凭证投资者可能面临失去应有权利的风险。</w:t>
      </w:r>
    </w:p>
    <w:p w14:paraId="6C3A9BDE" w14:textId="77777777" w:rsidR="00496B2C" w:rsidRDefault="005605B9">
      <w:pPr>
        <w:pStyle w:val="div"/>
        <w:spacing w:line="360" w:lineRule="auto"/>
        <w:ind w:firstLine="420"/>
        <w:rPr>
          <w:rStyle w:val="custom"/>
          <w:rFonts w:ascii="宋体" w:hAnsi="宋体" w:cs="宋体"/>
          <w:kern w:val="0"/>
          <w:sz w:val="24"/>
          <w:szCs w:val="24"/>
        </w:rPr>
      </w:pPr>
      <w:r>
        <w:rPr>
          <w:rStyle w:val="custom"/>
          <w:rFonts w:ascii="宋体" w:hAnsi="宋体" w:cs="宋体"/>
          <w:kern w:val="0"/>
          <w:sz w:val="24"/>
          <w:szCs w:val="24"/>
        </w:rPr>
        <w:t>存托人可能向存托凭证持有人收取存托凭证相关费用。</w:t>
      </w:r>
    </w:p>
    <w:p w14:paraId="1F7A8504"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9、</w:t>
      </w:r>
      <w:r>
        <w:rPr>
          <w:rFonts w:ascii="宋体" w:hAnsi="宋体" w:cs="宋体"/>
          <w:kern w:val="0"/>
          <w:sz w:val="24"/>
          <w:szCs w:val="24"/>
        </w:rPr>
        <w:t>启用侧袋机制的风险</w:t>
      </w:r>
    </w:p>
    <w:p w14:paraId="3A4DBD8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本基金启用侧袋机制时，实施侧袋机制期间，侧袋账户份额将停止披露基金净值信息，并不得办理申购、赎回和转换，仅主袋账户份额正常开放赎回，因此启用侧袋机制时持有基金份额的持有人将在启用侧袋机制后同时持有主袋账户份额和侧袋账户份额。因特定资产的变现时间具有不确定性，最终变现价格也</w:t>
      </w:r>
      <w:r>
        <w:rPr>
          <w:rFonts w:ascii="宋体" w:hAnsi="宋体" w:cs="宋体"/>
          <w:kern w:val="0"/>
          <w:sz w:val="24"/>
          <w:szCs w:val="24"/>
        </w:rPr>
        <w:lastRenderedPageBreak/>
        <w:t>具有不确定性并且有可能大幅低于启用侧袋机制时的特定资产的估值，基金份额持有人可能因此面临损失。</w:t>
      </w:r>
    </w:p>
    <w:p w14:paraId="536D8E8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实施侧袋机制期间，因本基金不披露侧袋账户的基金净值信息，即便基金管理人在基金定期报告中披露报告期末特定资产可变现净值或净值区间的，也不作为特定资产最终变现价格的承诺，因此对于特定资产的公允价值和最终变现价格，基金管理人不承担任何保证和承诺的责任。</w:t>
      </w:r>
    </w:p>
    <w:p w14:paraId="2D02D09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基金管理人将根据主袋账户运作情况合理确定申购政策，因此实施侧袋机制后主袋账户份额存在暂停申购的可能。</w:t>
      </w:r>
    </w:p>
    <w:p w14:paraId="600976D0" w14:textId="77777777" w:rsidR="00496B2C" w:rsidRDefault="005605B9">
      <w:pPr>
        <w:pStyle w:val="div"/>
        <w:spacing w:line="360" w:lineRule="auto"/>
        <w:ind w:firstLine="420"/>
        <w:rPr>
          <w:rFonts w:ascii="宋体" w:hAnsi="宋体" w:cs="宋体"/>
          <w:kern w:val="0"/>
          <w:sz w:val="24"/>
          <w:szCs w:val="24"/>
        </w:rPr>
      </w:pPr>
      <w:r>
        <w:rPr>
          <w:rFonts w:ascii="宋体" w:hAnsi="宋体" w:cs="宋体"/>
          <w:kern w:val="0"/>
          <w:sz w:val="24"/>
          <w:szCs w:val="24"/>
        </w:rPr>
        <w:t>启用侧袋机制后，基金管理人计算各项投资运作指标和基金业绩指标时仅需考虑主袋账户资产，并根据相关规定对分割侧袋账户资产导致的基金净资产减少进行按投资损失处理，因此本基金披露的业绩指标不能反映特定资产的真实价值及变化情况。</w:t>
      </w:r>
    </w:p>
    <w:p w14:paraId="662005B7"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10、销售服务费计提与返还机制的相关风险</w:t>
      </w:r>
    </w:p>
    <w:p w14:paraId="75883CDB"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对于投资者通过直销机构认/申购C类基金份额计提的销售服务费、通过其他销售机构认/申购的C类基金份额持续持有期限超过一年（即365天）以后继续计提的销售服务费采取先收后返模式，基金投资者实际收到的赎回款项或清算款项的金额可能与按披露的C类基金份额净值计算的结果存在差异。投资者的实际赎回金额和清算资金以登记机构确认数据为准。</w:t>
      </w:r>
    </w:p>
    <w:p w14:paraId="069395AC"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11、浮动管理费模式相关风险</w:t>
      </w:r>
    </w:p>
    <w:p w14:paraId="66E1A18D"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1）本基金的管理费由固定管理费、或有管理费和超额管理费组成，其中或有管理费和超额管理费取决于基金份额持有人每笔认/申购份额的持有时间和年化收益率与同期业绩比较基准年化收益率的情况，因此投资者在认/申购本基金时无法预先确定该笔基金份额适用的管理费水平。</w:t>
      </w:r>
    </w:p>
    <w:p w14:paraId="78FF95A8"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2）由于本基金在计算各类基金份额净值时，按前一日基金资产净值的1.20%年费率计算管理费，该费率可能高于或低于不同投资者最终适用的管理费率。在基金份额赎回或基金合同终止的情形发生时，基金投资者实际收到的赎回款项或清算款项的金额可能与按披露的该类基金份额净值计算的结果存在差异。投资者的实际赎回金额和清算资金以登记机构确认数据为准。</w:t>
      </w:r>
    </w:p>
    <w:p w14:paraId="001D3C68" w14:textId="77777777" w:rsidR="00496B2C" w:rsidRDefault="005605B9">
      <w:pPr>
        <w:pStyle w:val="div"/>
        <w:spacing w:line="360" w:lineRule="auto"/>
        <w:ind w:firstLine="420"/>
        <w:rPr>
          <w:rFonts w:ascii="宋体" w:hAnsi="宋体" w:cs="宋体"/>
          <w:kern w:val="0"/>
          <w:sz w:val="24"/>
          <w:szCs w:val="24"/>
        </w:rPr>
      </w:pPr>
      <w:r>
        <w:rPr>
          <w:rFonts w:ascii="宋体" w:hAnsi="宋体" w:cs="宋体" w:hint="eastAsia"/>
          <w:kern w:val="0"/>
          <w:sz w:val="24"/>
          <w:szCs w:val="24"/>
        </w:rPr>
        <w:t>（3）本基金采用浮动管理费的收费模式，不代表基金管理人对基金收益的</w:t>
      </w:r>
      <w:r>
        <w:rPr>
          <w:rFonts w:ascii="宋体" w:hAnsi="宋体" w:cs="宋体" w:hint="eastAsia"/>
          <w:kern w:val="0"/>
          <w:sz w:val="24"/>
          <w:szCs w:val="24"/>
        </w:rPr>
        <w:lastRenderedPageBreak/>
        <w:t xml:space="preserve">保证。 </w:t>
      </w:r>
    </w:p>
    <w:p w14:paraId="7CA3045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以上所述因素可能会给本基金投资带来特殊交易风险。</w:t>
      </w:r>
    </w:p>
    <w:p w14:paraId="14E9B3E1"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五、</w:t>
      </w:r>
      <w:r>
        <w:rPr>
          <w:rFonts w:ascii="宋体" w:hAnsi="宋体" w:cs="宋体"/>
          <w:kern w:val="0"/>
          <w:sz w:val="24"/>
          <w:szCs w:val="24"/>
        </w:rPr>
        <w:t>税负增加风险</w:t>
      </w:r>
    </w:p>
    <w:p w14:paraId="64A68AC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财政部、国家税务总局财政[2016]140号《关于明确金融、房地产开发、教育辅助服务等增值税政策的通知》第四条规定：“资管产品运营过程中发生的增值税应税行为，以资管产品管理人为增值税纳税人。”鉴于基金合同中基金管理人的管理费中不包括产品运营过程中发生的税款，本基金运营过程中需要缴纳增值税应税的，将由基金份额持有人承担并从基金资产中支付，按照税务机关的规定以基金管理人为增值税纳税人履行纳税义务，因此可能增加基金份额持有人的投资税费成本。</w:t>
      </w:r>
    </w:p>
    <w:p w14:paraId="64274F3B"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六、</w:t>
      </w:r>
      <w:r>
        <w:rPr>
          <w:rFonts w:ascii="宋体" w:hAnsi="宋体" w:cs="宋体"/>
          <w:kern w:val="0"/>
          <w:sz w:val="24"/>
          <w:szCs w:val="24"/>
        </w:rPr>
        <w:t>操作或技术风险</w:t>
      </w:r>
    </w:p>
    <w:p w14:paraId="5317813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相关当事人在业务各环节操作过程中，因内部控制存在缺陷或者人为因素造成操作失误或违反操作规程等引致的风险，例如，越权违规交易、会计部门欺诈、交易错误、IT系统故障等风险。</w:t>
      </w:r>
    </w:p>
    <w:p w14:paraId="47C4312E" w14:textId="77777777" w:rsidR="00496B2C" w:rsidRDefault="005605B9">
      <w:pPr>
        <w:pStyle w:val="div"/>
        <w:spacing w:line="360" w:lineRule="auto"/>
        <w:ind w:firstLine="420"/>
        <w:rPr>
          <w:rFonts w:eastAsia="Times New Roman"/>
          <w:kern w:val="0"/>
          <w:sz w:val="24"/>
          <w:szCs w:val="24"/>
        </w:rPr>
      </w:pPr>
      <w:r>
        <w:rPr>
          <w:rStyle w:val="custom"/>
          <w:rFonts w:ascii="宋体" w:hAnsi="宋体" w:cs="宋体"/>
          <w:kern w:val="0"/>
          <w:sz w:val="24"/>
          <w:szCs w:val="24"/>
        </w:rPr>
        <w:t>在开放式基金的各种交易行为或者后台运作中，可能因为技术系统的故障或者差错而影响交易的正常进行或者导致基金份额持有人的利益受到影响。这种技术风险可能来自基金管理人、登记机构、销售机构、证券、期货交易所、证券登记结算机构等等。</w:t>
      </w:r>
    </w:p>
    <w:p w14:paraId="4C9F9FA1"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七、</w:t>
      </w:r>
      <w:r>
        <w:rPr>
          <w:rFonts w:ascii="宋体" w:hAnsi="宋体" w:cs="宋体"/>
          <w:kern w:val="0"/>
          <w:sz w:val="24"/>
          <w:szCs w:val="24"/>
        </w:rPr>
        <w:t>合规性风险</w:t>
      </w:r>
    </w:p>
    <w:p w14:paraId="22BBCF3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指基金管理或运作过程中，违反国家法律法规的规定，或者基金投资违反法规及基金合同有关规定的风险。</w:t>
      </w:r>
    </w:p>
    <w:p w14:paraId="1A0A1248"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八、</w:t>
      </w:r>
      <w:r>
        <w:rPr>
          <w:rFonts w:ascii="宋体" w:hAnsi="宋体" w:cs="宋体"/>
          <w:kern w:val="0"/>
          <w:sz w:val="24"/>
          <w:szCs w:val="24"/>
        </w:rPr>
        <w:t>本基金法律文件风险收益特征表述与销售机构基金风险评价可能不一致的风险</w:t>
      </w:r>
    </w:p>
    <w:p w14:paraId="0F6C13B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法律文件投资章节有关风险收益特征的表述是基于投资范围、投资比例、证券市场普遍规律等做出的概述性描述，代表了一般市场情况下本基金的长期风险收益特征。销售机构(包括基金管理人直销机构和其他销售机构)根据相关法律法规对本基金进行风险评价，不同的销售机构采用的评价方法也不尽相同，因此销售机构的风险等级评价与基金法律文件中风险收益特征的表述可能存在不同，投资人在购买本基金时需按照销售机构的要求完成风险承受能力与产品风</w:t>
      </w:r>
      <w:r>
        <w:rPr>
          <w:rFonts w:ascii="宋体" w:hAnsi="宋体" w:cs="宋体"/>
          <w:kern w:val="0"/>
          <w:sz w:val="24"/>
          <w:szCs w:val="24"/>
        </w:rPr>
        <w:lastRenderedPageBreak/>
        <w:t>险之间的匹配检验。</w:t>
      </w:r>
    </w:p>
    <w:p w14:paraId="403C6EB4"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九、</w:t>
      </w:r>
      <w:r>
        <w:rPr>
          <w:rFonts w:ascii="宋体" w:hAnsi="宋体" w:cs="宋体"/>
          <w:kern w:val="0"/>
          <w:sz w:val="24"/>
          <w:szCs w:val="24"/>
        </w:rPr>
        <w:t>其他风险</w:t>
      </w:r>
    </w:p>
    <w:p w14:paraId="696FBD77"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战争、自然灾害等不可抗力因素的出现，将会严重影响证券市场的运行，可能导致基金资产的损失。</w:t>
      </w:r>
    </w:p>
    <w:p w14:paraId="7EC46268"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金融市场危机、行业竞争、代理商违约、基金托管人违约等超出基金管理人自身直接控制能力之外的风险，也可能导致基金或者基金份额持有人利益受损。</w:t>
      </w:r>
    </w:p>
    <w:p w14:paraId="4F002A5D"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十、</w:t>
      </w:r>
      <w:r>
        <w:rPr>
          <w:rFonts w:ascii="宋体" w:hAnsi="宋体" w:cs="宋体"/>
          <w:kern w:val="0"/>
          <w:sz w:val="24"/>
          <w:szCs w:val="24"/>
        </w:rPr>
        <w:t>声明</w:t>
      </w:r>
    </w:p>
    <w:p w14:paraId="546611EB"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1、</w:t>
      </w:r>
      <w:r>
        <w:rPr>
          <w:rFonts w:ascii="宋体" w:hAnsi="宋体" w:cs="宋体"/>
          <w:kern w:val="0"/>
          <w:sz w:val="24"/>
          <w:szCs w:val="24"/>
        </w:rPr>
        <w:t>本基金未经任何一级政府、机构及部门担保。投资者自愿投资于本基金，须自行承担投资风险。</w:t>
      </w:r>
    </w:p>
    <w:p w14:paraId="6ACA3FEE" w14:textId="77777777" w:rsidR="00496B2C" w:rsidRDefault="005605B9">
      <w:pPr>
        <w:pStyle w:val="div"/>
        <w:spacing w:line="360" w:lineRule="auto"/>
        <w:ind w:firstLine="420"/>
        <w:jc w:val="left"/>
        <w:rPr>
          <w:rFonts w:eastAsia="Times New Roman"/>
          <w:kern w:val="0"/>
          <w:sz w:val="24"/>
          <w:szCs w:val="24"/>
        </w:rPr>
      </w:pPr>
      <w:r>
        <w:rPr>
          <w:rStyle w:val="custom"/>
          <w:rFonts w:ascii="宋体" w:hAnsi="宋体" w:cs="宋体"/>
          <w:kern w:val="0"/>
          <w:sz w:val="24"/>
          <w:szCs w:val="24"/>
        </w:rPr>
        <w:t>2、</w:t>
      </w:r>
      <w:r>
        <w:rPr>
          <w:rFonts w:ascii="宋体" w:hAnsi="宋体" w:cs="宋体"/>
          <w:kern w:val="0"/>
          <w:sz w:val="24"/>
          <w:szCs w:val="24"/>
        </w:rPr>
        <w:t>除基金管理人直接办理本基金的销售外，本基金还可通过其他销售机构销售，但是，基金并不是销售机构的存款或负债，也没有经销售机构担保或者背书，销售机构并不能保证其收益或本金安全。</w:t>
      </w:r>
      <w:r>
        <w:rPr>
          <w:rFonts w:ascii="宋体" w:hAnsi="宋体" w:cs="宋体"/>
          <w:kern w:val="0"/>
          <w:sz w:val="24"/>
          <w:szCs w:val="24"/>
        </w:rPr>
        <w:br w:type="page"/>
      </w:r>
    </w:p>
    <w:p w14:paraId="6C038C50" w14:textId="77777777" w:rsidR="00496B2C" w:rsidRDefault="005605B9">
      <w:pPr>
        <w:pStyle w:val="1"/>
        <w:spacing w:before="0" w:after="0"/>
        <w:jc w:val="center"/>
        <w:rPr>
          <w:rFonts w:ascii="Times New Roman"/>
          <w:color w:val="auto"/>
          <w:sz w:val="30"/>
        </w:rPr>
      </w:pPr>
      <w:bookmarkStart w:id="57" w:name="_Toc256000016"/>
      <w:r>
        <w:rPr>
          <w:rFonts w:ascii="Times New Roman"/>
          <w:color w:val="auto"/>
          <w:sz w:val="30"/>
        </w:rPr>
        <w:lastRenderedPageBreak/>
        <w:t>第十七部分</w:t>
      </w:r>
      <w:r>
        <w:rPr>
          <w:rFonts w:ascii="Times New Roman"/>
          <w:color w:val="auto"/>
          <w:sz w:val="30"/>
        </w:rPr>
        <w:t xml:space="preserve">  </w:t>
      </w:r>
      <w:r>
        <w:rPr>
          <w:rFonts w:ascii="Times New Roman"/>
          <w:color w:val="auto"/>
          <w:sz w:val="30"/>
        </w:rPr>
        <w:t>侧袋机制</w:t>
      </w:r>
      <w:bookmarkEnd w:id="57"/>
    </w:p>
    <w:p w14:paraId="5F2AC6D5" w14:textId="77777777" w:rsidR="00496B2C" w:rsidRDefault="00496B2C"/>
    <w:p w14:paraId="071AB74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一、侧袋机制的实施条件、实施程序</w:t>
      </w:r>
    </w:p>
    <w:p w14:paraId="26F5760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基金管理人应当在启用侧袋机制当日报中国证监会及公司所在地中国证监会派出机构备案。</w:t>
      </w:r>
    </w:p>
    <w:p w14:paraId="31BDF1F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启用侧袋机制当日，基金管理人应以基金份额持有人的原有账户份额为基础，确认相应侧袋账户基金份额持有人名册和份额。当日收到的申购申请，按照启用侧袋机制后的主袋账户份额办理；当日收到的赎回申请，仅办理主袋账户的赎回申请并支付赎回款项。</w:t>
      </w:r>
    </w:p>
    <w:p w14:paraId="5EF766A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二、侧袋机制实施期间的基金运作安排</w:t>
      </w:r>
    </w:p>
    <w:p w14:paraId="5429955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（一）基金份额的申购与赎回</w:t>
      </w:r>
    </w:p>
    <w:p w14:paraId="5A531CC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1、侧袋账户</w:t>
      </w:r>
    </w:p>
    <w:p w14:paraId="4184910E"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侧袋机制实施期间，基金管理人不办理侧袋账户的申购、赎回和转换。基金份额持有人申请申购、赎回或转换侧袋账户基金份额的，该申购、赎回或转换申请将被拒绝。</w:t>
      </w:r>
    </w:p>
    <w:p w14:paraId="15BDA2D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2、主袋账户</w:t>
      </w:r>
    </w:p>
    <w:p w14:paraId="271D33B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基金管理人将依法保障主袋账户份额持有人享有基金合同约定的赎回权利，并根据主袋账户运作情况合理确定申购事项，具体事项届时将由基金管理人在相关公告中规定。</w:t>
      </w:r>
    </w:p>
    <w:p w14:paraId="265638B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本招募说明书“基金份额的申购与赎回”部分的申购、赎回规定适用于主袋账户份额。巨额赎回按照单个开放日内主袋账户份额净赎回申请超过前一开放日主袋账户总份额的10%认定。</w:t>
      </w:r>
    </w:p>
    <w:p w14:paraId="54C9BB2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（二）基金的投资</w:t>
      </w:r>
    </w:p>
    <w:p w14:paraId="5A1D099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招募说明书“基金的投资”部分约定的投资组合比例、投资策略、组合限制、业绩比较基准、风险收益特征等约定仅适用于主袋账户；且本基金的各项投资运作指标和基金业绩指标应当以主袋账户资产为基准。</w:t>
      </w:r>
    </w:p>
    <w:p w14:paraId="270540C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基金管理人原则上应当在侧袋机制启用后20个交易日内完成对主袋账户投资组合的调整，但因资产流动性受限等中国证监会规定的情形除外。</w:t>
      </w:r>
    </w:p>
    <w:p w14:paraId="0F927C6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基金管理人不得在侧袋账户中进行除特定资产处置变现以外的其他投资操作。</w:t>
      </w:r>
    </w:p>
    <w:p w14:paraId="01BBC6D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（三）基金的费用</w:t>
      </w:r>
    </w:p>
    <w:p w14:paraId="1BC8529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侧袋机制实施期间，侧袋账户资产不收取管理费</w:t>
      </w:r>
      <w:r>
        <w:rPr>
          <w:rFonts w:ascii="宋体" w:hAnsi="宋体" w:cs="宋体" w:hint="eastAsia"/>
          <w:kern w:val="0"/>
          <w:sz w:val="24"/>
          <w:szCs w:val="24"/>
        </w:rPr>
        <w:t>（包括固定管理费、或有管理费和超额管理费）</w:t>
      </w:r>
      <w:r>
        <w:rPr>
          <w:rFonts w:ascii="宋体" w:hAnsi="宋体" w:cs="宋体"/>
          <w:kern w:val="0"/>
          <w:sz w:val="24"/>
          <w:szCs w:val="24"/>
        </w:rPr>
        <w:t>。</w:t>
      </w:r>
    </w:p>
    <w:p w14:paraId="6F1549F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基金管理人可以将与侧袋账户有关的费用从侧袋账户资产中列支，但应待特定资产变现后方可列支。</w:t>
      </w:r>
    </w:p>
    <w:p w14:paraId="1EC2804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主袋账户的管理费和托管费等费用仍按主袋账户基金资产净值作为基数计提。</w:t>
      </w:r>
    </w:p>
    <w:p w14:paraId="26C0535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（四）基金的收益分配</w:t>
      </w:r>
    </w:p>
    <w:p w14:paraId="3B4A6D9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侧袋机制实施期间，在主袋账户份额满足基金合同收益分配条件的情形下，基金管理人可对主袋账户份额进行收益分配。侧袋账户不进行收益分配。</w:t>
      </w:r>
    </w:p>
    <w:p w14:paraId="315A7DF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（五）基金的信息披露</w:t>
      </w:r>
    </w:p>
    <w:p w14:paraId="77A027B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1、基金净值信息</w:t>
      </w:r>
    </w:p>
    <w:p w14:paraId="5620FC1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应按照招募说明书“基金的信息披露”部分规定的基金净值信息披露方式和频率披露主袋账户份额的基金净值信息。侧袋机制实施期间，基金管理人应当暂停披露侧袋账户的基金份额净值和基金份额累计净值。</w:t>
      </w:r>
    </w:p>
    <w:p w14:paraId="4A73B906"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2、定期报告</w:t>
      </w:r>
    </w:p>
    <w:p w14:paraId="548DFDA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应当在基金定期报告中披露报告期内特定资产处置进展情况，披露报告期末特定资产可变现净值或净值区间的，该净值或净值区间并不代表特定资产最终的变现价格，不作为基金管理人对特定资产最终变现价格的承诺。</w:t>
      </w:r>
    </w:p>
    <w:p w14:paraId="6648239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侧袋机制实施期间，基金定期报告中的基金会计报表仅需针对主袋账户进行编制。会计师事务所对基金年度报告进行审计时，应对报告期内基金侧袋机制运行相关的会计核算和年度报告披露等发表审计意见。</w:t>
      </w:r>
    </w:p>
    <w:p w14:paraId="788B303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3、临时报告</w:t>
      </w:r>
    </w:p>
    <w:p w14:paraId="0EC5F40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基金管理人在启用侧袋机制、处置特定资产、终止侧袋机制以及发生其他可能对投资者利益产生重大影响的事项后应及时发布临时公告。</w:t>
      </w:r>
    </w:p>
    <w:p w14:paraId="5B2F1A4A"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启用侧袋机制的临时公告内容应当包括启用原因及程序、特定资产流动性和估值情况、对投资者申购赎回的影响、风险提示等重要信息。</w:t>
      </w:r>
    </w:p>
    <w:p w14:paraId="391064B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处置特定资产的临时公告内容应当包括特定资产处置价格和时间、向侧袋账户份额持有人支付的款项、相关费用发生情况等重要信息。</w:t>
      </w:r>
    </w:p>
    <w:p w14:paraId="44F5C16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（六）特定资产处置清算</w:t>
      </w:r>
    </w:p>
    <w:p w14:paraId="2308D02D"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特定资产以可出售、可转让、恢复交易等方式恢复流动性后，基金管理人将按照基金份额持有人利益最大化原则，采取将特定资产予以处置变现等方式，及时向侧袋账户份额持有人支付的款项。</w:t>
      </w:r>
    </w:p>
    <w:p w14:paraId="242726B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（七）侧袋的审计</w:t>
      </w:r>
    </w:p>
    <w:p w14:paraId="0D040DB3"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基金管理人应当在启用侧袋机制和终止侧袋机制后，及时聘请符合《中华人民共和国证券法》规定的会计师事务所进行审计并披露专项审计意见。</w:t>
      </w:r>
    </w:p>
    <w:p w14:paraId="6F8E44B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三、本部分关于侧袋机制的相关规定，凡是直接引用法律法规或监管规则的部分，如将来法律法规或监管规则修改导致相关内容被取消或变更的，或将来法律法规或监管规则针对侧袋机制的内容有进一步规定的，基金管理人经与基金托管人协商一致并履行适当程序后，可直接对本部分内容进行修改和调整，无需召开基金份额持有人大会审议。</w:t>
      </w:r>
      <w:r>
        <w:rPr>
          <w:rFonts w:ascii="宋体" w:hAnsi="宋体" w:cs="宋体"/>
          <w:kern w:val="0"/>
          <w:sz w:val="24"/>
          <w:szCs w:val="24"/>
        </w:rPr>
        <w:br w:type="page"/>
      </w:r>
    </w:p>
    <w:p w14:paraId="3FF0407C" w14:textId="77777777" w:rsidR="00496B2C" w:rsidRDefault="005605B9">
      <w:pPr>
        <w:pStyle w:val="1"/>
        <w:spacing w:before="0" w:after="0"/>
        <w:jc w:val="center"/>
        <w:rPr>
          <w:rFonts w:ascii="Times New Roman"/>
          <w:color w:val="auto"/>
          <w:sz w:val="30"/>
        </w:rPr>
      </w:pPr>
      <w:bookmarkStart w:id="58" w:name="_Toc256000017"/>
      <w:r>
        <w:rPr>
          <w:rFonts w:ascii="Times New Roman"/>
          <w:color w:val="auto"/>
          <w:sz w:val="30"/>
        </w:rPr>
        <w:lastRenderedPageBreak/>
        <w:t>第十八部分</w:t>
      </w:r>
      <w:r>
        <w:rPr>
          <w:rFonts w:ascii="Times New Roman"/>
          <w:color w:val="auto"/>
          <w:sz w:val="30"/>
        </w:rPr>
        <w:t xml:space="preserve">  </w:t>
      </w:r>
      <w:r>
        <w:rPr>
          <w:rFonts w:ascii="Times New Roman"/>
          <w:color w:val="auto"/>
          <w:sz w:val="30"/>
        </w:rPr>
        <w:t>基金合同的变更、终止与基金财产的清算</w:t>
      </w:r>
      <w:bookmarkEnd w:id="58"/>
    </w:p>
    <w:p w14:paraId="7EE69A80" w14:textId="77777777" w:rsidR="00496B2C" w:rsidRDefault="00496B2C"/>
    <w:p w14:paraId="6FC22F5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一、《基金合同》的变更</w:t>
      </w:r>
    </w:p>
    <w:p w14:paraId="079DF1F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变更基金合同涉及法律法规规定或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515986B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2、关于《基金合同》变更的基金份额持有人大会决议自生效后方可执行，自决议生效后两日内在规定媒介公告。</w:t>
      </w:r>
    </w:p>
    <w:p w14:paraId="72914A4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二、《基金合同》的终止事由</w:t>
      </w:r>
    </w:p>
    <w:p w14:paraId="4ADC84E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有下列情形之一的，经履行相关程序后，《基金合同》应当终止：</w:t>
      </w:r>
    </w:p>
    <w:p w14:paraId="08E3616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1、基金份额持有人大会决定终止的；</w:t>
      </w:r>
    </w:p>
    <w:p w14:paraId="161D150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2、基金管理人、基金托管人职责终止，在6个月内没有新基金管理人、新基金托管人承接的；</w:t>
      </w:r>
    </w:p>
    <w:p w14:paraId="74BB4D4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3、《基金合同》约定的其他情形；</w:t>
      </w:r>
    </w:p>
    <w:p w14:paraId="5090AA6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4、相关法律法规和中国证监会规定的其他情况。</w:t>
      </w:r>
    </w:p>
    <w:p w14:paraId="58E63D4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三、基金财产的清算</w:t>
      </w:r>
    </w:p>
    <w:p w14:paraId="13CADE4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1、基金财产清算小组：自出现《基金合同》终止事由之日起30个工作日内成立清算小组，基金管理人组织基金财产清算小组并在中国证监会的监督下进行基金清算。</w:t>
      </w:r>
    </w:p>
    <w:p w14:paraId="68BD6CA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45FE4B5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3、基金财产清算小组职责：基金财产清算小组负责基金财产的保管、清理、估价、变现和分配。基金财产清算小组可以依法进行必要的民事活动。</w:t>
      </w:r>
    </w:p>
    <w:p w14:paraId="479D081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4、基金财产清算程序：</w:t>
      </w:r>
    </w:p>
    <w:p w14:paraId="6E4B6E9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（1）《基金合同》终止情形出现时，由基金财产清算小组统一接管基金；</w:t>
      </w:r>
    </w:p>
    <w:p w14:paraId="5EDF28D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（2）对基金财产和债权债务进行清理和确认；</w:t>
      </w:r>
    </w:p>
    <w:p w14:paraId="322FB08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（3）对基金财产进行估值和变现；</w:t>
      </w:r>
    </w:p>
    <w:p w14:paraId="6A9409C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（4）制作清算报告；</w:t>
      </w:r>
    </w:p>
    <w:p w14:paraId="4C46FB5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（5）聘请符合《中华人民共和国证券法》规定的会计师事务所对清算报告进行外部审计，聘请律师事务所对清算报告出具法律意见书；</w:t>
      </w:r>
    </w:p>
    <w:p w14:paraId="5A261F3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（6）将清算报告报中国证监会备案并公告；</w:t>
      </w:r>
    </w:p>
    <w:p w14:paraId="0388413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（7）对基金剩余财产进行分配。</w:t>
      </w:r>
    </w:p>
    <w:p w14:paraId="1D39E83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5、基金财产清算的期限为6个月，但因本基金所持证券的流动性受到限制而不能及时变现的，清算期限相应顺延。</w:t>
      </w:r>
    </w:p>
    <w:p w14:paraId="518D6F2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四、清算费用</w:t>
      </w:r>
    </w:p>
    <w:p w14:paraId="39EDEC5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779139F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五、基金财产清算剩余资产的分配</w:t>
      </w:r>
    </w:p>
    <w:p w14:paraId="1968DF6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kern w:val="0"/>
          <w:sz w:val="24"/>
          <w:szCs w:val="24"/>
        </w:rPr>
        <w:t>，并扣除相应的超额管理费（如有）</w:t>
      </w:r>
      <w:r>
        <w:rPr>
          <w:rFonts w:ascii="宋体" w:hAnsi="宋体" w:cs="宋体"/>
          <w:kern w:val="0"/>
          <w:sz w:val="24"/>
          <w:szCs w:val="24"/>
        </w:rPr>
        <w:t>。</w:t>
      </w:r>
    </w:p>
    <w:p w14:paraId="674FD1ED" w14:textId="77777777" w:rsidR="00496B2C" w:rsidRDefault="005605B9">
      <w:pPr>
        <w:pStyle w:val="div"/>
        <w:spacing w:line="360" w:lineRule="auto"/>
        <w:ind w:firstLine="480"/>
        <w:rPr>
          <w:rFonts w:ascii="宋体" w:hAnsi="宋体" w:cs="宋体"/>
          <w:kern w:val="0"/>
          <w:sz w:val="24"/>
          <w:szCs w:val="24"/>
        </w:rPr>
      </w:pP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基金合同终止时随清算款一并返还给投资者。</w:t>
      </w:r>
    </w:p>
    <w:p w14:paraId="7C356AE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六、基金财产清算的公告</w:t>
      </w:r>
    </w:p>
    <w:p w14:paraId="285413A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3C8232B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七、基金财产清算账册及文件的保存</w:t>
      </w:r>
    </w:p>
    <w:p w14:paraId="69DFD8B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基金财产清算账册及有关文件由基金托管人保存，保存期限不少于法定最低期限。</w:t>
      </w:r>
      <w:r>
        <w:rPr>
          <w:rFonts w:ascii="宋体" w:hAnsi="宋体" w:cs="宋体"/>
          <w:kern w:val="0"/>
          <w:sz w:val="24"/>
          <w:szCs w:val="24"/>
        </w:rPr>
        <w:br w:type="page"/>
      </w:r>
    </w:p>
    <w:p w14:paraId="4B8AB116" w14:textId="77777777" w:rsidR="00496B2C" w:rsidRDefault="005605B9">
      <w:pPr>
        <w:pStyle w:val="1"/>
        <w:spacing w:before="0" w:after="0"/>
        <w:jc w:val="center"/>
        <w:rPr>
          <w:rFonts w:ascii="Times New Roman"/>
          <w:color w:val="auto"/>
          <w:sz w:val="30"/>
        </w:rPr>
      </w:pPr>
      <w:bookmarkStart w:id="59" w:name="_Toc256000018"/>
      <w:r>
        <w:rPr>
          <w:rFonts w:ascii="Times New Roman"/>
          <w:color w:val="auto"/>
          <w:sz w:val="30"/>
        </w:rPr>
        <w:lastRenderedPageBreak/>
        <w:t>第十九部分</w:t>
      </w:r>
      <w:r>
        <w:rPr>
          <w:rFonts w:ascii="Times New Roman"/>
          <w:color w:val="auto"/>
          <w:sz w:val="30"/>
        </w:rPr>
        <w:t xml:space="preserve">  </w:t>
      </w:r>
      <w:r>
        <w:rPr>
          <w:rFonts w:ascii="Times New Roman"/>
          <w:color w:val="auto"/>
          <w:sz w:val="30"/>
        </w:rPr>
        <w:t>基金合同的内容摘要</w:t>
      </w:r>
      <w:bookmarkEnd w:id="59"/>
    </w:p>
    <w:p w14:paraId="22B87E72" w14:textId="77777777" w:rsidR="00496B2C" w:rsidRDefault="00496B2C"/>
    <w:p w14:paraId="1AD7B302" w14:textId="77777777" w:rsidR="00496B2C" w:rsidRDefault="005605B9">
      <w:pPr>
        <w:pStyle w:val="2"/>
        <w:keepNext w:val="0"/>
        <w:keepLines w:val="0"/>
        <w:spacing w:before="0" w:after="0" w:line="360" w:lineRule="auto"/>
        <w:ind w:firstLine="420"/>
        <w:jc w:val="left"/>
        <w:rPr>
          <w:rFonts w:ascii="Times New Roman" w:eastAsia="Times New Roman" w:hAnsi="Times New Roman"/>
          <w:bCs/>
          <w:kern w:val="0"/>
          <w:sz w:val="24"/>
          <w:szCs w:val="24"/>
        </w:rPr>
      </w:pPr>
      <w:r>
        <w:rPr>
          <w:rFonts w:ascii="宋体" w:eastAsia="宋体" w:hAnsi="宋体" w:cs="宋体"/>
          <w:bCs/>
          <w:kern w:val="0"/>
          <w:sz w:val="24"/>
          <w:szCs w:val="24"/>
        </w:rPr>
        <w:t>一、基金合同当事人的权利、义务</w:t>
      </w:r>
    </w:p>
    <w:p w14:paraId="5FFB142A"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（一）基金管理人的权利与义务</w:t>
      </w:r>
    </w:p>
    <w:p w14:paraId="3E41713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1、根据《基金法》、《运作办法》及其他有关规定，基金管理人的权利包括但不限于：</w:t>
      </w:r>
    </w:p>
    <w:p w14:paraId="6FA027C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（1）依法募集资金；</w:t>
      </w:r>
    </w:p>
    <w:p w14:paraId="6E2332B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（2）自《基金合同》生效之日起，根据法律法规和《基金合同》独立运用并管理基金财产；</w:t>
      </w:r>
    </w:p>
    <w:p w14:paraId="575CA71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（3）依照《基金合同》收取基金管理费</w:t>
      </w:r>
      <w:r>
        <w:rPr>
          <w:rFonts w:ascii="宋体" w:hAnsi="宋体" w:cs="宋体" w:hint="eastAsia"/>
          <w:kern w:val="0"/>
          <w:sz w:val="24"/>
          <w:szCs w:val="24"/>
        </w:rPr>
        <w:t>（包括固定管理费、或有管理费和超额管理费）</w:t>
      </w:r>
      <w:r>
        <w:rPr>
          <w:rFonts w:ascii="宋体" w:hAnsi="宋体" w:cs="宋体"/>
          <w:kern w:val="0"/>
          <w:sz w:val="24"/>
          <w:szCs w:val="24"/>
        </w:rPr>
        <w:t>以及法律法规规定或中国证监会批准的其他费用；</w:t>
      </w:r>
    </w:p>
    <w:p w14:paraId="1881E6E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（4）销售基金份额；</w:t>
      </w:r>
    </w:p>
    <w:p w14:paraId="4A8420C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（5）按照规定召集基金份额持有人大会；</w:t>
      </w:r>
    </w:p>
    <w:p w14:paraId="49EB667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（6）依据《基金合同》及有关法律规定监督基金托管人，如认为基金托管人违反了《基金合同》及国家有关法律规定，应呈报中国证监会和其他监管部门，并采取必要措施保护基金投资者的利益；</w:t>
      </w:r>
    </w:p>
    <w:p w14:paraId="66C69EB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（7）在基金托管人更换时，提名新的基金托管人；</w:t>
      </w:r>
    </w:p>
    <w:p w14:paraId="6CC4019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（8）选择、更换基金销售机构，对基金销售机构的相关行为进行监督和处理；</w:t>
      </w:r>
    </w:p>
    <w:p w14:paraId="367DC44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（9）担任或委托其他符合条件的机构担任基金登记机构办理基金登记业务并获得《基金合同》规定的费用；</w:t>
      </w:r>
    </w:p>
    <w:p w14:paraId="11E01AD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（10）依据《基金合同》及有关法律规定决定基金收益的分配方案；</w:t>
      </w:r>
    </w:p>
    <w:p w14:paraId="5D722FF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（11）在《基金合同》约定的范围内，拒绝或暂停受理申购与赎回申请；</w:t>
      </w:r>
    </w:p>
    <w:p w14:paraId="00A65D9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（12）依照法律法规为基金的利益对被投资公司行使股东权利，为基金的利益行使因基金财产投资于证券所产生的权利；</w:t>
      </w:r>
    </w:p>
    <w:p w14:paraId="0960207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（13）在法律法规允许的前提下，为基金的利益依法为基金进行融资；</w:t>
      </w:r>
    </w:p>
    <w:p w14:paraId="47C9AC0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（14）以基金管理人的名义，代表基金份额持有人的利益行使诉讼权利或者实施其他法律行为；</w:t>
      </w:r>
    </w:p>
    <w:p w14:paraId="1ED95C2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（15）选择、更换律师事务所、会计师事务所、证券经纪商、期货经纪机构</w:t>
      </w:r>
      <w:r>
        <w:rPr>
          <w:rFonts w:ascii="宋体" w:hAnsi="宋体" w:cs="宋体"/>
          <w:kern w:val="0"/>
          <w:sz w:val="24"/>
          <w:szCs w:val="24"/>
        </w:rPr>
        <w:lastRenderedPageBreak/>
        <w:t>或其他为基金提供服务的外部机构；</w:t>
      </w:r>
    </w:p>
    <w:p w14:paraId="13B016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（16）在符合有关法律、法规的前提下，制订和调整有关基金认购、申购、赎回、转换、定期定额投资、转托管和非交易过户等业务规则；</w:t>
      </w:r>
    </w:p>
    <w:p w14:paraId="654A2C0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（17）在法律法规和基金合同规定的范围内决定调整基金费率结构和收费方式；</w:t>
      </w:r>
    </w:p>
    <w:p w14:paraId="698759A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（18）法律法规及中国证监会规定的和《基金合同》约定的其他权利。</w:t>
      </w:r>
    </w:p>
    <w:p w14:paraId="0886A74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2、根据《基金法》、《运作办法》及其他有关规定，基金管理人的义务包括但不限于：</w:t>
      </w:r>
    </w:p>
    <w:p w14:paraId="30CCC35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（1）依法募集资金，办理或者委托经中国证监会认定的其他机构代为办理基金份额的发售、申购、赎回和登记事宜；</w:t>
      </w:r>
    </w:p>
    <w:p w14:paraId="3A6F757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（2）办理基金备案手续；</w:t>
      </w:r>
    </w:p>
    <w:p w14:paraId="60FA364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（3）自《基金合同》生效之日起，以诚实信用、谨慎勤勉的原则管理和运用基金财产；</w:t>
      </w:r>
    </w:p>
    <w:p w14:paraId="7A01897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（4）配备足够的具有专业资格的人员进行基金投资分析、决策，以专业化的经营方式管理和运作基金财产；</w:t>
      </w:r>
    </w:p>
    <w:p w14:paraId="2803E9E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（5）建立健全内部风险控制、监察与稽核、财务管理及人事管理等制度，保证所管理的基金财产和基金管理人的财产相互独立，对所管理的不同基金分别管理，分别记账，进行证券投资；</w:t>
      </w:r>
    </w:p>
    <w:p w14:paraId="39323CC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（6）除依据《基金法》、《基金合同》及其他有关规定外，不得利用基金财产为自己及任何第三人谋取利益，不得委托第三人运作基金财产；</w:t>
      </w:r>
    </w:p>
    <w:p w14:paraId="57529F0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（7）依法接受基金托管人的监督；</w:t>
      </w:r>
    </w:p>
    <w:p w14:paraId="17AB5EE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（8）采取适当合理的措施使计算基金份额认购、申购、赎回和注销价格的方法符合《基金合同》等法律文件的规定，按有关规定计算并公告基金净值信息，确定基金份额申购、赎回的价格；</w:t>
      </w:r>
    </w:p>
    <w:p w14:paraId="2464A6D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（9）进行基金会计核算并编制基金财务会计报告；</w:t>
      </w:r>
    </w:p>
    <w:p w14:paraId="4460BD8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（10）编制季度报告、中期报告和年度报告；</w:t>
      </w:r>
    </w:p>
    <w:p w14:paraId="4E52B0F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（11）严格按照《基金法》、《基金合同》及其他有关规定，履行信息披露及报告义务；</w:t>
      </w:r>
    </w:p>
    <w:p w14:paraId="555BC8E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（12）保守基金商业秘密，不泄露基金投资计划、投资意向等。除《基金法》、</w:t>
      </w:r>
      <w:r>
        <w:rPr>
          <w:rFonts w:ascii="宋体" w:hAnsi="宋体" w:cs="宋体"/>
          <w:kern w:val="0"/>
          <w:sz w:val="24"/>
          <w:szCs w:val="24"/>
        </w:rPr>
        <w:lastRenderedPageBreak/>
        <w:t>《基金合同》及其他有关规定另有规定外，在基金信息公开披露前应予保密，不向他人泄露，但应监管机构、司法机关等有权机关的要求，或因审计、法律等外部专业顾问提供服务需要提供的情况除外；</w:t>
      </w:r>
    </w:p>
    <w:p w14:paraId="3D37F3B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（13）按《基金合同》的约定确定基金收益分配方案，及时向基金份额持有人分配基金收益；</w:t>
      </w:r>
    </w:p>
    <w:p w14:paraId="268E194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（14）按规定受理申购与赎回申请，及时、足额支付赎回款项；</w:t>
      </w:r>
    </w:p>
    <w:p w14:paraId="346CE2E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（15）依据《基金法》、《基金合同》及其他有关规定召集基金份额持有人大会或配合基金托管人、基金份额持有人依法召集基金份额持有人大会；</w:t>
      </w:r>
    </w:p>
    <w:p w14:paraId="5048B80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（16）按规定保存基金财产管理业务活动的会计账册、报表、记录和其他相关资料不少于法定最低期限；</w:t>
      </w:r>
    </w:p>
    <w:p w14:paraId="10C848F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EA431E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（18）组织并参加基金财产清算小组，参与基金财产的保管、清理、估价、变现和分配；</w:t>
      </w:r>
    </w:p>
    <w:p w14:paraId="2C1C372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（19）面临解散、依法被撤销或者被依法宣告破产时，及时报告中国证监会并通知基金托管人；</w:t>
      </w:r>
    </w:p>
    <w:p w14:paraId="517C95E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（20）因违反《基金合同》导致基金财产的损失或损害基金份额持有人合法权益时，应当承担赔偿责任，其赔偿责任不因其退任而免除；</w:t>
      </w:r>
    </w:p>
    <w:p w14:paraId="33909F3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（21）监督基金托管人按法律法规和《基金合同》规定履行自己的义务，基金托管人违反《基金合同》造成基金财产损失时，基金管理人应为基金份额持有人利益向基金托管人追偿；</w:t>
      </w:r>
    </w:p>
    <w:p w14:paraId="4E39771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（22）当基金管理人将其义务委托第三方处理时，应当对第三方处理有关基金事务的行为承担责任；</w:t>
      </w:r>
    </w:p>
    <w:p w14:paraId="0D9BAE3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（23）以基金管理人名义，代表基金份额持有人利益行使诉讼权利或实施其他法律行为；</w:t>
      </w:r>
    </w:p>
    <w:p w14:paraId="28763DA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（24）基金管理人在募集期间未能达到基金的备案条件，《基金合同》不能生效，基金管理人承担全部募集费用，将已募集资金并加计银行同期活期存款利息在基金募集期结束后30日内退还基金认购人；</w:t>
      </w:r>
    </w:p>
    <w:p w14:paraId="5B2918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（25）执行生效的基金份额持有人大会的决议；</w:t>
      </w:r>
    </w:p>
    <w:p w14:paraId="52A45DD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（26）建立并保存基金份额持有人名册；</w:t>
      </w:r>
    </w:p>
    <w:p w14:paraId="06B1F04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（27）法律法规及中国证监会规定的和《基金合同》约定的其他义务。</w:t>
      </w:r>
    </w:p>
    <w:p w14:paraId="735AC8F3"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（二）基金托管人的权利与义务</w:t>
      </w:r>
    </w:p>
    <w:p w14:paraId="7CDBFC3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1、根据《基金法》、《运作办法》及其他有关规定，基金托管人的权利包括但不限于：</w:t>
      </w:r>
    </w:p>
    <w:p w14:paraId="1E6810E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（1）自《基金合同》生效之日起，依法律法规和《基金合同》的规定安全保管基金财产；</w:t>
      </w:r>
    </w:p>
    <w:p w14:paraId="195DC4B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（2）依《基金合同》约定获得基金托管费以及法律法规规定或监管部门批准的其他费用；</w:t>
      </w:r>
    </w:p>
    <w:p w14:paraId="3D51576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4940F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（4）根据相关市场规则，为基金开设资金账户和证券账户等投资所需账户，为基金办理证券、期货交易资金清算；</w:t>
      </w:r>
    </w:p>
    <w:p w14:paraId="6F2FC49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（5）提议召开或召集基金份额持有人大会；</w:t>
      </w:r>
    </w:p>
    <w:p w14:paraId="1696359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（6）在基金管理人更换时，提名新的基金管理人；</w:t>
      </w:r>
    </w:p>
    <w:p w14:paraId="1B91CBA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（7）法律法规及中国证监会规定的和《基金合同》约定的其他权利。</w:t>
      </w:r>
    </w:p>
    <w:p w14:paraId="433D8BB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2、根据《基金法》、《运作办法》及其他有关规定，基金托管人的义务包括但不限于：</w:t>
      </w:r>
    </w:p>
    <w:p w14:paraId="2B250BF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（1）以诚实信用、勤勉尽责的原则持有并安全保管基金财产；</w:t>
      </w:r>
    </w:p>
    <w:p w14:paraId="47482C6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（2）设立专门的基金托管部门，具有符合要求的营业场所，配备足够的、合格的熟悉基金托管业务的专职人员，负责基金财产托管事宜；</w:t>
      </w:r>
    </w:p>
    <w:p w14:paraId="36DCAEC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B29108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（4）除依据《基金法》、《基金合同》及其他有关规定外，不得利用基金财产为自己及任何第三人谋取利益，不得委托第三人托管基金财产；</w:t>
      </w:r>
    </w:p>
    <w:p w14:paraId="016D0DC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（5）保管由基金管理人代表基金签订的与基金有关的重大合同及有关凭证；</w:t>
      </w:r>
    </w:p>
    <w:p w14:paraId="4FB5436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（6）按规定开设基金财产的资金账户和证券账户等投资所需账户，按照《基金合同》的约定，根据基金管理人的投资指令，及时办理清算、交割事宜；</w:t>
      </w:r>
    </w:p>
    <w:p w14:paraId="77E6EF2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保守基金商业秘密，除《基金法》、《基金合同》及其他有关规定另有规定外，在基金信息公开披露前予以保密，不得向他人泄露，但应监管机构、司法机关等有权机关的要求，或因审计、法律等外部专业顾问提供服务需要提供的情况除外；</w:t>
      </w:r>
    </w:p>
    <w:p w14:paraId="717092D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（8）复核、审查基金管理人计算的基金资产净值、各类基金份额净值、基金份额申购、赎回价格；</w:t>
      </w:r>
    </w:p>
    <w:p w14:paraId="06BE117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（9）办理与基金托管业务活动有关的信息披露事项；</w:t>
      </w:r>
    </w:p>
    <w:p w14:paraId="44B076C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40C91F0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（11）保存基金托管业务活动的记录、账册、报表和其他相关资料不少于法定最低期限；</w:t>
      </w:r>
    </w:p>
    <w:p w14:paraId="7EB964D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（12）建立并保存基金份额持有人名册；</w:t>
      </w:r>
    </w:p>
    <w:p w14:paraId="295E05D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（13）按规定制作相关账册并与基金管理人核对；</w:t>
      </w:r>
    </w:p>
    <w:p w14:paraId="1711CC8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（14）依据基金管理人的指令或有关规定向基金份额持有人支付基金收益和赎回款项；</w:t>
      </w:r>
    </w:p>
    <w:p w14:paraId="20DF902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（15）依据《基金法》、《基金合同》及其他有关规定，召集基金份额持有人大会或配合基金管理人、基金份额持有人依法召集基金份额持有人大会；</w:t>
      </w:r>
    </w:p>
    <w:p w14:paraId="3BAA552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（16）按照法律法规和《基金合同》的规定监督基金管理人的投资运作；</w:t>
      </w:r>
    </w:p>
    <w:p w14:paraId="109288D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（17）参加基金财产清算小组，参与基金财产的保管、清理、估价、变现和分配；</w:t>
      </w:r>
    </w:p>
    <w:p w14:paraId="6098BD1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（18）面临解散、依法被撤销或者被依法宣告破产时，及时报告中国证监会和银行业监督管理机构，并通知基金管理人；</w:t>
      </w:r>
    </w:p>
    <w:p w14:paraId="5E9A96B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（19）因违反《基金合同》导致基金财产损失时，应承担赔偿责任，其赔偿责任不因其退任而免除；</w:t>
      </w:r>
    </w:p>
    <w:p w14:paraId="6B9493E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（20）按规定监督基金管理人按法律法规和《基金合同》规定履行自己的义务，基金管理人因违反《基金合同》造成基金财产损失时，应为基金份额持有人利益向基金管理人追偿；</w:t>
      </w:r>
    </w:p>
    <w:p w14:paraId="3DFB630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（21）执行生效的基金份额持有人大会的决议；</w:t>
      </w:r>
    </w:p>
    <w:p w14:paraId="701205E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（22）法律法规及中国证监会规定的和《基金合同》约定的其他义务。</w:t>
      </w:r>
    </w:p>
    <w:p w14:paraId="7E78BE36"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（三）基金份额持有人的权利和义务</w:t>
      </w:r>
    </w:p>
    <w:p w14:paraId="79261B6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投资者持有本基金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45F6D72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同一类别内每份基金份额具有同等的合法权益。</w:t>
      </w:r>
    </w:p>
    <w:p w14:paraId="29A9A43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1、根据《基金法》、《运作办法》及其他有关规定，基金份额持有人的权利包括但不限于：</w:t>
      </w:r>
    </w:p>
    <w:p w14:paraId="6C0D23F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（1）分享基金财产收益；</w:t>
      </w:r>
    </w:p>
    <w:p w14:paraId="4F29F36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（2）参与分配清算后的剩余基金财产；</w:t>
      </w:r>
    </w:p>
    <w:p w14:paraId="176C931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（3）依法转让或者申请赎回其持有的基金份额；</w:t>
      </w:r>
    </w:p>
    <w:p w14:paraId="3B5286F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（4）按照规定要求召开基金份额持有人大会或者召集基金份额持有人大会；</w:t>
      </w:r>
    </w:p>
    <w:p w14:paraId="68103D0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（5）出席或者委派代表出席基金份额持有人大会，对基金份额持有人大会审议事项行使表决权；</w:t>
      </w:r>
    </w:p>
    <w:p w14:paraId="5202B93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（6）查阅或者复制公开披露的基金信息资料；</w:t>
      </w:r>
    </w:p>
    <w:p w14:paraId="4D896F1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（7）监督基金管理人的投资运作；</w:t>
      </w:r>
    </w:p>
    <w:p w14:paraId="2C77B0F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（8）对基金管理人、基金托管人、基金服务机构损害其合法权益的行为依法提起诉讼或仲裁；</w:t>
      </w:r>
    </w:p>
    <w:p w14:paraId="06CC543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（9）法律法规及中国证监会规定的和《基金合同》约定的其他权利。</w:t>
      </w:r>
    </w:p>
    <w:p w14:paraId="67C67D3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2、根据《基金法》、《运作办法》及其他有关规定，基金份额持有人的义务包括但不限于：</w:t>
      </w:r>
    </w:p>
    <w:p w14:paraId="44BEA7A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（1）认真阅读并遵守《基金合同》、《招募说明书》等信息披露文件；</w:t>
      </w:r>
    </w:p>
    <w:p w14:paraId="6131C6F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（2）了解所投资基金产品，了解自身风险承受能力，自主判断基金的投资价值，自主做出投资决策，自行承担投资风险；</w:t>
      </w:r>
    </w:p>
    <w:p w14:paraId="4DAAFF1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（3）关注基金信息披露，及时行使权利和履行义务；</w:t>
      </w:r>
    </w:p>
    <w:p w14:paraId="340A18B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（4）交纳基金认购、申购款项及法律法规和《基金合同》所规定的费用；</w:t>
      </w:r>
    </w:p>
    <w:p w14:paraId="0263C14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（5）在其持有的基金份额范围内，承担基金亏损或者《基金合同》终止的有限责任；</w:t>
      </w:r>
    </w:p>
    <w:p w14:paraId="47FAD0F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（6）不从事任何有损基金及其他《基金合同》当事人合法权益的活动；</w:t>
      </w:r>
    </w:p>
    <w:p w14:paraId="7C2F0CC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（7）执行生效的基金份额持有人大会的决议；</w:t>
      </w:r>
    </w:p>
    <w:p w14:paraId="340989C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（8）返还在基金交易过程中因任何原因获得的不当得利；</w:t>
      </w:r>
    </w:p>
    <w:p w14:paraId="6CF86C2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（9）提供基金管理人和监管机构依法要求提供的信息，以及不时的更新和补充，并保证其真实性；</w:t>
      </w:r>
    </w:p>
    <w:p w14:paraId="115985C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（10）遵守基金管理人、基金托管人、销售机构和登记机构的相关交易及业务规则；</w:t>
      </w:r>
    </w:p>
    <w:p w14:paraId="326E284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（11）法律法规及中国证监会规定的和《基金合同》约定的其他义务。</w:t>
      </w:r>
    </w:p>
    <w:p w14:paraId="470C8888" w14:textId="77777777" w:rsidR="00496B2C" w:rsidRDefault="005605B9">
      <w:pPr>
        <w:pStyle w:val="2"/>
        <w:keepNext w:val="0"/>
        <w:keepLines w:val="0"/>
        <w:spacing w:before="0" w:after="0" w:line="360" w:lineRule="auto"/>
        <w:ind w:firstLine="420"/>
        <w:jc w:val="left"/>
        <w:rPr>
          <w:rFonts w:ascii="Times New Roman" w:eastAsia="Times New Roman" w:hAnsi="Times New Roman"/>
          <w:bCs/>
          <w:kern w:val="0"/>
          <w:sz w:val="24"/>
          <w:szCs w:val="24"/>
        </w:rPr>
      </w:pPr>
      <w:r>
        <w:rPr>
          <w:rFonts w:ascii="宋体" w:eastAsia="宋体" w:hAnsi="宋体" w:cs="宋体"/>
          <w:bCs/>
          <w:kern w:val="0"/>
          <w:sz w:val="24"/>
          <w:szCs w:val="24"/>
        </w:rPr>
        <w:t>二、基金份额持有人大会召集、议事及表决的程序和规则</w:t>
      </w:r>
    </w:p>
    <w:p w14:paraId="46DEA79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基金份额持有人大会由基金份额持有人组成，基金份额持有人的合法授权代表有权代表基金份额持有人出席会议并表决。基金份额持有人持有的每一基金份额拥有平等的投票权。</w:t>
      </w:r>
    </w:p>
    <w:p w14:paraId="66D0320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本基金份额持有人大会不设日常机构。</w:t>
      </w:r>
    </w:p>
    <w:p w14:paraId="5C1D39F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（一）召开事由</w:t>
      </w:r>
    </w:p>
    <w:p w14:paraId="6846CF9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1、当出现或需要决定下列事由之一的，应当召开基金份额持有人大会，法律法规、中国证监会另有规定或基金合同另有约定的除外：</w:t>
      </w:r>
    </w:p>
    <w:p w14:paraId="7F96B98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（1）终止《基金合同》；</w:t>
      </w:r>
    </w:p>
    <w:p w14:paraId="545882E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（2）更换基金管理人；</w:t>
      </w:r>
    </w:p>
    <w:p w14:paraId="62A2B25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（3）更换基金托管人；</w:t>
      </w:r>
    </w:p>
    <w:p w14:paraId="16A1301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（4）转换基金运作方式；</w:t>
      </w:r>
    </w:p>
    <w:p w14:paraId="40BFA75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（5）调整基金管理人、基金托管人的报酬标准或提高销售服务费率；</w:t>
      </w:r>
    </w:p>
    <w:p w14:paraId="1382C60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（6）变更基金类别；</w:t>
      </w:r>
    </w:p>
    <w:p w14:paraId="1AF3370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（7）本基金与其他基金的合并；</w:t>
      </w:r>
    </w:p>
    <w:p w14:paraId="7F9314D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（8）变更基金投资目标、范围或策略；</w:t>
      </w:r>
    </w:p>
    <w:p w14:paraId="4894056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（9）变更基金份额持有人大会程序；</w:t>
      </w:r>
    </w:p>
    <w:p w14:paraId="71A107C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（10）基金管理人或基金托管人要求召开基金份额持有人大会；</w:t>
      </w:r>
    </w:p>
    <w:p w14:paraId="49B44DA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（11）单独或合计持有本基金总份额10%以上（含10%）基金份额的基金份额持有人（以基金管理人收到提议当日的基金份额计算，下同）就同一事项书面要求召开基金份额持有人大会；</w:t>
      </w:r>
    </w:p>
    <w:p w14:paraId="25151E1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（12）对基金合同当事人权利和义务产生重大影响的其他事项；</w:t>
      </w:r>
    </w:p>
    <w:p w14:paraId="363071A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（13）法律法规、《基金合同》或中国证监会规定的其他应当召开基金份额持有人大会的事项。</w:t>
      </w:r>
    </w:p>
    <w:p w14:paraId="7B852C4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3F01398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（1）法律法规要求增加的基金费用的收取；</w:t>
      </w:r>
    </w:p>
    <w:p w14:paraId="2D08A25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（2）调整本基金的申购费率、调低销售服务费率或变更收费方式；</w:t>
      </w:r>
    </w:p>
    <w:p w14:paraId="3F47F90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（3）增加、减少或调整基金份额类别设置或者调整基金份额分类办法及规则等；</w:t>
      </w:r>
    </w:p>
    <w:p w14:paraId="472A830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（4）因相应的法律法规发生变动而应当对《基金合同》进行修改；</w:t>
      </w:r>
    </w:p>
    <w:p w14:paraId="44F251F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（5）基金管理人和基金登记机构等调整或修改《业务规则》，包括但不限于有关基金认购、申购、赎回、转换、非交易过户、转托管等内容；</w:t>
      </w:r>
    </w:p>
    <w:p w14:paraId="1F3EDB6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（6）对《基金合同》的修改对基金份额持有人利益无实质性不利影响或修改不涉及《基金合同》当事人权利义务关系发生重大变化；</w:t>
      </w:r>
    </w:p>
    <w:p w14:paraId="4972D4A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（7）在履行适当程序后，基金推出新业务或服务；</w:t>
      </w:r>
    </w:p>
    <w:p w14:paraId="14A0D38D" w14:textId="232229A3"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（8）按照法律法规和《基金合同》规定不需召开基金份额持有人大会的其他情形。</w:t>
      </w:r>
    </w:p>
    <w:p w14:paraId="78E0764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（二）会议召集人及召集方式</w:t>
      </w:r>
    </w:p>
    <w:p w14:paraId="56275D0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1、除法律法规规定或《基金合同》另有约定外，基金份额持有人大会由基金管理人召集。</w:t>
      </w:r>
    </w:p>
    <w:p w14:paraId="3F280B7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2、基金管理人未按规定召集或不能召集时，由基金托管人召集。</w:t>
      </w:r>
    </w:p>
    <w:p w14:paraId="7E4BAF3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w:t>
      </w:r>
      <w:r>
        <w:rPr>
          <w:rFonts w:ascii="宋体" w:hAnsi="宋体" w:cs="宋体"/>
          <w:kern w:val="0"/>
          <w:sz w:val="24"/>
          <w:szCs w:val="24"/>
        </w:rPr>
        <w:lastRenderedPageBreak/>
        <w:t>60日内召开；基金管理人决定不召集，基金托管人仍认为有必要召开的，应当由基金托管人自行召集，并自出具书面决定之日起60日内召开并告知基金管理人，基金管理人应当配合。</w:t>
      </w:r>
    </w:p>
    <w:p w14:paraId="388E920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5085BCE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35AE1037"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6、基金份额持有人会议的召集人负责选择确定开会时间、地点、方式和权益登记日。</w:t>
      </w:r>
    </w:p>
    <w:p w14:paraId="71B0DD5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（三）召开基金份额持有人大会的通知时间、通知内容、通知方式</w:t>
      </w:r>
    </w:p>
    <w:p w14:paraId="2927C71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1、召开基金份额持有人大会，召集人应于会议召开前30日，在规定媒介公告。基金份额持有人大会通知应至少载明以下内容：</w:t>
      </w:r>
    </w:p>
    <w:p w14:paraId="760CB23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（1）会议召开的时间、地点和会议形式；</w:t>
      </w:r>
    </w:p>
    <w:p w14:paraId="601DB60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（2）会议拟审议的事项、议事程序和表决方式；</w:t>
      </w:r>
    </w:p>
    <w:p w14:paraId="6EDE1B6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（3）有权出席基金份额持有人大会的基金份额持有人的权益登记日；</w:t>
      </w:r>
    </w:p>
    <w:p w14:paraId="59CE93A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（4）授权委托证明的内容要求（包括但不限于代理人身份，代理权限和代理有效期限等）、送达时间和地点；</w:t>
      </w:r>
    </w:p>
    <w:p w14:paraId="6503B8C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（5）会务常设联系人姓名及联系电话；</w:t>
      </w:r>
    </w:p>
    <w:p w14:paraId="5AD5545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（6）出席会议者必须准备的文件和必须履行的手续；</w:t>
      </w:r>
    </w:p>
    <w:p w14:paraId="451216A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（7）召集人需要通知的其他事项。</w:t>
      </w:r>
    </w:p>
    <w:p w14:paraId="61FAE3B8"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采取通讯开会方式并进行表决的情况下，由会议召集人决定在会议通知中说明本次基金份额持有人大会所采取的具体通讯方式、委托的公证机关及其联系方式和联系人、书面表决意见寄交的截止时间和收取方式。</w:t>
      </w:r>
    </w:p>
    <w:p w14:paraId="70FF03C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23FCAE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（四）基金份额持有人出席会议的方式</w:t>
      </w:r>
    </w:p>
    <w:p w14:paraId="64578D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基金份额持有人大会可通过现场开会方式、通讯开会方式或法律法规、监管机构允许的其他方式召开，会议的召开方式由会议召集人确定。</w:t>
      </w:r>
    </w:p>
    <w:p w14:paraId="0DE13C8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4DC964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6D7E36A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1E04619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2、通讯开会。通讯开会系指基金份额持有人将其对表决事项的投票以书面</w:t>
      </w:r>
      <w:r>
        <w:rPr>
          <w:rFonts w:ascii="宋体" w:hAnsi="宋体" w:cs="宋体"/>
          <w:kern w:val="0"/>
          <w:sz w:val="24"/>
          <w:szCs w:val="24"/>
        </w:rPr>
        <w:lastRenderedPageBreak/>
        <w:t>形式或大会公告载明的其他方式在表决截止日以前送达至召集人指定的地址或系统。通讯开会应以书面方式或大会公告载明的其他方式进行表决。</w:t>
      </w:r>
    </w:p>
    <w:p w14:paraId="2921AB1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在同时符合以下条件时，通讯开会的方式视为有效：</w:t>
      </w:r>
    </w:p>
    <w:p w14:paraId="0BAC554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（1）会议召集人按《基金合同》约定公布会议通知后，在2个工作日内连续公布相关提示性公告；</w:t>
      </w:r>
    </w:p>
    <w:p w14:paraId="6D50AE8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召集人按基金合同约定通知基金托管人（如果基金托管人为召集人，则为基金管理人）到指定地点对书面表决意见的计票进行监督。会议召集人在基金托管人（如果基金托管人为召集人，则为基金管理人）和公证机关的监督下按照会议通知规定的方式收取基金份额持有人的书面表决意见；基金托管人或基金管理人经通知不参加收取书面表决意见的，不影响表决效力；</w:t>
      </w:r>
    </w:p>
    <w:p w14:paraId="4B4374A9"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本人直接出具书面意见或授权他人代表出具书面意见的，基金份额持有人所持有的基金份额不小于在权益登记日基金总份额的二分之一（含二分之一）；若本人直接出具书面意见或授权他人代表出具书面意见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持有人直接出具书面意见或授权他人代表出具书面意见；</w:t>
      </w:r>
    </w:p>
    <w:p w14:paraId="75DF638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上述第（3）项中直接出具书面意见的基金份额持有人或受托代表他人出具书面意见的代理人，同时提交的持有基金份额的凭证、受托出具书面意见的代理人出具的委托人持有基金份额的凭证及委托人的代理投票授权委托证明符合法律法规、《基金合同》和会议通知的规定，并与基金登记机构记录相符。</w:t>
      </w:r>
    </w:p>
    <w:p w14:paraId="15F99CE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在法律法规和监管机构允许的情况下，本基金亦可采用网络、电话、短信等其他非现场方式或者以非现场方式与现场方式结合的方式召开基金份额持有人大会，或者采用网络、电话、短信或其他方式授权他人代为出席会议并表决，会议程序比照现场开会和通讯方式开会的程序进行。</w:t>
      </w:r>
    </w:p>
    <w:p w14:paraId="24058E7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（五）议事内容与程序</w:t>
      </w:r>
    </w:p>
    <w:p w14:paraId="0436E2F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1、议事内容及提案权</w:t>
      </w:r>
    </w:p>
    <w:p w14:paraId="48AEDE8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议事内容为关系基金份额持有人利益的重大事项，如《基金合同》的重大修</w:t>
      </w:r>
      <w:r>
        <w:rPr>
          <w:rFonts w:ascii="宋体" w:hAnsi="宋体" w:cs="宋体"/>
          <w:kern w:val="0"/>
          <w:sz w:val="24"/>
          <w:szCs w:val="24"/>
        </w:rPr>
        <w:lastRenderedPageBreak/>
        <w:t>改、决定终止《基金合同》、更换基金管理人、更换基金托管人、与其他基金合并、法律法规及《基金合同》规定的其他事项以及会议召集人认为需提交基金份额持有人大会讨论的其他事项。</w:t>
      </w:r>
    </w:p>
    <w:p w14:paraId="779A9F2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基金份额持有人大会的召集人发出召集会议的通知后，对原有提案的修改应当在基金份额持有人大会召开前及时公告。</w:t>
      </w:r>
    </w:p>
    <w:p w14:paraId="01D78B8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基金份额持有人大会不得对未事先公告的议事内容进行表决。</w:t>
      </w:r>
    </w:p>
    <w:p w14:paraId="4510B27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2、议事程序</w:t>
      </w:r>
    </w:p>
    <w:p w14:paraId="2C9AE203"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（1）现场开会</w:t>
      </w:r>
    </w:p>
    <w:p w14:paraId="4CDD5DB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50%以上（含50%）选举产生一名基金份额持有人作为该次基金份额持有人大会的主持人。基金管理人和基金托管人拒不出席或主持基金份额持有人大会，不影响基金份额持有人大会作出的决议的效力。</w:t>
      </w:r>
    </w:p>
    <w:p w14:paraId="6360FA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A65333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（2）通讯开会</w:t>
      </w:r>
    </w:p>
    <w:p w14:paraId="3769A54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在通讯开会的情况下，首先由召集人提前30日公布提案，在所通知的表决截止日期后2个工作日内在公证机关监督下由召集人统计全部有效表决，在公证机关监督下形成决议。</w:t>
      </w:r>
    </w:p>
    <w:p w14:paraId="6AF79E9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（六）表决</w:t>
      </w:r>
    </w:p>
    <w:p w14:paraId="388CE1D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基金份额持有人所持每份基金份额有一票表决权。</w:t>
      </w:r>
    </w:p>
    <w:p w14:paraId="0FC1229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基金份额持有人大会决议分为一般决议和特别决议：</w:t>
      </w:r>
    </w:p>
    <w:p w14:paraId="7F57DB4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688350D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2、特别决议，特别决议应当经参加大会的基金份额持有人或其代理人所持表决权的三分之二以上（含三分之二）通过方可做出。</w:t>
      </w:r>
    </w:p>
    <w:p w14:paraId="10C1F8B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转换基金运作方式、更换基金管理人或者基金托管人、终止《基金合同》、本基金与其他基金合并以特别决议通过方为有效。</w:t>
      </w:r>
    </w:p>
    <w:p w14:paraId="7C6E5FE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基金份额持有人大会采取记名方式进行投票表决。</w:t>
      </w:r>
    </w:p>
    <w:p w14:paraId="3163588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采取通讯方式进行表决时，除非在计票时有充分的相反证据证明，否则提交符合会议通知中规定的确认投资者身份文件的表决视为有效出席的投资者，表面符合会议通知规定的书面表决意见视为有效表决，表决意见模糊不清或相互矛盾的视为弃权表决，但应当计入出具书面意见的基金份额持有人所代表的基金份额总数。</w:t>
      </w:r>
    </w:p>
    <w:p w14:paraId="4B47DA8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基金份额持有人大会的各项提案或同一项提案内并列的各项议题应当分开审议、逐项表决。</w:t>
      </w:r>
    </w:p>
    <w:p w14:paraId="1E9762A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（七）计票</w:t>
      </w:r>
    </w:p>
    <w:p w14:paraId="30B18DC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1、现场开会</w:t>
      </w:r>
    </w:p>
    <w:p w14:paraId="269983C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如大会由基金管理人或基金托管人召集，基金份额持有人大会的主持人应当在会议开始后宣布在出席会议的基金份额持有人和代理人中选举一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两名基金份额持有人代表担任监票人。基金管理人或基金托管人不出席大会的，不影响计票的效力。</w:t>
      </w:r>
    </w:p>
    <w:p w14:paraId="6A60693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（2）监票人应当在基金份额持有人表决后立即进行清点并由大会主持人当场公布计票结果。</w:t>
      </w:r>
    </w:p>
    <w:p w14:paraId="0FB2391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4345828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（4）计票过程应由公证机关予以公证，基金管理人或基金托管人拒不出席大会的，不影响计票的效力。</w:t>
      </w:r>
    </w:p>
    <w:p w14:paraId="5CAD0D9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lastRenderedPageBreak/>
        <w:t>2、通讯开会</w:t>
      </w:r>
    </w:p>
    <w:p w14:paraId="75F0566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书面表决意见的计票进行监督的，不影响计票和表决结果。</w:t>
      </w:r>
    </w:p>
    <w:p w14:paraId="20300F8E"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（八）生效与公告</w:t>
      </w:r>
    </w:p>
    <w:p w14:paraId="6ED1758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基金份额持有人大会的决议，召集人应当自通过之日起5日内报中国证监会备案。</w:t>
      </w:r>
    </w:p>
    <w:p w14:paraId="7497A08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基金份额持有人大会的决议自表决通过之日起生效。</w:t>
      </w:r>
    </w:p>
    <w:p w14:paraId="77F724A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基金份额持有人大会决议自生效之日起2日内在规定媒介上公告。如果采用通讯方式进行表决，在公告基金份额持有人大会决议时，必须将公证书全文、公证机构、公证员姓名等一同公告。</w:t>
      </w:r>
    </w:p>
    <w:p w14:paraId="5F45F6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19FB6E6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（九）实施侧袋机制期间基金份额持有人大会的特殊约定</w:t>
      </w:r>
    </w:p>
    <w:p w14:paraId="5DC6A6A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28F3401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1、基金份额持有人行使提议权、召集权、提名权所需单独或合计代表相关基金份额10%以上（含10%）；</w:t>
      </w:r>
    </w:p>
    <w:p w14:paraId="16EE5E6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2、现场开会的到会者在权益登记日代表的基金份额不少于本基金在权益登记日相关基金份额的二分之一（含二分之一）；</w:t>
      </w:r>
    </w:p>
    <w:p w14:paraId="51A8DAD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3、通讯开会的直接出具书面意见或授权他人代表出具书面意见的基金份额持有人所持有的基金份额不小于在权益登记日相关基金份额的二分之一（含二分之一）；</w:t>
      </w:r>
    </w:p>
    <w:p w14:paraId="55E0CEE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4、在参与基金份额持有人大会投票的基金份额持有人所持有的基金份额小于在权益登记日相关基金份额的二分之一、召集人在原公告的基金份额持有人大</w:t>
      </w:r>
      <w:r>
        <w:rPr>
          <w:rFonts w:ascii="宋体" w:hAnsi="宋体" w:cs="宋体"/>
          <w:kern w:val="0"/>
          <w:sz w:val="24"/>
          <w:szCs w:val="24"/>
        </w:rPr>
        <w:lastRenderedPageBreak/>
        <w:t>会召开时间的3个月以后、6个月以内就原定审议事项重新召集的基金份额持有人大会应当有代表三分之一以上（含三分之一）相关基金份额的持有人参与或授权他人参与基金份额持有人大会投票；</w:t>
      </w:r>
    </w:p>
    <w:p w14:paraId="2C6F9CB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5、现场开会由出席大会的基金份额持有人和代理人所持表决权的50%以上（含50%）选举产生一名基金份额持有人作为该次基金份额持有人大会的主持人；</w:t>
      </w:r>
    </w:p>
    <w:p w14:paraId="50DADB10"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6、一般决议须经参加大会的基金份额持有人或其代理人所持表决权的二分之一以上（含二分之一）通过；</w:t>
      </w:r>
    </w:p>
    <w:p w14:paraId="7712C775"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7、特别决议应当经参加大会的基金份额持有人或其代理人所持表决权的三分之二以上（含三分之二）通过。</w:t>
      </w:r>
    </w:p>
    <w:p w14:paraId="267ABAC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同一主侧袋账户内的每份基金份额具有平等的表决权。</w:t>
      </w:r>
    </w:p>
    <w:p w14:paraId="4D5B63A4"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十）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p>
    <w:p w14:paraId="460A6923" w14:textId="77777777" w:rsidR="00496B2C" w:rsidRDefault="005605B9">
      <w:pPr>
        <w:pStyle w:val="2"/>
        <w:keepNext w:val="0"/>
        <w:keepLines w:val="0"/>
        <w:spacing w:before="0" w:after="0" w:line="360" w:lineRule="auto"/>
        <w:ind w:firstLine="420"/>
        <w:jc w:val="left"/>
        <w:rPr>
          <w:rFonts w:ascii="Times New Roman" w:eastAsia="Times New Roman" w:hAnsi="Times New Roman"/>
          <w:bCs/>
          <w:kern w:val="0"/>
          <w:sz w:val="24"/>
          <w:szCs w:val="24"/>
        </w:rPr>
      </w:pPr>
      <w:r>
        <w:rPr>
          <w:rFonts w:ascii="宋体" w:eastAsia="宋体" w:hAnsi="宋体" w:cs="宋体"/>
          <w:bCs/>
          <w:kern w:val="0"/>
          <w:sz w:val="24"/>
          <w:szCs w:val="24"/>
        </w:rPr>
        <w:t>三、基金合同解除和终止的事由、程序以及基金财产清算方式</w:t>
      </w:r>
    </w:p>
    <w:p w14:paraId="18704666"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（一）《基金合同》的变更</w:t>
      </w:r>
    </w:p>
    <w:p w14:paraId="26497300"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6ACD8676"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2、关于《基金合同》变更的基金份额持有人大会决议自生效后方可执行，自决议生效后两日内在规定媒介公告。</w:t>
      </w:r>
    </w:p>
    <w:p w14:paraId="69AC574C"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（二）《基金合同》的终止事由</w:t>
      </w:r>
    </w:p>
    <w:p w14:paraId="139DF752"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有下列情形之一的，经履行相关程序后，《基金合同》应当终止：</w:t>
      </w:r>
    </w:p>
    <w:p w14:paraId="2E25D02B"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1、基金份额持有人大会决定终止的；</w:t>
      </w:r>
    </w:p>
    <w:p w14:paraId="7BAFD11E"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2、基金管理人、基金托管人职责终止，在6个月内没有新基金管理人、新基金托管人承接的；</w:t>
      </w:r>
    </w:p>
    <w:p w14:paraId="22F66163"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3、《基金合同》约定的其他情形；</w:t>
      </w:r>
    </w:p>
    <w:p w14:paraId="6102E59C"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lastRenderedPageBreak/>
        <w:t>4、相关法律法规和中国证监会规定的其他情况。</w:t>
      </w:r>
    </w:p>
    <w:p w14:paraId="472F78EC"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（三）基金财产的清算</w:t>
      </w:r>
    </w:p>
    <w:p w14:paraId="033EDB1E"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1、基金财产清算小组：自出现《基金合同》终止事由之日起30个工作日内成立清算小组，基金管理人组织基金财产清算小组并在中国证监会的监督下进行基金清算。</w:t>
      </w:r>
    </w:p>
    <w:p w14:paraId="1D68B829"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2、基金财产清算小组组成：基金财产清算小组成员由基金管理人、基金托管人、符合《中华人民共和国证券法》规定的注册会计师、律师以及中国证监会指定的人员组成。基金财产清算小组可以聘用必要的工作人员。</w:t>
      </w:r>
    </w:p>
    <w:p w14:paraId="556DC175"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3、基金财产清算小组职责：基金财产清算小组负责基金财产的保管、清理、估价、变现和分配。基金财产清算小组可以依法进行必要的民事活动。</w:t>
      </w:r>
    </w:p>
    <w:p w14:paraId="6EA377B3"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4、基金财产清算程序：</w:t>
      </w:r>
    </w:p>
    <w:p w14:paraId="1033F1D6"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（1）《基金合同》终止情形出现时，由基金财产清算小组统一接管基金；</w:t>
      </w:r>
    </w:p>
    <w:p w14:paraId="33D1501F"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（2）对基金财产和债权债务进行清理和确认；</w:t>
      </w:r>
    </w:p>
    <w:p w14:paraId="7FFB83A2"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（3）对基金财产进行估值和变现；</w:t>
      </w:r>
    </w:p>
    <w:p w14:paraId="6EF5DDE7"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（4）制作清算报告；</w:t>
      </w:r>
    </w:p>
    <w:p w14:paraId="694ED117"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（5）聘请符合《中华人民共和国证券法》规定的会计师事务所对清算报告进行外部审计，聘请律师事务所对清算报告出具法律意见书；</w:t>
      </w:r>
    </w:p>
    <w:p w14:paraId="0FB84809"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（6）将清算报告报中国证监会备案并公告；</w:t>
      </w:r>
    </w:p>
    <w:p w14:paraId="2BB02B3B"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（7）对基金剩余财产进行分配。</w:t>
      </w:r>
    </w:p>
    <w:p w14:paraId="2077457C"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5、基金财产清算的期限为6个月，但因本基金所持证券的流动性受到限制而不能及时变现的，清算期限相应顺延。</w:t>
      </w:r>
    </w:p>
    <w:p w14:paraId="1AB171BA"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（四）清算费用</w:t>
      </w:r>
    </w:p>
    <w:p w14:paraId="2464B195"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清算费用是指基金财产清算小组在进行基金财产清算过程中发生的所有合理费用，清算费用由基金财产清算小组优先从基金剩余财产中支付。</w:t>
      </w:r>
    </w:p>
    <w:p w14:paraId="45FD5FC5"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（五）基金财产清算剩余资产的分配</w:t>
      </w:r>
    </w:p>
    <w:p w14:paraId="244FDCB7"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依据基金财产清算的分配方案，将基金财产清算后的全部剩余资产扣除基金财产清算费用、交纳所欠税款并清偿基金债务后，按基金份额持有人持有的基金份额比例进行分配</w:t>
      </w:r>
      <w:r>
        <w:rPr>
          <w:rFonts w:ascii="宋体" w:hAnsi="宋体" w:cs="宋体" w:hint="eastAsia"/>
          <w:color w:val="272C36"/>
          <w:kern w:val="0"/>
          <w:sz w:val="24"/>
          <w:szCs w:val="24"/>
        </w:rPr>
        <w:t>，</w:t>
      </w:r>
      <w:r>
        <w:rPr>
          <w:rFonts w:ascii="宋体" w:hAnsi="宋体" w:cs="宋体" w:hint="eastAsia"/>
          <w:kern w:val="0"/>
          <w:sz w:val="24"/>
          <w:szCs w:val="24"/>
        </w:rPr>
        <w:t>并扣除相应的超额管理费（如有）</w:t>
      </w:r>
      <w:r>
        <w:rPr>
          <w:rFonts w:ascii="宋体" w:hAnsi="宋体" w:cs="宋体"/>
          <w:color w:val="272C36"/>
          <w:kern w:val="0"/>
          <w:sz w:val="24"/>
          <w:szCs w:val="24"/>
        </w:rPr>
        <w:t>。</w:t>
      </w:r>
    </w:p>
    <w:p w14:paraId="26D30B49"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hint="eastAsia"/>
          <w:color w:val="272C36"/>
          <w:kern w:val="0"/>
          <w:sz w:val="24"/>
          <w:szCs w:val="24"/>
        </w:rPr>
        <w:t>其中，对于投资者通过直销机构认购/申购的C类基金份额所计提的销售服</w:t>
      </w:r>
      <w:r>
        <w:rPr>
          <w:rFonts w:ascii="宋体" w:hAnsi="宋体" w:cs="宋体" w:hint="eastAsia"/>
          <w:color w:val="272C36"/>
          <w:kern w:val="0"/>
          <w:sz w:val="24"/>
          <w:szCs w:val="24"/>
        </w:rPr>
        <w:lastRenderedPageBreak/>
        <w:t>务费或者通过其他销售机构认购/申购且持续持有期限超过一年（即365天）以后继续计提的C类基金份额销售服务费，将在基金合同终止时随清算款一并返还给投资者。</w:t>
      </w:r>
    </w:p>
    <w:p w14:paraId="0964A8D8"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（六）基金财产清算的公告</w:t>
      </w:r>
    </w:p>
    <w:p w14:paraId="75AE1838"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32E40D90" w14:textId="77777777" w:rsidR="00496B2C" w:rsidRDefault="005605B9">
      <w:pPr>
        <w:pStyle w:val="div"/>
        <w:shd w:val="clear" w:color="auto" w:fill="FFFFFF"/>
        <w:spacing w:line="360" w:lineRule="auto"/>
        <w:ind w:firstLine="480"/>
        <w:jc w:val="left"/>
        <w:rPr>
          <w:rFonts w:ascii="宋体" w:hAnsi="宋体" w:cs="宋体"/>
          <w:color w:val="272C36"/>
          <w:kern w:val="0"/>
          <w:sz w:val="24"/>
          <w:szCs w:val="24"/>
        </w:rPr>
      </w:pPr>
      <w:r>
        <w:rPr>
          <w:rFonts w:ascii="宋体" w:hAnsi="宋体" w:cs="宋体"/>
          <w:color w:val="272C36"/>
          <w:kern w:val="0"/>
          <w:sz w:val="24"/>
          <w:szCs w:val="24"/>
        </w:rPr>
        <w:t>（七）基金财产清算账册及文件的保存</w:t>
      </w:r>
    </w:p>
    <w:p w14:paraId="71E91278"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基金财产清算账册及有关文件由基金托管人保存，保存期限不少于法定最低期限。</w:t>
      </w:r>
    </w:p>
    <w:p w14:paraId="15767889" w14:textId="77777777" w:rsidR="00496B2C" w:rsidRDefault="005605B9">
      <w:pPr>
        <w:pStyle w:val="2"/>
        <w:keepNext w:val="0"/>
        <w:keepLines w:val="0"/>
        <w:spacing w:before="0" w:after="0" w:line="360" w:lineRule="auto"/>
        <w:ind w:firstLine="420"/>
        <w:jc w:val="left"/>
        <w:rPr>
          <w:rFonts w:ascii="Times New Roman" w:eastAsia="Times New Roman" w:hAnsi="Times New Roman"/>
          <w:bCs/>
          <w:kern w:val="0"/>
          <w:sz w:val="24"/>
          <w:szCs w:val="24"/>
        </w:rPr>
      </w:pPr>
      <w:r>
        <w:rPr>
          <w:rFonts w:ascii="宋体" w:eastAsia="宋体" w:hAnsi="宋体" w:cs="宋体"/>
          <w:bCs/>
          <w:kern w:val="0"/>
          <w:sz w:val="24"/>
          <w:szCs w:val="24"/>
        </w:rPr>
        <w:t>四、争议解决方式</w:t>
      </w:r>
    </w:p>
    <w:p w14:paraId="7CFAEBD1"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各方当事人同意，因《基金合同》而产生的或与《基金合同》有关的一切争议可通过友好协商或者调解解决，如未能协商或者调解解决的，任何一方均有权将争议提交上海国际经济贸易仲裁委员会，按照其届时有效的仲裁规则进行仲裁，仲裁地点为上海市。仲裁裁决是终局的，对各方当事人均有约束力，除非仲裁裁决另有决定，仲裁费用由败诉方承担。</w:t>
      </w:r>
    </w:p>
    <w:p w14:paraId="4135BF24"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争议处理期间，基金合同当事人应恪守各自的职责，继续忠实、勤勉、尽责地履行基金合同规定的义务，维护基金份额持有人的合法权益。</w:t>
      </w:r>
    </w:p>
    <w:p w14:paraId="45F298A0" w14:textId="77777777" w:rsidR="00496B2C" w:rsidRDefault="005605B9">
      <w:pPr>
        <w:pStyle w:val="div"/>
        <w:shd w:val="clear" w:color="auto" w:fill="FFFFFF"/>
        <w:spacing w:line="360" w:lineRule="auto"/>
        <w:ind w:firstLine="480"/>
        <w:rPr>
          <w:rFonts w:ascii="宋体" w:hAnsi="宋体" w:cs="宋体"/>
          <w:color w:val="272C36"/>
          <w:kern w:val="0"/>
          <w:sz w:val="24"/>
          <w:szCs w:val="24"/>
        </w:rPr>
      </w:pPr>
      <w:r>
        <w:rPr>
          <w:rFonts w:ascii="宋体" w:hAnsi="宋体" w:cs="宋体"/>
          <w:color w:val="272C36"/>
          <w:kern w:val="0"/>
          <w:sz w:val="24"/>
          <w:szCs w:val="24"/>
        </w:rPr>
        <w:t>《基金合同》受中国法律（为本基金合同之目的，在此不包括香港、澳门特别行政区和台湾地区法律）管辖并从其解释。</w:t>
      </w:r>
    </w:p>
    <w:p w14:paraId="06D61615" w14:textId="77777777" w:rsidR="00496B2C" w:rsidRDefault="005605B9">
      <w:pPr>
        <w:pStyle w:val="2"/>
        <w:keepNext w:val="0"/>
        <w:keepLines w:val="0"/>
        <w:spacing w:before="0" w:after="0" w:line="360" w:lineRule="auto"/>
        <w:ind w:firstLine="420"/>
        <w:jc w:val="left"/>
        <w:rPr>
          <w:rFonts w:ascii="Times New Roman" w:eastAsia="Times New Roman" w:hAnsi="Times New Roman"/>
          <w:bCs/>
          <w:kern w:val="0"/>
          <w:sz w:val="24"/>
          <w:szCs w:val="24"/>
        </w:rPr>
      </w:pPr>
      <w:r>
        <w:rPr>
          <w:rFonts w:ascii="宋体" w:eastAsia="宋体" w:hAnsi="宋体" w:cs="宋体"/>
          <w:bCs/>
          <w:kern w:val="0"/>
          <w:sz w:val="24"/>
          <w:szCs w:val="24"/>
        </w:rPr>
        <w:t>五、基金合同存放地和投资者取得基金合同的方式</w:t>
      </w:r>
    </w:p>
    <w:p w14:paraId="5E19E2F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《基金合同》可印制成册，供投资者在基金管理人、基金托管人、销售机构的办公场所和营业场所查阅。</w:t>
      </w:r>
      <w:r>
        <w:rPr>
          <w:rFonts w:ascii="宋体" w:hAnsi="宋体" w:cs="宋体"/>
          <w:kern w:val="0"/>
          <w:sz w:val="24"/>
          <w:szCs w:val="24"/>
        </w:rPr>
        <w:br w:type="page"/>
      </w:r>
    </w:p>
    <w:p w14:paraId="2224240D" w14:textId="77777777" w:rsidR="00496B2C" w:rsidRDefault="005605B9">
      <w:pPr>
        <w:pStyle w:val="1"/>
        <w:spacing w:before="0" w:after="0"/>
        <w:jc w:val="center"/>
        <w:rPr>
          <w:rFonts w:ascii="Times New Roman"/>
          <w:color w:val="auto"/>
          <w:sz w:val="30"/>
        </w:rPr>
      </w:pPr>
      <w:bookmarkStart w:id="60" w:name="_Toc256000019"/>
      <w:r>
        <w:rPr>
          <w:rFonts w:ascii="Times New Roman"/>
          <w:color w:val="auto"/>
          <w:sz w:val="30"/>
        </w:rPr>
        <w:lastRenderedPageBreak/>
        <w:t>第二十部分</w:t>
      </w:r>
      <w:r>
        <w:rPr>
          <w:rFonts w:ascii="Times New Roman"/>
          <w:color w:val="auto"/>
          <w:sz w:val="30"/>
        </w:rPr>
        <w:t xml:space="preserve">  </w:t>
      </w:r>
      <w:r>
        <w:rPr>
          <w:rFonts w:ascii="Times New Roman"/>
          <w:color w:val="auto"/>
          <w:sz w:val="30"/>
        </w:rPr>
        <w:t>托管协议的内容摘要</w:t>
      </w:r>
      <w:bookmarkEnd w:id="60"/>
    </w:p>
    <w:p w14:paraId="5F87BACC" w14:textId="77777777" w:rsidR="00496B2C" w:rsidRDefault="00496B2C"/>
    <w:p w14:paraId="75160729"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一、基金托管协议当事人</w:t>
      </w:r>
    </w:p>
    <w:p w14:paraId="691DB5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（一）基金管理人</w:t>
      </w:r>
    </w:p>
    <w:p w14:paraId="33B7384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名称：汇添富基金管理股份有限公司</w:t>
      </w:r>
    </w:p>
    <w:p w14:paraId="16F7722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住所：上海市黄浦区外马路728号9楼</w:t>
      </w:r>
    </w:p>
    <w:p w14:paraId="2DE34B5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法定代表人：鲁伟铭</w:t>
      </w:r>
    </w:p>
    <w:p w14:paraId="03CEF8A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设立日期：2005年2月3日</w:t>
      </w:r>
    </w:p>
    <w:p w14:paraId="36266F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批准设立机关及批准设立文号：中国证监会证监基金字【2005】5号</w:t>
      </w:r>
    </w:p>
    <w:p w14:paraId="7B8A57C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组织形式：股份有限公司</w:t>
      </w:r>
    </w:p>
    <w:p w14:paraId="0556AB8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注册资本：人民币132,724,224元</w:t>
      </w:r>
    </w:p>
    <w:p w14:paraId="68FF87C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存续期限：持续经营</w:t>
      </w:r>
    </w:p>
    <w:p w14:paraId="2E09A5E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联系电话：（021）28932888</w:t>
      </w:r>
    </w:p>
    <w:p w14:paraId="432F68D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（二）基金托管人</w:t>
      </w:r>
    </w:p>
    <w:p w14:paraId="0CD6B21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名称：兴业银行股份有限公司</w:t>
      </w:r>
    </w:p>
    <w:p w14:paraId="237BD57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注册地址：福建省福州市台江区江滨中大道398号兴业银行大厦</w:t>
      </w:r>
    </w:p>
    <w:p w14:paraId="60B9AC7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办公地址：上海市银城路167号</w:t>
      </w:r>
    </w:p>
    <w:p w14:paraId="4E19664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法定代表人：吕家进</w:t>
      </w:r>
    </w:p>
    <w:p w14:paraId="3F76B6D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成立日期：1988年8月22日</w:t>
      </w:r>
    </w:p>
    <w:p w14:paraId="4850732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批准设立机关和批准设立文号：中国人民银行总行，银复〔1988〕347号</w:t>
      </w:r>
    </w:p>
    <w:p w14:paraId="515D6E7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基金托管业务批准文号：中国证监会证监基金字〔2005〕74号</w:t>
      </w:r>
    </w:p>
    <w:p w14:paraId="08647F6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组织形式：股份有限公司</w:t>
      </w:r>
    </w:p>
    <w:p w14:paraId="1278BC5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注册资本：207.74亿元人民币</w:t>
      </w:r>
    </w:p>
    <w:p w14:paraId="3CDEC76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存续期间：持续经营</w:t>
      </w:r>
    </w:p>
    <w:p w14:paraId="499473D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经营范围：吸收公众存款；发放短期、中期和长期贷款；办理国内外结算；办理票据承兑与贴现；发行金融债券；代理发行、代理兑付、承销政府债券；买卖政府债券、金融债券；代理发行股票以外的有价证券；买卖、代理买卖股票以外的有价证券；资产托管业务；从事同业拆借；买卖、代理买卖外汇；结汇、售汇业务；从事银行卡业务；提供信用证服务及担保；代理收付款项及代理保险业务；提供保管箱服务；财务顾问、资信调查、咨询、见证业务；经中国银行保险</w:t>
      </w:r>
      <w:r>
        <w:rPr>
          <w:rFonts w:ascii="宋体" w:hAnsi="宋体" w:cs="宋体"/>
          <w:kern w:val="0"/>
          <w:sz w:val="24"/>
          <w:szCs w:val="24"/>
        </w:rPr>
        <w:lastRenderedPageBreak/>
        <w:t>监督管理委员会批准的其他业务；保险兼业代理业务；黄金及其制品进出口；公募证券投资基金销售；证券投资基金托管。（依法须经批准的项目，经相关部门批准后方可开展经营活动，经营项目以相关部门批准文件或许可证件为准）。</w:t>
      </w:r>
    </w:p>
    <w:p w14:paraId="5F2BD1A5"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二、基金托管人对基金管理人的业务监督和核查</w:t>
      </w:r>
    </w:p>
    <w:p w14:paraId="2F16940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（一）基金托管人对基金管理人的投资行为行使监督权</w:t>
      </w:r>
    </w:p>
    <w:p w14:paraId="103A091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人根据有关法律法规的规定及基金合同的约定，对基金投资范围、投资对象进行监督。基金托管人运用相关技术系统，对基金实际投资是否符合基金合同关于证券选择标准的约定进行监督，对存在疑义的事项进行核查。</w:t>
      </w:r>
    </w:p>
    <w:p w14:paraId="1D7B9FC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投资范围及投资对象：</w:t>
      </w:r>
    </w:p>
    <w:p w14:paraId="2AAE839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的投资范围为具有良好流动性的金融工具，包括国内依法发行上市的股票（含主板、创业板及其他经中国证监会允许上市的股票、存托凭证）、港股通标的股票、债券（包括国债、央行票据、金融债、企业债、公司债、中期票据、短期融资券、超短期融资券、次级债券、政府支持债券、政府支持机构债券、地方政府债券、可交换债券、可转换债券（含分离交易可转债）及其他经中国证监会允许投资的债券）、股指期货、国债期货、股票期权、资产支持证券、债券回购、同业存单、银行存款（包含协议存款、定期存款及其他银行存款）、货币市场工具以及法律法规或中国证监会允许基金投资的其他金融工具(但须符合中国证监会相关规定)。</w:t>
      </w:r>
    </w:p>
    <w:p w14:paraId="03FC1F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本基金还可根据法律法规参与融资业务。</w:t>
      </w:r>
    </w:p>
    <w:p w14:paraId="7A5D391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如法律法规或监管机构以后允许基金投资其他品种，基金管理人在履行适当程序后，可以将其纳入投资范围。</w:t>
      </w:r>
    </w:p>
    <w:p w14:paraId="6565037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的投资组合比例为：本基金股票资产占基金资产的比例为80%-95%，其中，投资于港股通标的股票的比例不超过股票资产的50%。每个交易日日终在扣除国债期货、股指期货和股票期权合约需缴纳的交易保证金后，本基金保留的现金或投资于到期日在一年以内的政府债券的比例合计不低于基金资产净值的5%。其中现金不包括结算备付金、存出保证金、应收申购款等。</w:t>
      </w:r>
    </w:p>
    <w:p w14:paraId="6F430F3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如法律法规或监管机构变更投资品种的投资比例限制，基金管理人在履行适当程序后，可以调整上述投资品种的投资比例。</w:t>
      </w:r>
    </w:p>
    <w:p w14:paraId="7AAAF3F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（二）基金托管人根据有关法律法规的规定及基金合同的约定，对基金投资比例进行监督。基金托管人按下述限制和调整期限进行监督：</w:t>
      </w:r>
    </w:p>
    <w:p w14:paraId="0B5F107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（1）本基金股票资产占基金资产的比例为80%-95%；其中，投资于港股通标的股票的比例不超过股票资产的50%；</w:t>
      </w:r>
    </w:p>
    <w:p w14:paraId="5906AFA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每个交易日日终在扣除国债期货、股指期货和股票期权合约需缴纳的交易保证金后，本基金保留的现金或投资于到期日在一年以内的政府债券的比例合计不低于基金资产净值的5%。其中现金不包括结算备付金、存出保证金和应收申购款等；</w:t>
      </w:r>
    </w:p>
    <w:p w14:paraId="708E0D2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（3）本基金持有一家公司发行的证券（同一家公司在内地和香港同时上市的A+H股合并计算），其市值不超过基金资产净值的10％；</w:t>
      </w:r>
    </w:p>
    <w:p w14:paraId="149CAAA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本基金管理人管理的全部基金持有一家公司发行的证券（同一家公司在内地和香港同时上市的A+H股合并计算），不超过该证券的10％，完全按照有关指数的构成比例进行证券投资的基金品种可以不受此条款规定的比例限制；</w:t>
      </w:r>
    </w:p>
    <w:p w14:paraId="594B95C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（5）本基金投资于同一原始权益人的各类资产支持证券的比例，不得超过基金资产净值的10%；</w:t>
      </w:r>
    </w:p>
    <w:p w14:paraId="43BD7CE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（6）本基金持有的全部资产支持证券，其市值不得超过基金资产净值的20%；</w:t>
      </w:r>
    </w:p>
    <w:p w14:paraId="576CCD8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（7）本基金持有的同一(指同一信用级别)资产支持证券的比例，不得超过该资产支持证券规模的10%；</w:t>
      </w:r>
    </w:p>
    <w:p w14:paraId="0415B5A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（8）本基金管理人管理的全部基金投资于同一原始权益人的各类资产支持证券，不得超过其各类资产支持证券合计规模的10%；</w:t>
      </w:r>
    </w:p>
    <w:p w14:paraId="4FE7441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（9）本基金应投资于信用级别评级为BBB以上(含BBB)的资产支持证券。基金持有资产支持证券期间，如果其信用等级下降、不再符合投资标准，应在评级报告发布之日起3个月内予以全部卖出；</w:t>
      </w:r>
    </w:p>
    <w:p w14:paraId="762C714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（10）基金财产参与股票发行申购，本基金所申报的金额不超过本基金的总资产，本基金所申报的股票数量不超过拟发行股票公司本次发行股票的总量；</w:t>
      </w:r>
    </w:p>
    <w:p w14:paraId="2201ECA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11）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开放式基金以及中国证监会认定的特殊投资组合可不受前述比例限制；</w:t>
      </w:r>
    </w:p>
    <w:p w14:paraId="3EE1CB3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（12）本基金主动投资于流动性受限资产的市值合计不得超过本基金资产净</w:t>
      </w:r>
      <w:r>
        <w:rPr>
          <w:rFonts w:ascii="宋体" w:hAnsi="宋体" w:cs="宋体"/>
          <w:kern w:val="0"/>
          <w:sz w:val="24"/>
          <w:szCs w:val="24"/>
        </w:rPr>
        <w:lastRenderedPageBreak/>
        <w:t>值的15%；因证券市场波动、上市公司股票停牌、基金规模变动等基金管理人之外的因素致使基金不符合该比例限制的，基金管理人不得主动新增流动性受限资产的投资；</w:t>
      </w:r>
    </w:p>
    <w:p w14:paraId="773DEE6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（13）本基金与私募类证券资管产品及中国证监会认定的其他主体为交易对手开展逆回购交易的，可接受质押品的资质要求应当与基金合同约定的投资范围保持一致；</w:t>
      </w:r>
    </w:p>
    <w:p w14:paraId="1DF07F3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（14）本基金资产总值不超过基金资产净值的140%；</w:t>
      </w:r>
    </w:p>
    <w:p w14:paraId="2E4D8D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（15）本基金参与股指期货和国债期货交易的，应当遵守下列要求：</w:t>
      </w:r>
    </w:p>
    <w:p w14:paraId="70360D7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在任何交易日日终，持有的买入国债期货和股指期货合约价值与有价证券市值之和，不得超过基金资产净值的95%；其中，有价证券指股票、债券（不含到期日在一年以内的政府债券）、资产支持证券、买入返售金融资产（不含质押式回购）等；</w:t>
      </w:r>
    </w:p>
    <w:p w14:paraId="64AE994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本基金在任何交易日日终，持有的买入股指期货合约价值，不得超过基金资产净值的10%；在任何交易日日终，持有的卖出股指期货合约价值不得超过基金持有的股票总市值的20%；本基金在任何交易日内交易（不包括平仓）的股指期货合约的成交金额不得超过上一交易日基金资产净值的20%；本基金所持有的股票市值和买入、卖出股指期货合约价值，合计（轧差计算）应当符合《基金合同》关于股票投资比例的有关约定；</w:t>
      </w:r>
    </w:p>
    <w:p w14:paraId="193AB13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本基金在任何交易日日终，持有的买入国债期货合约价值，不得超过基金资产净值的15%；在任何交易日日终，持有的卖出国债期货合约价值不得超过基金持有的债券总市值的30%；在任何交易日内交易（不包括平仓）的国债期货合约的成交金额不得超过上一交易日基金资产净值的30%；本基金所持有的债券（不含到期日在一年以内的政府债券）市值和买入、卖出国债期货合约价值，合计（轧差计算）应当符合基金合同关于债券投资比例的有关约定；</w:t>
      </w:r>
    </w:p>
    <w:p w14:paraId="7BADCAA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16）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55440E3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（17）本基金参与融资的，每个交易日日终，本基金持有的融资买入股票与其他有价证券市值之和，不得超过基金资产净值的95%；</w:t>
      </w:r>
    </w:p>
    <w:p w14:paraId="2EE1E13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（18）本基金投资存托凭证的比例限制依照境内上市交易的股票执行；</w:t>
      </w:r>
    </w:p>
    <w:p w14:paraId="2A8AE72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（19）法律法规及中国证监会规定的和《基金合同》约定的其他投资限制。</w:t>
      </w:r>
    </w:p>
    <w:p w14:paraId="2DD1D48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除上述第（2）、（9）、（12）、（13）项规定以外，因证券/期货市场波动、证券发行人合并、基金规模变动等基金管理人之外的因素致使基金投资比例不符合上述规定投资比例的，基金管理人应当在10个交易日内进行调整，但中国证监会规定的特殊情形除外。</w:t>
      </w:r>
    </w:p>
    <w:p w14:paraId="65D2017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基金合同生效之日起开始。</w:t>
      </w:r>
    </w:p>
    <w:p w14:paraId="448F6A0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法律法规或监管部门取消或调整上述限制，如适用于本基金，基金管理人在履行适当程序后，则本基金投资不再受相关限制或以调整以后的规定为准。</w:t>
      </w:r>
    </w:p>
    <w:p w14:paraId="4CE37E0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（三）基金托管人根据有关法律法规的规定及基金合同的约定，对本托管协议项下的基金投资禁止行为进行监督。</w:t>
      </w:r>
    </w:p>
    <w:p w14:paraId="4E6703E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（四）基金托管人根据有关法律法规的规定及基金合同的约定，对关联交易进行监督。</w:t>
      </w:r>
    </w:p>
    <w:p w14:paraId="610D663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A17601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法律法规或监管部门取消或变更上述限制，如适用于本基金，基金管理人在履行适当程序后，则本基金投资不再受相关限制或以变更后的规定为准。</w:t>
      </w:r>
    </w:p>
    <w:p w14:paraId="4DCF16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根据法律法规有关基金从事的关联交易的规定，基金管理人和基金托管人应事先相互提供与本机构有控股关系的股东、实际控制人或者与其有其他重大利害</w:t>
      </w:r>
      <w:r>
        <w:rPr>
          <w:rFonts w:ascii="宋体" w:hAnsi="宋体" w:cs="宋体"/>
          <w:kern w:val="0"/>
          <w:sz w:val="24"/>
          <w:szCs w:val="24"/>
        </w:rPr>
        <w:lastRenderedPageBreak/>
        <w:t>关系的公司名单及有关关联方发行的证券名单，基金管理人方名单应加盖公章并书面提交，并确保所提供的关联交易名单的真实性、完整性、全面性；基金托管人方名单以公开市场披露信息为准，不再单独提供。基金管理人及基金托管人有责任保管真实、完整、全面的关联交易名单，并负责及时更新该名单。基金管理人方名单变更后应及时发送基金托管人，基金托管人回函确认已知名单的变更。基金管理人收到基金托管人书面确认后，新的关联交易名单开始生效。基金托管人方名单变更后应及时公开披露，新的关联交易名单于公开披露时开始生效。</w:t>
      </w:r>
    </w:p>
    <w:p w14:paraId="1C9917B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（五）基金托管人根据有关法律法规的规定及基金合同的约定，对基金管理人参与银行间债券市场进行监督。</w:t>
      </w:r>
    </w:p>
    <w:p w14:paraId="382EC67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如基金管理人在基金投资运作之前未向基金托管人提供银行间债券市场交易对手名单的，视为基金管理人认可全市场交易对手。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w:t>
      </w:r>
    </w:p>
    <w:p w14:paraId="7580323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负责对交易对手的资信控制，按银行间债券市场的交易规则进行交易，并负责解决因交易对手不履行合同而造成的纠纷及损失。若未履约的交易对手在基金托管人与基金管理人确定的时间前仍未承担违约责任及其他相关法律责任的，基金管理人有权向相关交易对手追偿，基金托管人应予以必要的协助与配合。基金托管人根据银行间债券市场成交单对本基金银行间债券交易的交易对手及其结算方式进行监督。如基金托管人事后发现基金管理人没有按照事先约定的交易对手或交易方式进行交易时，基金托管人应及时以书面或以双方认可的其他方式提醒基金管理人，经提醒后仍未改正时造成基金财产损失的，基金托管人不承担由此造成的相应损失和责任。如果基金托管人未能切实履行监督职责，导致基金出现风险或造成基金资产损失的，基金托管人应承担相应责任。</w:t>
      </w:r>
    </w:p>
    <w:p w14:paraId="521385A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六）基金托管人根据有关法律法规的规定及基金合同的约定，对基金资产净值计算、基金份额净值计算、基金份额累计净值计算、应收资金到账、基金费用开支及收入确定、基金收益分配、相关信息披露、基金宣传推介材料中登载基金业绩表现数据等进行监督和核查。</w:t>
      </w:r>
    </w:p>
    <w:p w14:paraId="51FA51E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（七）基金托管人对基金投资银行存款进行监督。</w:t>
      </w:r>
    </w:p>
    <w:p w14:paraId="0B259BC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本基金投资银行存款应符合如下规定：</w:t>
      </w:r>
    </w:p>
    <w:p w14:paraId="3CD71C3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1、基金管理人、基金托管人应当与存款银行建立定期对账机制，确保基金银行存款业务账目及核算的真实、准确。</w:t>
      </w:r>
    </w:p>
    <w:p w14:paraId="2361E61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管理人应当按照有关法规规定，与基金托管人、存款机构签订相关书面协议。基金托管人应根据相关法规及协议对基金银行存款业务进行监督与核查，严格审查、复核相关协议、账户资料、投资指令、存款证实书等有关文件，切实履行托管职责。</w:t>
      </w:r>
    </w:p>
    <w:p w14:paraId="7DC4A2B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3、基金管理人与基金托管人在开展基金存款业务时，应严格遵守《基金法》、《运作办法》等有关法律法规，以及国家有关账户管理、利率管理、支付结算等的各项规定。</w:t>
      </w:r>
    </w:p>
    <w:p w14:paraId="7BA4618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基金投资银行存款的，基金管理人应根据法律法规的规定及基金合同的约定，确定符合条件的所有存款银行的名单，并及时提供给基金托管人，基金托管人应据以对基金投资银行存款的交易对手是否符合有关规定进行监督。如基金管理人在基金投资运作之前未向基金托管人提供存款银行名单的，视为基金管理人认可所有银行。</w:t>
      </w:r>
    </w:p>
    <w:p w14:paraId="6C3EB13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（八）基金托管人根据有关法律法规的规定及基金合同的约定，对基金投资流通受限证券进行监督。</w:t>
      </w:r>
    </w:p>
    <w:p w14:paraId="3C2078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1、基金投资流通受限证券，应遵守《关于基金投资非公开发行股票等流通受限证券有关问题的通知》等有关法律法规规定。</w:t>
      </w:r>
    </w:p>
    <w:p w14:paraId="44B5B63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w:t>
      </w:r>
    </w:p>
    <w:p w14:paraId="0A1B30B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3、基金托管人应对基金管理人是否遵守法律法规、投资决策流程、风险控</w:t>
      </w:r>
      <w:r>
        <w:rPr>
          <w:rFonts w:ascii="宋体" w:hAnsi="宋体" w:cs="宋体"/>
          <w:kern w:val="0"/>
          <w:sz w:val="24"/>
          <w:szCs w:val="24"/>
        </w:rPr>
        <w:lastRenderedPageBreak/>
        <w:t>制制度、流动性风险处置预案情况进行监督，并审核基金管理人提供的有关书面信息。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备查资料的权利。</w:t>
      </w:r>
    </w:p>
    <w:p w14:paraId="5027EDA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基金管理人和基金托管人无法达成一致，应及时上报中国证监会请求解决。如果基金托管人切实履行监督职责，则不承担任何责任。如果基金托管人没有切实履行监督职责，导致基金出现风险，基金托管人应承担连带责任。</w:t>
      </w:r>
    </w:p>
    <w:p w14:paraId="26D553C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4、相关法律法规对基金投资流通受限证券有新规定的，从其规定。</w:t>
      </w:r>
    </w:p>
    <w:p w14:paraId="60FC860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（九）基金托管人根据有关法律法规的规定及基金合同的约定，对基金投资中期票据进行监督</w:t>
      </w:r>
    </w:p>
    <w:p w14:paraId="52AFDC3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基金管理人严格遵守法律法规和基金合同关于投资中期票据的相关规定，基金托管人按照法律法规和基金合同对基金管理人投资中期票据的额度和比例进行监督。</w:t>
      </w:r>
    </w:p>
    <w:p w14:paraId="3F9F2F7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基金托管人发现基金管理人的上述事项及投资指令或实际投资运作违反法律法规、基金合同和本托管协议的规定，应及时以电话提醒或书面提示等双方认可的方式通知基金管理人限期纠正。基金管理人应积极配合和协助基金托管人的监督和核查。基金管理人收到电话提醒或书面通知后应在下一工作日前及时核对并以书面形式给基金托管人发出回函，就基金托管人的合理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如果基金托管人未能切实履行监督职责，导致基金出现风险或造成基金资产损失的，基金托管人应承担相应责任。</w:t>
      </w:r>
    </w:p>
    <w:p w14:paraId="58ED0F7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一）基金管理人有义务配合和协助基金托管人依照法律法规、基金合同和本托管协议对基金业务执行核查。对基金托管人发出的电话提醒或书面提示，基金管理人应在规定时间内答复并改正，或就基金托管人的合理疑义进行解释或举证；对基金托管人按照法律法规、基金合同和本托管协议的要求需向中国证监会报送基金监督报告的事项，基金管理人应积极配合提供相关数据资料和制度等。</w:t>
      </w:r>
    </w:p>
    <w:p w14:paraId="1977589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十二）若基金托管人发现基金管理人依据交易程序已经生效的指令违反法律、行政法规和其他有关规定，或者违反基金合同约定的，应当立即以书面或以双方认可的其他方式通知基金管理人，由此造成的相应损失由基金管理人承担。</w:t>
      </w:r>
    </w:p>
    <w:p w14:paraId="128F801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三）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对方进行有效监督，情节严重或经基金托管人提出警告仍不改正的，基金托管人应报告中国证监会。</w:t>
      </w:r>
    </w:p>
    <w:p w14:paraId="2630B76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四）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35F9099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侧袋机制实施期间，本基金的投资组合比例、组合限制等约定仅适用于主袋账户。</w:t>
      </w:r>
    </w:p>
    <w:p w14:paraId="2DF0D20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侧袋账户的实施条件、实施程序、运作安排、投资安排、特定资产的处置变现和支付等对投资者权益有重大影响的事项详见招募说明书的规定。</w:t>
      </w:r>
    </w:p>
    <w:p w14:paraId="0AB5FB90"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三、基金管理人对基金托管人的业务核查</w:t>
      </w:r>
    </w:p>
    <w:p w14:paraId="02806C7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管理人对基金托管人履行托管职责情况进行核查，核查事项包括但不限于基金托管人安全保管基金财产、开设基金财产的资金账户、证券账户及投资所需的其他账户、复核基金管理人计算的基金资产净值和基金份额净值、根据基金管理人指令办理清算交收、相关信息披露和监督基金投资运作等行为。</w:t>
      </w:r>
    </w:p>
    <w:p w14:paraId="13CD46E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管理人发现基金托管人擅自挪用基金财产、未对基金财产实行分账管理、未执行或无故延迟执行基金管理人资金划拨指令、泄露基金投资信息等违反《基金法》、基金合同、本托管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基金托管人对基金管理人通知的违规事项未能在限期内纠正或未在合理期限内确认的，基金管理人应报告中国证监会。基金管理人有权要求基金托</w:t>
      </w:r>
      <w:r>
        <w:rPr>
          <w:rFonts w:ascii="宋体" w:hAnsi="宋体" w:cs="宋体"/>
          <w:kern w:val="0"/>
          <w:sz w:val="24"/>
          <w:szCs w:val="24"/>
        </w:rPr>
        <w:lastRenderedPageBreak/>
        <w:t>管人赔偿基金管理人及基金财产因此所遭受的损失。</w:t>
      </w:r>
    </w:p>
    <w:p w14:paraId="4525DE9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14:paraId="58D83891"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四、基金财产的保管</w:t>
      </w:r>
    </w:p>
    <w:p w14:paraId="79FEEEF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（一）基金财产保管的原则</w:t>
      </w:r>
    </w:p>
    <w:p w14:paraId="4423315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1、基金财产应独立于基金管理人、基金托管人和证券经纪机构的固有财产。</w:t>
      </w:r>
    </w:p>
    <w:p w14:paraId="15295AF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2、基金托管人应安全保管基金财产。</w:t>
      </w:r>
    </w:p>
    <w:p w14:paraId="6E9430B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3、基金托管人按照规定开设基金财产的资金账户、证券账户及投资所需的其他账户。</w:t>
      </w:r>
    </w:p>
    <w:p w14:paraId="461EAF8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4、基金托管人对所托管的不同基金财产分别设置账户，与基金托管人的其他业务和其他基金的托管业务实行严格的分账管理，确保基金财产的完整与独立。</w:t>
      </w:r>
    </w:p>
    <w:p w14:paraId="2240CB6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基金托管人按照基金合同和本协议的约定保管基金财产，如有特殊情况双方可另行协商解决。基金托管人未经基金管理人的合法合规指令，不得自行运用、处分、分配本基金的任何资产（不包含基金托管人依据中国证券登记结算有限责任公司（以下简称“中登公司”或“中国结算公司”）结算数据完成场内交易交收、基金资产开户银行扣收结算费和账户维护费等费用）。</w:t>
      </w:r>
    </w:p>
    <w:p w14:paraId="2AC7DD7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对于因为基金投资产生的应收资产，应由基金管理人负责与有关当事人确定到账日期并通知基金托管人，到账日基金财产没有到达基金账户的，基金托管人应及时通知基金管理人采取措施进行催收。由此给基金财产造成损失的，基金管理人应负责向有关当事人追偿基金财产的损失，基金托管人应予以必要的协助与配合，但对此不承担相应责任。</w:t>
      </w:r>
    </w:p>
    <w:p w14:paraId="5088477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7、除依据法律法规和基金合同的规定外，基金托管人不得委托第三人托管基金财产。</w:t>
      </w:r>
    </w:p>
    <w:p w14:paraId="172B9321" w14:textId="77777777" w:rsidR="00496B2C" w:rsidRDefault="005605B9">
      <w:pPr>
        <w:pStyle w:val="div"/>
        <w:spacing w:line="360" w:lineRule="auto"/>
        <w:ind w:firstLine="480"/>
        <w:rPr>
          <w:rFonts w:ascii="宋体" w:hAnsi="宋体" w:cs="宋体"/>
          <w:kern w:val="0"/>
          <w:sz w:val="24"/>
          <w:szCs w:val="24"/>
        </w:rPr>
      </w:pPr>
      <w:r>
        <w:rPr>
          <w:rFonts w:ascii="宋体" w:hAnsi="宋体" w:cs="宋体" w:hint="eastAsia"/>
          <w:kern w:val="0"/>
          <w:sz w:val="24"/>
          <w:szCs w:val="24"/>
        </w:rPr>
        <w:t>8、托管人对已划出托管账户以及处于托管人实际控制之外的资产不承担保管责任。</w:t>
      </w:r>
    </w:p>
    <w:p w14:paraId="7DB8111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（二）基金募集期间及募集资金的验资</w:t>
      </w:r>
    </w:p>
    <w:p w14:paraId="19753AE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1、基金管理人应将基金募集期间募集的资金存入专门账户，在基金募集行</w:t>
      </w:r>
      <w:r>
        <w:rPr>
          <w:rFonts w:ascii="宋体" w:hAnsi="宋体" w:cs="宋体"/>
          <w:kern w:val="0"/>
          <w:sz w:val="24"/>
          <w:szCs w:val="24"/>
        </w:rPr>
        <w:lastRenderedPageBreak/>
        <w:t>为结束前，任何人不得动用。该账户由基金管理人开立并管理。</w:t>
      </w:r>
    </w:p>
    <w:p w14:paraId="4160D68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募集期满或基金提前结束募集时，募集的基金份额总额、基金募集金额、基金份额持有人人数符合《基金法》、《运作办法》、基金合同等有关规定后，基金管理人应将属于基金财产的全部资金划入基金托管人为本基金开立的托管资金账户（或称“托管账户”），同时在规定时间内，聘请符合《中华人民共和国证券法》规定的会计师事务所进行验资，出具验资报告。出具的验资报告由参加验资的2名或2名以上符合《中华人民共和国证券法》规定的注册会计师签字方为有效。验资报告需对发起资金提供方及其持有份额进行专门说明。验资完成，基金管理人将募集的属于本基金财产的全部资金划入基金托管人为基金在具有托管资格的商业银行开立的基金托管专户中，基金托管人在收到资金当日出具确认文件。</w:t>
      </w:r>
    </w:p>
    <w:p w14:paraId="3B12DE7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3、若基金募集期限届满或基金提前结束募集时，未能达到基金备案的条件，由基金管理人按规定办理退款等事宜，基金托管人应提供充分协助。</w:t>
      </w:r>
    </w:p>
    <w:p w14:paraId="5DEE85B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（三）基金托管资金账户的开立和管理</w:t>
      </w:r>
    </w:p>
    <w:p w14:paraId="228D176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1．基金管理人、基金托管人为本基金单独开立托管资金账户。</w:t>
      </w:r>
      <w:r>
        <w:rPr>
          <w:rFonts w:ascii="宋体" w:hAnsi="宋体" w:cs="宋体" w:hint="eastAsia"/>
          <w:kern w:val="0"/>
          <w:sz w:val="24"/>
          <w:szCs w:val="24"/>
        </w:rPr>
        <w:t>托管资金账户名称原则上应当包含开户主体和产品名称字样，</w:t>
      </w:r>
      <w:r>
        <w:rPr>
          <w:rFonts w:ascii="宋体" w:hAnsi="宋体" w:cs="宋体"/>
          <w:kern w:val="0"/>
          <w:sz w:val="24"/>
          <w:szCs w:val="24"/>
        </w:rPr>
        <w:t>具体名称以实际开立为准。本基金的一切货币收支活动，包括但不限于投资、支付退出金额、支付基金收益、收取认购/参与款，均需通过该托管资金账户进行。</w:t>
      </w:r>
    </w:p>
    <w:p w14:paraId="19C6797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2．托管资金账户的开立和使用，限于满足开展本基金业务的需要。基金托管人和基金管理人不得假借本基金的名义开立其他任何银行账户；亦不得使用本基金的任何银行账户进行本基金业务以外的活动。</w:t>
      </w:r>
    </w:p>
    <w:p w14:paraId="6E2DCD6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3．托管资金账户的管理应符合有关法律法规的规定。</w:t>
      </w:r>
    </w:p>
    <w:p w14:paraId="6E2DAAB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（四）专用资金账户（专用资金台账账户）</w:t>
      </w:r>
    </w:p>
    <w:p w14:paraId="68FB985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专用资金账户是以基金名义在基金管理人所选择的证券公司的下属营业机构开立，并与托管资金账户建立第三方存管关系的账户。基金管理人应与托管资金账户开户机构签署《客户交易结算资金银行存管协议书》。专用资金账户开立后，基金管理人将专用资金账户的开户资料（复印件）加盖业务专用章后交基金托管人留存。</w:t>
      </w:r>
    </w:p>
    <w:p w14:paraId="170FCAF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在本协议有效期内，未经基金托管人同意，基金管理人不得注销该专用资金</w:t>
      </w:r>
      <w:r>
        <w:rPr>
          <w:rFonts w:ascii="宋体" w:hAnsi="宋体" w:cs="宋体"/>
          <w:kern w:val="0"/>
          <w:sz w:val="24"/>
          <w:szCs w:val="24"/>
        </w:rPr>
        <w:lastRenderedPageBreak/>
        <w:t>账户，也不得自行通过“第三方存管”平台从专用资金账户向银行结算账户（即托管资金账户）划款。</w:t>
      </w:r>
    </w:p>
    <w:p w14:paraId="53EA80F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（五）证券账户的开立和管理</w:t>
      </w:r>
    </w:p>
    <w:p w14:paraId="666304C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根据基金管理人的申请，基金管理人、基金托管人按照规定开立基金财产证券账户。基金管理人、基金托管人应当在开户过程中相互配合，并提供所需资料。证券账户的持有人名称应当符合证券登记结算机构的有关规定。</w:t>
      </w:r>
    </w:p>
    <w:p w14:paraId="7FBC5B0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证券账户的开立和使用，限于满足开展本基金业务的需要。基金托管人和基金管理人不得出借和未经对方同意擅自转让本基金任何证券账户，亦不得使用本基金的任何证券账户进行本基金业务以外的活动。</w:t>
      </w:r>
    </w:p>
    <w:p w14:paraId="77FE0A7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（六）银行间债券市场的相关账户的开立和管理</w:t>
      </w:r>
    </w:p>
    <w:p w14:paraId="67E4641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负责以本基金的名义申请并取得全国银行间同业拆借市场的交易资格，并代表本基金进行交易；基金托管人负责以基金资产的名义在中央国债登记结算有限责任公司和银行间市场清算所股份有限公司开设银行间债券市场债券托管账户，并代表本基金进行债券和资金的清算。基金管理人、基金托管人应互相配合并提供相关资料。</w:t>
      </w:r>
    </w:p>
    <w:p w14:paraId="3FE1107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（七）开放式证券投资基金账户的开立和管理</w:t>
      </w:r>
    </w:p>
    <w:p w14:paraId="38406E1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1．基金管理人负责为本基金开立所需的基金账户。</w:t>
      </w:r>
    </w:p>
    <w:p w14:paraId="1ACCDE5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2．基金管理人在开立基金账户时应将托管资金账户作为赎回款、分红款指定收款账户。</w:t>
      </w:r>
    </w:p>
    <w:p w14:paraId="407ABC5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3．基金管理人需及时将基金账户的基金账户信息加盖经授权的基金管理人业务专用章后交付基金托管人。</w:t>
      </w:r>
    </w:p>
    <w:p w14:paraId="3F97744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4．在基金托管人收到基金账户信息前，基金管理人不得利用该账户进行投资活动。</w:t>
      </w:r>
    </w:p>
    <w:p w14:paraId="30547D2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5．基金托管人有权随时向基金注册登记人查询该账户资料。基金管理人应于每季度结束后十个工作日内将开放式基金对账单发送给基金托管人。</w:t>
      </w:r>
    </w:p>
    <w:p w14:paraId="3451B48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（八）投资定期存款的银行账户的开立和管理</w:t>
      </w:r>
    </w:p>
    <w:p w14:paraId="3D869E5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投资定期存款在存款机构开立的银行账户，包括实体或虚拟账户，其预留印鉴应包含基金托管人指定印章。本着便于基金财产的安全保管和日常监督核查的原则，存款行应尽量选择基金托管人经办行所在地的分支机构。对于任何的</w:t>
      </w:r>
      <w:r>
        <w:rPr>
          <w:rFonts w:ascii="宋体" w:hAnsi="宋体" w:cs="宋体"/>
          <w:kern w:val="0"/>
          <w:sz w:val="24"/>
          <w:szCs w:val="24"/>
        </w:rPr>
        <w:lastRenderedPageBreak/>
        <w:t>定期存款投资，基金管理人都必须和存款机构签订定期存款协议，约定双方的权利和义务，该协议作为划款指令附件。该协议中必须有如下条款或意思表示：“存款证实书不得被质押或以任何方式被抵押，并不得用于转让和背书；本息到期归还或提前支取的所有款项必须划至托管资金账户（明确户名、开户行、账号等），不得划入其他任何账户。”如定期存款协议中未体现前述条款，基金托管人有权拒绝定期存款投资的划款指令。在取得存款证实书后，原则上由基金托管人保管证实书正本。基金管理人应该在合理的时间内进行定期存款的投资和支取事宜，若基金管理人提前支取或部分提前支取定期存款，若产生息差（即基金财产已计提的资金利息和提前支取时收到的资金利息差额），该息差的处理方法由基金管理人和基金托管人双方协商解决。</w:t>
      </w:r>
    </w:p>
    <w:p w14:paraId="7074610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（九）期货投资账户的开立和管理</w:t>
      </w:r>
    </w:p>
    <w:p w14:paraId="3BBABD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基金管理人、基金托管人应当按照相关规定开立期货资金账户，在期货交易所获取交易编码。期货资金账户名称及交易编码对应名称应按照有关规定设立。</w:t>
      </w:r>
    </w:p>
    <w:p w14:paraId="05FB488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（十）其他账户的开立和管理</w:t>
      </w:r>
    </w:p>
    <w:p w14:paraId="141AE5D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因基金投资需要开立的其他账户应根据有关法律法规的规定开立，新账户按有关规则管理并使用。</w:t>
      </w:r>
    </w:p>
    <w:p w14:paraId="66F0782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（十一）基金财产投资的有关有价凭证等的保管</w:t>
      </w:r>
    </w:p>
    <w:p w14:paraId="323DF3C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财产投资的有关实物证券、银行存款开户证实书等有价凭证由基金托管人存放于基金托管人的保管库，也可存入中央国债登记结算有限责任公司、中登公司上海分公司/深圳分公司、银行间市场清算所股份有限公司或票据营业中心的代保管库，保管凭证由基金托管人持有。实物证券、银行存款开户证实书等有价凭证的购买和转让，由基金管理人和基金托管人共同办理。属于基金托管人控制下的实物证券在基金托管人保管期间的损坏、灭失，由此产生的责任应由基金托管人承担。基金托管人对由基金托管人以外机构实际有效控制的资产不承担保管责任。</w:t>
      </w:r>
    </w:p>
    <w:p w14:paraId="0DBD754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（十二）与基金财产有关的重大合同的保管</w:t>
      </w:r>
    </w:p>
    <w:p w14:paraId="38480A4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与基金财产有关的重大合同的签署，由基金管理人负责。由基金管理人代表基金签署的、与基金财产有关的重大合同分别由基金管理人、基金托管人保管。除本协议另有规定外，基金管理人代表基金签署的与基金财产有关的重大合同包</w:t>
      </w:r>
      <w:r>
        <w:rPr>
          <w:rFonts w:ascii="宋体" w:hAnsi="宋体" w:cs="宋体"/>
          <w:kern w:val="0"/>
          <w:sz w:val="24"/>
          <w:szCs w:val="24"/>
        </w:rPr>
        <w:lastRenderedPageBreak/>
        <w:t>括但不限于基金年度审计合同、基金信息披露协议及基金投资业务中产生的重大合同，基金管理人应保证基金管理人和基金托管人至少各持有一份正本的原件。基金管理人应在重大合同签署后及时以加密方式或双方同意的其他方式将重大合同传真给基金托管人，并在三十个工作日内将正本送达基金托管人处。重大合同的保管期限应符合法律法规的规定。</w:t>
      </w:r>
    </w:p>
    <w:p w14:paraId="3EBFA4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对于无法取得二份以上的正本的，基金管理人应向基金托管人提供加盖公章的合同传真件或复印件，未经双方协商一致或未在合同约定范围内，合同原件不得转移，由基金管理人保管。</w:t>
      </w:r>
    </w:p>
    <w:p w14:paraId="590D369E"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五、基金资产净值计算和会计核算</w:t>
      </w:r>
    </w:p>
    <w:p w14:paraId="6AF51F8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（一）基金资产净值的计算、复核与完成的时间及程序</w:t>
      </w:r>
    </w:p>
    <w:p w14:paraId="58C7F0A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1、基金资产净值</w:t>
      </w:r>
    </w:p>
    <w:p w14:paraId="0968633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资产净值是指基金资产总值减去基金负债后的价值。各类基金份额净值是按照每个估值日闭市后，各类基金资产净值除以当日该类基金份额的余额数量计算，均精确到0.0001元，小数点后第5位四舍五入，由此产生的误差计入基金财产。基金管理人可以设立大额赎回情形下的净值精度应急调整机制。国家另有规定的，从其规定。</w:t>
      </w:r>
    </w:p>
    <w:p w14:paraId="04B38E2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基金管理人于每个估值日计算基金净值信息，经基金托管人复核，按规定公告。如遇特殊情况，经履行适当程序，可以适当延迟计算或公告。</w:t>
      </w:r>
    </w:p>
    <w:p w14:paraId="7760243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2、复核程序</w:t>
      </w:r>
    </w:p>
    <w:p w14:paraId="3E5AFDF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每个估值日对基金资产进行估值，但基金管理人根据法律法规或基金合同的规定暂停估值时除外。基金管理人每个估值日对基金资产估值后，将各类基金份额净值结果以双方约定的方式提交给基金托管人，经基金托管人复核无误后，由基金管理人依据基金合同和相关法律法规的规定对外公布。</w:t>
      </w:r>
    </w:p>
    <w:p w14:paraId="43CEDE3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（二）基金资产估值方法和特殊情形的处理</w:t>
      </w:r>
    </w:p>
    <w:p w14:paraId="722F3E1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1、估值对象</w:t>
      </w:r>
    </w:p>
    <w:p w14:paraId="196CEF7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基金所拥有的股票、债券、资产支持证券、股指期货合约、国债期货合约、股票期权合约和银行存款本息、应收款项、其它投资等资产及负债。</w:t>
      </w:r>
    </w:p>
    <w:p w14:paraId="032B61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2、估值方法</w:t>
      </w:r>
    </w:p>
    <w:p w14:paraId="323EB6D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本基金所持有的投资品种，按如下原则进行估值：</w:t>
      </w:r>
    </w:p>
    <w:p w14:paraId="2AF9CAE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（1）证券交易所上市的有价证券的估值</w:t>
      </w:r>
    </w:p>
    <w:p w14:paraId="4BE9B42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1）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FB0BA1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19DF1B1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3）交易所上市不存在活跃市场的有价证券，采用估值技术确定公允价值。</w:t>
      </w:r>
    </w:p>
    <w:p w14:paraId="1F1EC69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（2）处于未上市期间的有价证券应区分如下情况处理：</w:t>
      </w:r>
    </w:p>
    <w:p w14:paraId="7AB5D0D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1）送股、转增股、配股和公开增发的新股，按估值日在证券交易所挂牌的同一股票的估值方法估值；该日无交易的，以最近一日的市价（收盘价）估值；</w:t>
      </w:r>
    </w:p>
    <w:p w14:paraId="2C19D29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2）首次公开发行未上市的股票，采用估值技术确定公允价值，在估值技术难以可靠计量公允价值的情况下，按成本估值；</w:t>
      </w:r>
    </w:p>
    <w:p w14:paraId="75B01EA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在发行时明确一定期限限售期的股票，包括但不限于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0094D0E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（3）以公允价值计量的固定收益品种</w:t>
      </w:r>
    </w:p>
    <w:p w14:paraId="681FC91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1）对于已上市或已挂牌转让的不含权固定收益品种，选取第三方估值基准服务机构提供的相应品种当日的估值全价；</w:t>
      </w:r>
    </w:p>
    <w:p w14:paraId="2671A17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2）对于已上市或已挂牌转让的含权固定收益品种，选取第三方估值基准服务机构提供的相应品种当日的唯一估值全价或推荐估值全价；</w:t>
      </w:r>
    </w:p>
    <w:p w14:paraId="704D179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对于含投资者回售权的固定收益品种，行使回售权的，在回售登记日至实际收款日期间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14:paraId="588E09B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4）对于未上市或未挂牌转让且不存在活跃市场的固定收益品种，应采用在当前情况下适用并且有足够可利用数据和其他信息支持的估值技术确定其公允价值。</w:t>
      </w:r>
    </w:p>
    <w:p w14:paraId="5C187F6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32DDB51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（5）同一债券或股票同时在两个或两个以上市场交易的，按债券或股票所处的市场分别估值。</w:t>
      </w:r>
    </w:p>
    <w:p w14:paraId="7E7A1A0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（6）本基金投资股指期货合约，一般以股指期货估值日的结算价进行估值，估值当日无结算价的，且最近交易日后经济环境未发生重大变化的，采用最近交易日结算价估值。</w:t>
      </w:r>
    </w:p>
    <w:p w14:paraId="2D45B8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（7）本基金投资股票期权合约，一般以股票期权估值日的结算价进行估值，估值当日无结算价的，且最近交易日后经济环境未发生重大变化的，采用最近交易日结算价估值。</w:t>
      </w:r>
    </w:p>
    <w:p w14:paraId="66CFF2F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（8）本基金投资国债期货合约，一般以国债期货合约估值日的结算价进行估值，估值当日无结算价的，且最近交易日后经济环境未发生重大变化的，采用最近交易日结算价估值。</w:t>
      </w:r>
    </w:p>
    <w:p w14:paraId="52A964D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9）估值计算中涉及港币或其他外币币种对人民币汇率的，将依据下列信息提供机构所提供的汇率为基准：当日中国人民银行或其授权机构公布的人民币汇率的中间价，或其他可以反映公允价值的汇率进行估值。</w:t>
      </w:r>
    </w:p>
    <w:p w14:paraId="478E8E4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42F4410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（10）本基金投资存托凭证的估值核算，依照境内上市交易的股票进行。</w:t>
      </w:r>
    </w:p>
    <w:p w14:paraId="2F6ECB0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（11）银行存款、回购等固定收益工具按照约定利率在持有期内逐日确认利</w:t>
      </w:r>
      <w:r>
        <w:rPr>
          <w:rFonts w:ascii="宋体" w:hAnsi="宋体" w:cs="宋体"/>
          <w:kern w:val="0"/>
          <w:sz w:val="24"/>
          <w:szCs w:val="24"/>
        </w:rPr>
        <w:lastRenderedPageBreak/>
        <w:t>息收入，在利息到账日以实收利息入账。</w:t>
      </w:r>
    </w:p>
    <w:p w14:paraId="4870D66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（12）如有确凿证据表明按上述方法进行估值不能客观反映其公允价值的，基金管理人可根据具体情况与基金托管人商定后，按最能反映公允价值的价格估值。</w:t>
      </w:r>
    </w:p>
    <w:p w14:paraId="2BDE83C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（13）当发生大额申购或赎回情形时，基金管理人可以采用摆动定价机制，以确保基金估值的公平性。</w:t>
      </w:r>
    </w:p>
    <w:p w14:paraId="1272A9B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（14）相关法律法规以及监管部门有强制规定的，从其规定。如有新增事项，按国家最新规定估值。</w:t>
      </w:r>
    </w:p>
    <w:p w14:paraId="53E56FF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如基金管理人或基金托管人发现基金估值违反基金合同订明的估值方法、程序及相关法律法规的规定或者未能充分维护基金份额持有人利益时，应立即通知对方，共同查明原因，双方协商解决。</w:t>
      </w:r>
    </w:p>
    <w:p w14:paraId="2405A0E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14:paraId="06FA00D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3、特殊情形的处理</w:t>
      </w:r>
    </w:p>
    <w:p w14:paraId="3FFF839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（1）基金管理人、基金托管人按本部分有关估值方法的第（12）项进行估值时，所造成的误差不作为基金资产估值错误处理。</w:t>
      </w:r>
    </w:p>
    <w:p w14:paraId="4868DE6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由于不可抗力原因，或由于证券/期货交易所、登记结算公司等第三方机构发送的数据错误等原因，基金管理人和基金托管人虽然已经采取必要、适当、合理的措施进行检查，但是未能发现该错误的，由此造成的基金资产估值错误，基金管理人和基金托管人免除赔偿责任。但基金管理人和基金托管人应当积极采取必要的措施消除或减轻由此造成的影响。</w:t>
      </w:r>
    </w:p>
    <w:p w14:paraId="7A28CA0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（三）基金份额净值错误的处理方式</w:t>
      </w:r>
    </w:p>
    <w:p w14:paraId="09DAE8E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基金管理人和基金托管人将采取必要、适当、合理的措施确保基金资产估值的准确性、及时性。当某类基金份额净值小数点后4位以内(含第4位)发生估值错误时，视为该类基金份额净值错误。</w:t>
      </w:r>
    </w:p>
    <w:p w14:paraId="2E268E1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基金合同的当事人应按照以下约定处理：</w:t>
      </w:r>
    </w:p>
    <w:p w14:paraId="1826A2FD"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1、估值错误类型</w:t>
      </w:r>
    </w:p>
    <w:p w14:paraId="1D477D1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5A9658C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上述估值错误的主要类型包括但不限于：资料申报差错、数据传输差错、数据计算差错、系统故障差错、下达指令差错等。</w:t>
      </w:r>
    </w:p>
    <w:p w14:paraId="54D9D04B"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2、估值错误处理原则</w:t>
      </w:r>
    </w:p>
    <w:p w14:paraId="4318B7F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26558B91"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（2）估值错误的责任方对有关当事人的直接损失负责，不对间接损失负责，并且仅对估值错误的有关直接当事人负责，不对第三方负责。</w:t>
      </w:r>
    </w:p>
    <w:p w14:paraId="3AD80C8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D662CA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（4）估值错误调整采用尽量恢复至假设未发生估值错误的正确情形的方式。</w:t>
      </w:r>
    </w:p>
    <w:p w14:paraId="23CBDBAF"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3、估值错误处理程序</w:t>
      </w:r>
    </w:p>
    <w:p w14:paraId="5EB79A5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估值错误被发现后，有关的当事人应当及时进行处理，处理的程序如下：</w:t>
      </w:r>
    </w:p>
    <w:p w14:paraId="44A81C2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（1）查明估值错误发生的原因，列明所有的当事人，并根据估值错误发生的原因确定估值错误的责任方；</w:t>
      </w:r>
    </w:p>
    <w:p w14:paraId="004CA7E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（2）根据估值错误处理原则或当事人协商的方法对因估值错误造成的损失</w:t>
      </w:r>
      <w:r>
        <w:rPr>
          <w:rFonts w:ascii="宋体" w:hAnsi="宋体" w:cs="宋体"/>
          <w:kern w:val="0"/>
          <w:sz w:val="24"/>
          <w:szCs w:val="24"/>
        </w:rPr>
        <w:lastRenderedPageBreak/>
        <w:t>进行评估；</w:t>
      </w:r>
    </w:p>
    <w:p w14:paraId="17D261C6"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（3）根据估值错误处理原则或当事人协商的方法由估值错误的责任方进行更正和赔偿损失；</w:t>
      </w:r>
    </w:p>
    <w:p w14:paraId="7CFDB162"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（4）根据估值错误处理的方法，需要修改基金登记机构交易数据的，由基金登记机构进行更正，并就估值错误的更正向有关当事人进行确认。</w:t>
      </w:r>
    </w:p>
    <w:p w14:paraId="2B8AFD9C"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4、基金份额净值估值错误处理的方法如下：</w:t>
      </w:r>
    </w:p>
    <w:p w14:paraId="0E30233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（1）某类基金份额净值计算出现错误时，基金管理人应当立即予以纠正，通报基金托管人，并采取合理的措施防止损失进一步扩大。</w:t>
      </w:r>
    </w:p>
    <w:p w14:paraId="67C3AAC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（2）错误偏差达到该类基金份额净值的0.25%时，基金管理人应当通报基金托管人并报中国证监会备案；错误偏差达到该类基金份额净值的0.5%时，基金管理人应当公告，并报中国证监会备案。</w:t>
      </w:r>
    </w:p>
    <w:p w14:paraId="587B7E2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（3）前述内容如法律法规或监管机构另有规定的，从其规定处理。如果行业另有通行做法，基金管理人和基金托管人应本着平等和保护基金份额持有人利益的原则进行协商。</w:t>
      </w:r>
    </w:p>
    <w:p w14:paraId="7347A42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（四）暂停估值的情形</w:t>
      </w:r>
    </w:p>
    <w:p w14:paraId="1E71FDA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1、基金投资所涉及的证券、期货交易市场遇法定节假日或因其他原因暂停营业时；</w:t>
      </w:r>
    </w:p>
    <w:p w14:paraId="161CEF9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2、因不可抗力或其他情形致使基金管理人、基金托管人无法准确评估基金资产价值时；</w:t>
      </w:r>
    </w:p>
    <w:p w14:paraId="6F1F903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3、当特定资产占前一估值日基金资产净值50%以上的，经与基金托管人协商确认后，基金管理人应当暂停估值；</w:t>
      </w:r>
    </w:p>
    <w:p w14:paraId="28EBDE6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4、法律法规规定、中国证监会和基金合同认定的其它情形。</w:t>
      </w:r>
    </w:p>
    <w:p w14:paraId="7BBFE23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（五）基金会计制度</w:t>
      </w:r>
    </w:p>
    <w:p w14:paraId="0B565F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按国家有关部门规定的会计制度执行。</w:t>
      </w:r>
    </w:p>
    <w:p w14:paraId="0B8D28B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（六）基金账册的建立</w:t>
      </w:r>
    </w:p>
    <w:p w14:paraId="415FF49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进行基金会计核算并编制基金财务会计报告。基金管理人、基金托管人分别独立地设置、记录和保管本基金的全套账册。若基金管理人和基金托管人对会计处理方法存在分歧，应以基金管理人的处理方法为准。若当日核对不符，暂时无法查找到错账的原因而影响到基金净值的计算和公告的，以基金管理</w:t>
      </w:r>
      <w:r>
        <w:rPr>
          <w:rFonts w:ascii="宋体" w:hAnsi="宋体" w:cs="宋体"/>
          <w:kern w:val="0"/>
          <w:sz w:val="24"/>
          <w:szCs w:val="24"/>
        </w:rPr>
        <w:lastRenderedPageBreak/>
        <w:t>人的账册为准。</w:t>
      </w:r>
    </w:p>
    <w:p w14:paraId="1937CF6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（七）基金财务报表与报告的编制和复核</w:t>
      </w:r>
    </w:p>
    <w:p w14:paraId="0D1B7364"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1.财务报表的编制</w:t>
      </w:r>
    </w:p>
    <w:p w14:paraId="71266AD0"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基金财务报表由基金管理人编制，基金托管人复核。</w:t>
      </w:r>
    </w:p>
    <w:p w14:paraId="69DCA33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2.报表复核</w:t>
      </w:r>
    </w:p>
    <w:p w14:paraId="506DBC4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基金托管人在收到基金管理人编制的基金财务报表后，进行独立的复核。核对不符时，应及时通知基金管理人共同查出原因，进行调整，直至双方数据完全一致。</w:t>
      </w:r>
    </w:p>
    <w:p w14:paraId="1CDC1CE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3.财务报表的编制与复核时间安排</w:t>
      </w:r>
    </w:p>
    <w:p w14:paraId="434E679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（1）报表的编制</w:t>
      </w:r>
    </w:p>
    <w:p w14:paraId="31EA091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当在每月结束后5个工作日内完成月度报表的编制；在季度结束之日起15个工作日内完成基金季度报告的编制；在上半年结束之日起两个月内完成基金中期报告的编制；在每年结束之日起三个月内完成基金年度报告的编制。基金年度报告中的财务会计报告应当经过符合《中华人民共和国证券法》规定的会计师事务所审计。基金合同生效不足两个月的，基金管理人可以不编制当期季度报告、中期报告或者年度报告。</w:t>
      </w:r>
    </w:p>
    <w:p w14:paraId="7A6B9862"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（2）报表的复核</w:t>
      </w:r>
    </w:p>
    <w:p w14:paraId="0CC1F06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基金管理人应及时完成报表编制，将有关报表提供基金托管人复核；基金托管人在复核过程中，发现双方的报表存在不符时，基金管理人和基金托管人应共同查明原因，进行调整，调整以国家有关规定为准。</w:t>
      </w:r>
    </w:p>
    <w:p w14:paraId="07312CC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基金管理人应留足充分的时间，便于基金托管人复核相关报表及报告。</w:t>
      </w:r>
    </w:p>
    <w:p w14:paraId="048FF4CA" w14:textId="77777777" w:rsidR="00496B2C" w:rsidRDefault="005605B9">
      <w:pPr>
        <w:pStyle w:val="div"/>
        <w:spacing w:line="360" w:lineRule="auto"/>
        <w:ind w:firstLine="480"/>
        <w:jc w:val="left"/>
        <w:rPr>
          <w:rFonts w:ascii="宋体" w:hAnsi="宋体" w:cs="宋体"/>
          <w:kern w:val="0"/>
          <w:sz w:val="24"/>
          <w:szCs w:val="24"/>
        </w:rPr>
      </w:pPr>
      <w:r>
        <w:rPr>
          <w:rFonts w:ascii="宋体" w:hAnsi="宋体" w:cs="宋体"/>
          <w:kern w:val="0"/>
          <w:sz w:val="24"/>
          <w:szCs w:val="24"/>
        </w:rPr>
        <w:t>（八）基金管理人应在编制季度报告、中期报告或者年度报告之前及时向基金托管人提供基金业绩比较基准的基础数据和编制结果。</w:t>
      </w:r>
    </w:p>
    <w:p w14:paraId="21AE8DBA"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六、基金份额持有人名册的保管</w:t>
      </w:r>
    </w:p>
    <w:p w14:paraId="407FCFB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法律法规规定的最低期限。如不能妥善保管，则按相关法规承担责任。</w:t>
      </w:r>
    </w:p>
    <w:p w14:paraId="025093B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在基金托管人要求或编制中期报告和年度报告前，基金管理人应将有关资料送交基金托管人，不得无故拒绝或延误提供，并保证其的真实性、准确性和完整</w:t>
      </w:r>
      <w:r>
        <w:rPr>
          <w:rFonts w:ascii="宋体" w:hAnsi="宋体" w:cs="宋体"/>
          <w:kern w:val="0"/>
          <w:sz w:val="24"/>
          <w:szCs w:val="24"/>
        </w:rPr>
        <w:lastRenderedPageBreak/>
        <w:t>性。基金托管人不得将所保管的基金份额持有人名册用于基金托管业务以外的其他用途，并应遵守保密义务。</w:t>
      </w:r>
    </w:p>
    <w:p w14:paraId="683EE2F0"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七、争议解决方式</w:t>
      </w:r>
    </w:p>
    <w:p w14:paraId="4F94F1C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双方当事人同意，因本托管协议而产生的或与托管协议有关的一切争议，如经友好协商未能解决的，任何一方均有权将争议提交至上海国际经济贸易仲裁委员会，仲裁地点为上海市，按照该会届时有效的仲裁规则进行仲裁。仲裁裁决是终局的，对双方当事人均有约束力。除非仲裁裁决另有规定，仲裁费由败诉方承担。</w:t>
      </w:r>
    </w:p>
    <w:p w14:paraId="200C089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争议处理期间，双方当事人应恪守基金管理人和基金托管人职责，各自继续忠实、勤勉、尽责地履行基金合同和本托管协议规定的义务，维护基金份额持有人的合法权益。</w:t>
      </w:r>
    </w:p>
    <w:p w14:paraId="08B1F2D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本协议受中国法律（为本协议之目的，在此不包括香港、澳门特别行政区和台湾地区法律）管辖并从其解释。</w:t>
      </w:r>
    </w:p>
    <w:p w14:paraId="2DBD796C" w14:textId="77777777" w:rsidR="00496B2C" w:rsidRDefault="005605B9">
      <w:pPr>
        <w:pStyle w:val="2"/>
        <w:keepNext w:val="0"/>
        <w:keepLines w:val="0"/>
        <w:spacing w:before="0" w:after="0" w:line="240" w:lineRule="auto"/>
        <w:ind w:firstLine="480"/>
        <w:rPr>
          <w:rFonts w:ascii="宋体" w:eastAsia="宋体" w:hAnsi="宋体" w:cs="宋体"/>
          <w:bCs/>
          <w:kern w:val="0"/>
          <w:sz w:val="24"/>
          <w:szCs w:val="24"/>
        </w:rPr>
      </w:pPr>
      <w:r>
        <w:rPr>
          <w:rFonts w:ascii="宋体" w:eastAsia="宋体" w:hAnsi="宋体" w:cs="宋体"/>
          <w:bCs/>
          <w:kern w:val="0"/>
          <w:sz w:val="24"/>
          <w:szCs w:val="24"/>
        </w:rPr>
        <w:t>八、基金托管协议的变更、终止与基金财产的清算</w:t>
      </w:r>
    </w:p>
    <w:p w14:paraId="58E7E5D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（一）托管协议的变更程序</w:t>
      </w:r>
    </w:p>
    <w:p w14:paraId="536A7A5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本协议双方当事人经协商一致，可以对协议进行修改。修改后的新协议，其内容不得与基金合同的规定有任何冲突。</w:t>
      </w:r>
    </w:p>
    <w:p w14:paraId="36E4761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（二）基金托管协议终止的情形</w:t>
      </w:r>
    </w:p>
    <w:p w14:paraId="7593D87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1、基金合同终止；</w:t>
      </w:r>
    </w:p>
    <w:p w14:paraId="43E4A50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2、基金托管人解散、依法被撤销、破产或由其他基金托管人接管基金资产；</w:t>
      </w:r>
    </w:p>
    <w:p w14:paraId="359BB5D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3、基金管理人解散、依法被撤销、破产或由其他基金管理人接管基金管理权；</w:t>
      </w:r>
    </w:p>
    <w:p w14:paraId="319AD636"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4、发生法律法规或基金合同规定的终止事项。</w:t>
      </w:r>
    </w:p>
    <w:p w14:paraId="1C18B3C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（三）基金财产的清算</w:t>
      </w:r>
    </w:p>
    <w:p w14:paraId="7AB6A5AC"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1、基金财产清算小组</w:t>
      </w:r>
    </w:p>
    <w:p w14:paraId="4BFEAE6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（1）自出现基金合同终止事由之日起30个工作日内成立清算小组，基金管理人组织基金财产清算小组并在中国证监会的监督下进行基金清算。</w:t>
      </w:r>
    </w:p>
    <w:p w14:paraId="04753CB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（2）基金财产清算小组成员由基金管理人、基金托管人、符合《中华人民共和国证券法》规定的注册会计师、律师以及中国证监会指定的人员组成。基金财产清算小组可以聘用必要的工作人员。</w:t>
      </w:r>
    </w:p>
    <w:p w14:paraId="20A74B7E"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（3）在基金财产清算过程中，基金管理人和基金托管人应各自履行职责，继续忠实、勤勉、尽责地履行基金合同和本托管协议规定的义务，维护基金份额持有人的合法权益。</w:t>
      </w:r>
    </w:p>
    <w:p w14:paraId="4D07E2C9"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（4）基金财产清算小组负责基金财产的保管、清理、估价、变现和分配。基金财产清算小组可以依法进行必要的民事活动。</w:t>
      </w:r>
    </w:p>
    <w:p w14:paraId="429413D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2、基金财产清算程序</w:t>
      </w:r>
    </w:p>
    <w:p w14:paraId="45C9B1EA"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基金合同终止情形发生，应当按法律法规和基金合同的有关规定对基金财产进行清算。基金财产清算程序主要包括：</w:t>
      </w:r>
    </w:p>
    <w:p w14:paraId="65BB282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（1）基金合同终止情形发生时，由基金财产清算小组统一接管基金；</w:t>
      </w:r>
    </w:p>
    <w:p w14:paraId="58018C8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（2）对基金财产和债权债务进行清理和确认；</w:t>
      </w:r>
    </w:p>
    <w:p w14:paraId="4E79281B"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（3）对基金财产进行估值和变现；</w:t>
      </w:r>
    </w:p>
    <w:p w14:paraId="1904607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（4）制作清算报告；</w:t>
      </w:r>
    </w:p>
    <w:p w14:paraId="57F561BD"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（5）聘请符合《中华人民共和国证券法》规定的会计师事务所对清算报告进行外部审计，聘请律师事务所对清算报告出具法律意见书；</w:t>
      </w:r>
    </w:p>
    <w:p w14:paraId="7BB36573"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（6）将清算报告报中国证监会备案并公告；</w:t>
      </w:r>
    </w:p>
    <w:p w14:paraId="2C47EC2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（7）对基金剩余财产进行分配。</w:t>
      </w:r>
    </w:p>
    <w:p w14:paraId="5E3B8C4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3、基金财产清算的期限为6个月，但因本基金所持证券的流动性受到限制而不能及时变现的，清算期限相应顺延。</w:t>
      </w:r>
    </w:p>
    <w:p w14:paraId="2D81602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4、清算费用</w:t>
      </w:r>
    </w:p>
    <w:p w14:paraId="57528245"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清算费用是指基金财产清算小组在进行基金财产清算过程中发生的所有合理费用，清算费用由基金财产清算小组优先从基金剩余财产中支付。</w:t>
      </w:r>
    </w:p>
    <w:p w14:paraId="135C838F"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5、基金财产清算剩余资产的分配</w:t>
      </w:r>
    </w:p>
    <w:p w14:paraId="5F2FCD67"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依据基金财产清算的分配方案，将基金财产清算后的全部剩余资产扣除基金财产清算费用、交纳所欠税款并清偿基金债务后，按基金份额持有人持有的基金份额比例进行分配</w:t>
      </w:r>
      <w:r>
        <w:rPr>
          <w:rFonts w:hint="eastAsia"/>
          <w:color w:val="000000" w:themeColor="text1"/>
          <w:sz w:val="24"/>
        </w:rPr>
        <w:t>，</w:t>
      </w:r>
      <w:r>
        <w:rPr>
          <w:rFonts w:ascii="宋体" w:hAnsi="宋体" w:cs="宋体" w:hint="eastAsia"/>
          <w:kern w:val="0"/>
          <w:sz w:val="24"/>
        </w:rPr>
        <w:t>并扣除相应的超额管理费（如有）</w:t>
      </w:r>
      <w:r>
        <w:rPr>
          <w:rFonts w:ascii="宋体" w:hAnsi="宋体" w:cs="宋体"/>
          <w:kern w:val="0"/>
          <w:sz w:val="24"/>
          <w:szCs w:val="24"/>
        </w:rPr>
        <w:t>。</w:t>
      </w:r>
    </w:p>
    <w:p w14:paraId="47E7DB0F" w14:textId="77777777" w:rsidR="00496B2C" w:rsidRDefault="005605B9">
      <w:pPr>
        <w:pStyle w:val="div"/>
        <w:spacing w:line="360" w:lineRule="auto"/>
        <w:ind w:firstLine="480"/>
        <w:rPr>
          <w:rFonts w:ascii="宋体" w:hAnsi="宋体" w:cs="宋体"/>
          <w:kern w:val="0"/>
          <w:sz w:val="24"/>
          <w:szCs w:val="24"/>
        </w:rPr>
      </w:pPr>
      <w:r>
        <w:rPr>
          <w:rFonts w:ascii="宋体" w:hAnsi="宋体" w:cs="宋体" w:hint="eastAsia"/>
          <w:kern w:val="0"/>
          <w:sz w:val="24"/>
          <w:szCs w:val="24"/>
        </w:rPr>
        <w:t>其中，对于投资者通过直销机构认购/申购的C类基金份额所计提的销售服务费或者通过其他销售机构认购/申购且持续持有期限超过一年（即365天）以后继续计提的C类基金份额销售服务费，将在基金合同终止时随清算款一并返还给投资者。</w:t>
      </w:r>
    </w:p>
    <w:p w14:paraId="24CBA4D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lastRenderedPageBreak/>
        <w:t>6、基金财产清算的公告</w:t>
      </w:r>
    </w:p>
    <w:p w14:paraId="337FB68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清算过程中的有关重大事项须及时公告；基金财产清算报告经符合《中华人民共和国证券法》规定的会计师事务所审计并由律师事务所出具法律意见书后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45894A01"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7、基金财产清算账册及文件的保存</w:t>
      </w:r>
    </w:p>
    <w:p w14:paraId="3EE8EBB8" w14:textId="77777777" w:rsidR="00496B2C" w:rsidRDefault="005605B9">
      <w:pPr>
        <w:pStyle w:val="div"/>
        <w:spacing w:line="360" w:lineRule="auto"/>
        <w:ind w:firstLine="480"/>
        <w:rPr>
          <w:rFonts w:ascii="宋体" w:hAnsi="宋体" w:cs="宋体"/>
          <w:kern w:val="0"/>
          <w:sz w:val="24"/>
          <w:szCs w:val="24"/>
        </w:rPr>
      </w:pPr>
      <w:r>
        <w:rPr>
          <w:rFonts w:ascii="宋体" w:hAnsi="宋体" w:cs="宋体"/>
          <w:kern w:val="0"/>
          <w:sz w:val="24"/>
          <w:szCs w:val="24"/>
        </w:rPr>
        <w:t>基金财产清算账册及有关文件由基金托管人保存，保存期限不低于法律法规规定的最低期限。</w:t>
      </w:r>
      <w:r>
        <w:rPr>
          <w:rFonts w:ascii="宋体" w:hAnsi="宋体" w:cs="宋体"/>
          <w:kern w:val="0"/>
          <w:sz w:val="24"/>
          <w:szCs w:val="24"/>
        </w:rPr>
        <w:br w:type="page"/>
      </w:r>
    </w:p>
    <w:p w14:paraId="08A7C624" w14:textId="77777777" w:rsidR="00496B2C" w:rsidRDefault="005605B9">
      <w:pPr>
        <w:pStyle w:val="1"/>
        <w:spacing w:before="0" w:after="0"/>
        <w:jc w:val="center"/>
        <w:rPr>
          <w:rFonts w:ascii="Times New Roman"/>
          <w:color w:val="auto"/>
          <w:sz w:val="30"/>
        </w:rPr>
      </w:pPr>
      <w:bookmarkStart w:id="61" w:name="_Toc256000020"/>
      <w:r>
        <w:rPr>
          <w:rFonts w:ascii="Times New Roman"/>
          <w:color w:val="auto"/>
          <w:sz w:val="30"/>
        </w:rPr>
        <w:lastRenderedPageBreak/>
        <w:t>第二十一部分</w:t>
      </w:r>
      <w:r>
        <w:rPr>
          <w:rFonts w:ascii="Times New Roman"/>
          <w:color w:val="auto"/>
          <w:sz w:val="30"/>
        </w:rPr>
        <w:t xml:space="preserve">  </w:t>
      </w:r>
      <w:r>
        <w:rPr>
          <w:rFonts w:ascii="Times New Roman"/>
          <w:color w:val="auto"/>
          <w:sz w:val="30"/>
        </w:rPr>
        <w:t>对基金份额持有人的服务</w:t>
      </w:r>
      <w:bookmarkEnd w:id="61"/>
    </w:p>
    <w:p w14:paraId="276913D1" w14:textId="77777777" w:rsidR="00496B2C" w:rsidRDefault="00496B2C"/>
    <w:p w14:paraId="052A105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对于基金份额持有人，基金管理人将根据具体情况提供一系列的服务，并将根据基金份额持有人的需要和市场的变化，增加或变更服务项目。主要服务内容如下：</w:t>
      </w:r>
    </w:p>
    <w:p w14:paraId="39C2BF04"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一、基金份额持有人登记服务</w:t>
      </w:r>
    </w:p>
    <w:p w14:paraId="7F26C04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为基金份额持有人提供登记服务。基金管理人将配备安全、完善的电脑系统及通讯系统，准确、及时地为基金投资者办理基金账户、基金份额的登记、管理、托管与转托管；基金转换和非交易过户；基金份额持有人名册的管理；权益分配时红利的登记派发；基金交易份额的清算过户和基金交易资金的交收等服务。</w:t>
      </w:r>
    </w:p>
    <w:p w14:paraId="0CAAB2F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二、基金份额持有人交易信息查询及信息定制服务</w:t>
      </w:r>
    </w:p>
    <w:p w14:paraId="0B9F90E9"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1、基金交易确认查询服务：基金投资者在交易申请被受理的2个工作日后，可以到销售网点查询和打印该项交易的确认信息，或者通过基金管理人客服电话及网站进行查询。</w:t>
      </w:r>
    </w:p>
    <w:p w14:paraId="0386E775"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2、基金对账单服务：基金管理人向基金份额持有人提供对账单服务，基金份额持有人可自主选择对账单的发送方式，如纸制对账单、电子邮件对账单或短信对账单，或者通过基金管理人网站进行在线对账单的查询与打印。</w:t>
      </w:r>
    </w:p>
    <w:p w14:paraId="696A187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3、信息定制服务：基金份额持有人可以通过基金管理人网站、客服热线电话、手机短信等通道提交信息定制申请。可定制的信息主要有：基金份额净值、交易确认、对账单服务等。基金管理人可根据实际业务需要，调整定制信息的条件、方式和内容。</w:t>
      </w:r>
    </w:p>
    <w:p w14:paraId="263895F2"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三、客户服务中心电话服务</w:t>
      </w:r>
    </w:p>
    <w:p w14:paraId="63DD382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基金管理人客户服务中心提供24小时自动语音查询服务，基金份额持有人可查询基金余额、交易情况、基金产品与服务等相关信息。</w:t>
      </w:r>
    </w:p>
    <w:p w14:paraId="38C04F2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客户服务中心在每一工作日提供不少于12小时的人工咨询服务。基金份额持有人可通过基金管理人全国统一客服热线：400-888-9918（免长途话费）享受业务咨询、信息查询、信息定制、通讯资料修改、投诉建议等多项服务。</w:t>
      </w:r>
    </w:p>
    <w:p w14:paraId="44A9E90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四、网站服务</w:t>
      </w:r>
    </w:p>
    <w:p w14:paraId="455DAB87"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lastRenderedPageBreak/>
        <w:t>基金份额持有人可以通过基金管理人网站（www.99fund.com）享受理财资讯、信息披露、账户信息、交易信息、在线咨询等多项服务。</w:t>
      </w:r>
    </w:p>
    <w:p w14:paraId="358A28C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基金份额持有人可以通过基金管理人网站“网上交易”办理开户、交易及查询等业务。有关基金网上交易的协议文本请参见基金管理人网站。</w:t>
      </w:r>
    </w:p>
    <w:p w14:paraId="104BC9EB"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五、投诉受理服务</w:t>
      </w:r>
    </w:p>
    <w:p w14:paraId="468DEB80" w14:textId="77777777" w:rsidR="00496B2C" w:rsidRDefault="005605B9">
      <w:pPr>
        <w:pStyle w:val="div"/>
        <w:widowControl/>
        <w:spacing w:line="360" w:lineRule="auto"/>
        <w:ind w:firstLine="480"/>
        <w:jc w:val="left"/>
        <w:rPr>
          <w:rFonts w:eastAsia="Times New Roman"/>
          <w:kern w:val="0"/>
          <w:sz w:val="24"/>
          <w:szCs w:val="24"/>
        </w:rPr>
      </w:pPr>
      <w:r>
        <w:rPr>
          <w:rFonts w:ascii="宋体" w:hAnsi="宋体" w:cs="宋体"/>
          <w:kern w:val="0"/>
          <w:sz w:val="24"/>
          <w:szCs w:val="24"/>
        </w:rPr>
        <w:t>基金份额持有人可以通过基金管理人客服电话、网站、信函、电子邮件（客户服务邮箱：</w:t>
      </w:r>
      <w:hyperlink r:id="rId11" w:history="1">
        <w:r>
          <w:rPr>
            <w:rFonts w:ascii="宋体" w:hAnsi="宋体" w:cs="宋体"/>
            <w:color w:val="000000"/>
            <w:kern w:val="0"/>
            <w:sz w:val="24"/>
            <w:szCs w:val="24"/>
            <w:u w:val="single" w:color="0000EE"/>
            <w:lang w:eastAsia="en-US"/>
          </w:rPr>
          <w:t>service@99fund.com</w:t>
        </w:r>
      </w:hyperlink>
      <w:r>
        <w:rPr>
          <w:rFonts w:ascii="宋体" w:hAnsi="宋体" w:cs="宋体"/>
          <w:kern w:val="0"/>
          <w:sz w:val="24"/>
          <w:szCs w:val="24"/>
        </w:rPr>
        <w:t>）、传真（</w:t>
      </w:r>
      <w:r>
        <w:rPr>
          <w:rFonts w:ascii="宋体" w:hAnsi="宋体" w:cs="宋体"/>
          <w:kern w:val="0"/>
          <w:sz w:val="24"/>
          <w:szCs w:val="24"/>
          <w:lang w:eastAsia="en-US"/>
        </w:rPr>
        <w:t>021-28932998</w:t>
      </w:r>
      <w:r>
        <w:rPr>
          <w:rFonts w:ascii="宋体" w:hAnsi="宋体" w:cs="宋体"/>
          <w:kern w:val="0"/>
          <w:sz w:val="24"/>
          <w:szCs w:val="24"/>
        </w:rPr>
        <w:t>）等方式对基金管理人、销售机构所提供的服务进行投诉。现场投诉和意见簿投诉是补充投诉渠道，由基金管理人和各销售机构分别管理。</w:t>
      </w:r>
    </w:p>
    <w:p w14:paraId="4D907101" w14:textId="77777777" w:rsidR="00496B2C" w:rsidRDefault="005605B9">
      <w:pPr>
        <w:pStyle w:val="div"/>
        <w:widowControl/>
        <w:spacing w:line="360" w:lineRule="auto"/>
        <w:ind w:firstLine="480"/>
        <w:jc w:val="left"/>
        <w:rPr>
          <w:rFonts w:eastAsia="Times New Roman"/>
          <w:kern w:val="0"/>
          <w:sz w:val="24"/>
          <w:szCs w:val="24"/>
        </w:rPr>
      </w:pPr>
      <w:r>
        <w:rPr>
          <w:rFonts w:ascii="宋体" w:hAnsi="宋体" w:cs="宋体"/>
          <w:kern w:val="0"/>
          <w:sz w:val="24"/>
          <w:szCs w:val="24"/>
        </w:rPr>
        <w:t>基金管理人客户服务中心负责受理投诉，并承诺在收到投诉后24 小时（工作日）之内做出回应。</w:t>
      </w:r>
    </w:p>
    <w:p w14:paraId="394C1598"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六、如本招募说明书存在任何您/贵机构无法理解的内容，可通过上述方式联系基金管理人。请确保投资前，您/贵机构已经全面理解了本招募说明书。</w:t>
      </w:r>
      <w:r>
        <w:rPr>
          <w:rFonts w:ascii="宋体" w:hAnsi="宋体" w:cs="宋体"/>
          <w:kern w:val="0"/>
          <w:sz w:val="24"/>
          <w:szCs w:val="24"/>
        </w:rPr>
        <w:br w:type="page"/>
      </w:r>
    </w:p>
    <w:p w14:paraId="36E54714" w14:textId="77777777" w:rsidR="00496B2C" w:rsidRDefault="005605B9">
      <w:pPr>
        <w:pStyle w:val="1"/>
        <w:spacing w:before="0" w:after="0"/>
        <w:jc w:val="center"/>
        <w:rPr>
          <w:rFonts w:ascii="Times New Roman"/>
          <w:color w:val="auto"/>
          <w:sz w:val="30"/>
        </w:rPr>
      </w:pPr>
      <w:bookmarkStart w:id="62" w:name="_Toc256000021"/>
      <w:r>
        <w:rPr>
          <w:rFonts w:ascii="Times New Roman"/>
          <w:color w:val="auto"/>
          <w:sz w:val="30"/>
        </w:rPr>
        <w:lastRenderedPageBreak/>
        <w:t>第二十二部分</w:t>
      </w:r>
      <w:r>
        <w:rPr>
          <w:rFonts w:ascii="Times New Roman"/>
          <w:color w:val="auto"/>
          <w:sz w:val="30"/>
        </w:rPr>
        <w:t xml:space="preserve">  </w:t>
      </w:r>
      <w:r>
        <w:rPr>
          <w:rFonts w:ascii="Times New Roman"/>
          <w:color w:val="auto"/>
          <w:sz w:val="30"/>
        </w:rPr>
        <w:t>其他应披露事项</w:t>
      </w:r>
      <w:bookmarkEnd w:id="62"/>
    </w:p>
    <w:p w14:paraId="14E4A276" w14:textId="77777777" w:rsidR="00496B2C" w:rsidRDefault="00496B2C"/>
    <w:p w14:paraId="22393454" w14:textId="70A424DC" w:rsidR="00496B2C" w:rsidRDefault="005605B9" w:rsidP="008F13F4">
      <w:pPr>
        <w:pStyle w:val="div"/>
        <w:spacing w:line="360" w:lineRule="auto"/>
        <w:ind w:firstLine="420"/>
        <w:rPr>
          <w:rFonts w:eastAsia="Times New Roman"/>
          <w:kern w:val="0"/>
          <w:sz w:val="24"/>
          <w:szCs w:val="24"/>
        </w:rPr>
      </w:pPr>
      <w:r>
        <w:rPr>
          <w:rFonts w:ascii="宋体" w:hAnsi="宋体" w:cs="宋体"/>
          <w:kern w:val="0"/>
          <w:sz w:val="24"/>
          <w:szCs w:val="24"/>
        </w:rPr>
        <w:t>本基金的其他应披露事项将严格按照《基金法》、《运作办法》、《销售办法》、《信息披露办法》等相关法律法规规定的内容与格式进行披露，并在规定媒介上公告。</w:t>
      </w:r>
      <w:r>
        <w:rPr>
          <w:rFonts w:ascii="宋体" w:hAnsi="宋体" w:cs="宋体"/>
          <w:kern w:val="0"/>
          <w:sz w:val="24"/>
          <w:szCs w:val="24"/>
        </w:rPr>
        <w:br w:type="page"/>
      </w:r>
    </w:p>
    <w:p w14:paraId="07993B7B" w14:textId="77777777" w:rsidR="00496B2C" w:rsidRDefault="005605B9">
      <w:pPr>
        <w:pStyle w:val="1"/>
        <w:spacing w:before="0" w:after="0"/>
        <w:jc w:val="center"/>
        <w:rPr>
          <w:rFonts w:ascii="Times New Roman"/>
          <w:color w:val="auto"/>
          <w:sz w:val="30"/>
        </w:rPr>
      </w:pPr>
      <w:bookmarkStart w:id="63" w:name="_Toc256000022"/>
      <w:r>
        <w:rPr>
          <w:rFonts w:ascii="Times New Roman"/>
          <w:color w:val="auto"/>
          <w:sz w:val="30"/>
        </w:rPr>
        <w:lastRenderedPageBreak/>
        <w:t>第二十三部分</w:t>
      </w:r>
      <w:r>
        <w:rPr>
          <w:rFonts w:ascii="Times New Roman"/>
          <w:color w:val="auto"/>
          <w:sz w:val="30"/>
        </w:rPr>
        <w:t xml:space="preserve">  </w:t>
      </w:r>
      <w:r>
        <w:rPr>
          <w:rFonts w:ascii="Times New Roman"/>
          <w:color w:val="auto"/>
          <w:sz w:val="30"/>
        </w:rPr>
        <w:t>招募说明书的存放和查阅方式</w:t>
      </w:r>
      <w:bookmarkEnd w:id="63"/>
    </w:p>
    <w:p w14:paraId="1C8BA3AB" w14:textId="77777777" w:rsidR="00496B2C" w:rsidRDefault="00496B2C"/>
    <w:p w14:paraId="3412A3A0"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本基金招募说明书存放于基金管理人、基金托管人和基金销售机构的住所，供公众查阅、复制。基金投资者在支付工本费后，可在合理时间内取得招募说明书的复印件。对投资者按上述方式所获得的文件及其复印件，基金管理人和基金托管人保证与所公告文本的内容完全一致。</w:t>
      </w:r>
    </w:p>
    <w:p w14:paraId="4A1BF60F"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投资者还可以直接登录基金管理人的网站(www.99fund.com)查阅和下载招募说明书。</w:t>
      </w:r>
      <w:r>
        <w:rPr>
          <w:rFonts w:ascii="宋体" w:hAnsi="宋体" w:cs="宋体"/>
          <w:kern w:val="0"/>
          <w:sz w:val="24"/>
          <w:szCs w:val="24"/>
        </w:rPr>
        <w:br w:type="page"/>
      </w:r>
    </w:p>
    <w:p w14:paraId="2DBB7B7C" w14:textId="77777777" w:rsidR="00496B2C" w:rsidRDefault="005605B9">
      <w:pPr>
        <w:pStyle w:val="1"/>
        <w:spacing w:before="0" w:after="0"/>
        <w:jc w:val="center"/>
        <w:rPr>
          <w:rFonts w:ascii="Times New Roman"/>
          <w:color w:val="auto"/>
          <w:sz w:val="30"/>
        </w:rPr>
      </w:pPr>
      <w:bookmarkStart w:id="64" w:name="_Toc256000023"/>
      <w:r>
        <w:rPr>
          <w:rFonts w:ascii="Times New Roman"/>
          <w:color w:val="auto"/>
          <w:sz w:val="30"/>
        </w:rPr>
        <w:lastRenderedPageBreak/>
        <w:t>第二十四部分</w:t>
      </w:r>
      <w:r>
        <w:rPr>
          <w:rFonts w:ascii="Times New Roman"/>
          <w:color w:val="auto"/>
          <w:sz w:val="30"/>
        </w:rPr>
        <w:t xml:space="preserve">  </w:t>
      </w:r>
      <w:r>
        <w:rPr>
          <w:rFonts w:ascii="Times New Roman"/>
          <w:color w:val="auto"/>
          <w:sz w:val="30"/>
        </w:rPr>
        <w:t>备查文件</w:t>
      </w:r>
      <w:bookmarkEnd w:id="64"/>
    </w:p>
    <w:p w14:paraId="0C7D1C51" w14:textId="77777777" w:rsidR="00496B2C" w:rsidRDefault="00496B2C"/>
    <w:p w14:paraId="36B401DA"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一、本基金备查文件包括下列文件：</w:t>
      </w:r>
    </w:p>
    <w:p w14:paraId="32B7EB67"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1、中国证监会准予汇添富睿选成长股票型证券投资基金注册的文件；</w:t>
      </w:r>
    </w:p>
    <w:p w14:paraId="54CE94C6"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2、《汇添富睿选成长股票型证券投资基金基金合同》；</w:t>
      </w:r>
    </w:p>
    <w:p w14:paraId="142E5F47"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3、《汇添富睿选成长股票型证券投资基金托管协议》；</w:t>
      </w:r>
    </w:p>
    <w:p w14:paraId="5209D71F"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4、法律意见书；</w:t>
      </w:r>
    </w:p>
    <w:p w14:paraId="5E8EA02B"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5、基金管理人业务资格批件、营业执照；</w:t>
      </w:r>
    </w:p>
    <w:p w14:paraId="20A37EA5"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6、基金托管人业务资格批件、营业执照；</w:t>
      </w:r>
    </w:p>
    <w:p w14:paraId="3B3E3E6F"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7、中国证监会要求的其他文件。</w:t>
      </w:r>
    </w:p>
    <w:p w14:paraId="5DEDEE88" w14:textId="77777777" w:rsidR="00496B2C" w:rsidRDefault="005605B9">
      <w:pPr>
        <w:pStyle w:val="div"/>
        <w:spacing w:line="360" w:lineRule="auto"/>
        <w:ind w:firstLine="420"/>
        <w:jc w:val="left"/>
        <w:rPr>
          <w:rFonts w:eastAsia="Times New Roman"/>
          <w:kern w:val="0"/>
          <w:sz w:val="24"/>
          <w:szCs w:val="24"/>
        </w:rPr>
      </w:pPr>
      <w:r>
        <w:rPr>
          <w:rFonts w:ascii="宋体" w:hAnsi="宋体" w:cs="宋体"/>
          <w:kern w:val="0"/>
          <w:sz w:val="24"/>
          <w:szCs w:val="24"/>
        </w:rPr>
        <w:t>二、备查文件的存放地点和投资者查阅方式：</w:t>
      </w:r>
    </w:p>
    <w:p w14:paraId="0BE4B8D1" w14:textId="77777777" w:rsidR="00496B2C" w:rsidRDefault="005605B9">
      <w:pPr>
        <w:pStyle w:val="div"/>
        <w:spacing w:line="360" w:lineRule="auto"/>
        <w:ind w:firstLine="420"/>
        <w:rPr>
          <w:rFonts w:eastAsia="Times New Roman"/>
          <w:kern w:val="0"/>
          <w:sz w:val="24"/>
          <w:szCs w:val="24"/>
        </w:rPr>
      </w:pPr>
      <w:r>
        <w:rPr>
          <w:rFonts w:ascii="宋体" w:hAnsi="宋体" w:cs="宋体"/>
          <w:kern w:val="0"/>
          <w:sz w:val="24"/>
          <w:szCs w:val="24"/>
        </w:rPr>
        <w:t>以上备查文件存放在基金管理人和基金托管人的办公场所，在办公时间可供免费查阅。</w:t>
      </w:r>
    </w:p>
    <w:p w14:paraId="6092E27F" w14:textId="77777777" w:rsidR="00496B2C" w:rsidRDefault="005605B9">
      <w:pPr>
        <w:pStyle w:val="div"/>
        <w:spacing w:line="360" w:lineRule="auto"/>
        <w:ind w:firstLine="420"/>
        <w:jc w:val="right"/>
        <w:rPr>
          <w:rFonts w:eastAsia="Times New Roman"/>
          <w:kern w:val="0"/>
          <w:sz w:val="24"/>
          <w:szCs w:val="24"/>
        </w:rPr>
      </w:pPr>
      <w:r>
        <w:rPr>
          <w:rFonts w:ascii="宋体" w:hAnsi="宋体" w:cs="宋体"/>
          <w:kern w:val="0"/>
          <w:sz w:val="24"/>
          <w:szCs w:val="24"/>
        </w:rPr>
        <w:t>汇添富基金管理股份有限公司</w:t>
      </w:r>
    </w:p>
    <w:p w14:paraId="14268E50" w14:textId="0FBDD8A1" w:rsidR="00496B2C" w:rsidRDefault="00ED5F9E" w:rsidP="008F13F4">
      <w:pPr>
        <w:pStyle w:val="div"/>
        <w:spacing w:line="360" w:lineRule="auto"/>
        <w:ind w:firstLine="420"/>
        <w:jc w:val="right"/>
        <w:rPr>
          <w:rFonts w:eastAsia="Times New Roman"/>
          <w:kern w:val="0"/>
          <w:szCs w:val="21"/>
        </w:rPr>
      </w:pPr>
      <w:r>
        <w:rPr>
          <w:rFonts w:ascii="宋体" w:hAnsi="宋体" w:cs="宋体"/>
          <w:kern w:val="0"/>
          <w:sz w:val="24"/>
          <w:szCs w:val="24"/>
        </w:rPr>
        <w:t>2026</w:t>
      </w:r>
      <w:r w:rsidR="005605B9">
        <w:rPr>
          <w:rFonts w:ascii="宋体" w:hAnsi="宋体" w:cs="宋体"/>
          <w:kern w:val="0"/>
          <w:sz w:val="24"/>
          <w:szCs w:val="24"/>
        </w:rPr>
        <w:t>年</w:t>
      </w:r>
      <w:r>
        <w:rPr>
          <w:rFonts w:ascii="宋体" w:hAnsi="宋体" w:cs="宋体"/>
          <w:kern w:val="0"/>
          <w:sz w:val="24"/>
          <w:szCs w:val="24"/>
        </w:rPr>
        <w:t>6</w:t>
      </w:r>
      <w:r w:rsidR="005605B9">
        <w:rPr>
          <w:rFonts w:ascii="宋体" w:hAnsi="宋体" w:cs="宋体"/>
          <w:kern w:val="0"/>
          <w:sz w:val="24"/>
          <w:szCs w:val="24"/>
        </w:rPr>
        <w:t>月</w:t>
      </w:r>
      <w:r>
        <w:rPr>
          <w:rFonts w:ascii="宋体" w:hAnsi="宋体" w:cs="宋体"/>
          <w:kern w:val="0"/>
          <w:sz w:val="24"/>
          <w:szCs w:val="24"/>
        </w:rPr>
        <w:t>30</w:t>
      </w:r>
      <w:r w:rsidR="005605B9">
        <w:rPr>
          <w:rFonts w:ascii="宋体" w:hAnsi="宋体" w:cs="宋体"/>
          <w:kern w:val="0"/>
          <w:sz w:val="24"/>
          <w:szCs w:val="24"/>
        </w:rPr>
        <w:t>日</w:t>
      </w:r>
    </w:p>
    <w:sectPr w:rsidR="00496B2C">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4411A" w14:textId="77777777" w:rsidR="006156F7" w:rsidRDefault="006156F7">
      <w:r>
        <w:separator/>
      </w:r>
    </w:p>
  </w:endnote>
  <w:endnote w:type="continuationSeparator" w:id="0">
    <w:p w14:paraId="5E57AAAF" w14:textId="77777777" w:rsidR="006156F7" w:rsidRDefault="00615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微软雅黑"/>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4AD979" w14:textId="77777777" w:rsidR="005605B9" w:rsidRDefault="005605B9">
    <w:pPr>
      <w:pStyle w:val="a9"/>
      <w:jc w:val="center"/>
      <w:rPr>
        <w:color w:val="000000" w:themeColor="text1"/>
        <w14:shadow w14:blurRad="38100" w14:dist="19050" w14:dir="2700000" w14:sx="100000" w14:sy="100000" w14:kx="0" w14:ky="0" w14:algn="tl">
          <w14:schemeClr w14:val="dk1">
            <w14:alpha w14:val="60000"/>
          </w14:schemeClr>
        </w14:shadow>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560622"/>
      <w:showingPlcHdr/>
    </w:sdtPr>
    <w:sdtEndPr/>
    <w:sdtContent>
      <w:p w14:paraId="3040C5DB" w14:textId="265DDAF3" w:rsidR="005605B9" w:rsidRDefault="008F13F4">
        <w:pPr>
          <w:pStyle w:val="a9"/>
          <w:jc w:val="center"/>
        </w:pPr>
        <w: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098DC" w14:textId="77777777" w:rsidR="005605B9" w:rsidRDefault="005605B9">
    <w:pPr>
      <w:pStyle w:val="Normal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96D85" w14:textId="77777777" w:rsidR="005605B9" w:rsidRDefault="005605B9">
    <w:pPr>
      <w:pStyle w:val="a9"/>
      <w:jc w:val="center"/>
      <w:rPr>
        <w:color w:val="000000" w:themeColor="text1"/>
        <w14:shadow w14:blurRad="38100" w14:dist="19050" w14:dir="2700000" w14:sx="100000" w14:sy="100000" w14:kx="0" w14:ky="0" w14:algn="tl">
          <w14:schemeClr w14:val="dk1">
            <w14:alpha w14:val="60000"/>
          </w14:schemeClr>
        </w14:shadow>
      </w:rPr>
    </w:pPr>
    <w:r>
      <w:rPr>
        <w:color w:val="000000" w:themeColor="text1"/>
        <w14:shadow w14:blurRad="38100" w14:dist="19050" w14:dir="2700000" w14:sx="100000" w14:sy="100000" w14:kx="0" w14:ky="0" w14:algn="tl">
          <w14:schemeClr w14:val="dk1">
            <w14:alpha w14:val="60000"/>
          </w14:schemeClr>
        </w14:shadow>
      </w:rPr>
      <w:fldChar w:fldCharType="begin"/>
    </w:r>
    <w:r>
      <w:rPr>
        <w:color w:val="000000" w:themeColor="text1"/>
        <w14:shadow w14:blurRad="38100" w14:dist="19050" w14:dir="2700000" w14:sx="100000" w14:sy="100000" w14:kx="0" w14:ky="0" w14:algn="tl">
          <w14:schemeClr w14:val="dk1">
            <w14:alpha w14:val="60000"/>
          </w14:schemeClr>
        </w14:shadow>
      </w:rPr>
      <w:instrText>PAGE   \* MERGEFORMAT</w:instrText>
    </w:r>
    <w:r>
      <w:rPr>
        <w:color w:val="000000" w:themeColor="text1"/>
        <w14:shadow w14:blurRad="38100" w14:dist="19050" w14:dir="2700000" w14:sx="100000" w14:sy="100000" w14:kx="0" w14:ky="0" w14:algn="tl">
          <w14:schemeClr w14:val="dk1">
            <w14:alpha w14:val="60000"/>
          </w14:schemeClr>
        </w14:shadow>
      </w:rPr>
      <w:fldChar w:fldCharType="separate"/>
    </w:r>
    <w:r w:rsidR="00BA1D80" w:rsidRPr="00BA1D80">
      <w:rPr>
        <w:noProof/>
        <w:color w:val="000000" w:themeColor="text1"/>
        <w:lang w:val="zh-CN"/>
        <w14:shadow w14:blurRad="38100" w14:dist="19050" w14:dir="2700000" w14:sx="100000" w14:sy="100000" w14:kx="0" w14:ky="0" w14:algn="tl">
          <w14:schemeClr w14:val="dk1">
            <w14:alpha w14:val="60000"/>
          </w14:schemeClr>
        </w14:shadow>
      </w:rPr>
      <w:t>23</w:t>
    </w:r>
    <w:r>
      <w:rPr>
        <w:color w:val="000000" w:themeColor="text1"/>
        <w14:shadow w14:blurRad="38100" w14:dist="19050" w14:dir="2700000" w14:sx="100000" w14:sy="100000" w14:kx="0" w14:ky="0" w14:algn="tl">
          <w14:schemeClr w14:val="dk1">
            <w14:alpha w14:val="60000"/>
          </w14:schemeClr>
        </w14:shadow>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E903C" w14:textId="77777777" w:rsidR="005605B9" w:rsidRDefault="005605B9">
    <w:pPr>
      <w:pStyle w:val="Norm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B1155" w14:textId="77777777" w:rsidR="006156F7" w:rsidRDefault="006156F7">
      <w:r>
        <w:separator/>
      </w:r>
    </w:p>
  </w:footnote>
  <w:footnote w:type="continuationSeparator" w:id="0">
    <w:p w14:paraId="417AC118" w14:textId="77777777" w:rsidR="006156F7" w:rsidRDefault="006156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8B2F" w14:textId="012C4AC5" w:rsidR="005605B9" w:rsidRDefault="005605B9">
    <w:pPr>
      <w:pStyle w:val="aa"/>
      <w:tabs>
        <w:tab w:val="clear" w:pos="4153"/>
      </w:tabs>
      <w:jc w:val="left"/>
    </w:pPr>
    <w:r>
      <w:t>汇添富睿选成长股票型证券投资基金</w:t>
    </w:r>
    <w:r>
      <w:tab/>
    </w:r>
    <w:r>
      <w:rPr>
        <w:rFonts w:hint="eastAsia"/>
      </w:rPr>
      <w:t>招募说明书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45CE5" w14:textId="77777777" w:rsidR="005605B9" w:rsidRDefault="005605B9">
    <w:pPr>
      <w:pStyle w:val="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46D8B" w14:textId="6EC6D633" w:rsidR="005605B9" w:rsidRPr="00E43858" w:rsidRDefault="008F13F4" w:rsidP="00E43858">
    <w:pPr>
      <w:pStyle w:val="aa"/>
      <w:tabs>
        <w:tab w:val="clear" w:pos="4153"/>
      </w:tabs>
      <w:jc w:val="left"/>
    </w:pPr>
    <w:r>
      <w:t>汇添富睿选成长股票型证券投资基金</w:t>
    </w:r>
    <w:r>
      <w:tab/>
    </w:r>
    <w:r>
      <w:rPr>
        <w:rFonts w:hint="eastAsia"/>
      </w:rPr>
      <w:t>招募说明书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7155E" w14:textId="77777777" w:rsidR="005605B9" w:rsidRDefault="005605B9">
    <w:pPr>
      <w:pStyle w:val="Norm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C370EAA"/>
    <w:multiLevelType w:val="singleLevel"/>
    <w:tmpl w:val="FC370EAA"/>
    <w:lvl w:ilvl="0">
      <w:start w:val="3"/>
      <w:numFmt w:val="decimal"/>
      <w:suff w:val="nothing"/>
      <w:lvlText w:val="（%1）"/>
      <w:lvlJc w:val="left"/>
    </w:lvl>
  </w:abstractNum>
  <w:abstractNum w:abstractNumId="1">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1C"/>
    <w:rsid w:val="00001954"/>
    <w:rsid w:val="000028C2"/>
    <w:rsid w:val="00002AF1"/>
    <w:rsid w:val="00002B2F"/>
    <w:rsid w:val="00004542"/>
    <w:rsid w:val="00011FA0"/>
    <w:rsid w:val="00014CA0"/>
    <w:rsid w:val="000150FF"/>
    <w:rsid w:val="000155E7"/>
    <w:rsid w:val="0001599A"/>
    <w:rsid w:val="000159FE"/>
    <w:rsid w:val="00015B61"/>
    <w:rsid w:val="00016D49"/>
    <w:rsid w:val="000175EB"/>
    <w:rsid w:val="00017955"/>
    <w:rsid w:val="00017E0A"/>
    <w:rsid w:val="0002079A"/>
    <w:rsid w:val="00020F04"/>
    <w:rsid w:val="00022669"/>
    <w:rsid w:val="0002292E"/>
    <w:rsid w:val="000231E0"/>
    <w:rsid w:val="00026323"/>
    <w:rsid w:val="00032906"/>
    <w:rsid w:val="00032A5E"/>
    <w:rsid w:val="00035B3D"/>
    <w:rsid w:val="000402C2"/>
    <w:rsid w:val="00040E8E"/>
    <w:rsid w:val="000421FF"/>
    <w:rsid w:val="000425E1"/>
    <w:rsid w:val="00044193"/>
    <w:rsid w:val="0004568D"/>
    <w:rsid w:val="000464E5"/>
    <w:rsid w:val="000466DC"/>
    <w:rsid w:val="00046F2C"/>
    <w:rsid w:val="0005235A"/>
    <w:rsid w:val="00055194"/>
    <w:rsid w:val="0005531E"/>
    <w:rsid w:val="00056035"/>
    <w:rsid w:val="00056089"/>
    <w:rsid w:val="00056B5C"/>
    <w:rsid w:val="0005789D"/>
    <w:rsid w:val="0006098B"/>
    <w:rsid w:val="0006189A"/>
    <w:rsid w:val="0006588B"/>
    <w:rsid w:val="000658E8"/>
    <w:rsid w:val="00067658"/>
    <w:rsid w:val="000700C4"/>
    <w:rsid w:val="00072899"/>
    <w:rsid w:val="0007536D"/>
    <w:rsid w:val="00080338"/>
    <w:rsid w:val="0008313D"/>
    <w:rsid w:val="00085738"/>
    <w:rsid w:val="0008618A"/>
    <w:rsid w:val="00087617"/>
    <w:rsid w:val="00090C27"/>
    <w:rsid w:val="00090F74"/>
    <w:rsid w:val="00093C4F"/>
    <w:rsid w:val="00093E3D"/>
    <w:rsid w:val="000946A7"/>
    <w:rsid w:val="00094897"/>
    <w:rsid w:val="00094E37"/>
    <w:rsid w:val="000A0044"/>
    <w:rsid w:val="000A4208"/>
    <w:rsid w:val="000A5432"/>
    <w:rsid w:val="000A5CA1"/>
    <w:rsid w:val="000A62B2"/>
    <w:rsid w:val="000B0373"/>
    <w:rsid w:val="000B2B5D"/>
    <w:rsid w:val="000B2D11"/>
    <w:rsid w:val="000B2E1D"/>
    <w:rsid w:val="000B3A83"/>
    <w:rsid w:val="000B3C66"/>
    <w:rsid w:val="000B4B44"/>
    <w:rsid w:val="000B7698"/>
    <w:rsid w:val="000C24FA"/>
    <w:rsid w:val="000C3747"/>
    <w:rsid w:val="000C6176"/>
    <w:rsid w:val="000C7015"/>
    <w:rsid w:val="000C718F"/>
    <w:rsid w:val="000C7F98"/>
    <w:rsid w:val="000D214C"/>
    <w:rsid w:val="000D5B88"/>
    <w:rsid w:val="000E01C9"/>
    <w:rsid w:val="000E1B21"/>
    <w:rsid w:val="000E379A"/>
    <w:rsid w:val="000E46DC"/>
    <w:rsid w:val="000E7118"/>
    <w:rsid w:val="000E75A6"/>
    <w:rsid w:val="000F1390"/>
    <w:rsid w:val="000F1EF4"/>
    <w:rsid w:val="000F2D8B"/>
    <w:rsid w:val="00100D07"/>
    <w:rsid w:val="00101D37"/>
    <w:rsid w:val="00103ED6"/>
    <w:rsid w:val="001079D9"/>
    <w:rsid w:val="001104AD"/>
    <w:rsid w:val="0011068C"/>
    <w:rsid w:val="00110ABD"/>
    <w:rsid w:val="00112932"/>
    <w:rsid w:val="00113269"/>
    <w:rsid w:val="001134B3"/>
    <w:rsid w:val="001220F7"/>
    <w:rsid w:val="00123EB0"/>
    <w:rsid w:val="00126AE2"/>
    <w:rsid w:val="00126E79"/>
    <w:rsid w:val="001342AC"/>
    <w:rsid w:val="00134954"/>
    <w:rsid w:val="00137FA4"/>
    <w:rsid w:val="00141EF4"/>
    <w:rsid w:val="001514B8"/>
    <w:rsid w:val="001531D8"/>
    <w:rsid w:val="00153D01"/>
    <w:rsid w:val="00153E62"/>
    <w:rsid w:val="00154395"/>
    <w:rsid w:val="00154557"/>
    <w:rsid w:val="00156A25"/>
    <w:rsid w:val="00157A3D"/>
    <w:rsid w:val="00163549"/>
    <w:rsid w:val="00164D53"/>
    <w:rsid w:val="00171C27"/>
    <w:rsid w:val="00172A27"/>
    <w:rsid w:val="0017353E"/>
    <w:rsid w:val="00174D1A"/>
    <w:rsid w:val="0017558A"/>
    <w:rsid w:val="0017750B"/>
    <w:rsid w:val="001813A6"/>
    <w:rsid w:val="00182814"/>
    <w:rsid w:val="00184368"/>
    <w:rsid w:val="00184886"/>
    <w:rsid w:val="00184A75"/>
    <w:rsid w:val="00184B76"/>
    <w:rsid w:val="00187BCF"/>
    <w:rsid w:val="001945E9"/>
    <w:rsid w:val="00194664"/>
    <w:rsid w:val="00194873"/>
    <w:rsid w:val="00194E95"/>
    <w:rsid w:val="0019565B"/>
    <w:rsid w:val="0019649B"/>
    <w:rsid w:val="001A3218"/>
    <w:rsid w:val="001A4100"/>
    <w:rsid w:val="001A7E11"/>
    <w:rsid w:val="001B0ACB"/>
    <w:rsid w:val="001B1027"/>
    <w:rsid w:val="001B23B7"/>
    <w:rsid w:val="001B325B"/>
    <w:rsid w:val="001B6BAC"/>
    <w:rsid w:val="001C101B"/>
    <w:rsid w:val="001C1B8F"/>
    <w:rsid w:val="001C2331"/>
    <w:rsid w:val="001C34B2"/>
    <w:rsid w:val="001C4009"/>
    <w:rsid w:val="001C5537"/>
    <w:rsid w:val="001C6D6A"/>
    <w:rsid w:val="001C7B68"/>
    <w:rsid w:val="001D57AF"/>
    <w:rsid w:val="001E094C"/>
    <w:rsid w:val="001E0FF2"/>
    <w:rsid w:val="001E2A9E"/>
    <w:rsid w:val="001E2C2E"/>
    <w:rsid w:val="001E505C"/>
    <w:rsid w:val="001E5A8A"/>
    <w:rsid w:val="001E5F81"/>
    <w:rsid w:val="001E5F9D"/>
    <w:rsid w:val="001F0926"/>
    <w:rsid w:val="001F0940"/>
    <w:rsid w:val="001F4B18"/>
    <w:rsid w:val="001F50E1"/>
    <w:rsid w:val="001F586C"/>
    <w:rsid w:val="001F6A2C"/>
    <w:rsid w:val="00204621"/>
    <w:rsid w:val="00206016"/>
    <w:rsid w:val="00210EF2"/>
    <w:rsid w:val="002172E3"/>
    <w:rsid w:val="002178D8"/>
    <w:rsid w:val="0022040F"/>
    <w:rsid w:val="00222562"/>
    <w:rsid w:val="00222DE4"/>
    <w:rsid w:val="002254B5"/>
    <w:rsid w:val="002256A5"/>
    <w:rsid w:val="00226C42"/>
    <w:rsid w:val="0022787F"/>
    <w:rsid w:val="002306FB"/>
    <w:rsid w:val="00232C19"/>
    <w:rsid w:val="00236F6C"/>
    <w:rsid w:val="00237FE2"/>
    <w:rsid w:val="00244337"/>
    <w:rsid w:val="0024488F"/>
    <w:rsid w:val="00245AE5"/>
    <w:rsid w:val="002463D6"/>
    <w:rsid w:val="0024674D"/>
    <w:rsid w:val="00251CDE"/>
    <w:rsid w:val="0026130F"/>
    <w:rsid w:val="00265178"/>
    <w:rsid w:val="00265761"/>
    <w:rsid w:val="00265EF4"/>
    <w:rsid w:val="00266093"/>
    <w:rsid w:val="0026618B"/>
    <w:rsid w:val="00270BAA"/>
    <w:rsid w:val="00270F39"/>
    <w:rsid w:val="00272A4E"/>
    <w:rsid w:val="002732E9"/>
    <w:rsid w:val="00273649"/>
    <w:rsid w:val="00273B12"/>
    <w:rsid w:val="0027418C"/>
    <w:rsid w:val="0027425C"/>
    <w:rsid w:val="0027450C"/>
    <w:rsid w:val="00276450"/>
    <w:rsid w:val="00280098"/>
    <w:rsid w:val="002807DE"/>
    <w:rsid w:val="00287487"/>
    <w:rsid w:val="0028782A"/>
    <w:rsid w:val="00290F25"/>
    <w:rsid w:val="00291175"/>
    <w:rsid w:val="00291A05"/>
    <w:rsid w:val="00291FEB"/>
    <w:rsid w:val="00292622"/>
    <w:rsid w:val="00294077"/>
    <w:rsid w:val="00296254"/>
    <w:rsid w:val="00296F4D"/>
    <w:rsid w:val="002A05A3"/>
    <w:rsid w:val="002A0C0C"/>
    <w:rsid w:val="002A1130"/>
    <w:rsid w:val="002A20A0"/>
    <w:rsid w:val="002A2661"/>
    <w:rsid w:val="002A7FE4"/>
    <w:rsid w:val="002B0550"/>
    <w:rsid w:val="002B2641"/>
    <w:rsid w:val="002B3231"/>
    <w:rsid w:val="002B72E5"/>
    <w:rsid w:val="002B7554"/>
    <w:rsid w:val="002C077B"/>
    <w:rsid w:val="002C28E2"/>
    <w:rsid w:val="002C3D58"/>
    <w:rsid w:val="002C401A"/>
    <w:rsid w:val="002C59D2"/>
    <w:rsid w:val="002C7792"/>
    <w:rsid w:val="002C7A62"/>
    <w:rsid w:val="002D179A"/>
    <w:rsid w:val="002D21D1"/>
    <w:rsid w:val="002E0E13"/>
    <w:rsid w:val="002E3842"/>
    <w:rsid w:val="002E4098"/>
    <w:rsid w:val="002E426E"/>
    <w:rsid w:val="002E5101"/>
    <w:rsid w:val="002E6AA0"/>
    <w:rsid w:val="002F0CE1"/>
    <w:rsid w:val="002F0DB6"/>
    <w:rsid w:val="002F1A4D"/>
    <w:rsid w:val="002F2B69"/>
    <w:rsid w:val="002F4328"/>
    <w:rsid w:val="002F6E80"/>
    <w:rsid w:val="00303634"/>
    <w:rsid w:val="00303F10"/>
    <w:rsid w:val="003055ED"/>
    <w:rsid w:val="00311061"/>
    <w:rsid w:val="00313741"/>
    <w:rsid w:val="003150F0"/>
    <w:rsid w:val="00315C67"/>
    <w:rsid w:val="00317491"/>
    <w:rsid w:val="003211EB"/>
    <w:rsid w:val="00321B94"/>
    <w:rsid w:val="003228DF"/>
    <w:rsid w:val="0032387B"/>
    <w:rsid w:val="00323CC5"/>
    <w:rsid w:val="00326283"/>
    <w:rsid w:val="00327601"/>
    <w:rsid w:val="00330637"/>
    <w:rsid w:val="00330B1A"/>
    <w:rsid w:val="00331C52"/>
    <w:rsid w:val="00331EA2"/>
    <w:rsid w:val="003326C2"/>
    <w:rsid w:val="00341D5C"/>
    <w:rsid w:val="00343C18"/>
    <w:rsid w:val="00343C28"/>
    <w:rsid w:val="00351F38"/>
    <w:rsid w:val="003528FF"/>
    <w:rsid w:val="00352A25"/>
    <w:rsid w:val="00353D96"/>
    <w:rsid w:val="00357A08"/>
    <w:rsid w:val="0036095B"/>
    <w:rsid w:val="003610DF"/>
    <w:rsid w:val="00361178"/>
    <w:rsid w:val="00362023"/>
    <w:rsid w:val="003641E7"/>
    <w:rsid w:val="00365108"/>
    <w:rsid w:val="00365EDD"/>
    <w:rsid w:val="00370B76"/>
    <w:rsid w:val="00370BD6"/>
    <w:rsid w:val="003713B6"/>
    <w:rsid w:val="003714C1"/>
    <w:rsid w:val="003740DF"/>
    <w:rsid w:val="003767F5"/>
    <w:rsid w:val="00376907"/>
    <w:rsid w:val="00376F9E"/>
    <w:rsid w:val="00377337"/>
    <w:rsid w:val="00381934"/>
    <w:rsid w:val="003824C3"/>
    <w:rsid w:val="003867ED"/>
    <w:rsid w:val="00386F6A"/>
    <w:rsid w:val="003879AF"/>
    <w:rsid w:val="003923A1"/>
    <w:rsid w:val="0039392C"/>
    <w:rsid w:val="00394BC7"/>
    <w:rsid w:val="00394DD2"/>
    <w:rsid w:val="00394E0E"/>
    <w:rsid w:val="0039604F"/>
    <w:rsid w:val="003964CB"/>
    <w:rsid w:val="003A0664"/>
    <w:rsid w:val="003A0ABC"/>
    <w:rsid w:val="003A10C0"/>
    <w:rsid w:val="003A12CE"/>
    <w:rsid w:val="003A1D99"/>
    <w:rsid w:val="003A4187"/>
    <w:rsid w:val="003A4239"/>
    <w:rsid w:val="003A7966"/>
    <w:rsid w:val="003B1DF6"/>
    <w:rsid w:val="003B46E8"/>
    <w:rsid w:val="003B5F06"/>
    <w:rsid w:val="003B6E3D"/>
    <w:rsid w:val="003C19BF"/>
    <w:rsid w:val="003C437A"/>
    <w:rsid w:val="003C4530"/>
    <w:rsid w:val="003C5B82"/>
    <w:rsid w:val="003C6467"/>
    <w:rsid w:val="003C716B"/>
    <w:rsid w:val="003C776C"/>
    <w:rsid w:val="003D04B3"/>
    <w:rsid w:val="003D1894"/>
    <w:rsid w:val="003D3631"/>
    <w:rsid w:val="003D3797"/>
    <w:rsid w:val="003D449F"/>
    <w:rsid w:val="003D4BDD"/>
    <w:rsid w:val="003D5619"/>
    <w:rsid w:val="003E125D"/>
    <w:rsid w:val="003E1A42"/>
    <w:rsid w:val="003E26B4"/>
    <w:rsid w:val="003E34DD"/>
    <w:rsid w:val="003E4FDF"/>
    <w:rsid w:val="003E5C66"/>
    <w:rsid w:val="003E64EF"/>
    <w:rsid w:val="003E7D71"/>
    <w:rsid w:val="003F1DC4"/>
    <w:rsid w:val="003F33E0"/>
    <w:rsid w:val="003F47B0"/>
    <w:rsid w:val="003F485F"/>
    <w:rsid w:val="003F4C16"/>
    <w:rsid w:val="004030CE"/>
    <w:rsid w:val="00412396"/>
    <w:rsid w:val="00415036"/>
    <w:rsid w:val="00421136"/>
    <w:rsid w:val="00424437"/>
    <w:rsid w:val="00425210"/>
    <w:rsid w:val="00425551"/>
    <w:rsid w:val="00427ED3"/>
    <w:rsid w:val="0043083F"/>
    <w:rsid w:val="004356A1"/>
    <w:rsid w:val="004421C9"/>
    <w:rsid w:val="00443E05"/>
    <w:rsid w:val="00443F0B"/>
    <w:rsid w:val="004455DC"/>
    <w:rsid w:val="0045064E"/>
    <w:rsid w:val="004514D2"/>
    <w:rsid w:val="004523BC"/>
    <w:rsid w:val="00454167"/>
    <w:rsid w:val="00456A74"/>
    <w:rsid w:val="0046173F"/>
    <w:rsid w:val="00462409"/>
    <w:rsid w:val="00462A26"/>
    <w:rsid w:val="004630AA"/>
    <w:rsid w:val="00463C2E"/>
    <w:rsid w:val="004644B2"/>
    <w:rsid w:val="0046493A"/>
    <w:rsid w:val="004663BB"/>
    <w:rsid w:val="004748B5"/>
    <w:rsid w:val="00476147"/>
    <w:rsid w:val="00477B2F"/>
    <w:rsid w:val="00481428"/>
    <w:rsid w:val="004817AB"/>
    <w:rsid w:val="00482449"/>
    <w:rsid w:val="00483A5A"/>
    <w:rsid w:val="004850E4"/>
    <w:rsid w:val="00485743"/>
    <w:rsid w:val="00485D6C"/>
    <w:rsid w:val="00490162"/>
    <w:rsid w:val="00493E9A"/>
    <w:rsid w:val="00493F38"/>
    <w:rsid w:val="0049407A"/>
    <w:rsid w:val="004945FC"/>
    <w:rsid w:val="00496B2C"/>
    <w:rsid w:val="004A065C"/>
    <w:rsid w:val="004A23AD"/>
    <w:rsid w:val="004A3A39"/>
    <w:rsid w:val="004A44C9"/>
    <w:rsid w:val="004A5D57"/>
    <w:rsid w:val="004B0446"/>
    <w:rsid w:val="004B0880"/>
    <w:rsid w:val="004B0FF1"/>
    <w:rsid w:val="004B342D"/>
    <w:rsid w:val="004B404F"/>
    <w:rsid w:val="004B638A"/>
    <w:rsid w:val="004B6B32"/>
    <w:rsid w:val="004B7E43"/>
    <w:rsid w:val="004C101A"/>
    <w:rsid w:val="004C27BF"/>
    <w:rsid w:val="004C5BE8"/>
    <w:rsid w:val="004D00B8"/>
    <w:rsid w:val="004D087E"/>
    <w:rsid w:val="004D3CB7"/>
    <w:rsid w:val="004D3E32"/>
    <w:rsid w:val="004D4076"/>
    <w:rsid w:val="004D4597"/>
    <w:rsid w:val="004D4B2E"/>
    <w:rsid w:val="004D7EE6"/>
    <w:rsid w:val="004E2FB8"/>
    <w:rsid w:val="004E3B3D"/>
    <w:rsid w:val="004E61F6"/>
    <w:rsid w:val="004E71CB"/>
    <w:rsid w:val="004E7693"/>
    <w:rsid w:val="004F235D"/>
    <w:rsid w:val="004F2BF3"/>
    <w:rsid w:val="004F67DD"/>
    <w:rsid w:val="004F7634"/>
    <w:rsid w:val="0050234F"/>
    <w:rsid w:val="00503385"/>
    <w:rsid w:val="005042D7"/>
    <w:rsid w:val="005043A3"/>
    <w:rsid w:val="0050527D"/>
    <w:rsid w:val="005071AC"/>
    <w:rsid w:val="00510629"/>
    <w:rsid w:val="00510B3C"/>
    <w:rsid w:val="005143CF"/>
    <w:rsid w:val="00517CC1"/>
    <w:rsid w:val="00521E6C"/>
    <w:rsid w:val="0052235B"/>
    <w:rsid w:val="005232C1"/>
    <w:rsid w:val="00523C59"/>
    <w:rsid w:val="00523FEC"/>
    <w:rsid w:val="0052416A"/>
    <w:rsid w:val="00524736"/>
    <w:rsid w:val="005250A6"/>
    <w:rsid w:val="0052660B"/>
    <w:rsid w:val="00530000"/>
    <w:rsid w:val="0053172D"/>
    <w:rsid w:val="00531E8F"/>
    <w:rsid w:val="00533313"/>
    <w:rsid w:val="00540F6C"/>
    <w:rsid w:val="00541E09"/>
    <w:rsid w:val="00542910"/>
    <w:rsid w:val="005446D7"/>
    <w:rsid w:val="005465C9"/>
    <w:rsid w:val="00546837"/>
    <w:rsid w:val="005501BA"/>
    <w:rsid w:val="005509A2"/>
    <w:rsid w:val="00551A51"/>
    <w:rsid w:val="00552979"/>
    <w:rsid w:val="00552F78"/>
    <w:rsid w:val="005538E7"/>
    <w:rsid w:val="00554DDC"/>
    <w:rsid w:val="005556BB"/>
    <w:rsid w:val="00555AAE"/>
    <w:rsid w:val="00555F55"/>
    <w:rsid w:val="0056021E"/>
    <w:rsid w:val="005605B9"/>
    <w:rsid w:val="00560C71"/>
    <w:rsid w:val="00563105"/>
    <w:rsid w:val="00563823"/>
    <w:rsid w:val="00563EDF"/>
    <w:rsid w:val="00565504"/>
    <w:rsid w:val="0056786D"/>
    <w:rsid w:val="00573B65"/>
    <w:rsid w:val="0057438E"/>
    <w:rsid w:val="00574A8F"/>
    <w:rsid w:val="005754B9"/>
    <w:rsid w:val="00580F61"/>
    <w:rsid w:val="00581C8A"/>
    <w:rsid w:val="0058322B"/>
    <w:rsid w:val="00584CC5"/>
    <w:rsid w:val="00586283"/>
    <w:rsid w:val="00586CEE"/>
    <w:rsid w:val="005940EA"/>
    <w:rsid w:val="00597C83"/>
    <w:rsid w:val="005A1356"/>
    <w:rsid w:val="005A5B49"/>
    <w:rsid w:val="005A6629"/>
    <w:rsid w:val="005A7366"/>
    <w:rsid w:val="005B6D99"/>
    <w:rsid w:val="005C0E89"/>
    <w:rsid w:val="005C4915"/>
    <w:rsid w:val="005C5F32"/>
    <w:rsid w:val="005C7536"/>
    <w:rsid w:val="005C7EF8"/>
    <w:rsid w:val="005D24E6"/>
    <w:rsid w:val="005D357F"/>
    <w:rsid w:val="005D59A2"/>
    <w:rsid w:val="005D6D0F"/>
    <w:rsid w:val="005E32FD"/>
    <w:rsid w:val="005E4871"/>
    <w:rsid w:val="005E55B6"/>
    <w:rsid w:val="005E6D9B"/>
    <w:rsid w:val="005F295D"/>
    <w:rsid w:val="005F5458"/>
    <w:rsid w:val="005F6173"/>
    <w:rsid w:val="005F6A5D"/>
    <w:rsid w:val="006011D2"/>
    <w:rsid w:val="00603D0B"/>
    <w:rsid w:val="00604F22"/>
    <w:rsid w:val="00605A97"/>
    <w:rsid w:val="00606858"/>
    <w:rsid w:val="00607E89"/>
    <w:rsid w:val="006103F2"/>
    <w:rsid w:val="0061051E"/>
    <w:rsid w:val="006136FE"/>
    <w:rsid w:val="00614B17"/>
    <w:rsid w:val="006152B7"/>
    <w:rsid w:val="006156F7"/>
    <w:rsid w:val="00616766"/>
    <w:rsid w:val="00624BF6"/>
    <w:rsid w:val="006273F7"/>
    <w:rsid w:val="00632B7F"/>
    <w:rsid w:val="00632C60"/>
    <w:rsid w:val="0063350D"/>
    <w:rsid w:val="00637D85"/>
    <w:rsid w:val="00640B38"/>
    <w:rsid w:val="006432C0"/>
    <w:rsid w:val="00647016"/>
    <w:rsid w:val="00647A6D"/>
    <w:rsid w:val="00647C44"/>
    <w:rsid w:val="00653D5F"/>
    <w:rsid w:val="006552E2"/>
    <w:rsid w:val="00657286"/>
    <w:rsid w:val="00657D3A"/>
    <w:rsid w:val="00657FE9"/>
    <w:rsid w:val="006606FE"/>
    <w:rsid w:val="00661030"/>
    <w:rsid w:val="00662BED"/>
    <w:rsid w:val="00663D33"/>
    <w:rsid w:val="006641D2"/>
    <w:rsid w:val="00664530"/>
    <w:rsid w:val="006664CC"/>
    <w:rsid w:val="006701B3"/>
    <w:rsid w:val="006702F3"/>
    <w:rsid w:val="00670F9A"/>
    <w:rsid w:val="006722F4"/>
    <w:rsid w:val="0067274B"/>
    <w:rsid w:val="00673663"/>
    <w:rsid w:val="00673AB4"/>
    <w:rsid w:val="00673FAE"/>
    <w:rsid w:val="00674B1A"/>
    <w:rsid w:val="00674F82"/>
    <w:rsid w:val="006762BB"/>
    <w:rsid w:val="00676302"/>
    <w:rsid w:val="0067672B"/>
    <w:rsid w:val="006806D8"/>
    <w:rsid w:val="00682C24"/>
    <w:rsid w:val="0068352C"/>
    <w:rsid w:val="00683692"/>
    <w:rsid w:val="0068450B"/>
    <w:rsid w:val="00685D12"/>
    <w:rsid w:val="00690CAC"/>
    <w:rsid w:val="00692E52"/>
    <w:rsid w:val="00693FD0"/>
    <w:rsid w:val="00695E69"/>
    <w:rsid w:val="006968F1"/>
    <w:rsid w:val="00697450"/>
    <w:rsid w:val="006A0656"/>
    <w:rsid w:val="006A3901"/>
    <w:rsid w:val="006A6358"/>
    <w:rsid w:val="006B12D5"/>
    <w:rsid w:val="006B1598"/>
    <w:rsid w:val="006B233E"/>
    <w:rsid w:val="006B3B2A"/>
    <w:rsid w:val="006B40EE"/>
    <w:rsid w:val="006B4786"/>
    <w:rsid w:val="006B561D"/>
    <w:rsid w:val="006C15DB"/>
    <w:rsid w:val="006C2B3B"/>
    <w:rsid w:val="006C2FDA"/>
    <w:rsid w:val="006C374A"/>
    <w:rsid w:val="006C37EA"/>
    <w:rsid w:val="006C3A3D"/>
    <w:rsid w:val="006C5211"/>
    <w:rsid w:val="006C53C8"/>
    <w:rsid w:val="006C55EB"/>
    <w:rsid w:val="006C5EAA"/>
    <w:rsid w:val="006C6740"/>
    <w:rsid w:val="006D0092"/>
    <w:rsid w:val="006D1817"/>
    <w:rsid w:val="006D4A86"/>
    <w:rsid w:val="006D73F3"/>
    <w:rsid w:val="006E0DF1"/>
    <w:rsid w:val="006E19F8"/>
    <w:rsid w:val="006E2E24"/>
    <w:rsid w:val="006E2EE7"/>
    <w:rsid w:val="006E51E3"/>
    <w:rsid w:val="006E6751"/>
    <w:rsid w:val="006F0EAB"/>
    <w:rsid w:val="006F367C"/>
    <w:rsid w:val="006F3AF9"/>
    <w:rsid w:val="006F442F"/>
    <w:rsid w:val="006F58F9"/>
    <w:rsid w:val="006F6CF3"/>
    <w:rsid w:val="006F7791"/>
    <w:rsid w:val="00700086"/>
    <w:rsid w:val="0070265C"/>
    <w:rsid w:val="0070377A"/>
    <w:rsid w:val="00704AD1"/>
    <w:rsid w:val="00705388"/>
    <w:rsid w:val="007067D5"/>
    <w:rsid w:val="00706B2C"/>
    <w:rsid w:val="00707F30"/>
    <w:rsid w:val="00711976"/>
    <w:rsid w:val="007123BE"/>
    <w:rsid w:val="00713766"/>
    <w:rsid w:val="00713AC7"/>
    <w:rsid w:val="00716341"/>
    <w:rsid w:val="00717B1F"/>
    <w:rsid w:val="00720089"/>
    <w:rsid w:val="00720353"/>
    <w:rsid w:val="00720B4C"/>
    <w:rsid w:val="00722540"/>
    <w:rsid w:val="0072493D"/>
    <w:rsid w:val="0072734B"/>
    <w:rsid w:val="00730D8B"/>
    <w:rsid w:val="0073388F"/>
    <w:rsid w:val="00733D7A"/>
    <w:rsid w:val="0073694A"/>
    <w:rsid w:val="00740E45"/>
    <w:rsid w:val="00742CD2"/>
    <w:rsid w:val="00743628"/>
    <w:rsid w:val="00743F3A"/>
    <w:rsid w:val="00745B02"/>
    <w:rsid w:val="0074618C"/>
    <w:rsid w:val="0074622F"/>
    <w:rsid w:val="00750672"/>
    <w:rsid w:val="00750958"/>
    <w:rsid w:val="00751D0B"/>
    <w:rsid w:val="007521DD"/>
    <w:rsid w:val="00753830"/>
    <w:rsid w:val="00754B00"/>
    <w:rsid w:val="00756F36"/>
    <w:rsid w:val="00762D25"/>
    <w:rsid w:val="00763F7A"/>
    <w:rsid w:val="00766335"/>
    <w:rsid w:val="00766F9D"/>
    <w:rsid w:val="0077581E"/>
    <w:rsid w:val="00776A3D"/>
    <w:rsid w:val="00776D53"/>
    <w:rsid w:val="00777266"/>
    <w:rsid w:val="00783AC6"/>
    <w:rsid w:val="007864FC"/>
    <w:rsid w:val="00794106"/>
    <w:rsid w:val="00794462"/>
    <w:rsid w:val="007A0C54"/>
    <w:rsid w:val="007A101D"/>
    <w:rsid w:val="007A1A99"/>
    <w:rsid w:val="007A2B34"/>
    <w:rsid w:val="007A3944"/>
    <w:rsid w:val="007A3D17"/>
    <w:rsid w:val="007A4A1B"/>
    <w:rsid w:val="007A6E51"/>
    <w:rsid w:val="007A7475"/>
    <w:rsid w:val="007A7AFA"/>
    <w:rsid w:val="007B016B"/>
    <w:rsid w:val="007B032F"/>
    <w:rsid w:val="007B102F"/>
    <w:rsid w:val="007B141F"/>
    <w:rsid w:val="007B162A"/>
    <w:rsid w:val="007B1F6E"/>
    <w:rsid w:val="007B217A"/>
    <w:rsid w:val="007B5B0D"/>
    <w:rsid w:val="007B7A3D"/>
    <w:rsid w:val="007C03F5"/>
    <w:rsid w:val="007C0B84"/>
    <w:rsid w:val="007C36EF"/>
    <w:rsid w:val="007D114A"/>
    <w:rsid w:val="007D12A7"/>
    <w:rsid w:val="007D15D6"/>
    <w:rsid w:val="007D21F1"/>
    <w:rsid w:val="007D24FC"/>
    <w:rsid w:val="007D4FC2"/>
    <w:rsid w:val="007E0C49"/>
    <w:rsid w:val="007E1CEB"/>
    <w:rsid w:val="007E29CD"/>
    <w:rsid w:val="007E53EB"/>
    <w:rsid w:val="007E5EDC"/>
    <w:rsid w:val="007E6761"/>
    <w:rsid w:val="007E73E5"/>
    <w:rsid w:val="007F0B88"/>
    <w:rsid w:val="007F100A"/>
    <w:rsid w:val="007F116F"/>
    <w:rsid w:val="007F2532"/>
    <w:rsid w:val="007F317B"/>
    <w:rsid w:val="007F74BB"/>
    <w:rsid w:val="007F7644"/>
    <w:rsid w:val="0080005F"/>
    <w:rsid w:val="008023A4"/>
    <w:rsid w:val="0080292B"/>
    <w:rsid w:val="008034F4"/>
    <w:rsid w:val="00803E5F"/>
    <w:rsid w:val="00804D8A"/>
    <w:rsid w:val="00805681"/>
    <w:rsid w:val="00811A98"/>
    <w:rsid w:val="00812BE2"/>
    <w:rsid w:val="008157DE"/>
    <w:rsid w:val="008160D9"/>
    <w:rsid w:val="008161AC"/>
    <w:rsid w:val="00816F47"/>
    <w:rsid w:val="00817FDD"/>
    <w:rsid w:val="00820176"/>
    <w:rsid w:val="008215E7"/>
    <w:rsid w:val="0082282E"/>
    <w:rsid w:val="00823C3C"/>
    <w:rsid w:val="008279AF"/>
    <w:rsid w:val="00830F84"/>
    <w:rsid w:val="00831C63"/>
    <w:rsid w:val="008349B9"/>
    <w:rsid w:val="00835199"/>
    <w:rsid w:val="008367AC"/>
    <w:rsid w:val="0084171C"/>
    <w:rsid w:val="008420CD"/>
    <w:rsid w:val="00845783"/>
    <w:rsid w:val="00846146"/>
    <w:rsid w:val="00847110"/>
    <w:rsid w:val="00847A4D"/>
    <w:rsid w:val="00847DAC"/>
    <w:rsid w:val="0085381D"/>
    <w:rsid w:val="00860643"/>
    <w:rsid w:val="0086158D"/>
    <w:rsid w:val="00862569"/>
    <w:rsid w:val="00862736"/>
    <w:rsid w:val="00866A73"/>
    <w:rsid w:val="00871345"/>
    <w:rsid w:val="00871A2B"/>
    <w:rsid w:val="008736AF"/>
    <w:rsid w:val="0087457F"/>
    <w:rsid w:val="0087576D"/>
    <w:rsid w:val="008768E9"/>
    <w:rsid w:val="0087743D"/>
    <w:rsid w:val="00880897"/>
    <w:rsid w:val="00880D13"/>
    <w:rsid w:val="008822BE"/>
    <w:rsid w:val="008823C3"/>
    <w:rsid w:val="00883CD5"/>
    <w:rsid w:val="00885664"/>
    <w:rsid w:val="008863E5"/>
    <w:rsid w:val="008867E2"/>
    <w:rsid w:val="00886F29"/>
    <w:rsid w:val="008872D3"/>
    <w:rsid w:val="00890C84"/>
    <w:rsid w:val="00893D84"/>
    <w:rsid w:val="00894D35"/>
    <w:rsid w:val="00896085"/>
    <w:rsid w:val="008960D3"/>
    <w:rsid w:val="008972FF"/>
    <w:rsid w:val="008977DD"/>
    <w:rsid w:val="008A07C3"/>
    <w:rsid w:val="008A0C44"/>
    <w:rsid w:val="008A1936"/>
    <w:rsid w:val="008A29AF"/>
    <w:rsid w:val="008A3802"/>
    <w:rsid w:val="008A3C1F"/>
    <w:rsid w:val="008A664D"/>
    <w:rsid w:val="008B377E"/>
    <w:rsid w:val="008B50F1"/>
    <w:rsid w:val="008B5538"/>
    <w:rsid w:val="008B69A5"/>
    <w:rsid w:val="008C2DB4"/>
    <w:rsid w:val="008C3F2C"/>
    <w:rsid w:val="008C5E8F"/>
    <w:rsid w:val="008D13E6"/>
    <w:rsid w:val="008D1538"/>
    <w:rsid w:val="008D4520"/>
    <w:rsid w:val="008E1E18"/>
    <w:rsid w:val="008E46DA"/>
    <w:rsid w:val="008E4ED9"/>
    <w:rsid w:val="008F13F4"/>
    <w:rsid w:val="008F2229"/>
    <w:rsid w:val="008F6482"/>
    <w:rsid w:val="008F6EDD"/>
    <w:rsid w:val="008F70D1"/>
    <w:rsid w:val="008F74FC"/>
    <w:rsid w:val="008F7AF3"/>
    <w:rsid w:val="00901A11"/>
    <w:rsid w:val="00901A71"/>
    <w:rsid w:val="00902A83"/>
    <w:rsid w:val="0090469D"/>
    <w:rsid w:val="009068AA"/>
    <w:rsid w:val="00906972"/>
    <w:rsid w:val="009101C5"/>
    <w:rsid w:val="00910434"/>
    <w:rsid w:val="0091238F"/>
    <w:rsid w:val="00913DA3"/>
    <w:rsid w:val="00913F4F"/>
    <w:rsid w:val="00913F7B"/>
    <w:rsid w:val="00916542"/>
    <w:rsid w:val="00920BE7"/>
    <w:rsid w:val="00923276"/>
    <w:rsid w:val="00923E84"/>
    <w:rsid w:val="00924761"/>
    <w:rsid w:val="00925CE2"/>
    <w:rsid w:val="00932558"/>
    <w:rsid w:val="0093355C"/>
    <w:rsid w:val="00937205"/>
    <w:rsid w:val="00937C1D"/>
    <w:rsid w:val="00940EDA"/>
    <w:rsid w:val="00942271"/>
    <w:rsid w:val="00943759"/>
    <w:rsid w:val="009503C7"/>
    <w:rsid w:val="00950B05"/>
    <w:rsid w:val="00953B50"/>
    <w:rsid w:val="00957CC9"/>
    <w:rsid w:val="00963AB1"/>
    <w:rsid w:val="009667E1"/>
    <w:rsid w:val="00970AC2"/>
    <w:rsid w:val="00970CA9"/>
    <w:rsid w:val="00971A90"/>
    <w:rsid w:val="00971EF9"/>
    <w:rsid w:val="009727EA"/>
    <w:rsid w:val="00972A6E"/>
    <w:rsid w:val="009732FF"/>
    <w:rsid w:val="00976551"/>
    <w:rsid w:val="00976BDA"/>
    <w:rsid w:val="00990F3B"/>
    <w:rsid w:val="00991559"/>
    <w:rsid w:val="009920F3"/>
    <w:rsid w:val="0099256E"/>
    <w:rsid w:val="009928AE"/>
    <w:rsid w:val="00992F6A"/>
    <w:rsid w:val="00995394"/>
    <w:rsid w:val="00996C25"/>
    <w:rsid w:val="009975BB"/>
    <w:rsid w:val="009A025A"/>
    <w:rsid w:val="009A1247"/>
    <w:rsid w:val="009A278E"/>
    <w:rsid w:val="009A3A3C"/>
    <w:rsid w:val="009A40E8"/>
    <w:rsid w:val="009A41D7"/>
    <w:rsid w:val="009A6A18"/>
    <w:rsid w:val="009B6E72"/>
    <w:rsid w:val="009B6EE2"/>
    <w:rsid w:val="009B7163"/>
    <w:rsid w:val="009C2AB5"/>
    <w:rsid w:val="009C2F87"/>
    <w:rsid w:val="009C639F"/>
    <w:rsid w:val="009C66AD"/>
    <w:rsid w:val="009D0008"/>
    <w:rsid w:val="009D0482"/>
    <w:rsid w:val="009D1365"/>
    <w:rsid w:val="009D3B83"/>
    <w:rsid w:val="009D60D5"/>
    <w:rsid w:val="009D63C8"/>
    <w:rsid w:val="009E1B30"/>
    <w:rsid w:val="009E24C1"/>
    <w:rsid w:val="009E26D0"/>
    <w:rsid w:val="009E3B0F"/>
    <w:rsid w:val="009E4A27"/>
    <w:rsid w:val="009E5EC6"/>
    <w:rsid w:val="009E774F"/>
    <w:rsid w:val="009F19ED"/>
    <w:rsid w:val="009F3032"/>
    <w:rsid w:val="009F55A0"/>
    <w:rsid w:val="009F5843"/>
    <w:rsid w:val="00A00CA5"/>
    <w:rsid w:val="00A04077"/>
    <w:rsid w:val="00A040FC"/>
    <w:rsid w:val="00A0476B"/>
    <w:rsid w:val="00A04EA3"/>
    <w:rsid w:val="00A101F6"/>
    <w:rsid w:val="00A10B1C"/>
    <w:rsid w:val="00A11684"/>
    <w:rsid w:val="00A127F2"/>
    <w:rsid w:val="00A14248"/>
    <w:rsid w:val="00A15ACF"/>
    <w:rsid w:val="00A15E66"/>
    <w:rsid w:val="00A16B61"/>
    <w:rsid w:val="00A16F99"/>
    <w:rsid w:val="00A17CCE"/>
    <w:rsid w:val="00A17CE4"/>
    <w:rsid w:val="00A21E18"/>
    <w:rsid w:val="00A2402C"/>
    <w:rsid w:val="00A247DD"/>
    <w:rsid w:val="00A264EE"/>
    <w:rsid w:val="00A2663F"/>
    <w:rsid w:val="00A26828"/>
    <w:rsid w:val="00A30DC0"/>
    <w:rsid w:val="00A31230"/>
    <w:rsid w:val="00A35B5E"/>
    <w:rsid w:val="00A36CDE"/>
    <w:rsid w:val="00A373BD"/>
    <w:rsid w:val="00A43A9A"/>
    <w:rsid w:val="00A43AD4"/>
    <w:rsid w:val="00A43CEF"/>
    <w:rsid w:val="00A448FB"/>
    <w:rsid w:val="00A45211"/>
    <w:rsid w:val="00A46E4F"/>
    <w:rsid w:val="00A47C76"/>
    <w:rsid w:val="00A52567"/>
    <w:rsid w:val="00A53761"/>
    <w:rsid w:val="00A53CE6"/>
    <w:rsid w:val="00A65193"/>
    <w:rsid w:val="00A67AD3"/>
    <w:rsid w:val="00A73902"/>
    <w:rsid w:val="00A73925"/>
    <w:rsid w:val="00A756D5"/>
    <w:rsid w:val="00A75908"/>
    <w:rsid w:val="00A75B58"/>
    <w:rsid w:val="00A75C27"/>
    <w:rsid w:val="00A76B1E"/>
    <w:rsid w:val="00A77A39"/>
    <w:rsid w:val="00A77AE9"/>
    <w:rsid w:val="00A814A0"/>
    <w:rsid w:val="00A81503"/>
    <w:rsid w:val="00A8233D"/>
    <w:rsid w:val="00A85D20"/>
    <w:rsid w:val="00A86DD4"/>
    <w:rsid w:val="00A91504"/>
    <w:rsid w:val="00A92F62"/>
    <w:rsid w:val="00A93449"/>
    <w:rsid w:val="00A946EB"/>
    <w:rsid w:val="00AA1A0C"/>
    <w:rsid w:val="00AA1CAC"/>
    <w:rsid w:val="00AA2810"/>
    <w:rsid w:val="00AA3C89"/>
    <w:rsid w:val="00AA6315"/>
    <w:rsid w:val="00AB26E0"/>
    <w:rsid w:val="00AB27CB"/>
    <w:rsid w:val="00AB2C05"/>
    <w:rsid w:val="00AB4A8C"/>
    <w:rsid w:val="00AB4BCA"/>
    <w:rsid w:val="00AB71F2"/>
    <w:rsid w:val="00AB7A20"/>
    <w:rsid w:val="00AC49A3"/>
    <w:rsid w:val="00AC4A36"/>
    <w:rsid w:val="00AC5613"/>
    <w:rsid w:val="00AC759D"/>
    <w:rsid w:val="00AD1CC6"/>
    <w:rsid w:val="00AD490B"/>
    <w:rsid w:val="00AE1E32"/>
    <w:rsid w:val="00AE3458"/>
    <w:rsid w:val="00AE36DC"/>
    <w:rsid w:val="00AE6A6D"/>
    <w:rsid w:val="00AE77FC"/>
    <w:rsid w:val="00AF00F9"/>
    <w:rsid w:val="00AF0888"/>
    <w:rsid w:val="00AF0D99"/>
    <w:rsid w:val="00AF30BD"/>
    <w:rsid w:val="00AF31D5"/>
    <w:rsid w:val="00AF6810"/>
    <w:rsid w:val="00AF7B1D"/>
    <w:rsid w:val="00B0001B"/>
    <w:rsid w:val="00B034AA"/>
    <w:rsid w:val="00B03EB7"/>
    <w:rsid w:val="00B0594C"/>
    <w:rsid w:val="00B05FC7"/>
    <w:rsid w:val="00B06E05"/>
    <w:rsid w:val="00B13ECD"/>
    <w:rsid w:val="00B172BA"/>
    <w:rsid w:val="00B17B36"/>
    <w:rsid w:val="00B2034A"/>
    <w:rsid w:val="00B2097F"/>
    <w:rsid w:val="00B22512"/>
    <w:rsid w:val="00B244A2"/>
    <w:rsid w:val="00B277C1"/>
    <w:rsid w:val="00B3323E"/>
    <w:rsid w:val="00B342DE"/>
    <w:rsid w:val="00B34F9B"/>
    <w:rsid w:val="00B36F96"/>
    <w:rsid w:val="00B41136"/>
    <w:rsid w:val="00B42022"/>
    <w:rsid w:val="00B459FB"/>
    <w:rsid w:val="00B50249"/>
    <w:rsid w:val="00B50840"/>
    <w:rsid w:val="00B54994"/>
    <w:rsid w:val="00B5539B"/>
    <w:rsid w:val="00B574DB"/>
    <w:rsid w:val="00B60816"/>
    <w:rsid w:val="00B60C8A"/>
    <w:rsid w:val="00B610A6"/>
    <w:rsid w:val="00B63FF0"/>
    <w:rsid w:val="00B6498C"/>
    <w:rsid w:val="00B70F05"/>
    <w:rsid w:val="00B76C5D"/>
    <w:rsid w:val="00B77B33"/>
    <w:rsid w:val="00B77E6E"/>
    <w:rsid w:val="00B80F15"/>
    <w:rsid w:val="00B820B0"/>
    <w:rsid w:val="00B83268"/>
    <w:rsid w:val="00B83905"/>
    <w:rsid w:val="00B84510"/>
    <w:rsid w:val="00B91FE3"/>
    <w:rsid w:val="00B92430"/>
    <w:rsid w:val="00B92EB2"/>
    <w:rsid w:val="00B9384A"/>
    <w:rsid w:val="00B96267"/>
    <w:rsid w:val="00B97730"/>
    <w:rsid w:val="00BA10E0"/>
    <w:rsid w:val="00BA1D80"/>
    <w:rsid w:val="00BA5954"/>
    <w:rsid w:val="00BA66B6"/>
    <w:rsid w:val="00BA6891"/>
    <w:rsid w:val="00BA6DDE"/>
    <w:rsid w:val="00BA7DD7"/>
    <w:rsid w:val="00BB3744"/>
    <w:rsid w:val="00BB378E"/>
    <w:rsid w:val="00BB4EF7"/>
    <w:rsid w:val="00BB5CE1"/>
    <w:rsid w:val="00BB73A2"/>
    <w:rsid w:val="00BB778B"/>
    <w:rsid w:val="00BC072A"/>
    <w:rsid w:val="00BC0911"/>
    <w:rsid w:val="00BC289B"/>
    <w:rsid w:val="00BD100A"/>
    <w:rsid w:val="00BD119E"/>
    <w:rsid w:val="00BD1BD8"/>
    <w:rsid w:val="00BD1D83"/>
    <w:rsid w:val="00BD4B19"/>
    <w:rsid w:val="00BD4D60"/>
    <w:rsid w:val="00BD719F"/>
    <w:rsid w:val="00BE0549"/>
    <w:rsid w:val="00BE1AF4"/>
    <w:rsid w:val="00BE2BB3"/>
    <w:rsid w:val="00BE3099"/>
    <w:rsid w:val="00BE4003"/>
    <w:rsid w:val="00BE4FD6"/>
    <w:rsid w:val="00BE66C4"/>
    <w:rsid w:val="00BE685E"/>
    <w:rsid w:val="00BE6E15"/>
    <w:rsid w:val="00BF1F0A"/>
    <w:rsid w:val="00BF223F"/>
    <w:rsid w:val="00BF4729"/>
    <w:rsid w:val="00BF4C43"/>
    <w:rsid w:val="00BF78C9"/>
    <w:rsid w:val="00C00695"/>
    <w:rsid w:val="00C00CBF"/>
    <w:rsid w:val="00C018F5"/>
    <w:rsid w:val="00C019B9"/>
    <w:rsid w:val="00C01A01"/>
    <w:rsid w:val="00C03E4A"/>
    <w:rsid w:val="00C0710F"/>
    <w:rsid w:val="00C07BA4"/>
    <w:rsid w:val="00C17D71"/>
    <w:rsid w:val="00C20C6E"/>
    <w:rsid w:val="00C2130B"/>
    <w:rsid w:val="00C21371"/>
    <w:rsid w:val="00C21495"/>
    <w:rsid w:val="00C23AC6"/>
    <w:rsid w:val="00C23E97"/>
    <w:rsid w:val="00C25578"/>
    <w:rsid w:val="00C26CB0"/>
    <w:rsid w:val="00C360FE"/>
    <w:rsid w:val="00C4213E"/>
    <w:rsid w:val="00C44D73"/>
    <w:rsid w:val="00C47105"/>
    <w:rsid w:val="00C47560"/>
    <w:rsid w:val="00C4784C"/>
    <w:rsid w:val="00C526B4"/>
    <w:rsid w:val="00C5320A"/>
    <w:rsid w:val="00C53D24"/>
    <w:rsid w:val="00C55CEE"/>
    <w:rsid w:val="00C61C6F"/>
    <w:rsid w:val="00C62E35"/>
    <w:rsid w:val="00C65273"/>
    <w:rsid w:val="00C66418"/>
    <w:rsid w:val="00C66692"/>
    <w:rsid w:val="00C66C7B"/>
    <w:rsid w:val="00C7320E"/>
    <w:rsid w:val="00C73369"/>
    <w:rsid w:val="00C73ADA"/>
    <w:rsid w:val="00C74069"/>
    <w:rsid w:val="00C741DA"/>
    <w:rsid w:val="00C74259"/>
    <w:rsid w:val="00C75746"/>
    <w:rsid w:val="00C768D1"/>
    <w:rsid w:val="00C8063A"/>
    <w:rsid w:val="00C81211"/>
    <w:rsid w:val="00C81B0F"/>
    <w:rsid w:val="00C826CC"/>
    <w:rsid w:val="00C842FD"/>
    <w:rsid w:val="00C84DE6"/>
    <w:rsid w:val="00C867B4"/>
    <w:rsid w:val="00C87382"/>
    <w:rsid w:val="00C878CB"/>
    <w:rsid w:val="00C912C3"/>
    <w:rsid w:val="00C918E4"/>
    <w:rsid w:val="00C92258"/>
    <w:rsid w:val="00C922B7"/>
    <w:rsid w:val="00C92A27"/>
    <w:rsid w:val="00C92AE6"/>
    <w:rsid w:val="00C9344B"/>
    <w:rsid w:val="00C94EA1"/>
    <w:rsid w:val="00C95BA3"/>
    <w:rsid w:val="00C96098"/>
    <w:rsid w:val="00C9787F"/>
    <w:rsid w:val="00C97932"/>
    <w:rsid w:val="00C97D3B"/>
    <w:rsid w:val="00C97ED7"/>
    <w:rsid w:val="00CA11E1"/>
    <w:rsid w:val="00CA1800"/>
    <w:rsid w:val="00CB0EBD"/>
    <w:rsid w:val="00CB1D5F"/>
    <w:rsid w:val="00CB4FE5"/>
    <w:rsid w:val="00CC0712"/>
    <w:rsid w:val="00CC0EBA"/>
    <w:rsid w:val="00CC12F2"/>
    <w:rsid w:val="00CC22D6"/>
    <w:rsid w:val="00CC2C72"/>
    <w:rsid w:val="00CC4558"/>
    <w:rsid w:val="00CC5521"/>
    <w:rsid w:val="00CC55EB"/>
    <w:rsid w:val="00CC65E9"/>
    <w:rsid w:val="00CD17F0"/>
    <w:rsid w:val="00CD26F0"/>
    <w:rsid w:val="00CD2A9F"/>
    <w:rsid w:val="00CD2ABA"/>
    <w:rsid w:val="00CD401C"/>
    <w:rsid w:val="00CE017B"/>
    <w:rsid w:val="00CE3418"/>
    <w:rsid w:val="00CE483C"/>
    <w:rsid w:val="00CE4BD7"/>
    <w:rsid w:val="00CE60C8"/>
    <w:rsid w:val="00CE641C"/>
    <w:rsid w:val="00CF06E2"/>
    <w:rsid w:val="00CF1F08"/>
    <w:rsid w:val="00CF2C35"/>
    <w:rsid w:val="00CF2EBA"/>
    <w:rsid w:val="00CF2FC1"/>
    <w:rsid w:val="00CF5873"/>
    <w:rsid w:val="00D00F42"/>
    <w:rsid w:val="00D03DB7"/>
    <w:rsid w:val="00D04541"/>
    <w:rsid w:val="00D048E8"/>
    <w:rsid w:val="00D057A2"/>
    <w:rsid w:val="00D059D7"/>
    <w:rsid w:val="00D07CF1"/>
    <w:rsid w:val="00D1180D"/>
    <w:rsid w:val="00D138FA"/>
    <w:rsid w:val="00D14200"/>
    <w:rsid w:val="00D146B0"/>
    <w:rsid w:val="00D15392"/>
    <w:rsid w:val="00D17421"/>
    <w:rsid w:val="00D208B0"/>
    <w:rsid w:val="00D21B7C"/>
    <w:rsid w:val="00D27105"/>
    <w:rsid w:val="00D27E40"/>
    <w:rsid w:val="00D30937"/>
    <w:rsid w:val="00D345EB"/>
    <w:rsid w:val="00D36134"/>
    <w:rsid w:val="00D40ACF"/>
    <w:rsid w:val="00D425C1"/>
    <w:rsid w:val="00D517C0"/>
    <w:rsid w:val="00D53CBF"/>
    <w:rsid w:val="00D54E76"/>
    <w:rsid w:val="00D56097"/>
    <w:rsid w:val="00D563A9"/>
    <w:rsid w:val="00D57FB4"/>
    <w:rsid w:val="00D60175"/>
    <w:rsid w:val="00D603B4"/>
    <w:rsid w:val="00D6219D"/>
    <w:rsid w:val="00D6225B"/>
    <w:rsid w:val="00D63801"/>
    <w:rsid w:val="00D6456C"/>
    <w:rsid w:val="00D64E4C"/>
    <w:rsid w:val="00D65600"/>
    <w:rsid w:val="00D7179F"/>
    <w:rsid w:val="00D72128"/>
    <w:rsid w:val="00D74235"/>
    <w:rsid w:val="00D74DD5"/>
    <w:rsid w:val="00D7798C"/>
    <w:rsid w:val="00D809B2"/>
    <w:rsid w:val="00D80BD2"/>
    <w:rsid w:val="00D8240B"/>
    <w:rsid w:val="00D917AA"/>
    <w:rsid w:val="00D960B9"/>
    <w:rsid w:val="00D96A71"/>
    <w:rsid w:val="00D9751D"/>
    <w:rsid w:val="00DA1106"/>
    <w:rsid w:val="00DA2E9A"/>
    <w:rsid w:val="00DA3198"/>
    <w:rsid w:val="00DA369A"/>
    <w:rsid w:val="00DA638A"/>
    <w:rsid w:val="00DA63D9"/>
    <w:rsid w:val="00DA6D09"/>
    <w:rsid w:val="00DA7439"/>
    <w:rsid w:val="00DB1959"/>
    <w:rsid w:val="00DB3C13"/>
    <w:rsid w:val="00DB526D"/>
    <w:rsid w:val="00DB5E02"/>
    <w:rsid w:val="00DB7A97"/>
    <w:rsid w:val="00DC1690"/>
    <w:rsid w:val="00DC539C"/>
    <w:rsid w:val="00DD0467"/>
    <w:rsid w:val="00DD37F2"/>
    <w:rsid w:val="00DE42D6"/>
    <w:rsid w:val="00DE5BF1"/>
    <w:rsid w:val="00DE5C4B"/>
    <w:rsid w:val="00DE6386"/>
    <w:rsid w:val="00DF1B61"/>
    <w:rsid w:val="00DF4B7F"/>
    <w:rsid w:val="00DF6CF0"/>
    <w:rsid w:val="00E0176F"/>
    <w:rsid w:val="00E07B47"/>
    <w:rsid w:val="00E07D18"/>
    <w:rsid w:val="00E143BF"/>
    <w:rsid w:val="00E1661D"/>
    <w:rsid w:val="00E20617"/>
    <w:rsid w:val="00E20AE4"/>
    <w:rsid w:val="00E223F9"/>
    <w:rsid w:val="00E22A22"/>
    <w:rsid w:val="00E242BB"/>
    <w:rsid w:val="00E249F1"/>
    <w:rsid w:val="00E24E4C"/>
    <w:rsid w:val="00E24F4F"/>
    <w:rsid w:val="00E2616B"/>
    <w:rsid w:val="00E2620D"/>
    <w:rsid w:val="00E27023"/>
    <w:rsid w:val="00E31FDD"/>
    <w:rsid w:val="00E322B4"/>
    <w:rsid w:val="00E3728B"/>
    <w:rsid w:val="00E372AD"/>
    <w:rsid w:val="00E37971"/>
    <w:rsid w:val="00E37D54"/>
    <w:rsid w:val="00E409A6"/>
    <w:rsid w:val="00E40F32"/>
    <w:rsid w:val="00E421C1"/>
    <w:rsid w:val="00E4245F"/>
    <w:rsid w:val="00E4287B"/>
    <w:rsid w:val="00E43858"/>
    <w:rsid w:val="00E4411D"/>
    <w:rsid w:val="00E44BCC"/>
    <w:rsid w:val="00E45FA9"/>
    <w:rsid w:val="00E5297C"/>
    <w:rsid w:val="00E568FB"/>
    <w:rsid w:val="00E60498"/>
    <w:rsid w:val="00E60E89"/>
    <w:rsid w:val="00E63A24"/>
    <w:rsid w:val="00E63BED"/>
    <w:rsid w:val="00E64934"/>
    <w:rsid w:val="00E649D8"/>
    <w:rsid w:val="00E6569A"/>
    <w:rsid w:val="00E6694F"/>
    <w:rsid w:val="00E70436"/>
    <w:rsid w:val="00E72494"/>
    <w:rsid w:val="00E72B77"/>
    <w:rsid w:val="00E72BE2"/>
    <w:rsid w:val="00E739A6"/>
    <w:rsid w:val="00E73AC4"/>
    <w:rsid w:val="00E742BE"/>
    <w:rsid w:val="00E74484"/>
    <w:rsid w:val="00E754DE"/>
    <w:rsid w:val="00E75A64"/>
    <w:rsid w:val="00E75D28"/>
    <w:rsid w:val="00E809AB"/>
    <w:rsid w:val="00E817A1"/>
    <w:rsid w:val="00E83DDB"/>
    <w:rsid w:val="00E83FC3"/>
    <w:rsid w:val="00E843E1"/>
    <w:rsid w:val="00E85F8A"/>
    <w:rsid w:val="00E8685D"/>
    <w:rsid w:val="00E86A72"/>
    <w:rsid w:val="00E9123E"/>
    <w:rsid w:val="00E91E01"/>
    <w:rsid w:val="00E9201B"/>
    <w:rsid w:val="00E92A9D"/>
    <w:rsid w:val="00E94242"/>
    <w:rsid w:val="00E94635"/>
    <w:rsid w:val="00E94AED"/>
    <w:rsid w:val="00E94E19"/>
    <w:rsid w:val="00E9574F"/>
    <w:rsid w:val="00E95BD9"/>
    <w:rsid w:val="00E97D4D"/>
    <w:rsid w:val="00EA1731"/>
    <w:rsid w:val="00EA1BCB"/>
    <w:rsid w:val="00EA510A"/>
    <w:rsid w:val="00EB0F58"/>
    <w:rsid w:val="00EB22B0"/>
    <w:rsid w:val="00EB4528"/>
    <w:rsid w:val="00EB4987"/>
    <w:rsid w:val="00EB5A25"/>
    <w:rsid w:val="00EB7E47"/>
    <w:rsid w:val="00EC0720"/>
    <w:rsid w:val="00EC1F01"/>
    <w:rsid w:val="00EC50B3"/>
    <w:rsid w:val="00EC7309"/>
    <w:rsid w:val="00ED2461"/>
    <w:rsid w:val="00ED5F9E"/>
    <w:rsid w:val="00ED6959"/>
    <w:rsid w:val="00ED7C5D"/>
    <w:rsid w:val="00EE0AAC"/>
    <w:rsid w:val="00EE0F8E"/>
    <w:rsid w:val="00EE22BE"/>
    <w:rsid w:val="00EE2D8D"/>
    <w:rsid w:val="00EE4FCC"/>
    <w:rsid w:val="00EE5325"/>
    <w:rsid w:val="00EE59DF"/>
    <w:rsid w:val="00EE6ED5"/>
    <w:rsid w:val="00EF0BA1"/>
    <w:rsid w:val="00EF2E57"/>
    <w:rsid w:val="00EF454C"/>
    <w:rsid w:val="00EF4F35"/>
    <w:rsid w:val="00F00E3A"/>
    <w:rsid w:val="00F020FA"/>
    <w:rsid w:val="00F021A7"/>
    <w:rsid w:val="00F03624"/>
    <w:rsid w:val="00F04A60"/>
    <w:rsid w:val="00F04B0C"/>
    <w:rsid w:val="00F04CBC"/>
    <w:rsid w:val="00F05186"/>
    <w:rsid w:val="00F05627"/>
    <w:rsid w:val="00F05B4B"/>
    <w:rsid w:val="00F067B1"/>
    <w:rsid w:val="00F07ACC"/>
    <w:rsid w:val="00F10AF9"/>
    <w:rsid w:val="00F12513"/>
    <w:rsid w:val="00F13154"/>
    <w:rsid w:val="00F14601"/>
    <w:rsid w:val="00F1497B"/>
    <w:rsid w:val="00F1511F"/>
    <w:rsid w:val="00F15308"/>
    <w:rsid w:val="00F1542E"/>
    <w:rsid w:val="00F16121"/>
    <w:rsid w:val="00F17477"/>
    <w:rsid w:val="00F229F1"/>
    <w:rsid w:val="00F240C3"/>
    <w:rsid w:val="00F2510E"/>
    <w:rsid w:val="00F26717"/>
    <w:rsid w:val="00F30019"/>
    <w:rsid w:val="00F319E1"/>
    <w:rsid w:val="00F3325C"/>
    <w:rsid w:val="00F33507"/>
    <w:rsid w:val="00F3405A"/>
    <w:rsid w:val="00F340CE"/>
    <w:rsid w:val="00F34AE8"/>
    <w:rsid w:val="00F37A92"/>
    <w:rsid w:val="00F41A59"/>
    <w:rsid w:val="00F43449"/>
    <w:rsid w:val="00F4489F"/>
    <w:rsid w:val="00F46BDF"/>
    <w:rsid w:val="00F47FCF"/>
    <w:rsid w:val="00F51791"/>
    <w:rsid w:val="00F560DB"/>
    <w:rsid w:val="00F57C1D"/>
    <w:rsid w:val="00F60672"/>
    <w:rsid w:val="00F6076D"/>
    <w:rsid w:val="00F61A6A"/>
    <w:rsid w:val="00F62920"/>
    <w:rsid w:val="00F666CA"/>
    <w:rsid w:val="00F7142F"/>
    <w:rsid w:val="00F7275B"/>
    <w:rsid w:val="00F75A5D"/>
    <w:rsid w:val="00F76453"/>
    <w:rsid w:val="00F7689C"/>
    <w:rsid w:val="00F800CB"/>
    <w:rsid w:val="00F80661"/>
    <w:rsid w:val="00F8212D"/>
    <w:rsid w:val="00F84049"/>
    <w:rsid w:val="00F846C8"/>
    <w:rsid w:val="00F93D1B"/>
    <w:rsid w:val="00F94848"/>
    <w:rsid w:val="00F95E09"/>
    <w:rsid w:val="00FA4736"/>
    <w:rsid w:val="00FA61FC"/>
    <w:rsid w:val="00FA6673"/>
    <w:rsid w:val="00FA6FBF"/>
    <w:rsid w:val="00FB200B"/>
    <w:rsid w:val="00FB272A"/>
    <w:rsid w:val="00FB3BE3"/>
    <w:rsid w:val="00FB42F8"/>
    <w:rsid w:val="00FB4359"/>
    <w:rsid w:val="00FB47CC"/>
    <w:rsid w:val="00FB4C97"/>
    <w:rsid w:val="00FB508E"/>
    <w:rsid w:val="00FB5469"/>
    <w:rsid w:val="00FC1898"/>
    <w:rsid w:val="00FC53E7"/>
    <w:rsid w:val="00FC6AFF"/>
    <w:rsid w:val="00FD07A4"/>
    <w:rsid w:val="00FD32E4"/>
    <w:rsid w:val="00FD6030"/>
    <w:rsid w:val="00FD743D"/>
    <w:rsid w:val="00FE04EE"/>
    <w:rsid w:val="00FE13E2"/>
    <w:rsid w:val="00FE42E5"/>
    <w:rsid w:val="00FE66B1"/>
    <w:rsid w:val="00FE769B"/>
    <w:rsid w:val="00FF2104"/>
    <w:rsid w:val="00FF3B47"/>
    <w:rsid w:val="00FF41B3"/>
    <w:rsid w:val="00FF516D"/>
    <w:rsid w:val="00FF5DC4"/>
    <w:rsid w:val="00FF7CBD"/>
    <w:rsid w:val="013C0323"/>
    <w:rsid w:val="07162377"/>
    <w:rsid w:val="07961BBB"/>
    <w:rsid w:val="0C645A2A"/>
    <w:rsid w:val="0EBE0545"/>
    <w:rsid w:val="141E2173"/>
    <w:rsid w:val="14CD74A6"/>
    <w:rsid w:val="203046C1"/>
    <w:rsid w:val="23590C6F"/>
    <w:rsid w:val="27DD5483"/>
    <w:rsid w:val="2DBF7ACB"/>
    <w:rsid w:val="33E87308"/>
    <w:rsid w:val="34330A6B"/>
    <w:rsid w:val="42E92EE2"/>
    <w:rsid w:val="432A0BA1"/>
    <w:rsid w:val="49D36D26"/>
    <w:rsid w:val="563E4915"/>
    <w:rsid w:val="587009E6"/>
    <w:rsid w:val="58C94B3E"/>
    <w:rsid w:val="5C9949CE"/>
    <w:rsid w:val="67CF1591"/>
    <w:rsid w:val="67EC5E44"/>
    <w:rsid w:val="68F6705E"/>
    <w:rsid w:val="6AFD0928"/>
    <w:rsid w:val="6CFA6904"/>
    <w:rsid w:val="6E3F54B1"/>
    <w:rsid w:val="7AE31811"/>
    <w:rsid w:val="7C4F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DF92AC"/>
  <w15:docId w15:val="{52AFCD76-67F4-4911-9213-1366B93B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Char"/>
    <w:qFormat/>
    <w:pPr>
      <w:jc w:val="left"/>
    </w:pPr>
  </w:style>
  <w:style w:type="paragraph" w:styleId="a6">
    <w:name w:val="Body Text"/>
    <w:basedOn w:val="a"/>
    <w:link w:val="Char0"/>
    <w:qFormat/>
    <w:pPr>
      <w:autoSpaceDE w:val="0"/>
      <w:autoSpaceDN w:val="0"/>
      <w:adjustRightInd w:val="0"/>
      <w:spacing w:line="360" w:lineRule="auto"/>
      <w:jc w:val="left"/>
    </w:pPr>
    <w:rPr>
      <w:rFonts w:ascii="宋体"/>
      <w:kern w:val="0"/>
      <w:sz w:val="20"/>
      <w:lang w:val="zh-CN"/>
    </w:rPr>
  </w:style>
  <w:style w:type="paragraph" w:styleId="30">
    <w:name w:val="toc 3"/>
    <w:basedOn w:val="a"/>
    <w:next w:val="a"/>
    <w:qFormat/>
    <w:pPr>
      <w:ind w:leftChars="400" w:left="840"/>
    </w:pPr>
  </w:style>
  <w:style w:type="paragraph" w:styleId="a7">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8">
    <w:name w:val="Balloon Text"/>
    <w:basedOn w:val="a"/>
    <w:qFormat/>
    <w:rPr>
      <w:sz w:val="18"/>
    </w:rPr>
  </w:style>
  <w:style w:type="paragraph" w:styleId="a9">
    <w:name w:val="footer"/>
    <w:basedOn w:val="a"/>
    <w:link w:val="Char1"/>
    <w:uiPriority w:val="99"/>
    <w:qFormat/>
    <w:pPr>
      <w:tabs>
        <w:tab w:val="center" w:pos="4153"/>
        <w:tab w:val="right" w:pos="8306"/>
      </w:tabs>
      <w:snapToGrid w:val="0"/>
      <w:jc w:val="left"/>
    </w:pPr>
    <w:rPr>
      <w:sz w:val="18"/>
    </w:rPr>
  </w:style>
  <w:style w:type="paragraph" w:styleId="aa">
    <w:name w:val="header"/>
    <w:basedOn w:val="a"/>
    <w:link w:val="Char2"/>
    <w:uiPriority w:val="99"/>
    <w:qFormat/>
    <w:pPr>
      <w:pBdr>
        <w:bottom w:val="single" w:sz="6" w:space="1" w:color="auto"/>
      </w:pBdr>
      <w:tabs>
        <w:tab w:val="center" w:pos="4153"/>
        <w:tab w:val="right" w:pos="8306"/>
      </w:tabs>
      <w:snapToGrid w:val="0"/>
      <w:jc w:val="center"/>
    </w:pPr>
    <w:rPr>
      <w:sz w:val="18"/>
    </w:rPr>
  </w:style>
  <w:style w:type="paragraph" w:styleId="10">
    <w:name w:val="toc 1"/>
    <w:basedOn w:val="a"/>
    <w:next w:val="a"/>
    <w:qFormat/>
    <w:pPr>
      <w:tabs>
        <w:tab w:val="right" w:leader="dot" w:pos="8296"/>
      </w:tabs>
    </w:pPr>
    <w:rPr>
      <w:sz w:val="22"/>
    </w:rPr>
  </w:style>
  <w:style w:type="paragraph" w:styleId="ab">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21">
    <w:name w:val="toc 2"/>
    <w:basedOn w:val="a"/>
    <w:next w:val="a"/>
    <w:autoRedefine/>
    <w:qFormat/>
    <w:pPr>
      <w:ind w:left="240"/>
    </w:pPr>
    <w:rPr>
      <w:sz w:val="22"/>
    </w:rPr>
  </w:style>
  <w:style w:type="paragraph" w:styleId="ac">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paragraph" w:styleId="ad">
    <w:name w:val="Title"/>
    <w:basedOn w:val="a"/>
    <w:next w:val="a"/>
    <w:link w:val="Char3"/>
    <w:qFormat/>
    <w:pPr>
      <w:spacing w:before="240" w:after="60"/>
      <w:jc w:val="center"/>
      <w:outlineLvl w:val="0"/>
    </w:pPr>
    <w:rPr>
      <w:rFonts w:ascii="Cambria" w:hAnsi="Cambria"/>
      <w:b/>
      <w:sz w:val="32"/>
      <w:lang w:val="zh-CN"/>
    </w:rPr>
  </w:style>
  <w:style w:type="paragraph" w:styleId="ae">
    <w:name w:val="annotation subject"/>
    <w:basedOn w:val="a5"/>
    <w:next w:val="a5"/>
    <w:qFormat/>
    <w:rPr>
      <w:b/>
    </w:rPr>
  </w:style>
  <w:style w:type="table" w:styleId="af">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style>
  <w:style w:type="character" w:styleId="af1">
    <w:name w:val="Hyperlink"/>
    <w:qFormat/>
    <w:rPr>
      <w:color w:val="0000FF"/>
      <w:u w:val="single"/>
    </w:rPr>
  </w:style>
  <w:style w:type="character" w:styleId="af2">
    <w:name w:val="annotation reference"/>
    <w:qFormat/>
    <w:rPr>
      <w:sz w:val="21"/>
    </w:rPr>
  </w:style>
  <w:style w:type="character" w:styleId="af3">
    <w:name w:val="footnote reference"/>
    <w:qFormat/>
    <w:rPr>
      <w:vertAlign w:val="superscript"/>
    </w:rPr>
  </w:style>
  <w:style w:type="character" w:customStyle="1" w:styleId="Char0">
    <w:name w:val="正文文本 Char"/>
    <w:link w:val="a6"/>
    <w:qFormat/>
    <w:rPr>
      <w:rFonts w:ascii="宋体"/>
      <w:lang w:val="zh-CN" w:eastAsia="zh-CN"/>
    </w:rPr>
  </w:style>
  <w:style w:type="character" w:customStyle="1" w:styleId="unnamed11">
    <w:name w:val="unnamed11"/>
    <w:qFormat/>
    <w:rPr>
      <w:rFonts w:ascii="宋体" w:eastAsia="宋体" w:hAnsi="宋体" w:hint="eastAsia"/>
      <w:sz w:val="18"/>
    </w:rPr>
  </w:style>
  <w:style w:type="character" w:customStyle="1" w:styleId="Char3">
    <w:name w:val="标题 Char"/>
    <w:link w:val="ad"/>
    <w:qFormat/>
    <w:rPr>
      <w:rFonts w:ascii="Cambria" w:hAnsi="Cambria"/>
      <w:b/>
      <w:kern w:val="2"/>
      <w:sz w:val="32"/>
      <w:lang w:val="zh-CN" w:eastAsia="zh-CN"/>
    </w:rPr>
  </w:style>
  <w:style w:type="character" w:customStyle="1" w:styleId="Char2">
    <w:name w:val="页眉 Char"/>
    <w:link w:val="aa"/>
    <w:uiPriority w:val="99"/>
    <w:qFormat/>
    <w:rPr>
      <w:kern w:val="2"/>
      <w:sz w:val="18"/>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4">
    <w:name w:val="正文正文"/>
    <w:basedOn w:val="a"/>
    <w:qFormat/>
    <w:pPr>
      <w:spacing w:afterLines="25" w:after="78" w:line="360" w:lineRule="auto"/>
      <w:ind w:firstLineChars="200" w:firstLine="200"/>
    </w:pPr>
    <w:rPr>
      <w:sz w:val="24"/>
    </w:rPr>
  </w:style>
  <w:style w:type="paragraph" w:customStyle="1" w:styleId="Char4">
    <w:name w:val="Char"/>
    <w:basedOn w:val="a"/>
    <w:qFormat/>
  </w:style>
  <w:style w:type="paragraph" w:customStyle="1" w:styleId="Char00">
    <w:name w:val="Char_0"/>
    <w:basedOn w:val="a"/>
    <w:qFormat/>
  </w:style>
  <w:style w:type="paragraph" w:customStyle="1" w:styleId="CharCharChar">
    <w:name w:val="Char Char 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5">
    <w:name w:val="正文所"/>
    <w:basedOn w:val="a"/>
    <w:qFormat/>
    <w:pPr>
      <w:spacing w:line="360" w:lineRule="auto"/>
      <w:ind w:firstLineChars="200" w:firstLine="420"/>
    </w:pPr>
    <w:rPr>
      <w:rFonts w:ascii="宋体"/>
    </w:rPr>
  </w:style>
  <w:style w:type="paragraph" w:customStyle="1" w:styleId="11">
    <w:name w:val="修订1"/>
    <w:hidden/>
    <w:uiPriority w:val="99"/>
    <w:semiHidden/>
    <w:qFormat/>
    <w:rPr>
      <w:kern w:val="2"/>
      <w:sz w:val="21"/>
    </w:rPr>
  </w:style>
  <w:style w:type="character" w:customStyle="1" w:styleId="1Char">
    <w:name w:val="标题 1 Char"/>
    <w:link w:val="1"/>
    <w:qFormat/>
    <w:rPr>
      <w:rFonts w:ascii="宋体"/>
      <w:b/>
      <w:color w:val="000000"/>
      <w:sz w:val="24"/>
    </w:rPr>
  </w:style>
  <w:style w:type="character" w:customStyle="1" w:styleId="Char">
    <w:name w:val="批注文字 Char"/>
    <w:link w:val="a5"/>
    <w:qFormat/>
    <w:rPr>
      <w:kern w:val="2"/>
      <w:sz w:val="21"/>
    </w:rPr>
  </w:style>
  <w:style w:type="paragraph" w:customStyle="1" w:styleId="CharChar0">
    <w:name w:val="Char Char_0"/>
    <w:basedOn w:val="a"/>
    <w:qFormat/>
  </w:style>
  <w:style w:type="paragraph" w:customStyle="1" w:styleId="CharChar10">
    <w:name w:val="Char Char_1"/>
    <w:basedOn w:val="a"/>
    <w:qFormat/>
  </w:style>
  <w:style w:type="paragraph" w:customStyle="1" w:styleId="Char10">
    <w:name w:val="Char_1"/>
    <w:basedOn w:val="a"/>
    <w:qFormat/>
  </w:style>
  <w:style w:type="paragraph" w:customStyle="1" w:styleId="CharCharChar0">
    <w:name w:val="Char Char Char_0"/>
    <w:basedOn w:val="a"/>
    <w:qFormat/>
  </w:style>
  <w:style w:type="paragraph" w:customStyle="1" w:styleId="CharCharCharChar0">
    <w:name w:val="Char Char Char Char_0"/>
    <w:basedOn w:val="a"/>
    <w:qFormat/>
    <w:pPr>
      <w:tabs>
        <w:tab w:val="left" w:pos="360"/>
      </w:tabs>
    </w:pPr>
  </w:style>
  <w:style w:type="paragraph" w:customStyle="1" w:styleId="CharChar100">
    <w:name w:val="Char Char1_0"/>
    <w:basedOn w:val="a"/>
    <w:qFormat/>
  </w:style>
  <w:style w:type="paragraph" w:customStyle="1" w:styleId="CharChar2">
    <w:name w:val="Char Char_2"/>
    <w:basedOn w:val="a"/>
    <w:qFormat/>
  </w:style>
  <w:style w:type="paragraph" w:styleId="af6">
    <w:name w:val="List Paragraph"/>
    <w:basedOn w:val="a"/>
    <w:uiPriority w:val="34"/>
    <w:qFormat/>
    <w:pPr>
      <w:ind w:firstLineChars="200" w:firstLine="420"/>
    </w:pPr>
  </w:style>
  <w:style w:type="paragraph" w:customStyle="1" w:styleId="CharChar11">
    <w:name w:val="Char Char1_1"/>
    <w:basedOn w:val="a"/>
    <w:qFormat/>
  </w:style>
  <w:style w:type="paragraph" w:customStyle="1" w:styleId="Char20">
    <w:name w:val="Char_2"/>
    <w:basedOn w:val="a"/>
    <w:qFormat/>
  </w:style>
  <w:style w:type="paragraph" w:customStyle="1" w:styleId="CharChar12">
    <w:name w:val="Char Char1_2"/>
    <w:basedOn w:val="a"/>
    <w:qFormat/>
  </w:style>
  <w:style w:type="paragraph" w:customStyle="1" w:styleId="Char30">
    <w:name w:val="Char_3"/>
    <w:basedOn w:val="a"/>
    <w:qFormat/>
  </w:style>
  <w:style w:type="paragraph" w:customStyle="1" w:styleId="CharChar13">
    <w:name w:val="Char Char1_3"/>
    <w:basedOn w:val="a"/>
    <w:qFormat/>
  </w:style>
  <w:style w:type="paragraph" w:customStyle="1" w:styleId="Char40">
    <w:name w:val="Char_4"/>
    <w:basedOn w:val="a"/>
    <w:qFormat/>
  </w:style>
  <w:style w:type="paragraph" w:customStyle="1" w:styleId="CharChar3">
    <w:name w:val="Char Char_3"/>
    <w:basedOn w:val="a"/>
    <w:qFormat/>
  </w:style>
  <w:style w:type="character" w:customStyle="1" w:styleId="Char1">
    <w:name w:val="页脚 Char"/>
    <w:basedOn w:val="a0"/>
    <w:link w:val="a9"/>
    <w:uiPriority w:val="99"/>
    <w:qFormat/>
    <w:rPr>
      <w:kern w:val="2"/>
      <w:sz w:val="18"/>
    </w:rPr>
  </w:style>
  <w:style w:type="paragraph" w:customStyle="1" w:styleId="div">
    <w:name w:val="div"/>
    <w:basedOn w:val="a"/>
    <w:qFormat/>
  </w:style>
  <w:style w:type="character" w:customStyle="1" w:styleId="custom">
    <w:name w:val="custom"/>
    <w:basedOn w:val="a0"/>
    <w:qFormat/>
  </w:style>
  <w:style w:type="paragraph" w:customStyle="1" w:styleId="table">
    <w:name w:val="table"/>
    <w:basedOn w:val="a"/>
    <w:qFormat/>
  </w:style>
  <w:style w:type="table" w:customStyle="1" w:styleId="tableTable">
    <w:name w:val="table Table"/>
    <w:basedOn w:val="a1"/>
    <w:qFormat/>
    <w:tblPr>
      <w:tblInd w:w="0" w:type="dxa"/>
      <w:tblCellMar>
        <w:top w:w="0" w:type="dxa"/>
        <w:left w:w="108" w:type="dxa"/>
        <w:bottom w:w="0" w:type="dxa"/>
        <w:right w:w="108" w:type="dxa"/>
      </w:tblCellMar>
    </w:tblPr>
  </w:style>
  <w:style w:type="paragraph" w:customStyle="1" w:styleId="imageimageresized">
    <w:name w:val="image_image_resized"/>
    <w:basedOn w:val="a"/>
    <w:qFormat/>
  </w:style>
  <w:style w:type="paragraph" w:customStyle="1" w:styleId="p">
    <w:name w:val="p"/>
    <w:basedOn w:val="a"/>
    <w:qFormat/>
  </w:style>
  <w:style w:type="paragraph" w:customStyle="1" w:styleId="Normal0">
    <w:name w:val="Normal_0"/>
    <w:qFormat/>
    <w:pPr>
      <w:widowControl w:val="0"/>
      <w:jc w:val="both"/>
    </w:pPr>
    <w:rPr>
      <w:kern w:val="2"/>
      <w:sz w:val="21"/>
    </w:rPr>
  </w:style>
  <w:style w:type="character" w:customStyle="1" w:styleId="nesting-tag">
    <w:name w:val="nesting-tag"/>
    <w:basedOn w:val="a0"/>
    <w:qFormat/>
  </w:style>
  <w:style w:type="character" w:customStyle="1" w:styleId="serial-tag">
    <w:name w:val="serial-tag"/>
    <w:basedOn w:val="a0"/>
    <w:qFormat/>
  </w:style>
  <w:style w:type="character" w:customStyle="1" w:styleId="divCharacter">
    <w:name w:val="div Character"/>
    <w:basedOn w:val="a0"/>
    <w:qFormat/>
  </w:style>
  <w:style w:type="paragraph" w:customStyle="1" w:styleId="div0">
    <w:name w:val="div_0"/>
    <w:basedOn w:val="a"/>
    <w:qFormat/>
  </w:style>
  <w:style w:type="table" w:customStyle="1" w:styleId="table0">
    <w:name w:val="table_0"/>
    <w:basedOn w:val="a1"/>
    <w:qFormat/>
    <w:tblPr>
      <w:tblInd w:w="0" w:type="dxa"/>
      <w:tblCellMar>
        <w:top w:w="0" w:type="dxa"/>
        <w:left w:w="108" w:type="dxa"/>
        <w:bottom w:w="0" w:type="dxa"/>
        <w:right w:w="108" w:type="dxa"/>
      </w:tblCellMar>
    </w:tblPr>
  </w:style>
  <w:style w:type="table" w:customStyle="1" w:styleId="12">
    <w:name w:val="网格型1"/>
    <w:basedOn w:val="a1"/>
    <w:uiPriority w:val="59"/>
    <w:qFormat/>
    <w:pPr>
      <w:widowControl w:val="0"/>
      <w:jc w:val="both"/>
    </w:pPr>
    <w:rPr>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vice@99fund.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147</Pages>
  <Words>15934</Words>
  <Characters>90827</Characters>
  <Application>Microsoft Office Word</Application>
  <DocSecurity>0</DocSecurity>
  <Lines>756</Lines>
  <Paragraphs>213</Paragraphs>
  <ScaleCrop>false</ScaleCrop>
  <Company/>
  <LinksUpToDate>false</LinksUpToDate>
  <CharactersWithSpaces>106548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sunmengqiu</dc:creator>
  <cp:lastModifiedBy>张璋</cp:lastModifiedBy>
  <cp:revision>119</cp:revision>
  <cp:lastPrinted>2020-07-16T11:58:00Z</cp:lastPrinted>
  <dcterms:created xsi:type="dcterms:W3CDTF">2020-07-09T02:06:00Z</dcterms:created>
  <dcterms:modified xsi:type="dcterms:W3CDTF">2026-06-26T02:43:00Z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B5F2304F452641AF924EE3787156CDFE_13</vt:lpwstr>
  </property>
  <property fmtid="{D5CDD505-2E9C-101B-9397-08002B2CF9AE}" pid="3" name="KSOProductBuildVer">
    <vt:lpwstr>2052-12.8.2.18913</vt:lpwstr>
  </property>
  <property fmtid="{D5CDD505-2E9C-101B-9397-08002B2CF9AE}" pid="4" name="KSOTemplateDocerSaveRecord">
    <vt:lpwstr>eyJoZGlkIjoiNDQ0ZWQxNjM1M2JmOWExZjUxOWY5MDUxNGJjOThiOTUiLCJ1c2VySWQiOiIyNTA3NDA1MTEifQ==</vt:lpwstr>
  </property>
</Properties>
</file>