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11 -->
  <w:body>
    <w:p w:rsidR="007371E2" w:rsidRPr="002066FC" w:rsidP="007371E2">
      <w:pPr>
        <w:spacing w:line="360" w:lineRule="auto"/>
        <w:jc w:val="center"/>
        <w:rPr>
          <w:rFonts w:asciiTheme="minorEastAsia" w:hAnsiTheme="minorEastAsia" w:cs="方正黑体简体"/>
          <w:b/>
          <w:iCs/>
          <w:sz w:val="28"/>
          <w:szCs w:val="28"/>
        </w:rPr>
      </w:pPr>
      <w:r w:rsidRPr="002066FC">
        <w:rPr>
          <w:rFonts w:asciiTheme="minorEastAsia" w:hAnsiTheme="minorEastAsia" w:cs="方正黑体简体"/>
          <w:b/>
          <w:iCs/>
          <w:sz w:val="28"/>
          <w:szCs w:val="28"/>
        </w:rPr>
        <w:t>汇添富睿选成长股票型证券投资基金A类份额基金产品资料概要</w:t>
      </w:r>
    </w:p>
    <w:p w:rsidR="007371E2" w:rsidRPr="00D775F8" w:rsidP="00D775F8">
      <w:pPr>
        <w:spacing w:line="360" w:lineRule="auto"/>
        <w:jc w:val="right"/>
        <w:rPr>
          <w:rFonts w:asciiTheme="minorEastAsia" w:hAnsiTheme="minorEastAsia" w:cs="Times New Roman"/>
          <w:szCs w:val="21"/>
        </w:rPr>
      </w:pPr>
      <w:r w:rsidRPr="00D775F8">
        <w:rPr>
          <w:rFonts w:asciiTheme="minorEastAsia" w:hAnsiTheme="minorEastAsia" w:cs="方正仿宋简体"/>
          <w:iCs/>
          <w:szCs w:val="21"/>
        </w:rPr>
        <w:t xml:space="preserve">                     </w:t>
      </w:r>
      <w:r w:rsidRPr="00D775F8">
        <w:rPr>
          <w:rFonts w:asciiTheme="minorEastAsia" w:hAnsiTheme="minorEastAsia" w:cs="方正仿宋简体"/>
          <w:iCs/>
          <w:color w:val="000000" w:themeColor="text1"/>
          <w:szCs w:val="21"/>
        </w:rPr>
        <w:t xml:space="preserve">  </w:t>
      </w:r>
      <w:r w:rsidRPr="00D775F8">
        <w:rPr>
          <w:rFonts w:asciiTheme="minorEastAsia" w:hAnsiTheme="minorEastAsia" w:cs="方正仿宋简体"/>
          <w:iCs/>
          <w:szCs w:val="21"/>
        </w:rPr>
        <w:t xml:space="preserve">  </w:t>
      </w:r>
      <w:r w:rsidRPr="00D775F8">
        <w:rPr>
          <w:rFonts w:asciiTheme="minorEastAsia" w:hAnsiTheme="minorEastAsia" w:cs="方正仿宋简体" w:hint="eastAsia"/>
          <w:bCs/>
          <w:iCs/>
          <w:szCs w:val="21"/>
        </w:rPr>
        <w:t>编制日期：</w:t>
      </w:r>
      <w:r w:rsidRPr="00D775F8">
        <w:rPr>
          <w:rFonts w:asciiTheme="minorEastAsia" w:hAnsiTheme="minorEastAsia" w:cs="Times New Roman"/>
          <w:szCs w:val="21"/>
        </w:rPr>
        <w:t>2026年06月29日</w:t>
      </w:r>
    </w:p>
    <w:p w:rsidR="002066FC" w:rsidRPr="00D775F8" w:rsidP="0043717A">
      <w:pPr>
        <w:spacing w:line="360" w:lineRule="auto"/>
        <w:jc w:val="center"/>
        <w:rPr>
          <w:rFonts w:asciiTheme="minorEastAsia" w:hAnsiTheme="minorEastAsia" w:cs="方正仿宋简体" w:hint="eastAsia"/>
          <w:iCs/>
          <w:szCs w:val="21"/>
        </w:rPr>
      </w:pPr>
      <w:r w:rsidRPr="00D775F8">
        <w:rPr>
          <w:rFonts w:asciiTheme="minorEastAsia" w:hAnsiTheme="minorEastAsia" w:cs="Times New Roman" w:hint="eastAsia"/>
          <w:bCs/>
          <w:szCs w:val="21"/>
        </w:rPr>
        <w:t>送出日</w:t>
      </w:r>
      <w:bookmarkStart w:id="0" w:name="_GoBack"/>
      <w:r w:rsidRPr="00D775F8">
        <w:rPr>
          <w:rFonts w:asciiTheme="minorEastAsia" w:hAnsiTheme="minorEastAsia" w:cs="Times New Roman" w:hint="eastAsia"/>
          <w:bCs/>
          <w:szCs w:val="21"/>
        </w:rPr>
        <w:t>期：</w:t>
      </w:r>
      <w:r w:rsidRPr="00D775F8">
        <w:rPr>
          <w:rFonts w:asciiTheme="minorEastAsia" w:hAnsiTheme="minorEastAsia" w:cs="Times New Roman"/>
          <w:szCs w:val="21"/>
        </w:rPr>
        <w:t>2026年06月30日</w:t>
      </w:r>
      <w:bookmarkEnd w:id="0"/>
      <w:r w:rsidRPr="00D775F8">
        <w:rPr>
          <w:rFonts w:asciiTheme="minorEastAsia" w:hAnsiTheme="minorEastAsia" w:cs="方正仿宋简体"/>
          <w:iCs/>
          <w:szCs w:val="21"/>
        </w:rPr>
        <w:t xml:space="preserve"> </w:t>
      </w:r>
    </w:p>
    <w:p w:rsidR="00D775F8" w:rsidRPr="0043717A" w:rsidP="00D775F8">
      <w:pPr>
        <w:tabs>
          <w:tab w:val="left" w:pos="7770"/>
        </w:tabs>
        <w:spacing w:line="360" w:lineRule="auto"/>
        <w:jc w:val="center"/>
        <w:rPr>
          <w:rFonts w:asciiTheme="minorEastAsia" w:hAnsiTheme="minorEastAsia" w:cs="方正黑体简体"/>
          <w:bCs/>
          <w:iCs/>
          <w:szCs w:val="21"/>
        </w:rPr>
      </w:pPr>
      <w:r w:rsidRPr="0043717A">
        <w:rPr>
          <w:rFonts w:asciiTheme="minorEastAsia" w:hAnsiTheme="minorEastAsia" w:cs="方正黑体简体" w:hint="eastAsia"/>
          <w:bCs/>
          <w:iCs/>
          <w:szCs w:val="21"/>
        </w:rPr>
        <w:t>本概要提供本基金的重要信息，是招募说明书的一部分。</w:t>
      </w:r>
    </w:p>
    <w:p w:rsidR="00D775F8" w:rsidRPr="0043717A" w:rsidP="00D775F8">
      <w:pPr>
        <w:spacing w:line="360" w:lineRule="auto"/>
        <w:jc w:val="center"/>
        <w:rPr>
          <w:rFonts w:asciiTheme="minorEastAsia" w:hAnsiTheme="minorEastAsia" w:cs="方正仿宋简体"/>
          <w:iCs/>
          <w:szCs w:val="21"/>
        </w:rPr>
        <w:sectPr w:rsidSect="009107D8">
          <w:pgSz w:w="12240" w:h="15840"/>
          <w:pgMar w:top="1440" w:right="1800" w:bottom="1440" w:left="1800" w:header="720" w:footer="720" w:gutter="0"/>
          <w:cols w:space="720"/>
        </w:sectPr>
      </w:pPr>
      <w:r w:rsidRPr="0043717A">
        <w:rPr>
          <w:rFonts w:asciiTheme="minorEastAsia" w:hAnsiTheme="minorEastAsia" w:cs="方正黑体简体" w:hint="eastAsia"/>
          <w:bCs/>
          <w:iCs/>
          <w:szCs w:val="21"/>
        </w:rPr>
        <w:t>作出</w:t>
      </w:r>
      <w:r w:rsidRPr="0043717A">
        <w:rPr>
          <w:rFonts w:asciiTheme="minorEastAsia" w:hAnsiTheme="minorEastAsia" w:cs="方正黑体简体" w:hint="eastAsia"/>
          <w:bCs/>
          <w:iCs/>
          <w:szCs w:val="21"/>
        </w:rPr>
        <w:t>投资决定前，请阅读完整的招募说明书等销售文件。</w:t>
      </w:r>
    </w:p>
    <w:p w:rsidR="00834E25" w:rsidP="00213261">
      <w:pPr>
        <w:pStyle w:val="ListParagraph"/>
        <w:numPr>
          <w:ilvl w:val="0"/>
          <w:numId w:val="1"/>
        </w:numPr>
        <w:spacing w:line="360" w:lineRule="auto"/>
        <w:ind w:left="447" w:hanging="447" w:hangingChars="213"/>
        <w:rPr>
          <w:rFonts w:ascii="宋体" w:eastAsia="宋体" w:hAnsi="宋体" w:cs="方正仿宋简体"/>
          <w:b/>
          <w:bCs/>
          <w:iCs/>
          <w:szCs w:val="21"/>
        </w:rPr>
      </w:pPr>
      <w:r w:rsidRPr="00213261">
        <w:rPr>
          <w:rFonts w:ascii="宋体" w:eastAsia="宋体" w:hAnsi="宋体" w:cs="方正仿宋简体" w:hint="eastAsia"/>
          <w:b/>
          <w:bCs/>
          <w:iCs/>
          <w:szCs w:val="21"/>
        </w:rPr>
        <w:t>产品概况</w:t>
      </w:r>
    </w:p>
    <w:p w:rsidR="00DF6E25" w:rsidRPr="0074720D" w:rsidP="0074720D">
      <w:pPr>
        <w:rPr>
          <w:rFonts w:ascii="宋体" w:eastAsia="宋体" w:hAnsi="宋体" w:cs="方正仿宋简体"/>
          <w:bCs/>
          <w:iCs/>
          <w:szCs w:val="21"/>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58"/>
        <w:gridCol w:w="2158"/>
        <w:gridCol w:w="2158"/>
        <w:gridCol w:w="215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基金简称</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汇添富睿选成长股票</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基金代码</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027592</w:t>
            </w:r>
          </w:p>
        </w:tc>
      </w:tr>
      <w:tr>
        <w:tblPrEx>
          <w:tblW w:w="5000" w:type="pct"/>
          <w:tblCellMar>
            <w:left w:w="108" w:type="dxa"/>
            <w:right w:w="108" w:type="dxa"/>
          </w:tblCellMar>
        </w:tblPrEx>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下属基金简称</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汇添富睿选成长股票A</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下属基金代码</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027592</w:t>
            </w:r>
          </w:p>
        </w:tc>
      </w:tr>
      <w:tr>
        <w:tblPrEx>
          <w:tblW w:w="5000" w:type="pct"/>
          <w:tblCellMar>
            <w:left w:w="108" w:type="dxa"/>
            <w:right w:w="108" w:type="dxa"/>
          </w:tblCellMar>
        </w:tblPrEx>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基金管理人</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汇添富基金管理股份有限公司</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基金托管人</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兴业银行股份有限公司</w:t>
            </w:r>
          </w:p>
        </w:tc>
      </w:tr>
      <w:tr>
        <w:tblPrEx>
          <w:tblW w:w="5000" w:type="pct"/>
          <w:tblCellMar>
            <w:left w:w="108" w:type="dxa"/>
            <w:right w:w="108" w:type="dxa"/>
          </w:tblCellMar>
        </w:tblPrEx>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基金合同生效日</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上市交易所</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w:t>
            </w:r>
          </w:p>
        </w:tc>
      </w:tr>
      <w:tr>
        <w:tblPrEx>
          <w:tblW w:w="5000" w:type="pct"/>
          <w:tblCellMar>
            <w:left w:w="108" w:type="dxa"/>
            <w:right w:w="108" w:type="dxa"/>
          </w:tblCellMar>
        </w:tblPrEx>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上市日期</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基金类型</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股票型</w:t>
            </w:r>
          </w:p>
        </w:tc>
      </w:tr>
      <w:tr>
        <w:tblPrEx>
          <w:tblW w:w="5000" w:type="pct"/>
          <w:tblCellMar>
            <w:left w:w="108" w:type="dxa"/>
            <w:right w:w="108" w:type="dxa"/>
          </w:tblCellMar>
        </w:tblPrEx>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交易币种</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人民币</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运作方式</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普通开放式</w:t>
            </w:r>
          </w:p>
        </w:tc>
      </w:tr>
      <w:tr>
        <w:tblPrEx>
          <w:tblW w:w="5000" w:type="pct"/>
          <w:tblCellMar>
            <w:left w:w="108" w:type="dxa"/>
            <w:right w:w="108" w:type="dxa"/>
          </w:tblCellMar>
        </w:tblPrEx>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开放频率</w:t>
            </w:r>
          </w:p>
        </w:tc>
        <w:tc>
          <w:tcPr>
            <w:tcW w:w="60000" w:type="dxa"/>
            <w:gridSpan w:val="3"/>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每个开放日</w:t>
            </w:r>
          </w:p>
        </w:tc>
      </w:tr>
      <w:tr>
        <w:tblPrEx>
          <w:tblW w:w="5000" w:type="pct"/>
          <w:tblCellMar>
            <w:left w:w="108" w:type="dxa"/>
            <w:right w:w="108" w:type="dxa"/>
          </w:tblCellMar>
        </w:tblPrEx>
        <w:tc>
          <w:tcPr>
            <w:tcW w:w="20000" w:type="dxa"/>
            <w:vMerge w:val="restart"/>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基金经理</w:t>
            </w:r>
          </w:p>
        </w:tc>
        <w:tc>
          <w:tcPr>
            <w:tcW w:w="20000" w:type="dxa"/>
            <w:vMerge w:val="restart"/>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王星星</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开始担任本基金基金经理的日期</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w:t>
            </w:r>
          </w:p>
        </w:tc>
      </w:tr>
      <w:tr>
        <w:tblPrEx>
          <w:tblW w:w="5000" w:type="pct"/>
          <w:tblCellMar>
            <w:left w:w="108" w:type="dxa"/>
            <w:right w:w="108" w:type="dxa"/>
          </w:tblCellMar>
        </w:tblPrEx>
        <w:tc>
          <w:tcPr>
            <w:tcW w:w="20000" w:type="dxa"/>
            <w:vMerge/>
            <w:shd w:val="clear" w:color="auto" w:fill="FFFFFF"/>
            <w:vAlign w:val="center"/>
          </w:tcPr>
          <w:p w:rsidR="00DF6E25" w:rsidRPr="0074720D" w:rsidP="0074720D">
            <w:pPr>
              <w:jc w:val="left"/>
              <w:rPr>
                <w:rFonts w:ascii="宋体" w:eastAsia="宋体" w:hAnsi="宋体" w:cs="宋体"/>
                <w:bCs/>
                <w:iCs/>
                <w:color w:val="000000"/>
                <w:sz w:val="21"/>
                <w:szCs w:val="21"/>
              </w:rPr>
            </w:pPr>
          </w:p>
        </w:tc>
        <w:tc>
          <w:tcPr>
            <w:tcW w:w="20000" w:type="dxa"/>
            <w:vMerge/>
            <w:shd w:val="clear" w:color="auto" w:fill="FFFFFF"/>
            <w:vAlign w:val="center"/>
          </w:tcPr>
          <w:p w:rsidR="00DF6E25" w:rsidRPr="0074720D" w:rsidP="0074720D">
            <w:pPr>
              <w:jc w:val="left"/>
              <w:rPr>
                <w:rFonts w:ascii="宋体" w:eastAsia="宋体" w:hAnsi="宋体" w:cs="宋体"/>
                <w:bCs/>
                <w:iCs/>
                <w:color w:val="000000"/>
                <w:sz w:val="21"/>
                <w:szCs w:val="21"/>
              </w:rPr>
            </w:pP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证券从业日期</w:t>
            </w:r>
          </w:p>
        </w:tc>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2015年08月10日</w:t>
            </w:r>
          </w:p>
        </w:tc>
      </w:tr>
      <w:tr>
        <w:tblPrEx>
          <w:tblW w:w="5000" w:type="pct"/>
          <w:tblCellMar>
            <w:left w:w="108" w:type="dxa"/>
            <w:right w:w="108" w:type="dxa"/>
          </w:tblCellMar>
        </w:tblPrEx>
        <w:tc>
          <w:tcPr>
            <w:tcW w:w="20000" w:type="dxa"/>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其他</w:t>
            </w:r>
          </w:p>
        </w:tc>
        <w:tc>
          <w:tcPr>
            <w:tcW w:w="60000" w:type="dxa"/>
            <w:gridSpan w:val="3"/>
            <w:shd w:val="clear" w:color="auto" w:fill="FFFFFF"/>
            <w:vAlign w:val="center"/>
          </w:tcPr>
          <w:p w:rsidR="00DF6E25" w:rsidRPr="0074720D" w:rsidP="0074720D">
            <w:pPr>
              <w:jc w:val="left"/>
              <w:rPr>
                <w:rFonts w:ascii="宋体" w:eastAsia="宋体" w:hAnsi="宋体" w:cs="宋体"/>
                <w:bCs/>
                <w:iCs/>
                <w:color w:val="000000"/>
                <w:sz w:val="21"/>
                <w:szCs w:val="21"/>
              </w:rPr>
            </w:pPr>
            <w:r w:rsidRPr="0074720D">
              <w:rPr>
                <w:rFonts w:ascii="宋体" w:eastAsia="宋体" w:hAnsi="宋体" w:cs="宋体"/>
                <w:bCs/>
                <w:iCs/>
                <w:color w:val="000000"/>
                <w:sz w:val="21"/>
                <w:szCs w:val="21"/>
              </w:rPr>
              <w:t>-</w:t>
            </w:r>
          </w:p>
        </w:tc>
      </w:tr>
    </w:tbl>
    <w:p w:rsidR="00DF6E25" w:rsidRPr="0074720D" w:rsidP="0074720D">
      <w:pPr>
        <w:rPr>
          <w:rFonts w:ascii="宋体" w:eastAsia="宋体" w:hAnsi="宋体" w:cs="方正仿宋简体"/>
          <w:bCs/>
          <w:iCs/>
          <w:szCs w:val="21"/>
        </w:rPr>
      </w:pPr>
    </w:p>
    <w:p w:rsidR="00025EAC" w:rsidRPr="0074720D" w:rsidP="0074720D">
      <w:pPr>
        <w:rPr>
          <w:rFonts w:ascii="宋体" w:eastAsia="宋体" w:hAnsi="宋体" w:cs="宋体"/>
          <w:iCs/>
          <w:color w:val="000000"/>
          <w:szCs w:val="21"/>
        </w:rPr>
        <w:sectPr w:rsidSect="00FE250C">
          <w:type w:val="continuous"/>
          <w:pgSz w:w="12240" w:h="15840"/>
          <w:pgMar w:top="1440" w:right="1800" w:bottom="1440" w:left="1800" w:header="720" w:footer="720" w:gutter="0"/>
          <w:cols w:space="720"/>
        </w:sectPr>
      </w:pPr>
    </w:p>
    <w:p w:rsidR="00834E25" w:rsidRPr="00124F47" w:rsidP="00D32707">
      <w:pPr>
        <w:spacing w:line="360" w:lineRule="auto"/>
        <w:rPr>
          <w:rFonts w:ascii="宋体" w:eastAsia="宋体" w:hAnsi="宋体" w:cs="方正仿宋简体"/>
          <w:b/>
          <w:bCs/>
          <w:iCs/>
          <w:szCs w:val="21"/>
        </w:rPr>
      </w:pPr>
      <w:r w:rsidRPr="00124F47">
        <w:rPr>
          <w:rFonts w:ascii="宋体" w:eastAsia="宋体" w:hAnsi="宋体" w:cs="方正仿宋简体" w:hint="eastAsia"/>
          <w:b/>
          <w:bCs/>
          <w:iCs/>
          <w:szCs w:val="21"/>
        </w:rPr>
        <w:t>二、</w:t>
      </w:r>
      <w:r w:rsidRPr="00124F47">
        <w:rPr>
          <w:rFonts w:ascii="宋体" w:eastAsia="宋体" w:hAnsi="宋体" w:cs="方正仿宋简体"/>
          <w:b/>
          <w:bCs/>
          <w:iCs/>
          <w:szCs w:val="21"/>
        </w:rPr>
        <w:t xml:space="preserve"> </w:t>
      </w:r>
      <w:r w:rsidRPr="00124F47">
        <w:rPr>
          <w:rFonts w:ascii="宋体" w:eastAsia="宋体" w:hAnsi="宋体" w:cs="方正仿宋简体"/>
          <w:b/>
          <w:bCs/>
          <w:iCs/>
          <w:szCs w:val="21"/>
        </w:rPr>
        <w:t>基金投资与净值表现</w:t>
      </w:r>
    </w:p>
    <w:p w:rsidR="00834E25" w:rsidRPr="00124F47" w:rsidP="00D32707">
      <w:pPr>
        <w:spacing w:line="360" w:lineRule="auto"/>
        <w:rPr>
          <w:rFonts w:ascii="宋体" w:eastAsia="宋体" w:hAnsi="宋体" w:cs="方正仿宋简体"/>
          <w:b/>
          <w:bCs/>
          <w:iCs/>
          <w:szCs w:val="21"/>
        </w:rPr>
        <w:sectPr w:rsidSect="00512717">
          <w:type w:val="continuous"/>
          <w:pgSz w:w="12240" w:h="15840"/>
          <w:pgMar w:top="1440" w:right="1800" w:bottom="1440" w:left="1800" w:header="720" w:footer="720" w:gutter="0"/>
          <w:cols w:space="720"/>
        </w:sectPr>
      </w:pPr>
    </w:p>
    <w:p w:rsidR="00EB4244" w:rsidRPr="006E61A9" w:rsidP="00EB4244">
      <w:pPr>
        <w:spacing w:line="360" w:lineRule="auto"/>
        <w:rPr>
          <w:rFonts w:ascii="宋体" w:eastAsia="宋体" w:hAnsi="宋体" w:cs="方正仿宋简体"/>
          <w:b/>
          <w:bCs/>
          <w:iCs/>
          <w:szCs w:val="21"/>
        </w:rPr>
      </w:pPr>
      <w:r w:rsidRPr="00EB4244">
        <w:rPr>
          <w:rFonts w:ascii="宋体" w:eastAsia="宋体" w:hAnsi="宋体" w:cs="方正仿宋简体" w:hint="eastAsia"/>
          <w:b/>
          <w:bCs/>
          <w:iCs/>
          <w:szCs w:val="21"/>
        </w:rPr>
        <w:t>（一）</w:t>
      </w:r>
      <w:r w:rsidRPr="006E61A9">
        <w:rPr>
          <w:rFonts w:ascii="宋体" w:eastAsia="宋体" w:hAnsi="宋体" w:cs="方正仿宋简体"/>
          <w:b/>
          <w:bCs/>
          <w:iCs/>
          <w:szCs w:val="21"/>
        </w:rPr>
        <w:t>投资目标与投资策略</w:t>
      </w:r>
    </w:p>
    <w:tbl>
      <w:tblPr>
        <w:tblStyle w:val="TableNormal"/>
        <w:tblW w:w="8789"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43"/>
        <w:gridCol w:w="6946"/>
      </w:tblGrid>
      <w:tr w:rsidTr="00EB4244">
        <w:tblPrEx>
          <w:tblW w:w="8789"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8"/>
        </w:trPr>
        <w:tc>
          <w:tcPr>
            <w:tcW w:w="1843" w:type="dxa"/>
            <w:vAlign w:val="center"/>
          </w:tcPr>
          <w:p w:rsidR="00EB4244" w:rsidRPr="00EB4244" w:rsidP="00EB4244">
            <w:pPr>
              <w:rPr>
                <w:rFonts w:ascii="宋体" w:eastAsia="宋体" w:hAnsi="宋体" w:cs="方正仿宋简体"/>
                <w:iCs/>
                <w:szCs w:val="21"/>
              </w:rPr>
            </w:pPr>
            <w:r>
              <w:rPr>
                <w:rFonts w:ascii="宋体" w:eastAsia="宋体" w:hAnsi="宋体" w:cs="方正仿宋简体" w:hint="eastAsia"/>
                <w:iCs/>
                <w:szCs w:val="21"/>
              </w:rPr>
              <w:t>投资目标</w:t>
            </w:r>
          </w:p>
        </w:tc>
        <w:tc>
          <w:tcPr>
            <w:tcW w:w="6946" w:type="dxa"/>
            <w:vAlign w:val="center"/>
          </w:tcPr>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本基金在严格控制风险的前提下，追求超越业绩比较基准的投资回报，力争实现基金资产的长期稳健增值。</w:t>
            </w:r>
          </w:p>
        </w:tc>
      </w:tr>
      <w:tr w:rsidTr="00EB4244">
        <w:tblPrEx>
          <w:tblW w:w="8789" w:type="dxa"/>
          <w:tblInd w:w="27" w:type="dxa"/>
          <w:tblLook w:val="0000"/>
        </w:tblPrEx>
        <w:trPr>
          <w:trHeight w:val="416"/>
        </w:trPr>
        <w:tc>
          <w:tcPr>
            <w:tcW w:w="1843" w:type="dxa"/>
            <w:vAlign w:val="center"/>
          </w:tcPr>
          <w:p w:rsidR="00EB4244" w:rsidRPr="00EB4244" w:rsidP="00EB4244">
            <w:pPr>
              <w:rPr>
                <w:rFonts w:ascii="宋体" w:eastAsia="宋体" w:hAnsi="宋体" w:cs="方正仿宋简体"/>
                <w:iCs/>
                <w:szCs w:val="21"/>
              </w:rPr>
            </w:pPr>
            <w:r>
              <w:rPr>
                <w:rFonts w:ascii="宋体" w:eastAsia="宋体" w:hAnsi="宋体" w:cs="方正仿宋简体" w:hint="eastAsia"/>
                <w:iCs/>
                <w:szCs w:val="21"/>
              </w:rPr>
              <w:t>投资范围</w:t>
            </w:r>
          </w:p>
        </w:tc>
        <w:tc>
          <w:tcPr>
            <w:tcW w:w="6946" w:type="dxa"/>
            <w:vAlign w:val="center"/>
          </w:tcPr>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本基金的投资范围为具有良好流动性的金融工具，包括国内依法发行上市的股票（含主板、创业板及其他经中国证监会允许上市的股票、存托凭证）、港股通标的股票、债券（包括国债、央行票据、金融债、企业债、公司债、中期票据、短期融资券、超短期融资券、次级债券、政府支持债券、政府支持机构债券、地方政府债券、可交换债券、可转换债券（含分离交易可转债）及其他经中国证监会允许投资的债券）、股指期货、国债期货、股票期权、资产支持证券、债券回购、同业存单、银行存款（包含协议存款、定期存款及其他银行存款）、货币市场工具以及法律法规或中国证监会允许基金投资的其他金融工具(但须符合中国证监会相关规定)。</w:t>
            </w:r>
          </w:p>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本基金还可根据法律法规参与融资业务。</w:t>
            </w:r>
          </w:p>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如法律法规或监管机构以后允许基金投资其他品种，基金管理人在履行适当程序后，可以将其纳入投资范围。</w:t>
            </w:r>
          </w:p>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基金的投资组合比例为：本基金股票资产占基金资产的比例为80%-95%，其中，投资于港股通标的股票的比例不超过股票资产的50%。每个交易日日终在扣除国债期货、股指期货和股票期权合约需缴纳的交易保证金后，本基金保留的现金或投资于到期日在一年以内的政府债券的比例合计不低于基金资产净值的5%。其中现金不包括结算备付金、存出保证金、应收申购款等。</w:t>
            </w:r>
          </w:p>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如法律法规或监管机构变更投资品种的投资比例限制，基金管理人在履行适当程序后，可以调整上述投资品种的投资比例。</w:t>
            </w:r>
          </w:p>
        </w:tc>
      </w:tr>
      <w:tr w:rsidTr="00EB4244">
        <w:tblPrEx>
          <w:tblW w:w="8789" w:type="dxa"/>
          <w:tblInd w:w="27" w:type="dxa"/>
          <w:tblLook w:val="0000"/>
        </w:tblPrEx>
        <w:trPr>
          <w:trHeight w:val="407"/>
        </w:trPr>
        <w:tc>
          <w:tcPr>
            <w:tcW w:w="1843" w:type="dxa"/>
            <w:vAlign w:val="center"/>
          </w:tcPr>
          <w:p w:rsidR="00EB4244" w:rsidRPr="00EB4244" w:rsidP="00EB4244">
            <w:pPr>
              <w:rPr>
                <w:rFonts w:ascii="宋体" w:eastAsia="宋体" w:hAnsi="宋体" w:cs="方正仿宋简体"/>
                <w:iCs/>
                <w:szCs w:val="21"/>
              </w:rPr>
            </w:pPr>
            <w:r>
              <w:rPr>
                <w:rFonts w:ascii="宋体" w:eastAsia="宋体" w:hAnsi="宋体" w:cs="方正仿宋简体" w:hint="eastAsia"/>
                <w:iCs/>
                <w:szCs w:val="21"/>
              </w:rPr>
              <w:t>主要投资策略</w:t>
            </w:r>
          </w:p>
        </w:tc>
        <w:tc>
          <w:tcPr>
            <w:tcW w:w="6946" w:type="dxa"/>
            <w:vAlign w:val="center"/>
          </w:tcPr>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本基金将在有效控制风险的前提下，采用科学的资产配置策略和股票投资策略，定量与定性分析相结合，力争实现基金资产的长期稳健增值。其中，资产配置策略用于确定大类资产配置比例以有效规避系统性风险，股票投资策略主要用于挖掘各行业中的优质股票以期获取超额收益。本基金的主要投资策略包括：1、资产配置策略；2、股票投资策略；3、港股通标的股票的投资策略；4、存托凭证的投资策略；5、债券投资策略；6、可转债及可交换债投资策略；7、资产支持证券投资策略；8、股指期货投资策略；9、国债期货投资策略；10、股票期权投资策略；11、融资投资策略。</w:t>
            </w:r>
          </w:p>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未来，随着投资工具的发展和丰富，本基金可在不改变投资目标和风险收益特征的前提下，相应调整和更新相关投资策略，并在招募说明书更新中公告。</w:t>
            </w:r>
          </w:p>
        </w:tc>
      </w:tr>
      <w:tr w:rsidTr="00EB4244">
        <w:tblPrEx>
          <w:tblW w:w="8789" w:type="dxa"/>
          <w:tblInd w:w="27" w:type="dxa"/>
          <w:tblLook w:val="0000"/>
        </w:tblPrEx>
        <w:trPr>
          <w:trHeight w:val="412"/>
        </w:trPr>
        <w:tc>
          <w:tcPr>
            <w:tcW w:w="1843" w:type="dxa"/>
            <w:vAlign w:val="center"/>
          </w:tcPr>
          <w:p w:rsidR="00EB4244" w:rsidRPr="00EB4244" w:rsidP="00EB4244">
            <w:pPr>
              <w:rPr>
                <w:rFonts w:ascii="宋体" w:eastAsia="宋体" w:hAnsi="宋体" w:cs="方正仿宋简体"/>
                <w:iCs/>
                <w:szCs w:val="21"/>
              </w:rPr>
            </w:pPr>
            <w:r>
              <w:rPr>
                <w:rFonts w:ascii="宋体" w:eastAsia="宋体" w:hAnsi="宋体" w:cs="方正仿宋简体" w:hint="eastAsia"/>
                <w:iCs/>
                <w:szCs w:val="21"/>
              </w:rPr>
              <w:t>业绩比较基准</w:t>
            </w:r>
          </w:p>
        </w:tc>
        <w:tc>
          <w:tcPr>
            <w:tcW w:w="6946" w:type="dxa"/>
            <w:vAlign w:val="center"/>
          </w:tcPr>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中证500指数收益率*90%+中债-国债总全价(1-3年)指数收益率*5%+活期存款基准利率*5%</w:t>
            </w:r>
          </w:p>
        </w:tc>
      </w:tr>
      <w:tr w:rsidTr="00EB4244">
        <w:tblPrEx>
          <w:tblW w:w="8789" w:type="dxa"/>
          <w:tblInd w:w="27" w:type="dxa"/>
          <w:tblLook w:val="0000"/>
        </w:tblPrEx>
        <w:trPr>
          <w:trHeight w:val="419"/>
        </w:trPr>
        <w:tc>
          <w:tcPr>
            <w:tcW w:w="1843" w:type="dxa"/>
            <w:vAlign w:val="center"/>
          </w:tcPr>
          <w:p w:rsidR="00EB4244" w:rsidRPr="00EB4244" w:rsidP="00EB4244">
            <w:pPr>
              <w:rPr>
                <w:rFonts w:ascii="宋体" w:eastAsia="宋体" w:hAnsi="宋体" w:cs="方正仿宋简体"/>
                <w:iCs/>
                <w:szCs w:val="21"/>
              </w:rPr>
            </w:pPr>
            <w:r>
              <w:rPr>
                <w:rFonts w:ascii="宋体" w:eastAsia="宋体" w:hAnsi="宋体" w:cs="方正仿宋简体" w:hint="eastAsia"/>
                <w:iCs/>
                <w:szCs w:val="21"/>
              </w:rPr>
              <w:t>风险收益特征</w:t>
            </w:r>
          </w:p>
        </w:tc>
        <w:tc>
          <w:tcPr>
            <w:tcW w:w="6946" w:type="dxa"/>
            <w:vAlign w:val="center"/>
          </w:tcPr>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本基金属于股票型基金，其预期的风险与收益高于混合型基金、债券型基金与货币市场基金。</w:t>
            </w:r>
          </w:p>
          <w:p w:rsidR="00EB4244" w:rsidRPr="00EB4244" w:rsidP="00EB4244">
            <w:pPr>
              <w:rPr>
                <w:rFonts w:ascii="宋体" w:eastAsia="宋体" w:hAnsi="宋体" w:cs="方正仿宋简体"/>
                <w:iCs/>
                <w:szCs w:val="21"/>
              </w:rPr>
            </w:pPr>
            <w:r w:rsidRPr="00EB4244">
              <w:rPr>
                <w:rFonts w:ascii="宋体" w:eastAsia="宋体" w:hAnsi="宋体" w:cs="方正仿宋简体"/>
                <w:iCs/>
                <w:szCs w:val="21"/>
              </w:rPr>
              <w:t>本基金除了投资A股以外，还可以根据法律法规规定投资港股通标的股票，将面临港股通机制下因投资环境、投资标的、市场制度以及交易规则等差异带来的特有风险。</w:t>
            </w:r>
          </w:p>
        </w:tc>
      </w:tr>
    </w:tbl>
    <w:p w:rsidR="0051145B" w:rsidRPr="00EB4244" w:rsidP="00EB4244">
      <w:pPr>
        <w:rPr>
          <w:rFonts w:ascii="宋体" w:eastAsia="宋体" w:hAnsi="宋体" w:cs="方正仿宋简体"/>
          <w:iCs/>
          <w:szCs w:val="21"/>
        </w:rPr>
        <w:sectPr w:rsidSect="00F576B5">
          <w:type w:val="continuous"/>
          <w:pgSz w:w="12240" w:h="15840"/>
          <w:pgMar w:top="1440" w:right="1800" w:bottom="1440" w:left="1800" w:header="720" w:footer="720" w:gutter="0"/>
          <w:cols w:space="720"/>
        </w:sectPr>
      </w:pPr>
      <w:r w:rsidRPr="00EB4244">
        <w:rPr>
          <w:rFonts w:ascii="宋体" w:eastAsia="宋体" w:hAnsi="宋体" w:cs="方正仿宋简体"/>
          <w:iCs/>
          <w:szCs w:val="21"/>
        </w:rPr>
        <w:t>注：投资者欲了解本基金的详细情况，请仔细阅读本基金的《招募说明书》。本基金产品有风险，投资需谨慎。</w:t>
      </w:r>
    </w:p>
    <w:p w:rsidR="00834E25" w:rsidRPr="00340931" w:rsidP="00340931">
      <w:pPr>
        <w:spacing w:line="360" w:lineRule="auto"/>
        <w:rPr>
          <w:rFonts w:ascii="宋体" w:eastAsia="宋体" w:hAnsi="宋体" w:cs="方正仿宋简体"/>
          <w:b/>
          <w:bCs/>
          <w:iCs/>
          <w:szCs w:val="21"/>
        </w:rPr>
        <w:sectPr w:rsidSect="00F34BD9">
          <w:type w:val="continuous"/>
          <w:pgSz w:w="12240" w:h="15840"/>
          <w:pgMar w:top="1440" w:right="1800" w:bottom="1440" w:left="1800" w:header="720" w:footer="720" w:gutter="0"/>
          <w:cols w:space="720"/>
        </w:sectPr>
      </w:pPr>
      <w:r w:rsidRPr="00340931">
        <w:rPr>
          <w:rFonts w:ascii="宋体" w:eastAsia="宋体" w:hAnsi="宋体" w:cs="方正仿宋简体" w:hint="eastAsia"/>
          <w:b/>
          <w:bCs/>
          <w:iCs/>
          <w:szCs w:val="21"/>
        </w:rPr>
        <w:t>三、投资本基金涉及的费用</w:t>
      </w:r>
    </w:p>
    <w:p w:rsidR="00263627" w:rsidRPr="00B4654F" w:rsidP="00263627">
      <w:pPr>
        <w:spacing w:line="360" w:lineRule="auto"/>
        <w:rPr>
          <w:rFonts w:ascii="宋体" w:eastAsia="宋体" w:hAnsi="宋体"/>
          <w:b/>
        </w:rPr>
      </w:pPr>
      <w:r w:rsidRPr="00B4654F">
        <w:rPr>
          <w:rFonts w:ascii="宋体" w:eastAsia="宋体" w:hAnsi="宋体" w:hint="eastAsia"/>
          <w:b/>
        </w:rPr>
        <w:t>（一）基金销售相关费用</w:t>
      </w:r>
    </w:p>
    <w:p w:rsidR="00F66C8F" w:rsidRPr="00263627" w:rsidP="00F66C8F">
      <w:pPr>
        <w:spacing w:line="240" w:lineRule="atLeast"/>
        <w:rPr>
          <w:rFonts w:ascii="宋体" w:eastAsia="宋体" w:hAnsi="宋体"/>
        </w:rPr>
      </w:pPr>
      <w:r w:rsidRPr="00263627">
        <w:rPr>
          <w:rFonts w:ascii="宋体" w:eastAsia="宋体" w:hAnsi="宋体"/>
        </w:rPr>
        <w:t>以下费用在认购/申购/赎回基金过程中收取：</w:t>
      </w:r>
    </w:p>
    <w:p w:rsidR="00834E25" w:rsidRPr="00263627" w:rsidP="00BC38BD">
      <w:pPr>
        <w:spacing w:line="240" w:lineRule="atLeast"/>
        <w:rPr>
          <w:rFonts w:ascii="宋体" w:eastAsia="宋体" w:hAnsi="宋体"/>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58"/>
        <w:gridCol w:w="2158"/>
        <w:gridCol w:w="2158"/>
        <w:gridCol w:w="215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0000" w:type="dxa"/>
            <w:shd w:val="clear" w:color="auto" w:fill="D9D9D9"/>
            <w:vAlign w:val="center"/>
          </w:tcPr>
          <w:p w:rsidR="00834E25" w:rsidRPr="00263627" w:rsidP="00BC38BD">
            <w:pPr>
              <w:spacing w:line="240" w:lineRule="atLeast"/>
              <w:jc w:val="center"/>
              <w:rPr>
                <w:rFonts w:ascii="宋体" w:eastAsia="宋体" w:hAnsi="宋体" w:cs="宋体"/>
                <w:color w:val="000000"/>
                <w:sz w:val="21"/>
              </w:rPr>
            </w:pPr>
            <w:r w:rsidRPr="00263627">
              <w:rPr>
                <w:rFonts w:ascii="宋体" w:eastAsia="宋体" w:hAnsi="宋体" w:cs="宋体"/>
                <w:color w:val="000000"/>
                <w:sz w:val="21"/>
              </w:rPr>
              <w:t>费用类型</w:t>
            </w:r>
          </w:p>
        </w:tc>
        <w:tc>
          <w:tcPr>
            <w:tcW w:w="20000" w:type="dxa"/>
            <w:shd w:val="clear" w:color="auto" w:fill="D9D9D9"/>
            <w:vAlign w:val="center"/>
          </w:tcPr>
          <w:p w:rsidR="00834E25" w:rsidRPr="00263627" w:rsidP="00BC38BD">
            <w:pPr>
              <w:spacing w:line="240" w:lineRule="atLeast"/>
              <w:jc w:val="center"/>
              <w:rPr>
                <w:rFonts w:ascii="宋体" w:eastAsia="宋体" w:hAnsi="宋体" w:cs="宋体"/>
                <w:color w:val="000000"/>
                <w:sz w:val="21"/>
              </w:rPr>
            </w:pPr>
            <w:r w:rsidRPr="00263627">
              <w:rPr>
                <w:rFonts w:ascii="宋体" w:eastAsia="宋体" w:hAnsi="宋体" w:cs="宋体"/>
                <w:color w:val="000000"/>
                <w:sz w:val="21"/>
              </w:rPr>
              <w:t>份额（S）或金额（M）/持有期限（N）</w:t>
            </w:r>
          </w:p>
        </w:tc>
        <w:tc>
          <w:tcPr>
            <w:tcW w:w="20000" w:type="dxa"/>
            <w:shd w:val="clear" w:color="auto" w:fill="D9D9D9"/>
            <w:vAlign w:val="center"/>
          </w:tcPr>
          <w:p w:rsidR="00834E25" w:rsidRPr="00263627" w:rsidP="00BC38BD">
            <w:pPr>
              <w:spacing w:line="240" w:lineRule="atLeast"/>
              <w:jc w:val="center"/>
              <w:rPr>
                <w:rFonts w:ascii="宋体" w:eastAsia="宋体" w:hAnsi="宋体" w:cs="宋体"/>
                <w:color w:val="000000"/>
                <w:sz w:val="21"/>
              </w:rPr>
            </w:pPr>
            <w:r w:rsidRPr="00263627">
              <w:rPr>
                <w:rFonts w:ascii="宋体" w:eastAsia="宋体" w:hAnsi="宋体" w:cs="宋体"/>
                <w:color w:val="000000"/>
                <w:sz w:val="21"/>
              </w:rPr>
              <w:t>费率/收费方式</w:t>
            </w:r>
          </w:p>
        </w:tc>
        <w:tc>
          <w:tcPr>
            <w:tcW w:w="20000" w:type="dxa"/>
            <w:shd w:val="clear" w:color="auto" w:fill="D9D9D9"/>
            <w:vAlign w:val="center"/>
          </w:tcPr>
          <w:p w:rsidR="00834E25" w:rsidRPr="00263627" w:rsidP="00BC38BD">
            <w:pPr>
              <w:spacing w:line="240" w:lineRule="atLeast"/>
              <w:jc w:val="center"/>
              <w:rPr>
                <w:rFonts w:ascii="宋体" w:eastAsia="宋体" w:hAnsi="宋体" w:cs="宋体"/>
                <w:color w:val="000000"/>
                <w:sz w:val="21"/>
              </w:rPr>
            </w:pPr>
            <w:r w:rsidRPr="00263627">
              <w:rPr>
                <w:rFonts w:ascii="宋体" w:eastAsia="宋体" w:hAnsi="宋体" w:cs="宋体"/>
                <w:color w:val="000000"/>
                <w:sz w:val="21"/>
              </w:rPr>
              <w:t>备注</w:t>
            </w:r>
          </w:p>
        </w:tc>
      </w:tr>
      <w:tr>
        <w:tblPrEx>
          <w:tblW w:w="5000" w:type="pct"/>
          <w:tblCellMar>
            <w:left w:w="108" w:type="dxa"/>
            <w:right w:w="108" w:type="dxa"/>
          </w:tblCellMar>
        </w:tblPrEx>
        <w:tc>
          <w:tcPr>
            <w:tcW w:w="20000" w:type="dxa"/>
            <w:vMerge w:val="restart"/>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 xml:space="preserve">认购费 </w:t>
            </w:r>
          </w:p>
          <w:p w:rsidR="00834E25" w:rsidRPr="00263627" w:rsidP="00BC38BD">
            <w:pPr>
              <w:spacing w:line="240" w:lineRule="atLeast"/>
              <w:jc w:val="left"/>
              <w:rPr>
                <w:rFonts w:ascii="宋体" w:eastAsia="宋体" w:hAnsi="宋体" w:cs="宋体"/>
                <w:color w:val="000000"/>
                <w:sz w:val="21"/>
              </w:rPr>
            </w:pP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M&lt;500万元</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0.80%</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通过其他销售机构认购</w:t>
            </w:r>
          </w:p>
        </w:tc>
      </w:tr>
      <w:tr>
        <w:tblPrEx>
          <w:tblW w:w="5000" w:type="pct"/>
          <w:tblCellMar>
            <w:left w:w="108" w:type="dxa"/>
            <w:right w:w="108" w:type="dxa"/>
          </w:tblCellMar>
        </w:tblPrEx>
        <w:tc>
          <w:tcPr>
            <w:tcW w:w="20000" w:type="dxa"/>
            <w:vMerge/>
            <w:shd w:val="clear" w:color="auto" w:fill="FFFFFF"/>
            <w:vAlign w:val="center"/>
          </w:tcPr>
          <w:p w:rsidR="00834E25" w:rsidRPr="00263627" w:rsidP="00BC38BD">
            <w:pPr>
              <w:spacing w:line="240" w:lineRule="atLeast"/>
              <w:jc w:val="left"/>
              <w:rPr>
                <w:rFonts w:ascii="宋体" w:eastAsia="宋体" w:hAnsi="宋体" w:cs="宋体"/>
                <w:color w:val="000000"/>
                <w:sz w:val="21"/>
              </w:rPr>
            </w:pP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M≥500万元</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每笔1000元</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通过其他销售机构认购</w:t>
            </w:r>
          </w:p>
        </w:tc>
      </w:tr>
      <w:tr>
        <w:tblPrEx>
          <w:tblW w:w="5000" w:type="pct"/>
          <w:tblCellMar>
            <w:left w:w="108" w:type="dxa"/>
            <w:right w:w="108" w:type="dxa"/>
          </w:tblCellMar>
        </w:tblPrEx>
        <w:tc>
          <w:tcPr>
            <w:tcW w:w="20000" w:type="dxa"/>
            <w:vMerge w:val="restart"/>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 xml:space="preserve">申购费（前收费） </w:t>
            </w:r>
          </w:p>
          <w:p w:rsidR="00834E25" w:rsidRPr="00263627" w:rsidP="00BC38BD">
            <w:pPr>
              <w:spacing w:line="240" w:lineRule="atLeast"/>
              <w:jc w:val="left"/>
              <w:rPr>
                <w:rFonts w:ascii="宋体" w:eastAsia="宋体" w:hAnsi="宋体" w:cs="宋体"/>
                <w:color w:val="000000"/>
                <w:sz w:val="21"/>
              </w:rPr>
            </w:pP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M&lt;500万元</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0.80%</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通过其他销售机构申购</w:t>
            </w:r>
          </w:p>
        </w:tc>
      </w:tr>
      <w:tr>
        <w:tblPrEx>
          <w:tblW w:w="5000" w:type="pct"/>
          <w:tblCellMar>
            <w:left w:w="108" w:type="dxa"/>
            <w:right w:w="108" w:type="dxa"/>
          </w:tblCellMar>
        </w:tblPrEx>
        <w:tc>
          <w:tcPr>
            <w:tcW w:w="20000" w:type="dxa"/>
            <w:vMerge/>
            <w:shd w:val="clear" w:color="auto" w:fill="FFFFFF"/>
            <w:vAlign w:val="center"/>
          </w:tcPr>
          <w:p w:rsidR="00834E25" w:rsidRPr="00263627" w:rsidP="00BC38BD">
            <w:pPr>
              <w:spacing w:line="240" w:lineRule="atLeast"/>
              <w:jc w:val="left"/>
              <w:rPr>
                <w:rFonts w:ascii="宋体" w:eastAsia="宋体" w:hAnsi="宋体" w:cs="宋体"/>
                <w:color w:val="000000"/>
                <w:sz w:val="21"/>
              </w:rPr>
            </w:pP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M≥500万元</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每笔1000元</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通过其他销售机构申购</w:t>
            </w:r>
          </w:p>
        </w:tc>
      </w:tr>
      <w:tr>
        <w:tblPrEx>
          <w:tblW w:w="5000" w:type="pct"/>
          <w:tblCellMar>
            <w:left w:w="108" w:type="dxa"/>
            <w:right w:w="108" w:type="dxa"/>
          </w:tblCellMar>
        </w:tblPrEx>
        <w:tc>
          <w:tcPr>
            <w:tcW w:w="20000" w:type="dxa"/>
            <w:vMerge w:val="restart"/>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 xml:space="preserve">赎回费 </w:t>
            </w:r>
          </w:p>
          <w:p w:rsidR="00834E25" w:rsidRPr="00263627" w:rsidP="00BC38BD">
            <w:pPr>
              <w:spacing w:line="240" w:lineRule="atLeast"/>
              <w:jc w:val="left"/>
              <w:rPr>
                <w:rFonts w:ascii="宋体" w:eastAsia="宋体" w:hAnsi="宋体" w:cs="宋体"/>
                <w:color w:val="000000"/>
                <w:sz w:val="21"/>
              </w:rPr>
            </w:pP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N&lt;7天</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1.50%</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p>
        </w:tc>
      </w:tr>
      <w:tr>
        <w:tblPrEx>
          <w:tblW w:w="5000" w:type="pct"/>
          <w:tblCellMar>
            <w:left w:w="108" w:type="dxa"/>
            <w:right w:w="108" w:type="dxa"/>
          </w:tblCellMar>
        </w:tblPrEx>
        <w:tc>
          <w:tcPr>
            <w:tcW w:w="20000" w:type="dxa"/>
            <w:vMerge/>
            <w:shd w:val="clear" w:color="auto" w:fill="FFFFFF"/>
            <w:vAlign w:val="center"/>
          </w:tcPr>
          <w:p w:rsidR="00834E25" w:rsidRPr="00263627" w:rsidP="00BC38BD">
            <w:pPr>
              <w:spacing w:line="240" w:lineRule="atLeast"/>
              <w:jc w:val="left"/>
              <w:rPr>
                <w:rFonts w:ascii="宋体" w:eastAsia="宋体" w:hAnsi="宋体" w:cs="宋体"/>
                <w:color w:val="000000"/>
                <w:sz w:val="21"/>
              </w:rPr>
            </w:pP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7天≤N&lt;30天</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1.00%</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p>
        </w:tc>
      </w:tr>
      <w:tr>
        <w:tblPrEx>
          <w:tblW w:w="5000" w:type="pct"/>
          <w:tblCellMar>
            <w:left w:w="108" w:type="dxa"/>
            <w:right w:w="108" w:type="dxa"/>
          </w:tblCellMar>
        </w:tblPrEx>
        <w:tc>
          <w:tcPr>
            <w:tcW w:w="20000" w:type="dxa"/>
            <w:vMerge/>
            <w:shd w:val="clear" w:color="auto" w:fill="FFFFFF"/>
            <w:vAlign w:val="center"/>
          </w:tcPr>
          <w:p w:rsidR="00834E25" w:rsidRPr="00263627" w:rsidP="00BC38BD">
            <w:pPr>
              <w:spacing w:line="240" w:lineRule="atLeast"/>
              <w:jc w:val="left"/>
              <w:rPr>
                <w:rFonts w:ascii="宋体" w:eastAsia="宋体" w:hAnsi="宋体" w:cs="宋体"/>
                <w:color w:val="000000"/>
                <w:sz w:val="21"/>
              </w:rPr>
            </w:pP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30天≤N&lt;180天</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0.50%</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p>
        </w:tc>
      </w:tr>
      <w:tr>
        <w:tblPrEx>
          <w:tblW w:w="5000" w:type="pct"/>
          <w:tblCellMar>
            <w:left w:w="108" w:type="dxa"/>
            <w:right w:w="108" w:type="dxa"/>
          </w:tblCellMar>
        </w:tblPrEx>
        <w:tc>
          <w:tcPr>
            <w:tcW w:w="20000" w:type="dxa"/>
            <w:vMerge/>
            <w:shd w:val="clear" w:color="auto" w:fill="FFFFFF"/>
            <w:vAlign w:val="center"/>
          </w:tcPr>
          <w:p w:rsidR="00834E25" w:rsidRPr="00263627" w:rsidP="00BC38BD">
            <w:pPr>
              <w:spacing w:line="240" w:lineRule="atLeast"/>
              <w:jc w:val="left"/>
              <w:rPr>
                <w:rFonts w:ascii="宋体" w:eastAsia="宋体" w:hAnsi="宋体" w:cs="宋体"/>
                <w:color w:val="000000"/>
                <w:sz w:val="21"/>
              </w:rPr>
            </w:pP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N≥180天</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0.00%</w:t>
            </w:r>
          </w:p>
        </w:tc>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p>
        </w:tc>
      </w:tr>
      <w:tr>
        <w:tblPrEx>
          <w:tblW w:w="5000" w:type="pct"/>
          <w:tblCellMar>
            <w:left w:w="108" w:type="dxa"/>
            <w:right w:w="108" w:type="dxa"/>
          </w:tblCellMar>
        </w:tblPrEx>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认购费</w:t>
            </w:r>
          </w:p>
        </w:tc>
        <w:tc>
          <w:tcPr>
            <w:tcW w:w="20000" w:type="dxa"/>
            <w:gridSpan w:val="3"/>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通过直销机构认购本基金A类基金份额的，不收取认购费用。</w:t>
            </w:r>
          </w:p>
        </w:tc>
      </w:tr>
      <w:tr>
        <w:tblPrEx>
          <w:tblW w:w="5000" w:type="pct"/>
          <w:tblCellMar>
            <w:left w:w="108" w:type="dxa"/>
            <w:right w:w="108" w:type="dxa"/>
          </w:tblCellMar>
        </w:tblPrEx>
        <w:tc>
          <w:tcPr>
            <w:tcW w:w="20000" w:type="dxa"/>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申购费</w:t>
            </w:r>
          </w:p>
        </w:tc>
        <w:tc>
          <w:tcPr>
            <w:tcW w:w="20000" w:type="dxa"/>
            <w:gridSpan w:val="3"/>
            <w:shd w:val="clear" w:color="auto" w:fill="FFFFFF"/>
            <w:vAlign w:val="center"/>
          </w:tcPr>
          <w:p w:rsidR="00834E25" w:rsidRPr="00263627" w:rsidP="00BC38BD">
            <w:pPr>
              <w:spacing w:line="240" w:lineRule="atLeast"/>
              <w:jc w:val="left"/>
              <w:rPr>
                <w:rFonts w:ascii="宋体" w:eastAsia="宋体" w:hAnsi="宋体" w:cs="宋体"/>
                <w:color w:val="000000"/>
                <w:sz w:val="21"/>
              </w:rPr>
            </w:pPr>
            <w:r w:rsidRPr="00263627">
              <w:rPr>
                <w:rFonts w:ascii="宋体" w:eastAsia="宋体" w:hAnsi="宋体" w:cs="宋体"/>
                <w:color w:val="000000"/>
                <w:sz w:val="21"/>
              </w:rPr>
              <w:t>通过直销机构申购本基金A类基金份额的，不收取申购费用。</w:t>
            </w:r>
          </w:p>
        </w:tc>
      </w:tr>
    </w:tbl>
    <w:p w:rsidR="00834E25" w:rsidRPr="00263627" w:rsidP="00BC38BD">
      <w:pPr>
        <w:spacing w:line="240" w:lineRule="atLeast"/>
        <w:rPr>
          <w:rFonts w:ascii="宋体" w:eastAsia="宋体" w:hAnsi="宋体"/>
        </w:rPr>
      </w:pPr>
    </w:p>
    <w:p w:rsidR="00263627" w:rsidRPr="00263627" w:rsidP="00BC38BD">
      <w:pPr>
        <w:spacing w:line="240" w:lineRule="atLeast"/>
        <w:rPr>
          <w:rFonts w:ascii="宋体" w:eastAsia="宋体" w:hAnsi="宋体"/>
        </w:rPr>
        <w:sectPr w:rsidSect="006A06BB">
          <w:type w:val="continuous"/>
          <w:pgSz w:w="12240" w:h="15840"/>
          <w:pgMar w:top="1440" w:right="1800" w:bottom="1440" w:left="1800" w:header="720" w:footer="720" w:gutter="0"/>
          <w:cols w:space="720"/>
        </w:sectPr>
      </w:pPr>
    </w:p>
    <w:p w:rsidR="004118E0" w:rsidRPr="004118E0" w:rsidP="004118E0">
      <w:pPr>
        <w:spacing w:line="360" w:lineRule="auto"/>
        <w:rPr>
          <w:rFonts w:ascii="宋体" w:eastAsia="宋体" w:hAnsi="宋体" w:cs="方正仿宋简体"/>
          <w:b/>
          <w:bCs/>
          <w:iCs/>
          <w:szCs w:val="21"/>
        </w:rPr>
      </w:pPr>
      <w:r w:rsidRPr="004118E0">
        <w:rPr>
          <w:rFonts w:ascii="宋体" w:eastAsia="宋体" w:hAnsi="宋体" w:cs="方正仿宋简体" w:hint="eastAsia"/>
          <w:b/>
          <w:bCs/>
          <w:iCs/>
          <w:szCs w:val="21"/>
        </w:rPr>
        <w:t>（二）</w:t>
      </w:r>
      <w:r w:rsidRPr="004118E0">
        <w:rPr>
          <w:rFonts w:ascii="宋体" w:eastAsia="宋体" w:hAnsi="宋体" w:cs="方正仿宋简体"/>
          <w:b/>
          <w:bCs/>
          <w:iCs/>
          <w:szCs w:val="21"/>
        </w:rPr>
        <w:t>基金运作相关费用</w:t>
      </w:r>
    </w:p>
    <w:p w:rsidR="004118E0" w:rsidP="004118E0">
      <w:pPr>
        <w:spacing w:line="360" w:lineRule="auto"/>
        <w:rPr>
          <w:rFonts w:ascii="宋体" w:eastAsia="宋体" w:hAnsi="宋体" w:cs="方正仿宋简体"/>
          <w:iCs/>
          <w:szCs w:val="21"/>
        </w:rPr>
      </w:pPr>
      <w:r w:rsidRPr="004118E0">
        <w:rPr>
          <w:rFonts w:ascii="宋体" w:eastAsia="宋体" w:hAnsi="宋体" w:cs="方正仿宋简体" w:hint="eastAsia"/>
          <w:iCs/>
          <w:szCs w:val="21"/>
        </w:rPr>
        <w:t>以下费用将从基金资产中扣除：</w:t>
      </w:r>
    </w:p>
    <w:p w:rsidR="004118E0" w:rsidRPr="004118E0" w:rsidP="004118E0">
      <w:pPr>
        <w:rPr>
          <w:rFonts w:ascii="宋体" w:eastAsia="宋体" w:hAnsi="宋体" w:cs="方正仿宋简体"/>
          <w:iCs/>
          <w:szCs w:val="21"/>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58"/>
        <w:gridCol w:w="2158"/>
        <w:gridCol w:w="2158"/>
        <w:gridCol w:w="215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0000" w:type="dxa"/>
            <w:shd w:val="clear" w:color="auto" w:fill="D9D9D9"/>
            <w:vAlign w:val="center"/>
          </w:tcPr>
          <w:p w:rsidR="004118E0" w:rsidRPr="004118E0" w:rsidP="004118E0">
            <w:pPr>
              <w:jc w:val="center"/>
              <w:rPr>
                <w:rFonts w:ascii="宋体" w:eastAsia="宋体" w:hAnsi="宋体" w:cs="宋体"/>
                <w:iCs/>
                <w:color w:val="000000"/>
                <w:sz w:val="21"/>
                <w:szCs w:val="21"/>
              </w:rPr>
            </w:pPr>
            <w:r w:rsidRPr="004118E0">
              <w:rPr>
                <w:rFonts w:ascii="宋体" w:eastAsia="宋体" w:hAnsi="宋体" w:cs="宋体"/>
                <w:iCs/>
                <w:color w:val="000000"/>
                <w:sz w:val="21"/>
                <w:szCs w:val="21"/>
              </w:rPr>
              <w:t>费用类别</w:t>
            </w:r>
          </w:p>
        </w:tc>
        <w:tc>
          <w:tcPr>
            <w:tcW w:w="20000" w:type="dxa"/>
            <w:shd w:val="clear" w:color="auto" w:fill="D9D9D9"/>
            <w:vAlign w:val="center"/>
          </w:tcPr>
          <w:p w:rsidR="004118E0" w:rsidRPr="004118E0" w:rsidP="004118E0">
            <w:pPr>
              <w:jc w:val="center"/>
              <w:rPr>
                <w:rFonts w:ascii="宋体" w:eastAsia="宋体" w:hAnsi="宋体" w:cs="宋体"/>
                <w:iCs/>
                <w:color w:val="000000"/>
                <w:sz w:val="21"/>
                <w:szCs w:val="21"/>
              </w:rPr>
            </w:pPr>
            <w:r w:rsidRPr="004118E0">
              <w:rPr>
                <w:rFonts w:ascii="宋体" w:eastAsia="宋体" w:hAnsi="宋体" w:cs="宋体"/>
                <w:iCs/>
                <w:color w:val="000000"/>
                <w:sz w:val="21"/>
                <w:szCs w:val="21"/>
              </w:rPr>
              <w:t>年费率或金额</w:t>
            </w:r>
          </w:p>
        </w:tc>
        <w:tc>
          <w:tcPr>
            <w:tcW w:w="20000" w:type="dxa"/>
            <w:shd w:val="clear" w:color="auto" w:fill="D9D9D9"/>
            <w:vAlign w:val="center"/>
          </w:tcPr>
          <w:p w:rsidR="004118E0" w:rsidRPr="004118E0" w:rsidP="004118E0">
            <w:pPr>
              <w:jc w:val="center"/>
              <w:rPr>
                <w:rFonts w:ascii="宋体" w:eastAsia="宋体" w:hAnsi="宋体" w:cs="宋体"/>
                <w:iCs/>
                <w:color w:val="000000"/>
                <w:sz w:val="21"/>
                <w:szCs w:val="21"/>
              </w:rPr>
            </w:pPr>
            <w:r w:rsidRPr="004118E0">
              <w:rPr>
                <w:rFonts w:ascii="宋体" w:eastAsia="宋体" w:hAnsi="宋体" w:cs="宋体"/>
                <w:iCs/>
                <w:color w:val="000000"/>
                <w:sz w:val="21"/>
                <w:szCs w:val="21"/>
              </w:rPr>
              <w:t>收费方式</w:t>
            </w:r>
          </w:p>
        </w:tc>
        <w:tc>
          <w:tcPr>
            <w:tcW w:w="20000" w:type="dxa"/>
            <w:shd w:val="clear" w:color="auto" w:fill="D9D9D9"/>
            <w:vAlign w:val="center"/>
          </w:tcPr>
          <w:p w:rsidR="004118E0" w:rsidRPr="004118E0" w:rsidP="004118E0">
            <w:pPr>
              <w:jc w:val="center"/>
              <w:rPr>
                <w:rFonts w:ascii="宋体" w:eastAsia="宋体" w:hAnsi="宋体" w:cs="宋体"/>
                <w:iCs/>
                <w:color w:val="000000"/>
                <w:sz w:val="21"/>
                <w:szCs w:val="21"/>
              </w:rPr>
            </w:pPr>
            <w:r w:rsidRPr="004118E0">
              <w:rPr>
                <w:rFonts w:ascii="宋体" w:eastAsia="宋体" w:hAnsi="宋体" w:cs="宋体"/>
                <w:iCs/>
                <w:color w:val="000000"/>
                <w:sz w:val="21"/>
                <w:szCs w:val="21"/>
              </w:rPr>
              <w:t>收取方</w:t>
            </w:r>
          </w:p>
        </w:tc>
      </w:tr>
      <w:tr>
        <w:tblPrEx>
          <w:tblW w:w="5000" w:type="pct"/>
          <w:tblCellMar>
            <w:left w:w="108" w:type="dxa"/>
            <w:right w:w="108" w:type="dxa"/>
          </w:tblCellMar>
        </w:tblPrEx>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管理费</w:t>
            </w:r>
          </w:p>
        </w:tc>
        <w:tc>
          <w:tcPr>
            <w:tcW w:w="20000" w:type="dxa"/>
            <w:shd w:val="clear" w:color="auto" w:fill="FFFFFF"/>
            <w:vAlign w:val="center"/>
          </w:tcPr>
          <w:p w:rsidR="004118E0" w:rsidRPr="004118E0" w:rsidP="004118E0">
            <w:pPr>
              <w:jc w:val="righ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本基金根据每笔基金份额的持有期限与持有期间年化收益率，在赎回（或转出，下同）基金份额或基金合同终止的情形发生时确定该笔基金份额对应的管理费。当投资者赎回基金份额或基金合同终止的情形发生时，持有期限不足一年（即365天，下同），则按1.2%年费率收取管理费；持有期限达到一年及以上，则根据持有期间年化收益率分为以下三种情况，分别确定对应的管理费率档位：若持有期间相对业绩比较基准的年化超额收益率（扣除超额管理费后,超额管理费为0.3%/年，下同）超过6%且持有收益率（扣除超额管理费后）为正，按1.5%年费率确认管理费；若持有期间的年化超额收益率在-3%及以下，按0.6%年费率确认管理费；其他情形按1.2%年费率确认管理费。</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基金管理人、销售机构</w:t>
            </w:r>
          </w:p>
        </w:tc>
      </w:tr>
      <w:tr>
        <w:tblPrEx>
          <w:tblW w:w="5000" w:type="pct"/>
          <w:tblCellMar>
            <w:left w:w="108" w:type="dxa"/>
            <w:right w:w="108" w:type="dxa"/>
          </w:tblCellMar>
        </w:tblPrEx>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托管费</w:t>
            </w:r>
          </w:p>
        </w:tc>
        <w:tc>
          <w:tcPr>
            <w:tcW w:w="20000" w:type="dxa"/>
            <w:shd w:val="clear" w:color="auto" w:fill="FFFFFF"/>
            <w:vAlign w:val="center"/>
          </w:tcPr>
          <w:p w:rsidR="004118E0" w:rsidRPr="004118E0" w:rsidP="004118E0">
            <w:pPr>
              <w:jc w:val="right"/>
              <w:rPr>
                <w:rFonts w:ascii="宋体" w:eastAsia="宋体" w:hAnsi="宋体" w:cs="宋体"/>
                <w:iCs/>
                <w:color w:val="000000"/>
                <w:sz w:val="21"/>
                <w:szCs w:val="21"/>
              </w:rPr>
            </w:pPr>
            <w:r w:rsidRPr="004118E0">
              <w:rPr>
                <w:rFonts w:ascii="宋体" w:eastAsia="宋体" w:hAnsi="宋体" w:cs="宋体"/>
                <w:iCs/>
                <w:color w:val="000000"/>
                <w:sz w:val="21"/>
                <w:szCs w:val="21"/>
              </w:rPr>
              <w:t>0.2%</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基金托管人</w:t>
            </w:r>
          </w:p>
        </w:tc>
      </w:tr>
      <w:tr>
        <w:tblPrEx>
          <w:tblW w:w="5000" w:type="pct"/>
          <w:tblCellMar>
            <w:left w:w="108" w:type="dxa"/>
            <w:right w:w="108" w:type="dxa"/>
          </w:tblCellMar>
        </w:tblPrEx>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销售服务费</w:t>
            </w:r>
          </w:p>
        </w:tc>
        <w:tc>
          <w:tcPr>
            <w:tcW w:w="20000" w:type="dxa"/>
            <w:shd w:val="clear" w:color="auto" w:fill="FFFFFF"/>
            <w:vAlign w:val="center"/>
          </w:tcPr>
          <w:p w:rsidR="004118E0" w:rsidRPr="004118E0" w:rsidP="004118E0">
            <w:pPr>
              <w:jc w:val="righ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销售机构</w:t>
            </w:r>
          </w:p>
        </w:tc>
      </w:tr>
      <w:tr>
        <w:tblPrEx>
          <w:tblW w:w="5000" w:type="pct"/>
          <w:tblCellMar>
            <w:left w:w="108" w:type="dxa"/>
            <w:right w:w="108" w:type="dxa"/>
          </w:tblCellMar>
        </w:tblPrEx>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审计费用</w:t>
            </w:r>
          </w:p>
        </w:tc>
        <w:tc>
          <w:tcPr>
            <w:tcW w:w="20000" w:type="dxa"/>
            <w:shd w:val="clear" w:color="auto" w:fill="FFFFFF"/>
            <w:vAlign w:val="center"/>
          </w:tcPr>
          <w:p w:rsidR="004118E0" w:rsidRPr="004118E0" w:rsidP="004118E0">
            <w:pPr>
              <w:jc w:val="righ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会计师事务所</w:t>
            </w:r>
          </w:p>
        </w:tc>
      </w:tr>
      <w:tr>
        <w:tblPrEx>
          <w:tblW w:w="5000" w:type="pct"/>
          <w:tblCellMar>
            <w:left w:w="108" w:type="dxa"/>
            <w:right w:w="108" w:type="dxa"/>
          </w:tblCellMar>
        </w:tblPrEx>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信息披露费</w:t>
            </w:r>
          </w:p>
        </w:tc>
        <w:tc>
          <w:tcPr>
            <w:tcW w:w="20000" w:type="dxa"/>
            <w:shd w:val="clear" w:color="auto" w:fill="FFFFFF"/>
            <w:vAlign w:val="center"/>
          </w:tcPr>
          <w:p w:rsidR="004118E0" w:rsidRPr="004118E0" w:rsidP="004118E0">
            <w:pPr>
              <w:jc w:val="righ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规定披露报刊</w:t>
            </w:r>
          </w:p>
        </w:tc>
      </w:tr>
      <w:tr>
        <w:tblPrEx>
          <w:tblW w:w="5000" w:type="pct"/>
          <w:tblCellMar>
            <w:left w:w="108" w:type="dxa"/>
            <w:right w:w="108" w:type="dxa"/>
          </w:tblCellMar>
        </w:tblPrEx>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指数许可使用费</w:t>
            </w:r>
          </w:p>
        </w:tc>
        <w:tc>
          <w:tcPr>
            <w:tcW w:w="20000" w:type="dxa"/>
            <w:shd w:val="clear" w:color="auto" w:fill="FFFFFF"/>
            <w:vAlign w:val="center"/>
          </w:tcPr>
          <w:p w:rsidR="004118E0" w:rsidRPr="004118E0" w:rsidP="004118E0">
            <w:pPr>
              <w:jc w:val="righ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指数编制公司</w:t>
            </w:r>
          </w:p>
        </w:tc>
      </w:tr>
      <w:tr>
        <w:tblPrEx>
          <w:tblW w:w="5000" w:type="pct"/>
          <w:tblCellMar>
            <w:left w:w="108" w:type="dxa"/>
            <w:right w:w="108" w:type="dxa"/>
          </w:tblCellMar>
        </w:tblPrEx>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其他费用</w:t>
            </w:r>
          </w:p>
        </w:tc>
        <w:tc>
          <w:tcPr>
            <w:tcW w:w="20000" w:type="dxa"/>
            <w:shd w:val="clear" w:color="auto" w:fill="FFFFFF"/>
            <w:vAlign w:val="center"/>
          </w:tcPr>
          <w:p w:rsidR="004118E0" w:rsidRPr="004118E0" w:rsidP="004118E0">
            <w:pPr>
              <w:jc w:val="right"/>
              <w:rPr>
                <w:rFonts w:ascii="宋体" w:eastAsia="宋体" w:hAnsi="宋体" w:cs="宋体"/>
                <w:iCs/>
                <w:color w:val="000000"/>
                <w:sz w:val="21"/>
                <w:szCs w:val="21"/>
              </w:rPr>
            </w:pPr>
            <w:r w:rsidRPr="004118E0">
              <w:rPr>
                <w:rFonts w:ascii="宋体" w:eastAsia="宋体" w:hAnsi="宋体" w:cs="宋体"/>
                <w:iCs/>
                <w:color w:val="000000"/>
                <w:sz w:val="21"/>
                <w:szCs w:val="21"/>
              </w:rPr>
              <w:t>-</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基金合同》生效后与基金相关的律师费、仲裁费和诉讼费；基金份额持有人大会费用；基金的证券、期货等交易费用；基金的银行汇划费用；基金的账户开户费用、账户维护费用；因投资港股通标的股票而产生的各项合理费用；按照国家有关规定和《基金合同》约定，可以在基金财产中列支的其他费用。</w:t>
            </w:r>
          </w:p>
        </w:tc>
        <w:tc>
          <w:tcPr>
            <w:tcW w:w="20000" w:type="dxa"/>
            <w:shd w:val="clear" w:color="auto" w:fill="FFFFFF"/>
            <w:vAlign w:val="center"/>
          </w:tcPr>
          <w:p w:rsidR="004118E0" w:rsidRPr="004118E0" w:rsidP="004118E0">
            <w:pPr>
              <w:jc w:val="left"/>
              <w:rPr>
                <w:rFonts w:ascii="宋体" w:eastAsia="宋体" w:hAnsi="宋体" w:cs="宋体"/>
                <w:iCs/>
                <w:color w:val="000000"/>
                <w:sz w:val="21"/>
                <w:szCs w:val="21"/>
              </w:rPr>
            </w:pPr>
            <w:r w:rsidRPr="004118E0">
              <w:rPr>
                <w:rFonts w:ascii="宋体" w:eastAsia="宋体" w:hAnsi="宋体" w:cs="宋体"/>
                <w:iCs/>
                <w:color w:val="000000"/>
                <w:sz w:val="21"/>
                <w:szCs w:val="21"/>
              </w:rPr>
              <w:t>-</w:t>
            </w:r>
          </w:p>
        </w:tc>
      </w:tr>
    </w:tbl>
    <w:p w:rsidR="004118E0" w:rsidRPr="004118E0" w:rsidP="004118E0">
      <w:pPr>
        <w:rPr>
          <w:rFonts w:ascii="宋体" w:eastAsia="宋体" w:hAnsi="宋体" w:cs="方正仿宋简体"/>
          <w:iCs/>
          <w:szCs w:val="21"/>
        </w:rPr>
      </w:pPr>
    </w:p>
    <w:p w:rsidR="00834E25" w:rsidRPr="004118E0">
      <w:pPr>
        <w:rPr>
          <w:rFonts w:ascii="宋体" w:eastAsia="宋体" w:hAnsi="宋体" w:cs="方正仿宋简体"/>
          <w:iCs/>
          <w:szCs w:val="21"/>
        </w:rPr>
        <w:sectPr w:rsidSect="00580B2D">
          <w:type w:val="continuous"/>
          <w:pgSz w:w="12240" w:h="15840"/>
          <w:pgMar w:top="1440" w:right="1800" w:bottom="1440" w:left="1800" w:header="720" w:footer="720" w:gutter="0"/>
          <w:cols w:space="720"/>
        </w:sectPr>
      </w:pPr>
      <w:r w:rsidRPr="004118E0">
        <w:rPr>
          <w:rFonts w:ascii="宋体" w:eastAsia="宋体" w:hAnsi="宋体" w:cs="方正仿宋简体"/>
          <w:iCs/>
          <w:szCs w:val="21"/>
        </w:rPr>
        <w:t>注：本基金费用的计算方法和支付方式详见本基金的《招募说明书》。本基金交易证券、基金等产生的费用和税负，按实际发生额从基金资产扣除。本基金运作相关费用年金额为基金整体承担费用，非单个份额类别费用，且年金额为预估值，最终实际金额以基金定期报告披露为准。</w:t>
      </w:r>
    </w:p>
    <w:p w:rsidR="00834E25" w:rsidRPr="00C2264A" w:rsidP="00C2264A">
      <w:pPr>
        <w:spacing w:line="360" w:lineRule="auto"/>
        <w:rPr>
          <w:rFonts w:ascii="宋体" w:eastAsia="宋体" w:hAnsi="宋体" w:cs="方正仿宋简体"/>
          <w:b/>
          <w:bCs/>
          <w:iCs/>
          <w:szCs w:val="21"/>
        </w:rPr>
        <w:sectPr w:rsidSect="000666D8">
          <w:type w:val="continuous"/>
          <w:pgSz w:w="12240" w:h="15840"/>
          <w:pgMar w:top="1440" w:right="1800" w:bottom="1440" w:left="1800" w:header="720" w:footer="720" w:gutter="0"/>
          <w:cols w:space="720"/>
        </w:sectPr>
      </w:pPr>
      <w:r w:rsidRPr="00C2264A">
        <w:rPr>
          <w:rFonts w:ascii="宋体" w:eastAsia="宋体" w:hAnsi="宋体" w:cs="方正仿宋简体" w:hint="eastAsia"/>
          <w:b/>
          <w:bCs/>
          <w:iCs/>
          <w:szCs w:val="21"/>
        </w:rPr>
        <w:t>四、</w:t>
      </w:r>
      <w:r w:rsidRPr="00C2264A">
        <w:rPr>
          <w:rFonts w:ascii="宋体" w:eastAsia="宋体" w:hAnsi="宋体" w:cs="方正仿宋简体"/>
          <w:b/>
          <w:bCs/>
          <w:iCs/>
          <w:szCs w:val="21"/>
        </w:rPr>
        <w:t>风险揭示与重要提示</w:t>
      </w:r>
    </w:p>
    <w:p w:rsidR="008C558C" w:rsidRPr="008C558C" w:rsidP="008C558C">
      <w:pPr>
        <w:spacing w:line="360" w:lineRule="auto"/>
        <w:rPr>
          <w:rFonts w:ascii="宋体" w:eastAsia="宋体" w:hAnsi="宋体" w:cs="方正仿宋简体"/>
          <w:b/>
          <w:bCs/>
          <w:iCs/>
          <w:szCs w:val="21"/>
        </w:rPr>
      </w:pPr>
      <w:r w:rsidRPr="008C558C">
        <w:rPr>
          <w:rFonts w:ascii="宋体" w:eastAsia="宋体" w:hAnsi="宋体" w:cs="方正仿宋简体" w:hint="eastAsia"/>
          <w:b/>
          <w:bCs/>
          <w:iCs/>
          <w:szCs w:val="21"/>
        </w:rPr>
        <w:t>（一）</w:t>
      </w:r>
      <w:r w:rsidRPr="008C558C">
        <w:rPr>
          <w:rFonts w:ascii="宋体" w:eastAsia="宋体" w:hAnsi="宋体" w:cs="方正仿宋简体"/>
          <w:b/>
          <w:bCs/>
          <w:iCs/>
          <w:szCs w:val="21"/>
        </w:rPr>
        <w:t>风险揭示</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本基金不提供任何保证。投资者可能损失本金。投资有风险，投资者购买基金时应认真阅读本基金的《招募说明书》等销售文件。</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本基金的风险包括市场风险、管理风险、流动性风险、特有风险、税负增加风险、操作或技术风险、合规性风险、本基金法律文件风险收益特征表述与销售机构基金风险评价可能不一致的风险、其他风险。其中特有风险包括：</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1、港股通标的股票投资风险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2、国债期货投资风险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3、股指期货投资风险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4、股票期权投资风险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5、资产支持证券投资风险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6、参与融资交易风险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7、流通受限证券投资风险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8、存托凭证投资风险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9、启用侧袋机制的风险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10、销售服务费计提与返还机制的相关风险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11、浮动管理费模式相关风险</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1）本基金的管理费由固定管理费、或有管理费和超额管理费组成，其中或有管理费和超额管理费取决于基金份额持有人每笔认/申购份额的持有时间和年化收益率与同期业绩比较基准年化收益率的情况，因此投资者在认/申购本基金时无法预先确定该笔基金份额适用的管理费水平。</w:t>
      </w:r>
    </w:p>
    <w:p w:rsidR="00834E25" w:rsidRPr="008C558C" w:rsidP="008C558C">
      <w:pPr>
        <w:spacing w:line="360" w:lineRule="auto"/>
        <w:ind w:firstLine="420" w:firstLineChars="200"/>
        <w:rPr>
          <w:rFonts w:ascii="宋体" w:eastAsia="宋体" w:hAnsi="宋体" w:cs="方正仿宋简体"/>
          <w:iCs/>
          <w:szCs w:val="21"/>
        </w:rPr>
      </w:pPr>
      <w:r w:rsidRPr="008C558C">
        <w:rPr>
          <w:rFonts w:ascii="宋体" w:eastAsia="宋体" w:hAnsi="宋体" w:cs="方正仿宋简体"/>
          <w:iCs/>
          <w:szCs w:val="21"/>
        </w:rPr>
        <w:t>（2）由于本基金在计算基金份额净值时，按前一日基金资产净值的1.2%年费率计算管理费，该费率可能高于或低于不同投资者最终适用的管理费率。在基金份额赎回或基金合同终止的情形发生时，基金投资者实际收到的赎回款项或清算款项的金额可能与按披露的基金份额净值计算的结果存在差异。投资者的实际赎回金额和清算资金以登记机构确认数据为准。</w:t>
      </w:r>
    </w:p>
    <w:p w:rsidR="00834E25" w:rsidRPr="008C558C" w:rsidP="008C558C">
      <w:pPr>
        <w:spacing w:line="360" w:lineRule="auto"/>
        <w:ind w:firstLine="420" w:firstLineChars="200"/>
        <w:rPr>
          <w:rFonts w:ascii="宋体" w:eastAsia="宋体" w:hAnsi="宋体" w:cs="方正仿宋简体"/>
          <w:iCs/>
          <w:szCs w:val="21"/>
        </w:rPr>
        <w:sectPr w:rsidSect="00730C3D">
          <w:type w:val="continuous"/>
          <w:pgSz w:w="12240" w:h="15840"/>
          <w:pgMar w:top="1440" w:right="1800" w:bottom="1440" w:left="1800" w:header="720" w:footer="720" w:gutter="0"/>
          <w:cols w:space="720"/>
        </w:sectPr>
      </w:pPr>
      <w:r w:rsidRPr="008C558C">
        <w:rPr>
          <w:rFonts w:ascii="宋体" w:eastAsia="宋体" w:hAnsi="宋体" w:cs="方正仿宋简体"/>
          <w:iCs/>
          <w:szCs w:val="21"/>
        </w:rPr>
        <w:t>（3）本基金采用浮动管理费的收费模式，不代表基金管理人对基金收益的保证。</w:t>
      </w:r>
    </w:p>
    <w:p w:rsidR="005468DA" w:rsidRPr="005468DA" w:rsidP="005468DA">
      <w:pPr>
        <w:spacing w:line="360" w:lineRule="auto"/>
        <w:rPr>
          <w:rFonts w:ascii="宋体" w:eastAsia="宋体" w:hAnsi="宋体" w:cs="方正仿宋简体"/>
          <w:b/>
          <w:bCs/>
          <w:iCs/>
          <w:szCs w:val="21"/>
        </w:rPr>
      </w:pPr>
      <w:r w:rsidRPr="005468DA">
        <w:rPr>
          <w:rFonts w:ascii="宋体" w:eastAsia="宋体" w:hAnsi="宋体" w:cs="方正仿宋简体" w:hint="eastAsia"/>
          <w:b/>
          <w:bCs/>
          <w:iCs/>
          <w:szCs w:val="21"/>
        </w:rPr>
        <w:t>（二）</w:t>
      </w:r>
      <w:r w:rsidRPr="005468DA">
        <w:rPr>
          <w:rFonts w:ascii="宋体" w:eastAsia="宋体" w:hAnsi="宋体" w:cs="方正仿宋简体"/>
          <w:b/>
          <w:bCs/>
          <w:iCs/>
          <w:szCs w:val="21"/>
        </w:rPr>
        <w:t>重要提示</w:t>
      </w:r>
    </w:p>
    <w:p w:rsidR="00727A53" w:rsidRPr="001E2FEA" w:rsidP="00C50D7E">
      <w:pPr>
        <w:spacing w:line="360" w:lineRule="auto"/>
        <w:ind w:firstLine="420" w:firstLineChars="200"/>
        <w:jc w:val="left"/>
        <w:rPr>
          <w:rFonts w:ascii="宋体" w:eastAsia="宋体" w:hAnsi="宋体" w:cs="方正仿宋简体"/>
          <w:iCs/>
          <w:szCs w:val="21"/>
        </w:rPr>
      </w:pPr>
      <w:r w:rsidRPr="001E2FEA">
        <w:rPr>
          <w:rFonts w:ascii="宋体" w:eastAsia="宋体" w:hAnsi="宋体" w:cs="方正仿宋简体"/>
          <w:iCs/>
          <w:szCs w:val="21"/>
        </w:rPr>
        <w:t>中国证监会对本基金募集的注册，并不表明其对本基金的价值和收益作出实质性判断或保证，也不表明投资于本基金没有风险。</w:t>
      </w:r>
    </w:p>
    <w:p w:rsidRPr="001E2FEA" w:rsidP="00C50D7E">
      <w:pPr>
        <w:spacing w:line="360" w:lineRule="auto"/>
        <w:ind w:firstLine="420" w:firstLineChars="200"/>
        <w:jc w:val="left"/>
        <w:rPr>
          <w:rFonts w:ascii="宋体" w:eastAsia="宋体" w:hAnsi="宋体" w:cs="方正仿宋简体"/>
          <w:iCs/>
          <w:szCs w:val="21"/>
        </w:rPr>
      </w:pPr>
      <w:r w:rsidRPr="001E2FEA">
        <w:rPr>
          <w:rFonts w:ascii="宋体" w:eastAsia="宋体" w:hAnsi="宋体" w:cs="方正仿宋简体"/>
          <w:iCs/>
          <w:szCs w:val="21"/>
        </w:rPr>
        <w:t>基金管理人依照恪尽职守、诚实信用、谨慎勤勉的原则管理和运用基金财产，但不保证基金一定盈利，也不保证最低收益。</w:t>
      </w:r>
    </w:p>
    <w:p w:rsidRPr="001E2FEA" w:rsidP="00C50D7E">
      <w:pPr>
        <w:spacing w:line="360" w:lineRule="auto"/>
        <w:ind w:firstLine="420" w:firstLineChars="200"/>
        <w:jc w:val="left"/>
        <w:rPr>
          <w:rFonts w:ascii="宋体" w:eastAsia="宋体" w:hAnsi="宋体" w:cs="方正仿宋简体"/>
          <w:iCs/>
          <w:szCs w:val="21"/>
        </w:rPr>
      </w:pPr>
      <w:r w:rsidRPr="001E2FEA">
        <w:rPr>
          <w:rFonts w:ascii="宋体" w:eastAsia="宋体" w:hAnsi="宋体" w:cs="方正仿宋简体"/>
          <w:iCs/>
          <w:szCs w:val="21"/>
        </w:rPr>
        <w:t>基金投资者自依基金合同取得基金份额，即成为基金份额持有人和基金合同的当事人。</w:t>
      </w:r>
    </w:p>
    <w:p w:rsidRPr="001E2FEA" w:rsidP="00C50D7E">
      <w:pPr>
        <w:spacing w:line="360" w:lineRule="auto"/>
        <w:ind w:firstLine="420" w:firstLineChars="200"/>
        <w:jc w:val="left"/>
        <w:rPr>
          <w:rFonts w:ascii="宋体" w:eastAsia="宋体" w:hAnsi="宋体" w:cs="方正仿宋简体"/>
          <w:iCs/>
          <w:szCs w:val="21"/>
        </w:rPr>
      </w:pPr>
      <w:r w:rsidRPr="001E2FEA">
        <w:rPr>
          <w:rFonts w:ascii="宋体" w:eastAsia="宋体" w:hAnsi="宋体" w:cs="方正仿宋简体"/>
          <w:iCs/>
          <w:szCs w:val="21"/>
        </w:rPr>
        <w:t>本基金的争议解决处理方式为仲裁。具体仲裁机构和仲裁地点详见基金合同的具体约定。</w:t>
      </w:r>
    </w:p>
    <w:p w:rsidRPr="001E2FEA" w:rsidP="00C50D7E">
      <w:pPr>
        <w:spacing w:line="360" w:lineRule="auto"/>
        <w:ind w:firstLine="420" w:firstLineChars="200"/>
        <w:jc w:val="left"/>
        <w:rPr>
          <w:rFonts w:ascii="宋体" w:eastAsia="宋体" w:hAnsi="宋体" w:cs="方正仿宋简体"/>
          <w:iCs/>
          <w:szCs w:val="21"/>
        </w:rPr>
        <w:sectPr w:rsidSect="005F782C">
          <w:type w:val="continuous"/>
          <w:pgSz w:w="12240" w:h="15840"/>
          <w:pgMar w:top="1440" w:right="1800" w:bottom="1440" w:left="1800" w:header="720" w:footer="720" w:gutter="0"/>
          <w:cols w:space="720"/>
        </w:sectPr>
      </w:pPr>
      <w:r w:rsidRPr="001E2FEA">
        <w:rPr>
          <w:rFonts w:ascii="宋体" w:eastAsia="宋体" w:hAnsi="宋体" w:cs="方正仿宋简体"/>
          <w:iCs/>
          <w:szCs w:val="21"/>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rsidR="00575F21" w:rsidRPr="00575F21" w:rsidP="00575F21">
      <w:pPr>
        <w:spacing w:line="360" w:lineRule="auto"/>
        <w:rPr>
          <w:rFonts w:ascii="宋体" w:eastAsia="宋体" w:hAnsi="宋体" w:cs="方正仿宋简体"/>
          <w:b/>
          <w:bCs/>
          <w:iCs/>
          <w:szCs w:val="21"/>
        </w:rPr>
      </w:pPr>
      <w:r w:rsidRPr="00575F21">
        <w:rPr>
          <w:rFonts w:ascii="宋体" w:eastAsia="宋体" w:hAnsi="宋体" w:cs="方正仿宋简体" w:hint="eastAsia"/>
          <w:b/>
          <w:bCs/>
          <w:iCs/>
          <w:szCs w:val="21"/>
        </w:rPr>
        <w:t>五、</w:t>
      </w:r>
      <w:r w:rsidRPr="00575F21">
        <w:rPr>
          <w:rFonts w:ascii="宋体" w:eastAsia="宋体" w:hAnsi="宋体" w:cs="方正仿宋简体"/>
          <w:b/>
          <w:bCs/>
          <w:iCs/>
          <w:szCs w:val="21"/>
        </w:rPr>
        <w:t>其他资料查询方式</w:t>
      </w:r>
    </w:p>
    <w:p w:rsidR="00834E25" w:rsidRPr="00575F21" w:rsidP="00575F21">
      <w:pPr>
        <w:spacing w:line="360" w:lineRule="auto"/>
        <w:ind w:firstLine="420" w:firstLineChars="200"/>
        <w:rPr>
          <w:rFonts w:ascii="宋体" w:eastAsia="宋体" w:hAnsi="宋体" w:cs="方正仿宋简体"/>
          <w:iCs/>
          <w:szCs w:val="21"/>
        </w:rPr>
      </w:pPr>
      <w:r w:rsidRPr="00575F21">
        <w:rPr>
          <w:rFonts w:ascii="宋体" w:eastAsia="宋体" w:hAnsi="宋体" w:cs="方正仿宋简体"/>
          <w:iCs/>
          <w:szCs w:val="21"/>
        </w:rPr>
        <w:t>以下资料详见基金管理人网站：www.99fund.com、电话：400-888-9918</w:t>
      </w:r>
    </w:p>
    <w:p w:rsidR="00834E25" w:rsidRPr="00575F21" w:rsidP="00575F21">
      <w:pPr>
        <w:spacing w:line="360" w:lineRule="auto"/>
        <w:ind w:firstLine="420" w:firstLineChars="200"/>
        <w:rPr>
          <w:rFonts w:ascii="宋体" w:eastAsia="宋体" w:hAnsi="宋体" w:cs="方正仿宋简体"/>
          <w:iCs/>
          <w:szCs w:val="21"/>
        </w:rPr>
      </w:pPr>
      <w:r w:rsidRPr="00575F21">
        <w:rPr>
          <w:rFonts w:ascii="宋体" w:eastAsia="宋体" w:hAnsi="宋体" w:cs="方正仿宋简体"/>
          <w:iCs/>
          <w:szCs w:val="21"/>
        </w:rPr>
        <w:t>1. 基金合同、托管协议、招募说明书</w:t>
      </w:r>
    </w:p>
    <w:p w:rsidR="00834E25" w:rsidRPr="00575F21" w:rsidP="00575F21">
      <w:pPr>
        <w:spacing w:line="360" w:lineRule="auto"/>
        <w:ind w:firstLine="420" w:firstLineChars="200"/>
        <w:rPr>
          <w:rFonts w:ascii="宋体" w:eastAsia="宋体" w:hAnsi="宋体" w:cs="方正仿宋简体"/>
          <w:iCs/>
          <w:szCs w:val="21"/>
        </w:rPr>
      </w:pPr>
      <w:r w:rsidRPr="00575F21">
        <w:rPr>
          <w:rFonts w:ascii="宋体" w:eastAsia="宋体" w:hAnsi="宋体" w:cs="方正仿宋简体"/>
          <w:iCs/>
          <w:szCs w:val="21"/>
        </w:rPr>
        <w:t>2. 定期报告，包括基金季度报告、中期报告和年度报告</w:t>
      </w:r>
    </w:p>
    <w:p w:rsidR="00834E25" w:rsidRPr="00575F21" w:rsidP="00575F21">
      <w:pPr>
        <w:spacing w:line="360" w:lineRule="auto"/>
        <w:ind w:firstLine="420" w:firstLineChars="200"/>
        <w:rPr>
          <w:rFonts w:ascii="宋体" w:eastAsia="宋体" w:hAnsi="宋体" w:cs="方正仿宋简体"/>
          <w:iCs/>
          <w:szCs w:val="21"/>
        </w:rPr>
      </w:pPr>
      <w:r w:rsidRPr="00575F21">
        <w:rPr>
          <w:rFonts w:ascii="宋体" w:eastAsia="宋体" w:hAnsi="宋体" w:cs="方正仿宋简体"/>
          <w:iCs/>
          <w:szCs w:val="21"/>
        </w:rPr>
        <w:t>3. 基金份额净值</w:t>
      </w:r>
    </w:p>
    <w:p w:rsidR="00834E25" w:rsidRPr="00575F21" w:rsidP="00575F21">
      <w:pPr>
        <w:spacing w:line="360" w:lineRule="auto"/>
        <w:ind w:firstLine="420" w:firstLineChars="200"/>
        <w:rPr>
          <w:rFonts w:ascii="宋体" w:eastAsia="宋体" w:hAnsi="宋体" w:cs="方正仿宋简体"/>
          <w:iCs/>
          <w:szCs w:val="21"/>
        </w:rPr>
      </w:pPr>
      <w:r w:rsidRPr="00575F21">
        <w:rPr>
          <w:rFonts w:ascii="宋体" w:eastAsia="宋体" w:hAnsi="宋体" w:cs="方正仿宋简体"/>
          <w:iCs/>
          <w:szCs w:val="21"/>
        </w:rPr>
        <w:t>4. 基金销售机构及联系方式</w:t>
      </w:r>
    </w:p>
    <w:p w:rsidR="00834E25" w:rsidRPr="00575F21" w:rsidP="00575F21">
      <w:pPr>
        <w:spacing w:line="360" w:lineRule="auto"/>
        <w:ind w:firstLine="420" w:firstLineChars="200"/>
        <w:rPr>
          <w:rFonts w:ascii="宋体" w:eastAsia="宋体" w:hAnsi="宋体" w:cs="方正仿宋简体"/>
          <w:iCs/>
          <w:szCs w:val="21"/>
        </w:rPr>
        <w:sectPr w:rsidSect="0097619B">
          <w:type w:val="continuous"/>
          <w:pgSz w:w="12240" w:h="15840"/>
          <w:pgMar w:top="1440" w:right="1800" w:bottom="1440" w:left="1800" w:header="720" w:footer="720" w:gutter="0"/>
          <w:cols w:space="720"/>
        </w:sectPr>
      </w:pPr>
      <w:r w:rsidRPr="00575F21">
        <w:rPr>
          <w:rFonts w:ascii="宋体" w:eastAsia="宋体" w:hAnsi="宋体" w:cs="方正仿宋简体"/>
          <w:iCs/>
          <w:szCs w:val="21"/>
        </w:rPr>
        <w:t>5. 其他重要资料</w:t>
      </w:r>
    </w:p>
    <w:p w:rsidR="00834E25" w:rsidP="00C723AC">
      <w:pPr>
        <w:spacing w:line="360" w:lineRule="auto"/>
        <w:rPr>
          <w:rFonts w:ascii="宋体" w:eastAsia="宋体" w:hAnsi="宋体" w:cs="方正仿宋简体"/>
          <w:b/>
          <w:bCs/>
          <w:iCs/>
          <w:szCs w:val="21"/>
        </w:rPr>
      </w:pPr>
      <w:r>
        <w:rPr>
          <w:rFonts w:ascii="宋体" w:eastAsia="宋体" w:hAnsi="宋体" w:cs="方正仿宋简体" w:hint="eastAsia"/>
          <w:b/>
          <w:bCs/>
          <w:iCs/>
          <w:szCs w:val="21"/>
        </w:rPr>
        <w:t>六</w:t>
      </w:r>
      <w:r w:rsidRPr="00575F21" w:rsidR="00575F21">
        <w:rPr>
          <w:rFonts w:ascii="宋体" w:eastAsia="宋体" w:hAnsi="宋体" w:cs="方正仿宋简体" w:hint="eastAsia"/>
          <w:b/>
          <w:bCs/>
          <w:iCs/>
          <w:szCs w:val="21"/>
        </w:rPr>
        <w:t>、</w:t>
      </w:r>
      <w:r>
        <w:rPr>
          <w:rFonts w:ascii="宋体" w:eastAsia="宋体" w:hAnsi="宋体" w:cs="方正仿宋简体"/>
          <w:b/>
          <w:bCs/>
          <w:iCs/>
          <w:szCs w:val="21"/>
        </w:rPr>
        <w:t>其他情况说明</w:t>
      </w:r>
    </w:p>
    <w:p w:rsidR="00C723AC" w:rsidRPr="00C723AC" w:rsidP="00C723AC">
      <w:pPr>
        <w:spacing w:line="360" w:lineRule="auto"/>
        <w:ind w:firstLine="420" w:firstLineChars="200"/>
        <w:rPr>
          <w:rFonts w:ascii="宋体" w:eastAsia="宋体" w:hAnsi="宋体" w:cs="方正仿宋简体"/>
          <w:iCs/>
          <w:szCs w:val="21"/>
        </w:rPr>
      </w:pPr>
      <w:r w:rsidRPr="00C723AC">
        <w:rPr>
          <w:rFonts w:ascii="宋体" w:eastAsia="宋体" w:hAnsi="宋体" w:cs="方正仿宋简体"/>
          <w:iCs/>
          <w:szCs w:val="21"/>
        </w:rPr>
        <w:t>无</w:t>
      </w:r>
    </w:p>
    <w:sectPr w:rsidSect="0097619B">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简体">
    <w:altName w:val="微软雅黑"/>
    <w:panose1 w:val="00000000000000000000"/>
    <w:charset w:val="86"/>
    <w:family w:val="auto"/>
    <w:notTrueType/>
    <w:pitch w:val="default"/>
    <w:sig w:usb0="00000001" w:usb1="080E0000" w:usb2="00000010" w:usb3="00000000" w:csb0="00040000" w:csb1="00000000"/>
  </w:font>
  <w:font w:name="方正仿宋简体">
    <w:altName w:val="微软雅黑"/>
    <w:panose1 w:val="00000000000000000000"/>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1C76CB"/>
    <w:multiLevelType w:val="hybridMultilevel"/>
    <w:tmpl w:val="3AA41978"/>
    <w:lvl w:ilvl="0">
      <w:start w:val="1"/>
      <w:numFmt w:val="japaneseCounting"/>
      <w:lvlText w:val="%1、"/>
      <w:lvlJc w:val="left"/>
      <w:pPr>
        <w:ind w:left="450" w:hanging="45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revisionView w:comments="1" w:formatting="1" w:inkAnnotations="1" w:insDel="1"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9BE"/>
    <w:rsid w:val="00025EAC"/>
    <w:rsid w:val="00036BDF"/>
    <w:rsid w:val="00124F47"/>
    <w:rsid w:val="001E2FEA"/>
    <w:rsid w:val="002066FC"/>
    <w:rsid w:val="00213261"/>
    <w:rsid w:val="00233040"/>
    <w:rsid w:val="00263627"/>
    <w:rsid w:val="002948F0"/>
    <w:rsid w:val="00331AA2"/>
    <w:rsid w:val="00340931"/>
    <w:rsid w:val="003E0F5A"/>
    <w:rsid w:val="004051D1"/>
    <w:rsid w:val="004118E0"/>
    <w:rsid w:val="0043717A"/>
    <w:rsid w:val="00486D7F"/>
    <w:rsid w:val="004F0A6C"/>
    <w:rsid w:val="0051145B"/>
    <w:rsid w:val="005468DA"/>
    <w:rsid w:val="00575F21"/>
    <w:rsid w:val="006E61A9"/>
    <w:rsid w:val="006F6BAE"/>
    <w:rsid w:val="00724EC9"/>
    <w:rsid w:val="00727A53"/>
    <w:rsid w:val="007371E2"/>
    <w:rsid w:val="0074720D"/>
    <w:rsid w:val="00834E25"/>
    <w:rsid w:val="00837612"/>
    <w:rsid w:val="008466B3"/>
    <w:rsid w:val="008A0B11"/>
    <w:rsid w:val="008C558C"/>
    <w:rsid w:val="008C59BE"/>
    <w:rsid w:val="009E1D5A"/>
    <w:rsid w:val="00AF19F0"/>
    <w:rsid w:val="00B4654F"/>
    <w:rsid w:val="00BC38BD"/>
    <w:rsid w:val="00C2264A"/>
    <w:rsid w:val="00C50D7E"/>
    <w:rsid w:val="00C723AC"/>
    <w:rsid w:val="00D32707"/>
    <w:rsid w:val="00D775F8"/>
    <w:rsid w:val="00DA3E8D"/>
    <w:rsid w:val="00DF6E25"/>
    <w:rsid w:val="00E01551"/>
    <w:rsid w:val="00E2656A"/>
    <w:rsid w:val="00EA2C49"/>
    <w:rsid w:val="00EB4244"/>
    <w:rsid w:val="00F66C8F"/>
  </w:rsids>
  <w:docVars>
    <w:docVar w:name="KGWebUrl" w:val="http://www.htfreportsit.com/RepTemplateManager//OfficeServer.aspx"/>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10106679-B46B-4B58-9AB5-D7054B881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261"/>
    <w:pPr>
      <w:ind w:firstLine="420" w:firstLineChars="20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20</Words>
  <Characters>116</Characters>
  <Application>Microsoft Office Word</Application>
  <DocSecurity>0</DocSecurity>
  <Lines>1</Lines>
  <Paragraphs>1</Paragraphs>
  <ScaleCrop>false</ScaleCrop>
  <Company/>
  <LinksUpToDate>false</LinksUpToDate>
  <CharactersWithSpaces>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演示人</dc:creator>
  <cp:lastModifiedBy>66.67</cp:lastModifiedBy>
  <cp:revision>2</cp:revision>
  <dcterms:created xsi:type="dcterms:W3CDTF">2020-08-14T05:50:00Z</dcterms:created>
  <dcterms:modified xsi:type="dcterms:W3CDTF">2020-08-14T05:50:00Z</dcterms:modified>
</cp:coreProperties>
</file>