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2.0 -->
  <w:body>
    <w:p w:rsidR="009F340D" w:rsidRPr="00A936B7" w14:paraId="7485CE35" w14:textId="77777777">
      <w:pPr>
        <w:snapToGrid w:val="0"/>
        <w:spacing w:line="360" w:lineRule="auto"/>
        <w:jc w:val="left"/>
        <w:rPr>
          <w:rFonts w:asciiTheme="minorEastAsia" w:eastAsiaTheme="minorEastAsia" w:hAnsiTheme="minorEastAsia" w:cs="宋体" w:hint="eastAsia"/>
          <w:szCs w:val="21"/>
        </w:rPr>
      </w:pPr>
    </w:p>
    <w:p w:rsidR="009F340D" w:rsidRPr="00A936B7" w14:paraId="4C44B1CD" w14:textId="77777777">
      <w:pPr>
        <w:tabs>
          <w:tab w:val="left" w:pos="1890"/>
        </w:tabs>
        <w:rPr>
          <w:rFonts w:asciiTheme="minorEastAsia" w:eastAsiaTheme="minorEastAsia" w:hAnsiTheme="minorEastAsia" w:cs="宋体" w:hint="eastAsia"/>
          <w:i/>
          <w:iCs/>
          <w:sz w:val="28"/>
          <w:szCs w:val="28"/>
        </w:rPr>
      </w:pPr>
    </w:p>
    <w:p w:rsidR="009F340D" w:rsidRPr="00A936B7" w14:paraId="0265EAB4" w14:textId="77777777">
      <w:pPr>
        <w:spacing w:line="360" w:lineRule="auto"/>
        <w:ind w:firstLine="881"/>
        <w:jc w:val="center"/>
        <w:rPr>
          <w:rFonts w:asciiTheme="minorEastAsia" w:eastAsiaTheme="minorEastAsia" w:hAnsiTheme="minorEastAsia" w:cs="宋体" w:hint="eastAsia"/>
          <w:b/>
          <w:sz w:val="44"/>
        </w:rPr>
      </w:pPr>
    </w:p>
    <w:p w:rsidR="009F340D" w:rsidRPr="00A936B7" w14:paraId="1AE9BE14" w14:textId="77777777">
      <w:pPr>
        <w:spacing w:line="360" w:lineRule="auto"/>
        <w:ind w:firstLine="881"/>
        <w:jc w:val="center"/>
        <w:rPr>
          <w:rFonts w:asciiTheme="minorEastAsia" w:eastAsiaTheme="minorEastAsia" w:hAnsiTheme="minorEastAsia" w:cs="宋体" w:hint="eastAsia"/>
          <w:b/>
          <w:sz w:val="44"/>
        </w:rPr>
      </w:pPr>
    </w:p>
    <w:p w:rsidR="009F340D" w:rsidRPr="00A936B7" w14:paraId="142DD213" w14:textId="77777777">
      <w:pPr>
        <w:spacing w:line="360" w:lineRule="auto"/>
        <w:ind w:firstLine="881"/>
        <w:jc w:val="center"/>
        <w:rPr>
          <w:rFonts w:asciiTheme="minorEastAsia" w:eastAsiaTheme="minorEastAsia" w:hAnsiTheme="minorEastAsia" w:cs="宋体" w:hint="eastAsia"/>
          <w:b/>
          <w:sz w:val="44"/>
        </w:rPr>
      </w:pPr>
    </w:p>
    <w:p w:rsidR="009F340D" w:rsidRPr="00A936B7" w14:paraId="3CE0CDFD" w14:textId="77777777">
      <w:pPr>
        <w:spacing w:line="360" w:lineRule="auto"/>
        <w:ind w:firstLine="881"/>
        <w:jc w:val="center"/>
        <w:rPr>
          <w:rFonts w:asciiTheme="minorEastAsia" w:eastAsiaTheme="minorEastAsia" w:hAnsiTheme="minorEastAsia" w:cs="宋体" w:hint="eastAsia"/>
          <w:b/>
          <w:sz w:val="44"/>
        </w:rPr>
      </w:pPr>
    </w:p>
    <w:p w:rsidR="009F340D" w:rsidRPr="00A936B7" w14:paraId="174B2766" w14:textId="77777777">
      <w:pPr>
        <w:spacing w:line="360" w:lineRule="auto"/>
        <w:ind w:hanging="141"/>
        <w:jc w:val="center"/>
        <w:rPr>
          <w:rFonts w:asciiTheme="minorEastAsia" w:eastAsiaTheme="minorEastAsia" w:hAnsiTheme="minorEastAsia" w:cs="宋体" w:hint="eastAsia"/>
          <w:b/>
          <w:sz w:val="44"/>
          <w:lang w:eastAsia="zh-CN"/>
        </w:rPr>
      </w:pPr>
      <w:r w:rsidRPr="00A936B7">
        <w:rPr>
          <w:rFonts w:asciiTheme="minorEastAsia" w:eastAsiaTheme="minorEastAsia" w:hAnsiTheme="minorEastAsia" w:cs="宋体" w:hint="eastAsia"/>
          <w:b/>
          <w:sz w:val="44"/>
          <w:szCs w:val="44"/>
          <w:lang w:eastAsia="zh-CN"/>
        </w:rPr>
        <w:t>易方达上证综合交易型开放式指数证券投资基金联接基金</w:t>
      </w:r>
      <w:r w:rsidRPr="00A936B7">
        <w:rPr>
          <w:rFonts w:asciiTheme="minorEastAsia" w:eastAsiaTheme="minorEastAsia" w:hAnsiTheme="minorEastAsia" w:cs="宋体" w:hint="eastAsia"/>
          <w:b/>
          <w:sz w:val="44"/>
          <w:szCs w:val="44"/>
          <w:highlight w:val="white"/>
          <w:lang w:eastAsia="zh-CN"/>
        </w:rPr>
        <w:t>招募说明书</w:t>
      </w:r>
    </w:p>
    <w:p w:rsidR="009F340D" w:rsidRPr="00A936B7" w14:paraId="39332848" w14:textId="77777777">
      <w:pPr>
        <w:spacing w:line="360" w:lineRule="auto"/>
        <w:ind w:left="1680" w:firstLine="181"/>
        <w:rPr>
          <w:rFonts w:asciiTheme="minorEastAsia" w:eastAsiaTheme="minorEastAsia" w:hAnsiTheme="minorEastAsia" w:cs="宋体" w:hint="eastAsia"/>
          <w:sz w:val="30"/>
          <w:szCs w:val="30"/>
          <w:lang w:eastAsia="zh-CN"/>
        </w:rPr>
      </w:pPr>
    </w:p>
    <w:p w:rsidR="009F340D" w:rsidRPr="00A936B7" w14:paraId="7A9D1CC8" w14:textId="77777777">
      <w:pPr>
        <w:spacing w:line="360" w:lineRule="auto"/>
        <w:ind w:left="1680" w:firstLine="181"/>
        <w:rPr>
          <w:rFonts w:asciiTheme="minorEastAsia" w:eastAsiaTheme="minorEastAsia" w:hAnsiTheme="minorEastAsia" w:cs="宋体" w:hint="eastAsia"/>
          <w:sz w:val="30"/>
          <w:szCs w:val="30"/>
          <w:lang w:eastAsia="zh-CN"/>
        </w:rPr>
      </w:pPr>
    </w:p>
    <w:p w:rsidR="009F340D" w:rsidRPr="00A936B7" w14:paraId="7866218F" w14:textId="77777777">
      <w:pPr>
        <w:spacing w:line="360" w:lineRule="auto"/>
        <w:ind w:left="1680"/>
        <w:rPr>
          <w:rFonts w:asciiTheme="minorEastAsia" w:eastAsiaTheme="minorEastAsia" w:hAnsiTheme="minorEastAsia" w:cs="宋体" w:hint="eastAsia"/>
          <w:sz w:val="30"/>
          <w:szCs w:val="30"/>
          <w:lang w:eastAsia="zh-CN"/>
        </w:rPr>
      </w:pPr>
    </w:p>
    <w:p w:rsidR="009F340D" w:rsidRPr="00A936B7" w14:paraId="0122635D" w14:textId="77777777">
      <w:pPr>
        <w:spacing w:line="360" w:lineRule="auto"/>
        <w:ind w:left="1680"/>
        <w:rPr>
          <w:rFonts w:asciiTheme="minorEastAsia" w:eastAsiaTheme="minorEastAsia" w:hAnsiTheme="minorEastAsia" w:cs="宋体" w:hint="eastAsia"/>
          <w:sz w:val="30"/>
          <w:szCs w:val="30"/>
          <w:lang w:eastAsia="zh-CN"/>
        </w:rPr>
      </w:pPr>
    </w:p>
    <w:p w:rsidR="009F340D" w:rsidRPr="00A936B7" w14:paraId="1F4A965E" w14:textId="77777777">
      <w:pPr>
        <w:spacing w:line="360" w:lineRule="auto"/>
        <w:ind w:left="1680"/>
        <w:rPr>
          <w:rFonts w:asciiTheme="minorEastAsia" w:eastAsiaTheme="minorEastAsia" w:hAnsiTheme="minorEastAsia" w:cs="宋体" w:hint="eastAsia"/>
          <w:sz w:val="30"/>
          <w:szCs w:val="30"/>
          <w:lang w:eastAsia="zh-CN"/>
        </w:rPr>
      </w:pPr>
    </w:p>
    <w:p w:rsidR="009F340D" w:rsidRPr="00A936B7" w14:paraId="0B7754BE" w14:textId="77777777">
      <w:pPr>
        <w:spacing w:line="360" w:lineRule="auto"/>
        <w:ind w:left="1680"/>
        <w:rPr>
          <w:rFonts w:asciiTheme="minorEastAsia" w:eastAsiaTheme="minorEastAsia" w:hAnsiTheme="minorEastAsia" w:cs="宋体" w:hint="eastAsia"/>
          <w:sz w:val="30"/>
          <w:szCs w:val="30"/>
          <w:lang w:eastAsia="zh-CN"/>
        </w:rPr>
      </w:pPr>
    </w:p>
    <w:p w:rsidR="009F340D" w:rsidRPr="00A936B7" w14:paraId="7BFAABAA" w14:textId="77777777">
      <w:pPr>
        <w:spacing w:line="360" w:lineRule="auto"/>
        <w:ind w:left="1679" w:hanging="238"/>
        <w:rPr>
          <w:rFonts w:asciiTheme="minorEastAsia" w:eastAsiaTheme="minorEastAsia" w:hAnsiTheme="minorEastAsia" w:cs="宋体" w:hint="eastAsia"/>
          <w:b/>
          <w:sz w:val="32"/>
          <w:szCs w:val="32"/>
          <w:lang w:eastAsia="zh-CN"/>
        </w:rPr>
      </w:pPr>
      <w:r w:rsidRPr="00A936B7">
        <w:rPr>
          <w:rFonts w:asciiTheme="minorEastAsia" w:eastAsiaTheme="minorEastAsia" w:hAnsiTheme="minorEastAsia" w:cs="宋体" w:hint="eastAsia"/>
          <w:b/>
          <w:sz w:val="32"/>
          <w:szCs w:val="32"/>
          <w:highlight w:val="white"/>
          <w:lang w:eastAsia="zh-CN"/>
        </w:rPr>
        <w:t>基金管理人：易方达基金管理有限公司</w:t>
      </w:r>
    </w:p>
    <w:p w:rsidR="009F340D" w:rsidRPr="00A936B7" w14:paraId="5A988883" w14:textId="77777777">
      <w:pPr>
        <w:spacing w:line="360" w:lineRule="auto"/>
        <w:ind w:left="1438"/>
        <w:rPr>
          <w:rFonts w:asciiTheme="minorEastAsia" w:eastAsiaTheme="minorEastAsia" w:hAnsiTheme="minorEastAsia" w:cs="宋体" w:hint="eastAsia"/>
          <w:b/>
          <w:sz w:val="32"/>
          <w:szCs w:val="32"/>
          <w:lang w:eastAsia="zh-CN"/>
        </w:rPr>
      </w:pPr>
      <w:r w:rsidRPr="00A936B7">
        <w:rPr>
          <w:rFonts w:asciiTheme="minorEastAsia" w:eastAsiaTheme="minorEastAsia" w:hAnsiTheme="minorEastAsia" w:cs="宋体" w:hint="eastAsia"/>
          <w:b/>
          <w:sz w:val="32"/>
          <w:szCs w:val="32"/>
          <w:highlight w:val="white"/>
          <w:lang w:eastAsia="zh-CN"/>
        </w:rPr>
        <w:t>基金托管人：</w:t>
      </w:r>
      <w:r w:rsidRPr="00A936B7">
        <w:rPr>
          <w:rFonts w:asciiTheme="minorEastAsia" w:eastAsiaTheme="minorEastAsia" w:hAnsiTheme="minorEastAsia" w:cs="宋体" w:hint="eastAsia"/>
          <w:b/>
          <w:sz w:val="32"/>
          <w:szCs w:val="32"/>
          <w:lang w:eastAsia="zh-CN"/>
        </w:rPr>
        <w:t>中国银行股份有限公司</w:t>
      </w:r>
    </w:p>
    <w:p w:rsidR="009F340D" w:rsidRPr="00A936B7" w14:paraId="28B9F377" w14:textId="77777777">
      <w:pPr>
        <w:jc w:val="center"/>
        <w:rPr>
          <w:rFonts w:asciiTheme="minorEastAsia" w:eastAsiaTheme="minorEastAsia" w:hAnsiTheme="minorEastAsia" w:hint="eastAsia"/>
          <w:lang w:eastAsia="zh-CN"/>
        </w:rPr>
      </w:pPr>
      <w:r w:rsidRPr="00A936B7">
        <w:rPr>
          <w:rFonts w:asciiTheme="minorEastAsia" w:eastAsiaTheme="minorEastAsia" w:hAnsiTheme="minorEastAsia" w:cs="宋体"/>
          <w:color w:val="000000"/>
          <w:sz w:val="32"/>
          <w:highlight w:val="white"/>
          <w:lang w:eastAsia="zh-CN"/>
        </w:rPr>
        <w:t>二〇二</w:t>
      </w:r>
      <w:r w:rsidR="00E02A6E">
        <w:rPr>
          <w:rFonts w:asciiTheme="minorEastAsia" w:eastAsiaTheme="minorEastAsia" w:hAnsiTheme="minorEastAsia" w:cs="Calibri" w:hint="eastAsia"/>
          <w:color w:val="000000"/>
          <w:sz w:val="32"/>
          <w:highlight w:val="white"/>
          <w:lang w:eastAsia="zh-CN"/>
        </w:rPr>
        <w:t>六</w:t>
      </w:r>
      <w:r w:rsidRPr="00A936B7">
        <w:rPr>
          <w:rFonts w:asciiTheme="minorEastAsia" w:eastAsiaTheme="minorEastAsia" w:hAnsiTheme="minorEastAsia" w:cs="宋体"/>
          <w:color w:val="000000"/>
          <w:sz w:val="32"/>
          <w:highlight w:val="white"/>
          <w:lang w:eastAsia="zh-CN"/>
        </w:rPr>
        <w:t>年</w:t>
      </w:r>
      <w:r w:rsidR="00AB5B5A">
        <w:rPr>
          <w:rFonts w:asciiTheme="minorEastAsia" w:eastAsiaTheme="minorEastAsia" w:hAnsiTheme="minorEastAsia" w:cs="Calibri" w:hint="eastAsia"/>
          <w:color w:val="000000"/>
          <w:sz w:val="32"/>
          <w:highlight w:val="white"/>
          <w:lang w:eastAsia="zh-CN"/>
        </w:rPr>
        <w:t>六</w:t>
      </w:r>
      <w:r w:rsidRPr="00A936B7">
        <w:rPr>
          <w:rFonts w:asciiTheme="minorEastAsia" w:eastAsiaTheme="minorEastAsia" w:hAnsiTheme="minorEastAsia" w:cs="宋体"/>
          <w:color w:val="000000"/>
          <w:sz w:val="32"/>
          <w:highlight w:val="white"/>
          <w:lang w:eastAsia="zh-CN"/>
        </w:rPr>
        <w:t>月</w:t>
      </w:r>
    </w:p>
    <w:p w:rsidR="009F340D" w:rsidRPr="00A936B7" w14:paraId="00BDE8F6" w14:textId="77777777">
      <w:pPr>
        <w:jc w:val="center"/>
        <w:rPr>
          <w:rFonts w:asciiTheme="minorEastAsia" w:eastAsiaTheme="minorEastAsia" w:hAnsiTheme="minorEastAsia" w:cs="宋体" w:hint="eastAsia"/>
          <w:sz w:val="22"/>
          <w:szCs w:val="32"/>
          <w:lang w:eastAsia="zh-CN"/>
        </w:rPr>
      </w:pPr>
    </w:p>
    <w:p w:rsidR="009F340D" w:rsidRPr="00A936B7" w14:paraId="109ED8D9" w14:textId="77777777">
      <w:pPr>
        <w:spacing w:line="360" w:lineRule="auto"/>
        <w:rPr>
          <w:rFonts w:asciiTheme="minorEastAsia" w:eastAsiaTheme="minorEastAsia" w:hAnsiTheme="minorEastAsia" w:cs="宋体" w:hint="eastAsia"/>
          <w:b/>
          <w:sz w:val="24"/>
          <w:lang w:eastAsia="zh-CN"/>
        </w:rPr>
        <w:sectPr>
          <w:headerReference w:type="even" r:id="rId5"/>
          <w:headerReference w:type="default" r:id="rId6"/>
          <w:footerReference w:type="even" r:id="rId7"/>
          <w:footerReference w:type="default" r:id="rId8"/>
          <w:headerReference w:type="first" r:id="rId9"/>
          <w:footerReference w:type="first" r:id="rId10"/>
          <w:pgSz w:w="11906" w:h="16838"/>
          <w:pgMar w:top="1440" w:right="1803" w:bottom="1440" w:left="1803" w:header="1134" w:footer="1247" w:gutter="0"/>
          <w:pgNumType w:start="1"/>
          <w:cols w:space="720"/>
          <w:docGrid w:type="lines" w:linePitch="447"/>
        </w:sectPr>
      </w:pPr>
    </w:p>
    <w:p w:rsidR="009F340D" w:rsidRPr="00A936B7" w14:paraId="38F1A824" w14:textId="77777777">
      <w:pPr>
        <w:spacing w:before="447" w:after="447" w:line="320" w:lineRule="exact"/>
        <w:jc w:val="center"/>
        <w:rPr>
          <w:rFonts w:asciiTheme="minorEastAsia" w:eastAsiaTheme="minorEastAsia" w:hAnsiTheme="minorEastAsia" w:cs="宋体" w:hint="eastAsia"/>
          <w:sz w:val="30"/>
          <w:lang w:eastAsia="zh-CN"/>
        </w:rPr>
      </w:pPr>
      <w:r w:rsidRPr="00A936B7">
        <w:rPr>
          <w:rFonts w:asciiTheme="minorEastAsia" w:eastAsiaTheme="minorEastAsia" w:hAnsiTheme="minorEastAsia" w:cs="宋体" w:hint="eastAsia"/>
          <w:sz w:val="30"/>
          <w:lang w:eastAsia="zh-CN"/>
        </w:rPr>
        <w:t>易方达上证综合交易型开放式指数证券投资基金联接基金</w:t>
      </w:r>
      <w:r w:rsidRPr="00A936B7">
        <w:rPr>
          <w:rFonts w:asciiTheme="minorEastAsia" w:eastAsiaTheme="minorEastAsia" w:hAnsiTheme="minorEastAsia" w:cs="宋体" w:hint="eastAsia"/>
          <w:sz w:val="30"/>
          <w:highlight w:val="white"/>
          <w:lang w:eastAsia="zh-CN"/>
        </w:rPr>
        <w:t>招募说明书</w:t>
      </w:r>
    </w:p>
    <w:p w:rsidR="009F340D" w:rsidRPr="00A936B7" w14:paraId="29CC51F9" w14:textId="77777777">
      <w:pPr>
        <w:spacing w:before="447" w:after="447" w:line="320" w:lineRule="exact"/>
        <w:jc w:val="center"/>
        <w:rPr>
          <w:rFonts w:asciiTheme="minorEastAsia" w:eastAsiaTheme="minorEastAsia" w:hAnsiTheme="minorEastAsia" w:cs="宋体" w:hint="eastAsia"/>
          <w:sz w:val="30"/>
          <w:lang w:eastAsia="zh-CN"/>
        </w:rPr>
      </w:pPr>
    </w:p>
    <w:p w:rsidR="009F340D" w:rsidRPr="00A936B7" w14:paraId="1E717402" w14:textId="77777777">
      <w:pPr>
        <w:spacing w:line="288" w:lineRule="auto"/>
        <w:jc w:val="center"/>
        <w:rPr>
          <w:rFonts w:asciiTheme="minorEastAsia" w:eastAsiaTheme="minorEastAsia" w:hAnsiTheme="minorEastAsia" w:cs="宋体" w:hint="eastAsia"/>
          <w:b/>
          <w:sz w:val="28"/>
          <w:szCs w:val="28"/>
          <w:lang w:eastAsia="zh-CN"/>
        </w:rPr>
      </w:pPr>
      <w:r w:rsidRPr="00A936B7">
        <w:rPr>
          <w:rFonts w:asciiTheme="minorEastAsia" w:eastAsiaTheme="minorEastAsia" w:hAnsiTheme="minorEastAsia" w:cs="宋体" w:hint="eastAsia"/>
          <w:b/>
          <w:sz w:val="28"/>
          <w:szCs w:val="28"/>
          <w:highlight w:val="white"/>
          <w:lang w:eastAsia="zh-CN"/>
        </w:rPr>
        <w:t>重要提示</w:t>
      </w:r>
    </w:p>
    <w:p w:rsidR="009F340D" w:rsidRPr="00A936B7" w14:paraId="017C2D33" w14:textId="77777777">
      <w:pPr>
        <w:snapToGrid w:val="0"/>
        <w:spacing w:line="360" w:lineRule="auto"/>
        <w:ind w:firstLine="422"/>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hint="eastAsia"/>
          <w:b/>
          <w:szCs w:val="21"/>
          <w:highlight w:val="white"/>
          <w:lang w:eastAsia="zh-CN"/>
        </w:rPr>
        <w:t>1、本基金根据</w:t>
      </w:r>
      <w:r w:rsidRPr="00A936B7" w:rsidR="00B65CDF">
        <w:rPr>
          <w:rFonts w:asciiTheme="minorEastAsia" w:eastAsiaTheme="minorEastAsia" w:hAnsiTheme="minorEastAsia" w:cs="宋体"/>
          <w:b/>
          <w:szCs w:val="21"/>
          <w:highlight w:val="white"/>
          <w:lang w:eastAsia="zh-CN"/>
        </w:rPr>
        <w:t>202</w:t>
      </w:r>
      <w:r w:rsidR="00B65CDF">
        <w:rPr>
          <w:rFonts w:asciiTheme="minorEastAsia" w:eastAsiaTheme="minorEastAsia" w:hAnsiTheme="minorEastAsia" w:cs="宋体"/>
          <w:b/>
          <w:szCs w:val="21"/>
          <w:highlight w:val="white"/>
          <w:lang w:eastAsia="zh-CN"/>
        </w:rPr>
        <w:t>6</w:t>
      </w:r>
      <w:r w:rsidRPr="00A936B7">
        <w:rPr>
          <w:rFonts w:asciiTheme="minorEastAsia" w:eastAsiaTheme="minorEastAsia" w:hAnsiTheme="minorEastAsia" w:cs="宋体" w:hint="eastAsia"/>
          <w:b/>
          <w:szCs w:val="21"/>
          <w:highlight w:val="white"/>
          <w:lang w:eastAsia="zh-CN"/>
        </w:rPr>
        <w:t>年</w:t>
      </w:r>
      <w:r w:rsidR="00C84656">
        <w:rPr>
          <w:rFonts w:asciiTheme="minorEastAsia" w:eastAsiaTheme="minorEastAsia" w:hAnsiTheme="minorEastAsia" w:cs="宋体"/>
          <w:b/>
          <w:szCs w:val="21"/>
          <w:highlight w:val="white"/>
          <w:lang w:eastAsia="zh-CN"/>
        </w:rPr>
        <w:t>4</w:t>
      </w:r>
      <w:r w:rsidRPr="00A936B7">
        <w:rPr>
          <w:rFonts w:asciiTheme="minorEastAsia" w:eastAsiaTheme="minorEastAsia" w:hAnsiTheme="minorEastAsia" w:cs="宋体" w:hint="eastAsia"/>
          <w:b/>
          <w:szCs w:val="21"/>
          <w:highlight w:val="white"/>
          <w:lang w:eastAsia="zh-CN"/>
        </w:rPr>
        <w:t>月</w:t>
      </w:r>
      <w:r w:rsidR="00C84656">
        <w:rPr>
          <w:rFonts w:asciiTheme="minorEastAsia" w:eastAsiaTheme="minorEastAsia" w:hAnsiTheme="minorEastAsia" w:cs="宋体"/>
          <w:b/>
          <w:szCs w:val="21"/>
          <w:highlight w:val="white"/>
          <w:lang w:eastAsia="zh-CN"/>
        </w:rPr>
        <w:t>14</w:t>
      </w:r>
      <w:r w:rsidRPr="00A936B7">
        <w:rPr>
          <w:rFonts w:asciiTheme="minorEastAsia" w:eastAsiaTheme="minorEastAsia" w:hAnsiTheme="minorEastAsia" w:cs="宋体" w:hint="eastAsia"/>
          <w:b/>
          <w:szCs w:val="21"/>
          <w:highlight w:val="white"/>
          <w:lang w:eastAsia="zh-CN"/>
        </w:rPr>
        <w:t>日中国证券监督管理委员会《关于准予</w:t>
      </w:r>
      <w:r w:rsidRPr="00A936B7">
        <w:rPr>
          <w:rFonts w:asciiTheme="minorEastAsia" w:eastAsiaTheme="minorEastAsia" w:hAnsiTheme="minorEastAsia" w:cs="宋体"/>
          <w:b/>
          <w:szCs w:val="21"/>
          <w:lang w:eastAsia="zh-CN"/>
        </w:rPr>
        <w:t>易方达上证综合交易型开放式指数证券投资基金联接基金</w:t>
      </w:r>
      <w:r w:rsidRPr="00A936B7">
        <w:rPr>
          <w:rFonts w:asciiTheme="minorEastAsia" w:eastAsiaTheme="minorEastAsia" w:hAnsiTheme="minorEastAsia" w:cs="宋体"/>
          <w:b/>
          <w:szCs w:val="21"/>
          <w:highlight w:val="white"/>
          <w:lang w:eastAsia="zh-CN"/>
        </w:rPr>
        <w:t>注册的批复》（证监许可[</w:t>
      </w:r>
      <w:r w:rsidRPr="00A936B7" w:rsidR="00B65CDF">
        <w:rPr>
          <w:rFonts w:asciiTheme="minorEastAsia" w:eastAsiaTheme="minorEastAsia" w:hAnsiTheme="minorEastAsia" w:cs="宋体"/>
          <w:b/>
          <w:szCs w:val="21"/>
          <w:highlight w:val="white"/>
          <w:lang w:eastAsia="zh-CN"/>
        </w:rPr>
        <w:t>202</w:t>
      </w:r>
      <w:r w:rsidR="00B65CDF">
        <w:rPr>
          <w:rFonts w:asciiTheme="minorEastAsia" w:eastAsiaTheme="minorEastAsia" w:hAnsiTheme="minorEastAsia" w:cs="宋体"/>
          <w:b/>
          <w:szCs w:val="21"/>
          <w:highlight w:val="white"/>
          <w:lang w:eastAsia="zh-CN"/>
        </w:rPr>
        <w:t>6</w:t>
      </w:r>
      <w:r w:rsidRPr="00A936B7">
        <w:rPr>
          <w:rFonts w:asciiTheme="minorEastAsia" w:eastAsiaTheme="minorEastAsia" w:hAnsiTheme="minorEastAsia" w:cs="宋体" w:hint="eastAsia"/>
          <w:b/>
          <w:szCs w:val="21"/>
          <w:highlight w:val="white"/>
          <w:lang w:eastAsia="zh-CN"/>
        </w:rPr>
        <w:t>]</w:t>
      </w:r>
      <w:r w:rsidR="00C84656">
        <w:rPr>
          <w:rFonts w:asciiTheme="minorEastAsia" w:eastAsiaTheme="minorEastAsia" w:hAnsiTheme="minorEastAsia" w:cs="宋体"/>
          <w:b/>
          <w:szCs w:val="21"/>
          <w:highlight w:val="white"/>
          <w:lang w:eastAsia="zh-CN"/>
        </w:rPr>
        <w:t>795</w:t>
      </w:r>
      <w:r w:rsidRPr="00A936B7">
        <w:rPr>
          <w:rFonts w:asciiTheme="minorEastAsia" w:eastAsiaTheme="minorEastAsia" w:hAnsiTheme="minorEastAsia" w:cs="宋体" w:hint="eastAsia"/>
          <w:b/>
          <w:szCs w:val="21"/>
          <w:highlight w:val="white"/>
          <w:lang w:eastAsia="zh-CN"/>
        </w:rPr>
        <w:t>号）进行募集。</w:t>
      </w:r>
    </w:p>
    <w:p w:rsidR="009F340D" w:rsidRPr="00A936B7" w14:paraId="13DEA10C" w14:textId="77777777">
      <w:pPr>
        <w:snapToGrid w:val="0"/>
        <w:spacing w:line="360" w:lineRule="auto"/>
        <w:ind w:firstLine="422"/>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hint="eastAsia"/>
          <w:b/>
          <w:szCs w:val="21"/>
          <w:highlight w:val="white"/>
          <w:lang w:eastAsia="zh-CN"/>
        </w:rPr>
        <w:t>2、基金管理人保证《招募说明书》的内容真实、准确、完整。本基金经中国证监会注册，但中国证监会对本基金募集的注册，并不表明其对本基金的投资价值、市场前景和收益作出实质性判断或保证，也不表明投资于本基金没有风险。</w:t>
      </w:r>
    </w:p>
    <w:p w:rsidR="009F340D" w:rsidRPr="00A936B7" w14:paraId="5ED50095" w14:textId="77777777">
      <w:pPr>
        <w:snapToGrid w:val="0"/>
        <w:spacing w:line="360" w:lineRule="auto"/>
        <w:ind w:firstLine="422"/>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hint="eastAsia"/>
          <w:b/>
          <w:szCs w:val="21"/>
          <w:highlight w:val="white"/>
          <w:lang w:eastAsia="zh-CN"/>
        </w:rPr>
        <w:t>基金管理人依照恪尽职守、诚实信用、谨慎勤勉的原则管理和运用基金财产，但不保证基金一定盈利，也不保证最低收益。</w:t>
      </w:r>
    </w:p>
    <w:p w:rsidR="009F340D" w:rsidRPr="00A936B7" w14:paraId="2C843473" w14:textId="77777777">
      <w:pPr>
        <w:spacing w:line="360" w:lineRule="auto"/>
        <w:ind w:firstLine="422"/>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hint="eastAsia"/>
          <w:b/>
          <w:szCs w:val="21"/>
          <w:highlight w:val="white"/>
          <w:lang w:eastAsia="zh-CN"/>
        </w:rPr>
        <w:t>3、本基金标的指数为</w:t>
      </w:r>
      <w:r w:rsidRPr="00A936B7">
        <w:rPr>
          <w:rFonts w:asciiTheme="minorEastAsia" w:eastAsiaTheme="minorEastAsia" w:hAnsiTheme="minorEastAsia" w:cs="宋体" w:hint="eastAsia"/>
          <w:b/>
          <w:szCs w:val="21"/>
          <w:lang w:eastAsia="zh-CN"/>
        </w:rPr>
        <w:t>上证综合指数</w:t>
      </w:r>
      <w:r w:rsidRPr="00A936B7">
        <w:rPr>
          <w:rFonts w:asciiTheme="minorEastAsia" w:eastAsiaTheme="minorEastAsia" w:hAnsiTheme="minorEastAsia" w:cs="宋体" w:hint="eastAsia"/>
          <w:b/>
          <w:szCs w:val="21"/>
          <w:highlight w:val="white"/>
          <w:lang w:eastAsia="zh-CN"/>
        </w:rPr>
        <w:t>。</w:t>
      </w:r>
    </w:p>
    <w:p w:rsidR="009F340D" w:rsidRPr="00A936B7" w14:paraId="66DCF98A" w14:textId="77777777">
      <w:pPr>
        <w:spacing w:line="360" w:lineRule="auto"/>
        <w:ind w:firstLine="420"/>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hint="eastAsia"/>
          <w:b/>
          <w:szCs w:val="21"/>
          <w:lang w:eastAsia="zh-CN"/>
        </w:rPr>
        <w:t>（1）样本空间</w:t>
      </w:r>
    </w:p>
    <w:p w:rsidR="009F340D" w:rsidRPr="00A936B7" w14:paraId="465E1433" w14:textId="77777777">
      <w:pPr>
        <w:spacing w:line="360" w:lineRule="auto"/>
        <w:ind w:firstLine="420"/>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hint="eastAsia"/>
          <w:b/>
          <w:szCs w:val="21"/>
          <w:lang w:eastAsia="zh-CN"/>
        </w:rPr>
        <w:t>上证综合指数的样本空间由在上海证券交易所上市的股票和红筹企业发行的存托凭证组成。ST、*ST证券除外。</w:t>
      </w:r>
    </w:p>
    <w:p w:rsidR="009F340D" w:rsidRPr="00A936B7" w14:paraId="2239C60A" w14:textId="77777777">
      <w:pPr>
        <w:spacing w:line="360" w:lineRule="auto"/>
        <w:ind w:firstLine="420"/>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hint="eastAsia"/>
          <w:b/>
          <w:szCs w:val="21"/>
          <w:lang w:eastAsia="zh-CN"/>
        </w:rPr>
        <w:t>（2）选样方法</w:t>
      </w:r>
    </w:p>
    <w:p w:rsidR="009F340D" w:rsidRPr="00A936B7" w14:paraId="1D6F3B7C" w14:textId="77777777">
      <w:pPr>
        <w:spacing w:line="360" w:lineRule="auto"/>
        <w:ind w:firstLine="420"/>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hint="eastAsia"/>
          <w:b/>
          <w:szCs w:val="21"/>
          <w:lang w:eastAsia="zh-CN"/>
        </w:rPr>
        <w:t>上证综合指数选取所有样本空间内证券作为指数样本。</w:t>
      </w:r>
    </w:p>
    <w:p w:rsidR="009F340D" w:rsidRPr="00A936B7" w14:paraId="4F49D352" w14:textId="77777777">
      <w:pPr>
        <w:spacing w:line="360" w:lineRule="auto"/>
        <w:ind w:firstLine="420"/>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hint="eastAsia"/>
          <w:b/>
          <w:szCs w:val="21"/>
          <w:lang w:eastAsia="zh-CN"/>
        </w:rPr>
        <w:t>（3）指数计算</w:t>
      </w:r>
    </w:p>
    <w:p w:rsidR="009F340D" w:rsidRPr="00A936B7" w14:paraId="5E3CD15F" w14:textId="77777777">
      <w:pPr>
        <w:spacing w:line="360" w:lineRule="auto"/>
        <w:ind w:firstLine="420"/>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hint="eastAsia"/>
          <w:b/>
          <w:szCs w:val="21"/>
          <w:lang w:eastAsia="zh-CN"/>
        </w:rPr>
        <w:t>上证综合指数的计算公式为：报告期指数=报告期样本总市值/除数×100。其中，总市值＝∑（证券价格×发行股本数）。除数修正方法参见中证指数有限公司发布的指数计算与维护细则。</w:t>
      </w:r>
    </w:p>
    <w:p w:rsidR="009F340D" w:rsidRPr="00A936B7" w14:paraId="5E390885" w14:textId="77777777">
      <w:pPr>
        <w:spacing w:line="360" w:lineRule="auto"/>
        <w:ind w:firstLine="420"/>
        <w:rPr>
          <w:rFonts w:asciiTheme="minorEastAsia" w:eastAsiaTheme="minorEastAsia" w:hAnsiTheme="minorEastAsia" w:hint="eastAsia"/>
          <w:b/>
          <w:szCs w:val="21"/>
        </w:rPr>
      </w:pPr>
      <w:r w:rsidRPr="00A936B7">
        <w:rPr>
          <w:rFonts w:asciiTheme="minorEastAsia" w:eastAsiaTheme="minorEastAsia" w:hAnsiTheme="minorEastAsia" w:hint="eastAsia"/>
          <w:b/>
          <w:szCs w:val="21"/>
          <w:highlight w:val="white"/>
        </w:rPr>
        <w:t>有关标的指数具体编制方案等指数信息详见中证指数有限公司网站，网址：www.csindex.com.cn。</w:t>
      </w:r>
    </w:p>
    <w:p w:rsidR="009F340D" w:rsidRPr="00A936B7" w14:paraId="4D08BC71" w14:textId="77777777">
      <w:pPr>
        <w:spacing w:line="360" w:lineRule="auto"/>
        <w:ind w:firstLine="422"/>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b/>
          <w:szCs w:val="21"/>
          <w:highlight w:val="white"/>
          <w:lang w:eastAsia="zh-CN"/>
        </w:rPr>
        <w:t>4、</w:t>
      </w:r>
      <w:r w:rsidRPr="00A936B7">
        <w:rPr>
          <w:rFonts w:asciiTheme="minorEastAsia" w:eastAsiaTheme="minorEastAsia" w:hAnsiTheme="minorEastAsia" w:hint="eastAsia"/>
          <w:b/>
          <w:highlight w:val="white"/>
          <w:lang w:eastAsia="zh-CN"/>
        </w:rPr>
        <w:t>本基金为</w:t>
      </w:r>
      <w:r w:rsidRPr="00A936B7">
        <w:rPr>
          <w:rFonts w:asciiTheme="minorEastAsia" w:eastAsiaTheme="minorEastAsia" w:hAnsiTheme="minorEastAsia" w:hint="eastAsia"/>
          <w:b/>
          <w:lang w:eastAsia="zh-CN"/>
        </w:rPr>
        <w:t>易方达上证综合交易型开放式指数证券投资基金</w:t>
      </w:r>
      <w:r w:rsidRPr="00A936B7">
        <w:rPr>
          <w:rFonts w:asciiTheme="minorEastAsia" w:eastAsiaTheme="minorEastAsia" w:hAnsiTheme="minorEastAsia" w:hint="eastAsia"/>
          <w:b/>
          <w:highlight w:val="white"/>
          <w:lang w:eastAsia="zh-CN"/>
        </w:rPr>
        <w:t>（以下简称“目标ETF”）的联接基金，投资于目标ETF的资产不低于基金资产净值的90%，其投资目标是紧密跟踪业绩比较基准，追求跟踪偏离度和跟踪误差的最小化。</w:t>
      </w:r>
      <w:r w:rsidRPr="00A936B7">
        <w:rPr>
          <w:rFonts w:asciiTheme="minorEastAsia" w:eastAsiaTheme="minorEastAsia" w:hAnsiTheme="minorEastAsia" w:cs="宋体" w:hint="eastAsia"/>
          <w:b/>
          <w:szCs w:val="21"/>
          <w:highlight w:val="white"/>
          <w:lang w:eastAsia="zh-CN"/>
        </w:rPr>
        <w:t>本基金投资于证券市场，基金净值会因为证券市场波动等因素产生波动。投资有风险，投资者在投资本基金前，请认真阅读本基金的招募说明书、基金合同、基金产品资料概要等信息披露文件，全面认识本基金产品的风险收益特征和产品特性，充分考虑自身的风险承受能力，理性判断市场，自主判断基金的投资价值，对投资基金的意愿、时机、数量等投资行为作出独立决策，承担基金投资中出现的各类风险。</w:t>
      </w:r>
    </w:p>
    <w:p w:rsidR="009F340D" w:rsidRPr="00A936B7" w14:paraId="63322AFE" w14:textId="77777777">
      <w:pPr>
        <w:spacing w:line="360" w:lineRule="auto"/>
        <w:ind w:firstLine="422"/>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b/>
          <w:szCs w:val="21"/>
          <w:highlight w:val="white"/>
          <w:lang w:eastAsia="zh-CN"/>
        </w:rPr>
        <w:t>投资</w:t>
      </w:r>
      <w:r w:rsidRPr="00A936B7">
        <w:rPr>
          <w:rFonts w:asciiTheme="minorEastAsia" w:eastAsiaTheme="minorEastAsia" w:hAnsiTheme="minorEastAsia"/>
          <w:b/>
          <w:highlight w:val="white"/>
          <w:lang w:eastAsia="zh-CN"/>
        </w:rPr>
        <w:t>本基金可能遇到的主要风险包括：本基金特有风险、市场风险、流动性风险、管理风险、</w:t>
      </w:r>
      <w:r w:rsidRPr="00A936B7">
        <w:rPr>
          <w:rFonts w:asciiTheme="minorEastAsia" w:eastAsiaTheme="minorEastAsia" w:hAnsiTheme="minorEastAsia" w:hint="eastAsia"/>
          <w:b/>
          <w:highlight w:val="white"/>
          <w:lang w:eastAsia="zh-CN"/>
        </w:rPr>
        <w:t>税收风险、</w:t>
      </w:r>
      <w:r w:rsidRPr="00A936B7">
        <w:rPr>
          <w:rFonts w:asciiTheme="minorEastAsia" w:eastAsiaTheme="minorEastAsia" w:hAnsiTheme="minorEastAsia"/>
          <w:b/>
          <w:highlight w:val="white"/>
          <w:lang w:eastAsia="zh-CN"/>
        </w:rPr>
        <w:t>本基金法律文件中涉及基金风险特征的表述与销售机构对基金的风险评级可能不一致的风险及其他风险等。</w:t>
      </w:r>
      <w:r w:rsidRPr="00A936B7">
        <w:rPr>
          <w:rFonts w:asciiTheme="minorEastAsia" w:eastAsiaTheme="minorEastAsia" w:hAnsiTheme="minorEastAsia" w:hint="eastAsia"/>
          <w:b/>
          <w:highlight w:val="white"/>
          <w:lang w:eastAsia="zh-CN"/>
        </w:rPr>
        <w:t>本基金特有风险包括：（1）指数化投资的风险，包括标的指数回报与股票市场平均回报偏离的风险、标的指数波动的风险、成份股停牌的风险、基金分红特殊安排的风险、基金收益率与业绩比较基准收益率偏离的风险、跟踪误差控制未达约定目标的风险、标的指数值计算出错的风险、标的指数编制方案带来的风险、指数编制机构停止服务的风险；（2）联接基金的特殊风险，包括可能具有与目标ETF不同的风险收益特征及净值增长率的风险、目标ETF面临的风险可能直接或间接成为本基金的风险、由目标ETF的联接基金变更为直接投资目标ETF标的指数成份股及备选成份股的指数基金的风险；（3）投资特定品种（包括股指期货、国债期货、股票期权等金融衍生品、</w:t>
      </w:r>
      <w:r w:rsidRPr="00A936B7">
        <w:rPr>
          <w:rFonts w:asciiTheme="minorEastAsia" w:eastAsiaTheme="minorEastAsia" w:hAnsiTheme="minorEastAsia" w:cs="宋体" w:hint="eastAsia"/>
          <w:b/>
          <w:highlight w:val="white"/>
          <w:lang w:eastAsia="zh-CN"/>
        </w:rPr>
        <w:t>科创板股票</w:t>
      </w:r>
      <w:r w:rsidRPr="00A936B7">
        <w:rPr>
          <w:rFonts w:asciiTheme="minorEastAsia" w:eastAsiaTheme="minorEastAsia" w:hAnsiTheme="minorEastAsia" w:cs="宋体"/>
          <w:b/>
          <w:highlight w:val="white"/>
          <w:lang w:eastAsia="zh-CN"/>
        </w:rPr>
        <w:t>、</w:t>
      </w:r>
      <w:r w:rsidRPr="00A936B7">
        <w:rPr>
          <w:rFonts w:asciiTheme="minorEastAsia" w:eastAsiaTheme="minorEastAsia" w:hAnsiTheme="minorEastAsia" w:cs="宋体" w:hint="eastAsia"/>
          <w:b/>
          <w:szCs w:val="21"/>
          <w:highlight w:val="white"/>
          <w:lang w:eastAsia="zh-CN"/>
        </w:rPr>
        <w:t>北交所股票、</w:t>
      </w:r>
      <w:r w:rsidRPr="00A936B7">
        <w:rPr>
          <w:rFonts w:asciiTheme="minorEastAsia" w:eastAsiaTheme="minorEastAsia" w:hAnsiTheme="minorEastAsia" w:hint="eastAsia"/>
          <w:b/>
          <w:highlight w:val="white"/>
          <w:lang w:eastAsia="zh-CN"/>
        </w:rPr>
        <w:t>资产支持证券、存托凭证等）的特有风险；（4）参与转融通证券出借业务的风险等</w:t>
      </w:r>
      <w:r w:rsidRPr="00A936B7">
        <w:rPr>
          <w:rFonts w:asciiTheme="minorEastAsia" w:eastAsiaTheme="minorEastAsia" w:hAnsiTheme="minorEastAsia" w:cs="宋体"/>
          <w:b/>
          <w:szCs w:val="21"/>
          <w:highlight w:val="white"/>
          <w:lang w:eastAsia="zh-CN"/>
        </w:rPr>
        <w:t>。</w:t>
      </w:r>
    </w:p>
    <w:p w:rsidR="009F340D" w:rsidRPr="00A936B7" w14:paraId="16A83A5A" w14:textId="77777777">
      <w:pPr>
        <w:snapToGrid w:val="0"/>
        <w:spacing w:line="360" w:lineRule="auto"/>
        <w:ind w:firstLine="422"/>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hint="eastAsia"/>
          <w:b/>
          <w:szCs w:val="21"/>
          <w:highlight w:val="white"/>
          <w:lang w:eastAsia="zh-CN"/>
        </w:rPr>
        <w:t>本基金的具体运作特点详见基金合同和招募说明书的约定。</w:t>
      </w:r>
      <w:r w:rsidRPr="00A936B7">
        <w:rPr>
          <w:rFonts w:asciiTheme="minorEastAsia" w:eastAsiaTheme="minorEastAsia" w:hAnsiTheme="minorEastAsia" w:cs="宋体"/>
          <w:b/>
          <w:szCs w:val="21"/>
          <w:highlight w:val="white"/>
          <w:lang w:eastAsia="zh-CN"/>
        </w:rPr>
        <w:t>投资本基金可能面临的风险详见招募说明书的“风险揭示”部分。</w:t>
      </w:r>
    </w:p>
    <w:p w:rsidR="009F340D" w:rsidRPr="00A936B7" w14:paraId="4ED34DA2" w14:textId="77777777">
      <w:pPr>
        <w:snapToGrid w:val="0"/>
        <w:spacing w:line="360" w:lineRule="auto"/>
        <w:ind w:firstLine="422"/>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hint="eastAsia"/>
          <w:b/>
          <w:szCs w:val="21"/>
          <w:highlight w:val="white"/>
          <w:lang w:eastAsia="zh-CN"/>
        </w:rPr>
        <w:t>5、</w:t>
      </w:r>
      <w:r w:rsidRPr="00A936B7">
        <w:rPr>
          <w:rFonts w:asciiTheme="minorEastAsia" w:eastAsiaTheme="minorEastAsia" w:hAnsiTheme="minorEastAsia" w:cs="宋体"/>
          <w:b/>
          <w:szCs w:val="21"/>
          <w:lang w:eastAsia="zh-CN"/>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p w:rsidR="009F340D" w:rsidRPr="00A936B7" w14:paraId="1B562FDF" w14:textId="77777777">
      <w:pPr>
        <w:spacing w:line="360" w:lineRule="auto"/>
        <w:ind w:firstLine="422"/>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b/>
          <w:szCs w:val="21"/>
          <w:highlight w:val="white"/>
          <w:lang w:eastAsia="zh-CN"/>
        </w:rPr>
        <w:t>6、本基金将基金份额分为A类基金份额和C类基金份额。A类基金份额在投资人认购/申购时</w:t>
      </w:r>
      <w:r w:rsidRPr="00A936B7">
        <w:rPr>
          <w:rFonts w:asciiTheme="minorEastAsia" w:eastAsiaTheme="minorEastAsia" w:hAnsiTheme="minorEastAsia" w:cs="宋体" w:hint="eastAsia"/>
          <w:b/>
          <w:highlight w:val="white"/>
          <w:lang w:eastAsia="zh-CN"/>
        </w:rPr>
        <w:t>按规定</w:t>
      </w:r>
      <w:r w:rsidRPr="00A936B7">
        <w:rPr>
          <w:rFonts w:asciiTheme="minorEastAsia" w:eastAsiaTheme="minorEastAsia" w:hAnsiTheme="minorEastAsia" w:cs="宋体"/>
          <w:b/>
          <w:szCs w:val="21"/>
          <w:highlight w:val="white"/>
          <w:lang w:eastAsia="zh-CN"/>
        </w:rPr>
        <w:t>收取认购/申购费用，在持有期间不收取销售服务费；C类基金份额在投资人认购/申购时不收取认购/申购费用，在持有期间</w:t>
      </w:r>
      <w:r w:rsidRPr="00A936B7">
        <w:rPr>
          <w:rFonts w:asciiTheme="minorEastAsia" w:eastAsiaTheme="minorEastAsia" w:hAnsiTheme="minorEastAsia" w:cs="宋体"/>
          <w:b/>
          <w:highlight w:val="white"/>
          <w:lang w:eastAsia="zh-CN"/>
        </w:rPr>
        <w:t>计提销售服务费</w:t>
      </w:r>
      <w:r w:rsidRPr="00A936B7">
        <w:rPr>
          <w:rFonts w:asciiTheme="minorEastAsia" w:eastAsiaTheme="minorEastAsia" w:hAnsiTheme="minorEastAsia" w:cs="宋体" w:hint="eastAsia"/>
          <w:b/>
          <w:highlight w:val="white"/>
          <w:lang w:eastAsia="zh-CN"/>
        </w:rPr>
        <w:t>并按规定收取或返还</w:t>
      </w:r>
      <w:r w:rsidRPr="00A936B7">
        <w:rPr>
          <w:rFonts w:asciiTheme="minorEastAsia" w:eastAsiaTheme="minorEastAsia" w:hAnsiTheme="minorEastAsia" w:cs="宋体"/>
          <w:b/>
          <w:szCs w:val="21"/>
          <w:highlight w:val="white"/>
          <w:lang w:eastAsia="zh-CN"/>
        </w:rPr>
        <w:t>。</w:t>
      </w:r>
    </w:p>
    <w:p w:rsidR="009F340D" w:rsidRPr="00A936B7" w14:paraId="547746B1" w14:textId="77777777">
      <w:pPr>
        <w:spacing w:line="360" w:lineRule="auto"/>
        <w:ind w:firstLine="422"/>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b/>
          <w:szCs w:val="21"/>
          <w:highlight w:val="white"/>
          <w:lang w:eastAsia="zh-CN"/>
        </w:rPr>
        <w:t>7</w:t>
      </w:r>
      <w:r w:rsidRPr="00A936B7">
        <w:rPr>
          <w:rFonts w:asciiTheme="minorEastAsia" w:eastAsiaTheme="minorEastAsia" w:hAnsiTheme="minorEastAsia" w:cs="宋体" w:hint="eastAsia"/>
          <w:b/>
          <w:szCs w:val="21"/>
          <w:highlight w:val="white"/>
          <w:lang w:eastAsia="zh-CN"/>
        </w:rPr>
        <w:t>、基金管理人提醒投资者基金投资的“买者自负”原则，在投资者作出投资决策后，基金运营状况与基金净值变化引致的投资风险，由投资者自行负责。此外，本基金以1元初始面值进行募集，在市场波动等因素的影响下，存在单位份额净值跌破1元初始面值的风险。</w:t>
      </w:r>
    </w:p>
    <w:p w:rsidR="009F340D" w:rsidRPr="00A936B7" w14:paraId="7EDFD57B" w14:textId="77777777">
      <w:pPr>
        <w:spacing w:line="360" w:lineRule="auto"/>
        <w:ind w:firstLine="422"/>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b/>
          <w:szCs w:val="21"/>
          <w:highlight w:val="white"/>
          <w:lang w:eastAsia="zh-CN"/>
        </w:rPr>
        <w:t>8</w:t>
      </w:r>
      <w:r w:rsidRPr="00A936B7">
        <w:rPr>
          <w:rFonts w:asciiTheme="minorEastAsia" w:eastAsiaTheme="minorEastAsia" w:hAnsiTheme="minorEastAsia" w:cs="宋体" w:hint="eastAsia"/>
          <w:b/>
          <w:szCs w:val="21"/>
          <w:highlight w:val="white"/>
          <w:lang w:eastAsia="zh-CN"/>
        </w:rPr>
        <w:t>、基金不同于银行储蓄，基金投资人投资于基金有可能获得较高的收益，也有可能损失本金。投资有风险，投资人在进行投资决策前，请仔细阅读本基金的《招募说明书》及《基金合同》。</w:t>
      </w:r>
    </w:p>
    <w:p w:rsidR="009F340D" w:rsidRPr="00A936B7" w14:paraId="6C0DC013" w14:textId="77777777">
      <w:pPr>
        <w:spacing w:line="360" w:lineRule="auto"/>
        <w:ind w:firstLine="422"/>
        <w:rPr>
          <w:rFonts w:asciiTheme="minorEastAsia" w:eastAsiaTheme="minorEastAsia" w:hAnsiTheme="minorEastAsia" w:cs="宋体" w:hint="eastAsia"/>
          <w:b/>
          <w:szCs w:val="21"/>
          <w:lang w:eastAsia="zh-CN"/>
        </w:rPr>
      </w:pPr>
      <w:r w:rsidRPr="00A936B7">
        <w:rPr>
          <w:rFonts w:asciiTheme="minorEastAsia" w:eastAsiaTheme="minorEastAsia" w:hAnsiTheme="minorEastAsia" w:cs="宋体"/>
          <w:b/>
          <w:szCs w:val="21"/>
          <w:highlight w:val="white"/>
          <w:lang w:eastAsia="zh-CN"/>
        </w:rPr>
        <w:t>9</w:t>
      </w:r>
      <w:r w:rsidRPr="00A936B7">
        <w:rPr>
          <w:rFonts w:asciiTheme="minorEastAsia" w:eastAsiaTheme="minorEastAsia" w:hAnsiTheme="minorEastAsia" w:cs="宋体" w:hint="eastAsia"/>
          <w:b/>
          <w:szCs w:val="21"/>
          <w:highlight w:val="white"/>
          <w:lang w:eastAsia="zh-CN"/>
        </w:rPr>
        <w:t>、基金的过往业绩并不预示其未来表现，基金管理人管理的其他基金的业绩并不构成对本基金表现的保证。</w:t>
      </w:r>
    </w:p>
    <w:p w:rsidR="009F340D" w:rsidRPr="00A936B7" w14:paraId="668E846C" w14:textId="77777777">
      <w:pPr>
        <w:spacing w:line="360" w:lineRule="auto"/>
        <w:ind w:firstLine="420" w:firstLineChars="200"/>
        <w:rPr>
          <w:rFonts w:asciiTheme="minorEastAsia" w:eastAsiaTheme="minorEastAsia" w:hAnsiTheme="minorEastAsia" w:hint="eastAsia"/>
          <w:b/>
          <w:lang w:eastAsia="zh-CN"/>
        </w:rPr>
      </w:pPr>
      <w:r w:rsidRPr="00A936B7">
        <w:rPr>
          <w:rFonts w:asciiTheme="minorEastAsia" w:eastAsiaTheme="minorEastAsia" w:hAnsiTheme="minorEastAsia" w:hint="eastAsia"/>
          <w:b/>
          <w:highlight w:val="white"/>
          <w:lang w:eastAsia="zh-CN"/>
        </w:rPr>
        <w:t>10、本基金与目标ETF的联系与区别</w:t>
      </w:r>
    </w:p>
    <w:p w:rsidR="009F340D" w:rsidRPr="00A936B7" w14:paraId="047B1641" w14:textId="77777777">
      <w:pPr>
        <w:spacing w:line="360" w:lineRule="auto"/>
        <w:ind w:firstLine="420" w:firstLineChars="200"/>
        <w:rPr>
          <w:rFonts w:asciiTheme="minorEastAsia" w:eastAsiaTheme="minorEastAsia" w:hAnsiTheme="minorEastAsia" w:hint="eastAsia"/>
          <w:b/>
          <w:lang w:eastAsia="zh-CN"/>
        </w:rPr>
      </w:pPr>
      <w:r w:rsidRPr="00A936B7">
        <w:rPr>
          <w:rFonts w:asciiTheme="minorEastAsia" w:eastAsiaTheme="minorEastAsia" w:hAnsiTheme="minorEastAsia" w:hint="eastAsia"/>
          <w:b/>
          <w:highlight w:val="white"/>
          <w:lang w:eastAsia="zh-CN"/>
        </w:rPr>
        <w:t>本基金与目标ETF之间的联系：（1）两只基金的投资目标均为紧密跟踪业绩比较基准；（2）两只基金具有相似的风险收益特征；（3）目标ETF是本基金的主要投资对象。</w:t>
      </w:r>
    </w:p>
    <w:p w:rsidR="009F340D" w:rsidRPr="00A936B7" w14:paraId="01116820" w14:textId="77777777">
      <w:pPr>
        <w:spacing w:line="360" w:lineRule="auto"/>
        <w:ind w:firstLine="420" w:firstLineChars="200"/>
        <w:rPr>
          <w:rFonts w:asciiTheme="minorEastAsia" w:eastAsiaTheme="minorEastAsia" w:hAnsiTheme="minorEastAsia" w:hint="eastAsia"/>
          <w:b/>
          <w:lang w:eastAsia="zh-CN"/>
        </w:rPr>
      </w:pPr>
      <w:r w:rsidRPr="00A936B7">
        <w:rPr>
          <w:rFonts w:asciiTheme="minorEastAsia" w:eastAsiaTheme="minorEastAsia" w:hAnsiTheme="minorEastAsia" w:hint="eastAsia"/>
          <w:b/>
          <w:highlight w:val="white"/>
          <w:lang w:eastAsia="zh-CN"/>
        </w:rPr>
        <w:t>本基金与目标ETF之间的区别：（1）在基金的投资方法方面，目标ETF主要采用抽样复制投资策略或完全复制投资策略，直接投资于标的指数的成份股、备选成份股；而本基金则采取间接的方法，通过将绝大部分基金财产投资于目标ETF，实现对业绩比较基准的紧密跟踪。（2）在交易方式方面，投资者既可以像买卖股票一样在交易所买卖目标ETF的基金份额，也可以按照最小申购、赎回单位和申购、赎回清单的要求申赎目标ETF；而本基金则像普通的开放式基金一样，投资者可以通过基金管理人及非直销销售机构按未知价法进行基金的申购与赎回。</w:t>
      </w:r>
    </w:p>
    <w:p w:rsidR="009F340D" w:rsidRPr="00A936B7" w14:paraId="13D4430F" w14:textId="77777777">
      <w:pPr>
        <w:spacing w:line="360" w:lineRule="auto"/>
        <w:ind w:firstLine="420" w:firstLineChars="200"/>
        <w:rPr>
          <w:rFonts w:asciiTheme="minorEastAsia" w:eastAsiaTheme="minorEastAsia" w:hAnsiTheme="minorEastAsia" w:hint="eastAsia"/>
          <w:b/>
          <w:lang w:eastAsia="zh-CN"/>
        </w:rPr>
      </w:pPr>
      <w:r w:rsidRPr="00A936B7">
        <w:rPr>
          <w:rFonts w:asciiTheme="minorEastAsia" w:eastAsiaTheme="minorEastAsia" w:hAnsiTheme="minorEastAsia" w:hint="eastAsia"/>
          <w:b/>
          <w:highlight w:val="white"/>
          <w:lang w:eastAsia="zh-CN"/>
        </w:rPr>
        <w:t>本基金与目标ETF业绩表现仍可能出现差异。可能引发差异的因素主要包括：（1）法规对投资比例的要求。目标ETF作为一种特殊的基金品种，可将全部或接近全部的基金资产，用于跟踪标的指数的表现；而本基金作为普通的开放式基金，仍需将不低于基金资产净值5%的资产投资于现金或者到期日在一年以内的政府债券。（2）申购赎回的影响。目标ETF采取按照最小申购、赎回单位和申购、赎回清单要求进行申赎的方式，申购赎回对基金净值影响较小；而本基金采取按照未知价法进行申赎的方式，大额申赎可能会对基金资产净值产生一定影响。</w:t>
      </w:r>
    </w:p>
    <w:p w:rsidR="009F340D" w:rsidRPr="00A936B7" w14:paraId="511D491A" w14:textId="77777777">
      <w:pPr>
        <w:spacing w:line="360" w:lineRule="auto"/>
        <w:ind w:firstLine="422"/>
        <w:rPr>
          <w:rFonts w:asciiTheme="minorEastAsia" w:eastAsiaTheme="minorEastAsia" w:hAnsiTheme="minorEastAsia" w:cs="宋体" w:hint="eastAsia"/>
          <w:b/>
          <w:szCs w:val="21"/>
          <w:lang w:eastAsia="zh-CN"/>
        </w:rPr>
      </w:pPr>
    </w:p>
    <w:p w:rsidR="009F340D" w:rsidRPr="00A936B7" w14:paraId="6B8A47B1" w14:textId="77777777">
      <w:pPr>
        <w:spacing w:line="360" w:lineRule="auto"/>
        <w:ind w:firstLine="422"/>
        <w:rPr>
          <w:rFonts w:asciiTheme="minorEastAsia" w:eastAsiaTheme="minorEastAsia" w:hAnsiTheme="minorEastAsia" w:cs="宋体" w:hint="eastAsia"/>
          <w:b/>
          <w:szCs w:val="21"/>
          <w:lang w:eastAsia="zh-CN"/>
        </w:rPr>
      </w:pPr>
    </w:p>
    <w:p w:rsidR="009F340D" w:rsidRPr="00A936B7" w14:paraId="32ED4058" w14:textId="77777777">
      <w:pPr>
        <w:snapToGrid w:val="0"/>
        <w:spacing w:before="100" w:after="100" w:line="360" w:lineRule="auto"/>
        <w:jc w:val="center"/>
        <w:rPr>
          <w:rFonts w:asciiTheme="minorEastAsia" w:eastAsiaTheme="minorEastAsia" w:hAnsiTheme="minorEastAsia" w:cs="宋体" w:hint="eastAsia"/>
          <w:sz w:val="30"/>
        </w:rPr>
      </w:pPr>
      <w:r w:rsidRPr="00A936B7">
        <w:rPr>
          <w:rFonts w:asciiTheme="minorEastAsia" w:eastAsiaTheme="minorEastAsia" w:hAnsiTheme="minorEastAsia" w:cs="宋体" w:hint="eastAsia"/>
          <w:b/>
          <w:szCs w:val="21"/>
          <w:highlight w:val="white"/>
          <w:lang w:eastAsia="zh-CN"/>
        </w:rPr>
        <w:br w:type="column"/>
      </w:r>
      <w:r w:rsidRPr="00A936B7">
        <w:rPr>
          <w:rFonts w:asciiTheme="minorEastAsia" w:eastAsiaTheme="minorEastAsia" w:hAnsiTheme="minorEastAsia" w:cs="宋体" w:hint="eastAsia"/>
          <w:sz w:val="30"/>
          <w:highlight w:val="white"/>
        </w:rPr>
        <w:t>目     录</w:t>
      </w:r>
    </w:p>
    <w:p w:rsidR="009F340D" w:rsidRPr="00A936B7" w14:paraId="52CA514D" w14:textId="77777777">
      <w:pPr>
        <w:snapToGrid w:val="0"/>
        <w:spacing w:before="100" w:after="100" w:line="320" w:lineRule="exact"/>
        <w:ind w:firstLine="480"/>
        <w:jc w:val="center"/>
        <w:rPr>
          <w:rFonts w:asciiTheme="minorEastAsia" w:eastAsiaTheme="minorEastAsia" w:hAnsiTheme="minorEastAsia" w:cs="宋体" w:hint="eastAsia"/>
          <w:b/>
        </w:rPr>
      </w:pPr>
    </w:p>
    <w:p w:rsidR="009F340D" w:rsidRPr="00A936B7" w14:paraId="369DCEF0" w14:textId="77777777">
      <w:pPr>
        <w:pStyle w:val="TOC1"/>
        <w:rPr>
          <w:rFonts w:asciiTheme="minorEastAsia" w:eastAsiaTheme="minorEastAsia" w:hAnsiTheme="minorEastAsia" w:cs="Calibri" w:hint="eastAsia"/>
          <w:caps w:val="0"/>
          <w:color w:val="auto"/>
          <w:sz w:val="21"/>
          <w:szCs w:val="22"/>
        </w:rPr>
      </w:pPr>
      <w:r w:rsidRPr="00A936B7">
        <w:rPr>
          <w:rFonts w:asciiTheme="minorEastAsia" w:eastAsiaTheme="minorEastAsia" w:hAnsiTheme="minorEastAsia" w:cs="宋体"/>
          <w:b/>
          <w:color w:val="auto"/>
        </w:rPr>
        <w:fldChar w:fldCharType="begin"/>
      </w:r>
      <w:r w:rsidRPr="00A936B7">
        <w:rPr>
          <w:rFonts w:asciiTheme="minorEastAsia" w:eastAsiaTheme="minorEastAsia" w:hAnsiTheme="minorEastAsia" w:cs="宋体"/>
          <w:b/>
          <w:color w:val="auto"/>
          <w:highlight w:val="white"/>
        </w:rPr>
        <w:instrText xml:space="preserve"> TOC \o "1-1" \h \z \u </w:instrText>
      </w:r>
      <w:r w:rsidRPr="00A936B7">
        <w:rPr>
          <w:rFonts w:asciiTheme="minorEastAsia" w:eastAsiaTheme="minorEastAsia" w:hAnsiTheme="minorEastAsia" w:cs="宋体"/>
          <w:b/>
          <w:color w:val="auto"/>
        </w:rPr>
        <w:fldChar w:fldCharType="separate"/>
      </w:r>
      <w:hyperlink w:anchor="_Toc129511523" w:tooltip="Current Document" w:history="1">
        <w:r w:rsidRPr="00A936B7">
          <w:rPr>
            <w:rStyle w:val="Hyperlink"/>
            <w:rFonts w:asciiTheme="minorEastAsia" w:eastAsiaTheme="minorEastAsia" w:hAnsiTheme="minorEastAsia" w:cs="宋体" w:hint="eastAsia"/>
            <w:highlight w:val="white"/>
          </w:rPr>
          <w:t>第一部分</w:t>
        </w:r>
        <w:r w:rsidRPr="00A936B7">
          <w:rPr>
            <w:rStyle w:val="Hyperlink"/>
            <w:rFonts w:asciiTheme="minorEastAsia" w:eastAsiaTheme="minorEastAsia" w:hAnsiTheme="minorEastAsia" w:cs="宋体"/>
            <w:highlight w:val="white"/>
          </w:rPr>
          <w:t xml:space="preserve"> </w:t>
        </w:r>
        <w:r w:rsidRPr="00A936B7">
          <w:rPr>
            <w:rStyle w:val="Hyperlink"/>
            <w:rFonts w:asciiTheme="minorEastAsia" w:eastAsiaTheme="minorEastAsia" w:hAnsiTheme="minorEastAsia" w:cs="宋体" w:hint="eastAsia"/>
            <w:highlight w:val="white"/>
          </w:rPr>
          <w:t>绪</w:t>
        </w:r>
        <w:r w:rsidRPr="00A936B7">
          <w:rPr>
            <w:rStyle w:val="Hyperlink"/>
            <w:rFonts w:asciiTheme="minorEastAsia" w:eastAsiaTheme="minorEastAsia" w:hAnsiTheme="minorEastAsia" w:cs="宋体"/>
            <w:highlight w:val="white"/>
          </w:rPr>
          <w:t xml:space="preserve">  </w:t>
        </w:r>
        <w:r w:rsidRPr="00A936B7">
          <w:rPr>
            <w:rStyle w:val="Hyperlink"/>
            <w:rFonts w:asciiTheme="minorEastAsia" w:eastAsiaTheme="minorEastAsia" w:hAnsiTheme="minorEastAsia" w:cs="宋体" w:hint="eastAsia"/>
            <w:highlight w:val="white"/>
          </w:rPr>
          <w:t>言</w:t>
        </w:r>
        <w:r w:rsidRPr="00A936B7">
          <w:rPr>
            <w:rFonts w:asciiTheme="minorEastAsia" w:eastAsiaTheme="minorEastAsia" w:hAnsiTheme="minorEastAsia"/>
            <w:highlight w:val="white"/>
          </w:rPr>
          <w:tab/>
        </w:r>
        <w:r w:rsidRPr="00A936B7">
          <w:rPr>
            <w:rFonts w:asciiTheme="minorEastAsia" w:eastAsiaTheme="minorEastAsia" w:hAnsiTheme="minorEastAsia"/>
          </w:rPr>
          <w:fldChar w:fldCharType="begin"/>
        </w:r>
        <w:r w:rsidRPr="00A936B7">
          <w:rPr>
            <w:rFonts w:asciiTheme="minorEastAsia" w:eastAsiaTheme="minorEastAsia" w:hAnsiTheme="minorEastAsia"/>
            <w:highlight w:val="white"/>
          </w:rPr>
          <w:instrText xml:space="preserve"> PAGEREF _Toc129511523 \h </w:instrText>
        </w:r>
        <w:r w:rsidRPr="00A936B7">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1</w:t>
        </w:r>
        <w:r w:rsidRPr="00A936B7">
          <w:rPr>
            <w:rFonts w:asciiTheme="minorEastAsia" w:eastAsiaTheme="minorEastAsia" w:hAnsiTheme="minorEastAsia"/>
          </w:rPr>
          <w:fldChar w:fldCharType="end"/>
        </w:r>
      </w:hyperlink>
    </w:p>
    <w:p w:rsidR="009F340D" w:rsidRPr="00A936B7" w14:paraId="5F18B077" w14:textId="77777777">
      <w:pPr>
        <w:pStyle w:val="TOC1"/>
        <w:rPr>
          <w:rFonts w:asciiTheme="minorEastAsia" w:eastAsiaTheme="minorEastAsia" w:hAnsiTheme="minorEastAsia" w:cs="Calibri" w:hint="eastAsia"/>
          <w:caps w:val="0"/>
          <w:color w:val="auto"/>
          <w:sz w:val="21"/>
          <w:szCs w:val="22"/>
        </w:rPr>
      </w:pPr>
      <w:hyperlink w:anchor="_Toc129511524" w:tooltip="Current Document" w:history="1">
        <w:r w:rsidRPr="00A936B7" w:rsidR="00DC71F5">
          <w:rPr>
            <w:rStyle w:val="Hyperlink"/>
            <w:rFonts w:asciiTheme="minorEastAsia" w:eastAsiaTheme="minorEastAsia" w:hAnsiTheme="minorEastAsia" w:cs="宋体" w:hint="eastAsia"/>
            <w:highlight w:val="white"/>
          </w:rPr>
          <w:t>第二部分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释</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义</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_Toc129511524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2</w:t>
        </w:r>
        <w:r w:rsidRPr="00A936B7" w:rsidR="00DC71F5">
          <w:rPr>
            <w:rFonts w:asciiTheme="minorEastAsia" w:eastAsiaTheme="minorEastAsia" w:hAnsiTheme="minorEastAsia"/>
          </w:rPr>
          <w:fldChar w:fldCharType="end"/>
        </w:r>
      </w:hyperlink>
    </w:p>
    <w:p w:rsidR="009F340D" w:rsidRPr="00A936B7" w14:paraId="5136B8EB" w14:textId="77777777">
      <w:pPr>
        <w:pStyle w:val="TOC1"/>
        <w:rPr>
          <w:rFonts w:asciiTheme="minorEastAsia" w:eastAsiaTheme="minorEastAsia" w:hAnsiTheme="minorEastAsia" w:cs="Calibri" w:hint="eastAsia"/>
          <w:caps w:val="0"/>
          <w:color w:val="auto"/>
          <w:sz w:val="21"/>
          <w:szCs w:val="22"/>
        </w:rPr>
      </w:pPr>
      <w:hyperlink w:anchor="_Toc129511525" w:tooltip="Current Document" w:history="1">
        <w:r w:rsidRPr="00A936B7" w:rsidR="00DC71F5">
          <w:rPr>
            <w:rStyle w:val="Hyperlink"/>
            <w:rFonts w:asciiTheme="minorEastAsia" w:eastAsiaTheme="minorEastAsia" w:hAnsiTheme="minorEastAsia" w:cs="宋体" w:hint="eastAsia"/>
            <w:highlight w:val="white"/>
          </w:rPr>
          <w:t>第三部分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基金管理</w:t>
        </w:r>
        <w:r w:rsidRPr="00A936B7" w:rsidR="00DC71F5">
          <w:rPr>
            <w:rStyle w:val="Hyperlink"/>
            <w:rFonts w:asciiTheme="minorEastAsia" w:eastAsiaTheme="minorEastAsia" w:hAnsiTheme="minorEastAsia" w:cs="宋体" w:hint="eastAsia"/>
            <w:highlight w:val="white"/>
          </w:rPr>
          <w:t>人</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_Toc129511525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7</w:t>
        </w:r>
        <w:r w:rsidRPr="00A936B7" w:rsidR="00DC71F5">
          <w:rPr>
            <w:rFonts w:asciiTheme="minorEastAsia" w:eastAsiaTheme="minorEastAsia" w:hAnsiTheme="minorEastAsia"/>
          </w:rPr>
          <w:fldChar w:fldCharType="end"/>
        </w:r>
      </w:hyperlink>
    </w:p>
    <w:p w:rsidR="009F340D" w:rsidRPr="00A936B7" w14:paraId="3B60FA98" w14:textId="77777777">
      <w:pPr>
        <w:pStyle w:val="TOC1"/>
        <w:rPr>
          <w:rFonts w:asciiTheme="minorEastAsia" w:eastAsiaTheme="minorEastAsia" w:hAnsiTheme="minorEastAsia" w:cs="Calibri" w:hint="eastAsia"/>
          <w:caps w:val="0"/>
          <w:color w:val="auto"/>
          <w:sz w:val="21"/>
          <w:szCs w:val="22"/>
        </w:rPr>
      </w:pPr>
      <w:hyperlink w:anchor="_Toc129511526" w:tooltip="Current Document" w:history="1">
        <w:r w:rsidRPr="00A936B7" w:rsidR="00DC71F5">
          <w:rPr>
            <w:rStyle w:val="Hyperlink"/>
            <w:rFonts w:asciiTheme="minorEastAsia" w:eastAsiaTheme="minorEastAsia" w:hAnsiTheme="minorEastAsia" w:cs="宋体" w:hint="eastAsia"/>
            <w:highlight w:val="white"/>
          </w:rPr>
          <w:t>第四部分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基金托管人</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_Toc129511526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19</w:t>
        </w:r>
        <w:r w:rsidRPr="00A936B7" w:rsidR="00DC71F5">
          <w:rPr>
            <w:rFonts w:asciiTheme="minorEastAsia" w:eastAsiaTheme="minorEastAsia" w:hAnsiTheme="minorEastAsia"/>
          </w:rPr>
          <w:fldChar w:fldCharType="end"/>
        </w:r>
      </w:hyperlink>
    </w:p>
    <w:p w:rsidR="009F340D" w:rsidRPr="00A936B7" w14:paraId="127A704A" w14:textId="77777777">
      <w:pPr>
        <w:pStyle w:val="TOC1"/>
        <w:rPr>
          <w:rFonts w:asciiTheme="minorEastAsia" w:eastAsiaTheme="minorEastAsia" w:hAnsiTheme="minorEastAsia" w:cs="Calibri" w:hint="eastAsia"/>
          <w:caps w:val="0"/>
          <w:color w:val="auto"/>
          <w:sz w:val="21"/>
          <w:szCs w:val="22"/>
        </w:rPr>
      </w:pPr>
      <w:hyperlink w:anchor="_Toc129511527" w:tooltip="Current Document" w:history="1">
        <w:r w:rsidRPr="00A936B7" w:rsidR="00DC71F5">
          <w:rPr>
            <w:rStyle w:val="Hyperlink"/>
            <w:rFonts w:asciiTheme="minorEastAsia" w:eastAsiaTheme="minorEastAsia" w:hAnsiTheme="minorEastAsia" w:cs="宋体" w:hint="eastAsia"/>
            <w:highlight w:val="white"/>
          </w:rPr>
          <w:t>第五部分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相关服务机构</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_Toc129511527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21</w:t>
        </w:r>
        <w:r w:rsidRPr="00A936B7" w:rsidR="00DC71F5">
          <w:rPr>
            <w:rFonts w:asciiTheme="minorEastAsia" w:eastAsiaTheme="minorEastAsia" w:hAnsiTheme="minorEastAsia"/>
          </w:rPr>
          <w:fldChar w:fldCharType="end"/>
        </w:r>
      </w:hyperlink>
    </w:p>
    <w:p w:rsidR="009F340D" w:rsidRPr="00A936B7" w14:paraId="7E327CE7" w14:textId="77777777">
      <w:pPr>
        <w:pStyle w:val="TOC1"/>
        <w:rPr>
          <w:rFonts w:asciiTheme="minorEastAsia" w:eastAsiaTheme="minorEastAsia" w:hAnsiTheme="minorEastAsia" w:cs="Calibri" w:hint="eastAsia"/>
          <w:caps w:val="0"/>
          <w:color w:val="auto"/>
          <w:sz w:val="21"/>
          <w:szCs w:val="22"/>
        </w:rPr>
      </w:pPr>
      <w:hyperlink w:anchor="_Toc129511528" w:tooltip="Current Document" w:history="1">
        <w:r w:rsidRPr="00A936B7" w:rsidR="00DC71F5">
          <w:rPr>
            <w:rStyle w:val="Hyperlink"/>
            <w:rFonts w:asciiTheme="minorEastAsia" w:eastAsiaTheme="minorEastAsia" w:hAnsiTheme="minorEastAsia" w:cs="宋体" w:hint="eastAsia"/>
            <w:bCs/>
            <w:highlight w:val="white"/>
          </w:rPr>
          <w:t>第六部分</w:t>
        </w:r>
        <w:r w:rsidRPr="00A936B7" w:rsidR="00DC71F5">
          <w:rPr>
            <w:rStyle w:val="Hyperlink"/>
            <w:rFonts w:asciiTheme="minorEastAsia" w:eastAsiaTheme="minorEastAsia" w:hAnsiTheme="minorEastAsia" w:cs="宋体"/>
            <w:bCs/>
            <w:highlight w:val="white"/>
          </w:rPr>
          <w:t xml:space="preserve"> </w:t>
        </w:r>
        <w:r w:rsidRPr="00A936B7" w:rsidR="00DC71F5">
          <w:rPr>
            <w:rStyle w:val="Hyperlink"/>
            <w:rFonts w:asciiTheme="minorEastAsia" w:eastAsiaTheme="minorEastAsia" w:hAnsiTheme="minorEastAsia" w:cs="宋体" w:hint="eastAsia"/>
            <w:bCs/>
            <w:highlight w:val="white"/>
          </w:rPr>
          <w:t>基金份额的分类</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_Toc129511528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23</w:t>
        </w:r>
        <w:r w:rsidRPr="00A936B7" w:rsidR="00DC71F5">
          <w:rPr>
            <w:rFonts w:asciiTheme="minorEastAsia" w:eastAsiaTheme="minorEastAsia" w:hAnsiTheme="minorEastAsia"/>
          </w:rPr>
          <w:fldChar w:fldCharType="end"/>
        </w:r>
      </w:hyperlink>
    </w:p>
    <w:p w:rsidR="009F340D" w:rsidRPr="00A936B7" w14:paraId="71EEA8B2" w14:textId="77777777">
      <w:pPr>
        <w:pStyle w:val="TOC1"/>
        <w:rPr>
          <w:rFonts w:asciiTheme="minorEastAsia" w:eastAsiaTheme="minorEastAsia" w:hAnsiTheme="minorEastAsia" w:cs="Calibri" w:hint="eastAsia"/>
          <w:caps w:val="0"/>
          <w:color w:val="auto"/>
          <w:sz w:val="21"/>
          <w:szCs w:val="22"/>
        </w:rPr>
      </w:pPr>
      <w:hyperlink w:anchor="_Toc129511529" w:tooltip="Current Document" w:history="1">
        <w:r w:rsidRPr="00A936B7" w:rsidR="00DC71F5">
          <w:rPr>
            <w:rStyle w:val="Hyperlink"/>
            <w:rFonts w:asciiTheme="minorEastAsia" w:eastAsiaTheme="minorEastAsia" w:hAnsiTheme="minorEastAsia" w:cs="宋体" w:hint="eastAsia"/>
            <w:bCs/>
            <w:highlight w:val="white"/>
          </w:rPr>
          <w:t>第七部分</w:t>
        </w:r>
        <w:r w:rsidRPr="00A936B7" w:rsidR="00DC71F5">
          <w:rPr>
            <w:rStyle w:val="Hyperlink"/>
            <w:rFonts w:asciiTheme="minorEastAsia" w:eastAsiaTheme="minorEastAsia" w:hAnsiTheme="minorEastAsia" w:cs="宋体"/>
            <w:bCs/>
            <w:highlight w:val="white"/>
          </w:rPr>
          <w:t xml:space="preserve"> </w:t>
        </w:r>
        <w:r w:rsidRPr="00A936B7" w:rsidR="00DC71F5">
          <w:rPr>
            <w:rStyle w:val="Hyperlink"/>
            <w:rFonts w:asciiTheme="minorEastAsia" w:eastAsiaTheme="minorEastAsia" w:hAnsiTheme="minorEastAsia" w:cs="宋体" w:hint="eastAsia"/>
            <w:bCs/>
            <w:highlight w:val="white"/>
          </w:rPr>
          <w:t>基金的募集安排</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_Toc129511529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24</w:t>
        </w:r>
        <w:r w:rsidRPr="00A936B7" w:rsidR="00DC71F5">
          <w:rPr>
            <w:rFonts w:asciiTheme="minorEastAsia" w:eastAsiaTheme="minorEastAsia" w:hAnsiTheme="minorEastAsia"/>
          </w:rPr>
          <w:fldChar w:fldCharType="end"/>
        </w:r>
      </w:hyperlink>
    </w:p>
    <w:p w:rsidR="009F340D" w:rsidRPr="00A936B7" w14:paraId="6BCA9B63" w14:textId="77777777">
      <w:pPr>
        <w:pStyle w:val="TOC1"/>
        <w:rPr>
          <w:rFonts w:asciiTheme="minorEastAsia" w:eastAsiaTheme="minorEastAsia" w:hAnsiTheme="minorEastAsia" w:cs="Calibri" w:hint="eastAsia"/>
          <w:caps w:val="0"/>
          <w:color w:val="auto"/>
          <w:sz w:val="21"/>
          <w:szCs w:val="22"/>
        </w:rPr>
      </w:pPr>
      <w:hyperlink w:anchor="_Toc129511530" w:tooltip="Current Document" w:history="1">
        <w:r w:rsidRPr="00A936B7" w:rsidR="00DC71F5">
          <w:rPr>
            <w:rStyle w:val="Hyperlink"/>
            <w:rFonts w:asciiTheme="minorEastAsia" w:eastAsiaTheme="minorEastAsia" w:hAnsiTheme="minorEastAsia" w:cs="宋体" w:hint="eastAsia"/>
            <w:bCs/>
            <w:highlight w:val="white"/>
          </w:rPr>
          <w:t>第八部分</w:t>
        </w:r>
        <w:r w:rsidRPr="00A936B7" w:rsidR="00DC71F5">
          <w:rPr>
            <w:rStyle w:val="Hyperlink"/>
            <w:rFonts w:asciiTheme="minorEastAsia" w:eastAsiaTheme="minorEastAsia" w:hAnsiTheme="minorEastAsia" w:cs="宋体"/>
            <w:bCs/>
            <w:highlight w:val="white"/>
          </w:rPr>
          <w:t xml:space="preserve"> </w:t>
        </w:r>
        <w:r w:rsidRPr="00A936B7" w:rsidR="00DC71F5">
          <w:rPr>
            <w:rStyle w:val="Hyperlink"/>
            <w:rFonts w:asciiTheme="minorEastAsia" w:eastAsiaTheme="minorEastAsia" w:hAnsiTheme="minorEastAsia" w:cs="宋体" w:hint="eastAsia"/>
            <w:bCs/>
            <w:highlight w:val="white"/>
          </w:rPr>
          <w:t>基金合同的生效</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_Toc129511530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28</w:t>
        </w:r>
        <w:r w:rsidRPr="00A936B7" w:rsidR="00DC71F5">
          <w:rPr>
            <w:rFonts w:asciiTheme="minorEastAsia" w:eastAsiaTheme="minorEastAsia" w:hAnsiTheme="minorEastAsia"/>
          </w:rPr>
          <w:fldChar w:fldCharType="end"/>
        </w:r>
      </w:hyperlink>
    </w:p>
    <w:p w:rsidR="009F340D" w:rsidRPr="00A936B7" w14:paraId="56B8265D" w14:textId="77777777">
      <w:pPr>
        <w:pStyle w:val="TOC1"/>
        <w:rPr>
          <w:rFonts w:asciiTheme="minorEastAsia" w:eastAsiaTheme="minorEastAsia" w:hAnsiTheme="minorEastAsia" w:cs="Calibri" w:hint="eastAsia"/>
          <w:caps w:val="0"/>
          <w:color w:val="auto"/>
          <w:sz w:val="21"/>
          <w:szCs w:val="22"/>
        </w:rPr>
      </w:pPr>
      <w:hyperlink w:anchor="_Toc129511531" w:tooltip="Current Document" w:history="1">
        <w:r w:rsidRPr="00A936B7" w:rsidR="00DC71F5">
          <w:rPr>
            <w:rStyle w:val="Hyperlink"/>
            <w:rFonts w:asciiTheme="minorEastAsia" w:eastAsiaTheme="minorEastAsia" w:hAnsiTheme="minorEastAsia" w:cs="宋体" w:hint="eastAsia"/>
            <w:bCs/>
            <w:highlight w:val="white"/>
          </w:rPr>
          <w:t>第九部分</w:t>
        </w:r>
        <w:r w:rsidRPr="00A936B7" w:rsidR="00DC71F5">
          <w:rPr>
            <w:rStyle w:val="Hyperlink"/>
            <w:rFonts w:asciiTheme="minorEastAsia" w:eastAsiaTheme="minorEastAsia" w:hAnsiTheme="minorEastAsia" w:cs="宋体"/>
            <w:bCs/>
            <w:highlight w:val="white"/>
          </w:rPr>
          <w:t xml:space="preserve"> </w:t>
        </w:r>
        <w:r w:rsidRPr="00A936B7" w:rsidR="00DC71F5">
          <w:rPr>
            <w:rStyle w:val="Hyperlink"/>
            <w:rFonts w:asciiTheme="minorEastAsia" w:eastAsiaTheme="minorEastAsia" w:hAnsiTheme="minorEastAsia" w:cs="宋体" w:hint="eastAsia"/>
            <w:bCs/>
            <w:highlight w:val="white"/>
          </w:rPr>
          <w:t>基金份额的申购、赎回</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_Toc129511531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29</w:t>
        </w:r>
        <w:r w:rsidRPr="00A936B7" w:rsidR="00DC71F5">
          <w:rPr>
            <w:rFonts w:asciiTheme="minorEastAsia" w:eastAsiaTheme="minorEastAsia" w:hAnsiTheme="minorEastAsia"/>
          </w:rPr>
          <w:fldChar w:fldCharType="end"/>
        </w:r>
      </w:hyperlink>
    </w:p>
    <w:p w:rsidR="009F340D" w:rsidRPr="00A936B7" w14:paraId="71A4B24C" w14:textId="77777777">
      <w:pPr>
        <w:pStyle w:val="TOC1"/>
        <w:rPr>
          <w:rFonts w:asciiTheme="minorEastAsia" w:eastAsiaTheme="minorEastAsia" w:hAnsiTheme="minorEastAsia" w:cs="Calibri" w:hint="eastAsia"/>
          <w:caps w:val="0"/>
          <w:color w:val="auto"/>
          <w:sz w:val="21"/>
          <w:szCs w:val="22"/>
        </w:rPr>
      </w:pPr>
      <w:hyperlink w:anchor="_Toc129511532" w:tooltip="Current Document" w:history="1">
        <w:r w:rsidRPr="00A936B7" w:rsidR="00DC71F5">
          <w:rPr>
            <w:rStyle w:val="Hyperlink"/>
            <w:rFonts w:asciiTheme="minorEastAsia" w:eastAsiaTheme="minorEastAsia" w:hAnsiTheme="minorEastAsia" w:cs="宋体" w:hint="eastAsia"/>
            <w:highlight w:val="white"/>
          </w:rPr>
          <w:t>第十部分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基金转换和定期定额投资计划</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_Toc129511532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39</w:t>
        </w:r>
        <w:r w:rsidRPr="00A936B7" w:rsidR="00DC71F5">
          <w:rPr>
            <w:rFonts w:asciiTheme="minorEastAsia" w:eastAsiaTheme="minorEastAsia" w:hAnsiTheme="minorEastAsia"/>
          </w:rPr>
          <w:fldChar w:fldCharType="end"/>
        </w:r>
      </w:hyperlink>
    </w:p>
    <w:p w:rsidR="009F340D" w:rsidRPr="00A936B7" w14:paraId="5658F8C1" w14:textId="77777777">
      <w:pPr>
        <w:pStyle w:val="TOC1"/>
        <w:rPr>
          <w:rFonts w:asciiTheme="minorEastAsia" w:eastAsiaTheme="minorEastAsia" w:hAnsiTheme="minorEastAsia" w:cs="Calibri" w:hint="eastAsia"/>
          <w:caps w:val="0"/>
          <w:color w:val="auto"/>
          <w:sz w:val="21"/>
          <w:szCs w:val="22"/>
        </w:rPr>
      </w:pPr>
      <w:hyperlink w:anchor="_Toc129511533" w:tooltip="Current Document" w:history="1">
        <w:r w:rsidRPr="00A936B7" w:rsidR="00DC71F5">
          <w:rPr>
            <w:rStyle w:val="Hyperlink"/>
            <w:rFonts w:asciiTheme="minorEastAsia" w:eastAsiaTheme="minorEastAsia" w:hAnsiTheme="minorEastAsia" w:cs="宋体" w:hint="eastAsia"/>
            <w:highlight w:val="white"/>
          </w:rPr>
          <w:t>第十一部分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基金的转托管、质押、非交易过户、冻结与解冻</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_Toc129511533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40</w:t>
        </w:r>
        <w:r w:rsidRPr="00A936B7" w:rsidR="00DC71F5">
          <w:rPr>
            <w:rFonts w:asciiTheme="minorEastAsia" w:eastAsiaTheme="minorEastAsia" w:hAnsiTheme="minorEastAsia"/>
          </w:rPr>
          <w:fldChar w:fldCharType="end"/>
        </w:r>
      </w:hyperlink>
    </w:p>
    <w:p w:rsidR="009F340D" w:rsidRPr="00A936B7" w14:paraId="2E4BFABA" w14:textId="77777777">
      <w:pPr>
        <w:pStyle w:val="TOC1"/>
        <w:rPr>
          <w:rFonts w:asciiTheme="minorEastAsia" w:eastAsiaTheme="minorEastAsia" w:hAnsiTheme="minorEastAsia" w:cs="Calibri" w:hint="eastAsia"/>
          <w:caps w:val="0"/>
          <w:color w:val="auto"/>
          <w:sz w:val="21"/>
          <w:szCs w:val="22"/>
        </w:rPr>
      </w:pPr>
      <w:hyperlink w:anchor="_Toc129511534" w:tooltip="Current Document" w:history="1">
        <w:r w:rsidRPr="00A936B7" w:rsidR="00DC71F5">
          <w:rPr>
            <w:rStyle w:val="Hyperlink"/>
            <w:rFonts w:asciiTheme="minorEastAsia" w:eastAsiaTheme="minorEastAsia" w:hAnsiTheme="minorEastAsia" w:cs="宋体" w:hint="eastAsia"/>
            <w:highlight w:val="white"/>
          </w:rPr>
          <w:t>第十二部分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基金的投资</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_Toc129511534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41</w:t>
        </w:r>
        <w:r w:rsidRPr="00A936B7" w:rsidR="00DC71F5">
          <w:rPr>
            <w:rFonts w:asciiTheme="minorEastAsia" w:eastAsiaTheme="minorEastAsia" w:hAnsiTheme="minorEastAsia"/>
          </w:rPr>
          <w:fldChar w:fldCharType="end"/>
        </w:r>
      </w:hyperlink>
    </w:p>
    <w:p w:rsidR="009F340D" w:rsidRPr="00A936B7" w14:paraId="33DE79A7" w14:textId="77777777">
      <w:pPr>
        <w:pStyle w:val="TOC1"/>
        <w:rPr>
          <w:rFonts w:asciiTheme="minorEastAsia" w:eastAsiaTheme="minorEastAsia" w:hAnsiTheme="minorEastAsia" w:cs="Calibri" w:hint="eastAsia"/>
          <w:caps w:val="0"/>
          <w:color w:val="auto"/>
          <w:sz w:val="21"/>
          <w:szCs w:val="22"/>
        </w:rPr>
      </w:pPr>
      <w:hyperlink w:anchor="_Toc129511535" w:tooltip="Current Document" w:history="1">
        <w:r w:rsidRPr="00A936B7" w:rsidR="00DC71F5">
          <w:rPr>
            <w:rStyle w:val="Hyperlink"/>
            <w:rFonts w:asciiTheme="minorEastAsia" w:eastAsiaTheme="minorEastAsia" w:hAnsiTheme="minorEastAsia" w:cs="宋体" w:hint="eastAsia"/>
            <w:highlight w:val="white"/>
          </w:rPr>
          <w:t>第十三部分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基金的财产</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_Toc129511535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48</w:t>
        </w:r>
        <w:r w:rsidRPr="00A936B7" w:rsidR="00DC71F5">
          <w:rPr>
            <w:rFonts w:asciiTheme="minorEastAsia" w:eastAsiaTheme="minorEastAsia" w:hAnsiTheme="minorEastAsia"/>
          </w:rPr>
          <w:fldChar w:fldCharType="end"/>
        </w:r>
      </w:hyperlink>
    </w:p>
    <w:p w:rsidR="009F340D" w:rsidRPr="00A936B7" w14:paraId="78EDCB77" w14:textId="77777777">
      <w:pPr>
        <w:pStyle w:val="TOC1"/>
        <w:rPr>
          <w:rFonts w:asciiTheme="minorEastAsia" w:eastAsiaTheme="minorEastAsia" w:hAnsiTheme="minorEastAsia" w:cs="Calibri" w:hint="eastAsia"/>
          <w:caps w:val="0"/>
          <w:color w:val="auto"/>
          <w:sz w:val="21"/>
          <w:szCs w:val="22"/>
        </w:rPr>
      </w:pPr>
      <w:hyperlink w:anchor="_Toc129511536" w:tooltip="Current Document" w:history="1">
        <w:r w:rsidRPr="00A936B7" w:rsidR="00DC71F5">
          <w:rPr>
            <w:rStyle w:val="Hyperlink"/>
            <w:rFonts w:asciiTheme="minorEastAsia" w:eastAsiaTheme="minorEastAsia" w:hAnsiTheme="minorEastAsia" w:cs="宋体" w:hint="eastAsia"/>
            <w:highlight w:val="white"/>
          </w:rPr>
          <w:t>第十四部分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基金资产的估值</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_Toc129511536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49</w:t>
        </w:r>
        <w:r w:rsidRPr="00A936B7" w:rsidR="00DC71F5">
          <w:rPr>
            <w:rFonts w:asciiTheme="minorEastAsia" w:eastAsiaTheme="minorEastAsia" w:hAnsiTheme="minorEastAsia"/>
          </w:rPr>
          <w:fldChar w:fldCharType="end"/>
        </w:r>
      </w:hyperlink>
    </w:p>
    <w:p w:rsidR="009F340D" w:rsidRPr="00A936B7" w14:paraId="55A37F3A" w14:textId="77777777">
      <w:pPr>
        <w:pStyle w:val="TOC1"/>
        <w:rPr>
          <w:rFonts w:asciiTheme="minorEastAsia" w:eastAsiaTheme="minorEastAsia" w:hAnsiTheme="minorEastAsia" w:cs="Calibri" w:hint="eastAsia"/>
          <w:caps w:val="0"/>
          <w:color w:val="auto"/>
          <w:sz w:val="21"/>
          <w:szCs w:val="22"/>
        </w:rPr>
      </w:pPr>
      <w:hyperlink w:anchor="_Toc129511537" w:tooltip="Current Document" w:history="1">
        <w:r w:rsidRPr="00A936B7" w:rsidR="00DC71F5">
          <w:rPr>
            <w:rStyle w:val="Hyperlink"/>
            <w:rFonts w:asciiTheme="minorEastAsia" w:eastAsiaTheme="minorEastAsia" w:hAnsiTheme="minorEastAsia" w:cs="宋体" w:hint="eastAsia"/>
            <w:highlight w:val="white"/>
          </w:rPr>
          <w:t>第十五部分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基金的收益分配</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_Toc129511537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55</w:t>
        </w:r>
        <w:r w:rsidRPr="00A936B7" w:rsidR="00DC71F5">
          <w:rPr>
            <w:rFonts w:asciiTheme="minorEastAsia" w:eastAsiaTheme="minorEastAsia" w:hAnsiTheme="minorEastAsia"/>
          </w:rPr>
          <w:fldChar w:fldCharType="end"/>
        </w:r>
      </w:hyperlink>
    </w:p>
    <w:p w:rsidR="009F340D" w:rsidRPr="00A936B7" w14:paraId="7C54BC98" w14:textId="77777777">
      <w:pPr>
        <w:pStyle w:val="TOC1"/>
        <w:rPr>
          <w:rFonts w:asciiTheme="minorEastAsia" w:eastAsiaTheme="minorEastAsia" w:hAnsiTheme="minorEastAsia" w:cs="Calibri" w:hint="eastAsia"/>
          <w:caps w:val="0"/>
          <w:color w:val="auto"/>
          <w:sz w:val="21"/>
          <w:szCs w:val="22"/>
        </w:rPr>
      </w:pPr>
      <w:hyperlink w:anchor="_Toc129511538" w:tooltip="Current Document" w:history="1">
        <w:r w:rsidRPr="00A936B7" w:rsidR="00DC71F5">
          <w:rPr>
            <w:rStyle w:val="Hyperlink"/>
            <w:rFonts w:asciiTheme="minorEastAsia" w:eastAsiaTheme="minorEastAsia" w:hAnsiTheme="minorEastAsia" w:cs="宋体" w:hint="eastAsia"/>
            <w:highlight w:val="white"/>
          </w:rPr>
          <w:t>第十六部分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基金的费用与税收</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_Toc129511538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57</w:t>
        </w:r>
        <w:r w:rsidRPr="00A936B7" w:rsidR="00DC71F5">
          <w:rPr>
            <w:rFonts w:asciiTheme="minorEastAsia" w:eastAsiaTheme="minorEastAsia" w:hAnsiTheme="minorEastAsia"/>
          </w:rPr>
          <w:fldChar w:fldCharType="end"/>
        </w:r>
      </w:hyperlink>
    </w:p>
    <w:p w:rsidR="009F340D" w:rsidRPr="00A936B7" w14:paraId="59D3FBF8" w14:textId="77777777">
      <w:pPr>
        <w:pStyle w:val="TOC1"/>
        <w:rPr>
          <w:rFonts w:asciiTheme="minorEastAsia" w:eastAsiaTheme="minorEastAsia" w:hAnsiTheme="minorEastAsia" w:cs="Calibri" w:hint="eastAsia"/>
          <w:caps w:val="0"/>
          <w:color w:val="auto"/>
          <w:sz w:val="21"/>
          <w:szCs w:val="22"/>
        </w:rPr>
      </w:pPr>
      <w:hyperlink w:anchor="_Toc129511539" w:tooltip="Current Document" w:history="1">
        <w:r w:rsidRPr="00A936B7" w:rsidR="00DC71F5">
          <w:rPr>
            <w:rStyle w:val="Hyperlink"/>
            <w:rFonts w:asciiTheme="minorEastAsia" w:eastAsiaTheme="minorEastAsia" w:hAnsiTheme="minorEastAsia" w:cs="宋体" w:hint="eastAsia"/>
            <w:highlight w:val="white"/>
          </w:rPr>
          <w:t>第十七部分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基金的会计与审计</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_Toc129511539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60</w:t>
        </w:r>
        <w:r w:rsidRPr="00A936B7" w:rsidR="00DC71F5">
          <w:rPr>
            <w:rFonts w:asciiTheme="minorEastAsia" w:eastAsiaTheme="minorEastAsia" w:hAnsiTheme="minorEastAsia"/>
          </w:rPr>
          <w:fldChar w:fldCharType="end"/>
        </w:r>
      </w:hyperlink>
    </w:p>
    <w:p w:rsidR="009F340D" w:rsidRPr="00A936B7" w14:paraId="34763089" w14:textId="77777777">
      <w:pPr>
        <w:pStyle w:val="TOC1"/>
        <w:rPr>
          <w:rFonts w:asciiTheme="minorEastAsia" w:eastAsiaTheme="minorEastAsia" w:hAnsiTheme="minorEastAsia" w:cs="Calibri" w:hint="eastAsia"/>
          <w:caps w:val="0"/>
          <w:color w:val="auto"/>
          <w:sz w:val="21"/>
          <w:szCs w:val="22"/>
        </w:rPr>
      </w:pPr>
      <w:hyperlink w:anchor="_Toc129511540" w:tooltip="Current Document" w:history="1">
        <w:r w:rsidRPr="00A936B7" w:rsidR="00DC71F5">
          <w:rPr>
            <w:rStyle w:val="Hyperlink"/>
            <w:rFonts w:asciiTheme="minorEastAsia" w:eastAsiaTheme="minorEastAsia" w:hAnsiTheme="minorEastAsia" w:cs="宋体" w:hint="eastAsia"/>
            <w:highlight w:val="white"/>
          </w:rPr>
          <w:t>第十八部分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基金的信息披露</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_Toc129511540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61</w:t>
        </w:r>
        <w:r w:rsidRPr="00A936B7" w:rsidR="00DC71F5">
          <w:rPr>
            <w:rFonts w:asciiTheme="minorEastAsia" w:eastAsiaTheme="minorEastAsia" w:hAnsiTheme="minorEastAsia"/>
          </w:rPr>
          <w:fldChar w:fldCharType="end"/>
        </w:r>
      </w:hyperlink>
    </w:p>
    <w:p w:rsidR="009F340D" w:rsidRPr="00A936B7" w14:paraId="3530D0A3" w14:textId="77777777">
      <w:pPr>
        <w:pStyle w:val="TOC1"/>
        <w:rPr>
          <w:rFonts w:asciiTheme="minorEastAsia" w:eastAsiaTheme="minorEastAsia" w:hAnsiTheme="minorEastAsia" w:cs="Calibri" w:hint="eastAsia"/>
          <w:caps w:val="0"/>
          <w:color w:val="auto"/>
          <w:sz w:val="21"/>
          <w:szCs w:val="22"/>
        </w:rPr>
      </w:pPr>
      <w:hyperlink w:anchor="_Toc129511541" w:tooltip="Current Document" w:history="1">
        <w:r w:rsidRPr="00A936B7" w:rsidR="00DC71F5">
          <w:rPr>
            <w:rStyle w:val="Hyperlink"/>
            <w:rFonts w:asciiTheme="minorEastAsia" w:eastAsiaTheme="minorEastAsia" w:hAnsiTheme="minorEastAsia" w:cs="宋体" w:hint="eastAsia"/>
            <w:highlight w:val="white"/>
          </w:rPr>
          <w:t>第十九部分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侧袋机制</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_Toc129511541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67</w:t>
        </w:r>
        <w:r w:rsidRPr="00A936B7" w:rsidR="00DC71F5">
          <w:rPr>
            <w:rFonts w:asciiTheme="minorEastAsia" w:eastAsiaTheme="minorEastAsia" w:hAnsiTheme="minorEastAsia"/>
          </w:rPr>
          <w:fldChar w:fldCharType="end"/>
        </w:r>
      </w:hyperlink>
    </w:p>
    <w:p w:rsidR="009F340D" w:rsidRPr="00A936B7" w14:paraId="2CC0C107" w14:textId="77777777">
      <w:pPr>
        <w:pStyle w:val="TOC1"/>
        <w:rPr>
          <w:rFonts w:asciiTheme="minorEastAsia" w:eastAsiaTheme="minorEastAsia" w:hAnsiTheme="minorEastAsia" w:cs="Calibri" w:hint="eastAsia"/>
          <w:caps w:val="0"/>
          <w:color w:val="auto"/>
          <w:sz w:val="21"/>
          <w:szCs w:val="22"/>
        </w:rPr>
      </w:pPr>
      <w:hyperlink w:anchor="_Toc129511542" w:tooltip="Current Document" w:history="1">
        <w:r w:rsidRPr="00A936B7" w:rsidR="00DC71F5">
          <w:rPr>
            <w:rStyle w:val="Hyperlink"/>
            <w:rFonts w:asciiTheme="minorEastAsia" w:eastAsiaTheme="minorEastAsia" w:hAnsiTheme="minorEastAsia" w:cs="宋体" w:hint="eastAsia"/>
            <w:highlight w:val="white"/>
          </w:rPr>
          <w:t>第二十部分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风险揭示</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_Toc129511542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69</w:t>
        </w:r>
        <w:r w:rsidRPr="00A936B7" w:rsidR="00DC71F5">
          <w:rPr>
            <w:rFonts w:asciiTheme="minorEastAsia" w:eastAsiaTheme="minorEastAsia" w:hAnsiTheme="minorEastAsia"/>
          </w:rPr>
          <w:fldChar w:fldCharType="end"/>
        </w:r>
      </w:hyperlink>
    </w:p>
    <w:p w:rsidR="009F340D" w:rsidRPr="00A936B7" w14:paraId="79B9EBC7" w14:textId="77777777">
      <w:pPr>
        <w:pStyle w:val="TOC1"/>
        <w:rPr>
          <w:rFonts w:asciiTheme="minorEastAsia" w:eastAsiaTheme="minorEastAsia" w:hAnsiTheme="minorEastAsia" w:cs="Calibri" w:hint="eastAsia"/>
          <w:caps w:val="0"/>
          <w:color w:val="auto"/>
          <w:sz w:val="21"/>
          <w:szCs w:val="22"/>
        </w:rPr>
      </w:pPr>
      <w:hyperlink w:anchor="_Toc129511543" w:tooltip="Current Document" w:history="1">
        <w:r w:rsidRPr="00A936B7" w:rsidR="00DC71F5">
          <w:rPr>
            <w:rStyle w:val="Hyperlink"/>
            <w:rFonts w:asciiTheme="minorEastAsia" w:eastAsiaTheme="minorEastAsia" w:hAnsiTheme="minorEastAsia" w:cs="宋体" w:hint="eastAsia"/>
            <w:highlight w:val="white"/>
          </w:rPr>
          <w:t>第二十一部分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基金合同的变更、终止与基金财产的清算</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_Toc129511543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77</w:t>
        </w:r>
        <w:r w:rsidRPr="00A936B7" w:rsidR="00DC71F5">
          <w:rPr>
            <w:rFonts w:asciiTheme="minorEastAsia" w:eastAsiaTheme="minorEastAsia" w:hAnsiTheme="minorEastAsia"/>
          </w:rPr>
          <w:fldChar w:fldCharType="end"/>
        </w:r>
      </w:hyperlink>
    </w:p>
    <w:p w:rsidR="009F340D" w:rsidRPr="00A936B7" w14:paraId="6C972102" w14:textId="77777777">
      <w:pPr>
        <w:pStyle w:val="TOC1"/>
        <w:rPr>
          <w:rFonts w:asciiTheme="minorEastAsia" w:eastAsiaTheme="minorEastAsia" w:hAnsiTheme="minorEastAsia" w:cs="Calibri" w:hint="eastAsia"/>
          <w:caps w:val="0"/>
          <w:color w:val="auto"/>
          <w:sz w:val="21"/>
          <w:szCs w:val="22"/>
        </w:rPr>
      </w:pPr>
      <w:hyperlink w:anchor="_Toc129511544" w:tooltip="Current Document" w:history="1">
        <w:r w:rsidRPr="00A936B7" w:rsidR="00DC71F5">
          <w:rPr>
            <w:rStyle w:val="Hyperlink"/>
            <w:rFonts w:asciiTheme="minorEastAsia" w:eastAsiaTheme="minorEastAsia" w:hAnsiTheme="minorEastAsia" w:cs="宋体" w:hint="eastAsia"/>
            <w:highlight w:val="white"/>
          </w:rPr>
          <w:t>第二十二部分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基金合同的内容摘要</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_Toc129511544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79</w:t>
        </w:r>
        <w:r w:rsidRPr="00A936B7" w:rsidR="00DC71F5">
          <w:rPr>
            <w:rFonts w:asciiTheme="minorEastAsia" w:eastAsiaTheme="minorEastAsia" w:hAnsiTheme="minorEastAsia"/>
          </w:rPr>
          <w:fldChar w:fldCharType="end"/>
        </w:r>
      </w:hyperlink>
    </w:p>
    <w:p w:rsidR="009F340D" w:rsidRPr="00A936B7" w14:paraId="7CDA4355" w14:textId="77777777">
      <w:pPr>
        <w:pStyle w:val="TOC1"/>
        <w:rPr>
          <w:rFonts w:asciiTheme="minorEastAsia" w:eastAsiaTheme="minorEastAsia" w:hAnsiTheme="minorEastAsia" w:cs="Calibri" w:hint="eastAsia"/>
          <w:caps w:val="0"/>
          <w:color w:val="auto"/>
          <w:sz w:val="21"/>
          <w:szCs w:val="22"/>
        </w:rPr>
      </w:pPr>
      <w:hyperlink w:anchor="_Toc129511545" w:tooltip="Current Document" w:history="1">
        <w:r w:rsidRPr="00A936B7" w:rsidR="00DC71F5">
          <w:rPr>
            <w:rStyle w:val="Hyperlink"/>
            <w:rFonts w:asciiTheme="minorEastAsia" w:eastAsiaTheme="minorEastAsia" w:hAnsiTheme="minorEastAsia" w:cs="宋体" w:hint="eastAsia"/>
            <w:highlight w:val="white"/>
          </w:rPr>
          <w:t>第二十三部分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基金托管协议的内容摘要</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_Toc129511545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96</w:t>
        </w:r>
        <w:r w:rsidRPr="00A936B7" w:rsidR="00DC71F5">
          <w:rPr>
            <w:rFonts w:asciiTheme="minorEastAsia" w:eastAsiaTheme="minorEastAsia" w:hAnsiTheme="minorEastAsia"/>
          </w:rPr>
          <w:fldChar w:fldCharType="end"/>
        </w:r>
      </w:hyperlink>
    </w:p>
    <w:p w:rsidR="009F340D" w:rsidRPr="00A936B7" w14:paraId="5C560C96" w14:textId="77777777">
      <w:pPr>
        <w:pStyle w:val="TOC1"/>
        <w:rPr>
          <w:rFonts w:asciiTheme="minorEastAsia" w:eastAsiaTheme="minorEastAsia" w:hAnsiTheme="minorEastAsia" w:cs="Calibri" w:hint="eastAsia"/>
          <w:caps w:val="0"/>
          <w:color w:val="auto"/>
          <w:sz w:val="21"/>
          <w:szCs w:val="22"/>
        </w:rPr>
      </w:pPr>
      <w:hyperlink w:anchor="_Toc129511546" w:tooltip="Current Document" w:history="1">
        <w:r w:rsidRPr="00A936B7" w:rsidR="00DC71F5">
          <w:rPr>
            <w:rStyle w:val="Hyperlink"/>
            <w:rFonts w:asciiTheme="minorEastAsia" w:eastAsiaTheme="minorEastAsia" w:hAnsiTheme="minorEastAsia" w:cs="宋体" w:hint="eastAsia"/>
            <w:highlight w:val="white"/>
          </w:rPr>
          <w:t>第二十四部分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对基金份额持有人的服务</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_Toc129511546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108</w:t>
        </w:r>
        <w:r w:rsidRPr="00A936B7" w:rsidR="00DC71F5">
          <w:rPr>
            <w:rFonts w:asciiTheme="minorEastAsia" w:eastAsiaTheme="minorEastAsia" w:hAnsiTheme="minorEastAsia"/>
          </w:rPr>
          <w:fldChar w:fldCharType="end"/>
        </w:r>
      </w:hyperlink>
    </w:p>
    <w:p w:rsidR="009F340D" w:rsidRPr="00A936B7" w14:paraId="6C2DC84E" w14:textId="77777777">
      <w:pPr>
        <w:pStyle w:val="TOC1"/>
        <w:rPr>
          <w:rFonts w:asciiTheme="minorEastAsia" w:eastAsiaTheme="minorEastAsia" w:hAnsiTheme="minorEastAsia" w:cs="Calibri" w:hint="eastAsia"/>
          <w:caps w:val="0"/>
          <w:color w:val="auto"/>
          <w:sz w:val="21"/>
          <w:szCs w:val="22"/>
        </w:rPr>
      </w:pPr>
      <w:hyperlink w:anchor="_Toc129511547" w:tooltip="Current Document" w:history="1">
        <w:r w:rsidRPr="00A936B7" w:rsidR="00DC71F5">
          <w:rPr>
            <w:rStyle w:val="Hyperlink"/>
            <w:rFonts w:asciiTheme="minorEastAsia" w:eastAsiaTheme="minorEastAsia" w:hAnsiTheme="minorEastAsia" w:cs="宋体" w:hint="eastAsia"/>
            <w:highlight w:val="white"/>
          </w:rPr>
          <w:t>第二十五部分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其他应披露事项</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_Toc129511547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109</w:t>
        </w:r>
        <w:r w:rsidRPr="00A936B7" w:rsidR="00DC71F5">
          <w:rPr>
            <w:rFonts w:asciiTheme="minorEastAsia" w:eastAsiaTheme="minorEastAsia" w:hAnsiTheme="minorEastAsia"/>
          </w:rPr>
          <w:fldChar w:fldCharType="end"/>
        </w:r>
      </w:hyperlink>
    </w:p>
    <w:p w:rsidR="009F340D" w:rsidRPr="00A936B7" w14:paraId="336A552B" w14:textId="77777777">
      <w:pPr>
        <w:pStyle w:val="TOC1"/>
        <w:rPr>
          <w:rFonts w:asciiTheme="minorEastAsia" w:eastAsiaTheme="minorEastAsia" w:hAnsiTheme="minorEastAsia" w:cs="Calibri" w:hint="eastAsia"/>
          <w:caps w:val="0"/>
          <w:color w:val="auto"/>
          <w:sz w:val="21"/>
          <w:szCs w:val="22"/>
        </w:rPr>
      </w:pPr>
      <w:hyperlink w:anchor="_Toc129511548" w:tooltip="Current Document" w:history="1">
        <w:r w:rsidRPr="00A936B7" w:rsidR="00DC71F5">
          <w:rPr>
            <w:rStyle w:val="Hyperlink"/>
            <w:rFonts w:asciiTheme="minorEastAsia" w:eastAsiaTheme="minorEastAsia" w:hAnsiTheme="minorEastAsia" w:cs="宋体" w:hint="eastAsia"/>
            <w:highlight w:val="white"/>
          </w:rPr>
          <w:t>第二十六部分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招募说明书的存放及查阅方式</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_Toc129511548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110</w:t>
        </w:r>
        <w:r w:rsidRPr="00A936B7" w:rsidR="00DC71F5">
          <w:rPr>
            <w:rFonts w:asciiTheme="minorEastAsia" w:eastAsiaTheme="minorEastAsia" w:hAnsiTheme="minorEastAsia"/>
          </w:rPr>
          <w:fldChar w:fldCharType="end"/>
        </w:r>
      </w:hyperlink>
    </w:p>
    <w:p w:rsidR="009F340D" w:rsidRPr="00A936B7" w14:paraId="11521DC7" w14:textId="77777777">
      <w:pPr>
        <w:pStyle w:val="TOC1"/>
        <w:rPr>
          <w:rFonts w:asciiTheme="minorEastAsia" w:eastAsiaTheme="minorEastAsia" w:hAnsiTheme="minorEastAsia" w:cs="Calibri" w:hint="eastAsia"/>
          <w:caps w:val="0"/>
          <w:color w:val="auto"/>
          <w:sz w:val="21"/>
          <w:szCs w:val="22"/>
        </w:rPr>
      </w:pPr>
      <w:hyperlink w:anchor="_Toc129511549" w:tooltip="Current Document" w:history="1">
        <w:r w:rsidRPr="00A936B7" w:rsidR="00DC71F5">
          <w:rPr>
            <w:rStyle w:val="Hyperlink"/>
            <w:rFonts w:asciiTheme="minorEastAsia" w:eastAsiaTheme="minorEastAsia" w:hAnsiTheme="minorEastAsia" w:cs="宋体" w:hint="eastAsia"/>
            <w:highlight w:val="white"/>
          </w:rPr>
          <w:t>第二十七部分</w:t>
        </w:r>
        <w:r w:rsidRPr="00A936B7" w:rsidR="00DC71F5">
          <w:rPr>
            <w:rStyle w:val="Hyperlink"/>
            <w:rFonts w:asciiTheme="minorEastAsia" w:eastAsiaTheme="minorEastAsia" w:hAnsiTheme="minorEastAsia" w:cs="宋体"/>
            <w:highlight w:val="white"/>
          </w:rPr>
          <w:t xml:space="preserve"> </w:t>
        </w:r>
        <w:r w:rsidRPr="00A936B7" w:rsidR="00DC71F5">
          <w:rPr>
            <w:rStyle w:val="Hyperlink"/>
            <w:rFonts w:asciiTheme="minorEastAsia" w:eastAsiaTheme="minorEastAsia" w:hAnsiTheme="minorEastAsia" w:cs="宋体" w:hint="eastAsia"/>
            <w:highlight w:val="white"/>
          </w:rPr>
          <w:t>备查文件</w:t>
        </w:r>
        <w:r w:rsidRPr="00A936B7" w:rsidR="00DC71F5">
          <w:rPr>
            <w:rFonts w:asciiTheme="minorEastAsia" w:eastAsiaTheme="minorEastAsia" w:hAnsiTheme="minorEastAsia"/>
            <w:highlight w:val="white"/>
          </w:rPr>
          <w:tab/>
        </w:r>
        <w:r w:rsidRPr="00A936B7" w:rsidR="00DC71F5">
          <w:rPr>
            <w:rFonts w:asciiTheme="minorEastAsia" w:eastAsiaTheme="minorEastAsia" w:hAnsiTheme="minorEastAsia"/>
          </w:rPr>
          <w:fldChar w:fldCharType="begin"/>
        </w:r>
        <w:r w:rsidRPr="00A936B7" w:rsidR="00DC71F5">
          <w:rPr>
            <w:rFonts w:asciiTheme="minorEastAsia" w:eastAsiaTheme="minorEastAsia" w:hAnsiTheme="minorEastAsia"/>
            <w:highlight w:val="white"/>
          </w:rPr>
          <w:instrText xml:space="preserve"> PAGEREF _Toc129511549 \h </w:instrText>
        </w:r>
        <w:r w:rsidRPr="00A936B7" w:rsidR="00DC71F5">
          <w:rPr>
            <w:rFonts w:asciiTheme="minorEastAsia" w:eastAsiaTheme="minorEastAsia" w:hAnsiTheme="minorEastAsia"/>
          </w:rPr>
          <w:fldChar w:fldCharType="separate"/>
        </w:r>
        <w:r w:rsidRPr="00A936B7" w:rsidR="00FB62C2">
          <w:rPr>
            <w:rFonts w:asciiTheme="minorEastAsia" w:eastAsiaTheme="minorEastAsia" w:hAnsiTheme="minorEastAsia"/>
            <w:noProof/>
            <w:highlight w:val="white"/>
          </w:rPr>
          <w:t>111</w:t>
        </w:r>
        <w:r w:rsidRPr="00A936B7" w:rsidR="00DC71F5">
          <w:rPr>
            <w:rFonts w:asciiTheme="minorEastAsia" w:eastAsiaTheme="minorEastAsia" w:hAnsiTheme="minorEastAsia"/>
          </w:rPr>
          <w:fldChar w:fldCharType="end"/>
        </w:r>
      </w:hyperlink>
    </w:p>
    <w:p w:rsidR="009F340D" w:rsidRPr="00A936B7" w14:paraId="164D15E4" w14:textId="77777777">
      <w:pPr>
        <w:ind w:firstLine="560"/>
        <w:jc w:val="center"/>
        <w:rPr>
          <w:rFonts w:asciiTheme="minorEastAsia" w:eastAsiaTheme="minorEastAsia" w:hAnsiTheme="minorEastAsia" w:cs="宋体" w:hint="eastAsia"/>
          <w:b/>
          <w:caps/>
          <w:sz w:val="24"/>
          <w:szCs w:val="28"/>
        </w:rPr>
      </w:pPr>
      <w:r w:rsidRPr="00A936B7">
        <w:rPr>
          <w:rFonts w:asciiTheme="minorEastAsia" w:eastAsiaTheme="minorEastAsia" w:hAnsiTheme="minorEastAsia" w:cs="宋体"/>
          <w:b/>
          <w:caps/>
          <w:sz w:val="24"/>
          <w:szCs w:val="28"/>
        </w:rPr>
        <w:fldChar w:fldCharType="end"/>
      </w:r>
    </w:p>
    <w:p w:rsidR="009F340D" w:rsidRPr="00A936B7" w14:paraId="264D80F4" w14:textId="77777777">
      <w:pPr>
        <w:ind w:firstLine="560"/>
        <w:jc w:val="center"/>
        <w:rPr>
          <w:rFonts w:asciiTheme="minorEastAsia" w:eastAsiaTheme="minorEastAsia" w:hAnsiTheme="minorEastAsia" w:cs="宋体" w:hint="eastAsia"/>
          <w:b/>
          <w:caps/>
          <w:sz w:val="24"/>
          <w:szCs w:val="28"/>
        </w:rPr>
        <w:sectPr>
          <w:headerReference w:type="even" r:id="rId11"/>
          <w:headerReference w:type="default" r:id="rId12"/>
          <w:footerReference w:type="even" r:id="rId13"/>
          <w:footerReference w:type="default" r:id="rId14"/>
          <w:pgSz w:w="11906" w:h="16838"/>
          <w:pgMar w:top="1440" w:right="1803" w:bottom="1440" w:left="1803" w:header="851" w:footer="992" w:gutter="0"/>
          <w:pgNumType w:start="1"/>
          <w:cols w:space="720"/>
          <w:docGrid w:type="lines" w:linePitch="317"/>
        </w:sectPr>
      </w:pPr>
    </w:p>
    <w:p w:rsidR="009F340D" w:rsidRPr="00A936B7" w14:paraId="0658E22B" w14:textId="77777777">
      <w:pPr>
        <w:pStyle w:val="10"/>
        <w:spacing w:before="317" w:after="317" w:line="320" w:lineRule="exact"/>
        <w:ind w:firstLine="600"/>
        <w:rPr>
          <w:rFonts w:asciiTheme="minorEastAsia" w:eastAsiaTheme="minorEastAsia" w:hAnsiTheme="minorEastAsia" w:cs="宋体" w:hint="eastAsia"/>
          <w:b w:val="0"/>
          <w:sz w:val="30"/>
          <w:szCs w:val="30"/>
          <w:lang w:eastAsia="zh-CN"/>
        </w:rPr>
      </w:pPr>
      <w:bookmarkStart w:id="0" w:name="_Toc129511523"/>
      <w:bookmarkStart w:id="1" w:name="_Toc332373444"/>
      <w:r w:rsidRPr="00A936B7">
        <w:rPr>
          <w:rFonts w:asciiTheme="minorEastAsia" w:eastAsiaTheme="minorEastAsia" w:hAnsiTheme="minorEastAsia" w:cs="宋体" w:hint="eastAsia"/>
          <w:b w:val="0"/>
          <w:sz w:val="30"/>
          <w:szCs w:val="30"/>
          <w:highlight w:val="white"/>
          <w:lang w:eastAsia="zh-CN"/>
        </w:rPr>
        <w:t>第一部分</w:t>
      </w:r>
      <w:r w:rsidRPr="00A936B7">
        <w:rPr>
          <w:rFonts w:asciiTheme="minorEastAsia" w:eastAsiaTheme="minorEastAsia" w:hAnsiTheme="minorEastAsia" w:cs="宋体"/>
          <w:b w:val="0"/>
          <w:sz w:val="30"/>
          <w:szCs w:val="30"/>
          <w:highlight w:val="white"/>
          <w:lang w:eastAsia="zh-CN"/>
        </w:rPr>
        <w:t xml:space="preserve"> </w:t>
      </w:r>
      <w:r w:rsidRPr="00A936B7">
        <w:rPr>
          <w:rFonts w:asciiTheme="minorEastAsia" w:eastAsiaTheme="minorEastAsia" w:hAnsiTheme="minorEastAsia" w:cs="宋体" w:hint="eastAsia"/>
          <w:b w:val="0"/>
          <w:sz w:val="30"/>
          <w:szCs w:val="30"/>
          <w:highlight w:val="white"/>
          <w:lang w:eastAsia="zh-CN"/>
        </w:rPr>
        <w:t>绪</w:t>
      </w:r>
      <w:r w:rsidRPr="00A936B7">
        <w:rPr>
          <w:rFonts w:asciiTheme="minorEastAsia" w:eastAsiaTheme="minorEastAsia" w:hAnsiTheme="minorEastAsia" w:cs="宋体"/>
          <w:b w:val="0"/>
          <w:sz w:val="30"/>
          <w:szCs w:val="30"/>
          <w:highlight w:val="white"/>
          <w:lang w:eastAsia="zh-CN"/>
        </w:rPr>
        <w:t xml:space="preserve">  言</w:t>
      </w:r>
      <w:bookmarkEnd w:id="0"/>
      <w:bookmarkEnd w:id="1"/>
    </w:p>
    <w:p w:rsidR="009F340D" w:rsidRPr="00A936B7" w14:paraId="1AE930B7" w14:textId="77777777">
      <w:pPr>
        <w:spacing w:line="360" w:lineRule="auto"/>
        <w:ind w:firstLine="420"/>
        <w:rPr>
          <w:rFonts w:asciiTheme="minorEastAsia" w:eastAsiaTheme="minorEastAsia" w:hAnsiTheme="minorEastAsia" w:cs="宋体" w:hint="eastAsia"/>
          <w:szCs w:val="21"/>
          <w:lang w:eastAsia="zh-CN"/>
        </w:rPr>
      </w:pPr>
    </w:p>
    <w:p w:rsidR="009F340D" w:rsidRPr="00A936B7" w14:paraId="7EFE8C9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本招募说明书依据《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证券投资基金信息披露内容与格式准则第5号&lt;招募说明书的内容与格式&gt;》《公开募集开放式证券投资基金流动性风险管理规定》（以下简称《</w:t>
      </w:r>
      <w:r w:rsidRPr="00A936B7">
        <w:rPr>
          <w:rStyle w:val="da"/>
          <w:rFonts w:asciiTheme="minorEastAsia" w:eastAsiaTheme="minorEastAsia" w:hAnsiTheme="minorEastAsia" w:cs="宋体" w:hint="eastAsia"/>
          <w:szCs w:val="21"/>
          <w:highlight w:val="white"/>
          <w:lang w:eastAsia="zh-CN"/>
        </w:rPr>
        <w:t>流动性风险</w:t>
      </w:r>
      <w:r w:rsidRPr="00A936B7">
        <w:rPr>
          <w:rFonts w:asciiTheme="minorEastAsia" w:eastAsiaTheme="minorEastAsia" w:hAnsiTheme="minorEastAsia" w:cs="宋体" w:hint="eastAsia"/>
          <w:szCs w:val="21"/>
          <w:highlight w:val="white"/>
          <w:lang w:eastAsia="zh-CN"/>
        </w:rPr>
        <w:t>管理规定》）、</w:t>
      </w:r>
      <w:r w:rsidRPr="00A936B7">
        <w:rPr>
          <w:rFonts w:asciiTheme="minorEastAsia" w:eastAsiaTheme="minorEastAsia" w:hAnsiTheme="minorEastAsia" w:cs="宋体"/>
          <w:color w:val="000000"/>
          <w:szCs w:val="21"/>
          <w:highlight w:val="white"/>
          <w:lang w:eastAsia="zh-CN"/>
        </w:rPr>
        <w:t>《公开募集证券投资基金运作指引第3号——指数基金指引》（以下简称《指数基金指引》）、</w:t>
      </w:r>
      <w:r w:rsidRPr="00A936B7">
        <w:rPr>
          <w:rFonts w:asciiTheme="minorEastAsia" w:eastAsiaTheme="minorEastAsia" w:hAnsiTheme="minorEastAsia" w:cs="宋体"/>
          <w:szCs w:val="21"/>
          <w:highlight w:val="white"/>
          <w:lang w:eastAsia="zh-CN"/>
        </w:rPr>
        <w:t>《</w:t>
      </w:r>
      <w:r w:rsidRPr="00A936B7">
        <w:rPr>
          <w:rFonts w:asciiTheme="minorEastAsia" w:eastAsiaTheme="minorEastAsia" w:hAnsiTheme="minorEastAsia" w:cs="宋体" w:hint="eastAsia"/>
          <w:szCs w:val="21"/>
          <w:lang w:eastAsia="zh-CN"/>
        </w:rPr>
        <w:t>易方达上证综合交易型开放式指数证券投资基金联接基金</w:t>
      </w:r>
      <w:r w:rsidRPr="00A936B7">
        <w:rPr>
          <w:rFonts w:asciiTheme="minorEastAsia" w:eastAsiaTheme="minorEastAsia" w:hAnsiTheme="minorEastAsia" w:cs="宋体" w:hint="eastAsia"/>
          <w:szCs w:val="21"/>
          <w:highlight w:val="white"/>
          <w:lang w:eastAsia="zh-CN"/>
        </w:rPr>
        <w:t>基金合同》（以下简称基金合同）及其它有关规定等编写。</w:t>
      </w:r>
    </w:p>
    <w:p w:rsidR="009F340D" w:rsidRPr="00A936B7" w14:paraId="06642180" w14:textId="77777777">
      <w:pPr>
        <w:spacing w:line="360" w:lineRule="auto"/>
        <w:ind w:firstLine="420"/>
        <w:rPr>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基金管理人承诺本招募说明书不存在任何虚假记载、误导性陈述或者重大遗漏</w:t>
      </w:r>
      <w:r w:rsidR="006662BF">
        <w:rPr>
          <w:rStyle w:val="da"/>
          <w:rFonts w:asciiTheme="minorEastAsia" w:eastAsiaTheme="minorEastAsia" w:hAnsiTheme="minorEastAsia" w:cs="宋体" w:hint="eastAsia"/>
          <w:szCs w:val="21"/>
          <w:highlight w:val="white"/>
          <w:lang w:eastAsia="zh-CN"/>
        </w:rPr>
        <w:t>，</w:t>
      </w:r>
      <w:r w:rsidRPr="00A936B7">
        <w:rPr>
          <w:rStyle w:val="da"/>
          <w:rFonts w:asciiTheme="minorEastAsia" w:eastAsiaTheme="minorEastAsia" w:hAnsiTheme="minorEastAsia" w:cs="宋体" w:hint="eastAsia"/>
          <w:szCs w:val="21"/>
          <w:highlight w:val="white"/>
          <w:lang w:eastAsia="zh-CN"/>
        </w:rPr>
        <w:t>并对其真实性、准确性、完整性承担法律责任。本基金是根据本招募说明书所载明的资料申请募集的。本基金管理人没有委托或授权任何其他人提供未在本招募说明书中载明的信息，或对本招募说明书作任何解释或者说明。</w:t>
      </w:r>
    </w:p>
    <w:p w:rsidR="009F340D" w:rsidRPr="00A936B7" w14:paraId="4A65D83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本招募说明书根据本基金的基金合同编写，并经中国证监会注册。基金合同是约定基金当事人之间权利、义务的法律文件。基金投资人依基金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p>
    <w:p w:rsidR="009F340D" w:rsidRPr="00A936B7" w14:paraId="40253A22" w14:textId="77777777">
      <w:pPr>
        <w:spacing w:line="360" w:lineRule="auto"/>
        <w:ind w:firstLine="482"/>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本基金按照中国法律法规成立并运作，若基金合同、招募说明书等基金法律文件的内容与届时有效的法律法规的强制性规定不一致，应当以届时有效的法律法规的规定为准。</w:t>
      </w:r>
    </w:p>
    <w:p w:rsidR="009F340D" w:rsidRPr="00A936B7" w14:paraId="6F33F700" w14:textId="77777777">
      <w:pPr>
        <w:spacing w:line="360" w:lineRule="auto"/>
        <w:ind w:firstLine="482"/>
        <w:rPr>
          <w:rFonts w:asciiTheme="minorEastAsia" w:eastAsiaTheme="minorEastAsia" w:hAnsiTheme="minorEastAsia" w:cs="宋体" w:hint="eastAsia"/>
          <w:szCs w:val="21"/>
          <w:lang w:eastAsia="zh-CN"/>
        </w:rPr>
      </w:pPr>
    </w:p>
    <w:p w:rsidR="009F340D" w:rsidRPr="00A936B7" w14:paraId="3797B43C" w14:textId="77777777">
      <w:pPr>
        <w:widowControl/>
        <w:jc w:val="left"/>
        <w:rPr>
          <w:rFonts w:asciiTheme="minorEastAsia" w:eastAsiaTheme="minorEastAsia" w:hAnsiTheme="minorEastAsia" w:cs="宋体" w:hint="eastAsia"/>
          <w:sz w:val="30"/>
          <w:szCs w:val="20"/>
          <w:lang w:eastAsia="zh-CN"/>
        </w:rPr>
      </w:pPr>
      <w:bookmarkStart w:id="2" w:name="_Toc332373445"/>
      <w:r w:rsidRPr="00A936B7">
        <w:rPr>
          <w:rFonts w:asciiTheme="minorEastAsia" w:eastAsiaTheme="minorEastAsia" w:hAnsiTheme="minorEastAsia" w:cs="宋体"/>
          <w:sz w:val="30"/>
          <w:highlight w:val="white"/>
          <w:lang w:eastAsia="zh-CN"/>
        </w:rPr>
        <w:br w:type="page"/>
      </w:r>
    </w:p>
    <w:p w:rsidR="009F340D" w:rsidRPr="00A936B7" w14:paraId="51EA37BD" w14:textId="77777777">
      <w:pPr>
        <w:pStyle w:val="111"/>
        <w:pageBreakBefore w:val="0"/>
        <w:spacing w:before="317" w:after="317" w:line="320" w:lineRule="exact"/>
        <w:ind w:firstLine="600"/>
        <w:rPr>
          <w:rFonts w:asciiTheme="minorEastAsia" w:eastAsiaTheme="minorEastAsia" w:hAnsiTheme="minorEastAsia" w:cs="宋体" w:hint="eastAsia"/>
          <w:sz w:val="30"/>
          <w:szCs w:val="30"/>
          <w:lang w:eastAsia="zh-CN"/>
        </w:rPr>
      </w:pPr>
      <w:bookmarkStart w:id="3" w:name="_Toc129511524"/>
      <w:r w:rsidRPr="00A936B7">
        <w:rPr>
          <w:rFonts w:asciiTheme="minorEastAsia" w:eastAsiaTheme="minorEastAsia" w:hAnsiTheme="minorEastAsia" w:cs="宋体"/>
          <w:sz w:val="30"/>
          <w:szCs w:val="30"/>
          <w:highlight w:val="white"/>
          <w:lang w:eastAsia="zh-CN"/>
        </w:rPr>
        <w:t>第二部分 释  义</w:t>
      </w:r>
      <w:bookmarkEnd w:id="2"/>
      <w:bookmarkEnd w:id="3"/>
    </w:p>
    <w:p w:rsidR="009F340D" w:rsidRPr="00A936B7" w14:paraId="2169349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本招募说明书中除非文意另有所指，下列词语或</w:t>
      </w:r>
      <w:r w:rsidRPr="00A936B7">
        <w:rPr>
          <w:rStyle w:val="da"/>
          <w:rFonts w:asciiTheme="minorEastAsia" w:eastAsiaTheme="minorEastAsia" w:hAnsiTheme="minorEastAsia" w:cs="宋体"/>
          <w:szCs w:val="21"/>
          <w:highlight w:val="white"/>
          <w:lang w:eastAsia="zh-CN"/>
        </w:rPr>
        <w:t>简称</w:t>
      </w:r>
      <w:r w:rsidRPr="00A936B7">
        <w:rPr>
          <w:rStyle w:val="da"/>
          <w:rFonts w:asciiTheme="minorEastAsia" w:eastAsiaTheme="minorEastAsia" w:hAnsiTheme="minorEastAsia" w:cs="宋体" w:hint="eastAsia"/>
          <w:szCs w:val="21"/>
          <w:highlight w:val="white"/>
          <w:lang w:eastAsia="zh-CN"/>
        </w:rPr>
        <w:t>具有如下含义：</w:t>
      </w:r>
    </w:p>
    <w:p w:rsidR="009F340D" w:rsidRPr="00A936B7" w14:paraId="5C14348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1、基金或本基金：指</w:t>
      </w:r>
      <w:r w:rsidRPr="00A936B7">
        <w:rPr>
          <w:rStyle w:val="da"/>
          <w:rFonts w:asciiTheme="minorEastAsia" w:eastAsiaTheme="minorEastAsia" w:hAnsiTheme="minorEastAsia" w:cs="宋体" w:hint="eastAsia"/>
          <w:szCs w:val="21"/>
          <w:lang w:eastAsia="zh-CN"/>
        </w:rPr>
        <w:t>易方达上证综合交易型开放式指数证券投资基金联接基金</w:t>
      </w:r>
    </w:p>
    <w:p w:rsidR="009F340D" w:rsidRPr="00A936B7" w14:paraId="0E30733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 xml:space="preserve">2、基金管理人：指易方达基金管理有限公司          </w:t>
      </w:r>
    </w:p>
    <w:p w:rsidR="009F340D" w:rsidRPr="00A936B7" w14:paraId="73C1D49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3、基金托管人：指</w:t>
      </w:r>
      <w:r w:rsidRPr="00A936B7">
        <w:rPr>
          <w:rStyle w:val="da"/>
          <w:rFonts w:asciiTheme="minorEastAsia" w:eastAsiaTheme="minorEastAsia" w:hAnsiTheme="minorEastAsia" w:cs="宋体" w:hint="eastAsia"/>
          <w:szCs w:val="21"/>
          <w:lang w:eastAsia="zh-CN"/>
        </w:rPr>
        <w:t>中国银行股份有限公司</w:t>
      </w:r>
      <w:r w:rsidRPr="00A936B7">
        <w:rPr>
          <w:rStyle w:val="da"/>
          <w:rFonts w:asciiTheme="minorEastAsia" w:eastAsiaTheme="minorEastAsia" w:hAnsiTheme="minorEastAsia" w:cs="宋体" w:hint="eastAsia"/>
          <w:szCs w:val="21"/>
          <w:highlight w:val="white"/>
          <w:lang w:eastAsia="zh-CN"/>
        </w:rPr>
        <w:t xml:space="preserve"> </w:t>
      </w:r>
    </w:p>
    <w:p w:rsidR="009F340D" w:rsidRPr="00A936B7" w14:paraId="6E0547C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4、基金合同：指《</w:t>
      </w:r>
      <w:r w:rsidRPr="00A936B7">
        <w:rPr>
          <w:rStyle w:val="da"/>
          <w:rFonts w:asciiTheme="minorEastAsia" w:eastAsiaTheme="minorEastAsia" w:hAnsiTheme="minorEastAsia" w:cs="宋体" w:hint="eastAsia"/>
          <w:szCs w:val="21"/>
          <w:lang w:eastAsia="zh-CN"/>
        </w:rPr>
        <w:t>易方达上证综合交易型开放式指数证券投资基金联接基金</w:t>
      </w:r>
      <w:r w:rsidRPr="00A936B7">
        <w:rPr>
          <w:rStyle w:val="da"/>
          <w:rFonts w:asciiTheme="minorEastAsia" w:eastAsiaTheme="minorEastAsia" w:hAnsiTheme="minorEastAsia" w:cs="宋体" w:hint="eastAsia"/>
          <w:szCs w:val="21"/>
          <w:highlight w:val="white"/>
          <w:lang w:eastAsia="zh-CN"/>
        </w:rPr>
        <w:t>基金合同》及对基金合同的任何有效修订和补充</w:t>
      </w:r>
    </w:p>
    <w:p w:rsidR="009F340D" w:rsidRPr="00A936B7" w14:paraId="5B9F434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5、托管协议：指基金管理人与基金托管人就本基金签订之《</w:t>
      </w:r>
      <w:r w:rsidRPr="00A936B7">
        <w:rPr>
          <w:rStyle w:val="da"/>
          <w:rFonts w:asciiTheme="minorEastAsia" w:eastAsiaTheme="minorEastAsia" w:hAnsiTheme="minorEastAsia" w:cs="宋体" w:hint="eastAsia"/>
          <w:szCs w:val="21"/>
          <w:lang w:eastAsia="zh-CN"/>
        </w:rPr>
        <w:t>易方达上证综合交易型开放式指数证券投资基金联接基金</w:t>
      </w:r>
      <w:r w:rsidRPr="00A936B7">
        <w:rPr>
          <w:rStyle w:val="da"/>
          <w:rFonts w:asciiTheme="minorEastAsia" w:eastAsiaTheme="minorEastAsia" w:hAnsiTheme="minorEastAsia" w:cs="宋体" w:hint="eastAsia"/>
          <w:szCs w:val="21"/>
          <w:highlight w:val="white"/>
          <w:lang w:eastAsia="zh-CN"/>
        </w:rPr>
        <w:t>托管协议》及对该托管协议的任何有效修订和补充</w:t>
      </w:r>
    </w:p>
    <w:p w:rsidR="009F340D" w:rsidRPr="00A936B7" w14:paraId="07E4FE9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6、招募说明书或本招募说明书：指《</w:t>
      </w:r>
      <w:r w:rsidRPr="00A936B7">
        <w:rPr>
          <w:rStyle w:val="da"/>
          <w:rFonts w:asciiTheme="minorEastAsia" w:eastAsiaTheme="minorEastAsia" w:hAnsiTheme="minorEastAsia" w:cs="宋体" w:hint="eastAsia"/>
          <w:szCs w:val="21"/>
          <w:lang w:eastAsia="zh-CN"/>
        </w:rPr>
        <w:t>易方达上证综合交易型开放式指数证券投资基金联接基金</w:t>
      </w:r>
      <w:r w:rsidRPr="00A936B7">
        <w:rPr>
          <w:rStyle w:val="da"/>
          <w:rFonts w:asciiTheme="minorEastAsia" w:eastAsiaTheme="minorEastAsia" w:hAnsiTheme="minorEastAsia" w:cs="宋体" w:hint="eastAsia"/>
          <w:szCs w:val="21"/>
          <w:highlight w:val="white"/>
          <w:lang w:eastAsia="zh-CN"/>
        </w:rPr>
        <w:t>招募说明书》及其更新</w:t>
      </w:r>
    </w:p>
    <w:p w:rsidR="009F340D" w:rsidRPr="00A936B7" w14:paraId="7707D41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7、基金产品资料概要：指《易方达上证综合交易型开放式指数证券投资基金联接基金基金产品资料概要》及其更新</w:t>
      </w:r>
    </w:p>
    <w:p w:rsidR="009F340D" w:rsidRPr="00A936B7" w14:paraId="0260BCD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8、基金份额发售公告：指《易方达上证综合交易型开放式指数证券投资基金联接基金基金份额发售公告》</w:t>
      </w:r>
    </w:p>
    <w:p w:rsidR="009F340D" w:rsidRPr="00A936B7" w14:paraId="5439646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9、标的指数：指上证综合指数及其未来可能发生的变更</w:t>
      </w:r>
    </w:p>
    <w:p w:rsidR="009F340D" w:rsidRPr="00A936B7" w14:paraId="38CD137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10、目标ETF：指易方达上证综合交易型开放式指数证券投资基金</w:t>
      </w:r>
    </w:p>
    <w:p w:rsidR="009F340D" w:rsidRPr="00A936B7" w14:paraId="2E70A37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11、ETF联接基金：指将绝大部分基金财产投资于跟踪同一标的指数的ETF（以下简称目标ETF），紧密跟踪标的指数表现，追求跟踪偏离度和跟踪误差最小化，采用开放式运作方式的基金，简称联接基金</w:t>
      </w:r>
    </w:p>
    <w:p w:rsidR="009F340D" w:rsidRPr="00A936B7" w14:paraId="323C8B1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12、法律法规：指中国现行有效并公布实施的法律、行政法规、规范性文件、司法解释、行政规章以及其他对基金合同当事人有约束力的决定、决议、通知等</w:t>
      </w:r>
    </w:p>
    <w:p w:rsidR="009F340D" w:rsidRPr="00A936B7" w14:paraId="57AFB56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13、《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rsidR="009F340D" w:rsidRPr="00A936B7" w14:paraId="0AD04E4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14、《销售办法》：指中国证监会2020年8月28日颁布、同年10月1日实施的《公开募集证券投资基金销售机构监督管理办法》及颁布机关对其不时做出的修订</w:t>
      </w:r>
    </w:p>
    <w:p w:rsidR="009F340D" w:rsidRPr="00A936B7" w14:paraId="7456A87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15、《信息披露办法》：指中国证监会2019年7月26日颁布、同年9月1日实施的《公开募集证券投资基金信息披露管理办法》及颁布机关对其不时做出的修订</w:t>
      </w:r>
    </w:p>
    <w:p w:rsidR="009F340D" w:rsidRPr="00A936B7" w14:paraId="3B88E3E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16、《运作办法》：指中国证监会2014年7月7日颁布、同年8月8日实施的《公开募集证券投资基金运作管理办法》及颁布机关对其不时做出的修订</w:t>
      </w:r>
    </w:p>
    <w:p w:rsidR="009F340D" w:rsidRPr="00A936B7" w14:paraId="0D9CABB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17、《流动性风险管理规定》：指中国证监会2017年8月31日颁布、同年10月1日实施的《公开募集开放式证券投资基金流动性风险管理规定》及颁布机关对其不时做出的修订</w:t>
      </w:r>
    </w:p>
    <w:p w:rsidR="009F340D" w:rsidRPr="00A936B7" w14:paraId="4E74D3F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18、《指数基金指引》：指中国证监会2021年1月22日颁布、同年2月1日实施的《公开募集证券投资基金运作指引第3号——指数基金指引》及颁布机关对其不时做出的修订</w:t>
      </w:r>
    </w:p>
    <w:p w:rsidR="009F340D" w:rsidRPr="00A936B7" w14:paraId="72F56D7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19、中国证监会：指中国证券监督管理委员会</w:t>
      </w:r>
    </w:p>
    <w:p w:rsidR="009F340D" w:rsidRPr="00A936B7" w14:paraId="4C7494C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20、银行业监督管理机构：指中国人民银行和/或国家金融监督管理总局</w:t>
      </w:r>
    </w:p>
    <w:p w:rsidR="009F340D" w:rsidRPr="00A936B7" w14:paraId="2F7C01D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21、基金合同当事人：指受基金合同约束，根据基金合同享有权利并承担义务的法律主体，包括基金管理人、基金托管人和基金份额持有人</w:t>
      </w:r>
    </w:p>
    <w:p w:rsidR="009F340D" w:rsidRPr="00A936B7" w14:paraId="435F586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22、个人投资者：指依据有关法律法规规定可投资于证券投资基金的自然人</w:t>
      </w:r>
    </w:p>
    <w:p w:rsidR="009F340D" w:rsidRPr="00A936B7" w14:paraId="3BCED28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23、机构投资者：指依法可以投资证券投资基金的、在中华人民共和国境内合法登记并存续或经有关政府部门批准设立并存续的企业法人、事业法人、社会团体或其他组织</w:t>
      </w:r>
    </w:p>
    <w:p w:rsidR="009F340D" w:rsidRPr="00A936B7" w14:paraId="086ED1C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24、合格境外投资者：指符合相关法律法规规定使用来自境外的资金进行境内证券期货投资的境外机构投资者，包括合格境外机构投资者和人民币合格境外机构投资者</w:t>
      </w:r>
    </w:p>
    <w:p w:rsidR="009F340D" w:rsidRPr="00A936B7" w14:paraId="1E73294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25、投资人、投资者：指个人投资者、机构投资者、合格境外投资者以及法律法规或中国证监会允许购买证券投资基金的其他投资人的合称</w:t>
      </w:r>
    </w:p>
    <w:p w:rsidR="009F340D" w:rsidRPr="00A936B7" w14:paraId="4304063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26、基金份额持有人：指依基金合同和招募说明书合法取得基金份额的投资人</w:t>
      </w:r>
    </w:p>
    <w:p w:rsidR="009F340D" w:rsidRPr="00A936B7" w14:paraId="0C6EB83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27、基金销售业务：指基金管理人或销售机构宣传推介基金，发售基金份额，办理基金份额的申购、赎回、转换、转托管及定期定额投资等业务</w:t>
      </w:r>
    </w:p>
    <w:p w:rsidR="009F340D" w:rsidRPr="00A936B7" w14:paraId="0E9D8F6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28、销售机构：指易方达基金管理有限公司以及符合《销售办法》和中国证监会规定的其他条件，取得基金销售业务资格并与基金管理人签订了基金销售服务协议，办理基金销售业务的机构</w:t>
      </w:r>
    </w:p>
    <w:p w:rsidR="009F340D" w:rsidRPr="00A936B7" w14:paraId="4D92A36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29、登记业务：指基金登记、存管、过户、清算和结算业务，具体内容包括投资人基金账户的建立和管理、基金份额登记、基金销售业务的确认、清算和结算、代理发放红利、建立并保管基金份额持有人名册和办理非交易过户等</w:t>
      </w:r>
    </w:p>
    <w:p w:rsidR="009F340D" w:rsidRPr="00A936B7" w14:paraId="0D93897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30、登记机构：指办理登记业务的机构。基金的登记机构为易方达基金管理有限公司或接受易方达基金管理有限公司委托代为办理登记业务的机构</w:t>
      </w:r>
    </w:p>
    <w:p w:rsidR="009F340D" w:rsidRPr="00A936B7" w14:paraId="700DC5B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31、基金账户：指登记机构为投资人开立的、记录其持有的、基金管理人所管理的基金份额余额及其变动情况的账户</w:t>
      </w:r>
    </w:p>
    <w:p w:rsidR="009F340D" w:rsidRPr="00A936B7" w14:paraId="5B67DB3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32、基金交易账户：指销售机构为投资人开立的、记录投资人通过该销售机构办理认购、申购、赎回、转换、转托管及定期定额投资等业务而引起的基金份额变动及结余情况的账户</w:t>
      </w:r>
    </w:p>
    <w:p w:rsidR="009F340D" w:rsidRPr="00A936B7" w14:paraId="3A52D5D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33、基金合同生效日：指基金募集达到法律法规规定及基金合同规定的条件，基金管理人向中国证监会办理基金备案手续完毕，并获得中国证监会书面确认的日期</w:t>
      </w:r>
    </w:p>
    <w:p w:rsidR="009F340D" w:rsidRPr="00A936B7" w14:paraId="16E20CF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34、基金合同终止日：指基金合同规定的基金合同终止事由出现后，基金财产清算完毕，清算结果报中国证监会备案并予以公告的日期</w:t>
      </w:r>
    </w:p>
    <w:p w:rsidR="009F340D" w:rsidRPr="00A936B7" w14:paraId="79184F9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35、基金募集期：指自基金份额发售之日起至发售结束之日止的期间，最长不得超过3个月</w:t>
      </w:r>
    </w:p>
    <w:p w:rsidR="009F340D" w:rsidRPr="00A936B7" w14:paraId="34B281B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36、存续期：指基金合同生效日至终止日之间的不定期期限</w:t>
      </w:r>
    </w:p>
    <w:p w:rsidR="009F340D" w:rsidRPr="00A936B7" w14:paraId="3F26265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37、工作日：指上海证券交易所、深圳证券交易所的交易日</w:t>
      </w:r>
    </w:p>
    <w:p w:rsidR="009F340D" w:rsidRPr="00A936B7" w14:paraId="359A871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38、T日：指销售机构在规定时间受理投资人申购、赎回或其他业务申请的开放日</w:t>
      </w:r>
    </w:p>
    <w:p w:rsidR="009F340D" w:rsidRPr="00A936B7" w14:paraId="043C636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39、T+n日：指自T日起第n个工作日（不包含T日），n为自然数</w:t>
      </w:r>
    </w:p>
    <w:p w:rsidR="009F340D" w:rsidRPr="00A936B7" w14:paraId="1BBD4FA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40、开放日：指为投资人办理基金份额申购、赎回或其他业务的工作日</w:t>
      </w:r>
    </w:p>
    <w:p w:rsidR="009F340D" w:rsidRPr="00A936B7" w14:paraId="48A5F4E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41、开放时间：指开放日基金接受申购、赎回或其他交易的时间段</w:t>
      </w:r>
    </w:p>
    <w:p w:rsidR="009F340D" w:rsidRPr="00A936B7" w14:paraId="21B18BC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42、《业务规则》：指《易方达基金管理有限公司开放式基金业务规则》，是规范基金管理人所管理的开放式证券投资基金登记方面的业务规则，由基金管理人和投资人共同遵守</w:t>
      </w:r>
    </w:p>
    <w:p w:rsidR="009F340D" w:rsidRPr="00A936B7" w14:paraId="334C11C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43、认购：指在基金募集期内，投资人根据基金合同和招募说明书的规定申请购买基金份额的行为</w:t>
      </w:r>
    </w:p>
    <w:p w:rsidR="009F340D" w:rsidRPr="00A936B7" w14:paraId="0853F4B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44、申购：指基金合同生效后，投资人根据基金合同和招募说明书的规定申请购买基金份额的行为</w:t>
      </w:r>
    </w:p>
    <w:p w:rsidR="009F340D" w:rsidRPr="00A936B7" w14:paraId="17E0B58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45、赎回：指基金合同生效后，基金份额持有人按基金合同和招募说明书规定的条件要求将基金份额兑换为现金的行为</w:t>
      </w:r>
    </w:p>
    <w:p w:rsidR="009F340D" w:rsidRPr="00A936B7" w14:paraId="22A0BEB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46、基金转换：指基金份额持有人按照基金合同和基金管理人届时有效公告规定的条件，申请将其持有基金管理人管理的、某一基金的基金份额转换为基金管理人管理的其他基金基金份额的行为</w:t>
      </w:r>
    </w:p>
    <w:p w:rsidR="009F340D" w:rsidRPr="00A936B7" w14:paraId="0BC1D8B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47、转托管：指基金份额持有人在本基金的不同销售机构之间实施的变更所持基金份额销售机构的操作</w:t>
      </w:r>
    </w:p>
    <w:p w:rsidR="009F340D" w:rsidRPr="00A936B7" w14:paraId="26A4851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48、定期定额投资计划：指投资人通过有关销售机构提出申请，约定每期申购日、扣款金额及扣款方式，由销售机构于每期约定扣款日在投资人指定银行账户内自动完成扣款及受理基金申购申请的一种投资方式</w:t>
      </w:r>
    </w:p>
    <w:p w:rsidR="009F340D" w:rsidRPr="00A936B7" w14:paraId="10932A5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49、巨额赎回：指本基金单个开放日，基金净赎回申请（赎回申请份额总数加上基金转换中转出申请份额总数后扣除申购申请份额总数及基金转换中转入申请份额总数后的余额）超过上一开放日基金总份额的10%</w:t>
      </w:r>
    </w:p>
    <w:p w:rsidR="009F340D" w:rsidRPr="00A936B7" w14:paraId="78CCE52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50、元：指人民币元</w:t>
      </w:r>
    </w:p>
    <w:p w:rsidR="009F340D" w:rsidRPr="00A936B7" w14:paraId="67812D2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51、基金收益：指基金投资所得红利、股息、债券利息、买卖证券价差、银行存款利息、已实现的其他合法收入及因运用基金财产带来的成本和费用的节约</w:t>
      </w:r>
    </w:p>
    <w:p w:rsidR="009F340D" w:rsidRPr="00A936B7" w14:paraId="61AD9BA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52、基金资产总值：指基金拥有的目标ETF基金份额、各类有价证券、银行存款本息、基金应收申购款及其他资产的价值总和</w:t>
      </w:r>
    </w:p>
    <w:p w:rsidR="009F340D" w:rsidRPr="00A936B7" w14:paraId="5C399D9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53、基金资产净值：指基金资产总值减去基金负债后的价值</w:t>
      </w:r>
    </w:p>
    <w:p w:rsidR="009F340D" w:rsidRPr="00A936B7" w14:paraId="295F01E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54、基金份额净值：指计算日基金资产净值除以计算日基金份额总数</w:t>
      </w:r>
    </w:p>
    <w:p w:rsidR="009F340D" w:rsidRPr="00A936B7" w14:paraId="3CD9755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55、基金资产估值：指计算评估基金资产和负债的价值，以确定基金资产净值和基金份额净值的过程</w:t>
      </w:r>
    </w:p>
    <w:p w:rsidR="009F340D" w:rsidRPr="00A936B7" w14:paraId="7D76F30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56、基金份额折算：指基金管理人根据基金运作的需要，在基金资产净值不变的前提下，按照一定比例调整基金份额总额及基金份额净值</w:t>
      </w:r>
    </w:p>
    <w:p w:rsidR="009F340D" w:rsidRPr="00A936B7" w14:paraId="57553EE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57、规定媒介：指符合中国证监会规定条件的全国性报刊（以下简称规定报刊）及《信息披露办法》规定的互联网网站（以下简称规定网站，包括基金管理人网站、基金托管人网站、中国证监会基金电子披露网站）等媒介</w:t>
      </w:r>
    </w:p>
    <w:p w:rsidR="009F340D" w:rsidRPr="00A936B7" w14:paraId="7C5A55E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58、销售服务费：指从基金财产中计提的，用于本基金市场推广、销售以及基金份额持有人服务的费用</w:t>
      </w:r>
    </w:p>
    <w:p w:rsidR="009F340D" w:rsidRPr="00A936B7" w14:paraId="309EEED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59、A类基金份额：在投资人认购/申购基金时按规定收取认购/申购费用，并不再从本类别基金资产中计提销售服务费的基金份额，称为A类基金份额</w:t>
      </w:r>
    </w:p>
    <w:p w:rsidR="009F340D" w:rsidRPr="00A936B7" w14:paraId="5C3D794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60、C类基金份额：从本类别基金资产中计提销售服务费并按规定收取或返还，不收取认购/申购费用的基金份额，称为C类基金份额</w:t>
      </w:r>
    </w:p>
    <w:p w:rsidR="009F340D" w:rsidRPr="00A936B7" w14:paraId="3D61B9E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61、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rsidR="009F340D" w:rsidRPr="00A936B7" w14:paraId="6926E14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62、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rsidR="009F340D" w:rsidRPr="00A936B7" w14:paraId="139E8B9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63、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rsidR="009F340D" w:rsidRPr="00A936B7" w14:paraId="445DC4F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64、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rsidR="009F340D" w:rsidRPr="00A936B7" w14:paraId="5C594E6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65、转融通证券出借业务：指本基金以一定费率通过证券交易所综合业务平台向中国证券金融股份有限公司出借证券，中国证券金融股份有限公司到期归还所借证券及相应权益补偿并支付费用的业务</w:t>
      </w:r>
    </w:p>
    <w:p w:rsidR="009F340D" w:rsidRPr="00A936B7" w14:paraId="6920D09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66、不可抗力：指基金合同当事人不能预见、不能避免且不能克服的客观事件</w:t>
      </w:r>
    </w:p>
    <w:p w:rsidR="009F340D" w:rsidRPr="00A936B7" w14:paraId="2AEF9D5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67、直销机构：指易方达基金管理有限公司</w:t>
      </w:r>
    </w:p>
    <w:p w:rsidR="009F340D" w:rsidRPr="00A936B7" w14:paraId="4573833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68</w:t>
      </w:r>
      <w:r w:rsidRPr="00A936B7">
        <w:rPr>
          <w:rStyle w:val="da"/>
          <w:rFonts w:asciiTheme="minorEastAsia" w:eastAsiaTheme="minorEastAsia" w:hAnsiTheme="minorEastAsia" w:cs="宋体" w:hint="eastAsia"/>
          <w:szCs w:val="21"/>
          <w:highlight w:val="white"/>
          <w:lang w:eastAsia="zh-CN"/>
        </w:rPr>
        <w:t>、非直销销售机构：指符合《销售办法》和中国证监会规定的其他条件，取得基金销售业务资格并与基金管理人签订了基金销售服务协议，办理基金销售业务的机构</w:t>
      </w:r>
    </w:p>
    <w:p w:rsidR="009F340D" w:rsidRPr="00A936B7" w14:paraId="7B7ED8A8" w14:textId="77777777">
      <w:pPr>
        <w:pStyle w:val="111"/>
        <w:pageBreakBefore w:val="0"/>
        <w:spacing w:before="317" w:after="317" w:line="320" w:lineRule="exact"/>
        <w:ind w:firstLine="640"/>
        <w:rPr>
          <w:rFonts w:asciiTheme="minorEastAsia" w:eastAsiaTheme="minorEastAsia" w:hAnsiTheme="minorEastAsia" w:cs="宋体" w:hint="eastAsia"/>
          <w:sz w:val="30"/>
          <w:szCs w:val="30"/>
          <w:lang w:eastAsia="zh-CN"/>
        </w:rPr>
      </w:pPr>
      <w:r w:rsidRPr="00A936B7">
        <w:rPr>
          <w:rFonts w:asciiTheme="minorEastAsia" w:eastAsiaTheme="minorEastAsia" w:hAnsiTheme="minorEastAsia" w:cs="宋体" w:hint="eastAsia"/>
          <w:highlight w:val="white"/>
          <w:lang w:eastAsia="zh-CN"/>
        </w:rPr>
        <w:br w:type="column"/>
      </w:r>
      <w:bookmarkStart w:id="4" w:name="_Toc332373446"/>
      <w:bookmarkStart w:id="5" w:name="_Toc129511525"/>
      <w:r w:rsidRPr="00A936B7">
        <w:rPr>
          <w:rFonts w:asciiTheme="minorEastAsia" w:eastAsiaTheme="minorEastAsia" w:hAnsiTheme="minorEastAsia" w:cs="宋体"/>
          <w:sz w:val="30"/>
          <w:szCs w:val="30"/>
          <w:highlight w:val="white"/>
          <w:lang w:eastAsia="zh-CN"/>
        </w:rPr>
        <w:t>第</w:t>
      </w:r>
      <w:r w:rsidRPr="00A936B7">
        <w:rPr>
          <w:rFonts w:asciiTheme="minorEastAsia" w:eastAsiaTheme="minorEastAsia" w:hAnsiTheme="minorEastAsia" w:cs="宋体" w:hint="eastAsia"/>
          <w:sz w:val="30"/>
          <w:szCs w:val="30"/>
          <w:highlight w:val="white"/>
          <w:lang w:eastAsia="zh-CN"/>
        </w:rPr>
        <w:t>三部分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基金管理人</w:t>
      </w:r>
      <w:bookmarkEnd w:id="4"/>
      <w:bookmarkEnd w:id="5"/>
    </w:p>
    <w:p w:rsidR="009F340D" w:rsidRPr="00A936B7" w14:paraId="4C4A9DE4" w14:textId="77777777">
      <w:pPr>
        <w:spacing w:line="360" w:lineRule="auto"/>
        <w:ind w:firstLine="420"/>
        <w:rPr>
          <w:rFonts w:asciiTheme="minorEastAsia" w:eastAsiaTheme="minorEastAsia" w:hAnsiTheme="minorEastAsia" w:cs="宋体" w:hint="eastAsia"/>
          <w:bCs/>
          <w:szCs w:val="21"/>
          <w:lang w:eastAsia="zh-CN"/>
        </w:rPr>
      </w:pPr>
      <w:bookmarkStart w:id="6" w:name="_Toc332373447"/>
      <w:r w:rsidRPr="00A936B7">
        <w:rPr>
          <w:rFonts w:asciiTheme="minorEastAsia" w:eastAsiaTheme="minorEastAsia" w:hAnsiTheme="minorEastAsia" w:cs="宋体" w:hint="eastAsia"/>
          <w:bCs/>
          <w:szCs w:val="21"/>
          <w:highlight w:val="white"/>
          <w:lang w:eastAsia="zh-CN"/>
        </w:rPr>
        <w:t>一、基金管理人基本情况</w:t>
      </w:r>
      <w:bookmarkEnd w:id="6"/>
    </w:p>
    <w:p w:rsidR="009F340D" w:rsidRPr="00A936B7" w14:paraId="65980D3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lang w:eastAsia="zh-CN"/>
        </w:rPr>
        <w:t>1、基金管理人：易方达基金管理有限公司</w:t>
      </w:r>
    </w:p>
    <w:p w:rsidR="009F340D" w:rsidRPr="00A936B7" w14:paraId="153FEB9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lang w:eastAsia="zh-CN"/>
        </w:rPr>
        <w:t>注册地址：广东省珠海市横琴新区荣粤道188号6层</w:t>
      </w:r>
    </w:p>
    <w:p w:rsidR="009F340D" w:rsidRPr="00A936B7" w14:paraId="503D0BC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lang w:eastAsia="zh-CN"/>
        </w:rPr>
        <w:t>办公地址：广东省广州市天河区珠江西路21号52层；广东省广州市天河区珠江东路30号42层；广东省珠海市横琴新区荣粤道188号6层</w:t>
      </w:r>
    </w:p>
    <w:p w:rsidR="009F340D" w:rsidRPr="00A936B7" w14:paraId="50FA36B9"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lang w:eastAsia="zh-CN"/>
        </w:rPr>
        <w:t>设立日期：2001年4月17日</w:t>
      </w:r>
    </w:p>
    <w:p w:rsidR="009F340D" w:rsidRPr="00A936B7" w14:paraId="2A12381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lang w:eastAsia="zh-CN"/>
        </w:rPr>
        <w:t xml:space="preserve">法定代表人：吴欣荣 </w:t>
      </w:r>
    </w:p>
    <w:p w:rsidR="009F340D" w:rsidRPr="00A936B7" w14:paraId="17FE9EE1"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lang w:eastAsia="zh-CN"/>
        </w:rPr>
        <w:t>联系电话：400 881 8088</w:t>
      </w:r>
    </w:p>
    <w:p w:rsidR="009F340D" w:rsidRPr="00A936B7" w14:paraId="1E21CD05"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lang w:eastAsia="zh-CN"/>
        </w:rPr>
        <w:t>联系人：李红枫</w:t>
      </w:r>
    </w:p>
    <w:p w:rsidR="009F340D" w:rsidRPr="00A936B7" w14:paraId="11C303E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lang w:eastAsia="zh-CN"/>
        </w:rPr>
        <w:t>注册资本：13,244.2万元人民币</w:t>
      </w:r>
    </w:p>
    <w:p w:rsidR="009F340D" w:rsidRPr="00A936B7" w14:paraId="0179422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lang w:eastAsia="zh-CN"/>
        </w:rPr>
        <w:t>批准设立机关及文号：中国证券监督管理委员会，证监基金字[2001]4号</w:t>
      </w:r>
    </w:p>
    <w:p w:rsidR="009F340D" w:rsidRPr="00A936B7" w14:paraId="23ECBE5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lang w:eastAsia="zh-CN"/>
        </w:rPr>
        <w:t>经营范围：公开募集证券投资基金管理、基金销售、特定客户资产管理</w:t>
      </w:r>
    </w:p>
    <w:p w:rsidR="009F340D" w:rsidRPr="00A936B7" w14:paraId="4C4E20F0" w14:textId="77777777">
      <w:pPr>
        <w:spacing w:line="360" w:lineRule="auto"/>
        <w:ind w:firstLine="420"/>
        <w:rPr>
          <w:rFonts w:asciiTheme="minorEastAsia" w:eastAsiaTheme="minorEastAsia" w:hAnsiTheme="minorEastAsia" w:cs="宋体" w:hint="eastAsia"/>
          <w:bCs/>
          <w:szCs w:val="21"/>
        </w:rPr>
      </w:pPr>
      <w:r w:rsidRPr="00A936B7">
        <w:rPr>
          <w:rFonts w:asciiTheme="minorEastAsia" w:eastAsiaTheme="minorEastAsia" w:hAnsiTheme="minorEastAsia" w:cs="宋体" w:hint="eastAsia"/>
          <w:bCs/>
          <w:szCs w:val="21"/>
          <w:highlight w:val="white"/>
        </w:rPr>
        <w:t>2、股权结构：</w:t>
      </w:r>
    </w:p>
    <w:tbl>
      <w:tblPr>
        <w:tblW w:w="82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83"/>
        <w:gridCol w:w="2507"/>
      </w:tblGrid>
      <w:tr w14:paraId="608F8A81" w14:textId="77777777">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9F340D" w:rsidRPr="00A936B7" w14:paraId="6C5271A9"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股东名称</w:t>
            </w:r>
          </w:p>
        </w:tc>
        <w:tc>
          <w:tcPr>
            <w:tcW w:w="2507" w:type="dxa"/>
            <w:tcBorders>
              <w:top w:val="single" w:sz="4" w:space="0" w:color="000000"/>
              <w:left w:val="single" w:sz="4" w:space="0" w:color="000000"/>
              <w:bottom w:val="single" w:sz="4" w:space="0" w:color="000000"/>
              <w:right w:val="single" w:sz="4" w:space="0" w:color="000000"/>
            </w:tcBorders>
            <w:vAlign w:val="center"/>
          </w:tcPr>
          <w:p w:rsidR="009F340D" w:rsidRPr="00A936B7" w14:paraId="31DF5A14"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出资比例</w:t>
            </w:r>
          </w:p>
        </w:tc>
      </w:tr>
      <w:tr w14:paraId="2E868995" w14:textId="77777777">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9F340D" w:rsidRPr="00A936B7" w14:paraId="7DC15D83" w14:textId="77777777">
            <w:pPr>
              <w:ind w:firstLine="420"/>
              <w:rPr>
                <w:rFonts w:asciiTheme="minorEastAsia" w:eastAsiaTheme="minorEastAsia" w:hAnsiTheme="minorEastAsia" w:hint="eastAsia"/>
                <w:lang w:eastAsia="zh-CN"/>
              </w:rPr>
            </w:pPr>
            <w:r w:rsidRPr="00A936B7">
              <w:rPr>
                <w:rFonts w:asciiTheme="minorEastAsia" w:eastAsiaTheme="minorEastAsia" w:hAnsiTheme="minorEastAsia" w:cs="宋体"/>
                <w:szCs w:val="21"/>
                <w:lang w:eastAsia="zh-CN"/>
              </w:rPr>
              <w:t>广东粤财信托有限公司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9F340D" w:rsidRPr="00A936B7" w14:paraId="7E2D64F2"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22.6514％</w:t>
            </w:r>
          </w:p>
        </w:tc>
      </w:tr>
      <w:tr w14:paraId="1CD146BE" w14:textId="77777777">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9F340D" w:rsidRPr="00A936B7" w14:paraId="7A58E1BB" w14:textId="77777777">
            <w:pPr>
              <w:ind w:firstLine="420"/>
              <w:rPr>
                <w:rFonts w:asciiTheme="minorEastAsia" w:eastAsiaTheme="minorEastAsia" w:hAnsiTheme="minorEastAsia" w:hint="eastAsia"/>
                <w:lang w:eastAsia="zh-CN"/>
              </w:rPr>
            </w:pPr>
            <w:r w:rsidRPr="00A936B7">
              <w:rPr>
                <w:rFonts w:asciiTheme="minorEastAsia" w:eastAsiaTheme="minorEastAsia" w:hAnsiTheme="minorEastAsia" w:cs="宋体"/>
                <w:szCs w:val="21"/>
                <w:lang w:eastAsia="zh-CN"/>
              </w:rPr>
              <w:t>广发证券股份有限公司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9F340D" w:rsidRPr="00A936B7" w14:paraId="3ED8C383"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22.6514％</w:t>
            </w:r>
          </w:p>
        </w:tc>
      </w:tr>
      <w:tr w14:paraId="04D2E81F" w14:textId="77777777">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9F340D" w:rsidRPr="00A936B7" w14:paraId="2393ABCF" w14:textId="77777777">
            <w:pPr>
              <w:ind w:firstLine="420"/>
              <w:rPr>
                <w:rFonts w:asciiTheme="minorEastAsia" w:eastAsiaTheme="minorEastAsia" w:hAnsiTheme="minorEastAsia" w:hint="eastAsia"/>
              </w:rPr>
            </w:pPr>
            <w:r w:rsidRPr="00A936B7">
              <w:rPr>
                <w:rFonts w:asciiTheme="minorEastAsia" w:eastAsiaTheme="minorEastAsia" w:hAnsiTheme="minorEastAsia" w:cs="宋体"/>
                <w:szCs w:val="21"/>
              </w:rPr>
              <w:t>盈峰集团有限公司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9F340D" w:rsidRPr="00A936B7" w14:paraId="7332F44B"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22.6514％</w:t>
            </w:r>
          </w:p>
        </w:tc>
      </w:tr>
      <w:tr w14:paraId="09BE5CE5" w14:textId="77777777">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9F340D" w:rsidRPr="00A936B7" w14:paraId="2A1F9EF1" w14:textId="77777777">
            <w:pPr>
              <w:ind w:firstLine="420"/>
              <w:rPr>
                <w:rFonts w:asciiTheme="minorEastAsia" w:eastAsiaTheme="minorEastAsia" w:hAnsiTheme="minorEastAsia" w:hint="eastAsia"/>
                <w:lang w:eastAsia="zh-CN"/>
              </w:rPr>
            </w:pPr>
            <w:r w:rsidRPr="00A936B7">
              <w:rPr>
                <w:rFonts w:asciiTheme="minorEastAsia" w:eastAsiaTheme="minorEastAsia" w:hAnsiTheme="minorEastAsia" w:cs="宋体"/>
                <w:szCs w:val="21"/>
                <w:lang w:eastAsia="zh-CN"/>
              </w:rPr>
              <w:t>广东省广晟控股集团有限公司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9F340D" w:rsidRPr="00A936B7" w14:paraId="1A214770"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15.1010％</w:t>
            </w:r>
          </w:p>
        </w:tc>
      </w:tr>
      <w:tr w14:paraId="0A8E4A3A" w14:textId="77777777">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9F340D" w:rsidRPr="00A936B7" w14:paraId="66FE826C" w14:textId="77777777">
            <w:pPr>
              <w:ind w:firstLine="420"/>
              <w:rPr>
                <w:rFonts w:asciiTheme="minorEastAsia" w:eastAsiaTheme="minorEastAsia" w:hAnsiTheme="minorEastAsia" w:hint="eastAsia"/>
                <w:lang w:eastAsia="zh-CN"/>
              </w:rPr>
            </w:pPr>
            <w:r w:rsidRPr="00A936B7">
              <w:rPr>
                <w:rFonts w:asciiTheme="minorEastAsia" w:eastAsiaTheme="minorEastAsia" w:hAnsiTheme="minorEastAsia" w:cs="宋体"/>
                <w:szCs w:val="21"/>
                <w:lang w:eastAsia="zh-CN"/>
              </w:rPr>
              <w:t>广州市广永国有资产经营有限公司</w:t>
            </w:r>
          </w:p>
        </w:tc>
        <w:tc>
          <w:tcPr>
            <w:tcW w:w="2507" w:type="dxa"/>
            <w:tcBorders>
              <w:top w:val="single" w:sz="4" w:space="0" w:color="000000"/>
              <w:left w:val="single" w:sz="4" w:space="0" w:color="000000"/>
              <w:bottom w:val="single" w:sz="4" w:space="0" w:color="000000"/>
              <w:right w:val="single" w:sz="4" w:space="0" w:color="000000"/>
            </w:tcBorders>
            <w:vAlign w:val="center"/>
          </w:tcPr>
          <w:p w:rsidR="009F340D" w:rsidRPr="00A936B7" w14:paraId="4CDE6324"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7.5505％</w:t>
            </w:r>
          </w:p>
        </w:tc>
      </w:tr>
      <w:tr w14:paraId="178DC824" w14:textId="77777777">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9F340D" w:rsidRPr="00A936B7" w14:paraId="0FC24700" w14:textId="77777777">
            <w:pPr>
              <w:ind w:firstLine="420"/>
              <w:rPr>
                <w:rFonts w:asciiTheme="minorEastAsia" w:eastAsiaTheme="minorEastAsia" w:hAnsiTheme="minorEastAsia" w:hint="eastAsia"/>
                <w:lang w:eastAsia="zh-CN"/>
              </w:rPr>
            </w:pPr>
            <w:r w:rsidRPr="00A936B7">
              <w:rPr>
                <w:rFonts w:asciiTheme="minorEastAsia" w:eastAsiaTheme="minorEastAsia" w:hAnsiTheme="minorEastAsia" w:cs="宋体"/>
                <w:szCs w:val="21"/>
                <w:lang w:eastAsia="zh-CN"/>
              </w:rPr>
              <w:t>珠海祺荣宝投资合伙企业（有限合伙）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9F340D" w:rsidRPr="00A936B7" w14:paraId="2B2A79C2"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1.5087％</w:t>
            </w:r>
          </w:p>
        </w:tc>
      </w:tr>
      <w:tr w14:paraId="5193A60D" w14:textId="77777777">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9F340D" w:rsidRPr="00A936B7" w14:paraId="3543DD8D" w14:textId="77777777">
            <w:pPr>
              <w:ind w:firstLine="420"/>
              <w:rPr>
                <w:rFonts w:asciiTheme="minorEastAsia" w:eastAsiaTheme="minorEastAsia" w:hAnsiTheme="minorEastAsia" w:hint="eastAsia"/>
                <w:lang w:eastAsia="zh-CN"/>
              </w:rPr>
            </w:pPr>
            <w:r w:rsidRPr="00A936B7">
              <w:rPr>
                <w:rFonts w:asciiTheme="minorEastAsia" w:eastAsiaTheme="minorEastAsia" w:hAnsiTheme="minorEastAsia" w:cs="宋体"/>
                <w:szCs w:val="21"/>
                <w:lang w:eastAsia="zh-CN"/>
              </w:rPr>
              <w:t>珠海祺泰宝投资合伙企业（有限合伙）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9F340D" w:rsidRPr="00A936B7" w14:paraId="07974736"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1.6205％</w:t>
            </w:r>
          </w:p>
        </w:tc>
      </w:tr>
      <w:tr w14:paraId="4F98A542" w14:textId="77777777">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9F340D" w:rsidRPr="00A936B7" w14:paraId="28562CD9" w14:textId="77777777">
            <w:pPr>
              <w:ind w:firstLine="420"/>
              <w:rPr>
                <w:rFonts w:asciiTheme="minorEastAsia" w:eastAsiaTheme="minorEastAsia" w:hAnsiTheme="minorEastAsia" w:hint="eastAsia"/>
                <w:lang w:eastAsia="zh-CN"/>
              </w:rPr>
            </w:pPr>
            <w:r w:rsidRPr="00A936B7">
              <w:rPr>
                <w:rFonts w:asciiTheme="minorEastAsia" w:eastAsiaTheme="minorEastAsia" w:hAnsiTheme="minorEastAsia" w:cs="宋体"/>
                <w:szCs w:val="21"/>
                <w:lang w:eastAsia="zh-CN"/>
              </w:rPr>
              <w:t>珠海祺丰宝投资合伙企业（有限合伙）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9F340D" w:rsidRPr="00A936B7" w14:paraId="0D03386F"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1.5309％</w:t>
            </w:r>
          </w:p>
        </w:tc>
      </w:tr>
      <w:tr w14:paraId="0FEC117E" w14:textId="77777777">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9F340D" w:rsidRPr="00A936B7" w14:paraId="2E08B1E4" w14:textId="77777777">
            <w:pPr>
              <w:ind w:firstLine="420"/>
              <w:rPr>
                <w:rFonts w:asciiTheme="minorEastAsia" w:eastAsiaTheme="minorEastAsia" w:hAnsiTheme="minorEastAsia" w:hint="eastAsia"/>
                <w:lang w:eastAsia="zh-CN"/>
              </w:rPr>
            </w:pPr>
            <w:r w:rsidRPr="00A936B7">
              <w:rPr>
                <w:rFonts w:asciiTheme="minorEastAsia" w:eastAsiaTheme="minorEastAsia" w:hAnsiTheme="minorEastAsia" w:cs="宋体"/>
                <w:szCs w:val="21"/>
                <w:lang w:eastAsia="zh-CN"/>
              </w:rPr>
              <w:t>珠海聚莱康投资合伙企业（有限合伙）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9F340D" w:rsidRPr="00A936B7" w14:paraId="1E9D344C"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1.7558％</w:t>
            </w:r>
          </w:p>
        </w:tc>
      </w:tr>
      <w:tr w14:paraId="5735FFA8" w14:textId="77777777">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9F340D" w:rsidRPr="00A936B7" w14:paraId="6E67C5FE" w14:textId="77777777">
            <w:pPr>
              <w:ind w:firstLine="420"/>
              <w:rPr>
                <w:rFonts w:asciiTheme="minorEastAsia" w:eastAsiaTheme="minorEastAsia" w:hAnsiTheme="minorEastAsia" w:hint="eastAsia"/>
                <w:lang w:eastAsia="zh-CN"/>
              </w:rPr>
            </w:pPr>
            <w:r w:rsidRPr="00A936B7">
              <w:rPr>
                <w:rFonts w:asciiTheme="minorEastAsia" w:eastAsiaTheme="minorEastAsia" w:hAnsiTheme="minorEastAsia" w:cs="宋体"/>
                <w:szCs w:val="21"/>
                <w:lang w:eastAsia="zh-CN"/>
              </w:rPr>
              <w:t>珠海聚宁康投资合伙企业（有限合伙）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9F340D" w:rsidRPr="00A936B7" w14:paraId="1E239C75"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1.4396％</w:t>
            </w:r>
          </w:p>
        </w:tc>
      </w:tr>
      <w:tr w14:paraId="318ADB94" w14:textId="77777777">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tcPr>
          <w:p w:rsidR="009F340D" w:rsidRPr="00A936B7" w14:paraId="4D9DB0FD" w14:textId="77777777">
            <w:pPr>
              <w:ind w:firstLine="420"/>
              <w:rPr>
                <w:rFonts w:asciiTheme="minorEastAsia" w:eastAsiaTheme="minorEastAsia" w:hAnsiTheme="minorEastAsia" w:hint="eastAsia"/>
                <w:lang w:eastAsia="zh-CN"/>
              </w:rPr>
            </w:pPr>
            <w:r w:rsidRPr="00A936B7">
              <w:rPr>
                <w:rFonts w:asciiTheme="minorEastAsia" w:eastAsiaTheme="minorEastAsia" w:hAnsiTheme="minorEastAsia" w:cs="宋体"/>
                <w:szCs w:val="21"/>
                <w:lang w:eastAsia="zh-CN"/>
              </w:rPr>
              <w:t>珠海聚弘康投资合伙企业（有限合伙）</w:t>
            </w:r>
          </w:p>
        </w:tc>
        <w:tc>
          <w:tcPr>
            <w:tcW w:w="2507" w:type="dxa"/>
            <w:tcBorders>
              <w:top w:val="single" w:sz="4" w:space="0" w:color="000000"/>
              <w:left w:val="single" w:sz="4" w:space="0" w:color="000000"/>
              <w:bottom w:val="single" w:sz="4" w:space="0" w:color="000000"/>
              <w:right w:val="single" w:sz="4" w:space="0" w:color="000000"/>
            </w:tcBorders>
            <w:vAlign w:val="center"/>
          </w:tcPr>
          <w:p w:rsidR="009F340D" w:rsidRPr="00A936B7" w14:paraId="359BB566"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1.5388％</w:t>
            </w:r>
          </w:p>
        </w:tc>
      </w:tr>
      <w:tr w14:paraId="7396D090" w14:textId="77777777">
        <w:tblPrEx>
          <w:tblW w:w="8290" w:type="dxa"/>
          <w:jc w:val="center"/>
          <w:tblLayout w:type="fixed"/>
          <w:tblLook w:val="04A0"/>
        </w:tblPrEx>
        <w:trPr>
          <w:jc w:val="center"/>
        </w:trPr>
        <w:tc>
          <w:tcPr>
            <w:tcW w:w="5783" w:type="dxa"/>
            <w:tcBorders>
              <w:top w:val="single" w:sz="4" w:space="0" w:color="000000"/>
              <w:left w:val="single" w:sz="4" w:space="0" w:color="000000"/>
              <w:bottom w:val="single" w:sz="4" w:space="0" w:color="000000"/>
              <w:right w:val="single" w:sz="4" w:space="0" w:color="000000"/>
            </w:tcBorders>
            <w:vAlign w:val="center"/>
          </w:tcPr>
          <w:p w:rsidR="009F340D" w:rsidRPr="00A936B7" w14:paraId="37168838" w14:textId="77777777">
            <w:pPr>
              <w:ind w:firstLine="420"/>
              <w:rPr>
                <w:rFonts w:asciiTheme="minorEastAsia" w:eastAsiaTheme="minorEastAsia" w:hAnsiTheme="minorEastAsia" w:hint="eastAsia"/>
              </w:rPr>
            </w:pPr>
            <w:r w:rsidRPr="00A936B7">
              <w:rPr>
                <w:rFonts w:asciiTheme="minorEastAsia" w:eastAsiaTheme="minorEastAsia" w:hAnsiTheme="minorEastAsia" w:cs="宋体"/>
                <w:szCs w:val="21"/>
              </w:rPr>
              <w:t>总   计</w:t>
            </w:r>
          </w:p>
        </w:tc>
        <w:tc>
          <w:tcPr>
            <w:tcW w:w="2507" w:type="dxa"/>
            <w:tcBorders>
              <w:top w:val="single" w:sz="4" w:space="0" w:color="000000"/>
              <w:left w:val="single" w:sz="4" w:space="0" w:color="000000"/>
              <w:bottom w:val="single" w:sz="4" w:space="0" w:color="000000"/>
              <w:right w:val="single" w:sz="4" w:space="0" w:color="000000"/>
            </w:tcBorders>
            <w:vAlign w:val="center"/>
          </w:tcPr>
          <w:p w:rsidR="009F340D" w:rsidRPr="00A936B7" w14:paraId="7674A2CF" w14:textId="77777777">
            <w:pPr>
              <w:ind w:firstLine="420"/>
              <w:jc w:val="center"/>
              <w:rPr>
                <w:rFonts w:asciiTheme="minorEastAsia" w:eastAsiaTheme="minorEastAsia" w:hAnsiTheme="minorEastAsia" w:hint="eastAsia"/>
              </w:rPr>
            </w:pPr>
            <w:r w:rsidRPr="00A936B7">
              <w:rPr>
                <w:rFonts w:asciiTheme="minorEastAsia" w:eastAsiaTheme="minorEastAsia" w:hAnsiTheme="minorEastAsia" w:cs="宋体"/>
                <w:szCs w:val="21"/>
              </w:rPr>
              <w:t>100％</w:t>
            </w:r>
          </w:p>
        </w:tc>
      </w:tr>
    </w:tbl>
    <w:p w:rsidR="009F340D" w:rsidRPr="00A936B7" w14:paraId="7BCC1DC5" w14:textId="77777777">
      <w:pPr>
        <w:spacing w:line="360" w:lineRule="auto"/>
        <w:ind w:firstLine="420"/>
        <w:rPr>
          <w:rFonts w:asciiTheme="minorEastAsia" w:eastAsiaTheme="minorEastAsia" w:hAnsiTheme="minorEastAsia" w:cs="宋体" w:hint="eastAsia"/>
          <w:bCs/>
          <w:szCs w:val="21"/>
        </w:rPr>
      </w:pPr>
      <w:r w:rsidRPr="00A936B7">
        <w:rPr>
          <w:rFonts w:asciiTheme="minorEastAsia" w:eastAsiaTheme="minorEastAsia" w:hAnsiTheme="minorEastAsia" w:cs="宋体" w:hint="eastAsia"/>
          <w:bCs/>
          <w:szCs w:val="21"/>
          <w:highlight w:val="white"/>
        </w:rPr>
        <w:t>二、主要人员情况</w:t>
      </w:r>
    </w:p>
    <w:p w:rsidR="009F340D" w:rsidRPr="00A936B7" w14:paraId="609EF956" w14:textId="77777777">
      <w:pPr>
        <w:spacing w:line="360" w:lineRule="auto"/>
        <w:ind w:firstLine="420"/>
        <w:rPr>
          <w:rFonts w:asciiTheme="minorEastAsia" w:eastAsiaTheme="minorEastAsia" w:hAnsiTheme="minorEastAsia" w:hint="eastAsia"/>
          <w:bCs/>
          <w:lang w:eastAsia="zh-CN"/>
        </w:rPr>
      </w:pPr>
      <w:r w:rsidRPr="00A936B7">
        <w:rPr>
          <w:rFonts w:asciiTheme="minorEastAsia" w:eastAsiaTheme="minorEastAsia" w:hAnsiTheme="minorEastAsia" w:cs="宋体"/>
          <w:bCs/>
          <w:highlight w:val="white"/>
          <w:lang w:eastAsia="zh-CN"/>
        </w:rPr>
        <w:t>1</w:t>
      </w:r>
      <w:r w:rsidRPr="00A936B7">
        <w:rPr>
          <w:rFonts w:asciiTheme="minorEastAsia" w:eastAsiaTheme="minorEastAsia" w:hAnsiTheme="minorEastAsia" w:hint="eastAsia"/>
          <w:bCs/>
          <w:highlight w:val="white"/>
          <w:lang w:eastAsia="zh-CN"/>
        </w:rPr>
        <w:t>、董事、监事及高级管理人员</w:t>
      </w:r>
    </w:p>
    <w:p w:rsidR="00503874" w:rsidRPr="00503874" w:rsidP="00503874" w14:paraId="36313BB9" w14:textId="77777777">
      <w:pPr>
        <w:spacing w:line="360" w:lineRule="auto"/>
        <w:ind w:firstLine="420"/>
        <w:rPr>
          <w:bCs/>
          <w:lang w:eastAsia="zh-CN"/>
        </w:rPr>
      </w:pPr>
      <w:r w:rsidRPr="00503874">
        <w:rPr>
          <w:rFonts w:hint="eastAsia"/>
          <w:bCs/>
          <w:lang w:eastAsia="zh-CN"/>
        </w:rPr>
        <w:t>刘晓艳女士，经济学博士。现任易方达基金管理有限公司董事长，易方达资产管理（新加坡）有限公司董事长，广州投资顾问学院管理有限公司董事。</w:t>
      </w:r>
      <w:r w:rsidRPr="00503874">
        <w:rPr>
          <w:rFonts w:hint="eastAsia"/>
          <w:bCs/>
          <w:lang w:eastAsia="zh-CN"/>
        </w:rPr>
        <w:t>曾任广发</w:t>
      </w:r>
      <w:r w:rsidRPr="00503874">
        <w:rPr>
          <w:rFonts w:hint="eastAsia"/>
          <w:bCs/>
          <w:lang w:eastAsia="zh-CN"/>
        </w:rPr>
        <w:t>证券有限责任公司投资理财部副经理、基金经理、基金投资理财部副总经理，易方达基金管理有限公司督察员、监察部总经理、总裁助理、市场总监、副总经理、总经理、副董事长、董事长（联席），易方达资产管理有限公司董事，易方达资产管理（香港）有限公司董事长，易方达国际控股有限公司董事。</w:t>
      </w:r>
    </w:p>
    <w:p w:rsidR="00503874" w:rsidRPr="00503874" w:rsidP="00503874" w14:paraId="19CD08B8" w14:textId="77777777">
      <w:pPr>
        <w:spacing w:line="360" w:lineRule="auto"/>
        <w:ind w:firstLine="420"/>
        <w:rPr>
          <w:rFonts w:hint="eastAsia"/>
          <w:bCs/>
          <w:lang w:val="x-none" w:eastAsia="zh-CN"/>
        </w:rPr>
      </w:pPr>
      <w:r w:rsidRPr="00503874">
        <w:rPr>
          <w:rFonts w:hint="eastAsia"/>
          <w:bCs/>
          <w:lang w:val="x-none" w:eastAsia="zh-CN"/>
        </w:rPr>
        <w:t>吴欣荣先生，工学硕士。现任易方达基金管理有限公司董事、总经理，易方达资产管理（香港）有限公司董事长。曾任易方达基金管理有限公司研究员、投资管理部经理、基金经理、基金投资部副总经理、研究部副总经理、研究部总经理、基金投资部总经理、总裁助理、公</w:t>
      </w:r>
      <w:r w:rsidRPr="00503874">
        <w:rPr>
          <w:rFonts w:hint="eastAsia"/>
          <w:bCs/>
          <w:lang w:val="x-none" w:eastAsia="zh-CN"/>
        </w:rPr>
        <w:t>募基金</w:t>
      </w:r>
      <w:r w:rsidRPr="00503874">
        <w:rPr>
          <w:rFonts w:hint="eastAsia"/>
          <w:bCs/>
          <w:lang w:val="x-none" w:eastAsia="zh-CN"/>
        </w:rPr>
        <w:t>投资部总经理、权益投资总部总经理、权益投资总监、权益投资决策委员会委员、副总经理级高级管理人员、执行总经理，易方达国际控股有限公司董事。</w:t>
      </w:r>
    </w:p>
    <w:p w:rsidR="00503874" w:rsidRPr="00503874" w:rsidP="00503874" w14:paraId="69D42C85" w14:textId="77777777">
      <w:pPr>
        <w:spacing w:line="360" w:lineRule="auto"/>
        <w:ind w:firstLine="420"/>
        <w:rPr>
          <w:rFonts w:hint="eastAsia"/>
          <w:bCs/>
          <w:lang w:eastAsia="zh-CN"/>
        </w:rPr>
      </w:pPr>
      <w:r w:rsidRPr="00503874">
        <w:rPr>
          <w:rFonts w:hint="eastAsia"/>
          <w:bCs/>
          <w:lang w:eastAsia="zh-CN"/>
        </w:rPr>
        <w:t>王麒麟先生，管理学、法学学士。现任易方</w:t>
      </w:r>
      <w:r w:rsidRPr="00503874">
        <w:rPr>
          <w:rFonts w:hint="eastAsia"/>
          <w:bCs/>
          <w:lang w:val="x-none" w:eastAsia="zh-CN"/>
        </w:rPr>
        <w:t>达基金管理有限公司董事，广东粤财信托有限公司党委副书记、董事、总经理</w:t>
      </w:r>
      <w:r w:rsidRPr="00503874">
        <w:rPr>
          <w:rFonts w:hint="eastAsia"/>
          <w:bCs/>
          <w:lang w:eastAsia="zh-CN"/>
        </w:rPr>
        <w:t>。曾任广东粤财投资控股有限公司资产管理部业务员、农业项目部经理助理；广东粤财信托有限公司信托管理二部经理助理、副经理，信托管理部副经理、经理、副总经理，信托管理一部副总经理、总经理，机构业务部总经理；广东粤财金融租赁股份有限公司副总经理、总经理。</w:t>
      </w:r>
    </w:p>
    <w:p w:rsidR="00503874" w:rsidRPr="00503874" w:rsidP="00503874" w14:paraId="0BBCD491" w14:textId="77777777">
      <w:pPr>
        <w:spacing w:line="360" w:lineRule="auto"/>
        <w:ind w:firstLine="420"/>
        <w:rPr>
          <w:rFonts w:hint="eastAsia"/>
          <w:bCs/>
          <w:lang w:eastAsia="zh-CN"/>
        </w:rPr>
      </w:pPr>
      <w:r w:rsidRPr="00503874">
        <w:rPr>
          <w:rFonts w:hint="eastAsia"/>
          <w:bCs/>
          <w:lang w:eastAsia="zh-CN"/>
        </w:rPr>
        <w:t>徐佑军先生，经济学硕士。现任易方达基金管理有限公司董事，广发证券股份有限公司副总经理。曾任广州交通房地产公司开发部员工，广东珠江投资公司企管部员工，广州证券有限责任公司投资银行部经理，广发证券股份有限公司投资银行部业务经理、湖北总部总经理助理、投资银行部总经理助理、投行综合管理部总经理助理、兼并收购部执行董事、董事会办公室总经理、公司董事会秘书、联席公司秘书、证券事务代表、公司合</w:t>
      </w:r>
      <w:r w:rsidRPr="00503874">
        <w:rPr>
          <w:rFonts w:hint="eastAsia"/>
          <w:bCs/>
          <w:lang w:eastAsia="zh-CN"/>
        </w:rPr>
        <w:t>规</w:t>
      </w:r>
      <w:r w:rsidRPr="00503874">
        <w:rPr>
          <w:rFonts w:hint="eastAsia"/>
          <w:bCs/>
          <w:lang w:eastAsia="zh-CN"/>
        </w:rPr>
        <w:t>总监、合</w:t>
      </w:r>
      <w:r w:rsidRPr="00503874">
        <w:rPr>
          <w:rFonts w:hint="eastAsia"/>
          <w:bCs/>
          <w:lang w:eastAsia="zh-CN"/>
        </w:rPr>
        <w:t>规</w:t>
      </w:r>
      <w:r w:rsidRPr="00503874">
        <w:rPr>
          <w:rFonts w:hint="eastAsia"/>
          <w:bCs/>
          <w:lang w:eastAsia="zh-CN"/>
        </w:rPr>
        <w:t>与法律事务部总经理。</w:t>
      </w:r>
    </w:p>
    <w:p w:rsidR="00503874" w:rsidRPr="00503874" w:rsidP="00503874" w14:paraId="663387E1" w14:textId="77777777">
      <w:pPr>
        <w:spacing w:line="360" w:lineRule="auto"/>
        <w:ind w:firstLine="420"/>
        <w:rPr>
          <w:rFonts w:hint="eastAsia"/>
          <w:bCs/>
          <w:lang w:eastAsia="zh-CN"/>
        </w:rPr>
      </w:pPr>
      <w:r w:rsidRPr="00503874">
        <w:rPr>
          <w:rFonts w:hint="eastAsia"/>
          <w:bCs/>
          <w:lang w:eastAsia="zh-CN"/>
        </w:rPr>
        <w:t>邝广雄先生，工商管理硕士。现任易方达基金管理有限公司董事，</w:t>
      </w:r>
      <w:r w:rsidRPr="00503874">
        <w:rPr>
          <w:rFonts w:hint="eastAsia"/>
          <w:bCs/>
          <w:lang w:eastAsia="zh-CN"/>
        </w:rPr>
        <w:t>盈峰集团</w:t>
      </w:r>
      <w:r w:rsidRPr="00503874">
        <w:rPr>
          <w:rFonts w:hint="eastAsia"/>
          <w:bCs/>
          <w:lang w:eastAsia="zh-CN"/>
        </w:rPr>
        <w:t>有限公司董事、执行总裁，顾家家居股份有限公司董事长，</w:t>
      </w:r>
      <w:r w:rsidRPr="00503874">
        <w:rPr>
          <w:rFonts w:hint="eastAsia"/>
          <w:bCs/>
          <w:lang w:eastAsia="zh-CN"/>
        </w:rPr>
        <w:t>盈峰环境</w:t>
      </w:r>
      <w:r w:rsidRPr="00503874">
        <w:rPr>
          <w:rFonts w:hint="eastAsia"/>
          <w:bCs/>
          <w:lang w:eastAsia="zh-CN"/>
        </w:rPr>
        <w:t>科技集团股份有限公司董事，广东</w:t>
      </w:r>
      <w:r w:rsidRPr="00503874">
        <w:rPr>
          <w:rFonts w:hint="eastAsia"/>
          <w:bCs/>
          <w:lang w:eastAsia="zh-CN"/>
        </w:rPr>
        <w:t>盈峰普</w:t>
      </w:r>
      <w:r w:rsidRPr="00503874">
        <w:rPr>
          <w:rFonts w:hint="eastAsia"/>
          <w:bCs/>
          <w:lang w:eastAsia="zh-CN"/>
        </w:rPr>
        <w:t>惠互联小额贷款股份有限公司董事，盈合（深圳）机器人与自动化科技有限公司董事长，广东盈峰材料技术股份有限公司董事长，佛山市</w:t>
      </w:r>
      <w:r w:rsidRPr="00503874">
        <w:rPr>
          <w:rFonts w:hint="eastAsia"/>
          <w:bCs/>
          <w:lang w:eastAsia="zh-CN"/>
        </w:rPr>
        <w:t>盈峰贸易</w:t>
      </w:r>
      <w:r w:rsidRPr="00503874">
        <w:rPr>
          <w:rFonts w:hint="eastAsia"/>
          <w:bCs/>
          <w:lang w:eastAsia="zh-CN"/>
        </w:rPr>
        <w:t>有限公司执行董事兼总经理，宁波盈峰</w:t>
      </w:r>
      <w:r w:rsidRPr="00503874">
        <w:rPr>
          <w:rFonts w:hint="eastAsia"/>
          <w:bCs/>
          <w:lang w:eastAsia="zh-CN"/>
        </w:rPr>
        <w:t>睿</w:t>
      </w:r>
      <w:r w:rsidRPr="00503874">
        <w:rPr>
          <w:rFonts w:hint="eastAsia"/>
          <w:bCs/>
          <w:lang w:eastAsia="zh-CN"/>
        </w:rPr>
        <w:t>和投资管理有限公司执行董事、经理，</w:t>
      </w:r>
      <w:r w:rsidRPr="00503874">
        <w:rPr>
          <w:rFonts w:hint="eastAsia"/>
          <w:bCs/>
          <w:lang w:eastAsia="zh-CN"/>
        </w:rPr>
        <w:t>宁波盈峰捭阖</w:t>
      </w:r>
      <w:r w:rsidRPr="00503874">
        <w:rPr>
          <w:rFonts w:hint="eastAsia"/>
          <w:bCs/>
          <w:lang w:eastAsia="zh-CN"/>
        </w:rPr>
        <w:t>文化产业投资有限公司执行董事、经理，宁波</w:t>
      </w:r>
      <w:r w:rsidRPr="00503874">
        <w:rPr>
          <w:rFonts w:hint="eastAsia"/>
          <w:bCs/>
          <w:lang w:eastAsia="zh-CN"/>
        </w:rPr>
        <w:t>盈峰资产</w:t>
      </w:r>
      <w:r w:rsidRPr="00503874">
        <w:rPr>
          <w:rFonts w:hint="eastAsia"/>
          <w:bCs/>
          <w:lang w:eastAsia="zh-CN"/>
        </w:rPr>
        <w:t>管理有限公司执行董事、经理。曾任美的日电集团财务经理，美的美国公司财务经理，美的厨房电器财务总监，美的中央空调财务总监，美的库卡中国合资公司财务总监。</w:t>
      </w:r>
    </w:p>
    <w:p w:rsidR="00503874" w:rsidRPr="00503874" w:rsidP="00503874" w14:paraId="61F0AE55" w14:textId="77777777">
      <w:pPr>
        <w:spacing w:line="360" w:lineRule="auto"/>
        <w:ind w:firstLine="420"/>
        <w:rPr>
          <w:rFonts w:hint="eastAsia"/>
          <w:bCs/>
          <w:lang w:val="x-none" w:eastAsia="zh-CN"/>
        </w:rPr>
      </w:pPr>
      <w:r w:rsidRPr="00503874">
        <w:rPr>
          <w:rFonts w:hint="eastAsia"/>
          <w:bCs/>
          <w:lang w:eastAsia="zh-CN"/>
        </w:rPr>
        <w:t>陈媛女士，经济学硕士。现任易方达基金管理有限公司董事，</w:t>
      </w:r>
      <w:r w:rsidRPr="00503874">
        <w:rPr>
          <w:rFonts w:hint="eastAsia"/>
          <w:bCs/>
          <w:lang w:val="x-none" w:eastAsia="zh-CN"/>
        </w:rPr>
        <w:t>广东省广</w:t>
      </w:r>
      <w:r w:rsidRPr="00503874">
        <w:rPr>
          <w:rFonts w:hint="eastAsia"/>
          <w:bCs/>
          <w:lang w:val="x-none" w:eastAsia="zh-CN"/>
        </w:rPr>
        <w:t>晟</w:t>
      </w:r>
      <w:r w:rsidRPr="00503874">
        <w:rPr>
          <w:rFonts w:hint="eastAsia"/>
          <w:bCs/>
          <w:lang w:val="x-none" w:eastAsia="zh-CN"/>
        </w:rPr>
        <w:t>财务有限公司董事、总经理</w:t>
      </w:r>
      <w:r w:rsidRPr="00503874">
        <w:rPr>
          <w:rFonts w:hint="eastAsia"/>
          <w:bCs/>
          <w:lang w:eastAsia="zh-CN"/>
        </w:rPr>
        <w:t>。曾任广东省广</w:t>
      </w:r>
      <w:r w:rsidRPr="00503874">
        <w:rPr>
          <w:rFonts w:hint="eastAsia"/>
          <w:bCs/>
          <w:lang w:eastAsia="zh-CN"/>
        </w:rPr>
        <w:t>晟</w:t>
      </w:r>
      <w:r w:rsidRPr="00503874">
        <w:rPr>
          <w:rFonts w:hint="eastAsia"/>
          <w:bCs/>
          <w:lang w:eastAsia="zh-CN"/>
        </w:rPr>
        <w:t>财务有限公司资金业务部副部长（主持工作）、资金业务部部长、融资</w:t>
      </w:r>
      <w:r w:rsidRPr="00503874">
        <w:rPr>
          <w:rFonts w:hint="eastAsia"/>
          <w:bCs/>
          <w:lang w:eastAsia="zh-CN"/>
        </w:rPr>
        <w:t>管控部部长</w:t>
      </w:r>
      <w:r w:rsidRPr="00503874">
        <w:rPr>
          <w:rFonts w:hint="eastAsia"/>
          <w:bCs/>
          <w:lang w:eastAsia="zh-CN"/>
        </w:rPr>
        <w:t>，广东省广</w:t>
      </w:r>
      <w:r w:rsidRPr="00503874">
        <w:rPr>
          <w:rFonts w:hint="eastAsia"/>
          <w:bCs/>
          <w:lang w:eastAsia="zh-CN"/>
        </w:rPr>
        <w:t>晟</w:t>
      </w:r>
      <w:r w:rsidRPr="00503874">
        <w:rPr>
          <w:rFonts w:hint="eastAsia"/>
          <w:bCs/>
          <w:lang w:eastAsia="zh-CN"/>
        </w:rPr>
        <w:t>控股集团有限公司财务管理部副部长、资本运营部部长。</w:t>
      </w:r>
    </w:p>
    <w:p w:rsidR="00503874" w:rsidRPr="00503874" w:rsidP="00503874" w14:paraId="695CECC9" w14:textId="77777777">
      <w:pPr>
        <w:spacing w:line="360" w:lineRule="auto"/>
        <w:ind w:firstLine="420"/>
        <w:rPr>
          <w:rFonts w:hint="eastAsia"/>
          <w:bCs/>
          <w:lang w:eastAsia="zh-CN"/>
        </w:rPr>
      </w:pPr>
      <w:r w:rsidRPr="00503874">
        <w:rPr>
          <w:rFonts w:hint="eastAsia"/>
          <w:bCs/>
          <w:lang w:val="x-none" w:eastAsia="zh-CN"/>
        </w:rPr>
        <w:t>王承志先生，法学博士。现任易方达基金管理有限公司独立董事，中山大学法学院副教授、博士生导师，广东省法学会国际法学研究会秘书长，中国国际私法学会理事，</w:t>
      </w:r>
      <w:r w:rsidRPr="00503874">
        <w:rPr>
          <w:rFonts w:hint="eastAsia"/>
          <w:bCs/>
          <w:lang w:eastAsia="zh-CN"/>
        </w:rPr>
        <w:t>广东神朗律师事务所兼职律师，深圳市美之高科技股份有限公司独立董事，</w:t>
      </w:r>
      <w:r w:rsidRPr="00503874">
        <w:rPr>
          <w:rFonts w:hint="eastAsia"/>
          <w:bCs/>
          <w:lang w:eastAsia="zh-CN"/>
        </w:rPr>
        <w:t>祥鑫</w:t>
      </w:r>
      <w:r w:rsidRPr="00503874">
        <w:rPr>
          <w:rFonts w:hint="eastAsia"/>
          <w:bCs/>
          <w:lang w:eastAsia="zh-CN"/>
        </w:rPr>
        <w:t>科技股份有限公司独立</w:t>
      </w:r>
      <w:r w:rsidRPr="00503874">
        <w:rPr>
          <w:rFonts w:hint="eastAsia"/>
          <w:bCs/>
          <w:lang w:val="x-none" w:eastAsia="zh-CN"/>
        </w:rPr>
        <w:t>董事，广州恒运企业集团股份有限公司独立董事。曾任美国天普大学法学院访问副教</w:t>
      </w:r>
      <w:r w:rsidRPr="00503874">
        <w:rPr>
          <w:rFonts w:hint="eastAsia"/>
          <w:bCs/>
          <w:lang w:eastAsia="zh-CN"/>
        </w:rPr>
        <w:t>授，广东凯金新能源科技股份有限公司独立董事，</w:t>
      </w:r>
      <w:r w:rsidRPr="00503874">
        <w:rPr>
          <w:rFonts w:hint="eastAsia"/>
          <w:bCs/>
          <w:lang w:val="x-none" w:eastAsia="zh-CN"/>
        </w:rPr>
        <w:t>江苏凯强医学检验有限公司董事，广东茉莉数字科技集团股份有</w:t>
      </w:r>
      <w:r w:rsidRPr="00503874">
        <w:rPr>
          <w:rFonts w:hint="eastAsia"/>
          <w:bCs/>
          <w:lang w:eastAsia="zh-CN"/>
        </w:rPr>
        <w:t>限公司独立董事，艾尔玛科技股份有限公司独立董事。</w:t>
      </w:r>
    </w:p>
    <w:p w:rsidR="00503874" w:rsidRPr="00503874" w:rsidP="00503874" w14:paraId="2CF4C92A" w14:textId="77777777">
      <w:pPr>
        <w:spacing w:line="360" w:lineRule="auto"/>
        <w:ind w:firstLine="420"/>
        <w:rPr>
          <w:rFonts w:hint="eastAsia"/>
          <w:bCs/>
          <w:lang w:eastAsia="zh-CN"/>
        </w:rPr>
      </w:pPr>
      <w:r w:rsidRPr="00503874">
        <w:rPr>
          <w:rFonts w:hint="eastAsia"/>
          <w:bCs/>
          <w:lang w:eastAsia="zh-CN"/>
        </w:rPr>
        <w:t>高建先生，工学博士。现任易方达基金管理有限公司独立董事，清华大学经济管理学院教授、博士生导师、学术委员会副主任，南通</w:t>
      </w:r>
      <w:r w:rsidRPr="00503874">
        <w:rPr>
          <w:rFonts w:hint="eastAsia"/>
          <w:bCs/>
          <w:lang w:eastAsia="zh-CN"/>
        </w:rPr>
        <w:t>苏锡通控股</w:t>
      </w:r>
      <w:r w:rsidRPr="00503874">
        <w:rPr>
          <w:rFonts w:hint="eastAsia"/>
          <w:bCs/>
          <w:lang w:eastAsia="zh-CN"/>
        </w:rPr>
        <w:t>集团有限公司创业投资决策委员会外聘专家委员。曾任重庆建筑工程学院建筑管理工程系助教、讲师、教研室副主任，清华大学经济管理学院讲师、副教授、技术经济与管理系主任、创新创业与战略系主任、院长助理、副院长、党委书记，山东新北洋信息技术股份有限公司独立董事，</w:t>
      </w:r>
      <w:r w:rsidRPr="00503874">
        <w:rPr>
          <w:rFonts w:hint="eastAsia"/>
          <w:bCs/>
          <w:lang w:eastAsia="zh-CN"/>
        </w:rPr>
        <w:t>中融人寿保险</w:t>
      </w:r>
      <w:r w:rsidRPr="00503874">
        <w:rPr>
          <w:rFonts w:hint="eastAsia"/>
          <w:bCs/>
          <w:lang w:eastAsia="zh-CN"/>
        </w:rPr>
        <w:t>股份有限公司独立董事</w:t>
      </w:r>
      <w:r w:rsidRPr="00503874">
        <w:rPr>
          <w:rFonts w:hint="eastAsia"/>
          <w:bCs/>
          <w:lang w:eastAsia="zh-CN"/>
        </w:rPr>
        <w:t>,</w:t>
      </w:r>
      <w:r w:rsidRPr="00503874">
        <w:rPr>
          <w:rFonts w:hint="eastAsia"/>
          <w:bCs/>
          <w:lang w:eastAsia="zh-CN"/>
        </w:rPr>
        <w:t>深圳市力</w:t>
      </w:r>
      <w:r w:rsidRPr="00503874">
        <w:rPr>
          <w:rFonts w:hint="eastAsia"/>
          <w:bCs/>
          <w:lang w:eastAsia="zh-CN"/>
        </w:rPr>
        <w:t>合科创</w:t>
      </w:r>
      <w:r w:rsidRPr="00503874">
        <w:rPr>
          <w:rFonts w:hint="eastAsia"/>
          <w:bCs/>
          <w:lang w:eastAsia="zh-CN"/>
        </w:rPr>
        <w:t>股份有限公司独立董事，</w:t>
      </w:r>
      <w:r w:rsidRPr="00503874">
        <w:rPr>
          <w:rFonts w:hint="eastAsia"/>
          <w:bCs/>
          <w:lang w:eastAsia="zh-CN"/>
        </w:rPr>
        <w:t>固生堂</w:t>
      </w:r>
      <w:r w:rsidRPr="00503874">
        <w:rPr>
          <w:rFonts w:hint="eastAsia"/>
          <w:bCs/>
          <w:lang w:eastAsia="zh-CN"/>
        </w:rPr>
        <w:t>控股有限公司非执行董事。</w:t>
      </w:r>
    </w:p>
    <w:p w:rsidR="00503874" w:rsidRPr="00503874" w:rsidP="00503874" w14:paraId="45D62A8C" w14:textId="77777777">
      <w:pPr>
        <w:spacing w:line="360" w:lineRule="auto"/>
        <w:ind w:firstLine="420"/>
        <w:rPr>
          <w:rFonts w:hint="eastAsia"/>
          <w:bCs/>
          <w:lang w:val="x-none" w:eastAsia="zh-CN"/>
        </w:rPr>
      </w:pPr>
      <w:r w:rsidRPr="00503874">
        <w:rPr>
          <w:rFonts w:hint="eastAsia"/>
          <w:bCs/>
          <w:lang w:eastAsia="zh-CN"/>
        </w:rPr>
        <w:t>刘劲先生，工商管理博士。现任易方达基金管理有限公司独立董事，长江商学院会计与金融教授、投资研究中心主任、教授管理委员会主席，</w:t>
      </w:r>
      <w:r w:rsidRPr="00503874">
        <w:rPr>
          <w:rFonts w:hint="eastAsia"/>
          <w:bCs/>
          <w:lang w:eastAsia="zh-CN"/>
        </w:rPr>
        <w:t>闪送必</w:t>
      </w:r>
      <w:r w:rsidRPr="00503874">
        <w:rPr>
          <w:rFonts w:hint="eastAsia"/>
          <w:bCs/>
          <w:lang w:eastAsia="zh-CN"/>
        </w:rPr>
        <w:t>应有限公司独立董事。曾任哥伦比亚大学经济学讲师，加州大学洛杉矶分校安德森管理学院助理教授、副教授、终身教授，长江商学院行政副院长、</w:t>
      </w:r>
      <w:r w:rsidRPr="00503874">
        <w:rPr>
          <w:rFonts w:hint="eastAsia"/>
          <w:bCs/>
          <w:lang w:eastAsia="zh-CN"/>
        </w:rPr>
        <w:t>DBA</w:t>
      </w:r>
      <w:r w:rsidRPr="00503874">
        <w:rPr>
          <w:rFonts w:hint="eastAsia"/>
          <w:bCs/>
          <w:lang w:eastAsia="zh-CN"/>
        </w:rPr>
        <w:t>项目副院长、创</w:t>
      </w:r>
      <w:r w:rsidRPr="00503874">
        <w:rPr>
          <w:rFonts w:hint="eastAsia"/>
          <w:bCs/>
          <w:lang w:eastAsia="zh-CN"/>
        </w:rPr>
        <w:t>创</w:t>
      </w:r>
      <w:r w:rsidRPr="00503874">
        <w:rPr>
          <w:rFonts w:hint="eastAsia"/>
          <w:bCs/>
          <w:lang w:eastAsia="zh-CN"/>
        </w:rPr>
        <w:t>社区项目发起人兼副院长，云南白药集团股份有限公司独立董事，瑞士银行（中国）有限公司独立董事，秦川机床工具集团股份公司独立董事，浙江红蜻蜓鞋业股份有限公司独立董事，中国天伦燃气控股有限公司独立非执行董事。</w:t>
      </w:r>
    </w:p>
    <w:p w:rsidR="00503874" w:rsidRPr="00503874" w:rsidP="00503874" w14:paraId="442B11FA" w14:textId="77777777">
      <w:pPr>
        <w:spacing w:line="360" w:lineRule="auto"/>
        <w:ind w:firstLine="420"/>
        <w:rPr>
          <w:rFonts w:hint="eastAsia"/>
          <w:bCs/>
          <w:lang w:val="x-none" w:eastAsia="zh-CN"/>
        </w:rPr>
      </w:pPr>
      <w:r w:rsidRPr="00503874">
        <w:rPr>
          <w:rFonts w:hint="eastAsia"/>
          <w:bCs/>
          <w:lang w:val="x-none" w:eastAsia="zh-CN"/>
        </w:rPr>
        <w:t>陈能先生，经济学学士。现任易方达基金管</w:t>
      </w:r>
      <w:r w:rsidRPr="00503874">
        <w:rPr>
          <w:rFonts w:hint="eastAsia"/>
          <w:bCs/>
          <w:lang w:eastAsia="zh-CN"/>
        </w:rPr>
        <w:t>理有限公司监事会主席，广东粤财投资控股有限公司职工董事、审计部总经理。曾任广东省轻工业品进出口（集团）塑胶公司财务部员工，广州对外经济贸易信托投资公司财务部副经理</w:t>
      </w:r>
      <w:r w:rsidRPr="00503874">
        <w:rPr>
          <w:rFonts w:hint="eastAsia"/>
          <w:bCs/>
          <w:lang w:val="x-none" w:eastAsia="zh-CN"/>
        </w:rPr>
        <w:t>，</w:t>
      </w:r>
      <w:r w:rsidRPr="00503874">
        <w:rPr>
          <w:rFonts w:hint="eastAsia"/>
          <w:bCs/>
          <w:lang w:eastAsia="zh-CN"/>
        </w:rPr>
        <w:t>广东粤财信托投资公司计划财务部业务经理</w:t>
      </w:r>
      <w:r w:rsidRPr="00503874">
        <w:rPr>
          <w:rFonts w:hint="eastAsia"/>
          <w:bCs/>
          <w:lang w:val="x-none" w:eastAsia="zh-CN"/>
        </w:rPr>
        <w:t>，</w:t>
      </w:r>
      <w:r w:rsidRPr="00503874">
        <w:rPr>
          <w:rFonts w:hint="eastAsia"/>
          <w:bCs/>
          <w:lang w:eastAsia="zh-CN"/>
        </w:rPr>
        <w:t>广东粤财实业发展公司</w:t>
      </w:r>
      <w:r w:rsidRPr="00503874">
        <w:rPr>
          <w:rFonts w:hint="eastAsia"/>
          <w:bCs/>
          <w:lang w:val="x-none" w:eastAsia="zh-CN"/>
        </w:rPr>
        <w:t>财务部经理，</w:t>
      </w:r>
      <w:r w:rsidRPr="00503874">
        <w:rPr>
          <w:rFonts w:hint="eastAsia"/>
          <w:bCs/>
          <w:lang w:eastAsia="zh-CN"/>
        </w:rPr>
        <w:t>广东粤财信托有限公司信托财务部副总经理</w:t>
      </w:r>
      <w:r w:rsidRPr="00503874">
        <w:rPr>
          <w:rFonts w:hint="eastAsia"/>
          <w:bCs/>
          <w:lang w:val="x-none" w:eastAsia="zh-CN"/>
        </w:rPr>
        <w:t>、财务部总经理、审计部总经理，</w:t>
      </w:r>
      <w:r w:rsidRPr="00503874">
        <w:rPr>
          <w:rFonts w:hint="eastAsia"/>
          <w:bCs/>
          <w:lang w:eastAsia="zh-CN"/>
        </w:rPr>
        <w:t>广东粤财投资控股有限公司审计部副总经理（主持工作）</w:t>
      </w:r>
      <w:r w:rsidRPr="00503874">
        <w:rPr>
          <w:rFonts w:hint="eastAsia"/>
          <w:bCs/>
          <w:lang w:val="x-none" w:eastAsia="zh-CN"/>
        </w:rPr>
        <w:t>。</w:t>
      </w:r>
    </w:p>
    <w:p w:rsidR="00503874" w:rsidRPr="00503874" w:rsidP="00503874" w14:paraId="435D8AD9" w14:textId="77777777">
      <w:pPr>
        <w:spacing w:line="360" w:lineRule="auto"/>
        <w:ind w:firstLine="420"/>
        <w:rPr>
          <w:rFonts w:hint="eastAsia"/>
          <w:bCs/>
          <w:lang w:val="x-none" w:eastAsia="zh-CN"/>
        </w:rPr>
      </w:pPr>
      <w:r w:rsidRPr="00503874">
        <w:rPr>
          <w:rFonts w:hint="eastAsia"/>
          <w:bCs/>
          <w:lang w:eastAsia="zh-CN"/>
        </w:rPr>
        <w:t>危勇先生，经济学博士。现任易方达基金管理有限公司监事，广州市</w:t>
      </w:r>
      <w:r w:rsidRPr="00503874">
        <w:rPr>
          <w:rFonts w:hint="eastAsia"/>
          <w:bCs/>
          <w:lang w:eastAsia="zh-CN"/>
        </w:rPr>
        <w:t>广永国有</w:t>
      </w:r>
      <w:r w:rsidRPr="00503874">
        <w:rPr>
          <w:rFonts w:hint="eastAsia"/>
          <w:bCs/>
          <w:lang w:eastAsia="zh-CN"/>
        </w:rPr>
        <w:t>资产经营有限公司董事长，广州广永科技发展有限公司董事长、总经理</w:t>
      </w:r>
      <w:r w:rsidRPr="00503874">
        <w:rPr>
          <w:rFonts w:hint="eastAsia"/>
          <w:bCs/>
          <w:lang w:val="x-none" w:eastAsia="zh-CN"/>
        </w:rPr>
        <w:t>。</w:t>
      </w:r>
      <w:r w:rsidRPr="00503874">
        <w:rPr>
          <w:rFonts w:hint="eastAsia"/>
          <w:bCs/>
          <w:lang w:eastAsia="zh-CN"/>
        </w:rPr>
        <w:t>曾任中国水利水电第八工程局三产实业开发部秘书，中国人民银行广州分行统计研究处干部、货币信贷管理处主任科员、营管部综合处助理调研员，广州金融控股集团有限公司行政办公室主任，广州市</w:t>
      </w:r>
      <w:r w:rsidRPr="00503874">
        <w:rPr>
          <w:rFonts w:hint="eastAsia"/>
          <w:bCs/>
          <w:lang w:eastAsia="zh-CN"/>
        </w:rPr>
        <w:t>广永国有</w:t>
      </w:r>
      <w:r w:rsidRPr="00503874">
        <w:rPr>
          <w:rFonts w:hint="eastAsia"/>
          <w:bCs/>
          <w:lang w:eastAsia="zh-CN"/>
        </w:rPr>
        <w:t>资产经营有限公司总裁，广州金融资产交易中心有限公司董事，广州股权交易中心有限公司董事，</w:t>
      </w:r>
      <w:r w:rsidRPr="00503874">
        <w:rPr>
          <w:rFonts w:hint="eastAsia"/>
          <w:bCs/>
          <w:lang w:eastAsia="zh-CN"/>
        </w:rPr>
        <w:t>广州广永丽都酒店有限公司</w:t>
      </w:r>
      <w:r w:rsidRPr="00503874">
        <w:rPr>
          <w:rFonts w:hint="eastAsia"/>
          <w:bCs/>
          <w:lang w:eastAsia="zh-CN"/>
        </w:rPr>
        <w:t>董事长，</w:t>
      </w:r>
      <w:r w:rsidRPr="00503874">
        <w:rPr>
          <w:rFonts w:hint="eastAsia"/>
          <w:bCs/>
          <w:lang w:eastAsia="zh-CN"/>
        </w:rPr>
        <w:t>万联证券</w:t>
      </w:r>
      <w:r w:rsidRPr="00503874">
        <w:rPr>
          <w:rFonts w:hint="eastAsia"/>
          <w:bCs/>
          <w:lang w:eastAsia="zh-CN"/>
        </w:rPr>
        <w:t>股份有限公司监事，广州广永股权投资基金管理有限公司董事长，广州赛马娱乐总公司董事，广州广永投资管理有限公司董事长，广州银行股份有限公司董事。</w:t>
      </w:r>
    </w:p>
    <w:p w:rsidR="00503874" w:rsidRPr="00503874" w:rsidP="00503874" w14:paraId="76A4774D" w14:textId="77777777">
      <w:pPr>
        <w:spacing w:line="360" w:lineRule="auto"/>
        <w:ind w:firstLine="420"/>
        <w:rPr>
          <w:rFonts w:hint="eastAsia"/>
          <w:bCs/>
          <w:lang w:val="x-none" w:eastAsia="zh-CN"/>
        </w:rPr>
      </w:pPr>
      <w:r w:rsidRPr="00503874">
        <w:rPr>
          <w:rFonts w:hint="eastAsia"/>
          <w:bCs/>
          <w:lang w:val="x-none" w:eastAsia="zh-CN"/>
        </w:rPr>
        <w:t>廖智先生，经济学硕士。现任易方达基金管理有限公司</w:t>
      </w:r>
      <w:r w:rsidRPr="00503874">
        <w:rPr>
          <w:rFonts w:hint="eastAsia"/>
          <w:bCs/>
          <w:lang w:eastAsia="zh-CN"/>
        </w:rPr>
        <w:t>监事、总裁助理、党群工作部联席总经理</w:t>
      </w:r>
      <w:r w:rsidRPr="00503874">
        <w:rPr>
          <w:rFonts w:hint="eastAsia"/>
          <w:bCs/>
          <w:lang w:val="x-none" w:eastAsia="zh-CN"/>
        </w:rPr>
        <w:t>，易方达资产管理有限公司监事，易方达私募基金管理有限公司监事，易方达财富管理基金销售（广州）有限公司监事。曾任广东证券股份有限公司基金部主管，易方达基金管理有限公司综合管理部副总经理、人力资源部副总经理、市场部总经理、互联网金融部总经理、综合管理部总经理</w:t>
      </w:r>
      <w:r w:rsidRPr="00503874">
        <w:rPr>
          <w:rFonts w:hint="eastAsia"/>
          <w:bCs/>
          <w:lang w:eastAsia="zh-CN"/>
        </w:rPr>
        <w:t>、行政管理部总经理</w:t>
      </w:r>
      <w:r w:rsidRPr="00503874">
        <w:rPr>
          <w:rFonts w:hint="eastAsia"/>
          <w:bCs/>
          <w:lang w:val="x-none" w:eastAsia="zh-CN"/>
        </w:rPr>
        <w:t>，广东粤财互联网金融股份有限公司董事。</w:t>
      </w:r>
    </w:p>
    <w:p w:rsidR="00503874" w:rsidRPr="00503874" w:rsidP="00503874" w14:paraId="1E81C853" w14:textId="77777777">
      <w:pPr>
        <w:spacing w:line="360" w:lineRule="auto"/>
        <w:ind w:firstLine="420"/>
        <w:rPr>
          <w:rFonts w:hint="eastAsia"/>
          <w:bCs/>
          <w:lang w:eastAsia="zh-CN"/>
        </w:rPr>
      </w:pPr>
      <w:r w:rsidRPr="00503874">
        <w:rPr>
          <w:rFonts w:hint="eastAsia"/>
          <w:bCs/>
          <w:lang w:val="x-none" w:eastAsia="zh-CN"/>
        </w:rPr>
        <w:t>付浩先生，经济学硕士。现任易方达基金管理有限公司监事、权益投资管理部总经理、权益投资决策委员会委员、</w:t>
      </w:r>
      <w:r w:rsidRPr="00503874">
        <w:rPr>
          <w:rFonts w:hint="eastAsia"/>
          <w:bCs/>
          <w:lang w:val="x-none" w:eastAsia="zh-CN"/>
        </w:rPr>
        <w:t>多资产</w:t>
      </w:r>
      <w:r w:rsidRPr="00503874">
        <w:rPr>
          <w:rFonts w:hint="eastAsia"/>
          <w:bCs/>
          <w:lang w:val="x-none" w:eastAsia="zh-CN"/>
        </w:rPr>
        <w:t>投资决策委员会委员。曾任广东粤财信托投资有限公司国际金融部职员，深圳和</w:t>
      </w:r>
      <w:r w:rsidRPr="00503874">
        <w:rPr>
          <w:rFonts w:hint="eastAsia"/>
          <w:bCs/>
          <w:lang w:val="x-none" w:eastAsia="zh-CN"/>
        </w:rPr>
        <w:t>君创业</w:t>
      </w:r>
      <w:r w:rsidRPr="00503874">
        <w:rPr>
          <w:rFonts w:hint="eastAsia"/>
          <w:bCs/>
          <w:lang w:val="x-none" w:eastAsia="zh-CN"/>
        </w:rPr>
        <w:t>研究咨询有限公司管理咨询项目经理，湖南证券投资银行总部项目经</w:t>
      </w:r>
      <w:r w:rsidRPr="00503874">
        <w:rPr>
          <w:rFonts w:hint="eastAsia"/>
          <w:bCs/>
          <w:lang w:eastAsia="zh-CN"/>
        </w:rPr>
        <w:t>理，融通基金管理有限公司研究策划部研究员，易方达基金管理有限公司权益投资总部副总经理、养老金与专户权益投资部副总经理、公</w:t>
      </w:r>
      <w:r w:rsidRPr="00503874">
        <w:rPr>
          <w:rFonts w:hint="eastAsia"/>
          <w:bCs/>
          <w:lang w:eastAsia="zh-CN"/>
        </w:rPr>
        <w:t>募基金</w:t>
      </w:r>
      <w:r w:rsidRPr="00503874">
        <w:rPr>
          <w:rFonts w:hint="eastAsia"/>
          <w:bCs/>
          <w:lang w:eastAsia="zh-CN"/>
        </w:rPr>
        <w:t>投资部总经理、基金经理助理、投资经理</w:t>
      </w:r>
      <w:r w:rsidRPr="00503874">
        <w:rPr>
          <w:rFonts w:hint="eastAsia"/>
          <w:bCs/>
          <w:lang w:val="x-none" w:eastAsia="zh-CN"/>
        </w:rPr>
        <w:t>、基金经理</w:t>
      </w:r>
      <w:r w:rsidRPr="00503874">
        <w:rPr>
          <w:rFonts w:hint="eastAsia"/>
          <w:bCs/>
          <w:lang w:eastAsia="zh-CN"/>
        </w:rPr>
        <w:t>。</w:t>
      </w:r>
    </w:p>
    <w:p w:rsidR="00503874" w:rsidRPr="00503874" w:rsidP="00503874" w14:paraId="73EEDBA9" w14:textId="77777777">
      <w:pPr>
        <w:spacing w:line="360" w:lineRule="auto"/>
        <w:ind w:firstLine="420"/>
        <w:rPr>
          <w:rFonts w:hint="eastAsia"/>
          <w:bCs/>
          <w:lang w:eastAsia="zh-CN"/>
        </w:rPr>
      </w:pPr>
      <w:r w:rsidRPr="00503874">
        <w:rPr>
          <w:rFonts w:hint="eastAsia"/>
          <w:bCs/>
          <w:lang w:eastAsia="zh-CN"/>
        </w:rPr>
        <w:t>吴镝先生，经济学硕士。现任易方达基金管理有限公司监事、人力资源部总经理、办公室总经理，</w:t>
      </w:r>
      <w:r w:rsidRPr="00503874">
        <w:rPr>
          <w:rFonts w:hint="eastAsia"/>
          <w:bCs/>
          <w:lang w:val="x-none" w:eastAsia="zh-CN"/>
        </w:rPr>
        <w:t>易方达资产管理有限公司董事，易方达私募基金管理有限公司董事，易方达财富管理基金销售（广州）有限公司董事，易方达资产管理（香港）有限公司董事，易方达资产管理（新加坡）有限公司董事</w:t>
      </w:r>
      <w:r w:rsidRPr="00503874">
        <w:rPr>
          <w:rFonts w:hint="eastAsia"/>
          <w:bCs/>
          <w:lang w:eastAsia="zh-CN"/>
        </w:rPr>
        <w:t>。曾任江南证券有限责任公司职员，金鹰基金管理有限公司投资管理部交易员，易方达基金管理有限公司集中交易</w:t>
      </w:r>
      <w:r w:rsidRPr="00503874">
        <w:rPr>
          <w:rFonts w:hint="eastAsia"/>
          <w:bCs/>
          <w:lang w:eastAsia="zh-CN"/>
        </w:rPr>
        <w:t>室交易</w:t>
      </w:r>
      <w:r w:rsidRPr="00503874">
        <w:rPr>
          <w:rFonts w:hint="eastAsia"/>
          <w:bCs/>
          <w:lang w:eastAsia="zh-CN"/>
        </w:rPr>
        <w:t>员、总经理助理、副总经理，研究部总经理助理、副总经理，权益运作支持部总经理。</w:t>
      </w:r>
    </w:p>
    <w:p w:rsidR="00503874" w:rsidRPr="00503874" w:rsidP="00503874" w14:paraId="2D6DD57C" w14:textId="77777777">
      <w:pPr>
        <w:spacing w:line="360" w:lineRule="auto"/>
        <w:ind w:firstLine="420"/>
        <w:rPr>
          <w:rFonts w:hint="eastAsia"/>
          <w:bCs/>
          <w:lang w:val="x-none" w:eastAsia="zh-CN"/>
        </w:rPr>
      </w:pPr>
      <w:r w:rsidRPr="00503874">
        <w:rPr>
          <w:rFonts w:hint="eastAsia"/>
          <w:bCs/>
          <w:lang w:val="x-none" w:eastAsia="zh-CN"/>
        </w:rPr>
        <w:t>马骏先生，工商管理硕士（</w:t>
      </w:r>
      <w:r w:rsidRPr="00503874">
        <w:rPr>
          <w:rFonts w:hint="eastAsia"/>
          <w:bCs/>
          <w:lang w:val="x-none" w:eastAsia="zh-CN"/>
        </w:rPr>
        <w:t>EMBA</w:t>
      </w:r>
      <w:r w:rsidRPr="00503874">
        <w:rPr>
          <w:rFonts w:hint="eastAsia"/>
          <w:bCs/>
          <w:lang w:val="x-none" w:eastAsia="zh-CN"/>
        </w:rPr>
        <w:t>）。现任易方达基金管理有限公司副总经理级高级管理人员、固定收益投资决策委员会委员、基础设施资产管理委员会委员</w:t>
      </w:r>
      <w:r w:rsidRPr="00503874">
        <w:rPr>
          <w:rFonts w:hint="eastAsia"/>
          <w:bCs/>
          <w:lang w:eastAsia="zh-CN"/>
        </w:rPr>
        <w:t>，</w:t>
      </w:r>
      <w:r w:rsidRPr="00503874">
        <w:rPr>
          <w:rFonts w:hint="eastAsia"/>
          <w:bCs/>
          <w:lang w:val="x-none" w:eastAsia="zh-CN"/>
        </w:rPr>
        <w:t>易方达资产管理有限公司董事，易方达私募基金管理有限公司董事长。曾任君安证券有限公司营业部职员，深圳众大投资有限公司投资部副总经理，广发证券有限责任公司研究员，易方达基金管理有限公司基金经理、固定收益部总经理、现金管理部总经理、固定收益总部总经理、总裁助理、固定收益投资总监、固定收益首席投资官，易方达资产管理（香港）有限公司董事长、市场及产品委员会委员、</w:t>
      </w:r>
      <w:r w:rsidRPr="00503874">
        <w:rPr>
          <w:rFonts w:hint="eastAsia"/>
          <w:bCs/>
          <w:lang w:val="x-none" w:eastAsia="zh-CN"/>
        </w:rPr>
        <w:t>QFI</w:t>
      </w:r>
      <w:r w:rsidRPr="00503874">
        <w:rPr>
          <w:rFonts w:hint="eastAsia"/>
          <w:bCs/>
          <w:lang w:val="x-none" w:eastAsia="zh-CN"/>
        </w:rPr>
        <w:t>业务负责人</w:t>
      </w:r>
      <w:r w:rsidRPr="00503874">
        <w:rPr>
          <w:rFonts w:hint="eastAsia"/>
          <w:bCs/>
          <w:lang w:val="x-none" w:eastAsia="zh-CN"/>
        </w:rPr>
        <w:t>。</w:t>
      </w:r>
    </w:p>
    <w:p w:rsidR="00503874" w:rsidRPr="00503874" w:rsidP="00503874" w14:paraId="69A3CFE2" w14:textId="77777777">
      <w:pPr>
        <w:spacing w:line="360" w:lineRule="auto"/>
        <w:ind w:firstLine="420"/>
        <w:rPr>
          <w:rFonts w:hint="eastAsia"/>
          <w:bCs/>
          <w:lang w:val="x-none" w:eastAsia="zh-CN"/>
        </w:rPr>
      </w:pPr>
      <w:r w:rsidRPr="00503874">
        <w:rPr>
          <w:rFonts w:hint="eastAsia"/>
          <w:bCs/>
          <w:lang w:val="x-none" w:eastAsia="zh-CN"/>
        </w:rPr>
        <w:t>娄利舟女士，工商管理硕士（</w:t>
      </w:r>
      <w:r w:rsidRPr="00503874">
        <w:rPr>
          <w:rFonts w:hint="eastAsia"/>
          <w:bCs/>
          <w:lang w:val="x-none" w:eastAsia="zh-CN"/>
        </w:rPr>
        <w:t>EMBA</w:t>
      </w:r>
      <w:r w:rsidRPr="00503874">
        <w:rPr>
          <w:rFonts w:hint="eastAsia"/>
          <w:bCs/>
          <w:lang w:val="x-none" w:eastAsia="zh-CN"/>
        </w:rPr>
        <w:t>）、经济学硕士。现任易方达基金管理有限公司副总经理级高级管理人员，易方达私募基金管理有限公司董事，易方达国际控股有限公司董事长，易方达资产管理（香港）有限公司董事。曾任联合证券有限责任公司证券营业部分析师、研究所策略研究员、经纪业务部高级经理，易方达基金管理有限公司销售支持中心经理、市场部总经理助理、市场部副总经理、广州分公司总经理、北京分公司总经理、总裁助理、</w:t>
      </w:r>
      <w:r w:rsidRPr="00503874">
        <w:rPr>
          <w:rFonts w:hint="eastAsia"/>
          <w:bCs/>
          <w:lang w:val="x-none" w:eastAsia="zh-CN"/>
        </w:rPr>
        <w:t>FOF</w:t>
      </w:r>
      <w:r w:rsidRPr="00503874">
        <w:rPr>
          <w:rFonts w:hint="eastAsia"/>
          <w:bCs/>
          <w:lang w:val="x-none" w:eastAsia="zh-CN"/>
        </w:rPr>
        <w:t>投资决策委员会委员，易方达资产管理有限公司总经理、董事长</w:t>
      </w:r>
      <w:r w:rsidRPr="00503874">
        <w:rPr>
          <w:rFonts w:hint="eastAsia"/>
          <w:bCs/>
          <w:lang w:val="x-none" w:eastAsia="zh-CN"/>
        </w:rPr>
        <w:t>。</w:t>
      </w:r>
    </w:p>
    <w:p w:rsidR="00503874" w:rsidRPr="00503874" w:rsidP="00503874" w14:paraId="4C6B0923" w14:textId="77777777">
      <w:pPr>
        <w:spacing w:line="360" w:lineRule="auto"/>
        <w:ind w:firstLine="420"/>
        <w:rPr>
          <w:rFonts w:hint="eastAsia"/>
          <w:bCs/>
          <w:lang w:val="x-none" w:eastAsia="zh-CN"/>
        </w:rPr>
      </w:pPr>
      <w:r w:rsidRPr="00503874">
        <w:rPr>
          <w:rFonts w:hint="eastAsia"/>
          <w:bCs/>
          <w:lang w:val="x-none" w:eastAsia="zh-CN"/>
        </w:rPr>
        <w:t>陈彤先生，经济学博士。现任易方达基金管理有限公司副总经理级高级管理人员，易方达财富管理基金销售（广州）有限公司董事长。曾任中国经济开发信托投资公司成都营业部研发部副经理、交易部经理、研发部经理、证券总部研究</w:t>
      </w:r>
      <w:r w:rsidRPr="00503874">
        <w:rPr>
          <w:rFonts w:hint="eastAsia"/>
          <w:bCs/>
          <w:lang w:val="x-none" w:eastAsia="zh-CN"/>
        </w:rPr>
        <w:t>部行业</w:t>
      </w:r>
      <w:r w:rsidRPr="00503874">
        <w:rPr>
          <w:rFonts w:hint="eastAsia"/>
          <w:bCs/>
          <w:lang w:val="x-none" w:eastAsia="zh-CN"/>
        </w:rPr>
        <w:t>研究员，易方达基金管理有限公司市场拓展部主管、基金经理、市场部华东区大区销售经理、市场部总经理助理、南京分公司总经理、成都分公司总经理、上海分公司总经理、总裁助理、市场总监，易方达国际控股有限公司董事。</w:t>
      </w:r>
    </w:p>
    <w:p w:rsidR="00503874" w:rsidRPr="00503874" w:rsidP="00503874" w14:paraId="414A5D1B" w14:textId="77777777">
      <w:pPr>
        <w:spacing w:line="360" w:lineRule="auto"/>
        <w:ind w:firstLine="420"/>
        <w:rPr>
          <w:rFonts w:hint="eastAsia"/>
          <w:bCs/>
          <w:lang w:val="x-none" w:eastAsia="zh-CN"/>
        </w:rPr>
      </w:pPr>
      <w:r w:rsidRPr="00503874">
        <w:rPr>
          <w:rFonts w:hint="eastAsia"/>
          <w:bCs/>
          <w:lang w:val="x-none" w:eastAsia="zh-CN"/>
        </w:rPr>
        <w:t>张南女士，经济学博士。现任易方达基金管理有限公司副总经理级高级管理人员。曾任广东省经济贸易委员会主任科员、副处长，易方达基金管理有限公司市场拓展部副总经理、监察部总经理、督察长、发展研究中心总经理。</w:t>
      </w:r>
    </w:p>
    <w:p w:rsidR="00503874" w:rsidRPr="00503874" w:rsidP="00503874" w14:paraId="5CE2A308" w14:textId="77777777">
      <w:pPr>
        <w:spacing w:line="360" w:lineRule="auto"/>
        <w:ind w:firstLine="420"/>
        <w:rPr>
          <w:rFonts w:hint="eastAsia"/>
          <w:bCs/>
          <w:lang w:val="x-none" w:eastAsia="zh-CN"/>
        </w:rPr>
      </w:pPr>
      <w:r w:rsidRPr="00503874">
        <w:rPr>
          <w:rFonts w:hint="eastAsia"/>
          <w:bCs/>
          <w:lang w:val="x-none" w:eastAsia="zh-CN"/>
        </w:rPr>
        <w:t>范岳先生，工商管理硕士。现任易方达基金管理有限公司副总经理级高级管理人员、基础设施资产管理委员会委员，易方达资产管理有限公司董事，易方达财富管理基金销售（广州）有限公司董事，易方达资产管理（香港）有限公司董事。曾任中国工商银行深圳分行国际业务部科员，深圳证券登记结算公司办公室经理、国际部经理，深圳证券交易所北京中心助理主任、上市部副总监、基金债券部副总监、基金管理部总监，易方达资产管理有限公司副董事长。</w:t>
      </w:r>
    </w:p>
    <w:p w:rsidR="00503874" w:rsidRPr="00503874" w:rsidP="00503874" w14:paraId="7D955C05" w14:textId="77777777">
      <w:pPr>
        <w:spacing w:line="360" w:lineRule="auto"/>
        <w:ind w:firstLine="420"/>
        <w:rPr>
          <w:rFonts w:hint="eastAsia"/>
          <w:bCs/>
          <w:lang w:eastAsia="zh-CN"/>
        </w:rPr>
      </w:pPr>
      <w:r w:rsidRPr="00503874">
        <w:rPr>
          <w:rFonts w:hint="eastAsia"/>
          <w:bCs/>
          <w:lang w:eastAsia="zh-CN"/>
        </w:rPr>
        <w:t>陈荣女士，经济学博士。现任易方达基金管理有限公司副总经理级高级管理人员，易方达财富管理基金销售（广州）有限公司董事，易方达国际控股有限公司董事。曾任中国人民银行广州分行统计研究处科员，易方达基金管理有限公司运作支持部经理、</w:t>
      </w:r>
      <w:r w:rsidRPr="00503874">
        <w:rPr>
          <w:rFonts w:hint="eastAsia"/>
          <w:bCs/>
          <w:lang w:eastAsia="zh-CN"/>
        </w:rPr>
        <w:t>核算部</w:t>
      </w:r>
      <w:r w:rsidRPr="00503874">
        <w:rPr>
          <w:rFonts w:hint="eastAsia"/>
          <w:bCs/>
          <w:lang w:eastAsia="zh-CN"/>
        </w:rPr>
        <w:t>总经理助理、</w:t>
      </w:r>
      <w:r w:rsidRPr="00503874">
        <w:rPr>
          <w:rFonts w:hint="eastAsia"/>
          <w:bCs/>
          <w:lang w:eastAsia="zh-CN"/>
        </w:rPr>
        <w:t>核算部</w:t>
      </w:r>
      <w:r w:rsidRPr="00503874">
        <w:rPr>
          <w:rFonts w:hint="eastAsia"/>
          <w:bCs/>
          <w:lang w:eastAsia="zh-CN"/>
        </w:rPr>
        <w:t>副总经理、</w:t>
      </w:r>
      <w:r w:rsidRPr="00503874">
        <w:rPr>
          <w:rFonts w:hint="eastAsia"/>
          <w:bCs/>
          <w:lang w:eastAsia="zh-CN"/>
        </w:rPr>
        <w:t>核算部</w:t>
      </w:r>
      <w:r w:rsidRPr="00503874">
        <w:rPr>
          <w:rFonts w:hint="eastAsia"/>
          <w:bCs/>
          <w:lang w:eastAsia="zh-CN"/>
        </w:rPr>
        <w:t>总经理、投资风险管理部总经理、总裁助理、董事会秘书、公司财务中心主任，易方达资产管理（香港）有限公司董事，易方达私募基金管理有限公司监事，易方达资产管理有限公司监事。</w:t>
      </w:r>
    </w:p>
    <w:p w:rsidR="00503874" w:rsidRPr="00503874" w:rsidP="00503874" w14:paraId="65F81E28" w14:textId="77777777">
      <w:pPr>
        <w:spacing w:line="360" w:lineRule="auto"/>
        <w:ind w:firstLine="420"/>
        <w:rPr>
          <w:rFonts w:hint="eastAsia"/>
          <w:bCs/>
          <w:lang w:eastAsia="zh-CN"/>
        </w:rPr>
      </w:pPr>
      <w:r w:rsidRPr="00503874">
        <w:rPr>
          <w:rFonts w:hint="eastAsia"/>
          <w:bCs/>
          <w:lang w:eastAsia="zh-CN"/>
        </w:rPr>
        <w:t>陈丽园女士，管理学硕士、法律硕士。现任易方达基金管理有限公司副总经理级高级管理人员，易方达财富管理基金销售（广州）有限公司董事，易方达国际控股有限公司董事，易方达资产管理（新加坡）有限公司董事。曾任易方达基金管理有限公司监察部监察员、总经理助理、副总经理、总经理，监察与合</w:t>
      </w:r>
      <w:r w:rsidRPr="00503874">
        <w:rPr>
          <w:rFonts w:hint="eastAsia"/>
          <w:bCs/>
          <w:lang w:eastAsia="zh-CN"/>
        </w:rPr>
        <w:t>规</w:t>
      </w:r>
      <w:r w:rsidRPr="00503874">
        <w:rPr>
          <w:rFonts w:hint="eastAsia"/>
          <w:bCs/>
          <w:lang w:eastAsia="zh-CN"/>
        </w:rPr>
        <w:t>管理总部总经理兼合</w:t>
      </w:r>
      <w:r w:rsidRPr="00503874">
        <w:rPr>
          <w:rFonts w:hint="eastAsia"/>
          <w:bCs/>
          <w:lang w:eastAsia="zh-CN"/>
        </w:rPr>
        <w:t>规内审部总经理</w:t>
      </w:r>
      <w:r w:rsidRPr="00503874">
        <w:rPr>
          <w:rFonts w:hint="eastAsia"/>
          <w:bCs/>
          <w:lang w:eastAsia="zh-CN"/>
        </w:rPr>
        <w:t>，首席营运官，易方达资产管理有限公司董事，易方达资产管理（香港）有限公司董事。</w:t>
      </w:r>
    </w:p>
    <w:p w:rsidR="00503874" w:rsidRPr="00503874" w:rsidP="00503874" w14:paraId="7AA9C58F" w14:textId="77777777">
      <w:pPr>
        <w:spacing w:line="360" w:lineRule="auto"/>
        <w:ind w:firstLine="420"/>
        <w:rPr>
          <w:rFonts w:hint="eastAsia"/>
          <w:bCs/>
          <w:lang w:eastAsia="zh-CN"/>
        </w:rPr>
      </w:pPr>
      <w:r w:rsidRPr="00503874">
        <w:rPr>
          <w:rFonts w:hint="eastAsia"/>
          <w:bCs/>
          <w:lang w:eastAsia="zh-CN"/>
        </w:rPr>
        <w:t>胡剑先生，经济学硕士。现任易方达基金管理有限公司副总经理级高级管理人员、固定收益投资决策委员会委员、基础设施资产管理委员会委员、基金经理。曾任易方达基金管理有限公司债券研究员、基金经理助理、固定收益研究部负责人、固定收益总部总经理助理、固定收益研究部总经理、固定收益投资部总经理、固定收益投资业务总部总经理。</w:t>
      </w:r>
    </w:p>
    <w:p w:rsidR="00503874" w:rsidRPr="00503874" w:rsidP="00503874" w14:paraId="5E0D07C4" w14:textId="77777777">
      <w:pPr>
        <w:spacing w:line="360" w:lineRule="auto"/>
        <w:ind w:firstLine="420"/>
        <w:rPr>
          <w:rFonts w:hint="eastAsia"/>
          <w:bCs/>
          <w:lang w:eastAsia="zh-CN"/>
        </w:rPr>
      </w:pPr>
      <w:r w:rsidRPr="00503874">
        <w:rPr>
          <w:rFonts w:hint="eastAsia"/>
          <w:bCs/>
          <w:lang w:eastAsia="zh-CN"/>
        </w:rPr>
        <w:t>冯波先生，经济学硕士。现任易方达基金管理有限公司副总经理级高级管理人员、权益投资决策委员会委员。曾任广东发展银行行员，易方达基金管理有限公司市场拓展部研究员、市场拓展部副经理、市场部大区销售经理、北京分公司副总经理、行业研究员、基金经理助理、研究部总经理助理、研究部副总经理、研究部总经理、基金经理。</w:t>
      </w:r>
    </w:p>
    <w:p w:rsidR="00503874" w:rsidRPr="00503874" w:rsidP="00503874" w14:paraId="34EFDE1E" w14:textId="77777777">
      <w:pPr>
        <w:spacing w:line="360" w:lineRule="auto"/>
        <w:ind w:firstLine="420"/>
        <w:rPr>
          <w:bCs/>
          <w:lang w:eastAsia="zh-CN"/>
        </w:rPr>
      </w:pPr>
      <w:r w:rsidRPr="00503874">
        <w:rPr>
          <w:rFonts w:hint="eastAsia"/>
          <w:bCs/>
          <w:lang w:eastAsia="zh-CN"/>
        </w:rPr>
        <w:t>杨冬梅女士，工商管理博士。现任易方达基金管理有限公司副总经理级高级管理人员、董事会秘书，易方达财富管理基金销售（广州）有限公司董事，易方达国际控股有限公司董事，易方达资产管理（新加坡）有限公司董事。</w:t>
      </w:r>
      <w:r w:rsidRPr="00503874">
        <w:rPr>
          <w:rFonts w:hint="eastAsia"/>
          <w:bCs/>
          <w:lang w:eastAsia="zh-CN"/>
        </w:rPr>
        <w:t>曾任广发</w:t>
      </w:r>
      <w:r w:rsidRPr="00503874">
        <w:rPr>
          <w:rFonts w:hint="eastAsia"/>
          <w:bCs/>
          <w:lang w:eastAsia="zh-CN"/>
        </w:rPr>
        <w:t>证券有限责任公司投资理财部职员、发展研究中心市场研究部负责人，南方证券股份有限公司研究所高级研究员，招商基金管理有限公司机构理财部高级经理、股票投资部高级经理，易方达基金管理有限公司宣传策划专员、市场部总经理助理、市场部副总经理、全球投资客户部总经理、宣传策划部总经理，易方达资产管理（香港）有限公司董事。</w:t>
      </w:r>
    </w:p>
    <w:p w:rsidR="00503874" w:rsidRPr="00503874" w:rsidP="00503874" w14:paraId="7128FEA9" w14:textId="77777777">
      <w:pPr>
        <w:spacing w:line="360" w:lineRule="auto"/>
        <w:ind w:firstLine="420"/>
        <w:rPr>
          <w:rFonts w:hint="eastAsia"/>
          <w:bCs/>
          <w:lang w:eastAsia="zh-CN"/>
        </w:rPr>
      </w:pPr>
      <w:r w:rsidRPr="00503874">
        <w:rPr>
          <w:rFonts w:hint="eastAsia"/>
          <w:bCs/>
          <w:lang w:eastAsia="zh-CN"/>
        </w:rPr>
        <w:t>刘世军先生，理学硕士。现任易方达基金管理有限公司副总经理级高级管理人员（首席数据与风险监测官）、投资风险管理部总经理。曾任易方达基金管理有限公司金融工程研究员、绩效与风险评估研究员、投资发展部总经理助理、投资风险管理部总经理助理、投资风险管理部副总经理、投资风险管理与数据服务总部总经理。</w:t>
      </w:r>
    </w:p>
    <w:p w:rsidR="00503874" w:rsidRPr="00503874" w:rsidP="00503874" w14:paraId="4CBE8A76" w14:textId="77777777">
      <w:pPr>
        <w:spacing w:line="360" w:lineRule="auto"/>
        <w:ind w:firstLine="420"/>
        <w:rPr>
          <w:rFonts w:hint="eastAsia"/>
          <w:bCs/>
          <w:lang w:eastAsia="zh-CN"/>
        </w:rPr>
      </w:pPr>
      <w:r w:rsidRPr="00503874">
        <w:rPr>
          <w:rFonts w:hint="eastAsia"/>
          <w:bCs/>
          <w:lang w:eastAsia="zh-CN"/>
        </w:rPr>
        <w:t>王玉女士，法学硕士。现任易方达基金管理有限公司督察长、内审稽核部总经理、发展研究中心总经理，易方达财富管理基金销售（广州）有限公司董事，易方达国际控股有限公司董事。曾在北京市国枫律师事务所、中国证监会工作，曾任易方达基金管理有限公司公司法律事务部总经理，易方达资产管理有限公司董事。</w:t>
      </w:r>
    </w:p>
    <w:p w:rsidR="00503874" w:rsidRPr="00503874" w:rsidP="00503874" w14:paraId="44D2AE74" w14:textId="77777777">
      <w:pPr>
        <w:spacing w:line="360" w:lineRule="auto"/>
        <w:ind w:firstLine="420"/>
        <w:rPr>
          <w:rFonts w:hint="eastAsia"/>
          <w:bCs/>
          <w:lang w:eastAsia="zh-CN"/>
        </w:rPr>
      </w:pPr>
      <w:r w:rsidRPr="00503874">
        <w:rPr>
          <w:rFonts w:hint="eastAsia"/>
          <w:bCs/>
          <w:lang w:eastAsia="zh-CN"/>
        </w:rPr>
        <w:t>王骏先生，会计硕士。现任易方达基金管理有限公司副总经理级高级管理人员（首席市场官）、渠道与营销管理部总经理、产品设计与业务</w:t>
      </w:r>
      <w:r w:rsidRPr="00503874">
        <w:rPr>
          <w:rFonts w:hint="eastAsia"/>
          <w:bCs/>
          <w:lang w:eastAsia="zh-CN"/>
        </w:rPr>
        <w:t>创新部</w:t>
      </w:r>
      <w:r w:rsidRPr="00503874">
        <w:rPr>
          <w:rFonts w:hint="eastAsia"/>
          <w:bCs/>
          <w:lang w:eastAsia="zh-CN"/>
        </w:rPr>
        <w:t>总经理。曾在普华永道中天会计师事务所、证监会广东监管局工作，曾任易方达资产管理有限公司副总经理、合</w:t>
      </w:r>
      <w:r w:rsidRPr="00503874">
        <w:rPr>
          <w:rFonts w:hint="eastAsia"/>
          <w:bCs/>
          <w:lang w:eastAsia="zh-CN"/>
        </w:rPr>
        <w:t>规风控</w:t>
      </w:r>
      <w:r w:rsidRPr="00503874">
        <w:rPr>
          <w:rFonts w:hint="eastAsia"/>
          <w:bCs/>
          <w:lang w:eastAsia="zh-CN"/>
        </w:rPr>
        <w:t>负责人、常务副总经理、董事。</w:t>
      </w:r>
    </w:p>
    <w:p w:rsidR="00503874" w:rsidRPr="00503874" w:rsidP="00503874" w14:paraId="617B6CF5" w14:textId="77777777">
      <w:pPr>
        <w:spacing w:line="360" w:lineRule="auto"/>
        <w:ind w:firstLine="420"/>
        <w:rPr>
          <w:bCs/>
          <w:lang w:eastAsia="zh-CN"/>
        </w:rPr>
      </w:pPr>
      <w:r w:rsidRPr="00503874">
        <w:rPr>
          <w:rFonts w:hint="eastAsia"/>
          <w:bCs/>
          <w:lang w:eastAsia="zh-CN"/>
        </w:rPr>
        <w:t>刘硕凌先生，工学博士。现任易方达基金管理有限公司首席信息官、前沿科技研究部总经理、智能应用研究部总经理，易方达私募基金管理有限公司董事，易方达资产管理（香港）有限公司董事。曾</w:t>
      </w:r>
      <w:r w:rsidRPr="00503874">
        <w:rPr>
          <w:rFonts w:hint="eastAsia"/>
          <w:bCs/>
          <w:lang w:eastAsia="zh-CN"/>
        </w:rPr>
        <w:t>任嘉实基金</w:t>
      </w:r>
      <w:r w:rsidRPr="00503874">
        <w:rPr>
          <w:rFonts w:hint="eastAsia"/>
          <w:bCs/>
          <w:lang w:eastAsia="zh-CN"/>
        </w:rPr>
        <w:t>管理有限公司信息技术部高级项目经理、科技子公司副总经理，</w:t>
      </w:r>
      <w:r w:rsidRPr="00503874">
        <w:rPr>
          <w:rFonts w:hint="eastAsia"/>
          <w:bCs/>
          <w:lang w:eastAsia="zh-CN"/>
        </w:rPr>
        <w:t>天弘基金</w:t>
      </w:r>
      <w:r w:rsidRPr="00503874">
        <w:rPr>
          <w:rFonts w:hint="eastAsia"/>
          <w:bCs/>
          <w:lang w:eastAsia="zh-CN"/>
        </w:rPr>
        <w:t>管理有限公司智能投资部总经理助理，易方达基金管理有限公司金融科技部副总经理、创新研究中心副总经理、系统研发中心副总经理、创新研究中心总经理。</w:t>
      </w:r>
    </w:p>
    <w:p w:rsidR="009F340D" w:rsidRPr="00A936B7" w:rsidP="00600C55" w14:paraId="73CFCA40" w14:textId="6264201F">
      <w:pPr>
        <w:spacing w:line="360" w:lineRule="auto"/>
        <w:ind w:firstLine="420"/>
        <w:rPr>
          <w:rFonts w:asciiTheme="minorEastAsia" w:eastAsiaTheme="minorEastAsia" w:hAnsiTheme="minorEastAsia" w:hint="eastAsia"/>
          <w:bCs/>
          <w:lang w:eastAsia="zh-CN"/>
        </w:rPr>
      </w:pPr>
    </w:p>
    <w:p w:rsidR="009F340D" w:rsidRPr="00A936B7" w14:paraId="058F0119" w14:textId="77777777">
      <w:pPr>
        <w:spacing w:line="360" w:lineRule="auto"/>
        <w:ind w:firstLine="420"/>
        <w:rPr>
          <w:rFonts w:asciiTheme="minorEastAsia" w:eastAsiaTheme="minorEastAsia" w:hAnsiTheme="minorEastAsia" w:hint="eastAsia"/>
          <w:bCs/>
          <w:lang w:eastAsia="zh-CN"/>
        </w:rPr>
      </w:pPr>
      <w:r w:rsidRPr="00A936B7">
        <w:rPr>
          <w:rFonts w:asciiTheme="minorEastAsia" w:eastAsiaTheme="minorEastAsia" w:hAnsiTheme="minorEastAsia" w:cs="宋体"/>
          <w:bCs/>
          <w:highlight w:val="white"/>
          <w:lang w:eastAsia="zh-CN"/>
        </w:rPr>
        <w:t>2</w:t>
      </w:r>
      <w:r w:rsidRPr="00A936B7">
        <w:rPr>
          <w:rFonts w:asciiTheme="minorEastAsia" w:eastAsiaTheme="minorEastAsia" w:hAnsiTheme="minorEastAsia" w:hint="eastAsia"/>
          <w:bCs/>
          <w:highlight w:val="white"/>
          <w:lang w:eastAsia="zh-CN"/>
        </w:rPr>
        <w:t>、基金经理</w:t>
      </w:r>
    </w:p>
    <w:p w:rsidR="00D828B3" w14:paraId="5A29DBB2" w14:textId="77777777">
      <w:pPr>
        <w:spacing w:line="360" w:lineRule="auto"/>
        <w:ind w:firstLine="420"/>
        <w:rPr>
          <w:rFonts w:asciiTheme="minorEastAsia" w:eastAsiaTheme="minorEastAsia" w:hAnsiTheme="minorEastAsia" w:hint="eastAsia"/>
          <w:bCs/>
          <w:lang w:eastAsia="zh-CN"/>
        </w:rPr>
      </w:pPr>
      <w:r>
        <w:rPr>
          <w:rFonts w:asciiTheme="minorEastAsia" w:eastAsiaTheme="minorEastAsia" w:hAnsiTheme="minorEastAsia" w:hint="eastAsia"/>
          <w:bCs/>
          <w:lang w:eastAsia="zh-CN"/>
        </w:rPr>
        <w:t>聂启文先生，理学硕士，本基金的基金经理。现任易方达基金管理有限公司基金经理、基金经理助理。曾任易方达基金管理有限公司研究员。聂启文历任基金经理及现任基金经理助理的基金如下：</w:t>
      </w:r>
    </w:p>
    <w:tbl>
      <w:tblPr>
        <w:tblStyle w:val="TableGrid"/>
        <w:tblW w:w="0" w:type="auto"/>
        <w:jc w:val="center"/>
        <w:tblLayout w:type="fixed"/>
        <w:tblLook w:val="04A0"/>
      </w:tblPr>
      <w:tblGrid>
        <w:gridCol w:w="4626"/>
        <w:gridCol w:w="1835"/>
        <w:gridCol w:w="1835"/>
      </w:tblGrid>
      <w:tr w14:paraId="6221955F" w14:textId="77777777">
        <w:tblPrEx>
          <w:tblW w:w="0" w:type="auto"/>
          <w:jc w:val="center"/>
          <w:tblLayout w:type="fixed"/>
          <w:tblLook w:val="04A0"/>
        </w:tblPrEx>
        <w:trPr>
          <w:jc w:val="center"/>
        </w:trPr>
        <w:tc>
          <w:tcPr>
            <w:tcW w:w="4626" w:type="dxa"/>
          </w:tcPr>
          <w:p w:rsidR="00D828B3" w14:paraId="12DE1DAC" w14:textId="77777777">
            <w:r>
              <w:rPr>
                <w:rFonts w:asciiTheme="minorEastAsia" w:eastAsiaTheme="minorEastAsia" w:hAnsiTheme="minorEastAsia" w:hint="eastAsia"/>
                <w:b/>
                <w:szCs w:val="21"/>
              </w:rPr>
              <w:t>历任基金经理的基金</w:t>
            </w:r>
          </w:p>
        </w:tc>
        <w:tc>
          <w:tcPr>
            <w:tcW w:w="1835" w:type="dxa"/>
          </w:tcPr>
          <w:p w:rsidR="00D828B3" w14:paraId="6E251970" w14:textId="77777777">
            <w:pPr>
              <w:jc w:val="center"/>
            </w:pPr>
            <w:r>
              <w:rPr>
                <w:rFonts w:asciiTheme="minorEastAsia" w:eastAsiaTheme="minorEastAsia" w:hAnsiTheme="minorEastAsia" w:hint="eastAsia"/>
                <w:b/>
                <w:szCs w:val="21"/>
              </w:rPr>
              <w:t>任职时间</w:t>
            </w:r>
          </w:p>
        </w:tc>
        <w:tc>
          <w:tcPr>
            <w:tcW w:w="1835" w:type="dxa"/>
          </w:tcPr>
          <w:p w:rsidR="00D828B3" w14:paraId="204DC23E" w14:textId="77777777">
            <w:pPr>
              <w:jc w:val="center"/>
            </w:pPr>
            <w:r>
              <w:rPr>
                <w:rFonts w:asciiTheme="minorEastAsia" w:eastAsiaTheme="minorEastAsia" w:hAnsiTheme="minorEastAsia" w:hint="eastAsia"/>
                <w:b/>
                <w:szCs w:val="21"/>
              </w:rPr>
              <w:t>离任时间</w:t>
            </w:r>
          </w:p>
        </w:tc>
      </w:tr>
      <w:tr w14:paraId="5B390F58" w14:textId="77777777">
        <w:tblPrEx>
          <w:tblW w:w="0" w:type="auto"/>
          <w:jc w:val="center"/>
          <w:tblLayout w:type="fixed"/>
          <w:tblLook w:val="04A0"/>
        </w:tblPrEx>
        <w:trPr>
          <w:trHeight w:val="360"/>
          <w:jc w:val="center"/>
        </w:trPr>
        <w:tc>
          <w:tcPr>
            <w:tcW w:w="4626" w:type="dxa"/>
          </w:tcPr>
          <w:p w:rsidR="00D828B3" w14:paraId="3D6C36FA" w14:textId="77777777">
            <w:pPr>
              <w:rPr>
                <w:lang w:eastAsia="zh-CN"/>
              </w:rPr>
            </w:pPr>
            <w:r>
              <w:rPr>
                <w:rFonts w:asciiTheme="minorEastAsia" w:eastAsiaTheme="minorEastAsia" w:hAnsiTheme="minorEastAsia" w:hint="eastAsia"/>
                <w:szCs w:val="21"/>
                <w:lang w:eastAsia="zh-CN"/>
              </w:rPr>
              <w:t>易方达中证信息安全主题ETF</w:t>
            </w:r>
          </w:p>
        </w:tc>
        <w:tc>
          <w:tcPr>
            <w:tcW w:w="1835" w:type="dxa"/>
          </w:tcPr>
          <w:p w:rsidR="00D828B3" w14:paraId="7B85EA03" w14:textId="77777777">
            <w:pPr>
              <w:rPr>
                <w:lang w:eastAsia="zh-CN"/>
              </w:rPr>
            </w:pPr>
            <w:r>
              <w:rPr>
                <w:rFonts w:asciiTheme="minorEastAsia" w:eastAsiaTheme="minorEastAsia" w:hAnsiTheme="minorEastAsia" w:hint="eastAsia"/>
                <w:szCs w:val="21"/>
                <w:lang w:eastAsia="zh-CN"/>
              </w:rPr>
              <w:t>2025-11-12</w:t>
            </w:r>
          </w:p>
        </w:tc>
        <w:tc>
          <w:tcPr>
            <w:tcW w:w="1835" w:type="dxa"/>
          </w:tcPr>
          <w:p w:rsidR="00D828B3" w14:paraId="5B6F6315" w14:textId="77777777">
            <w:pPr>
              <w:rPr>
                <w:lang w:eastAsia="zh-CN"/>
              </w:rPr>
            </w:pPr>
            <w:r>
              <w:rPr>
                <w:rFonts w:asciiTheme="minorEastAsia" w:eastAsiaTheme="minorEastAsia" w:hAnsiTheme="minorEastAsia" w:hint="eastAsia"/>
                <w:szCs w:val="21"/>
                <w:lang w:eastAsia="zh-CN"/>
              </w:rPr>
              <w:t>-</w:t>
            </w:r>
          </w:p>
        </w:tc>
      </w:tr>
      <w:tr w14:paraId="68971D2C" w14:textId="77777777">
        <w:tblPrEx>
          <w:tblW w:w="0" w:type="auto"/>
          <w:jc w:val="center"/>
          <w:tblLayout w:type="fixed"/>
          <w:tblLook w:val="04A0"/>
        </w:tblPrEx>
        <w:trPr>
          <w:trHeight w:val="360"/>
          <w:jc w:val="center"/>
        </w:trPr>
        <w:tc>
          <w:tcPr>
            <w:tcW w:w="4626" w:type="dxa"/>
          </w:tcPr>
          <w:p w:rsidR="00D828B3" w14:paraId="370E8055" w14:textId="77777777">
            <w:pPr>
              <w:rPr>
                <w:lang w:eastAsia="zh-CN"/>
              </w:rPr>
            </w:pPr>
            <w:r>
              <w:rPr>
                <w:rFonts w:asciiTheme="minorEastAsia" w:eastAsiaTheme="minorEastAsia" w:hAnsiTheme="minorEastAsia" w:hint="eastAsia"/>
                <w:szCs w:val="21"/>
                <w:lang w:eastAsia="zh-CN"/>
              </w:rPr>
              <w:t>易方达深证50ETF联接发起式</w:t>
            </w:r>
          </w:p>
        </w:tc>
        <w:tc>
          <w:tcPr>
            <w:tcW w:w="1835" w:type="dxa"/>
          </w:tcPr>
          <w:p w:rsidR="00D828B3" w14:paraId="425DFCCB" w14:textId="77777777">
            <w:pPr>
              <w:rPr>
                <w:lang w:eastAsia="zh-CN"/>
              </w:rPr>
            </w:pPr>
            <w:r>
              <w:rPr>
                <w:rFonts w:asciiTheme="minorEastAsia" w:eastAsiaTheme="minorEastAsia" w:hAnsiTheme="minorEastAsia" w:hint="eastAsia"/>
                <w:szCs w:val="21"/>
                <w:lang w:eastAsia="zh-CN"/>
              </w:rPr>
              <w:t>2025-11-20</w:t>
            </w:r>
          </w:p>
        </w:tc>
        <w:tc>
          <w:tcPr>
            <w:tcW w:w="1835" w:type="dxa"/>
          </w:tcPr>
          <w:p w:rsidR="00D828B3" w14:paraId="2AB7CF44" w14:textId="77777777">
            <w:pPr>
              <w:rPr>
                <w:lang w:eastAsia="zh-CN"/>
              </w:rPr>
            </w:pPr>
            <w:r>
              <w:rPr>
                <w:rFonts w:asciiTheme="minorEastAsia" w:eastAsiaTheme="minorEastAsia" w:hAnsiTheme="minorEastAsia" w:hint="eastAsia"/>
                <w:szCs w:val="21"/>
                <w:lang w:eastAsia="zh-CN"/>
              </w:rPr>
              <w:t>-</w:t>
            </w:r>
          </w:p>
        </w:tc>
      </w:tr>
      <w:tr w14:paraId="2D050AC6" w14:textId="77777777">
        <w:tblPrEx>
          <w:tblW w:w="0" w:type="auto"/>
          <w:jc w:val="center"/>
          <w:tblLayout w:type="fixed"/>
          <w:tblLook w:val="04A0"/>
        </w:tblPrEx>
        <w:trPr>
          <w:trHeight w:val="360"/>
          <w:jc w:val="center"/>
        </w:trPr>
        <w:tc>
          <w:tcPr>
            <w:tcW w:w="4626" w:type="dxa"/>
          </w:tcPr>
          <w:p w:rsidR="00D828B3" w14:paraId="0847070A" w14:textId="77777777">
            <w:pPr>
              <w:rPr>
                <w:lang w:eastAsia="zh-CN"/>
              </w:rPr>
            </w:pPr>
            <w:r>
              <w:rPr>
                <w:rFonts w:asciiTheme="minorEastAsia" w:eastAsiaTheme="minorEastAsia" w:hAnsiTheme="minorEastAsia" w:hint="eastAsia"/>
                <w:szCs w:val="21"/>
                <w:lang w:eastAsia="zh-CN"/>
              </w:rPr>
              <w:t>易方达中证内地低碳经济主题ETF</w:t>
            </w:r>
          </w:p>
        </w:tc>
        <w:tc>
          <w:tcPr>
            <w:tcW w:w="1835" w:type="dxa"/>
          </w:tcPr>
          <w:p w:rsidR="00D828B3" w14:paraId="27E5CD3F" w14:textId="77777777">
            <w:pPr>
              <w:rPr>
                <w:lang w:eastAsia="zh-CN"/>
              </w:rPr>
            </w:pPr>
            <w:r>
              <w:rPr>
                <w:rFonts w:asciiTheme="minorEastAsia" w:eastAsiaTheme="minorEastAsia" w:hAnsiTheme="minorEastAsia" w:hint="eastAsia"/>
                <w:szCs w:val="21"/>
                <w:lang w:eastAsia="zh-CN"/>
              </w:rPr>
              <w:t>2025-11-20</w:t>
            </w:r>
          </w:p>
        </w:tc>
        <w:tc>
          <w:tcPr>
            <w:tcW w:w="1835" w:type="dxa"/>
          </w:tcPr>
          <w:p w:rsidR="00D828B3" w14:paraId="35FFAFB9" w14:textId="77777777">
            <w:pPr>
              <w:rPr>
                <w:lang w:eastAsia="zh-CN"/>
              </w:rPr>
            </w:pPr>
            <w:r>
              <w:rPr>
                <w:rFonts w:asciiTheme="minorEastAsia" w:eastAsiaTheme="minorEastAsia" w:hAnsiTheme="minorEastAsia" w:hint="eastAsia"/>
                <w:szCs w:val="21"/>
                <w:lang w:eastAsia="zh-CN"/>
              </w:rPr>
              <w:t>-</w:t>
            </w:r>
          </w:p>
        </w:tc>
      </w:tr>
      <w:tr w14:paraId="6EA4F82E" w14:textId="77777777">
        <w:tblPrEx>
          <w:tblW w:w="0" w:type="auto"/>
          <w:jc w:val="center"/>
          <w:tblLayout w:type="fixed"/>
          <w:tblLook w:val="04A0"/>
        </w:tblPrEx>
        <w:trPr>
          <w:trHeight w:val="360"/>
          <w:jc w:val="center"/>
        </w:trPr>
        <w:tc>
          <w:tcPr>
            <w:tcW w:w="4626" w:type="dxa"/>
          </w:tcPr>
          <w:p w:rsidR="00D828B3" w14:paraId="357B1B1B" w14:textId="77777777">
            <w:pPr>
              <w:rPr>
                <w:lang w:eastAsia="zh-CN"/>
              </w:rPr>
            </w:pPr>
            <w:r>
              <w:rPr>
                <w:rFonts w:asciiTheme="minorEastAsia" w:eastAsiaTheme="minorEastAsia" w:hAnsiTheme="minorEastAsia" w:hint="eastAsia"/>
                <w:szCs w:val="21"/>
                <w:lang w:eastAsia="zh-CN"/>
              </w:rPr>
              <w:t>易方达中证内地低碳经济主题ETF联接</w:t>
            </w:r>
          </w:p>
        </w:tc>
        <w:tc>
          <w:tcPr>
            <w:tcW w:w="1835" w:type="dxa"/>
          </w:tcPr>
          <w:p w:rsidR="00D828B3" w14:paraId="4ECBB818" w14:textId="77777777">
            <w:pPr>
              <w:rPr>
                <w:lang w:eastAsia="zh-CN"/>
              </w:rPr>
            </w:pPr>
            <w:r>
              <w:rPr>
                <w:rFonts w:asciiTheme="minorEastAsia" w:eastAsiaTheme="minorEastAsia" w:hAnsiTheme="minorEastAsia" w:hint="eastAsia"/>
                <w:szCs w:val="21"/>
                <w:lang w:eastAsia="zh-CN"/>
              </w:rPr>
              <w:t>2025-11-20</w:t>
            </w:r>
          </w:p>
        </w:tc>
        <w:tc>
          <w:tcPr>
            <w:tcW w:w="1835" w:type="dxa"/>
          </w:tcPr>
          <w:p w:rsidR="00D828B3" w14:paraId="78625006" w14:textId="77777777">
            <w:pPr>
              <w:rPr>
                <w:lang w:eastAsia="zh-CN"/>
              </w:rPr>
            </w:pPr>
            <w:r>
              <w:rPr>
                <w:rFonts w:asciiTheme="minorEastAsia" w:eastAsiaTheme="minorEastAsia" w:hAnsiTheme="minorEastAsia" w:hint="eastAsia"/>
                <w:szCs w:val="21"/>
                <w:lang w:eastAsia="zh-CN"/>
              </w:rPr>
              <w:t>-</w:t>
            </w:r>
          </w:p>
        </w:tc>
      </w:tr>
      <w:tr w14:paraId="1209CDA8" w14:textId="77777777">
        <w:tblPrEx>
          <w:tblW w:w="0" w:type="auto"/>
          <w:jc w:val="center"/>
          <w:tblLayout w:type="fixed"/>
          <w:tblLook w:val="04A0"/>
        </w:tblPrEx>
        <w:trPr>
          <w:trHeight w:val="360"/>
          <w:jc w:val="center"/>
        </w:trPr>
        <w:tc>
          <w:tcPr>
            <w:tcW w:w="4626" w:type="dxa"/>
          </w:tcPr>
          <w:p w:rsidR="00D828B3" w14:paraId="49D1DC3F" w14:textId="77777777">
            <w:pPr>
              <w:rPr>
                <w:lang w:eastAsia="zh-CN"/>
              </w:rPr>
            </w:pPr>
            <w:r>
              <w:rPr>
                <w:rFonts w:asciiTheme="minorEastAsia" w:eastAsiaTheme="minorEastAsia" w:hAnsiTheme="minorEastAsia" w:hint="eastAsia"/>
                <w:szCs w:val="21"/>
                <w:lang w:eastAsia="zh-CN"/>
              </w:rPr>
              <w:t>易方达中证全指建筑材料ETF</w:t>
            </w:r>
          </w:p>
        </w:tc>
        <w:tc>
          <w:tcPr>
            <w:tcW w:w="1835" w:type="dxa"/>
          </w:tcPr>
          <w:p w:rsidR="00D828B3" w14:paraId="12FB2725" w14:textId="77777777">
            <w:pPr>
              <w:rPr>
                <w:lang w:eastAsia="zh-CN"/>
              </w:rPr>
            </w:pPr>
            <w:r>
              <w:rPr>
                <w:rFonts w:asciiTheme="minorEastAsia" w:eastAsiaTheme="minorEastAsia" w:hAnsiTheme="minorEastAsia" w:hint="eastAsia"/>
                <w:szCs w:val="21"/>
                <w:lang w:eastAsia="zh-CN"/>
              </w:rPr>
              <w:t>2025-11-29</w:t>
            </w:r>
          </w:p>
        </w:tc>
        <w:tc>
          <w:tcPr>
            <w:tcW w:w="1835" w:type="dxa"/>
          </w:tcPr>
          <w:p w:rsidR="00D828B3" w14:paraId="48196A24" w14:textId="77777777">
            <w:pPr>
              <w:rPr>
                <w:lang w:eastAsia="zh-CN"/>
              </w:rPr>
            </w:pPr>
            <w:r>
              <w:rPr>
                <w:rFonts w:asciiTheme="minorEastAsia" w:eastAsiaTheme="minorEastAsia" w:hAnsiTheme="minorEastAsia" w:hint="eastAsia"/>
                <w:szCs w:val="21"/>
                <w:lang w:eastAsia="zh-CN"/>
              </w:rPr>
              <w:t>-</w:t>
            </w:r>
          </w:p>
        </w:tc>
      </w:tr>
      <w:tr w14:paraId="4898606F" w14:textId="77777777">
        <w:tblPrEx>
          <w:tblW w:w="0" w:type="auto"/>
          <w:jc w:val="center"/>
          <w:tblLayout w:type="fixed"/>
          <w:tblLook w:val="04A0"/>
        </w:tblPrEx>
        <w:trPr>
          <w:trHeight w:val="360"/>
          <w:jc w:val="center"/>
        </w:trPr>
        <w:tc>
          <w:tcPr>
            <w:tcW w:w="4626" w:type="dxa"/>
          </w:tcPr>
          <w:p w:rsidR="00D828B3" w14:paraId="1D23730F" w14:textId="77777777">
            <w:pPr>
              <w:rPr>
                <w:lang w:eastAsia="zh-CN"/>
              </w:rPr>
            </w:pPr>
            <w:r>
              <w:rPr>
                <w:rFonts w:asciiTheme="minorEastAsia" w:eastAsiaTheme="minorEastAsia" w:hAnsiTheme="minorEastAsia" w:hint="eastAsia"/>
                <w:szCs w:val="21"/>
                <w:lang w:eastAsia="zh-CN"/>
              </w:rPr>
              <w:t>易方达中证国有企业改革指数（LOF）</w:t>
            </w:r>
          </w:p>
        </w:tc>
        <w:tc>
          <w:tcPr>
            <w:tcW w:w="1835" w:type="dxa"/>
          </w:tcPr>
          <w:p w:rsidR="00D828B3" w14:paraId="7401D5CC" w14:textId="77777777">
            <w:pPr>
              <w:rPr>
                <w:lang w:eastAsia="zh-CN"/>
              </w:rPr>
            </w:pPr>
            <w:r>
              <w:rPr>
                <w:rFonts w:asciiTheme="minorEastAsia" w:eastAsiaTheme="minorEastAsia" w:hAnsiTheme="minorEastAsia" w:hint="eastAsia"/>
                <w:szCs w:val="21"/>
                <w:lang w:eastAsia="zh-CN"/>
              </w:rPr>
              <w:t>2025-12-03</w:t>
            </w:r>
          </w:p>
        </w:tc>
        <w:tc>
          <w:tcPr>
            <w:tcW w:w="1835" w:type="dxa"/>
          </w:tcPr>
          <w:p w:rsidR="00D828B3" w14:paraId="0573DAAA" w14:textId="77777777">
            <w:pPr>
              <w:rPr>
                <w:lang w:eastAsia="zh-CN"/>
              </w:rPr>
            </w:pPr>
            <w:r>
              <w:rPr>
                <w:rFonts w:asciiTheme="minorEastAsia" w:eastAsiaTheme="minorEastAsia" w:hAnsiTheme="minorEastAsia" w:hint="eastAsia"/>
                <w:szCs w:val="21"/>
                <w:lang w:eastAsia="zh-CN"/>
              </w:rPr>
              <w:t>-</w:t>
            </w:r>
          </w:p>
        </w:tc>
      </w:tr>
      <w:tr w14:paraId="4298A896" w14:textId="77777777">
        <w:tblPrEx>
          <w:tblW w:w="0" w:type="auto"/>
          <w:jc w:val="center"/>
          <w:tblLayout w:type="fixed"/>
          <w:tblLook w:val="04A0"/>
        </w:tblPrEx>
        <w:trPr>
          <w:trHeight w:val="360"/>
          <w:jc w:val="center"/>
        </w:trPr>
        <w:tc>
          <w:tcPr>
            <w:tcW w:w="4626" w:type="dxa"/>
          </w:tcPr>
          <w:p w:rsidR="00D828B3" w14:paraId="18B85067" w14:textId="77777777">
            <w:pPr>
              <w:rPr>
                <w:lang w:eastAsia="zh-CN"/>
              </w:rPr>
            </w:pPr>
            <w:r>
              <w:rPr>
                <w:rFonts w:asciiTheme="minorEastAsia" w:eastAsiaTheme="minorEastAsia" w:hAnsiTheme="minorEastAsia" w:hint="eastAsia"/>
                <w:szCs w:val="21"/>
                <w:lang w:eastAsia="zh-CN"/>
              </w:rPr>
              <w:t>易方达中证物联网主题ETF</w:t>
            </w:r>
          </w:p>
        </w:tc>
        <w:tc>
          <w:tcPr>
            <w:tcW w:w="1835" w:type="dxa"/>
          </w:tcPr>
          <w:p w:rsidR="00D828B3" w14:paraId="71F13D3B" w14:textId="77777777">
            <w:pPr>
              <w:rPr>
                <w:lang w:eastAsia="zh-CN"/>
              </w:rPr>
            </w:pPr>
            <w:r>
              <w:rPr>
                <w:rFonts w:asciiTheme="minorEastAsia" w:eastAsiaTheme="minorEastAsia" w:hAnsiTheme="minorEastAsia" w:hint="eastAsia"/>
                <w:szCs w:val="21"/>
                <w:lang w:eastAsia="zh-CN"/>
              </w:rPr>
              <w:t>2025-12-03</w:t>
            </w:r>
          </w:p>
        </w:tc>
        <w:tc>
          <w:tcPr>
            <w:tcW w:w="1835" w:type="dxa"/>
          </w:tcPr>
          <w:p w:rsidR="00D828B3" w14:paraId="4EC6FB04" w14:textId="77777777">
            <w:pPr>
              <w:rPr>
                <w:lang w:eastAsia="zh-CN"/>
              </w:rPr>
            </w:pPr>
            <w:r>
              <w:rPr>
                <w:rFonts w:asciiTheme="minorEastAsia" w:eastAsiaTheme="minorEastAsia" w:hAnsiTheme="minorEastAsia" w:hint="eastAsia"/>
                <w:szCs w:val="21"/>
                <w:lang w:eastAsia="zh-CN"/>
              </w:rPr>
              <w:t>-</w:t>
            </w:r>
          </w:p>
        </w:tc>
      </w:tr>
      <w:tr w14:paraId="0BE685CC" w14:textId="77777777">
        <w:tblPrEx>
          <w:tblW w:w="0" w:type="auto"/>
          <w:jc w:val="center"/>
          <w:tblLayout w:type="fixed"/>
          <w:tblLook w:val="04A0"/>
        </w:tblPrEx>
        <w:trPr>
          <w:trHeight w:val="360"/>
          <w:jc w:val="center"/>
        </w:trPr>
        <w:tc>
          <w:tcPr>
            <w:tcW w:w="4626" w:type="dxa"/>
          </w:tcPr>
          <w:p w:rsidR="00D828B3" w14:paraId="75885E0D" w14:textId="77777777">
            <w:pPr>
              <w:rPr>
                <w:lang w:eastAsia="zh-CN"/>
              </w:rPr>
            </w:pPr>
            <w:r>
              <w:rPr>
                <w:rFonts w:asciiTheme="minorEastAsia" w:eastAsiaTheme="minorEastAsia" w:hAnsiTheme="minorEastAsia" w:hint="eastAsia"/>
                <w:szCs w:val="21"/>
                <w:lang w:eastAsia="zh-CN"/>
              </w:rPr>
              <w:t>易方达中证物联网主题ETF联接发起式</w:t>
            </w:r>
          </w:p>
        </w:tc>
        <w:tc>
          <w:tcPr>
            <w:tcW w:w="1835" w:type="dxa"/>
          </w:tcPr>
          <w:p w:rsidR="00D828B3" w14:paraId="0B8D1794" w14:textId="77777777">
            <w:pPr>
              <w:rPr>
                <w:lang w:eastAsia="zh-CN"/>
              </w:rPr>
            </w:pPr>
            <w:r>
              <w:rPr>
                <w:rFonts w:asciiTheme="minorEastAsia" w:eastAsiaTheme="minorEastAsia" w:hAnsiTheme="minorEastAsia" w:hint="eastAsia"/>
                <w:szCs w:val="21"/>
                <w:lang w:eastAsia="zh-CN"/>
              </w:rPr>
              <w:t>2025-12-03</w:t>
            </w:r>
          </w:p>
        </w:tc>
        <w:tc>
          <w:tcPr>
            <w:tcW w:w="1835" w:type="dxa"/>
          </w:tcPr>
          <w:p w:rsidR="00D828B3" w14:paraId="3ECE502C" w14:textId="77777777">
            <w:pPr>
              <w:rPr>
                <w:lang w:eastAsia="zh-CN"/>
              </w:rPr>
            </w:pPr>
            <w:r>
              <w:rPr>
                <w:rFonts w:asciiTheme="minorEastAsia" w:eastAsiaTheme="minorEastAsia" w:hAnsiTheme="minorEastAsia" w:hint="eastAsia"/>
                <w:szCs w:val="21"/>
                <w:lang w:eastAsia="zh-CN"/>
              </w:rPr>
              <w:t>-</w:t>
            </w:r>
          </w:p>
        </w:tc>
      </w:tr>
      <w:tr w14:paraId="60ECC784" w14:textId="77777777">
        <w:tblPrEx>
          <w:tblW w:w="0" w:type="auto"/>
          <w:jc w:val="center"/>
          <w:tblLayout w:type="fixed"/>
          <w:tblLook w:val="04A0"/>
        </w:tblPrEx>
        <w:trPr>
          <w:trHeight w:val="360"/>
          <w:jc w:val="center"/>
        </w:trPr>
        <w:tc>
          <w:tcPr>
            <w:tcW w:w="4626" w:type="dxa"/>
          </w:tcPr>
          <w:p w:rsidR="00D828B3" w14:paraId="25A7A679" w14:textId="77777777">
            <w:pPr>
              <w:rPr>
                <w:lang w:eastAsia="zh-CN"/>
              </w:rPr>
            </w:pPr>
            <w:r>
              <w:rPr>
                <w:rFonts w:asciiTheme="minorEastAsia" w:eastAsiaTheme="minorEastAsia" w:hAnsiTheme="minorEastAsia" w:hint="eastAsia"/>
                <w:szCs w:val="21"/>
                <w:lang w:eastAsia="zh-CN"/>
              </w:rPr>
              <w:t>易方达中证现代农业主题ETF</w:t>
            </w:r>
          </w:p>
        </w:tc>
        <w:tc>
          <w:tcPr>
            <w:tcW w:w="1835" w:type="dxa"/>
          </w:tcPr>
          <w:p w:rsidR="00D828B3" w14:paraId="2BAA2EC0" w14:textId="77777777">
            <w:pPr>
              <w:rPr>
                <w:lang w:eastAsia="zh-CN"/>
              </w:rPr>
            </w:pPr>
            <w:r>
              <w:rPr>
                <w:rFonts w:asciiTheme="minorEastAsia" w:eastAsiaTheme="minorEastAsia" w:hAnsiTheme="minorEastAsia" w:hint="eastAsia"/>
                <w:szCs w:val="21"/>
                <w:lang w:eastAsia="zh-CN"/>
              </w:rPr>
              <w:t>2025-12-03</w:t>
            </w:r>
          </w:p>
        </w:tc>
        <w:tc>
          <w:tcPr>
            <w:tcW w:w="1835" w:type="dxa"/>
          </w:tcPr>
          <w:p w:rsidR="00D828B3" w14:paraId="3AD03778" w14:textId="77777777">
            <w:pPr>
              <w:rPr>
                <w:lang w:eastAsia="zh-CN"/>
              </w:rPr>
            </w:pPr>
            <w:r>
              <w:rPr>
                <w:rFonts w:asciiTheme="minorEastAsia" w:eastAsiaTheme="minorEastAsia" w:hAnsiTheme="minorEastAsia" w:hint="eastAsia"/>
                <w:szCs w:val="21"/>
                <w:lang w:eastAsia="zh-CN"/>
              </w:rPr>
              <w:t>-</w:t>
            </w:r>
          </w:p>
        </w:tc>
      </w:tr>
      <w:tr w14:paraId="2228C527" w14:textId="77777777">
        <w:tblPrEx>
          <w:tblW w:w="0" w:type="auto"/>
          <w:jc w:val="center"/>
          <w:tblLayout w:type="fixed"/>
          <w:tblLook w:val="04A0"/>
        </w:tblPrEx>
        <w:trPr>
          <w:trHeight w:val="360"/>
          <w:jc w:val="center"/>
        </w:trPr>
        <w:tc>
          <w:tcPr>
            <w:tcW w:w="4626" w:type="dxa"/>
          </w:tcPr>
          <w:p w:rsidR="00D828B3" w14:paraId="76AEF362" w14:textId="77777777">
            <w:pPr>
              <w:rPr>
                <w:lang w:eastAsia="zh-CN"/>
              </w:rPr>
            </w:pPr>
            <w:r>
              <w:rPr>
                <w:rFonts w:asciiTheme="minorEastAsia" w:eastAsiaTheme="minorEastAsia" w:hAnsiTheme="minorEastAsia" w:hint="eastAsia"/>
                <w:szCs w:val="21"/>
                <w:lang w:eastAsia="zh-CN"/>
              </w:rPr>
              <w:t>易方达上证综合ETF</w:t>
            </w:r>
          </w:p>
        </w:tc>
        <w:tc>
          <w:tcPr>
            <w:tcW w:w="1835" w:type="dxa"/>
          </w:tcPr>
          <w:p w:rsidR="00D828B3" w14:paraId="30BBEE0A" w14:textId="77777777">
            <w:pPr>
              <w:rPr>
                <w:lang w:eastAsia="zh-CN"/>
              </w:rPr>
            </w:pPr>
            <w:r>
              <w:rPr>
                <w:rFonts w:asciiTheme="minorEastAsia" w:eastAsiaTheme="minorEastAsia" w:hAnsiTheme="minorEastAsia" w:hint="eastAsia"/>
                <w:szCs w:val="21"/>
                <w:lang w:eastAsia="zh-CN"/>
              </w:rPr>
              <w:t>2026-01-30</w:t>
            </w:r>
          </w:p>
        </w:tc>
        <w:tc>
          <w:tcPr>
            <w:tcW w:w="1835" w:type="dxa"/>
          </w:tcPr>
          <w:p w:rsidR="00D828B3" w14:paraId="34A7BDCA" w14:textId="77777777">
            <w:pPr>
              <w:rPr>
                <w:lang w:eastAsia="zh-CN"/>
              </w:rPr>
            </w:pPr>
            <w:r>
              <w:rPr>
                <w:rFonts w:asciiTheme="minorEastAsia" w:eastAsiaTheme="minorEastAsia" w:hAnsiTheme="minorEastAsia" w:hint="eastAsia"/>
                <w:szCs w:val="21"/>
                <w:lang w:eastAsia="zh-CN"/>
              </w:rPr>
              <w:t>-</w:t>
            </w:r>
          </w:p>
        </w:tc>
      </w:tr>
      <w:tr w14:paraId="580C361A" w14:textId="77777777">
        <w:tblPrEx>
          <w:tblW w:w="0" w:type="auto"/>
          <w:jc w:val="center"/>
          <w:tblLayout w:type="fixed"/>
          <w:tblLook w:val="04A0"/>
        </w:tblPrEx>
        <w:trPr>
          <w:trHeight w:val="360"/>
          <w:jc w:val="center"/>
        </w:trPr>
        <w:tc>
          <w:tcPr>
            <w:tcW w:w="4626" w:type="dxa"/>
          </w:tcPr>
          <w:p w:rsidR="00D828B3" w14:paraId="112029AF" w14:textId="77777777">
            <w:pPr>
              <w:rPr>
                <w:lang w:eastAsia="zh-CN"/>
              </w:rPr>
            </w:pPr>
            <w:r>
              <w:rPr>
                <w:rFonts w:asciiTheme="minorEastAsia" w:eastAsiaTheme="minorEastAsia" w:hAnsiTheme="minorEastAsia" w:hint="eastAsia"/>
                <w:szCs w:val="21"/>
                <w:lang w:eastAsia="zh-CN"/>
              </w:rPr>
              <w:t>易方达恒生A股电网设备ETF</w:t>
            </w:r>
          </w:p>
        </w:tc>
        <w:tc>
          <w:tcPr>
            <w:tcW w:w="1835" w:type="dxa"/>
          </w:tcPr>
          <w:p w:rsidR="00D828B3" w14:paraId="19EBE11D" w14:textId="77777777">
            <w:pPr>
              <w:rPr>
                <w:lang w:eastAsia="zh-CN"/>
              </w:rPr>
            </w:pPr>
            <w:r>
              <w:rPr>
                <w:rFonts w:asciiTheme="minorEastAsia" w:eastAsiaTheme="minorEastAsia" w:hAnsiTheme="minorEastAsia" w:hint="eastAsia"/>
                <w:szCs w:val="21"/>
                <w:lang w:eastAsia="zh-CN"/>
              </w:rPr>
              <w:t>2026-02-13</w:t>
            </w:r>
          </w:p>
        </w:tc>
        <w:tc>
          <w:tcPr>
            <w:tcW w:w="1835" w:type="dxa"/>
          </w:tcPr>
          <w:p w:rsidR="00D828B3" w14:paraId="0927D467" w14:textId="77777777">
            <w:pPr>
              <w:rPr>
                <w:lang w:eastAsia="zh-CN"/>
              </w:rPr>
            </w:pPr>
            <w:r>
              <w:rPr>
                <w:rFonts w:asciiTheme="minorEastAsia" w:eastAsiaTheme="minorEastAsia" w:hAnsiTheme="minorEastAsia" w:hint="eastAsia"/>
                <w:szCs w:val="21"/>
                <w:lang w:eastAsia="zh-CN"/>
              </w:rPr>
              <w:t>-</w:t>
            </w:r>
          </w:p>
        </w:tc>
      </w:tr>
      <w:tr w14:paraId="6E90FA8F" w14:textId="77777777">
        <w:tblPrEx>
          <w:tblW w:w="0" w:type="auto"/>
          <w:jc w:val="center"/>
          <w:tblLayout w:type="fixed"/>
          <w:tblLook w:val="04A0"/>
        </w:tblPrEx>
        <w:trPr>
          <w:trHeight w:val="360"/>
          <w:jc w:val="center"/>
        </w:trPr>
        <w:tc>
          <w:tcPr>
            <w:tcW w:w="4626" w:type="dxa"/>
          </w:tcPr>
          <w:p w:rsidR="00D828B3" w14:paraId="6784769C" w14:textId="77777777">
            <w:pPr>
              <w:rPr>
                <w:lang w:eastAsia="zh-CN"/>
              </w:rPr>
            </w:pPr>
            <w:r>
              <w:rPr>
                <w:rFonts w:asciiTheme="minorEastAsia" w:eastAsiaTheme="minorEastAsia" w:hAnsiTheme="minorEastAsia" w:hint="eastAsia"/>
                <w:szCs w:val="21"/>
                <w:lang w:eastAsia="zh-CN"/>
              </w:rPr>
              <w:t>易方达中证全指电力公用事业ETF</w:t>
            </w:r>
          </w:p>
        </w:tc>
        <w:tc>
          <w:tcPr>
            <w:tcW w:w="1835" w:type="dxa"/>
          </w:tcPr>
          <w:p w:rsidR="00D828B3" w14:paraId="5FC71F7A" w14:textId="77777777">
            <w:pPr>
              <w:rPr>
                <w:lang w:eastAsia="zh-CN"/>
              </w:rPr>
            </w:pPr>
            <w:r>
              <w:rPr>
                <w:rFonts w:asciiTheme="minorEastAsia" w:eastAsiaTheme="minorEastAsia" w:hAnsiTheme="minorEastAsia" w:hint="eastAsia"/>
                <w:szCs w:val="21"/>
                <w:lang w:eastAsia="zh-CN"/>
              </w:rPr>
              <w:t>2026-05-06</w:t>
            </w:r>
          </w:p>
        </w:tc>
        <w:tc>
          <w:tcPr>
            <w:tcW w:w="1835" w:type="dxa"/>
          </w:tcPr>
          <w:p w:rsidR="00D828B3" w14:paraId="750F7F3B" w14:textId="77777777">
            <w:pPr>
              <w:rPr>
                <w:lang w:eastAsia="zh-CN"/>
              </w:rPr>
            </w:pPr>
            <w:r>
              <w:rPr>
                <w:rFonts w:asciiTheme="minorEastAsia" w:eastAsiaTheme="minorEastAsia" w:hAnsiTheme="minorEastAsia" w:hint="eastAsia"/>
                <w:szCs w:val="21"/>
                <w:lang w:eastAsia="zh-CN"/>
              </w:rPr>
              <w:t>-</w:t>
            </w:r>
          </w:p>
        </w:tc>
      </w:tr>
    </w:tbl>
    <w:p w:rsidR="00D828B3" w14:paraId="4AE9312A" w14:textId="77777777">
      <w:pPr>
        <w:spacing w:line="360" w:lineRule="auto"/>
        <w:ind w:firstLine="420"/>
        <w:rPr>
          <w:rFonts w:asciiTheme="minorEastAsia" w:eastAsiaTheme="minorEastAsia" w:hAnsiTheme="minorEastAsia" w:hint="eastAsia"/>
          <w:bCs/>
          <w:lang w:eastAsia="zh-CN"/>
        </w:rPr>
      </w:pPr>
    </w:p>
    <w:tbl>
      <w:tblPr>
        <w:tblStyle w:val="TableGrid"/>
        <w:tblW w:w="0" w:type="auto"/>
        <w:jc w:val="center"/>
        <w:tblLayout w:type="fixed"/>
        <w:tblLook w:val="04A0"/>
      </w:tblPr>
      <w:tblGrid>
        <w:gridCol w:w="4148"/>
        <w:gridCol w:w="4148"/>
      </w:tblGrid>
      <w:tr w14:paraId="546DDC3B" w14:textId="77777777">
        <w:tblPrEx>
          <w:tblW w:w="0" w:type="auto"/>
          <w:jc w:val="center"/>
          <w:tblLayout w:type="fixed"/>
          <w:tblLook w:val="04A0"/>
        </w:tblPrEx>
        <w:trPr>
          <w:jc w:val="center"/>
        </w:trPr>
        <w:tc>
          <w:tcPr>
            <w:tcW w:w="8296" w:type="dxa"/>
            <w:gridSpan w:val="2"/>
          </w:tcPr>
          <w:p w:rsidR="00D828B3" w14:paraId="6F1003C7" w14:textId="77777777">
            <w:pPr>
              <w:rPr>
                <w:lang w:eastAsia="zh-CN"/>
              </w:rPr>
            </w:pPr>
            <w:r>
              <w:rPr>
                <w:rFonts w:asciiTheme="minorEastAsia" w:eastAsiaTheme="minorEastAsia" w:hAnsiTheme="minorEastAsia" w:hint="eastAsia"/>
                <w:b/>
                <w:szCs w:val="21"/>
                <w:lang w:eastAsia="zh-CN"/>
              </w:rPr>
              <w:t>现任基金经理助理的基金</w:t>
            </w:r>
          </w:p>
        </w:tc>
      </w:tr>
      <w:tr w14:paraId="573462F9" w14:textId="77777777">
        <w:tblPrEx>
          <w:tblW w:w="0" w:type="auto"/>
          <w:jc w:val="center"/>
          <w:tblLayout w:type="fixed"/>
          <w:tblLook w:val="04A0"/>
        </w:tblPrEx>
        <w:trPr>
          <w:trHeight w:val="360"/>
          <w:jc w:val="center"/>
        </w:trPr>
        <w:tc>
          <w:tcPr>
            <w:tcW w:w="4148" w:type="dxa"/>
          </w:tcPr>
          <w:p w:rsidR="00D828B3" w14:paraId="15A6B5DA" w14:textId="77777777">
            <w:pPr>
              <w:rPr>
                <w:lang w:eastAsia="zh-CN"/>
              </w:rPr>
            </w:pPr>
            <w:r>
              <w:rPr>
                <w:rFonts w:asciiTheme="minorEastAsia" w:eastAsiaTheme="minorEastAsia" w:hAnsiTheme="minorEastAsia" w:hint="eastAsia"/>
                <w:szCs w:val="21"/>
                <w:lang w:eastAsia="zh-CN"/>
              </w:rPr>
              <w:t>易方达上证</w:t>
            </w:r>
            <w:r>
              <w:rPr>
                <w:rFonts w:asciiTheme="minorEastAsia" w:eastAsiaTheme="minorEastAsia" w:hAnsiTheme="minorEastAsia" w:hint="eastAsia"/>
                <w:szCs w:val="21"/>
                <w:lang w:eastAsia="zh-CN"/>
              </w:rPr>
              <w:t>科创板</w:t>
            </w:r>
            <w:r>
              <w:rPr>
                <w:rFonts w:asciiTheme="minorEastAsia" w:eastAsiaTheme="minorEastAsia" w:hAnsiTheme="minorEastAsia" w:hint="eastAsia"/>
                <w:szCs w:val="21"/>
                <w:lang w:eastAsia="zh-CN"/>
              </w:rPr>
              <w:t>100ETF</w:t>
            </w:r>
          </w:p>
        </w:tc>
        <w:tc>
          <w:tcPr>
            <w:tcW w:w="4148" w:type="dxa"/>
          </w:tcPr>
          <w:p w:rsidR="00D828B3" w14:paraId="379B2DAF" w14:textId="77777777">
            <w:pPr>
              <w:rPr>
                <w:lang w:eastAsia="zh-CN"/>
              </w:rPr>
            </w:pPr>
            <w:r>
              <w:rPr>
                <w:rFonts w:asciiTheme="minorEastAsia" w:eastAsiaTheme="minorEastAsia" w:hAnsiTheme="minorEastAsia" w:hint="eastAsia"/>
                <w:szCs w:val="21"/>
                <w:lang w:eastAsia="zh-CN"/>
              </w:rPr>
              <w:t>易方达中证畜牧养殖产业ETF</w:t>
            </w:r>
          </w:p>
        </w:tc>
      </w:tr>
      <w:tr w14:paraId="32B4B01F" w14:textId="77777777">
        <w:tblPrEx>
          <w:tblW w:w="0" w:type="auto"/>
          <w:jc w:val="center"/>
          <w:tblLayout w:type="fixed"/>
          <w:tblLook w:val="04A0"/>
        </w:tblPrEx>
        <w:trPr>
          <w:trHeight w:val="360"/>
          <w:jc w:val="center"/>
        </w:trPr>
        <w:tc>
          <w:tcPr>
            <w:tcW w:w="4148" w:type="dxa"/>
          </w:tcPr>
          <w:p w:rsidR="00D828B3" w14:paraId="0FC5C07A" w14:textId="77777777">
            <w:pPr>
              <w:rPr>
                <w:lang w:eastAsia="zh-CN"/>
              </w:rPr>
            </w:pPr>
            <w:r>
              <w:rPr>
                <w:rFonts w:asciiTheme="minorEastAsia" w:eastAsiaTheme="minorEastAsia" w:hAnsiTheme="minorEastAsia" w:hint="eastAsia"/>
                <w:szCs w:val="21"/>
                <w:lang w:eastAsia="zh-CN"/>
              </w:rPr>
              <w:t>易方达上证</w:t>
            </w:r>
            <w:r>
              <w:rPr>
                <w:rFonts w:asciiTheme="minorEastAsia" w:eastAsiaTheme="minorEastAsia" w:hAnsiTheme="minorEastAsia" w:hint="eastAsia"/>
                <w:szCs w:val="21"/>
                <w:lang w:eastAsia="zh-CN"/>
              </w:rPr>
              <w:t>科创板</w:t>
            </w:r>
            <w:r>
              <w:rPr>
                <w:rFonts w:asciiTheme="minorEastAsia" w:eastAsiaTheme="minorEastAsia" w:hAnsiTheme="minorEastAsia" w:hint="eastAsia"/>
                <w:szCs w:val="21"/>
                <w:lang w:eastAsia="zh-CN"/>
              </w:rPr>
              <w:t>100ETF联接发起式</w:t>
            </w:r>
          </w:p>
        </w:tc>
        <w:tc>
          <w:tcPr>
            <w:tcW w:w="4148" w:type="dxa"/>
          </w:tcPr>
          <w:p w:rsidR="00D828B3" w14:paraId="3075CFE1" w14:textId="77777777">
            <w:pPr>
              <w:rPr>
                <w:lang w:eastAsia="zh-CN"/>
              </w:rPr>
            </w:pPr>
            <w:r>
              <w:rPr>
                <w:rFonts w:asciiTheme="minorEastAsia" w:eastAsiaTheme="minorEastAsia" w:hAnsiTheme="minorEastAsia" w:hint="eastAsia"/>
                <w:szCs w:val="21"/>
                <w:lang w:eastAsia="zh-CN"/>
              </w:rPr>
              <w:t>易方达国证粮食产业ETF</w:t>
            </w:r>
          </w:p>
        </w:tc>
      </w:tr>
      <w:tr w14:paraId="7EE32B22" w14:textId="77777777">
        <w:tblPrEx>
          <w:tblW w:w="0" w:type="auto"/>
          <w:jc w:val="center"/>
          <w:tblLayout w:type="fixed"/>
          <w:tblLook w:val="04A0"/>
        </w:tblPrEx>
        <w:trPr>
          <w:trHeight w:val="360"/>
          <w:jc w:val="center"/>
        </w:trPr>
        <w:tc>
          <w:tcPr>
            <w:tcW w:w="4148" w:type="dxa"/>
          </w:tcPr>
          <w:p w:rsidR="00D828B3" w14:paraId="58D576BE" w14:textId="77777777">
            <w:pPr>
              <w:rPr>
                <w:lang w:eastAsia="zh-CN"/>
              </w:rPr>
            </w:pPr>
            <w:r>
              <w:rPr>
                <w:rFonts w:asciiTheme="minorEastAsia" w:eastAsiaTheme="minorEastAsia" w:hAnsiTheme="minorEastAsia" w:hint="eastAsia"/>
                <w:szCs w:val="21"/>
                <w:lang w:eastAsia="zh-CN"/>
              </w:rPr>
              <w:t>易方达中证2000ETF</w:t>
            </w:r>
          </w:p>
        </w:tc>
        <w:tc>
          <w:tcPr>
            <w:tcW w:w="4148" w:type="dxa"/>
          </w:tcPr>
          <w:p w:rsidR="00D828B3" w14:paraId="10393CEE" w14:textId="77777777">
            <w:pPr>
              <w:rPr>
                <w:lang w:eastAsia="zh-CN"/>
              </w:rPr>
            </w:pPr>
            <w:r>
              <w:rPr>
                <w:rFonts w:asciiTheme="minorEastAsia" w:eastAsiaTheme="minorEastAsia" w:hAnsiTheme="minorEastAsia" w:hint="eastAsia"/>
                <w:szCs w:val="21"/>
                <w:lang w:eastAsia="zh-CN"/>
              </w:rPr>
              <w:t>易方达中证A50增强策略ETF</w:t>
            </w:r>
          </w:p>
        </w:tc>
      </w:tr>
      <w:tr w14:paraId="4EFB5059" w14:textId="77777777">
        <w:tblPrEx>
          <w:tblW w:w="0" w:type="auto"/>
          <w:jc w:val="center"/>
          <w:tblLayout w:type="fixed"/>
          <w:tblLook w:val="04A0"/>
        </w:tblPrEx>
        <w:trPr>
          <w:trHeight w:val="360"/>
          <w:jc w:val="center"/>
        </w:trPr>
        <w:tc>
          <w:tcPr>
            <w:tcW w:w="4148" w:type="dxa"/>
          </w:tcPr>
          <w:p w:rsidR="00D828B3" w14:paraId="6BFAABCA" w14:textId="77777777">
            <w:pPr>
              <w:rPr>
                <w:lang w:eastAsia="zh-CN"/>
              </w:rPr>
            </w:pPr>
            <w:r>
              <w:rPr>
                <w:rFonts w:asciiTheme="minorEastAsia" w:eastAsiaTheme="minorEastAsia" w:hAnsiTheme="minorEastAsia" w:hint="eastAsia"/>
                <w:szCs w:val="21"/>
                <w:lang w:eastAsia="zh-CN"/>
              </w:rPr>
              <w:t>易方达恒生港股通新经济ETF</w:t>
            </w:r>
          </w:p>
        </w:tc>
        <w:tc>
          <w:tcPr>
            <w:tcW w:w="4148" w:type="dxa"/>
          </w:tcPr>
          <w:p w:rsidR="00D828B3" w14:paraId="0A9D48B7" w14:textId="77777777">
            <w:pPr>
              <w:rPr>
                <w:lang w:eastAsia="zh-CN"/>
              </w:rPr>
            </w:pPr>
            <w:r>
              <w:rPr>
                <w:rFonts w:asciiTheme="minorEastAsia" w:eastAsiaTheme="minorEastAsia" w:hAnsiTheme="minorEastAsia" w:hint="eastAsia"/>
                <w:szCs w:val="21"/>
                <w:lang w:eastAsia="zh-CN"/>
              </w:rPr>
              <w:t>易方达深证50ETF</w:t>
            </w:r>
          </w:p>
        </w:tc>
      </w:tr>
      <w:tr w14:paraId="6D9F2218" w14:textId="77777777">
        <w:tblPrEx>
          <w:tblW w:w="0" w:type="auto"/>
          <w:jc w:val="center"/>
          <w:tblLayout w:type="fixed"/>
          <w:tblLook w:val="04A0"/>
        </w:tblPrEx>
        <w:trPr>
          <w:trHeight w:val="360"/>
          <w:jc w:val="center"/>
        </w:trPr>
        <w:tc>
          <w:tcPr>
            <w:tcW w:w="4148" w:type="dxa"/>
          </w:tcPr>
          <w:p w:rsidR="00D828B3" w14:paraId="1A464532" w14:textId="77777777">
            <w:pPr>
              <w:rPr>
                <w:lang w:eastAsia="zh-CN"/>
              </w:rPr>
            </w:pPr>
            <w:r>
              <w:rPr>
                <w:rFonts w:asciiTheme="minorEastAsia" w:eastAsiaTheme="minorEastAsia" w:hAnsiTheme="minorEastAsia" w:hint="eastAsia"/>
                <w:szCs w:val="21"/>
                <w:lang w:eastAsia="zh-CN"/>
              </w:rPr>
              <w:t>易方达黄金股指数发起式</w:t>
            </w:r>
          </w:p>
        </w:tc>
        <w:tc>
          <w:tcPr>
            <w:tcW w:w="4148" w:type="dxa"/>
          </w:tcPr>
          <w:p w:rsidR="00D828B3" w14:paraId="14D940FF" w14:textId="77777777">
            <w:pPr>
              <w:rPr>
                <w:lang w:eastAsia="zh-CN"/>
              </w:rPr>
            </w:pPr>
            <w:r>
              <w:rPr>
                <w:rFonts w:asciiTheme="minorEastAsia" w:eastAsiaTheme="minorEastAsia" w:hAnsiTheme="minorEastAsia" w:hint="eastAsia"/>
                <w:szCs w:val="21"/>
                <w:lang w:eastAsia="zh-CN"/>
              </w:rPr>
              <w:t>易方达中证全指食品ETF</w:t>
            </w:r>
          </w:p>
        </w:tc>
      </w:tr>
    </w:tbl>
    <w:p w:rsidR="009F340D" w:rsidRPr="00A936B7" w14:paraId="0CEBDA0C" w14:textId="77777777">
      <w:pPr>
        <w:spacing w:line="360" w:lineRule="auto"/>
        <w:ind w:firstLine="420"/>
        <w:rPr>
          <w:rFonts w:asciiTheme="minorEastAsia" w:eastAsiaTheme="minorEastAsia" w:hAnsiTheme="minorEastAsia" w:hint="eastAsia"/>
          <w:bCs/>
          <w:lang w:eastAsia="zh-CN"/>
        </w:rPr>
      </w:pPr>
      <w:r>
        <w:rPr>
          <w:rFonts w:asciiTheme="minorEastAsia" w:eastAsiaTheme="minorEastAsia" w:hAnsiTheme="minorEastAsia" w:hint="eastAsia"/>
          <w:bCs/>
          <w:lang w:eastAsia="zh-CN"/>
        </w:rPr>
        <w:t>3、指数投资决策委员会成员</w:t>
      </w:r>
    </w:p>
    <w:p w:rsidR="00D828B3" w14:paraId="4F18C46B" w14:textId="77777777">
      <w:pPr>
        <w:spacing w:line="360" w:lineRule="auto"/>
        <w:ind w:firstLine="420"/>
        <w:rPr>
          <w:rFonts w:asciiTheme="minorEastAsia" w:eastAsiaTheme="minorEastAsia" w:hAnsiTheme="minorEastAsia" w:hint="eastAsia"/>
          <w:bCs/>
          <w:lang w:eastAsia="zh-CN"/>
        </w:rPr>
      </w:pPr>
      <w:r>
        <w:rPr>
          <w:rFonts w:asciiTheme="minorEastAsia" w:eastAsiaTheme="minorEastAsia" w:hAnsiTheme="minorEastAsia" w:hint="eastAsia"/>
          <w:bCs/>
          <w:lang w:eastAsia="zh-CN"/>
        </w:rPr>
        <w:t>本公司指数投资决策委员会成员包括：林伟斌先生、庞亚平先生、余海燕女士。</w:t>
      </w:r>
    </w:p>
    <w:p w:rsidR="00D828B3" w14:paraId="04341058" w14:textId="77777777">
      <w:pPr>
        <w:spacing w:line="360" w:lineRule="auto"/>
        <w:ind w:firstLine="420"/>
        <w:rPr>
          <w:rFonts w:asciiTheme="minorEastAsia" w:eastAsiaTheme="minorEastAsia" w:hAnsiTheme="minorEastAsia" w:hint="eastAsia"/>
          <w:bCs/>
          <w:lang w:eastAsia="zh-CN"/>
        </w:rPr>
      </w:pPr>
      <w:r>
        <w:rPr>
          <w:rFonts w:asciiTheme="minorEastAsia" w:eastAsiaTheme="minorEastAsia" w:hAnsiTheme="minorEastAsia" w:hint="eastAsia"/>
          <w:bCs/>
          <w:lang w:eastAsia="zh-CN"/>
        </w:rPr>
        <w:t>林伟斌先生，易方达基金管理有限公司指数投资部总经理、国际指数部总经理、基金经理，易方达资产管理（香港）有限公司投资决策委员会委员、国际指数部总经理。</w:t>
      </w:r>
    </w:p>
    <w:p w:rsidR="00D828B3" w14:paraId="5C63C0C8" w14:textId="77777777">
      <w:pPr>
        <w:spacing w:line="360" w:lineRule="auto"/>
        <w:ind w:firstLine="420"/>
        <w:rPr>
          <w:rFonts w:asciiTheme="minorEastAsia" w:eastAsiaTheme="minorEastAsia" w:hAnsiTheme="minorEastAsia" w:hint="eastAsia"/>
          <w:bCs/>
          <w:lang w:eastAsia="zh-CN"/>
        </w:rPr>
      </w:pPr>
      <w:r>
        <w:rPr>
          <w:rFonts w:asciiTheme="minorEastAsia" w:eastAsiaTheme="minorEastAsia" w:hAnsiTheme="minorEastAsia" w:hint="eastAsia"/>
          <w:bCs/>
          <w:lang w:eastAsia="zh-CN"/>
        </w:rPr>
        <w:t>庞亚平先生，易方达基金管理有限公司指数研究发展部总经理、基金经理。</w:t>
      </w:r>
    </w:p>
    <w:p w:rsidR="00D828B3" w14:paraId="79E79710" w14:textId="77777777">
      <w:pPr>
        <w:spacing w:line="360" w:lineRule="auto"/>
        <w:ind w:firstLine="420"/>
        <w:rPr>
          <w:rFonts w:asciiTheme="minorEastAsia" w:eastAsiaTheme="minorEastAsia" w:hAnsiTheme="minorEastAsia" w:hint="eastAsia"/>
          <w:bCs/>
          <w:lang w:eastAsia="zh-CN"/>
        </w:rPr>
      </w:pPr>
      <w:r>
        <w:rPr>
          <w:rFonts w:asciiTheme="minorEastAsia" w:eastAsiaTheme="minorEastAsia" w:hAnsiTheme="minorEastAsia" w:hint="eastAsia"/>
          <w:bCs/>
          <w:lang w:eastAsia="zh-CN"/>
        </w:rPr>
        <w:t>余海燕女士，易方达基金管理有限公司指数投资部副总经理、基金经理。</w:t>
      </w:r>
    </w:p>
    <w:p w:rsidR="009F340D" w:rsidRPr="00A936B7" w14:paraId="449B3BEB" w14:textId="77777777">
      <w:pPr>
        <w:spacing w:line="360" w:lineRule="auto"/>
        <w:ind w:firstLine="420"/>
        <w:rPr>
          <w:rFonts w:asciiTheme="minorEastAsia" w:eastAsiaTheme="minorEastAsia" w:hAnsiTheme="minorEastAsia" w:hint="eastAsia"/>
          <w:bCs/>
          <w:lang w:eastAsia="zh-CN"/>
        </w:rPr>
      </w:pPr>
      <w:bookmarkStart w:id="7" w:name="_Toc332373449"/>
      <w:r>
        <w:rPr>
          <w:rFonts w:asciiTheme="minorEastAsia" w:eastAsiaTheme="minorEastAsia" w:hAnsiTheme="minorEastAsia" w:hint="eastAsia"/>
          <w:bCs/>
          <w:lang w:eastAsia="zh-CN"/>
        </w:rPr>
        <w:t>4</w:t>
      </w:r>
      <w:bookmarkEnd w:id="7"/>
      <w:r>
        <w:rPr>
          <w:rFonts w:asciiTheme="minorEastAsia" w:eastAsiaTheme="minorEastAsia" w:hAnsiTheme="minorEastAsia" w:hint="eastAsia"/>
          <w:bCs/>
          <w:highlight w:val="white"/>
          <w:lang w:eastAsia="zh-CN"/>
        </w:rPr>
        <w:t>、上述人员之间均不存在近亲属关系。</w:t>
      </w:r>
    </w:p>
    <w:p w:rsidR="009F340D" w:rsidRPr="00A936B7" w14:paraId="125690FF" w14:textId="77777777">
      <w:pPr>
        <w:spacing w:line="360" w:lineRule="auto"/>
        <w:ind w:firstLine="420"/>
        <w:rPr>
          <w:rFonts w:asciiTheme="minorEastAsia" w:eastAsiaTheme="minorEastAsia" w:hAnsiTheme="minorEastAsia" w:cs="宋体" w:hint="eastAsia"/>
          <w:szCs w:val="21"/>
          <w:lang w:eastAsia="zh-CN"/>
        </w:rPr>
      </w:pPr>
      <w:bookmarkStart w:id="8" w:name="_Toc332373451"/>
      <w:r w:rsidRPr="00A936B7">
        <w:rPr>
          <w:rFonts w:asciiTheme="minorEastAsia" w:eastAsiaTheme="minorEastAsia" w:hAnsiTheme="minorEastAsia" w:cs="宋体" w:hint="eastAsia"/>
          <w:szCs w:val="21"/>
          <w:highlight w:val="white"/>
          <w:lang w:eastAsia="zh-CN"/>
        </w:rPr>
        <w:t>三、基金管理人的职责</w:t>
      </w:r>
      <w:bookmarkEnd w:id="8"/>
    </w:p>
    <w:p w:rsidR="009F340D" w:rsidRPr="00A936B7" w14:paraId="1E054C53" w14:textId="77777777">
      <w:pPr>
        <w:spacing w:line="360" w:lineRule="auto"/>
        <w:ind w:firstLine="420"/>
        <w:rPr>
          <w:rFonts w:asciiTheme="minorEastAsia" w:eastAsiaTheme="minorEastAsia" w:hAnsiTheme="minorEastAsia" w:cs="宋体" w:hint="eastAsia"/>
          <w:szCs w:val="21"/>
          <w:lang w:eastAsia="zh-CN"/>
        </w:rPr>
      </w:pPr>
      <w:bookmarkStart w:id="9" w:name="_Toc332373455"/>
      <w:r w:rsidRPr="00A936B7">
        <w:rPr>
          <w:rFonts w:asciiTheme="minorEastAsia" w:eastAsiaTheme="minorEastAsia" w:hAnsiTheme="minorEastAsia" w:cs="宋体"/>
          <w:szCs w:val="21"/>
          <w:highlight w:val="white"/>
          <w:lang w:eastAsia="zh-CN"/>
        </w:rPr>
        <w:t>1、依法募集资金，办理基金份额的发售和登记事宜；</w:t>
      </w:r>
    </w:p>
    <w:p w:rsidR="009F340D" w:rsidRPr="00A936B7" w14:paraId="4C4DBCC8" w14:textId="77777777">
      <w:pPr>
        <w:spacing w:line="360" w:lineRule="auto"/>
        <w:ind w:firstLine="420"/>
        <w:rPr>
          <w:rFonts w:asciiTheme="minorEastAsia" w:eastAsiaTheme="minorEastAsia" w:hAnsiTheme="minorEastAsia" w:cs="宋体" w:hint="eastAsia"/>
          <w:szCs w:val="21"/>
          <w:lang w:eastAsia="zh-CN"/>
        </w:rPr>
      </w:pPr>
      <w:bookmarkStart w:id="10" w:name="_Toc332373452"/>
      <w:r w:rsidRPr="00A936B7">
        <w:rPr>
          <w:rFonts w:asciiTheme="minorEastAsia" w:eastAsiaTheme="minorEastAsia" w:hAnsiTheme="minorEastAsia" w:cs="宋体"/>
          <w:szCs w:val="21"/>
          <w:highlight w:val="white"/>
          <w:lang w:eastAsia="zh-CN"/>
        </w:rPr>
        <w:t>2、办理基金备案手续；</w:t>
      </w:r>
      <w:bookmarkEnd w:id="10"/>
    </w:p>
    <w:p w:rsidR="009F340D" w:rsidRPr="00A936B7" w14:paraId="5D501A1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3、对所管理的不同基金财产分别管理、分别记账，进行证券投资；</w:t>
      </w:r>
    </w:p>
    <w:p w:rsidR="009F340D" w:rsidRPr="00A936B7" w14:paraId="6505277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4、按照基金合同的约定及时向基金份额持有人分配收益；</w:t>
      </w:r>
    </w:p>
    <w:p w:rsidR="009F340D" w:rsidRPr="00A936B7" w14:paraId="11C6DA0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5、进行基金会计核算并编制基金财务会计报告；</w:t>
      </w:r>
    </w:p>
    <w:p w:rsidR="009F340D" w:rsidRPr="00A936B7" w14:paraId="14A7901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6、编制</w:t>
      </w:r>
      <w:r w:rsidRPr="00A936B7">
        <w:rPr>
          <w:rFonts w:asciiTheme="minorEastAsia" w:eastAsiaTheme="minorEastAsia" w:hAnsiTheme="minorEastAsia" w:cs="宋体" w:hint="eastAsia"/>
          <w:szCs w:val="21"/>
          <w:highlight w:val="white"/>
          <w:lang w:eastAsia="zh-CN"/>
        </w:rPr>
        <w:t>季度报告、中期报告和年度报告；</w:t>
      </w:r>
    </w:p>
    <w:p w:rsidR="009F340D" w:rsidRPr="00A936B7" w14:paraId="7B50AA9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7、计算并公告</w:t>
      </w:r>
      <w:r w:rsidRPr="00A936B7">
        <w:rPr>
          <w:rFonts w:asciiTheme="minorEastAsia" w:eastAsiaTheme="minorEastAsia" w:hAnsiTheme="minorEastAsia" w:cs="宋体" w:hint="eastAsia"/>
          <w:szCs w:val="21"/>
          <w:highlight w:val="white"/>
          <w:lang w:eastAsia="zh-CN"/>
        </w:rPr>
        <w:t>基金净值信息，确定基金份额申购、赎回价格；</w:t>
      </w:r>
    </w:p>
    <w:p w:rsidR="009F340D" w:rsidRPr="00A936B7" w14:paraId="60AE0919" w14:textId="77777777">
      <w:pPr>
        <w:spacing w:line="360" w:lineRule="auto"/>
        <w:ind w:firstLine="420"/>
        <w:rPr>
          <w:rFonts w:asciiTheme="minorEastAsia" w:eastAsiaTheme="minorEastAsia" w:hAnsiTheme="minorEastAsia" w:cs="宋体" w:hint="eastAsia"/>
          <w:szCs w:val="21"/>
          <w:lang w:eastAsia="zh-CN"/>
        </w:rPr>
      </w:pPr>
      <w:bookmarkStart w:id="11" w:name="_Toc332373453"/>
      <w:r w:rsidRPr="00A936B7">
        <w:rPr>
          <w:rFonts w:asciiTheme="minorEastAsia" w:eastAsiaTheme="minorEastAsia" w:hAnsiTheme="minorEastAsia" w:cs="宋体"/>
          <w:szCs w:val="21"/>
          <w:highlight w:val="white"/>
          <w:lang w:eastAsia="zh-CN"/>
        </w:rPr>
        <w:t>8、办理与基金财产管理业务活动有关的信息披露事项；</w:t>
      </w:r>
      <w:bookmarkEnd w:id="11"/>
    </w:p>
    <w:p w:rsidR="009F340D" w:rsidRPr="00A936B7" w14:paraId="0F9FE99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9、按照规定召集基金份额持有人大会；</w:t>
      </w:r>
    </w:p>
    <w:p w:rsidR="009F340D" w:rsidRPr="00A936B7" w14:paraId="04D1E43C" w14:textId="77777777">
      <w:pPr>
        <w:spacing w:line="360" w:lineRule="auto"/>
        <w:ind w:firstLine="420"/>
        <w:rPr>
          <w:rFonts w:asciiTheme="minorEastAsia" w:eastAsiaTheme="minorEastAsia" w:hAnsiTheme="minorEastAsia" w:cs="宋体" w:hint="eastAsia"/>
          <w:szCs w:val="21"/>
          <w:lang w:eastAsia="zh-CN"/>
        </w:rPr>
      </w:pPr>
      <w:bookmarkStart w:id="12" w:name="_Toc332373454"/>
      <w:r w:rsidRPr="00A936B7">
        <w:rPr>
          <w:rFonts w:asciiTheme="minorEastAsia" w:eastAsiaTheme="minorEastAsia" w:hAnsiTheme="minorEastAsia" w:cs="宋体"/>
          <w:szCs w:val="21"/>
          <w:highlight w:val="white"/>
          <w:lang w:eastAsia="zh-CN"/>
        </w:rPr>
        <w:t>10、保存基金财产管理业务活动的记录、账册、报表和其他相关资料；</w:t>
      </w:r>
      <w:bookmarkEnd w:id="12"/>
    </w:p>
    <w:p w:rsidR="009F340D" w:rsidRPr="00A936B7" w14:paraId="032D8E1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11、以基金管理人名义，代表基金份额持有人利益行使诉讼权利或者实施其他法律行为；</w:t>
      </w:r>
    </w:p>
    <w:p w:rsidR="009F340D" w:rsidRPr="00A936B7" w14:paraId="05B1D0D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12、中国证监会规定的其他职责。</w:t>
      </w:r>
    </w:p>
    <w:p w:rsidR="009F340D" w:rsidRPr="00A936B7" w14:paraId="11A5ADF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四、基金管理人的承诺</w:t>
      </w:r>
    </w:p>
    <w:p w:rsidR="009F340D" w:rsidRPr="00A936B7" w14:paraId="1C0E94E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本基金管理人承诺严格遵守现行有效的相关法律、法规、规章、基金合同和中国证监会的有关规定，建立健全内部控制制度，采取有效措施，防止违反现行有效的有关法律、法规、规章、基金合同和中国证监会有关规定的行为发生。</w:t>
      </w:r>
    </w:p>
    <w:p w:rsidR="009F340D" w:rsidRPr="00A936B7" w14:paraId="7672A8B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2、本基金管理人承诺严格遵守《证券法》、《基金法》及有关法律法规，建立健全内部控制制度，采取有效措施，防止下列行为发生：</w:t>
      </w:r>
    </w:p>
    <w:p w:rsidR="009F340D" w:rsidRPr="00A936B7" w14:paraId="27BF20F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（1）将其固有财产或者他人财产混同于基金财产从事证券投资；</w:t>
      </w:r>
    </w:p>
    <w:p w:rsidR="009F340D" w:rsidRPr="00A936B7" w14:paraId="6A5FEFC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（2）不公平地对待其管理的不同基金财产；</w:t>
      </w:r>
    </w:p>
    <w:p w:rsidR="009F340D" w:rsidRPr="00A936B7" w14:paraId="7D7F906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（3）利用基金财产或职务之便为基金份额持有人以外的人谋取利益；</w:t>
      </w:r>
    </w:p>
    <w:p w:rsidR="009F340D" w:rsidRPr="00A936B7" w14:paraId="21D3556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（4）向基金份额持有人违规承诺收益或者承担损失；</w:t>
      </w:r>
    </w:p>
    <w:p w:rsidR="009F340D" w:rsidRPr="00A936B7" w14:paraId="437EFFE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（5）侵占、挪用基金财产；</w:t>
      </w:r>
    </w:p>
    <w:p w:rsidR="009F340D" w:rsidRPr="00A936B7" w14:paraId="7A2BBA9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（6）泄露因职务便利获取的未公开信息、利用该信息从事或者明示、暗示他人从事相关的交易活动；</w:t>
      </w:r>
    </w:p>
    <w:p w:rsidR="009F340D" w:rsidRPr="00A936B7" w14:paraId="7AA35C1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（7）玩忽职守，不按照规定履行职责；</w:t>
      </w:r>
    </w:p>
    <w:p w:rsidR="009F340D" w:rsidRPr="00A936B7" w14:paraId="6810178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（8）法律、行政法规和中国证监会禁止的其他行为。</w:t>
      </w:r>
    </w:p>
    <w:p w:rsidR="009F340D" w:rsidRPr="00A936B7" w14:paraId="4C643D2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3、本基金管理人承诺加强人员管理，强化职业操守，督促和约束员工遵守国家有关法律、法规及行业规范，诚实信用、勤勉尽责，不从事以下活动：</w:t>
      </w:r>
    </w:p>
    <w:p w:rsidR="009F340D" w:rsidRPr="00A936B7" w14:paraId="3C8C206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（1）越权或违规经营；</w:t>
      </w:r>
    </w:p>
    <w:p w:rsidR="009F340D" w:rsidRPr="00A936B7" w14:paraId="66C49BB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（2）违反基金合同或托管协议；</w:t>
      </w:r>
    </w:p>
    <w:p w:rsidR="009F340D" w:rsidRPr="00A936B7" w14:paraId="1F97669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（3）故意损害基金份额持有人或其他基金相关机构的合法利益；</w:t>
      </w:r>
    </w:p>
    <w:p w:rsidR="009F340D" w:rsidRPr="00A936B7" w14:paraId="0E47B34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（4）在向中国证监会报送的资料中弄虚作假；</w:t>
      </w:r>
    </w:p>
    <w:p w:rsidR="009F340D" w:rsidRPr="00A936B7" w14:paraId="6FB49CE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（5）拒绝、干扰、阻挠或严重影响中国证监会依法监管；</w:t>
      </w:r>
    </w:p>
    <w:p w:rsidR="009F340D" w:rsidRPr="00A936B7" w14:paraId="7EF33C8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（6）玩忽职守、滥用职权；</w:t>
      </w:r>
    </w:p>
    <w:p w:rsidR="009F340D" w:rsidRPr="00A936B7" w14:paraId="5465EA5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（7）违反现行有效的有关法律、法规、规章、基金合同和中国证监会的有关规定，泄露在任职期间知悉的有关证券、基金的商业秘密，尚未依法公开的基金投资内容、基金投资计划等信息；</w:t>
      </w:r>
    </w:p>
    <w:p w:rsidR="009F340D" w:rsidRPr="00A936B7" w14:paraId="64DB3F8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（8）违反证券交易场所业务规则，利用对敲、倒仓等手段操纵市场价格，扰乱市场秩序；</w:t>
      </w:r>
    </w:p>
    <w:p w:rsidR="009F340D" w:rsidRPr="00A936B7" w14:paraId="4A21F66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（9）贬损同行，以抬高自己；</w:t>
      </w:r>
    </w:p>
    <w:p w:rsidR="009F340D" w:rsidRPr="00A936B7" w14:paraId="13F7137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（10）以不正当手段谋求业务发展；</w:t>
      </w:r>
    </w:p>
    <w:p w:rsidR="009F340D" w:rsidRPr="00A936B7" w14:paraId="08B225E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（11）有悖社会公德，损害证券投资基金从业人员形象；</w:t>
      </w:r>
    </w:p>
    <w:p w:rsidR="009F340D" w:rsidRPr="00A936B7" w14:paraId="3564E3D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（12）在公开信息披露和广告中故意含有虚假、误导、欺诈成分；</w:t>
      </w:r>
    </w:p>
    <w:p w:rsidR="009F340D" w:rsidRPr="00A936B7" w14:paraId="7A8474A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（13）其他法律、行政法规以及中国证监会禁止的行为。</w:t>
      </w:r>
    </w:p>
    <w:p w:rsidR="009F340D" w:rsidRPr="00A936B7" w14:paraId="467D3A6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4、基金经理承诺</w:t>
      </w:r>
    </w:p>
    <w:p w:rsidR="009F340D" w:rsidRPr="00A936B7" w14:paraId="4D36AA1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（1）依照有关法律、法规和基金合同的规定，本着谨慎的原则为基金份额持有人谋取最大利益；</w:t>
      </w:r>
    </w:p>
    <w:p w:rsidR="009F340D" w:rsidRPr="00A936B7" w14:paraId="4527BC9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（2）不利用职务之便为自己及其代理人、受雇人或任何第三人谋取利益；</w:t>
      </w:r>
    </w:p>
    <w:p w:rsidR="009F340D" w:rsidRPr="00A936B7" w14:paraId="207B12A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（3）不违反现行有效的有关法律、法规、规章、基金合同和中国证监会的有关规定，泄露在任职期间知悉的有关证券、基金的商业秘密、尚未依法公开的基金投资内容、基金投资计划等信息；</w:t>
      </w:r>
    </w:p>
    <w:p w:rsidR="009F340D" w:rsidRPr="00A936B7" w14:paraId="2C88293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（4）不从事损害基金财产和基金份额持有人利益的证券交易及其他活动。</w:t>
      </w:r>
    </w:p>
    <w:p w:rsidR="009F340D" w:rsidRPr="00A936B7" w14:paraId="7EA165C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五、基金管理人的内部控制制度</w:t>
      </w:r>
    </w:p>
    <w:p w:rsidR="009F340D" w:rsidRPr="00A936B7" w14:paraId="10C9DAA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为保证公司规范化运作，有效地防范和化解经营风险，促进公司诚信、合法、有效经营，保障基金份额持有人利益，维护公司及公司股东的合法权益，本基金管理人建立了科学、严密、高效的内部控制体系。</w:t>
      </w:r>
    </w:p>
    <w:p w:rsidR="009F340D" w:rsidRPr="00A936B7" w14:paraId="2AD7345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1、公司内部控制的总体目标</w:t>
      </w:r>
    </w:p>
    <w:p w:rsidR="009F340D" w:rsidRPr="00A936B7" w14:paraId="1CFF62A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（1）保证公司经营管理活动的合法合规性；</w:t>
      </w:r>
    </w:p>
    <w:p w:rsidR="009F340D" w:rsidRPr="00A936B7" w14:paraId="0C79000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（2）保证各类基金份额持有人及委托人的合法权益不受侵犯；</w:t>
      </w:r>
    </w:p>
    <w:p w:rsidR="009F340D" w:rsidRPr="00A936B7" w14:paraId="1902F87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（3）防范和化解经营风险，提高经营管理效率，确保业务稳健经营运行和受托资产安全完整，实现公司的持续、健康发展，促进公司实现发展战略；</w:t>
      </w:r>
    </w:p>
    <w:p w:rsidR="009F340D" w:rsidRPr="00A936B7" w14:paraId="2201D01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（4）督促公司全体员工恪守职业操守，正直诚信，廉洁自律，勤勉尽责；</w:t>
      </w:r>
    </w:p>
    <w:p w:rsidR="009F340D" w:rsidRPr="00A936B7" w14:paraId="3A99797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（5）维护公司的声誉，保持公司的良好形象。</w:t>
      </w:r>
    </w:p>
    <w:p w:rsidR="009F340D" w:rsidRPr="00A936B7" w14:paraId="2CD5CC6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2、公司内部控制遵循的原则</w:t>
      </w:r>
    </w:p>
    <w:p w:rsidR="009F340D" w:rsidRPr="00A936B7" w14:paraId="210E92A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（1）健全性原则。内部控制应当包括公司的各项业务、各个部门或机构和各级人员</w:t>
      </w:r>
      <w:r w:rsidR="006662BF">
        <w:rPr>
          <w:rFonts w:asciiTheme="minorEastAsia" w:eastAsiaTheme="minorEastAsia" w:hAnsiTheme="minorEastAsia" w:cs="宋体" w:hint="eastAsia"/>
          <w:szCs w:val="21"/>
          <w:highlight w:val="white"/>
          <w:lang w:eastAsia="zh-CN"/>
        </w:rPr>
        <w:t>，</w:t>
      </w:r>
      <w:r w:rsidRPr="00A936B7">
        <w:rPr>
          <w:rFonts w:asciiTheme="minorEastAsia" w:eastAsiaTheme="minorEastAsia" w:hAnsiTheme="minorEastAsia" w:cs="宋体" w:hint="eastAsia"/>
          <w:szCs w:val="21"/>
          <w:highlight w:val="white"/>
          <w:lang w:eastAsia="zh-CN"/>
        </w:rPr>
        <w:t>并涵盖到决策、执行、监督、反馈等各个环节。</w:t>
      </w:r>
    </w:p>
    <w:p w:rsidR="009F340D" w:rsidRPr="00A936B7" w14:paraId="471C322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（2）有效性原则。通过科学的内控手段和方法，建立合理的内控程序，维护内控制度的有效执行。</w:t>
      </w:r>
    </w:p>
    <w:p w:rsidR="009F340D" w:rsidRPr="00A936B7" w14:paraId="1FBE0D0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（3）独立性原则。公司机构、部门和岗位职责应当保持相对独立，除非法律法规另有规定，公司基金资产、自有资产、其他资产的运作应当分离。</w:t>
      </w:r>
    </w:p>
    <w:p w:rsidR="009F340D" w:rsidRPr="00A936B7" w14:paraId="59071BE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（4）相互制约原则。公司内部部门和岗位的设置应当体现权责分明、相互制衡。</w:t>
      </w:r>
    </w:p>
    <w:p w:rsidR="009F340D" w:rsidRPr="00A936B7" w14:paraId="00C6AD5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（5）成本效益原则。公司运用科学化的经营管理方法降低运作成本，提高经济效益，力争以合理的控制成本达到最佳的内部控制效果。</w:t>
      </w:r>
    </w:p>
    <w:p w:rsidR="009F340D" w:rsidRPr="00A936B7" w14:paraId="60F4811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3、内部控制的制度体系</w:t>
      </w:r>
    </w:p>
    <w:p w:rsidR="009F340D" w:rsidRPr="00A936B7" w14:paraId="1F09998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公司制定了合理、完备、有效并易于执行的制度体系。公司制度体系由不同层面的制度构成。按照其效力大小分为四个层面：第一个层面是公司章程；第二个层面是公司内部控制大纲，它是公司制定各项规章制度的基础和依据；第三个层面是公司基本管理制度；第四个层面是部门和业务管理制度。它们的制订、修改、实施、废止应该遵循相应的程序，每一层面的内容不得与其以上层面的内容相违背。公司重视对制度的持续检验，结合业务的发展、法规及监管环境的变化以及公司风险控制的要求，不断检讨和增强公司制度的完备性、有效性。</w:t>
      </w:r>
    </w:p>
    <w:p w:rsidR="009F340D" w:rsidRPr="00A936B7" w14:paraId="4E531E7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4、关于授权、研究、投资、交易等方面的控制点</w:t>
      </w:r>
    </w:p>
    <w:p w:rsidR="009F340D" w:rsidRPr="00A936B7" w14:paraId="65C3A57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（1）授权制度</w:t>
      </w:r>
    </w:p>
    <w:p w:rsidR="009F340D" w:rsidRPr="00A936B7" w14:paraId="1DAF02C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公司的授权制度贯穿于整个公司活动。股东会、董事会、监事会和管理层必须充分履行各自的职权，健全公司逐级授权制度，确保公司各项规章制度的贯彻执行；各项经营业务和管理程序必须遵从管理层制定的操作规程，经办人员的每一项工作必须是在业务授权范围内进行。公司重大业务的授权必须采取书面形式，授权书应当明确授权内容。公司授权应适当，对已获授权的部门和人员应建立有效的评价和反馈机制，对已不适用的授权应及时修改或取消授权。</w:t>
      </w:r>
    </w:p>
    <w:p w:rsidR="009F340D" w:rsidRPr="00A936B7" w14:paraId="5E0B13A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（2）公司研究业务</w:t>
      </w:r>
    </w:p>
    <w:p w:rsidR="009F340D" w:rsidRPr="00A936B7" w14:paraId="69FE4C8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研究工作应保持独立、客观，不受任何部门及个人的不正当影响；建立严谨的研究工作业务流程，形成科学、有效的研究方法；建立投资产品备选库制度，研究部门根据投资产品的特征，在充分研究的基础上建立和维护备选库。建立研究与投资的业务交流制度，保持畅通的交流渠道；建立研究报告质量评价体系，不断提高研究水平。</w:t>
      </w:r>
    </w:p>
    <w:p w:rsidR="009F340D" w:rsidRPr="00A936B7" w14:paraId="5BC9D25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（3）基金投资业务</w:t>
      </w:r>
    </w:p>
    <w:p w:rsidR="009F340D" w:rsidRPr="00A936B7" w14:paraId="68975FD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投资应确立科学的投资理念，根据风险防范原则和效率性原则制定合理的决策程序；在进行投资时应有明确的投资授权制度，并应建立与所授权限相应的约束制度和考核制度。建立严格的投资禁止和投资限制制度，保证基金投资的合法合规性。建立投资风险评估与管理制度，将重点投资限制在规定的风险权限范围内；建立科学的投资业绩评价体系，及时回顾分析和评估投资结果。</w:t>
      </w:r>
    </w:p>
    <w:p w:rsidR="009F340D" w:rsidRPr="00A936B7" w14:paraId="1245C90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（4）交易业务</w:t>
      </w:r>
    </w:p>
    <w:p w:rsidR="009F340D" w:rsidRPr="00A936B7" w14:paraId="1A3EC5C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建立集中交易部门和集中交易制度，投资指令通过集中交易部门完成；建立交易监测系统、预警系统和交易反馈系统，完善相关的安全设施；集中交易部门应对交易指令进行审核，建立公平的交易分配制度，确保公平对待不同基金；完善交易记录，并及时进行反馈、核对和存档保管；建立科学的投资交易绩效评价体系。</w:t>
      </w:r>
    </w:p>
    <w:p w:rsidR="009F340D" w:rsidRPr="00A936B7" w14:paraId="7537074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（5）基金会计核算</w:t>
      </w:r>
    </w:p>
    <w:p w:rsidR="009F340D" w:rsidRPr="00A936B7" w14:paraId="5B1F761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公司根据法律法规及业务的要求建立会计制度，并根据风险控制点建立健全规范的系统和流程，以基金为会计核算主体，独立建账、独立核算。通过合理的估值方法和估值程序等会计措施，真实、完整、及时地记载每一笔业务并正确进行会计核算和业务核算。同时建立会计档案保管制度，确保档案真实完整。</w:t>
      </w:r>
    </w:p>
    <w:p w:rsidR="009F340D" w:rsidRPr="00A936B7" w14:paraId="6102A39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（6）信息披露</w:t>
      </w:r>
    </w:p>
    <w:p w:rsidR="009F340D" w:rsidRPr="00A936B7" w14:paraId="3D4A405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公司建立了完备的信息披露制度，指定了信息披露负责人，并建立了相应的制度流程规范相关信息的收集、组织、审核和发布，努力确保公开披露的信息真实、准确、完整、及时。</w:t>
      </w:r>
    </w:p>
    <w:p w:rsidR="009F340D" w:rsidRPr="00A936B7" w14:paraId="6492AF0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（7）监察与合规管理</w:t>
      </w:r>
    </w:p>
    <w:p w:rsidR="009F340D" w:rsidRPr="00A936B7" w14:paraId="6A50A70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公司设立督察长，由董事会聘任，向董事会负责。根据公司监察与合规管理工作的需要和董事会授权，督察长可以列席公司相关会议，调阅公司相关档案资料，就内部控制制度的执行情况独立地履行检查、评价、报告、建议职能。督察长定期和不定期向董事会报告公司内部控制执行情况，董事会对督察长的报告进行审议。</w:t>
      </w:r>
    </w:p>
    <w:p w:rsidR="009F340D" w:rsidRPr="00A936B7" w14:paraId="3325C14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公司设立监察合规管理部门，并保障其独立性。监察合规管理部门按照公司规定和督察长的安排履行监察与合规管理职责。</w:t>
      </w:r>
    </w:p>
    <w:p w:rsidR="009F340D" w:rsidRPr="00A936B7" w14:paraId="4A7521B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监察合规管理部门通过定期或不定期检查内部控制制度的执行情况，督促公司和旗下基金的管理运作规范进行。</w:t>
      </w:r>
    </w:p>
    <w:p w:rsidR="009F340D" w:rsidRPr="00A936B7" w14:paraId="0A9BC15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公司董事会和管理层充分重视和支持监察与合规管理工作，对违反法律、法规和公司内部控制制度的，追究有关部门和人员的责任。</w:t>
      </w:r>
    </w:p>
    <w:p w:rsidR="009F340D" w:rsidRPr="00A936B7" w14:paraId="145558F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5、基金管理人关于内部控制制度声明书</w:t>
      </w:r>
    </w:p>
    <w:p w:rsidR="009F340D" w:rsidRPr="00A936B7" w14:paraId="2941AE5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（1）本公司承诺以上关于内部控制制度的披露真实、准确；</w:t>
      </w:r>
    </w:p>
    <w:p w:rsidR="009F340D" w:rsidRPr="00A936B7" w14:paraId="57CA9141"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（2）本公司承诺根据市场变化和公司业务发展不断完善内部控制制度。</w:t>
      </w:r>
      <w:bookmarkStart w:id="13" w:name="_Toc296526929"/>
      <w:bookmarkStart w:id="14" w:name="_Toc272569765"/>
      <w:bookmarkStart w:id="15" w:name="_Toc272569766"/>
      <w:bookmarkStart w:id="16" w:name="_Toc272569767"/>
      <w:bookmarkStart w:id="17" w:name="_Toc272569768"/>
      <w:bookmarkStart w:id="18" w:name="_Toc309286027"/>
      <w:bookmarkStart w:id="19" w:name="_Toc308697506"/>
      <w:bookmarkStart w:id="20" w:name="_Toc296526926"/>
      <w:bookmarkStart w:id="21" w:name="_Toc296526927"/>
      <w:bookmarkStart w:id="22" w:name="_Toc296526928"/>
      <w:bookmarkStart w:id="23" w:name="_Toc296440126"/>
      <w:bookmarkStart w:id="24" w:name="_Toc296526963"/>
      <w:bookmarkStart w:id="25" w:name="_Toc296526931"/>
      <w:bookmarkStart w:id="26" w:name="_Toc296526932"/>
      <w:bookmarkStart w:id="27" w:name="_Toc296526933"/>
      <w:bookmarkStart w:id="28" w:name="_Toc296526934"/>
      <w:bookmarkStart w:id="29" w:name="_Toc296526936"/>
      <w:bookmarkStart w:id="30" w:name="_Toc296526958"/>
      <w:bookmarkStart w:id="31" w:name="_Toc308697497"/>
      <w:bookmarkStart w:id="32" w:name="_Toc309286019"/>
      <w:bookmarkStart w:id="33" w:name="_Toc308697498"/>
      <w:bookmarkStart w:id="34" w:name="_Toc309286020"/>
      <w:bookmarkStart w:id="35" w:name="_Toc308697499"/>
      <w:bookmarkStart w:id="36" w:name="_Toc309286021"/>
      <w:bookmarkStart w:id="37" w:name="_Toc272569769"/>
      <w:bookmarkStart w:id="38" w:name="_Toc272569770"/>
      <w:bookmarkStart w:id="39" w:name="_Toc272569771"/>
      <w:bookmarkStart w:id="40" w:name="_Toc272569772"/>
      <w:bookmarkStart w:id="41" w:name="_Toc272569773"/>
      <w:bookmarkStart w:id="42" w:name="_Toc309286028"/>
      <w:bookmarkStart w:id="43" w:name="_Toc308697507"/>
      <w:bookmarkStart w:id="44" w:name="_Toc309286029"/>
      <w:bookmarkStart w:id="45" w:name="_Toc296526974"/>
      <w:bookmarkStart w:id="46" w:name="_Toc323051000"/>
      <w:bookmarkStart w:id="47" w:name="_Toc308697488"/>
      <w:bookmarkStart w:id="48" w:name="_Toc309286010"/>
      <w:bookmarkStart w:id="49" w:name="_Toc296526989"/>
      <w:bookmarkStart w:id="50" w:name="_Toc323051008"/>
      <w:bookmarkStart w:id="51" w:name="_Toc296526992"/>
      <w:bookmarkStart w:id="52" w:name="_Toc296526993"/>
      <w:bookmarkStart w:id="53" w:name="_Toc277752499"/>
      <w:bookmarkStart w:id="54" w:name="_Toc277786078"/>
      <w:bookmarkStart w:id="55" w:name="_Toc277787599"/>
      <w:bookmarkStart w:id="56" w:name="_Toc277787873"/>
      <w:bookmarkStart w:id="57" w:name="_Toc278409384"/>
      <w:bookmarkStart w:id="58" w:name="_Toc277786086"/>
      <w:bookmarkStart w:id="59" w:name="_Toc277787607"/>
      <w:bookmarkStart w:id="60" w:name="_Toc277787881"/>
      <w:bookmarkStart w:id="61" w:name="_Toc278409392"/>
      <w:bookmarkStart w:id="62" w:name="_Toc277752508"/>
      <w:bookmarkStart w:id="63" w:name="_Toc277786087"/>
      <w:bookmarkStart w:id="64" w:name="_Toc277787608"/>
      <w:bookmarkStart w:id="65" w:name="_Toc277787882"/>
      <w:bookmarkStart w:id="66" w:name="_Toc278409393"/>
      <w:bookmarkStart w:id="67" w:name="_Toc277752509"/>
      <w:bookmarkStart w:id="68" w:name="_Toc277786088"/>
      <w:bookmarkStart w:id="69" w:name="_Toc277787609"/>
      <w:bookmarkStart w:id="70" w:name="_Toc277787883"/>
      <w:bookmarkStart w:id="71" w:name="_Toc308697500"/>
      <w:bookmarkStart w:id="72" w:name="_Toc309286022"/>
      <w:bookmarkStart w:id="73" w:name="_Toc308697501"/>
      <w:bookmarkStart w:id="74" w:name="_Toc309286023"/>
      <w:bookmarkStart w:id="75" w:name="_Toc308697502"/>
      <w:bookmarkStart w:id="76" w:name="_Toc309286024"/>
      <w:bookmarkStart w:id="77" w:name="_Toc308697503"/>
      <w:bookmarkStart w:id="78" w:name="_Toc309286025"/>
      <w:bookmarkStart w:id="79" w:name="_Toc308697504"/>
      <w:bookmarkStart w:id="80" w:name="_Toc309286026"/>
      <w:bookmarkStart w:id="81" w:name="_Toc308697505"/>
      <w:bookmarkStart w:id="82" w:name="_Toc310513212"/>
      <w:bookmarkStart w:id="83" w:name="_Toc310513348"/>
      <w:bookmarkStart w:id="84" w:name="_Toc323051024"/>
      <w:bookmarkStart w:id="85" w:name="_Toc310512464"/>
      <w:bookmarkStart w:id="86" w:name="_Toc310512628"/>
      <w:bookmarkStart w:id="87" w:name="_Toc310512781"/>
      <w:bookmarkStart w:id="88" w:name="_Toc310512934"/>
      <w:bookmarkStart w:id="89" w:name="_Toc310513074"/>
      <w:bookmarkStart w:id="90" w:name="_Toc308697508"/>
      <w:bookmarkStart w:id="91" w:name="_Toc309286030"/>
      <w:bookmarkStart w:id="92" w:name="_Toc308697509"/>
      <w:bookmarkStart w:id="93" w:name="_Toc309286031"/>
      <w:bookmarkStart w:id="94" w:name="_Toc308697510"/>
      <w:bookmarkStart w:id="95" w:name="_Toc309286032"/>
      <w:bookmarkStart w:id="96" w:name="_Toc308697511"/>
      <w:bookmarkStart w:id="97" w:name="_Toc309286033"/>
      <w:bookmarkStart w:id="98" w:name="_Toc308697512"/>
      <w:bookmarkStart w:id="99" w:name="_Toc309286034"/>
      <w:bookmarkStart w:id="100" w:name="_Toc308697513"/>
      <w:bookmarkStart w:id="101" w:name="_Toc309286035"/>
      <w:bookmarkStart w:id="102" w:name="_Toc277752504"/>
      <w:bookmarkStart w:id="103" w:name="_Toc277786083"/>
      <w:bookmarkStart w:id="104" w:name="_Toc277787604"/>
      <w:bookmarkStart w:id="105" w:name="_Toc277787878"/>
      <w:bookmarkStart w:id="106" w:name="_Toc278409389"/>
      <w:bookmarkStart w:id="107" w:name="_Toc277752505"/>
      <w:bookmarkStart w:id="108" w:name="_Toc277786084"/>
      <w:bookmarkStart w:id="109" w:name="_Toc277787605"/>
      <w:bookmarkStart w:id="110" w:name="_Toc277787879"/>
      <w:bookmarkStart w:id="111" w:name="_Toc278409390"/>
      <w:bookmarkStart w:id="112" w:name="_Toc277752506"/>
      <w:bookmarkStart w:id="113" w:name="_Toc277786085"/>
      <w:bookmarkStart w:id="114" w:name="_Toc277787606"/>
      <w:bookmarkStart w:id="115" w:name="_Toc277787880"/>
      <w:bookmarkStart w:id="116" w:name="_Toc278409391"/>
      <w:bookmarkStart w:id="117" w:name="_Toc277752507"/>
      <w:bookmarkStart w:id="118" w:name="_Toc309286115"/>
      <w:bookmarkStart w:id="119" w:name="_Toc308697594"/>
      <w:bookmarkStart w:id="120" w:name="_Toc309286116"/>
      <w:bookmarkStart w:id="121" w:name="_Toc308697595"/>
      <w:bookmarkStart w:id="122" w:name="_Toc309286117"/>
      <w:bookmarkStart w:id="123" w:name="_Toc308697596"/>
      <w:bookmarkStart w:id="124" w:name="_Toc309286118"/>
      <w:bookmarkStart w:id="125" w:name="_Toc308697597"/>
      <w:bookmarkStart w:id="126" w:name="_Toc309286119"/>
      <w:bookmarkStart w:id="127" w:name="_Toc308697598"/>
      <w:bookmarkStart w:id="128" w:name="_Toc309286120"/>
      <w:bookmarkStart w:id="129" w:name="_Toc308697599"/>
      <w:bookmarkStart w:id="130" w:name="_Toc309286121"/>
      <w:bookmarkStart w:id="131" w:name="_Toc308697600"/>
      <w:bookmarkStart w:id="132" w:name="_Toc309286122"/>
      <w:bookmarkStart w:id="133" w:name="_Toc308697601"/>
      <w:bookmarkStart w:id="134" w:name="_Toc309286123"/>
      <w:bookmarkStart w:id="135" w:name="_Toc308697602"/>
      <w:bookmarkStart w:id="136" w:name="_Toc309286124"/>
      <w:bookmarkStart w:id="137" w:name="_Toc308697603"/>
      <w:bookmarkStart w:id="138" w:name="_Toc309286125"/>
      <w:bookmarkStart w:id="139" w:name="_Toc308697604"/>
      <w:bookmarkStart w:id="140" w:name="_Toc309286126"/>
      <w:bookmarkStart w:id="141" w:name="_Toc308697605"/>
      <w:bookmarkStart w:id="142" w:name="_Toc309286127"/>
      <w:bookmarkStart w:id="143" w:name="_Toc278409394"/>
      <w:bookmarkStart w:id="144" w:name="_Toc308697516"/>
      <w:bookmarkStart w:id="145" w:name="_Toc309286038"/>
      <w:bookmarkStart w:id="146" w:name="_Toc308697517"/>
      <w:bookmarkStart w:id="147" w:name="_Toc309286039"/>
      <w:bookmarkStart w:id="148" w:name="_Toc296527004"/>
      <w:bookmarkStart w:id="149" w:name="_Toc308697541"/>
      <w:bookmarkStart w:id="150" w:name="_Toc309286063"/>
      <w:bookmarkStart w:id="151" w:name="_Toc308697542"/>
      <w:bookmarkStart w:id="152" w:name="_Toc309286064"/>
      <w:bookmarkStart w:id="153" w:name="_Toc308697543"/>
      <w:bookmarkStart w:id="154" w:name="_Toc309286065"/>
      <w:bookmarkStart w:id="155" w:name="_Toc306614238"/>
      <w:bookmarkStart w:id="156" w:name="_Toc310512463"/>
      <w:bookmarkStart w:id="157" w:name="_Toc310512627"/>
      <w:bookmarkStart w:id="158" w:name="_Toc310512780"/>
      <w:bookmarkStart w:id="159" w:name="_Toc310512933"/>
      <w:bookmarkStart w:id="160" w:name="_Toc310513073"/>
      <w:bookmarkStart w:id="161" w:name="_Toc308697622"/>
      <w:bookmarkStart w:id="162" w:name="_Toc309286144"/>
      <w:bookmarkStart w:id="163" w:name="_Toc308697623"/>
      <w:bookmarkStart w:id="164" w:name="_Toc309286145"/>
      <w:bookmarkStart w:id="165" w:name="_Toc308697624"/>
      <w:bookmarkStart w:id="166" w:name="_Toc309286146"/>
      <w:bookmarkStart w:id="167" w:name="_Toc308697625"/>
      <w:bookmarkStart w:id="168" w:name="_Toc309286147"/>
      <w:bookmarkStart w:id="169" w:name="_Toc308697626"/>
      <w:bookmarkStart w:id="170" w:name="_Toc309286148"/>
      <w:bookmarkStart w:id="171" w:name="_Toc308697627"/>
      <w:bookmarkStart w:id="172" w:name="_Toc309286149"/>
      <w:bookmarkStart w:id="173" w:name="_Toc308697628"/>
      <w:bookmarkStart w:id="174" w:name="_Toc309286150"/>
      <w:bookmarkStart w:id="175" w:name="_Toc308697629"/>
      <w:bookmarkStart w:id="176" w:name="_Toc309286151"/>
      <w:bookmarkStart w:id="177" w:name="_Toc310513213"/>
      <w:bookmarkStart w:id="178" w:name="_Toc310513349"/>
      <w:bookmarkStart w:id="179" w:name="_Toc323051025"/>
      <w:bookmarkStart w:id="180" w:name="_Toc310512465"/>
      <w:bookmarkStart w:id="181" w:name="_Toc310512629"/>
      <w:bookmarkStart w:id="182" w:name="_Toc310512782"/>
      <w:bookmarkStart w:id="183" w:name="_Toc310512935"/>
      <w:bookmarkStart w:id="184" w:name="_Toc310513075"/>
      <w:bookmarkStart w:id="185" w:name="_Toc310513214"/>
      <w:bookmarkStart w:id="186" w:name="_Toc310513350"/>
      <w:bookmarkStart w:id="187" w:name="_Toc323051026"/>
      <w:bookmarkStart w:id="188" w:name="_Toc308697560"/>
      <w:bookmarkStart w:id="189" w:name="_Toc309286082"/>
      <w:bookmarkStart w:id="190" w:name="_Toc308697561"/>
      <w:bookmarkStart w:id="191" w:name="_Toc309286083"/>
      <w:bookmarkStart w:id="192" w:name="_Toc308697562"/>
      <w:bookmarkStart w:id="193" w:name="_Toc309286084"/>
      <w:bookmarkStart w:id="194" w:name="_Toc44229106"/>
      <w:bookmarkStart w:id="195" w:name="_Toc44229201"/>
      <w:bookmarkStart w:id="196" w:name="_Toc44229107"/>
      <w:bookmarkStart w:id="197" w:name="_Toc44229202"/>
      <w:bookmarkStart w:id="198" w:name="_Toc44229108"/>
      <w:bookmarkStart w:id="199" w:name="_Toc44229203"/>
      <w:bookmarkStart w:id="200" w:name="_Toc44229109"/>
      <w:bookmarkStart w:id="201" w:name="_Toc44229204"/>
      <w:bookmarkStart w:id="202" w:name="_Toc44229110"/>
      <w:bookmarkStart w:id="203" w:name="_Toc44229205"/>
      <w:bookmarkStart w:id="204" w:name="_Toc44229111"/>
      <w:bookmarkStart w:id="205" w:name="_Toc44229206"/>
      <w:bookmarkStart w:id="206" w:name="_Toc44229112"/>
      <w:bookmarkStart w:id="207" w:name="_Toc44229207"/>
      <w:bookmarkStart w:id="208" w:name="_Toc44229113"/>
      <w:bookmarkStart w:id="209" w:name="_Toc44229208"/>
      <w:bookmarkStart w:id="210" w:name="_Toc185222016"/>
      <w:bookmarkStart w:id="211" w:name="_Toc185222488"/>
      <w:bookmarkStart w:id="212" w:name="_Toc185222591"/>
      <w:bookmarkStart w:id="213" w:name="_Toc185222757"/>
      <w:bookmarkStart w:id="214" w:name="_Hlt80958353"/>
      <w:bookmarkStart w:id="215" w:name="_Toc278409426"/>
      <w:bookmarkStart w:id="216" w:name="_Toc323051053"/>
      <w:bookmarkStart w:id="217" w:name="_Toc323051054"/>
      <w:bookmarkStart w:id="218" w:name="_Toc323051055"/>
      <w:bookmarkStart w:id="219" w:name="_Toc308697583"/>
      <w:bookmarkStart w:id="220" w:name="_Toc309286105"/>
      <w:bookmarkStart w:id="221" w:name="_Toc308697584"/>
      <w:bookmarkStart w:id="222" w:name="_Toc309286106"/>
      <w:bookmarkStart w:id="223" w:name="_Toc308697585"/>
      <w:bookmarkStart w:id="224" w:name="_Toc309286107"/>
      <w:bookmarkStart w:id="225" w:name="_Toc308697586"/>
      <w:bookmarkStart w:id="226" w:name="_Toc309286108"/>
      <w:bookmarkStart w:id="227" w:name="_Toc308697587"/>
      <w:bookmarkStart w:id="228" w:name="_Toc309286109"/>
      <w:bookmarkStart w:id="229" w:name="_Toc308697588"/>
      <w:bookmarkStart w:id="230" w:name="_Toc309286110"/>
      <w:bookmarkStart w:id="231" w:name="_Toc308697589"/>
      <w:bookmarkStart w:id="232" w:name="_Toc309286111"/>
      <w:bookmarkStart w:id="233" w:name="_Toc308697590"/>
      <w:bookmarkStart w:id="234" w:name="_Toc309286112"/>
      <w:bookmarkStart w:id="235" w:name="_Toc308697591"/>
      <w:bookmarkStart w:id="236" w:name="_Toc309286113"/>
      <w:bookmarkStart w:id="237" w:name="_Toc308697592"/>
      <w:bookmarkStart w:id="238" w:name="_Toc309286114"/>
      <w:bookmarkStart w:id="239" w:name="_Toc308697593"/>
      <w:bookmarkStart w:id="240" w:name="_Toc38438334"/>
      <w:bookmarkStart w:id="241" w:name="_Toc38438671"/>
      <w:bookmarkStart w:id="242" w:name="_Toc38439008"/>
      <w:bookmarkStart w:id="243" w:name="_Toc38439345"/>
      <w:bookmarkStart w:id="244" w:name="_Toc38439682"/>
      <w:bookmarkStart w:id="245" w:name="_Toc38440019"/>
      <w:bookmarkStart w:id="246" w:name="_Toc38440356"/>
      <w:bookmarkStart w:id="247" w:name="_Toc38440888"/>
      <w:bookmarkStart w:id="248" w:name="_Toc38441220"/>
      <w:bookmarkStart w:id="249" w:name="_Toc38441552"/>
      <w:bookmarkStart w:id="250" w:name="_Toc38441880"/>
      <w:bookmarkStart w:id="251" w:name="_Toc38442212"/>
      <w:bookmarkStart w:id="252" w:name="_Toc38442544"/>
      <w:bookmarkStart w:id="253" w:name="_Toc38442875"/>
      <w:bookmarkStart w:id="254" w:name="_Toc38443206"/>
      <w:bookmarkStart w:id="255" w:name="_Toc38443537"/>
      <w:bookmarkStart w:id="256" w:name="_Toc38443868"/>
      <w:bookmarkStart w:id="257" w:name="_Toc38438335"/>
      <w:bookmarkStart w:id="258" w:name="_Toc38438672"/>
      <w:bookmarkStart w:id="259" w:name="_Toc38439009"/>
      <w:bookmarkStart w:id="260" w:name="_Toc38439346"/>
      <w:bookmarkStart w:id="261" w:name="_Toc38439683"/>
      <w:bookmarkStart w:id="262" w:name="_Toc38440020"/>
      <w:bookmarkStart w:id="263" w:name="_Toc38440357"/>
      <w:bookmarkStart w:id="264" w:name="_Toc38440889"/>
      <w:bookmarkStart w:id="265" w:name="_Toc38441221"/>
      <w:bookmarkStart w:id="266" w:name="_Toc38441553"/>
      <w:bookmarkStart w:id="267" w:name="_Toc38441881"/>
      <w:bookmarkStart w:id="268" w:name="_Toc38442213"/>
      <w:bookmarkStart w:id="269" w:name="_Toc38442545"/>
      <w:bookmarkStart w:id="270" w:name="_Toc38442876"/>
      <w:bookmarkStart w:id="271" w:name="_Toc38443207"/>
      <w:bookmarkStart w:id="272" w:name="_Toc38443538"/>
      <w:bookmarkStart w:id="273" w:name="_Toc38443869"/>
      <w:bookmarkStart w:id="274" w:name="_Toc38438336"/>
      <w:bookmarkStart w:id="275" w:name="_Toc38438673"/>
      <w:bookmarkStart w:id="276" w:name="_Toc38439010"/>
      <w:bookmarkStart w:id="277" w:name="_Toc38439347"/>
      <w:bookmarkStart w:id="278" w:name="_Toc38439684"/>
      <w:bookmarkStart w:id="279" w:name="_Toc38440021"/>
      <w:bookmarkStart w:id="280" w:name="_Toc38440358"/>
      <w:bookmarkStart w:id="281" w:name="_Toc38440890"/>
      <w:bookmarkStart w:id="282" w:name="_Toc38441222"/>
      <w:bookmarkStart w:id="283" w:name="_Toc38441554"/>
      <w:bookmarkStart w:id="284" w:name="_Toc38441882"/>
      <w:bookmarkStart w:id="285" w:name="_Toc38442214"/>
      <w:bookmarkStart w:id="286" w:name="_Toc38442546"/>
      <w:bookmarkStart w:id="287" w:name="_Toc38442877"/>
      <w:bookmarkStart w:id="288" w:name="_Toc38443208"/>
      <w:bookmarkStart w:id="289" w:name="_Toc38443539"/>
      <w:bookmarkStart w:id="290" w:name="_Toc38443870"/>
      <w:bookmarkStart w:id="291" w:name="_Toc38438337"/>
      <w:bookmarkStart w:id="292" w:name="_Toc308697606"/>
      <w:bookmarkStart w:id="293" w:name="_Toc309286128"/>
      <w:bookmarkStart w:id="294" w:name="_Toc308697607"/>
      <w:bookmarkStart w:id="295" w:name="_Toc309286129"/>
      <w:bookmarkStart w:id="296" w:name="_Toc308697608"/>
      <w:bookmarkStart w:id="297" w:name="_Toc309286130"/>
      <w:bookmarkStart w:id="298" w:name="_Toc308697609"/>
      <w:bookmarkStart w:id="299" w:name="_Toc309286131"/>
      <w:bookmarkStart w:id="300" w:name="_Toc308697610"/>
      <w:bookmarkStart w:id="301" w:name="_Toc309286132"/>
      <w:bookmarkStart w:id="302" w:name="_Toc308697611"/>
      <w:bookmarkStart w:id="303" w:name="_Toc309286133"/>
      <w:bookmarkStart w:id="304" w:name="_Toc308697612"/>
      <w:bookmarkStart w:id="305" w:name="_Toc309286134"/>
      <w:bookmarkStart w:id="306" w:name="_Toc308697613"/>
      <w:bookmarkStart w:id="307" w:name="_Toc309286135"/>
      <w:bookmarkStart w:id="308" w:name="_Toc308697614"/>
      <w:bookmarkStart w:id="309" w:name="_Toc309286136"/>
      <w:bookmarkStart w:id="310" w:name="_Toc308697615"/>
      <w:bookmarkStart w:id="311" w:name="_Toc309286137"/>
      <w:bookmarkStart w:id="312" w:name="_Toc308697616"/>
      <w:bookmarkStart w:id="313" w:name="_Toc309286138"/>
      <w:bookmarkStart w:id="314" w:name="_Toc308697617"/>
      <w:bookmarkStart w:id="315" w:name="_Toc309286139"/>
      <w:bookmarkStart w:id="316" w:name="_Toc308697618"/>
      <w:bookmarkStart w:id="317" w:name="_Toc309286140"/>
      <w:bookmarkStart w:id="318" w:name="_Toc308697619"/>
      <w:bookmarkStart w:id="319" w:name="_Toc309286141"/>
      <w:bookmarkStart w:id="320" w:name="_Toc308697620"/>
      <w:bookmarkStart w:id="321" w:name="_Toc309286142"/>
      <w:bookmarkStart w:id="322" w:name="_Toc308697621"/>
      <w:bookmarkStart w:id="323" w:name="_Toc309286143"/>
      <w:bookmarkStart w:id="324" w:name="_Toc38438677"/>
      <w:bookmarkStart w:id="325" w:name="_Toc38439014"/>
      <w:bookmarkStart w:id="326" w:name="_Toc38439351"/>
      <w:bookmarkStart w:id="327" w:name="_Toc38439688"/>
      <w:bookmarkStart w:id="328" w:name="_Toc38440025"/>
      <w:bookmarkStart w:id="329" w:name="_Toc38440362"/>
      <w:bookmarkStart w:id="330" w:name="_Toc38440894"/>
      <w:bookmarkStart w:id="331" w:name="_Toc38441226"/>
      <w:bookmarkStart w:id="332" w:name="_Toc38441558"/>
      <w:bookmarkStart w:id="333" w:name="_Toc38441886"/>
      <w:bookmarkStart w:id="334" w:name="_Toc38442218"/>
      <w:bookmarkStart w:id="335" w:name="_Toc38442550"/>
      <w:bookmarkStart w:id="336" w:name="_Toc38442881"/>
      <w:bookmarkStart w:id="337" w:name="_Toc38443212"/>
      <w:bookmarkStart w:id="338" w:name="_Toc38443543"/>
      <w:bookmarkStart w:id="339" w:name="_Toc38443874"/>
      <w:bookmarkStart w:id="340" w:name="_Toc38438341"/>
      <w:bookmarkStart w:id="341" w:name="_Toc38438678"/>
      <w:bookmarkStart w:id="342" w:name="_Toc38439015"/>
      <w:bookmarkStart w:id="343" w:name="_Toc38439352"/>
      <w:bookmarkStart w:id="344" w:name="_Toc38439689"/>
      <w:bookmarkStart w:id="345" w:name="_Toc38440026"/>
      <w:bookmarkStart w:id="346" w:name="_Toc38440363"/>
      <w:bookmarkStart w:id="347" w:name="_Toc38440895"/>
      <w:bookmarkStart w:id="348" w:name="_Toc38441227"/>
      <w:bookmarkStart w:id="349" w:name="_Toc38441559"/>
      <w:bookmarkStart w:id="350" w:name="_Toc38441887"/>
      <w:bookmarkStart w:id="351" w:name="_Toc38442219"/>
      <w:bookmarkStart w:id="352" w:name="_Toc38442551"/>
      <w:bookmarkStart w:id="353" w:name="_Toc38442882"/>
      <w:bookmarkStart w:id="354" w:name="_Toc38443213"/>
      <w:bookmarkStart w:id="355" w:name="_Toc38443544"/>
      <w:bookmarkStart w:id="356" w:name="_Toc308697630"/>
      <w:bookmarkStart w:id="357" w:name="_Toc309286152"/>
      <w:bookmarkStart w:id="358" w:name="_Toc308697631"/>
      <w:bookmarkStart w:id="359" w:name="_Toc309286153"/>
      <w:bookmarkStart w:id="360" w:name="_Toc308697632"/>
      <w:bookmarkStart w:id="361" w:name="_Toc309286154"/>
      <w:bookmarkStart w:id="362" w:name="_Toc308697633"/>
      <w:bookmarkStart w:id="363" w:name="_Toc309286155"/>
      <w:bookmarkStart w:id="364" w:name="_Toc308697634"/>
      <w:bookmarkStart w:id="365" w:name="_Toc309286156"/>
      <w:bookmarkStart w:id="366" w:name="_Toc308697635"/>
      <w:bookmarkStart w:id="367" w:name="_Toc309286157"/>
      <w:bookmarkStart w:id="368" w:name="_Toc308697636"/>
      <w:bookmarkStart w:id="369" w:name="_Toc309286158"/>
      <w:bookmarkStart w:id="370" w:name="_Toc308697637"/>
      <w:bookmarkStart w:id="371" w:name="_Toc309286159"/>
      <w:bookmarkStart w:id="372" w:name="_Toc308697638"/>
      <w:bookmarkStart w:id="373" w:name="_Toc309286160"/>
      <w:bookmarkStart w:id="374" w:name="_Toc308697639"/>
      <w:bookmarkStart w:id="375" w:name="_Toc309286161"/>
      <w:bookmarkStart w:id="376" w:name="_Toc308697640"/>
      <w:bookmarkStart w:id="377" w:name="_Toc309286162"/>
      <w:bookmarkStart w:id="378" w:name="_Toc308697641"/>
      <w:bookmarkStart w:id="379" w:name="_Toc309286163"/>
      <w:bookmarkStart w:id="380" w:name="_Toc308697642"/>
      <w:bookmarkStart w:id="381" w:name="_Toc309286164"/>
      <w:bookmarkStart w:id="382" w:name="_Toc308697643"/>
      <w:bookmarkStart w:id="383" w:name="_Toc309286165"/>
      <w:bookmarkStart w:id="384" w:name="_Toc308697644"/>
      <w:bookmarkStart w:id="385" w:name="_Toc309286166"/>
      <w:bookmarkStart w:id="386" w:name="_Toc308697645"/>
      <w:bookmarkStart w:id="387" w:name="_Toc309286167"/>
      <w:bookmarkStart w:id="388" w:name="_Toc308697646"/>
      <w:bookmarkStart w:id="389" w:name="_Toc309286168"/>
      <w:bookmarkStart w:id="390" w:name="_Toc308697647"/>
      <w:bookmarkStart w:id="391" w:name="_Toc309286169"/>
      <w:bookmarkStart w:id="392" w:name="_Toc308697648"/>
      <w:bookmarkStart w:id="393" w:name="_Toc309286170"/>
      <w:bookmarkStart w:id="394" w:name="_Toc308697649"/>
      <w:bookmarkStart w:id="395" w:name="_Toc309286171"/>
      <w:bookmarkStart w:id="396" w:name="_Toc308697650"/>
      <w:bookmarkStart w:id="397" w:name="_Toc309286172"/>
      <w:bookmarkStart w:id="398" w:name="_Toc308697651"/>
      <w:bookmarkStart w:id="399" w:name="_Toc309286173"/>
      <w:bookmarkStart w:id="400" w:name="_Toc308697652"/>
      <w:bookmarkStart w:id="401" w:name="_Toc309286174"/>
      <w:bookmarkStart w:id="402" w:name="_Toc308697653"/>
      <w:bookmarkStart w:id="403" w:name="_Toc309286175"/>
      <w:bookmarkStart w:id="404" w:name="_Toc308697654"/>
      <w:bookmarkStart w:id="405" w:name="_Toc309286176"/>
      <w:bookmarkStart w:id="406" w:name="_Toc308697655"/>
      <w:bookmarkStart w:id="407" w:name="_Toc309286177"/>
      <w:bookmarkStart w:id="408" w:name="_Toc308697656"/>
      <w:bookmarkStart w:id="409" w:name="_Toc309286178"/>
      <w:bookmarkStart w:id="410" w:name="_Toc308697657"/>
      <w:bookmarkStart w:id="411" w:name="_Toc309286179"/>
      <w:bookmarkStart w:id="412" w:name="_Toc308697658"/>
      <w:bookmarkStart w:id="413" w:name="_Toc309286180"/>
      <w:bookmarkStart w:id="414" w:name="_Toc308697659"/>
      <w:bookmarkStart w:id="415" w:name="_Toc309286181"/>
      <w:bookmarkStart w:id="416" w:name="_Toc308697660"/>
      <w:bookmarkStart w:id="417" w:name="_Toc309286182"/>
      <w:bookmarkStart w:id="418" w:name="_Toc308697661"/>
      <w:bookmarkStart w:id="419" w:name="_Toc309286183"/>
      <w:bookmarkStart w:id="420" w:name="_Toc308697662"/>
      <w:bookmarkStart w:id="421" w:name="_Toc309286184"/>
      <w:bookmarkStart w:id="422" w:name="_Toc308697663"/>
      <w:bookmarkStart w:id="423" w:name="_Toc309286185"/>
      <w:bookmarkStart w:id="424" w:name="_Toc308697664"/>
      <w:bookmarkStart w:id="425" w:name="_Toc309286186"/>
      <w:bookmarkStart w:id="426" w:name="_Toc308697665"/>
      <w:bookmarkStart w:id="427" w:name="_Toc309286187"/>
      <w:bookmarkStart w:id="428" w:name="_Toc308697666"/>
      <w:bookmarkStart w:id="429" w:name="_Toc309286188"/>
      <w:bookmarkStart w:id="430" w:name="_Toc308697667"/>
      <w:bookmarkStart w:id="431" w:name="_Toc309286189"/>
      <w:bookmarkStart w:id="432" w:name="_Toc308697668"/>
      <w:bookmarkStart w:id="433" w:name="_Toc309286190"/>
      <w:bookmarkStart w:id="434" w:name="_Toc308697669"/>
      <w:bookmarkStart w:id="435" w:name="_Toc309286191"/>
      <w:bookmarkStart w:id="436" w:name="_Toc308697670"/>
      <w:bookmarkStart w:id="437" w:name="_Toc309286192"/>
      <w:bookmarkStart w:id="438" w:name="_Toc308697671"/>
      <w:bookmarkStart w:id="439" w:name="_Toc309286193"/>
      <w:bookmarkStart w:id="440" w:name="_Toc308697672"/>
      <w:bookmarkStart w:id="441" w:name="_Toc309286194"/>
      <w:bookmarkStart w:id="442" w:name="_Toc308697673"/>
      <w:bookmarkStart w:id="443" w:name="_Toc309286195"/>
      <w:bookmarkStart w:id="444" w:name="_Toc308697674"/>
      <w:bookmarkStart w:id="445" w:name="_Toc309286196"/>
      <w:bookmarkStart w:id="446" w:name="_Toc308697675"/>
      <w:bookmarkStart w:id="447" w:name="_Toc309286197"/>
      <w:bookmarkStart w:id="448" w:name="_Toc308697676"/>
      <w:bookmarkStart w:id="449" w:name="_Toc309286198"/>
      <w:bookmarkStart w:id="450" w:name="_Toc308697677"/>
      <w:bookmarkStart w:id="451" w:name="_Toc309286199"/>
      <w:bookmarkStart w:id="452" w:name="_Toc308697678"/>
      <w:bookmarkStart w:id="453" w:name="_Toc309286200"/>
      <w:bookmarkStart w:id="454" w:name="_Toc308697679"/>
      <w:bookmarkStart w:id="455" w:name="_Toc309286201"/>
      <w:bookmarkStart w:id="456" w:name="_Toc308697680"/>
      <w:bookmarkStart w:id="457" w:name="_Toc309286202"/>
      <w:bookmarkStart w:id="458" w:name="_Toc308697681"/>
      <w:bookmarkStart w:id="459" w:name="_Toc309286203"/>
      <w:bookmarkStart w:id="460" w:name="_Toc308697682"/>
      <w:bookmarkStart w:id="461" w:name="_Toc309286204"/>
      <w:bookmarkStart w:id="462" w:name="_Toc308697683"/>
      <w:bookmarkStart w:id="463" w:name="_Toc309286205"/>
      <w:bookmarkStart w:id="464" w:name="_Toc308697684"/>
      <w:bookmarkStart w:id="465" w:name="_Toc309286206"/>
      <w:bookmarkStart w:id="466" w:name="_Toc308697685"/>
      <w:bookmarkStart w:id="467" w:name="_Toc309286207"/>
      <w:bookmarkStart w:id="468" w:name="_Toc97031319"/>
      <w:bookmarkStart w:id="469" w:name="_Toc97107279"/>
      <w:bookmarkStart w:id="470" w:name="_Toc272569090"/>
      <w:bookmarkStart w:id="471" w:name="_Toc272569242"/>
      <w:bookmarkStart w:id="472" w:name="_Toc272569426"/>
      <w:bookmarkStart w:id="473" w:name="_Toc272569563"/>
      <w:bookmarkStart w:id="474" w:name="_Toc272569699"/>
      <w:bookmarkStart w:id="475" w:name="_Toc272569850"/>
      <w:bookmarkStart w:id="476" w:name="_Toc272570173"/>
      <w:bookmarkStart w:id="477" w:name="_Toc272570307"/>
      <w:bookmarkStart w:id="478" w:name="_Toc272570440"/>
      <w:bookmarkStart w:id="479" w:name="_Toc272570574"/>
      <w:bookmarkStart w:id="480" w:name="_Toc272570707"/>
      <w:bookmarkStart w:id="481" w:name="_Toc272570840"/>
      <w:bookmarkStart w:id="482" w:name="_Toc272569091"/>
      <w:bookmarkStart w:id="483" w:name="_Toc38440887"/>
      <w:bookmarkStart w:id="484" w:name="_Toc38441219"/>
      <w:bookmarkStart w:id="485" w:name="_Toc38441551"/>
      <w:bookmarkStart w:id="486" w:name="_Toc38441879"/>
      <w:bookmarkStart w:id="487" w:name="_Toc38442211"/>
      <w:bookmarkStart w:id="488" w:name="_Toc38442543"/>
      <w:bookmarkStart w:id="489" w:name="_Toc38442874"/>
      <w:bookmarkStart w:id="490" w:name="_Toc38443205"/>
      <w:bookmarkStart w:id="491" w:name="_Toc38443536"/>
      <w:bookmarkStart w:id="492" w:name="_Toc38443867"/>
      <w:bookmarkStart w:id="493" w:name="_Toc272569725"/>
      <w:bookmarkStart w:id="494" w:name="_Toc272569876"/>
      <w:bookmarkStart w:id="495" w:name="_Toc272569117"/>
      <w:bookmarkStart w:id="496" w:name="_Toc272569269"/>
      <w:bookmarkStart w:id="497" w:name="_Toc272569453"/>
      <w:bookmarkStart w:id="498" w:name="_Toc272569590"/>
      <w:bookmarkStart w:id="499" w:name="_Toc272569726"/>
      <w:bookmarkStart w:id="500" w:name="_Toc272569877"/>
      <w:bookmarkStart w:id="501" w:name="_Toc272569118"/>
      <w:bookmarkStart w:id="502" w:name="_Toc272569270"/>
      <w:bookmarkStart w:id="503" w:name="_Toc272569454"/>
      <w:bookmarkStart w:id="504" w:name="_Toc272569591"/>
      <w:bookmarkStart w:id="505" w:name="_Toc272569727"/>
      <w:bookmarkStart w:id="506" w:name="_Toc272569878"/>
      <w:bookmarkStart w:id="507" w:name="_Toc308697714"/>
      <w:bookmarkStart w:id="508" w:name="_Toc309286236"/>
      <w:bookmarkStart w:id="509" w:name="_Hlt133147570"/>
      <w:bookmarkStart w:id="510" w:name="_Hlt133151691"/>
      <w:bookmarkStart w:id="511" w:name="_Toc308697716"/>
      <w:bookmarkStart w:id="512" w:name="_Toc309286238"/>
      <w:bookmarkStart w:id="513" w:name="_Toc308697717"/>
      <w:bookmarkStart w:id="514" w:name="_Toc309286239"/>
      <w:bookmarkStart w:id="515" w:name="_Toc308697718"/>
      <w:bookmarkStart w:id="516" w:name="_Toc309286240"/>
      <w:bookmarkStart w:id="517" w:name="_Toc308697719"/>
      <w:bookmarkStart w:id="518" w:name="_Toc309286241"/>
      <w:bookmarkStart w:id="519" w:name="_Toc308697720"/>
      <w:bookmarkStart w:id="520" w:name="_Toc309286242"/>
      <w:bookmarkStart w:id="521" w:name="_Toc308697721"/>
      <w:bookmarkStart w:id="522" w:name="_Toc309286243"/>
      <w:bookmarkStart w:id="523" w:name="_Toc308697722"/>
      <w:bookmarkStart w:id="524" w:name="_Toc309286244"/>
      <w:bookmarkStart w:id="525" w:name="_Toc308697723"/>
      <w:bookmarkStart w:id="526" w:name="_Toc309286245"/>
      <w:bookmarkStart w:id="527" w:name="_Toc38438275"/>
      <w:bookmarkStart w:id="528" w:name="_Toc38438612"/>
      <w:bookmarkStart w:id="529" w:name="_Toc38438949"/>
      <w:bookmarkStart w:id="530" w:name="_Toc38439286"/>
      <w:bookmarkStart w:id="531" w:name="_Toc38439623"/>
      <w:bookmarkStart w:id="532" w:name="_Toc38439960"/>
      <w:bookmarkStart w:id="533" w:name="_Toc38440297"/>
      <w:bookmarkStart w:id="534" w:name="_Toc38440630"/>
      <w:bookmarkStart w:id="535" w:name="_Toc38440829"/>
      <w:bookmarkStart w:id="536" w:name="_Toc38441161"/>
      <w:bookmarkStart w:id="537" w:name="_Toc38441493"/>
      <w:bookmarkStart w:id="538" w:name="_Toc38441821"/>
      <w:bookmarkStart w:id="539" w:name="_Toc38442153"/>
      <w:bookmarkStart w:id="540" w:name="_Toc38442485"/>
      <w:bookmarkStart w:id="541" w:name="_Toc38442816"/>
      <w:bookmarkStart w:id="542" w:name="_Toc38443147"/>
      <w:bookmarkStart w:id="543" w:name="_Toc38443478"/>
      <w:bookmarkStart w:id="544" w:name="_Toc38443809"/>
      <w:bookmarkStart w:id="545" w:name="_Toc38438277"/>
      <w:bookmarkStart w:id="546" w:name="_Toc38438614"/>
      <w:bookmarkStart w:id="547" w:name="_Toc38438951"/>
      <w:bookmarkStart w:id="548" w:name="_Toc38439288"/>
      <w:bookmarkStart w:id="549" w:name="_Toc38439625"/>
      <w:bookmarkStart w:id="550" w:name="_Toc38439962"/>
      <w:bookmarkStart w:id="551" w:name="_Toc38440299"/>
      <w:bookmarkStart w:id="552" w:name="_Toc38440632"/>
      <w:bookmarkStart w:id="553" w:name="_Toc38440831"/>
      <w:bookmarkStart w:id="554" w:name="_Toc38441163"/>
      <w:bookmarkStart w:id="555" w:name="_Toc38441495"/>
      <w:bookmarkStart w:id="556" w:name="_Toc38441823"/>
      <w:bookmarkStart w:id="557" w:name="_Toc38442155"/>
      <w:bookmarkStart w:id="558" w:name="_Toc38442487"/>
      <w:bookmarkStart w:id="559" w:name="_Toc38442818"/>
      <w:bookmarkStart w:id="560" w:name="_Toc38443149"/>
      <w:bookmarkStart w:id="561" w:name="_Toc38443480"/>
      <w:bookmarkStart w:id="562" w:name="_Toc38443811"/>
      <w:bookmarkStart w:id="563" w:name="_Toc38438278"/>
      <w:bookmarkStart w:id="564" w:name="_Toc38438615"/>
      <w:bookmarkStart w:id="565" w:name="_Toc38438952"/>
      <w:bookmarkStart w:id="566" w:name="_Toc38439289"/>
      <w:bookmarkStart w:id="567" w:name="_Toc38439626"/>
      <w:bookmarkStart w:id="568" w:name="_Toc38439963"/>
      <w:bookmarkStart w:id="569" w:name="_Toc38440300"/>
      <w:bookmarkStart w:id="570" w:name="_Toc38440633"/>
      <w:bookmarkStart w:id="571" w:name="_Toc38440832"/>
      <w:bookmarkStart w:id="572" w:name="_Toc38441164"/>
      <w:bookmarkStart w:id="573" w:name="_Toc38441496"/>
      <w:bookmarkStart w:id="574" w:name="_Toc38441824"/>
      <w:bookmarkStart w:id="575" w:name="_Toc38442156"/>
      <w:bookmarkStart w:id="576" w:name="_Toc38442488"/>
      <w:bookmarkStart w:id="577" w:name="_Toc38442819"/>
      <w:bookmarkStart w:id="578" w:name="_Toc38443150"/>
      <w:bookmarkStart w:id="579" w:name="_Toc38443481"/>
      <w:bookmarkStart w:id="580" w:name="_Toc38443812"/>
      <w:bookmarkStart w:id="581" w:name="_Toc38438279"/>
      <w:bookmarkStart w:id="582" w:name="_Toc38438616"/>
      <w:bookmarkStart w:id="583" w:name="_Toc38438953"/>
      <w:bookmarkStart w:id="584" w:name="_Toc38439290"/>
      <w:bookmarkStart w:id="585" w:name="_Toc38439627"/>
      <w:bookmarkStart w:id="586" w:name="_Toc38439964"/>
      <w:bookmarkStart w:id="587" w:name="_Toc38440301"/>
      <w:bookmarkStart w:id="588" w:name="_Toc38440634"/>
      <w:bookmarkStart w:id="589" w:name="_Toc38440833"/>
      <w:bookmarkStart w:id="590" w:name="_Toc38441165"/>
      <w:bookmarkStart w:id="591" w:name="_Toc38441497"/>
      <w:bookmarkStart w:id="592" w:name="_Toc38441825"/>
      <w:bookmarkStart w:id="593" w:name="_Toc38442157"/>
      <w:bookmarkStart w:id="594" w:name="_Toc38442489"/>
      <w:bookmarkStart w:id="595" w:name="_Toc38442820"/>
      <w:bookmarkStart w:id="596" w:name="_Toc38438674"/>
      <w:bookmarkStart w:id="597" w:name="_Toc38439011"/>
      <w:bookmarkStart w:id="598" w:name="_Toc38439348"/>
      <w:bookmarkStart w:id="599" w:name="_Toc38439685"/>
      <w:bookmarkStart w:id="600" w:name="_Toc38440022"/>
      <w:bookmarkStart w:id="601" w:name="_Toc38440359"/>
      <w:bookmarkStart w:id="602" w:name="_Toc38440891"/>
      <w:bookmarkStart w:id="603" w:name="_Toc38441223"/>
      <w:bookmarkStart w:id="604" w:name="_Toc38441555"/>
      <w:bookmarkStart w:id="605" w:name="_Toc38441883"/>
      <w:bookmarkStart w:id="606" w:name="_Toc38442215"/>
      <w:bookmarkStart w:id="607" w:name="_Toc38442547"/>
      <w:bookmarkStart w:id="608" w:name="_Toc38442878"/>
      <w:bookmarkStart w:id="609" w:name="_Toc38443209"/>
      <w:bookmarkStart w:id="610" w:name="_Toc38443540"/>
      <w:bookmarkStart w:id="611" w:name="_Toc38443871"/>
      <w:bookmarkStart w:id="612" w:name="_Toc38438338"/>
      <w:bookmarkStart w:id="613" w:name="_Toc38438675"/>
      <w:bookmarkStart w:id="614" w:name="_Toc38439012"/>
      <w:bookmarkStart w:id="615" w:name="_Toc38439349"/>
      <w:bookmarkStart w:id="616" w:name="_Toc38439686"/>
      <w:bookmarkStart w:id="617" w:name="_Toc38440023"/>
      <w:bookmarkStart w:id="618" w:name="_Toc38440360"/>
      <w:bookmarkStart w:id="619" w:name="_Toc38440892"/>
      <w:bookmarkStart w:id="620" w:name="_Toc38441224"/>
      <w:bookmarkStart w:id="621" w:name="_Toc38441556"/>
      <w:bookmarkStart w:id="622" w:name="_Toc38441884"/>
      <w:bookmarkStart w:id="623" w:name="_Toc38442216"/>
      <w:bookmarkStart w:id="624" w:name="_Toc38442548"/>
      <w:bookmarkStart w:id="625" w:name="_Toc38442879"/>
      <w:bookmarkStart w:id="626" w:name="_Toc38443210"/>
      <w:bookmarkStart w:id="627" w:name="_Toc38443541"/>
      <w:bookmarkStart w:id="628" w:name="_Toc38443872"/>
      <w:bookmarkStart w:id="629" w:name="_Toc38438339"/>
      <w:bookmarkStart w:id="630" w:name="_Toc38438676"/>
      <w:bookmarkStart w:id="631" w:name="_Toc38439013"/>
      <w:bookmarkStart w:id="632" w:name="_Toc38439350"/>
      <w:bookmarkStart w:id="633" w:name="_Toc38439687"/>
      <w:bookmarkStart w:id="634" w:name="_Toc38440024"/>
      <w:bookmarkStart w:id="635" w:name="_Toc38440361"/>
      <w:bookmarkStart w:id="636" w:name="_Toc38440893"/>
      <w:bookmarkStart w:id="637" w:name="_Toc38441225"/>
      <w:bookmarkStart w:id="638" w:name="_Toc38441557"/>
      <w:bookmarkStart w:id="639" w:name="_Toc38441885"/>
      <w:bookmarkStart w:id="640" w:name="_Toc38442217"/>
      <w:bookmarkStart w:id="641" w:name="_Toc38442549"/>
      <w:bookmarkStart w:id="642" w:name="_Toc38442880"/>
      <w:bookmarkStart w:id="643" w:name="_Toc38443211"/>
      <w:bookmarkStart w:id="644" w:name="_Toc38443542"/>
      <w:bookmarkStart w:id="645" w:name="_Toc38443873"/>
      <w:bookmarkStart w:id="646" w:name="_Toc38438340"/>
      <w:bookmarkStart w:id="647" w:name="_Toc38439970"/>
      <w:bookmarkStart w:id="648" w:name="_Toc38440307"/>
      <w:bookmarkStart w:id="649" w:name="_Toc38440640"/>
      <w:bookmarkStart w:id="650" w:name="_Toc38440839"/>
      <w:bookmarkStart w:id="651" w:name="_Toc38441171"/>
      <w:bookmarkStart w:id="652" w:name="_Toc38441503"/>
      <w:bookmarkStart w:id="653" w:name="_Toc38441831"/>
      <w:bookmarkStart w:id="654" w:name="_Toc38442163"/>
      <w:bookmarkStart w:id="655" w:name="_Toc38442495"/>
      <w:bookmarkStart w:id="656" w:name="_Toc38442826"/>
      <w:bookmarkStart w:id="657" w:name="_Toc38443157"/>
      <w:bookmarkStart w:id="658" w:name="_Toc38443488"/>
      <w:bookmarkStart w:id="659" w:name="_Toc38443819"/>
      <w:bookmarkStart w:id="660" w:name="_Toc38438286"/>
      <w:bookmarkStart w:id="661" w:name="_Toc38438623"/>
      <w:bookmarkStart w:id="662" w:name="_Toc38438960"/>
      <w:bookmarkStart w:id="663" w:name="_Toc38439297"/>
      <w:bookmarkStart w:id="664" w:name="_Toc38439634"/>
      <w:bookmarkStart w:id="665" w:name="_Toc38439971"/>
      <w:bookmarkStart w:id="666" w:name="_Toc38440308"/>
      <w:bookmarkStart w:id="667" w:name="_Toc38440641"/>
      <w:bookmarkStart w:id="668" w:name="_Toc38440840"/>
      <w:bookmarkStart w:id="669" w:name="_Toc38441172"/>
      <w:bookmarkStart w:id="670" w:name="_Toc38441504"/>
      <w:bookmarkStart w:id="671" w:name="_Toc38441832"/>
      <w:bookmarkStart w:id="672" w:name="_Toc38442164"/>
      <w:bookmarkStart w:id="673" w:name="_Toc38442496"/>
      <w:bookmarkStart w:id="674" w:name="_Toc38442827"/>
      <w:bookmarkStart w:id="675" w:name="_Toc38443158"/>
      <w:bookmarkStart w:id="676" w:name="_Toc38443489"/>
      <w:bookmarkStart w:id="677" w:name="_Toc38443820"/>
      <w:bookmarkStart w:id="678" w:name="_Toc38438287"/>
      <w:bookmarkStart w:id="679" w:name="_Toc38438624"/>
      <w:bookmarkStart w:id="680" w:name="_Toc38438961"/>
      <w:bookmarkStart w:id="681" w:name="_Toc38439298"/>
      <w:bookmarkStart w:id="682" w:name="_Toc38439635"/>
      <w:bookmarkStart w:id="683" w:name="_Toc38439972"/>
      <w:bookmarkStart w:id="684" w:name="_Toc38440309"/>
      <w:bookmarkStart w:id="685" w:name="_Toc38440642"/>
      <w:bookmarkStart w:id="686" w:name="_Toc38440841"/>
      <w:bookmarkStart w:id="687" w:name="_Toc38441173"/>
      <w:bookmarkStart w:id="688" w:name="_Toc38441505"/>
      <w:bookmarkStart w:id="689" w:name="_Toc38441833"/>
      <w:bookmarkStart w:id="690" w:name="_Toc38442165"/>
      <w:bookmarkStart w:id="691" w:name="_Toc38442497"/>
      <w:bookmarkStart w:id="692" w:name="_Toc38442828"/>
      <w:bookmarkStart w:id="693" w:name="_Toc38443159"/>
      <w:bookmarkStart w:id="694" w:name="_Toc38443490"/>
      <w:bookmarkStart w:id="695" w:name="_Toc38443821"/>
      <w:bookmarkStart w:id="696" w:name="_Toc38438288"/>
      <w:bookmarkStart w:id="697" w:name="_Toc38438625"/>
      <w:bookmarkStart w:id="698" w:name="_Toc38438962"/>
      <w:bookmarkStart w:id="699" w:name="_Toc38439299"/>
      <w:bookmarkStart w:id="700" w:name="_Toc38439636"/>
      <w:bookmarkStart w:id="701" w:name="_Toc38439973"/>
      <w:bookmarkStart w:id="702" w:name="_Toc38440310"/>
      <w:bookmarkStart w:id="703" w:name="_Toc38440643"/>
      <w:bookmarkStart w:id="704" w:name="_Toc38440842"/>
      <w:bookmarkStart w:id="705" w:name="_Toc38441174"/>
      <w:bookmarkStart w:id="706" w:name="_Toc38441506"/>
      <w:bookmarkStart w:id="707" w:name="_Toc38441834"/>
      <w:bookmarkStart w:id="708" w:name="_Toc38442166"/>
      <w:bookmarkStart w:id="709" w:name="_Toc38442498"/>
      <w:bookmarkStart w:id="710" w:name="_Toc38442829"/>
      <w:bookmarkStart w:id="711" w:name="_Toc38443875"/>
      <w:bookmarkStart w:id="712" w:name="_Toc38438342"/>
      <w:bookmarkStart w:id="713" w:name="_Toc38438679"/>
      <w:bookmarkStart w:id="714" w:name="_Toc38439016"/>
      <w:bookmarkStart w:id="715" w:name="_Toc38439353"/>
      <w:bookmarkStart w:id="716" w:name="_Toc38439690"/>
      <w:bookmarkStart w:id="717" w:name="_Toc38440027"/>
      <w:bookmarkStart w:id="718" w:name="_Toc38440364"/>
      <w:bookmarkStart w:id="719" w:name="_Toc38440896"/>
      <w:bookmarkStart w:id="720" w:name="_Toc38441228"/>
      <w:bookmarkStart w:id="721" w:name="_Toc38441560"/>
      <w:bookmarkStart w:id="722" w:name="_Toc38441888"/>
      <w:bookmarkStart w:id="723" w:name="_Toc38442220"/>
      <w:bookmarkStart w:id="724" w:name="_Toc38442552"/>
      <w:bookmarkStart w:id="725" w:name="_Toc38442883"/>
      <w:bookmarkStart w:id="726" w:name="_Toc38443214"/>
      <w:bookmarkStart w:id="727" w:name="_Toc38443545"/>
      <w:bookmarkStart w:id="728" w:name="_Toc38443876"/>
      <w:bookmarkStart w:id="729" w:name="_Toc38438343"/>
      <w:bookmarkStart w:id="730" w:name="_Toc38438680"/>
      <w:bookmarkStart w:id="731" w:name="_Toc38439017"/>
      <w:bookmarkStart w:id="732" w:name="_Toc38439354"/>
      <w:bookmarkStart w:id="733" w:name="_Toc38439691"/>
      <w:bookmarkStart w:id="734" w:name="_Toc38440028"/>
      <w:bookmarkStart w:id="735" w:name="_Toc38440365"/>
      <w:bookmarkStart w:id="736" w:name="_Toc38440897"/>
      <w:bookmarkStart w:id="737" w:name="_Toc38441229"/>
      <w:bookmarkStart w:id="738" w:name="_Toc38441561"/>
      <w:bookmarkStart w:id="739" w:name="_Toc38441889"/>
      <w:bookmarkStart w:id="740" w:name="_Toc38442221"/>
      <w:bookmarkStart w:id="741" w:name="_Toc38442553"/>
      <w:bookmarkStart w:id="742" w:name="_Toc38442884"/>
      <w:bookmarkStart w:id="743" w:name="_Toc38443215"/>
      <w:bookmarkStart w:id="744" w:name="_Toc38443546"/>
      <w:bookmarkStart w:id="745" w:name="_Toc38443877"/>
      <w:bookmarkStart w:id="746" w:name="_Toc272569243"/>
      <w:bookmarkStart w:id="747" w:name="_Toc272569427"/>
      <w:bookmarkStart w:id="748" w:name="_Toc272569564"/>
      <w:bookmarkStart w:id="749" w:name="_Toc272569700"/>
      <w:bookmarkStart w:id="750" w:name="_Toc272569851"/>
      <w:bookmarkStart w:id="751" w:name="_Toc272570174"/>
      <w:bookmarkStart w:id="752" w:name="_Toc272570308"/>
      <w:bookmarkStart w:id="753" w:name="_Toc272570441"/>
      <w:bookmarkStart w:id="754" w:name="_Toc272570575"/>
      <w:bookmarkStart w:id="755" w:name="_Toc272570708"/>
      <w:bookmarkStart w:id="756" w:name="_Toc272570841"/>
      <w:bookmarkStart w:id="757" w:name="_Toc272569093"/>
      <w:bookmarkStart w:id="758" w:name="_Toc272569245"/>
      <w:bookmarkStart w:id="759" w:name="_Toc272569429"/>
      <w:bookmarkStart w:id="760" w:name="_Toc272569566"/>
      <w:bookmarkStart w:id="761" w:name="_Toc272569702"/>
      <w:bookmarkStart w:id="762" w:name="_Toc272569853"/>
      <w:bookmarkStart w:id="763" w:name="_Toc272570176"/>
      <w:bookmarkStart w:id="764" w:name="_Toc272570310"/>
      <w:bookmarkStart w:id="765" w:name="_Toc272570443"/>
      <w:bookmarkStart w:id="766" w:name="_Toc272570577"/>
      <w:bookmarkStart w:id="767" w:name="_Toc272570710"/>
      <w:bookmarkStart w:id="768" w:name="_Toc272570843"/>
      <w:bookmarkStart w:id="769" w:name="_Toc272569094"/>
      <w:bookmarkStart w:id="770" w:name="_Toc272569246"/>
      <w:bookmarkStart w:id="771" w:name="_Toc272569430"/>
      <w:bookmarkStart w:id="772" w:name="_Toc272569567"/>
      <w:bookmarkStart w:id="773" w:name="_Toc272569703"/>
      <w:bookmarkStart w:id="774" w:name="_Toc272569854"/>
      <w:bookmarkStart w:id="775" w:name="_Toc272570177"/>
      <w:bookmarkStart w:id="776" w:name="_Toc272570311"/>
      <w:bookmarkStart w:id="777" w:name="_Toc272570444"/>
      <w:bookmarkStart w:id="778" w:name="_Toc272570578"/>
      <w:bookmarkStart w:id="779" w:name="_Toc272570711"/>
      <w:bookmarkStart w:id="780" w:name="_Toc272570844"/>
      <w:bookmarkStart w:id="781" w:name="_Toc272569095"/>
      <w:bookmarkStart w:id="782" w:name="_Toc272569247"/>
      <w:bookmarkStart w:id="783" w:name="_Toc272569431"/>
      <w:bookmarkStart w:id="784" w:name="_Toc272569568"/>
      <w:bookmarkStart w:id="785" w:name="_Toc272569704"/>
      <w:bookmarkStart w:id="786" w:name="_Toc272569855"/>
      <w:bookmarkStart w:id="787" w:name="_Toc272570178"/>
      <w:bookmarkStart w:id="788" w:name="_Toc272570312"/>
      <w:bookmarkStart w:id="789" w:name="_Toc272570445"/>
      <w:bookmarkStart w:id="790" w:name="_Toc272570579"/>
      <w:bookmarkStart w:id="791" w:name="_Toc272570712"/>
      <w:bookmarkStart w:id="792" w:name="_Toc272570845"/>
      <w:bookmarkStart w:id="793" w:name="_Toc272569096"/>
      <w:bookmarkStart w:id="794" w:name="_Toc272569248"/>
      <w:bookmarkStart w:id="795" w:name="_Toc272569432"/>
      <w:bookmarkStart w:id="796" w:name="_Toc272569569"/>
      <w:bookmarkStart w:id="797" w:name="_Toc272569705"/>
      <w:bookmarkStart w:id="798" w:name="_Toc272569856"/>
      <w:bookmarkStart w:id="799" w:name="_Toc272570179"/>
      <w:bookmarkStart w:id="800" w:name="_Toc272570313"/>
      <w:bookmarkStart w:id="801" w:name="_Toc272570446"/>
      <w:bookmarkStart w:id="802" w:name="_Toc272570580"/>
      <w:bookmarkStart w:id="803" w:name="_Toc272570713"/>
      <w:bookmarkStart w:id="804" w:name="_Toc272570846"/>
      <w:bookmarkStart w:id="805" w:name="_Toc272569097"/>
      <w:bookmarkStart w:id="806" w:name="_Toc272569249"/>
      <w:bookmarkStart w:id="807" w:name="_Toc272569433"/>
      <w:bookmarkStart w:id="808" w:name="_Toc272569570"/>
      <w:bookmarkStart w:id="809" w:name="_Toc272569706"/>
      <w:bookmarkStart w:id="810" w:name="_Toc272569857"/>
      <w:bookmarkStart w:id="811" w:name="_Toc272570180"/>
      <w:bookmarkStart w:id="812" w:name="_Toc272570314"/>
      <w:bookmarkStart w:id="813" w:name="_Toc272570447"/>
      <w:bookmarkStart w:id="814" w:name="_Toc272570581"/>
      <w:bookmarkStart w:id="815" w:name="_Toc272570714"/>
      <w:bookmarkStart w:id="816" w:name="_Toc272570847"/>
      <w:bookmarkStart w:id="817" w:name="_Toc272569098"/>
      <w:bookmarkStart w:id="818" w:name="_Toc272569250"/>
      <w:bookmarkStart w:id="819" w:name="_Toc272569434"/>
      <w:bookmarkStart w:id="820" w:name="_Toc272569571"/>
      <w:bookmarkStart w:id="821" w:name="_Toc272569707"/>
      <w:bookmarkStart w:id="822" w:name="_Toc272569858"/>
      <w:bookmarkStart w:id="823" w:name="_Toc272570181"/>
      <w:bookmarkStart w:id="824" w:name="_Toc272570315"/>
      <w:bookmarkStart w:id="825" w:name="_Toc272570448"/>
      <w:bookmarkStart w:id="826" w:name="_Toc272570582"/>
      <w:bookmarkStart w:id="827" w:name="_Toc272570715"/>
      <w:bookmarkStart w:id="828" w:name="_Toc272570848"/>
      <w:bookmarkStart w:id="829" w:name="_Toc272569099"/>
      <w:bookmarkStart w:id="830" w:name="_Toc272569251"/>
      <w:bookmarkStart w:id="831" w:name="_Toc272569435"/>
      <w:bookmarkStart w:id="832" w:name="_Toc272569572"/>
      <w:bookmarkStart w:id="833" w:name="_Toc272569708"/>
      <w:bookmarkStart w:id="834" w:name="_Toc272569859"/>
      <w:bookmarkStart w:id="835" w:name="_Toc272570182"/>
      <w:bookmarkStart w:id="836" w:name="_Toc272570316"/>
      <w:bookmarkStart w:id="837" w:name="_Toc272570449"/>
      <w:bookmarkStart w:id="838" w:name="_Toc272570583"/>
      <w:bookmarkStart w:id="839" w:name="_Toc272570716"/>
      <w:bookmarkStart w:id="840" w:name="_Toc272570849"/>
      <w:bookmarkStart w:id="841" w:name="_Toc272569100"/>
      <w:bookmarkStart w:id="842" w:name="_Toc272569252"/>
      <w:bookmarkStart w:id="843" w:name="_Toc272569436"/>
      <w:bookmarkStart w:id="844" w:name="_Toc272569573"/>
      <w:bookmarkStart w:id="845" w:name="_Toc272569709"/>
      <w:bookmarkStart w:id="846" w:name="_Toc272569860"/>
      <w:bookmarkStart w:id="847" w:name="_Toc272570183"/>
      <w:bookmarkStart w:id="848" w:name="_Toc272570317"/>
      <w:bookmarkStart w:id="849" w:name="_Toc272570450"/>
      <w:bookmarkStart w:id="850" w:name="_Toc272570584"/>
      <w:bookmarkStart w:id="851" w:name="_Toc272570717"/>
      <w:bookmarkStart w:id="852" w:name="_Toc272570850"/>
      <w:bookmarkStart w:id="853" w:name="_Toc272569102"/>
      <w:bookmarkStart w:id="854" w:name="_Toc272569254"/>
      <w:bookmarkStart w:id="855" w:name="_Toc272569438"/>
      <w:bookmarkStart w:id="856" w:name="_Toc272569575"/>
      <w:bookmarkStart w:id="857" w:name="_Toc272569711"/>
      <w:bookmarkStart w:id="858" w:name="_Toc272569862"/>
      <w:bookmarkStart w:id="859" w:name="_Toc272570185"/>
      <w:bookmarkStart w:id="860" w:name="_Toc272570319"/>
      <w:bookmarkStart w:id="861" w:name="_Toc272570452"/>
      <w:bookmarkStart w:id="862" w:name="_Toc272570586"/>
      <w:bookmarkStart w:id="863" w:name="_Toc272570719"/>
      <w:bookmarkStart w:id="864" w:name="_Toc272570852"/>
      <w:bookmarkStart w:id="865" w:name="_Toc272569103"/>
      <w:bookmarkStart w:id="866" w:name="_Toc272569255"/>
      <w:bookmarkStart w:id="867" w:name="_Toc272569439"/>
      <w:bookmarkStart w:id="868" w:name="_Toc272569576"/>
      <w:bookmarkStart w:id="869" w:name="_Toc272569712"/>
      <w:bookmarkStart w:id="870" w:name="_Toc272569863"/>
      <w:bookmarkStart w:id="871" w:name="_Toc272570186"/>
      <w:bookmarkStart w:id="872" w:name="_Toc272570320"/>
      <w:bookmarkStart w:id="873" w:name="_Toc272570453"/>
      <w:bookmarkStart w:id="874" w:name="_Toc272570587"/>
      <w:bookmarkStart w:id="875" w:name="_Toc272570720"/>
      <w:bookmarkStart w:id="876" w:name="_Toc272570853"/>
      <w:bookmarkStart w:id="877" w:name="_Toc272569104"/>
      <w:bookmarkStart w:id="878" w:name="_Toc272569256"/>
      <w:bookmarkStart w:id="879" w:name="_Toc272569440"/>
      <w:bookmarkStart w:id="880" w:name="_Toc272569577"/>
      <w:bookmarkStart w:id="881" w:name="_Toc272569713"/>
      <w:bookmarkStart w:id="882" w:name="_Toc272569864"/>
      <w:bookmarkStart w:id="883" w:name="_Toc272570187"/>
      <w:bookmarkStart w:id="884" w:name="_Toc272570321"/>
      <w:bookmarkStart w:id="885" w:name="_Toc272570454"/>
      <w:bookmarkStart w:id="886" w:name="_Toc272570588"/>
      <w:bookmarkStart w:id="887" w:name="_Toc272570721"/>
      <w:bookmarkStart w:id="888" w:name="_Toc272570854"/>
      <w:bookmarkStart w:id="889" w:name="_Toc272569105"/>
      <w:bookmarkStart w:id="890" w:name="_Toc272569257"/>
      <w:bookmarkStart w:id="891" w:name="_Toc272569441"/>
      <w:bookmarkStart w:id="892" w:name="_Toc272569578"/>
      <w:bookmarkStart w:id="893" w:name="_Toc272569714"/>
      <w:bookmarkStart w:id="894" w:name="_Toc272569865"/>
      <w:bookmarkStart w:id="895" w:name="_Toc272570188"/>
      <w:bookmarkStart w:id="896" w:name="_Toc272570322"/>
      <w:bookmarkStart w:id="897" w:name="_Toc272570455"/>
      <w:bookmarkStart w:id="898" w:name="_Toc272570589"/>
      <w:bookmarkStart w:id="899" w:name="_Toc272570722"/>
      <w:bookmarkStart w:id="900" w:name="_Toc272570855"/>
      <w:bookmarkStart w:id="901" w:name="_Toc272569106"/>
      <w:bookmarkStart w:id="902" w:name="_Toc272569258"/>
      <w:bookmarkStart w:id="903" w:name="_Toc272569442"/>
      <w:bookmarkStart w:id="904" w:name="_Toc272569579"/>
      <w:bookmarkStart w:id="905" w:name="_Toc272569715"/>
      <w:bookmarkStart w:id="906" w:name="_Toc272569866"/>
      <w:bookmarkStart w:id="907" w:name="_Toc272570189"/>
      <w:bookmarkStart w:id="908" w:name="_Toc272570323"/>
      <w:bookmarkStart w:id="909" w:name="_Toc272570456"/>
      <w:bookmarkStart w:id="910" w:name="_Toc272570590"/>
      <w:bookmarkStart w:id="911" w:name="_Toc272570723"/>
      <w:bookmarkStart w:id="912" w:name="_Toc272570856"/>
      <w:bookmarkStart w:id="913" w:name="_Toc272569107"/>
      <w:bookmarkStart w:id="914" w:name="_Toc272569259"/>
      <w:bookmarkStart w:id="915" w:name="_Toc272569443"/>
      <w:bookmarkStart w:id="916" w:name="_Toc272569580"/>
      <w:bookmarkStart w:id="917" w:name="_Toc272569716"/>
      <w:bookmarkStart w:id="918" w:name="_Toc272569867"/>
      <w:bookmarkStart w:id="919" w:name="_Toc272570190"/>
      <w:bookmarkStart w:id="920" w:name="_Toc272570324"/>
      <w:bookmarkStart w:id="921" w:name="_Toc272570457"/>
      <w:bookmarkStart w:id="922" w:name="_Toc272570591"/>
      <w:bookmarkStart w:id="923" w:name="_Toc272570724"/>
      <w:bookmarkStart w:id="924" w:name="_Toc272570857"/>
      <w:bookmarkStart w:id="925" w:name="_Toc272569108"/>
      <w:bookmarkStart w:id="926" w:name="_Toc272569260"/>
      <w:bookmarkStart w:id="927" w:name="_Toc272569444"/>
      <w:bookmarkStart w:id="928" w:name="_Toc272569581"/>
      <w:bookmarkStart w:id="929" w:name="_Toc272569717"/>
      <w:bookmarkStart w:id="930" w:name="_Toc272569868"/>
      <w:bookmarkStart w:id="931" w:name="_Toc272570191"/>
      <w:bookmarkStart w:id="932" w:name="_Toc272570325"/>
      <w:bookmarkStart w:id="933" w:name="_Toc272570458"/>
      <w:bookmarkStart w:id="934" w:name="_Toc272570592"/>
      <w:bookmarkStart w:id="935" w:name="_Toc272570725"/>
      <w:bookmarkStart w:id="936" w:name="_Toc272570858"/>
      <w:bookmarkStart w:id="937" w:name="_Toc272569109"/>
      <w:bookmarkStart w:id="938" w:name="_Toc272569261"/>
      <w:bookmarkStart w:id="939" w:name="_Toc272569445"/>
      <w:bookmarkStart w:id="940" w:name="_Toc272569582"/>
      <w:bookmarkStart w:id="941" w:name="_Toc272569718"/>
      <w:bookmarkStart w:id="942" w:name="_Toc272569869"/>
      <w:bookmarkStart w:id="943" w:name="_Toc272570192"/>
      <w:bookmarkStart w:id="944" w:name="_Toc272570326"/>
      <w:bookmarkStart w:id="945" w:name="_Toc272570459"/>
      <w:bookmarkStart w:id="946" w:name="_Toc272570593"/>
      <w:bookmarkStart w:id="947" w:name="_Toc272570726"/>
      <w:bookmarkStart w:id="948" w:name="_Toc272570859"/>
      <w:bookmarkStart w:id="949" w:name="_Toc308697698"/>
      <w:bookmarkStart w:id="950" w:name="_Toc309286220"/>
      <w:bookmarkStart w:id="951" w:name="_Toc308697699"/>
      <w:bookmarkStart w:id="952" w:name="_Toc309286221"/>
      <w:bookmarkStart w:id="953" w:name="_Toc308697700"/>
      <w:bookmarkStart w:id="954" w:name="_Toc309286222"/>
      <w:bookmarkStart w:id="955" w:name="_Toc308697701"/>
      <w:bookmarkStart w:id="956" w:name="_Toc309286223"/>
      <w:bookmarkStart w:id="957" w:name="_Toc308697702"/>
      <w:bookmarkStart w:id="958" w:name="_Toc309286224"/>
      <w:bookmarkStart w:id="959" w:name="_Toc308697703"/>
      <w:bookmarkStart w:id="960" w:name="_Toc309286225"/>
      <w:bookmarkStart w:id="961" w:name="_Toc308697704"/>
      <w:bookmarkStart w:id="962" w:name="_Toc309286226"/>
      <w:bookmarkStart w:id="963" w:name="_Toc308697705"/>
      <w:bookmarkStart w:id="964" w:name="_Toc309286227"/>
      <w:bookmarkStart w:id="965" w:name="_Toc308697706"/>
      <w:bookmarkStart w:id="966" w:name="_Toc309286228"/>
      <w:bookmarkStart w:id="967" w:name="_Toc296440221"/>
      <w:bookmarkStart w:id="968" w:name="_Toc272569113"/>
      <w:bookmarkStart w:id="969" w:name="_Toc272569265"/>
      <w:bookmarkStart w:id="970" w:name="_Toc272569449"/>
      <w:bookmarkStart w:id="971" w:name="_Toc272569586"/>
      <w:bookmarkStart w:id="972" w:name="_Toc272569722"/>
      <w:bookmarkStart w:id="973" w:name="_Toc272569873"/>
      <w:bookmarkStart w:id="974" w:name="_Toc272569114"/>
      <w:bookmarkStart w:id="975" w:name="_Toc272569266"/>
      <w:bookmarkStart w:id="976" w:name="_Toc272569450"/>
      <w:bookmarkStart w:id="977" w:name="_Toc272569587"/>
      <w:bookmarkStart w:id="978" w:name="_Toc272569723"/>
      <w:bookmarkStart w:id="979" w:name="_Toc272569874"/>
      <w:bookmarkStart w:id="980" w:name="_Toc272569115"/>
      <w:bookmarkStart w:id="981" w:name="_Toc272569267"/>
      <w:bookmarkStart w:id="982" w:name="_Toc272569451"/>
      <w:bookmarkStart w:id="983" w:name="_Toc272569588"/>
      <w:bookmarkStart w:id="984" w:name="_Toc272569724"/>
      <w:bookmarkStart w:id="985" w:name="_Toc272569875"/>
      <w:bookmarkStart w:id="986" w:name="_Toc272569116"/>
      <w:bookmarkStart w:id="987" w:name="_Toc272569268"/>
      <w:bookmarkStart w:id="988" w:name="_Toc272569452"/>
      <w:bookmarkStart w:id="989" w:name="_Toc272569589"/>
      <w:bookmarkStart w:id="990" w:name="_Toc38441217"/>
      <w:bookmarkStart w:id="991" w:name="_Toc38441549"/>
      <w:bookmarkStart w:id="992" w:name="_Toc38441877"/>
      <w:bookmarkStart w:id="993" w:name="_Toc38442209"/>
      <w:bookmarkStart w:id="994" w:name="_Toc38442541"/>
      <w:bookmarkStart w:id="995" w:name="_Toc38442872"/>
      <w:bookmarkStart w:id="996" w:name="_Toc38443203"/>
      <w:bookmarkStart w:id="997" w:name="_Toc38443534"/>
      <w:bookmarkStart w:id="998" w:name="_Toc38443865"/>
      <w:bookmarkStart w:id="999" w:name="_Toc38438332"/>
      <w:bookmarkStart w:id="1000" w:name="_Toc38438669"/>
      <w:bookmarkStart w:id="1001" w:name="_Toc38439006"/>
      <w:bookmarkStart w:id="1002" w:name="_Toc38439343"/>
      <w:bookmarkStart w:id="1003" w:name="_Toc38439680"/>
      <w:bookmarkStart w:id="1004" w:name="_Toc38440017"/>
      <w:bookmarkStart w:id="1005" w:name="_Toc38440354"/>
      <w:bookmarkStart w:id="1006" w:name="_Toc38440886"/>
      <w:bookmarkStart w:id="1007" w:name="_Toc38441218"/>
      <w:bookmarkStart w:id="1008" w:name="_Toc38441550"/>
      <w:bookmarkStart w:id="1009" w:name="_Toc38441878"/>
      <w:bookmarkStart w:id="1010" w:name="_Toc38442210"/>
      <w:bookmarkStart w:id="1011" w:name="_Toc38442542"/>
      <w:bookmarkStart w:id="1012" w:name="_Toc38442873"/>
      <w:bookmarkStart w:id="1013" w:name="_Toc38443204"/>
      <w:bookmarkStart w:id="1014" w:name="_Toc38443535"/>
      <w:bookmarkStart w:id="1015" w:name="_Toc38443866"/>
      <w:bookmarkStart w:id="1016" w:name="_Toc38438333"/>
      <w:bookmarkStart w:id="1017" w:name="_Toc38438670"/>
      <w:bookmarkStart w:id="1018" w:name="_Toc38439007"/>
      <w:bookmarkStart w:id="1019" w:name="_Toc38439344"/>
      <w:bookmarkStart w:id="1020" w:name="_Toc38439681"/>
      <w:bookmarkStart w:id="1021" w:name="_Toc38440018"/>
      <w:bookmarkStart w:id="1022" w:name="_Toc38440355"/>
      <w:bookmarkStart w:id="1023" w:name="_Toc38443151"/>
      <w:bookmarkStart w:id="1024" w:name="_Toc38443482"/>
      <w:bookmarkStart w:id="1025" w:name="_Toc38443813"/>
      <w:bookmarkStart w:id="1026" w:name="_Toc38438280"/>
      <w:bookmarkStart w:id="1027" w:name="_Toc38438617"/>
      <w:bookmarkStart w:id="1028" w:name="_Toc38438954"/>
      <w:bookmarkStart w:id="1029" w:name="_Toc38439291"/>
      <w:bookmarkStart w:id="1030" w:name="_Toc38439628"/>
      <w:bookmarkStart w:id="1031" w:name="_Toc38439965"/>
      <w:bookmarkStart w:id="1032" w:name="_Toc38440302"/>
      <w:bookmarkStart w:id="1033" w:name="_Toc38440635"/>
      <w:bookmarkStart w:id="1034" w:name="_Toc38440834"/>
      <w:bookmarkStart w:id="1035" w:name="_Toc38441166"/>
      <w:bookmarkStart w:id="1036" w:name="_Toc38441498"/>
      <w:bookmarkStart w:id="1037" w:name="_Toc38441826"/>
      <w:bookmarkStart w:id="1038" w:name="_Toc38442158"/>
      <w:bookmarkStart w:id="1039" w:name="_Toc38442490"/>
      <w:bookmarkStart w:id="1040" w:name="_Toc38442821"/>
      <w:bookmarkStart w:id="1041" w:name="_Toc38443152"/>
      <w:bookmarkStart w:id="1042" w:name="_Toc38443483"/>
      <w:bookmarkStart w:id="1043" w:name="_Toc38443814"/>
      <w:bookmarkStart w:id="1044" w:name="_Toc38438281"/>
      <w:bookmarkStart w:id="1045" w:name="_Toc38438618"/>
      <w:bookmarkStart w:id="1046" w:name="_Toc38438955"/>
      <w:bookmarkStart w:id="1047" w:name="_Toc38439292"/>
      <w:bookmarkStart w:id="1048" w:name="_Toc38439629"/>
      <w:bookmarkStart w:id="1049" w:name="_Toc38439966"/>
      <w:bookmarkStart w:id="1050" w:name="_Toc38440303"/>
      <w:bookmarkStart w:id="1051" w:name="_Toc38440636"/>
      <w:bookmarkStart w:id="1052" w:name="_Toc38440835"/>
      <w:bookmarkStart w:id="1053" w:name="_Toc38441167"/>
      <w:bookmarkStart w:id="1054" w:name="_Toc38441499"/>
      <w:bookmarkStart w:id="1055" w:name="_Toc38441827"/>
      <w:bookmarkStart w:id="1056" w:name="_Toc38442159"/>
      <w:bookmarkStart w:id="1057" w:name="_Toc38442491"/>
      <w:bookmarkStart w:id="1058" w:name="_Toc38442822"/>
      <w:bookmarkStart w:id="1059" w:name="_Toc38443153"/>
      <w:bookmarkStart w:id="1060" w:name="_Toc38443484"/>
      <w:bookmarkStart w:id="1061" w:name="_Toc38443815"/>
      <w:bookmarkStart w:id="1062" w:name="_Toc38438282"/>
      <w:bookmarkStart w:id="1063" w:name="_Toc38438619"/>
      <w:bookmarkStart w:id="1064" w:name="_Toc38438956"/>
      <w:bookmarkStart w:id="1065" w:name="_Toc38439293"/>
      <w:bookmarkStart w:id="1066" w:name="_Toc38439630"/>
      <w:bookmarkStart w:id="1067" w:name="_Toc38439967"/>
      <w:bookmarkStart w:id="1068" w:name="_Toc38440304"/>
      <w:bookmarkStart w:id="1069" w:name="_Toc38440637"/>
      <w:bookmarkStart w:id="1070" w:name="_Toc38440836"/>
      <w:bookmarkStart w:id="1071" w:name="_Toc38441168"/>
      <w:bookmarkStart w:id="1072" w:name="_Toc38441500"/>
      <w:bookmarkStart w:id="1073" w:name="_Toc38441828"/>
      <w:bookmarkStart w:id="1074" w:name="_Toc38442160"/>
      <w:bookmarkStart w:id="1075" w:name="_Toc38442492"/>
      <w:bookmarkStart w:id="1076" w:name="_Toc38442823"/>
      <w:bookmarkStart w:id="1077" w:name="_Toc38443154"/>
      <w:bookmarkStart w:id="1078" w:name="_Toc38443485"/>
      <w:bookmarkStart w:id="1079" w:name="_Toc38443816"/>
      <w:bookmarkStart w:id="1080" w:name="_Toc38438283"/>
      <w:bookmarkStart w:id="1081" w:name="_Toc38438620"/>
      <w:bookmarkStart w:id="1082" w:name="_Toc38438957"/>
      <w:bookmarkStart w:id="1083" w:name="_Toc38439294"/>
      <w:bookmarkStart w:id="1084" w:name="_Toc38439631"/>
      <w:bookmarkStart w:id="1085" w:name="_Toc38439968"/>
      <w:bookmarkStart w:id="1086" w:name="_Toc38440305"/>
      <w:bookmarkStart w:id="1087" w:name="_Toc38440638"/>
      <w:bookmarkStart w:id="1088" w:name="_Toc38440837"/>
      <w:bookmarkStart w:id="1089" w:name="_Toc38441169"/>
      <w:bookmarkStart w:id="1090" w:name="_Toc38441501"/>
      <w:bookmarkStart w:id="1091" w:name="_Toc38441829"/>
      <w:bookmarkStart w:id="1092" w:name="_Toc38442161"/>
      <w:bookmarkStart w:id="1093" w:name="_Toc38442493"/>
      <w:bookmarkStart w:id="1094" w:name="_Toc38442824"/>
      <w:bookmarkStart w:id="1095" w:name="_Toc38443155"/>
      <w:bookmarkStart w:id="1096" w:name="_Toc38443486"/>
      <w:bookmarkStart w:id="1097" w:name="_Toc38443817"/>
      <w:bookmarkStart w:id="1098" w:name="_Toc38438284"/>
      <w:bookmarkStart w:id="1099" w:name="_Toc38438621"/>
      <w:bookmarkStart w:id="1100" w:name="_Toc38438958"/>
      <w:bookmarkStart w:id="1101" w:name="_Toc38439295"/>
      <w:bookmarkStart w:id="1102" w:name="_Toc38439632"/>
      <w:bookmarkStart w:id="1103" w:name="_Toc38439969"/>
      <w:bookmarkStart w:id="1104" w:name="_Toc38440306"/>
      <w:bookmarkStart w:id="1105" w:name="_Toc38440639"/>
      <w:bookmarkStart w:id="1106" w:name="_Toc38440838"/>
      <w:bookmarkStart w:id="1107" w:name="_Toc38441170"/>
      <w:bookmarkStart w:id="1108" w:name="_Toc38441502"/>
      <w:bookmarkStart w:id="1109" w:name="_Toc38441830"/>
      <w:bookmarkStart w:id="1110" w:name="_Toc38442162"/>
      <w:bookmarkStart w:id="1111" w:name="_Toc38442494"/>
      <w:bookmarkStart w:id="1112" w:name="_Toc38442825"/>
      <w:bookmarkStart w:id="1113" w:name="_Toc38443156"/>
      <w:bookmarkStart w:id="1114" w:name="_Toc38443487"/>
      <w:bookmarkStart w:id="1115" w:name="_Toc38443818"/>
      <w:bookmarkStart w:id="1116" w:name="_Toc38438285"/>
      <w:bookmarkStart w:id="1117" w:name="_Toc38438622"/>
      <w:bookmarkStart w:id="1118" w:name="_Toc38438959"/>
      <w:bookmarkStart w:id="1119" w:name="_Toc38439296"/>
      <w:bookmarkStart w:id="1120" w:name="_Toc38439633"/>
      <w:bookmarkStart w:id="1121" w:name="_Toc38443160"/>
      <w:bookmarkStart w:id="1122" w:name="_Toc38443491"/>
      <w:bookmarkStart w:id="1123" w:name="_Toc38443822"/>
      <w:bookmarkStart w:id="1124" w:name="_Toc38438289"/>
      <w:bookmarkStart w:id="1125" w:name="_Toc38438626"/>
      <w:bookmarkStart w:id="1126" w:name="_Toc38438963"/>
      <w:bookmarkStart w:id="1127" w:name="_Toc38439300"/>
      <w:bookmarkStart w:id="1128" w:name="_Toc38439637"/>
      <w:bookmarkStart w:id="1129" w:name="_Toc38439974"/>
      <w:bookmarkStart w:id="1130" w:name="_Toc38440311"/>
      <w:bookmarkStart w:id="1131" w:name="_Toc38440644"/>
      <w:bookmarkStart w:id="1132" w:name="_Toc38440843"/>
      <w:bookmarkStart w:id="1133" w:name="_Toc38441175"/>
      <w:bookmarkStart w:id="1134" w:name="_Toc38441507"/>
      <w:bookmarkStart w:id="1135" w:name="_Toc38441835"/>
      <w:bookmarkStart w:id="1136" w:name="_Toc38442167"/>
      <w:bookmarkStart w:id="1137" w:name="_Toc38442499"/>
      <w:bookmarkStart w:id="1138" w:name="_Toc38442830"/>
      <w:bookmarkStart w:id="1139" w:name="_Toc38443161"/>
      <w:bookmarkStart w:id="1140" w:name="_Toc38443492"/>
      <w:bookmarkStart w:id="1141" w:name="_Toc38443823"/>
      <w:bookmarkStart w:id="1142" w:name="_Toc38438290"/>
      <w:bookmarkStart w:id="1143" w:name="_Toc38438627"/>
      <w:bookmarkStart w:id="1144" w:name="_Toc38438964"/>
      <w:bookmarkStart w:id="1145" w:name="_Toc38439301"/>
      <w:bookmarkStart w:id="1146" w:name="_Toc38439638"/>
      <w:bookmarkStart w:id="1147" w:name="_Toc38439975"/>
      <w:bookmarkStart w:id="1148" w:name="_Toc38440312"/>
      <w:bookmarkStart w:id="1149" w:name="_Toc38440645"/>
      <w:bookmarkStart w:id="1150" w:name="_Toc38440844"/>
      <w:bookmarkStart w:id="1151" w:name="_Toc38441176"/>
      <w:bookmarkStart w:id="1152" w:name="_Toc38441508"/>
      <w:bookmarkStart w:id="1153" w:name="_Toc38441836"/>
      <w:bookmarkStart w:id="1154" w:name="_Toc38442168"/>
      <w:bookmarkStart w:id="1155" w:name="_Toc38442500"/>
      <w:bookmarkStart w:id="1156" w:name="_Toc38442831"/>
      <w:bookmarkStart w:id="1157" w:name="_Toc38443162"/>
      <w:bookmarkStart w:id="1158" w:name="_Toc38443493"/>
      <w:bookmarkStart w:id="1159" w:name="_Toc38443824"/>
      <w:bookmarkStart w:id="1160" w:name="_Toc38438291"/>
      <w:bookmarkStart w:id="1161" w:name="_Toc38438628"/>
      <w:bookmarkStart w:id="1162" w:name="_Toc38438965"/>
      <w:bookmarkStart w:id="1163" w:name="_Toc38439302"/>
      <w:bookmarkStart w:id="1164" w:name="_Toc38439639"/>
      <w:bookmarkStart w:id="1165" w:name="_Toc38439976"/>
      <w:bookmarkStart w:id="1166" w:name="_Toc38440313"/>
      <w:bookmarkStart w:id="1167" w:name="_Toc38440646"/>
      <w:bookmarkStart w:id="1168" w:name="_Toc38440845"/>
      <w:bookmarkStart w:id="1169" w:name="_Toc38441177"/>
      <w:bookmarkStart w:id="1170" w:name="_Toc38441509"/>
      <w:bookmarkStart w:id="1171" w:name="_Toc38441837"/>
      <w:bookmarkStart w:id="1172" w:name="_Toc38442169"/>
      <w:bookmarkStart w:id="1173" w:name="_Toc38442501"/>
      <w:bookmarkStart w:id="1174" w:name="_Toc38442832"/>
      <w:bookmarkStart w:id="1175" w:name="_Toc38443163"/>
      <w:bookmarkStart w:id="1176" w:name="_Toc38443494"/>
      <w:bookmarkStart w:id="1177" w:name="_Toc38443825"/>
      <w:bookmarkStart w:id="1178" w:name="_Toc38438292"/>
      <w:bookmarkStart w:id="1179" w:name="_Toc38438629"/>
      <w:bookmarkStart w:id="1180" w:name="_Toc38438966"/>
      <w:bookmarkStart w:id="1181" w:name="_Toc38439303"/>
      <w:bookmarkStart w:id="1182" w:name="_Toc38439640"/>
      <w:bookmarkStart w:id="1183" w:name="_Toc38439977"/>
      <w:bookmarkStart w:id="1184" w:name="_Toc38440314"/>
      <w:bookmarkStart w:id="1185" w:name="_Toc38440647"/>
      <w:bookmarkStart w:id="1186" w:name="_Toc38440846"/>
      <w:bookmarkStart w:id="1187" w:name="_Toc38441178"/>
      <w:bookmarkStart w:id="1188" w:name="_Toc38441510"/>
      <w:bookmarkStart w:id="1189" w:name="_Toc38441838"/>
      <w:bookmarkStart w:id="1190" w:name="_Toc38442170"/>
      <w:bookmarkStart w:id="1191" w:name="_Toc38442502"/>
      <w:bookmarkStart w:id="1192" w:name="_Toc38442833"/>
      <w:bookmarkStart w:id="1193" w:name="_Toc38443164"/>
      <w:bookmarkStart w:id="1194" w:name="_Toc38443495"/>
      <w:bookmarkStart w:id="1195" w:name="_Toc38443826"/>
      <w:bookmarkStart w:id="1196" w:name="_Toc38438293"/>
      <w:bookmarkStart w:id="1197" w:name="_Toc38438630"/>
      <w:bookmarkStart w:id="1198" w:name="_Toc38438967"/>
      <w:bookmarkStart w:id="1199" w:name="_Toc38439304"/>
      <w:bookmarkStart w:id="1200" w:name="_Toc38439641"/>
      <w:bookmarkStart w:id="1201" w:name="_Toc38439978"/>
      <w:bookmarkStart w:id="1202" w:name="_Toc38440315"/>
      <w:bookmarkStart w:id="1203" w:name="_Toc38440648"/>
      <w:bookmarkStart w:id="1204" w:name="_Toc38440847"/>
      <w:bookmarkStart w:id="1205" w:name="_Toc38441179"/>
      <w:bookmarkStart w:id="1206" w:name="_Toc38441511"/>
      <w:bookmarkStart w:id="1207" w:name="_Toc38441839"/>
      <w:bookmarkStart w:id="1208" w:name="_Toc38442171"/>
      <w:bookmarkStart w:id="1209" w:name="_Toc38442503"/>
      <w:bookmarkStart w:id="1210" w:name="_Toc38442834"/>
      <w:bookmarkStart w:id="1211" w:name="_Toc38443165"/>
      <w:bookmarkStart w:id="1212" w:name="_Toc38443496"/>
      <w:bookmarkStart w:id="1213" w:name="_Toc38443827"/>
      <w:bookmarkStart w:id="1214" w:name="_Toc38438296"/>
      <w:bookmarkStart w:id="1215" w:name="_Toc38438633"/>
      <w:bookmarkStart w:id="1216" w:name="_Toc38438970"/>
      <w:bookmarkStart w:id="1217" w:name="_Toc38439307"/>
      <w:bookmarkStart w:id="1218" w:name="_Toc38439644"/>
      <w:bookmarkStart w:id="1219" w:name="_Toc38439981"/>
      <w:bookmarkStart w:id="1220" w:name="_Toc38440318"/>
      <w:bookmarkStart w:id="1221" w:name="_Toc38440651"/>
      <w:bookmarkStart w:id="1222" w:name="_Toc38440850"/>
      <w:bookmarkStart w:id="1223" w:name="_Toc38441182"/>
      <w:bookmarkStart w:id="1224" w:name="_Toc38441514"/>
      <w:bookmarkStart w:id="1225" w:name="_Toc38441842"/>
      <w:bookmarkStart w:id="1226" w:name="_Toc38442174"/>
      <w:bookmarkStart w:id="1227" w:name="_Toc38442506"/>
      <w:bookmarkStart w:id="1228" w:name="_Toc38442837"/>
      <w:bookmarkStart w:id="1229" w:name="_Toc38443168"/>
      <w:bookmarkStart w:id="1230" w:name="_Toc38443499"/>
      <w:bookmarkStart w:id="1231" w:name="_Toc38443830"/>
      <w:bookmarkStart w:id="1232" w:name="_Toc38438297"/>
      <w:bookmarkStart w:id="1233" w:name="_Toc38438634"/>
      <w:bookmarkStart w:id="1234" w:name="_Toc38438971"/>
      <w:bookmarkStart w:id="1235" w:name="_Toc38439308"/>
      <w:bookmarkStart w:id="1236" w:name="_Toc38439645"/>
      <w:bookmarkStart w:id="1237" w:name="_Toc38439982"/>
      <w:bookmarkStart w:id="1238" w:name="_Toc38440319"/>
      <w:bookmarkStart w:id="1239" w:name="_Toc38440652"/>
      <w:bookmarkStart w:id="1240" w:name="_Toc38440851"/>
      <w:bookmarkStart w:id="1241" w:name="_Toc38441183"/>
      <w:bookmarkStart w:id="1242" w:name="_Toc38441515"/>
      <w:bookmarkStart w:id="1243" w:name="_Toc38441843"/>
      <w:bookmarkStart w:id="1244" w:name="_Toc38442175"/>
      <w:bookmarkStart w:id="1245" w:name="_Toc38442507"/>
      <w:bookmarkStart w:id="1246" w:name="_Toc38442838"/>
      <w:bookmarkStart w:id="1247" w:name="_Toc38443169"/>
      <w:bookmarkStart w:id="1248" w:name="_Toc38443500"/>
      <w:bookmarkStart w:id="1249" w:name="_Toc38443831"/>
      <w:bookmarkStart w:id="1250" w:name="_Toc38438298"/>
      <w:bookmarkStart w:id="1251" w:name="_Toc38438635"/>
      <w:bookmarkStart w:id="1252" w:name="_Toc38438972"/>
      <w:bookmarkStart w:id="1253" w:name="_Toc38439309"/>
      <w:bookmarkStart w:id="1254" w:name="_Toc38439646"/>
      <w:bookmarkStart w:id="1255" w:name="_Toc38439983"/>
      <w:bookmarkStart w:id="1256" w:name="_Toc38440320"/>
      <w:bookmarkStart w:id="1257" w:name="_Toc38440653"/>
      <w:bookmarkStart w:id="1258" w:name="_Toc38440852"/>
      <w:bookmarkStart w:id="1259" w:name="_Toc38441184"/>
      <w:bookmarkStart w:id="1260" w:name="_Toc38441516"/>
      <w:bookmarkStart w:id="1261" w:name="_Toc38441844"/>
      <w:bookmarkStart w:id="1262" w:name="_Toc38442176"/>
      <w:bookmarkStart w:id="1263" w:name="_Toc38442508"/>
      <w:bookmarkStart w:id="1264" w:name="_Toc38442839"/>
      <w:bookmarkStart w:id="1265" w:name="_Toc38443170"/>
      <w:bookmarkStart w:id="1266" w:name="_Toc38443501"/>
      <w:bookmarkStart w:id="1267" w:name="_Toc38443832"/>
      <w:bookmarkStart w:id="1268" w:name="_Toc38438299"/>
      <w:bookmarkStart w:id="1269" w:name="_Toc38438636"/>
      <w:bookmarkStart w:id="1270" w:name="_Toc38438973"/>
      <w:bookmarkStart w:id="1271" w:name="_Toc38439310"/>
      <w:bookmarkStart w:id="1272" w:name="_Toc38439647"/>
      <w:bookmarkStart w:id="1273" w:name="_Toc38439984"/>
      <w:bookmarkStart w:id="1274" w:name="_Toc38440321"/>
      <w:bookmarkStart w:id="1275" w:name="_Toc38440654"/>
      <w:bookmarkStart w:id="1276" w:name="_Toc38440853"/>
      <w:bookmarkStart w:id="1277" w:name="_Toc38441185"/>
      <w:bookmarkStart w:id="1278" w:name="_Toc38441517"/>
      <w:bookmarkStart w:id="1279" w:name="_Toc38441845"/>
      <w:bookmarkStart w:id="1280" w:name="_Toc38442177"/>
      <w:bookmarkStart w:id="1281" w:name="_Toc38442509"/>
      <w:bookmarkStart w:id="1282" w:name="_Toc38442840"/>
      <w:bookmarkStart w:id="1283" w:name="_Toc38443171"/>
      <w:bookmarkStart w:id="1284" w:name="_Toc38443502"/>
      <w:bookmarkStart w:id="1285" w:name="_Toc38443833"/>
      <w:bookmarkStart w:id="1286" w:name="_Toc38438301"/>
      <w:bookmarkStart w:id="1287" w:name="_Toc38438638"/>
      <w:bookmarkStart w:id="1288" w:name="_Toc38438975"/>
      <w:bookmarkStart w:id="1289" w:name="_Toc38439312"/>
      <w:bookmarkStart w:id="1290" w:name="_Toc38439649"/>
      <w:bookmarkStart w:id="1291" w:name="_Toc38439986"/>
      <w:bookmarkStart w:id="1292" w:name="_Toc38440323"/>
      <w:bookmarkStart w:id="1293" w:name="_Toc38440656"/>
      <w:bookmarkStart w:id="1294" w:name="_Toc38440855"/>
      <w:bookmarkStart w:id="1295" w:name="_Toc38441187"/>
      <w:bookmarkStart w:id="1296" w:name="_Toc38441519"/>
      <w:bookmarkStart w:id="1297" w:name="_Toc38441847"/>
      <w:bookmarkStart w:id="1298" w:name="_Toc38442179"/>
      <w:bookmarkStart w:id="1299" w:name="_Toc38442511"/>
      <w:bookmarkStart w:id="1300" w:name="_Toc38442842"/>
      <w:bookmarkStart w:id="1301" w:name="_Toc38443173"/>
      <w:bookmarkStart w:id="1302" w:name="_Toc38443504"/>
      <w:bookmarkStart w:id="1303" w:name="_Toc38443835"/>
      <w:bookmarkStart w:id="1304" w:name="_Toc38438302"/>
      <w:bookmarkStart w:id="1305" w:name="_Toc38438639"/>
      <w:bookmarkStart w:id="1306" w:name="_Toc38438976"/>
      <w:bookmarkStart w:id="1307" w:name="_Toc38439313"/>
      <w:bookmarkStart w:id="1308" w:name="_Toc38439650"/>
      <w:bookmarkStart w:id="1309" w:name="_Toc38439987"/>
      <w:bookmarkStart w:id="1310" w:name="_Toc38440324"/>
      <w:bookmarkStart w:id="1311" w:name="_Toc38440657"/>
      <w:bookmarkStart w:id="1312" w:name="_Toc38440856"/>
      <w:bookmarkStart w:id="1313" w:name="_Toc38441188"/>
      <w:bookmarkStart w:id="1314" w:name="_Toc38441520"/>
      <w:bookmarkStart w:id="1315" w:name="_Toc38441848"/>
      <w:bookmarkStart w:id="1316" w:name="_Toc38442180"/>
      <w:bookmarkStart w:id="1317" w:name="_Toc38442512"/>
      <w:bookmarkStart w:id="1318" w:name="_Toc38442843"/>
      <w:bookmarkStart w:id="1319" w:name="_Toc38443174"/>
      <w:bookmarkStart w:id="1320" w:name="_Toc38443505"/>
      <w:bookmarkStart w:id="1321" w:name="_Toc38443836"/>
      <w:bookmarkStart w:id="1322" w:name="_Toc38438303"/>
      <w:bookmarkStart w:id="1323" w:name="_Toc38438640"/>
      <w:bookmarkStart w:id="1324" w:name="_Toc38438977"/>
      <w:bookmarkStart w:id="1325" w:name="_Toc38439314"/>
      <w:bookmarkStart w:id="1326" w:name="_Toc38439651"/>
      <w:bookmarkStart w:id="1327" w:name="_Toc38439988"/>
      <w:bookmarkStart w:id="1328" w:name="_Toc38440325"/>
      <w:bookmarkStart w:id="1329" w:name="_Toc38440658"/>
      <w:bookmarkStart w:id="1330" w:name="_Toc38440857"/>
      <w:bookmarkStart w:id="1331" w:name="_Toc38441189"/>
      <w:bookmarkStart w:id="1332" w:name="_Toc38441521"/>
      <w:bookmarkStart w:id="1333" w:name="_Toc38441849"/>
      <w:bookmarkStart w:id="1334" w:name="_Toc38442181"/>
      <w:bookmarkStart w:id="1335" w:name="_Toc38442513"/>
      <w:bookmarkStart w:id="1336" w:name="_Toc38442844"/>
      <w:bookmarkStart w:id="1337" w:name="_Toc38443175"/>
      <w:bookmarkStart w:id="1338" w:name="_Toc38443506"/>
      <w:bookmarkStart w:id="1339" w:name="_Toc38443837"/>
      <w:bookmarkStart w:id="1340" w:name="_Toc38438304"/>
      <w:bookmarkStart w:id="1341" w:name="_Toc38438641"/>
      <w:bookmarkStart w:id="1342" w:name="_Toc38438978"/>
      <w:bookmarkStart w:id="1343" w:name="_Toc38439315"/>
      <w:bookmarkStart w:id="1344" w:name="_Toc38439652"/>
      <w:bookmarkStart w:id="1345" w:name="_Toc38439989"/>
      <w:bookmarkStart w:id="1346" w:name="_Toc38440326"/>
      <w:bookmarkStart w:id="1347" w:name="_Toc38440659"/>
      <w:bookmarkStart w:id="1348" w:name="_Toc38440858"/>
      <w:bookmarkStart w:id="1349" w:name="_Toc38441190"/>
      <w:bookmarkStart w:id="1350" w:name="_Toc38441522"/>
      <w:bookmarkStart w:id="1351" w:name="_Toc38441850"/>
      <w:bookmarkStart w:id="1352" w:name="_Toc38442182"/>
      <w:bookmarkStart w:id="1353" w:name="_Toc38442514"/>
      <w:bookmarkStart w:id="1354" w:name="_Toc38442845"/>
      <w:bookmarkStart w:id="1355" w:name="_Toc38443176"/>
      <w:bookmarkStart w:id="1356" w:name="_Toc38443507"/>
      <w:bookmarkStart w:id="1357" w:name="_Toc38443838"/>
      <w:bookmarkStart w:id="1358" w:name="_Toc38438305"/>
      <w:bookmarkStart w:id="1359" w:name="_Toc38438642"/>
      <w:bookmarkStart w:id="1360" w:name="_Toc38438979"/>
      <w:bookmarkStart w:id="1361" w:name="_Toc38439316"/>
      <w:bookmarkStart w:id="1362" w:name="_Toc38439653"/>
      <w:bookmarkStart w:id="1363" w:name="_Toc38439990"/>
      <w:bookmarkStart w:id="1364" w:name="_Toc38440327"/>
      <w:bookmarkStart w:id="1365" w:name="_Toc38440660"/>
      <w:bookmarkStart w:id="1366" w:name="_Toc38440859"/>
      <w:bookmarkStart w:id="1367" w:name="_Toc38441191"/>
      <w:bookmarkStart w:id="1368" w:name="_Toc38441523"/>
      <w:bookmarkStart w:id="1369" w:name="_Toc38441851"/>
      <w:bookmarkStart w:id="1370" w:name="_Toc38442183"/>
      <w:bookmarkStart w:id="1371" w:name="_Toc38442515"/>
      <w:bookmarkStart w:id="1372" w:name="_Toc38442846"/>
      <w:bookmarkStart w:id="1373" w:name="_Toc38443177"/>
      <w:bookmarkStart w:id="1374" w:name="_Toc38443508"/>
      <w:bookmarkStart w:id="1375" w:name="_Toc38443839"/>
      <w:bookmarkStart w:id="1376" w:name="_Toc38438306"/>
      <w:bookmarkStart w:id="1377" w:name="_Toc38438643"/>
      <w:bookmarkStart w:id="1378" w:name="_Toc38438980"/>
      <w:bookmarkStart w:id="1379" w:name="_Toc38439317"/>
      <w:bookmarkStart w:id="1380" w:name="_Toc38439654"/>
      <w:bookmarkStart w:id="1381" w:name="_Toc38439991"/>
      <w:bookmarkStart w:id="1382" w:name="_Toc38440328"/>
      <w:bookmarkStart w:id="1383" w:name="_Toc38440661"/>
      <w:bookmarkStart w:id="1384" w:name="_Toc38440860"/>
      <w:bookmarkStart w:id="1385" w:name="_Toc38441192"/>
      <w:bookmarkStart w:id="1386" w:name="_Toc38441524"/>
      <w:bookmarkStart w:id="1387" w:name="_Toc38441852"/>
      <w:bookmarkStart w:id="1388" w:name="_Toc38442184"/>
      <w:bookmarkStart w:id="1389" w:name="_Toc38442516"/>
      <w:bookmarkStart w:id="1390" w:name="_Toc38442847"/>
      <w:bookmarkStart w:id="1391" w:name="_Toc38443178"/>
      <w:bookmarkStart w:id="1392" w:name="_Toc38443509"/>
      <w:bookmarkStart w:id="1393" w:name="_Toc38443840"/>
      <w:bookmarkStart w:id="1394" w:name="_Toc38438310"/>
      <w:bookmarkStart w:id="1395" w:name="_Toc38438647"/>
      <w:bookmarkStart w:id="1396" w:name="_Toc38438984"/>
      <w:bookmarkStart w:id="1397" w:name="_Toc38439321"/>
      <w:bookmarkStart w:id="1398" w:name="_Toc38439658"/>
      <w:bookmarkStart w:id="1399" w:name="_Toc38439995"/>
      <w:bookmarkStart w:id="1400" w:name="_Toc38440332"/>
      <w:bookmarkStart w:id="1401" w:name="_Toc38440665"/>
      <w:bookmarkStart w:id="1402" w:name="_Toc38440864"/>
      <w:bookmarkStart w:id="1403" w:name="_Toc38441196"/>
      <w:bookmarkStart w:id="1404" w:name="_Toc38441528"/>
      <w:bookmarkStart w:id="1405" w:name="_Toc38441856"/>
      <w:bookmarkStart w:id="1406" w:name="_Toc38442188"/>
      <w:bookmarkStart w:id="1407" w:name="_Toc38442520"/>
      <w:bookmarkStart w:id="1408" w:name="_Toc38442851"/>
      <w:bookmarkStart w:id="1409" w:name="_Toc38443182"/>
      <w:bookmarkStart w:id="1410" w:name="_Toc38443513"/>
      <w:bookmarkStart w:id="1411" w:name="_Toc38443844"/>
      <w:bookmarkStart w:id="1412" w:name="_Toc38438311"/>
      <w:bookmarkStart w:id="1413" w:name="_Toc38438648"/>
      <w:bookmarkStart w:id="1414" w:name="_Toc38438985"/>
      <w:bookmarkStart w:id="1415" w:name="_Toc38439322"/>
      <w:bookmarkStart w:id="1416" w:name="_Toc38439659"/>
      <w:bookmarkStart w:id="1417" w:name="_Toc38439996"/>
      <w:bookmarkStart w:id="1418" w:name="_Toc38440333"/>
      <w:bookmarkStart w:id="1419" w:name="_Toc38440666"/>
      <w:bookmarkStart w:id="1420" w:name="_Toc38440865"/>
      <w:bookmarkStart w:id="1421" w:name="_Toc38441197"/>
      <w:bookmarkStart w:id="1422" w:name="_Toc38441529"/>
      <w:bookmarkStart w:id="1423" w:name="_Toc38441857"/>
      <w:bookmarkStart w:id="1424" w:name="_Toc38442189"/>
      <w:bookmarkStart w:id="1425" w:name="_Toc38442521"/>
      <w:bookmarkStart w:id="1426" w:name="_Toc38442852"/>
      <w:bookmarkStart w:id="1427" w:name="_Toc38443183"/>
      <w:bookmarkStart w:id="1428" w:name="_Toc38443514"/>
      <w:bookmarkStart w:id="1429" w:name="_Toc38443845"/>
      <w:bookmarkStart w:id="1430" w:name="_Toc38438312"/>
      <w:bookmarkStart w:id="1431" w:name="_Toc38438649"/>
      <w:bookmarkStart w:id="1432" w:name="_Toc38438986"/>
      <w:bookmarkStart w:id="1433" w:name="_Toc38439323"/>
      <w:bookmarkStart w:id="1434" w:name="_Toc38439660"/>
      <w:bookmarkStart w:id="1435" w:name="_Toc38439997"/>
      <w:bookmarkStart w:id="1436" w:name="_Toc38440334"/>
      <w:bookmarkStart w:id="1437" w:name="_Toc38440667"/>
      <w:bookmarkStart w:id="1438" w:name="_Toc38440866"/>
      <w:bookmarkStart w:id="1439" w:name="_Toc38441198"/>
      <w:bookmarkStart w:id="1440" w:name="_Toc38441530"/>
      <w:bookmarkStart w:id="1441" w:name="_Toc38441858"/>
      <w:bookmarkStart w:id="1442" w:name="_Toc38442190"/>
      <w:bookmarkStart w:id="1443" w:name="_Toc38442522"/>
      <w:bookmarkStart w:id="1444" w:name="_Toc38442853"/>
      <w:bookmarkStart w:id="1445" w:name="_Toc38443184"/>
      <w:bookmarkStart w:id="1446" w:name="_Toc38443515"/>
      <w:bookmarkStart w:id="1447" w:name="_Toc38443846"/>
      <w:bookmarkStart w:id="1448" w:name="_Toc38438313"/>
      <w:bookmarkStart w:id="1449" w:name="_Toc38438650"/>
      <w:bookmarkStart w:id="1450" w:name="_Toc38438987"/>
      <w:bookmarkStart w:id="1451" w:name="_Toc38439324"/>
      <w:bookmarkStart w:id="1452" w:name="_Toc38439661"/>
      <w:bookmarkStart w:id="1453" w:name="_Toc38439998"/>
      <w:bookmarkStart w:id="1454" w:name="_Toc38440335"/>
      <w:bookmarkStart w:id="1455" w:name="_Toc38440668"/>
      <w:bookmarkStart w:id="1456" w:name="_Toc38440867"/>
      <w:bookmarkStart w:id="1457" w:name="_Toc38441199"/>
      <w:bookmarkStart w:id="1458" w:name="_Toc38441531"/>
      <w:bookmarkStart w:id="1459" w:name="_Toc38441859"/>
      <w:bookmarkStart w:id="1460" w:name="_Toc38442191"/>
      <w:bookmarkStart w:id="1461" w:name="_Toc38442523"/>
      <w:bookmarkStart w:id="1462" w:name="_Toc38442854"/>
      <w:bookmarkStart w:id="1463" w:name="_Toc38443185"/>
      <w:bookmarkStart w:id="1464" w:name="_Toc38443516"/>
      <w:bookmarkStart w:id="1465" w:name="_Toc38443847"/>
      <w:bookmarkStart w:id="1466" w:name="_Toc38438314"/>
      <w:bookmarkStart w:id="1467" w:name="_Toc38438651"/>
      <w:bookmarkStart w:id="1468" w:name="_Toc38438988"/>
      <w:bookmarkStart w:id="1469" w:name="_Toc38439325"/>
      <w:bookmarkStart w:id="1470" w:name="_Toc38439662"/>
      <w:bookmarkStart w:id="1471" w:name="_Toc38439999"/>
      <w:bookmarkStart w:id="1472" w:name="_Toc38440336"/>
      <w:bookmarkStart w:id="1473" w:name="_Toc38440669"/>
      <w:bookmarkStart w:id="1474" w:name="_Toc38440868"/>
      <w:bookmarkStart w:id="1475" w:name="_Toc38441200"/>
      <w:bookmarkStart w:id="1476" w:name="_Toc38441532"/>
      <w:bookmarkStart w:id="1477" w:name="_Toc38441860"/>
      <w:bookmarkStart w:id="1478" w:name="_Toc38442192"/>
      <w:bookmarkStart w:id="1479" w:name="_Toc38442524"/>
      <w:bookmarkStart w:id="1480" w:name="_Toc38442855"/>
      <w:bookmarkStart w:id="1481" w:name="_Toc38443186"/>
      <w:bookmarkStart w:id="1482" w:name="_Toc38443517"/>
      <w:bookmarkStart w:id="1483" w:name="_Toc38443848"/>
      <w:bookmarkStart w:id="1484" w:name="_Toc38438315"/>
      <w:bookmarkStart w:id="1485" w:name="_Toc38438652"/>
      <w:bookmarkStart w:id="1486" w:name="_Toc38438989"/>
      <w:bookmarkStart w:id="1487" w:name="_Toc38439326"/>
      <w:bookmarkStart w:id="1488" w:name="_Toc38439663"/>
      <w:bookmarkStart w:id="1489" w:name="_Toc38440000"/>
      <w:bookmarkStart w:id="1490" w:name="_Toc38440337"/>
      <w:bookmarkStart w:id="1491" w:name="_Toc38440670"/>
      <w:bookmarkStart w:id="1492" w:name="_Toc38440869"/>
      <w:bookmarkStart w:id="1493" w:name="_Toc38441201"/>
      <w:bookmarkStart w:id="1494" w:name="_Toc38441533"/>
      <w:bookmarkStart w:id="1495" w:name="_Toc38441861"/>
      <w:bookmarkStart w:id="1496" w:name="_Toc38442193"/>
      <w:bookmarkStart w:id="1497" w:name="_Toc38442525"/>
      <w:bookmarkStart w:id="1498" w:name="_Toc38442856"/>
      <w:bookmarkStart w:id="1499" w:name="_Toc38443187"/>
      <w:bookmarkStart w:id="1500" w:name="_Toc38443518"/>
      <w:bookmarkStart w:id="1501" w:name="_Toc38443849"/>
      <w:bookmarkStart w:id="1502" w:name="_Toc38438316"/>
      <w:bookmarkStart w:id="1503" w:name="_Toc38438653"/>
      <w:bookmarkStart w:id="1504" w:name="_Toc38438990"/>
      <w:bookmarkStart w:id="1505" w:name="_Toc38439327"/>
      <w:bookmarkStart w:id="1506" w:name="_Toc38439664"/>
      <w:bookmarkStart w:id="1507" w:name="_Toc38440001"/>
      <w:bookmarkStart w:id="1508" w:name="_Toc38440338"/>
      <w:bookmarkStart w:id="1509" w:name="_Toc38440671"/>
      <w:bookmarkStart w:id="1510" w:name="_Toc38440870"/>
      <w:bookmarkStart w:id="1511" w:name="_Toc38441202"/>
      <w:bookmarkStart w:id="1512" w:name="_Toc38441534"/>
      <w:bookmarkStart w:id="1513" w:name="_Toc38441862"/>
      <w:bookmarkStart w:id="1514" w:name="_Toc38442194"/>
      <w:bookmarkStart w:id="1515" w:name="_Toc38442526"/>
      <w:bookmarkStart w:id="1516" w:name="_Toc38442857"/>
      <w:bookmarkStart w:id="1517" w:name="_Toc38443188"/>
      <w:bookmarkStart w:id="1518" w:name="_Toc38443519"/>
      <w:bookmarkStart w:id="1519" w:name="_Toc38443850"/>
      <w:bookmarkStart w:id="1520" w:name="_Toc38438317"/>
      <w:bookmarkStart w:id="1521" w:name="_Toc38438654"/>
      <w:bookmarkStart w:id="1522" w:name="_Toc38438991"/>
      <w:bookmarkStart w:id="1523" w:name="_Toc38439328"/>
      <w:bookmarkStart w:id="1524" w:name="_Toc38439665"/>
      <w:bookmarkStart w:id="1525" w:name="_Toc38440002"/>
      <w:bookmarkStart w:id="1526" w:name="_Toc38440339"/>
      <w:bookmarkStart w:id="1527" w:name="_Toc38440672"/>
      <w:bookmarkStart w:id="1528" w:name="_Toc38440871"/>
      <w:bookmarkStart w:id="1529" w:name="_Toc38441203"/>
      <w:bookmarkStart w:id="1530" w:name="_Toc38441535"/>
      <w:bookmarkStart w:id="1531" w:name="_Toc38441863"/>
      <w:bookmarkStart w:id="1532" w:name="_Toc38442195"/>
      <w:bookmarkStart w:id="1533" w:name="_Toc38442527"/>
      <w:bookmarkStart w:id="1534" w:name="_Toc38442858"/>
      <w:bookmarkStart w:id="1535" w:name="_Toc38443189"/>
      <w:bookmarkStart w:id="1536" w:name="_Toc38443520"/>
      <w:bookmarkStart w:id="1537" w:name="_Toc38443851"/>
      <w:bookmarkStart w:id="1538" w:name="_Toc38438318"/>
      <w:bookmarkStart w:id="1539" w:name="_Toc38438655"/>
      <w:bookmarkStart w:id="1540" w:name="_Toc38438992"/>
      <w:bookmarkStart w:id="1541" w:name="_Toc38439329"/>
      <w:bookmarkStart w:id="1542" w:name="_Toc38439666"/>
      <w:bookmarkStart w:id="1543" w:name="_Toc38440003"/>
      <w:bookmarkStart w:id="1544" w:name="_Toc38440340"/>
      <w:bookmarkStart w:id="1545" w:name="_Toc38440673"/>
      <w:bookmarkStart w:id="1546" w:name="_Toc38440872"/>
      <w:bookmarkStart w:id="1547" w:name="_Toc38441204"/>
      <w:bookmarkStart w:id="1548" w:name="_Toc38441536"/>
      <w:bookmarkStart w:id="1549" w:name="_Toc38441864"/>
      <w:bookmarkStart w:id="1550" w:name="_Toc38442196"/>
      <w:bookmarkStart w:id="1551" w:name="_Toc38442528"/>
      <w:bookmarkStart w:id="1552" w:name="_Toc38442859"/>
      <w:bookmarkStart w:id="1553" w:name="_Toc38443190"/>
      <w:bookmarkStart w:id="1554" w:name="_Toc38443521"/>
      <w:bookmarkStart w:id="1555" w:name="_Toc38443852"/>
      <w:bookmarkStart w:id="1556" w:name="_Toc38438319"/>
      <w:bookmarkStart w:id="1557" w:name="_Toc38438656"/>
      <w:bookmarkStart w:id="1558" w:name="_Toc38438993"/>
      <w:bookmarkStart w:id="1559" w:name="_Toc38439330"/>
      <w:bookmarkStart w:id="1560" w:name="_Toc38439667"/>
      <w:bookmarkStart w:id="1561" w:name="_Toc38440004"/>
      <w:bookmarkStart w:id="1562" w:name="_Toc38440341"/>
      <w:bookmarkStart w:id="1563" w:name="_Toc38440674"/>
      <w:bookmarkStart w:id="1564" w:name="_Toc38440873"/>
      <w:bookmarkStart w:id="1565" w:name="_Toc38441205"/>
      <w:bookmarkStart w:id="1566" w:name="_Toc38441537"/>
      <w:bookmarkStart w:id="1567" w:name="_Toc38441865"/>
      <w:bookmarkStart w:id="1568" w:name="_Toc38442197"/>
      <w:bookmarkStart w:id="1569" w:name="_Toc38442529"/>
      <w:bookmarkStart w:id="1570" w:name="_Toc38442860"/>
      <w:bookmarkStart w:id="1571" w:name="_Toc38443191"/>
      <w:bookmarkStart w:id="1572" w:name="_Toc38443522"/>
      <w:bookmarkStart w:id="1573" w:name="_Toc38443853"/>
      <w:bookmarkStart w:id="1574" w:name="_Toc38438320"/>
      <w:bookmarkStart w:id="1575" w:name="_Toc38438657"/>
      <w:bookmarkStart w:id="1576" w:name="_Toc38438994"/>
      <w:bookmarkStart w:id="1577" w:name="_Toc38439331"/>
      <w:bookmarkStart w:id="1578" w:name="_Toc38439668"/>
      <w:bookmarkStart w:id="1579" w:name="_Toc38440005"/>
      <w:bookmarkStart w:id="1580" w:name="_Toc38440342"/>
      <w:bookmarkStart w:id="1581" w:name="_Toc38440675"/>
      <w:bookmarkStart w:id="1582" w:name="_Toc38440874"/>
      <w:bookmarkStart w:id="1583" w:name="_Toc38441206"/>
      <w:bookmarkStart w:id="1584" w:name="_Toc38441538"/>
      <w:bookmarkStart w:id="1585" w:name="_Toc38441866"/>
      <w:bookmarkStart w:id="1586" w:name="_Toc38442198"/>
      <w:bookmarkStart w:id="1587" w:name="_Toc38442530"/>
      <w:bookmarkStart w:id="1588" w:name="_Toc38442861"/>
      <w:bookmarkStart w:id="1589" w:name="_Toc38443192"/>
      <w:bookmarkStart w:id="1590" w:name="_Toc38443523"/>
      <w:bookmarkStart w:id="1591" w:name="_Toc38443854"/>
      <w:bookmarkStart w:id="1592" w:name="_Toc38438321"/>
      <w:bookmarkStart w:id="1593" w:name="_Toc38438658"/>
      <w:bookmarkStart w:id="1594" w:name="_Toc38438995"/>
      <w:bookmarkStart w:id="1595" w:name="_Toc38439332"/>
      <w:bookmarkStart w:id="1596" w:name="_Toc38439669"/>
      <w:bookmarkStart w:id="1597" w:name="_Toc38440006"/>
      <w:bookmarkStart w:id="1598" w:name="_Toc38440343"/>
      <w:bookmarkStart w:id="1599" w:name="_Toc38440676"/>
      <w:bookmarkStart w:id="1600" w:name="_Toc38440875"/>
      <w:bookmarkStart w:id="1601" w:name="_Toc38441207"/>
      <w:bookmarkStart w:id="1602" w:name="_Toc38441539"/>
      <w:bookmarkStart w:id="1603" w:name="_Toc38441867"/>
      <w:bookmarkStart w:id="1604" w:name="_Toc38442199"/>
      <w:bookmarkStart w:id="1605" w:name="_Toc38442531"/>
      <w:bookmarkStart w:id="1606" w:name="_Toc38442862"/>
      <w:bookmarkStart w:id="1607" w:name="_Toc38443193"/>
      <w:bookmarkStart w:id="1608" w:name="_Toc38443524"/>
      <w:bookmarkStart w:id="1609" w:name="_Toc38443855"/>
      <w:bookmarkStart w:id="1610" w:name="_Toc38438322"/>
      <w:bookmarkStart w:id="1611" w:name="_Toc38438659"/>
      <w:bookmarkStart w:id="1612" w:name="_Toc38438996"/>
      <w:bookmarkStart w:id="1613" w:name="_Toc38439333"/>
      <w:bookmarkStart w:id="1614" w:name="_Toc38439670"/>
      <w:bookmarkStart w:id="1615" w:name="_Toc38440007"/>
      <w:bookmarkStart w:id="1616" w:name="_Toc38440344"/>
      <w:bookmarkStart w:id="1617" w:name="_Toc38440677"/>
      <w:bookmarkStart w:id="1618" w:name="_Toc38440876"/>
      <w:bookmarkStart w:id="1619" w:name="_Toc38441208"/>
      <w:bookmarkStart w:id="1620" w:name="_Toc38441540"/>
      <w:bookmarkStart w:id="1621" w:name="_Toc38441868"/>
      <w:bookmarkStart w:id="1622" w:name="_Toc38442200"/>
      <w:bookmarkStart w:id="1623" w:name="_Toc38442532"/>
      <w:bookmarkStart w:id="1624" w:name="_Toc38442863"/>
      <w:bookmarkStart w:id="1625" w:name="_Toc38443194"/>
      <w:bookmarkStart w:id="1626" w:name="_Toc38443525"/>
      <w:bookmarkStart w:id="1627" w:name="_Toc38443856"/>
      <w:bookmarkStart w:id="1628" w:name="_Toc38438323"/>
      <w:bookmarkStart w:id="1629" w:name="_Toc38438660"/>
      <w:bookmarkStart w:id="1630" w:name="_Toc38438997"/>
      <w:bookmarkStart w:id="1631" w:name="_Toc38439334"/>
      <w:bookmarkStart w:id="1632" w:name="_Toc38439671"/>
      <w:bookmarkStart w:id="1633" w:name="_Toc38440008"/>
      <w:bookmarkStart w:id="1634" w:name="_Toc38440345"/>
      <w:bookmarkStart w:id="1635" w:name="_Toc38440678"/>
      <w:bookmarkStart w:id="1636" w:name="_Toc38440877"/>
      <w:bookmarkStart w:id="1637" w:name="_Toc38441209"/>
      <w:bookmarkStart w:id="1638" w:name="_Toc38441541"/>
      <w:bookmarkStart w:id="1639" w:name="_Toc38441869"/>
      <w:bookmarkStart w:id="1640" w:name="_Toc38442201"/>
      <w:bookmarkStart w:id="1641" w:name="_Toc38442533"/>
      <w:bookmarkStart w:id="1642" w:name="_Toc38442864"/>
      <w:bookmarkStart w:id="1643" w:name="_Toc38443195"/>
      <w:bookmarkStart w:id="1644" w:name="_Toc38443526"/>
      <w:bookmarkStart w:id="1645" w:name="_Toc38443857"/>
      <w:bookmarkStart w:id="1646" w:name="_Toc38438324"/>
      <w:bookmarkStart w:id="1647" w:name="_Toc38438661"/>
      <w:bookmarkStart w:id="1648" w:name="_Toc38438998"/>
      <w:bookmarkStart w:id="1649" w:name="_Toc38439335"/>
      <w:bookmarkStart w:id="1650" w:name="_Toc38439672"/>
      <w:bookmarkStart w:id="1651" w:name="_Toc38440009"/>
      <w:bookmarkStart w:id="1652" w:name="_Toc38440346"/>
      <w:bookmarkStart w:id="1653" w:name="_Toc38440679"/>
      <w:bookmarkStart w:id="1654" w:name="_Toc38440878"/>
      <w:bookmarkStart w:id="1655" w:name="_Toc38441210"/>
      <w:bookmarkStart w:id="1656" w:name="_Toc38441542"/>
      <w:bookmarkStart w:id="1657" w:name="_Toc38441870"/>
      <w:bookmarkStart w:id="1658" w:name="_Toc38442202"/>
      <w:bookmarkStart w:id="1659" w:name="_Toc38442534"/>
      <w:bookmarkStart w:id="1660" w:name="_Toc38442865"/>
      <w:bookmarkStart w:id="1661" w:name="_Toc38443196"/>
      <w:bookmarkStart w:id="1662" w:name="_Toc38443527"/>
      <w:bookmarkStart w:id="1663" w:name="_Toc38443858"/>
      <w:bookmarkStart w:id="1664" w:name="_Toc38438325"/>
      <w:bookmarkStart w:id="1665" w:name="_Toc38438662"/>
      <w:bookmarkStart w:id="1666" w:name="_Toc38438999"/>
      <w:bookmarkStart w:id="1667" w:name="_Toc38439336"/>
      <w:bookmarkStart w:id="1668" w:name="_Toc38439673"/>
      <w:bookmarkStart w:id="1669" w:name="_Toc38440010"/>
      <w:bookmarkStart w:id="1670" w:name="_Toc38440347"/>
      <w:bookmarkStart w:id="1671" w:name="_Toc38440879"/>
      <w:bookmarkStart w:id="1672" w:name="_Toc38441211"/>
      <w:bookmarkStart w:id="1673" w:name="_Toc38441543"/>
      <w:bookmarkStart w:id="1674" w:name="_Toc38441871"/>
      <w:bookmarkStart w:id="1675" w:name="_Toc38442203"/>
      <w:bookmarkStart w:id="1676" w:name="_Toc38442535"/>
      <w:bookmarkStart w:id="1677" w:name="_Toc38442866"/>
      <w:bookmarkStart w:id="1678" w:name="_Toc38443197"/>
      <w:bookmarkStart w:id="1679" w:name="_Toc38443528"/>
      <w:bookmarkStart w:id="1680" w:name="_Toc38443859"/>
      <w:bookmarkStart w:id="1681" w:name="_Toc38438326"/>
      <w:bookmarkStart w:id="1682" w:name="_Toc38438663"/>
      <w:bookmarkStart w:id="1683" w:name="_Toc38439000"/>
      <w:bookmarkStart w:id="1684" w:name="_Toc38439337"/>
      <w:bookmarkStart w:id="1685" w:name="_Toc38439674"/>
      <w:bookmarkStart w:id="1686" w:name="_Toc38440011"/>
      <w:bookmarkStart w:id="1687" w:name="_Toc38440348"/>
      <w:bookmarkStart w:id="1688" w:name="_Toc38440880"/>
      <w:bookmarkStart w:id="1689" w:name="_Toc38441212"/>
      <w:bookmarkStart w:id="1690" w:name="_Toc38441544"/>
      <w:bookmarkStart w:id="1691" w:name="_Toc38441872"/>
      <w:bookmarkStart w:id="1692" w:name="_Toc38442204"/>
      <w:bookmarkStart w:id="1693" w:name="_Toc38442536"/>
      <w:bookmarkStart w:id="1694" w:name="_Toc38442867"/>
      <w:bookmarkStart w:id="1695" w:name="_Toc38443198"/>
      <w:bookmarkStart w:id="1696" w:name="_Toc38443529"/>
      <w:bookmarkStart w:id="1697" w:name="_Toc38443860"/>
      <w:bookmarkStart w:id="1698" w:name="_Toc38438327"/>
      <w:bookmarkStart w:id="1699" w:name="_Toc38438664"/>
      <w:bookmarkStart w:id="1700" w:name="_Toc38439001"/>
      <w:bookmarkStart w:id="1701" w:name="_Toc38439338"/>
      <w:bookmarkStart w:id="1702" w:name="_Toc38439675"/>
      <w:bookmarkStart w:id="1703" w:name="_Toc38440012"/>
      <w:bookmarkStart w:id="1704" w:name="_Toc38440349"/>
      <w:bookmarkStart w:id="1705" w:name="_Toc38440881"/>
      <w:bookmarkStart w:id="1706" w:name="_Toc38441213"/>
      <w:bookmarkStart w:id="1707" w:name="_Toc38441545"/>
      <w:bookmarkStart w:id="1708" w:name="_Toc38441873"/>
      <w:bookmarkStart w:id="1709" w:name="_Toc38442205"/>
      <w:bookmarkStart w:id="1710" w:name="_Toc38442537"/>
      <w:bookmarkStart w:id="1711" w:name="_Toc38442868"/>
      <w:bookmarkStart w:id="1712" w:name="_Toc38443199"/>
      <w:bookmarkStart w:id="1713" w:name="_Toc38443530"/>
      <w:bookmarkStart w:id="1714" w:name="_Toc38443861"/>
      <w:bookmarkStart w:id="1715" w:name="_Toc38438328"/>
      <w:bookmarkStart w:id="1716" w:name="_Toc38438665"/>
      <w:bookmarkStart w:id="1717" w:name="_Toc38439002"/>
      <w:bookmarkStart w:id="1718" w:name="_Toc38439339"/>
      <w:bookmarkStart w:id="1719" w:name="_Toc38439676"/>
      <w:bookmarkStart w:id="1720" w:name="_Toc38440013"/>
      <w:bookmarkStart w:id="1721" w:name="_Toc38440350"/>
      <w:bookmarkStart w:id="1722" w:name="_Toc38440882"/>
      <w:bookmarkStart w:id="1723" w:name="_Toc38441214"/>
      <w:bookmarkStart w:id="1724" w:name="_Toc38441546"/>
      <w:bookmarkStart w:id="1725" w:name="_Toc38441874"/>
      <w:bookmarkStart w:id="1726" w:name="_Toc38442206"/>
      <w:bookmarkStart w:id="1727" w:name="_Toc38442538"/>
      <w:bookmarkStart w:id="1728" w:name="_Toc38442869"/>
      <w:bookmarkStart w:id="1729" w:name="_Toc38443200"/>
      <w:bookmarkStart w:id="1730" w:name="_Toc38443531"/>
      <w:bookmarkStart w:id="1731" w:name="_Toc38443862"/>
      <w:bookmarkStart w:id="1732" w:name="_Toc38438329"/>
      <w:bookmarkStart w:id="1733" w:name="_Toc38438666"/>
      <w:bookmarkStart w:id="1734" w:name="_Toc38439003"/>
      <w:bookmarkStart w:id="1735" w:name="_Toc38439340"/>
      <w:bookmarkStart w:id="1736" w:name="_Toc38439677"/>
      <w:bookmarkStart w:id="1737" w:name="_Toc38440014"/>
      <w:bookmarkStart w:id="1738" w:name="_Toc38440351"/>
      <w:bookmarkStart w:id="1739" w:name="_Toc38440883"/>
      <w:bookmarkStart w:id="1740" w:name="_Toc38441215"/>
      <w:bookmarkStart w:id="1741" w:name="_Toc38441547"/>
      <w:bookmarkStart w:id="1742" w:name="_Toc38441875"/>
      <w:bookmarkStart w:id="1743" w:name="_Toc38442207"/>
      <w:bookmarkStart w:id="1744" w:name="_Toc38442539"/>
      <w:bookmarkStart w:id="1745" w:name="_Toc38442870"/>
      <w:bookmarkStart w:id="1746" w:name="_Toc38443201"/>
      <w:bookmarkStart w:id="1747" w:name="_Toc38443532"/>
      <w:bookmarkStart w:id="1748" w:name="_Toc38443863"/>
      <w:bookmarkStart w:id="1749" w:name="_Toc38438330"/>
      <w:bookmarkStart w:id="1750" w:name="_Toc38438667"/>
      <w:bookmarkStart w:id="1751" w:name="_Toc38439004"/>
      <w:bookmarkStart w:id="1752" w:name="_Toc38439341"/>
      <w:bookmarkStart w:id="1753" w:name="_Toc38439678"/>
      <w:bookmarkStart w:id="1754" w:name="_Toc38440015"/>
      <w:bookmarkStart w:id="1755" w:name="_Toc38440352"/>
      <w:bookmarkStart w:id="1756" w:name="_Toc38440884"/>
      <w:bookmarkStart w:id="1757" w:name="_Toc38441216"/>
      <w:bookmarkStart w:id="1758" w:name="_Toc38441548"/>
      <w:bookmarkStart w:id="1759" w:name="_Toc38441876"/>
      <w:bookmarkStart w:id="1760" w:name="_Toc38442208"/>
      <w:bookmarkStart w:id="1761" w:name="_Toc38442540"/>
      <w:bookmarkStart w:id="1762" w:name="_Toc38442871"/>
      <w:bookmarkStart w:id="1763" w:name="_Toc38443202"/>
      <w:bookmarkStart w:id="1764" w:name="_Toc38443533"/>
      <w:bookmarkStart w:id="1765" w:name="_Toc38443864"/>
      <w:bookmarkStart w:id="1766" w:name="_Toc38438331"/>
      <w:bookmarkStart w:id="1767" w:name="_Toc38438668"/>
      <w:bookmarkStart w:id="1768" w:name="_Toc38439005"/>
      <w:bookmarkStart w:id="1769" w:name="_Toc38439342"/>
      <w:bookmarkStart w:id="1770" w:name="_Toc38439679"/>
      <w:bookmarkStart w:id="1771" w:name="_Toc38440016"/>
      <w:bookmarkStart w:id="1772" w:name="_Toc38440353"/>
      <w:bookmarkStart w:id="1773" w:name="_Toc38440885"/>
      <w:bookmarkEnd w:id="9"/>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rsidR="009F340D" w:rsidRPr="00A936B7" w14:paraId="11334D4C" w14:textId="77777777">
      <w:pPr>
        <w:pStyle w:val="Heading1"/>
        <w:spacing w:before="317" w:after="317" w:line="360" w:lineRule="auto"/>
        <w:ind w:firstLine="643"/>
        <w:rPr>
          <w:rFonts w:asciiTheme="minorEastAsia" w:eastAsiaTheme="minorEastAsia" w:hAnsiTheme="minorEastAsia" w:cs="宋体" w:hint="eastAsia"/>
          <w:sz w:val="30"/>
          <w:szCs w:val="30"/>
          <w:lang w:eastAsia="zh-CN"/>
        </w:rPr>
      </w:pPr>
      <w:r w:rsidRPr="00A936B7">
        <w:rPr>
          <w:rFonts w:asciiTheme="minorEastAsia" w:eastAsiaTheme="minorEastAsia" w:hAnsiTheme="minorEastAsia" w:cs="宋体"/>
          <w:b/>
          <w:bCs/>
          <w:i/>
          <w:highlight w:val="white"/>
          <w:lang w:eastAsia="zh-CN"/>
        </w:rPr>
        <w:br w:type="column"/>
      </w:r>
      <w:bookmarkStart w:id="1774" w:name="_Toc332373471"/>
      <w:bookmarkStart w:id="1775" w:name="_Toc129511526"/>
      <w:r w:rsidRPr="00A936B7">
        <w:rPr>
          <w:rFonts w:asciiTheme="minorEastAsia" w:eastAsiaTheme="minorEastAsia" w:hAnsiTheme="minorEastAsia" w:cs="宋体"/>
          <w:sz w:val="30"/>
          <w:szCs w:val="30"/>
          <w:highlight w:val="white"/>
          <w:lang w:eastAsia="zh-CN"/>
        </w:rPr>
        <w:t>第</w:t>
      </w:r>
      <w:r w:rsidRPr="00A936B7">
        <w:rPr>
          <w:rFonts w:asciiTheme="minorEastAsia" w:eastAsiaTheme="minorEastAsia" w:hAnsiTheme="minorEastAsia" w:cs="宋体" w:hint="eastAsia"/>
          <w:sz w:val="30"/>
          <w:szCs w:val="30"/>
          <w:highlight w:val="white"/>
          <w:lang w:eastAsia="zh-CN"/>
        </w:rPr>
        <w:t>四部分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基金托管人</w:t>
      </w:r>
      <w:bookmarkEnd w:id="1774"/>
      <w:bookmarkEnd w:id="1775"/>
    </w:p>
    <w:p w:rsidR="009F340D" w:rsidRPr="00A936B7" w14:paraId="7829188D" w14:textId="77777777">
      <w:pPr>
        <w:spacing w:line="360" w:lineRule="auto"/>
        <w:ind w:firstLine="420"/>
        <w:rPr>
          <w:rFonts w:asciiTheme="minorEastAsia" w:eastAsiaTheme="minorEastAsia" w:hAnsiTheme="minorEastAsia" w:cs="宋体" w:hint="eastAsia"/>
          <w:szCs w:val="21"/>
          <w:lang w:eastAsia="zh-CN"/>
        </w:rPr>
      </w:pPr>
      <w:r>
        <w:rPr>
          <w:rFonts w:asciiTheme="minorEastAsia" w:eastAsiaTheme="minorEastAsia" w:hAnsiTheme="minorEastAsia" w:cs="宋体" w:hint="eastAsia"/>
          <w:szCs w:val="21"/>
          <w:lang w:eastAsia="zh-CN"/>
        </w:rPr>
        <w:t>一</w:t>
      </w:r>
      <w:r w:rsidRPr="00E442F3">
        <w:rPr>
          <w:rFonts w:asciiTheme="minorEastAsia" w:eastAsiaTheme="minorEastAsia" w:hAnsiTheme="minorEastAsia" w:cs="宋体" w:hint="eastAsia"/>
          <w:szCs w:val="21"/>
          <w:lang w:eastAsia="zh-CN"/>
        </w:rPr>
        <w:t>、</w:t>
      </w:r>
      <w:r w:rsidRPr="00A936B7" w:rsidR="00DC71F5">
        <w:rPr>
          <w:rFonts w:asciiTheme="minorEastAsia" w:eastAsiaTheme="minorEastAsia" w:hAnsiTheme="minorEastAsia" w:cs="宋体" w:hint="eastAsia"/>
          <w:szCs w:val="21"/>
          <w:lang w:eastAsia="zh-CN"/>
        </w:rPr>
        <w:t>基本情况</w:t>
      </w:r>
    </w:p>
    <w:p w:rsidR="00385653" w:rsidRPr="00E442F3" w:rsidP="00385653" w14:paraId="5B9FBF0D"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名称：中国银行股份有限公司（简称“中国银行”）</w:t>
      </w:r>
    </w:p>
    <w:p w:rsidR="00385653" w:rsidRPr="00E442F3" w:rsidP="00385653" w14:paraId="1A7129DF"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住所及办公地址：北京市西城区复兴门内大街1号</w:t>
      </w:r>
    </w:p>
    <w:p w:rsidR="00385653" w:rsidRPr="00E442F3" w:rsidP="00385653" w14:paraId="026002D1"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首次注册登记日期：1983年10月31日</w:t>
      </w:r>
    </w:p>
    <w:p w:rsidR="00385653" w:rsidRPr="00E442F3" w:rsidP="00385653" w14:paraId="3858C53F"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注册资本：人民币叁仟贰佰贰拾贰亿壹仟贰佰肆拾壹万壹仟捌佰壹拾肆元整</w:t>
      </w:r>
    </w:p>
    <w:p w:rsidR="00385653" w:rsidRPr="00E442F3" w:rsidP="00385653" w14:paraId="4093DA01"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法定代表人：葛海蛟</w:t>
      </w:r>
    </w:p>
    <w:p w:rsidR="00385653" w:rsidRPr="00E442F3" w:rsidP="00385653" w14:paraId="031F3A39"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基金托管业务批准文号：中国证监会证监基字【1998】24 号</w:t>
      </w:r>
    </w:p>
    <w:p w:rsidR="00385653" w:rsidRPr="00E442F3" w:rsidP="00385653" w14:paraId="600958B9"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托管部门信息披露联系人：许俊</w:t>
      </w:r>
    </w:p>
    <w:p w:rsidR="00385653" w:rsidRPr="00E442F3" w:rsidP="00385653" w14:paraId="619D9E01"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传真：（010）66594942</w:t>
      </w:r>
    </w:p>
    <w:p w:rsidR="00385653" w:rsidRPr="00E442F3" w:rsidP="00385653" w14:paraId="76C37350"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中国银行客服电话：95566</w:t>
      </w:r>
    </w:p>
    <w:p w:rsidR="00385653" w:rsidRPr="00E442F3" w:rsidP="00385653" w14:paraId="432BB3EE"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二、基金托管部门及主要人员情况</w:t>
      </w:r>
    </w:p>
    <w:p w:rsidR="00385653" w:rsidRPr="00E442F3" w:rsidP="00385653" w14:paraId="7EA292A4"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中国银行资产托管部设立于1998年，现有员工</w:t>
      </w:r>
      <w:r w:rsidRPr="00E442F3">
        <w:rPr>
          <w:rFonts w:asciiTheme="minorEastAsia" w:eastAsiaTheme="minorEastAsia" w:hAnsiTheme="minorEastAsia" w:cs="宋体" w:hint="eastAsia"/>
          <w:szCs w:val="21"/>
          <w:lang w:eastAsia="zh-CN"/>
        </w:rPr>
        <w:t>1</w:t>
      </w:r>
      <w:r>
        <w:rPr>
          <w:rFonts w:asciiTheme="minorEastAsia" w:eastAsiaTheme="minorEastAsia" w:hAnsiTheme="minorEastAsia" w:cs="宋体"/>
          <w:szCs w:val="21"/>
          <w:lang w:eastAsia="zh-CN"/>
        </w:rPr>
        <w:t>3</w:t>
      </w:r>
      <w:r w:rsidRPr="00E442F3">
        <w:rPr>
          <w:rFonts w:asciiTheme="minorEastAsia" w:eastAsiaTheme="minorEastAsia" w:hAnsiTheme="minorEastAsia" w:cs="宋体" w:hint="eastAsia"/>
          <w:szCs w:val="21"/>
          <w:lang w:eastAsia="zh-CN"/>
        </w:rPr>
        <w:t>0</w:t>
      </w:r>
      <w:r w:rsidRPr="00E442F3">
        <w:rPr>
          <w:rFonts w:asciiTheme="minorEastAsia" w:eastAsiaTheme="minorEastAsia" w:hAnsiTheme="minorEastAsia" w:cs="宋体" w:hint="eastAsia"/>
          <w:szCs w:val="21"/>
          <w:lang w:eastAsia="zh-CN"/>
        </w:rPr>
        <w:t>余人，大部分员工具有丰富的银行、证券、基金、信托从业经验，且具有海外工作、学习或培训经历，60％以上的员工具有硕士以上学位或高级职称。为给客户提供专业化的托管服务，中国银行已在境内、外分行开展托管业务。</w:t>
      </w:r>
    </w:p>
    <w:p w:rsidR="00385653" w:rsidRPr="00E442F3" w:rsidP="00385653" w14:paraId="3DE08DF9"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作为国内首批开展证券投资基金托管业务的商业银行，中国银行拥有证券投资基金、基金（一对多、一对一）、社保基金、保险资金、QFII、RQFII、QDII、境外三类机构、券商资产管理计划、信托计划、企业年金、银行理财产品、股权基金、私募基金、资金托管等门类齐全、产品丰富的托管业务体系。在国内，中国银行首家开展绩效评估、风险分析等增值服务，为各类客户提供个性化的托管增值服务，是国内领先的大型中资托管银行。</w:t>
      </w:r>
    </w:p>
    <w:p w:rsidR="00385653" w:rsidRPr="00E442F3" w:rsidP="00385653" w14:paraId="6AB34E9D"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三、证券投资基金托管情况</w:t>
      </w:r>
    </w:p>
    <w:p w:rsidR="00385653" w:rsidRPr="00E442F3" w:rsidP="00385653" w14:paraId="7BDBCFF9" w14:textId="77777777">
      <w:pPr>
        <w:spacing w:line="360" w:lineRule="auto"/>
        <w:ind w:firstLine="420"/>
        <w:rPr>
          <w:rFonts w:asciiTheme="minorEastAsia" w:eastAsiaTheme="minorEastAsia" w:hAnsiTheme="minorEastAsia" w:cs="宋体" w:hint="eastAsia"/>
          <w:szCs w:val="21"/>
          <w:lang w:eastAsia="zh-CN"/>
        </w:rPr>
      </w:pPr>
      <w:r w:rsidRPr="00837182">
        <w:rPr>
          <w:rFonts w:asciiTheme="minorEastAsia" w:eastAsiaTheme="minorEastAsia" w:hAnsiTheme="minorEastAsia" w:cs="宋体" w:hint="eastAsia"/>
          <w:szCs w:val="21"/>
          <w:lang w:eastAsia="zh-CN"/>
        </w:rPr>
        <w:t>截至2026年3月31日，中国银行已托管1219只证券投资基金，其中境内基金1150只，QDII基金69只，覆盖了股票型、债券型、混合型、货币型、指数型、FOF、REITs等多种类型的基金，满足了不同客户多元化的投资理财需求，基金托管规模位居同业前列。</w:t>
      </w:r>
    </w:p>
    <w:p w:rsidR="00385653" w:rsidRPr="00E442F3" w:rsidP="00385653" w14:paraId="3AC675B9"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四、托管业务的内部控制制度</w:t>
      </w:r>
    </w:p>
    <w:p w:rsidR="00385653" w:rsidRPr="00997550" w:rsidP="00385653" w14:paraId="6A9F1432" w14:textId="77777777">
      <w:pPr>
        <w:spacing w:line="360" w:lineRule="auto"/>
        <w:ind w:firstLine="420"/>
        <w:rPr>
          <w:rFonts w:asciiTheme="minorEastAsia" w:eastAsiaTheme="minorEastAsia" w:hAnsiTheme="minorEastAsia" w:cs="宋体" w:hint="eastAsia"/>
          <w:szCs w:val="21"/>
          <w:lang w:eastAsia="zh-CN"/>
        </w:rPr>
      </w:pPr>
      <w:r w:rsidRPr="00997550">
        <w:rPr>
          <w:rFonts w:asciiTheme="minorEastAsia" w:eastAsiaTheme="minorEastAsia" w:hAnsiTheme="minorEastAsia" w:cs="宋体" w:hint="eastAsia"/>
          <w:szCs w:val="21"/>
          <w:lang w:eastAsia="zh-CN"/>
        </w:rPr>
        <w:t>中国银行托管业务风险管理与内部控制纳入中国银行全面风险管理体系。资产托管部作为一道防线部门，承担托管业务风险控制的第一责任；风险管理部门作为第二道防线部门，承担制定风险管理制度和流程，监测和管理风险的责任，对托管业务进行指导、培训、监督检查；审计部门作为第三道防线，负责开展托管业务审计工作，发现问题，揭示风险，提出审计建议。中国银行托管业务风险控制贯穿业务各环节，通过制度建设与执行、风险与控制评估、内外部检查及审计监督等措施，持续完善托管业务全员、全面、全程的风险管理体系。</w:t>
      </w:r>
    </w:p>
    <w:p w:rsidR="00385653" w:rsidRPr="00E442F3" w:rsidP="00385653" w14:paraId="73D6A1C5" w14:textId="77777777">
      <w:pPr>
        <w:spacing w:line="360" w:lineRule="auto"/>
        <w:ind w:firstLine="420"/>
        <w:rPr>
          <w:rFonts w:asciiTheme="minorEastAsia" w:eastAsiaTheme="minorEastAsia" w:hAnsiTheme="minorEastAsia" w:cs="宋体" w:hint="eastAsia"/>
          <w:szCs w:val="21"/>
          <w:lang w:eastAsia="zh-CN"/>
        </w:rPr>
      </w:pPr>
      <w:r w:rsidRPr="00997550">
        <w:rPr>
          <w:rFonts w:asciiTheme="minorEastAsia" w:eastAsiaTheme="minorEastAsia" w:hAnsiTheme="minorEastAsia" w:cs="宋体" w:hint="eastAsia"/>
          <w:szCs w:val="21"/>
          <w:lang w:eastAsia="zh-CN"/>
        </w:rPr>
        <w:t>2007年起，中国银行开始聘请外部会计师事务所开展托管业务内部控制审阅工作，已连续多年获得基于“ISAE3402”等国际主流内控审阅准则的无保留意见的内控</w:t>
      </w:r>
      <w:r w:rsidRPr="00CC79DF">
        <w:rPr>
          <w:rFonts w:asciiTheme="minorEastAsia" w:eastAsiaTheme="minorEastAsia" w:hAnsiTheme="minorEastAsia" w:cs="宋体" w:hint="eastAsia"/>
          <w:szCs w:val="21"/>
          <w:lang w:eastAsia="zh-CN"/>
        </w:rPr>
        <w:t>鉴</w:t>
      </w:r>
      <w:r w:rsidRPr="00997550">
        <w:rPr>
          <w:rFonts w:asciiTheme="minorEastAsia" w:eastAsiaTheme="minorEastAsia" w:hAnsiTheme="minorEastAsia" w:cs="宋体" w:hint="eastAsia"/>
          <w:szCs w:val="21"/>
          <w:lang w:eastAsia="zh-CN"/>
        </w:rPr>
        <w:t>证报告。中国银行托管业务内控制度完善，内控措施严密，能够有效保证托管资产的安全。</w:t>
      </w:r>
    </w:p>
    <w:p w:rsidR="00385653" w:rsidRPr="00E442F3" w:rsidP="00385653" w14:paraId="0C08FA15"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五、托管人对管理人运作基金进行监督的方法和程序</w:t>
      </w:r>
    </w:p>
    <w:p w:rsidR="009F340D" w:rsidRPr="00A936B7" w14:paraId="4F6EA050" w14:textId="77777777">
      <w:pPr>
        <w:spacing w:line="360" w:lineRule="auto"/>
        <w:ind w:firstLine="420"/>
        <w:rPr>
          <w:rFonts w:asciiTheme="minorEastAsia" w:eastAsiaTheme="minorEastAsia" w:hAnsiTheme="minorEastAsia" w:cs="宋体" w:hint="eastAsia"/>
          <w:szCs w:val="21"/>
          <w:lang w:eastAsia="zh-CN"/>
        </w:rPr>
      </w:pPr>
      <w:r w:rsidRPr="00E442F3">
        <w:rPr>
          <w:rFonts w:asciiTheme="minorEastAsia" w:eastAsiaTheme="minorEastAsia" w:hAnsiTheme="minorEastAsia" w:cs="宋体" w:hint="eastAsia"/>
          <w:szCs w:val="21"/>
          <w:lang w:eastAsia="zh-CN"/>
        </w:rPr>
        <w:t>根据《中华人民共和国证券投资基金法》、《公开募集证券投资基金运作管理办法》的相关规定，基金托管人发现基金管理人的投资指令违反法律、行政法规和其他有关规定，或者违反基金合同约定的，应当拒绝执行，及时通知基金管理人，并及时向国务院证券监督管理机构报告。基金托管人如发现基金管理人依据交易程序已经生效的投资指令违反法律、行政法规和其他有关规定，或者违反基金合同约定的</w:t>
      </w:r>
      <w:r>
        <w:rPr>
          <w:rFonts w:asciiTheme="minorEastAsia" w:eastAsiaTheme="minorEastAsia" w:hAnsiTheme="minorEastAsia" w:cs="宋体" w:hint="eastAsia"/>
          <w:szCs w:val="21"/>
          <w:lang w:eastAsia="zh-CN"/>
        </w:rPr>
        <w:t>，</w:t>
      </w:r>
      <w:r w:rsidRPr="00E442F3">
        <w:rPr>
          <w:rFonts w:asciiTheme="minorEastAsia" w:eastAsiaTheme="minorEastAsia" w:hAnsiTheme="minorEastAsia" w:cs="宋体" w:hint="eastAsia"/>
          <w:szCs w:val="21"/>
          <w:lang w:eastAsia="zh-CN"/>
        </w:rPr>
        <w:t>应当及时通知基金管理人，并及时向国务院证券监督管理机构报告。</w:t>
      </w:r>
    </w:p>
    <w:p w:rsidR="009F340D" w:rsidRPr="00A936B7" w14:paraId="62090F1A" w14:textId="77777777">
      <w:pPr>
        <w:pStyle w:val="111"/>
        <w:spacing w:before="317" w:after="317" w:line="360" w:lineRule="auto"/>
        <w:ind w:firstLine="640"/>
        <w:rPr>
          <w:rFonts w:asciiTheme="minorEastAsia" w:eastAsiaTheme="minorEastAsia" w:hAnsiTheme="minorEastAsia" w:cs="宋体" w:hint="eastAsia"/>
          <w:sz w:val="30"/>
          <w:szCs w:val="30"/>
          <w:lang w:eastAsia="zh-CN"/>
        </w:rPr>
      </w:pPr>
      <w:bookmarkStart w:id="1776" w:name="_Toc129511527"/>
      <w:bookmarkStart w:id="1777" w:name="_Toc332373481"/>
      <w:r w:rsidRPr="00A936B7">
        <w:rPr>
          <w:rFonts w:asciiTheme="minorEastAsia" w:eastAsiaTheme="minorEastAsia" w:hAnsiTheme="minorEastAsia" w:cs="宋体" w:hint="eastAsia"/>
          <w:sz w:val="30"/>
          <w:szCs w:val="30"/>
          <w:highlight w:val="white"/>
          <w:lang w:eastAsia="zh-CN"/>
        </w:rPr>
        <w:t>第五部分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相关服务机构</w:t>
      </w:r>
      <w:bookmarkEnd w:id="1776"/>
      <w:bookmarkEnd w:id="1777"/>
    </w:p>
    <w:p w:rsidR="009F340D" w:rsidRPr="00A936B7" w14:paraId="109543D2" w14:textId="77777777">
      <w:pPr>
        <w:spacing w:line="360" w:lineRule="auto"/>
        <w:ind w:firstLine="420"/>
        <w:rPr>
          <w:rStyle w:val="da"/>
          <w:rFonts w:asciiTheme="minorEastAsia" w:eastAsiaTheme="minorEastAsia" w:hAnsiTheme="minorEastAsia" w:cs="宋体" w:hint="eastAsia"/>
          <w:szCs w:val="21"/>
          <w:lang w:eastAsia="zh-CN"/>
        </w:rPr>
      </w:pPr>
      <w:bookmarkStart w:id="1778" w:name="_Toc332373482"/>
      <w:r w:rsidRPr="00A936B7">
        <w:rPr>
          <w:rStyle w:val="da"/>
          <w:rFonts w:asciiTheme="minorEastAsia" w:eastAsiaTheme="minorEastAsia" w:hAnsiTheme="minorEastAsia" w:cs="宋体" w:hint="eastAsia"/>
          <w:szCs w:val="21"/>
          <w:highlight w:val="white"/>
          <w:lang w:eastAsia="zh-CN"/>
        </w:rPr>
        <w:t>一、基金份额发售机构</w:t>
      </w:r>
      <w:bookmarkEnd w:id="1778"/>
    </w:p>
    <w:p w:rsidR="009F340D" w:rsidRPr="00A936B7" w14:paraId="49578DE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1、直销机构：易方达基金管理有限公司</w:t>
      </w:r>
    </w:p>
    <w:p w:rsidR="009F340D" w:rsidRPr="00A936B7" w14:paraId="3EECB79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注册地址：</w:t>
      </w:r>
      <w:r w:rsidRPr="00A936B7">
        <w:rPr>
          <w:rFonts w:asciiTheme="minorEastAsia" w:eastAsiaTheme="minorEastAsia" w:hAnsiTheme="minorEastAsia" w:cs="宋体"/>
          <w:color w:val="000000"/>
          <w:szCs w:val="21"/>
          <w:highlight w:val="white"/>
          <w:lang w:eastAsia="zh-CN"/>
        </w:rPr>
        <w:t>广东省珠海市横琴新区荣粤道188号6层</w:t>
      </w:r>
    </w:p>
    <w:p w:rsidR="009F340D" w:rsidRPr="00A936B7" w14:paraId="1A4C8E7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办公地址：广东省广州市天河区珠江西路21号52层；广东省广州市天河区珠江东路30号42层；广东省珠海市横琴新区荣粤道188号6层</w:t>
      </w:r>
    </w:p>
    <w:p w:rsidR="009F340D" w:rsidRPr="00A936B7" w14:paraId="060297A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法定代表人：吴欣荣</w:t>
      </w:r>
    </w:p>
    <w:p w:rsidR="009F340D" w:rsidRPr="00A936B7" w14:paraId="2C8046B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电话：020-85102506</w:t>
      </w:r>
    </w:p>
    <w:p w:rsidR="009F340D" w:rsidRPr="00A936B7" w14:paraId="5024E584" w14:textId="77777777">
      <w:pPr>
        <w:spacing w:line="360" w:lineRule="auto"/>
        <w:ind w:firstLine="420"/>
        <w:rPr>
          <w:rStyle w:val="da"/>
          <w:rFonts w:asciiTheme="minorEastAsia" w:eastAsiaTheme="minorEastAsia" w:hAnsiTheme="minorEastAsia" w:cs="宋体" w:hint="eastAsia"/>
          <w:szCs w:val="21"/>
        </w:rPr>
      </w:pPr>
      <w:r w:rsidRPr="00A936B7">
        <w:rPr>
          <w:rStyle w:val="da"/>
          <w:rFonts w:asciiTheme="minorEastAsia" w:eastAsiaTheme="minorEastAsia" w:hAnsiTheme="minorEastAsia" w:cs="宋体" w:hint="eastAsia"/>
          <w:szCs w:val="21"/>
          <w:highlight w:val="white"/>
        </w:rPr>
        <w:t>传真：4008818099</w:t>
      </w:r>
    </w:p>
    <w:p w:rsidR="009F340D" w:rsidRPr="00A936B7" w14:paraId="3285E467" w14:textId="77777777">
      <w:pPr>
        <w:spacing w:line="360" w:lineRule="auto"/>
        <w:ind w:firstLine="420"/>
        <w:rPr>
          <w:rStyle w:val="da"/>
          <w:rFonts w:asciiTheme="minorEastAsia" w:eastAsiaTheme="minorEastAsia" w:hAnsiTheme="minorEastAsia" w:cs="宋体" w:hint="eastAsia"/>
          <w:szCs w:val="21"/>
        </w:rPr>
      </w:pPr>
      <w:r w:rsidRPr="00A936B7">
        <w:rPr>
          <w:rStyle w:val="da"/>
          <w:rFonts w:asciiTheme="minorEastAsia" w:eastAsiaTheme="minorEastAsia" w:hAnsiTheme="minorEastAsia" w:cs="宋体" w:hint="eastAsia"/>
          <w:szCs w:val="21"/>
          <w:highlight w:val="white"/>
        </w:rPr>
        <w:t>联系人：梁美</w:t>
      </w:r>
    </w:p>
    <w:p w:rsidR="009F340D" w:rsidRPr="00A936B7" w14:paraId="55980906" w14:textId="77777777">
      <w:pPr>
        <w:spacing w:line="360" w:lineRule="auto"/>
        <w:ind w:firstLine="420"/>
        <w:rPr>
          <w:rStyle w:val="da"/>
          <w:rFonts w:asciiTheme="minorEastAsia" w:eastAsiaTheme="minorEastAsia" w:hAnsiTheme="minorEastAsia" w:cs="宋体" w:hint="eastAsia"/>
          <w:szCs w:val="21"/>
        </w:rPr>
      </w:pPr>
      <w:r w:rsidRPr="00A936B7">
        <w:rPr>
          <w:rStyle w:val="da"/>
          <w:rFonts w:asciiTheme="minorEastAsia" w:eastAsiaTheme="minorEastAsia" w:hAnsiTheme="minorEastAsia" w:cs="宋体" w:hint="eastAsia"/>
          <w:szCs w:val="21"/>
          <w:highlight w:val="white"/>
        </w:rPr>
        <w:t>网址：</w:t>
      </w:r>
      <w:hyperlink r:id="rId15" w:history="1">
        <w:r w:rsidRPr="00A936B7">
          <w:rPr>
            <w:rStyle w:val="da"/>
            <w:rFonts w:asciiTheme="minorEastAsia" w:eastAsiaTheme="minorEastAsia" w:hAnsiTheme="minorEastAsia" w:cs="宋体" w:hint="eastAsia"/>
            <w:szCs w:val="21"/>
            <w:highlight w:val="white"/>
          </w:rPr>
          <w:t>www.efunds.com.cn</w:t>
        </w:r>
      </w:hyperlink>
    </w:p>
    <w:p w:rsidR="009F340D" w:rsidRPr="00A936B7" w14:paraId="449F2191"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cs="宋体"/>
          <w:color w:val="000000"/>
          <w:szCs w:val="21"/>
          <w:highlight w:val="white"/>
          <w:lang w:eastAsia="zh-CN"/>
        </w:rPr>
        <w:t>直销机构网点信息：</w:t>
      </w:r>
    </w:p>
    <w:p w:rsidR="009F340D" w:rsidRPr="00A936B7" w14:paraId="27D79138"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cs="宋体"/>
          <w:color w:val="000000"/>
          <w:szCs w:val="21"/>
          <w:highlight w:val="white"/>
          <w:lang w:eastAsia="zh-CN"/>
        </w:rPr>
        <w:t>本公司直销中心和网上直销系统销售本基金</w:t>
      </w:r>
      <w:r w:rsidRPr="00A936B7">
        <w:rPr>
          <w:rFonts w:asciiTheme="minorEastAsia" w:eastAsiaTheme="minorEastAsia" w:hAnsiTheme="minorEastAsia" w:cs="宋体" w:hint="eastAsia"/>
          <w:color w:val="000000"/>
          <w:szCs w:val="21"/>
          <w:highlight w:val="white"/>
          <w:lang w:eastAsia="zh-CN"/>
        </w:rPr>
        <w:t>A类份额，若后续销售本基金C类份额，将另行公告</w:t>
      </w:r>
      <w:r w:rsidRPr="00A936B7">
        <w:rPr>
          <w:rFonts w:asciiTheme="minorEastAsia" w:eastAsiaTheme="minorEastAsia" w:hAnsiTheme="minorEastAsia" w:cs="宋体"/>
          <w:color w:val="000000"/>
          <w:szCs w:val="21"/>
          <w:highlight w:val="white"/>
          <w:lang w:eastAsia="zh-CN"/>
        </w:rPr>
        <w:t>，网点具体信息详见本公司网站。</w:t>
      </w:r>
    </w:p>
    <w:p w:rsidR="009F340D" w:rsidRPr="00A936B7" w14:paraId="13EAC72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2、非直销销售机构</w:t>
      </w:r>
    </w:p>
    <w:p w:rsidR="009F340D" w:rsidRPr="00A936B7" w14:paraId="30E699F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详见基金份额发售公告。</w:t>
      </w:r>
    </w:p>
    <w:p w:rsidR="009F340D" w:rsidRPr="00A936B7" w14:paraId="19ACF25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基金管理人可根据情况变更或增减销售机构并在基金管理人网站公示。</w:t>
      </w:r>
    </w:p>
    <w:p w:rsidR="009F340D" w:rsidRPr="00A936B7" w14:paraId="1ADAD9FD" w14:textId="77777777">
      <w:pPr>
        <w:spacing w:line="360" w:lineRule="auto"/>
        <w:ind w:firstLine="420"/>
        <w:rPr>
          <w:rStyle w:val="da"/>
          <w:rFonts w:asciiTheme="minorEastAsia" w:eastAsiaTheme="minorEastAsia" w:hAnsiTheme="minorEastAsia" w:cs="宋体" w:hint="eastAsia"/>
          <w:szCs w:val="21"/>
          <w:lang w:eastAsia="zh-CN"/>
        </w:rPr>
      </w:pPr>
      <w:bookmarkStart w:id="1779" w:name="_Toc332373483"/>
      <w:r w:rsidRPr="00A936B7">
        <w:rPr>
          <w:rStyle w:val="da"/>
          <w:rFonts w:asciiTheme="minorEastAsia" w:eastAsiaTheme="minorEastAsia" w:hAnsiTheme="minorEastAsia" w:cs="宋体" w:hint="eastAsia"/>
          <w:szCs w:val="21"/>
          <w:highlight w:val="white"/>
          <w:lang w:eastAsia="zh-CN"/>
        </w:rPr>
        <w:t>二、</w:t>
      </w:r>
      <w:bookmarkEnd w:id="1779"/>
      <w:r w:rsidRPr="00A936B7">
        <w:rPr>
          <w:rStyle w:val="da"/>
          <w:rFonts w:asciiTheme="minorEastAsia" w:eastAsiaTheme="minorEastAsia" w:hAnsiTheme="minorEastAsia" w:cs="宋体" w:hint="eastAsia"/>
          <w:szCs w:val="21"/>
          <w:highlight w:val="white"/>
          <w:lang w:eastAsia="zh-CN"/>
        </w:rPr>
        <w:t>登记机构</w:t>
      </w:r>
    </w:p>
    <w:p w:rsidR="009F340D" w:rsidRPr="00A936B7" w14:paraId="58E9909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名称：易方达基金管理有限公司</w:t>
      </w:r>
    </w:p>
    <w:p w:rsidR="009F340D" w:rsidRPr="00A936B7" w14:paraId="135C7D8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注册地址：</w:t>
      </w:r>
      <w:r w:rsidRPr="00A936B7">
        <w:rPr>
          <w:rFonts w:asciiTheme="minorEastAsia" w:eastAsiaTheme="minorEastAsia" w:hAnsiTheme="minorEastAsia" w:cs="宋体"/>
          <w:color w:val="000000"/>
          <w:szCs w:val="21"/>
          <w:highlight w:val="white"/>
          <w:lang w:eastAsia="zh-CN"/>
        </w:rPr>
        <w:t>广东省珠海市横琴新区荣粤道188号6层</w:t>
      </w:r>
    </w:p>
    <w:p w:rsidR="009F340D" w:rsidRPr="00A936B7" w14:paraId="5E48258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办公</w:t>
      </w:r>
      <w:r w:rsidRPr="00A936B7">
        <w:rPr>
          <w:rStyle w:val="da"/>
          <w:rFonts w:asciiTheme="minorEastAsia" w:eastAsiaTheme="minorEastAsia" w:hAnsiTheme="minorEastAsia" w:cs="宋体" w:hint="eastAsia"/>
          <w:szCs w:val="21"/>
          <w:highlight w:val="white"/>
          <w:lang w:eastAsia="zh-CN"/>
        </w:rPr>
        <w:t>地址：广东省广州市天河区珠江西路21号52层；广东省广州市天河区珠江东路30号42层；广东省珠海市横琴新区荣粤道188号6层</w:t>
      </w:r>
    </w:p>
    <w:p w:rsidR="009F340D" w:rsidRPr="00A936B7" w14:paraId="10D5114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法定代表人：吴欣荣</w:t>
      </w:r>
    </w:p>
    <w:p w:rsidR="009F340D" w:rsidRPr="00A936B7" w14:paraId="5903903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电话：4008818088</w:t>
      </w:r>
    </w:p>
    <w:p w:rsidR="009F340D" w:rsidRPr="00A936B7" w14:paraId="78C0E1F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传真：</w:t>
      </w:r>
      <w:r w:rsidRPr="00A936B7">
        <w:rPr>
          <w:rStyle w:val="da"/>
          <w:rFonts w:asciiTheme="minorEastAsia" w:eastAsiaTheme="minorEastAsia" w:hAnsiTheme="minorEastAsia" w:cs="宋体"/>
          <w:szCs w:val="21"/>
          <w:highlight w:val="white"/>
          <w:lang w:eastAsia="zh-CN"/>
        </w:rPr>
        <w:t>020</w:t>
      </w:r>
      <w:r w:rsidRPr="00A936B7">
        <w:rPr>
          <w:rStyle w:val="da"/>
          <w:rFonts w:asciiTheme="minorEastAsia" w:eastAsiaTheme="minorEastAsia" w:hAnsiTheme="minorEastAsia" w:cs="宋体" w:hint="eastAsia"/>
          <w:szCs w:val="21"/>
          <w:highlight w:val="white"/>
          <w:lang w:eastAsia="zh-CN"/>
        </w:rPr>
        <w:t>-38799249</w:t>
      </w:r>
    </w:p>
    <w:p w:rsidR="009F340D" w:rsidRPr="00A936B7" w14:paraId="1AA9222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联系人：余贤高</w:t>
      </w:r>
    </w:p>
    <w:p w:rsidR="009F340D" w:rsidRPr="00A936B7" w14:paraId="65905489" w14:textId="77777777">
      <w:pPr>
        <w:spacing w:line="360" w:lineRule="auto"/>
        <w:ind w:firstLine="420"/>
        <w:rPr>
          <w:rStyle w:val="da"/>
          <w:rFonts w:asciiTheme="minorEastAsia" w:eastAsiaTheme="minorEastAsia" w:hAnsiTheme="minorEastAsia" w:cs="宋体" w:hint="eastAsia"/>
          <w:szCs w:val="21"/>
          <w:lang w:eastAsia="zh-CN"/>
        </w:rPr>
      </w:pPr>
      <w:bookmarkStart w:id="1780" w:name="_Toc332373484"/>
      <w:r w:rsidRPr="00A936B7">
        <w:rPr>
          <w:rStyle w:val="da"/>
          <w:rFonts w:asciiTheme="minorEastAsia" w:eastAsiaTheme="minorEastAsia" w:hAnsiTheme="minorEastAsia" w:cs="宋体" w:hint="eastAsia"/>
          <w:szCs w:val="21"/>
          <w:highlight w:val="white"/>
          <w:lang w:eastAsia="zh-CN"/>
        </w:rPr>
        <w:t>三、律师事务所和经办律师</w:t>
      </w:r>
      <w:bookmarkEnd w:id="1780"/>
    </w:p>
    <w:p w:rsidR="009F340D" w:rsidRPr="00A936B7" w14:paraId="6D07FD3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律师事务所：广东金桥百信律师事务所</w:t>
      </w:r>
    </w:p>
    <w:p w:rsidR="009F340D" w:rsidRPr="00A936B7" w14:paraId="6689DA9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住所：广东省广州市天河区珠江东路16号24-26层</w:t>
      </w:r>
    </w:p>
    <w:p w:rsidR="009F340D" w:rsidRPr="00A936B7" w14:paraId="51944BF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办公地址：广州市珠江新城珠江东路16号高德置地冬广场G座26楼</w:t>
      </w:r>
    </w:p>
    <w:p w:rsidR="009F340D" w:rsidRPr="00A936B7" w14:paraId="4134276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负责人：</w:t>
      </w:r>
      <w:r w:rsidRPr="00A936B7">
        <w:rPr>
          <w:rStyle w:val="da"/>
          <w:rFonts w:asciiTheme="minorEastAsia" w:eastAsiaTheme="minorEastAsia" w:hAnsiTheme="minorEastAsia" w:hint="eastAsia"/>
          <w:highlight w:val="white"/>
          <w:lang w:eastAsia="zh-CN"/>
        </w:rPr>
        <w:t>莫哲</w:t>
      </w:r>
    </w:p>
    <w:p w:rsidR="009F340D" w:rsidRPr="00A936B7" w14:paraId="08D7F22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电话：</w:t>
      </w:r>
      <w:r w:rsidRPr="00A936B7">
        <w:rPr>
          <w:rStyle w:val="da"/>
          <w:rFonts w:asciiTheme="minorEastAsia" w:eastAsiaTheme="minorEastAsia" w:hAnsiTheme="minorEastAsia" w:cs="宋体"/>
          <w:szCs w:val="21"/>
          <w:highlight w:val="white"/>
          <w:lang w:eastAsia="zh-CN"/>
        </w:rPr>
        <w:t>020-83338668</w:t>
      </w:r>
    </w:p>
    <w:p w:rsidR="009F340D" w:rsidRPr="00A936B7" w14:paraId="5F72BA2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传真：</w:t>
      </w:r>
      <w:r w:rsidRPr="00A936B7">
        <w:rPr>
          <w:rStyle w:val="da"/>
          <w:rFonts w:asciiTheme="minorEastAsia" w:eastAsiaTheme="minorEastAsia" w:hAnsiTheme="minorEastAsia" w:cs="宋体"/>
          <w:szCs w:val="21"/>
          <w:highlight w:val="white"/>
          <w:lang w:eastAsia="zh-CN"/>
        </w:rPr>
        <w:t>020-83338088</w:t>
      </w:r>
    </w:p>
    <w:p w:rsidR="009F340D" w:rsidRPr="00A936B7" w14:paraId="4F5C7C81" w14:textId="77777777">
      <w:pPr>
        <w:spacing w:line="360" w:lineRule="auto"/>
        <w:ind w:firstLine="420"/>
        <w:rPr>
          <w:rStyle w:val="da"/>
          <w:rFonts w:asciiTheme="minorEastAsia" w:eastAsiaTheme="minorEastAsia" w:hAnsiTheme="minorEastAsia" w:hint="eastAsia"/>
          <w:lang w:eastAsia="zh-CN"/>
        </w:rPr>
      </w:pPr>
      <w:r w:rsidRPr="00A936B7">
        <w:rPr>
          <w:rStyle w:val="da"/>
          <w:rFonts w:asciiTheme="minorEastAsia" w:eastAsiaTheme="minorEastAsia" w:hAnsiTheme="minorEastAsia" w:hint="eastAsia"/>
          <w:highlight w:val="white"/>
          <w:lang w:eastAsia="zh-CN"/>
        </w:rPr>
        <w:t>经办律师：郭东雪、李海滢</w:t>
      </w:r>
    </w:p>
    <w:p w:rsidR="009F340D" w:rsidRPr="00A936B7" w14:paraId="2A2130E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hint="eastAsia"/>
          <w:highlight w:val="white"/>
          <w:lang w:eastAsia="zh-CN"/>
        </w:rPr>
        <w:t>联系人：李海滢</w:t>
      </w:r>
      <w:bookmarkStart w:id="1781" w:name="_Toc332373485"/>
    </w:p>
    <w:p w:rsidR="009F340D" w:rsidRPr="00A936B7" w14:paraId="565D4E0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四、会计师事务所</w:t>
      </w:r>
    </w:p>
    <w:p w:rsidR="009F340D" w:rsidRPr="00A936B7" w14:paraId="7DBF0ECD" w14:textId="77777777">
      <w:pPr>
        <w:spacing w:line="360" w:lineRule="auto"/>
        <w:ind w:firstLine="420"/>
        <w:rPr>
          <w:rStyle w:val="da"/>
          <w:rFonts w:asciiTheme="minorEastAsia" w:eastAsiaTheme="minorEastAsia" w:hAnsiTheme="minorEastAsia" w:cs="Calibri" w:hint="eastAsia"/>
          <w:szCs w:val="21"/>
          <w:lang w:eastAsia="zh-CN"/>
        </w:rPr>
      </w:pPr>
      <w:r w:rsidRPr="00A936B7">
        <w:rPr>
          <w:rStyle w:val="da"/>
          <w:rFonts w:asciiTheme="minorEastAsia" w:eastAsiaTheme="minorEastAsia" w:hAnsiTheme="minorEastAsia" w:cs="Calibri" w:hint="eastAsia"/>
          <w:szCs w:val="21"/>
          <w:highlight w:val="white"/>
          <w:lang w:eastAsia="zh-CN"/>
        </w:rPr>
        <w:t>会计师事务所：德勤华永会计师事务所（特殊普通合伙）</w:t>
      </w:r>
    </w:p>
    <w:p w:rsidR="009F340D" w:rsidRPr="00A936B7" w14:paraId="25A7C95B" w14:textId="77777777">
      <w:pPr>
        <w:spacing w:line="360" w:lineRule="auto"/>
        <w:ind w:firstLine="420"/>
        <w:rPr>
          <w:rStyle w:val="da"/>
          <w:rFonts w:asciiTheme="minorEastAsia" w:eastAsiaTheme="minorEastAsia" w:hAnsiTheme="minorEastAsia" w:cs="Calibri" w:hint="eastAsia"/>
          <w:szCs w:val="21"/>
          <w:lang w:eastAsia="zh-CN"/>
        </w:rPr>
      </w:pPr>
      <w:r w:rsidRPr="00A936B7">
        <w:rPr>
          <w:rStyle w:val="da"/>
          <w:rFonts w:asciiTheme="minorEastAsia" w:eastAsiaTheme="minorEastAsia" w:hAnsiTheme="minorEastAsia" w:cs="Calibri" w:hint="eastAsia"/>
          <w:szCs w:val="21"/>
          <w:highlight w:val="white"/>
          <w:lang w:eastAsia="zh-CN"/>
        </w:rPr>
        <w:t>住所：中国上海市延安东路</w:t>
      </w:r>
      <w:r w:rsidRPr="00A936B7">
        <w:rPr>
          <w:rStyle w:val="da"/>
          <w:rFonts w:asciiTheme="minorEastAsia" w:eastAsiaTheme="minorEastAsia" w:hAnsiTheme="minorEastAsia" w:cs="Calibri"/>
          <w:szCs w:val="21"/>
          <w:highlight w:val="white"/>
          <w:lang w:eastAsia="zh-CN"/>
        </w:rPr>
        <w:t>222号外滩中心30楼</w:t>
      </w:r>
    </w:p>
    <w:p w:rsidR="009F340D" w:rsidRPr="00A936B7" w14:paraId="30E47DB4" w14:textId="77777777">
      <w:pPr>
        <w:spacing w:line="360" w:lineRule="auto"/>
        <w:ind w:firstLine="420"/>
        <w:rPr>
          <w:rStyle w:val="da"/>
          <w:rFonts w:asciiTheme="minorEastAsia" w:eastAsiaTheme="minorEastAsia" w:hAnsiTheme="minorEastAsia" w:cs="Calibri" w:hint="eastAsia"/>
          <w:szCs w:val="21"/>
          <w:lang w:eastAsia="zh-CN"/>
        </w:rPr>
      </w:pPr>
      <w:r w:rsidRPr="00A936B7">
        <w:rPr>
          <w:rStyle w:val="da"/>
          <w:rFonts w:asciiTheme="minorEastAsia" w:eastAsiaTheme="minorEastAsia" w:hAnsiTheme="minorEastAsia" w:cs="Calibri" w:hint="eastAsia"/>
          <w:szCs w:val="21"/>
          <w:highlight w:val="white"/>
          <w:lang w:eastAsia="zh-CN"/>
        </w:rPr>
        <w:t>主要经营场所：中国上海市延安东路</w:t>
      </w:r>
      <w:r w:rsidRPr="00A936B7">
        <w:rPr>
          <w:rStyle w:val="da"/>
          <w:rFonts w:asciiTheme="minorEastAsia" w:eastAsiaTheme="minorEastAsia" w:hAnsiTheme="minorEastAsia" w:cs="Calibri"/>
          <w:szCs w:val="21"/>
          <w:highlight w:val="white"/>
          <w:lang w:eastAsia="zh-CN"/>
        </w:rPr>
        <w:t>222号外滩中心30楼</w:t>
      </w:r>
    </w:p>
    <w:p w:rsidR="009F340D" w:rsidRPr="00A936B7" w14:paraId="48B72D78" w14:textId="77777777">
      <w:pPr>
        <w:spacing w:line="360" w:lineRule="auto"/>
        <w:ind w:firstLine="420"/>
        <w:rPr>
          <w:rStyle w:val="da"/>
          <w:rFonts w:asciiTheme="minorEastAsia" w:eastAsiaTheme="minorEastAsia" w:hAnsiTheme="minorEastAsia" w:cs="Calibri" w:hint="eastAsia"/>
          <w:szCs w:val="21"/>
          <w:lang w:eastAsia="zh-CN"/>
        </w:rPr>
      </w:pPr>
      <w:r w:rsidRPr="00A936B7">
        <w:rPr>
          <w:rStyle w:val="da"/>
          <w:rFonts w:asciiTheme="minorEastAsia" w:eastAsiaTheme="minorEastAsia" w:hAnsiTheme="minorEastAsia" w:cs="Calibri" w:hint="eastAsia"/>
          <w:szCs w:val="21"/>
          <w:highlight w:val="white"/>
          <w:lang w:eastAsia="zh-CN"/>
        </w:rPr>
        <w:t>执行事务合伙人：唐恋炯</w:t>
      </w:r>
    </w:p>
    <w:p w:rsidR="009F340D" w:rsidRPr="00A936B7" w14:paraId="36582E95" w14:textId="77777777">
      <w:pPr>
        <w:spacing w:line="360" w:lineRule="auto"/>
        <w:ind w:firstLine="420"/>
        <w:rPr>
          <w:rStyle w:val="da"/>
          <w:rFonts w:asciiTheme="minorEastAsia" w:eastAsiaTheme="minorEastAsia" w:hAnsiTheme="minorEastAsia" w:cs="Calibri" w:hint="eastAsia"/>
          <w:szCs w:val="21"/>
          <w:lang w:eastAsia="zh-CN"/>
        </w:rPr>
      </w:pPr>
      <w:r w:rsidRPr="00A936B7">
        <w:rPr>
          <w:rStyle w:val="da"/>
          <w:rFonts w:asciiTheme="minorEastAsia" w:eastAsiaTheme="minorEastAsia" w:hAnsiTheme="minorEastAsia" w:cs="Calibri" w:hint="eastAsia"/>
          <w:szCs w:val="21"/>
          <w:highlight w:val="white"/>
          <w:lang w:eastAsia="zh-CN"/>
        </w:rPr>
        <w:t>电话：</w:t>
      </w:r>
      <w:r w:rsidRPr="00A936B7">
        <w:rPr>
          <w:rStyle w:val="da"/>
          <w:rFonts w:asciiTheme="minorEastAsia" w:eastAsiaTheme="minorEastAsia" w:hAnsiTheme="minorEastAsia" w:cs="Calibri"/>
          <w:szCs w:val="21"/>
          <w:highlight w:val="white"/>
          <w:lang w:eastAsia="zh-CN"/>
        </w:rPr>
        <w:t>021-61418888</w:t>
      </w:r>
    </w:p>
    <w:p w:rsidR="009F340D" w:rsidRPr="00A936B7" w14:paraId="6FFFE9BC" w14:textId="77777777">
      <w:pPr>
        <w:spacing w:line="360" w:lineRule="auto"/>
        <w:ind w:firstLine="420"/>
        <w:rPr>
          <w:rStyle w:val="da"/>
          <w:rFonts w:asciiTheme="minorEastAsia" w:eastAsiaTheme="minorEastAsia" w:hAnsiTheme="minorEastAsia" w:cs="Calibri" w:hint="eastAsia"/>
          <w:szCs w:val="21"/>
          <w:lang w:eastAsia="zh-CN"/>
        </w:rPr>
      </w:pPr>
      <w:r w:rsidRPr="00A936B7">
        <w:rPr>
          <w:rStyle w:val="da"/>
          <w:rFonts w:asciiTheme="minorEastAsia" w:eastAsiaTheme="minorEastAsia" w:hAnsiTheme="minorEastAsia" w:cs="Calibri" w:hint="eastAsia"/>
          <w:szCs w:val="21"/>
          <w:highlight w:val="white"/>
          <w:lang w:eastAsia="zh-CN"/>
        </w:rPr>
        <w:t>传真：</w:t>
      </w:r>
      <w:r w:rsidRPr="00A936B7">
        <w:rPr>
          <w:rStyle w:val="da"/>
          <w:rFonts w:asciiTheme="minorEastAsia" w:eastAsiaTheme="minorEastAsia" w:hAnsiTheme="minorEastAsia" w:cs="Calibri"/>
          <w:szCs w:val="21"/>
          <w:highlight w:val="white"/>
          <w:lang w:eastAsia="zh-CN"/>
        </w:rPr>
        <w:t>021-63350003</w:t>
      </w:r>
    </w:p>
    <w:p w:rsidR="009F340D" w:rsidRPr="00A936B7" w14:paraId="47B6C8C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Calibri" w:hint="eastAsia"/>
          <w:szCs w:val="21"/>
          <w:highlight w:val="white"/>
          <w:lang w:eastAsia="zh-CN"/>
        </w:rPr>
        <w:t>联系人：江丽雅</w:t>
      </w:r>
      <w:bookmarkEnd w:id="1781"/>
    </w:p>
    <w:p w:rsidR="009F340D" w:rsidRPr="00A936B7" w14:paraId="4A427C40" w14:textId="77777777">
      <w:pPr>
        <w:spacing w:line="360" w:lineRule="auto"/>
        <w:ind w:firstLine="420"/>
        <w:rPr>
          <w:rStyle w:val="da"/>
          <w:rFonts w:asciiTheme="minorEastAsia" w:eastAsiaTheme="minorEastAsia" w:hAnsiTheme="minorEastAsia" w:hint="eastAsia"/>
          <w:lang w:eastAsia="zh-CN"/>
        </w:rPr>
      </w:pPr>
    </w:p>
    <w:p w:rsidR="009F340D" w:rsidRPr="00A936B7" w14:paraId="73A56EED" w14:textId="77777777">
      <w:pPr>
        <w:pStyle w:val="Heading1"/>
        <w:pageBreakBefore/>
        <w:spacing w:before="317" w:after="317" w:line="360" w:lineRule="auto"/>
        <w:ind w:firstLine="640"/>
        <w:rPr>
          <w:rFonts w:asciiTheme="minorEastAsia" w:eastAsiaTheme="minorEastAsia" w:hAnsiTheme="minorEastAsia" w:cs="宋体" w:hint="eastAsia"/>
          <w:bCs/>
          <w:sz w:val="30"/>
          <w:szCs w:val="30"/>
          <w:lang w:eastAsia="zh-CN"/>
        </w:rPr>
      </w:pPr>
      <w:bookmarkStart w:id="1782" w:name="_Toc129511528"/>
      <w:bookmarkStart w:id="1783" w:name="_Toc52177265"/>
      <w:bookmarkStart w:id="1784" w:name="_Toc11178790"/>
      <w:bookmarkStart w:id="1785" w:name="_Toc332373486"/>
      <w:r w:rsidRPr="00A936B7">
        <w:rPr>
          <w:rFonts w:asciiTheme="minorEastAsia" w:eastAsiaTheme="minorEastAsia" w:hAnsiTheme="minorEastAsia" w:cs="宋体" w:hint="eastAsia"/>
          <w:bCs/>
          <w:sz w:val="30"/>
          <w:szCs w:val="30"/>
          <w:highlight w:val="white"/>
          <w:lang w:eastAsia="zh-CN"/>
        </w:rPr>
        <w:t>第六部分</w:t>
      </w:r>
      <w:r w:rsidRPr="00A936B7">
        <w:rPr>
          <w:rFonts w:asciiTheme="minorEastAsia" w:eastAsiaTheme="minorEastAsia" w:hAnsiTheme="minorEastAsia" w:cs="宋体"/>
          <w:bCs/>
          <w:sz w:val="30"/>
          <w:szCs w:val="30"/>
          <w:highlight w:val="white"/>
          <w:lang w:eastAsia="zh-CN"/>
        </w:rPr>
        <w:t xml:space="preserve"> 基金份额的分类</w:t>
      </w:r>
      <w:bookmarkEnd w:id="1782"/>
      <w:bookmarkEnd w:id="1783"/>
      <w:bookmarkEnd w:id="1784"/>
    </w:p>
    <w:p w:rsidR="009F340D" w:rsidRPr="00A936B7" w14:paraId="2C9D657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一、基金份额类别</w:t>
      </w:r>
    </w:p>
    <w:p w:rsidR="009F340D" w:rsidRPr="00A936B7" w14:paraId="2D4A91AC"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lang w:eastAsia="zh-CN"/>
        </w:rPr>
        <w:t>本基金将基金份额分为不同的类别。在投资人认购/申购基金时按规定收取认购/申购费用，并不再从本类别基金资产中计提销售服务费的基金份额，称为A类基金份额；从本类基金资产中计提销售服务费并按规定收取或返还，不收取认购/申购费用的基金份额，称为C类基金份额。</w:t>
      </w:r>
    </w:p>
    <w:p w:rsidR="009F340D" w:rsidRPr="00A936B7" w14:paraId="20C34E99" w14:textId="77777777">
      <w:pPr>
        <w:spacing w:line="360" w:lineRule="auto"/>
        <w:ind w:firstLine="48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本基金各类基金份额分别设置代码，分别计算并公布基金份额净值和基金份额累计净值。投资人在认购/申购基金份额时可自行选择基金份额类别。本基金暂不开通各份额类别之间的转换业务，今后若开通本基金各份额类别之间的转换业务，业务规则详见届时发布的有关公告或更新的招募说明书。</w:t>
      </w:r>
    </w:p>
    <w:p w:rsidR="009F340D" w:rsidRPr="00A936B7" w14:paraId="7FAB189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每类基金</w:t>
      </w:r>
      <w:r w:rsidRPr="00A936B7">
        <w:rPr>
          <w:rFonts w:asciiTheme="minorEastAsia" w:eastAsiaTheme="minorEastAsia" w:hAnsiTheme="minorEastAsia" w:cs="宋体"/>
          <w:szCs w:val="21"/>
          <w:highlight w:val="white"/>
          <w:lang w:eastAsia="zh-CN"/>
        </w:rPr>
        <w:t>份额的具体</w:t>
      </w:r>
      <w:r w:rsidRPr="00A936B7">
        <w:rPr>
          <w:rFonts w:asciiTheme="minorEastAsia" w:eastAsiaTheme="minorEastAsia" w:hAnsiTheme="minorEastAsia" w:cs="宋体" w:hint="eastAsia"/>
          <w:szCs w:val="21"/>
          <w:highlight w:val="white"/>
          <w:lang w:eastAsia="zh-CN"/>
        </w:rPr>
        <w:t>规定</w:t>
      </w:r>
      <w:r w:rsidRPr="00A936B7">
        <w:rPr>
          <w:rFonts w:asciiTheme="minorEastAsia" w:eastAsiaTheme="minorEastAsia" w:hAnsiTheme="minorEastAsia" w:cs="宋体"/>
          <w:szCs w:val="21"/>
          <w:highlight w:val="white"/>
          <w:lang w:eastAsia="zh-CN"/>
        </w:rPr>
        <w:t>详见下表：</w:t>
      </w:r>
    </w:p>
    <w:tbl>
      <w:tblPr>
        <w:tblpPr w:leftFromText="180" w:rightFromText="180" w:vertAnchor="text" w:horzAnchor="page" w:tblpX="1749" w:tblpY="124"/>
        <w:tblOverlap w:val="neve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2835"/>
        <w:gridCol w:w="2551"/>
      </w:tblGrid>
      <w:tr w14:paraId="6BB4C408" w14:textId="77777777">
        <w:tblPrEx>
          <w:tblW w:w="7933" w:type="dxa"/>
          <w:tblLayout w:type="fixed"/>
          <w:tblLook w:val="04A0"/>
        </w:tblPrEx>
        <w:trPr>
          <w:trHeight w:val="159"/>
        </w:trPr>
        <w:tc>
          <w:tcPr>
            <w:tcW w:w="2547" w:type="dxa"/>
            <w:tcBorders>
              <w:top w:val="single" w:sz="4" w:space="0" w:color="auto"/>
              <w:left w:val="single" w:sz="4" w:space="0" w:color="auto"/>
              <w:bottom w:val="single" w:sz="4" w:space="0" w:color="auto"/>
              <w:right w:val="single" w:sz="4" w:space="0" w:color="auto"/>
            </w:tcBorders>
            <w:vAlign w:val="center"/>
          </w:tcPr>
          <w:p w:rsidR="009F340D" w:rsidRPr="00A936B7" w14:paraId="61DC922E" w14:textId="77777777">
            <w:pPr>
              <w:snapToGrid w:val="0"/>
              <w:spacing w:line="360" w:lineRule="auto"/>
              <w:jc w:val="center"/>
              <w:rPr>
                <w:rFonts w:asciiTheme="minorEastAsia" w:eastAsiaTheme="minorEastAsia" w:hAnsiTheme="minorEastAsia" w:cs="宋体" w:hint="eastAsia"/>
                <w:b/>
                <w:szCs w:val="21"/>
              </w:rPr>
            </w:pPr>
            <w:r w:rsidRPr="00A936B7">
              <w:rPr>
                <w:rFonts w:asciiTheme="minorEastAsia" w:eastAsiaTheme="minorEastAsia" w:hAnsiTheme="minorEastAsia" w:cs="宋体" w:hint="eastAsia"/>
                <w:b/>
                <w:szCs w:val="21"/>
                <w:highlight w:val="white"/>
              </w:rPr>
              <w:t>份额类别</w:t>
            </w:r>
          </w:p>
        </w:tc>
        <w:tc>
          <w:tcPr>
            <w:tcW w:w="2835" w:type="dxa"/>
            <w:tcBorders>
              <w:top w:val="single" w:sz="4" w:space="0" w:color="auto"/>
              <w:left w:val="single" w:sz="4" w:space="0" w:color="auto"/>
              <w:bottom w:val="single" w:sz="4" w:space="0" w:color="auto"/>
              <w:right w:val="single" w:sz="4" w:space="0" w:color="auto"/>
            </w:tcBorders>
            <w:vAlign w:val="center"/>
          </w:tcPr>
          <w:p w:rsidR="009F340D" w:rsidRPr="00A936B7" w14:paraId="65E0E9D1" w14:textId="77777777">
            <w:pPr>
              <w:snapToGrid w:val="0"/>
              <w:spacing w:line="360" w:lineRule="auto"/>
              <w:jc w:val="center"/>
              <w:rPr>
                <w:rFonts w:asciiTheme="minorEastAsia" w:eastAsiaTheme="minorEastAsia" w:hAnsiTheme="minorEastAsia" w:cs="宋体" w:hint="eastAsia"/>
                <w:b/>
                <w:szCs w:val="21"/>
              </w:rPr>
            </w:pPr>
            <w:r w:rsidRPr="00A936B7">
              <w:rPr>
                <w:rFonts w:asciiTheme="minorEastAsia" w:eastAsiaTheme="minorEastAsia" w:hAnsiTheme="minorEastAsia" w:cs="宋体"/>
                <w:b/>
                <w:bCs/>
                <w:szCs w:val="21"/>
                <w:highlight w:val="white"/>
              </w:rPr>
              <w:t>A类基金份额</w:t>
            </w:r>
          </w:p>
        </w:tc>
        <w:tc>
          <w:tcPr>
            <w:tcW w:w="2551" w:type="dxa"/>
            <w:tcBorders>
              <w:top w:val="single" w:sz="4" w:space="0" w:color="auto"/>
              <w:left w:val="single" w:sz="4" w:space="0" w:color="auto"/>
              <w:bottom w:val="single" w:sz="4" w:space="0" w:color="auto"/>
              <w:right w:val="single" w:sz="4" w:space="0" w:color="auto"/>
            </w:tcBorders>
            <w:vAlign w:val="center"/>
          </w:tcPr>
          <w:p w:rsidR="009F340D" w:rsidRPr="00A936B7" w14:paraId="0076E17A" w14:textId="77777777">
            <w:pPr>
              <w:snapToGrid w:val="0"/>
              <w:spacing w:line="360" w:lineRule="auto"/>
              <w:jc w:val="center"/>
              <w:rPr>
                <w:rFonts w:asciiTheme="minorEastAsia" w:eastAsiaTheme="minorEastAsia" w:hAnsiTheme="minorEastAsia" w:cs="宋体" w:hint="eastAsia"/>
                <w:b/>
                <w:bCs/>
                <w:szCs w:val="21"/>
              </w:rPr>
            </w:pPr>
            <w:r w:rsidRPr="00A936B7">
              <w:rPr>
                <w:rFonts w:asciiTheme="minorEastAsia" w:eastAsiaTheme="minorEastAsia" w:hAnsiTheme="minorEastAsia" w:cs="宋体"/>
                <w:b/>
                <w:bCs/>
                <w:szCs w:val="21"/>
                <w:highlight w:val="white"/>
              </w:rPr>
              <w:t>C类基金份额</w:t>
            </w:r>
          </w:p>
        </w:tc>
      </w:tr>
      <w:tr w14:paraId="1D5325C2" w14:textId="77777777">
        <w:tblPrEx>
          <w:tblW w:w="7933" w:type="dxa"/>
          <w:tblLayout w:type="fixed"/>
          <w:tblLook w:val="04A0"/>
        </w:tblPrEx>
        <w:trPr>
          <w:trHeight w:val="159"/>
        </w:trPr>
        <w:tc>
          <w:tcPr>
            <w:tcW w:w="2547" w:type="dxa"/>
            <w:vAlign w:val="center"/>
          </w:tcPr>
          <w:p w:rsidR="009F340D" w:rsidRPr="00A936B7" w14:paraId="10D16863"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认/申购费</w:t>
            </w:r>
          </w:p>
        </w:tc>
        <w:tc>
          <w:tcPr>
            <w:tcW w:w="2835" w:type="dxa"/>
            <w:vAlign w:val="center"/>
          </w:tcPr>
          <w:p w:rsidR="009F340D" w:rsidRPr="00A936B7" w14:paraId="4C9E582F"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按规定收取</w:t>
            </w:r>
          </w:p>
        </w:tc>
        <w:tc>
          <w:tcPr>
            <w:tcW w:w="2551" w:type="dxa"/>
            <w:vAlign w:val="center"/>
          </w:tcPr>
          <w:p w:rsidR="009F340D" w:rsidRPr="00A936B7" w14:paraId="71A9E215"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不</w:t>
            </w:r>
            <w:r w:rsidRPr="00A936B7">
              <w:rPr>
                <w:rFonts w:asciiTheme="minorEastAsia" w:eastAsiaTheme="minorEastAsia" w:hAnsiTheme="minorEastAsia" w:cs="宋体"/>
                <w:szCs w:val="21"/>
                <w:highlight w:val="white"/>
              </w:rPr>
              <w:t>收取</w:t>
            </w:r>
          </w:p>
        </w:tc>
      </w:tr>
      <w:tr w14:paraId="6DC1AA62" w14:textId="77777777">
        <w:tblPrEx>
          <w:tblW w:w="7933" w:type="dxa"/>
          <w:tblLayout w:type="fixed"/>
          <w:tblLook w:val="04A0"/>
        </w:tblPrEx>
        <w:trPr>
          <w:trHeight w:val="857"/>
        </w:trPr>
        <w:tc>
          <w:tcPr>
            <w:tcW w:w="2547" w:type="dxa"/>
            <w:vAlign w:val="center"/>
          </w:tcPr>
          <w:p w:rsidR="009F340D" w:rsidRPr="00A936B7" w14:paraId="19DC4D22"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首次认/申购最低金额</w:t>
            </w:r>
          </w:p>
        </w:tc>
        <w:tc>
          <w:tcPr>
            <w:tcW w:w="2835" w:type="dxa"/>
            <w:vAlign w:val="center"/>
          </w:tcPr>
          <w:p w:rsidR="009F340D" w:rsidRPr="00A936B7" w14:paraId="3387DA08"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1元</w:t>
            </w:r>
            <w:r w:rsidRPr="00A936B7">
              <w:rPr>
                <w:rFonts w:asciiTheme="minorEastAsia" w:eastAsiaTheme="minorEastAsia" w:hAnsiTheme="minorEastAsia" w:cs="宋体"/>
                <w:szCs w:val="21"/>
                <w:highlight w:val="white"/>
              </w:rPr>
              <w:t>(直销中心为5</w:t>
            </w:r>
            <w:r w:rsidRPr="00A936B7">
              <w:rPr>
                <w:rFonts w:asciiTheme="minorEastAsia" w:eastAsiaTheme="minorEastAsia" w:hAnsiTheme="minorEastAsia" w:cs="宋体" w:hint="eastAsia"/>
                <w:szCs w:val="21"/>
                <w:highlight w:val="white"/>
              </w:rPr>
              <w:t>万元</w:t>
            </w:r>
            <w:r w:rsidRPr="00A936B7">
              <w:rPr>
                <w:rFonts w:asciiTheme="minorEastAsia" w:eastAsiaTheme="minorEastAsia" w:hAnsiTheme="minorEastAsia" w:cs="宋体"/>
                <w:szCs w:val="21"/>
                <w:highlight w:val="white"/>
              </w:rPr>
              <w:t>)</w:t>
            </w:r>
          </w:p>
        </w:tc>
        <w:tc>
          <w:tcPr>
            <w:tcW w:w="2551" w:type="dxa"/>
            <w:vAlign w:val="center"/>
          </w:tcPr>
          <w:p w:rsidR="009F340D" w:rsidRPr="00A936B7" w14:paraId="7DC44616"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1元</w:t>
            </w:r>
            <w:r w:rsidRPr="00A936B7">
              <w:rPr>
                <w:rFonts w:asciiTheme="minorEastAsia" w:eastAsiaTheme="minorEastAsia" w:hAnsiTheme="minorEastAsia" w:cs="宋体"/>
                <w:szCs w:val="21"/>
                <w:highlight w:val="white"/>
              </w:rPr>
              <w:t>(直销中心为5</w:t>
            </w:r>
            <w:r w:rsidRPr="00A936B7">
              <w:rPr>
                <w:rFonts w:asciiTheme="minorEastAsia" w:eastAsiaTheme="minorEastAsia" w:hAnsiTheme="minorEastAsia" w:cs="宋体" w:hint="eastAsia"/>
                <w:szCs w:val="21"/>
                <w:highlight w:val="white"/>
              </w:rPr>
              <w:t>万元</w:t>
            </w:r>
            <w:r w:rsidRPr="00A936B7">
              <w:rPr>
                <w:rFonts w:asciiTheme="minorEastAsia" w:eastAsiaTheme="minorEastAsia" w:hAnsiTheme="minorEastAsia" w:cs="宋体"/>
                <w:szCs w:val="21"/>
                <w:highlight w:val="white"/>
              </w:rPr>
              <w:t>)</w:t>
            </w:r>
          </w:p>
        </w:tc>
      </w:tr>
      <w:tr w14:paraId="345C568D" w14:textId="77777777">
        <w:tblPrEx>
          <w:tblW w:w="7933" w:type="dxa"/>
          <w:tblLayout w:type="fixed"/>
          <w:tblLook w:val="04A0"/>
        </w:tblPrEx>
        <w:trPr>
          <w:trHeight w:val="157"/>
        </w:trPr>
        <w:tc>
          <w:tcPr>
            <w:tcW w:w="2547" w:type="dxa"/>
            <w:vAlign w:val="center"/>
          </w:tcPr>
          <w:p w:rsidR="009F340D" w:rsidRPr="00A936B7" w14:paraId="39B25D20"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追加认</w:t>
            </w:r>
            <w:r w:rsidRPr="00A936B7">
              <w:rPr>
                <w:rFonts w:asciiTheme="minorEastAsia" w:eastAsiaTheme="minorEastAsia" w:hAnsiTheme="minorEastAsia" w:cs="宋体"/>
                <w:szCs w:val="21"/>
                <w:highlight w:val="white"/>
              </w:rPr>
              <w:t>/</w:t>
            </w:r>
            <w:r w:rsidRPr="00A936B7">
              <w:rPr>
                <w:rFonts w:asciiTheme="minorEastAsia" w:eastAsiaTheme="minorEastAsia" w:hAnsiTheme="minorEastAsia" w:cs="宋体" w:hint="eastAsia"/>
                <w:szCs w:val="21"/>
                <w:highlight w:val="white"/>
              </w:rPr>
              <w:t>申购最低金额</w:t>
            </w:r>
          </w:p>
        </w:tc>
        <w:tc>
          <w:tcPr>
            <w:tcW w:w="2835" w:type="dxa"/>
            <w:vAlign w:val="center"/>
          </w:tcPr>
          <w:p w:rsidR="009F340D" w:rsidRPr="00A936B7" w14:paraId="0AAB6148"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1元</w:t>
            </w:r>
            <w:r w:rsidRPr="00A936B7">
              <w:rPr>
                <w:rFonts w:asciiTheme="minorEastAsia" w:eastAsiaTheme="minorEastAsia" w:hAnsiTheme="minorEastAsia" w:cs="宋体"/>
                <w:szCs w:val="21"/>
                <w:highlight w:val="white"/>
              </w:rPr>
              <w:t>(直销中心为1000</w:t>
            </w:r>
            <w:r w:rsidRPr="00A936B7">
              <w:rPr>
                <w:rFonts w:asciiTheme="minorEastAsia" w:eastAsiaTheme="minorEastAsia" w:hAnsiTheme="minorEastAsia" w:cs="宋体" w:hint="eastAsia"/>
                <w:szCs w:val="21"/>
                <w:highlight w:val="white"/>
              </w:rPr>
              <w:t>元</w:t>
            </w:r>
            <w:r w:rsidRPr="00A936B7">
              <w:rPr>
                <w:rFonts w:asciiTheme="minorEastAsia" w:eastAsiaTheme="minorEastAsia" w:hAnsiTheme="minorEastAsia" w:cs="宋体"/>
                <w:szCs w:val="21"/>
                <w:highlight w:val="white"/>
              </w:rPr>
              <w:t>)</w:t>
            </w:r>
          </w:p>
        </w:tc>
        <w:tc>
          <w:tcPr>
            <w:tcW w:w="2551" w:type="dxa"/>
            <w:vAlign w:val="center"/>
          </w:tcPr>
          <w:p w:rsidR="009F340D" w:rsidRPr="00A936B7" w14:paraId="6BBFB3A9"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1元</w:t>
            </w:r>
            <w:r w:rsidRPr="00A936B7">
              <w:rPr>
                <w:rFonts w:asciiTheme="minorEastAsia" w:eastAsiaTheme="minorEastAsia" w:hAnsiTheme="minorEastAsia" w:cs="宋体"/>
                <w:szCs w:val="21"/>
                <w:highlight w:val="white"/>
              </w:rPr>
              <w:t>(直销中心为1000</w:t>
            </w:r>
            <w:r w:rsidRPr="00A936B7">
              <w:rPr>
                <w:rFonts w:asciiTheme="minorEastAsia" w:eastAsiaTheme="minorEastAsia" w:hAnsiTheme="minorEastAsia" w:cs="宋体" w:hint="eastAsia"/>
                <w:szCs w:val="21"/>
                <w:highlight w:val="white"/>
              </w:rPr>
              <w:t>元</w:t>
            </w:r>
            <w:r w:rsidRPr="00A936B7">
              <w:rPr>
                <w:rFonts w:asciiTheme="minorEastAsia" w:eastAsiaTheme="minorEastAsia" w:hAnsiTheme="minorEastAsia" w:cs="宋体"/>
                <w:szCs w:val="21"/>
                <w:highlight w:val="white"/>
              </w:rPr>
              <w:t>)</w:t>
            </w:r>
          </w:p>
        </w:tc>
      </w:tr>
      <w:tr w14:paraId="1D2CB6F6" w14:textId="77777777">
        <w:tblPrEx>
          <w:tblW w:w="7933" w:type="dxa"/>
          <w:tblLayout w:type="fixed"/>
          <w:tblLook w:val="04A0"/>
        </w:tblPrEx>
        <w:trPr>
          <w:trHeight w:val="157"/>
        </w:trPr>
        <w:tc>
          <w:tcPr>
            <w:tcW w:w="2547" w:type="dxa"/>
            <w:vAlign w:val="center"/>
          </w:tcPr>
          <w:p w:rsidR="009F340D" w:rsidRPr="00A936B7" w14:paraId="55713850"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单笔赎回最低份额</w:t>
            </w:r>
          </w:p>
        </w:tc>
        <w:tc>
          <w:tcPr>
            <w:tcW w:w="2835" w:type="dxa"/>
            <w:vAlign w:val="center"/>
          </w:tcPr>
          <w:p w:rsidR="009F340D" w:rsidRPr="00A936B7" w14:paraId="738A2DC6"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1份</w:t>
            </w:r>
          </w:p>
        </w:tc>
        <w:tc>
          <w:tcPr>
            <w:tcW w:w="2551" w:type="dxa"/>
            <w:vAlign w:val="center"/>
          </w:tcPr>
          <w:p w:rsidR="009F340D" w:rsidRPr="00A936B7" w14:paraId="170B0788"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1份</w:t>
            </w:r>
          </w:p>
        </w:tc>
      </w:tr>
      <w:tr w14:paraId="7CD9E1DA" w14:textId="77777777">
        <w:tblPrEx>
          <w:tblW w:w="7933" w:type="dxa"/>
          <w:tblLayout w:type="fixed"/>
          <w:tblLook w:val="04A0"/>
        </w:tblPrEx>
        <w:trPr>
          <w:trHeight w:val="157"/>
        </w:trPr>
        <w:tc>
          <w:tcPr>
            <w:tcW w:w="2547" w:type="dxa"/>
            <w:vAlign w:val="center"/>
          </w:tcPr>
          <w:p w:rsidR="009F340D" w:rsidRPr="00A936B7" w14:paraId="5773CAF1" w14:textId="77777777">
            <w:pPr>
              <w:snapToGrid w:val="0"/>
              <w:spacing w:line="360" w:lineRule="auto"/>
              <w:jc w:val="center"/>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基金交易账户最低基金份额余额</w:t>
            </w:r>
          </w:p>
        </w:tc>
        <w:tc>
          <w:tcPr>
            <w:tcW w:w="2835" w:type="dxa"/>
            <w:vAlign w:val="center"/>
          </w:tcPr>
          <w:p w:rsidR="009F340D" w:rsidRPr="00A936B7" w14:paraId="103D55A6"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1份</w:t>
            </w:r>
          </w:p>
        </w:tc>
        <w:tc>
          <w:tcPr>
            <w:tcW w:w="2551" w:type="dxa"/>
            <w:vAlign w:val="center"/>
          </w:tcPr>
          <w:p w:rsidR="009F340D" w:rsidRPr="00A936B7" w14:paraId="1C0B6978" w14:textId="77777777">
            <w:pPr>
              <w:snapToGrid w:val="0"/>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1份</w:t>
            </w:r>
          </w:p>
        </w:tc>
      </w:tr>
      <w:tr w14:paraId="0DE54F13" w14:textId="77777777">
        <w:tblPrEx>
          <w:tblW w:w="7933" w:type="dxa"/>
          <w:tblLayout w:type="fixed"/>
          <w:tblLook w:val="04A0"/>
        </w:tblPrEx>
        <w:trPr>
          <w:trHeight w:val="360"/>
        </w:trPr>
        <w:tc>
          <w:tcPr>
            <w:tcW w:w="2547" w:type="dxa"/>
            <w:vAlign w:val="center"/>
          </w:tcPr>
          <w:p w:rsidR="009F340D" w:rsidRPr="00A936B7" w14:paraId="4DBA706A" w14:textId="77777777">
            <w:pPr>
              <w:snapToGrid w:val="0"/>
              <w:spacing w:line="360" w:lineRule="auto"/>
              <w:jc w:val="center"/>
              <w:rPr>
                <w:rFonts w:asciiTheme="minorEastAsia" w:eastAsiaTheme="minorEastAsia" w:hAnsiTheme="minorEastAsia" w:cs="宋体" w:hint="eastAsia"/>
                <w:bCs/>
                <w:szCs w:val="21"/>
              </w:rPr>
            </w:pPr>
            <w:r w:rsidRPr="00A936B7">
              <w:rPr>
                <w:rFonts w:asciiTheme="minorEastAsia" w:eastAsiaTheme="minorEastAsia" w:hAnsiTheme="minorEastAsia" w:cs="宋体" w:hint="eastAsia"/>
                <w:bCs/>
                <w:szCs w:val="21"/>
                <w:highlight w:val="white"/>
              </w:rPr>
              <w:t>销售服务费</w:t>
            </w:r>
            <w:r w:rsidRPr="00A936B7">
              <w:rPr>
                <w:rFonts w:asciiTheme="minorEastAsia" w:eastAsiaTheme="minorEastAsia" w:hAnsiTheme="minorEastAsia" w:cs="宋体"/>
                <w:bCs/>
                <w:szCs w:val="21"/>
                <w:highlight w:val="white"/>
              </w:rPr>
              <w:t>(年费率)</w:t>
            </w:r>
          </w:p>
        </w:tc>
        <w:tc>
          <w:tcPr>
            <w:tcW w:w="2835" w:type="dxa"/>
            <w:vAlign w:val="center"/>
          </w:tcPr>
          <w:p w:rsidR="009F340D" w:rsidRPr="00A936B7" w14:paraId="0477750B" w14:textId="77777777">
            <w:pPr>
              <w:snapToGrid w:val="0"/>
              <w:spacing w:line="360" w:lineRule="auto"/>
              <w:jc w:val="center"/>
              <w:rPr>
                <w:rFonts w:asciiTheme="minorEastAsia" w:eastAsiaTheme="minorEastAsia" w:hAnsiTheme="minorEastAsia" w:cs="宋体" w:hint="eastAsia"/>
                <w:bCs/>
                <w:sz w:val="20"/>
                <w:szCs w:val="20"/>
              </w:rPr>
            </w:pPr>
            <w:r w:rsidRPr="00A936B7">
              <w:rPr>
                <w:rFonts w:asciiTheme="minorEastAsia" w:eastAsiaTheme="minorEastAsia" w:hAnsiTheme="minorEastAsia" w:cs="宋体"/>
                <w:highlight w:val="white"/>
              </w:rPr>
              <w:t>不收取</w:t>
            </w:r>
          </w:p>
        </w:tc>
        <w:tc>
          <w:tcPr>
            <w:tcW w:w="2551" w:type="dxa"/>
            <w:vAlign w:val="center"/>
          </w:tcPr>
          <w:p w:rsidR="009F340D" w:rsidRPr="00A936B7" w14:paraId="75D1D500" w14:textId="77777777">
            <w:pPr>
              <w:snapToGrid w:val="0"/>
              <w:spacing w:line="360" w:lineRule="auto"/>
              <w:jc w:val="center"/>
              <w:rPr>
                <w:rFonts w:asciiTheme="minorEastAsia" w:eastAsiaTheme="minorEastAsia" w:hAnsiTheme="minorEastAsia" w:cs="宋体" w:hint="eastAsia"/>
                <w:bCs/>
                <w:sz w:val="20"/>
                <w:szCs w:val="20"/>
                <w:lang w:eastAsia="zh-CN"/>
              </w:rPr>
            </w:pPr>
            <w:r w:rsidRPr="00A936B7">
              <w:rPr>
                <w:rFonts w:asciiTheme="minorEastAsia" w:eastAsiaTheme="minorEastAsia" w:hAnsiTheme="minorEastAsia" w:cs="宋体" w:hint="eastAsia"/>
                <w:iCs/>
                <w:lang w:eastAsia="zh-CN"/>
              </w:rPr>
              <w:t>0.20%</w:t>
            </w:r>
            <w:r w:rsidRPr="00A936B7">
              <w:rPr>
                <w:rFonts w:asciiTheme="minorEastAsia" w:eastAsiaTheme="minorEastAsia" w:hAnsiTheme="minorEastAsia" w:cs="宋体" w:hint="eastAsia"/>
                <w:iCs/>
                <w:highlight w:val="white"/>
                <w:lang w:eastAsia="zh-CN"/>
              </w:rPr>
              <w:t>（按规定收取或返还）</w:t>
            </w:r>
          </w:p>
        </w:tc>
      </w:tr>
    </w:tbl>
    <w:p w:rsidR="009F340D" w:rsidRPr="00A936B7" w14:paraId="311738E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注</w:t>
      </w:r>
      <w:r w:rsidRPr="00A936B7">
        <w:rPr>
          <w:rFonts w:asciiTheme="minorEastAsia" w:eastAsiaTheme="minorEastAsia" w:hAnsiTheme="minorEastAsia" w:cs="宋体"/>
          <w:szCs w:val="21"/>
          <w:highlight w:val="white"/>
          <w:lang w:eastAsia="zh-CN"/>
        </w:rPr>
        <w:t>：本基金不同份额</w:t>
      </w:r>
      <w:r w:rsidRPr="00A936B7">
        <w:rPr>
          <w:rFonts w:asciiTheme="minorEastAsia" w:eastAsiaTheme="minorEastAsia" w:hAnsiTheme="minorEastAsia" w:cs="宋体" w:hint="eastAsia"/>
          <w:szCs w:val="21"/>
          <w:highlight w:val="white"/>
          <w:lang w:eastAsia="zh-CN"/>
        </w:rPr>
        <w:t>类别的</w:t>
      </w:r>
      <w:r w:rsidRPr="00A936B7">
        <w:rPr>
          <w:rFonts w:asciiTheme="minorEastAsia" w:eastAsiaTheme="minorEastAsia" w:hAnsiTheme="minorEastAsia" w:cs="宋体"/>
          <w:szCs w:val="21"/>
          <w:highlight w:val="white"/>
          <w:lang w:eastAsia="zh-CN"/>
        </w:rPr>
        <w:t>适用费率及销售渠道</w:t>
      </w:r>
      <w:r w:rsidRPr="00A936B7">
        <w:rPr>
          <w:rFonts w:asciiTheme="minorEastAsia" w:eastAsiaTheme="minorEastAsia" w:hAnsiTheme="minorEastAsia" w:cs="宋体" w:hint="eastAsia"/>
          <w:szCs w:val="21"/>
          <w:highlight w:val="white"/>
          <w:lang w:eastAsia="zh-CN"/>
        </w:rPr>
        <w:t>等有</w:t>
      </w:r>
      <w:r w:rsidRPr="00A936B7">
        <w:rPr>
          <w:rFonts w:asciiTheme="minorEastAsia" w:eastAsiaTheme="minorEastAsia" w:hAnsiTheme="minorEastAsia" w:cs="宋体"/>
          <w:szCs w:val="21"/>
          <w:highlight w:val="white"/>
          <w:lang w:eastAsia="zh-CN"/>
        </w:rPr>
        <w:t>所差</w:t>
      </w:r>
      <w:r w:rsidRPr="00A936B7">
        <w:rPr>
          <w:rFonts w:asciiTheme="minorEastAsia" w:eastAsiaTheme="minorEastAsia" w:hAnsiTheme="minorEastAsia" w:cs="宋体" w:hint="eastAsia"/>
          <w:szCs w:val="21"/>
          <w:highlight w:val="white"/>
          <w:lang w:eastAsia="zh-CN"/>
        </w:rPr>
        <w:t>异</w:t>
      </w:r>
      <w:r w:rsidRPr="00A936B7">
        <w:rPr>
          <w:rFonts w:asciiTheme="minorEastAsia" w:eastAsiaTheme="minorEastAsia" w:hAnsiTheme="minorEastAsia" w:cs="宋体"/>
          <w:szCs w:val="21"/>
          <w:highlight w:val="white"/>
          <w:lang w:eastAsia="zh-CN"/>
        </w:rPr>
        <w:t>，</w:t>
      </w:r>
      <w:r w:rsidRPr="00A936B7">
        <w:rPr>
          <w:rFonts w:asciiTheme="minorEastAsia" w:eastAsiaTheme="minorEastAsia" w:hAnsiTheme="minorEastAsia" w:cs="宋体" w:hint="eastAsia"/>
          <w:szCs w:val="21"/>
          <w:highlight w:val="white"/>
          <w:lang w:eastAsia="zh-CN"/>
        </w:rPr>
        <w:t>并可能发生</w:t>
      </w:r>
      <w:r w:rsidRPr="00A936B7">
        <w:rPr>
          <w:rFonts w:asciiTheme="minorEastAsia" w:eastAsiaTheme="minorEastAsia" w:hAnsiTheme="minorEastAsia" w:cs="宋体"/>
          <w:szCs w:val="21"/>
          <w:highlight w:val="white"/>
          <w:lang w:eastAsia="zh-CN"/>
        </w:rPr>
        <w:t>调整</w:t>
      </w:r>
      <w:r w:rsidRPr="00A936B7">
        <w:rPr>
          <w:rFonts w:asciiTheme="minorEastAsia" w:eastAsiaTheme="minorEastAsia" w:hAnsiTheme="minorEastAsia" w:cs="宋体" w:hint="eastAsia"/>
          <w:szCs w:val="21"/>
          <w:highlight w:val="white"/>
          <w:lang w:eastAsia="zh-CN"/>
        </w:rPr>
        <w:t>，敬请</w:t>
      </w:r>
      <w:r w:rsidRPr="00A936B7">
        <w:rPr>
          <w:rFonts w:asciiTheme="minorEastAsia" w:eastAsiaTheme="minorEastAsia" w:hAnsiTheme="minorEastAsia" w:cs="宋体"/>
          <w:szCs w:val="21"/>
          <w:highlight w:val="white"/>
          <w:lang w:eastAsia="zh-CN"/>
        </w:rPr>
        <w:t>投资者予以关注</w:t>
      </w:r>
      <w:r w:rsidRPr="00A936B7">
        <w:rPr>
          <w:rFonts w:asciiTheme="minorEastAsia" w:eastAsiaTheme="minorEastAsia" w:hAnsiTheme="minorEastAsia" w:cs="宋体" w:hint="eastAsia"/>
          <w:szCs w:val="21"/>
          <w:highlight w:val="white"/>
          <w:lang w:eastAsia="zh-CN"/>
        </w:rPr>
        <w:t>。</w:t>
      </w:r>
    </w:p>
    <w:p w:rsidR="009F340D" w:rsidRPr="00A936B7" w14:paraId="62F00908"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二</w:t>
      </w:r>
      <w:r w:rsidRPr="00A936B7">
        <w:rPr>
          <w:rFonts w:asciiTheme="minorEastAsia" w:eastAsiaTheme="minorEastAsia" w:hAnsiTheme="minorEastAsia" w:cs="宋体"/>
          <w:szCs w:val="21"/>
          <w:highlight w:val="white"/>
          <w:lang w:eastAsia="zh-CN"/>
        </w:rPr>
        <w:t>、</w:t>
      </w:r>
      <w:r w:rsidRPr="00A936B7">
        <w:rPr>
          <w:rFonts w:asciiTheme="minorEastAsia" w:eastAsiaTheme="minorEastAsia" w:hAnsiTheme="minorEastAsia" w:cs="宋体" w:hint="eastAsia"/>
          <w:szCs w:val="21"/>
          <w:highlight w:val="white"/>
          <w:lang w:eastAsia="zh-CN"/>
        </w:rPr>
        <w:t>基金管理人可根据基金实际运作情况，在对基金份额持有人利益无实质不利影响的情况下，经与基金托管人协商一致，增加新的基金份额类别、取消某基金份额类别或对基金份额分类办法及规则进行调整并公告，不需召开基金份额持有人大会审议。</w:t>
      </w:r>
    </w:p>
    <w:p w:rsidR="009F340D" w:rsidRPr="00A936B7" w14:paraId="2D975A70" w14:textId="77777777">
      <w:pPr>
        <w:pStyle w:val="Heading1"/>
        <w:pageBreakBefore/>
        <w:spacing w:before="317" w:after="317" w:line="360" w:lineRule="auto"/>
        <w:ind w:firstLine="640"/>
        <w:rPr>
          <w:rFonts w:asciiTheme="minorEastAsia" w:eastAsiaTheme="minorEastAsia" w:hAnsiTheme="minorEastAsia" w:cs="宋体" w:hint="eastAsia"/>
          <w:bCs/>
          <w:sz w:val="30"/>
          <w:szCs w:val="30"/>
        </w:rPr>
      </w:pPr>
      <w:bookmarkStart w:id="1786" w:name="_Toc129511529"/>
      <w:r w:rsidRPr="00A936B7">
        <w:rPr>
          <w:rFonts w:asciiTheme="minorEastAsia" w:eastAsiaTheme="minorEastAsia" w:hAnsiTheme="minorEastAsia" w:cs="宋体" w:hint="eastAsia"/>
          <w:bCs/>
          <w:sz w:val="30"/>
          <w:szCs w:val="30"/>
          <w:highlight w:val="white"/>
        </w:rPr>
        <w:t>第七部分</w:t>
      </w:r>
      <w:r w:rsidRPr="00A936B7">
        <w:rPr>
          <w:rFonts w:asciiTheme="minorEastAsia" w:eastAsiaTheme="minorEastAsia" w:hAnsiTheme="minorEastAsia" w:cs="宋体"/>
          <w:bCs/>
          <w:sz w:val="30"/>
          <w:szCs w:val="30"/>
          <w:highlight w:val="white"/>
        </w:rPr>
        <w:t xml:space="preserve"> </w:t>
      </w:r>
      <w:r w:rsidRPr="00A936B7">
        <w:rPr>
          <w:rFonts w:asciiTheme="minorEastAsia" w:eastAsiaTheme="minorEastAsia" w:hAnsiTheme="minorEastAsia" w:cs="宋体" w:hint="eastAsia"/>
          <w:bCs/>
          <w:sz w:val="30"/>
          <w:szCs w:val="30"/>
          <w:highlight w:val="white"/>
        </w:rPr>
        <w:t>基金的募集安排</w:t>
      </w:r>
      <w:bookmarkEnd w:id="1785"/>
      <w:bookmarkEnd w:id="1786"/>
    </w:p>
    <w:p w:rsidR="009F340D" w:rsidRPr="00A936B7" w14:paraId="22754F0F"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本基金由基金管理人依照《基金法》《运作办法》《销售办法》、基金合同的相关规定募集，并经中国证券监督管理委员会</w:t>
      </w:r>
      <w:r w:rsidRPr="00A936B7" w:rsidR="00B65CDF">
        <w:rPr>
          <w:rFonts w:asciiTheme="minorEastAsia" w:eastAsiaTheme="minorEastAsia" w:hAnsiTheme="minorEastAsia" w:cs="宋体"/>
          <w:szCs w:val="21"/>
          <w:highlight w:val="white"/>
          <w:lang w:eastAsia="zh-CN"/>
        </w:rPr>
        <w:t>202</w:t>
      </w:r>
      <w:r w:rsidR="00B65CDF">
        <w:rPr>
          <w:rFonts w:asciiTheme="minorEastAsia" w:eastAsiaTheme="minorEastAsia" w:hAnsiTheme="minorEastAsia" w:cs="宋体"/>
          <w:szCs w:val="21"/>
          <w:highlight w:val="white"/>
          <w:lang w:eastAsia="zh-CN"/>
        </w:rPr>
        <w:t>6</w:t>
      </w:r>
      <w:r w:rsidRPr="00A936B7">
        <w:rPr>
          <w:rFonts w:asciiTheme="minorEastAsia" w:eastAsiaTheme="minorEastAsia" w:hAnsiTheme="minorEastAsia" w:cs="宋体" w:hint="eastAsia"/>
          <w:szCs w:val="21"/>
          <w:highlight w:val="white"/>
          <w:lang w:eastAsia="zh-CN"/>
        </w:rPr>
        <w:t>年</w:t>
      </w:r>
      <w:r w:rsidR="00C84656">
        <w:rPr>
          <w:rFonts w:asciiTheme="minorEastAsia" w:eastAsiaTheme="minorEastAsia" w:hAnsiTheme="minorEastAsia" w:cs="宋体"/>
          <w:szCs w:val="21"/>
          <w:highlight w:val="white"/>
          <w:lang w:eastAsia="zh-CN"/>
        </w:rPr>
        <w:t>4</w:t>
      </w:r>
      <w:r w:rsidRPr="00A936B7">
        <w:rPr>
          <w:rFonts w:asciiTheme="minorEastAsia" w:eastAsiaTheme="minorEastAsia" w:hAnsiTheme="minorEastAsia" w:cs="宋体" w:hint="eastAsia"/>
          <w:szCs w:val="21"/>
          <w:highlight w:val="white"/>
          <w:lang w:eastAsia="zh-CN"/>
        </w:rPr>
        <w:t>月</w:t>
      </w:r>
      <w:r w:rsidR="00C84656">
        <w:rPr>
          <w:rFonts w:asciiTheme="minorEastAsia" w:eastAsiaTheme="minorEastAsia" w:hAnsiTheme="minorEastAsia" w:cs="宋体"/>
          <w:szCs w:val="21"/>
          <w:highlight w:val="white"/>
          <w:lang w:eastAsia="zh-CN"/>
        </w:rPr>
        <w:t>14</w:t>
      </w:r>
      <w:r w:rsidRPr="00A936B7">
        <w:rPr>
          <w:rFonts w:asciiTheme="minorEastAsia" w:eastAsiaTheme="minorEastAsia" w:hAnsiTheme="minorEastAsia" w:cs="宋体" w:hint="eastAsia"/>
          <w:szCs w:val="21"/>
          <w:highlight w:val="white"/>
          <w:lang w:eastAsia="zh-CN"/>
        </w:rPr>
        <w:t>日</w:t>
      </w:r>
      <w:r w:rsidRPr="00A936B7">
        <w:rPr>
          <w:rStyle w:val="da"/>
          <w:rFonts w:asciiTheme="minorEastAsia" w:eastAsiaTheme="minorEastAsia" w:hAnsiTheme="minorEastAsia" w:cs="宋体" w:hint="eastAsia"/>
          <w:highlight w:val="white"/>
          <w:lang w:eastAsia="zh-CN"/>
        </w:rPr>
        <w:t>《关于准予</w:t>
      </w:r>
      <w:r w:rsidRPr="00A936B7">
        <w:rPr>
          <w:rStyle w:val="da"/>
          <w:rFonts w:asciiTheme="minorEastAsia" w:eastAsiaTheme="minorEastAsia" w:hAnsiTheme="minorEastAsia" w:cs="宋体"/>
          <w:lang w:eastAsia="zh-CN"/>
        </w:rPr>
        <w:t>易方达上证综合交易型开放式指数证券投资基金联接基金</w:t>
      </w:r>
      <w:r w:rsidRPr="00A936B7">
        <w:rPr>
          <w:rStyle w:val="da"/>
          <w:rFonts w:asciiTheme="minorEastAsia" w:eastAsiaTheme="minorEastAsia" w:hAnsiTheme="minorEastAsia" w:cs="宋体"/>
          <w:highlight w:val="white"/>
          <w:lang w:eastAsia="zh-CN"/>
        </w:rPr>
        <w:t>注册的批复》（证监许可[</w:t>
      </w:r>
      <w:r w:rsidRPr="00A936B7" w:rsidR="00B65CDF">
        <w:rPr>
          <w:rStyle w:val="da"/>
          <w:rFonts w:asciiTheme="minorEastAsia" w:eastAsiaTheme="minorEastAsia" w:hAnsiTheme="minorEastAsia" w:cs="宋体"/>
          <w:highlight w:val="white"/>
          <w:lang w:eastAsia="zh-CN"/>
        </w:rPr>
        <w:t>202</w:t>
      </w:r>
      <w:r w:rsidR="00B65CDF">
        <w:rPr>
          <w:rStyle w:val="da"/>
          <w:rFonts w:asciiTheme="minorEastAsia" w:eastAsiaTheme="minorEastAsia" w:hAnsiTheme="minorEastAsia" w:cs="宋体"/>
          <w:highlight w:val="white"/>
          <w:lang w:eastAsia="zh-CN"/>
        </w:rPr>
        <w:t>6</w:t>
      </w:r>
      <w:r w:rsidRPr="00A936B7">
        <w:rPr>
          <w:rStyle w:val="da"/>
          <w:rFonts w:asciiTheme="minorEastAsia" w:eastAsiaTheme="minorEastAsia" w:hAnsiTheme="minorEastAsia" w:cs="宋体" w:hint="eastAsia"/>
          <w:highlight w:val="white"/>
          <w:lang w:eastAsia="zh-CN"/>
        </w:rPr>
        <w:t>]</w:t>
      </w:r>
      <w:r w:rsidR="00C84656">
        <w:rPr>
          <w:rStyle w:val="da"/>
          <w:rFonts w:asciiTheme="minorEastAsia" w:eastAsiaTheme="minorEastAsia" w:hAnsiTheme="minorEastAsia" w:cs="宋体"/>
          <w:highlight w:val="white"/>
          <w:lang w:eastAsia="zh-CN"/>
        </w:rPr>
        <w:t>795</w:t>
      </w:r>
      <w:r w:rsidRPr="00A936B7">
        <w:rPr>
          <w:rStyle w:val="da"/>
          <w:rFonts w:asciiTheme="minorEastAsia" w:eastAsiaTheme="minorEastAsia" w:hAnsiTheme="minorEastAsia" w:cs="宋体" w:hint="eastAsia"/>
          <w:highlight w:val="white"/>
          <w:lang w:eastAsia="zh-CN"/>
        </w:rPr>
        <w:t>号）注册。</w:t>
      </w:r>
    </w:p>
    <w:p w:rsidR="009F340D" w:rsidRPr="00A936B7" w14:paraId="0966BA29" w14:textId="77777777">
      <w:pPr>
        <w:spacing w:line="360" w:lineRule="auto"/>
        <w:ind w:firstLine="420"/>
        <w:rPr>
          <w:rStyle w:val="da"/>
          <w:rFonts w:asciiTheme="minorEastAsia" w:eastAsiaTheme="minorEastAsia" w:hAnsiTheme="minorEastAsia" w:cs="宋体" w:hint="eastAsia"/>
          <w:lang w:eastAsia="zh-CN"/>
        </w:rPr>
      </w:pPr>
      <w:bookmarkStart w:id="1787" w:name="_Toc332373487"/>
      <w:bookmarkStart w:id="1788" w:name="_Toc332373490"/>
      <w:r w:rsidRPr="00A936B7">
        <w:rPr>
          <w:rStyle w:val="da"/>
          <w:rFonts w:asciiTheme="minorEastAsia" w:eastAsiaTheme="minorEastAsia" w:hAnsiTheme="minorEastAsia" w:cs="宋体" w:hint="eastAsia"/>
          <w:highlight w:val="white"/>
          <w:lang w:eastAsia="zh-CN"/>
        </w:rPr>
        <w:t>一、基金的类别</w:t>
      </w:r>
      <w:bookmarkEnd w:id="1787"/>
    </w:p>
    <w:p w:rsidR="009F340D" w:rsidRPr="00A936B7" w14:paraId="450063DA"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lang w:eastAsia="zh-CN"/>
        </w:rPr>
        <w:t>指数基金、联接基金</w:t>
      </w:r>
    </w:p>
    <w:p w:rsidR="009F340D" w:rsidRPr="00A936B7" w14:paraId="3B037B6F" w14:textId="77777777">
      <w:pPr>
        <w:spacing w:line="360" w:lineRule="auto"/>
        <w:ind w:firstLine="420"/>
        <w:rPr>
          <w:rStyle w:val="da"/>
          <w:rFonts w:asciiTheme="minorEastAsia" w:eastAsiaTheme="minorEastAsia" w:hAnsiTheme="minorEastAsia" w:cs="宋体" w:hint="eastAsia"/>
          <w:lang w:eastAsia="zh-CN"/>
        </w:rPr>
      </w:pPr>
      <w:bookmarkStart w:id="1789" w:name="_Toc332373488"/>
      <w:r w:rsidRPr="00A936B7">
        <w:rPr>
          <w:rStyle w:val="da"/>
          <w:rFonts w:asciiTheme="minorEastAsia" w:eastAsiaTheme="minorEastAsia" w:hAnsiTheme="minorEastAsia" w:cs="宋体" w:hint="eastAsia"/>
          <w:highlight w:val="white"/>
          <w:lang w:eastAsia="zh-CN"/>
        </w:rPr>
        <w:t>二、基金的运作方式</w:t>
      </w:r>
      <w:bookmarkEnd w:id="1789"/>
    </w:p>
    <w:p w:rsidR="009F340D" w:rsidRPr="00A936B7" w14:paraId="0FA337FB"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lang w:eastAsia="zh-CN"/>
        </w:rPr>
        <w:t>契约型开放式</w:t>
      </w:r>
    </w:p>
    <w:p w:rsidR="009F340D" w:rsidRPr="00A936B7" w14:paraId="03A745D2" w14:textId="77777777">
      <w:pPr>
        <w:spacing w:line="360" w:lineRule="auto"/>
        <w:ind w:firstLine="420"/>
        <w:rPr>
          <w:rStyle w:val="da"/>
          <w:rFonts w:asciiTheme="minorEastAsia" w:eastAsiaTheme="minorEastAsia" w:hAnsiTheme="minorEastAsia" w:cs="宋体" w:hint="eastAsia"/>
          <w:lang w:eastAsia="zh-CN"/>
        </w:rPr>
      </w:pPr>
      <w:bookmarkStart w:id="1790" w:name="_Toc332373489"/>
      <w:r w:rsidRPr="00A936B7">
        <w:rPr>
          <w:rStyle w:val="da"/>
          <w:rFonts w:asciiTheme="minorEastAsia" w:eastAsiaTheme="minorEastAsia" w:hAnsiTheme="minorEastAsia" w:cs="宋体" w:hint="eastAsia"/>
          <w:highlight w:val="white"/>
          <w:lang w:eastAsia="zh-CN"/>
        </w:rPr>
        <w:t>三、基金存续期</w:t>
      </w:r>
      <w:bookmarkEnd w:id="1790"/>
    </w:p>
    <w:p w:rsidR="009F340D" w:rsidRPr="00A936B7" w14:paraId="432E2E27"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lang w:eastAsia="zh-CN"/>
        </w:rPr>
        <w:t>不定期</w:t>
      </w:r>
    </w:p>
    <w:p w:rsidR="009F340D" w:rsidRPr="00A936B7" w14:paraId="5DAD7618"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四、募集期限</w:t>
      </w:r>
      <w:bookmarkEnd w:id="1788"/>
    </w:p>
    <w:p w:rsidR="009F340D" w:rsidRPr="00A936B7" w14:paraId="62984E15"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自</w:t>
      </w:r>
      <w:r w:rsidRPr="00A936B7">
        <w:rPr>
          <w:rStyle w:val="da"/>
          <w:rFonts w:asciiTheme="minorEastAsia" w:eastAsiaTheme="minorEastAsia" w:hAnsiTheme="minorEastAsia" w:cs="宋体"/>
          <w:highlight w:val="white"/>
          <w:lang w:eastAsia="zh-CN"/>
        </w:rPr>
        <w:t>基金份额发售</w:t>
      </w:r>
      <w:r w:rsidRPr="00A936B7">
        <w:rPr>
          <w:rStyle w:val="da"/>
          <w:rFonts w:asciiTheme="minorEastAsia" w:eastAsiaTheme="minorEastAsia" w:hAnsiTheme="minorEastAsia" w:cs="宋体" w:hint="eastAsia"/>
          <w:highlight w:val="white"/>
          <w:lang w:eastAsia="zh-CN"/>
        </w:rPr>
        <w:t>之日起最长不得超过3个月，具体发售时间见基金份额发售公告。</w:t>
      </w:r>
    </w:p>
    <w:p w:rsidR="009F340D" w:rsidRPr="00A936B7" w14:paraId="07F873E4" w14:textId="77777777">
      <w:pPr>
        <w:spacing w:line="360" w:lineRule="auto"/>
        <w:ind w:firstLine="420"/>
        <w:rPr>
          <w:rStyle w:val="da"/>
          <w:rFonts w:asciiTheme="minorEastAsia" w:eastAsiaTheme="minorEastAsia" w:hAnsiTheme="minorEastAsia" w:cs="宋体" w:hint="eastAsia"/>
          <w:lang w:eastAsia="zh-CN"/>
        </w:rPr>
      </w:pPr>
      <w:bookmarkStart w:id="1791" w:name="_Toc332373491"/>
      <w:r w:rsidRPr="00A936B7">
        <w:rPr>
          <w:rStyle w:val="da"/>
          <w:rFonts w:asciiTheme="minorEastAsia" w:eastAsiaTheme="minorEastAsia" w:hAnsiTheme="minorEastAsia" w:cs="宋体" w:hint="eastAsia"/>
          <w:highlight w:val="white"/>
          <w:lang w:eastAsia="zh-CN"/>
        </w:rPr>
        <w:t>五、募集对象</w:t>
      </w:r>
      <w:bookmarkEnd w:id="1791"/>
    </w:p>
    <w:p w:rsidR="009F340D" w:rsidRPr="00A936B7" w14:paraId="6182B9C2" w14:textId="77777777">
      <w:pPr>
        <w:spacing w:line="360" w:lineRule="auto"/>
        <w:ind w:firstLine="420"/>
        <w:rPr>
          <w:rFonts w:asciiTheme="minorEastAsia" w:eastAsiaTheme="minorEastAsia" w:hAnsiTheme="minorEastAsia" w:cs="宋体" w:hint="eastAsia"/>
          <w:bCs/>
          <w:lang w:eastAsia="zh-CN"/>
        </w:rPr>
      </w:pPr>
      <w:r w:rsidRPr="00A936B7">
        <w:rPr>
          <w:rFonts w:asciiTheme="minorEastAsia" w:eastAsiaTheme="minorEastAsia" w:hAnsiTheme="minorEastAsia" w:cs="宋体" w:hint="eastAsia"/>
          <w:bCs/>
          <w:highlight w:val="white"/>
          <w:lang w:eastAsia="zh-CN"/>
        </w:rPr>
        <w:t>符合法律法规规定的可投资于证券投资基金的个人投资者、机构投资者、合格境外投资者以及法律法规或中国证监会允许购买证券投资基金的其他投资人。</w:t>
      </w:r>
    </w:p>
    <w:p w:rsidR="009F340D" w:rsidRPr="00A936B7" w14:paraId="6F1D2FB3" w14:textId="77777777">
      <w:pPr>
        <w:spacing w:line="360" w:lineRule="auto"/>
        <w:ind w:firstLine="420"/>
        <w:rPr>
          <w:rStyle w:val="da"/>
          <w:rFonts w:asciiTheme="minorEastAsia" w:eastAsiaTheme="minorEastAsia" w:hAnsiTheme="minorEastAsia" w:cs="宋体" w:hint="eastAsia"/>
          <w:lang w:eastAsia="zh-CN"/>
        </w:rPr>
      </w:pPr>
      <w:bookmarkStart w:id="1792" w:name="_Toc332373492"/>
      <w:r w:rsidRPr="00A936B7">
        <w:rPr>
          <w:rStyle w:val="da"/>
          <w:rFonts w:asciiTheme="minorEastAsia" w:eastAsiaTheme="minorEastAsia" w:hAnsiTheme="minorEastAsia" w:cs="宋体" w:hint="eastAsia"/>
          <w:highlight w:val="white"/>
          <w:lang w:eastAsia="zh-CN"/>
        </w:rPr>
        <w:t>六、募集方式及场所</w:t>
      </w:r>
      <w:bookmarkEnd w:id="1792"/>
    </w:p>
    <w:p w:rsidR="009F340D" w:rsidRPr="00A936B7" w14:paraId="4DBBD944" w14:textId="77777777">
      <w:pPr>
        <w:spacing w:line="360" w:lineRule="auto"/>
        <w:ind w:firstLine="422"/>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本基金通过各销售机构的基金销售网点公开发售，销售机构具体名单及联系方式见基金份额发售公告，基金管理人可根据情况变更或增减销售机构并在基金管理人网站公示。</w:t>
      </w:r>
    </w:p>
    <w:p w:rsidR="009F340D" w:rsidRPr="00A936B7" w14:paraId="3A8AEDA1" w14:textId="77777777">
      <w:pPr>
        <w:spacing w:line="360" w:lineRule="auto"/>
        <w:ind w:firstLine="422"/>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本基金具体发售方案以基金份额发售公告为准，请投资人就募集和认购的具体事宜仔细阅读基金份额发售公告</w:t>
      </w:r>
      <w:r w:rsidRPr="00A936B7">
        <w:rPr>
          <w:rStyle w:val="da"/>
          <w:rFonts w:asciiTheme="minorEastAsia" w:eastAsiaTheme="minorEastAsia" w:hAnsiTheme="minorEastAsia" w:cs="宋体"/>
          <w:highlight w:val="white"/>
          <w:lang w:eastAsia="zh-CN"/>
        </w:rPr>
        <w:t>。</w:t>
      </w:r>
    </w:p>
    <w:p w:rsidR="009F340D" w:rsidRPr="00A936B7" w14:paraId="7ECB10DA" w14:textId="77777777">
      <w:pPr>
        <w:spacing w:line="360" w:lineRule="auto"/>
        <w:ind w:firstLine="420"/>
        <w:rPr>
          <w:rStyle w:val="da"/>
          <w:rFonts w:asciiTheme="minorEastAsia" w:eastAsiaTheme="minorEastAsia" w:hAnsiTheme="minorEastAsia" w:cs="宋体" w:hint="eastAsia"/>
          <w:lang w:eastAsia="zh-CN"/>
        </w:rPr>
      </w:pPr>
      <w:bookmarkStart w:id="1793" w:name="_Toc332373493"/>
      <w:r w:rsidRPr="00A936B7">
        <w:rPr>
          <w:rStyle w:val="da"/>
          <w:rFonts w:asciiTheme="minorEastAsia" w:eastAsiaTheme="minorEastAsia" w:hAnsiTheme="minorEastAsia" w:cs="宋体" w:hint="eastAsia"/>
          <w:highlight w:val="white"/>
          <w:lang w:eastAsia="zh-CN"/>
        </w:rPr>
        <w:t>七、认购安排</w:t>
      </w:r>
      <w:bookmarkEnd w:id="1793"/>
    </w:p>
    <w:p w:rsidR="009F340D" w:rsidRPr="00A936B7" w14:paraId="4F527374"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1、认购时间</w:t>
      </w:r>
    </w:p>
    <w:p w:rsidR="009F340D" w:rsidRPr="00A936B7" w14:paraId="29241783" w14:textId="77777777">
      <w:pPr>
        <w:spacing w:line="360" w:lineRule="auto"/>
        <w:ind w:firstLine="420"/>
        <w:rPr>
          <w:rStyle w:val="da"/>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认购的具体业务办理时间由基金管理人依据相关法律法规、基金合同确定并公告。</w:t>
      </w:r>
    </w:p>
    <w:p w:rsidR="009F340D" w:rsidRPr="00A936B7" w14:paraId="68A6C56B"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2、募集规模上限</w:t>
      </w:r>
    </w:p>
    <w:p w:rsidR="009F340D" w:rsidRPr="00A936B7" w14:paraId="60F088FD"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本基金可设置首次募集规模上限，具体募集上限及规模控制的方案详见基金份额发售公告或其他公告。若本基金设置首次募集规模上限，基金合同生效后不受此募集规模的限制。</w:t>
      </w:r>
    </w:p>
    <w:p w:rsidR="009F340D" w:rsidRPr="00A936B7" w14:paraId="06C43A10"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 xml:space="preserve">3、认购数量限制 </w:t>
      </w:r>
    </w:p>
    <w:p w:rsidR="009F340D" w:rsidRPr="00A936B7" w14:paraId="30F43DB9"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 xml:space="preserve">（1）本基金采用金额认购方式。 </w:t>
      </w:r>
    </w:p>
    <w:p w:rsidR="009F340D" w:rsidRPr="00A936B7" w14:paraId="24F0A7BE"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（2）投资人认购基金份额采用全额缴款的认购方式。投资人认购时，需按销售机构规定的方式全额缴款。</w:t>
      </w:r>
    </w:p>
    <w:p w:rsidR="009F340D" w:rsidRPr="00A936B7" w14:paraId="3F5FED14"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（3）投资人在募集期内可以多次认购基金份额，</w:t>
      </w:r>
      <w:r w:rsidRPr="00A936B7">
        <w:rPr>
          <w:rFonts w:asciiTheme="minorEastAsia" w:eastAsiaTheme="minorEastAsia" w:hAnsiTheme="minorEastAsia" w:cs="宋体"/>
          <w:color w:val="000000"/>
          <w:highlight w:val="white"/>
          <w:lang w:eastAsia="zh-CN"/>
        </w:rPr>
        <w:t>登记机构一旦确认认购份额，将不再办理撤销</w:t>
      </w:r>
      <w:r w:rsidRPr="00A936B7">
        <w:rPr>
          <w:rStyle w:val="da"/>
          <w:rFonts w:asciiTheme="minorEastAsia" w:eastAsiaTheme="minorEastAsia" w:hAnsiTheme="minorEastAsia" w:cs="宋体"/>
          <w:highlight w:val="white"/>
          <w:lang w:eastAsia="zh-CN"/>
        </w:rPr>
        <w:t>。</w:t>
      </w:r>
    </w:p>
    <w:p w:rsidR="009F340D" w:rsidRPr="00A936B7" w14:paraId="5E16F5ED"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（4）在基金募集期内，除基金份额发售公告另有规定，投资人通过非直销销售机构或本公司</w:t>
      </w:r>
      <w:r w:rsidRPr="00A936B7">
        <w:rPr>
          <w:rFonts w:asciiTheme="minorEastAsia" w:eastAsiaTheme="minorEastAsia" w:hAnsiTheme="minorEastAsia" w:cs="宋体" w:hint="eastAsia"/>
          <w:szCs w:val="21"/>
          <w:highlight w:val="white"/>
          <w:lang w:eastAsia="zh-CN"/>
        </w:rPr>
        <w:t>网上直销系统</w:t>
      </w:r>
      <w:r w:rsidRPr="00A936B7">
        <w:rPr>
          <w:rStyle w:val="da"/>
          <w:rFonts w:asciiTheme="minorEastAsia" w:eastAsiaTheme="minorEastAsia" w:hAnsiTheme="minorEastAsia" w:cs="宋体" w:hint="eastAsia"/>
          <w:highlight w:val="white"/>
          <w:lang w:eastAsia="zh-CN"/>
        </w:rPr>
        <w:t>首次认购的单笔最低限额为人民币1元，追加认购单笔最低限额为人民币1元；投资人通过本公司直销中心首次认购的单笔最低限额为人民币50,000元，追加认购单笔最低限额是人民币1,000元。在符合法律法规规定的前提下，各销售机构对最低认购限额及交易级差有其他规定的，需要同时遵循该销售机构的相关规定。（以上金额均含认购费）。</w:t>
      </w:r>
    </w:p>
    <w:p w:rsidR="009F340D" w:rsidRPr="00A936B7" w14:paraId="31E560E3"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 xml:space="preserve">4、募集期利息的处理方式 </w:t>
      </w:r>
    </w:p>
    <w:p w:rsidR="009F340D" w:rsidRPr="00A936B7" w14:paraId="47C2AB7F"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有效认购款项在募集期间产生的利息将折算为基金份额归基金份额持有人所有，其中利息转份额的数额以登记机构的记录为准。</w:t>
      </w:r>
    </w:p>
    <w:p w:rsidR="009F340D" w:rsidRPr="00A936B7" w14:paraId="123A0879"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5、基金份额的认购费用及认购份额的计算公式</w:t>
      </w:r>
    </w:p>
    <w:p w:rsidR="009F340D" w:rsidRPr="00A936B7" w14:paraId="5763BB8F"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 xml:space="preserve">（1）认购费率 </w:t>
      </w:r>
    </w:p>
    <w:p w:rsidR="009F340D" w:rsidRPr="00A936B7" w14:paraId="281F403B"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本基金</w:t>
      </w:r>
      <w:r w:rsidRPr="00A936B7">
        <w:rPr>
          <w:rStyle w:val="da"/>
          <w:rFonts w:asciiTheme="minorEastAsia" w:eastAsiaTheme="minorEastAsia" w:hAnsiTheme="minorEastAsia" w:cs="宋体"/>
          <w:highlight w:val="white"/>
          <w:lang w:eastAsia="zh-CN"/>
        </w:rPr>
        <w:t>A</w:t>
      </w:r>
      <w:r w:rsidRPr="00A936B7">
        <w:rPr>
          <w:rStyle w:val="da"/>
          <w:rFonts w:asciiTheme="minorEastAsia" w:eastAsiaTheme="minorEastAsia" w:hAnsiTheme="minorEastAsia" w:cs="宋体" w:hint="eastAsia"/>
          <w:highlight w:val="white"/>
          <w:lang w:eastAsia="zh-CN"/>
        </w:rPr>
        <w:t>类基金份额在认购时按规定收取基金认购费用</w:t>
      </w:r>
      <w:r w:rsidRPr="00A936B7">
        <w:rPr>
          <w:rFonts w:asciiTheme="minorEastAsia" w:eastAsiaTheme="minorEastAsia" w:hAnsiTheme="minorEastAsia" w:cs="宋体"/>
          <w:color w:val="000000"/>
          <w:highlight w:val="white"/>
          <w:lang w:eastAsia="zh-CN"/>
        </w:rPr>
        <w:t>。本基金C类基金份额不收取认购费用，在投资者持有期间计提销售服务费</w:t>
      </w:r>
      <w:r w:rsidRPr="00A936B7">
        <w:rPr>
          <w:rFonts w:asciiTheme="minorEastAsia" w:eastAsiaTheme="minorEastAsia" w:hAnsiTheme="minorEastAsia" w:cs="宋体" w:hint="eastAsia"/>
          <w:color w:val="000000"/>
          <w:highlight w:val="white"/>
          <w:lang w:eastAsia="zh-CN"/>
        </w:rPr>
        <w:t>并按规定收取或返还</w:t>
      </w:r>
      <w:r w:rsidRPr="00A936B7">
        <w:rPr>
          <w:rStyle w:val="da"/>
          <w:rFonts w:asciiTheme="minorEastAsia" w:eastAsiaTheme="minorEastAsia" w:hAnsiTheme="minorEastAsia" w:cs="宋体" w:hint="eastAsia"/>
          <w:highlight w:val="white"/>
          <w:lang w:eastAsia="zh-CN"/>
        </w:rPr>
        <w:t>。</w:t>
      </w:r>
    </w:p>
    <w:tbl>
      <w:tblPr>
        <w:tblW w:w="6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9"/>
        <w:gridCol w:w="2669"/>
      </w:tblGrid>
      <w:tr w14:paraId="41A49718" w14:textId="77777777">
        <w:tblPrEx>
          <w:tblW w:w="6208" w:type="dxa"/>
          <w:jc w:val="center"/>
          <w:tblLayout w:type="fixed"/>
          <w:tblLook w:val="04A0"/>
        </w:tblPrEx>
        <w:trPr>
          <w:trHeight w:val="299"/>
          <w:jc w:val="center"/>
        </w:trPr>
        <w:tc>
          <w:tcPr>
            <w:tcW w:w="3539" w:type="dxa"/>
            <w:tcBorders>
              <w:top w:val="single" w:sz="4" w:space="0" w:color="auto"/>
              <w:left w:val="single" w:sz="4" w:space="0" w:color="auto"/>
              <w:bottom w:val="single" w:sz="4" w:space="0" w:color="auto"/>
              <w:right w:val="single" w:sz="4" w:space="0" w:color="auto"/>
            </w:tcBorders>
          </w:tcPr>
          <w:p w:rsidR="009F340D" w:rsidRPr="00A936B7" w14:paraId="51EFE4C2" w14:textId="77777777">
            <w:pPr>
              <w:spacing w:line="360" w:lineRule="auto"/>
              <w:jc w:val="center"/>
              <w:rPr>
                <w:rFonts w:asciiTheme="minorEastAsia" w:eastAsiaTheme="minorEastAsia" w:hAnsiTheme="minorEastAsia" w:cs="宋体" w:hint="eastAsia"/>
                <w:lang w:eastAsia="zh-CN"/>
              </w:rPr>
            </w:pPr>
            <w:r w:rsidRPr="00A936B7">
              <w:rPr>
                <w:rFonts w:asciiTheme="minorEastAsia" w:eastAsiaTheme="minorEastAsia" w:hAnsiTheme="minorEastAsia" w:cs="宋体"/>
                <w:highlight w:val="white"/>
                <w:lang w:eastAsia="zh-CN"/>
              </w:rPr>
              <w:t>认购</w:t>
            </w:r>
            <w:r w:rsidRPr="00A936B7">
              <w:rPr>
                <w:rFonts w:asciiTheme="minorEastAsia" w:eastAsiaTheme="minorEastAsia" w:hAnsiTheme="minorEastAsia" w:cs="宋体" w:hint="eastAsia"/>
                <w:highlight w:val="white"/>
                <w:lang w:eastAsia="zh-CN"/>
              </w:rPr>
              <w:t>申请</w:t>
            </w:r>
            <w:r w:rsidRPr="00A936B7">
              <w:rPr>
                <w:rFonts w:asciiTheme="minorEastAsia" w:eastAsiaTheme="minorEastAsia" w:hAnsiTheme="minorEastAsia" w:cs="宋体"/>
                <w:highlight w:val="white"/>
                <w:lang w:eastAsia="zh-CN"/>
              </w:rPr>
              <w:t>金额M（元）（含认购费）</w:t>
            </w:r>
          </w:p>
        </w:tc>
        <w:tc>
          <w:tcPr>
            <w:tcW w:w="2669" w:type="dxa"/>
            <w:tcBorders>
              <w:top w:val="single" w:sz="4" w:space="0" w:color="auto"/>
              <w:left w:val="single" w:sz="4" w:space="0" w:color="auto"/>
              <w:bottom w:val="single" w:sz="4" w:space="0" w:color="auto"/>
              <w:right w:val="single" w:sz="4" w:space="0" w:color="auto"/>
            </w:tcBorders>
          </w:tcPr>
          <w:p w:rsidR="009F340D" w:rsidRPr="00A936B7" w14:paraId="7B27D1B2" w14:textId="77777777">
            <w:pPr>
              <w:spacing w:line="360" w:lineRule="auto"/>
              <w:jc w:val="center"/>
              <w:rPr>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ghlight w:val="white"/>
                <w:lang w:eastAsia="zh-CN"/>
              </w:rPr>
              <w:t>A类基金份额</w:t>
            </w:r>
            <w:r w:rsidRPr="00A936B7">
              <w:rPr>
                <w:rFonts w:asciiTheme="minorEastAsia" w:eastAsiaTheme="minorEastAsia" w:hAnsiTheme="minorEastAsia" w:cs="宋体"/>
                <w:highlight w:val="white"/>
                <w:lang w:eastAsia="zh-CN"/>
              </w:rPr>
              <w:t>认购费率</w:t>
            </w:r>
          </w:p>
        </w:tc>
      </w:tr>
      <w:tr w14:paraId="5318E937" w14:textId="77777777">
        <w:tblPrEx>
          <w:tblW w:w="6208" w:type="dxa"/>
          <w:jc w:val="center"/>
          <w:tblLayout w:type="fixed"/>
          <w:tblLook w:val="04A0"/>
        </w:tblPrEx>
        <w:trPr>
          <w:trHeight w:val="360"/>
          <w:jc w:val="center"/>
        </w:trPr>
        <w:tc>
          <w:tcPr>
            <w:tcW w:w="3539" w:type="dxa"/>
          </w:tcPr>
          <w:p w:rsidR="009F340D" w:rsidRPr="00A936B7" w14:paraId="62455041" w14:textId="77777777">
            <w:pPr>
              <w:spacing w:line="360" w:lineRule="auto"/>
              <w:jc w:val="center"/>
              <w:rPr>
                <w:rFonts w:asciiTheme="minorEastAsia" w:eastAsiaTheme="minorEastAsia" w:hAnsiTheme="minorEastAsia" w:cs="宋体" w:hint="eastAsia"/>
              </w:rPr>
            </w:pPr>
            <w:r w:rsidRPr="00A936B7">
              <w:rPr>
                <w:rFonts w:asciiTheme="minorEastAsia" w:eastAsiaTheme="minorEastAsia" w:hAnsiTheme="minorEastAsia" w:cs="宋体" w:hint="eastAsia"/>
                <w:bCs/>
                <w:iCs/>
              </w:rPr>
              <w:t>M＜500万</w:t>
            </w:r>
          </w:p>
        </w:tc>
        <w:tc>
          <w:tcPr>
            <w:tcW w:w="2669" w:type="dxa"/>
          </w:tcPr>
          <w:p w:rsidR="009F340D" w:rsidRPr="00A936B7" w14:paraId="1824B3F8" w14:textId="77777777">
            <w:pPr>
              <w:spacing w:line="360" w:lineRule="auto"/>
              <w:jc w:val="center"/>
              <w:rPr>
                <w:rFonts w:asciiTheme="minorEastAsia" w:eastAsiaTheme="minorEastAsia" w:hAnsiTheme="minorEastAsia" w:cs="宋体" w:hint="eastAsia"/>
              </w:rPr>
            </w:pPr>
            <w:r w:rsidRPr="00A936B7">
              <w:rPr>
                <w:rFonts w:asciiTheme="minorEastAsia" w:eastAsiaTheme="minorEastAsia" w:hAnsiTheme="minorEastAsia" w:cs="宋体" w:hint="eastAsia"/>
                <w:bCs/>
                <w:iCs/>
              </w:rPr>
              <w:t>0.30%</w:t>
            </w:r>
          </w:p>
        </w:tc>
      </w:tr>
      <w:tr w14:paraId="710D2F18" w14:textId="77777777">
        <w:tblPrEx>
          <w:tblW w:w="6208" w:type="dxa"/>
          <w:jc w:val="center"/>
          <w:tblLayout w:type="fixed"/>
          <w:tblLook w:val="04A0"/>
        </w:tblPrEx>
        <w:trPr>
          <w:trHeight w:val="360"/>
          <w:jc w:val="center"/>
        </w:trPr>
        <w:tc>
          <w:tcPr>
            <w:tcW w:w="3539" w:type="dxa"/>
          </w:tcPr>
          <w:p w:rsidR="009F340D" w:rsidRPr="00A936B7" w14:paraId="7DB7BEB0" w14:textId="77777777">
            <w:pPr>
              <w:spacing w:line="360" w:lineRule="auto"/>
              <w:jc w:val="center"/>
              <w:rPr>
                <w:rFonts w:asciiTheme="minorEastAsia" w:eastAsiaTheme="minorEastAsia" w:hAnsiTheme="minorEastAsia" w:cs="宋体" w:hint="eastAsia"/>
              </w:rPr>
            </w:pPr>
            <w:r w:rsidRPr="00A936B7">
              <w:rPr>
                <w:rFonts w:asciiTheme="minorEastAsia" w:eastAsiaTheme="minorEastAsia" w:hAnsiTheme="minorEastAsia" w:cs="宋体" w:hint="eastAsia"/>
                <w:bCs/>
                <w:iCs/>
              </w:rPr>
              <w:t>M≥500万</w:t>
            </w:r>
          </w:p>
        </w:tc>
        <w:tc>
          <w:tcPr>
            <w:tcW w:w="2669" w:type="dxa"/>
          </w:tcPr>
          <w:p w:rsidR="009F340D" w:rsidRPr="00A936B7" w14:paraId="0D1B72BB" w14:textId="77777777">
            <w:pPr>
              <w:spacing w:line="360" w:lineRule="auto"/>
              <w:jc w:val="center"/>
              <w:rPr>
                <w:rFonts w:asciiTheme="minorEastAsia" w:eastAsiaTheme="minorEastAsia" w:hAnsiTheme="minorEastAsia" w:cs="宋体" w:hint="eastAsia"/>
              </w:rPr>
            </w:pPr>
            <w:r w:rsidRPr="00A936B7">
              <w:rPr>
                <w:rFonts w:asciiTheme="minorEastAsia" w:eastAsiaTheme="minorEastAsia" w:hAnsiTheme="minorEastAsia" w:cs="宋体" w:hint="eastAsia"/>
                <w:bCs/>
                <w:iCs/>
              </w:rPr>
              <w:t>1000元/笔</w:t>
            </w:r>
          </w:p>
        </w:tc>
      </w:tr>
    </w:tbl>
    <w:p w:rsidR="009F340D" w:rsidRPr="00A936B7" w14:paraId="21D4B0A5" w14:textId="77777777">
      <w:pPr>
        <w:spacing w:line="360" w:lineRule="auto"/>
        <w:ind w:firstLine="420" w:firstLineChars="200"/>
        <w:rPr>
          <w:rFonts w:asciiTheme="minorEastAsia" w:eastAsiaTheme="minorEastAsia" w:hAnsiTheme="minorEastAsia" w:hint="eastAsia"/>
          <w:lang w:eastAsia="zh-CN"/>
        </w:rPr>
      </w:pPr>
      <w:r w:rsidRPr="00A936B7">
        <w:rPr>
          <w:rStyle w:val="da"/>
          <w:rFonts w:asciiTheme="minorEastAsia" w:eastAsiaTheme="minorEastAsia" w:hAnsiTheme="minorEastAsia" w:cs="宋体"/>
          <w:highlight w:val="white"/>
          <w:lang w:eastAsia="zh-CN"/>
        </w:rPr>
        <w:t>1</w:t>
      </w:r>
      <w:r w:rsidRPr="00A936B7">
        <w:rPr>
          <w:rStyle w:val="da"/>
          <w:rFonts w:asciiTheme="minorEastAsia" w:eastAsiaTheme="minorEastAsia" w:hAnsiTheme="minorEastAsia" w:cs="宋体" w:hint="eastAsia"/>
          <w:highlight w:val="white"/>
          <w:lang w:eastAsia="zh-CN"/>
        </w:rPr>
        <w:t>）</w:t>
      </w:r>
      <w:r w:rsidRPr="00A936B7">
        <w:rPr>
          <w:rFonts w:asciiTheme="minorEastAsia" w:eastAsiaTheme="minorEastAsia" w:hAnsiTheme="minorEastAsia"/>
          <w:highlight w:val="white"/>
          <w:lang w:eastAsia="zh-CN"/>
        </w:rPr>
        <w:t>投资者通过</w:t>
      </w:r>
      <w:r w:rsidRPr="00A936B7">
        <w:rPr>
          <w:rFonts w:asciiTheme="minorEastAsia" w:eastAsiaTheme="minorEastAsia" w:hAnsiTheme="minorEastAsia" w:hint="eastAsia"/>
          <w:highlight w:val="white"/>
          <w:lang w:eastAsia="zh-CN"/>
        </w:rPr>
        <w:t>基金</w:t>
      </w:r>
      <w:r w:rsidRPr="00A936B7">
        <w:rPr>
          <w:rFonts w:asciiTheme="minorEastAsia" w:eastAsiaTheme="minorEastAsia" w:hAnsiTheme="minorEastAsia"/>
          <w:highlight w:val="white"/>
          <w:lang w:eastAsia="zh-CN"/>
        </w:rPr>
        <w:t>管理人或其基金销售子公司认购本基金A类基金份额，不收取认购费用。</w:t>
      </w:r>
    </w:p>
    <w:p w:rsidR="009F340D" w:rsidRPr="00A936B7" w14:paraId="77896668" w14:textId="77777777">
      <w:pPr>
        <w:spacing w:line="360" w:lineRule="auto"/>
        <w:ind w:firstLine="420"/>
        <w:rPr>
          <w:rFonts w:asciiTheme="minorEastAsia" w:eastAsiaTheme="minorEastAsia" w:hAnsiTheme="minorEastAsia" w:hint="eastAsia"/>
          <w:lang w:eastAsia="zh-CN"/>
        </w:rPr>
      </w:pPr>
      <w:r w:rsidRPr="00A936B7">
        <w:rPr>
          <w:rFonts w:asciiTheme="minorEastAsia" w:eastAsiaTheme="minorEastAsia" w:hAnsiTheme="minorEastAsia"/>
          <w:highlight w:val="white"/>
          <w:lang w:eastAsia="zh-CN"/>
        </w:rPr>
        <w:t>2</w:t>
      </w:r>
      <w:r w:rsidRPr="00A936B7">
        <w:rPr>
          <w:rFonts w:asciiTheme="minorEastAsia" w:eastAsiaTheme="minorEastAsia" w:hAnsiTheme="minorEastAsia" w:cs="宋体" w:hint="eastAsia"/>
          <w:highlight w:val="white"/>
          <w:lang w:eastAsia="zh-CN"/>
        </w:rPr>
        <w:t>）</w:t>
      </w:r>
      <w:r w:rsidRPr="00A936B7">
        <w:rPr>
          <w:rFonts w:asciiTheme="minorEastAsia" w:eastAsiaTheme="minorEastAsia" w:hAnsiTheme="minorEastAsia" w:hint="eastAsia"/>
          <w:highlight w:val="white"/>
          <w:lang w:eastAsia="zh-CN"/>
        </w:rPr>
        <w:t>投资者通过其他销售机构</w:t>
      </w:r>
      <w:r w:rsidRPr="00A936B7">
        <w:rPr>
          <w:rFonts w:asciiTheme="minorEastAsia" w:eastAsiaTheme="minorEastAsia" w:hAnsiTheme="minorEastAsia" w:cs="宋体" w:hint="eastAsia"/>
          <w:highlight w:val="white"/>
          <w:lang w:eastAsia="zh-CN"/>
        </w:rPr>
        <w:t>认购本基金</w:t>
      </w:r>
      <w:r w:rsidRPr="00A936B7">
        <w:rPr>
          <w:rStyle w:val="da"/>
          <w:rFonts w:asciiTheme="minorEastAsia" w:eastAsiaTheme="minorEastAsia" w:hAnsiTheme="minorEastAsia"/>
          <w:highlight w:val="white"/>
          <w:lang w:eastAsia="zh-CN"/>
        </w:rPr>
        <w:t>A</w:t>
      </w:r>
      <w:r w:rsidRPr="00A936B7">
        <w:rPr>
          <w:rStyle w:val="da"/>
          <w:rFonts w:asciiTheme="minorEastAsia" w:eastAsiaTheme="minorEastAsia" w:hAnsiTheme="minorEastAsia" w:cs="宋体"/>
          <w:highlight w:val="white"/>
          <w:lang w:eastAsia="zh-CN"/>
        </w:rPr>
        <w:t>类基金份额的</w:t>
      </w:r>
      <w:r w:rsidRPr="00A936B7">
        <w:rPr>
          <w:rFonts w:asciiTheme="minorEastAsia" w:eastAsiaTheme="minorEastAsia" w:hAnsiTheme="minorEastAsia" w:cs="宋体" w:hint="eastAsia"/>
          <w:highlight w:val="white"/>
          <w:lang w:eastAsia="zh-CN"/>
        </w:rPr>
        <w:t>认购费率见</w:t>
      </w:r>
      <w:r w:rsidRPr="00A936B7">
        <w:rPr>
          <w:rFonts w:asciiTheme="minorEastAsia" w:eastAsiaTheme="minorEastAsia" w:hAnsiTheme="minorEastAsia"/>
          <w:highlight w:val="white"/>
          <w:lang w:eastAsia="zh-CN"/>
        </w:rPr>
        <w:t>上表。</w:t>
      </w:r>
    </w:p>
    <w:p w:rsidR="009F340D" w:rsidRPr="00A936B7" w14:paraId="6D2A9405"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highlight w:val="white"/>
          <w:lang w:eastAsia="zh-CN"/>
        </w:rPr>
        <w:t>募集期投资者可以多次认购本基金，</w:t>
      </w:r>
      <w:r w:rsidRPr="00A936B7">
        <w:rPr>
          <w:rFonts w:asciiTheme="minorEastAsia" w:eastAsiaTheme="minorEastAsia" w:hAnsiTheme="minorEastAsia" w:cs="宋体"/>
          <w:highlight w:val="white"/>
          <w:lang w:eastAsia="zh-CN"/>
        </w:rPr>
        <w:t>A类基金份额</w:t>
      </w:r>
      <w:r w:rsidRPr="00A936B7">
        <w:rPr>
          <w:rFonts w:asciiTheme="minorEastAsia" w:eastAsiaTheme="minorEastAsia" w:hAnsiTheme="minorEastAsia"/>
          <w:highlight w:val="white"/>
          <w:lang w:eastAsia="zh-CN"/>
        </w:rPr>
        <w:t>认购费用按每笔</w:t>
      </w:r>
      <w:r w:rsidRPr="00A936B7">
        <w:rPr>
          <w:rFonts w:asciiTheme="minorEastAsia" w:eastAsiaTheme="minorEastAsia" w:hAnsiTheme="minorEastAsia" w:cs="宋体"/>
          <w:highlight w:val="white"/>
          <w:lang w:eastAsia="zh-CN"/>
        </w:rPr>
        <w:t>A类基金份额</w:t>
      </w:r>
      <w:r w:rsidRPr="00A936B7">
        <w:rPr>
          <w:rFonts w:asciiTheme="minorEastAsia" w:eastAsiaTheme="minorEastAsia" w:hAnsiTheme="minorEastAsia"/>
          <w:highlight w:val="white"/>
          <w:lang w:eastAsia="zh-CN"/>
        </w:rPr>
        <w:t>认购申请单独计算。</w:t>
      </w:r>
    </w:p>
    <w:p w:rsidR="009F340D" w:rsidRPr="00A936B7" w14:paraId="157D87E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本基金</w:t>
      </w:r>
      <w:r w:rsidRPr="00A936B7">
        <w:rPr>
          <w:rStyle w:val="da"/>
          <w:rFonts w:asciiTheme="minorEastAsia" w:eastAsiaTheme="minorEastAsia" w:hAnsiTheme="minorEastAsia" w:cs="宋体"/>
          <w:szCs w:val="21"/>
          <w:highlight w:val="white"/>
          <w:lang w:eastAsia="zh-CN"/>
        </w:rPr>
        <w:t>A类基金份额</w:t>
      </w:r>
      <w:r w:rsidRPr="00A936B7">
        <w:rPr>
          <w:rStyle w:val="da"/>
          <w:rFonts w:asciiTheme="minorEastAsia" w:eastAsiaTheme="minorEastAsia" w:hAnsiTheme="minorEastAsia" w:cs="宋体" w:hint="eastAsia"/>
          <w:szCs w:val="21"/>
          <w:highlight w:val="white"/>
          <w:lang w:eastAsia="zh-CN"/>
        </w:rPr>
        <w:t>按规定收取</w:t>
      </w:r>
      <w:r w:rsidRPr="00A936B7">
        <w:rPr>
          <w:rFonts w:asciiTheme="minorEastAsia" w:eastAsiaTheme="minorEastAsia" w:hAnsiTheme="minorEastAsia" w:cs="宋体" w:hint="eastAsia"/>
          <w:szCs w:val="21"/>
          <w:highlight w:val="white"/>
          <w:lang w:eastAsia="zh-CN"/>
        </w:rPr>
        <w:t xml:space="preserve">的认购费用由认购该类基金份额的投资人承担，主要用于本基金的市场推广、销售等募集期间发生的各项费用。 </w:t>
      </w:r>
    </w:p>
    <w:p w:rsidR="009F340D" w14:paraId="0BD3FED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本基金C类基金份额不收取认购费用</w:t>
      </w:r>
      <w:r w:rsidRPr="00A936B7">
        <w:rPr>
          <w:rFonts w:asciiTheme="minorEastAsia" w:eastAsiaTheme="minorEastAsia" w:hAnsiTheme="minorEastAsia" w:cs="宋体"/>
          <w:color w:val="000000"/>
          <w:szCs w:val="21"/>
          <w:highlight w:val="white"/>
          <w:lang w:eastAsia="zh-CN"/>
        </w:rPr>
        <w:t>，在投资者持有期间</w:t>
      </w:r>
      <w:r w:rsidRPr="00A936B7">
        <w:rPr>
          <w:rFonts w:asciiTheme="minorEastAsia" w:eastAsiaTheme="minorEastAsia" w:hAnsiTheme="minorEastAsia" w:cs="宋体"/>
          <w:color w:val="000000"/>
          <w:highlight w:val="white"/>
          <w:lang w:eastAsia="zh-CN"/>
        </w:rPr>
        <w:t>计提</w:t>
      </w:r>
      <w:r w:rsidRPr="00A936B7">
        <w:rPr>
          <w:rFonts w:asciiTheme="minorEastAsia" w:eastAsiaTheme="minorEastAsia" w:hAnsiTheme="minorEastAsia" w:cs="宋体"/>
          <w:color w:val="000000"/>
          <w:szCs w:val="21"/>
          <w:highlight w:val="white"/>
          <w:lang w:eastAsia="zh-CN"/>
        </w:rPr>
        <w:t>销售服务费</w:t>
      </w:r>
      <w:r w:rsidRPr="00A936B7">
        <w:rPr>
          <w:rFonts w:asciiTheme="minorEastAsia" w:eastAsiaTheme="minorEastAsia" w:hAnsiTheme="minorEastAsia" w:cs="宋体" w:hint="eastAsia"/>
          <w:color w:val="000000"/>
          <w:highlight w:val="white"/>
          <w:lang w:eastAsia="zh-CN"/>
        </w:rPr>
        <w:t>并按规定收取或返还</w:t>
      </w:r>
      <w:r w:rsidRPr="00A936B7">
        <w:rPr>
          <w:rFonts w:asciiTheme="minorEastAsia" w:eastAsiaTheme="minorEastAsia" w:hAnsiTheme="minorEastAsia" w:cs="宋体"/>
          <w:szCs w:val="21"/>
          <w:highlight w:val="white"/>
          <w:lang w:eastAsia="zh-CN"/>
        </w:rPr>
        <w:t>。</w:t>
      </w:r>
    </w:p>
    <w:p w:rsidR="00E71ACB" w:rsidRPr="00A936B7" w14:paraId="5EE447FC" w14:textId="77777777">
      <w:pPr>
        <w:spacing w:line="360" w:lineRule="auto"/>
        <w:ind w:firstLine="420"/>
        <w:rPr>
          <w:rFonts w:asciiTheme="minorEastAsia" w:eastAsiaTheme="minorEastAsia" w:hAnsiTheme="minorEastAsia" w:cs="宋体" w:hint="eastAsia"/>
          <w:szCs w:val="21"/>
          <w:lang w:eastAsia="zh-CN"/>
        </w:rPr>
      </w:pPr>
      <w:r w:rsidRPr="00E71ACB">
        <w:rPr>
          <w:rFonts w:asciiTheme="minorEastAsia" w:eastAsiaTheme="minorEastAsia" w:hAnsiTheme="minorEastAsia" w:cs="宋体" w:hint="eastAsia"/>
          <w:szCs w:val="21"/>
          <w:lang w:eastAsia="zh-CN"/>
        </w:rPr>
        <w:t>本基金暂不开通基金管理人及其基金销售子公司销售本基金C类基金份额，若日后开通，将另行公告。</w:t>
      </w:r>
    </w:p>
    <w:p w:rsidR="009F340D" w:rsidRPr="00A936B7" w14:paraId="76AA6C2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（2）认购份额的计算</w:t>
      </w:r>
    </w:p>
    <w:p w:rsidR="009F340D" w:rsidRPr="00A936B7" w14:paraId="0303292D" w14:textId="77777777">
      <w:pPr>
        <w:spacing w:line="360" w:lineRule="auto"/>
        <w:ind w:firstLine="420"/>
        <w:rPr>
          <w:rFonts w:asciiTheme="minorEastAsia" w:eastAsiaTheme="minorEastAsia" w:hAnsiTheme="minorEastAsia" w:hint="eastAsia"/>
          <w:lang w:eastAsia="zh-CN"/>
        </w:rPr>
      </w:pPr>
      <w:r w:rsidRPr="00A936B7">
        <w:rPr>
          <w:rFonts w:asciiTheme="minorEastAsia" w:eastAsiaTheme="minorEastAsia" w:hAnsiTheme="minorEastAsia"/>
          <w:highlight w:val="white"/>
          <w:lang w:eastAsia="zh-CN"/>
        </w:rPr>
        <w:t xml:space="preserve">本基金认购采用金额认购方式。计算公式如下： </w:t>
      </w:r>
    </w:p>
    <w:p w:rsidR="009F340D" w:rsidRPr="00A936B7" w14:paraId="2B4F4824"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a.若投资人</w:t>
      </w:r>
      <w:r w:rsidRPr="00A936B7">
        <w:rPr>
          <w:rFonts w:asciiTheme="minorEastAsia" w:eastAsiaTheme="minorEastAsia" w:hAnsiTheme="minorEastAsia" w:cs="宋体" w:hint="eastAsia"/>
          <w:szCs w:val="21"/>
          <w:highlight w:val="white"/>
          <w:lang w:eastAsia="zh-CN"/>
        </w:rPr>
        <w:t>通过除</w:t>
      </w:r>
      <w:r w:rsidRPr="00A936B7">
        <w:rPr>
          <w:rFonts w:asciiTheme="minorEastAsia" w:eastAsiaTheme="minorEastAsia" w:hAnsiTheme="minorEastAsia" w:hint="eastAsia"/>
          <w:highlight w:val="white"/>
          <w:lang w:eastAsia="zh-CN"/>
        </w:rPr>
        <w:t>基金</w:t>
      </w:r>
      <w:r w:rsidRPr="00A936B7">
        <w:rPr>
          <w:rFonts w:asciiTheme="minorEastAsia" w:eastAsiaTheme="minorEastAsia" w:hAnsiTheme="minorEastAsia"/>
          <w:highlight w:val="white"/>
          <w:lang w:eastAsia="zh-CN"/>
        </w:rPr>
        <w:t>管理人及</w:t>
      </w:r>
      <w:r w:rsidRPr="00A936B7">
        <w:rPr>
          <w:rFonts w:asciiTheme="minorEastAsia" w:eastAsiaTheme="minorEastAsia" w:hAnsiTheme="minorEastAsia" w:hint="eastAsia"/>
          <w:highlight w:val="white"/>
          <w:lang w:eastAsia="zh-CN"/>
        </w:rPr>
        <w:t>其</w:t>
      </w:r>
      <w:r w:rsidRPr="00A936B7">
        <w:rPr>
          <w:rFonts w:asciiTheme="minorEastAsia" w:eastAsiaTheme="minorEastAsia" w:hAnsiTheme="minorEastAsia"/>
          <w:highlight w:val="white"/>
          <w:lang w:eastAsia="zh-CN"/>
        </w:rPr>
        <w:t>基金销售子公司以外的销售机构</w:t>
      </w:r>
      <w:r w:rsidRPr="00A936B7">
        <w:rPr>
          <w:rFonts w:asciiTheme="minorEastAsia" w:eastAsiaTheme="minorEastAsia" w:hAnsiTheme="minorEastAsia"/>
          <w:szCs w:val="21"/>
          <w:highlight w:val="white"/>
          <w:lang w:eastAsia="zh-CN"/>
        </w:rPr>
        <w:t>认购本基金A类</w:t>
      </w:r>
      <w:r w:rsidRPr="00A936B7">
        <w:rPr>
          <w:rFonts w:asciiTheme="minorEastAsia" w:eastAsiaTheme="minorEastAsia" w:hAnsiTheme="minorEastAsia" w:hint="eastAsia"/>
          <w:szCs w:val="21"/>
          <w:highlight w:val="white"/>
          <w:lang w:eastAsia="zh-CN"/>
        </w:rPr>
        <w:t>基金</w:t>
      </w:r>
      <w:r w:rsidRPr="00A936B7">
        <w:rPr>
          <w:rFonts w:asciiTheme="minorEastAsia" w:eastAsiaTheme="minorEastAsia" w:hAnsiTheme="minorEastAsia"/>
          <w:szCs w:val="21"/>
          <w:highlight w:val="white"/>
          <w:lang w:eastAsia="zh-CN"/>
        </w:rPr>
        <w:t>份额，则认购份额的计算公式为：</w:t>
      </w:r>
    </w:p>
    <w:p w:rsidR="009F340D" w:rsidRPr="00A936B7" w14:paraId="1B8F47AD" w14:textId="77777777">
      <w:pPr>
        <w:spacing w:line="360" w:lineRule="auto"/>
        <w:ind w:firstLine="420"/>
        <w:rPr>
          <w:rFonts w:asciiTheme="minorEastAsia" w:eastAsiaTheme="minorEastAsia" w:hAnsiTheme="minorEastAsia" w:hint="eastAsia"/>
          <w:lang w:eastAsia="zh-CN"/>
        </w:rPr>
      </w:pPr>
      <w:r w:rsidRPr="00A936B7">
        <w:rPr>
          <w:rFonts w:asciiTheme="minorEastAsia" w:eastAsiaTheme="minorEastAsia" w:hAnsiTheme="minorEastAsia"/>
          <w:highlight w:val="white"/>
          <w:lang w:eastAsia="zh-CN"/>
        </w:rPr>
        <w:t xml:space="preserve">净认购金额=认购金额/（1+认购费率） </w:t>
      </w:r>
    </w:p>
    <w:p w:rsidR="009F340D" w:rsidRPr="00A936B7" w14:paraId="62BD83F9" w14:textId="77777777">
      <w:pPr>
        <w:spacing w:line="360" w:lineRule="auto"/>
        <w:ind w:firstLine="420"/>
        <w:rPr>
          <w:rFonts w:asciiTheme="minorEastAsia" w:eastAsiaTheme="minorEastAsia" w:hAnsiTheme="minorEastAsia" w:hint="eastAsia"/>
          <w:lang w:eastAsia="zh-CN"/>
        </w:rPr>
      </w:pPr>
      <w:r w:rsidRPr="00A936B7">
        <w:rPr>
          <w:rFonts w:asciiTheme="minorEastAsia" w:eastAsiaTheme="minorEastAsia" w:hAnsiTheme="minorEastAsia"/>
          <w:highlight w:val="white"/>
          <w:lang w:eastAsia="zh-CN"/>
        </w:rPr>
        <w:t>（注：对于认购金额在500万元（含）以上适用固定金额认购费的认购，净认购金额=认购金额－固定认购费金额）</w:t>
      </w:r>
    </w:p>
    <w:p w:rsidR="009F340D" w:rsidRPr="00A936B7" w14:paraId="1B7CD647" w14:textId="77777777">
      <w:pPr>
        <w:spacing w:line="360" w:lineRule="auto"/>
        <w:ind w:firstLine="420"/>
        <w:rPr>
          <w:rFonts w:asciiTheme="minorEastAsia" w:eastAsiaTheme="minorEastAsia" w:hAnsiTheme="minorEastAsia" w:hint="eastAsia"/>
          <w:lang w:eastAsia="zh-CN"/>
        </w:rPr>
      </w:pPr>
      <w:r w:rsidRPr="00A936B7">
        <w:rPr>
          <w:rFonts w:asciiTheme="minorEastAsia" w:eastAsiaTheme="minorEastAsia" w:hAnsiTheme="minorEastAsia"/>
          <w:highlight w:val="white"/>
          <w:lang w:eastAsia="zh-CN"/>
        </w:rPr>
        <w:t xml:space="preserve">认购费用=认购金额-净认购金额 </w:t>
      </w:r>
    </w:p>
    <w:p w:rsidR="009F340D" w:rsidRPr="00A936B7" w14:paraId="1F352E13" w14:textId="77777777">
      <w:pPr>
        <w:spacing w:line="360" w:lineRule="auto"/>
        <w:ind w:firstLine="420"/>
        <w:rPr>
          <w:rFonts w:asciiTheme="minorEastAsia" w:eastAsiaTheme="minorEastAsia" w:hAnsiTheme="minorEastAsia" w:hint="eastAsia"/>
          <w:lang w:eastAsia="zh-CN"/>
        </w:rPr>
      </w:pPr>
      <w:r w:rsidRPr="00A936B7">
        <w:rPr>
          <w:rFonts w:asciiTheme="minorEastAsia" w:eastAsiaTheme="minorEastAsia" w:hAnsiTheme="minorEastAsia"/>
          <w:highlight w:val="white"/>
          <w:lang w:eastAsia="zh-CN"/>
        </w:rPr>
        <w:t xml:space="preserve">认购份额=（净认购金额+认购利息）/基金份额面值 </w:t>
      </w:r>
    </w:p>
    <w:p w:rsidR="009F340D" w:rsidRPr="00A936B7" w14:paraId="56353EEE" w14:textId="77777777">
      <w:pPr>
        <w:spacing w:line="360" w:lineRule="auto"/>
        <w:ind w:firstLine="420"/>
        <w:rPr>
          <w:rFonts w:asciiTheme="minorEastAsia" w:eastAsiaTheme="minorEastAsia" w:hAnsiTheme="minorEastAsia" w:hint="eastAsia"/>
          <w:lang w:eastAsia="zh-CN"/>
        </w:rPr>
      </w:pPr>
      <w:r w:rsidRPr="00A936B7">
        <w:rPr>
          <w:rFonts w:asciiTheme="minorEastAsia" w:eastAsiaTheme="minorEastAsia" w:hAnsiTheme="minorEastAsia" w:hint="eastAsia"/>
          <w:highlight w:val="white"/>
          <w:lang w:eastAsia="zh-CN"/>
        </w:rPr>
        <w:t>例一：某投资人</w:t>
      </w:r>
      <w:r w:rsidRPr="00A936B7">
        <w:rPr>
          <w:rFonts w:asciiTheme="minorEastAsia" w:eastAsiaTheme="minorEastAsia" w:hAnsiTheme="minorEastAsia" w:cs="宋体" w:hint="eastAsia"/>
          <w:szCs w:val="21"/>
          <w:highlight w:val="white"/>
          <w:lang w:eastAsia="zh-CN"/>
        </w:rPr>
        <w:t>通过除</w:t>
      </w:r>
      <w:r w:rsidRPr="00A936B7">
        <w:rPr>
          <w:rFonts w:asciiTheme="minorEastAsia" w:eastAsiaTheme="minorEastAsia" w:hAnsiTheme="minorEastAsia" w:hint="eastAsia"/>
          <w:highlight w:val="white"/>
          <w:lang w:eastAsia="zh-CN"/>
        </w:rPr>
        <w:t>基金</w:t>
      </w:r>
      <w:r w:rsidRPr="00A936B7">
        <w:rPr>
          <w:rFonts w:asciiTheme="minorEastAsia" w:eastAsiaTheme="minorEastAsia" w:hAnsiTheme="minorEastAsia"/>
          <w:highlight w:val="white"/>
          <w:lang w:eastAsia="zh-CN"/>
        </w:rPr>
        <w:t>管理人及</w:t>
      </w:r>
      <w:r w:rsidRPr="00A936B7">
        <w:rPr>
          <w:rFonts w:asciiTheme="minorEastAsia" w:eastAsiaTheme="minorEastAsia" w:hAnsiTheme="minorEastAsia" w:hint="eastAsia"/>
          <w:highlight w:val="white"/>
          <w:lang w:eastAsia="zh-CN"/>
        </w:rPr>
        <w:t>其</w:t>
      </w:r>
      <w:r w:rsidRPr="00A936B7">
        <w:rPr>
          <w:rFonts w:asciiTheme="minorEastAsia" w:eastAsiaTheme="minorEastAsia" w:hAnsiTheme="minorEastAsia"/>
          <w:highlight w:val="white"/>
          <w:lang w:eastAsia="zh-CN"/>
        </w:rPr>
        <w:t>基金销售子公司以外的销售机构</w:t>
      </w:r>
      <w:r w:rsidRPr="00A936B7" w:rsidR="004C387D">
        <w:rPr>
          <w:rFonts w:asciiTheme="minorEastAsia" w:eastAsiaTheme="minorEastAsia" w:hAnsiTheme="minorEastAsia"/>
          <w:highlight w:val="white"/>
          <w:lang w:eastAsia="zh-CN"/>
        </w:rPr>
        <w:t>认购</w:t>
      </w:r>
      <w:r w:rsidRPr="00A936B7">
        <w:rPr>
          <w:rFonts w:asciiTheme="minorEastAsia" w:eastAsiaTheme="minorEastAsia" w:hAnsiTheme="minorEastAsia" w:hint="eastAsia"/>
          <w:highlight w:val="white"/>
          <w:lang w:eastAsia="zh-CN"/>
        </w:rPr>
        <w:t>本基金</w:t>
      </w:r>
      <w:r w:rsidRPr="00A936B7">
        <w:rPr>
          <w:rFonts w:asciiTheme="minorEastAsia" w:eastAsiaTheme="minorEastAsia" w:hAnsiTheme="minorEastAsia"/>
          <w:szCs w:val="21"/>
          <w:highlight w:val="white"/>
          <w:lang w:eastAsia="zh-CN"/>
        </w:rPr>
        <w:t>A</w:t>
      </w:r>
      <w:r w:rsidRPr="00A936B7">
        <w:rPr>
          <w:rFonts w:asciiTheme="minorEastAsia" w:eastAsiaTheme="minorEastAsia" w:hAnsiTheme="minorEastAsia" w:hint="eastAsia"/>
          <w:szCs w:val="21"/>
          <w:highlight w:val="white"/>
          <w:lang w:eastAsia="zh-CN"/>
        </w:rPr>
        <w:t>类基金份额</w:t>
      </w:r>
      <w:r w:rsidRPr="00A936B7">
        <w:rPr>
          <w:rFonts w:asciiTheme="minorEastAsia" w:eastAsiaTheme="minorEastAsia" w:hAnsiTheme="minorEastAsia"/>
          <w:highlight w:val="white"/>
          <w:lang w:eastAsia="zh-CN"/>
        </w:rPr>
        <w:t>100,000</w:t>
      </w:r>
      <w:r w:rsidRPr="00A936B7">
        <w:rPr>
          <w:rFonts w:asciiTheme="minorEastAsia" w:eastAsiaTheme="minorEastAsia" w:hAnsiTheme="minorEastAsia" w:hint="eastAsia"/>
          <w:highlight w:val="white"/>
          <w:lang w:eastAsia="zh-CN"/>
        </w:rPr>
        <w:t>元，认购费率为</w:t>
      </w:r>
      <w:r w:rsidRPr="00A936B7">
        <w:rPr>
          <w:rFonts w:asciiTheme="minorEastAsia" w:eastAsiaTheme="minorEastAsia" w:hAnsiTheme="minorEastAsia"/>
          <w:highlight w:val="white"/>
          <w:lang w:eastAsia="zh-CN"/>
        </w:rPr>
        <w:t>0.30%</w:t>
      </w:r>
      <w:r w:rsidRPr="00A936B7">
        <w:rPr>
          <w:rFonts w:asciiTheme="minorEastAsia" w:eastAsiaTheme="minorEastAsia" w:hAnsiTheme="minorEastAsia" w:hint="eastAsia"/>
          <w:highlight w:val="white"/>
          <w:lang w:eastAsia="zh-CN"/>
        </w:rPr>
        <w:t>，假定该笔有效认购申请金额募集期产生的利息为</w:t>
      </w:r>
      <w:r w:rsidRPr="00A936B7">
        <w:rPr>
          <w:rFonts w:asciiTheme="minorEastAsia" w:eastAsiaTheme="minorEastAsia" w:hAnsiTheme="minorEastAsia"/>
          <w:highlight w:val="white"/>
          <w:lang w:eastAsia="zh-CN"/>
        </w:rPr>
        <w:t>50</w:t>
      </w:r>
      <w:r w:rsidRPr="00A936B7">
        <w:rPr>
          <w:rFonts w:asciiTheme="minorEastAsia" w:eastAsiaTheme="minorEastAsia" w:hAnsiTheme="minorEastAsia" w:hint="eastAsia"/>
          <w:highlight w:val="white"/>
          <w:lang w:eastAsia="zh-CN"/>
        </w:rPr>
        <w:t>元，则可认购</w:t>
      </w:r>
      <w:r w:rsidRPr="00A936B7">
        <w:rPr>
          <w:rFonts w:asciiTheme="minorEastAsia" w:eastAsiaTheme="minorEastAsia" w:hAnsiTheme="minorEastAsia"/>
          <w:szCs w:val="21"/>
          <w:highlight w:val="white"/>
          <w:lang w:eastAsia="zh-CN"/>
        </w:rPr>
        <w:t>A</w:t>
      </w:r>
      <w:r w:rsidRPr="00A936B7">
        <w:rPr>
          <w:rFonts w:asciiTheme="minorEastAsia" w:eastAsiaTheme="minorEastAsia" w:hAnsiTheme="minorEastAsia" w:hint="eastAsia"/>
          <w:szCs w:val="21"/>
          <w:highlight w:val="white"/>
          <w:lang w:eastAsia="zh-CN"/>
        </w:rPr>
        <w:t>类基金份额</w:t>
      </w:r>
      <w:r w:rsidRPr="00A936B7">
        <w:rPr>
          <w:rFonts w:asciiTheme="minorEastAsia" w:eastAsiaTheme="minorEastAsia" w:hAnsiTheme="minorEastAsia" w:hint="eastAsia"/>
          <w:highlight w:val="white"/>
          <w:lang w:eastAsia="zh-CN"/>
        </w:rPr>
        <w:t>为：</w:t>
      </w:r>
      <w:r w:rsidRPr="00A936B7">
        <w:rPr>
          <w:rFonts w:asciiTheme="minorEastAsia" w:eastAsiaTheme="minorEastAsia" w:hAnsiTheme="minorEastAsia"/>
          <w:highlight w:val="white"/>
          <w:lang w:eastAsia="zh-CN"/>
        </w:rPr>
        <w:t xml:space="preserve"> </w:t>
      </w:r>
    </w:p>
    <w:p w:rsidR="009F340D" w:rsidRPr="00A936B7" w14:paraId="53BC1ADC" w14:textId="77777777">
      <w:pPr>
        <w:spacing w:line="360" w:lineRule="auto"/>
        <w:ind w:firstLine="420" w:firstLineChars="200"/>
        <w:rPr>
          <w:rFonts w:asciiTheme="minorEastAsia" w:eastAsiaTheme="minorEastAsia" w:hAnsiTheme="minorEastAsia" w:hint="eastAsia"/>
          <w:lang w:eastAsia="zh-CN"/>
        </w:rPr>
      </w:pPr>
      <w:r w:rsidRPr="00A936B7">
        <w:rPr>
          <w:rFonts w:asciiTheme="minorEastAsia" w:eastAsiaTheme="minorEastAsia" w:hAnsiTheme="minorEastAsia" w:hint="eastAsia"/>
          <w:highlight w:val="white"/>
          <w:lang w:eastAsia="zh-CN"/>
        </w:rPr>
        <w:t>净认购金额＝100,000/（1＋</w:t>
      </w:r>
      <w:r w:rsidRPr="00A936B7">
        <w:rPr>
          <w:rFonts w:asciiTheme="minorEastAsia" w:eastAsiaTheme="minorEastAsia" w:hAnsiTheme="minorEastAsia"/>
          <w:highlight w:val="white"/>
          <w:lang w:eastAsia="zh-CN"/>
        </w:rPr>
        <w:t>0.30</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99</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700</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90</w:t>
      </w:r>
      <w:r w:rsidRPr="00A936B7">
        <w:rPr>
          <w:rFonts w:asciiTheme="minorEastAsia" w:eastAsiaTheme="minorEastAsia" w:hAnsiTheme="minorEastAsia" w:hint="eastAsia"/>
          <w:highlight w:val="white"/>
          <w:lang w:eastAsia="zh-CN"/>
        </w:rPr>
        <w:t xml:space="preserve">元 </w:t>
      </w:r>
    </w:p>
    <w:p w:rsidR="009F340D" w:rsidRPr="00A936B7" w14:paraId="725F4110" w14:textId="77777777">
      <w:pPr>
        <w:spacing w:line="360" w:lineRule="auto"/>
        <w:ind w:firstLine="420" w:firstLineChars="200"/>
        <w:rPr>
          <w:rFonts w:asciiTheme="minorEastAsia" w:eastAsiaTheme="minorEastAsia" w:hAnsiTheme="minorEastAsia" w:hint="eastAsia"/>
          <w:lang w:eastAsia="zh-CN"/>
        </w:rPr>
      </w:pPr>
      <w:r w:rsidRPr="00A936B7">
        <w:rPr>
          <w:rFonts w:asciiTheme="minorEastAsia" w:eastAsiaTheme="minorEastAsia" w:hAnsiTheme="minorEastAsia" w:hint="eastAsia"/>
          <w:highlight w:val="white"/>
          <w:lang w:eastAsia="zh-CN"/>
        </w:rPr>
        <w:t>认购费用＝100,000-</w:t>
      </w:r>
      <w:r w:rsidRPr="00A936B7">
        <w:rPr>
          <w:rFonts w:asciiTheme="minorEastAsia" w:eastAsiaTheme="minorEastAsia" w:hAnsiTheme="minorEastAsia"/>
          <w:highlight w:val="white"/>
          <w:lang w:eastAsia="zh-CN"/>
        </w:rPr>
        <w:t>99</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700</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90</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299.10</w:t>
      </w:r>
      <w:r w:rsidRPr="00A936B7">
        <w:rPr>
          <w:rFonts w:asciiTheme="minorEastAsia" w:eastAsiaTheme="minorEastAsia" w:hAnsiTheme="minorEastAsia" w:hint="eastAsia"/>
          <w:highlight w:val="white"/>
          <w:lang w:eastAsia="zh-CN"/>
        </w:rPr>
        <w:t xml:space="preserve">元 </w:t>
      </w:r>
    </w:p>
    <w:p w:rsidR="009F340D" w:rsidRPr="00A936B7" w14:paraId="4B4FE62B" w14:textId="77777777">
      <w:pPr>
        <w:spacing w:line="360" w:lineRule="auto"/>
        <w:ind w:firstLine="420"/>
        <w:rPr>
          <w:rFonts w:asciiTheme="minorEastAsia" w:eastAsiaTheme="minorEastAsia" w:hAnsiTheme="minorEastAsia" w:hint="eastAsia"/>
          <w:lang w:eastAsia="zh-CN"/>
        </w:rPr>
      </w:pPr>
      <w:r w:rsidRPr="00A936B7">
        <w:rPr>
          <w:rFonts w:asciiTheme="minorEastAsia" w:eastAsiaTheme="minorEastAsia" w:hAnsiTheme="minorEastAsia" w:hint="eastAsia"/>
          <w:highlight w:val="white"/>
          <w:lang w:eastAsia="zh-CN"/>
        </w:rPr>
        <w:t>认购份额＝（</w:t>
      </w:r>
      <w:r w:rsidRPr="00A936B7">
        <w:rPr>
          <w:rFonts w:asciiTheme="minorEastAsia" w:eastAsiaTheme="minorEastAsia" w:hAnsiTheme="minorEastAsia"/>
          <w:highlight w:val="white"/>
          <w:lang w:eastAsia="zh-CN"/>
        </w:rPr>
        <w:t>99</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700</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90</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5</w:t>
      </w:r>
      <w:r w:rsidRPr="00A936B7">
        <w:rPr>
          <w:rFonts w:asciiTheme="minorEastAsia" w:eastAsiaTheme="minorEastAsia" w:hAnsiTheme="minorEastAsia" w:hint="eastAsia"/>
          <w:highlight w:val="white"/>
          <w:lang w:eastAsia="zh-CN"/>
        </w:rPr>
        <w:t>0）/1.00＝</w:t>
      </w:r>
      <w:r w:rsidRPr="00A936B7">
        <w:rPr>
          <w:rFonts w:asciiTheme="minorEastAsia" w:eastAsiaTheme="minorEastAsia" w:hAnsiTheme="minorEastAsia"/>
          <w:highlight w:val="white"/>
          <w:lang w:eastAsia="zh-CN"/>
        </w:rPr>
        <w:t>99</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750</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90</w:t>
      </w:r>
      <w:r w:rsidRPr="00A936B7">
        <w:rPr>
          <w:rFonts w:asciiTheme="minorEastAsia" w:eastAsiaTheme="minorEastAsia" w:hAnsiTheme="minorEastAsia" w:hint="eastAsia"/>
          <w:highlight w:val="white"/>
          <w:lang w:eastAsia="zh-CN"/>
        </w:rPr>
        <w:t>份</w:t>
      </w:r>
    </w:p>
    <w:p w:rsidR="009F340D" w:rsidRPr="00A936B7" w14:paraId="533DD410" w14:textId="77777777">
      <w:pPr>
        <w:spacing w:line="360" w:lineRule="auto"/>
        <w:ind w:firstLine="420"/>
        <w:rPr>
          <w:rFonts w:asciiTheme="minorEastAsia" w:eastAsiaTheme="minorEastAsia" w:hAnsiTheme="minorEastAsia" w:hint="eastAsia"/>
          <w:lang w:eastAsia="zh-CN"/>
        </w:rPr>
      </w:pPr>
      <w:r w:rsidRPr="00A936B7">
        <w:rPr>
          <w:rFonts w:asciiTheme="minorEastAsia" w:eastAsiaTheme="minorEastAsia" w:hAnsiTheme="minorEastAsia" w:hint="eastAsia"/>
          <w:highlight w:val="white"/>
          <w:lang w:eastAsia="zh-CN"/>
        </w:rPr>
        <w:t>即：该投资人</w:t>
      </w:r>
      <w:r w:rsidRPr="00A936B7">
        <w:rPr>
          <w:rFonts w:asciiTheme="minorEastAsia" w:eastAsiaTheme="minorEastAsia" w:hAnsiTheme="minorEastAsia" w:cs="宋体" w:hint="eastAsia"/>
          <w:szCs w:val="21"/>
          <w:highlight w:val="white"/>
          <w:lang w:eastAsia="zh-CN"/>
        </w:rPr>
        <w:t>通过除</w:t>
      </w:r>
      <w:r w:rsidRPr="00A936B7">
        <w:rPr>
          <w:rFonts w:asciiTheme="minorEastAsia" w:eastAsiaTheme="minorEastAsia" w:hAnsiTheme="minorEastAsia" w:hint="eastAsia"/>
          <w:highlight w:val="white"/>
          <w:lang w:eastAsia="zh-CN"/>
        </w:rPr>
        <w:t>基金</w:t>
      </w:r>
      <w:r w:rsidRPr="00A936B7">
        <w:rPr>
          <w:rFonts w:asciiTheme="minorEastAsia" w:eastAsiaTheme="minorEastAsia" w:hAnsiTheme="minorEastAsia"/>
          <w:highlight w:val="white"/>
          <w:lang w:eastAsia="zh-CN"/>
        </w:rPr>
        <w:t>管理人及</w:t>
      </w:r>
      <w:r w:rsidRPr="00A936B7">
        <w:rPr>
          <w:rFonts w:asciiTheme="minorEastAsia" w:eastAsiaTheme="minorEastAsia" w:hAnsiTheme="minorEastAsia" w:hint="eastAsia"/>
          <w:highlight w:val="white"/>
          <w:lang w:eastAsia="zh-CN"/>
        </w:rPr>
        <w:t>其</w:t>
      </w:r>
      <w:r w:rsidRPr="00A936B7">
        <w:rPr>
          <w:rFonts w:asciiTheme="minorEastAsia" w:eastAsiaTheme="minorEastAsia" w:hAnsiTheme="minorEastAsia"/>
          <w:highlight w:val="white"/>
          <w:lang w:eastAsia="zh-CN"/>
        </w:rPr>
        <w:t>基金销售子公司以外的销售机构</w:t>
      </w:r>
      <w:r w:rsidRPr="00A936B7">
        <w:rPr>
          <w:rFonts w:asciiTheme="minorEastAsia" w:eastAsiaTheme="minorEastAsia" w:hAnsiTheme="minorEastAsia" w:hint="eastAsia"/>
          <w:highlight w:val="white"/>
          <w:lang w:eastAsia="zh-CN"/>
        </w:rPr>
        <w:t>认购本基金</w:t>
      </w:r>
      <w:r w:rsidRPr="00A936B7">
        <w:rPr>
          <w:rFonts w:asciiTheme="minorEastAsia" w:eastAsiaTheme="minorEastAsia" w:hAnsiTheme="minorEastAsia"/>
          <w:szCs w:val="21"/>
          <w:highlight w:val="white"/>
          <w:lang w:eastAsia="zh-CN"/>
        </w:rPr>
        <w:t>A</w:t>
      </w:r>
      <w:r w:rsidRPr="00A936B7">
        <w:rPr>
          <w:rFonts w:asciiTheme="minorEastAsia" w:eastAsiaTheme="minorEastAsia" w:hAnsiTheme="minorEastAsia" w:hint="eastAsia"/>
          <w:szCs w:val="21"/>
          <w:highlight w:val="white"/>
          <w:lang w:eastAsia="zh-CN"/>
        </w:rPr>
        <w:t>类基金份额</w:t>
      </w:r>
      <w:r w:rsidRPr="00A936B7" w:rsidR="00144F56">
        <w:rPr>
          <w:rFonts w:asciiTheme="minorEastAsia" w:eastAsiaTheme="minorEastAsia" w:hAnsiTheme="minorEastAsia"/>
          <w:highlight w:val="white"/>
          <w:lang w:eastAsia="zh-CN"/>
        </w:rPr>
        <w:t>100,000</w:t>
      </w:r>
      <w:r w:rsidRPr="00A936B7" w:rsidR="00144F56">
        <w:rPr>
          <w:rFonts w:asciiTheme="minorEastAsia" w:eastAsiaTheme="minorEastAsia" w:hAnsiTheme="minorEastAsia" w:hint="eastAsia"/>
          <w:highlight w:val="white"/>
          <w:lang w:eastAsia="zh-CN"/>
        </w:rPr>
        <w:t>元</w:t>
      </w:r>
      <w:r w:rsidRPr="00A936B7">
        <w:rPr>
          <w:rFonts w:asciiTheme="minorEastAsia" w:eastAsiaTheme="minorEastAsia" w:hAnsiTheme="minorEastAsia" w:hint="eastAsia"/>
          <w:highlight w:val="white"/>
          <w:lang w:eastAsia="zh-CN"/>
        </w:rPr>
        <w:t>，假定该笔有效认购申请金额募集期产生的利息为</w:t>
      </w:r>
      <w:r w:rsidRPr="00A936B7">
        <w:rPr>
          <w:rFonts w:asciiTheme="minorEastAsia" w:eastAsiaTheme="minorEastAsia" w:hAnsiTheme="minorEastAsia"/>
          <w:highlight w:val="white"/>
          <w:lang w:eastAsia="zh-CN"/>
        </w:rPr>
        <w:t>50</w:t>
      </w:r>
      <w:r w:rsidRPr="00A936B7">
        <w:rPr>
          <w:rFonts w:asciiTheme="minorEastAsia" w:eastAsiaTheme="minorEastAsia" w:hAnsiTheme="minorEastAsia" w:hint="eastAsia"/>
          <w:highlight w:val="white"/>
          <w:lang w:eastAsia="zh-CN"/>
        </w:rPr>
        <w:t>元，可得到</w:t>
      </w:r>
      <w:r w:rsidRPr="00A936B7">
        <w:rPr>
          <w:rFonts w:asciiTheme="minorEastAsia" w:eastAsiaTheme="minorEastAsia" w:hAnsiTheme="minorEastAsia"/>
          <w:highlight w:val="white"/>
          <w:lang w:eastAsia="zh-CN"/>
        </w:rPr>
        <w:t>99</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750</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90</w:t>
      </w:r>
      <w:r w:rsidRPr="00A936B7">
        <w:rPr>
          <w:rFonts w:asciiTheme="minorEastAsia" w:eastAsiaTheme="minorEastAsia" w:hAnsiTheme="minorEastAsia" w:hint="eastAsia"/>
          <w:highlight w:val="white"/>
          <w:lang w:eastAsia="zh-CN"/>
        </w:rPr>
        <w:t>份</w:t>
      </w:r>
      <w:r w:rsidRPr="00A936B7">
        <w:rPr>
          <w:rFonts w:asciiTheme="minorEastAsia" w:eastAsiaTheme="minorEastAsia" w:hAnsiTheme="minorEastAsia"/>
          <w:szCs w:val="21"/>
          <w:highlight w:val="white"/>
          <w:lang w:eastAsia="zh-CN"/>
        </w:rPr>
        <w:t>A</w:t>
      </w:r>
      <w:r w:rsidRPr="00A936B7">
        <w:rPr>
          <w:rFonts w:asciiTheme="minorEastAsia" w:eastAsiaTheme="minorEastAsia" w:hAnsiTheme="minorEastAsia" w:hint="eastAsia"/>
          <w:szCs w:val="21"/>
          <w:highlight w:val="white"/>
          <w:lang w:eastAsia="zh-CN"/>
        </w:rPr>
        <w:t>类基金份额</w:t>
      </w:r>
      <w:r w:rsidRPr="00A936B7">
        <w:rPr>
          <w:rFonts w:asciiTheme="minorEastAsia" w:eastAsiaTheme="minorEastAsia" w:hAnsiTheme="minorEastAsia" w:hint="eastAsia"/>
          <w:highlight w:val="white"/>
          <w:lang w:eastAsia="zh-CN"/>
        </w:rPr>
        <w:t>。</w:t>
      </w:r>
      <w:r w:rsidRPr="00A936B7">
        <w:rPr>
          <w:rFonts w:asciiTheme="minorEastAsia" w:eastAsiaTheme="minorEastAsia" w:hAnsiTheme="minorEastAsia"/>
          <w:highlight w:val="white"/>
          <w:lang w:eastAsia="zh-CN"/>
        </w:rPr>
        <w:t xml:space="preserve"> </w:t>
      </w:r>
    </w:p>
    <w:p w:rsidR="009F340D" w:rsidRPr="00A936B7" w14:paraId="05FD5EDB"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b.若投资人选择认购本基金C类</w:t>
      </w:r>
      <w:r w:rsidRPr="00A936B7">
        <w:rPr>
          <w:rFonts w:asciiTheme="minorEastAsia" w:eastAsiaTheme="minorEastAsia" w:hAnsiTheme="minorEastAsia" w:hint="eastAsia"/>
          <w:szCs w:val="21"/>
          <w:highlight w:val="white"/>
          <w:lang w:eastAsia="zh-CN"/>
        </w:rPr>
        <w:t>基金</w:t>
      </w:r>
      <w:r w:rsidRPr="00A936B7">
        <w:rPr>
          <w:rFonts w:asciiTheme="minorEastAsia" w:eastAsiaTheme="minorEastAsia" w:hAnsiTheme="minorEastAsia"/>
          <w:szCs w:val="21"/>
          <w:highlight w:val="white"/>
          <w:lang w:eastAsia="zh-CN"/>
        </w:rPr>
        <w:t>份额，</w:t>
      </w:r>
      <w:r w:rsidRPr="00A936B7">
        <w:rPr>
          <w:rFonts w:asciiTheme="minorEastAsia" w:eastAsiaTheme="minorEastAsia" w:hAnsiTheme="minorEastAsia" w:hint="eastAsia"/>
          <w:szCs w:val="21"/>
          <w:highlight w:val="white"/>
          <w:lang w:eastAsia="zh-CN"/>
        </w:rPr>
        <w:t>或者通过基金管理人或其基金销售子公司认购本基金A类基金份额，</w:t>
      </w:r>
      <w:r w:rsidRPr="00A936B7">
        <w:rPr>
          <w:rFonts w:asciiTheme="minorEastAsia" w:eastAsiaTheme="minorEastAsia" w:hAnsiTheme="minorEastAsia"/>
          <w:szCs w:val="21"/>
          <w:highlight w:val="white"/>
          <w:lang w:eastAsia="zh-CN"/>
        </w:rPr>
        <w:t>则认购份额的计算公式为：</w:t>
      </w:r>
    </w:p>
    <w:p w:rsidR="009F340D" w:rsidRPr="00A936B7" w14:paraId="642CA065"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 xml:space="preserve">认购份额=(认购金额+认购利息)/基金份额面值 </w:t>
      </w:r>
    </w:p>
    <w:p w:rsidR="009F340D" w:rsidRPr="00A936B7" w14:paraId="1F121C4F"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例</w:t>
      </w:r>
      <w:r w:rsidRPr="00A936B7">
        <w:rPr>
          <w:rFonts w:asciiTheme="minorEastAsia" w:eastAsiaTheme="minorEastAsia" w:hAnsiTheme="minorEastAsia" w:hint="eastAsia"/>
          <w:szCs w:val="21"/>
          <w:highlight w:val="white"/>
          <w:lang w:eastAsia="zh-CN"/>
        </w:rPr>
        <w:t>二</w:t>
      </w:r>
      <w:r w:rsidRPr="00A936B7">
        <w:rPr>
          <w:rFonts w:asciiTheme="minorEastAsia" w:eastAsiaTheme="minorEastAsia" w:hAnsiTheme="minorEastAsia"/>
          <w:szCs w:val="21"/>
          <w:highlight w:val="white"/>
          <w:lang w:eastAsia="zh-CN"/>
        </w:rPr>
        <w:t>：某投资人</w:t>
      </w:r>
      <w:r w:rsidRPr="00A936B7" w:rsidR="004C387D">
        <w:rPr>
          <w:rFonts w:asciiTheme="minorEastAsia" w:eastAsiaTheme="minorEastAsia" w:hAnsiTheme="minorEastAsia"/>
          <w:highlight w:val="white"/>
          <w:lang w:eastAsia="zh-CN"/>
        </w:rPr>
        <w:t>认购</w:t>
      </w:r>
      <w:r w:rsidRPr="00A936B7">
        <w:rPr>
          <w:rFonts w:asciiTheme="minorEastAsia" w:eastAsiaTheme="minorEastAsia" w:hAnsiTheme="minorEastAsia"/>
          <w:szCs w:val="21"/>
          <w:highlight w:val="white"/>
          <w:lang w:eastAsia="zh-CN"/>
        </w:rPr>
        <w:t>本基金C类</w:t>
      </w:r>
      <w:r w:rsidRPr="00A936B7">
        <w:rPr>
          <w:rFonts w:asciiTheme="minorEastAsia" w:eastAsiaTheme="minorEastAsia" w:hAnsiTheme="minorEastAsia" w:hint="eastAsia"/>
          <w:szCs w:val="21"/>
          <w:highlight w:val="white"/>
          <w:lang w:eastAsia="zh-CN"/>
        </w:rPr>
        <w:t>基金</w:t>
      </w:r>
      <w:r w:rsidRPr="00A936B7">
        <w:rPr>
          <w:rFonts w:asciiTheme="minorEastAsia" w:eastAsiaTheme="minorEastAsia" w:hAnsiTheme="minorEastAsia"/>
          <w:szCs w:val="21"/>
          <w:highlight w:val="white"/>
          <w:lang w:eastAsia="zh-CN"/>
        </w:rPr>
        <w:t xml:space="preserve">份额100,000元，假定该笔有效认购申请金额募集期产生的利息为50元，则可认购C类基金份额为： </w:t>
      </w:r>
    </w:p>
    <w:p w:rsidR="009F340D" w:rsidRPr="00A936B7" w14:paraId="14D4BF78"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 xml:space="preserve">认购份额＝(100,000＋50)/1.00＝100,050.00份 </w:t>
      </w:r>
    </w:p>
    <w:p w:rsidR="009F340D" w:rsidRPr="00A936B7" w14:paraId="40C21DFC"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即：该投资人</w:t>
      </w:r>
      <w:r w:rsidRPr="00A936B7">
        <w:rPr>
          <w:rFonts w:asciiTheme="minorEastAsia" w:eastAsiaTheme="minorEastAsia" w:hAnsiTheme="minorEastAsia"/>
          <w:szCs w:val="21"/>
          <w:highlight w:val="white"/>
          <w:lang w:eastAsia="zh-CN"/>
        </w:rPr>
        <w:t>认购本基金C类</w:t>
      </w:r>
      <w:r w:rsidRPr="00A936B7">
        <w:rPr>
          <w:rFonts w:asciiTheme="minorEastAsia" w:eastAsiaTheme="minorEastAsia" w:hAnsiTheme="minorEastAsia" w:hint="eastAsia"/>
          <w:szCs w:val="21"/>
          <w:highlight w:val="white"/>
          <w:lang w:eastAsia="zh-CN"/>
        </w:rPr>
        <w:t>基金</w:t>
      </w:r>
      <w:r w:rsidRPr="00A936B7">
        <w:rPr>
          <w:rFonts w:asciiTheme="minorEastAsia" w:eastAsiaTheme="minorEastAsia" w:hAnsiTheme="minorEastAsia"/>
          <w:szCs w:val="21"/>
          <w:highlight w:val="white"/>
          <w:lang w:eastAsia="zh-CN"/>
        </w:rPr>
        <w:t>份额</w:t>
      </w:r>
      <w:r w:rsidRPr="00A936B7" w:rsidR="00144F56">
        <w:rPr>
          <w:rFonts w:asciiTheme="minorEastAsia" w:eastAsiaTheme="minorEastAsia" w:hAnsiTheme="minorEastAsia"/>
          <w:szCs w:val="21"/>
          <w:highlight w:val="white"/>
          <w:lang w:eastAsia="zh-CN"/>
        </w:rPr>
        <w:t>100,000元</w:t>
      </w:r>
      <w:r w:rsidRPr="00A936B7">
        <w:rPr>
          <w:rFonts w:asciiTheme="minorEastAsia" w:eastAsiaTheme="minorEastAsia" w:hAnsiTheme="minorEastAsia"/>
          <w:szCs w:val="21"/>
          <w:highlight w:val="white"/>
          <w:lang w:eastAsia="zh-CN"/>
        </w:rPr>
        <w:t>，假定该笔有效认购申请金额募集期产生的利息为50元，可得到100,050.00份C类基金份额。</w:t>
      </w:r>
    </w:p>
    <w:p w:rsidR="009F340D" w:rsidRPr="00A936B7" w14:paraId="720519A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highlight w:val="white"/>
          <w:lang w:eastAsia="zh-CN"/>
        </w:rPr>
        <w:t>（3）认购份额的计算中涉及金额的计算结果均以人民币元为单位，四舍五入，保留小数点后2位；认购份数采取四舍五入的方法保留小数点后2位，由此产生的误差计入基金财产。认购费用不属于基金资产。</w:t>
      </w:r>
    </w:p>
    <w:p w:rsidR="009F340D" w:rsidRPr="00A936B7" w14:paraId="48B5CB9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 xml:space="preserve">6、认购的确认 </w:t>
      </w:r>
    </w:p>
    <w:p w:rsidR="009F340D" w:rsidRPr="00A936B7" w14:paraId="0151763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当日（T日）在规定时间内提交的申请，投资人通常可在T+2日后（包括该日）到基金销售网点查询交易情况。销售机构对投资人认购申请的受理并不表示对该申请的成功确认，而仅代表</w:t>
      </w:r>
      <w:r w:rsidRPr="00A936B7">
        <w:rPr>
          <w:rFonts w:asciiTheme="minorEastAsia" w:eastAsiaTheme="minorEastAsia" w:hAnsiTheme="minorEastAsia" w:cs="宋体" w:hint="eastAsia"/>
          <w:szCs w:val="21"/>
          <w:highlight w:val="white"/>
          <w:lang w:eastAsia="zh-CN"/>
        </w:rPr>
        <w:t>销售机构</w:t>
      </w:r>
      <w:r w:rsidRPr="00A936B7">
        <w:rPr>
          <w:rFonts w:asciiTheme="minorEastAsia" w:eastAsiaTheme="minorEastAsia" w:hAnsiTheme="minorEastAsia" w:cs="宋体"/>
          <w:szCs w:val="21"/>
          <w:highlight w:val="white"/>
          <w:lang w:eastAsia="zh-CN"/>
        </w:rPr>
        <w:t>确实收到了认购申请。申请是否有效应以基金登记机构的确认登记为准。</w:t>
      </w:r>
    </w:p>
    <w:p w:rsidR="009F340D" w:rsidRPr="00A936B7" w14:paraId="2D30111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 xml:space="preserve">投资人开户和认购所需提交的文件和办理的具体程序，请参阅基金份额发售公告。 </w:t>
      </w:r>
    </w:p>
    <w:p w:rsidR="009F340D" w:rsidRPr="00A936B7" w14:paraId="280B75CC" w14:textId="77777777">
      <w:pPr>
        <w:spacing w:line="360" w:lineRule="auto"/>
        <w:ind w:firstLine="420"/>
        <w:rPr>
          <w:rStyle w:val="da"/>
          <w:rFonts w:asciiTheme="minorEastAsia" w:eastAsiaTheme="minorEastAsia" w:hAnsiTheme="minorEastAsia" w:cs="宋体" w:hint="eastAsia"/>
          <w:szCs w:val="21"/>
          <w:lang w:eastAsia="zh-CN"/>
        </w:rPr>
      </w:pPr>
      <w:bookmarkStart w:id="1794" w:name="_Toc332373494"/>
      <w:r w:rsidRPr="00A936B7">
        <w:rPr>
          <w:rStyle w:val="da"/>
          <w:rFonts w:asciiTheme="minorEastAsia" w:eastAsiaTheme="minorEastAsia" w:hAnsiTheme="minorEastAsia" w:cs="宋体" w:hint="eastAsia"/>
          <w:szCs w:val="21"/>
          <w:highlight w:val="white"/>
          <w:lang w:eastAsia="zh-CN"/>
        </w:rPr>
        <w:t>八、募集期间的资金存放和费用</w:t>
      </w:r>
      <w:bookmarkEnd w:id="1794"/>
    </w:p>
    <w:p w:rsidR="009F340D" w:rsidRPr="00A936B7" w14:paraId="5AB2D01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本基金募集期间募集的资金存入专门账户，在基金募集行为结束前，任何人不得动用。基金募集期间的信息披露费用、会计师费、律师费以及其他费用，不得从基金财产中列支。</w:t>
      </w:r>
    </w:p>
    <w:p w:rsidR="009F340D" w:rsidRPr="00A936B7" w14:paraId="18E4D9CF" w14:textId="77777777">
      <w:pPr>
        <w:pStyle w:val="Heading1"/>
        <w:pageBreakBefore/>
        <w:spacing w:before="317" w:after="317" w:line="360" w:lineRule="auto"/>
        <w:ind w:firstLine="640"/>
        <w:rPr>
          <w:rFonts w:asciiTheme="minorEastAsia" w:eastAsiaTheme="minorEastAsia" w:hAnsiTheme="minorEastAsia" w:cs="宋体" w:hint="eastAsia"/>
          <w:bCs/>
          <w:sz w:val="30"/>
          <w:szCs w:val="30"/>
        </w:rPr>
      </w:pPr>
      <w:bookmarkStart w:id="1795" w:name="_Toc129511530"/>
      <w:bookmarkStart w:id="1796" w:name="_Toc332373495"/>
      <w:r w:rsidRPr="00A936B7">
        <w:rPr>
          <w:rFonts w:asciiTheme="minorEastAsia" w:eastAsiaTheme="minorEastAsia" w:hAnsiTheme="minorEastAsia" w:cs="宋体" w:hint="eastAsia"/>
          <w:bCs/>
          <w:sz w:val="30"/>
          <w:szCs w:val="30"/>
          <w:highlight w:val="white"/>
        </w:rPr>
        <w:t>第</w:t>
      </w:r>
      <w:r w:rsidRPr="00A936B7">
        <w:rPr>
          <w:rFonts w:asciiTheme="minorEastAsia" w:eastAsiaTheme="minorEastAsia" w:hAnsiTheme="minorEastAsia" w:cs="宋体"/>
          <w:bCs/>
          <w:sz w:val="30"/>
          <w:szCs w:val="30"/>
          <w:highlight w:val="white"/>
        </w:rPr>
        <w:t>八</w:t>
      </w:r>
      <w:r w:rsidRPr="00A936B7">
        <w:rPr>
          <w:rFonts w:asciiTheme="minorEastAsia" w:eastAsiaTheme="minorEastAsia" w:hAnsiTheme="minorEastAsia" w:cs="宋体" w:hint="eastAsia"/>
          <w:bCs/>
          <w:sz w:val="30"/>
          <w:szCs w:val="30"/>
          <w:highlight w:val="white"/>
        </w:rPr>
        <w:t>部分</w:t>
      </w:r>
      <w:r w:rsidRPr="00A936B7">
        <w:rPr>
          <w:rFonts w:asciiTheme="minorEastAsia" w:eastAsiaTheme="minorEastAsia" w:hAnsiTheme="minorEastAsia" w:cs="宋体"/>
          <w:bCs/>
          <w:sz w:val="30"/>
          <w:szCs w:val="30"/>
          <w:highlight w:val="white"/>
        </w:rPr>
        <w:t xml:space="preserve"> </w:t>
      </w:r>
      <w:r w:rsidRPr="00A936B7">
        <w:rPr>
          <w:rFonts w:asciiTheme="minorEastAsia" w:eastAsiaTheme="minorEastAsia" w:hAnsiTheme="minorEastAsia" w:cs="宋体" w:hint="eastAsia"/>
          <w:bCs/>
          <w:sz w:val="30"/>
          <w:szCs w:val="30"/>
          <w:highlight w:val="white"/>
        </w:rPr>
        <w:t>基金合同的生效</w:t>
      </w:r>
      <w:bookmarkEnd w:id="1795"/>
      <w:bookmarkEnd w:id="1796"/>
    </w:p>
    <w:p w:rsidR="009F340D" w:rsidRPr="00A936B7" w14:paraId="1E8489DB"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一、基金备案的条件</w:t>
      </w:r>
    </w:p>
    <w:p w:rsidR="009F340D" w:rsidRPr="00A936B7" w14:paraId="5DA95E1D"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本基金自基金份额发售之日起3个月内，在基金募集份额总额不少于2亿份，基金募集金额不少于2亿元人民币且基金认购人数不少于200人的条件下，基金募集期届满或基金管理人依据法律法规及招募说明书可以决定停止基金发售，并在10日内聘请法定验资机构验资。基金管理人自收到验资报告之日起10日内，向中国证监会办理基金备案手续。</w:t>
      </w:r>
    </w:p>
    <w:p w:rsidR="009F340D" w:rsidRPr="00A936B7" w14:paraId="458C6A48"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rsidR="009F340D" w:rsidRPr="00A936B7" w14:paraId="36D62DA4"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二、基金合同不能生效时募集资金的处理方式</w:t>
      </w:r>
    </w:p>
    <w:p w:rsidR="009F340D" w:rsidRPr="00A936B7" w14:paraId="51A1AC1E"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如果募集期限届满，未满足基金备案条件，基金管理人应当承担下列责任：</w:t>
      </w:r>
    </w:p>
    <w:p w:rsidR="009F340D" w:rsidRPr="00A936B7" w14:paraId="4254D5F0"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1、以其固有财产承担因募集行为而产生的债务和费用；</w:t>
      </w:r>
    </w:p>
    <w:p w:rsidR="009F340D" w:rsidRPr="00A936B7" w14:paraId="4BA02643"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2、在基金募集期限届满后30日内返还投资者已缴纳的款项，并加计银行同期活期存款利息；</w:t>
      </w:r>
    </w:p>
    <w:p w:rsidR="009F340D" w:rsidRPr="00A936B7" w14:paraId="59E8BC85"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3、如基金募集失败，基金管理人、基金托管人及销售机构不得请求报酬。基金管理人、基金托管人和销售机构为基金募集支付之一切费用应由各方各自承担。</w:t>
      </w:r>
    </w:p>
    <w:p w:rsidR="009F340D" w:rsidRPr="00A936B7" w14:paraId="50950E89"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三、基金存续期内的基金份额持有人数量和资产规模</w:t>
      </w:r>
    </w:p>
    <w:p w:rsidR="009F340D" w:rsidRPr="00A936B7" w14:paraId="015B7DE8"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rsidR="009F340D" w:rsidRPr="00A936B7" w14:paraId="2DF9E27B"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szCs w:val="21"/>
          <w:highlight w:val="white"/>
          <w:lang w:eastAsia="zh-CN"/>
        </w:rPr>
        <w:t>法律法规或中国证监会另有规定时，从其规定。</w:t>
      </w:r>
    </w:p>
    <w:p w:rsidR="009F340D" w:rsidRPr="00A936B7" w14:paraId="6672612C" w14:textId="77777777">
      <w:pPr>
        <w:spacing w:line="360" w:lineRule="auto"/>
        <w:ind w:firstLine="420"/>
        <w:rPr>
          <w:rFonts w:asciiTheme="minorEastAsia" w:eastAsiaTheme="minorEastAsia" w:hAnsiTheme="minorEastAsia" w:cs="宋体" w:hint="eastAsia"/>
          <w:lang w:eastAsia="zh-CN"/>
        </w:rPr>
      </w:pPr>
    </w:p>
    <w:p w:rsidR="009F340D" w:rsidRPr="00A936B7" w14:paraId="4D06CE2E" w14:textId="77777777">
      <w:pPr>
        <w:spacing w:line="360" w:lineRule="auto"/>
        <w:ind w:firstLine="420"/>
        <w:rPr>
          <w:rFonts w:asciiTheme="minorEastAsia" w:eastAsiaTheme="minorEastAsia" w:hAnsiTheme="minorEastAsia" w:cs="宋体" w:hint="eastAsia"/>
          <w:lang w:eastAsia="zh-CN"/>
        </w:rPr>
      </w:pPr>
    </w:p>
    <w:p w:rsidR="009F340D" w:rsidRPr="00A936B7" w14:paraId="1920A02B" w14:textId="77777777">
      <w:pPr>
        <w:pStyle w:val="Heading1"/>
        <w:pageBreakBefore/>
        <w:spacing w:before="317" w:after="317" w:line="360" w:lineRule="auto"/>
        <w:ind w:firstLine="0"/>
        <w:rPr>
          <w:rFonts w:asciiTheme="minorEastAsia" w:eastAsiaTheme="minorEastAsia" w:hAnsiTheme="minorEastAsia" w:cs="宋体" w:hint="eastAsia"/>
          <w:bCs/>
          <w:sz w:val="30"/>
          <w:szCs w:val="30"/>
          <w:lang w:eastAsia="zh-CN"/>
        </w:rPr>
      </w:pPr>
      <w:bookmarkStart w:id="1797" w:name="_Toc129511531"/>
      <w:bookmarkStart w:id="1798" w:name="_Toc332373499"/>
      <w:r w:rsidRPr="00A936B7">
        <w:rPr>
          <w:rFonts w:asciiTheme="minorEastAsia" w:eastAsiaTheme="minorEastAsia" w:hAnsiTheme="minorEastAsia" w:cs="宋体" w:hint="eastAsia"/>
          <w:bCs/>
          <w:sz w:val="30"/>
          <w:szCs w:val="30"/>
          <w:highlight w:val="white"/>
          <w:lang w:eastAsia="zh-CN"/>
        </w:rPr>
        <w:t>第</w:t>
      </w:r>
      <w:r w:rsidRPr="00A936B7">
        <w:rPr>
          <w:rFonts w:asciiTheme="minorEastAsia" w:eastAsiaTheme="minorEastAsia" w:hAnsiTheme="minorEastAsia" w:cs="宋体"/>
          <w:bCs/>
          <w:sz w:val="30"/>
          <w:szCs w:val="30"/>
          <w:highlight w:val="white"/>
          <w:lang w:eastAsia="zh-CN"/>
        </w:rPr>
        <w:t>九</w:t>
      </w:r>
      <w:r w:rsidRPr="00A936B7">
        <w:rPr>
          <w:rFonts w:asciiTheme="minorEastAsia" w:eastAsiaTheme="minorEastAsia" w:hAnsiTheme="minorEastAsia" w:cs="宋体" w:hint="eastAsia"/>
          <w:bCs/>
          <w:sz w:val="30"/>
          <w:szCs w:val="30"/>
          <w:highlight w:val="white"/>
          <w:lang w:eastAsia="zh-CN"/>
        </w:rPr>
        <w:t>部分</w:t>
      </w:r>
      <w:r w:rsidRPr="00A936B7">
        <w:rPr>
          <w:rFonts w:asciiTheme="minorEastAsia" w:eastAsiaTheme="minorEastAsia" w:hAnsiTheme="minorEastAsia" w:cs="宋体"/>
          <w:bCs/>
          <w:sz w:val="30"/>
          <w:szCs w:val="30"/>
          <w:highlight w:val="white"/>
          <w:lang w:eastAsia="zh-CN"/>
        </w:rPr>
        <w:t xml:space="preserve"> </w:t>
      </w:r>
      <w:r w:rsidRPr="00A936B7">
        <w:rPr>
          <w:rFonts w:asciiTheme="minorEastAsia" w:eastAsiaTheme="minorEastAsia" w:hAnsiTheme="minorEastAsia" w:cs="宋体" w:hint="eastAsia"/>
          <w:bCs/>
          <w:sz w:val="30"/>
          <w:szCs w:val="30"/>
          <w:highlight w:val="white"/>
          <w:lang w:eastAsia="zh-CN"/>
        </w:rPr>
        <w:t>基金份额的申购、赎回</w:t>
      </w:r>
      <w:bookmarkEnd w:id="1797"/>
      <w:bookmarkEnd w:id="1798"/>
    </w:p>
    <w:p w:rsidR="009F340D" w:rsidRPr="00A936B7" w14:paraId="13AD42DA" w14:textId="77777777">
      <w:pPr>
        <w:spacing w:line="360" w:lineRule="auto"/>
        <w:ind w:firstLine="420"/>
        <w:rPr>
          <w:rStyle w:val="da"/>
          <w:rFonts w:asciiTheme="minorEastAsia" w:eastAsiaTheme="minorEastAsia" w:hAnsiTheme="minorEastAsia" w:cs="宋体" w:hint="eastAsia"/>
          <w:szCs w:val="21"/>
          <w:lang w:eastAsia="zh-CN"/>
        </w:rPr>
      </w:pPr>
      <w:bookmarkStart w:id="1799" w:name="_Toc332373500"/>
      <w:r w:rsidRPr="00A936B7">
        <w:rPr>
          <w:rStyle w:val="da"/>
          <w:rFonts w:asciiTheme="minorEastAsia" w:eastAsiaTheme="minorEastAsia" w:hAnsiTheme="minorEastAsia" w:cs="宋体" w:hint="eastAsia"/>
          <w:szCs w:val="21"/>
          <w:highlight w:val="white"/>
          <w:lang w:eastAsia="zh-CN"/>
        </w:rPr>
        <w:t>一、基金投资人范围</w:t>
      </w:r>
      <w:bookmarkEnd w:id="1799"/>
    </w:p>
    <w:p w:rsidR="009F340D" w:rsidRPr="00A936B7" w14:paraId="78EA65A1" w14:textId="77777777">
      <w:pPr>
        <w:spacing w:line="360" w:lineRule="auto"/>
        <w:ind w:firstLine="424"/>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符合法律法规规定的可投资于证券投资基金的个人投资者、机构投资者、合格境外投资者以及法律法规或中国证监会允许购买证券投资基金的其他投资人。</w:t>
      </w:r>
    </w:p>
    <w:p w:rsidR="009F340D" w:rsidRPr="00A936B7" w14:paraId="5349D9C8" w14:textId="77777777">
      <w:pPr>
        <w:spacing w:line="360" w:lineRule="auto"/>
        <w:ind w:firstLine="420"/>
        <w:rPr>
          <w:rStyle w:val="da"/>
          <w:rFonts w:asciiTheme="minorEastAsia" w:eastAsiaTheme="minorEastAsia" w:hAnsiTheme="minorEastAsia" w:cs="宋体" w:hint="eastAsia"/>
          <w:lang w:eastAsia="zh-CN"/>
        </w:rPr>
      </w:pPr>
      <w:bookmarkStart w:id="1800" w:name="_Toc332373501"/>
      <w:r w:rsidRPr="00A936B7">
        <w:rPr>
          <w:rStyle w:val="da"/>
          <w:rFonts w:asciiTheme="minorEastAsia" w:eastAsiaTheme="minorEastAsia" w:hAnsiTheme="minorEastAsia" w:cs="宋体" w:hint="eastAsia"/>
          <w:highlight w:val="white"/>
          <w:lang w:eastAsia="zh-CN"/>
        </w:rPr>
        <w:t>二、申购与赎回的场所</w:t>
      </w:r>
      <w:bookmarkEnd w:id="1800"/>
    </w:p>
    <w:p w:rsidR="009F340D" w:rsidRPr="00A936B7" w14:paraId="5334B714" w14:textId="77777777">
      <w:pPr>
        <w:spacing w:line="360" w:lineRule="auto"/>
        <w:ind w:firstLine="420"/>
        <w:rPr>
          <w:rFonts w:asciiTheme="minorEastAsia" w:eastAsiaTheme="minorEastAsia" w:hAnsiTheme="minorEastAsia" w:cs="宋体" w:hint="eastAsia"/>
          <w:bCs/>
          <w:lang w:eastAsia="zh-CN"/>
        </w:rPr>
      </w:pPr>
      <w:r w:rsidRPr="00A936B7">
        <w:rPr>
          <w:rFonts w:asciiTheme="minorEastAsia" w:eastAsiaTheme="minorEastAsia" w:hAnsiTheme="minorEastAsia" w:cs="宋体" w:hint="eastAsia"/>
          <w:bCs/>
          <w:highlight w:val="white"/>
          <w:lang w:eastAsia="zh-CN"/>
        </w:rPr>
        <w:t>本基金的申购与赎回将通过销售机构进行。基金管理人可根据情况变更或增减销售机构，并在基金管理人网站公示。基金投资者应当在销售机构办理基金销售业务的营业场所或按销售机构提供的其他方式办理基金份额的申购与赎回。</w:t>
      </w:r>
    </w:p>
    <w:p w:rsidR="009F340D" w:rsidRPr="00A936B7" w14:paraId="286069E9" w14:textId="77777777">
      <w:pPr>
        <w:spacing w:line="360" w:lineRule="auto"/>
        <w:ind w:firstLine="420"/>
        <w:rPr>
          <w:rFonts w:asciiTheme="minorEastAsia" w:eastAsiaTheme="minorEastAsia" w:hAnsiTheme="minorEastAsia" w:cs="宋体" w:hint="eastAsia"/>
          <w:bCs/>
          <w:lang w:eastAsia="zh-CN"/>
        </w:rPr>
      </w:pPr>
      <w:r w:rsidRPr="00A936B7">
        <w:rPr>
          <w:rFonts w:asciiTheme="minorEastAsia" w:eastAsiaTheme="minorEastAsia" w:hAnsiTheme="minorEastAsia" w:cs="宋体" w:hint="eastAsia"/>
          <w:bCs/>
          <w:highlight w:val="white"/>
          <w:lang w:eastAsia="zh-CN"/>
        </w:rPr>
        <w:t>本基金不同类别份额的申购、赎回的销售机构可能不同，具体详见基金管理人网站公示。</w:t>
      </w:r>
    </w:p>
    <w:p w:rsidR="009F340D" w:rsidRPr="00A936B7" w14:paraId="15CBDBD9" w14:textId="77777777">
      <w:pPr>
        <w:spacing w:line="360" w:lineRule="auto"/>
        <w:ind w:firstLine="420"/>
        <w:rPr>
          <w:rStyle w:val="da"/>
          <w:rFonts w:asciiTheme="minorEastAsia" w:eastAsiaTheme="minorEastAsia" w:hAnsiTheme="minorEastAsia" w:cs="宋体" w:hint="eastAsia"/>
          <w:szCs w:val="21"/>
          <w:lang w:eastAsia="zh-CN"/>
        </w:rPr>
      </w:pPr>
      <w:bookmarkStart w:id="1801" w:name="_Toc332373502"/>
      <w:r w:rsidRPr="00A936B7">
        <w:rPr>
          <w:rStyle w:val="da"/>
          <w:rFonts w:asciiTheme="minorEastAsia" w:eastAsiaTheme="minorEastAsia" w:hAnsiTheme="minorEastAsia" w:cs="宋体" w:hint="eastAsia"/>
          <w:szCs w:val="21"/>
          <w:highlight w:val="white"/>
          <w:lang w:eastAsia="zh-CN"/>
        </w:rPr>
        <w:t>三、申购与赎回办理的开放日及时间</w:t>
      </w:r>
      <w:bookmarkEnd w:id="1801"/>
    </w:p>
    <w:p w:rsidR="009F340D" w:rsidRPr="00A936B7" w14:paraId="48BDE34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1、开放日及开放时间</w:t>
      </w:r>
    </w:p>
    <w:p w:rsidR="009F340D" w:rsidRPr="00A936B7" w14:paraId="37C4232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投资人在开放日办理基金份额的申购和赎回，本基金的开放日为上海证券交易所、深圳证券交易所的交易日，但基金管理人根据法律法规、中国证监会的要求或基金合同的规定公告暂停申购、赎回时除外。开放日的具体业务办理时间见相关公告。</w:t>
      </w:r>
    </w:p>
    <w:p w:rsidR="009F340D" w:rsidRPr="00A936B7" w14:paraId="7A84A61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基金合同生效后，若出现新的证券/期货交易市场、证券/期货交易所交易时间变更、其他特殊情况或根据业务需要，基金管理人将视情况对前述开放日及开放时间进行相应的调整，但应在实施前依照《信息披露办法》的有关规定在规定媒介上公告。</w:t>
      </w:r>
    </w:p>
    <w:p w:rsidR="009F340D" w:rsidRPr="00A936B7" w14:paraId="4DE5B3C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2、申购、赎回开始日及业务办理时间</w:t>
      </w:r>
    </w:p>
    <w:p w:rsidR="009F340D" w:rsidRPr="00A936B7" w14:paraId="002E9BE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基金管理人可根据实际情况依法决定本基金开始办理申购的具体日期，具体业务办理时间在申购开始公告中规定。</w:t>
      </w:r>
    </w:p>
    <w:p w:rsidR="009F340D" w:rsidRPr="00A936B7" w14:paraId="171FD91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基金管理人自基金合同生效之日起不超过三个月开始办理赎回，具体业务办理时间在赎回开始公告中规定。</w:t>
      </w:r>
    </w:p>
    <w:p w:rsidR="009F340D" w:rsidRPr="00A936B7" w14:paraId="3BD9127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在确定申购开始与赎回开始时间后，基金管理人应在申购、赎回开放前依照《信息披露办法》的有关规定在规定媒介上公告申购与赎回的开始时间。</w:t>
      </w:r>
    </w:p>
    <w:p w:rsidR="009F340D" w:rsidRPr="00A936B7" w14:paraId="11A63AC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基金份额申购、赎回的价格。</w:t>
      </w:r>
    </w:p>
    <w:p w:rsidR="009F340D" w:rsidRPr="00A936B7" w14:paraId="31299E4A" w14:textId="77777777">
      <w:pPr>
        <w:spacing w:line="360" w:lineRule="auto"/>
        <w:ind w:firstLine="420"/>
        <w:rPr>
          <w:rFonts w:asciiTheme="minorEastAsia" w:eastAsiaTheme="minorEastAsia" w:hAnsiTheme="minorEastAsia" w:cs="宋体" w:hint="eastAsia"/>
          <w:bCs/>
          <w:sz w:val="24"/>
          <w:lang w:eastAsia="zh-CN"/>
        </w:rPr>
      </w:pPr>
      <w:bookmarkStart w:id="1802" w:name="_Toc332373503"/>
      <w:r w:rsidRPr="00A936B7">
        <w:rPr>
          <w:rStyle w:val="da"/>
          <w:rFonts w:asciiTheme="minorEastAsia" w:eastAsiaTheme="minorEastAsia" w:hAnsiTheme="minorEastAsia" w:cs="宋体" w:hint="eastAsia"/>
          <w:szCs w:val="21"/>
          <w:highlight w:val="white"/>
          <w:lang w:eastAsia="zh-CN"/>
        </w:rPr>
        <w:t>四、</w:t>
      </w:r>
      <w:r w:rsidRPr="00A936B7">
        <w:rPr>
          <w:rStyle w:val="da"/>
          <w:rFonts w:asciiTheme="minorEastAsia" w:eastAsiaTheme="minorEastAsia" w:hAnsiTheme="minorEastAsia" w:cs="宋体"/>
          <w:szCs w:val="21"/>
          <w:highlight w:val="white"/>
          <w:lang w:eastAsia="zh-CN"/>
        </w:rPr>
        <w:t>申购与赎回的原则</w:t>
      </w:r>
      <w:bookmarkEnd w:id="1802"/>
    </w:p>
    <w:p w:rsidR="009F340D" w:rsidRPr="00A936B7" w14:paraId="24AA46F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1、“未知价”原则，即申购、赎回价格以申请当日收市后计算的对应份额类别的基金份额净值为基准进行计算；</w:t>
      </w:r>
    </w:p>
    <w:p w:rsidR="009F340D" w:rsidRPr="00A936B7" w14:paraId="3372240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2、“金额申购、份额赎回”原则，即申购以金额申请，赎回以份额申请；</w:t>
      </w:r>
    </w:p>
    <w:p w:rsidR="009F340D" w:rsidRPr="00A936B7" w14:paraId="3CDD5C1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3、当日的申购与赎回申请可以在基金管理人规定的时间以内撤销；</w:t>
      </w:r>
    </w:p>
    <w:p w:rsidR="009F340D" w:rsidRPr="00A936B7" w14:paraId="1322AAA3"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4、基金份额持有人赎回时，除指定赎回外，基金管理人按先进先出的原则，对该持有人账户在该销售机构托管的基金份额进行处理，即先确认的份额先赎回，后确认的份额后赎回，以确定所适用的赎回费率；</w:t>
      </w:r>
    </w:p>
    <w:p w:rsidR="009F340D" w:rsidRPr="00A936B7" w14:paraId="33F8DF3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5、办理申购、赎回业务时，应当遵循基金份额持有人利益优先原则，确保投资者的合法权益不受损害并得到公平对待。</w:t>
      </w:r>
    </w:p>
    <w:p w:rsidR="009F340D" w:rsidRPr="00A936B7" w14:paraId="6D9937E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基金管理人可在不违反法律法规的情况下，对上述原则进行调整。基金管理人必须在新规则开始实施前依照《信息披露办法》的有关规定在规定媒介上公告。</w:t>
      </w:r>
    </w:p>
    <w:p w:rsidR="009F340D" w:rsidRPr="00A936B7" w14:paraId="2A032FE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五、申购与赎回的程序</w:t>
      </w:r>
    </w:p>
    <w:p w:rsidR="009F340D" w:rsidRPr="00A936B7" w14:paraId="575087C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1、申购和赎回的申请方式</w:t>
      </w:r>
    </w:p>
    <w:p w:rsidR="009F340D" w:rsidRPr="00A936B7" w14:paraId="4776C51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投资人必须根据销售机构规定的程序，在开放日的具体业务办理时间内提出申购或赎回的申请。</w:t>
      </w:r>
    </w:p>
    <w:p w:rsidR="009F340D" w:rsidRPr="00A936B7" w14:paraId="3274331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投资人在提交申购申请时须按销售机构规定的方式备足申购资金，投资人在提交赎回申请时须持有足够的基金份额余额，否则所提交的申购、赎回申请不成立。</w:t>
      </w:r>
    </w:p>
    <w:p w:rsidR="009F340D" w:rsidRPr="00A936B7" w14:paraId="2ED7C4A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投资人办理申购、赎回等业务时应提交的文件和办理手续、办理时间、处理规则等在遵守基金合同和本招募说明书规定的前提下，以各销售机构的具体规定为准。</w:t>
      </w:r>
    </w:p>
    <w:p w:rsidR="009F340D" w:rsidRPr="00A936B7" w14:paraId="269F29D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2、申购和赎回申请的确认</w:t>
      </w:r>
    </w:p>
    <w:p w:rsidR="009F340D" w:rsidRPr="00A936B7" w14:paraId="4314A5F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应以交易时间结束前受理有效申购和赎回申请的当天作为申购或赎回申请日（T日），在正常情况下，本基金登记机构在T+1日内对该交易的有效性进行确认。T日提交的有效申请，投资人应在T+2日后（包括该日）</w:t>
      </w:r>
      <w:r w:rsidRPr="00A936B7">
        <w:rPr>
          <w:rFonts w:asciiTheme="minorEastAsia" w:eastAsiaTheme="minorEastAsia" w:hAnsiTheme="minorEastAsia" w:cs="宋体"/>
          <w:bCs/>
          <w:szCs w:val="21"/>
          <w:highlight w:val="white"/>
          <w:lang w:eastAsia="zh-CN"/>
        </w:rPr>
        <w:t>到销售网点柜台或以销售机构规定的其他方式查询申请的确认情况。若申购不成功，则申购款项本金退还给投资人。</w:t>
      </w:r>
    </w:p>
    <w:p w:rsidR="009F340D" w:rsidRPr="00A936B7" w14:paraId="0A2F1F6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销售机构对申购、赎回申请的受理并不代表该申请一定成功，而仅代表销售机构确实接收到申购、赎回申请。申购、赎回的确认以登记机构的确认结果为准。对于申请的确认情况，投资人应及时查询并妥善行使合法权利。</w:t>
      </w:r>
    </w:p>
    <w:p w:rsidR="009F340D" w:rsidRPr="00A936B7" w14:paraId="4CD3F71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在不违反法律法规的前提下，登记机构可根据《业务规则》，对上述业务办理时间进行调整，本基金管理人将于开始实施前按照有关规定予以公告。</w:t>
      </w:r>
    </w:p>
    <w:p w:rsidR="009F340D" w:rsidRPr="00A936B7" w14:paraId="7ABA732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3、申购和赎回的款项支付</w:t>
      </w:r>
    </w:p>
    <w:p w:rsidR="009F340D" w:rsidRPr="00A936B7" w14:paraId="5DDFDA6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申购采用全额缴款方式，若申购资金在规定时间内未全额到账则申购不成功。若申购不成功或无效，基金管理人或基金管理人指定的非直销销售机构将投资人已缴付的申购款项本金退还给投资人。</w:t>
      </w:r>
    </w:p>
    <w:p w:rsidR="009F340D" w:rsidRPr="00A936B7" w14:paraId="6FC9C554" w14:textId="77777777">
      <w:pPr>
        <w:spacing w:line="360" w:lineRule="auto"/>
        <w:ind w:firstLine="420"/>
        <w:rPr>
          <w:rStyle w:val="da"/>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基金份额持有人递交赎回申请，赎回成立；登记机构确认赎回时，赎回生效。投资者赎回申请生效后，基金管理人将在</w:t>
      </w:r>
      <w:r w:rsidRPr="00A936B7">
        <w:rPr>
          <w:rFonts w:asciiTheme="minorEastAsia" w:eastAsiaTheme="minorEastAsia" w:hAnsiTheme="minorEastAsia" w:cs="宋体"/>
          <w:szCs w:val="21"/>
          <w:highlight w:val="white"/>
          <w:lang w:eastAsia="zh-CN"/>
        </w:rPr>
        <w:t>T＋</w:t>
      </w:r>
      <w:r w:rsidRPr="00A936B7">
        <w:rPr>
          <w:rFonts w:asciiTheme="minorEastAsia" w:eastAsiaTheme="minorEastAsia" w:hAnsiTheme="minorEastAsia" w:cs="宋体" w:hint="eastAsia"/>
          <w:szCs w:val="21"/>
          <w:highlight w:val="white"/>
          <w:lang w:eastAsia="zh-CN"/>
        </w:rPr>
        <w:t>7日（包括该日）</w:t>
      </w:r>
      <w:r w:rsidRPr="00A936B7">
        <w:rPr>
          <w:rFonts w:asciiTheme="minorEastAsia" w:eastAsiaTheme="minorEastAsia" w:hAnsiTheme="minorEastAsia" w:cs="宋体"/>
          <w:szCs w:val="21"/>
          <w:highlight w:val="white"/>
          <w:lang w:eastAsia="zh-CN"/>
        </w:rPr>
        <w:t>内支付赎回款项。</w:t>
      </w:r>
      <w:r w:rsidRPr="00A936B7">
        <w:rPr>
          <w:rStyle w:val="da"/>
          <w:rFonts w:asciiTheme="minorEastAsia" w:eastAsiaTheme="minorEastAsia" w:hAnsiTheme="minorEastAsia" w:cs="宋体" w:hint="eastAsia"/>
          <w:szCs w:val="21"/>
          <w:highlight w:val="white"/>
          <w:lang w:eastAsia="zh-CN"/>
        </w:rPr>
        <w:t>如遇登记公司系统故障、交易所或交易市场数据传输延迟、通讯系统故障、银行数据交换系统故障或其它非基金管理人及基金托管人所能控制的因素影响业务处理流程，则赎回款项的支付时间可相应顺延。在发生巨额赎回或基金合同载明的其他暂停赎回或延缓支付赎回款项的情形时，款项的支付办法参照基金合同有关条款处理。</w:t>
      </w:r>
    </w:p>
    <w:p w:rsidR="009F340D" w:rsidRPr="00A936B7" w14:paraId="2AA41EA7" w14:textId="77777777">
      <w:pPr>
        <w:spacing w:line="360" w:lineRule="auto"/>
        <w:ind w:firstLine="420"/>
        <w:rPr>
          <w:rStyle w:val="da"/>
          <w:rFonts w:asciiTheme="minorEastAsia" w:eastAsiaTheme="minorEastAsia" w:hAnsiTheme="minorEastAsia" w:cs="宋体" w:hint="eastAsia"/>
          <w:szCs w:val="21"/>
          <w:lang w:eastAsia="zh-CN"/>
        </w:rPr>
      </w:pPr>
      <w:bookmarkStart w:id="1803" w:name="_Toc332373505"/>
      <w:r w:rsidRPr="00A936B7">
        <w:rPr>
          <w:rStyle w:val="da"/>
          <w:rFonts w:asciiTheme="minorEastAsia" w:eastAsiaTheme="minorEastAsia" w:hAnsiTheme="minorEastAsia" w:cs="宋体" w:hint="eastAsia"/>
          <w:szCs w:val="21"/>
          <w:highlight w:val="white"/>
          <w:lang w:eastAsia="zh-CN"/>
        </w:rPr>
        <w:t>六、申购与赎回的数额限制</w:t>
      </w:r>
      <w:bookmarkEnd w:id="1803"/>
    </w:p>
    <w:p w:rsidR="009F340D" w:rsidRPr="00A936B7" w14:paraId="7538BF5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 xml:space="preserve">1、申购金额的限制 </w:t>
      </w:r>
    </w:p>
    <w:p w:rsidR="009F340D" w:rsidRPr="00A936B7" w14:paraId="1D10475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投资人通过非直销销售机构或本公司网上直销系统首次申购的单笔最低</w:t>
      </w:r>
      <w:r w:rsidRPr="00A936B7">
        <w:rPr>
          <w:rFonts w:asciiTheme="minorEastAsia" w:eastAsiaTheme="minorEastAsia" w:hAnsiTheme="minorEastAsia" w:cs="宋体"/>
          <w:szCs w:val="21"/>
          <w:highlight w:val="white"/>
          <w:lang w:eastAsia="zh-CN"/>
        </w:rPr>
        <w:t>限额</w:t>
      </w:r>
      <w:r w:rsidRPr="00A936B7">
        <w:rPr>
          <w:rFonts w:asciiTheme="minorEastAsia" w:eastAsiaTheme="minorEastAsia" w:hAnsiTheme="minorEastAsia" w:cs="宋体" w:hint="eastAsia"/>
          <w:szCs w:val="21"/>
          <w:highlight w:val="white"/>
          <w:lang w:eastAsia="zh-CN"/>
        </w:rPr>
        <w:t>为人民币1元，追加申购单笔最低</w:t>
      </w:r>
      <w:r w:rsidRPr="00A936B7">
        <w:rPr>
          <w:rFonts w:asciiTheme="minorEastAsia" w:eastAsiaTheme="minorEastAsia" w:hAnsiTheme="minorEastAsia" w:cs="宋体"/>
          <w:szCs w:val="21"/>
          <w:highlight w:val="white"/>
          <w:lang w:eastAsia="zh-CN"/>
        </w:rPr>
        <w:t>限额</w:t>
      </w:r>
      <w:r w:rsidRPr="00A936B7">
        <w:rPr>
          <w:rFonts w:asciiTheme="minorEastAsia" w:eastAsiaTheme="minorEastAsia" w:hAnsiTheme="minorEastAsia" w:cs="宋体" w:hint="eastAsia"/>
          <w:szCs w:val="21"/>
          <w:highlight w:val="white"/>
          <w:lang w:eastAsia="zh-CN"/>
        </w:rPr>
        <w:t>为人民币1元；投资人通过本公司直销中心首次申购的单笔最低</w:t>
      </w:r>
      <w:r w:rsidRPr="00A936B7">
        <w:rPr>
          <w:rFonts w:asciiTheme="minorEastAsia" w:eastAsiaTheme="minorEastAsia" w:hAnsiTheme="minorEastAsia" w:cs="宋体"/>
          <w:szCs w:val="21"/>
          <w:highlight w:val="white"/>
          <w:lang w:eastAsia="zh-CN"/>
        </w:rPr>
        <w:t>限额</w:t>
      </w:r>
      <w:r w:rsidRPr="00A936B7">
        <w:rPr>
          <w:rFonts w:asciiTheme="minorEastAsia" w:eastAsiaTheme="minorEastAsia" w:hAnsiTheme="minorEastAsia" w:cs="宋体" w:hint="eastAsia"/>
          <w:szCs w:val="21"/>
          <w:highlight w:val="white"/>
          <w:lang w:eastAsia="zh-CN"/>
        </w:rPr>
        <w:t>为人民币50,000元，追加申购单笔最低</w:t>
      </w:r>
      <w:r w:rsidRPr="00A936B7">
        <w:rPr>
          <w:rFonts w:asciiTheme="minorEastAsia" w:eastAsiaTheme="minorEastAsia" w:hAnsiTheme="minorEastAsia" w:cs="宋体"/>
          <w:szCs w:val="21"/>
          <w:highlight w:val="white"/>
          <w:lang w:eastAsia="zh-CN"/>
        </w:rPr>
        <w:t>限额</w:t>
      </w:r>
      <w:r w:rsidRPr="00A936B7">
        <w:rPr>
          <w:rFonts w:asciiTheme="minorEastAsia" w:eastAsiaTheme="minorEastAsia" w:hAnsiTheme="minorEastAsia" w:cs="宋体" w:hint="eastAsia"/>
          <w:szCs w:val="21"/>
          <w:highlight w:val="white"/>
          <w:lang w:eastAsia="zh-CN"/>
        </w:rPr>
        <w:t>是人民币1,000元。</w:t>
      </w:r>
      <w:r w:rsidRPr="00A936B7">
        <w:rPr>
          <w:rStyle w:val="da"/>
          <w:rFonts w:asciiTheme="minorEastAsia" w:eastAsiaTheme="minorEastAsia" w:hAnsiTheme="minorEastAsia" w:cs="宋体" w:hint="eastAsia"/>
          <w:highlight w:val="white"/>
          <w:lang w:eastAsia="zh-CN"/>
        </w:rPr>
        <w:t>在符合法律法规规定的前提下，</w:t>
      </w:r>
      <w:r w:rsidRPr="00A936B7">
        <w:rPr>
          <w:rFonts w:asciiTheme="minorEastAsia" w:eastAsiaTheme="minorEastAsia" w:hAnsiTheme="minorEastAsia" w:cs="宋体" w:hint="eastAsia"/>
          <w:szCs w:val="21"/>
          <w:highlight w:val="white"/>
          <w:lang w:eastAsia="zh-CN"/>
        </w:rPr>
        <w:t>各销售机构对申购</w:t>
      </w:r>
      <w:r w:rsidRPr="00A936B7">
        <w:rPr>
          <w:rFonts w:asciiTheme="minorEastAsia" w:eastAsiaTheme="minorEastAsia" w:hAnsiTheme="minorEastAsia" w:cs="宋体"/>
          <w:szCs w:val="21"/>
          <w:highlight w:val="white"/>
          <w:lang w:eastAsia="zh-CN"/>
        </w:rPr>
        <w:t>限额</w:t>
      </w:r>
      <w:r w:rsidRPr="00A936B7">
        <w:rPr>
          <w:rFonts w:asciiTheme="minorEastAsia" w:eastAsiaTheme="minorEastAsia" w:hAnsiTheme="minorEastAsia" w:cs="宋体" w:hint="eastAsia"/>
          <w:szCs w:val="21"/>
          <w:highlight w:val="white"/>
          <w:lang w:eastAsia="zh-CN"/>
        </w:rPr>
        <w:t>及交易级差有其他规定的，需同时遵循该销售机构的相关规定。</w:t>
      </w:r>
      <w:r w:rsidRPr="00A936B7">
        <w:rPr>
          <w:rFonts w:asciiTheme="minorEastAsia" w:eastAsiaTheme="minorEastAsia" w:hAnsiTheme="minorEastAsia" w:cs="宋体"/>
          <w:szCs w:val="21"/>
          <w:highlight w:val="white"/>
          <w:lang w:eastAsia="zh-CN"/>
        </w:rPr>
        <w:t>（以上金额</w:t>
      </w:r>
      <w:r w:rsidRPr="00A936B7">
        <w:rPr>
          <w:rFonts w:asciiTheme="minorEastAsia" w:eastAsiaTheme="minorEastAsia" w:hAnsiTheme="minorEastAsia" w:cs="宋体" w:hint="eastAsia"/>
          <w:szCs w:val="21"/>
          <w:highlight w:val="white"/>
          <w:lang w:eastAsia="zh-CN"/>
        </w:rPr>
        <w:t>均</w:t>
      </w:r>
      <w:r w:rsidRPr="00A936B7">
        <w:rPr>
          <w:rFonts w:asciiTheme="minorEastAsia" w:eastAsiaTheme="minorEastAsia" w:hAnsiTheme="minorEastAsia" w:cs="宋体"/>
          <w:szCs w:val="21"/>
          <w:highlight w:val="white"/>
          <w:lang w:eastAsia="zh-CN"/>
        </w:rPr>
        <w:t>含</w:t>
      </w:r>
      <w:r w:rsidRPr="00A936B7">
        <w:rPr>
          <w:rFonts w:asciiTheme="minorEastAsia" w:eastAsiaTheme="minorEastAsia" w:hAnsiTheme="minorEastAsia" w:cs="宋体" w:hint="eastAsia"/>
          <w:szCs w:val="21"/>
          <w:highlight w:val="white"/>
          <w:lang w:eastAsia="zh-CN"/>
        </w:rPr>
        <w:t>申</w:t>
      </w:r>
      <w:r w:rsidRPr="00A936B7">
        <w:rPr>
          <w:rFonts w:asciiTheme="minorEastAsia" w:eastAsiaTheme="minorEastAsia" w:hAnsiTheme="minorEastAsia" w:cs="宋体"/>
          <w:szCs w:val="21"/>
          <w:highlight w:val="white"/>
          <w:lang w:eastAsia="zh-CN"/>
        </w:rPr>
        <w:t>购费）</w:t>
      </w:r>
      <w:r w:rsidRPr="00A936B7">
        <w:rPr>
          <w:rFonts w:asciiTheme="minorEastAsia" w:eastAsiaTheme="minorEastAsia" w:hAnsiTheme="minorEastAsia" w:cs="宋体" w:hint="eastAsia"/>
          <w:szCs w:val="21"/>
          <w:highlight w:val="white"/>
          <w:lang w:eastAsia="zh-CN"/>
        </w:rPr>
        <w:t>。</w:t>
      </w:r>
    </w:p>
    <w:p w:rsidR="009F340D" w:rsidRPr="00A936B7" w14:paraId="148CAD9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投资人将当期分配的基金收益转购基金份额或采用定期定额投资计划时，不受最低申购金额的限制。</w:t>
      </w:r>
    </w:p>
    <w:p w:rsidR="009F340D" w:rsidRPr="00A936B7" w14:paraId="73EC586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sidR="006662BF">
        <w:rPr>
          <w:rFonts w:asciiTheme="minorEastAsia" w:eastAsiaTheme="minorEastAsia" w:hAnsiTheme="minorEastAsia" w:cs="宋体" w:hint="eastAsia"/>
          <w:szCs w:val="21"/>
          <w:highlight w:val="white"/>
          <w:lang w:eastAsia="zh-CN"/>
        </w:rPr>
        <w:t>，</w:t>
      </w:r>
      <w:r w:rsidRPr="00A936B7">
        <w:rPr>
          <w:rFonts w:asciiTheme="minorEastAsia" w:eastAsiaTheme="minorEastAsia" w:hAnsiTheme="minorEastAsia"/>
          <w:szCs w:val="21"/>
          <w:highlight w:val="white"/>
          <w:lang w:eastAsia="zh-CN"/>
        </w:rPr>
        <w:t>基金管理人基于投资运作与风险控制的需要，可采取上述措施对基金规模予以控制。具体见基金管理人相关公告</w:t>
      </w:r>
      <w:r w:rsidRPr="00A936B7">
        <w:rPr>
          <w:rFonts w:asciiTheme="minorEastAsia" w:eastAsiaTheme="minorEastAsia" w:hAnsiTheme="minorEastAsia" w:cs="宋体" w:hint="eastAsia"/>
          <w:szCs w:val="21"/>
          <w:highlight w:val="white"/>
          <w:lang w:eastAsia="zh-CN"/>
        </w:rPr>
        <w:t>。法律法规、中国证监会另有规定的除外。</w:t>
      </w:r>
    </w:p>
    <w:p w:rsidR="009F340D" w:rsidRPr="00A936B7" w14:paraId="4D08BD3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2、赎回份额的限制</w:t>
      </w:r>
    </w:p>
    <w:p w:rsidR="009F340D" w:rsidRPr="00A936B7" w14:paraId="634EBCD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投资人可将其全部或部分基金份额赎回。</w:t>
      </w:r>
      <w:r w:rsidRPr="00A936B7">
        <w:rPr>
          <w:rFonts w:asciiTheme="minorEastAsia" w:eastAsiaTheme="minorEastAsia" w:hAnsiTheme="minorEastAsia" w:cs="宋体"/>
          <w:szCs w:val="21"/>
          <w:highlight w:val="white"/>
          <w:lang w:eastAsia="zh-CN"/>
        </w:rPr>
        <w:t>每类</w:t>
      </w:r>
      <w:r w:rsidRPr="00A936B7">
        <w:rPr>
          <w:rFonts w:asciiTheme="minorEastAsia" w:eastAsiaTheme="minorEastAsia" w:hAnsiTheme="minorEastAsia" w:cs="宋体" w:hint="eastAsia"/>
          <w:szCs w:val="21"/>
          <w:highlight w:val="white"/>
          <w:lang w:eastAsia="zh-CN"/>
        </w:rPr>
        <w:t>基金份额单笔赎回或转换不得少于1份（如该账户在该销售机构托管的该</w:t>
      </w:r>
      <w:r w:rsidRPr="00A936B7">
        <w:rPr>
          <w:rFonts w:asciiTheme="minorEastAsia" w:eastAsiaTheme="minorEastAsia" w:hAnsiTheme="minorEastAsia" w:cs="宋体"/>
          <w:szCs w:val="21"/>
          <w:highlight w:val="white"/>
          <w:lang w:eastAsia="zh-CN"/>
        </w:rPr>
        <w:t>类</w:t>
      </w:r>
      <w:r w:rsidRPr="00A936B7">
        <w:rPr>
          <w:rFonts w:asciiTheme="minorEastAsia" w:eastAsiaTheme="minorEastAsia" w:hAnsiTheme="minorEastAsia" w:cs="宋体" w:hint="eastAsia"/>
          <w:szCs w:val="21"/>
          <w:highlight w:val="white"/>
          <w:lang w:eastAsia="zh-CN"/>
        </w:rPr>
        <w:t>基金份额余额不足1份，则必须一次性赎回或转出该类基金份额全部份额）；若某笔赎回将导致投资人在该销售机构托管的该类基金份额余额不足1份时，基金管理人有权将投资人在该销售机构托管的该类基金份额剩余份额一次性全部赎回。</w:t>
      </w:r>
      <w:r w:rsidRPr="00A936B7">
        <w:rPr>
          <w:rStyle w:val="da"/>
          <w:rFonts w:asciiTheme="minorEastAsia" w:eastAsiaTheme="minorEastAsia" w:hAnsiTheme="minorEastAsia" w:cs="宋体" w:hint="eastAsia"/>
          <w:highlight w:val="white"/>
          <w:lang w:eastAsia="zh-CN"/>
        </w:rPr>
        <w:t>在符合法律法规规定的前提下，</w:t>
      </w:r>
      <w:r w:rsidRPr="00A936B7">
        <w:rPr>
          <w:rFonts w:asciiTheme="minorEastAsia" w:eastAsiaTheme="minorEastAsia" w:hAnsiTheme="minorEastAsia" w:cs="宋体" w:hint="eastAsia"/>
          <w:szCs w:val="21"/>
          <w:highlight w:val="white"/>
          <w:lang w:eastAsia="zh-CN"/>
        </w:rPr>
        <w:t>各销售机构对赎回份额限制有其他规定的，需同时遵循该销售机构的相关规定。</w:t>
      </w:r>
    </w:p>
    <w:p w:rsidR="009F340D" w:rsidRPr="00A936B7" w14:paraId="5EAE8AB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3、基金管理人可在不违反法律法规的情况下，调整上述规定申购金额和赎回份额的数量限制，或者新增基金规模控制措施。基金管理人必须在调整前依照《信息披露办法》的有关规定在规定媒介上公告。</w:t>
      </w:r>
    </w:p>
    <w:p w:rsidR="009F340D" w:rsidRPr="00A936B7" w14:paraId="690CAB27" w14:textId="77777777">
      <w:pPr>
        <w:spacing w:line="360" w:lineRule="auto"/>
        <w:ind w:firstLine="420"/>
        <w:rPr>
          <w:rStyle w:val="da"/>
          <w:rFonts w:asciiTheme="minorEastAsia" w:eastAsiaTheme="minorEastAsia" w:hAnsiTheme="minorEastAsia" w:cs="宋体" w:hint="eastAsia"/>
          <w:szCs w:val="21"/>
          <w:lang w:eastAsia="zh-CN"/>
        </w:rPr>
      </w:pPr>
      <w:bookmarkStart w:id="1804" w:name="_Toc332373506"/>
      <w:r w:rsidRPr="00A936B7">
        <w:rPr>
          <w:rStyle w:val="da"/>
          <w:rFonts w:asciiTheme="minorEastAsia" w:eastAsiaTheme="minorEastAsia" w:hAnsiTheme="minorEastAsia" w:cs="宋体" w:hint="eastAsia"/>
          <w:szCs w:val="21"/>
          <w:highlight w:val="white"/>
          <w:lang w:eastAsia="zh-CN"/>
        </w:rPr>
        <w:t>七、基金的申购费和赎回费</w:t>
      </w:r>
      <w:bookmarkEnd w:id="1804"/>
    </w:p>
    <w:p w:rsidR="009F340D" w:rsidRPr="00A936B7" w14:paraId="260EF01B" w14:textId="77777777">
      <w:pPr>
        <w:spacing w:line="360" w:lineRule="auto"/>
        <w:ind w:firstLine="420"/>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lang w:eastAsia="zh-CN"/>
        </w:rPr>
        <w:t>1、</w:t>
      </w:r>
      <w:r w:rsidRPr="00A936B7">
        <w:rPr>
          <w:rFonts w:asciiTheme="minorEastAsia" w:eastAsiaTheme="minorEastAsia" w:hAnsiTheme="minorEastAsia" w:cs="宋体" w:hint="eastAsia"/>
          <w:bCs/>
          <w:szCs w:val="21"/>
          <w:highlight w:val="white"/>
          <w:lang w:eastAsia="zh-CN"/>
        </w:rPr>
        <w:t>本基金</w:t>
      </w:r>
      <w:r w:rsidRPr="00A936B7">
        <w:rPr>
          <w:rFonts w:asciiTheme="minorEastAsia" w:eastAsiaTheme="minorEastAsia" w:hAnsiTheme="minorEastAsia" w:cs="宋体"/>
          <w:bCs/>
          <w:szCs w:val="21"/>
          <w:highlight w:val="white"/>
          <w:lang w:eastAsia="zh-CN"/>
        </w:rPr>
        <w:t>A类基金份额</w:t>
      </w:r>
      <w:r w:rsidRPr="00A936B7">
        <w:rPr>
          <w:rFonts w:asciiTheme="minorEastAsia" w:eastAsiaTheme="minorEastAsia" w:hAnsiTheme="minorEastAsia" w:cs="宋体" w:hint="eastAsia"/>
          <w:bCs/>
          <w:szCs w:val="21"/>
          <w:highlight w:val="white"/>
          <w:lang w:eastAsia="zh-CN"/>
        </w:rPr>
        <w:t>按规定收取的</w:t>
      </w:r>
      <w:r w:rsidRPr="00A936B7">
        <w:rPr>
          <w:rFonts w:asciiTheme="minorEastAsia" w:eastAsiaTheme="minorEastAsia" w:hAnsiTheme="minorEastAsia" w:cs="宋体"/>
          <w:bCs/>
          <w:szCs w:val="21"/>
          <w:highlight w:val="white"/>
          <w:lang w:eastAsia="zh-CN"/>
        </w:rPr>
        <w:t>申购费用由</w:t>
      </w:r>
      <w:r w:rsidRPr="00A936B7">
        <w:rPr>
          <w:rFonts w:asciiTheme="minorEastAsia" w:eastAsiaTheme="minorEastAsia" w:hAnsiTheme="minorEastAsia" w:cs="宋体" w:hint="eastAsia"/>
          <w:bCs/>
          <w:szCs w:val="21"/>
          <w:highlight w:val="white"/>
          <w:lang w:eastAsia="zh-CN"/>
        </w:rPr>
        <w:t>申购</w:t>
      </w:r>
      <w:r w:rsidRPr="00A936B7">
        <w:rPr>
          <w:rFonts w:asciiTheme="minorEastAsia" w:eastAsiaTheme="minorEastAsia" w:hAnsiTheme="minorEastAsia" w:cs="宋体" w:hint="eastAsia"/>
          <w:highlight w:val="white"/>
          <w:lang w:eastAsia="zh-CN"/>
        </w:rPr>
        <w:t>该类</w:t>
      </w:r>
      <w:r w:rsidRPr="00A936B7">
        <w:rPr>
          <w:rFonts w:asciiTheme="minorEastAsia" w:eastAsiaTheme="minorEastAsia" w:hAnsiTheme="minorEastAsia" w:cs="宋体" w:hint="eastAsia"/>
          <w:bCs/>
          <w:szCs w:val="21"/>
          <w:highlight w:val="white"/>
          <w:lang w:eastAsia="zh-CN"/>
        </w:rPr>
        <w:t>基金份额的</w:t>
      </w:r>
      <w:r w:rsidRPr="00A936B7">
        <w:rPr>
          <w:rFonts w:asciiTheme="minorEastAsia" w:eastAsiaTheme="minorEastAsia" w:hAnsiTheme="minorEastAsia" w:cs="宋体"/>
          <w:bCs/>
          <w:szCs w:val="21"/>
          <w:highlight w:val="white"/>
          <w:lang w:eastAsia="zh-CN"/>
        </w:rPr>
        <w:t>投资人承担</w:t>
      </w:r>
      <w:r w:rsidRPr="00A936B7">
        <w:rPr>
          <w:rFonts w:asciiTheme="minorEastAsia" w:eastAsiaTheme="minorEastAsia" w:hAnsiTheme="minorEastAsia" w:cs="宋体" w:hint="eastAsia"/>
          <w:szCs w:val="21"/>
          <w:highlight w:val="white"/>
          <w:lang w:eastAsia="zh-CN"/>
        </w:rPr>
        <w:t>，</w:t>
      </w:r>
      <w:r w:rsidRPr="00A936B7">
        <w:rPr>
          <w:rFonts w:asciiTheme="minorEastAsia" w:eastAsiaTheme="minorEastAsia" w:hAnsiTheme="minorEastAsia" w:cs="宋体"/>
          <w:szCs w:val="21"/>
          <w:highlight w:val="white"/>
          <w:lang w:eastAsia="zh-CN"/>
        </w:rPr>
        <w:t>不列入基金财产，主要用于本基金的市场推广、销售等各项费用。C类基金份额不收取申购费</w:t>
      </w:r>
      <w:r w:rsidRPr="00A936B7">
        <w:rPr>
          <w:rFonts w:asciiTheme="minorEastAsia" w:eastAsiaTheme="minorEastAsia" w:hAnsiTheme="minorEastAsia" w:cs="宋体"/>
          <w:color w:val="000000"/>
          <w:highlight w:val="white"/>
          <w:lang w:eastAsia="zh-CN"/>
        </w:rPr>
        <w:t>，在投资者持有期间计提销售服务费</w:t>
      </w:r>
      <w:r w:rsidRPr="00A936B7">
        <w:rPr>
          <w:rFonts w:asciiTheme="minorEastAsia" w:eastAsiaTheme="minorEastAsia" w:hAnsiTheme="minorEastAsia" w:cs="宋体" w:hint="eastAsia"/>
          <w:color w:val="000000"/>
          <w:highlight w:val="white"/>
          <w:lang w:eastAsia="zh-CN"/>
        </w:rPr>
        <w:t>并按规定收取或返还</w:t>
      </w:r>
      <w:r w:rsidRPr="00A936B7">
        <w:rPr>
          <w:rFonts w:asciiTheme="minorEastAsia" w:eastAsiaTheme="minorEastAsia" w:hAnsiTheme="minorEastAsia" w:cs="宋体"/>
          <w:szCs w:val="21"/>
          <w:highlight w:val="white"/>
          <w:lang w:eastAsia="zh-CN"/>
        </w:rPr>
        <w:t>。</w:t>
      </w:r>
      <w:r w:rsidRPr="00A936B7">
        <w:rPr>
          <w:rFonts w:asciiTheme="minorEastAsia" w:eastAsiaTheme="minorEastAsia" w:hAnsiTheme="minorEastAsia" w:cs="宋体"/>
          <w:szCs w:val="21"/>
          <w:highlight w:val="white"/>
        </w:rPr>
        <w:t>赎回费用由基金赎回人承担。</w:t>
      </w:r>
    </w:p>
    <w:p w:rsidR="009F340D" w:rsidRPr="00A936B7" w14:paraId="261DF5BB" w14:textId="77777777">
      <w:pPr>
        <w:spacing w:line="360" w:lineRule="auto"/>
        <w:ind w:firstLine="420"/>
        <w:rPr>
          <w:rFonts w:asciiTheme="minorEastAsia" w:eastAsiaTheme="minorEastAsia" w:hAnsiTheme="minorEastAsia" w:cs="宋体" w:hint="eastAsia"/>
          <w:szCs w:val="21"/>
        </w:rPr>
      </w:pPr>
      <w:r w:rsidRPr="00A936B7">
        <w:rPr>
          <w:rFonts w:asciiTheme="minorEastAsia" w:eastAsiaTheme="minorEastAsia" w:hAnsiTheme="minorEastAsia" w:cs="宋体" w:hint="eastAsia"/>
          <w:szCs w:val="21"/>
          <w:highlight w:val="white"/>
        </w:rPr>
        <w:t>2、申购费率</w:t>
      </w:r>
    </w:p>
    <w:tbl>
      <w:tblPr>
        <w:tblW w:w="7574" w:type="dxa"/>
        <w:jc w:val="center"/>
        <w:tblLayout w:type="fixed"/>
        <w:tblLook w:val="04A0"/>
      </w:tblPr>
      <w:tblGrid>
        <w:gridCol w:w="3794"/>
        <w:gridCol w:w="3780"/>
      </w:tblGrid>
      <w:tr w14:paraId="3881E177" w14:textId="77777777">
        <w:tblPrEx>
          <w:tblW w:w="7574" w:type="dxa"/>
          <w:jc w:val="center"/>
          <w:tblLayout w:type="fixed"/>
          <w:tblLook w:val="04A0"/>
        </w:tblPrEx>
        <w:trPr>
          <w:trHeight w:val="525"/>
          <w:jc w:val="center"/>
        </w:trPr>
        <w:tc>
          <w:tcPr>
            <w:tcW w:w="3794" w:type="dxa"/>
            <w:tcBorders>
              <w:top w:val="single" w:sz="8" w:space="0" w:color="auto"/>
              <w:left w:val="single" w:sz="8" w:space="0" w:color="auto"/>
              <w:bottom w:val="single" w:sz="8" w:space="0" w:color="auto"/>
              <w:right w:val="single" w:sz="8" w:space="0" w:color="auto"/>
            </w:tcBorders>
            <w:shd w:val="clear" w:color="auto" w:fill="auto"/>
          </w:tcPr>
          <w:p w:rsidR="009F340D" w:rsidRPr="00A936B7" w14:paraId="6668CA11" w14:textId="77777777">
            <w:pPr>
              <w:widowControl/>
              <w:spacing w:line="360" w:lineRule="auto"/>
              <w:jc w:val="center"/>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申购</w:t>
            </w:r>
            <w:r w:rsidRPr="00A936B7">
              <w:rPr>
                <w:rFonts w:asciiTheme="minorEastAsia" w:eastAsiaTheme="minorEastAsia" w:hAnsiTheme="minorEastAsia"/>
                <w:highlight w:val="white"/>
                <w:lang w:eastAsia="zh-CN"/>
              </w:rPr>
              <w:t>确认</w:t>
            </w:r>
            <w:r w:rsidRPr="00A936B7">
              <w:rPr>
                <w:rFonts w:asciiTheme="minorEastAsia" w:eastAsiaTheme="minorEastAsia" w:hAnsiTheme="minorEastAsia" w:cs="宋体"/>
                <w:bCs/>
                <w:szCs w:val="21"/>
                <w:highlight w:val="white"/>
                <w:lang w:eastAsia="zh-CN"/>
              </w:rPr>
              <w:t>金额M（元）（含申购费）</w:t>
            </w:r>
          </w:p>
        </w:tc>
        <w:tc>
          <w:tcPr>
            <w:tcW w:w="3780" w:type="dxa"/>
            <w:tcBorders>
              <w:top w:val="single" w:sz="8" w:space="0" w:color="auto"/>
              <w:left w:val="nil"/>
              <w:bottom w:val="single" w:sz="8" w:space="0" w:color="auto"/>
              <w:right w:val="single" w:sz="8" w:space="0" w:color="auto"/>
            </w:tcBorders>
            <w:shd w:val="clear" w:color="auto" w:fill="auto"/>
          </w:tcPr>
          <w:p w:rsidR="009F340D" w:rsidRPr="00A936B7" w14:paraId="5D1CE4C9" w14:textId="77777777">
            <w:pPr>
              <w:widowControl/>
              <w:spacing w:line="360" w:lineRule="auto"/>
              <w:jc w:val="center"/>
              <w:rPr>
                <w:rFonts w:asciiTheme="minorEastAsia" w:eastAsiaTheme="minorEastAsia" w:hAnsiTheme="minorEastAsia" w:cs="宋体" w:hint="eastAsia"/>
                <w:bCs/>
                <w:szCs w:val="21"/>
                <w:lang w:eastAsia="zh-CN"/>
              </w:rPr>
            </w:pPr>
            <w:r w:rsidRPr="00A936B7">
              <w:rPr>
                <w:rStyle w:val="da"/>
                <w:rFonts w:asciiTheme="minorEastAsia" w:eastAsiaTheme="minorEastAsia" w:hAnsiTheme="minorEastAsia" w:cs="宋体"/>
                <w:highlight w:val="white"/>
                <w:lang w:eastAsia="zh-CN"/>
              </w:rPr>
              <w:t>A类基金份额</w:t>
            </w:r>
            <w:r w:rsidRPr="00A936B7">
              <w:rPr>
                <w:rFonts w:asciiTheme="minorEastAsia" w:eastAsiaTheme="minorEastAsia" w:hAnsiTheme="minorEastAsia" w:cs="宋体"/>
                <w:bCs/>
                <w:szCs w:val="21"/>
                <w:highlight w:val="white"/>
                <w:lang w:eastAsia="zh-CN"/>
              </w:rPr>
              <w:t>申购费率</w:t>
            </w:r>
          </w:p>
        </w:tc>
      </w:tr>
      <w:tr w14:paraId="0D1043A9" w14:textId="77777777">
        <w:tblPrEx>
          <w:tblW w:w="7574" w:type="dxa"/>
          <w:jc w:val="center"/>
          <w:tblLayout w:type="fixed"/>
          <w:tblLook w:val="04A0"/>
        </w:tblPrEx>
        <w:trPr>
          <w:trHeight w:val="360"/>
          <w:jc w:val="center"/>
        </w:trPr>
        <w:tc>
          <w:tcPr>
            <w:tcW w:w="3794" w:type="dxa"/>
            <w:tcBorders>
              <w:top w:val="nil"/>
              <w:left w:val="single" w:sz="8" w:space="0" w:color="auto"/>
              <w:bottom w:val="single" w:sz="8" w:space="0" w:color="auto"/>
              <w:right w:val="single" w:sz="8" w:space="0" w:color="auto"/>
            </w:tcBorders>
            <w:shd w:val="clear" w:color="auto" w:fill="auto"/>
          </w:tcPr>
          <w:p w:rsidR="009F340D" w:rsidRPr="00A936B7" w14:paraId="69B36207" w14:textId="77777777">
            <w:pPr>
              <w:widowControl/>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bCs/>
                <w:iCs/>
              </w:rPr>
              <w:t>M＜500万</w:t>
            </w:r>
          </w:p>
        </w:tc>
        <w:tc>
          <w:tcPr>
            <w:tcW w:w="3780" w:type="dxa"/>
            <w:tcBorders>
              <w:top w:val="nil"/>
              <w:left w:val="nil"/>
              <w:bottom w:val="single" w:sz="8" w:space="0" w:color="auto"/>
              <w:right w:val="single" w:sz="8" w:space="0" w:color="auto"/>
            </w:tcBorders>
            <w:shd w:val="clear" w:color="auto" w:fill="auto"/>
          </w:tcPr>
          <w:p w:rsidR="009F340D" w:rsidRPr="00A936B7" w14:paraId="21C4918B" w14:textId="77777777">
            <w:pPr>
              <w:widowControl/>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bCs/>
                <w:iCs/>
              </w:rPr>
              <w:t>0.30%</w:t>
            </w:r>
          </w:p>
        </w:tc>
      </w:tr>
      <w:tr w14:paraId="1C893435" w14:textId="77777777">
        <w:tblPrEx>
          <w:tblW w:w="7574" w:type="dxa"/>
          <w:jc w:val="center"/>
          <w:tblLayout w:type="fixed"/>
          <w:tblLook w:val="04A0"/>
        </w:tblPrEx>
        <w:trPr>
          <w:trHeight w:val="360"/>
          <w:jc w:val="center"/>
        </w:trPr>
        <w:tc>
          <w:tcPr>
            <w:tcW w:w="3794" w:type="dxa"/>
            <w:tcBorders>
              <w:top w:val="nil"/>
              <w:left w:val="single" w:sz="8" w:space="0" w:color="auto"/>
              <w:bottom w:val="single" w:sz="8" w:space="0" w:color="auto"/>
              <w:right w:val="single" w:sz="8" w:space="0" w:color="auto"/>
            </w:tcBorders>
            <w:shd w:val="clear" w:color="auto" w:fill="auto"/>
          </w:tcPr>
          <w:p w:rsidR="009F340D" w:rsidRPr="00A936B7" w14:paraId="44006CC8" w14:textId="77777777">
            <w:pPr>
              <w:widowControl/>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bCs/>
                <w:iCs/>
              </w:rPr>
              <w:t>M≥500万</w:t>
            </w:r>
          </w:p>
        </w:tc>
        <w:tc>
          <w:tcPr>
            <w:tcW w:w="3780" w:type="dxa"/>
            <w:tcBorders>
              <w:top w:val="nil"/>
              <w:left w:val="nil"/>
              <w:bottom w:val="single" w:sz="8" w:space="0" w:color="auto"/>
              <w:right w:val="single" w:sz="8" w:space="0" w:color="auto"/>
            </w:tcBorders>
            <w:shd w:val="clear" w:color="auto" w:fill="auto"/>
          </w:tcPr>
          <w:p w:rsidR="009F340D" w:rsidRPr="00A936B7" w14:paraId="5F5A0BF2" w14:textId="77777777">
            <w:pPr>
              <w:widowControl/>
              <w:spacing w:line="360" w:lineRule="auto"/>
              <w:jc w:val="center"/>
              <w:rPr>
                <w:rFonts w:asciiTheme="minorEastAsia" w:eastAsiaTheme="minorEastAsia" w:hAnsiTheme="minorEastAsia" w:cs="宋体" w:hint="eastAsia"/>
                <w:szCs w:val="21"/>
              </w:rPr>
            </w:pPr>
            <w:r w:rsidRPr="00A936B7">
              <w:rPr>
                <w:rFonts w:asciiTheme="minorEastAsia" w:eastAsiaTheme="minorEastAsia" w:hAnsiTheme="minorEastAsia" w:cs="宋体" w:hint="eastAsia"/>
                <w:bCs/>
                <w:iCs/>
              </w:rPr>
              <w:t>1000元/笔</w:t>
            </w:r>
          </w:p>
        </w:tc>
      </w:tr>
    </w:tbl>
    <w:p w:rsidR="009F340D" w:rsidRPr="00A936B7" w14:paraId="56A4A14E" w14:textId="77777777">
      <w:pPr>
        <w:spacing w:line="360" w:lineRule="auto"/>
        <w:ind w:firstLine="420"/>
        <w:rPr>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ghlight w:val="white"/>
          <w:lang w:eastAsia="zh-CN"/>
        </w:rPr>
        <w:t>（1</w:t>
      </w:r>
      <w:r w:rsidRPr="00A936B7">
        <w:rPr>
          <w:rStyle w:val="da"/>
          <w:rFonts w:asciiTheme="minorEastAsia" w:eastAsiaTheme="minorEastAsia" w:hAnsiTheme="minorEastAsia" w:cs="宋体" w:hint="eastAsia"/>
          <w:highlight w:val="white"/>
          <w:lang w:eastAsia="zh-CN"/>
        </w:rPr>
        <w:t>）投资者通过基金管理人或其基金销售子公司申购本基金A类基金份额，不收取申购费用。</w:t>
      </w:r>
    </w:p>
    <w:p w:rsidR="009F340D" w:rsidRPr="00A936B7" w14:paraId="04CD1531"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（2）</w:t>
      </w:r>
      <w:r w:rsidRPr="00A936B7">
        <w:rPr>
          <w:rFonts w:asciiTheme="minorEastAsia" w:eastAsiaTheme="minorEastAsia" w:hAnsiTheme="minorEastAsia" w:hint="eastAsia"/>
          <w:highlight w:val="white"/>
          <w:lang w:eastAsia="zh-CN"/>
        </w:rPr>
        <w:t>投资者通过其他销售机构</w:t>
      </w:r>
      <w:r w:rsidRPr="00A936B7">
        <w:rPr>
          <w:rFonts w:asciiTheme="minorEastAsia" w:eastAsiaTheme="minorEastAsia" w:hAnsiTheme="minorEastAsia" w:cs="宋体" w:hint="eastAsia"/>
          <w:highlight w:val="white"/>
          <w:lang w:eastAsia="zh-CN"/>
        </w:rPr>
        <w:t>申购本基金</w:t>
      </w:r>
      <w:r w:rsidRPr="00A936B7">
        <w:rPr>
          <w:rStyle w:val="da"/>
          <w:rFonts w:asciiTheme="minorEastAsia" w:eastAsiaTheme="minorEastAsia" w:hAnsiTheme="minorEastAsia" w:cs="宋体"/>
          <w:highlight w:val="white"/>
          <w:lang w:eastAsia="zh-CN"/>
        </w:rPr>
        <w:t>A类基金份额</w:t>
      </w:r>
      <w:r w:rsidRPr="00A936B7">
        <w:rPr>
          <w:rFonts w:asciiTheme="minorEastAsia" w:eastAsiaTheme="minorEastAsia" w:hAnsiTheme="minorEastAsia" w:cs="宋体" w:hint="eastAsia"/>
          <w:highlight w:val="white"/>
          <w:lang w:eastAsia="zh-CN"/>
        </w:rPr>
        <w:t>的申购费率见上表。</w:t>
      </w:r>
    </w:p>
    <w:p w:rsidR="009F340D" w:rsidRPr="00A936B7" w14:paraId="4AB2A2D6" w14:textId="77777777">
      <w:pPr>
        <w:spacing w:line="312"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在申购费按金额分档的情况下，如果投资者多次申购</w:t>
      </w:r>
      <w:r w:rsidRPr="00A936B7">
        <w:rPr>
          <w:rStyle w:val="da"/>
          <w:rFonts w:asciiTheme="minorEastAsia" w:eastAsiaTheme="minorEastAsia" w:hAnsiTheme="minorEastAsia" w:cs="宋体"/>
          <w:highlight w:val="white"/>
          <w:lang w:eastAsia="zh-CN"/>
        </w:rPr>
        <w:t>A类基金份额</w:t>
      </w:r>
      <w:r w:rsidRPr="00A936B7">
        <w:rPr>
          <w:rFonts w:asciiTheme="minorEastAsia" w:eastAsiaTheme="minorEastAsia" w:hAnsiTheme="minorEastAsia" w:cs="宋体" w:hint="eastAsia"/>
          <w:szCs w:val="21"/>
          <w:highlight w:val="white"/>
          <w:lang w:eastAsia="zh-CN"/>
        </w:rPr>
        <w:t>，申购费适用单笔申购金额所对应的费率。</w:t>
      </w:r>
    </w:p>
    <w:p w:rsidR="009F340D" w14:paraId="421DC1C3" w14:textId="77777777">
      <w:pPr>
        <w:spacing w:line="312"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本基金C类基金份额不收取申购费用</w:t>
      </w:r>
      <w:r w:rsidRPr="00A936B7">
        <w:rPr>
          <w:rFonts w:asciiTheme="minorEastAsia" w:eastAsiaTheme="minorEastAsia" w:hAnsiTheme="minorEastAsia" w:cs="宋体"/>
          <w:color w:val="000000"/>
          <w:highlight w:val="white"/>
          <w:lang w:eastAsia="zh-CN"/>
        </w:rPr>
        <w:t>，在投资者持有期间</w:t>
      </w:r>
      <w:r w:rsidRPr="00A936B7">
        <w:rPr>
          <w:rFonts w:asciiTheme="minorEastAsia" w:eastAsiaTheme="minorEastAsia" w:hAnsiTheme="minorEastAsia" w:cs="宋体" w:hint="eastAsia"/>
          <w:color w:val="000000"/>
          <w:highlight w:val="white"/>
          <w:lang w:eastAsia="zh-CN"/>
        </w:rPr>
        <w:t>计提销售服务费并按规定收取或返还</w:t>
      </w:r>
      <w:r w:rsidRPr="00A936B7">
        <w:rPr>
          <w:rFonts w:asciiTheme="minorEastAsia" w:eastAsiaTheme="minorEastAsia" w:hAnsiTheme="minorEastAsia" w:cs="宋体"/>
          <w:szCs w:val="21"/>
          <w:highlight w:val="white"/>
          <w:lang w:eastAsia="zh-CN"/>
        </w:rPr>
        <w:t>。</w:t>
      </w:r>
    </w:p>
    <w:p w:rsidR="004C387D" w:rsidRPr="00A936B7" w14:paraId="0A9F1D66" w14:textId="77777777">
      <w:pPr>
        <w:spacing w:line="312" w:lineRule="auto"/>
        <w:ind w:firstLine="420"/>
        <w:rPr>
          <w:rFonts w:asciiTheme="minorEastAsia" w:eastAsiaTheme="minorEastAsia" w:hAnsiTheme="minorEastAsia" w:cs="宋体" w:hint="eastAsia"/>
          <w:szCs w:val="21"/>
          <w:lang w:eastAsia="zh-CN"/>
        </w:rPr>
      </w:pPr>
      <w:r w:rsidRPr="004C387D">
        <w:rPr>
          <w:rFonts w:asciiTheme="minorEastAsia" w:eastAsiaTheme="minorEastAsia" w:hAnsiTheme="minorEastAsia" w:cs="宋体" w:hint="eastAsia"/>
          <w:szCs w:val="21"/>
          <w:lang w:eastAsia="zh-CN"/>
        </w:rPr>
        <w:t>本基金暂不开通基金管理人及其基金销售子公司销售本基金C类基金份额，若日后开通，将另行公告。</w:t>
      </w:r>
    </w:p>
    <w:p w:rsidR="009F340D" w:rsidRPr="00A936B7" w14:paraId="15379771" w14:textId="77777777">
      <w:pPr>
        <w:spacing w:line="312" w:lineRule="auto"/>
        <w:ind w:firstLine="420"/>
        <w:rPr>
          <w:rFonts w:asciiTheme="minorEastAsia" w:eastAsiaTheme="minorEastAsia" w:hAnsiTheme="minorEastAsia" w:cs="宋体" w:hint="eastAsia"/>
          <w:szCs w:val="21"/>
          <w:lang w:eastAsia="zh-CN"/>
        </w:rPr>
      </w:pPr>
      <w:bookmarkStart w:id="1805" w:name="_Toc332373507"/>
      <w:r w:rsidRPr="00A936B7">
        <w:rPr>
          <w:rFonts w:asciiTheme="minorEastAsia" w:eastAsiaTheme="minorEastAsia" w:hAnsiTheme="minorEastAsia" w:cs="宋体" w:hint="eastAsia"/>
          <w:szCs w:val="21"/>
          <w:highlight w:val="white"/>
          <w:lang w:eastAsia="zh-CN"/>
        </w:rPr>
        <w:t>3、赎回费率</w:t>
      </w:r>
    </w:p>
    <w:p w:rsidR="009F340D" w:rsidRPr="00A936B7" w14:paraId="10B9852C" w14:textId="77777777">
      <w:pPr>
        <w:spacing w:line="312"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（1）个人投资者持有的基金份额赎回费率见下表：</w:t>
      </w:r>
    </w:p>
    <w:tbl>
      <w:tblPr>
        <w:tblStyle w:val="TableGrid"/>
        <w:tblW w:w="7229" w:type="dxa"/>
        <w:tblInd w:w="704" w:type="dxa"/>
        <w:tblLayout w:type="fixed"/>
        <w:tblLook w:val="04A0"/>
      </w:tblPr>
      <w:tblGrid>
        <w:gridCol w:w="2268"/>
        <w:gridCol w:w="4961"/>
      </w:tblGrid>
      <w:tr w14:paraId="2E8B1BEC" w14:textId="77777777">
        <w:tblPrEx>
          <w:tblW w:w="7229" w:type="dxa"/>
          <w:tblInd w:w="704" w:type="dxa"/>
          <w:tblLayout w:type="fixed"/>
          <w:tblLook w:val="04A0"/>
        </w:tblPrEx>
        <w:tc>
          <w:tcPr>
            <w:tcW w:w="2268" w:type="dxa"/>
          </w:tcPr>
          <w:p w:rsidR="009F340D" w:rsidRPr="00A936B7" w14:paraId="3836A886"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highlight w:val="white"/>
              </w:rPr>
              <w:t>持有时间（天）</w:t>
            </w:r>
          </w:p>
        </w:tc>
        <w:tc>
          <w:tcPr>
            <w:tcW w:w="4961" w:type="dxa"/>
          </w:tcPr>
          <w:p w:rsidR="009F340D" w:rsidRPr="00A936B7" w14:paraId="23EBF7B8" w14:textId="77777777">
            <w:pPr>
              <w:spacing w:line="280" w:lineRule="exact"/>
              <w:jc w:val="center"/>
              <w:rPr>
                <w:rFonts w:asciiTheme="minorEastAsia" w:eastAsiaTheme="minorEastAsia" w:hAnsiTheme="minorEastAsia" w:cs="宋体" w:hint="eastAsia"/>
                <w:iCs/>
                <w:lang w:eastAsia="zh-CN"/>
              </w:rPr>
            </w:pPr>
            <w:r w:rsidRPr="00A936B7">
              <w:rPr>
                <w:rFonts w:asciiTheme="minorEastAsia" w:eastAsiaTheme="minorEastAsia" w:hAnsiTheme="minorEastAsia" w:cs="宋体" w:hint="eastAsia"/>
                <w:bCs/>
                <w:iCs/>
                <w:highlight w:val="white"/>
                <w:lang w:eastAsia="zh-CN"/>
              </w:rPr>
              <w:t>个人投资者持有的A类/</w:t>
            </w:r>
            <w:r w:rsidRPr="00A936B7">
              <w:rPr>
                <w:rFonts w:asciiTheme="minorEastAsia" w:eastAsiaTheme="minorEastAsia" w:hAnsiTheme="minorEastAsia" w:cs="宋体"/>
                <w:bCs/>
                <w:iCs/>
                <w:highlight w:val="white"/>
                <w:lang w:eastAsia="zh-CN"/>
              </w:rPr>
              <w:t>C</w:t>
            </w:r>
            <w:r w:rsidRPr="00A936B7">
              <w:rPr>
                <w:rFonts w:asciiTheme="minorEastAsia" w:eastAsiaTheme="minorEastAsia" w:hAnsiTheme="minorEastAsia" w:cs="宋体" w:hint="eastAsia"/>
                <w:bCs/>
                <w:iCs/>
                <w:highlight w:val="white"/>
                <w:lang w:eastAsia="zh-CN"/>
              </w:rPr>
              <w:t>类基金份额赎回费率</w:t>
            </w:r>
          </w:p>
        </w:tc>
      </w:tr>
      <w:tr w14:paraId="59558A2F" w14:textId="77777777">
        <w:tblPrEx>
          <w:tblW w:w="7229" w:type="dxa"/>
          <w:tblInd w:w="704" w:type="dxa"/>
          <w:tblLayout w:type="fixed"/>
          <w:tblLook w:val="04A0"/>
        </w:tblPrEx>
        <w:trPr>
          <w:trHeight w:val="360"/>
        </w:trPr>
        <w:tc>
          <w:tcPr>
            <w:tcW w:w="2268" w:type="dxa"/>
          </w:tcPr>
          <w:p w:rsidR="009F340D" w:rsidRPr="00A936B7" w14:paraId="29BAEA8D"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rPr>
              <w:t>0-6</w:t>
            </w:r>
          </w:p>
        </w:tc>
        <w:tc>
          <w:tcPr>
            <w:tcW w:w="4961" w:type="dxa"/>
          </w:tcPr>
          <w:p w:rsidR="009F340D" w:rsidRPr="00A936B7" w14:paraId="02C4F772"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rPr>
              <w:t>1.50%</w:t>
            </w:r>
          </w:p>
        </w:tc>
      </w:tr>
      <w:tr w14:paraId="614BB862" w14:textId="77777777">
        <w:tblPrEx>
          <w:tblW w:w="7229" w:type="dxa"/>
          <w:tblInd w:w="704" w:type="dxa"/>
          <w:tblLayout w:type="fixed"/>
          <w:tblLook w:val="04A0"/>
        </w:tblPrEx>
        <w:trPr>
          <w:trHeight w:val="360"/>
        </w:trPr>
        <w:tc>
          <w:tcPr>
            <w:tcW w:w="2268" w:type="dxa"/>
          </w:tcPr>
          <w:p w:rsidR="009F340D" w:rsidRPr="00A936B7" w14:paraId="41A308A4"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rPr>
              <w:t>7及以上</w:t>
            </w:r>
          </w:p>
        </w:tc>
        <w:tc>
          <w:tcPr>
            <w:tcW w:w="4961" w:type="dxa"/>
          </w:tcPr>
          <w:p w:rsidR="009F340D" w:rsidRPr="00A936B7" w14:paraId="268F44B6"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rPr>
              <w:t>0.00%</w:t>
            </w:r>
          </w:p>
        </w:tc>
      </w:tr>
    </w:tbl>
    <w:p w:rsidR="009F340D" w:rsidRPr="00A936B7" w14:paraId="30ED5F45" w14:textId="77777777">
      <w:pPr>
        <w:spacing w:line="312"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w:t>
      </w:r>
      <w:r w:rsidRPr="00A936B7">
        <w:rPr>
          <w:rFonts w:asciiTheme="minorEastAsia" w:eastAsiaTheme="minorEastAsia" w:hAnsiTheme="minorEastAsia" w:cs="宋体"/>
          <w:szCs w:val="21"/>
          <w:highlight w:val="white"/>
          <w:lang w:eastAsia="zh-CN"/>
        </w:rPr>
        <w:t>2</w:t>
      </w:r>
      <w:r w:rsidRPr="00A936B7">
        <w:rPr>
          <w:rFonts w:asciiTheme="minorEastAsia" w:eastAsiaTheme="minorEastAsia" w:hAnsiTheme="minorEastAsia" w:cs="宋体" w:hint="eastAsia"/>
          <w:szCs w:val="21"/>
          <w:highlight w:val="white"/>
          <w:lang w:eastAsia="zh-CN"/>
        </w:rPr>
        <w:t>）机构投资者持有的基金份额赎回费率见下表：</w:t>
      </w:r>
    </w:p>
    <w:tbl>
      <w:tblPr>
        <w:tblStyle w:val="TableGrid"/>
        <w:tblW w:w="7229" w:type="dxa"/>
        <w:tblInd w:w="704" w:type="dxa"/>
        <w:tblLayout w:type="fixed"/>
        <w:tblLook w:val="04A0"/>
      </w:tblPr>
      <w:tblGrid>
        <w:gridCol w:w="2268"/>
        <w:gridCol w:w="4961"/>
      </w:tblGrid>
      <w:tr w14:paraId="7B6E54EC" w14:textId="77777777">
        <w:tblPrEx>
          <w:tblW w:w="7229" w:type="dxa"/>
          <w:tblInd w:w="704" w:type="dxa"/>
          <w:tblLayout w:type="fixed"/>
          <w:tblLook w:val="04A0"/>
        </w:tblPrEx>
        <w:tc>
          <w:tcPr>
            <w:tcW w:w="2268" w:type="dxa"/>
          </w:tcPr>
          <w:p w:rsidR="009F340D" w:rsidRPr="00A936B7" w14:paraId="1D6CA17A"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highlight w:val="white"/>
              </w:rPr>
              <w:t>持有时间（天）</w:t>
            </w:r>
          </w:p>
        </w:tc>
        <w:tc>
          <w:tcPr>
            <w:tcW w:w="4961" w:type="dxa"/>
          </w:tcPr>
          <w:p w:rsidR="009F340D" w:rsidRPr="00A936B7" w14:paraId="6B7B7CC4" w14:textId="77777777">
            <w:pPr>
              <w:spacing w:line="280" w:lineRule="exact"/>
              <w:jc w:val="center"/>
              <w:rPr>
                <w:rFonts w:asciiTheme="minorEastAsia" w:eastAsiaTheme="minorEastAsia" w:hAnsiTheme="minorEastAsia" w:cs="宋体" w:hint="eastAsia"/>
                <w:iCs/>
                <w:lang w:eastAsia="zh-CN"/>
              </w:rPr>
            </w:pPr>
            <w:r w:rsidRPr="00A936B7">
              <w:rPr>
                <w:rFonts w:asciiTheme="minorEastAsia" w:eastAsiaTheme="minorEastAsia" w:hAnsiTheme="minorEastAsia" w:cs="宋体" w:hint="eastAsia"/>
                <w:szCs w:val="21"/>
                <w:highlight w:val="white"/>
                <w:lang w:eastAsia="zh-CN"/>
              </w:rPr>
              <w:t>机构</w:t>
            </w:r>
            <w:r w:rsidRPr="00A936B7">
              <w:rPr>
                <w:rFonts w:asciiTheme="minorEastAsia" w:eastAsiaTheme="minorEastAsia" w:hAnsiTheme="minorEastAsia" w:cs="宋体" w:hint="eastAsia"/>
                <w:bCs/>
                <w:iCs/>
                <w:highlight w:val="white"/>
                <w:lang w:eastAsia="zh-CN"/>
              </w:rPr>
              <w:t>投资者持有的A类/</w:t>
            </w:r>
            <w:r w:rsidRPr="00A936B7">
              <w:rPr>
                <w:rFonts w:asciiTheme="minorEastAsia" w:eastAsiaTheme="minorEastAsia" w:hAnsiTheme="minorEastAsia" w:cs="宋体"/>
                <w:bCs/>
                <w:iCs/>
                <w:highlight w:val="white"/>
                <w:lang w:eastAsia="zh-CN"/>
              </w:rPr>
              <w:t>C</w:t>
            </w:r>
            <w:r w:rsidRPr="00A936B7">
              <w:rPr>
                <w:rFonts w:asciiTheme="minorEastAsia" w:eastAsiaTheme="minorEastAsia" w:hAnsiTheme="minorEastAsia" w:cs="宋体" w:hint="eastAsia"/>
                <w:bCs/>
                <w:iCs/>
                <w:highlight w:val="white"/>
                <w:lang w:eastAsia="zh-CN"/>
              </w:rPr>
              <w:t>类基金份额赎回费率</w:t>
            </w:r>
          </w:p>
        </w:tc>
      </w:tr>
      <w:tr w14:paraId="7AD1E18F" w14:textId="77777777">
        <w:tblPrEx>
          <w:tblW w:w="7229" w:type="dxa"/>
          <w:tblInd w:w="704" w:type="dxa"/>
          <w:tblLayout w:type="fixed"/>
          <w:tblLook w:val="04A0"/>
        </w:tblPrEx>
        <w:trPr>
          <w:trHeight w:val="360"/>
        </w:trPr>
        <w:tc>
          <w:tcPr>
            <w:tcW w:w="2268" w:type="dxa"/>
          </w:tcPr>
          <w:p w:rsidR="009F340D" w:rsidRPr="00A936B7" w14:paraId="52BCED53"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rPr>
              <w:t>0-6</w:t>
            </w:r>
          </w:p>
        </w:tc>
        <w:tc>
          <w:tcPr>
            <w:tcW w:w="4961" w:type="dxa"/>
          </w:tcPr>
          <w:p w:rsidR="009F340D" w:rsidRPr="00A936B7" w14:paraId="34E97247"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rPr>
              <w:t>1.50%</w:t>
            </w:r>
          </w:p>
        </w:tc>
      </w:tr>
      <w:tr w14:paraId="30A0D136" w14:textId="77777777">
        <w:tblPrEx>
          <w:tblW w:w="7229" w:type="dxa"/>
          <w:tblInd w:w="704" w:type="dxa"/>
          <w:tblLayout w:type="fixed"/>
          <w:tblLook w:val="04A0"/>
        </w:tblPrEx>
        <w:trPr>
          <w:trHeight w:val="360"/>
        </w:trPr>
        <w:tc>
          <w:tcPr>
            <w:tcW w:w="2268" w:type="dxa"/>
          </w:tcPr>
          <w:p w:rsidR="009F340D" w:rsidRPr="00A936B7" w14:paraId="60C72DFF"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rPr>
              <w:t>7-29</w:t>
            </w:r>
          </w:p>
        </w:tc>
        <w:tc>
          <w:tcPr>
            <w:tcW w:w="4961" w:type="dxa"/>
          </w:tcPr>
          <w:p w:rsidR="009F340D" w:rsidRPr="00A936B7" w14:paraId="543C8400"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rPr>
              <w:t>1.00%</w:t>
            </w:r>
          </w:p>
        </w:tc>
      </w:tr>
      <w:tr w14:paraId="3AC051ED" w14:textId="77777777">
        <w:tblPrEx>
          <w:tblW w:w="7229" w:type="dxa"/>
          <w:tblInd w:w="704" w:type="dxa"/>
          <w:tblLayout w:type="fixed"/>
          <w:tblLook w:val="04A0"/>
        </w:tblPrEx>
        <w:trPr>
          <w:trHeight w:val="360"/>
        </w:trPr>
        <w:tc>
          <w:tcPr>
            <w:tcW w:w="2268" w:type="dxa"/>
          </w:tcPr>
          <w:p w:rsidR="009F340D" w:rsidRPr="00A936B7" w14:paraId="2486DCF6"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rPr>
              <w:t>30-179</w:t>
            </w:r>
          </w:p>
        </w:tc>
        <w:tc>
          <w:tcPr>
            <w:tcW w:w="4961" w:type="dxa"/>
          </w:tcPr>
          <w:p w:rsidR="009F340D" w:rsidRPr="00A936B7" w14:paraId="64D782C3"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rPr>
              <w:t>0.50%</w:t>
            </w:r>
          </w:p>
        </w:tc>
      </w:tr>
      <w:tr w14:paraId="7A1E9944" w14:textId="77777777">
        <w:tblPrEx>
          <w:tblW w:w="7229" w:type="dxa"/>
          <w:tblInd w:w="704" w:type="dxa"/>
          <w:tblLayout w:type="fixed"/>
          <w:tblLook w:val="04A0"/>
        </w:tblPrEx>
        <w:trPr>
          <w:trHeight w:val="360"/>
        </w:trPr>
        <w:tc>
          <w:tcPr>
            <w:tcW w:w="2268" w:type="dxa"/>
          </w:tcPr>
          <w:p w:rsidR="009F340D" w:rsidRPr="00A936B7" w14:paraId="7F13B7D4"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rPr>
              <w:t>180及以上</w:t>
            </w:r>
          </w:p>
        </w:tc>
        <w:tc>
          <w:tcPr>
            <w:tcW w:w="4961" w:type="dxa"/>
          </w:tcPr>
          <w:p w:rsidR="009F340D" w:rsidRPr="00A936B7" w14:paraId="32802BD7" w14:textId="77777777">
            <w:pPr>
              <w:spacing w:line="280" w:lineRule="exact"/>
              <w:jc w:val="center"/>
              <w:rPr>
                <w:rFonts w:asciiTheme="minorEastAsia" w:eastAsiaTheme="minorEastAsia" w:hAnsiTheme="minorEastAsia" w:cs="宋体" w:hint="eastAsia"/>
                <w:iCs/>
              </w:rPr>
            </w:pPr>
            <w:r w:rsidRPr="00A936B7">
              <w:rPr>
                <w:rFonts w:asciiTheme="minorEastAsia" w:eastAsiaTheme="minorEastAsia" w:hAnsiTheme="minorEastAsia" w:cs="宋体" w:hint="eastAsia"/>
                <w:bCs/>
                <w:iCs/>
              </w:rPr>
              <w:t>0.00%</w:t>
            </w:r>
          </w:p>
        </w:tc>
      </w:tr>
    </w:tbl>
    <w:p w:rsidR="009F340D" w:rsidRPr="00A936B7" w14:paraId="02EAAE7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投资者可将其持有的全部或部分</w:t>
      </w:r>
      <w:r w:rsidRPr="00A936B7">
        <w:rPr>
          <w:rFonts w:asciiTheme="minorEastAsia" w:eastAsiaTheme="minorEastAsia" w:hAnsiTheme="minorEastAsia" w:cs="宋体" w:hint="eastAsia"/>
          <w:bCs/>
          <w:iCs/>
          <w:highlight w:val="white"/>
          <w:lang w:eastAsia="zh-CN"/>
        </w:rPr>
        <w:t>A类/C类</w:t>
      </w:r>
      <w:r w:rsidRPr="00A936B7">
        <w:rPr>
          <w:rFonts w:asciiTheme="minorEastAsia" w:eastAsiaTheme="minorEastAsia" w:hAnsiTheme="minorEastAsia" w:cs="宋体" w:hint="eastAsia"/>
          <w:szCs w:val="21"/>
          <w:highlight w:val="white"/>
          <w:lang w:eastAsia="zh-CN"/>
        </w:rPr>
        <w:t>基金份额赎回。</w:t>
      </w:r>
      <w:r w:rsidRPr="00A936B7">
        <w:rPr>
          <w:rFonts w:asciiTheme="minorEastAsia" w:eastAsiaTheme="minorEastAsia" w:hAnsiTheme="minorEastAsia" w:cs="宋体"/>
          <w:szCs w:val="21"/>
          <w:highlight w:val="white"/>
          <w:lang w:eastAsia="zh-CN"/>
        </w:rPr>
        <w:t>赎回费用由赎回基金份额的基金份额持有人承担，</w:t>
      </w:r>
      <w:r w:rsidRPr="00A936B7">
        <w:rPr>
          <w:rFonts w:asciiTheme="minorEastAsia" w:eastAsiaTheme="minorEastAsia" w:hAnsiTheme="minorEastAsia" w:cs="宋体" w:hint="eastAsia"/>
          <w:szCs w:val="21"/>
          <w:highlight w:val="white"/>
          <w:lang w:eastAsia="zh-CN"/>
        </w:rPr>
        <w:t>在基金份额持有人赎回基金份额时收取，赎回费用全额计入基金财产。</w:t>
      </w:r>
    </w:p>
    <w:p w:rsidR="009F340D" w:rsidRPr="00A936B7" w14:paraId="00336F9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对于每份认购份额，持有期自基金合同生效日至该基金份额赎回确认日（不含该日）；对于每份申购份额，持有期自该基金份额申购确认日至赎回确认日（不含该日）。</w:t>
      </w:r>
    </w:p>
    <w:p w:rsidR="009F340D" w:rsidRPr="00A936B7" w14:paraId="504C7FF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基金管理人可以在基金合同规定的范围内调整申购费率、赎回费率或变更收费方式，调整后的申购费率、赎回费率或变更的收费方式在更新的《招募说明书》中列示。上述费率或收费方式如发生变更，基金管理人最迟应于新的费率或收费方式实施前依照《信息披露办法》的有关规定在</w:t>
      </w:r>
      <w:r w:rsidRPr="00A936B7">
        <w:rPr>
          <w:rFonts w:asciiTheme="minorEastAsia" w:eastAsiaTheme="minorEastAsia" w:hAnsiTheme="minorEastAsia" w:cs="宋体"/>
          <w:szCs w:val="21"/>
          <w:highlight w:val="white"/>
          <w:lang w:eastAsia="zh-CN"/>
        </w:rPr>
        <w:t>规</w:t>
      </w:r>
      <w:r w:rsidRPr="00A936B7">
        <w:rPr>
          <w:rFonts w:asciiTheme="minorEastAsia" w:eastAsiaTheme="minorEastAsia" w:hAnsiTheme="minorEastAsia" w:cs="宋体" w:hint="eastAsia"/>
          <w:szCs w:val="21"/>
          <w:highlight w:val="white"/>
          <w:lang w:eastAsia="zh-CN"/>
        </w:rPr>
        <w:t>定媒介上公告。</w:t>
      </w:r>
    </w:p>
    <w:p w:rsidR="009F340D" w:rsidRPr="00A936B7" w14:paraId="21D7347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基金管理人可以在不违反法律法规规定及基金合同约定的情况下根据市场情况制定基金促销计划，针对基金投资者定期和不定期地开展基金促销活动。</w:t>
      </w:r>
      <w:r w:rsidRPr="00A936B7">
        <w:rPr>
          <w:rFonts w:asciiTheme="minorEastAsia" w:eastAsiaTheme="minorEastAsia" w:hAnsiTheme="minorEastAsia" w:cs="宋体" w:hint="eastAsia"/>
          <w:szCs w:val="21"/>
          <w:highlight w:val="white"/>
          <w:lang w:eastAsia="zh-CN"/>
        </w:rPr>
        <w:t>在基金促销活动期间，基金管理人可以适当调低基金销售费率，或开展有差别的费率优惠活动</w:t>
      </w:r>
      <w:r w:rsidRPr="00A936B7">
        <w:rPr>
          <w:rFonts w:asciiTheme="minorEastAsia" w:eastAsiaTheme="minorEastAsia" w:hAnsiTheme="minorEastAsia" w:cs="宋体" w:hint="eastAsia"/>
          <w:bCs/>
          <w:szCs w:val="21"/>
          <w:highlight w:val="white"/>
          <w:lang w:eastAsia="zh-CN"/>
        </w:rPr>
        <w:t>。</w:t>
      </w:r>
    </w:p>
    <w:p w:rsidR="009F340D" w:rsidRPr="00A936B7" w14:paraId="5803C8B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八、申购和赎回的数额和价格</w:t>
      </w:r>
      <w:bookmarkEnd w:id="1805"/>
    </w:p>
    <w:p w:rsidR="009F340D" w:rsidRPr="00A936B7" w14:paraId="2436E88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 xml:space="preserve">1、申购和赎回数额、余额的处理方式 </w:t>
      </w:r>
    </w:p>
    <w:p w:rsidR="009F340D" w:rsidRPr="00A936B7" w14:paraId="6983155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（1）申购的有效份额为按实际确认的申购金额在扣除相应的费用后，以申购当日</w:t>
      </w:r>
      <w:r w:rsidRPr="00A936B7">
        <w:rPr>
          <w:rFonts w:asciiTheme="minorEastAsia" w:eastAsiaTheme="minorEastAsia" w:hAnsiTheme="minorEastAsia" w:cs="宋体"/>
          <w:color w:val="000000"/>
          <w:szCs w:val="21"/>
          <w:highlight w:val="white"/>
          <w:lang w:eastAsia="zh-CN"/>
        </w:rPr>
        <w:t>该类基金份额</w:t>
      </w:r>
      <w:r w:rsidRPr="00A936B7">
        <w:rPr>
          <w:rFonts w:asciiTheme="minorEastAsia" w:eastAsiaTheme="minorEastAsia" w:hAnsiTheme="minorEastAsia" w:cs="宋体" w:hint="eastAsia"/>
          <w:color w:val="000000"/>
          <w:szCs w:val="21"/>
          <w:highlight w:val="white"/>
          <w:lang w:eastAsia="zh-CN"/>
        </w:rPr>
        <w:t>的</w:t>
      </w:r>
      <w:r w:rsidRPr="00A936B7">
        <w:rPr>
          <w:rFonts w:asciiTheme="minorEastAsia" w:eastAsiaTheme="minorEastAsia" w:hAnsiTheme="minorEastAsia" w:cs="宋体"/>
          <w:szCs w:val="21"/>
          <w:highlight w:val="white"/>
          <w:lang w:eastAsia="zh-CN"/>
        </w:rPr>
        <w:t>基金份额净值为基准计算。申购涉及金额、份额的计算结果保留到小数点后两位，小数点后两位以后的部分四舍五入，由此产生的误差计入基金财产。</w:t>
      </w:r>
    </w:p>
    <w:p w:rsidR="009F340D" w:rsidRPr="00A936B7" w14:paraId="64D5F74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（2）赎回金额的处理方式：赎回金额为按实际确认的有效赎回份额乘以申请当日</w:t>
      </w:r>
      <w:r w:rsidRPr="00A936B7">
        <w:rPr>
          <w:rFonts w:asciiTheme="minorEastAsia" w:eastAsiaTheme="minorEastAsia" w:hAnsiTheme="minorEastAsia" w:cs="宋体"/>
          <w:color w:val="000000"/>
          <w:szCs w:val="21"/>
          <w:highlight w:val="white"/>
          <w:lang w:eastAsia="zh-CN"/>
        </w:rPr>
        <w:t>该类基金份额的</w:t>
      </w:r>
      <w:r w:rsidRPr="00A936B7">
        <w:rPr>
          <w:rFonts w:asciiTheme="minorEastAsia" w:eastAsiaTheme="minorEastAsia" w:hAnsiTheme="minorEastAsia" w:cs="宋体" w:hint="eastAsia"/>
          <w:szCs w:val="21"/>
          <w:highlight w:val="white"/>
          <w:lang w:eastAsia="zh-CN"/>
        </w:rPr>
        <w:t>基金份额</w:t>
      </w:r>
      <w:r w:rsidRPr="00A936B7">
        <w:rPr>
          <w:rFonts w:asciiTheme="minorEastAsia" w:eastAsiaTheme="minorEastAsia" w:hAnsiTheme="minorEastAsia" w:cs="宋体"/>
          <w:szCs w:val="21"/>
          <w:highlight w:val="white"/>
          <w:lang w:eastAsia="zh-CN"/>
        </w:rPr>
        <w:t>净值为基准并扣除相应的费用</w:t>
      </w:r>
      <w:r w:rsidRPr="00A936B7">
        <w:rPr>
          <w:rFonts w:asciiTheme="minorEastAsia" w:eastAsiaTheme="minorEastAsia" w:hAnsiTheme="minorEastAsia" w:cs="宋体"/>
          <w:color w:val="000000"/>
          <w:highlight w:val="white"/>
          <w:lang w:eastAsia="zh-CN"/>
        </w:rPr>
        <w:t>，再加上</w:t>
      </w:r>
      <w:r w:rsidRPr="00A936B7">
        <w:rPr>
          <w:rFonts w:asciiTheme="minorEastAsia" w:eastAsiaTheme="minorEastAsia" w:hAnsiTheme="minorEastAsia" w:cs="宋体" w:hint="eastAsia"/>
          <w:color w:val="000000"/>
          <w:highlight w:val="white"/>
          <w:lang w:eastAsia="zh-CN"/>
        </w:rPr>
        <w:t>返还的销售服务费（如有）</w:t>
      </w:r>
      <w:r w:rsidRPr="00A936B7">
        <w:rPr>
          <w:rFonts w:asciiTheme="minorEastAsia" w:eastAsiaTheme="minorEastAsia" w:hAnsiTheme="minorEastAsia" w:cs="宋体"/>
          <w:szCs w:val="21"/>
          <w:highlight w:val="white"/>
          <w:lang w:eastAsia="zh-CN"/>
        </w:rPr>
        <w:t xml:space="preserve">，赎回费用、赎回金额的单位为人民币元，计算结果保留到小数点后两位，小数点后两位以后的部分四舍五入，由此产生的误差计入基金财产。 </w:t>
      </w:r>
    </w:p>
    <w:p w:rsidR="009F340D" w:rsidRPr="00A936B7" w14:paraId="7F7C4EB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 xml:space="preserve">2、申购份额的计算 </w:t>
      </w:r>
    </w:p>
    <w:p w:rsidR="009F340D" w:rsidRPr="00A936B7" w14:paraId="5EE56A5F"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（1）若投资人</w:t>
      </w:r>
      <w:r w:rsidRPr="00A936B7">
        <w:rPr>
          <w:rFonts w:asciiTheme="minorEastAsia" w:eastAsiaTheme="minorEastAsia" w:hAnsiTheme="minorEastAsia" w:cs="宋体" w:hint="eastAsia"/>
          <w:szCs w:val="21"/>
          <w:highlight w:val="white"/>
          <w:lang w:eastAsia="zh-CN"/>
        </w:rPr>
        <w:t>通过除</w:t>
      </w:r>
      <w:r w:rsidRPr="00A936B7">
        <w:rPr>
          <w:rFonts w:asciiTheme="minorEastAsia" w:eastAsiaTheme="minorEastAsia" w:hAnsiTheme="minorEastAsia" w:hint="eastAsia"/>
          <w:highlight w:val="white"/>
          <w:lang w:eastAsia="zh-CN"/>
        </w:rPr>
        <w:t>基金</w:t>
      </w:r>
      <w:r w:rsidRPr="00A936B7">
        <w:rPr>
          <w:rFonts w:asciiTheme="minorEastAsia" w:eastAsiaTheme="minorEastAsia" w:hAnsiTheme="minorEastAsia"/>
          <w:highlight w:val="white"/>
          <w:lang w:eastAsia="zh-CN"/>
        </w:rPr>
        <w:t>管理人及其基金销售子公司以外的销售机构</w:t>
      </w:r>
      <w:r w:rsidRPr="00A936B7">
        <w:rPr>
          <w:rFonts w:asciiTheme="minorEastAsia" w:eastAsiaTheme="minorEastAsia" w:hAnsiTheme="minorEastAsia" w:cs="宋体"/>
          <w:szCs w:val="21"/>
          <w:highlight w:val="white"/>
          <w:lang w:eastAsia="zh-CN"/>
        </w:rPr>
        <w:t>申购</w:t>
      </w:r>
      <w:r w:rsidRPr="00A936B7">
        <w:rPr>
          <w:rFonts w:asciiTheme="minorEastAsia" w:eastAsiaTheme="minorEastAsia" w:hAnsiTheme="minorEastAsia"/>
          <w:szCs w:val="21"/>
          <w:highlight w:val="white"/>
          <w:lang w:eastAsia="zh-CN"/>
        </w:rPr>
        <w:t>A类基金份额，则申购份额的计算公式如下：</w:t>
      </w:r>
    </w:p>
    <w:p w:rsidR="009F340D" w:rsidRPr="00A936B7" w14:paraId="222EA3E4"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 xml:space="preserve">净申购金额=申购金额/（1+申购费率） </w:t>
      </w:r>
    </w:p>
    <w:p w:rsidR="009F340D" w:rsidRPr="00A936B7" w14:paraId="72523273"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（注：对于500万（含）以上适用固定金额申购费的申购，净申购金额＝申购金额－固定申购费金额）</w:t>
      </w:r>
    </w:p>
    <w:p w:rsidR="009F340D" w:rsidRPr="00A936B7" w14:paraId="566650B3"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 xml:space="preserve">申购费用=申购金额-净申购金额 </w:t>
      </w:r>
    </w:p>
    <w:p w:rsidR="009F340D" w:rsidRPr="00A936B7" w14:paraId="2E32C4A9"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申购份额=净申购金额/ T日A类基金份额的基金份额净值</w:t>
      </w:r>
    </w:p>
    <w:p w:rsidR="009F340D" w:rsidRPr="00A936B7" w14:paraId="6CAF54DE"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hint="eastAsia"/>
          <w:szCs w:val="21"/>
          <w:highlight w:val="white"/>
          <w:lang w:eastAsia="zh-CN"/>
        </w:rPr>
        <w:t>例一：某投资人</w:t>
      </w:r>
      <w:r w:rsidRPr="00A936B7">
        <w:rPr>
          <w:rFonts w:asciiTheme="minorEastAsia" w:eastAsiaTheme="minorEastAsia" w:hAnsiTheme="minorEastAsia" w:cs="宋体" w:hint="eastAsia"/>
          <w:szCs w:val="21"/>
          <w:highlight w:val="white"/>
          <w:lang w:eastAsia="zh-CN"/>
        </w:rPr>
        <w:t>通过除</w:t>
      </w:r>
      <w:r w:rsidRPr="00A936B7">
        <w:rPr>
          <w:rFonts w:asciiTheme="minorEastAsia" w:eastAsiaTheme="minorEastAsia" w:hAnsiTheme="minorEastAsia" w:hint="eastAsia"/>
          <w:highlight w:val="white"/>
          <w:lang w:eastAsia="zh-CN"/>
        </w:rPr>
        <w:t>基金</w:t>
      </w:r>
      <w:r w:rsidRPr="00A936B7">
        <w:rPr>
          <w:rFonts w:asciiTheme="minorEastAsia" w:eastAsiaTheme="minorEastAsia" w:hAnsiTheme="minorEastAsia"/>
          <w:highlight w:val="white"/>
          <w:lang w:eastAsia="zh-CN"/>
        </w:rPr>
        <w:t>管理人及其基金销售子公司以外的销售机构</w:t>
      </w:r>
      <w:r w:rsidRPr="00A936B7">
        <w:rPr>
          <w:rFonts w:asciiTheme="minorEastAsia" w:eastAsiaTheme="minorEastAsia" w:hAnsiTheme="minorEastAsia" w:hint="eastAsia"/>
          <w:szCs w:val="21"/>
          <w:highlight w:val="white"/>
          <w:lang w:eastAsia="zh-CN"/>
        </w:rPr>
        <w:t>申购本基金</w:t>
      </w:r>
      <w:r w:rsidRPr="00A936B7">
        <w:rPr>
          <w:rFonts w:asciiTheme="minorEastAsia" w:eastAsiaTheme="minorEastAsia" w:hAnsiTheme="minorEastAsia"/>
          <w:szCs w:val="21"/>
          <w:highlight w:val="white"/>
          <w:lang w:eastAsia="zh-CN"/>
        </w:rPr>
        <w:t>A</w:t>
      </w:r>
      <w:r w:rsidRPr="00A936B7">
        <w:rPr>
          <w:rFonts w:asciiTheme="minorEastAsia" w:eastAsiaTheme="minorEastAsia" w:hAnsiTheme="minorEastAsia" w:hint="eastAsia"/>
          <w:szCs w:val="21"/>
          <w:highlight w:val="white"/>
          <w:lang w:eastAsia="zh-CN"/>
        </w:rPr>
        <w:t>类基金份额</w:t>
      </w:r>
      <w:r w:rsidRPr="00A936B7" w:rsidR="00F8542C">
        <w:rPr>
          <w:rFonts w:asciiTheme="minorEastAsia" w:eastAsiaTheme="minorEastAsia" w:hAnsiTheme="minorEastAsia"/>
          <w:szCs w:val="21"/>
          <w:highlight w:val="white"/>
          <w:lang w:eastAsia="zh-CN"/>
        </w:rPr>
        <w:t>100,000</w:t>
      </w:r>
      <w:r w:rsidRPr="00A936B7" w:rsidR="00F8542C">
        <w:rPr>
          <w:rFonts w:asciiTheme="minorEastAsia" w:eastAsiaTheme="minorEastAsia" w:hAnsiTheme="minorEastAsia" w:hint="eastAsia"/>
          <w:szCs w:val="21"/>
          <w:highlight w:val="white"/>
          <w:lang w:eastAsia="zh-CN"/>
        </w:rPr>
        <w:t>元</w:t>
      </w:r>
      <w:r w:rsidRPr="00A936B7">
        <w:rPr>
          <w:rFonts w:asciiTheme="minorEastAsia" w:eastAsiaTheme="minorEastAsia" w:hAnsiTheme="minorEastAsia" w:hint="eastAsia"/>
          <w:szCs w:val="21"/>
          <w:highlight w:val="white"/>
          <w:lang w:eastAsia="zh-CN"/>
        </w:rPr>
        <w:t>，申购费率为</w:t>
      </w:r>
      <w:r w:rsidRPr="00A936B7">
        <w:rPr>
          <w:rFonts w:asciiTheme="minorEastAsia" w:eastAsiaTheme="minorEastAsia" w:hAnsiTheme="minorEastAsia"/>
          <w:szCs w:val="21"/>
          <w:highlight w:val="white"/>
          <w:lang w:eastAsia="zh-CN"/>
        </w:rPr>
        <w:t>0.30%</w:t>
      </w:r>
      <w:r w:rsidRPr="00A936B7">
        <w:rPr>
          <w:rFonts w:asciiTheme="minorEastAsia" w:eastAsiaTheme="minorEastAsia" w:hAnsiTheme="minorEastAsia" w:hint="eastAsia"/>
          <w:szCs w:val="21"/>
          <w:highlight w:val="white"/>
          <w:lang w:eastAsia="zh-CN"/>
        </w:rPr>
        <w:t>，假设申购当日</w:t>
      </w:r>
      <w:r w:rsidRPr="00A936B7">
        <w:rPr>
          <w:rFonts w:asciiTheme="minorEastAsia" w:eastAsiaTheme="minorEastAsia" w:hAnsiTheme="minorEastAsia"/>
          <w:szCs w:val="21"/>
          <w:highlight w:val="white"/>
          <w:lang w:eastAsia="zh-CN"/>
        </w:rPr>
        <w:t>A</w:t>
      </w:r>
      <w:r w:rsidRPr="00A936B7">
        <w:rPr>
          <w:rFonts w:asciiTheme="minorEastAsia" w:eastAsiaTheme="minorEastAsia" w:hAnsiTheme="minorEastAsia" w:hint="eastAsia"/>
          <w:szCs w:val="21"/>
          <w:highlight w:val="white"/>
          <w:lang w:eastAsia="zh-CN"/>
        </w:rPr>
        <w:t>类基金份额的基金份额净值为</w:t>
      </w:r>
      <w:r w:rsidRPr="00A936B7">
        <w:rPr>
          <w:rFonts w:asciiTheme="minorEastAsia" w:eastAsiaTheme="minorEastAsia" w:hAnsiTheme="minorEastAsia"/>
          <w:szCs w:val="21"/>
          <w:highlight w:val="white"/>
          <w:lang w:eastAsia="zh-CN"/>
        </w:rPr>
        <w:t>1.0400</w:t>
      </w:r>
      <w:r w:rsidRPr="00A936B7">
        <w:rPr>
          <w:rFonts w:asciiTheme="minorEastAsia" w:eastAsiaTheme="minorEastAsia" w:hAnsiTheme="minorEastAsia" w:hint="eastAsia"/>
          <w:szCs w:val="21"/>
          <w:highlight w:val="white"/>
          <w:lang w:eastAsia="zh-CN"/>
        </w:rPr>
        <w:t>元，则其可得到的申购份额为：</w:t>
      </w:r>
      <w:r w:rsidRPr="00A936B7">
        <w:rPr>
          <w:rFonts w:asciiTheme="minorEastAsia" w:eastAsiaTheme="minorEastAsia" w:hAnsiTheme="minorEastAsia"/>
          <w:szCs w:val="21"/>
          <w:highlight w:val="white"/>
          <w:lang w:eastAsia="zh-CN"/>
        </w:rPr>
        <w:t xml:space="preserve"> </w:t>
      </w:r>
    </w:p>
    <w:p w:rsidR="009F340D" w:rsidRPr="00A936B7" w14:paraId="1D57C1CF" w14:textId="77777777">
      <w:pPr>
        <w:spacing w:line="360" w:lineRule="auto"/>
        <w:ind w:firstLine="420" w:firstLineChars="20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 xml:space="preserve">净申购金额=100,000/（1+0.30%）=99,700.90元 </w:t>
      </w:r>
    </w:p>
    <w:p w:rsidR="009F340D" w:rsidRPr="00A936B7" w14:paraId="4AB2F119" w14:textId="77777777">
      <w:pPr>
        <w:spacing w:line="360" w:lineRule="auto"/>
        <w:ind w:firstLine="420" w:firstLineChars="20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 xml:space="preserve">申购费用=100,000-99,700.90=299.10元 </w:t>
      </w:r>
    </w:p>
    <w:p w:rsidR="009F340D" w:rsidRPr="00A936B7" w14:paraId="4DD83030"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申购份额=99,700.90/1.0400=95,866.25份</w:t>
      </w:r>
    </w:p>
    <w:p w:rsidR="009F340D" w:rsidRPr="00A936B7" w14:paraId="79BD6EAF"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（2）若投资人选择</w:t>
      </w:r>
      <w:r w:rsidRPr="00A936B7" w:rsidR="004C387D">
        <w:rPr>
          <w:rFonts w:asciiTheme="minorEastAsia" w:eastAsiaTheme="minorEastAsia" w:hAnsiTheme="minorEastAsia" w:hint="eastAsia"/>
          <w:szCs w:val="21"/>
          <w:highlight w:val="white"/>
          <w:lang w:eastAsia="zh-CN"/>
        </w:rPr>
        <w:t>申购</w:t>
      </w:r>
      <w:r w:rsidRPr="00A936B7">
        <w:rPr>
          <w:rFonts w:asciiTheme="minorEastAsia" w:eastAsiaTheme="minorEastAsia" w:hAnsiTheme="minorEastAsia" w:hint="eastAsia"/>
          <w:szCs w:val="21"/>
          <w:highlight w:val="white"/>
          <w:lang w:eastAsia="zh-CN"/>
        </w:rPr>
        <w:t>本基金</w:t>
      </w:r>
      <w:r w:rsidRPr="00A936B7">
        <w:rPr>
          <w:rFonts w:asciiTheme="minorEastAsia" w:eastAsiaTheme="minorEastAsia" w:hAnsiTheme="minorEastAsia"/>
          <w:szCs w:val="21"/>
          <w:highlight w:val="white"/>
          <w:lang w:eastAsia="zh-CN"/>
        </w:rPr>
        <w:t>C类基金份额，</w:t>
      </w:r>
      <w:r w:rsidRPr="00A936B7">
        <w:rPr>
          <w:rFonts w:asciiTheme="minorEastAsia" w:eastAsiaTheme="minorEastAsia" w:hAnsiTheme="minorEastAsia" w:cs="宋体"/>
          <w:szCs w:val="21"/>
          <w:highlight w:val="white"/>
          <w:lang w:eastAsia="zh-CN"/>
        </w:rPr>
        <w:t>或者通过</w:t>
      </w:r>
      <w:r w:rsidRPr="00A936B7">
        <w:rPr>
          <w:rFonts w:asciiTheme="minorEastAsia" w:eastAsiaTheme="minorEastAsia" w:hAnsiTheme="minorEastAsia" w:hint="eastAsia"/>
          <w:highlight w:val="white"/>
          <w:lang w:eastAsia="zh-CN"/>
        </w:rPr>
        <w:t>基金</w:t>
      </w:r>
      <w:r w:rsidRPr="00A936B7">
        <w:rPr>
          <w:rFonts w:asciiTheme="minorEastAsia" w:eastAsiaTheme="minorEastAsia" w:hAnsiTheme="minorEastAsia"/>
          <w:highlight w:val="white"/>
          <w:lang w:eastAsia="zh-CN"/>
        </w:rPr>
        <w:t>管理人</w:t>
      </w:r>
      <w:r w:rsidRPr="00A936B7">
        <w:rPr>
          <w:rFonts w:asciiTheme="minorEastAsia" w:eastAsiaTheme="minorEastAsia" w:hAnsiTheme="minorEastAsia" w:hint="eastAsia"/>
          <w:highlight w:val="white"/>
          <w:lang w:eastAsia="zh-CN"/>
        </w:rPr>
        <w:t>或其</w:t>
      </w:r>
      <w:r w:rsidRPr="00A936B7">
        <w:rPr>
          <w:rFonts w:asciiTheme="minorEastAsia" w:eastAsiaTheme="minorEastAsia" w:hAnsiTheme="minorEastAsia"/>
          <w:highlight w:val="white"/>
          <w:lang w:eastAsia="zh-CN"/>
        </w:rPr>
        <w:t>基金销售子公司申购本基金</w:t>
      </w:r>
      <w:r w:rsidRPr="00A936B7">
        <w:rPr>
          <w:rFonts w:asciiTheme="minorEastAsia" w:eastAsiaTheme="minorEastAsia" w:hAnsiTheme="minorEastAsia"/>
          <w:szCs w:val="21"/>
          <w:highlight w:val="white"/>
          <w:lang w:eastAsia="zh-CN"/>
        </w:rPr>
        <w:t>A</w:t>
      </w:r>
      <w:r w:rsidRPr="00A936B7">
        <w:rPr>
          <w:rFonts w:asciiTheme="minorEastAsia" w:eastAsiaTheme="minorEastAsia" w:hAnsiTheme="minorEastAsia" w:cs="宋体" w:hint="eastAsia"/>
          <w:szCs w:val="21"/>
          <w:highlight w:val="white"/>
          <w:lang w:eastAsia="zh-CN"/>
        </w:rPr>
        <w:t>类基金份额</w:t>
      </w:r>
      <w:r w:rsidRPr="00A936B7">
        <w:rPr>
          <w:rFonts w:asciiTheme="minorEastAsia" w:eastAsiaTheme="minorEastAsia" w:hAnsiTheme="minorEastAsia" w:cs="宋体"/>
          <w:szCs w:val="21"/>
          <w:highlight w:val="white"/>
          <w:lang w:eastAsia="zh-CN"/>
        </w:rPr>
        <w:t>，</w:t>
      </w:r>
      <w:r w:rsidRPr="00A936B7">
        <w:rPr>
          <w:rFonts w:asciiTheme="minorEastAsia" w:eastAsiaTheme="minorEastAsia" w:hAnsiTheme="minorEastAsia"/>
          <w:szCs w:val="21"/>
          <w:highlight w:val="white"/>
          <w:lang w:eastAsia="zh-CN"/>
        </w:rPr>
        <w:t>则申购份额的计算公式如下：</w:t>
      </w:r>
    </w:p>
    <w:p w:rsidR="009F340D" w:rsidRPr="00A936B7" w14:paraId="734C3A30"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申购份额=申购金额/ T日</w:t>
      </w:r>
      <w:r w:rsidRPr="00A936B7">
        <w:rPr>
          <w:rFonts w:asciiTheme="minorEastAsia" w:eastAsiaTheme="minorEastAsia" w:hAnsiTheme="minorEastAsia" w:hint="eastAsia"/>
          <w:szCs w:val="21"/>
          <w:highlight w:val="white"/>
          <w:lang w:eastAsia="zh-CN"/>
        </w:rPr>
        <w:t>该类份额的</w:t>
      </w:r>
      <w:r w:rsidRPr="00A936B7">
        <w:rPr>
          <w:rFonts w:asciiTheme="minorEastAsia" w:eastAsiaTheme="minorEastAsia" w:hAnsiTheme="minorEastAsia"/>
          <w:szCs w:val="21"/>
          <w:highlight w:val="white"/>
          <w:lang w:eastAsia="zh-CN"/>
        </w:rPr>
        <w:t xml:space="preserve">基金份额净值 </w:t>
      </w:r>
    </w:p>
    <w:p w:rsidR="009F340D" w:rsidRPr="00A936B7" w14:paraId="4E614523"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例</w:t>
      </w:r>
      <w:r w:rsidRPr="00A936B7">
        <w:rPr>
          <w:rFonts w:asciiTheme="minorEastAsia" w:eastAsiaTheme="minorEastAsia" w:hAnsiTheme="minorEastAsia" w:hint="eastAsia"/>
          <w:szCs w:val="21"/>
          <w:highlight w:val="white"/>
          <w:lang w:eastAsia="zh-CN"/>
        </w:rPr>
        <w:t>二</w:t>
      </w:r>
      <w:r w:rsidRPr="00A936B7">
        <w:rPr>
          <w:rFonts w:asciiTheme="minorEastAsia" w:eastAsiaTheme="minorEastAsia" w:hAnsiTheme="minorEastAsia"/>
          <w:szCs w:val="21"/>
          <w:highlight w:val="white"/>
          <w:lang w:eastAsia="zh-CN"/>
        </w:rPr>
        <w:t>：某投资人</w:t>
      </w:r>
      <w:r w:rsidRPr="00A936B7">
        <w:rPr>
          <w:rFonts w:asciiTheme="minorEastAsia" w:eastAsiaTheme="minorEastAsia" w:hAnsiTheme="minorEastAsia"/>
          <w:szCs w:val="21"/>
          <w:highlight w:val="white"/>
          <w:lang w:eastAsia="zh-CN"/>
        </w:rPr>
        <w:t>申购本基金C类基金份额</w:t>
      </w:r>
      <w:r w:rsidRPr="00A936B7" w:rsidR="00F8542C">
        <w:rPr>
          <w:rFonts w:asciiTheme="minorEastAsia" w:eastAsiaTheme="minorEastAsia" w:hAnsiTheme="minorEastAsia"/>
          <w:szCs w:val="21"/>
          <w:highlight w:val="white"/>
          <w:lang w:eastAsia="zh-CN"/>
        </w:rPr>
        <w:t>100,000元</w:t>
      </w:r>
      <w:r w:rsidRPr="00A936B7">
        <w:rPr>
          <w:rFonts w:asciiTheme="minorEastAsia" w:eastAsiaTheme="minorEastAsia" w:hAnsiTheme="minorEastAsia"/>
          <w:szCs w:val="21"/>
          <w:highlight w:val="white"/>
          <w:lang w:eastAsia="zh-CN"/>
        </w:rPr>
        <w:t>，假设申购当日C类基金份额</w:t>
      </w:r>
      <w:r w:rsidRPr="00A936B7">
        <w:rPr>
          <w:rFonts w:asciiTheme="minorEastAsia" w:eastAsiaTheme="minorEastAsia" w:hAnsiTheme="minorEastAsia" w:hint="eastAsia"/>
          <w:szCs w:val="21"/>
          <w:highlight w:val="white"/>
          <w:lang w:eastAsia="zh-CN"/>
        </w:rPr>
        <w:t>的基金</w:t>
      </w:r>
      <w:r w:rsidRPr="00A936B7">
        <w:rPr>
          <w:rFonts w:asciiTheme="minorEastAsia" w:eastAsiaTheme="minorEastAsia" w:hAnsiTheme="minorEastAsia"/>
          <w:szCs w:val="21"/>
          <w:highlight w:val="white"/>
          <w:lang w:eastAsia="zh-CN"/>
        </w:rPr>
        <w:t xml:space="preserve">份额净值为1.0400元，则其可得到的申购份额为： </w:t>
      </w:r>
    </w:p>
    <w:p w:rsidR="009F340D" w:rsidRPr="00A936B7" w14:paraId="04A639BE"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申购份额=100,000/1.0400=96,153.85份</w:t>
      </w:r>
    </w:p>
    <w:p w:rsidR="009F340D" w:rsidRPr="00A936B7" w14:paraId="7801E252"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 xml:space="preserve">3、赎回金额的计算 </w:t>
      </w:r>
    </w:p>
    <w:p w:rsidR="009F340D" w:rsidRPr="00A936B7" w14:paraId="7B545BBF"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 xml:space="preserve">赎回金额的计算方法如下： </w:t>
      </w:r>
    </w:p>
    <w:p w:rsidR="009F340D" w:rsidRPr="00A936B7" w14:paraId="6E50A73E"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赎回费用=赎回份额×T日</w:t>
      </w:r>
      <w:r w:rsidRPr="00A936B7">
        <w:rPr>
          <w:rFonts w:asciiTheme="minorEastAsia" w:eastAsiaTheme="minorEastAsia" w:hAnsiTheme="minorEastAsia" w:hint="eastAsia"/>
          <w:szCs w:val="21"/>
          <w:highlight w:val="white"/>
          <w:lang w:eastAsia="zh-CN"/>
        </w:rPr>
        <w:t>该类份额的</w:t>
      </w:r>
      <w:r w:rsidRPr="00A936B7">
        <w:rPr>
          <w:rFonts w:asciiTheme="minorEastAsia" w:eastAsiaTheme="minorEastAsia" w:hAnsiTheme="minorEastAsia"/>
          <w:szCs w:val="21"/>
          <w:highlight w:val="white"/>
          <w:lang w:eastAsia="zh-CN"/>
        </w:rPr>
        <w:t>基金份额净值×</w:t>
      </w:r>
      <w:r w:rsidRPr="00A936B7">
        <w:rPr>
          <w:rFonts w:asciiTheme="minorEastAsia" w:eastAsiaTheme="minorEastAsia" w:hAnsiTheme="minorEastAsia" w:hint="eastAsia"/>
          <w:szCs w:val="21"/>
          <w:highlight w:val="white"/>
          <w:lang w:eastAsia="zh-CN"/>
        </w:rPr>
        <w:t>该类份额对应该类投资者的</w:t>
      </w:r>
      <w:r w:rsidRPr="00A936B7">
        <w:rPr>
          <w:rFonts w:asciiTheme="minorEastAsia" w:eastAsiaTheme="minorEastAsia" w:hAnsiTheme="minorEastAsia"/>
          <w:szCs w:val="21"/>
          <w:highlight w:val="white"/>
          <w:lang w:eastAsia="zh-CN"/>
        </w:rPr>
        <w:t xml:space="preserve">赎回费率 </w:t>
      </w:r>
    </w:p>
    <w:p w:rsidR="009F340D" w:rsidRPr="00A936B7" w14:paraId="272CF547" w14:textId="77777777">
      <w:pPr>
        <w:spacing w:line="360" w:lineRule="auto"/>
        <w:ind w:firstLine="420"/>
        <w:rPr>
          <w:rFonts w:asciiTheme="minorEastAsia" w:eastAsiaTheme="minorEastAsia" w:hAnsiTheme="minorEastAsia" w:cs="宋体" w:hint="eastAsia"/>
          <w:color w:val="000000"/>
          <w:lang w:eastAsia="zh-CN"/>
        </w:rPr>
      </w:pPr>
      <w:r w:rsidRPr="00A936B7">
        <w:rPr>
          <w:rFonts w:asciiTheme="minorEastAsia" w:eastAsiaTheme="minorEastAsia" w:hAnsiTheme="minorEastAsia"/>
          <w:szCs w:val="21"/>
          <w:highlight w:val="white"/>
          <w:lang w:eastAsia="zh-CN"/>
        </w:rPr>
        <w:t>赎回金额=赎回份额×T日</w:t>
      </w:r>
      <w:r w:rsidRPr="00A936B7">
        <w:rPr>
          <w:rFonts w:asciiTheme="minorEastAsia" w:eastAsiaTheme="minorEastAsia" w:hAnsiTheme="minorEastAsia" w:hint="eastAsia"/>
          <w:szCs w:val="21"/>
          <w:highlight w:val="white"/>
          <w:lang w:eastAsia="zh-CN"/>
        </w:rPr>
        <w:t>该类份额的</w:t>
      </w:r>
      <w:r w:rsidRPr="00A936B7">
        <w:rPr>
          <w:rFonts w:asciiTheme="minorEastAsia" w:eastAsiaTheme="minorEastAsia" w:hAnsiTheme="minorEastAsia"/>
          <w:szCs w:val="21"/>
          <w:highlight w:val="white"/>
          <w:lang w:eastAsia="zh-CN"/>
        </w:rPr>
        <w:t>基金份额净值-赎回费用</w:t>
      </w:r>
      <w:r w:rsidRPr="00A936B7">
        <w:rPr>
          <w:rFonts w:asciiTheme="minorEastAsia" w:eastAsiaTheme="minorEastAsia" w:hAnsiTheme="minorEastAsia" w:cs="宋体" w:hint="eastAsia"/>
          <w:color w:val="000000"/>
          <w:highlight w:val="white"/>
          <w:lang w:eastAsia="zh-CN"/>
        </w:rPr>
        <w:t>+返还投资者的销售服务费（如有）</w:t>
      </w:r>
    </w:p>
    <w:p w:rsidR="009F340D" w:rsidRPr="00A936B7" w14:paraId="02CA7319"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cs="宋体"/>
          <w:color w:val="000000"/>
          <w:highlight w:val="white"/>
          <w:lang w:eastAsia="zh-CN"/>
        </w:rPr>
        <w:t>该笔赎回是否涉及</w:t>
      </w:r>
      <w:r w:rsidRPr="00A936B7">
        <w:rPr>
          <w:rFonts w:asciiTheme="minorEastAsia" w:eastAsiaTheme="minorEastAsia" w:hAnsiTheme="minorEastAsia" w:cs="宋体" w:hint="eastAsia"/>
          <w:color w:val="000000"/>
          <w:highlight w:val="white"/>
          <w:lang w:eastAsia="zh-CN"/>
        </w:rPr>
        <w:t>返还销售服务费</w:t>
      </w:r>
      <w:r w:rsidRPr="00A936B7">
        <w:rPr>
          <w:rFonts w:asciiTheme="minorEastAsia" w:eastAsiaTheme="minorEastAsia" w:hAnsiTheme="minorEastAsia" w:cs="宋体"/>
          <w:color w:val="000000"/>
          <w:highlight w:val="white"/>
          <w:lang w:eastAsia="zh-CN"/>
        </w:rPr>
        <w:t>的具体条件等具体安排详见本招募说明书“基金的费用与税收”部分。</w:t>
      </w:r>
      <w:r w:rsidRPr="00A936B7">
        <w:rPr>
          <w:rFonts w:asciiTheme="minorEastAsia" w:eastAsiaTheme="minorEastAsia" w:hAnsiTheme="minorEastAsia"/>
          <w:szCs w:val="21"/>
          <w:highlight w:val="white"/>
          <w:lang w:eastAsia="zh-CN"/>
        </w:rPr>
        <w:t xml:space="preserve"> </w:t>
      </w:r>
    </w:p>
    <w:p w:rsidR="009F340D" w:rsidRPr="00A936B7" w14:paraId="2BAE3271"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例</w:t>
      </w:r>
      <w:r w:rsidRPr="00A936B7">
        <w:rPr>
          <w:rFonts w:asciiTheme="minorEastAsia" w:eastAsiaTheme="minorEastAsia" w:hAnsiTheme="minorEastAsia" w:hint="eastAsia"/>
          <w:szCs w:val="21"/>
          <w:highlight w:val="white"/>
          <w:lang w:eastAsia="zh-CN"/>
        </w:rPr>
        <w:t>三</w:t>
      </w:r>
      <w:r w:rsidRPr="00A936B7">
        <w:rPr>
          <w:rFonts w:asciiTheme="minorEastAsia" w:eastAsiaTheme="minorEastAsia" w:hAnsiTheme="minorEastAsia"/>
          <w:szCs w:val="21"/>
          <w:highlight w:val="white"/>
          <w:lang w:eastAsia="zh-CN"/>
        </w:rPr>
        <w:t>：某</w:t>
      </w:r>
      <w:r w:rsidRPr="00A936B7">
        <w:rPr>
          <w:rFonts w:asciiTheme="minorEastAsia" w:eastAsiaTheme="minorEastAsia" w:hAnsiTheme="minorEastAsia" w:hint="eastAsia"/>
          <w:szCs w:val="21"/>
          <w:highlight w:val="white"/>
          <w:lang w:eastAsia="zh-CN"/>
        </w:rPr>
        <w:t>个人</w:t>
      </w:r>
      <w:r w:rsidRPr="00A936B7">
        <w:rPr>
          <w:rFonts w:asciiTheme="minorEastAsia" w:eastAsiaTheme="minorEastAsia" w:hAnsiTheme="minorEastAsia"/>
          <w:szCs w:val="21"/>
          <w:highlight w:val="white"/>
          <w:lang w:eastAsia="zh-CN"/>
        </w:rPr>
        <w:t>投资人赎回</w:t>
      </w:r>
      <w:r w:rsidRPr="00A936B7">
        <w:rPr>
          <w:rFonts w:asciiTheme="minorEastAsia" w:eastAsiaTheme="minorEastAsia" w:hAnsiTheme="minorEastAsia" w:cs="宋体" w:hint="eastAsia"/>
          <w:szCs w:val="21"/>
          <w:highlight w:val="white"/>
          <w:lang w:eastAsia="zh-CN"/>
        </w:rPr>
        <w:t>通过除</w:t>
      </w:r>
      <w:r w:rsidRPr="00A936B7">
        <w:rPr>
          <w:rFonts w:asciiTheme="minorEastAsia" w:eastAsiaTheme="minorEastAsia" w:hAnsiTheme="minorEastAsia" w:hint="eastAsia"/>
          <w:highlight w:val="white"/>
          <w:lang w:eastAsia="zh-CN"/>
        </w:rPr>
        <w:t>基金</w:t>
      </w:r>
      <w:r w:rsidRPr="00A936B7">
        <w:rPr>
          <w:rFonts w:asciiTheme="minorEastAsia" w:eastAsiaTheme="minorEastAsia" w:hAnsiTheme="minorEastAsia"/>
          <w:highlight w:val="white"/>
          <w:lang w:eastAsia="zh-CN"/>
        </w:rPr>
        <w:t>管理人及其基金销售子公司以外的销售机构</w:t>
      </w:r>
      <w:r w:rsidRPr="00A936B7">
        <w:rPr>
          <w:rFonts w:asciiTheme="minorEastAsia" w:eastAsiaTheme="minorEastAsia" w:hAnsiTheme="minorEastAsia" w:hint="eastAsia"/>
          <w:highlight w:val="white"/>
          <w:lang w:eastAsia="zh-CN"/>
        </w:rPr>
        <w:t>投资的</w:t>
      </w:r>
      <w:r w:rsidRPr="00A936B7">
        <w:rPr>
          <w:rFonts w:asciiTheme="minorEastAsia" w:eastAsiaTheme="minorEastAsia" w:hAnsiTheme="minorEastAsia"/>
          <w:szCs w:val="21"/>
          <w:highlight w:val="white"/>
          <w:lang w:eastAsia="zh-CN"/>
        </w:rPr>
        <w:t>10,000份C类基金份额，假设该笔份额持有期限为5天，则对应的</w:t>
      </w:r>
      <w:r w:rsidRPr="00A936B7">
        <w:rPr>
          <w:rFonts w:asciiTheme="minorEastAsia" w:eastAsiaTheme="minorEastAsia" w:hAnsiTheme="minorEastAsia" w:hint="eastAsia"/>
          <w:szCs w:val="21"/>
          <w:highlight w:val="white"/>
          <w:lang w:eastAsia="zh-CN"/>
        </w:rPr>
        <w:t>该类投资者的</w:t>
      </w:r>
      <w:r w:rsidRPr="00A936B7">
        <w:rPr>
          <w:rFonts w:asciiTheme="minorEastAsia" w:eastAsiaTheme="minorEastAsia" w:hAnsiTheme="minorEastAsia"/>
          <w:szCs w:val="21"/>
          <w:highlight w:val="white"/>
          <w:lang w:eastAsia="zh-CN"/>
        </w:rPr>
        <w:t>赎回费率为1.50%，假设赎回当日</w:t>
      </w:r>
      <w:r w:rsidRPr="00A936B7">
        <w:rPr>
          <w:rFonts w:asciiTheme="minorEastAsia" w:eastAsiaTheme="minorEastAsia" w:hAnsiTheme="minorEastAsia" w:hint="eastAsia"/>
          <w:szCs w:val="21"/>
          <w:highlight w:val="white"/>
          <w:lang w:eastAsia="zh-CN"/>
        </w:rPr>
        <w:t>对应份额类别的</w:t>
      </w:r>
      <w:r w:rsidRPr="00A936B7">
        <w:rPr>
          <w:rFonts w:asciiTheme="minorEastAsia" w:eastAsiaTheme="minorEastAsia" w:hAnsiTheme="minorEastAsia"/>
          <w:szCs w:val="21"/>
          <w:highlight w:val="white"/>
          <w:lang w:eastAsia="zh-CN"/>
        </w:rPr>
        <w:t>基金份额净值是1.0160元，</w:t>
      </w:r>
      <w:r w:rsidRPr="00A936B7">
        <w:rPr>
          <w:rFonts w:asciiTheme="minorEastAsia" w:eastAsiaTheme="minorEastAsia" w:hAnsiTheme="minorEastAsia" w:cs="宋体"/>
          <w:color w:val="000000"/>
          <w:highlight w:val="white"/>
          <w:lang w:eastAsia="zh-CN"/>
        </w:rPr>
        <w:t>该笔赎回</w:t>
      </w:r>
      <w:r w:rsidRPr="00A936B7">
        <w:rPr>
          <w:rFonts w:asciiTheme="minorEastAsia" w:eastAsiaTheme="minorEastAsia" w:hAnsiTheme="minorEastAsia" w:cs="宋体" w:hint="eastAsia"/>
          <w:color w:val="000000"/>
          <w:highlight w:val="white"/>
          <w:lang w:eastAsia="zh-CN"/>
        </w:rPr>
        <w:t>不</w:t>
      </w:r>
      <w:r w:rsidRPr="00A936B7">
        <w:rPr>
          <w:rFonts w:asciiTheme="minorEastAsia" w:eastAsiaTheme="minorEastAsia" w:hAnsiTheme="minorEastAsia" w:cs="宋体"/>
          <w:color w:val="000000"/>
          <w:highlight w:val="white"/>
          <w:lang w:eastAsia="zh-CN"/>
        </w:rPr>
        <w:t>涉及</w:t>
      </w:r>
      <w:r w:rsidRPr="00A936B7">
        <w:rPr>
          <w:rFonts w:asciiTheme="minorEastAsia" w:eastAsiaTheme="minorEastAsia" w:hAnsiTheme="minorEastAsia" w:cs="宋体" w:hint="eastAsia"/>
          <w:color w:val="000000"/>
          <w:highlight w:val="white"/>
          <w:lang w:eastAsia="zh-CN"/>
        </w:rPr>
        <w:t>返还销售服务费，</w:t>
      </w:r>
      <w:r w:rsidRPr="00A936B7">
        <w:rPr>
          <w:rFonts w:asciiTheme="minorEastAsia" w:eastAsiaTheme="minorEastAsia" w:hAnsiTheme="minorEastAsia"/>
          <w:szCs w:val="21"/>
          <w:highlight w:val="white"/>
          <w:lang w:eastAsia="zh-CN"/>
        </w:rPr>
        <w:t xml:space="preserve">则其可得到的赎回金额为： </w:t>
      </w:r>
    </w:p>
    <w:p w:rsidR="009F340D" w:rsidRPr="00A936B7" w14:paraId="54D1E0E9" w14:textId="77777777">
      <w:pPr>
        <w:spacing w:line="360" w:lineRule="auto"/>
        <w:ind w:firstLine="420"/>
        <w:rPr>
          <w:rFonts w:asciiTheme="minorEastAsia" w:eastAsiaTheme="minorEastAsia" w:hAnsiTheme="minorEastAsia" w:hint="eastAsia"/>
          <w:szCs w:val="21"/>
          <w:lang w:eastAsia="zh-CN"/>
        </w:rPr>
      </w:pPr>
      <w:r w:rsidRPr="00A936B7">
        <w:rPr>
          <w:rFonts w:asciiTheme="minorEastAsia" w:eastAsiaTheme="minorEastAsia" w:hAnsiTheme="minorEastAsia"/>
          <w:szCs w:val="21"/>
          <w:highlight w:val="white"/>
          <w:lang w:eastAsia="zh-CN"/>
        </w:rPr>
        <w:t>赎回费用 = 10,000×1.0160×1.50% ＝152.40元</w:t>
      </w:r>
    </w:p>
    <w:p w:rsidR="009F340D" w:rsidRPr="00A936B7" w14:paraId="12AE1C8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szCs w:val="21"/>
          <w:highlight w:val="white"/>
          <w:lang w:eastAsia="zh-CN"/>
        </w:rPr>
        <w:t>赎回金额 = 10,000×1.0160-152.40+0＝10,007.60元</w:t>
      </w:r>
      <w:bookmarkStart w:id="1806" w:name="_Toc332373509"/>
    </w:p>
    <w:p w:rsidR="009F340D" w:rsidRPr="00A936B7" w14:paraId="3C89C86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4、基金份额净值的计算公式</w:t>
      </w:r>
      <w:bookmarkEnd w:id="1806"/>
      <w:r w:rsidRPr="00A936B7">
        <w:rPr>
          <w:rFonts w:asciiTheme="minorEastAsia" w:eastAsiaTheme="minorEastAsia" w:hAnsiTheme="minorEastAsia" w:cs="宋体"/>
          <w:szCs w:val="21"/>
          <w:highlight w:val="white"/>
          <w:lang w:eastAsia="zh-CN"/>
        </w:rPr>
        <w:t xml:space="preserve"> </w:t>
      </w:r>
    </w:p>
    <w:p w:rsidR="009F340D" w:rsidRPr="00A936B7" w14:paraId="0CDAE5D4" w14:textId="77777777">
      <w:pPr>
        <w:spacing w:line="360" w:lineRule="auto"/>
        <w:ind w:firstLine="422"/>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计算日</w:t>
      </w:r>
      <w:r w:rsidRPr="00A936B7">
        <w:rPr>
          <w:rFonts w:asciiTheme="minorEastAsia" w:eastAsiaTheme="minorEastAsia" w:hAnsiTheme="minorEastAsia" w:cs="宋体" w:hint="eastAsia"/>
          <w:szCs w:val="21"/>
          <w:highlight w:val="white"/>
          <w:lang w:eastAsia="zh-CN"/>
        </w:rPr>
        <w:t>该类基金份额的</w:t>
      </w:r>
      <w:r w:rsidRPr="00A936B7">
        <w:rPr>
          <w:rFonts w:asciiTheme="minorEastAsia" w:eastAsiaTheme="minorEastAsia" w:hAnsiTheme="minorEastAsia" w:cs="宋体"/>
          <w:szCs w:val="21"/>
          <w:highlight w:val="white"/>
          <w:lang w:eastAsia="zh-CN"/>
        </w:rPr>
        <w:t>基金份额净值=计算日</w:t>
      </w:r>
      <w:r w:rsidRPr="00A936B7">
        <w:rPr>
          <w:rFonts w:asciiTheme="minorEastAsia" w:eastAsiaTheme="minorEastAsia" w:hAnsiTheme="minorEastAsia" w:cs="宋体" w:hint="eastAsia"/>
          <w:szCs w:val="21"/>
          <w:highlight w:val="white"/>
          <w:lang w:eastAsia="zh-CN"/>
        </w:rPr>
        <w:t>该类基金份额的</w:t>
      </w:r>
      <w:r w:rsidRPr="00A936B7">
        <w:rPr>
          <w:rFonts w:asciiTheme="minorEastAsia" w:eastAsiaTheme="minorEastAsia" w:hAnsiTheme="minorEastAsia" w:cs="宋体"/>
          <w:szCs w:val="21"/>
          <w:highlight w:val="white"/>
          <w:lang w:eastAsia="zh-CN"/>
        </w:rPr>
        <w:t>基金资产净值/计算日</w:t>
      </w:r>
      <w:r w:rsidRPr="00A936B7">
        <w:rPr>
          <w:rFonts w:asciiTheme="minorEastAsia" w:eastAsiaTheme="minorEastAsia" w:hAnsiTheme="minorEastAsia" w:cs="宋体" w:hint="eastAsia"/>
          <w:szCs w:val="21"/>
          <w:highlight w:val="white"/>
          <w:lang w:eastAsia="zh-CN"/>
        </w:rPr>
        <w:t>该类</w:t>
      </w:r>
      <w:r w:rsidRPr="00A936B7">
        <w:rPr>
          <w:rFonts w:asciiTheme="minorEastAsia" w:eastAsiaTheme="minorEastAsia" w:hAnsiTheme="minorEastAsia" w:cs="宋体"/>
          <w:szCs w:val="21"/>
          <w:highlight w:val="white"/>
          <w:lang w:eastAsia="zh-CN"/>
        </w:rPr>
        <w:t>基金</w:t>
      </w:r>
      <w:r w:rsidRPr="00A936B7">
        <w:rPr>
          <w:rFonts w:asciiTheme="minorEastAsia" w:eastAsiaTheme="minorEastAsia" w:hAnsiTheme="minorEastAsia" w:cs="宋体" w:hint="eastAsia"/>
          <w:szCs w:val="21"/>
          <w:highlight w:val="white"/>
          <w:lang w:eastAsia="zh-CN"/>
        </w:rPr>
        <w:t>份额</w:t>
      </w:r>
      <w:r w:rsidRPr="00A936B7">
        <w:rPr>
          <w:rFonts w:asciiTheme="minorEastAsia" w:eastAsiaTheme="minorEastAsia" w:hAnsiTheme="minorEastAsia" w:cs="宋体"/>
          <w:szCs w:val="21"/>
          <w:highlight w:val="white"/>
          <w:lang w:eastAsia="zh-CN"/>
        </w:rPr>
        <w:t>总份额</w:t>
      </w:r>
    </w:p>
    <w:p w:rsidR="009F340D" w:rsidRPr="00A936B7" w14:paraId="44AF9C8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本基金各类基金份额净值的计算，保留到小数点后4位，小数点后第5位四舍五入，由此产生的收益或损失由基金财产承担。遇特殊情况，经履行适当程序，可以适当延迟计算或公告。</w:t>
      </w:r>
    </w:p>
    <w:p w:rsidR="009F340D" w:rsidRPr="00A936B7" w14:paraId="2014CED2" w14:textId="77777777">
      <w:pPr>
        <w:spacing w:line="360" w:lineRule="auto"/>
        <w:ind w:firstLine="420"/>
        <w:rPr>
          <w:rStyle w:val="da"/>
          <w:rFonts w:asciiTheme="minorEastAsia" w:eastAsiaTheme="minorEastAsia" w:hAnsiTheme="minorEastAsia" w:cs="宋体" w:hint="eastAsia"/>
          <w:szCs w:val="21"/>
          <w:lang w:eastAsia="zh-CN"/>
        </w:rPr>
      </w:pPr>
      <w:bookmarkStart w:id="1807" w:name="_Toc332373510"/>
      <w:r w:rsidRPr="00A936B7">
        <w:rPr>
          <w:rStyle w:val="da"/>
          <w:rFonts w:asciiTheme="minorEastAsia" w:eastAsiaTheme="minorEastAsia" w:hAnsiTheme="minorEastAsia" w:cs="宋体" w:hint="eastAsia"/>
          <w:szCs w:val="21"/>
          <w:highlight w:val="white"/>
          <w:lang w:eastAsia="zh-CN"/>
        </w:rPr>
        <w:t>九、申购和赎回的登记</w:t>
      </w:r>
    </w:p>
    <w:p w:rsidR="009F340D" w:rsidRPr="00A936B7" w14:paraId="594F17B8" w14:textId="77777777">
      <w:pPr>
        <w:spacing w:line="360" w:lineRule="auto"/>
        <w:ind w:firstLine="422"/>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正常情况下，投资者</w:t>
      </w:r>
      <w:r w:rsidRPr="00A936B7">
        <w:rPr>
          <w:rStyle w:val="da"/>
          <w:rFonts w:asciiTheme="minorEastAsia" w:eastAsiaTheme="minorEastAsia" w:hAnsiTheme="minorEastAsia" w:cs="宋体"/>
          <w:szCs w:val="21"/>
          <w:highlight w:val="white"/>
          <w:lang w:eastAsia="zh-CN"/>
        </w:rPr>
        <w:t>T</w:t>
      </w:r>
      <w:r w:rsidRPr="00A936B7">
        <w:rPr>
          <w:rStyle w:val="da"/>
          <w:rFonts w:asciiTheme="minorEastAsia" w:eastAsiaTheme="minorEastAsia" w:hAnsiTheme="minorEastAsia" w:cs="宋体" w:hint="eastAsia"/>
          <w:szCs w:val="21"/>
          <w:highlight w:val="white"/>
          <w:lang w:eastAsia="zh-CN"/>
        </w:rPr>
        <w:t>日申购基金成功后，登记机构在</w:t>
      </w:r>
      <w:r w:rsidRPr="00A936B7">
        <w:rPr>
          <w:rStyle w:val="da"/>
          <w:rFonts w:asciiTheme="minorEastAsia" w:eastAsiaTheme="minorEastAsia" w:hAnsiTheme="minorEastAsia" w:cs="宋体"/>
          <w:szCs w:val="21"/>
          <w:highlight w:val="white"/>
          <w:lang w:eastAsia="zh-CN"/>
        </w:rPr>
        <w:t>T+1</w:t>
      </w:r>
      <w:r w:rsidRPr="00A936B7">
        <w:rPr>
          <w:rStyle w:val="da"/>
          <w:rFonts w:asciiTheme="minorEastAsia" w:eastAsiaTheme="minorEastAsia" w:hAnsiTheme="minorEastAsia" w:cs="宋体" w:hint="eastAsia"/>
          <w:szCs w:val="21"/>
          <w:highlight w:val="white"/>
          <w:lang w:eastAsia="zh-CN"/>
        </w:rPr>
        <w:t>日为投资者增加权益并办理登记手续</w:t>
      </w:r>
      <w:r w:rsidRPr="00A936B7">
        <w:rPr>
          <w:rStyle w:val="da"/>
          <w:rFonts w:asciiTheme="minorEastAsia" w:eastAsiaTheme="minorEastAsia" w:hAnsiTheme="minorEastAsia" w:cs="宋体" w:hint="eastAsia"/>
          <w:szCs w:val="21"/>
          <w:highlight w:val="white"/>
          <w:lang w:eastAsia="zh-CN"/>
        </w:rPr>
        <w:t>。</w:t>
      </w:r>
    </w:p>
    <w:p w:rsidR="009F340D" w:rsidRPr="00A936B7" w14:paraId="4A4DC7FB" w14:textId="77777777">
      <w:pPr>
        <w:spacing w:line="360" w:lineRule="auto"/>
        <w:ind w:firstLine="422"/>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基金份额持有人</w:t>
      </w:r>
      <w:r w:rsidRPr="00A936B7">
        <w:rPr>
          <w:rStyle w:val="da"/>
          <w:rFonts w:asciiTheme="minorEastAsia" w:eastAsiaTheme="minorEastAsia" w:hAnsiTheme="minorEastAsia" w:cs="宋体"/>
          <w:szCs w:val="21"/>
          <w:highlight w:val="white"/>
          <w:lang w:eastAsia="zh-CN"/>
        </w:rPr>
        <w:t>T</w:t>
      </w:r>
      <w:r w:rsidRPr="00A936B7">
        <w:rPr>
          <w:rStyle w:val="da"/>
          <w:rFonts w:asciiTheme="minorEastAsia" w:eastAsiaTheme="minorEastAsia" w:hAnsiTheme="minorEastAsia" w:cs="宋体" w:hint="eastAsia"/>
          <w:szCs w:val="21"/>
          <w:highlight w:val="white"/>
          <w:lang w:eastAsia="zh-CN"/>
        </w:rPr>
        <w:t>日赎回基金成功后，正常情况下，登记机构在</w:t>
      </w:r>
      <w:r w:rsidRPr="00A936B7">
        <w:rPr>
          <w:rStyle w:val="da"/>
          <w:rFonts w:asciiTheme="minorEastAsia" w:eastAsiaTheme="minorEastAsia" w:hAnsiTheme="minorEastAsia" w:cs="宋体"/>
          <w:szCs w:val="21"/>
          <w:highlight w:val="white"/>
          <w:lang w:eastAsia="zh-CN"/>
        </w:rPr>
        <w:t>T+1</w:t>
      </w:r>
      <w:r w:rsidRPr="00A936B7">
        <w:rPr>
          <w:rStyle w:val="da"/>
          <w:rFonts w:asciiTheme="minorEastAsia" w:eastAsiaTheme="minorEastAsia" w:hAnsiTheme="minorEastAsia" w:cs="宋体" w:hint="eastAsia"/>
          <w:szCs w:val="21"/>
          <w:highlight w:val="white"/>
          <w:lang w:eastAsia="zh-CN"/>
        </w:rPr>
        <w:t>日为其办理扣除权益的登记手续。</w:t>
      </w:r>
    </w:p>
    <w:p w:rsidR="009F340D" w:rsidRPr="00A936B7" w14:paraId="24FDD5BB" w14:textId="77777777">
      <w:pPr>
        <w:spacing w:line="360" w:lineRule="auto"/>
        <w:ind w:firstLine="422"/>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在不违反法律法规的前提下，登记机构可以对上述登记办理时间进行调整，基金管理人应于开始实施前依照《信息披露办法》的有关规定在规定媒介上公告。</w:t>
      </w:r>
      <w:bookmarkEnd w:id="1807"/>
    </w:p>
    <w:p w:rsidR="009F340D" w:rsidRPr="00A936B7" w14:paraId="38FD2FD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十、拒绝或暂停申购的情形</w:t>
      </w:r>
    </w:p>
    <w:p w:rsidR="009F340D" w:rsidRPr="00A936B7" w14:paraId="64211AD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发生下列情况时，基金管理人可拒绝或暂停接受投资人的某一类或多类份额申购申请：</w:t>
      </w:r>
    </w:p>
    <w:p w:rsidR="009F340D" w:rsidRPr="00A936B7" w14:paraId="650F1B0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1、因不可抗力导致基金无法正常运作。</w:t>
      </w:r>
    </w:p>
    <w:p w:rsidR="009F340D" w:rsidRPr="00A936B7" w14:paraId="0F8D61A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2、发生基金合同规定的暂停基金资产估值情况时。</w:t>
      </w:r>
    </w:p>
    <w:p w:rsidR="009F340D" w:rsidRPr="00A936B7" w14:paraId="3DE7B8F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3、基金进行交易的主要证券/期货交易市场交易时间非正常停市。</w:t>
      </w:r>
    </w:p>
    <w:p w:rsidR="009F340D" w:rsidRPr="00A936B7" w14:paraId="7DAF437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4、基金管理人认为接受某笔或某些申购申请可能会影响或损害现有基金份额持有人利益时。</w:t>
      </w:r>
    </w:p>
    <w:p w:rsidR="009F340D" w:rsidRPr="00A936B7" w14:paraId="47BB98A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5、基金资产规模过大，使基金管理人无法找到合适的投资品种，或其他可能对基金业绩产生负面影响，或基金管理人认定的其他损害现有基金份额持有人利益的情形。</w:t>
      </w:r>
    </w:p>
    <w:p w:rsidR="009F340D" w:rsidRPr="00A936B7" w14:paraId="02DCEF1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6、基金管理人、基金托管人、登记机构、销售机构、支付结算机构等因异常情况导致基金销售系统、基金销售支付结算系统、基金登记系统、基金会计系统等无法正常运行。</w:t>
      </w:r>
    </w:p>
    <w:p w:rsidR="009F340D" w:rsidRPr="00A936B7" w14:paraId="70CD928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7、当一笔新的申购申请被确认成功，使本基金总规模超过基金管理人规定的本基金总规模上限时；或使本基金单日申购金额或净申购比例超过基金管理人规定的当日申购金额或净申购比例上限时；或该投资人累计持有的份额超过单个投资人累计持有的份额上限时；或该投资人当日申购金额超过单个投资人单日或单笔申购金额上限时。</w:t>
      </w:r>
    </w:p>
    <w:p w:rsidR="009F340D" w:rsidRPr="00A936B7" w14:paraId="197A6BC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8、当前一估值日基金资产净值50%以上的资产出现无可参考的活跃市场价格且采用估值技术仍导致公允价值存在重大不确定性时，经与基金托管人协商确认后，基金管理人应当暂停接受基金申购申请。</w:t>
      </w:r>
    </w:p>
    <w:p w:rsidR="009F340D" w:rsidRPr="00A936B7" w14:paraId="0886A1D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9、目标ETF暂停估值，导致基金管理人无法计算当日基金资产净值。</w:t>
      </w:r>
    </w:p>
    <w:p w:rsidR="009F340D" w:rsidRPr="00A936B7" w14:paraId="2FFC87E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10、目标ETF暂停申购、暂停上市或目标ETF停牌，基金管理人认为有必要暂停本基金申购的。</w:t>
      </w:r>
    </w:p>
    <w:p w:rsidR="009F340D" w:rsidRPr="00A936B7" w14:paraId="05F79DD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11、法律法规规定或中国证监会认定的其他情形。</w:t>
      </w:r>
    </w:p>
    <w:p w:rsidR="009F340D" w:rsidRPr="00A936B7" w14:paraId="076EF58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发生上述第1、2、3、5、6、7、8、9、10、11项情形且基金管理人决定暂停接受投资人申购申请时，基金管理人应当根据有关规定在规定媒介上刊登暂停申购公告。如果投资人的申购申请被拒绝，被拒绝的申购款项本金将退还给投资人。在暂停申购的情况消除时，基金管理人应及时恢复申购业务的办理。</w:t>
      </w:r>
    </w:p>
    <w:p w:rsidR="009F340D" w:rsidRPr="00A936B7" w14:paraId="46CF281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十一、暂停赎回或延缓支付赎回款项的情形</w:t>
      </w:r>
    </w:p>
    <w:p w:rsidR="009F340D" w:rsidRPr="00A936B7" w14:paraId="1442F77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发生下列情形时，基金管理人可暂停接受投资人的某一类或多类份额赎回申请或延缓支付赎回款项：</w:t>
      </w:r>
    </w:p>
    <w:p w:rsidR="009F340D" w:rsidRPr="00A936B7" w14:paraId="681B7D2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1、因不可抗力导致基金管理人不能支付赎回款项。</w:t>
      </w:r>
    </w:p>
    <w:p w:rsidR="009F340D" w:rsidRPr="00A936B7" w14:paraId="019CDF2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2、发生基金合同规定的暂停基金资产估值情况时。</w:t>
      </w:r>
    </w:p>
    <w:p w:rsidR="009F340D" w:rsidRPr="00A936B7" w14:paraId="7A2934B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3、基金进行交易的主要证券/期货交易市场交易时间非正常停市。</w:t>
      </w:r>
    </w:p>
    <w:p w:rsidR="009F340D" w:rsidRPr="00A936B7" w14:paraId="19D8BCC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4、连续两个或两个以上开放日发生巨额赎回。</w:t>
      </w:r>
    </w:p>
    <w:p w:rsidR="009F340D" w:rsidRPr="00A936B7" w14:paraId="2AD00C2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5、发生继续接受赎回申请将损害现有基金份额持有人利益的情形时，基金管理人可暂停接受基金份额持有人的赎回申请。</w:t>
      </w:r>
    </w:p>
    <w:p w:rsidR="009F340D" w:rsidRPr="00A936B7" w14:paraId="0A6FA59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6、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p w:rsidR="009F340D" w:rsidRPr="00A936B7" w14:paraId="704ACF41" w14:textId="77777777">
      <w:pPr>
        <w:spacing w:line="360" w:lineRule="auto"/>
        <w:ind w:firstLine="420"/>
        <w:rPr>
          <w:rStyle w:val="da"/>
          <w:rFonts w:asciiTheme="minorEastAsia" w:eastAsiaTheme="minorEastAsia" w:hAnsiTheme="minorEastAsia" w:cs="宋体" w:hint="eastAsia"/>
          <w:szCs w:val="21"/>
          <w:lang w:eastAsia="zh-CN"/>
        </w:rPr>
      </w:pPr>
      <w:r w:rsidR="00B62EF6">
        <w:rPr>
          <w:rStyle w:val="da"/>
          <w:rFonts w:asciiTheme="minorEastAsia" w:eastAsiaTheme="minorEastAsia" w:hAnsiTheme="minorEastAsia" w:cs="宋体"/>
          <w:szCs w:val="21"/>
          <w:highlight w:val="white"/>
          <w:lang w:eastAsia="zh-CN"/>
        </w:rPr>
        <w:t>7</w:t>
      </w:r>
      <w:r w:rsidRPr="00A936B7">
        <w:rPr>
          <w:rStyle w:val="da"/>
          <w:rFonts w:asciiTheme="minorEastAsia" w:eastAsiaTheme="minorEastAsia" w:hAnsiTheme="minorEastAsia" w:cs="宋体" w:hint="eastAsia"/>
          <w:szCs w:val="21"/>
          <w:highlight w:val="white"/>
          <w:lang w:eastAsia="zh-CN"/>
        </w:rPr>
        <w:t>、本基金的资产组合中的重要部分发生暂停交易或其他重大事件，继续接受赎回可能会影响或损害基金份额持有人利益时。</w:t>
      </w:r>
    </w:p>
    <w:p w:rsidR="009F340D" w:rsidRPr="00A936B7" w14:paraId="00FDDBD7" w14:textId="77777777">
      <w:pPr>
        <w:spacing w:line="360" w:lineRule="auto"/>
        <w:ind w:firstLine="420"/>
        <w:rPr>
          <w:rStyle w:val="da"/>
          <w:rFonts w:asciiTheme="minorEastAsia" w:eastAsiaTheme="minorEastAsia" w:hAnsiTheme="minorEastAsia" w:cs="宋体" w:hint="eastAsia"/>
          <w:szCs w:val="21"/>
          <w:lang w:eastAsia="zh-CN"/>
        </w:rPr>
      </w:pPr>
      <w:r w:rsidR="00B62EF6">
        <w:rPr>
          <w:rStyle w:val="da"/>
          <w:rFonts w:asciiTheme="minorEastAsia" w:eastAsiaTheme="minorEastAsia" w:hAnsiTheme="minorEastAsia" w:cs="宋体"/>
          <w:szCs w:val="21"/>
          <w:highlight w:val="white"/>
          <w:lang w:eastAsia="zh-CN"/>
        </w:rPr>
        <w:t>8</w:t>
      </w:r>
      <w:r w:rsidRPr="00A936B7">
        <w:rPr>
          <w:rStyle w:val="da"/>
          <w:rFonts w:asciiTheme="minorEastAsia" w:eastAsiaTheme="minorEastAsia" w:hAnsiTheme="minorEastAsia" w:cs="宋体" w:hint="eastAsia"/>
          <w:szCs w:val="21"/>
          <w:highlight w:val="white"/>
          <w:lang w:eastAsia="zh-CN"/>
        </w:rPr>
        <w:t>、目标ETF暂停估值，导致基金管理人无法计算当日基金资产净值。</w:t>
      </w:r>
    </w:p>
    <w:p w:rsidR="009F340D" w:rsidRPr="00A936B7" w14:paraId="25E777E3" w14:textId="77777777">
      <w:pPr>
        <w:spacing w:line="360" w:lineRule="auto"/>
        <w:ind w:firstLine="420"/>
        <w:rPr>
          <w:rStyle w:val="da"/>
          <w:rFonts w:asciiTheme="minorEastAsia" w:eastAsiaTheme="minorEastAsia" w:hAnsiTheme="minorEastAsia" w:cs="宋体" w:hint="eastAsia"/>
          <w:szCs w:val="21"/>
          <w:lang w:eastAsia="zh-CN"/>
        </w:rPr>
      </w:pPr>
      <w:r w:rsidR="00B62EF6">
        <w:rPr>
          <w:rStyle w:val="da"/>
          <w:rFonts w:asciiTheme="minorEastAsia" w:eastAsiaTheme="minorEastAsia" w:hAnsiTheme="minorEastAsia" w:cs="宋体"/>
          <w:szCs w:val="21"/>
          <w:highlight w:val="white"/>
          <w:lang w:eastAsia="zh-CN"/>
        </w:rPr>
        <w:t>9</w:t>
      </w:r>
      <w:r w:rsidRPr="00A936B7">
        <w:rPr>
          <w:rStyle w:val="da"/>
          <w:rFonts w:asciiTheme="minorEastAsia" w:eastAsiaTheme="minorEastAsia" w:hAnsiTheme="minorEastAsia" w:cs="宋体" w:hint="eastAsia"/>
          <w:szCs w:val="21"/>
          <w:highlight w:val="white"/>
          <w:lang w:eastAsia="zh-CN"/>
        </w:rPr>
        <w:t>、目标ETF暂停赎回、暂停上市或目标ETF停牌，基金管理人认为有必要暂停本基金赎回的。</w:t>
      </w:r>
    </w:p>
    <w:p w:rsidR="009F340D" w:rsidRPr="00A936B7" w14:paraId="3BEEFC75" w14:textId="77777777">
      <w:pPr>
        <w:spacing w:line="360" w:lineRule="auto"/>
        <w:ind w:firstLine="420"/>
        <w:rPr>
          <w:rStyle w:val="da"/>
          <w:rFonts w:asciiTheme="minorEastAsia" w:eastAsiaTheme="minorEastAsia" w:hAnsiTheme="minorEastAsia" w:cs="宋体" w:hint="eastAsia"/>
          <w:szCs w:val="21"/>
          <w:lang w:eastAsia="zh-CN"/>
        </w:rPr>
      </w:pPr>
      <w:r w:rsidRPr="00A936B7" w:rsidR="00B62EF6">
        <w:rPr>
          <w:rStyle w:val="da"/>
          <w:rFonts w:asciiTheme="minorEastAsia" w:eastAsiaTheme="minorEastAsia" w:hAnsiTheme="minorEastAsia" w:cs="宋体" w:hint="eastAsia"/>
          <w:szCs w:val="21"/>
          <w:highlight w:val="white"/>
          <w:lang w:eastAsia="zh-CN"/>
        </w:rPr>
        <w:t>1</w:t>
      </w:r>
      <w:r w:rsidR="00B62EF6">
        <w:rPr>
          <w:rStyle w:val="da"/>
          <w:rFonts w:asciiTheme="minorEastAsia" w:eastAsiaTheme="minorEastAsia" w:hAnsiTheme="minorEastAsia" w:cs="宋体"/>
          <w:szCs w:val="21"/>
          <w:highlight w:val="white"/>
          <w:lang w:eastAsia="zh-CN"/>
        </w:rPr>
        <w:t>0</w:t>
      </w:r>
      <w:r w:rsidRPr="00A936B7">
        <w:rPr>
          <w:rStyle w:val="da"/>
          <w:rFonts w:asciiTheme="minorEastAsia" w:eastAsiaTheme="minorEastAsia" w:hAnsiTheme="minorEastAsia" w:cs="宋体" w:hint="eastAsia"/>
          <w:szCs w:val="21"/>
          <w:highlight w:val="white"/>
          <w:lang w:eastAsia="zh-CN"/>
        </w:rPr>
        <w:t>、法律法规规定或中国证监会认定的其他情形。</w:t>
      </w:r>
    </w:p>
    <w:p w:rsidR="009F340D" w:rsidRPr="00A936B7" w14:paraId="5A57F44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发生上述情形之一且基金管理人决定暂停赎回或延缓支付赎回款项时，基金管理人应按规定报中国证监会备案。若出现上述第4项所述情形，按基金合同的相关条款处理。基金份额持有人在申请赎回时可事先选择将当日可能未获受理部分予以撤销。在暂停赎回的情况消除时，基金管理人应及时恢复赎回业务的办理。</w:t>
      </w:r>
    </w:p>
    <w:p w:rsidR="009F340D" w:rsidRPr="00A936B7" w14:paraId="7B43FD6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十二、巨额赎回的情形及处理方式</w:t>
      </w:r>
    </w:p>
    <w:p w:rsidR="009F340D" w:rsidRPr="00A936B7" w14:paraId="7A5CFA3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1、巨额赎回的认定</w:t>
      </w:r>
    </w:p>
    <w:p w:rsidR="009F340D" w:rsidRPr="00A936B7" w14:paraId="5BF7C07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rsidR="009F340D" w:rsidRPr="00A936B7" w14:paraId="4A9F366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2、巨额赎回的处理方式</w:t>
      </w:r>
    </w:p>
    <w:p w:rsidR="009F340D" w:rsidRPr="00A936B7" w14:paraId="58F7B8F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当基金出现巨额赎回时，基金管理人可以根据基金当时的资产组合状况决定全额赎回或部分延期赎回。</w:t>
      </w:r>
    </w:p>
    <w:p w:rsidR="009F340D" w:rsidRPr="00A936B7" w14:paraId="328056A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（1）全额赎回：当基金管理人认为有能力支付投资人的全部赎回申请时，按正常赎回程序执行。</w:t>
      </w:r>
    </w:p>
    <w:p w:rsidR="009F340D" w:rsidRPr="00A936B7" w14:paraId="00899DA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该类基金份额的基金份额净值为基础计算赎回金额，以此类推，直到全部赎回为止。如投资人在提交赎回申请时未作明确选择，投资人未能赎回部分作自动延期赎回处理。</w:t>
      </w:r>
    </w:p>
    <w:p w:rsidR="009F340D" w:rsidRPr="00A936B7" w14:paraId="3A72376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若本基金发生巨额赎回且单个基金份额持有人的赎回申请超过上一开放日基金总份额10%的，基金管理人有权对该单个基金份额持有人超出该比例的赎回申请实施延期办理；对该单个基金份额持有人剩余赎回申请，基金管理人可以根据前款“（1）全额赎回”或“（2）部分延期赎回”约定的方式与其他账户的赎回申请一并办理。</w:t>
      </w:r>
    </w:p>
    <w:p w:rsidR="009F340D" w:rsidRPr="00A936B7" w14:paraId="4AC56B6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暂停赎回：连续2个开放日以上（含本数）发生巨额赎回，如基金管理人认为有必要，可暂停接受基金的赎回申请；已经接受的赎回申请可以延缓支付赎回款项，但不得超过20个工作日，并应当在规定媒介上进行公告。</w:t>
      </w:r>
    </w:p>
    <w:p w:rsidR="009F340D" w:rsidRPr="00A936B7" w14:paraId="12B617B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3、巨额赎回的公告</w:t>
      </w:r>
    </w:p>
    <w:p w:rsidR="009F340D" w:rsidRPr="00A936B7" w14:paraId="6EB7FA3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当发生上述巨额赎回并延期办理时，基金管理人应当通过邮寄、传真或者招募说明书规定的其他方式在3个交易日内通知基金份额持有人，说明有关处理方法，并在2日内在规定媒介上刊登公告。</w:t>
      </w:r>
    </w:p>
    <w:p w:rsidR="009F340D" w:rsidRPr="00A936B7" w14:paraId="230778D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十三、暂停申购或赎回的公告和重新开放申购或赎回的公告</w:t>
      </w:r>
    </w:p>
    <w:p w:rsidR="009F340D" w:rsidRPr="00A936B7" w14:paraId="70B4581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1、发生上述暂停申购或赎回情况的，基金管理人应在规定期限内在规定媒介上刊登暂停公告。</w:t>
      </w:r>
    </w:p>
    <w:p w:rsidR="009F340D" w:rsidRPr="00A936B7" w14:paraId="51A3CE0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rsidR="009F340D" w:rsidRPr="00A936B7" w14:paraId="1423EFF0" w14:textId="77777777">
      <w:pPr>
        <w:spacing w:line="360" w:lineRule="auto"/>
        <w:ind w:firstLine="420"/>
        <w:rPr>
          <w:rStyle w:val="da"/>
          <w:rFonts w:asciiTheme="minorEastAsia" w:eastAsiaTheme="minorEastAsia" w:hAnsiTheme="minorEastAsia" w:cs="宋体" w:hint="eastAsia"/>
          <w:szCs w:val="21"/>
          <w:lang w:eastAsia="zh-CN"/>
        </w:rPr>
      </w:pPr>
      <w:bookmarkStart w:id="1808" w:name="_Hlt70481650"/>
      <w:bookmarkEnd w:id="1808"/>
      <w:r w:rsidRPr="00A936B7">
        <w:rPr>
          <w:rStyle w:val="da"/>
          <w:rFonts w:asciiTheme="minorEastAsia" w:eastAsiaTheme="minorEastAsia" w:hAnsiTheme="minorEastAsia" w:cs="宋体" w:hint="eastAsia"/>
          <w:szCs w:val="21"/>
          <w:highlight w:val="white"/>
          <w:lang w:eastAsia="zh-CN"/>
        </w:rPr>
        <w:t>十四、基金份额折算</w:t>
      </w:r>
    </w:p>
    <w:p w:rsidR="009F340D" w:rsidRPr="00A936B7" w14:paraId="41B8744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在对基金份额持有人利益无实质不利影响的前提下，基金管理人经与基金托管人协商一致，可对基金份额进行折算，不需召开基金份额持有人大会审议。</w:t>
      </w:r>
    </w:p>
    <w:p w:rsidR="009F340D" w:rsidRPr="00A936B7" w14:paraId="5C52649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十五、实施侧袋机制期间本基金的申购与赎回</w:t>
      </w:r>
    </w:p>
    <w:p w:rsidR="009F340D" w:rsidRPr="00A936B7" w14:paraId="5FEA0504" w14:textId="77777777">
      <w:pPr>
        <w:spacing w:line="360" w:lineRule="auto"/>
        <w:ind w:firstLine="420"/>
        <w:rPr>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本基金实施侧袋机制的，本基金的申购和赎回安排详见本招募说明书“侧袋机制”部分的规定或相关公告。</w:t>
      </w:r>
    </w:p>
    <w:p w:rsidR="009F340D" w:rsidRPr="00A936B7" w14:paraId="2FCF5693" w14:textId="77777777">
      <w:pPr>
        <w:widowControl/>
        <w:jc w:val="left"/>
        <w:rPr>
          <w:rFonts w:asciiTheme="minorEastAsia" w:eastAsiaTheme="minorEastAsia" w:hAnsiTheme="minorEastAsia" w:cs="宋体" w:hint="eastAsia"/>
          <w:sz w:val="30"/>
          <w:szCs w:val="32"/>
          <w:lang w:eastAsia="zh-CN"/>
        </w:rPr>
      </w:pPr>
      <w:r w:rsidRPr="00A936B7">
        <w:rPr>
          <w:rFonts w:asciiTheme="minorEastAsia" w:eastAsiaTheme="minorEastAsia" w:hAnsiTheme="minorEastAsia" w:cs="宋体"/>
          <w:sz w:val="30"/>
          <w:highlight w:val="white"/>
          <w:lang w:eastAsia="zh-CN"/>
        </w:rPr>
        <w:br w:type="page"/>
      </w:r>
    </w:p>
    <w:p w:rsidR="009F340D" w:rsidRPr="00A936B7" w14:paraId="4039235D" w14:textId="77777777">
      <w:pPr>
        <w:pStyle w:val="Heading1"/>
        <w:spacing w:before="317" w:after="317" w:line="320" w:lineRule="exact"/>
        <w:ind w:firstLine="600"/>
        <w:rPr>
          <w:rFonts w:asciiTheme="minorEastAsia" w:eastAsiaTheme="minorEastAsia" w:hAnsiTheme="minorEastAsia" w:cs="宋体" w:hint="eastAsia"/>
          <w:sz w:val="30"/>
          <w:szCs w:val="30"/>
          <w:lang w:eastAsia="zh-CN"/>
        </w:rPr>
      </w:pPr>
      <w:bookmarkStart w:id="1809" w:name="_Toc129511532"/>
      <w:r w:rsidRPr="00A936B7">
        <w:rPr>
          <w:rFonts w:asciiTheme="minorEastAsia" w:eastAsiaTheme="minorEastAsia" w:hAnsiTheme="minorEastAsia" w:cs="宋体"/>
          <w:sz w:val="30"/>
          <w:szCs w:val="30"/>
          <w:highlight w:val="white"/>
          <w:lang w:eastAsia="zh-CN"/>
        </w:rPr>
        <w:t xml:space="preserve">第十部分 </w:t>
      </w:r>
      <w:r w:rsidRPr="00A936B7">
        <w:rPr>
          <w:rFonts w:asciiTheme="minorEastAsia" w:eastAsiaTheme="minorEastAsia" w:hAnsiTheme="minorEastAsia" w:cs="宋体" w:hint="eastAsia"/>
          <w:sz w:val="30"/>
          <w:szCs w:val="30"/>
          <w:highlight w:val="white"/>
          <w:lang w:eastAsia="zh-CN"/>
        </w:rPr>
        <w:t>基金转换和定期定额投资计划</w:t>
      </w:r>
      <w:bookmarkEnd w:id="1809"/>
    </w:p>
    <w:p w:rsidR="009F340D" w:rsidRPr="00A936B7" w14:paraId="6B0E7814" w14:textId="77777777">
      <w:pPr>
        <w:spacing w:line="360" w:lineRule="auto"/>
        <w:ind w:firstLine="420"/>
        <w:rPr>
          <w:rStyle w:val="da"/>
          <w:rFonts w:asciiTheme="minorEastAsia" w:eastAsiaTheme="minorEastAsia" w:hAnsiTheme="minorEastAsia" w:cs="宋体" w:hint="eastAsia"/>
          <w:lang w:eastAsia="zh-CN"/>
        </w:rPr>
      </w:pPr>
      <w:bookmarkStart w:id="1810" w:name="_Toc332373517"/>
      <w:r w:rsidRPr="00A936B7">
        <w:rPr>
          <w:rStyle w:val="da"/>
          <w:rFonts w:asciiTheme="minorEastAsia" w:eastAsiaTheme="minorEastAsia" w:hAnsiTheme="minorEastAsia" w:cs="宋体" w:hint="eastAsia"/>
          <w:highlight w:val="white"/>
          <w:lang w:eastAsia="zh-CN"/>
        </w:rPr>
        <w:t>一、基金转换</w:t>
      </w:r>
      <w:bookmarkEnd w:id="1810"/>
    </w:p>
    <w:p w:rsidR="009F340D" w:rsidRPr="00A936B7" w14:paraId="25219A8B"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基金管理人可以根据相关法律法规以及基金合同的规定决定开办基金转换业务，基金转换可以收取一定的转换费，相关规则由基金管理人届时根据相关法律法规及基金合同的规定制定并公告，并提前告知基金托管人与相关机构。</w:t>
      </w:r>
    </w:p>
    <w:p w:rsidR="009F340D" w:rsidRPr="00A936B7" w14:paraId="153282F7"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二、定期定额投资计划</w:t>
      </w:r>
    </w:p>
    <w:p w:rsidR="009F340D" w:rsidRPr="00A936B7" w14:paraId="4DD7079C" w14:textId="77777777">
      <w:pPr>
        <w:spacing w:line="360" w:lineRule="auto"/>
        <w:ind w:firstLine="420"/>
        <w:rPr>
          <w:rStyle w:val="da"/>
          <w:rFonts w:asciiTheme="minorEastAsia" w:eastAsiaTheme="minorEastAsia" w:hAnsiTheme="minorEastAsia" w:hint="eastAsia"/>
          <w:lang w:eastAsia="zh-CN"/>
        </w:rPr>
      </w:pPr>
      <w:r w:rsidRPr="00A936B7">
        <w:rPr>
          <w:rStyle w:val="da"/>
          <w:rFonts w:asciiTheme="minorEastAsia" w:eastAsiaTheme="minorEastAsia" w:hAnsiTheme="minorEastAsia" w:hint="eastAsia"/>
          <w:highlight w:val="white"/>
          <w:lang w:eastAsia="zh-CN"/>
        </w:rPr>
        <w:t>基金管理人可利用非直销销售机构网点和本公司网上直销系统为投资者提供定期定额投资的服务（本公司网上直销系统的定期定额投资服务目前仅对个人投资者开通），具体实施方法见有关公告。</w:t>
      </w:r>
      <w:r w:rsidRPr="00A936B7">
        <w:rPr>
          <w:rStyle w:val="da"/>
          <w:rFonts w:asciiTheme="minorEastAsia" w:eastAsiaTheme="minorEastAsia" w:hAnsiTheme="minorEastAsia" w:cs="宋体" w:hint="eastAsia"/>
          <w:highlight w:val="white"/>
          <w:lang w:eastAsia="zh-CN"/>
        </w:rPr>
        <w:t>投资人在办理定期定额投资计划时可自行约定每期扣款金额，每期扣款金额必须不低于基金管理人在相关公告或更新的招募说明书中所规定的定期定额投资计划最低申购金额。</w:t>
      </w:r>
    </w:p>
    <w:p w:rsidR="009F340D" w:rsidRPr="00A936B7" w14:paraId="4D4BC942" w14:textId="77777777">
      <w:pPr>
        <w:pStyle w:val="Heading1"/>
        <w:spacing w:before="317" w:after="317" w:line="320" w:lineRule="exact"/>
        <w:ind w:firstLine="600"/>
        <w:rPr>
          <w:rFonts w:asciiTheme="minorEastAsia" w:eastAsiaTheme="minorEastAsia" w:hAnsiTheme="minorEastAsia" w:cs="宋体" w:hint="eastAsia"/>
          <w:bCs/>
          <w:sz w:val="30"/>
          <w:szCs w:val="30"/>
          <w:lang w:eastAsia="zh-CN"/>
        </w:rPr>
      </w:pPr>
      <w:r w:rsidRPr="00A936B7">
        <w:rPr>
          <w:rFonts w:asciiTheme="minorEastAsia" w:eastAsiaTheme="minorEastAsia" w:hAnsiTheme="minorEastAsia" w:cs="宋体" w:hint="eastAsia"/>
          <w:sz w:val="30"/>
          <w:highlight w:val="white"/>
          <w:lang w:eastAsia="zh-CN"/>
        </w:rPr>
        <w:br w:type="column"/>
      </w:r>
      <w:bookmarkStart w:id="1811" w:name="_Toc332373519"/>
      <w:bookmarkStart w:id="1812" w:name="_Toc129511533"/>
      <w:r w:rsidRPr="00A936B7">
        <w:rPr>
          <w:rFonts w:asciiTheme="minorEastAsia" w:eastAsiaTheme="minorEastAsia" w:hAnsiTheme="minorEastAsia" w:cs="宋体" w:hint="eastAsia"/>
          <w:sz w:val="30"/>
          <w:szCs w:val="30"/>
          <w:highlight w:val="white"/>
          <w:lang w:eastAsia="zh-CN"/>
        </w:rPr>
        <w:t>第十一部分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基金的转托管、质押、非交易过户、冻结与解冻</w:t>
      </w:r>
      <w:bookmarkEnd w:id="1811"/>
      <w:bookmarkEnd w:id="1812"/>
    </w:p>
    <w:p w:rsidR="009F340D" w:rsidRPr="00A936B7" w14:paraId="6F74BDCB" w14:textId="77777777">
      <w:pPr>
        <w:spacing w:line="360" w:lineRule="auto"/>
        <w:ind w:firstLine="420"/>
        <w:rPr>
          <w:rStyle w:val="da"/>
          <w:rFonts w:asciiTheme="minorEastAsia" w:eastAsiaTheme="minorEastAsia" w:hAnsiTheme="minorEastAsia" w:cs="宋体" w:hint="eastAsia"/>
          <w:lang w:eastAsia="zh-CN"/>
        </w:rPr>
      </w:pPr>
      <w:bookmarkStart w:id="1813" w:name="_Toc332373520"/>
      <w:r w:rsidRPr="00A936B7">
        <w:rPr>
          <w:rStyle w:val="da"/>
          <w:rFonts w:asciiTheme="minorEastAsia" w:eastAsiaTheme="minorEastAsia" w:hAnsiTheme="minorEastAsia" w:cs="宋体" w:hint="eastAsia"/>
          <w:highlight w:val="white"/>
          <w:lang w:eastAsia="zh-CN"/>
        </w:rPr>
        <w:t>一、基金的转托管</w:t>
      </w:r>
      <w:bookmarkEnd w:id="1813"/>
    </w:p>
    <w:p w:rsidR="009F340D" w:rsidRPr="00A936B7" w14:paraId="6CA20643"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基金份额持有人可办理已持有基金份额在不同销售机构之间的转托管，基金销售机构可以按照规定的标准收取转托管费。</w:t>
      </w:r>
    </w:p>
    <w:p w:rsidR="009F340D" w:rsidRPr="00A936B7" w14:paraId="1ED71960" w14:textId="77777777">
      <w:pPr>
        <w:spacing w:line="360" w:lineRule="auto"/>
        <w:ind w:firstLine="422"/>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具体办理方法参照《业务规则》的有关规定以及各销售机构的业务规则。</w:t>
      </w:r>
    </w:p>
    <w:p w:rsidR="009F340D" w:rsidRPr="00A936B7" w14:paraId="3CF5340B"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二、基金份额的质押</w:t>
      </w:r>
    </w:p>
    <w:p w:rsidR="009F340D" w:rsidRPr="00A936B7" w14:paraId="25DA5E5E"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在条件许可的情况下，基金登记机构可依据相关法律法规及其业务规则，办理基金份额质押业务，并可收取一定的手续费。</w:t>
      </w:r>
    </w:p>
    <w:p w:rsidR="009F340D" w:rsidRPr="00A936B7" w14:paraId="456303DB" w14:textId="77777777">
      <w:pPr>
        <w:spacing w:line="360" w:lineRule="auto"/>
        <w:ind w:firstLine="420"/>
        <w:rPr>
          <w:rStyle w:val="da"/>
          <w:rFonts w:asciiTheme="minorEastAsia" w:eastAsiaTheme="minorEastAsia" w:hAnsiTheme="minorEastAsia" w:cs="宋体" w:hint="eastAsia"/>
          <w:lang w:eastAsia="zh-CN"/>
        </w:rPr>
      </w:pPr>
      <w:bookmarkStart w:id="1814" w:name="_Toc332373521"/>
      <w:r w:rsidRPr="00A936B7">
        <w:rPr>
          <w:rStyle w:val="da"/>
          <w:rFonts w:asciiTheme="minorEastAsia" w:eastAsiaTheme="minorEastAsia" w:hAnsiTheme="minorEastAsia" w:cs="宋体" w:hint="eastAsia"/>
          <w:highlight w:val="white"/>
          <w:lang w:eastAsia="zh-CN"/>
        </w:rPr>
        <w:t>三、基金的非交易过户</w:t>
      </w:r>
      <w:bookmarkEnd w:id="1814"/>
    </w:p>
    <w:p w:rsidR="009F340D" w:rsidRPr="00A936B7" w14:paraId="0297BBE2"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rsidR="009F340D" w:rsidRPr="00A936B7" w14:paraId="120F7FFB"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rsidR="009F340D" w:rsidRPr="00A936B7" w14:paraId="77AD8079" w14:textId="77777777">
      <w:pPr>
        <w:spacing w:line="360" w:lineRule="auto"/>
        <w:ind w:firstLine="420"/>
        <w:rPr>
          <w:rStyle w:val="da"/>
          <w:rFonts w:asciiTheme="minorEastAsia" w:eastAsiaTheme="minorEastAsia" w:hAnsiTheme="minorEastAsia" w:cs="宋体" w:hint="eastAsia"/>
          <w:lang w:eastAsia="zh-CN"/>
        </w:rPr>
      </w:pPr>
      <w:bookmarkStart w:id="1815" w:name="_Toc332373522"/>
      <w:r w:rsidRPr="00A936B7">
        <w:rPr>
          <w:rStyle w:val="da"/>
          <w:rFonts w:asciiTheme="minorEastAsia" w:eastAsiaTheme="minorEastAsia" w:hAnsiTheme="minorEastAsia" w:cs="宋体" w:hint="eastAsia"/>
          <w:highlight w:val="white"/>
          <w:lang w:eastAsia="zh-CN"/>
        </w:rPr>
        <w:t>四、基金的冻结与解冻</w:t>
      </w:r>
      <w:bookmarkEnd w:id="1815"/>
    </w:p>
    <w:p w:rsidR="009F340D" w:rsidRPr="00A936B7" w14:paraId="56268CF4"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基金登记机构只受理国家有权机关依法要求的基金份额的冻结与解冻，以及登记机构认可、符合法律法规的其他情况下的冻结与解冻。</w:t>
      </w:r>
    </w:p>
    <w:p w:rsidR="009F340D" w:rsidRPr="00A936B7" w14:paraId="1FFA552B" w14:textId="77777777">
      <w:pPr>
        <w:pStyle w:val="Heading1"/>
        <w:spacing w:before="317" w:after="317" w:line="320" w:lineRule="exact"/>
        <w:ind w:firstLine="640"/>
        <w:rPr>
          <w:rFonts w:asciiTheme="minorEastAsia" w:eastAsiaTheme="minorEastAsia" w:hAnsiTheme="minorEastAsia" w:cs="宋体" w:hint="eastAsia"/>
          <w:sz w:val="30"/>
          <w:szCs w:val="30"/>
          <w:lang w:eastAsia="zh-CN"/>
        </w:rPr>
      </w:pPr>
      <w:r w:rsidRPr="00A936B7">
        <w:rPr>
          <w:rFonts w:asciiTheme="minorEastAsia" w:eastAsiaTheme="minorEastAsia" w:hAnsiTheme="minorEastAsia" w:cs="宋体" w:hint="eastAsia"/>
          <w:highlight w:val="white"/>
          <w:lang w:eastAsia="zh-CN"/>
        </w:rPr>
        <w:br w:type="column"/>
      </w:r>
      <w:bookmarkStart w:id="1816" w:name="_Toc332373523"/>
      <w:bookmarkStart w:id="1817" w:name="_Toc129511534"/>
      <w:r w:rsidRPr="00A936B7">
        <w:rPr>
          <w:rFonts w:asciiTheme="minorEastAsia" w:eastAsiaTheme="minorEastAsia" w:hAnsiTheme="minorEastAsia" w:cs="宋体" w:hint="eastAsia"/>
          <w:sz w:val="30"/>
          <w:szCs w:val="30"/>
          <w:highlight w:val="white"/>
          <w:lang w:eastAsia="zh-CN"/>
        </w:rPr>
        <w:t>第十</w:t>
      </w:r>
      <w:r w:rsidRPr="00A936B7">
        <w:rPr>
          <w:rFonts w:asciiTheme="minorEastAsia" w:eastAsiaTheme="minorEastAsia" w:hAnsiTheme="minorEastAsia" w:cs="宋体"/>
          <w:sz w:val="30"/>
          <w:szCs w:val="30"/>
          <w:highlight w:val="white"/>
          <w:lang w:eastAsia="zh-CN"/>
        </w:rPr>
        <w:t>二</w:t>
      </w:r>
      <w:r w:rsidRPr="00A936B7">
        <w:rPr>
          <w:rFonts w:asciiTheme="minorEastAsia" w:eastAsiaTheme="minorEastAsia" w:hAnsiTheme="minorEastAsia" w:cs="宋体" w:hint="eastAsia"/>
          <w:sz w:val="30"/>
          <w:szCs w:val="30"/>
          <w:highlight w:val="white"/>
          <w:lang w:eastAsia="zh-CN"/>
        </w:rPr>
        <w:t>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基金的投资</w:t>
      </w:r>
      <w:bookmarkEnd w:id="1816"/>
      <w:bookmarkEnd w:id="1817"/>
    </w:p>
    <w:p w:rsidR="009F340D" w:rsidRPr="00A936B7" w14:paraId="61A21501" w14:textId="77777777">
      <w:pPr>
        <w:spacing w:line="360" w:lineRule="auto"/>
        <w:ind w:firstLine="420"/>
        <w:rPr>
          <w:rStyle w:val="da"/>
          <w:rFonts w:asciiTheme="minorEastAsia" w:eastAsiaTheme="minorEastAsia" w:hAnsiTheme="minorEastAsia" w:cs="宋体" w:hint="eastAsia"/>
          <w:szCs w:val="21"/>
          <w:lang w:eastAsia="zh-CN"/>
        </w:rPr>
      </w:pPr>
      <w:bookmarkStart w:id="1818" w:name="_Toc332373524"/>
      <w:r w:rsidRPr="00A936B7">
        <w:rPr>
          <w:rStyle w:val="da"/>
          <w:rFonts w:asciiTheme="minorEastAsia" w:eastAsiaTheme="minorEastAsia" w:hAnsiTheme="minorEastAsia" w:cs="宋体" w:hint="eastAsia"/>
          <w:szCs w:val="21"/>
          <w:highlight w:val="white"/>
          <w:lang w:eastAsia="zh-CN"/>
        </w:rPr>
        <w:t>一、投资目标</w:t>
      </w:r>
      <w:bookmarkEnd w:id="1818"/>
    </w:p>
    <w:p w:rsidR="009F340D" w:rsidRPr="00A936B7" w14:paraId="220CC505" w14:textId="77777777">
      <w:pPr>
        <w:spacing w:line="360" w:lineRule="auto"/>
        <w:ind w:firstLine="420"/>
        <w:rPr>
          <w:rStyle w:val="da"/>
          <w:rFonts w:asciiTheme="minorEastAsia" w:eastAsiaTheme="minorEastAsia" w:hAnsiTheme="minorEastAsia" w:cs="宋体" w:hint="eastAsia"/>
          <w:szCs w:val="21"/>
          <w:lang w:eastAsia="zh-CN"/>
        </w:rPr>
      </w:pPr>
      <w:bookmarkStart w:id="1819" w:name="_Toc332373525"/>
      <w:r w:rsidRPr="00A936B7">
        <w:rPr>
          <w:rStyle w:val="da"/>
          <w:rFonts w:asciiTheme="minorEastAsia" w:eastAsiaTheme="minorEastAsia" w:hAnsiTheme="minorEastAsia" w:cs="宋体"/>
          <w:szCs w:val="21"/>
          <w:lang w:eastAsia="zh-CN"/>
        </w:rPr>
        <w:t>紧密跟踪业绩比较基准，追求跟踪偏离度和跟踪误差的最小化。</w:t>
      </w:r>
    </w:p>
    <w:p w:rsidR="009F340D" w:rsidRPr="00A936B7" w14:paraId="5EEF1BB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二、投资范围</w:t>
      </w:r>
      <w:bookmarkEnd w:id="1819"/>
    </w:p>
    <w:p w:rsidR="009F340D" w:rsidRPr="00A936B7" w14:paraId="16083A71" w14:textId="77777777">
      <w:pPr>
        <w:widowControl/>
        <w:spacing w:line="360" w:lineRule="auto"/>
        <w:ind w:firstLine="420"/>
        <w:rPr>
          <w:rStyle w:val="da"/>
          <w:rFonts w:asciiTheme="minorEastAsia" w:eastAsiaTheme="minorEastAsia" w:hAnsiTheme="minorEastAsia" w:cs="宋体" w:hint="eastAsia"/>
          <w:szCs w:val="21"/>
          <w:lang w:eastAsia="zh-CN"/>
        </w:rPr>
      </w:pPr>
      <w:bookmarkStart w:id="1820" w:name="_Toc359426195"/>
      <w:bookmarkStart w:id="1821" w:name="_Toc332373526"/>
      <w:r w:rsidRPr="00A936B7">
        <w:rPr>
          <w:rStyle w:val="da"/>
          <w:rFonts w:asciiTheme="minorEastAsia" w:eastAsiaTheme="minorEastAsia" w:hAnsiTheme="minorEastAsia" w:cs="宋体"/>
          <w:szCs w:val="21"/>
          <w:lang w:eastAsia="zh-CN"/>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9F340D" w:rsidRPr="00A936B7" w14:paraId="54B6C28A" w14:textId="77777777">
      <w:pPr>
        <w:widowControl/>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如法律法规或监管机构以后允许基金投资其他品种，基金管理人在履行适当程序后，本基金可以将其纳入投资范围。</w:t>
      </w:r>
    </w:p>
    <w:p w:rsidR="009F340D" w:rsidRPr="00A936B7" w14:paraId="0251F889" w14:textId="77777777">
      <w:pPr>
        <w:widowControl/>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本基金将根据法律法规的规定参与转融通证券出借及融资业务。</w:t>
      </w:r>
    </w:p>
    <w:p w:rsidR="009F340D" w:rsidRPr="00A936B7" w14:paraId="1DB84F6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本基金投资于目标ETF的资产不低于基金资产净值的90%，保持不低于基金资产净值5%的现金或者到期日在一年以内的政府债券，其中现金不包括结算备付金、存出保证金、应收申购款等。</w:t>
      </w:r>
      <w:bookmarkEnd w:id="1820"/>
    </w:p>
    <w:p w:rsidR="009F340D" w:rsidRPr="00A936B7" w14:paraId="42CBD02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三、投资策略</w:t>
      </w:r>
      <w:bookmarkEnd w:id="1821"/>
    </w:p>
    <w:p w:rsidR="009F340D" w:rsidRPr="00A936B7" w14:paraId="1FFD6AEC" w14:textId="77777777">
      <w:pPr>
        <w:spacing w:line="360" w:lineRule="auto"/>
        <w:ind w:firstLine="420"/>
        <w:rPr>
          <w:rStyle w:val="da"/>
          <w:rFonts w:asciiTheme="minorEastAsia" w:eastAsiaTheme="minorEastAsia" w:hAnsiTheme="minorEastAsia" w:cs="宋体" w:hint="eastAsia"/>
          <w:szCs w:val="21"/>
          <w:lang w:eastAsia="zh-CN"/>
        </w:rPr>
      </w:pPr>
      <w:bookmarkStart w:id="1822" w:name="_Toc332373530"/>
      <w:bookmarkStart w:id="1823" w:name="question3"/>
      <w:r w:rsidRPr="00A936B7">
        <w:rPr>
          <w:rStyle w:val="da"/>
          <w:rFonts w:asciiTheme="minorEastAsia" w:eastAsiaTheme="minorEastAsia" w:hAnsiTheme="minorEastAsia" w:cs="宋体"/>
          <w:szCs w:val="21"/>
          <w:lang w:eastAsia="zh-CN"/>
        </w:rPr>
        <w:t>本基金为目标ETF的联接基金，主要通过投资于目标ETF实现对业绩比较基准的紧密跟踪，力争将日均跟踪偏离度的绝对值控制在0.35%以内，年化跟踪误差控制在4%以内。如因标的指数编制规则调整或其他因素导致跟踪误差超过上述范围，基金管理人应采取合理措施避免跟踪误差进一步扩大。</w:t>
      </w:r>
    </w:p>
    <w:p w:rsidR="009F340D" w:rsidRPr="00A936B7" w14:paraId="57FB91C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1、目标ETF投资策略</w:t>
      </w:r>
    </w:p>
    <w:p w:rsidR="009F340D" w:rsidRPr="00A936B7" w14:paraId="6914B2B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本基金投资目标ETF的方式如下：</w:t>
      </w:r>
    </w:p>
    <w:p w:rsidR="009F340D" w:rsidRPr="00A936B7" w14:paraId="5A1A245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（1）申购、赎回方式：按照目标ETF法律文件约定的方式申购、赎回目标ETF。</w:t>
      </w:r>
    </w:p>
    <w:p w:rsidR="009F340D" w:rsidRPr="00A936B7" w14:paraId="37F157C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（2）二级市场方式：在二级市场进行目标ETF基金份额的交易。</w:t>
      </w:r>
    </w:p>
    <w:p w:rsidR="009F340D" w:rsidRPr="00A936B7" w14:paraId="40C23BC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当目标ETF申购、赎回或交易模式进行了变更或调整，本基金也将作相应的变更或调整，无须召开基金份额持有人大会。</w:t>
      </w:r>
    </w:p>
    <w:p w:rsidR="009F340D" w:rsidRPr="00A936B7" w14:paraId="767BEEC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本基金将在综合考虑合规、风险、效率、成本等因素的基础上，决定采用申购、赎回方式或二级市场方式进行目标ETF的投资。</w:t>
      </w:r>
    </w:p>
    <w:p w:rsidR="009F340D" w:rsidRPr="00A936B7" w14:paraId="0B84059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2、股票（含存托凭证）投资策略</w:t>
      </w:r>
    </w:p>
    <w:p w:rsidR="009F340D" w:rsidRPr="00A936B7" w14:paraId="62D7157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本基金可投资于标的指数成份股、备选成份股，以更好的跟踪业绩比较基准。同时，在条件允许的情况下还可通过买入标的指数成份股、备选成份股来构建组合以申购目标ETF。因特殊情况（如流动性不足等）导致无法获得足够数量的个券时，基金管理人将搭配使用其他合理方法进行适当的替代，包括通过投资其他股票进行替代，以降低跟踪误差，优化投资组合的配置结构。</w:t>
      </w:r>
    </w:p>
    <w:p w:rsidR="009F340D" w:rsidRPr="00A936B7" w14:paraId="705E9AF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3、债券和货币市场工具投资策略</w:t>
      </w:r>
    </w:p>
    <w:p w:rsidR="009F340D" w:rsidRPr="00A936B7" w14:paraId="786BECC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本基金将以降低跟踪误差和流动性管理为目的，综合考虑流动性和收益性，适当参与债券和货币市场工具的投资。</w:t>
      </w:r>
    </w:p>
    <w:p w:rsidR="009F340D" w:rsidRPr="00A936B7" w14:paraId="5F67F35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4、衍生品投资策略</w:t>
      </w:r>
    </w:p>
    <w:p w:rsidR="009F340D" w:rsidRPr="00A936B7" w14:paraId="31EF81D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为更好地实现投资目标，本基金可投资股指期货、国债期货、股票期权。</w:t>
      </w:r>
    </w:p>
    <w:p w:rsidR="009F340D" w:rsidRPr="00A936B7" w14:paraId="4C53D24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若本基金投资股指期货、国债期货，将根据风险管理的原则，以套期保值为目的，综合考虑流动性、基差水平等因素。</w:t>
      </w:r>
    </w:p>
    <w:p w:rsidR="009F340D" w:rsidRPr="00A936B7" w14:paraId="46B756E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若本基金投资股票期权，将根据风险管理的原则，以套期保值为主要目的，综合考虑流动性、价格等因素。</w:t>
      </w:r>
    </w:p>
    <w:p w:rsidR="009F340D" w:rsidRPr="00A936B7" w14:paraId="028D6C4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此外，本基金将关注其他金融衍生品的推出情况，如法律法规或监管机构允许基金投资前述金融衍生品，本基金将按届时有效的法律法规和监管机构的规定，制定与本基金投资目标相适应的投资策略和估值政策，在充分评估金融衍生品的风险和收益的基础上，谨慎地进行投资。</w:t>
      </w:r>
    </w:p>
    <w:p w:rsidR="009F340D" w:rsidRPr="00A936B7" w14:paraId="067EC40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5、参与转融通证券出借业务策略</w:t>
      </w:r>
    </w:p>
    <w:p w:rsidR="009F340D" w:rsidRPr="00A936B7" w14:paraId="4832B57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为更好地实现投资目标，在加强风险防范并遵守审慎原则的前提下，本基金可根据投资管理的需要参与转融通证券出借业务。本基金将在分析市场环境、投资者类型与结构、基金历史申赎情况、出借证券流动性情况等因素的基础上，合理确定出借证券的范围、期限和比例。</w:t>
      </w:r>
    </w:p>
    <w:p w:rsidR="009F340D" w:rsidRPr="00A936B7" w14:paraId="5C68187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6、融资业务策略</w:t>
      </w:r>
    </w:p>
    <w:p w:rsidR="009F340D" w:rsidRPr="00A936B7" w14:paraId="207F8F6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lang w:eastAsia="zh-CN"/>
        </w:rPr>
        <w:t>为更好地实现投资目标，在加强风险防范并遵守审慎原则的前提下，基金管理人可根据相关法律法规，参与融资业务，以提高投资效率及进行风险管理。</w:t>
      </w:r>
    </w:p>
    <w:p w:rsidR="009F340D" w:rsidRPr="00A936B7" w14:paraId="58AC69A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四、业绩比较基准</w:t>
      </w:r>
      <w:bookmarkEnd w:id="1822"/>
      <w:r w:rsidRPr="00A936B7">
        <w:rPr>
          <w:rStyle w:val="da"/>
          <w:rFonts w:asciiTheme="minorEastAsia" w:eastAsiaTheme="minorEastAsia" w:hAnsiTheme="minorEastAsia" w:cs="宋体" w:hint="eastAsia"/>
          <w:szCs w:val="21"/>
          <w:highlight w:val="white"/>
          <w:lang w:eastAsia="zh-CN"/>
        </w:rPr>
        <w:t xml:space="preserve"> </w:t>
      </w:r>
      <w:bookmarkEnd w:id="1823"/>
    </w:p>
    <w:p w:rsidR="008406C0" w:rsidRPr="008406C0" w:rsidP="008406C0" w14:paraId="695D4D2E" w14:textId="77777777">
      <w:pPr>
        <w:spacing w:line="360" w:lineRule="auto"/>
        <w:ind w:firstLine="420"/>
        <w:rPr>
          <w:rStyle w:val="da"/>
          <w:rFonts w:asciiTheme="minorEastAsia" w:eastAsiaTheme="minorEastAsia" w:hAnsiTheme="minorEastAsia" w:cs="宋体" w:hint="eastAsia"/>
          <w:szCs w:val="21"/>
          <w:lang w:eastAsia="zh-CN"/>
        </w:rPr>
      </w:pPr>
      <w:bookmarkStart w:id="1824" w:name="_Toc332373531"/>
      <w:r w:rsidRPr="008406C0">
        <w:rPr>
          <w:rStyle w:val="da"/>
          <w:rFonts w:asciiTheme="minorEastAsia" w:eastAsiaTheme="minorEastAsia" w:hAnsiTheme="minorEastAsia" w:cs="宋体" w:hint="eastAsia"/>
          <w:szCs w:val="21"/>
          <w:lang w:eastAsia="zh-CN"/>
        </w:rPr>
        <w:t>本基金业绩比较基准为：上证综合指数收益率×95%+活期存款基准利率×5%。</w:t>
      </w:r>
    </w:p>
    <w:p w:rsidR="008406C0" w:rsidRPr="008406C0" w:rsidP="008406C0" w14:paraId="3B66DC0A" w14:textId="77777777">
      <w:pPr>
        <w:spacing w:line="360" w:lineRule="auto"/>
        <w:ind w:firstLine="420"/>
        <w:rPr>
          <w:rStyle w:val="da"/>
          <w:rFonts w:asciiTheme="minorEastAsia" w:eastAsiaTheme="minorEastAsia" w:hAnsiTheme="minorEastAsia" w:cs="宋体" w:hint="eastAsia"/>
          <w:szCs w:val="21"/>
          <w:lang w:eastAsia="zh-CN"/>
        </w:rPr>
      </w:pPr>
      <w:r w:rsidRPr="008406C0">
        <w:rPr>
          <w:rStyle w:val="da"/>
          <w:rFonts w:asciiTheme="minorEastAsia" w:eastAsiaTheme="minorEastAsia" w:hAnsiTheme="minorEastAsia" w:cs="宋体" w:hint="eastAsia"/>
          <w:szCs w:val="21"/>
          <w:lang w:eastAsia="zh-CN"/>
        </w:rPr>
        <w:t>1、业绩比较基准设定的原因</w:t>
      </w:r>
    </w:p>
    <w:p w:rsidR="008406C0" w:rsidRPr="008406C0" w:rsidP="008406C0" w14:paraId="74144EE9" w14:textId="77777777">
      <w:pPr>
        <w:spacing w:line="360" w:lineRule="auto"/>
        <w:ind w:firstLine="420"/>
        <w:rPr>
          <w:rStyle w:val="da"/>
          <w:rFonts w:asciiTheme="minorEastAsia" w:eastAsiaTheme="minorEastAsia" w:hAnsiTheme="minorEastAsia" w:cs="宋体" w:hint="eastAsia"/>
          <w:szCs w:val="21"/>
          <w:lang w:eastAsia="zh-CN"/>
        </w:rPr>
      </w:pPr>
      <w:r w:rsidRPr="008406C0">
        <w:rPr>
          <w:rStyle w:val="da"/>
          <w:rFonts w:asciiTheme="minorEastAsia" w:eastAsiaTheme="minorEastAsia" w:hAnsiTheme="minorEastAsia" w:cs="宋体" w:hint="eastAsia"/>
          <w:szCs w:val="21"/>
          <w:lang w:eastAsia="zh-CN"/>
        </w:rPr>
        <w:t>本基金为目标ETF的联接基金，主要通过投资于目标ETF实现对业绩比较基准的紧密跟踪，以“紧密跟踪业绩比较基准，追求跟踪偏离度和跟踪误差的最小化”作为投资目标，在投资中将不低于基金资产净值90%的资产投资于目标ETF并保留不低于基金资产净值5%的现金或者到期日在一年以内的政府债券。</w:t>
      </w:r>
    </w:p>
    <w:p w:rsidR="008406C0" w:rsidRPr="008406C0" w:rsidP="008406C0" w14:paraId="4A243455" w14:textId="77777777">
      <w:pPr>
        <w:spacing w:line="360" w:lineRule="auto"/>
        <w:ind w:firstLine="420"/>
        <w:rPr>
          <w:rStyle w:val="da"/>
          <w:rFonts w:asciiTheme="minorEastAsia" w:eastAsiaTheme="minorEastAsia" w:hAnsiTheme="minorEastAsia" w:cs="宋体" w:hint="eastAsia"/>
          <w:szCs w:val="21"/>
          <w:lang w:eastAsia="zh-CN"/>
        </w:rPr>
      </w:pPr>
      <w:r w:rsidRPr="008406C0">
        <w:rPr>
          <w:rStyle w:val="da"/>
          <w:rFonts w:asciiTheme="minorEastAsia" w:eastAsiaTheme="minorEastAsia" w:hAnsiTheme="minorEastAsia" w:cs="宋体" w:hint="eastAsia"/>
          <w:szCs w:val="21"/>
          <w:lang w:eastAsia="zh-CN"/>
        </w:rPr>
        <w:t>本基金的标的指数为上证综合指数，选取上证综合指数作为权益资产的基准要素，选取活期存款基准利率作为现金资产的基准要素，并按照预期大类资产配置的情况，将权益资产与现金资产所对应的基准要素权重分别设置为95%与5%。</w:t>
      </w:r>
    </w:p>
    <w:p w:rsidR="008406C0" w:rsidRPr="008406C0" w:rsidP="008406C0" w14:paraId="69F88C19" w14:textId="77777777">
      <w:pPr>
        <w:spacing w:line="360" w:lineRule="auto"/>
        <w:ind w:firstLine="420"/>
        <w:rPr>
          <w:rStyle w:val="da"/>
          <w:rFonts w:asciiTheme="minorEastAsia" w:eastAsiaTheme="minorEastAsia" w:hAnsiTheme="minorEastAsia" w:cs="宋体" w:hint="eastAsia"/>
          <w:szCs w:val="21"/>
          <w:lang w:eastAsia="zh-CN"/>
        </w:rPr>
      </w:pPr>
      <w:r w:rsidRPr="008406C0">
        <w:rPr>
          <w:rStyle w:val="da"/>
          <w:rFonts w:asciiTheme="minorEastAsia" w:eastAsiaTheme="minorEastAsia" w:hAnsiTheme="minorEastAsia" w:cs="宋体" w:hint="eastAsia"/>
          <w:szCs w:val="21"/>
          <w:lang w:eastAsia="zh-CN"/>
        </w:rPr>
        <w:t>综上，本基金选取的业绩比较基准与基金投资目标、投资范围、投资策略、投资比例限制相匹配。</w:t>
      </w:r>
    </w:p>
    <w:p w:rsidR="008406C0" w:rsidRPr="008406C0" w:rsidP="008406C0" w14:paraId="7F239882" w14:textId="77777777">
      <w:pPr>
        <w:spacing w:line="360" w:lineRule="auto"/>
        <w:ind w:firstLine="420"/>
        <w:rPr>
          <w:rStyle w:val="da"/>
          <w:rFonts w:asciiTheme="minorEastAsia" w:eastAsiaTheme="minorEastAsia" w:hAnsiTheme="minorEastAsia" w:cs="宋体" w:hint="eastAsia"/>
          <w:szCs w:val="21"/>
          <w:lang w:eastAsia="zh-CN"/>
        </w:rPr>
      </w:pPr>
      <w:r w:rsidRPr="008406C0">
        <w:rPr>
          <w:rStyle w:val="da"/>
          <w:rFonts w:asciiTheme="minorEastAsia" w:eastAsiaTheme="minorEastAsia" w:hAnsiTheme="minorEastAsia" w:cs="宋体" w:hint="eastAsia"/>
          <w:szCs w:val="21"/>
          <w:lang w:eastAsia="zh-CN"/>
        </w:rPr>
        <w:t>2、业绩比较基准要素的基本信息</w:t>
      </w:r>
    </w:p>
    <w:p w:rsidR="008406C0" w:rsidRPr="008406C0" w:rsidP="008406C0" w14:paraId="139EB5FB" w14:textId="77777777">
      <w:pPr>
        <w:spacing w:line="360" w:lineRule="auto"/>
        <w:ind w:firstLine="420"/>
        <w:rPr>
          <w:rStyle w:val="da"/>
          <w:rFonts w:asciiTheme="minorEastAsia" w:eastAsiaTheme="minorEastAsia" w:hAnsiTheme="minorEastAsia" w:cs="宋体" w:hint="eastAsia"/>
          <w:szCs w:val="21"/>
          <w:lang w:eastAsia="zh-CN"/>
        </w:rPr>
      </w:pPr>
      <w:r w:rsidRPr="008406C0">
        <w:rPr>
          <w:rStyle w:val="da"/>
          <w:rFonts w:asciiTheme="minorEastAsia" w:eastAsiaTheme="minorEastAsia" w:hAnsiTheme="minorEastAsia" w:cs="宋体" w:hint="eastAsia"/>
          <w:szCs w:val="21"/>
          <w:lang w:eastAsia="zh-CN"/>
        </w:rPr>
        <w:t>上证综合指数由中证指数有限公司编制发布，指数代码为000001，指数具体信息详见中证指数有限公司网站，网址：www.csindex.com.cn。</w:t>
      </w:r>
    </w:p>
    <w:p w:rsidR="008406C0" w:rsidRPr="008406C0" w:rsidP="008406C0" w14:paraId="4AB8104F" w14:textId="77777777">
      <w:pPr>
        <w:spacing w:line="360" w:lineRule="auto"/>
        <w:ind w:firstLine="420"/>
        <w:rPr>
          <w:rStyle w:val="da"/>
          <w:rFonts w:asciiTheme="minorEastAsia" w:eastAsiaTheme="minorEastAsia" w:hAnsiTheme="minorEastAsia" w:cs="宋体" w:hint="eastAsia"/>
          <w:szCs w:val="21"/>
          <w:lang w:eastAsia="zh-CN"/>
        </w:rPr>
      </w:pPr>
      <w:r w:rsidRPr="008406C0">
        <w:rPr>
          <w:rStyle w:val="da"/>
          <w:rFonts w:asciiTheme="minorEastAsia" w:eastAsiaTheme="minorEastAsia" w:hAnsiTheme="minorEastAsia" w:cs="宋体" w:hint="eastAsia"/>
          <w:szCs w:val="21"/>
          <w:lang w:eastAsia="zh-CN"/>
        </w:rPr>
        <w:t>3、业绩比较基准的计算方法</w:t>
      </w:r>
    </w:p>
    <w:p w:rsidR="008406C0" w:rsidRPr="008406C0" w:rsidP="008406C0" w14:paraId="12569466" w14:textId="77777777">
      <w:pPr>
        <w:spacing w:line="360" w:lineRule="auto"/>
        <w:ind w:firstLine="420"/>
        <w:rPr>
          <w:rStyle w:val="da"/>
          <w:rFonts w:asciiTheme="minorEastAsia" w:eastAsiaTheme="minorEastAsia" w:hAnsiTheme="minorEastAsia" w:cs="宋体" w:hint="eastAsia"/>
          <w:szCs w:val="21"/>
          <w:lang w:eastAsia="zh-CN"/>
        </w:rPr>
      </w:pPr>
      <w:r w:rsidRPr="008406C0">
        <w:rPr>
          <w:rStyle w:val="da"/>
          <w:rFonts w:asciiTheme="minorEastAsia" w:eastAsiaTheme="minorEastAsia" w:hAnsiTheme="minorEastAsia" w:cs="宋体" w:hint="eastAsia"/>
          <w:szCs w:val="21"/>
          <w:lang w:eastAsia="zh-CN"/>
        </w:rPr>
        <w:t>本基金业绩比较基准收益率的计算方法以每日收益率为基础，以时间加权为计算原则。本基金先分别计算业绩比较基准中上证综合指数、活期存款基准利率的每日收益率，再按照预设权重比例计算当日组合要素基准的日收益率，</w:t>
      </w:r>
      <w:r w:rsidR="002C5727">
        <w:rPr>
          <w:rStyle w:val="da"/>
          <w:rFonts w:asciiTheme="minorEastAsia" w:eastAsiaTheme="minorEastAsia" w:hAnsiTheme="minorEastAsia" w:cs="宋体" w:hint="eastAsia"/>
          <w:szCs w:val="21"/>
          <w:lang w:eastAsia="zh-CN"/>
        </w:rPr>
        <w:t>最后</w:t>
      </w:r>
      <w:r w:rsidRPr="002E6CB0" w:rsidR="002E6CB0">
        <w:rPr>
          <w:rStyle w:val="da"/>
          <w:rFonts w:asciiTheme="minorEastAsia" w:eastAsiaTheme="minorEastAsia" w:hAnsiTheme="minorEastAsia" w:cs="宋体" w:hint="eastAsia"/>
          <w:szCs w:val="21"/>
          <w:lang w:eastAsia="zh-CN"/>
        </w:rPr>
        <w:t>通过每日连乘的方式计算业绩比较基准收益率</w:t>
      </w:r>
      <w:r w:rsidRPr="008406C0">
        <w:rPr>
          <w:rStyle w:val="da"/>
          <w:rFonts w:asciiTheme="minorEastAsia" w:eastAsiaTheme="minorEastAsia" w:hAnsiTheme="minorEastAsia" w:cs="宋体" w:hint="eastAsia"/>
          <w:szCs w:val="21"/>
          <w:lang w:eastAsia="zh-CN"/>
        </w:rPr>
        <w:t>。</w:t>
      </w:r>
    </w:p>
    <w:p w:rsidR="008406C0" w:rsidRPr="008406C0" w:rsidP="008406C0" w14:paraId="1E87BD89" w14:textId="77777777">
      <w:pPr>
        <w:spacing w:line="360" w:lineRule="auto"/>
        <w:ind w:firstLine="420"/>
        <w:rPr>
          <w:rStyle w:val="da"/>
          <w:rFonts w:asciiTheme="minorEastAsia" w:eastAsiaTheme="minorEastAsia" w:hAnsiTheme="minorEastAsia" w:cs="宋体" w:hint="eastAsia"/>
          <w:szCs w:val="21"/>
          <w:lang w:eastAsia="zh-CN"/>
        </w:rPr>
      </w:pPr>
      <w:r w:rsidRPr="008406C0">
        <w:rPr>
          <w:rStyle w:val="da"/>
          <w:rFonts w:asciiTheme="minorEastAsia" w:eastAsiaTheme="minorEastAsia" w:hAnsiTheme="minorEastAsia" w:cs="宋体" w:hint="eastAsia"/>
          <w:szCs w:val="21"/>
          <w:lang w:eastAsia="zh-CN"/>
        </w:rPr>
        <w:t>4、管理投资偏离业绩比较基准的定性或定量方法</w:t>
      </w:r>
    </w:p>
    <w:p w:rsidR="008406C0" w:rsidRPr="008406C0" w:rsidP="008406C0" w14:paraId="587EF840" w14:textId="77777777">
      <w:pPr>
        <w:spacing w:line="360" w:lineRule="auto"/>
        <w:ind w:firstLine="420"/>
        <w:rPr>
          <w:rStyle w:val="da"/>
          <w:rFonts w:asciiTheme="minorEastAsia" w:eastAsiaTheme="minorEastAsia" w:hAnsiTheme="minorEastAsia" w:cs="宋体" w:hint="eastAsia"/>
          <w:szCs w:val="21"/>
          <w:lang w:eastAsia="zh-CN"/>
        </w:rPr>
      </w:pPr>
      <w:r w:rsidRPr="008406C0">
        <w:rPr>
          <w:rStyle w:val="da"/>
          <w:rFonts w:asciiTheme="minorEastAsia" w:eastAsiaTheme="minorEastAsia" w:hAnsiTheme="minorEastAsia" w:cs="宋体" w:hint="eastAsia"/>
          <w:szCs w:val="21"/>
          <w:lang w:eastAsia="zh-CN"/>
        </w:rPr>
        <w:t>本基金为目标ETF的联接基金，主要通过投资于目标ETF实现对业绩比较基准的紧密跟踪，力争将日均跟踪偏离度的绝对值控制在0.35%以内，年化跟踪误差控制在4%以内。如因标的指数编制规则调整或其他因素导致跟踪误差超过上述范围，基金管理人应采取合理措施避免跟踪误差进一步扩大。</w:t>
      </w:r>
    </w:p>
    <w:p w:rsidR="008406C0" w:rsidRPr="008406C0" w:rsidP="008406C0" w14:paraId="1A069408" w14:textId="77777777">
      <w:pPr>
        <w:spacing w:line="360" w:lineRule="auto"/>
        <w:ind w:firstLine="420"/>
        <w:rPr>
          <w:rStyle w:val="da"/>
          <w:rFonts w:asciiTheme="minorEastAsia" w:eastAsiaTheme="minorEastAsia" w:hAnsiTheme="minorEastAsia" w:cs="宋体" w:hint="eastAsia"/>
          <w:szCs w:val="21"/>
          <w:lang w:eastAsia="zh-CN"/>
        </w:rPr>
      </w:pPr>
      <w:r w:rsidRPr="008406C0">
        <w:rPr>
          <w:rStyle w:val="da"/>
          <w:rFonts w:asciiTheme="minorEastAsia" w:eastAsiaTheme="minorEastAsia" w:hAnsiTheme="minorEastAsia" w:cs="宋体" w:hint="eastAsia"/>
          <w:szCs w:val="21"/>
          <w:lang w:eastAsia="zh-CN"/>
        </w:rPr>
        <w:t>5、未来可能变更业绩比较基准的情况和程序</w:t>
      </w:r>
    </w:p>
    <w:p w:rsidR="009F340D" w:rsidRPr="00A936B7" w14:paraId="377D8EF8" w14:textId="77777777">
      <w:pPr>
        <w:spacing w:line="360" w:lineRule="auto"/>
        <w:ind w:firstLine="420"/>
        <w:rPr>
          <w:rStyle w:val="da"/>
          <w:rFonts w:asciiTheme="minorEastAsia" w:eastAsiaTheme="minorEastAsia" w:hAnsiTheme="minorEastAsia" w:cs="宋体" w:hint="eastAsia"/>
          <w:szCs w:val="21"/>
          <w:lang w:eastAsia="zh-CN"/>
        </w:rPr>
      </w:pPr>
      <w:r w:rsidRPr="008406C0">
        <w:rPr>
          <w:rStyle w:val="da"/>
          <w:rFonts w:asciiTheme="minorEastAsia" w:eastAsiaTheme="minorEastAsia" w:hAnsiTheme="minorEastAsia" w:cs="宋体" w:hint="eastAsia"/>
          <w:szCs w:val="21"/>
          <w:lang w:eastAsia="zh-CN"/>
        </w:rPr>
        <w:t>若本基金调整业绩比较基准的要素权重，本基金将根据法律法规、中国证监会的规定和基金合同约定履行相关程序。</w:t>
      </w:r>
    </w:p>
    <w:p w:rsidR="009F340D" w:rsidRPr="00A936B7" w14:paraId="66E29EA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未来若出现标的指数不符合法律法规及监管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w:t>
      </w:r>
    </w:p>
    <w:p w:rsidR="009F340D" w:rsidRPr="00A936B7" w14:paraId="1EED4F5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自指数编制机构停止标的指数的编制及发布至解决方案确定期间，基金管理人应按照指数编制机构提供的最近一个交易日的指数信息遵循基金份额持有人利益优先原则维持基金投资运作。</w:t>
      </w:r>
    </w:p>
    <w:p w:rsidR="009F340D" w:rsidRPr="00A936B7" w14:paraId="1109EBA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法律法规或监管机构另有规定的，从其规定。</w:t>
      </w:r>
    </w:p>
    <w:p w:rsidR="009F340D" w:rsidRPr="00A936B7" w14:paraId="44A1B20B" w14:textId="77777777">
      <w:pPr>
        <w:spacing w:line="360" w:lineRule="auto"/>
        <w:ind w:firstLine="420"/>
        <w:rPr>
          <w:rStyle w:val="da"/>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color w:val="000000"/>
          <w:szCs w:val="21"/>
          <w:highlight w:val="white"/>
          <w:lang w:eastAsia="zh-CN"/>
        </w:rPr>
        <w:t>五</w:t>
      </w:r>
      <w:r w:rsidRPr="00A936B7">
        <w:rPr>
          <w:rStyle w:val="da"/>
          <w:rFonts w:asciiTheme="minorEastAsia" w:eastAsiaTheme="minorEastAsia" w:hAnsiTheme="minorEastAsia" w:cs="宋体" w:hint="eastAsia"/>
          <w:szCs w:val="21"/>
          <w:highlight w:val="white"/>
          <w:lang w:eastAsia="zh-CN"/>
        </w:rPr>
        <w:t>、风险收益特征</w:t>
      </w:r>
      <w:bookmarkEnd w:id="1824"/>
    </w:p>
    <w:p w:rsidR="009F340D" w:rsidRPr="00A936B7" w14:paraId="0A382412" w14:textId="77777777">
      <w:pPr>
        <w:spacing w:line="360" w:lineRule="auto"/>
        <w:ind w:firstLine="420"/>
        <w:rPr>
          <w:rStyle w:val="da"/>
          <w:rFonts w:asciiTheme="minorEastAsia" w:eastAsiaTheme="minorEastAsia" w:hAnsiTheme="minorEastAsia" w:cs="宋体" w:hint="eastAsia"/>
          <w:szCs w:val="21"/>
          <w:lang w:eastAsia="zh-CN"/>
        </w:rPr>
      </w:pPr>
      <w:bookmarkStart w:id="1825" w:name="_Toc332373533"/>
      <w:r w:rsidRPr="00A936B7">
        <w:rPr>
          <w:rStyle w:val="da"/>
          <w:rFonts w:asciiTheme="minorEastAsia" w:eastAsiaTheme="minorEastAsia" w:hAnsiTheme="minorEastAsia" w:cs="宋体" w:hint="eastAsia"/>
          <w:szCs w:val="21"/>
          <w:lang w:eastAsia="zh-CN"/>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p w:rsidR="009F340D" w:rsidRPr="00A936B7" w14:paraId="26CC726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六、投资禁止行为与限制</w:t>
      </w:r>
      <w:bookmarkEnd w:id="1825"/>
    </w:p>
    <w:p w:rsidR="009F340D" w:rsidRPr="00A936B7" w14:paraId="0C4C8A5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1、禁止行为</w:t>
      </w:r>
    </w:p>
    <w:p w:rsidR="009F340D" w:rsidRPr="00A936B7" w14:paraId="6F631D2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为维护基金份额持有人的合法权益，基金财产不得用于下列投资或者活动：</w:t>
      </w:r>
    </w:p>
    <w:p w:rsidR="009F340D" w:rsidRPr="00A936B7" w14:paraId="4862C8F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（1）承销证券；</w:t>
      </w:r>
    </w:p>
    <w:p w:rsidR="009F340D" w:rsidRPr="00A936B7" w14:paraId="10C5B87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（2）违反规定向他人贷款或者提供担保；</w:t>
      </w:r>
    </w:p>
    <w:p w:rsidR="009F340D" w:rsidRPr="00A936B7" w14:paraId="0C42F1F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（3）从事承担无限责任的投资；</w:t>
      </w:r>
    </w:p>
    <w:p w:rsidR="009F340D" w:rsidRPr="00A936B7" w14:paraId="7F4A76A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（4）向其基金管理人、基金托管人出资；</w:t>
      </w:r>
    </w:p>
    <w:p w:rsidR="009F340D" w:rsidRPr="00A936B7" w14:paraId="66B725F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（5）从事内幕交易、操纵证券交易价格及其他不正当的证券交易活动；</w:t>
      </w:r>
    </w:p>
    <w:p w:rsidR="009F340D" w:rsidRPr="00A936B7" w14:paraId="1B39004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（6）法律、行政法规和中国证监会规定禁止的其他活动。</w:t>
      </w:r>
    </w:p>
    <w:p w:rsidR="009F340D" w:rsidRPr="00A936B7" w14:paraId="74CD55F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2、投资组合限制</w:t>
      </w:r>
    </w:p>
    <w:p w:rsidR="009F340D" w:rsidRPr="00A936B7" w14:paraId="04672C2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基金的投资组合应遵循以下限制：</w:t>
      </w:r>
    </w:p>
    <w:p w:rsidR="009F340D" w:rsidRPr="00A936B7" w14:paraId="0515F57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（1）本基金投资于目标ETF的资产不低于基金资产净值的90%；</w:t>
      </w:r>
    </w:p>
    <w:p w:rsidR="009F340D" w:rsidRPr="00A936B7" w14:paraId="3677990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（2）保持不低于基金资产净值5%的现金或者到期日在一年以内的政府债券，其中现金不包括结算备付金、存出保证金和应收申购款等；</w:t>
      </w:r>
    </w:p>
    <w:p w:rsidR="009F340D" w:rsidRPr="00A936B7" w14:paraId="2536422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（3）本基金投资于同一原始权益人的各类资产支持证券的比例，不得超过基金资产净值的10%；</w:t>
      </w:r>
    </w:p>
    <w:p w:rsidR="009F340D" w:rsidRPr="00A936B7" w14:paraId="2D94131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（4）本基金持有的全部资产支持证券，其市值不得超过基金资产净值的20%；</w:t>
      </w:r>
    </w:p>
    <w:p w:rsidR="009F340D" w:rsidRPr="00A936B7" w14:paraId="24ACC25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（5）本基金持有的同一(指同一信用级别)资产支持证券的比例，不得超过该资产支持证券规模的10%；</w:t>
      </w:r>
    </w:p>
    <w:p w:rsidR="009F340D" w:rsidRPr="00A936B7" w14:paraId="12A8D99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（6）本基金管理人管理的全部基金投资于同一原始权益人的各类资产支持证券，不得超过其各类资产支持证券合计规模的10%；</w:t>
      </w:r>
    </w:p>
    <w:p w:rsidR="009F340D" w:rsidRPr="00A936B7" w14:paraId="72B0B9C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（7）本基金应投资于信用级别评级为BBB以上(含BBB)的资产支持证券。基金持有资产支持证券期间，如果其信用等级下降、不再符合投资标准，应在评级报告发布之日起3个月内予以全部卖出；</w:t>
      </w:r>
    </w:p>
    <w:p w:rsidR="009F340D" w:rsidRPr="00A936B7" w14:paraId="00D47A3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（8）基金财产参与股票发行申购，本基金所申报的金额不超过本基金的总资产，本基金所申报的股票数量不超过拟发行股票公司本次发行股票的总量；</w:t>
      </w:r>
    </w:p>
    <w:p w:rsidR="009F340D" w:rsidRPr="00A936B7" w14:paraId="72613EF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9）本基金参与股指期货交易的，应当符合下列要求：在任何交易日日终，持有的买入股指期货合约价值，不得超过基金资产净值的10%；在任何交易日日终，持有的买入国债期货和股指期货合约价值与有价证券市值之和，不得超过基金资产净值的100%，其中，有价证券指目标ETF、股票、债券（不含到期日在一年以内的政府债券）、资产支持证券、买入返售金融资产（不含质押式回购）等；在任何交易日日终，持有的卖出股指期货合约价值不得超过基金持有的股票及目标ETF总市值的20%；持有的股票市值和买入、卖出股指期货合约价值，合计（轧差计算）应当符合基金合同关于股票投资比例的有关约定；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9F340D" w:rsidRPr="00A936B7" w14:paraId="17B938F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10）本基金参与国债期货交易的，应当符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rsidR="009F340D" w:rsidRPr="00A936B7" w14:paraId="37CA1ED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11）本基金参与股票期权交易的，应当符合下列要求：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rsidR="009F340D" w:rsidRPr="00A936B7" w14:paraId="600DD4C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（12）基金参与融资业务后，在任何交易日日终，持有的融资买入股票与其他有价证券市值之和，不得超过基金资产净值的95%；</w:t>
      </w:r>
    </w:p>
    <w:p w:rsidR="009F340D" w:rsidRPr="00A936B7" w14:paraId="0DA9AD3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13）本基金参与转融通证券出借业务的，应当符合下列要求：出借证券资产不得超过基金资产净值的30%，出借期限在10个交易日以上的出借证券应纳入《流动性风险管理规定》所述流动性受限证券的范围；参与出借业务的单只证券不得超过基金持有该证券总量的50%；最近6个月内日均基金资产净值不得低于2</w:t>
      </w:r>
      <w:r w:rsidRPr="00A936B7">
        <w:rPr>
          <w:rStyle w:val="da"/>
          <w:rFonts w:asciiTheme="minorEastAsia" w:eastAsiaTheme="minorEastAsia" w:hAnsiTheme="minorEastAsia" w:cs="宋体" w:hint="eastAsia"/>
          <w:szCs w:val="21"/>
          <w:highlight w:val="white"/>
          <w:lang w:eastAsia="zh-CN"/>
        </w:rPr>
        <w:t>亿元；证券出借的平均剩余期限不得超过30天，平均剩余期限按照市值加权平均计算；</w:t>
      </w:r>
    </w:p>
    <w:p w:rsidR="009F340D" w:rsidRPr="00A936B7" w14:paraId="4167E52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14）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9F340D" w:rsidRPr="00A936B7" w14:paraId="49CF343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（15）本基金与私募类证券资管产品及中国证监会认定的其他主体为交易对手开展逆回购交易的，可接受质押品的资质要求应当与基金合同约定的投资范围保持一致；</w:t>
      </w:r>
    </w:p>
    <w:p w:rsidR="009F340D" w:rsidRPr="00A936B7" w14:paraId="2D13893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（16）本基金资产总值不超过基金资产净值的140%；</w:t>
      </w:r>
    </w:p>
    <w:p w:rsidR="009F340D" w:rsidRPr="00A936B7" w14:paraId="6183A4E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（17）本基金投资存托凭证的比例限制依照境内上市交易的股票执行，与境内上市交易的股票合并计算；</w:t>
      </w:r>
    </w:p>
    <w:p w:rsidR="009F340D" w:rsidRPr="00A936B7" w14:paraId="125AD67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（18）法律法规及中国证监会规定的和《基金合同》约定的其他投资限制。</w:t>
      </w:r>
    </w:p>
    <w:p w:rsidR="009F340D" w:rsidRPr="00A936B7" w14:paraId="41E1655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因证券/期货市场波动、证券发行人合并、基金规模变动、标的指数成份股调整、流动性限制、目标ETF暂停申购、赎回或二级市场交易停牌等基金管理人之外的因素致使基金投资比例不符合上述第（1）项规定投资比例的，基金管理人应当在20个交易日内进行调整；除上述（1）、（2）、（7）、（8）、（13）、（14）、（15）情形之外，因证券/期货市场波动、证券发行人合并、基金规模变动、标的指数成份股调整、流动性限制、目标ETF暂停申购、赎回或二级市场交易停牌等基金管理人之外的因素致使基金投资比例不符合上述规定投资比例的，基金管理人应当在10个交易日内进行调整，但中国证监会规定的特殊情形除外。因证券/期货市场波动、证券发行人合并、基金规模变动等基金管理人之外的因素致使基金投资不符合第（13）项规定的，基金管理人不得新增出借业务。法律法规或监管部门另有规定的，届时按最新规定执行。</w:t>
      </w:r>
    </w:p>
    <w:p w:rsidR="009F340D" w:rsidRPr="00A936B7" w14:paraId="7EF8E46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9F340D" w:rsidRPr="00A936B7" w14:paraId="2D607AE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w:t>
      </w:r>
      <w:r w:rsidRPr="00A936B7">
        <w:rPr>
          <w:rStyle w:val="da"/>
          <w:rFonts w:asciiTheme="minorEastAsia" w:eastAsiaTheme="minorEastAsia" w:hAnsiTheme="minorEastAsia" w:cs="宋体" w:hint="eastAsia"/>
          <w:szCs w:val="21"/>
          <w:highlight w:val="white"/>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9F340D" w:rsidRPr="00A936B7" w14:paraId="6956A34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w:t>
      </w:r>
      <w:r w:rsidRPr="00A936B7">
        <w:rPr>
          <w:rStyle w:val="da"/>
          <w:rFonts w:asciiTheme="minorEastAsia" w:eastAsiaTheme="minorEastAsia" w:hAnsiTheme="minorEastAsia" w:cs="宋体" w:hint="eastAsia"/>
          <w:szCs w:val="21"/>
          <w:highlight w:val="white"/>
          <w:lang w:eastAsia="zh-CN"/>
        </w:rPr>
        <w:t>、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9F340D" w:rsidRPr="00A936B7" w14:paraId="3BC3256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七、目标ETF发生相关变更情形的处理方式</w:t>
      </w:r>
    </w:p>
    <w:p w:rsidR="009F340D" w:rsidRPr="00A936B7" w14:paraId="487E99E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目标ETF出现下述情形之一的，本基金将由投资于目标ETF的联接基金变更为直接投资该标的指数的指数基金，无需召开基金份额持有人大会。相应地，本基金基金合同中将删除关于目标ETF的表述部分，届时将由基金管理人另行公告。</w:t>
      </w:r>
    </w:p>
    <w:p w:rsidR="009F340D" w:rsidRPr="00A936B7" w14:paraId="3BE27F8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1、目标ETF交易方式发生重大变更致使本基金的投资策略难以实现；</w:t>
      </w:r>
    </w:p>
    <w:p w:rsidR="009F340D" w:rsidRPr="00A936B7" w14:paraId="7B42D3E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2、目标ETF终止上市；</w:t>
      </w:r>
    </w:p>
    <w:p w:rsidR="009F340D" w:rsidRPr="00A936B7" w14:paraId="4DC9174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3、目标ETF基金合同终止；</w:t>
      </w:r>
    </w:p>
    <w:p w:rsidR="009F340D" w:rsidRPr="00A936B7" w14:paraId="368F7D2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4、目标ETF与其他基金进行合并；</w:t>
      </w:r>
    </w:p>
    <w:p w:rsidR="009F340D" w:rsidRPr="00A936B7" w14:paraId="39C1F48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5、目标ETF的基金管理人发生变更；</w:t>
      </w:r>
    </w:p>
    <w:p w:rsidR="009F340D" w:rsidRPr="00A936B7" w14:paraId="60CE95F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6、中国证监会规定的其他情形。</w:t>
      </w:r>
    </w:p>
    <w:p w:rsidR="009F340D" w:rsidRPr="00A936B7" w14:paraId="705C040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若目标ETF召开基金份额持有人大会审议变更目标ETF标的指数事项的，本基金的基金份额持有人可出席目标ETF基金份额持有人大会并进行表决，目标ETF基金份额持有人大会审议通过变更标的指数事项的，本基金可不召开基金份额持有人大会相应变更标的指数并仍为该目标ETF的联接基金。</w:t>
      </w:r>
    </w:p>
    <w:p w:rsidR="009F340D" w:rsidRPr="00A936B7" w14:paraId="1513CF4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hint="eastAsia"/>
          <w:highlight w:val="white"/>
          <w:lang w:eastAsia="zh-CN"/>
        </w:rPr>
        <w:t>八、基金管理人代表基金行使股东或债权人权利的处理原则及方法</w:t>
      </w:r>
    </w:p>
    <w:p w:rsidR="009F340D" w:rsidRPr="00A936B7" w14:paraId="3403699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hint="eastAsia"/>
          <w:highlight w:val="white"/>
          <w:lang w:eastAsia="zh-CN"/>
        </w:rPr>
        <w:t xml:space="preserve">1、基金管理人按照国家有关规定代表基金独立行使股东或债权人权利，保护基金份额持有人的利益； </w:t>
      </w:r>
    </w:p>
    <w:p w:rsidR="009F340D" w:rsidRPr="00A936B7" w14:paraId="01F7032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hint="eastAsia"/>
          <w:highlight w:val="white"/>
          <w:lang w:eastAsia="zh-CN"/>
        </w:rPr>
        <w:t xml:space="preserve">2、不谋求对上市公司的控股； </w:t>
      </w:r>
    </w:p>
    <w:p w:rsidR="009F340D" w:rsidRPr="00A936B7" w14:paraId="7C3FB5B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hint="eastAsia"/>
          <w:highlight w:val="white"/>
          <w:lang w:eastAsia="zh-CN"/>
        </w:rPr>
        <w:t xml:space="preserve">3、有利于基金财产的安全与增值； </w:t>
      </w:r>
    </w:p>
    <w:p w:rsidR="009F340D" w:rsidRPr="00A936B7" w14:paraId="332B3E8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hint="eastAsia"/>
          <w:highlight w:val="white"/>
          <w:lang w:eastAsia="zh-CN"/>
        </w:rPr>
        <w:t>4、不通过关联交易为自身、雇员、授权代理人或任何存在利害关系的第三人牟取任何不当利益。</w:t>
      </w:r>
    </w:p>
    <w:p w:rsidR="009F340D" w:rsidRPr="00A936B7" w14:paraId="1D0B3E3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九、侧袋机制的实施和投资运作安排</w:t>
      </w:r>
    </w:p>
    <w:p w:rsidR="009F340D" w:rsidRPr="00A936B7" w14:paraId="535F07D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9F340D" w:rsidRPr="00A936B7" w14:paraId="7FBCBBF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侧袋机制实施期间，本部分约定的投资组合比例、投资策略、组合限制、业绩比较基准、风险收益特征等约定仅适用于主袋账户。</w:t>
      </w:r>
    </w:p>
    <w:p w:rsidR="009F340D" w:rsidRPr="00A936B7" w14:paraId="0683CC0C" w14:textId="77777777">
      <w:pPr>
        <w:spacing w:line="360" w:lineRule="auto"/>
        <w:ind w:firstLine="422"/>
        <w:rPr>
          <w:rFonts w:asciiTheme="minorEastAsia" w:eastAsiaTheme="minorEastAsia" w:hAnsiTheme="minorEastAsia" w:cs="宋体" w:hint="eastAsia"/>
          <w:b/>
          <w:i/>
          <w:szCs w:val="21"/>
          <w:lang w:eastAsia="zh-CN"/>
        </w:rPr>
      </w:pPr>
      <w:r w:rsidRPr="00A936B7">
        <w:rPr>
          <w:rStyle w:val="da"/>
          <w:rFonts w:asciiTheme="minorEastAsia" w:eastAsiaTheme="minorEastAsia" w:hAnsiTheme="minorEastAsia" w:cs="宋体" w:hint="eastAsia"/>
          <w:szCs w:val="21"/>
          <w:highlight w:val="white"/>
          <w:lang w:eastAsia="zh-CN"/>
        </w:rPr>
        <w:t>侧袋账户的实施条件、实施程序、运作安排、投资安排、特定资产的处置变现和支付等对投资者权益有重大影响的事项，详见本招募说明书“侧袋机制”部分的规定。</w:t>
      </w:r>
    </w:p>
    <w:p w:rsidR="009F340D" w:rsidRPr="00A936B7" w14:paraId="0937AF9F" w14:textId="77777777">
      <w:pPr>
        <w:pStyle w:val="Heading1"/>
        <w:spacing w:before="317" w:after="317" w:line="360" w:lineRule="auto"/>
        <w:ind w:firstLine="420"/>
        <w:rPr>
          <w:rFonts w:asciiTheme="minorEastAsia" w:eastAsiaTheme="minorEastAsia" w:hAnsiTheme="minorEastAsia" w:cs="宋体" w:hint="eastAsia"/>
          <w:sz w:val="30"/>
          <w:szCs w:val="30"/>
          <w:lang w:eastAsia="zh-CN"/>
        </w:rPr>
      </w:pPr>
      <w:r w:rsidRPr="00A936B7">
        <w:rPr>
          <w:rFonts w:asciiTheme="minorEastAsia" w:eastAsiaTheme="minorEastAsia" w:hAnsiTheme="minorEastAsia" w:cs="宋体" w:hint="eastAsia"/>
          <w:sz w:val="21"/>
          <w:szCs w:val="21"/>
          <w:highlight w:val="white"/>
          <w:lang w:eastAsia="zh-CN"/>
        </w:rPr>
        <w:br w:type="page"/>
      </w:r>
      <w:bookmarkStart w:id="1826" w:name="_Toc332373538"/>
      <w:bookmarkStart w:id="1827" w:name="_Toc129511535"/>
      <w:r w:rsidRPr="00A936B7">
        <w:rPr>
          <w:rFonts w:asciiTheme="minorEastAsia" w:eastAsiaTheme="minorEastAsia" w:hAnsiTheme="minorEastAsia" w:cs="宋体" w:hint="eastAsia"/>
          <w:sz w:val="30"/>
          <w:szCs w:val="30"/>
          <w:highlight w:val="white"/>
          <w:lang w:eastAsia="zh-CN"/>
        </w:rPr>
        <w:t>第十</w:t>
      </w:r>
      <w:r w:rsidRPr="00A936B7">
        <w:rPr>
          <w:rFonts w:asciiTheme="minorEastAsia" w:eastAsiaTheme="minorEastAsia" w:hAnsiTheme="minorEastAsia" w:cs="宋体"/>
          <w:sz w:val="30"/>
          <w:szCs w:val="30"/>
          <w:highlight w:val="white"/>
          <w:lang w:eastAsia="zh-CN"/>
        </w:rPr>
        <w:t>三</w:t>
      </w:r>
      <w:r w:rsidRPr="00A936B7">
        <w:rPr>
          <w:rFonts w:asciiTheme="minorEastAsia" w:eastAsiaTheme="minorEastAsia" w:hAnsiTheme="minorEastAsia" w:cs="宋体" w:hint="eastAsia"/>
          <w:sz w:val="30"/>
          <w:szCs w:val="30"/>
          <w:highlight w:val="white"/>
          <w:lang w:eastAsia="zh-CN"/>
        </w:rPr>
        <w:t>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基金的财产</w:t>
      </w:r>
      <w:bookmarkEnd w:id="1826"/>
      <w:bookmarkEnd w:id="1827"/>
    </w:p>
    <w:p w:rsidR="009F340D" w:rsidRPr="00A936B7" w14:paraId="38591046"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一、基金资产总值</w:t>
      </w:r>
    </w:p>
    <w:p w:rsidR="009F340D" w:rsidRPr="00A936B7" w14:paraId="4BD21908"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基金资产总值是指购买的目标ETF基金份额、各类证券及票据价值、银行存款本息和基金应收的申购基金款以及其他投资所形成的价值总和。</w:t>
      </w:r>
    </w:p>
    <w:p w:rsidR="009F340D" w:rsidRPr="00A936B7" w14:paraId="56172C4F"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二、基金资产净值</w:t>
      </w:r>
    </w:p>
    <w:p w:rsidR="009F340D" w:rsidRPr="00A936B7" w14:paraId="520BBBD3"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基金资产净值是指基金资产总值减去基金负债后的价值。</w:t>
      </w:r>
    </w:p>
    <w:p w:rsidR="009F340D" w:rsidRPr="00A936B7" w14:paraId="2731616D"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三、基金财产的账户</w:t>
      </w:r>
    </w:p>
    <w:p w:rsidR="009F340D" w:rsidRPr="00A936B7" w14:paraId="2C7348EC"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rsidR="009F340D" w:rsidRPr="00A936B7" w14:paraId="5DC153A9"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四、基金财产的保管和处分</w:t>
      </w:r>
    </w:p>
    <w:p w:rsidR="009F340D" w:rsidRPr="00A936B7" w14:paraId="5CB350A3"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本基金财产独立于基金管理人、基金托管人和基金销售机构的财产，并由基金托管人保管。基金管理人、基金托管人不得将基金财产归入其固有财产。基金管理人、基金托管人因基金财产的管理、运用或者其他情形而取得的财产和收益，归入基金财产。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rsidR="009F340D" w:rsidRPr="00A936B7" w14:paraId="662959AD"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rsidR="009F340D" w:rsidRPr="00A936B7" w14:paraId="5B62213B" w14:textId="77777777">
      <w:pPr>
        <w:widowControl/>
        <w:jc w:val="left"/>
        <w:rPr>
          <w:rFonts w:asciiTheme="minorEastAsia" w:eastAsiaTheme="minorEastAsia" w:hAnsiTheme="minorEastAsia" w:cs="宋体" w:hint="eastAsia"/>
          <w:sz w:val="30"/>
          <w:szCs w:val="32"/>
          <w:lang w:eastAsia="zh-CN"/>
        </w:rPr>
      </w:pPr>
      <w:bookmarkStart w:id="1828" w:name="_Hlt88841837"/>
      <w:bookmarkStart w:id="1829" w:name="_Hlt88900062"/>
      <w:bookmarkStart w:id="1830" w:name="_Toc332373543"/>
      <w:bookmarkEnd w:id="1828"/>
      <w:bookmarkEnd w:id="1829"/>
      <w:r w:rsidRPr="00A936B7">
        <w:rPr>
          <w:rFonts w:asciiTheme="minorEastAsia" w:eastAsiaTheme="minorEastAsia" w:hAnsiTheme="minorEastAsia" w:cs="宋体"/>
          <w:sz w:val="30"/>
          <w:highlight w:val="white"/>
          <w:lang w:eastAsia="zh-CN"/>
        </w:rPr>
        <w:br w:type="page"/>
      </w:r>
    </w:p>
    <w:p w:rsidR="009F340D" w:rsidRPr="00A936B7" w14:paraId="5EA1B70A" w14:textId="77777777">
      <w:pPr>
        <w:pStyle w:val="Heading1"/>
        <w:spacing w:before="317" w:after="317" w:line="360" w:lineRule="auto"/>
        <w:ind w:firstLine="600"/>
        <w:rPr>
          <w:rFonts w:asciiTheme="minorEastAsia" w:eastAsiaTheme="minorEastAsia" w:hAnsiTheme="minorEastAsia" w:cs="宋体" w:hint="eastAsia"/>
          <w:sz w:val="30"/>
          <w:szCs w:val="30"/>
          <w:lang w:eastAsia="zh-CN"/>
        </w:rPr>
      </w:pPr>
      <w:bookmarkStart w:id="1831" w:name="_Toc129511536"/>
      <w:r w:rsidRPr="00A936B7">
        <w:rPr>
          <w:rFonts w:asciiTheme="minorEastAsia" w:eastAsiaTheme="minorEastAsia" w:hAnsiTheme="minorEastAsia" w:cs="宋体"/>
          <w:sz w:val="30"/>
          <w:szCs w:val="30"/>
          <w:highlight w:val="white"/>
          <w:lang w:eastAsia="zh-CN"/>
        </w:rPr>
        <w:t>第十四部分 基金资产的估值</w:t>
      </w:r>
      <w:bookmarkEnd w:id="1830"/>
      <w:bookmarkEnd w:id="1831"/>
    </w:p>
    <w:p w:rsidR="009F340D" w:rsidRPr="00A936B7" w14:paraId="7CF7D5F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一、估值日</w:t>
      </w:r>
    </w:p>
    <w:p w:rsidR="009F340D" w:rsidRPr="00A936B7" w14:paraId="4AD8750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本基金的估值日为本基金相关的证券交易场所的交易日以及国家法律法规规定需要对外披露基金净值的非交易日。</w:t>
      </w:r>
    </w:p>
    <w:p w:rsidR="009F340D" w:rsidRPr="00A936B7" w14:paraId="6D0EFAD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二、估值对象</w:t>
      </w:r>
    </w:p>
    <w:p w:rsidR="009F340D" w:rsidRPr="00A936B7" w14:paraId="72B9EDC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基金所拥有的目标ETF基金份额、股票、债券和银行存款本息、应收款项、其它投资等资产及负债。</w:t>
      </w:r>
    </w:p>
    <w:p w:rsidR="009F340D" w:rsidRPr="00A936B7" w14:paraId="61E31BC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三、估值原则</w:t>
      </w:r>
    </w:p>
    <w:p w:rsidR="009F340D" w:rsidRPr="00A936B7" w14:paraId="60AE1F6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基金管理人在确定相关金融资产和金融负债的公允价值时，应符合《企业会计准则》、监管部门有关规定。</w:t>
      </w:r>
    </w:p>
    <w:p w:rsidR="009F340D" w:rsidRPr="00A936B7" w14:paraId="12F67D8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rsidR="009F340D" w:rsidRPr="00A936B7" w14:paraId="153B04E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rsidR="009F340D" w:rsidRPr="00A936B7" w14:paraId="1437EFB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rsidR="009F340D" w:rsidRPr="00A936B7" w14:paraId="40F49C4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（三）如经济环境发生重大变化或证券发行人发生影响证券价格的重大事件，使潜在估值调整对前一估值日的基金资产净值的影响在0.25%以上的，应对估值进行调整并确定公允价值。</w:t>
      </w:r>
    </w:p>
    <w:p w:rsidR="009F340D" w:rsidRPr="00A936B7" w14:paraId="031CCE6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四、估值方法</w:t>
      </w:r>
    </w:p>
    <w:p w:rsidR="009F340D" w:rsidRPr="00A936B7" w14:paraId="0327012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1、目标ETF基金份额估值方法</w:t>
      </w:r>
    </w:p>
    <w:p w:rsidR="009F340D" w:rsidRPr="00A936B7" w14:paraId="0A636CA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对持有的目标ETF基金份额，按估值日目标ETF基金的份额净值估值。</w:t>
      </w:r>
    </w:p>
    <w:p w:rsidR="009F340D" w:rsidRPr="00A936B7" w14:paraId="234BA0A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2、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9F340D" w:rsidRPr="00A936B7" w14:paraId="275EC0B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3、处于未上市期间的有价证券应区分如下情况处理：</w:t>
      </w:r>
    </w:p>
    <w:p w:rsidR="009F340D" w:rsidRPr="00A936B7" w14:paraId="7912F30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（1）送股、转增股、配股和公开增发的新股，按估值日在证券交易所挂牌的同一股票的估值方法估值；该日无交易的，以最近一日的市价（收盘价）估值；</w:t>
      </w:r>
    </w:p>
    <w:p w:rsidR="009F340D" w:rsidRPr="00A936B7" w14:paraId="6702649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（2）首次公开发行未上市的股票，采用估值技术确定公允价值；</w:t>
      </w:r>
    </w:p>
    <w:p w:rsidR="009F340D" w:rsidRPr="00A936B7" w14:paraId="61DA5AF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9F340D" w:rsidRPr="00A936B7" w14:paraId="10E0623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4、对于已上市或已挂牌转让的不含权固定收益品种，选取估值日第三方估值基准服务机构提供的相应品种当日的估值全价进行估值。</w:t>
      </w:r>
    </w:p>
    <w:p w:rsidR="009F340D" w:rsidRPr="00A936B7" w14:paraId="0B2593F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5、对于已上市或已挂牌转让的含权固定收益品种，选取估值日第三方估值基准服务机构提供的相应品种当日的唯一估值全价或推荐估值全价进行估值。</w:t>
      </w:r>
    </w:p>
    <w:p w:rsidR="009F340D" w:rsidRPr="00A936B7" w14:paraId="3BA9D0A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对于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rsidR="009F340D" w:rsidRPr="00A936B7" w14:paraId="7CB68EC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6、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rsidR="009F340D" w:rsidRPr="00A936B7" w14:paraId="029048A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7、对于未上市或未挂牌转让且不存在活跃市场的固定收益品种，采用在当前情况下适用并且有足够可利用数据和其他信息支持的估值技术确定其公允价值。</w:t>
      </w:r>
    </w:p>
    <w:p w:rsidR="009F340D" w:rsidRPr="00A936B7" w14:paraId="743FF8E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8、期货合约以估值当日结算价进行估值，估值当日无结算价的，且最近交易日后经济环境未发生重大变化的，采用最近交易日结算价估值。</w:t>
      </w:r>
    </w:p>
    <w:p w:rsidR="009F340D" w:rsidRPr="00A936B7" w14:paraId="553D4FC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9、本基金投资期权，根据相关法律法规以及监管部门的规定估值。</w:t>
      </w:r>
    </w:p>
    <w:p w:rsidR="009F340D" w:rsidRPr="00A936B7" w14:paraId="2C2B42C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10、本基金参与融资业务的，按照相关法律法规、监管部门和行业协会的相关规定进行估值。</w:t>
      </w:r>
    </w:p>
    <w:p w:rsidR="009F340D" w:rsidRPr="00A936B7" w14:paraId="12AD242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11、本基金参与转融通证券出借业务的，按照相关法律法规和行业协会的相关规定进行估值。</w:t>
      </w:r>
    </w:p>
    <w:p w:rsidR="009F340D" w:rsidRPr="00A936B7" w14:paraId="174FF86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12、本基金投资存托凭证的估值核算，依照境内上市交易的股票执行。</w:t>
      </w:r>
    </w:p>
    <w:p w:rsidR="009F340D" w:rsidRPr="00A936B7" w14:paraId="71F96F4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13、如有充分理由表明按上述方法进行估值不能客观反映其公允价值的，基金管理人可根据具体情况与基金托管人商定后，按最能反映公允价值的价格估值。</w:t>
      </w:r>
    </w:p>
    <w:p w:rsidR="009F340D" w:rsidRPr="00A936B7" w14:paraId="092E7A7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14、当发生大额申购或赎回情形时，基金管理人可以采用摆动定价机制，以确保基金估值的公平性。</w:t>
      </w:r>
    </w:p>
    <w:p w:rsidR="009F340D" w:rsidRPr="00A936B7" w14:paraId="571CFD5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15、相关法律法规以及监管部门有强制规定的，从其规定。如有新增事项，按国家最新规定估值。</w:t>
      </w:r>
    </w:p>
    <w:p w:rsidR="009F340D" w:rsidRPr="00A936B7" w14:paraId="0E2F27A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rsidR="009F340D" w:rsidRPr="00A936B7" w14:paraId="4211FF7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rsidR="009F340D" w:rsidRPr="00A936B7" w14:paraId="4782A6D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五、估值程序</w:t>
      </w:r>
    </w:p>
    <w:p w:rsidR="009F340D" w:rsidRPr="00A936B7" w14:paraId="7A465BF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基金份额净值是按照每个估值日闭市后，基金资产净值除以当日基金份额的余额数量计算，精确到0.0001元，小数点后第5位四舍五入。基金管理人可以设立大额赎回情形下的净值精度应急调整机制。国家另有规定的，从其规定。</w:t>
      </w:r>
    </w:p>
    <w:p w:rsidR="009F340D" w:rsidRPr="00A936B7" w14:paraId="7842195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每个估值日计算基金资产净值及基金份额净值，并按规定公告。</w:t>
      </w:r>
    </w:p>
    <w:p w:rsidR="009F340D" w:rsidRPr="00A936B7" w14:paraId="1AD33B4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基金管理人应每个估值日对基金资产估值。但基金管理人根据法律法规或基金合同的规定暂停估值时除外。基金管理人每个估值日对基金资产估值后，将基金份额净值结果发送基金托管人，经基金托管人复核无误后，由基金管理人按规定对外公布。</w:t>
      </w:r>
    </w:p>
    <w:p w:rsidR="009F340D" w:rsidRPr="00A936B7" w14:paraId="34960BC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六、估值错误的处理</w:t>
      </w:r>
    </w:p>
    <w:p w:rsidR="009F340D" w:rsidRPr="00A936B7" w14:paraId="7B4F9EB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基金管理人和基金托管人将采取必要、适当、合理的措施确保基金资产估值的准确性、及时性。当基金份额净值小数点后4位以内（含第4位）发生估值错误时，视为基金份额净值错误。</w:t>
      </w:r>
    </w:p>
    <w:p w:rsidR="009F340D" w:rsidRPr="00A936B7" w14:paraId="3889049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基金合同的当事人应按照以下约定处理：</w:t>
      </w:r>
    </w:p>
    <w:p w:rsidR="009F340D" w:rsidRPr="00A936B7" w14:paraId="7B81BF3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1、估值错误类型</w:t>
      </w:r>
    </w:p>
    <w:p w:rsidR="009F340D" w:rsidRPr="00A936B7" w14:paraId="3B90865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rsidR="009F340D" w:rsidRPr="00A936B7" w14:paraId="327E21F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上述估值错误的主要类型包括但不限于：资料申报差错、数据传输差错、数据计算差错、系统故障差错、下达指令差错等。</w:t>
      </w:r>
    </w:p>
    <w:p w:rsidR="009F340D" w:rsidRPr="00A936B7" w14:paraId="2BE9548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2、估值错误处理原则</w:t>
      </w:r>
    </w:p>
    <w:p w:rsidR="009F340D" w:rsidRPr="00A936B7" w14:paraId="315C6C1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rsidR="009F340D" w:rsidRPr="00A936B7" w14:paraId="41AAF51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（2）估值错误的责任方对有关当事人的直接损失负责，不对间接损失负责，并且仅对估值错误的有关直接当事人负责，不对第三方负责。</w:t>
      </w:r>
    </w:p>
    <w:p w:rsidR="009F340D" w:rsidRPr="00A936B7" w14:paraId="568A15B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rsidR="009F340D" w:rsidRPr="00A936B7" w14:paraId="0A6F6EC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（4）估值错误调整采用尽量恢复至假设未发生估值错误的正确情形的方式。</w:t>
      </w:r>
    </w:p>
    <w:p w:rsidR="009F340D" w:rsidRPr="00A936B7" w14:paraId="6FF8F68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3、估值错误处理程序</w:t>
      </w:r>
    </w:p>
    <w:p w:rsidR="009F340D" w:rsidRPr="00A936B7" w14:paraId="3D172C2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估值错误被发现后，有关的当事人应当及时进行处理，处理的程序如下：</w:t>
      </w:r>
    </w:p>
    <w:p w:rsidR="009F340D" w:rsidRPr="00A936B7" w14:paraId="3D06B9F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（1）查明估值错误发生的原因，列明所有的当事人，并根据估值错误发生的原因确定估值错误的责任方；</w:t>
      </w:r>
    </w:p>
    <w:p w:rsidR="009F340D" w:rsidRPr="00A936B7" w14:paraId="461885E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（2）根据估值错误处理原则或当事人协商的方法对因估值错误造成的损失进行评估；</w:t>
      </w:r>
    </w:p>
    <w:p w:rsidR="009F340D" w:rsidRPr="00A936B7" w14:paraId="35D6CF7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（3）根据估值错误处理原则或当事人协商的方法由估值错误的责任方进行更正和赔偿损失；</w:t>
      </w:r>
    </w:p>
    <w:p w:rsidR="009F340D" w:rsidRPr="00A936B7" w14:paraId="0CE186B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（4）根据估值错误处理的方法，需要修改基金登记机构交易数据的，由基金登记机构进行更正，并就估值错误的更正向有关当事人进行确认。</w:t>
      </w:r>
    </w:p>
    <w:p w:rsidR="009F340D" w:rsidRPr="00A936B7" w14:paraId="42FA9BD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4、基金份额净值估值错误处理的方法如下：</w:t>
      </w:r>
    </w:p>
    <w:p w:rsidR="009F340D" w:rsidRPr="00A936B7" w14:paraId="233A1E4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（1）基金份额净值计算出现错误时，基金管理人应当立即予以纠正，通报基金托管人，并采取合理的措施防止损失进一步扩大。</w:t>
      </w:r>
    </w:p>
    <w:p w:rsidR="009F340D" w:rsidRPr="00A936B7" w14:paraId="07A8CEC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（2）错误偏差达到基金份额净值的0.25%时，基金管理人应当通报基金托管人并报中国证监会备案；错误偏差达到基金份额净值的0.5%时，基金管理人应当公告，并报中国证监会备案。</w:t>
      </w:r>
    </w:p>
    <w:p w:rsidR="009F340D" w:rsidRPr="00A936B7" w14:paraId="7211969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（3）前述内容如法律法规或监管机关另有规定的，从其规定处理。</w:t>
      </w:r>
    </w:p>
    <w:p w:rsidR="009F340D" w:rsidRPr="00A936B7" w14:paraId="27CAE0B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七、暂停估值的情形</w:t>
      </w:r>
    </w:p>
    <w:p w:rsidR="009F340D" w:rsidRPr="00A936B7" w14:paraId="2D1BBFC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1、基金投资所涉及的证券交易市场遇法定节假日或因其他原因暂停营业时；</w:t>
      </w:r>
    </w:p>
    <w:p w:rsidR="009F340D" w:rsidRPr="00A936B7" w14:paraId="1C99BD7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2、因不可抗力致使基金管理人、基金托管人无法准确评估基金资产价值时；</w:t>
      </w:r>
    </w:p>
    <w:p w:rsidR="009F340D" w:rsidRPr="00A936B7" w14:paraId="5107501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3、当特定资产占前一估值日基金资产净值50%以上的，经与基金托管人协商确认后，基金管理人应当暂停估值；</w:t>
      </w:r>
    </w:p>
    <w:p w:rsidR="009F340D" w:rsidRPr="00A936B7" w14:paraId="2098102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4、基金所投资的目标ETF发生暂停估值、暂停公告基金份额净值的情形；</w:t>
      </w:r>
    </w:p>
    <w:p w:rsidR="009F340D" w:rsidRPr="00A936B7" w14:paraId="04B01F1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5、中国证监会和基金合同认定的其它情形。</w:t>
      </w:r>
    </w:p>
    <w:p w:rsidR="009F340D" w:rsidRPr="00A936B7" w14:paraId="73A6031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八、基金净值的确认</w:t>
      </w:r>
    </w:p>
    <w:p w:rsidR="009F340D" w:rsidRPr="00A936B7" w14:paraId="42D21AC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用于基金信息披露的基金资产净值和基金份额净值由基金管理人负责计算，基金托管人负责进行复核。基金管理人应于每个开放日交易结束后计算当日的基金资产净值和基金份额净值并发送给基金托管人。基金托管人对净值计算结果复核确认后发送给基金管理人，由基金管理人按规定对基金净值予以公布。</w:t>
      </w:r>
    </w:p>
    <w:p w:rsidR="009F340D" w:rsidRPr="00A936B7" w14:paraId="1159CA1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九、特殊情况的处理</w:t>
      </w:r>
    </w:p>
    <w:p w:rsidR="009F340D" w:rsidRPr="00A936B7" w14:paraId="3CA9A12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1、基金管理人或基金托管人按估值方法的第13项进行估值时，所造成的误差不作为基金资产估值错误处理。</w:t>
      </w:r>
    </w:p>
    <w:p w:rsidR="009F340D" w:rsidRPr="00A936B7" w14:paraId="5297363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由于不可抗力，或证券交易所、登记结算机构、指数编制机构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9F340D" w:rsidRPr="00A936B7" w14:paraId="0E08DEC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十、实施侧袋机制期间的基金资产估值</w:t>
      </w:r>
    </w:p>
    <w:p w:rsidR="009F340D" w:rsidRPr="00A936B7" w14:paraId="0556AA7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本基金实施侧袋机制的，应根据本部分的约定对主袋账户资产进行估值并披露主袋账户的基金资产净值和份额净值，暂停披露侧袋账户份额净值。</w:t>
      </w:r>
    </w:p>
    <w:p w:rsidR="009F340D" w:rsidRPr="00A936B7" w14:paraId="68D59574" w14:textId="77777777">
      <w:pPr>
        <w:pStyle w:val="Heading1"/>
        <w:spacing w:before="317" w:after="317" w:line="360" w:lineRule="auto"/>
        <w:ind w:firstLine="420"/>
        <w:rPr>
          <w:rFonts w:asciiTheme="minorEastAsia" w:eastAsiaTheme="minorEastAsia" w:hAnsiTheme="minorEastAsia" w:cs="宋体" w:hint="eastAsia"/>
          <w:bCs/>
          <w:sz w:val="30"/>
          <w:szCs w:val="30"/>
        </w:rPr>
      </w:pPr>
      <w:r w:rsidRPr="00A936B7">
        <w:rPr>
          <w:rFonts w:asciiTheme="minorEastAsia" w:eastAsiaTheme="minorEastAsia" w:hAnsiTheme="minorEastAsia" w:cs="宋体"/>
          <w:sz w:val="21"/>
          <w:szCs w:val="21"/>
          <w:highlight w:val="white"/>
          <w:lang w:eastAsia="zh-CN"/>
        </w:rPr>
        <w:br w:type="page"/>
      </w:r>
      <w:bookmarkStart w:id="1832" w:name="_Toc129511537"/>
      <w:r w:rsidRPr="00A936B7">
        <w:rPr>
          <w:rFonts w:asciiTheme="minorEastAsia" w:eastAsiaTheme="minorEastAsia" w:hAnsiTheme="minorEastAsia" w:cs="宋体"/>
          <w:sz w:val="30"/>
          <w:szCs w:val="30"/>
          <w:highlight w:val="white"/>
        </w:rPr>
        <w:t>第</w:t>
      </w:r>
      <w:r w:rsidRPr="00A936B7">
        <w:rPr>
          <w:rFonts w:asciiTheme="minorEastAsia" w:eastAsiaTheme="minorEastAsia" w:hAnsiTheme="minorEastAsia" w:cs="宋体" w:hint="eastAsia"/>
          <w:sz w:val="30"/>
          <w:szCs w:val="30"/>
          <w:highlight w:val="white"/>
        </w:rPr>
        <w:t>十</w:t>
      </w:r>
      <w:bookmarkStart w:id="1833" w:name="_Toc332373553"/>
      <w:r w:rsidRPr="00A936B7">
        <w:rPr>
          <w:rFonts w:asciiTheme="minorEastAsia" w:eastAsiaTheme="minorEastAsia" w:hAnsiTheme="minorEastAsia" w:cs="宋体"/>
          <w:sz w:val="30"/>
          <w:szCs w:val="30"/>
          <w:highlight w:val="white"/>
        </w:rPr>
        <w:t>五</w:t>
      </w:r>
      <w:r w:rsidRPr="00A936B7">
        <w:rPr>
          <w:rFonts w:asciiTheme="minorEastAsia" w:eastAsiaTheme="minorEastAsia" w:hAnsiTheme="minorEastAsia" w:cs="宋体" w:hint="eastAsia"/>
          <w:sz w:val="30"/>
          <w:szCs w:val="30"/>
          <w:highlight w:val="white"/>
        </w:rPr>
        <w:t>部分</w:t>
      </w:r>
      <w:r w:rsidRPr="00A936B7">
        <w:rPr>
          <w:rFonts w:asciiTheme="minorEastAsia" w:eastAsiaTheme="minorEastAsia" w:hAnsiTheme="minorEastAsia" w:cs="宋体"/>
          <w:sz w:val="30"/>
          <w:szCs w:val="30"/>
          <w:highlight w:val="white"/>
        </w:rPr>
        <w:t xml:space="preserve"> </w:t>
      </w:r>
      <w:r w:rsidRPr="00A936B7">
        <w:rPr>
          <w:rFonts w:asciiTheme="minorEastAsia" w:eastAsiaTheme="minorEastAsia" w:hAnsiTheme="minorEastAsia" w:cs="宋体" w:hint="eastAsia"/>
          <w:sz w:val="30"/>
          <w:szCs w:val="30"/>
          <w:highlight w:val="white"/>
        </w:rPr>
        <w:t>基金的收益分配</w:t>
      </w:r>
      <w:bookmarkEnd w:id="1832"/>
      <w:bookmarkEnd w:id="1833"/>
    </w:p>
    <w:p w:rsidR="009F340D" w:rsidRPr="00A936B7" w14:paraId="64D36C43"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一、基金利润的构成</w:t>
      </w:r>
    </w:p>
    <w:p w:rsidR="009F340D" w:rsidRPr="00A936B7" w14:paraId="1DED407A"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基金利润指基金利息收入、投资收益、公允价值变动收益和其他收入扣除相关费用后的余额，基金已实现收益指基金利润减去公允价值变动收益后的余额。</w:t>
      </w:r>
    </w:p>
    <w:p w:rsidR="009F340D" w:rsidRPr="00A936B7" w14:paraId="31CF3EA5"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二、基金可供分配利润</w:t>
      </w:r>
    </w:p>
    <w:p w:rsidR="009F340D" w:rsidRPr="00A936B7" w14:paraId="76A30DDD"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基金可供分配利润指截至收益分配基准日基金未分配利润与未分配利润中已实现收益的孰低数。</w:t>
      </w:r>
    </w:p>
    <w:p w:rsidR="009F340D" w:rsidRPr="00A936B7" w14:paraId="6857D3E4" w14:textId="77777777">
      <w:pPr>
        <w:spacing w:line="360" w:lineRule="auto"/>
        <w:ind w:firstLine="420"/>
        <w:rPr>
          <w:rFonts w:asciiTheme="minorEastAsia" w:eastAsiaTheme="minorEastAsia" w:hAnsiTheme="minorEastAsia" w:hint="eastAsia"/>
          <w:bCs/>
          <w:szCs w:val="21"/>
          <w:lang w:eastAsia="zh-CN"/>
        </w:rPr>
      </w:pPr>
      <w:r w:rsidRPr="00A936B7">
        <w:rPr>
          <w:rStyle w:val="da"/>
          <w:rFonts w:asciiTheme="minorEastAsia" w:eastAsiaTheme="minorEastAsia" w:hAnsiTheme="minorEastAsia" w:cs="宋体" w:hint="eastAsia"/>
          <w:highlight w:val="white"/>
          <w:lang w:eastAsia="zh-CN"/>
        </w:rPr>
        <w:t>三、</w:t>
      </w:r>
      <w:r w:rsidRPr="00A936B7">
        <w:rPr>
          <w:rFonts w:asciiTheme="minorEastAsia" w:eastAsiaTheme="minorEastAsia" w:hAnsiTheme="minorEastAsia" w:hint="eastAsia"/>
          <w:bCs/>
          <w:szCs w:val="21"/>
          <w:highlight w:val="white"/>
          <w:lang w:eastAsia="zh-CN"/>
        </w:rPr>
        <w:t>基金收益分配原则</w:t>
      </w:r>
    </w:p>
    <w:p w:rsidR="009F340D" w:rsidRPr="00A936B7" w14:paraId="0C68AE5E" w14:textId="77777777">
      <w:pPr>
        <w:spacing w:line="360" w:lineRule="auto"/>
        <w:ind w:firstLine="420" w:firstLineChars="200"/>
        <w:rPr>
          <w:rFonts w:asciiTheme="minorEastAsia" w:eastAsiaTheme="minorEastAsia" w:hAnsiTheme="minorEastAsia" w:hint="eastAsia"/>
          <w:bCs/>
          <w:szCs w:val="21"/>
          <w:lang w:eastAsia="zh-CN"/>
        </w:rPr>
      </w:pPr>
      <w:r w:rsidRPr="00A936B7">
        <w:rPr>
          <w:rFonts w:asciiTheme="minorEastAsia" w:eastAsiaTheme="minorEastAsia" w:hAnsiTheme="minorEastAsia" w:hint="eastAsia"/>
          <w:bCs/>
          <w:szCs w:val="21"/>
          <w:highlight w:val="white"/>
          <w:lang w:eastAsia="zh-CN"/>
        </w:rPr>
        <w:t>1、本基金收益分配方式分两种：现金分红与红利再投资，投资者可选择现金红利或将现金红利自动转为对应类别的基金份额进行再投资；若投资者不选择，本基金默认的收益分配方式是现金分红；</w:t>
      </w:r>
    </w:p>
    <w:p w:rsidR="009F340D" w:rsidRPr="00A936B7" w14:paraId="26F60C24" w14:textId="77777777">
      <w:pPr>
        <w:spacing w:line="360" w:lineRule="auto"/>
        <w:ind w:firstLine="420" w:firstLineChars="200"/>
        <w:rPr>
          <w:rFonts w:asciiTheme="minorEastAsia" w:eastAsiaTheme="minorEastAsia" w:hAnsiTheme="minorEastAsia" w:hint="eastAsia"/>
          <w:bCs/>
          <w:szCs w:val="21"/>
          <w:lang w:eastAsia="zh-CN"/>
        </w:rPr>
      </w:pPr>
      <w:r w:rsidRPr="00A936B7">
        <w:rPr>
          <w:rFonts w:asciiTheme="minorEastAsia" w:eastAsiaTheme="minorEastAsia" w:hAnsiTheme="minorEastAsia" w:hint="eastAsia"/>
          <w:bCs/>
          <w:szCs w:val="21"/>
          <w:highlight w:val="white"/>
          <w:lang w:eastAsia="zh-CN"/>
        </w:rPr>
        <w:t>2、本基金各基金份额类别在费用收取上不同，其对应的可分配收益可能有所不同。同一类别的每一基金份额享有同等分配权；</w:t>
      </w:r>
    </w:p>
    <w:p w:rsidR="00A64087" w:rsidRPr="00A64087" w:rsidP="00A64087" w14:paraId="483C7933" w14:textId="77777777">
      <w:pPr>
        <w:spacing w:line="360" w:lineRule="auto"/>
        <w:ind w:firstLine="420" w:firstLineChars="200"/>
        <w:rPr>
          <w:rFonts w:asciiTheme="minorEastAsia" w:eastAsiaTheme="minorEastAsia" w:hAnsiTheme="minorEastAsia" w:hint="eastAsia"/>
          <w:bCs/>
          <w:szCs w:val="21"/>
          <w:lang w:eastAsia="zh-CN"/>
        </w:rPr>
      </w:pPr>
      <w:r w:rsidRPr="00A64087">
        <w:rPr>
          <w:rFonts w:asciiTheme="minorEastAsia" w:eastAsiaTheme="minorEastAsia" w:hAnsiTheme="minorEastAsia" w:hint="eastAsia"/>
          <w:bCs/>
          <w:szCs w:val="21"/>
          <w:lang w:eastAsia="zh-CN"/>
        </w:rPr>
        <w:t>3、在符合以下有关基金分红条件的情形下，基金管理人可以根据实际情况进行收益分配，具体分配方案以届时的公告为准：</w:t>
      </w:r>
    </w:p>
    <w:p w:rsidR="009F340D" w:rsidRPr="00A936B7" w14:paraId="7FEFDEF1" w14:textId="77777777">
      <w:pPr>
        <w:spacing w:line="360" w:lineRule="auto"/>
        <w:ind w:firstLine="420" w:firstLineChars="200"/>
        <w:rPr>
          <w:rFonts w:asciiTheme="minorEastAsia" w:eastAsiaTheme="minorEastAsia" w:hAnsiTheme="minorEastAsia" w:hint="eastAsia"/>
          <w:bCs/>
          <w:szCs w:val="21"/>
          <w:lang w:eastAsia="zh-CN"/>
        </w:rPr>
      </w:pPr>
      <w:r w:rsidRPr="00A64087">
        <w:rPr>
          <w:rFonts w:asciiTheme="minorEastAsia" w:eastAsiaTheme="minorEastAsia" w:hAnsiTheme="minorEastAsia" w:hint="eastAsia"/>
          <w:bCs/>
          <w:szCs w:val="21"/>
          <w:lang w:eastAsia="zh-CN"/>
        </w:rPr>
        <w:t>本基金可对收益评价日核定的基金累计报酬率相对业绩比较基准同期累计报酬率的超额收益率和基金可供分配利润进行评价，在符合相关规定的前提下，基金管理人可进行收益分配，基金累计报酬率计算方式详见招募说明书；若《基金合同》生效不满3个月可不进行收益分配；</w:t>
      </w:r>
    </w:p>
    <w:p w:rsidR="009F340D" w:rsidRPr="00A936B7" w14:paraId="3048C182" w14:textId="77777777">
      <w:pPr>
        <w:spacing w:line="360" w:lineRule="auto"/>
        <w:ind w:firstLine="420" w:firstLineChars="200"/>
        <w:rPr>
          <w:rFonts w:asciiTheme="minorEastAsia" w:eastAsiaTheme="minorEastAsia" w:hAnsiTheme="minorEastAsia" w:hint="eastAsia"/>
          <w:bCs/>
          <w:szCs w:val="21"/>
          <w:lang w:eastAsia="zh-CN"/>
        </w:rPr>
      </w:pPr>
      <w:r w:rsidRPr="00A936B7">
        <w:rPr>
          <w:rFonts w:asciiTheme="minorEastAsia" w:eastAsiaTheme="minorEastAsia" w:hAnsiTheme="minorEastAsia" w:hint="eastAsia"/>
          <w:bCs/>
          <w:szCs w:val="21"/>
          <w:highlight w:val="white"/>
          <w:lang w:eastAsia="zh-CN"/>
        </w:rPr>
        <w:t>4、在对基金份额持有人利益无实质不利影响的前提下，基金管理人可调整基金收益的分配原则和支付方式，不需召开基金份额持有人大会审议；</w:t>
      </w:r>
    </w:p>
    <w:p w:rsidR="009F340D" w:rsidRPr="00A936B7" w14:paraId="723458BD" w14:textId="77777777">
      <w:pPr>
        <w:spacing w:line="360" w:lineRule="auto"/>
        <w:ind w:firstLine="420" w:firstLineChars="200"/>
        <w:rPr>
          <w:rFonts w:asciiTheme="minorEastAsia" w:eastAsiaTheme="minorEastAsia" w:hAnsiTheme="minorEastAsia" w:hint="eastAsia"/>
          <w:bCs/>
          <w:szCs w:val="21"/>
          <w:lang w:eastAsia="zh-CN"/>
        </w:rPr>
      </w:pPr>
      <w:r w:rsidRPr="00A936B7">
        <w:rPr>
          <w:rFonts w:asciiTheme="minorEastAsia" w:eastAsiaTheme="minorEastAsia" w:hAnsiTheme="minorEastAsia" w:hint="eastAsia"/>
          <w:bCs/>
          <w:szCs w:val="21"/>
          <w:highlight w:val="white"/>
          <w:lang w:eastAsia="zh-CN"/>
        </w:rPr>
        <w:t>5、法律法规或监管机关另有规定的，从其规定。</w:t>
      </w:r>
    </w:p>
    <w:p w:rsidR="009F340D" w:rsidRPr="00A936B7" w14:paraId="5D3D338F" w14:textId="77777777">
      <w:pPr>
        <w:spacing w:line="360" w:lineRule="auto"/>
        <w:ind w:firstLine="420" w:firstLineChars="200"/>
        <w:rPr>
          <w:rFonts w:asciiTheme="minorEastAsia" w:eastAsiaTheme="minorEastAsia" w:hAnsiTheme="minorEastAsia" w:hint="eastAsia"/>
          <w:bCs/>
          <w:szCs w:val="21"/>
          <w:lang w:eastAsia="zh-CN"/>
        </w:rPr>
      </w:pPr>
      <w:r w:rsidRPr="00A936B7">
        <w:rPr>
          <w:rFonts w:asciiTheme="minorEastAsia" w:eastAsiaTheme="minorEastAsia" w:hAnsiTheme="minorEastAsia" w:hint="eastAsia"/>
          <w:bCs/>
          <w:szCs w:val="21"/>
          <w:highlight w:val="white"/>
          <w:lang w:eastAsia="zh-CN"/>
        </w:rPr>
        <w:t>四、</w:t>
      </w:r>
      <w:r w:rsidRPr="00A936B7">
        <w:rPr>
          <w:rStyle w:val="da"/>
          <w:rFonts w:asciiTheme="minorEastAsia" w:eastAsiaTheme="minorEastAsia" w:hAnsiTheme="minorEastAsia" w:cs="宋体" w:hint="eastAsia"/>
          <w:highlight w:val="white"/>
          <w:lang w:eastAsia="zh-CN"/>
        </w:rPr>
        <w:t>基金相对业绩比较基准的超额收益率计算</w:t>
      </w:r>
    </w:p>
    <w:p w:rsidR="009F340D" w:rsidRPr="00A936B7" w14:paraId="0FEFDA2E" w14:textId="77777777">
      <w:pPr>
        <w:spacing w:line="360" w:lineRule="auto"/>
        <w:ind w:firstLine="420"/>
        <w:rPr>
          <w:rFonts w:asciiTheme="minorEastAsia" w:eastAsiaTheme="minorEastAsia" w:hAnsiTheme="minorEastAsia" w:hint="eastAsia"/>
          <w:lang w:eastAsia="zh-CN"/>
        </w:rPr>
      </w:pPr>
      <w:r w:rsidRPr="00A936B7">
        <w:rPr>
          <w:rStyle w:val="da"/>
          <w:rFonts w:asciiTheme="minorEastAsia" w:eastAsiaTheme="minorEastAsia" w:hAnsiTheme="minorEastAsia" w:cs="宋体"/>
          <w:highlight w:val="white"/>
          <w:lang w:eastAsia="zh-CN"/>
        </w:rPr>
        <w:t xml:space="preserve">在收益评价日，基金管理人计算基金累计报酬率、业绩比较基准同期累计报酬率。 </w:t>
      </w:r>
    </w:p>
    <w:p w:rsidR="009F340D" w:rsidRPr="00A936B7" w14:paraId="7F91D965" w14:textId="77777777">
      <w:pPr>
        <w:spacing w:line="360" w:lineRule="auto"/>
        <w:ind w:firstLine="420"/>
        <w:rPr>
          <w:rFonts w:asciiTheme="minorEastAsia" w:eastAsiaTheme="minorEastAsia" w:hAnsiTheme="minorEastAsia" w:hint="eastAsia"/>
          <w:lang w:eastAsia="zh-CN"/>
        </w:rPr>
      </w:pPr>
      <w:r w:rsidRPr="00A936B7">
        <w:rPr>
          <w:rStyle w:val="da"/>
          <w:rFonts w:asciiTheme="minorEastAsia" w:eastAsiaTheme="minorEastAsia" w:hAnsiTheme="minorEastAsia" w:cs="宋体"/>
          <w:highlight w:val="white"/>
          <w:lang w:eastAsia="zh-CN"/>
        </w:rPr>
        <w:t>基金收益评价日本基金相对业绩比较基准的超额收益率＝基金累计报酬率 - 业绩比较基准同期累计报酬率</w:t>
      </w:r>
    </w:p>
    <w:p w:rsidR="009F340D" w:rsidRPr="00A936B7" w14:paraId="194DEADC" w14:textId="77777777">
      <w:pPr>
        <w:spacing w:line="360" w:lineRule="auto"/>
        <w:ind w:firstLine="420"/>
        <w:rPr>
          <w:rFonts w:asciiTheme="minorEastAsia" w:eastAsiaTheme="minorEastAsia" w:hAnsiTheme="minorEastAsia" w:hint="eastAsia"/>
          <w:lang w:eastAsia="zh-CN"/>
        </w:rPr>
      </w:pPr>
      <w:r w:rsidRPr="00A936B7">
        <w:rPr>
          <w:rStyle w:val="da"/>
          <w:rFonts w:asciiTheme="minorEastAsia" w:eastAsiaTheme="minorEastAsia" w:hAnsiTheme="minorEastAsia" w:cs="宋体"/>
          <w:highlight w:val="white"/>
          <w:lang w:eastAsia="zh-CN"/>
        </w:rPr>
        <w:t>基金累计报酬率=收益评价日基金份额净值（如基金合同生效满3个月后基金份额发生折算，则采用剔除折算因素的基金份额净值）/基金合同生效日所对应的3个月月度对日的前一工作日基金份额净值-100%</w:t>
      </w:r>
    </w:p>
    <w:p w:rsidR="009F340D" w:rsidRPr="00A936B7" w14:paraId="5D37B470" w14:textId="77777777">
      <w:pPr>
        <w:spacing w:line="360" w:lineRule="auto"/>
        <w:ind w:firstLine="420"/>
        <w:rPr>
          <w:rStyle w:val="da"/>
          <w:rFonts w:asciiTheme="minorEastAsia" w:eastAsiaTheme="minorEastAsia" w:hAnsiTheme="minorEastAsia" w:cs="宋体" w:hint="eastAsia"/>
          <w:highlight w:val="magenta"/>
          <w:lang w:eastAsia="zh-CN"/>
        </w:rPr>
      </w:pPr>
      <w:r w:rsidRPr="00A936B7">
        <w:rPr>
          <w:rStyle w:val="da"/>
          <w:rFonts w:asciiTheme="minorEastAsia" w:eastAsiaTheme="minorEastAsia" w:hAnsiTheme="minorEastAsia" w:cs="宋体"/>
          <w:highlight w:val="white"/>
          <w:lang w:eastAsia="zh-CN"/>
        </w:rPr>
        <w:t>剔除折算因素的基金份额净值＝</w:t>
      </w:r>
    </w:p>
    <w:p w:rsidR="009F340D" w:rsidRPr="00A936B7" w14:paraId="3D122792" w14:textId="77777777">
      <w:pPr>
        <w:spacing w:line="360" w:lineRule="auto"/>
        <w:ind w:firstLine="420"/>
        <w:rPr>
          <w:rFonts w:asciiTheme="minorEastAsia" w:eastAsiaTheme="minorEastAsia" w:hAnsiTheme="minorEastAsia" w:hint="eastAsia"/>
        </w:rPr>
      </w:pPr>
      <w:r>
        <w:rPr>
          <w:rFonts w:asciiTheme="minorEastAsia" w:eastAsiaTheme="minorEastAsia" w:hAnsiTheme="minorEastAsia"/>
          <w:bCs/>
          <w:position w:val="-28"/>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5pt;height:34.5pt" o:ole="">
            <v:imagedata r:id="rId16" o:title=""/>
          </v:shape>
          <o:OLEObject Type="Embed" ProgID="Equation.3" ShapeID="_x0000_i1025" DrawAspect="Content" ObjectID="_1843828773" r:id="rId17"/>
        </w:object>
      </w:r>
    </w:p>
    <w:p w:rsidR="009F340D" w:rsidRPr="00A936B7" w14:paraId="7C84E1AE" w14:textId="77777777">
      <w:pPr>
        <w:spacing w:line="360" w:lineRule="auto"/>
        <w:ind w:firstLine="420"/>
        <w:rPr>
          <w:rFonts w:asciiTheme="minorEastAsia" w:eastAsiaTheme="minorEastAsia" w:hAnsiTheme="minorEastAsia" w:hint="eastAsia"/>
          <w:lang w:eastAsia="zh-CN"/>
        </w:rPr>
      </w:pPr>
      <w:r w:rsidRPr="00A936B7">
        <w:rPr>
          <w:rFonts w:asciiTheme="minorEastAsia" w:eastAsiaTheme="minorEastAsia" w:hAnsiTheme="minorEastAsia"/>
          <w:bCs/>
          <w:szCs w:val="21"/>
          <w:highlight w:val="white"/>
          <w:lang w:eastAsia="zh-CN"/>
        </w:rPr>
        <w:t>注：</w:t>
      </w:r>
      <w:r>
        <w:rPr>
          <w:rFonts w:asciiTheme="minorEastAsia" w:eastAsiaTheme="minorEastAsia" w:hAnsiTheme="minorEastAsia"/>
          <w:bCs/>
        </w:rPr>
        <w:object>
          <v:shape id="_x0000_i1026" type="#_x0000_t75" style="width:16.5pt;height:21pt" o:ole="">
            <v:imagedata r:id="rId18" o:title=""/>
          </v:shape>
          <o:OLEObject Type="Embed" ProgID="Equation.DSMT4" ShapeID="_x0000_i1026" DrawAspect="Content" ObjectID="_1843828774" r:id="rId19"/>
        </w:object>
      </w:r>
      <w:r w:rsidRPr="00A936B7">
        <w:rPr>
          <w:rFonts w:asciiTheme="minorEastAsia" w:eastAsiaTheme="minorEastAsia" w:hAnsiTheme="minorEastAsia"/>
          <w:bCs/>
          <w:szCs w:val="21"/>
          <w:highlight w:val="white"/>
          <w:lang w:eastAsia="zh-CN"/>
        </w:rPr>
        <w:t>为连乘符号</w:t>
      </w:r>
      <w:r w:rsidRPr="00A936B7">
        <w:rPr>
          <w:rFonts w:asciiTheme="minorEastAsia" w:eastAsiaTheme="minorEastAsia" w:hAnsiTheme="minorEastAsia" w:cs="宋体"/>
          <w:color w:val="000000"/>
          <w:highlight w:val="white"/>
          <w:lang w:eastAsia="zh-CN"/>
        </w:rPr>
        <w:t>。当基金份额折算比例为N时，表示每一份基金份额折算为N份。</w:t>
      </w:r>
    </w:p>
    <w:p w:rsidR="009F340D" w:rsidRPr="00A936B7" w14:paraId="10D2C1A8" w14:textId="77777777">
      <w:pPr>
        <w:spacing w:line="360" w:lineRule="auto"/>
        <w:ind w:firstLine="420" w:firstLineChars="200"/>
        <w:rPr>
          <w:rFonts w:asciiTheme="minorEastAsia" w:eastAsiaTheme="minorEastAsia" w:hAnsiTheme="minorEastAsia" w:cs="宋体" w:hint="eastAsia"/>
          <w:color w:val="000000"/>
          <w:lang w:eastAsia="zh-CN"/>
        </w:rPr>
      </w:pPr>
      <w:r w:rsidRPr="00A936B7">
        <w:rPr>
          <w:rFonts w:asciiTheme="minorEastAsia" w:eastAsiaTheme="minorEastAsia" w:hAnsiTheme="minorEastAsia" w:cs="宋体" w:hint="eastAsia"/>
          <w:color w:val="000000"/>
          <w:highlight w:val="white"/>
          <w:lang w:eastAsia="zh-CN"/>
        </w:rPr>
        <w:t>业绩比较基准同期累计报酬率为基金合同生效日所对应的3个月月度对日至收益评价日期间的业绩比较基准收益率。</w:t>
      </w:r>
    </w:p>
    <w:p w:rsidR="009F340D" w:rsidRPr="00A936B7" w14:paraId="005BFDD0" w14:textId="77777777">
      <w:pPr>
        <w:spacing w:line="360" w:lineRule="auto"/>
        <w:ind w:firstLine="420" w:firstLineChars="200"/>
        <w:rPr>
          <w:rFonts w:asciiTheme="minorEastAsia" w:eastAsiaTheme="minorEastAsia" w:hAnsiTheme="minorEastAsia" w:hint="eastAsia"/>
          <w:bCs/>
          <w:szCs w:val="21"/>
          <w:lang w:eastAsia="zh-CN"/>
        </w:rPr>
      </w:pPr>
      <w:r w:rsidRPr="00A936B7">
        <w:rPr>
          <w:rFonts w:asciiTheme="minorEastAsia" w:eastAsiaTheme="minorEastAsia" w:hAnsiTheme="minorEastAsia" w:hint="eastAsia"/>
          <w:bCs/>
          <w:szCs w:val="21"/>
          <w:highlight w:val="white"/>
          <w:lang w:eastAsia="zh-CN"/>
        </w:rPr>
        <w:t>五、收益分配方案</w:t>
      </w:r>
    </w:p>
    <w:p w:rsidR="009F340D" w:rsidRPr="00A936B7" w14:paraId="6424B561" w14:textId="77777777">
      <w:pPr>
        <w:spacing w:line="360" w:lineRule="auto"/>
        <w:ind w:firstLine="420" w:firstLineChars="200"/>
        <w:rPr>
          <w:rFonts w:asciiTheme="minorEastAsia" w:eastAsiaTheme="minorEastAsia" w:hAnsiTheme="minorEastAsia" w:hint="eastAsia"/>
          <w:bCs/>
          <w:szCs w:val="21"/>
          <w:lang w:eastAsia="zh-CN"/>
        </w:rPr>
      </w:pPr>
      <w:r w:rsidRPr="00A936B7">
        <w:rPr>
          <w:rFonts w:asciiTheme="minorEastAsia" w:eastAsiaTheme="minorEastAsia" w:hAnsiTheme="minorEastAsia" w:hint="eastAsia"/>
          <w:bCs/>
          <w:szCs w:val="21"/>
          <w:highlight w:val="white"/>
          <w:lang w:eastAsia="zh-CN"/>
        </w:rPr>
        <w:t>基金收益分配方案中应载明基金收益分配对象、分配时间、分配数额、分配方式等内容。</w:t>
      </w:r>
    </w:p>
    <w:p w:rsidR="009F340D" w:rsidRPr="00A936B7" w14:paraId="6F4F3981" w14:textId="77777777">
      <w:pPr>
        <w:spacing w:line="360" w:lineRule="auto"/>
        <w:ind w:firstLine="420" w:firstLineChars="200"/>
        <w:rPr>
          <w:rFonts w:asciiTheme="minorEastAsia" w:eastAsiaTheme="minorEastAsia" w:hAnsiTheme="minorEastAsia" w:hint="eastAsia"/>
          <w:bCs/>
          <w:szCs w:val="21"/>
          <w:lang w:eastAsia="zh-CN"/>
        </w:rPr>
      </w:pPr>
      <w:r w:rsidRPr="00A936B7">
        <w:rPr>
          <w:rFonts w:asciiTheme="minorEastAsia" w:eastAsiaTheme="minorEastAsia" w:hAnsiTheme="minorEastAsia" w:hint="eastAsia"/>
          <w:bCs/>
          <w:szCs w:val="21"/>
          <w:highlight w:val="white"/>
          <w:lang w:eastAsia="zh-CN"/>
        </w:rPr>
        <w:t>六、收益分配方案的确定、公告与实施</w:t>
      </w:r>
    </w:p>
    <w:p w:rsidR="009F340D" w:rsidRPr="00A936B7" w14:paraId="4D5E0E56" w14:textId="77777777">
      <w:pPr>
        <w:spacing w:line="360" w:lineRule="auto"/>
        <w:ind w:firstLine="420" w:firstLineChars="200"/>
        <w:rPr>
          <w:rFonts w:asciiTheme="minorEastAsia" w:eastAsiaTheme="minorEastAsia" w:hAnsiTheme="minorEastAsia" w:hint="eastAsia"/>
          <w:bCs/>
          <w:szCs w:val="21"/>
          <w:lang w:eastAsia="zh-CN"/>
        </w:rPr>
      </w:pPr>
      <w:r w:rsidRPr="00A936B7">
        <w:rPr>
          <w:rFonts w:asciiTheme="minorEastAsia" w:eastAsiaTheme="minorEastAsia" w:hAnsiTheme="minorEastAsia" w:hint="eastAsia"/>
          <w:bCs/>
          <w:szCs w:val="21"/>
          <w:highlight w:val="white"/>
          <w:lang w:eastAsia="zh-CN"/>
        </w:rPr>
        <w:t>本基金收益分配方案由基金管理人拟定，并由基金托管人复核，在2日内在规定媒介公告。</w:t>
      </w:r>
    </w:p>
    <w:p w:rsidR="009F340D" w:rsidRPr="00A936B7" w14:paraId="2C58D87A" w14:textId="77777777">
      <w:pPr>
        <w:spacing w:line="360" w:lineRule="auto"/>
        <w:ind w:firstLine="420" w:firstLineChars="200"/>
        <w:rPr>
          <w:rFonts w:asciiTheme="minorEastAsia" w:eastAsiaTheme="minorEastAsia" w:hAnsiTheme="minorEastAsia" w:hint="eastAsia"/>
          <w:bCs/>
          <w:szCs w:val="21"/>
          <w:lang w:eastAsia="zh-CN"/>
        </w:rPr>
      </w:pPr>
      <w:r w:rsidRPr="00A936B7">
        <w:rPr>
          <w:rFonts w:asciiTheme="minorEastAsia" w:eastAsiaTheme="minorEastAsia" w:hAnsiTheme="minorEastAsia" w:hint="eastAsia"/>
          <w:bCs/>
          <w:szCs w:val="21"/>
          <w:highlight w:val="white"/>
          <w:lang w:eastAsia="zh-CN"/>
        </w:rPr>
        <w:t>七、基金收益分配中发生的费用</w:t>
      </w:r>
    </w:p>
    <w:p w:rsidR="009F340D" w:rsidRPr="00A936B7" w14:paraId="677594FD" w14:textId="77777777">
      <w:pPr>
        <w:spacing w:line="360" w:lineRule="auto"/>
        <w:ind w:firstLine="420"/>
        <w:rPr>
          <w:rStyle w:val="da"/>
          <w:rFonts w:asciiTheme="minorEastAsia" w:eastAsiaTheme="minorEastAsia" w:hAnsiTheme="minorEastAsia" w:cs="宋体" w:hint="eastAsia"/>
          <w:lang w:eastAsia="zh-CN"/>
        </w:rPr>
      </w:pPr>
      <w:r w:rsidRPr="00A936B7">
        <w:rPr>
          <w:rFonts w:asciiTheme="minorEastAsia" w:eastAsiaTheme="minorEastAsia" w:hAnsiTheme="minorEastAsia" w:hint="eastAsia"/>
          <w:bCs/>
          <w:szCs w:val="21"/>
          <w:highlight w:val="white"/>
          <w:lang w:eastAsia="zh-CN"/>
        </w:rPr>
        <w:t>基金收益分配时所发生的银行转账或其他手续费用由投资者自行承担。当投资者的现金红利小于一定金额，不足以支付银行转账或其他手续费用时，基金登记机构可将基金份额持有人的现金红利自动转为对应类别的基金份额。红利再投资的计算方法，依照《业务规则》执行。</w:t>
      </w:r>
    </w:p>
    <w:p w:rsidR="009F340D" w:rsidRPr="00A936B7" w14:paraId="24E1917E"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八、实施侧袋机制期间的收益分配</w:t>
      </w:r>
    </w:p>
    <w:p w:rsidR="009F340D" w:rsidRPr="00A936B7" w14:paraId="7C97519B" w14:textId="77777777">
      <w:pPr>
        <w:spacing w:line="360" w:lineRule="auto"/>
        <w:ind w:firstLine="420"/>
        <w:rPr>
          <w:rStyle w:val="da"/>
          <w:rFonts w:asciiTheme="minorEastAsia" w:eastAsiaTheme="minorEastAsia" w:hAnsiTheme="minorEastAsia" w:cs="宋体" w:hint="eastAsia"/>
          <w:lang w:eastAsia="zh-CN"/>
        </w:rPr>
      </w:pPr>
      <w:r w:rsidRPr="00A936B7">
        <w:rPr>
          <w:rStyle w:val="da"/>
          <w:rFonts w:asciiTheme="minorEastAsia" w:eastAsiaTheme="minorEastAsia" w:hAnsiTheme="minorEastAsia" w:cs="宋体" w:hint="eastAsia"/>
          <w:highlight w:val="white"/>
          <w:lang w:eastAsia="zh-CN"/>
        </w:rPr>
        <w:t>本基金实施侧袋机制的，侧袋账户不进行收益分配。</w:t>
      </w:r>
    </w:p>
    <w:p w:rsidR="009F340D" w:rsidRPr="00A936B7" w14:paraId="5422A869" w14:textId="77777777">
      <w:pPr>
        <w:spacing w:line="360" w:lineRule="auto"/>
        <w:ind w:firstLine="420"/>
        <w:rPr>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ghlight w:val="white"/>
          <w:lang w:eastAsia="zh-CN"/>
        </w:rPr>
        <w:br w:type="page"/>
      </w:r>
    </w:p>
    <w:p w:rsidR="009F340D" w:rsidRPr="00A936B7" w14:paraId="50A39CC9" w14:textId="77777777">
      <w:pPr>
        <w:pStyle w:val="Heading1"/>
        <w:spacing w:before="317" w:after="317" w:line="360" w:lineRule="auto"/>
        <w:ind w:firstLine="600"/>
        <w:rPr>
          <w:rFonts w:asciiTheme="minorEastAsia" w:eastAsiaTheme="minorEastAsia" w:hAnsiTheme="minorEastAsia" w:cs="宋体" w:hint="eastAsia"/>
          <w:sz w:val="30"/>
          <w:szCs w:val="30"/>
          <w:lang w:eastAsia="zh-CN"/>
        </w:rPr>
      </w:pPr>
      <w:bookmarkStart w:id="1834" w:name="_Toc129511538"/>
      <w:r w:rsidRPr="00A936B7">
        <w:rPr>
          <w:rFonts w:asciiTheme="minorEastAsia" w:eastAsiaTheme="minorEastAsia" w:hAnsiTheme="minorEastAsia" w:cs="宋体" w:hint="eastAsia"/>
          <w:sz w:val="30"/>
          <w:szCs w:val="30"/>
          <w:highlight w:val="white"/>
          <w:lang w:eastAsia="zh-CN"/>
        </w:rPr>
        <w:t>第十</w:t>
      </w:r>
      <w:bookmarkStart w:id="1835" w:name="_Toc332373560"/>
      <w:r w:rsidRPr="00A936B7">
        <w:rPr>
          <w:rFonts w:asciiTheme="minorEastAsia" w:eastAsiaTheme="minorEastAsia" w:hAnsiTheme="minorEastAsia" w:cs="宋体"/>
          <w:sz w:val="30"/>
          <w:szCs w:val="30"/>
          <w:highlight w:val="white"/>
          <w:lang w:eastAsia="zh-CN"/>
        </w:rPr>
        <w:t>六</w:t>
      </w:r>
      <w:r w:rsidRPr="00A936B7">
        <w:rPr>
          <w:rFonts w:asciiTheme="minorEastAsia" w:eastAsiaTheme="minorEastAsia" w:hAnsiTheme="minorEastAsia" w:cs="宋体" w:hint="eastAsia"/>
          <w:sz w:val="30"/>
          <w:szCs w:val="30"/>
          <w:highlight w:val="white"/>
          <w:lang w:eastAsia="zh-CN"/>
        </w:rPr>
        <w:t>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基金的费用与税收</w:t>
      </w:r>
      <w:bookmarkEnd w:id="1834"/>
      <w:bookmarkEnd w:id="1835"/>
    </w:p>
    <w:p w:rsidR="009F340D" w:rsidRPr="00A936B7" w14:paraId="2FC2A04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一、基金费用的种类</w:t>
      </w:r>
    </w:p>
    <w:p w:rsidR="009F340D" w:rsidRPr="00A936B7" w14:paraId="588C057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1、基金管理人的管理费；</w:t>
      </w:r>
    </w:p>
    <w:p w:rsidR="009F340D" w:rsidRPr="00A936B7" w14:paraId="0EBB2E4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2、基金托管人的托管费；</w:t>
      </w:r>
    </w:p>
    <w:p w:rsidR="009F340D" w:rsidRPr="00A936B7" w14:paraId="3DEB3787"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3、销售服务费；</w:t>
      </w:r>
    </w:p>
    <w:p w:rsidR="009F340D" w:rsidRPr="00A936B7" w14:paraId="03BE18C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4、《基金合同》生效后与基金相关的信息披露费用；</w:t>
      </w:r>
    </w:p>
    <w:p w:rsidR="009F340D" w:rsidRPr="00A936B7" w14:paraId="2ECA336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5、《基金合同》生效后与基金相关的会计师费、律师费、诉讼费和仲裁费；</w:t>
      </w:r>
    </w:p>
    <w:p w:rsidR="009F340D" w:rsidRPr="00A936B7" w14:paraId="1E22184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6、基金份额持有人大会费用；</w:t>
      </w:r>
    </w:p>
    <w:p w:rsidR="009F340D" w:rsidRPr="00A936B7" w14:paraId="1D0B632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7、基金的证券/期货交易费用；</w:t>
      </w:r>
    </w:p>
    <w:p w:rsidR="009F340D" w:rsidRPr="00A936B7" w14:paraId="58E7511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8、基金的银行汇划费用；</w:t>
      </w:r>
    </w:p>
    <w:p w:rsidR="009F340D" w:rsidRPr="00A936B7" w14:paraId="3D1FBB1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9、证券账户开户费用、银行账户维护费用；</w:t>
      </w:r>
    </w:p>
    <w:p w:rsidR="009F340D" w:rsidRPr="00A936B7" w14:paraId="055987B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10、按照国家有关规定和《基金合同》约定，可以在基金财产中列支的其他费用。</w:t>
      </w:r>
    </w:p>
    <w:p w:rsidR="009F340D" w:rsidRPr="00A936B7" w14:paraId="56B79AC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二、基金费用计提方法、计提标准和支付方式</w:t>
      </w:r>
    </w:p>
    <w:p w:rsidR="009F340D" w:rsidRPr="00A936B7" w14:paraId="5CBA437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1、基金管理人的管理费</w:t>
      </w:r>
    </w:p>
    <w:p w:rsidR="009F340D" w:rsidRPr="00A936B7" w14:paraId="70BC529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本基金的管理费按前一日基金资产净值扣除前一日所持有目标ETF公允价值后的余额（若为负数，则取0）的0.15%年费率计提。管理费的计算方法如下：</w:t>
      </w:r>
    </w:p>
    <w:p w:rsidR="009F340D" w:rsidRPr="00A936B7" w14:paraId="03B9B44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H＝E×0.15%÷当年天数</w:t>
      </w:r>
    </w:p>
    <w:p w:rsidR="009F340D" w:rsidRPr="00A936B7" w14:paraId="064551C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H为每日应计提的基金管理费</w:t>
      </w:r>
    </w:p>
    <w:p w:rsidR="009F340D" w:rsidRPr="00A936B7" w14:paraId="2C5ECDD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E为调整后的前一日的基金资产净值。调整后的前一日基金资产净值＝前一日基金资产净值－前一日本基金持有的目标ETF公允价值，金额为负时以零计</w:t>
      </w:r>
    </w:p>
    <w:p w:rsidR="009F340D" w:rsidRPr="00A936B7" w14:paraId="4C0B20FF"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基金管理费每日计提，逐日累计至每个月月末，按月支付，由基金托管人根据与基金管理人核对一致的财务数据，自动在次月初五个工作日内、按照指定的账户路径进行资金支付，基金管理人无需再出具资金划拨指令。若遇法定节假日、公休日等，支付日期顺延。</w:t>
      </w:r>
    </w:p>
    <w:p w:rsidR="009F340D" w:rsidRPr="00A936B7" w14:paraId="61FDAE7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2、基金托管人的托管费</w:t>
      </w:r>
    </w:p>
    <w:p w:rsidR="009F340D" w:rsidRPr="00A936B7" w14:paraId="5C1A6D7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本基金的托管费按前一日基金资产净值扣除前一日所持有目标ETF公允价值后的余额（若为负数，则取0）的0.05%年费率计提。托管费的计算方法如下：</w:t>
      </w:r>
    </w:p>
    <w:p w:rsidR="009F340D" w:rsidRPr="00A936B7" w14:paraId="7CE7039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H＝E×0.05%÷当年天数</w:t>
      </w:r>
    </w:p>
    <w:p w:rsidR="009F340D" w:rsidRPr="00A936B7" w14:paraId="4582888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H为每日应计提的基金托管费</w:t>
      </w:r>
    </w:p>
    <w:p w:rsidR="009F340D" w:rsidRPr="00A936B7" w14:paraId="3BBBC16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E为调整后的前一日的基金资产净值。调整后的前一日基金资产净值＝前一日基金资产净值－前一日本基金持有的目标ETF公允价值，金额为负时以零计</w:t>
      </w:r>
    </w:p>
    <w:p w:rsidR="009F340D" w:rsidRPr="00A936B7" w14:paraId="2CF7BF5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基金托管费每日计提，逐日累计至每个月月末，按月支付，由基金托管人根据与基金管理人核对一致的财务数据，自动在次月初五个工作日内、按照指定的账户路径进行资金支付，基金管理人无需再出具资金划拨指令。若遇法定节假日、公休日等，支付日期顺延。</w:t>
      </w:r>
    </w:p>
    <w:p w:rsidR="009F340D" w:rsidRPr="00A936B7" w14:paraId="377489E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3、销售服务费</w:t>
      </w:r>
    </w:p>
    <w:p w:rsidR="009F340D" w:rsidRPr="00A936B7" w14:paraId="0CDA60B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本基金A类基金份额不收取销售服务费，C类基金份额的销售服务费年费率为0.20%，按前一日C类基金资产净值的0.20%年费率计提。</w:t>
      </w:r>
    </w:p>
    <w:p w:rsidR="009F340D" w:rsidRPr="00A936B7" w14:paraId="30BC4BF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销售服务费的计算方法如下：</w:t>
      </w:r>
    </w:p>
    <w:p w:rsidR="009F340D" w:rsidRPr="00A936B7" w14:paraId="42BBA25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H＝E×0.20%÷当年天数</w:t>
      </w:r>
    </w:p>
    <w:p w:rsidR="009F340D" w:rsidRPr="00A936B7" w14:paraId="334ED7D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H 为C类基金份额每日应计提的销售服务费</w:t>
      </w:r>
    </w:p>
    <w:p w:rsidR="009F340D" w:rsidRPr="00A936B7" w14:paraId="72BC1C56"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E 为C类基金份额前一日基金资产净值</w:t>
      </w:r>
    </w:p>
    <w:p w:rsidR="009F340D" w:rsidRPr="00A936B7" w14:paraId="3598146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基金销售服务费每日计提。</w:t>
      </w:r>
    </w:p>
    <w:p w:rsidR="009F340D" w:rsidRPr="00A936B7" w14:paraId="265311A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（1）通过基金管理人或其基金销售子公司投资的C类基金份额</w:t>
      </w:r>
    </w:p>
    <w:p w:rsidR="009F340D" w:rsidRPr="00A936B7" w14:paraId="5BD8040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对于基金份额计提的销售服务费，在投资者赎回基金份额或基金合同终止时，随赎回款（或清算款）一并返还给投资者</w:t>
      </w:r>
      <w:r w:rsidRPr="00A936B7">
        <w:rPr>
          <w:rStyle w:val="da"/>
          <w:rFonts w:asciiTheme="minorEastAsia" w:eastAsiaTheme="minorEastAsia" w:hAnsiTheme="minorEastAsia" w:cs="宋体" w:hint="eastAsia"/>
          <w:szCs w:val="21"/>
          <w:highlight w:val="white"/>
          <w:lang w:eastAsia="zh-CN"/>
        </w:rPr>
        <w:t>；对于转换转出业务，销售服务费将作为转换转出份额对应的款项一并划转至转换转入的基金</w:t>
      </w:r>
      <w:r w:rsidRPr="00A936B7">
        <w:rPr>
          <w:rStyle w:val="da"/>
          <w:rFonts w:asciiTheme="minorEastAsia" w:eastAsiaTheme="minorEastAsia" w:hAnsiTheme="minorEastAsia" w:cs="宋体"/>
          <w:szCs w:val="21"/>
          <w:highlight w:val="white"/>
          <w:lang w:eastAsia="zh-CN"/>
        </w:rPr>
        <w:t>。</w:t>
      </w:r>
    </w:p>
    <w:p w:rsidR="009F340D" w:rsidRPr="00A936B7" w14:paraId="091FB01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（2）通过其他销售机构投资的C类基金份额</w:t>
      </w:r>
    </w:p>
    <w:p w:rsidR="009F340D" w:rsidRPr="00A936B7" w14:paraId="1FB39F54"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对于投资者持续持有期限不</w:t>
      </w:r>
      <w:r w:rsidRPr="00A936B7" w:rsidR="00921310">
        <w:rPr>
          <w:rStyle w:val="da"/>
          <w:rFonts w:asciiTheme="minorEastAsia" w:eastAsiaTheme="minorEastAsia" w:hAnsiTheme="minorEastAsia" w:cs="宋体" w:hint="eastAsia"/>
          <w:szCs w:val="21"/>
          <w:highlight w:val="white"/>
          <w:lang w:eastAsia="zh-CN"/>
        </w:rPr>
        <w:t>超过</w:t>
      </w:r>
      <w:r w:rsidRPr="00A936B7">
        <w:rPr>
          <w:rStyle w:val="da"/>
          <w:rFonts w:asciiTheme="minorEastAsia" w:eastAsiaTheme="minorEastAsia" w:hAnsiTheme="minorEastAsia" w:cs="宋体"/>
          <w:szCs w:val="21"/>
          <w:highlight w:val="white"/>
          <w:lang w:eastAsia="zh-CN"/>
        </w:rPr>
        <w:t>一年（即365天，下同）的基金份额计提的销售服务费，逐日累计至每月月末，按月支付，由基金托管人于次月首日起5个工作日内按照与基金管理人协商一致的方式从基金财产中一次性支付。若遇法定节假日、公休日等，支付日期顺延。</w:t>
      </w:r>
    </w:p>
    <w:p w:rsidR="009F340D" w:rsidRPr="00A936B7" w14:paraId="48F410BD"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对于持续持有期限</w:t>
      </w:r>
      <w:r w:rsidRPr="00A936B7">
        <w:rPr>
          <w:rStyle w:val="da"/>
          <w:rFonts w:asciiTheme="minorEastAsia" w:eastAsiaTheme="minorEastAsia" w:hAnsiTheme="minorEastAsia" w:cs="宋体"/>
          <w:szCs w:val="21"/>
          <w:highlight w:val="white"/>
          <w:lang w:eastAsia="zh-CN"/>
        </w:rPr>
        <w:t>超过一年的基金份额继续计提的销售服务费，在投资者赎回基金份额或基金合同终止时，随赎回款（或清算款）一并返还给投资者</w:t>
      </w:r>
      <w:r w:rsidRPr="00A936B7">
        <w:rPr>
          <w:rStyle w:val="da"/>
          <w:rFonts w:asciiTheme="minorEastAsia" w:eastAsiaTheme="minorEastAsia" w:hAnsiTheme="minorEastAsia" w:cs="宋体" w:hint="eastAsia"/>
          <w:szCs w:val="21"/>
          <w:highlight w:val="white"/>
          <w:lang w:eastAsia="zh-CN"/>
        </w:rPr>
        <w:t>；对于转换转出业务，销售服务费将作为转换转出份额对应的款项一并划转至转换转入的基金</w:t>
      </w:r>
      <w:r w:rsidRPr="00A936B7">
        <w:rPr>
          <w:rStyle w:val="da"/>
          <w:rFonts w:asciiTheme="minorEastAsia" w:eastAsiaTheme="minorEastAsia" w:hAnsiTheme="minorEastAsia" w:cs="宋体"/>
          <w:szCs w:val="21"/>
          <w:highlight w:val="white"/>
          <w:lang w:eastAsia="zh-CN"/>
        </w:rPr>
        <w:t>。</w:t>
      </w:r>
    </w:p>
    <w:p w:rsidR="009F340D" w:rsidRPr="00A936B7" w14:paraId="5632F77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销售服务费计提后按规定收取或返还投资者的金额以登记机构的计算结果为准，托管人无需复核。</w:t>
      </w:r>
    </w:p>
    <w:p w:rsidR="009F340D" w:rsidRPr="00A936B7" w14:paraId="7C4CF4D5"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上述“一、基金费用的种类”中第4－10项费用，根据有关法规及相应协议规定，按费用实际支出金额列入当期费用，由基金托管人从基金财产中支付。</w:t>
      </w:r>
    </w:p>
    <w:p w:rsidR="009F340D" w:rsidRPr="00A936B7" w14:paraId="2F5996B3"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三、不列入基金费用的项目</w:t>
      </w:r>
    </w:p>
    <w:p w:rsidR="009F340D" w:rsidRPr="00A936B7" w14:paraId="1AF72CA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下列费用不列入基金费用：</w:t>
      </w:r>
    </w:p>
    <w:p w:rsidR="009F340D" w:rsidRPr="00A936B7" w14:paraId="17795538"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1、基金管理人和基金托管人因未履行或未完全履行义务导致的费用支出或基金财产的损失；</w:t>
      </w:r>
    </w:p>
    <w:p w:rsidR="009F340D" w:rsidRPr="00A936B7" w14:paraId="24C7088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2、基金管理人和基金托管人处理与基金运作无关的事项发生的费用；</w:t>
      </w:r>
    </w:p>
    <w:p w:rsidR="009F340D" w:rsidRPr="00A936B7" w14:paraId="02A006C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3、《基金合同》生效前的相关费用；</w:t>
      </w:r>
    </w:p>
    <w:p w:rsidR="009F340D" w:rsidRPr="00A936B7" w14:paraId="5031D0CC"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4、标的指数许可使用费。标的指数许可使用费由基金管理人承担，不得从基金财产中列支；</w:t>
      </w:r>
    </w:p>
    <w:p w:rsidR="009F340D" w:rsidRPr="00A936B7" w14:paraId="2223F24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5、其他根据相关法律法规及中国证监会的有关规定不得列入基金费用的项目。</w:t>
      </w:r>
    </w:p>
    <w:p w:rsidR="009F340D" w:rsidRPr="00A936B7" w14:paraId="5812B2A2" w14:textId="77777777">
      <w:pPr>
        <w:spacing w:line="360" w:lineRule="auto"/>
        <w:ind w:firstLine="420"/>
        <w:rPr>
          <w:rStyle w:val="da"/>
          <w:rFonts w:asciiTheme="minorEastAsia" w:eastAsiaTheme="minorEastAsia" w:hAnsiTheme="minorEastAsia" w:cs="宋体" w:hint="eastAsia"/>
          <w:szCs w:val="21"/>
          <w:lang w:eastAsia="zh-CN"/>
        </w:rPr>
      </w:pPr>
      <w:bookmarkStart w:id="1836" w:name="_Hlt88827255"/>
      <w:bookmarkStart w:id="1837" w:name="_Toc332373564"/>
      <w:bookmarkEnd w:id="1836"/>
      <w:r w:rsidRPr="00A936B7">
        <w:rPr>
          <w:rStyle w:val="da"/>
          <w:rFonts w:asciiTheme="minorEastAsia" w:eastAsiaTheme="minorEastAsia" w:hAnsiTheme="minorEastAsia" w:cs="宋体" w:hint="eastAsia"/>
          <w:szCs w:val="21"/>
          <w:highlight w:val="white"/>
          <w:lang w:eastAsia="zh-CN"/>
        </w:rPr>
        <w:t>四、实施侧袋机制期间的基金费用</w:t>
      </w:r>
    </w:p>
    <w:p w:rsidR="009F340D" w:rsidRPr="00A936B7" w14:paraId="605BE211"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本基金实施侧袋机制的，与侧袋账户有关的费用可以从侧袋账户中列支，但应待侧袋账户资产变现后方可列支，有关费用可酌情收取或减免，但不得收取管理费。</w:t>
      </w:r>
    </w:p>
    <w:p w:rsidR="009F340D" w:rsidRPr="00A936B7" w14:paraId="3FFC91A0"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五、与基金销售有关的费用</w:t>
      </w:r>
    </w:p>
    <w:p w:rsidR="009F340D" w:rsidRPr="00A936B7" w14:paraId="576B6CBB"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1</w:t>
      </w:r>
      <w:r w:rsidRPr="00A936B7">
        <w:rPr>
          <w:rStyle w:val="da"/>
          <w:rFonts w:asciiTheme="minorEastAsia" w:eastAsiaTheme="minorEastAsia" w:hAnsiTheme="minorEastAsia" w:cs="宋体" w:hint="eastAsia"/>
          <w:szCs w:val="21"/>
          <w:highlight w:val="white"/>
          <w:lang w:eastAsia="zh-CN"/>
        </w:rPr>
        <w:t>、本基金认购费的费率水平、计算公式、收取方式和使用方式请详见本招募说明书“基金的募集安排”中“认购安排”中的相关规定。</w:t>
      </w:r>
    </w:p>
    <w:p w:rsidR="009F340D" w:rsidRPr="00A936B7" w14:paraId="4F373852"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szCs w:val="21"/>
          <w:highlight w:val="white"/>
          <w:lang w:eastAsia="zh-CN"/>
        </w:rPr>
        <w:t>2</w:t>
      </w:r>
      <w:r w:rsidRPr="00A936B7">
        <w:rPr>
          <w:rStyle w:val="da"/>
          <w:rFonts w:asciiTheme="minorEastAsia" w:eastAsiaTheme="minorEastAsia" w:hAnsiTheme="minorEastAsia" w:cs="宋体" w:hint="eastAsia"/>
          <w:szCs w:val="21"/>
          <w:highlight w:val="white"/>
          <w:lang w:eastAsia="zh-CN"/>
        </w:rPr>
        <w:t>、本基金申购费、赎回费的费率水平、计算公式、收取方式和使用方式请详见本招募说明书“基金份额的申购、赎回”中的“基金的申购费和赎回费”与“申购和赎回的数额和价格”中的相关规定。</w:t>
      </w:r>
    </w:p>
    <w:p w:rsidR="009F340D" w:rsidRPr="00A936B7" w14:paraId="14787B55"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六、基金税收</w:t>
      </w:r>
    </w:p>
    <w:p w:rsidR="009F340D" w:rsidRPr="00A936B7" w14:paraId="6D2021A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本基金运作过程中涉及的各纳税主体，其纳税义务按国家税收法律、法规执行。基金财产投资的相关税收，由基金份额持有人承担，基金管理人或者其他扣缴义务人按照国家有关税收征收的规定代扣代缴。</w:t>
      </w:r>
    </w:p>
    <w:p w:rsidR="009F340D" w:rsidRPr="00A936B7" w14:paraId="04B8D3B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若基金管理人被税务机关要求补缴上述税费及可能涉及的滞纳金等，基金管理人有权向投资人就相关金额进行追偿。</w:t>
      </w:r>
      <w:bookmarkEnd w:id="1837"/>
    </w:p>
    <w:p w:rsidR="009F340D" w:rsidRPr="00A936B7" w14:paraId="419F2D02" w14:textId="77777777">
      <w:pPr>
        <w:widowControl/>
        <w:jc w:val="left"/>
        <w:rPr>
          <w:rFonts w:asciiTheme="minorEastAsia" w:eastAsiaTheme="minorEastAsia" w:hAnsiTheme="minorEastAsia" w:cs="宋体" w:hint="eastAsia"/>
          <w:sz w:val="30"/>
          <w:szCs w:val="32"/>
          <w:lang w:eastAsia="zh-CN"/>
        </w:rPr>
      </w:pPr>
      <w:r w:rsidRPr="00A936B7">
        <w:rPr>
          <w:rFonts w:asciiTheme="minorEastAsia" w:eastAsiaTheme="minorEastAsia" w:hAnsiTheme="minorEastAsia" w:cs="宋体"/>
          <w:sz w:val="30"/>
          <w:highlight w:val="white"/>
          <w:lang w:eastAsia="zh-CN"/>
        </w:rPr>
        <w:br w:type="page"/>
      </w:r>
    </w:p>
    <w:p w:rsidR="009F340D" w:rsidRPr="00A936B7" w14:paraId="128E8689" w14:textId="77777777">
      <w:pPr>
        <w:pStyle w:val="Heading1"/>
        <w:spacing w:before="317" w:after="317" w:line="360" w:lineRule="auto"/>
        <w:ind w:firstLine="600"/>
        <w:rPr>
          <w:rFonts w:asciiTheme="minorEastAsia" w:eastAsiaTheme="minorEastAsia" w:hAnsiTheme="minorEastAsia" w:cs="宋体" w:hint="eastAsia"/>
          <w:bCs/>
          <w:sz w:val="30"/>
          <w:szCs w:val="30"/>
          <w:lang w:eastAsia="zh-CN"/>
        </w:rPr>
      </w:pPr>
      <w:bookmarkStart w:id="1838" w:name="_Toc129511539"/>
      <w:r w:rsidRPr="00A936B7">
        <w:rPr>
          <w:rFonts w:asciiTheme="minorEastAsia" w:eastAsiaTheme="minorEastAsia" w:hAnsiTheme="minorEastAsia" w:cs="宋体" w:hint="eastAsia"/>
          <w:sz w:val="30"/>
          <w:szCs w:val="30"/>
          <w:highlight w:val="white"/>
          <w:lang w:eastAsia="zh-CN"/>
        </w:rPr>
        <w:t>第十</w:t>
      </w:r>
      <w:bookmarkStart w:id="1839" w:name="_Toc332373566"/>
      <w:r w:rsidRPr="00A936B7">
        <w:rPr>
          <w:rFonts w:asciiTheme="minorEastAsia" w:eastAsiaTheme="minorEastAsia" w:hAnsiTheme="minorEastAsia" w:cs="宋体"/>
          <w:sz w:val="30"/>
          <w:szCs w:val="30"/>
          <w:highlight w:val="white"/>
          <w:lang w:eastAsia="zh-CN"/>
        </w:rPr>
        <w:t>七</w:t>
      </w:r>
      <w:r w:rsidRPr="00A936B7">
        <w:rPr>
          <w:rFonts w:asciiTheme="minorEastAsia" w:eastAsiaTheme="minorEastAsia" w:hAnsiTheme="minorEastAsia" w:cs="宋体" w:hint="eastAsia"/>
          <w:sz w:val="30"/>
          <w:szCs w:val="30"/>
          <w:highlight w:val="white"/>
          <w:lang w:eastAsia="zh-CN"/>
        </w:rPr>
        <w:t>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基金的会计与审计</w:t>
      </w:r>
      <w:bookmarkEnd w:id="1838"/>
      <w:bookmarkEnd w:id="1839"/>
    </w:p>
    <w:p w:rsidR="009F340D" w:rsidRPr="00A936B7" w14:paraId="00CC0353"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一、基金会计政策</w:t>
      </w:r>
    </w:p>
    <w:p w:rsidR="009F340D" w:rsidRPr="00A936B7" w14:paraId="2DA83A8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1、基金管理人为本基金的基金会计责任方；</w:t>
      </w:r>
    </w:p>
    <w:p w:rsidR="009F340D" w:rsidRPr="00A936B7" w14:paraId="29DB244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2、基金的会计年度为公历年度的1月1日至12月31日；基金首次募集的会计年度按如下原则：如果《基金合同》生效少于2个月，可以并入下一个会计年度；</w:t>
      </w:r>
    </w:p>
    <w:p w:rsidR="009F340D" w:rsidRPr="00A936B7" w14:paraId="570C13E5"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3、基金核算以人民币为记账本位币，以人民币元为记账单位；</w:t>
      </w:r>
    </w:p>
    <w:p w:rsidR="009F340D" w:rsidRPr="00A936B7" w14:paraId="056414B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4、会计制度执行国家有关会计制度；</w:t>
      </w:r>
    </w:p>
    <w:p w:rsidR="009F340D" w:rsidRPr="00A936B7" w14:paraId="6B7A9A0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5、本基金独立建账、独立核算；</w:t>
      </w:r>
    </w:p>
    <w:p w:rsidR="009F340D" w:rsidRPr="00A936B7" w14:paraId="5973BC35"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6、基金管理人及基金托管人各自保留完整的会计账目、凭证并进行日常的会计核算，按照有关规定编制基金会计报表；</w:t>
      </w:r>
    </w:p>
    <w:p w:rsidR="009F340D" w:rsidRPr="00A936B7" w14:paraId="480829F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7、基金托管人每月与基金管理人就基金的会计核算、报表编制等进行核对确认。</w:t>
      </w:r>
    </w:p>
    <w:p w:rsidR="009F340D" w:rsidRPr="00A936B7" w14:paraId="7C3F24C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二、基金的年度审计</w:t>
      </w:r>
    </w:p>
    <w:p w:rsidR="009F340D" w:rsidRPr="00A936B7" w14:paraId="1D73A32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1、基金管理人聘请与基金管理人、基金托管人相互独立的符合《证券法》规定的会计师事务所及其注册会计师对本基金的年度财务报表进行审计。</w:t>
      </w:r>
    </w:p>
    <w:p w:rsidR="009F340D" w:rsidRPr="00A936B7" w14:paraId="7847623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2、会计师事务所更换经办注册会计师，应事先征得基金管理人同意。</w:t>
      </w:r>
    </w:p>
    <w:p w:rsidR="009F340D" w:rsidRPr="00A936B7" w14:paraId="6590B22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3、基金管理人认为有充足理由更换会计师事务所，须通报基金托管人。更换会计师事务所需在2日内在规定媒介公告。</w:t>
      </w:r>
    </w:p>
    <w:p w:rsidR="009F340D" w:rsidRPr="00A936B7" w14:paraId="7B0F3C89" w14:textId="77777777">
      <w:pPr>
        <w:pStyle w:val="Heading1"/>
        <w:spacing w:before="317" w:after="317" w:line="360" w:lineRule="auto"/>
        <w:ind w:firstLine="420"/>
        <w:rPr>
          <w:rFonts w:asciiTheme="minorEastAsia" w:eastAsiaTheme="minorEastAsia" w:hAnsiTheme="minorEastAsia" w:cs="宋体" w:hint="eastAsia"/>
          <w:sz w:val="30"/>
          <w:szCs w:val="30"/>
        </w:rPr>
      </w:pPr>
      <w:bookmarkStart w:id="1840" w:name="_Hlt4221115"/>
      <w:bookmarkEnd w:id="1840"/>
      <w:r w:rsidRPr="00A936B7">
        <w:rPr>
          <w:rFonts w:asciiTheme="minorEastAsia" w:eastAsiaTheme="minorEastAsia" w:hAnsiTheme="minorEastAsia" w:cs="宋体"/>
          <w:sz w:val="21"/>
          <w:szCs w:val="21"/>
          <w:highlight w:val="white"/>
          <w:lang w:eastAsia="zh-CN"/>
        </w:rPr>
        <w:br w:type="column"/>
      </w:r>
      <w:bookmarkStart w:id="1841" w:name="_Toc129511540"/>
      <w:r w:rsidRPr="00A936B7">
        <w:rPr>
          <w:rFonts w:asciiTheme="minorEastAsia" w:eastAsiaTheme="minorEastAsia" w:hAnsiTheme="minorEastAsia" w:cs="宋体"/>
          <w:sz w:val="30"/>
          <w:szCs w:val="30"/>
          <w:highlight w:val="white"/>
        </w:rPr>
        <w:t>第</w:t>
      </w:r>
      <w:r w:rsidRPr="00A936B7">
        <w:rPr>
          <w:rFonts w:asciiTheme="minorEastAsia" w:eastAsiaTheme="minorEastAsia" w:hAnsiTheme="minorEastAsia" w:cs="宋体" w:hint="eastAsia"/>
          <w:sz w:val="30"/>
          <w:szCs w:val="30"/>
          <w:highlight w:val="white"/>
        </w:rPr>
        <w:t>十</w:t>
      </w:r>
      <w:bookmarkStart w:id="1842" w:name="_Toc332373569"/>
      <w:r w:rsidRPr="00A936B7">
        <w:rPr>
          <w:rFonts w:asciiTheme="minorEastAsia" w:eastAsiaTheme="minorEastAsia" w:hAnsiTheme="minorEastAsia" w:cs="宋体"/>
          <w:sz w:val="30"/>
          <w:szCs w:val="30"/>
          <w:highlight w:val="white"/>
        </w:rPr>
        <w:t>八</w:t>
      </w:r>
      <w:r w:rsidRPr="00A936B7">
        <w:rPr>
          <w:rFonts w:asciiTheme="minorEastAsia" w:eastAsiaTheme="minorEastAsia" w:hAnsiTheme="minorEastAsia" w:cs="宋体" w:hint="eastAsia"/>
          <w:sz w:val="30"/>
          <w:szCs w:val="30"/>
          <w:highlight w:val="white"/>
        </w:rPr>
        <w:t>部分</w:t>
      </w:r>
      <w:r w:rsidRPr="00A936B7">
        <w:rPr>
          <w:rFonts w:asciiTheme="minorEastAsia" w:eastAsiaTheme="minorEastAsia" w:hAnsiTheme="minorEastAsia" w:cs="宋体"/>
          <w:sz w:val="30"/>
          <w:szCs w:val="30"/>
          <w:highlight w:val="white"/>
        </w:rPr>
        <w:t xml:space="preserve"> </w:t>
      </w:r>
      <w:r w:rsidRPr="00A936B7">
        <w:rPr>
          <w:rFonts w:asciiTheme="minorEastAsia" w:eastAsiaTheme="minorEastAsia" w:hAnsiTheme="minorEastAsia" w:cs="宋体" w:hint="eastAsia"/>
          <w:sz w:val="30"/>
          <w:szCs w:val="30"/>
          <w:highlight w:val="white"/>
        </w:rPr>
        <w:t>基金的信息披露</w:t>
      </w:r>
      <w:bookmarkEnd w:id="1841"/>
      <w:bookmarkEnd w:id="1842"/>
    </w:p>
    <w:p w:rsidR="009F340D" w:rsidRPr="00A936B7" w14:paraId="129240B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一、本基金的信息披露应符合《基金法》《运作办法》《信息披露办法》《流动性风险管理规定》《基金合同》及其他有关规定。相关法律法规关于信息披露的披露内容、披露方式、披露时间、登载媒介、报备方式等规定发生变化时，本基金从其最新规定。</w:t>
      </w:r>
    </w:p>
    <w:p w:rsidR="009F340D" w:rsidRPr="00A936B7" w14:paraId="0FC98A85"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二、信息披露义务人</w:t>
      </w:r>
    </w:p>
    <w:p w:rsidR="009F340D" w:rsidRPr="00A936B7" w14:paraId="41D3C23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本基金信息披露义务人包括基金管理人、基金托管人、召集基金份额持有人大会的基金份额持有人等法律、行政法规和中国证监会规定的自然人、法人和非法人组织。</w:t>
      </w:r>
    </w:p>
    <w:p w:rsidR="009F340D" w:rsidRPr="00A936B7" w14:paraId="73CEB72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本基金信息披露义务人以保护基金份额持有人利益为根本出发点，按照法律法规和中国证监会的规定披露基金信息，并保证所披露信息的真实性、准确性、完整性、及时性、简明性和易得性。</w:t>
      </w:r>
    </w:p>
    <w:p w:rsidR="009F340D" w:rsidRPr="00A936B7" w14:paraId="5C54768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本基金信息披露义务人应当在中国证监会规定时间内，将应予披露的基金信息通过规定媒介披露，并保证基金投资者能够按照《基金合同》约定的时间和方式查阅或者复制公开披露的信息资料。</w:t>
      </w:r>
    </w:p>
    <w:p w:rsidR="009F340D" w:rsidRPr="00A936B7" w14:paraId="2F55124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三、本基金信息披露义务人承诺公开披露的基金信息，不得有下列行为：</w:t>
      </w:r>
    </w:p>
    <w:p w:rsidR="009F340D" w:rsidRPr="00A936B7" w14:paraId="6DAC29A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1、虚假记载、误导性陈述或者重大遗漏；</w:t>
      </w:r>
    </w:p>
    <w:p w:rsidR="009F340D" w:rsidRPr="00A936B7" w14:paraId="00C7CEE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2、对证券投资业绩进行预测；</w:t>
      </w:r>
    </w:p>
    <w:p w:rsidR="009F340D" w:rsidRPr="00A936B7" w14:paraId="0C5953E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3、违规承诺收益或者承担损失；</w:t>
      </w:r>
    </w:p>
    <w:p w:rsidR="009F340D" w:rsidRPr="00A936B7" w14:paraId="59F4928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4、诋毁其他基金管理人、基金托管人或者基金销售机构；</w:t>
      </w:r>
    </w:p>
    <w:p w:rsidR="009F340D" w:rsidRPr="00A936B7" w14:paraId="16A6CAB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5、登载任何自然人、法人和非法人组织的祝贺性、恭维性或推荐性的文字；</w:t>
      </w:r>
    </w:p>
    <w:p w:rsidR="009F340D" w:rsidRPr="00A936B7" w14:paraId="17BC3D3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6、中国证监会禁止的其他行为。</w:t>
      </w:r>
    </w:p>
    <w:p w:rsidR="009F340D" w:rsidRPr="00A936B7" w14:paraId="2B84C27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四、本基金公开披露的信息应采用中文文本。如同时采用外文文本的，基金信息披露义务人应保证不同文本的内容一致。不同文本之间发生歧义的，以中文文本为准。</w:t>
      </w:r>
    </w:p>
    <w:p w:rsidR="009F340D" w:rsidRPr="00A936B7" w14:paraId="1F26240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本基金公开披露的信息采用阿拉伯数字；除特别说明外，货币单位为人民币元。</w:t>
      </w:r>
    </w:p>
    <w:p w:rsidR="009F340D" w:rsidRPr="00A936B7" w14:paraId="1540181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五、公开披露的基金信息</w:t>
      </w:r>
    </w:p>
    <w:p w:rsidR="009F340D" w:rsidRPr="00A936B7" w14:paraId="56E959D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公开披露的基金信息包括：</w:t>
      </w:r>
    </w:p>
    <w:p w:rsidR="009F340D" w:rsidRPr="00A936B7" w14:paraId="5128500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（一）基金招募说明书、《基金合同》、基金托管协议、基金产品资料概要</w:t>
      </w:r>
    </w:p>
    <w:p w:rsidR="009F340D" w:rsidRPr="00A936B7" w14:paraId="12928B2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1、《基金合同》是界定《基金合同》当事人的各项权利、义务关系，明确基金份额持有人大会召开的规则及具体程序，说明基金产品的特性等涉及基金投资者重大利益的事项的法律文件。</w:t>
      </w:r>
    </w:p>
    <w:p w:rsidR="009F340D" w:rsidRPr="00A936B7" w14:paraId="1AF1785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rsidR="009F340D" w:rsidRPr="00A936B7" w14:paraId="3CA2704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3、基金托管协议是界定基金托管人和基金管理人在基金财产保管及基金运作监督等活动中的权利、义务关系的法律文件。</w:t>
      </w:r>
    </w:p>
    <w:p w:rsidR="009F340D" w:rsidRPr="00A936B7" w14:paraId="3EBA495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rsidR="009F340D" w:rsidRPr="00A936B7" w14:paraId="0B9D01A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rsidR="009F340D" w:rsidRPr="00A936B7" w14:paraId="2156069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（二）基金份额发售公告</w:t>
      </w:r>
    </w:p>
    <w:p w:rsidR="009F340D" w:rsidRPr="00A936B7" w14:paraId="7C489AC9"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基金管理人应当就基金份额发售的具体事宜编制基金份额发售公告，并在披露招募说明书的当日登载于规定媒介上。</w:t>
      </w:r>
    </w:p>
    <w:p w:rsidR="009F340D" w:rsidRPr="00A936B7" w14:paraId="0867047D" w14:textId="77777777">
      <w:pPr>
        <w:spacing w:line="360" w:lineRule="auto"/>
        <w:ind w:firstLine="420"/>
        <w:rPr>
          <w:rFonts w:asciiTheme="minorEastAsia" w:eastAsiaTheme="minorEastAsia" w:hAnsiTheme="minorEastAsia" w:cs="宋体" w:hint="eastAsia"/>
          <w:bCs/>
          <w:szCs w:val="21"/>
        </w:rPr>
      </w:pPr>
      <w:r w:rsidRPr="00A936B7">
        <w:rPr>
          <w:rFonts w:asciiTheme="minorEastAsia" w:eastAsiaTheme="minorEastAsia" w:hAnsiTheme="minorEastAsia" w:cs="宋体" w:hint="eastAsia"/>
          <w:bCs/>
          <w:szCs w:val="21"/>
          <w:highlight w:val="white"/>
        </w:rPr>
        <w:t>（三）《基金合同》生效公告</w:t>
      </w:r>
    </w:p>
    <w:p w:rsidR="009F340D" w:rsidRPr="00A936B7" w14:paraId="7323DF7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基金管理人应当在收到中国证监会确认文件的次日在规定媒介上登载《基金合同》生效公告。</w:t>
      </w:r>
    </w:p>
    <w:p w:rsidR="009F340D" w:rsidRPr="00A936B7" w14:paraId="423FB61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（四）基金净值信息</w:t>
      </w:r>
    </w:p>
    <w:p w:rsidR="009F340D" w:rsidRPr="00A936B7" w14:paraId="21394123"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《基金合同》生效后，在开始办理基金份额申购或者赎回前，基金管理人应当至少每周在规定网站披露一次基金份额净值和基金份额累计净值。</w:t>
      </w:r>
    </w:p>
    <w:p w:rsidR="009F340D" w:rsidRPr="00A936B7" w14:paraId="2C8498B5"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在开始办理基金份额申购或者赎回后，基金管理人应当在不晚于每个开放日的次日，通过规定网站、基金销售机构网站或者营业网点披露开放日的基金份额净值和基金份额累计净值。</w:t>
      </w:r>
    </w:p>
    <w:p w:rsidR="009F340D" w:rsidRPr="00A936B7" w14:paraId="75E32C0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基金管理人应当在不晚于半年度和年度最后一日的次日，在规定网站披露半年度和年度最后一日的基金份额净值和基金份额累计净值。</w:t>
      </w:r>
    </w:p>
    <w:p w:rsidR="009F340D" w:rsidRPr="00A936B7" w14:paraId="271DAF7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（五）基金份额申购、赎回价格</w:t>
      </w:r>
    </w:p>
    <w:p w:rsidR="009F340D" w:rsidRPr="00A936B7" w14:paraId="38E1194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基金管理人应当在《基金合同》、招募说明书等信息披露文件上载明基金份额申购、赎回价格的计算方式及有关申购、赎回费率，并保证投资者能够在基金销售机构网站或营业网点查阅或者复制前述信息资料。</w:t>
      </w:r>
    </w:p>
    <w:p w:rsidR="009F340D" w:rsidRPr="00A936B7" w14:paraId="2E94C491"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（六）基金定期报告，包括基金年度报告、基金中期报告和基金季度报告</w:t>
      </w:r>
    </w:p>
    <w:p w:rsidR="009F340D" w:rsidRPr="00A936B7" w14:paraId="1C45B27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rsidR="009F340D" w:rsidRPr="00A936B7" w14:paraId="38DD27A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基金管理人应当在上半年结束之日起两个月内，编制完成基金中期报告，将中期报告登载在规定网站上，并将中期报告提示性公告登载在规定报刊上。</w:t>
      </w:r>
    </w:p>
    <w:p w:rsidR="009F340D" w:rsidRPr="00A936B7" w14:paraId="1746D4A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基金管理人应当在季度结束之日起15个工作日内，编制完成基金季度报告，将季度报告登载在规定网站上，并将季度报告提示性公告登载在规定报刊上。</w:t>
      </w:r>
    </w:p>
    <w:p w:rsidR="009F340D" w:rsidRPr="00A936B7" w14:paraId="13592A91"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《基金合同》生效不足2个月的，基金管理人可以不编制当期季度报告、中期报告或者年度报告。</w:t>
      </w:r>
    </w:p>
    <w:p w:rsidR="009F340D" w:rsidRPr="00A936B7" w14:paraId="5EC2C7F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rsidR="009F340D" w:rsidRPr="00A936B7" w14:paraId="717EB0B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基金管理人应当在基金年度报告和中期报告中披露基金组合资产情况及其流动性风险分析等。</w:t>
      </w:r>
    </w:p>
    <w:p w:rsidR="009F340D" w:rsidRPr="00A936B7" w14:paraId="244E2FB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（七）临时报告</w:t>
      </w:r>
    </w:p>
    <w:p w:rsidR="009F340D" w:rsidRPr="00A936B7" w14:paraId="6689C4E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本基金发生重大事件，有关信息披露义务人应当在2日内编制临时报告书，并登载在规定报刊和规定网站上。</w:t>
      </w:r>
    </w:p>
    <w:p w:rsidR="009F340D" w:rsidRPr="00A936B7" w14:paraId="4E5436C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前款所称重大事件，是指可能对基金份额持有人权益或者基金份额的价格产生重大影响的下列事件：</w:t>
      </w:r>
    </w:p>
    <w:p w:rsidR="009F340D" w:rsidRPr="00A936B7" w14:paraId="0FC53341"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1、基金份额持有人大会的召开及决定的事项；</w:t>
      </w:r>
    </w:p>
    <w:p w:rsidR="009F340D" w:rsidRPr="00A936B7" w14:paraId="1B4BED6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2、基金合同终止、基金清算；</w:t>
      </w:r>
    </w:p>
    <w:p w:rsidR="009F340D" w:rsidRPr="00A936B7" w14:paraId="4ADE4E85"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3、转换基金运作方式、基金合并；</w:t>
      </w:r>
    </w:p>
    <w:p w:rsidR="009F340D" w:rsidRPr="00A936B7" w14:paraId="4D772B91"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4、更换基金管理人、基金托管人、基金份额登记机构，基金改聘会计师事务所；</w:t>
      </w:r>
    </w:p>
    <w:p w:rsidR="009F340D" w:rsidRPr="00A936B7" w14:paraId="6FCF3F0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5、基金管理人委托基金服务机构代为办理基金的份额登记、核算、估值等事项，基金托管人委托基金服务机构代为办理基金的核算、估值、复核等事项；</w:t>
      </w:r>
    </w:p>
    <w:p w:rsidR="009F340D" w:rsidRPr="00A936B7" w14:paraId="7CB2CCB5"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6、基金管理人、基金托管人的法定名称、住所发生变更；</w:t>
      </w:r>
    </w:p>
    <w:p w:rsidR="009F340D" w:rsidRPr="00A936B7" w14:paraId="726426A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7、基金管理公司变更持有百分之五以上股权的股东、基金管理人的实际控制人变更；</w:t>
      </w:r>
    </w:p>
    <w:p w:rsidR="009F340D" w:rsidRPr="00A936B7" w14:paraId="072C9C7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8、基金募集期延长或提前结束募集；</w:t>
      </w:r>
    </w:p>
    <w:p w:rsidR="009F340D" w:rsidRPr="00A936B7" w14:paraId="557BE83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9、基金管理人的高级管理人员、基金经理和基金托管人专门基金托管部门负责人发生变动；</w:t>
      </w:r>
    </w:p>
    <w:p w:rsidR="009F340D" w:rsidRPr="00A936B7" w14:paraId="0D891F9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10、基金管理人的董事在最近12个月内变更超过百分之五十，基金管理人、基金托管人专门基金托管部门的主要业务人员在最近12个月内变动超过百分之三十；</w:t>
      </w:r>
    </w:p>
    <w:p w:rsidR="009F340D" w:rsidRPr="00A936B7" w14:paraId="608CA20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11、涉及基金财产、基金管理业务、基金托管业务的诉讼或仲裁；</w:t>
      </w:r>
    </w:p>
    <w:p w:rsidR="009F340D" w:rsidRPr="00A936B7" w14:paraId="0E3050F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12、基金管理人或其高级管理人员、基金经理因基金管理业务相关行为受到重大行政处罚、刑事处罚，基金托管人或其专门基金托管部门负责人因基金托管业务相关行为受到重大行政处罚、刑事处罚；</w:t>
      </w:r>
    </w:p>
    <w:p w:rsidR="009F340D" w:rsidRPr="00A936B7" w14:paraId="6E9EE19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13、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rsidR="009F340D" w:rsidRPr="00A936B7" w14:paraId="6040E06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14、基金收益分配事项；</w:t>
      </w:r>
    </w:p>
    <w:p w:rsidR="009F340D" w:rsidRPr="00A936B7" w14:paraId="33EDB02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15、管理费、托管费、销售服务费、申购费、赎回费等费用计提标准、计提方式和费率发生变更；</w:t>
      </w:r>
    </w:p>
    <w:p w:rsidR="009F340D" w:rsidRPr="00A936B7" w14:paraId="408B8EC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16、基金份额净值计价错误达基金份额净值百分之零点五；</w:t>
      </w:r>
    </w:p>
    <w:p w:rsidR="009F340D" w:rsidRPr="00A936B7" w14:paraId="44F039A3"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17、本基金开始办理申购、赎回；</w:t>
      </w:r>
    </w:p>
    <w:p w:rsidR="009F340D" w:rsidRPr="00A936B7" w14:paraId="4EDFEC8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18、本基金发生巨额赎回并延期办理；</w:t>
      </w:r>
    </w:p>
    <w:p w:rsidR="009F340D" w:rsidRPr="00A936B7" w14:paraId="7F82718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19、本基金连续发生巨额赎回并暂停接受赎回申请或延缓支付赎回款项；</w:t>
      </w:r>
    </w:p>
    <w:p w:rsidR="009F340D" w:rsidRPr="00A936B7" w14:paraId="4A4A2A8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20、本基金暂停接受申购、赎回申请或重新接受申购、赎回申请；</w:t>
      </w:r>
    </w:p>
    <w:p w:rsidR="009F340D" w:rsidRPr="00A936B7" w14:paraId="1A4D3E0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21、调整基金份额类别的设置；</w:t>
      </w:r>
    </w:p>
    <w:p w:rsidR="009F340D" w:rsidRPr="00A936B7" w14:paraId="2052527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22、基金推出新业务或服务；</w:t>
      </w:r>
    </w:p>
    <w:p w:rsidR="009F340D" w:rsidRPr="00A936B7" w14:paraId="1133501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23、发生涉及基金申购、赎回事项调整或潜在影响投资者赎回等重大事项时；</w:t>
      </w:r>
    </w:p>
    <w:p w:rsidR="009F340D" w:rsidRPr="00A936B7" w14:paraId="7895460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24、基金管理人采用摆动定价机制进行估值；</w:t>
      </w:r>
    </w:p>
    <w:p w:rsidR="009F340D" w:rsidRPr="00A936B7" w14:paraId="11AD083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25、目标ETF变更；</w:t>
      </w:r>
    </w:p>
    <w:p w:rsidR="009F340D" w:rsidRPr="00A936B7" w14:paraId="3620CEF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26、基金信息披露义务人认为可能对基金份额持有人权益或者基金份额的价格产生重大影响的其他事项或中国证监会规定的其他事项。</w:t>
      </w:r>
    </w:p>
    <w:p w:rsidR="009F340D" w:rsidRPr="00A936B7" w14:paraId="23B0C149"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（八）澄清公告</w:t>
      </w:r>
    </w:p>
    <w:p w:rsidR="009F340D" w:rsidRPr="00A936B7" w14:paraId="4EF3C20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w:t>
      </w:r>
    </w:p>
    <w:p w:rsidR="009F340D" w:rsidRPr="00A936B7" w14:paraId="7868067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（九）清算报告</w:t>
      </w:r>
    </w:p>
    <w:p w:rsidR="009F340D" w:rsidRPr="00A936B7" w14:paraId="49CE228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基金合同终止的，基金管理人应当依法组织基金财产清算小组对基金财产进行清算并作出清算报告。基金财产清算小组应当将清算报告登载在规定网站上，并将清算报告提示性公告登载在规定报刊上。</w:t>
      </w:r>
    </w:p>
    <w:p w:rsidR="009F340D" w:rsidRPr="00A936B7" w14:paraId="04109B8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（十）基金份额持有人大会决议</w:t>
      </w:r>
    </w:p>
    <w:p w:rsidR="009F340D" w:rsidRPr="00A936B7" w14:paraId="0C2A1EE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基金份额持有人大会决定的事项，应当依法报中国证监会备案，并予以公告。</w:t>
      </w:r>
    </w:p>
    <w:p w:rsidR="009F340D" w:rsidRPr="00A936B7" w14:paraId="46F0F7A9"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（十一）实施侧袋机制期间的信息披露</w:t>
      </w:r>
    </w:p>
    <w:p w:rsidR="009F340D" w:rsidRPr="00A936B7" w14:paraId="2559E38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本基金实施侧袋机制的，相关信息披露义务人应当根据法律法规、基金合同和招募说明书的规定进行信息披露，详见本招募说明书“侧袋机制”部分的规定。</w:t>
      </w:r>
    </w:p>
    <w:p w:rsidR="009F340D" w:rsidRPr="00A936B7" w14:paraId="0479FF9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（十二）中国证监会规定的其他信息</w:t>
      </w:r>
    </w:p>
    <w:p w:rsidR="009F340D" w:rsidRPr="00A936B7" w14:paraId="575020D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若本基金投资股指期货、国债期货、资产支持证券、股票期权，参与融资及转融通证券出借业务，基金管理人将按相关法律法规要求进行披露。</w:t>
      </w:r>
    </w:p>
    <w:p w:rsidR="009F340D" w:rsidRPr="00A936B7" w14:paraId="3809E80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当相关法律法规关于上述信息披露的规定发生变化时，基金管理人将按最新规定进行信息披露。</w:t>
      </w:r>
    </w:p>
    <w:p w:rsidR="009F340D" w:rsidRPr="00A936B7" w14:paraId="6F160B6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六、信息披露事务管理</w:t>
      </w:r>
    </w:p>
    <w:p w:rsidR="009F340D" w:rsidRPr="00A936B7" w14:paraId="3BC18D7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基金管理人、基金托管人应当建立健全信息披露管理制度，指定专门部门及高级管理人员负责管理信息披露事务。</w:t>
      </w:r>
    </w:p>
    <w:p w:rsidR="009F340D" w:rsidRPr="00A936B7" w14:paraId="0B5C2C7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基金信息披露义务人公开披露基金信息，应当符合中国证监会相关基金信息披露内容与格式准则等法规的规定。</w:t>
      </w:r>
    </w:p>
    <w:p w:rsidR="009F340D" w:rsidRPr="00A936B7" w14:paraId="6A22100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rsidR="009F340D" w:rsidRPr="00A936B7" w14:paraId="37CE4EC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基金管理人、基金托管人应当在规定报刊中选择一家报刊披露本基金信息。基金管理人、基金托管人应当向中国证监会基金电子披露网站报送拟披露的基金信息，并保证相关报送信息的真实、准确、完整、及时。</w:t>
      </w:r>
    </w:p>
    <w:p w:rsidR="009F340D" w:rsidRPr="00A936B7" w14:paraId="00B1583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基金管理人、基金托管人除依法在规定媒介上披露信息外，还可以根据需要在其他公共媒介披露信息，但是其他公共媒介不得早于规定媒介披露信息，并且在不同媒介上披露同一信息的内容应当一致。</w:t>
      </w:r>
    </w:p>
    <w:p w:rsidR="009F340D" w:rsidRPr="00A936B7" w14:paraId="2E926F6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rsidR="009F340D" w:rsidRPr="00A936B7" w14:paraId="42C997F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七、信息披露文件的存放与查阅</w:t>
      </w:r>
    </w:p>
    <w:p w:rsidR="009F340D" w:rsidRPr="00A936B7" w14:paraId="4AD6DAB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bCs/>
          <w:szCs w:val="21"/>
          <w:highlight w:val="white"/>
          <w:lang w:eastAsia="zh-CN"/>
        </w:rPr>
        <w:t>依法必须披露的信息发布后，基金管理人、基金托管人应当按照相关法律法规规定将信息置备于公司办公场所，供社会公众查阅、复制。</w:t>
      </w:r>
    </w:p>
    <w:p w:rsidR="009F340D" w:rsidRPr="00A936B7" w14:paraId="2F92999E" w14:textId="77777777">
      <w:pPr>
        <w:widowControl/>
        <w:jc w:val="left"/>
        <w:rPr>
          <w:rFonts w:asciiTheme="minorEastAsia" w:eastAsiaTheme="minorEastAsia" w:hAnsiTheme="minorEastAsia" w:cs="宋体" w:hint="eastAsia"/>
          <w:sz w:val="30"/>
          <w:szCs w:val="32"/>
          <w:lang w:eastAsia="zh-CN"/>
        </w:rPr>
      </w:pPr>
      <w:bookmarkStart w:id="1843" w:name="_Toc46737675"/>
      <w:bookmarkStart w:id="1844" w:name="_Toc46676683"/>
      <w:r w:rsidRPr="00A936B7">
        <w:rPr>
          <w:rFonts w:asciiTheme="minorEastAsia" w:eastAsiaTheme="minorEastAsia" w:hAnsiTheme="minorEastAsia" w:cs="宋体"/>
          <w:sz w:val="30"/>
          <w:highlight w:val="white"/>
          <w:lang w:eastAsia="zh-CN"/>
        </w:rPr>
        <w:br w:type="page"/>
      </w:r>
    </w:p>
    <w:p w:rsidR="009F340D" w:rsidRPr="00A936B7" w14:paraId="261C2023" w14:textId="77777777">
      <w:pPr>
        <w:pStyle w:val="Heading1"/>
        <w:spacing w:before="317" w:after="317" w:line="360" w:lineRule="auto"/>
        <w:ind w:firstLine="600"/>
        <w:rPr>
          <w:rFonts w:asciiTheme="minorEastAsia" w:eastAsiaTheme="minorEastAsia" w:hAnsiTheme="minorEastAsia" w:cs="宋体" w:hint="eastAsia"/>
          <w:sz w:val="30"/>
          <w:szCs w:val="30"/>
          <w:lang w:eastAsia="zh-CN"/>
        </w:rPr>
      </w:pPr>
      <w:bookmarkStart w:id="1845" w:name="_Toc129511541"/>
      <w:r w:rsidRPr="00A936B7">
        <w:rPr>
          <w:rFonts w:asciiTheme="minorEastAsia" w:eastAsiaTheme="minorEastAsia" w:hAnsiTheme="minorEastAsia" w:cs="宋体" w:hint="eastAsia"/>
          <w:sz w:val="30"/>
          <w:szCs w:val="30"/>
          <w:highlight w:val="white"/>
          <w:lang w:eastAsia="zh-CN"/>
        </w:rPr>
        <w:t>第十</w:t>
      </w:r>
      <w:r w:rsidRPr="00A936B7">
        <w:rPr>
          <w:rFonts w:asciiTheme="minorEastAsia" w:eastAsiaTheme="minorEastAsia" w:hAnsiTheme="minorEastAsia" w:cs="宋体"/>
          <w:sz w:val="30"/>
          <w:szCs w:val="30"/>
          <w:highlight w:val="white"/>
          <w:lang w:eastAsia="zh-CN"/>
        </w:rPr>
        <w:t>九</w:t>
      </w:r>
      <w:r w:rsidRPr="00A936B7">
        <w:rPr>
          <w:rFonts w:asciiTheme="minorEastAsia" w:eastAsiaTheme="minorEastAsia" w:hAnsiTheme="minorEastAsia" w:cs="宋体" w:hint="eastAsia"/>
          <w:sz w:val="30"/>
          <w:szCs w:val="30"/>
          <w:highlight w:val="white"/>
          <w:lang w:eastAsia="zh-CN"/>
        </w:rPr>
        <w:t>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侧袋机制</w:t>
      </w:r>
      <w:bookmarkEnd w:id="1843"/>
      <w:bookmarkEnd w:id="1844"/>
      <w:bookmarkEnd w:id="1845"/>
    </w:p>
    <w:p w:rsidR="009F340D" w:rsidRPr="00A936B7" w14:paraId="20099B1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一、侧袋机制的实施条件和程序</w:t>
      </w:r>
    </w:p>
    <w:p w:rsidR="009F340D" w:rsidRPr="00A936B7" w14:paraId="2B90441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9F340D" w:rsidRPr="00A936B7" w14:paraId="5890BB5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基金管理人应当在启用侧袋机制后及时发布临时公告，并及时聘请符合《证券法》规定的会计师事务所进行审计并披露专项审计意见。</w:t>
      </w:r>
    </w:p>
    <w:p w:rsidR="009F340D" w:rsidRPr="00A936B7" w14:paraId="436FA6B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二、实施侧袋机制期间基金份额的申购与赎回</w:t>
      </w:r>
    </w:p>
    <w:p w:rsidR="009F340D" w:rsidRPr="00A936B7" w14:paraId="2D5A7C9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w:t>
      </w:r>
      <w:r w:rsidRPr="00A936B7">
        <w:rPr>
          <w:rFonts w:asciiTheme="minorEastAsia" w:eastAsiaTheme="minorEastAsia" w:hAnsiTheme="minorEastAsia" w:cs="宋体" w:hint="eastAsia"/>
          <w:bCs/>
          <w:szCs w:val="21"/>
          <w:highlight w:val="white"/>
          <w:lang w:eastAsia="zh-CN"/>
        </w:rPr>
        <w:t>、启用侧袋机制当日，本基金登记机构以基金份额持有人的原有账户份额为基础，确认基金份额持有人的相应侧袋账户份额；当日收到的申购申请，按照启用侧袋机制后的主袋账户份额办理；当日收到的赎回申请，仅办理主袋账户份额的赎回申请并支付赎回款项。</w:t>
      </w:r>
    </w:p>
    <w:p w:rsidR="009F340D" w:rsidRPr="00A936B7" w14:paraId="036B623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2</w:t>
      </w:r>
      <w:r w:rsidRPr="00A936B7">
        <w:rPr>
          <w:rFonts w:asciiTheme="minorEastAsia" w:eastAsiaTheme="minorEastAsia" w:hAnsiTheme="minorEastAsia" w:cs="宋体" w:hint="eastAsia"/>
          <w:bCs/>
          <w:szCs w:val="21"/>
          <w:highlight w:val="white"/>
          <w:lang w:eastAsia="zh-CN"/>
        </w:rPr>
        <w:t>、实施侧袋机制期间，基金管理人不办理侧袋账户份额的申购、赎回和转换；同时，基金管理人按照基金合同和招募说明书约定的政策办理主袋账户份额的赎回，并根据主袋账户运作情况确定是否暂停申购。本招募说明书“基金份额的申购、赎回”部分的申购、赎回规定适用于主袋账户份额。</w:t>
      </w:r>
    </w:p>
    <w:p w:rsidR="009F340D" w:rsidRPr="00A936B7" w14:paraId="49A47169"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3</w:t>
      </w:r>
      <w:r w:rsidRPr="00A936B7">
        <w:rPr>
          <w:rFonts w:asciiTheme="minorEastAsia" w:eastAsiaTheme="minorEastAsia" w:hAnsiTheme="minorEastAsia" w:cs="宋体" w:hint="eastAsia"/>
          <w:bCs/>
          <w:szCs w:val="21"/>
          <w:highlight w:val="white"/>
          <w:lang w:eastAsia="zh-CN"/>
        </w:rPr>
        <w:t>、基金管理人应按照主袋账户的份额净值办理主袋账户份额的申购和赎回。巨额赎回按照单个开放日内主袋账户份额净赎回申请超过前一开放日主袋账户总份额的</w:t>
      </w:r>
      <w:r w:rsidRPr="00A936B7">
        <w:rPr>
          <w:rFonts w:asciiTheme="minorEastAsia" w:eastAsiaTheme="minorEastAsia" w:hAnsiTheme="minorEastAsia" w:cs="宋体"/>
          <w:bCs/>
          <w:szCs w:val="21"/>
          <w:highlight w:val="white"/>
          <w:lang w:eastAsia="zh-CN"/>
        </w:rPr>
        <w:t>10%</w:t>
      </w:r>
      <w:r w:rsidRPr="00A936B7">
        <w:rPr>
          <w:rFonts w:asciiTheme="minorEastAsia" w:eastAsiaTheme="minorEastAsia" w:hAnsiTheme="minorEastAsia" w:cs="宋体" w:hint="eastAsia"/>
          <w:bCs/>
          <w:szCs w:val="21"/>
          <w:highlight w:val="white"/>
          <w:lang w:eastAsia="zh-CN"/>
        </w:rPr>
        <w:t>认定。</w:t>
      </w:r>
    </w:p>
    <w:p w:rsidR="009F340D" w:rsidRPr="00A936B7" w14:paraId="449FAC4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三、实施侧袋机制期间的基金投资</w:t>
      </w:r>
    </w:p>
    <w:p w:rsidR="009F340D" w:rsidRPr="00A936B7" w14:paraId="3CA0DF2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侧袋机制实施期间，招募说明书“基金的投资”部分约定的投资组合比例、投资策略、组合限制、业绩比较基准、风险收益特征等约定仅适用于主袋账户。基金管理人计算各项投资运作指标和基金业绩指标时应当以主袋账户资产</w:t>
      </w:r>
      <w:r w:rsidRPr="00A936B7">
        <w:rPr>
          <w:rFonts w:asciiTheme="minorEastAsia" w:eastAsiaTheme="minorEastAsia" w:hAnsiTheme="minorEastAsia" w:cs="宋体"/>
          <w:bCs/>
          <w:szCs w:val="21"/>
          <w:highlight w:val="white"/>
          <w:lang w:eastAsia="zh-CN"/>
        </w:rPr>
        <w:t>为基准</w:t>
      </w:r>
      <w:r w:rsidRPr="00A936B7">
        <w:rPr>
          <w:rFonts w:asciiTheme="minorEastAsia" w:eastAsiaTheme="minorEastAsia" w:hAnsiTheme="minorEastAsia" w:cs="宋体" w:hint="eastAsia"/>
          <w:bCs/>
          <w:szCs w:val="21"/>
          <w:highlight w:val="white"/>
          <w:lang w:eastAsia="zh-CN"/>
        </w:rPr>
        <w:t>。</w:t>
      </w:r>
    </w:p>
    <w:p w:rsidR="009F340D" w:rsidRPr="00A936B7" w14:paraId="029EDB2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基金管理人原则上应当在侧袋机制启动后</w:t>
      </w:r>
      <w:r w:rsidRPr="00A936B7">
        <w:rPr>
          <w:rFonts w:asciiTheme="minorEastAsia" w:eastAsiaTheme="minorEastAsia" w:hAnsiTheme="minorEastAsia" w:cs="宋体"/>
          <w:bCs/>
          <w:szCs w:val="21"/>
          <w:highlight w:val="white"/>
          <w:lang w:eastAsia="zh-CN"/>
        </w:rPr>
        <w:t>20</w:t>
      </w:r>
      <w:r w:rsidRPr="00A936B7">
        <w:rPr>
          <w:rFonts w:asciiTheme="minorEastAsia" w:eastAsiaTheme="minorEastAsia" w:hAnsiTheme="minorEastAsia" w:cs="宋体" w:hint="eastAsia"/>
          <w:bCs/>
          <w:szCs w:val="21"/>
          <w:highlight w:val="white"/>
          <w:lang w:eastAsia="zh-CN"/>
        </w:rPr>
        <w:t>个交易日内完成对主袋账户投资组合的调整，因资产流动性受限等中国证监会规定的情形除外。</w:t>
      </w:r>
    </w:p>
    <w:p w:rsidR="009F340D" w:rsidRPr="00A936B7" w14:paraId="234B23A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基金管理人不得在侧袋账户中进行除特定资产处置变现以外的其他投资操作。</w:t>
      </w:r>
    </w:p>
    <w:p w:rsidR="009F340D" w:rsidRPr="00A936B7" w14:paraId="14A41431"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四、侧袋账户中特定资产的处置变现和支付</w:t>
      </w:r>
    </w:p>
    <w:p w:rsidR="009F340D" w:rsidRPr="00A936B7" w14:paraId="75A767B3"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特定资产以可出售、可转让、恢复交易等方式恢复流动性后，基金管理人应当按照基金份额持有人利益最大化原则，采取将特定资产予以处置变现等方式，及时向侧袋账户份额持有人支付对应款项。</w:t>
      </w:r>
    </w:p>
    <w:p w:rsidR="009F340D" w:rsidRPr="00A936B7" w14:paraId="32423E4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终止侧袋机制后，基金管理人及时聘请符合《证券法》规定的会计师事务所进行审计并披露专项审计意见。</w:t>
      </w:r>
    </w:p>
    <w:p w:rsidR="009F340D" w:rsidRPr="00A936B7" w14:paraId="325D0EF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五、侧袋机制的信息披露</w:t>
      </w:r>
    </w:p>
    <w:p w:rsidR="009F340D" w:rsidRPr="00A936B7" w14:paraId="3714621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w:t>
      </w:r>
      <w:r w:rsidRPr="00A936B7">
        <w:rPr>
          <w:rFonts w:asciiTheme="minorEastAsia" w:eastAsiaTheme="minorEastAsia" w:hAnsiTheme="minorEastAsia" w:cs="宋体" w:hint="eastAsia"/>
          <w:bCs/>
          <w:szCs w:val="21"/>
          <w:highlight w:val="white"/>
          <w:lang w:eastAsia="zh-CN"/>
        </w:rPr>
        <w:t>、临时公告</w:t>
      </w:r>
    </w:p>
    <w:p w:rsidR="009F340D" w:rsidRPr="00A936B7" w14:paraId="2403DAF5"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在启用侧袋机制、处置特定资产、终止侧袋机制以及发生其他可能对投资者利益产生重大影响的事项后，基金管理人应及时发布临时公告。</w:t>
      </w:r>
    </w:p>
    <w:p w:rsidR="009F340D" w:rsidRPr="00A936B7" w14:paraId="42F3B13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2</w:t>
      </w:r>
      <w:r w:rsidRPr="00A936B7">
        <w:rPr>
          <w:rFonts w:asciiTheme="minorEastAsia" w:eastAsiaTheme="minorEastAsia" w:hAnsiTheme="minorEastAsia" w:cs="宋体" w:hint="eastAsia"/>
          <w:bCs/>
          <w:szCs w:val="21"/>
          <w:highlight w:val="white"/>
          <w:lang w:eastAsia="zh-CN"/>
        </w:rPr>
        <w:t>、基金净值信息</w:t>
      </w:r>
    </w:p>
    <w:p w:rsidR="009F340D" w:rsidRPr="00A936B7" w14:paraId="19E32889"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基金管理人应按照招募说明书“基金的信息披露”部分规定的基金净值信息披露方式和频率披露主袋账户份额的基金份额净值和基金份额累计净值。实施侧袋机制期间本基金暂停披露侧袋账户份额净值。</w:t>
      </w:r>
    </w:p>
    <w:p w:rsidR="009F340D" w:rsidRPr="00A936B7" w14:paraId="3A96CC2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3</w:t>
      </w:r>
      <w:r w:rsidRPr="00A936B7">
        <w:rPr>
          <w:rFonts w:asciiTheme="minorEastAsia" w:eastAsiaTheme="minorEastAsia" w:hAnsiTheme="minorEastAsia" w:cs="宋体" w:hint="eastAsia"/>
          <w:bCs/>
          <w:szCs w:val="21"/>
          <w:highlight w:val="white"/>
          <w:lang w:eastAsia="zh-CN"/>
        </w:rPr>
        <w:t>、定期报告</w:t>
      </w:r>
    </w:p>
    <w:p w:rsidR="009F340D" w:rsidRPr="00A936B7" w14:paraId="46232A2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侧袋机制实施期间，基金管理人应当在基金定期报告中披露报告期内特定资产处置进展情况，披露报告期末特定资产可变现净值或净值区间的，需同时注明不作为特定资产最终变现价格的承诺。</w:t>
      </w:r>
    </w:p>
    <w:p w:rsidR="009F340D" w:rsidRPr="00A936B7" w14:paraId="4E159554" w14:textId="77777777">
      <w:pPr>
        <w:widowControl/>
        <w:jc w:val="left"/>
        <w:rPr>
          <w:rFonts w:asciiTheme="minorEastAsia" w:eastAsiaTheme="minorEastAsia" w:hAnsiTheme="minorEastAsia" w:cs="宋体" w:hint="eastAsia"/>
          <w:sz w:val="30"/>
          <w:szCs w:val="32"/>
          <w:lang w:eastAsia="zh-CN"/>
        </w:rPr>
      </w:pPr>
      <w:r w:rsidRPr="00A936B7">
        <w:rPr>
          <w:rFonts w:asciiTheme="minorEastAsia" w:eastAsiaTheme="minorEastAsia" w:hAnsiTheme="minorEastAsia" w:cs="宋体"/>
          <w:sz w:val="30"/>
          <w:highlight w:val="white"/>
          <w:lang w:eastAsia="zh-CN"/>
        </w:rPr>
        <w:br w:type="page"/>
      </w:r>
    </w:p>
    <w:p w:rsidR="009F340D" w:rsidRPr="00A936B7" w14:paraId="2D0E8BF6" w14:textId="77777777">
      <w:pPr>
        <w:pStyle w:val="Heading1"/>
        <w:spacing w:before="317" w:after="317" w:line="360" w:lineRule="auto"/>
        <w:ind w:firstLine="600"/>
        <w:rPr>
          <w:rFonts w:asciiTheme="minorEastAsia" w:eastAsiaTheme="minorEastAsia" w:hAnsiTheme="minorEastAsia" w:cs="宋体" w:hint="eastAsia"/>
          <w:sz w:val="30"/>
          <w:szCs w:val="30"/>
          <w:lang w:eastAsia="zh-CN"/>
        </w:rPr>
      </w:pPr>
      <w:bookmarkStart w:id="1846" w:name="_Toc129511542"/>
      <w:r w:rsidRPr="00A936B7">
        <w:rPr>
          <w:rFonts w:asciiTheme="minorEastAsia" w:eastAsiaTheme="minorEastAsia" w:hAnsiTheme="minorEastAsia" w:cs="宋体" w:hint="eastAsia"/>
          <w:sz w:val="30"/>
          <w:szCs w:val="30"/>
          <w:highlight w:val="white"/>
          <w:lang w:eastAsia="zh-CN"/>
        </w:rPr>
        <w:t>第二十</w:t>
      </w:r>
      <w:bookmarkStart w:id="1847" w:name="_Toc332373573"/>
      <w:r w:rsidRPr="00A936B7">
        <w:rPr>
          <w:rFonts w:asciiTheme="minorEastAsia" w:eastAsiaTheme="minorEastAsia" w:hAnsiTheme="minorEastAsia" w:cs="宋体"/>
          <w:sz w:val="30"/>
          <w:szCs w:val="30"/>
          <w:highlight w:val="white"/>
          <w:lang w:eastAsia="zh-CN"/>
        </w:rPr>
        <w:t>部分 风险揭示</w:t>
      </w:r>
      <w:bookmarkEnd w:id="1846"/>
      <w:bookmarkEnd w:id="1847"/>
    </w:p>
    <w:p w:rsidR="009F340D" w:rsidRPr="00A936B7" w14:paraId="221C2B0B" w14:textId="77777777">
      <w:pPr>
        <w:spacing w:line="360" w:lineRule="auto"/>
        <w:ind w:firstLine="420"/>
        <w:rPr>
          <w:rFonts w:asciiTheme="minorEastAsia" w:eastAsiaTheme="minorEastAsia" w:hAnsiTheme="minorEastAsia" w:cs="宋体" w:hint="eastAsia"/>
          <w:szCs w:val="21"/>
          <w:lang w:eastAsia="zh-CN"/>
        </w:rPr>
      </w:pPr>
      <w:bookmarkStart w:id="1848" w:name="_Toc332373574"/>
      <w:r w:rsidRPr="00A936B7">
        <w:rPr>
          <w:rFonts w:asciiTheme="minorEastAsia" w:eastAsiaTheme="minorEastAsia" w:hAnsiTheme="minorEastAsia" w:cs="宋体" w:hint="eastAsia"/>
          <w:szCs w:val="21"/>
          <w:highlight w:val="white"/>
          <w:lang w:eastAsia="zh-CN"/>
        </w:rPr>
        <w:t>一、本基金的特有风险</w:t>
      </w:r>
    </w:p>
    <w:p w:rsidR="009F340D" w:rsidRPr="00A936B7" w14:paraId="2DAC1432"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spacing w:val="-2"/>
          <w:szCs w:val="21"/>
          <w:highlight w:val="white"/>
          <w:lang w:eastAsia="zh-CN"/>
        </w:rPr>
        <w:t>1、指数化投资的风险</w:t>
      </w:r>
    </w:p>
    <w:p w:rsidR="009F340D" w:rsidRPr="00A936B7" w14:paraId="3D8F9BC7"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本基金投资于目标ETF的资产不低于基金资产净值的90%，目标ETF投资标的指数成份股及备选成份股的资产不低于基金资产净值的90%</w:t>
      </w:r>
      <w:r w:rsidRPr="00A936B7">
        <w:rPr>
          <w:rFonts w:asciiTheme="minorEastAsia" w:eastAsiaTheme="minorEastAsia" w:hAnsiTheme="minorEastAsia"/>
          <w:spacing w:val="-2"/>
          <w:szCs w:val="21"/>
          <w:highlight w:val="white"/>
          <w:lang w:eastAsia="zh-CN"/>
        </w:rPr>
        <w:t>，业绩表现将会随着标的指数的波动而波动；同时本基金在多数情况下将维持较高的股票仓位，在股票市场下跌的过程中，可能面临基金净值与标的指数同步下跌的风险。</w:t>
      </w:r>
    </w:p>
    <w:p w:rsidR="009F340D" w:rsidRPr="00A936B7" w14:paraId="4958046C" w14:textId="77777777">
      <w:pPr>
        <w:spacing w:line="360" w:lineRule="auto"/>
        <w:ind w:firstLine="420" w:firstLineChars="200"/>
        <w:rPr>
          <w:rFonts w:asciiTheme="minorEastAsia" w:eastAsiaTheme="minorEastAsia" w:hAnsiTheme="minorEastAsia" w:hint="eastAsia"/>
          <w:bCs/>
          <w:szCs w:val="21"/>
          <w:lang w:eastAsia="zh-CN"/>
        </w:rPr>
      </w:pPr>
      <w:r w:rsidRPr="00A936B7">
        <w:rPr>
          <w:rFonts w:asciiTheme="minorEastAsia" w:eastAsiaTheme="minorEastAsia" w:hAnsiTheme="minorEastAsia" w:hint="eastAsia"/>
          <w:bCs/>
          <w:szCs w:val="21"/>
          <w:highlight w:val="white"/>
          <w:lang w:eastAsia="zh-CN"/>
        </w:rPr>
        <w:t>（1）标的指数回报与股票市场平均回报偏离的风险</w:t>
      </w:r>
    </w:p>
    <w:p w:rsidR="009F340D" w:rsidRPr="00A936B7" w14:paraId="50AE88FC" w14:textId="77777777">
      <w:pPr>
        <w:spacing w:line="360" w:lineRule="auto"/>
        <w:ind w:firstLine="420" w:firstLineChars="200"/>
        <w:rPr>
          <w:rFonts w:asciiTheme="minorEastAsia" w:eastAsiaTheme="minorEastAsia" w:hAnsiTheme="minorEastAsia" w:hint="eastAsia"/>
          <w:bCs/>
          <w:szCs w:val="21"/>
          <w:lang w:eastAsia="zh-CN"/>
        </w:rPr>
      </w:pPr>
      <w:r w:rsidRPr="00A936B7">
        <w:rPr>
          <w:rFonts w:asciiTheme="minorEastAsia" w:eastAsiaTheme="minorEastAsia" w:hAnsiTheme="minorEastAsia" w:hint="eastAsia"/>
          <w:bCs/>
          <w:szCs w:val="21"/>
          <w:highlight w:val="white"/>
          <w:lang w:eastAsia="zh-CN"/>
        </w:rPr>
        <w:t>标的指数并不能代表整个股票市场。标的指数成份股的平均回报率与整个股票市场的平均回报率可能存在偏离。</w:t>
      </w:r>
    </w:p>
    <w:p w:rsidR="009F340D" w:rsidRPr="00A936B7" w14:paraId="52CA1F03"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spacing w:val="-2"/>
          <w:szCs w:val="21"/>
          <w:highlight w:val="white"/>
          <w:lang w:eastAsia="zh-CN"/>
        </w:rPr>
        <w:t>（2）标的指数波动的风险</w:t>
      </w:r>
    </w:p>
    <w:p w:rsidR="009F340D" w:rsidRPr="00A936B7" w14:paraId="2F148C69"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目标ETF标的指数成份股及备选成份股的价格可能受到政治因素、经济因素、上市公司经营状况、投资者心理和交易制度等各种因素的影响而波动，导致指数波动。由于本基金主要投资于目标ETF，基金收益水平会因为目标ETF标的指数的波动发生变化，从而产生风险。</w:t>
      </w:r>
    </w:p>
    <w:p w:rsidR="009F340D" w:rsidRPr="00A936B7" w14:paraId="425B5536"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（3）成份股停牌的风险</w:t>
      </w:r>
    </w:p>
    <w:p w:rsidR="009F340D" w:rsidRPr="00A936B7" w14:paraId="44E0D3E1"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标的指数成份股可能因各种原因临时或长期停牌，发生成份股停牌时可能面临如下风险：</w:t>
      </w:r>
    </w:p>
    <w:p w:rsidR="009F340D" w:rsidRPr="00A936B7" w14:paraId="002D41B9"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1）目标ETF可能因无法及时调整投资组合而导致本基金跟踪偏离度和跟踪误差扩大。</w:t>
      </w:r>
    </w:p>
    <w:p w:rsidR="009F340D" w:rsidRPr="00A936B7" w14:paraId="633F07A8"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2）在极端情况下，标的指数成份股可能大面积停牌，目标ETF可能无法及时卖出成份股以获取足额的符合要求的赎回对价，由此基金管理人可能在申购赎回清单中设置较低的赎回份额上限或者采取暂停赎回的措施，本基金将面临无法赎回全部或部分ETF份额的风险。</w:t>
      </w:r>
    </w:p>
    <w:p w:rsidR="009F340D" w:rsidRPr="00A936B7" w14:paraId="0415B3BE" w14:textId="77777777">
      <w:pPr>
        <w:spacing w:line="360" w:lineRule="auto"/>
        <w:ind w:firstLine="420"/>
        <w:rPr>
          <w:rFonts w:asciiTheme="minorEastAsia" w:eastAsiaTheme="minorEastAsia" w:hAnsiTheme="minorEastAsia" w:hint="eastAsia"/>
          <w:lang w:eastAsia="zh-CN"/>
        </w:rPr>
      </w:pPr>
      <w:r w:rsidRPr="00A936B7">
        <w:rPr>
          <w:rFonts w:asciiTheme="minorEastAsia" w:eastAsiaTheme="minorEastAsia" w:hAnsiTheme="minorEastAsia"/>
          <w:spacing w:val="-2"/>
          <w:szCs w:val="21"/>
          <w:highlight w:val="white"/>
          <w:lang w:eastAsia="zh-CN"/>
        </w:rPr>
        <w:t>（4）基金分红特殊安排的风险</w:t>
      </w:r>
    </w:p>
    <w:p w:rsidR="009F340D" w:rsidRPr="00A936B7" w14:paraId="0E356D17" w14:textId="77777777">
      <w:pPr>
        <w:spacing w:line="360" w:lineRule="auto"/>
        <w:ind w:firstLine="420" w:firstLineChars="0"/>
        <w:rPr>
          <w:rFonts w:asciiTheme="minorEastAsia" w:eastAsiaTheme="minorEastAsia" w:hAnsiTheme="minorEastAsia" w:hint="eastAsia"/>
          <w:spacing w:val="-2"/>
          <w:szCs w:val="21"/>
          <w:lang w:eastAsia="zh-CN"/>
        </w:rPr>
      </w:pPr>
      <w:r w:rsidRPr="00695D09">
        <w:rPr>
          <w:rFonts w:asciiTheme="minorEastAsia" w:eastAsiaTheme="minorEastAsia" w:hAnsiTheme="minorEastAsia" w:hint="eastAsia"/>
          <w:bCs/>
          <w:szCs w:val="21"/>
          <w:lang w:eastAsia="zh-CN"/>
        </w:rPr>
        <w:t>本基金可对收益评价日核定的基金累计报酬率相对业绩比较基准同期累计报酬率的超额收益率和基金可供分配利润进行评价</w:t>
      </w:r>
      <w:r>
        <w:rPr>
          <w:rFonts w:asciiTheme="minorEastAsia" w:eastAsiaTheme="minorEastAsia" w:hAnsiTheme="minorEastAsia" w:hint="eastAsia"/>
          <w:bCs/>
          <w:szCs w:val="21"/>
          <w:lang w:eastAsia="zh-CN"/>
        </w:rPr>
        <w:t>，</w:t>
      </w:r>
      <w:r w:rsidRPr="00695D09">
        <w:rPr>
          <w:rFonts w:asciiTheme="minorEastAsia" w:eastAsiaTheme="minorEastAsia" w:hAnsiTheme="minorEastAsia" w:hint="eastAsia"/>
          <w:bCs/>
          <w:szCs w:val="21"/>
          <w:lang w:eastAsia="zh-CN"/>
        </w:rPr>
        <w:t>在符合相关规定的前提下</w:t>
      </w:r>
      <w:r>
        <w:rPr>
          <w:rFonts w:asciiTheme="minorEastAsia" w:eastAsiaTheme="minorEastAsia" w:hAnsiTheme="minorEastAsia" w:hint="eastAsia"/>
          <w:bCs/>
          <w:szCs w:val="21"/>
          <w:lang w:eastAsia="zh-CN"/>
        </w:rPr>
        <w:t>，</w:t>
      </w:r>
      <w:r w:rsidRPr="00695D09">
        <w:rPr>
          <w:rFonts w:asciiTheme="minorEastAsia" w:eastAsiaTheme="minorEastAsia" w:hAnsiTheme="minorEastAsia" w:hint="eastAsia"/>
          <w:bCs/>
          <w:szCs w:val="21"/>
          <w:lang w:eastAsia="zh-CN"/>
        </w:rPr>
        <w:t>基金管理人可进行收益分配</w:t>
      </w:r>
      <w:r w:rsidR="00695D09">
        <w:rPr>
          <w:rFonts w:asciiTheme="minorEastAsia" w:eastAsiaTheme="minorEastAsia" w:hAnsiTheme="minorEastAsia" w:hint="eastAsia"/>
          <w:bCs/>
          <w:szCs w:val="21"/>
          <w:lang w:eastAsia="zh-CN"/>
        </w:rPr>
        <w:t>；</w:t>
      </w:r>
      <w:r w:rsidRPr="00A936B7">
        <w:rPr>
          <w:rFonts w:asciiTheme="minorEastAsia" w:eastAsiaTheme="minorEastAsia" w:hAnsiTheme="minorEastAsia"/>
          <w:spacing w:val="-2"/>
          <w:szCs w:val="21"/>
          <w:highlight w:val="white"/>
          <w:lang w:eastAsia="zh-CN"/>
        </w:rPr>
        <w:t>以上分红安排较为特殊，可能对投资者的投资行为和结果产生一定的影响。此外，在分红过程中可能因证券买卖价格波动、证券交易成本、基金仓位变动等对基金跟踪误差有所影响。请投资者知悉上述事项并做好相应安排。</w:t>
      </w:r>
    </w:p>
    <w:p w:rsidR="009F340D" w:rsidRPr="00A936B7" w14:paraId="32A6CABF"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（5）基金收益率与业绩比较基准收益率偏离的风险，主要影响因素包括：</w:t>
      </w:r>
    </w:p>
    <w:p w:rsidR="009F340D" w:rsidRPr="00A936B7" w14:paraId="43BCCE7D"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1）目标ETF对指数的跟踪误差：本基金主要通过投资于目标ETF实现对业绩比较基准的紧密跟踪，目标ETF对指数的跟踪误差会影响本基金对业绩比较基准的跟踪误差；</w:t>
      </w:r>
    </w:p>
    <w:p w:rsidR="009F340D" w:rsidRPr="00A936B7" w14:paraId="3D4A67BA"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2）本基金发生申购赎回、管理费和托管费收取等其他导致基金跟踪误差的情形。</w:t>
      </w:r>
    </w:p>
    <w:p w:rsidR="009F340D" w:rsidRPr="00A936B7" w14:paraId="6A7A2DFF"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（6）跟踪误差控制未达约定目标的风险</w:t>
      </w:r>
    </w:p>
    <w:p w:rsidR="009F340D" w:rsidRPr="00A936B7" w14:paraId="6C439143"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zCs w:val="21"/>
          <w:highlight w:val="white"/>
          <w:lang w:eastAsia="zh-CN"/>
        </w:rPr>
        <w:t>本基金为目标ETF的联接基金，主要通过投资于目标ETF实现对业绩比较基准的紧密跟踪，力争将日均跟踪偏离度的绝对值控制在0.35%以内，年化跟踪误差控制在4%以内</w:t>
      </w:r>
      <w:r w:rsidRPr="00A936B7">
        <w:rPr>
          <w:rFonts w:asciiTheme="minorEastAsia" w:eastAsiaTheme="minorEastAsia" w:hAnsiTheme="minorEastAsia" w:hint="eastAsia"/>
          <w:spacing w:val="-2"/>
          <w:szCs w:val="21"/>
          <w:highlight w:val="white"/>
          <w:lang w:eastAsia="zh-CN"/>
        </w:rPr>
        <w:t>，但因标的指数编制规则调整或其他因素可能导致跟踪误差超过上述范围，本基金净值表现与指数价格走势可能发生较大偏离</w:t>
      </w:r>
      <w:r w:rsidRPr="00A936B7">
        <w:rPr>
          <w:rFonts w:asciiTheme="minorEastAsia" w:eastAsiaTheme="minorEastAsia" w:hAnsiTheme="minorEastAsia" w:hint="eastAsia"/>
          <w:szCs w:val="21"/>
          <w:highlight w:val="white"/>
          <w:lang w:eastAsia="zh-CN"/>
        </w:rPr>
        <w:t>。</w:t>
      </w:r>
    </w:p>
    <w:p w:rsidR="009F340D" w:rsidRPr="00A936B7" w14:paraId="77289A51"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（7）标的指数值计算出错的风险</w:t>
      </w:r>
    </w:p>
    <w:p w:rsidR="009F340D" w:rsidRPr="00A936B7" w14:paraId="6BB513AD"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尽管</w:t>
      </w:r>
      <w:r w:rsidRPr="00A936B7">
        <w:rPr>
          <w:rFonts w:asciiTheme="minorEastAsia" w:eastAsiaTheme="minorEastAsia" w:hAnsiTheme="minorEastAsia"/>
          <w:spacing w:val="-2"/>
          <w:szCs w:val="21"/>
          <w:highlight w:val="white"/>
          <w:lang w:eastAsia="zh-CN"/>
        </w:rPr>
        <w:t>指数公司</w:t>
      </w:r>
      <w:r w:rsidRPr="00A936B7">
        <w:rPr>
          <w:rFonts w:asciiTheme="minorEastAsia" w:eastAsiaTheme="minorEastAsia" w:hAnsiTheme="minorEastAsia" w:hint="eastAsia"/>
          <w:spacing w:val="-2"/>
          <w:szCs w:val="21"/>
          <w:highlight w:val="white"/>
          <w:lang w:eastAsia="zh-CN"/>
        </w:rPr>
        <w:t>将采取一切必要措施以确保指数的准确性，但不对此作任何保证，亦不因指数的任何错误对任何人负责。因此，如果标的指数值出现错误，投资人参考指数值进行投资决策，则可能导致损失。</w:t>
      </w:r>
    </w:p>
    <w:p w:rsidR="009F340D" w:rsidRPr="00A936B7" w14:paraId="1CC0D69A"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（8）标的指数编制方案带来的风险</w:t>
      </w:r>
    </w:p>
    <w:p w:rsidR="009F340D" w:rsidRPr="00A936B7" w14:paraId="2CF58413"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本基金标的指数由指数编制机构发布并管理和维护，指数编制机构有权停止编制标的指数、变更标的指数编制方案。而指数编制方案基于其样本空间仅能选取部分证券予以构建，其表征性与可投资性可能存在不成熟或不完备之处。</w:t>
      </w:r>
    </w:p>
    <w:p w:rsidR="009F340D" w:rsidRPr="00A936B7" w14:paraId="61D8943B"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当指数编制机构变更标的指数编制方案，导致指数成份股样本与权重发生调整，基金管理人需调整目标ETF和本基金投资组合，从而可能增加基金运作难度、跟踪误差和组合调整的风险与成本，并可能导致基金风险收益特征发生较大变化。此外，当市场环境发生变化，但指数编制机构未能及时对指数编制方案进行调整时，可能导致标的指数的表现与总体市场表现存在差异，从而影响投资收益。投资人需关注并承担上述风险，谨慎作出投资决策。</w:t>
      </w:r>
    </w:p>
    <w:p w:rsidR="009F340D" w:rsidRPr="00A936B7" w14:paraId="4CBB98A3"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（9）指数编制机构停止服务的风险</w:t>
      </w:r>
    </w:p>
    <w:p w:rsidR="009F340D" w:rsidRPr="00A936B7" w14:paraId="53DB930F"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本基金的标的指数由指数编制机构发布并管理和维护，未来指数编制机构可能由于各种原因停止对指数的管理和维护，本基金将根据基金合同的约定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投资人将面临转换运作方式、与其他基金合并、或者终止基金合同等风险。</w:t>
      </w:r>
    </w:p>
    <w:p w:rsidR="009F340D" w:rsidRPr="00A936B7" w14:paraId="29A58B3B"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自指数编制机构停止标的指数的编制及发布至解决方案确定期间，基金管理人应按照指数编制机构提供的最近一个交易日的指数信息遵循基金份额持有人利益优先原则维持基金投资运作，该期间由于标的指数不再更新等原因可能导致指数表现与相关市场表现存在差异，影响投资收益。</w:t>
      </w:r>
    </w:p>
    <w:p w:rsidR="009F340D" w:rsidRPr="00A936B7" w14:paraId="4EDB15AC"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2、联接基金的特殊风险</w:t>
      </w:r>
    </w:p>
    <w:p w:rsidR="009F340D" w:rsidRPr="00A936B7" w14:paraId="45DB4D03"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（1）可能具有与目标ETF不同的风险收益特征及净值增长率的风险</w:t>
      </w:r>
    </w:p>
    <w:p w:rsidR="009F340D" w:rsidRPr="00A936B7" w14:paraId="09264AA7"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由于本基金在投资限制、运作机制和投资策略等方面与目标ETF不同，因此本基金可能具有与目标ETF不同的风险收益特征及净值增长率。</w:t>
      </w:r>
    </w:p>
    <w:p w:rsidR="009F340D" w:rsidRPr="00A936B7" w14:paraId="1D0AA4FD"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（2）目标ETF面临的风险可能直接或间接成为本基金的风险</w:t>
      </w:r>
    </w:p>
    <w:p w:rsidR="009F340D" w:rsidRPr="00A936B7" w14:paraId="3C6839DA"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本基金属于联接基金，主要投资于目标ETF，因此目标ETF面临的风险可能直接或间接成为本基金的风险，投资者应知悉并关注目标ETF招募说明书等文件中的风险揭示内容。</w:t>
      </w:r>
    </w:p>
    <w:p w:rsidR="009F340D" w:rsidRPr="00A936B7" w14:paraId="05804607"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（3）由目标ETF的联接基金变更为直接投资目标ETF标的指数成份股及备选成份股的指数基金的风险。</w:t>
      </w:r>
    </w:p>
    <w:p w:rsidR="009F340D" w:rsidRPr="00A936B7" w14:paraId="250B2840"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spacing w:val="-2"/>
          <w:szCs w:val="21"/>
          <w:highlight w:val="white"/>
          <w:lang w:eastAsia="zh-CN"/>
        </w:rPr>
        <w:t>当目标ETF发生基金合同约定的特殊情况时，本基金可能由目标ETF的联接基金变更为直接投资目标ETF标的指数成份股及备选成份股的指数基金，投资者届时须承担变更基金类型所带来的风险。</w:t>
      </w:r>
    </w:p>
    <w:p w:rsidR="009F340D" w:rsidRPr="00A936B7" w14:paraId="3813F172" w14:textId="77777777">
      <w:pPr>
        <w:spacing w:line="360" w:lineRule="auto"/>
        <w:ind w:firstLine="420" w:firstLineChars="200"/>
        <w:rPr>
          <w:rFonts w:asciiTheme="minorEastAsia" w:eastAsiaTheme="minorEastAsia" w:hAnsiTheme="minorEastAsia" w:hint="eastAsia"/>
          <w:bCs/>
          <w:szCs w:val="21"/>
          <w:lang w:eastAsia="zh-CN"/>
        </w:rPr>
      </w:pPr>
      <w:r w:rsidRPr="00A936B7">
        <w:rPr>
          <w:rFonts w:asciiTheme="minorEastAsia" w:eastAsiaTheme="minorEastAsia" w:hAnsiTheme="minorEastAsia" w:hint="eastAsia"/>
          <w:bCs/>
          <w:color w:val="000000" w:themeColor="text1"/>
          <w:szCs w:val="21"/>
          <w:highlight w:val="white"/>
          <w:lang w:eastAsia="zh-CN"/>
        </w:rPr>
        <w:t>3、</w:t>
      </w:r>
      <w:r w:rsidRPr="00A936B7">
        <w:rPr>
          <w:rFonts w:asciiTheme="minorEastAsia" w:eastAsiaTheme="minorEastAsia" w:hAnsiTheme="minorEastAsia" w:cs="宋体"/>
          <w:color w:val="000000"/>
          <w:highlight w:val="white"/>
          <w:lang w:eastAsia="zh-CN"/>
        </w:rPr>
        <w:t>本基金可投资科创板股票，科创板股票在发行、上市、交易、退市等方面的规则与其他板块存在差异，基金投资科创板股票可能面临退市风险、市场风险、流动性风险、监管规则变化的风险等特有风险，从而可能给基金净值带来不利影响或损失。</w:t>
      </w:r>
    </w:p>
    <w:p w:rsidR="009F340D" w:rsidRPr="00A936B7" w14:paraId="70228637"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hint="eastAsia"/>
          <w:bCs/>
          <w:color w:val="000000" w:themeColor="text1"/>
          <w:szCs w:val="21"/>
          <w:highlight w:val="white"/>
          <w:lang w:eastAsia="zh-CN"/>
        </w:rPr>
        <w:t>4、本基金可投资北京证券交易所股票，北京证券交易所主要服务于创新型中小企业，在发行、上市、交易、退市等方面的规则与其他交易场所存在差异，基金投资北京证券交易所股票可能面临中小企业经营风险、股价大幅波动风险、企业退市风险、流动性风险、监管规则变化的风险等，从而可能对基金净值带来不利影响或损失。</w:t>
      </w:r>
    </w:p>
    <w:p w:rsidR="009F340D" w:rsidRPr="00A936B7" w14:paraId="7783EA15"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spacing w:val="-2"/>
          <w:szCs w:val="21"/>
          <w:highlight w:val="white"/>
          <w:lang w:eastAsia="zh-CN"/>
        </w:rPr>
        <w:t>5、本基金投资特定品种的特有风险</w:t>
      </w:r>
    </w:p>
    <w:p w:rsidR="009F340D" w:rsidRPr="00A936B7" w14:paraId="1AB81C72" w14:textId="77777777">
      <w:pPr>
        <w:spacing w:line="360" w:lineRule="auto"/>
        <w:ind w:firstLine="420" w:firstLineChars="200"/>
        <w:rPr>
          <w:rFonts w:asciiTheme="minorEastAsia" w:eastAsiaTheme="minorEastAsia" w:hAnsiTheme="minorEastAsia" w:hint="eastAsia"/>
          <w:szCs w:val="21"/>
          <w:lang w:eastAsia="zh-CN"/>
        </w:rPr>
      </w:pPr>
      <w:r w:rsidRPr="00A936B7">
        <w:rPr>
          <w:rFonts w:asciiTheme="minorEastAsia" w:eastAsiaTheme="minorEastAsia" w:hAnsiTheme="minorEastAsia"/>
          <w:spacing w:val="-2"/>
          <w:szCs w:val="21"/>
          <w:highlight w:val="white"/>
          <w:lang w:eastAsia="zh-CN"/>
        </w:rPr>
        <w:t>（1）本基金投资范围包括股指期货、</w:t>
      </w:r>
      <w:r w:rsidRPr="00A936B7">
        <w:rPr>
          <w:rFonts w:asciiTheme="minorEastAsia" w:eastAsiaTheme="minorEastAsia" w:hAnsiTheme="minorEastAsia" w:hint="eastAsia"/>
          <w:spacing w:val="-2"/>
          <w:szCs w:val="21"/>
          <w:highlight w:val="white"/>
          <w:lang w:eastAsia="zh-CN"/>
        </w:rPr>
        <w:t>国债期货、</w:t>
      </w:r>
      <w:r w:rsidRPr="00A936B7">
        <w:rPr>
          <w:rFonts w:asciiTheme="minorEastAsia" w:eastAsiaTheme="minorEastAsia" w:hAnsiTheme="minorEastAsia"/>
          <w:spacing w:val="-2"/>
          <w:szCs w:val="21"/>
          <w:highlight w:val="white"/>
          <w:lang w:eastAsia="zh-CN"/>
        </w:rPr>
        <w:t>股票期权等金融衍生品，股指期货、</w:t>
      </w:r>
      <w:r w:rsidRPr="00A936B7">
        <w:rPr>
          <w:rFonts w:asciiTheme="minorEastAsia" w:eastAsiaTheme="minorEastAsia" w:hAnsiTheme="minorEastAsia" w:hint="eastAsia"/>
          <w:spacing w:val="-2"/>
          <w:szCs w:val="21"/>
          <w:highlight w:val="white"/>
          <w:lang w:eastAsia="zh-CN"/>
        </w:rPr>
        <w:t>国债期货、</w:t>
      </w:r>
      <w:r w:rsidRPr="00A936B7">
        <w:rPr>
          <w:rFonts w:asciiTheme="minorEastAsia" w:eastAsiaTheme="minorEastAsia" w:hAnsiTheme="minorEastAsia"/>
          <w:spacing w:val="-2"/>
          <w:szCs w:val="21"/>
          <w:highlight w:val="white"/>
          <w:lang w:eastAsia="zh-CN"/>
        </w:rPr>
        <w:t>股票期权等金融衍生品投资可能给本基金带来额外风险。投资股指期货、</w:t>
      </w:r>
      <w:r w:rsidRPr="00A936B7">
        <w:rPr>
          <w:rFonts w:asciiTheme="minorEastAsia" w:eastAsiaTheme="minorEastAsia" w:hAnsiTheme="minorEastAsia" w:hint="eastAsia"/>
          <w:spacing w:val="-2"/>
          <w:szCs w:val="21"/>
          <w:highlight w:val="white"/>
          <w:lang w:eastAsia="zh-CN"/>
        </w:rPr>
        <w:t>国债期货</w:t>
      </w:r>
      <w:r w:rsidRPr="00A936B7">
        <w:rPr>
          <w:rFonts w:asciiTheme="minorEastAsia" w:eastAsiaTheme="minorEastAsia" w:hAnsiTheme="minorEastAsia"/>
          <w:spacing w:val="-2"/>
          <w:szCs w:val="21"/>
          <w:highlight w:val="white"/>
          <w:lang w:eastAsia="zh-CN"/>
        </w:rPr>
        <w:t>的风险包括但不限于杠杆风险、保证金风险、期货价格与基金投资品种价格的相关度降低带来的风险等；投资股票期权的风险包括但不限于市场风险、流动性风险、交易对手信用风险、操作风险、保证金风险等；由此可能增加本基金净值的波动性。</w:t>
      </w:r>
    </w:p>
    <w:p w:rsidR="009F340D" w:rsidRPr="00A936B7" w14:paraId="2427FBC9"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spacing w:val="-2"/>
          <w:szCs w:val="21"/>
          <w:highlight w:val="white"/>
          <w:lang w:eastAsia="zh-CN"/>
        </w:rPr>
        <w:t>（2）本基金的投资范围包括资产支持证券，资产支持证券存在一定的信用风险、利率风险、流动性风险、提前偿付风险、操作风险和法律风险，由此可能给基金净值带来不利影响或损失。</w:t>
      </w:r>
    </w:p>
    <w:p w:rsidR="009F340D" w:rsidRPr="00A936B7" w14:paraId="2CF3149A"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spacing w:val="-2"/>
          <w:szCs w:val="21"/>
          <w:highlight w:val="white"/>
          <w:lang w:eastAsia="zh-CN"/>
        </w:rPr>
        <w:t>（3）本基金的投资范围包括存托凭证，除与其他投资于股票的基金所面临的共同风险外，本基金还将面临存托凭证价格大幅波动甚至出现较大亏损的风险，以及与存托凭证发行机制相关的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rsidR="009F340D" w:rsidRPr="00A936B7" w14:paraId="046A35D6"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spacing w:val="-2"/>
          <w:szCs w:val="21"/>
          <w:highlight w:val="white"/>
          <w:lang w:eastAsia="zh-CN"/>
        </w:rPr>
        <w:t>6、参与转融通证券出借业务的风险</w:t>
      </w:r>
    </w:p>
    <w:p w:rsidR="009F340D" w:rsidRPr="00A936B7" w14:paraId="799FF6B4" w14:textId="77777777">
      <w:pPr>
        <w:spacing w:line="360" w:lineRule="auto"/>
        <w:ind w:firstLine="420" w:firstLineChars="200"/>
        <w:rPr>
          <w:rFonts w:asciiTheme="minorEastAsia" w:eastAsiaTheme="minorEastAsia" w:hAnsiTheme="minorEastAsia" w:hint="eastAsia"/>
          <w:spacing w:val="-2"/>
          <w:szCs w:val="21"/>
          <w:lang w:eastAsia="zh-CN"/>
        </w:rPr>
      </w:pPr>
      <w:r w:rsidRPr="00A936B7">
        <w:rPr>
          <w:rFonts w:asciiTheme="minorEastAsia" w:eastAsiaTheme="minorEastAsia" w:hAnsiTheme="minorEastAsia"/>
          <w:spacing w:val="-2"/>
          <w:szCs w:val="21"/>
          <w:highlight w:val="white"/>
          <w:lang w:eastAsia="zh-CN"/>
        </w:rPr>
        <w:t>本基金可参与转融通证券出借业务，面临的风险包括但不限于：（1）流动性风险，指面临大额赎回时，可能因证券出借原因发生无法及时变现支付赎回款项的风险；（2）信用风险，指证券出借对手方可能无法及时归还证券、无法支付相应权益补偿及借券费用的风险；（3）市场风险，指证券出借后可能面临出借期间无法及时处置证券的市场风险；（4）其他风险，如宏观政策变化、证券市场剧烈波动、个别证券出现重大事件、交易对手方违约、业务规则调整、信息技术不能正常运行等风险。</w:t>
      </w:r>
    </w:p>
    <w:p w:rsidR="009F340D" w:rsidRPr="00A936B7" w14:paraId="08C85EC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二、市场风险</w:t>
      </w:r>
    </w:p>
    <w:p w:rsidR="009F340D" w:rsidRPr="00A936B7" w14:paraId="09E9278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本基金投资于证券市场，而证券市场价格因受到经济因素、政治因素、投资者心理和交易制度等各种因素的影响而产生波动，从而导致基金收益水平发生变化，产生风险。主要的风险因素包括：</w:t>
      </w:r>
    </w:p>
    <w:p w:rsidR="009F340D" w:rsidRPr="00A936B7" w14:paraId="509F209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w:t>
      </w:r>
      <w:r w:rsidRPr="00A936B7">
        <w:rPr>
          <w:rFonts w:asciiTheme="minorEastAsia" w:eastAsiaTheme="minorEastAsia" w:hAnsiTheme="minorEastAsia" w:cs="宋体" w:hint="eastAsia"/>
          <w:szCs w:val="21"/>
          <w:highlight w:val="white"/>
          <w:lang w:eastAsia="zh-CN"/>
        </w:rPr>
        <w:t>、政策风险</w:t>
      </w:r>
    </w:p>
    <w:p w:rsidR="009F340D" w:rsidRPr="00A936B7" w14:paraId="03B22EE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因国家宏观政策（如货币政策、财政政策、产业政策、地区发展政策等）发生变化，导致市场价格波动而产生风险。</w:t>
      </w:r>
    </w:p>
    <w:p w:rsidR="009F340D" w:rsidRPr="00A936B7" w14:paraId="65BF0D6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w:t>
      </w:r>
      <w:r w:rsidRPr="00A936B7">
        <w:rPr>
          <w:rFonts w:asciiTheme="minorEastAsia" w:eastAsiaTheme="minorEastAsia" w:hAnsiTheme="minorEastAsia" w:cs="宋体" w:hint="eastAsia"/>
          <w:szCs w:val="21"/>
          <w:highlight w:val="white"/>
          <w:lang w:eastAsia="zh-CN"/>
        </w:rPr>
        <w:t>、利率风险</w:t>
      </w:r>
    </w:p>
    <w:p w:rsidR="009F340D" w:rsidRPr="00A936B7" w14:paraId="6D729B1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利率风险主要是指因金融市场利率的波动而导致证券市场价格和收益率变动的风险。利率直接影响着债券的价格和收益率，影响着企业的融资成本和利润。本基金可投资于股票和债券，其收益水平可能会受到利率变化的影响。</w:t>
      </w:r>
    </w:p>
    <w:p w:rsidR="009F340D" w:rsidRPr="00A936B7" w14:paraId="60B567D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3</w:t>
      </w:r>
      <w:r w:rsidRPr="00A936B7">
        <w:rPr>
          <w:rFonts w:asciiTheme="minorEastAsia" w:eastAsiaTheme="minorEastAsia" w:hAnsiTheme="minorEastAsia" w:cs="宋体" w:hint="eastAsia"/>
          <w:szCs w:val="21"/>
          <w:highlight w:val="white"/>
          <w:lang w:eastAsia="zh-CN"/>
        </w:rPr>
        <w:t>、购买力风险</w:t>
      </w:r>
    </w:p>
    <w:p w:rsidR="009F340D" w:rsidRPr="00A936B7" w14:paraId="2A5CDDC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如果发生通货膨胀，基金投资于证券所获得的收益可能会被通货膨胀抵消，从而影响基金资产的实际收益率。</w:t>
      </w:r>
    </w:p>
    <w:p w:rsidR="009F340D" w:rsidRPr="00A936B7" w14:paraId="47B5B44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4</w:t>
      </w:r>
      <w:r w:rsidRPr="00A936B7">
        <w:rPr>
          <w:rFonts w:asciiTheme="minorEastAsia" w:eastAsiaTheme="minorEastAsia" w:hAnsiTheme="minorEastAsia" w:cs="宋体" w:hint="eastAsia"/>
          <w:szCs w:val="21"/>
          <w:highlight w:val="white"/>
          <w:lang w:eastAsia="zh-CN"/>
        </w:rPr>
        <w:t>、信用风险</w:t>
      </w:r>
    </w:p>
    <w:p w:rsidR="009F340D" w:rsidRPr="00A936B7" w14:paraId="20D1C11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信用风险主要指债券、票据发行主体、存款银行信用状况可能恶化而可能产生的到期不能兑付的风险。</w:t>
      </w:r>
    </w:p>
    <w:p w:rsidR="009F340D" w:rsidRPr="00A936B7" w14:paraId="29EA4DA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5</w:t>
      </w:r>
      <w:r w:rsidRPr="00A936B7">
        <w:rPr>
          <w:rFonts w:asciiTheme="minorEastAsia" w:eastAsiaTheme="minorEastAsia" w:hAnsiTheme="minorEastAsia" w:cs="宋体" w:hint="eastAsia"/>
          <w:szCs w:val="21"/>
          <w:highlight w:val="white"/>
          <w:lang w:eastAsia="zh-CN"/>
        </w:rPr>
        <w:t>、公司经营风险</w:t>
      </w:r>
    </w:p>
    <w:p w:rsidR="009F340D" w:rsidRPr="00A936B7" w14:paraId="1CB1CA8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上市公司的经营状况受多种因素的影响，如管理能力、行业竞争、市场前景、技术更新、新产品研究开发等都会导致公司盈利发生变化。如果基金所投资的上市公司经营不善，其股票价格可能下跌，或者能够用于分配的利润减少，使基金投资收益下降。虽然基金可以通过投资多样化来分散这种非系统风险，但不能完全避免。</w:t>
      </w:r>
    </w:p>
    <w:p w:rsidR="009F340D" w:rsidRPr="00A936B7" w14:paraId="6BB33BC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6</w:t>
      </w:r>
      <w:r w:rsidRPr="00A936B7">
        <w:rPr>
          <w:rFonts w:asciiTheme="minorEastAsia" w:eastAsiaTheme="minorEastAsia" w:hAnsiTheme="minorEastAsia" w:cs="宋体" w:hint="eastAsia"/>
          <w:szCs w:val="21"/>
          <w:highlight w:val="white"/>
          <w:lang w:eastAsia="zh-CN"/>
        </w:rPr>
        <w:t>、经济周期风险</w:t>
      </w:r>
    </w:p>
    <w:p w:rsidR="009F340D" w:rsidRPr="00A936B7" w14:paraId="560893C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随着经济运行的周期性变化，证券市场的收益水平也呈周期性变化，基金投资的收益水平也会随之变化，从而产生风险。</w:t>
      </w:r>
    </w:p>
    <w:p w:rsidR="009F340D" w:rsidRPr="00A936B7" w14:paraId="221B62AA"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三、流动性风险</w:t>
      </w:r>
    </w:p>
    <w:p w:rsidR="009F340D" w:rsidRPr="00A936B7" w14:paraId="0FA4CDE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w:t>
      </w:r>
      <w:r w:rsidRPr="00A936B7">
        <w:rPr>
          <w:rFonts w:asciiTheme="minorEastAsia" w:eastAsiaTheme="minorEastAsia" w:hAnsiTheme="minorEastAsia" w:cs="宋体"/>
          <w:szCs w:val="21"/>
          <w:highlight w:val="white"/>
          <w:lang w:eastAsia="zh-CN"/>
        </w:rPr>
        <w:t>流</w:t>
      </w:r>
      <w:r w:rsidRPr="00A936B7">
        <w:rPr>
          <w:rFonts w:asciiTheme="minorEastAsia" w:eastAsiaTheme="minorEastAsia" w:hAnsiTheme="minorEastAsia" w:cs="宋体" w:hint="eastAsia"/>
          <w:szCs w:val="21"/>
          <w:highlight w:val="white"/>
          <w:lang w:eastAsia="zh-CN"/>
        </w:rPr>
        <w:t>动</w:t>
      </w:r>
      <w:r w:rsidRPr="00A936B7">
        <w:rPr>
          <w:rFonts w:asciiTheme="minorEastAsia" w:eastAsiaTheme="minorEastAsia" w:hAnsiTheme="minorEastAsia" w:cs="宋体"/>
          <w:szCs w:val="21"/>
          <w:highlight w:val="white"/>
          <w:lang w:eastAsia="zh-CN"/>
        </w:rPr>
        <w:t>性风险评估</w:t>
      </w:r>
    </w:p>
    <w:p w:rsidR="009F340D" w:rsidRPr="00A936B7" w14:paraId="407BEEF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hint="eastAsia"/>
          <w:spacing w:val="-2"/>
          <w:szCs w:val="21"/>
          <w:highlight w:val="white"/>
          <w:lang w:eastAsia="zh-CN"/>
        </w:rPr>
        <w:t>本基金是ETF联接基金，主要投资于具有良好流动性的金融工具，包括目标ETF、标的指数成份股及备选成份股。此外，为更好地实现投资目标，本基金可少量投资于非成份股、债券、货币市场工具、金融衍生品以及法律法规或中国证监会允许基金投资的其他金融工具。一般情况下，上述资产市场流动性较好。但不排除在特定阶段、特定市场环境下特定投资标的出现流动性较差的情况，因此，本基金投资于上述资产时，可能存在以下流动性风险：一是基金管理人建仓或进行组合调整时，可能由于特定投资标的流动性相对不足而无法按预期的价格买卖或申赎目标ETF；二是为应付投资者的赎回，基金被迫以不适当的价格卖出或赎回目标ETF，或卖出股票、债券、其他资产。两者均可能使基金净值受到不利影响。</w:t>
      </w:r>
    </w:p>
    <w:p w:rsidR="009F340D" w:rsidRPr="00A936B7" w14:paraId="6D8B174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w:t>
      </w:r>
      <w:r w:rsidRPr="00A936B7">
        <w:rPr>
          <w:rFonts w:asciiTheme="minorEastAsia" w:eastAsiaTheme="minorEastAsia" w:hAnsiTheme="minorEastAsia" w:cs="宋体" w:hint="eastAsia"/>
          <w:szCs w:val="21"/>
          <w:highlight w:val="white"/>
          <w:lang w:eastAsia="zh-CN"/>
        </w:rPr>
        <w:t>、</w:t>
      </w:r>
      <w:r w:rsidRPr="00A936B7">
        <w:rPr>
          <w:rFonts w:asciiTheme="minorEastAsia" w:eastAsiaTheme="minorEastAsia" w:hAnsiTheme="minorEastAsia" w:cs="宋体"/>
          <w:szCs w:val="21"/>
          <w:highlight w:val="white"/>
          <w:lang w:eastAsia="zh-CN"/>
        </w:rPr>
        <w:t>巨额赎回情形下</w:t>
      </w:r>
      <w:r w:rsidRPr="00A936B7">
        <w:rPr>
          <w:rFonts w:asciiTheme="minorEastAsia" w:eastAsiaTheme="minorEastAsia" w:hAnsiTheme="minorEastAsia" w:cs="宋体" w:hint="eastAsia"/>
          <w:szCs w:val="21"/>
          <w:highlight w:val="white"/>
          <w:lang w:eastAsia="zh-CN"/>
        </w:rPr>
        <w:t>的流动性</w:t>
      </w:r>
      <w:r w:rsidRPr="00A936B7">
        <w:rPr>
          <w:rFonts w:asciiTheme="minorEastAsia" w:eastAsiaTheme="minorEastAsia" w:hAnsiTheme="minorEastAsia" w:cs="宋体"/>
          <w:szCs w:val="21"/>
          <w:highlight w:val="white"/>
          <w:lang w:eastAsia="zh-CN"/>
        </w:rPr>
        <w:t>风险管理措施</w:t>
      </w:r>
    </w:p>
    <w:p w:rsidR="009F340D" w:rsidRPr="00A936B7" w14:paraId="0C07E1D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当本基金发生巨额赎回时，基金管理人可以根据基金当时的资产组合状况决定全额赎回或部分延期赎回；此外，如出现连续两个或两个以上开放日发生巨额赎回，可暂停接受投资人的赎回申请或延缓支付赎回款项；当</w:t>
      </w:r>
      <w:r w:rsidRPr="00A936B7">
        <w:rPr>
          <w:rFonts w:asciiTheme="minorEastAsia" w:eastAsiaTheme="minorEastAsia" w:hAnsiTheme="minorEastAsia" w:cs="宋体"/>
          <w:szCs w:val="21"/>
          <w:highlight w:val="white"/>
          <w:lang w:eastAsia="zh-CN"/>
        </w:rPr>
        <w:t>本基金发生巨额赎回且</w:t>
      </w:r>
      <w:r w:rsidRPr="00A936B7">
        <w:rPr>
          <w:rFonts w:asciiTheme="minorEastAsia" w:eastAsiaTheme="minorEastAsia" w:hAnsiTheme="minorEastAsia" w:cs="宋体" w:hint="eastAsia"/>
          <w:szCs w:val="21"/>
          <w:highlight w:val="white"/>
          <w:lang w:eastAsia="zh-CN"/>
        </w:rPr>
        <w:t>单个基金份额持有人的赎回申请超过上一开放日基金总份额10%的，基金管理人有权对该单个基金份额持有人超出该比例的赎回申请实施延期办理。具体</w:t>
      </w:r>
      <w:r w:rsidRPr="00A936B7">
        <w:rPr>
          <w:rFonts w:asciiTheme="minorEastAsia" w:eastAsiaTheme="minorEastAsia" w:hAnsiTheme="minorEastAsia" w:cs="宋体"/>
          <w:szCs w:val="21"/>
          <w:highlight w:val="white"/>
          <w:lang w:eastAsia="zh-CN"/>
        </w:rPr>
        <w:t>情形、</w:t>
      </w:r>
      <w:r w:rsidRPr="00A936B7">
        <w:rPr>
          <w:rFonts w:asciiTheme="minorEastAsia" w:eastAsiaTheme="minorEastAsia" w:hAnsiTheme="minorEastAsia" w:cs="宋体" w:hint="eastAsia"/>
          <w:szCs w:val="21"/>
          <w:highlight w:val="white"/>
          <w:lang w:eastAsia="zh-CN"/>
        </w:rPr>
        <w:t>程序见</w:t>
      </w:r>
      <w:r w:rsidRPr="00A936B7">
        <w:rPr>
          <w:rFonts w:asciiTheme="minorEastAsia" w:eastAsiaTheme="minorEastAsia" w:hAnsiTheme="minorEastAsia" w:cs="宋体"/>
          <w:szCs w:val="21"/>
          <w:highlight w:val="white"/>
          <w:lang w:eastAsia="zh-CN"/>
        </w:rPr>
        <w:t>招募说明书</w:t>
      </w:r>
      <w:r w:rsidRPr="00A936B7">
        <w:rPr>
          <w:rFonts w:asciiTheme="minorEastAsia" w:eastAsiaTheme="minorEastAsia" w:hAnsiTheme="minorEastAsia" w:cs="宋体" w:hint="eastAsia"/>
          <w:szCs w:val="21"/>
          <w:highlight w:val="white"/>
          <w:lang w:eastAsia="zh-CN"/>
        </w:rPr>
        <w:t>“基金份额的申购、赎回”之“</w:t>
      </w:r>
      <w:r w:rsidRPr="00A936B7">
        <w:rPr>
          <w:rFonts w:asciiTheme="minorEastAsia" w:eastAsiaTheme="minorEastAsia" w:hAnsiTheme="minorEastAsia" w:cs="宋体"/>
          <w:szCs w:val="21"/>
          <w:highlight w:val="white"/>
          <w:lang w:eastAsia="zh-CN"/>
        </w:rPr>
        <w:t>巨额赎回的</w:t>
      </w:r>
      <w:r w:rsidRPr="00A936B7">
        <w:rPr>
          <w:rFonts w:asciiTheme="minorEastAsia" w:eastAsiaTheme="minorEastAsia" w:hAnsiTheme="minorEastAsia" w:cs="宋体"/>
          <w:color w:val="000000"/>
          <w:szCs w:val="21"/>
          <w:highlight w:val="white"/>
          <w:lang w:eastAsia="zh-CN"/>
        </w:rPr>
        <w:t>情形</w:t>
      </w:r>
      <w:r w:rsidRPr="00A936B7">
        <w:rPr>
          <w:rFonts w:asciiTheme="minorEastAsia" w:eastAsiaTheme="minorEastAsia" w:hAnsiTheme="minorEastAsia" w:cs="宋体"/>
          <w:szCs w:val="21"/>
          <w:highlight w:val="white"/>
          <w:lang w:eastAsia="zh-CN"/>
        </w:rPr>
        <w:t>及处理方式</w:t>
      </w:r>
      <w:r w:rsidRPr="00A936B7">
        <w:rPr>
          <w:rFonts w:asciiTheme="minorEastAsia" w:eastAsiaTheme="minorEastAsia" w:hAnsiTheme="minorEastAsia" w:cs="宋体" w:hint="eastAsia"/>
          <w:szCs w:val="21"/>
          <w:highlight w:val="white"/>
          <w:lang w:eastAsia="zh-CN"/>
        </w:rPr>
        <w:t>”。</w:t>
      </w:r>
    </w:p>
    <w:p w:rsidR="009F340D" w:rsidRPr="00A936B7" w14:paraId="256EFA9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发生</w:t>
      </w:r>
      <w:r w:rsidRPr="00A936B7">
        <w:rPr>
          <w:rFonts w:asciiTheme="minorEastAsia" w:eastAsiaTheme="minorEastAsia" w:hAnsiTheme="minorEastAsia" w:cs="宋体"/>
          <w:szCs w:val="21"/>
          <w:highlight w:val="white"/>
          <w:lang w:eastAsia="zh-CN"/>
        </w:rPr>
        <w:t>上述情形时，投资人面临无法</w:t>
      </w:r>
      <w:r w:rsidRPr="00A936B7">
        <w:rPr>
          <w:rFonts w:asciiTheme="minorEastAsia" w:eastAsiaTheme="minorEastAsia" w:hAnsiTheme="minorEastAsia" w:cs="宋体" w:hint="eastAsia"/>
          <w:szCs w:val="21"/>
          <w:highlight w:val="white"/>
          <w:lang w:eastAsia="zh-CN"/>
        </w:rPr>
        <w:t>全</w:t>
      </w:r>
      <w:r w:rsidRPr="00A936B7">
        <w:rPr>
          <w:rFonts w:asciiTheme="minorEastAsia" w:eastAsiaTheme="minorEastAsia" w:hAnsiTheme="minorEastAsia" w:cs="宋体"/>
          <w:szCs w:val="21"/>
          <w:highlight w:val="white"/>
          <w:lang w:eastAsia="zh-CN"/>
        </w:rPr>
        <w:t>部赎回或无法及时获得</w:t>
      </w:r>
      <w:r w:rsidRPr="00A936B7">
        <w:rPr>
          <w:rFonts w:asciiTheme="minorEastAsia" w:eastAsiaTheme="minorEastAsia" w:hAnsiTheme="minorEastAsia" w:cs="宋体" w:hint="eastAsia"/>
          <w:szCs w:val="21"/>
          <w:highlight w:val="white"/>
          <w:lang w:eastAsia="zh-CN"/>
        </w:rPr>
        <w:t>赎</w:t>
      </w:r>
      <w:r w:rsidRPr="00A936B7">
        <w:rPr>
          <w:rFonts w:asciiTheme="minorEastAsia" w:eastAsiaTheme="minorEastAsia" w:hAnsiTheme="minorEastAsia" w:cs="宋体"/>
          <w:szCs w:val="21"/>
          <w:highlight w:val="white"/>
          <w:lang w:eastAsia="zh-CN"/>
        </w:rPr>
        <w:t>回资金的风险</w:t>
      </w:r>
      <w:r w:rsidRPr="00A936B7">
        <w:rPr>
          <w:rFonts w:asciiTheme="minorEastAsia" w:eastAsiaTheme="minorEastAsia" w:hAnsiTheme="minorEastAsia" w:cs="宋体" w:hint="eastAsia"/>
          <w:szCs w:val="21"/>
          <w:highlight w:val="white"/>
          <w:lang w:eastAsia="zh-CN"/>
        </w:rPr>
        <w:t>。在</w:t>
      </w:r>
      <w:r w:rsidRPr="00A936B7">
        <w:rPr>
          <w:rFonts w:asciiTheme="minorEastAsia" w:eastAsiaTheme="minorEastAsia" w:hAnsiTheme="minorEastAsia" w:cs="宋体"/>
          <w:szCs w:val="21"/>
          <w:highlight w:val="white"/>
          <w:lang w:eastAsia="zh-CN"/>
        </w:rPr>
        <w:t>本基金暂停</w:t>
      </w:r>
      <w:r w:rsidRPr="00A936B7">
        <w:rPr>
          <w:rFonts w:asciiTheme="minorEastAsia" w:eastAsiaTheme="minorEastAsia" w:hAnsiTheme="minorEastAsia" w:cs="宋体" w:hint="eastAsia"/>
          <w:szCs w:val="21"/>
          <w:highlight w:val="white"/>
          <w:lang w:eastAsia="zh-CN"/>
        </w:rPr>
        <w:t>或</w:t>
      </w:r>
      <w:r w:rsidRPr="00A936B7">
        <w:rPr>
          <w:rFonts w:asciiTheme="minorEastAsia" w:eastAsiaTheme="minorEastAsia" w:hAnsiTheme="minorEastAsia" w:cs="宋体"/>
          <w:szCs w:val="21"/>
          <w:highlight w:val="white"/>
          <w:lang w:eastAsia="zh-CN"/>
        </w:rPr>
        <w:t>延期办理</w:t>
      </w:r>
      <w:r w:rsidRPr="00A936B7">
        <w:rPr>
          <w:rFonts w:asciiTheme="minorEastAsia" w:eastAsiaTheme="minorEastAsia" w:hAnsiTheme="minorEastAsia" w:cs="宋体" w:hint="eastAsia"/>
          <w:szCs w:val="21"/>
          <w:highlight w:val="white"/>
          <w:lang w:eastAsia="zh-CN"/>
        </w:rPr>
        <w:t>投资者</w:t>
      </w:r>
      <w:r w:rsidRPr="00A936B7">
        <w:rPr>
          <w:rFonts w:asciiTheme="minorEastAsia" w:eastAsiaTheme="minorEastAsia" w:hAnsiTheme="minorEastAsia" w:cs="宋体"/>
          <w:szCs w:val="21"/>
          <w:highlight w:val="white"/>
          <w:lang w:eastAsia="zh-CN"/>
        </w:rPr>
        <w:t>赎回申请</w:t>
      </w:r>
      <w:r w:rsidRPr="00A936B7">
        <w:rPr>
          <w:rFonts w:asciiTheme="minorEastAsia" w:eastAsiaTheme="minorEastAsia" w:hAnsiTheme="minorEastAsia" w:cs="宋体" w:hint="eastAsia"/>
          <w:szCs w:val="21"/>
          <w:highlight w:val="white"/>
          <w:lang w:eastAsia="zh-CN"/>
        </w:rPr>
        <w:t>的</w:t>
      </w:r>
      <w:r w:rsidRPr="00A936B7">
        <w:rPr>
          <w:rFonts w:asciiTheme="minorEastAsia" w:eastAsiaTheme="minorEastAsia" w:hAnsiTheme="minorEastAsia" w:cs="宋体"/>
          <w:szCs w:val="21"/>
          <w:highlight w:val="white"/>
          <w:lang w:eastAsia="zh-CN"/>
        </w:rPr>
        <w:t>情况下，投资者</w:t>
      </w:r>
      <w:r w:rsidRPr="00A936B7">
        <w:rPr>
          <w:rFonts w:asciiTheme="minorEastAsia" w:eastAsiaTheme="minorEastAsia" w:hAnsiTheme="minorEastAsia" w:cs="宋体" w:hint="eastAsia"/>
          <w:szCs w:val="21"/>
          <w:highlight w:val="white"/>
          <w:lang w:eastAsia="zh-CN"/>
        </w:rPr>
        <w:t>未能</w:t>
      </w:r>
      <w:r w:rsidRPr="00A936B7">
        <w:rPr>
          <w:rFonts w:asciiTheme="minorEastAsia" w:eastAsiaTheme="minorEastAsia" w:hAnsiTheme="minorEastAsia" w:cs="宋体"/>
          <w:szCs w:val="21"/>
          <w:highlight w:val="white"/>
          <w:lang w:eastAsia="zh-CN"/>
        </w:rPr>
        <w:t>赎回的基金份额还将面临净值波动的风险。</w:t>
      </w:r>
    </w:p>
    <w:p w:rsidR="009F340D" w:rsidRPr="00A936B7" w14:paraId="2D909A1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3</w:t>
      </w:r>
      <w:r w:rsidRPr="00A936B7">
        <w:rPr>
          <w:rFonts w:asciiTheme="minorEastAsia" w:eastAsiaTheme="minorEastAsia" w:hAnsiTheme="minorEastAsia" w:cs="宋体" w:hint="eastAsia"/>
          <w:szCs w:val="21"/>
          <w:highlight w:val="white"/>
          <w:lang w:eastAsia="zh-CN"/>
        </w:rPr>
        <w:t>、除巨额</w:t>
      </w:r>
      <w:r w:rsidRPr="00A936B7">
        <w:rPr>
          <w:rFonts w:asciiTheme="minorEastAsia" w:eastAsiaTheme="minorEastAsia" w:hAnsiTheme="minorEastAsia" w:cs="宋体"/>
          <w:szCs w:val="21"/>
          <w:highlight w:val="white"/>
          <w:lang w:eastAsia="zh-CN"/>
        </w:rPr>
        <w:t>赎回情形外</w:t>
      </w:r>
      <w:r w:rsidRPr="00A936B7">
        <w:rPr>
          <w:rFonts w:asciiTheme="minorEastAsia" w:eastAsiaTheme="minorEastAsia" w:hAnsiTheme="minorEastAsia" w:cs="宋体" w:hint="eastAsia"/>
          <w:szCs w:val="21"/>
          <w:highlight w:val="white"/>
          <w:lang w:eastAsia="zh-CN"/>
        </w:rPr>
        <w:t>实施</w:t>
      </w:r>
      <w:r w:rsidRPr="00A936B7">
        <w:rPr>
          <w:rFonts w:asciiTheme="minorEastAsia" w:eastAsiaTheme="minorEastAsia" w:hAnsiTheme="minorEastAsia" w:cs="宋体"/>
          <w:szCs w:val="21"/>
          <w:highlight w:val="white"/>
          <w:lang w:eastAsia="zh-CN"/>
        </w:rPr>
        <w:t>备</w:t>
      </w:r>
      <w:r w:rsidRPr="00A936B7">
        <w:rPr>
          <w:rFonts w:asciiTheme="minorEastAsia" w:eastAsiaTheme="minorEastAsia" w:hAnsiTheme="minorEastAsia" w:cs="宋体" w:hint="eastAsia"/>
          <w:szCs w:val="21"/>
          <w:highlight w:val="white"/>
          <w:lang w:eastAsia="zh-CN"/>
        </w:rPr>
        <w:t>用</w:t>
      </w:r>
      <w:r w:rsidRPr="00A936B7">
        <w:rPr>
          <w:rFonts w:asciiTheme="minorEastAsia" w:eastAsiaTheme="minorEastAsia" w:hAnsiTheme="minorEastAsia" w:cs="宋体"/>
          <w:szCs w:val="21"/>
          <w:highlight w:val="white"/>
          <w:lang w:eastAsia="zh-CN"/>
        </w:rPr>
        <w:t>的流动性风险管理工具的情形、程序及对投资者的潜在影响</w:t>
      </w:r>
    </w:p>
    <w:p w:rsidR="009F340D" w:rsidRPr="00A936B7" w14:paraId="1F7474B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除</w:t>
      </w:r>
      <w:r w:rsidRPr="00A936B7">
        <w:rPr>
          <w:rFonts w:asciiTheme="minorEastAsia" w:eastAsiaTheme="minorEastAsia" w:hAnsiTheme="minorEastAsia" w:cs="宋体"/>
          <w:szCs w:val="21"/>
          <w:highlight w:val="white"/>
          <w:lang w:eastAsia="zh-CN"/>
        </w:rPr>
        <w:t>巨额赎回</w:t>
      </w:r>
      <w:r w:rsidRPr="00A936B7">
        <w:rPr>
          <w:rFonts w:asciiTheme="minorEastAsia" w:eastAsiaTheme="minorEastAsia" w:hAnsiTheme="minorEastAsia" w:cs="宋体" w:hint="eastAsia"/>
          <w:szCs w:val="21"/>
          <w:highlight w:val="white"/>
          <w:lang w:eastAsia="zh-CN"/>
        </w:rPr>
        <w:t>情形外</w:t>
      </w:r>
      <w:r w:rsidRPr="00A936B7">
        <w:rPr>
          <w:rFonts w:asciiTheme="minorEastAsia" w:eastAsiaTheme="minorEastAsia" w:hAnsiTheme="minorEastAsia" w:cs="宋体"/>
          <w:szCs w:val="21"/>
          <w:highlight w:val="white"/>
          <w:lang w:eastAsia="zh-CN"/>
        </w:rPr>
        <w:t>，</w:t>
      </w:r>
      <w:r w:rsidRPr="00A936B7">
        <w:rPr>
          <w:rFonts w:asciiTheme="minorEastAsia" w:eastAsiaTheme="minorEastAsia" w:hAnsiTheme="minorEastAsia" w:cs="宋体" w:hint="eastAsia"/>
          <w:szCs w:val="21"/>
          <w:highlight w:val="white"/>
          <w:lang w:eastAsia="zh-CN"/>
        </w:rPr>
        <w:t>本基金</w:t>
      </w:r>
      <w:r w:rsidRPr="00A936B7">
        <w:rPr>
          <w:rFonts w:asciiTheme="minorEastAsia" w:eastAsiaTheme="minorEastAsia" w:hAnsiTheme="minorEastAsia" w:cs="宋体"/>
          <w:szCs w:val="21"/>
          <w:highlight w:val="white"/>
          <w:lang w:eastAsia="zh-CN"/>
        </w:rPr>
        <w:t>备用流动性风险管理工具</w:t>
      </w:r>
      <w:r w:rsidRPr="00A936B7">
        <w:rPr>
          <w:rFonts w:asciiTheme="minorEastAsia" w:eastAsiaTheme="minorEastAsia" w:hAnsiTheme="minorEastAsia" w:cs="宋体" w:hint="eastAsia"/>
          <w:szCs w:val="21"/>
          <w:highlight w:val="white"/>
          <w:lang w:eastAsia="zh-CN"/>
        </w:rPr>
        <w:t>包括但</w:t>
      </w:r>
      <w:r w:rsidRPr="00A936B7">
        <w:rPr>
          <w:rFonts w:asciiTheme="minorEastAsia" w:eastAsiaTheme="minorEastAsia" w:hAnsiTheme="minorEastAsia" w:cs="宋体"/>
          <w:szCs w:val="21"/>
          <w:highlight w:val="white"/>
          <w:lang w:eastAsia="zh-CN"/>
        </w:rPr>
        <w:t>不限于</w:t>
      </w:r>
      <w:r w:rsidRPr="00A936B7">
        <w:rPr>
          <w:rFonts w:asciiTheme="minorEastAsia" w:eastAsiaTheme="minorEastAsia" w:hAnsiTheme="minorEastAsia" w:cs="宋体" w:hint="eastAsia"/>
          <w:szCs w:val="21"/>
          <w:highlight w:val="white"/>
          <w:lang w:eastAsia="zh-CN"/>
        </w:rPr>
        <w:t>暂停</w:t>
      </w:r>
      <w:r w:rsidRPr="00A936B7">
        <w:rPr>
          <w:rFonts w:asciiTheme="minorEastAsia" w:eastAsiaTheme="minorEastAsia" w:hAnsiTheme="minorEastAsia" w:cs="宋体"/>
          <w:szCs w:val="21"/>
          <w:highlight w:val="white"/>
          <w:lang w:eastAsia="zh-CN"/>
        </w:rPr>
        <w:t>接受赎回申请、延缓支付赎回款项、收取短期赎回费、暂停基金估值</w:t>
      </w:r>
      <w:r w:rsidRPr="00A936B7">
        <w:rPr>
          <w:rFonts w:asciiTheme="minorEastAsia" w:eastAsiaTheme="minorEastAsia" w:hAnsiTheme="minorEastAsia" w:cs="宋体" w:hint="eastAsia"/>
          <w:szCs w:val="21"/>
          <w:highlight w:val="white"/>
          <w:lang w:eastAsia="zh-CN"/>
        </w:rPr>
        <w:t>、</w:t>
      </w:r>
      <w:r w:rsidRPr="00A936B7">
        <w:rPr>
          <w:rFonts w:asciiTheme="minorEastAsia" w:eastAsiaTheme="minorEastAsia" w:hAnsiTheme="minorEastAsia" w:cs="宋体"/>
          <w:szCs w:val="21"/>
          <w:highlight w:val="white"/>
          <w:lang w:eastAsia="zh-CN"/>
        </w:rPr>
        <w:t>摆动定价</w:t>
      </w:r>
      <w:r w:rsidRPr="00A936B7">
        <w:rPr>
          <w:rFonts w:asciiTheme="minorEastAsia" w:eastAsiaTheme="minorEastAsia" w:hAnsiTheme="minorEastAsia" w:cs="宋体" w:hint="eastAsia"/>
          <w:szCs w:val="21"/>
          <w:highlight w:val="white"/>
          <w:lang w:eastAsia="zh-CN"/>
        </w:rPr>
        <w:t>、实施侧袋机制以及证</w:t>
      </w:r>
      <w:r w:rsidRPr="00A936B7">
        <w:rPr>
          <w:rFonts w:asciiTheme="minorEastAsia" w:eastAsiaTheme="minorEastAsia" w:hAnsiTheme="minorEastAsia" w:cs="宋体"/>
          <w:szCs w:val="21"/>
          <w:highlight w:val="white"/>
          <w:lang w:eastAsia="zh-CN"/>
        </w:rPr>
        <w:t>监会认定的其他措施。</w:t>
      </w:r>
    </w:p>
    <w:p w:rsidR="009F340D" w:rsidRPr="00A936B7" w14:paraId="51AF77B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暂停</w:t>
      </w:r>
      <w:r w:rsidRPr="00A936B7">
        <w:rPr>
          <w:rFonts w:asciiTheme="minorEastAsia" w:eastAsiaTheme="minorEastAsia" w:hAnsiTheme="minorEastAsia" w:cs="宋体"/>
          <w:szCs w:val="21"/>
          <w:highlight w:val="white"/>
          <w:lang w:eastAsia="zh-CN"/>
        </w:rPr>
        <w:t>接受赎回申请、延缓支付赎回款项</w:t>
      </w:r>
      <w:r w:rsidRPr="00A936B7">
        <w:rPr>
          <w:rFonts w:asciiTheme="minorEastAsia" w:eastAsiaTheme="minorEastAsia" w:hAnsiTheme="minorEastAsia" w:cs="宋体" w:hint="eastAsia"/>
          <w:szCs w:val="21"/>
          <w:highlight w:val="white"/>
          <w:lang w:eastAsia="zh-CN"/>
        </w:rPr>
        <w:t>等</w:t>
      </w:r>
      <w:r w:rsidRPr="00A936B7">
        <w:rPr>
          <w:rFonts w:asciiTheme="minorEastAsia" w:eastAsiaTheme="minorEastAsia" w:hAnsiTheme="minorEastAsia" w:cs="宋体"/>
          <w:szCs w:val="21"/>
          <w:highlight w:val="white"/>
          <w:lang w:eastAsia="zh-CN"/>
        </w:rPr>
        <w:t>工具的情形、程序</w:t>
      </w:r>
      <w:r w:rsidRPr="00A936B7">
        <w:rPr>
          <w:rFonts w:asciiTheme="minorEastAsia" w:eastAsiaTheme="minorEastAsia" w:hAnsiTheme="minorEastAsia" w:cs="宋体" w:hint="eastAsia"/>
          <w:szCs w:val="21"/>
          <w:highlight w:val="white"/>
          <w:lang w:eastAsia="zh-CN"/>
        </w:rPr>
        <w:t>见招募</w:t>
      </w:r>
      <w:r w:rsidRPr="00A936B7">
        <w:rPr>
          <w:rFonts w:asciiTheme="minorEastAsia" w:eastAsiaTheme="minorEastAsia" w:hAnsiTheme="minorEastAsia" w:cs="宋体"/>
          <w:szCs w:val="21"/>
          <w:highlight w:val="white"/>
          <w:lang w:eastAsia="zh-CN"/>
        </w:rPr>
        <w:t>说明</w:t>
      </w:r>
      <w:r w:rsidRPr="00A936B7">
        <w:rPr>
          <w:rFonts w:asciiTheme="minorEastAsia" w:eastAsiaTheme="minorEastAsia" w:hAnsiTheme="minorEastAsia" w:cs="宋体" w:hint="eastAsia"/>
          <w:szCs w:val="21"/>
          <w:highlight w:val="white"/>
          <w:lang w:eastAsia="zh-CN"/>
        </w:rPr>
        <w:t>书“基金份额的申购、赎回”</w:t>
      </w:r>
      <w:r w:rsidRPr="00A936B7">
        <w:rPr>
          <w:rFonts w:asciiTheme="minorEastAsia" w:eastAsiaTheme="minorEastAsia" w:hAnsiTheme="minorEastAsia" w:cs="宋体"/>
          <w:szCs w:val="21"/>
          <w:highlight w:val="white"/>
          <w:lang w:eastAsia="zh-CN"/>
        </w:rPr>
        <w:t>之</w:t>
      </w:r>
      <w:r w:rsidRPr="00A936B7">
        <w:rPr>
          <w:rFonts w:asciiTheme="minorEastAsia" w:eastAsiaTheme="minorEastAsia" w:hAnsiTheme="minorEastAsia" w:cs="宋体" w:hint="eastAsia"/>
          <w:szCs w:val="21"/>
          <w:highlight w:val="white"/>
          <w:lang w:eastAsia="zh-CN"/>
        </w:rPr>
        <w:t>“</w:t>
      </w:r>
      <w:r w:rsidRPr="00A936B7">
        <w:rPr>
          <w:rFonts w:asciiTheme="minorEastAsia" w:eastAsiaTheme="minorEastAsia" w:hAnsiTheme="minorEastAsia" w:cs="宋体"/>
          <w:color w:val="000000"/>
          <w:szCs w:val="21"/>
          <w:highlight w:val="white"/>
          <w:lang w:eastAsia="zh-CN"/>
        </w:rPr>
        <w:t>暂停赎回或延缓支付赎回款项的情形</w:t>
      </w:r>
      <w:r w:rsidRPr="00A936B7">
        <w:rPr>
          <w:rFonts w:asciiTheme="minorEastAsia" w:eastAsiaTheme="minorEastAsia" w:hAnsiTheme="minorEastAsia" w:cs="宋体" w:hint="eastAsia"/>
          <w:szCs w:val="21"/>
          <w:highlight w:val="white"/>
          <w:lang w:eastAsia="zh-CN"/>
        </w:rPr>
        <w:t>”的相关规定。若</w:t>
      </w:r>
      <w:r w:rsidRPr="00A936B7">
        <w:rPr>
          <w:rFonts w:asciiTheme="minorEastAsia" w:eastAsiaTheme="minorEastAsia" w:hAnsiTheme="minorEastAsia" w:cs="宋体"/>
          <w:szCs w:val="21"/>
          <w:highlight w:val="white"/>
          <w:lang w:eastAsia="zh-CN"/>
        </w:rPr>
        <w:t>本基金暂停赎回申请</w:t>
      </w:r>
      <w:r w:rsidRPr="00A936B7">
        <w:rPr>
          <w:rFonts w:asciiTheme="minorEastAsia" w:eastAsiaTheme="minorEastAsia" w:hAnsiTheme="minorEastAsia" w:cs="宋体" w:hint="eastAsia"/>
          <w:szCs w:val="21"/>
          <w:highlight w:val="white"/>
          <w:lang w:eastAsia="zh-CN"/>
        </w:rPr>
        <w:t>，</w:t>
      </w:r>
      <w:r w:rsidRPr="00A936B7">
        <w:rPr>
          <w:rFonts w:asciiTheme="minorEastAsia" w:eastAsiaTheme="minorEastAsia" w:hAnsiTheme="minorEastAsia" w:cs="宋体"/>
          <w:szCs w:val="21"/>
          <w:highlight w:val="white"/>
          <w:lang w:eastAsia="zh-CN"/>
        </w:rPr>
        <w:t>投资</w:t>
      </w:r>
      <w:r w:rsidRPr="00A936B7">
        <w:rPr>
          <w:rFonts w:asciiTheme="minorEastAsia" w:eastAsiaTheme="minorEastAsia" w:hAnsiTheme="minorEastAsia" w:cs="宋体" w:hint="eastAsia"/>
          <w:szCs w:val="21"/>
          <w:highlight w:val="white"/>
          <w:lang w:eastAsia="zh-CN"/>
        </w:rPr>
        <w:t>者在</w:t>
      </w:r>
      <w:r w:rsidRPr="00A936B7">
        <w:rPr>
          <w:rFonts w:asciiTheme="minorEastAsia" w:eastAsiaTheme="minorEastAsia" w:hAnsiTheme="minorEastAsia" w:cs="宋体"/>
          <w:szCs w:val="21"/>
          <w:highlight w:val="white"/>
          <w:lang w:eastAsia="zh-CN"/>
        </w:rPr>
        <w:t>暂停赎回期间将</w:t>
      </w:r>
      <w:r w:rsidRPr="00A936B7">
        <w:rPr>
          <w:rFonts w:asciiTheme="minorEastAsia" w:eastAsiaTheme="minorEastAsia" w:hAnsiTheme="minorEastAsia" w:cs="宋体" w:hint="eastAsia"/>
          <w:szCs w:val="21"/>
          <w:highlight w:val="white"/>
          <w:lang w:eastAsia="zh-CN"/>
        </w:rPr>
        <w:t>无法</w:t>
      </w:r>
      <w:r w:rsidRPr="00A936B7">
        <w:rPr>
          <w:rFonts w:asciiTheme="minorEastAsia" w:eastAsiaTheme="minorEastAsia" w:hAnsiTheme="minorEastAsia" w:cs="宋体"/>
          <w:szCs w:val="21"/>
          <w:highlight w:val="white"/>
          <w:lang w:eastAsia="zh-CN"/>
        </w:rPr>
        <w:t>赎回</w:t>
      </w:r>
      <w:r w:rsidRPr="00A936B7">
        <w:rPr>
          <w:rFonts w:asciiTheme="minorEastAsia" w:eastAsiaTheme="minorEastAsia" w:hAnsiTheme="minorEastAsia" w:cs="宋体" w:hint="eastAsia"/>
          <w:szCs w:val="21"/>
          <w:highlight w:val="white"/>
          <w:lang w:eastAsia="zh-CN"/>
        </w:rPr>
        <w:t>其持有</w:t>
      </w:r>
      <w:r w:rsidRPr="00A936B7">
        <w:rPr>
          <w:rFonts w:asciiTheme="minorEastAsia" w:eastAsiaTheme="minorEastAsia" w:hAnsiTheme="minorEastAsia" w:cs="宋体"/>
          <w:szCs w:val="21"/>
          <w:highlight w:val="white"/>
          <w:lang w:eastAsia="zh-CN"/>
        </w:rPr>
        <w:t>的基金份额。</w:t>
      </w:r>
      <w:r w:rsidRPr="00A936B7">
        <w:rPr>
          <w:rFonts w:asciiTheme="minorEastAsia" w:eastAsiaTheme="minorEastAsia" w:hAnsiTheme="minorEastAsia" w:cs="宋体" w:hint="eastAsia"/>
          <w:szCs w:val="21"/>
          <w:highlight w:val="white"/>
          <w:lang w:eastAsia="zh-CN"/>
        </w:rPr>
        <w:t>若本</w:t>
      </w:r>
      <w:r w:rsidRPr="00A936B7">
        <w:rPr>
          <w:rFonts w:asciiTheme="minorEastAsia" w:eastAsiaTheme="minorEastAsia" w:hAnsiTheme="minorEastAsia" w:cs="宋体"/>
          <w:szCs w:val="21"/>
          <w:highlight w:val="white"/>
          <w:lang w:eastAsia="zh-CN"/>
        </w:rPr>
        <w:t>基金延缓</w:t>
      </w:r>
      <w:r w:rsidRPr="00A936B7">
        <w:rPr>
          <w:rFonts w:asciiTheme="minorEastAsia" w:eastAsiaTheme="minorEastAsia" w:hAnsiTheme="minorEastAsia" w:cs="宋体" w:hint="eastAsia"/>
          <w:szCs w:val="21"/>
          <w:highlight w:val="white"/>
          <w:lang w:eastAsia="zh-CN"/>
        </w:rPr>
        <w:t>支付</w:t>
      </w:r>
      <w:r w:rsidRPr="00A936B7">
        <w:rPr>
          <w:rFonts w:asciiTheme="minorEastAsia" w:eastAsiaTheme="minorEastAsia" w:hAnsiTheme="minorEastAsia" w:cs="宋体"/>
          <w:szCs w:val="21"/>
          <w:highlight w:val="white"/>
          <w:lang w:eastAsia="zh-CN"/>
        </w:rPr>
        <w:t>赎回</w:t>
      </w:r>
      <w:r w:rsidRPr="00A936B7">
        <w:rPr>
          <w:rFonts w:asciiTheme="minorEastAsia" w:eastAsiaTheme="minorEastAsia" w:hAnsiTheme="minorEastAsia" w:cs="宋体" w:hint="eastAsia"/>
          <w:szCs w:val="21"/>
          <w:highlight w:val="white"/>
          <w:lang w:eastAsia="zh-CN"/>
        </w:rPr>
        <w:t>款项，赎回</w:t>
      </w:r>
      <w:r w:rsidRPr="00A936B7">
        <w:rPr>
          <w:rFonts w:asciiTheme="minorEastAsia" w:eastAsiaTheme="minorEastAsia" w:hAnsiTheme="minorEastAsia" w:cs="宋体"/>
          <w:szCs w:val="21"/>
          <w:highlight w:val="white"/>
          <w:lang w:eastAsia="zh-CN"/>
        </w:rPr>
        <w:t>款</w:t>
      </w:r>
      <w:r w:rsidRPr="00A936B7">
        <w:rPr>
          <w:rFonts w:asciiTheme="minorEastAsia" w:eastAsiaTheme="minorEastAsia" w:hAnsiTheme="minorEastAsia" w:cs="宋体" w:hint="eastAsia"/>
          <w:szCs w:val="21"/>
          <w:highlight w:val="white"/>
          <w:lang w:eastAsia="zh-CN"/>
        </w:rPr>
        <w:t>支付</w:t>
      </w:r>
      <w:r w:rsidRPr="00A936B7">
        <w:rPr>
          <w:rFonts w:asciiTheme="minorEastAsia" w:eastAsiaTheme="minorEastAsia" w:hAnsiTheme="minorEastAsia" w:cs="宋体"/>
          <w:szCs w:val="21"/>
          <w:highlight w:val="white"/>
          <w:lang w:eastAsia="zh-CN"/>
        </w:rPr>
        <w:t>时间将后延</w:t>
      </w:r>
      <w:r w:rsidRPr="00A936B7">
        <w:rPr>
          <w:rFonts w:asciiTheme="minorEastAsia" w:eastAsiaTheme="minorEastAsia" w:hAnsiTheme="minorEastAsia" w:cs="宋体" w:hint="eastAsia"/>
          <w:szCs w:val="21"/>
          <w:highlight w:val="white"/>
          <w:lang w:eastAsia="zh-CN"/>
        </w:rPr>
        <w:t>，可能对</w:t>
      </w:r>
      <w:r w:rsidRPr="00A936B7">
        <w:rPr>
          <w:rFonts w:asciiTheme="minorEastAsia" w:eastAsiaTheme="minorEastAsia" w:hAnsiTheme="minorEastAsia" w:cs="宋体"/>
          <w:szCs w:val="21"/>
          <w:highlight w:val="white"/>
          <w:lang w:eastAsia="zh-CN"/>
        </w:rPr>
        <w:t>投资者的资金安排带来不利影响。</w:t>
      </w:r>
    </w:p>
    <w:p w:rsidR="009F340D" w:rsidRPr="00A936B7" w14:paraId="538F6C8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短期赎回费</w:t>
      </w:r>
      <w:r w:rsidRPr="00A936B7">
        <w:rPr>
          <w:rFonts w:asciiTheme="minorEastAsia" w:eastAsiaTheme="minorEastAsia" w:hAnsiTheme="minorEastAsia" w:cs="宋体" w:hint="eastAsia"/>
          <w:szCs w:val="21"/>
          <w:highlight w:val="white"/>
          <w:lang w:eastAsia="zh-CN"/>
        </w:rPr>
        <w:t>适用</w:t>
      </w:r>
      <w:r w:rsidRPr="00A936B7">
        <w:rPr>
          <w:rFonts w:asciiTheme="minorEastAsia" w:eastAsiaTheme="minorEastAsia" w:hAnsiTheme="minorEastAsia" w:cs="宋体"/>
          <w:szCs w:val="21"/>
          <w:highlight w:val="white"/>
          <w:lang w:eastAsia="zh-CN"/>
        </w:rPr>
        <w:t>于</w:t>
      </w:r>
      <w:r w:rsidRPr="00A936B7">
        <w:rPr>
          <w:rFonts w:asciiTheme="minorEastAsia" w:eastAsiaTheme="minorEastAsia" w:hAnsiTheme="minorEastAsia" w:cs="宋体" w:hint="eastAsia"/>
          <w:szCs w:val="21"/>
          <w:highlight w:val="white"/>
          <w:lang w:eastAsia="zh-CN"/>
        </w:rPr>
        <w:t>持续持有期少于</w:t>
      </w:r>
      <w:r w:rsidRPr="00A936B7">
        <w:rPr>
          <w:rFonts w:asciiTheme="minorEastAsia" w:eastAsiaTheme="minorEastAsia" w:hAnsiTheme="minorEastAsia" w:cs="宋体"/>
          <w:szCs w:val="21"/>
          <w:highlight w:val="white"/>
          <w:lang w:eastAsia="zh-CN"/>
        </w:rPr>
        <w:t>7</w:t>
      </w:r>
      <w:r w:rsidRPr="00A936B7">
        <w:rPr>
          <w:rFonts w:asciiTheme="minorEastAsia" w:eastAsiaTheme="minorEastAsia" w:hAnsiTheme="minorEastAsia" w:cs="宋体" w:hint="eastAsia"/>
          <w:szCs w:val="21"/>
          <w:highlight w:val="white"/>
          <w:lang w:eastAsia="zh-CN"/>
        </w:rPr>
        <w:t>日的投资者，</w:t>
      </w:r>
      <w:r w:rsidRPr="00A936B7">
        <w:rPr>
          <w:rFonts w:asciiTheme="minorEastAsia" w:eastAsiaTheme="minorEastAsia" w:hAnsiTheme="minorEastAsia" w:cs="宋体"/>
          <w:szCs w:val="21"/>
          <w:highlight w:val="white"/>
          <w:lang w:eastAsia="zh-CN"/>
        </w:rPr>
        <w:t>费率为1.5%</w:t>
      </w:r>
      <w:r w:rsidRPr="00A936B7">
        <w:rPr>
          <w:rFonts w:asciiTheme="minorEastAsia" w:eastAsiaTheme="minorEastAsia" w:hAnsiTheme="minorEastAsia" w:cs="宋体" w:hint="eastAsia"/>
          <w:szCs w:val="21"/>
          <w:highlight w:val="white"/>
          <w:lang w:eastAsia="zh-CN"/>
        </w:rPr>
        <w:t>。</w:t>
      </w:r>
      <w:r w:rsidRPr="00A936B7">
        <w:rPr>
          <w:rFonts w:asciiTheme="minorEastAsia" w:eastAsiaTheme="minorEastAsia" w:hAnsiTheme="minorEastAsia" w:cs="宋体"/>
          <w:szCs w:val="21"/>
          <w:highlight w:val="white"/>
          <w:lang w:eastAsia="zh-CN"/>
        </w:rPr>
        <w:t>短期赎回费</w:t>
      </w:r>
      <w:r w:rsidRPr="00A936B7">
        <w:rPr>
          <w:rFonts w:asciiTheme="minorEastAsia" w:eastAsiaTheme="minorEastAsia" w:hAnsiTheme="minorEastAsia" w:cs="宋体" w:hint="eastAsia"/>
          <w:szCs w:val="21"/>
          <w:highlight w:val="white"/>
          <w:lang w:eastAsia="zh-CN"/>
        </w:rPr>
        <w:t>由赎回基金份额的基金份额持有人承担，在基金份额持有人赎回基金份额时收取。短期</w:t>
      </w:r>
      <w:r w:rsidRPr="00A936B7">
        <w:rPr>
          <w:rFonts w:asciiTheme="minorEastAsia" w:eastAsiaTheme="minorEastAsia" w:hAnsiTheme="minorEastAsia" w:cs="宋体"/>
          <w:szCs w:val="21"/>
          <w:highlight w:val="white"/>
          <w:lang w:eastAsia="zh-CN"/>
        </w:rPr>
        <w:t>赎回费的</w:t>
      </w:r>
      <w:r w:rsidRPr="00A936B7">
        <w:rPr>
          <w:rFonts w:asciiTheme="minorEastAsia" w:eastAsiaTheme="minorEastAsia" w:hAnsiTheme="minorEastAsia" w:cs="宋体" w:hint="eastAsia"/>
          <w:szCs w:val="21"/>
          <w:highlight w:val="white"/>
          <w:lang w:eastAsia="zh-CN"/>
        </w:rPr>
        <w:t>收取</w:t>
      </w:r>
      <w:r w:rsidRPr="00A936B7">
        <w:rPr>
          <w:rFonts w:asciiTheme="minorEastAsia" w:eastAsiaTheme="minorEastAsia" w:hAnsiTheme="minorEastAsia" w:cs="宋体"/>
          <w:szCs w:val="21"/>
          <w:highlight w:val="white"/>
          <w:lang w:eastAsia="zh-CN"/>
        </w:rPr>
        <w:t>将</w:t>
      </w:r>
      <w:r w:rsidRPr="00A936B7">
        <w:rPr>
          <w:rFonts w:asciiTheme="minorEastAsia" w:eastAsiaTheme="minorEastAsia" w:hAnsiTheme="minorEastAsia" w:cs="宋体" w:hint="eastAsia"/>
          <w:szCs w:val="21"/>
          <w:highlight w:val="white"/>
          <w:lang w:eastAsia="zh-CN"/>
        </w:rPr>
        <w:t>使得</w:t>
      </w:r>
      <w:r w:rsidRPr="00A936B7">
        <w:rPr>
          <w:rFonts w:asciiTheme="minorEastAsia" w:eastAsiaTheme="minorEastAsia" w:hAnsiTheme="minorEastAsia" w:cs="宋体"/>
          <w:szCs w:val="21"/>
          <w:highlight w:val="white"/>
          <w:lang w:eastAsia="zh-CN"/>
        </w:rPr>
        <w:t>投资者</w:t>
      </w:r>
      <w:r w:rsidRPr="00A936B7">
        <w:rPr>
          <w:rFonts w:asciiTheme="minorEastAsia" w:eastAsiaTheme="minorEastAsia" w:hAnsiTheme="minorEastAsia" w:cs="宋体" w:hint="eastAsia"/>
          <w:szCs w:val="21"/>
          <w:highlight w:val="white"/>
          <w:lang w:eastAsia="zh-CN"/>
        </w:rPr>
        <w:t>在持续</w:t>
      </w:r>
      <w:r w:rsidRPr="00A936B7">
        <w:rPr>
          <w:rFonts w:asciiTheme="minorEastAsia" w:eastAsiaTheme="minorEastAsia" w:hAnsiTheme="minorEastAsia" w:cs="宋体"/>
          <w:szCs w:val="21"/>
          <w:highlight w:val="white"/>
          <w:lang w:eastAsia="zh-CN"/>
        </w:rPr>
        <w:t>持有期限少于7日时</w:t>
      </w:r>
      <w:r w:rsidRPr="00A936B7">
        <w:rPr>
          <w:rFonts w:asciiTheme="minorEastAsia" w:eastAsiaTheme="minorEastAsia" w:hAnsiTheme="minorEastAsia" w:cs="宋体" w:hint="eastAsia"/>
          <w:szCs w:val="21"/>
          <w:highlight w:val="white"/>
          <w:lang w:eastAsia="zh-CN"/>
        </w:rPr>
        <w:t>会</w:t>
      </w:r>
      <w:r w:rsidRPr="00A936B7">
        <w:rPr>
          <w:rFonts w:asciiTheme="minorEastAsia" w:eastAsiaTheme="minorEastAsia" w:hAnsiTheme="minorEastAsia" w:cs="宋体"/>
          <w:szCs w:val="21"/>
          <w:highlight w:val="white"/>
          <w:lang w:eastAsia="zh-CN"/>
        </w:rPr>
        <w:t>承担较高的赎回费</w:t>
      </w:r>
      <w:r w:rsidRPr="00A936B7">
        <w:rPr>
          <w:rFonts w:asciiTheme="minorEastAsia" w:eastAsiaTheme="minorEastAsia" w:hAnsiTheme="minorEastAsia" w:cs="宋体" w:hint="eastAsia"/>
          <w:szCs w:val="21"/>
          <w:highlight w:val="white"/>
          <w:lang w:eastAsia="zh-CN"/>
        </w:rPr>
        <w:t>。</w:t>
      </w:r>
    </w:p>
    <w:p w:rsidR="009F340D" w:rsidRPr="00A936B7" w14:paraId="4043963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暂停基金</w:t>
      </w:r>
      <w:r w:rsidRPr="00A936B7">
        <w:rPr>
          <w:rFonts w:asciiTheme="minorEastAsia" w:eastAsiaTheme="minorEastAsia" w:hAnsiTheme="minorEastAsia" w:cs="宋体"/>
          <w:szCs w:val="21"/>
          <w:highlight w:val="white"/>
          <w:lang w:eastAsia="zh-CN"/>
        </w:rPr>
        <w:t>估值</w:t>
      </w:r>
      <w:r w:rsidRPr="00A936B7">
        <w:rPr>
          <w:rFonts w:asciiTheme="minorEastAsia" w:eastAsiaTheme="minorEastAsia" w:hAnsiTheme="minorEastAsia" w:cs="宋体" w:hint="eastAsia"/>
          <w:szCs w:val="21"/>
          <w:highlight w:val="white"/>
          <w:lang w:eastAsia="zh-CN"/>
        </w:rPr>
        <w:t>的</w:t>
      </w:r>
      <w:r w:rsidRPr="00A936B7">
        <w:rPr>
          <w:rFonts w:asciiTheme="minorEastAsia" w:eastAsiaTheme="minorEastAsia" w:hAnsiTheme="minorEastAsia" w:cs="宋体"/>
          <w:szCs w:val="21"/>
          <w:highlight w:val="white"/>
          <w:lang w:eastAsia="zh-CN"/>
        </w:rPr>
        <w:t>情形、程序</w:t>
      </w:r>
      <w:r w:rsidRPr="00A936B7">
        <w:rPr>
          <w:rFonts w:asciiTheme="minorEastAsia" w:eastAsiaTheme="minorEastAsia" w:hAnsiTheme="minorEastAsia" w:cs="宋体" w:hint="eastAsia"/>
          <w:szCs w:val="21"/>
          <w:highlight w:val="white"/>
          <w:lang w:eastAsia="zh-CN"/>
        </w:rPr>
        <w:t>见招募</w:t>
      </w:r>
      <w:r w:rsidRPr="00A936B7">
        <w:rPr>
          <w:rFonts w:asciiTheme="minorEastAsia" w:eastAsiaTheme="minorEastAsia" w:hAnsiTheme="minorEastAsia" w:cs="宋体"/>
          <w:szCs w:val="21"/>
          <w:highlight w:val="white"/>
          <w:lang w:eastAsia="zh-CN"/>
        </w:rPr>
        <w:t>说明</w:t>
      </w:r>
      <w:r w:rsidRPr="00A936B7">
        <w:rPr>
          <w:rFonts w:asciiTheme="minorEastAsia" w:eastAsiaTheme="minorEastAsia" w:hAnsiTheme="minorEastAsia" w:cs="宋体" w:hint="eastAsia"/>
          <w:szCs w:val="21"/>
          <w:highlight w:val="white"/>
          <w:lang w:eastAsia="zh-CN"/>
        </w:rPr>
        <w:t>书“基金资产的估值”</w:t>
      </w:r>
      <w:r w:rsidRPr="00A936B7">
        <w:rPr>
          <w:rFonts w:asciiTheme="minorEastAsia" w:eastAsiaTheme="minorEastAsia" w:hAnsiTheme="minorEastAsia" w:cs="宋体"/>
          <w:szCs w:val="21"/>
          <w:highlight w:val="white"/>
          <w:lang w:eastAsia="zh-CN"/>
        </w:rPr>
        <w:t>之</w:t>
      </w:r>
      <w:r w:rsidRPr="00A936B7">
        <w:rPr>
          <w:rFonts w:asciiTheme="minorEastAsia" w:eastAsiaTheme="minorEastAsia" w:hAnsiTheme="minorEastAsia" w:cs="宋体" w:hint="eastAsia"/>
          <w:szCs w:val="21"/>
          <w:highlight w:val="white"/>
          <w:lang w:eastAsia="zh-CN"/>
        </w:rPr>
        <w:t>“暂停估值的情形”的相关规定。若</w:t>
      </w:r>
      <w:r w:rsidRPr="00A936B7">
        <w:rPr>
          <w:rFonts w:asciiTheme="minorEastAsia" w:eastAsiaTheme="minorEastAsia" w:hAnsiTheme="minorEastAsia" w:cs="宋体"/>
          <w:szCs w:val="21"/>
          <w:highlight w:val="white"/>
          <w:lang w:eastAsia="zh-CN"/>
        </w:rPr>
        <w:t>本基金暂停基金估值，</w:t>
      </w:r>
      <w:r w:rsidRPr="00A936B7">
        <w:rPr>
          <w:rFonts w:asciiTheme="minorEastAsia" w:eastAsiaTheme="minorEastAsia" w:hAnsiTheme="minorEastAsia" w:cs="宋体" w:hint="eastAsia"/>
          <w:szCs w:val="21"/>
          <w:highlight w:val="white"/>
          <w:lang w:eastAsia="zh-CN"/>
        </w:rPr>
        <w:t>一方面</w:t>
      </w:r>
      <w:r w:rsidRPr="00A936B7">
        <w:rPr>
          <w:rFonts w:asciiTheme="minorEastAsia" w:eastAsiaTheme="minorEastAsia" w:hAnsiTheme="minorEastAsia" w:cs="宋体"/>
          <w:szCs w:val="21"/>
          <w:highlight w:val="white"/>
          <w:lang w:eastAsia="zh-CN"/>
        </w:rPr>
        <w:t>投资者将无法知晓本基金的基金份额净值，</w:t>
      </w:r>
      <w:r w:rsidRPr="00A936B7">
        <w:rPr>
          <w:rFonts w:asciiTheme="minorEastAsia" w:eastAsiaTheme="minorEastAsia" w:hAnsiTheme="minorEastAsia" w:cs="宋体" w:hint="eastAsia"/>
          <w:szCs w:val="21"/>
          <w:highlight w:val="white"/>
          <w:lang w:eastAsia="zh-CN"/>
        </w:rPr>
        <w:t>另一方面基金</w:t>
      </w:r>
      <w:r w:rsidRPr="00A936B7">
        <w:rPr>
          <w:rFonts w:asciiTheme="minorEastAsia" w:eastAsiaTheme="minorEastAsia" w:hAnsiTheme="minorEastAsia" w:cs="宋体"/>
          <w:szCs w:val="21"/>
          <w:highlight w:val="white"/>
          <w:lang w:eastAsia="zh-CN"/>
        </w:rPr>
        <w:t>将</w:t>
      </w:r>
      <w:r w:rsidRPr="00A936B7">
        <w:rPr>
          <w:rFonts w:asciiTheme="minorEastAsia" w:eastAsiaTheme="minorEastAsia" w:hAnsiTheme="minorEastAsia" w:cs="宋体" w:hint="eastAsia"/>
          <w:szCs w:val="21"/>
          <w:highlight w:val="white"/>
          <w:lang w:eastAsia="zh-CN"/>
        </w:rPr>
        <w:t>延缓支付赎回款项或暂停接受基金申购赎回申请</w:t>
      </w:r>
      <w:r w:rsidRPr="00A936B7">
        <w:rPr>
          <w:rFonts w:asciiTheme="minorEastAsia" w:eastAsiaTheme="minorEastAsia" w:hAnsiTheme="minorEastAsia" w:cs="宋体"/>
          <w:szCs w:val="21"/>
          <w:highlight w:val="white"/>
          <w:lang w:eastAsia="zh-CN"/>
        </w:rPr>
        <w:t>，</w:t>
      </w:r>
      <w:r w:rsidRPr="00A936B7">
        <w:rPr>
          <w:rFonts w:asciiTheme="minorEastAsia" w:eastAsiaTheme="minorEastAsia" w:hAnsiTheme="minorEastAsia" w:cs="宋体" w:hint="eastAsia"/>
          <w:szCs w:val="21"/>
          <w:highlight w:val="white"/>
          <w:lang w:eastAsia="zh-CN"/>
        </w:rPr>
        <w:t>延缓支付赎回款项</w:t>
      </w:r>
      <w:r w:rsidRPr="00A936B7">
        <w:rPr>
          <w:rFonts w:asciiTheme="minorEastAsia" w:eastAsiaTheme="minorEastAsia" w:hAnsiTheme="minorEastAsia" w:cs="宋体"/>
          <w:szCs w:val="21"/>
          <w:highlight w:val="white"/>
          <w:lang w:eastAsia="zh-CN"/>
        </w:rPr>
        <w:t>可能影响投资</w:t>
      </w:r>
      <w:r w:rsidRPr="00A936B7">
        <w:rPr>
          <w:rFonts w:asciiTheme="minorEastAsia" w:eastAsiaTheme="minorEastAsia" w:hAnsiTheme="minorEastAsia" w:cs="宋体" w:hint="eastAsia"/>
          <w:szCs w:val="21"/>
          <w:highlight w:val="white"/>
          <w:lang w:eastAsia="zh-CN"/>
        </w:rPr>
        <w:t>者</w:t>
      </w:r>
      <w:r w:rsidRPr="00A936B7">
        <w:rPr>
          <w:rFonts w:asciiTheme="minorEastAsia" w:eastAsiaTheme="minorEastAsia" w:hAnsiTheme="minorEastAsia" w:cs="宋体"/>
          <w:szCs w:val="21"/>
          <w:highlight w:val="white"/>
          <w:lang w:eastAsia="zh-CN"/>
        </w:rPr>
        <w:t>的资金安排</w:t>
      </w:r>
      <w:r w:rsidRPr="00A936B7">
        <w:rPr>
          <w:rFonts w:asciiTheme="minorEastAsia" w:eastAsiaTheme="minorEastAsia" w:hAnsiTheme="minorEastAsia" w:cs="宋体" w:hint="eastAsia"/>
          <w:szCs w:val="21"/>
          <w:highlight w:val="white"/>
          <w:lang w:eastAsia="zh-CN"/>
        </w:rPr>
        <w:t>，暂停接受基金申购赎回申请将</w:t>
      </w:r>
      <w:r w:rsidRPr="00A936B7">
        <w:rPr>
          <w:rFonts w:asciiTheme="minorEastAsia" w:eastAsiaTheme="minorEastAsia" w:hAnsiTheme="minorEastAsia" w:cs="宋体"/>
          <w:szCs w:val="21"/>
          <w:highlight w:val="white"/>
          <w:lang w:eastAsia="zh-CN"/>
        </w:rPr>
        <w:t>导致投资者无法申购或赎回本基金。</w:t>
      </w:r>
    </w:p>
    <w:p w:rsidR="009F340D" w:rsidRPr="00A936B7" w14:paraId="7BE5A82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采用</w:t>
      </w:r>
      <w:r w:rsidRPr="00A936B7">
        <w:rPr>
          <w:rFonts w:asciiTheme="minorEastAsia" w:eastAsiaTheme="minorEastAsia" w:hAnsiTheme="minorEastAsia" w:cs="宋体"/>
          <w:szCs w:val="21"/>
          <w:highlight w:val="white"/>
          <w:lang w:eastAsia="zh-CN"/>
        </w:rPr>
        <w:t>摆动定价</w:t>
      </w:r>
      <w:r w:rsidRPr="00A936B7">
        <w:rPr>
          <w:rFonts w:asciiTheme="minorEastAsia" w:eastAsiaTheme="minorEastAsia" w:hAnsiTheme="minorEastAsia" w:cs="宋体" w:hint="eastAsia"/>
          <w:szCs w:val="21"/>
          <w:highlight w:val="white"/>
          <w:lang w:eastAsia="zh-CN"/>
        </w:rPr>
        <w:t>机制的</w:t>
      </w:r>
      <w:r w:rsidRPr="00A936B7">
        <w:rPr>
          <w:rFonts w:asciiTheme="minorEastAsia" w:eastAsiaTheme="minorEastAsia" w:hAnsiTheme="minorEastAsia" w:cs="宋体"/>
          <w:szCs w:val="21"/>
          <w:highlight w:val="white"/>
          <w:lang w:eastAsia="zh-CN"/>
        </w:rPr>
        <w:t>情形、程序</w:t>
      </w:r>
      <w:r w:rsidRPr="00A936B7">
        <w:rPr>
          <w:rFonts w:asciiTheme="minorEastAsia" w:eastAsiaTheme="minorEastAsia" w:hAnsiTheme="minorEastAsia" w:cs="宋体" w:hint="eastAsia"/>
          <w:szCs w:val="21"/>
          <w:highlight w:val="white"/>
          <w:lang w:eastAsia="zh-CN"/>
        </w:rPr>
        <w:t>见招募</w:t>
      </w:r>
      <w:r w:rsidRPr="00A936B7">
        <w:rPr>
          <w:rFonts w:asciiTheme="minorEastAsia" w:eastAsiaTheme="minorEastAsia" w:hAnsiTheme="minorEastAsia" w:cs="宋体"/>
          <w:szCs w:val="21"/>
          <w:highlight w:val="white"/>
          <w:lang w:eastAsia="zh-CN"/>
        </w:rPr>
        <w:t>说明</w:t>
      </w:r>
      <w:r w:rsidRPr="00A936B7">
        <w:rPr>
          <w:rFonts w:asciiTheme="minorEastAsia" w:eastAsiaTheme="minorEastAsia" w:hAnsiTheme="minorEastAsia" w:cs="宋体" w:hint="eastAsia"/>
          <w:szCs w:val="21"/>
          <w:highlight w:val="white"/>
          <w:lang w:eastAsia="zh-CN"/>
        </w:rPr>
        <w:t>书“基金资产的估值”</w:t>
      </w:r>
      <w:r w:rsidRPr="00A936B7">
        <w:rPr>
          <w:rFonts w:asciiTheme="minorEastAsia" w:eastAsiaTheme="minorEastAsia" w:hAnsiTheme="minorEastAsia" w:cs="宋体"/>
          <w:szCs w:val="21"/>
          <w:highlight w:val="white"/>
          <w:lang w:eastAsia="zh-CN"/>
        </w:rPr>
        <w:t>之</w:t>
      </w:r>
      <w:r w:rsidRPr="00A936B7">
        <w:rPr>
          <w:rFonts w:asciiTheme="minorEastAsia" w:eastAsiaTheme="minorEastAsia" w:hAnsiTheme="minorEastAsia" w:cs="宋体" w:hint="eastAsia"/>
          <w:szCs w:val="21"/>
          <w:highlight w:val="white"/>
          <w:lang w:eastAsia="zh-CN"/>
        </w:rPr>
        <w:t>“</w:t>
      </w:r>
      <w:r w:rsidRPr="00A936B7">
        <w:rPr>
          <w:rStyle w:val="da"/>
          <w:rFonts w:asciiTheme="minorEastAsia" w:eastAsiaTheme="minorEastAsia" w:hAnsiTheme="minorEastAsia" w:cs="宋体"/>
          <w:szCs w:val="21"/>
          <w:highlight w:val="white"/>
          <w:lang w:eastAsia="zh-CN"/>
        </w:rPr>
        <w:t>估值方法</w:t>
      </w:r>
      <w:r w:rsidRPr="00A936B7">
        <w:rPr>
          <w:rFonts w:asciiTheme="minorEastAsia" w:eastAsiaTheme="minorEastAsia" w:hAnsiTheme="minorEastAsia" w:cs="宋体" w:hint="eastAsia"/>
          <w:szCs w:val="21"/>
          <w:highlight w:val="white"/>
          <w:lang w:eastAsia="zh-CN"/>
        </w:rPr>
        <w:t>”的相关规定。</w:t>
      </w:r>
      <w:r w:rsidRPr="00A936B7">
        <w:rPr>
          <w:rFonts w:asciiTheme="minorEastAsia" w:eastAsiaTheme="minorEastAsia" w:hAnsiTheme="minorEastAsia" w:cs="宋体"/>
          <w:szCs w:val="21"/>
          <w:highlight w:val="white"/>
          <w:lang w:eastAsia="zh-CN"/>
        </w:rPr>
        <w:t>若</w:t>
      </w:r>
      <w:r w:rsidRPr="00A936B7">
        <w:rPr>
          <w:rFonts w:asciiTheme="minorEastAsia" w:eastAsiaTheme="minorEastAsia" w:hAnsiTheme="minorEastAsia" w:cs="宋体" w:hint="eastAsia"/>
          <w:szCs w:val="21"/>
          <w:highlight w:val="white"/>
          <w:lang w:eastAsia="zh-CN"/>
        </w:rPr>
        <w:t>本</w:t>
      </w:r>
      <w:r w:rsidRPr="00A936B7">
        <w:rPr>
          <w:rFonts w:asciiTheme="minorEastAsia" w:eastAsiaTheme="minorEastAsia" w:hAnsiTheme="minorEastAsia" w:cs="宋体"/>
          <w:szCs w:val="21"/>
          <w:highlight w:val="white"/>
          <w:lang w:eastAsia="zh-CN"/>
        </w:rPr>
        <w:t>基金采取摆动定价机制，</w:t>
      </w:r>
      <w:r w:rsidRPr="00A936B7">
        <w:rPr>
          <w:rFonts w:asciiTheme="minorEastAsia" w:eastAsiaTheme="minorEastAsia" w:hAnsiTheme="minorEastAsia" w:cs="宋体" w:hint="eastAsia"/>
          <w:szCs w:val="21"/>
          <w:highlight w:val="white"/>
          <w:lang w:eastAsia="zh-CN"/>
        </w:rPr>
        <w:t>投资</w:t>
      </w:r>
      <w:r w:rsidRPr="00A936B7">
        <w:rPr>
          <w:rFonts w:asciiTheme="minorEastAsia" w:eastAsiaTheme="minorEastAsia" w:hAnsiTheme="minorEastAsia" w:cs="宋体"/>
          <w:szCs w:val="21"/>
          <w:highlight w:val="white"/>
          <w:lang w:eastAsia="zh-CN"/>
        </w:rPr>
        <w:t>者申购基金获得的</w:t>
      </w:r>
      <w:r w:rsidRPr="00A936B7">
        <w:rPr>
          <w:rFonts w:asciiTheme="minorEastAsia" w:eastAsiaTheme="minorEastAsia" w:hAnsiTheme="minorEastAsia" w:cs="宋体" w:hint="eastAsia"/>
          <w:szCs w:val="21"/>
          <w:highlight w:val="white"/>
          <w:lang w:eastAsia="zh-CN"/>
        </w:rPr>
        <w:t>申购</w:t>
      </w:r>
      <w:r w:rsidRPr="00A936B7">
        <w:rPr>
          <w:rFonts w:asciiTheme="minorEastAsia" w:eastAsiaTheme="minorEastAsia" w:hAnsiTheme="minorEastAsia" w:cs="宋体"/>
          <w:szCs w:val="21"/>
          <w:highlight w:val="white"/>
          <w:lang w:eastAsia="zh-CN"/>
        </w:rPr>
        <w:t>份额</w:t>
      </w:r>
      <w:r w:rsidRPr="00A936B7">
        <w:rPr>
          <w:rFonts w:asciiTheme="minorEastAsia" w:eastAsiaTheme="minorEastAsia" w:hAnsiTheme="minorEastAsia" w:cs="宋体" w:hint="eastAsia"/>
          <w:szCs w:val="21"/>
          <w:highlight w:val="white"/>
          <w:lang w:eastAsia="zh-CN"/>
        </w:rPr>
        <w:t>及赎回</w:t>
      </w:r>
      <w:r w:rsidRPr="00A936B7">
        <w:rPr>
          <w:rFonts w:asciiTheme="minorEastAsia" w:eastAsiaTheme="minorEastAsia" w:hAnsiTheme="minorEastAsia" w:cs="宋体"/>
          <w:szCs w:val="21"/>
          <w:highlight w:val="white"/>
          <w:lang w:eastAsia="zh-CN"/>
        </w:rPr>
        <w:t>基金获得的赎回金额均可能受到不利影响。</w:t>
      </w:r>
    </w:p>
    <w:p w:rsidR="009F340D" w:rsidRPr="00A936B7" w14:paraId="3470852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侧袋机制是一种流动性风险管理工具，是将特定资产分离至专门的侧袋账户进行处置清算，并以处置变现后的款项向基金份额持有人进行支付，目的在于有效隔离并化解风险，但基金启用侧袋机制后，侧袋账户份额将停止披露基金份额净值，并不得办理申购、赎回和转换，仅主袋账户份额正常开放赎回，因此启用侧袋机制时持有基金份额的持有人将在启用侧袋机制后同时拥有主袋账户份额和侧袋账户份额，侧袋账户份额不能赎回，其对应特定资产的变现时间具有不确定性，最终变现价格也具有不确定性并且有可能大幅低于启用侧袋机制时的特定资产的估值，基金份额持有人可能因此面临损失。</w:t>
      </w:r>
    </w:p>
    <w:p w:rsidR="009F340D" w:rsidRPr="00A936B7" w14:paraId="5BB22BB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实施侧袋机制期间，基金管理人计算各项投资运作指标和基金业绩指标时以主袋账户资产为基准，不反映侧袋账户特定资产的真实价值及变化情况。本基金不披露侧袋账户份额的净值，即便基金管理人在基金定期报告中披露报告期末特定资产可变现净值或净值区间的，也不作为特定资产最终变现价格的承诺，对于特定资产的公允价值和最终变现价格，基金管理人不承担任何保证和承诺的责任。</w:t>
      </w:r>
    </w:p>
    <w:p w:rsidR="009F340D" w:rsidRPr="00A936B7" w14:paraId="5D44354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基金管理人将根据主袋账户运作情况合理确定申购政策，因此实施侧袋机制后主袋账户份额存在暂停申购的可能。</w:t>
      </w:r>
    </w:p>
    <w:p w:rsidR="009F340D" w:rsidRPr="00A936B7" w14:paraId="1CBC6279"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四、管理风险</w:t>
      </w:r>
    </w:p>
    <w:p w:rsidR="009F340D" w:rsidRPr="00A936B7" w14:paraId="021A7D9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w:t>
      </w:r>
      <w:r w:rsidRPr="00A936B7">
        <w:rPr>
          <w:rFonts w:asciiTheme="minorEastAsia" w:eastAsiaTheme="minorEastAsia" w:hAnsiTheme="minorEastAsia" w:cs="宋体" w:hint="eastAsia"/>
          <w:szCs w:val="21"/>
          <w:highlight w:val="white"/>
          <w:lang w:eastAsia="zh-CN"/>
        </w:rPr>
        <w:t>、在基金管理运作过程中，基金管理人的知识、经验、判断、决策、技能等，会影响其对信息的占有以及对经济形势、证券价格走势的判断，从而影响基金收益水平。</w:t>
      </w:r>
    </w:p>
    <w:p w:rsidR="009F340D" w:rsidRPr="00A936B7" w14:paraId="4D510E8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w:t>
      </w:r>
      <w:r w:rsidRPr="00A936B7">
        <w:rPr>
          <w:rFonts w:asciiTheme="minorEastAsia" w:eastAsiaTheme="minorEastAsia" w:hAnsiTheme="minorEastAsia" w:cs="宋体" w:hint="eastAsia"/>
          <w:szCs w:val="21"/>
          <w:highlight w:val="white"/>
          <w:lang w:eastAsia="zh-CN"/>
        </w:rPr>
        <w:t>、基金管理人的管理手段和管理技术等因素的变化也会影响基金收益水平。</w:t>
      </w:r>
    </w:p>
    <w:p w:rsidR="009F340D" w:rsidRPr="00A936B7" w14:paraId="39A82B5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五、税收风险</w:t>
      </w:r>
    </w:p>
    <w:p w:rsidR="009F340D" w:rsidRPr="00A936B7" w14:paraId="03946E1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在本基金存续期间，税收征管部门可能会对增值税等应税行为的认定以及适用的税率等进行调整。届时，基金管理人将执行更新后的政策，可能会因此导致基金资产实际承担的税费发生变化。该等情况下，基金管理人有权根据法律法规及税收政策的变化相应调整税收处理，该等调整可能会影响到基金投资者的收益，也可能导致基金财产的估值调整。由于前述税收政策变化导致对基金资产的收益影响，将由持有该基金的基金投资者承担。对于现有税收政策未明确事项，本基金主要参照行业协会建议方案进行处理，可能会与税收征管认定存在差异，从而产生税费补缴及滞纳金，该等税费及滞纳金将由基金财产承担。</w:t>
      </w:r>
    </w:p>
    <w:p w:rsidR="009F340D" w:rsidRPr="00A936B7" w14:paraId="70506A5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六、</w:t>
      </w:r>
      <w:r w:rsidRPr="00A936B7">
        <w:rPr>
          <w:rFonts w:asciiTheme="minorEastAsia" w:eastAsiaTheme="minorEastAsia" w:hAnsiTheme="minorEastAsia" w:cs="宋体" w:hint="eastAsia"/>
          <w:szCs w:val="21"/>
          <w:highlight w:val="white"/>
          <w:lang w:eastAsia="zh-CN"/>
        </w:rPr>
        <w:t>本基金法律文件中涉及基金风险特征的表述与销售机构对基金的风险评级可能不一致的风险</w:t>
      </w:r>
    </w:p>
    <w:p w:rsidR="009F340D" w:rsidRPr="00A936B7" w14:paraId="580D048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本基金基金合同、招募说明书等法律文件中涉及基金风险收益特征或风险状况的表述仅为主要基于基金投资方向与策略特点的概括性表述；而本基金各销售机构依据中国证券投资基金业协会发布的《基金募集机构投资者适当性管理实施指引（试行）》及内部评级标准，将基金产品按照风险由低到高顺序进行风险级别评定划分，其风险评级结果所依据的评价要素可能更多、范围更广，与本基金法律文件中的风险收益特征或风险状况表述并不必然一致或存在对应关系。同时，不同销售机构因其采取的具体评价标准和方法的差异，对同一产品风险级别的评定也可能各有不同；销售机构还可能根据监管要求、市场变化及基金实际运作情况等适时调整对本基金的风险评级。敬请投资人知悉，在购买本基金时按照销售机构的要求完成风险承受能力与产品风险之间的匹配检验，并须及时关注销售机构对于本基金风险评级的调整情况，谨慎作出投资决策。</w:t>
      </w:r>
    </w:p>
    <w:p w:rsidR="009F340D" w:rsidRPr="00A936B7" w14:paraId="067325AE" w14:textId="77777777">
      <w:pPr>
        <w:spacing w:line="360" w:lineRule="auto"/>
        <w:ind w:firstLine="420"/>
        <w:rPr>
          <w:rStyle w:val="da"/>
          <w:rFonts w:asciiTheme="minorEastAsia" w:eastAsiaTheme="minorEastAsia" w:hAnsiTheme="minorEastAsia" w:cs="宋体" w:hint="eastAsia"/>
          <w:szCs w:val="21"/>
          <w:lang w:eastAsia="zh-CN"/>
        </w:rPr>
      </w:pPr>
      <w:r w:rsidRPr="00A936B7">
        <w:rPr>
          <w:rStyle w:val="da"/>
          <w:rFonts w:asciiTheme="minorEastAsia" w:eastAsiaTheme="minorEastAsia" w:hAnsiTheme="minorEastAsia" w:cs="宋体" w:hint="eastAsia"/>
          <w:szCs w:val="21"/>
          <w:highlight w:val="white"/>
          <w:lang w:eastAsia="zh-CN"/>
        </w:rPr>
        <w:t>七、其他风险</w:t>
      </w:r>
    </w:p>
    <w:p w:rsidR="009F340D" w:rsidRPr="00A936B7" w14:paraId="0A79430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w:t>
      </w:r>
      <w:r w:rsidRPr="00A936B7">
        <w:rPr>
          <w:rFonts w:asciiTheme="minorEastAsia" w:eastAsiaTheme="minorEastAsia" w:hAnsiTheme="minorEastAsia" w:cs="宋体" w:hint="eastAsia"/>
          <w:szCs w:val="21"/>
          <w:highlight w:val="white"/>
          <w:lang w:eastAsia="zh-CN"/>
        </w:rPr>
        <w:t>、因技术因素而产生的风险，如电脑等技术系统的故障或差错产生的风险。</w:t>
      </w:r>
    </w:p>
    <w:p w:rsidR="009F340D" w:rsidRPr="00A936B7" w14:paraId="690C391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w:t>
      </w:r>
      <w:r w:rsidRPr="00A936B7">
        <w:rPr>
          <w:rFonts w:asciiTheme="minorEastAsia" w:eastAsiaTheme="minorEastAsia" w:hAnsiTheme="minorEastAsia" w:cs="宋体" w:hint="eastAsia"/>
          <w:szCs w:val="21"/>
          <w:highlight w:val="white"/>
          <w:lang w:eastAsia="zh-CN"/>
        </w:rPr>
        <w:t>、因战争、自然灾害等不可抗力导致的基金管理人、基金托管人、基金服务机构等机构无法正常工作，从而影响基金运作的风险。</w:t>
      </w:r>
    </w:p>
    <w:p w:rsidR="009F340D" w:rsidRPr="00A936B7" w14:paraId="14F6AB8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3</w:t>
      </w:r>
      <w:r w:rsidRPr="00A936B7">
        <w:rPr>
          <w:rFonts w:asciiTheme="minorEastAsia" w:eastAsiaTheme="minorEastAsia" w:hAnsiTheme="minorEastAsia" w:cs="宋体" w:hint="eastAsia"/>
          <w:szCs w:val="21"/>
          <w:highlight w:val="white"/>
          <w:lang w:eastAsia="zh-CN"/>
        </w:rPr>
        <w:t>、因金融市场危机、代理商违约、基金托管人违约等超出基金管理人自身控制能力的因素出现，可能导致基金或者基金份额持有人利益受损的风险。</w:t>
      </w:r>
    </w:p>
    <w:p w:rsidR="009F340D" w:rsidRPr="00A936B7" w14:paraId="562020A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4</w:t>
      </w:r>
      <w:r w:rsidRPr="00A936B7">
        <w:rPr>
          <w:rFonts w:asciiTheme="minorEastAsia" w:eastAsiaTheme="minorEastAsia" w:hAnsiTheme="minorEastAsia" w:cs="宋体" w:hint="eastAsia"/>
          <w:szCs w:val="21"/>
          <w:highlight w:val="white"/>
          <w:lang w:eastAsia="zh-CN"/>
        </w:rPr>
        <w:t>、因固定收益类金融工具主要在场外市场进行交易，场外市场交易现阶段自动化程度较场内市场低，本基金在投资运作过程中可能面临操作风险。</w:t>
      </w:r>
    </w:p>
    <w:p w:rsidR="009F340D" w:rsidRPr="00A936B7" w14:paraId="29919E1B" w14:textId="77777777">
      <w:pPr>
        <w:spacing w:line="360" w:lineRule="auto"/>
        <w:ind w:firstLine="420"/>
        <w:rPr>
          <w:rFonts w:asciiTheme="minorEastAsia" w:eastAsiaTheme="minorEastAsia" w:hAnsiTheme="minorEastAsia" w:hint="eastAsia"/>
          <w:lang w:eastAsia="zh-CN"/>
        </w:rPr>
      </w:pPr>
      <w:r w:rsidRPr="00A936B7">
        <w:rPr>
          <w:rFonts w:asciiTheme="minorEastAsia" w:eastAsiaTheme="minorEastAsia" w:hAnsiTheme="minorEastAsia" w:cs="宋体"/>
          <w:color w:val="000000"/>
          <w:szCs w:val="21"/>
          <w:highlight w:val="white"/>
          <w:lang w:eastAsia="zh-CN"/>
        </w:rPr>
        <w:t>5、</w:t>
      </w:r>
      <w:r w:rsidRPr="00A936B7">
        <w:rPr>
          <w:rFonts w:asciiTheme="minorEastAsia" w:eastAsiaTheme="minorEastAsia" w:hAnsiTheme="minorEastAsia" w:cs="宋体" w:hint="eastAsia"/>
          <w:szCs w:val="21"/>
          <w:highlight w:val="white"/>
          <w:lang w:eastAsia="zh-CN"/>
        </w:rPr>
        <w:t>其他意外导致的风险。</w:t>
      </w:r>
    </w:p>
    <w:p w:rsidR="009F340D" w:rsidRPr="00A936B7" w14:paraId="526B39D0" w14:textId="77777777">
      <w:pPr>
        <w:pStyle w:val="Heading1"/>
        <w:spacing w:before="317" w:after="317" w:line="360" w:lineRule="auto"/>
        <w:ind w:firstLine="600"/>
        <w:rPr>
          <w:rFonts w:asciiTheme="minorEastAsia" w:eastAsiaTheme="minorEastAsia" w:hAnsiTheme="minorEastAsia" w:cs="宋体" w:hint="eastAsia"/>
          <w:sz w:val="30"/>
          <w:szCs w:val="30"/>
          <w:lang w:eastAsia="zh-CN"/>
        </w:rPr>
      </w:pPr>
      <w:r w:rsidRPr="00A936B7">
        <w:rPr>
          <w:rFonts w:asciiTheme="minorEastAsia" w:eastAsiaTheme="minorEastAsia" w:hAnsiTheme="minorEastAsia" w:cs="宋体" w:hint="eastAsia"/>
          <w:sz w:val="30"/>
          <w:highlight w:val="white"/>
          <w:lang w:eastAsia="zh-CN"/>
        </w:rPr>
        <w:br w:type="column"/>
      </w:r>
      <w:bookmarkStart w:id="1849" w:name="_Toc129511543"/>
      <w:bookmarkEnd w:id="1848"/>
      <w:r w:rsidRPr="00A936B7">
        <w:rPr>
          <w:rFonts w:asciiTheme="minorEastAsia" w:eastAsiaTheme="minorEastAsia" w:hAnsiTheme="minorEastAsia" w:cs="宋体" w:hint="eastAsia"/>
          <w:sz w:val="30"/>
          <w:szCs w:val="30"/>
          <w:highlight w:val="white"/>
          <w:lang w:eastAsia="zh-CN"/>
        </w:rPr>
        <w:t>第二十</w:t>
      </w:r>
      <w:bookmarkStart w:id="1850" w:name="_Toc332373579"/>
      <w:r w:rsidRPr="00A936B7">
        <w:rPr>
          <w:rFonts w:asciiTheme="minorEastAsia" w:eastAsiaTheme="minorEastAsia" w:hAnsiTheme="minorEastAsia" w:cs="宋体" w:hint="eastAsia"/>
          <w:sz w:val="30"/>
          <w:szCs w:val="30"/>
          <w:highlight w:val="white"/>
          <w:lang w:eastAsia="zh-CN"/>
        </w:rPr>
        <w:t>一部分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基金合同的变更、终止与基金财产的清算</w:t>
      </w:r>
      <w:bookmarkEnd w:id="1849"/>
      <w:bookmarkEnd w:id="1850"/>
    </w:p>
    <w:p w:rsidR="009F340D" w:rsidRPr="00A936B7" w14:paraId="7695CFC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一、《基金合同》的变更</w:t>
      </w:r>
    </w:p>
    <w:p w:rsidR="009F340D" w:rsidRPr="00A936B7" w14:paraId="6C500E3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9F340D" w:rsidRPr="00A936B7" w14:paraId="563ED5A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2、关于《基金合同》变更的基金份额持有人大会决议自生效后方可执行，自决议生效后两日内在规定媒介公告。</w:t>
      </w:r>
    </w:p>
    <w:p w:rsidR="009F340D" w:rsidRPr="00A936B7" w14:paraId="4397815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二、《基金合同》的终止事由</w:t>
      </w:r>
    </w:p>
    <w:p w:rsidR="009F340D" w:rsidRPr="00A936B7" w14:paraId="2649FBB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有下列情形之一的，经履行相关程序后，《基金合同》应当终止：</w:t>
      </w:r>
    </w:p>
    <w:p w:rsidR="009F340D" w:rsidRPr="00A936B7" w14:paraId="7F4A60C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1、基金份额持有人大会决定终止的；</w:t>
      </w:r>
    </w:p>
    <w:p w:rsidR="009F340D" w:rsidRPr="00A936B7" w14:paraId="636FFFE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2、基金管理人、基金托管人职责终止，在6个月内没有新基金管理人、新基金托管人承接的；</w:t>
      </w:r>
    </w:p>
    <w:p w:rsidR="009F340D" w:rsidRPr="00A936B7" w14:paraId="5AB8DE3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出现标的指数不符合法律法规及监管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rsidR="009F340D" w:rsidRPr="00A936B7" w14:paraId="0131BEA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4、《基金合同》约定的其他情形；</w:t>
      </w:r>
    </w:p>
    <w:p w:rsidR="009F340D" w:rsidRPr="00A936B7" w14:paraId="6C6B918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5、相关法律法规和中国证监会规定的其他情况。</w:t>
      </w:r>
    </w:p>
    <w:p w:rsidR="009F340D" w:rsidRPr="00A936B7" w14:paraId="75BB2D8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三、基金财产的清算</w:t>
      </w:r>
    </w:p>
    <w:p w:rsidR="009F340D" w:rsidRPr="00A936B7" w14:paraId="28CF7E7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1、基金财产清算小组：自出现《基金合同》终止事由之日起30个工作日内成立清算小组，基金管理人组织基金财产清算小组并在中国证监会的监督下进行基金清算。</w:t>
      </w:r>
    </w:p>
    <w:p w:rsidR="009F340D" w:rsidRPr="00A936B7" w14:paraId="3B33B25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2、基金财产清算小组组成：基金财产清算小组成员由基金管理人、基金托管人、注册会计师、律师以及中国证监会指定的人员组成。基金财产清算小组可以聘用必要的工作人员。</w:t>
      </w:r>
    </w:p>
    <w:p w:rsidR="009F340D" w:rsidRPr="00A936B7" w14:paraId="494E5B6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3、基金财产清算小组职责：基金财产清算小组负责基金财产的保管、清理、估价、变现和分配。基金财产清算小组可以依法进行必要的民事活动。</w:t>
      </w:r>
    </w:p>
    <w:p w:rsidR="009F340D" w:rsidRPr="00A936B7" w14:paraId="5E161C9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4、基金财产清算程序：</w:t>
      </w:r>
    </w:p>
    <w:p w:rsidR="009F340D" w:rsidRPr="00A936B7" w14:paraId="1152DAD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（1）《基金合同》终止情形出现时，由基金财产清算小组统一接管基金；</w:t>
      </w:r>
    </w:p>
    <w:p w:rsidR="009F340D" w:rsidRPr="00A936B7" w14:paraId="32A14C3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（2）对基金财产和债权债务进行清理和确认；</w:t>
      </w:r>
    </w:p>
    <w:p w:rsidR="009F340D" w:rsidRPr="00A936B7" w14:paraId="70F6582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（3）对基金财产进行估值和变现；</w:t>
      </w:r>
    </w:p>
    <w:p w:rsidR="009F340D" w:rsidRPr="00A936B7" w14:paraId="35A0155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（4）制作清算报告；</w:t>
      </w:r>
    </w:p>
    <w:p w:rsidR="009F340D" w:rsidRPr="00A936B7" w14:paraId="595FE10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（5）聘请会计师事务所对清算报告进行外部审计，聘请律师事务所对清算报告出具法律意见书；</w:t>
      </w:r>
    </w:p>
    <w:p w:rsidR="009F340D" w:rsidRPr="00A936B7" w14:paraId="4E49BB3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（6）将清算报告报中国证监会备案并公告；</w:t>
      </w:r>
    </w:p>
    <w:p w:rsidR="009F340D" w:rsidRPr="00A936B7" w14:paraId="7DA0F53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（7）对基金剩余财产进行分配。</w:t>
      </w:r>
    </w:p>
    <w:p w:rsidR="009F340D" w:rsidRPr="00A936B7" w14:paraId="22ED1C7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5、基金财产清算的期限为6个月，但因本基金所持证券的流动性受到限制而不能及时变现的，清算期限相应顺延。</w:t>
      </w:r>
    </w:p>
    <w:p w:rsidR="009F340D" w:rsidRPr="00A936B7" w14:paraId="7D6921D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四、清算费用</w:t>
      </w:r>
    </w:p>
    <w:p w:rsidR="009F340D" w:rsidRPr="00A936B7" w14:paraId="454452E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清算费用是指基金财产清算小组在进行基金清算过程中发生的所有合理费用，清算费用由基金财产清算小组优先从基金财产中支付。</w:t>
      </w:r>
    </w:p>
    <w:p w:rsidR="009F340D" w:rsidRPr="00A936B7" w14:paraId="692D566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五、基金财产清算剩余资产的分配</w:t>
      </w:r>
    </w:p>
    <w:p w:rsidR="009F340D" w:rsidRPr="00A936B7" w14:paraId="0B59DD7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依据基金财产清算的分配方案，将基金财产清算后的全部剩余资产扣除基金财产清算费用、交纳所欠税款并清偿基金债务后，按基金份额持有人持有的基金份额比例进行分配。分配金额需加上返还基金份额持有人的销售服务费（如有）。</w:t>
      </w:r>
    </w:p>
    <w:p w:rsidR="009F340D" w:rsidRPr="00A936B7" w14:paraId="1191920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六、基金财产清算的公告</w:t>
      </w:r>
    </w:p>
    <w:p w:rsidR="009F340D" w:rsidRPr="00A936B7" w14:paraId="189B8C5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5个工作日内由基金财产清算小组进行公告。</w:t>
      </w:r>
    </w:p>
    <w:p w:rsidR="009F340D" w:rsidRPr="00A936B7" w14:paraId="22643DE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七、基金财产清算账册及文件的保存</w:t>
      </w:r>
    </w:p>
    <w:p w:rsidR="009F340D" w:rsidRPr="00A936B7" w14:paraId="7AA86FC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基金财产清算账册及有关文件由基金托管人保存20年以上。</w:t>
      </w:r>
    </w:p>
    <w:p w:rsidR="009F340D" w:rsidRPr="00A936B7" w14:paraId="2AD53ED3" w14:textId="77777777">
      <w:pPr>
        <w:pStyle w:val="Heading1"/>
        <w:spacing w:before="317" w:after="317" w:line="360" w:lineRule="auto"/>
        <w:ind w:firstLine="600"/>
        <w:rPr>
          <w:rFonts w:asciiTheme="minorEastAsia" w:eastAsiaTheme="minorEastAsia" w:hAnsiTheme="minorEastAsia" w:cs="宋体" w:hint="eastAsia"/>
          <w:sz w:val="30"/>
          <w:szCs w:val="30"/>
          <w:lang w:eastAsia="zh-CN"/>
        </w:rPr>
      </w:pPr>
      <w:r w:rsidRPr="00A936B7">
        <w:rPr>
          <w:rFonts w:asciiTheme="minorEastAsia" w:eastAsiaTheme="minorEastAsia" w:hAnsiTheme="minorEastAsia" w:cs="宋体" w:hint="eastAsia"/>
          <w:sz w:val="30"/>
          <w:highlight w:val="white"/>
          <w:lang w:eastAsia="zh-CN"/>
        </w:rPr>
        <w:br w:type="column"/>
      </w:r>
      <w:bookmarkStart w:id="1851" w:name="_Toc129511544"/>
      <w:r w:rsidRPr="00A936B7">
        <w:rPr>
          <w:rFonts w:asciiTheme="minorEastAsia" w:eastAsiaTheme="minorEastAsia" w:hAnsiTheme="minorEastAsia" w:cs="宋体" w:hint="eastAsia"/>
          <w:sz w:val="30"/>
          <w:szCs w:val="30"/>
          <w:highlight w:val="white"/>
          <w:lang w:eastAsia="zh-CN"/>
        </w:rPr>
        <w:t>第二</w:t>
      </w:r>
      <w:bookmarkStart w:id="1852" w:name="_Toc332373588"/>
      <w:r w:rsidRPr="00A936B7">
        <w:rPr>
          <w:rFonts w:asciiTheme="minorEastAsia" w:eastAsiaTheme="minorEastAsia" w:hAnsiTheme="minorEastAsia" w:cs="宋体" w:hint="eastAsia"/>
          <w:sz w:val="30"/>
          <w:szCs w:val="30"/>
          <w:highlight w:val="white"/>
          <w:lang w:eastAsia="zh-CN"/>
        </w:rPr>
        <w:t>十</w:t>
      </w:r>
      <w:r w:rsidRPr="00A936B7">
        <w:rPr>
          <w:rFonts w:asciiTheme="minorEastAsia" w:eastAsiaTheme="minorEastAsia" w:hAnsiTheme="minorEastAsia" w:cs="宋体"/>
          <w:sz w:val="30"/>
          <w:szCs w:val="30"/>
          <w:highlight w:val="white"/>
          <w:lang w:eastAsia="zh-CN"/>
        </w:rPr>
        <w:t>二</w:t>
      </w:r>
      <w:r w:rsidRPr="00A936B7">
        <w:rPr>
          <w:rFonts w:asciiTheme="minorEastAsia" w:eastAsiaTheme="minorEastAsia" w:hAnsiTheme="minorEastAsia" w:cs="宋体" w:hint="eastAsia"/>
          <w:sz w:val="30"/>
          <w:szCs w:val="30"/>
          <w:highlight w:val="white"/>
          <w:lang w:eastAsia="zh-CN"/>
        </w:rPr>
        <w:t>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基金合同的内容摘要</w:t>
      </w:r>
      <w:bookmarkEnd w:id="1851"/>
      <w:bookmarkEnd w:id="1852"/>
    </w:p>
    <w:p w:rsidR="009F340D" w:rsidRPr="00A936B7" w14:paraId="51D7DF2C" w14:textId="77777777">
      <w:pPr>
        <w:spacing w:line="360" w:lineRule="auto"/>
        <w:ind w:firstLine="420"/>
        <w:rPr>
          <w:rFonts w:asciiTheme="minorEastAsia" w:eastAsiaTheme="minorEastAsia" w:hAnsiTheme="minorEastAsia" w:cs="宋体" w:hint="eastAsia"/>
          <w:szCs w:val="21"/>
          <w:lang w:eastAsia="zh-CN"/>
        </w:rPr>
      </w:pPr>
      <w:bookmarkStart w:id="1853" w:name="_Toc516750717"/>
      <w:r w:rsidRPr="00A936B7">
        <w:rPr>
          <w:rFonts w:asciiTheme="minorEastAsia" w:eastAsiaTheme="minorEastAsia" w:hAnsiTheme="minorEastAsia" w:cs="宋体" w:hint="eastAsia"/>
          <w:szCs w:val="21"/>
          <w:highlight w:val="white"/>
          <w:lang w:eastAsia="zh-CN"/>
        </w:rPr>
        <w:t>第一节 基金份额持有人、基金管理人和基金托管人的权利、义务</w:t>
      </w:r>
      <w:bookmarkEnd w:id="1853"/>
    </w:p>
    <w:p w:rsidR="009F340D" w:rsidRPr="00A936B7" w14:paraId="61996F8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一、基金份额持有人的权利、义务</w:t>
      </w:r>
    </w:p>
    <w:p w:rsidR="009F340D" w:rsidRPr="00A936B7" w14:paraId="56577D8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1、根据《基金法》、《运作办法》及其他有关规定，基金份额持有人的权利包括但不限于：</w:t>
      </w:r>
    </w:p>
    <w:p w:rsidR="009F340D" w:rsidRPr="00A936B7" w14:paraId="7576AF4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（1）分享基金财产收益；</w:t>
      </w:r>
    </w:p>
    <w:p w:rsidR="009F340D" w:rsidRPr="00A936B7" w14:paraId="65301D5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（2）参与分配清算后的剩余基金财产；</w:t>
      </w:r>
    </w:p>
    <w:p w:rsidR="009F340D" w:rsidRPr="00A936B7" w14:paraId="01E1D8D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（3）依法转让或者申请赎回其持有的基金份额；</w:t>
      </w:r>
    </w:p>
    <w:p w:rsidR="009F340D" w:rsidRPr="00A936B7" w14:paraId="504861D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（4）按照规定要求召开基金份额持有人大会或者召集基金份额持有人大会；</w:t>
      </w:r>
    </w:p>
    <w:p w:rsidR="009F340D" w:rsidRPr="00A936B7" w14:paraId="03DEFFC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（5）出席或者委派代表出席本基金或目标ETF的基金份额持有人大会，对本基金或目标ETF的基金份额持有人大会审议事项行使表决权；</w:t>
      </w:r>
    </w:p>
    <w:p w:rsidR="009F340D" w:rsidRPr="00A936B7" w14:paraId="1D07516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（6）查阅或者复制公开披露的基金信息资料；</w:t>
      </w:r>
    </w:p>
    <w:p w:rsidR="009F340D" w:rsidRPr="00A936B7" w14:paraId="3CC9D92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（7）监督基金管理人的投资运作；</w:t>
      </w:r>
    </w:p>
    <w:p w:rsidR="009F340D" w:rsidRPr="00A936B7" w14:paraId="269C314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（8）对基金管理人、基金托管人、基金服务机构损害其合法权益的行为依法提起诉讼或仲裁；</w:t>
      </w:r>
    </w:p>
    <w:p w:rsidR="009F340D" w:rsidRPr="00A936B7" w14:paraId="511BBD5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（9）法律法规及中国证监会规定的和《基金合同》约定的其他权利。</w:t>
      </w:r>
    </w:p>
    <w:p w:rsidR="009F340D" w:rsidRPr="00A936B7" w14:paraId="303BD48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2、根据《基金法》、《运作办法》及其他有关规定，基金份额持有人的义务包括但不限于：</w:t>
      </w:r>
    </w:p>
    <w:p w:rsidR="009F340D" w:rsidRPr="00A936B7" w14:paraId="025506A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（1）认真阅读并遵守《基金合同》、招募说明书等信息披露文件；</w:t>
      </w:r>
    </w:p>
    <w:p w:rsidR="009F340D" w:rsidRPr="00A936B7" w14:paraId="12EDE73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（2）了解所投资基金产品，了解自身风险承受能力，自主判断基金的投资价值，自主做出投资决策，自行承担投资风险；</w:t>
      </w:r>
    </w:p>
    <w:p w:rsidR="009F340D" w:rsidRPr="00A936B7" w14:paraId="4BCB6CE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（3）关注基金信息披露，及时行使权利和履行义务；</w:t>
      </w:r>
    </w:p>
    <w:p w:rsidR="009F340D" w:rsidRPr="00A936B7" w14:paraId="561D3DB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（4）交纳基金认购、申购款项及法律法规和《基金合同》所规定的费用；</w:t>
      </w:r>
    </w:p>
    <w:p w:rsidR="009F340D" w:rsidRPr="00A936B7" w14:paraId="3AD696D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（5）在其持有的基金份额范围内，承担基金亏损或者《基金合同》终止的有限责任；</w:t>
      </w:r>
    </w:p>
    <w:p w:rsidR="009F340D" w:rsidRPr="00A936B7" w14:paraId="5565706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（6）不从事任何有损基金及其他《基金合同》当事人合法权益的活动；</w:t>
      </w:r>
    </w:p>
    <w:p w:rsidR="009F340D" w:rsidRPr="00A936B7" w14:paraId="2F95DF0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（7）执行生效的基金份额持有人大会的决议；</w:t>
      </w:r>
    </w:p>
    <w:p w:rsidR="009F340D" w:rsidRPr="00A936B7" w14:paraId="239A17E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（8）返还在基金交易过程中因任何原因获得的不当得利；</w:t>
      </w:r>
    </w:p>
    <w:p w:rsidR="009F340D" w:rsidRPr="00A936B7" w14:paraId="699435F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（9）法律法规及中国证监会规定的和《基金合同》约定的其他义务。</w:t>
      </w:r>
    </w:p>
    <w:p w:rsidR="009F340D" w:rsidRPr="00A936B7" w14:paraId="75E702E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二、基金管理人的权利与义务</w:t>
      </w:r>
    </w:p>
    <w:p w:rsidR="009F340D" w:rsidRPr="00A936B7" w14:paraId="3A67E86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1、根据《基金法》、《运作办法》及其他有关规定，基金管理人的权利包括但不限于：</w:t>
      </w:r>
    </w:p>
    <w:p w:rsidR="009F340D" w:rsidRPr="00A936B7" w14:paraId="3F4CB5E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（1）依法募集资金；</w:t>
      </w:r>
    </w:p>
    <w:p w:rsidR="009F340D" w:rsidRPr="00A936B7" w14:paraId="7CEC298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（2）自《基金合同》生效之日起，根据法律法规和《基金合同》独立运用并管理基金财产；</w:t>
      </w:r>
    </w:p>
    <w:p w:rsidR="009F340D" w:rsidRPr="00A936B7" w14:paraId="0B00FCA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（3）依照《基金合同》收取基金管理费以及法律法规规定或中国证监会批准的其他费用；</w:t>
      </w:r>
    </w:p>
    <w:p w:rsidR="009F340D" w:rsidRPr="00A936B7" w14:paraId="3FE859F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（4）销售基金份额；</w:t>
      </w:r>
    </w:p>
    <w:p w:rsidR="009F340D" w:rsidRPr="00A936B7" w14:paraId="4FD062B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（5）按照规定召集基金份额持有人大会；</w:t>
      </w:r>
    </w:p>
    <w:p w:rsidR="009F340D" w:rsidRPr="00A936B7" w14:paraId="0869298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（6）依据《基金合同》及有关法律规定监督基金托管人，如认为基金托管人违反了《基金合同》及国家有关法律规定，应呈报中国证监会和其他监管部门，并采取必要措施保护基金投资者的利益；</w:t>
      </w:r>
    </w:p>
    <w:p w:rsidR="009F340D" w:rsidRPr="00A936B7" w14:paraId="456C033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（7）在基金托管人更换时，提名新的基金托管人；</w:t>
      </w:r>
    </w:p>
    <w:p w:rsidR="009F340D" w:rsidRPr="00A936B7" w14:paraId="5BC3BAD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（8）选择、更换基金销售机构，对基金销售机构的相关行为进行监督和处理；</w:t>
      </w:r>
    </w:p>
    <w:p w:rsidR="009F340D" w:rsidRPr="00A936B7" w14:paraId="7EE3482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（9）担任或委托其他符合条件的机构担任基金登记机构办理基金登记业务并获得《基金合同》规定的费用；</w:t>
      </w:r>
    </w:p>
    <w:p w:rsidR="009F340D" w:rsidRPr="00A936B7" w14:paraId="70540B0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（10）依据《基金合同》及有关法律规定决定基金收益的分配方案；</w:t>
      </w:r>
    </w:p>
    <w:p w:rsidR="009F340D" w:rsidRPr="00A936B7" w14:paraId="63373BE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（11）在《基金合同》约定的范围内，拒绝或暂停受理申购、赎回及转换申请；</w:t>
      </w:r>
    </w:p>
    <w:p w:rsidR="009F340D" w:rsidRPr="00A936B7" w14:paraId="590196E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（12）依照法律法规为基金的利益对被投资公司行使股东权利，为基金的利益行使因基金财产投资于证券所产生的权利；</w:t>
      </w:r>
    </w:p>
    <w:p w:rsidR="009F340D" w:rsidRPr="00A936B7" w14:paraId="2D063C0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（13）在法律法规允许的前提下，为基金的利益依法为基金进行融资、融券及转融通证券出借业务；</w:t>
      </w:r>
    </w:p>
    <w:p w:rsidR="009F340D" w:rsidRPr="00A936B7" w14:paraId="633905B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（14）以基金管理人的名义，代表基金份额持有人的利益行使诉讼权利或者实施其他法律行为；</w:t>
      </w:r>
    </w:p>
    <w:p w:rsidR="009F340D" w:rsidRPr="00A936B7" w14:paraId="1D9E553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（15）选择、更换律师事务所、会计师事务所、证券经纪商或其他为基金提供服务的外部机构；</w:t>
      </w:r>
    </w:p>
    <w:p w:rsidR="009F340D" w:rsidRPr="00A936B7" w14:paraId="5E38F1B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（16）在符合有关法律、法规的前提下，制订和调整有关基金认购、申购、赎回、转换、非交易过户、转托管和收益分配等的业务规则；</w:t>
      </w:r>
    </w:p>
    <w:p w:rsidR="009F340D" w:rsidRPr="00A936B7" w14:paraId="499E745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（17）在不违反法律法规和监管规定且对基金份额持有人利益无实质不利影响的前提下，为支付本基金应付的赎回、交易清算等款项，基金管理人有权代表基金份额持有人以基金资产作为质押进行融资；</w:t>
      </w:r>
    </w:p>
    <w:p w:rsidR="009F340D" w:rsidRPr="00A936B7" w14:paraId="5EE20C8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（18）委托第三方机构办理本基金的交易、清算、估值、结算等业务；</w:t>
      </w:r>
    </w:p>
    <w:p w:rsidR="009F340D" w:rsidRPr="00A936B7" w14:paraId="2107E94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（19）法律法规及中国证监会规定的和《基金合同》约定的其他权利。</w:t>
      </w:r>
    </w:p>
    <w:p w:rsidR="009F340D" w:rsidRPr="00A936B7" w14:paraId="478DAFF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2、根据《基金法》、《运作办法》及其他有关规定，基金管理人的义务包括但不限于：</w:t>
      </w:r>
    </w:p>
    <w:p w:rsidR="009F340D" w:rsidRPr="00A936B7" w14:paraId="21A3BE9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（1）依法募集资金，办理或者委托经中国证监会认定的其他机构办理基金份额的发售、申购、赎回和登记事宜；</w:t>
      </w:r>
    </w:p>
    <w:p w:rsidR="009F340D" w:rsidRPr="00A936B7" w14:paraId="21D475D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（2）办理基金备案手续；</w:t>
      </w:r>
    </w:p>
    <w:p w:rsidR="009F340D" w:rsidRPr="00A936B7" w14:paraId="6EBA572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（3）自《基金合同》生效之日起，以诚实信用、谨慎勤勉的原则管理和运用基金财产；</w:t>
      </w:r>
    </w:p>
    <w:p w:rsidR="009F340D" w:rsidRPr="00A936B7" w14:paraId="7DAF6CE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（4）配备足够的具有专业资格的人员进行基金投资分析、决策，以专业化的经营方式管理和运作基金财产；</w:t>
      </w:r>
    </w:p>
    <w:p w:rsidR="009F340D" w:rsidRPr="00A936B7" w14:paraId="4DF0E69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（5）建立健全内部风险控制、监察与稽核、财务管理及人事管理等制度，保证所管理的基金财产和基金管理人的财产相互独立，对所管理的不同基金分别管理，分别记账，进行证券投资；</w:t>
      </w:r>
    </w:p>
    <w:p w:rsidR="009F340D" w:rsidRPr="00A936B7" w14:paraId="2DCB8D5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（6）除依据《基金法》、《基金合同》及其他有关规定外，不得利用基金财产为自己及任何第三人谋取利益，不得委托第三人运作基金财产；</w:t>
      </w:r>
    </w:p>
    <w:p w:rsidR="009F340D" w:rsidRPr="00A936B7" w14:paraId="74F9416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（7）依法接受基金托管人的监督；</w:t>
      </w:r>
    </w:p>
    <w:p w:rsidR="009F340D" w:rsidRPr="00A936B7" w14:paraId="194FED1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（8）采取适当合理的措施使计算基金份额认购、申购、赎回和注销价格的方法符合《基金合同》等法律文件的规定，按有关规定计算并公告基金净值信息，确定基金份额申购、赎回的价格；</w:t>
      </w:r>
    </w:p>
    <w:p w:rsidR="009F340D" w:rsidRPr="00A936B7" w14:paraId="2A47FE0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（9）进行基金会计核算并编制基金财务会计报告；</w:t>
      </w:r>
    </w:p>
    <w:p w:rsidR="009F340D" w:rsidRPr="00A936B7" w14:paraId="26E9F90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（10）编制季度报告、中期报告和年度报告；</w:t>
      </w:r>
    </w:p>
    <w:p w:rsidR="009F340D" w:rsidRPr="00A936B7" w14:paraId="7902BC1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（11）严格按照《基金法》、《基金合同》及其他有关规定，履行信息披露及报告义务；</w:t>
      </w:r>
    </w:p>
    <w:p w:rsidR="009F340D" w:rsidRPr="00A936B7" w14:paraId="78F6633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12）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而向其提供的情况除外；</w:t>
      </w:r>
    </w:p>
    <w:p w:rsidR="009F340D" w:rsidRPr="00A936B7" w14:paraId="1F49434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（13）按《基金合同》的约定确定基金收益分配方案，及时向基金份额持有人分配基金收益；</w:t>
      </w:r>
    </w:p>
    <w:p w:rsidR="009F340D" w:rsidRPr="00A936B7" w14:paraId="58A6858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（14）按规定受理申购与赎回申请，及时、足额支付赎回款项；</w:t>
      </w:r>
    </w:p>
    <w:p w:rsidR="009F340D" w:rsidRPr="00A936B7" w14:paraId="075CA51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（15）依据《基金法》、《基金合同》及其他有关规定召集基金份额持有人大会或配合基金托管人、基金份额持有人依法召集基金份额持有人大会；</w:t>
      </w:r>
    </w:p>
    <w:p w:rsidR="009F340D" w:rsidRPr="00A936B7" w14:paraId="08364D8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（16）按规定保存基金财产管理业务活动的会计账册、报表、记录和其他相关资料20年以上；</w:t>
      </w:r>
    </w:p>
    <w:p w:rsidR="009F340D" w:rsidRPr="00A936B7" w14:paraId="26491CA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9F340D" w:rsidRPr="00A936B7" w14:paraId="5DDCAF4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（18）组织并参加基金财产清算小组，参与基金财产的保管、清理、估价、变现和分配；</w:t>
      </w:r>
    </w:p>
    <w:p w:rsidR="009F340D" w:rsidRPr="00A936B7" w14:paraId="763DC9C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（19）面临解散、依法被撤销或者被依法宣告破产时，及时报告中国证监会并通知基金托管人；</w:t>
      </w:r>
    </w:p>
    <w:p w:rsidR="009F340D" w:rsidRPr="00A936B7" w14:paraId="3B72C8F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（20）因违反《基金合同》导致基金财产的损失或损害基金份额持有人合法权益时，应当承担赔偿责任，其赔偿责任不因其退任而免除；</w:t>
      </w:r>
    </w:p>
    <w:p w:rsidR="009F340D" w:rsidRPr="00A936B7" w14:paraId="3D944DF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（21）监督基金托管人按法律法规和《基金合同》规定履行自己的义务，基金托管人违反《基金合同》造成基金财产损失时，基金管理人应为基金份额持有人利益向基金托管人追偿；</w:t>
      </w:r>
    </w:p>
    <w:p w:rsidR="009F340D" w:rsidRPr="00A936B7" w14:paraId="7D8023A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（22）当基金管理人将其义务委托第三方处理时，应当对第三方处理有关基金事务的行为承担责任；</w:t>
      </w:r>
    </w:p>
    <w:p w:rsidR="009F340D" w:rsidRPr="00A936B7" w14:paraId="37E54BA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（23）以基金管理人名义，代表基金份额持有人利益行使诉讼权利或实施其他法律行为；</w:t>
      </w:r>
    </w:p>
    <w:p w:rsidR="009F340D" w:rsidRPr="00A936B7" w14:paraId="7293711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（24）基金管理人在募集期间未能达到基金的备案条件，《基金合同》不能生效，基金管理人承担全部募集费用，将已募集资金并加计银行同期活期存款利息在基金募集期结束后30日内退还基金认购人；</w:t>
      </w:r>
    </w:p>
    <w:p w:rsidR="009F340D" w:rsidRPr="00A936B7" w14:paraId="1D65BCF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（25）执行生效的基金份额持有人大会的决议；</w:t>
      </w:r>
    </w:p>
    <w:p w:rsidR="009F340D" w:rsidRPr="00A936B7" w14:paraId="630F52A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（26）建立并保存基金份额持有人名册；</w:t>
      </w:r>
    </w:p>
    <w:p w:rsidR="009F340D" w:rsidRPr="00A936B7" w14:paraId="5DE1D0D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（27）法律法规及中国证监会规定的和《基金合同》约定的其他义务。</w:t>
      </w:r>
    </w:p>
    <w:p w:rsidR="009F340D" w:rsidRPr="00A936B7" w14:paraId="3B15A69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三、基金托管人的权利与义务</w:t>
      </w:r>
    </w:p>
    <w:p w:rsidR="009F340D" w:rsidRPr="00A936B7" w14:paraId="48A4CA9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1、根据《基金法》、《运作办法》及其他有关规定，基金托管人的权利包括但不限于：</w:t>
      </w:r>
    </w:p>
    <w:p w:rsidR="009F340D" w:rsidRPr="00A936B7" w14:paraId="74FC031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（1）自《基金合同》生效之日起，依法律法规和《基金合同》的规定安全保管基金财产；</w:t>
      </w:r>
    </w:p>
    <w:p w:rsidR="009F340D" w:rsidRPr="00A936B7" w14:paraId="030FE1E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（2）依《基金合同》约定获得基金托管费以及法律法规规定或监管部门批准的其他费用；</w:t>
      </w:r>
    </w:p>
    <w:p w:rsidR="009F340D" w:rsidRPr="00A936B7" w14:paraId="135A0C4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9F340D" w:rsidRPr="00A936B7" w14:paraId="00968DF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（4）根据相关市场规则，为基金开设资金账户、证券账户等投资所需账户、为基金办理证券交易资金清算，《基金合同》或《托管协议》另有约定的除外；</w:t>
      </w:r>
    </w:p>
    <w:p w:rsidR="009F340D" w:rsidRPr="00A936B7" w14:paraId="2AD1ED3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（5）提议召开或召集基金份额持有人大会；</w:t>
      </w:r>
    </w:p>
    <w:p w:rsidR="009F340D" w:rsidRPr="00A936B7" w14:paraId="52871E3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（6）在基金管理人更换时，提名新的基金管理人；</w:t>
      </w:r>
    </w:p>
    <w:p w:rsidR="009F340D" w:rsidRPr="00A936B7" w14:paraId="249E2BC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（7）法律法规及中国证监会规定的和《基金合同》约定的其他权利。</w:t>
      </w:r>
    </w:p>
    <w:p w:rsidR="009F340D" w:rsidRPr="00A936B7" w14:paraId="63018D7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2、根据《基金法》、《运作办法》及其他有关规定，基金托管人的义务包括但不限于：</w:t>
      </w:r>
    </w:p>
    <w:p w:rsidR="009F340D" w:rsidRPr="00A936B7" w14:paraId="4D9DD05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（1）以诚实信用、勤勉尽责的原则持有并安全保管基金财产；</w:t>
      </w:r>
    </w:p>
    <w:p w:rsidR="009F340D" w:rsidRPr="00A936B7" w14:paraId="3A4EBB4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（2）设立专门的基金托管部门，具有符合要求的营业场所，配备足够的、合格的熟悉基金托管业务的专职人员，负责基金财产托管事宜；</w:t>
      </w:r>
    </w:p>
    <w:p w:rsidR="009F340D" w:rsidRPr="00A936B7" w14:paraId="7974520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9F340D" w:rsidRPr="00A936B7" w14:paraId="7E7D088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（4）除依据《基金法》、《基金合同》及其他有关规定外，不得利用基金财产为自己及任何第三人谋取利益，不得委托第三人托管基金财产；</w:t>
      </w:r>
    </w:p>
    <w:p w:rsidR="009F340D" w:rsidRPr="00A936B7" w14:paraId="1DBCFF4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（5）保管由基金管理人代表基金签订的与基金有关的重大合同及有关凭证；</w:t>
      </w:r>
    </w:p>
    <w:p w:rsidR="009F340D" w:rsidRPr="00A936B7" w14:paraId="769A37B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（6）按规定开设基金财产的资金账户和证券账户等投资所需账户，按照《基金合同》、《托管协议》的约定，根据基金管理人的投资指令，及时办理清算、交割事宜；</w:t>
      </w:r>
    </w:p>
    <w:p w:rsidR="009F340D" w:rsidRPr="00A936B7" w14:paraId="155810B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7）保守基金商业秘密，除《基金法》、《基金合同》及其他有关规定另有规定外，在基金信息公开披露前予以保密，不得向他人泄露，但应监管机构、司法机关等有权机关的要求，或因审计、法律等外部专业顾问提供服务需要而向其提供的情况除外；</w:t>
      </w:r>
    </w:p>
    <w:p w:rsidR="009F340D" w:rsidRPr="00A936B7" w14:paraId="6E852C8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（8）复核、审查基金管理人计算的基金资产净值、基金份额净值、基金份额申购、赎回价格；</w:t>
      </w:r>
    </w:p>
    <w:p w:rsidR="009F340D" w:rsidRPr="00A936B7" w14:paraId="060AACF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（9）办理与基金托管业务活动有关的信息披露事项；</w:t>
      </w:r>
    </w:p>
    <w:p w:rsidR="009F340D" w:rsidRPr="00A936B7" w14:paraId="629A128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rsidR="009F340D" w:rsidRPr="00A936B7" w14:paraId="4BC6025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（11）保存基金托管业务活动的记录、账册、报表和其他相关资料20年以上；</w:t>
      </w:r>
    </w:p>
    <w:p w:rsidR="009F340D" w:rsidRPr="00A936B7" w14:paraId="06538A2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（12）建立并保存基金份额持有人名册；</w:t>
      </w:r>
    </w:p>
    <w:p w:rsidR="009F340D" w:rsidRPr="00A936B7" w14:paraId="4DE80B3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（13）按规定制作相关账册并与基金管理人核对；</w:t>
      </w:r>
    </w:p>
    <w:p w:rsidR="009F340D" w:rsidRPr="00A936B7" w14:paraId="5A03A31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（14）依据基金管理人的指令或有关规定向基金份额持有人支付基金收益和赎回款项；</w:t>
      </w:r>
    </w:p>
    <w:p w:rsidR="009F340D" w:rsidRPr="00A936B7" w14:paraId="589455D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（15）依据《基金法》、《基金合同》及其他有关规定，召集基金份额持有人大会或配合基金管理人、基金份额持有人依法召集基金份额持有人大会；</w:t>
      </w:r>
    </w:p>
    <w:p w:rsidR="009F340D" w:rsidRPr="00A936B7" w14:paraId="4DAED51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（16）按照法律法规和《基金合同》的规定监督基金管理人的投资运作；</w:t>
      </w:r>
    </w:p>
    <w:p w:rsidR="009F340D" w:rsidRPr="00A936B7" w14:paraId="4731394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（17）参加基金财产清算小组，参与基金财产的保管、清理、估价、变现和分配；</w:t>
      </w:r>
    </w:p>
    <w:p w:rsidR="009F340D" w:rsidRPr="00A936B7" w14:paraId="466F50E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（18）面临解散、依法被撤销或者被依法宣告破产时，及时报告中国证监会和银行监管机构，并通知基金管理人；</w:t>
      </w:r>
    </w:p>
    <w:p w:rsidR="009F340D" w:rsidRPr="00A936B7" w14:paraId="377F8E4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（19）因违反《基金合同》导致基金财产损失时，应承担赔偿责任，其赔偿责任不因其退任而免除；</w:t>
      </w:r>
    </w:p>
    <w:p w:rsidR="009F340D" w:rsidRPr="00A936B7" w14:paraId="338203E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（20）按规定监督基金管理人按法律法规和《基金合同》规定履行自己的义务，基金管理人因违反《基金合同》造成基金财产损失时，应为基金份额持有人利益向基金管理人追偿；</w:t>
      </w:r>
    </w:p>
    <w:p w:rsidR="009F340D" w:rsidRPr="00A936B7" w14:paraId="1DDC5AA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（21）执行生效的基金份额持有人大会的决议；</w:t>
      </w:r>
    </w:p>
    <w:p w:rsidR="009F340D" w:rsidRPr="00A936B7" w14:paraId="298FB40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（22）法律法规及中国证监会规定的和《基金合同》约定的其他义务。</w:t>
      </w:r>
    </w:p>
    <w:p w:rsidR="009F340D" w:rsidRPr="00A936B7" w14:paraId="08FA6330" w14:textId="77777777">
      <w:pPr>
        <w:spacing w:line="360" w:lineRule="auto"/>
        <w:ind w:firstLine="420"/>
        <w:rPr>
          <w:rFonts w:asciiTheme="minorEastAsia" w:eastAsiaTheme="minorEastAsia" w:hAnsiTheme="minorEastAsia" w:cs="宋体" w:hint="eastAsia"/>
          <w:szCs w:val="21"/>
          <w:lang w:eastAsia="zh-CN"/>
        </w:rPr>
      </w:pPr>
    </w:p>
    <w:p w:rsidR="009F340D" w:rsidRPr="00A936B7" w14:paraId="08BBD87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第</w:t>
      </w:r>
      <w:bookmarkStart w:id="1854" w:name="_Toc516750718"/>
      <w:r w:rsidRPr="00A936B7">
        <w:rPr>
          <w:rFonts w:asciiTheme="minorEastAsia" w:eastAsiaTheme="minorEastAsia" w:hAnsiTheme="minorEastAsia" w:cs="宋体" w:hint="eastAsia"/>
          <w:szCs w:val="21"/>
          <w:highlight w:val="white"/>
          <w:lang w:eastAsia="zh-CN"/>
        </w:rPr>
        <w:t>二节 基金份额持有人大会召集、议事及表决的程序和规则</w:t>
      </w:r>
      <w:bookmarkEnd w:id="1854"/>
    </w:p>
    <w:p w:rsidR="009F340D" w:rsidRPr="00A936B7" w14:paraId="296C37A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基金份额持有人大会由基金份额持有人组成，基金份额持有人的合法授权代表有权代表基金份额持有人出席会议并表决。基金份额持有人持有的每一基金份额拥有平等的投票权。</w:t>
      </w:r>
    </w:p>
    <w:p w:rsidR="009F340D" w:rsidRPr="00A936B7" w14:paraId="379EF2A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鉴于本基金是目标ETF的联接基金，本基金的基金份额持有人可以凭所持有的本基金份额直接参加或者委派代表参加目标ETF基金份额持有人大会并表决。在计算参会份额和票数时，本基金的基金份额持有人持有的享有表决权的参会份额数和表决票数为：在目标ETF基金份额持有人大会的权益登记日，本基金持有目标ETF基金份额的总数乘以该持有人所持有的本基金份额占本基金总份额的比例，计算结果按照四舍五入的方法，保留到整数位。本基金份额折算为目标ETF后的每一参会份额和目标ETF的每一参会份额拥有平等的投票权。</w:t>
      </w:r>
    </w:p>
    <w:p w:rsidR="009F340D" w:rsidRPr="00A936B7" w14:paraId="67CEEDD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本基金的基金管理人不应以本基金的名义代表本基金的全体基金份额持有人以目标ETF的基金份额持有人的身份行使表决权，但可接受本基金的特定基金份额持有人的委托以本基金的基金份额持有人代理人的身份出席目标ETF的基金份额持有人大会并参与表决。</w:t>
      </w:r>
    </w:p>
    <w:p w:rsidR="009F340D" w:rsidRPr="00A936B7" w14:paraId="08874BC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本基金的基金管理人代表本基金的基金份额持有人提议召开或召集目标ETF基金份额持有人大会的，须先遵照本基金《基金合同》的约定召开本基金的基金份额持有人大会，本基金的基金份额持有人大会决定提议召开或召集目标ETF基金份额持有人大会的，由本基金基金管理人代表本基金的基金份额持有人提议召开或召集目标ETF基金份额持有人大会。</w:t>
      </w:r>
    </w:p>
    <w:p w:rsidR="009F340D" w:rsidRPr="00A936B7" w14:paraId="49725EF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本基金份额持有人大会不设日常机构。</w:t>
      </w:r>
    </w:p>
    <w:p w:rsidR="009F340D" w:rsidRPr="00A936B7" w14:paraId="43B11AF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一、召开事由</w:t>
      </w:r>
    </w:p>
    <w:p w:rsidR="009F340D" w:rsidRPr="00A936B7" w14:paraId="7C655B2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1、除法律法规、中国证监会和基金合同另有规定外，当出现或需要决定下列事由之一的，应当召开基金份额持有人大会：</w:t>
      </w:r>
    </w:p>
    <w:p w:rsidR="009F340D" w:rsidRPr="00A936B7" w14:paraId="576637E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（1）终止《基金合同》；</w:t>
      </w:r>
    </w:p>
    <w:p w:rsidR="009F340D" w:rsidRPr="00A936B7" w14:paraId="077AE82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（2）更换基金管理人；</w:t>
      </w:r>
    </w:p>
    <w:p w:rsidR="009F340D" w:rsidRPr="00A936B7" w14:paraId="11287D6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（3）更换基金托管人；</w:t>
      </w:r>
    </w:p>
    <w:p w:rsidR="009F340D" w:rsidRPr="00A936B7" w14:paraId="595FA77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（4）转换基金运作方式；</w:t>
      </w:r>
    </w:p>
    <w:p w:rsidR="009F340D" w:rsidRPr="00A936B7" w14:paraId="45A8724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（5）调整基金管理人、基金托管人的报酬标准；</w:t>
      </w:r>
    </w:p>
    <w:p w:rsidR="009F340D" w:rsidRPr="00A936B7" w14:paraId="6A34AC7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（6）变更基金类别；</w:t>
      </w:r>
    </w:p>
    <w:p w:rsidR="009F340D" w:rsidRPr="00A936B7" w14:paraId="01C829B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（7）本基金与其他基金的合并；</w:t>
      </w:r>
    </w:p>
    <w:p w:rsidR="009F340D" w:rsidRPr="00A936B7" w14:paraId="76F43F7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（8）变更基金投资目标、范围或策略；</w:t>
      </w:r>
    </w:p>
    <w:p w:rsidR="009F340D" w:rsidRPr="00A936B7" w14:paraId="1332D19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（9）基金管理人代表本基金的基金份额持有人提议召开或召集目标ETF基金份额持有人大会；</w:t>
      </w:r>
    </w:p>
    <w:p w:rsidR="009F340D" w:rsidRPr="00A936B7" w14:paraId="1F9F118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（10）变更基金份额持有人大会程序；</w:t>
      </w:r>
    </w:p>
    <w:p w:rsidR="009F340D" w:rsidRPr="00A936B7" w14:paraId="34703E1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（11）基金管理人或基金托管人要求召开基金份额持有人大会；</w:t>
      </w:r>
    </w:p>
    <w:p w:rsidR="009F340D" w:rsidRPr="00A936B7" w14:paraId="5109B35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（12）单独或合计持有本基金总份额10%以上（含10%）基金份额的基金份额持有人（以基金管理人收到提议当日的基金份额计算，下同）就同一事项书面要求召开基金份额持有人大会；</w:t>
      </w:r>
    </w:p>
    <w:p w:rsidR="009F340D" w:rsidRPr="00A936B7" w14:paraId="7C3308E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（13）对基金合同当事人权利和义务产生重大影响的其他事项；</w:t>
      </w:r>
    </w:p>
    <w:p w:rsidR="009F340D" w:rsidRPr="00A936B7" w14:paraId="4CE91AA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（14）法律法规、《基金合同》或中国证监会规定的其他应当召开基金份额持有人大会的事项。</w:t>
      </w:r>
    </w:p>
    <w:p w:rsidR="009F340D" w:rsidRPr="00A936B7" w14:paraId="25B11E7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2、在法律法规规定和《基金合同》约定的范围内且对基金份额持有人利益无实质性不利影响的前提下，以下情况可由基金管理人和基金托管人协商后修改，不需召开基金份额持有人大会：</w:t>
      </w:r>
    </w:p>
    <w:p w:rsidR="009F340D" w:rsidRPr="00A936B7" w14:paraId="16EA76E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（1）调低销售服务费率；</w:t>
      </w:r>
    </w:p>
    <w:p w:rsidR="009F340D" w:rsidRPr="00A936B7" w14:paraId="3BDF395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（2）法律法规要求增加的基金费用的收取；</w:t>
      </w:r>
    </w:p>
    <w:p w:rsidR="009F340D" w:rsidRPr="00A936B7" w14:paraId="7DA7301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（3）在法律法规和《基金合同》规定的范围内，调整本基金的申购费率、收费方式或基金份额类别设置；</w:t>
      </w:r>
    </w:p>
    <w:p w:rsidR="009F340D" w:rsidRPr="00A936B7" w14:paraId="11EBF33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（4）因相应的法律法规发生变动而应当对《基金合同》进行修改；</w:t>
      </w:r>
    </w:p>
    <w:p w:rsidR="009F340D" w:rsidRPr="00A936B7" w14:paraId="23DF36C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（5）对《基金合同》的修改对基金份额持有人利益无实质性不利影响或修改不涉及《基金合同》当事人权利义务关系发生重大变化；</w:t>
      </w:r>
    </w:p>
    <w:p w:rsidR="009F340D" w:rsidRPr="00A936B7" w14:paraId="4544BB3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（6）基金管理人、销售机构、登记机构在法律法规规定的范围内调整有关基金认购、申购、赎回、转换、基金交易、非交易过户、转托管、转让、质押等业务的规则；</w:t>
      </w:r>
    </w:p>
    <w:p w:rsidR="009F340D" w:rsidRPr="00A936B7" w14:paraId="63CE0E1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w:t>
      </w:r>
      <w:r w:rsidR="00C0335A">
        <w:rPr>
          <w:rFonts w:asciiTheme="minorEastAsia" w:eastAsiaTheme="minorEastAsia" w:hAnsiTheme="minorEastAsia" w:cs="宋体"/>
          <w:szCs w:val="21"/>
          <w:highlight w:val="white"/>
          <w:lang w:eastAsia="zh-CN"/>
        </w:rPr>
        <w:t>7</w:t>
      </w:r>
      <w:r w:rsidRPr="00A936B7">
        <w:rPr>
          <w:rFonts w:asciiTheme="minorEastAsia" w:eastAsiaTheme="minorEastAsia" w:hAnsiTheme="minorEastAsia" w:cs="宋体" w:hint="eastAsia"/>
          <w:szCs w:val="21"/>
          <w:highlight w:val="white"/>
          <w:lang w:eastAsia="zh-CN"/>
        </w:rPr>
        <w:t>）在法律法规或中国证监会允许的范围内推出新业务或服务；</w:t>
      </w:r>
    </w:p>
    <w:p w:rsidR="009F340D" w:rsidRPr="00A936B7" w14:paraId="33DAED8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w:t>
      </w:r>
      <w:r w:rsidR="00C0335A">
        <w:rPr>
          <w:rFonts w:asciiTheme="minorEastAsia" w:eastAsiaTheme="minorEastAsia" w:hAnsiTheme="minorEastAsia" w:cs="宋体"/>
          <w:szCs w:val="21"/>
          <w:highlight w:val="white"/>
          <w:lang w:eastAsia="zh-CN"/>
        </w:rPr>
        <w:t>8</w:t>
      </w:r>
      <w:r w:rsidRPr="00A936B7">
        <w:rPr>
          <w:rFonts w:asciiTheme="minorEastAsia" w:eastAsiaTheme="minorEastAsia" w:hAnsiTheme="minorEastAsia" w:cs="宋体" w:hint="eastAsia"/>
          <w:szCs w:val="21"/>
          <w:highlight w:val="white"/>
          <w:lang w:eastAsia="zh-CN"/>
        </w:rPr>
        <w:t>）按照法律法规和《基金合同》规定不需召开基金份额持有人大会的其他情形。</w:t>
      </w:r>
    </w:p>
    <w:p w:rsidR="009F340D" w:rsidRPr="00A936B7" w14:paraId="70D6FBD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二、会议召集人及召集方式</w:t>
      </w:r>
    </w:p>
    <w:p w:rsidR="009F340D" w:rsidRPr="00A936B7" w14:paraId="0287DF2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1、除法律法规规定或《基金合同》另有约定外，基金份额持有人大会由基金管理人召集。</w:t>
      </w:r>
    </w:p>
    <w:p w:rsidR="009F340D" w:rsidRPr="00A936B7" w14:paraId="31891E8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2、基金管理人未按规定召集或不能召开时，由基金托管人召集。</w:t>
      </w:r>
    </w:p>
    <w:p w:rsidR="009F340D" w:rsidRPr="00A936B7" w14:paraId="7464294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rsidR="009F340D" w:rsidRPr="00A936B7" w14:paraId="4191A28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rsidR="009F340D" w:rsidRPr="00A936B7" w14:paraId="0B13EA6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rsidR="009F340D" w:rsidRPr="00A936B7" w14:paraId="1615675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6、基金份额持有人会议的召集人负责选择确定开会时间、地点、方式和权益登记日。</w:t>
      </w:r>
    </w:p>
    <w:p w:rsidR="009F340D" w:rsidRPr="00A936B7" w14:paraId="4E292A6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三、召开基金份额持有人大会的通知时间、通知内容、通知方式</w:t>
      </w:r>
    </w:p>
    <w:p w:rsidR="009F340D" w:rsidRPr="00A936B7" w14:paraId="1C4B753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1、召开基金份额持有人大会，召集人应于会议召开前30日，在规定媒介公告。基金份额持有人大会通知应至少载明以下内容：</w:t>
      </w:r>
    </w:p>
    <w:p w:rsidR="009F340D" w:rsidRPr="00A936B7" w14:paraId="15DBF494"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（1）会议召开的时间、地点和会议形式；</w:t>
      </w:r>
    </w:p>
    <w:p w:rsidR="009F340D" w:rsidRPr="00A936B7" w14:paraId="32429D7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（2）会议拟审议的事项、议事程序和表决方式；</w:t>
      </w:r>
    </w:p>
    <w:p w:rsidR="009F340D" w:rsidRPr="00A936B7" w14:paraId="409EE36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（3）有权出席基金份额持有人大会的基金份额持有人的权益登记日；</w:t>
      </w:r>
    </w:p>
    <w:p w:rsidR="009F340D" w:rsidRPr="00A936B7" w14:paraId="2A878B3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（4）授权委托证明的内容要求（包括但不限于代理人身份，代理权限和代理有效期限等）、送达时间和地点；</w:t>
      </w:r>
    </w:p>
    <w:p w:rsidR="009F340D" w:rsidRPr="00A936B7" w14:paraId="2CF5774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（5）会务常设联系人姓名及联系电话；</w:t>
      </w:r>
    </w:p>
    <w:p w:rsidR="009F340D" w:rsidRPr="00A936B7" w14:paraId="5FEEC48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（6）出席会议者必须准备的文件和必须履行的手续；</w:t>
      </w:r>
    </w:p>
    <w:p w:rsidR="009F340D" w:rsidRPr="00A936B7" w14:paraId="65F5422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（7）召集人需要通知的其他事项。</w:t>
      </w:r>
    </w:p>
    <w:p w:rsidR="009F340D" w:rsidRPr="00A936B7" w14:paraId="0CF8DD3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9F340D" w:rsidRPr="00A936B7" w14:paraId="424A6BA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rsidR="009F340D" w:rsidRPr="00A936B7" w14:paraId="3C10D11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四、基金份额持有人出席会议的方式</w:t>
      </w:r>
    </w:p>
    <w:p w:rsidR="009F340D" w:rsidRPr="00A936B7" w14:paraId="6C33318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基金份额持有人大会可通过现场开会方式、通讯开会方式或法律法规、监管机构允许的其他方式召开，会议的召开方式由会议召集人确定。</w:t>
      </w:r>
    </w:p>
    <w:p w:rsidR="009F340D" w:rsidRPr="00A936B7" w14:paraId="02FF184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9F340D" w:rsidRPr="00A936B7" w14:paraId="0F5228C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（1）亲自出席会议者持有的有关证明文件、受托出席会议者出示的委托人的代理投票授权委托证明及有关证明文件符合法律法规、《基金合同》和会议通知的规定；</w:t>
      </w:r>
    </w:p>
    <w:p w:rsidR="009F340D" w:rsidRPr="00A936B7" w14:paraId="5DF3A98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经核对，到会者在权益登记日代表的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rsidR="009F340D" w:rsidRPr="00A936B7" w14:paraId="67BC3A5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rsidR="009F340D" w:rsidRPr="00A936B7" w14:paraId="3B18388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在同时符合以下条件时，通讯开会的方式视为有效：</w:t>
      </w:r>
    </w:p>
    <w:p w:rsidR="009F340D" w:rsidRPr="00A936B7" w14:paraId="2B3DBA6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（1）会议召集人按《基金合同》约定公布会议通知后，在2个工作日内连续公布相关提示性公告；</w:t>
      </w:r>
    </w:p>
    <w:p w:rsidR="009F340D" w:rsidRPr="00A936B7" w14:paraId="7A2605E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9F340D" w:rsidRPr="00A936B7" w14:paraId="1FBE012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rsidR="009F340D" w:rsidRPr="00A936B7" w14:paraId="573F2DE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上述第（3）项中直接出具书面意见的基金份额持有人或受托代表他人出具书面意见的代理人，同时提交的有关证明文件、受托出具书面意见的代理人出示的委托人的代理投票授权委托证明及有关证明文件符合法律法规、《基金合同》和会议通知的规定，并与基金登记机构记录相符。</w:t>
      </w:r>
    </w:p>
    <w:p w:rsidR="009F340D" w:rsidRPr="00A936B7" w14:paraId="2DCFDC1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在不与法律法规冲突的前提下，基金份额持有人大会可通过网络、电话或其他方式召开，基金份额持有人可以采用书面、网络、电话、短信或其他方式进行表决，具体方式由会议召集人确定并在会议通知中列明。</w:t>
      </w:r>
    </w:p>
    <w:p w:rsidR="009F340D" w:rsidRPr="00A936B7" w14:paraId="1A3C3A6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4、基金份额持有人授权他人代为出席会议并表决的，授权方式可以采用书面、网络、电话、短信或其他方式，具体方式由会议召集人确定并在会议通知中列明。</w:t>
      </w:r>
    </w:p>
    <w:p w:rsidR="009F340D" w:rsidRPr="00A936B7" w14:paraId="13992A2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五、议事内容与程序</w:t>
      </w:r>
    </w:p>
    <w:p w:rsidR="009F340D" w:rsidRPr="00A936B7" w14:paraId="75F3F95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1、议事内容及提案权</w:t>
      </w:r>
    </w:p>
    <w:p w:rsidR="009F340D" w:rsidRPr="00A936B7" w14:paraId="2BB1FF5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9F340D" w:rsidRPr="00A936B7" w14:paraId="669C5F3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基金份额持有人大会的召集人发出召集会议的通知后，对原有提案的修改应当在基金份额持有人大会召开前及时公告。</w:t>
      </w:r>
    </w:p>
    <w:p w:rsidR="009F340D" w:rsidRPr="00A936B7" w14:paraId="17FE12A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基金份额持有人大会不得对未事先公告的议事内容进行表决。</w:t>
      </w:r>
    </w:p>
    <w:p w:rsidR="009F340D" w:rsidRPr="00A936B7" w14:paraId="091D8D2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2、议事程序</w:t>
      </w:r>
    </w:p>
    <w:p w:rsidR="009F340D" w:rsidRPr="00A936B7" w14:paraId="4DBD8CE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（1）现场开会</w:t>
      </w:r>
    </w:p>
    <w:p w:rsidR="009F340D" w:rsidRPr="00A936B7" w14:paraId="7BD445E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rsidR="009F340D" w:rsidRPr="00A936B7" w14:paraId="198B692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会议召集人应当制作出席会议人员的签名册。签名册载明参加会议人员姓名（或单位名称）、身份证明文件号码、持有或代表有表决权的基金份额、委托人姓名（或单位名称）和联系方式等事项。</w:t>
      </w:r>
    </w:p>
    <w:p w:rsidR="009F340D" w:rsidRPr="00A936B7" w14:paraId="144E68F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（2）通讯开会</w:t>
      </w:r>
    </w:p>
    <w:p w:rsidR="009F340D" w:rsidRPr="00A936B7" w14:paraId="1F1DBD7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在通讯开会的情况下，首先由召集人提前30日公布提案，在所通知的表决截止日期后2个工作日内在公证机关监督下由召集人统计全部有效表决，在公证机关监督下形成决议。</w:t>
      </w:r>
    </w:p>
    <w:p w:rsidR="009F340D" w:rsidRPr="00A936B7" w14:paraId="52FA9A7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六、表决</w:t>
      </w:r>
    </w:p>
    <w:p w:rsidR="009F340D" w:rsidRPr="00A936B7" w14:paraId="730449A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基金份额持有人所持每份基金份额有一票表决权。</w:t>
      </w:r>
    </w:p>
    <w:p w:rsidR="009F340D" w:rsidRPr="00A936B7" w14:paraId="0689782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基金份额持有人大会决议分为一般决议和特别决议：</w:t>
      </w:r>
    </w:p>
    <w:p w:rsidR="009F340D" w:rsidRPr="00A936B7" w14:paraId="62D297A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rsidR="009F340D" w:rsidRPr="00A936B7" w14:paraId="4411B43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rsidR="009F340D" w:rsidRPr="00A936B7" w14:paraId="763AAEA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基金份额持有人大会采取记名方式进行投票表决。</w:t>
      </w:r>
    </w:p>
    <w:p w:rsidR="009F340D" w:rsidRPr="00A936B7" w14:paraId="444B9B0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9F340D" w:rsidRPr="00A936B7" w14:paraId="2388461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基金份额持有人大会的各项提案或同一项提案内并列的各项议题应当分开审议、逐项表决。</w:t>
      </w:r>
    </w:p>
    <w:p w:rsidR="009F340D" w:rsidRPr="00A936B7" w14:paraId="3DF6EB8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七、计票</w:t>
      </w:r>
    </w:p>
    <w:p w:rsidR="009F340D" w:rsidRPr="00A936B7" w14:paraId="44B672D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1、现场开会</w:t>
      </w:r>
    </w:p>
    <w:p w:rsidR="009F340D" w:rsidRPr="00A936B7" w14:paraId="2660389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9F340D" w:rsidRPr="00A936B7" w14:paraId="546798D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（2）监票人应当在基金份额持有人表决后立即进行清点并由大会主持人当场公布计票结果。</w:t>
      </w:r>
    </w:p>
    <w:p w:rsidR="009F340D" w:rsidRPr="00A936B7" w14:paraId="255FAC2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9F340D" w:rsidRPr="00A936B7" w14:paraId="625D110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（4）计票过程应由公证机关予以公证，基金管理人或基金托管人拒不出席大会的，不影响计票的效力。</w:t>
      </w:r>
    </w:p>
    <w:p w:rsidR="009F340D" w:rsidRPr="00A936B7" w14:paraId="27638C8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2、通讯开会</w:t>
      </w:r>
    </w:p>
    <w:p w:rsidR="009F340D" w:rsidRPr="00A936B7" w14:paraId="3113772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rsidR="009F340D" w:rsidRPr="00A936B7" w14:paraId="52CEF80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八、生效与公告</w:t>
      </w:r>
    </w:p>
    <w:p w:rsidR="009F340D" w:rsidRPr="00A936B7" w14:paraId="690DC46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基金份额持有人大会的决议，召集人应当自通过之日起5日内报中国证监会备案。</w:t>
      </w:r>
    </w:p>
    <w:p w:rsidR="009F340D" w:rsidRPr="00A936B7" w14:paraId="5033EB5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基金份额持有人大会的决议自表决通过之日起生效。</w:t>
      </w:r>
    </w:p>
    <w:p w:rsidR="009F340D" w:rsidRPr="00A936B7" w14:paraId="72D97A7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基金份额持有人大会决议自生效之日起2日内在规定媒介上公告。</w:t>
      </w:r>
    </w:p>
    <w:p w:rsidR="009F340D" w:rsidRPr="00A936B7" w14:paraId="1C3B469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基金管理人、基金托管人和基金份额持有人应当执行生效的基金份额持有人大会的决议。生效的基金份额持有人大会决议对全体基金份额持有人、基金管理人、基金托管人均有约束力。</w:t>
      </w:r>
    </w:p>
    <w:p w:rsidR="009F340D" w:rsidRPr="00A936B7" w14:paraId="290F434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九、实施侧袋机制期间基金份额持有人大会的特殊约定</w:t>
      </w:r>
    </w:p>
    <w:p w:rsidR="009F340D" w:rsidRPr="00A936B7" w14:paraId="4993E3E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9F340D" w:rsidRPr="00A936B7" w14:paraId="499A5C0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1、基金份额持有人行使提议权、召集权、提名权所需单独或合计代表相关基金份额10%以上（含10%）；</w:t>
      </w:r>
    </w:p>
    <w:p w:rsidR="009F340D" w:rsidRPr="00A936B7" w14:paraId="41CA175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2、现场开会的到会者在权益登记日代表的基金份额不少于本基金在权益登记日相关基金份额的二分之一（含二分之一）；</w:t>
      </w:r>
    </w:p>
    <w:p w:rsidR="009F340D" w:rsidRPr="00A936B7" w14:paraId="00EF574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3、通讯开会的直接出具书面意见或授权他人代表出具书面意见的基金份额持有人所持有的基金份额不小于在权益登记日相关基金份额的二分之一（含二分之一）；</w:t>
      </w:r>
    </w:p>
    <w:p w:rsidR="009F340D" w:rsidRPr="00A936B7" w14:paraId="78F4085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rsidR="009F340D" w:rsidRPr="00A936B7" w14:paraId="44F20C97"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5、现场开会由出席大会的基金份额持有人和代理人所持表决权的50%以上（含50%）选举产生一名基金份额持有人作为该次基金份额持有人大会的主持人；</w:t>
      </w:r>
    </w:p>
    <w:p w:rsidR="009F340D" w:rsidRPr="00A936B7" w14:paraId="14D9C76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6、一般决议须经参加大会的基金份额持有人或其代理人所持表决权的二分之一以上（含二分之一）通过；</w:t>
      </w:r>
    </w:p>
    <w:p w:rsidR="009F340D" w:rsidRPr="00A936B7" w14:paraId="01C3D6B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7、特别决议应当经参加大会的基金份额持有人或其代理人所持表决权的三分之二以上（含三分之二）通过。</w:t>
      </w:r>
    </w:p>
    <w:p w:rsidR="009F340D" w:rsidRPr="00A936B7" w14:paraId="511126F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同一主侧袋账户内的每份基金份额具有平等的表决权。</w:t>
      </w:r>
    </w:p>
    <w:p w:rsidR="009F340D" w:rsidRPr="00A936B7" w14:paraId="1A0F93B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十、本部分关于基金份额持有人大会召开事由、召开条件、议事程序、表决条件等规定，凡是直接引用法律法规或监管规则的部分，如将来法律法规修改导致相关内容被取消或变更的，基金管理人经与基金托管人协商一致并提前公告后，可直接对本部分内容进行修改和调整，无需召开基金份额持有人大会审议。</w:t>
      </w:r>
    </w:p>
    <w:p w:rsidR="009F340D" w:rsidRPr="00A936B7" w14:paraId="62A2ABBF" w14:textId="77777777">
      <w:pPr>
        <w:spacing w:line="360" w:lineRule="auto"/>
        <w:ind w:firstLine="420"/>
        <w:rPr>
          <w:rFonts w:asciiTheme="minorEastAsia" w:eastAsiaTheme="minorEastAsia" w:hAnsiTheme="minorEastAsia" w:cs="宋体" w:hint="eastAsia"/>
          <w:szCs w:val="21"/>
          <w:lang w:eastAsia="zh-CN"/>
        </w:rPr>
      </w:pPr>
    </w:p>
    <w:p w:rsidR="009F340D" w:rsidRPr="00A936B7" w14:paraId="15A3972E" w14:textId="77777777">
      <w:pPr>
        <w:spacing w:line="360" w:lineRule="auto"/>
        <w:ind w:firstLine="420"/>
        <w:rPr>
          <w:rFonts w:asciiTheme="minorEastAsia" w:eastAsiaTheme="minorEastAsia" w:hAnsiTheme="minorEastAsia" w:cs="宋体" w:hint="eastAsia"/>
          <w:szCs w:val="21"/>
          <w:lang w:eastAsia="zh-CN"/>
        </w:rPr>
      </w:pPr>
      <w:bookmarkStart w:id="1855" w:name="_Hlt88820702"/>
      <w:bookmarkEnd w:id="1855"/>
      <w:r w:rsidRPr="00A936B7">
        <w:rPr>
          <w:rFonts w:asciiTheme="minorEastAsia" w:eastAsiaTheme="minorEastAsia" w:hAnsiTheme="minorEastAsia" w:cs="宋体" w:hint="eastAsia"/>
          <w:szCs w:val="21"/>
          <w:highlight w:val="white"/>
          <w:lang w:eastAsia="zh-CN"/>
        </w:rPr>
        <w:t>第三节 基金合同解除和终止的事由、程序</w:t>
      </w:r>
    </w:p>
    <w:p w:rsidR="009F340D" w:rsidRPr="00A936B7" w14:paraId="3FEB7C8E"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一、《基金合同》的变更</w:t>
      </w:r>
    </w:p>
    <w:p w:rsidR="009F340D" w:rsidRPr="00A936B7" w14:paraId="481619F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9F340D" w:rsidRPr="00A936B7" w14:paraId="12EE21E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2、关于《基金合同》变更的基金份额持有人大会决议自生效后方可执行，自决议生效后两日内在规定媒介公告。</w:t>
      </w:r>
    </w:p>
    <w:p w:rsidR="009F340D" w:rsidRPr="00A936B7" w14:paraId="549724E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二、《基金合同》的终止事由</w:t>
      </w:r>
    </w:p>
    <w:p w:rsidR="009F340D" w:rsidRPr="00A936B7" w14:paraId="456ED20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有下列情形之一的，经履行相关程序后，《基金合同》应当终止：</w:t>
      </w:r>
    </w:p>
    <w:p w:rsidR="009F340D" w:rsidRPr="00A936B7" w14:paraId="477B83B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1、基金份额持有人大会决定终止的；</w:t>
      </w:r>
    </w:p>
    <w:p w:rsidR="009F340D" w:rsidRPr="00A936B7" w14:paraId="687A1B3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2、基金管理人、基金托管人职责终止，在6个月内没有新基金管理人、新基金托管人承接的；</w:t>
      </w:r>
    </w:p>
    <w:p w:rsidR="009F340D" w:rsidRPr="00A936B7" w14:paraId="2F73DFB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出现标的指数不符合法律法规及监管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rsidR="009F340D" w:rsidRPr="00A936B7" w14:paraId="0B5AEA5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4、《基金合同》约定的其他情形；</w:t>
      </w:r>
    </w:p>
    <w:p w:rsidR="009F340D" w:rsidRPr="00A936B7" w14:paraId="39DCEA8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5、相关法律法规和中国证监会规定的其他情况。</w:t>
      </w:r>
    </w:p>
    <w:p w:rsidR="009F340D" w:rsidRPr="00A936B7" w14:paraId="6B1E8F4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三、基金财产的清算</w:t>
      </w:r>
    </w:p>
    <w:p w:rsidR="009F340D" w:rsidRPr="00A936B7" w14:paraId="0E6BFDF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1、基金财产清算小组：自出现《基金合同》终止事由之日起30个工作日内成立清算小组，基金管理人组织基金财产清算小组并在中国证监会的监督下进行基金清算。</w:t>
      </w:r>
    </w:p>
    <w:p w:rsidR="009F340D" w:rsidRPr="00A936B7" w14:paraId="5FFA14B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2、基金财产清算小组组成：基金财产清算小组成员由基金管理人、基金托管人、注册会计师、律师以及中国证监会指定的人员组成。基金财产清算小组可以聘用必要的工作人员。</w:t>
      </w:r>
    </w:p>
    <w:p w:rsidR="009F340D" w:rsidRPr="00A936B7" w14:paraId="17F893BC"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3、基金财产清算小组职责：基金财产清算小组负责基金财产的保管、清理、估价、变现和分配。基金财产清算小组可以依法进行必要的民事活动。</w:t>
      </w:r>
    </w:p>
    <w:p w:rsidR="009F340D" w:rsidRPr="00A936B7" w14:paraId="36484713"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4、基金财产清算程序：</w:t>
      </w:r>
    </w:p>
    <w:p w:rsidR="009F340D" w:rsidRPr="00A936B7" w14:paraId="0DDB6B1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（1）《基金合同》终止情形出现时，由基金财产清算小组统一接管基金；</w:t>
      </w:r>
    </w:p>
    <w:p w:rsidR="009F340D" w:rsidRPr="00A936B7" w14:paraId="35A7F3E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（2）对基金财产和债权债务进行清理和确认；</w:t>
      </w:r>
    </w:p>
    <w:p w:rsidR="009F340D" w:rsidRPr="00A936B7" w14:paraId="07448E48"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（3）对基金财产进行估值和变现；</w:t>
      </w:r>
    </w:p>
    <w:p w:rsidR="009F340D" w:rsidRPr="00A936B7" w14:paraId="6C131DD2"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（4）制作清算报告；</w:t>
      </w:r>
    </w:p>
    <w:p w:rsidR="009F340D" w:rsidRPr="00A936B7" w14:paraId="346BEDF0"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（5）聘请会计师事务所对清算报告进行外部审计，聘请律师事务所对清算报告出具法律意见书；</w:t>
      </w:r>
    </w:p>
    <w:p w:rsidR="009F340D" w:rsidRPr="00A936B7" w14:paraId="2B93D25A"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（6）将清算报告报中国证监会备案并公告；</w:t>
      </w:r>
    </w:p>
    <w:p w:rsidR="009F340D" w:rsidRPr="00A936B7" w14:paraId="60F9891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（7）对基金剩余财产进行分配。</w:t>
      </w:r>
    </w:p>
    <w:p w:rsidR="009F340D" w:rsidRPr="00A936B7" w14:paraId="600CC1EB"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5、基金财产清算的期限为6个月，但因本基金所持证券的流动性受到限制而不能及时变现的，清算期限相应顺延。</w:t>
      </w:r>
    </w:p>
    <w:p w:rsidR="009F340D" w:rsidRPr="00A936B7" w14:paraId="647845A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四、清算费用</w:t>
      </w:r>
    </w:p>
    <w:p w:rsidR="009F340D" w:rsidRPr="00A936B7" w14:paraId="751556C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清算费用是指基金财产清算小组在进行基金清算过程中发生的所有合理费用，清算费用由基金财产清算小组优先从基金财产中支付。</w:t>
      </w:r>
    </w:p>
    <w:p w:rsidR="009F340D" w:rsidRPr="00A936B7" w14:paraId="4EB02B0D"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五、基金财产清算剩余资产的分配</w:t>
      </w:r>
    </w:p>
    <w:p w:rsidR="009F340D" w:rsidRPr="00A936B7" w14:paraId="5770624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依据基金财产清算的分配方案，将基金财产清算后的全部剩余资产扣除基金财产清算费用、交纳所欠税款并清偿基金债务后，按基金份额持有人持有的基金份额比例进行分配。分配金额需加上返还基金份额持有人的销售服务费（如有）。</w:t>
      </w:r>
    </w:p>
    <w:p w:rsidR="009F340D" w:rsidRPr="00A936B7" w14:paraId="0D76D506"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六、基金财产清算的公告</w:t>
      </w:r>
    </w:p>
    <w:p w:rsidR="009F340D" w:rsidRPr="00A936B7" w14:paraId="22D7067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5个工作日内由基金财产清算小组进行公告。</w:t>
      </w:r>
    </w:p>
    <w:p w:rsidR="009F340D" w:rsidRPr="00A936B7" w14:paraId="2E20FC45"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七、基金财产清算账册及文件的保存</w:t>
      </w:r>
    </w:p>
    <w:p w:rsidR="009F340D" w:rsidRPr="00A936B7" w14:paraId="427ABD8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基金财产清算账册及有关文件由基金托管人保存20年以上。</w:t>
      </w:r>
    </w:p>
    <w:p w:rsidR="009F340D" w:rsidRPr="00A936B7" w14:paraId="79C4E0EA" w14:textId="77777777">
      <w:pPr>
        <w:spacing w:line="360" w:lineRule="auto"/>
        <w:ind w:firstLine="420"/>
        <w:rPr>
          <w:rFonts w:asciiTheme="minorEastAsia" w:eastAsiaTheme="minorEastAsia" w:hAnsiTheme="minorEastAsia" w:cs="宋体" w:hint="eastAsia"/>
          <w:szCs w:val="21"/>
          <w:lang w:eastAsia="zh-CN"/>
        </w:rPr>
      </w:pPr>
    </w:p>
    <w:p w:rsidR="009F340D" w:rsidRPr="00A936B7" w14:paraId="10F57629"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第</w:t>
      </w:r>
      <w:bookmarkStart w:id="1856" w:name="_Toc516750735"/>
      <w:r w:rsidRPr="00A936B7">
        <w:rPr>
          <w:rFonts w:asciiTheme="minorEastAsia" w:eastAsiaTheme="minorEastAsia" w:hAnsiTheme="minorEastAsia" w:cs="宋体" w:hint="eastAsia"/>
          <w:szCs w:val="21"/>
          <w:highlight w:val="white"/>
          <w:lang w:eastAsia="zh-CN"/>
        </w:rPr>
        <w:t>四节 争议解决方式</w:t>
      </w:r>
      <w:bookmarkEnd w:id="1856"/>
    </w:p>
    <w:p w:rsidR="009F340D" w:rsidRPr="00A936B7" w14:paraId="33C2ADD4" w14:textId="77777777">
      <w:pPr>
        <w:spacing w:line="360" w:lineRule="auto"/>
        <w:ind w:firstLine="480"/>
        <w:rPr>
          <w:rFonts w:asciiTheme="minorEastAsia" w:eastAsiaTheme="minorEastAsia" w:hAnsiTheme="minorEastAsia" w:hint="eastAsia"/>
          <w:b/>
          <w:szCs w:val="21"/>
          <w:lang w:eastAsia="zh-CN"/>
        </w:rPr>
      </w:pPr>
      <w:r w:rsidRPr="00A936B7">
        <w:rPr>
          <w:rFonts w:asciiTheme="minorEastAsia" w:eastAsiaTheme="minorEastAsia" w:hAnsiTheme="minorEastAsia" w:hint="eastAsia"/>
          <w:b/>
          <w:szCs w:val="21"/>
          <w:highlight w:val="white"/>
          <w:lang w:eastAsia="zh-CN"/>
        </w:rPr>
        <w:t>各方当事人同意，因《基金合同》而产生的或与《基金合同》有关的一切争议，基金合同当事人应尽量通过协商、调解途径解决，如经友好协商未能解决的，任何一方均有权将争议提交中国国际经济贸易仲裁委员会，按照中国国际经济贸易仲裁委员会届时有效的仲裁规则进行仲裁。仲裁地点为北京。仲裁裁决是终局的，对当事人均有约束力，除非仲裁裁决另有决定，仲裁费用由败诉方承担。</w:t>
      </w:r>
    </w:p>
    <w:p w:rsidR="009F340D" w:rsidRPr="00A936B7" w14:paraId="4E937AED" w14:textId="77777777">
      <w:pPr>
        <w:spacing w:line="360" w:lineRule="auto"/>
        <w:ind w:firstLine="480"/>
        <w:rPr>
          <w:rFonts w:asciiTheme="minorEastAsia" w:eastAsiaTheme="minorEastAsia" w:hAnsiTheme="minorEastAsia" w:hint="eastAsia"/>
          <w:szCs w:val="21"/>
          <w:lang w:eastAsia="zh-CN"/>
        </w:rPr>
      </w:pPr>
      <w:r w:rsidRPr="00A936B7">
        <w:rPr>
          <w:rFonts w:asciiTheme="minorEastAsia" w:eastAsiaTheme="minorEastAsia" w:hAnsiTheme="minorEastAsia" w:hint="eastAsia"/>
          <w:szCs w:val="21"/>
          <w:highlight w:val="white"/>
          <w:lang w:eastAsia="zh-CN"/>
        </w:rPr>
        <w:t>争议处理期间，基金合同当事人应恪守各自的职责，继续忠实、勤勉、尽责地履行基金合同规定的义务，维护基金份额持有人的合法权益。</w:t>
      </w:r>
    </w:p>
    <w:p w:rsidR="009F340D" w:rsidRPr="00A936B7" w14:paraId="0ADFB8EF" w14:textId="77777777">
      <w:pPr>
        <w:spacing w:line="360" w:lineRule="auto"/>
        <w:ind w:firstLine="480"/>
        <w:rPr>
          <w:rFonts w:asciiTheme="minorEastAsia" w:eastAsiaTheme="minorEastAsia" w:hAnsiTheme="minorEastAsia" w:hint="eastAsia"/>
          <w:szCs w:val="21"/>
          <w:lang w:eastAsia="zh-CN"/>
        </w:rPr>
      </w:pPr>
      <w:r w:rsidRPr="00A936B7">
        <w:rPr>
          <w:rFonts w:asciiTheme="minorEastAsia" w:eastAsiaTheme="minorEastAsia" w:hAnsiTheme="minorEastAsia" w:hint="eastAsia"/>
          <w:szCs w:val="21"/>
          <w:highlight w:val="white"/>
          <w:lang w:eastAsia="zh-CN"/>
        </w:rPr>
        <w:t>《基金合同》受中国法律管辖。</w:t>
      </w:r>
    </w:p>
    <w:p w:rsidR="009F340D" w:rsidRPr="00A936B7" w14:paraId="43C64C57" w14:textId="77777777">
      <w:pPr>
        <w:spacing w:line="360" w:lineRule="auto"/>
        <w:ind w:firstLine="420"/>
        <w:rPr>
          <w:rFonts w:asciiTheme="minorEastAsia" w:eastAsiaTheme="minorEastAsia" w:hAnsiTheme="minorEastAsia" w:cs="宋体" w:hint="eastAsia"/>
          <w:szCs w:val="21"/>
          <w:lang w:eastAsia="zh-CN"/>
        </w:rPr>
      </w:pPr>
    </w:p>
    <w:p w:rsidR="009F340D" w:rsidRPr="00A936B7" w14:paraId="296B8331"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szCs w:val="21"/>
          <w:highlight w:val="white"/>
          <w:lang w:eastAsia="zh-CN"/>
        </w:rPr>
        <w:t>第</w:t>
      </w:r>
      <w:bookmarkStart w:id="1857" w:name="_Toc516750736"/>
      <w:r w:rsidRPr="00A936B7">
        <w:rPr>
          <w:rFonts w:asciiTheme="minorEastAsia" w:eastAsiaTheme="minorEastAsia" w:hAnsiTheme="minorEastAsia" w:cs="宋体" w:hint="eastAsia"/>
          <w:szCs w:val="21"/>
          <w:highlight w:val="white"/>
          <w:lang w:eastAsia="zh-CN"/>
        </w:rPr>
        <w:t>五节 基金合同存放地和投资者取得基金合同的方式</w:t>
      </w:r>
      <w:bookmarkEnd w:id="1857"/>
    </w:p>
    <w:p w:rsidR="009F340D" w:rsidRPr="00A936B7" w14:paraId="1C94C39F" w14:textId="77777777">
      <w:pPr>
        <w:spacing w:line="360" w:lineRule="auto"/>
        <w:ind w:firstLine="420"/>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《基金合同》可印制成册，供投资者在基金管理人、基金托管人、销售机构的办公场所和营业场所查阅。</w:t>
      </w:r>
    </w:p>
    <w:p w:rsidR="009F340D" w:rsidRPr="00A936B7" w14:paraId="122175EB" w14:textId="77777777">
      <w:pPr>
        <w:pStyle w:val="Heading1"/>
        <w:spacing w:before="317" w:after="317" w:line="360" w:lineRule="auto"/>
        <w:ind w:firstLine="420"/>
        <w:rPr>
          <w:rFonts w:asciiTheme="minorEastAsia" w:eastAsiaTheme="minorEastAsia" w:hAnsiTheme="minorEastAsia" w:cs="宋体" w:hint="eastAsia"/>
          <w:sz w:val="30"/>
          <w:szCs w:val="30"/>
          <w:lang w:eastAsia="zh-CN"/>
        </w:rPr>
      </w:pPr>
      <w:bookmarkStart w:id="1858" w:name="_Toc332373589"/>
      <w:r w:rsidRPr="00A936B7">
        <w:rPr>
          <w:rFonts w:asciiTheme="minorEastAsia" w:eastAsiaTheme="minorEastAsia" w:hAnsiTheme="minorEastAsia" w:cs="宋体" w:hint="eastAsia"/>
          <w:bCs/>
          <w:sz w:val="21"/>
          <w:szCs w:val="21"/>
          <w:highlight w:val="white"/>
          <w:lang w:eastAsia="zh-CN"/>
        </w:rPr>
        <w:br w:type="page"/>
      </w:r>
      <w:bookmarkStart w:id="1859" w:name="_Toc129511545"/>
      <w:bookmarkEnd w:id="1858"/>
      <w:r w:rsidRPr="00A936B7">
        <w:rPr>
          <w:rFonts w:asciiTheme="minorEastAsia" w:eastAsiaTheme="minorEastAsia" w:hAnsiTheme="minorEastAsia" w:cs="宋体" w:hint="eastAsia"/>
          <w:sz w:val="30"/>
          <w:szCs w:val="30"/>
          <w:highlight w:val="white"/>
          <w:lang w:eastAsia="zh-CN"/>
        </w:rPr>
        <w:t>第二</w:t>
      </w:r>
      <w:bookmarkStart w:id="1860" w:name="_Toc332374170"/>
      <w:bookmarkStart w:id="1861" w:name="_Toc332373590"/>
      <w:r w:rsidRPr="00A936B7">
        <w:rPr>
          <w:rFonts w:asciiTheme="minorEastAsia" w:eastAsiaTheme="minorEastAsia" w:hAnsiTheme="minorEastAsia" w:cs="宋体" w:hint="eastAsia"/>
          <w:sz w:val="30"/>
          <w:szCs w:val="30"/>
          <w:highlight w:val="white"/>
          <w:lang w:eastAsia="zh-CN"/>
        </w:rPr>
        <w:t>十</w:t>
      </w:r>
      <w:r w:rsidRPr="00A936B7">
        <w:rPr>
          <w:rFonts w:asciiTheme="minorEastAsia" w:eastAsiaTheme="minorEastAsia" w:hAnsiTheme="minorEastAsia" w:cs="宋体"/>
          <w:sz w:val="30"/>
          <w:szCs w:val="30"/>
          <w:highlight w:val="white"/>
          <w:lang w:eastAsia="zh-CN"/>
        </w:rPr>
        <w:t>三部分 基金托管协议的内容摘要</w:t>
      </w:r>
      <w:bookmarkEnd w:id="1859"/>
      <w:bookmarkEnd w:id="1860"/>
      <w:bookmarkEnd w:id="1861"/>
    </w:p>
    <w:p w:rsidR="009F340D" w:rsidRPr="00A936B7" w14:paraId="28B572F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 xml:space="preserve">第一节 </w:t>
      </w:r>
      <w:r w:rsidRPr="00A936B7">
        <w:rPr>
          <w:rFonts w:asciiTheme="minorEastAsia" w:eastAsiaTheme="minorEastAsia" w:hAnsiTheme="minorEastAsia" w:cs="宋体" w:hint="eastAsia"/>
          <w:bCs/>
          <w:szCs w:val="21"/>
          <w:highlight w:val="white"/>
          <w:lang w:eastAsia="zh-CN"/>
        </w:rPr>
        <w:t>托管协议当事人</w:t>
      </w:r>
    </w:p>
    <w:p w:rsidR="009F340D" w:rsidRPr="00A936B7" w14:paraId="5408493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（一）基金管理人（或简称“管理人”）</w:t>
      </w:r>
    </w:p>
    <w:p w:rsidR="009F340D" w:rsidRPr="00A936B7" w14:paraId="5CEDBAD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名称：易方达基金管理有限公司</w:t>
      </w:r>
    </w:p>
    <w:p w:rsidR="009F340D" w:rsidRPr="00A936B7" w14:paraId="2726A21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住所：广东省珠海市横琴新区荣粤道188号6层</w:t>
      </w:r>
    </w:p>
    <w:p w:rsidR="009F340D" w:rsidRPr="00A936B7" w14:paraId="102595E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法定代表人：吴欣荣</w:t>
      </w:r>
    </w:p>
    <w:p w:rsidR="009F340D" w:rsidRPr="00A936B7" w14:paraId="0CF4FD0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设立日期：2001年4月17日</w:t>
      </w:r>
    </w:p>
    <w:p w:rsidR="009F340D" w:rsidRPr="00A936B7" w14:paraId="2D9B2F1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批准设立机关及批准设立文号：中国证券监督管理委员会，证监基金字[2001]4号</w:t>
      </w:r>
    </w:p>
    <w:p w:rsidR="009F340D" w:rsidRPr="00A936B7" w14:paraId="356B28E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组织形式：有限责任公司</w:t>
      </w:r>
    </w:p>
    <w:p w:rsidR="009F340D" w:rsidRPr="00A936B7" w14:paraId="6B0CF6B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注册资本：13,244.2万元人民币</w:t>
      </w:r>
    </w:p>
    <w:p w:rsidR="009F340D" w:rsidRPr="00A936B7" w14:paraId="6B60B6C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存续期限：持续经营</w:t>
      </w:r>
    </w:p>
    <w:p w:rsidR="009F340D" w:rsidRPr="00A936B7" w14:paraId="7851897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联系电话：4008818088</w:t>
      </w:r>
    </w:p>
    <w:p w:rsidR="009F340D" w:rsidRPr="00A936B7" w14:paraId="6B14C1CC" w14:textId="77777777">
      <w:pPr>
        <w:spacing w:line="360" w:lineRule="auto"/>
        <w:ind w:firstLine="420"/>
        <w:rPr>
          <w:rFonts w:asciiTheme="minorEastAsia" w:eastAsiaTheme="minorEastAsia" w:hAnsiTheme="minorEastAsia" w:cs="宋体" w:hint="eastAsia"/>
          <w:bCs/>
          <w:szCs w:val="21"/>
          <w:lang w:eastAsia="zh-CN"/>
        </w:rPr>
      </w:pPr>
    </w:p>
    <w:p w:rsidR="009F340D" w:rsidRPr="00A936B7" w14:paraId="165BA845"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（二）基金托管人（或简称“托管人”）</w:t>
      </w:r>
    </w:p>
    <w:p w:rsidR="009F340D" w:rsidRPr="00A936B7" w14:paraId="55532DF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名称：中国银行股份有限公司</w:t>
      </w:r>
    </w:p>
    <w:p w:rsidR="009F340D" w:rsidRPr="00A936B7" w14:paraId="731740D5"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住所：北京市西城区复兴门内大街1号</w:t>
      </w:r>
    </w:p>
    <w:p w:rsidR="009F340D" w:rsidRPr="00A936B7" w14:paraId="5E1F1EF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法定代表人: 葛海蛟</w:t>
      </w:r>
    </w:p>
    <w:p w:rsidR="009F340D" w:rsidRPr="00A936B7" w14:paraId="6AF4DA9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成立时间：  1983年10月31日</w:t>
      </w:r>
    </w:p>
    <w:p w:rsidR="009F340D" w:rsidRPr="00A936B7" w14:paraId="4E73281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基金托管业务批准文号：中国证监会证监基字【1998】24号</w:t>
      </w:r>
    </w:p>
    <w:p w:rsidR="009F340D" w:rsidRPr="00A936B7" w14:paraId="32D6457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组织形式：  股份有限公司</w:t>
      </w:r>
    </w:p>
    <w:p w:rsidR="009F340D" w:rsidRPr="00A936B7" w14:paraId="6134904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注册资本：人民币叁仟贰佰贰拾贰亿壹仟贰佰肆拾壹万壹仟捌佰壹拾肆元整</w:t>
      </w:r>
    </w:p>
    <w:p w:rsidR="009F340D" w:rsidRPr="00A936B7" w14:paraId="38907CD1"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经营范围：</w:t>
      </w:r>
      <w:r w:rsidRPr="00472829" w:rsidR="00472829">
        <w:rPr>
          <w:rFonts w:ascii="宋体" w:hAnsi="宋体" w:cs="宋体" w:hint="eastAsia"/>
          <w:kern w:val="2"/>
          <w:szCs w:val="21"/>
          <w:lang w:eastAsia="zh-CN" w:bidi="ar"/>
        </w:rPr>
        <w:t>吸收人民币存款；发放短期、中期和长期贷款；办理结算；办理票据贴现；发行金融债券；代理发行、代理兑付、承销政府债券；买卖政府债券；从事同业拆借；提供信用证服务及担保；代理收付款项及代理保险业务；提供保险箱服务；外汇存款；外汇贷款；外汇汇款；外汇兑换；国际结算；同业外汇拆借；外汇票据的承兑和贴现；外汇借款；外汇担保；结汇、售汇；发行和代理发行股票以外的外币有价证券；买卖和代理买卖股票以外的外币有价证券；自营外汇买卖；代客外汇买卖；外汇信用卡的发行和代理国外信用卡的发行及付款；资信调查、咨询、见证业务；组织或参加银团贷款；国际贵金属买卖；海外分支机构经营与当地法律许可的一切银行业务；在港澳地区的分行依据当地法令可发行或参与代理发行当地货币；经金监总局等监管部门批准的其他业务。</w:t>
      </w:r>
    </w:p>
    <w:p w:rsidR="009F340D" w:rsidRPr="00A936B7" w14:paraId="1A11232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存续期限：持续经营</w:t>
      </w:r>
    </w:p>
    <w:p w:rsidR="009F340D" w:rsidRPr="00A936B7" w14:paraId="1E7EAF71" w14:textId="77777777">
      <w:pPr>
        <w:spacing w:line="360" w:lineRule="auto"/>
        <w:ind w:firstLine="420"/>
        <w:rPr>
          <w:rFonts w:asciiTheme="minorEastAsia" w:eastAsiaTheme="minorEastAsia" w:hAnsiTheme="minorEastAsia" w:cs="宋体" w:hint="eastAsia"/>
          <w:bCs/>
          <w:szCs w:val="21"/>
          <w:lang w:eastAsia="zh-CN"/>
        </w:rPr>
      </w:pPr>
    </w:p>
    <w:p w:rsidR="009F340D" w:rsidRPr="00A936B7" w14:paraId="7D1D49D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第二节 基金托管人对基金管理人的业务监督和核查</w:t>
      </w:r>
    </w:p>
    <w:p w:rsidR="009F340D" w:rsidRPr="00A936B7" w14:paraId="67A64AA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（一）基金托管人根据有关法律法规的规定对基金管理人的下列投资运作进行监督：</w:t>
      </w:r>
    </w:p>
    <w:p w:rsidR="009F340D" w:rsidRPr="00A936B7" w14:paraId="718B575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1、对基金的投资范围、投资对象进行监督。</w:t>
      </w:r>
    </w:p>
    <w:p w:rsidR="009F340D" w:rsidRPr="00A936B7" w14:paraId="09A1861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9F340D" w:rsidRPr="00A936B7" w14:paraId="14A0B9C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如法律法规或监管机构以后允许基金投资其他品种，基金管理人在履行适当程序后，本基金可以将其纳入投资范围。</w:t>
      </w:r>
    </w:p>
    <w:p w:rsidR="009F340D" w:rsidRPr="00A936B7" w14:paraId="7504CAD5"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本基金将根据法律法规的规定参与转融通证券出借及融资业务。</w:t>
      </w:r>
    </w:p>
    <w:p w:rsidR="009F340D" w:rsidRPr="00A936B7" w14:paraId="53E633A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基金的投资组合比例为：本基金投资于目标ETF的资产不低于基金资产净值的90%，保持不低于基金资产净值5%的现金或者到期日在一年以内的政府债券，其中现金不包括结算备付金、存出保证金、应收申购款等。</w:t>
      </w:r>
    </w:p>
    <w:p w:rsidR="009F340D" w:rsidRPr="00A936B7" w14:paraId="41588B9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管理人应将拟投资的股票库、债券库等各投资品种的具体范围及时提供给基金托管人。基金管理人可以根据实际情况的变化，对各投资品种的具体范围予以更新和调整，并及时通知基金托管人。基金托管人根据上述投资范围对基金的投资进行监督。</w:t>
      </w:r>
    </w:p>
    <w:p w:rsidR="009F340D" w:rsidRPr="00A936B7" w14:paraId="7CF1398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2、对基金投融资比例进行监督：</w:t>
      </w:r>
    </w:p>
    <w:p w:rsidR="009F340D" w:rsidRPr="00A936B7" w14:paraId="4D3A2B3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（1）本基金投资于目标ETF的资产不低于基金资产净值的90%；</w:t>
      </w:r>
    </w:p>
    <w:p w:rsidR="009F340D" w:rsidRPr="00A936B7" w14:paraId="4B99D2F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（2）保持不低于基金资产净值5%的现金或者到期日在一年以内的政府债券，其中现金不包括结算备付金、存出保证金和应收申购款等；</w:t>
      </w:r>
    </w:p>
    <w:p w:rsidR="009F340D" w:rsidRPr="00A936B7" w14:paraId="673E7D8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（3）本基金投资于同一原始权益人的各类资产支持证券的比例，不得超过基金资产净值的10%；</w:t>
      </w:r>
    </w:p>
    <w:p w:rsidR="009F340D" w:rsidRPr="00A936B7" w14:paraId="6363A32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（4）本基金持有的全部资产支持证券，其市值不得超过基金资产净值的20%；</w:t>
      </w:r>
    </w:p>
    <w:p w:rsidR="009F340D" w:rsidRPr="00A936B7" w14:paraId="0076DE99"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（5）本基金持有的同一(指同一信用级别)资产支持证券的比例，不得超过该资产支持证券规模的10%；</w:t>
      </w:r>
    </w:p>
    <w:p w:rsidR="009F340D" w:rsidRPr="00A936B7" w14:paraId="6B46355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（6）本基金管理人管理且由本基金托管人托管的全部基金投资于同一原始权益人的各类资产支持证券，不得超过其各类资产支持证券合计规模的10%；</w:t>
      </w:r>
    </w:p>
    <w:p w:rsidR="009F340D" w:rsidRPr="00A936B7" w14:paraId="7F7A7AA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（7）本基金应投资于信用级别评级为BBB以上(含BBB)的资产支持证券。基金持有资产支持证券期间，如果其信用等级下降、不再符合投资标准，应在评级报告发布之日起3个月内予以全部卖出；</w:t>
      </w:r>
    </w:p>
    <w:p w:rsidR="009F340D" w:rsidRPr="00A936B7" w14:paraId="18BFD7F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（8）基金财产参与股票发行申购，本基金所申报的金额不超过本基金的总资产，本基金所申报的股票数量不超过拟发行股票公司本次发行股票的总量；</w:t>
      </w:r>
    </w:p>
    <w:p w:rsidR="009F340D" w:rsidRPr="00A936B7" w14:paraId="12CE133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9）本基金参与股指期货交易的，应当符合下列要求：在任何交易日日终，持有的买入股指期货合约价值，不得超过基金资产净值的10%；在任何交易日日终，持有的买入国债期货和股指期货合约价值与有价证券市值之和，不得超过基金资产净值的100%，其中，有价证券指目标ETF、股票、债券（不含到期日在一年以内的政府债券）、资产支持证券、买入返售金融资产（不含质押式回购）等；在任何交易日日终，持有的卖出股指期货合约价值不得超过基金持有的股票及目标ETF总市值的20%；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9F340D" w:rsidRPr="00A936B7" w14:paraId="06C362E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10）本基金参与国债期货交易的，应当符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w:t>
      </w:r>
    </w:p>
    <w:p w:rsidR="009F340D" w:rsidRPr="00A936B7" w14:paraId="10B5BD1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11）本基金参与股票期权交易的，应当符合下列要求：基金因未平仓的期权合约支付和收取的权利金总额不得超过基金资产净值的10%；未平仓的期权合约面值不得超过基金资产净值的20%。其中，合约面值按照行权价乘以合约乘数计算；</w:t>
      </w:r>
    </w:p>
    <w:p w:rsidR="009F340D" w:rsidRPr="00A936B7" w14:paraId="2723E34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（12）基金参与融资业务后，在任何交易日日终，持有的融资买入股票与其他有价证券市值之和，不得超过基金资产净值的95%；</w:t>
      </w:r>
    </w:p>
    <w:p w:rsidR="009F340D" w:rsidRPr="00A936B7" w14:paraId="26D34FB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13）本基金参与转融通证券出借业务的，应当符合下列要求：出借证券资产不得超过基金资产净值的30%，出借期限在10个交易日以上的出借证券应纳入《流动性风险管理规定》所述流动性受限证券的范围；参与出借业务的单只证券不得超过基金持有该证券总量的50%；最近6个月内日均基金资产净值不得低于2</w:t>
      </w:r>
      <w:r w:rsidRPr="00A936B7">
        <w:rPr>
          <w:rFonts w:asciiTheme="minorEastAsia" w:eastAsiaTheme="minorEastAsia" w:hAnsiTheme="minorEastAsia" w:cs="宋体"/>
          <w:bCs/>
          <w:szCs w:val="21"/>
          <w:highlight w:val="white"/>
          <w:lang w:eastAsia="zh-CN"/>
        </w:rPr>
        <w:t>亿元；证券出借的平均剩余期限不得超过30天，平均剩余期限按照市值加权平均计算；</w:t>
      </w:r>
    </w:p>
    <w:p w:rsidR="009F340D" w:rsidRPr="00A936B7" w14:paraId="13A71F4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14）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9F340D" w:rsidRPr="00A936B7" w14:paraId="0D67351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（15）本基金与私募类证券资管产品及中国证监会认定的其他主体为交易对手开展逆回购交易的，可接受质押品的资质要求应当与基金合同约定的投资范围保持一致；</w:t>
      </w:r>
    </w:p>
    <w:p w:rsidR="009F340D" w:rsidRPr="00A936B7" w14:paraId="4B6D895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（16）本基金资产总值不超过基金资产净值的140%；</w:t>
      </w:r>
    </w:p>
    <w:p w:rsidR="009F340D" w:rsidRPr="00A936B7" w14:paraId="443A35A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（17）本基金投资存托凭证的比例限制依照境内上市交易的股票执行，与境内上市交易的股票合并计算；</w:t>
      </w:r>
    </w:p>
    <w:p w:rsidR="009F340D" w:rsidRPr="00A936B7" w14:paraId="0829353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（18）法律法规及中国证监会规定的其他投资比例限制。</w:t>
      </w:r>
    </w:p>
    <w:p w:rsidR="009F340D" w:rsidRPr="00A936B7" w14:paraId="2FEB47E3"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因证券/期货市场波动、证券发行人合并、基金规模变动、标的指数成份股调整、流动性限制、目标ETF暂停申购、赎回或二级市场交易停牌等基金管理人之外的因素致使基金投资比例不符合上述第（1）项规定投资比例的，基金管理人应当在20个交易日内进行调整；除上述（1）、（2）、（7）、（8）、（13）、（14）、（15）情形之外，因证券/期货市场波动、证券发行人合并、基金规模变动、标的指数成份股调整、流动性限制、目标ETF暂停申购、赎回或二级市场交易停牌等基金管理人之外的因素致使基金投资比例不符合上述规定投资比例的，基金管理人应当在10个交易日内进行调整，但中国证监会规定的特殊情形除外。因证券/期货市场波动、证券发行人合并、基金规模变动等基金管理人之外的因素致使基金投资不符合第（13）项规定的，基金管理人不得新增出借业务。法律法规或监管部门另有规定的，届时按最新规定执行。</w:t>
      </w:r>
    </w:p>
    <w:p w:rsidR="009F340D" w:rsidRPr="00A936B7" w14:paraId="70319F3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9F340D" w:rsidRPr="00A936B7" w14:paraId="3AB4D87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9F340D" w:rsidRPr="00A936B7" w14:paraId="46E139F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法律法规或监管部门取消上述组合限制或从事关联交易的条件和要求，本基金可不受相关限制。法律法规或监管部门对上述组合限制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9F340D" w:rsidRPr="00A936B7" w14:paraId="49790E9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二）基金托管人应根据有关法律法规的规定及《基金合同》的约定，对基金资产净值计算、基金份额净值计算、应收资金到账、基金费用开支及收入确定、基金收益分配、相关信息披露登载基金业绩表现数据等进行复核。</w:t>
      </w:r>
    </w:p>
    <w:p w:rsidR="009F340D" w:rsidRPr="00A936B7" w14:paraId="4432C07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三）基金托管人在上述第（一）、（二）款的监督和核查中发现基金管理人违反上述约定，应及时提示基金管理人，基金管理人收到提示后应及时核对确认并以书面形式对基金托管人发出回函并改正。在限期内，基金托管人有权随时对提示事项进行复查。基金管理人对基金托管人提示的违规事项未能在限期内纠正的，基金托管人应及时向中国证监会报告。</w:t>
      </w:r>
    </w:p>
    <w:p w:rsidR="009F340D" w:rsidRPr="00A936B7" w14:paraId="6A0E020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四）基金托管人发现基金管理人的投资指令违反法律法规、本协议的规定，应当拒绝执行，及时提示基金管理人，并依照法律法规的规定及时向中国证监会报告。基金托管人发现基金管理人依据交易程序已经生效的指令违反法律法规、本协议规定的，应当及时提示基金管理人，并依照法律法规的规定及时向中国证监会报告。</w:t>
      </w:r>
    </w:p>
    <w:p w:rsidR="009F340D" w:rsidRPr="00A936B7" w14:paraId="3671736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（五）基金管理人应积极配合和协助基金托管人的监督和核查，包括但不限于：在规定时间内答复基金托管人并改正，就基金托管人的疑义进行解释或举证，提供相关数据资料和制度等。</w:t>
      </w:r>
    </w:p>
    <w:p w:rsidR="009F340D" w:rsidRPr="00A936B7" w14:paraId="39643518" w14:textId="77777777">
      <w:pPr>
        <w:spacing w:line="360" w:lineRule="auto"/>
        <w:ind w:firstLine="420"/>
        <w:rPr>
          <w:rFonts w:asciiTheme="minorEastAsia" w:eastAsiaTheme="minorEastAsia" w:hAnsiTheme="minorEastAsia" w:cs="宋体" w:hint="eastAsia"/>
          <w:bCs/>
          <w:szCs w:val="21"/>
          <w:lang w:eastAsia="zh-CN"/>
        </w:rPr>
      </w:pPr>
    </w:p>
    <w:p w:rsidR="009F340D" w:rsidRPr="00A936B7" w14:paraId="54559FE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第三节 基金管理人对基金托管人的业务核查</w:t>
      </w:r>
    </w:p>
    <w:p w:rsidR="009F340D" w:rsidRPr="00A936B7" w14:paraId="73E5288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在本协议的有效期内，在不违反公平、合理原则以及不妨碍基金托管人遵守相关法律法规及其行业监管要求的基础上，基金管理人有权对基金托管人履行本协议的情况进行必要的核查，核查事项包括但不限于基金托管人安全保管基金财产、开设基金财产的资金账户和证券账户等投资所需账户、复核基金管理人计算的基金资产净值和基金份额净值、根据基金管理人指令办理清算交收、相关信息披露和监督基金投资运作等行为。</w:t>
      </w:r>
    </w:p>
    <w:p w:rsidR="009F340D" w:rsidRPr="00A936B7" w14:paraId="394FBBC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2、基金管理人发现基金托管人擅自挪用基金财产、未对基金财产实行分账管理、无正当理由未执行或延迟执行基金管理人资金划拨指令、泄露基金投资信息等违反法律法规、《基金合同》及本协议有关规定时，应及时以书面形式通知基金托管人限期纠正，基金托管人收到通知后应及时核对并以书面形式对基金管理人发出回函。在限期内，基金管理人有权随时对通知事项进行复查，督促基金托管人改正。基金托管人对基金管理人通知的违规事项未能在限期内纠正的，基金管理人应依照法律法规的规定报告中国证监会。</w:t>
      </w:r>
    </w:p>
    <w:p w:rsidR="009F340D" w:rsidRPr="00A936B7" w14:paraId="42E4605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3、基金托管人应积极配合基金管理人的核查行为，包括但不限于：提交相关资料以供基金管理人核查托管财产的完整性和真实性，在规定时间内答复基金管理人并改正。</w:t>
      </w:r>
    </w:p>
    <w:p w:rsidR="009F340D" w:rsidRPr="00A936B7" w14:paraId="4E50E4A3" w14:textId="77777777">
      <w:pPr>
        <w:spacing w:line="360" w:lineRule="auto"/>
        <w:ind w:firstLine="420"/>
        <w:rPr>
          <w:rFonts w:asciiTheme="minorEastAsia" w:eastAsiaTheme="minorEastAsia" w:hAnsiTheme="minorEastAsia" w:cs="宋体" w:hint="eastAsia"/>
          <w:bCs/>
          <w:szCs w:val="21"/>
          <w:lang w:eastAsia="zh-CN"/>
        </w:rPr>
      </w:pPr>
    </w:p>
    <w:p w:rsidR="009F340D" w:rsidRPr="00A936B7" w14:paraId="106024C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第四节 基金财产的保管</w:t>
      </w:r>
    </w:p>
    <w:p w:rsidR="009F340D" w:rsidRPr="00A936B7" w14:paraId="537068F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（一）基金财产保管的原则</w:t>
      </w:r>
    </w:p>
    <w:p w:rsidR="009F340D" w:rsidRPr="00A936B7" w14:paraId="1A76E6A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1、基金财产应独立于基金管理人、基金托管人的固有财产。</w:t>
      </w:r>
    </w:p>
    <w:p w:rsidR="009F340D" w:rsidRPr="00A936B7" w14:paraId="5E7B6D3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2、基金托管人应安全保管基金财产，未经基金管理人的合法合规指令或法律法规、《基金合同》及本协议另有约定，不得自行运用、处分、分配基金的任何财产。</w:t>
      </w:r>
    </w:p>
    <w:p w:rsidR="009F340D" w:rsidRPr="00A936B7" w14:paraId="401A6519"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3、基金托管人按照规定开设基金财产的资金账户和证券账户等投资所需账户。</w:t>
      </w:r>
    </w:p>
    <w:p w:rsidR="009F340D" w:rsidRPr="00A936B7" w14:paraId="4FA542C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4、基金托管人对所托管的不同基金财产分别设置账户，确保基金财产的完整与独立。</w:t>
      </w:r>
    </w:p>
    <w:p w:rsidR="009F340D" w:rsidRPr="00A936B7" w14:paraId="1200A0B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5、除依据《基金法》、《运作办法》、《基金合同》及其他有关法律法规规定外，基金托管人不得委托第三人托管基金财产。</w:t>
      </w:r>
    </w:p>
    <w:p w:rsidR="009F340D" w:rsidRPr="00A936B7" w14:paraId="3D21878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（二）基金合同生效前募集资金的验资和入账</w:t>
      </w:r>
    </w:p>
    <w:p w:rsidR="009F340D" w:rsidRPr="00A936B7" w14:paraId="4A5A49F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基金募集期满或基金管理人宣布停止募集时，募集的基金份额总额、基金募集金额、基金份额持有人人数符合《基金法》、《运作办法》等有关规定的，由基金管理人在法定期限内聘请符合《证券法》规定的会计师事务所对基金进行验资，并出具验资报告，出具的验资报告应由参加验资的2名以上（含2名）中国注册会计师签字方为有效。</w:t>
      </w:r>
    </w:p>
    <w:p w:rsidR="009F340D" w:rsidRPr="00A936B7" w14:paraId="04D3B05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2、基金管理人应将属于本基金财产的全部资金划入在基金托管人处为本基金开立的基金银行账户中，并确保划入的资金与验资确认金额相一致。</w:t>
      </w:r>
    </w:p>
    <w:p w:rsidR="009F340D" w:rsidRPr="00A936B7" w14:paraId="481FE061"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（三）基金的银行账户的开设和管理</w:t>
      </w:r>
    </w:p>
    <w:p w:rsidR="009F340D" w:rsidRPr="00A936B7" w14:paraId="09EFB19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1、基金托管人应负责本基金的银行账户的开设和管理。</w:t>
      </w:r>
    </w:p>
    <w:p w:rsidR="009F340D" w:rsidRPr="00A936B7" w14:paraId="4B7DE61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2、基金托管人以本基金的名义开设本基金的银行账户。本基金的银行预留印鉴由基金托管人保管和使用。本基金的一切货币收支活动，包括但不限于投资、支付赎回金额、支付基金收益、收取申购款，均需通过本基金的银行账户进行。</w:t>
      </w:r>
    </w:p>
    <w:p w:rsidR="009F340D" w:rsidRPr="00A936B7" w14:paraId="37F01B0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3、本基金银行账户的开立和使用，限于满足开展本基金业务的需要。基金托管人和基金管理人不得假借本基金的名义开立其他任何银行账户；亦不得使用本基金的银行账户进行本基金业务以外的活动。</w:t>
      </w:r>
    </w:p>
    <w:p w:rsidR="009F340D" w:rsidRPr="00A936B7" w14:paraId="114AABC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4、基金银行账户的管理应符合法律法规的有关规定。</w:t>
      </w:r>
    </w:p>
    <w:p w:rsidR="009F340D" w:rsidRPr="00A936B7" w14:paraId="78AB990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（四）基金进行定期存款投资的账户开设和管理</w:t>
      </w:r>
    </w:p>
    <w:p w:rsidR="009F340D" w:rsidRPr="00A936B7" w14:paraId="6A1B5951"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管理人以基金名义在基金托管人认可的存款银行的指定营业网点开立存款账户，基金托管人负责该账户银行预留印鉴的保管和使用。在上述账户开立和账户相关信息变更过程中，需要基金托管行配合的，基金管理人应提前向基金托管人提供开户或账户变更所需的相关资料。</w:t>
      </w:r>
    </w:p>
    <w:p w:rsidR="009F340D" w:rsidRPr="00A936B7" w14:paraId="363E7149"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（五）基金证券账户、结算备付金账户及其他投资账户的开设和管理</w:t>
      </w:r>
    </w:p>
    <w:p w:rsidR="009F340D" w:rsidRPr="00A936B7" w14:paraId="148CD6D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1、基金托管人应当代表本基金，以基金托管人和本基金联名的方式在中国证券登记结算有限责任公司开设证券账户。</w:t>
      </w:r>
    </w:p>
    <w:p w:rsidR="009F340D" w:rsidRPr="00A936B7" w14:paraId="7A1A96F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2、本基金证券账户的开立和使用，限于满足开展本基金业务的需要。基金托管人和基金管理人不得出借或转让本基金的证券账户，亦不得使用本基金的证券账户进行本基金业务以外的活动。</w:t>
      </w:r>
    </w:p>
    <w:p w:rsidR="009F340D" w:rsidRPr="00A936B7" w14:paraId="691FAAD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3、基金托管人以自身法人名义在中国证券登记结算有限责任公司开立结算备付金账户，用于办理基金托管人所托管的包括本基金在内的全部基金在证券交易所进行证券投资所涉及的资金结算业务。结算备付金的收取按照中国证券登记结算有限责任公司的规定执行。</w:t>
      </w:r>
    </w:p>
    <w:p w:rsidR="009F340D" w:rsidRPr="00A936B7" w14:paraId="7EEB1F2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4、在本托管协议生效日之后，本基金被允许从事其他投资品种的投资业务的，涉及相关账户的开设、使用的，若无相关规定，则基金托管人应当比照并遵守上述关于账户开设、使用的规定。</w:t>
      </w:r>
    </w:p>
    <w:p w:rsidR="009F340D" w:rsidRPr="00A936B7" w14:paraId="1D1600F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（六）债券托管专户的开设和管理</w:t>
      </w:r>
    </w:p>
    <w:p w:rsidR="009F340D" w:rsidRPr="00A936B7" w14:paraId="702FE4C3"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合同生效后，基金管理人负责向中国人民银行报备以及以基金的名义申请并取得进入全国银行间同业拆借市场的交易资格，并代表基金进行交易；基金托管人负责以基金的名义在中央国债登记结算有限责任公司和银行间市场清算所股份有限公司开设银行间债券市场债券托管账户和资金结算专户，并代表基金进行银行间债券市场债券和资金的清算。</w:t>
      </w:r>
    </w:p>
    <w:p w:rsidR="009F340D" w:rsidRPr="00A936B7" w14:paraId="7867EF4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（七）基金财产投资的有关有价凭证的保管</w:t>
      </w:r>
    </w:p>
    <w:p w:rsidR="009F340D" w:rsidRPr="00A936B7" w14:paraId="46540429"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基金财产投资的实物证券、银行定期存款存单等有价凭证由基金托管人负责妥善保管。基金托管人对其以外机构实际有效控制的有价凭证不承担责任。</w:t>
      </w:r>
    </w:p>
    <w:p w:rsidR="009F340D" w:rsidRPr="00A936B7" w14:paraId="203072B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（八）与基金财产有关的重大合同及有关凭证的保管</w:t>
      </w:r>
    </w:p>
    <w:p w:rsidR="009F340D" w:rsidRPr="00A936B7" w14:paraId="7DAE67F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托管人按照法律法规保管由基金管理人代表基金签署的与基金有关的重大合同及有关凭证。基金管理人代表基金签署有关重大合同后应在收到合同正本后30日内将一份正本的原件提交给基金托管人。除本协议另有规定外，基金管理人在代表基金签署与基金有关的重大合同时应保证基金一方持有两份以上的正本，以便基金管理人和基金托管人至少各持有一份正本的原件。重大合同由基金管理人与基金托管人按规定各自保管至少20年。</w:t>
      </w:r>
    </w:p>
    <w:p w:rsidR="009F340D" w:rsidRPr="00A936B7" w14:paraId="26D76E7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对于无法取得二份以上的正本的，基金管理人应向基金托管人提供与合同原件核对一致并加盖公章的合同复印件或传真件，未经双方协商一致，合同原件不得转移。</w:t>
      </w:r>
    </w:p>
    <w:p w:rsidR="009F340D" w:rsidRPr="00A936B7" w14:paraId="31B65959" w14:textId="77777777">
      <w:pPr>
        <w:spacing w:line="360" w:lineRule="auto"/>
        <w:ind w:firstLine="420"/>
        <w:rPr>
          <w:rFonts w:asciiTheme="minorEastAsia" w:eastAsiaTheme="minorEastAsia" w:hAnsiTheme="minorEastAsia" w:cs="宋体" w:hint="eastAsia"/>
          <w:bCs/>
          <w:szCs w:val="21"/>
          <w:lang w:eastAsia="zh-CN"/>
        </w:rPr>
      </w:pPr>
    </w:p>
    <w:p w:rsidR="009F340D" w:rsidRPr="00A936B7" w14:paraId="3B8E7E0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第五节 基金资产净值计算与复核</w:t>
      </w:r>
    </w:p>
    <w:p w:rsidR="009F340D" w:rsidRPr="00A936B7" w14:paraId="6486A6F1"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（一）基金资产净值的计算和复核</w:t>
      </w:r>
    </w:p>
    <w:p w:rsidR="009F340D" w:rsidRPr="00A936B7" w14:paraId="1CBF4CCF"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1、基金资产净值是指基金资产总值减去负债后的价值。基金份额净值是指计算日基金资产净值除以计算日该基金份额总数后的价值。</w:t>
      </w:r>
    </w:p>
    <w:p w:rsidR="009F340D" w:rsidRPr="00A936B7" w14:paraId="71F2723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2、基金管理人应每个估值日对基金财产估值，但基金管理人根据法律法规或《基金合同》的规定暂停估值时除外。估值原则应符合《基金合同》、《证券投资基金会计核算业务指引》及其他法律法规的规定。用于基金信息披露的基金净值信息由基金管理人负责计算，基金托管人复核。基金管理人应于每个估值日结束后计算得出当日的该基金份额净值，并以双方约定的方式发送给基金托管人。基金托管人应对净值计算结果进行复核，并以双方约定的方式将复核结果传送给基金管理人，由基金管理人对外公布。月末、年中和年末估值复核与基金会计账目的核对同时进行。</w:t>
      </w:r>
    </w:p>
    <w:p w:rsidR="009F340D" w:rsidRPr="00A936B7" w14:paraId="7D13CF9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3、当相关法律法规或《基金合同》规定的估值方法不能客观反映基金财产公允价值时，基金管理人可根据具体情况，并与基金托管人商定后，按最能反映公允价值的价格估值。</w:t>
      </w:r>
    </w:p>
    <w:p w:rsidR="009F340D" w:rsidRPr="00A936B7" w14:paraId="7C0EBAA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本基金实施侧袋机制的，应根据本部分的约定对主袋账户资产进行估值并披露主袋账户的基金资产净值和份额净值，暂停披露侧袋账户份额净值。</w:t>
      </w:r>
    </w:p>
    <w:p w:rsidR="009F340D" w:rsidRPr="00A936B7" w14:paraId="5C1A7AF1"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4、基金管理人、基金托管人发现基金估值违反《基金合同》订明的估值方法、程序以及相关法律法规的规定或者未能充分维护基金份额持有人利益时，双方应及时进行协商和纠正。</w:t>
      </w:r>
    </w:p>
    <w:p w:rsidR="009F340D" w:rsidRPr="00A936B7" w14:paraId="7EEB6243"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5、当基金资产的估值导致基金份额净值小数点后四位以内（含第四位）发生差错时，视为基金份额净值估值错误。当基金份额净值出现错误时，基金管理人应当立即予以纠正，并采取合理的措施防止损失进一步扩大；当计价错误达到基金份额净值的0.25%时，基金管理人应当通知基金托管人并报中国证监会备案；当计价错误达到基金份额净值的0.5%时，基金管理人应当通知基金托管人，在报中国证监会备案的同时及时进行公告。如法律法规或监管机关对前述内容另有规定的，按其规定处理。</w:t>
      </w:r>
    </w:p>
    <w:p w:rsidR="009F340D" w:rsidRPr="00A936B7" w14:paraId="2725A811"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6、由于基金管理人对外公布的任何基金净值数据错误，导致该基金财产或基金份额持有人的实际损失，基金管理人应对此承担责任。若基金托管人计算的净值数据正确，则基金托管人对该损失不承担责任；若基金托管人计算的净值数据也不正确，则基金托管人也应承担未正确履行复核义务的责任。如果上述错误造成了基金财产或基金份额持有人的不当得利，且基金管理人及基金托管人已各自承担了赔偿责任，则基金管理人应负责向不当得利之主体主张返还不当得利。如果返还金额不足以弥补基金管理人和基金托管人已承担的赔偿金额，则双方按照各自赔偿金额的比例对返还金额进行分配。基金管理人应确保基金份额数据的真实性、准确性，对于因基金管理人提供的基金份额数据错误导致基金净值计算错误的，基金托管人不承担责任。</w:t>
      </w:r>
    </w:p>
    <w:p w:rsidR="009F340D" w:rsidRPr="00A936B7" w14:paraId="6AAD543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7、由于不可抗力，或证券交易所、登记结算机构、指数编制机构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9F340D" w:rsidRPr="00A936B7" w14:paraId="16858D9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8、如果基金托管人的复核结果与基金管理人的计算结果存在差异，且双方经协商未能达成一致，基金管理人可以按照其对基金份额净值的计算结果对外予以公布，基金托管人可以将相关情况报中国证监会备案。基金托管人不承担基金管理人未接受基金托管人的复核意见进行信息披露的责任。</w:t>
      </w:r>
    </w:p>
    <w:p w:rsidR="009F340D" w:rsidRPr="00A936B7" w14:paraId="1C9697A1"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（二）基金会计核算</w:t>
      </w:r>
    </w:p>
    <w:p w:rsidR="009F340D" w:rsidRPr="00A936B7" w14:paraId="5843BBE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1、基金账册的建立</w:t>
      </w:r>
    </w:p>
    <w:p w:rsidR="009F340D" w:rsidRPr="00A936B7" w14:paraId="398D550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管理人和基金托管人在《基金合同》生效后，应按照双方约定的同一记账方法和会计处理原则，分别独立地设置、登记和保管基金的全套账册，对双方各自的账册定期进行核对，互相监督，以保证基金财产的安全。若双方对会计处理方法存在分歧，应以基金管理人的处理方法为准。</w:t>
      </w:r>
    </w:p>
    <w:p w:rsidR="009F340D" w:rsidRPr="00A936B7" w14:paraId="7E03D6E4"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2、会计数据和财务指标的核对</w:t>
      </w:r>
    </w:p>
    <w:p w:rsidR="009F340D" w:rsidRPr="00A936B7" w14:paraId="7457D180"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基金管理人和基金托管人应定期就会计数据和财务指标进行核对。如发现存在不符，双方应及时查明原因并纠正。</w:t>
      </w:r>
    </w:p>
    <w:p w:rsidR="009F340D" w:rsidRPr="00A936B7" w14:paraId="680D1242"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3、基金财务报表和定期报告的编制和复核</w:t>
      </w:r>
    </w:p>
    <w:p w:rsidR="009F340D" w:rsidRPr="00A936B7" w14:paraId="58826A6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财务报表由基金管理人和基金托管人每月分别独立编制。月度报表的编制，应于每月终了后5个工作日内完成；《基金合同》生效后，招募说明书的信息发生重大变更的，基金管理人应当在三个工作日内，更新招募说明书并登载在规定网站上。招募说明书其他信息发生变更的，基金管理人至少每年更新一次；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招募说明书和基金产品资料概要。基金管理人应当在每年结束之日起三个月内，编制完成基金年度报告，将年度报告登载在规定网站上，并将年度报告提示性公告登载在规定报刊上。基金管理人应当在上半年结束之日起两个月内，编制完成基金中期报告，将中期报告登载在规定网站上，并将中期报告提示性公告登载在规定报刊上。基金管理人应当在季度结束之日起15个工作日内，编制完成基金季度报告，将季度报告登载在规定网站上，并将季度报告提示性公告登载在规定报刊上。基金合同生效不足两个月的，基金管理人可以不编制当期季度报告、中期报告或者年度报告。</w:t>
      </w:r>
    </w:p>
    <w:p w:rsidR="009F340D" w:rsidRPr="00A936B7" w14:paraId="1E39F2D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托管人在复核过程中，发现双方的报表存在不符时，基金管理人和基金托管人应共同查明原因，进行调整，调整以双方认可的账务处理方式为准；若双方无法达成一致以基金管理人的账务处理为准。核对无误后，基金托管人在基金管理人提供的报告上加盖托管业务部门公章或者出具加盖托管业务部门公章的复核意见书或进行电子确认，双方各自留存一份。如果基金管理人与基金托管人不能于应当发布公告之日之前就相关报表达成一致，基金管理人有权按照其编制的报表对外发布公告，基金托管人有权就相关情况报证监会备案。</w:t>
      </w:r>
    </w:p>
    <w:p w:rsidR="009F340D" w:rsidRPr="00A936B7" w14:paraId="30265676" w14:textId="77777777">
      <w:pPr>
        <w:spacing w:line="360" w:lineRule="auto"/>
        <w:ind w:firstLine="420"/>
        <w:rPr>
          <w:rFonts w:asciiTheme="minorEastAsia" w:eastAsiaTheme="minorEastAsia" w:hAnsiTheme="minorEastAsia" w:cs="宋体" w:hint="eastAsia"/>
          <w:bCs/>
          <w:szCs w:val="21"/>
          <w:lang w:eastAsia="zh-CN"/>
        </w:rPr>
      </w:pPr>
    </w:p>
    <w:p w:rsidR="009F340D" w:rsidRPr="00A936B7" w14:paraId="49CFA85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第六节 基金份额持有人名册的登记与保管</w:t>
      </w:r>
    </w:p>
    <w:p w:rsidR="009F340D" w:rsidRPr="00A936B7" w14:paraId="3E7AB3CE"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份额持有人名册至少应包括基金份额持有人的名称和持有的基金份额。基金份额持有人名册由基金登记机构根据基金管理人的指令编制和保管，基金管理人和基金托管人应分别保管基金份额持有人名册，基金登记机构保存期不少于20年，法律法规另有规定或有权机关另有要求的除外。如不能妥善保管，则按相关法规承担责任。</w:t>
      </w:r>
    </w:p>
    <w:p w:rsidR="009F340D" w:rsidRPr="00A936B7" w14:paraId="0450AC4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在基金托管人要求或编制中期报告和年度报告前，基金管理人应将有关资料送交基金托管人，不得无故拒绝或延误提供，并保证其的真实性、准确性和完整性。基金托管人不得将所保管的基金份额持有人名册用于基金托管业务以外的其他用途，并应遵守保密义务。</w:t>
      </w:r>
    </w:p>
    <w:p w:rsidR="009F340D" w:rsidRPr="00A936B7" w14:paraId="25EDA304" w14:textId="77777777">
      <w:pPr>
        <w:spacing w:line="360" w:lineRule="auto"/>
        <w:ind w:firstLine="420"/>
        <w:rPr>
          <w:rStyle w:val="CommentReference"/>
          <w:rFonts w:asciiTheme="minorEastAsia" w:eastAsiaTheme="minorEastAsia" w:hAnsiTheme="minorEastAsia" w:cs="宋体" w:hint="eastAsia"/>
          <w:lang w:eastAsia="zh-CN"/>
        </w:rPr>
      </w:pPr>
    </w:p>
    <w:p w:rsidR="009F340D" w:rsidRPr="00A936B7" w14:paraId="2893A307" w14:textId="77777777">
      <w:pPr>
        <w:spacing w:line="360" w:lineRule="auto"/>
        <w:ind w:firstLine="420"/>
        <w:rPr>
          <w:rFonts w:asciiTheme="minorEastAsia" w:eastAsiaTheme="minorEastAsia" w:hAnsiTheme="minorEastAsia" w:cs="宋体" w:hint="eastAsia"/>
          <w:bCs/>
          <w:szCs w:val="21"/>
          <w:lang w:eastAsia="zh-CN"/>
        </w:rPr>
      </w:pPr>
      <w:r w:rsidRPr="00A936B7">
        <w:rPr>
          <w:rStyle w:val="CommentReference"/>
          <w:rFonts w:asciiTheme="minorEastAsia" w:eastAsiaTheme="minorEastAsia" w:hAnsiTheme="minorEastAsia" w:cs="宋体"/>
          <w:highlight w:val="white"/>
          <w:lang w:eastAsia="zh-CN"/>
        </w:rPr>
        <w:t>第七节</w:t>
      </w:r>
      <w:r w:rsidRPr="00A936B7">
        <w:rPr>
          <w:rFonts w:asciiTheme="minorEastAsia" w:eastAsiaTheme="minorEastAsia" w:hAnsiTheme="minorEastAsia" w:cs="宋体" w:hint="eastAsia"/>
          <w:bCs/>
          <w:szCs w:val="21"/>
          <w:highlight w:val="white"/>
          <w:lang w:eastAsia="zh-CN"/>
        </w:rPr>
        <w:t xml:space="preserve"> 争议解决方式</w:t>
      </w:r>
    </w:p>
    <w:p w:rsidR="009F340D" w:rsidRPr="00A936B7" w14:paraId="42E1FD7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（一）本协议适用中华人民共和国法律（为本协议之目的，不包括香港特别行政区、澳门特别行政区和台湾地区法律）并从其解释。</w:t>
      </w:r>
    </w:p>
    <w:p w:rsidR="009F340D" w:rsidRPr="00A936B7" w14:paraId="72C5815D"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二）基金管理人与基金托管人之间因本协议产生的或与本协议有关的争议可通过友好协商解决。但若自一方书面提出协商解决争议之日起60日内争议未能以协商方式解决的，则任何一方有权将争议提交位于北京的中国国际经济贸易仲裁委员会，并按其时有效的仲裁规则进行仲裁。仲裁裁决是终局的，对仲裁各方当事人均具有约束力。除非仲裁裁决另有规定，仲裁费用由败诉方承担。</w:t>
      </w:r>
    </w:p>
    <w:p w:rsidR="009F340D" w:rsidRPr="00A936B7" w14:paraId="1E00C366"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（三）除争议所涉的内容之外，本协议的当事人仍应履行本协议的其他规定。</w:t>
      </w:r>
    </w:p>
    <w:p w:rsidR="009F340D" w:rsidRPr="00A936B7" w14:paraId="1E54E837" w14:textId="77777777">
      <w:pPr>
        <w:spacing w:line="360" w:lineRule="auto"/>
        <w:ind w:firstLine="420"/>
        <w:rPr>
          <w:rFonts w:asciiTheme="minorEastAsia" w:eastAsiaTheme="minorEastAsia" w:hAnsiTheme="minorEastAsia" w:cs="宋体" w:hint="eastAsia"/>
          <w:bCs/>
          <w:szCs w:val="21"/>
          <w:lang w:eastAsia="zh-CN"/>
        </w:rPr>
      </w:pPr>
    </w:p>
    <w:p w:rsidR="009F340D" w:rsidRPr="00A936B7" w14:paraId="3A5D3663"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hint="eastAsia"/>
          <w:bCs/>
          <w:szCs w:val="21"/>
          <w:highlight w:val="white"/>
          <w:lang w:eastAsia="zh-CN"/>
        </w:rPr>
        <w:t>第八节 托管协议的修改与终止</w:t>
      </w:r>
    </w:p>
    <w:p w:rsidR="009F340D" w:rsidRPr="00A936B7" w14:paraId="24FC347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（一）托管协议的变更</w:t>
      </w:r>
    </w:p>
    <w:p w:rsidR="009F340D" w:rsidRPr="00A936B7" w14:paraId="7A761537"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本协议双方当事人经协商一致，可以对协议进行变更。变更后的新协议，其内容不得与《基金合同》的规定有任何冲突。</w:t>
      </w:r>
    </w:p>
    <w:p w:rsidR="009F340D" w:rsidRPr="00A936B7" w14:paraId="1F18EA93"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（二）托管协议的终止</w:t>
      </w:r>
    </w:p>
    <w:p w:rsidR="009F340D" w:rsidRPr="00A936B7" w14:paraId="19EBCC2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发生以下情况，本托管协议应当终止：</w:t>
      </w:r>
    </w:p>
    <w:p w:rsidR="009F340D" w:rsidRPr="00A936B7" w14:paraId="06043B08"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1、《基金合同》终止；</w:t>
      </w:r>
    </w:p>
    <w:p w:rsidR="009F340D" w:rsidRPr="00A936B7" w14:paraId="6B59583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2、本基金更换基金托管人；</w:t>
      </w:r>
    </w:p>
    <w:p w:rsidR="009F340D" w:rsidRPr="00A936B7" w14:paraId="5D9A9D5C"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3、本基金更换基金管理人；</w:t>
      </w:r>
    </w:p>
    <w:p w:rsidR="009F340D" w:rsidRPr="00A936B7" w14:paraId="0F93A8AB"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4、发生《基金法》、《运作办法》或其他法律法规规定的终止事项。</w:t>
      </w:r>
    </w:p>
    <w:p w:rsidR="009F340D" w:rsidRPr="00A936B7" w14:paraId="2EBA5E39"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（三）基金财产的清算</w:t>
      </w:r>
    </w:p>
    <w:p w:rsidR="009F340D" w:rsidRPr="00A936B7" w14:paraId="3EBD69BA" w14:textId="77777777">
      <w:pPr>
        <w:spacing w:line="360" w:lineRule="auto"/>
        <w:ind w:firstLine="420"/>
        <w:rPr>
          <w:rFonts w:asciiTheme="minorEastAsia" w:eastAsiaTheme="minorEastAsia" w:hAnsiTheme="minorEastAsia" w:cs="宋体" w:hint="eastAsia"/>
          <w:bCs/>
          <w:szCs w:val="21"/>
          <w:lang w:eastAsia="zh-CN"/>
        </w:rPr>
      </w:pPr>
      <w:r w:rsidRPr="00A936B7">
        <w:rPr>
          <w:rFonts w:asciiTheme="minorEastAsia" w:eastAsiaTheme="minorEastAsia" w:hAnsiTheme="minorEastAsia" w:cs="宋体"/>
          <w:bCs/>
          <w:szCs w:val="21"/>
          <w:highlight w:val="white"/>
          <w:lang w:eastAsia="zh-CN"/>
        </w:rPr>
        <w:t>基金管理人和基金托管人应按照《基金合同》及有关法律法规的规定对本基金的财产进行清算。</w:t>
      </w:r>
    </w:p>
    <w:p w:rsidR="009F340D" w:rsidRPr="00A936B7" w14:paraId="038DE72E" w14:textId="77777777">
      <w:pPr>
        <w:pStyle w:val="Heading1"/>
        <w:pageBreakBefore/>
        <w:spacing w:before="317" w:after="317" w:line="360" w:lineRule="auto"/>
        <w:ind w:firstLine="600"/>
        <w:rPr>
          <w:rFonts w:asciiTheme="minorEastAsia" w:eastAsiaTheme="minorEastAsia" w:hAnsiTheme="minorEastAsia" w:cs="宋体" w:hint="eastAsia"/>
          <w:bCs/>
          <w:sz w:val="30"/>
          <w:szCs w:val="30"/>
          <w:lang w:eastAsia="zh-CN"/>
        </w:rPr>
      </w:pPr>
      <w:bookmarkStart w:id="1862" w:name="_Toc129511546"/>
      <w:r w:rsidRPr="00A936B7">
        <w:rPr>
          <w:rFonts w:asciiTheme="minorEastAsia" w:eastAsiaTheme="minorEastAsia" w:hAnsiTheme="minorEastAsia" w:cs="宋体" w:hint="eastAsia"/>
          <w:sz w:val="30"/>
          <w:szCs w:val="30"/>
          <w:highlight w:val="white"/>
          <w:lang w:eastAsia="zh-CN"/>
        </w:rPr>
        <w:t>第二</w:t>
      </w:r>
      <w:bookmarkStart w:id="1863" w:name="_Toc332373591"/>
      <w:r w:rsidRPr="00A936B7">
        <w:rPr>
          <w:rFonts w:asciiTheme="minorEastAsia" w:eastAsiaTheme="minorEastAsia" w:hAnsiTheme="minorEastAsia" w:cs="宋体" w:hint="eastAsia"/>
          <w:sz w:val="30"/>
          <w:szCs w:val="30"/>
          <w:highlight w:val="white"/>
          <w:lang w:eastAsia="zh-CN"/>
        </w:rPr>
        <w:t>十</w:t>
      </w:r>
      <w:r w:rsidRPr="00A936B7">
        <w:rPr>
          <w:rFonts w:asciiTheme="minorEastAsia" w:eastAsiaTheme="minorEastAsia" w:hAnsiTheme="minorEastAsia" w:cs="宋体"/>
          <w:sz w:val="30"/>
          <w:szCs w:val="30"/>
          <w:highlight w:val="white"/>
          <w:lang w:eastAsia="zh-CN"/>
        </w:rPr>
        <w:t>四部分 对基金份额持有人的服务</w:t>
      </w:r>
      <w:bookmarkEnd w:id="1862"/>
      <w:bookmarkEnd w:id="1863"/>
    </w:p>
    <w:p w:rsidR="009F340D" w:rsidRPr="00A936B7" w14:paraId="75EA84AF" w14:textId="77777777">
      <w:pPr>
        <w:pStyle w:val="BodyTextFirstIndent"/>
        <w:spacing w:after="0" w:line="360" w:lineRule="auto"/>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基金管理人承诺为基金份额持有人提供一系列的服务。以下是主要的服务内容，基金管理人根据基金份额持有人的需要和市场的变化，有权增加、修改这些服务项目：</w:t>
      </w:r>
    </w:p>
    <w:p w:rsidR="009F340D" w:rsidRPr="00A936B7" w14:paraId="40F11786" w14:textId="77777777">
      <w:pPr>
        <w:pStyle w:val="BodyTextFirstIndent"/>
        <w:spacing w:after="0" w:line="360" w:lineRule="auto"/>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一、基金份额持有人投资交易确认服务</w:t>
      </w:r>
    </w:p>
    <w:p w:rsidR="009F340D" w:rsidRPr="00A936B7" w14:paraId="7C204385" w14:textId="77777777">
      <w:pPr>
        <w:pStyle w:val="BodyTextFirstIndent"/>
        <w:spacing w:after="0" w:line="360" w:lineRule="auto"/>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登记机构保留基金份额持有人名册上列明的所有基金份额持有人的基金交易记录。本公司根据在直销网点进行交易的投资人的要求提供成交确认单。非直销销售机构基金份额持有人投资交易确认服务请参照各销售机构实际业务流程及规定。</w:t>
      </w:r>
    </w:p>
    <w:p w:rsidR="009F340D" w:rsidRPr="00A936B7" w14:paraId="7CCB4F55" w14:textId="77777777">
      <w:pPr>
        <w:pStyle w:val="BodyTextFirstIndent"/>
        <w:spacing w:after="0" w:line="360" w:lineRule="auto"/>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二、基金份额持有人交易记录查询服务</w:t>
      </w:r>
    </w:p>
    <w:p w:rsidR="009F340D" w:rsidRPr="00A936B7" w14:paraId="1EAF6033" w14:textId="77777777">
      <w:pPr>
        <w:pStyle w:val="BodyTextFirstIndent"/>
        <w:spacing w:after="0" w:line="360" w:lineRule="auto"/>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本基金份额持有人可通过基金管理人的客户服务中心、微信小程序“易方达易服务”查询历史交易记录。</w:t>
      </w:r>
    </w:p>
    <w:p w:rsidR="009F340D" w:rsidRPr="00A936B7" w14:paraId="490A42CB" w14:textId="77777777">
      <w:pPr>
        <w:pStyle w:val="BodyTextFirstIndent"/>
        <w:spacing w:after="0" w:line="360" w:lineRule="auto"/>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三、基金份额持有人的对账单服务</w:t>
      </w:r>
    </w:p>
    <w:p w:rsidR="009F340D" w:rsidRPr="00A936B7" w14:paraId="29B13D6A" w14:textId="77777777">
      <w:pPr>
        <w:pStyle w:val="BodyTextFirstIndent"/>
        <w:spacing w:after="0" w:line="360" w:lineRule="auto"/>
        <w:rPr>
          <w:rFonts w:asciiTheme="minorEastAsia" w:eastAsiaTheme="minorEastAsia" w:hAnsiTheme="minorEastAsia" w:cs="宋体" w:hint="eastAsia"/>
        </w:rPr>
      </w:pPr>
      <w:r w:rsidRPr="00A936B7">
        <w:rPr>
          <w:rFonts w:asciiTheme="minorEastAsia" w:eastAsiaTheme="minorEastAsia" w:hAnsiTheme="minorEastAsia" w:cs="宋体" w:hint="eastAsia"/>
          <w:highlight w:val="white"/>
        </w:rPr>
        <w:t>1、基金份额持有人可登录本公司网站</w:t>
      </w:r>
      <w:r w:rsidRPr="00A936B7">
        <w:rPr>
          <w:rFonts w:asciiTheme="minorEastAsia" w:eastAsiaTheme="minorEastAsia" w:hAnsiTheme="minorEastAsia" w:cs="宋体" w:hint="eastAsia"/>
          <w:szCs w:val="21"/>
          <w:highlight w:val="white"/>
        </w:rPr>
        <w:t>（www.efunds.com.cn）、微信小程序</w:t>
      </w:r>
      <w:r w:rsidRPr="00A936B7">
        <w:rPr>
          <w:rFonts w:asciiTheme="minorEastAsia" w:eastAsiaTheme="minorEastAsia" w:hAnsiTheme="minorEastAsia" w:cs="宋体" w:hint="eastAsia"/>
          <w:highlight w:val="white"/>
        </w:rPr>
        <w:t>“易方达易服务”查阅对账单。</w:t>
      </w:r>
    </w:p>
    <w:p w:rsidR="009F340D" w:rsidRPr="00A936B7" w14:paraId="0F8DD2EB" w14:textId="77777777">
      <w:pPr>
        <w:pStyle w:val="BodyTextFirstIndent"/>
        <w:spacing w:after="0" w:line="360" w:lineRule="auto"/>
        <w:rPr>
          <w:rFonts w:asciiTheme="minorEastAsia" w:eastAsiaTheme="minorEastAsia" w:hAnsiTheme="minorEastAsia" w:cs="宋体" w:hint="eastAsia"/>
          <w:lang w:eastAsia="zh-CN"/>
        </w:rPr>
      </w:pPr>
      <w:r w:rsidRPr="00A936B7">
        <w:rPr>
          <w:rFonts w:asciiTheme="minorEastAsia" w:eastAsiaTheme="minorEastAsia" w:hAnsiTheme="minorEastAsia" w:cs="宋体"/>
          <w:highlight w:val="white"/>
          <w:lang w:eastAsia="zh-CN"/>
        </w:rPr>
        <w:t>2、</w:t>
      </w:r>
      <w:r w:rsidRPr="00A936B7">
        <w:rPr>
          <w:rFonts w:asciiTheme="minorEastAsia" w:eastAsiaTheme="minorEastAsia" w:hAnsiTheme="minorEastAsia" w:cs="宋体" w:hint="eastAsia"/>
          <w:highlight w:val="white"/>
          <w:lang w:eastAsia="zh-CN"/>
        </w:rPr>
        <w:t>本公司每年度以短信、APP、公众号、小程序或其他形式等任意一种形式向通过易方达直销系统持有本公司基金份额的持有人提供基金保有情况信息，基金份额持有人也可以向本公司定制短信等形式的月度对账单。</w:t>
      </w:r>
    </w:p>
    <w:p w:rsidR="009F340D" w:rsidRPr="00A936B7" w14:paraId="4EE138D1" w14:textId="77777777">
      <w:pPr>
        <w:pStyle w:val="BodyTextFirstIndent"/>
        <w:spacing w:after="0" w:line="360" w:lineRule="auto"/>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具体查阅和定制账单的方法可参见本公司网站或拨打客服热线咨询。</w:t>
      </w:r>
    </w:p>
    <w:p w:rsidR="009F340D" w:rsidRPr="00A936B7" w14:paraId="314D93A7" w14:textId="77777777">
      <w:pPr>
        <w:pStyle w:val="BodyTextFirstIndent"/>
        <w:spacing w:after="0" w:line="360" w:lineRule="auto"/>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四、资讯服务</w:t>
      </w:r>
    </w:p>
    <w:p w:rsidR="009F340D" w:rsidRPr="00A936B7" w14:paraId="08262C76" w14:textId="77777777">
      <w:pPr>
        <w:spacing w:line="360" w:lineRule="auto"/>
        <w:ind w:firstLine="424"/>
        <w:rPr>
          <w:rFonts w:asciiTheme="minorEastAsia" w:eastAsiaTheme="minorEastAsia" w:hAnsiTheme="minorEastAsia" w:cs="宋体" w:hint="eastAsia"/>
          <w:lang w:eastAsia="zh-CN"/>
        </w:rPr>
      </w:pPr>
      <w:r w:rsidRPr="00A936B7">
        <w:rPr>
          <w:rFonts w:asciiTheme="minorEastAsia" w:eastAsiaTheme="minorEastAsia" w:hAnsiTheme="minorEastAsia" w:cs="宋体"/>
          <w:highlight w:val="white"/>
          <w:lang w:eastAsia="zh-CN"/>
        </w:rPr>
        <w:t>1、客户服务电话</w:t>
      </w:r>
    </w:p>
    <w:p w:rsidR="009F340D" w:rsidRPr="00A936B7" w14:paraId="3B846696" w14:textId="77777777">
      <w:pPr>
        <w:spacing w:line="360" w:lineRule="auto"/>
        <w:ind w:firstLine="424"/>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投资者如果想了解基金产品、服务等信息，或反馈投资过程中需要投诉与建议的情况，可拨打如下电话：</w:t>
      </w:r>
      <w:r w:rsidRPr="00A936B7">
        <w:rPr>
          <w:rFonts w:asciiTheme="minorEastAsia" w:eastAsiaTheme="minorEastAsia" w:hAnsiTheme="minorEastAsia" w:cs="宋体"/>
          <w:highlight w:val="white"/>
          <w:lang w:eastAsia="zh-CN"/>
        </w:rPr>
        <w:t>4008818088。</w:t>
      </w:r>
      <w:r w:rsidRPr="00A936B7">
        <w:rPr>
          <w:rFonts w:asciiTheme="minorEastAsia" w:eastAsiaTheme="minorEastAsia" w:hAnsiTheme="minorEastAsia" w:cs="宋体" w:hint="eastAsia"/>
          <w:highlight w:val="white"/>
          <w:lang w:eastAsia="zh-CN"/>
        </w:rPr>
        <w:t>投资者如果认为自己不能准确理解本基金《招募说明书》《基金合同》的具体内容，也可拨打上述电话详询。</w:t>
      </w:r>
    </w:p>
    <w:p w:rsidR="009F340D" w:rsidRPr="00A936B7" w14:paraId="6160596A" w14:textId="77777777">
      <w:pPr>
        <w:spacing w:line="360" w:lineRule="auto"/>
        <w:ind w:firstLine="424"/>
        <w:rPr>
          <w:rFonts w:asciiTheme="minorEastAsia" w:eastAsiaTheme="minorEastAsia" w:hAnsiTheme="minorEastAsia" w:cs="宋体" w:hint="eastAsia"/>
        </w:rPr>
      </w:pPr>
      <w:r w:rsidRPr="00A936B7">
        <w:rPr>
          <w:rFonts w:asciiTheme="minorEastAsia" w:eastAsiaTheme="minorEastAsia" w:hAnsiTheme="minorEastAsia" w:cs="宋体"/>
          <w:highlight w:val="white"/>
        </w:rPr>
        <w:t>2、互联网站及电子信箱</w:t>
      </w:r>
    </w:p>
    <w:p w:rsidR="009F340D" w:rsidRPr="00A936B7" w14:paraId="485317F1" w14:textId="77777777">
      <w:pPr>
        <w:spacing w:line="360" w:lineRule="auto"/>
        <w:ind w:firstLine="424"/>
        <w:rPr>
          <w:rFonts w:asciiTheme="minorEastAsia" w:eastAsiaTheme="minorEastAsia" w:hAnsiTheme="minorEastAsia" w:cs="宋体" w:hint="eastAsia"/>
        </w:rPr>
      </w:pPr>
      <w:r w:rsidRPr="00A936B7">
        <w:rPr>
          <w:rFonts w:asciiTheme="minorEastAsia" w:eastAsiaTheme="minorEastAsia" w:hAnsiTheme="minorEastAsia" w:cs="宋体" w:hint="eastAsia"/>
          <w:highlight w:val="white"/>
        </w:rPr>
        <w:t>网址：</w:t>
      </w:r>
      <w:r w:rsidRPr="00A936B7">
        <w:rPr>
          <w:rFonts w:asciiTheme="minorEastAsia" w:eastAsiaTheme="minorEastAsia" w:hAnsiTheme="minorEastAsia" w:cs="宋体"/>
          <w:highlight w:val="white"/>
        </w:rPr>
        <w:t>www.efunds.com.cn</w:t>
      </w:r>
    </w:p>
    <w:p w:rsidR="009F340D" w:rsidRPr="00A936B7" w14:paraId="36CA49A0" w14:textId="77777777">
      <w:pPr>
        <w:spacing w:line="360" w:lineRule="auto"/>
        <w:ind w:firstLine="424"/>
        <w:rPr>
          <w:rFonts w:asciiTheme="minorEastAsia" w:eastAsiaTheme="minorEastAsia" w:hAnsiTheme="minorEastAsia" w:cs="宋体" w:hint="eastAsia"/>
        </w:rPr>
      </w:pPr>
      <w:r w:rsidRPr="00A936B7">
        <w:rPr>
          <w:rFonts w:asciiTheme="minorEastAsia" w:eastAsiaTheme="minorEastAsia" w:hAnsiTheme="minorEastAsia" w:cs="宋体" w:hint="eastAsia"/>
          <w:highlight w:val="white"/>
        </w:rPr>
        <w:t>电子信箱：</w:t>
      </w:r>
      <w:r w:rsidRPr="00A936B7">
        <w:rPr>
          <w:rFonts w:asciiTheme="minorEastAsia" w:eastAsiaTheme="minorEastAsia" w:hAnsiTheme="minorEastAsia" w:cs="宋体"/>
          <w:highlight w:val="white"/>
        </w:rPr>
        <w:t xml:space="preserve">service@efunds.com.cn </w:t>
      </w:r>
    </w:p>
    <w:p w:rsidR="009F340D" w:rsidRPr="00A936B7" w14:paraId="09774722" w14:textId="77777777">
      <w:pPr>
        <w:pStyle w:val="Heading1"/>
        <w:pageBreakBefore/>
        <w:spacing w:before="317" w:after="317" w:line="360" w:lineRule="auto"/>
        <w:ind w:firstLine="2550"/>
        <w:jc w:val="both"/>
        <w:rPr>
          <w:rFonts w:asciiTheme="minorEastAsia" w:eastAsiaTheme="minorEastAsia" w:hAnsiTheme="minorEastAsia" w:cs="宋体" w:hint="eastAsia"/>
          <w:sz w:val="30"/>
          <w:szCs w:val="30"/>
          <w:lang w:eastAsia="zh-CN"/>
        </w:rPr>
      </w:pPr>
      <w:bookmarkStart w:id="1864" w:name="_Toc332373592"/>
      <w:bookmarkStart w:id="1865" w:name="_Toc129511547"/>
      <w:r w:rsidRPr="00A936B7">
        <w:rPr>
          <w:rFonts w:asciiTheme="minorEastAsia" w:eastAsiaTheme="minorEastAsia" w:hAnsiTheme="minorEastAsia" w:cs="宋体" w:hint="eastAsia"/>
          <w:sz w:val="30"/>
          <w:szCs w:val="30"/>
          <w:highlight w:val="white"/>
          <w:lang w:eastAsia="zh-CN"/>
        </w:rPr>
        <w:t>第二十</w:t>
      </w:r>
      <w:r w:rsidRPr="00A936B7">
        <w:rPr>
          <w:rFonts w:asciiTheme="minorEastAsia" w:eastAsiaTheme="minorEastAsia" w:hAnsiTheme="minorEastAsia" w:cs="宋体"/>
          <w:sz w:val="30"/>
          <w:szCs w:val="30"/>
          <w:highlight w:val="white"/>
          <w:lang w:eastAsia="zh-CN"/>
        </w:rPr>
        <w:t>五</w:t>
      </w:r>
      <w:r w:rsidRPr="00A936B7">
        <w:rPr>
          <w:rFonts w:asciiTheme="minorEastAsia" w:eastAsiaTheme="minorEastAsia" w:hAnsiTheme="minorEastAsia" w:cs="宋体" w:hint="eastAsia"/>
          <w:sz w:val="30"/>
          <w:szCs w:val="30"/>
          <w:highlight w:val="white"/>
          <w:lang w:eastAsia="zh-CN"/>
        </w:rPr>
        <w:t>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其他应披露事项</w:t>
      </w:r>
      <w:bookmarkEnd w:id="1864"/>
      <w:bookmarkEnd w:id="1865"/>
    </w:p>
    <w:p w:rsidR="009F340D" w:rsidRPr="00A936B7" w14:paraId="3FF0AC2F" w14:textId="77777777">
      <w:pPr>
        <w:spacing w:line="400" w:lineRule="exact"/>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无</w:t>
      </w:r>
    </w:p>
    <w:p w:rsidR="009F340D" w:rsidRPr="00A936B7" w14:paraId="0F0A4FD5" w14:textId="77777777">
      <w:pPr>
        <w:pStyle w:val="NormalIndent"/>
        <w:rPr>
          <w:rFonts w:asciiTheme="minorEastAsia" w:eastAsiaTheme="minorEastAsia" w:hAnsiTheme="minorEastAsia" w:cs="宋体" w:hint="eastAsia"/>
          <w:lang w:eastAsia="zh-CN"/>
        </w:rPr>
      </w:pPr>
    </w:p>
    <w:p w:rsidR="009F340D" w:rsidRPr="00A936B7" w14:paraId="19A5602B" w14:textId="77777777">
      <w:pPr>
        <w:pStyle w:val="NormalIndent"/>
        <w:rPr>
          <w:rFonts w:asciiTheme="minorEastAsia" w:eastAsiaTheme="minorEastAsia" w:hAnsiTheme="minorEastAsia" w:cs="宋体" w:hint="eastAsia"/>
          <w:lang w:eastAsia="zh-CN"/>
        </w:rPr>
      </w:pPr>
    </w:p>
    <w:p w:rsidR="009F340D" w:rsidRPr="00A936B7" w14:paraId="78671787" w14:textId="77777777">
      <w:pPr>
        <w:pStyle w:val="NormalIndent"/>
        <w:rPr>
          <w:rFonts w:asciiTheme="minorEastAsia" w:eastAsiaTheme="minorEastAsia" w:hAnsiTheme="minorEastAsia" w:cs="宋体" w:hint="eastAsia"/>
          <w:lang w:eastAsia="zh-CN"/>
        </w:rPr>
      </w:pPr>
    </w:p>
    <w:p w:rsidR="009F340D" w:rsidRPr="00A936B7" w14:paraId="25FE81F1" w14:textId="77777777">
      <w:pPr>
        <w:pStyle w:val="NormalIndent"/>
        <w:rPr>
          <w:rFonts w:asciiTheme="minorEastAsia" w:eastAsiaTheme="minorEastAsia" w:hAnsiTheme="minorEastAsia" w:cs="宋体" w:hint="eastAsia"/>
          <w:lang w:eastAsia="zh-CN"/>
        </w:rPr>
      </w:pPr>
    </w:p>
    <w:p w:rsidR="009F340D" w:rsidRPr="00A936B7" w14:paraId="2FCBC39B" w14:textId="77777777">
      <w:pPr>
        <w:pStyle w:val="NormalIndent"/>
        <w:rPr>
          <w:rFonts w:asciiTheme="minorEastAsia" w:eastAsiaTheme="minorEastAsia" w:hAnsiTheme="minorEastAsia" w:cs="宋体" w:hint="eastAsia"/>
          <w:lang w:eastAsia="zh-CN"/>
        </w:rPr>
      </w:pPr>
    </w:p>
    <w:p w:rsidR="009F340D" w:rsidRPr="00A936B7" w14:paraId="371BEEF8" w14:textId="77777777">
      <w:pPr>
        <w:pStyle w:val="NormalIndent"/>
        <w:rPr>
          <w:rFonts w:asciiTheme="minorEastAsia" w:eastAsiaTheme="minorEastAsia" w:hAnsiTheme="minorEastAsia" w:cs="宋体" w:hint="eastAsia"/>
          <w:lang w:eastAsia="zh-CN"/>
        </w:rPr>
      </w:pPr>
    </w:p>
    <w:p w:rsidR="009F340D" w:rsidRPr="00A936B7" w14:paraId="45AB7BE2" w14:textId="77777777">
      <w:pPr>
        <w:pStyle w:val="NormalIndent"/>
        <w:rPr>
          <w:rFonts w:asciiTheme="minorEastAsia" w:eastAsiaTheme="minorEastAsia" w:hAnsiTheme="minorEastAsia" w:cs="宋体" w:hint="eastAsia"/>
          <w:lang w:eastAsia="zh-CN"/>
        </w:rPr>
      </w:pPr>
    </w:p>
    <w:p w:rsidR="009F340D" w:rsidRPr="00A936B7" w14:paraId="5EBC5422" w14:textId="77777777">
      <w:pPr>
        <w:pStyle w:val="NormalIndent"/>
        <w:rPr>
          <w:rFonts w:asciiTheme="minorEastAsia" w:eastAsiaTheme="minorEastAsia" w:hAnsiTheme="minorEastAsia" w:cs="宋体" w:hint="eastAsia"/>
          <w:lang w:eastAsia="zh-CN"/>
        </w:rPr>
      </w:pPr>
    </w:p>
    <w:p w:rsidR="009F340D" w:rsidRPr="00A936B7" w14:paraId="79F47DAE" w14:textId="77777777">
      <w:pPr>
        <w:pStyle w:val="NormalIndent"/>
        <w:rPr>
          <w:rFonts w:asciiTheme="minorEastAsia" w:eastAsiaTheme="minorEastAsia" w:hAnsiTheme="minorEastAsia" w:cs="宋体" w:hint="eastAsia"/>
          <w:lang w:eastAsia="zh-CN"/>
        </w:rPr>
      </w:pPr>
    </w:p>
    <w:p w:rsidR="009F340D" w:rsidRPr="00A936B7" w14:paraId="33867A8B" w14:textId="77777777">
      <w:pPr>
        <w:widowControl/>
        <w:jc w:val="left"/>
        <w:rPr>
          <w:rFonts w:asciiTheme="minorEastAsia" w:eastAsiaTheme="minorEastAsia" w:hAnsiTheme="minorEastAsia" w:cs="宋体" w:hint="eastAsia"/>
          <w:sz w:val="30"/>
          <w:szCs w:val="32"/>
          <w:lang w:eastAsia="zh-CN"/>
        </w:rPr>
      </w:pPr>
      <w:r w:rsidRPr="00A936B7">
        <w:rPr>
          <w:rFonts w:asciiTheme="minorEastAsia" w:eastAsiaTheme="minorEastAsia" w:hAnsiTheme="minorEastAsia" w:cs="宋体"/>
          <w:sz w:val="30"/>
          <w:highlight w:val="white"/>
          <w:lang w:eastAsia="zh-CN"/>
        </w:rPr>
        <w:br w:type="page"/>
      </w:r>
    </w:p>
    <w:p w:rsidR="009F340D" w:rsidRPr="00A936B7" w14:paraId="4917E390" w14:textId="77777777">
      <w:pPr>
        <w:pStyle w:val="Heading1"/>
        <w:spacing w:before="317" w:after="317" w:line="360" w:lineRule="auto"/>
        <w:ind w:firstLine="600"/>
        <w:rPr>
          <w:rFonts w:asciiTheme="minorEastAsia" w:eastAsiaTheme="minorEastAsia" w:hAnsiTheme="minorEastAsia" w:cs="宋体" w:hint="eastAsia"/>
          <w:bCs/>
          <w:sz w:val="30"/>
          <w:szCs w:val="30"/>
          <w:lang w:eastAsia="zh-CN"/>
        </w:rPr>
      </w:pPr>
      <w:bookmarkStart w:id="1866" w:name="_Toc129511548"/>
      <w:r w:rsidRPr="00A936B7">
        <w:rPr>
          <w:rFonts w:asciiTheme="minorEastAsia" w:eastAsiaTheme="minorEastAsia" w:hAnsiTheme="minorEastAsia" w:cs="宋体" w:hint="eastAsia"/>
          <w:sz w:val="30"/>
          <w:szCs w:val="30"/>
          <w:highlight w:val="white"/>
          <w:lang w:eastAsia="zh-CN"/>
        </w:rPr>
        <w:t>第二</w:t>
      </w:r>
      <w:bookmarkStart w:id="1867" w:name="_Toc332373593"/>
      <w:r w:rsidRPr="00A936B7">
        <w:rPr>
          <w:rFonts w:asciiTheme="minorEastAsia" w:eastAsiaTheme="minorEastAsia" w:hAnsiTheme="minorEastAsia" w:cs="宋体" w:hint="eastAsia"/>
          <w:sz w:val="30"/>
          <w:szCs w:val="30"/>
          <w:highlight w:val="white"/>
          <w:lang w:eastAsia="zh-CN"/>
        </w:rPr>
        <w:t>十</w:t>
      </w:r>
      <w:r w:rsidRPr="00A936B7">
        <w:rPr>
          <w:rFonts w:asciiTheme="minorEastAsia" w:eastAsiaTheme="minorEastAsia" w:hAnsiTheme="minorEastAsia" w:cs="宋体"/>
          <w:sz w:val="30"/>
          <w:szCs w:val="30"/>
          <w:highlight w:val="white"/>
          <w:lang w:eastAsia="zh-CN"/>
        </w:rPr>
        <w:t>六</w:t>
      </w:r>
      <w:r w:rsidRPr="00A936B7">
        <w:rPr>
          <w:rFonts w:asciiTheme="minorEastAsia" w:eastAsiaTheme="minorEastAsia" w:hAnsiTheme="minorEastAsia" w:cs="宋体" w:hint="eastAsia"/>
          <w:sz w:val="30"/>
          <w:szCs w:val="30"/>
          <w:highlight w:val="white"/>
          <w:lang w:eastAsia="zh-CN"/>
        </w:rPr>
        <w:t>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招募说明书的存放及查阅方式</w:t>
      </w:r>
      <w:bookmarkEnd w:id="1866"/>
      <w:bookmarkEnd w:id="1867"/>
    </w:p>
    <w:p w:rsidR="009F340D" w:rsidRPr="00A936B7" w14:paraId="3481E694"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本招募说明书存放在基金管理人、基金托管人及其他基金销售机构处，投资者可在营业时间免费查阅，也可按工本费购买复印件。</w:t>
      </w:r>
    </w:p>
    <w:p w:rsidR="009F340D" w:rsidRPr="00A936B7" w14:paraId="76777861"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基金管理人和基金托管人保证文本的内容与公告的内容完全一致。</w:t>
      </w:r>
    </w:p>
    <w:p w:rsidR="009F340D" w:rsidRPr="00A936B7" w14:paraId="60521F6A" w14:textId="77777777">
      <w:pPr>
        <w:pStyle w:val="Heading1"/>
        <w:spacing w:before="317" w:after="317" w:line="360" w:lineRule="auto"/>
        <w:ind w:firstLine="600"/>
        <w:rPr>
          <w:rFonts w:asciiTheme="minorEastAsia" w:eastAsiaTheme="minorEastAsia" w:hAnsiTheme="minorEastAsia" w:cs="宋体" w:hint="eastAsia"/>
          <w:bCs/>
          <w:sz w:val="30"/>
          <w:szCs w:val="30"/>
          <w:lang w:eastAsia="zh-CN"/>
        </w:rPr>
      </w:pPr>
      <w:r w:rsidRPr="00A936B7">
        <w:rPr>
          <w:rFonts w:asciiTheme="minorEastAsia" w:eastAsiaTheme="minorEastAsia" w:hAnsiTheme="minorEastAsia" w:cs="宋体"/>
          <w:sz w:val="30"/>
          <w:highlight w:val="white"/>
          <w:lang w:eastAsia="zh-CN"/>
        </w:rPr>
        <w:br w:type="column"/>
      </w:r>
      <w:bookmarkStart w:id="1868" w:name="_Toc129511549"/>
      <w:r w:rsidRPr="00A936B7">
        <w:rPr>
          <w:rFonts w:asciiTheme="minorEastAsia" w:eastAsiaTheme="minorEastAsia" w:hAnsiTheme="minorEastAsia" w:cs="宋体"/>
          <w:sz w:val="30"/>
          <w:szCs w:val="30"/>
          <w:highlight w:val="white"/>
          <w:lang w:eastAsia="zh-CN"/>
        </w:rPr>
        <w:t>第</w:t>
      </w:r>
      <w:r w:rsidRPr="00A936B7">
        <w:rPr>
          <w:rFonts w:asciiTheme="minorEastAsia" w:eastAsiaTheme="minorEastAsia" w:hAnsiTheme="minorEastAsia" w:cs="宋体" w:hint="eastAsia"/>
          <w:sz w:val="30"/>
          <w:szCs w:val="30"/>
          <w:highlight w:val="white"/>
          <w:lang w:eastAsia="zh-CN"/>
        </w:rPr>
        <w:t>二</w:t>
      </w:r>
      <w:bookmarkStart w:id="1869" w:name="_Toc332373594"/>
      <w:r w:rsidRPr="00A936B7">
        <w:rPr>
          <w:rFonts w:asciiTheme="minorEastAsia" w:eastAsiaTheme="minorEastAsia" w:hAnsiTheme="minorEastAsia" w:cs="宋体" w:hint="eastAsia"/>
          <w:sz w:val="30"/>
          <w:szCs w:val="30"/>
          <w:highlight w:val="white"/>
          <w:lang w:eastAsia="zh-CN"/>
        </w:rPr>
        <w:t>十七部分</w:t>
      </w:r>
      <w:r w:rsidRPr="00A936B7">
        <w:rPr>
          <w:rFonts w:asciiTheme="minorEastAsia" w:eastAsiaTheme="minorEastAsia" w:hAnsiTheme="minorEastAsia" w:cs="宋体"/>
          <w:sz w:val="30"/>
          <w:szCs w:val="30"/>
          <w:highlight w:val="white"/>
          <w:lang w:eastAsia="zh-CN"/>
        </w:rPr>
        <w:t xml:space="preserve"> </w:t>
      </w:r>
      <w:r w:rsidRPr="00A936B7">
        <w:rPr>
          <w:rFonts w:asciiTheme="minorEastAsia" w:eastAsiaTheme="minorEastAsia" w:hAnsiTheme="minorEastAsia" w:cs="宋体" w:hint="eastAsia"/>
          <w:sz w:val="30"/>
          <w:szCs w:val="30"/>
          <w:highlight w:val="white"/>
          <w:lang w:eastAsia="zh-CN"/>
        </w:rPr>
        <w:t>备查文件</w:t>
      </w:r>
      <w:bookmarkEnd w:id="1868"/>
      <w:bookmarkEnd w:id="1869"/>
    </w:p>
    <w:p w:rsidR="009F340D" w:rsidRPr="00A936B7" w14:paraId="498C2137"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1.中国证监会准予</w:t>
      </w:r>
      <w:r w:rsidRPr="00A936B7">
        <w:rPr>
          <w:rFonts w:asciiTheme="minorEastAsia" w:eastAsiaTheme="minorEastAsia" w:hAnsiTheme="minorEastAsia" w:cs="宋体" w:hint="eastAsia"/>
          <w:lang w:eastAsia="zh-CN"/>
        </w:rPr>
        <w:t>易方达上证综合交易型开放式指数证券投资基金联接基金</w:t>
      </w:r>
      <w:r w:rsidRPr="00A936B7">
        <w:rPr>
          <w:rFonts w:asciiTheme="minorEastAsia" w:eastAsiaTheme="minorEastAsia" w:hAnsiTheme="minorEastAsia" w:cs="宋体" w:hint="eastAsia"/>
          <w:highlight w:val="white"/>
          <w:lang w:eastAsia="zh-CN"/>
        </w:rPr>
        <w:t>注册的文件；</w:t>
      </w:r>
    </w:p>
    <w:p w:rsidR="009F340D" w:rsidRPr="00A936B7" w14:paraId="1FE3108D"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2.《</w:t>
      </w:r>
      <w:r w:rsidRPr="00A936B7">
        <w:rPr>
          <w:rFonts w:asciiTheme="minorEastAsia" w:eastAsiaTheme="minorEastAsia" w:hAnsiTheme="minorEastAsia" w:cs="宋体" w:hint="eastAsia"/>
          <w:lang w:eastAsia="zh-CN"/>
        </w:rPr>
        <w:t>易方达上证综合交易型开放式指数证券投资基金联接基金</w:t>
      </w:r>
      <w:r w:rsidRPr="00A936B7">
        <w:rPr>
          <w:rFonts w:asciiTheme="minorEastAsia" w:eastAsiaTheme="minorEastAsia" w:hAnsiTheme="minorEastAsia" w:cs="宋体" w:hint="eastAsia"/>
          <w:highlight w:val="white"/>
          <w:lang w:eastAsia="zh-CN"/>
        </w:rPr>
        <w:t>基金合同》；</w:t>
      </w:r>
    </w:p>
    <w:p w:rsidR="009F340D" w:rsidRPr="00A936B7" w14:paraId="64FEB555"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3.《</w:t>
      </w:r>
      <w:r w:rsidRPr="00A936B7">
        <w:rPr>
          <w:rFonts w:asciiTheme="minorEastAsia" w:eastAsiaTheme="minorEastAsia" w:hAnsiTheme="minorEastAsia" w:cs="宋体" w:hint="eastAsia"/>
          <w:lang w:eastAsia="zh-CN"/>
        </w:rPr>
        <w:t>易方达上证综合交易型开放式指数证券投资基金联接基金</w:t>
      </w:r>
      <w:r w:rsidRPr="00A936B7">
        <w:rPr>
          <w:rFonts w:asciiTheme="minorEastAsia" w:eastAsiaTheme="minorEastAsia" w:hAnsiTheme="minorEastAsia" w:cs="宋体" w:hint="eastAsia"/>
          <w:highlight w:val="white"/>
          <w:lang w:eastAsia="zh-CN"/>
        </w:rPr>
        <w:t>托管协议》；</w:t>
      </w:r>
    </w:p>
    <w:p w:rsidR="009F340D" w:rsidRPr="00A936B7" w14:paraId="1A7F5BFE"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4.《易方达基金管理有限公司开放式基金业务规则》；</w:t>
      </w:r>
    </w:p>
    <w:p w:rsidR="009F340D" w:rsidRPr="00A936B7" w14:paraId="22F8D825"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5.法律意见书；</w:t>
      </w:r>
    </w:p>
    <w:p w:rsidR="009F340D" w:rsidRPr="00A936B7" w14:paraId="3F88D81C"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6.基金管理人业务资格批件、营业执照；</w:t>
      </w:r>
    </w:p>
    <w:p w:rsidR="009F340D" w:rsidRPr="00A936B7" w14:paraId="7FD78DBF"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7.基金托管人业务资格批件、营业执照。</w:t>
      </w:r>
    </w:p>
    <w:p w:rsidR="009F340D" w:rsidRPr="00A936B7" w14:paraId="0B65E7F4" w14:textId="77777777">
      <w:pPr>
        <w:spacing w:line="360" w:lineRule="auto"/>
        <w:ind w:firstLine="420"/>
        <w:rPr>
          <w:rFonts w:asciiTheme="minorEastAsia" w:eastAsiaTheme="minorEastAsia" w:hAnsiTheme="minorEastAsia" w:cs="宋体" w:hint="eastAsia"/>
          <w:lang w:eastAsia="zh-CN"/>
        </w:rPr>
      </w:pPr>
      <w:r w:rsidRPr="00A936B7">
        <w:rPr>
          <w:rFonts w:asciiTheme="minorEastAsia" w:eastAsiaTheme="minorEastAsia" w:hAnsiTheme="minorEastAsia" w:cs="宋体" w:hint="eastAsia"/>
          <w:highlight w:val="white"/>
          <w:lang w:eastAsia="zh-CN"/>
        </w:rPr>
        <w:t>存放地点：基金管理人、基金托管人处</w:t>
      </w:r>
    </w:p>
    <w:p w:rsidR="009F340D" w:rsidRPr="00A936B7" w14:paraId="5F803004" w14:textId="77777777">
      <w:pPr>
        <w:pStyle w:val="PlainText"/>
        <w:spacing w:line="360" w:lineRule="auto"/>
        <w:ind w:firstLine="420"/>
        <w:rPr>
          <w:rFonts w:asciiTheme="minorEastAsia" w:eastAsiaTheme="minorEastAsia" w:hAnsiTheme="minorEastAsia" w:cs="宋体" w:hint="eastAsia"/>
          <w:sz w:val="21"/>
          <w:lang w:eastAsia="zh-CN"/>
        </w:rPr>
      </w:pPr>
      <w:r w:rsidRPr="00A936B7">
        <w:rPr>
          <w:rFonts w:asciiTheme="minorEastAsia" w:eastAsiaTheme="minorEastAsia" w:hAnsiTheme="minorEastAsia" w:cs="宋体" w:hint="eastAsia"/>
          <w:sz w:val="21"/>
          <w:highlight w:val="white"/>
          <w:lang w:eastAsia="zh-CN"/>
        </w:rPr>
        <w:t>查阅方式：投资者可在营业时间免费查阅，也可按工本费购买复印件。</w:t>
      </w:r>
    </w:p>
    <w:p w:rsidR="009F340D" w:rsidRPr="00A936B7" w14:paraId="53BEE204" w14:textId="77777777">
      <w:pPr>
        <w:pStyle w:val="PlainText"/>
        <w:spacing w:line="360" w:lineRule="auto"/>
        <w:ind w:firstLine="420"/>
        <w:rPr>
          <w:rFonts w:asciiTheme="minorEastAsia" w:eastAsiaTheme="minorEastAsia" w:hAnsiTheme="minorEastAsia" w:cs="宋体" w:hint="eastAsia"/>
          <w:sz w:val="21"/>
          <w:lang w:eastAsia="zh-CN"/>
        </w:rPr>
      </w:pPr>
    </w:p>
    <w:p w:rsidR="009F340D" w:rsidRPr="00A936B7" w14:paraId="5CF1A81D" w14:textId="77777777">
      <w:pPr>
        <w:pStyle w:val="PlainText"/>
        <w:spacing w:line="360" w:lineRule="auto"/>
        <w:ind w:firstLine="420"/>
        <w:rPr>
          <w:rFonts w:asciiTheme="minorEastAsia" w:eastAsiaTheme="minorEastAsia" w:hAnsiTheme="minorEastAsia" w:cs="宋体" w:hint="eastAsia"/>
          <w:sz w:val="21"/>
          <w:lang w:eastAsia="zh-CN"/>
        </w:rPr>
      </w:pPr>
    </w:p>
    <w:p w:rsidR="009F340D" w:rsidRPr="00A936B7" w14:paraId="3DCB599F" w14:textId="77777777">
      <w:pPr>
        <w:snapToGrid w:val="0"/>
        <w:spacing w:line="360" w:lineRule="auto"/>
        <w:ind w:firstLine="420"/>
        <w:jc w:val="right"/>
        <w:rPr>
          <w:rFonts w:asciiTheme="minorEastAsia" w:eastAsiaTheme="minorEastAsia" w:hAnsiTheme="minorEastAsia" w:cs="宋体" w:hint="eastAsia"/>
          <w:szCs w:val="21"/>
          <w:lang w:eastAsia="zh-CN"/>
        </w:rPr>
      </w:pPr>
      <w:r w:rsidRPr="00A936B7">
        <w:rPr>
          <w:rFonts w:asciiTheme="minorEastAsia" w:eastAsiaTheme="minorEastAsia" w:hAnsiTheme="minorEastAsia" w:cs="宋体" w:hint="eastAsia"/>
          <w:szCs w:val="21"/>
          <w:highlight w:val="white"/>
          <w:lang w:eastAsia="zh-CN"/>
        </w:rPr>
        <w:t>易方达基金管理有限公司</w:t>
      </w:r>
    </w:p>
    <w:p w:rsidR="009F340D" w:rsidRPr="00A936B7" w14:paraId="3D39F09E" w14:textId="77777777">
      <w:pPr>
        <w:jc w:val="right"/>
        <w:rPr>
          <w:rFonts w:asciiTheme="minorEastAsia" w:eastAsiaTheme="minorEastAsia" w:hAnsiTheme="minorEastAsia" w:hint="eastAsia"/>
          <w:szCs w:val="21"/>
        </w:rPr>
      </w:pPr>
      <w:r w:rsidRPr="00A936B7" w:rsidR="00AB5B5A">
        <w:rPr>
          <w:rFonts w:asciiTheme="minorEastAsia" w:eastAsiaTheme="minorEastAsia" w:hAnsiTheme="minorEastAsia"/>
          <w:color w:val="000000"/>
          <w:szCs w:val="21"/>
          <w:highlight w:val="white"/>
        </w:rPr>
        <w:t>202</w:t>
      </w:r>
      <w:r w:rsidR="00AB5B5A">
        <w:rPr>
          <w:rFonts w:asciiTheme="minorEastAsia" w:eastAsiaTheme="minorEastAsia" w:hAnsiTheme="minorEastAsia" w:cs="Calibri"/>
          <w:color w:val="000000"/>
          <w:szCs w:val="21"/>
          <w:highlight w:val="white"/>
        </w:rPr>
        <w:t>6</w:t>
      </w:r>
      <w:r w:rsidRPr="00A936B7">
        <w:rPr>
          <w:rFonts w:asciiTheme="minorEastAsia" w:eastAsiaTheme="minorEastAsia" w:hAnsiTheme="minorEastAsia" w:cs="宋体"/>
          <w:color w:val="000000"/>
          <w:szCs w:val="21"/>
          <w:highlight w:val="white"/>
        </w:rPr>
        <w:t>年</w:t>
      </w:r>
      <w:r w:rsidR="00AB5B5A">
        <w:rPr>
          <w:rFonts w:asciiTheme="minorEastAsia" w:eastAsiaTheme="minorEastAsia" w:hAnsiTheme="minorEastAsia" w:cs="Calibri"/>
          <w:color w:val="000000"/>
          <w:szCs w:val="21"/>
          <w:highlight w:val="white"/>
        </w:rPr>
        <w:t>6</w:t>
      </w:r>
      <w:r w:rsidRPr="00A936B7">
        <w:rPr>
          <w:rFonts w:asciiTheme="minorEastAsia" w:eastAsiaTheme="minorEastAsia" w:hAnsiTheme="minorEastAsia" w:cs="宋体"/>
          <w:color w:val="000000"/>
          <w:szCs w:val="21"/>
          <w:highlight w:val="white"/>
        </w:rPr>
        <w:t>月</w:t>
      </w:r>
      <w:r w:rsidR="00AB5B5A">
        <w:rPr>
          <w:rFonts w:asciiTheme="minorEastAsia" w:eastAsiaTheme="minorEastAsia" w:hAnsiTheme="minorEastAsia" w:cs="Calibri"/>
          <w:color w:val="000000"/>
          <w:szCs w:val="21"/>
          <w:highlight w:val="white"/>
        </w:rPr>
        <w:t>25</w:t>
      </w:r>
      <w:r w:rsidRPr="00A936B7">
        <w:rPr>
          <w:rFonts w:asciiTheme="minorEastAsia" w:eastAsiaTheme="minorEastAsia" w:hAnsiTheme="minorEastAsia" w:cs="宋体"/>
          <w:color w:val="000000"/>
          <w:szCs w:val="21"/>
          <w:highlight w:val="white"/>
        </w:rPr>
        <w:t>日</w:t>
      </w:r>
    </w:p>
    <w:p w:rsidR="009F340D" w:rsidRPr="00A936B7" w14:paraId="72D0BEA7" w14:textId="77777777">
      <w:pPr>
        <w:spacing w:line="360" w:lineRule="auto"/>
        <w:ind w:right="420" w:firstLine="420"/>
        <w:jc w:val="right"/>
        <w:rPr>
          <w:rFonts w:asciiTheme="minorEastAsia" w:eastAsiaTheme="minorEastAsia" w:hAnsiTheme="minorEastAsia" w:cs="宋体" w:hint="eastAsia"/>
        </w:rPr>
      </w:pPr>
    </w:p>
    <w:p w:rsidR="009F340D" w:rsidRPr="00A936B7" w14:paraId="4D2F0407" w14:textId="77777777">
      <w:pPr>
        <w:snapToGrid w:val="0"/>
        <w:spacing w:line="360" w:lineRule="auto"/>
        <w:ind w:right="210" w:firstLine="420"/>
        <w:jc w:val="right"/>
        <w:rPr>
          <w:rFonts w:asciiTheme="minorEastAsia" w:eastAsiaTheme="minorEastAsia" w:hAnsiTheme="minorEastAsia" w:cs="宋体" w:hint="eastAsia"/>
          <w:szCs w:val="21"/>
        </w:rPr>
      </w:pPr>
    </w:p>
    <w:p w:rsidR="009F340D" w:rsidRPr="00A936B7" w14:paraId="1FBA6805" w14:textId="77777777">
      <w:pPr>
        <w:pStyle w:val="PlainText"/>
        <w:spacing w:line="400" w:lineRule="exact"/>
        <w:ind w:firstLine="480"/>
        <w:rPr>
          <w:rFonts w:asciiTheme="minorEastAsia" w:eastAsiaTheme="minorEastAsia" w:hAnsiTheme="minorEastAsia" w:cs="宋体" w:hint="eastAsia"/>
          <w:bCs/>
          <w:sz w:val="20"/>
          <w:szCs w:val="20"/>
        </w:rPr>
      </w:pPr>
    </w:p>
    <w:p w:rsidR="009F340D" w:rsidRPr="00A936B7" w14:paraId="4D355BBC" w14:textId="77777777">
      <w:pPr>
        <w:pStyle w:val="PlainText"/>
        <w:spacing w:line="400" w:lineRule="exact"/>
        <w:ind w:firstLine="420"/>
        <w:jc w:val="right"/>
        <w:rPr>
          <w:rFonts w:asciiTheme="minorEastAsia" w:eastAsiaTheme="minorEastAsia" w:hAnsiTheme="minorEastAsia" w:cs="宋体" w:hint="eastAsia"/>
          <w:sz w:val="21"/>
        </w:rPr>
      </w:pPr>
    </w:p>
    <w:p w:rsidR="009F340D" w:rsidRPr="00A936B7" w14:paraId="130D25EC" w14:textId="77777777">
      <w:pPr>
        <w:rPr>
          <w:rFonts w:asciiTheme="minorEastAsia" w:eastAsiaTheme="minorEastAsia" w:hAnsiTheme="minorEastAsia" w:cs="宋体" w:hint="eastAsia"/>
        </w:rPr>
      </w:pPr>
      <w:bookmarkStart w:id="1870" w:name="_Toc38441246"/>
      <w:bookmarkStart w:id="1871" w:name="_Toc38441578"/>
      <w:bookmarkStart w:id="1872" w:name="_Toc38441906"/>
      <w:bookmarkStart w:id="1873" w:name="_Toc38442238"/>
      <w:bookmarkStart w:id="1874" w:name="_Toc38442570"/>
      <w:bookmarkStart w:id="1875" w:name="_Toc38442901"/>
      <w:bookmarkStart w:id="1876" w:name="_Toc38443232"/>
      <w:bookmarkStart w:id="1877" w:name="_Toc38443563"/>
      <w:bookmarkStart w:id="1878" w:name="_Toc38443893"/>
      <w:bookmarkStart w:id="1879" w:name="_Toc38438361"/>
      <w:bookmarkStart w:id="1880" w:name="_Toc38438698"/>
      <w:bookmarkStart w:id="1881" w:name="_Toc38439035"/>
      <w:bookmarkStart w:id="1882" w:name="_Toc38439372"/>
      <w:bookmarkStart w:id="1883" w:name="_Toc38439709"/>
      <w:bookmarkStart w:id="1884" w:name="_Toc38440046"/>
      <w:bookmarkStart w:id="1885" w:name="_Toc38440383"/>
      <w:bookmarkStart w:id="1886" w:name="_Toc38440915"/>
      <w:bookmarkStart w:id="1887" w:name="_Toc38441247"/>
      <w:bookmarkStart w:id="1888" w:name="_Toc38441579"/>
      <w:bookmarkStart w:id="1889" w:name="_Toc38441907"/>
      <w:bookmarkStart w:id="1890" w:name="_Toc38442239"/>
      <w:bookmarkStart w:id="1891" w:name="_Toc38442571"/>
      <w:bookmarkStart w:id="1892" w:name="_Toc38442902"/>
      <w:bookmarkStart w:id="1893" w:name="_Toc38443233"/>
      <w:bookmarkStart w:id="1894" w:name="_Toc38443564"/>
      <w:bookmarkStart w:id="1895" w:name="_Toc38443894"/>
      <w:bookmarkStart w:id="1896" w:name="_Toc38438362"/>
      <w:bookmarkStart w:id="1897" w:name="_Toc38438699"/>
      <w:bookmarkStart w:id="1898" w:name="_Toc38439036"/>
      <w:bookmarkStart w:id="1899" w:name="_Toc38439373"/>
      <w:bookmarkStart w:id="1900" w:name="_Toc38439710"/>
      <w:bookmarkStart w:id="1901" w:name="_Toc38440047"/>
      <w:bookmarkStart w:id="1902" w:name="_Toc38440384"/>
      <w:bookmarkStart w:id="1903" w:name="_Toc38440916"/>
      <w:bookmarkStart w:id="1904" w:name="_Toc38441248"/>
      <w:bookmarkStart w:id="1905" w:name="_Toc38441580"/>
      <w:bookmarkStart w:id="1906" w:name="_Toc38441908"/>
      <w:bookmarkStart w:id="1907" w:name="_Toc38442240"/>
      <w:bookmarkStart w:id="1908" w:name="_Toc38442572"/>
      <w:bookmarkStart w:id="1909" w:name="_Toc38442903"/>
      <w:bookmarkStart w:id="1910" w:name="_Toc38443234"/>
      <w:bookmarkStart w:id="1911" w:name="_Toc38443565"/>
      <w:bookmarkStart w:id="1912" w:name="_Toc38443895"/>
      <w:bookmarkStart w:id="1913" w:name="_Toc38438363"/>
      <w:bookmarkStart w:id="1914" w:name="_Toc38438700"/>
      <w:bookmarkStart w:id="1915" w:name="_Toc38439037"/>
      <w:bookmarkStart w:id="1916" w:name="_Toc38439374"/>
      <w:bookmarkStart w:id="1917" w:name="_Toc38439711"/>
      <w:bookmarkStart w:id="1918" w:name="_Toc38440048"/>
      <w:bookmarkStart w:id="1919" w:name="_Toc38440385"/>
      <w:bookmarkStart w:id="1920" w:name="_Toc38440917"/>
      <w:bookmarkStart w:id="1921" w:name="_Toc38441249"/>
      <w:bookmarkStart w:id="1922" w:name="_Toc38441581"/>
      <w:bookmarkStart w:id="1923" w:name="_Toc38441909"/>
      <w:bookmarkStart w:id="1924" w:name="_Toc38442241"/>
      <w:bookmarkStart w:id="1925" w:name="_Toc38442573"/>
      <w:bookmarkStart w:id="1926" w:name="_Toc38442904"/>
      <w:bookmarkStart w:id="1927" w:name="_Toc38443235"/>
      <w:bookmarkStart w:id="1928" w:name="_Toc38443566"/>
      <w:bookmarkStart w:id="1929" w:name="_Toc38443896"/>
      <w:bookmarkStart w:id="1930" w:name="_Toc38438364"/>
      <w:bookmarkStart w:id="1931" w:name="_Toc38438701"/>
      <w:bookmarkStart w:id="1932" w:name="_Toc38439038"/>
      <w:bookmarkStart w:id="1933" w:name="_Toc38439375"/>
      <w:bookmarkStart w:id="1934" w:name="_Toc38439712"/>
      <w:bookmarkStart w:id="1935" w:name="_Toc38440049"/>
      <w:bookmarkStart w:id="1936" w:name="_Toc38440386"/>
      <w:bookmarkStart w:id="1937" w:name="_Toc38440918"/>
      <w:bookmarkStart w:id="1938" w:name="_Toc38441250"/>
      <w:bookmarkStart w:id="1939" w:name="_Toc38441582"/>
      <w:bookmarkStart w:id="1940" w:name="_Toc38441910"/>
      <w:bookmarkStart w:id="1941" w:name="_Toc38442242"/>
      <w:bookmarkStart w:id="1942" w:name="_Toc38442574"/>
      <w:bookmarkStart w:id="1943" w:name="_Toc38442905"/>
      <w:bookmarkStart w:id="1944" w:name="_Toc38443236"/>
      <w:bookmarkStart w:id="1945" w:name="_Toc38443567"/>
      <w:bookmarkStart w:id="1946" w:name="_Toc38443897"/>
      <w:bookmarkStart w:id="1947" w:name="_Toc38438365"/>
      <w:bookmarkStart w:id="1948" w:name="_Toc38438702"/>
      <w:bookmarkStart w:id="1949" w:name="_Toc38439039"/>
      <w:bookmarkStart w:id="1950" w:name="_Toc38439376"/>
      <w:bookmarkStart w:id="1951" w:name="_Toc38439713"/>
      <w:bookmarkStart w:id="1952" w:name="_Toc38440050"/>
      <w:bookmarkStart w:id="1953" w:name="_Toc38440387"/>
      <w:bookmarkStart w:id="1954" w:name="_Toc38440919"/>
      <w:bookmarkStart w:id="1955" w:name="_Toc38441251"/>
      <w:bookmarkStart w:id="1956" w:name="_Toc38441583"/>
      <w:bookmarkStart w:id="1957" w:name="_Toc38441911"/>
      <w:bookmarkStart w:id="1958" w:name="_Toc38442243"/>
      <w:bookmarkStart w:id="1959" w:name="_Toc38442575"/>
      <w:bookmarkStart w:id="1960" w:name="_Toc38442906"/>
      <w:bookmarkStart w:id="1961" w:name="_Toc38443237"/>
      <w:bookmarkStart w:id="1962" w:name="_Toc38443568"/>
      <w:bookmarkStart w:id="1963" w:name="_Toc38443898"/>
      <w:bookmarkStart w:id="1964" w:name="_Toc38438366"/>
      <w:bookmarkStart w:id="1965" w:name="_Toc38438703"/>
      <w:bookmarkStart w:id="1966" w:name="_Toc38439040"/>
      <w:bookmarkStart w:id="1967" w:name="_Toc38439377"/>
      <w:bookmarkStart w:id="1968" w:name="_Toc38439714"/>
      <w:bookmarkStart w:id="1969" w:name="_Toc38440051"/>
      <w:bookmarkStart w:id="1970" w:name="_Toc38440388"/>
      <w:bookmarkStart w:id="1971" w:name="_Toc38440920"/>
      <w:bookmarkStart w:id="1972" w:name="_Toc38441252"/>
      <w:bookmarkStart w:id="1973" w:name="_Toc38441584"/>
      <w:bookmarkStart w:id="1974" w:name="_Toc38441912"/>
      <w:bookmarkStart w:id="1975" w:name="_Toc38442244"/>
      <w:bookmarkStart w:id="1976" w:name="_Toc38442576"/>
      <w:bookmarkStart w:id="1977" w:name="_Toc38442907"/>
      <w:bookmarkStart w:id="1978" w:name="_Toc38443238"/>
      <w:bookmarkStart w:id="1979" w:name="_Toc38443569"/>
      <w:bookmarkStart w:id="1980" w:name="_Toc38443899"/>
      <w:bookmarkStart w:id="1981" w:name="_Toc38438367"/>
      <w:bookmarkStart w:id="1982" w:name="_Toc38438704"/>
      <w:bookmarkStart w:id="1983" w:name="_Toc38439041"/>
      <w:bookmarkStart w:id="1984" w:name="_Toc38439378"/>
      <w:bookmarkStart w:id="1985" w:name="_Toc38439715"/>
      <w:bookmarkStart w:id="1986" w:name="_Toc38440052"/>
      <w:bookmarkStart w:id="1987" w:name="_Toc38440389"/>
      <w:bookmarkStart w:id="1988" w:name="_Toc38440921"/>
      <w:bookmarkStart w:id="1989" w:name="_Toc38441253"/>
      <w:bookmarkStart w:id="1990" w:name="_Toc38441585"/>
      <w:bookmarkStart w:id="1991" w:name="_Toc38441913"/>
      <w:bookmarkStart w:id="1992" w:name="_Toc38442245"/>
      <w:bookmarkStart w:id="1993" w:name="_Toc38442577"/>
      <w:bookmarkStart w:id="1994" w:name="_Toc38442908"/>
      <w:bookmarkStart w:id="1995" w:name="_Toc38443239"/>
      <w:bookmarkStart w:id="1996" w:name="_Toc38443570"/>
      <w:bookmarkStart w:id="1997" w:name="_Toc38443900"/>
      <w:bookmarkStart w:id="1998" w:name="_Toc38438350"/>
      <w:bookmarkStart w:id="1999" w:name="_Toc38438687"/>
      <w:bookmarkStart w:id="2000" w:name="_Toc38439024"/>
      <w:bookmarkStart w:id="2001" w:name="_Toc38439361"/>
      <w:bookmarkStart w:id="2002" w:name="_Toc38439698"/>
      <w:bookmarkStart w:id="2003" w:name="_Toc38440035"/>
      <w:bookmarkStart w:id="2004" w:name="_Toc38440372"/>
      <w:bookmarkStart w:id="2005" w:name="_Toc38440904"/>
      <w:bookmarkStart w:id="2006" w:name="_Toc38441236"/>
      <w:bookmarkStart w:id="2007" w:name="_Toc38441568"/>
      <w:bookmarkStart w:id="2008" w:name="_Toc38441896"/>
      <w:bookmarkStart w:id="2009" w:name="_Toc38442228"/>
      <w:bookmarkStart w:id="2010" w:name="_Toc38442560"/>
      <w:bookmarkStart w:id="2011" w:name="_Toc38442891"/>
      <w:bookmarkStart w:id="2012" w:name="_Toc38443222"/>
      <w:bookmarkStart w:id="2013" w:name="_Toc38443553"/>
      <w:bookmarkStart w:id="2014" w:name="_Toc38443883"/>
      <w:bookmarkStart w:id="2015" w:name="_Toc38438351"/>
      <w:bookmarkStart w:id="2016" w:name="_Toc38438688"/>
      <w:bookmarkStart w:id="2017" w:name="_Toc38439025"/>
      <w:bookmarkStart w:id="2018" w:name="_Toc38439362"/>
      <w:bookmarkStart w:id="2019" w:name="_Toc38439699"/>
      <w:bookmarkStart w:id="2020" w:name="_Toc38440036"/>
      <w:bookmarkStart w:id="2021" w:name="_Toc38440373"/>
      <w:bookmarkStart w:id="2022" w:name="_Toc38440905"/>
      <w:bookmarkStart w:id="2023" w:name="_Toc38441237"/>
      <w:bookmarkStart w:id="2024" w:name="_Toc38441569"/>
      <w:bookmarkStart w:id="2025" w:name="_Toc38441897"/>
      <w:bookmarkStart w:id="2026" w:name="_Toc38442229"/>
      <w:bookmarkStart w:id="2027" w:name="_Toc38442561"/>
      <w:bookmarkStart w:id="2028" w:name="_Toc38442892"/>
      <w:bookmarkStart w:id="2029" w:name="_Toc38443223"/>
      <w:bookmarkStart w:id="2030" w:name="_Toc38443554"/>
      <w:bookmarkStart w:id="2031" w:name="_Toc38443884"/>
      <w:bookmarkStart w:id="2032" w:name="_Toc38438352"/>
      <w:bookmarkStart w:id="2033" w:name="_Toc38438689"/>
      <w:bookmarkStart w:id="2034" w:name="_Toc38439026"/>
      <w:bookmarkStart w:id="2035" w:name="_Toc38439363"/>
      <w:bookmarkStart w:id="2036" w:name="_Toc38439700"/>
      <w:bookmarkStart w:id="2037" w:name="_Toc38440037"/>
      <w:bookmarkStart w:id="2038" w:name="_Toc38440374"/>
      <w:bookmarkStart w:id="2039" w:name="_Toc38440906"/>
      <w:bookmarkStart w:id="2040" w:name="_Toc38441238"/>
      <w:bookmarkStart w:id="2041" w:name="_Toc38441570"/>
      <w:bookmarkStart w:id="2042" w:name="_Toc38441898"/>
      <w:bookmarkStart w:id="2043" w:name="_Toc38442230"/>
      <w:bookmarkStart w:id="2044" w:name="_Toc38442562"/>
      <w:bookmarkStart w:id="2045" w:name="_Toc38442893"/>
      <w:bookmarkStart w:id="2046" w:name="_Toc38443224"/>
      <w:bookmarkStart w:id="2047" w:name="_Toc38443555"/>
      <w:bookmarkStart w:id="2048" w:name="_Toc38443885"/>
      <w:bookmarkStart w:id="2049" w:name="_Toc38438353"/>
      <w:bookmarkStart w:id="2050" w:name="_Toc38438690"/>
      <w:bookmarkStart w:id="2051" w:name="_Toc38439027"/>
      <w:bookmarkStart w:id="2052" w:name="_Toc38439364"/>
      <w:bookmarkStart w:id="2053" w:name="_Toc38439701"/>
      <w:bookmarkStart w:id="2054" w:name="_Toc38440038"/>
      <w:bookmarkStart w:id="2055" w:name="_Toc38440375"/>
      <w:bookmarkStart w:id="2056" w:name="_Toc38440907"/>
      <w:bookmarkStart w:id="2057" w:name="_Toc38441239"/>
      <w:bookmarkStart w:id="2058" w:name="_Toc38441571"/>
      <w:bookmarkStart w:id="2059" w:name="_Toc38441899"/>
      <w:bookmarkStart w:id="2060" w:name="_Toc38442231"/>
      <w:bookmarkStart w:id="2061" w:name="_Toc38442563"/>
      <w:bookmarkStart w:id="2062" w:name="_Toc38442894"/>
      <w:bookmarkStart w:id="2063" w:name="_Toc38443225"/>
      <w:bookmarkStart w:id="2064" w:name="_Toc38443556"/>
      <w:bookmarkStart w:id="2065" w:name="_Toc38443886"/>
      <w:bookmarkStart w:id="2066" w:name="_Toc38438354"/>
      <w:bookmarkStart w:id="2067" w:name="_Toc38438691"/>
      <w:bookmarkStart w:id="2068" w:name="_Toc38439028"/>
      <w:bookmarkStart w:id="2069" w:name="_Toc38439365"/>
      <w:bookmarkStart w:id="2070" w:name="_Toc38439702"/>
      <w:bookmarkStart w:id="2071" w:name="_Toc38440039"/>
      <w:bookmarkStart w:id="2072" w:name="_Toc38440376"/>
      <w:bookmarkStart w:id="2073" w:name="_Toc38440908"/>
      <w:bookmarkStart w:id="2074" w:name="_Toc38441240"/>
      <w:bookmarkStart w:id="2075" w:name="_Toc38441572"/>
      <w:bookmarkStart w:id="2076" w:name="_Toc38441900"/>
      <w:bookmarkStart w:id="2077" w:name="_Toc38442232"/>
      <w:bookmarkStart w:id="2078" w:name="_Toc38442564"/>
      <w:bookmarkStart w:id="2079" w:name="_Toc38442895"/>
      <w:bookmarkStart w:id="2080" w:name="_Toc38443226"/>
      <w:bookmarkStart w:id="2081" w:name="_Toc38443557"/>
      <w:bookmarkStart w:id="2082" w:name="_Toc38443887"/>
      <w:bookmarkStart w:id="2083" w:name="_Toc38438355"/>
      <w:bookmarkStart w:id="2084" w:name="_Toc38438692"/>
      <w:bookmarkStart w:id="2085" w:name="_Toc38439029"/>
      <w:bookmarkStart w:id="2086" w:name="_Toc38439366"/>
      <w:bookmarkStart w:id="2087" w:name="_Toc38439703"/>
      <w:bookmarkStart w:id="2088" w:name="_Toc38440040"/>
      <w:bookmarkStart w:id="2089" w:name="_Toc38440377"/>
      <w:bookmarkStart w:id="2090" w:name="_Toc38440909"/>
      <w:bookmarkStart w:id="2091" w:name="_Toc38441241"/>
      <w:bookmarkStart w:id="2092" w:name="_Toc38441573"/>
      <w:bookmarkStart w:id="2093" w:name="_Toc38441901"/>
      <w:bookmarkStart w:id="2094" w:name="_Toc38442233"/>
      <w:bookmarkStart w:id="2095" w:name="_Toc38442565"/>
      <w:bookmarkStart w:id="2096" w:name="_Toc38442896"/>
      <w:bookmarkStart w:id="2097" w:name="_Toc38443227"/>
      <w:bookmarkStart w:id="2098" w:name="_Toc38443558"/>
      <w:bookmarkStart w:id="2099" w:name="_Toc38443888"/>
      <w:bookmarkStart w:id="2100" w:name="_Toc38438356"/>
      <w:bookmarkStart w:id="2101" w:name="_Toc38438693"/>
      <w:bookmarkStart w:id="2102" w:name="_Toc38439030"/>
      <w:bookmarkStart w:id="2103" w:name="_Toc38439367"/>
      <w:bookmarkStart w:id="2104" w:name="_Toc38439704"/>
      <w:bookmarkStart w:id="2105" w:name="_Toc38440041"/>
      <w:bookmarkStart w:id="2106" w:name="_Toc38440378"/>
      <w:bookmarkStart w:id="2107" w:name="_Toc38440910"/>
      <w:bookmarkStart w:id="2108" w:name="_Toc38441242"/>
      <w:bookmarkStart w:id="2109" w:name="_Toc38441574"/>
      <w:bookmarkStart w:id="2110" w:name="_Toc38441902"/>
      <w:bookmarkStart w:id="2111" w:name="_Toc38442234"/>
      <w:bookmarkStart w:id="2112" w:name="_Toc38442566"/>
      <w:bookmarkStart w:id="2113" w:name="_Toc38442897"/>
      <w:bookmarkStart w:id="2114" w:name="_Toc38443228"/>
      <w:bookmarkStart w:id="2115" w:name="_Toc38443559"/>
      <w:bookmarkStart w:id="2116" w:name="_Toc38443889"/>
      <w:bookmarkStart w:id="2117" w:name="_Toc38438357"/>
      <w:bookmarkStart w:id="2118" w:name="_Toc38438694"/>
      <w:bookmarkStart w:id="2119" w:name="_Toc38439031"/>
      <w:bookmarkStart w:id="2120" w:name="_Toc38439368"/>
      <w:bookmarkStart w:id="2121" w:name="_Toc38439705"/>
      <w:bookmarkStart w:id="2122" w:name="_Toc38440042"/>
      <w:bookmarkStart w:id="2123" w:name="_Toc38440379"/>
      <w:bookmarkStart w:id="2124" w:name="_Toc38440911"/>
      <w:bookmarkStart w:id="2125" w:name="_Toc38441243"/>
      <w:bookmarkStart w:id="2126" w:name="_Toc38441575"/>
      <w:bookmarkStart w:id="2127" w:name="_Toc38441903"/>
      <w:bookmarkStart w:id="2128" w:name="_Toc38442235"/>
      <w:bookmarkStart w:id="2129" w:name="_Toc38442567"/>
      <w:bookmarkStart w:id="2130" w:name="_Toc38442898"/>
      <w:bookmarkStart w:id="2131" w:name="_Toc38443229"/>
      <w:bookmarkStart w:id="2132" w:name="_Toc38443560"/>
      <w:bookmarkStart w:id="2133" w:name="_Toc38443890"/>
      <w:bookmarkStart w:id="2134" w:name="_Toc38438358"/>
      <w:bookmarkStart w:id="2135" w:name="_Toc38438695"/>
      <w:bookmarkStart w:id="2136" w:name="_Toc38439032"/>
      <w:bookmarkStart w:id="2137" w:name="_Toc38439369"/>
      <w:bookmarkStart w:id="2138" w:name="_Toc38439706"/>
      <w:bookmarkStart w:id="2139" w:name="_Toc38440043"/>
      <w:bookmarkStart w:id="2140" w:name="_Toc38440380"/>
      <w:bookmarkStart w:id="2141" w:name="_Toc38440912"/>
      <w:bookmarkStart w:id="2142" w:name="_Toc38441244"/>
      <w:bookmarkStart w:id="2143" w:name="_Toc38441576"/>
      <w:bookmarkStart w:id="2144" w:name="_Toc38441904"/>
      <w:bookmarkStart w:id="2145" w:name="_Toc38442236"/>
      <w:bookmarkStart w:id="2146" w:name="_Toc38442568"/>
      <w:bookmarkStart w:id="2147" w:name="_Toc38442899"/>
      <w:bookmarkStart w:id="2148" w:name="_Toc38443230"/>
      <w:bookmarkStart w:id="2149" w:name="_Toc38443561"/>
      <w:bookmarkStart w:id="2150" w:name="_Toc38443891"/>
      <w:bookmarkStart w:id="2151" w:name="_Toc38438359"/>
      <w:bookmarkStart w:id="2152" w:name="_Toc38438696"/>
      <w:bookmarkStart w:id="2153" w:name="_Toc38439033"/>
      <w:bookmarkStart w:id="2154" w:name="_Toc38439370"/>
      <w:bookmarkStart w:id="2155" w:name="_Toc38439707"/>
      <w:bookmarkStart w:id="2156" w:name="_Toc38440044"/>
      <w:bookmarkStart w:id="2157" w:name="_Toc38440381"/>
      <w:bookmarkStart w:id="2158" w:name="_Toc38440913"/>
      <w:bookmarkStart w:id="2159" w:name="_Toc38441245"/>
      <w:bookmarkStart w:id="2160" w:name="_Toc38441577"/>
      <w:bookmarkStart w:id="2161" w:name="_Toc38441905"/>
      <w:bookmarkStart w:id="2162" w:name="_Toc38442237"/>
      <w:bookmarkStart w:id="2163" w:name="_Toc38442569"/>
      <w:bookmarkStart w:id="2164" w:name="_Toc38442900"/>
      <w:bookmarkStart w:id="2165" w:name="_Toc38443231"/>
      <w:bookmarkStart w:id="2166" w:name="_Toc38443562"/>
      <w:bookmarkStart w:id="2167" w:name="_Toc38443892"/>
      <w:bookmarkStart w:id="2168" w:name="_Toc38438360"/>
      <w:bookmarkStart w:id="2169" w:name="_Toc38438697"/>
      <w:bookmarkStart w:id="2170" w:name="_Toc38439034"/>
      <w:bookmarkStart w:id="2171" w:name="_Toc38439371"/>
      <w:bookmarkStart w:id="2172" w:name="_Toc38439708"/>
      <w:bookmarkStart w:id="2173" w:name="_Toc38440045"/>
      <w:bookmarkStart w:id="2174" w:name="_Toc38440382"/>
      <w:bookmarkStart w:id="2175" w:name="_Toc38440914"/>
      <w:bookmarkStart w:id="2176" w:name="_Toc38438368"/>
      <w:bookmarkStart w:id="2177" w:name="_Toc38438705"/>
      <w:bookmarkStart w:id="2178" w:name="_Toc38439042"/>
      <w:bookmarkStart w:id="2179" w:name="_Toc38439379"/>
      <w:bookmarkStart w:id="2180" w:name="_Toc38439716"/>
      <w:bookmarkStart w:id="2181" w:name="_Toc38440053"/>
      <w:bookmarkStart w:id="2182" w:name="_Toc38440390"/>
      <w:bookmarkStart w:id="2183" w:name="_Toc38440922"/>
      <w:bookmarkStart w:id="2184" w:name="_Toc38441254"/>
      <w:bookmarkStart w:id="2185" w:name="_Toc38441586"/>
      <w:bookmarkStart w:id="2186" w:name="_Toc38441914"/>
      <w:bookmarkStart w:id="2187" w:name="_Toc38442246"/>
      <w:bookmarkStart w:id="2188" w:name="_Toc38442578"/>
      <w:bookmarkStart w:id="2189" w:name="_Toc38442909"/>
      <w:bookmarkStart w:id="2190" w:name="_Toc38443240"/>
      <w:bookmarkStart w:id="2191" w:name="_Toc38443571"/>
      <w:bookmarkStart w:id="2192" w:name="_Toc38443901"/>
      <w:bookmarkStart w:id="2193" w:name="_Toc38438369"/>
      <w:bookmarkStart w:id="2194" w:name="_Toc38438706"/>
      <w:bookmarkStart w:id="2195" w:name="_Toc38439043"/>
      <w:bookmarkStart w:id="2196" w:name="_Toc38439380"/>
      <w:bookmarkStart w:id="2197" w:name="_Toc38439717"/>
      <w:bookmarkStart w:id="2198" w:name="_Toc38440054"/>
      <w:bookmarkStart w:id="2199" w:name="_Toc38440391"/>
      <w:bookmarkStart w:id="2200" w:name="_Toc38440923"/>
      <w:bookmarkStart w:id="2201" w:name="_Toc38441255"/>
      <w:bookmarkStart w:id="2202" w:name="_Toc38441587"/>
      <w:bookmarkStart w:id="2203" w:name="_Toc38441915"/>
      <w:bookmarkStart w:id="2204" w:name="_Toc38442247"/>
      <w:bookmarkStart w:id="2205" w:name="_Toc38442579"/>
      <w:bookmarkStart w:id="2206" w:name="_Toc38442910"/>
      <w:bookmarkStart w:id="2207" w:name="_Toc38443241"/>
      <w:bookmarkStart w:id="2208" w:name="_Toc38443572"/>
      <w:bookmarkStart w:id="2209" w:name="_Toc38443902"/>
      <w:bookmarkStart w:id="2210" w:name="_Toc38438371"/>
      <w:bookmarkStart w:id="2211" w:name="_Toc38438708"/>
      <w:bookmarkStart w:id="2212" w:name="_Toc38439045"/>
      <w:bookmarkStart w:id="2213" w:name="_Toc38439382"/>
      <w:bookmarkStart w:id="2214" w:name="_Toc38439719"/>
      <w:bookmarkStart w:id="2215" w:name="_Toc38440056"/>
      <w:bookmarkStart w:id="2216" w:name="_Toc38440393"/>
      <w:bookmarkStart w:id="2217" w:name="_Toc38440925"/>
      <w:bookmarkStart w:id="2218" w:name="_Toc38441257"/>
      <w:bookmarkStart w:id="2219" w:name="_Toc38441589"/>
      <w:bookmarkStart w:id="2220" w:name="_Toc38441917"/>
      <w:bookmarkStart w:id="2221" w:name="_Toc38442249"/>
      <w:bookmarkStart w:id="2222" w:name="_Toc38442581"/>
      <w:bookmarkStart w:id="2223" w:name="_Toc38442912"/>
      <w:bookmarkStart w:id="2224" w:name="_Toc38443243"/>
      <w:bookmarkStart w:id="2225" w:name="_Toc38443574"/>
      <w:bookmarkStart w:id="2226" w:name="_Toc38443904"/>
      <w:bookmarkStart w:id="2227" w:name="_Toc38438372"/>
      <w:bookmarkStart w:id="2228" w:name="_Toc38438709"/>
      <w:bookmarkStart w:id="2229" w:name="_Toc38439046"/>
      <w:bookmarkStart w:id="2230" w:name="_Toc38439383"/>
      <w:bookmarkStart w:id="2231" w:name="_Toc38439720"/>
      <w:bookmarkStart w:id="2232" w:name="_Toc38440057"/>
      <w:bookmarkStart w:id="2233" w:name="_Toc38440394"/>
      <w:bookmarkStart w:id="2234" w:name="_Toc38440926"/>
      <w:bookmarkStart w:id="2235" w:name="_Toc38441258"/>
      <w:bookmarkStart w:id="2236" w:name="_Toc38441590"/>
      <w:bookmarkStart w:id="2237" w:name="_Toc38441918"/>
      <w:bookmarkStart w:id="2238" w:name="_Toc38442250"/>
      <w:bookmarkStart w:id="2239" w:name="_Toc38442582"/>
      <w:bookmarkStart w:id="2240" w:name="_Toc38442913"/>
      <w:bookmarkStart w:id="2241" w:name="_Toc38443244"/>
      <w:bookmarkStart w:id="2242" w:name="_Toc38443575"/>
      <w:bookmarkStart w:id="2243" w:name="_Toc38443905"/>
      <w:bookmarkStart w:id="2244" w:name="_Toc38438373"/>
      <w:bookmarkStart w:id="2245" w:name="_Toc38438710"/>
      <w:bookmarkStart w:id="2246" w:name="_Toc38439047"/>
      <w:bookmarkStart w:id="2247" w:name="_Toc38439384"/>
      <w:bookmarkStart w:id="2248" w:name="_Toc38439721"/>
      <w:bookmarkStart w:id="2249" w:name="_Toc38440058"/>
      <w:bookmarkStart w:id="2250" w:name="_Toc38440395"/>
      <w:bookmarkStart w:id="2251" w:name="_Toc38440927"/>
      <w:bookmarkStart w:id="2252" w:name="_Toc38441259"/>
      <w:bookmarkStart w:id="2253" w:name="_Toc38441591"/>
      <w:bookmarkStart w:id="2254" w:name="_Toc38441919"/>
      <w:bookmarkStart w:id="2255" w:name="_Toc38442251"/>
      <w:bookmarkStart w:id="2256" w:name="_Toc38442583"/>
      <w:bookmarkStart w:id="2257" w:name="_Toc38442914"/>
      <w:bookmarkStart w:id="2258" w:name="_Toc38443245"/>
      <w:bookmarkStart w:id="2259" w:name="_Toc38443576"/>
      <w:bookmarkStart w:id="2260" w:name="_Toc38443906"/>
      <w:bookmarkStart w:id="2261" w:name="_Toc38438374"/>
      <w:bookmarkStart w:id="2262" w:name="_Toc38438711"/>
      <w:bookmarkStart w:id="2263" w:name="_Toc38439048"/>
      <w:bookmarkStart w:id="2264" w:name="_Toc38439385"/>
      <w:bookmarkStart w:id="2265" w:name="_Toc38439722"/>
      <w:bookmarkStart w:id="2266" w:name="_Toc38440059"/>
      <w:bookmarkStart w:id="2267" w:name="_Toc38440396"/>
      <w:bookmarkStart w:id="2268" w:name="_Toc38440928"/>
      <w:bookmarkStart w:id="2269" w:name="_Toc38441260"/>
      <w:bookmarkStart w:id="2270" w:name="_Toc38441592"/>
      <w:bookmarkStart w:id="2271" w:name="_Toc38441920"/>
      <w:bookmarkStart w:id="2272" w:name="_Toc38442252"/>
      <w:bookmarkStart w:id="2273" w:name="_Toc38442584"/>
      <w:bookmarkStart w:id="2274" w:name="_Toc38442915"/>
      <w:bookmarkStart w:id="2275" w:name="_Toc38443246"/>
      <w:bookmarkStart w:id="2276" w:name="_Toc38443577"/>
      <w:bookmarkStart w:id="2277" w:name="_Toc38443907"/>
      <w:bookmarkStart w:id="2278" w:name="_Toc38438375"/>
      <w:bookmarkStart w:id="2279" w:name="_Toc38438712"/>
      <w:bookmarkStart w:id="2280" w:name="_Toc38439049"/>
      <w:bookmarkStart w:id="2281" w:name="_Toc38439386"/>
      <w:bookmarkStart w:id="2282" w:name="_Toc38439723"/>
      <w:bookmarkStart w:id="2283" w:name="_Toc38440060"/>
      <w:bookmarkStart w:id="2284" w:name="_Toc38440397"/>
      <w:bookmarkStart w:id="2285" w:name="_Toc38440929"/>
      <w:bookmarkStart w:id="2286" w:name="_Toc38441261"/>
      <w:bookmarkStart w:id="2287" w:name="_Toc38441593"/>
      <w:bookmarkStart w:id="2288" w:name="_Toc38441921"/>
      <w:bookmarkStart w:id="2289" w:name="_Toc38442253"/>
      <w:bookmarkStart w:id="2290" w:name="_Toc38442585"/>
      <w:bookmarkStart w:id="2291" w:name="_Toc38442916"/>
      <w:bookmarkStart w:id="2292" w:name="_Toc38443247"/>
      <w:bookmarkStart w:id="2293" w:name="_Toc38443578"/>
      <w:bookmarkStart w:id="2294" w:name="_Toc38443908"/>
      <w:bookmarkStart w:id="2295" w:name="_Toc38438376"/>
      <w:bookmarkStart w:id="2296" w:name="_Toc38438713"/>
      <w:bookmarkStart w:id="2297" w:name="_Toc38439050"/>
      <w:bookmarkStart w:id="2298" w:name="_Toc38439387"/>
      <w:bookmarkStart w:id="2299" w:name="_Toc38439724"/>
      <w:bookmarkStart w:id="2300" w:name="_Toc38440061"/>
      <w:bookmarkStart w:id="2301" w:name="_Toc38440398"/>
      <w:bookmarkStart w:id="2302" w:name="_Toc38440930"/>
      <w:bookmarkStart w:id="2303" w:name="_Toc38441262"/>
      <w:bookmarkStart w:id="2304" w:name="_Toc38441594"/>
      <w:bookmarkStart w:id="2305" w:name="_Toc38441922"/>
      <w:bookmarkStart w:id="2306" w:name="_Toc38442254"/>
      <w:bookmarkStart w:id="2307" w:name="_Toc38442586"/>
      <w:bookmarkStart w:id="2308" w:name="_Toc38442917"/>
      <w:bookmarkStart w:id="2309" w:name="_Toc38443248"/>
      <w:bookmarkStart w:id="2310" w:name="_Toc38443579"/>
      <w:bookmarkStart w:id="2311" w:name="_Toc38443909"/>
      <w:bookmarkStart w:id="2312" w:name="_Toc38438377"/>
      <w:bookmarkStart w:id="2313" w:name="_Toc38438714"/>
      <w:bookmarkStart w:id="2314" w:name="_Toc38439051"/>
      <w:bookmarkStart w:id="2315" w:name="_Toc38439388"/>
      <w:bookmarkStart w:id="2316" w:name="_Toc38439725"/>
      <w:bookmarkStart w:id="2317" w:name="_Toc38440062"/>
      <w:bookmarkStart w:id="2318" w:name="_Toc38440399"/>
      <w:bookmarkStart w:id="2319" w:name="_Toc38440931"/>
      <w:bookmarkStart w:id="2320" w:name="_Toc38441263"/>
      <w:bookmarkStart w:id="2321" w:name="_Toc38441595"/>
      <w:bookmarkStart w:id="2322" w:name="_Toc38441923"/>
      <w:bookmarkStart w:id="2323" w:name="_Toc38442255"/>
      <w:bookmarkStart w:id="2324" w:name="_Toc38442587"/>
      <w:bookmarkStart w:id="2325" w:name="_Toc38442918"/>
      <w:bookmarkStart w:id="2326" w:name="_Toc38443249"/>
      <w:bookmarkStart w:id="2327" w:name="_Toc38443580"/>
      <w:bookmarkStart w:id="2328" w:name="_Toc38443910"/>
      <w:bookmarkStart w:id="2329" w:name="_Toc38438378"/>
      <w:bookmarkStart w:id="2330" w:name="_Toc38438715"/>
      <w:bookmarkStart w:id="2331" w:name="_Toc38439052"/>
      <w:bookmarkStart w:id="2332" w:name="_Toc38439389"/>
      <w:bookmarkStart w:id="2333" w:name="_Toc38439726"/>
      <w:bookmarkStart w:id="2334" w:name="_Toc38440063"/>
      <w:bookmarkStart w:id="2335" w:name="_Toc38440400"/>
      <w:bookmarkStart w:id="2336" w:name="_Toc38440932"/>
      <w:bookmarkStart w:id="2337" w:name="_Toc38441264"/>
      <w:bookmarkStart w:id="2338" w:name="_Toc38441596"/>
      <w:bookmarkStart w:id="2339" w:name="_Toc38441924"/>
      <w:bookmarkStart w:id="2340" w:name="_Toc38442256"/>
      <w:bookmarkStart w:id="2341" w:name="_Toc38442588"/>
      <w:bookmarkStart w:id="2342" w:name="_Toc38442919"/>
      <w:bookmarkStart w:id="2343" w:name="_Toc38443250"/>
      <w:bookmarkStart w:id="2344" w:name="_Toc38443581"/>
      <w:bookmarkStart w:id="2345" w:name="_Toc38443911"/>
      <w:bookmarkStart w:id="2346" w:name="_Toc38438379"/>
      <w:bookmarkStart w:id="2347" w:name="_Toc38438716"/>
      <w:bookmarkStart w:id="2348" w:name="_Toc38439053"/>
      <w:bookmarkStart w:id="2349" w:name="_Toc38439390"/>
      <w:bookmarkStart w:id="2350" w:name="_Toc38439727"/>
      <w:bookmarkStart w:id="2351" w:name="_Toc38440064"/>
      <w:bookmarkStart w:id="2352" w:name="_Toc38440401"/>
      <w:bookmarkStart w:id="2353" w:name="_Toc38440933"/>
      <w:bookmarkStart w:id="2354" w:name="_Toc38441265"/>
      <w:bookmarkStart w:id="2355" w:name="_Toc38441597"/>
      <w:bookmarkStart w:id="2356" w:name="_Toc38441925"/>
      <w:bookmarkStart w:id="2357" w:name="_Toc38442257"/>
      <w:bookmarkStart w:id="2358" w:name="_Toc38442589"/>
      <w:bookmarkStart w:id="2359" w:name="_Toc38442920"/>
      <w:bookmarkStart w:id="2360" w:name="_Toc38443251"/>
      <w:bookmarkStart w:id="2361" w:name="_Toc38443582"/>
      <w:bookmarkStart w:id="2362" w:name="_Toc38443912"/>
      <w:bookmarkStart w:id="2363" w:name="_Toc38438380"/>
      <w:bookmarkStart w:id="2364" w:name="_Toc38438717"/>
      <w:bookmarkStart w:id="2365" w:name="_Toc38439054"/>
      <w:bookmarkStart w:id="2366" w:name="_Toc38439391"/>
      <w:bookmarkStart w:id="2367" w:name="_Toc38439728"/>
      <w:bookmarkStart w:id="2368" w:name="_Toc38440065"/>
      <w:bookmarkStart w:id="2369" w:name="_Toc38440402"/>
      <w:bookmarkStart w:id="2370" w:name="_Toc38440934"/>
      <w:bookmarkStart w:id="2371" w:name="_Toc38441266"/>
      <w:bookmarkStart w:id="2372" w:name="_Toc38441598"/>
      <w:bookmarkStart w:id="2373" w:name="_Toc38441926"/>
      <w:bookmarkStart w:id="2374" w:name="_Toc38442258"/>
      <w:bookmarkStart w:id="2375" w:name="_Toc38442590"/>
      <w:bookmarkStart w:id="2376" w:name="_Toc38442921"/>
      <w:bookmarkStart w:id="2377" w:name="_Toc38443252"/>
      <w:bookmarkStart w:id="2378" w:name="_Toc38443583"/>
      <w:bookmarkStart w:id="2379" w:name="_Toc38443913"/>
      <w:bookmarkStart w:id="2380" w:name="_Toc38438381"/>
      <w:bookmarkStart w:id="2381" w:name="_Toc38438718"/>
      <w:bookmarkStart w:id="2382" w:name="_Toc38439055"/>
      <w:bookmarkStart w:id="2383" w:name="_Toc38439392"/>
      <w:bookmarkStart w:id="2384" w:name="_Toc38439729"/>
      <w:bookmarkStart w:id="2385" w:name="_Toc38440066"/>
      <w:bookmarkStart w:id="2386" w:name="_Toc38440403"/>
      <w:bookmarkStart w:id="2387" w:name="_Toc38440935"/>
      <w:bookmarkStart w:id="2388" w:name="_Toc38441267"/>
      <w:bookmarkStart w:id="2389" w:name="_Toc38441599"/>
      <w:bookmarkStart w:id="2390" w:name="_Toc38441927"/>
      <w:bookmarkStart w:id="2391" w:name="_Toc38442259"/>
      <w:bookmarkStart w:id="2392" w:name="_Toc38442591"/>
      <w:bookmarkStart w:id="2393" w:name="_Toc38442922"/>
      <w:bookmarkStart w:id="2394" w:name="_Toc38443253"/>
      <w:bookmarkStart w:id="2395" w:name="_Toc38443584"/>
      <w:bookmarkStart w:id="2396" w:name="_Toc38443914"/>
      <w:bookmarkStart w:id="2397" w:name="_Toc38438382"/>
      <w:bookmarkStart w:id="2398" w:name="_Toc38438719"/>
      <w:bookmarkStart w:id="2399" w:name="_Toc38439056"/>
      <w:bookmarkStart w:id="2400" w:name="_Toc38439393"/>
      <w:bookmarkStart w:id="2401" w:name="_Toc38439730"/>
      <w:bookmarkStart w:id="2402" w:name="_Toc38440067"/>
      <w:bookmarkStart w:id="2403" w:name="_Toc38440404"/>
      <w:bookmarkStart w:id="2404" w:name="_Toc38440936"/>
      <w:bookmarkStart w:id="2405" w:name="_Toc38441268"/>
      <w:bookmarkStart w:id="2406" w:name="_Toc38441600"/>
      <w:bookmarkStart w:id="2407" w:name="_Toc38441928"/>
      <w:bookmarkStart w:id="2408" w:name="_Toc38442260"/>
      <w:bookmarkStart w:id="2409" w:name="_Toc38442592"/>
      <w:bookmarkStart w:id="2410" w:name="_Toc38442923"/>
      <w:bookmarkStart w:id="2411" w:name="_Toc38443254"/>
      <w:bookmarkStart w:id="2412" w:name="_Toc38443585"/>
      <w:bookmarkStart w:id="2413" w:name="_Toc38443915"/>
      <w:bookmarkStart w:id="2414" w:name="_Toc38438383"/>
      <w:bookmarkStart w:id="2415" w:name="_Toc38438720"/>
      <w:bookmarkStart w:id="2416" w:name="_Toc38439057"/>
      <w:bookmarkStart w:id="2417" w:name="_Toc38439394"/>
      <w:bookmarkStart w:id="2418" w:name="_Toc38439731"/>
      <w:bookmarkStart w:id="2419" w:name="_Toc38440068"/>
      <w:bookmarkStart w:id="2420" w:name="_Toc38440405"/>
      <w:bookmarkStart w:id="2421" w:name="_Toc38440937"/>
      <w:bookmarkStart w:id="2422" w:name="_Toc38441269"/>
      <w:bookmarkStart w:id="2423" w:name="_Toc38441601"/>
      <w:bookmarkStart w:id="2424" w:name="_Toc38441929"/>
      <w:bookmarkStart w:id="2425" w:name="_Toc38442261"/>
      <w:bookmarkStart w:id="2426" w:name="_Toc38442593"/>
      <w:bookmarkStart w:id="2427" w:name="_Toc38442924"/>
      <w:bookmarkStart w:id="2428" w:name="_Toc38443255"/>
      <w:bookmarkStart w:id="2429" w:name="_Toc38443586"/>
      <w:bookmarkStart w:id="2430" w:name="_Toc38443916"/>
      <w:bookmarkStart w:id="2431" w:name="_Toc38438384"/>
      <w:bookmarkStart w:id="2432" w:name="_Toc38438721"/>
      <w:bookmarkStart w:id="2433" w:name="_Toc38439058"/>
      <w:bookmarkStart w:id="2434" w:name="_Toc38439395"/>
      <w:bookmarkStart w:id="2435" w:name="_Toc38439732"/>
      <w:bookmarkStart w:id="2436" w:name="_Toc38440069"/>
      <w:bookmarkStart w:id="2437" w:name="_Toc38440406"/>
      <w:bookmarkStart w:id="2438" w:name="_Toc38440938"/>
      <w:bookmarkStart w:id="2439" w:name="_Toc38441270"/>
      <w:bookmarkStart w:id="2440" w:name="_Toc38441602"/>
      <w:bookmarkStart w:id="2441" w:name="_Toc38441930"/>
      <w:bookmarkStart w:id="2442" w:name="_Toc38442262"/>
      <w:bookmarkStart w:id="2443" w:name="_Toc38442594"/>
      <w:bookmarkStart w:id="2444" w:name="_Toc38442925"/>
      <w:bookmarkStart w:id="2445" w:name="_Toc38443256"/>
      <w:bookmarkStart w:id="2446" w:name="_Toc38443587"/>
      <w:bookmarkStart w:id="2447" w:name="_Toc38443917"/>
      <w:bookmarkStart w:id="2448" w:name="_Toc38438385"/>
      <w:bookmarkStart w:id="2449" w:name="_Toc38438722"/>
      <w:bookmarkStart w:id="2450" w:name="_Toc38439059"/>
      <w:bookmarkStart w:id="2451" w:name="_Toc38439396"/>
      <w:bookmarkStart w:id="2452" w:name="_Toc38439733"/>
      <w:bookmarkStart w:id="2453" w:name="_Toc38440070"/>
      <w:bookmarkStart w:id="2454" w:name="_Toc38440407"/>
      <w:bookmarkStart w:id="2455" w:name="_Toc38440939"/>
      <w:bookmarkStart w:id="2456" w:name="_Toc38441271"/>
      <w:bookmarkStart w:id="2457" w:name="_Toc38441603"/>
      <w:bookmarkStart w:id="2458" w:name="_Toc38441931"/>
      <w:bookmarkStart w:id="2459" w:name="_Toc38442263"/>
      <w:bookmarkStart w:id="2460" w:name="_Toc38442595"/>
      <w:bookmarkStart w:id="2461" w:name="_Toc38442926"/>
      <w:bookmarkStart w:id="2462" w:name="_Toc38443257"/>
      <w:bookmarkStart w:id="2463" w:name="_Toc38443588"/>
      <w:bookmarkStart w:id="2464" w:name="_Toc38443918"/>
      <w:bookmarkStart w:id="2465" w:name="_Toc38438386"/>
      <w:bookmarkStart w:id="2466" w:name="_Toc38438723"/>
      <w:bookmarkStart w:id="2467" w:name="_Toc38439060"/>
      <w:bookmarkStart w:id="2468" w:name="_Toc38439397"/>
      <w:bookmarkStart w:id="2469" w:name="_Toc38439734"/>
      <w:bookmarkStart w:id="2470" w:name="_Toc38440071"/>
      <w:bookmarkStart w:id="2471" w:name="_Toc38440408"/>
      <w:bookmarkStart w:id="2472" w:name="_Toc38440940"/>
      <w:bookmarkStart w:id="2473" w:name="_Toc38441272"/>
      <w:bookmarkStart w:id="2474" w:name="_Toc38441604"/>
      <w:bookmarkStart w:id="2475" w:name="_Toc38441932"/>
      <w:bookmarkStart w:id="2476" w:name="_Toc38442264"/>
      <w:bookmarkStart w:id="2477" w:name="_Toc38442596"/>
      <w:bookmarkStart w:id="2478" w:name="_Toc38442927"/>
      <w:bookmarkStart w:id="2479" w:name="_Toc38443258"/>
      <w:bookmarkStart w:id="2480" w:name="_Toc38443589"/>
      <w:bookmarkStart w:id="2481" w:name="_Toc38443919"/>
      <w:bookmarkStart w:id="2482" w:name="_Toc38438387"/>
      <w:bookmarkStart w:id="2483" w:name="_Toc38438724"/>
      <w:bookmarkStart w:id="2484" w:name="_Toc38439061"/>
      <w:bookmarkStart w:id="2485" w:name="_Toc38439398"/>
      <w:bookmarkStart w:id="2486" w:name="_Toc38439735"/>
      <w:bookmarkStart w:id="2487" w:name="_Toc38440072"/>
      <w:bookmarkStart w:id="2488" w:name="_Toc38440409"/>
      <w:bookmarkStart w:id="2489" w:name="_Toc38440941"/>
      <w:bookmarkStart w:id="2490" w:name="_Toc38441273"/>
      <w:bookmarkStart w:id="2491" w:name="_Toc38441605"/>
      <w:bookmarkStart w:id="2492" w:name="_Toc38441933"/>
      <w:bookmarkStart w:id="2493" w:name="_Toc38442265"/>
      <w:bookmarkStart w:id="2494" w:name="_Toc38442597"/>
      <w:bookmarkStart w:id="2495" w:name="_Toc38442928"/>
      <w:bookmarkStart w:id="2496" w:name="_Toc38443259"/>
      <w:bookmarkStart w:id="2497" w:name="_Toc38443590"/>
      <w:bookmarkStart w:id="2498" w:name="_Toc38443920"/>
      <w:bookmarkStart w:id="2499" w:name="_Toc38438388"/>
      <w:bookmarkStart w:id="2500" w:name="_Toc38438725"/>
      <w:bookmarkStart w:id="2501" w:name="_Toc38439062"/>
      <w:bookmarkStart w:id="2502" w:name="_Toc38439399"/>
      <w:bookmarkStart w:id="2503" w:name="_Toc38439736"/>
      <w:bookmarkStart w:id="2504" w:name="_Toc38440073"/>
      <w:bookmarkStart w:id="2505" w:name="_Toc38440410"/>
      <w:bookmarkStart w:id="2506" w:name="_Toc38440942"/>
      <w:bookmarkStart w:id="2507" w:name="_Toc38441274"/>
      <w:bookmarkStart w:id="2508" w:name="_Toc38441606"/>
      <w:bookmarkStart w:id="2509" w:name="_Toc38441934"/>
      <w:bookmarkStart w:id="2510" w:name="_Toc38442266"/>
      <w:bookmarkStart w:id="2511" w:name="_Toc38442598"/>
      <w:bookmarkStart w:id="2512" w:name="_Toc38442929"/>
      <w:bookmarkStart w:id="2513" w:name="_Toc38443260"/>
      <w:bookmarkStart w:id="2514" w:name="_Toc38443591"/>
      <w:bookmarkStart w:id="2515" w:name="_Toc38443921"/>
      <w:bookmarkStart w:id="2516" w:name="_Toc38438389"/>
      <w:bookmarkStart w:id="2517" w:name="_Toc38438726"/>
      <w:bookmarkStart w:id="2518" w:name="_Toc38439063"/>
      <w:bookmarkStart w:id="2519" w:name="_Toc38439400"/>
      <w:bookmarkStart w:id="2520" w:name="_Toc38439737"/>
      <w:bookmarkStart w:id="2521" w:name="_Toc38440074"/>
      <w:bookmarkStart w:id="2522" w:name="_Toc38440411"/>
      <w:bookmarkStart w:id="2523" w:name="_Toc38440943"/>
      <w:bookmarkStart w:id="2524" w:name="_Toc38441275"/>
      <w:bookmarkStart w:id="2525" w:name="_Toc38441607"/>
      <w:bookmarkStart w:id="2526" w:name="_Toc38441935"/>
      <w:bookmarkStart w:id="2527" w:name="_Toc38442267"/>
      <w:bookmarkStart w:id="2528" w:name="_Toc38442599"/>
      <w:bookmarkStart w:id="2529" w:name="_Toc38442930"/>
      <w:bookmarkStart w:id="2530" w:name="_Toc38443261"/>
      <w:bookmarkStart w:id="2531" w:name="_Toc38443592"/>
      <w:bookmarkStart w:id="2532" w:name="_Toc38443922"/>
      <w:bookmarkStart w:id="2533" w:name="_Toc38438390"/>
      <w:bookmarkStart w:id="2534" w:name="_Toc38438727"/>
      <w:bookmarkStart w:id="2535" w:name="_Toc38439064"/>
      <w:bookmarkStart w:id="2536" w:name="_Toc38439401"/>
      <w:bookmarkStart w:id="2537" w:name="_Toc38439738"/>
      <w:bookmarkStart w:id="2538" w:name="_Toc38440075"/>
      <w:bookmarkStart w:id="2539" w:name="_Toc38440412"/>
      <w:bookmarkStart w:id="2540" w:name="_Toc38440944"/>
      <w:bookmarkStart w:id="2541" w:name="_Toc38441276"/>
      <w:bookmarkStart w:id="2542" w:name="_Toc38441608"/>
      <w:bookmarkStart w:id="2543" w:name="_Toc38441936"/>
      <w:bookmarkStart w:id="2544" w:name="_Toc38442268"/>
      <w:bookmarkStart w:id="2545" w:name="_Toc38442600"/>
      <w:bookmarkStart w:id="2546" w:name="_Toc38442931"/>
      <w:bookmarkStart w:id="2547" w:name="_Toc38443262"/>
      <w:bookmarkStart w:id="2548" w:name="_Toc38443593"/>
      <w:bookmarkStart w:id="2549" w:name="_Toc38443923"/>
      <w:bookmarkStart w:id="2550" w:name="_Toc38438391"/>
      <w:bookmarkStart w:id="2551" w:name="_Toc38438728"/>
      <w:bookmarkStart w:id="2552" w:name="_Toc38439065"/>
      <w:bookmarkStart w:id="2553" w:name="_Toc38439402"/>
      <w:bookmarkStart w:id="2554" w:name="_Toc38439739"/>
      <w:bookmarkStart w:id="2555" w:name="_Toc38440076"/>
      <w:bookmarkStart w:id="2556" w:name="_Toc38440413"/>
      <w:bookmarkStart w:id="2557" w:name="_Toc38440945"/>
      <w:bookmarkStart w:id="2558" w:name="_Toc38441277"/>
      <w:bookmarkStart w:id="2559" w:name="_Toc38441609"/>
      <w:bookmarkStart w:id="2560" w:name="_Toc38441937"/>
      <w:bookmarkStart w:id="2561" w:name="_Toc38442269"/>
      <w:bookmarkStart w:id="2562" w:name="_Toc38442601"/>
      <w:bookmarkStart w:id="2563" w:name="_Toc38442932"/>
      <w:bookmarkStart w:id="2564" w:name="_Toc38443263"/>
      <w:bookmarkStart w:id="2565" w:name="_Toc38443594"/>
      <w:bookmarkStart w:id="2566" w:name="_Toc38443924"/>
      <w:bookmarkStart w:id="2567" w:name="_Toc38438392"/>
      <w:bookmarkStart w:id="2568" w:name="_Toc38438729"/>
      <w:bookmarkStart w:id="2569" w:name="_Toc38439066"/>
      <w:bookmarkStart w:id="2570" w:name="_Toc38439403"/>
      <w:bookmarkStart w:id="2571" w:name="_Toc38439740"/>
      <w:bookmarkStart w:id="2572" w:name="_Toc38440077"/>
      <w:bookmarkStart w:id="2573" w:name="_Toc38440414"/>
      <w:bookmarkStart w:id="2574" w:name="_Toc38440946"/>
      <w:bookmarkStart w:id="2575" w:name="_Toc38441278"/>
      <w:bookmarkStart w:id="2576" w:name="_Toc38441610"/>
      <w:bookmarkStart w:id="2577" w:name="_Toc38441938"/>
      <w:bookmarkStart w:id="2578" w:name="_Toc38442270"/>
      <w:bookmarkStart w:id="2579" w:name="_Toc38442602"/>
      <w:bookmarkStart w:id="2580" w:name="_Toc38442933"/>
      <w:bookmarkStart w:id="2581" w:name="_Toc38443264"/>
      <w:bookmarkStart w:id="2582" w:name="_Toc38443595"/>
      <w:bookmarkStart w:id="2583" w:name="_Toc38443925"/>
      <w:bookmarkStart w:id="2584" w:name="_Toc38438393"/>
      <w:bookmarkStart w:id="2585" w:name="_Toc38438730"/>
      <w:bookmarkStart w:id="2586" w:name="_Toc38439067"/>
      <w:bookmarkStart w:id="2587" w:name="_Toc38439404"/>
      <w:bookmarkStart w:id="2588" w:name="_Toc38439741"/>
      <w:bookmarkStart w:id="2589" w:name="_Toc38440078"/>
      <w:bookmarkStart w:id="2590" w:name="_Toc38440415"/>
      <w:bookmarkStart w:id="2591" w:name="_Toc38440947"/>
      <w:bookmarkStart w:id="2592" w:name="_Toc38441279"/>
      <w:bookmarkStart w:id="2593" w:name="_Toc38441611"/>
      <w:bookmarkStart w:id="2594" w:name="_Toc38441939"/>
      <w:bookmarkStart w:id="2595" w:name="_Toc38442271"/>
      <w:bookmarkStart w:id="2596" w:name="_Toc38442603"/>
      <w:bookmarkStart w:id="2597" w:name="_Toc38442934"/>
      <w:bookmarkStart w:id="2598" w:name="_Toc38443265"/>
      <w:bookmarkStart w:id="2599" w:name="_Toc38443596"/>
      <w:bookmarkStart w:id="2600" w:name="_Toc38443926"/>
      <w:bookmarkStart w:id="2601" w:name="_Toc38438394"/>
      <w:bookmarkStart w:id="2602" w:name="_Toc38438731"/>
      <w:bookmarkStart w:id="2603" w:name="_Toc38439068"/>
      <w:bookmarkStart w:id="2604" w:name="_Toc38439405"/>
      <w:bookmarkStart w:id="2605" w:name="_Toc38439742"/>
      <w:bookmarkStart w:id="2606" w:name="_Toc38440079"/>
      <w:bookmarkStart w:id="2607" w:name="_Toc38440416"/>
      <w:bookmarkStart w:id="2608" w:name="_Toc38440948"/>
      <w:bookmarkStart w:id="2609" w:name="_Toc38441280"/>
      <w:bookmarkStart w:id="2610" w:name="_Toc38441612"/>
      <w:bookmarkStart w:id="2611" w:name="_Toc38441940"/>
      <w:bookmarkStart w:id="2612" w:name="_Toc38442272"/>
      <w:bookmarkStart w:id="2613" w:name="_Toc38442604"/>
      <w:bookmarkStart w:id="2614" w:name="_Toc38442935"/>
      <w:bookmarkStart w:id="2615" w:name="_Toc38443266"/>
      <w:bookmarkStart w:id="2616" w:name="_Toc38443597"/>
      <w:bookmarkStart w:id="2617" w:name="_Toc38443927"/>
      <w:bookmarkStart w:id="2618" w:name="_Toc38438395"/>
      <w:bookmarkStart w:id="2619" w:name="_Toc38438732"/>
      <w:bookmarkStart w:id="2620" w:name="_Toc38439069"/>
      <w:bookmarkStart w:id="2621" w:name="_Toc38439406"/>
      <w:bookmarkStart w:id="2622" w:name="_Toc38439743"/>
      <w:bookmarkStart w:id="2623" w:name="_Toc38440080"/>
      <w:bookmarkStart w:id="2624" w:name="_Toc38440417"/>
      <w:bookmarkStart w:id="2625" w:name="_Toc38440949"/>
      <w:bookmarkStart w:id="2626" w:name="_Toc38441281"/>
      <w:bookmarkStart w:id="2627" w:name="_Toc38441613"/>
      <w:bookmarkStart w:id="2628" w:name="_Toc38441941"/>
      <w:bookmarkStart w:id="2629" w:name="_Toc38442273"/>
      <w:bookmarkStart w:id="2630" w:name="_Toc38442605"/>
      <w:bookmarkStart w:id="2631" w:name="_Toc38442936"/>
      <w:bookmarkStart w:id="2632" w:name="_Toc38443267"/>
      <w:bookmarkStart w:id="2633" w:name="_Toc38443598"/>
      <w:bookmarkStart w:id="2634" w:name="_Toc38443928"/>
      <w:bookmarkStart w:id="2635" w:name="_Toc38438396"/>
      <w:bookmarkStart w:id="2636" w:name="_Toc38438733"/>
      <w:bookmarkStart w:id="2637" w:name="_Toc38439070"/>
      <w:bookmarkStart w:id="2638" w:name="_Toc38439407"/>
      <w:bookmarkStart w:id="2639" w:name="_Toc38439744"/>
      <w:bookmarkStart w:id="2640" w:name="_Toc38440081"/>
      <w:bookmarkStart w:id="2641" w:name="_Toc38440418"/>
      <w:bookmarkStart w:id="2642" w:name="_Toc38440950"/>
      <w:bookmarkStart w:id="2643" w:name="_Toc38441282"/>
      <w:bookmarkStart w:id="2644" w:name="_Toc38441614"/>
      <w:bookmarkStart w:id="2645" w:name="_Toc38441942"/>
      <w:bookmarkStart w:id="2646" w:name="_Toc38442274"/>
      <w:bookmarkStart w:id="2647" w:name="_Toc38442606"/>
      <w:bookmarkStart w:id="2648" w:name="_Toc38442937"/>
      <w:bookmarkStart w:id="2649" w:name="_Toc38443268"/>
      <w:bookmarkStart w:id="2650" w:name="_Toc38443599"/>
      <w:bookmarkStart w:id="2651" w:name="_Toc38443929"/>
      <w:bookmarkStart w:id="2652" w:name="_Toc38438397"/>
      <w:bookmarkStart w:id="2653" w:name="_Toc38438734"/>
      <w:bookmarkStart w:id="2654" w:name="_Toc38439071"/>
      <w:bookmarkStart w:id="2655" w:name="_Toc38439408"/>
      <w:bookmarkStart w:id="2656" w:name="_Toc38439745"/>
      <w:bookmarkStart w:id="2657" w:name="_Toc38440082"/>
      <w:bookmarkStart w:id="2658" w:name="_Toc38440419"/>
      <w:bookmarkStart w:id="2659" w:name="_Toc38440951"/>
      <w:bookmarkStart w:id="2660" w:name="_Toc38441283"/>
      <w:bookmarkStart w:id="2661" w:name="_Toc38441615"/>
      <w:bookmarkStart w:id="2662" w:name="_Toc38441943"/>
      <w:bookmarkStart w:id="2663" w:name="_Toc38442275"/>
      <w:bookmarkStart w:id="2664" w:name="_Toc38442607"/>
      <w:bookmarkStart w:id="2665" w:name="_Toc38442938"/>
      <w:bookmarkStart w:id="2666" w:name="_Toc38443269"/>
      <w:bookmarkStart w:id="2667" w:name="_Toc38443600"/>
      <w:bookmarkStart w:id="2668" w:name="_Toc38443930"/>
      <w:bookmarkStart w:id="2669" w:name="_Toc38438398"/>
      <w:bookmarkStart w:id="2670" w:name="_Toc38438735"/>
      <w:bookmarkStart w:id="2671" w:name="_Toc38439072"/>
      <w:bookmarkStart w:id="2672" w:name="_Toc38439409"/>
      <w:bookmarkStart w:id="2673" w:name="_Toc38439746"/>
      <w:bookmarkStart w:id="2674" w:name="_Toc38440083"/>
      <w:bookmarkStart w:id="2675" w:name="_Toc38440420"/>
      <w:bookmarkStart w:id="2676" w:name="_Toc38440952"/>
      <w:bookmarkStart w:id="2677" w:name="_Toc38441284"/>
      <w:bookmarkStart w:id="2678" w:name="_Toc38441616"/>
      <w:bookmarkStart w:id="2679" w:name="_Toc38441944"/>
      <w:bookmarkStart w:id="2680" w:name="_Toc38442276"/>
      <w:bookmarkStart w:id="2681" w:name="_Toc38442608"/>
      <w:bookmarkStart w:id="2682" w:name="_Toc38442939"/>
      <w:bookmarkStart w:id="2683" w:name="_Toc38443270"/>
      <w:bookmarkStart w:id="2684" w:name="_Toc38443601"/>
      <w:bookmarkStart w:id="2685" w:name="_Toc38443931"/>
      <w:bookmarkStart w:id="2686" w:name="_Toc38438400"/>
      <w:bookmarkStart w:id="2687" w:name="_Toc38438737"/>
      <w:bookmarkStart w:id="2688" w:name="_Toc38439074"/>
      <w:bookmarkStart w:id="2689" w:name="_Toc38439411"/>
      <w:bookmarkStart w:id="2690" w:name="_Toc38439748"/>
      <w:bookmarkStart w:id="2691" w:name="_Toc38440085"/>
      <w:bookmarkStart w:id="2692" w:name="_Toc38440422"/>
      <w:bookmarkStart w:id="2693" w:name="_Toc38440954"/>
      <w:bookmarkStart w:id="2694" w:name="_Toc38441286"/>
      <w:bookmarkStart w:id="2695" w:name="_Toc38441618"/>
      <w:bookmarkStart w:id="2696" w:name="_Toc38441946"/>
      <w:bookmarkStart w:id="2697" w:name="_Toc38442278"/>
      <w:bookmarkStart w:id="2698" w:name="_Toc38442610"/>
      <w:bookmarkStart w:id="2699" w:name="_Toc38442941"/>
      <w:bookmarkStart w:id="2700" w:name="_Toc38443272"/>
      <w:bookmarkStart w:id="2701" w:name="_Toc38443603"/>
      <w:bookmarkStart w:id="2702" w:name="_Toc38443933"/>
      <w:bookmarkStart w:id="2703" w:name="_Toc38438401"/>
      <w:bookmarkStart w:id="2704" w:name="_Toc38438738"/>
      <w:bookmarkStart w:id="2705" w:name="_Toc38439075"/>
      <w:bookmarkStart w:id="2706" w:name="_Toc38439412"/>
      <w:bookmarkStart w:id="2707" w:name="_Toc38439749"/>
      <w:bookmarkStart w:id="2708" w:name="_Toc38440086"/>
      <w:bookmarkStart w:id="2709" w:name="_Toc38440423"/>
      <w:bookmarkStart w:id="2710" w:name="_Toc38440955"/>
      <w:bookmarkStart w:id="2711" w:name="_Toc38441287"/>
      <w:bookmarkStart w:id="2712" w:name="_Toc38441619"/>
      <w:bookmarkStart w:id="2713" w:name="_Toc38441947"/>
      <w:bookmarkStart w:id="2714" w:name="_Toc38442279"/>
      <w:bookmarkStart w:id="2715" w:name="_Toc38442611"/>
      <w:bookmarkStart w:id="2716" w:name="_Toc38442942"/>
      <w:bookmarkStart w:id="2717" w:name="_Toc38443273"/>
      <w:bookmarkStart w:id="2718" w:name="_Toc38443604"/>
      <w:bookmarkStart w:id="2719" w:name="_Toc38443934"/>
      <w:bookmarkStart w:id="2720" w:name="_Toc38438402"/>
      <w:bookmarkStart w:id="2721" w:name="_Toc38438739"/>
      <w:bookmarkStart w:id="2722" w:name="_Toc38439076"/>
      <w:bookmarkStart w:id="2723" w:name="_Toc38439413"/>
      <w:bookmarkStart w:id="2724" w:name="_Toc38439750"/>
      <w:bookmarkStart w:id="2725" w:name="_Toc38440087"/>
      <w:bookmarkStart w:id="2726" w:name="_Toc38440424"/>
      <w:bookmarkStart w:id="2727" w:name="_Toc38440956"/>
      <w:bookmarkStart w:id="2728" w:name="_Toc38441288"/>
      <w:bookmarkStart w:id="2729" w:name="_Toc38441620"/>
      <w:bookmarkStart w:id="2730" w:name="_Toc38441948"/>
      <w:bookmarkStart w:id="2731" w:name="_Toc38442280"/>
      <w:bookmarkStart w:id="2732" w:name="_Toc38442612"/>
      <w:bookmarkStart w:id="2733" w:name="_Toc38442943"/>
      <w:bookmarkStart w:id="2734" w:name="_Toc38443274"/>
      <w:bookmarkStart w:id="2735" w:name="_Toc38443605"/>
      <w:bookmarkStart w:id="2736" w:name="_Toc38443935"/>
      <w:bookmarkStart w:id="2737" w:name="_Toc38438404"/>
      <w:bookmarkStart w:id="2738" w:name="_Toc38438741"/>
      <w:bookmarkStart w:id="2739" w:name="_Toc38439078"/>
      <w:bookmarkStart w:id="2740" w:name="_Toc38439415"/>
      <w:bookmarkStart w:id="2741" w:name="_Toc38439752"/>
      <w:bookmarkStart w:id="2742" w:name="_Toc38440089"/>
      <w:bookmarkStart w:id="2743" w:name="_Toc38440426"/>
      <w:bookmarkStart w:id="2744" w:name="_Toc38440958"/>
      <w:bookmarkStart w:id="2745" w:name="_Toc38441290"/>
      <w:bookmarkStart w:id="2746" w:name="_Toc38441622"/>
      <w:bookmarkStart w:id="2747" w:name="_Toc38441950"/>
      <w:bookmarkStart w:id="2748" w:name="_Toc38442282"/>
      <w:bookmarkStart w:id="2749" w:name="_Toc38442614"/>
      <w:bookmarkStart w:id="2750" w:name="_Toc38442945"/>
      <w:bookmarkStart w:id="2751" w:name="_Toc38443276"/>
      <w:bookmarkStart w:id="2752" w:name="_Toc38443607"/>
      <w:bookmarkStart w:id="2753" w:name="_Toc38443937"/>
      <w:bookmarkStart w:id="2754" w:name="_Toc38438405"/>
      <w:bookmarkStart w:id="2755" w:name="_Toc38438742"/>
      <w:bookmarkStart w:id="2756" w:name="_Toc38439079"/>
      <w:bookmarkStart w:id="2757" w:name="_Toc38439416"/>
      <w:bookmarkStart w:id="2758" w:name="_Toc38439753"/>
      <w:bookmarkStart w:id="2759" w:name="_Toc38440090"/>
      <w:bookmarkStart w:id="2760" w:name="_Toc38440427"/>
      <w:bookmarkStart w:id="2761" w:name="_Toc38440959"/>
      <w:bookmarkStart w:id="2762" w:name="_Toc38441291"/>
      <w:bookmarkStart w:id="2763" w:name="_Toc38441623"/>
      <w:bookmarkStart w:id="2764" w:name="_Toc38441951"/>
      <w:bookmarkStart w:id="2765" w:name="_Toc38442283"/>
      <w:bookmarkStart w:id="2766" w:name="_Toc38442615"/>
      <w:bookmarkStart w:id="2767" w:name="_Toc38442946"/>
      <w:bookmarkStart w:id="2768" w:name="_Toc38443277"/>
      <w:bookmarkStart w:id="2769" w:name="_Toc38443608"/>
      <w:bookmarkStart w:id="2770" w:name="_Toc38443938"/>
      <w:bookmarkStart w:id="2771" w:name="_Toc38438406"/>
      <w:bookmarkStart w:id="2772" w:name="_Toc38438743"/>
      <w:bookmarkStart w:id="2773" w:name="_Toc38439080"/>
      <w:bookmarkStart w:id="2774" w:name="_Toc38439417"/>
      <w:bookmarkStart w:id="2775" w:name="_Toc38439754"/>
      <w:bookmarkStart w:id="2776" w:name="_Toc38440091"/>
      <w:bookmarkStart w:id="2777" w:name="_Toc38440428"/>
      <w:bookmarkStart w:id="2778" w:name="_Toc38440960"/>
      <w:bookmarkStart w:id="2779" w:name="_Toc38441292"/>
      <w:bookmarkStart w:id="2780" w:name="_Toc38441624"/>
      <w:bookmarkStart w:id="2781" w:name="_Toc38441952"/>
      <w:bookmarkStart w:id="2782" w:name="_Toc38442284"/>
      <w:bookmarkStart w:id="2783" w:name="_Toc38442616"/>
      <w:bookmarkStart w:id="2784" w:name="_Toc38442947"/>
      <w:bookmarkStart w:id="2785" w:name="_Toc38443278"/>
      <w:bookmarkStart w:id="2786" w:name="_Toc38443609"/>
      <w:bookmarkStart w:id="2787" w:name="_Toc38443939"/>
      <w:bookmarkStart w:id="2788" w:name="_Toc38438407"/>
      <w:bookmarkStart w:id="2789" w:name="_Toc38438744"/>
      <w:bookmarkStart w:id="2790" w:name="_Toc38439081"/>
      <w:bookmarkStart w:id="2791" w:name="_Toc38439418"/>
      <w:bookmarkStart w:id="2792" w:name="_Toc38439755"/>
      <w:bookmarkStart w:id="2793" w:name="_Toc38440092"/>
      <w:bookmarkStart w:id="2794" w:name="_Toc38440429"/>
      <w:bookmarkStart w:id="2795" w:name="_Toc38440961"/>
      <w:bookmarkStart w:id="2796" w:name="_Toc38441293"/>
      <w:bookmarkStart w:id="2797" w:name="_Toc38441625"/>
      <w:bookmarkStart w:id="2798" w:name="_Toc38441953"/>
      <w:bookmarkStart w:id="2799" w:name="_Toc38442285"/>
      <w:bookmarkStart w:id="2800" w:name="_Toc38442617"/>
      <w:bookmarkStart w:id="2801" w:name="_Toc38442948"/>
      <w:bookmarkStart w:id="2802" w:name="_Toc38443279"/>
      <w:bookmarkStart w:id="2803" w:name="_Toc38443610"/>
      <w:bookmarkStart w:id="2804" w:name="_Toc38443940"/>
      <w:bookmarkStart w:id="2805" w:name="_Toc38438408"/>
      <w:bookmarkStart w:id="2806" w:name="_Toc38438745"/>
      <w:bookmarkStart w:id="2807" w:name="_Toc38439082"/>
      <w:bookmarkStart w:id="2808" w:name="_Toc38439419"/>
      <w:bookmarkStart w:id="2809" w:name="_Toc38439756"/>
      <w:bookmarkStart w:id="2810" w:name="_Toc38440093"/>
      <w:bookmarkStart w:id="2811" w:name="_Toc38440430"/>
      <w:bookmarkStart w:id="2812" w:name="_Toc38440962"/>
      <w:bookmarkStart w:id="2813" w:name="_Toc38441294"/>
      <w:bookmarkStart w:id="2814" w:name="_Toc38441626"/>
      <w:bookmarkStart w:id="2815" w:name="_Toc38441954"/>
      <w:bookmarkStart w:id="2816" w:name="_Toc38442286"/>
      <w:bookmarkStart w:id="2817" w:name="_Toc38442618"/>
      <w:bookmarkStart w:id="2818" w:name="_Toc38442949"/>
      <w:bookmarkStart w:id="2819" w:name="_Toc38443280"/>
      <w:bookmarkStart w:id="2820" w:name="_Toc38443611"/>
      <w:bookmarkStart w:id="2821" w:name="_Toc38443941"/>
      <w:bookmarkStart w:id="2822" w:name="_Toc38438409"/>
      <w:bookmarkStart w:id="2823" w:name="_Toc38438746"/>
      <w:bookmarkStart w:id="2824" w:name="_Toc38439083"/>
      <w:bookmarkStart w:id="2825" w:name="_Toc38439420"/>
      <w:bookmarkStart w:id="2826" w:name="_Toc38439757"/>
      <w:bookmarkStart w:id="2827" w:name="_Toc38440094"/>
      <w:bookmarkStart w:id="2828" w:name="_Toc38440431"/>
      <w:bookmarkStart w:id="2829" w:name="_Toc38440963"/>
      <w:bookmarkStart w:id="2830" w:name="_Toc38441295"/>
      <w:bookmarkStart w:id="2831" w:name="_Toc38441627"/>
      <w:bookmarkStart w:id="2832" w:name="_Toc38441955"/>
      <w:bookmarkStart w:id="2833" w:name="_Toc38442287"/>
      <w:bookmarkStart w:id="2834" w:name="_Toc38442619"/>
      <w:bookmarkStart w:id="2835" w:name="_Toc38442950"/>
      <w:bookmarkStart w:id="2836" w:name="_Toc38443281"/>
      <w:bookmarkStart w:id="2837" w:name="_Toc38443612"/>
      <w:bookmarkStart w:id="2838" w:name="_Toc38443942"/>
      <w:bookmarkStart w:id="2839" w:name="_Toc38438410"/>
      <w:bookmarkStart w:id="2840" w:name="_Toc38438747"/>
      <w:bookmarkStart w:id="2841" w:name="_Toc38439084"/>
      <w:bookmarkStart w:id="2842" w:name="_Toc38439421"/>
      <w:bookmarkStart w:id="2843" w:name="_Toc38439758"/>
      <w:bookmarkStart w:id="2844" w:name="_Toc38440095"/>
      <w:bookmarkStart w:id="2845" w:name="_Toc38440432"/>
      <w:bookmarkStart w:id="2846" w:name="_Toc38440964"/>
      <w:bookmarkStart w:id="2847" w:name="_Toc38441296"/>
      <w:bookmarkStart w:id="2848" w:name="_Toc38441628"/>
      <w:bookmarkStart w:id="2849" w:name="_Toc38441956"/>
      <w:bookmarkStart w:id="2850" w:name="_Toc38442288"/>
      <w:bookmarkStart w:id="2851" w:name="_Toc38442620"/>
      <w:bookmarkStart w:id="2852" w:name="_Toc38442951"/>
      <w:bookmarkStart w:id="2853" w:name="_Toc38443282"/>
      <w:bookmarkStart w:id="2854" w:name="_Toc38443613"/>
      <w:bookmarkStart w:id="2855" w:name="_Toc38443943"/>
      <w:bookmarkStart w:id="2856" w:name="_Toc38438411"/>
      <w:bookmarkStart w:id="2857" w:name="_Toc38438748"/>
      <w:bookmarkStart w:id="2858" w:name="_Toc38439085"/>
      <w:bookmarkStart w:id="2859" w:name="_Toc38439422"/>
      <w:bookmarkStart w:id="2860" w:name="_Toc38439759"/>
      <w:bookmarkStart w:id="2861" w:name="_Toc38440096"/>
      <w:bookmarkStart w:id="2862" w:name="_Toc38440433"/>
      <w:bookmarkStart w:id="2863" w:name="_Toc38440965"/>
      <w:bookmarkStart w:id="2864" w:name="_Toc38441297"/>
      <w:bookmarkStart w:id="2865" w:name="_Toc38441629"/>
      <w:bookmarkStart w:id="2866" w:name="_Toc38441957"/>
      <w:bookmarkStart w:id="2867" w:name="_Toc38442289"/>
      <w:bookmarkStart w:id="2868" w:name="_Toc38442621"/>
      <w:bookmarkStart w:id="2869" w:name="_Toc38442952"/>
      <w:bookmarkStart w:id="2870" w:name="_Toc38443283"/>
      <w:bookmarkStart w:id="2871" w:name="_Toc38443614"/>
      <w:bookmarkStart w:id="2872" w:name="_Toc38443944"/>
      <w:bookmarkStart w:id="2873" w:name="_Toc38438412"/>
      <w:bookmarkStart w:id="2874" w:name="_Toc38438749"/>
      <w:bookmarkStart w:id="2875" w:name="_Toc38439086"/>
      <w:bookmarkStart w:id="2876" w:name="_Toc38439423"/>
      <w:bookmarkStart w:id="2877" w:name="_Toc38439760"/>
      <w:bookmarkStart w:id="2878" w:name="_Toc38440097"/>
      <w:bookmarkStart w:id="2879" w:name="_Toc38440434"/>
      <w:bookmarkStart w:id="2880" w:name="_Toc38440966"/>
      <w:bookmarkStart w:id="2881" w:name="_Toc38441298"/>
      <w:bookmarkStart w:id="2882" w:name="_Toc38441630"/>
      <w:bookmarkStart w:id="2883" w:name="_Toc38441958"/>
      <w:bookmarkStart w:id="2884" w:name="_Toc38442290"/>
      <w:bookmarkStart w:id="2885" w:name="_Toc38442622"/>
      <w:bookmarkStart w:id="2886" w:name="_Toc38442953"/>
      <w:bookmarkStart w:id="2887" w:name="_Toc38443284"/>
      <w:bookmarkStart w:id="2888" w:name="_Toc38443615"/>
      <w:bookmarkStart w:id="2889" w:name="_Toc38443945"/>
      <w:bookmarkStart w:id="2890" w:name="_Toc38438413"/>
      <w:bookmarkStart w:id="2891" w:name="_Toc38438750"/>
      <w:bookmarkStart w:id="2892" w:name="_Toc38439087"/>
      <w:bookmarkStart w:id="2893" w:name="_Toc38439424"/>
      <w:bookmarkStart w:id="2894" w:name="_Toc38439761"/>
      <w:bookmarkStart w:id="2895" w:name="_Toc38440098"/>
      <w:bookmarkStart w:id="2896" w:name="_Toc38440435"/>
      <w:bookmarkStart w:id="2897" w:name="_Toc38440967"/>
      <w:bookmarkStart w:id="2898" w:name="_Toc38441299"/>
      <w:bookmarkStart w:id="2899" w:name="_Toc38441631"/>
      <w:bookmarkStart w:id="2900" w:name="_Toc38441959"/>
      <w:bookmarkStart w:id="2901" w:name="_Toc38442291"/>
      <w:bookmarkStart w:id="2902" w:name="_Toc38442623"/>
      <w:bookmarkStart w:id="2903" w:name="_Toc38442954"/>
      <w:bookmarkStart w:id="2904" w:name="_Toc38443285"/>
      <w:bookmarkStart w:id="2905" w:name="_Toc38443616"/>
      <w:bookmarkStart w:id="2906" w:name="_Toc38443946"/>
      <w:bookmarkStart w:id="2907" w:name="_Toc38438414"/>
      <w:bookmarkStart w:id="2908" w:name="_Toc38438751"/>
      <w:bookmarkStart w:id="2909" w:name="_Toc38439088"/>
      <w:bookmarkStart w:id="2910" w:name="_Toc38439425"/>
      <w:bookmarkStart w:id="2911" w:name="_Toc38439762"/>
      <w:bookmarkStart w:id="2912" w:name="_Toc38440099"/>
      <w:bookmarkStart w:id="2913" w:name="_Toc38440436"/>
      <w:bookmarkStart w:id="2914" w:name="_Toc38440968"/>
      <w:bookmarkStart w:id="2915" w:name="_Toc38441300"/>
      <w:bookmarkStart w:id="2916" w:name="_Toc38441632"/>
      <w:bookmarkStart w:id="2917" w:name="_Toc38441960"/>
      <w:bookmarkStart w:id="2918" w:name="_Toc38442292"/>
      <w:bookmarkStart w:id="2919" w:name="_Toc38442624"/>
      <w:bookmarkStart w:id="2920" w:name="_Toc38442955"/>
      <w:bookmarkStart w:id="2921" w:name="_Toc38443286"/>
      <w:bookmarkStart w:id="2922" w:name="_Toc38443617"/>
      <w:bookmarkStart w:id="2923" w:name="_Toc38443947"/>
      <w:bookmarkStart w:id="2924" w:name="_Toc38438415"/>
      <w:bookmarkStart w:id="2925" w:name="_Toc38438752"/>
      <w:bookmarkStart w:id="2926" w:name="_Toc38439089"/>
      <w:bookmarkStart w:id="2927" w:name="_Toc38439426"/>
      <w:bookmarkStart w:id="2928" w:name="_Toc38439763"/>
      <w:bookmarkStart w:id="2929" w:name="_Toc38440100"/>
      <w:bookmarkStart w:id="2930" w:name="_Toc38440437"/>
      <w:bookmarkStart w:id="2931" w:name="_Toc38440969"/>
      <w:bookmarkStart w:id="2932" w:name="_Toc38441301"/>
      <w:bookmarkStart w:id="2933" w:name="_Toc38441633"/>
      <w:bookmarkStart w:id="2934" w:name="_Toc38441961"/>
      <w:bookmarkStart w:id="2935" w:name="_Toc38442293"/>
      <w:bookmarkStart w:id="2936" w:name="_Toc38442625"/>
      <w:bookmarkStart w:id="2937" w:name="_Toc38442956"/>
      <w:bookmarkStart w:id="2938" w:name="_Toc38443287"/>
      <w:bookmarkStart w:id="2939" w:name="_Toc38443618"/>
      <w:bookmarkStart w:id="2940" w:name="_Toc38443948"/>
      <w:bookmarkStart w:id="2941" w:name="_Toc38438416"/>
      <w:bookmarkStart w:id="2942" w:name="_Toc38438753"/>
      <w:bookmarkStart w:id="2943" w:name="_Toc38439090"/>
      <w:bookmarkStart w:id="2944" w:name="_Toc38439427"/>
      <w:bookmarkStart w:id="2945" w:name="_Toc38439764"/>
      <w:bookmarkStart w:id="2946" w:name="_Toc38440101"/>
      <w:bookmarkStart w:id="2947" w:name="_Toc38440438"/>
      <w:bookmarkStart w:id="2948" w:name="_Toc38440970"/>
      <w:bookmarkStart w:id="2949" w:name="_Toc38441302"/>
      <w:bookmarkStart w:id="2950" w:name="_Toc38441634"/>
      <w:bookmarkStart w:id="2951" w:name="_Toc38441962"/>
      <w:bookmarkStart w:id="2952" w:name="_Toc38442294"/>
      <w:bookmarkStart w:id="2953" w:name="_Toc38442626"/>
      <w:bookmarkStart w:id="2954" w:name="_Toc38442957"/>
      <w:bookmarkStart w:id="2955" w:name="_Toc38443288"/>
      <w:bookmarkStart w:id="2956" w:name="_Toc38443619"/>
      <w:bookmarkStart w:id="2957" w:name="_Toc38443949"/>
      <w:bookmarkStart w:id="2958" w:name="_Toc38438417"/>
      <w:bookmarkStart w:id="2959" w:name="_Toc38438754"/>
      <w:bookmarkStart w:id="2960" w:name="_Toc38439091"/>
      <w:bookmarkStart w:id="2961" w:name="_Toc38439428"/>
      <w:bookmarkStart w:id="2962" w:name="_Toc38439765"/>
      <w:bookmarkStart w:id="2963" w:name="_Toc38440102"/>
      <w:bookmarkStart w:id="2964" w:name="_Toc38440439"/>
      <w:bookmarkStart w:id="2965" w:name="_Toc38440971"/>
      <w:bookmarkStart w:id="2966" w:name="_Toc38441303"/>
      <w:bookmarkStart w:id="2967" w:name="_Toc38441635"/>
      <w:bookmarkStart w:id="2968" w:name="_Toc38441963"/>
      <w:bookmarkStart w:id="2969" w:name="_Toc38442295"/>
      <w:bookmarkStart w:id="2970" w:name="_Toc38442627"/>
      <w:bookmarkStart w:id="2971" w:name="_Toc38442958"/>
      <w:bookmarkStart w:id="2972" w:name="_Toc38443289"/>
      <w:bookmarkStart w:id="2973" w:name="_Toc38443620"/>
      <w:bookmarkStart w:id="2974" w:name="_Toc38443950"/>
      <w:bookmarkStart w:id="2975" w:name="_Toc38438418"/>
      <w:bookmarkStart w:id="2976" w:name="_Toc38438755"/>
      <w:bookmarkStart w:id="2977" w:name="_Toc38439092"/>
      <w:bookmarkStart w:id="2978" w:name="_Toc38439429"/>
      <w:bookmarkStart w:id="2979" w:name="_Toc38439766"/>
      <w:bookmarkStart w:id="2980" w:name="_Toc38440103"/>
      <w:bookmarkStart w:id="2981" w:name="_Toc38440440"/>
      <w:bookmarkStart w:id="2982" w:name="_Toc38440972"/>
      <w:bookmarkStart w:id="2983" w:name="_Toc38441304"/>
      <w:bookmarkStart w:id="2984" w:name="_Toc38441636"/>
      <w:bookmarkStart w:id="2985" w:name="_Toc38441964"/>
      <w:bookmarkStart w:id="2986" w:name="_Toc38442296"/>
      <w:bookmarkStart w:id="2987" w:name="_Toc38442628"/>
      <w:bookmarkStart w:id="2988" w:name="_Toc38442959"/>
      <w:bookmarkStart w:id="2989" w:name="_Toc38443290"/>
      <w:bookmarkStart w:id="2990" w:name="_Toc38443621"/>
      <w:bookmarkStart w:id="2991" w:name="_Toc38443951"/>
      <w:bookmarkStart w:id="2992" w:name="_Toc38438419"/>
      <w:bookmarkStart w:id="2993" w:name="_Toc38438756"/>
      <w:bookmarkStart w:id="2994" w:name="_Toc38439093"/>
      <w:bookmarkStart w:id="2995" w:name="_Toc38439430"/>
      <w:bookmarkStart w:id="2996" w:name="_Toc38439767"/>
      <w:bookmarkStart w:id="2997" w:name="_Toc38440104"/>
      <w:bookmarkStart w:id="2998" w:name="_Toc38440441"/>
      <w:bookmarkStart w:id="2999" w:name="_Toc38440973"/>
      <w:bookmarkStart w:id="3000" w:name="_Toc38441305"/>
      <w:bookmarkStart w:id="3001" w:name="_Toc38441637"/>
      <w:bookmarkStart w:id="3002" w:name="_Toc38441965"/>
      <w:bookmarkStart w:id="3003" w:name="_Toc38442297"/>
      <w:bookmarkStart w:id="3004" w:name="_Toc38442629"/>
      <w:bookmarkStart w:id="3005" w:name="_Toc38442960"/>
      <w:bookmarkStart w:id="3006" w:name="_Toc38443291"/>
      <w:bookmarkStart w:id="3007" w:name="_Toc38443622"/>
      <w:bookmarkStart w:id="3008" w:name="_Toc38443952"/>
      <w:bookmarkStart w:id="3009" w:name="_Toc38438420"/>
      <w:bookmarkStart w:id="3010" w:name="_Toc38438757"/>
      <w:bookmarkStart w:id="3011" w:name="_Toc38439094"/>
      <w:bookmarkStart w:id="3012" w:name="_Toc38439431"/>
      <w:bookmarkStart w:id="3013" w:name="_Toc38439768"/>
      <w:bookmarkStart w:id="3014" w:name="_Toc38440105"/>
      <w:bookmarkStart w:id="3015" w:name="_Toc38440442"/>
      <w:bookmarkStart w:id="3016" w:name="_Toc38440974"/>
      <w:bookmarkStart w:id="3017" w:name="_Toc38441306"/>
      <w:bookmarkStart w:id="3018" w:name="_Toc38441638"/>
      <w:bookmarkStart w:id="3019" w:name="_Toc38441966"/>
      <w:bookmarkStart w:id="3020" w:name="_Toc38442298"/>
      <w:bookmarkStart w:id="3021" w:name="_Toc38442630"/>
      <w:bookmarkStart w:id="3022" w:name="_Toc38442961"/>
      <w:bookmarkStart w:id="3023" w:name="_Toc38443292"/>
      <w:bookmarkStart w:id="3024" w:name="_Toc38443623"/>
      <w:bookmarkStart w:id="3025" w:name="_Toc38443953"/>
      <w:bookmarkStart w:id="3026" w:name="_Toc38438421"/>
      <w:bookmarkStart w:id="3027" w:name="_Toc38438758"/>
      <w:bookmarkStart w:id="3028" w:name="_Toc38439095"/>
      <w:bookmarkStart w:id="3029" w:name="_Toc38439432"/>
      <w:bookmarkStart w:id="3030" w:name="_Toc38439769"/>
      <w:bookmarkStart w:id="3031" w:name="_Toc38440106"/>
      <w:bookmarkStart w:id="3032" w:name="_Toc38440443"/>
      <w:bookmarkStart w:id="3033" w:name="_Toc38440975"/>
      <w:bookmarkStart w:id="3034" w:name="_Toc38441307"/>
      <w:bookmarkStart w:id="3035" w:name="_Toc38441639"/>
      <w:bookmarkStart w:id="3036" w:name="_Toc38441967"/>
      <w:bookmarkStart w:id="3037" w:name="_Toc38442299"/>
      <w:bookmarkStart w:id="3038" w:name="_Toc38442631"/>
      <w:bookmarkStart w:id="3039" w:name="_Toc38442962"/>
      <w:bookmarkStart w:id="3040" w:name="_Toc38443293"/>
      <w:bookmarkStart w:id="3041" w:name="_Toc38443624"/>
      <w:bookmarkStart w:id="3042" w:name="_Toc38443954"/>
      <w:bookmarkStart w:id="3043" w:name="_Toc38438422"/>
      <w:bookmarkStart w:id="3044" w:name="_Toc38438759"/>
      <w:bookmarkStart w:id="3045" w:name="_Toc38439096"/>
      <w:bookmarkStart w:id="3046" w:name="_Toc38439433"/>
      <w:bookmarkStart w:id="3047" w:name="_Toc38439770"/>
      <w:bookmarkStart w:id="3048" w:name="_Toc38440107"/>
      <w:bookmarkStart w:id="3049" w:name="_Toc38440444"/>
      <w:bookmarkStart w:id="3050" w:name="_Toc38440976"/>
      <w:bookmarkStart w:id="3051" w:name="_Toc38441308"/>
      <w:bookmarkStart w:id="3052" w:name="_Toc38441640"/>
      <w:bookmarkStart w:id="3053" w:name="_Toc38441968"/>
      <w:bookmarkStart w:id="3054" w:name="_Toc38442300"/>
      <w:bookmarkStart w:id="3055" w:name="_Toc38442632"/>
      <w:bookmarkStart w:id="3056" w:name="_Toc38442963"/>
      <w:bookmarkStart w:id="3057" w:name="_Toc38443294"/>
      <w:bookmarkStart w:id="3058" w:name="_Toc38443625"/>
      <w:bookmarkStart w:id="3059" w:name="_Toc38443955"/>
      <w:bookmarkStart w:id="3060" w:name="_Toc38438423"/>
      <w:bookmarkStart w:id="3061" w:name="_Toc38438760"/>
      <w:bookmarkStart w:id="3062" w:name="_Toc38439097"/>
      <w:bookmarkStart w:id="3063" w:name="_Toc38439434"/>
      <w:bookmarkStart w:id="3064" w:name="_Toc38439771"/>
      <w:bookmarkStart w:id="3065" w:name="_Toc38440108"/>
      <w:bookmarkStart w:id="3066" w:name="_Toc38440445"/>
      <w:bookmarkStart w:id="3067" w:name="_Toc38440977"/>
      <w:bookmarkStart w:id="3068" w:name="_Toc38441309"/>
      <w:bookmarkStart w:id="3069" w:name="_Toc38441641"/>
      <w:bookmarkStart w:id="3070" w:name="_Toc38441969"/>
      <w:bookmarkStart w:id="3071" w:name="_Toc38442301"/>
      <w:bookmarkStart w:id="3072" w:name="_Toc38442633"/>
      <w:bookmarkStart w:id="3073" w:name="_Toc38442964"/>
      <w:bookmarkStart w:id="3074" w:name="_Toc38443295"/>
      <w:bookmarkStart w:id="3075" w:name="_Toc38443626"/>
      <w:bookmarkStart w:id="3076" w:name="_Toc38443956"/>
      <w:bookmarkStart w:id="3077" w:name="_Toc38438424"/>
      <w:bookmarkStart w:id="3078" w:name="_Toc38438761"/>
      <w:bookmarkStart w:id="3079" w:name="_Toc38439098"/>
      <w:bookmarkStart w:id="3080" w:name="_Toc38439435"/>
      <w:bookmarkStart w:id="3081" w:name="_Toc38439772"/>
      <w:bookmarkStart w:id="3082" w:name="_Toc38440109"/>
      <w:bookmarkStart w:id="3083" w:name="_Toc38440446"/>
      <w:bookmarkStart w:id="3084" w:name="_Toc38440978"/>
      <w:bookmarkStart w:id="3085" w:name="_Toc38441310"/>
      <w:bookmarkStart w:id="3086" w:name="_Toc38441642"/>
      <w:bookmarkStart w:id="3087" w:name="_Toc38441970"/>
      <w:bookmarkStart w:id="3088" w:name="_Toc38442302"/>
      <w:bookmarkStart w:id="3089" w:name="_Toc38442634"/>
      <w:bookmarkStart w:id="3090" w:name="_Toc38442965"/>
      <w:bookmarkStart w:id="3091" w:name="_Toc38443296"/>
      <w:bookmarkStart w:id="3092" w:name="_Toc38443627"/>
      <w:bookmarkStart w:id="3093" w:name="_Toc38443957"/>
      <w:bookmarkStart w:id="3094" w:name="_Toc38438425"/>
      <w:bookmarkStart w:id="3095" w:name="_Toc38438762"/>
      <w:bookmarkStart w:id="3096" w:name="_Toc38439099"/>
      <w:bookmarkStart w:id="3097" w:name="_Toc38439436"/>
      <w:bookmarkStart w:id="3098" w:name="_Toc38439773"/>
      <w:bookmarkStart w:id="3099" w:name="_Toc38440110"/>
      <w:bookmarkStart w:id="3100" w:name="_Toc38440447"/>
      <w:bookmarkStart w:id="3101" w:name="_Toc38440979"/>
      <w:bookmarkStart w:id="3102" w:name="_Toc38441311"/>
      <w:bookmarkStart w:id="3103" w:name="_Toc38441643"/>
      <w:bookmarkStart w:id="3104" w:name="_Toc38441971"/>
      <w:bookmarkStart w:id="3105" w:name="_Toc38442303"/>
      <w:bookmarkStart w:id="3106" w:name="_Toc38442635"/>
      <w:bookmarkStart w:id="3107" w:name="_Toc38442966"/>
      <w:bookmarkStart w:id="3108" w:name="_Toc38443297"/>
      <w:bookmarkStart w:id="3109" w:name="_Toc38443628"/>
      <w:bookmarkStart w:id="3110" w:name="_Toc38443958"/>
      <w:bookmarkStart w:id="3111" w:name="_Toc38438426"/>
      <w:bookmarkStart w:id="3112" w:name="_Toc38438763"/>
      <w:bookmarkStart w:id="3113" w:name="_Toc38439100"/>
      <w:bookmarkStart w:id="3114" w:name="_Toc38439437"/>
      <w:bookmarkStart w:id="3115" w:name="_Toc38439774"/>
      <w:bookmarkStart w:id="3116" w:name="_Toc38440111"/>
      <w:bookmarkStart w:id="3117" w:name="_Toc38440448"/>
      <w:bookmarkStart w:id="3118" w:name="_Toc38440980"/>
      <w:bookmarkStart w:id="3119" w:name="_Toc38441312"/>
      <w:bookmarkStart w:id="3120" w:name="_Toc38441644"/>
      <w:bookmarkStart w:id="3121" w:name="_Toc38441972"/>
      <w:bookmarkStart w:id="3122" w:name="_Toc38442304"/>
      <w:bookmarkStart w:id="3123" w:name="_Toc38442636"/>
      <w:bookmarkStart w:id="3124" w:name="_Toc38442967"/>
      <w:bookmarkStart w:id="3125" w:name="_Toc38443298"/>
      <w:bookmarkStart w:id="3126" w:name="_Toc38443629"/>
      <w:bookmarkStart w:id="3127" w:name="_Toc38443959"/>
      <w:bookmarkStart w:id="3128" w:name="_Toc38438427"/>
      <w:bookmarkStart w:id="3129" w:name="_Toc38438764"/>
      <w:bookmarkStart w:id="3130" w:name="_Toc38439101"/>
      <w:bookmarkStart w:id="3131" w:name="_Toc38439438"/>
      <w:bookmarkStart w:id="3132" w:name="_Toc38439775"/>
      <w:bookmarkStart w:id="3133" w:name="_Toc38440112"/>
      <w:bookmarkStart w:id="3134" w:name="_Toc38440449"/>
      <w:bookmarkStart w:id="3135" w:name="_Toc38440981"/>
      <w:bookmarkStart w:id="3136" w:name="_Toc38441313"/>
      <w:bookmarkStart w:id="3137" w:name="_Toc38441645"/>
      <w:bookmarkStart w:id="3138" w:name="_Toc38441973"/>
      <w:bookmarkStart w:id="3139" w:name="_Toc38442305"/>
      <w:bookmarkStart w:id="3140" w:name="_Toc38442637"/>
      <w:bookmarkStart w:id="3141" w:name="_Toc38442968"/>
      <w:bookmarkStart w:id="3142" w:name="_Toc38443299"/>
      <w:bookmarkStart w:id="3143" w:name="_Toc38443630"/>
      <w:bookmarkStart w:id="3144" w:name="_Toc38443960"/>
      <w:bookmarkStart w:id="3145" w:name="_Toc38438428"/>
      <w:bookmarkStart w:id="3146" w:name="_Toc38438765"/>
      <w:bookmarkStart w:id="3147" w:name="_Toc38439102"/>
      <w:bookmarkStart w:id="3148" w:name="_Toc38439439"/>
      <w:bookmarkStart w:id="3149" w:name="_Toc38439776"/>
      <w:bookmarkStart w:id="3150" w:name="_Toc38440113"/>
      <w:bookmarkStart w:id="3151" w:name="_Toc38440450"/>
      <w:bookmarkStart w:id="3152" w:name="_Toc38440982"/>
      <w:bookmarkStart w:id="3153" w:name="_Toc38441314"/>
      <w:bookmarkStart w:id="3154" w:name="_Toc38441646"/>
      <w:bookmarkStart w:id="3155" w:name="_Toc38441974"/>
      <w:bookmarkStart w:id="3156" w:name="_Toc38442306"/>
      <w:bookmarkStart w:id="3157" w:name="_Toc38442638"/>
      <w:bookmarkStart w:id="3158" w:name="_Toc38442969"/>
      <w:bookmarkStart w:id="3159" w:name="_Toc38443300"/>
      <w:bookmarkStart w:id="3160" w:name="_Toc38443631"/>
      <w:bookmarkStart w:id="3161" w:name="_Toc38443961"/>
      <w:bookmarkStart w:id="3162" w:name="_Toc38438429"/>
      <w:bookmarkStart w:id="3163" w:name="_Toc38438766"/>
      <w:bookmarkStart w:id="3164" w:name="_Toc38439103"/>
      <w:bookmarkStart w:id="3165" w:name="_Toc38439440"/>
      <w:bookmarkStart w:id="3166" w:name="_Toc38439777"/>
      <w:bookmarkStart w:id="3167" w:name="_Toc38440114"/>
      <w:bookmarkStart w:id="3168" w:name="_Toc38440451"/>
      <w:bookmarkStart w:id="3169" w:name="_Toc38440983"/>
      <w:bookmarkStart w:id="3170" w:name="_Toc38441315"/>
      <w:bookmarkStart w:id="3171" w:name="_Toc38441647"/>
      <w:bookmarkStart w:id="3172" w:name="_Toc38441975"/>
      <w:bookmarkStart w:id="3173" w:name="_Toc38442307"/>
      <w:bookmarkStart w:id="3174" w:name="_Toc38442639"/>
      <w:bookmarkStart w:id="3175" w:name="_Toc38442970"/>
      <w:bookmarkStart w:id="3176" w:name="_Toc38443301"/>
      <w:bookmarkStart w:id="3177" w:name="_Toc38443632"/>
      <w:bookmarkStart w:id="3178" w:name="_Toc38443962"/>
      <w:bookmarkStart w:id="3179" w:name="_Toc38438430"/>
      <w:bookmarkStart w:id="3180" w:name="_Toc38438767"/>
      <w:bookmarkStart w:id="3181" w:name="_Toc38439104"/>
      <w:bookmarkStart w:id="3182" w:name="_Toc38439441"/>
      <w:bookmarkStart w:id="3183" w:name="_Toc38439778"/>
      <w:bookmarkStart w:id="3184" w:name="_Toc38440115"/>
      <w:bookmarkStart w:id="3185" w:name="_Toc38440452"/>
      <w:bookmarkStart w:id="3186" w:name="_Toc38440984"/>
      <w:bookmarkStart w:id="3187" w:name="_Toc38441316"/>
      <w:bookmarkStart w:id="3188" w:name="_Toc38441648"/>
      <w:bookmarkStart w:id="3189" w:name="_Toc38441976"/>
      <w:bookmarkStart w:id="3190" w:name="_Toc38442308"/>
      <w:bookmarkStart w:id="3191" w:name="_Toc38442640"/>
      <w:bookmarkStart w:id="3192" w:name="_Toc38442971"/>
      <w:bookmarkStart w:id="3193" w:name="_Toc38443302"/>
      <w:bookmarkStart w:id="3194" w:name="_Toc38443633"/>
      <w:bookmarkStart w:id="3195" w:name="_Toc38443963"/>
      <w:bookmarkStart w:id="3196" w:name="_Toc38438431"/>
      <w:bookmarkStart w:id="3197" w:name="_Toc38438768"/>
      <w:bookmarkStart w:id="3198" w:name="_Toc38439105"/>
      <w:bookmarkStart w:id="3199" w:name="_Toc38439442"/>
      <w:bookmarkStart w:id="3200" w:name="_Toc38439779"/>
      <w:bookmarkStart w:id="3201" w:name="_Toc38440116"/>
      <w:bookmarkStart w:id="3202" w:name="_Toc38440453"/>
      <w:bookmarkStart w:id="3203" w:name="_Toc38440985"/>
      <w:bookmarkStart w:id="3204" w:name="_Toc38441317"/>
      <w:bookmarkStart w:id="3205" w:name="_Toc38441649"/>
      <w:bookmarkStart w:id="3206" w:name="_Toc38441977"/>
      <w:bookmarkStart w:id="3207" w:name="_Toc38442309"/>
      <w:bookmarkStart w:id="3208" w:name="_Toc38442641"/>
      <w:bookmarkStart w:id="3209" w:name="_Toc38442972"/>
      <w:bookmarkStart w:id="3210" w:name="_Toc38443303"/>
      <w:bookmarkStart w:id="3211" w:name="_Toc38443634"/>
      <w:bookmarkStart w:id="3212" w:name="_Toc38443964"/>
      <w:bookmarkStart w:id="3213" w:name="_Toc38438432"/>
      <w:bookmarkStart w:id="3214" w:name="_Toc38438769"/>
      <w:bookmarkStart w:id="3215" w:name="_Toc38439106"/>
      <w:bookmarkStart w:id="3216" w:name="_Toc38439443"/>
      <w:bookmarkStart w:id="3217" w:name="_Toc38439780"/>
      <w:bookmarkStart w:id="3218" w:name="_Toc38440117"/>
      <w:bookmarkStart w:id="3219" w:name="_Toc38440454"/>
      <w:bookmarkStart w:id="3220" w:name="_Toc38440986"/>
      <w:bookmarkStart w:id="3221" w:name="_Toc38441318"/>
      <w:bookmarkStart w:id="3222" w:name="_Toc38441650"/>
      <w:bookmarkStart w:id="3223" w:name="_Toc38441978"/>
      <w:bookmarkStart w:id="3224" w:name="_Toc38442310"/>
      <w:bookmarkStart w:id="3225" w:name="_Toc38442642"/>
      <w:bookmarkStart w:id="3226" w:name="_Toc38442973"/>
      <w:bookmarkStart w:id="3227" w:name="_Toc38443304"/>
      <w:bookmarkStart w:id="3228" w:name="_Toc38443635"/>
      <w:bookmarkStart w:id="3229" w:name="_Toc38443965"/>
      <w:bookmarkStart w:id="3230" w:name="_Toc38438433"/>
      <w:bookmarkStart w:id="3231" w:name="_Toc38438770"/>
      <w:bookmarkStart w:id="3232" w:name="_Toc38439107"/>
      <w:bookmarkStart w:id="3233" w:name="_Toc38439444"/>
      <w:bookmarkStart w:id="3234" w:name="_Toc38439781"/>
      <w:bookmarkStart w:id="3235" w:name="_Toc38440118"/>
      <w:bookmarkStart w:id="3236" w:name="_Toc38440455"/>
      <w:bookmarkStart w:id="3237" w:name="_Toc38440987"/>
      <w:bookmarkStart w:id="3238" w:name="_Toc38441319"/>
      <w:bookmarkStart w:id="3239" w:name="_Toc38441651"/>
      <w:bookmarkStart w:id="3240" w:name="_Toc38441979"/>
      <w:bookmarkStart w:id="3241" w:name="_Toc38442311"/>
      <w:bookmarkStart w:id="3242" w:name="_Toc38442643"/>
      <w:bookmarkStart w:id="3243" w:name="_Toc38442974"/>
      <w:bookmarkStart w:id="3244" w:name="_Toc38443305"/>
      <w:bookmarkStart w:id="3245" w:name="_Toc38443636"/>
      <w:bookmarkStart w:id="3246" w:name="_Toc38443966"/>
      <w:bookmarkStart w:id="3247" w:name="_Toc38438434"/>
      <w:bookmarkStart w:id="3248" w:name="_Toc38438771"/>
      <w:bookmarkStart w:id="3249" w:name="_Toc38439108"/>
      <w:bookmarkStart w:id="3250" w:name="_Toc38439445"/>
      <w:bookmarkStart w:id="3251" w:name="_Toc38439782"/>
      <w:bookmarkStart w:id="3252" w:name="_Toc38440119"/>
      <w:bookmarkStart w:id="3253" w:name="_Toc38440456"/>
      <w:bookmarkStart w:id="3254" w:name="_Toc38440988"/>
      <w:bookmarkStart w:id="3255" w:name="_Toc38441320"/>
      <w:bookmarkStart w:id="3256" w:name="_Toc38441652"/>
      <w:bookmarkStart w:id="3257" w:name="_Toc38441980"/>
      <w:bookmarkStart w:id="3258" w:name="_Toc38442312"/>
      <w:bookmarkStart w:id="3259" w:name="_Toc38442644"/>
      <w:bookmarkStart w:id="3260" w:name="_Toc38442975"/>
      <w:bookmarkStart w:id="3261" w:name="_Toc38443306"/>
      <w:bookmarkStart w:id="3262" w:name="_Toc38443637"/>
      <w:bookmarkStart w:id="3263" w:name="_Toc38443967"/>
      <w:bookmarkStart w:id="3264" w:name="_Toc38438435"/>
      <w:bookmarkStart w:id="3265" w:name="_Toc38438772"/>
      <w:bookmarkStart w:id="3266" w:name="_Toc38439109"/>
      <w:bookmarkStart w:id="3267" w:name="_Toc38439446"/>
      <w:bookmarkStart w:id="3268" w:name="_Toc38439783"/>
      <w:bookmarkStart w:id="3269" w:name="_Toc38440120"/>
      <w:bookmarkStart w:id="3270" w:name="_Toc38440457"/>
      <w:bookmarkStart w:id="3271" w:name="_Toc38440989"/>
      <w:bookmarkStart w:id="3272" w:name="_Toc38441321"/>
      <w:bookmarkStart w:id="3273" w:name="_Toc38441653"/>
      <w:bookmarkStart w:id="3274" w:name="_Toc38441981"/>
      <w:bookmarkStart w:id="3275" w:name="_Toc38442313"/>
      <w:bookmarkStart w:id="3276" w:name="_Toc38442645"/>
      <w:bookmarkStart w:id="3277" w:name="_Toc38442976"/>
      <w:bookmarkStart w:id="3278" w:name="_Toc38443307"/>
      <w:bookmarkStart w:id="3279" w:name="_Toc38443638"/>
      <w:bookmarkStart w:id="3280" w:name="_Toc38443968"/>
      <w:bookmarkStart w:id="3281" w:name="_Toc38438436"/>
      <w:bookmarkStart w:id="3282" w:name="_Toc38438773"/>
      <w:bookmarkStart w:id="3283" w:name="_Toc38439110"/>
      <w:bookmarkStart w:id="3284" w:name="_Toc38439447"/>
      <w:bookmarkStart w:id="3285" w:name="_Toc38439784"/>
      <w:bookmarkStart w:id="3286" w:name="_Toc38440121"/>
      <w:bookmarkStart w:id="3287" w:name="_Toc38440458"/>
      <w:bookmarkStart w:id="3288" w:name="_Toc38440990"/>
      <w:bookmarkStart w:id="3289" w:name="_Toc38441322"/>
      <w:bookmarkStart w:id="3290" w:name="_Toc38441654"/>
      <w:bookmarkStart w:id="3291" w:name="_Toc38441982"/>
      <w:bookmarkStart w:id="3292" w:name="_Toc38442314"/>
      <w:bookmarkStart w:id="3293" w:name="_Toc38442646"/>
      <w:bookmarkStart w:id="3294" w:name="_Toc38442977"/>
      <w:bookmarkStart w:id="3295" w:name="_Toc38443308"/>
      <w:bookmarkStart w:id="3296" w:name="_Toc38443639"/>
      <w:bookmarkStart w:id="3297" w:name="_Toc38443969"/>
      <w:bookmarkStart w:id="3298" w:name="_Toc38438437"/>
      <w:bookmarkStart w:id="3299" w:name="_Toc38438774"/>
      <w:bookmarkStart w:id="3300" w:name="_Toc38439111"/>
      <w:bookmarkStart w:id="3301" w:name="_Toc38439448"/>
      <w:bookmarkStart w:id="3302" w:name="_Toc38439785"/>
      <w:bookmarkStart w:id="3303" w:name="_Toc38440122"/>
      <w:bookmarkStart w:id="3304" w:name="_Toc38440459"/>
      <w:bookmarkStart w:id="3305" w:name="_Toc38440991"/>
      <w:bookmarkStart w:id="3306" w:name="_Toc38441323"/>
      <w:bookmarkStart w:id="3307" w:name="_Toc38441655"/>
      <w:bookmarkStart w:id="3308" w:name="_Toc38441983"/>
      <w:bookmarkStart w:id="3309" w:name="_Toc38442315"/>
      <w:bookmarkStart w:id="3310" w:name="_Toc38442647"/>
      <w:bookmarkStart w:id="3311" w:name="_Toc38442978"/>
      <w:bookmarkStart w:id="3312" w:name="_Toc38443309"/>
      <w:bookmarkStart w:id="3313" w:name="_Toc38443640"/>
      <w:bookmarkStart w:id="3314" w:name="_Toc38443970"/>
      <w:bookmarkStart w:id="3315" w:name="_Toc38438438"/>
      <w:bookmarkStart w:id="3316" w:name="_Toc38438775"/>
      <w:bookmarkStart w:id="3317" w:name="_Toc38439112"/>
      <w:bookmarkStart w:id="3318" w:name="_Toc38439449"/>
      <w:bookmarkStart w:id="3319" w:name="_Toc38439786"/>
      <w:bookmarkStart w:id="3320" w:name="_Toc38440123"/>
      <w:bookmarkStart w:id="3321" w:name="_Toc38440460"/>
      <w:bookmarkStart w:id="3322" w:name="_Toc38440992"/>
      <w:bookmarkStart w:id="3323" w:name="_Toc38441324"/>
      <w:bookmarkStart w:id="3324" w:name="_Toc38441656"/>
      <w:bookmarkStart w:id="3325" w:name="_Toc38441984"/>
      <w:bookmarkStart w:id="3326" w:name="_Toc38442316"/>
      <w:bookmarkStart w:id="3327" w:name="_Toc38442648"/>
      <w:bookmarkStart w:id="3328" w:name="_Toc38442979"/>
      <w:bookmarkStart w:id="3329" w:name="_Toc38443310"/>
      <w:bookmarkStart w:id="3330" w:name="_Toc38443641"/>
      <w:bookmarkStart w:id="3331" w:name="_Toc38443971"/>
      <w:bookmarkStart w:id="3332" w:name="_Toc38438439"/>
      <w:bookmarkStart w:id="3333" w:name="_Toc38438776"/>
      <w:bookmarkStart w:id="3334" w:name="_Toc38439113"/>
      <w:bookmarkStart w:id="3335" w:name="_Toc38439450"/>
      <w:bookmarkStart w:id="3336" w:name="_Toc38439787"/>
      <w:bookmarkStart w:id="3337" w:name="_Toc38440124"/>
      <w:bookmarkStart w:id="3338" w:name="_Toc38440461"/>
      <w:bookmarkStart w:id="3339" w:name="_Toc38440993"/>
      <w:bookmarkStart w:id="3340" w:name="_Toc38441325"/>
      <w:bookmarkStart w:id="3341" w:name="_Toc38441657"/>
      <w:bookmarkStart w:id="3342" w:name="_Toc38441985"/>
      <w:bookmarkStart w:id="3343" w:name="_Toc38442317"/>
      <w:bookmarkStart w:id="3344" w:name="_Toc38442649"/>
      <w:bookmarkStart w:id="3345" w:name="_Toc38442980"/>
      <w:bookmarkStart w:id="3346" w:name="_Toc38443311"/>
      <w:bookmarkStart w:id="3347" w:name="_Toc38443642"/>
      <w:bookmarkStart w:id="3348" w:name="_Toc38443972"/>
      <w:bookmarkStart w:id="3349" w:name="_Toc38438440"/>
      <w:bookmarkStart w:id="3350" w:name="_Toc38438777"/>
      <w:bookmarkStart w:id="3351" w:name="_Toc38439114"/>
      <w:bookmarkStart w:id="3352" w:name="_Toc38439451"/>
      <w:bookmarkStart w:id="3353" w:name="_Toc38439788"/>
      <w:bookmarkStart w:id="3354" w:name="_Toc38440125"/>
      <w:bookmarkStart w:id="3355" w:name="_Toc38440462"/>
      <w:bookmarkStart w:id="3356" w:name="_Toc38440994"/>
      <w:bookmarkStart w:id="3357" w:name="_Toc38441326"/>
      <w:bookmarkStart w:id="3358" w:name="_Toc38441658"/>
      <w:bookmarkStart w:id="3359" w:name="_Toc38441986"/>
      <w:bookmarkStart w:id="3360" w:name="_Toc38442318"/>
      <w:bookmarkStart w:id="3361" w:name="_Toc38442650"/>
      <w:bookmarkStart w:id="3362" w:name="_Toc38442981"/>
      <w:bookmarkStart w:id="3363" w:name="_Toc38443312"/>
      <w:bookmarkStart w:id="3364" w:name="_Toc38443643"/>
      <w:bookmarkStart w:id="3365" w:name="_Toc38443973"/>
      <w:bookmarkStart w:id="3366" w:name="_Toc38438441"/>
      <w:bookmarkStart w:id="3367" w:name="_Toc38438778"/>
      <w:bookmarkStart w:id="3368" w:name="_Toc38439115"/>
      <w:bookmarkStart w:id="3369" w:name="_Toc38439452"/>
      <w:bookmarkStart w:id="3370" w:name="_Toc38439789"/>
      <w:bookmarkStart w:id="3371" w:name="_Toc38440126"/>
      <w:bookmarkStart w:id="3372" w:name="_Toc38440463"/>
      <w:bookmarkStart w:id="3373" w:name="_Toc38440995"/>
      <w:bookmarkStart w:id="3374" w:name="_Toc38441327"/>
      <w:bookmarkStart w:id="3375" w:name="_Toc38441659"/>
      <w:bookmarkStart w:id="3376" w:name="_Toc38441987"/>
      <w:bookmarkStart w:id="3377" w:name="_Toc38442319"/>
      <w:bookmarkStart w:id="3378" w:name="_Toc38442651"/>
      <w:bookmarkStart w:id="3379" w:name="_Toc38442982"/>
      <w:bookmarkStart w:id="3380" w:name="_Toc38443313"/>
      <w:bookmarkStart w:id="3381" w:name="_Toc38443644"/>
      <w:bookmarkStart w:id="3382" w:name="_Toc38443974"/>
      <w:bookmarkStart w:id="3383" w:name="_Toc38438442"/>
      <w:bookmarkStart w:id="3384" w:name="_Toc38438779"/>
      <w:bookmarkStart w:id="3385" w:name="_Toc38439116"/>
      <w:bookmarkStart w:id="3386" w:name="_Toc38439453"/>
      <w:bookmarkStart w:id="3387" w:name="_Toc38439790"/>
      <w:bookmarkStart w:id="3388" w:name="_Toc38440127"/>
      <w:bookmarkStart w:id="3389" w:name="_Toc38440464"/>
      <w:bookmarkStart w:id="3390" w:name="_Toc38440996"/>
      <w:bookmarkStart w:id="3391" w:name="_Toc38441328"/>
      <w:bookmarkStart w:id="3392" w:name="_Toc38441660"/>
      <w:bookmarkStart w:id="3393" w:name="_Toc38441988"/>
      <w:bookmarkStart w:id="3394" w:name="_Toc38442320"/>
      <w:bookmarkStart w:id="3395" w:name="_Toc38442652"/>
      <w:bookmarkStart w:id="3396" w:name="_Toc38442983"/>
      <w:bookmarkStart w:id="3397" w:name="_Toc38443314"/>
      <w:bookmarkStart w:id="3398" w:name="_Toc38443645"/>
      <w:bookmarkStart w:id="3399" w:name="_Toc38443975"/>
      <w:bookmarkStart w:id="3400" w:name="_Toc38438443"/>
      <w:bookmarkStart w:id="3401" w:name="_Toc38438780"/>
      <w:bookmarkStart w:id="3402" w:name="_Toc38439117"/>
      <w:bookmarkStart w:id="3403" w:name="_Toc38439454"/>
      <w:bookmarkStart w:id="3404" w:name="_Toc38439791"/>
      <w:bookmarkStart w:id="3405" w:name="_Toc38440128"/>
      <w:bookmarkStart w:id="3406" w:name="_Toc38440465"/>
      <w:bookmarkStart w:id="3407" w:name="_Toc38440997"/>
      <w:bookmarkStart w:id="3408" w:name="_Toc38441329"/>
      <w:bookmarkStart w:id="3409" w:name="_Toc38441661"/>
      <w:bookmarkStart w:id="3410" w:name="_Toc38441989"/>
      <w:bookmarkStart w:id="3411" w:name="_Toc38442321"/>
      <w:bookmarkStart w:id="3412" w:name="_Toc38442653"/>
      <w:bookmarkStart w:id="3413" w:name="_Toc38442984"/>
      <w:bookmarkStart w:id="3414" w:name="_Toc38443315"/>
      <w:bookmarkStart w:id="3415" w:name="_Toc38443646"/>
      <w:bookmarkStart w:id="3416" w:name="_Toc38443976"/>
      <w:bookmarkStart w:id="3417" w:name="_Toc38438444"/>
      <w:bookmarkStart w:id="3418" w:name="_Toc38438781"/>
      <w:bookmarkStart w:id="3419" w:name="_Toc38439118"/>
      <w:bookmarkStart w:id="3420" w:name="_Toc38439455"/>
      <w:bookmarkStart w:id="3421" w:name="_Toc38439792"/>
      <w:bookmarkStart w:id="3422" w:name="_Toc38440129"/>
      <w:bookmarkStart w:id="3423" w:name="_Toc38440466"/>
      <w:bookmarkStart w:id="3424" w:name="_Toc38440998"/>
      <w:bookmarkStart w:id="3425" w:name="_Toc38441330"/>
      <w:bookmarkStart w:id="3426" w:name="_Toc38441662"/>
      <w:bookmarkStart w:id="3427" w:name="_Toc38441990"/>
      <w:bookmarkStart w:id="3428" w:name="_Toc38442322"/>
      <w:bookmarkStart w:id="3429" w:name="_Toc38442654"/>
      <w:bookmarkStart w:id="3430" w:name="_Toc38442985"/>
      <w:bookmarkStart w:id="3431" w:name="_Toc38443316"/>
      <w:bookmarkStart w:id="3432" w:name="_Toc38443647"/>
      <w:bookmarkStart w:id="3433" w:name="_Toc38443977"/>
      <w:bookmarkStart w:id="3434" w:name="_Toc38438445"/>
      <w:bookmarkStart w:id="3435" w:name="_Toc38438782"/>
      <w:bookmarkStart w:id="3436" w:name="_Toc38439119"/>
      <w:bookmarkStart w:id="3437" w:name="_Toc38439456"/>
      <w:bookmarkStart w:id="3438" w:name="_Toc38439793"/>
      <w:bookmarkStart w:id="3439" w:name="_Toc38440130"/>
      <w:bookmarkStart w:id="3440" w:name="_Toc38440467"/>
      <w:bookmarkStart w:id="3441" w:name="_Toc38440999"/>
      <w:bookmarkStart w:id="3442" w:name="_Toc38441331"/>
      <w:bookmarkStart w:id="3443" w:name="_Toc38441663"/>
      <w:bookmarkStart w:id="3444" w:name="_Toc38441991"/>
      <w:bookmarkStart w:id="3445" w:name="_Toc38442323"/>
      <w:bookmarkStart w:id="3446" w:name="_Toc38442655"/>
      <w:bookmarkStart w:id="3447" w:name="_Toc38442986"/>
      <w:bookmarkStart w:id="3448" w:name="_Toc38443317"/>
      <w:bookmarkStart w:id="3449" w:name="_Toc38443648"/>
      <w:bookmarkStart w:id="3450" w:name="_Toc38443978"/>
      <w:bookmarkStart w:id="3451" w:name="_Toc38438446"/>
      <w:bookmarkStart w:id="3452" w:name="_Toc38438783"/>
      <w:bookmarkStart w:id="3453" w:name="_Toc38439120"/>
      <w:bookmarkStart w:id="3454" w:name="_Toc38439457"/>
      <w:bookmarkStart w:id="3455" w:name="_Toc38439794"/>
      <w:bookmarkStart w:id="3456" w:name="_Toc38440131"/>
      <w:bookmarkStart w:id="3457" w:name="_Toc38440468"/>
      <w:bookmarkStart w:id="3458" w:name="_Toc38441000"/>
      <w:bookmarkStart w:id="3459" w:name="_Toc38441332"/>
      <w:bookmarkStart w:id="3460" w:name="_Toc38441664"/>
      <w:bookmarkStart w:id="3461" w:name="_Toc38441992"/>
      <w:bookmarkStart w:id="3462" w:name="_Toc38442324"/>
      <w:bookmarkStart w:id="3463" w:name="_Toc38442656"/>
      <w:bookmarkStart w:id="3464" w:name="_Toc38442987"/>
      <w:bookmarkStart w:id="3465" w:name="_Toc38443318"/>
      <w:bookmarkStart w:id="3466" w:name="_Toc38443649"/>
      <w:bookmarkStart w:id="3467" w:name="_Toc38443979"/>
      <w:bookmarkStart w:id="3468" w:name="_Toc38438447"/>
      <w:bookmarkStart w:id="3469" w:name="_Toc38438784"/>
      <w:bookmarkStart w:id="3470" w:name="_Toc38439121"/>
      <w:bookmarkStart w:id="3471" w:name="_Toc38439458"/>
      <w:bookmarkStart w:id="3472" w:name="_Toc38439795"/>
      <w:bookmarkStart w:id="3473" w:name="_Toc38440132"/>
      <w:bookmarkStart w:id="3474" w:name="_Toc38440469"/>
      <w:bookmarkStart w:id="3475" w:name="_Toc38441001"/>
      <w:bookmarkStart w:id="3476" w:name="_Toc38441333"/>
      <w:bookmarkStart w:id="3477" w:name="_Toc38441665"/>
      <w:bookmarkStart w:id="3478" w:name="_Toc38441993"/>
      <w:bookmarkStart w:id="3479" w:name="_Toc38442325"/>
      <w:bookmarkStart w:id="3480" w:name="_Toc38442657"/>
      <w:bookmarkStart w:id="3481" w:name="_Toc38442988"/>
      <w:bookmarkStart w:id="3482" w:name="_Toc38443319"/>
      <w:bookmarkStart w:id="3483" w:name="_Toc38443650"/>
      <w:bookmarkStart w:id="3484" w:name="_Toc38443980"/>
      <w:bookmarkStart w:id="3485" w:name="_Toc38438448"/>
      <w:bookmarkStart w:id="3486" w:name="_Toc38438785"/>
      <w:bookmarkStart w:id="3487" w:name="_Toc38439122"/>
      <w:bookmarkStart w:id="3488" w:name="_Toc38439459"/>
      <w:bookmarkStart w:id="3489" w:name="_Toc38439796"/>
      <w:bookmarkStart w:id="3490" w:name="_Toc38440133"/>
      <w:bookmarkStart w:id="3491" w:name="_Toc38440470"/>
      <w:bookmarkStart w:id="3492" w:name="_Toc38441002"/>
      <w:bookmarkStart w:id="3493" w:name="_Toc38441334"/>
      <w:bookmarkStart w:id="3494" w:name="_Toc38441666"/>
      <w:bookmarkStart w:id="3495" w:name="_Toc38441994"/>
      <w:bookmarkStart w:id="3496" w:name="_Toc38442326"/>
      <w:bookmarkStart w:id="3497" w:name="_Toc38442658"/>
      <w:bookmarkStart w:id="3498" w:name="_Toc38442989"/>
      <w:bookmarkStart w:id="3499" w:name="_Toc38443320"/>
      <w:bookmarkStart w:id="3500" w:name="_Toc38443651"/>
      <w:bookmarkStart w:id="3501" w:name="_Toc38443981"/>
      <w:bookmarkStart w:id="3502" w:name="_Toc38438449"/>
      <w:bookmarkStart w:id="3503" w:name="_Toc38438786"/>
      <w:bookmarkStart w:id="3504" w:name="_Toc38439123"/>
      <w:bookmarkStart w:id="3505" w:name="_Toc38439460"/>
      <w:bookmarkStart w:id="3506" w:name="_Toc38439797"/>
      <w:bookmarkStart w:id="3507" w:name="_Toc38440134"/>
      <w:bookmarkStart w:id="3508" w:name="_Toc38440471"/>
      <w:bookmarkStart w:id="3509" w:name="_Toc38441003"/>
      <w:bookmarkStart w:id="3510" w:name="_Toc38441335"/>
      <w:bookmarkStart w:id="3511" w:name="_Toc38441667"/>
      <w:bookmarkStart w:id="3512" w:name="_Toc38441995"/>
      <w:bookmarkStart w:id="3513" w:name="_Toc38442327"/>
      <w:bookmarkStart w:id="3514" w:name="_Toc38442659"/>
      <w:bookmarkStart w:id="3515" w:name="_Toc38442990"/>
      <w:bookmarkStart w:id="3516" w:name="_Toc38443321"/>
      <w:bookmarkStart w:id="3517" w:name="_Toc38443652"/>
      <w:bookmarkStart w:id="3518" w:name="_Toc38443982"/>
      <w:bookmarkStart w:id="3519" w:name="_Toc38438450"/>
      <w:bookmarkStart w:id="3520" w:name="_Toc38438787"/>
      <w:bookmarkStart w:id="3521" w:name="_Toc38439124"/>
      <w:bookmarkStart w:id="3522" w:name="_Toc38439461"/>
      <w:bookmarkStart w:id="3523" w:name="_Toc38439798"/>
      <w:bookmarkStart w:id="3524" w:name="_Toc38440135"/>
      <w:bookmarkStart w:id="3525" w:name="_Toc38440472"/>
      <w:bookmarkStart w:id="3526" w:name="_Toc38441004"/>
      <w:bookmarkStart w:id="3527" w:name="_Toc38441336"/>
      <w:bookmarkStart w:id="3528" w:name="_Toc38441668"/>
      <w:bookmarkStart w:id="3529" w:name="_Toc38441996"/>
      <w:bookmarkStart w:id="3530" w:name="_Toc38442328"/>
      <w:bookmarkStart w:id="3531" w:name="_Toc38442660"/>
      <w:bookmarkStart w:id="3532" w:name="_Toc38442991"/>
      <w:bookmarkStart w:id="3533" w:name="_Toc38443322"/>
      <w:bookmarkStart w:id="3534" w:name="_Toc38443653"/>
      <w:bookmarkStart w:id="3535" w:name="_Toc38443983"/>
      <w:bookmarkStart w:id="3536" w:name="_Toc38438451"/>
      <w:bookmarkStart w:id="3537" w:name="_Toc38438788"/>
      <w:bookmarkStart w:id="3538" w:name="_Toc38439125"/>
      <w:bookmarkStart w:id="3539" w:name="_Toc38439462"/>
      <w:bookmarkStart w:id="3540" w:name="_Toc38439799"/>
      <w:bookmarkStart w:id="3541" w:name="_Toc38440136"/>
      <w:bookmarkStart w:id="3542" w:name="_Toc38440473"/>
      <w:bookmarkStart w:id="3543" w:name="_Toc38441005"/>
      <w:bookmarkStart w:id="3544" w:name="_Toc38441337"/>
      <w:bookmarkStart w:id="3545" w:name="_Toc38441669"/>
      <w:bookmarkStart w:id="3546" w:name="_Toc38441997"/>
      <w:bookmarkStart w:id="3547" w:name="_Toc38442329"/>
      <w:bookmarkStart w:id="3548" w:name="_Toc38442661"/>
      <w:bookmarkStart w:id="3549" w:name="_Toc38442992"/>
      <w:bookmarkStart w:id="3550" w:name="_Toc38443323"/>
      <w:bookmarkStart w:id="3551" w:name="_Toc38443654"/>
      <w:bookmarkStart w:id="3552" w:name="_Toc38443984"/>
      <w:bookmarkStart w:id="3553" w:name="_Toc38438452"/>
      <w:bookmarkStart w:id="3554" w:name="_Toc38438789"/>
      <w:bookmarkStart w:id="3555" w:name="_Toc38439126"/>
      <w:bookmarkStart w:id="3556" w:name="_Toc38439463"/>
      <w:bookmarkStart w:id="3557" w:name="_Toc38439800"/>
      <w:bookmarkStart w:id="3558" w:name="_Toc38440137"/>
      <w:bookmarkStart w:id="3559" w:name="_Toc38440474"/>
      <w:bookmarkStart w:id="3560" w:name="_Toc38441006"/>
      <w:bookmarkStart w:id="3561" w:name="_Toc38441338"/>
      <w:bookmarkStart w:id="3562" w:name="_Toc38441670"/>
      <w:bookmarkStart w:id="3563" w:name="_Toc38441998"/>
      <w:bookmarkStart w:id="3564" w:name="_Toc38442330"/>
      <w:bookmarkStart w:id="3565" w:name="_Toc38442662"/>
      <w:bookmarkStart w:id="3566" w:name="_Toc38442993"/>
      <w:bookmarkStart w:id="3567" w:name="_Toc38443324"/>
      <w:bookmarkStart w:id="3568" w:name="_Toc38443655"/>
      <w:bookmarkStart w:id="3569" w:name="_Toc38443985"/>
      <w:bookmarkStart w:id="3570" w:name="_Toc38438453"/>
      <w:bookmarkStart w:id="3571" w:name="_Toc38438790"/>
      <w:bookmarkStart w:id="3572" w:name="_Toc38439127"/>
      <w:bookmarkStart w:id="3573" w:name="_Toc38439464"/>
      <w:bookmarkStart w:id="3574" w:name="_Toc38439801"/>
      <w:bookmarkStart w:id="3575" w:name="_Toc38440138"/>
      <w:bookmarkStart w:id="3576" w:name="_Toc38440475"/>
      <w:bookmarkStart w:id="3577" w:name="_Toc38441007"/>
      <w:bookmarkStart w:id="3578" w:name="_Toc38441339"/>
      <w:bookmarkStart w:id="3579" w:name="_Toc38441671"/>
      <w:bookmarkStart w:id="3580" w:name="_Toc38441999"/>
      <w:bookmarkStart w:id="3581" w:name="_Toc38442331"/>
      <w:bookmarkStart w:id="3582" w:name="_Toc38442663"/>
      <w:bookmarkStart w:id="3583" w:name="_Toc38442994"/>
      <w:bookmarkStart w:id="3584" w:name="_Toc38443325"/>
      <w:bookmarkStart w:id="3585" w:name="_Toc38443656"/>
      <w:bookmarkStart w:id="3586" w:name="_Toc38443986"/>
      <w:bookmarkStart w:id="3587" w:name="_Toc38438454"/>
      <w:bookmarkStart w:id="3588" w:name="_Toc38438791"/>
      <w:bookmarkStart w:id="3589" w:name="_Toc38439128"/>
      <w:bookmarkStart w:id="3590" w:name="_Toc38439465"/>
      <w:bookmarkStart w:id="3591" w:name="_Toc38439802"/>
      <w:bookmarkStart w:id="3592" w:name="_Toc38440139"/>
      <w:bookmarkStart w:id="3593" w:name="_Toc38440476"/>
      <w:bookmarkStart w:id="3594" w:name="_Toc38441008"/>
      <w:bookmarkStart w:id="3595" w:name="_Toc38441340"/>
      <w:bookmarkStart w:id="3596" w:name="_Toc38441672"/>
      <w:bookmarkStart w:id="3597" w:name="_Toc38442000"/>
      <w:bookmarkStart w:id="3598" w:name="_Toc38442332"/>
      <w:bookmarkStart w:id="3599" w:name="_Toc38442664"/>
      <w:bookmarkStart w:id="3600" w:name="_Toc38442995"/>
      <w:bookmarkStart w:id="3601" w:name="_Toc38443326"/>
      <w:bookmarkStart w:id="3602" w:name="_Toc38443657"/>
      <w:bookmarkStart w:id="3603" w:name="_Toc38443987"/>
      <w:bookmarkStart w:id="3604" w:name="_Toc38438455"/>
      <w:bookmarkStart w:id="3605" w:name="_Toc38438792"/>
      <w:bookmarkStart w:id="3606" w:name="_Toc38439129"/>
      <w:bookmarkStart w:id="3607" w:name="_Toc38439466"/>
      <w:bookmarkStart w:id="3608" w:name="_Toc38439803"/>
      <w:bookmarkStart w:id="3609" w:name="_Toc38440140"/>
      <w:bookmarkStart w:id="3610" w:name="_Toc38440477"/>
      <w:bookmarkStart w:id="3611" w:name="_Toc38441009"/>
      <w:bookmarkStart w:id="3612" w:name="_Toc38441341"/>
      <w:bookmarkStart w:id="3613" w:name="_Toc38441673"/>
      <w:bookmarkStart w:id="3614" w:name="_Toc38442001"/>
      <w:bookmarkStart w:id="3615" w:name="_Toc38442333"/>
      <w:bookmarkStart w:id="3616" w:name="_Toc38442665"/>
      <w:bookmarkStart w:id="3617" w:name="_Toc38442996"/>
      <w:bookmarkStart w:id="3618" w:name="_Toc38443327"/>
      <w:bookmarkStart w:id="3619" w:name="_Toc38443658"/>
      <w:bookmarkStart w:id="3620" w:name="_Toc38443988"/>
      <w:bookmarkStart w:id="3621" w:name="_Toc38438456"/>
      <w:bookmarkStart w:id="3622" w:name="_Toc38438793"/>
      <w:bookmarkStart w:id="3623" w:name="_Toc38439130"/>
      <w:bookmarkStart w:id="3624" w:name="_Toc38439467"/>
      <w:bookmarkStart w:id="3625" w:name="_Toc38439804"/>
      <w:bookmarkStart w:id="3626" w:name="_Toc38440141"/>
      <w:bookmarkStart w:id="3627" w:name="_Toc38440478"/>
      <w:bookmarkStart w:id="3628" w:name="_Toc38441010"/>
      <w:bookmarkStart w:id="3629" w:name="_Toc38441342"/>
      <w:bookmarkStart w:id="3630" w:name="_Toc38441674"/>
      <w:bookmarkStart w:id="3631" w:name="_Toc38442002"/>
      <w:bookmarkStart w:id="3632" w:name="_Toc38442334"/>
      <w:bookmarkStart w:id="3633" w:name="_Toc38442666"/>
      <w:bookmarkStart w:id="3634" w:name="_Toc38442997"/>
      <w:bookmarkStart w:id="3635" w:name="_Toc38443328"/>
      <w:bookmarkStart w:id="3636" w:name="_Toc38443659"/>
      <w:bookmarkStart w:id="3637" w:name="_Toc38443989"/>
      <w:bookmarkStart w:id="3638" w:name="_Toc38438457"/>
      <w:bookmarkStart w:id="3639" w:name="_Toc38438794"/>
      <w:bookmarkStart w:id="3640" w:name="_Toc38439131"/>
      <w:bookmarkStart w:id="3641" w:name="_Toc38439468"/>
      <w:bookmarkStart w:id="3642" w:name="_Toc38439805"/>
      <w:bookmarkStart w:id="3643" w:name="_Toc38440142"/>
      <w:bookmarkStart w:id="3644" w:name="_Toc38440479"/>
      <w:bookmarkStart w:id="3645" w:name="_Toc38441011"/>
      <w:bookmarkStart w:id="3646" w:name="_Toc38441343"/>
      <w:bookmarkStart w:id="3647" w:name="_Toc38441675"/>
      <w:bookmarkStart w:id="3648" w:name="_Toc38442003"/>
      <w:bookmarkStart w:id="3649" w:name="_Toc38442335"/>
      <w:bookmarkStart w:id="3650" w:name="_Toc38442667"/>
      <w:bookmarkStart w:id="3651" w:name="_Toc38442998"/>
      <w:bookmarkStart w:id="3652" w:name="_Toc38443329"/>
      <w:bookmarkStart w:id="3653" w:name="_Toc38443660"/>
      <w:bookmarkStart w:id="3654" w:name="_Toc38443990"/>
      <w:bookmarkStart w:id="3655" w:name="_Toc38438458"/>
      <w:bookmarkStart w:id="3656" w:name="_Toc38438795"/>
      <w:bookmarkStart w:id="3657" w:name="_Toc38439132"/>
      <w:bookmarkStart w:id="3658" w:name="_Toc38439469"/>
      <w:bookmarkStart w:id="3659" w:name="_Toc38439806"/>
      <w:bookmarkStart w:id="3660" w:name="_Toc38440143"/>
      <w:bookmarkStart w:id="3661" w:name="_Toc38440480"/>
      <w:bookmarkStart w:id="3662" w:name="_Toc38441012"/>
      <w:bookmarkStart w:id="3663" w:name="_Toc38441344"/>
      <w:bookmarkStart w:id="3664" w:name="_Toc38441676"/>
      <w:bookmarkStart w:id="3665" w:name="_Toc38442004"/>
      <w:bookmarkStart w:id="3666" w:name="_Toc38442336"/>
      <w:bookmarkStart w:id="3667" w:name="_Toc38442668"/>
      <w:bookmarkStart w:id="3668" w:name="_Toc38442999"/>
      <w:bookmarkStart w:id="3669" w:name="_Toc38443330"/>
      <w:bookmarkStart w:id="3670" w:name="_Toc38443661"/>
      <w:bookmarkStart w:id="3671" w:name="_Toc38443991"/>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p>
    <w:sectPr>
      <w:footerReference w:type="default" r:id="rId20"/>
      <w:pgSz w:w="11906" w:h="16838"/>
      <w:pgMar w:top="1440" w:right="1803" w:bottom="1440" w:left="1803" w:header="851" w:footer="992" w:gutter="0"/>
      <w:pgNumType w:start="1"/>
      <w:cols w:space="720"/>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40D" w14:paraId="4DDF1625" w14:textId="77777777">
    <w:pPr>
      <w:pStyle w:val="Footer"/>
      <w:snapToGrid/>
      <w:ind w:firstLine="360"/>
      <w:rPr>
        <w:rStyle w:val="PageNumber"/>
      </w:rPr>
    </w:pPr>
    <w:r>
      <w:rPr>
        <w:rStyle w:val="PageNumber"/>
      </w:rPr>
      <w:fldChar w:fldCharType="begin"/>
    </w:r>
    <w:r>
      <w:rPr>
        <w:rStyle w:val="PageNumber"/>
        <w:highlight w:val="white"/>
      </w:rPr>
      <w:instrText xml:space="preserve">PAGE  </w:instrText>
    </w:r>
    <w:r>
      <w:rPr>
        <w:rStyle w:val="PageNumber"/>
      </w:rPr>
      <w:fldChar w:fldCharType="separate"/>
    </w:r>
    <w:r>
      <w:rPr>
        <w:rStyle w:val="PageNumber"/>
        <w:highlight w:val="white"/>
      </w:rPr>
      <w:t>18</w:t>
    </w:r>
    <w:r>
      <w:rPr>
        <w:rStyle w:val="PageNumber"/>
      </w:rPr>
      <w:fldChar w:fldCharType="end"/>
    </w:r>
  </w:p>
  <w:p w:rsidR="009F340D" w14:paraId="02616502" w14:textId="77777777">
    <w:pPr>
      <w:pStyle w:val="Footer"/>
      <w:snapToGrid/>
      <w:ind w:right="360" w:firstLine="360"/>
    </w:pPr>
  </w:p>
  <w:p w:rsidR="009F340D" w14:paraId="6D6CAFDA" w14:textId="77777777">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40D" w14:paraId="77D7B7BF" w14:textId="77777777">
    <w:pP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40D" w14:paraId="6F0EEB49" w14:textId="77777777">
    <w:pPr>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40D" w14:paraId="33F9B72B"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40D" w14:paraId="024ECFF7" w14:textId="77777777">
    <w:pPr>
      <w:pStyle w:val="Footer"/>
      <w:snapToGrid/>
      <w:ind w:firstLine="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40D" w14:paraId="4DFBD9AD" w14:textId="77777777">
    <w:pPr>
      <w:pStyle w:val="Footer"/>
      <w:snapToGrid/>
      <w:ind w:firstLine="360"/>
      <w:jc w:val="center"/>
    </w:pPr>
    <w:r>
      <w:fldChar w:fldCharType="begin"/>
    </w:r>
    <w:r>
      <w:rPr>
        <w:highlight w:val="white"/>
      </w:rPr>
      <w:instrText xml:space="preserve"> PAGE   \* MERGEFORMAT </w:instrText>
    </w:r>
    <w:r>
      <w:fldChar w:fldCharType="separate"/>
    </w:r>
    <w:r w:rsidRPr="0059613E" w:rsidR="0059613E">
      <w:rPr>
        <w:noProof/>
        <w:highlight w:val="white"/>
        <w:lang w:val="zh-CN"/>
      </w:rPr>
      <w:t>112</w:t>
    </w:r>
    <w:r>
      <w:rPr>
        <w:lang w:val="zh-CN"/>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40D" w14:paraId="0CD9284E" w14:textId="77777777">
    <w:pP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40D" w14:paraId="5174EB3C" w14:textId="77777777">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40D" w14:paraId="074807C8" w14:textId="77777777">
    <w:pPr>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40D" w14:paraId="09771790"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40D" w14:paraId="132BB3F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0A33D9"/>
    <w:multiLevelType w:val="multilevel"/>
    <w:tmpl w:val="160A33D9"/>
    <w:lvl w:ilvl="0">
      <w:start w:val="1"/>
      <w:numFmt w:val="chineseCountingThousand"/>
      <w:suff w:val="space"/>
      <w:lvlText w:val="%1、"/>
      <w:lvlJc w:val="left"/>
      <w:pPr>
        <w:ind w:left="0" w:firstLine="0"/>
      </w:pPr>
      <w:rPr>
        <w:rFonts w:hint="eastAsia"/>
      </w:rPr>
    </w:lvl>
    <w:lvl w:ilvl="1">
      <w:start w:val="1"/>
      <w:numFmt w:val="chineseCountingThousand"/>
      <w:suff w:val="nothing"/>
      <w:lvlText w:val="%2、"/>
      <w:lvlJc w:val="left"/>
      <w:pPr>
        <w:ind w:left="0" w:firstLine="0"/>
      </w:pPr>
      <w:rPr>
        <w:rFonts w:hint="eastAsia"/>
      </w:rPr>
    </w:lvl>
    <w:lvl w:ilvl="2">
      <w:start w:val="1"/>
      <w:numFmt w:val="decimal"/>
      <w:suff w:val="space"/>
      <w:lvlText w:val="%3."/>
      <w:lvlJc w:val="left"/>
      <w:pPr>
        <w:ind w:left="0" w:firstLine="0"/>
      </w:pPr>
      <w:rPr>
        <w:rFonts w:hint="eastAsia"/>
      </w:rPr>
    </w:lvl>
    <w:lvl w:ilvl="3">
      <w:start w:val="1"/>
      <w:numFmt w:val="bullet"/>
      <w:pStyle w:val="Heading4"/>
      <w:suff w:val="nothing"/>
      <w:lvlText w:val="·"/>
      <w:lvlJc w:val="left"/>
      <w:pPr>
        <w:ind w:left="851" w:firstLine="0"/>
      </w:pPr>
      <w:rPr>
        <w:rFonts w:hint="eastAsia"/>
      </w:rPr>
    </w:lvl>
    <w:lvl w:ilvl="4">
      <w:start w:val="1"/>
      <w:numFmt w:val="bullet"/>
      <w:pStyle w:val="Heading5"/>
      <w:suff w:val="nothing"/>
      <w:lvlText w:val="o"/>
      <w:lvlJc w:val="left"/>
      <w:pPr>
        <w:ind w:left="851" w:firstLine="0"/>
      </w:pPr>
      <w:rPr>
        <w:rFonts w:hint="eastAsia"/>
      </w:rPr>
    </w:lvl>
    <w:lvl w:ilvl="5">
      <w:start w:val="1"/>
      <w:numFmt w:val="bullet"/>
      <w:pStyle w:val="Heading6"/>
      <w:suff w:val="nothing"/>
      <w:lvlText w:val="§"/>
      <w:lvlJc w:val="left"/>
      <w:pPr>
        <w:ind w:left="851" w:firstLine="0"/>
      </w:pPr>
      <w:rPr>
        <w:rFonts w:hint="eastAsia"/>
      </w:rPr>
    </w:lvl>
    <w:lvl w:ilvl="6">
      <w:start w:val="1"/>
      <w:numFmt w:val="bullet"/>
      <w:pStyle w:val="Heading7"/>
      <w:suff w:val="nothing"/>
      <w:lvlText w:val="·"/>
      <w:lvlJc w:val="left"/>
      <w:pPr>
        <w:ind w:left="851" w:firstLine="0"/>
      </w:pPr>
      <w:rPr>
        <w:rFonts w:hint="eastAsia"/>
      </w:rPr>
    </w:lvl>
    <w:lvl w:ilvl="7">
      <w:start w:val="1"/>
      <w:numFmt w:val="bullet"/>
      <w:pStyle w:val="Heading8"/>
      <w:suff w:val="nothing"/>
      <w:lvlText w:val="o"/>
      <w:lvlJc w:val="left"/>
      <w:pPr>
        <w:ind w:left="851" w:firstLine="0"/>
      </w:pPr>
      <w:rPr>
        <w:rFonts w:hint="eastAsia"/>
      </w:rPr>
    </w:lvl>
    <w:lvl w:ilvl="8">
      <w:start w:val="1"/>
      <w:numFmt w:val="bullet"/>
      <w:pStyle w:val="Heading9"/>
      <w:suff w:val="nothing"/>
      <w:lvlText w:val="§"/>
      <w:lvlJc w:val="left"/>
      <w:pPr>
        <w:ind w:left="851" w:firstLine="0"/>
      </w:pPr>
      <w:rPr>
        <w:rFonts w:hint="eastAsia"/>
      </w:rPr>
    </w:lvl>
  </w:abstractNum>
  <w:abstractNum w:abstractNumId="1">
    <w:nsid w:val="2CAFA22D"/>
    <w:multiLevelType w:val="multilevel"/>
    <w:tmpl w:val="2CAFA22D"/>
    <w:lvl w:ilvl="0">
      <w:start w:val="1"/>
      <w:numFmt w:val="chineseCounting"/>
      <w:lvlText w:val="（%1）"/>
      <w:lvlJc w:val="left"/>
      <w:pPr>
        <w:tabs>
          <w:tab w:val="left" w:pos="720"/>
        </w:tabs>
        <w:ind w:left="720" w:hanging="720"/>
      </w:pPr>
      <w:rPr>
        <w:rFonts w:hint="eastAsia"/>
      </w:rPr>
    </w:lvl>
    <w:lvl w:ilvl="1">
      <w:start w:val="1"/>
      <w:numFmt w:val="decimal"/>
      <w:pStyle w:val="BodyText"/>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4FEDA488"/>
    <w:multiLevelType w:val="multilevel"/>
    <w:tmpl w:val="4FEDA488"/>
    <w:lvl w:ilvl="0">
      <w:start w:val="1"/>
      <w:numFmt w:val="chineseCounting"/>
      <w:lvlText w:val="（%1）"/>
      <w:lvlJc w:val="left"/>
      <w:pPr>
        <w:tabs>
          <w:tab w:val="left" w:pos="990"/>
        </w:tabs>
        <w:ind w:left="990" w:hanging="840"/>
      </w:pPr>
      <w:rPr>
        <w:rFonts w:hint="eastAsia"/>
      </w:rPr>
    </w:lvl>
    <w:lvl w:ilvl="1">
      <w:start w:val="1"/>
      <w:numFmt w:val="decimal"/>
      <w:lvlText w:val="（%2）"/>
      <w:lvlJc w:val="left"/>
      <w:pPr>
        <w:tabs>
          <w:tab w:val="left" w:pos="1290"/>
        </w:tabs>
        <w:ind w:left="1290" w:hanging="720"/>
      </w:pPr>
      <w:rPr>
        <w:rFonts w:hint="eastAsia"/>
      </w:rPr>
    </w:lvl>
    <w:lvl w:ilvl="2">
      <w:start w:val="4"/>
      <w:numFmt w:val="chineseCounting"/>
      <w:pStyle w:val="Heading3"/>
      <w:lvlText w:val="%3、"/>
      <w:lvlJc w:val="left"/>
      <w:pPr>
        <w:tabs>
          <w:tab w:val="left" w:pos="1710"/>
        </w:tabs>
        <w:ind w:left="1710" w:hanging="720"/>
      </w:pPr>
      <w:rPr>
        <w:rFonts w:eastAsia="宋体" w:hint="eastAsia"/>
        <w:b/>
        <w:color w:val="auto"/>
      </w:r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num w:numId="1" w16cid:durableId="1690791205">
    <w:abstractNumId w:val="2"/>
  </w:num>
  <w:num w:numId="2" w16cid:durableId="1556159617">
    <w:abstractNumId w:val="0"/>
  </w:num>
  <w:num w:numId="3" w16cid:durableId="34309641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廖生暖">
    <w15:presenceInfo w15:providerId="None" w15:userId="廖生暖"/>
  </w15:person>
  <w15:person w15:author="梅源">
    <w15:presenceInfo w15:providerId="None" w15:userId="梅源"/>
  </w15:person>
  <w15:person w15:author="莫嘉杰">
    <w15:presenceInfo w15:providerId="None" w15:userId="莫嘉杰"/>
  </w15:person>
  <w15:person w15:author="陈威">
    <w15:presenceInfo w15:providerId="None" w15:userId="陈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isplayHorizontalDrawingGridEvery w:val="0"/>
  <w:displayVerticalDrawingGridEvery w:val="2"/>
  <w:characterSpacingControl w:val="doNotCompress"/>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B5C"/>
    <w:rsid w:val="CEF6D18B"/>
    <w:rsid w:val="00047D77"/>
    <w:rsid w:val="00066C79"/>
    <w:rsid w:val="000F5050"/>
    <w:rsid w:val="00136DDC"/>
    <w:rsid w:val="00144F56"/>
    <w:rsid w:val="00152F43"/>
    <w:rsid w:val="001B6D28"/>
    <w:rsid w:val="0023204B"/>
    <w:rsid w:val="00237764"/>
    <w:rsid w:val="002C5727"/>
    <w:rsid w:val="002E4F5C"/>
    <w:rsid w:val="002E6CB0"/>
    <w:rsid w:val="00385653"/>
    <w:rsid w:val="003A20C0"/>
    <w:rsid w:val="003A2343"/>
    <w:rsid w:val="00434B5C"/>
    <w:rsid w:val="00472829"/>
    <w:rsid w:val="004C387D"/>
    <w:rsid w:val="00503874"/>
    <w:rsid w:val="00530154"/>
    <w:rsid w:val="0059613E"/>
    <w:rsid w:val="00600C55"/>
    <w:rsid w:val="00602362"/>
    <w:rsid w:val="006662BF"/>
    <w:rsid w:val="00695D09"/>
    <w:rsid w:val="007F6A54"/>
    <w:rsid w:val="00837182"/>
    <w:rsid w:val="008406C0"/>
    <w:rsid w:val="00843EE9"/>
    <w:rsid w:val="008B53CE"/>
    <w:rsid w:val="0090688E"/>
    <w:rsid w:val="00921310"/>
    <w:rsid w:val="00997550"/>
    <w:rsid w:val="009F340D"/>
    <w:rsid w:val="00A64087"/>
    <w:rsid w:val="00A6461B"/>
    <w:rsid w:val="00A704B9"/>
    <w:rsid w:val="00A936B7"/>
    <w:rsid w:val="00AB5B5A"/>
    <w:rsid w:val="00AE130D"/>
    <w:rsid w:val="00B112F5"/>
    <w:rsid w:val="00B62EF6"/>
    <w:rsid w:val="00B65CDF"/>
    <w:rsid w:val="00B71688"/>
    <w:rsid w:val="00BE3977"/>
    <w:rsid w:val="00BE7B8E"/>
    <w:rsid w:val="00C0237A"/>
    <w:rsid w:val="00C0335A"/>
    <w:rsid w:val="00C40C01"/>
    <w:rsid w:val="00C50E14"/>
    <w:rsid w:val="00C52472"/>
    <w:rsid w:val="00C84656"/>
    <w:rsid w:val="00CC79DF"/>
    <w:rsid w:val="00D6258A"/>
    <w:rsid w:val="00D828B3"/>
    <w:rsid w:val="00D867E8"/>
    <w:rsid w:val="00DC0BC0"/>
    <w:rsid w:val="00DC71F5"/>
    <w:rsid w:val="00E02A6E"/>
    <w:rsid w:val="00E13EF4"/>
    <w:rsid w:val="00E25C57"/>
    <w:rsid w:val="00E442F3"/>
    <w:rsid w:val="00E71ACB"/>
    <w:rsid w:val="00F36C98"/>
    <w:rsid w:val="00F507EA"/>
    <w:rsid w:val="00F8542C"/>
    <w:rsid w:val="00FA2650"/>
    <w:rsid w:val="00FB528E"/>
    <w:rsid w:val="00FB62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4:docId w14:val="423BD658"/>
  <w15:docId w15:val="{ECD210FB-08FA-424A-9A7B-CFA26683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宋体" w:hAnsi="Arial"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qFormat="1"/>
    <w:lsdException w:name="FollowedHyperlink" w:semiHidden="1" w:uiPriority="0" w:unhideWhenUsed="1"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sz w:val="21"/>
      <w:szCs w:val="24"/>
      <w:lang w:eastAsia="en-US"/>
    </w:rPr>
  </w:style>
  <w:style w:type="paragraph" w:styleId="Heading1">
    <w:name w:val="heading 1"/>
    <w:basedOn w:val="Normal"/>
    <w:next w:val="Normal"/>
    <w:link w:val="1"/>
    <w:qFormat/>
    <w:pPr>
      <w:keepNext/>
      <w:ind w:firstLine="200"/>
      <w:jc w:val="center"/>
      <w:outlineLvl w:val="0"/>
    </w:pPr>
    <w:rPr>
      <w:rFonts w:ascii="黑体" w:eastAsia="黑体"/>
      <w:sz w:val="32"/>
      <w:szCs w:val="32"/>
    </w:rPr>
  </w:style>
  <w:style w:type="paragraph" w:styleId="Heading2">
    <w:name w:val="heading 2"/>
    <w:basedOn w:val="Normal"/>
    <w:next w:val="Normal"/>
    <w:link w:val="2"/>
    <w:qFormat/>
    <w:pPr>
      <w:keepNext/>
      <w:keepLines/>
      <w:ind w:firstLine="200"/>
      <w:outlineLvl w:val="1"/>
    </w:pPr>
    <w:rPr>
      <w:b/>
      <w:sz w:val="28"/>
      <w:szCs w:val="28"/>
    </w:rPr>
  </w:style>
  <w:style w:type="paragraph" w:styleId="Heading3">
    <w:name w:val="heading 3"/>
    <w:basedOn w:val="Normal"/>
    <w:next w:val="Normal"/>
    <w:link w:val="3"/>
    <w:qFormat/>
    <w:pPr>
      <w:numPr>
        <w:ilvl w:val="2"/>
        <w:numId w:val="1"/>
      </w:numPr>
      <w:spacing w:before="260" w:after="260" w:line="416" w:lineRule="auto"/>
      <w:outlineLvl w:val="2"/>
    </w:pPr>
    <w:rPr>
      <w:rFonts w:ascii="仿宋_GB2312" w:eastAsia="仿宋_GB2312"/>
      <w:sz w:val="24"/>
      <w:szCs w:val="20"/>
    </w:rPr>
  </w:style>
  <w:style w:type="paragraph" w:styleId="Heading4">
    <w:name w:val="heading 4"/>
    <w:basedOn w:val="Normal"/>
    <w:next w:val="Normal"/>
    <w:link w:val="4"/>
    <w:qFormat/>
    <w:pPr>
      <w:keepNext/>
      <w:keepLines/>
      <w:numPr>
        <w:ilvl w:val="3"/>
        <w:numId w:val="2"/>
      </w:numPr>
      <w:spacing w:before="280" w:after="290" w:line="376" w:lineRule="auto"/>
      <w:outlineLvl w:val="3"/>
    </w:pPr>
    <w:rPr>
      <w:rFonts w:eastAsia="黑体"/>
      <w:b/>
      <w:bCs/>
      <w:sz w:val="28"/>
      <w:szCs w:val="28"/>
    </w:rPr>
  </w:style>
  <w:style w:type="paragraph" w:styleId="Heading5">
    <w:name w:val="heading 5"/>
    <w:basedOn w:val="Normal"/>
    <w:next w:val="Normal"/>
    <w:link w:val="5"/>
    <w:qFormat/>
    <w:pPr>
      <w:keepNext/>
      <w:keepLines/>
      <w:numPr>
        <w:ilvl w:val="4"/>
        <w:numId w:val="2"/>
      </w:numPr>
      <w:spacing w:before="280" w:after="290" w:line="376" w:lineRule="auto"/>
      <w:ind w:firstLine="200"/>
      <w:outlineLvl w:val="4"/>
    </w:pPr>
    <w:rPr>
      <w:b/>
      <w:bCs/>
      <w:sz w:val="28"/>
      <w:szCs w:val="28"/>
    </w:rPr>
  </w:style>
  <w:style w:type="paragraph" w:styleId="Heading6">
    <w:name w:val="heading 6"/>
    <w:basedOn w:val="Normal"/>
    <w:next w:val="Normal"/>
    <w:link w:val="6"/>
    <w:qFormat/>
    <w:pPr>
      <w:keepNext/>
      <w:keepLines/>
      <w:numPr>
        <w:ilvl w:val="5"/>
        <w:numId w:val="2"/>
      </w:numPr>
      <w:spacing w:before="240" w:after="64" w:line="320" w:lineRule="auto"/>
      <w:ind w:firstLine="200"/>
      <w:outlineLvl w:val="5"/>
    </w:pPr>
    <w:rPr>
      <w:rFonts w:eastAsia="黑体"/>
      <w:b/>
      <w:bCs/>
      <w:sz w:val="24"/>
    </w:rPr>
  </w:style>
  <w:style w:type="paragraph" w:styleId="Heading7">
    <w:name w:val="heading 7"/>
    <w:basedOn w:val="Normal"/>
    <w:next w:val="Normal"/>
    <w:link w:val="7"/>
    <w:qFormat/>
    <w:pPr>
      <w:keepNext/>
      <w:keepLines/>
      <w:numPr>
        <w:ilvl w:val="6"/>
        <w:numId w:val="2"/>
      </w:numPr>
      <w:spacing w:before="240" w:after="64" w:line="320" w:lineRule="auto"/>
      <w:ind w:firstLine="200"/>
      <w:outlineLvl w:val="6"/>
    </w:pPr>
    <w:rPr>
      <w:b/>
      <w:bCs/>
      <w:sz w:val="24"/>
    </w:rPr>
  </w:style>
  <w:style w:type="paragraph" w:styleId="Heading8">
    <w:name w:val="heading 8"/>
    <w:basedOn w:val="Normal"/>
    <w:next w:val="Normal"/>
    <w:link w:val="8"/>
    <w:qFormat/>
    <w:pPr>
      <w:keepNext/>
      <w:keepLines/>
      <w:numPr>
        <w:ilvl w:val="7"/>
        <w:numId w:val="2"/>
      </w:numPr>
      <w:spacing w:before="240" w:after="64" w:line="320" w:lineRule="auto"/>
      <w:ind w:firstLine="200"/>
      <w:outlineLvl w:val="7"/>
    </w:pPr>
    <w:rPr>
      <w:rFonts w:eastAsia="黑体"/>
      <w:sz w:val="24"/>
    </w:rPr>
  </w:style>
  <w:style w:type="paragraph" w:styleId="Heading9">
    <w:name w:val="heading 9"/>
    <w:basedOn w:val="Normal"/>
    <w:next w:val="Normal"/>
    <w:link w:val="9"/>
    <w:qFormat/>
    <w:pPr>
      <w:keepNext/>
      <w:keepLines/>
      <w:numPr>
        <w:ilvl w:val="8"/>
        <w:numId w:val="2"/>
      </w:numPr>
      <w:spacing w:before="240" w:after="64" w:line="320" w:lineRule="auto"/>
      <w:ind w:firstLine="200"/>
      <w:outlineLvl w:val="8"/>
    </w:pPr>
    <w:rPr>
      <w:rFonts w:eastAsia="黑体"/>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pPr>
      <w:spacing w:after="57"/>
      <w:ind w:left="1701"/>
    </w:pPr>
  </w:style>
  <w:style w:type="paragraph" w:styleId="NormalIndent">
    <w:name w:val="Normal Indent"/>
    <w:basedOn w:val="Normal"/>
    <w:qFormat/>
    <w:pPr>
      <w:ind w:firstLine="420"/>
    </w:pPr>
    <w:rPr>
      <w:sz w:val="20"/>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DocumentMap">
    <w:name w:val="Document Map"/>
    <w:basedOn w:val="Normal"/>
    <w:link w:val="a6"/>
    <w:qFormat/>
    <w:rPr>
      <w:rFonts w:ascii="宋体"/>
      <w:sz w:val="18"/>
      <w:szCs w:val="18"/>
    </w:rPr>
  </w:style>
  <w:style w:type="paragraph" w:styleId="CommentText">
    <w:name w:val="annotation text"/>
    <w:basedOn w:val="Normal"/>
    <w:link w:val="a5"/>
    <w:qFormat/>
    <w:pPr>
      <w:jc w:val="left"/>
    </w:pPr>
  </w:style>
  <w:style w:type="paragraph" w:styleId="BodyText">
    <w:name w:val="Body Text"/>
    <w:basedOn w:val="Normal"/>
    <w:qFormat/>
    <w:pPr>
      <w:numPr>
        <w:ilvl w:val="1"/>
        <w:numId w:val="3"/>
      </w:numPr>
      <w:tabs>
        <w:tab w:val="left" w:pos="0"/>
      </w:tabs>
      <w:ind w:left="0" w:firstLine="540"/>
      <w:jc w:val="left"/>
    </w:pPr>
    <w:rPr>
      <w:rFonts w:ascii="宋体"/>
      <w:sz w:val="24"/>
    </w:rPr>
  </w:style>
  <w:style w:type="paragraph" w:styleId="BodyTextIndent">
    <w:name w:val="Body Text Indent"/>
    <w:basedOn w:val="Normal"/>
    <w:link w:val="a11"/>
    <w:semiHidden/>
    <w:unhideWhenUsed/>
    <w:qFormat/>
    <w:pPr>
      <w:spacing w:after="120"/>
      <w:ind w:left="420"/>
    </w:pPr>
  </w:style>
  <w:style w:type="paragraph" w:styleId="TOC5">
    <w:name w:val="toc 5"/>
    <w:basedOn w:val="Normal"/>
    <w:next w:val="Normal"/>
    <w:uiPriority w:val="39"/>
    <w:unhideWhenUsed/>
    <w:qFormat/>
    <w:pPr>
      <w:spacing w:after="57"/>
      <w:ind w:left="1134"/>
    </w:pPr>
  </w:style>
  <w:style w:type="paragraph" w:styleId="TOC3">
    <w:name w:val="toc 3"/>
    <w:basedOn w:val="Normal"/>
    <w:next w:val="Normal"/>
    <w:uiPriority w:val="39"/>
    <w:qFormat/>
    <w:pPr>
      <w:ind w:left="840"/>
    </w:pPr>
  </w:style>
  <w:style w:type="paragraph" w:styleId="PlainText">
    <w:name w:val="Plain Text"/>
    <w:basedOn w:val="Normal"/>
    <w:link w:val="a9"/>
    <w:qFormat/>
    <w:pPr>
      <w:ind w:firstLine="200"/>
    </w:pPr>
    <w:rPr>
      <w:rFonts w:ascii="宋体" w:hAnsi="Courier New"/>
      <w:sz w:val="24"/>
      <w:szCs w:val="21"/>
    </w:rPr>
  </w:style>
  <w:style w:type="paragraph" w:styleId="TOC8">
    <w:name w:val="toc 8"/>
    <w:basedOn w:val="Normal"/>
    <w:next w:val="Normal"/>
    <w:uiPriority w:val="39"/>
    <w:unhideWhenUsed/>
    <w:qFormat/>
    <w:pPr>
      <w:spacing w:after="57"/>
      <w:ind w:left="1984"/>
    </w:pPr>
  </w:style>
  <w:style w:type="paragraph" w:styleId="BodyTextIndent2">
    <w:name w:val="Body Text Indent 2"/>
    <w:basedOn w:val="Normal"/>
    <w:link w:val="20"/>
    <w:semiHidden/>
    <w:unhideWhenUsed/>
    <w:qFormat/>
    <w:pPr>
      <w:spacing w:after="120" w:line="480" w:lineRule="auto"/>
      <w:ind w:left="420"/>
    </w:pPr>
  </w:style>
  <w:style w:type="paragraph" w:styleId="EndnoteText">
    <w:name w:val="endnote text"/>
    <w:basedOn w:val="Normal"/>
    <w:link w:val="a"/>
    <w:uiPriority w:val="99"/>
    <w:semiHidden/>
    <w:unhideWhenUsed/>
    <w:qFormat/>
    <w:rPr>
      <w:sz w:val="20"/>
    </w:rPr>
  </w:style>
  <w:style w:type="paragraph" w:styleId="BalloonText">
    <w:name w:val="Balloon Text"/>
    <w:basedOn w:val="Normal"/>
    <w:semiHidden/>
    <w:qFormat/>
    <w:pPr>
      <w:ind w:firstLine="200"/>
    </w:pPr>
    <w:rPr>
      <w:sz w:val="18"/>
      <w:szCs w:val="18"/>
    </w:rPr>
  </w:style>
  <w:style w:type="paragraph" w:styleId="Footer">
    <w:name w:val="footer"/>
    <w:basedOn w:val="Normal"/>
    <w:link w:val="a8"/>
    <w:uiPriority w:val="99"/>
    <w:qFormat/>
    <w:pPr>
      <w:tabs>
        <w:tab w:val="center" w:pos="4153"/>
        <w:tab w:val="right" w:pos="8306"/>
      </w:tabs>
      <w:snapToGrid w:val="0"/>
      <w:ind w:firstLine="200"/>
      <w:jc w:val="left"/>
    </w:pPr>
    <w:rPr>
      <w:rFonts w:eastAsia="仿宋_GB2312"/>
      <w:sz w:val="18"/>
      <w:szCs w:val="20"/>
    </w:rPr>
  </w:style>
  <w:style w:type="paragraph" w:styleId="Header">
    <w:name w:val="header"/>
    <w:basedOn w:val="Normal"/>
    <w:link w:val="a7"/>
    <w:uiPriority w:val="99"/>
    <w:qFormat/>
    <w:pPr>
      <w:pBdr>
        <w:bottom w:val="single" w:sz="6" w:space="1" w:color="auto"/>
      </w:pBdr>
      <w:tabs>
        <w:tab w:val="center" w:pos="4153"/>
        <w:tab w:val="right" w:pos="8306"/>
      </w:tabs>
      <w:snapToGrid w:val="0"/>
      <w:ind w:firstLine="200"/>
      <w:jc w:val="center"/>
    </w:pPr>
    <w:rPr>
      <w:rFonts w:eastAsia="仿宋_GB2312"/>
      <w:sz w:val="18"/>
      <w:szCs w:val="20"/>
    </w:rPr>
  </w:style>
  <w:style w:type="paragraph" w:styleId="TOC1">
    <w:name w:val="toc 1"/>
    <w:basedOn w:val="Normal"/>
    <w:next w:val="Normal"/>
    <w:uiPriority w:val="39"/>
    <w:qFormat/>
    <w:pPr>
      <w:tabs>
        <w:tab w:val="right" w:leader="dot" w:pos="8296"/>
      </w:tabs>
      <w:spacing w:line="360" w:lineRule="exact"/>
      <w:jc w:val="left"/>
    </w:pPr>
    <w:rPr>
      <w:rFonts w:ascii="宋体" w:eastAsia="黑体" w:hAnsi="宋体"/>
      <w:caps/>
      <w:color w:val="000000"/>
      <w:sz w:val="24"/>
      <w:szCs w:val="28"/>
    </w:rPr>
  </w:style>
  <w:style w:type="paragraph" w:styleId="TOC4">
    <w:name w:val="toc 4"/>
    <w:basedOn w:val="Normal"/>
    <w:next w:val="Normal"/>
    <w:uiPriority w:val="39"/>
    <w:unhideWhenUsed/>
    <w:qFormat/>
    <w:pPr>
      <w:spacing w:after="57"/>
      <w:ind w:left="850"/>
    </w:pPr>
  </w:style>
  <w:style w:type="paragraph" w:styleId="Subtitle">
    <w:name w:val="Subtitle"/>
    <w:basedOn w:val="Normal"/>
    <w:next w:val="Normal"/>
    <w:link w:val="a1"/>
    <w:uiPriority w:val="11"/>
    <w:qFormat/>
    <w:pPr>
      <w:spacing w:before="200" w:after="200"/>
    </w:pPr>
    <w:rPr>
      <w:sz w:val="24"/>
    </w:rPr>
  </w:style>
  <w:style w:type="paragraph" w:styleId="FootnoteText">
    <w:name w:val="footnote text"/>
    <w:basedOn w:val="Normal"/>
    <w:link w:val="a4"/>
    <w:uiPriority w:val="99"/>
    <w:semiHidden/>
    <w:unhideWhenUsed/>
    <w:qFormat/>
    <w:pPr>
      <w:spacing w:after="40"/>
    </w:pPr>
    <w:rPr>
      <w:sz w:val="18"/>
    </w:rPr>
  </w:style>
  <w:style w:type="paragraph" w:styleId="TOC6">
    <w:name w:val="toc 6"/>
    <w:basedOn w:val="Normal"/>
    <w:next w:val="Normal"/>
    <w:uiPriority w:val="39"/>
    <w:unhideWhenUsed/>
    <w:qFormat/>
    <w:pPr>
      <w:spacing w:after="57"/>
      <w:ind w:left="1417"/>
    </w:pPr>
  </w:style>
  <w:style w:type="paragraph" w:styleId="BodyTextIndent3">
    <w:name w:val="Body Text Indent 3"/>
    <w:basedOn w:val="Normal"/>
    <w:link w:val="30"/>
    <w:semiHidden/>
    <w:unhideWhenUsed/>
    <w:qFormat/>
    <w:pPr>
      <w:spacing w:after="120"/>
      <w:ind w:left="420"/>
    </w:pPr>
    <w:rPr>
      <w:sz w:val="16"/>
      <w:szCs w:val="16"/>
    </w:rPr>
  </w:style>
  <w:style w:type="paragraph" w:styleId="TableofFigures">
    <w:name w:val="table of figures"/>
    <w:basedOn w:val="Normal"/>
    <w:next w:val="Normal"/>
    <w:uiPriority w:val="99"/>
    <w:unhideWhenUsed/>
    <w:qFormat/>
  </w:style>
  <w:style w:type="paragraph" w:styleId="TOC2">
    <w:name w:val="toc 2"/>
    <w:basedOn w:val="Normal"/>
    <w:next w:val="Normal"/>
    <w:uiPriority w:val="39"/>
    <w:qFormat/>
    <w:pPr>
      <w:ind w:left="320" w:firstLine="200"/>
      <w:jc w:val="left"/>
    </w:pPr>
    <w:rPr>
      <w:rFonts w:eastAsia="仿宋_GB2312"/>
      <w:smallCaps/>
      <w:sz w:val="20"/>
      <w:szCs w:val="20"/>
    </w:rPr>
  </w:style>
  <w:style w:type="paragraph" w:styleId="TOC9">
    <w:name w:val="toc 9"/>
    <w:basedOn w:val="Normal"/>
    <w:next w:val="Normal"/>
    <w:uiPriority w:val="39"/>
    <w:unhideWhenUsed/>
    <w:qFormat/>
    <w:pPr>
      <w:spacing w:after="57"/>
      <w:ind w:left="2268"/>
    </w:pPr>
  </w:style>
  <w:style w:type="paragraph" w:styleId="HTMLPreformatted">
    <w:name w:val="HTML Preformatted"/>
    <w:basedOn w:val="Normal"/>
    <w:link w:val="HTML"/>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NormalWeb">
    <w:name w:val="Normal (Web)"/>
    <w:basedOn w:val="Normal"/>
    <w:uiPriority w:val="99"/>
    <w:qFormat/>
    <w:pPr>
      <w:spacing w:beforeAutospacing="1" w:afterAutospacing="1"/>
      <w:jc w:val="left"/>
    </w:pPr>
    <w:rPr>
      <w:rFonts w:ascii="Calibri" w:hAnsi="Calibri"/>
      <w:sz w:val="24"/>
    </w:rPr>
  </w:style>
  <w:style w:type="paragraph" w:styleId="Title">
    <w:name w:val="Title"/>
    <w:basedOn w:val="Normal"/>
    <w:next w:val="Normal"/>
    <w:link w:val="a0"/>
    <w:uiPriority w:val="10"/>
    <w:qFormat/>
    <w:pPr>
      <w:spacing w:before="300" w:after="200"/>
      <w:contextualSpacing/>
    </w:pPr>
    <w:rPr>
      <w:sz w:val="48"/>
      <w:szCs w:val="48"/>
    </w:rPr>
  </w:style>
  <w:style w:type="paragraph" w:styleId="CommentSubject">
    <w:name w:val="annotation subject"/>
    <w:basedOn w:val="CommentText"/>
    <w:next w:val="CommentText"/>
    <w:semiHidden/>
    <w:qFormat/>
    <w:rPr>
      <w:b/>
      <w:bCs/>
    </w:rPr>
  </w:style>
  <w:style w:type="paragraph" w:styleId="BodyTextFirstIndent">
    <w:name w:val="Body Text First Indent"/>
    <w:basedOn w:val="BodyText"/>
    <w:link w:val="a10"/>
    <w:qFormat/>
    <w:pPr>
      <w:numPr>
        <w:ilvl w:val="0"/>
        <w:numId w:val="0"/>
      </w:numPr>
      <w:tabs>
        <w:tab w:val="clear" w:pos="780"/>
      </w:tabs>
      <w:spacing w:after="120"/>
      <w:ind w:firstLine="420"/>
      <w:jc w:val="both"/>
    </w:pPr>
    <w:rPr>
      <w:rFonts w:ascii="Times New Roman"/>
      <w:sz w:val="21"/>
    </w:rPr>
  </w:style>
  <w:style w:type="character" w:styleId="Strong">
    <w:name w:val="Strong"/>
    <w:basedOn w:val="DefaultParagraphFont"/>
    <w:qFormat/>
    <w:rPr>
      <w:b/>
      <w:bCs/>
    </w:rPr>
  </w:style>
  <w:style w:type="character" w:styleId="EndnoteReference">
    <w:name w:val="endnote reference"/>
    <w:basedOn w:val="DefaultParagraphFont"/>
    <w:uiPriority w:val="99"/>
    <w:semiHidden/>
    <w:unhideWhenUsed/>
    <w:qFormat/>
    <w:rPr>
      <w:vertAlign w:val="superscript"/>
    </w:rPr>
  </w:style>
  <w:style w:type="character" w:styleId="PageNumber">
    <w:name w:val="page number"/>
    <w:basedOn w:val="DefaultParagraphFont"/>
    <w:qFormat/>
  </w:style>
  <w:style w:type="character" w:styleId="FollowedHyperlink">
    <w:name w:val="FollowedHyperlink"/>
    <w:basedOn w:val="DefaultParagraphFont"/>
    <w:semiHidden/>
    <w:unhideWhenUsed/>
    <w:qFormat/>
    <w:rPr>
      <w:color w:val="800080" w:themeColor="followedHyperlink"/>
      <w:u w:val="single"/>
    </w:rPr>
  </w:style>
  <w:style w:type="character" w:styleId="Hyperlink">
    <w:name w:val="Hyperlink"/>
    <w:basedOn w:val="DefaultParagraphFont"/>
    <w:uiPriority w:val="99"/>
    <w:qFormat/>
    <w:rPr>
      <w:color w:val="0000FF"/>
      <w:u w:val="single"/>
    </w:rPr>
  </w:style>
  <w:style w:type="character" w:styleId="CommentReference">
    <w:name w:val="annotation reference"/>
    <w:basedOn w:val="DefaultParagraphFont"/>
    <w:qFormat/>
    <w:rPr>
      <w:sz w:val="21"/>
      <w:szCs w:val="21"/>
    </w:rPr>
  </w:style>
  <w:style w:type="character" w:styleId="FootnoteReference">
    <w:name w:val="footnote reference"/>
    <w:basedOn w:val="DefaultParagraphFont"/>
    <w:qFormat/>
    <w:rPr>
      <w:vertAlign w:val="superscript"/>
    </w:rPr>
  </w:style>
  <w:style w:type="character" w:customStyle="1" w:styleId="a">
    <w:name w:val="尾注文本 字符"/>
    <w:link w:val="EndnoteText"/>
    <w:uiPriority w:val="99"/>
    <w:qFormat/>
    <w:rPr>
      <w:sz w:val="20"/>
    </w:rPr>
  </w:style>
  <w:style w:type="character" w:customStyle="1" w:styleId="1">
    <w:name w:val="标题 1 字符"/>
    <w:basedOn w:val="DefaultParagraphFont"/>
    <w:link w:val="Heading1"/>
    <w:uiPriority w:val="9"/>
    <w:qFormat/>
    <w:rPr>
      <w:rFonts w:ascii="Arial" w:hAnsi="Arial" w:cs="Arial"/>
      <w:sz w:val="40"/>
      <w:szCs w:val="40"/>
    </w:rPr>
  </w:style>
  <w:style w:type="character" w:customStyle="1" w:styleId="2">
    <w:name w:val="标题 2 字符"/>
    <w:basedOn w:val="DefaultParagraphFont"/>
    <w:link w:val="Heading2"/>
    <w:uiPriority w:val="9"/>
    <w:qFormat/>
    <w:rPr>
      <w:rFonts w:ascii="Arial" w:hAnsi="Arial" w:cs="Arial"/>
      <w:sz w:val="34"/>
    </w:rPr>
  </w:style>
  <w:style w:type="character" w:customStyle="1" w:styleId="3">
    <w:name w:val="标题 3 字符"/>
    <w:basedOn w:val="DefaultParagraphFont"/>
    <w:link w:val="Heading3"/>
    <w:uiPriority w:val="9"/>
    <w:qFormat/>
    <w:rPr>
      <w:rFonts w:ascii="Arial" w:hAnsi="Arial" w:cs="Arial"/>
      <w:sz w:val="30"/>
      <w:szCs w:val="30"/>
    </w:rPr>
  </w:style>
  <w:style w:type="character" w:customStyle="1" w:styleId="4">
    <w:name w:val="标题 4 字符"/>
    <w:basedOn w:val="DefaultParagraphFont"/>
    <w:link w:val="Heading4"/>
    <w:uiPriority w:val="9"/>
    <w:qFormat/>
    <w:rPr>
      <w:rFonts w:ascii="Arial" w:hAnsi="Arial" w:cs="Arial"/>
      <w:b/>
      <w:bCs/>
      <w:sz w:val="26"/>
      <w:szCs w:val="26"/>
    </w:rPr>
  </w:style>
  <w:style w:type="character" w:customStyle="1" w:styleId="5">
    <w:name w:val="标题 5 字符"/>
    <w:basedOn w:val="DefaultParagraphFont"/>
    <w:link w:val="Heading5"/>
    <w:uiPriority w:val="9"/>
    <w:qFormat/>
    <w:rPr>
      <w:rFonts w:ascii="Arial" w:hAnsi="Arial" w:cs="Arial"/>
      <w:b/>
      <w:bCs/>
      <w:sz w:val="24"/>
      <w:szCs w:val="24"/>
    </w:rPr>
  </w:style>
  <w:style w:type="character" w:customStyle="1" w:styleId="6">
    <w:name w:val="标题 6 字符"/>
    <w:basedOn w:val="DefaultParagraphFont"/>
    <w:link w:val="Heading6"/>
    <w:uiPriority w:val="9"/>
    <w:qFormat/>
    <w:rPr>
      <w:rFonts w:ascii="Arial" w:hAnsi="Arial" w:cs="Arial"/>
      <w:b/>
      <w:bCs/>
      <w:sz w:val="22"/>
      <w:szCs w:val="22"/>
    </w:rPr>
  </w:style>
  <w:style w:type="character" w:customStyle="1" w:styleId="7">
    <w:name w:val="标题 7 字符"/>
    <w:basedOn w:val="DefaultParagraphFont"/>
    <w:link w:val="Heading7"/>
    <w:uiPriority w:val="9"/>
    <w:qFormat/>
    <w:rPr>
      <w:rFonts w:ascii="Arial" w:hAnsi="Arial" w:cs="Arial"/>
      <w:b/>
      <w:bCs/>
      <w:i/>
      <w:iCs/>
      <w:sz w:val="22"/>
      <w:szCs w:val="22"/>
    </w:rPr>
  </w:style>
  <w:style w:type="character" w:customStyle="1" w:styleId="8">
    <w:name w:val="标题 8 字符"/>
    <w:basedOn w:val="DefaultParagraphFont"/>
    <w:link w:val="Heading8"/>
    <w:uiPriority w:val="9"/>
    <w:qFormat/>
    <w:rPr>
      <w:rFonts w:ascii="Arial" w:hAnsi="Arial" w:cs="Arial"/>
      <w:i/>
      <w:iCs/>
      <w:sz w:val="22"/>
      <w:szCs w:val="22"/>
    </w:rPr>
  </w:style>
  <w:style w:type="character" w:customStyle="1" w:styleId="9">
    <w:name w:val="标题 9 字符"/>
    <w:basedOn w:val="DefaultParagraphFont"/>
    <w:link w:val="Heading9"/>
    <w:uiPriority w:val="9"/>
    <w:qFormat/>
    <w:rPr>
      <w:rFonts w:ascii="Arial" w:hAnsi="Arial" w:cs="Arial"/>
      <w:i/>
      <w:iCs/>
      <w:sz w:val="21"/>
      <w:szCs w:val="21"/>
    </w:rPr>
  </w:style>
  <w:style w:type="paragraph" w:styleId="NoSpacing">
    <w:name w:val="No Spacing"/>
    <w:uiPriority w:val="1"/>
    <w:qFormat/>
    <w:rPr>
      <w:sz w:val="22"/>
      <w:szCs w:val="22"/>
      <w:lang w:eastAsia="en-US"/>
    </w:rPr>
  </w:style>
  <w:style w:type="character" w:customStyle="1" w:styleId="a0">
    <w:name w:val="标题 字符"/>
    <w:basedOn w:val="DefaultParagraphFont"/>
    <w:link w:val="Title"/>
    <w:uiPriority w:val="10"/>
    <w:qFormat/>
    <w:rPr>
      <w:sz w:val="48"/>
      <w:szCs w:val="48"/>
    </w:rPr>
  </w:style>
  <w:style w:type="character" w:customStyle="1" w:styleId="a1">
    <w:name w:val="副标题 字符"/>
    <w:basedOn w:val="DefaultParagraphFont"/>
    <w:link w:val="Subtitle"/>
    <w:uiPriority w:val="11"/>
    <w:qFormat/>
    <w:rPr>
      <w:sz w:val="24"/>
      <w:szCs w:val="24"/>
    </w:rPr>
  </w:style>
  <w:style w:type="paragraph" w:styleId="Quote">
    <w:name w:val="Quote"/>
    <w:basedOn w:val="Normal"/>
    <w:next w:val="Normal"/>
    <w:link w:val="a2"/>
    <w:uiPriority w:val="29"/>
    <w:qFormat/>
    <w:pPr>
      <w:ind w:left="720" w:right="720"/>
    </w:pPr>
    <w:rPr>
      <w:i/>
    </w:rPr>
  </w:style>
  <w:style w:type="character" w:customStyle="1" w:styleId="a2">
    <w:name w:val="引用 字符"/>
    <w:link w:val="Quote"/>
    <w:uiPriority w:val="29"/>
    <w:qFormat/>
    <w:rPr>
      <w:i/>
    </w:rPr>
  </w:style>
  <w:style w:type="paragraph" w:styleId="IntenseQuote">
    <w:name w:val="Intense Quote"/>
    <w:basedOn w:val="Normal"/>
    <w:next w:val="Normal"/>
    <w:link w:val="a3"/>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3">
    <w:name w:val="明显引用 字符"/>
    <w:link w:val="IntenseQuote"/>
    <w:uiPriority w:val="30"/>
    <w:qFormat/>
    <w:rPr>
      <w:i/>
    </w:rPr>
  </w:style>
  <w:style w:type="character" w:customStyle="1" w:styleId="a4">
    <w:name w:val="脚注文本 字符"/>
    <w:link w:val="FootnoteText"/>
    <w:uiPriority w:val="99"/>
    <w:qFormat/>
    <w:rPr>
      <w:sz w:val="18"/>
    </w:rPr>
  </w:style>
  <w:style w:type="paragraph" w:customStyle="1" w:styleId="10">
    <w:name w:val="样式 标题 1 + 黑体 非加粗"/>
    <w:basedOn w:val="Heading1"/>
    <w:qFormat/>
    <w:pPr>
      <w:pageBreakBefore/>
    </w:pPr>
    <w:rPr>
      <w:rFonts w:hAnsi="黑体"/>
      <w:b/>
    </w:rPr>
  </w:style>
  <w:style w:type="paragraph" w:customStyle="1" w:styleId="111">
    <w:name w:val="样式 标题 1 + 段前: 1 行 段后: 1 行"/>
    <w:basedOn w:val="Heading1"/>
    <w:qFormat/>
    <w:pPr>
      <w:pageBreakBefore/>
    </w:pPr>
    <w:rPr>
      <w:sz w:val="20"/>
      <w:szCs w:val="20"/>
    </w:rPr>
  </w:style>
  <w:style w:type="character" w:customStyle="1" w:styleId="da">
    <w:name w:val="da"/>
    <w:basedOn w:val="DefaultParagraphFont"/>
    <w:qFormat/>
  </w:style>
  <w:style w:type="character" w:customStyle="1" w:styleId="a5">
    <w:name w:val="批注文字 字符"/>
    <w:basedOn w:val="DefaultParagraphFont"/>
    <w:link w:val="CommentText"/>
    <w:qFormat/>
    <w:rPr>
      <w:rFonts w:eastAsia="宋体"/>
      <w:sz w:val="21"/>
      <w:szCs w:val="24"/>
      <w:lang w:val="en-US" w:eastAsia="zh-CN" w:bidi="ar-SA"/>
    </w:rPr>
  </w:style>
  <w:style w:type="character" w:customStyle="1" w:styleId="a6">
    <w:name w:val="文档结构图 字符"/>
    <w:basedOn w:val="DefaultParagraphFont"/>
    <w:link w:val="DocumentMap"/>
    <w:qFormat/>
    <w:rPr>
      <w:rFonts w:ascii="宋体"/>
      <w:sz w:val="18"/>
      <w:szCs w:val="18"/>
    </w:rPr>
  </w:style>
  <w:style w:type="character" w:customStyle="1" w:styleId="a7">
    <w:name w:val="页眉 字符"/>
    <w:basedOn w:val="DefaultParagraphFont"/>
    <w:link w:val="Header"/>
    <w:uiPriority w:val="99"/>
    <w:qFormat/>
    <w:rPr>
      <w:rFonts w:eastAsia="仿宋_GB2312"/>
      <w:sz w:val="18"/>
    </w:rPr>
  </w:style>
  <w:style w:type="character" w:customStyle="1" w:styleId="a8">
    <w:name w:val="页脚 字符"/>
    <w:basedOn w:val="DefaultParagraphFont"/>
    <w:link w:val="Footer"/>
    <w:uiPriority w:val="99"/>
    <w:qFormat/>
    <w:rPr>
      <w:rFonts w:eastAsia="仿宋_GB2312"/>
      <w:sz w:val="18"/>
    </w:rPr>
  </w:style>
  <w:style w:type="character" w:customStyle="1" w:styleId="a9">
    <w:name w:val="纯文本 字符"/>
    <w:basedOn w:val="DefaultParagraphFont"/>
    <w:link w:val="PlainText"/>
    <w:qFormat/>
    <w:rPr>
      <w:rFonts w:ascii="宋体" w:hAnsi="Courier New"/>
      <w:sz w:val="24"/>
      <w:szCs w:val="21"/>
    </w:rPr>
  </w:style>
  <w:style w:type="character" w:customStyle="1" w:styleId="a10">
    <w:name w:val="正文文本首行缩进 字符"/>
    <w:basedOn w:val="DefaultParagraphFont"/>
    <w:link w:val="BodyTextFirstIndent"/>
    <w:qFormat/>
    <w:rPr>
      <w:sz w:val="21"/>
      <w:szCs w:val="24"/>
    </w:rPr>
  </w:style>
  <w:style w:type="paragraph" w:styleId="ListParagraph">
    <w:name w:val="List Paragraph"/>
    <w:basedOn w:val="Normal"/>
    <w:uiPriority w:val="34"/>
    <w:qFormat/>
    <w:pPr>
      <w:widowControl/>
      <w:ind w:left="480"/>
    </w:pPr>
    <w:rPr>
      <w:szCs w:val="21"/>
    </w:rPr>
  </w:style>
  <w:style w:type="character" w:customStyle="1" w:styleId="a11">
    <w:name w:val="正文文本缩进 字符"/>
    <w:basedOn w:val="DefaultParagraphFont"/>
    <w:link w:val="BodyTextIndent"/>
    <w:semiHidden/>
    <w:qFormat/>
    <w:rPr>
      <w:sz w:val="21"/>
      <w:szCs w:val="24"/>
    </w:rPr>
  </w:style>
  <w:style w:type="character" w:customStyle="1" w:styleId="30">
    <w:name w:val="正文文本缩进 3 字符"/>
    <w:basedOn w:val="DefaultParagraphFont"/>
    <w:link w:val="BodyTextIndent3"/>
    <w:semiHidden/>
    <w:qFormat/>
    <w:rPr>
      <w:sz w:val="16"/>
      <w:szCs w:val="16"/>
    </w:rPr>
  </w:style>
  <w:style w:type="character" w:customStyle="1" w:styleId="HTML">
    <w:name w:val="HTML 预设格式 字符"/>
    <w:basedOn w:val="DefaultParagraphFont"/>
    <w:link w:val="HTMLPreformatted"/>
    <w:uiPriority w:val="99"/>
    <w:qFormat/>
    <w:rPr>
      <w:rFonts w:ascii="宋体" w:hAnsi="宋体"/>
      <w:sz w:val="24"/>
      <w:szCs w:val="24"/>
    </w:rPr>
  </w:style>
  <w:style w:type="character" w:customStyle="1" w:styleId="20">
    <w:name w:val="正文文本缩进 2 字符"/>
    <w:basedOn w:val="DefaultParagraphFont"/>
    <w:link w:val="BodyTextIndent2"/>
    <w:semiHidden/>
    <w:qFormat/>
    <w:rPr>
      <w:sz w:val="21"/>
      <w:szCs w:val="24"/>
    </w:rPr>
  </w:style>
  <w:style w:type="paragraph" w:styleId="Revision">
    <w:name w:val="Revision"/>
    <w:hidden/>
    <w:uiPriority w:val="99"/>
    <w:semiHidden/>
    <w:rsid w:val="00E71ACB"/>
    <w:rPr>
      <w:sz w:val="21"/>
      <w:szCs w:val="24"/>
      <w:lang w:eastAsia="en-US"/>
    </w:rPr>
  </w:style>
  <w:style w:type="table" w:styleId="TableGrid">
    <w:name w:val="Table Grid"/>
    <w:basedOn w:val="TableNormal"/>
    <w:uiPriority w:val="59"/>
    <w:pPr>
      <w:spacing w:line="360" w:lineRule="exact"/>
    </w:pPr>
    <w:rPr>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yperlink" Target="http://www.efunds.com.cn" TargetMode="External" /><Relationship Id="rId16" Type="http://schemas.openxmlformats.org/officeDocument/2006/relationships/image" Target="media/image1.wmf" /><Relationship Id="rId17" Type="http://schemas.openxmlformats.org/officeDocument/2006/relationships/oleObject" Target="embeddings/oleObject1.bin" /><Relationship Id="rId18" Type="http://schemas.openxmlformats.org/officeDocument/2006/relationships/image" Target="media/image2.wmf" /><Relationship Id="rId19" Type="http://schemas.openxmlformats.org/officeDocument/2006/relationships/oleObject" Target="embeddings/oleObject2.bin"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24"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117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