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广发匠心精选混合型证券投资基金（广发匠心精选混合C）基金产品资料概要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编制日期：2026年6月26日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送出日期：2026年6月</w:t>
      </w:r>
      <w:r w:rsidR="00EC657A">
        <w:rPr>
          <w:rFonts w:ascii="仿宋" w:eastAsia="仿宋" w:hAnsi="仿宋" w:cs="方正仿宋简体"/>
          <w:iCs/>
          <w:sz w:val="24"/>
          <w:szCs w:val="24"/>
        </w:rPr>
        <w:t>30</w:t>
      </w:r>
      <w:bookmarkStart w:id="0" w:name="_GoBack"/>
      <w:bookmarkEnd w:id="0"/>
      <w:r w:rsidRPr="00E87B8A">
        <w:rPr>
          <w:rFonts w:ascii="仿宋" w:eastAsia="仿宋" w:hAnsi="仿宋" w:cs="方正仿宋简体" w:hint="eastAsia"/>
          <w:iCs/>
          <w:sz w:val="24"/>
          <w:szCs w:val="24"/>
        </w:rPr>
        <w:t>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广发匠心精选混合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027209</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广发匠心精选混合C</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027210</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中国建设银行股份有限公司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D3A6F">
            <w:pPr>
              <w:spacing w:line="280" w:lineRule="exact"/>
              <w:rPr>
                <w:rFonts w:ascii="仿宋" w:eastAsia="仿宋" w:hAnsi="仿宋" w:cs="方正仿宋简体"/>
                <w:b/>
                <w:iCs/>
              </w:rPr>
            </w:pPr>
          </w:p>
        </w:tc>
        <w:tc>
          <w:tcPr>
            <w:tcW w:w="1443" w:type="pct"/>
            <w:tcBorders>
              <w:top w:val="dashSmallGap" w:sz="4" w:space="0" w:color="A6A6A6" w:themeColor="background1" w:themeShade="A6"/>
              <w:bottom w:val="nil"/>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 xml:space="preserve">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人民币</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李巍</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2005-07-01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法律法规或中国证监会另有规定时，从其规定。</w:t>
            </w:r>
          </w:p>
        </w:tc>
      </w:tr>
    </w:tbl>
    <w:p w:rsidR="00AD3A6F" w:rsidRPr="00E87B8A" w:rsidRDefault="00A73782">
      <w:pPr>
        <w:spacing w:line="280" w:lineRule="exact"/>
        <w:rPr>
          <w:rFonts w:ascii="仿宋" w:eastAsia="仿宋" w:hAnsi="仿宋" w:cs="方正仿宋简体"/>
          <w:iCs/>
          <w:sz w:val="24"/>
          <w:szCs w:val="24"/>
        </w:rPr>
      </w:pPr>
      <w:r w:rsidRPr="00E87B8A">
        <w:rPr>
          <w:rFonts w:ascii="仿宋" w:eastAsia="仿宋" w:hAnsi="仿宋" w:cs="方正仿宋简体" w:hint="eastAsia"/>
          <w:iCs/>
        </w:rPr>
        <w:t>注：本基金为偏股混合型基金。</w:t>
      </w:r>
    </w:p>
    <w:p w:rsidR="00AD3A6F" w:rsidRPr="00E87B8A" w:rsidRDefault="00AD3A6F">
      <w:pPr>
        <w:spacing w:line="280" w:lineRule="exact"/>
        <w:rPr>
          <w:rFonts w:ascii="仿宋" w:eastAsia="仿宋" w:hAnsi="仿宋" w:cs="仿宋_GB2312"/>
          <w:b/>
          <w:kern w:val="0"/>
          <w:szCs w:val="24"/>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如法律法规或监管机构以后允许基金投资其他品种，基金管理人在履</w:t>
            </w:r>
            <w:r w:rsidRPr="00E87B8A">
              <w:rPr>
                <w:rFonts w:ascii="仿宋" w:eastAsia="仿宋" w:hAnsi="仿宋" w:cs="仿宋_GB2312" w:hint="eastAsia"/>
                <w:kern w:val="0"/>
                <w:szCs w:val="24"/>
              </w:rPr>
              <w:lastRenderedPageBreak/>
              <w:t>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lastRenderedPageBreak/>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1、大类资产配置策略；2、股票（含存托凭证）投资策略；3、债券投资策略；4、资产支持证券投资策略；5、金融衍生品投资策略。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中证800指数收益率×65%+恒生指数收益率×15%+中债-综合全价（总值）指数收益率×15%+活期存款基准利率×5%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A73782">
      <w:pPr>
        <w:spacing w:line="280" w:lineRule="exact"/>
        <w:rPr>
          <w:rFonts w:ascii="仿宋" w:eastAsia="仿宋" w:hAnsi="仿宋" w:cs="方正仿宋简体"/>
          <w:iCs/>
          <w:szCs w:val="24"/>
        </w:rPr>
      </w:pPr>
      <w:r w:rsidRPr="00E87B8A">
        <w:rPr>
          <w:rFonts w:ascii="仿宋" w:eastAsia="仿宋" w:hAnsi="仿宋" w:cs="方正仿宋简体" w:hint="eastAsia"/>
          <w:iCs/>
          <w:szCs w:val="24"/>
        </w:rPr>
        <w:t>注：详见《广发匠心精选混合型证券投资基金招募说明书》及其更新文件中“基金的投资”。</w:t>
      </w:r>
    </w:p>
    <w:p w:rsidR="00AD3A6F" w:rsidRPr="00E87B8A" w:rsidRDefault="00AD3A6F">
      <w:pPr>
        <w:spacing w:line="280" w:lineRule="exact"/>
        <w:rPr>
          <w:rFonts w:ascii="仿宋" w:eastAsia="仿宋" w:hAnsi="仿宋" w:cs="仿宋_GB2312"/>
          <w:kern w:val="0"/>
          <w:szCs w:val="24"/>
        </w:rPr>
      </w:pP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A73782">
      <w:pPr>
        <w:jc w:val="left"/>
        <w:rPr>
          <w:rFonts w:ascii="仿宋" w:eastAsia="仿宋" w:hAnsi="仿宋" w:cs="方正仿宋简体"/>
          <w:b/>
          <w:iCs/>
          <w:sz w:val="24"/>
          <w:szCs w:val="24"/>
        </w:rPr>
      </w:pPr>
      <w:r w:rsidRPr="00E87B8A">
        <w:rPr>
          <w:rFonts w:ascii="仿宋" w:eastAsia="仿宋" w:hAnsi="仿宋"/>
          <w:color w:val="000000" w:themeColor="text1"/>
        </w:rPr>
        <w:t>无</w:t>
      </w:r>
    </w:p>
    <w:p w:rsidR="00AD3A6F" w:rsidRPr="00E87B8A" w:rsidRDefault="00A73782">
      <w:pPr>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w:pPr>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w:tbl>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8"/>
        <w:gridCol w:w="3262"/>
        <w:gridCol w:w="1981"/>
        <w:gridCol w:w="1417"/>
      </w:tblGrid>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6"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本基金C类份额无认购费</w:t>
            </w:r>
          </w:p>
        </w:tc>
      </w:tr>
      <w:tr w:rsidR="00AD3A6F" w:rsidRPr="00E87B8A" w:rsidTr="00165844">
        <w:trPr>
          <w:trHeight w:val="454"/>
        </w:trPr>
        <w:tc>
          <w:tcPr>
            <w:tcW w:w="1315"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w:t>
            </w:r>
          </w:p>
        </w:tc>
        <w:tc>
          <w:tcPr>
            <w:tcW w:w="784"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本基金C类份额无申购费</w:t>
            </w:r>
          </w:p>
        </w:tc>
      </w:tr>
      <w:tr w:rsidR="00AD3A6F" w:rsidRPr="00E87B8A" w:rsidTr="00165844">
        <w:trPr>
          <w:trHeight w:val="454"/>
        </w:trPr>
        <w:tc>
          <w:tcPr>
            <w:tcW w:w="1315" w:type="pct"/>
            <w:vMerge w:val="restar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N &lt; 7日 </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1.50%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5"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7日 ≤ N &lt; 30日 </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1.00%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5"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30日 ≤ N &lt; 180日 </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0.50%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r w:rsidR="00AD3A6F" w:rsidRPr="00E87B8A" w:rsidTr="00165844">
        <w:trPr>
          <w:trHeight w:val="454"/>
        </w:trPr>
        <w:tc>
          <w:tcPr>
            <w:tcW w:w="1315" w:type="pct"/>
            <w:vMerge/>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lastRenderedPageBreak/>
              <w:t>赎回费</w:t>
            </w:r>
          </w:p>
        </w:tc>
        <w:tc>
          <w:tcPr>
            <w:tcW w:w="180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　 　 N ≥ 180日 </w:t>
            </w:r>
          </w:p>
        </w:tc>
        <w:tc>
          <w:tcPr>
            <w:tcW w:w="1096"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cs="方正仿宋简体" w:hint="eastAsia"/>
                <w:bCs/>
                <w:iCs/>
                <w:color w:val="000000" w:themeColor="text1"/>
              </w:rPr>
              <w:t xml:space="preserve">0.00%  </w:t>
            </w:r>
          </w:p>
        </w:tc>
        <w:tc>
          <w:tcPr>
            <w:tcW w:w="784" w:type="pct"/>
            <w:vAlign w:val="center"/>
          </w:tcPr>
          <w:p w:rsidR="00AD3A6F" w:rsidRPr="00E87B8A" w:rsidRDefault="00AD3A6F">
            <w:pPr>
              <w:spacing w:line="280" w:lineRule="exact"/>
              <w:jc w:val="center"/>
              <w:rPr>
                <w:rFonts w:ascii="仿宋" w:eastAsia="仿宋" w:hAnsi="仿宋" w:cs="方正仿宋简体"/>
                <w:bCs/>
                <w:iCs/>
                <w:color w:val="000000" w:themeColor="text1"/>
              </w:rPr>
            </w:pPr>
          </w:p>
        </w:tc>
      </w:tr>
    </w:tbl>
    <w:p w:rsidR="00AD3A6F" w:rsidRPr="00E87B8A" w:rsidRDefault="00AD3A6F">
      <w:pPr>
        <w:spacing w:line="280" w:lineRule="exact"/>
        <w:rPr>
          <w:rFonts w:ascii="仿宋" w:eastAsia="仿宋" w:hAnsi="仿宋" w:cs="方正仿宋简体"/>
          <w:b/>
          <w:iCs/>
          <w:sz w:val="24"/>
          <w:szCs w:val="24"/>
        </w:rPr>
      </w:pPr>
    </w:p>
    <w:p w:rsidR="00AD3A6F" w:rsidRPr="00E87B8A" w:rsidRDefault="00A73782">
      <w:pPr>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0D2645">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 365 天，下同），则按 1.20%年费率收取管理费；持有期限达到一年及以上，则根据持有期间年化收益率分为以下三种情况，分别确定对应的管理费率档位：若持有期间相对业绩比较基准的年化超额收益率在-3%及以下，按 0.60%年费率确认管理费；若持有期间的年化超额收益率（扣除超额管理费后）超过 6%且持有收益率（扣除超额管理费后）为正，按 1.50%年费率确认管理费；其他情形按 1.20%年费率确认管理费。 </w:t>
            </w:r>
          </w:p>
        </w:tc>
        <w:tc>
          <w:tcPr>
            <w:tcW w:w="1457" w:type="pct"/>
            <w:tcBorders>
              <w:top w:val="dashSmallGap" w:sz="4" w:space="0" w:color="808080" w:themeColor="background1" w:themeShade="80"/>
            </w:tcBorders>
            <w:vAlign w:val="center"/>
          </w:tcPr>
          <w:p w:rsidR="000D2645" w:rsidRPr="00E87B8A" w:rsidRDefault="000D2645" w:rsidP="000D2645">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 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销售服务费</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 0.40%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A73782" w:rsidP="003F6D43">
            <w:pPr>
              <w:spacing w:line="280" w:lineRule="exact"/>
              <w:jc w:val="center"/>
              <w:rPr>
                <w:rFonts w:ascii="仿宋" w:eastAsia="仿宋" w:hAnsi="仿宋" w:cs="方正仿宋简体"/>
                <w:bCs/>
                <w:iCs/>
              </w:rPr>
            </w:pPr>
            <w:r w:rsidRPr="00E87B8A">
              <w:rPr>
                <w:rFonts w:ascii="仿宋" w:eastAsia="仿宋" w:hAnsi="仿宋" w:hint="eastAsia"/>
                <w:color w:val="333399"/>
              </w:rPr>
              <w:t>-</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hint="eastAsia"/>
                <w:color w:val="333399"/>
              </w:rPr>
              <w:t>-</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 xml:space="preserve">《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A73782">
      <w:pPr>
        <w:autoSpaceDE w:val="0"/>
        <w:autoSpaceDN w:val="0"/>
        <w:adjustRightInd w:val="0"/>
        <w:spacing w:line="280" w:lineRule="exact"/>
        <w:jc w:val="left"/>
        <w:rPr>
          <w:rFonts w:ascii="仿宋" w:eastAsia="仿宋" w:hAnsi="仿宋" w:cs="方正仿宋简体"/>
          <w:bCs/>
          <w:iCs/>
        </w:rPr>
      </w:pPr>
      <w:r w:rsidRPr="00E87B8A">
        <w:rPr>
          <w:rFonts w:ascii="仿宋" w:eastAsia="仿宋" w:hAnsi="仿宋" w:cs="方正仿宋简体" w:hint="eastAsia"/>
          <w:bCs/>
          <w:iCs/>
        </w:rPr>
        <w:t>注： 1、本基金的管理费包含固定管理费、或有管理费和超额管理费，具体计算方法详见招募说明书。</w:t>
      </w:r>
      <w:r w:rsidRPr="00E87B8A">
        <w:rPr>
          <w:rFonts w:ascii="仿宋" w:eastAsia="仿宋" w:hAnsi="仿宋" w:cs="方正仿宋简体" w:hint="eastAsia"/>
          <w:bCs/>
          <w:iCs/>
        </w:rPr>
        <w:br/>
        <w:t>2、本基金交易证券等产生的费用和税负，按实际发生额从基金资产扣除。</w:t>
      </w:r>
      <w:r w:rsidRPr="00E87B8A">
        <w:rPr>
          <w:rFonts w:ascii="仿宋" w:eastAsia="仿宋" w:hAnsi="仿宋" w:cs="方正仿宋简体" w:hint="eastAsia"/>
          <w:bCs/>
          <w:iCs/>
        </w:rPr>
        <w:br/>
        <w:t>3、投资者通过直销机构认购、申购的C类基金份额不收取销售服务费。投资者通过直销机构以外的其他销售机构认购、申购C类基金份额且持续持有期限超过一年的（即365天），将不再继续收取销售服务费。具体的销售服务费计算和确认方式详见招募说明书。</w:t>
      </w:r>
    </w:p>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本基金不提供任何保证。投资者可能损失投资本金。</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投资有风险，投资者购买基金时应认真阅读本基金的《招募说明书》等销售文件。</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1、本基金特有风险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（1）本基金是混合型基金，既能投资股票，亦能投资债券，因此股票、债券等市场的变化均会影响到本基金的业绩表现。</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（2）投资港股通标的股票的风险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lastRenderedPageBreak/>
        <w:t>（3）投资股指期货的风险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（4）投资国债期货的风险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（5）投资股票期权的风险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（6）投资资产支持证券的风险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（7）投资存托凭证的风险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（8）浮动管理费模式相关风险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3）本基金采用浮动管理费的收费模式，不代表基金管理人对基金收益的保证。</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9）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2、开放式基金的共有风险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（1）市场风险；（2）管理风险；（3）职业道德风险；（4）流动性风险；（5）合规性风险；（6）投资管理风险；（7）本基金法律文件风险收益特征表述与销售机构基金风险评价可能不一致的风险等。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3、其他风险</w:t>
      </w:r>
    </w:p>
    <w:p w:rsidR="00AD3A6F" w:rsidRPr="00E87B8A" w:rsidRDefault="00A73782">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中国证监会对本基金募集的注册，并不表明其对本基金的价值和收益作出实质性判断或保证，也不表明投资于本基金没有风险。</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基金管理人依照恪尽职守、诚实信用、谨慎勤勉的原则管理和运用基金财产，但不保证基金一定盈利，也不保证最低收益。</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基金投资者自依基金合同取得基金份额，即成为基金份额持有人和基金合同的当事人。</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71BEF">
      <w:pPr>
        <w:spacing w:line="280" w:lineRule="exact"/>
        <w:ind w:firstLine="420"/>
        <w:rPr>
          <w:rFonts w:ascii="仿宋" w:eastAsia="仿宋" w:hAnsi="仿宋" w:cs="方正仿宋简体"/>
          <w:iCs/>
        </w:rPr>
      </w:pPr>
      <w:r>
        <w:rPr>
          <w:rFonts w:ascii="仿宋" w:eastAsia="仿宋" w:hAnsi="仿宋" w:cs="方正仿宋简体" w:hint="eastAsia"/>
          <w:iCs/>
        </w:rPr>
        <w:t>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w:pPr>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以下资料详见广发基金官方网站［www.gffunds.com.cn］［客服电话：95105828或020-83936999］</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（1）《广发匠心精选混合型证券投资基金基金合同》</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（2）《广发匠心精选混合型证券投资基金托管协议》</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（3）《广发匠心精选混合型证券投资基金招募说明书》</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（4）定期报告，包括基金季度报告、中期报告和年度报告</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（5）基金份额净值</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（6）基金销售机构及联系方式</w:t>
      </w:r>
    </w:p>
    <w:p w:rsidR="00AD3A6F" w:rsidRPr="00364291" w:rsidRDefault="00E71BEF" w:rsidP="00364291">
      <w:pPr>
        <w:spacing w:line="280" w:lineRule="exact"/>
        <w:ind w:firstLine="420"/>
        <w:rPr>
          <w:rFonts w:ascii="仿宋" w:eastAsia="仿宋" w:hAnsi="仿宋" w:cs="方正仿宋简体"/>
          <w:iCs/>
        </w:rPr>
      </w:pPr>
      <w:r>
        <w:rPr>
          <w:rFonts w:ascii="仿宋" w:eastAsia="仿宋" w:hAnsi="仿宋" w:cs="方正仿宋简体" w:hint="eastAsia"/>
          <w:iCs/>
        </w:rPr>
        <w:t>（7）其他重要资料</w:t>
      </w:r>
    </w:p>
    <w:sectPr w:rsidR="00AD3A6F" w:rsidRPr="00364291" w:rsidSect="00FF598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387" w:rsidRDefault="00BD6387" w:rsidP="0092395F">
      <w:r>
        <w:separator/>
      </w:r>
    </w:p>
  </w:endnote>
  <w:endnote w:type="continuationSeparator" w:id="0">
    <w:p w:rsidR="00BD6387" w:rsidRDefault="00BD6387"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方正仿宋简体">
    <w:altName w:val="Arial Unicode MS"/>
    <w:panose1 w:val="02000000000000000000"/>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C657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C657A">
              <w:rPr>
                <w:b/>
                <w:bCs/>
                <w:noProof/>
              </w:rPr>
              <w:t>4</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387" w:rsidRDefault="00BD6387" w:rsidP="0092395F">
      <w:r>
        <w:separator/>
      </w:r>
    </w:p>
  </w:footnote>
  <w:footnote w:type="continuationSeparator" w:id="0">
    <w:p w:rsidR="00BD6387" w:rsidRDefault="00BD6387"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0D57"/>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291"/>
    <w:rsid w:val="00364FA7"/>
    <w:rsid w:val="003665BF"/>
    <w:rsid w:val="003667EC"/>
    <w:rsid w:val="00367E76"/>
    <w:rsid w:val="00367F65"/>
    <w:rsid w:val="00370C84"/>
    <w:rsid w:val="003712CC"/>
    <w:rsid w:val="00373CC2"/>
    <w:rsid w:val="003744FE"/>
    <w:rsid w:val="0037519F"/>
    <w:rsid w:val="00375483"/>
    <w:rsid w:val="003800E8"/>
    <w:rsid w:val="00380AD2"/>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2F95"/>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6387"/>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262"/>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7600"/>
    <w:rsid w:val="00E67659"/>
    <w:rsid w:val="00E67E4D"/>
    <w:rsid w:val="00E70F68"/>
    <w:rsid w:val="00E71ACC"/>
    <w:rsid w:val="00E71BEF"/>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57A"/>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68E49"/>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30101010101"/>
    <w:charset w:val="86"/>
    <w:family w:val="modern"/>
    <w:pitch w:val="default"/>
    <w:sig w:usb0="00000001" w:usb1="080E0000" w:usb2="00000010" w:usb3="00000000" w:csb0="00040000" w:csb1="00000000"/>
  </w:font>
  <w:font w:name="方正仿宋简体">
    <w:altName w:val="Arial Unicode MS"/>
    <w:panose1 w:val="02000000000000000000"/>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485C"/>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C7B95"/>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C16A9"/>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6DAA"/>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AA7C-51E8-4EEC-BED2-4E4AADF3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4</Pages>
  <Words>613</Words>
  <Characters>3496</Characters>
  <Application>Microsoft Office Word</Application>
  <DocSecurity>0</DocSecurity>
  <Lines>29</Lines>
  <Paragraphs>8</Paragraphs>
  <ScaleCrop>false</ScaleCrop>
  <Company>shenduxitong</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Donghm</dc:creator>
  <cp:lastModifiedBy>晁梦婷</cp:lastModifiedBy>
  <cp:revision>79</cp:revision>
  <dcterms:created xsi:type="dcterms:W3CDTF">2024-02-07T08:15:00Z</dcterms:created>
  <dcterms:modified xsi:type="dcterms:W3CDTF">2026-06-26T03:00:00Z</dcterms:modified>
</cp:coreProperties>
</file>