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广发匠心精选混合型证券投资基金（广发匠心精选混合A）基金产品资料概要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编制日期：2026年6月26日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送出日期：2026年6月</w:t>
      </w:r>
      <w:r w:rsidR="00EC3727">
        <w:rPr>
          <w:rFonts w:ascii="仿宋" w:eastAsia="仿宋" w:hAnsi="仿宋" w:cs="方正仿宋简体"/>
          <w:iCs/>
          <w:sz w:val="24"/>
          <w:szCs w:val="24"/>
        </w:rPr>
        <w:t>30</w:t>
      </w:r>
      <w:bookmarkStart w:id="0" w:name="_GoBack"/>
      <w:bookmarkEnd w:id="0"/>
      <w:r w:rsidRPr="00E87B8A">
        <w:rPr>
          <w:rFonts w:ascii="仿宋" w:eastAsia="仿宋" w:hAnsi="仿宋" w:cs="方正仿宋简体" w:hint="eastAsia"/>
          <w:iCs/>
          <w:sz w:val="24"/>
          <w:szCs w:val="24"/>
        </w:rPr>
        <w:t>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广发匠心精选混合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027209</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广发匠心精选混合A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027209</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中国建设银行股份有限公司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D3A6F">
            <w:pPr>
              <w:spacing w:line="280" w:lineRule="exact"/>
              <w:rPr>
                <w:rFonts w:ascii="仿宋" w:eastAsia="仿宋" w:hAnsi="仿宋" w:cs="方正仿宋简体"/>
                <w:b/>
                <w:iCs/>
              </w:rPr>
            </w:pPr>
          </w:p>
        </w:tc>
        <w:tc>
          <w:tcPr>
            <w:tcW w:w="1443" w:type="pct"/>
            <w:tcBorders>
              <w:top w:val="dashSmallGap" w:sz="4" w:space="0" w:color="A6A6A6" w:themeColor="background1" w:themeShade="A6"/>
              <w:bottom w:val="nil"/>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人民币</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李巍</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2005-07-01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法律法规或中国证监会另有规定时，从其规定。</w:t>
            </w:r>
          </w:p>
        </w:tc>
      </w:tr>
    </w:tbl>
    <w:p w:rsidR="00AD3A6F" w:rsidRPr="00E87B8A" w:rsidRDefault="00A73782">
      <w:pPr>
        <w:spacing w:line="280" w:lineRule="exact"/>
        <w:rPr>
          <w:rFonts w:ascii="仿宋" w:eastAsia="仿宋" w:hAnsi="仿宋" w:cs="方正仿宋简体"/>
          <w:iCs/>
          <w:sz w:val="24"/>
          <w:szCs w:val="24"/>
        </w:rPr>
      </w:pPr>
      <w:r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如法律法规或监管机构以后允许基金投资其他品种，基金管理人在履</w:t>
            </w:r>
            <w:r w:rsidRPr="00E87B8A">
              <w:rPr>
                <w:rFonts w:ascii="仿宋" w:eastAsia="仿宋" w:hAnsi="仿宋" w:cs="仿宋_GB2312" w:hint="eastAsia"/>
                <w:kern w:val="0"/>
                <w:szCs w:val="24"/>
              </w:rPr>
              <w:lastRenderedPageBreak/>
              <w:t>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lastRenderedPageBreak/>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中证800指数收益率×65%+恒生指数收益率×15%+中债-综合全价（总值）指数收益率×15%+活期存款基准利率×5%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A73782">
      <w:pPr>
        <w:spacing w:line="280" w:lineRule="exact"/>
        <w:rPr>
          <w:rFonts w:ascii="仿宋" w:eastAsia="仿宋" w:hAnsi="仿宋" w:cs="方正仿宋简体"/>
          <w:iCs/>
          <w:szCs w:val="24"/>
        </w:rPr>
      </w:pPr>
      <w:r w:rsidRPr="00E87B8A">
        <w:rPr>
          <w:rFonts w:ascii="仿宋" w:eastAsia="仿宋" w:hAnsi="仿宋" w:cs="方正仿宋简体" w:hint="eastAsia"/>
          <w:iCs/>
          <w:szCs w:val="24"/>
        </w:rPr>
        <w:t>注：详见《广发匠心精选混合型证券投资基金招募说明书》及其更新文件中“基金的投资”。</w:t>
      </w:r>
    </w:p>
    <w:p w:rsidR="00AD3A6F" w:rsidRPr="00E87B8A" w:rsidRDefault="00AD3A6F">
      <w:pPr>
        <w:spacing w:line="280" w:lineRule="exact"/>
        <w:rPr>
          <w:rFonts w:ascii="仿宋" w:eastAsia="仿宋" w:hAnsi="仿宋" w:cs="仿宋_GB2312"/>
          <w:kern w:val="0"/>
          <w:szCs w:val="24"/>
        </w:rPr>
      </w:pP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A73782">
      <w:pPr>
        <w:jc w:val="left"/>
        <w:rPr>
          <w:rFonts w:ascii="仿宋" w:eastAsia="仿宋" w:hAnsi="仿宋" w:cs="方正仿宋简体"/>
          <w:b/>
          <w:iCs/>
          <w:sz w:val="24"/>
          <w:szCs w:val="24"/>
        </w:rPr>
      </w:pPr>
      <w:r w:rsidRPr="00E87B8A">
        <w:rPr>
          <w:rFonts w:ascii="仿宋" w:eastAsia="仿宋" w:hAnsi="仿宋"/>
          <w:color w:val="000000" w:themeColor="text1"/>
        </w:rPr>
        <w:t>无</w:t>
      </w: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w:pPr>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w:tbl>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Merge w:val="restar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M &lt; 100万元</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0.80%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100万元 ≤ M &lt; 500万元</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0.60%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M ≥ 500万元</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1000元/笔</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restar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M &lt; 100万元</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0.80%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100万元 ≤ M &lt; 500万元</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0.60%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M ≥ 500万元</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1000元/笔</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restar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lastRenderedPageBreak/>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N &lt; 7日 </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1.50%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7日 ≤ N &lt; 30日 </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1.00%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30日 ≤ N &lt; 180日 </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0.50%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3"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N ≥ 180日 </w:t>
            </w:r>
          </w:p>
        </w:tc>
        <w:tc>
          <w:tcPr>
            <w:tcW w:w="1099"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0.00%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bl>
    <w:p w:rsidR="00AD3A6F" w:rsidRPr="00E87B8A" w:rsidRDefault="00A73782">
      <w:pPr>
        <w:autoSpaceDE w:val="0"/>
        <w:autoSpaceDN w:val="0"/>
        <w:adjustRightInd w:val="0"/>
        <w:spacing w:line="280" w:lineRule="exact"/>
        <w:jc w:val="left"/>
        <w:rPr>
          <w:rFonts w:ascii="仿宋" w:eastAsia="仿宋" w:hAnsi="仿宋" w:cs="方正仿宋简体"/>
          <w:iCs/>
          <w:color w:val="000000" w:themeColor="text1"/>
        </w:rPr>
      </w:pPr>
      <w:r w:rsidRPr="00E87B8A">
        <w:rPr>
          <w:rFonts w:ascii="仿宋" w:eastAsia="仿宋" w:hAnsi="仿宋" w:cs="方正仿宋简体" w:hint="eastAsia"/>
          <w:iCs/>
          <w:color w:val="000000" w:themeColor="text1"/>
        </w:rPr>
        <w:t>注：1、本基金的认/申购费用在投资人通过直销机构以外的其他销售机构认/申购基金份额时收取，通过直销机构认购/申购的客户不收取认购/申购费用。</w:t>
      </w:r>
      <w:r w:rsidRPr="00E87B8A">
        <w:rPr>
          <w:rFonts w:ascii="仿宋" w:eastAsia="仿宋" w:hAnsi="仿宋" w:cs="方正仿宋简体" w:hint="eastAsia"/>
          <w:iCs/>
          <w:color w:val="000000" w:themeColor="text1"/>
        </w:rPr>
        <w:br/>
        <w:t>2、本基金的认/申购费用由投资者承担，可用于市场推广、销售、注册登记等各项费用，不列入基金资产；基金销售机构可以对除赎回费外的销售费用实行一定的优惠，具体以实际收取为准。</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w:pPr>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0D2645">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 365 天，下同），则按 1.20%年费率收取管理费；持有期限达到一年及以上，则根据持有期间年化收益率分为以下三种情况，分别确定对应的管理费率档位：若持有期间相对业绩比较基准的年化超额收益率在-3%及以下，按 0.60%年费率确认管理费；若持有期间的年化超额收益率（扣除超额管理费后）超过 6%且持有收益率（扣除超额管理费后）为正，按 1.50%年费率确认管理费；其他情形按 1.20%年费率确认管理费。 </w:t>
            </w:r>
          </w:p>
        </w:tc>
        <w:tc>
          <w:tcPr>
            <w:tcW w:w="1457" w:type="pct"/>
            <w:tcBorders>
              <w:top w:val="dashSmallGap" w:sz="4" w:space="0" w:color="808080" w:themeColor="background1" w:themeShade="80"/>
            </w:tcBorders>
            <w:vAlign w:val="center"/>
          </w:tcPr>
          <w:p w:rsidR="000D2645" w:rsidRPr="00E87B8A" w:rsidRDefault="000D2645" w:rsidP="000D2645">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 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A73782" w:rsidP="003F6D43">
            <w:pPr>
              <w:spacing w:line="280" w:lineRule="exact"/>
              <w:jc w:val="center"/>
              <w:rPr>
                <w:rFonts w:ascii="仿宋" w:eastAsia="仿宋" w:hAnsi="仿宋" w:cs="方正仿宋简体"/>
                <w:bCs/>
                <w:iCs/>
              </w:rPr>
            </w:pPr>
            <w:r w:rsidRPr="00E87B8A">
              <w:rPr>
                <w:rFonts w:ascii="仿宋" w:eastAsia="仿宋" w:hAnsi="仿宋" w:hint="eastAsia"/>
                <w:color w:val="333399"/>
              </w:rPr>
              <w:t>-</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hint="eastAsia"/>
                <w:color w:val="333399"/>
              </w:rPr>
              <w:t>-</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A73782">
      <w:pPr>
        <w:autoSpaceDE w:val="0"/>
        <w:autoSpaceDN w:val="0"/>
        <w:adjustRightInd w:val="0"/>
        <w:spacing w:line="280" w:lineRule="exact"/>
        <w:jc w:val="left"/>
        <w:rPr>
          <w:rFonts w:ascii="仿宋" w:eastAsia="仿宋" w:hAnsi="仿宋" w:cs="方正仿宋简体"/>
          <w:bCs/>
          <w:iCs/>
        </w:rPr>
      </w:pPr>
      <w:r w:rsidRPr="00E87B8A">
        <w:rPr>
          <w:rFonts w:ascii="仿宋" w:eastAsia="仿宋" w:hAnsi="仿宋" w:cs="方正仿宋简体" w:hint="eastAsia"/>
          <w:bCs/>
          <w:iCs/>
        </w:rPr>
        <w:t>注： 1、本基金的管理费包含固定管理费、或有管理费和超额管理费，具体计算方法详见招募说明书。</w:t>
      </w:r>
      <w:r w:rsidRPr="00E87B8A">
        <w:rPr>
          <w:rFonts w:ascii="仿宋" w:eastAsia="仿宋" w:hAnsi="仿宋" w:cs="方正仿宋简体" w:hint="eastAsia"/>
          <w:bCs/>
          <w:iCs/>
        </w:rPr>
        <w:br/>
        <w:t>2、本基金交易证券等产生的费用和税负，按实际发生额从基金资产扣除。</w:t>
      </w:r>
    </w:p>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lastRenderedPageBreak/>
        <w:t>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1、本基金特有风险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（1）本基金是混合型基金，既能投资股票，亦能投资债券，因此股票、债券等市场的变化均会影响到本基金的业绩表现。</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（2）投资港股通标的股票的风险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（5）投资股票期权的风险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（6）投资资产支持证券的风险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（7）投资存托凭证的风险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（8）浮动管理费模式相关风险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3）本基金采用浮动管理费的收费模式，不代表基金管理人对基金收益的保证。</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（1）市场风险；（2）管理风险；（3）职业道德风险；（4）流动性风险；（5）合规性风险；（6）投资管理风险；（7）本基金法律文件风险收益特征表述与销售机构基金风险评价可能不一致的风险等。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3、其他风险</w:t>
      </w:r>
    </w:p>
    <w:p w:rsidR="00AD3A6F" w:rsidRPr="00E87B8A" w:rsidRDefault="00A73782">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（1）《广发匠心精选混合型证券投资基金基金合同》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（2）《广发匠心精选混合型证券投资基金托管协议》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（3）《广发匠心精选混合型证券投资基金招募说明书》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（7）其他重要资料</w:t>
      </w:r>
    </w:p>
    <w:sectPr w:rsidR="00AD3A6F" w:rsidRPr="00F523CB" w:rsidSect="00FF598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5EB" w:rsidRDefault="00FD45EB" w:rsidP="0092395F">
      <w:r>
        <w:separator/>
      </w:r>
    </w:p>
  </w:endnote>
  <w:endnote w:type="continuationSeparator" w:id="0">
    <w:p w:rsidR="00FD45EB" w:rsidRDefault="00FD45EB"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方正仿宋简体">
    <w:altName w:val="Arial Unicode MS"/>
    <w:panose1 w:val="02000000000000000000"/>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C372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C3727">
              <w:rPr>
                <w:b/>
                <w:bCs/>
                <w:noProof/>
              </w:rPr>
              <w:t>4</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5EB" w:rsidRDefault="00FD45EB" w:rsidP="0092395F">
      <w:r>
        <w:separator/>
      </w:r>
    </w:p>
  </w:footnote>
  <w:footnote w:type="continuationSeparator" w:id="0">
    <w:p w:rsidR="00FD45EB" w:rsidRDefault="00FD45EB"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3727"/>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45EB"/>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CD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方正仿宋简体">
    <w:altName w:val="Arial Unicode MS"/>
    <w:panose1 w:val="02000000000000000000"/>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22F95"/>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93257-4D50-4B3D-987E-B2FE1BDA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4</Pages>
  <Words>616</Words>
  <Characters>3512</Characters>
  <Application>Microsoft Office Word</Application>
  <DocSecurity>0</DocSecurity>
  <Lines>29</Lines>
  <Paragraphs>8</Paragraphs>
  <ScaleCrop>false</ScaleCrop>
  <Company>shenduxitong</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Donghm</dc:creator>
  <cp:lastModifiedBy>晁梦婷</cp:lastModifiedBy>
  <cp:revision>79</cp:revision>
  <dcterms:created xsi:type="dcterms:W3CDTF">2024-02-07T08:15:00Z</dcterms:created>
  <dcterms:modified xsi:type="dcterms:W3CDTF">2026-06-26T03:00:00Z</dcterms:modified>
</cp:coreProperties>
</file>