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BB7FF">
      <w:pPr>
        <w:adjustRightInd w:val="0"/>
        <w:snapToGrid w:val="0"/>
        <w:jc w:val="center"/>
        <w:rPr>
          <w:rFonts w:ascii="宋体" w:hAnsi="宋体" w:eastAsia="宋体" w:cs="方正黑体简体"/>
          <w:b/>
          <w:bCs/>
          <w:iCs/>
          <w:sz w:val="30"/>
          <w:szCs w:val="30"/>
        </w:rPr>
      </w:pPr>
      <w:r>
        <w:rPr>
          <w:rFonts w:ascii="宋体" w:hAnsi="宋体" w:eastAsia="宋体" w:cs="方正黑体简体"/>
          <w:b/>
          <w:bCs/>
          <w:iCs/>
          <w:sz w:val="30"/>
          <w:szCs w:val="30"/>
        </w:rPr>
        <w:t>富国稳悦回报混合型证券投资基金（C类份额）基金产品资料概要</w:t>
      </w:r>
    </w:p>
    <w:p w14:paraId="4115AC63">
      <w:pPr>
        <w:adjustRightInd w:val="0"/>
        <w:snapToGrid w:val="0"/>
        <w:jc w:val="right"/>
        <w:rPr>
          <w:rFonts w:ascii="宋体" w:hAnsi="宋体" w:eastAsia="宋体" w:cs="方正仿宋简体"/>
          <w:iCs/>
          <w:color w:val="FF0000"/>
          <w:sz w:val="21"/>
          <w:szCs w:val="21"/>
        </w:rPr>
      </w:pPr>
      <w:r>
        <w:rPr>
          <w:rFonts w:hint="eastAsia" w:ascii="宋体" w:hAnsi="宋体" w:eastAsia="宋体"/>
          <w:sz w:val="21"/>
          <w:szCs w:val="21"/>
        </w:rPr>
        <w:t>2026年07月03日（</w:t>
      </w:r>
      <w:r>
        <w:rPr>
          <w:rFonts w:hint="eastAsia" w:ascii="宋体" w:hAnsi="宋体" w:eastAsia="宋体" w:cs="方正仿宋简体"/>
          <w:iCs/>
          <w:sz w:val="21"/>
          <w:szCs w:val="21"/>
        </w:rPr>
        <w:t>信息截至：2026年07月02日</w:t>
      </w:r>
      <w:r>
        <w:rPr>
          <w:rFonts w:hint="eastAsia" w:ascii="宋体" w:hAnsi="宋体" w:eastAsia="宋体"/>
          <w:sz w:val="21"/>
          <w:szCs w:val="21"/>
        </w:rPr>
        <w:t>）</w:t>
      </w:r>
    </w:p>
    <w:p w14:paraId="433707F0">
      <w:pPr>
        <w:adjustRightInd w:val="0"/>
        <w:snapToGrid w:val="0"/>
        <w:jc w:val="center"/>
        <w:rPr>
          <w:rFonts w:ascii="宋体" w:hAnsi="宋体" w:eastAsia="宋体" w:cs="方正黑体简体"/>
          <w:b/>
          <w:bCs/>
          <w:iCs/>
          <w:sz w:val="24"/>
          <w:szCs w:val="21"/>
        </w:rPr>
      </w:pPr>
      <w:r>
        <w:rPr>
          <w:rFonts w:hint="eastAsia" w:ascii="宋体" w:hAnsi="宋体" w:eastAsia="宋体" w:cs="方正黑体简体"/>
          <w:b/>
          <w:bCs/>
          <w:iCs/>
          <w:sz w:val="24"/>
          <w:szCs w:val="21"/>
        </w:rPr>
        <w:t>本概要提供本基金的重要信息，是招募说明书的一部分。作出投资决定前，请阅读完整的招募说明书等销售文件。</w:t>
      </w:r>
    </w:p>
    <w:p w14:paraId="47191D82">
      <w:pPr>
        <w:pStyle w:val="2"/>
      </w:pPr>
      <w:r>
        <w:rPr>
          <w:rFonts w:hint="eastAsia"/>
        </w:rPr>
        <w:t>产品概况</w:t>
      </w: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2887"/>
        <w:gridCol w:w="1701"/>
        <w:gridCol w:w="2835"/>
      </w:tblGrid>
      <w:tr w14:paraId="7A568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63CA83BD">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基金简称</w:t>
            </w:r>
          </w:p>
        </w:tc>
        <w:tc>
          <w:tcPr>
            <w:tcW w:w="2887" w:type="dxa"/>
            <w:shd w:val="clear" w:color="auto" w:fill="auto"/>
            <w:vAlign w:val="center"/>
          </w:tcPr>
          <w:p w14:paraId="6F10BFB3">
            <w:pPr>
              <w:adjustRightInd w:val="0"/>
              <w:snapToGrid w:val="0"/>
              <w:rPr>
                <w:rFonts w:ascii="宋体" w:hAnsi="宋体" w:eastAsia="宋体" w:cs="方正仿宋简体"/>
                <w:iCs/>
                <w:sz w:val="21"/>
                <w:szCs w:val="21"/>
              </w:rPr>
            </w:pPr>
            <w:r>
              <w:rPr>
                <w:rFonts w:ascii="宋体" w:hAnsi="宋体" w:eastAsia="宋体"/>
                <w:kern w:val="0"/>
                <w:sz w:val="21"/>
                <w:szCs w:val="21"/>
              </w:rPr>
              <w:t>富国稳悦回报混合</w:t>
            </w:r>
          </w:p>
        </w:tc>
        <w:tc>
          <w:tcPr>
            <w:tcW w:w="1701" w:type="dxa"/>
            <w:shd w:val="clear" w:color="auto" w:fill="auto"/>
            <w:vAlign w:val="center"/>
          </w:tcPr>
          <w:p w14:paraId="32278739">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基金代码</w:t>
            </w:r>
          </w:p>
        </w:tc>
        <w:tc>
          <w:tcPr>
            <w:tcW w:w="2835" w:type="dxa"/>
            <w:shd w:val="clear" w:color="auto" w:fill="auto"/>
            <w:vAlign w:val="center"/>
          </w:tcPr>
          <w:p w14:paraId="0AABFCC0">
            <w:pPr>
              <w:adjustRightInd w:val="0"/>
              <w:snapToGrid w:val="0"/>
              <w:rPr>
                <w:rFonts w:ascii="宋体" w:hAnsi="宋体" w:eastAsia="宋体" w:cs="方正仿宋简体"/>
                <w:iCs/>
                <w:sz w:val="21"/>
                <w:szCs w:val="21"/>
              </w:rPr>
            </w:pPr>
            <w:r>
              <w:rPr>
                <w:rFonts w:hint="eastAsia" w:ascii="宋体" w:hAnsi="宋体" w:eastAsia="宋体"/>
                <w:kern w:val="0"/>
                <w:sz w:val="21"/>
                <w:szCs w:val="21"/>
              </w:rPr>
              <w:t>028321</w:t>
            </w:r>
          </w:p>
        </w:tc>
      </w:tr>
      <w:tr w14:paraId="03F5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6B45D1A9">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份额简称</w:t>
            </w:r>
          </w:p>
        </w:tc>
        <w:tc>
          <w:tcPr>
            <w:tcW w:w="2887" w:type="dxa"/>
            <w:shd w:val="clear" w:color="auto" w:fill="auto"/>
            <w:vAlign w:val="center"/>
          </w:tcPr>
          <w:p w14:paraId="04264905">
            <w:pPr>
              <w:adjustRightInd w:val="0"/>
              <w:snapToGrid w:val="0"/>
              <w:rPr>
                <w:rFonts w:ascii="宋体" w:hAnsi="宋体" w:eastAsia="宋体"/>
                <w:kern w:val="0"/>
                <w:sz w:val="21"/>
                <w:szCs w:val="21"/>
              </w:rPr>
            </w:pPr>
            <w:r>
              <w:rPr>
                <w:rFonts w:hint="eastAsia" w:ascii="宋体" w:hAnsi="宋体" w:eastAsia="宋体"/>
                <w:kern w:val="0"/>
                <w:sz w:val="21"/>
                <w:szCs w:val="21"/>
              </w:rPr>
              <w:t>富国稳悦回报混合C</w:t>
            </w:r>
          </w:p>
        </w:tc>
        <w:tc>
          <w:tcPr>
            <w:tcW w:w="1701" w:type="dxa"/>
            <w:shd w:val="clear" w:color="auto" w:fill="auto"/>
            <w:vAlign w:val="center"/>
          </w:tcPr>
          <w:p w14:paraId="26DFC9B2">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份额代码</w:t>
            </w:r>
          </w:p>
        </w:tc>
        <w:tc>
          <w:tcPr>
            <w:tcW w:w="2835" w:type="dxa"/>
            <w:shd w:val="clear" w:color="auto" w:fill="auto"/>
            <w:vAlign w:val="center"/>
          </w:tcPr>
          <w:p w14:paraId="171DC4CF">
            <w:pPr>
              <w:adjustRightInd w:val="0"/>
              <w:snapToGrid w:val="0"/>
              <w:rPr>
                <w:rFonts w:ascii="宋体" w:hAnsi="宋体" w:eastAsia="宋体"/>
                <w:kern w:val="0"/>
                <w:sz w:val="21"/>
                <w:szCs w:val="21"/>
              </w:rPr>
            </w:pPr>
            <w:r>
              <w:rPr>
                <w:rFonts w:hint="eastAsia" w:ascii="宋体" w:hAnsi="宋体" w:eastAsia="宋体"/>
                <w:kern w:val="0"/>
                <w:sz w:val="21"/>
                <w:szCs w:val="21"/>
              </w:rPr>
              <w:t>028322</w:t>
            </w:r>
          </w:p>
        </w:tc>
      </w:tr>
      <w:tr w14:paraId="525EF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1C8426A7">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基金管理人</w:t>
            </w:r>
          </w:p>
        </w:tc>
        <w:tc>
          <w:tcPr>
            <w:tcW w:w="2887" w:type="dxa"/>
            <w:shd w:val="clear" w:color="auto" w:fill="auto"/>
            <w:vAlign w:val="center"/>
          </w:tcPr>
          <w:p w14:paraId="12503D40">
            <w:pPr>
              <w:adjustRightInd w:val="0"/>
              <w:snapToGrid w:val="0"/>
              <w:rPr>
                <w:rFonts w:ascii="宋体" w:hAnsi="宋体" w:eastAsia="宋体" w:cs="方正仿宋简体"/>
                <w:iCs/>
                <w:sz w:val="21"/>
                <w:szCs w:val="21"/>
              </w:rPr>
            </w:pPr>
            <w:r>
              <w:rPr>
                <w:rFonts w:hint="eastAsia" w:ascii="宋体" w:hAnsi="宋体" w:eastAsia="宋体"/>
                <w:kern w:val="0"/>
                <w:sz w:val="21"/>
                <w:szCs w:val="21"/>
              </w:rPr>
              <w:t>富国基金管理有限公司</w:t>
            </w:r>
          </w:p>
        </w:tc>
        <w:tc>
          <w:tcPr>
            <w:tcW w:w="1701" w:type="dxa"/>
            <w:shd w:val="clear" w:color="auto" w:fill="auto"/>
            <w:vAlign w:val="center"/>
          </w:tcPr>
          <w:p w14:paraId="18F3B256">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基金托管人</w:t>
            </w:r>
          </w:p>
        </w:tc>
        <w:tc>
          <w:tcPr>
            <w:tcW w:w="2835" w:type="dxa"/>
            <w:shd w:val="clear" w:color="auto" w:fill="auto"/>
            <w:vAlign w:val="center"/>
          </w:tcPr>
          <w:p w14:paraId="475D3BE8">
            <w:pPr>
              <w:adjustRightInd w:val="0"/>
              <w:snapToGrid w:val="0"/>
              <w:rPr>
                <w:rFonts w:ascii="宋体" w:hAnsi="宋体" w:eastAsia="宋体" w:cs="方正仿宋简体"/>
                <w:iCs/>
                <w:sz w:val="21"/>
                <w:szCs w:val="21"/>
              </w:rPr>
            </w:pPr>
            <w:r>
              <w:rPr>
                <w:rFonts w:hint="eastAsia" w:ascii="宋体" w:hAnsi="宋体" w:eastAsia="宋体"/>
                <w:kern w:val="0"/>
                <w:sz w:val="21"/>
                <w:szCs w:val="21"/>
              </w:rPr>
              <w:t>南京银行股份有限公司</w:t>
            </w:r>
          </w:p>
        </w:tc>
      </w:tr>
      <w:tr w14:paraId="2376D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4EA20D7E">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基金合同生效日</w:t>
            </w:r>
          </w:p>
        </w:tc>
        <w:tc>
          <w:tcPr>
            <w:tcW w:w="2887" w:type="dxa"/>
            <w:shd w:val="clear" w:color="auto" w:fill="auto"/>
            <w:vAlign w:val="center"/>
          </w:tcPr>
          <w:p w14:paraId="39C8F145">
            <w:pPr>
              <w:adjustRightInd w:val="0"/>
              <w:snapToGrid w:val="0"/>
              <w:rPr>
                <w:rFonts w:ascii="宋体" w:hAnsi="宋体" w:eastAsia="宋体" w:cs="方正仿宋简体"/>
                <w:iCs/>
                <w:sz w:val="21"/>
                <w:szCs w:val="21"/>
              </w:rPr>
            </w:pPr>
            <w:r>
              <w:rPr>
                <w:rFonts w:ascii="宋体" w:hAnsi="宋体" w:eastAsia="宋体"/>
                <w:kern w:val="0"/>
                <w:sz w:val="21"/>
                <w:szCs w:val="21"/>
              </w:rPr>
              <w:t>－</w:t>
            </w:r>
          </w:p>
        </w:tc>
        <w:tc>
          <w:tcPr>
            <w:tcW w:w="1701" w:type="dxa"/>
            <w:shd w:val="clear" w:color="auto" w:fill="auto"/>
            <w:vAlign w:val="center"/>
          </w:tcPr>
          <w:p w14:paraId="6B23FFE2">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基金类型</w:t>
            </w:r>
          </w:p>
        </w:tc>
        <w:tc>
          <w:tcPr>
            <w:tcW w:w="2835" w:type="dxa"/>
            <w:shd w:val="clear" w:color="auto" w:fill="auto"/>
            <w:vAlign w:val="center"/>
          </w:tcPr>
          <w:p w14:paraId="616A8BCD">
            <w:pPr>
              <w:adjustRightInd w:val="0"/>
              <w:snapToGrid w:val="0"/>
              <w:rPr>
                <w:rFonts w:ascii="宋体" w:hAnsi="宋体" w:eastAsia="宋体" w:cs="方正仿宋简体"/>
                <w:iCs/>
                <w:sz w:val="21"/>
                <w:szCs w:val="21"/>
              </w:rPr>
            </w:pPr>
            <w:r>
              <w:rPr>
                <w:rFonts w:hint="eastAsia" w:ascii="宋体" w:hAnsi="宋体" w:eastAsia="宋体"/>
                <w:kern w:val="0"/>
                <w:sz w:val="21"/>
                <w:szCs w:val="21"/>
              </w:rPr>
              <w:t>混合型</w:t>
            </w:r>
          </w:p>
        </w:tc>
      </w:tr>
      <w:tr w14:paraId="2AA09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7E4E632E">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运作方式</w:t>
            </w:r>
          </w:p>
        </w:tc>
        <w:tc>
          <w:tcPr>
            <w:tcW w:w="2887" w:type="dxa"/>
            <w:shd w:val="clear" w:color="auto" w:fill="auto"/>
            <w:vAlign w:val="center"/>
          </w:tcPr>
          <w:p w14:paraId="49224862">
            <w:pPr>
              <w:adjustRightInd w:val="0"/>
              <w:snapToGrid w:val="0"/>
              <w:rPr>
                <w:rFonts w:ascii="宋体" w:hAnsi="宋体" w:eastAsia="宋体" w:cs="方正仿宋简体"/>
                <w:iCs/>
                <w:sz w:val="21"/>
                <w:szCs w:val="21"/>
              </w:rPr>
            </w:pPr>
            <w:r>
              <w:rPr>
                <w:rFonts w:ascii="宋体" w:hAnsi="宋体" w:eastAsia="宋体"/>
                <w:kern w:val="0"/>
                <w:sz w:val="21"/>
                <w:szCs w:val="21"/>
              </w:rPr>
              <w:t>普通开放式</w:t>
            </w:r>
          </w:p>
        </w:tc>
        <w:tc>
          <w:tcPr>
            <w:tcW w:w="1701" w:type="dxa"/>
            <w:shd w:val="clear" w:color="auto" w:fill="auto"/>
            <w:vAlign w:val="center"/>
          </w:tcPr>
          <w:p w14:paraId="1CABB20B">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开放频率</w:t>
            </w:r>
          </w:p>
        </w:tc>
        <w:tc>
          <w:tcPr>
            <w:tcW w:w="2835" w:type="dxa"/>
            <w:shd w:val="clear" w:color="auto" w:fill="auto"/>
            <w:vAlign w:val="center"/>
          </w:tcPr>
          <w:p w14:paraId="7C5F787A">
            <w:pPr>
              <w:adjustRightInd w:val="0"/>
              <w:snapToGrid w:val="0"/>
              <w:rPr>
                <w:rFonts w:ascii="宋体" w:hAnsi="宋体" w:eastAsia="宋体" w:cs="方正仿宋简体"/>
                <w:iCs/>
                <w:sz w:val="21"/>
                <w:szCs w:val="21"/>
              </w:rPr>
            </w:pPr>
            <w:r>
              <w:rPr>
                <w:rFonts w:hint="eastAsia" w:ascii="宋体" w:hAnsi="宋体" w:eastAsia="宋体"/>
                <w:kern w:val="0"/>
                <w:sz w:val="21"/>
                <w:szCs w:val="21"/>
              </w:rPr>
              <w:t>每个开放日</w:t>
            </w:r>
          </w:p>
        </w:tc>
      </w:tr>
      <w:tr w14:paraId="74328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668A6390">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交易币种</w:t>
            </w:r>
          </w:p>
        </w:tc>
        <w:tc>
          <w:tcPr>
            <w:tcW w:w="2887" w:type="dxa"/>
            <w:shd w:val="clear" w:color="auto" w:fill="auto"/>
            <w:vAlign w:val="center"/>
          </w:tcPr>
          <w:p w14:paraId="25F2F923">
            <w:pPr>
              <w:adjustRightInd w:val="0"/>
              <w:snapToGrid w:val="0"/>
              <w:rPr>
                <w:rFonts w:ascii="宋体" w:hAnsi="宋体" w:eastAsia="宋体" w:cs="方正仿宋简体"/>
                <w:iCs/>
                <w:sz w:val="21"/>
                <w:szCs w:val="21"/>
              </w:rPr>
            </w:pPr>
            <w:r>
              <w:rPr>
                <w:rFonts w:hint="eastAsia" w:ascii="宋体" w:hAnsi="宋体" w:eastAsia="宋体"/>
                <w:kern w:val="0"/>
                <w:sz w:val="21"/>
                <w:szCs w:val="21"/>
              </w:rPr>
              <w:t>人民币</w:t>
            </w:r>
          </w:p>
        </w:tc>
        <w:tc>
          <w:tcPr>
            <w:tcW w:w="1701" w:type="dxa"/>
            <w:shd w:val="clear" w:color="auto" w:fill="auto"/>
            <w:vAlign w:val="center"/>
          </w:tcPr>
          <w:p w14:paraId="51E0B53E">
            <w:pPr>
              <w:adjustRightInd w:val="0"/>
              <w:snapToGrid w:val="0"/>
              <w:rPr>
                <w:rFonts w:ascii="宋体" w:hAnsi="宋体" w:eastAsia="宋体" w:cs="方正仿宋简体"/>
                <w:iCs/>
                <w:sz w:val="21"/>
                <w:szCs w:val="21"/>
              </w:rPr>
            </w:pPr>
          </w:p>
        </w:tc>
        <w:tc>
          <w:tcPr>
            <w:tcW w:w="2835" w:type="dxa"/>
            <w:shd w:val="clear" w:color="auto" w:fill="auto"/>
            <w:vAlign w:val="center"/>
          </w:tcPr>
          <w:p w14:paraId="6384B402">
            <w:pPr>
              <w:adjustRightInd w:val="0"/>
              <w:snapToGrid w:val="0"/>
              <w:rPr>
                <w:rFonts w:ascii="宋体" w:hAnsi="宋体" w:eastAsia="宋体" w:cs="方正仿宋简体"/>
                <w:iCs/>
                <w:sz w:val="21"/>
                <w:szCs w:val="21"/>
              </w:rPr>
            </w:pPr>
          </w:p>
        </w:tc>
      </w:tr>
      <w:tr w14:paraId="755E2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vMerge w:val="restart"/>
            <w:shd w:val="clear" w:color="auto" w:fill="auto"/>
            <w:vAlign w:val="center"/>
          </w:tcPr>
          <w:p w14:paraId="59FCF6F6">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基金经理</w:t>
            </w:r>
          </w:p>
        </w:tc>
        <w:tc>
          <w:tcPr>
            <w:tcW w:w="2887" w:type="dxa"/>
            <w:vMerge w:val="restart"/>
            <w:shd w:val="clear" w:color="auto" w:fill="auto"/>
            <w:vAlign w:val="center"/>
          </w:tcPr>
          <w:p w14:paraId="7B989403">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陈斯扬</w:t>
            </w:r>
          </w:p>
        </w:tc>
        <w:tc>
          <w:tcPr>
            <w:tcW w:w="1701" w:type="dxa"/>
            <w:shd w:val="clear" w:color="auto" w:fill="auto"/>
            <w:vAlign w:val="center"/>
          </w:tcPr>
          <w:p w14:paraId="57B81B92">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任职日期</w:t>
            </w:r>
          </w:p>
        </w:tc>
        <w:tc>
          <w:tcPr>
            <w:tcW w:w="2835" w:type="dxa"/>
            <w:shd w:val="clear" w:color="auto" w:fill="auto"/>
            <w:vAlign w:val="center"/>
          </w:tcPr>
          <w:p w14:paraId="2321B538">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w:t>
            </w:r>
          </w:p>
        </w:tc>
      </w:tr>
      <w:tr w14:paraId="26C0B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vMerge w:val="continue"/>
            <w:shd w:val="clear" w:color="auto" w:fill="auto"/>
            <w:vAlign w:val="center"/>
          </w:tcPr>
          <w:p w14:paraId="293606AD">
            <w:pPr>
              <w:adjustRightInd w:val="0"/>
              <w:snapToGrid w:val="0"/>
              <w:rPr>
                <w:rFonts w:ascii="宋体" w:hAnsi="宋体" w:eastAsia="宋体" w:cs="方正仿宋简体"/>
                <w:iCs/>
                <w:sz w:val="21"/>
                <w:szCs w:val="21"/>
              </w:rPr>
            </w:pPr>
          </w:p>
        </w:tc>
        <w:tc>
          <w:tcPr>
            <w:tcW w:w="2887" w:type="dxa"/>
            <w:vMerge w:val="continue"/>
            <w:shd w:val="clear" w:color="auto" w:fill="auto"/>
            <w:vAlign w:val="center"/>
          </w:tcPr>
          <w:p w14:paraId="195DB8B2">
            <w:pPr>
              <w:adjustRightInd w:val="0"/>
              <w:snapToGrid w:val="0"/>
              <w:rPr>
                <w:rFonts w:ascii="宋体" w:hAnsi="宋体" w:eastAsia="宋体" w:cs="方正仿宋简体"/>
                <w:iCs/>
                <w:sz w:val="21"/>
                <w:szCs w:val="21"/>
              </w:rPr>
            </w:pPr>
          </w:p>
        </w:tc>
        <w:tc>
          <w:tcPr>
            <w:tcW w:w="1701" w:type="dxa"/>
            <w:shd w:val="clear" w:color="auto" w:fill="auto"/>
            <w:vAlign w:val="center"/>
          </w:tcPr>
          <w:p w14:paraId="0608F91E">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证券从业日期</w:t>
            </w:r>
          </w:p>
        </w:tc>
        <w:tc>
          <w:tcPr>
            <w:tcW w:w="2835" w:type="dxa"/>
            <w:shd w:val="clear" w:color="auto" w:fill="auto"/>
            <w:vAlign w:val="center"/>
          </w:tcPr>
          <w:p w14:paraId="735DB49E">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2013年02月13日</w:t>
            </w:r>
          </w:p>
        </w:tc>
      </w:tr>
    </w:tbl>
    <w:p w14:paraId="38A5C1AE">
      <w:pPr>
        <w:pStyle w:val="2"/>
      </w:pPr>
      <w:r>
        <w:rPr>
          <w:rFonts w:hint="eastAsia"/>
        </w:rPr>
        <w:t>基金投资与净值表现</w:t>
      </w:r>
    </w:p>
    <w:p w14:paraId="6199F362">
      <w:pPr>
        <w:pStyle w:val="3"/>
      </w:pPr>
      <w:r>
        <w:rPr>
          <w:rFonts w:hint="eastAsia"/>
        </w:rPr>
        <w:t>投资目标与投资策略</w:t>
      </w: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7423"/>
      </w:tblGrid>
      <w:tr w14:paraId="363F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1936B527">
            <w:pPr>
              <w:pStyle w:val="32"/>
            </w:pPr>
            <w:r>
              <w:rPr>
                <w:rFonts w:hint="eastAsia"/>
              </w:rPr>
              <w:t>投资目标</w:t>
            </w:r>
          </w:p>
        </w:tc>
        <w:tc>
          <w:tcPr>
            <w:tcW w:w="7423" w:type="dxa"/>
            <w:shd w:val="clear" w:color="auto" w:fill="auto"/>
            <w:vAlign w:val="center"/>
          </w:tcPr>
          <w:p w14:paraId="7F9991AC">
            <w:pPr>
              <w:pStyle w:val="32"/>
            </w:pPr>
            <w:r>
              <w:rPr>
                <w:rFonts w:hint="eastAsia"/>
              </w:rPr>
              <w:t>本基金在严格控制波动率的前提下，力争为基金份额持有人提供长期稳定和超越业绩比较基准的投资回报。</w:t>
            </w:r>
          </w:p>
        </w:tc>
      </w:tr>
      <w:tr w14:paraId="4E06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13EA1F5D">
            <w:pPr>
              <w:pStyle w:val="32"/>
            </w:pPr>
            <w:r>
              <w:rPr>
                <w:rFonts w:hint="eastAsia"/>
              </w:rPr>
              <w:t>投资范围</w:t>
            </w:r>
          </w:p>
        </w:tc>
        <w:tc>
          <w:tcPr>
            <w:tcW w:w="7423" w:type="dxa"/>
            <w:shd w:val="clear" w:color="auto" w:fill="auto"/>
            <w:vAlign w:val="center"/>
          </w:tcPr>
          <w:p w14:paraId="0EA59702">
            <w:pPr>
              <w:pStyle w:val="32"/>
            </w:pPr>
            <w:r>
              <w:rPr>
                <w:rFonts w:hint="eastAsia"/>
              </w:rPr>
              <w:t>本基金的投资范围为具有良好流动性的金融工具，包括国内依法发行上市的股票（包括主板、科创板、创业板以及其他经中国证监会允许发行的股票）、存托凭证、港股通标的股票、债券（包括国债、地方政府债券、央行票据、金融债、企业债、公司债、次级债、可转换债券、分离交易可转换债券、可交换债券、短期融资券（含超短期融资券）、政府支持债券、政府支持机构债券、中期票据等）、资产支持证券、债券回购、银行存款（包括定期存款、协议存款、通知存款等）、同业存单、现金等货币市场工具、信用衍生品、国债期货、股指期货、股票期权、经中国证监会依法核准或注册的公开募集证券投资基金（包括全市场的股票型ETF、公开募集不动产投资信托基金（以下简称“公募REITs”），以及基金管理人旗下的股票型基金、计入权益类资产的混合型基金，不含货币市场基金、QDII基金、香港互认基金、基金中基金和可投资其他基金的基金）等，以及法律法规或中国证监会允许投资的其他金融工具（但须符合中国证监会的相关规定）。如法律法规或监管机构以后允许基金投资其他品种，基金管理人在履行适当程序后，可以将其纳入投资范围。</w:t>
            </w:r>
          </w:p>
          <w:p w14:paraId="47E98FED">
            <w:pPr>
              <w:pStyle w:val="32"/>
            </w:pPr>
            <w:r>
              <w:rPr>
                <w:rFonts w:hint="eastAsia"/>
              </w:rPr>
              <w:t>基金的投资组合比例为：本基金对股票、存托凭证、股票型基金、混合型基金等权益类资产及可转换债券、分离交易可转债、可交换债券资产的合计投资比例为基金资产的10%-30%；其中，投资于境内股票和A股ETF的比例不低于基金资产的10%，投资于港股通标的股票的比例不超过股票资产的50%；本基金持有其他基金，其市值不超过基金资产净值的10%。每个交易日日终在扣除股指期货合约、国债期货合约和股票期权合约需缴纳的交易保证金后，现金或者到期日在一年以内的政府债券不低于基金资产净值的5%，其中现金不包括结算备付金、存出保证金、应收申购款等。其中，计入上述权益类资产的混合型基金需符合下列两个条件之一：1、基金合同约定股票及存托凭证资产投资比例不低于基金资产60%的混合型基金；2、根据基金披露的定期报告，最近四个季度中任一季度股票及存托凭证资产占基金资产比例均不低于60%的混合型基金。</w:t>
            </w:r>
            <w:bookmarkStart w:id="0" w:name="_GoBack"/>
            <w:bookmarkEnd w:id="0"/>
            <w:r>
              <w:rPr>
                <w:rFonts w:hint="eastAsia"/>
              </w:rPr>
              <w:t>如果法律法规或监管机构变更投资品种的投资比例限制，基金管理人在履行适当程序后，可以调整上述投资品种的投资比例。</w:t>
            </w:r>
          </w:p>
        </w:tc>
      </w:tr>
      <w:tr w14:paraId="29D0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75E4DE16">
            <w:pPr>
              <w:pStyle w:val="32"/>
            </w:pPr>
            <w:r>
              <w:rPr>
                <w:rFonts w:hint="eastAsia"/>
              </w:rPr>
              <w:t>主要投资策略</w:t>
            </w:r>
          </w:p>
        </w:tc>
        <w:tc>
          <w:tcPr>
            <w:tcW w:w="7423" w:type="dxa"/>
            <w:shd w:val="clear" w:color="auto" w:fill="auto"/>
            <w:vAlign w:val="center"/>
          </w:tcPr>
          <w:p w14:paraId="08A34E97">
            <w:pPr>
              <w:pStyle w:val="32"/>
            </w:pPr>
            <w:r>
              <w:rPr>
                <w:rFonts w:hint="eastAsia"/>
              </w:rPr>
              <w:t>本基金采取稳健灵活的投资策略，力求在有效控制风险的基础上，获得基金资产的稳定增值；同时根据对权益类市场的趋势研判适度参与股票资产投资，力求提高基金总体收益率。在资产配置方面，本基金采取自上而下的方法对基金资产进行动态的整体资产配置和类属资产配置。在债券等固定收益类资产投资策略方面，本基金主要基于对国家财政政策、货币政策的深入分析以及对宏观经济的动态跟踪，采用久期控制下的主动性投资策略。在股票投资方面，本基金主要采用量化模型选股策略构建投资组合。在基金投资方面，本基金投资于全市场的股票型ETF、公募REITs，以及基金管理人旗下的股票型基金、计入权益类资产的混合型基金。本基金的动态收益增强策略、存托凭证、国债期货、股指期货、股票期权、信用衍生品投资策略详见法律文件。</w:t>
            </w:r>
          </w:p>
        </w:tc>
      </w:tr>
      <w:tr w14:paraId="5FBA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1AAAD406">
            <w:pPr>
              <w:pStyle w:val="32"/>
            </w:pPr>
            <w:r>
              <w:rPr>
                <w:rFonts w:hint="eastAsia"/>
              </w:rPr>
              <w:t>业绩比较基准</w:t>
            </w:r>
          </w:p>
        </w:tc>
        <w:tc>
          <w:tcPr>
            <w:tcW w:w="7423" w:type="dxa"/>
            <w:shd w:val="clear" w:color="auto" w:fill="auto"/>
            <w:vAlign w:val="center"/>
          </w:tcPr>
          <w:p w14:paraId="497A8846">
            <w:pPr>
              <w:pStyle w:val="32"/>
            </w:pPr>
            <w:r>
              <w:rPr>
                <w:rFonts w:hint="eastAsia"/>
              </w:rPr>
              <w:t>中债-综合全价（总值）指数收益率*80%+中证全指指数收益率*12%+恒生指数收益率*3%+活期存款基准利率*5%</w:t>
            </w:r>
          </w:p>
        </w:tc>
      </w:tr>
      <w:tr w14:paraId="466B1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57" w:type="dxa"/>
            <w:shd w:val="clear" w:color="auto" w:fill="auto"/>
            <w:vAlign w:val="center"/>
          </w:tcPr>
          <w:p w14:paraId="12635E4E">
            <w:pPr>
              <w:pStyle w:val="32"/>
            </w:pPr>
            <w:r>
              <w:rPr>
                <w:rFonts w:hint="eastAsia"/>
              </w:rPr>
              <w:t>风险收益特征</w:t>
            </w:r>
          </w:p>
        </w:tc>
        <w:tc>
          <w:tcPr>
            <w:tcW w:w="7423" w:type="dxa"/>
            <w:shd w:val="clear" w:color="auto" w:fill="auto"/>
            <w:vAlign w:val="center"/>
          </w:tcPr>
          <w:p w14:paraId="57B47B93">
            <w:pPr>
              <w:pStyle w:val="32"/>
            </w:pPr>
            <w:r>
              <w:rPr>
                <w:rFonts w:hint="eastAsia"/>
              </w:rPr>
              <w:t>本基金为混合型基金，其预期收益及预期风险水平低于股票型基金，高于债券型基金和货币市场基金。本基金投资港股通标的股票的，需承担港股通机制下因投资环境、投资标的、市场制度以及交易规则等差异带来的特有风险。</w:t>
            </w:r>
          </w:p>
        </w:tc>
      </w:tr>
    </w:tbl>
    <w:p w14:paraId="35D57AC1">
      <w:pPr>
        <w:adjustRightInd w:val="0"/>
        <w:snapToGrid w:val="0"/>
        <w:rPr>
          <w:rFonts w:ascii="宋体" w:hAnsi="宋体" w:eastAsia="宋体" w:cs="方正仿宋简体"/>
          <w:iCs/>
          <w:sz w:val="21"/>
          <w:szCs w:val="21"/>
        </w:rPr>
      </w:pPr>
      <w:r>
        <w:rPr>
          <w:rFonts w:hint="eastAsia" w:ascii="宋体" w:hAnsi="宋体" w:eastAsia="宋体" w:cs="方正仿宋简体"/>
          <w:iCs/>
          <w:sz w:val="21"/>
          <w:szCs w:val="21"/>
        </w:rPr>
        <w:t>注：详情请阅读《招募说明书》中“基金的投资”章节的相关内容。</w:t>
      </w:r>
    </w:p>
    <w:p w14:paraId="0128A56A">
      <w:pPr>
        <w:pStyle w:val="2"/>
      </w:pPr>
      <w:r>
        <w:rPr>
          <w:rFonts w:hint="eastAsia"/>
        </w:rPr>
        <w:t>投资本基金涉及的费用</w:t>
      </w:r>
    </w:p>
    <w:p w14:paraId="68271879">
      <w:pPr>
        <w:pStyle w:val="3"/>
      </w:pPr>
      <w:r>
        <w:rPr>
          <w:rFonts w:hint="eastAsia"/>
        </w:rPr>
        <w:t>基金销售相关费用</w:t>
      </w: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5"/>
        <w:gridCol w:w="3046"/>
        <w:gridCol w:w="4129"/>
      </w:tblGrid>
      <w:tr w14:paraId="2099B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shd w:val="clear" w:color="auto" w:fill="auto"/>
            <w:vAlign w:val="center"/>
          </w:tcPr>
          <w:p w14:paraId="0EC23138">
            <w:pPr>
              <w:adjustRightInd w:val="0"/>
              <w:snapToGrid w:val="0"/>
              <w:jc w:val="center"/>
              <w:rPr>
                <w:rFonts w:ascii="宋体" w:hAnsi="宋体" w:eastAsia="宋体"/>
                <w:sz w:val="21"/>
              </w:rPr>
            </w:pPr>
            <w:r>
              <w:rPr>
                <w:rFonts w:ascii="宋体" w:hAnsi="宋体" w:eastAsia="宋体"/>
                <w:sz w:val="21"/>
              </w:rPr>
              <w:t>费用类型</w:t>
            </w:r>
          </w:p>
        </w:tc>
        <w:tc>
          <w:tcPr>
            <w:tcW w:w="1659" w:type="pct"/>
            <w:shd w:val="clear" w:color="auto" w:fill="auto"/>
            <w:vAlign w:val="center"/>
          </w:tcPr>
          <w:p w14:paraId="3E1335E3">
            <w:pPr>
              <w:adjustRightInd w:val="0"/>
              <w:snapToGrid w:val="0"/>
              <w:jc w:val="center"/>
              <w:rPr>
                <w:rFonts w:ascii="宋体" w:hAnsi="宋体" w:eastAsia="宋体"/>
                <w:sz w:val="21"/>
              </w:rPr>
            </w:pPr>
            <w:r>
              <w:rPr>
                <w:rFonts w:ascii="宋体" w:hAnsi="宋体" w:eastAsia="宋体"/>
                <w:sz w:val="21"/>
              </w:rPr>
              <w:t>金额（M）/持有期限（N）</w:t>
            </w:r>
          </w:p>
        </w:tc>
        <w:tc>
          <w:tcPr>
            <w:tcW w:w="1125" w:type="pct"/>
            <w:shd w:val="clear" w:color="auto" w:fill="auto"/>
            <w:vAlign w:val="center"/>
          </w:tcPr>
          <w:p w14:paraId="4DA87159">
            <w:pPr>
              <w:adjustRightInd w:val="0"/>
              <w:snapToGrid w:val="0"/>
              <w:jc w:val="center"/>
              <w:rPr>
                <w:rFonts w:ascii="宋体" w:hAnsi="宋体" w:eastAsia="宋体"/>
                <w:sz w:val="21"/>
              </w:rPr>
            </w:pPr>
            <w:r>
              <w:rPr>
                <w:rFonts w:ascii="宋体" w:hAnsi="宋体" w:eastAsia="宋体"/>
                <w:sz w:val="21"/>
              </w:rPr>
              <w:t>费率</w:t>
            </w:r>
          </w:p>
        </w:tc>
      </w:tr>
      <w:tr w14:paraId="30BBB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restart"/>
            <w:shd w:val="clear" w:color="auto" w:fill="auto"/>
            <w:vAlign w:val="center"/>
          </w:tcPr>
          <w:p w14:paraId="7E706C80">
            <w:pPr>
              <w:adjustRightInd w:val="0"/>
              <w:snapToGrid w:val="0"/>
              <w:jc w:val="center"/>
              <w:rPr>
                <w:rFonts w:ascii="宋体" w:hAnsi="宋体" w:eastAsia="宋体" w:cs="方正仿宋简体"/>
                <w:iCs/>
                <w:sz w:val="21"/>
                <w:szCs w:val="21"/>
              </w:rPr>
            </w:pPr>
            <w:r>
              <w:rPr>
                <w:rFonts w:ascii="宋体" w:hAnsi="宋体" w:eastAsia="宋体" w:cs="方正仿宋简体"/>
                <w:iCs/>
                <w:sz w:val="21"/>
                <w:szCs w:val="21"/>
              </w:rPr>
              <w:t>赎回费</w:t>
            </w:r>
          </w:p>
        </w:tc>
        <w:tc>
          <w:tcPr>
            <w:tcW w:w="1659" w:type="pct"/>
            <w:shd w:val="clear" w:color="auto" w:fill="auto"/>
            <w:vAlign w:val="center"/>
          </w:tcPr>
          <w:p w14:paraId="3BBA240E">
            <w:pPr>
              <w:adjustRightInd w:val="0"/>
              <w:snapToGrid w:val="0"/>
              <w:jc w:val="center"/>
              <w:rPr>
                <w:rFonts w:ascii="宋体" w:hAnsi="宋体" w:eastAsia="宋体" w:cs="方正仿宋简体"/>
                <w:iCs/>
                <w:sz w:val="21"/>
                <w:szCs w:val="21"/>
              </w:rPr>
            </w:pPr>
            <w:r>
              <w:rPr>
                <w:rFonts w:ascii="宋体" w:hAnsi="宋体" w:eastAsia="宋体" w:cs="方正仿宋简体"/>
                <w:iCs/>
                <w:sz w:val="21"/>
                <w:szCs w:val="21"/>
              </w:rPr>
              <w:t>N＜7天</w:t>
            </w:r>
          </w:p>
        </w:tc>
        <w:tc>
          <w:tcPr>
            <w:tcW w:w="2249" w:type="pct"/>
            <w:shd w:val="clear" w:color="auto" w:fill="auto"/>
            <w:vAlign w:val="center"/>
          </w:tcPr>
          <w:p w14:paraId="50773183">
            <w:pPr>
              <w:adjustRightInd w:val="0"/>
              <w:snapToGrid w:val="0"/>
              <w:jc w:val="center"/>
              <w:rPr>
                <w:rFonts w:ascii="宋体" w:hAnsi="宋体" w:eastAsia="宋体" w:cs="方正仿宋简体"/>
                <w:iCs/>
                <w:sz w:val="21"/>
                <w:szCs w:val="21"/>
              </w:rPr>
            </w:pPr>
            <w:r>
              <w:rPr>
                <w:rFonts w:ascii="宋体" w:hAnsi="宋体" w:eastAsia="宋体" w:cs="方正仿宋简体"/>
                <w:iCs/>
                <w:sz w:val="21"/>
                <w:szCs w:val="21"/>
              </w:rPr>
              <w:t>1.5%</w:t>
            </w:r>
          </w:p>
        </w:tc>
      </w:tr>
      <w:tr w14:paraId="2D8C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0843F02F">
            <w:pPr>
              <w:adjustRightInd w:val="0"/>
              <w:snapToGrid w:val="0"/>
              <w:jc w:val="center"/>
              <w:rPr>
                <w:rFonts w:ascii="宋体" w:hAnsi="宋体" w:eastAsia="宋体" w:cs="方正仿宋简体"/>
                <w:iCs/>
                <w:sz w:val="21"/>
                <w:szCs w:val="21"/>
              </w:rPr>
            </w:pPr>
          </w:p>
        </w:tc>
        <w:tc>
          <w:tcPr>
            <w:tcW w:w="1659" w:type="pct"/>
            <w:shd w:val="clear" w:color="auto" w:fill="auto"/>
            <w:vAlign w:val="center"/>
          </w:tcPr>
          <w:p w14:paraId="4FADC6AC">
            <w:pPr>
              <w:adjustRightInd w:val="0"/>
              <w:snapToGrid w:val="0"/>
              <w:jc w:val="center"/>
              <w:rPr>
                <w:rFonts w:ascii="宋体" w:hAnsi="宋体" w:eastAsia="宋体" w:cs="方正仿宋简体"/>
                <w:iCs/>
                <w:sz w:val="21"/>
                <w:szCs w:val="21"/>
              </w:rPr>
            </w:pPr>
            <w:r>
              <w:rPr>
                <w:rFonts w:ascii="宋体" w:hAnsi="宋体" w:eastAsia="宋体" w:cs="方正仿宋简体"/>
                <w:iCs/>
                <w:sz w:val="21"/>
                <w:szCs w:val="21"/>
              </w:rPr>
              <w:t>7≤N＜30天</w:t>
            </w:r>
          </w:p>
        </w:tc>
        <w:tc>
          <w:tcPr>
            <w:tcW w:w="2249" w:type="pct"/>
            <w:shd w:val="clear" w:color="auto" w:fill="auto"/>
            <w:vAlign w:val="center"/>
          </w:tcPr>
          <w:p w14:paraId="70C777C3">
            <w:pPr>
              <w:adjustRightInd w:val="0"/>
              <w:snapToGrid w:val="0"/>
              <w:jc w:val="center"/>
              <w:rPr>
                <w:rFonts w:ascii="宋体" w:hAnsi="宋体" w:eastAsia="宋体" w:cs="方正仿宋简体"/>
                <w:iCs/>
                <w:sz w:val="21"/>
                <w:szCs w:val="21"/>
              </w:rPr>
            </w:pPr>
            <w:r>
              <w:rPr>
                <w:rFonts w:ascii="宋体" w:hAnsi="宋体" w:eastAsia="宋体" w:cs="方正仿宋简体"/>
                <w:iCs/>
                <w:sz w:val="21"/>
                <w:szCs w:val="21"/>
              </w:rPr>
              <w:t>1.0%</w:t>
            </w:r>
          </w:p>
        </w:tc>
      </w:tr>
      <w:tr w14:paraId="4D3A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0A6553B8">
            <w:pPr>
              <w:adjustRightInd w:val="0"/>
              <w:snapToGrid w:val="0"/>
              <w:jc w:val="center"/>
              <w:rPr>
                <w:rFonts w:ascii="宋体" w:hAnsi="宋体" w:eastAsia="宋体" w:cs="方正仿宋简体"/>
                <w:iCs/>
                <w:sz w:val="21"/>
                <w:szCs w:val="21"/>
              </w:rPr>
            </w:pPr>
          </w:p>
        </w:tc>
        <w:tc>
          <w:tcPr>
            <w:tcW w:w="1659" w:type="pct"/>
            <w:shd w:val="clear" w:color="auto" w:fill="auto"/>
            <w:vAlign w:val="center"/>
          </w:tcPr>
          <w:p w14:paraId="533BF75C">
            <w:pPr>
              <w:adjustRightInd w:val="0"/>
              <w:snapToGrid w:val="0"/>
              <w:jc w:val="center"/>
              <w:rPr>
                <w:rFonts w:ascii="宋体" w:hAnsi="宋体" w:eastAsia="宋体" w:cs="方正仿宋简体"/>
                <w:iCs/>
                <w:sz w:val="21"/>
                <w:szCs w:val="21"/>
              </w:rPr>
            </w:pPr>
            <w:r>
              <w:rPr>
                <w:rFonts w:ascii="宋体" w:hAnsi="宋体" w:eastAsia="宋体" w:cs="方正仿宋简体"/>
                <w:iCs/>
                <w:sz w:val="21"/>
                <w:szCs w:val="21"/>
              </w:rPr>
              <w:t>30≤N＜180天</w:t>
            </w:r>
          </w:p>
        </w:tc>
        <w:tc>
          <w:tcPr>
            <w:tcW w:w="2249" w:type="pct"/>
            <w:shd w:val="clear" w:color="auto" w:fill="auto"/>
            <w:vAlign w:val="center"/>
          </w:tcPr>
          <w:p w14:paraId="3EC16BE0">
            <w:pPr>
              <w:adjustRightInd w:val="0"/>
              <w:snapToGrid w:val="0"/>
              <w:jc w:val="center"/>
              <w:rPr>
                <w:rFonts w:ascii="宋体" w:hAnsi="宋体" w:eastAsia="宋体" w:cs="方正仿宋简体"/>
                <w:iCs/>
                <w:sz w:val="21"/>
                <w:szCs w:val="21"/>
              </w:rPr>
            </w:pPr>
            <w:r>
              <w:rPr>
                <w:rFonts w:ascii="宋体" w:hAnsi="宋体" w:eastAsia="宋体" w:cs="方正仿宋简体"/>
                <w:iCs/>
                <w:sz w:val="21"/>
                <w:szCs w:val="21"/>
              </w:rPr>
              <w:t>0.5%</w:t>
            </w:r>
          </w:p>
        </w:tc>
      </w:tr>
      <w:tr w14:paraId="0A56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2" w:type="pct"/>
            <w:vMerge w:val="continue"/>
            <w:shd w:val="clear" w:color="auto" w:fill="auto"/>
            <w:vAlign w:val="center"/>
          </w:tcPr>
          <w:p w14:paraId="4EC3C59D">
            <w:pPr>
              <w:adjustRightInd w:val="0"/>
              <w:snapToGrid w:val="0"/>
              <w:jc w:val="center"/>
              <w:rPr>
                <w:rFonts w:ascii="宋体" w:hAnsi="宋体" w:eastAsia="宋体" w:cs="方正仿宋简体"/>
                <w:iCs/>
                <w:sz w:val="21"/>
                <w:szCs w:val="21"/>
              </w:rPr>
            </w:pPr>
          </w:p>
        </w:tc>
        <w:tc>
          <w:tcPr>
            <w:tcW w:w="1659" w:type="pct"/>
            <w:shd w:val="clear" w:color="auto" w:fill="auto"/>
            <w:vAlign w:val="center"/>
          </w:tcPr>
          <w:p w14:paraId="6DB75C19">
            <w:pPr>
              <w:adjustRightInd w:val="0"/>
              <w:snapToGrid w:val="0"/>
              <w:jc w:val="center"/>
              <w:rPr>
                <w:rFonts w:ascii="宋体" w:hAnsi="宋体" w:eastAsia="宋体" w:cs="方正仿宋简体"/>
                <w:iCs/>
                <w:sz w:val="21"/>
                <w:szCs w:val="21"/>
              </w:rPr>
            </w:pPr>
            <w:r>
              <w:rPr>
                <w:rFonts w:ascii="宋体" w:hAnsi="宋体" w:eastAsia="宋体" w:cs="方正仿宋简体"/>
                <w:iCs/>
                <w:sz w:val="21"/>
                <w:szCs w:val="21"/>
              </w:rPr>
              <w:t>N≥180天</w:t>
            </w:r>
          </w:p>
        </w:tc>
        <w:tc>
          <w:tcPr>
            <w:tcW w:w="2249" w:type="pct"/>
            <w:shd w:val="clear" w:color="auto" w:fill="auto"/>
            <w:vAlign w:val="center"/>
          </w:tcPr>
          <w:p w14:paraId="0D68861D">
            <w:pPr>
              <w:adjustRightInd w:val="0"/>
              <w:snapToGrid w:val="0"/>
              <w:jc w:val="center"/>
              <w:rPr>
                <w:rFonts w:ascii="宋体" w:hAnsi="宋体" w:eastAsia="宋体" w:cs="方正仿宋简体"/>
                <w:iCs/>
                <w:sz w:val="21"/>
                <w:szCs w:val="21"/>
              </w:rPr>
            </w:pPr>
            <w:r>
              <w:rPr>
                <w:rFonts w:ascii="宋体" w:hAnsi="宋体" w:eastAsia="宋体" w:cs="方正仿宋简体"/>
                <w:iCs/>
                <w:sz w:val="21"/>
                <w:szCs w:val="21"/>
              </w:rPr>
              <w:t>0</w:t>
            </w:r>
          </w:p>
        </w:tc>
      </w:tr>
    </w:tbl>
    <w:p w14:paraId="1563C2DA">
      <w:pPr>
        <w:adjustRightInd w:val="0"/>
        <w:snapToGrid w:val="0"/>
        <w:spacing w:before="87" w:beforeLines="20" w:line="288" w:lineRule="auto"/>
        <w:rPr>
          <w:rFonts w:ascii="宋体" w:hAnsi="宋体" w:eastAsia="宋体" w:cs="方正仿宋简体"/>
          <w:iCs/>
          <w:sz w:val="21"/>
          <w:szCs w:val="21"/>
        </w:rPr>
      </w:pPr>
      <w:r>
        <w:rPr>
          <w:rFonts w:ascii="宋体" w:hAnsi="宋体" w:eastAsia="宋体" w:cs="方正仿宋简体"/>
          <w:iCs/>
          <w:sz w:val="21"/>
          <w:szCs w:val="21"/>
        </w:rPr>
        <w:t>注：本基金C类基金份额不收取认购、申购费用，赎回费用在投资者赎回基金过程中收取，赎回费全额计入基金财产。</w:t>
      </w:r>
    </w:p>
    <w:p w14:paraId="210EAFF4">
      <w:pPr>
        <w:pStyle w:val="3"/>
      </w:pPr>
      <w:r>
        <w:rPr>
          <w:rFonts w:hint="eastAsia"/>
        </w:rPr>
        <w:t>基金运作相关费用</w:t>
      </w: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4916"/>
        <w:gridCol w:w="2191"/>
      </w:tblGrid>
      <w:tr w14:paraId="6223C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vAlign w:val="center"/>
          </w:tcPr>
          <w:p w14:paraId="1EA58D69">
            <w:pPr>
              <w:adjustRightInd w:val="0"/>
              <w:snapToGrid w:val="0"/>
              <w:spacing w:before="43" w:beforeLines="10" w:line="264" w:lineRule="auto"/>
              <w:jc w:val="center"/>
              <w:rPr>
                <w:rFonts w:ascii="宋体" w:hAnsi="宋体" w:eastAsia="宋体"/>
                <w:sz w:val="21"/>
              </w:rPr>
            </w:pPr>
            <w:r>
              <w:rPr>
                <w:rFonts w:ascii="宋体" w:hAnsi="宋体" w:eastAsia="宋体"/>
                <w:sz w:val="21"/>
              </w:rPr>
              <w:t>费用类别</w:t>
            </w:r>
          </w:p>
        </w:tc>
        <w:tc>
          <w:tcPr>
            <w:tcW w:w="4707" w:type="dxa"/>
            <w:shd w:val="clear" w:color="auto" w:fill="auto"/>
            <w:vAlign w:val="center"/>
          </w:tcPr>
          <w:p w14:paraId="01BF9B1B">
            <w:pPr>
              <w:adjustRightInd w:val="0"/>
              <w:snapToGrid w:val="0"/>
              <w:spacing w:before="43" w:beforeLines="10" w:line="264" w:lineRule="auto"/>
              <w:jc w:val="center"/>
              <w:rPr>
                <w:rFonts w:ascii="宋体" w:hAnsi="宋体" w:eastAsia="宋体"/>
                <w:sz w:val="21"/>
              </w:rPr>
            </w:pPr>
            <w:r>
              <w:rPr>
                <w:rFonts w:ascii="宋体" w:hAnsi="宋体" w:eastAsia="宋体"/>
                <w:sz w:val="21"/>
              </w:rPr>
              <w:t>年费率/收费方式</w:t>
            </w:r>
          </w:p>
        </w:tc>
        <w:tc>
          <w:tcPr>
            <w:tcW w:w="2098" w:type="dxa"/>
            <w:shd w:val="clear" w:color="auto" w:fill="auto"/>
            <w:vAlign w:val="center"/>
          </w:tcPr>
          <w:p w14:paraId="3DF377B2">
            <w:pPr>
              <w:adjustRightInd w:val="0"/>
              <w:snapToGrid w:val="0"/>
              <w:spacing w:before="43" w:beforeLines="10" w:line="264" w:lineRule="auto"/>
              <w:jc w:val="center"/>
              <w:rPr>
                <w:rFonts w:ascii="宋体" w:hAnsi="宋体" w:eastAsia="宋体"/>
                <w:sz w:val="21"/>
              </w:rPr>
            </w:pPr>
            <w:r>
              <w:rPr>
                <w:rFonts w:hint="eastAsia" w:ascii="宋体" w:hAnsi="宋体" w:eastAsia="宋体"/>
                <w:sz w:val="21"/>
              </w:rPr>
              <w:t>收取方</w:t>
            </w:r>
          </w:p>
        </w:tc>
      </w:tr>
      <w:tr w14:paraId="20A2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vAlign w:val="center"/>
          </w:tcPr>
          <w:p w14:paraId="6EBDF02A">
            <w:pPr>
              <w:adjustRightInd w:val="0"/>
              <w:snapToGrid w:val="0"/>
              <w:spacing w:before="43" w:beforeLines="10" w:line="264" w:lineRule="auto"/>
              <w:jc w:val="center"/>
              <w:rPr>
                <w:rFonts w:ascii="宋体" w:hAnsi="宋体" w:eastAsia="宋体"/>
                <w:sz w:val="21"/>
              </w:rPr>
            </w:pPr>
            <w:r>
              <w:rPr>
                <w:rFonts w:ascii="宋体" w:hAnsi="宋体" w:eastAsia="宋体"/>
                <w:sz w:val="21"/>
              </w:rPr>
              <w:t>管理费</w:t>
            </w:r>
          </w:p>
        </w:tc>
        <w:tc>
          <w:tcPr>
            <w:tcW w:w="4707" w:type="dxa"/>
            <w:shd w:val="clear" w:color="auto" w:fill="auto"/>
            <w:vAlign w:val="center"/>
          </w:tcPr>
          <w:p w14:paraId="52438F86">
            <w:pPr>
              <w:adjustRightInd w:val="0"/>
              <w:snapToGrid w:val="0"/>
              <w:spacing w:before="43" w:beforeLines="10" w:line="264" w:lineRule="auto"/>
              <w:rPr>
                <w:rFonts w:ascii="宋体" w:hAnsi="宋体" w:eastAsia="宋体"/>
                <w:sz w:val="21"/>
              </w:rPr>
            </w:pPr>
            <w:r>
              <w:rPr>
                <w:rFonts w:hint="eastAsia" w:ascii="宋体" w:hAnsi="宋体" w:eastAsia="宋体"/>
                <w:sz w:val="21"/>
              </w:rPr>
              <w:t>0.80%</w:t>
            </w:r>
          </w:p>
        </w:tc>
        <w:tc>
          <w:tcPr>
            <w:tcW w:w="2098" w:type="dxa"/>
            <w:shd w:val="clear" w:color="auto" w:fill="auto"/>
            <w:vAlign w:val="center"/>
          </w:tcPr>
          <w:p w14:paraId="71584FCF">
            <w:pPr>
              <w:adjustRightInd w:val="0"/>
              <w:snapToGrid w:val="0"/>
              <w:spacing w:before="43" w:beforeLines="10" w:line="264" w:lineRule="auto"/>
              <w:rPr>
                <w:rFonts w:ascii="宋体" w:hAnsi="宋体" w:eastAsia="宋体"/>
                <w:sz w:val="21"/>
              </w:rPr>
            </w:pPr>
            <w:r>
              <w:rPr>
                <w:rFonts w:hint="eastAsia" w:ascii="宋体" w:hAnsi="宋体" w:eastAsia="宋体"/>
                <w:sz w:val="21"/>
              </w:rPr>
              <w:t>基金管理人、销售机构</w:t>
            </w:r>
          </w:p>
        </w:tc>
      </w:tr>
      <w:tr w14:paraId="4CCD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auto"/>
            <w:vAlign w:val="center"/>
          </w:tcPr>
          <w:p w14:paraId="1098C1BD">
            <w:pPr>
              <w:adjustRightInd w:val="0"/>
              <w:snapToGrid w:val="0"/>
              <w:spacing w:before="43" w:beforeLines="10" w:line="264" w:lineRule="auto"/>
              <w:jc w:val="center"/>
              <w:rPr>
                <w:rFonts w:ascii="宋体" w:hAnsi="宋体" w:eastAsia="宋体"/>
                <w:sz w:val="21"/>
              </w:rPr>
            </w:pPr>
            <w:r>
              <w:rPr>
                <w:rFonts w:ascii="宋体" w:hAnsi="宋体" w:eastAsia="宋体"/>
                <w:sz w:val="21"/>
              </w:rPr>
              <w:t>托管费</w:t>
            </w:r>
          </w:p>
        </w:tc>
        <w:tc>
          <w:tcPr>
            <w:tcW w:w="4707" w:type="dxa"/>
            <w:shd w:val="clear" w:color="auto" w:fill="auto"/>
            <w:vAlign w:val="center"/>
          </w:tcPr>
          <w:p w14:paraId="3517585C">
            <w:pPr>
              <w:adjustRightInd w:val="0"/>
              <w:snapToGrid w:val="0"/>
              <w:spacing w:before="43" w:beforeLines="10" w:line="264" w:lineRule="auto"/>
              <w:rPr>
                <w:rFonts w:ascii="宋体" w:hAnsi="宋体" w:eastAsia="宋体"/>
                <w:sz w:val="21"/>
              </w:rPr>
            </w:pPr>
            <w:r>
              <w:rPr>
                <w:rFonts w:hint="eastAsia" w:ascii="宋体" w:hAnsi="宋体" w:eastAsia="宋体"/>
                <w:sz w:val="21"/>
              </w:rPr>
              <w:t>0.10%</w:t>
            </w:r>
          </w:p>
        </w:tc>
        <w:tc>
          <w:tcPr>
            <w:tcW w:w="2098" w:type="dxa"/>
            <w:shd w:val="clear" w:color="auto" w:fill="auto"/>
            <w:vAlign w:val="center"/>
          </w:tcPr>
          <w:p w14:paraId="47649434">
            <w:pPr>
              <w:adjustRightInd w:val="0"/>
              <w:snapToGrid w:val="0"/>
              <w:spacing w:before="43" w:beforeLines="10" w:line="264" w:lineRule="auto"/>
              <w:rPr>
                <w:rFonts w:ascii="宋体" w:hAnsi="宋体" w:eastAsia="宋体"/>
                <w:sz w:val="21"/>
              </w:rPr>
            </w:pPr>
            <w:r>
              <w:rPr>
                <w:rFonts w:hint="eastAsia" w:ascii="宋体" w:hAnsi="宋体" w:eastAsia="宋体"/>
                <w:sz w:val="21"/>
              </w:rPr>
              <w:t>基金托管人</w:t>
            </w:r>
          </w:p>
        </w:tc>
      </w:tr>
      <w:tr w14:paraId="513D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p w14:paraId="31E090D2">
            <w:pPr>
              <w:adjustRightInd w:val="0"/>
              <w:snapToGrid w:val="0"/>
              <w:spacing w:before="43" w:beforeLines="10" w:line="264" w:lineRule="auto"/>
              <w:jc w:val="center"/>
            </w:pPr>
            <w:r>
              <w:rPr>
                <w:rFonts w:ascii="宋体" w:hAnsi="宋体" w:eastAsia="宋体"/>
                <w:sz w:val="21"/>
              </w:rPr>
              <w:t>销售服务费</w:t>
            </w:r>
          </w:p>
        </w:tc>
        <w:tc>
          <w:tcPr>
            <w:tcW w:w="4707" w:type="dxa"/>
            <w:shd w:val="clear" w:color="auto" w:fill="auto"/>
            <w:vAlign w:val="center"/>
          </w:tcPr>
          <w:p w14:paraId="42962FB1">
            <w:pPr>
              <w:adjustRightInd w:val="0"/>
              <w:snapToGrid w:val="0"/>
              <w:spacing w:before="43" w:beforeLines="10" w:line="264" w:lineRule="auto"/>
              <w:rPr>
                <w:rFonts w:ascii="宋体" w:hAnsi="宋体" w:eastAsia="宋体"/>
                <w:sz w:val="21"/>
              </w:rPr>
            </w:pPr>
            <w:r>
              <w:rPr>
                <w:rFonts w:hint="eastAsia" w:ascii="宋体" w:hAnsi="宋体" w:eastAsia="宋体"/>
                <w:sz w:val="21"/>
              </w:rPr>
              <w:t>0.40%</w:t>
            </w:r>
          </w:p>
        </w:tc>
        <w:tc>
          <w:tcPr>
            <w:tcW w:w="2098" w:type="dxa"/>
            <w:shd w:val="clear" w:color="auto" w:fill="auto"/>
            <w:vAlign w:val="center"/>
          </w:tcPr>
          <w:p w14:paraId="68865C3C">
            <w:pPr>
              <w:adjustRightInd w:val="0"/>
              <w:snapToGrid w:val="0"/>
              <w:spacing w:before="43" w:beforeLines="10" w:line="264" w:lineRule="auto"/>
              <w:rPr>
                <w:rFonts w:ascii="宋体" w:hAnsi="宋体" w:eastAsia="宋体"/>
                <w:sz w:val="21"/>
              </w:rPr>
            </w:pPr>
            <w:r>
              <w:rPr>
                <w:rFonts w:hint="eastAsia" w:ascii="宋体" w:hAnsi="宋体" w:eastAsia="宋体"/>
                <w:sz w:val="21"/>
              </w:rPr>
              <w:t>销售机构</w:t>
            </w:r>
          </w:p>
        </w:tc>
      </w:tr>
    </w:tbl>
    <w:p w14:paraId="0F65A86B">
      <w:pPr>
        <w:adjustRightInd w:val="0"/>
        <w:snapToGrid w:val="0"/>
        <w:spacing w:before="87" w:beforeLines="20" w:line="288" w:lineRule="auto"/>
        <w:rPr>
          <w:rFonts w:ascii="宋体" w:hAnsi="宋体" w:eastAsia="宋体" w:cs="方正仿宋简体"/>
          <w:iCs/>
          <w:sz w:val="21"/>
          <w:szCs w:val="21"/>
        </w:rPr>
      </w:pPr>
      <w:r>
        <w:rPr>
          <w:rFonts w:ascii="宋体" w:hAnsi="宋体" w:eastAsia="宋体" w:cs="方正仿宋简体"/>
          <w:iCs/>
          <w:sz w:val="21"/>
          <w:szCs w:val="21"/>
        </w:rPr>
        <w:t>注：以上费用将从基金资产中扣除；本基金交易证券等产生的费用和税负，按实际发生额从基金资产扣除。本基金A类份额不收取销售服务费。对于投资者通过直销机构认购（申购）的C类基金份额计提的销售服务费，在投资者赎回基金份额或基金合同终止时，随赎回款（或清算款）一并返还给投资者。对于投资者通过代销机构认购（申购）且持续持有期限超过一年的C类基金份额继续计提的销售服务费，在投资者赎回基金份额或基金合同终止时，随赎回款（或清算款）一并返还给投资者。</w:t>
      </w:r>
    </w:p>
    <w:p w14:paraId="2EDC702C">
      <w:pPr>
        <w:pStyle w:val="2"/>
      </w:pPr>
      <w:r>
        <w:rPr>
          <w:rFonts w:hint="eastAsia"/>
        </w:rPr>
        <w:t>风险揭示与重要提示</w:t>
      </w:r>
    </w:p>
    <w:p w14:paraId="44ECFDCE">
      <w:pPr>
        <w:pStyle w:val="3"/>
      </w:pPr>
      <w:r>
        <w:rPr>
          <w:rFonts w:hint="eastAsia"/>
        </w:rPr>
        <w:t>风险揭示</w:t>
      </w:r>
    </w:p>
    <w:p w14:paraId="61F8FAC4">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本基金不提供任何保证。投资者可能损失投资本金。投资有风险，投资者购买基金时应认真阅读本基金的《招募说明书》等销售文件。</w:t>
      </w:r>
    </w:p>
    <w:p w14:paraId="075C74C3">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本基金投资中的风险包括：证券市场整体环境引发的系统性风险，个别证券特有的非系统性风险，大量赎回或暴跌导致的流动性风险，基金投资过程中产生的操作风险，因交收违约和投资债券引发的信用风险，基金投资对象与投资策略引致的特有风险等等。基金管理人提醒投资者基金投资的“买者自负”原则，在投资者作出投资决策后，基金运营状况与基金净值变化引致的投资风险，由投资者自行负责。</w:t>
      </w:r>
    </w:p>
    <w:p w14:paraId="40345869">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本基金的特有风险包括：1、本基金为混合型基金，本基金对股票、存托凭证、股票型基金、混合型基金等权益类资产及可转换债券、分离交易可转债、可交换债券资产的合计投资比例为基金资产的10%-30%；其中，投资于境内股票和A股ETF的比例不低于基金资产的10%，投资于港股通标的股票的比例不超过股票资产的50%；本基金持有其他基金，其市值不超过基金资产净值的10%。内地和港股通标的股票市场和债券市场的变化均会影响到基金业绩表现，基金净值表现因此可能受到影响。本基金管理人将发挥专业研究优势，加强对市场、证券基本面的深入研究，持续优化组合配置，以控制特定风险。</w:t>
      </w:r>
    </w:p>
    <w:p w14:paraId="11E1381C">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2、股指期货投资风险</w:t>
      </w:r>
    </w:p>
    <w:p w14:paraId="39D4411C">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本基金可投资股指期货，股指期货采用保证金交易制度，若投资股指期货，由于保证金交易具有杠杆性，当出现不利行情时，股价指数微小的变动就可能会使投资人权益遭受较大损失。</w:t>
      </w:r>
    </w:p>
    <w:p w14:paraId="7F432A0B">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3、国债期货投资风险</w:t>
      </w:r>
    </w:p>
    <w:p w14:paraId="565ACD26">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本基金可投资国债期货，若投资国债期货，可能面临市场风险、基差风险、流动性风险。</w:t>
      </w:r>
    </w:p>
    <w:p w14:paraId="001CE56B">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4、股票期权投资风险</w:t>
      </w:r>
    </w:p>
    <w:p w14:paraId="40E6926F">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本基金投资股票期权，股票期权投资可能面临市场风险、流动性风险、基差风险、保证金风险、信用风险以及各类操作风险等。</w:t>
      </w:r>
    </w:p>
    <w:p w14:paraId="424BBD9C">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5、资产支持证券投资风险</w:t>
      </w:r>
    </w:p>
    <w:p w14:paraId="48B94438">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本基金可投资资产支持证券，资产支持证券在国内市场尚处发展初期，具有低流动性、高收益的特征，并存在一定的投资风险。</w:t>
      </w:r>
    </w:p>
    <w:p w14:paraId="418CDA61">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6、本基金可以投资于港股通标的股票，投资风险包括：</w:t>
      </w:r>
    </w:p>
    <w:p w14:paraId="5152CDBE">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1）本基金将通过“港股通”投资于香港市场，在市场进入、投资额度、可投资对象、税务政策等方面都有一定的限制，而且此类限制可能会不断调整，这些限制因素的变化可能对本基金进入或退出当地市场造成障碍，从而对投资收益以及正常的申购赎回产生直接或间接的影响。</w:t>
      </w:r>
    </w:p>
    <w:p w14:paraId="50A9F788">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2）香港市场交易规则有别于内地A股市场规则，此外，在港股通下参与香港股票投资还将面临包括但不限于如下特殊风险：涨跌幅限制、交易日不同、临时停市、交易机制、代理投票、汇率风险、港股通每日额度限制等。</w:t>
      </w:r>
    </w:p>
    <w:p w14:paraId="30B11270">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3）本基金可根据投资策略需要或不同配置地市场环境的变化，选择将部分基金资产投资于港股或选择不将基金资产投资于港股，基金资产并非必然投资港股。</w:t>
      </w:r>
    </w:p>
    <w:p w14:paraId="7DA99CF7">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7、存托凭证风险</w:t>
      </w:r>
    </w:p>
    <w:p w14:paraId="7278D9CA">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若本基金投资于存托凭证，在承担境内上市交易股票投资的共同风险外，还将承担与存托凭证、创新企业发行、境外发行人以及交易机制相关的特有风险。</w:t>
      </w:r>
    </w:p>
    <w:p w14:paraId="63C2F388">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8、信用衍生品投资风险</w:t>
      </w:r>
    </w:p>
    <w:p w14:paraId="11D087F7">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为对冲信用风险，本基金可能投资于信用衍生品，信用衍生品的投资可能面临流动性风险、偿付风险以及价格波动风险等。</w:t>
      </w:r>
    </w:p>
    <w:p w14:paraId="2A7212A4">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9、投资科创板股票的风险</w:t>
      </w:r>
    </w:p>
    <w:p w14:paraId="5C599DFA">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本基金可投资于科创板，若本基金投资于科创板股票，会面临科创板机制下因投资标的、市场制度以及交易规则等差异带来的特有风险。</w:t>
      </w:r>
    </w:p>
    <w:p w14:paraId="0B7AF5A1">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10、基金投资其他基金的风险</w:t>
      </w:r>
    </w:p>
    <w:p w14:paraId="0FF103F8">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针对基金投资，本基金投资于全市场的股票型ETF、公募REITs，以及基金管理人旗下的股票型基金、计入权益类资产的混合型基金。本基金对被投资基金的评估具有一定的主观性，将在基金投资决策中给基金带来一定的不确定性的风险。本基金最终获取的回报与直接投资于其他基金获取的回报存在差异。</w:t>
      </w:r>
    </w:p>
    <w:p w14:paraId="071F56FA">
      <w:pPr>
        <w:pStyle w:val="3"/>
      </w:pPr>
      <w:r>
        <w:rPr>
          <w:rFonts w:hint="eastAsia"/>
        </w:rPr>
        <w:t>重要提示</w:t>
      </w:r>
    </w:p>
    <w:p w14:paraId="6A8B3C9E">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中国证监会对本基金募集的注册/核准，并不表明其对本基金的价值和收益作出实质性判断或保证，也不表明投资于本基金没有风险。基金管理人依照恪尽职守、诚实信用、谨慎勤勉的原则管理和运用基金财产，但不保证基金一定盈利，也不保证最低收益。基金投资者自依基金合同取得基金份额，即成为基金份额持有人和基金合同的当事人。</w:t>
      </w:r>
    </w:p>
    <w:p w14:paraId="7C6DB33E">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与本基金或基金合同相关的一切争议均应提交上海国际经济贸易仲裁委员会仲裁，仲裁裁决是终局的，对仲裁各方当事人均具有约束力。</w:t>
      </w:r>
    </w:p>
    <w:p w14:paraId="06BB4825">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基金产品资料概要信息发生重大变更的，基金管理人将在三个工作日内更新，其他信息发生变更的，基金管理人每年更新一次。因此，本文件内容相比基金的实际情况可能存在一定的滞后，如需及时、准确获取基金的相关信息，敬请同时关注基金管理人发布的相关临时公告、定期公告等披露文件。</w:t>
      </w:r>
    </w:p>
    <w:p w14:paraId="1ACFD24F">
      <w:pPr>
        <w:pStyle w:val="2"/>
      </w:pPr>
      <w:r>
        <w:rPr>
          <w:rFonts w:hint="eastAsia"/>
        </w:rPr>
        <w:t>其他资料查询方式</w:t>
      </w:r>
    </w:p>
    <w:p w14:paraId="18F64EF7">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以下资料详见基金管理人网站（www.fullgoal.com.cn），客户服务热线：95105686，4008880688（全国统一，免长途话费）</w:t>
      </w:r>
    </w:p>
    <w:p w14:paraId="6E722FDD">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1.基金合同、托管协议、招募说明书</w:t>
      </w:r>
    </w:p>
    <w:p w14:paraId="421EC12A">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2.定期报告，包括基金季度报告、中期报告和年度报告</w:t>
      </w:r>
    </w:p>
    <w:p w14:paraId="5F2A8CF2">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3.基金份额净值</w:t>
      </w:r>
    </w:p>
    <w:p w14:paraId="4BD36901">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4.基金销售机构及联系方式</w:t>
      </w:r>
    </w:p>
    <w:p w14:paraId="6701C12E">
      <w:pPr>
        <w:adjustRightInd w:val="0"/>
        <w:snapToGrid w:val="0"/>
        <w:spacing w:line="288" w:lineRule="auto"/>
        <w:ind w:firstLine="420" w:firstLineChars="200"/>
        <w:rPr>
          <w:rFonts w:ascii="宋体" w:hAnsi="宋体" w:eastAsia="宋体" w:cs="方正仿宋简体"/>
          <w:iCs/>
          <w:sz w:val="21"/>
          <w:szCs w:val="21"/>
        </w:rPr>
      </w:pPr>
      <w:r>
        <w:rPr>
          <w:rFonts w:ascii="宋体" w:hAnsi="宋体" w:eastAsia="宋体" w:cs="方正仿宋简体"/>
          <w:iCs/>
          <w:sz w:val="21"/>
          <w:szCs w:val="21"/>
        </w:rPr>
        <w:t>5.其他重要资料</w:t>
      </w:r>
    </w:p>
    <w:sectPr>
      <w:footerReference r:id="rId3" w:type="default"/>
      <w:pgSz w:w="11906" w:h="16838"/>
      <w:pgMar w:top="1021" w:right="1474" w:bottom="1021" w:left="1474" w:header="851" w:footer="454"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方正黑体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BB301">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p w14:paraId="34F4ECD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66571"/>
    <w:multiLevelType w:val="multilevel"/>
    <w:tmpl w:val="11E66571"/>
    <w:lvl w:ilvl="0" w:tentative="0">
      <w:start w:val="1"/>
      <w:numFmt w:val="chineseCountingThousand"/>
      <w:pStyle w:val="2"/>
      <w:suff w:val="space"/>
      <w:lvlText w:val="%1、"/>
      <w:lvlJc w:val="left"/>
      <w:pPr>
        <w:ind w:left="0" w:firstLine="0"/>
      </w:pPr>
      <w:rPr>
        <w:rFonts w:hint="eastAsia"/>
      </w:rPr>
    </w:lvl>
    <w:lvl w:ilvl="1" w:tentative="0">
      <w:start w:val="1"/>
      <w:numFmt w:val="chineseCountingThousand"/>
      <w:pStyle w:val="3"/>
      <w:suff w:val="space"/>
      <w:lvlText w:val="（%2）"/>
      <w:lvlJc w:val="left"/>
      <w:pPr>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attachedTemplate r:id="rId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994"/>
    <w:rsid w:val="00022545"/>
    <w:rsid w:val="00023E7E"/>
    <w:rsid w:val="00036483"/>
    <w:rsid w:val="000459B5"/>
    <w:rsid w:val="00054D53"/>
    <w:rsid w:val="00055507"/>
    <w:rsid w:val="00064982"/>
    <w:rsid w:val="00066BCF"/>
    <w:rsid w:val="000675A4"/>
    <w:rsid w:val="000827C1"/>
    <w:rsid w:val="00084FBF"/>
    <w:rsid w:val="000865B1"/>
    <w:rsid w:val="000A3B4B"/>
    <w:rsid w:val="000A6B95"/>
    <w:rsid w:val="000A7B26"/>
    <w:rsid w:val="000B64A8"/>
    <w:rsid w:val="000C6242"/>
    <w:rsid w:val="000D070D"/>
    <w:rsid w:val="000D10B4"/>
    <w:rsid w:val="000D57C1"/>
    <w:rsid w:val="000E2AAC"/>
    <w:rsid w:val="000F5546"/>
    <w:rsid w:val="001000DB"/>
    <w:rsid w:val="00112B35"/>
    <w:rsid w:val="00120CE6"/>
    <w:rsid w:val="00124046"/>
    <w:rsid w:val="00124B97"/>
    <w:rsid w:val="00155DF6"/>
    <w:rsid w:val="00162500"/>
    <w:rsid w:val="00162B21"/>
    <w:rsid w:val="00165774"/>
    <w:rsid w:val="00190175"/>
    <w:rsid w:val="00196B69"/>
    <w:rsid w:val="001A1651"/>
    <w:rsid w:val="001A545B"/>
    <w:rsid w:val="001A7B4D"/>
    <w:rsid w:val="001C2BCE"/>
    <w:rsid w:val="001C35F9"/>
    <w:rsid w:val="001C64F1"/>
    <w:rsid w:val="001D1255"/>
    <w:rsid w:val="001E5192"/>
    <w:rsid w:val="002060B7"/>
    <w:rsid w:val="00206308"/>
    <w:rsid w:val="00217143"/>
    <w:rsid w:val="00237E86"/>
    <w:rsid w:val="00241330"/>
    <w:rsid w:val="002449E0"/>
    <w:rsid w:val="002500AA"/>
    <w:rsid w:val="002502EF"/>
    <w:rsid w:val="00257D13"/>
    <w:rsid w:val="00257D7C"/>
    <w:rsid w:val="002618FF"/>
    <w:rsid w:val="00275953"/>
    <w:rsid w:val="00297710"/>
    <w:rsid w:val="002B2574"/>
    <w:rsid w:val="002C27FD"/>
    <w:rsid w:val="002D0197"/>
    <w:rsid w:val="002D42AF"/>
    <w:rsid w:val="002D4A95"/>
    <w:rsid w:val="002D7116"/>
    <w:rsid w:val="003134F0"/>
    <w:rsid w:val="00351815"/>
    <w:rsid w:val="0035634C"/>
    <w:rsid w:val="00360C64"/>
    <w:rsid w:val="0036593B"/>
    <w:rsid w:val="003A593D"/>
    <w:rsid w:val="003B7C3A"/>
    <w:rsid w:val="003C147C"/>
    <w:rsid w:val="003F7FAE"/>
    <w:rsid w:val="0042333C"/>
    <w:rsid w:val="0043556E"/>
    <w:rsid w:val="0046074E"/>
    <w:rsid w:val="00473EC1"/>
    <w:rsid w:val="0047537C"/>
    <w:rsid w:val="004A1547"/>
    <w:rsid w:val="004E7FF3"/>
    <w:rsid w:val="00532A3B"/>
    <w:rsid w:val="005354AA"/>
    <w:rsid w:val="005442CE"/>
    <w:rsid w:val="0055000C"/>
    <w:rsid w:val="0057007F"/>
    <w:rsid w:val="00583686"/>
    <w:rsid w:val="005925E3"/>
    <w:rsid w:val="005D322F"/>
    <w:rsid w:val="005E2DF2"/>
    <w:rsid w:val="005E5E27"/>
    <w:rsid w:val="005F5DD9"/>
    <w:rsid w:val="00617F04"/>
    <w:rsid w:val="006209A4"/>
    <w:rsid w:val="00625A98"/>
    <w:rsid w:val="00626941"/>
    <w:rsid w:val="00641C70"/>
    <w:rsid w:val="00644603"/>
    <w:rsid w:val="00645219"/>
    <w:rsid w:val="00653821"/>
    <w:rsid w:val="00663258"/>
    <w:rsid w:val="0066613E"/>
    <w:rsid w:val="00670ED5"/>
    <w:rsid w:val="00671DFC"/>
    <w:rsid w:val="00687CB7"/>
    <w:rsid w:val="00694559"/>
    <w:rsid w:val="006D17BF"/>
    <w:rsid w:val="006D1921"/>
    <w:rsid w:val="006D5811"/>
    <w:rsid w:val="006E5A42"/>
    <w:rsid w:val="006F1A17"/>
    <w:rsid w:val="006F366F"/>
    <w:rsid w:val="006F6CCD"/>
    <w:rsid w:val="00704EE8"/>
    <w:rsid w:val="007059E2"/>
    <w:rsid w:val="00712BE7"/>
    <w:rsid w:val="00731748"/>
    <w:rsid w:val="00742A36"/>
    <w:rsid w:val="00744E9B"/>
    <w:rsid w:val="00755994"/>
    <w:rsid w:val="00766DB6"/>
    <w:rsid w:val="00780D3C"/>
    <w:rsid w:val="0079300B"/>
    <w:rsid w:val="00797D09"/>
    <w:rsid w:val="007B613C"/>
    <w:rsid w:val="007C4CD9"/>
    <w:rsid w:val="007C59E6"/>
    <w:rsid w:val="007E11E4"/>
    <w:rsid w:val="007E4369"/>
    <w:rsid w:val="007F229D"/>
    <w:rsid w:val="007F2FCA"/>
    <w:rsid w:val="00803F3E"/>
    <w:rsid w:val="008225B1"/>
    <w:rsid w:val="00841786"/>
    <w:rsid w:val="00871193"/>
    <w:rsid w:val="00877150"/>
    <w:rsid w:val="0089091B"/>
    <w:rsid w:val="008C1DCE"/>
    <w:rsid w:val="008D1684"/>
    <w:rsid w:val="008D1C0D"/>
    <w:rsid w:val="008D51DC"/>
    <w:rsid w:val="008E5B4E"/>
    <w:rsid w:val="008F585B"/>
    <w:rsid w:val="00904A22"/>
    <w:rsid w:val="009230A7"/>
    <w:rsid w:val="009240F7"/>
    <w:rsid w:val="00935D26"/>
    <w:rsid w:val="00953F87"/>
    <w:rsid w:val="009548E7"/>
    <w:rsid w:val="00956AC1"/>
    <w:rsid w:val="00957AF4"/>
    <w:rsid w:val="0097286C"/>
    <w:rsid w:val="00972D0E"/>
    <w:rsid w:val="00987050"/>
    <w:rsid w:val="009935BF"/>
    <w:rsid w:val="009969A0"/>
    <w:rsid w:val="009A0575"/>
    <w:rsid w:val="009C3307"/>
    <w:rsid w:val="009F414C"/>
    <w:rsid w:val="009F438B"/>
    <w:rsid w:val="009F501F"/>
    <w:rsid w:val="00A14942"/>
    <w:rsid w:val="00A21AB8"/>
    <w:rsid w:val="00A3092D"/>
    <w:rsid w:val="00A35D5E"/>
    <w:rsid w:val="00A43181"/>
    <w:rsid w:val="00A535E9"/>
    <w:rsid w:val="00A61D1B"/>
    <w:rsid w:val="00A7537D"/>
    <w:rsid w:val="00A970AF"/>
    <w:rsid w:val="00AA31CE"/>
    <w:rsid w:val="00AB4BBA"/>
    <w:rsid w:val="00AB6371"/>
    <w:rsid w:val="00AC219B"/>
    <w:rsid w:val="00AC3F57"/>
    <w:rsid w:val="00AD6E2B"/>
    <w:rsid w:val="00AE6F8E"/>
    <w:rsid w:val="00B048B1"/>
    <w:rsid w:val="00B10F72"/>
    <w:rsid w:val="00B71600"/>
    <w:rsid w:val="00BA35E1"/>
    <w:rsid w:val="00BB4F1D"/>
    <w:rsid w:val="00BC2891"/>
    <w:rsid w:val="00BC4EFB"/>
    <w:rsid w:val="00BD0F8C"/>
    <w:rsid w:val="00BD10F0"/>
    <w:rsid w:val="00BE07DA"/>
    <w:rsid w:val="00C2026D"/>
    <w:rsid w:val="00C21CFB"/>
    <w:rsid w:val="00C27B72"/>
    <w:rsid w:val="00C3471C"/>
    <w:rsid w:val="00C36380"/>
    <w:rsid w:val="00C50D1E"/>
    <w:rsid w:val="00C52A81"/>
    <w:rsid w:val="00C93F0E"/>
    <w:rsid w:val="00C94A07"/>
    <w:rsid w:val="00C95C66"/>
    <w:rsid w:val="00CA1E41"/>
    <w:rsid w:val="00CB47DA"/>
    <w:rsid w:val="00CB4871"/>
    <w:rsid w:val="00CB6C6F"/>
    <w:rsid w:val="00CC7F6D"/>
    <w:rsid w:val="00CF7532"/>
    <w:rsid w:val="00D117F8"/>
    <w:rsid w:val="00D13550"/>
    <w:rsid w:val="00D15F82"/>
    <w:rsid w:val="00D46EE2"/>
    <w:rsid w:val="00D5603D"/>
    <w:rsid w:val="00D803DA"/>
    <w:rsid w:val="00D83A1C"/>
    <w:rsid w:val="00D964EC"/>
    <w:rsid w:val="00D97BE2"/>
    <w:rsid w:val="00DA42C1"/>
    <w:rsid w:val="00DB5927"/>
    <w:rsid w:val="00DC28DE"/>
    <w:rsid w:val="00DE25AF"/>
    <w:rsid w:val="00E114CB"/>
    <w:rsid w:val="00E12C12"/>
    <w:rsid w:val="00E16037"/>
    <w:rsid w:val="00E23FD3"/>
    <w:rsid w:val="00E26DA8"/>
    <w:rsid w:val="00E30200"/>
    <w:rsid w:val="00E316C6"/>
    <w:rsid w:val="00E337A7"/>
    <w:rsid w:val="00E53787"/>
    <w:rsid w:val="00E9097A"/>
    <w:rsid w:val="00EC1FD8"/>
    <w:rsid w:val="00EC6D81"/>
    <w:rsid w:val="00ED45C6"/>
    <w:rsid w:val="00EF3E83"/>
    <w:rsid w:val="00F01742"/>
    <w:rsid w:val="00F06215"/>
    <w:rsid w:val="00F216B8"/>
    <w:rsid w:val="00F24B93"/>
    <w:rsid w:val="00F2645B"/>
    <w:rsid w:val="00F26678"/>
    <w:rsid w:val="00F35B32"/>
    <w:rsid w:val="00F376D4"/>
    <w:rsid w:val="00F50507"/>
    <w:rsid w:val="00F562DC"/>
    <w:rsid w:val="00F62ED2"/>
    <w:rsid w:val="00F828D6"/>
    <w:rsid w:val="00F90BB2"/>
    <w:rsid w:val="00F974C8"/>
    <w:rsid w:val="00FA15EA"/>
    <w:rsid w:val="00FA5DC0"/>
    <w:rsid w:val="00FC384E"/>
    <w:rsid w:val="00FD37D2"/>
    <w:rsid w:val="00FE4D48"/>
    <w:rsid w:val="00FF5E45"/>
    <w:rsid w:val="00FF7E10"/>
    <w:rsid w:val="29850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lang w:val="en-US" w:eastAsia="zh-CN" w:bidi="ar-SA"/>
    </w:rPr>
  </w:style>
  <w:style w:type="paragraph" w:styleId="2">
    <w:name w:val="heading 1"/>
    <w:basedOn w:val="1"/>
    <w:next w:val="1"/>
    <w:link w:val="30"/>
    <w:qFormat/>
    <w:uiPriority w:val="9"/>
    <w:pPr>
      <w:keepNext/>
      <w:keepLines/>
      <w:numPr>
        <w:ilvl w:val="0"/>
        <w:numId w:val="1"/>
      </w:numPr>
      <w:adjustRightInd w:val="0"/>
      <w:snapToGrid w:val="0"/>
      <w:spacing w:before="130" w:beforeLines="30" w:after="130" w:afterLines="30"/>
      <w:outlineLvl w:val="0"/>
    </w:pPr>
    <w:rPr>
      <w:rFonts w:ascii="宋体" w:hAnsi="宋体" w:eastAsia="宋体"/>
      <w:b/>
      <w:bCs/>
      <w:kern w:val="44"/>
      <w:sz w:val="24"/>
      <w:szCs w:val="44"/>
    </w:rPr>
  </w:style>
  <w:style w:type="paragraph" w:styleId="3">
    <w:name w:val="heading 2"/>
    <w:basedOn w:val="1"/>
    <w:next w:val="1"/>
    <w:link w:val="31"/>
    <w:unhideWhenUsed/>
    <w:qFormat/>
    <w:uiPriority w:val="9"/>
    <w:pPr>
      <w:numPr>
        <w:ilvl w:val="1"/>
        <w:numId w:val="1"/>
      </w:numPr>
      <w:adjustRightInd w:val="0"/>
      <w:snapToGrid w:val="0"/>
      <w:spacing w:before="87" w:beforeLines="20" w:after="87" w:afterLines="20"/>
      <w:outlineLvl w:val="1"/>
    </w:pPr>
    <w:rPr>
      <w:rFonts w:ascii="宋体" w:hAnsi="宋体" w:eastAsia="宋体" w:cs="方正仿宋简体"/>
      <w:b/>
      <w:iCs/>
      <w:sz w:val="22"/>
      <w:szCs w:val="24"/>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2"/>
    <w:unhideWhenUsed/>
    <w:qFormat/>
    <w:uiPriority w:val="99"/>
    <w:pPr>
      <w:jc w:val="left"/>
    </w:pPr>
    <w:rPr>
      <w:szCs w:val="22"/>
    </w:rPr>
  </w:style>
  <w:style w:type="paragraph" w:styleId="5">
    <w:name w:val="toc 3"/>
    <w:next w:val="1"/>
    <w:autoRedefine/>
    <w:unhideWhenUsed/>
    <w:uiPriority w:val="39"/>
    <w:pPr>
      <w:spacing w:after="100"/>
      <w:ind w:left="440"/>
    </w:pPr>
    <w:rPr>
      <w:rFonts w:ascii="Calibri" w:hAnsi="Calibri" w:eastAsia="宋体" w:cs="Times New Roman"/>
      <w:lang w:val="en-US" w:eastAsia="zh-CN" w:bidi="ar-SA"/>
    </w:rPr>
  </w:style>
  <w:style w:type="paragraph" w:styleId="6">
    <w:name w:val="Balloon Text"/>
    <w:basedOn w:val="1"/>
    <w:link w:val="35"/>
    <w:semiHidden/>
    <w:unhideWhenUsed/>
    <w:uiPriority w:val="99"/>
    <w:pPr>
      <w:spacing w:after="0" w:line="240" w:lineRule="auto"/>
    </w:pPr>
    <w:rPr>
      <w:rFonts w:ascii="Tahoma" w:hAnsi="Tahoma" w:cs="Tahoma"/>
      <w:sz w:val="16"/>
      <w:szCs w:val="16"/>
    </w:rPr>
  </w:style>
  <w:style w:type="paragraph" w:styleId="7">
    <w:name w:val="footer"/>
    <w:basedOn w:val="1"/>
    <w:link w:val="29"/>
    <w:unhideWhenUsed/>
    <w:uiPriority w:val="99"/>
    <w:pPr>
      <w:tabs>
        <w:tab w:val="center" w:pos="4153"/>
        <w:tab w:val="right" w:pos="8306"/>
      </w:tabs>
      <w:snapToGrid w:val="0"/>
      <w:jc w:val="left"/>
    </w:pPr>
    <w:rPr>
      <w:sz w:val="18"/>
      <w:szCs w:val="18"/>
    </w:rPr>
  </w:style>
  <w:style w:type="paragraph" w:styleId="8">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next w:val="1"/>
    <w:autoRedefine/>
    <w:unhideWhenUsed/>
    <w:uiPriority w:val="39"/>
    <w:pPr>
      <w:spacing w:after="100"/>
    </w:pPr>
    <w:rPr>
      <w:rFonts w:ascii="Calibri" w:hAnsi="Calibri" w:eastAsia="宋体" w:cs="Times New Roman"/>
      <w:lang w:val="en-US" w:eastAsia="zh-CN" w:bidi="ar-SA"/>
    </w:rPr>
  </w:style>
  <w:style w:type="paragraph" w:styleId="10">
    <w:name w:val="toc 4"/>
    <w:next w:val="1"/>
    <w:autoRedefine/>
    <w:unhideWhenUsed/>
    <w:uiPriority w:val="39"/>
    <w:pPr>
      <w:spacing w:after="100"/>
      <w:ind w:left="660"/>
    </w:pPr>
    <w:rPr>
      <w:rFonts w:ascii="Calibri" w:hAnsi="Calibri" w:eastAsia="宋体" w:cs="Times New Roman"/>
      <w:lang w:val="en-US" w:eastAsia="zh-CN" w:bidi="ar-SA"/>
    </w:rPr>
  </w:style>
  <w:style w:type="paragraph" w:styleId="11">
    <w:name w:val="footnote text"/>
    <w:basedOn w:val="1"/>
    <w:link w:val="21"/>
    <w:unhideWhenUsed/>
    <w:qFormat/>
    <w:uiPriority w:val="0"/>
    <w:pPr>
      <w:snapToGrid w:val="0"/>
      <w:jc w:val="left"/>
    </w:pPr>
    <w:rPr>
      <w:rFonts w:ascii="Calibri" w:hAnsi="Calibri" w:eastAsia="宋体"/>
      <w:sz w:val="18"/>
      <w:szCs w:val="24"/>
    </w:rPr>
  </w:style>
  <w:style w:type="paragraph" w:styleId="12">
    <w:name w:val="toc 2"/>
    <w:next w:val="1"/>
    <w:autoRedefine/>
    <w:unhideWhenUsed/>
    <w:uiPriority w:val="39"/>
    <w:pPr>
      <w:spacing w:after="100"/>
      <w:ind w:left="220"/>
    </w:pPr>
    <w:rPr>
      <w:rFonts w:ascii="Calibri" w:hAnsi="Calibri" w:eastAsia="宋体" w:cs="Times New Roman"/>
      <w:lang w:val="en-US" w:eastAsia="zh-CN" w:bidi="ar-SA"/>
    </w:r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4"/>
    <w:next w:val="4"/>
    <w:link w:val="27"/>
    <w:semiHidden/>
    <w:unhideWhenUsed/>
    <w:uiPriority w:val="99"/>
    <w:rPr>
      <w:b/>
      <w:bCs/>
      <w:szCs w:val="20"/>
    </w:rPr>
  </w:style>
  <w:style w:type="table" w:styleId="16">
    <w:name w:val="Table Grid"/>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unhideWhenUsed/>
    <w:uiPriority w:val="99"/>
    <w:rPr>
      <w:color w:val="0563C1" w:themeColor="hyperlink"/>
      <w:u w:val="single"/>
      <w14:textFill>
        <w14:solidFill>
          <w14:schemeClr w14:val="hlink"/>
        </w14:solidFill>
      </w14:textFill>
    </w:rPr>
  </w:style>
  <w:style w:type="character" w:styleId="19">
    <w:name w:val="annotation reference"/>
    <w:unhideWhenUsed/>
    <w:uiPriority w:val="99"/>
    <w:rPr>
      <w:sz w:val="21"/>
      <w:szCs w:val="21"/>
    </w:rPr>
  </w:style>
  <w:style w:type="character" w:styleId="20">
    <w:name w:val="footnote reference"/>
    <w:unhideWhenUsed/>
    <w:qFormat/>
    <w:uiPriority w:val="0"/>
    <w:rPr>
      <w:rFonts w:ascii="Times New Roman" w:hAnsi="Times New Roman" w:eastAsia="宋体" w:cs="Times New Roman"/>
      <w:vertAlign w:val="superscript"/>
    </w:rPr>
  </w:style>
  <w:style w:type="character" w:customStyle="1" w:styleId="21">
    <w:name w:val="脚注文本 Char"/>
    <w:link w:val="11"/>
    <w:qFormat/>
    <w:uiPriority w:val="0"/>
    <w:rPr>
      <w:sz w:val="18"/>
      <w:szCs w:val="24"/>
    </w:rPr>
  </w:style>
  <w:style w:type="character" w:customStyle="1" w:styleId="22">
    <w:name w:val="批注文字 Char"/>
    <w:link w:val="4"/>
    <w:uiPriority w:val="99"/>
    <w:rPr>
      <w:rFonts w:ascii="Times New Roman" w:hAnsi="Times New Roman" w:eastAsia="方正仿宋简体"/>
      <w:sz w:val="32"/>
    </w:rPr>
  </w:style>
  <w:style w:type="character" w:customStyle="1" w:styleId="23">
    <w:name w:val="脚注文本 Char1"/>
    <w:semiHidden/>
    <w:uiPriority w:val="99"/>
    <w:rPr>
      <w:rFonts w:ascii="Times New Roman" w:hAnsi="Times New Roman" w:eastAsia="方正仿宋简体" w:cs="Times New Roman"/>
      <w:sz w:val="18"/>
      <w:szCs w:val="18"/>
    </w:rPr>
  </w:style>
  <w:style w:type="character" w:customStyle="1" w:styleId="24">
    <w:name w:val="批注文字 Char1"/>
    <w:semiHidden/>
    <w:qFormat/>
    <w:uiPriority w:val="99"/>
    <w:rPr>
      <w:rFonts w:ascii="Times New Roman" w:hAnsi="Times New Roman" w:eastAsia="方正仿宋简体" w:cs="Times New Roman"/>
      <w:sz w:val="32"/>
      <w:szCs w:val="20"/>
    </w:rPr>
  </w:style>
  <w:style w:type="character" w:customStyle="1" w:styleId="25">
    <w:name w:val="批注框文本 Char"/>
    <w:link w:val="6"/>
    <w:semiHidden/>
    <w:qFormat/>
    <w:uiPriority w:val="99"/>
    <w:rPr>
      <w:rFonts w:ascii="Times New Roman" w:hAnsi="Times New Roman" w:eastAsia="方正仿宋简体" w:cs="Times New Roman"/>
      <w:sz w:val="18"/>
      <w:szCs w:val="18"/>
    </w:rPr>
  </w:style>
  <w:style w:type="paragraph" w:styleId="26">
    <w:name w:val="List Paragraph"/>
    <w:basedOn w:val="1"/>
    <w:qFormat/>
    <w:uiPriority w:val="34"/>
    <w:pPr>
      <w:ind w:firstLine="420" w:firstLineChars="200"/>
    </w:pPr>
  </w:style>
  <w:style w:type="character" w:customStyle="1" w:styleId="27">
    <w:name w:val="批注主题 Char"/>
    <w:link w:val="14"/>
    <w:semiHidden/>
    <w:uiPriority w:val="99"/>
    <w:rPr>
      <w:rFonts w:ascii="Times New Roman" w:hAnsi="Times New Roman" w:eastAsia="方正仿宋简体" w:cs="Times New Roman"/>
      <w:b/>
      <w:bCs/>
      <w:sz w:val="32"/>
      <w:szCs w:val="20"/>
    </w:rPr>
  </w:style>
  <w:style w:type="character" w:customStyle="1" w:styleId="28">
    <w:name w:val="页眉 Char"/>
    <w:link w:val="8"/>
    <w:uiPriority w:val="99"/>
    <w:rPr>
      <w:rFonts w:ascii="Times New Roman" w:hAnsi="Times New Roman" w:eastAsia="方正仿宋简体" w:cs="Times New Roman"/>
      <w:sz w:val="18"/>
      <w:szCs w:val="18"/>
    </w:rPr>
  </w:style>
  <w:style w:type="character" w:customStyle="1" w:styleId="29">
    <w:name w:val="页脚 Char"/>
    <w:link w:val="7"/>
    <w:uiPriority w:val="99"/>
    <w:rPr>
      <w:rFonts w:ascii="Times New Roman" w:hAnsi="Times New Roman" w:eastAsia="方正仿宋简体" w:cs="Times New Roman"/>
      <w:sz w:val="18"/>
      <w:szCs w:val="18"/>
    </w:rPr>
  </w:style>
  <w:style w:type="character" w:customStyle="1" w:styleId="30">
    <w:name w:val="标题 1 Char"/>
    <w:link w:val="2"/>
    <w:uiPriority w:val="9"/>
    <w:rPr>
      <w:rFonts w:ascii="宋体" w:hAnsi="宋体"/>
      <w:b/>
      <w:bCs/>
      <w:kern w:val="44"/>
      <w:sz w:val="24"/>
      <w:szCs w:val="44"/>
    </w:rPr>
  </w:style>
  <w:style w:type="character" w:customStyle="1" w:styleId="31">
    <w:name w:val="标题 2 Char"/>
    <w:link w:val="3"/>
    <w:qFormat/>
    <w:uiPriority w:val="9"/>
    <w:rPr>
      <w:rFonts w:ascii="宋体" w:hAnsi="宋体" w:cs="方正仿宋简体"/>
      <w:b/>
      <w:iCs/>
      <w:kern w:val="2"/>
      <w:sz w:val="22"/>
      <w:szCs w:val="24"/>
    </w:rPr>
  </w:style>
  <w:style w:type="paragraph" w:styleId="32">
    <w:name w:val="No Spacing"/>
    <w:basedOn w:val="1"/>
    <w:qFormat/>
    <w:uiPriority w:val="1"/>
    <w:pPr>
      <w:adjustRightInd w:val="0"/>
      <w:snapToGrid w:val="0"/>
      <w:spacing w:before="87" w:beforeLines="20" w:line="288" w:lineRule="auto"/>
      <w:contextualSpacing/>
    </w:pPr>
    <w:rPr>
      <w:rFonts w:ascii="宋体" w:hAnsi="宋体" w:eastAsia="宋体"/>
      <w:sz w:val="21"/>
    </w:rPr>
  </w:style>
  <w:style w:type="character" w:styleId="33">
    <w:name w:val="Placeholder Text"/>
    <w:basedOn w:val="17"/>
    <w:semiHidden/>
    <w:uiPriority w:val="99"/>
    <w:rPr>
      <w:color w:val="808080"/>
    </w:rPr>
  </w:style>
  <w:style w:type="paragraph" w:customStyle="1" w:styleId="34">
    <w:name w:val="TOC Heading"/>
    <w:semiHidden/>
    <w:unhideWhenUsed/>
    <w:qFormat/>
    <w:uiPriority w:val="39"/>
    <w:pPr>
      <w:outlineLvl w:val="9"/>
    </w:pPr>
    <w:rPr>
      <w:rFonts w:ascii="Calibri" w:hAnsi="Calibri" w:eastAsia="宋体" w:cs="Times New Roman"/>
      <w:lang w:val="en-US" w:eastAsia="ja-JP" w:bidi="ar-SA"/>
    </w:rPr>
  </w:style>
  <w:style w:type="character" w:customStyle="1" w:styleId="35">
    <w:name w:val="Balloon Text Char"/>
    <w:link w:val="6"/>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tNetWorkSpace\smartdoc\&#22522;&#37329;&#20135;&#21697;&#36164;&#26009;&#27010;&#35201;&#27169;&#26495;_C.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基金产品资料概要模板_C.dotx</Template>
  <Pages>4</Pages>
  <Words>218</Words>
  <Characters>1249</Characters>
  <Lines>10</Lines>
  <Paragraphs>2</Paragraphs>
  <TotalTime>47</TotalTime>
  <ScaleCrop>false</ScaleCrop>
  <LinksUpToDate>false</LinksUpToDate>
  <CharactersWithSpaces>1465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2022-09-28T03:08:00Z</dcterms:created>
  <dc:creator>马维娜</dc:creator>
  <cp:lastModifiedBy>luoyi</cp:lastModifiedBy>
  <dcterms:modified xsi:type="dcterms:W3CDTF">2026-07-02T08:40:41Z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BD1D232ED86E4065B5AE5CCE72E1655C_12</vt:lpwstr>
  </property>
</Properties>
</file>