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F95FF" w14:textId="77777777" w:rsidR="003360D6" w:rsidRDefault="00000000">
      <w:pPr>
        <w:adjustRightInd w:val="0"/>
        <w:snapToGrid w:val="0"/>
        <w:spacing w:line="360" w:lineRule="auto"/>
        <w:jc w:val="center"/>
        <w:rPr>
          <w:rFonts w:cs="Arial"/>
          <w:szCs w:val="21"/>
        </w:rPr>
        <w:sectPr w:rsidR="003360D6">
          <w:footerReference w:type="even" r:id="rId40"/>
          <w:type w:val="continuous"/>
          <w:pgSz w:w="11906" w:h="16838"/>
          <w:pgMar w:top="1418" w:right="1701" w:bottom="1418" w:left="1701" w:header="851" w:footer="992" w:gutter="0"/>
          <w:cols w:space="425"/>
          <w:docGrid w:type="lines" w:linePitch="312"/>
        </w:sectPr>
      </w:pPr>
      <w:bookmarkStart w:id="0" w:name="TITLE_765decababaa49e2a8dfd7458e24b387"/>
      <w:r>
        <w:t xml:space="preserve"> </w:t>
      </w:r>
    </w:p>
    <w:p w14:paraId="7C5A1FCA" w14:textId="77777777" w:rsidR="003360D6" w:rsidRDefault="00000000">
      <w:pPr>
        <w:adjustRightInd w:val="0"/>
        <w:snapToGrid w:val="0"/>
        <w:spacing w:line="360" w:lineRule="auto"/>
        <w:jc w:val="center"/>
        <w:rPr>
          <w:rFonts w:cs="Arial"/>
          <w:szCs w:val="21"/>
        </w:rPr>
      </w:pPr>
      <w:bookmarkStart w:id="1" w:name="CLAUSE_468ded6493c9462ebc131b865f5d7da2"/>
      <w:bookmarkEnd w:id="0"/>
      <w:r>
        <w:t xml:space="preserve"> </w:t>
      </w:r>
      <w:bookmarkStart w:id="2" w:name="CTS_468ded6493c9462ebc131b865f5d7da2"/>
      <w:bookmarkEnd w:id="2"/>
    </w:p>
    <w:p w14:paraId="28828584" w14:textId="77777777" w:rsidR="003360D6" w:rsidRPr="008C2B40" w:rsidRDefault="003360D6">
      <w:pPr>
        <w:adjustRightInd w:val="0"/>
        <w:snapToGrid w:val="0"/>
        <w:spacing w:line="360" w:lineRule="auto"/>
        <w:jc w:val="center"/>
        <w:rPr>
          <w:rFonts w:cs="Arial"/>
          <w:szCs w:val="21"/>
        </w:rPr>
      </w:pPr>
    </w:p>
    <w:p w14:paraId="3248D99E" w14:textId="77777777" w:rsidR="003360D6" w:rsidRDefault="003360D6">
      <w:pPr>
        <w:adjustRightInd w:val="0"/>
        <w:snapToGrid w:val="0"/>
        <w:spacing w:line="360" w:lineRule="auto"/>
        <w:jc w:val="center"/>
        <w:rPr>
          <w:rFonts w:cs="Arial"/>
          <w:szCs w:val="21"/>
        </w:rPr>
      </w:pPr>
    </w:p>
    <w:p w14:paraId="2FD152DF" w14:textId="77777777" w:rsidR="003360D6" w:rsidRDefault="003360D6">
      <w:pPr>
        <w:adjustRightInd w:val="0"/>
        <w:snapToGrid w:val="0"/>
        <w:spacing w:line="360" w:lineRule="auto"/>
        <w:jc w:val="center"/>
        <w:rPr>
          <w:rFonts w:cs="Arial"/>
          <w:szCs w:val="21"/>
        </w:rPr>
      </w:pPr>
    </w:p>
    <w:p w14:paraId="0C651200" w14:textId="77777777" w:rsidR="003360D6" w:rsidRDefault="003360D6">
      <w:pPr>
        <w:adjustRightInd w:val="0"/>
        <w:snapToGrid w:val="0"/>
        <w:spacing w:line="360" w:lineRule="auto"/>
        <w:jc w:val="center"/>
        <w:rPr>
          <w:rFonts w:cs="Arial"/>
          <w:szCs w:val="21"/>
        </w:rPr>
      </w:pPr>
    </w:p>
    <w:p w14:paraId="1C704D70" w14:textId="77777777" w:rsidR="003360D6" w:rsidRDefault="00000000">
      <w:pPr>
        <w:adjustRightInd w:val="0"/>
        <w:snapToGrid w:val="0"/>
        <w:spacing w:line="360" w:lineRule="auto"/>
        <w:jc w:val="center"/>
        <w:rPr>
          <w:rFonts w:ascii="黑体" w:eastAsia="黑体" w:hAnsi="黑体" w:cs="Arial" w:hint="eastAsia"/>
          <w:b/>
          <w:sz w:val="44"/>
          <w:szCs w:val="21"/>
        </w:rPr>
      </w:pPr>
      <w:proofErr w:type="gramStart"/>
      <w:r>
        <w:rPr>
          <w:rFonts w:ascii="黑体" w:eastAsia="黑体" w:hAnsi="黑体" w:cs="Arial" w:hint="eastAsia"/>
          <w:b/>
          <w:sz w:val="44"/>
          <w:szCs w:val="21"/>
        </w:rPr>
        <w:t>富国稳悦回报</w:t>
      </w:r>
      <w:proofErr w:type="gramEnd"/>
      <w:r>
        <w:rPr>
          <w:rFonts w:ascii="黑体" w:eastAsia="黑体" w:hAnsi="黑体" w:cs="Arial" w:hint="eastAsia"/>
          <w:b/>
          <w:sz w:val="44"/>
          <w:szCs w:val="21"/>
        </w:rPr>
        <w:t>混合型证券投资基金</w:t>
      </w:r>
    </w:p>
    <w:p w14:paraId="1B578773" w14:textId="22B2BB56" w:rsidR="003360D6" w:rsidRDefault="00000000">
      <w:pPr>
        <w:adjustRightInd w:val="0"/>
        <w:snapToGrid w:val="0"/>
        <w:spacing w:line="360" w:lineRule="auto"/>
        <w:jc w:val="center"/>
        <w:rPr>
          <w:rFonts w:ascii="黑体" w:eastAsia="黑体" w:hAnsi="黑体" w:cs="Arial" w:hint="eastAsia"/>
          <w:b/>
          <w:sz w:val="44"/>
          <w:szCs w:val="21"/>
        </w:rPr>
      </w:pPr>
      <w:r>
        <w:rPr>
          <w:rFonts w:ascii="黑体" w:eastAsia="黑体" w:hAnsi="黑体" w:cs="Arial" w:hint="eastAsia"/>
          <w:b/>
          <w:sz w:val="44"/>
          <w:szCs w:val="21"/>
        </w:rPr>
        <w:t>托管协议</w:t>
      </w:r>
    </w:p>
    <w:p w14:paraId="07F3FE61" w14:textId="77777777" w:rsidR="003360D6" w:rsidRDefault="003360D6">
      <w:pPr>
        <w:adjustRightInd w:val="0"/>
        <w:snapToGrid w:val="0"/>
        <w:spacing w:line="360" w:lineRule="auto"/>
        <w:jc w:val="center"/>
        <w:rPr>
          <w:rFonts w:ascii="黑体" w:eastAsia="黑体" w:hAnsi="黑体" w:cs="Arial" w:hint="eastAsia"/>
          <w:b/>
          <w:szCs w:val="21"/>
        </w:rPr>
      </w:pPr>
    </w:p>
    <w:p w14:paraId="36727A2C" w14:textId="77777777" w:rsidR="003360D6" w:rsidRDefault="003360D6">
      <w:pPr>
        <w:adjustRightInd w:val="0"/>
        <w:snapToGrid w:val="0"/>
        <w:spacing w:line="360" w:lineRule="auto"/>
        <w:jc w:val="center"/>
        <w:rPr>
          <w:rFonts w:cs="Arial"/>
          <w:szCs w:val="21"/>
        </w:rPr>
      </w:pPr>
    </w:p>
    <w:p w14:paraId="60C5C6E5" w14:textId="77777777" w:rsidR="003360D6" w:rsidRDefault="003360D6">
      <w:pPr>
        <w:adjustRightInd w:val="0"/>
        <w:snapToGrid w:val="0"/>
        <w:spacing w:line="360" w:lineRule="auto"/>
        <w:jc w:val="center"/>
        <w:rPr>
          <w:rFonts w:cs="Arial"/>
          <w:szCs w:val="21"/>
        </w:rPr>
      </w:pPr>
    </w:p>
    <w:p w14:paraId="1E6C2206" w14:textId="77777777" w:rsidR="003360D6" w:rsidRDefault="003360D6">
      <w:pPr>
        <w:adjustRightInd w:val="0"/>
        <w:snapToGrid w:val="0"/>
        <w:spacing w:line="360" w:lineRule="auto"/>
        <w:jc w:val="center"/>
        <w:rPr>
          <w:rFonts w:cs="Arial"/>
          <w:szCs w:val="21"/>
        </w:rPr>
      </w:pPr>
    </w:p>
    <w:p w14:paraId="35620A0F" w14:textId="77777777" w:rsidR="003360D6" w:rsidRDefault="003360D6">
      <w:pPr>
        <w:adjustRightInd w:val="0"/>
        <w:snapToGrid w:val="0"/>
        <w:spacing w:line="360" w:lineRule="auto"/>
        <w:jc w:val="center"/>
        <w:rPr>
          <w:rFonts w:cs="Arial"/>
          <w:szCs w:val="21"/>
        </w:rPr>
      </w:pPr>
    </w:p>
    <w:p w14:paraId="0D28BF0A" w14:textId="77777777" w:rsidR="003360D6" w:rsidRDefault="003360D6">
      <w:pPr>
        <w:adjustRightInd w:val="0"/>
        <w:snapToGrid w:val="0"/>
        <w:spacing w:line="360" w:lineRule="auto"/>
        <w:jc w:val="center"/>
        <w:rPr>
          <w:rFonts w:cs="Arial"/>
          <w:szCs w:val="21"/>
        </w:rPr>
      </w:pPr>
    </w:p>
    <w:p w14:paraId="6F359116" w14:textId="77777777" w:rsidR="003360D6" w:rsidRDefault="003360D6">
      <w:pPr>
        <w:adjustRightInd w:val="0"/>
        <w:snapToGrid w:val="0"/>
        <w:spacing w:line="360" w:lineRule="auto"/>
        <w:jc w:val="center"/>
        <w:rPr>
          <w:rFonts w:cs="Arial"/>
          <w:szCs w:val="21"/>
        </w:rPr>
      </w:pPr>
    </w:p>
    <w:p w14:paraId="32104E34" w14:textId="77777777" w:rsidR="003360D6" w:rsidRDefault="003360D6">
      <w:pPr>
        <w:adjustRightInd w:val="0"/>
        <w:snapToGrid w:val="0"/>
        <w:spacing w:line="360" w:lineRule="auto"/>
        <w:jc w:val="center"/>
        <w:rPr>
          <w:rFonts w:cs="Arial"/>
          <w:szCs w:val="21"/>
        </w:rPr>
      </w:pPr>
    </w:p>
    <w:p w14:paraId="1CB6B7A2" w14:textId="77777777" w:rsidR="003360D6" w:rsidRDefault="003360D6" w:rsidP="00320CDD">
      <w:pPr>
        <w:tabs>
          <w:tab w:val="left" w:pos="2070"/>
        </w:tabs>
        <w:adjustRightInd w:val="0"/>
        <w:snapToGrid w:val="0"/>
        <w:spacing w:line="360" w:lineRule="auto"/>
        <w:rPr>
          <w:rFonts w:cs="Arial"/>
          <w:szCs w:val="21"/>
        </w:rPr>
      </w:pPr>
    </w:p>
    <w:p w14:paraId="28AF836A" w14:textId="77777777" w:rsidR="003360D6" w:rsidRDefault="00000000">
      <w:pPr>
        <w:adjustRightInd w:val="0"/>
        <w:snapToGrid w:val="0"/>
        <w:spacing w:line="360" w:lineRule="auto"/>
        <w:ind w:firstLineChars="600" w:firstLine="1680"/>
        <w:rPr>
          <w:rFonts w:ascii="黑体" w:eastAsia="黑体" w:hAnsi="黑体" w:cs="Arial" w:hint="eastAsia"/>
          <w:bCs/>
          <w:sz w:val="28"/>
          <w:szCs w:val="21"/>
        </w:rPr>
      </w:pPr>
      <w:r>
        <w:rPr>
          <w:rFonts w:ascii="黑体" w:eastAsia="黑体" w:hAnsi="黑体" w:cs="Arial" w:hint="eastAsia"/>
          <w:bCs/>
          <w:sz w:val="28"/>
          <w:szCs w:val="21"/>
        </w:rPr>
        <w:t>基金管理人：富国基金管理有限公司</w:t>
      </w:r>
    </w:p>
    <w:p w14:paraId="705150DF" w14:textId="77777777" w:rsidR="003360D6" w:rsidRDefault="00000000">
      <w:pPr>
        <w:adjustRightInd w:val="0"/>
        <w:snapToGrid w:val="0"/>
        <w:spacing w:line="360" w:lineRule="auto"/>
        <w:ind w:firstLineChars="600" w:firstLine="1680"/>
        <w:rPr>
          <w:rFonts w:ascii="黑体" w:eastAsia="黑体" w:hAnsi="黑体" w:cs="Arial" w:hint="eastAsia"/>
          <w:bCs/>
          <w:sz w:val="28"/>
          <w:szCs w:val="21"/>
        </w:rPr>
      </w:pPr>
      <w:r>
        <w:rPr>
          <w:rFonts w:ascii="黑体" w:eastAsia="黑体" w:hAnsi="黑体" w:cs="Arial" w:hint="eastAsia"/>
          <w:bCs/>
          <w:sz w:val="28"/>
          <w:szCs w:val="21"/>
        </w:rPr>
        <w:t>基金托管人：南京银行股份有限公司</w:t>
      </w:r>
    </w:p>
    <w:p w14:paraId="7A987345" w14:textId="6D5CC70C" w:rsidR="003360D6" w:rsidRDefault="00000000">
      <w:pPr>
        <w:adjustRightInd w:val="0"/>
        <w:snapToGrid w:val="0"/>
        <w:spacing w:line="360" w:lineRule="auto"/>
        <w:ind w:firstLineChars="1100" w:firstLine="3080"/>
        <w:jc w:val="left"/>
        <w:rPr>
          <w:rFonts w:ascii="黑体" w:eastAsia="黑体" w:hAnsi="黑体" w:cs="Arial" w:hint="eastAsia"/>
          <w:bCs/>
          <w:sz w:val="28"/>
          <w:szCs w:val="21"/>
        </w:rPr>
      </w:pPr>
      <w:r>
        <w:rPr>
          <w:rFonts w:ascii="黑体" w:eastAsia="黑体" w:hAnsi="黑体" w:cs="Arial" w:hint="eastAsia"/>
          <w:bCs/>
          <w:sz w:val="28"/>
          <w:szCs w:val="21"/>
        </w:rPr>
        <w:t>二〇二六年</w:t>
      </w:r>
      <w:r w:rsidR="002F4E76">
        <w:rPr>
          <w:rFonts w:ascii="黑体" w:eastAsia="黑体" w:hAnsi="黑体" w:cs="Arial" w:hint="eastAsia"/>
          <w:bCs/>
          <w:sz w:val="28"/>
          <w:szCs w:val="21"/>
        </w:rPr>
        <w:t>七</w:t>
      </w:r>
      <w:r>
        <w:rPr>
          <w:rFonts w:ascii="黑体" w:eastAsia="黑体" w:hAnsi="黑体" w:cs="Arial" w:hint="eastAsia"/>
          <w:bCs/>
          <w:sz w:val="28"/>
          <w:szCs w:val="21"/>
        </w:rPr>
        <w:t>月</w:t>
      </w:r>
    </w:p>
    <w:p w14:paraId="458B0C70" w14:textId="77777777" w:rsidR="003360D6" w:rsidRDefault="003360D6">
      <w:pPr>
        <w:adjustRightInd w:val="0"/>
        <w:snapToGrid w:val="0"/>
        <w:spacing w:line="360" w:lineRule="auto"/>
        <w:jc w:val="center"/>
        <w:rPr>
          <w:rFonts w:cs="Arial"/>
          <w:szCs w:val="21"/>
        </w:rPr>
      </w:pPr>
    </w:p>
    <w:p w14:paraId="0268ED99" w14:textId="77777777" w:rsidR="003360D6" w:rsidRDefault="003360D6">
      <w:pPr>
        <w:adjustRightInd w:val="0"/>
        <w:snapToGrid w:val="0"/>
        <w:spacing w:line="360" w:lineRule="auto"/>
        <w:ind w:firstLineChars="1078" w:firstLine="2264"/>
        <w:rPr>
          <w:rFonts w:ascii="黑体" w:eastAsia="黑体" w:hAnsi="黑体" w:cs="Arial" w:hint="eastAsia"/>
          <w:bCs/>
          <w:szCs w:val="21"/>
        </w:rPr>
      </w:pPr>
    </w:p>
    <w:p w14:paraId="0E6FAFF2" w14:textId="77777777" w:rsidR="003360D6" w:rsidRDefault="003360D6">
      <w:pPr>
        <w:adjustRightInd w:val="0"/>
        <w:snapToGrid w:val="0"/>
        <w:spacing w:line="360" w:lineRule="auto"/>
        <w:ind w:firstLine="2264"/>
        <w:jc w:val="center"/>
        <w:rPr>
          <w:szCs w:val="21"/>
        </w:rPr>
      </w:pPr>
    </w:p>
    <w:p w14:paraId="6DBD9494" w14:textId="77777777" w:rsidR="003360D6" w:rsidRDefault="003360D6">
      <w:pPr>
        <w:adjustRightInd w:val="0"/>
        <w:snapToGrid w:val="0"/>
        <w:spacing w:line="360" w:lineRule="auto"/>
        <w:rPr>
          <w:rFonts w:cs="Arial"/>
          <w:bCs/>
          <w:szCs w:val="21"/>
        </w:rPr>
      </w:pPr>
    </w:p>
    <w:bookmarkEnd w:id="1"/>
    <w:p w14:paraId="1CF9F56B" w14:textId="77777777" w:rsidR="003360D6" w:rsidRDefault="003360D6">
      <w:pPr>
        <w:adjustRightInd w:val="0"/>
        <w:snapToGrid w:val="0"/>
        <w:spacing w:line="360" w:lineRule="auto"/>
        <w:rPr>
          <w:rFonts w:cs="Arial"/>
          <w:bCs/>
          <w:szCs w:val="21"/>
        </w:rPr>
        <w:sectPr w:rsidR="003360D6">
          <w:type w:val="continuous"/>
          <w:pgSz w:w="11906" w:h="16838"/>
          <w:pgMar w:top="1418" w:right="1701" w:bottom="1418" w:left="1701" w:header="851" w:footer="992" w:gutter="0"/>
          <w:cols w:space="425"/>
          <w:docGrid w:type="lines" w:linePitch="312"/>
        </w:sectPr>
      </w:pPr>
    </w:p>
    <w:p w14:paraId="3C48C2E4" w14:textId="77777777" w:rsidR="003360D6" w:rsidRDefault="00000000">
      <w:pPr>
        <w:adjustRightInd w:val="0"/>
        <w:snapToGrid w:val="0"/>
        <w:spacing w:line="360" w:lineRule="auto"/>
        <w:rPr>
          <w:rFonts w:cs="Arial"/>
          <w:bCs/>
          <w:szCs w:val="21"/>
        </w:rPr>
      </w:pPr>
      <w:bookmarkStart w:id="3" w:name="CLAUSE_bd58dd527ca2412b839164a45ea933d0"/>
      <w:r>
        <w:lastRenderedPageBreak/>
        <w:t xml:space="preserve"> </w:t>
      </w:r>
      <w:bookmarkStart w:id="4" w:name="CTS_bd58dd527ca2412b839164a45ea933d0"/>
      <w:bookmarkEnd w:id="4"/>
    </w:p>
    <w:p w14:paraId="4E69876F" w14:textId="77777777" w:rsidR="003360D6" w:rsidRDefault="00000000">
      <w:pPr>
        <w:spacing w:line="360" w:lineRule="auto"/>
        <w:jc w:val="center"/>
        <w:rPr>
          <w:rFonts w:ascii="宋体" w:hAnsi="宋体" w:hint="eastAsia"/>
          <w:b/>
          <w:bCs/>
          <w:szCs w:val="21"/>
        </w:rPr>
      </w:pPr>
      <w:r>
        <w:rPr>
          <w:rFonts w:ascii="宋体" w:hAnsi="宋体" w:hint="eastAsia"/>
          <w:b/>
          <w:bCs/>
          <w:szCs w:val="21"/>
        </w:rPr>
        <w:t>目    录</w:t>
      </w:r>
    </w:p>
    <w:p w14:paraId="4CBA7B9B" w14:textId="1F863353" w:rsidR="00320CDD" w:rsidRDefault="00000000">
      <w:pPr>
        <w:pStyle w:val="TOC2"/>
        <w:tabs>
          <w:tab w:val="right" w:leader="dot" w:pos="8494"/>
        </w:tabs>
        <w:rPr>
          <w:rFonts w:asciiTheme="minorHAnsi" w:eastAsiaTheme="minorEastAsia" w:hAnsiTheme="minorHAnsi" w:cstheme="minorBidi"/>
          <w:noProof/>
          <w:sz w:val="22"/>
          <w14:ligatures w14:val="standardContextual"/>
        </w:rPr>
      </w:pPr>
      <w:r>
        <w:rPr>
          <w:rFonts w:ascii="宋体" w:hAnsi="宋体"/>
          <w:szCs w:val="21"/>
        </w:rPr>
        <w:fldChar w:fldCharType="begin"/>
      </w:r>
      <w:r>
        <w:rPr>
          <w:rFonts w:ascii="宋体" w:hAnsi="宋体"/>
          <w:szCs w:val="21"/>
        </w:rPr>
        <w:instrText xml:space="preserve"> TOC \o "1-2" \h \z </w:instrText>
      </w:r>
      <w:r>
        <w:rPr>
          <w:rFonts w:ascii="宋体" w:hAnsi="宋体"/>
          <w:szCs w:val="21"/>
        </w:rPr>
        <w:fldChar w:fldCharType="separate"/>
      </w:r>
      <w:hyperlink w:anchor="_Toc229153180" w:history="1">
        <w:r w:rsidR="00320CDD" w:rsidRPr="0083685F">
          <w:rPr>
            <w:rStyle w:val="af4"/>
            <w:rFonts w:ascii="宋体" w:hAnsi="宋体" w:hint="eastAsia"/>
            <w:noProof/>
          </w:rPr>
          <w:t>一、基金托管协议当事人</w:t>
        </w:r>
        <w:r w:rsidR="00320CDD">
          <w:rPr>
            <w:rFonts w:hint="eastAsia"/>
            <w:noProof/>
            <w:webHidden/>
          </w:rPr>
          <w:tab/>
        </w:r>
        <w:r w:rsidR="00320CDD">
          <w:rPr>
            <w:rFonts w:hint="eastAsia"/>
            <w:noProof/>
            <w:webHidden/>
          </w:rPr>
          <w:fldChar w:fldCharType="begin"/>
        </w:r>
        <w:r w:rsidR="00320CDD">
          <w:rPr>
            <w:rFonts w:hint="eastAsia"/>
            <w:noProof/>
            <w:webHidden/>
          </w:rPr>
          <w:instrText xml:space="preserve"> </w:instrText>
        </w:r>
        <w:r w:rsidR="00320CDD">
          <w:rPr>
            <w:noProof/>
            <w:webHidden/>
          </w:rPr>
          <w:instrText>PAGEREF _Toc229153180 \h</w:instrText>
        </w:r>
        <w:r w:rsidR="00320CDD">
          <w:rPr>
            <w:rFonts w:hint="eastAsia"/>
            <w:noProof/>
            <w:webHidden/>
          </w:rPr>
          <w:instrText xml:space="preserve"> </w:instrText>
        </w:r>
        <w:r w:rsidR="00320CDD">
          <w:rPr>
            <w:rFonts w:hint="eastAsia"/>
            <w:noProof/>
            <w:webHidden/>
          </w:rPr>
        </w:r>
        <w:r w:rsidR="00320CDD">
          <w:rPr>
            <w:rFonts w:hint="eastAsia"/>
            <w:noProof/>
            <w:webHidden/>
          </w:rPr>
          <w:fldChar w:fldCharType="separate"/>
        </w:r>
        <w:r w:rsidR="002F4E76">
          <w:rPr>
            <w:noProof/>
            <w:webHidden/>
          </w:rPr>
          <w:t>5</w:t>
        </w:r>
        <w:r w:rsidR="00320CDD">
          <w:rPr>
            <w:rFonts w:hint="eastAsia"/>
            <w:noProof/>
            <w:webHidden/>
          </w:rPr>
          <w:fldChar w:fldCharType="end"/>
        </w:r>
      </w:hyperlink>
    </w:p>
    <w:p w14:paraId="2924D8BB" w14:textId="207FA1B5" w:rsidR="00320CDD" w:rsidRDefault="00320CDD">
      <w:pPr>
        <w:pStyle w:val="TOC2"/>
        <w:tabs>
          <w:tab w:val="right" w:leader="dot" w:pos="8494"/>
        </w:tabs>
        <w:rPr>
          <w:rFonts w:asciiTheme="minorHAnsi" w:eastAsiaTheme="minorEastAsia" w:hAnsiTheme="minorHAnsi" w:cstheme="minorBidi"/>
          <w:noProof/>
          <w:sz w:val="22"/>
          <w14:ligatures w14:val="standardContextual"/>
        </w:rPr>
      </w:pPr>
      <w:hyperlink w:anchor="_Toc229153181" w:history="1">
        <w:r w:rsidRPr="0083685F">
          <w:rPr>
            <w:rStyle w:val="af4"/>
            <w:rFonts w:ascii="宋体" w:hAnsi="宋体" w:hint="eastAsia"/>
            <w:noProof/>
          </w:rPr>
          <w:t>二、基金托管协议的依据、目的和原则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_Toc229153181 \h</w:instrText>
        </w:r>
        <w:r>
          <w:rPr>
            <w:rFonts w:hint="eastAsia"/>
            <w:noProof/>
            <w:webHidden/>
          </w:rPr>
          <w:instrText xml:space="preserve"> </w:instrText>
        </w:r>
        <w:r>
          <w:rPr>
            <w:rFonts w:hint="eastAsia"/>
            <w:noProof/>
            <w:webHidden/>
          </w:rPr>
        </w:r>
        <w:r>
          <w:rPr>
            <w:rFonts w:hint="eastAsia"/>
            <w:noProof/>
            <w:webHidden/>
          </w:rPr>
          <w:fldChar w:fldCharType="separate"/>
        </w:r>
        <w:r w:rsidR="002F4E76">
          <w:rPr>
            <w:noProof/>
            <w:webHidden/>
          </w:rPr>
          <w:t>7</w:t>
        </w:r>
        <w:r>
          <w:rPr>
            <w:rFonts w:hint="eastAsia"/>
            <w:noProof/>
            <w:webHidden/>
          </w:rPr>
          <w:fldChar w:fldCharType="end"/>
        </w:r>
      </w:hyperlink>
    </w:p>
    <w:p w14:paraId="059B353C" w14:textId="724B4E14" w:rsidR="00320CDD" w:rsidRDefault="00320CDD">
      <w:pPr>
        <w:pStyle w:val="TOC2"/>
        <w:tabs>
          <w:tab w:val="right" w:leader="dot" w:pos="8494"/>
        </w:tabs>
        <w:rPr>
          <w:rFonts w:asciiTheme="minorHAnsi" w:eastAsiaTheme="minorEastAsia" w:hAnsiTheme="minorHAnsi" w:cstheme="minorBidi"/>
          <w:noProof/>
          <w:sz w:val="22"/>
          <w14:ligatures w14:val="standardContextual"/>
        </w:rPr>
      </w:pPr>
      <w:hyperlink w:anchor="_Toc229153182" w:history="1">
        <w:r w:rsidRPr="0083685F">
          <w:rPr>
            <w:rStyle w:val="af4"/>
            <w:rFonts w:ascii="宋体" w:hAnsi="宋体" w:hint="eastAsia"/>
            <w:noProof/>
          </w:rPr>
          <w:t>三、基金托管人对基金管理人的业务监督和核查</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_Toc229153182 \h</w:instrText>
        </w:r>
        <w:r>
          <w:rPr>
            <w:rFonts w:hint="eastAsia"/>
            <w:noProof/>
            <w:webHidden/>
          </w:rPr>
          <w:instrText xml:space="preserve"> </w:instrText>
        </w:r>
        <w:r>
          <w:rPr>
            <w:rFonts w:hint="eastAsia"/>
            <w:noProof/>
            <w:webHidden/>
          </w:rPr>
        </w:r>
        <w:r>
          <w:rPr>
            <w:rFonts w:hint="eastAsia"/>
            <w:noProof/>
            <w:webHidden/>
          </w:rPr>
          <w:fldChar w:fldCharType="separate"/>
        </w:r>
        <w:r w:rsidR="002F4E76">
          <w:rPr>
            <w:noProof/>
            <w:webHidden/>
          </w:rPr>
          <w:t>8</w:t>
        </w:r>
        <w:r>
          <w:rPr>
            <w:rFonts w:hint="eastAsia"/>
            <w:noProof/>
            <w:webHidden/>
          </w:rPr>
          <w:fldChar w:fldCharType="end"/>
        </w:r>
      </w:hyperlink>
    </w:p>
    <w:p w14:paraId="2E55F439" w14:textId="73177399" w:rsidR="00320CDD" w:rsidRDefault="00320CDD">
      <w:pPr>
        <w:pStyle w:val="TOC2"/>
        <w:tabs>
          <w:tab w:val="right" w:leader="dot" w:pos="8494"/>
        </w:tabs>
        <w:rPr>
          <w:rFonts w:asciiTheme="minorHAnsi" w:eastAsiaTheme="minorEastAsia" w:hAnsiTheme="minorHAnsi" w:cstheme="minorBidi"/>
          <w:noProof/>
          <w:sz w:val="22"/>
          <w14:ligatures w14:val="standardContextual"/>
        </w:rPr>
      </w:pPr>
      <w:hyperlink w:anchor="_Toc229153183" w:history="1">
        <w:r w:rsidRPr="0083685F">
          <w:rPr>
            <w:rStyle w:val="af4"/>
            <w:rFonts w:ascii="宋体" w:hAnsi="宋体" w:hint="eastAsia"/>
            <w:noProof/>
          </w:rPr>
          <w:t>四、基金管理人对基金托管人的业务核查</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_Toc229153183 \h</w:instrText>
        </w:r>
        <w:r>
          <w:rPr>
            <w:rFonts w:hint="eastAsia"/>
            <w:noProof/>
            <w:webHidden/>
          </w:rPr>
          <w:instrText xml:space="preserve"> </w:instrText>
        </w:r>
        <w:r>
          <w:rPr>
            <w:rFonts w:hint="eastAsia"/>
            <w:noProof/>
            <w:webHidden/>
          </w:rPr>
        </w:r>
        <w:r>
          <w:rPr>
            <w:rFonts w:hint="eastAsia"/>
            <w:noProof/>
            <w:webHidden/>
          </w:rPr>
          <w:fldChar w:fldCharType="separate"/>
        </w:r>
        <w:r w:rsidR="002F4E76">
          <w:rPr>
            <w:noProof/>
            <w:webHidden/>
          </w:rPr>
          <w:t>20</w:t>
        </w:r>
        <w:r>
          <w:rPr>
            <w:rFonts w:hint="eastAsia"/>
            <w:noProof/>
            <w:webHidden/>
          </w:rPr>
          <w:fldChar w:fldCharType="end"/>
        </w:r>
      </w:hyperlink>
    </w:p>
    <w:p w14:paraId="3286F5BD" w14:textId="4A65CD68" w:rsidR="00320CDD" w:rsidRDefault="00320CDD">
      <w:pPr>
        <w:pStyle w:val="TOC2"/>
        <w:tabs>
          <w:tab w:val="right" w:leader="dot" w:pos="8494"/>
        </w:tabs>
        <w:rPr>
          <w:rFonts w:asciiTheme="minorHAnsi" w:eastAsiaTheme="minorEastAsia" w:hAnsiTheme="minorHAnsi" w:cstheme="minorBidi"/>
          <w:noProof/>
          <w:sz w:val="22"/>
          <w14:ligatures w14:val="standardContextual"/>
        </w:rPr>
      </w:pPr>
      <w:hyperlink w:anchor="_Toc229153184" w:history="1">
        <w:r w:rsidRPr="0083685F">
          <w:rPr>
            <w:rStyle w:val="af4"/>
            <w:rFonts w:ascii="宋体" w:hAnsi="宋体" w:hint="eastAsia"/>
            <w:noProof/>
          </w:rPr>
          <w:t>五、基金财产的保管</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_Toc229153184 \h</w:instrText>
        </w:r>
        <w:r>
          <w:rPr>
            <w:rFonts w:hint="eastAsia"/>
            <w:noProof/>
            <w:webHidden/>
          </w:rPr>
          <w:instrText xml:space="preserve"> </w:instrText>
        </w:r>
        <w:r>
          <w:rPr>
            <w:rFonts w:hint="eastAsia"/>
            <w:noProof/>
            <w:webHidden/>
          </w:rPr>
        </w:r>
        <w:r>
          <w:rPr>
            <w:rFonts w:hint="eastAsia"/>
            <w:noProof/>
            <w:webHidden/>
          </w:rPr>
          <w:fldChar w:fldCharType="separate"/>
        </w:r>
        <w:r w:rsidR="002F4E76">
          <w:rPr>
            <w:noProof/>
            <w:webHidden/>
          </w:rPr>
          <w:t>21</w:t>
        </w:r>
        <w:r>
          <w:rPr>
            <w:rFonts w:hint="eastAsia"/>
            <w:noProof/>
            <w:webHidden/>
          </w:rPr>
          <w:fldChar w:fldCharType="end"/>
        </w:r>
      </w:hyperlink>
    </w:p>
    <w:p w14:paraId="7E8E34FD" w14:textId="10CE0133" w:rsidR="00320CDD" w:rsidRDefault="00320CDD">
      <w:pPr>
        <w:pStyle w:val="TOC2"/>
        <w:tabs>
          <w:tab w:val="right" w:leader="dot" w:pos="8494"/>
        </w:tabs>
        <w:rPr>
          <w:rFonts w:asciiTheme="minorHAnsi" w:eastAsiaTheme="minorEastAsia" w:hAnsiTheme="minorHAnsi" w:cstheme="minorBidi"/>
          <w:noProof/>
          <w:sz w:val="22"/>
          <w14:ligatures w14:val="standardContextual"/>
        </w:rPr>
      </w:pPr>
      <w:hyperlink w:anchor="_Toc229153185" w:history="1">
        <w:r w:rsidRPr="0083685F">
          <w:rPr>
            <w:rStyle w:val="af4"/>
            <w:rFonts w:ascii="宋体" w:hAnsi="宋体" w:hint="eastAsia"/>
            <w:noProof/>
          </w:rPr>
          <w:t>六、指令的发送、确认及执行</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_Toc229153185 \h</w:instrText>
        </w:r>
        <w:r>
          <w:rPr>
            <w:rFonts w:hint="eastAsia"/>
            <w:noProof/>
            <w:webHidden/>
          </w:rPr>
          <w:instrText xml:space="preserve"> </w:instrText>
        </w:r>
        <w:r>
          <w:rPr>
            <w:rFonts w:hint="eastAsia"/>
            <w:noProof/>
            <w:webHidden/>
          </w:rPr>
        </w:r>
        <w:r>
          <w:rPr>
            <w:rFonts w:hint="eastAsia"/>
            <w:noProof/>
            <w:webHidden/>
          </w:rPr>
          <w:fldChar w:fldCharType="separate"/>
        </w:r>
        <w:r w:rsidR="002F4E76">
          <w:rPr>
            <w:noProof/>
            <w:webHidden/>
          </w:rPr>
          <w:t>25</w:t>
        </w:r>
        <w:r>
          <w:rPr>
            <w:rFonts w:hint="eastAsia"/>
            <w:noProof/>
            <w:webHidden/>
          </w:rPr>
          <w:fldChar w:fldCharType="end"/>
        </w:r>
      </w:hyperlink>
    </w:p>
    <w:p w14:paraId="3093CC3E" w14:textId="16748574" w:rsidR="00320CDD" w:rsidRDefault="00320CDD">
      <w:pPr>
        <w:pStyle w:val="TOC2"/>
        <w:tabs>
          <w:tab w:val="right" w:leader="dot" w:pos="8494"/>
        </w:tabs>
        <w:rPr>
          <w:rFonts w:asciiTheme="minorHAnsi" w:eastAsiaTheme="minorEastAsia" w:hAnsiTheme="minorHAnsi" w:cstheme="minorBidi"/>
          <w:noProof/>
          <w:sz w:val="22"/>
          <w14:ligatures w14:val="standardContextual"/>
        </w:rPr>
      </w:pPr>
      <w:hyperlink w:anchor="_Toc229153186" w:history="1">
        <w:r w:rsidRPr="0083685F">
          <w:rPr>
            <w:rStyle w:val="af4"/>
            <w:rFonts w:ascii="宋体" w:hAnsi="宋体" w:hint="eastAsia"/>
            <w:noProof/>
          </w:rPr>
          <w:t>七、交易及清算交收安排</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_Toc229153186 \h</w:instrText>
        </w:r>
        <w:r>
          <w:rPr>
            <w:rFonts w:hint="eastAsia"/>
            <w:noProof/>
            <w:webHidden/>
          </w:rPr>
          <w:instrText xml:space="preserve"> </w:instrText>
        </w:r>
        <w:r>
          <w:rPr>
            <w:rFonts w:hint="eastAsia"/>
            <w:noProof/>
            <w:webHidden/>
          </w:rPr>
        </w:r>
        <w:r>
          <w:rPr>
            <w:rFonts w:hint="eastAsia"/>
            <w:noProof/>
            <w:webHidden/>
          </w:rPr>
          <w:fldChar w:fldCharType="separate"/>
        </w:r>
        <w:r w:rsidR="002F4E76">
          <w:rPr>
            <w:noProof/>
            <w:webHidden/>
          </w:rPr>
          <w:t>29</w:t>
        </w:r>
        <w:r>
          <w:rPr>
            <w:rFonts w:hint="eastAsia"/>
            <w:noProof/>
            <w:webHidden/>
          </w:rPr>
          <w:fldChar w:fldCharType="end"/>
        </w:r>
      </w:hyperlink>
    </w:p>
    <w:p w14:paraId="310F2397" w14:textId="13E15612" w:rsidR="00320CDD" w:rsidRDefault="00320CDD">
      <w:pPr>
        <w:pStyle w:val="TOC2"/>
        <w:tabs>
          <w:tab w:val="right" w:leader="dot" w:pos="8494"/>
        </w:tabs>
        <w:rPr>
          <w:rFonts w:asciiTheme="minorHAnsi" w:eastAsiaTheme="minorEastAsia" w:hAnsiTheme="minorHAnsi" w:cstheme="minorBidi"/>
          <w:noProof/>
          <w:sz w:val="22"/>
          <w14:ligatures w14:val="standardContextual"/>
        </w:rPr>
      </w:pPr>
      <w:hyperlink w:anchor="_Toc229153187" w:history="1">
        <w:r w:rsidRPr="0083685F">
          <w:rPr>
            <w:rStyle w:val="af4"/>
            <w:rFonts w:ascii="宋体" w:hAnsi="宋体" w:hint="eastAsia"/>
            <w:noProof/>
          </w:rPr>
          <w:t>八、基金资产净值计算、估值和会计核算</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_Toc229153187 \h</w:instrText>
        </w:r>
        <w:r>
          <w:rPr>
            <w:rFonts w:hint="eastAsia"/>
            <w:noProof/>
            <w:webHidden/>
          </w:rPr>
          <w:instrText xml:space="preserve"> </w:instrText>
        </w:r>
        <w:r>
          <w:rPr>
            <w:rFonts w:hint="eastAsia"/>
            <w:noProof/>
            <w:webHidden/>
          </w:rPr>
        </w:r>
        <w:r>
          <w:rPr>
            <w:rFonts w:hint="eastAsia"/>
            <w:noProof/>
            <w:webHidden/>
          </w:rPr>
          <w:fldChar w:fldCharType="separate"/>
        </w:r>
        <w:r w:rsidR="002F4E76">
          <w:rPr>
            <w:noProof/>
            <w:webHidden/>
          </w:rPr>
          <w:t>33</w:t>
        </w:r>
        <w:r>
          <w:rPr>
            <w:rFonts w:hint="eastAsia"/>
            <w:noProof/>
            <w:webHidden/>
          </w:rPr>
          <w:fldChar w:fldCharType="end"/>
        </w:r>
      </w:hyperlink>
    </w:p>
    <w:p w14:paraId="2CD5331F" w14:textId="1FE7839B" w:rsidR="00320CDD" w:rsidRDefault="00320CDD">
      <w:pPr>
        <w:pStyle w:val="TOC2"/>
        <w:tabs>
          <w:tab w:val="right" w:leader="dot" w:pos="8494"/>
        </w:tabs>
        <w:rPr>
          <w:rFonts w:asciiTheme="minorHAnsi" w:eastAsiaTheme="minorEastAsia" w:hAnsiTheme="minorHAnsi" w:cstheme="minorBidi"/>
          <w:noProof/>
          <w:sz w:val="22"/>
          <w14:ligatures w14:val="standardContextual"/>
        </w:rPr>
      </w:pPr>
      <w:hyperlink w:anchor="_Toc229153188" w:history="1">
        <w:r w:rsidRPr="0083685F">
          <w:rPr>
            <w:rStyle w:val="af4"/>
            <w:rFonts w:ascii="宋体" w:hAnsi="宋体" w:hint="eastAsia"/>
            <w:noProof/>
          </w:rPr>
          <w:t>九、基金收益分配</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_Toc229153188 \h</w:instrText>
        </w:r>
        <w:r>
          <w:rPr>
            <w:rFonts w:hint="eastAsia"/>
            <w:noProof/>
            <w:webHidden/>
          </w:rPr>
          <w:instrText xml:space="preserve"> </w:instrText>
        </w:r>
        <w:r>
          <w:rPr>
            <w:rFonts w:hint="eastAsia"/>
            <w:noProof/>
            <w:webHidden/>
          </w:rPr>
        </w:r>
        <w:r>
          <w:rPr>
            <w:rFonts w:hint="eastAsia"/>
            <w:noProof/>
            <w:webHidden/>
          </w:rPr>
          <w:fldChar w:fldCharType="separate"/>
        </w:r>
        <w:r w:rsidR="002F4E76">
          <w:rPr>
            <w:noProof/>
            <w:webHidden/>
          </w:rPr>
          <w:t>35</w:t>
        </w:r>
        <w:r>
          <w:rPr>
            <w:rFonts w:hint="eastAsia"/>
            <w:noProof/>
            <w:webHidden/>
          </w:rPr>
          <w:fldChar w:fldCharType="end"/>
        </w:r>
      </w:hyperlink>
    </w:p>
    <w:p w14:paraId="0A16E8E2" w14:textId="397926F9" w:rsidR="00320CDD" w:rsidRDefault="00320CDD">
      <w:pPr>
        <w:pStyle w:val="TOC2"/>
        <w:tabs>
          <w:tab w:val="right" w:leader="dot" w:pos="8494"/>
        </w:tabs>
        <w:rPr>
          <w:rFonts w:asciiTheme="minorHAnsi" w:eastAsiaTheme="minorEastAsia" w:hAnsiTheme="minorHAnsi" w:cstheme="minorBidi"/>
          <w:noProof/>
          <w:sz w:val="22"/>
          <w14:ligatures w14:val="standardContextual"/>
        </w:rPr>
      </w:pPr>
      <w:hyperlink w:anchor="_Toc229153189" w:history="1">
        <w:r w:rsidRPr="0083685F">
          <w:rPr>
            <w:rStyle w:val="af4"/>
            <w:rFonts w:ascii="宋体" w:hAnsi="宋体" w:hint="eastAsia"/>
            <w:noProof/>
          </w:rPr>
          <w:t>十、基金信息披露</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_Toc229153189 \h</w:instrText>
        </w:r>
        <w:r>
          <w:rPr>
            <w:rFonts w:hint="eastAsia"/>
            <w:noProof/>
            <w:webHidden/>
          </w:rPr>
          <w:instrText xml:space="preserve"> </w:instrText>
        </w:r>
        <w:r>
          <w:rPr>
            <w:rFonts w:hint="eastAsia"/>
            <w:noProof/>
            <w:webHidden/>
          </w:rPr>
        </w:r>
        <w:r>
          <w:rPr>
            <w:rFonts w:hint="eastAsia"/>
            <w:noProof/>
            <w:webHidden/>
          </w:rPr>
          <w:fldChar w:fldCharType="separate"/>
        </w:r>
        <w:r w:rsidR="002F4E76">
          <w:rPr>
            <w:noProof/>
            <w:webHidden/>
          </w:rPr>
          <w:t>36</w:t>
        </w:r>
        <w:r>
          <w:rPr>
            <w:rFonts w:hint="eastAsia"/>
            <w:noProof/>
            <w:webHidden/>
          </w:rPr>
          <w:fldChar w:fldCharType="end"/>
        </w:r>
      </w:hyperlink>
    </w:p>
    <w:p w14:paraId="2BF0D78E" w14:textId="6E859D15" w:rsidR="00320CDD" w:rsidRDefault="00320CDD">
      <w:pPr>
        <w:pStyle w:val="TOC2"/>
        <w:tabs>
          <w:tab w:val="right" w:leader="dot" w:pos="8494"/>
        </w:tabs>
        <w:rPr>
          <w:rFonts w:asciiTheme="minorHAnsi" w:eastAsiaTheme="minorEastAsia" w:hAnsiTheme="minorHAnsi" w:cstheme="minorBidi"/>
          <w:noProof/>
          <w:sz w:val="22"/>
          <w14:ligatures w14:val="standardContextual"/>
        </w:rPr>
      </w:pPr>
      <w:hyperlink w:anchor="_Toc229153190" w:history="1">
        <w:r w:rsidRPr="0083685F">
          <w:rPr>
            <w:rStyle w:val="af4"/>
            <w:rFonts w:ascii="宋体" w:hAnsi="宋体" w:hint="eastAsia"/>
            <w:noProof/>
          </w:rPr>
          <w:t>十一、基金费用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_Toc229153190 \h</w:instrText>
        </w:r>
        <w:r>
          <w:rPr>
            <w:rFonts w:hint="eastAsia"/>
            <w:noProof/>
            <w:webHidden/>
          </w:rPr>
          <w:instrText xml:space="preserve"> </w:instrText>
        </w:r>
        <w:r>
          <w:rPr>
            <w:rFonts w:hint="eastAsia"/>
            <w:noProof/>
            <w:webHidden/>
          </w:rPr>
        </w:r>
        <w:r>
          <w:rPr>
            <w:rFonts w:hint="eastAsia"/>
            <w:noProof/>
            <w:webHidden/>
          </w:rPr>
          <w:fldChar w:fldCharType="separate"/>
        </w:r>
        <w:r w:rsidR="002F4E76">
          <w:rPr>
            <w:noProof/>
            <w:webHidden/>
          </w:rPr>
          <w:t>38</w:t>
        </w:r>
        <w:r>
          <w:rPr>
            <w:rFonts w:hint="eastAsia"/>
            <w:noProof/>
            <w:webHidden/>
          </w:rPr>
          <w:fldChar w:fldCharType="end"/>
        </w:r>
      </w:hyperlink>
    </w:p>
    <w:p w14:paraId="518A37EE" w14:textId="10520E4A" w:rsidR="00320CDD" w:rsidRDefault="00320CDD">
      <w:pPr>
        <w:pStyle w:val="TOC2"/>
        <w:tabs>
          <w:tab w:val="right" w:leader="dot" w:pos="8494"/>
        </w:tabs>
        <w:rPr>
          <w:rFonts w:asciiTheme="minorHAnsi" w:eastAsiaTheme="minorEastAsia" w:hAnsiTheme="minorHAnsi" w:cstheme="minorBidi"/>
          <w:noProof/>
          <w:sz w:val="22"/>
          <w14:ligatures w14:val="standardContextual"/>
        </w:rPr>
      </w:pPr>
      <w:hyperlink w:anchor="_Toc229153191" w:history="1">
        <w:r w:rsidRPr="0083685F">
          <w:rPr>
            <w:rStyle w:val="af4"/>
            <w:rFonts w:ascii="宋体" w:hAnsi="宋体" w:hint="eastAsia"/>
            <w:noProof/>
          </w:rPr>
          <w:t>十二、基金份额持有人名册的保管</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_Toc229153191 \h</w:instrText>
        </w:r>
        <w:r>
          <w:rPr>
            <w:rFonts w:hint="eastAsia"/>
            <w:noProof/>
            <w:webHidden/>
          </w:rPr>
          <w:instrText xml:space="preserve"> </w:instrText>
        </w:r>
        <w:r>
          <w:rPr>
            <w:rFonts w:hint="eastAsia"/>
            <w:noProof/>
            <w:webHidden/>
          </w:rPr>
        </w:r>
        <w:r>
          <w:rPr>
            <w:rFonts w:hint="eastAsia"/>
            <w:noProof/>
            <w:webHidden/>
          </w:rPr>
          <w:fldChar w:fldCharType="separate"/>
        </w:r>
        <w:r w:rsidR="002F4E76">
          <w:rPr>
            <w:noProof/>
            <w:webHidden/>
          </w:rPr>
          <w:t>39</w:t>
        </w:r>
        <w:r>
          <w:rPr>
            <w:rFonts w:hint="eastAsia"/>
            <w:noProof/>
            <w:webHidden/>
          </w:rPr>
          <w:fldChar w:fldCharType="end"/>
        </w:r>
      </w:hyperlink>
    </w:p>
    <w:p w14:paraId="3E907B08" w14:textId="16D303ED" w:rsidR="00320CDD" w:rsidRDefault="00320CDD">
      <w:pPr>
        <w:pStyle w:val="TOC2"/>
        <w:tabs>
          <w:tab w:val="right" w:leader="dot" w:pos="8494"/>
        </w:tabs>
        <w:rPr>
          <w:rFonts w:asciiTheme="minorHAnsi" w:eastAsiaTheme="minorEastAsia" w:hAnsiTheme="minorHAnsi" w:cstheme="minorBidi"/>
          <w:noProof/>
          <w:sz w:val="22"/>
          <w14:ligatures w14:val="standardContextual"/>
        </w:rPr>
      </w:pPr>
      <w:hyperlink w:anchor="_Toc229153192" w:history="1">
        <w:r w:rsidRPr="0083685F">
          <w:rPr>
            <w:rStyle w:val="af4"/>
            <w:rFonts w:ascii="宋体" w:hAnsi="宋体" w:hint="eastAsia"/>
            <w:noProof/>
          </w:rPr>
          <w:t>十三、基金有关文件档案的保存</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_Toc229153192 \h</w:instrText>
        </w:r>
        <w:r>
          <w:rPr>
            <w:rFonts w:hint="eastAsia"/>
            <w:noProof/>
            <w:webHidden/>
          </w:rPr>
          <w:instrText xml:space="preserve"> </w:instrText>
        </w:r>
        <w:r>
          <w:rPr>
            <w:rFonts w:hint="eastAsia"/>
            <w:noProof/>
            <w:webHidden/>
          </w:rPr>
        </w:r>
        <w:r>
          <w:rPr>
            <w:rFonts w:hint="eastAsia"/>
            <w:noProof/>
            <w:webHidden/>
          </w:rPr>
          <w:fldChar w:fldCharType="separate"/>
        </w:r>
        <w:r w:rsidR="002F4E76">
          <w:rPr>
            <w:noProof/>
            <w:webHidden/>
          </w:rPr>
          <w:t>40</w:t>
        </w:r>
        <w:r>
          <w:rPr>
            <w:rFonts w:hint="eastAsia"/>
            <w:noProof/>
            <w:webHidden/>
          </w:rPr>
          <w:fldChar w:fldCharType="end"/>
        </w:r>
      </w:hyperlink>
    </w:p>
    <w:p w14:paraId="47CCA604" w14:textId="67635057" w:rsidR="00320CDD" w:rsidRDefault="00320CDD">
      <w:pPr>
        <w:pStyle w:val="TOC2"/>
        <w:tabs>
          <w:tab w:val="right" w:leader="dot" w:pos="8494"/>
        </w:tabs>
        <w:rPr>
          <w:rFonts w:asciiTheme="minorHAnsi" w:eastAsiaTheme="minorEastAsia" w:hAnsiTheme="minorHAnsi" w:cstheme="minorBidi"/>
          <w:noProof/>
          <w:sz w:val="22"/>
          <w14:ligatures w14:val="standardContextual"/>
        </w:rPr>
      </w:pPr>
      <w:hyperlink w:anchor="_Toc229153193" w:history="1">
        <w:r w:rsidRPr="0083685F">
          <w:rPr>
            <w:rStyle w:val="af4"/>
            <w:rFonts w:ascii="宋体" w:hAnsi="宋体" w:hint="eastAsia"/>
            <w:noProof/>
          </w:rPr>
          <w:t>十四、基金管理人和基金托管人的更换</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_Toc229153193 \h</w:instrText>
        </w:r>
        <w:r>
          <w:rPr>
            <w:rFonts w:hint="eastAsia"/>
            <w:noProof/>
            <w:webHidden/>
          </w:rPr>
          <w:instrText xml:space="preserve"> </w:instrText>
        </w:r>
        <w:r>
          <w:rPr>
            <w:rFonts w:hint="eastAsia"/>
            <w:noProof/>
            <w:webHidden/>
          </w:rPr>
        </w:r>
        <w:r>
          <w:rPr>
            <w:rFonts w:hint="eastAsia"/>
            <w:noProof/>
            <w:webHidden/>
          </w:rPr>
          <w:fldChar w:fldCharType="separate"/>
        </w:r>
        <w:r w:rsidR="002F4E76">
          <w:rPr>
            <w:noProof/>
            <w:webHidden/>
          </w:rPr>
          <w:t>41</w:t>
        </w:r>
        <w:r>
          <w:rPr>
            <w:rFonts w:hint="eastAsia"/>
            <w:noProof/>
            <w:webHidden/>
          </w:rPr>
          <w:fldChar w:fldCharType="end"/>
        </w:r>
      </w:hyperlink>
    </w:p>
    <w:p w14:paraId="1109C591" w14:textId="76C82F00" w:rsidR="00320CDD" w:rsidRDefault="00320CDD">
      <w:pPr>
        <w:pStyle w:val="TOC2"/>
        <w:tabs>
          <w:tab w:val="right" w:leader="dot" w:pos="8494"/>
        </w:tabs>
        <w:rPr>
          <w:rFonts w:asciiTheme="minorHAnsi" w:eastAsiaTheme="minorEastAsia" w:hAnsiTheme="minorHAnsi" w:cstheme="minorBidi"/>
          <w:noProof/>
          <w:sz w:val="22"/>
          <w14:ligatures w14:val="standardContextual"/>
        </w:rPr>
      </w:pPr>
      <w:hyperlink w:anchor="_Toc229153194" w:history="1">
        <w:r w:rsidRPr="0083685F">
          <w:rPr>
            <w:rStyle w:val="af4"/>
            <w:rFonts w:ascii="宋体" w:hAnsi="宋体" w:hint="eastAsia"/>
            <w:noProof/>
          </w:rPr>
          <w:t>十五、禁止行为</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_Toc229153194 \h</w:instrText>
        </w:r>
        <w:r>
          <w:rPr>
            <w:rFonts w:hint="eastAsia"/>
            <w:noProof/>
            <w:webHidden/>
          </w:rPr>
          <w:instrText xml:space="preserve"> </w:instrText>
        </w:r>
        <w:r>
          <w:rPr>
            <w:rFonts w:hint="eastAsia"/>
            <w:noProof/>
            <w:webHidden/>
          </w:rPr>
        </w:r>
        <w:r>
          <w:rPr>
            <w:rFonts w:hint="eastAsia"/>
            <w:noProof/>
            <w:webHidden/>
          </w:rPr>
          <w:fldChar w:fldCharType="separate"/>
        </w:r>
        <w:r w:rsidR="002F4E76">
          <w:rPr>
            <w:noProof/>
            <w:webHidden/>
          </w:rPr>
          <w:t>42</w:t>
        </w:r>
        <w:r>
          <w:rPr>
            <w:rFonts w:hint="eastAsia"/>
            <w:noProof/>
            <w:webHidden/>
          </w:rPr>
          <w:fldChar w:fldCharType="end"/>
        </w:r>
      </w:hyperlink>
    </w:p>
    <w:p w14:paraId="3EED048C" w14:textId="255C13C9" w:rsidR="00320CDD" w:rsidRDefault="00320CDD">
      <w:pPr>
        <w:pStyle w:val="TOC2"/>
        <w:tabs>
          <w:tab w:val="right" w:leader="dot" w:pos="8494"/>
        </w:tabs>
        <w:rPr>
          <w:rFonts w:asciiTheme="minorHAnsi" w:eastAsiaTheme="minorEastAsia" w:hAnsiTheme="minorHAnsi" w:cstheme="minorBidi"/>
          <w:noProof/>
          <w:sz w:val="22"/>
          <w14:ligatures w14:val="standardContextual"/>
        </w:rPr>
      </w:pPr>
      <w:hyperlink w:anchor="_Toc229153195" w:history="1">
        <w:r w:rsidRPr="0083685F">
          <w:rPr>
            <w:rStyle w:val="af4"/>
            <w:rFonts w:ascii="宋体" w:hAnsi="宋体" w:hint="eastAsia"/>
            <w:noProof/>
          </w:rPr>
          <w:t>十六、托管协议的变更、终止与基金财产的清算</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_Toc229153195 \h</w:instrText>
        </w:r>
        <w:r>
          <w:rPr>
            <w:rFonts w:hint="eastAsia"/>
            <w:noProof/>
            <w:webHidden/>
          </w:rPr>
          <w:instrText xml:space="preserve"> </w:instrText>
        </w:r>
        <w:r>
          <w:rPr>
            <w:rFonts w:hint="eastAsia"/>
            <w:noProof/>
            <w:webHidden/>
          </w:rPr>
        </w:r>
        <w:r>
          <w:rPr>
            <w:rFonts w:hint="eastAsia"/>
            <w:noProof/>
            <w:webHidden/>
          </w:rPr>
          <w:fldChar w:fldCharType="separate"/>
        </w:r>
        <w:r w:rsidR="002F4E76">
          <w:rPr>
            <w:noProof/>
            <w:webHidden/>
          </w:rPr>
          <w:t>43</w:t>
        </w:r>
        <w:r>
          <w:rPr>
            <w:rFonts w:hint="eastAsia"/>
            <w:noProof/>
            <w:webHidden/>
          </w:rPr>
          <w:fldChar w:fldCharType="end"/>
        </w:r>
      </w:hyperlink>
    </w:p>
    <w:p w14:paraId="25D44388" w14:textId="0451E6A5" w:rsidR="00320CDD" w:rsidRDefault="00320CDD">
      <w:pPr>
        <w:pStyle w:val="TOC2"/>
        <w:tabs>
          <w:tab w:val="right" w:leader="dot" w:pos="8494"/>
        </w:tabs>
        <w:rPr>
          <w:rFonts w:asciiTheme="minorHAnsi" w:eastAsiaTheme="minorEastAsia" w:hAnsiTheme="minorHAnsi" w:cstheme="minorBidi"/>
          <w:noProof/>
          <w:sz w:val="22"/>
          <w14:ligatures w14:val="standardContextual"/>
        </w:rPr>
      </w:pPr>
      <w:hyperlink w:anchor="_Toc229153196" w:history="1">
        <w:r w:rsidRPr="0083685F">
          <w:rPr>
            <w:rStyle w:val="af4"/>
            <w:rFonts w:ascii="宋体" w:hAnsi="宋体" w:hint="eastAsia"/>
            <w:noProof/>
          </w:rPr>
          <w:t>十七、违约责任</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_Toc229153196 \h</w:instrText>
        </w:r>
        <w:r>
          <w:rPr>
            <w:rFonts w:hint="eastAsia"/>
            <w:noProof/>
            <w:webHidden/>
          </w:rPr>
          <w:instrText xml:space="preserve"> </w:instrText>
        </w:r>
        <w:r>
          <w:rPr>
            <w:rFonts w:hint="eastAsia"/>
            <w:noProof/>
            <w:webHidden/>
          </w:rPr>
        </w:r>
        <w:r>
          <w:rPr>
            <w:rFonts w:hint="eastAsia"/>
            <w:noProof/>
            <w:webHidden/>
          </w:rPr>
          <w:fldChar w:fldCharType="separate"/>
        </w:r>
        <w:r w:rsidR="002F4E76">
          <w:rPr>
            <w:noProof/>
            <w:webHidden/>
          </w:rPr>
          <w:t>44</w:t>
        </w:r>
        <w:r>
          <w:rPr>
            <w:rFonts w:hint="eastAsia"/>
            <w:noProof/>
            <w:webHidden/>
          </w:rPr>
          <w:fldChar w:fldCharType="end"/>
        </w:r>
      </w:hyperlink>
    </w:p>
    <w:p w14:paraId="5B2F759F" w14:textId="22E93F12" w:rsidR="00320CDD" w:rsidRDefault="00320CDD">
      <w:pPr>
        <w:pStyle w:val="TOC2"/>
        <w:tabs>
          <w:tab w:val="right" w:leader="dot" w:pos="8494"/>
        </w:tabs>
        <w:rPr>
          <w:rFonts w:asciiTheme="minorHAnsi" w:eastAsiaTheme="minorEastAsia" w:hAnsiTheme="minorHAnsi" w:cstheme="minorBidi"/>
          <w:noProof/>
          <w:sz w:val="22"/>
          <w14:ligatures w14:val="standardContextual"/>
        </w:rPr>
      </w:pPr>
      <w:hyperlink w:anchor="_Toc229153197" w:history="1">
        <w:r w:rsidRPr="0083685F">
          <w:rPr>
            <w:rStyle w:val="af4"/>
            <w:rFonts w:ascii="宋体" w:hAnsi="宋体" w:hint="eastAsia"/>
            <w:noProof/>
          </w:rPr>
          <w:t>十八、争议解决方式</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_Toc229153197 \h</w:instrText>
        </w:r>
        <w:r>
          <w:rPr>
            <w:rFonts w:hint="eastAsia"/>
            <w:noProof/>
            <w:webHidden/>
          </w:rPr>
          <w:instrText xml:space="preserve"> </w:instrText>
        </w:r>
        <w:r>
          <w:rPr>
            <w:rFonts w:hint="eastAsia"/>
            <w:noProof/>
            <w:webHidden/>
          </w:rPr>
        </w:r>
        <w:r>
          <w:rPr>
            <w:rFonts w:hint="eastAsia"/>
            <w:noProof/>
            <w:webHidden/>
          </w:rPr>
          <w:fldChar w:fldCharType="separate"/>
        </w:r>
        <w:r w:rsidR="002F4E76">
          <w:rPr>
            <w:noProof/>
            <w:webHidden/>
          </w:rPr>
          <w:t>45</w:t>
        </w:r>
        <w:r>
          <w:rPr>
            <w:rFonts w:hint="eastAsia"/>
            <w:noProof/>
            <w:webHidden/>
          </w:rPr>
          <w:fldChar w:fldCharType="end"/>
        </w:r>
      </w:hyperlink>
    </w:p>
    <w:p w14:paraId="46C03DF6" w14:textId="4810D67C" w:rsidR="00320CDD" w:rsidRDefault="00320CDD">
      <w:pPr>
        <w:pStyle w:val="TOC2"/>
        <w:tabs>
          <w:tab w:val="right" w:leader="dot" w:pos="8494"/>
        </w:tabs>
        <w:rPr>
          <w:rFonts w:asciiTheme="minorHAnsi" w:eastAsiaTheme="minorEastAsia" w:hAnsiTheme="minorHAnsi" w:cstheme="minorBidi"/>
          <w:noProof/>
          <w:sz w:val="22"/>
          <w14:ligatures w14:val="standardContextual"/>
        </w:rPr>
      </w:pPr>
      <w:hyperlink w:anchor="_Toc229153198" w:history="1">
        <w:r w:rsidRPr="0083685F">
          <w:rPr>
            <w:rStyle w:val="af4"/>
            <w:rFonts w:ascii="宋体" w:hAnsi="宋体" w:hint="eastAsia"/>
            <w:noProof/>
          </w:rPr>
          <w:t>十九、托管协议的效力</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_Toc229153198 \h</w:instrText>
        </w:r>
        <w:r>
          <w:rPr>
            <w:rFonts w:hint="eastAsia"/>
            <w:noProof/>
            <w:webHidden/>
          </w:rPr>
          <w:instrText xml:space="preserve"> </w:instrText>
        </w:r>
        <w:r>
          <w:rPr>
            <w:rFonts w:hint="eastAsia"/>
            <w:noProof/>
            <w:webHidden/>
          </w:rPr>
        </w:r>
        <w:r>
          <w:rPr>
            <w:rFonts w:hint="eastAsia"/>
            <w:noProof/>
            <w:webHidden/>
          </w:rPr>
          <w:fldChar w:fldCharType="separate"/>
        </w:r>
        <w:r w:rsidR="002F4E76">
          <w:rPr>
            <w:noProof/>
            <w:webHidden/>
          </w:rPr>
          <w:t>46</w:t>
        </w:r>
        <w:r>
          <w:rPr>
            <w:rFonts w:hint="eastAsia"/>
            <w:noProof/>
            <w:webHidden/>
          </w:rPr>
          <w:fldChar w:fldCharType="end"/>
        </w:r>
      </w:hyperlink>
    </w:p>
    <w:p w14:paraId="5815E11B" w14:textId="3B87B26E" w:rsidR="00320CDD" w:rsidRDefault="00320CDD">
      <w:pPr>
        <w:pStyle w:val="TOC2"/>
        <w:tabs>
          <w:tab w:val="right" w:leader="dot" w:pos="8494"/>
        </w:tabs>
        <w:rPr>
          <w:rFonts w:asciiTheme="minorHAnsi" w:eastAsiaTheme="minorEastAsia" w:hAnsiTheme="minorHAnsi" w:cstheme="minorBidi"/>
          <w:noProof/>
          <w:sz w:val="22"/>
          <w14:ligatures w14:val="standardContextual"/>
        </w:rPr>
      </w:pPr>
      <w:hyperlink w:anchor="_Toc229153199" w:history="1">
        <w:r w:rsidRPr="0083685F">
          <w:rPr>
            <w:rStyle w:val="af4"/>
            <w:rFonts w:ascii="宋体" w:hAnsi="宋体" w:hint="eastAsia"/>
            <w:noProof/>
          </w:rPr>
          <w:t>二十、其他事项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_Toc229153199 \h</w:instrText>
        </w:r>
        <w:r>
          <w:rPr>
            <w:rFonts w:hint="eastAsia"/>
            <w:noProof/>
            <w:webHidden/>
          </w:rPr>
          <w:instrText xml:space="preserve"> </w:instrText>
        </w:r>
        <w:r>
          <w:rPr>
            <w:rFonts w:hint="eastAsia"/>
            <w:noProof/>
            <w:webHidden/>
          </w:rPr>
        </w:r>
        <w:r>
          <w:rPr>
            <w:rFonts w:hint="eastAsia"/>
            <w:noProof/>
            <w:webHidden/>
          </w:rPr>
          <w:fldChar w:fldCharType="separate"/>
        </w:r>
        <w:r w:rsidR="002F4E76">
          <w:rPr>
            <w:noProof/>
            <w:webHidden/>
          </w:rPr>
          <w:t>47</w:t>
        </w:r>
        <w:r>
          <w:rPr>
            <w:rFonts w:hint="eastAsia"/>
            <w:noProof/>
            <w:webHidden/>
          </w:rPr>
          <w:fldChar w:fldCharType="end"/>
        </w:r>
      </w:hyperlink>
    </w:p>
    <w:p w14:paraId="5A69A15F" w14:textId="51BBDE91" w:rsidR="00320CDD" w:rsidRDefault="00320CDD">
      <w:pPr>
        <w:pStyle w:val="TOC2"/>
        <w:tabs>
          <w:tab w:val="right" w:leader="dot" w:pos="8494"/>
        </w:tabs>
        <w:rPr>
          <w:rFonts w:asciiTheme="minorHAnsi" w:eastAsiaTheme="minorEastAsia" w:hAnsiTheme="minorHAnsi" w:cstheme="minorBidi"/>
          <w:noProof/>
          <w:sz w:val="22"/>
          <w14:ligatures w14:val="standardContextual"/>
        </w:rPr>
      </w:pPr>
      <w:hyperlink w:anchor="_Toc229153200" w:history="1">
        <w:r w:rsidRPr="0083685F">
          <w:rPr>
            <w:rStyle w:val="af4"/>
            <w:rFonts w:ascii="宋体" w:hAnsi="宋体" w:hint="eastAsia"/>
            <w:noProof/>
          </w:rPr>
          <w:t>二十一、托管协议的签订</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_Toc229153200 \h</w:instrText>
        </w:r>
        <w:r>
          <w:rPr>
            <w:rFonts w:hint="eastAsia"/>
            <w:noProof/>
            <w:webHidden/>
          </w:rPr>
          <w:instrText xml:space="preserve"> </w:instrText>
        </w:r>
        <w:r>
          <w:rPr>
            <w:rFonts w:hint="eastAsia"/>
            <w:noProof/>
            <w:webHidden/>
          </w:rPr>
        </w:r>
        <w:r>
          <w:rPr>
            <w:rFonts w:hint="eastAsia"/>
            <w:noProof/>
            <w:webHidden/>
          </w:rPr>
          <w:fldChar w:fldCharType="separate"/>
        </w:r>
        <w:r w:rsidR="002F4E76">
          <w:rPr>
            <w:noProof/>
            <w:webHidden/>
          </w:rPr>
          <w:t>48</w:t>
        </w:r>
        <w:r>
          <w:rPr>
            <w:rFonts w:hint="eastAsia"/>
            <w:noProof/>
            <w:webHidden/>
          </w:rPr>
          <w:fldChar w:fldCharType="end"/>
        </w:r>
      </w:hyperlink>
    </w:p>
    <w:p w14:paraId="68E49DEA" w14:textId="77777777" w:rsidR="003360D6" w:rsidRDefault="00000000">
      <w:pPr>
        <w:spacing w:line="360" w:lineRule="auto"/>
        <w:rPr>
          <w:rFonts w:ascii="宋体" w:hAnsi="宋体" w:hint="eastAsia"/>
          <w:szCs w:val="21"/>
        </w:rPr>
      </w:pPr>
      <w:r>
        <w:rPr>
          <w:rFonts w:ascii="宋体" w:hAnsi="宋体"/>
          <w:szCs w:val="21"/>
        </w:rPr>
        <w:fldChar w:fldCharType="end"/>
      </w:r>
    </w:p>
    <w:p w14:paraId="258B168A" w14:textId="77777777" w:rsidR="003360D6" w:rsidRDefault="00000000">
      <w:pPr>
        <w:spacing w:line="360" w:lineRule="auto"/>
        <w:rPr>
          <w:rFonts w:ascii="宋体" w:hAnsi="宋体" w:hint="eastAsia"/>
          <w:szCs w:val="21"/>
        </w:rPr>
      </w:pPr>
      <w:r>
        <w:rPr>
          <w:rFonts w:ascii="宋体" w:hAnsi="宋体"/>
          <w:szCs w:val="21"/>
        </w:rPr>
        <w:br w:type="page"/>
      </w:r>
    </w:p>
    <w:p w14:paraId="63EC81A0" w14:textId="77777777" w:rsidR="003360D6" w:rsidRDefault="00000000">
      <w:pPr>
        <w:widowControl/>
        <w:spacing w:line="360" w:lineRule="auto"/>
        <w:ind w:firstLineChars="200" w:firstLine="420"/>
        <w:rPr>
          <w:rFonts w:ascii="宋体" w:hAnsi="宋体" w:cs="Arial" w:hint="eastAsia"/>
          <w:kern w:val="0"/>
          <w:szCs w:val="21"/>
        </w:rPr>
      </w:pPr>
      <w:r>
        <w:rPr>
          <w:rFonts w:ascii="宋体" w:hAnsi="宋体" w:cs="Arial" w:hint="eastAsia"/>
          <w:kern w:val="0"/>
          <w:szCs w:val="21"/>
        </w:rPr>
        <w:lastRenderedPageBreak/>
        <w:t>鉴于</w:t>
      </w:r>
      <w:r>
        <w:rPr>
          <w:rFonts w:ascii="宋体" w:hAnsi="宋体" w:cs="Arial" w:hint="eastAsia"/>
          <w:szCs w:val="21"/>
        </w:rPr>
        <w:t>富国基金管理有限公司</w:t>
      </w:r>
      <w:r>
        <w:rPr>
          <w:rFonts w:ascii="宋体" w:hAnsi="宋体" w:cs="Arial" w:hint="eastAsia"/>
          <w:kern w:val="0"/>
          <w:szCs w:val="21"/>
        </w:rPr>
        <w:t>系一家依照中国法律合法成立并有效存续的有限责任公司，按照相关法律法规的规定具备担任基金管理人的资格和能力，拟募集发行</w:t>
      </w:r>
      <w:proofErr w:type="gramStart"/>
      <w:r>
        <w:rPr>
          <w:rFonts w:ascii="宋体" w:hAnsi="宋体" w:cs="Arial" w:hint="eastAsia"/>
          <w:szCs w:val="21"/>
        </w:rPr>
        <w:t>富国稳悦回报</w:t>
      </w:r>
      <w:proofErr w:type="gramEnd"/>
      <w:r>
        <w:rPr>
          <w:rFonts w:ascii="宋体" w:hAnsi="宋体" w:cs="Arial" w:hint="eastAsia"/>
          <w:szCs w:val="21"/>
        </w:rPr>
        <w:t>混合型证券投资基金（以下简称“本基金”或“基金”）</w:t>
      </w:r>
      <w:r>
        <w:rPr>
          <w:rFonts w:ascii="宋体" w:hAnsi="宋体" w:cs="Arial" w:hint="eastAsia"/>
          <w:kern w:val="0"/>
          <w:szCs w:val="21"/>
        </w:rPr>
        <w:t>；</w:t>
      </w:r>
    </w:p>
    <w:p w14:paraId="0335BAA2" w14:textId="77777777" w:rsidR="003360D6" w:rsidRDefault="00000000">
      <w:pPr>
        <w:widowControl/>
        <w:spacing w:line="360" w:lineRule="auto"/>
        <w:ind w:firstLineChars="200" w:firstLine="420"/>
        <w:rPr>
          <w:rFonts w:ascii="宋体" w:hAnsi="宋体" w:cs="Arial" w:hint="eastAsia"/>
          <w:kern w:val="0"/>
          <w:szCs w:val="21"/>
        </w:rPr>
      </w:pPr>
      <w:r>
        <w:rPr>
          <w:rFonts w:ascii="宋体" w:hAnsi="宋体" w:cs="Arial" w:hint="eastAsia"/>
          <w:kern w:val="0"/>
          <w:szCs w:val="21"/>
        </w:rPr>
        <w:t>鉴于南京银行股份有限公司系一家依照中国法律合法成立并有效存续的银行，按照相关法律法规的规定具备担任基金托管人的资格和能力；</w:t>
      </w:r>
    </w:p>
    <w:p w14:paraId="3F4594B8" w14:textId="77777777" w:rsidR="003360D6" w:rsidRDefault="00000000">
      <w:pPr>
        <w:widowControl/>
        <w:spacing w:line="360" w:lineRule="auto"/>
        <w:ind w:firstLineChars="200" w:firstLine="420"/>
        <w:rPr>
          <w:rFonts w:ascii="宋体" w:hAnsi="宋体" w:cs="Arial" w:hint="eastAsia"/>
          <w:kern w:val="0"/>
          <w:szCs w:val="21"/>
        </w:rPr>
      </w:pPr>
      <w:r>
        <w:rPr>
          <w:rFonts w:ascii="宋体" w:hAnsi="宋体" w:cs="Arial" w:hint="eastAsia"/>
          <w:kern w:val="0"/>
          <w:szCs w:val="21"/>
        </w:rPr>
        <w:t>鉴于</w:t>
      </w:r>
      <w:r>
        <w:rPr>
          <w:rFonts w:ascii="宋体" w:hAnsi="宋体" w:cs="Arial" w:hint="eastAsia"/>
          <w:szCs w:val="21"/>
        </w:rPr>
        <w:t>富国基金管理有限公司</w:t>
      </w:r>
      <w:r>
        <w:rPr>
          <w:rFonts w:ascii="宋体" w:hAnsi="宋体" w:cs="Arial" w:hint="eastAsia"/>
          <w:kern w:val="0"/>
          <w:szCs w:val="21"/>
        </w:rPr>
        <w:t>拟担任</w:t>
      </w:r>
      <w:proofErr w:type="gramStart"/>
      <w:r>
        <w:rPr>
          <w:rFonts w:ascii="宋体" w:hAnsi="宋体" w:cs="Arial" w:hint="eastAsia"/>
          <w:szCs w:val="21"/>
        </w:rPr>
        <w:t>富国稳悦回报</w:t>
      </w:r>
      <w:proofErr w:type="gramEnd"/>
      <w:r>
        <w:rPr>
          <w:rFonts w:ascii="宋体" w:hAnsi="宋体" w:cs="Arial" w:hint="eastAsia"/>
          <w:szCs w:val="21"/>
        </w:rPr>
        <w:t>混合型证券投资基金</w:t>
      </w:r>
      <w:r>
        <w:rPr>
          <w:rFonts w:ascii="宋体" w:hAnsi="宋体" w:cs="Arial" w:hint="eastAsia"/>
          <w:kern w:val="0"/>
          <w:szCs w:val="21"/>
        </w:rPr>
        <w:t>的基金管理人，南京银行股份有限公司拟担任</w:t>
      </w:r>
      <w:proofErr w:type="gramStart"/>
      <w:r>
        <w:rPr>
          <w:rFonts w:ascii="宋体" w:hAnsi="宋体" w:cs="Arial" w:hint="eastAsia"/>
          <w:szCs w:val="21"/>
        </w:rPr>
        <w:t>富国稳悦回报</w:t>
      </w:r>
      <w:proofErr w:type="gramEnd"/>
      <w:r>
        <w:rPr>
          <w:rFonts w:ascii="宋体" w:hAnsi="宋体" w:cs="Arial" w:hint="eastAsia"/>
          <w:szCs w:val="21"/>
        </w:rPr>
        <w:t>混合型证券投资基金</w:t>
      </w:r>
      <w:r>
        <w:rPr>
          <w:rFonts w:ascii="宋体" w:hAnsi="宋体" w:cs="Arial" w:hint="eastAsia"/>
          <w:kern w:val="0"/>
          <w:szCs w:val="21"/>
        </w:rPr>
        <w:t>的基金托管人；</w:t>
      </w:r>
    </w:p>
    <w:p w14:paraId="6B6735B4" w14:textId="77777777" w:rsidR="003360D6" w:rsidRDefault="00000000">
      <w:pPr>
        <w:widowControl/>
        <w:spacing w:line="360" w:lineRule="auto"/>
        <w:ind w:firstLineChars="200" w:firstLine="420"/>
        <w:rPr>
          <w:rFonts w:ascii="宋体" w:hAnsi="宋体" w:cs="Arial" w:hint="eastAsia"/>
          <w:kern w:val="0"/>
          <w:szCs w:val="21"/>
        </w:rPr>
      </w:pPr>
      <w:r>
        <w:rPr>
          <w:rFonts w:ascii="宋体" w:hAnsi="宋体" w:cs="Arial" w:hint="eastAsia"/>
          <w:kern w:val="0"/>
          <w:szCs w:val="21"/>
        </w:rPr>
        <w:t>为明确</w:t>
      </w:r>
      <w:proofErr w:type="gramStart"/>
      <w:r>
        <w:rPr>
          <w:rFonts w:ascii="宋体" w:hAnsi="宋体" w:cs="Arial" w:hint="eastAsia"/>
          <w:szCs w:val="21"/>
        </w:rPr>
        <w:t>富国稳悦回报</w:t>
      </w:r>
      <w:proofErr w:type="gramEnd"/>
      <w:r>
        <w:rPr>
          <w:rFonts w:ascii="宋体" w:hAnsi="宋体" w:cs="Arial" w:hint="eastAsia"/>
          <w:szCs w:val="21"/>
        </w:rPr>
        <w:t>混合型证券投资基金</w:t>
      </w:r>
      <w:r>
        <w:rPr>
          <w:rFonts w:ascii="宋体" w:hAnsi="宋体" w:cs="Arial" w:hint="eastAsia"/>
          <w:kern w:val="0"/>
          <w:szCs w:val="21"/>
        </w:rPr>
        <w:t>的基金管理人和基金托管人之间的权利义务关系，特制订本托管协议；</w:t>
      </w:r>
    </w:p>
    <w:p w14:paraId="71842995" w14:textId="77777777" w:rsidR="003360D6" w:rsidRDefault="00000000">
      <w:pPr>
        <w:widowControl/>
        <w:spacing w:line="360" w:lineRule="auto"/>
        <w:ind w:firstLineChars="200" w:firstLine="420"/>
        <w:rPr>
          <w:rFonts w:ascii="宋体" w:hAnsi="宋体" w:cs="Arial" w:hint="eastAsia"/>
          <w:kern w:val="0"/>
          <w:szCs w:val="21"/>
          <w:lang w:val="en-GB"/>
        </w:rPr>
      </w:pPr>
      <w:r>
        <w:rPr>
          <w:rFonts w:ascii="宋体" w:hAnsi="宋体" w:cs="Arial" w:hint="eastAsia"/>
          <w:kern w:val="0"/>
          <w:szCs w:val="21"/>
          <w:lang w:val="en-GB"/>
        </w:rPr>
        <w:t>除非另有约定，《</w:t>
      </w:r>
      <w:r>
        <w:rPr>
          <w:rFonts w:ascii="宋体" w:hAnsi="宋体" w:cs="Arial" w:hint="eastAsia"/>
          <w:szCs w:val="21"/>
        </w:rPr>
        <w:t>富国稳悦回报混合型证券投资基金</w:t>
      </w:r>
      <w:r>
        <w:rPr>
          <w:rFonts w:ascii="宋体" w:hAnsi="宋体" w:cs="Arial" w:hint="eastAsia"/>
          <w:kern w:val="0"/>
          <w:szCs w:val="21"/>
          <w:lang w:val="en-GB"/>
        </w:rPr>
        <w:t>基金合同》(以下简称“基金合同”或“《基金合同》”)中定义的术语在用于本托管协议时应具有相同的含义，若有抵触应以基金合同为准。</w:t>
      </w:r>
    </w:p>
    <w:p w14:paraId="763C283F" w14:textId="77777777" w:rsidR="003360D6" w:rsidRDefault="00000000">
      <w:pPr>
        <w:widowControl/>
        <w:spacing w:line="360" w:lineRule="auto"/>
        <w:ind w:firstLineChars="200" w:firstLine="420"/>
        <w:rPr>
          <w:rFonts w:ascii="宋体" w:hAnsi="宋体" w:cs="Arial" w:hint="eastAsia"/>
          <w:kern w:val="0"/>
          <w:szCs w:val="21"/>
          <w:lang w:val="en-GB"/>
        </w:rPr>
      </w:pPr>
      <w:r>
        <w:rPr>
          <w:rFonts w:ascii="宋体" w:hAnsi="宋体" w:cs="Arial" w:hint="eastAsia"/>
          <w:kern w:val="0"/>
          <w:szCs w:val="21"/>
          <w:lang w:val="en-GB"/>
        </w:rPr>
        <w:t>若本基金实施</w:t>
      </w:r>
      <w:proofErr w:type="gramStart"/>
      <w:r>
        <w:rPr>
          <w:rFonts w:ascii="宋体" w:hAnsi="宋体" w:cs="Arial" w:hint="eastAsia"/>
          <w:kern w:val="0"/>
          <w:szCs w:val="21"/>
          <w:lang w:val="en-GB"/>
        </w:rPr>
        <w:t>侧袋机制</w:t>
      </w:r>
      <w:proofErr w:type="gramEnd"/>
      <w:r>
        <w:rPr>
          <w:rFonts w:ascii="宋体" w:hAnsi="宋体" w:cs="Arial" w:hint="eastAsia"/>
          <w:kern w:val="0"/>
          <w:szCs w:val="21"/>
          <w:lang w:val="en-GB"/>
        </w:rPr>
        <w:t>的，</w:t>
      </w:r>
      <w:proofErr w:type="gramStart"/>
      <w:r>
        <w:rPr>
          <w:rFonts w:ascii="宋体" w:hAnsi="宋体" w:cs="Arial" w:hint="eastAsia"/>
          <w:kern w:val="0"/>
          <w:szCs w:val="21"/>
          <w:lang w:val="en-GB"/>
        </w:rPr>
        <w:t>侧袋机制</w:t>
      </w:r>
      <w:proofErr w:type="gramEnd"/>
      <w:r>
        <w:rPr>
          <w:rFonts w:ascii="宋体" w:hAnsi="宋体" w:cs="Arial" w:hint="eastAsia"/>
          <w:kern w:val="0"/>
          <w:szCs w:val="21"/>
          <w:lang w:val="en-GB"/>
        </w:rPr>
        <w:t>实施期间的相关安排按照基金合同的规定执行。</w:t>
      </w:r>
    </w:p>
    <w:p w14:paraId="7CE0E11C" w14:textId="77777777" w:rsidR="003360D6" w:rsidRDefault="00000000">
      <w:pPr>
        <w:widowControl/>
        <w:spacing w:line="360" w:lineRule="auto"/>
        <w:ind w:firstLineChars="200" w:firstLine="420"/>
        <w:rPr>
          <w:rFonts w:ascii="宋体" w:hAnsi="宋体" w:cs="Arial" w:hint="eastAsia"/>
          <w:kern w:val="0"/>
          <w:szCs w:val="21"/>
          <w:lang w:val="en-GB"/>
        </w:rPr>
      </w:pPr>
      <w:r>
        <w:rPr>
          <w:rFonts w:ascii="宋体" w:hAnsi="宋体" w:cs="Arial" w:hint="eastAsia"/>
          <w:kern w:val="0"/>
          <w:szCs w:val="21"/>
          <w:lang w:val="en-GB"/>
        </w:rPr>
        <w:t>基金管理人应按中国</w:t>
      </w:r>
      <w:r>
        <w:rPr>
          <w:rFonts w:ascii="宋体" w:hAnsi="宋体" w:cs="Arial" w:hint="eastAsia"/>
          <w:kern w:val="0"/>
          <w:szCs w:val="21"/>
        </w:rPr>
        <w:t>境内</w:t>
      </w:r>
      <w:r>
        <w:rPr>
          <w:rFonts w:ascii="宋体" w:hAnsi="宋体" w:cs="Arial" w:hint="eastAsia"/>
          <w:kern w:val="0"/>
          <w:szCs w:val="21"/>
          <w:lang w:val="en-GB"/>
        </w:rPr>
        <w:t>反洗钱与制裁合</w:t>
      </w:r>
      <w:proofErr w:type="gramStart"/>
      <w:r>
        <w:rPr>
          <w:rFonts w:ascii="宋体" w:hAnsi="宋体" w:cs="Arial" w:hint="eastAsia"/>
          <w:kern w:val="0"/>
          <w:szCs w:val="21"/>
          <w:lang w:val="en-GB"/>
        </w:rPr>
        <w:t>规</w:t>
      </w:r>
      <w:proofErr w:type="gramEnd"/>
      <w:r>
        <w:rPr>
          <w:rFonts w:ascii="宋体" w:hAnsi="宋体" w:cs="Arial" w:hint="eastAsia"/>
          <w:kern w:val="0"/>
          <w:szCs w:val="21"/>
          <w:lang w:val="en-GB"/>
        </w:rPr>
        <w:t>法律法规相关要求履行各项反洗钱和反恐怖融资义务。在建立业务关系时，采取符合要求的客户尽职调查措施，识别并采取合理措施核实基金受益所有人。在业务关系存续期间，持续关注并评估基金整体状况和交易情况，了解洗钱风险状况，发现交易与客户身份、风险状况等不符的，应当进一步核实相关情况；对存在洗钱高风险情形的，必要时可以采取必要的洗钱风险管理措施；在法律允许范围内，配合基金托管人开展尽职调查；妥善保管、更新客户及投资者身份资料及交易记录；根据反洗</w:t>
      </w:r>
      <w:proofErr w:type="gramStart"/>
      <w:r>
        <w:rPr>
          <w:rFonts w:ascii="宋体" w:hAnsi="宋体" w:cs="Arial" w:hint="eastAsia"/>
          <w:kern w:val="0"/>
          <w:szCs w:val="21"/>
          <w:lang w:val="en-GB"/>
        </w:rPr>
        <w:t>钱法律</w:t>
      </w:r>
      <w:proofErr w:type="gramEnd"/>
      <w:r>
        <w:rPr>
          <w:rFonts w:ascii="宋体" w:hAnsi="宋体" w:cs="Arial" w:hint="eastAsia"/>
          <w:kern w:val="0"/>
          <w:szCs w:val="21"/>
          <w:lang w:val="en-GB"/>
        </w:rPr>
        <w:t>法规，要求投资者积极配合完成反洗</w:t>
      </w:r>
      <w:proofErr w:type="gramStart"/>
      <w:r>
        <w:rPr>
          <w:rFonts w:ascii="宋体" w:hAnsi="宋体" w:cs="Arial" w:hint="eastAsia"/>
          <w:kern w:val="0"/>
          <w:szCs w:val="21"/>
          <w:lang w:val="en-GB"/>
        </w:rPr>
        <w:t>钱调查</w:t>
      </w:r>
      <w:proofErr w:type="gramEnd"/>
      <w:r>
        <w:rPr>
          <w:rFonts w:ascii="宋体" w:hAnsi="宋体" w:cs="Arial" w:hint="eastAsia"/>
          <w:kern w:val="0"/>
          <w:szCs w:val="21"/>
          <w:lang w:val="en-GB"/>
        </w:rPr>
        <w:t>等必要程序；与基金托管人在法律法规允许范围内积极开展反洗</w:t>
      </w:r>
      <w:proofErr w:type="gramStart"/>
      <w:r>
        <w:rPr>
          <w:rFonts w:ascii="宋体" w:hAnsi="宋体" w:cs="Arial" w:hint="eastAsia"/>
          <w:kern w:val="0"/>
          <w:szCs w:val="21"/>
          <w:lang w:val="en-GB"/>
        </w:rPr>
        <w:t>钱领域</w:t>
      </w:r>
      <w:proofErr w:type="gramEnd"/>
      <w:r>
        <w:rPr>
          <w:rFonts w:ascii="宋体" w:hAnsi="宋体" w:cs="Arial" w:hint="eastAsia"/>
          <w:kern w:val="0"/>
          <w:szCs w:val="21"/>
          <w:lang w:val="en-GB"/>
        </w:rPr>
        <w:t>的信息支持与合作；落实</w:t>
      </w:r>
      <w:r>
        <w:rPr>
          <w:rFonts w:ascii="宋体" w:hAnsi="宋体" w:cs="Arial" w:hint="eastAsia"/>
          <w:kern w:val="0"/>
          <w:szCs w:val="21"/>
        </w:rPr>
        <w:t>境内</w:t>
      </w:r>
      <w:r>
        <w:rPr>
          <w:rFonts w:ascii="宋体" w:hAnsi="宋体" w:cs="Arial" w:hint="eastAsia"/>
          <w:kern w:val="0"/>
          <w:szCs w:val="21"/>
          <w:lang w:val="en-GB"/>
        </w:rPr>
        <w:t>反洗</w:t>
      </w:r>
      <w:proofErr w:type="gramStart"/>
      <w:r>
        <w:rPr>
          <w:rFonts w:ascii="宋体" w:hAnsi="宋体" w:cs="Arial" w:hint="eastAsia"/>
          <w:kern w:val="0"/>
          <w:szCs w:val="21"/>
          <w:lang w:val="en-GB"/>
        </w:rPr>
        <w:t>钱法律</w:t>
      </w:r>
      <w:proofErr w:type="gramEnd"/>
      <w:r>
        <w:rPr>
          <w:rFonts w:ascii="宋体" w:hAnsi="宋体" w:cs="Arial" w:hint="eastAsia"/>
          <w:kern w:val="0"/>
          <w:szCs w:val="21"/>
          <w:lang w:val="en-GB"/>
        </w:rPr>
        <w:t>法规要求的其他反洗钱和反恐怖融资工作。</w:t>
      </w:r>
    </w:p>
    <w:p w14:paraId="5A28E27C" w14:textId="77777777" w:rsidR="003360D6" w:rsidRDefault="00000000">
      <w:pPr>
        <w:widowControl/>
        <w:spacing w:line="360" w:lineRule="auto"/>
        <w:ind w:firstLineChars="200" w:firstLine="420"/>
        <w:rPr>
          <w:rFonts w:ascii="宋体" w:hAnsi="宋体" w:cs="Arial" w:hint="eastAsia"/>
          <w:kern w:val="0"/>
          <w:szCs w:val="21"/>
          <w:lang w:val="en-GB"/>
        </w:rPr>
      </w:pPr>
      <w:r>
        <w:rPr>
          <w:rFonts w:ascii="宋体" w:hAnsi="宋体" w:cs="Arial" w:hint="eastAsia"/>
          <w:kern w:val="0"/>
          <w:szCs w:val="21"/>
          <w:lang w:val="en-GB"/>
        </w:rPr>
        <w:t xml:space="preserve">基金管理人应采取适当措施，确保基金的受益所有人及其主要关联方、投资者及其主要关联方等不得为我国有关机关发布的反洗钱特别预防措施名单所列对象，不得为联合国、我国及其他可适用的且得到我国承认的反洗钱、反恐怖融资、涉及经济制裁的名单所列对象，或中国人民银行及其他监管机构要求执行的反洗钱和反恐怖融资名单。 </w:t>
      </w:r>
    </w:p>
    <w:p w14:paraId="6D859DDD" w14:textId="77777777" w:rsidR="003360D6" w:rsidRDefault="00000000">
      <w:pPr>
        <w:widowControl/>
        <w:spacing w:line="360" w:lineRule="auto"/>
        <w:ind w:firstLineChars="200" w:firstLine="420"/>
        <w:rPr>
          <w:rFonts w:ascii="宋体" w:hAnsi="宋体" w:cs="Arial" w:hint="eastAsia"/>
          <w:kern w:val="0"/>
          <w:szCs w:val="21"/>
          <w:lang w:val="en-GB"/>
        </w:rPr>
      </w:pPr>
      <w:r>
        <w:rPr>
          <w:rFonts w:ascii="宋体" w:hAnsi="宋体" w:cs="Arial" w:hint="eastAsia"/>
          <w:kern w:val="0"/>
          <w:szCs w:val="21"/>
          <w:lang w:val="en-GB"/>
        </w:rPr>
        <w:lastRenderedPageBreak/>
        <w:t>基金管理人承诺基金的投资行为、资金交易不得违反我国、联合国及其他可适用的且得到我国承认的有关经济制裁或反洗</w:t>
      </w:r>
      <w:proofErr w:type="gramStart"/>
      <w:r>
        <w:rPr>
          <w:rFonts w:ascii="宋体" w:hAnsi="宋体" w:cs="Arial" w:hint="eastAsia"/>
          <w:kern w:val="0"/>
          <w:szCs w:val="21"/>
          <w:lang w:val="en-GB"/>
        </w:rPr>
        <w:t>钱法律</w:t>
      </w:r>
      <w:proofErr w:type="gramEnd"/>
      <w:r>
        <w:rPr>
          <w:rFonts w:ascii="宋体" w:hAnsi="宋体" w:cs="Arial" w:hint="eastAsia"/>
          <w:kern w:val="0"/>
          <w:szCs w:val="21"/>
          <w:lang w:val="en-GB"/>
        </w:rPr>
        <w:t>法规，或用于其他洗钱、恐怖融资、逃税、欺诈等违法违规用途。</w:t>
      </w:r>
    </w:p>
    <w:p w14:paraId="171D6FA5" w14:textId="77777777" w:rsidR="003360D6" w:rsidRDefault="00000000">
      <w:pPr>
        <w:pStyle w:val="2"/>
        <w:spacing w:beforeLines="100" w:before="312" w:afterLines="50" w:after="156" w:line="360" w:lineRule="auto"/>
        <w:rPr>
          <w:rFonts w:ascii="宋体" w:eastAsia="宋体" w:hAnsi="宋体" w:hint="eastAsia"/>
          <w:sz w:val="21"/>
          <w:szCs w:val="21"/>
        </w:rPr>
      </w:pPr>
      <w:r>
        <w:rPr>
          <w:rFonts w:ascii="宋体" w:eastAsia="宋体" w:hAnsi="宋体"/>
          <w:sz w:val="21"/>
          <w:szCs w:val="21"/>
        </w:rPr>
        <w:br w:type="page"/>
      </w:r>
      <w:bookmarkStart w:id="5" w:name="_Toc348082029"/>
      <w:bookmarkStart w:id="6" w:name="_Toc229153180"/>
      <w:r>
        <w:rPr>
          <w:rFonts w:ascii="宋体" w:eastAsia="宋体" w:hAnsi="宋体" w:hint="eastAsia"/>
          <w:sz w:val="21"/>
          <w:szCs w:val="21"/>
        </w:rPr>
        <w:lastRenderedPageBreak/>
        <w:t>一、基金托管协议当事人</w:t>
      </w:r>
      <w:bookmarkEnd w:id="5"/>
      <w:bookmarkEnd w:id="6"/>
    </w:p>
    <w:p w14:paraId="5F50B88C" w14:textId="77777777" w:rsidR="003360D6" w:rsidRDefault="00000000">
      <w:pPr>
        <w:ind w:firstLineChars="200" w:firstLine="420"/>
      </w:pPr>
      <w:r>
        <w:rPr>
          <w:rFonts w:hint="eastAsia"/>
        </w:rPr>
        <w:t>（一）基金管理人</w:t>
      </w:r>
    </w:p>
    <w:p w14:paraId="36C4C81F" w14:textId="77777777" w:rsidR="003360D6" w:rsidRDefault="00000000">
      <w:pPr>
        <w:spacing w:line="360" w:lineRule="auto"/>
        <w:ind w:firstLineChars="200" w:firstLine="420"/>
      </w:pPr>
      <w:r>
        <w:rPr>
          <w:rFonts w:hint="eastAsia"/>
        </w:rPr>
        <w:t>名称：富国基金管理有限公司</w:t>
      </w:r>
    </w:p>
    <w:p w14:paraId="363E315E" w14:textId="77777777" w:rsidR="003360D6" w:rsidRDefault="00000000">
      <w:pPr>
        <w:spacing w:line="360" w:lineRule="auto"/>
        <w:ind w:firstLineChars="200" w:firstLine="420"/>
      </w:pPr>
      <w:r>
        <w:rPr>
          <w:rFonts w:hint="eastAsia"/>
        </w:rPr>
        <w:t>住所：中国（上海）自由贸易试验区世纪大道</w:t>
      </w:r>
      <w:r>
        <w:rPr>
          <w:rFonts w:hint="eastAsia"/>
        </w:rPr>
        <w:t>1196</w:t>
      </w:r>
      <w:r>
        <w:rPr>
          <w:rFonts w:hint="eastAsia"/>
        </w:rPr>
        <w:t>号世纪汇办公楼二座</w:t>
      </w:r>
      <w:r>
        <w:rPr>
          <w:rFonts w:hint="eastAsia"/>
        </w:rPr>
        <w:t>27-30</w:t>
      </w:r>
      <w:r>
        <w:rPr>
          <w:rFonts w:hint="eastAsia"/>
        </w:rPr>
        <w:t>层</w:t>
      </w:r>
    </w:p>
    <w:p w14:paraId="0AF8B067" w14:textId="77777777" w:rsidR="003360D6" w:rsidRDefault="00000000">
      <w:pPr>
        <w:spacing w:line="360" w:lineRule="auto"/>
        <w:ind w:firstLineChars="200" w:firstLine="420"/>
      </w:pPr>
      <w:r>
        <w:rPr>
          <w:rFonts w:hint="eastAsia"/>
        </w:rPr>
        <w:t>办公地址：中国（上海）自由贸易试验区世纪大道</w:t>
      </w:r>
      <w:r>
        <w:rPr>
          <w:rFonts w:hint="eastAsia"/>
        </w:rPr>
        <w:t>1196</w:t>
      </w:r>
      <w:r>
        <w:rPr>
          <w:rFonts w:hint="eastAsia"/>
        </w:rPr>
        <w:t>号世纪汇办公楼二座</w:t>
      </w:r>
      <w:r>
        <w:rPr>
          <w:rFonts w:hint="eastAsia"/>
        </w:rPr>
        <w:t>27-30</w:t>
      </w:r>
      <w:r>
        <w:rPr>
          <w:rFonts w:hint="eastAsia"/>
        </w:rPr>
        <w:t>层</w:t>
      </w:r>
    </w:p>
    <w:p w14:paraId="01941D50" w14:textId="77777777" w:rsidR="003360D6" w:rsidRDefault="00000000">
      <w:pPr>
        <w:spacing w:line="360" w:lineRule="auto"/>
        <w:ind w:firstLineChars="200" w:firstLine="420"/>
      </w:pPr>
      <w:r>
        <w:rPr>
          <w:rFonts w:hint="eastAsia"/>
        </w:rPr>
        <w:t>邮政编码：</w:t>
      </w:r>
      <w:r>
        <w:rPr>
          <w:rFonts w:hint="eastAsia"/>
        </w:rPr>
        <w:t>200122</w:t>
      </w:r>
    </w:p>
    <w:p w14:paraId="2A353AE3" w14:textId="7923E06C" w:rsidR="003360D6" w:rsidRDefault="00000000">
      <w:pPr>
        <w:spacing w:line="360" w:lineRule="auto"/>
        <w:ind w:firstLineChars="200" w:firstLine="420"/>
      </w:pPr>
      <w:r>
        <w:rPr>
          <w:rFonts w:hint="eastAsia"/>
        </w:rPr>
        <w:t>法定代表人：</w:t>
      </w:r>
      <w:r w:rsidR="00395C00" w:rsidRPr="00395C00">
        <w:rPr>
          <w:rFonts w:hint="eastAsia"/>
        </w:rPr>
        <w:t>陈戈</w:t>
      </w:r>
    </w:p>
    <w:p w14:paraId="5720F27A" w14:textId="77777777" w:rsidR="003360D6" w:rsidRDefault="00000000">
      <w:pPr>
        <w:spacing w:line="360" w:lineRule="auto"/>
        <w:ind w:firstLineChars="200" w:firstLine="420"/>
      </w:pPr>
      <w:r>
        <w:rPr>
          <w:rFonts w:hint="eastAsia"/>
        </w:rPr>
        <w:t>成立时间：</w:t>
      </w:r>
      <w:r>
        <w:rPr>
          <w:rFonts w:hint="eastAsia"/>
        </w:rPr>
        <w:t>1999</w:t>
      </w:r>
      <w:r>
        <w:rPr>
          <w:rFonts w:hint="eastAsia"/>
        </w:rPr>
        <w:t>年</w:t>
      </w:r>
      <w:r>
        <w:rPr>
          <w:rFonts w:hint="eastAsia"/>
        </w:rPr>
        <w:t>4</w:t>
      </w:r>
      <w:r>
        <w:rPr>
          <w:rFonts w:hint="eastAsia"/>
        </w:rPr>
        <w:t>月</w:t>
      </w:r>
      <w:r>
        <w:rPr>
          <w:rFonts w:hint="eastAsia"/>
        </w:rPr>
        <w:t>13</w:t>
      </w:r>
      <w:r>
        <w:rPr>
          <w:rFonts w:hint="eastAsia"/>
        </w:rPr>
        <w:t>日</w:t>
      </w:r>
    </w:p>
    <w:p w14:paraId="260319C3" w14:textId="77777777" w:rsidR="003360D6" w:rsidRDefault="00000000">
      <w:pPr>
        <w:spacing w:line="360" w:lineRule="auto"/>
        <w:ind w:firstLineChars="200" w:firstLine="420"/>
      </w:pPr>
      <w:r>
        <w:rPr>
          <w:rFonts w:hint="eastAsia"/>
        </w:rPr>
        <w:t>批准设立机关：中国证券监督管理委员会</w:t>
      </w:r>
    </w:p>
    <w:p w14:paraId="60000B21" w14:textId="77777777" w:rsidR="003360D6" w:rsidRDefault="00000000">
      <w:pPr>
        <w:spacing w:line="360" w:lineRule="auto"/>
        <w:ind w:firstLineChars="200" w:firstLine="420"/>
      </w:pPr>
      <w:r>
        <w:rPr>
          <w:rFonts w:hint="eastAsia"/>
        </w:rPr>
        <w:t>批准设立文号：证</w:t>
      </w:r>
      <w:proofErr w:type="gramStart"/>
      <w:r>
        <w:rPr>
          <w:rFonts w:hint="eastAsia"/>
        </w:rPr>
        <w:t>监基金字</w:t>
      </w:r>
      <w:proofErr w:type="gramEnd"/>
      <w:r>
        <w:rPr>
          <w:rFonts w:hint="eastAsia"/>
        </w:rPr>
        <w:t>【</w:t>
      </w:r>
      <w:r>
        <w:rPr>
          <w:rFonts w:hint="eastAsia"/>
        </w:rPr>
        <w:t>1999</w:t>
      </w:r>
      <w:r>
        <w:rPr>
          <w:rFonts w:hint="eastAsia"/>
        </w:rPr>
        <w:t>】</w:t>
      </w:r>
      <w:r>
        <w:rPr>
          <w:rFonts w:hint="eastAsia"/>
        </w:rPr>
        <w:t>11</w:t>
      </w:r>
      <w:r>
        <w:rPr>
          <w:rFonts w:hint="eastAsia"/>
        </w:rPr>
        <w:t>号</w:t>
      </w:r>
    </w:p>
    <w:p w14:paraId="7CB7E127" w14:textId="77777777" w:rsidR="003360D6" w:rsidRDefault="00000000">
      <w:pPr>
        <w:spacing w:line="360" w:lineRule="auto"/>
        <w:ind w:firstLineChars="200" w:firstLine="420"/>
      </w:pPr>
      <w:r>
        <w:rPr>
          <w:rFonts w:hint="eastAsia"/>
        </w:rPr>
        <w:t>组织形式：有限责任公司</w:t>
      </w:r>
    </w:p>
    <w:p w14:paraId="35459226" w14:textId="77777777" w:rsidR="003360D6" w:rsidRDefault="00000000">
      <w:pPr>
        <w:spacing w:line="360" w:lineRule="auto"/>
        <w:ind w:firstLineChars="200" w:firstLine="420"/>
      </w:pPr>
      <w:r>
        <w:rPr>
          <w:rFonts w:hint="eastAsia"/>
        </w:rPr>
        <w:t>注册资本：</w:t>
      </w:r>
      <w:r>
        <w:t>5.2</w:t>
      </w:r>
      <w:r>
        <w:rPr>
          <w:rFonts w:hint="eastAsia"/>
        </w:rPr>
        <w:t>亿元人民币</w:t>
      </w:r>
    </w:p>
    <w:p w14:paraId="490494BF" w14:textId="77777777" w:rsidR="003360D6" w:rsidRDefault="00000000">
      <w:pPr>
        <w:spacing w:line="360" w:lineRule="auto"/>
        <w:ind w:firstLineChars="200" w:firstLine="420"/>
      </w:pPr>
      <w:r>
        <w:rPr>
          <w:rFonts w:hint="eastAsia"/>
        </w:rPr>
        <w:t>存续期间：持续经营</w:t>
      </w:r>
    </w:p>
    <w:p w14:paraId="4FCB2E2A" w14:textId="77777777" w:rsidR="003360D6" w:rsidRDefault="00000000">
      <w:pPr>
        <w:spacing w:line="360" w:lineRule="auto"/>
        <w:ind w:firstLineChars="200" w:firstLine="420"/>
        <w:rPr>
          <w:rFonts w:ascii="宋体" w:hAnsi="宋体" w:cs="Arial" w:hint="eastAsia"/>
          <w:szCs w:val="21"/>
        </w:rPr>
      </w:pPr>
      <w:r>
        <w:rPr>
          <w:rFonts w:hint="eastAsia"/>
        </w:rPr>
        <w:t>经营范围：公开募集证券投资基金管理、基金销售、特定客户资产管理</w:t>
      </w:r>
      <w:r>
        <w:rPr>
          <w:rFonts w:ascii="宋体" w:hAnsi="宋体" w:hint="eastAsia"/>
          <w:szCs w:val="21"/>
        </w:rPr>
        <w:t>。</w:t>
      </w:r>
    </w:p>
    <w:p w14:paraId="40B6E5BD" w14:textId="77777777" w:rsidR="003360D6" w:rsidRDefault="00000000">
      <w:pPr>
        <w:ind w:firstLineChars="200" w:firstLine="420"/>
      </w:pPr>
      <w:r>
        <w:rPr>
          <w:rFonts w:hint="eastAsia"/>
        </w:rPr>
        <w:t>（二）基金托管人</w:t>
      </w:r>
    </w:p>
    <w:p w14:paraId="43984D64"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名称：南京银行股份有限公司</w:t>
      </w:r>
    </w:p>
    <w:p w14:paraId="44DDC4FA"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住所：南京市建</w:t>
      </w:r>
      <w:proofErr w:type="gramStart"/>
      <w:r>
        <w:rPr>
          <w:rFonts w:ascii="宋体" w:hAnsi="宋体" w:cs="Arial" w:hint="eastAsia"/>
          <w:szCs w:val="21"/>
        </w:rPr>
        <w:t>邺</w:t>
      </w:r>
      <w:proofErr w:type="gramEnd"/>
      <w:r>
        <w:rPr>
          <w:rFonts w:ascii="宋体" w:hAnsi="宋体" w:cs="Arial" w:hint="eastAsia"/>
          <w:szCs w:val="21"/>
        </w:rPr>
        <w:t>区江山大街88号</w:t>
      </w:r>
    </w:p>
    <w:p w14:paraId="0ADA87E3"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办公地址：南京市建</w:t>
      </w:r>
      <w:proofErr w:type="gramStart"/>
      <w:r>
        <w:rPr>
          <w:rFonts w:ascii="宋体" w:hAnsi="宋体" w:cs="Arial" w:hint="eastAsia"/>
          <w:szCs w:val="21"/>
        </w:rPr>
        <w:t>邺</w:t>
      </w:r>
      <w:proofErr w:type="gramEnd"/>
      <w:r>
        <w:rPr>
          <w:rFonts w:ascii="宋体" w:hAnsi="宋体" w:cs="Arial" w:hint="eastAsia"/>
          <w:szCs w:val="21"/>
        </w:rPr>
        <w:t>区江山大街88号</w:t>
      </w:r>
    </w:p>
    <w:p w14:paraId="7C9BB381"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法定代表人：谢宁</w:t>
      </w:r>
    </w:p>
    <w:p w14:paraId="7C4243DC"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成立时间：1996年2月6日</w:t>
      </w:r>
    </w:p>
    <w:p w14:paraId="1532539F" w14:textId="4D3700C9" w:rsidR="003360D6" w:rsidRDefault="00000000">
      <w:pPr>
        <w:spacing w:line="360" w:lineRule="auto"/>
        <w:ind w:firstLineChars="200" w:firstLine="420"/>
        <w:rPr>
          <w:rFonts w:ascii="宋体" w:hAnsi="宋体" w:cs="Arial" w:hint="eastAsia"/>
          <w:szCs w:val="21"/>
        </w:rPr>
      </w:pPr>
      <w:r>
        <w:rPr>
          <w:rFonts w:hint="eastAsia"/>
          <w:szCs w:val="21"/>
        </w:rPr>
        <w:t>基金托管业务批准文号</w:t>
      </w:r>
      <w:r>
        <w:rPr>
          <w:rFonts w:ascii="宋体" w:hAnsi="宋体" w:cs="Arial" w:hint="eastAsia"/>
          <w:szCs w:val="21"/>
        </w:rPr>
        <w:t>：中国证券监督管理委员会证监许可〔2014〕405号</w:t>
      </w:r>
    </w:p>
    <w:p w14:paraId="46BEC89D"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组织形式：股份有限公司</w:t>
      </w:r>
    </w:p>
    <w:p w14:paraId="2022FE50"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lastRenderedPageBreak/>
        <w:t>注册资本：1,218,685.2407 万元人民币</w:t>
      </w:r>
    </w:p>
    <w:p w14:paraId="7982FD47"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存续期间：持续经营</w:t>
      </w:r>
    </w:p>
    <w:p w14:paraId="313B922B" w14:textId="77777777" w:rsidR="003360D6" w:rsidRDefault="003360D6">
      <w:pPr>
        <w:spacing w:line="360" w:lineRule="auto"/>
        <w:ind w:firstLineChars="200" w:firstLine="420"/>
        <w:rPr>
          <w:rFonts w:ascii="宋体" w:hAnsi="宋体" w:hint="eastAsia"/>
          <w:szCs w:val="21"/>
        </w:rPr>
      </w:pPr>
    </w:p>
    <w:p w14:paraId="55633B62" w14:textId="77777777" w:rsidR="003360D6" w:rsidRDefault="00000000">
      <w:pPr>
        <w:pStyle w:val="2"/>
        <w:spacing w:beforeLines="100" w:before="312" w:afterLines="50" w:after="156" w:line="360" w:lineRule="auto"/>
        <w:jc w:val="center"/>
        <w:rPr>
          <w:rFonts w:ascii="宋体" w:eastAsia="宋体" w:hAnsi="宋体" w:hint="eastAsia"/>
          <w:sz w:val="21"/>
          <w:szCs w:val="21"/>
        </w:rPr>
      </w:pPr>
      <w:r>
        <w:rPr>
          <w:rFonts w:ascii="宋体" w:eastAsia="宋体" w:hAnsi="宋体"/>
          <w:sz w:val="21"/>
          <w:szCs w:val="21"/>
        </w:rPr>
        <w:br w:type="page"/>
      </w:r>
      <w:bookmarkStart w:id="7" w:name="_Toc348082030"/>
      <w:bookmarkStart w:id="8" w:name="_Toc229153181"/>
      <w:r>
        <w:rPr>
          <w:rFonts w:ascii="宋体" w:eastAsia="宋体" w:hAnsi="宋体" w:hint="eastAsia"/>
          <w:sz w:val="21"/>
          <w:szCs w:val="21"/>
        </w:rPr>
        <w:lastRenderedPageBreak/>
        <w:t>二、基金托管协议的依据、目的和原则</w:t>
      </w:r>
      <w:bookmarkEnd w:id="7"/>
      <w:bookmarkEnd w:id="8"/>
    </w:p>
    <w:p w14:paraId="5AEA0E8B" w14:textId="77777777" w:rsidR="003360D6" w:rsidRDefault="00000000">
      <w:pPr>
        <w:spacing w:line="360" w:lineRule="auto"/>
        <w:ind w:firstLineChars="200" w:firstLine="420"/>
        <w:rPr>
          <w:rFonts w:ascii="宋体" w:hAnsi="宋体" w:hint="eastAsia"/>
          <w:szCs w:val="21"/>
        </w:rPr>
      </w:pPr>
      <w:r>
        <w:rPr>
          <w:rFonts w:ascii="宋体" w:hAnsi="宋体" w:cs="Arial" w:hint="eastAsia"/>
          <w:szCs w:val="21"/>
        </w:rPr>
        <w:t>（一）订立托管协议的依据</w:t>
      </w:r>
    </w:p>
    <w:p w14:paraId="603CD292"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本协议依据《中华人民共和国证券投资基金法》(以下简称“《基金法》”)、《公开募集证券投资基金运作管理办法》（以下简称“《运作办法》”）、《公开募集开放式证券投资基金流动性风险管理规定》</w:t>
      </w:r>
      <w:r>
        <w:rPr>
          <w:rFonts w:cs="Arial" w:hint="eastAsia"/>
          <w:szCs w:val="21"/>
        </w:rPr>
        <w:t>（以下</w:t>
      </w:r>
      <w:r>
        <w:rPr>
          <w:rFonts w:cs="Arial"/>
          <w:szCs w:val="21"/>
        </w:rPr>
        <w:t>简称</w:t>
      </w:r>
      <w:r>
        <w:rPr>
          <w:rFonts w:cs="Arial"/>
          <w:szCs w:val="21"/>
        </w:rPr>
        <w:t>“</w:t>
      </w:r>
      <w:r>
        <w:rPr>
          <w:rFonts w:cs="Arial" w:hint="eastAsia"/>
          <w:szCs w:val="21"/>
        </w:rPr>
        <w:t>《流动性</w:t>
      </w:r>
      <w:r>
        <w:rPr>
          <w:rFonts w:cs="Arial"/>
          <w:szCs w:val="21"/>
        </w:rPr>
        <w:t>风险管理规定</w:t>
      </w:r>
      <w:r>
        <w:rPr>
          <w:rFonts w:cs="Arial" w:hint="eastAsia"/>
          <w:szCs w:val="21"/>
        </w:rPr>
        <w:t>》</w:t>
      </w:r>
      <w:r>
        <w:rPr>
          <w:rFonts w:cs="Arial"/>
          <w:szCs w:val="21"/>
        </w:rPr>
        <w:t>”</w:t>
      </w:r>
      <w:r>
        <w:rPr>
          <w:rFonts w:cs="Arial" w:hint="eastAsia"/>
          <w:szCs w:val="21"/>
        </w:rPr>
        <w:t>）、《公开募集证券投资基金信息披露管理办法》（以下简称</w:t>
      </w:r>
      <w:r>
        <w:rPr>
          <w:rFonts w:cs="Arial"/>
          <w:szCs w:val="21"/>
        </w:rPr>
        <w:t>“</w:t>
      </w:r>
      <w:r>
        <w:rPr>
          <w:rFonts w:cs="Arial" w:hint="eastAsia"/>
          <w:szCs w:val="21"/>
        </w:rPr>
        <w:t>《信息披露办法》</w:t>
      </w:r>
      <w:r>
        <w:rPr>
          <w:rFonts w:cs="Arial"/>
          <w:szCs w:val="21"/>
        </w:rPr>
        <w:t>”</w:t>
      </w:r>
      <w:r>
        <w:rPr>
          <w:rFonts w:cs="Arial" w:hint="eastAsia"/>
          <w:szCs w:val="21"/>
        </w:rPr>
        <w:t>）、《公开募集证券投资基金销售费用管理规定》</w:t>
      </w:r>
      <w:r>
        <w:rPr>
          <w:rFonts w:ascii="宋体" w:hAnsi="宋体" w:cs="Arial" w:hint="eastAsia"/>
          <w:szCs w:val="21"/>
        </w:rPr>
        <w:t>等有关法律法规、基金合同及其他有关规定制订。</w:t>
      </w:r>
    </w:p>
    <w:p w14:paraId="18671058"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（二）订立托管协议的目的</w:t>
      </w:r>
    </w:p>
    <w:p w14:paraId="44EAC9A0" w14:textId="77777777" w:rsidR="003360D6" w:rsidRDefault="00000000">
      <w:pPr>
        <w:spacing w:line="360" w:lineRule="auto"/>
        <w:ind w:firstLineChars="200" w:firstLine="420"/>
        <w:rPr>
          <w:rFonts w:ascii="宋体" w:hAnsi="宋体" w:hint="eastAsia"/>
          <w:szCs w:val="21"/>
        </w:rPr>
      </w:pPr>
      <w:r>
        <w:rPr>
          <w:rFonts w:ascii="宋体" w:hAnsi="宋体" w:cs="Arial" w:hint="eastAsia"/>
          <w:szCs w:val="21"/>
        </w:rPr>
        <w:t>订立本协议的目的是明确基金管理人与基金托管人之间在基金财产的保管、投资运作、净值计算、收益分配、信息披露及相互监督等相关事宜中的权利义务及职责，确保基金财产的安全，保护基金份额持有人的合法权益。</w:t>
      </w:r>
    </w:p>
    <w:p w14:paraId="7E45C7CD"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（三）订立托管协议的原则</w:t>
      </w:r>
    </w:p>
    <w:p w14:paraId="560F0B04"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基金管理人和基金托管人本着平等自愿、诚实信用、充分保护基金份额持有人合法权益的原则，经协商一致，签订本协议。</w:t>
      </w:r>
    </w:p>
    <w:p w14:paraId="1A2688EC" w14:textId="77777777" w:rsidR="003360D6" w:rsidRDefault="003360D6">
      <w:pPr>
        <w:spacing w:line="360" w:lineRule="auto"/>
        <w:rPr>
          <w:rFonts w:ascii="宋体" w:hAnsi="宋体" w:hint="eastAsia"/>
          <w:szCs w:val="21"/>
        </w:rPr>
      </w:pPr>
    </w:p>
    <w:p w14:paraId="535F91DC" w14:textId="77777777" w:rsidR="003360D6" w:rsidRDefault="00000000">
      <w:pPr>
        <w:pStyle w:val="2"/>
        <w:spacing w:beforeLines="100" w:before="312" w:afterLines="50" w:after="156" w:line="360" w:lineRule="auto"/>
        <w:jc w:val="center"/>
        <w:rPr>
          <w:rFonts w:ascii="宋体" w:eastAsia="宋体" w:hAnsi="宋体" w:hint="eastAsia"/>
          <w:sz w:val="21"/>
          <w:szCs w:val="21"/>
        </w:rPr>
      </w:pPr>
      <w:r>
        <w:rPr>
          <w:rFonts w:ascii="宋体" w:eastAsia="宋体" w:hAnsi="宋体"/>
          <w:sz w:val="21"/>
          <w:szCs w:val="21"/>
        </w:rPr>
        <w:br w:type="page"/>
      </w:r>
      <w:bookmarkStart w:id="9" w:name="_Toc348082031"/>
      <w:bookmarkStart w:id="10" w:name="_Toc229153182"/>
      <w:r>
        <w:rPr>
          <w:rFonts w:ascii="宋体" w:eastAsia="宋体" w:hAnsi="宋体" w:hint="eastAsia"/>
          <w:sz w:val="21"/>
          <w:szCs w:val="21"/>
        </w:rPr>
        <w:lastRenderedPageBreak/>
        <w:t>三、基金托管人对基金管理人的业务监督和核查</w:t>
      </w:r>
      <w:bookmarkEnd w:id="9"/>
      <w:bookmarkEnd w:id="10"/>
    </w:p>
    <w:p w14:paraId="146B93BE"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（一）基金托管人根据有关法律法规的规定以及《基金合同》的约定，对基金投资范围、投资比例、投资限制、关联方交易等进行监督。</w:t>
      </w:r>
    </w:p>
    <w:p w14:paraId="7E0FAC4C" w14:textId="77777777" w:rsidR="003360D6" w:rsidRDefault="00000000">
      <w:pPr>
        <w:spacing w:line="360" w:lineRule="auto"/>
        <w:ind w:firstLineChars="200" w:firstLine="420"/>
        <w:rPr>
          <w:rFonts w:ascii="宋体" w:hAnsi="宋体" w:cs="Arial" w:hint="eastAsia"/>
          <w:szCs w:val="21"/>
        </w:rPr>
      </w:pPr>
      <w:bookmarkStart w:id="11" w:name="_Hlk51345582"/>
      <w:r>
        <w:rPr>
          <w:rFonts w:ascii="宋体" w:hAnsi="宋体" w:cs="Arial" w:hint="eastAsia"/>
          <w:szCs w:val="21"/>
        </w:rPr>
        <w:t>1.本基金的投资范围为：</w:t>
      </w:r>
    </w:p>
    <w:p w14:paraId="3A51DC5E"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本基金的投资范围为具有良好流动性的金融工具，包括国内依法发行上市的股票（包括主板、</w:t>
      </w:r>
      <w:proofErr w:type="gramStart"/>
      <w:r>
        <w:rPr>
          <w:rFonts w:ascii="宋体" w:hAnsi="宋体" w:cs="Arial" w:hint="eastAsia"/>
          <w:szCs w:val="21"/>
        </w:rPr>
        <w:t>科创板</w:t>
      </w:r>
      <w:proofErr w:type="gramEnd"/>
      <w:r>
        <w:rPr>
          <w:rFonts w:ascii="宋体" w:hAnsi="宋体" w:cs="Arial" w:hint="eastAsia"/>
          <w:szCs w:val="21"/>
        </w:rPr>
        <w:t>、创业板以及其他经中国证监会允许发行的股票）、存托凭证、港股通标的股票、债券（包括国债、地方政府债券、央行票据、金融债、企业债、公司债、次级债、可转换债券、分离交易可转换债券、可交换债券、短期融资</w:t>
      </w:r>
      <w:proofErr w:type="gramStart"/>
      <w:r>
        <w:rPr>
          <w:rFonts w:ascii="宋体" w:hAnsi="宋体" w:cs="Arial" w:hint="eastAsia"/>
          <w:szCs w:val="21"/>
        </w:rPr>
        <w:t>券</w:t>
      </w:r>
      <w:proofErr w:type="gramEnd"/>
      <w:r>
        <w:rPr>
          <w:rFonts w:ascii="宋体" w:hAnsi="宋体" w:cs="Arial" w:hint="eastAsia"/>
          <w:szCs w:val="21"/>
        </w:rPr>
        <w:t>（</w:t>
      </w:r>
      <w:proofErr w:type="gramStart"/>
      <w:r>
        <w:rPr>
          <w:rFonts w:ascii="宋体" w:hAnsi="宋体" w:cs="Arial" w:hint="eastAsia"/>
          <w:szCs w:val="21"/>
        </w:rPr>
        <w:t>含超短期</w:t>
      </w:r>
      <w:proofErr w:type="gramEnd"/>
      <w:r>
        <w:rPr>
          <w:rFonts w:ascii="宋体" w:hAnsi="宋体" w:cs="Arial" w:hint="eastAsia"/>
          <w:szCs w:val="21"/>
        </w:rPr>
        <w:t>融资</w:t>
      </w:r>
      <w:proofErr w:type="gramStart"/>
      <w:r>
        <w:rPr>
          <w:rFonts w:ascii="宋体" w:hAnsi="宋体" w:cs="Arial" w:hint="eastAsia"/>
          <w:szCs w:val="21"/>
        </w:rPr>
        <w:t>券</w:t>
      </w:r>
      <w:proofErr w:type="gramEnd"/>
      <w:r>
        <w:rPr>
          <w:rFonts w:ascii="宋体" w:hAnsi="宋体" w:cs="Arial" w:hint="eastAsia"/>
          <w:szCs w:val="21"/>
        </w:rPr>
        <w:t>）、政府支持债券、政府支持机构债券、中期票据等）、资产支持证券、债券回购、银行存款（包括定期存款、协议存款、通知存款等）、同业存单、现金等货币市场工具、信用衍生品、国债期货、股指期货、股票期权、经中国证监会依法核准或注册的公开募集证券投资基金（包括全市场的股票型ETF、公开募集不动产投资信托基金（以下简称“公募REITs”），以及基金管理人旗下的股票型基金、计入权益类资产的混合型基金，不含货币市场基金、QDII基金、香港互认基金、基金中基金和</w:t>
      </w:r>
      <w:proofErr w:type="gramStart"/>
      <w:r>
        <w:rPr>
          <w:rFonts w:ascii="宋体" w:hAnsi="宋体" w:cs="Arial" w:hint="eastAsia"/>
          <w:szCs w:val="21"/>
        </w:rPr>
        <w:t>可</w:t>
      </w:r>
      <w:proofErr w:type="gramEnd"/>
      <w:r>
        <w:rPr>
          <w:rFonts w:ascii="宋体" w:hAnsi="宋体" w:cs="Arial" w:hint="eastAsia"/>
          <w:szCs w:val="21"/>
        </w:rPr>
        <w:t>投资其他基金的基金）等，以及法律法规或中国证监会允许投资的其他金融工具（但须符合中国证监会的相关规定）。</w:t>
      </w:r>
    </w:p>
    <w:p w14:paraId="717FC641"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如法律法规或监管机构以后允许基金投资其他品种，基金管理人在履行适当程序后，可以将其纳入投资范围。</w:t>
      </w:r>
    </w:p>
    <w:p w14:paraId="4DE5B016"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2.本基金各类品种的投资比例、投资限制为：</w:t>
      </w:r>
    </w:p>
    <w:p w14:paraId="7FA11B39"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本基金对股票、存托凭证、股票型基金、混合型基金等权益类资产及可转换债券、分离交易可转债、可交换债券资产的合计投资比例为基金资产的10%-30%；其中，投资于境内股票和A股ETF的比例不低于基金资产的10%，投资于港股通标的股票的比例不超过股票资产的50%；本基金持有其他基金，其市值不超过基金资产净值的10%。每个交易日日终在扣除股指期货合约、国债期货合约和股票期权合约需缴纳的交易保证金后，现金或者到期日在一年以内的政府债券不低于基金资产净值的5%，其中现金不包括结算备付金、存出保证金、应收申购款等。其中，计入上述权益类资产的混合型基金需符合下列两个条件之一：</w:t>
      </w:r>
    </w:p>
    <w:p w14:paraId="629E54BD"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1、基金合同约定股票及存托凭证资产投资比例不低于基金资产60%的混合型基金；</w:t>
      </w:r>
    </w:p>
    <w:p w14:paraId="6F25BA63"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lastRenderedPageBreak/>
        <w:t>2、根据基金披露的定期报告，最近四个季度中任一季度股票及存托凭证资产占基金资产比例均不低于60%的混合型基金。</w:t>
      </w:r>
    </w:p>
    <w:p w14:paraId="156C5F1B"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如果法律法规或监管机构变更投资品种的投资比例限制，基金管理人在履行适当程序后，可以调整上述投资品种的投资比例。</w:t>
      </w:r>
    </w:p>
    <w:p w14:paraId="79893B17"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基金的投资组合应遵循以下限制：</w:t>
      </w:r>
    </w:p>
    <w:p w14:paraId="20ACC89C"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1）本基金对股票、存托凭证、股票型基金、混合型基金等权益类资产及可转换债券、分离交易可转债、可交换债券资产的合计投资比例为基金资产的10%-30%；其中，投资于境内股票和A股ETF的比例不低于基金资产的10%，投资于港股通标的股票的比例不超过股票资产的50%；计入上述权益类资产的混合型基金需符合下列两个条件之一：</w:t>
      </w:r>
    </w:p>
    <w:p w14:paraId="1F98C7D7"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1）基金合同约定股票及存托凭证资产投资比例不低于基金资产60%的混合型基金；</w:t>
      </w:r>
    </w:p>
    <w:p w14:paraId="43373B4D"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2）根据基金披露的定期报告，最近四个季度中任一季度股票及存托凭证资产占基金资产比例均不低于60%的混合型基金；</w:t>
      </w:r>
    </w:p>
    <w:p w14:paraId="38EADBA7"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（2）本基金持有其他基金，其市值不超过基金资产净值的10%；</w:t>
      </w:r>
    </w:p>
    <w:p w14:paraId="24F977FA"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3）本基金每个交易日日终，在扣除股指期货合约、国债期货合约和股票期权合约需缴纳的交易保证金后，保持不低于基金资产净值5%的现金或者到期日在一年以内的政府债券，其中现金不包括结算备付金、存出保证金、应收申购款等；</w:t>
      </w:r>
    </w:p>
    <w:p w14:paraId="117C714A"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（4）本基金持有一家公司发行的证券（同一家公司在内地和香港同时上市的A+H股合计计算，但不包括本基金所投资的基金份额），其市值不超过基金资产净值的10%；</w:t>
      </w:r>
    </w:p>
    <w:p w14:paraId="6E12D196"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5）本基金管理人管理的且本基金托管人托管的全部基金持有一家公司发行的证券（同一家公司在内地和香港同时上市的A+H股合计计算，但不包括本基金所投资的基金份额），不超过该证券的10%；本基金管理人管理的且本基金托管人托管的全部开放式基金（包括开放式基金以及处于开放期的定期开放基金）持有一家上市公司发行的可流通股票，不得超过该上市公司可流通股票的15%；本基金管理人管理的且本基金托管人托管的全部投资组合持有一家上市公司发行的可流通股票，不得超过该上市公司可流通股票的30%；完全按照有关指数的构成比例进行证券投资的基金品种以及中国证监会认定的特殊投资组合可以不受此条款规定的比例限制；</w:t>
      </w:r>
    </w:p>
    <w:p w14:paraId="62FF600D"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lastRenderedPageBreak/>
        <w:t>（6）本基金投资于同一原始权益人的各类资产支持证券的比例，不得超过基金资产净值的10%；</w:t>
      </w:r>
    </w:p>
    <w:p w14:paraId="7A14B699"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（7）本基金持有的全部资产支持证券，其市值不得超过基金资产净值的20%；</w:t>
      </w:r>
    </w:p>
    <w:p w14:paraId="07AE10A9"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（8）本基金持有的同一（指同一信用级别）资产支持证券的比例，不得超过该资产支持证券规模的10%；</w:t>
      </w:r>
    </w:p>
    <w:p w14:paraId="3BC1C749"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（9）本基金管理人管理的且本基金托管人托管的全部基金投资于同一原始权益人的各类资产支持证券，不得超过其各类资产支持证券合计规模的10%；</w:t>
      </w:r>
    </w:p>
    <w:p w14:paraId="14071596"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（10）本基金同业存单的投资比例占基金资产的比例不超过20%；</w:t>
      </w:r>
    </w:p>
    <w:p w14:paraId="6ED3DBB4"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（11）基金财产参与股票发行申购，本基金所申报的金额不超过本基金的总资产，本基金所申报的股票数量不超过拟发行股票公司本次发行股票的总量；</w:t>
      </w:r>
    </w:p>
    <w:p w14:paraId="50A07BC8"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（12）本基金资产总值不得超过基金资产净值的140%；</w:t>
      </w:r>
    </w:p>
    <w:p w14:paraId="37B97702"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（13）本基金参与股指期货、国债期货交易，应当遵守下列要求：</w:t>
      </w:r>
    </w:p>
    <w:p w14:paraId="611748EA"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1）本基金在任何交易日日终，持有的买入股指期货合约价值，不得超过基金资产净值的10%；本基金在任何交易日日终，持有的买入国债期货合约价值，不得超过基金资产净值的15%；</w:t>
      </w:r>
    </w:p>
    <w:p w14:paraId="555513E5"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2）本基金在任何交易日日终，持有的买入股指期货、国债期货合约价值与有价证券市值之和，不得超过基金资产净值的95%；其中，有价证券指股票、债券（不含到期日在一年以内的政府债券）、资产支持证券、买入返售金融资产（不含质押式回购）等；</w:t>
      </w:r>
    </w:p>
    <w:p w14:paraId="3BE91EB2"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3）本基金在任何交易日日终，持有的卖出股指期货合约价值不得超过本基金持有的股票总市值的20%；本基金在任何交易日日终，持有的卖出国债期货合约价值不得超过基金持有的债券总市值的30%；</w:t>
      </w:r>
    </w:p>
    <w:p w14:paraId="794B58B8"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4）本基金所持有的股票市值和买入、卖出股指期货合约价值，合计（轧差计算）应当符合基金合同关于股票投资比例的有关约定；本基金所持有的债券（不含到期日在一年以内的政府债券）市值和买入、卖出国债期货合约价值，合计（轧差计算）应当符合基金合同关于债券投资比例的有关约定；</w:t>
      </w:r>
    </w:p>
    <w:p w14:paraId="5A9784AD"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5）本基金在任何交易日内交易（不包括平仓）的股指期货合约的成交金额不得超过上一</w:t>
      </w:r>
      <w:r>
        <w:rPr>
          <w:rFonts w:ascii="宋体" w:hAnsi="宋体" w:cs="Arial" w:hint="eastAsia"/>
          <w:szCs w:val="21"/>
        </w:rPr>
        <w:lastRenderedPageBreak/>
        <w:t>交易日基金资产净值的20%；本基金在任何交易日内交易（不包括平仓）的国债期货合约的成交金额不得超过上一交易日基金资产净值的30%；</w:t>
      </w:r>
    </w:p>
    <w:p w14:paraId="01C9C82E"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（14）本基金参与股票期权交易，应当遵守下列要求：</w:t>
      </w:r>
    </w:p>
    <w:p w14:paraId="35112C55"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1）因未平仓的期权合约支付和收取的权利金总额不得超过基金资产净值的10%；</w:t>
      </w:r>
    </w:p>
    <w:p w14:paraId="6EDE8561"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2）开仓卖出认购期权的，应持有足额标的证券；开仓卖出认沽期权的，应持有合约行权所需的全额现金或交易所规则认可的可冲抵期权保证金的现金等价物；</w:t>
      </w:r>
    </w:p>
    <w:p w14:paraId="69AFDC89"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3）未平仓的期权合约面值不得超过基金资产净值的20%。其中，合约面值按照行权价乘以合约乘数计算；</w:t>
      </w:r>
    </w:p>
    <w:p w14:paraId="1AAC6F2E"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（15）本基金不得持有信用保护卖方属性的信用衍生品，不得持有合约类信用衍生品，持有的信用衍生品的名义本金不得超过本基金对应受保护债券面值的100%；</w:t>
      </w:r>
    </w:p>
    <w:p w14:paraId="6431F167"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（16）本基金投资于同一信用保护卖方的各类信用衍生品的名义本金合计不得超过基金资产净值的10%；</w:t>
      </w:r>
    </w:p>
    <w:p w14:paraId="6B06F75F"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因证券、期货市场波动、证券发行人合并、基金规模变动等基金管理人之外的因素致使基金不符合前述（15）、（16）所规定比例限制的，基金管理人应在3个月之内进行调整；</w:t>
      </w:r>
    </w:p>
    <w:p w14:paraId="054CFA7E"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17）本基金主动投资于流动性受限资产（含封闭运作基金、定期开放基金等）的市值合计不得超过本基金资产净值的15%；因证券市场波动、上市公司股票停牌、基金规模变动等基金管理人之外的因素致使基金不符合该比例限制的，基金管理人不得主动新增流动性受限资产的投资；</w:t>
      </w:r>
    </w:p>
    <w:p w14:paraId="7532545D"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（18）本基金与私募类</w:t>
      </w:r>
      <w:proofErr w:type="gramStart"/>
      <w:r>
        <w:rPr>
          <w:rFonts w:ascii="宋体" w:hAnsi="宋体" w:cs="Arial" w:hint="eastAsia"/>
          <w:szCs w:val="21"/>
        </w:rPr>
        <w:t>证券资管产品</w:t>
      </w:r>
      <w:proofErr w:type="gramEnd"/>
      <w:r>
        <w:rPr>
          <w:rFonts w:ascii="宋体" w:hAnsi="宋体" w:cs="Arial" w:hint="eastAsia"/>
          <w:szCs w:val="21"/>
        </w:rPr>
        <w:t>及中国证监会认定的其他主体为交易对手开展逆回购交易的，可接受质押品的资质要求应当与基金合同约定的投资范围保持一致；</w:t>
      </w:r>
    </w:p>
    <w:p w14:paraId="26DB7484"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（19）本基金投资存托凭证的比例限制依照境内上市交易的股票执行；</w:t>
      </w:r>
    </w:p>
    <w:p w14:paraId="4C11A1D3"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（20）本基金管理人管理的全部基金（ETF联接基金除外）持有单只基金不得超过被投资基金净资产的20%，被投资基金净资产规模以最近定期报告披露的规模为准；</w:t>
      </w:r>
    </w:p>
    <w:p w14:paraId="5B7A0C7E"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（21）本基金投资其他基金时，被投资基金的运作期限应当不少于1年，最近定期报告披露的基金净资产应当不低于1亿元。</w:t>
      </w:r>
    </w:p>
    <w:p w14:paraId="743E2CBD"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lastRenderedPageBreak/>
        <w:t>（22）本基金不得持有具有复杂、衍生品性质的基金份额，包括分级基金和中国证监会认定的其他基金份额；</w:t>
      </w:r>
    </w:p>
    <w:p w14:paraId="10474F3E"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（23）本基金不得持有基金中基金；</w:t>
      </w:r>
    </w:p>
    <w:p w14:paraId="1AB7A550"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（24）法律法规及中国证监会规定的和基金合同约定的其他投资限制。</w:t>
      </w:r>
    </w:p>
    <w:p w14:paraId="124DB2DA"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因证券市场波动、基金规模变动等基金管理人之外的因素致使基金投资不符合上述（20）规定的投资比例的，基金管理人应当在20个交易日内进行调整，但中国证监会规定的特殊情形除外。除上述第（3）、（15）、（16）、（17）、（18）、（20）条外，因证券/期货市场波动、证券发行人合并、基金规模变动等基金管理人之外的因素致使基金投资比例不符合上述规定投资比例的，基金管理人应当在10个交易日内进行调整，但中国证监会规定的特殊情形除外。法律法规另有规定的，从其规定。</w:t>
      </w:r>
    </w:p>
    <w:p w14:paraId="49D2FEEE"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基金管理人应当自基金合同生效之日起6个月内使基金的投资组合比例符合基金合同的有关约定。在上述期间内，本基金的投资范围、投资策略应当符合基金合同的约定。</w:t>
      </w:r>
    </w:p>
    <w:p w14:paraId="3E8AD0F8"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基金托管人对基金的投资的监督与检查自基金合同生效之日起开始。</w:t>
      </w:r>
    </w:p>
    <w:p w14:paraId="6E7F9222"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法律法规或监管部门取消或变更上述限制，如适用于本基金，基金管理人在履行适当程序后，则本基金投资不再受相关限制或以变更后的规定为准。</w:t>
      </w:r>
    </w:p>
    <w:p w14:paraId="2F160C9A"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3.本基金财产不得用于以下投资或者活动：</w:t>
      </w:r>
    </w:p>
    <w:p w14:paraId="7BEE394C"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（1）承销证券；</w:t>
      </w:r>
    </w:p>
    <w:p w14:paraId="7D191224"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（2）违反规定向他人贷款或者提供担保；</w:t>
      </w:r>
    </w:p>
    <w:p w14:paraId="45D9E0E5"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（3）从事承担无限责任的投资；</w:t>
      </w:r>
    </w:p>
    <w:p w14:paraId="529587BC"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（4）向其基金管理人、基金托管人出资；</w:t>
      </w:r>
    </w:p>
    <w:p w14:paraId="4D850945" w14:textId="77777777" w:rsidR="003360D6" w:rsidRDefault="00000000">
      <w:pPr>
        <w:spacing w:line="360" w:lineRule="auto"/>
        <w:ind w:firstLineChars="200" w:firstLine="420"/>
        <w:rPr>
          <w:rFonts w:ascii="宋体" w:hAnsi="宋体" w:cs="Arial" w:hint="eastAsia"/>
          <w:szCs w:val="21"/>
        </w:rPr>
      </w:pPr>
      <w:r>
        <w:rPr>
          <w:rFonts w:ascii="宋体" w:hAnsi="宋体" w:cs="Arial"/>
          <w:szCs w:val="21"/>
        </w:rPr>
        <w:t>（5）</w:t>
      </w:r>
      <w:r>
        <w:rPr>
          <w:rFonts w:ascii="宋体" w:hAnsi="宋体" w:cs="Arial" w:hint="eastAsia"/>
          <w:szCs w:val="21"/>
        </w:rPr>
        <w:t>从事内幕交易、操纵证券交易价格及其他不正当的证券交易活动；</w:t>
      </w:r>
    </w:p>
    <w:p w14:paraId="03C16AF8"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（6）法律、行政法规和中国证监会规定禁止的其他活动。</w:t>
      </w:r>
    </w:p>
    <w:p w14:paraId="2E3169D6"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4.基金管理人运用基金财产买卖基金管理人、基金托管人及其控股股东、实际控制人或者与其有重大利害关系的公司发行的证券或者承销期内承销的证券，或者从事其他重大关联交</w:t>
      </w:r>
      <w:r>
        <w:rPr>
          <w:rFonts w:ascii="宋体" w:hAnsi="宋体" w:cs="Arial" w:hint="eastAsia"/>
          <w:szCs w:val="21"/>
        </w:rPr>
        <w:lastRenderedPageBreak/>
        <w:t>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38B603FE"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本基金投资基金管理人或基金管理人关联方管理的基金的情况，不属于前述重大关联交易，但是应当按照法律法规或监管规定的要求履行信息披露义务。</w:t>
      </w:r>
    </w:p>
    <w:p w14:paraId="39C40B87"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如法律法规或监管部门取消或调整上述禁止性规定，基金管理人在履行适当程序后，本基金可不受上述规定的限制或按调整后的规定执行，</w:t>
      </w:r>
      <w:r>
        <w:rPr>
          <w:rFonts w:ascii="宋体" w:hAnsi="宋体" w:cs="Arial"/>
          <w:szCs w:val="21"/>
        </w:rPr>
        <w:t>不需经基金份额持有人大会审议，但须提前公告</w:t>
      </w:r>
      <w:r>
        <w:rPr>
          <w:rFonts w:ascii="宋体" w:hAnsi="宋体" w:cs="Arial" w:hint="eastAsia"/>
          <w:szCs w:val="21"/>
        </w:rPr>
        <w:t>。</w:t>
      </w:r>
    </w:p>
    <w:bookmarkEnd w:id="11"/>
    <w:p w14:paraId="30FB153B"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二）基金托管人根据有关法律法规的规定及《基金合同》的约定，对基金管理人选择存款银行进行监督。基金投资银行定期存款的，基金管理人应根据法律法规的规定及《基金合同》的约定，确定符合条件的所有存款银行的名单，并及时提供给基金托管人，基金托管人应据以对基金投资银行存款的交易对手是否符合有关规定进行监督。对于不符合规定的银行存款，基金托管人可以拒绝执行，并通知基金管理人。</w:t>
      </w:r>
      <w:r>
        <w:rPr>
          <w:rFonts w:hint="eastAsia"/>
          <w:szCs w:val="21"/>
        </w:rPr>
        <w:t>如基金管理人未向基金托管人提供符合条件的存款银行名单，视为基金管理人认可所有银行。</w:t>
      </w:r>
    </w:p>
    <w:p w14:paraId="2B6A5472"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本基金投资银行存款应符合如下规定：</w:t>
      </w:r>
    </w:p>
    <w:p w14:paraId="36DE9CD9" w14:textId="03FDA03A"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基金管理人负责对本基金存款银行的评估与研究，建立健全银行存款的业务流程、岗位职责、风险控制措施和监察稽核制度，切实防范有关风险。基金托管人负责对本基金银行定期存款业务的监督与核查，审查、复核相关协议、账户资料、投资指令、存款证实书等有关文件，切实履行托管职责。</w:t>
      </w:r>
    </w:p>
    <w:p w14:paraId="1534098D"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w:t>
      </w:r>
      <w:r>
        <w:rPr>
          <w:rFonts w:ascii="宋体" w:hAnsi="宋体" w:cs="Arial"/>
          <w:szCs w:val="21"/>
        </w:rPr>
        <w:t>1</w:t>
      </w:r>
      <w:r>
        <w:rPr>
          <w:rFonts w:ascii="宋体" w:hAnsi="宋体" w:cs="Arial" w:hint="eastAsia"/>
          <w:szCs w:val="21"/>
        </w:rPr>
        <w:t>）基金管理人负责控制信用风险。信用风险主要包括存款银行的信用等级、存款银行的支付能力等涉及到存款银行选择方面的风险。因选择存款银行不当造成基金财产损失的，基金托管人不承担责任。</w:t>
      </w:r>
    </w:p>
    <w:p w14:paraId="085F1C1A"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w:t>
      </w:r>
      <w:r>
        <w:rPr>
          <w:rFonts w:ascii="宋体" w:hAnsi="宋体" w:cs="Arial"/>
          <w:szCs w:val="21"/>
        </w:rPr>
        <w:t>2</w:t>
      </w:r>
      <w:r>
        <w:rPr>
          <w:rFonts w:ascii="宋体" w:hAnsi="宋体" w:cs="Arial" w:hint="eastAsia"/>
          <w:szCs w:val="21"/>
        </w:rPr>
        <w:t>）基金管理人负责控制流动性风险。因控制不力而造成的损失，基金托管人不承担责任。流动性风险主要包括基金管理人要求全部提前支取、部分提前支取或到期支取而存款银行</w:t>
      </w:r>
      <w:r>
        <w:rPr>
          <w:rFonts w:ascii="宋体" w:hAnsi="宋体" w:cs="Arial" w:hint="eastAsia"/>
          <w:szCs w:val="21"/>
        </w:rPr>
        <w:lastRenderedPageBreak/>
        <w:t>未能及时兑付的风险、基金投资银行存款不能满足基金正常结算业务的风险、因全部提前支取或部分提前支取而涉及的利息损失影响估值等涉及到基金流动性方面的风险。</w:t>
      </w:r>
    </w:p>
    <w:p w14:paraId="43C5B590"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w:t>
      </w:r>
      <w:r>
        <w:rPr>
          <w:rFonts w:ascii="宋体" w:hAnsi="宋体" w:cs="Arial"/>
          <w:szCs w:val="21"/>
        </w:rPr>
        <w:t>3</w:t>
      </w:r>
      <w:r>
        <w:rPr>
          <w:rFonts w:ascii="宋体" w:hAnsi="宋体" w:cs="Arial" w:hint="eastAsia"/>
          <w:szCs w:val="21"/>
        </w:rPr>
        <w:t>）基金管理人须加强内部风险控制制度的建设。如因基金管理人员工职务行为导致基金财产受到损失的，需由基金管理人承担由此造成的损失。</w:t>
      </w:r>
    </w:p>
    <w:p w14:paraId="12D31DEC"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（4）基金管理人与基金托管人在开展基金存款业务时，应严格遵守《基金法》、《运作办法》等有关法律法规，以及国家有关账户管理、利率管理、支付结算等的各项规定。</w:t>
      </w:r>
    </w:p>
    <w:p w14:paraId="482F9A96"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（三）基金投资银行存款协议的签订、账户开设与管理、投资指令与资金划付、账目核对、到期兑付、提前支取</w:t>
      </w:r>
    </w:p>
    <w:p w14:paraId="654A3AA4"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1.基金投资银行存款协议的签订</w:t>
      </w:r>
    </w:p>
    <w:p w14:paraId="6BB890B9" w14:textId="33F882FA"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（1）基金管理人应与符合资格的存款银行总行或其授权分行签订存款协议。</w:t>
      </w:r>
    </w:p>
    <w:p w14:paraId="2294FFAC" w14:textId="5FC57A3D"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（2）基金托管人依据相关法规对存款协议的内容进行复核，审查存款银行资格等。</w:t>
      </w:r>
    </w:p>
    <w:p w14:paraId="492123B4" w14:textId="35EF676A"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（3）基金管理人应在存款协议中明确存款证实书或其他有效存款凭证的办理方式、邮寄地址、联系人和联系电话，以及存款证实书或其他有效凭证在邮寄过程中遗失后，存款余额的确认及兑付办法等。</w:t>
      </w:r>
    </w:p>
    <w:p w14:paraId="17638F67"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（4）由存款银行指定的存放存款的分支机构（以下简称“存款分支机构</w:t>
      </w:r>
      <w:r>
        <w:rPr>
          <w:rFonts w:ascii="宋体" w:hAnsi="宋体" w:cs="Arial"/>
          <w:szCs w:val="21"/>
        </w:rPr>
        <w:t>”</w:t>
      </w:r>
      <w:r>
        <w:rPr>
          <w:rFonts w:ascii="宋体" w:hAnsi="宋体" w:cs="Arial" w:hint="eastAsia"/>
          <w:szCs w:val="21"/>
        </w:rPr>
        <w:t>）寄送或上门交付存款证实书或其他有效存款凭证的，基金托管人可向存款分支机构的上级行发出存款余额</w:t>
      </w:r>
      <w:proofErr w:type="gramStart"/>
      <w:r>
        <w:rPr>
          <w:rFonts w:ascii="宋体" w:hAnsi="宋体" w:cs="Arial" w:hint="eastAsia"/>
          <w:szCs w:val="21"/>
        </w:rPr>
        <w:t>询</w:t>
      </w:r>
      <w:proofErr w:type="gramEnd"/>
      <w:r>
        <w:rPr>
          <w:rFonts w:ascii="宋体" w:hAnsi="宋体" w:cs="Arial" w:hint="eastAsia"/>
          <w:szCs w:val="21"/>
        </w:rPr>
        <w:t>证函，存款分支机构及其上级行应予配合。</w:t>
      </w:r>
    </w:p>
    <w:p w14:paraId="6181222E" w14:textId="29BD2FC6"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（5）基金管理人应在存款协议中规定，基金存放到期或提前兑付的资金应全部划转到指定的基金托管账户，并在存款协议写明账户名称和账号，未划入指定账户的，由存款银行承担一切责任。</w:t>
      </w:r>
    </w:p>
    <w:p w14:paraId="32092EA8" w14:textId="47955D68" w:rsidR="003360D6" w:rsidRDefault="00000000">
      <w:pPr>
        <w:spacing w:line="480" w:lineRule="exact"/>
        <w:ind w:firstLineChars="200" w:firstLine="420"/>
        <w:rPr>
          <w:rFonts w:ascii="宋体" w:hAnsi="宋体" w:cs="Arial" w:hint="eastAsia"/>
          <w:szCs w:val="21"/>
        </w:rPr>
      </w:pPr>
      <w:r>
        <w:rPr>
          <w:rFonts w:ascii="宋体" w:hAnsi="宋体" w:cs="Arial" w:hint="eastAsia"/>
          <w:szCs w:val="21"/>
        </w:rPr>
        <w:t>（6）基金管理人应在存款协议中规定，在存期内，如本基金银行账户、预留印鉴发生变更，基金管理人应及时书面通知存款行，书面通知应加盖基金托管人预留印鉴。存款分支机构应及时就变更事项向基金管理人、基金托管人出具正式书面确认书。变更通知的送达方式同开户手续。在存期内，存款分支机构和基金托管人的指定联系人变更，应及时加盖有效印章书面通知对方。</w:t>
      </w:r>
    </w:p>
    <w:p w14:paraId="254FA4BF" w14:textId="482D4595"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lastRenderedPageBreak/>
        <w:t>（7）基金管理人应在存款协议中规定，因定期存款产生的存单不得被质押或以任何方式被抵押，不得用于转让和背书。</w:t>
      </w:r>
    </w:p>
    <w:p w14:paraId="7B6FF253"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2.基金投资银行存款时的账户开设与管理</w:t>
      </w:r>
    </w:p>
    <w:p w14:paraId="10B04A2C" w14:textId="0BD34710"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（1）基金投资于银行存款时，基金管理人应当依据基金管理人与存款银行签订的存款协议等，以基金的名义在存款银行总行或授权分行指定的分支机构开立银行账户。</w:t>
      </w:r>
    </w:p>
    <w:p w14:paraId="561A42BD" w14:textId="6CEAC1C8"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（2）基金投资于银行存款时的预留印鉴应至少预留一枚基金托管人指定人员名章。</w:t>
      </w:r>
    </w:p>
    <w:p w14:paraId="487F34CF"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3.存款凭证传递、账目核对及到期兑付</w:t>
      </w:r>
    </w:p>
    <w:p w14:paraId="5319D578"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（1）存款证实书等存款凭证传递</w:t>
      </w:r>
    </w:p>
    <w:p w14:paraId="211F487E" w14:textId="2CFB5B05"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存款资金只能存放于存款银行总行或者其授权分行指定的分支机构。基金管理人应在存款协议中规定，存款银行分支机构应为基金开具存款证实书或其他有效存款凭证（下称“存款凭证”），该存款凭证为基金存款确认或到期提款的有效凭证，且对应每笔存款仅能开具唯一存款凭证。资金到账当日，由存款银行分支机构指定的会计主管传真一份存款凭证复印件并与基金托管人电话确认收妥后，将存款凭证原件通过快递寄送或上门交付至基金托管人指定联系人。</w:t>
      </w:r>
    </w:p>
    <w:p w14:paraId="482CD2D4"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（2）存款凭证的遗失补办</w:t>
      </w:r>
    </w:p>
    <w:p w14:paraId="7AA0ECAC"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存款凭证在邮寄过程中遗失的，由基金管理人向存款银行提出补办申请，基金管理人应督促存款银行尽快补办存款凭证，并按以上（1）的方式快递或上门交付至基金托管人，原存款凭证自动作废。</w:t>
      </w:r>
    </w:p>
    <w:p w14:paraId="0AA484A3"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（3）账目核对</w:t>
      </w:r>
    </w:p>
    <w:p w14:paraId="64812852"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每个工作日，基金管理人应与基金托管人核对各项银行存款投资余额及应计利息。</w:t>
      </w:r>
    </w:p>
    <w:p w14:paraId="49F4BA17" w14:textId="41DF9A7F" w:rsidR="003360D6" w:rsidRDefault="00000000">
      <w:pPr>
        <w:spacing w:line="480" w:lineRule="exact"/>
        <w:ind w:firstLineChars="200" w:firstLine="420"/>
        <w:rPr>
          <w:rFonts w:ascii="宋体" w:hAnsi="宋体" w:cs="Arial" w:hint="eastAsia"/>
          <w:szCs w:val="21"/>
        </w:rPr>
      </w:pPr>
      <w:r>
        <w:rPr>
          <w:rFonts w:ascii="宋体" w:hAnsi="宋体" w:cs="Arial" w:hint="eastAsia"/>
          <w:szCs w:val="21"/>
        </w:rPr>
        <w:t>基金管理人应在存款协议中规定，对于存期超过3个月的定期存款，基金托管人于每季度向存款银行发起查询查复，存款银行应按照中国人民银行查询查复的有关时限要求及时回复。基金管理人有责任督促存款银行及时回复查询查复。因存款银行未及时回复造成的资金被挪用、盗取的责任由存款银行承担。</w:t>
      </w:r>
    </w:p>
    <w:p w14:paraId="4C93D833" w14:textId="77777777" w:rsidR="003360D6" w:rsidRDefault="00000000">
      <w:pPr>
        <w:spacing w:line="480" w:lineRule="exact"/>
        <w:ind w:firstLineChars="200" w:firstLine="420"/>
        <w:rPr>
          <w:rFonts w:ascii="宋体" w:hAnsi="宋体" w:cs="Arial" w:hint="eastAsia"/>
          <w:szCs w:val="21"/>
        </w:rPr>
      </w:pPr>
      <w:r>
        <w:rPr>
          <w:rFonts w:ascii="宋体" w:hAnsi="宋体" w:cs="Arial" w:hint="eastAsia"/>
          <w:szCs w:val="21"/>
        </w:rPr>
        <w:lastRenderedPageBreak/>
        <w:t>存款银行应配合基金托管人对存款凭证的</w:t>
      </w:r>
      <w:proofErr w:type="gramStart"/>
      <w:r>
        <w:rPr>
          <w:rFonts w:ascii="宋体" w:hAnsi="宋体" w:cs="Arial" w:hint="eastAsia"/>
          <w:szCs w:val="21"/>
        </w:rPr>
        <w:t>询</w:t>
      </w:r>
      <w:proofErr w:type="gramEnd"/>
      <w:r>
        <w:rPr>
          <w:rFonts w:ascii="宋体" w:hAnsi="宋体" w:cs="Arial" w:hint="eastAsia"/>
          <w:szCs w:val="21"/>
        </w:rPr>
        <w:t>证，并在</w:t>
      </w:r>
      <w:proofErr w:type="gramStart"/>
      <w:r>
        <w:rPr>
          <w:rFonts w:ascii="宋体" w:hAnsi="宋体" w:cs="Arial" w:hint="eastAsia"/>
          <w:szCs w:val="21"/>
        </w:rPr>
        <w:t>询</w:t>
      </w:r>
      <w:proofErr w:type="gramEnd"/>
      <w:r>
        <w:rPr>
          <w:rFonts w:ascii="宋体" w:hAnsi="宋体" w:cs="Arial" w:hint="eastAsia"/>
          <w:szCs w:val="21"/>
        </w:rPr>
        <w:t>证函上加盖存款银行公章寄送至基金托管人指定联系人。</w:t>
      </w:r>
    </w:p>
    <w:p w14:paraId="5EDA002E"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（4）到期兑付</w:t>
      </w:r>
    </w:p>
    <w:p w14:paraId="6C45D4E0"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基金管理人提前通知基金托管人通过快递将存款凭证原件寄给存款银行分支机构指定的会计主管。存款银行未收到存款凭证原件的，应与基金托管人电话询问。存款到期</w:t>
      </w:r>
      <w:proofErr w:type="gramStart"/>
      <w:r>
        <w:rPr>
          <w:rFonts w:ascii="宋体" w:hAnsi="宋体" w:cs="Arial" w:hint="eastAsia"/>
          <w:szCs w:val="21"/>
        </w:rPr>
        <w:t>前基金</w:t>
      </w:r>
      <w:proofErr w:type="gramEnd"/>
      <w:r>
        <w:rPr>
          <w:rFonts w:ascii="宋体" w:hAnsi="宋体" w:cs="Arial" w:hint="eastAsia"/>
          <w:szCs w:val="21"/>
        </w:rPr>
        <w:t>管理人与存款银行确认存款凭证收到并于到期日兑付存款本息事宜。</w:t>
      </w:r>
    </w:p>
    <w:p w14:paraId="4E04925B"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基金托管人在存款到期日未收到存款本息或存款本息金额不符时，通知基金管理人与存款银行接洽存款到账时间及利息补付事宜。基金管理人应将接洽结果告知基金托管人，基金托管人收妥存款本息的当日通知基金管理人。</w:t>
      </w:r>
    </w:p>
    <w:p w14:paraId="206F8600" w14:textId="4E6F908F"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基金管理人应在存款协议中规定，存款凭证在邮寄过程中遗失的，存款银行应立即通知基金托管人，基金托管人在原存款凭证复印件上加盖有效印章并出具相关证明文件后，与存款银行指定会计主管电话确认后，存款银行应在到期日将存款本息划至指定的基金资金账户。如果存款到期日为法定节假日，存款银行顺延至到期后第一个工作日支付，存款银行需按存款协议约定利率和实际延期天数支付延期利息。</w:t>
      </w:r>
    </w:p>
    <w:p w14:paraId="717478C7"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4.提前支取</w:t>
      </w:r>
    </w:p>
    <w:p w14:paraId="1C4A4EC6"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如果在存款期限内，由于基金规模发生缩减的原因或者出于流动性管理的需要等原因，基金管理人可以提前支取全部或部分资金。</w:t>
      </w:r>
    </w:p>
    <w:p w14:paraId="69BCCBBB" w14:textId="2909971E"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提前支取的具体事项按照基金管理人与存款银行签订的存款协议执行。</w:t>
      </w:r>
    </w:p>
    <w:p w14:paraId="0AE0C1EB"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5.基金投资银行存款的监督</w:t>
      </w:r>
    </w:p>
    <w:p w14:paraId="6B7C06F2"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基金托管人发现基金管理人在进行存款投资时有违反有关法律法规的规定及《基金合同》的约定的行为，应及时以书面形式通知基金管理人在</w:t>
      </w:r>
      <w:r>
        <w:rPr>
          <w:rFonts w:ascii="宋体" w:hAnsi="宋体" w:cs="Arial"/>
          <w:szCs w:val="21"/>
        </w:rPr>
        <w:t>限期</w:t>
      </w:r>
      <w:r>
        <w:rPr>
          <w:rFonts w:ascii="宋体" w:hAnsi="宋体" w:cs="Arial" w:hint="eastAsia"/>
          <w:szCs w:val="21"/>
        </w:rPr>
        <w:t>内纠正。基金管理人对基金托管人通知的违规事项未能在</w:t>
      </w:r>
      <w:r>
        <w:rPr>
          <w:rFonts w:ascii="宋体" w:hAnsi="宋体" w:cs="Arial"/>
          <w:szCs w:val="21"/>
        </w:rPr>
        <w:t>限期</w:t>
      </w:r>
      <w:r>
        <w:rPr>
          <w:rFonts w:ascii="宋体" w:hAnsi="宋体" w:cs="Arial" w:hint="eastAsia"/>
          <w:szCs w:val="21"/>
        </w:rPr>
        <w:t>内纠正的，基金托管人应报告中国证监会。基金托管人发现基金管理人有重大违规行为，应立即报告中国证监会，同时通知基金管理人在</w:t>
      </w:r>
      <w:r>
        <w:rPr>
          <w:rFonts w:ascii="宋体" w:hAnsi="宋体" w:cs="Arial"/>
          <w:szCs w:val="21"/>
        </w:rPr>
        <w:t>限期</w:t>
      </w:r>
      <w:r>
        <w:rPr>
          <w:rFonts w:ascii="宋体" w:hAnsi="宋体" w:cs="Arial" w:hint="eastAsia"/>
          <w:szCs w:val="21"/>
        </w:rPr>
        <w:t>内纠正或拒绝结算，若因基金管理人拒不执行造成基金财产损失的，相关损失由基金管理人承担，基金托管人不承担赔偿责任。</w:t>
      </w:r>
    </w:p>
    <w:p w14:paraId="1023630F"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lastRenderedPageBreak/>
        <w:t>（四）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并约定各交易对手所适用的交易结算方式。基金管理人有责任确保及时将更新后的交易对手名单发送给基金托管人，否则由此造成的损失应由基金管理人承担。如基金管理人在基金投资运作之前未向基金托管人提供银行间债券市场交易对手名单的，视为基金管理人认可全市场交易对手。基金管理人应严格按照交易对手名单的范围在银行间债券市场选择交易对手。基金托管人监督基金管理人是否按事前提供的银行间债券市场交易对手名单进行交易。在基金存续期间基金管理人可以调整交易对手名单，但应将调整结果至少提前一个工作日书面通知基金托管人。新名单确定时已与本次剔除的交易对手所进行但尚未结算的交易，仍应按照协议进行结算，但不得再发生新的交易。如基金管理人根据市场需要临时调整银行间债券交易对手名单及结算方式的，应向基金托管人说明理由，并在与交易对手发生交易前</w:t>
      </w:r>
      <w:r>
        <w:rPr>
          <w:rFonts w:ascii="宋体" w:hAnsi="宋体" w:cs="Arial"/>
          <w:szCs w:val="21"/>
        </w:rPr>
        <w:t>3个交易</w:t>
      </w:r>
      <w:proofErr w:type="gramStart"/>
      <w:r>
        <w:rPr>
          <w:rFonts w:ascii="宋体" w:hAnsi="宋体" w:cs="Arial"/>
          <w:szCs w:val="21"/>
        </w:rPr>
        <w:t>日内与</w:t>
      </w:r>
      <w:proofErr w:type="gramEnd"/>
      <w:r>
        <w:rPr>
          <w:rFonts w:ascii="宋体" w:hAnsi="宋体" w:cs="Arial"/>
          <w:szCs w:val="21"/>
        </w:rPr>
        <w:t>基金托管人协商解决。</w:t>
      </w:r>
    </w:p>
    <w:p w14:paraId="389BF4B7"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基金管理人负责对交易对手的资信控制，按银行间债券市场的交易规则进行交易，并负责解决因交易对手不履行合同而造成的纠纷。若未履约的交易对手在基金管理人确定的时间内仍未承担违约责任及其他相关法律责任的，基金管理人向相关交易对手追偿。基金托管人则根据银行间债券市场成交单对合同履行情况进行监督。如基金托管人事后发现基金管理人没有按照事先约定的交易对手进行交易时，基金托管人应及时提醒基金管理人，基金托管人不承担由此造成的相应损失和责任。</w:t>
      </w:r>
    </w:p>
    <w:p w14:paraId="5207E825"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（五）本基金投资流通受限证券，应遵守《关于基金投资非公开发行股票等流通受限证券有关问题的通知》等有关监管规定。</w:t>
      </w:r>
    </w:p>
    <w:p w14:paraId="1461C137"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1.</w:t>
      </w:r>
      <w:r>
        <w:rPr>
          <w:rFonts w:hint="eastAsia"/>
        </w:rPr>
        <w:t xml:space="preserve"> </w:t>
      </w:r>
      <w:r>
        <w:rPr>
          <w:rFonts w:ascii="宋体" w:hAnsi="宋体" w:cs="Arial" w:hint="eastAsia"/>
          <w:szCs w:val="21"/>
        </w:rPr>
        <w:t>此处的流通受限证券与上文的流动性受限资产的定义并不完全一致，包括由《上市公司证券发行注册管理办法》规范的非公开发行股票、公开发行股票网下配售部分等在发行时明确一定期限锁定期的可交易证券，不包括由于发布重大消息或其他原因而临时停牌的证券、已发行未上市证券、回购交易中的质押</w:t>
      </w:r>
      <w:proofErr w:type="gramStart"/>
      <w:r>
        <w:rPr>
          <w:rFonts w:ascii="宋体" w:hAnsi="宋体" w:cs="Arial" w:hint="eastAsia"/>
          <w:szCs w:val="21"/>
        </w:rPr>
        <w:t>券</w:t>
      </w:r>
      <w:proofErr w:type="gramEnd"/>
      <w:r>
        <w:rPr>
          <w:rFonts w:ascii="宋体" w:hAnsi="宋体" w:cs="Arial" w:hint="eastAsia"/>
          <w:szCs w:val="21"/>
        </w:rPr>
        <w:t>等流通受限证券。</w:t>
      </w:r>
    </w:p>
    <w:p w14:paraId="053E126E"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本基金可以投资经中国证监会批准的非公开发行证券，且限于由中国证券登记结算有限责任公司、中央国债登记结算有限责任公司或银行间市场清算所股份有限公司负责登记和存管的，并可在证券交易所或全国银行间债券市场交易的证券。</w:t>
      </w:r>
    </w:p>
    <w:p w14:paraId="3955C952"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lastRenderedPageBreak/>
        <w:t>本基金不得投资未经中国证监会批准的非公开发行证券。</w:t>
      </w:r>
    </w:p>
    <w:p w14:paraId="2B1933F2"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本基金不得投资有</w:t>
      </w:r>
      <w:proofErr w:type="gramStart"/>
      <w:r>
        <w:rPr>
          <w:rFonts w:ascii="宋体" w:hAnsi="宋体" w:cs="Arial" w:hint="eastAsia"/>
          <w:szCs w:val="21"/>
        </w:rPr>
        <w:t>锁定期但锁定</w:t>
      </w:r>
      <w:proofErr w:type="gramEnd"/>
      <w:r>
        <w:rPr>
          <w:rFonts w:ascii="宋体" w:hAnsi="宋体" w:cs="Arial" w:hint="eastAsia"/>
          <w:szCs w:val="21"/>
        </w:rPr>
        <w:t>期不明确的证券。</w:t>
      </w:r>
    </w:p>
    <w:p w14:paraId="00EA86A3"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2. 基金管理人应在基金首次投资流通受限证券前，向基金托管人提供经基金管理人董事会批准的有关基金投资流通受限证券的投资决策流程、风险控制制度。基金投资非公开发行股票，基金管理人还应提供基金管理人董事会批准的流动性风险处置预案。上述资料应包括但不限于基金投资流通受限证券的投资额度和投资比例控制情况。</w:t>
      </w:r>
    </w:p>
    <w:p w14:paraId="403BC5C6"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基金管理人应至少</w:t>
      </w:r>
      <w:proofErr w:type="gramStart"/>
      <w:r>
        <w:rPr>
          <w:rFonts w:ascii="宋体" w:hAnsi="宋体" w:cs="Arial" w:hint="eastAsia"/>
          <w:szCs w:val="21"/>
        </w:rPr>
        <w:t>于首次</w:t>
      </w:r>
      <w:proofErr w:type="gramEnd"/>
      <w:r>
        <w:rPr>
          <w:rFonts w:ascii="宋体" w:hAnsi="宋体" w:cs="Arial" w:hint="eastAsia"/>
          <w:szCs w:val="21"/>
        </w:rPr>
        <w:t>执行投资指令之前两个工作日将上述资料书面发至基金托管人，保证基金托管人有足够的时间进行审核。基金托管人应在收到上述资料后两个工作日内，以书面或其他双方认可的方式确认收到上述资料。</w:t>
      </w:r>
    </w:p>
    <w:p w14:paraId="501F1D5D"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基金管理人负责管理本基金投资流通受限证券的流动性风险，确保对相关风险采取积极有效的措施，在合理的时间内有效解决基金运作的流动性问题。如因基金巨额赎回或市场发生剧烈变动等原因而导致基金现金周转困难时，基金管理人应保证提供足额现金确保基金的支付结算。对本基金因投资流通受限证券导致的流动性风险，基金托管人不承担相应赔偿责任。</w:t>
      </w:r>
    </w:p>
    <w:p w14:paraId="54B65552"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3.基金投资流通受限证券前，基金管理人应向基金托管人提供符合法律法规要求的有关书面信息，包括但不限于拟发行证券主体的中国证监会批准文件、发行证券数量、发行价格、锁定期</w:t>
      </w:r>
      <w:r>
        <w:rPr>
          <w:rFonts w:ascii="宋体" w:hAnsi="宋体" w:cs="Arial"/>
          <w:szCs w:val="21"/>
        </w:rPr>
        <w:t>、</w:t>
      </w:r>
      <w:r>
        <w:rPr>
          <w:rFonts w:ascii="宋体" w:hAnsi="宋体" w:cs="Arial" w:hint="eastAsia"/>
          <w:szCs w:val="21"/>
        </w:rPr>
        <w:t>基金拟认购的数量、价格、总成本、应划付的认购款、资金划付时间等。基金管理人应保证上述信息的真实、完整，并应至少</w:t>
      </w:r>
      <w:proofErr w:type="gramStart"/>
      <w:r>
        <w:rPr>
          <w:rFonts w:ascii="宋体" w:hAnsi="宋体" w:cs="Arial" w:hint="eastAsia"/>
          <w:szCs w:val="21"/>
        </w:rPr>
        <w:t>于拟执行</w:t>
      </w:r>
      <w:proofErr w:type="gramEnd"/>
      <w:r>
        <w:rPr>
          <w:rFonts w:ascii="宋体" w:hAnsi="宋体" w:cs="Arial" w:hint="eastAsia"/>
          <w:szCs w:val="21"/>
        </w:rPr>
        <w:t>投资指令前两个工作日将上述信息书面发至基金托管人，保证基金托管人有足够的时间进行审核。</w:t>
      </w:r>
    </w:p>
    <w:p w14:paraId="71F41123"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由于基金管理人未及时提供有关证券的具体的必要的信息，致使基金托管人无法审核认购指令而影响认购款项划拨的，基金托管人免于承担责任。</w:t>
      </w:r>
    </w:p>
    <w:p w14:paraId="3B427090"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4.基金托管人依照法律法规、《基金合同》、《托管协议》审核基金管理人投资流通受限证券的行为。如发现基金管理人违反了《基金合同》、《托管协议》以及其他相关法律法规的有关规定，应及时通知基金管理人，并呈报中国证监会，同时采取合理措施保护投资人的利益。基金托管人有权对基金管理人的违法、违规以及违反《基金合同》、《托管协议》的投资指令不予执行，并立即通知基金管理人纠正，基金管理人不予纠正或已代表基金签署合同不得不执行时，基金托管人应向中国证监会报告。</w:t>
      </w:r>
    </w:p>
    <w:p w14:paraId="7EE52019"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lastRenderedPageBreak/>
        <w:t>5.</w:t>
      </w:r>
      <w:r>
        <w:rPr>
          <w:rFonts w:ascii="宋体" w:hAnsi="宋体" w:cs="Arial"/>
          <w:szCs w:val="21"/>
        </w:rPr>
        <w:t xml:space="preserve"> 基金管理</w:t>
      </w:r>
      <w:r>
        <w:rPr>
          <w:rFonts w:ascii="宋体" w:hAnsi="宋体" w:cs="Arial" w:hint="eastAsia"/>
          <w:szCs w:val="21"/>
        </w:rPr>
        <w:t>人</w:t>
      </w:r>
      <w:r>
        <w:rPr>
          <w:rFonts w:ascii="宋体" w:hAnsi="宋体" w:cs="Arial"/>
          <w:szCs w:val="21"/>
        </w:rPr>
        <w:t>应在基金投资非公开发行股票后两个交易日内,在中国证监会</w:t>
      </w:r>
      <w:r>
        <w:rPr>
          <w:rFonts w:ascii="宋体" w:hAnsi="宋体" w:cs="Arial" w:hint="eastAsia"/>
          <w:szCs w:val="21"/>
        </w:rPr>
        <w:t>规定</w:t>
      </w:r>
      <w:r>
        <w:rPr>
          <w:rFonts w:ascii="宋体" w:hAnsi="宋体" w:cs="Arial"/>
          <w:szCs w:val="21"/>
        </w:rPr>
        <w:t>媒介披露所投资非公开发行股票的名称、数量、总成本、账面价值，以及总成本和账面价值占基金资产净值的比例、锁定期等信息。</w:t>
      </w:r>
    </w:p>
    <w:p w14:paraId="370D4C7A"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（六）基金管理人应当对投资中期票据业务进行研究，认真评估中期票据投资业务的风险，本着审慎、勤勉尽责的原则进行中期票据的投资业务，并应符合法律法规及监管机构的相关规定。</w:t>
      </w:r>
    </w:p>
    <w:p w14:paraId="143BC5A8"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七）基金托管人根据有关法律法规的规定及《基金合同》的约定，对基金资产净值计算、各类基金份额净值计算、应收资金到账、基金费用开支及收入确定、基金收益分配、相关信息披露、基金宣传推介材料中登载基金业绩表现数据等进行监督和核查。</w:t>
      </w:r>
    </w:p>
    <w:p w14:paraId="541A6FA2" w14:textId="77777777" w:rsidR="003360D6" w:rsidRDefault="00000000">
      <w:pPr>
        <w:spacing w:line="360" w:lineRule="auto"/>
        <w:ind w:firstLineChars="200" w:firstLine="420"/>
        <w:rPr>
          <w:rFonts w:ascii="宋体" w:hAnsi="宋体" w:hint="eastAsia"/>
        </w:rPr>
      </w:pPr>
      <w:r>
        <w:rPr>
          <w:rFonts w:ascii="宋体" w:hAnsi="宋体" w:cs="Arial" w:hint="eastAsia"/>
          <w:szCs w:val="21"/>
        </w:rPr>
        <w:t>（八）</w:t>
      </w:r>
      <w:r>
        <w:rPr>
          <w:rFonts w:ascii="宋体" w:hAnsi="宋体" w:hint="eastAsia"/>
        </w:rPr>
        <w:t>基金托管人发现基金管理人的上述事项及投资指令或实际投资运作违反法律法规、《基金合同》和本托管协议的规定，应及时以电话、邮件或书面提示等方式通知基金管理人限期纠正。基金管理人应积极配合和协助基金托管人的监督和核查。基金管理人收到通知后应及时核对并回复基金托管人，对于收到的书面通知，基金管理人应以书面形式给基金托管人发出回函，就基金托管人的合理疑义进行解释或举证，说明违规原因及纠正期限。在上述规定期限内，基金托管人有权随时对通知事项进行复查，督促基金管理人改正。基金管理人对基金托管人通知的违规事项未能在限期内纠正的，基金托管人应报告中国证监会。</w:t>
      </w:r>
    </w:p>
    <w:p w14:paraId="15397D22"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九）基金管理人有义务配合和协助基金托管人依照法律法规、《基金合同》和本托管协议对基金业务执行核查。包括但不限于：对基金托管人发出的提示，基金管理人应在规定时间内答复并改正，或就基金托管人的合理疑义进行解释或举证；对基金托管人按照法律法规、基金合同和本托管协议的要求需向中国证监会报送基金监督报告的事项，基金管理人应积极配合提供相关数据资料和制度等。</w:t>
      </w:r>
    </w:p>
    <w:p w14:paraId="59824EAD"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（十）</w:t>
      </w:r>
      <w:proofErr w:type="gramStart"/>
      <w:r>
        <w:rPr>
          <w:rFonts w:ascii="宋体" w:hAnsi="宋体" w:cs="Arial" w:hint="eastAsia"/>
          <w:szCs w:val="21"/>
        </w:rPr>
        <w:t>若基金</w:t>
      </w:r>
      <w:proofErr w:type="gramEnd"/>
      <w:r>
        <w:rPr>
          <w:rFonts w:ascii="宋体" w:hAnsi="宋体" w:cs="Arial" w:hint="eastAsia"/>
          <w:szCs w:val="21"/>
        </w:rPr>
        <w:t>托管人发现基金管理人依据交易程序已经生效的指令违反法律、行政法规和其他有关规定，或者违反基金合同约定的，应当立即通知基金管理人及时纠正，由此造成的损失由基金管理人承担，基金托管人在履行其及时通知义务后，予以免责。</w:t>
      </w:r>
    </w:p>
    <w:p w14:paraId="77112E11"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（十一）基金托管人发现基金管理人有重大违规行为，应及时报告中国证监会，同时通知基金管理人限期纠正。</w:t>
      </w:r>
    </w:p>
    <w:p w14:paraId="69213F9B" w14:textId="77777777" w:rsidR="003360D6" w:rsidRDefault="00000000">
      <w:pPr>
        <w:pStyle w:val="2"/>
        <w:spacing w:beforeLines="100" w:before="312" w:afterLines="50" w:after="156" w:line="360" w:lineRule="auto"/>
        <w:jc w:val="center"/>
        <w:rPr>
          <w:rFonts w:ascii="宋体" w:eastAsia="宋体" w:hAnsi="宋体" w:hint="eastAsia"/>
          <w:sz w:val="21"/>
          <w:szCs w:val="21"/>
        </w:rPr>
      </w:pPr>
      <w:bookmarkStart w:id="12" w:name="_Toc86726439"/>
      <w:bookmarkStart w:id="13" w:name="_Toc118212950"/>
      <w:bookmarkStart w:id="14" w:name="_Toc86737929"/>
      <w:bookmarkStart w:id="15" w:name="_Toc110765660"/>
      <w:bookmarkStart w:id="16" w:name="_Toc110830492"/>
      <w:bookmarkStart w:id="17" w:name="_Toc118774803"/>
      <w:bookmarkStart w:id="18" w:name="_Toc118972648"/>
      <w:bookmarkStart w:id="19" w:name="_Toc110761796"/>
      <w:bookmarkStart w:id="20" w:name="_Toc89163368"/>
      <w:bookmarkStart w:id="21" w:name="_Toc108512358"/>
      <w:bookmarkStart w:id="22" w:name="_Toc86649722"/>
      <w:bookmarkStart w:id="23" w:name="_Toc86225291"/>
      <w:bookmarkStart w:id="24" w:name="_Toc86727355"/>
      <w:bookmarkStart w:id="25" w:name="_Toc86223242"/>
      <w:bookmarkStart w:id="26" w:name="_Toc119402710"/>
      <w:bookmarkStart w:id="27" w:name="_Toc120435783"/>
      <w:r>
        <w:rPr>
          <w:rFonts w:ascii="宋体" w:eastAsia="宋体" w:hAnsi="宋体"/>
          <w:sz w:val="21"/>
          <w:szCs w:val="21"/>
        </w:rPr>
        <w:br w:type="page"/>
      </w:r>
      <w:bookmarkStart w:id="28" w:name="_Toc348082032"/>
      <w:bookmarkStart w:id="29" w:name="_Toc229153183"/>
      <w:r>
        <w:rPr>
          <w:rFonts w:ascii="宋体" w:eastAsia="宋体" w:hAnsi="宋体" w:hint="eastAsia"/>
          <w:sz w:val="21"/>
          <w:szCs w:val="21"/>
        </w:rPr>
        <w:lastRenderedPageBreak/>
        <w:t>四、基金管理人对基金托管人的业务核查</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B91F9D8"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一）基金管理人对基金托管人履行托管职责情况进行核查，核查事项包括基金托管人安全保管基金财产、开设基金财产的资金账户、证券账户等投资所需账户、复核基金管理人计算的基金资产净值和各类基金份额净值、根据基金管理人指令办理清算交收、相关信息披露和监督基金投资运作等行为。</w:t>
      </w:r>
    </w:p>
    <w:p w14:paraId="6A2AB9D2"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二）基金管理人发现基金托管人擅自挪用基金财产、未对基金财产实行分账管理、未执行或无故延迟执行基金管理人资金划拨指令、泄露基金投资信息等违反《基金法》、基金合同、托管协议及其他有关规定时，应及时以书面形式通知基金托管人限期纠正。基金托管人收到书面通知后应在下一工作日前及时核对并以书面形式给基金管理人发出回函，说明违规原因及纠正期限，并保证在规定期限内及时改正。在上述规定期限内，基金管理人有权随时对通知事项进行复查，督促基金托管人改正。</w:t>
      </w:r>
    </w:p>
    <w:p w14:paraId="04278BC7"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三）基金托管人有义务配合和协助基金管理人依照法律法规、基金合同和本托管协议对基金业务执行核查，包括但不限于：对基金管理人发出的书面提示，基金托管人应在规定时间内答复并改正，或就基金管理人的疑义进行解释或举证；基金托管人应积极配合提供相关资料以</w:t>
      </w:r>
      <w:proofErr w:type="gramStart"/>
      <w:r>
        <w:rPr>
          <w:rFonts w:ascii="宋体" w:hAnsi="宋体" w:cs="Arial" w:hint="eastAsia"/>
          <w:szCs w:val="21"/>
        </w:rPr>
        <w:t>供基金</w:t>
      </w:r>
      <w:proofErr w:type="gramEnd"/>
      <w:r>
        <w:rPr>
          <w:rFonts w:ascii="宋体" w:hAnsi="宋体" w:cs="Arial" w:hint="eastAsia"/>
          <w:szCs w:val="21"/>
        </w:rPr>
        <w:t>管理人核查托管财产的完整性和真实性。</w:t>
      </w:r>
    </w:p>
    <w:p w14:paraId="7C2A06A3"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（四）基金管理人发现基金托管人有重大违规行为，应及时报告中国证监会，同时通知基金托管人限期纠正，并将纠正结果报告中国证监会。</w:t>
      </w:r>
    </w:p>
    <w:p w14:paraId="734DA801" w14:textId="77777777" w:rsidR="003360D6" w:rsidRDefault="003360D6">
      <w:pPr>
        <w:spacing w:line="360" w:lineRule="auto"/>
        <w:rPr>
          <w:rFonts w:ascii="宋体" w:hAnsi="宋体" w:hint="eastAsia"/>
          <w:szCs w:val="21"/>
        </w:rPr>
      </w:pPr>
    </w:p>
    <w:p w14:paraId="053313E5" w14:textId="77777777" w:rsidR="003360D6" w:rsidRDefault="00000000">
      <w:pPr>
        <w:pStyle w:val="2"/>
        <w:spacing w:beforeLines="100" w:before="312" w:afterLines="50" w:after="156" w:line="360" w:lineRule="auto"/>
        <w:jc w:val="center"/>
        <w:rPr>
          <w:rFonts w:ascii="宋体" w:eastAsia="宋体" w:hAnsi="宋体" w:hint="eastAsia"/>
          <w:sz w:val="21"/>
          <w:szCs w:val="21"/>
        </w:rPr>
      </w:pPr>
      <w:bookmarkStart w:id="30" w:name="_Toc86649723"/>
      <w:bookmarkStart w:id="31" w:name="_Toc108512359"/>
      <w:bookmarkStart w:id="32" w:name="_Toc120435784"/>
      <w:bookmarkStart w:id="33" w:name="_Toc89163369"/>
      <w:bookmarkStart w:id="34" w:name="_Toc86225292"/>
      <w:bookmarkStart w:id="35" w:name="_Toc110761797"/>
      <w:bookmarkStart w:id="36" w:name="_Toc84133786"/>
      <w:bookmarkStart w:id="37" w:name="_Toc86204789"/>
      <w:bookmarkStart w:id="38" w:name="_Toc118774804"/>
      <w:bookmarkStart w:id="39" w:name="_Toc118972649"/>
      <w:bookmarkStart w:id="40" w:name="_Toc86727356"/>
      <w:bookmarkStart w:id="41" w:name="_Toc118212951"/>
      <w:bookmarkStart w:id="42" w:name="_Toc84234435"/>
      <w:bookmarkStart w:id="43" w:name="_Toc84234388"/>
      <w:bookmarkStart w:id="44" w:name="_Toc110830493"/>
      <w:bookmarkStart w:id="45" w:name="_Toc86737930"/>
      <w:bookmarkStart w:id="46" w:name="_Toc110765661"/>
      <w:bookmarkStart w:id="47" w:name="_Toc86726440"/>
      <w:bookmarkStart w:id="48" w:name="_Toc119402711"/>
      <w:bookmarkStart w:id="49" w:name="_Toc86223243"/>
      <w:r>
        <w:rPr>
          <w:rFonts w:ascii="宋体" w:eastAsia="宋体" w:hAnsi="宋体"/>
          <w:sz w:val="21"/>
          <w:szCs w:val="21"/>
        </w:rPr>
        <w:br w:type="page"/>
      </w:r>
      <w:bookmarkStart w:id="50" w:name="_Toc348082033"/>
      <w:bookmarkStart w:id="51" w:name="_Toc229153184"/>
      <w:r>
        <w:rPr>
          <w:rFonts w:ascii="宋体" w:eastAsia="宋体" w:hAnsi="宋体" w:hint="eastAsia"/>
          <w:sz w:val="21"/>
          <w:szCs w:val="21"/>
        </w:rPr>
        <w:lastRenderedPageBreak/>
        <w:t>五、基金财产的保管</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38EF077"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（一）基金财产保管的原则</w:t>
      </w:r>
    </w:p>
    <w:p w14:paraId="6DABC883"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1.基金财产应独立于基金管理人、基金托管人的固有财产。</w:t>
      </w:r>
    </w:p>
    <w:p w14:paraId="72384E23"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2.基金托管人应安全保管基金财产。</w:t>
      </w:r>
    </w:p>
    <w:p w14:paraId="751A7AFD"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3.基金托管人按照规定开设资金账户、证券账户等基金财产投资所需的相关账户。</w:t>
      </w:r>
    </w:p>
    <w:p w14:paraId="13ED39DE"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4.基金托管人对所托管的不同基金财产分别设置账户，分账管理，独立核算，确保基金财产的完整与独立。</w:t>
      </w:r>
    </w:p>
    <w:p w14:paraId="0ED1BA2A"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5.基金托管人根据基金管理人的指令，按照基金合同和本协议的约定保管基金财产。未经基金管理人的正当指令，不得自行运用、处分、分配基金的任何资产。不属于基金托管人实际有效控制下的资产及实物证券等在基金托管人保管期间的损坏、灭失，基金托管人不承担由此产生的责任。</w:t>
      </w:r>
    </w:p>
    <w:p w14:paraId="1EDF9FCC"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6.对于因为基金投资产生的应收资产，应由基金管理人负责与有关当事人确定到账日期并通知基金托管人，到账日基金财产没有到达基金资金账户的，基金托管人应及时通知基金管理人采取措施进行催收，基金管理人应负责向有关当事人追偿基金财产的损失，基金托管人应给予必要的协助。</w:t>
      </w:r>
    </w:p>
    <w:p w14:paraId="040213FA"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7.基金</w:t>
      </w:r>
      <w:r>
        <w:rPr>
          <w:rFonts w:ascii="宋体" w:hAnsi="宋体" w:hint="eastAsia"/>
          <w:szCs w:val="21"/>
        </w:rPr>
        <w:t>托管人对因为</w:t>
      </w:r>
      <w:r>
        <w:rPr>
          <w:rFonts w:ascii="宋体" w:hAnsi="宋体" w:cs="Arial" w:hint="eastAsia"/>
          <w:szCs w:val="21"/>
        </w:rPr>
        <w:t>基金</w:t>
      </w:r>
      <w:r>
        <w:rPr>
          <w:rFonts w:ascii="宋体" w:hAnsi="宋体" w:hint="eastAsia"/>
          <w:szCs w:val="21"/>
        </w:rPr>
        <w:t>管理人投资产生的存放或存管在</w:t>
      </w:r>
      <w:r>
        <w:rPr>
          <w:rFonts w:ascii="宋体" w:hAnsi="宋体" w:cs="Arial" w:hint="eastAsia"/>
          <w:szCs w:val="21"/>
        </w:rPr>
        <w:t>基金</w:t>
      </w:r>
      <w:r>
        <w:rPr>
          <w:rFonts w:ascii="宋体" w:hAnsi="宋体" w:hint="eastAsia"/>
          <w:szCs w:val="21"/>
        </w:rPr>
        <w:t>托管人以外机构的基金资产，或交由期货公司或证券公司负责清算交收的基金资产（包括但不限于期货保证金账户内的资金、期货合约等）及其收益，由于该等机构或该机构会员单位等本协议当事人外第三方的欺诈、疏忽、过失或破产等原因给基金资产造成的损失等不承担责任。</w:t>
      </w:r>
    </w:p>
    <w:p w14:paraId="5EC52081"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8.除依据法律法规和基金合同的规定外，基金托管人不得委托第三人托管基金财产。</w:t>
      </w:r>
    </w:p>
    <w:p w14:paraId="4B7CE807"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（二）基金募集期间及募集资金的验资</w:t>
      </w:r>
    </w:p>
    <w:p w14:paraId="11DE355A"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1.基金募集期间募集的资金应开立“基金募集专户”。该账户由基金管理人开立并管理。</w:t>
      </w:r>
    </w:p>
    <w:p w14:paraId="14B18B40"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2.基金募集期满或基金停止募集时，募集的基金份额总额、基金募集金额、基金份额持有人人数符合《基金法》、《运作办法》等有关规定后，基金管理人应将属于基金财产的全部资金划入基金托管人为基金开立的基金资金账户，同时在规定时间内，基金管理人应聘</w:t>
      </w:r>
      <w:proofErr w:type="gramStart"/>
      <w:r>
        <w:rPr>
          <w:rFonts w:ascii="宋体" w:hAnsi="宋体" w:cs="Arial" w:hint="eastAsia"/>
          <w:szCs w:val="21"/>
        </w:rPr>
        <w:t>请</w:t>
      </w:r>
      <w:r>
        <w:rPr>
          <w:rFonts w:cs="Arial" w:hint="eastAsia"/>
          <w:szCs w:val="21"/>
        </w:rPr>
        <w:t>符合</w:t>
      </w:r>
      <w:proofErr w:type="gramEnd"/>
      <w:r>
        <w:rPr>
          <w:rFonts w:cs="Arial" w:hint="eastAsia"/>
          <w:szCs w:val="21"/>
        </w:rPr>
        <w:t>《中华人民共和国证券法》规定</w:t>
      </w:r>
      <w:r>
        <w:rPr>
          <w:rFonts w:ascii="宋体" w:hAnsi="宋体" w:cs="Arial" w:hint="eastAsia"/>
          <w:szCs w:val="21"/>
        </w:rPr>
        <w:t>的会计师事务所进行验资，出具验资报告。出具的验资报告由参加验资的2名或2名以上中国注册会计师签字方为有效。</w:t>
      </w:r>
    </w:p>
    <w:p w14:paraId="7A37C9A6"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3.</w:t>
      </w:r>
      <w:proofErr w:type="gramStart"/>
      <w:r>
        <w:rPr>
          <w:rFonts w:ascii="宋体" w:hAnsi="宋体" w:cs="Arial" w:hint="eastAsia"/>
          <w:szCs w:val="21"/>
        </w:rPr>
        <w:t>若基金</w:t>
      </w:r>
      <w:proofErr w:type="gramEnd"/>
      <w:r>
        <w:rPr>
          <w:rFonts w:ascii="宋体" w:hAnsi="宋体" w:cs="Arial" w:hint="eastAsia"/>
          <w:szCs w:val="21"/>
        </w:rPr>
        <w:t>募集期限届满，未能达到基金合同生效的条件，由基金管理人按规定办理退款等</w:t>
      </w:r>
      <w:r>
        <w:rPr>
          <w:rFonts w:ascii="宋体" w:hAnsi="宋体" w:cs="Arial" w:hint="eastAsia"/>
          <w:szCs w:val="21"/>
        </w:rPr>
        <w:lastRenderedPageBreak/>
        <w:t>事宜，基金托管人应当予以必要的协助和配合。</w:t>
      </w:r>
    </w:p>
    <w:p w14:paraId="493FD65F"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（三）基金资金账户的开立和管理</w:t>
      </w:r>
    </w:p>
    <w:p w14:paraId="310FD819" w14:textId="74A92375"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1.基金托管人以本基金的名义在其营业机构开立基金的资金账户（也可称为“托管账户”），保管基金的银行存款，并根据基金管理人的指令办理资金收付。托管账户名称应为“富国稳悦回报混合型证券投资基金”（产品名称以中国证监会最后注册为准），预留印鉴应至少预留一枚基金托管人指定人员名章。</w:t>
      </w:r>
    </w:p>
    <w:p w14:paraId="47E20BE7"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2.基金资金账户的开立和使用，限于满足开展本基金业务的需要。基金托管人和基金管理人不得假借本基金的名义开立任何其他银行账户；亦不得使用基金的任何账户进行本基金业务以外的活动。</w:t>
      </w:r>
    </w:p>
    <w:p w14:paraId="45EF6812"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3.基金资金账户的开立和管理应符合法律法规及银行业监督管理机构的有关规定。</w:t>
      </w:r>
    </w:p>
    <w:p w14:paraId="0C785B80"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（四）基金证券账户和结算备付金账户的开立和管理</w:t>
      </w:r>
    </w:p>
    <w:p w14:paraId="005AF2A1"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1.基金托管人在中国证券登记结算有限责任公司上海分公司、深圳分公司为基金开立基金托管人与基金联名的证券账户。</w:t>
      </w:r>
    </w:p>
    <w:p w14:paraId="3C1AB5A6"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2.基金证券账户的开立和使用，仅限于满足开展本基金业务的需要。基金托管人和基金管理人不得出借或未经对方同意擅自转让基金的任何证券账户，亦不得使用基金的任何账户进行本基金业务以外的活动。</w:t>
      </w:r>
    </w:p>
    <w:p w14:paraId="67B76CC2"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3.基金证券账户的开立和证券账户卡的保管由基金托管人负责，账户资产的管理和运用由基金管理人负责。</w:t>
      </w:r>
    </w:p>
    <w:p w14:paraId="02D43356"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4.基金托管人以基金托管人的名义在中国证券登记结算有限责任公司开立结算备付金账户，并代表所托管的基金完成与中国证券登记结算有限责任公司的一级法人清算工作，基金管理人应予以积极协助。结算备付金、结算保证金等的收取按照中国证券登记结算有限责任公司的规定执行。</w:t>
      </w:r>
    </w:p>
    <w:p w14:paraId="21C20A17"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5.若中国证监会或其他监管机构在本托管协议订立日之后允许基金从事其他投资品种的投资业务，涉及相关账户的开立、使用的，</w:t>
      </w:r>
      <w:r>
        <w:rPr>
          <w:rFonts w:ascii="宋体" w:hAnsi="宋体" w:cs="Arial" w:hint="eastAsia"/>
          <w:color w:val="000000"/>
          <w:szCs w:val="21"/>
        </w:rPr>
        <w:t>按有关规定开立、使用并管理；</w:t>
      </w:r>
      <w:r>
        <w:rPr>
          <w:rFonts w:ascii="宋体" w:hAnsi="宋体" w:cs="Arial" w:hint="eastAsia"/>
          <w:szCs w:val="21"/>
        </w:rPr>
        <w:t>若无相关规定，</w:t>
      </w:r>
      <w:proofErr w:type="gramStart"/>
      <w:r>
        <w:rPr>
          <w:rFonts w:ascii="宋体" w:hAnsi="宋体" w:cs="Arial" w:hint="eastAsia"/>
          <w:szCs w:val="21"/>
        </w:rPr>
        <w:t>则基金</w:t>
      </w:r>
      <w:proofErr w:type="gramEnd"/>
      <w:r>
        <w:rPr>
          <w:rFonts w:ascii="宋体" w:hAnsi="宋体" w:cs="Arial" w:hint="eastAsia"/>
          <w:szCs w:val="21"/>
        </w:rPr>
        <w:t>托管人比照上述关于账户开立、使用的规定执行。</w:t>
      </w:r>
    </w:p>
    <w:p w14:paraId="2C09CF67"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（五）债券托管账户的开设和管理</w:t>
      </w:r>
    </w:p>
    <w:p w14:paraId="0F6671FF"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基金合同生效后，基金托管人根据中国人民银行、中央国债登记结算有限责任公司和银行间市场清算所股份有限公司的有关规定，以基金的名义在</w:t>
      </w:r>
      <w:r>
        <w:rPr>
          <w:rFonts w:hint="eastAsia"/>
        </w:rPr>
        <w:t>银行间市场登记结算机构</w:t>
      </w:r>
      <w:r>
        <w:rPr>
          <w:rFonts w:ascii="宋体" w:hAnsi="宋体" w:cs="Arial" w:hint="eastAsia"/>
          <w:szCs w:val="21"/>
        </w:rPr>
        <w:t>开立债券</w:t>
      </w:r>
      <w:r>
        <w:rPr>
          <w:rFonts w:ascii="宋体" w:hAnsi="宋体" w:cs="Arial" w:hint="eastAsia"/>
          <w:szCs w:val="21"/>
        </w:rPr>
        <w:lastRenderedPageBreak/>
        <w:t>托管账户，并代表基金进行银行间市场债券的结算。</w:t>
      </w:r>
    </w:p>
    <w:p w14:paraId="682FF35D"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（六）其他账户的开立和管理</w:t>
      </w:r>
    </w:p>
    <w:p w14:paraId="12982BAD"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1.基金管理人根据投资需要按照规定开立期货保证金账户及期货交易编码等，</w:t>
      </w:r>
      <w:r>
        <w:rPr>
          <w:rFonts w:ascii="宋体" w:hAnsi="宋体" w:hint="eastAsia"/>
          <w:szCs w:val="21"/>
        </w:rPr>
        <w:t>基金托管人按照规定开立投资所需账户。</w:t>
      </w:r>
      <w:r>
        <w:rPr>
          <w:rFonts w:ascii="宋体" w:hAnsi="宋体" w:cs="Arial" w:hint="eastAsia"/>
          <w:szCs w:val="21"/>
        </w:rPr>
        <w:t>完成上述账户开立后，基金管理人应以书面形式将期货公司提供的期货保证金账户的初始资金密码和市场监控中心的登录用户名及密码告知基金托管人。资金密码和市场监控中心登录密码重置由基金管理人进行，重置后务必及时通知托管人。</w:t>
      </w:r>
    </w:p>
    <w:p w14:paraId="72D04D1C"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基金托管人和基金管理人应当在开户过程中相互配合，并提供所需资料。基金管理人保证所提供的账户开户材料的真实性和有效性，且在相关资料变更后及时将变更的资料提供给基金托管人。</w:t>
      </w:r>
    </w:p>
    <w:p w14:paraId="3C2B0D07"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2.因业务发展需要而开立的其他账户，可以根据法律法规和基金合同的规定，由基金管理人协助基金托管人按照有关法律法规和本协议的约定协商后开立。新账户按有关规定使用并管理。</w:t>
      </w:r>
    </w:p>
    <w:p w14:paraId="5A9FA813"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3.法律法规等有关规定对相关账户的开立和管理另有规定的，从其规定办理。</w:t>
      </w:r>
    </w:p>
    <w:p w14:paraId="39FFB546"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（七）基金财产投资的有关有价凭证等的保管</w:t>
      </w:r>
    </w:p>
    <w:p w14:paraId="21DA0623"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财产投资的有关实物证券等有价凭证按约定由基金托管人存放于基金托管人的保管库，或存入中央国债登记结算有限责任公司、银行间市场清算所股份有限公司、中国证券登记结算有限责任公司或票据营业中心的代保管库，实物保管凭证由基金托管人持有。实物证券等有价凭证的购买和转让，由基金托管人根据基金管理人的指令办理。基金托管人对由上述存放机构及基金托管人以外机构实际有效控制的有价凭证不承担保管责任。</w:t>
      </w:r>
    </w:p>
    <w:p w14:paraId="442A4009"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（八）与基金财产有关的重大合同的保管</w:t>
      </w:r>
    </w:p>
    <w:p w14:paraId="23E77283"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由基金管理人代表基金签署的、与基金财产有关的重大合同的原件分别由基金管理人、基金托管人保管。除本协议另有规定外，基金管理人代表基金签署的与基金财产有关的重大合同应尽可能保证基金管理人和基金托管人至少各持有一份正本的原件。基金管理人应在重大合同签署后及时将重大合同传真给基金托管人，并在三十个工作日内将正本送达基金托管人处。</w:t>
      </w:r>
      <w:r>
        <w:rPr>
          <w:rFonts w:ascii="宋体" w:hAnsi="宋体" w:hint="eastAsia"/>
          <w:szCs w:val="21"/>
        </w:rPr>
        <w:t>因基金管理人发送的合同传真件与事后送达的合同原件不一致所造成的后果，由基金管理人负责。</w:t>
      </w:r>
      <w:r>
        <w:rPr>
          <w:rFonts w:ascii="宋体" w:hAnsi="宋体" w:cs="Arial" w:hint="eastAsia"/>
          <w:szCs w:val="21"/>
        </w:rPr>
        <w:t>重大合同的保管期限应不少于法律法规的规定。</w:t>
      </w:r>
    </w:p>
    <w:p w14:paraId="0120CBE2" w14:textId="77777777" w:rsidR="003360D6" w:rsidRDefault="00000000">
      <w:pPr>
        <w:adjustRightInd w:val="0"/>
        <w:snapToGrid w:val="0"/>
        <w:spacing w:line="360" w:lineRule="auto"/>
        <w:ind w:firstLineChars="200" w:firstLine="420"/>
        <w:rPr>
          <w:rFonts w:ascii="宋体" w:hAnsi="宋体" w:hint="eastAsia"/>
          <w:szCs w:val="21"/>
        </w:rPr>
      </w:pPr>
      <w:r>
        <w:rPr>
          <w:rFonts w:ascii="宋体" w:hAnsi="宋体" w:hint="eastAsia"/>
          <w:szCs w:val="21"/>
        </w:rPr>
        <w:t>对于无法取得二份以上的正本的，基金管理人应向基金托管人提供加盖公章的合同传真件，未经双方协商一致，合同原件不得转移。基金管理人向基金托管人提供的合同传真件与基金管理人留存原件不一致的，以传真件为准。</w:t>
      </w:r>
    </w:p>
    <w:p w14:paraId="623A4ABB" w14:textId="77777777" w:rsidR="003360D6" w:rsidRDefault="003360D6">
      <w:pPr>
        <w:spacing w:line="360" w:lineRule="auto"/>
        <w:ind w:firstLine="420"/>
        <w:rPr>
          <w:rFonts w:ascii="宋体" w:hAnsi="宋体" w:hint="eastAsia"/>
          <w:szCs w:val="21"/>
        </w:rPr>
      </w:pPr>
    </w:p>
    <w:p w14:paraId="7151D986" w14:textId="77777777" w:rsidR="003360D6" w:rsidRDefault="00000000">
      <w:pPr>
        <w:pStyle w:val="2"/>
        <w:spacing w:beforeLines="100" w:before="312" w:afterLines="50" w:after="156" w:line="360" w:lineRule="auto"/>
        <w:jc w:val="center"/>
        <w:rPr>
          <w:rFonts w:ascii="宋体" w:eastAsia="宋体" w:hAnsi="宋体" w:hint="eastAsia"/>
          <w:sz w:val="21"/>
          <w:szCs w:val="21"/>
        </w:rPr>
      </w:pPr>
      <w:bookmarkStart w:id="52" w:name="_Toc119402712"/>
      <w:bookmarkStart w:id="53" w:name="_Toc118972650"/>
      <w:bookmarkStart w:id="54" w:name="_Toc110830494"/>
      <w:bookmarkStart w:id="55" w:name="_Toc84234389"/>
      <w:bookmarkStart w:id="56" w:name="_Toc120435785"/>
      <w:bookmarkStart w:id="57" w:name="_Toc86225293"/>
      <w:bookmarkStart w:id="58" w:name="_Toc118774805"/>
      <w:bookmarkStart w:id="59" w:name="_Toc110765662"/>
      <w:bookmarkStart w:id="60" w:name="_Toc86223244"/>
      <w:bookmarkStart w:id="61" w:name="_Toc86649724"/>
      <w:bookmarkStart w:id="62" w:name="_Toc86727357"/>
      <w:bookmarkStart w:id="63" w:name="_Toc84133787"/>
      <w:bookmarkStart w:id="64" w:name="_Toc89163370"/>
      <w:bookmarkStart w:id="65" w:name="_Toc108512360"/>
      <w:bookmarkStart w:id="66" w:name="_Toc84234436"/>
      <w:bookmarkStart w:id="67" w:name="_Toc86726441"/>
      <w:bookmarkStart w:id="68" w:name="_Toc86204790"/>
      <w:bookmarkStart w:id="69" w:name="_Toc118212952"/>
      <w:bookmarkStart w:id="70" w:name="_Toc110761798"/>
      <w:bookmarkStart w:id="71" w:name="_Toc86737931"/>
      <w:r>
        <w:rPr>
          <w:rFonts w:ascii="宋体" w:eastAsia="宋体" w:hAnsi="宋体"/>
          <w:sz w:val="21"/>
          <w:szCs w:val="21"/>
        </w:rPr>
        <w:br w:type="page"/>
      </w:r>
      <w:bookmarkStart w:id="72" w:name="_Toc348082034"/>
      <w:bookmarkStart w:id="73" w:name="_Toc229153185"/>
      <w:r>
        <w:rPr>
          <w:rFonts w:ascii="宋体" w:eastAsia="宋体" w:hAnsi="宋体" w:hint="eastAsia"/>
          <w:sz w:val="21"/>
          <w:szCs w:val="21"/>
        </w:rPr>
        <w:lastRenderedPageBreak/>
        <w:t>六、指令的发送、确认及执行</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C12DD11"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基金管理人在运用基金财产时向基金托管人发送资金划拨及其他款项付款指令，基金托管人执行基金管理人的指令、办理基金名下的资金往来等有关事项。</w:t>
      </w:r>
    </w:p>
    <w:p w14:paraId="2AB7CAE4" w14:textId="77777777" w:rsidR="003360D6" w:rsidRDefault="00000000">
      <w:pPr>
        <w:adjustRightInd w:val="0"/>
        <w:snapToGrid w:val="0"/>
        <w:spacing w:line="360" w:lineRule="auto"/>
        <w:ind w:firstLine="567"/>
        <w:jc w:val="left"/>
        <w:rPr>
          <w:rFonts w:ascii="宋体" w:hAnsi="宋体" w:hint="eastAsia"/>
          <w:szCs w:val="21"/>
        </w:rPr>
      </w:pPr>
      <w:r>
        <w:rPr>
          <w:rFonts w:ascii="宋体" w:hAnsi="宋体" w:hint="eastAsia"/>
          <w:szCs w:val="21"/>
        </w:rPr>
        <w:t>基金管理人发送的指令包括电子指令和纸质指令。</w:t>
      </w:r>
    </w:p>
    <w:p w14:paraId="67EF4E17" w14:textId="0FD3EE5E" w:rsidR="003360D6" w:rsidRDefault="00000000">
      <w:pPr>
        <w:adjustRightInd w:val="0"/>
        <w:snapToGrid w:val="0"/>
        <w:spacing w:line="360" w:lineRule="auto"/>
        <w:ind w:firstLine="560"/>
        <w:jc w:val="left"/>
        <w:rPr>
          <w:rFonts w:ascii="宋体" w:hAnsi="宋体" w:hint="eastAsia"/>
          <w:szCs w:val="21"/>
        </w:rPr>
      </w:pPr>
      <w:r>
        <w:rPr>
          <w:rFonts w:ascii="宋体" w:hAnsi="宋体" w:hint="eastAsia"/>
          <w:szCs w:val="21"/>
        </w:rPr>
        <w:t>电子指令包括基金管理人发送的电子指令（采用电子报文传送的电子指令、网上托管银行基金管理人客户端录入的电子指令）、自动产生的电子指令（网上托管银行基金托管人</w:t>
      </w:r>
      <w:proofErr w:type="gramStart"/>
      <w:r>
        <w:rPr>
          <w:rFonts w:ascii="宋体" w:hAnsi="宋体" w:hint="eastAsia"/>
          <w:szCs w:val="21"/>
        </w:rPr>
        <w:t>端根据</w:t>
      </w:r>
      <w:proofErr w:type="gramEnd"/>
      <w:r>
        <w:rPr>
          <w:rFonts w:ascii="宋体" w:hAnsi="宋体" w:hint="eastAsia"/>
          <w:szCs w:val="21"/>
        </w:rPr>
        <w:t>预先设定的业务规则自动产生的电子指令）。基金管理人在启用电子指令前应与基金托管人签署托管系统服务协议，电子指令的发起、确认与执行等事项通过基金管理人与基金托管人签订的系统服务协议执行，系统服务协议未约定的事项仍按本合同约定执行。基金管理人不使用基金托管人托管业务系统发起电子指令划款的，基金管理人需通过授权通知预留指定邮箱/传真作为指令发送路径。如需变更指定邮箱或传真，基金管理人向基金托管人重新出具授权通知</w:t>
      </w:r>
    </w:p>
    <w:p w14:paraId="55F5BBFF"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（一）基金管理人对发送指令人员的书面授权</w:t>
      </w:r>
    </w:p>
    <w:p w14:paraId="01E1FC47" w14:textId="2244119F" w:rsidR="003360D6" w:rsidRDefault="00000000">
      <w:pPr>
        <w:adjustRightInd w:val="0"/>
        <w:snapToGrid w:val="0"/>
        <w:spacing w:line="360" w:lineRule="auto"/>
        <w:ind w:firstLineChars="200" w:firstLine="420"/>
        <w:rPr>
          <w:rFonts w:ascii="宋体" w:hAnsi="宋体" w:hint="eastAsia"/>
          <w:szCs w:val="21"/>
        </w:rPr>
      </w:pPr>
      <w:r>
        <w:rPr>
          <w:rFonts w:ascii="宋体" w:hAnsi="宋体" w:hint="eastAsia"/>
          <w:szCs w:val="21"/>
        </w:rPr>
        <w:t>基金管理人应事先以传真或发送邮件扫描</w:t>
      </w:r>
      <w:proofErr w:type="gramStart"/>
      <w:r>
        <w:rPr>
          <w:rFonts w:ascii="宋体" w:hAnsi="宋体" w:hint="eastAsia"/>
          <w:szCs w:val="21"/>
        </w:rPr>
        <w:t>件形式</w:t>
      </w:r>
      <w:proofErr w:type="gramEnd"/>
      <w:r>
        <w:rPr>
          <w:rFonts w:ascii="宋体" w:hAnsi="宋体" w:hint="eastAsia"/>
          <w:szCs w:val="21"/>
        </w:rPr>
        <w:t>书面通知（以下简称“授权通知”）基金托管人有权发送指令的人员名单、签字样本、预留印鉴和启用日期，注明相应的权限，并规定基金管理人向基金托管人发送指令时基金托管人确认有权发送人员（以下简称“被授权人”）身份的方法。基金管理人向基金托管人发出的授权通知应加盖公章。基金管理人发出授权通知后，以电话形式向基金托管人确认，授权通知自其上面注明的启用日期开始生效，在此后三个工作日内基金管理人应将授权通知的正本送交基金托管人。</w:t>
      </w:r>
      <w:r>
        <w:rPr>
          <w:rFonts w:hint="eastAsia"/>
          <w:szCs w:val="21"/>
        </w:rPr>
        <w:t>如果</w:t>
      </w:r>
      <w:r>
        <w:rPr>
          <w:rFonts w:ascii="宋体" w:hAnsi="宋体" w:hint="eastAsia"/>
          <w:szCs w:val="21"/>
        </w:rPr>
        <w:t>授权通知</w:t>
      </w:r>
      <w:r>
        <w:rPr>
          <w:rFonts w:hint="eastAsia"/>
          <w:szCs w:val="21"/>
        </w:rPr>
        <w:t>正本与传真件或邮件扫描</w:t>
      </w:r>
      <w:proofErr w:type="gramStart"/>
      <w:r>
        <w:rPr>
          <w:rFonts w:hint="eastAsia"/>
          <w:szCs w:val="21"/>
        </w:rPr>
        <w:t>件内容</w:t>
      </w:r>
      <w:proofErr w:type="gramEnd"/>
      <w:r>
        <w:rPr>
          <w:rFonts w:hint="eastAsia"/>
          <w:szCs w:val="21"/>
        </w:rPr>
        <w:t>不同，以授权通知传真件或邮件扫描</w:t>
      </w:r>
      <w:proofErr w:type="gramStart"/>
      <w:r>
        <w:rPr>
          <w:rFonts w:hint="eastAsia"/>
          <w:szCs w:val="21"/>
        </w:rPr>
        <w:t>件内容</w:t>
      </w:r>
      <w:proofErr w:type="gramEnd"/>
      <w:r>
        <w:rPr>
          <w:rFonts w:hint="eastAsia"/>
          <w:szCs w:val="21"/>
        </w:rPr>
        <w:t>为准</w:t>
      </w:r>
      <w:r>
        <w:rPr>
          <w:rFonts w:hint="eastAsia"/>
        </w:rPr>
        <w:t>。</w:t>
      </w:r>
    </w:p>
    <w:p w14:paraId="5597DC00" w14:textId="77777777" w:rsidR="003360D6" w:rsidRDefault="00000000">
      <w:pPr>
        <w:tabs>
          <w:tab w:val="left" w:pos="1260"/>
        </w:tabs>
        <w:adjustRightInd w:val="0"/>
        <w:snapToGrid w:val="0"/>
        <w:spacing w:line="360" w:lineRule="auto"/>
        <w:ind w:firstLineChars="200" w:firstLine="420"/>
        <w:rPr>
          <w:rFonts w:ascii="宋体" w:hAnsi="宋体" w:cs="Arial" w:hint="eastAsia"/>
          <w:szCs w:val="21"/>
        </w:rPr>
      </w:pPr>
      <w:r>
        <w:rPr>
          <w:rFonts w:ascii="宋体" w:hAnsi="宋体" w:hint="eastAsia"/>
          <w:szCs w:val="21"/>
        </w:rPr>
        <w:t>基金管理人和基金托管人对授权文件负有保密义务，其内容不得向被授权人及相关操作人员以外的任何人泄露。</w:t>
      </w:r>
    </w:p>
    <w:p w14:paraId="3DDFCC49"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（二）指令的内容</w:t>
      </w:r>
    </w:p>
    <w:p w14:paraId="4DACE6A8"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指令是基金管理人在运用基金资产时，向基金托管人发出的资金划拨及其他款项支付的指令。基金管理人发给基金托管人的指令应写明款项事由、支付时间、到账时间、金额、账户等，加盖预留印鉴并由被授权人签字。</w:t>
      </w:r>
    </w:p>
    <w:p w14:paraId="7D19A893"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（三）指令的发送、确认及执行的时间和程序</w:t>
      </w:r>
    </w:p>
    <w:p w14:paraId="5C64FEAB"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基金管理人应按照《基金法》及其他有关法规、《基金合同》和本协议的规定，在其合法的经营权限和交易权限内发送指令，被授权人应按照其授权权限发送指令。指令由授权通知确</w:t>
      </w:r>
      <w:r>
        <w:rPr>
          <w:rFonts w:ascii="宋体" w:hAnsi="宋体" w:cs="Arial" w:hint="eastAsia"/>
          <w:szCs w:val="21"/>
        </w:rPr>
        <w:lastRenderedPageBreak/>
        <w:t>定的被授权人代表基金管理人用传真或邮件扫描件的方式向基金托管人发送。发送后基金管理人及时通过电话与基金托管人确认指令内容。基金管理人必须在15:00之前向基金托管人发送付款指令并确保基金资金账户有足够的资金余额，15:00之后发送付款指令或截止15:00时账户资金不足的，基金托管人不能保证在当日完成划付。对基金管理人在没有充足资金的情况下向基金托管人发出的指令，基金托管人可不予执行，并立即通知基金管理人，基金托管人不承担因为不执行该指令而造成损失的责任。基金管理人确认该指令不予取消的，资金备足并书面通知基金托管人的时间视为指令收到时间。如基金管理人要求当天某一时点到账，必须至少提前2小时向基金托管人发送付款指令并与基金托管人电话确认。基金管理人指令传输及确认不及时或账户资金不足，未能留出足够的执行时间，致使指令未能及时执行的，基金托管人不承担由此导致的损失。对于被授权人发出的指令，基金管理人不得否认其效力。基金托管人依照授权通知规定的方法确认指令的有效后，方可执行指令。</w:t>
      </w:r>
    </w:p>
    <w:p w14:paraId="298ADC49" w14:textId="2864BCB5"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托管人收到基金管理人发送的指令后，应立即审慎验证有关内容及印鉴和签字，复核无误后应在规定期限内执行，不得延误。基金托管人仅对基金管理人提交的指令按照本协议的约定进行表面一致性审查，基金托管人不负责审查基金管理人发送指令同时提交的其他文件资料的合法性、真实性、完整性和有效性，基金管理人应保证上述文件资料合法、真实、完整和有效。如因基金管理人提供的上述文件不合法、不真实、不完整或失去效力而影响基金托管人的审核或给任何第三人带来损失，基金托管人不承担任何形式的责任。</w:t>
      </w:r>
    </w:p>
    <w:p w14:paraId="4F31A127"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基金托管人对执行基金管理人的合法指令对基金财产造成的损失不承担相应赔偿责任。</w:t>
      </w:r>
    </w:p>
    <w:p w14:paraId="3E003DB2"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 xml:space="preserve">本协议项下的资金账户发生的银行结算费用、银行账户维护费等银行费用，由基金托管人直接从资金账户中扣划，无须基金管理人出具划款指令。 </w:t>
      </w:r>
    </w:p>
    <w:p w14:paraId="2A4B980D"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基金托管人在收到有效指令后，将对于同一批次的划款指令随机执行，如有特殊支付顺序，基金管理人应以书面或其他双方认可的形式提前告知。</w:t>
      </w:r>
    </w:p>
    <w:p w14:paraId="31150204" w14:textId="77777777" w:rsidR="003360D6" w:rsidRDefault="00000000">
      <w:pPr>
        <w:pStyle w:val="a9"/>
        <w:spacing w:line="360" w:lineRule="auto"/>
        <w:ind w:firstLine="420"/>
        <w:rPr>
          <w:rFonts w:ascii="宋体" w:eastAsia="宋体" w:hAnsi="宋体" w:hint="eastAsia"/>
          <w:sz w:val="21"/>
          <w:szCs w:val="21"/>
        </w:rPr>
      </w:pPr>
      <w:r>
        <w:rPr>
          <w:rFonts w:ascii="宋体" w:eastAsia="宋体" w:hAnsi="宋体" w:hint="eastAsia"/>
          <w:sz w:val="21"/>
          <w:szCs w:val="21"/>
        </w:rPr>
        <w:t>（四）基金管理人发送错误指令的情形和处理程序</w:t>
      </w:r>
    </w:p>
    <w:p w14:paraId="0DFB1E63"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管理人发送错误指令的情形包括指令发送人员无权或超越权限发送指令及交割信息错误，指令中重要信息模糊不清或不全等。基金托管人在履行监督职能时，发现基金管理人的指令错误时，有权拒绝执行，并及时通知基金管理人改正。</w:t>
      </w:r>
    </w:p>
    <w:p w14:paraId="75C961A7"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（五）基金托管人依照法律法规暂缓、拒绝执行指令的情形和处理程序</w:t>
      </w:r>
    </w:p>
    <w:p w14:paraId="49B42B85" w14:textId="77777777" w:rsidR="003360D6" w:rsidRDefault="00000000">
      <w:pPr>
        <w:adjustRightInd w:val="0"/>
        <w:snapToGrid w:val="0"/>
        <w:spacing w:line="360" w:lineRule="auto"/>
        <w:ind w:firstLineChars="200" w:firstLine="420"/>
        <w:rPr>
          <w:rFonts w:ascii="宋体" w:hAnsi="宋体" w:hint="eastAsia"/>
          <w:szCs w:val="21"/>
        </w:rPr>
      </w:pPr>
      <w:r>
        <w:rPr>
          <w:rFonts w:ascii="宋体" w:hAnsi="宋体" w:hint="eastAsia"/>
          <w:szCs w:val="21"/>
        </w:rPr>
        <w:t>基金托管人发现基金管理人发送的指令违反《基金法》、《基金合同》、本协议或法律法规的有关规定，有权视情况暂缓或者不予执行，并应及时以书面形式通知基金管理人纠正，基金管理人收到通知后应及时核对，并以书面形式对基金托管人发出回函确认，基金管理人存在</w:t>
      </w:r>
      <w:r>
        <w:rPr>
          <w:rFonts w:ascii="宋体" w:hAnsi="宋体" w:hint="eastAsia"/>
          <w:szCs w:val="21"/>
        </w:rPr>
        <w:lastRenderedPageBreak/>
        <w:t>过错的，由此造成的损失由基金管理人承担。</w:t>
      </w:r>
    </w:p>
    <w:p w14:paraId="1FF65DDE"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（六）基金托管人未按照基金管理人指令执行的处理方法</w:t>
      </w:r>
    </w:p>
    <w:p w14:paraId="497BCB3D" w14:textId="3BA82B38"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基金托管人由于过错未按照或者未及时按照基金管理人发送的正常有效指令执行，应在发现后及时采取措施进行补救，给基金份额持有人、基金管理人造成损失的，应负赔偿责任。</w:t>
      </w:r>
    </w:p>
    <w:p w14:paraId="2D30C8D7"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（七）更换被授权人的程序</w:t>
      </w:r>
    </w:p>
    <w:p w14:paraId="4395A63D" w14:textId="433D1DB8"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hint="eastAsia"/>
          <w:szCs w:val="21"/>
        </w:rPr>
        <w:t>基金管理人撤换被授权人或改变被授权人的权限，必须提前至少一个交易日，使用传真或其他基金托管人和基金管理人书面确认过的方式向基金托管人发出由授权人签字和加盖预留印鉴的被授权人变更通知，同时电话通知基金托管人。变更通知应载明生效时间，并提供新的被授权人的签字样本。授权变更于变更通知载明的生效时间生效。若变更通知载明的生效时间早于基金托管人收到变更通知时间，则授权变更于基金托管人收到变更通知时生效。基金管理人在此后三个工作日内将被授权人变更通知的正本送交基金托管人。基金管理人更换被授权人通知生效后，对于已被撤换的人员无权发送的指令，或被改变授权人员超权限发送的指令，基金管理人不承担责任。被授权人变更通知正本与基金托管人之前收到的副本不一致的，以副本为准。</w:t>
      </w:r>
    </w:p>
    <w:p w14:paraId="5F174C99" w14:textId="77777777" w:rsidR="003360D6" w:rsidRDefault="00000000">
      <w:pPr>
        <w:autoSpaceDE w:val="0"/>
        <w:autoSpaceDN w:val="0"/>
        <w:adjustRightInd w:val="0"/>
        <w:snapToGrid w:val="0"/>
        <w:spacing w:line="360" w:lineRule="auto"/>
        <w:ind w:firstLineChars="200" w:firstLine="420"/>
        <w:rPr>
          <w:rFonts w:ascii="宋体" w:hAnsi="宋体" w:hint="eastAsia"/>
          <w:szCs w:val="21"/>
        </w:rPr>
      </w:pPr>
      <w:r>
        <w:rPr>
          <w:rFonts w:ascii="宋体" w:hAnsi="宋体" w:cs="Arial" w:hint="eastAsia"/>
          <w:szCs w:val="21"/>
        </w:rPr>
        <w:t>（八）指令的</w:t>
      </w:r>
      <w:r>
        <w:rPr>
          <w:rFonts w:ascii="宋体" w:hAnsi="宋体" w:hint="eastAsia"/>
          <w:szCs w:val="21"/>
        </w:rPr>
        <w:t>保管</w:t>
      </w:r>
    </w:p>
    <w:p w14:paraId="1BE26CA4" w14:textId="77777777" w:rsidR="003360D6" w:rsidRDefault="00000000">
      <w:pPr>
        <w:autoSpaceDE w:val="0"/>
        <w:autoSpaceDN w:val="0"/>
        <w:adjustRightInd w:val="0"/>
        <w:snapToGrid w:val="0"/>
        <w:spacing w:line="360" w:lineRule="auto"/>
        <w:ind w:firstLineChars="200" w:firstLine="420"/>
        <w:rPr>
          <w:rFonts w:ascii="宋体" w:hAnsi="宋体" w:hint="eastAsia"/>
          <w:szCs w:val="21"/>
        </w:rPr>
      </w:pPr>
      <w:r>
        <w:rPr>
          <w:rFonts w:ascii="宋体" w:hAnsi="宋体" w:hint="eastAsia"/>
          <w:szCs w:val="21"/>
        </w:rPr>
        <w:t>指令若以传真形式</w:t>
      </w:r>
      <w:r>
        <w:rPr>
          <w:rFonts w:ascii="宋体" w:hAnsi="宋体" w:cs="Arial" w:hint="eastAsia"/>
          <w:szCs w:val="21"/>
        </w:rPr>
        <w:t>或邮件扫描件</w:t>
      </w:r>
      <w:r>
        <w:rPr>
          <w:rFonts w:ascii="宋体" w:hAnsi="宋体" w:hint="eastAsia"/>
          <w:szCs w:val="21"/>
        </w:rPr>
        <w:t>发出，则正本由基金管理人保管，基金托管人保管指令传真件</w:t>
      </w:r>
      <w:r>
        <w:rPr>
          <w:rFonts w:ascii="宋体" w:hAnsi="宋体" w:cs="Arial" w:hint="eastAsia"/>
          <w:szCs w:val="21"/>
        </w:rPr>
        <w:t>或邮件扫描件</w:t>
      </w:r>
      <w:r>
        <w:rPr>
          <w:rFonts w:ascii="宋体" w:hAnsi="宋体" w:hint="eastAsia"/>
          <w:szCs w:val="21"/>
        </w:rPr>
        <w:t>。当两者不一致时，以基金托管人收到的指令传真件</w:t>
      </w:r>
      <w:r>
        <w:rPr>
          <w:rFonts w:ascii="宋体" w:hAnsi="宋体" w:cs="Arial" w:hint="eastAsia"/>
          <w:szCs w:val="21"/>
        </w:rPr>
        <w:t>或邮件扫描件</w:t>
      </w:r>
      <w:r>
        <w:rPr>
          <w:rFonts w:ascii="宋体" w:hAnsi="宋体" w:hint="eastAsia"/>
          <w:szCs w:val="21"/>
        </w:rPr>
        <w:t>为准。</w:t>
      </w:r>
    </w:p>
    <w:p w14:paraId="586E87FF" w14:textId="77777777" w:rsidR="003360D6" w:rsidRDefault="00000000">
      <w:pPr>
        <w:autoSpaceDE w:val="0"/>
        <w:autoSpaceDN w:val="0"/>
        <w:adjustRightInd w:val="0"/>
        <w:snapToGrid w:val="0"/>
        <w:spacing w:line="360" w:lineRule="auto"/>
        <w:ind w:firstLineChars="200" w:firstLine="420"/>
        <w:rPr>
          <w:rFonts w:ascii="宋体" w:hAnsi="宋体" w:hint="eastAsia"/>
          <w:szCs w:val="21"/>
        </w:rPr>
      </w:pPr>
      <w:r>
        <w:rPr>
          <w:rFonts w:ascii="宋体" w:hAnsi="宋体" w:cs="Arial" w:hint="eastAsia"/>
          <w:szCs w:val="21"/>
        </w:rPr>
        <w:t>（九）</w:t>
      </w:r>
      <w:r>
        <w:rPr>
          <w:rFonts w:ascii="宋体" w:hAnsi="宋体" w:hint="eastAsia"/>
          <w:szCs w:val="21"/>
        </w:rPr>
        <w:t>相关责任</w:t>
      </w:r>
    </w:p>
    <w:p w14:paraId="23643939" w14:textId="77777777" w:rsidR="003360D6" w:rsidRDefault="00000000">
      <w:pPr>
        <w:autoSpaceDE w:val="0"/>
        <w:autoSpaceDN w:val="0"/>
        <w:adjustRightInd w:val="0"/>
        <w:snapToGrid w:val="0"/>
        <w:spacing w:line="360" w:lineRule="auto"/>
        <w:ind w:firstLineChars="200" w:firstLine="420"/>
        <w:rPr>
          <w:rFonts w:ascii="宋体" w:hAnsi="宋体" w:hint="eastAsia"/>
          <w:szCs w:val="21"/>
        </w:rPr>
      </w:pPr>
      <w:r>
        <w:rPr>
          <w:rFonts w:ascii="宋体" w:hAnsi="宋体" w:cs="Arial" w:hint="eastAsia"/>
          <w:szCs w:val="21"/>
        </w:rPr>
        <w:t>对</w:t>
      </w:r>
      <w:r>
        <w:rPr>
          <w:rFonts w:ascii="宋体" w:hAnsi="宋体" w:hint="eastAsia"/>
          <w:szCs w:val="21"/>
        </w:rPr>
        <w:t>基金管理人在没有充足资金的情况下向基金托管人发出的指令致使资金未能及时清算所</w:t>
      </w:r>
      <w:r>
        <w:rPr>
          <w:rFonts w:ascii="宋体" w:hAnsi="宋体" w:cs="Arial" w:hint="eastAsia"/>
          <w:szCs w:val="21"/>
        </w:rPr>
        <w:t>造成的损失</w:t>
      </w:r>
      <w:r>
        <w:rPr>
          <w:rFonts w:ascii="宋体" w:hAnsi="宋体" w:hint="eastAsia"/>
          <w:szCs w:val="21"/>
        </w:rPr>
        <w:t>由基金管理人</w:t>
      </w:r>
      <w:r>
        <w:rPr>
          <w:rFonts w:ascii="宋体" w:hAnsi="宋体" w:cs="Arial" w:hint="eastAsia"/>
          <w:szCs w:val="21"/>
        </w:rPr>
        <w:t>承担</w:t>
      </w:r>
      <w:r>
        <w:rPr>
          <w:rFonts w:ascii="宋体" w:hAnsi="宋体" w:hint="eastAsia"/>
          <w:szCs w:val="21"/>
        </w:rPr>
        <w:t>。因基金管理</w:t>
      </w:r>
      <w:proofErr w:type="gramStart"/>
      <w:r>
        <w:rPr>
          <w:rFonts w:ascii="宋体" w:hAnsi="宋体" w:hint="eastAsia"/>
          <w:szCs w:val="21"/>
        </w:rPr>
        <w:t>人原因</w:t>
      </w:r>
      <w:proofErr w:type="gramEnd"/>
      <w:r>
        <w:rPr>
          <w:rFonts w:ascii="宋体" w:hAnsi="宋体" w:hint="eastAsia"/>
          <w:szCs w:val="21"/>
        </w:rPr>
        <w:t>造成的传输不及时、未能留出足够执行时间、未能及时与基金托管人进行指令确认致使资金未能及时清算或交易失败所造成的损失由基金管理人承担。基金托管人正确执行基金管理人发送的有效指令，基金财产发生损失的，基金托管人不承担赔偿责任。在正常业务受理渠道和指令规定的时间内，因基金托管</w:t>
      </w:r>
      <w:proofErr w:type="gramStart"/>
      <w:r>
        <w:rPr>
          <w:rFonts w:ascii="宋体" w:hAnsi="宋体" w:hint="eastAsia"/>
          <w:szCs w:val="21"/>
        </w:rPr>
        <w:t>人原因</w:t>
      </w:r>
      <w:proofErr w:type="gramEnd"/>
      <w:r>
        <w:rPr>
          <w:rFonts w:ascii="宋体" w:hAnsi="宋体" w:hint="eastAsia"/>
          <w:szCs w:val="21"/>
        </w:rPr>
        <w:t>造成未能及时或正确执行合法合</w:t>
      </w:r>
      <w:proofErr w:type="gramStart"/>
      <w:r>
        <w:rPr>
          <w:rFonts w:ascii="宋体" w:hAnsi="宋体" w:hint="eastAsia"/>
          <w:szCs w:val="21"/>
        </w:rPr>
        <w:t>规</w:t>
      </w:r>
      <w:proofErr w:type="gramEnd"/>
      <w:r>
        <w:rPr>
          <w:rFonts w:ascii="宋体" w:hAnsi="宋体" w:hint="eastAsia"/>
          <w:szCs w:val="21"/>
        </w:rPr>
        <w:t>的指令而导致基金财产受损的，基金托管人应承担相应的责任，但如遇到不可抗力的情况除外。</w:t>
      </w:r>
    </w:p>
    <w:p w14:paraId="56F415A6"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hint="eastAsia"/>
          <w:szCs w:val="21"/>
        </w:rPr>
        <w:t>基金托管人根据本协议相关规定履行形式审核职责，如果基金管理人的指令存在事实上未经授权、欺诈、伪造或未能及时提供授权通知等情形，基金托管人不承担因执行有关指令或拒绝执行有关指令而给基金管理人或基金资产或任何第三</w:t>
      </w:r>
      <w:proofErr w:type="gramStart"/>
      <w:r>
        <w:rPr>
          <w:rFonts w:ascii="宋体" w:hAnsi="宋体" w:hint="eastAsia"/>
          <w:szCs w:val="21"/>
        </w:rPr>
        <w:t>方带来</w:t>
      </w:r>
      <w:proofErr w:type="gramEnd"/>
      <w:r>
        <w:rPr>
          <w:rFonts w:ascii="宋体" w:hAnsi="宋体" w:hint="eastAsia"/>
          <w:szCs w:val="21"/>
        </w:rPr>
        <w:t>的损失，由基金管理人承担相应责任，但基金托管人未按本协议约定</w:t>
      </w:r>
      <w:proofErr w:type="gramStart"/>
      <w:r>
        <w:rPr>
          <w:rFonts w:ascii="宋体" w:hAnsi="宋体" w:hint="eastAsia"/>
          <w:szCs w:val="21"/>
        </w:rPr>
        <w:t>尽形式</w:t>
      </w:r>
      <w:proofErr w:type="gramEnd"/>
      <w:r>
        <w:rPr>
          <w:rFonts w:ascii="宋体" w:hAnsi="宋体" w:hint="eastAsia"/>
          <w:szCs w:val="21"/>
        </w:rPr>
        <w:t>审核义务执行指令而造成损失的情形除外</w:t>
      </w:r>
      <w:r>
        <w:rPr>
          <w:rFonts w:ascii="宋体" w:hAnsi="宋体" w:cs="Arial" w:hint="eastAsia"/>
          <w:szCs w:val="21"/>
        </w:rPr>
        <w:t>。</w:t>
      </w:r>
    </w:p>
    <w:p w14:paraId="6CEF6841" w14:textId="77777777" w:rsidR="003360D6" w:rsidRDefault="003360D6">
      <w:pPr>
        <w:adjustRightInd w:val="0"/>
        <w:spacing w:line="360" w:lineRule="auto"/>
        <w:contextualSpacing/>
        <w:rPr>
          <w:rFonts w:ascii="宋体" w:hAnsi="宋体" w:cs="Arial" w:hint="eastAsia"/>
          <w:szCs w:val="21"/>
        </w:rPr>
      </w:pPr>
    </w:p>
    <w:p w14:paraId="377F757B" w14:textId="77777777" w:rsidR="003360D6" w:rsidRDefault="00000000">
      <w:pPr>
        <w:pStyle w:val="2"/>
        <w:spacing w:beforeLines="100" w:before="312" w:afterLines="50" w:after="156" w:line="360" w:lineRule="auto"/>
        <w:jc w:val="center"/>
        <w:rPr>
          <w:rFonts w:ascii="宋体" w:eastAsia="宋体" w:hAnsi="宋体" w:hint="eastAsia"/>
          <w:sz w:val="21"/>
          <w:szCs w:val="21"/>
        </w:rPr>
      </w:pPr>
      <w:bookmarkStart w:id="74" w:name="_Toc118212953"/>
      <w:bookmarkStart w:id="75" w:name="_Toc110765663"/>
      <w:bookmarkStart w:id="76" w:name="_Toc86649725"/>
      <w:bookmarkStart w:id="77" w:name="_Toc86204791"/>
      <w:bookmarkStart w:id="78" w:name="_Toc86727358"/>
      <w:bookmarkStart w:id="79" w:name="_Toc118972651"/>
      <w:bookmarkStart w:id="80" w:name="_Toc89163371"/>
      <w:bookmarkStart w:id="81" w:name="_Toc120435786"/>
      <w:bookmarkStart w:id="82" w:name="_Toc84234390"/>
      <w:bookmarkStart w:id="83" w:name="_Toc108512361"/>
      <w:bookmarkStart w:id="84" w:name="_Toc119402713"/>
      <w:bookmarkStart w:id="85" w:name="_Toc110830495"/>
      <w:bookmarkStart w:id="86" w:name="_Toc84133788"/>
      <w:bookmarkStart w:id="87" w:name="_Toc86223245"/>
      <w:bookmarkStart w:id="88" w:name="_Toc86225294"/>
      <w:bookmarkStart w:id="89" w:name="_Toc86726442"/>
      <w:bookmarkStart w:id="90" w:name="_Toc86737932"/>
      <w:bookmarkStart w:id="91" w:name="_Toc110761799"/>
      <w:bookmarkStart w:id="92" w:name="_Toc84234437"/>
      <w:bookmarkStart w:id="93" w:name="_Toc118774806"/>
      <w:r>
        <w:rPr>
          <w:rFonts w:ascii="宋体" w:eastAsia="宋体" w:hAnsi="宋体"/>
          <w:sz w:val="21"/>
          <w:szCs w:val="21"/>
        </w:rPr>
        <w:br w:type="page"/>
      </w:r>
      <w:bookmarkStart w:id="94" w:name="_Toc348082035"/>
      <w:bookmarkStart w:id="95" w:name="_Toc229153186"/>
      <w:r>
        <w:rPr>
          <w:rFonts w:ascii="宋体" w:eastAsia="宋体" w:hAnsi="宋体" w:hint="eastAsia"/>
          <w:sz w:val="21"/>
          <w:szCs w:val="21"/>
        </w:rPr>
        <w:lastRenderedPageBreak/>
        <w:t>七、交易及清算交收安排</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FCAD0DE"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（一）选择代理证券、期货买卖的证券经营机构、期货经纪机构</w:t>
      </w:r>
    </w:p>
    <w:p w14:paraId="12BB9EAE"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1.基金管理人应设计选择代理证券买卖的证券经营机构的标准和程序，并</w:t>
      </w:r>
      <w:r>
        <w:rPr>
          <w:rFonts w:ascii="宋体" w:hAnsi="宋体" w:hint="eastAsia"/>
          <w:szCs w:val="21"/>
        </w:rPr>
        <w:t>按照有关合同和规定行使基金财产投资权利而应承担的义务，包括但不限于选择经纪商及投资标的等</w:t>
      </w:r>
      <w:r>
        <w:rPr>
          <w:rFonts w:ascii="宋体" w:hAnsi="宋体" w:cs="Arial" w:hint="eastAsia"/>
          <w:szCs w:val="21"/>
        </w:rPr>
        <w:t>。基金管理人负责选择代理本基金证券买卖的证券经营机构，使用其交易单元作为基金的交易单元。基金管理人和被选中的证券经营机构签订交易单元租用协议，基金管理人应提前通知基金托管人，并将交易单元租用协议及相关文件及时送达基金托管人，确保基金托管人申请接收结算数据。基金管理人应根据有关规定，在基金的中期报告和年度报告中将所选证券经营机构的有关情况、基金通过该证券经营机构买卖证券的成交量、回购成交量和支付的佣金等予以披露，并将该等情况及基金交易单元号、佣金费率等基本信息以及变更情况及时以书面形式通知基金托管人。</w:t>
      </w:r>
    </w:p>
    <w:p w14:paraId="42C33E5F" w14:textId="77777777" w:rsidR="003360D6" w:rsidRDefault="00000000">
      <w:pPr>
        <w:adjustRightInd w:val="0"/>
        <w:snapToGrid w:val="0"/>
        <w:spacing w:line="360" w:lineRule="auto"/>
        <w:ind w:firstLineChars="200" w:firstLine="420"/>
        <w:rPr>
          <w:rFonts w:ascii="宋体" w:hAnsi="宋体" w:hint="eastAsia"/>
          <w:szCs w:val="21"/>
        </w:rPr>
      </w:pPr>
      <w:r>
        <w:rPr>
          <w:rFonts w:ascii="宋体" w:hAnsi="宋体" w:cs="Arial" w:hint="eastAsia"/>
          <w:szCs w:val="21"/>
        </w:rPr>
        <w:t>2.基金管理人负责选择代理本基金期货交易的期货经纪机构，并与其签订期货经纪合同，其他事宜根据法律法规、《基金合同》的相关规定执行，若无明确规定的，可参照有关证券买卖、证券经纪机构选择的规则执行。</w:t>
      </w:r>
    </w:p>
    <w:p w14:paraId="573C8F16" w14:textId="77777777" w:rsidR="003360D6" w:rsidRDefault="00000000">
      <w:pPr>
        <w:adjustRightInd w:val="0"/>
        <w:snapToGrid w:val="0"/>
        <w:spacing w:line="360" w:lineRule="auto"/>
        <w:ind w:firstLineChars="200" w:firstLine="420"/>
        <w:rPr>
          <w:rFonts w:ascii="宋体" w:hAnsi="宋体" w:hint="eastAsia"/>
          <w:szCs w:val="21"/>
        </w:rPr>
      </w:pPr>
      <w:r>
        <w:rPr>
          <w:rFonts w:ascii="宋体" w:hAnsi="宋体" w:hint="eastAsia"/>
          <w:szCs w:val="21"/>
        </w:rPr>
        <w:t>（1）基金管理人所选择的期货公司负责办理委托资产的期货交易的清算交割。</w:t>
      </w:r>
    </w:p>
    <w:p w14:paraId="494A3142" w14:textId="77777777" w:rsidR="003360D6" w:rsidRDefault="00000000">
      <w:pPr>
        <w:adjustRightInd w:val="0"/>
        <w:snapToGrid w:val="0"/>
        <w:spacing w:line="360" w:lineRule="auto"/>
        <w:ind w:firstLineChars="200" w:firstLine="420"/>
        <w:rPr>
          <w:rFonts w:ascii="宋体" w:hAnsi="宋体" w:hint="eastAsia"/>
          <w:szCs w:val="21"/>
        </w:rPr>
      </w:pPr>
      <w:r>
        <w:rPr>
          <w:rFonts w:ascii="宋体" w:hAnsi="宋体" w:hint="eastAsia"/>
          <w:szCs w:val="21"/>
        </w:rPr>
        <w:t>（2）基金管理人应责成其选择的期货公司通过深证通向基金托管人及基金管理人发送以市场监控中心格式显示本基金成交结果的交易结算报告及参照市场监控中心格式制作的显示本基金期货保证金账户权益状况的交易结算报告。经基金托管人同意，可采用电子邮件的传送方式作为应急备份方式传输当日交易结算数据。</w:t>
      </w:r>
    </w:p>
    <w:p w14:paraId="3E508AE4" w14:textId="77777777" w:rsidR="003360D6" w:rsidRDefault="00000000">
      <w:pPr>
        <w:adjustRightInd w:val="0"/>
        <w:snapToGrid w:val="0"/>
        <w:spacing w:line="360" w:lineRule="auto"/>
        <w:ind w:firstLineChars="200" w:firstLine="420"/>
        <w:rPr>
          <w:rFonts w:ascii="宋体" w:hAnsi="宋体" w:hint="eastAsia"/>
          <w:szCs w:val="21"/>
        </w:rPr>
      </w:pPr>
      <w:r>
        <w:rPr>
          <w:rFonts w:ascii="宋体" w:hAnsi="宋体" w:hint="eastAsia"/>
          <w:szCs w:val="21"/>
        </w:rPr>
        <w:t>正常情况下当日交易结算报告的发送时间应在交易日当日的17：00之前。因交易所原因而造成数据延迟发送的，基金管理人应及时通知基金托管人，并在恢复后告知期货公司立即发送至基金托管人，并电话确认数据接收状况。若期货公司发送的期货数据有误，重新向基金管理人、基金托管人发送的，基金管理人应责成期货公司在发送新的期货数据后立即通知基金托管人，并电话确认数据接收状况。</w:t>
      </w:r>
    </w:p>
    <w:p w14:paraId="32ED2578" w14:textId="77777777" w:rsidR="003360D6" w:rsidRDefault="00000000">
      <w:pPr>
        <w:adjustRightInd w:val="0"/>
        <w:snapToGrid w:val="0"/>
        <w:spacing w:line="360" w:lineRule="auto"/>
        <w:ind w:firstLineChars="200" w:firstLine="420"/>
        <w:rPr>
          <w:rFonts w:ascii="宋体" w:hAnsi="宋体" w:hint="eastAsia"/>
          <w:szCs w:val="21"/>
        </w:rPr>
      </w:pPr>
      <w:r>
        <w:rPr>
          <w:rFonts w:ascii="宋体" w:hAnsi="宋体" w:hint="eastAsia"/>
          <w:szCs w:val="21"/>
        </w:rPr>
        <w:t>（3）基金管理人应责成其选择的期货公司对发送的数据的准确性、完整性、真实性负责。</w:t>
      </w:r>
    </w:p>
    <w:p w14:paraId="4EC341DD"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hint="eastAsia"/>
          <w:szCs w:val="21"/>
        </w:rPr>
        <w:t>由于交易结算报告的记载事项出现与实际交易结果和权益不符造成本基金估值计算错误的，应由基金管理人负责向数据发送方追偿，基金托管人不承担责任。</w:t>
      </w:r>
    </w:p>
    <w:p w14:paraId="33C289E3"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（二）基金投资证券后的清算交收安排</w:t>
      </w:r>
    </w:p>
    <w:p w14:paraId="493091B2" w14:textId="77777777" w:rsidR="003360D6" w:rsidRDefault="00000000">
      <w:pPr>
        <w:adjustRightInd w:val="0"/>
        <w:snapToGrid w:val="0"/>
        <w:spacing w:line="360" w:lineRule="auto"/>
        <w:ind w:firstLineChars="200" w:firstLine="420"/>
        <w:rPr>
          <w:rFonts w:ascii="宋体" w:hAnsi="宋体" w:cs="Tahoma" w:hint="eastAsia"/>
          <w:color w:val="000000"/>
          <w:szCs w:val="21"/>
        </w:rPr>
      </w:pPr>
      <w:r>
        <w:rPr>
          <w:rFonts w:ascii="宋体" w:hAnsi="宋体" w:cs="Tahoma" w:hint="eastAsia"/>
          <w:color w:val="000000"/>
          <w:szCs w:val="21"/>
        </w:rPr>
        <w:t>1.资金划拨</w:t>
      </w:r>
    </w:p>
    <w:p w14:paraId="67523766" w14:textId="1AAA05F2" w:rsidR="003360D6" w:rsidRDefault="00000000">
      <w:pPr>
        <w:adjustRightInd w:val="0"/>
        <w:snapToGrid w:val="0"/>
        <w:spacing w:line="360" w:lineRule="auto"/>
        <w:ind w:firstLineChars="200" w:firstLine="420"/>
        <w:rPr>
          <w:rFonts w:ascii="宋体" w:hAnsi="宋体" w:cs="Tahoma" w:hint="eastAsia"/>
          <w:color w:val="000000"/>
          <w:szCs w:val="21"/>
        </w:rPr>
      </w:pPr>
      <w:r>
        <w:rPr>
          <w:rFonts w:ascii="宋体" w:hAnsi="宋体" w:cs="Tahoma" w:hint="eastAsia"/>
          <w:color w:val="000000"/>
          <w:szCs w:val="21"/>
        </w:rPr>
        <w:lastRenderedPageBreak/>
        <w:t>对于基金管理人的资金划拨指令，基金托管人在复核无误后应在规定期限内执行，不得延误。基金管理人应保证基金托管人在执行基金管理人发送的资金划拨指令时，基金资金账户上有充足的资金。基金的资金头寸不足时，基金托管人有权拒绝基金管理人发送的划款指令。基金管理人在发送划款指令时应充分考虑基金托管人的划款处理时间和在途时间。在基金资金头寸充足的情况下，基金托管人对基金管理人符合法律法规、《基金合同》、本协议的指令不得拖延或拒绝执行。对超头寸的划款指令，基金托管人有权止付但应及时电话通知基金管理人，</w:t>
      </w:r>
      <w:r>
        <w:rPr>
          <w:rFonts w:ascii="宋体" w:hAnsi="宋体" w:hint="eastAsia"/>
          <w:szCs w:val="21"/>
        </w:rPr>
        <w:t>基金管理人存在过错的，</w:t>
      </w:r>
      <w:r>
        <w:rPr>
          <w:rFonts w:ascii="宋体" w:hAnsi="宋体" w:cs="Tahoma" w:hint="eastAsia"/>
          <w:color w:val="000000"/>
          <w:szCs w:val="21"/>
        </w:rPr>
        <w:t>由此造成的损失由基金管理人承担。</w:t>
      </w:r>
    </w:p>
    <w:p w14:paraId="582426CF" w14:textId="77777777" w:rsidR="003360D6" w:rsidRDefault="00000000">
      <w:pPr>
        <w:adjustRightInd w:val="0"/>
        <w:snapToGrid w:val="0"/>
        <w:spacing w:line="360" w:lineRule="auto"/>
        <w:ind w:firstLineChars="200" w:firstLine="420"/>
        <w:rPr>
          <w:rFonts w:ascii="宋体" w:hAnsi="宋体" w:cs="Tahoma" w:hint="eastAsia"/>
          <w:color w:val="000000"/>
          <w:szCs w:val="21"/>
        </w:rPr>
      </w:pPr>
      <w:r>
        <w:rPr>
          <w:rFonts w:ascii="宋体" w:hAnsi="宋体" w:cs="Tahoma" w:hint="eastAsia"/>
          <w:color w:val="000000"/>
          <w:szCs w:val="21"/>
        </w:rPr>
        <w:t>2.结算方式</w:t>
      </w:r>
    </w:p>
    <w:p w14:paraId="7DF1BC78" w14:textId="77777777" w:rsidR="003360D6" w:rsidRDefault="00000000">
      <w:pPr>
        <w:adjustRightInd w:val="0"/>
        <w:snapToGrid w:val="0"/>
        <w:spacing w:line="360" w:lineRule="auto"/>
        <w:ind w:firstLineChars="200" w:firstLine="420"/>
        <w:rPr>
          <w:rFonts w:ascii="宋体" w:hAnsi="宋体" w:cs="Tahoma" w:hint="eastAsia"/>
          <w:color w:val="000000"/>
          <w:szCs w:val="21"/>
        </w:rPr>
      </w:pPr>
      <w:r>
        <w:rPr>
          <w:rFonts w:ascii="宋体" w:hAnsi="宋体" w:cs="Tahoma" w:hint="eastAsia"/>
          <w:color w:val="000000"/>
          <w:szCs w:val="21"/>
        </w:rPr>
        <w:t>支付结算以转账形式进行。如中国人民银行有更快捷、安全、可行的结算方式，基金托管人可根据需要进行调整。</w:t>
      </w:r>
    </w:p>
    <w:p w14:paraId="3DD84FAA" w14:textId="77777777" w:rsidR="003360D6" w:rsidRDefault="00000000">
      <w:pPr>
        <w:adjustRightInd w:val="0"/>
        <w:snapToGrid w:val="0"/>
        <w:spacing w:line="360" w:lineRule="auto"/>
        <w:ind w:firstLineChars="200" w:firstLine="420"/>
        <w:rPr>
          <w:rFonts w:ascii="宋体" w:hAnsi="宋体" w:cs="Tahoma" w:hint="eastAsia"/>
          <w:color w:val="000000"/>
          <w:szCs w:val="21"/>
        </w:rPr>
      </w:pPr>
      <w:r>
        <w:rPr>
          <w:rFonts w:ascii="宋体" w:hAnsi="宋体" w:cs="Tahoma" w:hint="eastAsia"/>
          <w:color w:val="000000"/>
          <w:szCs w:val="21"/>
        </w:rPr>
        <w:t>3.证券交易资金的清算</w:t>
      </w:r>
    </w:p>
    <w:p w14:paraId="2E750134" w14:textId="77777777" w:rsidR="003360D6" w:rsidRDefault="00000000">
      <w:pPr>
        <w:adjustRightInd w:val="0"/>
        <w:snapToGrid w:val="0"/>
        <w:spacing w:line="360" w:lineRule="auto"/>
        <w:ind w:firstLineChars="200" w:firstLine="420"/>
        <w:rPr>
          <w:rFonts w:ascii="宋体" w:hAnsi="宋体" w:cs="Tahoma" w:hint="eastAsia"/>
          <w:color w:val="000000"/>
          <w:szCs w:val="21"/>
        </w:rPr>
      </w:pPr>
      <w:r>
        <w:rPr>
          <w:rFonts w:ascii="宋体" w:hAnsi="宋体" w:cs="Tahoma" w:hint="eastAsia"/>
          <w:color w:val="000000"/>
          <w:szCs w:val="21"/>
        </w:rPr>
        <w:t>本基金投资于证券而发生的场内、场外交易的清算交割，由基金托管人负责办理。</w:t>
      </w:r>
    </w:p>
    <w:p w14:paraId="59BBF690" w14:textId="07B2D030" w:rsidR="003360D6" w:rsidRDefault="00000000">
      <w:pPr>
        <w:adjustRightInd w:val="0"/>
        <w:snapToGrid w:val="0"/>
        <w:spacing w:line="360" w:lineRule="auto"/>
        <w:ind w:firstLineChars="200" w:firstLine="420"/>
        <w:rPr>
          <w:rFonts w:ascii="宋体" w:hAnsi="宋体" w:cs="Tahoma" w:hint="eastAsia"/>
          <w:color w:val="000000"/>
          <w:szCs w:val="21"/>
        </w:rPr>
      </w:pPr>
      <w:r>
        <w:rPr>
          <w:rFonts w:ascii="宋体" w:hAnsi="宋体" w:cs="Tahoma" w:hint="eastAsia"/>
          <w:color w:val="000000"/>
          <w:szCs w:val="21"/>
        </w:rPr>
        <w:t>本基金场外证券投资的清算交割，由基金托管人根据基金管理人的指令通过登记结算机构办理。本基金场内证券投资的清算交割，由基金托管人根据双方签订的托管银行证券资金结算协议约定，由基金托管人负责办理。但本基金场内证券投资涉及t+0日非担保、RTGS交收的业务，基金管理人应在t+0日14：00前书面通知基金托管人办理交收，否则基金托管人不能保证相关清算交割成功。如因基金托管人的自身原因在清算上造成基金资产的损失，应由基金托管人负责赔偿基金的损失；如果因为基金管理人违反法律法规的规定进行证券投资而造成基金投资清算困难和风险的，基金托管人发现后应立即通知基金管理人，由基金管理人负责解决，基金托管人应给予必要的配合，由此给基金造成的损失由基金管理人承担。</w:t>
      </w:r>
    </w:p>
    <w:p w14:paraId="1AEEE7E1" w14:textId="77777777" w:rsidR="003360D6" w:rsidRDefault="00000000">
      <w:pPr>
        <w:adjustRightInd w:val="0"/>
        <w:snapToGrid w:val="0"/>
        <w:spacing w:line="360" w:lineRule="auto"/>
        <w:ind w:firstLineChars="200" w:firstLine="420"/>
        <w:rPr>
          <w:rFonts w:ascii="宋体" w:hAnsi="宋体" w:cs="Tahoma" w:hint="eastAsia"/>
          <w:color w:val="000000"/>
          <w:szCs w:val="21"/>
        </w:rPr>
      </w:pPr>
      <w:r>
        <w:rPr>
          <w:rFonts w:ascii="宋体" w:hAnsi="宋体" w:cs="Tahoma" w:hint="eastAsia"/>
          <w:color w:val="000000"/>
          <w:szCs w:val="21"/>
        </w:rPr>
        <w:t>基金托管人在完成相关登记结算公司通知的事项后应以书面形式通知基金管理人。</w:t>
      </w:r>
    </w:p>
    <w:p w14:paraId="5A4255FD"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Tahoma" w:hint="eastAsia"/>
          <w:color w:val="000000"/>
          <w:szCs w:val="21"/>
        </w:rPr>
        <w:t>由于基金管理人的原因造成基金无法按时支付证券清算款，按照登记结算机构的有关规定办理。</w:t>
      </w:r>
    </w:p>
    <w:p w14:paraId="3DE9AE0A"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（三）基金申购、赎回和转换业务处理的基本规定</w:t>
      </w:r>
    </w:p>
    <w:p w14:paraId="48C69B63"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1.基金份额申购、赎回、转换的确认、清算由基金管理人或其委托的登记机构负责。</w:t>
      </w:r>
    </w:p>
    <w:p w14:paraId="0643F212"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2.基金管理人应将每个开放日的申购、赎回、转换开放式基金的数据传送给基金托管人。基金管理人应对传递的申购、赎回、转换开放式基金的数据真实性和准确性负责。基金托管人应及时查收申购及转入资金的到账情况并根据基金管理人指令及时划付赎回及转出款项。</w:t>
      </w:r>
    </w:p>
    <w:p w14:paraId="77AA4C7D"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3.基金管理人应保证本基金（或本基金管理人委托）的登记机构每个工作日15:00前向基</w:t>
      </w:r>
      <w:r>
        <w:rPr>
          <w:rFonts w:ascii="宋体" w:hAnsi="宋体" w:cs="Arial" w:hint="eastAsia"/>
          <w:szCs w:val="21"/>
        </w:rPr>
        <w:lastRenderedPageBreak/>
        <w:t>金托管人发送前一开放</w:t>
      </w:r>
      <w:proofErr w:type="gramStart"/>
      <w:r>
        <w:rPr>
          <w:rFonts w:ascii="宋体" w:hAnsi="宋体" w:cs="Arial" w:hint="eastAsia"/>
          <w:szCs w:val="21"/>
        </w:rPr>
        <w:t>日上述</w:t>
      </w:r>
      <w:proofErr w:type="gramEnd"/>
      <w:r>
        <w:rPr>
          <w:rFonts w:ascii="宋体" w:hAnsi="宋体" w:cs="Arial" w:hint="eastAsia"/>
          <w:szCs w:val="21"/>
        </w:rPr>
        <w:t>有关数据，并保证相关数据的准确、完整、真实。</w:t>
      </w:r>
    </w:p>
    <w:p w14:paraId="5B456134"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4.登记机构应通过与基金管理人建立的系统发送有关数据，由基金管理人向基金托管人发送有关数据，如因各种原因，该系统无法正常发送，双方可协商解决处理方式。基金管理人向基金托管人发送的数据，双方各自按有关规定保存。</w:t>
      </w:r>
    </w:p>
    <w:p w14:paraId="0FAEE33B"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5.如基金管理人委托其他机构办理本基金的登记业务，应保证上述相关事宜按时进行。否则，由基金管理人承担相应的责任。</w:t>
      </w:r>
    </w:p>
    <w:p w14:paraId="43501205"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6.关于清算专用账户的设立和管理</w:t>
      </w:r>
    </w:p>
    <w:p w14:paraId="71D01D82"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为满足申购、赎回、转换及分红资金汇划的需要，由基金管理人开立资金清算的专用账户，该账户由登记机构管理。</w:t>
      </w:r>
    </w:p>
    <w:p w14:paraId="5809004F"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7.对于基金申购、转换转入过程中产生的应收款，应由基金管理人负责与有关当事人确定到账日期并通知基金托管人，到账日应收款没有到达基金资金账户的，基金托管人应及时通知基金管理人采取措施进行催收，由此造成基金损失的，基金管理人应负责向有关当事人追偿基金的损失，基金托管人应给予必要的协助。</w:t>
      </w:r>
    </w:p>
    <w:p w14:paraId="6C5DA8BE"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8.赎回、转换转出资金划付规定</w:t>
      </w:r>
    </w:p>
    <w:p w14:paraId="601F7D41"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划付赎回款、转换转出款时，如基金资金账户有足够的资金，基金托管人应按时划付；因基金资金账户没有足够的资金，导致基金托管人不能按时划付，如</w:t>
      </w:r>
      <w:proofErr w:type="gramStart"/>
      <w:r>
        <w:rPr>
          <w:rFonts w:ascii="宋体" w:hAnsi="宋体" w:cs="Arial" w:hint="eastAsia"/>
          <w:szCs w:val="21"/>
        </w:rPr>
        <w:t>系基金</w:t>
      </w:r>
      <w:proofErr w:type="gramEnd"/>
      <w:r>
        <w:rPr>
          <w:rFonts w:ascii="宋体" w:hAnsi="宋体" w:cs="Arial" w:hint="eastAsia"/>
          <w:szCs w:val="21"/>
        </w:rPr>
        <w:t>管理人的原因造成，责任由基金管理人承担，基金托管人不承担垫款义务，但应及时通知管理人。</w:t>
      </w:r>
    </w:p>
    <w:p w14:paraId="331506BF"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9.资金指令</w:t>
      </w:r>
    </w:p>
    <w:p w14:paraId="48B0A8F3"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除申购款项到达基金资金账户需双方按约定方式对账外，与投资有关的付款、赎回和分红资金划拨时，基金管理人需向基金托管人下达指令。</w:t>
      </w:r>
    </w:p>
    <w:p w14:paraId="3C4E4AC5"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资金指令的格式、内容、发送、接收和确认方式等与投资指令相同。</w:t>
      </w:r>
    </w:p>
    <w:p w14:paraId="22972EE6"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（四）资金净额结算</w:t>
      </w:r>
    </w:p>
    <w:p w14:paraId="1CEF0466"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资金账户与“基金清算账户”间的资金结算遵循“全额清算、净额交收”的原则，每日按照资金账户应收资金与应付资金的差额来确定资金账户净应收额或净应付额，以此确定资金交收额，基金托管人应当为基金管理人提供适当方式，便于基金管理人进行查询和账务管理。当存在资金账户净应收额时，基金管理人应在</w:t>
      </w:r>
      <w:proofErr w:type="gramStart"/>
      <w:r>
        <w:rPr>
          <w:rFonts w:ascii="宋体" w:hAnsi="宋体" w:cs="Arial" w:hint="eastAsia"/>
          <w:szCs w:val="21"/>
        </w:rPr>
        <w:t>交收日</w:t>
      </w:r>
      <w:proofErr w:type="gramEnd"/>
      <w:r>
        <w:rPr>
          <w:rFonts w:ascii="宋体" w:hAnsi="宋体" w:cs="Arial" w:hint="eastAsia"/>
          <w:szCs w:val="21"/>
        </w:rPr>
        <w:t>15:00之前从基金清算账户</w:t>
      </w:r>
      <w:proofErr w:type="gramStart"/>
      <w:r>
        <w:rPr>
          <w:rFonts w:ascii="宋体" w:hAnsi="宋体" w:cs="Arial" w:hint="eastAsia"/>
          <w:szCs w:val="21"/>
        </w:rPr>
        <w:t>划往基金</w:t>
      </w:r>
      <w:proofErr w:type="gramEnd"/>
      <w:r>
        <w:rPr>
          <w:rFonts w:ascii="宋体" w:hAnsi="宋体" w:cs="Arial" w:hint="eastAsia"/>
          <w:szCs w:val="21"/>
        </w:rPr>
        <w:t>资金账户，基金管理人通过基金托管人提供的方式查询结果；当存在资金账户净应付额时，基金托管人按照基金管理人的划款指令将托管账户净应付额在交</w:t>
      </w:r>
      <w:proofErr w:type="gramStart"/>
      <w:r>
        <w:rPr>
          <w:rFonts w:ascii="宋体" w:hAnsi="宋体" w:cs="Arial" w:hint="eastAsia"/>
          <w:szCs w:val="21"/>
        </w:rPr>
        <w:t>收日及时划往基金</w:t>
      </w:r>
      <w:proofErr w:type="gramEnd"/>
      <w:r>
        <w:rPr>
          <w:rFonts w:ascii="宋体" w:hAnsi="宋体" w:cs="Arial" w:hint="eastAsia"/>
          <w:szCs w:val="21"/>
        </w:rPr>
        <w:t>清算账户，</w:t>
      </w:r>
      <w:r>
        <w:rPr>
          <w:rFonts w:ascii="宋体" w:hAnsi="宋体" w:cs="Arial" w:hint="eastAsia"/>
          <w:szCs w:val="21"/>
        </w:rPr>
        <w:lastRenderedPageBreak/>
        <w:t>基金管理人通过基金托管人提供的方式查询结果。</w:t>
      </w:r>
    </w:p>
    <w:p w14:paraId="1888848A" w14:textId="77777777" w:rsidR="003360D6" w:rsidRDefault="00000000">
      <w:pPr>
        <w:adjustRightInd w:val="0"/>
        <w:snapToGrid w:val="0"/>
        <w:spacing w:line="360" w:lineRule="auto"/>
        <w:ind w:firstLineChars="200" w:firstLine="420"/>
        <w:rPr>
          <w:rFonts w:ascii="宋体" w:hAnsi="宋体" w:cs="Arial" w:hint="eastAsia"/>
          <w:i/>
          <w:szCs w:val="21"/>
        </w:rPr>
      </w:pPr>
      <w:r>
        <w:rPr>
          <w:rFonts w:ascii="宋体" w:hAnsi="宋体" w:cs="Arial" w:hint="eastAsia"/>
          <w:szCs w:val="21"/>
        </w:rPr>
        <w:t>当存在资金账户净应付额时，如基金资金账户有足够的资金，基金托管人应按时划付；因基金资金账户没有足够的资金，导致基金托管人不能按时划付，基金托管人应及时通知基金管理人，基金托管人不承担责任；如</w:t>
      </w:r>
      <w:proofErr w:type="gramStart"/>
      <w:r>
        <w:rPr>
          <w:rFonts w:ascii="宋体" w:hAnsi="宋体" w:cs="Arial" w:hint="eastAsia"/>
          <w:szCs w:val="21"/>
        </w:rPr>
        <w:t>系基金</w:t>
      </w:r>
      <w:proofErr w:type="gramEnd"/>
      <w:r>
        <w:rPr>
          <w:rFonts w:ascii="宋体" w:hAnsi="宋体" w:cs="Arial" w:hint="eastAsia"/>
          <w:szCs w:val="21"/>
        </w:rPr>
        <w:t>管理人的原因造成，责任由基金管理人承担，基金托管人不承担垫款义务。</w:t>
      </w:r>
    </w:p>
    <w:p w14:paraId="4851608C"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（五）基金现金分红</w:t>
      </w:r>
    </w:p>
    <w:p w14:paraId="74F1C076"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1.基金管理人确定分红方案后通知基金托管人，双方核定后</w:t>
      </w:r>
      <w:r>
        <w:rPr>
          <w:rFonts w:ascii="宋体" w:hAnsi="宋体" w:hint="eastAsia"/>
          <w:szCs w:val="21"/>
        </w:rPr>
        <w:t>依照《信息披露办法》的有关规定在中国证监会规定媒介上公告</w:t>
      </w:r>
      <w:r>
        <w:rPr>
          <w:rFonts w:ascii="宋体" w:hAnsi="宋体" w:cs="Arial" w:hint="eastAsia"/>
          <w:szCs w:val="21"/>
        </w:rPr>
        <w:t>。</w:t>
      </w:r>
    </w:p>
    <w:p w14:paraId="79715464"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2.基金托管人和基金管理人对基金分红进行账务处理并核对后，基金管理人向基金托管人发送现金红利的划款指令，基金托管人应根据指令及时将分红款</w:t>
      </w:r>
      <w:proofErr w:type="gramStart"/>
      <w:r>
        <w:rPr>
          <w:rFonts w:ascii="宋体" w:hAnsi="宋体" w:cs="Arial" w:hint="eastAsia"/>
          <w:szCs w:val="21"/>
        </w:rPr>
        <w:t>划往基金</w:t>
      </w:r>
      <w:proofErr w:type="gramEnd"/>
      <w:r>
        <w:rPr>
          <w:rFonts w:ascii="宋体" w:hAnsi="宋体" w:cs="Arial" w:hint="eastAsia"/>
          <w:szCs w:val="21"/>
        </w:rPr>
        <w:t>清算账户。</w:t>
      </w:r>
    </w:p>
    <w:p w14:paraId="0BBF8554"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3.基金管理人在下达指令时，应给基金托管人留出必需的划款时间。</w:t>
      </w:r>
    </w:p>
    <w:p w14:paraId="4D6AAAE0" w14:textId="77777777" w:rsidR="003360D6" w:rsidRDefault="003360D6">
      <w:pPr>
        <w:spacing w:line="360" w:lineRule="auto"/>
        <w:ind w:firstLine="480"/>
        <w:rPr>
          <w:rFonts w:ascii="宋体" w:hAnsi="宋体" w:hint="eastAsia"/>
          <w:szCs w:val="21"/>
        </w:rPr>
      </w:pPr>
    </w:p>
    <w:p w14:paraId="102A3888" w14:textId="77777777" w:rsidR="003360D6" w:rsidRDefault="003360D6">
      <w:pPr>
        <w:adjustRightInd w:val="0"/>
        <w:snapToGrid w:val="0"/>
        <w:spacing w:line="360" w:lineRule="auto"/>
        <w:rPr>
          <w:rFonts w:ascii="宋体" w:hAnsi="宋体" w:cs="Arial" w:hint="eastAsia"/>
          <w:szCs w:val="21"/>
        </w:rPr>
      </w:pPr>
    </w:p>
    <w:p w14:paraId="3EC77520" w14:textId="77777777" w:rsidR="003360D6" w:rsidRDefault="00000000">
      <w:pPr>
        <w:pStyle w:val="2"/>
        <w:spacing w:beforeLines="100" w:before="312" w:afterLines="50" w:after="156" w:line="360" w:lineRule="auto"/>
        <w:jc w:val="center"/>
        <w:rPr>
          <w:rFonts w:ascii="宋体" w:eastAsia="宋体" w:hAnsi="宋体" w:hint="eastAsia"/>
          <w:sz w:val="21"/>
          <w:szCs w:val="21"/>
        </w:rPr>
      </w:pPr>
      <w:r>
        <w:rPr>
          <w:rFonts w:ascii="宋体" w:eastAsia="宋体" w:hAnsi="宋体"/>
          <w:sz w:val="21"/>
          <w:szCs w:val="21"/>
        </w:rPr>
        <w:br w:type="page"/>
      </w:r>
      <w:bookmarkStart w:id="96" w:name="_Toc348082036"/>
      <w:bookmarkStart w:id="97" w:name="_Toc229153187"/>
      <w:r>
        <w:rPr>
          <w:rFonts w:ascii="宋体" w:eastAsia="宋体" w:hAnsi="宋体" w:hint="eastAsia"/>
          <w:sz w:val="21"/>
          <w:szCs w:val="21"/>
        </w:rPr>
        <w:lastRenderedPageBreak/>
        <w:t>八、基金资产净值计算、估值和会计核算</w:t>
      </w:r>
      <w:bookmarkEnd w:id="96"/>
      <w:bookmarkEnd w:id="97"/>
    </w:p>
    <w:p w14:paraId="04E51D8D"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（一）基金资产净值的计算、复核与完成的时间及程序</w:t>
      </w:r>
    </w:p>
    <w:p w14:paraId="64AB644A"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1.基金资产净值</w:t>
      </w:r>
    </w:p>
    <w:p w14:paraId="1E336252"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基金资产净值是指基金资产总值减去基金负债后的价值。</w:t>
      </w:r>
    </w:p>
    <w:p w14:paraId="344FABCC" w14:textId="77777777" w:rsidR="003360D6" w:rsidRDefault="00000000">
      <w:pPr>
        <w:adjustRightInd w:val="0"/>
        <w:snapToGrid w:val="0"/>
        <w:spacing w:line="360" w:lineRule="auto"/>
        <w:ind w:firstLineChars="200" w:firstLine="420"/>
        <w:rPr>
          <w:rFonts w:ascii="宋体" w:hAnsi="宋体" w:cs="Arial" w:hint="eastAsia"/>
          <w:szCs w:val="21"/>
        </w:rPr>
      </w:pPr>
      <w:bookmarkStart w:id="98" w:name="_Hlk88832857"/>
      <w:r>
        <w:rPr>
          <w:rFonts w:ascii="宋体" w:hAnsi="宋体" w:cs="Arial" w:hint="eastAsia"/>
          <w:szCs w:val="21"/>
        </w:rPr>
        <w:t>各类基金份额净值是按照每个工作日闭市后，该类基金资产净值除以当日该类基金份额的余额数量计算，均精确到0.0001元，小数点后第5位四舍五入，由此产生的收益或损失由基金财产承担。基金管理人可以设立大额赎回情形下的净值精度应急调整机制。法律法规、监管机构、基金合同另有规定的，从其规定。</w:t>
      </w:r>
    </w:p>
    <w:p w14:paraId="6F7E79F0"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基金管理人于每个工作日计算基金资产净值及各类基金份额净值，经基金托管人复核无误后，按规定公告。</w:t>
      </w:r>
    </w:p>
    <w:p w14:paraId="6218DB4E"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基金管理人应在每个工作日对基金资产估值。但基金管理人根据法律法规或基金合同的规定暂停估值时除外。</w:t>
      </w:r>
    </w:p>
    <w:bookmarkEnd w:id="98"/>
    <w:p w14:paraId="6EA2278F"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2.复核程序</w:t>
      </w:r>
    </w:p>
    <w:p w14:paraId="5DD48C30"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基金管理人每个工作日对基金资产估值后，将各类基金份额净值结果发送基金托管人，经基金托管人复核无误后，由基金管理人按规定对外公布。</w:t>
      </w:r>
    </w:p>
    <w:p w14:paraId="3E12F55D" w14:textId="77777777" w:rsidR="003360D6" w:rsidRDefault="00000000">
      <w:pPr>
        <w:adjustRightInd w:val="0"/>
        <w:snapToGrid w:val="0"/>
        <w:spacing w:line="360" w:lineRule="auto"/>
        <w:ind w:firstLineChars="200" w:firstLine="420"/>
        <w:rPr>
          <w:rFonts w:ascii="宋体" w:hAnsi="宋体" w:hint="eastAsia"/>
          <w:szCs w:val="21"/>
        </w:rPr>
      </w:pPr>
      <w:r>
        <w:rPr>
          <w:rFonts w:ascii="宋体" w:hAnsi="宋体" w:cs="Arial" w:hint="eastAsia"/>
          <w:szCs w:val="21"/>
        </w:rPr>
        <w:t>3.</w:t>
      </w:r>
      <w:r>
        <w:rPr>
          <w:rFonts w:ascii="宋体" w:hAnsi="宋体" w:hint="eastAsia"/>
          <w:szCs w:val="21"/>
        </w:rPr>
        <w:t>根据有关法律法规，基金净值信息计算和基金会计核算的义务由基金管理人承担。本基金的基金会计责任方由基金管理人担任，基金托管人承担复核责任。因此，就与本基金有关的会计问题，如经相关各方在平等基础上充分讨论后，仍无法达成一致的意见，按照基金管理人对基金净值信息的计算结果对外予以公布。</w:t>
      </w:r>
    </w:p>
    <w:p w14:paraId="785BC826"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（二）基金资产的估值</w:t>
      </w:r>
    </w:p>
    <w:p w14:paraId="741A5210" w14:textId="77777777" w:rsidR="003360D6" w:rsidRDefault="00000000">
      <w:pPr>
        <w:adjustRightInd w:val="0"/>
        <w:snapToGrid w:val="0"/>
        <w:spacing w:line="360" w:lineRule="auto"/>
        <w:ind w:firstLineChars="200" w:firstLine="420"/>
        <w:rPr>
          <w:rStyle w:val="read"/>
          <w:rFonts w:ascii="宋体" w:hAnsi="宋体" w:hint="eastAsia"/>
          <w:szCs w:val="21"/>
        </w:rPr>
      </w:pPr>
      <w:r>
        <w:rPr>
          <w:rFonts w:hint="eastAsia"/>
          <w:szCs w:val="21"/>
        </w:rPr>
        <w:t>基金管理人及基金托管人应当按照《基金合同》的约定进行估值。</w:t>
      </w:r>
    </w:p>
    <w:p w14:paraId="30CB1E2F"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（三）基金份额净值错误的处理方式</w:t>
      </w:r>
    </w:p>
    <w:p w14:paraId="7B51B9FA" w14:textId="77777777" w:rsidR="003360D6" w:rsidRDefault="00000000">
      <w:pPr>
        <w:adjustRightInd w:val="0"/>
        <w:snapToGrid w:val="0"/>
        <w:spacing w:line="360" w:lineRule="auto"/>
        <w:ind w:firstLineChars="200" w:firstLine="420"/>
        <w:rPr>
          <w:rFonts w:ascii="宋体" w:hAnsi="宋体" w:cs="Arial" w:hint="eastAsia"/>
          <w:szCs w:val="21"/>
        </w:rPr>
      </w:pPr>
      <w:r>
        <w:rPr>
          <w:rFonts w:hint="eastAsia"/>
          <w:szCs w:val="21"/>
        </w:rPr>
        <w:t>基金管理人及基金托管人应当按照《基金合同》的约定处理份额净值错误。</w:t>
      </w:r>
    </w:p>
    <w:p w14:paraId="0958A1E9"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（四）基金会计制度</w:t>
      </w:r>
    </w:p>
    <w:p w14:paraId="28482550"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按国家有关部门规定的会计制度执行。</w:t>
      </w:r>
    </w:p>
    <w:p w14:paraId="72CC3458"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（五）基金账册的建立</w:t>
      </w:r>
    </w:p>
    <w:p w14:paraId="1F00FC59"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lastRenderedPageBreak/>
        <w:t>基金管理人和基金托管人在基金合同生效后，应按照双方约定的同一记账方法和会计处理原则，分别独立地设置、记录和保管本基金的全套账册，对相关各方各自的账册定期进行核对，互相监督，以保证基金资产的安全。</w:t>
      </w:r>
    </w:p>
    <w:p w14:paraId="03DD96DC"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（六）基金财务报表与报告的编制和复核</w:t>
      </w:r>
    </w:p>
    <w:p w14:paraId="66F1360F"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1.财务报表的编制</w:t>
      </w:r>
    </w:p>
    <w:p w14:paraId="4EB3C9DF"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基金财务报表由基金管理人编制，基金托管人复核。</w:t>
      </w:r>
    </w:p>
    <w:p w14:paraId="6254437B"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2.报表复核</w:t>
      </w:r>
    </w:p>
    <w:p w14:paraId="55ADACDC"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基金托管人在收到基金管理人编制的基金财务报表后，进行独立的复核。核对不符时，应及时通知基金管理人共同查出原因，进行调整，直至双方数据完全一致。</w:t>
      </w:r>
    </w:p>
    <w:p w14:paraId="02CD5256"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3.财务报表的编制与复核时间安排</w:t>
      </w:r>
    </w:p>
    <w:p w14:paraId="19DC5BA0"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管理人、基金托管人应当在每月结束后5个工作日内完成月度报表的编制及复核；在季度结束之日起15个工作日内完成基金季度报告的编制及复核；在上半年结束之日起2个月内完成基金中期报告的编制及复核；在每年结束之日起三个月内完成基金年度报告的编制及复核。基金托管人在复核过程中，发现双方的报表存在不符时，基金管理人和基金托管人应共同查明原因，进行调整，调整以法律法规的规定为准。基金年度报告中的财务会计报告应当经过</w:t>
      </w:r>
      <w:r>
        <w:rPr>
          <w:rFonts w:cs="Arial" w:hint="eastAsia"/>
          <w:szCs w:val="21"/>
        </w:rPr>
        <w:t>符合《中华人民共和国证券法》规定</w:t>
      </w:r>
      <w:r>
        <w:rPr>
          <w:rFonts w:ascii="宋体" w:hAnsi="宋体" w:cs="Arial" w:hint="eastAsia"/>
          <w:szCs w:val="21"/>
        </w:rPr>
        <w:t>的会计师事务所审计。基金合同生效不足两个月的，基金管理人可以不编制当期季度报告、中期报告或者年度报告。</w:t>
      </w:r>
    </w:p>
    <w:p w14:paraId="35B3CD50"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（七）在有需要时，基金管理人应每季度向基金托管人提供基金业绩比较基准的基础数据和编制结果。</w:t>
      </w:r>
    </w:p>
    <w:p w14:paraId="4DD84BC8" w14:textId="77777777" w:rsidR="003360D6" w:rsidRDefault="003360D6"/>
    <w:p w14:paraId="7DE009B3" w14:textId="77777777" w:rsidR="003360D6" w:rsidRDefault="003360D6">
      <w:pPr>
        <w:pStyle w:val="a0"/>
        <w:adjustRightInd w:val="0"/>
        <w:snapToGrid w:val="0"/>
        <w:spacing w:line="360" w:lineRule="auto"/>
        <w:ind w:firstLineChars="0" w:firstLine="0"/>
        <w:rPr>
          <w:rFonts w:ascii="宋体" w:hAnsi="宋体" w:cs="Arial" w:hint="eastAsia"/>
          <w:szCs w:val="21"/>
        </w:rPr>
      </w:pPr>
    </w:p>
    <w:p w14:paraId="16E11443" w14:textId="77777777" w:rsidR="003360D6" w:rsidRDefault="00000000">
      <w:pPr>
        <w:pStyle w:val="2"/>
        <w:spacing w:beforeLines="100" w:before="312" w:afterLines="50" w:after="156" w:line="360" w:lineRule="auto"/>
        <w:jc w:val="center"/>
        <w:rPr>
          <w:rFonts w:ascii="宋体" w:eastAsia="宋体" w:hAnsi="宋体" w:hint="eastAsia"/>
          <w:sz w:val="21"/>
          <w:szCs w:val="21"/>
        </w:rPr>
      </w:pPr>
      <w:r>
        <w:br w:type="page"/>
      </w:r>
      <w:bookmarkStart w:id="99" w:name="_Toc348082037"/>
      <w:bookmarkStart w:id="100" w:name="_Toc229153188"/>
      <w:r>
        <w:rPr>
          <w:rFonts w:ascii="宋体" w:eastAsia="宋体" w:hAnsi="宋体" w:hint="eastAsia"/>
          <w:sz w:val="21"/>
          <w:szCs w:val="21"/>
        </w:rPr>
        <w:lastRenderedPageBreak/>
        <w:t>九、基金收益分配</w:t>
      </w:r>
      <w:bookmarkEnd w:id="99"/>
      <w:bookmarkEnd w:id="100"/>
    </w:p>
    <w:p w14:paraId="53D3081C" w14:textId="77777777" w:rsidR="003360D6" w:rsidRDefault="00000000">
      <w:pPr>
        <w:adjustRightInd w:val="0"/>
        <w:snapToGrid w:val="0"/>
        <w:spacing w:line="360" w:lineRule="auto"/>
        <w:ind w:firstLineChars="200" w:firstLine="420"/>
        <w:rPr>
          <w:rFonts w:ascii="宋体" w:hAnsi="宋体" w:cs="Arial" w:hint="eastAsia"/>
          <w:szCs w:val="21"/>
        </w:rPr>
      </w:pPr>
      <w:r>
        <w:rPr>
          <w:rFonts w:hint="eastAsia"/>
          <w:szCs w:val="21"/>
        </w:rPr>
        <w:t>基金管理人与基金托管人按照《基金合同》的约定处理基金收益分配。</w:t>
      </w:r>
    </w:p>
    <w:p w14:paraId="61EAF5BC" w14:textId="77777777" w:rsidR="003360D6" w:rsidRDefault="003360D6">
      <w:pPr>
        <w:adjustRightInd w:val="0"/>
        <w:snapToGrid w:val="0"/>
        <w:spacing w:line="360" w:lineRule="auto"/>
        <w:rPr>
          <w:rFonts w:ascii="宋体" w:hAnsi="宋体" w:cs="Arial" w:hint="eastAsia"/>
          <w:szCs w:val="21"/>
        </w:rPr>
      </w:pPr>
    </w:p>
    <w:p w14:paraId="0DE205CA" w14:textId="77777777" w:rsidR="003360D6" w:rsidRDefault="00000000">
      <w:pPr>
        <w:pStyle w:val="2"/>
        <w:spacing w:beforeLines="100" w:before="312" w:afterLines="50" w:after="156" w:line="360" w:lineRule="auto"/>
        <w:jc w:val="center"/>
        <w:rPr>
          <w:rFonts w:ascii="宋体" w:eastAsia="宋体" w:hAnsi="宋体" w:hint="eastAsia"/>
          <w:sz w:val="21"/>
          <w:szCs w:val="21"/>
        </w:rPr>
      </w:pPr>
      <w:r>
        <w:rPr>
          <w:rFonts w:ascii="宋体" w:eastAsia="宋体" w:hAnsi="宋体"/>
          <w:sz w:val="21"/>
          <w:szCs w:val="21"/>
        </w:rPr>
        <w:br w:type="page"/>
      </w:r>
      <w:bookmarkStart w:id="101" w:name="_Toc348082038"/>
      <w:bookmarkStart w:id="102" w:name="_Toc229153189"/>
      <w:r>
        <w:rPr>
          <w:rFonts w:ascii="宋体" w:eastAsia="宋体" w:hAnsi="宋体" w:hint="eastAsia"/>
          <w:sz w:val="21"/>
          <w:szCs w:val="21"/>
        </w:rPr>
        <w:lastRenderedPageBreak/>
        <w:t>十、基金信息披露</w:t>
      </w:r>
      <w:bookmarkEnd w:id="101"/>
      <w:bookmarkEnd w:id="102"/>
    </w:p>
    <w:p w14:paraId="3304DDB7"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（一）保密义务</w:t>
      </w:r>
    </w:p>
    <w:p w14:paraId="5CBA8C52"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托管人和基金管理人应按法律法规、基金合同的有关规定进行信息披露，拟公开披露的信息在公开披露之前应予保密。除按《基金法》、《运作办法》、《信息披露办法》、《流动性风险管理规定》、基金合同及其他有关规定进行信息披露外，基金管理人和基金托管人对基金运作中产生的信息以及从对方获得的业务信息应予保密。但是，如下情况不应视为基金管理人或基金托管人违反保密义务：</w:t>
      </w:r>
    </w:p>
    <w:p w14:paraId="7BA613A1"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1.非因基金管理人和基金托管人的原因导致保密信息被披露、泄露或公开；</w:t>
      </w:r>
    </w:p>
    <w:p w14:paraId="2D4C12A2"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2.基金管理人和基金托管人为遵守和服从法院判决或裁定、仲裁裁决或中国证监会等监管机构的命令、决定所做出的信息披露或公开。</w:t>
      </w:r>
    </w:p>
    <w:p w14:paraId="5A73902A"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（二）信息披露的内容</w:t>
      </w:r>
    </w:p>
    <w:p w14:paraId="1E6E87C2"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的信息披露内容主要包括基金招募说明书、基金合同、基金托管协议、基金产品资料概要、基金份额发售公告、基金合同生效公告、基金净值信息、基金份额申购、赎回价格、基金定期报告（包括基金年度报告、基金中期报告和基金季度报告）、临时报告、澄清公告、清算报告、基金份额持有人大会决议、实施</w:t>
      </w:r>
      <w:proofErr w:type="gramStart"/>
      <w:r>
        <w:rPr>
          <w:rFonts w:ascii="宋体" w:hAnsi="宋体" w:cs="Arial" w:hint="eastAsia"/>
          <w:szCs w:val="21"/>
        </w:rPr>
        <w:t>侧袋机制</w:t>
      </w:r>
      <w:proofErr w:type="gramEnd"/>
      <w:r>
        <w:rPr>
          <w:rFonts w:ascii="宋体" w:hAnsi="宋体" w:cs="Arial" w:hint="eastAsia"/>
          <w:szCs w:val="21"/>
        </w:rPr>
        <w:t>期间的信息披露、中国证监会规定的其他信息。基金年度报告中的财务会计报告应当经过符合《中华人民共和国证券法》规定的会计师事务所审计后，方可披露。</w:t>
      </w:r>
    </w:p>
    <w:p w14:paraId="115AD18E"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（三）基金托管人和基金管理人在信息披露中的职责和信息披露程序</w:t>
      </w:r>
    </w:p>
    <w:p w14:paraId="6425F147"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1.职责</w:t>
      </w:r>
    </w:p>
    <w:p w14:paraId="1EA60F94"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托管人和基金管理人在信息披露过程中应以保护基金份额持有人利益为宗旨，诚实信用，严守秘密。基金管理人负责办理与基金有关的信息披露事宜，对于根据相关法律法规和基金合同规定的需要由基金托管人复核的信息披露文件，在经基金托管人复核无误后，由基金管理人予以公布。</w:t>
      </w:r>
    </w:p>
    <w:p w14:paraId="63B071FC"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基金管理人和基金托管人应积极配合、互相监督，保证其履行按照法定方式和限时披露的义务。</w:t>
      </w:r>
    </w:p>
    <w:p w14:paraId="0311CCDB"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管理人应当在中国证监会规定时间内，将应予披露的基金信息通过符合中国证监会规定条件的全国性报刊及《信息披露办法》规定的互联网网站等规定媒介披露。根据法律法规应由基金托管人公开披露的信息，基金托管人在规定媒介公开披露。</w:t>
      </w:r>
    </w:p>
    <w:p w14:paraId="5CECAE25" w14:textId="77777777" w:rsidR="003360D6" w:rsidRDefault="00000000">
      <w:pPr>
        <w:adjustRightInd w:val="0"/>
        <w:snapToGrid w:val="0"/>
        <w:spacing w:line="360" w:lineRule="auto"/>
        <w:ind w:firstLineChars="200" w:firstLine="420"/>
        <w:rPr>
          <w:rFonts w:ascii="宋体" w:hAnsi="宋体" w:cs="Arial" w:hint="eastAsia"/>
          <w:szCs w:val="21"/>
        </w:rPr>
      </w:pPr>
      <w:bookmarkStart w:id="103" w:name="_Hlk88833173"/>
      <w:r>
        <w:rPr>
          <w:rFonts w:ascii="宋体" w:hAnsi="宋体" w:cs="Arial" w:hint="eastAsia"/>
          <w:szCs w:val="21"/>
        </w:rPr>
        <w:lastRenderedPageBreak/>
        <w:t>当出现下述情况时，基金管理人和基金托管人可暂停或延迟披露基金相关信息：</w:t>
      </w:r>
    </w:p>
    <w:p w14:paraId="7EE1B14F"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（1）基金投资所涉及的证券、期货交易市场或外汇市场遇法定节假日或因其他原因暂停营业时；</w:t>
      </w:r>
    </w:p>
    <w:p w14:paraId="335C1BCF"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（2）因不可抗力致使基金管理人、基金托管人无法准确评估基金资产价值或无法进行信息披露时；</w:t>
      </w:r>
    </w:p>
    <w:p w14:paraId="6FA3B4A1"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（3）当特定资产占前一估值日基金资产净值50%以上的，经与基金托管人协商确认后暂停估值的；</w:t>
      </w:r>
    </w:p>
    <w:p w14:paraId="76557BEC"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（4）法律法规、基金合同或中国证监会规定的情况。</w:t>
      </w:r>
    </w:p>
    <w:bookmarkEnd w:id="103"/>
    <w:p w14:paraId="487FFB41"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2.程序</w:t>
      </w:r>
    </w:p>
    <w:p w14:paraId="70D6C374"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按有关规定须经基金托管人复核的信息披露文件，由基金管理人起草、并经基金托管人复核后由基金管理人公告。发生基金合同中规定需要披露的事项时，按基金合同规定公布。</w:t>
      </w:r>
    </w:p>
    <w:p w14:paraId="7A1526FB"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3.信息文本的存放</w:t>
      </w:r>
    </w:p>
    <w:p w14:paraId="1885767A" w14:textId="77777777" w:rsidR="003360D6" w:rsidRDefault="00000000">
      <w:pPr>
        <w:pStyle w:val="a0"/>
        <w:adjustRightInd w:val="0"/>
        <w:snapToGrid w:val="0"/>
        <w:spacing w:line="360" w:lineRule="auto"/>
        <w:rPr>
          <w:rFonts w:ascii="宋体" w:hAnsi="宋体" w:cs="Arial" w:hint="eastAsia"/>
          <w:szCs w:val="21"/>
        </w:rPr>
      </w:pPr>
      <w:r>
        <w:rPr>
          <w:rFonts w:ascii="宋体" w:hAnsi="宋体" w:cs="Arial" w:hint="eastAsia"/>
          <w:szCs w:val="21"/>
        </w:rPr>
        <w:t>依法必须披露的信息发布后，基金管理人、基金托管人应当按照相关法律法规规定将信息置备于各自住所，供社会公众查阅、复制。基金管理人和基金托管人应保证文本的内容与所公告的内容完全一致。</w:t>
      </w:r>
    </w:p>
    <w:p w14:paraId="531EF392" w14:textId="77777777" w:rsidR="003360D6" w:rsidRDefault="003360D6">
      <w:pPr>
        <w:pStyle w:val="a0"/>
        <w:spacing w:line="360" w:lineRule="auto"/>
        <w:ind w:firstLineChars="0" w:firstLine="0"/>
        <w:rPr>
          <w:rFonts w:ascii="宋体" w:hAnsi="宋体" w:cs="Arial" w:hint="eastAsia"/>
          <w:szCs w:val="21"/>
        </w:rPr>
      </w:pPr>
    </w:p>
    <w:p w14:paraId="65730C4B" w14:textId="77777777" w:rsidR="003360D6" w:rsidRDefault="00000000">
      <w:pPr>
        <w:pStyle w:val="2"/>
        <w:spacing w:beforeLines="100" w:before="312" w:afterLines="50" w:after="156" w:line="360" w:lineRule="auto"/>
        <w:jc w:val="center"/>
        <w:rPr>
          <w:rFonts w:ascii="宋体" w:eastAsia="宋体" w:hAnsi="宋体" w:hint="eastAsia"/>
          <w:sz w:val="21"/>
          <w:szCs w:val="21"/>
        </w:rPr>
      </w:pPr>
      <w:r>
        <w:rPr>
          <w:rFonts w:ascii="宋体" w:eastAsia="宋体" w:hAnsi="宋体"/>
          <w:sz w:val="21"/>
          <w:szCs w:val="21"/>
        </w:rPr>
        <w:br w:type="page"/>
      </w:r>
      <w:bookmarkStart w:id="104" w:name="_Toc348082039"/>
      <w:bookmarkStart w:id="105" w:name="_Toc229153190"/>
      <w:bookmarkStart w:id="106" w:name="_Hlk88833253"/>
      <w:r>
        <w:rPr>
          <w:rFonts w:ascii="宋体" w:eastAsia="宋体" w:hAnsi="宋体" w:hint="eastAsia"/>
          <w:sz w:val="21"/>
          <w:szCs w:val="21"/>
        </w:rPr>
        <w:lastRenderedPageBreak/>
        <w:t>十一、基金费用</w:t>
      </w:r>
      <w:bookmarkEnd w:id="104"/>
      <w:bookmarkEnd w:id="105"/>
    </w:p>
    <w:p w14:paraId="09AB7470" w14:textId="77777777" w:rsidR="003360D6" w:rsidRDefault="00000000">
      <w:pPr>
        <w:adjustRightInd w:val="0"/>
        <w:snapToGrid w:val="0"/>
        <w:spacing w:line="360" w:lineRule="auto"/>
        <w:ind w:firstLineChars="400" w:firstLine="840"/>
        <w:rPr>
          <w:rFonts w:ascii="宋体" w:hAnsi="宋体" w:hint="eastAsia"/>
          <w:szCs w:val="21"/>
        </w:rPr>
      </w:pPr>
      <w:r>
        <w:rPr>
          <w:rFonts w:hint="eastAsia"/>
          <w:szCs w:val="21"/>
        </w:rPr>
        <w:t>（</w:t>
      </w:r>
      <w:r>
        <w:rPr>
          <w:szCs w:val="21"/>
        </w:rPr>
        <w:t>一）</w:t>
      </w:r>
      <w:r>
        <w:rPr>
          <w:rFonts w:ascii="宋体" w:hAnsi="宋体" w:hint="eastAsia"/>
          <w:szCs w:val="21"/>
        </w:rPr>
        <w:t>基金托管费的计提方法、计提标准和支付方式如下：</w:t>
      </w:r>
    </w:p>
    <w:p w14:paraId="119EA257" w14:textId="77777777" w:rsidR="003360D6" w:rsidRDefault="00000000">
      <w:pPr>
        <w:adjustRightInd w:val="0"/>
        <w:snapToGrid w:val="0"/>
        <w:spacing w:line="360" w:lineRule="auto"/>
        <w:ind w:leftChars="270" w:left="567" w:firstLineChars="200" w:firstLine="420"/>
        <w:rPr>
          <w:rFonts w:ascii="宋体" w:hAnsi="宋体" w:hint="eastAsia"/>
        </w:rPr>
      </w:pPr>
      <w:r>
        <w:rPr>
          <w:rFonts w:ascii="宋体" w:hAnsi="宋体" w:hint="eastAsia"/>
        </w:rPr>
        <w:t>本基金对基金财产中持有的本基金托管人自身托管的基金部分不收取托管费。本基金的托管费按前一日除基金托管人托管的基金外的基金资产净值的0.10%的年费率计提。托管费的计算方法如下：</w:t>
      </w:r>
    </w:p>
    <w:p w14:paraId="0DC6992F" w14:textId="77777777" w:rsidR="003360D6" w:rsidRDefault="00000000">
      <w:pPr>
        <w:adjustRightInd w:val="0"/>
        <w:snapToGrid w:val="0"/>
        <w:spacing w:line="360" w:lineRule="auto"/>
        <w:ind w:leftChars="270" w:left="567" w:firstLineChars="200" w:firstLine="420"/>
        <w:rPr>
          <w:rFonts w:ascii="宋体" w:hAnsi="宋体" w:hint="eastAsia"/>
        </w:rPr>
      </w:pPr>
      <w:r>
        <w:rPr>
          <w:rFonts w:ascii="宋体" w:hAnsi="宋体" w:hint="eastAsia"/>
        </w:rPr>
        <w:t>H＝E×0.10%÷当年天数</w:t>
      </w:r>
    </w:p>
    <w:p w14:paraId="16EF4EAF" w14:textId="77777777" w:rsidR="003360D6" w:rsidRDefault="00000000">
      <w:pPr>
        <w:adjustRightInd w:val="0"/>
        <w:snapToGrid w:val="0"/>
        <w:spacing w:line="360" w:lineRule="auto"/>
        <w:ind w:leftChars="270" w:left="567" w:firstLineChars="200" w:firstLine="420"/>
        <w:rPr>
          <w:rFonts w:ascii="宋体" w:hAnsi="宋体" w:hint="eastAsia"/>
        </w:rPr>
      </w:pPr>
      <w:r>
        <w:rPr>
          <w:rFonts w:ascii="宋体" w:hAnsi="宋体" w:hint="eastAsia"/>
        </w:rPr>
        <w:t>H为每日应计提的基金托管费</w:t>
      </w:r>
    </w:p>
    <w:p w14:paraId="75AA424C" w14:textId="77777777" w:rsidR="003360D6" w:rsidRDefault="00000000">
      <w:pPr>
        <w:adjustRightInd w:val="0"/>
        <w:snapToGrid w:val="0"/>
        <w:spacing w:line="360" w:lineRule="auto"/>
        <w:ind w:leftChars="270" w:left="567" w:firstLineChars="200" w:firstLine="420"/>
        <w:rPr>
          <w:rFonts w:ascii="宋体" w:hAnsi="宋体" w:hint="eastAsia"/>
        </w:rPr>
      </w:pPr>
      <w:r>
        <w:rPr>
          <w:rFonts w:ascii="宋体" w:hAnsi="宋体" w:hint="eastAsia"/>
        </w:rPr>
        <w:t>E为前一日的基金资产净值减去持有基金托管人托管基金的基金资产净值</w:t>
      </w:r>
    </w:p>
    <w:p w14:paraId="1FBE5CB1" w14:textId="77777777" w:rsidR="003360D6" w:rsidRDefault="00000000">
      <w:pPr>
        <w:adjustRightInd w:val="0"/>
        <w:snapToGrid w:val="0"/>
        <w:spacing w:line="360" w:lineRule="auto"/>
        <w:ind w:leftChars="270" w:left="567" w:firstLineChars="200" w:firstLine="420"/>
        <w:rPr>
          <w:szCs w:val="21"/>
        </w:rPr>
      </w:pPr>
      <w:r>
        <w:rPr>
          <w:rFonts w:ascii="宋体" w:hAnsi="宋体" w:hint="eastAsia"/>
        </w:rPr>
        <w:t>基金托管费每日计提，逐日累计至每月月末，按月支付，经基金管理人与基金托管人双方核对无误后，基金托管人按照与基金管理人协商一致的方式于次月前5个工作日内从基金财产中一次性支取。若遇法定节假日、公休假或不可抗力等，支取日期顺延。</w:t>
      </w:r>
      <w:bookmarkStart w:id="107" w:name="CTS_608c7338e08f4004a54213593452c4e8"/>
      <w:bookmarkEnd w:id="107"/>
    </w:p>
    <w:p w14:paraId="64F6A82C" w14:textId="77777777" w:rsidR="003360D6" w:rsidRDefault="00000000">
      <w:pPr>
        <w:adjustRightInd w:val="0"/>
        <w:snapToGrid w:val="0"/>
        <w:spacing w:line="360" w:lineRule="auto"/>
        <w:ind w:firstLineChars="400" w:firstLine="840"/>
        <w:rPr>
          <w:rFonts w:ascii="宋体" w:hAnsi="宋体" w:cs="Arial" w:hint="eastAsia"/>
          <w:szCs w:val="21"/>
        </w:rPr>
      </w:pPr>
      <w:r>
        <w:rPr>
          <w:rFonts w:hint="eastAsia"/>
          <w:szCs w:val="21"/>
        </w:rPr>
        <w:t>（</w:t>
      </w:r>
      <w:r>
        <w:rPr>
          <w:szCs w:val="21"/>
        </w:rPr>
        <w:t>二）</w:t>
      </w:r>
      <w:r>
        <w:rPr>
          <w:rFonts w:hint="eastAsia"/>
          <w:szCs w:val="21"/>
        </w:rPr>
        <w:t>基</w:t>
      </w:r>
      <w:r>
        <w:rPr>
          <w:rFonts w:hAnsi="宋体" w:hint="eastAsia"/>
          <w:szCs w:val="21"/>
        </w:rPr>
        <w:t>金其他费用按照《基金合同》的约定计提和支付</w:t>
      </w:r>
      <w:r>
        <w:rPr>
          <w:rFonts w:ascii="宋体" w:hAnsi="宋体" w:hint="eastAsia"/>
          <w:color w:val="000000"/>
          <w:szCs w:val="21"/>
        </w:rPr>
        <w:t>。</w:t>
      </w:r>
    </w:p>
    <w:bookmarkEnd w:id="106"/>
    <w:p w14:paraId="659E90D3" w14:textId="77777777" w:rsidR="003360D6" w:rsidRDefault="00000000">
      <w:pPr>
        <w:pStyle w:val="2"/>
        <w:spacing w:beforeLines="100" w:before="312" w:afterLines="50" w:after="156" w:line="360" w:lineRule="auto"/>
        <w:ind w:firstLineChars="250" w:firstLine="527"/>
        <w:jc w:val="center"/>
        <w:rPr>
          <w:rFonts w:ascii="宋体" w:eastAsia="宋体" w:hAnsi="宋体" w:hint="eastAsia"/>
          <w:sz w:val="21"/>
          <w:szCs w:val="21"/>
        </w:rPr>
      </w:pPr>
      <w:r>
        <w:rPr>
          <w:rFonts w:ascii="宋体" w:eastAsia="宋体" w:hAnsi="宋体"/>
          <w:sz w:val="21"/>
          <w:szCs w:val="21"/>
        </w:rPr>
        <w:br w:type="page"/>
      </w:r>
      <w:bookmarkStart w:id="108" w:name="_Toc348082040"/>
      <w:bookmarkStart w:id="109" w:name="_Toc229153191"/>
      <w:r>
        <w:rPr>
          <w:rFonts w:ascii="宋体" w:eastAsia="宋体" w:hAnsi="宋体" w:hint="eastAsia"/>
          <w:sz w:val="21"/>
          <w:szCs w:val="21"/>
        </w:rPr>
        <w:lastRenderedPageBreak/>
        <w:t>十二、基金份额持有人名册的保管</w:t>
      </w:r>
      <w:bookmarkEnd w:id="108"/>
      <w:bookmarkEnd w:id="109"/>
    </w:p>
    <w:p w14:paraId="0F26DDA0"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份额持有人名册至少应包括基金份额持有人的名称和持有的基金份额。基金份额持有人名册由基金登记机构根据基金管理人的指令编制和保管，基金管理人和基金托管人应分别保管基金份额持有人名册，保存期限不少于法律法规的规定。如不能妥善保管，则按相关法律法规承担责任。</w:t>
      </w:r>
    </w:p>
    <w:p w14:paraId="6110F6F9"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在基金托管人要求或编制中期报告和年度报告前，基金管理人应将有关资料送交基金托管人，不得无故拒绝或延误提供，并保证其的真实性、准确性和完整性。基金管理人和托管人不得将所保管的基金份额持有人名册用于基金托管业务以外的其他用途，并应遵守保密义务。</w:t>
      </w:r>
    </w:p>
    <w:p w14:paraId="62DFA2F8" w14:textId="77777777" w:rsidR="003360D6" w:rsidRDefault="00000000">
      <w:pPr>
        <w:pStyle w:val="2"/>
        <w:spacing w:beforeLines="100" w:before="312" w:afterLines="50" w:after="156" w:line="360" w:lineRule="auto"/>
        <w:ind w:firstLine="480"/>
        <w:jc w:val="center"/>
        <w:rPr>
          <w:sz w:val="21"/>
          <w:szCs w:val="21"/>
        </w:rPr>
      </w:pPr>
      <w:r>
        <w:rPr>
          <w:rFonts w:ascii="宋体" w:hAnsi="宋体"/>
          <w:b w:val="0"/>
          <w:sz w:val="21"/>
          <w:szCs w:val="21"/>
        </w:rPr>
        <w:br w:type="page"/>
      </w:r>
      <w:bookmarkStart w:id="110" w:name="_Toc348082041"/>
      <w:bookmarkStart w:id="111" w:name="_Toc229153192"/>
      <w:r>
        <w:rPr>
          <w:rFonts w:ascii="宋体" w:eastAsia="宋体" w:hAnsi="宋体" w:hint="eastAsia"/>
          <w:sz w:val="21"/>
          <w:szCs w:val="21"/>
        </w:rPr>
        <w:lastRenderedPageBreak/>
        <w:t>十三、基金有关文件档案的保存</w:t>
      </w:r>
      <w:bookmarkEnd w:id="110"/>
      <w:bookmarkEnd w:id="111"/>
    </w:p>
    <w:p w14:paraId="387BEF3E"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（一）档案保存</w:t>
      </w:r>
    </w:p>
    <w:p w14:paraId="0595EDA0"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基金管理人应保存基金财产管理业务活动的记录、账册、报表和其他相关资料。基金托管人应保存基金托管业务活动的记录、账册、报表和其他相关资料。基金管理人和基金托管人都应当按规定的期限保管。保存期限不少于法律法规的规定。</w:t>
      </w:r>
    </w:p>
    <w:p w14:paraId="63C9CD44"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（二）合同档案的建立</w:t>
      </w:r>
    </w:p>
    <w:p w14:paraId="4FD4A81B"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1.基金管理人签署重大合同文本后，应及时将合同文本正本送达基金托管人处。</w:t>
      </w:r>
    </w:p>
    <w:p w14:paraId="2C41FE0F"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2.基金管理人应及时将与本基金账务处理、资金划拨等有关的合同、协议传真或通过双方认可的其他方式发送至基金托管人。</w:t>
      </w:r>
    </w:p>
    <w:p w14:paraId="7ABC4EA7"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（三）变更与协助</w:t>
      </w:r>
    </w:p>
    <w:p w14:paraId="25224844" w14:textId="77777777" w:rsidR="003360D6" w:rsidRDefault="00000000">
      <w:pPr>
        <w:adjustRightInd w:val="0"/>
        <w:snapToGrid w:val="0"/>
        <w:spacing w:line="360" w:lineRule="auto"/>
        <w:ind w:firstLineChars="200" w:firstLine="420"/>
        <w:rPr>
          <w:rFonts w:ascii="宋体" w:hAnsi="宋体" w:cs="Arial" w:hint="eastAsia"/>
          <w:szCs w:val="21"/>
        </w:rPr>
      </w:pPr>
      <w:proofErr w:type="gramStart"/>
      <w:r>
        <w:rPr>
          <w:rFonts w:ascii="宋体" w:hAnsi="宋体" w:cs="Arial" w:hint="eastAsia"/>
          <w:szCs w:val="21"/>
        </w:rPr>
        <w:t>若基金</w:t>
      </w:r>
      <w:proofErr w:type="gramEnd"/>
      <w:r>
        <w:rPr>
          <w:rFonts w:ascii="宋体" w:hAnsi="宋体" w:cs="Arial" w:hint="eastAsia"/>
          <w:szCs w:val="21"/>
        </w:rPr>
        <w:t>管理人/基金托管人发生变更，未变更的一方有义务协助变更后的接任人接收相应文件。</w:t>
      </w:r>
    </w:p>
    <w:p w14:paraId="2F3B2C40"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（四）基金管理人和基金托管人应按各自职责完整保存原始凭证、记账凭证、基金账册、交易记录和重要合同等，承担保密义务并保存，保存期限不少于法律法规的规定。</w:t>
      </w:r>
    </w:p>
    <w:p w14:paraId="0C1D5B09" w14:textId="77777777" w:rsidR="003360D6" w:rsidRDefault="003360D6">
      <w:pPr>
        <w:adjustRightInd w:val="0"/>
        <w:snapToGrid w:val="0"/>
        <w:spacing w:line="360" w:lineRule="auto"/>
        <w:rPr>
          <w:rFonts w:ascii="宋体" w:hAnsi="宋体" w:hint="eastAsia"/>
          <w:szCs w:val="21"/>
        </w:rPr>
      </w:pPr>
    </w:p>
    <w:p w14:paraId="5D3A1C32" w14:textId="77777777" w:rsidR="003360D6" w:rsidRDefault="00000000">
      <w:pPr>
        <w:pStyle w:val="2"/>
        <w:spacing w:beforeLines="100" w:before="312" w:afterLines="50" w:after="156" w:line="360" w:lineRule="auto"/>
        <w:jc w:val="center"/>
        <w:rPr>
          <w:rFonts w:ascii="宋体" w:eastAsia="宋体" w:hAnsi="宋体" w:hint="eastAsia"/>
          <w:sz w:val="21"/>
          <w:szCs w:val="21"/>
        </w:rPr>
      </w:pPr>
      <w:r>
        <w:rPr>
          <w:rFonts w:ascii="宋体" w:eastAsia="宋体" w:hAnsi="宋体"/>
          <w:sz w:val="21"/>
          <w:szCs w:val="21"/>
        </w:rPr>
        <w:br w:type="page"/>
      </w:r>
      <w:bookmarkStart w:id="112" w:name="_Toc348082042"/>
      <w:bookmarkStart w:id="113" w:name="_Toc229153193"/>
      <w:r>
        <w:rPr>
          <w:rFonts w:ascii="宋体" w:eastAsia="宋体" w:hAnsi="宋体" w:hint="eastAsia"/>
          <w:sz w:val="21"/>
          <w:szCs w:val="21"/>
        </w:rPr>
        <w:lastRenderedPageBreak/>
        <w:t>十四、基金管理人和基金托管人的更换</w:t>
      </w:r>
      <w:bookmarkEnd w:id="112"/>
      <w:bookmarkEnd w:id="113"/>
    </w:p>
    <w:p w14:paraId="19587F49" w14:textId="77777777" w:rsidR="003360D6" w:rsidRDefault="00000000">
      <w:pPr>
        <w:spacing w:line="360" w:lineRule="auto"/>
        <w:ind w:firstLine="420"/>
        <w:rPr>
          <w:rFonts w:ascii="宋体" w:hAnsi="宋体" w:hint="eastAsia"/>
          <w:kern w:val="0"/>
          <w:szCs w:val="21"/>
        </w:rPr>
      </w:pPr>
      <w:r>
        <w:rPr>
          <w:rFonts w:ascii="宋体" w:hAnsi="宋体" w:hint="eastAsia"/>
          <w:szCs w:val="21"/>
        </w:rPr>
        <w:t>（一）</w:t>
      </w:r>
      <w:r>
        <w:rPr>
          <w:rFonts w:ascii="宋体" w:hAnsi="宋体"/>
          <w:kern w:val="0"/>
          <w:szCs w:val="21"/>
        </w:rPr>
        <w:t>基金管理人职责终止</w:t>
      </w:r>
      <w:r>
        <w:rPr>
          <w:rFonts w:ascii="宋体" w:hAnsi="宋体" w:hint="eastAsia"/>
          <w:kern w:val="0"/>
          <w:szCs w:val="21"/>
        </w:rPr>
        <w:t>后</w:t>
      </w:r>
      <w:r>
        <w:rPr>
          <w:rFonts w:ascii="宋体" w:hAnsi="宋体"/>
          <w:kern w:val="0"/>
          <w:szCs w:val="21"/>
        </w:rPr>
        <w:t>，</w:t>
      </w:r>
      <w:r>
        <w:rPr>
          <w:rFonts w:ascii="宋体" w:hAnsi="宋体" w:hint="eastAsia"/>
          <w:kern w:val="0"/>
          <w:szCs w:val="21"/>
        </w:rPr>
        <w:t>仍</w:t>
      </w:r>
      <w:r>
        <w:rPr>
          <w:rFonts w:ascii="宋体" w:hAnsi="宋体"/>
          <w:kern w:val="0"/>
          <w:szCs w:val="21"/>
        </w:rPr>
        <w:t>应妥善保管基金管理业务资料，</w:t>
      </w:r>
      <w:r>
        <w:rPr>
          <w:rFonts w:ascii="宋体" w:hAnsi="宋体" w:cs="Arial" w:hint="eastAsia"/>
          <w:szCs w:val="21"/>
        </w:rPr>
        <w:t>保证不做出对基金份额持有人的利益造成损害的行为，</w:t>
      </w:r>
      <w:r>
        <w:rPr>
          <w:rFonts w:ascii="宋体" w:hAnsi="宋体" w:hint="eastAsia"/>
          <w:kern w:val="0"/>
          <w:szCs w:val="21"/>
        </w:rPr>
        <w:t>并与</w:t>
      </w:r>
      <w:proofErr w:type="gramStart"/>
      <w:r>
        <w:rPr>
          <w:rFonts w:ascii="宋体" w:hAnsi="宋体" w:hint="eastAsia"/>
          <w:kern w:val="0"/>
          <w:szCs w:val="21"/>
        </w:rPr>
        <w:t>新任基金</w:t>
      </w:r>
      <w:proofErr w:type="gramEnd"/>
      <w:r>
        <w:rPr>
          <w:rFonts w:ascii="宋体" w:hAnsi="宋体" w:hint="eastAsia"/>
          <w:kern w:val="0"/>
          <w:szCs w:val="21"/>
        </w:rPr>
        <w:t>管理人或临时基金管理人</w:t>
      </w:r>
      <w:r>
        <w:rPr>
          <w:rFonts w:ascii="宋体" w:hAnsi="宋体"/>
          <w:kern w:val="0"/>
          <w:szCs w:val="21"/>
        </w:rPr>
        <w:t>及时办理基金管理业务的移交手续。</w:t>
      </w:r>
      <w:r>
        <w:rPr>
          <w:rFonts w:ascii="宋体" w:hAnsi="宋体" w:hint="eastAsia"/>
          <w:kern w:val="0"/>
          <w:szCs w:val="21"/>
        </w:rPr>
        <w:t>基金托管人应给予积极配合，并与</w:t>
      </w:r>
      <w:proofErr w:type="gramStart"/>
      <w:r>
        <w:rPr>
          <w:rFonts w:ascii="宋体" w:hAnsi="宋体" w:hint="eastAsia"/>
          <w:kern w:val="0"/>
          <w:szCs w:val="21"/>
        </w:rPr>
        <w:t>新任基金</w:t>
      </w:r>
      <w:proofErr w:type="gramEnd"/>
      <w:r>
        <w:rPr>
          <w:rFonts w:ascii="宋体" w:hAnsi="宋体" w:hint="eastAsia"/>
          <w:kern w:val="0"/>
          <w:szCs w:val="21"/>
        </w:rPr>
        <w:t>管理人或临时基金管理人核对基金资产总值和基金资产净值。</w:t>
      </w:r>
    </w:p>
    <w:p w14:paraId="7317D42E" w14:textId="77777777" w:rsidR="003360D6" w:rsidRDefault="00000000">
      <w:pPr>
        <w:spacing w:line="360" w:lineRule="auto"/>
        <w:ind w:firstLine="420"/>
        <w:rPr>
          <w:rFonts w:ascii="宋体" w:hAnsi="宋体" w:hint="eastAsia"/>
          <w:kern w:val="0"/>
          <w:szCs w:val="21"/>
        </w:rPr>
      </w:pPr>
      <w:r>
        <w:rPr>
          <w:rFonts w:ascii="宋体" w:hAnsi="宋体" w:hint="eastAsia"/>
          <w:szCs w:val="21"/>
        </w:rPr>
        <w:t>（二）</w:t>
      </w:r>
      <w:r>
        <w:rPr>
          <w:rFonts w:ascii="宋体" w:hAnsi="宋体"/>
          <w:kern w:val="0"/>
          <w:szCs w:val="21"/>
        </w:rPr>
        <w:t>基金托管人职责终止</w:t>
      </w:r>
      <w:r>
        <w:rPr>
          <w:rFonts w:ascii="宋体" w:hAnsi="宋体" w:hint="eastAsia"/>
          <w:kern w:val="0"/>
          <w:szCs w:val="21"/>
        </w:rPr>
        <w:t>后</w:t>
      </w:r>
      <w:r>
        <w:rPr>
          <w:rFonts w:ascii="宋体" w:hAnsi="宋体"/>
          <w:kern w:val="0"/>
          <w:szCs w:val="21"/>
        </w:rPr>
        <w:t>，</w:t>
      </w:r>
      <w:r>
        <w:rPr>
          <w:rFonts w:ascii="宋体" w:hAnsi="宋体" w:hint="eastAsia"/>
          <w:kern w:val="0"/>
          <w:szCs w:val="21"/>
        </w:rPr>
        <w:t>仍</w:t>
      </w:r>
      <w:r>
        <w:rPr>
          <w:rFonts w:ascii="宋体" w:hAnsi="宋体"/>
          <w:kern w:val="0"/>
          <w:szCs w:val="21"/>
        </w:rPr>
        <w:t>应妥善保管基金财产和基金托管业务资料，</w:t>
      </w:r>
      <w:r>
        <w:rPr>
          <w:rFonts w:ascii="宋体" w:hAnsi="宋体" w:cs="Arial" w:hint="eastAsia"/>
          <w:szCs w:val="21"/>
        </w:rPr>
        <w:t>保证不做出对基金份额持有人的利益造成损害的行为，</w:t>
      </w:r>
      <w:r>
        <w:rPr>
          <w:rFonts w:ascii="宋体" w:hAnsi="宋体" w:hint="eastAsia"/>
          <w:kern w:val="0"/>
          <w:szCs w:val="21"/>
        </w:rPr>
        <w:t>并与</w:t>
      </w:r>
      <w:proofErr w:type="gramStart"/>
      <w:r>
        <w:rPr>
          <w:rFonts w:ascii="宋体" w:hAnsi="宋体" w:hint="eastAsia"/>
          <w:kern w:val="0"/>
          <w:szCs w:val="21"/>
        </w:rPr>
        <w:t>新任基金</w:t>
      </w:r>
      <w:proofErr w:type="gramEnd"/>
      <w:r>
        <w:rPr>
          <w:rFonts w:ascii="宋体" w:hAnsi="宋体" w:hint="eastAsia"/>
          <w:kern w:val="0"/>
          <w:szCs w:val="21"/>
        </w:rPr>
        <w:t>托管人或临时基金托管人</w:t>
      </w:r>
      <w:r>
        <w:rPr>
          <w:rFonts w:ascii="宋体" w:hAnsi="宋体"/>
          <w:kern w:val="0"/>
          <w:szCs w:val="21"/>
        </w:rPr>
        <w:t>及时办理基金财产和基金托管业务的移交手续。</w:t>
      </w:r>
      <w:r>
        <w:rPr>
          <w:rFonts w:ascii="宋体" w:hAnsi="宋体" w:hint="eastAsia"/>
          <w:kern w:val="0"/>
          <w:szCs w:val="21"/>
        </w:rPr>
        <w:t>基金管理人应给予积极配合，并与</w:t>
      </w:r>
      <w:proofErr w:type="gramStart"/>
      <w:r>
        <w:rPr>
          <w:rFonts w:ascii="宋体" w:hAnsi="宋体" w:hint="eastAsia"/>
          <w:kern w:val="0"/>
          <w:szCs w:val="21"/>
        </w:rPr>
        <w:t>新任基金</w:t>
      </w:r>
      <w:proofErr w:type="gramEnd"/>
      <w:r>
        <w:rPr>
          <w:rFonts w:ascii="宋体" w:hAnsi="宋体" w:hint="eastAsia"/>
          <w:kern w:val="0"/>
          <w:szCs w:val="21"/>
        </w:rPr>
        <w:t>托管人或临时基金托管人核对基金资产总值和基金资产净值。</w:t>
      </w:r>
    </w:p>
    <w:p w14:paraId="7433DF8B" w14:textId="77777777" w:rsidR="003360D6" w:rsidRDefault="00000000">
      <w:pPr>
        <w:spacing w:line="360" w:lineRule="auto"/>
        <w:ind w:firstLine="420"/>
        <w:rPr>
          <w:rFonts w:ascii="宋体" w:hAnsi="宋体" w:cs="Arial" w:hint="eastAsia"/>
          <w:szCs w:val="21"/>
        </w:rPr>
      </w:pPr>
      <w:r>
        <w:rPr>
          <w:rFonts w:ascii="宋体" w:hAnsi="宋体" w:hint="eastAsia"/>
          <w:kern w:val="0"/>
          <w:szCs w:val="21"/>
        </w:rPr>
        <w:t>（三）其他事宜</w:t>
      </w:r>
      <w:proofErr w:type="gramStart"/>
      <w:r>
        <w:rPr>
          <w:rFonts w:ascii="宋体" w:hAnsi="宋体" w:hint="eastAsia"/>
          <w:kern w:val="0"/>
          <w:szCs w:val="21"/>
        </w:rPr>
        <w:t>见基金</w:t>
      </w:r>
      <w:proofErr w:type="gramEnd"/>
      <w:r>
        <w:rPr>
          <w:rFonts w:ascii="宋体" w:hAnsi="宋体" w:hint="eastAsia"/>
          <w:kern w:val="0"/>
          <w:szCs w:val="21"/>
        </w:rPr>
        <w:t>合同的相关约定。</w:t>
      </w:r>
    </w:p>
    <w:p w14:paraId="0513DB00" w14:textId="77777777" w:rsidR="003360D6" w:rsidRDefault="003360D6">
      <w:pPr>
        <w:adjustRightInd w:val="0"/>
        <w:snapToGrid w:val="0"/>
        <w:spacing w:line="360" w:lineRule="auto"/>
        <w:rPr>
          <w:rFonts w:ascii="宋体" w:hAnsi="宋体" w:cs="Arial" w:hint="eastAsia"/>
          <w:szCs w:val="21"/>
        </w:rPr>
      </w:pPr>
    </w:p>
    <w:p w14:paraId="65C53A15" w14:textId="77777777" w:rsidR="003360D6" w:rsidRDefault="00000000">
      <w:pPr>
        <w:pStyle w:val="2"/>
        <w:spacing w:beforeLines="100" w:before="312" w:afterLines="50" w:after="156" w:line="360" w:lineRule="auto"/>
        <w:jc w:val="center"/>
        <w:rPr>
          <w:rFonts w:ascii="宋体" w:eastAsia="宋体" w:hAnsi="宋体" w:hint="eastAsia"/>
          <w:sz w:val="21"/>
          <w:szCs w:val="21"/>
        </w:rPr>
      </w:pPr>
      <w:r>
        <w:rPr>
          <w:rFonts w:ascii="宋体" w:eastAsia="宋体" w:hAnsi="宋体"/>
          <w:sz w:val="21"/>
          <w:szCs w:val="21"/>
        </w:rPr>
        <w:br w:type="page"/>
      </w:r>
      <w:bookmarkStart w:id="114" w:name="_Toc348082043"/>
      <w:bookmarkStart w:id="115" w:name="_Toc229153194"/>
      <w:r>
        <w:rPr>
          <w:rFonts w:ascii="宋体" w:eastAsia="宋体" w:hAnsi="宋体" w:hint="eastAsia"/>
          <w:sz w:val="21"/>
          <w:szCs w:val="21"/>
        </w:rPr>
        <w:lastRenderedPageBreak/>
        <w:t>十五、禁止行为</w:t>
      </w:r>
      <w:bookmarkEnd w:id="114"/>
      <w:bookmarkEnd w:id="115"/>
    </w:p>
    <w:p w14:paraId="5A52227A"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本协议当事人禁止从事的行为，包括但不限于：</w:t>
      </w:r>
    </w:p>
    <w:p w14:paraId="1C017CE9" w14:textId="77777777" w:rsidR="003360D6" w:rsidRDefault="00000000">
      <w:pPr>
        <w:spacing w:line="360" w:lineRule="auto"/>
        <w:ind w:firstLineChars="200" w:firstLine="420"/>
        <w:rPr>
          <w:rFonts w:ascii="宋体" w:hAnsi="宋体" w:hint="eastAsia"/>
          <w:szCs w:val="21"/>
        </w:rPr>
      </w:pPr>
      <w:r>
        <w:rPr>
          <w:rFonts w:ascii="宋体" w:hAnsi="宋体" w:hint="eastAsia"/>
          <w:szCs w:val="21"/>
        </w:rPr>
        <w:t>（一）基金管理人、基金托管人将其固有财产或者他人财产混同于基金财产从事证券投资。</w:t>
      </w:r>
    </w:p>
    <w:p w14:paraId="0021C147" w14:textId="77777777" w:rsidR="003360D6" w:rsidRDefault="00000000">
      <w:pPr>
        <w:spacing w:line="360" w:lineRule="auto"/>
        <w:ind w:firstLineChars="200" w:firstLine="420"/>
        <w:rPr>
          <w:rFonts w:ascii="宋体" w:hAnsi="宋体" w:hint="eastAsia"/>
          <w:szCs w:val="21"/>
        </w:rPr>
      </w:pPr>
      <w:r>
        <w:rPr>
          <w:rFonts w:ascii="宋体" w:hAnsi="宋体" w:hint="eastAsia"/>
          <w:szCs w:val="21"/>
        </w:rPr>
        <w:t>（二）基金管理人不公平地对待其管理的不同基金财产，基金托管人不公平地对待其托管的不同基金财产。</w:t>
      </w:r>
    </w:p>
    <w:p w14:paraId="2A0070F9" w14:textId="77777777" w:rsidR="003360D6" w:rsidRDefault="00000000">
      <w:pPr>
        <w:spacing w:line="360" w:lineRule="auto"/>
        <w:ind w:firstLineChars="200" w:firstLine="420"/>
        <w:rPr>
          <w:rFonts w:ascii="宋体" w:hAnsi="宋体" w:hint="eastAsia"/>
          <w:szCs w:val="21"/>
        </w:rPr>
      </w:pPr>
      <w:r>
        <w:rPr>
          <w:rFonts w:ascii="宋体" w:hAnsi="宋体" w:hint="eastAsia"/>
          <w:szCs w:val="21"/>
        </w:rPr>
        <w:t>（三）基金管理人、基金托管人利用基金财产或职务之便为基金份额持有人以外的第三人牟取利益。</w:t>
      </w:r>
    </w:p>
    <w:p w14:paraId="6DFAD26D" w14:textId="77777777" w:rsidR="003360D6" w:rsidRDefault="00000000">
      <w:pPr>
        <w:spacing w:line="360" w:lineRule="auto"/>
        <w:ind w:firstLineChars="200" w:firstLine="420"/>
        <w:rPr>
          <w:rFonts w:ascii="宋体" w:hAnsi="宋体" w:hint="eastAsia"/>
          <w:szCs w:val="21"/>
        </w:rPr>
      </w:pPr>
      <w:r>
        <w:rPr>
          <w:rFonts w:ascii="宋体" w:hAnsi="宋体" w:hint="eastAsia"/>
          <w:szCs w:val="21"/>
        </w:rPr>
        <w:t>（四）基金管理人、基金托管人向基金份额持有人违规承诺收益或者承担损失。</w:t>
      </w:r>
    </w:p>
    <w:p w14:paraId="4A67A33F"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（五）基金管理人、基金托管人对他人泄露基金运作和管理过程中任何尚未按法律法规规定的方式公开披露的信息。</w:t>
      </w:r>
    </w:p>
    <w:p w14:paraId="04EE8746"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（六）基金管理人在没有充足资金的情况下向基金托管人发出投资指令和付款指令，或违规向基金托管人发出指令。</w:t>
      </w:r>
    </w:p>
    <w:p w14:paraId="4DC844AC"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（七）基金管理人、基金托管人在行政上、财务上不独立，其高级管理人员和其他从业人员相互兼职。</w:t>
      </w:r>
    </w:p>
    <w:p w14:paraId="16FF55D3" w14:textId="77777777" w:rsidR="003360D6" w:rsidRDefault="00000000">
      <w:pPr>
        <w:spacing w:line="360" w:lineRule="auto"/>
        <w:ind w:firstLineChars="200" w:firstLine="420"/>
        <w:rPr>
          <w:rFonts w:ascii="宋体" w:hAnsi="宋体" w:cs="Arial" w:hint="eastAsia"/>
          <w:szCs w:val="21"/>
        </w:rPr>
      </w:pPr>
      <w:r>
        <w:rPr>
          <w:rFonts w:ascii="宋体" w:hAnsi="宋体" w:cs="Arial" w:hint="eastAsia"/>
          <w:szCs w:val="21"/>
        </w:rPr>
        <w:t>（八）基金托管人私自动用或处分基金财产，根据基金管理人的合法指令、基金合同或托管协议的规定进行处分的除外。</w:t>
      </w:r>
    </w:p>
    <w:p w14:paraId="5C8C433C" w14:textId="77777777" w:rsidR="003360D6" w:rsidRDefault="00000000">
      <w:pPr>
        <w:spacing w:line="360" w:lineRule="auto"/>
        <w:ind w:firstLineChars="200" w:firstLine="420"/>
        <w:rPr>
          <w:rFonts w:ascii="宋体" w:hAnsi="宋体" w:hint="eastAsia"/>
          <w:szCs w:val="21"/>
        </w:rPr>
      </w:pPr>
      <w:r>
        <w:rPr>
          <w:rFonts w:ascii="宋体" w:hAnsi="宋体" w:cs="Arial" w:hint="eastAsia"/>
          <w:szCs w:val="21"/>
        </w:rPr>
        <w:t>（九）法律法规和基金合同禁止的其他行为，以及</w:t>
      </w:r>
      <w:r>
        <w:rPr>
          <w:rFonts w:ascii="宋体" w:hAnsi="宋体" w:hint="eastAsia"/>
          <w:szCs w:val="21"/>
        </w:rPr>
        <w:t>依照法律、行政法规有关规定，由</w:t>
      </w:r>
      <w:r>
        <w:rPr>
          <w:rFonts w:ascii="宋体" w:hAnsi="宋体" w:cs="Arial" w:hint="eastAsia"/>
          <w:szCs w:val="21"/>
        </w:rPr>
        <w:t>中国证监会</w:t>
      </w:r>
      <w:r>
        <w:rPr>
          <w:rFonts w:ascii="宋体" w:hAnsi="宋体" w:hint="eastAsia"/>
          <w:szCs w:val="21"/>
        </w:rPr>
        <w:t>规定禁止基金管理人、基金托管人从事的其他行为。</w:t>
      </w:r>
    </w:p>
    <w:p w14:paraId="0BFC4EDC" w14:textId="77777777" w:rsidR="003360D6" w:rsidRDefault="00000000">
      <w:pPr>
        <w:pStyle w:val="2"/>
        <w:spacing w:beforeLines="100" w:before="312" w:afterLines="50" w:after="156" w:line="360" w:lineRule="auto"/>
        <w:jc w:val="center"/>
        <w:rPr>
          <w:rFonts w:ascii="宋体" w:eastAsia="宋体" w:hAnsi="宋体" w:hint="eastAsia"/>
          <w:sz w:val="21"/>
          <w:szCs w:val="21"/>
        </w:rPr>
      </w:pPr>
      <w:r>
        <w:rPr>
          <w:rFonts w:ascii="宋体" w:hAnsi="宋体"/>
          <w:b w:val="0"/>
          <w:sz w:val="21"/>
          <w:szCs w:val="21"/>
        </w:rPr>
        <w:br w:type="page"/>
      </w:r>
      <w:bookmarkStart w:id="116" w:name="_Toc348082044"/>
      <w:bookmarkStart w:id="117" w:name="_Toc229153195"/>
      <w:r>
        <w:rPr>
          <w:rFonts w:ascii="宋体" w:eastAsia="宋体" w:hAnsi="宋体" w:hint="eastAsia"/>
          <w:sz w:val="21"/>
          <w:szCs w:val="21"/>
        </w:rPr>
        <w:lastRenderedPageBreak/>
        <w:t>十六、托管协议的变更、终止与基金财产的清算</w:t>
      </w:r>
      <w:bookmarkEnd w:id="116"/>
      <w:bookmarkEnd w:id="117"/>
    </w:p>
    <w:p w14:paraId="6969FD46"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（一）托管协议的变更程序</w:t>
      </w:r>
    </w:p>
    <w:p w14:paraId="22265ED7" w14:textId="77777777" w:rsidR="003360D6" w:rsidRDefault="00000000">
      <w:pPr>
        <w:adjustRightInd w:val="0"/>
        <w:snapToGrid w:val="0"/>
        <w:spacing w:line="360" w:lineRule="auto"/>
        <w:ind w:firstLineChars="200" w:firstLine="420"/>
        <w:rPr>
          <w:rFonts w:ascii="宋体" w:hAnsi="宋体" w:hint="eastAsia"/>
          <w:szCs w:val="21"/>
        </w:rPr>
      </w:pPr>
      <w:r>
        <w:rPr>
          <w:rFonts w:ascii="宋体" w:hAnsi="宋体" w:cs="Arial" w:hint="eastAsia"/>
          <w:szCs w:val="21"/>
        </w:rPr>
        <w:t>本协议双方当事人经协商一致，可以对本协议进行修改。修改后的新协议，其内容不得与基金合同的规定有任何冲突。</w:t>
      </w:r>
    </w:p>
    <w:p w14:paraId="351133F9"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（二）基金托管协议终止的情形</w:t>
      </w:r>
    </w:p>
    <w:p w14:paraId="7003B770"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1、《基金合同》终止；</w:t>
      </w:r>
    </w:p>
    <w:p w14:paraId="59A137AD"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2、基金托管人因解散、破产、撤销等事由，不能继续担任基金托管人的职务，而在6个月内无其他适当的托管机构承接其原有权利义务；</w:t>
      </w:r>
    </w:p>
    <w:p w14:paraId="18E1C895"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3、基金管理人因解散、破产、撤销等事由，不能继续担任基金管理人的职务，而在6个月内无其他适当的基金管理公司承接其原有权利义务；</w:t>
      </w:r>
    </w:p>
    <w:p w14:paraId="28D8C2B7"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4、发生法律法规、中国证监会或《基金合同》规定的其他终止事项。</w:t>
      </w:r>
    </w:p>
    <w:p w14:paraId="1EB29E01"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（三）基金财产的清算</w:t>
      </w:r>
    </w:p>
    <w:p w14:paraId="456456B1" w14:textId="77777777" w:rsidR="003360D6" w:rsidRDefault="00000000">
      <w:pPr>
        <w:adjustRightInd w:val="0"/>
        <w:snapToGrid w:val="0"/>
        <w:spacing w:line="360" w:lineRule="auto"/>
        <w:ind w:firstLineChars="200" w:firstLine="420"/>
        <w:rPr>
          <w:rFonts w:ascii="宋体" w:hAnsi="宋体" w:cs="Arial" w:hint="eastAsia"/>
          <w:szCs w:val="21"/>
        </w:rPr>
      </w:pPr>
      <w:r>
        <w:rPr>
          <w:rFonts w:hint="eastAsia"/>
          <w:szCs w:val="21"/>
        </w:rPr>
        <w:t>基金管理人与基金托管人按照《基金合同》的约定处理基金财产的清算。</w:t>
      </w:r>
    </w:p>
    <w:p w14:paraId="355EA555" w14:textId="77777777" w:rsidR="003360D6" w:rsidRDefault="003360D6">
      <w:pPr>
        <w:adjustRightInd w:val="0"/>
        <w:snapToGrid w:val="0"/>
        <w:spacing w:line="360" w:lineRule="auto"/>
        <w:rPr>
          <w:rFonts w:ascii="宋体" w:hAnsi="宋体" w:cs="Arial" w:hint="eastAsia"/>
          <w:szCs w:val="21"/>
        </w:rPr>
      </w:pPr>
    </w:p>
    <w:p w14:paraId="0AF99057" w14:textId="77777777" w:rsidR="003360D6" w:rsidRDefault="00000000">
      <w:pPr>
        <w:pStyle w:val="2"/>
        <w:spacing w:beforeLines="100" w:before="312" w:afterLines="50" w:after="156" w:line="360" w:lineRule="auto"/>
        <w:jc w:val="center"/>
        <w:rPr>
          <w:rFonts w:ascii="宋体" w:eastAsia="宋体" w:hAnsi="宋体" w:hint="eastAsia"/>
          <w:sz w:val="21"/>
          <w:szCs w:val="21"/>
        </w:rPr>
      </w:pPr>
      <w:r>
        <w:rPr>
          <w:rFonts w:ascii="宋体" w:eastAsia="宋体" w:hAnsi="宋体"/>
          <w:sz w:val="21"/>
          <w:szCs w:val="21"/>
        </w:rPr>
        <w:br w:type="page"/>
      </w:r>
      <w:bookmarkStart w:id="118" w:name="_Toc348082045"/>
      <w:bookmarkStart w:id="119" w:name="_Toc229153196"/>
      <w:r>
        <w:rPr>
          <w:rFonts w:ascii="宋体" w:eastAsia="宋体" w:hAnsi="宋体" w:hint="eastAsia"/>
          <w:sz w:val="21"/>
          <w:szCs w:val="21"/>
        </w:rPr>
        <w:lastRenderedPageBreak/>
        <w:t>十七、违约责任</w:t>
      </w:r>
      <w:bookmarkEnd w:id="118"/>
      <w:bookmarkEnd w:id="119"/>
    </w:p>
    <w:p w14:paraId="232300A5"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（一）</w:t>
      </w:r>
      <w:r>
        <w:rPr>
          <w:rFonts w:ascii="宋体" w:hAnsi="宋体" w:cs="Arial"/>
          <w:szCs w:val="21"/>
        </w:rPr>
        <w:t>基金管理人、基金托管人</w:t>
      </w:r>
      <w:r>
        <w:rPr>
          <w:rFonts w:ascii="宋体" w:hAnsi="宋体" w:cs="Arial" w:hint="eastAsia"/>
          <w:szCs w:val="21"/>
        </w:rPr>
        <w:t>不</w:t>
      </w:r>
      <w:r>
        <w:rPr>
          <w:rFonts w:ascii="宋体" w:hAnsi="宋体" w:cs="Arial"/>
          <w:szCs w:val="21"/>
        </w:rPr>
        <w:t>履行</w:t>
      </w:r>
      <w:r>
        <w:rPr>
          <w:rFonts w:ascii="宋体" w:hAnsi="宋体" w:cs="Arial" w:hint="eastAsia"/>
          <w:szCs w:val="21"/>
        </w:rPr>
        <w:t>本协议或履行本协议不符合约定的，应当承担违约责任。</w:t>
      </w:r>
    </w:p>
    <w:p w14:paraId="10DC85C6"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（二）</w:t>
      </w:r>
      <w:r>
        <w:rPr>
          <w:rFonts w:ascii="宋体" w:hAnsi="宋体" w:cs="Arial"/>
          <w:szCs w:val="21"/>
        </w:rPr>
        <w:t>基金管理人、基金托管人在履行各自职责的过程中，违反</w:t>
      </w:r>
      <w:r>
        <w:rPr>
          <w:rFonts w:ascii="宋体" w:hAnsi="宋体" w:cs="Arial" w:hint="eastAsia"/>
          <w:szCs w:val="21"/>
        </w:rPr>
        <w:t>《基金法》等法律法规的规定、《基金合同》和本托管协议</w:t>
      </w:r>
      <w:r>
        <w:rPr>
          <w:rFonts w:ascii="宋体" w:hAnsi="宋体" w:cs="Arial"/>
          <w:szCs w:val="21"/>
        </w:rPr>
        <w:t>约定，给基金财产或者基金份额持有人造成损害的，应当分别对各自的行为依法承担赔偿责任；因共同行为给基金财产或者基金份额持有人造成损害的，应当</w:t>
      </w:r>
      <w:r>
        <w:rPr>
          <w:rFonts w:ascii="宋体" w:hAnsi="宋体" w:cs="Arial" w:hint="eastAsia"/>
          <w:szCs w:val="21"/>
        </w:rPr>
        <w:t>根据各自的过错程度对由此造成的直接损失分别承担相应的</w:t>
      </w:r>
      <w:r>
        <w:rPr>
          <w:rFonts w:ascii="宋体" w:hAnsi="宋体" w:cs="Arial"/>
          <w:szCs w:val="21"/>
        </w:rPr>
        <w:t>责任。</w:t>
      </w:r>
    </w:p>
    <w:p w14:paraId="7704A982"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（三）一方当事人违约，给另一方当事人或基金财产造成损失的，应就直接损失进行赔偿，另一方当事人有权利及义务代表基金向违约方追偿。但是如发生下列情况，当事人免责：</w:t>
      </w:r>
    </w:p>
    <w:p w14:paraId="08E7E35B"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1.基金管理人和/或基金托管人按照当时有效的法律法规或中国证监会的规定作为或不作为而造成的损失等；</w:t>
      </w:r>
    </w:p>
    <w:p w14:paraId="4309C8BD"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2.基金管理人由于按照基金合同规定的投资原则而行使或不行使其投资权而造成的损失等；</w:t>
      </w:r>
    </w:p>
    <w:p w14:paraId="6966DAB7" w14:textId="77777777" w:rsidR="003360D6" w:rsidRDefault="00000000">
      <w:pPr>
        <w:adjustRightInd w:val="0"/>
        <w:snapToGrid w:val="0"/>
        <w:spacing w:line="360" w:lineRule="auto"/>
        <w:ind w:firstLineChars="200" w:firstLine="420"/>
        <w:rPr>
          <w:rFonts w:hAnsi="宋体" w:cs="Arial" w:hint="eastAsia"/>
          <w:szCs w:val="21"/>
        </w:rPr>
      </w:pPr>
      <w:r>
        <w:rPr>
          <w:rFonts w:ascii="宋体" w:hAnsi="宋体" w:cs="Arial" w:hint="eastAsia"/>
          <w:szCs w:val="21"/>
        </w:rPr>
        <w:t>3.</w:t>
      </w:r>
      <w:r>
        <w:rPr>
          <w:rFonts w:hAnsi="宋体" w:cs="Arial" w:hint="eastAsia"/>
          <w:szCs w:val="21"/>
        </w:rPr>
        <w:t>非因基金管理人、基金托管人的故意或重大过失造成的计算机系统故障、网络故障、通讯故障、电力故障、计算机病毒攻击及其它意外事故，所导致的损失等；</w:t>
      </w:r>
    </w:p>
    <w:p w14:paraId="29E19971"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4.不可抗力。</w:t>
      </w:r>
    </w:p>
    <w:p w14:paraId="4EC83A4C"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四）一方当事人违约，另一方当事人在职责范围内有义务及时采取必要的措施，尽力防止损失的扩大。没有采取适当措施致使损失进一步扩大的，不得就扩大的损失要求赔偿。非违约方因防止损失扩大而支出的合理费用由违约方承担。</w:t>
      </w:r>
    </w:p>
    <w:p w14:paraId="727162ED"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（五）违约行为虽已发生，但本托管协议能够继续履行的，在最大限度地保护基金份额持有人利益的前提下，基金管理人和基金托管人应当继续履行本协议。</w:t>
      </w:r>
      <w:proofErr w:type="gramStart"/>
      <w:r>
        <w:rPr>
          <w:rFonts w:ascii="宋体" w:hAnsi="宋体" w:cs="Arial" w:hint="eastAsia"/>
          <w:szCs w:val="21"/>
        </w:rPr>
        <w:t>若基金</w:t>
      </w:r>
      <w:proofErr w:type="gramEnd"/>
      <w:r>
        <w:rPr>
          <w:rFonts w:ascii="宋体" w:hAnsi="宋体" w:cs="Arial" w:hint="eastAsia"/>
          <w:szCs w:val="21"/>
        </w:rPr>
        <w:t>管理人或基金托管人因履行本协议而被起诉，另一方应提供合理的必要支持。</w:t>
      </w:r>
    </w:p>
    <w:p w14:paraId="02ED1ED4"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六）由于基金管理人、基金托管人不可控制的因素导致业务出现差错，基金管理人和基金托管人虽然已经采取必要、适当、合理的措施进行检查，但是未能发现错误或因前述原因未能避免或更正错误的，由此造成基金财产或投资人损失，基金管理人和基金托管人免除赔偿责任。但是基金管理人和基金托管人应积极采取必要的措施减轻或消除由此造成的影响。</w:t>
      </w:r>
    </w:p>
    <w:p w14:paraId="5DC460E3" w14:textId="77777777" w:rsidR="003360D6" w:rsidRDefault="003360D6">
      <w:pPr>
        <w:adjustRightInd w:val="0"/>
        <w:snapToGrid w:val="0"/>
        <w:spacing w:line="360" w:lineRule="auto"/>
        <w:ind w:firstLineChars="200" w:firstLine="420"/>
        <w:rPr>
          <w:rFonts w:ascii="宋体" w:hAnsi="宋体" w:cs="Arial" w:hint="eastAsia"/>
          <w:szCs w:val="21"/>
        </w:rPr>
      </w:pPr>
    </w:p>
    <w:p w14:paraId="51C5D54F" w14:textId="77777777" w:rsidR="003360D6" w:rsidRDefault="003360D6">
      <w:pPr>
        <w:adjustRightInd w:val="0"/>
        <w:snapToGrid w:val="0"/>
        <w:spacing w:line="360" w:lineRule="auto"/>
        <w:ind w:firstLineChars="200" w:firstLine="420"/>
        <w:rPr>
          <w:rFonts w:ascii="宋体" w:hAnsi="宋体" w:cs="Arial" w:hint="eastAsia"/>
          <w:szCs w:val="21"/>
        </w:rPr>
      </w:pPr>
    </w:p>
    <w:p w14:paraId="2D95174F" w14:textId="77777777" w:rsidR="003360D6" w:rsidRDefault="003360D6">
      <w:pPr>
        <w:adjustRightInd w:val="0"/>
        <w:snapToGrid w:val="0"/>
        <w:spacing w:line="360" w:lineRule="auto"/>
        <w:ind w:firstLineChars="200" w:firstLine="420"/>
        <w:rPr>
          <w:rFonts w:ascii="宋体" w:hAnsi="宋体" w:cs="Arial" w:hint="eastAsia"/>
          <w:szCs w:val="21"/>
        </w:rPr>
      </w:pPr>
    </w:p>
    <w:p w14:paraId="4BAC02D9" w14:textId="77777777" w:rsidR="003360D6" w:rsidRDefault="003360D6">
      <w:pPr>
        <w:adjustRightInd w:val="0"/>
        <w:snapToGrid w:val="0"/>
        <w:spacing w:line="360" w:lineRule="auto"/>
        <w:ind w:firstLineChars="200" w:firstLine="420"/>
        <w:rPr>
          <w:rFonts w:ascii="宋体" w:hAnsi="宋体" w:cs="Arial" w:hint="eastAsia"/>
          <w:szCs w:val="21"/>
        </w:rPr>
      </w:pPr>
    </w:p>
    <w:p w14:paraId="20F60DCF" w14:textId="77777777" w:rsidR="003360D6" w:rsidRDefault="003360D6">
      <w:pPr>
        <w:adjustRightInd w:val="0"/>
        <w:snapToGrid w:val="0"/>
        <w:spacing w:line="360" w:lineRule="auto"/>
        <w:ind w:firstLineChars="200" w:firstLine="420"/>
        <w:rPr>
          <w:rFonts w:ascii="宋体" w:hAnsi="宋体" w:cs="Arial" w:hint="eastAsia"/>
          <w:szCs w:val="21"/>
        </w:rPr>
      </w:pPr>
    </w:p>
    <w:p w14:paraId="1A7C82E9" w14:textId="77777777" w:rsidR="003360D6" w:rsidRDefault="003360D6">
      <w:pPr>
        <w:adjustRightInd w:val="0"/>
        <w:snapToGrid w:val="0"/>
        <w:spacing w:line="360" w:lineRule="auto"/>
        <w:ind w:firstLineChars="200" w:firstLine="420"/>
        <w:rPr>
          <w:rFonts w:ascii="宋体" w:hAnsi="宋体" w:cs="Arial" w:hint="eastAsia"/>
          <w:szCs w:val="21"/>
        </w:rPr>
      </w:pPr>
    </w:p>
    <w:p w14:paraId="35B6EDC7" w14:textId="77777777" w:rsidR="003360D6" w:rsidRDefault="003360D6">
      <w:pPr>
        <w:adjustRightInd w:val="0"/>
        <w:snapToGrid w:val="0"/>
        <w:spacing w:line="360" w:lineRule="auto"/>
        <w:ind w:firstLineChars="200" w:firstLine="420"/>
        <w:rPr>
          <w:rFonts w:ascii="宋体" w:hAnsi="宋体" w:cs="Arial" w:hint="eastAsia"/>
          <w:szCs w:val="21"/>
        </w:rPr>
      </w:pPr>
    </w:p>
    <w:p w14:paraId="45CCA98F" w14:textId="77777777" w:rsidR="003360D6" w:rsidRDefault="00000000">
      <w:pPr>
        <w:pStyle w:val="2"/>
        <w:spacing w:beforeLines="100" w:before="312" w:afterLines="50" w:after="156" w:line="360" w:lineRule="auto"/>
        <w:jc w:val="center"/>
        <w:rPr>
          <w:rFonts w:ascii="宋体" w:eastAsia="宋体" w:hAnsi="宋体" w:hint="eastAsia"/>
          <w:sz w:val="21"/>
          <w:szCs w:val="21"/>
        </w:rPr>
      </w:pPr>
      <w:bookmarkStart w:id="120" w:name="_Toc348082046"/>
      <w:bookmarkStart w:id="121" w:name="_Toc229153197"/>
      <w:r>
        <w:rPr>
          <w:rFonts w:ascii="宋体" w:eastAsia="宋体" w:hAnsi="宋体" w:hint="eastAsia"/>
          <w:sz w:val="21"/>
          <w:szCs w:val="21"/>
        </w:rPr>
        <w:t>十八、争议解决方式</w:t>
      </w:r>
      <w:bookmarkEnd w:id="120"/>
      <w:bookmarkEnd w:id="121"/>
    </w:p>
    <w:p w14:paraId="5791AA9D" w14:textId="77777777" w:rsidR="003360D6" w:rsidRDefault="00000000">
      <w:pPr>
        <w:adjustRightInd w:val="0"/>
        <w:snapToGrid w:val="0"/>
        <w:spacing w:line="360" w:lineRule="auto"/>
        <w:ind w:firstLineChars="200" w:firstLine="422"/>
        <w:rPr>
          <w:rFonts w:ascii="宋体" w:hAnsi="宋体" w:cs="Arial" w:hint="eastAsia"/>
          <w:b/>
          <w:bCs/>
          <w:szCs w:val="21"/>
        </w:rPr>
      </w:pPr>
      <w:r>
        <w:rPr>
          <w:rFonts w:ascii="宋体" w:hAnsi="宋体" w:cs="Arial" w:hint="eastAsia"/>
          <w:b/>
          <w:bCs/>
          <w:szCs w:val="21"/>
        </w:rPr>
        <w:t>双方当事人同意，因本协议而产生的或与基金合同有关的一切争议，如经友好协商未能解决的，均应提交上海国际经济贸易仲裁委员会，按照上海国际经济贸易仲裁委员会届时有效的仲裁规则进行仲裁，仲裁地点为上海市。仲裁裁决是终局的，并对双方当事人具有约束力。除非仲裁裁决另有裁定，仲裁费用和律师费用由败诉方承担。</w:t>
      </w:r>
    </w:p>
    <w:p w14:paraId="0A4B36CF" w14:textId="77777777" w:rsidR="003360D6" w:rsidRDefault="00000000">
      <w:pPr>
        <w:adjustRightInd w:val="0"/>
        <w:snapToGrid w:val="0"/>
        <w:spacing w:line="360" w:lineRule="auto"/>
        <w:ind w:firstLineChars="200" w:firstLine="422"/>
        <w:rPr>
          <w:rFonts w:ascii="宋体" w:hAnsi="宋体" w:cs="Arial" w:hint="eastAsia"/>
          <w:b/>
          <w:bCs/>
          <w:szCs w:val="21"/>
        </w:rPr>
      </w:pPr>
      <w:r>
        <w:rPr>
          <w:rFonts w:ascii="宋体" w:hAnsi="宋体" w:cs="Arial" w:hint="eastAsia"/>
          <w:b/>
          <w:bCs/>
          <w:szCs w:val="21"/>
        </w:rPr>
        <w:t>争议处理期间，双方当事人应恪守基金管理人和基金托管人职责，各自继续忠实、勤勉、尽责地履行基金合同和本托管协议规定的义务，维护基金份额持有人的合法权益。</w:t>
      </w:r>
    </w:p>
    <w:p w14:paraId="02825AA6" w14:textId="77777777" w:rsidR="003360D6" w:rsidRDefault="00000000">
      <w:pPr>
        <w:adjustRightInd w:val="0"/>
        <w:snapToGrid w:val="0"/>
        <w:spacing w:line="360" w:lineRule="auto"/>
        <w:ind w:firstLineChars="200" w:firstLine="422"/>
        <w:rPr>
          <w:rFonts w:ascii="宋体" w:hAnsi="宋体" w:cs="Arial" w:hint="eastAsia"/>
          <w:b/>
          <w:bCs/>
          <w:szCs w:val="21"/>
        </w:rPr>
      </w:pPr>
      <w:r>
        <w:rPr>
          <w:rFonts w:ascii="宋体" w:hAnsi="宋体" w:cs="Arial" w:hint="eastAsia"/>
          <w:b/>
          <w:bCs/>
          <w:szCs w:val="21"/>
        </w:rPr>
        <w:t>本协议受中华人民共和国法律（为本托管协议之目的，不含港澳台立法）管辖并从其解释。</w:t>
      </w:r>
    </w:p>
    <w:p w14:paraId="5DDC55AA" w14:textId="77777777" w:rsidR="003360D6" w:rsidRDefault="003360D6">
      <w:pPr>
        <w:adjustRightInd w:val="0"/>
        <w:snapToGrid w:val="0"/>
        <w:spacing w:line="360" w:lineRule="auto"/>
        <w:rPr>
          <w:rFonts w:ascii="宋体" w:hAnsi="宋体" w:cs="Arial" w:hint="eastAsia"/>
          <w:szCs w:val="21"/>
        </w:rPr>
      </w:pPr>
    </w:p>
    <w:p w14:paraId="68CF3FE9" w14:textId="77777777" w:rsidR="003360D6" w:rsidRDefault="00000000">
      <w:pPr>
        <w:pStyle w:val="2"/>
        <w:spacing w:beforeLines="100" w:before="312" w:afterLines="50" w:after="156" w:line="360" w:lineRule="auto"/>
        <w:jc w:val="center"/>
        <w:rPr>
          <w:rFonts w:ascii="宋体" w:eastAsia="宋体" w:hAnsi="宋体" w:hint="eastAsia"/>
          <w:sz w:val="21"/>
          <w:szCs w:val="21"/>
        </w:rPr>
      </w:pPr>
      <w:r>
        <w:rPr>
          <w:rFonts w:ascii="宋体" w:eastAsia="宋体" w:hAnsi="宋体"/>
          <w:sz w:val="21"/>
          <w:szCs w:val="21"/>
        </w:rPr>
        <w:br w:type="page"/>
      </w:r>
      <w:bookmarkStart w:id="122" w:name="_Toc348082047"/>
      <w:bookmarkStart w:id="123" w:name="_Toc229153198"/>
      <w:r>
        <w:rPr>
          <w:rFonts w:ascii="宋体" w:eastAsia="宋体" w:hAnsi="宋体" w:hint="eastAsia"/>
          <w:sz w:val="21"/>
          <w:szCs w:val="21"/>
        </w:rPr>
        <w:lastRenderedPageBreak/>
        <w:t>十九、托管协议的效力</w:t>
      </w:r>
      <w:bookmarkEnd w:id="122"/>
      <w:bookmarkEnd w:id="123"/>
    </w:p>
    <w:p w14:paraId="71D3C6BA"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双方对托管协议的效力约定如下：</w:t>
      </w:r>
    </w:p>
    <w:p w14:paraId="647BBBCA"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一）基金管理人在向中国证监会申请发售基金份额时提交的托管协议草案，应经托管协议当事人双方盖章以及双方法定代表人或授权代表签字或盖章，协议当事人双方根据中国证监会的意见修改并正式签署托管协议。</w:t>
      </w:r>
    </w:p>
    <w:p w14:paraId="79E015B6"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（二）托管协议自基金合同成立之日起成立，自基金合同生效之日起生效。托管协议的有效期自其生效之日起至基金财产清算结果报中国证监会备案并公告之日止。</w:t>
      </w:r>
    </w:p>
    <w:p w14:paraId="24ADE573"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（三）托管协议自生效之日起对托管协议当事人具有同等的法律约束力。</w:t>
      </w:r>
    </w:p>
    <w:p w14:paraId="3E4829D8" w14:textId="77777777" w:rsidR="003360D6" w:rsidRDefault="00000000">
      <w:pPr>
        <w:adjustRightInd w:val="0"/>
        <w:snapToGrid w:val="0"/>
        <w:spacing w:line="360" w:lineRule="auto"/>
        <w:ind w:firstLineChars="200" w:firstLine="420"/>
        <w:rPr>
          <w:rFonts w:ascii="宋体" w:hAnsi="宋体" w:hint="eastAsia"/>
          <w:szCs w:val="21"/>
        </w:rPr>
      </w:pPr>
      <w:r>
        <w:rPr>
          <w:rFonts w:ascii="宋体" w:hAnsi="宋体" w:cs="Arial" w:hint="eastAsia"/>
          <w:szCs w:val="21"/>
        </w:rPr>
        <w:t>（四）本协议一式</w:t>
      </w:r>
      <w:r>
        <w:rPr>
          <w:rFonts w:hint="eastAsia"/>
          <w:szCs w:val="21"/>
        </w:rPr>
        <w:t>三</w:t>
      </w:r>
      <w:r>
        <w:rPr>
          <w:rFonts w:ascii="宋体" w:hAnsi="宋体" w:cs="Arial" w:hint="eastAsia"/>
          <w:szCs w:val="21"/>
        </w:rPr>
        <w:t>份，协议双方各持一份，由基金管理人根据需要上报监管机构一份，每份具有同等法律效力。</w:t>
      </w:r>
    </w:p>
    <w:p w14:paraId="717A1EBB" w14:textId="77777777" w:rsidR="003360D6" w:rsidRDefault="003360D6">
      <w:pPr>
        <w:adjustRightInd w:val="0"/>
        <w:snapToGrid w:val="0"/>
        <w:spacing w:line="360" w:lineRule="auto"/>
        <w:rPr>
          <w:rFonts w:ascii="宋体" w:hAnsi="宋体" w:cs="Arial" w:hint="eastAsia"/>
          <w:szCs w:val="21"/>
        </w:rPr>
      </w:pPr>
    </w:p>
    <w:p w14:paraId="74F9CEE9" w14:textId="77777777" w:rsidR="003360D6" w:rsidRDefault="00000000">
      <w:pPr>
        <w:pStyle w:val="2"/>
        <w:spacing w:beforeLines="100" w:before="312" w:afterLines="50" w:after="156" w:line="360" w:lineRule="auto"/>
        <w:jc w:val="center"/>
        <w:rPr>
          <w:rFonts w:ascii="宋体" w:eastAsia="宋体" w:hAnsi="宋体" w:hint="eastAsia"/>
          <w:sz w:val="21"/>
          <w:szCs w:val="21"/>
        </w:rPr>
      </w:pPr>
      <w:r>
        <w:rPr>
          <w:rFonts w:ascii="宋体" w:eastAsia="宋体" w:hAnsi="宋体"/>
          <w:sz w:val="21"/>
          <w:szCs w:val="21"/>
        </w:rPr>
        <w:br w:type="page"/>
      </w:r>
      <w:bookmarkStart w:id="124" w:name="_Toc348082048"/>
      <w:bookmarkStart w:id="125" w:name="_Toc229153199"/>
      <w:r>
        <w:rPr>
          <w:rFonts w:ascii="宋体" w:eastAsia="宋体" w:hAnsi="宋体" w:hint="eastAsia"/>
          <w:sz w:val="21"/>
          <w:szCs w:val="21"/>
        </w:rPr>
        <w:lastRenderedPageBreak/>
        <w:t>二十、其他事项</w:t>
      </w:r>
      <w:bookmarkEnd w:id="124"/>
      <w:bookmarkEnd w:id="125"/>
    </w:p>
    <w:p w14:paraId="2E83BEE6"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如发生有权司法机关依法冻结基金份额持有人的基金份额时，基金管理人应予以配合，承担司法协助义务。</w:t>
      </w:r>
    </w:p>
    <w:p w14:paraId="0F3F59F2"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除本协议有明确定义外，本协议的用语定义适用基金合同的约定。本协议未尽事宜，当事人依据基金合同、有关法律法规等规定协商办理。</w:t>
      </w:r>
    </w:p>
    <w:p w14:paraId="0C6A4AF8" w14:textId="77777777" w:rsidR="003360D6" w:rsidRDefault="00000000">
      <w:pPr>
        <w:pStyle w:val="2"/>
        <w:spacing w:beforeLines="100" w:before="312" w:afterLines="50" w:after="156" w:line="360" w:lineRule="auto"/>
        <w:jc w:val="center"/>
        <w:rPr>
          <w:rFonts w:ascii="宋体" w:eastAsia="宋体" w:hAnsi="宋体" w:hint="eastAsia"/>
          <w:sz w:val="21"/>
          <w:szCs w:val="21"/>
        </w:rPr>
      </w:pPr>
      <w:r>
        <w:rPr>
          <w:rFonts w:ascii="宋体" w:eastAsia="宋体" w:hAnsi="宋体"/>
          <w:sz w:val="21"/>
          <w:szCs w:val="21"/>
        </w:rPr>
        <w:br w:type="page"/>
      </w:r>
      <w:bookmarkStart w:id="126" w:name="_Toc348082049"/>
      <w:bookmarkStart w:id="127" w:name="_Toc229153200"/>
      <w:r>
        <w:rPr>
          <w:rFonts w:ascii="宋体" w:eastAsia="宋体" w:hAnsi="宋体" w:hint="eastAsia"/>
          <w:sz w:val="21"/>
          <w:szCs w:val="21"/>
        </w:rPr>
        <w:lastRenderedPageBreak/>
        <w:t>二十一、托管协议的签订</w:t>
      </w:r>
      <w:bookmarkEnd w:id="126"/>
      <w:bookmarkEnd w:id="127"/>
    </w:p>
    <w:p w14:paraId="64CACC75" w14:textId="77777777" w:rsidR="003360D6" w:rsidRDefault="00000000">
      <w:pPr>
        <w:adjustRightInd w:val="0"/>
        <w:snapToGrid w:val="0"/>
        <w:spacing w:line="360" w:lineRule="auto"/>
        <w:ind w:firstLineChars="200" w:firstLine="420"/>
        <w:rPr>
          <w:rFonts w:ascii="宋体" w:hAnsi="宋体" w:cs="Arial" w:hint="eastAsia"/>
          <w:szCs w:val="21"/>
        </w:rPr>
      </w:pPr>
      <w:r>
        <w:rPr>
          <w:rFonts w:ascii="宋体" w:hAnsi="宋体" w:cs="Arial" w:hint="eastAsia"/>
          <w:szCs w:val="21"/>
        </w:rPr>
        <w:t>本协议双方当事人盖章及双方法定代表人或授权代表签字或盖章、签订地、签订日</w:t>
      </w:r>
    </w:p>
    <w:p w14:paraId="53127F77" w14:textId="77777777" w:rsidR="003360D6" w:rsidRDefault="00000000">
      <w:pPr>
        <w:rPr>
          <w:szCs w:val="21"/>
        </w:rPr>
      </w:pPr>
      <w:r>
        <w:rPr>
          <w:rFonts w:ascii="宋体" w:hAnsi="宋体" w:cs="Arial"/>
          <w:szCs w:val="21"/>
        </w:rPr>
        <w:br w:type="page"/>
      </w:r>
    </w:p>
    <w:bookmarkEnd w:id="3"/>
    <w:p w14:paraId="07B0E5B4" w14:textId="5BF13FC8" w:rsidR="003360D6" w:rsidRDefault="00000000" w:rsidP="008C2B40">
      <w:pPr>
        <w:spacing w:line="240" w:lineRule="auto"/>
        <w:ind w:right="26"/>
        <w:rPr>
          <w:rFonts w:ascii="宋体" w:hAnsi="宋体" w:hint="eastAsia"/>
        </w:rPr>
      </w:pPr>
      <w:r>
        <w:rPr>
          <w:rFonts w:ascii="宋体" w:hAnsi="宋体" w:hint="eastAsia"/>
        </w:rPr>
        <w:lastRenderedPageBreak/>
        <w:t>（本页为《富国稳悦回报混合型证券投资基金托管协议》签署页，无正文）</w:t>
      </w:r>
    </w:p>
    <w:p w14:paraId="2868EC54" w14:textId="77777777" w:rsidR="003360D6" w:rsidRDefault="003360D6" w:rsidP="008C2B40">
      <w:pPr>
        <w:spacing w:line="240" w:lineRule="auto"/>
        <w:rPr>
          <w:rFonts w:ascii="宋体" w:hAnsi="宋体" w:hint="eastAsia"/>
        </w:rPr>
      </w:pPr>
    </w:p>
    <w:p w14:paraId="5C3F265C" w14:textId="77777777" w:rsidR="003360D6" w:rsidRDefault="003360D6" w:rsidP="008C2B40">
      <w:pPr>
        <w:spacing w:line="240" w:lineRule="auto"/>
        <w:rPr>
          <w:rFonts w:ascii="宋体" w:hAnsi="宋体" w:hint="eastAsia"/>
        </w:rPr>
      </w:pPr>
    </w:p>
    <w:p w14:paraId="7DAF7B13" w14:textId="77777777" w:rsidR="003360D6" w:rsidRDefault="00000000" w:rsidP="008C2B40">
      <w:pPr>
        <w:spacing w:line="240" w:lineRule="auto"/>
        <w:ind w:right="26"/>
        <w:rPr>
          <w:rFonts w:ascii="宋体" w:hAnsi="宋体" w:hint="eastAsia"/>
        </w:rPr>
      </w:pPr>
      <w:r>
        <w:rPr>
          <w:rFonts w:ascii="宋体" w:hAnsi="宋体" w:hint="eastAsia"/>
        </w:rPr>
        <w:t>基金管理人：</w:t>
      </w:r>
      <w:r>
        <w:rPr>
          <w:rFonts w:ascii="宋体" w:hAnsi="宋体"/>
        </w:rPr>
        <w:t>富国</w:t>
      </w:r>
      <w:r>
        <w:rPr>
          <w:rFonts w:ascii="宋体" w:hAnsi="宋体" w:hint="eastAsia"/>
        </w:rPr>
        <w:t>基金管理有限公司（盖章）</w:t>
      </w:r>
    </w:p>
    <w:p w14:paraId="50117812" w14:textId="77777777" w:rsidR="003360D6" w:rsidRDefault="003360D6" w:rsidP="008C2B40">
      <w:pPr>
        <w:spacing w:line="240" w:lineRule="auto"/>
        <w:ind w:right="26"/>
        <w:rPr>
          <w:rFonts w:ascii="宋体" w:hAnsi="宋体" w:hint="eastAsia"/>
        </w:rPr>
      </w:pPr>
    </w:p>
    <w:p w14:paraId="4938213B" w14:textId="77777777" w:rsidR="003360D6" w:rsidRDefault="003360D6" w:rsidP="008C2B40">
      <w:pPr>
        <w:spacing w:line="240" w:lineRule="auto"/>
        <w:ind w:right="26"/>
        <w:rPr>
          <w:rFonts w:ascii="宋体" w:hAnsi="宋体" w:hint="eastAsia"/>
        </w:rPr>
      </w:pPr>
    </w:p>
    <w:p w14:paraId="095FB458" w14:textId="77777777" w:rsidR="003360D6" w:rsidRDefault="00000000" w:rsidP="008C2B40">
      <w:pPr>
        <w:spacing w:line="240" w:lineRule="auto"/>
        <w:ind w:right="26"/>
        <w:rPr>
          <w:rFonts w:ascii="宋体" w:hAnsi="宋体" w:hint="eastAsia"/>
        </w:rPr>
      </w:pPr>
      <w:r>
        <w:rPr>
          <w:rFonts w:ascii="宋体" w:hAnsi="宋体" w:hint="eastAsia"/>
        </w:rPr>
        <w:t xml:space="preserve">法定代表人或授权代表：                   </w:t>
      </w:r>
    </w:p>
    <w:p w14:paraId="37965AA1" w14:textId="77777777" w:rsidR="003360D6" w:rsidRDefault="003360D6" w:rsidP="008C2B40">
      <w:pPr>
        <w:spacing w:line="240" w:lineRule="auto"/>
        <w:ind w:right="26"/>
        <w:rPr>
          <w:rFonts w:ascii="宋体" w:hAnsi="宋体" w:hint="eastAsia"/>
        </w:rPr>
      </w:pPr>
    </w:p>
    <w:p w14:paraId="1E1F90FB" w14:textId="77777777" w:rsidR="003360D6" w:rsidRDefault="003360D6" w:rsidP="008C2B40">
      <w:pPr>
        <w:spacing w:line="240" w:lineRule="auto"/>
        <w:ind w:right="26"/>
        <w:rPr>
          <w:rFonts w:ascii="宋体" w:hAnsi="宋体" w:hint="eastAsia"/>
        </w:rPr>
      </w:pPr>
    </w:p>
    <w:p w14:paraId="3C09B364" w14:textId="77777777" w:rsidR="003360D6" w:rsidRDefault="003360D6" w:rsidP="008C2B40">
      <w:pPr>
        <w:spacing w:line="240" w:lineRule="auto"/>
        <w:ind w:right="26"/>
        <w:rPr>
          <w:rFonts w:ascii="宋体" w:hAnsi="宋体" w:hint="eastAsia"/>
        </w:rPr>
      </w:pPr>
    </w:p>
    <w:p w14:paraId="5B33E4BC" w14:textId="77777777" w:rsidR="003360D6" w:rsidRDefault="003360D6" w:rsidP="008C2B40">
      <w:pPr>
        <w:spacing w:line="240" w:lineRule="auto"/>
        <w:ind w:right="26"/>
        <w:rPr>
          <w:rFonts w:ascii="宋体" w:hAnsi="宋体" w:hint="eastAsia"/>
        </w:rPr>
      </w:pPr>
    </w:p>
    <w:p w14:paraId="70DADF3A" w14:textId="77777777" w:rsidR="003360D6" w:rsidRDefault="003360D6" w:rsidP="008C2B40">
      <w:pPr>
        <w:spacing w:line="240" w:lineRule="auto"/>
        <w:ind w:right="26"/>
        <w:rPr>
          <w:rFonts w:ascii="宋体" w:hAnsi="宋体" w:hint="eastAsia"/>
        </w:rPr>
      </w:pPr>
    </w:p>
    <w:p w14:paraId="17B2B998" w14:textId="77777777" w:rsidR="003360D6" w:rsidRDefault="00000000" w:rsidP="008C2B40">
      <w:pPr>
        <w:spacing w:line="240" w:lineRule="auto"/>
        <w:ind w:right="26"/>
        <w:rPr>
          <w:rFonts w:ascii="宋体" w:hAnsi="宋体" w:hint="eastAsia"/>
        </w:rPr>
      </w:pPr>
      <w:r>
        <w:rPr>
          <w:rFonts w:ascii="宋体" w:hAnsi="宋体" w:hint="eastAsia"/>
        </w:rPr>
        <w:t>基金托管人：南京银行股份有限公司（盖章）</w:t>
      </w:r>
    </w:p>
    <w:p w14:paraId="3E86CA12" w14:textId="77777777" w:rsidR="003360D6" w:rsidRDefault="003360D6" w:rsidP="008C2B40">
      <w:pPr>
        <w:spacing w:line="240" w:lineRule="auto"/>
        <w:ind w:right="26"/>
        <w:rPr>
          <w:rFonts w:ascii="宋体" w:hAnsi="宋体" w:hint="eastAsia"/>
        </w:rPr>
      </w:pPr>
    </w:p>
    <w:p w14:paraId="5402E3D0" w14:textId="77777777" w:rsidR="003360D6" w:rsidRDefault="003360D6" w:rsidP="008C2B40">
      <w:pPr>
        <w:spacing w:line="240" w:lineRule="auto"/>
        <w:ind w:right="26"/>
        <w:rPr>
          <w:rFonts w:ascii="宋体" w:hAnsi="宋体" w:hint="eastAsia"/>
        </w:rPr>
      </w:pPr>
    </w:p>
    <w:p w14:paraId="0DEA8326" w14:textId="77777777" w:rsidR="003360D6" w:rsidRDefault="00000000" w:rsidP="008C2B40">
      <w:pPr>
        <w:spacing w:line="240" w:lineRule="auto"/>
        <w:ind w:right="26"/>
        <w:rPr>
          <w:rFonts w:ascii="宋体" w:hAnsi="宋体" w:hint="eastAsia"/>
        </w:rPr>
      </w:pPr>
      <w:r>
        <w:rPr>
          <w:rFonts w:ascii="宋体" w:hAnsi="宋体" w:hint="eastAsia"/>
        </w:rPr>
        <w:t xml:space="preserve">法定代表人或授权代表：                   </w:t>
      </w:r>
    </w:p>
    <w:p w14:paraId="78B60173" w14:textId="77777777" w:rsidR="003360D6" w:rsidRDefault="003360D6" w:rsidP="008C2B40">
      <w:pPr>
        <w:spacing w:line="240" w:lineRule="auto"/>
        <w:ind w:right="26"/>
        <w:rPr>
          <w:rFonts w:ascii="宋体" w:hAnsi="宋体" w:hint="eastAsia"/>
          <w:b/>
          <w:szCs w:val="28"/>
        </w:rPr>
      </w:pPr>
    </w:p>
    <w:p w14:paraId="79627EE7" w14:textId="77777777" w:rsidR="003360D6" w:rsidRDefault="003360D6" w:rsidP="008C2B40">
      <w:pPr>
        <w:spacing w:line="240" w:lineRule="auto"/>
        <w:ind w:right="26"/>
        <w:rPr>
          <w:rFonts w:ascii="宋体" w:hAnsi="宋体" w:hint="eastAsia"/>
          <w:b/>
          <w:szCs w:val="28"/>
        </w:rPr>
      </w:pPr>
    </w:p>
    <w:p w14:paraId="52AB53EF" w14:textId="77777777" w:rsidR="003360D6" w:rsidRDefault="003360D6" w:rsidP="008C2B40">
      <w:pPr>
        <w:spacing w:line="240" w:lineRule="auto"/>
        <w:ind w:right="26"/>
        <w:rPr>
          <w:rFonts w:ascii="宋体" w:hAnsi="宋体" w:hint="eastAsia"/>
          <w:b/>
          <w:szCs w:val="28"/>
        </w:rPr>
      </w:pPr>
    </w:p>
    <w:p w14:paraId="11BFE6F2" w14:textId="77777777" w:rsidR="003360D6" w:rsidRDefault="003360D6" w:rsidP="008C2B40">
      <w:pPr>
        <w:spacing w:line="240" w:lineRule="auto"/>
        <w:ind w:right="26"/>
        <w:rPr>
          <w:rFonts w:ascii="宋体" w:hAnsi="宋体" w:hint="eastAsia"/>
          <w:b/>
          <w:szCs w:val="28"/>
        </w:rPr>
      </w:pPr>
    </w:p>
    <w:p w14:paraId="0A0B93B4" w14:textId="77777777" w:rsidR="003360D6" w:rsidRDefault="003360D6" w:rsidP="008C2B40">
      <w:pPr>
        <w:spacing w:line="240" w:lineRule="auto"/>
        <w:ind w:right="26"/>
        <w:rPr>
          <w:rFonts w:ascii="宋体" w:hAnsi="宋体" w:hint="eastAsia"/>
          <w:b/>
          <w:szCs w:val="28"/>
        </w:rPr>
      </w:pPr>
    </w:p>
    <w:p w14:paraId="792E264C" w14:textId="77777777" w:rsidR="003360D6" w:rsidRDefault="003360D6" w:rsidP="008C2B40">
      <w:pPr>
        <w:spacing w:line="240" w:lineRule="auto"/>
        <w:ind w:right="26"/>
        <w:rPr>
          <w:rFonts w:ascii="宋体" w:hAnsi="宋体" w:hint="eastAsia"/>
          <w:b/>
          <w:szCs w:val="28"/>
        </w:rPr>
      </w:pPr>
    </w:p>
    <w:p w14:paraId="7A801D81" w14:textId="77777777" w:rsidR="003360D6" w:rsidRDefault="00000000" w:rsidP="008C2B40">
      <w:pPr>
        <w:adjustRightInd w:val="0"/>
        <w:snapToGrid w:val="0"/>
        <w:spacing w:line="240" w:lineRule="auto"/>
      </w:pPr>
      <w:r>
        <w:rPr>
          <w:rFonts w:hint="eastAsia"/>
        </w:rPr>
        <w:t>签订日：</w:t>
      </w:r>
    </w:p>
    <w:p w14:paraId="1FF8CD49" w14:textId="77777777" w:rsidR="003360D6" w:rsidRDefault="00000000" w:rsidP="008C2B40">
      <w:pPr>
        <w:adjustRightInd w:val="0"/>
        <w:snapToGrid w:val="0"/>
        <w:spacing w:line="240" w:lineRule="auto"/>
        <w:rPr>
          <w:rFonts w:ascii="宋体" w:hAnsi="宋体" w:cs="Arial" w:hint="eastAsia"/>
          <w:sz w:val="18"/>
          <w:szCs w:val="21"/>
        </w:rPr>
      </w:pPr>
      <w:r>
        <w:rPr>
          <w:rFonts w:hint="eastAsia"/>
        </w:rPr>
        <w:t xml:space="preserve">签订地：　</w:t>
      </w:r>
    </w:p>
    <w:p w14:paraId="26E820E5" w14:textId="77777777" w:rsidR="003360D6" w:rsidRDefault="003360D6" w:rsidP="008C2B40">
      <w:pPr>
        <w:adjustRightInd w:val="0"/>
        <w:snapToGrid w:val="0"/>
        <w:spacing w:line="240" w:lineRule="auto"/>
        <w:ind w:firstLineChars="200" w:firstLine="420"/>
        <w:rPr>
          <w:rFonts w:ascii="宋体" w:hAnsi="宋体" w:cs="Arial" w:hint="eastAsia"/>
          <w:szCs w:val="21"/>
        </w:rPr>
      </w:pPr>
    </w:p>
    <w:sectPr w:rsidR="003360D6">
      <w:headerReference w:type="default" r:id="rId41"/>
      <w:footerReference w:type="default" r:id="rId42"/>
      <w:pgSz w:w="11906" w:h="16838"/>
      <w:pgMar w:top="1418" w:right="1701" w:bottom="1418"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E78EE" w14:textId="77777777" w:rsidR="00253CCC" w:rsidRDefault="00253CCC">
      <w:pPr>
        <w:spacing w:after="0" w:line="240" w:lineRule="auto"/>
      </w:pPr>
      <w:r>
        <w:separator/>
      </w:r>
    </w:p>
  </w:endnote>
  <w:endnote w:type="continuationSeparator" w:id="0">
    <w:p w14:paraId="61724542" w14:textId="77777777" w:rsidR="00253CCC" w:rsidRDefault="00253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仿宋简体">
    <w:altName w:val="微软雅黑"/>
    <w:charset w:val="86"/>
    <w:family w:val="auto"/>
    <w:pitch w:val="default"/>
    <w:sig w:usb0="A00002BF" w:usb1="184F6CFA"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楷体_GB2312">
    <w:altName w:val="楷体"/>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4A201" w14:textId="77777777" w:rsidR="003360D6" w:rsidRDefault="00000000">
    <w:pPr>
      <w:pStyle w:val="ab"/>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3E7ED75" w14:textId="77777777" w:rsidR="003360D6" w:rsidRDefault="003360D6">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FFF13" w14:textId="77777777" w:rsidR="003360D6" w:rsidRDefault="00000000">
    <w:pPr>
      <w:pStyle w:val="ab"/>
      <w:jc w:val="center"/>
    </w:pPr>
    <w:r>
      <w:fldChar w:fldCharType="begin"/>
    </w:r>
    <w:r>
      <w:instrText xml:space="preserve"> PAGE   \* MERGEFORMAT </w:instrText>
    </w:r>
    <w:r>
      <w:fldChar w:fldCharType="separate"/>
    </w:r>
    <w:r>
      <w:t>4</w:t>
    </w:r>
    <w:r>
      <w:t>7</w:t>
    </w:r>
    <w:r>
      <w:fldChar w:fldCharType="end"/>
    </w:r>
  </w:p>
  <w:p w14:paraId="3C694269" w14:textId="77777777" w:rsidR="003360D6" w:rsidRDefault="003360D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97751" w14:textId="77777777" w:rsidR="00253CCC" w:rsidRDefault="00253CCC">
      <w:pPr>
        <w:spacing w:after="0" w:line="240" w:lineRule="auto"/>
      </w:pPr>
      <w:r>
        <w:separator/>
      </w:r>
    </w:p>
  </w:footnote>
  <w:footnote w:type="continuationSeparator" w:id="0">
    <w:p w14:paraId="60629670" w14:textId="77777777" w:rsidR="00253CCC" w:rsidRDefault="00253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D9CAB" w14:textId="25F4EAB4" w:rsidR="003360D6" w:rsidRDefault="00000000">
    <w:pPr>
      <w:pStyle w:val="ad"/>
      <w:jc w:val="right"/>
      <w:rPr>
        <w:lang w:val="en-US"/>
      </w:rPr>
    </w:pPr>
    <w:proofErr w:type="gramStart"/>
    <w:r>
      <w:rPr>
        <w:rFonts w:ascii="宋体" w:hAnsi="宋体" w:hint="eastAsia"/>
      </w:rPr>
      <w:t>富国稳</w:t>
    </w:r>
    <w:r>
      <w:rPr>
        <w:rFonts w:ascii="宋体" w:hAnsi="宋体" w:hint="eastAsia"/>
        <w:lang w:val="en-US"/>
      </w:rPr>
      <w:t>悦</w:t>
    </w:r>
    <w:r>
      <w:rPr>
        <w:rFonts w:ascii="宋体" w:hAnsi="宋体" w:hint="eastAsia"/>
      </w:rPr>
      <w:t>回报</w:t>
    </w:r>
    <w:proofErr w:type="gramEnd"/>
    <w:r>
      <w:rPr>
        <w:rFonts w:ascii="宋体" w:hAnsi="宋体" w:hint="eastAsia"/>
      </w:rPr>
      <w:t>混合型证券投资基金托管协议</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proofState w:spelling="clean" w:grammar="clean"/>
  <w:trackRevisions/>
  <w:doNotTrackMove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E74"/>
    <w:rsid w:val="00001AB6"/>
    <w:rsid w:val="00001E42"/>
    <w:rsid w:val="00002977"/>
    <w:rsid w:val="00003DDD"/>
    <w:rsid w:val="00004215"/>
    <w:rsid w:val="00006658"/>
    <w:rsid w:val="00006E37"/>
    <w:rsid w:val="00007C2F"/>
    <w:rsid w:val="00010125"/>
    <w:rsid w:val="0001044F"/>
    <w:rsid w:val="000104B6"/>
    <w:rsid w:val="000149DC"/>
    <w:rsid w:val="00014D21"/>
    <w:rsid w:val="00016A01"/>
    <w:rsid w:val="00017201"/>
    <w:rsid w:val="00022D6C"/>
    <w:rsid w:val="000235BC"/>
    <w:rsid w:val="00023EE9"/>
    <w:rsid w:val="00024205"/>
    <w:rsid w:val="00026CC9"/>
    <w:rsid w:val="00027D10"/>
    <w:rsid w:val="00031A4E"/>
    <w:rsid w:val="00031D78"/>
    <w:rsid w:val="00031D96"/>
    <w:rsid w:val="00035F02"/>
    <w:rsid w:val="00041EA9"/>
    <w:rsid w:val="00042898"/>
    <w:rsid w:val="00042EDB"/>
    <w:rsid w:val="00043D20"/>
    <w:rsid w:val="000441B2"/>
    <w:rsid w:val="00045017"/>
    <w:rsid w:val="00045690"/>
    <w:rsid w:val="00046DB8"/>
    <w:rsid w:val="00047948"/>
    <w:rsid w:val="00047EDD"/>
    <w:rsid w:val="00052827"/>
    <w:rsid w:val="00052BEE"/>
    <w:rsid w:val="00052D58"/>
    <w:rsid w:val="00053108"/>
    <w:rsid w:val="00057887"/>
    <w:rsid w:val="00057BC3"/>
    <w:rsid w:val="00061E59"/>
    <w:rsid w:val="000620AE"/>
    <w:rsid w:val="00064C7A"/>
    <w:rsid w:val="00064E77"/>
    <w:rsid w:val="00066315"/>
    <w:rsid w:val="0006703B"/>
    <w:rsid w:val="0006718A"/>
    <w:rsid w:val="00067DA7"/>
    <w:rsid w:val="000706F6"/>
    <w:rsid w:val="00071723"/>
    <w:rsid w:val="00072176"/>
    <w:rsid w:val="0007281A"/>
    <w:rsid w:val="00072AD9"/>
    <w:rsid w:val="00073017"/>
    <w:rsid w:val="00074758"/>
    <w:rsid w:val="00074F42"/>
    <w:rsid w:val="00076C89"/>
    <w:rsid w:val="0007714A"/>
    <w:rsid w:val="000801E5"/>
    <w:rsid w:val="00080AFA"/>
    <w:rsid w:val="00080E58"/>
    <w:rsid w:val="0008111E"/>
    <w:rsid w:val="0008180E"/>
    <w:rsid w:val="00082FA8"/>
    <w:rsid w:val="00083AAE"/>
    <w:rsid w:val="0009016D"/>
    <w:rsid w:val="00090442"/>
    <w:rsid w:val="00090707"/>
    <w:rsid w:val="00091E90"/>
    <w:rsid w:val="0009373C"/>
    <w:rsid w:val="00095055"/>
    <w:rsid w:val="00097239"/>
    <w:rsid w:val="000A1593"/>
    <w:rsid w:val="000A1777"/>
    <w:rsid w:val="000A20C8"/>
    <w:rsid w:val="000A2162"/>
    <w:rsid w:val="000B3268"/>
    <w:rsid w:val="000B3927"/>
    <w:rsid w:val="000B3957"/>
    <w:rsid w:val="000B6AA8"/>
    <w:rsid w:val="000C032E"/>
    <w:rsid w:val="000C100E"/>
    <w:rsid w:val="000C1D2F"/>
    <w:rsid w:val="000C1FA6"/>
    <w:rsid w:val="000C26FF"/>
    <w:rsid w:val="000C5514"/>
    <w:rsid w:val="000C5A20"/>
    <w:rsid w:val="000C6767"/>
    <w:rsid w:val="000C68E7"/>
    <w:rsid w:val="000C6E67"/>
    <w:rsid w:val="000C6FAD"/>
    <w:rsid w:val="000D0C44"/>
    <w:rsid w:val="000D0D62"/>
    <w:rsid w:val="000D38A7"/>
    <w:rsid w:val="000D3E48"/>
    <w:rsid w:val="000D7E47"/>
    <w:rsid w:val="000E0F21"/>
    <w:rsid w:val="000E35CB"/>
    <w:rsid w:val="000E41FA"/>
    <w:rsid w:val="000E6573"/>
    <w:rsid w:val="000E6724"/>
    <w:rsid w:val="000E7A07"/>
    <w:rsid w:val="000E7A28"/>
    <w:rsid w:val="000F2B08"/>
    <w:rsid w:val="000F3A96"/>
    <w:rsid w:val="00100A74"/>
    <w:rsid w:val="00101318"/>
    <w:rsid w:val="00101B58"/>
    <w:rsid w:val="00102071"/>
    <w:rsid w:val="00103E43"/>
    <w:rsid w:val="0010485A"/>
    <w:rsid w:val="001051B2"/>
    <w:rsid w:val="00105310"/>
    <w:rsid w:val="00110704"/>
    <w:rsid w:val="00110C02"/>
    <w:rsid w:val="00113B59"/>
    <w:rsid w:val="00115064"/>
    <w:rsid w:val="00117512"/>
    <w:rsid w:val="0011783B"/>
    <w:rsid w:val="00120287"/>
    <w:rsid w:val="00120ABE"/>
    <w:rsid w:val="00124047"/>
    <w:rsid w:val="00126670"/>
    <w:rsid w:val="00127AD7"/>
    <w:rsid w:val="00130A39"/>
    <w:rsid w:val="00131569"/>
    <w:rsid w:val="00132D3A"/>
    <w:rsid w:val="00133130"/>
    <w:rsid w:val="0013367F"/>
    <w:rsid w:val="00134CB2"/>
    <w:rsid w:val="00135008"/>
    <w:rsid w:val="001350D2"/>
    <w:rsid w:val="00135F72"/>
    <w:rsid w:val="00136679"/>
    <w:rsid w:val="001379EA"/>
    <w:rsid w:val="00140CFC"/>
    <w:rsid w:val="00140F00"/>
    <w:rsid w:val="001451B1"/>
    <w:rsid w:val="001451E3"/>
    <w:rsid w:val="00146246"/>
    <w:rsid w:val="001521E8"/>
    <w:rsid w:val="00153191"/>
    <w:rsid w:val="00153214"/>
    <w:rsid w:val="00153CD2"/>
    <w:rsid w:val="00154E0F"/>
    <w:rsid w:val="0015665A"/>
    <w:rsid w:val="00156A3F"/>
    <w:rsid w:val="00160684"/>
    <w:rsid w:val="00160700"/>
    <w:rsid w:val="00161DD2"/>
    <w:rsid w:val="00170A79"/>
    <w:rsid w:val="00172530"/>
    <w:rsid w:val="0017370E"/>
    <w:rsid w:val="00174565"/>
    <w:rsid w:val="001748DD"/>
    <w:rsid w:val="00175369"/>
    <w:rsid w:val="00176684"/>
    <w:rsid w:val="00182D88"/>
    <w:rsid w:val="00185465"/>
    <w:rsid w:val="00185825"/>
    <w:rsid w:val="00185AD1"/>
    <w:rsid w:val="0018653A"/>
    <w:rsid w:val="00187473"/>
    <w:rsid w:val="0019194A"/>
    <w:rsid w:val="001945D9"/>
    <w:rsid w:val="001961E4"/>
    <w:rsid w:val="00197C29"/>
    <w:rsid w:val="001A0F89"/>
    <w:rsid w:val="001A27BB"/>
    <w:rsid w:val="001A31BA"/>
    <w:rsid w:val="001A4014"/>
    <w:rsid w:val="001A4100"/>
    <w:rsid w:val="001B07DD"/>
    <w:rsid w:val="001B3B5D"/>
    <w:rsid w:val="001C033E"/>
    <w:rsid w:val="001C044F"/>
    <w:rsid w:val="001C0471"/>
    <w:rsid w:val="001C2010"/>
    <w:rsid w:val="001C2A8E"/>
    <w:rsid w:val="001C3185"/>
    <w:rsid w:val="001C3C95"/>
    <w:rsid w:val="001C40CD"/>
    <w:rsid w:val="001C5B7E"/>
    <w:rsid w:val="001C7718"/>
    <w:rsid w:val="001D0D88"/>
    <w:rsid w:val="001D25D0"/>
    <w:rsid w:val="001D4655"/>
    <w:rsid w:val="001D46C2"/>
    <w:rsid w:val="001D5CCB"/>
    <w:rsid w:val="001D695B"/>
    <w:rsid w:val="001D747C"/>
    <w:rsid w:val="001E5F15"/>
    <w:rsid w:val="001E6413"/>
    <w:rsid w:val="001F0E0D"/>
    <w:rsid w:val="001F0F63"/>
    <w:rsid w:val="001F2D81"/>
    <w:rsid w:val="001F31FB"/>
    <w:rsid w:val="001F4169"/>
    <w:rsid w:val="001F4A1C"/>
    <w:rsid w:val="001F6057"/>
    <w:rsid w:val="001F6F44"/>
    <w:rsid w:val="002009F5"/>
    <w:rsid w:val="00200A19"/>
    <w:rsid w:val="002019B6"/>
    <w:rsid w:val="00201FEC"/>
    <w:rsid w:val="00206847"/>
    <w:rsid w:val="002071A9"/>
    <w:rsid w:val="00212C4B"/>
    <w:rsid w:val="002133D5"/>
    <w:rsid w:val="00215314"/>
    <w:rsid w:val="00216CAA"/>
    <w:rsid w:val="002215D2"/>
    <w:rsid w:val="00221872"/>
    <w:rsid w:val="00222341"/>
    <w:rsid w:val="002229D2"/>
    <w:rsid w:val="00222A06"/>
    <w:rsid w:val="002306C9"/>
    <w:rsid w:val="0023126D"/>
    <w:rsid w:val="00231B62"/>
    <w:rsid w:val="002330CA"/>
    <w:rsid w:val="002332D3"/>
    <w:rsid w:val="00234248"/>
    <w:rsid w:val="00237AD7"/>
    <w:rsid w:val="0024032B"/>
    <w:rsid w:val="00242261"/>
    <w:rsid w:val="00242944"/>
    <w:rsid w:val="00242E69"/>
    <w:rsid w:val="00246051"/>
    <w:rsid w:val="00246B69"/>
    <w:rsid w:val="00247986"/>
    <w:rsid w:val="00247FC1"/>
    <w:rsid w:val="002518B4"/>
    <w:rsid w:val="00253CCC"/>
    <w:rsid w:val="0026065F"/>
    <w:rsid w:val="002627A6"/>
    <w:rsid w:val="002631C1"/>
    <w:rsid w:val="00263E70"/>
    <w:rsid w:val="00264062"/>
    <w:rsid w:val="00267009"/>
    <w:rsid w:val="00271A77"/>
    <w:rsid w:val="00273117"/>
    <w:rsid w:val="002759C1"/>
    <w:rsid w:val="00275EA7"/>
    <w:rsid w:val="00276CBA"/>
    <w:rsid w:val="00280546"/>
    <w:rsid w:val="00285E1A"/>
    <w:rsid w:val="0028655B"/>
    <w:rsid w:val="00286EEF"/>
    <w:rsid w:val="00287B07"/>
    <w:rsid w:val="00287DD6"/>
    <w:rsid w:val="00291ACE"/>
    <w:rsid w:val="00292831"/>
    <w:rsid w:val="00292A48"/>
    <w:rsid w:val="0029563B"/>
    <w:rsid w:val="002961C9"/>
    <w:rsid w:val="00296704"/>
    <w:rsid w:val="00296CAB"/>
    <w:rsid w:val="002A0B4E"/>
    <w:rsid w:val="002A2BDE"/>
    <w:rsid w:val="002A790E"/>
    <w:rsid w:val="002A7E73"/>
    <w:rsid w:val="002B11CF"/>
    <w:rsid w:val="002B17AD"/>
    <w:rsid w:val="002B19DD"/>
    <w:rsid w:val="002B2AD4"/>
    <w:rsid w:val="002B2F56"/>
    <w:rsid w:val="002B7266"/>
    <w:rsid w:val="002B7527"/>
    <w:rsid w:val="002C06EA"/>
    <w:rsid w:val="002C130E"/>
    <w:rsid w:val="002C2B27"/>
    <w:rsid w:val="002C5E9A"/>
    <w:rsid w:val="002C6520"/>
    <w:rsid w:val="002C6DF2"/>
    <w:rsid w:val="002C7C3C"/>
    <w:rsid w:val="002D0042"/>
    <w:rsid w:val="002D155A"/>
    <w:rsid w:val="002D1D4F"/>
    <w:rsid w:val="002D2A7D"/>
    <w:rsid w:val="002E05C3"/>
    <w:rsid w:val="002E3DED"/>
    <w:rsid w:val="002E46D7"/>
    <w:rsid w:val="002E54B5"/>
    <w:rsid w:val="002E62C1"/>
    <w:rsid w:val="002E73AA"/>
    <w:rsid w:val="002F1E2E"/>
    <w:rsid w:val="002F2074"/>
    <w:rsid w:val="002F211E"/>
    <w:rsid w:val="002F3AB7"/>
    <w:rsid w:val="002F3F6D"/>
    <w:rsid w:val="002F4E76"/>
    <w:rsid w:val="002F5CDE"/>
    <w:rsid w:val="002F66B1"/>
    <w:rsid w:val="002F688B"/>
    <w:rsid w:val="002F68F6"/>
    <w:rsid w:val="003026F5"/>
    <w:rsid w:val="00306429"/>
    <w:rsid w:val="003123ED"/>
    <w:rsid w:val="003137F2"/>
    <w:rsid w:val="0031445C"/>
    <w:rsid w:val="003154CF"/>
    <w:rsid w:val="00315FD2"/>
    <w:rsid w:val="003173E8"/>
    <w:rsid w:val="00317638"/>
    <w:rsid w:val="0032030E"/>
    <w:rsid w:val="00320987"/>
    <w:rsid w:val="00320CDD"/>
    <w:rsid w:val="00322A50"/>
    <w:rsid w:val="00323511"/>
    <w:rsid w:val="00323DB1"/>
    <w:rsid w:val="0032522B"/>
    <w:rsid w:val="00330931"/>
    <w:rsid w:val="00333198"/>
    <w:rsid w:val="003336F7"/>
    <w:rsid w:val="00333D19"/>
    <w:rsid w:val="00334F74"/>
    <w:rsid w:val="003360D6"/>
    <w:rsid w:val="003369A7"/>
    <w:rsid w:val="00342DF8"/>
    <w:rsid w:val="003431C7"/>
    <w:rsid w:val="00345036"/>
    <w:rsid w:val="003532E6"/>
    <w:rsid w:val="00353894"/>
    <w:rsid w:val="00355528"/>
    <w:rsid w:val="003571CB"/>
    <w:rsid w:val="00357A0E"/>
    <w:rsid w:val="00360142"/>
    <w:rsid w:val="00360FE3"/>
    <w:rsid w:val="0036311B"/>
    <w:rsid w:val="00363EDA"/>
    <w:rsid w:val="003659AF"/>
    <w:rsid w:val="00371CDD"/>
    <w:rsid w:val="003726C2"/>
    <w:rsid w:val="00382BF8"/>
    <w:rsid w:val="00383076"/>
    <w:rsid w:val="003855C7"/>
    <w:rsid w:val="00390C77"/>
    <w:rsid w:val="003936BA"/>
    <w:rsid w:val="00395C00"/>
    <w:rsid w:val="0039673F"/>
    <w:rsid w:val="00396914"/>
    <w:rsid w:val="003979A1"/>
    <w:rsid w:val="003A1410"/>
    <w:rsid w:val="003A30E5"/>
    <w:rsid w:val="003A4D15"/>
    <w:rsid w:val="003A4F07"/>
    <w:rsid w:val="003A5BB6"/>
    <w:rsid w:val="003A6B7B"/>
    <w:rsid w:val="003A7132"/>
    <w:rsid w:val="003A726C"/>
    <w:rsid w:val="003B1C76"/>
    <w:rsid w:val="003B5DEA"/>
    <w:rsid w:val="003C02BF"/>
    <w:rsid w:val="003C0916"/>
    <w:rsid w:val="003C104A"/>
    <w:rsid w:val="003C29ED"/>
    <w:rsid w:val="003C5DC5"/>
    <w:rsid w:val="003C756C"/>
    <w:rsid w:val="003D11F9"/>
    <w:rsid w:val="003D3A28"/>
    <w:rsid w:val="003D49AD"/>
    <w:rsid w:val="003D4BBC"/>
    <w:rsid w:val="003D5389"/>
    <w:rsid w:val="003D7BA3"/>
    <w:rsid w:val="003E0139"/>
    <w:rsid w:val="003E0AD5"/>
    <w:rsid w:val="003E16F3"/>
    <w:rsid w:val="003E21A2"/>
    <w:rsid w:val="003E46C5"/>
    <w:rsid w:val="003E618F"/>
    <w:rsid w:val="003F784C"/>
    <w:rsid w:val="004008A7"/>
    <w:rsid w:val="00401972"/>
    <w:rsid w:val="00401C64"/>
    <w:rsid w:val="004038C3"/>
    <w:rsid w:val="00403AE1"/>
    <w:rsid w:val="00405405"/>
    <w:rsid w:val="00405438"/>
    <w:rsid w:val="0040782C"/>
    <w:rsid w:val="00407946"/>
    <w:rsid w:val="00411088"/>
    <w:rsid w:val="00412D2C"/>
    <w:rsid w:val="00413681"/>
    <w:rsid w:val="004142E4"/>
    <w:rsid w:val="0041653A"/>
    <w:rsid w:val="00422E5C"/>
    <w:rsid w:val="00423845"/>
    <w:rsid w:val="004255F7"/>
    <w:rsid w:val="00425D01"/>
    <w:rsid w:val="004265DC"/>
    <w:rsid w:val="004275E3"/>
    <w:rsid w:val="0042766D"/>
    <w:rsid w:val="00427FD7"/>
    <w:rsid w:val="00431AC3"/>
    <w:rsid w:val="00431F66"/>
    <w:rsid w:val="004324F7"/>
    <w:rsid w:val="00434945"/>
    <w:rsid w:val="004359C6"/>
    <w:rsid w:val="004365D5"/>
    <w:rsid w:val="00437913"/>
    <w:rsid w:val="00440182"/>
    <w:rsid w:val="00440E3A"/>
    <w:rsid w:val="0044103D"/>
    <w:rsid w:val="00442664"/>
    <w:rsid w:val="00443C07"/>
    <w:rsid w:val="0044539E"/>
    <w:rsid w:val="004460B4"/>
    <w:rsid w:val="0044748B"/>
    <w:rsid w:val="00450FE9"/>
    <w:rsid w:val="004529AB"/>
    <w:rsid w:val="004535FF"/>
    <w:rsid w:val="00453686"/>
    <w:rsid w:val="00454781"/>
    <w:rsid w:val="00455436"/>
    <w:rsid w:val="004607BB"/>
    <w:rsid w:val="004610F6"/>
    <w:rsid w:val="00461F61"/>
    <w:rsid w:val="00464303"/>
    <w:rsid w:val="00467DCB"/>
    <w:rsid w:val="00470498"/>
    <w:rsid w:val="00470E62"/>
    <w:rsid w:val="00470E6D"/>
    <w:rsid w:val="0047119A"/>
    <w:rsid w:val="004725CD"/>
    <w:rsid w:val="00473B5C"/>
    <w:rsid w:val="00475541"/>
    <w:rsid w:val="00476249"/>
    <w:rsid w:val="0048026F"/>
    <w:rsid w:val="0048083C"/>
    <w:rsid w:val="00486012"/>
    <w:rsid w:val="0048671F"/>
    <w:rsid w:val="0048715E"/>
    <w:rsid w:val="00491DB6"/>
    <w:rsid w:val="00492BCA"/>
    <w:rsid w:val="00493296"/>
    <w:rsid w:val="00493DC8"/>
    <w:rsid w:val="00494817"/>
    <w:rsid w:val="004A4931"/>
    <w:rsid w:val="004B0ED0"/>
    <w:rsid w:val="004B0FD8"/>
    <w:rsid w:val="004B144E"/>
    <w:rsid w:val="004B2C2F"/>
    <w:rsid w:val="004B31DB"/>
    <w:rsid w:val="004B4106"/>
    <w:rsid w:val="004B55F5"/>
    <w:rsid w:val="004B6573"/>
    <w:rsid w:val="004B752C"/>
    <w:rsid w:val="004B7C6E"/>
    <w:rsid w:val="004C007C"/>
    <w:rsid w:val="004C2330"/>
    <w:rsid w:val="004C362B"/>
    <w:rsid w:val="004C5477"/>
    <w:rsid w:val="004C5801"/>
    <w:rsid w:val="004C707D"/>
    <w:rsid w:val="004D2553"/>
    <w:rsid w:val="004D2A62"/>
    <w:rsid w:val="004D2E26"/>
    <w:rsid w:val="004D2FCF"/>
    <w:rsid w:val="004D5ACC"/>
    <w:rsid w:val="004E0F7D"/>
    <w:rsid w:val="004E1291"/>
    <w:rsid w:val="004E14CC"/>
    <w:rsid w:val="004E4F78"/>
    <w:rsid w:val="004E5537"/>
    <w:rsid w:val="004E5D0C"/>
    <w:rsid w:val="004E7184"/>
    <w:rsid w:val="004F42C1"/>
    <w:rsid w:val="004F6344"/>
    <w:rsid w:val="004F63AD"/>
    <w:rsid w:val="00500009"/>
    <w:rsid w:val="00503D3F"/>
    <w:rsid w:val="00504AC5"/>
    <w:rsid w:val="00505AC7"/>
    <w:rsid w:val="00510BC3"/>
    <w:rsid w:val="00511C6C"/>
    <w:rsid w:val="005143A9"/>
    <w:rsid w:val="00515D94"/>
    <w:rsid w:val="0051636B"/>
    <w:rsid w:val="00521875"/>
    <w:rsid w:val="00521B52"/>
    <w:rsid w:val="0052319D"/>
    <w:rsid w:val="005248B6"/>
    <w:rsid w:val="00524FD2"/>
    <w:rsid w:val="00526015"/>
    <w:rsid w:val="00526FCA"/>
    <w:rsid w:val="00527783"/>
    <w:rsid w:val="00527B02"/>
    <w:rsid w:val="00533A56"/>
    <w:rsid w:val="00535911"/>
    <w:rsid w:val="00535FAD"/>
    <w:rsid w:val="00541673"/>
    <w:rsid w:val="00542820"/>
    <w:rsid w:val="005451F9"/>
    <w:rsid w:val="005502D9"/>
    <w:rsid w:val="00550F23"/>
    <w:rsid w:val="00556EE6"/>
    <w:rsid w:val="00562DD1"/>
    <w:rsid w:val="005630A4"/>
    <w:rsid w:val="00564D50"/>
    <w:rsid w:val="00565793"/>
    <w:rsid w:val="005660EE"/>
    <w:rsid w:val="0056678C"/>
    <w:rsid w:val="00570215"/>
    <w:rsid w:val="00570368"/>
    <w:rsid w:val="00570851"/>
    <w:rsid w:val="00571B4A"/>
    <w:rsid w:val="00571EF3"/>
    <w:rsid w:val="00580351"/>
    <w:rsid w:val="00580A4E"/>
    <w:rsid w:val="00580DB2"/>
    <w:rsid w:val="005822B8"/>
    <w:rsid w:val="00582659"/>
    <w:rsid w:val="0058276C"/>
    <w:rsid w:val="00583F43"/>
    <w:rsid w:val="005849A4"/>
    <w:rsid w:val="00586675"/>
    <w:rsid w:val="00587C97"/>
    <w:rsid w:val="00591E65"/>
    <w:rsid w:val="00593932"/>
    <w:rsid w:val="00594A4C"/>
    <w:rsid w:val="005962CB"/>
    <w:rsid w:val="005A06D7"/>
    <w:rsid w:val="005A09CD"/>
    <w:rsid w:val="005A41FF"/>
    <w:rsid w:val="005A7140"/>
    <w:rsid w:val="005B0069"/>
    <w:rsid w:val="005B060E"/>
    <w:rsid w:val="005B0BDC"/>
    <w:rsid w:val="005B1738"/>
    <w:rsid w:val="005B240C"/>
    <w:rsid w:val="005B4925"/>
    <w:rsid w:val="005B6483"/>
    <w:rsid w:val="005B66FD"/>
    <w:rsid w:val="005B685B"/>
    <w:rsid w:val="005B6A9D"/>
    <w:rsid w:val="005C0810"/>
    <w:rsid w:val="005C2546"/>
    <w:rsid w:val="005C4FF8"/>
    <w:rsid w:val="005C679B"/>
    <w:rsid w:val="005C7F22"/>
    <w:rsid w:val="005D02E3"/>
    <w:rsid w:val="005D3A0D"/>
    <w:rsid w:val="005D3BFB"/>
    <w:rsid w:val="005D58AE"/>
    <w:rsid w:val="005D62D8"/>
    <w:rsid w:val="005D6727"/>
    <w:rsid w:val="005D750C"/>
    <w:rsid w:val="005D7F1C"/>
    <w:rsid w:val="005E11C7"/>
    <w:rsid w:val="005E339E"/>
    <w:rsid w:val="005E6E86"/>
    <w:rsid w:val="005F0260"/>
    <w:rsid w:val="005F0EBB"/>
    <w:rsid w:val="005F20E0"/>
    <w:rsid w:val="005F288F"/>
    <w:rsid w:val="005F2B6C"/>
    <w:rsid w:val="005F2BCB"/>
    <w:rsid w:val="005F3385"/>
    <w:rsid w:val="005F3898"/>
    <w:rsid w:val="005F3B5B"/>
    <w:rsid w:val="005F3CC2"/>
    <w:rsid w:val="005F3E7C"/>
    <w:rsid w:val="005F625F"/>
    <w:rsid w:val="0060476E"/>
    <w:rsid w:val="00607523"/>
    <w:rsid w:val="006100CE"/>
    <w:rsid w:val="0061136C"/>
    <w:rsid w:val="006114C3"/>
    <w:rsid w:val="00611B88"/>
    <w:rsid w:val="00611C3D"/>
    <w:rsid w:val="00611F48"/>
    <w:rsid w:val="00613F8A"/>
    <w:rsid w:val="00613FA0"/>
    <w:rsid w:val="00615A06"/>
    <w:rsid w:val="006164AF"/>
    <w:rsid w:val="00621321"/>
    <w:rsid w:val="006256CA"/>
    <w:rsid w:val="0063025C"/>
    <w:rsid w:val="00630D2C"/>
    <w:rsid w:val="0063211B"/>
    <w:rsid w:val="0063393F"/>
    <w:rsid w:val="00635FBE"/>
    <w:rsid w:val="00636F7C"/>
    <w:rsid w:val="00644A75"/>
    <w:rsid w:val="00644B26"/>
    <w:rsid w:val="006475D5"/>
    <w:rsid w:val="00650B6F"/>
    <w:rsid w:val="006520C3"/>
    <w:rsid w:val="00652128"/>
    <w:rsid w:val="00652650"/>
    <w:rsid w:val="00652DBF"/>
    <w:rsid w:val="006537EA"/>
    <w:rsid w:val="00660154"/>
    <w:rsid w:val="00660A76"/>
    <w:rsid w:val="00660D3A"/>
    <w:rsid w:val="00663B13"/>
    <w:rsid w:val="00667E4B"/>
    <w:rsid w:val="00670B94"/>
    <w:rsid w:val="00672A62"/>
    <w:rsid w:val="00673714"/>
    <w:rsid w:val="0067725F"/>
    <w:rsid w:val="00677614"/>
    <w:rsid w:val="00681481"/>
    <w:rsid w:val="00683A15"/>
    <w:rsid w:val="006841EB"/>
    <w:rsid w:val="00685EC8"/>
    <w:rsid w:val="00691621"/>
    <w:rsid w:val="0069385D"/>
    <w:rsid w:val="00694C3B"/>
    <w:rsid w:val="006975FC"/>
    <w:rsid w:val="0069780E"/>
    <w:rsid w:val="006A2CB1"/>
    <w:rsid w:val="006A319C"/>
    <w:rsid w:val="006A4448"/>
    <w:rsid w:val="006A54A7"/>
    <w:rsid w:val="006A78EE"/>
    <w:rsid w:val="006B42CE"/>
    <w:rsid w:val="006B61D0"/>
    <w:rsid w:val="006B6A5C"/>
    <w:rsid w:val="006B7B59"/>
    <w:rsid w:val="006C7BF9"/>
    <w:rsid w:val="006C7C04"/>
    <w:rsid w:val="006D2279"/>
    <w:rsid w:val="006D3C6C"/>
    <w:rsid w:val="006D5FE6"/>
    <w:rsid w:val="006D62EB"/>
    <w:rsid w:val="006E3096"/>
    <w:rsid w:val="006E463B"/>
    <w:rsid w:val="006E56FE"/>
    <w:rsid w:val="006E5ECE"/>
    <w:rsid w:val="006E7B4F"/>
    <w:rsid w:val="006E7E3E"/>
    <w:rsid w:val="006F0477"/>
    <w:rsid w:val="006F1996"/>
    <w:rsid w:val="006F2AD7"/>
    <w:rsid w:val="006F2C40"/>
    <w:rsid w:val="006F3230"/>
    <w:rsid w:val="006F6A49"/>
    <w:rsid w:val="006F6B94"/>
    <w:rsid w:val="00701585"/>
    <w:rsid w:val="007030BF"/>
    <w:rsid w:val="00703FD5"/>
    <w:rsid w:val="0070609D"/>
    <w:rsid w:val="0071162A"/>
    <w:rsid w:val="007124F5"/>
    <w:rsid w:val="0071396E"/>
    <w:rsid w:val="00716B34"/>
    <w:rsid w:val="00717934"/>
    <w:rsid w:val="00722A46"/>
    <w:rsid w:val="007244D7"/>
    <w:rsid w:val="00725F0B"/>
    <w:rsid w:val="00731589"/>
    <w:rsid w:val="007328E1"/>
    <w:rsid w:val="00732CE8"/>
    <w:rsid w:val="00734A9B"/>
    <w:rsid w:val="00735EE5"/>
    <w:rsid w:val="007413CE"/>
    <w:rsid w:val="0074155D"/>
    <w:rsid w:val="00741591"/>
    <w:rsid w:val="007434F4"/>
    <w:rsid w:val="00746CAE"/>
    <w:rsid w:val="00752925"/>
    <w:rsid w:val="0075647E"/>
    <w:rsid w:val="00756BF1"/>
    <w:rsid w:val="00756E58"/>
    <w:rsid w:val="00757919"/>
    <w:rsid w:val="00757EF2"/>
    <w:rsid w:val="0076074D"/>
    <w:rsid w:val="0076471D"/>
    <w:rsid w:val="00765413"/>
    <w:rsid w:val="00766020"/>
    <w:rsid w:val="007662C0"/>
    <w:rsid w:val="00766662"/>
    <w:rsid w:val="00766773"/>
    <w:rsid w:val="0076692E"/>
    <w:rsid w:val="00766CC7"/>
    <w:rsid w:val="00766F04"/>
    <w:rsid w:val="0077159B"/>
    <w:rsid w:val="00772845"/>
    <w:rsid w:val="0077494E"/>
    <w:rsid w:val="00774D42"/>
    <w:rsid w:val="0077555C"/>
    <w:rsid w:val="007801DE"/>
    <w:rsid w:val="00780560"/>
    <w:rsid w:val="00781111"/>
    <w:rsid w:val="0078152B"/>
    <w:rsid w:val="0078195F"/>
    <w:rsid w:val="00785A06"/>
    <w:rsid w:val="007861DB"/>
    <w:rsid w:val="0078628A"/>
    <w:rsid w:val="00787792"/>
    <w:rsid w:val="007911F6"/>
    <w:rsid w:val="00792194"/>
    <w:rsid w:val="00792AAD"/>
    <w:rsid w:val="00793C1F"/>
    <w:rsid w:val="00796B3C"/>
    <w:rsid w:val="00796BD6"/>
    <w:rsid w:val="00796DD2"/>
    <w:rsid w:val="00797097"/>
    <w:rsid w:val="00797644"/>
    <w:rsid w:val="007A351B"/>
    <w:rsid w:val="007A3F9F"/>
    <w:rsid w:val="007A5BAB"/>
    <w:rsid w:val="007A6E8B"/>
    <w:rsid w:val="007A6EC9"/>
    <w:rsid w:val="007A73CD"/>
    <w:rsid w:val="007B0E25"/>
    <w:rsid w:val="007B2DFC"/>
    <w:rsid w:val="007B2EB0"/>
    <w:rsid w:val="007B4881"/>
    <w:rsid w:val="007B65FA"/>
    <w:rsid w:val="007B6A4E"/>
    <w:rsid w:val="007C0329"/>
    <w:rsid w:val="007C1033"/>
    <w:rsid w:val="007C4B4F"/>
    <w:rsid w:val="007C6CD5"/>
    <w:rsid w:val="007C7465"/>
    <w:rsid w:val="007D0387"/>
    <w:rsid w:val="007D2175"/>
    <w:rsid w:val="007D4559"/>
    <w:rsid w:val="007D56E4"/>
    <w:rsid w:val="007D5C10"/>
    <w:rsid w:val="007D72AE"/>
    <w:rsid w:val="007E1AC2"/>
    <w:rsid w:val="007E4337"/>
    <w:rsid w:val="007E53FF"/>
    <w:rsid w:val="007E6F7F"/>
    <w:rsid w:val="007E7A88"/>
    <w:rsid w:val="007F0197"/>
    <w:rsid w:val="007F049A"/>
    <w:rsid w:val="007F0C87"/>
    <w:rsid w:val="007F64C0"/>
    <w:rsid w:val="0080033D"/>
    <w:rsid w:val="00800858"/>
    <w:rsid w:val="00800A9F"/>
    <w:rsid w:val="008012E8"/>
    <w:rsid w:val="00801335"/>
    <w:rsid w:val="008038C3"/>
    <w:rsid w:val="00805F2E"/>
    <w:rsid w:val="00806BB3"/>
    <w:rsid w:val="00806BE9"/>
    <w:rsid w:val="00807072"/>
    <w:rsid w:val="00807401"/>
    <w:rsid w:val="00810902"/>
    <w:rsid w:val="00811A25"/>
    <w:rsid w:val="00811F94"/>
    <w:rsid w:val="00812583"/>
    <w:rsid w:val="00813A33"/>
    <w:rsid w:val="00814431"/>
    <w:rsid w:val="008150CF"/>
    <w:rsid w:val="00815297"/>
    <w:rsid w:val="00820A94"/>
    <w:rsid w:val="0082124A"/>
    <w:rsid w:val="00822FD6"/>
    <w:rsid w:val="0082507C"/>
    <w:rsid w:val="008268A7"/>
    <w:rsid w:val="00826953"/>
    <w:rsid w:val="008274A4"/>
    <w:rsid w:val="0083018D"/>
    <w:rsid w:val="00830F1B"/>
    <w:rsid w:val="00832DBF"/>
    <w:rsid w:val="008334AE"/>
    <w:rsid w:val="00834F52"/>
    <w:rsid w:val="00836508"/>
    <w:rsid w:val="00836E06"/>
    <w:rsid w:val="00842A4E"/>
    <w:rsid w:val="0084364F"/>
    <w:rsid w:val="0084367A"/>
    <w:rsid w:val="00843C14"/>
    <w:rsid w:val="008460EA"/>
    <w:rsid w:val="00846296"/>
    <w:rsid w:val="00850032"/>
    <w:rsid w:val="00852396"/>
    <w:rsid w:val="00854772"/>
    <w:rsid w:val="0085557E"/>
    <w:rsid w:val="00856A0D"/>
    <w:rsid w:val="00860E5A"/>
    <w:rsid w:val="00861997"/>
    <w:rsid w:val="008632B4"/>
    <w:rsid w:val="00863871"/>
    <w:rsid w:val="00863F31"/>
    <w:rsid w:val="008667D9"/>
    <w:rsid w:val="0086759B"/>
    <w:rsid w:val="00870568"/>
    <w:rsid w:val="0087067E"/>
    <w:rsid w:val="00870727"/>
    <w:rsid w:val="0087089D"/>
    <w:rsid w:val="00874878"/>
    <w:rsid w:val="0088000D"/>
    <w:rsid w:val="00880D4D"/>
    <w:rsid w:val="008846F0"/>
    <w:rsid w:val="00884A40"/>
    <w:rsid w:val="0088517F"/>
    <w:rsid w:val="0088608E"/>
    <w:rsid w:val="008902B3"/>
    <w:rsid w:val="00895C7C"/>
    <w:rsid w:val="008966F2"/>
    <w:rsid w:val="008A0ABE"/>
    <w:rsid w:val="008A0D1F"/>
    <w:rsid w:val="008A0EC8"/>
    <w:rsid w:val="008A2276"/>
    <w:rsid w:val="008A2DBE"/>
    <w:rsid w:val="008A381C"/>
    <w:rsid w:val="008A475E"/>
    <w:rsid w:val="008A4AF8"/>
    <w:rsid w:val="008A583E"/>
    <w:rsid w:val="008A5B6B"/>
    <w:rsid w:val="008A6392"/>
    <w:rsid w:val="008A7CF0"/>
    <w:rsid w:val="008A7E71"/>
    <w:rsid w:val="008B007A"/>
    <w:rsid w:val="008B2160"/>
    <w:rsid w:val="008B35A5"/>
    <w:rsid w:val="008B3600"/>
    <w:rsid w:val="008B4216"/>
    <w:rsid w:val="008B6075"/>
    <w:rsid w:val="008B66F6"/>
    <w:rsid w:val="008B675B"/>
    <w:rsid w:val="008B7B1F"/>
    <w:rsid w:val="008C0FCB"/>
    <w:rsid w:val="008C115C"/>
    <w:rsid w:val="008C2B40"/>
    <w:rsid w:val="008D1B5E"/>
    <w:rsid w:val="008D2326"/>
    <w:rsid w:val="008D251D"/>
    <w:rsid w:val="008D3DBB"/>
    <w:rsid w:val="008E6C96"/>
    <w:rsid w:val="008F2631"/>
    <w:rsid w:val="008F2B93"/>
    <w:rsid w:val="008F61C4"/>
    <w:rsid w:val="00900BD8"/>
    <w:rsid w:val="009045B4"/>
    <w:rsid w:val="009045D9"/>
    <w:rsid w:val="00907862"/>
    <w:rsid w:val="0090792E"/>
    <w:rsid w:val="00907D99"/>
    <w:rsid w:val="00910249"/>
    <w:rsid w:val="00911D5E"/>
    <w:rsid w:val="009129AC"/>
    <w:rsid w:val="00912F9F"/>
    <w:rsid w:val="00913B61"/>
    <w:rsid w:val="0092043E"/>
    <w:rsid w:val="009207A4"/>
    <w:rsid w:val="00921C43"/>
    <w:rsid w:val="00921F94"/>
    <w:rsid w:val="00923A95"/>
    <w:rsid w:val="00925601"/>
    <w:rsid w:val="00925CD6"/>
    <w:rsid w:val="009261AE"/>
    <w:rsid w:val="00926997"/>
    <w:rsid w:val="00926B86"/>
    <w:rsid w:val="00927529"/>
    <w:rsid w:val="009311F6"/>
    <w:rsid w:val="009322ED"/>
    <w:rsid w:val="00935656"/>
    <w:rsid w:val="009401BE"/>
    <w:rsid w:val="009428D7"/>
    <w:rsid w:val="009447D8"/>
    <w:rsid w:val="00944BA7"/>
    <w:rsid w:val="009454F9"/>
    <w:rsid w:val="0094778B"/>
    <w:rsid w:val="00950757"/>
    <w:rsid w:val="00950F26"/>
    <w:rsid w:val="00951A18"/>
    <w:rsid w:val="00952965"/>
    <w:rsid w:val="00952B6F"/>
    <w:rsid w:val="0095328B"/>
    <w:rsid w:val="00953D84"/>
    <w:rsid w:val="00954499"/>
    <w:rsid w:val="00954EED"/>
    <w:rsid w:val="009556C6"/>
    <w:rsid w:val="00955893"/>
    <w:rsid w:val="00957CFA"/>
    <w:rsid w:val="0096070C"/>
    <w:rsid w:val="009615C7"/>
    <w:rsid w:val="00961AF3"/>
    <w:rsid w:val="00962DED"/>
    <w:rsid w:val="00966A97"/>
    <w:rsid w:val="00966E0D"/>
    <w:rsid w:val="00971B40"/>
    <w:rsid w:val="00971C82"/>
    <w:rsid w:val="00971F2C"/>
    <w:rsid w:val="00973280"/>
    <w:rsid w:val="0097369D"/>
    <w:rsid w:val="00975827"/>
    <w:rsid w:val="00977F16"/>
    <w:rsid w:val="00980FD0"/>
    <w:rsid w:val="00981211"/>
    <w:rsid w:val="00982B83"/>
    <w:rsid w:val="00983463"/>
    <w:rsid w:val="00984C0D"/>
    <w:rsid w:val="0098566E"/>
    <w:rsid w:val="00985BCB"/>
    <w:rsid w:val="0098725E"/>
    <w:rsid w:val="00987B0E"/>
    <w:rsid w:val="0099009F"/>
    <w:rsid w:val="0099216A"/>
    <w:rsid w:val="00993BEA"/>
    <w:rsid w:val="00994276"/>
    <w:rsid w:val="00996942"/>
    <w:rsid w:val="009969AC"/>
    <w:rsid w:val="009A3416"/>
    <w:rsid w:val="009A3982"/>
    <w:rsid w:val="009A3A62"/>
    <w:rsid w:val="009A3ED6"/>
    <w:rsid w:val="009A4C7F"/>
    <w:rsid w:val="009B2078"/>
    <w:rsid w:val="009B26B2"/>
    <w:rsid w:val="009B3884"/>
    <w:rsid w:val="009B41D2"/>
    <w:rsid w:val="009B4212"/>
    <w:rsid w:val="009B57E0"/>
    <w:rsid w:val="009C08FE"/>
    <w:rsid w:val="009C1B3C"/>
    <w:rsid w:val="009C3F7E"/>
    <w:rsid w:val="009C4AAE"/>
    <w:rsid w:val="009C4DE8"/>
    <w:rsid w:val="009C6D89"/>
    <w:rsid w:val="009C7626"/>
    <w:rsid w:val="009D02BD"/>
    <w:rsid w:val="009D0F20"/>
    <w:rsid w:val="009D3B5F"/>
    <w:rsid w:val="009D78E5"/>
    <w:rsid w:val="009E094B"/>
    <w:rsid w:val="009E2824"/>
    <w:rsid w:val="009E2853"/>
    <w:rsid w:val="009E2C72"/>
    <w:rsid w:val="009E3FDD"/>
    <w:rsid w:val="009E411C"/>
    <w:rsid w:val="009E59D7"/>
    <w:rsid w:val="009E5B23"/>
    <w:rsid w:val="009E6EDD"/>
    <w:rsid w:val="009F0F8E"/>
    <w:rsid w:val="009F1F57"/>
    <w:rsid w:val="009F25A2"/>
    <w:rsid w:val="009F3FE1"/>
    <w:rsid w:val="009F53A5"/>
    <w:rsid w:val="009F597C"/>
    <w:rsid w:val="009F7D62"/>
    <w:rsid w:val="00A01902"/>
    <w:rsid w:val="00A01C18"/>
    <w:rsid w:val="00A04270"/>
    <w:rsid w:val="00A045E3"/>
    <w:rsid w:val="00A0506D"/>
    <w:rsid w:val="00A063D0"/>
    <w:rsid w:val="00A06635"/>
    <w:rsid w:val="00A06908"/>
    <w:rsid w:val="00A101E3"/>
    <w:rsid w:val="00A10943"/>
    <w:rsid w:val="00A1112E"/>
    <w:rsid w:val="00A13F97"/>
    <w:rsid w:val="00A15F89"/>
    <w:rsid w:val="00A16593"/>
    <w:rsid w:val="00A2138F"/>
    <w:rsid w:val="00A21CE1"/>
    <w:rsid w:val="00A246A9"/>
    <w:rsid w:val="00A26AB3"/>
    <w:rsid w:val="00A27125"/>
    <w:rsid w:val="00A27BEE"/>
    <w:rsid w:val="00A32231"/>
    <w:rsid w:val="00A352A1"/>
    <w:rsid w:val="00A36248"/>
    <w:rsid w:val="00A41504"/>
    <w:rsid w:val="00A419E5"/>
    <w:rsid w:val="00A41A9B"/>
    <w:rsid w:val="00A4629A"/>
    <w:rsid w:val="00A47A31"/>
    <w:rsid w:val="00A47A6A"/>
    <w:rsid w:val="00A50139"/>
    <w:rsid w:val="00A50658"/>
    <w:rsid w:val="00A523A0"/>
    <w:rsid w:val="00A5644B"/>
    <w:rsid w:val="00A574D1"/>
    <w:rsid w:val="00A57B90"/>
    <w:rsid w:val="00A6202F"/>
    <w:rsid w:val="00A620DD"/>
    <w:rsid w:val="00A64BBA"/>
    <w:rsid w:val="00A663AF"/>
    <w:rsid w:val="00A7031D"/>
    <w:rsid w:val="00A723EA"/>
    <w:rsid w:val="00A73353"/>
    <w:rsid w:val="00A76AC9"/>
    <w:rsid w:val="00A81138"/>
    <w:rsid w:val="00A82418"/>
    <w:rsid w:val="00A83D75"/>
    <w:rsid w:val="00A84AB9"/>
    <w:rsid w:val="00A85E58"/>
    <w:rsid w:val="00A86DBF"/>
    <w:rsid w:val="00A875A3"/>
    <w:rsid w:val="00A87FC4"/>
    <w:rsid w:val="00A90182"/>
    <w:rsid w:val="00A903EA"/>
    <w:rsid w:val="00A93209"/>
    <w:rsid w:val="00A93473"/>
    <w:rsid w:val="00A93DF3"/>
    <w:rsid w:val="00A96A42"/>
    <w:rsid w:val="00AA062D"/>
    <w:rsid w:val="00AA0844"/>
    <w:rsid w:val="00AA1BB7"/>
    <w:rsid w:val="00AA30E5"/>
    <w:rsid w:val="00AA3CE7"/>
    <w:rsid w:val="00AA44BE"/>
    <w:rsid w:val="00AA5171"/>
    <w:rsid w:val="00AA7E18"/>
    <w:rsid w:val="00AB09A1"/>
    <w:rsid w:val="00AB1D9C"/>
    <w:rsid w:val="00AB3D14"/>
    <w:rsid w:val="00AB4940"/>
    <w:rsid w:val="00AB5BB2"/>
    <w:rsid w:val="00AB65AE"/>
    <w:rsid w:val="00AC32FA"/>
    <w:rsid w:val="00AC45E1"/>
    <w:rsid w:val="00AC54D8"/>
    <w:rsid w:val="00AC704B"/>
    <w:rsid w:val="00AC793A"/>
    <w:rsid w:val="00AC7BE3"/>
    <w:rsid w:val="00AD065B"/>
    <w:rsid w:val="00AD3424"/>
    <w:rsid w:val="00AD397F"/>
    <w:rsid w:val="00AD57B5"/>
    <w:rsid w:val="00AD5CF0"/>
    <w:rsid w:val="00AE0A46"/>
    <w:rsid w:val="00AE2549"/>
    <w:rsid w:val="00AE27C3"/>
    <w:rsid w:val="00AE2D7D"/>
    <w:rsid w:val="00AE4C6E"/>
    <w:rsid w:val="00AE6292"/>
    <w:rsid w:val="00AE6E37"/>
    <w:rsid w:val="00AE7F08"/>
    <w:rsid w:val="00AF1DAE"/>
    <w:rsid w:val="00AF2353"/>
    <w:rsid w:val="00AF29B9"/>
    <w:rsid w:val="00AF29BA"/>
    <w:rsid w:val="00AF29CE"/>
    <w:rsid w:val="00B0090E"/>
    <w:rsid w:val="00B00B62"/>
    <w:rsid w:val="00B02CC7"/>
    <w:rsid w:val="00B03677"/>
    <w:rsid w:val="00B03923"/>
    <w:rsid w:val="00B0396D"/>
    <w:rsid w:val="00B06D85"/>
    <w:rsid w:val="00B112C7"/>
    <w:rsid w:val="00B1198E"/>
    <w:rsid w:val="00B11BDC"/>
    <w:rsid w:val="00B17139"/>
    <w:rsid w:val="00B204A8"/>
    <w:rsid w:val="00B21114"/>
    <w:rsid w:val="00B21652"/>
    <w:rsid w:val="00B2251C"/>
    <w:rsid w:val="00B23A73"/>
    <w:rsid w:val="00B23FF4"/>
    <w:rsid w:val="00B25AA6"/>
    <w:rsid w:val="00B30863"/>
    <w:rsid w:val="00B31685"/>
    <w:rsid w:val="00B31E3F"/>
    <w:rsid w:val="00B32C0D"/>
    <w:rsid w:val="00B3563B"/>
    <w:rsid w:val="00B361BB"/>
    <w:rsid w:val="00B368D9"/>
    <w:rsid w:val="00B37C57"/>
    <w:rsid w:val="00B37D2D"/>
    <w:rsid w:val="00B4022D"/>
    <w:rsid w:val="00B432DF"/>
    <w:rsid w:val="00B43C08"/>
    <w:rsid w:val="00B4440F"/>
    <w:rsid w:val="00B44580"/>
    <w:rsid w:val="00B44EEC"/>
    <w:rsid w:val="00B51961"/>
    <w:rsid w:val="00B51C20"/>
    <w:rsid w:val="00B51EE9"/>
    <w:rsid w:val="00B5336D"/>
    <w:rsid w:val="00B544D6"/>
    <w:rsid w:val="00B57945"/>
    <w:rsid w:val="00B61804"/>
    <w:rsid w:val="00B6306F"/>
    <w:rsid w:val="00B64BFA"/>
    <w:rsid w:val="00B67C5F"/>
    <w:rsid w:val="00B7051B"/>
    <w:rsid w:val="00B70B29"/>
    <w:rsid w:val="00B71489"/>
    <w:rsid w:val="00B71C1F"/>
    <w:rsid w:val="00B74B7A"/>
    <w:rsid w:val="00B76A3B"/>
    <w:rsid w:val="00B80807"/>
    <w:rsid w:val="00B839FC"/>
    <w:rsid w:val="00B859F1"/>
    <w:rsid w:val="00B85DA7"/>
    <w:rsid w:val="00B862CC"/>
    <w:rsid w:val="00B86630"/>
    <w:rsid w:val="00B901C0"/>
    <w:rsid w:val="00B90D94"/>
    <w:rsid w:val="00B90F8E"/>
    <w:rsid w:val="00B924D6"/>
    <w:rsid w:val="00B93FC3"/>
    <w:rsid w:val="00B9518F"/>
    <w:rsid w:val="00B95CFC"/>
    <w:rsid w:val="00B96881"/>
    <w:rsid w:val="00BA0A99"/>
    <w:rsid w:val="00BA10C2"/>
    <w:rsid w:val="00BA6A0F"/>
    <w:rsid w:val="00BB0623"/>
    <w:rsid w:val="00BB204F"/>
    <w:rsid w:val="00BB76FF"/>
    <w:rsid w:val="00BB7F82"/>
    <w:rsid w:val="00BB7F86"/>
    <w:rsid w:val="00BC005C"/>
    <w:rsid w:val="00BC1462"/>
    <w:rsid w:val="00BC2AB2"/>
    <w:rsid w:val="00BC4F68"/>
    <w:rsid w:val="00BC60C7"/>
    <w:rsid w:val="00BC636C"/>
    <w:rsid w:val="00BC66EB"/>
    <w:rsid w:val="00BC751E"/>
    <w:rsid w:val="00BD0295"/>
    <w:rsid w:val="00BD27C8"/>
    <w:rsid w:val="00BD2D7E"/>
    <w:rsid w:val="00BD310C"/>
    <w:rsid w:val="00BD3A23"/>
    <w:rsid w:val="00BD3F2A"/>
    <w:rsid w:val="00BD4FD3"/>
    <w:rsid w:val="00BD63D6"/>
    <w:rsid w:val="00BE1FE7"/>
    <w:rsid w:val="00BE32ED"/>
    <w:rsid w:val="00BE3691"/>
    <w:rsid w:val="00BE4585"/>
    <w:rsid w:val="00BE4978"/>
    <w:rsid w:val="00BE4A3A"/>
    <w:rsid w:val="00BE5919"/>
    <w:rsid w:val="00BF24DC"/>
    <w:rsid w:val="00BF2C5A"/>
    <w:rsid w:val="00BF41DA"/>
    <w:rsid w:val="00BF4FB5"/>
    <w:rsid w:val="00BF5A45"/>
    <w:rsid w:val="00BF5C40"/>
    <w:rsid w:val="00BF6E03"/>
    <w:rsid w:val="00C00AA3"/>
    <w:rsid w:val="00C01E9C"/>
    <w:rsid w:val="00C024D8"/>
    <w:rsid w:val="00C02B7F"/>
    <w:rsid w:val="00C06268"/>
    <w:rsid w:val="00C0669C"/>
    <w:rsid w:val="00C072C8"/>
    <w:rsid w:val="00C079FF"/>
    <w:rsid w:val="00C10685"/>
    <w:rsid w:val="00C10926"/>
    <w:rsid w:val="00C114A2"/>
    <w:rsid w:val="00C120AC"/>
    <w:rsid w:val="00C15231"/>
    <w:rsid w:val="00C15B1D"/>
    <w:rsid w:val="00C16F13"/>
    <w:rsid w:val="00C2350D"/>
    <w:rsid w:val="00C242E8"/>
    <w:rsid w:val="00C25B6E"/>
    <w:rsid w:val="00C267AD"/>
    <w:rsid w:val="00C312FC"/>
    <w:rsid w:val="00C31989"/>
    <w:rsid w:val="00C32916"/>
    <w:rsid w:val="00C329D4"/>
    <w:rsid w:val="00C342C2"/>
    <w:rsid w:val="00C34FE9"/>
    <w:rsid w:val="00C35D67"/>
    <w:rsid w:val="00C36684"/>
    <w:rsid w:val="00C405A7"/>
    <w:rsid w:val="00C41223"/>
    <w:rsid w:val="00C436A9"/>
    <w:rsid w:val="00C43929"/>
    <w:rsid w:val="00C44C70"/>
    <w:rsid w:val="00C451DC"/>
    <w:rsid w:val="00C45B44"/>
    <w:rsid w:val="00C46966"/>
    <w:rsid w:val="00C46EA9"/>
    <w:rsid w:val="00C479DB"/>
    <w:rsid w:val="00C47B3A"/>
    <w:rsid w:val="00C5361F"/>
    <w:rsid w:val="00C55A43"/>
    <w:rsid w:val="00C60E74"/>
    <w:rsid w:val="00C65127"/>
    <w:rsid w:val="00C736CF"/>
    <w:rsid w:val="00C73BD5"/>
    <w:rsid w:val="00C7566F"/>
    <w:rsid w:val="00C77CA7"/>
    <w:rsid w:val="00C77D41"/>
    <w:rsid w:val="00C8101F"/>
    <w:rsid w:val="00C81E26"/>
    <w:rsid w:val="00C82637"/>
    <w:rsid w:val="00C82765"/>
    <w:rsid w:val="00C8304B"/>
    <w:rsid w:val="00C83466"/>
    <w:rsid w:val="00C861CA"/>
    <w:rsid w:val="00C87337"/>
    <w:rsid w:val="00C928F5"/>
    <w:rsid w:val="00C92F34"/>
    <w:rsid w:val="00C9303A"/>
    <w:rsid w:val="00C93466"/>
    <w:rsid w:val="00C937F0"/>
    <w:rsid w:val="00C9429E"/>
    <w:rsid w:val="00C94905"/>
    <w:rsid w:val="00CA13E6"/>
    <w:rsid w:val="00CA2396"/>
    <w:rsid w:val="00CA2560"/>
    <w:rsid w:val="00CA5850"/>
    <w:rsid w:val="00CA6B6D"/>
    <w:rsid w:val="00CB174C"/>
    <w:rsid w:val="00CB2D8D"/>
    <w:rsid w:val="00CB2DB9"/>
    <w:rsid w:val="00CB40E0"/>
    <w:rsid w:val="00CB5002"/>
    <w:rsid w:val="00CB5BC9"/>
    <w:rsid w:val="00CB6149"/>
    <w:rsid w:val="00CC13D2"/>
    <w:rsid w:val="00CC2A6E"/>
    <w:rsid w:val="00CC2B1A"/>
    <w:rsid w:val="00CC4287"/>
    <w:rsid w:val="00CC4451"/>
    <w:rsid w:val="00CC4D5E"/>
    <w:rsid w:val="00CC7F18"/>
    <w:rsid w:val="00CD012C"/>
    <w:rsid w:val="00CD15F0"/>
    <w:rsid w:val="00CD4109"/>
    <w:rsid w:val="00CD5FFC"/>
    <w:rsid w:val="00CD6339"/>
    <w:rsid w:val="00CE276D"/>
    <w:rsid w:val="00CE307F"/>
    <w:rsid w:val="00CE606A"/>
    <w:rsid w:val="00CE6D88"/>
    <w:rsid w:val="00CE7CC4"/>
    <w:rsid w:val="00CF070D"/>
    <w:rsid w:val="00CF2FDE"/>
    <w:rsid w:val="00CF4971"/>
    <w:rsid w:val="00CF5676"/>
    <w:rsid w:val="00CF6DD7"/>
    <w:rsid w:val="00CF7C44"/>
    <w:rsid w:val="00D04EBF"/>
    <w:rsid w:val="00D06686"/>
    <w:rsid w:val="00D076A4"/>
    <w:rsid w:val="00D07AD8"/>
    <w:rsid w:val="00D1282F"/>
    <w:rsid w:val="00D13508"/>
    <w:rsid w:val="00D13AC5"/>
    <w:rsid w:val="00D16D15"/>
    <w:rsid w:val="00D16FD0"/>
    <w:rsid w:val="00D204A6"/>
    <w:rsid w:val="00D20847"/>
    <w:rsid w:val="00D219DF"/>
    <w:rsid w:val="00D21EC3"/>
    <w:rsid w:val="00D235CA"/>
    <w:rsid w:val="00D2395F"/>
    <w:rsid w:val="00D24679"/>
    <w:rsid w:val="00D24A96"/>
    <w:rsid w:val="00D2621F"/>
    <w:rsid w:val="00D27330"/>
    <w:rsid w:val="00D27602"/>
    <w:rsid w:val="00D31034"/>
    <w:rsid w:val="00D31995"/>
    <w:rsid w:val="00D345CD"/>
    <w:rsid w:val="00D34969"/>
    <w:rsid w:val="00D438F7"/>
    <w:rsid w:val="00D45083"/>
    <w:rsid w:val="00D46506"/>
    <w:rsid w:val="00D47B40"/>
    <w:rsid w:val="00D50437"/>
    <w:rsid w:val="00D51987"/>
    <w:rsid w:val="00D520A3"/>
    <w:rsid w:val="00D531CD"/>
    <w:rsid w:val="00D55C41"/>
    <w:rsid w:val="00D64D49"/>
    <w:rsid w:val="00D664D8"/>
    <w:rsid w:val="00D72D99"/>
    <w:rsid w:val="00D748CF"/>
    <w:rsid w:val="00D7490A"/>
    <w:rsid w:val="00D74CE7"/>
    <w:rsid w:val="00D7640E"/>
    <w:rsid w:val="00D766FD"/>
    <w:rsid w:val="00D76F14"/>
    <w:rsid w:val="00D81BE8"/>
    <w:rsid w:val="00D86069"/>
    <w:rsid w:val="00D867A9"/>
    <w:rsid w:val="00D871F7"/>
    <w:rsid w:val="00D879AD"/>
    <w:rsid w:val="00D90928"/>
    <w:rsid w:val="00D921BE"/>
    <w:rsid w:val="00D94926"/>
    <w:rsid w:val="00D94A1E"/>
    <w:rsid w:val="00D950C6"/>
    <w:rsid w:val="00D954A3"/>
    <w:rsid w:val="00D95676"/>
    <w:rsid w:val="00D95DCA"/>
    <w:rsid w:val="00D95EFC"/>
    <w:rsid w:val="00DA1387"/>
    <w:rsid w:val="00DA305E"/>
    <w:rsid w:val="00DA31C9"/>
    <w:rsid w:val="00DA3242"/>
    <w:rsid w:val="00DA4514"/>
    <w:rsid w:val="00DA4D85"/>
    <w:rsid w:val="00DA5F3F"/>
    <w:rsid w:val="00DA614E"/>
    <w:rsid w:val="00DB2644"/>
    <w:rsid w:val="00DB2AA4"/>
    <w:rsid w:val="00DB36F5"/>
    <w:rsid w:val="00DB3BE4"/>
    <w:rsid w:val="00DB4AE5"/>
    <w:rsid w:val="00DB7853"/>
    <w:rsid w:val="00DC0C3C"/>
    <w:rsid w:val="00DC18DD"/>
    <w:rsid w:val="00DC2DCD"/>
    <w:rsid w:val="00DC3796"/>
    <w:rsid w:val="00DC5B58"/>
    <w:rsid w:val="00DC6EC1"/>
    <w:rsid w:val="00DC7E74"/>
    <w:rsid w:val="00DD0660"/>
    <w:rsid w:val="00DD25A5"/>
    <w:rsid w:val="00DD363B"/>
    <w:rsid w:val="00DD40E8"/>
    <w:rsid w:val="00DD5396"/>
    <w:rsid w:val="00DD568D"/>
    <w:rsid w:val="00DD573F"/>
    <w:rsid w:val="00DE0439"/>
    <w:rsid w:val="00DE112B"/>
    <w:rsid w:val="00DE2A37"/>
    <w:rsid w:val="00DE4F7C"/>
    <w:rsid w:val="00DE7E91"/>
    <w:rsid w:val="00DF00F4"/>
    <w:rsid w:val="00DF2AB8"/>
    <w:rsid w:val="00DF36C3"/>
    <w:rsid w:val="00DF3717"/>
    <w:rsid w:val="00DF4957"/>
    <w:rsid w:val="00DF75D4"/>
    <w:rsid w:val="00E017D2"/>
    <w:rsid w:val="00E039FE"/>
    <w:rsid w:val="00E062AD"/>
    <w:rsid w:val="00E1062A"/>
    <w:rsid w:val="00E12670"/>
    <w:rsid w:val="00E12CDB"/>
    <w:rsid w:val="00E13288"/>
    <w:rsid w:val="00E13C85"/>
    <w:rsid w:val="00E140DB"/>
    <w:rsid w:val="00E15472"/>
    <w:rsid w:val="00E16F85"/>
    <w:rsid w:val="00E200E1"/>
    <w:rsid w:val="00E2087E"/>
    <w:rsid w:val="00E21218"/>
    <w:rsid w:val="00E2368E"/>
    <w:rsid w:val="00E24640"/>
    <w:rsid w:val="00E24732"/>
    <w:rsid w:val="00E2473B"/>
    <w:rsid w:val="00E25A21"/>
    <w:rsid w:val="00E26B2F"/>
    <w:rsid w:val="00E302B0"/>
    <w:rsid w:val="00E309FF"/>
    <w:rsid w:val="00E31932"/>
    <w:rsid w:val="00E31C1B"/>
    <w:rsid w:val="00E3280F"/>
    <w:rsid w:val="00E33723"/>
    <w:rsid w:val="00E33ADC"/>
    <w:rsid w:val="00E34149"/>
    <w:rsid w:val="00E36555"/>
    <w:rsid w:val="00E36939"/>
    <w:rsid w:val="00E401CD"/>
    <w:rsid w:val="00E4548E"/>
    <w:rsid w:val="00E45F4F"/>
    <w:rsid w:val="00E51C8F"/>
    <w:rsid w:val="00E60BC8"/>
    <w:rsid w:val="00E64E60"/>
    <w:rsid w:val="00E66BD0"/>
    <w:rsid w:val="00E678B6"/>
    <w:rsid w:val="00E75929"/>
    <w:rsid w:val="00E767C7"/>
    <w:rsid w:val="00E77DD3"/>
    <w:rsid w:val="00E80CAD"/>
    <w:rsid w:val="00E80CE5"/>
    <w:rsid w:val="00E82C93"/>
    <w:rsid w:val="00E83907"/>
    <w:rsid w:val="00E86C77"/>
    <w:rsid w:val="00E870E0"/>
    <w:rsid w:val="00E8764F"/>
    <w:rsid w:val="00E90D07"/>
    <w:rsid w:val="00E9435F"/>
    <w:rsid w:val="00E954BF"/>
    <w:rsid w:val="00E957BA"/>
    <w:rsid w:val="00E96121"/>
    <w:rsid w:val="00E96960"/>
    <w:rsid w:val="00EA0B55"/>
    <w:rsid w:val="00EA0C8B"/>
    <w:rsid w:val="00EA12B6"/>
    <w:rsid w:val="00EA29A3"/>
    <w:rsid w:val="00EA2B62"/>
    <w:rsid w:val="00EA2B8A"/>
    <w:rsid w:val="00EA3516"/>
    <w:rsid w:val="00EA566E"/>
    <w:rsid w:val="00EA5911"/>
    <w:rsid w:val="00EA62EC"/>
    <w:rsid w:val="00EA74D6"/>
    <w:rsid w:val="00EA76F9"/>
    <w:rsid w:val="00EA7AF4"/>
    <w:rsid w:val="00EB106E"/>
    <w:rsid w:val="00EB1B58"/>
    <w:rsid w:val="00EB27B7"/>
    <w:rsid w:val="00EB2A4D"/>
    <w:rsid w:val="00EB2BFD"/>
    <w:rsid w:val="00EB3012"/>
    <w:rsid w:val="00EB46DD"/>
    <w:rsid w:val="00EB4A2A"/>
    <w:rsid w:val="00EB5A16"/>
    <w:rsid w:val="00EB5DC2"/>
    <w:rsid w:val="00EC0F17"/>
    <w:rsid w:val="00EC38EC"/>
    <w:rsid w:val="00EC3A70"/>
    <w:rsid w:val="00EC41BB"/>
    <w:rsid w:val="00EC48DB"/>
    <w:rsid w:val="00EC6E75"/>
    <w:rsid w:val="00ED1B91"/>
    <w:rsid w:val="00ED20F2"/>
    <w:rsid w:val="00ED2A25"/>
    <w:rsid w:val="00ED3459"/>
    <w:rsid w:val="00ED3B44"/>
    <w:rsid w:val="00ED4113"/>
    <w:rsid w:val="00ED4121"/>
    <w:rsid w:val="00ED7128"/>
    <w:rsid w:val="00ED7203"/>
    <w:rsid w:val="00ED77EF"/>
    <w:rsid w:val="00ED7805"/>
    <w:rsid w:val="00EE0F73"/>
    <w:rsid w:val="00EE1299"/>
    <w:rsid w:val="00EE1700"/>
    <w:rsid w:val="00EE227F"/>
    <w:rsid w:val="00EE2F7F"/>
    <w:rsid w:val="00EF02B7"/>
    <w:rsid w:val="00EF303D"/>
    <w:rsid w:val="00EF3E4E"/>
    <w:rsid w:val="00EF475E"/>
    <w:rsid w:val="00F045C0"/>
    <w:rsid w:val="00F06292"/>
    <w:rsid w:val="00F06A78"/>
    <w:rsid w:val="00F07ADC"/>
    <w:rsid w:val="00F11433"/>
    <w:rsid w:val="00F1169D"/>
    <w:rsid w:val="00F1286B"/>
    <w:rsid w:val="00F13963"/>
    <w:rsid w:val="00F13999"/>
    <w:rsid w:val="00F13BAB"/>
    <w:rsid w:val="00F13BD3"/>
    <w:rsid w:val="00F1403C"/>
    <w:rsid w:val="00F15A80"/>
    <w:rsid w:val="00F21E28"/>
    <w:rsid w:val="00F22C9F"/>
    <w:rsid w:val="00F2510E"/>
    <w:rsid w:val="00F25338"/>
    <w:rsid w:val="00F2767C"/>
    <w:rsid w:val="00F27F44"/>
    <w:rsid w:val="00F30148"/>
    <w:rsid w:val="00F32EB2"/>
    <w:rsid w:val="00F33824"/>
    <w:rsid w:val="00F34C94"/>
    <w:rsid w:val="00F35823"/>
    <w:rsid w:val="00F415E7"/>
    <w:rsid w:val="00F440CF"/>
    <w:rsid w:val="00F44562"/>
    <w:rsid w:val="00F4628E"/>
    <w:rsid w:val="00F47E8C"/>
    <w:rsid w:val="00F50E48"/>
    <w:rsid w:val="00F524FE"/>
    <w:rsid w:val="00F5262B"/>
    <w:rsid w:val="00F528D3"/>
    <w:rsid w:val="00F52F1C"/>
    <w:rsid w:val="00F54F9A"/>
    <w:rsid w:val="00F57D27"/>
    <w:rsid w:val="00F57F90"/>
    <w:rsid w:val="00F6037C"/>
    <w:rsid w:val="00F604C2"/>
    <w:rsid w:val="00F60907"/>
    <w:rsid w:val="00F619AC"/>
    <w:rsid w:val="00F63BAD"/>
    <w:rsid w:val="00F647BA"/>
    <w:rsid w:val="00F64C0B"/>
    <w:rsid w:val="00F65136"/>
    <w:rsid w:val="00F65EF6"/>
    <w:rsid w:val="00F66D91"/>
    <w:rsid w:val="00F673C8"/>
    <w:rsid w:val="00F67A52"/>
    <w:rsid w:val="00F67FD3"/>
    <w:rsid w:val="00F708B2"/>
    <w:rsid w:val="00F74CBB"/>
    <w:rsid w:val="00F757DD"/>
    <w:rsid w:val="00F75AB4"/>
    <w:rsid w:val="00F75C2F"/>
    <w:rsid w:val="00F84435"/>
    <w:rsid w:val="00F848C5"/>
    <w:rsid w:val="00F84B55"/>
    <w:rsid w:val="00F85DBF"/>
    <w:rsid w:val="00F85F32"/>
    <w:rsid w:val="00F87F1A"/>
    <w:rsid w:val="00F90DB7"/>
    <w:rsid w:val="00F90E9F"/>
    <w:rsid w:val="00F913BD"/>
    <w:rsid w:val="00F927EF"/>
    <w:rsid w:val="00F94F04"/>
    <w:rsid w:val="00F9534F"/>
    <w:rsid w:val="00F95A24"/>
    <w:rsid w:val="00F95FF6"/>
    <w:rsid w:val="00FA0E11"/>
    <w:rsid w:val="00FA0EE8"/>
    <w:rsid w:val="00FA20C5"/>
    <w:rsid w:val="00FA24A2"/>
    <w:rsid w:val="00FA4355"/>
    <w:rsid w:val="00FA6503"/>
    <w:rsid w:val="00FA7884"/>
    <w:rsid w:val="00FB27EB"/>
    <w:rsid w:val="00FB42B8"/>
    <w:rsid w:val="00FB7B1C"/>
    <w:rsid w:val="00FB7F4F"/>
    <w:rsid w:val="00FC0DF4"/>
    <w:rsid w:val="00FC1F16"/>
    <w:rsid w:val="00FC34BE"/>
    <w:rsid w:val="00FC6337"/>
    <w:rsid w:val="00FD0442"/>
    <w:rsid w:val="00FD0892"/>
    <w:rsid w:val="00FD08AE"/>
    <w:rsid w:val="00FD1248"/>
    <w:rsid w:val="00FD2D65"/>
    <w:rsid w:val="00FD402B"/>
    <w:rsid w:val="00FD412B"/>
    <w:rsid w:val="00FD520D"/>
    <w:rsid w:val="00FD5FFF"/>
    <w:rsid w:val="00FD74C1"/>
    <w:rsid w:val="00FD7BA2"/>
    <w:rsid w:val="00FE13D9"/>
    <w:rsid w:val="00FE1AF1"/>
    <w:rsid w:val="00FE2BF6"/>
    <w:rsid w:val="00FE67A8"/>
    <w:rsid w:val="00FE792D"/>
    <w:rsid w:val="00FF7781"/>
    <w:rsid w:val="01C14477"/>
    <w:rsid w:val="03344F30"/>
    <w:rsid w:val="04860B7C"/>
    <w:rsid w:val="067D4FE5"/>
    <w:rsid w:val="069A42FC"/>
    <w:rsid w:val="0DAA6A00"/>
    <w:rsid w:val="0DD02DD3"/>
    <w:rsid w:val="116D40CE"/>
    <w:rsid w:val="118A578A"/>
    <w:rsid w:val="14810EAF"/>
    <w:rsid w:val="15F30ED3"/>
    <w:rsid w:val="1723312D"/>
    <w:rsid w:val="176F40F5"/>
    <w:rsid w:val="1B8B10BD"/>
    <w:rsid w:val="1BA06378"/>
    <w:rsid w:val="1CDE678C"/>
    <w:rsid w:val="1E5E3C95"/>
    <w:rsid w:val="21EB0680"/>
    <w:rsid w:val="23B056EF"/>
    <w:rsid w:val="2BB158C6"/>
    <w:rsid w:val="2C1E4F1D"/>
    <w:rsid w:val="2DA71B27"/>
    <w:rsid w:val="2E9A5E58"/>
    <w:rsid w:val="30DA6137"/>
    <w:rsid w:val="319E6917"/>
    <w:rsid w:val="352A01A3"/>
    <w:rsid w:val="3A1B3DB6"/>
    <w:rsid w:val="4022124D"/>
    <w:rsid w:val="42526E6C"/>
    <w:rsid w:val="4C565D6A"/>
    <w:rsid w:val="4D6D635E"/>
    <w:rsid w:val="508E6D5D"/>
    <w:rsid w:val="51BC0D53"/>
    <w:rsid w:val="533F3D19"/>
    <w:rsid w:val="53510EA5"/>
    <w:rsid w:val="585B6ACD"/>
    <w:rsid w:val="5A372C69"/>
    <w:rsid w:val="64FE3CB0"/>
    <w:rsid w:val="65C67C63"/>
    <w:rsid w:val="67665BD6"/>
    <w:rsid w:val="6B656E53"/>
    <w:rsid w:val="6E737E90"/>
    <w:rsid w:val="6E8E116E"/>
    <w:rsid w:val="72FA5E52"/>
    <w:rsid w:val="73650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5BC39A"/>
  <w15:docId w15:val="{A0DC4A47-3318-4E8C-BABE-FA9714915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uiPriority="99" w:qFormat="1"/>
    <w:lsdException w:name="annotation text" w:semiHidden="1" w:qFormat="1"/>
    <w:lsdException w:name="header" w:uiPriority="99" w:qFormat="1"/>
    <w:lsdException w:name="footer" w:uiPriority="99" w:qFormat="1"/>
    <w:lsdException w:name="caption" w:semiHidden="1" w:unhideWhenUsed="1" w:qFormat="1"/>
    <w:lsdException w:name="annotation reference" w:semiHidden="1" w:uiPriority="99" w:qFormat="1"/>
    <w:lsdException w:name="page number"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Indent 2" w:qFormat="1"/>
    <w:lsdException w:name="Body Text Indent 3" w:qFormat="1"/>
    <w:lsdException w:name="Hyperlink" w:uiPriority="99"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0"/>
    <w:qFormat/>
    <w:pPr>
      <w:keepNext/>
      <w:keepLines/>
      <w:spacing w:before="260" w:after="260" w:line="416" w:lineRule="auto"/>
      <w:outlineLvl w:val="1"/>
    </w:pPr>
    <w:rPr>
      <w:rFonts w:ascii="Arial" w:eastAsia="黑体" w:hAnsi="Arial"/>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pPr>
      <w:ind w:firstLineChars="200" w:firstLine="420"/>
    </w:pPr>
  </w:style>
  <w:style w:type="paragraph" w:styleId="a4">
    <w:name w:val="annotation subject"/>
    <w:basedOn w:val="a5"/>
    <w:next w:val="a5"/>
    <w:semiHidden/>
    <w:qFormat/>
    <w:rPr>
      <w:b/>
      <w:bCs/>
    </w:rPr>
  </w:style>
  <w:style w:type="paragraph" w:styleId="a5">
    <w:name w:val="annotation text"/>
    <w:basedOn w:val="a"/>
    <w:link w:val="a6"/>
    <w:semiHidden/>
    <w:qFormat/>
    <w:pPr>
      <w:jc w:val="left"/>
    </w:pPr>
  </w:style>
  <w:style w:type="paragraph" w:styleId="TOC7">
    <w:name w:val="toc 7"/>
    <w:basedOn w:val="a"/>
    <w:next w:val="a"/>
    <w:semiHidden/>
    <w:qFormat/>
    <w:pPr>
      <w:ind w:leftChars="1200" w:left="2520"/>
    </w:pPr>
  </w:style>
  <w:style w:type="paragraph" w:styleId="a7">
    <w:name w:val="Document Map"/>
    <w:basedOn w:val="a"/>
    <w:semiHidden/>
    <w:qFormat/>
    <w:pPr>
      <w:shd w:val="clear" w:color="auto" w:fill="000080"/>
    </w:pPr>
  </w:style>
  <w:style w:type="paragraph" w:styleId="a8">
    <w:name w:val="Body Text"/>
    <w:basedOn w:val="a"/>
    <w:qFormat/>
    <w:pPr>
      <w:spacing w:line="360" w:lineRule="auto"/>
    </w:pPr>
    <w:rPr>
      <w:rFonts w:ascii="仿宋_GB2312" w:eastAsia="仿宋_GB2312"/>
      <w:color w:val="000000"/>
      <w:kern w:val="0"/>
      <w:sz w:val="24"/>
      <w:szCs w:val="28"/>
    </w:rPr>
  </w:style>
  <w:style w:type="paragraph" w:styleId="a9">
    <w:name w:val="Body Text Indent"/>
    <w:basedOn w:val="a"/>
    <w:qFormat/>
    <w:pPr>
      <w:adjustRightInd w:val="0"/>
      <w:snapToGrid w:val="0"/>
      <w:spacing w:line="560" w:lineRule="exact"/>
      <w:ind w:firstLineChars="200" w:firstLine="480"/>
    </w:pPr>
    <w:rPr>
      <w:rFonts w:eastAsia="方正仿宋简体"/>
      <w:sz w:val="24"/>
      <w:szCs w:val="30"/>
    </w:rPr>
  </w:style>
  <w:style w:type="paragraph" w:styleId="TOC5">
    <w:name w:val="toc 5"/>
    <w:basedOn w:val="a"/>
    <w:next w:val="a"/>
    <w:semiHidden/>
    <w:qFormat/>
    <w:pPr>
      <w:ind w:leftChars="800" w:left="1680"/>
    </w:pPr>
  </w:style>
  <w:style w:type="paragraph" w:styleId="TOC3">
    <w:name w:val="toc 3"/>
    <w:basedOn w:val="a"/>
    <w:next w:val="a"/>
    <w:semiHidden/>
    <w:qFormat/>
    <w:pPr>
      <w:ind w:leftChars="400" w:left="840"/>
    </w:pPr>
  </w:style>
  <w:style w:type="paragraph" w:styleId="TOC8">
    <w:name w:val="toc 8"/>
    <w:basedOn w:val="a"/>
    <w:next w:val="a"/>
    <w:semiHidden/>
    <w:qFormat/>
    <w:pPr>
      <w:ind w:leftChars="1400" w:left="2940"/>
    </w:pPr>
  </w:style>
  <w:style w:type="paragraph" w:styleId="20">
    <w:name w:val="Body Text Indent 2"/>
    <w:basedOn w:val="a"/>
    <w:qFormat/>
    <w:pPr>
      <w:spacing w:line="360" w:lineRule="auto"/>
      <w:ind w:firstLine="525"/>
    </w:pPr>
    <w:rPr>
      <w:rFonts w:ascii="宋体" w:hAnsi="宋体"/>
      <w:sz w:val="28"/>
      <w:szCs w:val="20"/>
    </w:rPr>
  </w:style>
  <w:style w:type="paragraph" w:styleId="aa">
    <w:name w:val="Balloon Text"/>
    <w:basedOn w:val="a"/>
    <w:semiHidden/>
    <w:qFormat/>
    <w:rPr>
      <w:sz w:val="18"/>
      <w:szCs w:val="18"/>
    </w:rPr>
  </w:style>
  <w:style w:type="paragraph" w:styleId="ab">
    <w:name w:val="footer"/>
    <w:basedOn w:val="a"/>
    <w:link w:val="ac"/>
    <w:uiPriority w:val="99"/>
    <w:qFormat/>
    <w:pPr>
      <w:tabs>
        <w:tab w:val="center" w:pos="4153"/>
        <w:tab w:val="right" w:pos="8306"/>
      </w:tabs>
      <w:snapToGrid w:val="0"/>
      <w:jc w:val="left"/>
    </w:pPr>
    <w:rPr>
      <w:sz w:val="18"/>
      <w:szCs w:val="18"/>
      <w:lang w:val="zh-CN"/>
    </w:rPr>
  </w:style>
  <w:style w:type="paragraph" w:styleId="ad">
    <w:name w:val="header"/>
    <w:basedOn w:val="a"/>
    <w:link w:val="ae"/>
    <w:uiPriority w:val="99"/>
    <w:qFormat/>
    <w:pPr>
      <w:pBdr>
        <w:bottom w:val="single" w:sz="6" w:space="1" w:color="auto"/>
      </w:pBdr>
      <w:tabs>
        <w:tab w:val="center" w:pos="4153"/>
        <w:tab w:val="right" w:pos="8306"/>
      </w:tabs>
      <w:snapToGrid w:val="0"/>
      <w:jc w:val="center"/>
    </w:pPr>
    <w:rPr>
      <w:sz w:val="18"/>
      <w:szCs w:val="18"/>
      <w:lang w:val="zh-CN"/>
    </w:rPr>
  </w:style>
  <w:style w:type="paragraph" w:styleId="TOC1">
    <w:name w:val="toc 1"/>
    <w:basedOn w:val="a"/>
    <w:next w:val="a"/>
    <w:uiPriority w:val="39"/>
    <w:qFormat/>
  </w:style>
  <w:style w:type="paragraph" w:styleId="TOC4">
    <w:name w:val="toc 4"/>
    <w:basedOn w:val="a"/>
    <w:next w:val="a"/>
    <w:semiHidden/>
    <w:qFormat/>
    <w:pPr>
      <w:ind w:leftChars="600" w:left="1260"/>
    </w:pPr>
  </w:style>
  <w:style w:type="paragraph" w:styleId="TOC6">
    <w:name w:val="toc 6"/>
    <w:basedOn w:val="a"/>
    <w:next w:val="a"/>
    <w:semiHidden/>
    <w:qFormat/>
    <w:pPr>
      <w:ind w:leftChars="1000" w:left="2100"/>
    </w:pPr>
  </w:style>
  <w:style w:type="paragraph" w:styleId="3">
    <w:name w:val="Body Text Indent 3"/>
    <w:basedOn w:val="a"/>
    <w:qFormat/>
    <w:pPr>
      <w:adjustRightInd w:val="0"/>
      <w:snapToGrid w:val="0"/>
      <w:ind w:firstLineChars="200" w:firstLine="480"/>
    </w:pPr>
    <w:rPr>
      <w:rFonts w:ascii="仿宋_GB2312" w:eastAsia="仿宋_GB2312" w:hAnsi="宋体" w:cs="Arial"/>
      <w:color w:val="000000"/>
      <w:sz w:val="24"/>
    </w:rPr>
  </w:style>
  <w:style w:type="paragraph" w:styleId="TOC2">
    <w:name w:val="toc 2"/>
    <w:basedOn w:val="a"/>
    <w:next w:val="a"/>
    <w:uiPriority w:val="39"/>
    <w:qFormat/>
    <w:pPr>
      <w:ind w:leftChars="200" w:left="420"/>
    </w:pPr>
  </w:style>
  <w:style w:type="paragraph" w:styleId="TOC9">
    <w:name w:val="toc 9"/>
    <w:basedOn w:val="a"/>
    <w:next w:val="a"/>
    <w:semiHidden/>
    <w:qFormat/>
    <w:pPr>
      <w:ind w:leftChars="1600" w:left="3360"/>
    </w:pPr>
  </w:style>
  <w:style w:type="paragraph" w:styleId="af">
    <w:name w:val="Normal (Web)"/>
    <w:basedOn w:val="a"/>
    <w:uiPriority w:val="99"/>
    <w:qFormat/>
    <w:pPr>
      <w:widowControl/>
      <w:spacing w:before="100" w:beforeAutospacing="1" w:after="100" w:afterAutospacing="1"/>
      <w:jc w:val="left"/>
    </w:pPr>
    <w:rPr>
      <w:rFonts w:ascii="Arial Unicode MS" w:eastAsia="Arial Unicode MS" w:hAnsi="Arial Unicode MS" w:cs="Arial Unicode MS"/>
      <w:kern w:val="0"/>
      <w:sz w:val="24"/>
    </w:rPr>
  </w:style>
  <w:style w:type="paragraph" w:styleId="af0">
    <w:name w:val="Title"/>
    <w:basedOn w:val="a"/>
    <w:link w:val="af1"/>
    <w:qFormat/>
    <w:pPr>
      <w:spacing w:before="240" w:after="60"/>
      <w:jc w:val="center"/>
      <w:outlineLvl w:val="0"/>
    </w:pPr>
    <w:rPr>
      <w:rFonts w:ascii="Arial" w:hAnsi="Arial"/>
      <w:b/>
      <w:bCs/>
      <w:sz w:val="32"/>
      <w:szCs w:val="32"/>
      <w:lang w:val="zh-CN"/>
    </w:rPr>
  </w:style>
  <w:style w:type="character" w:styleId="af2">
    <w:name w:val="Strong"/>
    <w:uiPriority w:val="22"/>
    <w:qFormat/>
    <w:rPr>
      <w:b/>
      <w:bCs/>
    </w:rPr>
  </w:style>
  <w:style w:type="character" w:styleId="af3">
    <w:name w:val="page number"/>
    <w:basedOn w:val="a1"/>
    <w:qFormat/>
  </w:style>
  <w:style w:type="character" w:styleId="af4">
    <w:name w:val="Hyperlink"/>
    <w:uiPriority w:val="99"/>
    <w:qFormat/>
    <w:rPr>
      <w:color w:val="0000FF"/>
      <w:u w:val="single"/>
    </w:rPr>
  </w:style>
  <w:style w:type="character" w:styleId="af5">
    <w:name w:val="annotation reference"/>
    <w:uiPriority w:val="99"/>
    <w:semiHidden/>
    <w:qFormat/>
    <w:rPr>
      <w:sz w:val="21"/>
      <w:szCs w:val="21"/>
    </w:rPr>
  </w:style>
  <w:style w:type="paragraph" w:customStyle="1" w:styleId="wz1">
    <w:name w:val="wz1"/>
    <w:basedOn w:val="a"/>
    <w:qFormat/>
    <w:pPr>
      <w:widowControl/>
      <w:spacing w:before="100" w:beforeAutospacing="1" w:after="100" w:afterAutospacing="1" w:line="245" w:lineRule="atLeast"/>
      <w:jc w:val="left"/>
    </w:pPr>
    <w:rPr>
      <w:rFonts w:ascii="Arial Unicode MS" w:eastAsia="Arial Unicode MS" w:hAnsi="Arial Unicode MS" w:cs="Arial Unicode MS"/>
      <w:color w:val="CC0000"/>
      <w:kern w:val="0"/>
      <w:sz w:val="22"/>
      <w:szCs w:val="22"/>
    </w:rPr>
  </w:style>
  <w:style w:type="character" w:customStyle="1" w:styleId="read">
    <w:name w:val="read"/>
    <w:basedOn w:val="a1"/>
    <w:qFormat/>
  </w:style>
  <w:style w:type="character" w:customStyle="1" w:styleId="11">
    <w:name w:val="已访问的超链接1"/>
    <w:qFormat/>
    <w:rPr>
      <w:color w:val="800080"/>
      <w:u w:val="single"/>
    </w:rPr>
  </w:style>
  <w:style w:type="paragraph" w:customStyle="1" w:styleId="Char">
    <w:name w:val="Char"/>
    <w:basedOn w:val="a"/>
    <w:qFormat/>
  </w:style>
  <w:style w:type="paragraph" w:customStyle="1" w:styleId="Char1">
    <w:name w:val="Char1"/>
    <w:basedOn w:val="a"/>
    <w:qFormat/>
    <w:pPr>
      <w:tabs>
        <w:tab w:val="left" w:pos="832"/>
      </w:tabs>
      <w:ind w:left="832" w:hanging="420"/>
      <w:jc w:val="center"/>
    </w:pPr>
    <w:rPr>
      <w:rFonts w:ascii="楷体_GB2312" w:eastAsia="楷体_GB2312"/>
      <w:b/>
      <w:color w:val="000080"/>
      <w:sz w:val="30"/>
      <w:szCs w:val="30"/>
    </w:rPr>
  </w:style>
  <w:style w:type="paragraph" w:customStyle="1" w:styleId="Char2">
    <w:name w:val="Char2"/>
    <w:basedOn w:val="a"/>
    <w:qFormat/>
  </w:style>
  <w:style w:type="paragraph" w:customStyle="1" w:styleId="CharCharCharCharCharCharChar">
    <w:name w:val="Char Char Char Char Char Char Char"/>
    <w:basedOn w:val="a"/>
    <w:qFormat/>
  </w:style>
  <w:style w:type="paragraph" w:customStyle="1" w:styleId="Default">
    <w:name w:val="Default"/>
    <w:qFormat/>
    <w:pPr>
      <w:widowControl w:val="0"/>
      <w:autoSpaceDE w:val="0"/>
      <w:autoSpaceDN w:val="0"/>
      <w:adjustRightInd w:val="0"/>
    </w:pPr>
    <w:rPr>
      <w:rFonts w:ascii="宋体"/>
      <w:color w:val="000000"/>
      <w:sz w:val="24"/>
      <w:szCs w:val="24"/>
    </w:rPr>
  </w:style>
  <w:style w:type="character" w:customStyle="1" w:styleId="a6">
    <w:name w:val="批注文字 字符"/>
    <w:link w:val="a5"/>
    <w:qFormat/>
    <w:rPr>
      <w:rFonts w:eastAsia="宋体"/>
      <w:kern w:val="2"/>
      <w:sz w:val="21"/>
      <w:szCs w:val="24"/>
      <w:lang w:val="en-US" w:eastAsia="zh-CN" w:bidi="ar-SA"/>
    </w:rPr>
  </w:style>
  <w:style w:type="paragraph" w:customStyle="1" w:styleId="12">
    <w:name w:val="修订1"/>
    <w:hidden/>
    <w:uiPriority w:val="99"/>
    <w:semiHidden/>
    <w:qFormat/>
    <w:rPr>
      <w:kern w:val="2"/>
      <w:sz w:val="21"/>
      <w:szCs w:val="24"/>
    </w:rPr>
  </w:style>
  <w:style w:type="character" w:customStyle="1" w:styleId="af1">
    <w:name w:val="标题 字符"/>
    <w:link w:val="af0"/>
    <w:qFormat/>
    <w:rPr>
      <w:rFonts w:ascii="Arial" w:hAnsi="Arial" w:cs="Arial"/>
      <w:b/>
      <w:bCs/>
      <w:kern w:val="2"/>
      <w:sz w:val="32"/>
      <w:szCs w:val="32"/>
    </w:rPr>
  </w:style>
  <w:style w:type="character" w:customStyle="1" w:styleId="ac">
    <w:name w:val="页脚 字符"/>
    <w:link w:val="ab"/>
    <w:uiPriority w:val="99"/>
    <w:qFormat/>
    <w:rPr>
      <w:kern w:val="2"/>
      <w:sz w:val="18"/>
      <w:szCs w:val="18"/>
    </w:rPr>
  </w:style>
  <w:style w:type="character" w:customStyle="1" w:styleId="ae">
    <w:name w:val="页眉 字符"/>
    <w:link w:val="ad"/>
    <w:uiPriority w:val="99"/>
    <w:qFormat/>
    <w:rPr>
      <w:kern w:val="2"/>
      <w:sz w:val="18"/>
      <w:szCs w:val="18"/>
    </w:rPr>
  </w:style>
  <w:style w:type="character" w:customStyle="1" w:styleId="10">
    <w:name w:val="标题 1 字符"/>
    <w:link w:val="1"/>
    <w:qFormat/>
    <w:rPr>
      <w:b/>
      <w:bCs/>
      <w:kern w:val="44"/>
      <w:sz w:val="44"/>
      <w:szCs w:val="44"/>
    </w:rPr>
  </w:style>
  <w:style w:type="paragraph" w:customStyle="1" w:styleId="Char3">
    <w:name w:val="Char3"/>
    <w:basedOn w:val="a"/>
    <w:qFormat/>
  </w:style>
  <w:style w:type="paragraph" w:customStyle="1" w:styleId="Char11">
    <w:name w:val="Char11"/>
    <w:basedOn w:val="a"/>
    <w:qFormat/>
    <w:pPr>
      <w:tabs>
        <w:tab w:val="left" w:pos="832"/>
      </w:tabs>
      <w:ind w:left="832" w:hanging="420"/>
      <w:jc w:val="center"/>
    </w:pPr>
    <w:rPr>
      <w:rFonts w:ascii="楷体_GB2312" w:eastAsia="楷体_GB2312"/>
      <w:b/>
      <w:color w:val="000080"/>
      <w:sz w:val="30"/>
      <w:szCs w:val="30"/>
    </w:rPr>
  </w:style>
  <w:style w:type="paragraph" w:customStyle="1" w:styleId="CharCharCharCharCharCharChar1">
    <w:name w:val="Char Char Char Char Char Char Char1"/>
    <w:basedOn w:val="a"/>
    <w:qFormat/>
  </w:style>
  <w:style w:type="paragraph" w:customStyle="1" w:styleId="21">
    <w:name w:val="修订2"/>
    <w:hidden/>
    <w:uiPriority w:val="99"/>
    <w:semiHidden/>
    <w:qFormat/>
    <w:rPr>
      <w:kern w:val="2"/>
      <w:sz w:val="21"/>
      <w:szCs w:val="24"/>
    </w:rPr>
  </w:style>
  <w:style w:type="paragraph" w:customStyle="1" w:styleId="30">
    <w:name w:val="修订3"/>
    <w:hidden/>
    <w:uiPriority w:val="99"/>
    <w:unhideWhenUsed/>
    <w:qFormat/>
    <w:rPr>
      <w:kern w:val="2"/>
      <w:sz w:val="21"/>
      <w:szCs w:val="24"/>
    </w:rPr>
  </w:style>
  <w:style w:type="paragraph" w:customStyle="1" w:styleId="4">
    <w:name w:val="修订4"/>
    <w:hidden/>
    <w:uiPriority w:val="99"/>
    <w:unhideWhenUsed/>
    <w:qFormat/>
    <w:rPr>
      <w:kern w:val="2"/>
      <w:sz w:val="21"/>
      <w:szCs w:val="24"/>
    </w:rPr>
  </w:style>
  <w:style w:type="paragraph" w:customStyle="1" w:styleId="5">
    <w:name w:val="修订5"/>
    <w:hidden/>
    <w:uiPriority w:val="99"/>
    <w:unhideWhenUsed/>
    <w:qFormat/>
    <w:rPr>
      <w:kern w:val="2"/>
      <w:sz w:val="21"/>
      <w:szCs w:val="24"/>
    </w:rPr>
  </w:style>
  <w:style w:type="paragraph" w:customStyle="1" w:styleId="6">
    <w:name w:val="修订6"/>
    <w:hidden/>
    <w:uiPriority w:val="99"/>
    <w:unhideWhenUsed/>
    <w:qFormat/>
    <w:rPr>
      <w:kern w:val="2"/>
      <w:sz w:val="21"/>
      <w:szCs w:val="24"/>
    </w:rPr>
  </w:style>
  <w:style w:type="paragraph" w:customStyle="1" w:styleId="7">
    <w:name w:val="修订7"/>
    <w:hidden/>
    <w:uiPriority w:val="99"/>
    <w:semiHidden/>
    <w:qFormat/>
    <w:rPr>
      <w:kern w:val="2"/>
      <w:sz w:val="21"/>
      <w:szCs w:val="24"/>
    </w:rPr>
  </w:style>
  <w:style w:type="paragraph" w:customStyle="1" w:styleId="8">
    <w:name w:val="修订8"/>
    <w:hidden/>
    <w:uiPriority w:val="99"/>
    <w:unhideWhenUsed/>
    <w:qFormat/>
    <w:rPr>
      <w:kern w:val="2"/>
      <w:sz w:val="21"/>
      <w:szCs w:val="24"/>
    </w:rPr>
  </w:style>
  <w:style w:type="paragraph" w:customStyle="1" w:styleId="9">
    <w:name w:val="修订9"/>
    <w:hidden/>
    <w:uiPriority w:val="99"/>
    <w:unhideWhenUsed/>
    <w:qFormat/>
    <w:rPr>
      <w:kern w:val="2"/>
      <w:sz w:val="21"/>
      <w:szCs w:val="24"/>
    </w:rPr>
  </w:style>
  <w:style w:type="paragraph" w:customStyle="1" w:styleId="100">
    <w:name w:val="修订10"/>
    <w:hidden/>
    <w:uiPriority w:val="99"/>
    <w:unhideWhenUsed/>
    <w:qFormat/>
    <w:rPr>
      <w:kern w:val="2"/>
      <w:sz w:val="21"/>
      <w:szCs w:val="24"/>
    </w:rPr>
  </w:style>
  <w:style w:type="paragraph" w:customStyle="1" w:styleId="110">
    <w:name w:val="修订11"/>
    <w:hidden/>
    <w:uiPriority w:val="99"/>
    <w:unhideWhenUsed/>
    <w:qFormat/>
    <w:rPr>
      <w:kern w:val="2"/>
      <w:sz w:val="21"/>
      <w:szCs w:val="24"/>
    </w:rPr>
  </w:style>
  <w:style w:type="paragraph" w:customStyle="1" w:styleId="120">
    <w:name w:val="修订12"/>
    <w:hidden/>
    <w:uiPriority w:val="99"/>
    <w:unhideWhenUsed/>
    <w:qFormat/>
    <w:rPr>
      <w:kern w:val="2"/>
      <w:sz w:val="21"/>
      <w:szCs w:val="24"/>
    </w:rPr>
  </w:style>
  <w:style w:type="paragraph" w:styleId="af6">
    <w:name w:val="Revision"/>
    <w:hidden/>
    <w:uiPriority w:val="99"/>
    <w:unhideWhenUsed/>
    <w:rsid w:val="00320CDD"/>
    <w:pPr>
      <w:spacing w:after="0" w:line="240" w:lineRule="auto"/>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endnotes" Target="endnotes.xml"/><Relationship Id="rId21" Type="http://schemas.openxmlformats.org/officeDocument/2006/relationships/customXml" Target="../customXml/item21.xml"/><Relationship Id="rId34" Type="http://schemas.openxmlformats.org/officeDocument/2006/relationships/customXml" Target="../customXml/item34.xml"/><Relationship Id="rId42" Type="http://schemas.openxmlformats.org/officeDocument/2006/relationships/footer" Target="foot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customXml" Target="../customXml/item29.xm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customXml" Target="../customXml/item32.xml"/><Relationship Id="rId37" Type="http://schemas.openxmlformats.org/officeDocument/2006/relationships/webSettings" Target="webSettings.xml"/><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customXml" Target="../customXml/item31.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styles" Target="styles.xml"/><Relationship Id="rId43" Type="http://schemas.openxmlformats.org/officeDocument/2006/relationships/fontTable" Target="fontTable.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customXml" Target="../customXml/item33.xml"/><Relationship Id="rId38"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s:customData xmlns="http://www.wps.cn/officeDocument/2013/wpsCustomData" xmlns:s="http://www.wps.cn/officeDocument/2013/wpsCustomData">
  <customSectProps>
    <customSectPr/>
    <customSectPr/>
    <customSectPr/>
  </customSectProps>
</s:customDat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27.xml><?xml version="1.0" encoding="utf-8"?>
<b:Sources xmlns:b="http://schemas.openxmlformats.org/officeDocument/2006/bibliography" xmlns="http://schemas.openxmlformats.org/officeDocument/2006/bibliography" SelectedStyle="\APA.XSL" StyleName="APA"/>
</file>

<file path=customXml/item28.xml><?xml version="1.0" encoding="utf-8"?>
<b:Sources xmlns:b="http://schemas.openxmlformats.org/officeDocument/2006/bibliography" xmlns="http://schemas.openxmlformats.org/officeDocument/2006/bibliography" SelectedStyle="\APA.XSL" StyleName="APA"/>
</file>

<file path=customXml/item29.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30.xml><?xml version="1.0" encoding="utf-8"?>
<b:Sources xmlns:b="http://schemas.openxmlformats.org/officeDocument/2006/bibliography" xmlns="http://schemas.openxmlformats.org/officeDocument/2006/bibliography" SelectedStyle="\APA.XSL" StyleName="APA"/>
</file>

<file path=customXml/item31.xml><?xml version="1.0" encoding="utf-8"?>
<b:Sources xmlns:b="http://schemas.openxmlformats.org/officeDocument/2006/bibliography" xmlns="http://schemas.openxmlformats.org/officeDocument/2006/bibliography" SelectedStyle="\APA.XSL" StyleName="APA"/>
</file>

<file path=customXml/item32.xml><?xml version="1.0" encoding="utf-8"?>
<b:Sources xmlns:b="http://schemas.openxmlformats.org/officeDocument/2006/bibliography" xmlns="http://schemas.openxmlformats.org/officeDocument/2006/bibliography" SelectedStyle="\APA.XSL" StyleName="APA"/>
</file>

<file path=customXml/item33.xml><?xml version="1.0" encoding="utf-8"?>
<b:Sources xmlns:b="http://schemas.openxmlformats.org/officeDocument/2006/bibliography" xmlns="http://schemas.openxmlformats.org/officeDocument/2006/bibliography" SelectedStyle="\APA.XSL" StyleName="APA"/>
</file>

<file path=customXml/item34.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BBA24-A19B-4C45-8C41-DB4F80FCABA0}">
  <ds:schemaRefs>
    <ds:schemaRef ds:uri="http://schemas.openxmlformats.org/officeDocument/2006/bibliography"/>
  </ds:schemaRefs>
</ds:datastoreItem>
</file>

<file path=customXml/itemProps10.xml><?xml version="1.0" encoding="utf-8"?>
<ds:datastoreItem xmlns:ds="http://schemas.openxmlformats.org/officeDocument/2006/customXml" ds:itemID="{44264644-8555-4D06-9736-5FCA31D96809}">
  <ds:schemaRefs>
    <ds:schemaRef ds:uri="http://schemas.openxmlformats.org/officeDocument/2006/bibliography"/>
  </ds:schemaRefs>
</ds:datastoreItem>
</file>

<file path=customXml/itemProps11.xml><?xml version="1.0" encoding="utf-8"?>
<ds:datastoreItem xmlns:ds="http://schemas.openxmlformats.org/officeDocument/2006/customXml" ds:itemID="{29AA3CE4-9AB7-4AE6-A8A8-547F630BC735}">
  <ds:schemaRefs>
    <ds:schemaRef ds:uri="http://schemas.openxmlformats.org/officeDocument/2006/bibliography"/>
  </ds:schemaRefs>
</ds:datastoreItem>
</file>

<file path=customXml/itemProps12.xml><?xml version="1.0" encoding="utf-8"?>
<ds:datastoreItem xmlns:ds="http://schemas.openxmlformats.org/officeDocument/2006/customXml" ds:itemID="{2F439CAD-3DC3-47FF-9DF6-21CA8107074F}">
  <ds:schemaRefs>
    <ds:schemaRef ds:uri="http://schemas.openxmlformats.org/officeDocument/2006/bibliography"/>
  </ds:schemaRefs>
</ds:datastoreItem>
</file>

<file path=customXml/itemProps13.xml><?xml version="1.0" encoding="utf-8"?>
<ds:datastoreItem xmlns:ds="http://schemas.openxmlformats.org/officeDocument/2006/customXml" ds:itemID="{DDA4DAF4-9C85-43B9-9A6C-4A89839FF299}">
  <ds:schemaRefs>
    <ds:schemaRef ds:uri="http://schemas.openxmlformats.org/officeDocument/2006/bibliography"/>
  </ds:schemaRefs>
</ds:datastoreItem>
</file>

<file path=customXml/itemProps14.xml><?xml version="1.0" encoding="utf-8"?>
<ds:datastoreItem xmlns:ds="http://schemas.openxmlformats.org/officeDocument/2006/customXml" ds:itemID="{727B8014-068A-4454-8ED7-CFDC1D0C0445}">
  <ds:schemaRefs>
    <ds:schemaRef ds:uri="http://schemas.openxmlformats.org/officeDocument/2006/bibliography"/>
  </ds:schemaRefs>
</ds:datastoreItem>
</file>

<file path=customXml/itemProps15.xml><?xml version="1.0" encoding="utf-8"?>
<ds:datastoreItem xmlns:ds="http://schemas.openxmlformats.org/officeDocument/2006/customXml" ds:itemID="{0BCEFF55-A7DA-4908-B4B7-80791386FA26}">
  <ds:schemaRefs>
    <ds:schemaRef ds:uri="http://schemas.openxmlformats.org/officeDocument/2006/bibliography"/>
  </ds:schemaRefs>
</ds:datastoreItem>
</file>

<file path=customXml/itemProps16.xml><?xml version="1.0" encoding="utf-8"?>
<ds:datastoreItem xmlns:ds="http://schemas.openxmlformats.org/officeDocument/2006/customXml" ds:itemID="{7C5078FA-699E-435A-91FD-9C0EAF83E7B3}">
  <ds:schemaRefs>
    <ds:schemaRef ds:uri="http://schemas.openxmlformats.org/officeDocument/2006/bibliography"/>
  </ds:schemaRefs>
</ds:datastoreItem>
</file>

<file path=customXml/itemProps17.xml><?xml version="1.0" encoding="utf-8"?>
<ds:datastoreItem xmlns:ds="http://schemas.openxmlformats.org/officeDocument/2006/customXml" ds:itemID="{4C49AD3A-810A-480C-BDFE-2D9708AD79E8}">
  <ds:schemaRefs>
    <ds:schemaRef ds:uri="http://schemas.openxmlformats.org/officeDocument/2006/bibliography"/>
  </ds:schemaRefs>
</ds:datastoreItem>
</file>

<file path=customXml/itemProps18.xml><?xml version="1.0" encoding="utf-8"?>
<ds:datastoreItem xmlns:ds="http://schemas.openxmlformats.org/officeDocument/2006/customXml" ds:itemID="{798B247C-CEF1-4D17-A60F-95C8BCF2056B}">
  <ds:schemaRefs>
    <ds:schemaRef ds:uri="http://schemas.openxmlformats.org/officeDocument/2006/bibliography"/>
  </ds:schemaRefs>
</ds:datastoreItem>
</file>

<file path=customXml/itemProps19.xml><?xml version="1.0" encoding="utf-8"?>
<ds:datastoreItem xmlns:ds="http://schemas.openxmlformats.org/officeDocument/2006/customXml" ds:itemID="{8B637917-BB15-4510-8A94-42737DE098BA}">
  <ds:schemaRefs>
    <ds:schemaRef ds:uri="http://schemas.openxmlformats.org/officeDocument/2006/bibliography"/>
  </ds:schemaRefs>
</ds:datastoreItem>
</file>

<file path=customXml/itemProps2.xml><?xml version="1.0" encoding="utf-8"?>
<ds:datastoreItem xmlns:ds="http://schemas.openxmlformats.org/officeDocument/2006/customXml" ds:itemID="{4EDEFA2E-FAE0-48AF-959E-03B16ECEDD6F}">
  <ds:schemaRefs>
    <ds:schemaRef ds:uri="http://schemas.openxmlformats.org/officeDocument/2006/bibliography"/>
  </ds:schemaRefs>
</ds:datastoreItem>
</file>

<file path=customXml/itemProps20.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1.xml><?xml version="1.0" encoding="utf-8"?>
<ds:datastoreItem xmlns:ds="http://schemas.openxmlformats.org/officeDocument/2006/customXml" ds:itemID="{F63DC301-DA78-4976-A0F1-FCC0C3F267A6}">
  <ds:schemaRefs>
    <ds:schemaRef ds:uri="http://schemas.openxmlformats.org/officeDocument/2006/bibliography"/>
  </ds:schemaRefs>
</ds:datastoreItem>
</file>

<file path=customXml/itemProps22.xml><?xml version="1.0" encoding="utf-8"?>
<ds:datastoreItem xmlns:ds="http://schemas.openxmlformats.org/officeDocument/2006/customXml" ds:itemID="{0BE2C3BB-9CF9-4A69-A177-FECE553474DF}">
  <ds:schemaRefs>
    <ds:schemaRef ds:uri="http://schemas.openxmlformats.org/officeDocument/2006/bibliography"/>
  </ds:schemaRefs>
</ds:datastoreItem>
</file>

<file path=customXml/itemProps23.xml><?xml version="1.0" encoding="utf-8"?>
<ds:datastoreItem xmlns:ds="http://schemas.openxmlformats.org/officeDocument/2006/customXml" ds:itemID="{392D2BBF-6511-45CB-B56C-A6188871ECC6}">
  <ds:schemaRefs>
    <ds:schemaRef ds:uri="http://schemas.openxmlformats.org/officeDocument/2006/bibliography"/>
  </ds:schemaRefs>
</ds:datastoreItem>
</file>

<file path=customXml/itemProps24.xml><?xml version="1.0" encoding="utf-8"?>
<ds:datastoreItem xmlns:ds="http://schemas.openxmlformats.org/officeDocument/2006/customXml" ds:itemID="{C2095681-D6F5-4DDC-9A9B-9D6DD9C7F542}">
  <ds:schemaRefs>
    <ds:schemaRef ds:uri="http://schemas.openxmlformats.org/officeDocument/2006/bibliography"/>
  </ds:schemaRefs>
</ds:datastoreItem>
</file>

<file path=customXml/itemProps25.xml><?xml version="1.0" encoding="utf-8"?>
<ds:datastoreItem xmlns:ds="http://schemas.openxmlformats.org/officeDocument/2006/customXml" ds:itemID="{B83EB993-7D09-4A54-8DC5-3CD59CBB1089}">
  <ds:schemaRefs>
    <ds:schemaRef ds:uri="http://schemas.openxmlformats.org/officeDocument/2006/bibliography"/>
  </ds:schemaRefs>
</ds:datastoreItem>
</file>

<file path=customXml/itemProps26.xml><?xml version="1.0" encoding="utf-8"?>
<ds:datastoreItem xmlns:ds="http://schemas.openxmlformats.org/officeDocument/2006/customXml" ds:itemID="{B8C78F54-35F1-42AC-A7FC-EEBF2567C667}">
  <ds:schemaRefs>
    <ds:schemaRef ds:uri="http://schemas.openxmlformats.org/officeDocument/2006/bibliography"/>
  </ds:schemaRefs>
</ds:datastoreItem>
</file>

<file path=customXml/itemProps27.xml><?xml version="1.0" encoding="utf-8"?>
<ds:datastoreItem xmlns:ds="http://schemas.openxmlformats.org/officeDocument/2006/customXml" ds:itemID="{60924FB7-432C-4F7D-BB70-E0F0D874381B}">
  <ds:schemaRefs>
    <ds:schemaRef ds:uri="http://schemas.openxmlformats.org/officeDocument/2006/bibliography"/>
  </ds:schemaRefs>
</ds:datastoreItem>
</file>

<file path=customXml/itemProps28.xml><?xml version="1.0" encoding="utf-8"?>
<ds:datastoreItem xmlns:ds="http://schemas.openxmlformats.org/officeDocument/2006/customXml" ds:itemID="{B414CFF0-1611-4BF5-9DDD-BFC18829BF1B}">
  <ds:schemaRefs>
    <ds:schemaRef ds:uri="http://schemas.openxmlformats.org/officeDocument/2006/bibliography"/>
  </ds:schemaRefs>
</ds:datastoreItem>
</file>

<file path=customXml/itemProps29.xml><?xml version="1.0" encoding="utf-8"?>
<ds:datastoreItem xmlns:ds="http://schemas.openxmlformats.org/officeDocument/2006/customXml" ds:itemID="{6150B032-C7C0-4737-BD5B-9C93E964D5A5}">
  <ds:schemaRefs>
    <ds:schemaRef ds:uri="http://schemas.openxmlformats.org/officeDocument/2006/bibliography"/>
  </ds:schemaRefs>
</ds:datastoreItem>
</file>

<file path=customXml/itemProps3.xml><?xml version="1.0" encoding="utf-8"?>
<ds:datastoreItem xmlns:ds="http://schemas.openxmlformats.org/officeDocument/2006/customXml" ds:itemID="{15948172-A3A9-40D3-A5D5-AC7688EEF74E}">
  <ds:schemaRefs>
    <ds:schemaRef ds:uri="http://schemas.openxmlformats.org/officeDocument/2006/bibliography"/>
  </ds:schemaRefs>
</ds:datastoreItem>
</file>

<file path=customXml/itemProps30.xml><?xml version="1.0" encoding="utf-8"?>
<ds:datastoreItem xmlns:ds="http://schemas.openxmlformats.org/officeDocument/2006/customXml" ds:itemID="{E1DA575F-D420-483C-B72A-CD00AB8D0322}">
  <ds:schemaRefs>
    <ds:schemaRef ds:uri="http://schemas.openxmlformats.org/officeDocument/2006/bibliography"/>
  </ds:schemaRefs>
</ds:datastoreItem>
</file>

<file path=customXml/itemProps31.xml><?xml version="1.0" encoding="utf-8"?>
<ds:datastoreItem xmlns:ds="http://schemas.openxmlformats.org/officeDocument/2006/customXml" ds:itemID="{D45109C9-1E7F-484D-AC53-6764CF55FECD}">
  <ds:schemaRefs>
    <ds:schemaRef ds:uri="http://schemas.openxmlformats.org/officeDocument/2006/bibliography"/>
  </ds:schemaRefs>
</ds:datastoreItem>
</file>

<file path=customXml/itemProps32.xml><?xml version="1.0" encoding="utf-8"?>
<ds:datastoreItem xmlns:ds="http://schemas.openxmlformats.org/officeDocument/2006/customXml" ds:itemID="{7B49A8AA-82A0-49B2-A379-61B3F26CE042}">
  <ds:schemaRefs>
    <ds:schemaRef ds:uri="http://schemas.openxmlformats.org/officeDocument/2006/bibliography"/>
  </ds:schemaRefs>
</ds:datastoreItem>
</file>

<file path=customXml/itemProps33.xml><?xml version="1.0" encoding="utf-8"?>
<ds:datastoreItem xmlns:ds="http://schemas.openxmlformats.org/officeDocument/2006/customXml" ds:itemID="{A13C2217-6B2A-49A5-98D5-BBD0C0195814}">
  <ds:schemaRefs>
    <ds:schemaRef ds:uri="http://schemas.openxmlformats.org/officeDocument/2006/bibliography"/>
  </ds:schemaRefs>
</ds:datastoreItem>
</file>

<file path=customXml/itemProps34.xml><?xml version="1.0" encoding="utf-8"?>
<ds:datastoreItem xmlns:ds="http://schemas.openxmlformats.org/officeDocument/2006/customXml" ds:itemID="{C227FAA4-9FE2-4665-BB5A-22FD0B96877B}">
  <ds:schemaRefs>
    <ds:schemaRef ds:uri="http://schemas.openxmlformats.org/officeDocument/2006/bibliography"/>
  </ds:schemaRefs>
</ds:datastoreItem>
</file>

<file path=customXml/itemProps4.xml><?xml version="1.0" encoding="utf-8"?>
<ds:datastoreItem xmlns:ds="http://schemas.openxmlformats.org/officeDocument/2006/customXml" ds:itemID="{6AB13980-E1FE-4394-9FBA-A346A37FB268}">
  <ds:schemaRefs>
    <ds:schemaRef ds:uri="http://schemas.openxmlformats.org/officeDocument/2006/bibliography"/>
  </ds:schemaRefs>
</ds:datastoreItem>
</file>

<file path=customXml/itemProps5.xml><?xml version="1.0" encoding="utf-8"?>
<ds:datastoreItem xmlns:ds="http://schemas.openxmlformats.org/officeDocument/2006/customXml" ds:itemID="{16D7BBB1-4399-4F5F-B643-FC3EEEFDC95A}">
  <ds:schemaRefs>
    <ds:schemaRef ds:uri="http://schemas.openxmlformats.org/officeDocument/2006/bibliography"/>
  </ds:schemaRefs>
</ds:datastoreItem>
</file>

<file path=customXml/itemProps6.xml><?xml version="1.0" encoding="utf-8"?>
<ds:datastoreItem xmlns:ds="http://schemas.openxmlformats.org/officeDocument/2006/customXml" ds:itemID="{686A32A1-246F-4CBC-BDF5-B2C59D1A01E7}">
  <ds:schemaRefs>
    <ds:schemaRef ds:uri="http://schemas.openxmlformats.org/officeDocument/2006/bibliography"/>
  </ds:schemaRefs>
</ds:datastoreItem>
</file>

<file path=customXml/itemProps7.xml><?xml version="1.0" encoding="utf-8"?>
<ds:datastoreItem xmlns:ds="http://schemas.openxmlformats.org/officeDocument/2006/customXml" ds:itemID="{B9EF6250-3C8A-41C1-BA72-DF0BBEF3D341}">
  <ds:schemaRefs>
    <ds:schemaRef ds:uri="http://schemas.openxmlformats.org/officeDocument/2006/bibliography"/>
  </ds:schemaRefs>
</ds:datastoreItem>
</file>

<file path=customXml/itemProps8.xml><?xml version="1.0" encoding="utf-8"?>
<ds:datastoreItem xmlns:ds="http://schemas.openxmlformats.org/officeDocument/2006/customXml" ds:itemID="{179972A5-CB4E-4290-B635-C28DB2D0C05B}">
  <ds:schemaRefs>
    <ds:schemaRef ds:uri="http://schemas.openxmlformats.org/officeDocument/2006/bibliography"/>
  </ds:schemaRefs>
</ds:datastoreItem>
</file>

<file path=customXml/itemProps9.xml><?xml version="1.0" encoding="utf-8"?>
<ds:datastoreItem xmlns:ds="http://schemas.openxmlformats.org/officeDocument/2006/customXml" ds:itemID="{CF24608A-EC7D-4175-AA76-D01EB97AD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49</Pages>
  <Words>4417</Words>
  <Characters>25179</Characters>
  <Application>Microsoft Office Word</Application>
  <DocSecurity>0</DocSecurity>
  <Lines>209</Lines>
  <Paragraphs>59</Paragraphs>
  <ScaleCrop>false</ScaleCrop>
  <Company>CMB China HeadOffice</Company>
  <LinksUpToDate>false</LinksUpToDate>
  <CharactersWithSpaces>29537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托管协议</dc:title>
  <dc:creator>资产托管部</dc:creator>
  <cp:lastModifiedBy>赵一源_0625</cp:lastModifiedBy>
  <cp:revision>5</cp:revision>
  <cp:lastPrinted>2021-11-30T02:51:00Z</cp:lastPrinted>
  <dcterms:created xsi:type="dcterms:W3CDTF">2026-06-26T02:32:00Z</dcterms:created>
  <dcterms:modified xsi:type="dcterms:W3CDTF">2026-07-02T07:41:00Z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ractId">
    <vt:lpwstr>765decababaa49e2a8dfd7458e24b387</vt:lpwstr>
  </property>
  <property fmtid="{D5CDD505-2E9C-101B-9397-08002B2CF9AE}" pid="3" name="verificationId">
    <vt:lpwstr>9b882899c4d77451</vt:lpwstr>
  </property>
  <property fmtid="{D5CDD505-2E9C-101B-9397-08002B2CF9AE}" pid="4" name="KSOProductBuildVer">
    <vt:lpwstr>2052-10.8.0.6157</vt:lpwstr>
  </property>
  <property fmtid="{D5CDD505-2E9C-101B-9397-08002B2CF9AE}" pid="5" name="ICV">
    <vt:lpwstr>86D48BB703AE44509762288F88BA225F_13</vt:lpwstr>
  </property>
  <property fmtid="{D5CDD505-2E9C-101B-9397-08002B2CF9AE}" pid="6" name="_KSOProductBuildMID">
    <vt:lpwstr>CPWM86BV797Q059GRQRNKL0R7ZC0OXGREN06XJDWXGHRTELTZIBJICJTFYRHPD6RBSMXOOZLZIX78HEJRUFTPF8O89CMWILB8EOOMHB30702F22E60222512DFE6E4861958693C</vt:lpwstr>
  </property>
  <property fmtid="{D5CDD505-2E9C-101B-9397-08002B2CF9AE}" pid="7" name="_KSOProductBuildSID">
    <vt:lpwstr>SKWFK6GI79TA059GQVRNDL097ZCMO7GREF0XXJDWXFB8TFWT6DBJICJVFS6HP88RBEMXCOL5ZIW78IEJENFTDFFA8RLMWHCBAFODDHB39EAEB53A7343F8FFCDEF85471F6387A7</vt:lpwstr>
  </property>
</Properties>
</file>