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936A" w14:textId="77777777" w:rsidR="00737A1E" w:rsidRDefault="00737A1E">
      <w:pPr>
        <w:tabs>
          <w:tab w:val="left" w:pos="1470"/>
        </w:tabs>
        <w:spacing w:before="960" w:line="320" w:lineRule="exact"/>
        <w:jc w:val="center"/>
        <w:outlineLvl w:val="2"/>
        <w:rPr>
          <w:rFonts w:ascii="宋体" w:hAnsi="宋体"/>
          <w:b/>
          <w:w w:val="200"/>
        </w:rPr>
      </w:pPr>
    </w:p>
    <w:p w14:paraId="1B040B86" w14:textId="72218921" w:rsidR="00737A1E" w:rsidRDefault="00647336">
      <w:pPr>
        <w:spacing w:before="960" w:line="620" w:lineRule="exact"/>
        <w:jc w:val="center"/>
        <w:outlineLvl w:val="2"/>
        <w:rPr>
          <w:rFonts w:ascii="宋体" w:hAnsi="宋体"/>
          <w:b/>
          <w:sz w:val="44"/>
        </w:rPr>
      </w:pPr>
      <w:r>
        <w:rPr>
          <w:rFonts w:ascii="宋体" w:hAnsi="宋体" w:hint="eastAsia"/>
          <w:b/>
          <w:sz w:val="44"/>
        </w:rPr>
        <w:t>南方远航混合型证券投资基金</w:t>
      </w:r>
    </w:p>
    <w:p w14:paraId="3B1C7986" w14:textId="22464B1A" w:rsidR="00737A1E" w:rsidRDefault="00647336">
      <w:pPr>
        <w:spacing w:before="960" w:line="620" w:lineRule="exact"/>
        <w:jc w:val="center"/>
        <w:outlineLvl w:val="2"/>
        <w:rPr>
          <w:rFonts w:ascii="宋体" w:hAnsi="宋体"/>
          <w:b/>
          <w:sz w:val="44"/>
          <w:szCs w:val="32"/>
        </w:rPr>
      </w:pPr>
      <w:r>
        <w:rPr>
          <w:rFonts w:ascii="宋体" w:hAnsi="宋体" w:hint="eastAsia"/>
          <w:b/>
          <w:sz w:val="44"/>
        </w:rPr>
        <w:t>托管协议</w:t>
      </w:r>
    </w:p>
    <w:p w14:paraId="4E6ED3DC" w14:textId="77777777" w:rsidR="00737A1E" w:rsidRDefault="00737A1E">
      <w:pPr>
        <w:spacing w:before="960" w:line="620" w:lineRule="exact"/>
        <w:jc w:val="center"/>
        <w:outlineLvl w:val="2"/>
        <w:rPr>
          <w:rFonts w:ascii="宋体" w:hAnsi="宋体"/>
          <w:b/>
          <w:sz w:val="44"/>
        </w:rPr>
      </w:pPr>
    </w:p>
    <w:p w14:paraId="0CC27205" w14:textId="77777777" w:rsidR="00737A1E" w:rsidRDefault="00737A1E">
      <w:pPr>
        <w:spacing w:line="320" w:lineRule="exact"/>
        <w:ind w:left="360" w:right="26"/>
        <w:jc w:val="center"/>
        <w:rPr>
          <w:rFonts w:ascii="宋体" w:hAnsi="宋体"/>
          <w:b/>
          <w:sz w:val="30"/>
        </w:rPr>
      </w:pPr>
    </w:p>
    <w:p w14:paraId="1A9CEE27" w14:textId="4B8F00E6" w:rsidR="00737A1E" w:rsidRDefault="00647336">
      <w:pPr>
        <w:spacing w:line="320" w:lineRule="exact"/>
        <w:ind w:left="479" w:right="26" w:firstLine="1200"/>
        <w:rPr>
          <w:rFonts w:ascii="宋体" w:hAnsi="宋体"/>
          <w:sz w:val="28"/>
          <w:szCs w:val="28"/>
        </w:rPr>
      </w:pPr>
      <w:r>
        <w:rPr>
          <w:rFonts w:ascii="宋体" w:hAnsi="宋体" w:hint="eastAsia"/>
          <w:sz w:val="28"/>
          <w:szCs w:val="28"/>
        </w:rPr>
        <w:t>基金管理人：南方基金管理股份有限公司</w:t>
      </w:r>
    </w:p>
    <w:p w14:paraId="11691AD3" w14:textId="77777777" w:rsidR="00737A1E" w:rsidRDefault="00737A1E">
      <w:pPr>
        <w:spacing w:line="320" w:lineRule="exact"/>
        <w:ind w:left="359" w:right="26" w:firstLine="1200"/>
        <w:rPr>
          <w:rFonts w:ascii="宋体" w:hAnsi="宋体"/>
          <w:sz w:val="28"/>
          <w:szCs w:val="28"/>
        </w:rPr>
      </w:pPr>
    </w:p>
    <w:p w14:paraId="0836BD2A" w14:textId="77777777" w:rsidR="00737A1E" w:rsidRDefault="00647336">
      <w:pPr>
        <w:spacing w:line="320" w:lineRule="exact"/>
        <w:ind w:left="479" w:right="26" w:firstLine="1200"/>
        <w:rPr>
          <w:rFonts w:ascii="宋体" w:hAnsi="宋体"/>
          <w:sz w:val="28"/>
          <w:szCs w:val="28"/>
        </w:rPr>
      </w:pPr>
      <w:r>
        <w:rPr>
          <w:rFonts w:ascii="宋体" w:hAnsi="宋体" w:hint="eastAsia"/>
          <w:sz w:val="28"/>
          <w:szCs w:val="28"/>
        </w:rPr>
        <w:t>基金托管人：中国银行股份有限公司</w:t>
      </w:r>
    </w:p>
    <w:p w14:paraId="3703A3B0" w14:textId="77777777" w:rsidR="00737A1E" w:rsidRDefault="00737A1E">
      <w:pPr>
        <w:spacing w:line="320" w:lineRule="exact"/>
        <w:ind w:right="26"/>
        <w:rPr>
          <w:rFonts w:ascii="宋体" w:hAnsi="宋体"/>
          <w:sz w:val="28"/>
          <w:szCs w:val="28"/>
        </w:rPr>
      </w:pPr>
    </w:p>
    <w:p w14:paraId="21AB6FF4" w14:textId="77777777" w:rsidR="00737A1E" w:rsidRDefault="00737A1E">
      <w:pPr>
        <w:spacing w:line="320" w:lineRule="exact"/>
        <w:ind w:right="26"/>
        <w:rPr>
          <w:rFonts w:ascii="宋体" w:hAnsi="宋体"/>
          <w:sz w:val="28"/>
          <w:szCs w:val="28"/>
        </w:rPr>
      </w:pPr>
    </w:p>
    <w:p w14:paraId="48F2B563" w14:textId="77777777" w:rsidR="00737A1E" w:rsidRDefault="00737A1E">
      <w:pPr>
        <w:spacing w:line="320" w:lineRule="exact"/>
        <w:ind w:right="26"/>
        <w:jc w:val="center"/>
        <w:rPr>
          <w:rFonts w:ascii="宋体" w:hAnsi="宋体"/>
          <w:sz w:val="28"/>
          <w:szCs w:val="28"/>
        </w:rPr>
      </w:pPr>
    </w:p>
    <w:p w14:paraId="22257753" w14:textId="77777777" w:rsidR="00737A1E" w:rsidRDefault="00737A1E">
      <w:pPr>
        <w:spacing w:line="320" w:lineRule="exact"/>
        <w:ind w:right="26"/>
        <w:jc w:val="center"/>
        <w:rPr>
          <w:rFonts w:ascii="宋体" w:hAnsi="宋体"/>
          <w:sz w:val="28"/>
          <w:szCs w:val="28"/>
        </w:rPr>
      </w:pPr>
    </w:p>
    <w:p w14:paraId="125F7542" w14:textId="77777777" w:rsidR="00737A1E" w:rsidRDefault="00737A1E">
      <w:pPr>
        <w:spacing w:line="320" w:lineRule="exact"/>
        <w:ind w:right="26"/>
        <w:jc w:val="center"/>
        <w:rPr>
          <w:rFonts w:ascii="宋体" w:hAnsi="宋体"/>
          <w:sz w:val="28"/>
          <w:szCs w:val="28"/>
        </w:rPr>
      </w:pPr>
    </w:p>
    <w:p w14:paraId="7322311A" w14:textId="77777777" w:rsidR="00737A1E" w:rsidRDefault="00737A1E">
      <w:pPr>
        <w:spacing w:line="320" w:lineRule="exact"/>
        <w:ind w:right="26"/>
        <w:jc w:val="center"/>
        <w:rPr>
          <w:rFonts w:ascii="宋体" w:hAnsi="宋体"/>
          <w:sz w:val="28"/>
          <w:szCs w:val="28"/>
        </w:rPr>
      </w:pPr>
    </w:p>
    <w:p w14:paraId="01C2A145" w14:textId="77777777" w:rsidR="00737A1E" w:rsidRDefault="00737A1E">
      <w:pPr>
        <w:spacing w:line="320" w:lineRule="exact"/>
        <w:ind w:right="26"/>
        <w:jc w:val="center"/>
        <w:rPr>
          <w:rFonts w:ascii="宋体" w:hAnsi="宋体"/>
          <w:sz w:val="28"/>
          <w:szCs w:val="28"/>
        </w:rPr>
      </w:pPr>
    </w:p>
    <w:p w14:paraId="0DA44874" w14:textId="2B1784B3" w:rsidR="00737A1E" w:rsidRDefault="00647336">
      <w:pPr>
        <w:tabs>
          <w:tab w:val="left" w:pos="0"/>
        </w:tabs>
        <w:spacing w:before="100" w:beforeAutospacing="1" w:after="100" w:afterAutospacing="1" w:line="400" w:lineRule="exact"/>
        <w:ind w:right="26" w:firstLine="422"/>
        <w:outlineLvl w:val="0"/>
        <w:rPr>
          <w:rFonts w:ascii="宋体" w:hAnsi="宋体"/>
          <w:szCs w:val="21"/>
        </w:rPr>
      </w:pPr>
      <w:r>
        <w:rPr>
          <w:rFonts w:ascii="宋体" w:hAnsi="宋体"/>
          <w:b/>
        </w:rPr>
        <w:br w:type="page"/>
      </w:r>
      <w:r>
        <w:rPr>
          <w:rFonts w:ascii="宋体" w:hAnsi="宋体" w:hint="eastAsia"/>
          <w:b/>
          <w:sz w:val="24"/>
        </w:rPr>
        <w:lastRenderedPageBreak/>
        <w:t xml:space="preserve"> </w:t>
      </w:r>
      <w:r>
        <w:rPr>
          <w:rFonts w:ascii="宋体" w:hAnsi="宋体" w:hint="eastAsia"/>
          <w:szCs w:val="21"/>
        </w:rPr>
        <w:t>鉴于南方基金管理股份有限公司是一家依照中国法律合法成立并有效存续的股份有限公司，按照相关法律法规的规定具备担任基金管理人的资格和能力；</w:t>
      </w:r>
    </w:p>
    <w:p w14:paraId="727C3AB1" w14:textId="77777777" w:rsidR="00737A1E" w:rsidRDefault="00647336">
      <w:pPr>
        <w:pStyle w:val="af2"/>
        <w:spacing w:before="100" w:beforeAutospacing="1" w:after="100" w:afterAutospacing="1" w:line="400" w:lineRule="exact"/>
        <w:ind w:firstLine="549"/>
        <w:rPr>
          <w:rFonts w:hAnsi="宋体"/>
        </w:rPr>
      </w:pPr>
      <w:r>
        <w:rPr>
          <w:rFonts w:hAnsi="宋体" w:hint="eastAsia"/>
        </w:rPr>
        <w:t>鉴于中国银行股份有限公司是一家依照中国法律合法成立并有效存续的银行，按照相关法律法规的规定具备担任基金托管人的资格和能力；</w:t>
      </w:r>
    </w:p>
    <w:p w14:paraId="22E48D1E" w14:textId="4C0D9010" w:rsidR="00737A1E" w:rsidRDefault="00647336">
      <w:pPr>
        <w:pStyle w:val="af2"/>
        <w:spacing w:before="100" w:beforeAutospacing="1" w:after="100" w:afterAutospacing="1" w:line="400" w:lineRule="exact"/>
        <w:ind w:firstLine="549"/>
        <w:rPr>
          <w:rFonts w:hAnsi="宋体"/>
        </w:rPr>
      </w:pPr>
      <w:r>
        <w:rPr>
          <w:rFonts w:hAnsi="宋体" w:hint="eastAsia"/>
        </w:rPr>
        <w:t>鉴于南方基金管理股份有限公司拟担任南方远航混合型证券投资基金的基金管理人，中国银行股份有限公司拟担任南方远航混合型证券投资基金的基金托管人；</w:t>
      </w:r>
    </w:p>
    <w:p w14:paraId="35067245" w14:textId="6259C29D" w:rsidR="00737A1E" w:rsidRDefault="00647336">
      <w:pPr>
        <w:pStyle w:val="af2"/>
        <w:spacing w:before="100" w:beforeAutospacing="1" w:after="100" w:afterAutospacing="1" w:line="400" w:lineRule="exact"/>
        <w:ind w:firstLine="549"/>
        <w:rPr>
          <w:rFonts w:hAnsi="宋体"/>
        </w:rPr>
      </w:pPr>
      <w:r>
        <w:rPr>
          <w:rFonts w:hAnsi="宋体" w:hint="eastAsia"/>
        </w:rPr>
        <w:t>为明确南方远航混合型证券投资</w:t>
      </w:r>
      <w:proofErr w:type="gramStart"/>
      <w:r>
        <w:rPr>
          <w:rFonts w:hAnsi="宋体" w:hint="eastAsia"/>
        </w:rPr>
        <w:t>基金基金</w:t>
      </w:r>
      <w:proofErr w:type="gramEnd"/>
      <w:r>
        <w:rPr>
          <w:rFonts w:hAnsi="宋体" w:hint="eastAsia"/>
        </w:rPr>
        <w:t>管理人和基金托管人之间的权利义务关系，特制订本协议</w:t>
      </w:r>
      <w:bookmarkStart w:id="0" w:name="_Toc30230313"/>
      <w:r>
        <w:rPr>
          <w:rFonts w:hAnsi="宋体" w:hint="eastAsia"/>
        </w:rPr>
        <w:t>。</w:t>
      </w:r>
    </w:p>
    <w:p w14:paraId="535A87A6" w14:textId="77777777" w:rsidR="00737A1E" w:rsidRDefault="00737A1E">
      <w:pPr>
        <w:pStyle w:val="af2"/>
        <w:spacing w:before="100" w:beforeAutospacing="1" w:after="100" w:afterAutospacing="1" w:line="400" w:lineRule="exact"/>
        <w:ind w:firstLine="549"/>
        <w:rPr>
          <w:rFonts w:hAnsi="宋体"/>
        </w:rPr>
      </w:pPr>
    </w:p>
    <w:p w14:paraId="5312C930" w14:textId="77777777" w:rsidR="00737A1E" w:rsidRDefault="00647336">
      <w:pPr>
        <w:pStyle w:val="1"/>
        <w:spacing w:before="100" w:beforeAutospacing="1" w:after="100" w:afterAutospacing="1" w:line="400" w:lineRule="exact"/>
        <w:ind w:firstLine="422"/>
        <w:rPr>
          <w:rFonts w:ascii="宋体" w:hAnsi="宋体"/>
          <w:sz w:val="21"/>
          <w:szCs w:val="21"/>
        </w:rPr>
      </w:pPr>
      <w:bookmarkStart w:id="1" w:name="_Toc116900096"/>
      <w:r>
        <w:rPr>
          <w:rFonts w:ascii="宋体" w:hAnsi="宋体" w:hint="eastAsia"/>
          <w:sz w:val="21"/>
          <w:szCs w:val="21"/>
        </w:rPr>
        <w:t>一、托管协议当事人</w:t>
      </w:r>
      <w:bookmarkEnd w:id="0"/>
      <w:bookmarkEnd w:id="1"/>
    </w:p>
    <w:p w14:paraId="12BD2722" w14:textId="77777777" w:rsidR="00737A1E" w:rsidRDefault="00647336">
      <w:pPr>
        <w:pStyle w:val="af2"/>
        <w:spacing w:before="100" w:beforeAutospacing="1" w:after="100" w:afterAutospacing="1" w:line="400" w:lineRule="exact"/>
        <w:ind w:firstLine="403"/>
        <w:rPr>
          <w:rFonts w:hAnsi="宋体"/>
        </w:rPr>
      </w:pPr>
      <w:r>
        <w:rPr>
          <w:rFonts w:hAnsi="宋体" w:hint="eastAsia"/>
        </w:rPr>
        <w:t>（一）基金管理人（或简称“管理人”）</w:t>
      </w:r>
    </w:p>
    <w:p w14:paraId="7D92FE04" w14:textId="1E0DD2CC" w:rsidR="00737A1E" w:rsidRDefault="00647336">
      <w:pPr>
        <w:pStyle w:val="af2"/>
        <w:spacing w:before="100" w:beforeAutospacing="1" w:after="100" w:afterAutospacing="1" w:line="400" w:lineRule="exact"/>
        <w:ind w:firstLine="403"/>
        <w:rPr>
          <w:rFonts w:hAnsi="宋体"/>
        </w:rPr>
      </w:pPr>
      <w:r>
        <w:rPr>
          <w:rFonts w:hAnsi="宋体" w:hint="eastAsia"/>
        </w:rPr>
        <w:t>名称：南方基金管理股份有限公司</w:t>
      </w:r>
    </w:p>
    <w:p w14:paraId="150692FC" w14:textId="77777777" w:rsidR="00737A1E" w:rsidRDefault="00647336">
      <w:pPr>
        <w:pStyle w:val="af2"/>
        <w:spacing w:before="100" w:beforeAutospacing="1" w:after="100" w:afterAutospacing="1" w:line="400" w:lineRule="exact"/>
        <w:ind w:firstLine="403"/>
        <w:rPr>
          <w:rFonts w:hAnsi="宋体"/>
        </w:rPr>
      </w:pPr>
      <w:r>
        <w:rPr>
          <w:rFonts w:hAnsi="宋体" w:hint="eastAsia"/>
        </w:rPr>
        <w:t>住所：深圳市福田区莲花街道益田路5999号基金大厦32-42楼</w:t>
      </w:r>
    </w:p>
    <w:p w14:paraId="384180F3" w14:textId="5AF8B80E" w:rsidR="00737A1E" w:rsidRDefault="00647336">
      <w:pPr>
        <w:pStyle w:val="af2"/>
        <w:spacing w:before="100" w:beforeAutospacing="1" w:after="100" w:afterAutospacing="1" w:line="400" w:lineRule="exact"/>
        <w:ind w:firstLine="403"/>
        <w:rPr>
          <w:rFonts w:hAnsi="宋体"/>
        </w:rPr>
      </w:pPr>
      <w:r>
        <w:rPr>
          <w:rFonts w:hAnsi="宋体" w:hint="eastAsia"/>
        </w:rPr>
        <w:t>法定代表人：周易</w:t>
      </w:r>
    </w:p>
    <w:p w14:paraId="43FCB4FB" w14:textId="77777777" w:rsidR="00737A1E" w:rsidRDefault="00647336">
      <w:pPr>
        <w:pStyle w:val="af2"/>
        <w:spacing w:before="100" w:beforeAutospacing="1" w:after="100" w:afterAutospacing="1" w:line="400" w:lineRule="exact"/>
        <w:ind w:firstLine="403"/>
        <w:rPr>
          <w:rFonts w:hAnsi="宋体"/>
        </w:rPr>
      </w:pPr>
      <w:r>
        <w:rPr>
          <w:rFonts w:hAnsi="宋体" w:hint="eastAsia"/>
        </w:rPr>
        <w:t>成立时间：1998年3月6日</w:t>
      </w:r>
    </w:p>
    <w:p w14:paraId="50B7DEB2" w14:textId="77777777" w:rsidR="00737A1E" w:rsidRDefault="00647336">
      <w:pPr>
        <w:pStyle w:val="af2"/>
        <w:spacing w:before="100" w:beforeAutospacing="1" w:after="100" w:afterAutospacing="1" w:line="400" w:lineRule="exact"/>
        <w:ind w:firstLine="403"/>
        <w:rPr>
          <w:rFonts w:hAnsi="宋体"/>
        </w:rPr>
      </w:pPr>
      <w:r>
        <w:rPr>
          <w:rFonts w:hAnsi="宋体" w:hint="eastAsia"/>
        </w:rPr>
        <w:t>批准设立机关：中国证券监督管理委员会</w:t>
      </w:r>
    </w:p>
    <w:p w14:paraId="38E72084" w14:textId="77777777" w:rsidR="00737A1E" w:rsidRDefault="00647336">
      <w:pPr>
        <w:pStyle w:val="af2"/>
        <w:spacing w:before="100" w:beforeAutospacing="1" w:after="100" w:afterAutospacing="1" w:line="400" w:lineRule="exact"/>
        <w:ind w:firstLine="403"/>
        <w:rPr>
          <w:rFonts w:hAnsi="宋体"/>
        </w:rPr>
      </w:pPr>
      <w:r>
        <w:rPr>
          <w:rFonts w:hAnsi="宋体" w:hint="eastAsia"/>
        </w:rPr>
        <w:t>批准设立文号：</w:t>
      </w:r>
      <w:proofErr w:type="gramStart"/>
      <w:r>
        <w:rPr>
          <w:rFonts w:hAnsi="宋体" w:hint="eastAsia"/>
        </w:rPr>
        <w:t>证监基字</w:t>
      </w:r>
      <w:proofErr w:type="gramEnd"/>
      <w:r>
        <w:rPr>
          <w:rFonts w:hAnsi="宋体" w:hint="eastAsia"/>
        </w:rPr>
        <w:t>[1998]4号</w:t>
      </w:r>
    </w:p>
    <w:p w14:paraId="15D7373B" w14:textId="7E9641A7" w:rsidR="00737A1E" w:rsidRDefault="00647336">
      <w:pPr>
        <w:pStyle w:val="af2"/>
        <w:spacing w:before="100" w:beforeAutospacing="1" w:after="100" w:afterAutospacing="1" w:line="400" w:lineRule="exact"/>
        <w:ind w:firstLine="403"/>
        <w:rPr>
          <w:rFonts w:hAnsi="宋体"/>
        </w:rPr>
      </w:pPr>
      <w:r>
        <w:rPr>
          <w:rFonts w:hAnsi="宋体" w:hint="eastAsia"/>
        </w:rPr>
        <w:t>组织形式：股份有限公司</w:t>
      </w:r>
    </w:p>
    <w:p w14:paraId="7C6E8CA6" w14:textId="1AC78F92" w:rsidR="00737A1E" w:rsidRDefault="00647336">
      <w:pPr>
        <w:pStyle w:val="af2"/>
        <w:spacing w:before="100" w:beforeAutospacing="1" w:after="100" w:afterAutospacing="1" w:line="400" w:lineRule="exact"/>
        <w:ind w:firstLine="403"/>
        <w:rPr>
          <w:rFonts w:hAnsi="宋体"/>
        </w:rPr>
      </w:pPr>
      <w:r>
        <w:rPr>
          <w:rFonts w:hAnsi="宋体" w:hint="eastAsia"/>
        </w:rPr>
        <w:t>注册资本：3.6172亿元人民币</w:t>
      </w:r>
    </w:p>
    <w:p w14:paraId="3816C1AE" w14:textId="7C8DE0CB" w:rsidR="00737A1E" w:rsidRDefault="00647336">
      <w:pPr>
        <w:pStyle w:val="af2"/>
        <w:spacing w:before="100" w:beforeAutospacing="1" w:after="100" w:afterAutospacing="1" w:line="400" w:lineRule="exact"/>
        <w:ind w:firstLine="403"/>
        <w:rPr>
          <w:rFonts w:hAnsi="宋体"/>
        </w:rPr>
      </w:pPr>
      <w:r>
        <w:rPr>
          <w:rFonts w:hAnsi="宋体" w:hint="eastAsia"/>
        </w:rPr>
        <w:t>经营范围：基金募集；基金销售；资产管理以及中国证监会许可的其他业务</w:t>
      </w:r>
    </w:p>
    <w:p w14:paraId="5C10EFF9" w14:textId="69F5D05E" w:rsidR="00737A1E" w:rsidRDefault="00647336">
      <w:pPr>
        <w:pStyle w:val="af2"/>
        <w:spacing w:before="100" w:beforeAutospacing="1" w:after="100" w:afterAutospacing="1" w:line="400" w:lineRule="exact"/>
        <w:ind w:firstLine="403"/>
        <w:rPr>
          <w:rFonts w:hAnsi="宋体"/>
        </w:rPr>
      </w:pPr>
      <w:r>
        <w:rPr>
          <w:rFonts w:hAnsi="宋体" w:hint="eastAsia"/>
        </w:rPr>
        <w:t>存续期间：持续经营</w:t>
      </w:r>
    </w:p>
    <w:p w14:paraId="0C9C1822" w14:textId="77777777" w:rsidR="00737A1E" w:rsidRDefault="00647336">
      <w:pPr>
        <w:pStyle w:val="af2"/>
        <w:spacing w:before="100" w:beforeAutospacing="1" w:after="100" w:afterAutospacing="1" w:line="400" w:lineRule="exact"/>
        <w:ind w:firstLine="403"/>
        <w:rPr>
          <w:rFonts w:hAnsi="宋体"/>
        </w:rPr>
      </w:pPr>
      <w:r>
        <w:rPr>
          <w:rFonts w:hAnsi="宋体" w:hint="eastAsia"/>
        </w:rPr>
        <w:t>（二）基金托管人（或简称“托管人”）</w:t>
      </w:r>
    </w:p>
    <w:p w14:paraId="5B568F4A" w14:textId="16479379"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lastRenderedPageBreak/>
        <w:t>名称：中国银行股份有限公司</w:t>
      </w:r>
    </w:p>
    <w:p w14:paraId="22C3F9E7" w14:textId="52F13CF5"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住所：北京市西城区复兴门内大街1号</w:t>
      </w:r>
    </w:p>
    <w:p w14:paraId="5356DB99" w14:textId="77777777"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法定代表人: 葛海蛟</w:t>
      </w:r>
    </w:p>
    <w:p w14:paraId="46335DC4" w14:textId="0BBC5F18" w:rsidR="00737A1E" w:rsidRDefault="00647336">
      <w:pPr>
        <w:spacing w:before="100" w:beforeAutospacing="1" w:after="100" w:afterAutospacing="1" w:line="400" w:lineRule="exact"/>
        <w:ind w:firstLine="435"/>
        <w:rPr>
          <w:rFonts w:ascii="宋体" w:hAnsi="宋体"/>
          <w:szCs w:val="21"/>
        </w:rPr>
      </w:pPr>
      <w:r>
        <w:rPr>
          <w:rFonts w:ascii="宋体" w:hAnsi="宋体" w:hint="eastAsia"/>
          <w:szCs w:val="21"/>
        </w:rPr>
        <w:t>成立时间：1983年10月31日</w:t>
      </w:r>
    </w:p>
    <w:p w14:paraId="2879ACF5" w14:textId="77777777" w:rsidR="00737A1E" w:rsidRDefault="00647336">
      <w:pPr>
        <w:spacing w:before="100" w:beforeAutospacing="1" w:after="100" w:afterAutospacing="1" w:line="400" w:lineRule="exact"/>
        <w:ind w:firstLine="420"/>
        <w:rPr>
          <w:rFonts w:ascii="宋体" w:hAnsi="宋体"/>
          <w:szCs w:val="21"/>
        </w:rPr>
      </w:pPr>
      <w:r>
        <w:rPr>
          <w:rFonts w:ascii="宋体" w:hAnsi="宋体" w:hint="eastAsia"/>
          <w:szCs w:val="21"/>
        </w:rPr>
        <w:t>基金托管业务批准文号：中国证监会</w:t>
      </w:r>
      <w:proofErr w:type="gramStart"/>
      <w:r>
        <w:rPr>
          <w:rFonts w:ascii="宋体" w:hAnsi="宋体" w:hint="eastAsia"/>
          <w:szCs w:val="21"/>
        </w:rPr>
        <w:t>证监基字</w:t>
      </w:r>
      <w:proofErr w:type="gramEnd"/>
      <w:r>
        <w:rPr>
          <w:rFonts w:ascii="宋体" w:hAnsi="宋体" w:hint="eastAsia"/>
          <w:szCs w:val="21"/>
        </w:rPr>
        <w:t>【1998】24号</w:t>
      </w:r>
    </w:p>
    <w:p w14:paraId="5EECFF94" w14:textId="0C50401D" w:rsidR="00737A1E" w:rsidRDefault="00647336">
      <w:pPr>
        <w:tabs>
          <w:tab w:val="left" w:pos="1110"/>
        </w:tabs>
        <w:spacing w:before="100" w:beforeAutospacing="1" w:after="100" w:afterAutospacing="1" w:line="400" w:lineRule="exact"/>
        <w:ind w:firstLine="420"/>
        <w:rPr>
          <w:rFonts w:ascii="宋体" w:hAnsi="宋体"/>
          <w:szCs w:val="21"/>
        </w:rPr>
      </w:pPr>
      <w:r>
        <w:rPr>
          <w:rFonts w:ascii="宋体" w:hAnsi="宋体" w:hint="eastAsia"/>
          <w:szCs w:val="21"/>
        </w:rPr>
        <w:t>组织形式：股份有限公司</w:t>
      </w:r>
    </w:p>
    <w:p w14:paraId="4515C308" w14:textId="079F9954"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注册资本：人民币</w:t>
      </w:r>
      <w:r w:rsidR="004F6EA9" w:rsidRPr="004F6EA9">
        <w:rPr>
          <w:rFonts w:ascii="宋体" w:hAnsi="宋体" w:hint="eastAsia"/>
          <w:szCs w:val="21"/>
        </w:rPr>
        <w:t>叁仟贰佰贰拾贰亿壹仟贰佰肆拾壹万壹仟捌佰壹拾肆元整</w:t>
      </w:r>
      <w:bookmarkStart w:id="2" w:name="_GoBack"/>
      <w:bookmarkEnd w:id="2"/>
    </w:p>
    <w:p w14:paraId="6EE7E3D1" w14:textId="77777777" w:rsidR="00737A1E" w:rsidRDefault="00647336">
      <w:pPr>
        <w:spacing w:before="100" w:beforeAutospacing="1" w:after="100" w:afterAutospacing="1" w:line="400" w:lineRule="exact"/>
        <w:ind w:left="1674" w:right="26" w:hanging="1271"/>
        <w:rPr>
          <w:rFonts w:ascii="宋体" w:hAnsi="宋体"/>
          <w:szCs w:val="21"/>
        </w:rPr>
      </w:pPr>
      <w:r>
        <w:rPr>
          <w:rFonts w:ascii="宋体" w:hAnsi="宋体" w:hint="eastAsia"/>
          <w:szCs w:val="21"/>
        </w:rPr>
        <w:t>经营范围：</w:t>
      </w:r>
      <w:r>
        <w:rPr>
          <w:rFonts w:ascii="宋体" w:hAnsi="宋体"/>
          <w:szCs w:val="21"/>
        </w:rPr>
        <w:tab/>
        <w:t>吸收人民币存款；发放短期、中期和长期贷款；办理结算；办理票据贴现；发行金融债券；代理发行、代理兑付、承销政府债券；买卖政府债</w:t>
      </w:r>
      <w:proofErr w:type="gramStart"/>
      <w:r>
        <w:rPr>
          <w:rFonts w:ascii="宋体" w:hAnsi="宋体"/>
          <w:szCs w:val="21"/>
        </w:rPr>
        <w:t>券</w:t>
      </w:r>
      <w:proofErr w:type="gramEnd"/>
      <w:r>
        <w:rPr>
          <w:rFonts w:ascii="宋体" w:hAnsi="宋体"/>
          <w:szCs w:val="21"/>
        </w:rPr>
        <w:t>；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511BC7EE" w14:textId="77777777" w:rsidR="00737A1E" w:rsidRDefault="00647336">
      <w:pPr>
        <w:spacing w:before="100" w:beforeAutospacing="1" w:after="100" w:afterAutospacing="1" w:line="400" w:lineRule="exact"/>
        <w:ind w:firstLine="403"/>
        <w:rPr>
          <w:rFonts w:ascii="宋体" w:hAnsi="宋体"/>
          <w:szCs w:val="21"/>
        </w:rPr>
      </w:pPr>
      <w:r>
        <w:rPr>
          <w:rFonts w:ascii="宋体" w:hAnsi="宋体" w:hint="eastAsia"/>
          <w:szCs w:val="21"/>
        </w:rPr>
        <w:t>存续期间：</w:t>
      </w:r>
      <w:r>
        <w:rPr>
          <w:rFonts w:ascii="宋体" w:hAnsi="宋体" w:hint="eastAsia"/>
          <w:szCs w:val="21"/>
        </w:rPr>
        <w:tab/>
        <w:t>持续经营</w:t>
      </w:r>
    </w:p>
    <w:p w14:paraId="31D1CACE" w14:textId="77777777" w:rsidR="00737A1E" w:rsidRDefault="00737A1E">
      <w:pPr>
        <w:spacing w:before="100" w:beforeAutospacing="1" w:after="100" w:afterAutospacing="1" w:line="400" w:lineRule="exact"/>
        <w:ind w:firstLine="403"/>
        <w:rPr>
          <w:rFonts w:ascii="宋体" w:hAnsi="宋体"/>
          <w:szCs w:val="21"/>
        </w:rPr>
      </w:pPr>
    </w:p>
    <w:p w14:paraId="585E1667" w14:textId="77777777" w:rsidR="00737A1E" w:rsidRDefault="00647336">
      <w:pPr>
        <w:pStyle w:val="1"/>
        <w:spacing w:before="100" w:beforeAutospacing="1" w:after="100" w:afterAutospacing="1" w:line="400" w:lineRule="exact"/>
        <w:ind w:firstLine="422"/>
        <w:rPr>
          <w:rFonts w:ascii="宋体" w:hAnsi="宋体"/>
          <w:sz w:val="21"/>
          <w:szCs w:val="21"/>
        </w:rPr>
      </w:pPr>
      <w:bookmarkStart w:id="3" w:name="_Toc116900097"/>
      <w:r>
        <w:rPr>
          <w:rFonts w:ascii="宋体" w:hAnsi="宋体" w:hint="eastAsia"/>
          <w:sz w:val="21"/>
          <w:szCs w:val="21"/>
        </w:rPr>
        <w:t>二、托管协议的依据、目的、原则和解释</w:t>
      </w:r>
      <w:bookmarkEnd w:id="3"/>
    </w:p>
    <w:p w14:paraId="2C8E57E5" w14:textId="77777777" w:rsidR="00737A1E" w:rsidRDefault="00647336">
      <w:pPr>
        <w:spacing w:before="100" w:beforeAutospacing="1" w:after="100" w:afterAutospacing="1" w:line="400" w:lineRule="exact"/>
        <w:ind w:firstLine="403"/>
        <w:rPr>
          <w:rFonts w:ascii="宋体" w:hAnsi="宋体"/>
          <w:szCs w:val="21"/>
        </w:rPr>
      </w:pPr>
      <w:r>
        <w:rPr>
          <w:rFonts w:ascii="宋体" w:hAnsi="宋体" w:hint="eastAsia"/>
          <w:szCs w:val="21"/>
        </w:rPr>
        <w:t>（一）依据</w:t>
      </w:r>
    </w:p>
    <w:p w14:paraId="6BCEA3F0" w14:textId="07D53614"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本协议依据《中华人民共和国民法典</w:t>
      </w:r>
      <w:r>
        <w:rPr>
          <w:rFonts w:ascii="宋体" w:eastAsia="宋体"/>
          <w:color w:val="auto"/>
          <w:sz w:val="21"/>
          <w:szCs w:val="21"/>
        </w:rPr>
        <w:t>》、</w:t>
      </w:r>
      <w:r>
        <w:rPr>
          <w:rFonts w:ascii="宋体" w:eastAsia="宋体" w:hint="eastAsia"/>
          <w:color w:val="auto"/>
          <w:sz w:val="21"/>
          <w:szCs w:val="21"/>
        </w:rPr>
        <w:t>《中华人民共和国证券法》</w:t>
      </w:r>
      <w:r>
        <w:rPr>
          <w:rFonts w:ascii="宋体" w:eastAsia="宋体"/>
          <w:color w:val="auto"/>
          <w:sz w:val="21"/>
          <w:szCs w:val="21"/>
        </w:rPr>
        <w:t>(以下简称“《</w:t>
      </w:r>
      <w:r>
        <w:rPr>
          <w:rFonts w:ascii="宋体" w:eastAsia="宋体" w:hint="eastAsia"/>
          <w:color w:val="auto"/>
          <w:sz w:val="21"/>
          <w:szCs w:val="21"/>
        </w:rPr>
        <w:t>证券</w:t>
      </w:r>
      <w:r>
        <w:rPr>
          <w:rFonts w:ascii="宋体" w:eastAsia="宋体"/>
          <w:color w:val="auto"/>
          <w:sz w:val="21"/>
          <w:szCs w:val="21"/>
        </w:rPr>
        <w:t>法》”)</w:t>
      </w:r>
      <w:r>
        <w:rPr>
          <w:rFonts w:ascii="宋体" w:eastAsia="宋体" w:hint="eastAsia"/>
          <w:color w:val="auto"/>
          <w:sz w:val="21"/>
          <w:szCs w:val="21"/>
        </w:rPr>
        <w:t>、《中华人民共和国证券投资基金法》（以下简称“《基金法》”）、《公开募集证券投资基金运作管理办法》（以下简称“《运作办法》”）、《证券投资基金托管业务管理办法》、《公开募集证券投资基金信息披露管理办法》（以下简称“《信息披露办</w:t>
      </w:r>
      <w:r>
        <w:rPr>
          <w:rFonts w:ascii="宋体" w:eastAsia="宋体" w:hint="eastAsia"/>
          <w:color w:val="auto"/>
          <w:sz w:val="21"/>
          <w:szCs w:val="21"/>
        </w:rPr>
        <w:lastRenderedPageBreak/>
        <w:t>法》”）、《证券投资基金信息披露内容与格式准则第7号〈托管协议的内容与格式〉》、《公开募集开放式证券投资基金流动性风险管理规定》及其他有关法律法规与《南方远航混合型证券投资基金基金合同》（以下简称“《基金合同》”或“基金合同”）订立。</w:t>
      </w:r>
    </w:p>
    <w:p w14:paraId="71740D6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（二）目的</w:t>
      </w:r>
    </w:p>
    <w:p w14:paraId="0C33BCFB" w14:textId="68A982B0"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订立本协议的目的是明确南方远航混合型证券投资</w:t>
      </w:r>
      <w:proofErr w:type="gramStart"/>
      <w:r>
        <w:rPr>
          <w:rFonts w:ascii="宋体" w:eastAsia="宋体" w:hint="eastAsia"/>
          <w:color w:val="auto"/>
          <w:sz w:val="21"/>
          <w:szCs w:val="21"/>
        </w:rPr>
        <w:t>基金基金</w:t>
      </w:r>
      <w:proofErr w:type="gramEnd"/>
      <w:r>
        <w:rPr>
          <w:rFonts w:ascii="宋体" w:eastAsia="宋体" w:hint="eastAsia"/>
          <w:color w:val="auto"/>
          <w:sz w:val="21"/>
          <w:szCs w:val="21"/>
        </w:rPr>
        <w:t>托管人和南方远航混合型证券投资</w:t>
      </w:r>
      <w:proofErr w:type="gramStart"/>
      <w:r>
        <w:rPr>
          <w:rFonts w:ascii="宋体" w:eastAsia="宋体" w:hint="eastAsia"/>
          <w:color w:val="auto"/>
          <w:sz w:val="21"/>
          <w:szCs w:val="21"/>
        </w:rPr>
        <w:t>基金基金</w:t>
      </w:r>
      <w:proofErr w:type="gramEnd"/>
      <w:r>
        <w:rPr>
          <w:rFonts w:ascii="宋体" w:eastAsia="宋体" w:hint="eastAsia"/>
          <w:color w:val="auto"/>
          <w:sz w:val="21"/>
          <w:szCs w:val="21"/>
        </w:rPr>
        <w:t>管理人之间在基金财产的保管、投资运作、净值计算、收益分配、信息披露及相互监督等相关事宜中的权利、义务及职责，确保基金财产的安全，保护基金份额持有人的合法权益。</w:t>
      </w:r>
    </w:p>
    <w:p w14:paraId="37E5AD7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（三）原则</w:t>
      </w:r>
    </w:p>
    <w:p w14:paraId="013BB41A"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基金管理人和基金托管人本着平等自愿、诚实信用的原则，经协商一致，签订本协议。</w:t>
      </w:r>
    </w:p>
    <w:p w14:paraId="6A78FA1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（四）解释</w:t>
      </w:r>
    </w:p>
    <w:p w14:paraId="3E1E805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除非文义另有所指，本协议的所有术语与</w:t>
      </w:r>
      <w:bookmarkStart w:id="4" w:name="OLE_LINK3"/>
      <w:r>
        <w:rPr>
          <w:rFonts w:ascii="宋体" w:eastAsia="宋体" w:hint="eastAsia"/>
          <w:color w:val="auto"/>
          <w:sz w:val="21"/>
          <w:szCs w:val="21"/>
        </w:rPr>
        <w:t>《基金合同》</w:t>
      </w:r>
      <w:bookmarkEnd w:id="4"/>
      <w:r>
        <w:rPr>
          <w:rFonts w:ascii="宋体" w:eastAsia="宋体" w:hint="eastAsia"/>
          <w:color w:val="auto"/>
          <w:sz w:val="21"/>
          <w:szCs w:val="21"/>
        </w:rPr>
        <w:t>的相应术语具有相同含义；若有抵触应以《基金合同》为准，并依其条款解释。</w:t>
      </w:r>
    </w:p>
    <w:p w14:paraId="332DB1CA" w14:textId="77777777" w:rsidR="00737A1E" w:rsidRDefault="00647336">
      <w:pPr>
        <w:widowControl/>
        <w:spacing w:line="360" w:lineRule="auto"/>
        <w:ind w:firstLine="420"/>
        <w:contextualSpacing/>
        <w:rPr>
          <w:rFonts w:hAnsi="宋体"/>
          <w:szCs w:val="21"/>
        </w:rPr>
      </w:pPr>
      <w:r>
        <w:rPr>
          <w:rFonts w:hAnsi="宋体" w:hint="eastAsia"/>
          <w:szCs w:val="21"/>
        </w:rPr>
        <w:t>（五）若本基金实施</w:t>
      </w:r>
      <w:proofErr w:type="gramStart"/>
      <w:r>
        <w:rPr>
          <w:rFonts w:hAnsi="宋体" w:hint="eastAsia"/>
          <w:szCs w:val="21"/>
        </w:rPr>
        <w:t>侧袋机制</w:t>
      </w:r>
      <w:proofErr w:type="gramEnd"/>
      <w:r>
        <w:rPr>
          <w:rFonts w:hAnsi="宋体" w:hint="eastAsia"/>
          <w:szCs w:val="21"/>
        </w:rPr>
        <w:t>的，</w:t>
      </w:r>
      <w:proofErr w:type="gramStart"/>
      <w:r>
        <w:rPr>
          <w:rFonts w:hAnsi="宋体" w:hint="eastAsia"/>
          <w:szCs w:val="21"/>
        </w:rPr>
        <w:t>侧袋机制</w:t>
      </w:r>
      <w:proofErr w:type="gramEnd"/>
      <w:r>
        <w:rPr>
          <w:rFonts w:hAnsi="宋体" w:hint="eastAsia"/>
          <w:szCs w:val="21"/>
        </w:rPr>
        <w:t>实施期间的相关安排</w:t>
      </w:r>
      <w:proofErr w:type="gramStart"/>
      <w:r>
        <w:rPr>
          <w:rFonts w:hAnsi="宋体" w:hint="eastAsia"/>
          <w:szCs w:val="21"/>
        </w:rPr>
        <w:t>见基金</w:t>
      </w:r>
      <w:proofErr w:type="gramEnd"/>
      <w:r>
        <w:rPr>
          <w:rFonts w:hAnsi="宋体" w:hint="eastAsia"/>
          <w:szCs w:val="21"/>
        </w:rPr>
        <w:t>合同和招募说明书的规定。</w:t>
      </w:r>
    </w:p>
    <w:p w14:paraId="7B0A70B7" w14:textId="77777777" w:rsidR="00737A1E" w:rsidRDefault="00737A1E">
      <w:pPr>
        <w:pStyle w:val="af1"/>
        <w:spacing w:before="100" w:beforeAutospacing="1" w:after="100" w:afterAutospacing="1"/>
        <w:ind w:firstLine="403"/>
        <w:rPr>
          <w:rFonts w:ascii="宋体" w:eastAsia="宋体"/>
          <w:color w:val="auto"/>
          <w:sz w:val="21"/>
          <w:szCs w:val="21"/>
        </w:rPr>
      </w:pPr>
    </w:p>
    <w:p w14:paraId="5A93109E" w14:textId="77777777" w:rsidR="00737A1E" w:rsidRDefault="00647336">
      <w:pPr>
        <w:pStyle w:val="1"/>
        <w:spacing w:before="100" w:beforeAutospacing="1" w:after="100" w:afterAutospacing="1" w:line="400" w:lineRule="exact"/>
        <w:ind w:firstLine="422"/>
        <w:rPr>
          <w:rFonts w:ascii="宋体" w:hAnsi="宋体"/>
          <w:sz w:val="21"/>
          <w:szCs w:val="21"/>
        </w:rPr>
      </w:pPr>
      <w:bookmarkStart w:id="5" w:name="_Toc116900098"/>
      <w:r>
        <w:rPr>
          <w:rFonts w:ascii="宋体" w:hAnsi="宋体" w:hint="eastAsia"/>
          <w:sz w:val="21"/>
          <w:szCs w:val="21"/>
        </w:rPr>
        <w:t>三、基金托管人对基金管理人的业务监督和核查</w:t>
      </w:r>
      <w:bookmarkEnd w:id="5"/>
    </w:p>
    <w:p w14:paraId="56F16C37"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（一）基金托管人根据有关法律法规的规定对基金管理人的下列投资运作进行监督：</w:t>
      </w:r>
    </w:p>
    <w:p w14:paraId="06D16CA0"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1、对基金的投资范围、投资对象进行监督。</w:t>
      </w:r>
    </w:p>
    <w:p w14:paraId="73CA5090"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本基金的投资范围为具有良好流动性的金融工具，包括国内依法发行上市的股票（包括主板、创业板、</w:t>
      </w:r>
      <w:proofErr w:type="gramStart"/>
      <w:r>
        <w:rPr>
          <w:rFonts w:ascii="宋体" w:hAnsi="宋体" w:cs="方正仿宋简体" w:hint="eastAsia"/>
          <w:szCs w:val="21"/>
        </w:rPr>
        <w:t>科创板</w:t>
      </w:r>
      <w:proofErr w:type="gramEnd"/>
      <w:r>
        <w:rPr>
          <w:rFonts w:ascii="宋体" w:hAnsi="宋体" w:cs="方正仿宋简体" w:hint="eastAsia"/>
          <w:szCs w:val="21"/>
        </w:rPr>
        <w:t>、北京证券交易所股票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w:t>
      </w:r>
      <w:proofErr w:type="gramStart"/>
      <w:r>
        <w:rPr>
          <w:rFonts w:ascii="宋体" w:hAnsi="宋体" w:cs="方正仿宋简体" w:hint="eastAsia"/>
          <w:szCs w:val="21"/>
        </w:rPr>
        <w:t>券</w:t>
      </w:r>
      <w:proofErr w:type="gramEnd"/>
      <w:r>
        <w:rPr>
          <w:rFonts w:ascii="宋体" w:hAnsi="宋体" w:cs="方正仿宋简体" w:hint="eastAsia"/>
          <w:szCs w:val="21"/>
        </w:rPr>
        <w:t>、超短期融资</w:t>
      </w:r>
      <w:proofErr w:type="gramStart"/>
      <w:r>
        <w:rPr>
          <w:rFonts w:ascii="宋体" w:hAnsi="宋体" w:cs="方正仿宋简体" w:hint="eastAsia"/>
          <w:szCs w:val="21"/>
        </w:rPr>
        <w:lastRenderedPageBreak/>
        <w:t>券</w:t>
      </w:r>
      <w:proofErr w:type="gramEnd"/>
      <w:r>
        <w:rPr>
          <w:rFonts w:ascii="宋体" w:hAnsi="宋体" w:cs="方正仿宋简体" w:hint="eastAsia"/>
          <w:szCs w:val="21"/>
        </w:rPr>
        <w:t>、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信用衍生品等）以及经中国证监会允许基金投资的其他金融工具，但需符合中国证监会的相关规定。</w:t>
      </w:r>
    </w:p>
    <w:p w14:paraId="3381A1D2"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本基金可根据法律法规参与融资业务。</w:t>
      </w:r>
    </w:p>
    <w:p w14:paraId="0F29B25C"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如法律法规或监管机构以后允许基金投资其他品种，基金管理人在履行适当程序后，可以将其纳入投资范围。</w:t>
      </w:r>
    </w:p>
    <w:p w14:paraId="4DAC2852"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本基金的投资组合比例如下：本基金股票（</w:t>
      </w:r>
      <w:proofErr w:type="gramStart"/>
      <w:r>
        <w:rPr>
          <w:rFonts w:ascii="宋体" w:hAnsi="宋体" w:cs="方正仿宋简体" w:hint="eastAsia"/>
          <w:szCs w:val="21"/>
        </w:rPr>
        <w:t>含存托</w:t>
      </w:r>
      <w:proofErr w:type="gramEnd"/>
      <w:r>
        <w:rPr>
          <w:rFonts w:ascii="宋体" w:hAnsi="宋体" w:cs="方正仿宋简体" w:hint="eastAsia"/>
          <w:szCs w:val="21"/>
        </w:rPr>
        <w:t>凭证）投资占基金资产的比例范围为60%-95%（其中港股</w:t>
      </w:r>
      <w:proofErr w:type="gramStart"/>
      <w:r>
        <w:rPr>
          <w:rFonts w:ascii="宋体" w:hAnsi="宋体" w:cs="方正仿宋简体" w:hint="eastAsia"/>
          <w:szCs w:val="21"/>
        </w:rPr>
        <w:t>通股票</w:t>
      </w:r>
      <w:proofErr w:type="gramEnd"/>
      <w:r>
        <w:rPr>
          <w:rFonts w:ascii="宋体" w:hAnsi="宋体" w:cs="方正仿宋简体" w:hint="eastAsia"/>
          <w:szCs w:val="21"/>
        </w:rPr>
        <w:t>投资比例不得超过股票资产的50%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6093B4C5"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如果法律法规或中国证监会变更投资品种的投资比例限制，基金管理人在履行适当程序后，可以调整上述投资品种的投资比例。</w:t>
      </w:r>
    </w:p>
    <w:p w14:paraId="1D8AC163" w14:textId="7300580A"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基金管理人应将拟投资的股票库、债券库等各投资品种的具体范围及时提供给基金托管人。基金</w:t>
      </w:r>
      <w:r>
        <w:rPr>
          <w:rFonts w:ascii="宋体" w:hAnsi="宋体" w:hint="eastAsia"/>
          <w:color w:val="000000"/>
          <w:szCs w:val="21"/>
        </w:rPr>
        <w:t>管理人可以根据实际情况的变化，对各投资品种的具体范围予以更新和调整，并及时通知基金托管人。基金托管人根据上述投资范围对基金的投资进行监督。</w:t>
      </w:r>
    </w:p>
    <w:p w14:paraId="6F29A1F1" w14:textId="77777777" w:rsidR="00737A1E" w:rsidRDefault="00647336">
      <w:pPr>
        <w:spacing w:line="360" w:lineRule="auto"/>
        <w:ind w:firstLine="420"/>
        <w:rPr>
          <w:rFonts w:ascii="宋体" w:hAnsi="宋体" w:cs="方正仿宋简体"/>
          <w:szCs w:val="21"/>
        </w:rPr>
      </w:pPr>
      <w:r>
        <w:rPr>
          <w:rFonts w:ascii="宋体" w:hAnsi="宋体" w:cs="方正仿宋简体" w:hint="eastAsia"/>
          <w:szCs w:val="21"/>
        </w:rPr>
        <w:t>2、对基金投融资比例进行监督；</w:t>
      </w:r>
    </w:p>
    <w:p w14:paraId="414BB762" w14:textId="26216D7D" w:rsidR="00737A1E" w:rsidRDefault="00647336">
      <w:pPr>
        <w:spacing w:line="360" w:lineRule="auto"/>
        <w:ind w:firstLine="420"/>
        <w:rPr>
          <w:rFonts w:hAnsi="宋体"/>
          <w:szCs w:val="21"/>
        </w:rPr>
      </w:pPr>
      <w:r>
        <w:rPr>
          <w:rFonts w:hAnsi="宋体" w:hint="eastAsia"/>
          <w:szCs w:val="21"/>
        </w:rPr>
        <w:t>（</w:t>
      </w:r>
      <w:r>
        <w:rPr>
          <w:rFonts w:hAnsi="宋体" w:hint="eastAsia"/>
          <w:szCs w:val="21"/>
        </w:rPr>
        <w:t>1</w:t>
      </w:r>
      <w:r>
        <w:rPr>
          <w:rFonts w:hAnsi="宋体" w:hint="eastAsia"/>
          <w:szCs w:val="21"/>
        </w:rPr>
        <w:t>）本基金股票（</w:t>
      </w:r>
      <w:proofErr w:type="gramStart"/>
      <w:r>
        <w:rPr>
          <w:rFonts w:hAnsi="宋体" w:hint="eastAsia"/>
          <w:szCs w:val="21"/>
        </w:rPr>
        <w:t>含存托</w:t>
      </w:r>
      <w:proofErr w:type="gramEnd"/>
      <w:r>
        <w:rPr>
          <w:rFonts w:hAnsi="宋体" w:hint="eastAsia"/>
          <w:szCs w:val="21"/>
        </w:rPr>
        <w:t>凭证）投资占基金资产的比例范围为</w:t>
      </w:r>
      <w:r>
        <w:rPr>
          <w:rFonts w:hAnsi="宋体"/>
          <w:szCs w:val="21"/>
        </w:rPr>
        <w:t>6</w:t>
      </w:r>
      <w:r>
        <w:rPr>
          <w:rFonts w:hAnsi="宋体" w:hint="eastAsia"/>
          <w:szCs w:val="21"/>
        </w:rPr>
        <w:t>0%</w:t>
      </w:r>
      <w:r>
        <w:rPr>
          <w:rFonts w:hAnsi="宋体"/>
          <w:szCs w:val="21"/>
        </w:rPr>
        <w:t>-95%</w:t>
      </w:r>
      <w:r>
        <w:rPr>
          <w:rFonts w:hAnsi="宋体" w:hint="eastAsia"/>
          <w:szCs w:val="21"/>
        </w:rPr>
        <w:t>（其中港股</w:t>
      </w:r>
      <w:proofErr w:type="gramStart"/>
      <w:r>
        <w:rPr>
          <w:rFonts w:hAnsi="宋体" w:hint="eastAsia"/>
          <w:szCs w:val="21"/>
        </w:rPr>
        <w:t>通股票</w:t>
      </w:r>
      <w:proofErr w:type="gramEnd"/>
      <w:r>
        <w:rPr>
          <w:rFonts w:hAnsi="宋体" w:hint="eastAsia"/>
          <w:szCs w:val="21"/>
        </w:rPr>
        <w:t>投资比例不得超过股票资产的</w:t>
      </w:r>
      <w:r>
        <w:rPr>
          <w:rFonts w:hAnsi="宋体" w:hint="eastAsia"/>
          <w:szCs w:val="21"/>
        </w:rPr>
        <w:t>50%</w:t>
      </w:r>
      <w:r>
        <w:rPr>
          <w:rFonts w:hAnsi="宋体" w:hint="eastAsia"/>
          <w:szCs w:val="21"/>
        </w:rPr>
        <w:t>）；</w:t>
      </w:r>
    </w:p>
    <w:p w14:paraId="10C70199"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2</w:t>
      </w:r>
      <w:r>
        <w:rPr>
          <w:rFonts w:hAnsi="宋体" w:hint="eastAsia"/>
          <w:szCs w:val="21"/>
        </w:rPr>
        <w:t>）本基金每个交易日日终在扣除股指期货合约、国债期货合约、股票期权合约需缴纳的交易保证金后，应当保持不低于基金资产净值</w:t>
      </w:r>
      <w:r>
        <w:rPr>
          <w:rFonts w:hAnsi="宋体" w:hint="eastAsia"/>
          <w:szCs w:val="21"/>
        </w:rPr>
        <w:t>5%</w:t>
      </w:r>
      <w:r>
        <w:rPr>
          <w:rFonts w:hAnsi="宋体" w:hint="eastAsia"/>
          <w:szCs w:val="21"/>
        </w:rPr>
        <w:t>的现金或者到期日在一年以内的政府债券。其中现金不包括结算备付金、存出保证金、应收申购款等；</w:t>
      </w:r>
    </w:p>
    <w:p w14:paraId="3D94F9A3" w14:textId="77777777" w:rsidR="00737A1E" w:rsidRDefault="00647336">
      <w:pPr>
        <w:spacing w:line="360" w:lineRule="auto"/>
        <w:ind w:firstLine="420"/>
        <w:rPr>
          <w:rFonts w:hAnsi="宋体"/>
          <w:color w:val="0D0D0D"/>
          <w:szCs w:val="21"/>
        </w:rPr>
      </w:pPr>
      <w:r>
        <w:rPr>
          <w:rFonts w:hAnsi="宋体" w:hint="eastAsia"/>
          <w:szCs w:val="21"/>
        </w:rPr>
        <w:t>（</w:t>
      </w:r>
      <w:r>
        <w:rPr>
          <w:rFonts w:hAnsi="宋体" w:hint="eastAsia"/>
          <w:szCs w:val="21"/>
        </w:rPr>
        <w:t>3</w:t>
      </w:r>
      <w:r>
        <w:rPr>
          <w:rFonts w:hAnsi="宋体" w:hint="eastAsia"/>
          <w:szCs w:val="21"/>
        </w:rPr>
        <w:t>）本基金持有一家公司发行的证</w:t>
      </w:r>
      <w:r>
        <w:rPr>
          <w:rFonts w:hAnsi="宋体" w:hint="eastAsia"/>
          <w:color w:val="0D0D0D" w:themeColor="text1" w:themeTint="F2"/>
          <w:szCs w:val="21"/>
        </w:rPr>
        <w:t>券（</w:t>
      </w:r>
      <w:r>
        <w:rPr>
          <w:rFonts w:ascii="宋体" w:cs="宋体" w:hint="eastAsia"/>
          <w:color w:val="0D0D0D" w:themeColor="text1" w:themeTint="F2"/>
          <w:sz w:val="22"/>
          <w:szCs w:val="22"/>
          <w:lang w:val="zh-CN"/>
        </w:rPr>
        <w:t>同一家公司在境内和香港同时上市的，</w:t>
      </w:r>
      <w:r>
        <w:rPr>
          <w:rFonts w:hAnsi="宋体"/>
          <w:color w:val="0D0D0D" w:themeColor="text1" w:themeTint="F2"/>
          <w:szCs w:val="21"/>
        </w:rPr>
        <w:t>A</w:t>
      </w:r>
      <w:r>
        <w:rPr>
          <w:rFonts w:hAnsi="宋体" w:hint="eastAsia"/>
          <w:color w:val="0D0D0D" w:themeColor="text1" w:themeTint="F2"/>
          <w:szCs w:val="21"/>
        </w:rPr>
        <w:t>股和</w:t>
      </w:r>
      <w:r>
        <w:rPr>
          <w:rFonts w:hAnsi="宋体"/>
          <w:color w:val="0D0D0D" w:themeColor="text1" w:themeTint="F2"/>
          <w:szCs w:val="21"/>
        </w:rPr>
        <w:t>H</w:t>
      </w:r>
      <w:r>
        <w:rPr>
          <w:rFonts w:hAnsi="宋体" w:hint="eastAsia"/>
          <w:color w:val="0D0D0D" w:themeColor="text1" w:themeTint="F2"/>
          <w:szCs w:val="21"/>
        </w:rPr>
        <w:t>股合并计算），其市值不超过基金资产净值的</w:t>
      </w:r>
      <w:r>
        <w:rPr>
          <w:rFonts w:hAnsi="宋体"/>
          <w:color w:val="0D0D0D" w:themeColor="text1" w:themeTint="F2"/>
          <w:szCs w:val="21"/>
        </w:rPr>
        <w:t>10</w:t>
      </w:r>
      <w:r>
        <w:rPr>
          <w:rFonts w:hAnsi="宋体" w:hint="eastAsia"/>
          <w:color w:val="0D0D0D" w:themeColor="text1" w:themeTint="F2"/>
          <w:szCs w:val="21"/>
        </w:rPr>
        <w:t>％；</w:t>
      </w:r>
    </w:p>
    <w:p w14:paraId="1739BEC1" w14:textId="77777777" w:rsidR="00737A1E" w:rsidRDefault="00647336">
      <w:pPr>
        <w:spacing w:line="360" w:lineRule="auto"/>
        <w:ind w:firstLine="420"/>
        <w:rPr>
          <w:rFonts w:hAnsi="宋体"/>
          <w:szCs w:val="21"/>
        </w:rPr>
      </w:pPr>
      <w:r>
        <w:rPr>
          <w:rFonts w:hAnsi="宋体" w:hint="eastAsia"/>
          <w:color w:val="0D0D0D" w:themeColor="text1" w:themeTint="F2"/>
          <w:szCs w:val="21"/>
        </w:rPr>
        <w:t>（</w:t>
      </w:r>
      <w:r>
        <w:rPr>
          <w:rFonts w:hAnsi="宋体"/>
          <w:color w:val="0D0D0D" w:themeColor="text1" w:themeTint="F2"/>
          <w:szCs w:val="21"/>
        </w:rPr>
        <w:t>4</w:t>
      </w:r>
      <w:r>
        <w:rPr>
          <w:rFonts w:hAnsi="宋体" w:hint="eastAsia"/>
          <w:color w:val="0D0D0D" w:themeColor="text1" w:themeTint="F2"/>
          <w:szCs w:val="21"/>
        </w:rPr>
        <w:t>）本基金管理人管理</w:t>
      </w:r>
      <w:r>
        <w:rPr>
          <w:rFonts w:hAnsi="宋体"/>
          <w:color w:val="0D0D0D" w:themeColor="text1" w:themeTint="F2"/>
          <w:szCs w:val="21"/>
        </w:rPr>
        <w:t>且由本基金托管人托管的全部基金持有一家公司发行的证券（</w:t>
      </w:r>
      <w:r>
        <w:rPr>
          <w:rFonts w:ascii="宋体" w:cs="宋体" w:hint="eastAsia"/>
          <w:color w:val="0D0D0D" w:themeColor="text1" w:themeTint="F2"/>
          <w:sz w:val="22"/>
          <w:szCs w:val="22"/>
          <w:lang w:val="zh-CN"/>
        </w:rPr>
        <w:t>同一家公司在境内和香港同时上市的，</w:t>
      </w:r>
      <w:r>
        <w:rPr>
          <w:rFonts w:hAnsi="宋体"/>
          <w:color w:val="0D0D0D" w:themeColor="text1" w:themeTint="F2"/>
          <w:szCs w:val="21"/>
        </w:rPr>
        <w:t>A</w:t>
      </w:r>
      <w:r>
        <w:rPr>
          <w:rFonts w:hAnsi="宋体" w:hint="eastAsia"/>
          <w:color w:val="0D0D0D" w:themeColor="text1" w:themeTint="F2"/>
          <w:szCs w:val="21"/>
        </w:rPr>
        <w:t>股和</w:t>
      </w:r>
      <w:r>
        <w:rPr>
          <w:rFonts w:hAnsi="宋体"/>
          <w:color w:val="0D0D0D" w:themeColor="text1" w:themeTint="F2"/>
          <w:szCs w:val="21"/>
        </w:rPr>
        <w:t>H</w:t>
      </w:r>
      <w:r>
        <w:rPr>
          <w:rFonts w:hAnsi="宋体" w:hint="eastAsia"/>
          <w:color w:val="0D0D0D" w:themeColor="text1" w:themeTint="F2"/>
          <w:szCs w:val="21"/>
        </w:rPr>
        <w:t>股合并计算），不超过该</w:t>
      </w:r>
      <w:r>
        <w:rPr>
          <w:rFonts w:hAnsi="宋体" w:hint="eastAsia"/>
          <w:szCs w:val="21"/>
        </w:rPr>
        <w:t>证券的</w:t>
      </w:r>
      <w:r>
        <w:rPr>
          <w:rFonts w:hAnsi="宋体" w:hint="eastAsia"/>
          <w:szCs w:val="21"/>
        </w:rPr>
        <w:t>10</w:t>
      </w:r>
      <w:r>
        <w:rPr>
          <w:rFonts w:hAnsi="宋体" w:hint="eastAsia"/>
          <w:szCs w:val="21"/>
        </w:rPr>
        <w:t>％，完全按照有关指数的构成比例进行证券投资的基金品种可以不受此条款规定的比例</w:t>
      </w:r>
      <w:r>
        <w:rPr>
          <w:rFonts w:hAnsi="宋体" w:hint="eastAsia"/>
          <w:szCs w:val="21"/>
        </w:rPr>
        <w:lastRenderedPageBreak/>
        <w:t>限制；</w:t>
      </w:r>
    </w:p>
    <w:p w14:paraId="1D57B21B"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5</w:t>
      </w:r>
      <w:r>
        <w:rPr>
          <w:rFonts w:hAnsi="宋体" w:hint="eastAsia"/>
          <w:szCs w:val="21"/>
        </w:rPr>
        <w:t>）本基金投资于同一原始权益人的各类资产支持证券的比例，不得超过基金资产净值的</w:t>
      </w:r>
      <w:r>
        <w:rPr>
          <w:rFonts w:hAnsi="宋体" w:hint="eastAsia"/>
          <w:szCs w:val="21"/>
        </w:rPr>
        <w:t>10</w:t>
      </w:r>
      <w:r>
        <w:rPr>
          <w:rFonts w:hAnsi="宋体" w:hint="eastAsia"/>
          <w:szCs w:val="21"/>
        </w:rPr>
        <w:t>％；</w:t>
      </w:r>
    </w:p>
    <w:p w14:paraId="48586DEE"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6</w:t>
      </w:r>
      <w:r>
        <w:rPr>
          <w:rFonts w:hAnsi="宋体" w:hint="eastAsia"/>
          <w:szCs w:val="21"/>
        </w:rPr>
        <w:t>）本基金持有的全部资产支持证券，其市值不得超过基金资产净值的</w:t>
      </w:r>
      <w:r>
        <w:rPr>
          <w:rFonts w:hAnsi="宋体" w:hint="eastAsia"/>
          <w:szCs w:val="21"/>
        </w:rPr>
        <w:t>20</w:t>
      </w:r>
      <w:r>
        <w:rPr>
          <w:rFonts w:hAnsi="宋体" w:hint="eastAsia"/>
          <w:szCs w:val="21"/>
        </w:rPr>
        <w:t>％；</w:t>
      </w:r>
    </w:p>
    <w:p w14:paraId="037E1F2D"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7</w:t>
      </w:r>
      <w:r>
        <w:rPr>
          <w:rFonts w:hAnsi="宋体" w:hint="eastAsia"/>
          <w:szCs w:val="21"/>
        </w:rPr>
        <w:t>）本基金持有的同一</w:t>
      </w:r>
      <w:r>
        <w:rPr>
          <w:rFonts w:hAnsi="宋体" w:hint="eastAsia"/>
          <w:szCs w:val="21"/>
        </w:rPr>
        <w:t>(</w:t>
      </w:r>
      <w:r>
        <w:rPr>
          <w:rFonts w:hAnsi="宋体" w:hint="eastAsia"/>
          <w:szCs w:val="21"/>
        </w:rPr>
        <w:t>指同一信用级别</w:t>
      </w:r>
      <w:r>
        <w:rPr>
          <w:rFonts w:hAnsi="宋体" w:hint="eastAsia"/>
          <w:szCs w:val="21"/>
        </w:rPr>
        <w:t>)</w:t>
      </w:r>
      <w:r>
        <w:rPr>
          <w:rFonts w:hAnsi="宋体" w:hint="eastAsia"/>
          <w:szCs w:val="21"/>
        </w:rPr>
        <w:t>资产支持证券的比例，不得超过该资产支持证券规模的</w:t>
      </w:r>
      <w:r>
        <w:rPr>
          <w:rFonts w:hAnsi="宋体" w:hint="eastAsia"/>
          <w:szCs w:val="21"/>
        </w:rPr>
        <w:t>10</w:t>
      </w:r>
      <w:r>
        <w:rPr>
          <w:rFonts w:hAnsi="宋体" w:hint="eastAsia"/>
          <w:szCs w:val="21"/>
        </w:rPr>
        <w:t>％；</w:t>
      </w:r>
    </w:p>
    <w:p w14:paraId="187EC16A"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8</w:t>
      </w:r>
      <w:r>
        <w:rPr>
          <w:rFonts w:hAnsi="宋体" w:hint="eastAsia"/>
          <w:szCs w:val="21"/>
        </w:rPr>
        <w:t>）本基金管理人管理且由本基金托管人托管的全部基金投资于同一原始权益人的各类资产支持证券，不得超过其各类资产支持证券合计规模的</w:t>
      </w:r>
      <w:r>
        <w:rPr>
          <w:rFonts w:hAnsi="宋体" w:hint="eastAsia"/>
          <w:szCs w:val="21"/>
        </w:rPr>
        <w:t>10%</w:t>
      </w:r>
      <w:r>
        <w:rPr>
          <w:rFonts w:hAnsi="宋体" w:hint="eastAsia"/>
          <w:szCs w:val="21"/>
        </w:rPr>
        <w:t>；</w:t>
      </w:r>
    </w:p>
    <w:p w14:paraId="51CEBE99"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9</w:t>
      </w:r>
      <w:r>
        <w:rPr>
          <w:rFonts w:hAnsi="宋体" w:hint="eastAsia"/>
          <w:szCs w:val="21"/>
        </w:rPr>
        <w:t>）本基金应投资于信用级别评级为</w:t>
      </w:r>
      <w:r>
        <w:rPr>
          <w:rFonts w:hAnsi="宋体" w:hint="eastAsia"/>
          <w:szCs w:val="21"/>
        </w:rPr>
        <w:t>BBB</w:t>
      </w:r>
      <w:r>
        <w:rPr>
          <w:rFonts w:hAnsi="宋体" w:hint="eastAsia"/>
          <w:szCs w:val="21"/>
        </w:rPr>
        <w:t>以上</w:t>
      </w:r>
      <w:r>
        <w:rPr>
          <w:rFonts w:hAnsi="宋体" w:hint="eastAsia"/>
          <w:szCs w:val="21"/>
        </w:rPr>
        <w:t>(</w:t>
      </w:r>
      <w:r>
        <w:rPr>
          <w:rFonts w:hAnsi="宋体" w:hint="eastAsia"/>
          <w:szCs w:val="21"/>
        </w:rPr>
        <w:t>含</w:t>
      </w:r>
      <w:r>
        <w:rPr>
          <w:rFonts w:hAnsi="宋体" w:hint="eastAsia"/>
          <w:szCs w:val="21"/>
        </w:rPr>
        <w:t>BBB)</w:t>
      </w:r>
      <w:r>
        <w:rPr>
          <w:rFonts w:hAnsi="宋体" w:hint="eastAsia"/>
          <w:szCs w:val="21"/>
        </w:rPr>
        <w:t>的资产支持证券。基金持有资产支持证券期间，如果其信用等级下降、不再符合投资标准，应在评级报告发布之日起</w:t>
      </w:r>
      <w:r>
        <w:rPr>
          <w:rFonts w:hAnsi="宋体" w:hint="eastAsia"/>
          <w:szCs w:val="21"/>
        </w:rPr>
        <w:t>3</w:t>
      </w:r>
      <w:r>
        <w:rPr>
          <w:rFonts w:hAnsi="宋体" w:hint="eastAsia"/>
          <w:szCs w:val="21"/>
        </w:rPr>
        <w:t>个月内予以全部卖出；</w:t>
      </w:r>
    </w:p>
    <w:p w14:paraId="0372CB2D"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10</w:t>
      </w:r>
      <w:r>
        <w:rPr>
          <w:rFonts w:hAnsi="宋体" w:hint="eastAsia"/>
          <w:szCs w:val="21"/>
        </w:rPr>
        <w:t>）基金财产参与股票发行申购，本基金所申报的金额不超过本基金的总资产，本基金所申报的股票数量不超过拟发行股票公司本次发行股票的总量；</w:t>
      </w:r>
    </w:p>
    <w:p w14:paraId="65E93DC9"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1</w:t>
      </w:r>
      <w:r>
        <w:rPr>
          <w:rFonts w:hAnsi="宋体"/>
          <w:szCs w:val="21"/>
        </w:rPr>
        <w:t>1</w:t>
      </w:r>
      <w:r>
        <w:rPr>
          <w:rFonts w:hAnsi="宋体" w:hint="eastAsia"/>
          <w:szCs w:val="21"/>
        </w:rPr>
        <w:t>）本基金管理人管理</w:t>
      </w:r>
      <w:r>
        <w:rPr>
          <w:rFonts w:hAnsi="宋体"/>
          <w:szCs w:val="21"/>
        </w:rPr>
        <w:t>且由本基金托管人托管的全部开放式基金持有一家上市公司发行的可流通股票，不</w:t>
      </w:r>
      <w:r>
        <w:rPr>
          <w:rFonts w:hAnsi="宋体" w:hint="eastAsia"/>
          <w:szCs w:val="21"/>
        </w:rPr>
        <w:t>得超过该上市公司可流通股票的</w:t>
      </w:r>
      <w:r>
        <w:rPr>
          <w:rFonts w:hAnsi="宋体" w:hint="eastAsia"/>
          <w:szCs w:val="21"/>
        </w:rPr>
        <w:t>15%</w:t>
      </w:r>
      <w:r>
        <w:rPr>
          <w:rFonts w:hAnsi="宋体" w:hint="eastAsia"/>
          <w:szCs w:val="21"/>
        </w:rPr>
        <w:t>；本基金管理人管理</w:t>
      </w:r>
      <w:r>
        <w:rPr>
          <w:rFonts w:hAnsi="宋体"/>
          <w:szCs w:val="21"/>
        </w:rPr>
        <w:t>且由本基金托管人托管的全部投资组合持有一家上市公司发行的可流通股票，不得超过该上市公司可流通股票的</w:t>
      </w:r>
      <w:r>
        <w:rPr>
          <w:rFonts w:hAnsi="宋体" w:hint="eastAsia"/>
          <w:szCs w:val="21"/>
        </w:rPr>
        <w:t>30%</w:t>
      </w:r>
      <w:r>
        <w:rPr>
          <w:rFonts w:hAnsi="宋体" w:hint="eastAsia"/>
          <w:szCs w:val="21"/>
        </w:rPr>
        <w:t>；完全按照有关指数的构成比例进行证券投资的开放式基金以及中国证监会认定的特殊投资组合可不受前述比例限制；</w:t>
      </w:r>
    </w:p>
    <w:p w14:paraId="3FF429F3"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1</w:t>
      </w:r>
      <w:r>
        <w:rPr>
          <w:rFonts w:hAnsi="宋体"/>
          <w:szCs w:val="21"/>
        </w:rPr>
        <w:t>2</w:t>
      </w:r>
      <w:r>
        <w:rPr>
          <w:rFonts w:hAnsi="宋体" w:hint="eastAsia"/>
          <w:szCs w:val="21"/>
        </w:rPr>
        <w:t>）本基金主动投资于流动性受限资产的市值合计不得超过基金资产净值的</w:t>
      </w:r>
      <w:r>
        <w:rPr>
          <w:rFonts w:hAnsi="宋体" w:hint="eastAsia"/>
          <w:szCs w:val="21"/>
        </w:rPr>
        <w:t>15%</w:t>
      </w:r>
      <w:r>
        <w:rPr>
          <w:rFonts w:hAnsi="宋体" w:hint="eastAsia"/>
          <w:szCs w:val="21"/>
        </w:rPr>
        <w:t>；因证券市场波动、上市公司股票停牌、基金规模变动等基金管理人之外的因素致使基金不符合该比例限制的，基金管理人不得主动新增流动性受限资产的投资；</w:t>
      </w:r>
      <w:r>
        <w:rPr>
          <w:rFonts w:hAnsi="宋体" w:hint="eastAsia"/>
          <w:szCs w:val="21"/>
        </w:rPr>
        <w:t xml:space="preserve"> </w:t>
      </w:r>
    </w:p>
    <w:p w14:paraId="14FA38A1" w14:textId="77777777" w:rsidR="00737A1E" w:rsidRDefault="00647336">
      <w:pPr>
        <w:spacing w:line="360" w:lineRule="auto"/>
        <w:ind w:firstLine="420"/>
        <w:rPr>
          <w:rFonts w:hAnsi="宋体"/>
          <w:szCs w:val="21"/>
        </w:rPr>
      </w:pPr>
      <w:r>
        <w:rPr>
          <w:rFonts w:hAnsi="宋体" w:hint="eastAsia"/>
          <w:szCs w:val="21"/>
        </w:rPr>
        <w:t>（</w:t>
      </w:r>
      <w:r>
        <w:rPr>
          <w:rFonts w:hAnsi="宋体"/>
          <w:szCs w:val="21"/>
        </w:rPr>
        <w:t>13</w:t>
      </w:r>
      <w:r>
        <w:rPr>
          <w:rFonts w:hAnsi="宋体" w:hint="eastAsia"/>
          <w:szCs w:val="21"/>
        </w:rPr>
        <w:t>）本基金与私募类</w:t>
      </w:r>
      <w:proofErr w:type="gramStart"/>
      <w:r>
        <w:rPr>
          <w:rFonts w:hAnsi="宋体" w:hint="eastAsia"/>
          <w:szCs w:val="21"/>
        </w:rPr>
        <w:t>证券资管产品</w:t>
      </w:r>
      <w:proofErr w:type="gramEnd"/>
      <w:r>
        <w:rPr>
          <w:rFonts w:hAnsi="宋体" w:hint="eastAsia"/>
          <w:szCs w:val="21"/>
        </w:rPr>
        <w:t>及中国证监会认定的其他主体为交易对手开展逆回购交易的，可接受质押品的资质要求应当与基金合同约定的投资范围保持一致；</w:t>
      </w:r>
    </w:p>
    <w:p w14:paraId="5E5B3ACC"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14</w:t>
      </w:r>
      <w:r>
        <w:rPr>
          <w:rFonts w:hAnsi="宋体" w:hint="eastAsia"/>
          <w:szCs w:val="21"/>
        </w:rPr>
        <w:t>）本基金参与股指期货、国债期货交易的，在任何交易日日终，持有的买入国债期货合约、股指期货合约价值与有价证券市值之和，不得超过基金资产净值的</w:t>
      </w:r>
      <w:r>
        <w:rPr>
          <w:rFonts w:hAnsi="宋体" w:hint="eastAsia"/>
          <w:szCs w:val="21"/>
        </w:rPr>
        <w:t>95%</w:t>
      </w:r>
      <w:r>
        <w:rPr>
          <w:rFonts w:hAnsi="宋体" w:hint="eastAsia"/>
          <w:szCs w:val="21"/>
        </w:rPr>
        <w:t>，其中，有价证券指股票、债券（不含到期日在一年以内的政府债券）、资产支持证券、买入返售金融资产（不含质押式回购）等；</w:t>
      </w:r>
    </w:p>
    <w:p w14:paraId="6CEB9ACB" w14:textId="00F83F67" w:rsidR="00737A1E" w:rsidRDefault="00647336">
      <w:pPr>
        <w:spacing w:line="360" w:lineRule="auto"/>
        <w:ind w:firstLine="420"/>
        <w:rPr>
          <w:rFonts w:hAnsi="宋体"/>
          <w:szCs w:val="21"/>
        </w:rPr>
      </w:pPr>
      <w:r>
        <w:rPr>
          <w:rFonts w:hAnsi="宋体" w:hint="eastAsia"/>
          <w:szCs w:val="21"/>
        </w:rPr>
        <w:t>（</w:t>
      </w:r>
      <w:r>
        <w:rPr>
          <w:rFonts w:hAnsi="宋体" w:hint="eastAsia"/>
          <w:szCs w:val="21"/>
        </w:rPr>
        <w:t>15</w:t>
      </w:r>
      <w:r>
        <w:rPr>
          <w:rFonts w:hAnsi="宋体" w:hint="eastAsia"/>
          <w:szCs w:val="21"/>
        </w:rPr>
        <w:t>）本基金参与股指期货交易的，在任何交易日日终，持有的买入股指期货合约价值，不得超过基金资产净值的</w:t>
      </w:r>
      <w:r>
        <w:rPr>
          <w:rFonts w:hAnsi="宋体" w:hint="eastAsia"/>
          <w:szCs w:val="21"/>
        </w:rPr>
        <w:t>10%</w:t>
      </w:r>
      <w:r>
        <w:rPr>
          <w:rFonts w:hAnsi="宋体" w:hint="eastAsia"/>
          <w:szCs w:val="21"/>
        </w:rPr>
        <w:t>；在任何交易日日终，持有的卖出股指期货合约价值不得超过基金持有的股票总市值的</w:t>
      </w:r>
      <w:r>
        <w:rPr>
          <w:rFonts w:hAnsi="宋体" w:hint="eastAsia"/>
          <w:szCs w:val="21"/>
        </w:rPr>
        <w:t>20%</w:t>
      </w:r>
      <w:r>
        <w:rPr>
          <w:rFonts w:hAnsi="宋体" w:hint="eastAsia"/>
          <w:szCs w:val="21"/>
        </w:rPr>
        <w:t>；</w:t>
      </w:r>
      <w:r>
        <w:rPr>
          <w:rFonts w:hAnsi="宋体"/>
          <w:szCs w:val="21"/>
        </w:rPr>
        <w:t>所持有的股票市值和买入、卖出股指期货合约价</w:t>
      </w:r>
      <w:r>
        <w:rPr>
          <w:rFonts w:hAnsi="宋体"/>
          <w:szCs w:val="21"/>
        </w:rPr>
        <w:lastRenderedPageBreak/>
        <w:t>值，合计</w:t>
      </w:r>
      <w:r>
        <w:rPr>
          <w:rFonts w:hAnsi="宋体" w:hint="eastAsia"/>
          <w:szCs w:val="21"/>
        </w:rPr>
        <w:t>（轧差计算）</w:t>
      </w:r>
      <w:r w:rsidR="007419BB" w:rsidRPr="007419BB">
        <w:rPr>
          <w:rFonts w:hAnsi="宋体" w:hint="eastAsia"/>
          <w:szCs w:val="21"/>
        </w:rPr>
        <w:t>占基金资产的比例范围为</w:t>
      </w:r>
      <w:r w:rsidR="007419BB" w:rsidRPr="007419BB">
        <w:rPr>
          <w:rFonts w:hAnsi="宋体" w:hint="eastAsia"/>
          <w:szCs w:val="21"/>
        </w:rPr>
        <w:t>60%-95%</w:t>
      </w:r>
      <w:r>
        <w:rPr>
          <w:rFonts w:hAnsi="宋体"/>
          <w:szCs w:val="21"/>
        </w:rPr>
        <w:t>；在任何交易日内交易（不包括平仓）的股指期货合约的成交金额不得超过上一交易日基金资产净值的</w:t>
      </w:r>
      <w:r>
        <w:rPr>
          <w:rFonts w:hAnsi="宋体" w:hint="eastAsia"/>
          <w:szCs w:val="21"/>
        </w:rPr>
        <w:t>20%</w:t>
      </w:r>
      <w:r>
        <w:rPr>
          <w:rFonts w:hAnsi="宋体" w:hint="eastAsia"/>
          <w:szCs w:val="21"/>
        </w:rPr>
        <w:t>；</w:t>
      </w:r>
    </w:p>
    <w:p w14:paraId="1A3D0749" w14:textId="10244B42" w:rsidR="00737A1E" w:rsidRDefault="00647336">
      <w:pPr>
        <w:spacing w:line="360" w:lineRule="auto"/>
        <w:ind w:firstLine="420"/>
        <w:rPr>
          <w:rFonts w:hAnsi="宋体"/>
          <w:szCs w:val="21"/>
        </w:rPr>
      </w:pPr>
      <w:r>
        <w:rPr>
          <w:rFonts w:hAnsi="宋体" w:hint="eastAsia"/>
          <w:szCs w:val="21"/>
        </w:rPr>
        <w:t>（</w:t>
      </w:r>
      <w:r>
        <w:rPr>
          <w:rFonts w:hAnsi="宋体" w:hint="eastAsia"/>
          <w:szCs w:val="21"/>
        </w:rPr>
        <w:t>16</w:t>
      </w:r>
      <w:r>
        <w:rPr>
          <w:rFonts w:hAnsi="宋体" w:hint="eastAsia"/>
          <w:szCs w:val="21"/>
        </w:rPr>
        <w:t>）本基金参与国债期货交易的，在任何交易日日终，持有的买入国债期货合约价值，不得超过基金资产净值的</w:t>
      </w:r>
      <w:r>
        <w:rPr>
          <w:rFonts w:hAnsi="宋体" w:hint="eastAsia"/>
          <w:szCs w:val="21"/>
        </w:rPr>
        <w:t>15%</w:t>
      </w:r>
      <w:r>
        <w:rPr>
          <w:rFonts w:hAnsi="宋体" w:hint="eastAsia"/>
          <w:szCs w:val="21"/>
        </w:rPr>
        <w:t>；在任何交易日日终，持有的卖出国债期货合约价值不得超过基金持有的债券总市值的</w:t>
      </w:r>
      <w:r>
        <w:rPr>
          <w:rFonts w:hAnsi="宋体" w:hint="eastAsia"/>
          <w:szCs w:val="21"/>
        </w:rPr>
        <w:t>30%</w:t>
      </w:r>
      <w:r>
        <w:rPr>
          <w:rFonts w:hAnsi="宋体" w:hint="eastAsia"/>
          <w:szCs w:val="21"/>
        </w:rPr>
        <w:t>；</w:t>
      </w:r>
      <w:r>
        <w:rPr>
          <w:rFonts w:hAnsi="宋体"/>
          <w:szCs w:val="21"/>
        </w:rPr>
        <w:t>在任何交易日内交易（不包括平仓）的国债期货合约的成交金额不得超过上一交易日基金资产净值的</w:t>
      </w:r>
      <w:r>
        <w:rPr>
          <w:rFonts w:hAnsi="宋体" w:hint="eastAsia"/>
          <w:szCs w:val="21"/>
        </w:rPr>
        <w:t>30%</w:t>
      </w:r>
      <w:r>
        <w:rPr>
          <w:rFonts w:hAnsi="宋体" w:hint="eastAsia"/>
          <w:szCs w:val="21"/>
        </w:rPr>
        <w:t>；</w:t>
      </w:r>
    </w:p>
    <w:p w14:paraId="571EF227" w14:textId="5B67E403" w:rsidR="00737A1E" w:rsidRDefault="00647336">
      <w:pPr>
        <w:spacing w:line="360" w:lineRule="auto"/>
        <w:ind w:firstLine="420"/>
        <w:rPr>
          <w:rFonts w:hAnsi="宋体"/>
          <w:szCs w:val="21"/>
        </w:rPr>
      </w:pPr>
      <w:r>
        <w:rPr>
          <w:rFonts w:hAnsi="宋体" w:hint="eastAsia"/>
          <w:szCs w:val="21"/>
        </w:rPr>
        <w:t>（</w:t>
      </w:r>
      <w:r>
        <w:rPr>
          <w:rFonts w:hAnsi="宋体" w:hint="eastAsia"/>
          <w:szCs w:val="21"/>
        </w:rPr>
        <w:t>17</w:t>
      </w:r>
      <w:r>
        <w:rPr>
          <w:rFonts w:hAnsi="宋体" w:hint="eastAsia"/>
          <w:szCs w:val="21"/>
        </w:rPr>
        <w:t>）本基金参与股票期权交易的，基金因未平仓的股票期权合约支付和收取的权利金总额不得超过基金资产净值的</w:t>
      </w:r>
      <w:r>
        <w:rPr>
          <w:rFonts w:hAnsi="宋体" w:hint="eastAsia"/>
          <w:szCs w:val="21"/>
        </w:rPr>
        <w:t>10%</w:t>
      </w:r>
      <w:r>
        <w:rPr>
          <w:rFonts w:hAnsi="宋体" w:hint="eastAsia"/>
          <w:szCs w:val="21"/>
        </w:rPr>
        <w:t>；</w:t>
      </w:r>
      <w:r>
        <w:rPr>
          <w:rFonts w:hAnsi="宋体"/>
          <w:szCs w:val="21"/>
        </w:rPr>
        <w:t>未平仓的股票期权合约面值不得超过基金资产净值的</w:t>
      </w:r>
      <w:r>
        <w:rPr>
          <w:rFonts w:hAnsi="宋体" w:hint="eastAsia"/>
          <w:szCs w:val="21"/>
        </w:rPr>
        <w:t xml:space="preserve"> 20%</w:t>
      </w:r>
      <w:r>
        <w:rPr>
          <w:rFonts w:hAnsi="宋体" w:hint="eastAsia"/>
          <w:szCs w:val="21"/>
        </w:rPr>
        <w:t>。其中，合约面值按照行权价乘以合约乘数计算；</w:t>
      </w:r>
    </w:p>
    <w:p w14:paraId="59FFDBCA" w14:textId="77777777" w:rsidR="00737A1E" w:rsidRDefault="00647336">
      <w:pPr>
        <w:spacing w:line="360" w:lineRule="auto"/>
        <w:ind w:firstLine="420"/>
        <w:rPr>
          <w:rFonts w:hAnsi="宋体"/>
          <w:szCs w:val="21"/>
        </w:rPr>
      </w:pPr>
      <w:r>
        <w:rPr>
          <w:rFonts w:hAnsi="宋体" w:hint="eastAsia"/>
          <w:szCs w:val="21"/>
        </w:rPr>
        <w:t>（</w:t>
      </w:r>
      <w:r>
        <w:rPr>
          <w:rFonts w:hAnsi="宋体" w:hint="eastAsia"/>
          <w:szCs w:val="21"/>
        </w:rPr>
        <w:t>19</w:t>
      </w:r>
      <w:r>
        <w:rPr>
          <w:rFonts w:hAnsi="宋体" w:hint="eastAsia"/>
          <w:szCs w:val="21"/>
        </w:rPr>
        <w:t>）本基金参与融资业务的，每个交易日日终，本基金持有的融资买入股票与其他有价证券市值之和，不得超过基金资产净值的</w:t>
      </w:r>
      <w:r>
        <w:rPr>
          <w:rFonts w:hAnsi="宋体" w:hint="eastAsia"/>
          <w:szCs w:val="21"/>
        </w:rPr>
        <w:t>95%</w:t>
      </w:r>
      <w:r>
        <w:rPr>
          <w:rFonts w:hAnsi="宋体" w:hint="eastAsia"/>
          <w:szCs w:val="21"/>
        </w:rPr>
        <w:t>；</w:t>
      </w:r>
    </w:p>
    <w:p w14:paraId="479FC3E0" w14:textId="77777777" w:rsidR="00737A1E" w:rsidRDefault="00647336">
      <w:pPr>
        <w:spacing w:line="360" w:lineRule="auto"/>
        <w:ind w:firstLine="420"/>
        <w:rPr>
          <w:rFonts w:hAnsi="宋体"/>
          <w:szCs w:val="21"/>
        </w:rPr>
      </w:pPr>
      <w:r>
        <w:rPr>
          <w:rFonts w:hAnsi="宋体" w:hint="eastAsia"/>
          <w:szCs w:val="21"/>
        </w:rPr>
        <w:t>（</w:t>
      </w:r>
      <w:r>
        <w:rPr>
          <w:rFonts w:hAnsi="宋体"/>
          <w:szCs w:val="21"/>
        </w:rPr>
        <w:t>2</w:t>
      </w:r>
      <w:r>
        <w:rPr>
          <w:rFonts w:hAnsi="宋体" w:hint="eastAsia"/>
          <w:szCs w:val="21"/>
        </w:rPr>
        <w:t>0</w:t>
      </w:r>
      <w:r>
        <w:rPr>
          <w:rFonts w:hAnsi="宋体" w:hint="eastAsia"/>
          <w:szCs w:val="21"/>
        </w:rPr>
        <w:t>）本基金资产总值不超过基金资产净值的</w:t>
      </w:r>
      <w:r>
        <w:rPr>
          <w:rFonts w:hAnsi="宋体" w:hint="eastAsia"/>
          <w:szCs w:val="21"/>
        </w:rPr>
        <w:t>140%</w:t>
      </w:r>
      <w:r>
        <w:rPr>
          <w:rFonts w:hAnsi="宋体" w:hint="eastAsia"/>
          <w:szCs w:val="21"/>
        </w:rPr>
        <w:t>；</w:t>
      </w:r>
    </w:p>
    <w:p w14:paraId="572A4D01" w14:textId="77777777" w:rsidR="00737A1E" w:rsidRDefault="00647336">
      <w:pPr>
        <w:spacing w:line="360" w:lineRule="auto"/>
        <w:ind w:firstLine="420"/>
        <w:rPr>
          <w:rFonts w:hAnsi="宋体"/>
          <w:szCs w:val="21"/>
        </w:rPr>
      </w:pPr>
      <w:r>
        <w:rPr>
          <w:rFonts w:hAnsi="宋体" w:hint="eastAsia"/>
          <w:szCs w:val="21"/>
        </w:rPr>
        <w:t>（</w:t>
      </w:r>
      <w:r>
        <w:rPr>
          <w:rFonts w:hAnsi="宋体"/>
          <w:szCs w:val="21"/>
        </w:rPr>
        <w:t>2</w:t>
      </w:r>
      <w:r>
        <w:rPr>
          <w:rFonts w:hAnsi="宋体" w:hint="eastAsia"/>
          <w:szCs w:val="21"/>
        </w:rPr>
        <w:t>1</w:t>
      </w:r>
      <w:r>
        <w:rPr>
          <w:rFonts w:hAnsi="宋体" w:hint="eastAsia"/>
          <w:szCs w:val="21"/>
        </w:rPr>
        <w:t>）本基金投资存托凭证的比例限制依照内地上市交易的股票执行，与境内上市交易的股票合并计算，法律法规或监管部门另有要求的除外；</w:t>
      </w:r>
    </w:p>
    <w:p w14:paraId="0CD8F708" w14:textId="759A59C6" w:rsidR="00737A1E" w:rsidRDefault="00647336">
      <w:pPr>
        <w:spacing w:line="360" w:lineRule="auto"/>
        <w:ind w:firstLine="420"/>
        <w:rPr>
          <w:rFonts w:hAnsi="宋体"/>
          <w:szCs w:val="21"/>
        </w:rPr>
      </w:pPr>
      <w:r>
        <w:rPr>
          <w:rFonts w:hAnsi="宋体" w:hint="eastAsia"/>
          <w:szCs w:val="21"/>
        </w:rPr>
        <w:t>（</w:t>
      </w:r>
      <w:r>
        <w:rPr>
          <w:rFonts w:hAnsi="宋体"/>
          <w:szCs w:val="21"/>
        </w:rPr>
        <w:t>2</w:t>
      </w:r>
      <w:r>
        <w:rPr>
          <w:rFonts w:hAnsi="宋体" w:hint="eastAsia"/>
          <w:szCs w:val="21"/>
        </w:rPr>
        <w:t>2</w:t>
      </w:r>
      <w:r>
        <w:rPr>
          <w:rFonts w:hAnsi="宋体" w:hint="eastAsia"/>
          <w:szCs w:val="21"/>
        </w:rPr>
        <w:t>）</w:t>
      </w:r>
      <w:r>
        <w:rPr>
          <w:rFonts w:hAnsi="宋体"/>
          <w:szCs w:val="21"/>
        </w:rPr>
        <w:t>法律法规及中国证监会规定的其他投资比例限制。</w:t>
      </w:r>
    </w:p>
    <w:p w14:paraId="7A89B54F" w14:textId="58D2A699" w:rsidR="00737A1E" w:rsidRDefault="00647336">
      <w:pPr>
        <w:spacing w:line="360" w:lineRule="auto"/>
        <w:ind w:firstLine="420"/>
        <w:rPr>
          <w:rFonts w:hAnsi="宋体"/>
          <w:szCs w:val="21"/>
        </w:rPr>
      </w:pPr>
      <w:r>
        <w:rPr>
          <w:rFonts w:hAnsi="宋体" w:hint="eastAsia"/>
          <w:szCs w:val="21"/>
        </w:rPr>
        <w:t>除上述第（</w:t>
      </w:r>
      <w:r>
        <w:rPr>
          <w:rFonts w:hAnsi="宋体" w:hint="eastAsia"/>
          <w:szCs w:val="21"/>
        </w:rPr>
        <w:t>2</w:t>
      </w:r>
      <w:r>
        <w:rPr>
          <w:rFonts w:hAnsi="宋体" w:hint="eastAsia"/>
          <w:szCs w:val="21"/>
        </w:rPr>
        <w:t>）、（</w:t>
      </w:r>
      <w:r>
        <w:rPr>
          <w:rFonts w:hAnsi="宋体" w:hint="eastAsia"/>
          <w:szCs w:val="21"/>
        </w:rPr>
        <w:t>9</w:t>
      </w:r>
      <w:r>
        <w:rPr>
          <w:rFonts w:hAnsi="宋体" w:hint="eastAsia"/>
          <w:szCs w:val="21"/>
        </w:rPr>
        <w:t>）、（</w:t>
      </w:r>
      <w:r>
        <w:rPr>
          <w:rFonts w:hAnsi="宋体" w:hint="eastAsia"/>
          <w:szCs w:val="21"/>
        </w:rPr>
        <w:t>12</w:t>
      </w:r>
      <w:r>
        <w:rPr>
          <w:rFonts w:hAnsi="宋体" w:hint="eastAsia"/>
          <w:szCs w:val="21"/>
        </w:rPr>
        <w:t>）、（</w:t>
      </w:r>
      <w:r>
        <w:rPr>
          <w:rFonts w:hAnsi="宋体" w:hint="eastAsia"/>
          <w:szCs w:val="21"/>
        </w:rPr>
        <w:t>13</w:t>
      </w:r>
      <w:r>
        <w:rPr>
          <w:rFonts w:hAnsi="宋体" w:hint="eastAsia"/>
          <w:szCs w:val="21"/>
        </w:rPr>
        <w:t>）</w:t>
      </w:r>
      <w:r>
        <w:rPr>
          <w:rFonts w:hAnsi="宋体"/>
          <w:szCs w:val="21"/>
        </w:rPr>
        <w:t>项另有约定外，因证券</w:t>
      </w:r>
      <w:r>
        <w:rPr>
          <w:rFonts w:hAnsi="宋体" w:hint="eastAsia"/>
          <w:szCs w:val="21"/>
        </w:rPr>
        <w:t>/</w:t>
      </w:r>
      <w:r>
        <w:rPr>
          <w:rFonts w:hAnsi="宋体" w:hint="eastAsia"/>
          <w:szCs w:val="21"/>
        </w:rPr>
        <w:t>期货市场波动、证券发行人合并、基金规模变动等基金管理人之外的因素致使基金投资比例不符合上述规定投资比例的，基金管理人应当在</w:t>
      </w:r>
      <w:r>
        <w:rPr>
          <w:rFonts w:hAnsi="宋体" w:hint="eastAsia"/>
          <w:szCs w:val="21"/>
        </w:rPr>
        <w:t>10</w:t>
      </w:r>
      <w:r>
        <w:rPr>
          <w:rFonts w:hAnsi="宋体" w:hint="eastAsia"/>
          <w:szCs w:val="21"/>
        </w:rPr>
        <w:t>个交易日内进行调整，但中国证监会规定的特殊情形除外。</w:t>
      </w:r>
    </w:p>
    <w:p w14:paraId="4A034873" w14:textId="244E1160" w:rsidR="00737A1E" w:rsidRDefault="00647336">
      <w:pPr>
        <w:widowControl/>
        <w:spacing w:line="360" w:lineRule="auto"/>
        <w:ind w:firstLine="420"/>
        <w:contextualSpacing/>
        <w:rPr>
          <w:rFonts w:hAnsi="宋体"/>
          <w:szCs w:val="21"/>
        </w:rPr>
      </w:pPr>
      <w:r>
        <w:rPr>
          <w:rFonts w:hAnsi="宋体" w:hint="eastAsia"/>
          <w:szCs w:val="21"/>
        </w:rPr>
        <w:t>基金管理人应当自基金合同生效之日起</w:t>
      </w:r>
      <w:r>
        <w:rPr>
          <w:rFonts w:hAnsi="宋体" w:hint="eastAsia"/>
          <w:szCs w:val="21"/>
        </w:rPr>
        <w:t>6</w:t>
      </w:r>
      <w:r>
        <w:rPr>
          <w:rFonts w:hAnsi="宋体"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7AFF45DB" w14:textId="61FD68E3" w:rsidR="00737A1E" w:rsidRDefault="00647336">
      <w:pPr>
        <w:widowControl/>
        <w:spacing w:line="360" w:lineRule="auto"/>
        <w:ind w:firstLine="420"/>
        <w:contextualSpacing/>
        <w:rPr>
          <w:rFonts w:hAnsi="宋体"/>
          <w:szCs w:val="21"/>
        </w:rPr>
      </w:pPr>
      <w:r>
        <w:rPr>
          <w:rFonts w:hAnsi="宋体"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E27D9D9" w14:textId="77777777" w:rsidR="00737A1E" w:rsidRDefault="00647336">
      <w:pPr>
        <w:widowControl/>
        <w:spacing w:line="360" w:lineRule="auto"/>
        <w:ind w:firstLine="420"/>
        <w:contextualSpacing/>
        <w:rPr>
          <w:rFonts w:hAnsi="宋体"/>
          <w:szCs w:val="21"/>
        </w:rPr>
      </w:pPr>
      <w:r>
        <w:rPr>
          <w:rFonts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w:t>
      </w:r>
      <w:r>
        <w:rPr>
          <w:rFonts w:hAnsi="宋体" w:hint="eastAsia"/>
          <w:szCs w:val="21"/>
        </w:rPr>
        <w:lastRenderedPageBreak/>
        <w:t>人董事会审议，并经过三分之二以上的独立董事通过。基金管理人董事会应至少每半年对关联交易事项进行审查。</w:t>
      </w:r>
    </w:p>
    <w:p w14:paraId="49DD13E7" w14:textId="77777777" w:rsidR="00737A1E" w:rsidRDefault="00647336">
      <w:pPr>
        <w:widowControl/>
        <w:spacing w:line="360" w:lineRule="auto"/>
        <w:ind w:firstLine="420"/>
        <w:contextualSpacing/>
        <w:rPr>
          <w:rFonts w:hAnsi="宋体"/>
          <w:szCs w:val="21"/>
        </w:rPr>
      </w:pPr>
      <w:r>
        <w:rPr>
          <w:rFonts w:hAnsi="宋体" w:hint="eastAsia"/>
          <w:szCs w:val="21"/>
        </w:rPr>
        <w:t>法律、行政法规或监管部门取消或变更上述限制性规定，如适用于本基金，基金管理人在履行适当程序后，则本基金投资不再受相关限制或以变更后的规定为准。</w:t>
      </w:r>
    </w:p>
    <w:p w14:paraId="415155FE"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（二）基金托管人应根据有关法律法规的规定及</w:t>
      </w:r>
      <w:r>
        <w:rPr>
          <w:rFonts w:ascii="宋体" w:hAnsi="宋体" w:hint="eastAsia"/>
          <w:szCs w:val="21"/>
        </w:rPr>
        <w:t>《基金合同》</w:t>
      </w:r>
      <w:r>
        <w:rPr>
          <w:rFonts w:ascii="宋体" w:hAnsi="宋体" w:cs="方正仿宋简体" w:hint="eastAsia"/>
          <w:szCs w:val="21"/>
        </w:rPr>
        <w:t>的约定，对基金资产净值计算、各类基金份额净值计算、应收资金到账、基金费用开支及收入确定、基金收益分配、相关信息披露及基金宣传推介材料中登载基金业绩表现数据等进行复核。</w:t>
      </w:r>
    </w:p>
    <w:p w14:paraId="685CB947"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（三）基金托管人在上述第（一）、（二）款的监督和核查中发现基金管理人违反上述</w:t>
      </w:r>
      <w:r>
        <w:rPr>
          <w:rFonts w:ascii="宋体" w:hAnsi="宋体" w:hint="eastAsia"/>
          <w:szCs w:val="21"/>
        </w:rPr>
        <w:t>约定</w:t>
      </w:r>
      <w:r>
        <w:rPr>
          <w:rFonts w:ascii="宋体" w:hAnsi="宋体" w:cs="方正仿宋简体" w:hint="eastAsia"/>
          <w:szCs w:val="21"/>
        </w:rPr>
        <w:t>，</w:t>
      </w:r>
      <w:r>
        <w:rPr>
          <w:rFonts w:ascii="宋体" w:hAnsi="宋体" w:hint="eastAsia"/>
          <w:szCs w:val="21"/>
        </w:rPr>
        <w:t>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483CC7FD" w14:textId="51ADC493"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（四）基金托管人发现基金管理人的投资指令违反法律法规、本协议的规定，</w:t>
      </w:r>
      <w:r>
        <w:rPr>
          <w:rFonts w:ascii="宋体" w:hAnsi="宋体" w:hint="eastAsia"/>
          <w:szCs w:val="21"/>
        </w:rPr>
        <w:t>应当视情况暂缓或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14:paraId="5ED0FDAA" w14:textId="77777777" w:rsidR="00737A1E" w:rsidRDefault="00647336">
      <w:pPr>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（五）基金管理人应积极配合和协助基金托管人的监督和核查，包括但不限于：在规定时间内答复基金托管人并改正，就基金托管人的合理疑义进行解释或举证，提供相关数据资料和制度等。</w:t>
      </w:r>
    </w:p>
    <w:p w14:paraId="12A04AE9" w14:textId="77777777" w:rsidR="00737A1E" w:rsidRDefault="00737A1E">
      <w:pPr>
        <w:spacing w:before="100" w:beforeAutospacing="1" w:after="100" w:afterAutospacing="1" w:line="400" w:lineRule="exact"/>
        <w:ind w:firstLine="420"/>
        <w:rPr>
          <w:rFonts w:ascii="宋体" w:hAnsi="宋体"/>
          <w:szCs w:val="21"/>
        </w:rPr>
      </w:pPr>
    </w:p>
    <w:p w14:paraId="2A66928E" w14:textId="77777777" w:rsidR="00737A1E" w:rsidRDefault="00647336">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四、基金管理人对基金托管人的业务核查</w:t>
      </w:r>
    </w:p>
    <w:p w14:paraId="3C11171F" w14:textId="125B1BC3"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76B0C950"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2、基金管理人发现基金托管人擅自挪用基金财产、未对基金财产实行分账管理、无正当理由未执行或延迟执行基金管理人资金划拨指令、泄露基金投资信息等违反法律法规、</w:t>
      </w:r>
      <w:r>
        <w:rPr>
          <w:rFonts w:ascii="宋体" w:hAnsi="宋体" w:hint="eastAsia"/>
          <w:szCs w:val="21"/>
        </w:rPr>
        <w:lastRenderedPageBreak/>
        <w:t>《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77280615"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3、基金托管人应积极配合基金管理人的核查行为，包括但不限于：提交相关资料以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557E55EE" w14:textId="77777777" w:rsidR="00737A1E" w:rsidRDefault="00647336">
      <w:pPr>
        <w:pStyle w:val="1"/>
        <w:spacing w:before="100" w:beforeAutospacing="1" w:after="100" w:afterAutospacing="1" w:line="400" w:lineRule="exact"/>
        <w:ind w:firstLine="422"/>
        <w:rPr>
          <w:rFonts w:ascii="宋体" w:hAnsi="宋体"/>
          <w:sz w:val="21"/>
          <w:szCs w:val="21"/>
        </w:rPr>
      </w:pPr>
      <w:bookmarkStart w:id="6" w:name="_Toc116900099"/>
      <w:r>
        <w:rPr>
          <w:rFonts w:ascii="宋体" w:hAnsi="宋体" w:hint="eastAsia"/>
          <w:sz w:val="21"/>
          <w:szCs w:val="21"/>
        </w:rPr>
        <w:t>五、基金财产的保管</w:t>
      </w:r>
      <w:bookmarkEnd w:id="6"/>
    </w:p>
    <w:p w14:paraId="6AB3608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（一）基金财产保管的原则</w:t>
      </w:r>
    </w:p>
    <w:p w14:paraId="7E8A14EB" w14:textId="4C44D1F2"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1、</w:t>
      </w:r>
      <w:r>
        <w:rPr>
          <w:rFonts w:ascii="宋体" w:hAnsi="宋体" w:cs="方正仿宋简体" w:hint="eastAsia"/>
          <w:szCs w:val="21"/>
        </w:rPr>
        <w:t>基金财产应独立于基金管理人、基金托管人、证券经纪机构的固有财产。</w:t>
      </w:r>
    </w:p>
    <w:p w14:paraId="12517655" w14:textId="0736FD0C"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2、基金托管人应安全保管基金财产，</w:t>
      </w:r>
      <w:r>
        <w:rPr>
          <w:rFonts w:ascii="宋体" w:hAnsi="宋体" w:hint="eastAsia"/>
          <w:szCs w:val="21"/>
        </w:rPr>
        <w:t>未经基金管理人的合法合</w:t>
      </w:r>
      <w:proofErr w:type="gramStart"/>
      <w:r>
        <w:rPr>
          <w:rFonts w:ascii="宋体" w:hAnsi="宋体" w:hint="eastAsia"/>
          <w:szCs w:val="21"/>
        </w:rPr>
        <w:t>规</w:t>
      </w:r>
      <w:proofErr w:type="gramEnd"/>
      <w:r>
        <w:rPr>
          <w:rFonts w:ascii="宋体" w:hAnsi="宋体" w:hint="eastAsia"/>
          <w:szCs w:val="21"/>
        </w:rPr>
        <w:t>指令或法律法规、《基金合同》及本协议另有规定，不得自行运用、处分、分配基金的任何财产。</w:t>
      </w:r>
    </w:p>
    <w:p w14:paraId="5A355133" w14:textId="77777777" w:rsidR="00737A1E" w:rsidRDefault="00647336">
      <w:pPr>
        <w:snapToGrid w:val="0"/>
        <w:spacing w:before="100" w:beforeAutospacing="1" w:after="100" w:afterAutospacing="1" w:line="400" w:lineRule="exact"/>
        <w:ind w:firstLine="420"/>
        <w:rPr>
          <w:rFonts w:ascii="宋体" w:hAnsi="宋体"/>
          <w:color w:val="FF0000"/>
          <w:szCs w:val="21"/>
        </w:rPr>
      </w:pPr>
      <w:r>
        <w:rPr>
          <w:rFonts w:ascii="宋体" w:hAnsi="宋体" w:cs="方正仿宋简体" w:hint="eastAsia"/>
          <w:szCs w:val="21"/>
        </w:rPr>
        <w:t>3、基金托管人按照规定开设基金财产的资金账户、证券账户等投资所需账户。</w:t>
      </w:r>
    </w:p>
    <w:p w14:paraId="4A7905D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cs="方正仿宋简体" w:hint="eastAsia"/>
          <w:sz w:val="21"/>
          <w:szCs w:val="21"/>
        </w:rPr>
        <w:t>4、基金托管人对所托管的不同基金财产分别设置账户，独立核算，分账管理，确保基金财产的完整与独立。</w:t>
      </w:r>
    </w:p>
    <w:p w14:paraId="1FE0F92C"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5、除依据《基金法》、《运作办法》、《基金合同》及其他有关法律法规规定外，基金托管人不得委托第三人托管基金财产。</w:t>
      </w:r>
    </w:p>
    <w:p w14:paraId="14C3C31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（二）基金合同生效前募集资金的验资和入账</w:t>
      </w:r>
    </w:p>
    <w:p w14:paraId="351FDC03" w14:textId="63965773"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1、基金募集期满或基金管理人宣布停止募集时，</w:t>
      </w:r>
      <w:r>
        <w:rPr>
          <w:rFonts w:ascii="宋体" w:eastAsia="宋体" w:cs="方正仿宋简体" w:hint="eastAsia"/>
          <w:sz w:val="21"/>
          <w:szCs w:val="21"/>
        </w:rPr>
        <w:t>募集的基金份额总额、基金募集金额、基金份额持有人人数符合《基金法》、《运作办法》等有关规定的，</w:t>
      </w:r>
      <w:r>
        <w:rPr>
          <w:rFonts w:ascii="宋体" w:eastAsia="宋体" w:hint="eastAsia"/>
          <w:color w:val="auto"/>
          <w:sz w:val="21"/>
          <w:szCs w:val="21"/>
        </w:rPr>
        <w:t>由基金管理人在法定期限内聘请符合《证券法》规定的会计师事务所对基金进行验资，并出具验资报告，出具的验资报告应由参加验资的</w:t>
      </w:r>
      <w:r>
        <w:rPr>
          <w:rFonts w:ascii="宋体" w:eastAsia="宋体"/>
          <w:color w:val="auto"/>
          <w:sz w:val="21"/>
          <w:szCs w:val="21"/>
        </w:rPr>
        <w:t>2</w:t>
      </w:r>
      <w:r>
        <w:rPr>
          <w:rFonts w:ascii="宋体" w:eastAsia="宋体" w:hint="eastAsia"/>
          <w:color w:val="auto"/>
          <w:sz w:val="21"/>
          <w:szCs w:val="21"/>
        </w:rPr>
        <w:t>名以上（含</w:t>
      </w:r>
      <w:r>
        <w:rPr>
          <w:rFonts w:ascii="宋体" w:eastAsia="宋体"/>
          <w:color w:val="auto"/>
          <w:sz w:val="21"/>
          <w:szCs w:val="21"/>
        </w:rPr>
        <w:t>2</w:t>
      </w:r>
      <w:r>
        <w:rPr>
          <w:rFonts w:ascii="宋体" w:eastAsia="宋体" w:hint="eastAsia"/>
          <w:color w:val="auto"/>
          <w:sz w:val="21"/>
          <w:szCs w:val="21"/>
        </w:rPr>
        <w:t>名）中国注册会计师签字方为有效。</w:t>
      </w:r>
    </w:p>
    <w:p w14:paraId="224841B3" w14:textId="77777777" w:rsidR="00737A1E" w:rsidRDefault="00647336">
      <w:pPr>
        <w:pStyle w:val="af1"/>
        <w:spacing w:before="100" w:beforeAutospacing="1" w:after="100" w:afterAutospacing="1"/>
        <w:ind w:firstLine="403"/>
        <w:rPr>
          <w:rFonts w:ascii="宋体"/>
          <w:sz w:val="21"/>
        </w:rPr>
      </w:pPr>
      <w:r>
        <w:rPr>
          <w:rFonts w:ascii="宋体" w:eastAsia="宋体" w:hint="eastAsia"/>
          <w:sz w:val="21"/>
          <w:szCs w:val="21"/>
        </w:rPr>
        <w:t>2、基金管理人应将属于本基金财产的全部资金划入在基金托管人处为本基金开立的基金银行账户中，并确保划入的资金与验资确认金额相一致。</w:t>
      </w:r>
    </w:p>
    <w:p w14:paraId="490D2500"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w:t>
      </w:r>
      <w:proofErr w:type="gramStart"/>
      <w:r>
        <w:rPr>
          <w:rFonts w:ascii="宋体" w:eastAsia="宋体" w:hint="eastAsia"/>
          <w:color w:val="auto"/>
          <w:sz w:val="21"/>
          <w:szCs w:val="21"/>
        </w:rPr>
        <w:t>若基金</w:t>
      </w:r>
      <w:proofErr w:type="gramEnd"/>
      <w:r>
        <w:rPr>
          <w:rFonts w:ascii="宋体" w:eastAsia="宋体" w:hint="eastAsia"/>
          <w:color w:val="auto"/>
          <w:sz w:val="21"/>
          <w:szCs w:val="21"/>
        </w:rPr>
        <w:t>募集期限届满，未能达到基金合同生效的条件，由基金管理人按规定办理退款等事宜，基金托管人应提供充分协助。</w:t>
      </w:r>
    </w:p>
    <w:p w14:paraId="18515AF4"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（三）基金的银行账户（即资金托管账户）的开设和管理</w:t>
      </w:r>
    </w:p>
    <w:p w14:paraId="041AEFFA"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1、基金托管人应负责本基金的银行账户的开设和管理。</w:t>
      </w:r>
    </w:p>
    <w:p w14:paraId="1874F92E"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托管人以本基金的名义开设本基金的银行账户。本基金的银行预留印鉴由基金托管人保管和使用。本基金除证券交易所场内交易以外的一切货币收支活动包括但不限于投资、支付赎回金额、支付基金收益、收取申购款，均需通过本基金的银行账户进行。</w:t>
      </w:r>
    </w:p>
    <w:p w14:paraId="5A880565"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14:paraId="2F43C990"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4、基金银行账户的管理应符合法律法规的有关规定。</w:t>
      </w:r>
    </w:p>
    <w:p w14:paraId="569852EE"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（四）基金进行定期存款投资的账户开设和管理</w:t>
      </w:r>
    </w:p>
    <w:p w14:paraId="2CB26874"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535DE48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（五）基金证券账户及其他投资账户的开设和管理</w:t>
      </w:r>
    </w:p>
    <w:p w14:paraId="54143C2C"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1、基金托管人应当代表本基金，以基金托管人和本基金联名的方式在中国证券登记结算有限责任公司开设证券账户。</w:t>
      </w:r>
    </w:p>
    <w:p w14:paraId="275541D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2、本基金证券账户的开立和使用，限于满足开展本基金业务的需要。基金托管人和基金管理人不得出借或转让本基金的证券账户，亦不得使用本基金的证券账户进行本基金业务以外的活动。</w:t>
      </w:r>
    </w:p>
    <w:p w14:paraId="0CCCD258"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sz w:val="21"/>
          <w:szCs w:val="21"/>
        </w:rPr>
        <w:t>3</w:t>
      </w:r>
      <w:r>
        <w:rPr>
          <w:rFonts w:ascii="宋体" w:eastAsia="宋体" w:hint="eastAsia"/>
          <w:sz w:val="21"/>
          <w:szCs w:val="21"/>
        </w:rPr>
        <w:t>、</w:t>
      </w:r>
      <w:r>
        <w:rPr>
          <w:rFonts w:ascii="宋体" w:eastAsia="宋体" w:hint="eastAsia"/>
          <w:color w:val="auto"/>
          <w:sz w:val="21"/>
          <w:szCs w:val="21"/>
        </w:rPr>
        <w:t>在本托管协议生效日之后，本基金被允许从事其他投资品种的投资业务的，涉及相关账户的开设、使用的，若无相关规定，</w:t>
      </w:r>
      <w:proofErr w:type="gramStart"/>
      <w:r>
        <w:rPr>
          <w:rFonts w:ascii="宋体" w:eastAsia="宋体" w:hint="eastAsia"/>
          <w:color w:val="auto"/>
          <w:sz w:val="21"/>
          <w:szCs w:val="21"/>
        </w:rPr>
        <w:t>则基金</w:t>
      </w:r>
      <w:proofErr w:type="gramEnd"/>
      <w:r>
        <w:rPr>
          <w:rFonts w:ascii="宋体" w:eastAsia="宋体" w:hint="eastAsia"/>
          <w:color w:val="auto"/>
          <w:sz w:val="21"/>
          <w:szCs w:val="21"/>
        </w:rPr>
        <w:t>托管人应当比照并遵守上述关于账户开设、使用的规定。</w:t>
      </w:r>
    </w:p>
    <w:p w14:paraId="28AE34A4" w14:textId="19A5C96C"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（六）债券托管账户的开设和管理</w:t>
      </w:r>
    </w:p>
    <w:p w14:paraId="3E2633AC"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w:t>
      </w:r>
      <w:r>
        <w:rPr>
          <w:rFonts w:ascii="宋体" w:eastAsia="宋体" w:hint="eastAsia"/>
          <w:color w:val="auto"/>
          <w:sz w:val="21"/>
          <w:szCs w:val="21"/>
        </w:rPr>
        <w:lastRenderedPageBreak/>
        <w:t>行间市场清算所股份有限公司开设银行间债券市场债券托管账户和资金结算专户，并代表基金进行银行间债券市场债券和资金的清算。</w:t>
      </w:r>
    </w:p>
    <w:p w14:paraId="5A991AE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（七）证券资金账户的开立和管理</w:t>
      </w:r>
    </w:p>
    <w:p w14:paraId="3EA9424B" w14:textId="3D3DC8BD"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管理人根据相关法律法规及协议约定在选定的证券经纪机构处为本基金开立证券资金账户，用于办理本基金在证券交易所进行证券投资所涉及的资金结算业务。结算备付金和交易保证金的收取按照代理证券买卖的证券经纪机构的规定执行。</w:t>
      </w:r>
    </w:p>
    <w:p w14:paraId="7E610A30" w14:textId="064AD1CE"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管理人以本基金名义在基金管理人选择的证券经纪机构营业网点开立证券资金账户，并按照该营业网点开户的流程和要求，签订相关的协议。证券资金账户与基金托管人开立的银行账户建立第三方存管关系。</w:t>
      </w:r>
    </w:p>
    <w:p w14:paraId="6BD0D68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（八）期货结算账户的开立和管理</w:t>
      </w:r>
    </w:p>
    <w:p w14:paraId="45C4275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基金管理人、基金托管人应当按照相关规定开立期货结算账户，在中国金融期货交易所获取交易编码。期货结算账户名称及交易编码对应名称应按照有关规定设立。</w:t>
      </w:r>
    </w:p>
    <w:p w14:paraId="1126AE3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基金托管人已取得期货保证金存管银行资格，基金管理人授权基金托管人办理</w:t>
      </w:r>
      <w:proofErr w:type="gramStart"/>
      <w:r>
        <w:rPr>
          <w:rFonts w:ascii="宋体" w:eastAsia="宋体" w:hint="eastAsia"/>
          <w:color w:val="auto"/>
          <w:sz w:val="21"/>
          <w:szCs w:val="21"/>
        </w:rPr>
        <w:t>相关银期转账</w:t>
      </w:r>
      <w:proofErr w:type="gramEnd"/>
      <w:r>
        <w:rPr>
          <w:rFonts w:ascii="宋体" w:eastAsia="宋体" w:hint="eastAsia"/>
          <w:color w:val="auto"/>
          <w:sz w:val="21"/>
          <w:szCs w:val="21"/>
        </w:rPr>
        <w:t>业务。</w:t>
      </w:r>
    </w:p>
    <w:p w14:paraId="48D7ED4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（九）基金财产投资的有关有价凭证的保管</w:t>
      </w:r>
    </w:p>
    <w:p w14:paraId="1EB6842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基金财产投资的实物证券、银行定期存款存单等有价凭证由基金托管人负责妥善保管。基金托管人对其以外机构实际有效控制的有价凭证不承担责任。</w:t>
      </w:r>
    </w:p>
    <w:p w14:paraId="5AF79677" w14:textId="7F5F88D3"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（十）与基金财产有关的重大合同及有关凭证的保管</w:t>
      </w:r>
    </w:p>
    <w:p w14:paraId="6754411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尽量保证基金一方持有两份以上的正本，以便基金管理人和基金托管人至少各持有一份正本的原件。重大合同由基金管理人与基金托管人按规定各自保管，保管期限不少于法律法规的规定。</w:t>
      </w:r>
    </w:p>
    <w:p w14:paraId="26515AA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对于无法取得二份以上的正本的，基金管理人应向基金托管人提供与合同原件核对一致并加盖公章的合同复印件或传真件，未经双方协商一致，合同原件不得转移。</w:t>
      </w:r>
    </w:p>
    <w:p w14:paraId="1A10AAD1" w14:textId="77777777" w:rsidR="00737A1E" w:rsidRDefault="00647336">
      <w:pPr>
        <w:pStyle w:val="1"/>
        <w:spacing w:before="100" w:beforeAutospacing="1" w:after="100" w:afterAutospacing="1" w:line="400" w:lineRule="exact"/>
        <w:ind w:firstLine="422"/>
        <w:rPr>
          <w:rFonts w:ascii="宋体" w:hAnsi="宋体"/>
          <w:sz w:val="21"/>
          <w:szCs w:val="21"/>
        </w:rPr>
      </w:pPr>
      <w:bookmarkStart w:id="7" w:name="_Toc116900100"/>
      <w:r>
        <w:rPr>
          <w:rFonts w:ascii="宋体" w:hAnsi="宋体" w:hint="eastAsia"/>
          <w:sz w:val="21"/>
          <w:szCs w:val="21"/>
        </w:rPr>
        <w:lastRenderedPageBreak/>
        <w:t>六、指令的发送、确认及执行</w:t>
      </w:r>
      <w:bookmarkEnd w:id="7"/>
    </w:p>
    <w:p w14:paraId="0C75D318" w14:textId="0F110150"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基金管理人发送的指令包括电子指令和纸质指令。</w:t>
      </w:r>
    </w:p>
    <w:p w14:paraId="1F2FF7EB" w14:textId="404FE1C9"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电子指令包括基金管理人发送的电子指令（采用深</w:t>
      </w:r>
      <w:proofErr w:type="gramStart"/>
      <w:r>
        <w:rPr>
          <w:rFonts w:ascii="宋体" w:eastAsia="宋体" w:hint="eastAsia"/>
          <w:color w:val="auto"/>
          <w:sz w:val="21"/>
          <w:szCs w:val="21"/>
        </w:rPr>
        <w:t>证通金融</w:t>
      </w:r>
      <w:proofErr w:type="gramEnd"/>
      <w:r>
        <w:rPr>
          <w:rFonts w:ascii="宋体" w:eastAsia="宋体" w:hint="eastAsia"/>
          <w:color w:val="auto"/>
          <w:sz w:val="21"/>
          <w:szCs w:val="21"/>
        </w:rPr>
        <w:t>数据交换平台发送的电子指令、采用SWIFT电子报文发送的电子指令、通过中国银行</w:t>
      </w:r>
      <w:proofErr w:type="gramStart"/>
      <w:r>
        <w:rPr>
          <w:rFonts w:ascii="宋体" w:eastAsia="宋体" w:hint="eastAsia"/>
          <w:color w:val="auto"/>
          <w:sz w:val="21"/>
          <w:szCs w:val="21"/>
        </w:rPr>
        <w:t>托管网</w:t>
      </w:r>
      <w:proofErr w:type="gramEnd"/>
      <w:r>
        <w:rPr>
          <w:rFonts w:ascii="宋体" w:eastAsia="宋体" w:hint="eastAsia"/>
          <w:color w:val="auto"/>
          <w:sz w:val="21"/>
          <w:szCs w:val="21"/>
        </w:rPr>
        <w:t>银发送的电子指令）、自动产生的电子指令（基金托管人的全球托管系统根据基金管理人的授权通过预先设定的业务规则自动产生的电子指令）。电子指令一经发出即被视为合法有效指令，传真纸质指令作为应急方式备用。基金管理人通过深</w:t>
      </w:r>
      <w:proofErr w:type="gramStart"/>
      <w:r>
        <w:rPr>
          <w:rFonts w:ascii="宋体" w:eastAsia="宋体" w:hint="eastAsia"/>
          <w:color w:val="auto"/>
          <w:sz w:val="21"/>
          <w:szCs w:val="21"/>
        </w:rPr>
        <w:t>证通金融</w:t>
      </w:r>
      <w:proofErr w:type="gramEnd"/>
      <w:r>
        <w:rPr>
          <w:rFonts w:ascii="宋体" w:eastAsia="宋体" w:hint="eastAsia"/>
          <w:color w:val="auto"/>
          <w:sz w:val="21"/>
          <w:szCs w:val="21"/>
        </w:rPr>
        <w:t>数据交换平台发送的电子指令，基金托管人根据USER ID和APP ID唯一识别基金管理人身份，基金管理人应妥善保管USER ID和APP ID，基金托管人身份识别后对于执行该电子指令造成的相应损失基金托管人不承担责任。</w:t>
      </w:r>
    </w:p>
    <w:p w14:paraId="0E46AEB1" w14:textId="30AB1364"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纸质指令是指基金管理人无法通过以上电子传送渠道传送到基金托管</w:t>
      </w:r>
      <w:proofErr w:type="gramStart"/>
      <w:r>
        <w:rPr>
          <w:rFonts w:ascii="宋体" w:eastAsia="宋体" w:hint="eastAsia"/>
          <w:color w:val="auto"/>
          <w:sz w:val="21"/>
          <w:szCs w:val="21"/>
        </w:rPr>
        <w:t>人全球</w:t>
      </w:r>
      <w:proofErr w:type="gramEnd"/>
      <w:r>
        <w:rPr>
          <w:rFonts w:ascii="宋体" w:eastAsia="宋体" w:hint="eastAsia"/>
          <w:color w:val="auto"/>
          <w:sz w:val="21"/>
          <w:szCs w:val="21"/>
        </w:rPr>
        <w:t>托管系统的指令，</w:t>
      </w:r>
      <w:bookmarkStart w:id="8" w:name="OLE_LINK16"/>
      <w:r>
        <w:rPr>
          <w:rFonts w:ascii="宋体" w:eastAsia="宋体" w:hint="eastAsia"/>
          <w:color w:val="auto"/>
          <w:sz w:val="21"/>
          <w:szCs w:val="21"/>
        </w:rPr>
        <w:t>纸质指令的传送方式为传真、邮件等双方认可的方式。</w:t>
      </w:r>
      <w:bookmarkEnd w:id="8"/>
    </w:p>
    <w:p w14:paraId="48A8783E" w14:textId="222D0DC2"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（一）基金管理人对发送纸质指令人员的书面授权</w:t>
      </w:r>
    </w:p>
    <w:p w14:paraId="0219C85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14:paraId="3227F8C4" w14:textId="3575996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管理人向基金托管人发出的授权通知应加盖公章并由法定代表人或其授权签字人签署，若由授权签字人签署，还应附上法定代表人的授权书。基金管理人向基金托管人以传真或双方认可的形式发送授权通知后同时电话通知基金托管人。授权通知自基金托管人接到基金管理人的电话确认后于通知载明的生效时间起生效。通知载明的生效时间不得早于电话确认时间。基金管理人在此后3个工作日内将授权通知原件送交基金托管人。</w:t>
      </w:r>
    </w:p>
    <w:p w14:paraId="427F4967"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3、基金管理人和基金托管人对授权通知及其更改负有保密义务，其内容不得向指令发送人员及相关操作人员以外的任何人披露、泄露，法律法规规定或有权机关要求的除外。</w:t>
      </w:r>
    </w:p>
    <w:p w14:paraId="282FC8D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（二）指令的内容</w:t>
      </w:r>
    </w:p>
    <w:p w14:paraId="4C3994F6" w14:textId="18F361DC"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指令是基金管理人在运作基金财产时，向基金托管人发出的资金划拨及投资指令。</w:t>
      </w:r>
    </w:p>
    <w:p w14:paraId="5814709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（三）指令的发送、确认和执行</w:t>
      </w:r>
    </w:p>
    <w:p w14:paraId="232F444B" w14:textId="4BFDEE1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1、纸质指令由“授权通知”确定的指令发送人员代表基金管理人用传真的方式或其他</w:t>
      </w:r>
      <w:r>
        <w:rPr>
          <w:rFonts w:ascii="宋体" w:eastAsia="宋体" w:hint="eastAsia"/>
          <w:color w:val="auto"/>
          <w:sz w:val="21"/>
          <w:szCs w:val="21"/>
        </w:rPr>
        <w:lastRenderedPageBreak/>
        <w:t>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14:paraId="675BAE03" w14:textId="67A3D8E5"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 xml:space="preserve">2、基金管理人应按照《基金法》、《运作办法》、《基金合同》和有关法律法规的规定，在其合法的经营权限和交易权限内，并依据相关业务规则发送指令。指令发出后，基金管理人应及时通过电话或其他双方认可的方式通知基金托管人。 </w:t>
      </w:r>
    </w:p>
    <w:p w14:paraId="432F8ED8" w14:textId="13C4C2A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3、基金托管人在接收纸质指令时，应对指令的要素是否齐全、印鉴是否与授权通知相符等进行表面一致性的检查，对合法合</w:t>
      </w:r>
      <w:proofErr w:type="gramStart"/>
      <w:r>
        <w:rPr>
          <w:rFonts w:ascii="宋体" w:eastAsia="宋体" w:hint="eastAsia"/>
          <w:color w:val="auto"/>
          <w:sz w:val="21"/>
          <w:szCs w:val="21"/>
        </w:rPr>
        <w:t>规</w:t>
      </w:r>
      <w:proofErr w:type="gramEnd"/>
      <w:r>
        <w:rPr>
          <w:rFonts w:ascii="宋体" w:eastAsia="宋体" w:hint="eastAsia"/>
          <w:color w:val="auto"/>
          <w:sz w:val="21"/>
          <w:szCs w:val="21"/>
        </w:rPr>
        <w:t>的指令，基金托管人应在规定期限内执行，不得</w:t>
      </w:r>
      <w:r>
        <w:rPr>
          <w:rFonts w:ascii="宋体" w:eastAsia="宋体" w:hint="eastAsia"/>
          <w:sz w:val="21"/>
          <w:szCs w:val="21"/>
        </w:rPr>
        <w:t>不合理</w:t>
      </w:r>
      <w:r>
        <w:rPr>
          <w:rFonts w:ascii="宋体" w:eastAsia="宋体" w:hint="eastAsia"/>
          <w:color w:val="auto"/>
          <w:sz w:val="21"/>
          <w:szCs w:val="21"/>
        </w:rPr>
        <w:t>延误。</w:t>
      </w:r>
    </w:p>
    <w:p w14:paraId="1287C19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color w:val="auto"/>
          <w:sz w:val="21"/>
          <w:szCs w:val="21"/>
        </w:rPr>
        <w:t>4</w:t>
      </w:r>
      <w:r>
        <w:rPr>
          <w:rFonts w:ascii="宋体" w:eastAsia="宋体" w:hint="eastAsia"/>
          <w:color w:val="auto"/>
          <w:sz w:val="21"/>
          <w:szCs w:val="21"/>
        </w:rPr>
        <w:t>、对于银行间业务，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书面通知基金托管人。</w:t>
      </w:r>
    </w:p>
    <w:p w14:paraId="7D19D45A" w14:textId="1AA00404"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5、基金管理人在发送指令时，应为基金托管人留出执行指令所必需的时间。</w:t>
      </w:r>
      <w:bookmarkStart w:id="9" w:name="OLE_LINK1"/>
      <w:bookmarkStart w:id="10" w:name="OLE_LINK2"/>
      <w:r>
        <w:rPr>
          <w:rFonts w:ascii="宋体" w:eastAsia="宋体" w:hint="eastAsia"/>
          <w:color w:val="auto"/>
          <w:sz w:val="21"/>
          <w:szCs w:val="21"/>
        </w:rPr>
        <w:t>因基金管理人指令传输不及时未能留出足够的执行时间，致使指令未能及时执行所造成的损失由基金管理人承担。</w:t>
      </w:r>
      <w:bookmarkEnd w:id="9"/>
      <w:bookmarkEnd w:id="10"/>
    </w:p>
    <w:p w14:paraId="62F48A7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（四）基金管理人发送错误指令的情形和处理程序</w:t>
      </w:r>
    </w:p>
    <w:p w14:paraId="5A71B8BF" w14:textId="4BDB87F0"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基金管理人发送错误指令的情形主要包括：指令要素错误、预留印鉴错误等情形。</w:t>
      </w:r>
    </w:p>
    <w:p w14:paraId="57C9615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基金托管人发现基金管理人的指令错误时，有权视情况暂缓或拒绝执行，并及时通知基金管理人改正。对基金管理人更正并重新发送后的指令经基金托管人核对确认后方能执行。</w:t>
      </w:r>
    </w:p>
    <w:p w14:paraId="63A7F3E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（五）基金托管人依照法律法规暂缓、拒绝执行指令的情形和处理程序</w:t>
      </w:r>
    </w:p>
    <w:p w14:paraId="3D4613E8" w14:textId="3FFAD090"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基金托管人发现基金管理人的指令违反法律法规规定、《基金合同》或《托管协议》约定，应当不予执行，并及时通知基金管理人要求其变更或撤销相关指令，</w:t>
      </w:r>
      <w:proofErr w:type="gramStart"/>
      <w:r>
        <w:rPr>
          <w:rFonts w:ascii="宋体" w:eastAsia="宋体" w:hint="eastAsia"/>
          <w:color w:val="auto"/>
          <w:sz w:val="21"/>
          <w:szCs w:val="21"/>
        </w:rPr>
        <w:t>若基金</w:t>
      </w:r>
      <w:proofErr w:type="gramEnd"/>
      <w:r>
        <w:rPr>
          <w:rFonts w:ascii="宋体" w:eastAsia="宋体" w:hint="eastAsia"/>
          <w:color w:val="auto"/>
          <w:sz w:val="21"/>
          <w:szCs w:val="21"/>
        </w:rPr>
        <w:t>管理人在基金托管人发出上述通知后仍未变更或撤销相关指令，基金托管人应当拒绝执行，并向中国证监会报告。</w:t>
      </w:r>
    </w:p>
    <w:p w14:paraId="44767D54" w14:textId="2A60301A"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基金管理人应确保基金托管人执行指令时，基金的银行账户有足够的资金余额，确保基金的证券账户有足够的证券余额。对超头寸的指令，以及超过证券账户证券余额的指令，基金托管人可不予执行，但应及时通知基金管理人，由此造成的损失，由基金管理人承担。</w:t>
      </w:r>
    </w:p>
    <w:p w14:paraId="10B2D56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（六）基金托管人未按照基金管理人指令执行的处理方法</w:t>
      </w:r>
    </w:p>
    <w:p w14:paraId="37B0F096" w14:textId="472210B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基金托管人因未正确执行基金管理人合法合</w:t>
      </w:r>
      <w:proofErr w:type="gramStart"/>
      <w:r>
        <w:rPr>
          <w:rFonts w:ascii="宋体" w:eastAsia="宋体" w:hint="eastAsia"/>
          <w:color w:val="auto"/>
          <w:sz w:val="21"/>
          <w:szCs w:val="21"/>
        </w:rPr>
        <w:t>规</w:t>
      </w:r>
      <w:proofErr w:type="gramEnd"/>
      <w:r>
        <w:rPr>
          <w:rFonts w:ascii="宋体" w:eastAsia="宋体" w:hint="eastAsia"/>
          <w:color w:val="auto"/>
          <w:sz w:val="21"/>
          <w:szCs w:val="21"/>
        </w:rPr>
        <w:t>的指令，致使本基金、基金管理人的利益受到损害，基金托管人应承担相应的责任。除此之外，基金托管人对执行基金管理人的合法合</w:t>
      </w:r>
      <w:proofErr w:type="gramStart"/>
      <w:r>
        <w:rPr>
          <w:rFonts w:ascii="宋体" w:eastAsia="宋体" w:hint="eastAsia"/>
          <w:color w:val="auto"/>
          <w:sz w:val="21"/>
          <w:szCs w:val="21"/>
        </w:rPr>
        <w:t>规</w:t>
      </w:r>
      <w:proofErr w:type="gramEnd"/>
      <w:r>
        <w:rPr>
          <w:rFonts w:ascii="宋体" w:eastAsia="宋体" w:hint="eastAsia"/>
          <w:color w:val="auto"/>
          <w:sz w:val="21"/>
          <w:szCs w:val="21"/>
        </w:rPr>
        <w:t>指令对基金造成的损失不承担相应责任。</w:t>
      </w:r>
    </w:p>
    <w:p w14:paraId="1A0A781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（七）被授权人员及授权权限的变更</w:t>
      </w:r>
      <w:r>
        <w:rPr>
          <w:rFonts w:ascii="宋体" w:eastAsia="宋体"/>
          <w:color w:val="auto"/>
          <w:sz w:val="21"/>
          <w:szCs w:val="21"/>
        </w:rPr>
        <w:tab/>
      </w:r>
    </w:p>
    <w:p w14:paraId="1EAEF7A2" w14:textId="00E809F6"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若对授权通知的内容进行修改（包括但不限于指令发送人员的名单的修改，及/或权限的修改），应当至少提前1个工作日通知基金托管人；修改授权通知的文件应由基金管理人加盖公章并由法定代表人或其授权签字人签署，若由授权签字人签署，还应附上法定代表人的授权书。基金管理人对授权通知的修改应当以传真的形式发送给基金托管人，同时电话通知基金托管人。基金管理人对授权通知的内容的</w:t>
      </w:r>
      <w:proofErr w:type="gramStart"/>
      <w:r>
        <w:rPr>
          <w:rFonts w:ascii="宋体" w:eastAsia="宋体" w:hint="eastAsia"/>
          <w:color w:val="auto"/>
          <w:sz w:val="21"/>
          <w:szCs w:val="21"/>
        </w:rPr>
        <w:t>修改自</w:t>
      </w:r>
      <w:proofErr w:type="gramEnd"/>
      <w:r>
        <w:rPr>
          <w:rFonts w:ascii="宋体" w:eastAsia="宋体" w:hint="eastAsia"/>
          <w:color w:val="auto"/>
          <w:sz w:val="21"/>
          <w:szCs w:val="21"/>
        </w:rPr>
        <w:t>基金托管人电话确认后于通知载明的生效时间起生效。通知载明的生效时间不得早于电话确认时间。基金管理人在此后3个工作日内将对授权通知修改的文件原件送交基金托管人。</w:t>
      </w:r>
    </w:p>
    <w:p w14:paraId="395EC86F" w14:textId="77777777" w:rsidR="00737A1E" w:rsidRDefault="00737A1E">
      <w:pPr>
        <w:pStyle w:val="af1"/>
        <w:spacing w:before="100" w:beforeAutospacing="1" w:after="100" w:afterAutospacing="1"/>
        <w:ind w:firstLine="403"/>
        <w:rPr>
          <w:rFonts w:ascii="宋体" w:eastAsia="宋体"/>
          <w:color w:val="auto"/>
          <w:sz w:val="21"/>
          <w:szCs w:val="21"/>
        </w:rPr>
      </w:pPr>
    </w:p>
    <w:p w14:paraId="043C2837" w14:textId="77777777" w:rsidR="00737A1E" w:rsidRDefault="00647336">
      <w:pPr>
        <w:pStyle w:val="1"/>
        <w:spacing w:before="100" w:beforeAutospacing="1" w:after="100" w:afterAutospacing="1" w:line="400" w:lineRule="exact"/>
        <w:ind w:firstLine="422"/>
        <w:rPr>
          <w:rFonts w:ascii="宋体" w:hAnsi="宋体"/>
          <w:sz w:val="21"/>
          <w:szCs w:val="21"/>
        </w:rPr>
      </w:pPr>
      <w:bookmarkStart w:id="11" w:name="_Toc116900101"/>
      <w:r>
        <w:rPr>
          <w:rFonts w:ascii="宋体" w:hAnsi="宋体" w:hint="eastAsia"/>
          <w:sz w:val="21"/>
          <w:szCs w:val="21"/>
        </w:rPr>
        <w:t>七、交易及清算交收安排</w:t>
      </w:r>
      <w:bookmarkEnd w:id="11"/>
    </w:p>
    <w:p w14:paraId="12DF69F3" w14:textId="77777777" w:rsidR="00737A1E" w:rsidRDefault="00647336">
      <w:pPr>
        <w:pStyle w:val="34"/>
        <w:spacing w:before="100" w:beforeAutospacing="1" w:after="100" w:afterAutospacing="1" w:line="400" w:lineRule="exact"/>
        <w:ind w:left="0" w:firstLine="403"/>
        <w:rPr>
          <w:rFonts w:ascii="宋体" w:eastAsia="宋体" w:hAnsi="宋体"/>
          <w:b/>
          <w:sz w:val="21"/>
          <w:szCs w:val="21"/>
        </w:rPr>
      </w:pPr>
      <w:r>
        <w:rPr>
          <w:rFonts w:ascii="宋体" w:eastAsia="宋体" w:hAnsi="宋体" w:hint="eastAsia"/>
          <w:sz w:val="21"/>
          <w:szCs w:val="21"/>
        </w:rPr>
        <w:t>（一）基金管理人负责选择代理本基金证券、期货买卖的证券、期货经纪机构。</w:t>
      </w:r>
    </w:p>
    <w:p w14:paraId="1FF049F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1、选择代理证券买卖的证券经纪机构的程序</w:t>
      </w:r>
    </w:p>
    <w:p w14:paraId="6051AB5E" w14:textId="60D2CECC"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lang w:bidi="en-US"/>
        </w:rPr>
        <w:t>基金管理人应制</w:t>
      </w:r>
      <w:proofErr w:type="gramStart"/>
      <w:r>
        <w:rPr>
          <w:rFonts w:ascii="宋体" w:eastAsia="宋体" w:hint="eastAsia"/>
          <w:color w:val="auto"/>
          <w:sz w:val="21"/>
          <w:szCs w:val="21"/>
          <w:lang w:bidi="en-US"/>
        </w:rPr>
        <w:t>定选择</w:t>
      </w:r>
      <w:proofErr w:type="gramEnd"/>
      <w:r>
        <w:rPr>
          <w:rFonts w:ascii="宋体" w:eastAsia="宋体" w:hint="eastAsia"/>
          <w:color w:val="auto"/>
          <w:sz w:val="21"/>
          <w:szCs w:val="21"/>
          <w:lang w:bidi="en-US"/>
        </w:rPr>
        <w:t>代理证券买卖的证券经纪机构的标准和程序。</w:t>
      </w:r>
      <w:r>
        <w:rPr>
          <w:rFonts w:ascii="宋体" w:eastAsia="宋体" w:hint="eastAsia"/>
          <w:color w:val="auto"/>
          <w:sz w:val="21"/>
          <w:szCs w:val="21"/>
        </w:rPr>
        <w:t>基金管理人根据相关标准进行考察后确定证券经纪机构的选择。基金管理人应代表基金与被选择的证券经纪机构签订证券经纪合同或其他约定的形式。基金管理人、基金托管人和证券经纪机构可就本基金参与证券交易的具体事项另行签订协议，明确三方在本基金参与场内证券买卖中的各类证券交易、证券交收及相关资金交</w:t>
      </w:r>
      <w:proofErr w:type="gramStart"/>
      <w:r>
        <w:rPr>
          <w:rFonts w:ascii="宋体" w:eastAsia="宋体" w:hint="eastAsia"/>
          <w:color w:val="auto"/>
          <w:sz w:val="21"/>
          <w:szCs w:val="21"/>
        </w:rPr>
        <w:t>收过程</w:t>
      </w:r>
      <w:proofErr w:type="gramEnd"/>
      <w:r>
        <w:rPr>
          <w:rFonts w:ascii="宋体" w:eastAsia="宋体" w:hint="eastAsia"/>
          <w:color w:val="auto"/>
          <w:sz w:val="21"/>
          <w:szCs w:val="21"/>
        </w:rPr>
        <w:t>中的职责和义务。基金管理人应及时将基金佣金费率等基本信息以及变更情况以书面形式通知基金托管人，并在法定信息披露公告中披露相关内容。</w:t>
      </w:r>
    </w:p>
    <w:p w14:paraId="77B664D5" w14:textId="12545D4D"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2、选择代理期货买卖的期货经纪机构</w:t>
      </w:r>
    </w:p>
    <w:p w14:paraId="2B4738B0"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665694C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（二）基金清算交收</w:t>
      </w:r>
    </w:p>
    <w:p w14:paraId="7AE678BE" w14:textId="498C1536"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1、本基金通过证券经纪机构进行的交易所场内交易由证券经纪机构作为结算参与人代理本基金进行结算，并承担由证券经纪机构原因造成的正常结算、交收业务无法完成的责任。</w:t>
      </w:r>
    </w:p>
    <w:p w14:paraId="4F2A09EC" w14:textId="2BA04E75"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基金托管人以及被选择的证券经纪机构应根据有关法律法规及相关业务规则，签订证券经纪服务协议，用以具体明确三方在证券交易资金结算业务中的责任。证券经纪机构代理本基金财产与中国证券登记结算有限责任公司完成证券交易及</w:t>
      </w:r>
      <w:proofErr w:type="gramStart"/>
      <w:r>
        <w:rPr>
          <w:rFonts w:ascii="宋体" w:eastAsia="宋体" w:hint="eastAsia"/>
          <w:color w:val="auto"/>
          <w:sz w:val="21"/>
          <w:szCs w:val="21"/>
        </w:rPr>
        <w:t>非交易</w:t>
      </w:r>
      <w:proofErr w:type="gramEnd"/>
      <w:r>
        <w:rPr>
          <w:rFonts w:ascii="宋体" w:eastAsia="宋体" w:hint="eastAsia"/>
          <w:color w:val="auto"/>
          <w:sz w:val="21"/>
          <w:szCs w:val="21"/>
        </w:rPr>
        <w:t>涉及的证券资金结算业务，并承担由证券经纪机构原因造成的正常结算、交收业务无法完成的责任。本基金投资于证券发生的所有场外交易的资金清算交收，由基金托管人负责办理。对基金管理人的资金划拨指令，基金托管人</w:t>
      </w:r>
      <w:r>
        <w:rPr>
          <w:rFonts w:ascii="宋体" w:eastAsia="宋体"/>
          <w:color w:val="auto"/>
          <w:sz w:val="21"/>
          <w:szCs w:val="21"/>
        </w:rPr>
        <w:t>应根据托管协议约定在规定期限内执行</w:t>
      </w:r>
      <w:r>
        <w:rPr>
          <w:rFonts w:ascii="宋体" w:eastAsia="宋体" w:hint="eastAsia"/>
          <w:color w:val="auto"/>
          <w:sz w:val="21"/>
          <w:szCs w:val="21"/>
        </w:rPr>
        <w:t>不得延误。如果因为基金管理人违反法律法规的规定进行证券投资或违反双方签订的协议造成基金投资清算困难和风险的，基金托管人发现后应立即通知基金管理人，由基金管理人负责解决，由此给基金造成的损失由基金管理人承担。场外资金对外投资划款由基金托管人</w:t>
      </w:r>
      <w:proofErr w:type="gramStart"/>
      <w:r>
        <w:rPr>
          <w:rFonts w:ascii="宋体" w:eastAsia="宋体" w:hint="eastAsia"/>
          <w:color w:val="auto"/>
          <w:sz w:val="21"/>
          <w:szCs w:val="21"/>
        </w:rPr>
        <w:t>凭基金</w:t>
      </w:r>
      <w:proofErr w:type="gramEnd"/>
      <w:r>
        <w:rPr>
          <w:rFonts w:ascii="宋体" w:eastAsia="宋体" w:hint="eastAsia"/>
          <w:color w:val="auto"/>
          <w:sz w:val="21"/>
          <w:szCs w:val="21"/>
        </w:rPr>
        <w:t>管理人符合本托管协议约定的有效资金划拨指令进行资金划拨；</w:t>
      </w:r>
      <w:proofErr w:type="gramStart"/>
      <w:r>
        <w:rPr>
          <w:rFonts w:ascii="宋体" w:eastAsia="宋体" w:hint="eastAsia"/>
          <w:color w:val="auto"/>
          <w:sz w:val="21"/>
          <w:szCs w:val="21"/>
        </w:rPr>
        <w:t>场外投资</w:t>
      </w:r>
      <w:proofErr w:type="gramEnd"/>
      <w:r>
        <w:rPr>
          <w:rFonts w:ascii="宋体" w:eastAsia="宋体" w:hint="eastAsia"/>
          <w:color w:val="auto"/>
          <w:sz w:val="21"/>
          <w:szCs w:val="21"/>
        </w:rPr>
        <w:t>本金及收益的划回，由基金管理人负责协调相关资金</w:t>
      </w:r>
      <w:proofErr w:type="gramStart"/>
      <w:r>
        <w:rPr>
          <w:rFonts w:ascii="宋体" w:eastAsia="宋体" w:hint="eastAsia"/>
          <w:color w:val="auto"/>
          <w:sz w:val="21"/>
          <w:szCs w:val="21"/>
        </w:rPr>
        <w:t>划拨回</w:t>
      </w:r>
      <w:proofErr w:type="gramEnd"/>
      <w:r>
        <w:rPr>
          <w:rFonts w:ascii="宋体" w:eastAsia="宋体" w:hint="eastAsia"/>
          <w:color w:val="auto"/>
          <w:sz w:val="21"/>
          <w:szCs w:val="21"/>
        </w:rPr>
        <w:t>资金托管账户事宜。本基金投资于期货发生的资金交割清算由基金管理人选定的期货经纪机构负责办理，基金托管人对由于期货交易所期货保证金制度和清算交割的需要而存放在期货经纪机构的资金不行使保管职责和交收职责，基金管理人应在期货经纪协议或其它协议中约定由选定的期货经纪机构承担资金安全保管责任和交收责任。</w:t>
      </w:r>
    </w:p>
    <w:p w14:paraId="0C5CDABB" w14:textId="26BA06A6"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2、由于基金管理人或基金托管</w:t>
      </w:r>
      <w:proofErr w:type="gramStart"/>
      <w:r>
        <w:rPr>
          <w:rFonts w:ascii="宋体" w:eastAsia="宋体" w:hint="eastAsia"/>
          <w:color w:val="auto"/>
          <w:sz w:val="21"/>
          <w:szCs w:val="21"/>
        </w:rPr>
        <w:t>人原因</w:t>
      </w:r>
      <w:proofErr w:type="gramEnd"/>
      <w:r>
        <w:rPr>
          <w:rFonts w:ascii="宋体" w:eastAsia="宋体" w:hint="eastAsia"/>
          <w:color w:val="auto"/>
          <w:sz w:val="21"/>
          <w:szCs w:val="21"/>
        </w:rPr>
        <w:t>导致基金资金透支、超买或超卖等情形的，由责任方承担相应的责任。</w:t>
      </w:r>
    </w:p>
    <w:p w14:paraId="613FFA8B" w14:textId="499DCB5F"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管理人应保证基金托管人在执行基金管理人发送的划款指令时，基金银行账户或资金交收账户上有充足的资金。基金的资金头寸不足时，基金托管人有权拒绝基金管理人发送的划款指令，并及时通知基金管理人，由此造成的损失，由基金管理人负责赔偿。基金管理人在发送划款指令时应充分考虑基金托管人的划款处理时间。对于要求当天到账的指令，应在当天15:00前发送；对于要求当天某一时点到账，则指令需提前2个工作小</w:t>
      </w:r>
      <w:r>
        <w:rPr>
          <w:rFonts w:ascii="宋体" w:eastAsia="宋体" w:hint="eastAsia"/>
          <w:color w:val="auto"/>
          <w:sz w:val="21"/>
          <w:szCs w:val="21"/>
        </w:rPr>
        <w:lastRenderedPageBreak/>
        <w:t>时发送，并保证相关付款条件已经具备。对于新股申购网下公开发行业务，基金管理人应在网下申购缴款日(T日)的前一工作日下班前将新股申购指令发送给基金托管人，指令发送时间最迟不应晚于T日上午10：00时。</w:t>
      </w:r>
    </w:p>
    <w:p w14:paraId="6E7B92B1" w14:textId="458FD6C6" w:rsidR="00737A1E" w:rsidRDefault="00737A1E">
      <w:pPr>
        <w:pStyle w:val="af1"/>
        <w:spacing w:before="100" w:beforeAutospacing="1" w:after="100" w:afterAutospacing="1"/>
        <w:ind w:firstLine="403"/>
        <w:rPr>
          <w:rFonts w:ascii="宋体" w:eastAsia="宋体"/>
          <w:color w:val="auto"/>
          <w:sz w:val="21"/>
          <w:szCs w:val="21"/>
        </w:rPr>
      </w:pPr>
    </w:p>
    <w:p w14:paraId="15B7753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（三）资金、证券、期货账目和交易记录核对</w:t>
      </w:r>
    </w:p>
    <w:p w14:paraId="3A1925A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基金管理人和基金托管人应对本基金的资金、证券账目、期货账目及交易记录按日进行核对，确保双方账目相符。</w:t>
      </w:r>
      <w:proofErr w:type="gramStart"/>
      <w:r>
        <w:rPr>
          <w:rFonts w:ascii="宋体" w:eastAsia="宋体" w:hint="eastAsia"/>
          <w:color w:val="auto"/>
          <w:sz w:val="21"/>
          <w:szCs w:val="21"/>
        </w:rPr>
        <w:t>若基金</w:t>
      </w:r>
      <w:proofErr w:type="gramEnd"/>
      <w:r>
        <w:rPr>
          <w:rFonts w:ascii="宋体" w:eastAsia="宋体" w:hint="eastAsia"/>
          <w:color w:val="auto"/>
          <w:sz w:val="21"/>
          <w:szCs w:val="21"/>
        </w:rPr>
        <w:t>管理人与基金托管人核对不一致，双方应积极查找原因并纠正。</w:t>
      </w:r>
    </w:p>
    <w:p w14:paraId="71C78ED3"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（四）申购、赎回和基金转换的资金清算</w:t>
      </w:r>
    </w:p>
    <w:p w14:paraId="0FBF3635" w14:textId="3A2F4CE9"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T日，投资者进行基金申购、赎回和转换申请，基金管理人和基金托管人分别计算基金资产净值，并进行核对；基金管理人将双方确认的或基金管理人决定采用的各类基金份额净值以基金份额净值公告的形式发送至相关信息披露媒介。</w:t>
      </w:r>
    </w:p>
    <w:p w14:paraId="358F44FA"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2、T+1日， 登记机构根据T日各类基金份额净值计算申购份额、赎回金额及转换份额，更新基金份额持有人数据库；并将确认的申购、赎回及转换数据向基金托管人、基金管理人传送。基金管理人、基金托管人根据确认数据进行账务处理。</w:t>
      </w:r>
    </w:p>
    <w:p w14:paraId="54560DBA" w14:textId="7E5389BD"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3、资金托管账户与“基金清算账户”间的资金清算遵循“全额清算、净额交收”的原则，即按照托管账户当日应收资金（包括申购资金及基金转换转入款）与托管账户应付额（含赎回资金、基金转换转出款及未计入基金资产的转换费）的差额来确定托管账户净应收额或净应付额，以此确定资金交收额。当存在托管账户净应收额时，基金管理人负责将托管账户净应收额在</w:t>
      </w:r>
      <w:proofErr w:type="gramStart"/>
      <w:r>
        <w:rPr>
          <w:rFonts w:ascii="宋体" w:eastAsia="宋体" w:hAnsi="宋体" w:hint="eastAsia"/>
          <w:sz w:val="21"/>
          <w:szCs w:val="21"/>
        </w:rPr>
        <w:t>交收日</w:t>
      </w:r>
      <w:proofErr w:type="gramEnd"/>
      <w:r>
        <w:rPr>
          <w:rFonts w:ascii="宋体" w:eastAsia="宋体" w:hAnsi="宋体" w:hint="eastAsia"/>
          <w:sz w:val="21"/>
          <w:szCs w:val="21"/>
        </w:rPr>
        <w:t>1</w:t>
      </w:r>
      <w:r>
        <w:rPr>
          <w:rFonts w:ascii="宋体" w:eastAsia="宋体" w:hAnsi="宋体"/>
          <w:sz w:val="21"/>
          <w:szCs w:val="21"/>
        </w:rPr>
        <w:t>5</w:t>
      </w:r>
      <w:r>
        <w:rPr>
          <w:rFonts w:ascii="宋体" w:eastAsia="宋体" w:hAnsi="宋体" w:hint="eastAsia"/>
          <w:sz w:val="21"/>
          <w:szCs w:val="21"/>
        </w:rPr>
        <w:t>:00前从“基金清算账户”划到资金托管账户；当存在托管账户净应付额时，基金托管人按管理人的划款指令将托管账户净应付额在</w:t>
      </w:r>
      <w:proofErr w:type="gramStart"/>
      <w:r>
        <w:rPr>
          <w:rFonts w:ascii="宋体" w:eastAsia="宋体" w:hAnsi="宋体" w:hint="eastAsia"/>
          <w:sz w:val="21"/>
          <w:szCs w:val="21"/>
        </w:rPr>
        <w:t>交收日</w:t>
      </w:r>
      <w:proofErr w:type="gramEnd"/>
      <w:r>
        <w:rPr>
          <w:rFonts w:ascii="宋体" w:eastAsia="宋体" w:hAnsi="宋体" w:hint="eastAsia"/>
          <w:sz w:val="21"/>
          <w:szCs w:val="21"/>
        </w:rPr>
        <w:t>1</w:t>
      </w:r>
      <w:r>
        <w:rPr>
          <w:rFonts w:ascii="宋体" w:eastAsia="宋体" w:hAnsi="宋体"/>
          <w:sz w:val="21"/>
          <w:szCs w:val="21"/>
        </w:rPr>
        <w:t>2</w:t>
      </w:r>
      <w:r>
        <w:rPr>
          <w:rFonts w:ascii="宋体" w:eastAsia="宋体" w:hAnsi="宋体" w:hint="eastAsia"/>
          <w:sz w:val="21"/>
          <w:szCs w:val="21"/>
        </w:rPr>
        <w:t>:00前划到“基金清算账户”。</w:t>
      </w:r>
    </w:p>
    <w:p w14:paraId="0459696C" w14:textId="6082AA35"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因基金管理人原因，未能按上款约定将托管账户净应收额全额、及时汇至资金托管账户，由此产生的责任应由基金管理人承担(不可抗力或基金管理人无过错的情况除外)；基金托管人未能按上款约定将托管账户净应付额全额、及时汇至“基金清算账户”，由此产生的责任应由基金托管人承担</w:t>
      </w:r>
      <w:r>
        <w:rPr>
          <w:rFonts w:ascii="宋体" w:eastAsia="宋体" w:cs="方正仿宋简体"/>
          <w:color w:val="auto"/>
          <w:sz w:val="21"/>
          <w:szCs w:val="21"/>
        </w:rPr>
        <w:t>(不可抗力</w:t>
      </w:r>
      <w:r>
        <w:rPr>
          <w:rFonts w:ascii="宋体" w:eastAsia="宋体" w:cs="宋体"/>
          <w:sz w:val="21"/>
        </w:rPr>
        <w:t>或基金托管人无过错的情况</w:t>
      </w:r>
      <w:r>
        <w:rPr>
          <w:rFonts w:ascii="宋体" w:eastAsia="宋体" w:cs="方正仿宋简体"/>
          <w:color w:val="auto"/>
          <w:sz w:val="21"/>
          <w:szCs w:val="21"/>
        </w:rPr>
        <w:t>除外)</w:t>
      </w:r>
      <w:r>
        <w:rPr>
          <w:rFonts w:ascii="宋体" w:eastAsia="宋体" w:hint="eastAsia"/>
          <w:color w:val="auto"/>
          <w:sz w:val="21"/>
          <w:szCs w:val="21"/>
        </w:rPr>
        <w:t>。</w:t>
      </w:r>
    </w:p>
    <w:p w14:paraId="752E0755"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color w:val="auto"/>
          <w:sz w:val="21"/>
          <w:szCs w:val="21"/>
        </w:rPr>
        <w:t>5</w:t>
      </w:r>
      <w:r>
        <w:rPr>
          <w:rFonts w:ascii="宋体" w:eastAsia="宋体" w:hint="eastAsia"/>
          <w:color w:val="auto"/>
          <w:sz w:val="21"/>
          <w:szCs w:val="21"/>
        </w:rPr>
        <w:t>、基金管理人应将每个开放日的申购、赎回、转换开放式基金的数据传送给基金托管人。基金管理人应对传递的申购、赎回、转换开放式基金的数据真实性负责。基金托管人</w:t>
      </w:r>
      <w:r>
        <w:rPr>
          <w:rFonts w:ascii="宋体" w:eastAsia="宋体" w:hint="eastAsia"/>
          <w:color w:val="auto"/>
          <w:sz w:val="21"/>
          <w:szCs w:val="21"/>
        </w:rPr>
        <w:lastRenderedPageBreak/>
        <w:t>应及时查收申购资金的到账情况并根据基金管理人指令及时划付赎回款项。</w:t>
      </w:r>
    </w:p>
    <w:p w14:paraId="01DC4371" w14:textId="0FC8AF30" w:rsidR="00737A1E" w:rsidRDefault="00647336">
      <w:pPr>
        <w:pStyle w:val="Default"/>
        <w:spacing w:line="400" w:lineRule="exact"/>
        <w:ind w:firstLine="420"/>
        <w:jc w:val="both"/>
        <w:rPr>
          <w:rFonts w:ascii="宋体" w:hAnsi="宋体"/>
          <w:i/>
          <w:color w:val="auto"/>
          <w:szCs w:val="21"/>
        </w:rPr>
      </w:pPr>
      <w:r>
        <w:rPr>
          <w:rFonts w:ascii="宋体" w:eastAsia="宋体" w:hAnsi="宋体" w:cs="Times New Roman" w:hint="eastAsia"/>
          <w:color w:val="auto"/>
          <w:sz w:val="21"/>
          <w:szCs w:val="21"/>
        </w:rPr>
        <w:t>（</w:t>
      </w:r>
      <w:r>
        <w:rPr>
          <w:rFonts w:ascii="宋体" w:eastAsia="宋体" w:hAnsi="宋体" w:cs="Times New Roman"/>
          <w:color w:val="auto"/>
          <w:sz w:val="21"/>
          <w:szCs w:val="21"/>
        </w:rPr>
        <w:t>五）港股通交易</w:t>
      </w:r>
    </w:p>
    <w:p w14:paraId="7A13E764" w14:textId="77777777" w:rsidR="00737A1E" w:rsidRDefault="00647336">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color w:val="auto"/>
          <w:sz w:val="21"/>
          <w:szCs w:val="21"/>
        </w:rPr>
        <w:t>本基金的港股</w:t>
      </w:r>
      <w:proofErr w:type="gramStart"/>
      <w:r>
        <w:rPr>
          <w:rFonts w:ascii="宋体" w:eastAsia="宋体" w:hAnsi="宋体" w:cs="Times New Roman"/>
          <w:color w:val="auto"/>
          <w:sz w:val="21"/>
          <w:szCs w:val="21"/>
        </w:rPr>
        <w:t>通交易</w:t>
      </w:r>
      <w:proofErr w:type="gramEnd"/>
      <w:r>
        <w:rPr>
          <w:rFonts w:ascii="宋体" w:eastAsia="宋体" w:hAnsi="宋体" w:cs="Times New Roman"/>
          <w:color w:val="auto"/>
          <w:sz w:val="21"/>
          <w:szCs w:val="21"/>
        </w:rPr>
        <w:t>应遵守相关法律法规及业务规则，股票投资比例合计应当符合法律法规和基金合同的约定，并充分揭示风险。</w:t>
      </w:r>
    </w:p>
    <w:p w14:paraId="68A0E103" w14:textId="77777777" w:rsidR="00737A1E" w:rsidRDefault="00647336">
      <w:pPr>
        <w:pStyle w:val="Default"/>
        <w:spacing w:line="400" w:lineRule="exact"/>
        <w:ind w:firstLine="422"/>
        <w:jc w:val="both"/>
        <w:rPr>
          <w:rFonts w:ascii="宋体" w:eastAsia="宋体" w:hAnsi="宋体" w:cs="Times New Roman"/>
          <w:b/>
          <w:color w:val="auto"/>
          <w:sz w:val="21"/>
          <w:szCs w:val="21"/>
        </w:rPr>
      </w:pPr>
      <w:r>
        <w:rPr>
          <w:rFonts w:ascii="宋体" w:eastAsia="宋体" w:hAnsi="宋体" w:cs="Times New Roman"/>
          <w:b/>
          <w:color w:val="auto"/>
          <w:sz w:val="21"/>
          <w:szCs w:val="21"/>
        </w:rPr>
        <w:t>1</w:t>
      </w:r>
      <w:r>
        <w:rPr>
          <w:rFonts w:ascii="宋体" w:eastAsia="宋体" w:hAnsi="宋体" w:cs="Times New Roman" w:hint="eastAsia"/>
          <w:b/>
          <w:color w:val="auto"/>
          <w:sz w:val="21"/>
          <w:szCs w:val="21"/>
        </w:rPr>
        <w:t xml:space="preserve">、 </w:t>
      </w:r>
      <w:r>
        <w:rPr>
          <w:rFonts w:ascii="宋体" w:eastAsia="宋体" w:hAnsi="宋体" w:cs="Times New Roman"/>
          <w:b/>
          <w:color w:val="auto"/>
          <w:sz w:val="21"/>
          <w:szCs w:val="21"/>
        </w:rPr>
        <w:t xml:space="preserve"> </w:t>
      </w:r>
      <w:r>
        <w:rPr>
          <w:rFonts w:ascii="宋体" w:eastAsia="宋体" w:hAnsi="宋体" w:cs="Times New Roman" w:hint="eastAsia"/>
          <w:b/>
          <w:color w:val="auto"/>
          <w:sz w:val="21"/>
          <w:szCs w:val="21"/>
        </w:rPr>
        <w:t>基金管理人声明和承诺</w:t>
      </w:r>
    </w:p>
    <w:p w14:paraId="7EE52067" w14:textId="77777777" w:rsidR="00737A1E" w:rsidRDefault="00647336">
      <w:pPr>
        <w:spacing w:line="400" w:lineRule="exact"/>
        <w:ind w:firstLine="564"/>
        <w:rPr>
          <w:rFonts w:ascii="宋体" w:hAnsi="宋体"/>
          <w:szCs w:val="21"/>
        </w:rPr>
      </w:pPr>
      <w:r>
        <w:rPr>
          <w:rFonts w:ascii="宋体" w:hint="eastAsia"/>
          <w:szCs w:val="21"/>
        </w:rPr>
        <w:t>（1）</w:t>
      </w:r>
      <w:r>
        <w:rPr>
          <w:rFonts w:ascii="宋体" w:hAnsi="宋体" w:hint="eastAsia"/>
          <w:szCs w:val="21"/>
        </w:rPr>
        <w:t>基金管理人承诺其是依照中国内地法律设立且有效存续的法人机构，具备从事港股通业务的资质；</w:t>
      </w:r>
    </w:p>
    <w:p w14:paraId="37191A56" w14:textId="77777777" w:rsidR="00737A1E" w:rsidRDefault="00647336">
      <w:pPr>
        <w:spacing w:line="400" w:lineRule="exact"/>
        <w:ind w:firstLine="564"/>
        <w:rPr>
          <w:rFonts w:ascii="宋体" w:hAnsi="宋体"/>
          <w:szCs w:val="21"/>
        </w:rPr>
      </w:pPr>
      <w:r>
        <w:rPr>
          <w:rFonts w:ascii="宋体" w:hAnsi="宋体" w:hint="eastAsia"/>
          <w:szCs w:val="21"/>
        </w:rPr>
        <w:t>（2）基金管理人承诺托管资产具有合法的港股</w:t>
      </w:r>
      <w:proofErr w:type="gramStart"/>
      <w:r>
        <w:rPr>
          <w:rFonts w:ascii="宋体" w:hAnsi="宋体" w:hint="eastAsia"/>
          <w:szCs w:val="21"/>
        </w:rPr>
        <w:t>通交易</w:t>
      </w:r>
      <w:proofErr w:type="gramEnd"/>
      <w:r>
        <w:rPr>
          <w:rFonts w:ascii="宋体" w:hAnsi="宋体" w:hint="eastAsia"/>
          <w:szCs w:val="21"/>
        </w:rPr>
        <w:t>资格，不存在相关法律、行政法规、部门规章、规范性文件以及业务规则等规定的禁止、限制或不适于参与港股</w:t>
      </w:r>
      <w:proofErr w:type="gramStart"/>
      <w:r>
        <w:rPr>
          <w:rFonts w:ascii="宋体" w:hAnsi="宋体" w:hint="eastAsia"/>
          <w:szCs w:val="21"/>
        </w:rPr>
        <w:t>通交易</w:t>
      </w:r>
      <w:proofErr w:type="gramEnd"/>
      <w:r>
        <w:rPr>
          <w:rFonts w:ascii="宋体" w:hAnsi="宋体" w:hint="eastAsia"/>
          <w:szCs w:val="21"/>
        </w:rPr>
        <w:t>的情形；</w:t>
      </w:r>
    </w:p>
    <w:p w14:paraId="59142617" w14:textId="77777777" w:rsidR="00737A1E" w:rsidRDefault="00647336">
      <w:pPr>
        <w:spacing w:line="400" w:lineRule="exact"/>
        <w:ind w:firstLine="525"/>
        <w:rPr>
          <w:rFonts w:ascii="宋体" w:hAnsi="宋体"/>
          <w:szCs w:val="21"/>
        </w:rPr>
      </w:pPr>
      <w:r>
        <w:rPr>
          <w:rFonts w:ascii="宋体" w:hAnsi="宋体" w:hint="eastAsia"/>
          <w:szCs w:val="21"/>
        </w:rPr>
        <w:t>（3）基金管理人保证其提供的所有证件、资料均真实、准确、完整、合法、有效，且用于港股</w:t>
      </w:r>
      <w:proofErr w:type="gramStart"/>
      <w:r>
        <w:rPr>
          <w:rFonts w:ascii="宋体" w:hAnsi="宋体" w:hint="eastAsia"/>
          <w:szCs w:val="21"/>
        </w:rPr>
        <w:t>通交易</w:t>
      </w:r>
      <w:proofErr w:type="gramEnd"/>
      <w:r>
        <w:rPr>
          <w:rFonts w:ascii="宋体" w:hAnsi="宋体" w:hint="eastAsia"/>
          <w:szCs w:val="21"/>
        </w:rPr>
        <w:t>的资金来源合法，并保证遵守国家反洗钱的相关规定；</w:t>
      </w:r>
      <w:r>
        <w:rPr>
          <w:rFonts w:ascii="宋体" w:hAnsi="宋体"/>
          <w:szCs w:val="21"/>
        </w:rPr>
        <w:t xml:space="preserve"> </w:t>
      </w:r>
    </w:p>
    <w:p w14:paraId="750619D1" w14:textId="068440F9" w:rsidR="00737A1E" w:rsidRDefault="00647336">
      <w:pPr>
        <w:spacing w:line="400" w:lineRule="exact"/>
        <w:ind w:firstLine="525"/>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）基金管理人承诺遵守港股</w:t>
      </w:r>
      <w:proofErr w:type="gramStart"/>
      <w:r>
        <w:rPr>
          <w:rFonts w:ascii="宋体" w:hAnsi="宋体" w:hint="eastAsia"/>
          <w:szCs w:val="21"/>
        </w:rPr>
        <w:t>通交易</w:t>
      </w:r>
      <w:proofErr w:type="gramEnd"/>
      <w:r>
        <w:rPr>
          <w:rFonts w:ascii="宋体" w:hAnsi="宋体" w:hint="eastAsia"/>
          <w:szCs w:val="21"/>
        </w:rPr>
        <w:t>的中国内地与香港地区法律、行政法规、部门规章、规范性文件、业务规则等相关规定，并承诺按照基金托管人的相关业务流程办理业务；基金管理人应准确理解港股</w:t>
      </w:r>
      <w:proofErr w:type="gramStart"/>
      <w:r>
        <w:rPr>
          <w:rFonts w:ascii="宋体" w:hAnsi="宋体" w:hint="eastAsia"/>
          <w:szCs w:val="21"/>
        </w:rPr>
        <w:t>通交易</w:t>
      </w:r>
      <w:proofErr w:type="gramEnd"/>
      <w:r>
        <w:rPr>
          <w:rFonts w:ascii="宋体" w:hAnsi="宋体" w:hint="eastAsia"/>
          <w:szCs w:val="21"/>
        </w:rPr>
        <w:t>的业务规则，包括不限于交收规则、投资额度、汇兑安排、交易日、风险管理要求、延迟交收等，由于基金管理人对港股通业务规则理解错误而导致的交</w:t>
      </w:r>
      <w:proofErr w:type="gramStart"/>
      <w:r>
        <w:rPr>
          <w:rFonts w:ascii="宋体" w:hAnsi="宋体" w:hint="eastAsia"/>
          <w:szCs w:val="21"/>
        </w:rPr>
        <w:t>收失败及其他损害</w:t>
      </w:r>
      <w:proofErr w:type="gramEnd"/>
      <w:r>
        <w:rPr>
          <w:rFonts w:ascii="宋体" w:hAnsi="宋体" w:hint="eastAsia"/>
          <w:szCs w:val="21"/>
        </w:rPr>
        <w:t>基金份额持有人合法权益的行为，基金管理人自行承担相应赔偿责任，基金托管人不承担相应责任；</w:t>
      </w:r>
    </w:p>
    <w:p w14:paraId="0619627D" w14:textId="77777777" w:rsidR="00737A1E" w:rsidRDefault="00647336">
      <w:pPr>
        <w:spacing w:line="400" w:lineRule="exact"/>
        <w:ind w:firstLine="525"/>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）基金管理人承诺，同意由中国证券登记结算有限责任公司（以下简称</w:t>
      </w:r>
      <w:r>
        <w:rPr>
          <w:rFonts w:ascii="宋体" w:hAnsi="宋体"/>
          <w:szCs w:val="21"/>
        </w:rPr>
        <w:t>“</w:t>
      </w:r>
      <w:r>
        <w:rPr>
          <w:rFonts w:ascii="宋体" w:hAnsi="宋体" w:hint="eastAsia"/>
          <w:szCs w:val="21"/>
        </w:rPr>
        <w:t>中国结算</w:t>
      </w:r>
      <w:r>
        <w:rPr>
          <w:rFonts w:ascii="宋体" w:hAnsi="宋体"/>
          <w:szCs w:val="21"/>
        </w:rPr>
        <w:t>”</w:t>
      </w:r>
      <w:r>
        <w:rPr>
          <w:rFonts w:ascii="宋体" w:hAnsi="宋体" w:hint="eastAsia"/>
          <w:szCs w:val="21"/>
        </w:rPr>
        <w:t>）以自己的名义持有通过港股</w:t>
      </w:r>
      <w:proofErr w:type="gramStart"/>
      <w:r>
        <w:rPr>
          <w:rFonts w:ascii="宋体" w:hAnsi="宋体" w:hint="eastAsia"/>
          <w:szCs w:val="21"/>
        </w:rPr>
        <w:t>通取得</w:t>
      </w:r>
      <w:proofErr w:type="gramEnd"/>
      <w:r>
        <w:rPr>
          <w:rFonts w:ascii="宋体" w:hAnsi="宋体" w:hint="eastAsia"/>
          <w:szCs w:val="21"/>
        </w:rPr>
        <w:t>的证券；基金管理人已清楚认识并愿意承担从事港股</w:t>
      </w:r>
      <w:proofErr w:type="gramStart"/>
      <w:r>
        <w:rPr>
          <w:rFonts w:ascii="宋体" w:hAnsi="宋体" w:hint="eastAsia"/>
          <w:szCs w:val="21"/>
        </w:rPr>
        <w:t>通交易</w:t>
      </w:r>
      <w:proofErr w:type="gramEnd"/>
      <w:r>
        <w:rPr>
          <w:rFonts w:ascii="宋体" w:hAnsi="宋体" w:hint="eastAsia"/>
          <w:szCs w:val="21"/>
        </w:rPr>
        <w:t>的相关风险，</w:t>
      </w:r>
      <w:r>
        <w:rPr>
          <w:rFonts w:ascii="宋体" w:hAnsi="宋体"/>
          <w:szCs w:val="21"/>
        </w:rPr>
        <w:t>特别是其中有关基金托管人的免责条款。</w:t>
      </w:r>
    </w:p>
    <w:p w14:paraId="16E3F6C2" w14:textId="77777777" w:rsidR="00737A1E" w:rsidRDefault="00647336">
      <w:pPr>
        <w:pStyle w:val="Default"/>
        <w:spacing w:line="400" w:lineRule="exact"/>
        <w:ind w:firstLine="417"/>
        <w:jc w:val="both"/>
        <w:rPr>
          <w:rFonts w:ascii="宋体" w:eastAsia="宋体" w:hAnsi="宋体" w:cs="Times New Roman"/>
          <w:b/>
          <w:color w:val="auto"/>
          <w:sz w:val="21"/>
          <w:szCs w:val="21"/>
        </w:rPr>
      </w:pPr>
      <w:r>
        <w:rPr>
          <w:rFonts w:ascii="宋体" w:eastAsia="宋体" w:hAnsi="宋体" w:cs="Times New Roman"/>
          <w:b/>
          <w:color w:val="auto"/>
          <w:sz w:val="21"/>
          <w:szCs w:val="21"/>
        </w:rPr>
        <w:t>2</w:t>
      </w:r>
      <w:r>
        <w:rPr>
          <w:rFonts w:ascii="宋体" w:eastAsia="宋体" w:hAnsi="宋体" w:cs="Times New Roman" w:hint="eastAsia"/>
          <w:b/>
          <w:color w:val="auto"/>
          <w:sz w:val="21"/>
          <w:szCs w:val="21"/>
        </w:rPr>
        <w:t>、    账户开立</w:t>
      </w:r>
    </w:p>
    <w:p w14:paraId="427E1D6F" w14:textId="5865D5DE" w:rsidR="00737A1E" w:rsidRDefault="00647336">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基金管理人在参与港股</w:t>
      </w:r>
      <w:proofErr w:type="gramStart"/>
      <w:r>
        <w:rPr>
          <w:rFonts w:ascii="宋体" w:eastAsia="宋体" w:hAnsi="宋体" w:cs="Times New Roman" w:hint="eastAsia"/>
          <w:color w:val="auto"/>
          <w:sz w:val="21"/>
          <w:szCs w:val="21"/>
        </w:rPr>
        <w:t>通交易</w:t>
      </w:r>
      <w:proofErr w:type="gramEnd"/>
      <w:r>
        <w:rPr>
          <w:rFonts w:ascii="宋体" w:eastAsia="宋体" w:hAnsi="宋体" w:cs="Times New Roman" w:hint="eastAsia"/>
          <w:color w:val="auto"/>
          <w:sz w:val="21"/>
          <w:szCs w:val="21"/>
        </w:rPr>
        <w:t>前，应先依照法律法规、相关业务规则委托基金托管人代为在中国结算开立人民币普通股票（A股）证券账户</w:t>
      </w:r>
      <w:r>
        <w:rPr>
          <w:rFonts w:ascii="宋体" w:eastAsia="宋体" w:hAnsi="宋体" w:cs="Times New Roman"/>
          <w:color w:val="auto"/>
          <w:sz w:val="21"/>
          <w:szCs w:val="21"/>
        </w:rPr>
        <w:t>用于证券交易</w:t>
      </w:r>
      <w:r>
        <w:rPr>
          <w:rFonts w:ascii="宋体" w:eastAsia="宋体" w:hAnsi="宋体" w:cs="Times New Roman" w:hint="eastAsia"/>
          <w:color w:val="auto"/>
          <w:sz w:val="21"/>
          <w:szCs w:val="21"/>
        </w:rPr>
        <w:t>等。基金管理人已经开立人民币普通股票（A股）证券账户</w:t>
      </w:r>
      <w:r>
        <w:rPr>
          <w:rFonts w:ascii="宋体" w:eastAsia="宋体" w:hAnsi="宋体" w:cs="Times New Roman"/>
          <w:color w:val="auto"/>
          <w:sz w:val="21"/>
          <w:szCs w:val="21"/>
        </w:rPr>
        <w:t>，可使用</w:t>
      </w:r>
      <w:r>
        <w:rPr>
          <w:rFonts w:ascii="宋体" w:eastAsia="宋体" w:hAnsi="宋体" w:cs="Times New Roman" w:hint="eastAsia"/>
          <w:color w:val="auto"/>
          <w:sz w:val="21"/>
          <w:szCs w:val="21"/>
        </w:rPr>
        <w:t>上述现有账户进行港股通交易。</w:t>
      </w:r>
    </w:p>
    <w:p w14:paraId="7B3C048F" w14:textId="77777777" w:rsidR="00737A1E" w:rsidRDefault="00647336">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基金管理人通过港股</w:t>
      </w:r>
      <w:proofErr w:type="gramStart"/>
      <w:r>
        <w:rPr>
          <w:rFonts w:ascii="宋体" w:eastAsia="宋体" w:hAnsi="宋体" w:cs="Times New Roman" w:hint="eastAsia"/>
          <w:color w:val="auto"/>
          <w:sz w:val="21"/>
          <w:szCs w:val="21"/>
        </w:rPr>
        <w:t>通购买</w:t>
      </w:r>
      <w:proofErr w:type="gramEnd"/>
      <w:r>
        <w:rPr>
          <w:rFonts w:ascii="宋体" w:eastAsia="宋体" w:hAnsi="宋体" w:cs="Times New Roman" w:hint="eastAsia"/>
          <w:color w:val="auto"/>
          <w:sz w:val="21"/>
          <w:szCs w:val="21"/>
        </w:rPr>
        <w:t>的证券记录在中国结算在香港中央结算有限公司（以下简称“香港结算”）开立的证券账户，并由中国结算存管。基金管理人以中国结算名义持有的证券，以香港中央结算（代理人）有限公司的名义登记于香港联合交易所有限公司上市公司的股东名册。基金管理人不能要求存入或提取纸面股票，中国证监会另有规定的除外。</w:t>
      </w:r>
    </w:p>
    <w:p w14:paraId="4887EEF7" w14:textId="77777777" w:rsidR="00737A1E" w:rsidRDefault="00647336">
      <w:pPr>
        <w:pStyle w:val="Default"/>
        <w:spacing w:line="400" w:lineRule="exact"/>
        <w:ind w:firstLine="417"/>
        <w:jc w:val="both"/>
        <w:rPr>
          <w:rFonts w:ascii="宋体" w:eastAsia="宋体" w:hAnsi="宋体" w:cs="Times New Roman"/>
          <w:b/>
          <w:color w:val="auto"/>
          <w:sz w:val="21"/>
          <w:szCs w:val="21"/>
        </w:rPr>
      </w:pPr>
      <w:r>
        <w:rPr>
          <w:rFonts w:ascii="宋体" w:eastAsia="宋体" w:hAnsi="宋体" w:cs="Times New Roman"/>
          <w:b/>
          <w:color w:val="auto"/>
          <w:sz w:val="21"/>
          <w:szCs w:val="21"/>
        </w:rPr>
        <w:t>3</w:t>
      </w:r>
      <w:r>
        <w:rPr>
          <w:rFonts w:ascii="宋体" w:eastAsia="宋体" w:hAnsi="宋体" w:cs="Times New Roman" w:hint="eastAsia"/>
          <w:b/>
          <w:color w:val="auto"/>
          <w:sz w:val="21"/>
          <w:szCs w:val="21"/>
        </w:rPr>
        <w:t>、  港股</w:t>
      </w:r>
      <w:proofErr w:type="gramStart"/>
      <w:r>
        <w:rPr>
          <w:rFonts w:ascii="宋体" w:eastAsia="宋体" w:hAnsi="宋体" w:cs="Times New Roman" w:hint="eastAsia"/>
          <w:b/>
          <w:color w:val="auto"/>
          <w:sz w:val="21"/>
          <w:szCs w:val="21"/>
        </w:rPr>
        <w:t>通交易</w:t>
      </w:r>
      <w:proofErr w:type="gramEnd"/>
      <w:r>
        <w:rPr>
          <w:rFonts w:ascii="宋体" w:eastAsia="宋体" w:hAnsi="宋体" w:cs="Times New Roman" w:hint="eastAsia"/>
          <w:b/>
          <w:color w:val="auto"/>
          <w:sz w:val="21"/>
          <w:szCs w:val="21"/>
        </w:rPr>
        <w:t>及清算交收安排</w:t>
      </w:r>
    </w:p>
    <w:p w14:paraId="41A3638A" w14:textId="6C81E5B4" w:rsidR="00737A1E" w:rsidRDefault="00647336">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中国结算按照香港结算的业务规则，与香港结算完成港股</w:t>
      </w:r>
      <w:proofErr w:type="gramStart"/>
      <w:r>
        <w:rPr>
          <w:rFonts w:ascii="宋体" w:eastAsia="宋体" w:hAnsi="宋体" w:cs="Times New Roman" w:hint="eastAsia"/>
          <w:color w:val="auto"/>
          <w:sz w:val="21"/>
          <w:szCs w:val="21"/>
        </w:rPr>
        <w:t>通交易</w:t>
      </w:r>
      <w:proofErr w:type="gramEnd"/>
      <w:r>
        <w:rPr>
          <w:rFonts w:ascii="宋体" w:eastAsia="宋体" w:hAnsi="宋体" w:cs="Times New Roman" w:hint="eastAsia"/>
          <w:color w:val="auto"/>
          <w:sz w:val="21"/>
          <w:szCs w:val="21"/>
        </w:rPr>
        <w:t>的证券和资金的交收。港股</w:t>
      </w:r>
      <w:proofErr w:type="gramStart"/>
      <w:r>
        <w:rPr>
          <w:rFonts w:ascii="宋体" w:eastAsia="宋体" w:hAnsi="宋体" w:cs="Times New Roman" w:hint="eastAsia"/>
          <w:color w:val="auto"/>
          <w:sz w:val="21"/>
          <w:szCs w:val="21"/>
        </w:rPr>
        <w:t>通交易</w:t>
      </w:r>
      <w:proofErr w:type="gramEnd"/>
      <w:r>
        <w:rPr>
          <w:rFonts w:ascii="宋体" w:eastAsia="宋体" w:hAnsi="宋体" w:cs="Times New Roman" w:hint="eastAsia"/>
          <w:color w:val="auto"/>
          <w:sz w:val="21"/>
          <w:szCs w:val="21"/>
        </w:rPr>
        <w:t>的境内结算由基金</w:t>
      </w:r>
      <w:r>
        <w:rPr>
          <w:rFonts w:ascii="宋体" w:eastAsia="宋体" w:hAnsi="宋体" w:cs="Times New Roman"/>
          <w:color w:val="auto"/>
          <w:sz w:val="21"/>
          <w:szCs w:val="21"/>
        </w:rPr>
        <w:t>管理人选定的证券经纪机构作为结算参与</w:t>
      </w:r>
      <w:r>
        <w:rPr>
          <w:rFonts w:ascii="宋体" w:eastAsia="宋体" w:hAnsi="宋体" w:cs="Times New Roman" w:hint="eastAsia"/>
          <w:color w:val="auto"/>
          <w:sz w:val="21"/>
          <w:szCs w:val="21"/>
        </w:rPr>
        <w:t>人与中国结算根据相关业务规则完成。</w:t>
      </w:r>
    </w:p>
    <w:p w14:paraId="5A161E33" w14:textId="0E9F8606" w:rsidR="00737A1E" w:rsidRDefault="00647336">
      <w:pPr>
        <w:pStyle w:val="14"/>
        <w:spacing w:line="400" w:lineRule="exact"/>
        <w:ind w:firstLine="424"/>
        <w:rPr>
          <w:rFonts w:ascii="宋体" w:hAnsi="宋体"/>
          <w:szCs w:val="21"/>
        </w:rPr>
      </w:pPr>
      <w:r>
        <w:rPr>
          <w:rFonts w:ascii="宋体" w:hAnsi="宋体"/>
          <w:szCs w:val="21"/>
        </w:rPr>
        <w:lastRenderedPageBreak/>
        <w:t>。</w:t>
      </w:r>
    </w:p>
    <w:p w14:paraId="1D917CF2" w14:textId="77777777" w:rsidR="00737A1E" w:rsidRDefault="00737A1E">
      <w:pPr>
        <w:pStyle w:val="af1"/>
        <w:spacing w:before="100" w:beforeAutospacing="1" w:after="100" w:afterAutospacing="1"/>
        <w:ind w:firstLine="403"/>
        <w:rPr>
          <w:rFonts w:ascii="宋体" w:eastAsia="宋体"/>
          <w:color w:val="auto"/>
          <w:sz w:val="21"/>
          <w:szCs w:val="21"/>
        </w:rPr>
      </w:pPr>
    </w:p>
    <w:p w14:paraId="71731166" w14:textId="77777777" w:rsidR="00737A1E" w:rsidRDefault="00647336">
      <w:pPr>
        <w:pStyle w:val="1"/>
        <w:spacing w:before="100" w:beforeAutospacing="1" w:after="100" w:afterAutospacing="1" w:line="400" w:lineRule="exact"/>
        <w:ind w:firstLine="422"/>
        <w:rPr>
          <w:rFonts w:ascii="宋体" w:hAnsi="宋体"/>
          <w:sz w:val="21"/>
          <w:szCs w:val="21"/>
        </w:rPr>
      </w:pPr>
      <w:bookmarkStart w:id="12" w:name="_Toc116900103"/>
      <w:r>
        <w:rPr>
          <w:rFonts w:ascii="宋体" w:hAnsi="宋体" w:hint="eastAsia"/>
          <w:sz w:val="21"/>
          <w:szCs w:val="21"/>
        </w:rPr>
        <w:t>八、基金资产净值计算和会计核算</w:t>
      </w:r>
      <w:bookmarkEnd w:id="12"/>
    </w:p>
    <w:p w14:paraId="666F6CD0"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（一）基金资产净值的计算和复核</w:t>
      </w:r>
    </w:p>
    <w:p w14:paraId="5BAE6404" w14:textId="2872AD4B"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基金资产净值是指基金资产总值减去基金负债后的价值。某一类别基金份额净值是按照每个估值日闭市后，该类别基金资产净值除以当日该类别基金份额的余额数量计算，精确到0.0001元，小数点后第5位四舍五入。基金管理人可以设立大额赎回情形下的净值精度应急调整机制。国家另有规定的，从其规定。</w:t>
      </w:r>
    </w:p>
    <w:p w14:paraId="49DB0B3B" w14:textId="5D7774E8" w:rsidR="00737A1E" w:rsidRDefault="00647336">
      <w:pPr>
        <w:spacing w:before="100" w:beforeAutospacing="1" w:after="100" w:afterAutospacing="1" w:line="400" w:lineRule="exact"/>
        <w:ind w:firstLine="420"/>
        <w:rPr>
          <w:rFonts w:ascii="宋体" w:hAnsi="宋体"/>
          <w:szCs w:val="21"/>
        </w:rPr>
      </w:pPr>
      <w:r>
        <w:rPr>
          <w:rFonts w:ascii="宋体" w:hAnsi="宋体" w:hint="eastAsia"/>
          <w:szCs w:val="21"/>
        </w:rPr>
        <w:t>2、基金管理人</w:t>
      </w:r>
      <w:proofErr w:type="gramStart"/>
      <w:r>
        <w:rPr>
          <w:rFonts w:ascii="宋体" w:hAnsi="宋体" w:hint="eastAsia"/>
          <w:szCs w:val="21"/>
        </w:rPr>
        <w:t>应每个</w:t>
      </w:r>
      <w:proofErr w:type="gramEnd"/>
      <w:r>
        <w:rPr>
          <w:rFonts w:ascii="宋体" w:hAnsi="宋体" w:hint="eastAsia"/>
          <w:szCs w:val="21"/>
        </w:rPr>
        <w:t>估值日对基金财产估值</w:t>
      </w:r>
      <w:r>
        <w:rPr>
          <w:rFonts w:ascii="宋体" w:hAnsi="宋体" w:hint="eastAsia"/>
          <w:color w:val="000000"/>
          <w:szCs w:val="21"/>
        </w:rPr>
        <w:t>，但基金管理人根据法律法规或《基金合同》的规定暂停估值时除外</w:t>
      </w:r>
      <w:r>
        <w:rPr>
          <w:rFonts w:ascii="宋体" w:hAnsi="宋体" w:hint="eastAsia"/>
          <w:szCs w:val="21"/>
        </w:rPr>
        <w:t>。估值原则应符合《基金合同》、《证券投资基金会计核算业务指引》及其他法律法规的规定。基金净值信息由基金管理人负责计算，基金托管人复核。基金管理人应于每个估值日结束后计算得出当日的各类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734AB84A" w14:textId="3D671901"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3、</w:t>
      </w:r>
      <w:proofErr w:type="gramStart"/>
      <w:r>
        <w:rPr>
          <w:rFonts w:ascii="宋体" w:eastAsia="宋体" w:hAnsi="宋体" w:hint="eastAsia"/>
          <w:sz w:val="21"/>
          <w:szCs w:val="21"/>
        </w:rPr>
        <w:t>当</w:t>
      </w:r>
      <w:r>
        <w:rPr>
          <w:rFonts w:ascii="宋体" w:eastAsia="宋体" w:hAnsi="宋体" w:cs="方正仿宋简体" w:hint="eastAsia"/>
          <w:sz w:val="21"/>
          <w:szCs w:val="21"/>
        </w:rPr>
        <w:t>相关</w:t>
      </w:r>
      <w:proofErr w:type="gramEnd"/>
      <w:r>
        <w:rPr>
          <w:rFonts w:ascii="宋体" w:eastAsia="宋体" w:hAnsi="宋体" w:cs="方正仿宋简体" w:hint="eastAsia"/>
          <w:sz w:val="21"/>
          <w:szCs w:val="21"/>
        </w:rPr>
        <w:t>法律法规或《基金合同》规定的估值方法不能客观反映基金财产公允价值时，</w:t>
      </w:r>
      <w:r>
        <w:rPr>
          <w:rFonts w:ascii="宋体" w:eastAsia="宋体" w:hAnsi="宋体" w:hint="eastAsia"/>
          <w:sz w:val="21"/>
          <w:szCs w:val="21"/>
        </w:rPr>
        <w:t>基金管理人可根据具体情况</w:t>
      </w:r>
      <w:r>
        <w:rPr>
          <w:rFonts w:ascii="宋体" w:eastAsia="宋体" w:hAnsi="宋体"/>
          <w:sz w:val="21"/>
          <w:szCs w:val="21"/>
        </w:rPr>
        <w:t>，</w:t>
      </w:r>
      <w:r>
        <w:rPr>
          <w:rFonts w:ascii="宋体" w:eastAsia="宋体" w:hAnsi="宋体" w:hint="eastAsia"/>
          <w:sz w:val="21"/>
          <w:szCs w:val="21"/>
        </w:rPr>
        <w:t>并与基金托管人商定后</w:t>
      </w:r>
      <w:r>
        <w:rPr>
          <w:rFonts w:ascii="宋体" w:eastAsia="宋体" w:hAnsi="宋体"/>
          <w:sz w:val="21"/>
          <w:szCs w:val="21"/>
        </w:rPr>
        <w:t>，</w:t>
      </w:r>
      <w:r>
        <w:rPr>
          <w:rFonts w:ascii="宋体" w:eastAsia="宋体" w:hAnsi="宋体" w:hint="eastAsia"/>
          <w:sz w:val="21"/>
          <w:szCs w:val="21"/>
        </w:rPr>
        <w:t>按最能反映公允价值的价格估值。</w:t>
      </w:r>
      <w:r>
        <w:rPr>
          <w:rFonts w:ascii="宋体" w:eastAsia="宋体" w:hAnsi="宋体" w:cs="方正仿宋简体" w:hint="eastAsia"/>
          <w:sz w:val="21"/>
          <w:szCs w:val="21"/>
        </w:rPr>
        <w:t>本基金实施</w:t>
      </w:r>
      <w:proofErr w:type="gramStart"/>
      <w:r>
        <w:rPr>
          <w:rFonts w:ascii="宋体" w:eastAsia="宋体" w:hAnsi="宋体" w:cs="方正仿宋简体" w:hint="eastAsia"/>
          <w:sz w:val="21"/>
          <w:szCs w:val="21"/>
        </w:rPr>
        <w:t>侧袋机制</w:t>
      </w:r>
      <w:proofErr w:type="gramEnd"/>
      <w:r>
        <w:rPr>
          <w:rFonts w:ascii="宋体" w:eastAsia="宋体" w:hAnsi="宋体" w:cs="方正仿宋简体" w:hint="eastAsia"/>
          <w:sz w:val="21"/>
          <w:szCs w:val="21"/>
        </w:rPr>
        <w:t>的，应根据《基金合同》的约定</w:t>
      </w:r>
      <w:proofErr w:type="gramStart"/>
      <w:r>
        <w:rPr>
          <w:rFonts w:ascii="宋体" w:eastAsia="宋体" w:hAnsi="宋体" w:cs="方正仿宋简体" w:hint="eastAsia"/>
          <w:sz w:val="21"/>
          <w:szCs w:val="21"/>
        </w:rPr>
        <w:t>对主袋账户</w:t>
      </w:r>
      <w:proofErr w:type="gramEnd"/>
      <w:r>
        <w:rPr>
          <w:rFonts w:ascii="宋体" w:eastAsia="宋体" w:hAnsi="宋体" w:cs="方正仿宋简体" w:hint="eastAsia"/>
          <w:sz w:val="21"/>
          <w:szCs w:val="21"/>
        </w:rPr>
        <w:t>资产进行估值并</w:t>
      </w:r>
      <w:proofErr w:type="gramStart"/>
      <w:r>
        <w:rPr>
          <w:rFonts w:ascii="宋体" w:eastAsia="宋体" w:hAnsi="宋体" w:cs="方正仿宋简体" w:hint="eastAsia"/>
          <w:sz w:val="21"/>
          <w:szCs w:val="21"/>
        </w:rPr>
        <w:t>披露主袋账户</w:t>
      </w:r>
      <w:proofErr w:type="gramEnd"/>
      <w:r>
        <w:rPr>
          <w:rFonts w:ascii="宋体" w:eastAsia="宋体" w:hAnsi="宋体" w:cs="方正仿宋简体" w:hint="eastAsia"/>
          <w:sz w:val="21"/>
          <w:szCs w:val="21"/>
        </w:rPr>
        <w:t>的基金净值信息，暂停</w:t>
      </w:r>
      <w:proofErr w:type="gramStart"/>
      <w:r>
        <w:rPr>
          <w:rFonts w:ascii="宋体" w:eastAsia="宋体" w:hAnsi="宋体" w:cs="方正仿宋简体" w:hint="eastAsia"/>
          <w:sz w:val="21"/>
          <w:szCs w:val="21"/>
        </w:rPr>
        <w:t>披露侧袋账户</w:t>
      </w:r>
      <w:proofErr w:type="gramEnd"/>
      <w:r>
        <w:rPr>
          <w:rFonts w:ascii="宋体" w:eastAsia="宋体" w:hAnsi="宋体" w:cs="方正仿宋简体" w:hint="eastAsia"/>
          <w:sz w:val="21"/>
          <w:szCs w:val="21"/>
        </w:rPr>
        <w:t>份额净值</w:t>
      </w:r>
      <w:r>
        <w:rPr>
          <w:rFonts w:ascii="宋体" w:eastAsia="宋体" w:hAnsi="宋体" w:hint="eastAsia"/>
          <w:sz w:val="21"/>
          <w:szCs w:val="21"/>
        </w:rPr>
        <w:t>。</w:t>
      </w:r>
    </w:p>
    <w:p w14:paraId="7944E435" w14:textId="77777777" w:rsidR="00737A1E" w:rsidRDefault="00647336">
      <w:pPr>
        <w:pStyle w:val="34"/>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hint="eastAsia"/>
          <w:sz w:val="21"/>
          <w:szCs w:val="21"/>
        </w:rPr>
        <w:t>4、</w:t>
      </w:r>
      <w:r>
        <w:rPr>
          <w:rFonts w:ascii="宋体" w:eastAsia="宋体" w:hAnsi="宋体" w:cs="方正仿宋简体" w:hint="eastAsia"/>
          <w:sz w:val="21"/>
          <w:szCs w:val="21"/>
        </w:rPr>
        <w:t>基金管理人、基金托管人发现基金估值违反《基金合同》订明的估值方法、程序以及相关法律法规的规定或者未能充分维护基金份额持有人利益时，双方应及时进行协商和纠正。</w:t>
      </w:r>
    </w:p>
    <w:p w14:paraId="62F3C288" w14:textId="1504B609" w:rsidR="00737A1E" w:rsidRDefault="00647336">
      <w:pPr>
        <w:spacing w:before="100" w:beforeAutospacing="1" w:after="100" w:afterAutospacing="1" w:line="400" w:lineRule="exact"/>
        <w:ind w:firstLine="420"/>
        <w:rPr>
          <w:rFonts w:ascii="宋体" w:hAnsi="宋体"/>
          <w:szCs w:val="21"/>
        </w:rPr>
      </w:pPr>
      <w:r>
        <w:rPr>
          <w:rFonts w:ascii="宋体" w:hAnsi="宋体" w:cs="方正仿宋简体" w:hint="eastAsia"/>
          <w:szCs w:val="21"/>
        </w:rPr>
        <w:t>5、</w:t>
      </w:r>
      <w:r>
        <w:rPr>
          <w:rFonts w:ascii="宋体" w:hAnsi="宋体" w:hint="eastAsia"/>
          <w:szCs w:val="21"/>
        </w:rPr>
        <w:t>当基金资产的估值导致任一类基金份额净值小数点后四位内发生估值错误时，视为该类基金份额净值错误。当基金份额净值计算出现错误时，基金管理人应当立即予以纠正，并采取合理的措施防止损失进一步扩大；当计价错误达到该类基金份额净值的</w:t>
      </w:r>
      <w:r>
        <w:rPr>
          <w:rFonts w:ascii="宋体" w:hAnsi="宋体"/>
          <w:szCs w:val="21"/>
        </w:rPr>
        <w:t>0.</w:t>
      </w:r>
      <w:r>
        <w:rPr>
          <w:rFonts w:ascii="宋体" w:hAnsi="宋体" w:hint="eastAsia"/>
          <w:szCs w:val="21"/>
        </w:rPr>
        <w:t>2</w:t>
      </w:r>
      <w:r>
        <w:rPr>
          <w:rFonts w:ascii="宋体" w:hAnsi="宋体"/>
          <w:szCs w:val="21"/>
        </w:rPr>
        <w:t>5%</w:t>
      </w:r>
      <w:r>
        <w:rPr>
          <w:rFonts w:ascii="宋体" w:hAnsi="宋体" w:hint="eastAsia"/>
          <w:szCs w:val="21"/>
        </w:rPr>
        <w:t>时，基金管理人应当通报基金托管人并报中国证监会备案；当计价错误达到该类基金份额净值的</w:t>
      </w:r>
      <w:r>
        <w:rPr>
          <w:rFonts w:ascii="宋体" w:hAnsi="宋体"/>
          <w:szCs w:val="21"/>
        </w:rPr>
        <w:t>0.5%</w:t>
      </w:r>
      <w:r>
        <w:rPr>
          <w:rFonts w:ascii="宋体" w:hAnsi="宋体" w:hint="eastAsia"/>
          <w:szCs w:val="21"/>
        </w:rPr>
        <w:t>时，基金管理人应当公告，并报中国证监会备案。</w:t>
      </w:r>
      <w:r>
        <w:rPr>
          <w:rFonts w:ascii="宋体" w:hAnsi="宋体"/>
          <w:szCs w:val="21"/>
        </w:rPr>
        <w:t>如法律法规或监管机关</w:t>
      </w:r>
      <w:r>
        <w:rPr>
          <w:rFonts w:ascii="宋体" w:hAnsi="宋体" w:hint="eastAsia"/>
          <w:szCs w:val="21"/>
        </w:rPr>
        <w:t>对</w:t>
      </w:r>
      <w:r>
        <w:rPr>
          <w:rFonts w:ascii="宋体" w:hAnsi="宋体"/>
          <w:szCs w:val="21"/>
        </w:rPr>
        <w:t>前述内容另有规定的，按其规定处理。</w:t>
      </w:r>
    </w:p>
    <w:p w14:paraId="3C7AD038" w14:textId="70C826B2" w:rsidR="00737A1E" w:rsidRDefault="00647336">
      <w:pPr>
        <w:pStyle w:val="34"/>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cs="方正仿宋简体" w:hint="eastAsia"/>
          <w:sz w:val="21"/>
          <w:szCs w:val="21"/>
        </w:rPr>
        <w:lastRenderedPageBreak/>
        <w:t>6、</w:t>
      </w:r>
      <w:r>
        <w:rPr>
          <w:rFonts w:ascii="宋体" w:eastAsia="宋体" w:hAnsi="宋体" w:hint="eastAsia"/>
          <w:sz w:val="21"/>
          <w:szCs w:val="21"/>
        </w:rPr>
        <w:t>由于基金管理人对外公布的任何基金净值数据错误，导致基金财产或基金份额持有人的实际损失，基金管理人应对此承担责任。</w:t>
      </w:r>
      <w:proofErr w:type="gramStart"/>
      <w:r>
        <w:rPr>
          <w:rFonts w:ascii="宋体" w:eastAsia="宋体" w:hAnsi="宋体" w:hint="eastAsia"/>
          <w:sz w:val="21"/>
          <w:szCs w:val="21"/>
        </w:rPr>
        <w:t>若基金</w:t>
      </w:r>
      <w:proofErr w:type="gramEnd"/>
      <w:r>
        <w:rPr>
          <w:rFonts w:ascii="宋体" w:eastAsia="宋体" w:hAnsi="宋体" w:hint="eastAsia"/>
          <w:sz w:val="21"/>
          <w:szCs w:val="21"/>
        </w:rPr>
        <w:t>托管人计算的净值数据正确，</w:t>
      </w:r>
      <w:proofErr w:type="gramStart"/>
      <w:r>
        <w:rPr>
          <w:rFonts w:ascii="宋体" w:eastAsia="宋体" w:hAnsi="宋体" w:hint="eastAsia"/>
          <w:sz w:val="21"/>
          <w:szCs w:val="21"/>
        </w:rPr>
        <w:t>则基金</w:t>
      </w:r>
      <w:proofErr w:type="gramEnd"/>
      <w:r>
        <w:rPr>
          <w:rFonts w:ascii="宋体" w:eastAsia="宋体" w:hAnsi="宋体" w:hint="eastAsia"/>
          <w:sz w:val="21"/>
          <w:szCs w:val="21"/>
        </w:rPr>
        <w:t>托管人对该损失不承担责任；</w:t>
      </w:r>
      <w:proofErr w:type="gramStart"/>
      <w:r>
        <w:rPr>
          <w:rFonts w:ascii="宋体" w:eastAsia="宋体" w:hAnsi="宋体" w:hint="eastAsia"/>
          <w:sz w:val="21"/>
          <w:szCs w:val="21"/>
        </w:rPr>
        <w:t>若基金</w:t>
      </w:r>
      <w:proofErr w:type="gramEnd"/>
      <w:r>
        <w:rPr>
          <w:rFonts w:ascii="宋体" w:eastAsia="宋体" w:hAnsi="宋体" w:hint="eastAsia"/>
          <w:sz w:val="21"/>
          <w:szCs w:val="21"/>
        </w:rPr>
        <w:t>托管人计算的净值数据也不正确，</w:t>
      </w:r>
      <w:proofErr w:type="gramStart"/>
      <w:r>
        <w:rPr>
          <w:rFonts w:ascii="宋体" w:eastAsia="宋体" w:hAnsi="宋体" w:hint="eastAsia"/>
          <w:sz w:val="21"/>
          <w:szCs w:val="21"/>
        </w:rPr>
        <w:t>则基金</w:t>
      </w:r>
      <w:proofErr w:type="gramEnd"/>
      <w:r>
        <w:rPr>
          <w:rFonts w:ascii="宋体" w:eastAsia="宋体" w:hAnsi="宋体" w:hint="eastAsia"/>
          <w:sz w:val="21"/>
          <w:szCs w:val="21"/>
        </w:rPr>
        <w:t>托管人也应承担部分未正确履行复核义务的责任。如果上述错误造成了基金财产或基金份额持有人的不当得利，</w:t>
      </w:r>
      <w:proofErr w:type="gramStart"/>
      <w:r>
        <w:rPr>
          <w:rFonts w:ascii="宋体" w:eastAsia="宋体" w:hAnsi="宋体" w:hint="eastAsia"/>
          <w:sz w:val="21"/>
          <w:szCs w:val="21"/>
        </w:rPr>
        <w:t>且基金</w:t>
      </w:r>
      <w:proofErr w:type="gramEnd"/>
      <w:r>
        <w:rPr>
          <w:rFonts w:ascii="宋体" w:eastAsia="宋体" w:hAnsi="宋体" w:hint="eastAsia"/>
          <w:sz w:val="21"/>
          <w:szCs w:val="21"/>
        </w:rPr>
        <w:t>管理人及基金托管人已各自承担了赔偿责任，</w:t>
      </w:r>
      <w:proofErr w:type="gramStart"/>
      <w:r>
        <w:rPr>
          <w:rFonts w:ascii="宋体" w:eastAsia="宋体" w:hAnsi="宋体" w:hint="eastAsia"/>
          <w:sz w:val="21"/>
          <w:szCs w:val="21"/>
        </w:rPr>
        <w:t>则基金</w:t>
      </w:r>
      <w:proofErr w:type="gramEnd"/>
      <w:r>
        <w:rPr>
          <w:rFonts w:ascii="宋体" w:eastAsia="宋体" w:hAnsi="宋体" w:hint="eastAsia"/>
          <w:sz w:val="21"/>
          <w:szCs w:val="21"/>
        </w:rPr>
        <w:t>管理人应负责向不当得利之主体主张返还不当得利。如果返还金额不足以弥补基金管理人和基金托管人已承担的赔偿金额，则双方按照各自赔偿金额的比例对返还金额进行分配。</w:t>
      </w:r>
    </w:p>
    <w:p w14:paraId="4E92D500" w14:textId="44F4DC8F" w:rsidR="00737A1E" w:rsidRDefault="00647336">
      <w:pPr>
        <w:pStyle w:val="34"/>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cs="方正仿宋简体" w:hint="eastAsia"/>
          <w:sz w:val="21"/>
          <w:szCs w:val="21"/>
        </w:rPr>
        <w:t xml:space="preserve">7、 </w:t>
      </w:r>
      <w:r>
        <w:rPr>
          <w:rFonts w:ascii="宋体" w:eastAsia="宋体" w:hAnsi="宋体" w:hint="eastAsia"/>
          <w:sz w:val="21"/>
          <w:szCs w:val="21"/>
        </w:rPr>
        <w:t>由于不可抗力原因，或由于证券交易所、期货交易所、登记结算公司、估值基准服务机构、证券经纪机构及存款银行等第三方机构发送的数据错误，或国家会计政策变更、市场规则变更等原因，基金管理人和基金托管人虽然已经采取必要、适当、合理的措施进行检查，未能发现错误或发现错误但因前述原因无法改正的，由此造成</w:t>
      </w:r>
      <w:r>
        <w:rPr>
          <w:rFonts w:ascii="宋体" w:eastAsia="宋体" w:hAnsi="宋体"/>
          <w:sz w:val="21"/>
          <w:szCs w:val="21"/>
        </w:rPr>
        <w:t>的</w:t>
      </w:r>
      <w:r>
        <w:rPr>
          <w:rFonts w:ascii="宋体" w:eastAsia="宋体" w:hAnsi="宋体" w:hint="eastAsia"/>
          <w:sz w:val="21"/>
          <w:szCs w:val="21"/>
        </w:rPr>
        <w:t>基金</w:t>
      </w:r>
      <w:r>
        <w:rPr>
          <w:rFonts w:ascii="宋体" w:eastAsia="宋体" w:hAnsi="宋体"/>
          <w:sz w:val="21"/>
          <w:szCs w:val="21"/>
        </w:rPr>
        <w:t>资产估值错误</w:t>
      </w:r>
      <w:r>
        <w:rPr>
          <w:rFonts w:ascii="宋体" w:eastAsia="宋体" w:hAnsi="宋体" w:hint="eastAsia"/>
          <w:sz w:val="21"/>
          <w:szCs w:val="21"/>
        </w:rPr>
        <w:t>，基金管理人和基金托管人免除赔偿责任。但基金管理</w:t>
      </w:r>
      <w:r>
        <w:rPr>
          <w:rFonts w:ascii="宋体" w:eastAsia="宋体" w:hAnsi="宋体"/>
          <w:sz w:val="21"/>
          <w:szCs w:val="21"/>
        </w:rPr>
        <w:t>人</w:t>
      </w:r>
      <w:r>
        <w:rPr>
          <w:rFonts w:ascii="宋体" w:eastAsia="宋体" w:hAnsi="宋体" w:hint="eastAsia"/>
          <w:sz w:val="21"/>
          <w:szCs w:val="21"/>
        </w:rPr>
        <w:t>、基金托管人应当积极采取必要的措施减轻或消除由此造成的影响。</w:t>
      </w:r>
    </w:p>
    <w:p w14:paraId="720246FA"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8、如果基金托管人的复核结果与基金管理人的计算结果存在差异，且双方经协商未能达成一致，基金管理人可以按照其对各类基金份额净值的计算结果对外予以公布，基金托管人可以将相关情况报中国证监会备案。基金托管人不承担基金管理人未接受基金托管人的复核意见进行信息披露的责任。</w:t>
      </w:r>
    </w:p>
    <w:p w14:paraId="5C69C6D3"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（二）基金会计核算</w:t>
      </w:r>
    </w:p>
    <w:p w14:paraId="60FD7CF8"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1、基金账册的建立</w:t>
      </w:r>
    </w:p>
    <w:p w14:paraId="77B01AA5"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39FB2301"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2、会计数据和财务指标的核对</w:t>
      </w:r>
    </w:p>
    <w:p w14:paraId="727AA8F7"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基金管理人和基金托管人应定期就会计数据和财务指标进行核对。如发现存在不符，双方应及时查明原因并纠正。</w:t>
      </w:r>
    </w:p>
    <w:p w14:paraId="66B0F022"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3、基金财务报表和定期报告、招募说明书、基金产品资料概要的编制和复核</w:t>
      </w:r>
    </w:p>
    <w:p w14:paraId="6EEBE916"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基金财务报表由基金管理人和基金托管人每</w:t>
      </w:r>
      <w:proofErr w:type="gramStart"/>
      <w:r>
        <w:rPr>
          <w:rFonts w:ascii="宋体" w:eastAsia="宋体" w:hAnsi="宋体" w:hint="eastAsia"/>
          <w:sz w:val="21"/>
          <w:szCs w:val="21"/>
        </w:rPr>
        <w:t>月分别独立</w:t>
      </w:r>
      <w:proofErr w:type="gramEnd"/>
      <w:r>
        <w:rPr>
          <w:rFonts w:ascii="宋体" w:eastAsia="宋体" w:hAnsi="宋体" w:hint="eastAsia"/>
          <w:sz w:val="21"/>
          <w:szCs w:val="21"/>
        </w:rPr>
        <w:t>编制。月度报表的编制，应于</w:t>
      </w:r>
      <w:r>
        <w:rPr>
          <w:rFonts w:ascii="宋体" w:eastAsia="宋体" w:hAnsi="宋体" w:hint="eastAsia"/>
          <w:sz w:val="21"/>
          <w:szCs w:val="21"/>
        </w:rPr>
        <w:lastRenderedPageBreak/>
        <w:t>每月终了后</w:t>
      </w:r>
      <w:r>
        <w:rPr>
          <w:rFonts w:ascii="宋体" w:eastAsia="宋体" w:hAnsi="宋体"/>
          <w:sz w:val="21"/>
          <w:szCs w:val="21"/>
        </w:rPr>
        <w:t>5</w:t>
      </w:r>
      <w:r>
        <w:rPr>
          <w:rFonts w:ascii="宋体" w:eastAsia="宋体" w:hAnsi="宋体" w:hint="eastAsia"/>
          <w:sz w:val="21"/>
          <w:szCs w:val="21"/>
        </w:rPr>
        <w:t>个工作日内完成；《基金合同》生效后，招募说明书的信息发生重大变更的，基金管理人应当在三个工作日内，更新</w:t>
      </w:r>
      <w:bookmarkStart w:id="13" w:name="_Hlk211462288"/>
      <w:r>
        <w:rPr>
          <w:rFonts w:ascii="宋体" w:eastAsia="宋体" w:hAnsi="宋体" w:hint="eastAsia"/>
          <w:sz w:val="21"/>
          <w:szCs w:val="21"/>
        </w:rPr>
        <w:t>招募说明书</w:t>
      </w:r>
      <w:bookmarkEnd w:id="13"/>
      <w:r>
        <w:rPr>
          <w:rFonts w:ascii="宋体" w:eastAsia="宋体" w:hAnsi="宋体" w:hint="eastAsia"/>
          <w:sz w:val="21"/>
          <w:szCs w:val="21"/>
        </w:rPr>
        <w:t>并登载在规定网站上。招募说明书其他信息发生变更的，基金管理人至少每年更新一次；</w:t>
      </w:r>
      <w:bookmarkStart w:id="14" w:name="_Hlk211462303"/>
      <w:r>
        <w:rPr>
          <w:rFonts w:ascii="宋体" w:eastAsia="宋体" w:hAnsi="宋体" w:hint="eastAsia"/>
          <w:sz w:val="21"/>
          <w:szCs w:val="21"/>
        </w:rPr>
        <w:t>基金产品资料概要</w:t>
      </w:r>
      <w:bookmarkEnd w:id="14"/>
      <w:r>
        <w:rPr>
          <w:rFonts w:ascii="宋体" w:eastAsia="宋体" w:hAnsi="宋体"/>
          <w:sz w:val="21"/>
          <w:szCs w:val="21"/>
        </w:rPr>
        <w:t>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w:t>
      </w:r>
      <w:r>
        <w:rPr>
          <w:rFonts w:ascii="宋体" w:eastAsia="宋体" w:hAnsi="宋体" w:hint="eastAsia"/>
          <w:color w:val="000000"/>
          <w:sz w:val="21"/>
          <w:szCs w:val="21"/>
        </w:rPr>
        <w:t>基金合同</w:t>
      </w:r>
      <w:r>
        <w:rPr>
          <w:rFonts w:ascii="宋体" w:eastAsia="宋体" w:hAnsi="宋体" w:hint="eastAsia"/>
          <w:sz w:val="21"/>
          <w:szCs w:val="21"/>
        </w:rPr>
        <w:t>》</w:t>
      </w:r>
      <w:r>
        <w:rPr>
          <w:rFonts w:ascii="宋体" w:eastAsia="宋体" w:hAnsi="宋体" w:hint="eastAsia"/>
          <w:color w:val="000000"/>
          <w:sz w:val="21"/>
          <w:szCs w:val="21"/>
        </w:rPr>
        <w:t>生效不足两个月的，基金管理人可以不编制当期季度报告、中期报告或者年度报告。</w:t>
      </w:r>
    </w:p>
    <w:p w14:paraId="6B59F40A"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基金管理人应及时完成报表编制，将有关报表提供</w:t>
      </w:r>
      <w:r>
        <w:rPr>
          <w:rFonts w:ascii="宋体" w:eastAsia="宋体" w:hAnsi="宋体" w:hint="eastAsia"/>
          <w:sz w:val="21"/>
          <w:szCs w:val="21"/>
        </w:rPr>
        <w:t>给</w:t>
      </w:r>
      <w:r>
        <w:rPr>
          <w:rFonts w:ascii="宋体" w:eastAsia="宋体" w:hAnsi="宋体"/>
          <w:sz w:val="21"/>
          <w:szCs w:val="21"/>
        </w:rPr>
        <w:t>基金托管人复核</w:t>
      </w:r>
      <w:r>
        <w:rPr>
          <w:rFonts w:ascii="宋体" w:eastAsia="宋体" w:hAnsi="宋体" w:hint="eastAsia"/>
          <w:sz w:val="21"/>
          <w:szCs w:val="21"/>
        </w:rPr>
        <w:t>，基金托管人在收到后应及时进行复核，并将复核结果书面通知基金管理人</w:t>
      </w:r>
      <w:r>
        <w:rPr>
          <w:rFonts w:ascii="宋体" w:eastAsia="宋体" w:hAnsi="宋体"/>
          <w:sz w:val="21"/>
          <w:szCs w:val="21"/>
        </w:rPr>
        <w:t>；基金管理人应留足充分的时间，便于基金托管人复核相关报表及报告。</w:t>
      </w:r>
      <w:r>
        <w:rPr>
          <w:rFonts w:ascii="宋体" w:eastAsia="宋体" w:hAnsi="宋体" w:hint="eastAsia"/>
          <w:sz w:val="21"/>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w:t>
      </w:r>
      <w:proofErr w:type="gramStart"/>
      <w:r>
        <w:rPr>
          <w:rFonts w:ascii="宋体" w:eastAsia="宋体" w:hAnsi="宋体" w:hint="eastAsia"/>
          <w:sz w:val="21"/>
          <w:szCs w:val="21"/>
        </w:rPr>
        <w:t>于应当</w:t>
      </w:r>
      <w:proofErr w:type="gramEnd"/>
      <w:r>
        <w:rPr>
          <w:rFonts w:ascii="宋体" w:eastAsia="宋体" w:hAnsi="宋体" w:hint="eastAsia"/>
          <w:sz w:val="21"/>
          <w:szCs w:val="21"/>
        </w:rPr>
        <w:t>发布公告之日之前就相关报表达成一致，基金管理人有权按照其编制的报表对外发布公告，基金托管人有权就相关情况报中国证监会备案。</w:t>
      </w:r>
    </w:p>
    <w:p w14:paraId="74F417FE" w14:textId="77777777" w:rsidR="00737A1E" w:rsidRDefault="00737A1E">
      <w:pPr>
        <w:pStyle w:val="34"/>
        <w:spacing w:before="100" w:beforeAutospacing="1" w:after="100" w:afterAutospacing="1" w:line="400" w:lineRule="exact"/>
        <w:ind w:left="0" w:right="26" w:firstLine="403"/>
        <w:rPr>
          <w:rFonts w:ascii="宋体" w:eastAsia="宋体" w:hAnsi="宋体"/>
          <w:sz w:val="21"/>
          <w:szCs w:val="21"/>
        </w:rPr>
      </w:pPr>
    </w:p>
    <w:p w14:paraId="53496EEC" w14:textId="77777777" w:rsidR="00737A1E" w:rsidRDefault="00647336">
      <w:pPr>
        <w:pStyle w:val="1"/>
        <w:spacing w:before="100" w:beforeAutospacing="1" w:after="100" w:afterAutospacing="1" w:line="400" w:lineRule="exact"/>
        <w:ind w:firstLine="422"/>
        <w:rPr>
          <w:rFonts w:ascii="宋体" w:hAnsi="宋体"/>
          <w:sz w:val="21"/>
          <w:szCs w:val="21"/>
        </w:rPr>
      </w:pPr>
      <w:bookmarkStart w:id="15" w:name="_Toc116900104"/>
      <w:r>
        <w:rPr>
          <w:rFonts w:ascii="宋体" w:hAnsi="宋体" w:hint="eastAsia"/>
          <w:sz w:val="21"/>
          <w:szCs w:val="21"/>
        </w:rPr>
        <w:t>九、基金收益分配</w:t>
      </w:r>
      <w:bookmarkEnd w:id="15"/>
    </w:p>
    <w:p w14:paraId="4331331E"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bookmarkStart w:id="16" w:name="OLE_LINK18"/>
      <w:r>
        <w:rPr>
          <w:rFonts w:ascii="宋体" w:eastAsia="宋体" w:hAnsi="宋体" w:hint="eastAsia"/>
          <w:sz w:val="21"/>
          <w:szCs w:val="21"/>
        </w:rPr>
        <w:t>（一）基金收益分配的依据</w:t>
      </w:r>
    </w:p>
    <w:p w14:paraId="261E7834" w14:textId="62B3D315"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收益分配应该符合《基金合同》关于收益分配原则的规定。</w:t>
      </w:r>
    </w:p>
    <w:p w14:paraId="79F62679"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（二）基金收益分配的时间和程序</w:t>
      </w:r>
    </w:p>
    <w:p w14:paraId="732EEA03"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1、基金收益分配方案由基金管理人根据《基金合同》的相关规定制定。</w:t>
      </w:r>
    </w:p>
    <w:p w14:paraId="69D4713E"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2、基金管理人应于收益</w:t>
      </w:r>
      <w:proofErr w:type="gramStart"/>
      <w:r>
        <w:rPr>
          <w:rFonts w:ascii="宋体" w:eastAsia="宋体" w:hAnsi="宋体" w:hint="eastAsia"/>
          <w:sz w:val="21"/>
          <w:szCs w:val="21"/>
        </w:rPr>
        <w:t>分配日</w:t>
      </w:r>
      <w:proofErr w:type="gramEnd"/>
      <w:r>
        <w:rPr>
          <w:rFonts w:ascii="宋体" w:eastAsia="宋体" w:hAnsi="宋体" w:hint="eastAsia"/>
          <w:sz w:val="21"/>
          <w:szCs w:val="21"/>
        </w:rPr>
        <w:t>之前将其制定的收益分配方案提交基金托管人复核，基</w:t>
      </w:r>
      <w:r>
        <w:rPr>
          <w:rFonts w:ascii="宋体" w:eastAsia="宋体" w:hAnsi="宋体" w:hint="eastAsia"/>
          <w:sz w:val="21"/>
          <w:szCs w:val="21"/>
        </w:rPr>
        <w:lastRenderedPageBreak/>
        <w:t>金托管人应于收到收益分配方案后完成对收益分配方案的复核，复核通过后基金管理人应当将收益分配方案及时公告；如果基金管理人与基金托管人不能于收益</w:t>
      </w:r>
      <w:proofErr w:type="gramStart"/>
      <w:r>
        <w:rPr>
          <w:rFonts w:ascii="宋体" w:eastAsia="宋体" w:hAnsi="宋体" w:hint="eastAsia"/>
          <w:sz w:val="21"/>
          <w:szCs w:val="21"/>
        </w:rPr>
        <w:t>分配日</w:t>
      </w:r>
      <w:proofErr w:type="gramEnd"/>
      <w:r>
        <w:rPr>
          <w:rFonts w:ascii="宋体" w:eastAsia="宋体" w:hAnsi="宋体" w:hint="eastAsia"/>
          <w:sz w:val="21"/>
          <w:szCs w:val="21"/>
        </w:rPr>
        <w:t>之前就收益分配方案达成一致，基金托管人有义务将收益分配方案及相关情况的说明提交中国证监会备案并书面通知基金管理人，在上述文件提交完毕之日</w:t>
      </w:r>
      <w:proofErr w:type="gramStart"/>
      <w:r>
        <w:rPr>
          <w:rFonts w:ascii="宋体" w:eastAsia="宋体" w:hAnsi="宋体" w:hint="eastAsia"/>
          <w:sz w:val="21"/>
          <w:szCs w:val="21"/>
        </w:rPr>
        <w:t>起基金</w:t>
      </w:r>
      <w:proofErr w:type="gramEnd"/>
      <w:r>
        <w:rPr>
          <w:rFonts w:ascii="宋体" w:eastAsia="宋体" w:hAnsi="宋体" w:hint="eastAsia"/>
          <w:sz w:val="21"/>
          <w:szCs w:val="21"/>
        </w:rPr>
        <w:t>管理人有权利对外公告其拟订的收益分配方案，</w:t>
      </w:r>
      <w:proofErr w:type="gramStart"/>
      <w:r>
        <w:rPr>
          <w:rFonts w:ascii="宋体" w:eastAsia="宋体" w:hAnsi="宋体" w:hint="eastAsia"/>
          <w:sz w:val="21"/>
          <w:szCs w:val="21"/>
        </w:rPr>
        <w:t>且基金</w:t>
      </w:r>
      <w:proofErr w:type="gramEnd"/>
      <w:r>
        <w:rPr>
          <w:rFonts w:ascii="宋体" w:eastAsia="宋体" w:hAnsi="宋体" w:hint="eastAsia"/>
          <w:sz w:val="21"/>
          <w:szCs w:val="21"/>
        </w:rPr>
        <w:t>托管人有义务协助基金管理人实施该收益分配方案，但有证据证明该方案违反法律法规及《基金合同》的除外。</w:t>
      </w:r>
    </w:p>
    <w:p w14:paraId="160956FB" w14:textId="1229AE41"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3、基金收益分配可采用现金红利的方式，或者将现金红利自动转为同一类别基金份额进行再投资的方式（下称“再投资方式”），投资者可以选择两种方式中的一种；如果投资者没有明示选择，则视为选择现金红利的方式处理。</w:t>
      </w:r>
    </w:p>
    <w:p w14:paraId="7F5A8D88"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4、基金托管人根据基金管理人的收益分配方案和提供的现金红利金额的数据，在红利发放日将分红资金划入基金管理人指定账户。如果投资者选择转购基金份额，基金管理人和基金托管人则应当进行红利再投资的账务处理。</w:t>
      </w:r>
    </w:p>
    <w:p w14:paraId="4FF49D01" w14:textId="77777777" w:rsidR="00737A1E" w:rsidRDefault="00647336">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5、本基金实施</w:t>
      </w:r>
      <w:proofErr w:type="gramStart"/>
      <w:r>
        <w:rPr>
          <w:rFonts w:ascii="宋体" w:eastAsia="宋体" w:hAnsi="宋体" w:hint="eastAsia"/>
          <w:sz w:val="21"/>
          <w:szCs w:val="21"/>
        </w:rPr>
        <w:t>侧袋机制</w:t>
      </w:r>
      <w:proofErr w:type="gramEnd"/>
      <w:r>
        <w:rPr>
          <w:rFonts w:ascii="宋体" w:eastAsia="宋体" w:hAnsi="宋体" w:hint="eastAsia"/>
          <w:sz w:val="21"/>
          <w:szCs w:val="21"/>
        </w:rPr>
        <w:t>的，</w:t>
      </w:r>
      <w:proofErr w:type="gramStart"/>
      <w:r>
        <w:rPr>
          <w:rFonts w:ascii="宋体" w:eastAsia="宋体" w:hAnsi="宋体" w:hint="eastAsia"/>
          <w:sz w:val="21"/>
          <w:szCs w:val="21"/>
        </w:rPr>
        <w:t>侧袋账户</w:t>
      </w:r>
      <w:proofErr w:type="gramEnd"/>
      <w:r>
        <w:rPr>
          <w:rFonts w:ascii="宋体" w:eastAsia="宋体" w:hAnsi="宋体" w:hint="eastAsia"/>
          <w:sz w:val="21"/>
          <w:szCs w:val="21"/>
        </w:rPr>
        <w:t>不进行收益分配。</w:t>
      </w:r>
      <w:bookmarkEnd w:id="16"/>
    </w:p>
    <w:p w14:paraId="76382047" w14:textId="77777777" w:rsidR="00737A1E" w:rsidRDefault="00737A1E">
      <w:pPr>
        <w:pStyle w:val="34"/>
        <w:spacing w:before="100" w:beforeAutospacing="1" w:after="100" w:afterAutospacing="1" w:line="400" w:lineRule="exact"/>
        <w:ind w:left="0" w:right="26" w:firstLine="403"/>
        <w:rPr>
          <w:rFonts w:ascii="宋体" w:eastAsia="宋体" w:hAnsi="宋体"/>
          <w:sz w:val="21"/>
          <w:szCs w:val="21"/>
        </w:rPr>
      </w:pPr>
    </w:p>
    <w:p w14:paraId="623B39BA" w14:textId="77777777" w:rsidR="00737A1E" w:rsidRDefault="00647336">
      <w:pPr>
        <w:pStyle w:val="1"/>
        <w:spacing w:before="100" w:beforeAutospacing="1" w:after="100" w:afterAutospacing="1" w:line="400" w:lineRule="exact"/>
        <w:ind w:firstLine="422"/>
        <w:rPr>
          <w:rFonts w:ascii="宋体" w:hAnsi="宋体"/>
          <w:sz w:val="21"/>
          <w:szCs w:val="21"/>
        </w:rPr>
      </w:pPr>
      <w:bookmarkStart w:id="17" w:name="_Hlt82414846"/>
      <w:bookmarkStart w:id="18" w:name="_Toc116900105"/>
      <w:bookmarkEnd w:id="17"/>
      <w:r>
        <w:rPr>
          <w:rFonts w:ascii="宋体" w:hAnsi="宋体" w:hint="eastAsia"/>
          <w:sz w:val="21"/>
          <w:szCs w:val="21"/>
        </w:rPr>
        <w:t>十、基金信息披露</w:t>
      </w:r>
      <w:bookmarkEnd w:id="18"/>
    </w:p>
    <w:p w14:paraId="1522912E"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（一）保密义务</w:t>
      </w:r>
    </w:p>
    <w:p w14:paraId="6A2847C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除按照法律法规中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0CF7C9B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1、非因基金管理人和基金托管人的原因导致保密信息被披露、泄露或公开；</w:t>
      </w:r>
    </w:p>
    <w:p w14:paraId="19030CA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2、基金管理人和基金托管人为遵守和服从法院判决、仲裁裁决或中国证监会等监管机构的命令、决定所做出的信息披露或公开；</w:t>
      </w:r>
    </w:p>
    <w:p w14:paraId="25088CC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3、因审计、法律等专业服务向外部专业顾问提供信息，并要求专业顾问遵守保密义务。</w:t>
      </w:r>
    </w:p>
    <w:p w14:paraId="540E682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（二）基金管理人和基金托管人在信息披露中的职责和信息披露程序</w:t>
      </w:r>
    </w:p>
    <w:p w14:paraId="47BF0F57"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1、基金管理人和基金托管人应根据相关法律法规、《基金合同》的规定各自承担相应的信息披露职责。</w:t>
      </w:r>
    </w:p>
    <w:p w14:paraId="07BC4EA8"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本基金信息披露的所有文件，包括《基金合同》和本协议规定的定期报告、临时报告、基金产品资料概要、基金净值信息及其他必要的公告文件，由基金管理人和基金托管人按照有关法律法规的规定予以公布。</w:t>
      </w:r>
    </w:p>
    <w:p w14:paraId="5E223289" w14:textId="3FA1C3AA"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3、基金年度报告中的财务会计报告必须</w:t>
      </w:r>
      <w:proofErr w:type="gramStart"/>
      <w:r>
        <w:rPr>
          <w:rFonts w:ascii="宋体" w:eastAsia="宋体" w:hint="eastAsia"/>
          <w:color w:val="auto"/>
          <w:sz w:val="21"/>
          <w:szCs w:val="21"/>
        </w:rPr>
        <w:t>经符合</w:t>
      </w:r>
      <w:proofErr w:type="gramEnd"/>
      <w:r>
        <w:rPr>
          <w:rFonts w:ascii="宋体" w:eastAsia="宋体" w:hint="eastAsia"/>
          <w:color w:val="auto"/>
          <w:sz w:val="21"/>
          <w:szCs w:val="21"/>
        </w:rPr>
        <w:t>《证券法》规定的会计师事务所审计。</w:t>
      </w:r>
    </w:p>
    <w:p w14:paraId="60F991C0" w14:textId="2407B89F"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本基金的信息披露，应通过中国证监会规定媒介进行；基金管理人、基金托管人可以根据需要在其他公共媒介披露信息，但是其他公共媒介不得早于规定媒介披露信息，并且在不同媒介上披露同一信息的内容应当一致。</w:t>
      </w:r>
    </w:p>
    <w:p w14:paraId="615966B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5、信息文本的存放与备查</w:t>
      </w:r>
    </w:p>
    <w:p w14:paraId="3DC74165" w14:textId="664FD9BE"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依法必须</w:t>
      </w:r>
      <w:r>
        <w:rPr>
          <w:rFonts w:ascii="宋体" w:eastAsia="宋体"/>
          <w:color w:val="auto"/>
          <w:sz w:val="21"/>
          <w:szCs w:val="21"/>
        </w:rPr>
        <w:t>披露的信息发布后，基金管理人、基金托管人应当按照相关法律法规</w:t>
      </w:r>
      <w:r>
        <w:rPr>
          <w:rFonts w:ascii="宋体" w:eastAsia="宋体" w:hint="eastAsia"/>
          <w:color w:val="auto"/>
          <w:sz w:val="21"/>
          <w:szCs w:val="21"/>
        </w:rPr>
        <w:t>规定</w:t>
      </w:r>
      <w:r>
        <w:rPr>
          <w:rFonts w:ascii="宋体" w:eastAsia="宋体"/>
          <w:color w:val="auto"/>
          <w:sz w:val="21"/>
          <w:szCs w:val="21"/>
        </w:rPr>
        <w:t>将信息</w:t>
      </w:r>
      <w:r>
        <w:rPr>
          <w:rFonts w:ascii="宋体" w:eastAsia="宋体" w:hint="eastAsia"/>
          <w:color w:val="auto"/>
          <w:sz w:val="21"/>
          <w:szCs w:val="21"/>
        </w:rPr>
        <w:t>置备于各自</w:t>
      </w:r>
      <w:r>
        <w:rPr>
          <w:rFonts w:ascii="宋体" w:eastAsia="宋体"/>
          <w:color w:val="auto"/>
          <w:sz w:val="21"/>
          <w:szCs w:val="21"/>
        </w:rPr>
        <w:t>住所，供社会公众查阅、复制。</w:t>
      </w:r>
    </w:p>
    <w:p w14:paraId="20248647"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基金管理人和基金托管人应保证文本的内容与所公告的内容完全一致。</w:t>
      </w:r>
    </w:p>
    <w:p w14:paraId="34400951"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hint="eastAsia"/>
          <w:szCs w:val="21"/>
        </w:rPr>
        <w:t>6、</w:t>
      </w:r>
      <w:r>
        <w:rPr>
          <w:rFonts w:ascii="宋体" w:hAnsi="宋体" w:cs="方正仿宋简体" w:hint="eastAsia"/>
          <w:szCs w:val="21"/>
        </w:rPr>
        <w:t>对于因不可抗力等原因导致基金信息的暂停或延迟披露的（如暂停披露基金净值信息），基金管理人应及时向中国证监会报告，并与基金托管人协商采取补救措施。不可抗力等情形消失后，基金管理人和基金托管人应及时恢复办理信息披露。</w:t>
      </w:r>
    </w:p>
    <w:p w14:paraId="17B232C2"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szCs w:val="21"/>
        </w:rPr>
        <w:t>7</w:t>
      </w:r>
      <w:r>
        <w:rPr>
          <w:rFonts w:ascii="宋体" w:hAnsi="宋体" w:cs="方正仿宋简体" w:hint="eastAsia"/>
          <w:szCs w:val="21"/>
        </w:rPr>
        <w:t>、本基金实施</w:t>
      </w:r>
      <w:proofErr w:type="gramStart"/>
      <w:r>
        <w:rPr>
          <w:rFonts w:ascii="宋体" w:hAnsi="宋体" w:cs="方正仿宋简体" w:hint="eastAsia"/>
          <w:szCs w:val="21"/>
        </w:rPr>
        <w:t>侧袋机制</w:t>
      </w:r>
      <w:proofErr w:type="gramEnd"/>
      <w:r>
        <w:rPr>
          <w:rFonts w:ascii="宋体" w:hAnsi="宋体" w:cs="方正仿宋简体" w:hint="eastAsia"/>
          <w:szCs w:val="21"/>
        </w:rPr>
        <w:t>的，相关信息披露义务人应当根据法律法规、基金合同和招募说明书的规定进行信息披露。</w:t>
      </w:r>
    </w:p>
    <w:p w14:paraId="258328E6" w14:textId="77777777" w:rsidR="00737A1E" w:rsidRDefault="00737A1E">
      <w:pPr>
        <w:snapToGrid w:val="0"/>
        <w:spacing w:before="100" w:beforeAutospacing="1" w:after="100" w:afterAutospacing="1" w:line="400" w:lineRule="exact"/>
        <w:ind w:firstLine="420"/>
        <w:rPr>
          <w:rFonts w:ascii="宋体" w:hAnsi="宋体"/>
          <w:szCs w:val="21"/>
        </w:rPr>
      </w:pPr>
    </w:p>
    <w:p w14:paraId="33C4CCF5" w14:textId="77777777" w:rsidR="00737A1E" w:rsidRDefault="00647336">
      <w:pPr>
        <w:pStyle w:val="af1"/>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rPr>
        <w:t>（三）基金托管人报告</w:t>
      </w:r>
    </w:p>
    <w:p w14:paraId="1FF79ED5" w14:textId="77777777" w:rsidR="00737A1E" w:rsidRDefault="00647336">
      <w:pPr>
        <w:pStyle w:val="af1"/>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rPr>
        <w:t>基金托管人应按《基金法》、《运作办法》、《信息披露办法》和其他有关法律法规的规定于每个上半年度结束后两个月内、每个会计年度结束后三个月</w:t>
      </w:r>
      <w:proofErr w:type="gramStart"/>
      <w:r>
        <w:rPr>
          <w:rFonts w:ascii="宋体" w:eastAsia="宋体" w:cs="方正仿宋简体" w:hint="eastAsia"/>
          <w:color w:val="auto"/>
          <w:sz w:val="21"/>
          <w:szCs w:val="21"/>
        </w:rPr>
        <w:t>内在基金</w:t>
      </w:r>
      <w:proofErr w:type="gramEnd"/>
      <w:r>
        <w:rPr>
          <w:rFonts w:ascii="宋体" w:eastAsia="宋体" w:cs="方正仿宋简体" w:hint="eastAsia"/>
          <w:color w:val="auto"/>
          <w:sz w:val="21"/>
          <w:szCs w:val="21"/>
        </w:rPr>
        <w:t>中期报告及年度报告中分别出具托管人报告。</w:t>
      </w:r>
    </w:p>
    <w:p w14:paraId="79952452" w14:textId="77777777" w:rsidR="00737A1E" w:rsidRDefault="00737A1E">
      <w:pPr>
        <w:pStyle w:val="af1"/>
        <w:spacing w:before="100" w:beforeAutospacing="1" w:after="100" w:afterAutospacing="1"/>
        <w:ind w:firstLine="403"/>
        <w:rPr>
          <w:rFonts w:ascii="宋体" w:eastAsia="宋体"/>
          <w:color w:val="auto"/>
          <w:sz w:val="21"/>
          <w:szCs w:val="21"/>
        </w:rPr>
      </w:pPr>
    </w:p>
    <w:p w14:paraId="699F60E9" w14:textId="77777777" w:rsidR="00737A1E" w:rsidRDefault="00647336">
      <w:pPr>
        <w:pStyle w:val="1"/>
        <w:spacing w:before="100" w:beforeAutospacing="1" w:after="100" w:afterAutospacing="1" w:line="400" w:lineRule="exact"/>
        <w:ind w:firstLine="422"/>
        <w:rPr>
          <w:rFonts w:ascii="宋体" w:hAnsi="宋体"/>
          <w:sz w:val="21"/>
          <w:szCs w:val="21"/>
        </w:rPr>
      </w:pPr>
      <w:bookmarkStart w:id="19" w:name="_Toc116900106"/>
      <w:r>
        <w:rPr>
          <w:rFonts w:ascii="宋体" w:hAnsi="宋体" w:hint="eastAsia"/>
          <w:sz w:val="21"/>
          <w:szCs w:val="21"/>
        </w:rPr>
        <w:lastRenderedPageBreak/>
        <w:t>十一、基金费用</w:t>
      </w:r>
    </w:p>
    <w:p w14:paraId="2255C60E" w14:textId="77777777"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（一）基金管理人的管理费</w:t>
      </w:r>
    </w:p>
    <w:p w14:paraId="4F9BC0C8" w14:textId="691C4691"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本基金的管理费按前一日基金资产净值的</w:t>
      </w:r>
      <w:r>
        <w:rPr>
          <w:rFonts w:ascii="宋体" w:hAnsi="宋体"/>
          <w:szCs w:val="21"/>
        </w:rPr>
        <w:t>1.2</w:t>
      </w:r>
      <w:r>
        <w:rPr>
          <w:rFonts w:ascii="宋体" w:hAnsi="宋体" w:hint="eastAsia"/>
          <w:szCs w:val="21"/>
        </w:rPr>
        <w:t>%年费率计提。管理费的计算方法如下：</w:t>
      </w:r>
    </w:p>
    <w:p w14:paraId="253F8D41" w14:textId="5868B685"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H＝E×年管理费率÷当年天数</w:t>
      </w:r>
    </w:p>
    <w:p w14:paraId="121AACDD" w14:textId="77777777"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H为每日应计提的基金管理费</w:t>
      </w:r>
    </w:p>
    <w:p w14:paraId="2466613F" w14:textId="77777777" w:rsidR="00737A1E" w:rsidRDefault="00647336">
      <w:pPr>
        <w:spacing w:before="100" w:beforeAutospacing="1" w:after="100" w:afterAutospacing="1" w:line="400" w:lineRule="exact"/>
        <w:ind w:right="26" w:firstLine="403"/>
        <w:rPr>
          <w:rFonts w:ascii="宋体" w:hAnsi="宋体"/>
          <w:szCs w:val="21"/>
        </w:rPr>
      </w:pPr>
      <w:r>
        <w:rPr>
          <w:rFonts w:ascii="宋体" w:hAnsi="宋体" w:hint="eastAsia"/>
          <w:szCs w:val="21"/>
        </w:rPr>
        <w:t>E为前一日的基金资产净值</w:t>
      </w:r>
    </w:p>
    <w:p w14:paraId="06AD61E4" w14:textId="1EA84683" w:rsidR="00737A1E" w:rsidRDefault="00647336">
      <w:pPr>
        <w:spacing w:before="100" w:beforeAutospacing="1" w:after="100" w:afterAutospacing="1" w:line="400" w:lineRule="exact"/>
        <w:ind w:firstLine="420"/>
        <w:rPr>
          <w:rFonts w:ascii="宋体" w:hAnsi="宋体"/>
          <w:szCs w:val="21"/>
        </w:rPr>
      </w:pPr>
      <w:r>
        <w:rPr>
          <w:rFonts w:ascii="宋体" w:hAnsi="宋体" w:hint="eastAsia"/>
          <w:szCs w:val="21"/>
        </w:rPr>
        <w:t>基金管理费每日计算，逐日累计至每月月末，按月支付，由基金托管人根据与基金管理人核对一致的财务数据，自动在月初5</w:t>
      </w:r>
      <w:proofErr w:type="gramStart"/>
      <w:r>
        <w:rPr>
          <w:rFonts w:ascii="宋体" w:hAnsi="宋体" w:hint="eastAsia"/>
          <w:szCs w:val="21"/>
        </w:rPr>
        <w:t>个</w:t>
      </w:r>
      <w:proofErr w:type="gramEnd"/>
      <w:r>
        <w:rPr>
          <w:rFonts w:ascii="宋体" w:hAnsi="宋体" w:hint="eastAsia"/>
          <w:szCs w:val="21"/>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44911D8D" w14:textId="77777777" w:rsidR="00737A1E" w:rsidRDefault="00647336">
      <w:pPr>
        <w:spacing w:before="100" w:beforeAutospacing="1" w:after="100" w:afterAutospacing="1" w:line="400" w:lineRule="exact"/>
        <w:ind w:firstLine="538"/>
        <w:rPr>
          <w:rFonts w:ascii="宋体"/>
        </w:rPr>
      </w:pPr>
      <w:r>
        <w:rPr>
          <w:rFonts w:ascii="宋体" w:hint="eastAsia"/>
        </w:rPr>
        <w:t>（二）基金托管人的托管费</w:t>
      </w:r>
    </w:p>
    <w:p w14:paraId="0E278D22" w14:textId="6A134B64" w:rsidR="00737A1E" w:rsidRDefault="00647336">
      <w:pPr>
        <w:spacing w:before="100" w:beforeAutospacing="1" w:after="100" w:afterAutospacing="1" w:line="400" w:lineRule="exact"/>
        <w:ind w:firstLine="538"/>
        <w:rPr>
          <w:rFonts w:ascii="宋体" w:hAnsi="宋体"/>
          <w:szCs w:val="21"/>
        </w:rPr>
      </w:pPr>
      <w:r>
        <w:rPr>
          <w:rFonts w:ascii="宋体" w:hAnsi="宋体" w:hint="eastAsia"/>
          <w:szCs w:val="21"/>
        </w:rPr>
        <w:t>本基金的托管费按前一日基金资产净值的0.</w:t>
      </w:r>
      <w:r>
        <w:rPr>
          <w:rFonts w:ascii="宋体" w:hAnsi="宋体"/>
          <w:szCs w:val="21"/>
        </w:rPr>
        <w:t>2</w:t>
      </w:r>
      <w:r>
        <w:rPr>
          <w:rFonts w:ascii="宋体" w:hAnsi="宋体" w:hint="eastAsia"/>
          <w:szCs w:val="21"/>
        </w:rPr>
        <w:t>%的年费率计提。托管费的计算方法如下：</w:t>
      </w:r>
    </w:p>
    <w:p w14:paraId="1E5DFBD7" w14:textId="568C193E" w:rsidR="00737A1E" w:rsidRDefault="00647336">
      <w:pPr>
        <w:spacing w:before="100" w:beforeAutospacing="1" w:after="100" w:afterAutospacing="1" w:line="400" w:lineRule="exact"/>
        <w:ind w:firstLine="538"/>
        <w:rPr>
          <w:rFonts w:ascii="宋体" w:hAnsi="宋体"/>
          <w:szCs w:val="21"/>
        </w:rPr>
      </w:pPr>
      <w:r>
        <w:rPr>
          <w:rFonts w:ascii="宋体" w:hAnsi="宋体" w:hint="eastAsia"/>
          <w:szCs w:val="21"/>
        </w:rPr>
        <w:t>H＝E×年托管费率÷当年天数</w:t>
      </w:r>
    </w:p>
    <w:p w14:paraId="16931A36" w14:textId="77777777" w:rsidR="00737A1E" w:rsidRDefault="00647336">
      <w:pPr>
        <w:spacing w:before="100" w:beforeAutospacing="1" w:after="100" w:afterAutospacing="1" w:line="400" w:lineRule="exact"/>
        <w:ind w:firstLine="538"/>
        <w:rPr>
          <w:rFonts w:ascii="宋体" w:hAnsi="宋体"/>
          <w:szCs w:val="21"/>
        </w:rPr>
      </w:pPr>
      <w:r>
        <w:rPr>
          <w:rFonts w:ascii="宋体" w:hAnsi="宋体" w:hint="eastAsia"/>
          <w:szCs w:val="21"/>
        </w:rPr>
        <w:t>H为每日应计提的基金托管费</w:t>
      </w:r>
    </w:p>
    <w:p w14:paraId="24613873" w14:textId="77777777" w:rsidR="00737A1E" w:rsidRDefault="00647336">
      <w:pPr>
        <w:spacing w:before="100" w:beforeAutospacing="1" w:after="100" w:afterAutospacing="1" w:line="400" w:lineRule="exact"/>
        <w:ind w:firstLine="538"/>
        <w:rPr>
          <w:rFonts w:ascii="宋体" w:hAnsi="宋体"/>
          <w:szCs w:val="21"/>
        </w:rPr>
      </w:pPr>
      <w:r>
        <w:rPr>
          <w:rFonts w:ascii="宋体" w:hAnsi="宋体" w:hint="eastAsia"/>
          <w:szCs w:val="21"/>
        </w:rPr>
        <w:t>E为前一日的基金资产净值</w:t>
      </w:r>
    </w:p>
    <w:p w14:paraId="40BF5B69" w14:textId="5EE1C4EC" w:rsidR="00737A1E" w:rsidRDefault="00647336">
      <w:pPr>
        <w:spacing w:line="360" w:lineRule="auto"/>
        <w:ind w:firstLine="420"/>
        <w:rPr>
          <w:rFonts w:ascii="宋体" w:hAnsi="宋体"/>
          <w:szCs w:val="21"/>
        </w:rPr>
      </w:pPr>
      <w:r>
        <w:rPr>
          <w:rFonts w:ascii="宋体" w:hAnsi="宋体" w:hint="eastAsia"/>
          <w:szCs w:val="21"/>
        </w:rPr>
        <w:t>基金托管费每日计算，逐日累计至每月月末，按月支付，由基金托管人根据与基金管理人核对一致的财务数据，自动在月初5</w:t>
      </w:r>
      <w:proofErr w:type="gramStart"/>
      <w:r>
        <w:rPr>
          <w:rFonts w:ascii="宋体" w:hAnsi="宋体" w:hint="eastAsia"/>
          <w:szCs w:val="21"/>
        </w:rPr>
        <w:t>个</w:t>
      </w:r>
      <w:proofErr w:type="gramEnd"/>
      <w:r>
        <w:rPr>
          <w:rFonts w:ascii="宋体" w:hAnsi="宋体" w:hint="eastAsia"/>
          <w:szCs w:val="21"/>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08229780" w14:textId="77777777" w:rsidR="00737A1E" w:rsidRDefault="00647336">
      <w:pPr>
        <w:spacing w:line="360" w:lineRule="auto"/>
        <w:ind w:firstLine="420"/>
        <w:rPr>
          <w:rFonts w:ascii="宋体" w:hAnsi="宋体"/>
          <w:szCs w:val="21"/>
        </w:rPr>
      </w:pPr>
      <w:r>
        <w:rPr>
          <w:rFonts w:ascii="宋体" w:hAnsi="宋体" w:hint="eastAsia"/>
          <w:szCs w:val="21"/>
        </w:rPr>
        <w:t>（三）基金销售服务费</w:t>
      </w:r>
    </w:p>
    <w:p w14:paraId="321AC080" w14:textId="77777777" w:rsidR="00737A1E" w:rsidRDefault="00647336">
      <w:pPr>
        <w:spacing w:line="360" w:lineRule="auto"/>
        <w:ind w:firstLine="420"/>
        <w:rPr>
          <w:rFonts w:ascii="宋体" w:hAnsi="宋体"/>
          <w:szCs w:val="21"/>
        </w:rPr>
      </w:pPr>
      <w:r>
        <w:rPr>
          <w:rFonts w:ascii="宋体" w:hAnsi="宋体" w:hint="eastAsia"/>
          <w:szCs w:val="21"/>
        </w:rPr>
        <w:t>本基金A类基金份额不收取基金销售服务费，C类基金份额的基金销售服务费年费率为0.4%。销售服务费的计算方法如下：</w:t>
      </w:r>
    </w:p>
    <w:p w14:paraId="4757AE6A" w14:textId="77777777" w:rsidR="00737A1E" w:rsidRDefault="00647336">
      <w:pPr>
        <w:spacing w:line="360" w:lineRule="auto"/>
        <w:ind w:firstLine="420"/>
        <w:rPr>
          <w:rFonts w:ascii="宋体" w:hAnsi="宋体"/>
          <w:szCs w:val="21"/>
        </w:rPr>
      </w:pPr>
      <w:r>
        <w:rPr>
          <w:rFonts w:ascii="宋体" w:hAnsi="宋体" w:hint="eastAsia"/>
          <w:szCs w:val="21"/>
        </w:rPr>
        <w:lastRenderedPageBreak/>
        <w:t>H＝E×年销售服务费率÷当年天数</w:t>
      </w:r>
    </w:p>
    <w:p w14:paraId="09CAF007" w14:textId="77777777" w:rsidR="00737A1E" w:rsidRDefault="00647336">
      <w:pPr>
        <w:spacing w:line="360" w:lineRule="auto"/>
        <w:ind w:firstLine="420"/>
        <w:rPr>
          <w:rFonts w:ascii="宋体" w:hAnsi="宋体"/>
          <w:szCs w:val="21"/>
        </w:rPr>
      </w:pPr>
      <w:r>
        <w:rPr>
          <w:rFonts w:ascii="宋体" w:hAnsi="宋体" w:hint="eastAsia"/>
          <w:szCs w:val="21"/>
        </w:rPr>
        <w:t>H为C类基金份额每日应计提的基金销售服务费</w:t>
      </w:r>
    </w:p>
    <w:p w14:paraId="4966F603" w14:textId="46B63379" w:rsidR="00737A1E" w:rsidRDefault="00647336">
      <w:pPr>
        <w:spacing w:line="360" w:lineRule="auto"/>
        <w:ind w:firstLine="420"/>
        <w:rPr>
          <w:rFonts w:ascii="宋体" w:hAnsi="宋体"/>
          <w:szCs w:val="21"/>
        </w:rPr>
      </w:pPr>
      <w:r>
        <w:rPr>
          <w:rFonts w:ascii="宋体" w:hAnsi="宋体" w:hint="eastAsia"/>
          <w:szCs w:val="21"/>
        </w:rPr>
        <w:t>E为前一日C类基金份额的基金资产净值</w:t>
      </w:r>
    </w:p>
    <w:p w14:paraId="2358B3D1" w14:textId="77777777" w:rsidR="00964405" w:rsidRPr="00964405" w:rsidRDefault="00964405" w:rsidP="00964405">
      <w:pPr>
        <w:snapToGrid w:val="0"/>
        <w:spacing w:line="360" w:lineRule="auto"/>
        <w:ind w:firstLineChars="200" w:firstLine="420"/>
        <w:rPr>
          <w:bCs/>
          <w:szCs w:val="21"/>
        </w:rPr>
      </w:pPr>
      <w:r w:rsidRPr="00964405">
        <w:rPr>
          <w:rFonts w:hint="eastAsia"/>
          <w:bCs/>
          <w:szCs w:val="21"/>
        </w:rPr>
        <w:t>C</w:t>
      </w:r>
      <w:r w:rsidRPr="00964405">
        <w:rPr>
          <w:rFonts w:hint="eastAsia"/>
          <w:bCs/>
          <w:szCs w:val="21"/>
        </w:rPr>
        <w:t>类基金份额的销售服务费每日计提，具体收取</w:t>
      </w:r>
      <w:r w:rsidRPr="00964405">
        <w:rPr>
          <w:rFonts w:hint="eastAsia"/>
          <w:bCs/>
          <w:szCs w:val="21"/>
        </w:rPr>
        <w:t>/</w:t>
      </w:r>
      <w:r w:rsidRPr="00964405">
        <w:rPr>
          <w:rFonts w:hint="eastAsia"/>
          <w:bCs/>
          <w:szCs w:val="21"/>
        </w:rPr>
        <w:t>返还方式如下：</w:t>
      </w:r>
    </w:p>
    <w:p w14:paraId="1CF713E6" w14:textId="77777777" w:rsidR="00964405" w:rsidRPr="00964405" w:rsidRDefault="00964405" w:rsidP="00964405">
      <w:pPr>
        <w:snapToGrid w:val="0"/>
        <w:spacing w:line="360" w:lineRule="auto"/>
        <w:ind w:firstLineChars="200" w:firstLine="420"/>
        <w:rPr>
          <w:bCs/>
          <w:szCs w:val="21"/>
        </w:rPr>
      </w:pPr>
      <w:r w:rsidRPr="00964405">
        <w:rPr>
          <w:rFonts w:hint="eastAsia"/>
          <w:bCs/>
          <w:szCs w:val="21"/>
        </w:rPr>
        <w:t>（</w:t>
      </w:r>
      <w:r w:rsidRPr="00964405">
        <w:rPr>
          <w:rFonts w:hint="eastAsia"/>
          <w:bCs/>
          <w:szCs w:val="21"/>
        </w:rPr>
        <w:t>1</w:t>
      </w:r>
      <w:r w:rsidRPr="00964405">
        <w:rPr>
          <w:rFonts w:hint="eastAsia"/>
          <w:bCs/>
          <w:szCs w:val="21"/>
        </w:rPr>
        <w:t>）通过直销机构认购</w:t>
      </w:r>
      <w:r w:rsidRPr="00964405">
        <w:rPr>
          <w:rFonts w:hint="eastAsia"/>
          <w:bCs/>
          <w:szCs w:val="21"/>
        </w:rPr>
        <w:t>/</w:t>
      </w:r>
      <w:r w:rsidRPr="00964405">
        <w:rPr>
          <w:rFonts w:hint="eastAsia"/>
          <w:bCs/>
          <w:szCs w:val="21"/>
        </w:rPr>
        <w:t>申购的</w:t>
      </w:r>
      <w:r w:rsidRPr="00964405">
        <w:rPr>
          <w:rFonts w:hint="eastAsia"/>
          <w:bCs/>
          <w:szCs w:val="21"/>
        </w:rPr>
        <w:t>C</w:t>
      </w:r>
      <w:r w:rsidRPr="00964405">
        <w:rPr>
          <w:rFonts w:hint="eastAsia"/>
          <w:bCs/>
          <w:szCs w:val="21"/>
        </w:rPr>
        <w:t>类基金份额</w:t>
      </w:r>
    </w:p>
    <w:p w14:paraId="4DC31028" w14:textId="77777777" w:rsidR="00964405" w:rsidRPr="00964405" w:rsidRDefault="00964405" w:rsidP="00964405">
      <w:pPr>
        <w:snapToGrid w:val="0"/>
        <w:spacing w:line="360" w:lineRule="auto"/>
        <w:ind w:firstLineChars="200" w:firstLine="420"/>
        <w:rPr>
          <w:bCs/>
          <w:szCs w:val="21"/>
        </w:rPr>
      </w:pPr>
      <w:r w:rsidRPr="00964405">
        <w:rPr>
          <w:rFonts w:hint="eastAsia"/>
          <w:bCs/>
          <w:szCs w:val="21"/>
        </w:rPr>
        <w:t>对于</w:t>
      </w:r>
      <w:r w:rsidRPr="00964405">
        <w:rPr>
          <w:rFonts w:hint="eastAsia"/>
          <w:bCs/>
          <w:szCs w:val="21"/>
        </w:rPr>
        <w:t>C</w:t>
      </w:r>
      <w:r w:rsidRPr="00964405">
        <w:rPr>
          <w:rFonts w:hint="eastAsia"/>
          <w:bCs/>
          <w:szCs w:val="21"/>
        </w:rPr>
        <w:t>类基金份额计提的销售服务费，在投资者赎回相应基金份额或基金合同终止时，随</w:t>
      </w:r>
      <w:proofErr w:type="gramStart"/>
      <w:r w:rsidRPr="00964405">
        <w:rPr>
          <w:rFonts w:hint="eastAsia"/>
          <w:bCs/>
          <w:szCs w:val="21"/>
        </w:rPr>
        <w:t>赎回款或清算款</w:t>
      </w:r>
      <w:proofErr w:type="gramEnd"/>
      <w:r w:rsidRPr="00964405">
        <w:rPr>
          <w:rFonts w:hint="eastAsia"/>
          <w:bCs/>
          <w:szCs w:val="21"/>
        </w:rPr>
        <w:t>一并返还给投资者。</w:t>
      </w:r>
    </w:p>
    <w:p w14:paraId="4F4FB1D0" w14:textId="77777777" w:rsidR="00964405" w:rsidRPr="00964405" w:rsidRDefault="00964405" w:rsidP="00964405">
      <w:pPr>
        <w:snapToGrid w:val="0"/>
        <w:spacing w:line="360" w:lineRule="auto"/>
        <w:ind w:firstLineChars="200" w:firstLine="420"/>
        <w:rPr>
          <w:bCs/>
          <w:szCs w:val="21"/>
        </w:rPr>
      </w:pPr>
      <w:r w:rsidRPr="00964405">
        <w:rPr>
          <w:rFonts w:hint="eastAsia"/>
          <w:bCs/>
          <w:szCs w:val="21"/>
        </w:rPr>
        <w:t>（</w:t>
      </w:r>
      <w:r w:rsidRPr="00964405">
        <w:rPr>
          <w:rFonts w:hint="eastAsia"/>
          <w:bCs/>
          <w:szCs w:val="21"/>
        </w:rPr>
        <w:t>2</w:t>
      </w:r>
      <w:r w:rsidRPr="00964405">
        <w:rPr>
          <w:rFonts w:hint="eastAsia"/>
          <w:bCs/>
          <w:szCs w:val="21"/>
        </w:rPr>
        <w:t>）通过其他销售机构认购</w:t>
      </w:r>
      <w:r w:rsidRPr="00964405">
        <w:rPr>
          <w:rFonts w:hint="eastAsia"/>
          <w:bCs/>
          <w:szCs w:val="21"/>
        </w:rPr>
        <w:t>/</w:t>
      </w:r>
      <w:r w:rsidRPr="00964405">
        <w:rPr>
          <w:rFonts w:hint="eastAsia"/>
          <w:bCs/>
          <w:szCs w:val="21"/>
        </w:rPr>
        <w:t>申购的</w:t>
      </w:r>
      <w:r w:rsidRPr="00964405">
        <w:rPr>
          <w:rFonts w:hint="eastAsia"/>
          <w:bCs/>
          <w:szCs w:val="21"/>
        </w:rPr>
        <w:t>C</w:t>
      </w:r>
      <w:r w:rsidRPr="00964405">
        <w:rPr>
          <w:rFonts w:hint="eastAsia"/>
          <w:bCs/>
          <w:szCs w:val="21"/>
        </w:rPr>
        <w:t>类基金份额</w:t>
      </w:r>
    </w:p>
    <w:p w14:paraId="3F6545E4" w14:textId="77777777" w:rsidR="00964405" w:rsidRPr="00964405" w:rsidRDefault="00964405" w:rsidP="00964405">
      <w:pPr>
        <w:snapToGrid w:val="0"/>
        <w:spacing w:line="360" w:lineRule="auto"/>
        <w:ind w:firstLineChars="200" w:firstLine="420"/>
        <w:rPr>
          <w:bCs/>
          <w:szCs w:val="21"/>
        </w:rPr>
      </w:pPr>
      <w:r w:rsidRPr="00964405">
        <w:rPr>
          <w:rFonts w:hint="eastAsia"/>
          <w:bCs/>
          <w:szCs w:val="21"/>
        </w:rPr>
        <w:t>对于投资者持续持有期限未超过一年的</w:t>
      </w:r>
      <w:r w:rsidRPr="00964405">
        <w:rPr>
          <w:rFonts w:hint="eastAsia"/>
          <w:bCs/>
          <w:szCs w:val="21"/>
        </w:rPr>
        <w:t>C</w:t>
      </w:r>
      <w:r w:rsidRPr="00964405">
        <w:rPr>
          <w:rFonts w:hint="eastAsia"/>
          <w:bCs/>
          <w:szCs w:val="21"/>
        </w:rPr>
        <w:t>类基金份额计提的销售服务费，逐日累计至每月月末，按月支付</w:t>
      </w:r>
      <w:r w:rsidRPr="00964405">
        <w:rPr>
          <w:rFonts w:hint="eastAsia"/>
          <w:bCs/>
          <w:szCs w:val="21"/>
        </w:rPr>
        <w:t>,</w:t>
      </w:r>
      <w:r w:rsidRPr="00964405">
        <w:rPr>
          <w:rFonts w:hint="eastAsia"/>
          <w:bCs/>
          <w:szCs w:val="21"/>
        </w:rPr>
        <w:t>由基金托管人于次月首日起</w:t>
      </w:r>
      <w:r w:rsidRPr="00964405">
        <w:rPr>
          <w:rFonts w:hint="eastAsia"/>
          <w:bCs/>
          <w:szCs w:val="21"/>
        </w:rPr>
        <w:t>5</w:t>
      </w:r>
      <w:r w:rsidRPr="00964405">
        <w:rPr>
          <w:rFonts w:hint="eastAsia"/>
          <w:bCs/>
          <w:szCs w:val="21"/>
        </w:rPr>
        <w:t>个工作日内按照与基金管理人协商一致的方式从基金财产中一次性支付给基金管理人并由基金管理人代付给各基金销售机构。若遇法定节假日、公休日等，支付日期顺延。</w:t>
      </w:r>
    </w:p>
    <w:p w14:paraId="2B3700B0" w14:textId="77777777" w:rsidR="00964405" w:rsidRPr="00964405" w:rsidRDefault="00964405" w:rsidP="00964405">
      <w:pPr>
        <w:snapToGrid w:val="0"/>
        <w:spacing w:line="360" w:lineRule="auto"/>
        <w:ind w:firstLineChars="200" w:firstLine="420"/>
        <w:rPr>
          <w:bCs/>
          <w:szCs w:val="21"/>
        </w:rPr>
      </w:pPr>
      <w:r w:rsidRPr="00964405">
        <w:rPr>
          <w:rFonts w:hint="eastAsia"/>
          <w:bCs/>
          <w:szCs w:val="21"/>
        </w:rPr>
        <w:t>对于投资者持续持有期限超过一年的</w:t>
      </w:r>
      <w:r w:rsidRPr="00964405">
        <w:rPr>
          <w:rFonts w:hint="eastAsia"/>
          <w:bCs/>
          <w:szCs w:val="21"/>
        </w:rPr>
        <w:t>C</w:t>
      </w:r>
      <w:r w:rsidRPr="00964405">
        <w:rPr>
          <w:rFonts w:hint="eastAsia"/>
          <w:bCs/>
          <w:szCs w:val="21"/>
        </w:rPr>
        <w:t>类基金份额继续计提的销售服务费，在投资者赎回相应基金份额或基金合同终止时，随</w:t>
      </w:r>
      <w:proofErr w:type="gramStart"/>
      <w:r w:rsidRPr="00964405">
        <w:rPr>
          <w:rFonts w:hint="eastAsia"/>
          <w:bCs/>
          <w:szCs w:val="21"/>
        </w:rPr>
        <w:t>赎回款或清算款</w:t>
      </w:r>
      <w:proofErr w:type="gramEnd"/>
      <w:r w:rsidRPr="00964405">
        <w:rPr>
          <w:rFonts w:hint="eastAsia"/>
          <w:bCs/>
          <w:szCs w:val="21"/>
        </w:rPr>
        <w:t>一并返还给投资者。</w:t>
      </w:r>
    </w:p>
    <w:p w14:paraId="03BA0ED1" w14:textId="16C92625" w:rsidR="00784AEB" w:rsidRDefault="00964405" w:rsidP="00964405">
      <w:pPr>
        <w:snapToGrid w:val="0"/>
        <w:spacing w:line="360" w:lineRule="auto"/>
        <w:ind w:firstLineChars="200" w:firstLine="420"/>
        <w:rPr>
          <w:rFonts w:ascii="宋体" w:hAnsi="宋体"/>
          <w:szCs w:val="21"/>
        </w:rPr>
      </w:pPr>
      <w:r w:rsidRPr="00964405">
        <w:rPr>
          <w:rFonts w:hint="eastAsia"/>
          <w:bCs/>
          <w:szCs w:val="21"/>
        </w:rPr>
        <w:t>销售服</w:t>
      </w:r>
      <w:r>
        <w:rPr>
          <w:rFonts w:hint="eastAsia"/>
          <w:bCs/>
          <w:szCs w:val="21"/>
        </w:rPr>
        <w:t>务费计提后按规定收取或返还投资者的金额以登记机构的计算结果为准，</w:t>
      </w:r>
      <w:r w:rsidR="00784AEB" w:rsidRPr="004317E1">
        <w:rPr>
          <w:rFonts w:hint="eastAsia"/>
          <w:bCs/>
          <w:szCs w:val="21"/>
        </w:rPr>
        <w:t>托管人无需复核。</w:t>
      </w:r>
    </w:p>
    <w:p w14:paraId="1996C90E" w14:textId="164C7FA8" w:rsidR="00737A1E" w:rsidRDefault="00647336">
      <w:pPr>
        <w:spacing w:line="360" w:lineRule="auto"/>
        <w:ind w:firstLine="538"/>
        <w:rPr>
          <w:rFonts w:ascii="宋体"/>
        </w:rPr>
      </w:pPr>
      <w:r>
        <w:rPr>
          <w:rFonts w:ascii="宋体" w:hint="eastAsia"/>
          <w:szCs w:val="21"/>
        </w:rPr>
        <w:t>（四</w:t>
      </w:r>
      <w:r>
        <w:rPr>
          <w:rFonts w:ascii="宋体" w:hint="eastAsia"/>
        </w:rPr>
        <w:t>）从基金财产中列支基金管理人的管理费、基金托管人的托管费、销售服务费之外的其他基金费用，应当依据有关法律法规、《基金合同》的规定执行。</w:t>
      </w:r>
      <w:r>
        <w:rPr>
          <w:rFonts w:ascii="宋体" w:hint="eastAsia"/>
          <w:szCs w:val="21"/>
        </w:rPr>
        <w:t>本基金实施</w:t>
      </w:r>
      <w:proofErr w:type="gramStart"/>
      <w:r>
        <w:rPr>
          <w:rFonts w:ascii="宋体" w:hint="eastAsia"/>
          <w:szCs w:val="21"/>
        </w:rPr>
        <w:t>侧袋机制</w:t>
      </w:r>
      <w:proofErr w:type="gramEnd"/>
      <w:r>
        <w:rPr>
          <w:rFonts w:ascii="宋体" w:hint="eastAsia"/>
          <w:szCs w:val="21"/>
        </w:rPr>
        <w:t>的，</w:t>
      </w:r>
      <w:proofErr w:type="gramStart"/>
      <w:r>
        <w:rPr>
          <w:rFonts w:ascii="宋体" w:hint="eastAsia"/>
          <w:szCs w:val="21"/>
        </w:rPr>
        <w:t>与侧袋账户</w:t>
      </w:r>
      <w:proofErr w:type="gramEnd"/>
      <w:r>
        <w:rPr>
          <w:rFonts w:ascii="宋体" w:hint="eastAsia"/>
          <w:szCs w:val="21"/>
        </w:rPr>
        <w:t>有关的费用可以</w:t>
      </w:r>
      <w:proofErr w:type="gramStart"/>
      <w:r>
        <w:rPr>
          <w:rFonts w:ascii="宋体" w:hint="eastAsia"/>
          <w:szCs w:val="21"/>
        </w:rPr>
        <w:t>从侧袋账户</w:t>
      </w:r>
      <w:proofErr w:type="gramEnd"/>
      <w:r>
        <w:rPr>
          <w:rFonts w:ascii="宋体" w:hint="eastAsia"/>
          <w:szCs w:val="21"/>
        </w:rPr>
        <w:t>中列支，但应</w:t>
      </w:r>
      <w:proofErr w:type="gramStart"/>
      <w:r>
        <w:rPr>
          <w:rFonts w:ascii="宋体" w:hint="eastAsia"/>
          <w:szCs w:val="21"/>
        </w:rPr>
        <w:t>待侧袋</w:t>
      </w:r>
      <w:proofErr w:type="gramEnd"/>
      <w:r>
        <w:rPr>
          <w:rFonts w:ascii="宋体" w:hint="eastAsia"/>
          <w:szCs w:val="21"/>
        </w:rPr>
        <w:t>账户资产变现后方可列支，有关费用可酌情收取或减免，但不得收取管理费。</w:t>
      </w:r>
    </w:p>
    <w:p w14:paraId="48ABE3EB" w14:textId="0FCA156B"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（五）对于</w:t>
      </w:r>
      <w:r>
        <w:rPr>
          <w:rFonts w:ascii="宋体" w:eastAsia="宋体" w:cs="方正仿宋简体" w:hint="eastAsia"/>
          <w:sz w:val="21"/>
          <w:szCs w:val="21"/>
        </w:rPr>
        <w:t>违反法律法规、</w:t>
      </w:r>
      <w:r>
        <w:rPr>
          <w:rFonts w:ascii="宋体" w:eastAsia="宋体" w:hint="eastAsia"/>
          <w:color w:val="auto"/>
          <w:sz w:val="21"/>
          <w:szCs w:val="21"/>
        </w:rPr>
        <w:t>《基金合同》</w:t>
      </w:r>
      <w:r>
        <w:rPr>
          <w:rFonts w:ascii="宋体" w:eastAsia="宋体" w:cs="方正仿宋简体" w:hint="eastAsia"/>
          <w:sz w:val="21"/>
          <w:szCs w:val="21"/>
        </w:rPr>
        <w:t>、本协议及其他有关规定</w:t>
      </w:r>
      <w:r>
        <w:rPr>
          <w:rFonts w:ascii="宋体" w:eastAsia="宋体" w:hint="eastAsia"/>
          <w:color w:val="auto"/>
          <w:sz w:val="21"/>
          <w:szCs w:val="21"/>
        </w:rPr>
        <w:t>（包括基金费用的计提方法、计提标准、支付方式等）的基金费用，不得从任何基金财产中列支。</w:t>
      </w:r>
    </w:p>
    <w:p w14:paraId="0553934E" w14:textId="56A464FD"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（六）本基金支付给基金管理人、基金托管人的各项费用均为含税价格，具体税率适用中国税务机关的相关规定。</w:t>
      </w:r>
    </w:p>
    <w:p w14:paraId="7246BE25" w14:textId="77777777" w:rsidR="00737A1E" w:rsidRDefault="00737A1E">
      <w:pPr>
        <w:pStyle w:val="af1"/>
        <w:spacing w:before="100" w:beforeAutospacing="1" w:after="100" w:afterAutospacing="1"/>
        <w:ind w:firstLine="403"/>
        <w:rPr>
          <w:rFonts w:ascii="宋体" w:eastAsia="宋体"/>
          <w:color w:val="auto"/>
          <w:sz w:val="21"/>
          <w:szCs w:val="21"/>
        </w:rPr>
      </w:pPr>
    </w:p>
    <w:p w14:paraId="1EF99518" w14:textId="77777777" w:rsidR="00737A1E" w:rsidRDefault="00647336">
      <w:pPr>
        <w:pStyle w:val="1"/>
        <w:spacing w:before="100" w:beforeAutospacing="1" w:after="100" w:afterAutospacing="1" w:line="400" w:lineRule="exact"/>
        <w:ind w:firstLine="422"/>
        <w:rPr>
          <w:rFonts w:ascii="宋体" w:hAnsi="宋体"/>
          <w:sz w:val="21"/>
          <w:szCs w:val="21"/>
          <w:highlight w:val="lightGray"/>
        </w:rPr>
      </w:pPr>
      <w:bookmarkStart w:id="20" w:name="_Toc116900107"/>
      <w:bookmarkEnd w:id="19"/>
      <w:r>
        <w:rPr>
          <w:rFonts w:ascii="宋体" w:hAnsi="宋体" w:hint="eastAsia"/>
          <w:sz w:val="21"/>
          <w:szCs w:val="21"/>
        </w:rPr>
        <w:t>十二、基金份额持有人名册的保管</w:t>
      </w:r>
    </w:p>
    <w:p w14:paraId="67D972BD" w14:textId="77777777" w:rsidR="00737A1E" w:rsidRDefault="00647336">
      <w:pPr>
        <w:spacing w:before="100" w:beforeAutospacing="1" w:after="100" w:afterAutospacing="1" w:line="400" w:lineRule="exact"/>
        <w:ind w:firstLine="420"/>
        <w:rPr>
          <w:rFonts w:ascii="宋体" w:hAnsi="宋体"/>
          <w:color w:val="000000"/>
          <w:szCs w:val="21"/>
        </w:rPr>
      </w:pPr>
      <w:r>
        <w:rPr>
          <w:rFonts w:ascii="宋体" w:hint="eastAsia"/>
        </w:rPr>
        <w:t>基金份额持有人名册</w:t>
      </w:r>
      <w:r>
        <w:rPr>
          <w:rFonts w:ascii="宋体" w:hint="eastAsia"/>
          <w:b/>
          <w:szCs w:val="21"/>
        </w:rPr>
        <w:t>至少应</w:t>
      </w:r>
      <w:r>
        <w:rPr>
          <w:rFonts w:ascii="宋体" w:hint="eastAsia"/>
        </w:rPr>
        <w:t>包括基金份额持有人的名称和持有的基金份额。</w:t>
      </w:r>
      <w:r>
        <w:rPr>
          <w:rFonts w:ascii="宋体" w:hint="eastAsia"/>
          <w:b/>
          <w:szCs w:val="21"/>
        </w:rPr>
        <w:t>基金份额持有人名册由</w:t>
      </w:r>
      <w:r>
        <w:rPr>
          <w:rFonts w:ascii="宋体" w:hint="eastAsia"/>
        </w:rPr>
        <w:t>基金登记</w:t>
      </w:r>
      <w:r>
        <w:rPr>
          <w:rFonts w:ascii="宋体" w:hint="eastAsia"/>
          <w:b/>
          <w:szCs w:val="21"/>
        </w:rPr>
        <w:t>机构根据</w:t>
      </w:r>
      <w:r>
        <w:rPr>
          <w:rFonts w:ascii="宋体" w:hint="eastAsia"/>
        </w:rPr>
        <w:t>基金管理人</w:t>
      </w:r>
      <w:r>
        <w:rPr>
          <w:rFonts w:ascii="宋体" w:hint="eastAsia"/>
          <w:b/>
          <w:szCs w:val="21"/>
        </w:rPr>
        <w:t>的指令编制和保管，基金管理人和</w:t>
      </w:r>
      <w:r>
        <w:rPr>
          <w:rFonts w:ascii="宋体" w:hint="eastAsia"/>
        </w:rPr>
        <w:t>基金托管人</w:t>
      </w:r>
      <w:r>
        <w:rPr>
          <w:rFonts w:ascii="宋体" w:hAnsi="宋体" w:hint="eastAsia"/>
          <w:color w:val="000000"/>
          <w:szCs w:val="21"/>
        </w:rPr>
        <w:t>应分别保管基金份额持有人名册，基金登记机构保存期不少于20年，法律法规另有规定或</w:t>
      </w:r>
      <w:r>
        <w:rPr>
          <w:rFonts w:ascii="宋体" w:hAnsi="宋体" w:hint="eastAsia"/>
          <w:color w:val="000000"/>
          <w:szCs w:val="21"/>
        </w:rPr>
        <w:lastRenderedPageBreak/>
        <w:t>有权机关另有要求的除外。如不能妥善保管，则按相关法律法规承担责任。</w:t>
      </w:r>
    </w:p>
    <w:p w14:paraId="1C139F45" w14:textId="77777777" w:rsidR="00737A1E" w:rsidRDefault="00647336">
      <w:pPr>
        <w:spacing w:before="100" w:beforeAutospacing="1" w:after="100" w:afterAutospacing="1" w:line="400" w:lineRule="exact"/>
        <w:ind w:firstLine="420"/>
        <w:rPr>
          <w:rFonts w:ascii="宋体" w:hAnsi="宋体"/>
          <w:color w:val="FF0000"/>
          <w:szCs w:val="21"/>
          <w:highlight w:val="lightGray"/>
        </w:rPr>
      </w:pPr>
      <w:r>
        <w:rPr>
          <w:rFonts w:ascii="宋体" w:hAnsi="宋体" w:hint="eastAsia"/>
          <w:color w:val="000000"/>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37D1CF0B" w14:textId="77777777" w:rsidR="00737A1E" w:rsidRDefault="00647336">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十三、基金有关文件档案的保存</w:t>
      </w:r>
    </w:p>
    <w:p w14:paraId="07009C9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w:t>
      </w:r>
      <w:r>
        <w:rPr>
          <w:rFonts w:ascii="宋体" w:eastAsia="宋体" w:cs="方正仿宋简体" w:hint="eastAsia"/>
          <w:sz w:val="21"/>
          <w:szCs w:val="21"/>
        </w:rPr>
        <w:t>基金管理人应保存基金财产管理业务活动的记录、账册、报表和其他相关资料，基金托管人应保存基金托管业务活动的记录、账册、报表和其他相关资料，保存期限</w:t>
      </w:r>
      <w:r>
        <w:rPr>
          <w:rFonts w:ascii="宋体" w:eastAsia="宋体" w:cs="方正仿宋简体" w:hint="eastAsia"/>
          <w:color w:val="auto"/>
          <w:sz w:val="21"/>
          <w:szCs w:val="21"/>
        </w:rPr>
        <w:t>不少于法律法规规定的期限</w:t>
      </w:r>
      <w:r>
        <w:rPr>
          <w:rFonts w:ascii="宋体" w:eastAsia="宋体" w:cs="方正仿宋简体" w:hint="eastAsia"/>
          <w:sz w:val="21"/>
          <w:szCs w:val="21"/>
        </w:rPr>
        <w:t>。</w:t>
      </w:r>
    </w:p>
    <w:p w14:paraId="3D83D3D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（二）基金管理人和基金托管人应按本协议第十条的约定对各自保存的文件和档案履行保密义务。</w:t>
      </w:r>
    </w:p>
    <w:p w14:paraId="05621B60" w14:textId="77777777" w:rsidR="00737A1E" w:rsidRDefault="00737A1E">
      <w:pPr>
        <w:spacing w:before="100" w:beforeAutospacing="1" w:after="100" w:afterAutospacing="1" w:line="400" w:lineRule="exact"/>
        <w:rPr>
          <w:rFonts w:ascii="宋体" w:hAnsi="宋体"/>
          <w:szCs w:val="21"/>
        </w:rPr>
      </w:pPr>
    </w:p>
    <w:p w14:paraId="1FC0DD8F" w14:textId="77777777" w:rsidR="00737A1E" w:rsidRDefault="00647336">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十四、</w:t>
      </w:r>
      <w:bookmarkStart w:id="21" w:name="_Toc116900108"/>
      <w:bookmarkEnd w:id="20"/>
      <w:r>
        <w:rPr>
          <w:rFonts w:ascii="宋体" w:hAnsi="宋体" w:hint="eastAsia"/>
          <w:sz w:val="21"/>
          <w:szCs w:val="21"/>
        </w:rPr>
        <w:t>基金托管人和基金管理人的更换</w:t>
      </w:r>
      <w:bookmarkEnd w:id="21"/>
      <w:r>
        <w:rPr>
          <w:rFonts w:ascii="宋体" w:hAnsi="宋体" w:hint="eastAsia"/>
          <w:sz w:val="21"/>
          <w:szCs w:val="21"/>
        </w:rPr>
        <w:t xml:space="preserve"> </w:t>
      </w:r>
    </w:p>
    <w:p w14:paraId="45008CD1" w14:textId="77777777" w:rsidR="00737A1E" w:rsidRDefault="00647336">
      <w:pPr>
        <w:spacing w:before="100" w:beforeAutospacing="1" w:after="100" w:afterAutospacing="1" w:line="400" w:lineRule="exact"/>
        <w:ind w:firstLine="420"/>
        <w:rPr>
          <w:rFonts w:ascii="宋体" w:hAnsi="宋体"/>
          <w:szCs w:val="21"/>
        </w:rPr>
      </w:pPr>
      <w:r>
        <w:rPr>
          <w:rFonts w:ascii="宋体" w:hAnsi="宋体" w:hint="eastAsia"/>
          <w:szCs w:val="21"/>
        </w:rPr>
        <w:t>（一）</w:t>
      </w:r>
      <w:r>
        <w:rPr>
          <w:rFonts w:ascii="宋体" w:hAnsi="宋体"/>
          <w:szCs w:val="21"/>
        </w:rPr>
        <w:t>基金管理人职责终止</w:t>
      </w:r>
      <w:r>
        <w:rPr>
          <w:rFonts w:ascii="宋体" w:hAnsi="宋体" w:hint="eastAsia"/>
          <w:szCs w:val="21"/>
        </w:rPr>
        <w:t>后</w:t>
      </w:r>
      <w:r>
        <w:rPr>
          <w:rFonts w:ascii="宋体" w:hAnsi="宋体"/>
          <w:szCs w:val="21"/>
        </w:rPr>
        <w:t>，</w:t>
      </w:r>
      <w:r>
        <w:rPr>
          <w:rFonts w:ascii="宋体" w:hAnsi="宋体" w:hint="eastAsia"/>
          <w:szCs w:val="21"/>
        </w:rPr>
        <w:t>仍</w:t>
      </w:r>
      <w:r>
        <w:rPr>
          <w:rFonts w:ascii="宋体" w:hAnsi="宋体"/>
          <w:szCs w:val="21"/>
        </w:rPr>
        <w:t>应妥善保管基金管理业务资料，</w:t>
      </w:r>
      <w:r>
        <w:rPr>
          <w:rFonts w:ascii="宋体" w:hAnsi="宋体" w:hint="eastAsia"/>
          <w:szCs w:val="21"/>
        </w:rPr>
        <w:t>并与</w:t>
      </w:r>
      <w:proofErr w:type="gramStart"/>
      <w:r>
        <w:rPr>
          <w:rFonts w:ascii="宋体" w:hAnsi="宋体" w:hint="eastAsia"/>
          <w:szCs w:val="21"/>
        </w:rPr>
        <w:t>新任基金</w:t>
      </w:r>
      <w:proofErr w:type="gramEnd"/>
      <w:r>
        <w:rPr>
          <w:rFonts w:ascii="宋体" w:hAnsi="宋体" w:hint="eastAsia"/>
          <w:szCs w:val="21"/>
        </w:rPr>
        <w:t>管理人或临时基金管理人</w:t>
      </w:r>
      <w:r>
        <w:rPr>
          <w:rFonts w:ascii="宋体" w:hAnsi="宋体"/>
          <w:szCs w:val="21"/>
        </w:rPr>
        <w:t>及时办理基金管理业务的移交手续。</w:t>
      </w:r>
      <w:r>
        <w:rPr>
          <w:rFonts w:ascii="宋体" w:hAnsi="宋体" w:hint="eastAsia"/>
          <w:szCs w:val="21"/>
        </w:rPr>
        <w:t>基金托管人应给予积极配合，并与</w:t>
      </w:r>
      <w:proofErr w:type="gramStart"/>
      <w:r>
        <w:rPr>
          <w:rFonts w:ascii="宋体" w:hAnsi="宋体" w:hint="eastAsia"/>
          <w:szCs w:val="21"/>
        </w:rPr>
        <w:t>新任基金</w:t>
      </w:r>
      <w:proofErr w:type="gramEnd"/>
      <w:r>
        <w:rPr>
          <w:rFonts w:ascii="宋体" w:hAnsi="宋体" w:hint="eastAsia"/>
          <w:szCs w:val="21"/>
        </w:rPr>
        <w:t>管理人或临时基金管理人核对基金资产总值和净值。</w:t>
      </w:r>
    </w:p>
    <w:p w14:paraId="41270DE9" w14:textId="77777777" w:rsidR="00737A1E" w:rsidRDefault="00647336">
      <w:pPr>
        <w:spacing w:before="100" w:beforeAutospacing="1" w:after="100" w:afterAutospacing="1" w:line="400" w:lineRule="exact"/>
        <w:ind w:firstLine="420"/>
        <w:rPr>
          <w:rFonts w:ascii="宋体" w:hAnsi="宋体"/>
          <w:szCs w:val="21"/>
        </w:rPr>
      </w:pPr>
      <w:r>
        <w:rPr>
          <w:rFonts w:ascii="宋体" w:hAnsi="宋体" w:hint="eastAsia"/>
          <w:szCs w:val="21"/>
        </w:rPr>
        <w:t>（二）</w:t>
      </w:r>
      <w:r>
        <w:rPr>
          <w:rFonts w:ascii="宋体" w:hAnsi="宋体"/>
          <w:szCs w:val="21"/>
        </w:rPr>
        <w:t>基金托管人职责终止</w:t>
      </w:r>
      <w:r>
        <w:rPr>
          <w:rFonts w:ascii="宋体" w:hAnsi="宋体" w:hint="eastAsia"/>
          <w:szCs w:val="21"/>
        </w:rPr>
        <w:t>后</w:t>
      </w:r>
      <w:r>
        <w:rPr>
          <w:rFonts w:ascii="宋体" w:hAnsi="宋体"/>
          <w:szCs w:val="21"/>
        </w:rPr>
        <w:t>，</w:t>
      </w:r>
      <w:r>
        <w:rPr>
          <w:rFonts w:ascii="宋体" w:hAnsi="宋体" w:hint="eastAsia"/>
          <w:szCs w:val="21"/>
        </w:rPr>
        <w:t>仍</w:t>
      </w:r>
      <w:r>
        <w:rPr>
          <w:rFonts w:ascii="宋体" w:hAnsi="宋体"/>
          <w:szCs w:val="21"/>
        </w:rPr>
        <w:t>应妥善保管基金财产和基金托管业务资料，</w:t>
      </w:r>
      <w:r>
        <w:rPr>
          <w:rFonts w:ascii="宋体" w:hAnsi="宋体" w:hint="eastAsia"/>
          <w:szCs w:val="21"/>
        </w:rPr>
        <w:t>并与</w:t>
      </w:r>
      <w:proofErr w:type="gramStart"/>
      <w:r>
        <w:rPr>
          <w:rFonts w:ascii="宋体" w:hAnsi="宋体" w:hint="eastAsia"/>
          <w:szCs w:val="21"/>
        </w:rPr>
        <w:t>新任基金</w:t>
      </w:r>
      <w:proofErr w:type="gramEnd"/>
      <w:r>
        <w:rPr>
          <w:rFonts w:ascii="宋体" w:hAnsi="宋体" w:hint="eastAsia"/>
          <w:szCs w:val="21"/>
        </w:rPr>
        <w:t>托管人或临时基金托管人</w:t>
      </w:r>
      <w:r>
        <w:rPr>
          <w:rFonts w:ascii="宋体" w:hAnsi="宋体"/>
          <w:szCs w:val="21"/>
        </w:rPr>
        <w:t>及时办理基金财产和基金托管业务的移交手续。</w:t>
      </w:r>
      <w:r>
        <w:rPr>
          <w:rFonts w:ascii="宋体" w:hAnsi="宋体" w:hint="eastAsia"/>
          <w:szCs w:val="21"/>
        </w:rPr>
        <w:t>基金管理人应给予积极配合，并与</w:t>
      </w:r>
      <w:proofErr w:type="gramStart"/>
      <w:r>
        <w:rPr>
          <w:rFonts w:ascii="宋体" w:hAnsi="宋体" w:hint="eastAsia"/>
          <w:szCs w:val="21"/>
        </w:rPr>
        <w:t>新任基金</w:t>
      </w:r>
      <w:proofErr w:type="gramEnd"/>
      <w:r>
        <w:rPr>
          <w:rFonts w:ascii="宋体" w:hAnsi="宋体" w:hint="eastAsia"/>
          <w:szCs w:val="21"/>
        </w:rPr>
        <w:t>托管人或临时基金托管人核对基金资产总值和净值。</w:t>
      </w:r>
    </w:p>
    <w:p w14:paraId="124D7146" w14:textId="77777777" w:rsidR="00737A1E" w:rsidRDefault="00647336">
      <w:pPr>
        <w:spacing w:before="100" w:beforeAutospacing="1" w:after="100" w:afterAutospacing="1" w:line="400" w:lineRule="exact"/>
        <w:ind w:firstLine="420"/>
        <w:rPr>
          <w:rFonts w:ascii="宋体" w:hAnsi="宋体"/>
          <w:szCs w:val="21"/>
        </w:rPr>
      </w:pPr>
      <w:r>
        <w:rPr>
          <w:rFonts w:ascii="宋体" w:hAnsi="宋体" w:hint="eastAsia"/>
          <w:szCs w:val="21"/>
        </w:rPr>
        <w:t>（三）其他事宜见《基金合同》的相关约定。</w:t>
      </w:r>
    </w:p>
    <w:p w14:paraId="3FFF44CD" w14:textId="77777777" w:rsidR="00737A1E" w:rsidRDefault="00737A1E">
      <w:pPr>
        <w:spacing w:before="100" w:beforeAutospacing="1" w:after="100" w:afterAutospacing="1" w:line="400" w:lineRule="exact"/>
        <w:ind w:firstLine="540"/>
        <w:rPr>
          <w:rFonts w:ascii="宋体" w:hAnsi="宋体"/>
          <w:szCs w:val="21"/>
        </w:rPr>
      </w:pPr>
    </w:p>
    <w:p w14:paraId="3EFF330E" w14:textId="77777777" w:rsidR="00737A1E" w:rsidRDefault="00647336">
      <w:pPr>
        <w:pStyle w:val="1"/>
        <w:spacing w:before="100" w:beforeAutospacing="1" w:after="100" w:afterAutospacing="1" w:line="400" w:lineRule="exact"/>
        <w:ind w:firstLine="422"/>
        <w:rPr>
          <w:rFonts w:ascii="宋体" w:hAnsi="宋体"/>
          <w:sz w:val="21"/>
          <w:szCs w:val="21"/>
        </w:rPr>
      </w:pPr>
      <w:bookmarkStart w:id="22" w:name="_Toc116900110"/>
      <w:r>
        <w:rPr>
          <w:rFonts w:ascii="宋体" w:hAnsi="宋体" w:hint="eastAsia"/>
          <w:sz w:val="21"/>
          <w:szCs w:val="21"/>
        </w:rPr>
        <w:t>十五、禁止行为</w:t>
      </w:r>
      <w:bookmarkEnd w:id="22"/>
    </w:p>
    <w:p w14:paraId="5F567DF8"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（一）</w:t>
      </w:r>
      <w:r>
        <w:rPr>
          <w:rFonts w:ascii="宋体" w:hAnsi="宋体" w:cs="方正仿宋简体" w:hint="eastAsia"/>
          <w:szCs w:val="21"/>
        </w:rPr>
        <w:t>《基金法》第二十条、第三十八条禁止的行为。</w:t>
      </w:r>
    </w:p>
    <w:p w14:paraId="142B83CA"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（二）《基金法》第七十三条禁止的投资或活动。</w:t>
      </w:r>
    </w:p>
    <w:p w14:paraId="646B970D"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（三）除根据基金管理人的指令或《基金合同》、本协议另有规定外，基金托管人不</w:t>
      </w:r>
      <w:r>
        <w:rPr>
          <w:rFonts w:ascii="宋体" w:hAnsi="宋体" w:cs="方正仿宋简体" w:hint="eastAsia"/>
          <w:szCs w:val="21"/>
        </w:rPr>
        <w:lastRenderedPageBreak/>
        <w:t>得动用或处分基金财产。</w:t>
      </w:r>
    </w:p>
    <w:p w14:paraId="0E8EB02F"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（四）基金管理人、基金托管人的高级管理人员和其他从业人员不得相互兼职。</w:t>
      </w:r>
    </w:p>
    <w:p w14:paraId="1309A21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（五）法律法规、《基金合同》和本协议禁止的其他行为。</w:t>
      </w:r>
    </w:p>
    <w:p w14:paraId="739CFE5C" w14:textId="268655E5"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法律法规或监管部门取消或调整上述禁止性规定，如适用于本基金，基金管理人在履行适当程序后，则本基金投资不再受相关限制或按调整后的规定执行。</w:t>
      </w:r>
    </w:p>
    <w:p w14:paraId="68D708BB" w14:textId="77777777" w:rsidR="00737A1E" w:rsidRDefault="00737A1E">
      <w:pPr>
        <w:pStyle w:val="af1"/>
        <w:spacing w:before="100" w:beforeAutospacing="1" w:after="100" w:afterAutospacing="1"/>
        <w:ind w:firstLine="403"/>
        <w:rPr>
          <w:rFonts w:ascii="宋体" w:eastAsia="宋体"/>
          <w:color w:val="auto"/>
          <w:sz w:val="21"/>
          <w:szCs w:val="21"/>
        </w:rPr>
      </w:pPr>
    </w:p>
    <w:p w14:paraId="1C76CAC6" w14:textId="77777777" w:rsidR="00737A1E" w:rsidRDefault="00647336">
      <w:pPr>
        <w:pStyle w:val="1"/>
        <w:spacing w:before="100" w:beforeAutospacing="1" w:after="100" w:afterAutospacing="1" w:line="400" w:lineRule="exact"/>
        <w:ind w:firstLine="422"/>
        <w:rPr>
          <w:rFonts w:ascii="宋体" w:hAnsi="宋体"/>
          <w:sz w:val="21"/>
          <w:szCs w:val="21"/>
        </w:rPr>
      </w:pPr>
      <w:bookmarkStart w:id="23" w:name="_Toc116900111"/>
      <w:r>
        <w:rPr>
          <w:rFonts w:ascii="宋体" w:hAnsi="宋体" w:hint="eastAsia"/>
          <w:sz w:val="21"/>
          <w:szCs w:val="21"/>
        </w:rPr>
        <w:t>十六、托管协议的变更、终止与基金财产的清算</w:t>
      </w:r>
    </w:p>
    <w:p w14:paraId="144DC36E"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（一）托管协议的变更</w:t>
      </w:r>
    </w:p>
    <w:p w14:paraId="064F20F7" w14:textId="0A9A0A3C"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本协议双方当事人经协商一致，可以对协议进行变更。变更后的新协议，其内容不得与《基金合同》的规定有任何冲突。</w:t>
      </w:r>
    </w:p>
    <w:p w14:paraId="24B05A94"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（二）托管协议的终止</w:t>
      </w:r>
    </w:p>
    <w:p w14:paraId="1C8FB81C"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发生以下情况，本托管协议应当终止：</w:t>
      </w:r>
    </w:p>
    <w:p w14:paraId="5096C39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1、《基金合同》终止；</w:t>
      </w:r>
    </w:p>
    <w:p w14:paraId="42D970C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2、本基金更换基金托管人；</w:t>
      </w:r>
    </w:p>
    <w:p w14:paraId="2AC7AF93"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3、本基金更换基金管理人；</w:t>
      </w:r>
    </w:p>
    <w:p w14:paraId="49A75FDC"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4、发生《基金法》、《运作办法》或其他法律法规规定的终止事项。</w:t>
      </w:r>
    </w:p>
    <w:p w14:paraId="3515635F"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（三）基金财产的清算</w:t>
      </w:r>
    </w:p>
    <w:p w14:paraId="1092154C" w14:textId="77777777" w:rsidR="00737A1E" w:rsidRDefault="00647336">
      <w:pPr>
        <w:spacing w:before="100" w:beforeAutospacing="1" w:after="100" w:afterAutospacing="1" w:line="400" w:lineRule="exact"/>
        <w:ind w:firstLine="420"/>
        <w:rPr>
          <w:rFonts w:ascii="宋体" w:hAnsi="宋体"/>
          <w:color w:val="000000"/>
          <w:szCs w:val="21"/>
        </w:rPr>
      </w:pPr>
      <w:r>
        <w:rPr>
          <w:rFonts w:ascii="宋体" w:hAnsi="宋体" w:hint="eastAsia"/>
          <w:color w:val="000000"/>
          <w:szCs w:val="21"/>
        </w:rPr>
        <w:t>基金管理人和基金托管人应按照《基金合同》及有关法律法规的规定对本基金的财产进行清算。</w:t>
      </w:r>
    </w:p>
    <w:p w14:paraId="4F47B9A8" w14:textId="77777777" w:rsidR="00737A1E" w:rsidRDefault="00737A1E">
      <w:pPr>
        <w:spacing w:before="100" w:beforeAutospacing="1" w:after="100" w:afterAutospacing="1" w:line="400" w:lineRule="exact"/>
        <w:ind w:firstLine="449"/>
        <w:rPr>
          <w:rFonts w:ascii="宋体" w:hAnsi="宋体"/>
          <w:szCs w:val="21"/>
        </w:rPr>
      </w:pPr>
    </w:p>
    <w:p w14:paraId="0DAA52F4" w14:textId="77777777" w:rsidR="00737A1E" w:rsidRDefault="00647336">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十七、违约责任和责任划分</w:t>
      </w:r>
      <w:bookmarkEnd w:id="23"/>
    </w:p>
    <w:p w14:paraId="5A3D03DA"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（一）</w:t>
      </w:r>
      <w:r>
        <w:rPr>
          <w:rFonts w:ascii="宋体" w:hAnsi="宋体" w:cs="方正仿宋简体" w:hint="eastAsia"/>
          <w:szCs w:val="21"/>
        </w:rPr>
        <w:t>本协议当事人不履行本协议或履行本协议不符合约定的，应当承担违约责任。</w:t>
      </w:r>
    </w:p>
    <w:p w14:paraId="71C99849"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lastRenderedPageBreak/>
        <w:t>（二）因本协议当事人违约给基金财产或者基金份额持有人造成损害的，应当分别对各自的行为依法承担赔偿责任，因共同行为给基金财产或者基金份额持有人造成损害的，应当承担连带赔偿责任。</w:t>
      </w:r>
      <w:r>
        <w:rPr>
          <w:rFonts w:ascii="宋体" w:hAnsi="宋体" w:cs="方正仿宋简体"/>
          <w:szCs w:val="21"/>
        </w:rPr>
        <w:t>对损失的赔偿，仅限于直接损失。</w:t>
      </w:r>
      <w:r>
        <w:rPr>
          <w:rFonts w:ascii="宋体" w:hAnsi="宋体" w:cs="方正仿宋简体" w:hint="eastAsia"/>
          <w:szCs w:val="21"/>
        </w:rPr>
        <w:t>但是发生下列情况，当事人免责：</w:t>
      </w:r>
    </w:p>
    <w:p w14:paraId="5DE41D68"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1、基金管理人及基金托管人按照当时有效的法律法规或中国证监会的规定作为或不作为而造成的损失等；</w:t>
      </w:r>
    </w:p>
    <w:p w14:paraId="13490669"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2、基金管理人由于按照《基金合同》规定的投资原则而行使或不行使其投资权而造成的损失等；</w:t>
      </w:r>
    </w:p>
    <w:p w14:paraId="7387A5A3"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3、不可抗力；</w:t>
      </w:r>
    </w:p>
    <w:p w14:paraId="35EA4099" w14:textId="74DAB151"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4、基金托管人对存放或存管在基金托管人以外机构的基金资产，或交由证券公司等其他机构负责清算交收的基金资产及其收益不承担相应责任；</w:t>
      </w:r>
    </w:p>
    <w:p w14:paraId="76BCF416" w14:textId="77777777" w:rsidR="00737A1E" w:rsidRDefault="00647336">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5、计算机系统故障、网络故障、通讯故障、电力故障、计算机病毒攻击及其它</w:t>
      </w:r>
      <w:proofErr w:type="gramStart"/>
      <w:r>
        <w:rPr>
          <w:rFonts w:ascii="宋体" w:hAnsi="宋体" w:cs="方正仿宋简体" w:hint="eastAsia"/>
          <w:szCs w:val="21"/>
        </w:rPr>
        <w:t>非基金</w:t>
      </w:r>
      <w:proofErr w:type="gramEnd"/>
      <w:r>
        <w:rPr>
          <w:rFonts w:ascii="宋体" w:hAnsi="宋体" w:cs="方正仿宋简体" w:hint="eastAsia"/>
          <w:szCs w:val="21"/>
        </w:rPr>
        <w:t>管理人、基金托管人过错造成的意外事故。</w:t>
      </w:r>
    </w:p>
    <w:p w14:paraId="49ECED4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（三）一方当事人违反本协议，给另一方当事人造成损失的，应承担赔偿责任。</w:t>
      </w:r>
    </w:p>
    <w:p w14:paraId="215764E2"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hint="eastAsia"/>
          <w:szCs w:val="21"/>
        </w:rPr>
        <w:t>（四）因不可抗力不能履行本协议的，根据不可抗力的影响，违约方部分或全部免除责任，但法律另有规定的除外。当事人迟延履行后发生不可抗力的，不能免除责任。</w:t>
      </w:r>
    </w:p>
    <w:p w14:paraId="30C5EC66"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14:paraId="1C27B62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（六）违约行为虽已发生，但本协议能够继续履行的，在最大限度地保护基金份额持有人利益的前提下，基金管理人和基金托管人应当继续履行本协议。</w:t>
      </w:r>
    </w:p>
    <w:p w14:paraId="3A82D9F1" w14:textId="04D16BE9"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48EFD71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（八）为明确责任，在不影响本协议本条其他规定的普遍适用性的前提下，基金管理人和基金托管人对由于如下行为造成的损失的责任承担问题，明确如下：</w:t>
      </w:r>
    </w:p>
    <w:p w14:paraId="341BF782"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1、由于基金管理人下达违法、违规的指令所导致的责任，由基金管理人承担；</w:t>
      </w:r>
    </w:p>
    <w:p w14:paraId="2FF301C1"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 xml:space="preserve">2、指令下达人员在授权通知载明的权限范围内下达的指令所导致的责任，由基金管理人承担，即使该人员下达指令并没有获得基金管理人的实际授权（例如基金管理人在撤销或变更授权权限后未能及时通知基金托管人）； </w:t>
      </w:r>
    </w:p>
    <w:p w14:paraId="1897268D"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3、基金托管人未对指令上签名和印鉴与预留签字样本和预留印鉴进行表面一致性审核，导致基金托管人执行了应当无效的指令，基金管理人与基金托管人应根据各自过错程度承担责任；</w:t>
      </w:r>
    </w:p>
    <w:p w14:paraId="79AEB61A" w14:textId="71258A4E"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4、属于基金托管人实际有效控制下的基金财产（包括实物证券）在基金托管人保管期间的损坏、灭失，由此产生的责任应由基金托管人承担；</w:t>
      </w:r>
    </w:p>
    <w:p w14:paraId="3E8CFD34"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5、基金管理人应承担对其应收取的管理费数额计算错误的责任。如果基金托管人复核后同意基金管理人的计算结果，</w:t>
      </w:r>
      <w:proofErr w:type="gramStart"/>
      <w:r>
        <w:rPr>
          <w:rFonts w:ascii="宋体" w:eastAsia="宋体" w:hint="eastAsia"/>
          <w:color w:val="auto"/>
          <w:sz w:val="21"/>
          <w:szCs w:val="21"/>
        </w:rPr>
        <w:t>则基金</w:t>
      </w:r>
      <w:proofErr w:type="gramEnd"/>
      <w:r>
        <w:rPr>
          <w:rFonts w:ascii="宋体" w:eastAsia="宋体" w:hint="eastAsia"/>
          <w:color w:val="auto"/>
          <w:sz w:val="21"/>
          <w:szCs w:val="21"/>
        </w:rPr>
        <w:t>托管人也应承担未正确履行复核义务的相应责任；</w:t>
      </w:r>
    </w:p>
    <w:p w14:paraId="41DA942C"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6、基金管理人应承担对基金托管人应收取的托管费数额计算错误的责任。如果基金托管人复核后同意基金管理人的计算结果，</w:t>
      </w:r>
      <w:proofErr w:type="gramStart"/>
      <w:r>
        <w:rPr>
          <w:rFonts w:ascii="宋体" w:eastAsia="宋体" w:hint="eastAsia"/>
          <w:color w:val="auto"/>
          <w:sz w:val="21"/>
          <w:szCs w:val="21"/>
        </w:rPr>
        <w:t>则基金</w:t>
      </w:r>
      <w:proofErr w:type="gramEnd"/>
      <w:r>
        <w:rPr>
          <w:rFonts w:ascii="宋体" w:eastAsia="宋体" w:hint="eastAsia"/>
          <w:color w:val="auto"/>
          <w:sz w:val="21"/>
          <w:szCs w:val="21"/>
        </w:rPr>
        <w:t>托管人也应承担未正确履行复核义务的相应责任；</w:t>
      </w:r>
    </w:p>
    <w:p w14:paraId="7973457B"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7、由于基金管理人或托管</w:t>
      </w:r>
      <w:proofErr w:type="gramStart"/>
      <w:r>
        <w:rPr>
          <w:rFonts w:ascii="宋体" w:eastAsia="宋体" w:hint="eastAsia"/>
          <w:color w:val="auto"/>
          <w:sz w:val="21"/>
          <w:szCs w:val="21"/>
        </w:rPr>
        <w:t>人原因</w:t>
      </w:r>
      <w:proofErr w:type="gramEnd"/>
      <w:r>
        <w:rPr>
          <w:rFonts w:ascii="宋体" w:eastAsia="宋体" w:hint="eastAsia"/>
          <w:color w:val="auto"/>
          <w:sz w:val="21"/>
          <w:szCs w:val="21"/>
        </w:rPr>
        <w:t>导致本基金不能依据中国证券登记结算有限责任公司的业务规则及时清算的，由责任方承担由此给基金财产、基金份额持有人及受损害方造成的直接损失，若由于双方原因导致本基金不能依据中国证券登记结算有限责任公司的业务规则及时清算的，双方应按照各自的过错程度对造成的直接损失合理分担责任；</w:t>
      </w:r>
    </w:p>
    <w:p w14:paraId="563D764B" w14:textId="4837C92C"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8、</w:t>
      </w:r>
      <w:r>
        <w:rPr>
          <w:rFonts w:ascii="宋体" w:eastAsia="宋体"/>
          <w:color w:val="auto"/>
          <w:sz w:val="21"/>
          <w:szCs w:val="21"/>
        </w:rPr>
        <w:t>在资金交收日，基金资金账户资金首先用于除新股申购以外的其他资金交收义务，交</w:t>
      </w:r>
      <w:proofErr w:type="gramStart"/>
      <w:r>
        <w:rPr>
          <w:rFonts w:ascii="宋体" w:eastAsia="宋体"/>
          <w:color w:val="auto"/>
          <w:sz w:val="21"/>
          <w:szCs w:val="21"/>
        </w:rPr>
        <w:t>收完成</w:t>
      </w:r>
      <w:proofErr w:type="gramEnd"/>
      <w:r>
        <w:rPr>
          <w:rFonts w:ascii="宋体" w:eastAsia="宋体"/>
          <w:color w:val="auto"/>
          <w:sz w:val="21"/>
          <w:szCs w:val="21"/>
        </w:rPr>
        <w:t>后资金余额方可用于新股申购。如果因此资金不足造成新股申购失败或者新股申购不足，基金托管人不承担</w:t>
      </w:r>
      <w:r>
        <w:rPr>
          <w:rFonts w:ascii="宋体" w:eastAsia="宋体" w:hint="eastAsia"/>
          <w:color w:val="auto"/>
          <w:sz w:val="21"/>
          <w:szCs w:val="21"/>
        </w:rPr>
        <w:t>相应</w:t>
      </w:r>
      <w:r>
        <w:rPr>
          <w:rFonts w:ascii="宋体" w:eastAsia="宋体"/>
          <w:color w:val="auto"/>
          <w:sz w:val="21"/>
          <w:szCs w:val="21"/>
        </w:rPr>
        <w:t>责任。如基金份额持有人因此提出赔偿要求，相关法律责任和损失由基金管理人承担。</w:t>
      </w:r>
    </w:p>
    <w:p w14:paraId="0EF009C5" w14:textId="77777777" w:rsidR="00737A1E" w:rsidRDefault="00737A1E">
      <w:pPr>
        <w:pStyle w:val="af1"/>
        <w:spacing w:before="100" w:beforeAutospacing="1" w:after="100" w:afterAutospacing="1"/>
        <w:ind w:firstLine="403"/>
        <w:rPr>
          <w:rFonts w:ascii="宋体" w:eastAsia="宋体"/>
          <w:color w:val="auto"/>
          <w:sz w:val="21"/>
          <w:szCs w:val="21"/>
        </w:rPr>
      </w:pPr>
    </w:p>
    <w:p w14:paraId="29B37AF9" w14:textId="77777777" w:rsidR="00737A1E" w:rsidRDefault="00647336">
      <w:pPr>
        <w:pStyle w:val="1"/>
        <w:spacing w:before="100" w:beforeAutospacing="1" w:after="100" w:afterAutospacing="1" w:line="400" w:lineRule="exact"/>
        <w:ind w:firstLine="422"/>
        <w:rPr>
          <w:rFonts w:ascii="宋体" w:hAnsi="宋体"/>
          <w:sz w:val="21"/>
          <w:szCs w:val="21"/>
        </w:rPr>
      </w:pPr>
      <w:bookmarkStart w:id="24" w:name="_Toc116900112"/>
      <w:r>
        <w:rPr>
          <w:rFonts w:ascii="宋体" w:hAnsi="宋体" w:hint="eastAsia"/>
          <w:sz w:val="21"/>
          <w:szCs w:val="21"/>
        </w:rPr>
        <w:t>十八、适用法律与争议解决</w:t>
      </w:r>
      <w:bookmarkEnd w:id="24"/>
      <w:r>
        <w:rPr>
          <w:rFonts w:ascii="宋体" w:hAnsi="宋体" w:hint="eastAsia"/>
          <w:sz w:val="21"/>
          <w:szCs w:val="21"/>
        </w:rPr>
        <w:t>方式</w:t>
      </w:r>
    </w:p>
    <w:p w14:paraId="658162F8"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（一）本协议适用中华人民共和国法律（为本协议之目的，不包括香港特别行政区、澳门特别行政区和台湾地区法律）并从其解释。</w:t>
      </w:r>
    </w:p>
    <w:p w14:paraId="2FBEACFF" w14:textId="2EFF19A6"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（二）基金管理人与基金托管人之间因本协议产生的或与本协议有关的争议可通过友</w:t>
      </w:r>
      <w:r>
        <w:rPr>
          <w:rFonts w:ascii="宋体" w:eastAsia="宋体" w:hint="eastAsia"/>
          <w:color w:val="auto"/>
          <w:sz w:val="21"/>
          <w:szCs w:val="21"/>
        </w:rPr>
        <w:lastRenderedPageBreak/>
        <w:t>好协商解决。如经友好协商未能解决的，则任何一方均有权将争议提交深圳国际仲裁院，按照深圳国际仲裁院届时有效的仲裁规则进行仲裁。仲裁地点为深圳市。仲裁裁决是终局的，对仲裁各方当事人均具有约束力。除非仲裁裁决另有规定，仲裁费由败诉方承担。</w:t>
      </w:r>
    </w:p>
    <w:p w14:paraId="40FF7180" w14:textId="77777777"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（三）除争议所涉的内容之外，本协议的当事人仍应履行本协议的其他规定。</w:t>
      </w:r>
    </w:p>
    <w:p w14:paraId="22B2248D" w14:textId="77777777" w:rsidR="00737A1E" w:rsidRDefault="00737A1E">
      <w:pPr>
        <w:pStyle w:val="af1"/>
        <w:spacing w:before="100" w:beforeAutospacing="1" w:after="100" w:afterAutospacing="1"/>
        <w:ind w:firstLine="403"/>
        <w:rPr>
          <w:rFonts w:ascii="宋体" w:eastAsia="宋体"/>
          <w:color w:val="auto"/>
          <w:sz w:val="21"/>
          <w:szCs w:val="21"/>
        </w:rPr>
      </w:pPr>
    </w:p>
    <w:p w14:paraId="27310207" w14:textId="77777777" w:rsidR="00737A1E" w:rsidRDefault="00647336">
      <w:pPr>
        <w:pStyle w:val="1"/>
        <w:spacing w:before="100" w:beforeAutospacing="1" w:after="100" w:afterAutospacing="1" w:line="400" w:lineRule="exact"/>
        <w:ind w:firstLine="422"/>
        <w:rPr>
          <w:rFonts w:ascii="宋体" w:hAnsi="宋体"/>
          <w:sz w:val="21"/>
          <w:szCs w:val="21"/>
        </w:rPr>
      </w:pPr>
      <w:bookmarkStart w:id="25" w:name="_Toc116900113"/>
      <w:r>
        <w:rPr>
          <w:rFonts w:ascii="宋体" w:hAnsi="宋体" w:hint="eastAsia"/>
          <w:sz w:val="21"/>
          <w:szCs w:val="21"/>
        </w:rPr>
        <w:t>十九、托管协议的效力</w:t>
      </w:r>
      <w:bookmarkEnd w:id="25"/>
    </w:p>
    <w:p w14:paraId="1E2780FD" w14:textId="43F6C69F"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一）基金管理人在向中国证监会申请基金募集注册时提交的基金托管协议草案，应经托管协议双方当事人的法定代表人或授权代表签字或盖章并加盖公章，协议当事人双方根据中国证监会的意见修改托管协议草案。托管协议以中国证监会注册的文本为正式文本。</w:t>
      </w:r>
    </w:p>
    <w:p w14:paraId="6C8C3775"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（二）本协议自</w:t>
      </w:r>
      <w:r>
        <w:rPr>
          <w:rFonts w:ascii="宋体" w:hAnsi="宋体" w:hint="eastAsia"/>
          <w:szCs w:val="21"/>
        </w:rPr>
        <w:t>双方签署</w:t>
      </w:r>
      <w:r>
        <w:rPr>
          <w:rFonts w:ascii="宋体" w:hAnsi="宋体" w:cs="方正仿宋简体" w:hint="eastAsia"/>
          <w:szCs w:val="21"/>
        </w:rPr>
        <w:t>之日起成立，自基金合同生效之日起生效。本协议的有效期自其生效之日起至基金财产清算结果报中国证监会备案并公告之日止。</w:t>
      </w:r>
    </w:p>
    <w:p w14:paraId="5A3883A1" w14:textId="77777777" w:rsidR="00737A1E" w:rsidRDefault="00647336">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（三）本协议自生效之日起对双方当事人具有同等的法律约束力。</w:t>
      </w:r>
    </w:p>
    <w:p w14:paraId="451EA8B4" w14:textId="769A092F" w:rsidR="00737A1E" w:rsidRDefault="00647336">
      <w:pPr>
        <w:pStyle w:val="af1"/>
        <w:spacing w:before="100" w:beforeAutospacing="1" w:after="100" w:afterAutospacing="1"/>
        <w:ind w:firstLine="403"/>
        <w:rPr>
          <w:rFonts w:ascii="宋体" w:eastAsia="宋体"/>
          <w:color w:val="auto"/>
          <w:sz w:val="21"/>
          <w:szCs w:val="21"/>
        </w:rPr>
      </w:pPr>
      <w:r>
        <w:rPr>
          <w:rFonts w:ascii="宋体" w:eastAsia="宋体" w:cs="方正仿宋简体" w:hint="eastAsia"/>
          <w:sz w:val="21"/>
          <w:szCs w:val="21"/>
        </w:rPr>
        <w:t>（四）</w:t>
      </w:r>
      <w:r>
        <w:rPr>
          <w:rFonts w:ascii="宋体" w:eastAsia="宋体" w:hint="eastAsia"/>
          <w:color w:val="auto"/>
          <w:sz w:val="21"/>
          <w:szCs w:val="21"/>
        </w:rPr>
        <w:t>本协议正本一式叁份，协议双方各执壹份，上报中国证监会壹份，每份具有同等法律效力。</w:t>
      </w:r>
    </w:p>
    <w:p w14:paraId="443AECD6" w14:textId="77777777" w:rsidR="00737A1E" w:rsidRDefault="00737A1E">
      <w:pPr>
        <w:pStyle w:val="af1"/>
        <w:spacing w:before="100" w:beforeAutospacing="1" w:after="100" w:afterAutospacing="1"/>
        <w:ind w:firstLine="403"/>
        <w:rPr>
          <w:rFonts w:ascii="宋体" w:eastAsia="宋体"/>
          <w:color w:val="auto"/>
          <w:sz w:val="21"/>
          <w:szCs w:val="21"/>
        </w:rPr>
      </w:pPr>
      <w:bookmarkStart w:id="26" w:name="_Toc116900116"/>
    </w:p>
    <w:p w14:paraId="239CB9B7" w14:textId="77777777" w:rsidR="00737A1E" w:rsidRDefault="00647336">
      <w:pPr>
        <w:pStyle w:val="1"/>
        <w:spacing w:before="100" w:beforeAutospacing="1" w:after="100" w:afterAutospacing="1" w:line="400" w:lineRule="exact"/>
        <w:ind w:firstLine="422"/>
        <w:rPr>
          <w:rFonts w:ascii="宋体" w:hAnsi="宋体"/>
          <w:sz w:val="21"/>
          <w:szCs w:val="21"/>
        </w:rPr>
      </w:pPr>
      <w:r>
        <w:rPr>
          <w:rFonts w:ascii="宋体" w:hAnsi="宋体"/>
          <w:sz w:val="21"/>
          <w:szCs w:val="21"/>
        </w:rPr>
        <w:t>二十、托管协议</w:t>
      </w:r>
      <w:bookmarkEnd w:id="26"/>
      <w:r>
        <w:rPr>
          <w:rFonts w:ascii="宋体" w:hAnsi="宋体" w:hint="eastAsia"/>
          <w:sz w:val="21"/>
          <w:szCs w:val="21"/>
        </w:rPr>
        <w:t>的签订</w:t>
      </w:r>
    </w:p>
    <w:p w14:paraId="4E8D7181" w14:textId="77777777" w:rsidR="00737A1E" w:rsidRDefault="00647336">
      <w:pPr>
        <w:pStyle w:val="af1"/>
        <w:spacing w:before="100" w:beforeAutospacing="1" w:after="100" w:afterAutospacing="1"/>
        <w:ind w:firstLine="403"/>
        <w:rPr>
          <w:rFonts w:ascii="宋体" w:eastAsia="宋体"/>
          <w:sz w:val="21"/>
          <w:szCs w:val="21"/>
        </w:rPr>
      </w:pPr>
      <w:proofErr w:type="gramStart"/>
      <w:r>
        <w:rPr>
          <w:rFonts w:ascii="宋体" w:eastAsia="宋体" w:hint="eastAsia"/>
          <w:color w:val="auto"/>
          <w:sz w:val="21"/>
          <w:szCs w:val="21"/>
        </w:rPr>
        <w:t>见签署页</w:t>
      </w:r>
      <w:proofErr w:type="gramEnd"/>
      <w:r>
        <w:rPr>
          <w:rFonts w:ascii="宋体" w:eastAsia="宋体" w:hint="eastAsia"/>
          <w:color w:val="auto"/>
          <w:sz w:val="21"/>
          <w:szCs w:val="21"/>
        </w:rPr>
        <w:t>。</w:t>
      </w:r>
    </w:p>
    <w:p w14:paraId="23483B68" w14:textId="77777777" w:rsidR="00737A1E" w:rsidRDefault="00647336">
      <w:pPr>
        <w:pStyle w:val="af1"/>
        <w:spacing w:before="100" w:beforeAutospacing="1" w:after="100" w:afterAutospacing="1"/>
        <w:ind w:firstLine="403"/>
        <w:rPr>
          <w:rFonts w:ascii="宋体" w:eastAsia="宋体"/>
          <w:sz w:val="21"/>
          <w:szCs w:val="21"/>
        </w:rPr>
      </w:pPr>
      <w:r>
        <w:rPr>
          <w:rFonts w:ascii="宋体" w:eastAsia="宋体" w:hint="eastAsia"/>
          <w:sz w:val="21"/>
          <w:szCs w:val="21"/>
        </w:rPr>
        <w:t>（以下无正文）</w:t>
      </w:r>
    </w:p>
    <w:p w14:paraId="251BBA95" w14:textId="7DBBF0F2" w:rsidR="00737A1E" w:rsidRDefault="00647336">
      <w:pPr>
        <w:pStyle w:val="af1"/>
        <w:spacing w:before="100" w:beforeAutospacing="1" w:after="100" w:afterAutospacing="1"/>
        <w:ind w:firstLine="403"/>
        <w:rPr>
          <w:rFonts w:ascii="宋体" w:eastAsia="宋体"/>
          <w:sz w:val="21"/>
          <w:szCs w:val="21"/>
        </w:rPr>
      </w:pPr>
      <w:r>
        <w:rPr>
          <w:rFonts w:ascii="宋体" w:eastAsia="宋体"/>
          <w:sz w:val="21"/>
          <w:szCs w:val="21"/>
        </w:rPr>
        <w:br w:type="page"/>
      </w:r>
      <w:r>
        <w:rPr>
          <w:rFonts w:ascii="宋体" w:eastAsia="宋体" w:hint="eastAsia"/>
          <w:sz w:val="21"/>
          <w:szCs w:val="21"/>
        </w:rPr>
        <w:lastRenderedPageBreak/>
        <w:t>（本页为《南方远航混合型证券投资基金托管协议》签署页，无正文）</w:t>
      </w:r>
    </w:p>
    <w:p w14:paraId="33D1A9A4" w14:textId="77777777" w:rsidR="00737A1E" w:rsidRDefault="00647336">
      <w:pPr>
        <w:pStyle w:val="Web"/>
        <w:spacing w:line="400" w:lineRule="exact"/>
        <w:rPr>
          <w:color w:val="000000"/>
          <w:sz w:val="21"/>
          <w:szCs w:val="21"/>
        </w:rPr>
      </w:pPr>
      <w:r>
        <w:rPr>
          <w:color w:val="000000"/>
          <w:sz w:val="21"/>
          <w:szCs w:val="21"/>
        </w:rPr>
        <w:t xml:space="preserve">　　</w:t>
      </w:r>
    </w:p>
    <w:p w14:paraId="0D65C54F" w14:textId="77777777" w:rsidR="00737A1E" w:rsidRDefault="00647336">
      <w:pPr>
        <w:pStyle w:val="Web"/>
        <w:spacing w:line="400" w:lineRule="exact"/>
        <w:ind w:firstLine="403"/>
        <w:rPr>
          <w:b/>
        </w:rPr>
      </w:pPr>
      <w:r>
        <w:rPr>
          <w:b/>
        </w:rPr>
        <w:t>基金托管人</w:t>
      </w:r>
      <w:r>
        <w:rPr>
          <w:rFonts w:hint="eastAsia"/>
          <w:b/>
        </w:rPr>
        <w:t>:中国银行股份有限公司</w:t>
      </w:r>
    </w:p>
    <w:p w14:paraId="144F1B2E" w14:textId="77777777" w:rsidR="00737A1E" w:rsidRDefault="00737A1E">
      <w:pPr>
        <w:pStyle w:val="Web"/>
        <w:spacing w:line="400" w:lineRule="exact"/>
        <w:ind w:firstLine="403"/>
        <w:rPr>
          <w:b/>
        </w:rPr>
      </w:pPr>
    </w:p>
    <w:p w14:paraId="39D25F05" w14:textId="5DE9DF6C" w:rsidR="00737A1E" w:rsidRDefault="00647336">
      <w:pPr>
        <w:pStyle w:val="Web"/>
        <w:spacing w:line="400" w:lineRule="exact"/>
        <w:ind w:firstLine="403"/>
        <w:rPr>
          <w:b/>
        </w:rPr>
      </w:pPr>
      <w:r>
        <w:rPr>
          <w:b/>
        </w:rPr>
        <w:t>法定代表人</w:t>
      </w:r>
      <w:r>
        <w:rPr>
          <w:rFonts w:hint="eastAsia"/>
          <w:b/>
        </w:rPr>
        <w:t>或授权代表：</w:t>
      </w:r>
    </w:p>
    <w:p w14:paraId="56941C34" w14:textId="77777777" w:rsidR="00737A1E" w:rsidRDefault="00737A1E">
      <w:pPr>
        <w:pStyle w:val="Web"/>
        <w:spacing w:line="400" w:lineRule="exact"/>
        <w:ind w:firstLine="420"/>
        <w:rPr>
          <w:b/>
        </w:rPr>
      </w:pPr>
    </w:p>
    <w:p w14:paraId="0B0AEB7C" w14:textId="77777777" w:rsidR="00737A1E" w:rsidRDefault="00737A1E">
      <w:pPr>
        <w:pStyle w:val="Web"/>
        <w:spacing w:line="400" w:lineRule="exact"/>
        <w:ind w:firstLine="420"/>
        <w:rPr>
          <w:b/>
        </w:rPr>
      </w:pPr>
    </w:p>
    <w:p w14:paraId="3CF89970" w14:textId="77777777" w:rsidR="00737A1E" w:rsidRDefault="00647336">
      <w:pPr>
        <w:pStyle w:val="Web"/>
        <w:spacing w:line="400" w:lineRule="exact"/>
        <w:ind w:firstLine="403"/>
        <w:rPr>
          <w:b/>
        </w:rPr>
      </w:pPr>
      <w:r>
        <w:rPr>
          <w:b/>
        </w:rPr>
        <w:t>签订日：</w:t>
      </w:r>
      <w:r>
        <w:rPr>
          <w:rFonts w:hint="eastAsia"/>
          <w:b/>
        </w:rPr>
        <w:tab/>
      </w:r>
    </w:p>
    <w:p w14:paraId="282329AB" w14:textId="77777777" w:rsidR="00737A1E" w:rsidRDefault="00647336">
      <w:pPr>
        <w:pStyle w:val="Web"/>
        <w:spacing w:line="400" w:lineRule="exact"/>
        <w:ind w:firstLine="420"/>
        <w:rPr>
          <w:b/>
        </w:rPr>
      </w:pPr>
      <w:r>
        <w:rPr>
          <w:b/>
        </w:rPr>
        <w:t xml:space="preserve">签订地：　</w:t>
      </w:r>
    </w:p>
    <w:p w14:paraId="68023FA3" w14:textId="77777777" w:rsidR="00737A1E" w:rsidRDefault="00737A1E">
      <w:pPr>
        <w:pStyle w:val="Web"/>
        <w:spacing w:line="400" w:lineRule="exact"/>
        <w:ind w:firstLine="540"/>
        <w:rPr>
          <w:b/>
        </w:rPr>
      </w:pPr>
    </w:p>
    <w:p w14:paraId="39504B19" w14:textId="77777777" w:rsidR="00737A1E" w:rsidRDefault="00737A1E">
      <w:pPr>
        <w:pStyle w:val="Web"/>
        <w:spacing w:line="400" w:lineRule="exact"/>
        <w:ind w:firstLine="540"/>
        <w:rPr>
          <w:b/>
        </w:rPr>
      </w:pPr>
    </w:p>
    <w:p w14:paraId="585DD3B9" w14:textId="77777777" w:rsidR="00737A1E" w:rsidRDefault="00737A1E">
      <w:pPr>
        <w:pStyle w:val="Web"/>
        <w:spacing w:line="400" w:lineRule="exact"/>
        <w:ind w:firstLine="403"/>
        <w:rPr>
          <w:b/>
        </w:rPr>
      </w:pPr>
    </w:p>
    <w:p w14:paraId="229051A7" w14:textId="0341B59E" w:rsidR="00737A1E" w:rsidRDefault="00647336">
      <w:pPr>
        <w:spacing w:before="100" w:beforeAutospacing="1" w:after="100" w:afterAutospacing="1" w:line="400" w:lineRule="exact"/>
        <w:ind w:firstLine="403"/>
        <w:rPr>
          <w:rFonts w:ascii="宋体" w:hAnsi="宋体"/>
          <w:b/>
          <w:sz w:val="24"/>
        </w:rPr>
      </w:pPr>
      <w:r>
        <w:rPr>
          <w:rFonts w:ascii="宋体" w:hAnsi="宋体"/>
          <w:b/>
          <w:sz w:val="24"/>
        </w:rPr>
        <w:t>基金管理人：</w:t>
      </w:r>
      <w:r>
        <w:rPr>
          <w:rFonts w:ascii="宋体" w:hAnsi="宋体" w:hint="eastAsia"/>
          <w:b/>
          <w:sz w:val="24"/>
        </w:rPr>
        <w:t>南方基金管理股份有限公司</w:t>
      </w:r>
    </w:p>
    <w:p w14:paraId="1599274C" w14:textId="77777777" w:rsidR="00737A1E" w:rsidRDefault="00737A1E">
      <w:pPr>
        <w:pStyle w:val="Web"/>
        <w:spacing w:line="400" w:lineRule="exact"/>
        <w:rPr>
          <w:b/>
        </w:rPr>
      </w:pPr>
    </w:p>
    <w:p w14:paraId="2F8547DB" w14:textId="0AE11630" w:rsidR="00737A1E" w:rsidRDefault="00647336">
      <w:pPr>
        <w:pStyle w:val="Web"/>
        <w:spacing w:line="400" w:lineRule="exact"/>
        <w:ind w:firstLine="403"/>
        <w:rPr>
          <w:b/>
        </w:rPr>
      </w:pPr>
      <w:r>
        <w:rPr>
          <w:b/>
        </w:rPr>
        <w:t>法定代表人</w:t>
      </w:r>
      <w:r>
        <w:rPr>
          <w:rFonts w:hint="eastAsia"/>
          <w:b/>
        </w:rPr>
        <w:t xml:space="preserve">或授权代表： </w:t>
      </w:r>
    </w:p>
    <w:p w14:paraId="27226DB5" w14:textId="77777777" w:rsidR="00737A1E" w:rsidRDefault="00737A1E">
      <w:pPr>
        <w:pStyle w:val="Web"/>
        <w:spacing w:line="400" w:lineRule="exact"/>
        <w:ind w:firstLine="420"/>
        <w:rPr>
          <w:b/>
        </w:rPr>
      </w:pPr>
    </w:p>
    <w:p w14:paraId="6ED787BA" w14:textId="77777777" w:rsidR="00737A1E" w:rsidRDefault="00737A1E">
      <w:pPr>
        <w:pStyle w:val="Web"/>
        <w:spacing w:line="400" w:lineRule="exact"/>
        <w:ind w:firstLine="420"/>
        <w:rPr>
          <w:b/>
        </w:rPr>
      </w:pPr>
    </w:p>
    <w:p w14:paraId="5D7ED5A4" w14:textId="77777777" w:rsidR="00737A1E" w:rsidRDefault="00647336">
      <w:pPr>
        <w:pStyle w:val="Web"/>
        <w:spacing w:line="400" w:lineRule="exact"/>
        <w:ind w:firstLine="420"/>
        <w:rPr>
          <w:b/>
        </w:rPr>
      </w:pPr>
      <w:r>
        <w:rPr>
          <w:b/>
        </w:rPr>
        <w:t>签订日：</w:t>
      </w:r>
    </w:p>
    <w:p w14:paraId="65D6E425" w14:textId="77777777" w:rsidR="00737A1E" w:rsidRDefault="00647336">
      <w:pPr>
        <w:pStyle w:val="Web"/>
        <w:spacing w:line="400" w:lineRule="exact"/>
        <w:ind w:firstLine="403"/>
        <w:rPr>
          <w:b/>
        </w:rPr>
      </w:pPr>
      <w:r>
        <w:rPr>
          <w:b/>
        </w:rPr>
        <w:t xml:space="preserve">签订地：　</w:t>
      </w:r>
      <w:r>
        <w:rPr>
          <w:rFonts w:hint="eastAsia"/>
          <w:b/>
        </w:rPr>
        <w:tab/>
      </w:r>
    </w:p>
    <w:p w14:paraId="7FFB4B09" w14:textId="77777777" w:rsidR="00737A1E" w:rsidRDefault="00737A1E">
      <w:pPr>
        <w:pStyle w:val="af1"/>
        <w:spacing w:before="100" w:beforeAutospacing="1" w:after="100" w:afterAutospacing="1"/>
        <w:ind w:firstLine="463"/>
        <w:rPr>
          <w:rFonts w:ascii="宋体" w:eastAsia="宋体"/>
          <w:b/>
          <w:color w:val="auto"/>
          <w:sz w:val="24"/>
        </w:rPr>
      </w:pPr>
    </w:p>
    <w:sectPr w:rsidR="00737A1E">
      <w:headerReference w:type="default" r:id="rId6"/>
      <w:footerReference w:type="even" r:id="rId7"/>
      <w:footerReference w:type="default" r:id="rId8"/>
      <w:type w:val="continuous"/>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14069" w14:textId="77777777" w:rsidR="00A41828" w:rsidRDefault="00A41828">
      <w:r>
        <w:separator/>
      </w:r>
    </w:p>
  </w:endnote>
  <w:endnote w:type="continuationSeparator" w:id="0">
    <w:p w14:paraId="759A5FCD" w14:textId="77777777" w:rsidR="00A41828" w:rsidRDefault="00A4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长城仿宋">
    <w:charset w:val="00"/>
    <w:family w:val="auto"/>
    <w:pitch w:val="default"/>
  </w:font>
  <w:font w:name="Calibri">
    <w:panose1 w:val="020F0502020204030204"/>
    <w:charset w:val="00"/>
    <w:family w:val="swiss"/>
    <w:pitch w:val="variable"/>
    <w:sig w:usb0="E0002EFF" w:usb1="C000247B" w:usb2="00000009" w:usb3="00000000" w:csb0="000001FF" w:csb1="00000000"/>
  </w:font>
  <w:font w:name="方正仿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FA91" w14:textId="77777777" w:rsidR="00737A1E" w:rsidRDefault="00647336">
    <w:pPr>
      <w:pStyle w:val="aa"/>
      <w:snapToGrid/>
      <w:rPr>
        <w:rStyle w:val="af5"/>
      </w:rPr>
    </w:pPr>
    <w:r>
      <w:rPr>
        <w:rStyle w:val="af5"/>
      </w:rPr>
      <w:fldChar w:fldCharType="begin"/>
    </w:r>
    <w:r>
      <w:rPr>
        <w:rStyle w:val="af5"/>
      </w:rPr>
      <w:instrText xml:space="preserve">PAGE  </w:instrText>
    </w:r>
    <w:r>
      <w:rPr>
        <w:rStyle w:val="af5"/>
      </w:rPr>
      <w:fldChar w:fldCharType="end"/>
    </w:r>
  </w:p>
  <w:p w14:paraId="7DF231E9" w14:textId="77777777" w:rsidR="00737A1E" w:rsidRDefault="00737A1E">
    <w:pPr>
      <w:pStyle w:val="aa"/>
      <w:snapToGri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0138" w14:textId="30C78DAB" w:rsidR="00737A1E" w:rsidRDefault="00647336">
    <w:pPr>
      <w:pStyle w:val="aa"/>
      <w:snapToGrid/>
      <w:rPr>
        <w:rStyle w:val="af5"/>
      </w:rPr>
    </w:pPr>
    <w:r>
      <w:rPr>
        <w:rStyle w:val="af5"/>
      </w:rPr>
      <w:fldChar w:fldCharType="begin"/>
    </w:r>
    <w:r>
      <w:rPr>
        <w:rStyle w:val="af5"/>
      </w:rPr>
      <w:instrText xml:space="preserve">PAGE  </w:instrText>
    </w:r>
    <w:r>
      <w:rPr>
        <w:rStyle w:val="af5"/>
      </w:rPr>
      <w:fldChar w:fldCharType="separate"/>
    </w:r>
    <w:r w:rsidR="004F6EA9">
      <w:rPr>
        <w:rStyle w:val="af5"/>
        <w:noProof/>
      </w:rPr>
      <w:t>4</w:t>
    </w:r>
    <w:r>
      <w:rPr>
        <w:rStyle w:val="af5"/>
      </w:rPr>
      <w:fldChar w:fldCharType="end"/>
    </w:r>
  </w:p>
  <w:p w14:paraId="46A6C105" w14:textId="77777777" w:rsidR="00737A1E" w:rsidRDefault="00737A1E">
    <w:pPr>
      <w:pStyle w:val="aa"/>
      <w:snapToGri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4887" w14:textId="77777777" w:rsidR="00A41828" w:rsidRDefault="00A41828">
      <w:r>
        <w:separator/>
      </w:r>
    </w:p>
  </w:footnote>
  <w:footnote w:type="continuationSeparator" w:id="0">
    <w:p w14:paraId="11845CF2" w14:textId="77777777" w:rsidR="00A41828" w:rsidRDefault="00A41828">
      <w:r>
        <w:continuationSeparator/>
      </w:r>
    </w:p>
  </w:footnote>
  <w:footnote w:type="continuationNotice" w:id="1">
    <w:p w14:paraId="5D9E628B" w14:textId="77777777" w:rsidR="00A41828" w:rsidRDefault="00A418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D26C" w14:textId="77777777" w:rsidR="00737A1E" w:rsidRDefault="00737A1E">
    <w:pPr>
      <w:pStyle w:val="a9"/>
      <w:snapToGri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E"/>
    <w:rsid w:val="00141AE7"/>
    <w:rsid w:val="00147566"/>
    <w:rsid w:val="00221E9E"/>
    <w:rsid w:val="0046212A"/>
    <w:rsid w:val="004F6EA9"/>
    <w:rsid w:val="00647336"/>
    <w:rsid w:val="00651A5A"/>
    <w:rsid w:val="00665F47"/>
    <w:rsid w:val="006E6080"/>
    <w:rsid w:val="00737A1E"/>
    <w:rsid w:val="007419BB"/>
    <w:rsid w:val="00760D79"/>
    <w:rsid w:val="00784AEB"/>
    <w:rsid w:val="00793C0F"/>
    <w:rsid w:val="007B0D30"/>
    <w:rsid w:val="008771E8"/>
    <w:rsid w:val="00964405"/>
    <w:rsid w:val="00A41828"/>
    <w:rsid w:val="00A91C30"/>
    <w:rsid w:val="00AB6D24"/>
    <w:rsid w:val="00B25C39"/>
    <w:rsid w:val="00B859AF"/>
    <w:rsid w:val="00BC5286"/>
    <w:rsid w:val="00C50D5D"/>
    <w:rsid w:val="00C72ADF"/>
    <w:rsid w:val="00CB67BD"/>
    <w:rsid w:val="00D43429"/>
    <w:rsid w:val="00E67DB4"/>
    <w:rsid w:val="00EF6778"/>
    <w:rsid w:val="00F27EBE"/>
    <w:rsid w:val="00F36726"/>
    <w:rsid w:val="00FC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F4B4D"/>
  <w15:docId w15:val="{04605714-9CC3-43E1-88FB-3F241F0C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Char"/>
    <w:qFormat/>
    <w:pPr>
      <w:keepNext/>
      <w:keepLines/>
      <w:spacing w:before="340" w:after="330" w:line="578" w:lineRule="auto"/>
      <w:outlineLvl w:val="0"/>
    </w:pPr>
    <w:rPr>
      <w:b/>
      <w:sz w:val="44"/>
      <w:szCs w:val="2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Arial" w:eastAsia="Arial" w:hAnsi="Arial" w:cs="Arial"/>
      <w:sz w:val="40"/>
      <w:szCs w:val="40"/>
    </w:rPr>
  </w:style>
  <w:style w:type="character" w:customStyle="1" w:styleId="2Char">
    <w:name w:val="标题 2 Char"/>
    <w:basedOn w:val="a0"/>
    <w:link w:val="2"/>
    <w:uiPriority w:val="9"/>
    <w:rPr>
      <w:rFonts w:ascii="Arial" w:eastAsia="Arial" w:hAnsi="Arial" w:cs="Arial"/>
      <w:sz w:val="34"/>
    </w:rPr>
  </w:style>
  <w:style w:type="character" w:customStyle="1" w:styleId="3Char">
    <w:name w:val="标题 3 Char"/>
    <w:basedOn w:val="a0"/>
    <w:link w:val="3"/>
    <w:uiPriority w:val="9"/>
    <w:rPr>
      <w:rFonts w:ascii="Arial" w:eastAsia="Arial" w:hAnsi="Arial" w:cs="Arial"/>
      <w:sz w:val="30"/>
      <w:szCs w:val="30"/>
    </w:rPr>
  </w:style>
  <w:style w:type="character" w:customStyle="1" w:styleId="4Char">
    <w:name w:val="标题 4 Char"/>
    <w:basedOn w:val="a0"/>
    <w:link w:val="4"/>
    <w:uiPriority w:val="9"/>
    <w:rPr>
      <w:rFonts w:ascii="Arial" w:eastAsia="Arial" w:hAnsi="Arial" w:cs="Arial"/>
      <w:b/>
      <w:bCs/>
      <w:sz w:val="26"/>
      <w:szCs w:val="26"/>
    </w:rPr>
  </w:style>
  <w:style w:type="character" w:customStyle="1" w:styleId="5Char">
    <w:name w:val="标题 5 Char"/>
    <w:basedOn w:val="a0"/>
    <w:link w:val="5"/>
    <w:uiPriority w:val="9"/>
    <w:rPr>
      <w:rFonts w:ascii="Arial" w:eastAsia="Arial" w:hAnsi="Arial" w:cs="Arial"/>
      <w:b/>
      <w:bCs/>
      <w:sz w:val="24"/>
      <w:szCs w:val="24"/>
    </w:rPr>
  </w:style>
  <w:style w:type="character" w:customStyle="1" w:styleId="6Char">
    <w:name w:val="标题 6 Char"/>
    <w:basedOn w:val="a0"/>
    <w:link w:val="6"/>
    <w:uiPriority w:val="9"/>
    <w:rPr>
      <w:rFonts w:ascii="Arial" w:eastAsia="Arial" w:hAnsi="Arial" w:cs="Arial"/>
      <w:b/>
      <w:bCs/>
      <w:sz w:val="22"/>
      <w:szCs w:val="22"/>
    </w:rPr>
  </w:style>
  <w:style w:type="character" w:customStyle="1" w:styleId="7Char">
    <w:name w:val="标题 7 Char"/>
    <w:basedOn w:val="a0"/>
    <w:link w:val="7"/>
    <w:uiPriority w:val="9"/>
    <w:rPr>
      <w:rFonts w:ascii="Arial" w:eastAsia="Arial" w:hAnsi="Arial" w:cs="Arial"/>
      <w:b/>
      <w:bCs/>
      <w:i/>
      <w:iCs/>
      <w:sz w:val="22"/>
      <w:szCs w:val="22"/>
    </w:rPr>
  </w:style>
  <w:style w:type="character" w:customStyle="1" w:styleId="8Char">
    <w:name w:val="标题 8 Char"/>
    <w:basedOn w:val="a0"/>
    <w:link w:val="8"/>
    <w:uiPriority w:val="9"/>
    <w:rPr>
      <w:rFonts w:ascii="Arial" w:eastAsia="Arial" w:hAnsi="Arial" w:cs="Arial"/>
      <w:i/>
      <w:iCs/>
      <w:sz w:val="22"/>
      <w:szCs w:val="22"/>
    </w:rPr>
  </w:style>
  <w:style w:type="character" w:customStyle="1" w:styleId="9Char">
    <w:name w:val="标题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5"/>
    <w:uiPriority w:val="10"/>
    <w:rPr>
      <w:sz w:val="48"/>
      <w:szCs w:val="48"/>
    </w:rPr>
  </w:style>
  <w:style w:type="paragraph" w:styleId="a6">
    <w:name w:val="Subtitle"/>
    <w:basedOn w:val="a"/>
    <w:next w:val="a"/>
    <w:link w:val="Char0"/>
    <w:uiPriority w:val="11"/>
    <w:qFormat/>
    <w:pPr>
      <w:spacing w:before="200" w:after="200"/>
    </w:pPr>
    <w:rPr>
      <w:sz w:val="24"/>
    </w:rPr>
  </w:style>
  <w:style w:type="character" w:customStyle="1" w:styleId="Char0">
    <w:name w:val="副标题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引用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rPr>
      <w:i/>
    </w:rPr>
  </w:style>
  <w:style w:type="character" w:customStyle="1" w:styleId="Char3">
    <w:name w:val="页眉 Char"/>
    <w:basedOn w:val="a0"/>
    <w:link w:val="a9"/>
    <w:uiPriority w:val="99"/>
  </w:style>
  <w:style w:type="character" w:customStyle="1" w:styleId="Char4">
    <w:name w:val="页脚 Char"/>
    <w:basedOn w:val="a0"/>
    <w:link w:val="aa"/>
    <w:uiPriority w:val="99"/>
  </w:style>
  <w:style w:type="table" w:styleId="ab">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0">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0">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0">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0">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0">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0">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0">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c">
    <w:name w:val="footnote text"/>
    <w:basedOn w:val="a"/>
    <w:link w:val="Char5"/>
    <w:uiPriority w:val="99"/>
    <w:semiHidden/>
    <w:unhideWhenUsed/>
    <w:pPr>
      <w:spacing w:after="40"/>
    </w:pPr>
    <w:rPr>
      <w:sz w:val="18"/>
    </w:rPr>
  </w:style>
  <w:style w:type="character" w:customStyle="1" w:styleId="Char5">
    <w:name w:val="脚注文本 Char"/>
    <w:link w:val="ac"/>
    <w:uiPriority w:val="99"/>
    <w:rPr>
      <w:sz w:val="18"/>
    </w:rPr>
  </w:style>
  <w:style w:type="character" w:styleId="ad">
    <w:name w:val="footnote reference"/>
    <w:basedOn w:val="a0"/>
    <w:uiPriority w:val="99"/>
    <w:unhideWhenUsed/>
    <w:rPr>
      <w:vertAlign w:val="superscript"/>
    </w:rPr>
  </w:style>
  <w:style w:type="paragraph" w:styleId="TOC">
    <w:name w:val="TOC Heading"/>
    <w:uiPriority w:val="39"/>
    <w:unhideWhenUsed/>
  </w:style>
  <w:style w:type="paragraph" w:styleId="72">
    <w:name w:val="toc 7"/>
    <w:basedOn w:val="a"/>
    <w:next w:val="a"/>
    <w:semiHidden/>
    <w:qFormat/>
    <w:pPr>
      <w:ind w:left="2520"/>
    </w:pPr>
  </w:style>
  <w:style w:type="paragraph" w:styleId="ae">
    <w:name w:val="Normal Indent"/>
    <w:basedOn w:val="a"/>
    <w:qFormat/>
    <w:pPr>
      <w:ind w:firstLine="420"/>
    </w:pPr>
    <w:rPr>
      <w:szCs w:val="20"/>
    </w:rPr>
  </w:style>
  <w:style w:type="paragraph" w:styleId="af">
    <w:name w:val="Document Map"/>
    <w:basedOn w:val="a"/>
    <w:semiHidden/>
    <w:qFormat/>
    <w:pPr>
      <w:shd w:val="clear" w:color="auto" w:fill="000080"/>
    </w:pPr>
  </w:style>
  <w:style w:type="paragraph" w:styleId="af0">
    <w:name w:val="annotation text"/>
    <w:basedOn w:val="a"/>
    <w:link w:val="Char6"/>
    <w:qFormat/>
    <w:pPr>
      <w:jc w:val="left"/>
    </w:pPr>
  </w:style>
  <w:style w:type="paragraph" w:styleId="af1">
    <w:name w:val="Body Text Indent"/>
    <w:basedOn w:val="a"/>
    <w:qFormat/>
    <w:pPr>
      <w:spacing w:line="400" w:lineRule="exact"/>
      <w:ind w:firstLine="538"/>
    </w:pPr>
    <w:rPr>
      <w:rFonts w:ascii="仿宋_GB2312" w:eastAsia="仿宋_GB2312" w:hAnsi="宋体"/>
      <w:color w:val="000000"/>
      <w:sz w:val="28"/>
    </w:rPr>
  </w:style>
  <w:style w:type="paragraph" w:styleId="53">
    <w:name w:val="toc 5"/>
    <w:basedOn w:val="a"/>
    <w:next w:val="a"/>
    <w:semiHidden/>
    <w:qFormat/>
    <w:pPr>
      <w:ind w:left="1680"/>
    </w:pPr>
  </w:style>
  <w:style w:type="paragraph" w:styleId="33">
    <w:name w:val="toc 3"/>
    <w:basedOn w:val="a"/>
    <w:next w:val="a"/>
    <w:semiHidden/>
    <w:qFormat/>
    <w:pPr>
      <w:ind w:left="840"/>
    </w:pPr>
  </w:style>
  <w:style w:type="paragraph" w:styleId="af2">
    <w:name w:val="Plain Text"/>
    <w:basedOn w:val="a"/>
    <w:qFormat/>
    <w:rPr>
      <w:rFonts w:ascii="宋体" w:hAnsi="Courier New"/>
      <w:szCs w:val="21"/>
    </w:rPr>
  </w:style>
  <w:style w:type="paragraph" w:styleId="80">
    <w:name w:val="toc 8"/>
    <w:basedOn w:val="a"/>
    <w:next w:val="a"/>
    <w:semiHidden/>
    <w:qFormat/>
    <w:pPr>
      <w:ind w:left="2940"/>
    </w:pPr>
  </w:style>
  <w:style w:type="paragraph" w:styleId="23">
    <w:name w:val="Body Text Indent 2"/>
    <w:basedOn w:val="a"/>
    <w:qFormat/>
    <w:pPr>
      <w:tabs>
        <w:tab w:val="left" w:pos="540"/>
      </w:tabs>
      <w:ind w:left="540" w:firstLine="540"/>
    </w:pPr>
    <w:rPr>
      <w:rFonts w:eastAsia="长城仿宋"/>
      <w:sz w:val="24"/>
      <w:szCs w:val="20"/>
    </w:rPr>
  </w:style>
  <w:style w:type="paragraph" w:styleId="af3">
    <w:name w:val="Balloon Text"/>
    <w:basedOn w:val="a"/>
    <w:semiHidden/>
    <w:qFormat/>
    <w:rPr>
      <w:sz w:val="18"/>
      <w:szCs w:val="18"/>
    </w:rPr>
  </w:style>
  <w:style w:type="paragraph" w:styleId="aa">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semiHidden/>
    <w:qFormat/>
  </w:style>
  <w:style w:type="paragraph" w:styleId="43">
    <w:name w:val="toc 4"/>
    <w:basedOn w:val="a"/>
    <w:next w:val="a"/>
    <w:qFormat/>
    <w:pPr>
      <w:ind w:left="1260"/>
    </w:pPr>
  </w:style>
  <w:style w:type="paragraph" w:styleId="62">
    <w:name w:val="toc 6"/>
    <w:basedOn w:val="a"/>
    <w:next w:val="a"/>
    <w:semiHidden/>
    <w:qFormat/>
    <w:pPr>
      <w:ind w:left="2100"/>
    </w:pPr>
  </w:style>
  <w:style w:type="paragraph" w:styleId="34">
    <w:name w:val="Body Text Indent 3"/>
    <w:basedOn w:val="a"/>
    <w:qFormat/>
    <w:pPr>
      <w:ind w:left="360" w:firstLine="540"/>
    </w:pPr>
    <w:rPr>
      <w:rFonts w:eastAsia="长城仿宋"/>
      <w:sz w:val="24"/>
      <w:szCs w:val="20"/>
    </w:rPr>
  </w:style>
  <w:style w:type="paragraph" w:styleId="24">
    <w:name w:val="toc 2"/>
    <w:basedOn w:val="a"/>
    <w:next w:val="a"/>
    <w:semiHidden/>
    <w:qFormat/>
    <w:pPr>
      <w:ind w:left="420"/>
    </w:pPr>
  </w:style>
  <w:style w:type="paragraph" w:styleId="90">
    <w:name w:val="toc 9"/>
    <w:basedOn w:val="a"/>
    <w:next w:val="a"/>
    <w:semiHidden/>
    <w:qFormat/>
    <w:pPr>
      <w:ind w:left="3360"/>
    </w:pPr>
  </w:style>
  <w:style w:type="paragraph" w:styleId="25">
    <w:name w:val="Body Text 2"/>
    <w:basedOn w:val="a"/>
    <w:qFormat/>
    <w:pPr>
      <w:spacing w:after="120" w:line="480" w:lineRule="auto"/>
    </w:pPr>
  </w:style>
  <w:style w:type="paragraph" w:styleId="af4">
    <w:name w:val="annotation subject"/>
    <w:basedOn w:val="af0"/>
    <w:next w:val="af0"/>
    <w:link w:val="Char7"/>
    <w:qFormat/>
    <w:rPr>
      <w:b/>
      <w:bCs/>
    </w:rPr>
  </w:style>
  <w:style w:type="character" w:styleId="af5">
    <w:name w:val="page number"/>
    <w:basedOn w:val="a0"/>
    <w:qFormat/>
  </w:style>
  <w:style w:type="character" w:styleId="af6">
    <w:name w:val="Hyperlink"/>
    <w:qFormat/>
    <w:rPr>
      <w:color w:val="0000FF"/>
      <w:u w:val="single"/>
    </w:rPr>
  </w:style>
  <w:style w:type="character" w:styleId="af7">
    <w:name w:val="annotation reference"/>
    <w:qFormat/>
    <w:rPr>
      <w:sz w:val="21"/>
      <w:szCs w:val="21"/>
    </w:rPr>
  </w:style>
  <w:style w:type="paragraph" w:customStyle="1" w:styleId="Web">
    <w:name w:val="普通 (Web)"/>
    <w:basedOn w:val="a"/>
    <w:qFormat/>
    <w:pPr>
      <w:widowControl/>
      <w:spacing w:before="100" w:beforeAutospacing="1" w:after="100" w:afterAutospacing="1"/>
      <w:jc w:val="left"/>
    </w:pPr>
    <w:rPr>
      <w:rFonts w:ascii="宋体" w:hAnsi="宋体"/>
      <w:sz w:val="24"/>
    </w:rPr>
  </w:style>
  <w:style w:type="paragraph" w:customStyle="1" w:styleId="Char8">
    <w:name w:val="Char"/>
    <w:basedOn w:val="a"/>
    <w:qFormat/>
  </w:style>
  <w:style w:type="paragraph" w:customStyle="1" w:styleId="Style30">
    <w:name w:val="_Style 30"/>
    <w:hidden/>
    <w:uiPriority w:val="99"/>
    <w:semiHidden/>
    <w:qFormat/>
    <w:rPr>
      <w:sz w:val="21"/>
      <w:szCs w:val="24"/>
    </w:rPr>
  </w:style>
  <w:style w:type="character" w:customStyle="1" w:styleId="unnamed11">
    <w:name w:val="unnamed11"/>
    <w:qFormat/>
    <w:rPr>
      <w:rFonts w:ascii="宋体" w:eastAsia="宋体" w:hAnsi="宋体" w:hint="eastAsia"/>
      <w:sz w:val="18"/>
    </w:rPr>
  </w:style>
  <w:style w:type="paragraph" w:customStyle="1" w:styleId="CharChar">
    <w:name w:val="Char Char"/>
    <w:basedOn w:val="a"/>
    <w:qFormat/>
    <w:rPr>
      <w:szCs w:val="20"/>
    </w:rPr>
  </w:style>
  <w:style w:type="character" w:customStyle="1" w:styleId="Char6">
    <w:name w:val="批注文字 Char"/>
    <w:link w:val="af0"/>
    <w:qFormat/>
    <w:rPr>
      <w:sz w:val="21"/>
      <w:szCs w:val="24"/>
    </w:rPr>
  </w:style>
  <w:style w:type="character" w:customStyle="1" w:styleId="Char7">
    <w:name w:val="批注主题 Char"/>
    <w:link w:val="af4"/>
    <w:qFormat/>
    <w:rPr>
      <w:b/>
      <w:bCs/>
      <w:sz w:val="21"/>
      <w:szCs w:val="24"/>
    </w:rPr>
  </w:style>
  <w:style w:type="paragraph" w:customStyle="1" w:styleId="Default">
    <w:name w:val="Default"/>
    <w:qFormat/>
    <w:pPr>
      <w:widowControl w:val="0"/>
    </w:pPr>
    <w:rPr>
      <w:rFonts w:ascii="仿宋_GB2312" w:eastAsia="仿宋_GB2312" w:hAnsi="Calibri" w:cs="仿宋_GB2312"/>
      <w:color w:val="000000"/>
      <w:sz w:val="24"/>
      <w:szCs w:val="24"/>
    </w:rPr>
  </w:style>
  <w:style w:type="paragraph" w:customStyle="1" w:styleId="14">
    <w:name w:val="列出段落1"/>
    <w:basedOn w:val="a"/>
    <w:uiPriority w:val="34"/>
    <w:qFormat/>
    <w:pPr>
      <w:ind w:firstLine="420"/>
    </w:pPr>
    <w:rPr>
      <w:rFonts w:ascii="Calibri" w:hAnsi="Calibri"/>
      <w:szCs w:val="22"/>
    </w:rPr>
  </w:style>
  <w:style w:type="paragraph" w:styleId="af8">
    <w:name w:val="Revision"/>
    <w:hidden/>
    <w:uiPriority w:val="99"/>
    <w:semiHidden/>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30</Pages>
  <Words>3374</Words>
  <Characters>19232</Characters>
  <Application>Microsoft Office Word</Application>
  <DocSecurity>0</DocSecurity>
  <Lines>160</Lines>
  <Paragraphs>45</Paragraphs>
  <ScaleCrop>false</ScaleCrop>
  <Company>EastHome</Company>
  <LinksUpToDate>false</LinksUpToDate>
  <CharactersWithSpaces>22561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10</cp:revision>
  <dcterms:created xsi:type="dcterms:W3CDTF">2026-01-19T05:58:00Z</dcterms:created>
  <dcterms:modified xsi:type="dcterms:W3CDTF">2026-06-22T02:51:00Z</dcterms:modified>
</cp:coreProperties>
</file>