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1D9476" w14:textId="77777777" w:rsidR="00BF38BB" w:rsidRDefault="00BF38BB">
      <w:pPr>
        <w:tabs>
          <w:tab w:val="left" w:pos="5370"/>
          <w:tab w:val="left" w:pos="6660"/>
        </w:tabs>
        <w:spacing w:line="720" w:lineRule="auto"/>
        <w:rPr>
          <w:rFonts w:ascii="黑体" w:eastAsia="黑体" w:hAnsi="黑体"/>
          <w:b/>
          <w:sz w:val="44"/>
        </w:rPr>
      </w:pPr>
    </w:p>
    <w:p w14:paraId="06D5364E" w14:textId="77777777" w:rsidR="00BF38BB" w:rsidRDefault="00BF38BB">
      <w:pPr>
        <w:adjustRightInd w:val="0"/>
        <w:snapToGrid w:val="0"/>
        <w:spacing w:line="360" w:lineRule="auto"/>
        <w:jc w:val="center"/>
        <w:rPr>
          <w:rFonts w:ascii="黑体" w:eastAsia="黑体" w:hAnsi="黑体"/>
          <w:b/>
          <w:color w:val="FF0000"/>
          <w:sz w:val="44"/>
        </w:rPr>
      </w:pPr>
    </w:p>
    <w:p w14:paraId="3C911418" w14:textId="77777777" w:rsidR="00BF38BB" w:rsidRDefault="00BF38BB">
      <w:pPr>
        <w:adjustRightInd w:val="0"/>
        <w:snapToGrid w:val="0"/>
        <w:spacing w:line="360" w:lineRule="auto"/>
        <w:jc w:val="center"/>
        <w:rPr>
          <w:rFonts w:ascii="黑体" w:eastAsia="黑体" w:hAnsi="黑体"/>
          <w:b/>
          <w:color w:val="FF0000"/>
          <w:sz w:val="44"/>
        </w:rPr>
      </w:pPr>
    </w:p>
    <w:p w14:paraId="24BCBAAE" w14:textId="77777777" w:rsidR="00BF38BB" w:rsidRDefault="002837D7">
      <w:pPr>
        <w:adjustRightInd w:val="0"/>
        <w:snapToGrid w:val="0"/>
        <w:spacing w:line="360" w:lineRule="auto"/>
        <w:jc w:val="center"/>
        <w:rPr>
          <w:rFonts w:ascii="黑体" w:eastAsia="黑体" w:hAnsi="黑体"/>
          <w:b/>
          <w:color w:val="FF0000"/>
          <w:sz w:val="44"/>
        </w:rPr>
      </w:pPr>
      <w:r>
        <w:rPr>
          <w:rFonts w:ascii="黑体" w:eastAsia="黑体" w:hAnsi="黑体" w:hint="eastAsia"/>
          <w:b/>
          <w:color w:val="FF0000"/>
          <w:sz w:val="44"/>
        </w:rPr>
        <w:t>嘉实中证</w:t>
      </w:r>
      <w:r>
        <w:rPr>
          <w:rFonts w:ascii="黑体" w:eastAsia="黑体" w:hAnsi="黑体" w:hint="eastAsia"/>
          <w:b/>
          <w:color w:val="FF0000"/>
          <w:sz w:val="44"/>
        </w:rPr>
        <w:t>800</w:t>
      </w:r>
      <w:r>
        <w:rPr>
          <w:rFonts w:ascii="黑体" w:eastAsia="黑体" w:hAnsi="黑体" w:hint="eastAsia"/>
          <w:b/>
          <w:color w:val="FF0000"/>
          <w:sz w:val="44"/>
        </w:rPr>
        <w:t>指数增强型证券投资基金</w:t>
      </w:r>
    </w:p>
    <w:p w14:paraId="77527681" w14:textId="77777777" w:rsidR="00BF38BB" w:rsidRDefault="002837D7">
      <w:pPr>
        <w:adjustRightInd w:val="0"/>
        <w:snapToGrid w:val="0"/>
        <w:spacing w:line="360" w:lineRule="auto"/>
        <w:jc w:val="center"/>
        <w:rPr>
          <w:rFonts w:ascii="黑体" w:eastAsia="黑体" w:hAnsi="黑体"/>
          <w:b/>
          <w:color w:val="FF0000"/>
          <w:sz w:val="44"/>
        </w:rPr>
      </w:pPr>
      <w:r>
        <w:rPr>
          <w:rFonts w:ascii="黑体" w:eastAsia="黑体" w:hAnsi="黑体" w:hint="eastAsia"/>
          <w:b/>
          <w:color w:val="FF0000"/>
          <w:sz w:val="44"/>
        </w:rPr>
        <w:t>招募说明书</w:t>
      </w:r>
    </w:p>
    <w:p w14:paraId="31993624" w14:textId="77777777" w:rsidR="00BF38BB" w:rsidRDefault="00BF38BB">
      <w:pPr>
        <w:adjustRightInd w:val="0"/>
        <w:snapToGrid w:val="0"/>
        <w:spacing w:line="360" w:lineRule="auto"/>
        <w:jc w:val="center"/>
        <w:rPr>
          <w:rFonts w:ascii="黑体" w:eastAsia="黑体" w:hAnsi="黑体"/>
          <w:b/>
          <w:color w:val="FF0000"/>
          <w:sz w:val="44"/>
        </w:rPr>
      </w:pPr>
    </w:p>
    <w:p w14:paraId="5DBEBF8B" w14:textId="77777777" w:rsidR="00BF38BB" w:rsidRDefault="00BF38BB">
      <w:pPr>
        <w:adjustRightInd w:val="0"/>
        <w:snapToGrid w:val="0"/>
        <w:spacing w:line="360" w:lineRule="auto"/>
        <w:jc w:val="center"/>
        <w:rPr>
          <w:rFonts w:ascii="宋体" w:hAnsi="宋体"/>
          <w:b/>
          <w:color w:val="FF0000"/>
          <w:sz w:val="44"/>
        </w:rPr>
      </w:pPr>
    </w:p>
    <w:p w14:paraId="79C727BC" w14:textId="77777777" w:rsidR="00BF38BB" w:rsidRDefault="00BF38BB">
      <w:pPr>
        <w:adjustRightInd w:val="0"/>
        <w:snapToGrid w:val="0"/>
        <w:spacing w:line="360" w:lineRule="auto"/>
        <w:jc w:val="center"/>
        <w:rPr>
          <w:rFonts w:ascii="宋体" w:hAnsi="宋体"/>
          <w:b/>
          <w:color w:val="FF0000"/>
          <w:sz w:val="44"/>
        </w:rPr>
      </w:pPr>
    </w:p>
    <w:p w14:paraId="684C5B3E" w14:textId="77777777" w:rsidR="00BF38BB" w:rsidRDefault="00BF38BB">
      <w:pPr>
        <w:adjustRightInd w:val="0"/>
        <w:snapToGrid w:val="0"/>
        <w:spacing w:line="360" w:lineRule="auto"/>
        <w:jc w:val="center"/>
        <w:rPr>
          <w:rFonts w:ascii="宋体" w:hAnsi="宋体"/>
          <w:b/>
          <w:color w:val="FF0000"/>
          <w:sz w:val="44"/>
        </w:rPr>
      </w:pPr>
    </w:p>
    <w:p w14:paraId="545554C8" w14:textId="77777777" w:rsidR="00BF38BB" w:rsidRDefault="00BF38BB">
      <w:pPr>
        <w:tabs>
          <w:tab w:val="left" w:pos="6660"/>
        </w:tabs>
        <w:spacing w:line="480" w:lineRule="auto"/>
        <w:jc w:val="center"/>
        <w:rPr>
          <w:rFonts w:ascii="黑体" w:eastAsia="黑体" w:hAnsi="黑体"/>
          <w:b/>
          <w:bCs/>
          <w:sz w:val="30"/>
          <w:szCs w:val="30"/>
        </w:rPr>
      </w:pPr>
    </w:p>
    <w:p w14:paraId="68A24EC7" w14:textId="77777777" w:rsidR="00BF38BB" w:rsidRDefault="002837D7">
      <w:pPr>
        <w:spacing w:line="480" w:lineRule="auto"/>
        <w:jc w:val="center"/>
        <w:rPr>
          <w:rFonts w:ascii="黑体" w:eastAsia="黑体" w:hAnsi="黑体"/>
          <w:b/>
          <w:color w:val="000000"/>
          <w:sz w:val="30"/>
          <w:szCs w:val="30"/>
        </w:rPr>
      </w:pPr>
      <w:bookmarkStart w:id="0" w:name="_Toc123701383"/>
      <w:bookmarkStart w:id="1" w:name="_Toc139992301"/>
      <w:bookmarkStart w:id="2" w:name="_Toc123112224"/>
      <w:bookmarkStart w:id="3" w:name="_Toc139991726"/>
      <w:bookmarkStart w:id="4" w:name="_Toc123112263"/>
      <w:r>
        <w:rPr>
          <w:rFonts w:ascii="黑体" w:eastAsia="黑体" w:hAnsi="黑体"/>
          <w:b/>
          <w:color w:val="000000"/>
          <w:sz w:val="30"/>
          <w:szCs w:val="30"/>
        </w:rPr>
        <w:t>基金管理人：</w:t>
      </w:r>
      <w:bookmarkEnd w:id="0"/>
      <w:bookmarkEnd w:id="1"/>
      <w:bookmarkEnd w:id="2"/>
      <w:bookmarkEnd w:id="3"/>
      <w:bookmarkEnd w:id="4"/>
      <w:r>
        <w:rPr>
          <w:rFonts w:ascii="黑体" w:eastAsia="黑体" w:hAnsi="黑体"/>
          <w:b/>
          <w:color w:val="000000"/>
          <w:sz w:val="30"/>
          <w:szCs w:val="30"/>
        </w:rPr>
        <w:t>嘉实基金管理有限公司</w:t>
      </w:r>
    </w:p>
    <w:p w14:paraId="35B50521" w14:textId="77777777" w:rsidR="00BF38BB" w:rsidRDefault="002837D7">
      <w:pPr>
        <w:spacing w:line="480" w:lineRule="auto"/>
        <w:jc w:val="center"/>
        <w:rPr>
          <w:rFonts w:ascii="黑体" w:eastAsia="黑体" w:hAnsi="黑体"/>
          <w:b/>
          <w:color w:val="000000"/>
          <w:sz w:val="30"/>
          <w:szCs w:val="30"/>
        </w:rPr>
      </w:pPr>
      <w:bookmarkStart w:id="5" w:name="_Toc123112225"/>
      <w:bookmarkStart w:id="6" w:name="_Toc123701384"/>
      <w:bookmarkStart w:id="7" w:name="_Toc139991727"/>
      <w:bookmarkStart w:id="8" w:name="_Toc139992302"/>
      <w:bookmarkStart w:id="9" w:name="_Toc123112264"/>
      <w:r>
        <w:rPr>
          <w:rFonts w:ascii="黑体" w:eastAsia="黑体" w:hAnsi="黑体"/>
          <w:b/>
          <w:color w:val="000000"/>
          <w:sz w:val="30"/>
          <w:szCs w:val="30"/>
        </w:rPr>
        <w:t>基金托管人：</w:t>
      </w:r>
      <w:bookmarkEnd w:id="5"/>
      <w:bookmarkEnd w:id="6"/>
      <w:bookmarkEnd w:id="7"/>
      <w:bookmarkEnd w:id="8"/>
      <w:bookmarkEnd w:id="9"/>
      <w:r>
        <w:rPr>
          <w:rFonts w:ascii="黑体" w:eastAsia="黑体" w:hAnsi="黑体" w:hint="eastAsia"/>
          <w:b/>
          <w:color w:val="000000"/>
          <w:sz w:val="30"/>
          <w:szCs w:val="30"/>
        </w:rPr>
        <w:t>交通银行股份有限公司</w:t>
      </w:r>
    </w:p>
    <w:p w14:paraId="7C929ED9" w14:textId="77777777" w:rsidR="00BF38BB" w:rsidRDefault="00BF38BB">
      <w:pPr>
        <w:tabs>
          <w:tab w:val="center" w:pos="4153"/>
          <w:tab w:val="right" w:pos="8306"/>
        </w:tabs>
        <w:autoSpaceDE w:val="0"/>
        <w:autoSpaceDN w:val="0"/>
        <w:adjustRightInd w:val="0"/>
        <w:spacing w:line="480" w:lineRule="auto"/>
        <w:jc w:val="center"/>
        <w:rPr>
          <w:rFonts w:ascii="黑体" w:eastAsia="黑体" w:hAnsi="黑体"/>
          <w:b/>
          <w:sz w:val="30"/>
          <w:szCs w:val="30"/>
        </w:rPr>
      </w:pPr>
    </w:p>
    <w:p w14:paraId="1FE4DF33" w14:textId="77777777" w:rsidR="00BF38BB" w:rsidRDefault="00BF38BB">
      <w:pPr>
        <w:tabs>
          <w:tab w:val="center" w:pos="4153"/>
          <w:tab w:val="right" w:pos="8306"/>
        </w:tabs>
        <w:autoSpaceDE w:val="0"/>
        <w:autoSpaceDN w:val="0"/>
        <w:adjustRightInd w:val="0"/>
        <w:spacing w:line="480" w:lineRule="auto"/>
        <w:jc w:val="center"/>
        <w:rPr>
          <w:rFonts w:ascii="黑体" w:eastAsia="黑体" w:hAnsi="黑体"/>
          <w:b/>
          <w:sz w:val="30"/>
          <w:szCs w:val="30"/>
        </w:rPr>
      </w:pPr>
    </w:p>
    <w:p w14:paraId="2A535E74" w14:textId="77777777" w:rsidR="00BF38BB" w:rsidRDefault="002837D7">
      <w:pPr>
        <w:tabs>
          <w:tab w:val="center" w:pos="4153"/>
          <w:tab w:val="right" w:pos="8306"/>
        </w:tabs>
        <w:autoSpaceDE w:val="0"/>
        <w:autoSpaceDN w:val="0"/>
        <w:adjustRightInd w:val="0"/>
        <w:spacing w:line="480" w:lineRule="auto"/>
        <w:jc w:val="center"/>
        <w:rPr>
          <w:rFonts w:ascii="黑体" w:eastAsia="黑体" w:hAnsi="黑体"/>
          <w:b/>
          <w:sz w:val="30"/>
          <w:szCs w:val="30"/>
        </w:rPr>
      </w:pPr>
      <w:r>
        <w:rPr>
          <w:rFonts w:ascii="黑体" w:eastAsia="黑体" w:hAnsi="黑体" w:hint="eastAsia"/>
          <w:b/>
          <w:sz w:val="30"/>
          <w:szCs w:val="30"/>
        </w:rPr>
        <w:t>二〇二六</w:t>
      </w:r>
      <w:r>
        <w:rPr>
          <w:rFonts w:ascii="黑体" w:eastAsia="黑体" w:hAnsi="黑体"/>
          <w:b/>
          <w:sz w:val="30"/>
          <w:szCs w:val="30"/>
        </w:rPr>
        <w:t>年</w:t>
      </w:r>
      <w:r>
        <w:rPr>
          <w:rFonts w:ascii="黑体" w:eastAsia="黑体" w:hAnsi="黑体" w:hint="eastAsia"/>
          <w:b/>
          <w:sz w:val="30"/>
          <w:szCs w:val="30"/>
        </w:rPr>
        <w:t>六月</w:t>
      </w:r>
    </w:p>
    <w:p w14:paraId="5B5B4116" w14:textId="77777777" w:rsidR="00BF38BB" w:rsidRDefault="002837D7">
      <w:pPr>
        <w:widowControl/>
        <w:jc w:val="left"/>
        <w:rPr>
          <w:rFonts w:ascii="宋体" w:hAnsi="宋体"/>
          <w:b/>
          <w:sz w:val="28"/>
        </w:rPr>
      </w:pPr>
      <w:r>
        <w:rPr>
          <w:rFonts w:ascii="宋体" w:hAnsi="宋体"/>
          <w:b/>
          <w:sz w:val="28"/>
        </w:rPr>
        <w:br w:type="page"/>
      </w:r>
    </w:p>
    <w:p w14:paraId="56DCC4A1" w14:textId="77777777" w:rsidR="00BF38BB" w:rsidRDefault="002837D7">
      <w:pPr>
        <w:tabs>
          <w:tab w:val="center" w:pos="4252"/>
          <w:tab w:val="left" w:pos="7530"/>
        </w:tabs>
        <w:autoSpaceDE w:val="0"/>
        <w:autoSpaceDN w:val="0"/>
        <w:adjustRightInd w:val="0"/>
        <w:spacing w:line="360" w:lineRule="auto"/>
        <w:ind w:firstLine="198"/>
        <w:jc w:val="center"/>
        <w:rPr>
          <w:rFonts w:ascii="宋体" w:hAnsi="宋体"/>
          <w:b/>
          <w:kern w:val="0"/>
          <w:sz w:val="28"/>
        </w:rPr>
      </w:pPr>
      <w:r>
        <w:rPr>
          <w:rFonts w:ascii="宋体" w:hAnsi="宋体"/>
          <w:b/>
          <w:kern w:val="0"/>
          <w:sz w:val="36"/>
        </w:rPr>
        <w:lastRenderedPageBreak/>
        <w:t>嘉实中证</w:t>
      </w:r>
      <w:r>
        <w:rPr>
          <w:rFonts w:ascii="宋体" w:hAnsi="宋体"/>
          <w:b/>
          <w:kern w:val="0"/>
          <w:sz w:val="36"/>
        </w:rPr>
        <w:t>800</w:t>
      </w:r>
      <w:r>
        <w:rPr>
          <w:rFonts w:ascii="宋体" w:hAnsi="宋体"/>
          <w:b/>
          <w:kern w:val="0"/>
          <w:sz w:val="36"/>
        </w:rPr>
        <w:t>指数增强型证券投资基金招募说明书</w:t>
      </w:r>
    </w:p>
    <w:p w14:paraId="6E7033F2" w14:textId="77777777" w:rsidR="00BF38BB" w:rsidRDefault="00BF38BB">
      <w:pPr>
        <w:tabs>
          <w:tab w:val="center" w:pos="4153"/>
          <w:tab w:val="right" w:pos="8306"/>
        </w:tabs>
        <w:autoSpaceDE w:val="0"/>
        <w:autoSpaceDN w:val="0"/>
        <w:adjustRightInd w:val="0"/>
        <w:spacing w:line="360" w:lineRule="auto"/>
        <w:jc w:val="center"/>
        <w:rPr>
          <w:rFonts w:ascii="宋体" w:hAnsi="宋体"/>
          <w:b/>
          <w:sz w:val="28"/>
        </w:rPr>
      </w:pPr>
    </w:p>
    <w:p w14:paraId="6185B47C" w14:textId="77777777" w:rsidR="00BF38BB" w:rsidRDefault="002837D7">
      <w:pPr>
        <w:tabs>
          <w:tab w:val="center" w:pos="4153"/>
          <w:tab w:val="right" w:pos="8306"/>
        </w:tabs>
        <w:autoSpaceDE w:val="0"/>
        <w:autoSpaceDN w:val="0"/>
        <w:adjustRightInd w:val="0"/>
        <w:spacing w:line="360" w:lineRule="auto"/>
        <w:jc w:val="center"/>
        <w:rPr>
          <w:rFonts w:ascii="宋体" w:hAnsi="宋体"/>
          <w:b/>
          <w:sz w:val="28"/>
        </w:rPr>
      </w:pPr>
      <w:r>
        <w:rPr>
          <w:rFonts w:ascii="宋体" w:hAnsi="宋体"/>
          <w:b/>
          <w:sz w:val="28"/>
        </w:rPr>
        <w:t>重要提示</w:t>
      </w:r>
    </w:p>
    <w:p w14:paraId="6169F6B3" w14:textId="77777777" w:rsidR="00BF38BB" w:rsidRDefault="002837D7">
      <w:pPr>
        <w:pStyle w:val="aff6"/>
        <w:autoSpaceDE w:val="0"/>
        <w:autoSpaceDN w:val="0"/>
        <w:adjustRightInd w:val="0"/>
        <w:rPr>
          <w:rFonts w:hAnsi="宋体"/>
          <w:kern w:val="0"/>
        </w:rPr>
      </w:pPr>
      <w:r>
        <w:rPr>
          <w:rFonts w:hAnsi="宋体" w:hint="eastAsia"/>
          <w:kern w:val="0"/>
        </w:rPr>
        <w:t>嘉实中证</w:t>
      </w:r>
      <w:r>
        <w:rPr>
          <w:rFonts w:hAnsi="宋体" w:hint="eastAsia"/>
          <w:kern w:val="0"/>
        </w:rPr>
        <w:t>800</w:t>
      </w:r>
      <w:r>
        <w:rPr>
          <w:rFonts w:hAnsi="宋体" w:hint="eastAsia"/>
          <w:kern w:val="0"/>
        </w:rPr>
        <w:t>指数增强型证券投资基金（以下简称“本基金”）已于</w:t>
      </w:r>
      <w:r>
        <w:rPr>
          <w:rFonts w:hAnsi="宋体" w:hint="eastAsia"/>
          <w:kern w:val="0"/>
        </w:rPr>
        <w:t>2</w:t>
      </w:r>
      <w:r>
        <w:rPr>
          <w:rFonts w:hAnsi="宋体"/>
          <w:kern w:val="0"/>
        </w:rPr>
        <w:t>026</w:t>
      </w:r>
      <w:r>
        <w:rPr>
          <w:rFonts w:hAnsi="宋体" w:hint="eastAsia"/>
          <w:kern w:val="0"/>
        </w:rPr>
        <w:t>年</w:t>
      </w:r>
      <w:r>
        <w:rPr>
          <w:rFonts w:hAnsi="宋体"/>
          <w:kern w:val="0"/>
        </w:rPr>
        <w:t>6</w:t>
      </w:r>
      <w:r>
        <w:rPr>
          <w:rFonts w:hAnsi="宋体" w:hint="eastAsia"/>
          <w:kern w:val="0"/>
        </w:rPr>
        <w:t>月</w:t>
      </w:r>
      <w:r>
        <w:rPr>
          <w:rFonts w:hAnsi="宋体"/>
          <w:kern w:val="0"/>
        </w:rPr>
        <w:t>2</w:t>
      </w:r>
      <w:r>
        <w:rPr>
          <w:rFonts w:hAnsi="宋体" w:hint="eastAsia"/>
          <w:kern w:val="0"/>
        </w:rPr>
        <w:t>日获得中国证券监督管理委员会（以下简称“中国证监会”）准予注册的批复（证监许可</w:t>
      </w:r>
      <w:r>
        <w:rPr>
          <w:rFonts w:hAnsi="宋体" w:hint="eastAsia"/>
          <w:kern w:val="0"/>
        </w:rPr>
        <w:t>[</w:t>
      </w:r>
      <w:r>
        <w:rPr>
          <w:rFonts w:hAnsi="宋体"/>
          <w:kern w:val="0"/>
        </w:rPr>
        <w:t>2026</w:t>
      </w:r>
      <w:r>
        <w:rPr>
          <w:rFonts w:hAnsi="宋体" w:hint="eastAsia"/>
          <w:kern w:val="0"/>
        </w:rPr>
        <w:t>]</w:t>
      </w:r>
      <w:r>
        <w:rPr>
          <w:rFonts w:hAnsi="宋体"/>
          <w:kern w:val="0"/>
        </w:rPr>
        <w:t>1357</w:t>
      </w:r>
      <w:r>
        <w:rPr>
          <w:rFonts w:hAnsi="宋体" w:hint="eastAsia"/>
          <w:kern w:val="0"/>
        </w:rPr>
        <w:t>号《关于准予嘉实中证</w:t>
      </w:r>
      <w:r>
        <w:rPr>
          <w:rFonts w:hAnsi="宋体" w:hint="eastAsia"/>
          <w:kern w:val="0"/>
        </w:rPr>
        <w:t>800</w:t>
      </w:r>
      <w:r>
        <w:rPr>
          <w:rFonts w:hAnsi="宋体" w:hint="eastAsia"/>
          <w:kern w:val="0"/>
        </w:rPr>
        <w:t>指数增强型证券投资基金注册的批复》）。</w:t>
      </w:r>
    </w:p>
    <w:p w14:paraId="392A2252" w14:textId="77777777" w:rsidR="00BF38BB" w:rsidRDefault="002837D7">
      <w:pPr>
        <w:pStyle w:val="aff6"/>
        <w:autoSpaceDE w:val="0"/>
        <w:autoSpaceDN w:val="0"/>
        <w:adjustRightInd w:val="0"/>
        <w:rPr>
          <w:rFonts w:hAnsi="宋体"/>
          <w:kern w:val="0"/>
        </w:rPr>
      </w:pPr>
      <w:r>
        <w:rPr>
          <w:rFonts w:hAnsi="宋体"/>
          <w:kern w:val="0"/>
        </w:rPr>
        <w:t>基金管理人保证本招募说明书的内容真实、准确、完整。本招募说明书经中国证监会注册，但中国证监会对本基金募集的注册，并不表明其对本基金的</w:t>
      </w:r>
      <w:r>
        <w:rPr>
          <w:rFonts w:hAnsi="宋体" w:hint="eastAsia"/>
          <w:kern w:val="0"/>
        </w:rPr>
        <w:t>投资</w:t>
      </w:r>
      <w:r>
        <w:rPr>
          <w:rFonts w:hAnsi="宋体"/>
          <w:kern w:val="0"/>
        </w:rPr>
        <w:t>价值和</w:t>
      </w:r>
      <w:r>
        <w:rPr>
          <w:rFonts w:hAnsi="宋体" w:hint="eastAsia"/>
          <w:kern w:val="0"/>
        </w:rPr>
        <w:t>市场</w:t>
      </w:r>
      <w:r>
        <w:rPr>
          <w:rFonts w:hAnsi="宋体"/>
          <w:kern w:val="0"/>
        </w:rPr>
        <w:t>前景作出实质性判断或保证，也不表明投资于本基金没有风险。</w:t>
      </w:r>
    </w:p>
    <w:p w14:paraId="20736FD8" w14:textId="77777777" w:rsidR="00BF38BB" w:rsidRDefault="002837D7">
      <w:pPr>
        <w:pStyle w:val="aff6"/>
        <w:autoSpaceDE w:val="0"/>
        <w:autoSpaceDN w:val="0"/>
        <w:adjustRightInd w:val="0"/>
        <w:rPr>
          <w:rFonts w:hAnsi="宋体"/>
          <w:kern w:val="0"/>
        </w:rPr>
      </w:pPr>
      <w:r>
        <w:rPr>
          <w:rFonts w:hAnsi="宋体" w:hint="eastAsia"/>
          <w:kern w:val="0"/>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079672F6" w14:textId="77777777" w:rsidR="00BF38BB" w:rsidRDefault="002837D7">
      <w:pPr>
        <w:autoSpaceDE w:val="0"/>
        <w:autoSpaceDN w:val="0"/>
        <w:adjustRightInd w:val="0"/>
        <w:spacing w:line="360" w:lineRule="auto"/>
        <w:ind w:firstLine="420"/>
        <w:rPr>
          <w:rFonts w:ascii="宋体" w:hAnsi="宋体"/>
          <w:szCs w:val="24"/>
        </w:rPr>
      </w:pPr>
      <w:r>
        <w:rPr>
          <w:rFonts w:ascii="宋体" w:hAnsi="宋体"/>
          <w:szCs w:val="24"/>
        </w:rPr>
        <w:t>本基金投资于证券市场，基金净值会因为证券市场波动</w:t>
      </w:r>
      <w:r>
        <w:rPr>
          <w:rFonts w:ascii="宋体" w:hAnsi="宋体"/>
          <w:szCs w:val="24"/>
        </w:rPr>
        <w:t>等因素产生波动，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有风险</w:t>
      </w:r>
      <w:r>
        <w:rPr>
          <w:rFonts w:ascii="宋体" w:hAnsi="宋体" w:hint="eastAsia"/>
          <w:szCs w:val="24"/>
        </w:rPr>
        <w:t>、由于销售服务费的收取与返还机制导致的风险</w:t>
      </w:r>
      <w:r>
        <w:rPr>
          <w:rFonts w:ascii="宋体" w:hAnsi="宋体"/>
          <w:szCs w:val="24"/>
        </w:rPr>
        <w:t>等等。</w:t>
      </w:r>
    </w:p>
    <w:p w14:paraId="31C4F167"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szCs w:val="24"/>
        </w:rPr>
        <w:t>本基金的投资范围包含股指期货、股票期权、国债期货等金融衍生品、资产支持证券等品种，并可根据相关法律法规和基金合同的约定参与融资业务和转融通证券出借业务，可能</w:t>
      </w:r>
      <w:r>
        <w:rPr>
          <w:rFonts w:ascii="宋体" w:hAnsi="宋体" w:hint="eastAsia"/>
          <w:szCs w:val="24"/>
        </w:rPr>
        <w:t>给本基金带来额外风险。本基金可能投资于金融衍生品，金融衍生品投资可能面临流动性风险、偿付风险以及价格波动等风险。</w:t>
      </w:r>
    </w:p>
    <w:p w14:paraId="6B6DD26F"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本基金的投资范围包括存托凭证，除与其他仅投资于境内市场股票的基金所面临的共同风险外，若本基金投资存托凭证的，本基金还将面临中国存托凭证价格大幅波动甚至出现较大亏损的风险，以及与中国存托凭证发行机制相关的风险。</w:t>
      </w:r>
    </w:p>
    <w:p w14:paraId="6F2EDA3E" w14:textId="77777777" w:rsidR="00BF38BB" w:rsidRDefault="002837D7">
      <w:pPr>
        <w:autoSpaceDE w:val="0"/>
        <w:autoSpaceDN w:val="0"/>
        <w:adjustRightInd w:val="0"/>
        <w:spacing w:line="360" w:lineRule="auto"/>
        <w:ind w:firstLine="420"/>
        <w:jc w:val="left"/>
        <w:rPr>
          <w:rFonts w:ascii="宋体" w:hAnsi="宋体"/>
          <w:color w:val="000000"/>
        </w:rPr>
      </w:pPr>
      <w:r>
        <w:rPr>
          <w:rFonts w:ascii="宋体" w:hAnsi="宋体" w:hint="eastAsia"/>
          <w:color w:val="000000"/>
        </w:rPr>
        <w:t>本基金投资于科创板股票，将面临流动性风险、退市风险、投资集中度风险，详见本基金招募说明书“风险揭示”章节。</w:t>
      </w:r>
    </w:p>
    <w:p w14:paraId="73776858" w14:textId="77777777" w:rsidR="00BF38BB" w:rsidRDefault="002837D7">
      <w:pPr>
        <w:autoSpaceDE w:val="0"/>
        <w:autoSpaceDN w:val="0"/>
        <w:adjustRightInd w:val="0"/>
        <w:spacing w:line="360" w:lineRule="auto"/>
        <w:ind w:firstLine="420"/>
        <w:jc w:val="left"/>
        <w:rPr>
          <w:rFonts w:ascii="宋体" w:hAnsi="宋体"/>
          <w:color w:val="000000"/>
        </w:rPr>
      </w:pPr>
      <w:r>
        <w:rPr>
          <w:rFonts w:ascii="宋体" w:hAnsi="宋体" w:hint="eastAsia"/>
          <w:color w:val="000000"/>
        </w:rPr>
        <w:t>本基金投资于创业板股票，将面临创业板上市公司盈利不及预期风险、退市风险、股</w:t>
      </w:r>
      <w:r>
        <w:rPr>
          <w:rFonts w:ascii="宋体" w:hAnsi="宋体" w:hint="eastAsia"/>
          <w:color w:val="000000"/>
        </w:rPr>
        <w:lastRenderedPageBreak/>
        <w:t>价大幅</w:t>
      </w:r>
      <w:r>
        <w:rPr>
          <w:rFonts w:ascii="宋体" w:hAnsi="宋体" w:hint="eastAsia"/>
          <w:color w:val="000000"/>
        </w:rPr>
        <w:t>波动风险、红筹企业及存托凭证相关风险等，详见本基金招募说明书“风险揭示”章节。</w:t>
      </w:r>
    </w:p>
    <w:p w14:paraId="46EAE07E"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本基金为股票指数增强型基金，一般情况下，其预期风险和预期收益高于货币市场基金、债券型基金、混合型基金。本基金为指数增强型基金，主要采用抽样复制和动态最优化的方法跟踪标的指数的表现，具有与标的指数、以及标的指数所代表的证券市场相似的风险收益特征。投资者投资于本基金可能面临跟踪误差控制未达约定目标、指数编制机构停止服务、成份股停牌等潜在风险，详见本基金招募说明书“风险揭示”章节。</w:t>
      </w:r>
    </w:p>
    <w:p w14:paraId="3BB32A99"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本基金标的指数为中证</w:t>
      </w:r>
      <w:r>
        <w:rPr>
          <w:rFonts w:ascii="宋体" w:hAnsi="宋体" w:hint="eastAsia"/>
          <w:color w:val="000000"/>
        </w:rPr>
        <w:t>800</w:t>
      </w:r>
      <w:r>
        <w:rPr>
          <w:rFonts w:ascii="宋体" w:hAnsi="宋体" w:hint="eastAsia"/>
          <w:color w:val="000000"/>
        </w:rPr>
        <w:t>指数（</w:t>
      </w:r>
      <w:r>
        <w:rPr>
          <w:rFonts w:ascii="宋体" w:hAnsi="宋体" w:hint="eastAsia"/>
          <w:color w:val="000000"/>
        </w:rPr>
        <w:t>0</w:t>
      </w:r>
      <w:r>
        <w:rPr>
          <w:rFonts w:ascii="宋体" w:hAnsi="宋体"/>
          <w:color w:val="000000"/>
        </w:rPr>
        <w:t>00906</w:t>
      </w:r>
      <w:r>
        <w:rPr>
          <w:rFonts w:ascii="宋体" w:hAnsi="宋体" w:hint="eastAsia"/>
          <w:color w:val="000000"/>
        </w:rPr>
        <w:t>）。</w:t>
      </w:r>
    </w:p>
    <w:p w14:paraId="63760DD7"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中</w:t>
      </w:r>
      <w:r>
        <w:rPr>
          <w:rFonts w:ascii="宋体" w:hAnsi="宋体" w:hint="eastAsia"/>
          <w:color w:val="000000"/>
        </w:rPr>
        <w:t>证</w:t>
      </w:r>
      <w:r>
        <w:rPr>
          <w:rFonts w:ascii="宋体" w:hAnsi="宋体" w:hint="eastAsia"/>
          <w:color w:val="000000"/>
        </w:rPr>
        <w:t>800</w:t>
      </w:r>
      <w:r>
        <w:rPr>
          <w:rFonts w:ascii="宋体" w:hAnsi="宋体" w:hint="eastAsia"/>
          <w:color w:val="000000"/>
        </w:rPr>
        <w:t>指数综合反映沪深市场不同市值规模上市公司证券的整体表现。</w:t>
      </w:r>
    </w:p>
    <w:p w14:paraId="42FDDE47"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1</w:t>
      </w:r>
      <w:r>
        <w:rPr>
          <w:rFonts w:ascii="宋体" w:hAnsi="宋体" w:hint="eastAsia"/>
          <w:color w:val="000000"/>
        </w:rPr>
        <w:t>、样本空间</w:t>
      </w:r>
    </w:p>
    <w:p w14:paraId="20451639"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同沪深</w:t>
      </w:r>
      <w:r>
        <w:rPr>
          <w:rFonts w:ascii="宋体" w:hAnsi="宋体" w:hint="eastAsia"/>
          <w:color w:val="000000"/>
        </w:rPr>
        <w:t>3</w:t>
      </w:r>
      <w:r>
        <w:rPr>
          <w:rFonts w:ascii="宋体" w:hAnsi="宋体"/>
          <w:color w:val="000000"/>
        </w:rPr>
        <w:t>00</w:t>
      </w:r>
      <w:r>
        <w:rPr>
          <w:rFonts w:ascii="宋体" w:hAnsi="宋体" w:hint="eastAsia"/>
          <w:color w:val="000000"/>
        </w:rPr>
        <w:t>指数的样本空间</w:t>
      </w:r>
    </w:p>
    <w:p w14:paraId="157246AD"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2</w:t>
      </w:r>
      <w:r>
        <w:rPr>
          <w:rFonts w:ascii="宋体" w:hAnsi="宋体" w:hint="eastAsia"/>
          <w:color w:val="000000"/>
        </w:rPr>
        <w:t>、选样方法</w:t>
      </w:r>
    </w:p>
    <w:p w14:paraId="5C0E16A4" w14:textId="77777777" w:rsidR="00BF38BB" w:rsidRDefault="002837D7">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中证</w:t>
      </w:r>
      <w:r>
        <w:rPr>
          <w:rFonts w:ascii="宋体" w:hAnsi="宋体" w:hint="eastAsia"/>
          <w:color w:val="000000"/>
        </w:rPr>
        <w:t>500</w:t>
      </w:r>
      <w:r>
        <w:rPr>
          <w:rFonts w:ascii="宋体" w:hAnsi="宋体" w:hint="eastAsia"/>
          <w:color w:val="000000"/>
        </w:rPr>
        <w:t>和沪深</w:t>
      </w:r>
      <w:r>
        <w:rPr>
          <w:rFonts w:ascii="宋体" w:hAnsi="宋体" w:hint="eastAsia"/>
          <w:color w:val="000000"/>
        </w:rPr>
        <w:t>300</w:t>
      </w:r>
      <w:r>
        <w:rPr>
          <w:rFonts w:ascii="宋体" w:hAnsi="宋体" w:hint="eastAsia"/>
          <w:color w:val="000000"/>
        </w:rPr>
        <w:t>指数样本一起作为指数样本。</w:t>
      </w:r>
    </w:p>
    <w:p w14:paraId="23876979" w14:textId="77777777" w:rsidR="00BF38BB" w:rsidRDefault="002837D7">
      <w:pPr>
        <w:autoSpaceDE w:val="0"/>
        <w:autoSpaceDN w:val="0"/>
        <w:adjustRightInd w:val="0"/>
        <w:spacing w:line="360" w:lineRule="auto"/>
        <w:ind w:firstLine="420"/>
        <w:rPr>
          <w:rFonts w:ascii="宋体" w:hAnsi="宋体"/>
          <w:color w:val="000000"/>
        </w:rPr>
      </w:pPr>
      <w:r>
        <w:rPr>
          <w:rFonts w:ascii="宋体" w:hAnsi="宋体" w:hint="eastAsia"/>
          <w:color w:val="000000"/>
        </w:rPr>
        <w:t>有关标的指数具体编制方案及成份股信息详见中证指数有限公司网站，网址：</w:t>
      </w:r>
      <w:r>
        <w:rPr>
          <w:rFonts w:ascii="宋体" w:hAnsi="宋体" w:hint="eastAsia"/>
          <w:color w:val="000000"/>
        </w:rPr>
        <w:t>www.csindex.com.cn</w:t>
      </w:r>
      <w:r>
        <w:rPr>
          <w:rFonts w:ascii="宋体" w:hAnsi="宋体" w:hint="eastAsia"/>
          <w:color w:val="000000"/>
        </w:rPr>
        <w:t>。</w:t>
      </w:r>
    </w:p>
    <w:p w14:paraId="1CE5FCE8" w14:textId="77777777" w:rsidR="00BF38BB" w:rsidRDefault="002837D7">
      <w:pPr>
        <w:autoSpaceDE w:val="0"/>
        <w:autoSpaceDN w:val="0"/>
        <w:adjustRightInd w:val="0"/>
        <w:spacing w:line="360" w:lineRule="auto"/>
        <w:ind w:firstLine="420"/>
        <w:rPr>
          <w:rFonts w:ascii="宋体" w:hAnsi="宋体"/>
          <w:szCs w:val="24"/>
        </w:rPr>
      </w:pPr>
      <w:r>
        <w:rPr>
          <w:rFonts w:ascii="宋体" w:hAnsi="宋体" w:hint="eastAsia"/>
          <w:szCs w:val="24"/>
        </w:rPr>
        <w:t>投资者在投资本基金之前，请仔细阅读本基金的招募说明书、基金产品资料概要和基金合同，全面认识本基金的风险收益特征和产品特性，并充分考虑自身的风险承受能力，理性判断市场，谨慎做出投资决策。</w:t>
      </w:r>
    </w:p>
    <w:p w14:paraId="3E2421BB" w14:textId="77777777" w:rsidR="00BF38BB" w:rsidRDefault="002837D7">
      <w:pPr>
        <w:pStyle w:val="aff6"/>
        <w:rPr>
          <w:rFonts w:hAnsi="宋体"/>
          <w:bCs/>
          <w:szCs w:val="24"/>
        </w:rPr>
      </w:pPr>
      <w:r>
        <w:rPr>
          <w:rFonts w:hAnsi="宋体" w:hint="eastAsia"/>
          <w:bCs/>
          <w:szCs w:val="24"/>
        </w:rPr>
        <w:t>当本基金持有特定资产且存在或潜在大额赎回申请时，基金管理人履行相应程序后，可以启用侧袋机制，具体详见本招募说明书“侧袋机制”章节。侧袋机制实施期间，基金管理人将对基金简称进行特殊标识，并不办理侧袋账户的申购赎回。请基金份额持有人仔细阅读相关内容并关注本基金启用侧袋机制时的特定风险。</w:t>
      </w:r>
    </w:p>
    <w:p w14:paraId="0B2EC76C" w14:textId="77777777" w:rsidR="00BF38BB" w:rsidRDefault="002837D7">
      <w:pPr>
        <w:pStyle w:val="aff6"/>
        <w:autoSpaceDE w:val="0"/>
        <w:autoSpaceDN w:val="0"/>
        <w:adjustRightInd w:val="0"/>
        <w:rPr>
          <w:rFonts w:hAnsi="宋体"/>
          <w:szCs w:val="24"/>
        </w:rPr>
      </w:pPr>
      <w:r>
        <w:rPr>
          <w:rFonts w:hAnsi="宋体"/>
          <w:szCs w:val="24"/>
        </w:rPr>
        <w:t>投资者应当通过本基金管理人</w:t>
      </w:r>
      <w:r>
        <w:rPr>
          <w:rFonts w:hAnsi="宋体" w:hint="eastAsia"/>
          <w:szCs w:val="24"/>
        </w:rPr>
        <w:t>、基金管理人销售子公司（或称“基金销售子公司”）或其他销售</w:t>
      </w:r>
      <w:r>
        <w:rPr>
          <w:rFonts w:hAnsi="宋体"/>
          <w:szCs w:val="24"/>
        </w:rPr>
        <w:t>机构购买和赎回基金。本基金在募集期内按</w:t>
      </w:r>
      <w:r>
        <w:rPr>
          <w:rFonts w:hAnsi="宋体"/>
          <w:szCs w:val="24"/>
        </w:rPr>
        <w:t>1.00</w:t>
      </w:r>
      <w:r>
        <w:rPr>
          <w:rFonts w:hAnsi="宋体"/>
          <w:szCs w:val="24"/>
        </w:rPr>
        <w:t>元面值发售并不改变基金的风险收益特征。投资者按</w:t>
      </w:r>
      <w:r>
        <w:rPr>
          <w:rFonts w:hAnsi="宋体"/>
          <w:szCs w:val="24"/>
        </w:rPr>
        <w:t>1.00</w:t>
      </w:r>
      <w:r>
        <w:rPr>
          <w:rFonts w:hAnsi="宋体"/>
          <w:szCs w:val="24"/>
        </w:rPr>
        <w:t>元面值购买基金份额以后，有可能面临基金份额净</w:t>
      </w:r>
      <w:r>
        <w:rPr>
          <w:rFonts w:hAnsi="宋体"/>
          <w:szCs w:val="24"/>
        </w:rPr>
        <w:t>值跌破</w:t>
      </w:r>
      <w:r>
        <w:rPr>
          <w:rFonts w:hAnsi="宋体"/>
          <w:szCs w:val="24"/>
        </w:rPr>
        <w:t>1.00</w:t>
      </w:r>
      <w:r>
        <w:rPr>
          <w:rFonts w:hAnsi="宋体"/>
          <w:szCs w:val="24"/>
        </w:rPr>
        <w:t>元</w:t>
      </w:r>
      <w:r>
        <w:rPr>
          <w:rFonts w:hAnsi="宋体" w:hint="eastAsia"/>
          <w:szCs w:val="24"/>
        </w:rPr>
        <w:t>，</w:t>
      </w:r>
      <w:r>
        <w:rPr>
          <w:rFonts w:hAnsi="宋体"/>
          <w:szCs w:val="24"/>
        </w:rPr>
        <w:t>从而遭受损失的风险。</w:t>
      </w:r>
    </w:p>
    <w:p w14:paraId="1CA52E76" w14:textId="77777777" w:rsidR="00BF38BB" w:rsidRDefault="002837D7">
      <w:pPr>
        <w:pStyle w:val="aff6"/>
        <w:autoSpaceDE w:val="0"/>
        <w:autoSpaceDN w:val="0"/>
        <w:adjustRightInd w:val="0"/>
        <w:rPr>
          <w:rFonts w:hAnsi="宋体"/>
          <w:szCs w:val="24"/>
        </w:rPr>
      </w:pPr>
      <w:r>
        <w:rPr>
          <w:rFonts w:hAnsi="宋体"/>
          <w:szCs w:val="24"/>
        </w:rPr>
        <w:t>本基金管理人承诺以诚实信用、勤勉尽责的原则管理和运用基金资产，但不保证本基金一定盈利，也不保证最低收益。基金的过往业绩及其净值高低并不预示其未来业绩表现。</w:t>
      </w:r>
    </w:p>
    <w:p w14:paraId="07F42F80" w14:textId="77777777" w:rsidR="00BF38BB" w:rsidRDefault="002837D7">
      <w:pPr>
        <w:pStyle w:val="aff6"/>
        <w:autoSpaceDE w:val="0"/>
        <w:autoSpaceDN w:val="0"/>
        <w:adjustRightInd w:val="0"/>
        <w:rPr>
          <w:rFonts w:hAnsi="宋体"/>
          <w:szCs w:val="24"/>
        </w:rPr>
      </w:pPr>
      <w:r>
        <w:rPr>
          <w:rFonts w:hAnsi="宋体"/>
          <w:szCs w:val="24"/>
        </w:rPr>
        <w:t>本基金管理人提醒投资者基金投资的</w:t>
      </w:r>
      <w:r>
        <w:rPr>
          <w:rFonts w:hAnsi="宋体"/>
          <w:szCs w:val="24"/>
        </w:rPr>
        <w:t>“</w:t>
      </w:r>
      <w:r>
        <w:rPr>
          <w:rFonts w:hAnsi="宋体"/>
          <w:szCs w:val="24"/>
        </w:rPr>
        <w:t>买者自负</w:t>
      </w:r>
      <w:r>
        <w:rPr>
          <w:rFonts w:hAnsi="宋体"/>
          <w:szCs w:val="24"/>
        </w:rPr>
        <w:t>”</w:t>
      </w:r>
      <w:r>
        <w:rPr>
          <w:rFonts w:hAnsi="宋体"/>
          <w:szCs w:val="24"/>
        </w:rPr>
        <w:t>原则，在做出投资决策后，基金运营状况与基金净值变化引致的投资风险，由投资者自行负担。</w:t>
      </w:r>
    </w:p>
    <w:p w14:paraId="3DCEF1AE" w14:textId="77777777" w:rsidR="00BF38BB" w:rsidRDefault="002837D7">
      <w:pPr>
        <w:pStyle w:val="aff6"/>
        <w:autoSpaceDE w:val="0"/>
        <w:autoSpaceDN w:val="0"/>
        <w:adjustRightInd w:val="0"/>
        <w:rPr>
          <w:rFonts w:hAnsi="宋体"/>
          <w:szCs w:val="24"/>
        </w:rPr>
      </w:pPr>
      <w:r>
        <w:rPr>
          <w:rFonts w:hAnsi="宋体" w:hint="eastAsia"/>
          <w:szCs w:val="24"/>
        </w:rPr>
        <w:lastRenderedPageBreak/>
        <w:t>基金管理人深知个人信息对投资者的重要性，致力于投资者个人信息的保护。基金管理人承诺按照法律法规和相关监管要求的规定处理投资者的个人信息，包括通过基金管理人直销、销售机构或场内经纪机构购买嘉实基金管理有限公司旗下基金产品的所有个人投资者。基金管理人需处理的机构投资者信息中可能涉及其法定代表人、受益所有人、经办人等个人信息，也将遵守上述承诺进行处理。详情请关注嘉实基金官网（</w:t>
      </w:r>
      <w:r>
        <w:rPr>
          <w:rFonts w:hAnsi="宋体" w:hint="eastAsia"/>
          <w:szCs w:val="24"/>
        </w:rPr>
        <w:t>http://www.jsfund.cn/main/include/privacy/index.shtml</w:t>
      </w:r>
      <w:r>
        <w:rPr>
          <w:rFonts w:hAnsi="宋体" w:hint="eastAsia"/>
          <w:szCs w:val="24"/>
        </w:rPr>
        <w:t>）披露的“嘉实基金隐私政策”及其后</w:t>
      </w:r>
      <w:r>
        <w:rPr>
          <w:rFonts w:hAnsi="宋体" w:hint="eastAsia"/>
          <w:szCs w:val="24"/>
        </w:rPr>
        <w:t>续作出的不时修订。</w:t>
      </w:r>
    </w:p>
    <w:p w14:paraId="471A722F" w14:textId="77777777" w:rsidR="00BF38BB" w:rsidRDefault="002837D7">
      <w:pPr>
        <w:pStyle w:val="aff6"/>
        <w:autoSpaceDE w:val="0"/>
        <w:autoSpaceDN w:val="0"/>
        <w:adjustRightInd w:val="0"/>
        <w:ind w:firstLine="562"/>
        <w:jc w:val="center"/>
        <w:rPr>
          <w:rFonts w:hAnsi="宋体"/>
          <w:b/>
          <w:sz w:val="28"/>
        </w:rPr>
      </w:pPr>
      <w:r>
        <w:rPr>
          <w:rFonts w:hAnsi="宋体"/>
          <w:b/>
          <w:sz w:val="28"/>
        </w:rPr>
        <w:br w:type="page"/>
      </w:r>
      <w:r>
        <w:rPr>
          <w:rFonts w:hAnsi="宋体"/>
          <w:b/>
          <w:sz w:val="28"/>
        </w:rPr>
        <w:lastRenderedPageBreak/>
        <w:t>目</w:t>
      </w:r>
      <w:r>
        <w:rPr>
          <w:rFonts w:hAnsi="宋体"/>
          <w:b/>
          <w:sz w:val="28"/>
        </w:rPr>
        <w:t xml:space="preserve">  </w:t>
      </w:r>
      <w:r>
        <w:rPr>
          <w:rFonts w:hAnsi="宋体"/>
          <w:b/>
          <w:sz w:val="28"/>
        </w:rPr>
        <w:t>录</w:t>
      </w:r>
    </w:p>
    <w:p w14:paraId="5C9B43F9" w14:textId="77777777" w:rsidR="00BF38BB" w:rsidRDefault="00BF38BB">
      <w:pPr>
        <w:spacing w:line="360" w:lineRule="auto"/>
        <w:ind w:firstLine="420"/>
        <w:jc w:val="center"/>
        <w:rPr>
          <w:rFonts w:ascii="宋体" w:hAnsi="宋体"/>
          <w:b/>
          <w:bCs/>
          <w:sz w:val="44"/>
          <w:szCs w:val="44"/>
        </w:rPr>
      </w:pPr>
    </w:p>
    <w:p w14:paraId="4B8B8B90" w14:textId="77777777" w:rsidR="00BF38BB" w:rsidRDefault="002837D7">
      <w:pPr>
        <w:pStyle w:val="11"/>
        <w:rPr>
          <w:rFonts w:ascii="Calibri" w:hAnsi="Calibri"/>
          <w:szCs w:val="22"/>
        </w:rPr>
      </w:pPr>
      <w:r>
        <w:rPr>
          <w:rFonts w:ascii="宋体" w:hAnsi="宋体"/>
          <w:b/>
          <w:sz w:val="44"/>
        </w:rPr>
        <w:fldChar w:fldCharType="begin"/>
      </w:r>
      <w:r>
        <w:rPr>
          <w:rFonts w:ascii="宋体" w:hAnsi="宋体"/>
          <w:b/>
          <w:bCs/>
          <w:sz w:val="44"/>
          <w:szCs w:val="44"/>
        </w:rPr>
        <w:instrText xml:space="preserve"> TOC \o "1-1" \h \z \u </w:instrText>
      </w:r>
      <w:r>
        <w:rPr>
          <w:rFonts w:ascii="宋体" w:hAnsi="宋体"/>
          <w:b/>
          <w:sz w:val="44"/>
        </w:rPr>
        <w:fldChar w:fldCharType="separate"/>
      </w:r>
      <w:hyperlink w:anchor="_Toc69916726" w:history="1">
        <w:r>
          <w:rPr>
            <w:rStyle w:val="aff3"/>
            <w:rFonts w:hAnsi="宋体" w:hint="eastAsia"/>
            <w:kern w:val="44"/>
          </w:rPr>
          <w:t>一、绪言</w:t>
        </w:r>
        <w:r>
          <w:tab/>
        </w:r>
        <w:r>
          <w:fldChar w:fldCharType="begin"/>
        </w:r>
        <w:r>
          <w:instrText xml:space="preserve"> PAGEREF _Toc69916726 \h </w:instrText>
        </w:r>
        <w:r>
          <w:fldChar w:fldCharType="separate"/>
        </w:r>
        <w:r>
          <w:t>1</w:t>
        </w:r>
        <w:r>
          <w:fldChar w:fldCharType="end"/>
        </w:r>
      </w:hyperlink>
    </w:p>
    <w:p w14:paraId="4375E090" w14:textId="77777777" w:rsidR="00BF38BB" w:rsidRDefault="002837D7">
      <w:pPr>
        <w:pStyle w:val="11"/>
        <w:rPr>
          <w:rFonts w:ascii="Calibri" w:hAnsi="Calibri"/>
          <w:szCs w:val="22"/>
        </w:rPr>
      </w:pPr>
      <w:hyperlink w:anchor="_Toc69916727" w:history="1">
        <w:r>
          <w:rPr>
            <w:rStyle w:val="aff3"/>
            <w:rFonts w:hAnsi="宋体" w:hint="eastAsia"/>
            <w:kern w:val="44"/>
          </w:rPr>
          <w:t>二、释义</w:t>
        </w:r>
        <w:r>
          <w:tab/>
        </w:r>
        <w:r>
          <w:fldChar w:fldCharType="begin"/>
        </w:r>
        <w:r>
          <w:instrText xml:space="preserve"> PAGEREF _Toc69916727 \h </w:instrText>
        </w:r>
        <w:r>
          <w:fldChar w:fldCharType="separate"/>
        </w:r>
        <w:r>
          <w:t>2</w:t>
        </w:r>
        <w:r>
          <w:fldChar w:fldCharType="end"/>
        </w:r>
      </w:hyperlink>
    </w:p>
    <w:p w14:paraId="1C34D892" w14:textId="77777777" w:rsidR="00BF38BB" w:rsidRDefault="002837D7">
      <w:pPr>
        <w:pStyle w:val="11"/>
        <w:rPr>
          <w:rFonts w:ascii="Calibri" w:hAnsi="Calibri"/>
          <w:szCs w:val="22"/>
        </w:rPr>
      </w:pPr>
      <w:hyperlink w:anchor="_Toc69916728" w:history="1">
        <w:r>
          <w:rPr>
            <w:rStyle w:val="aff3"/>
            <w:rFonts w:hAnsi="宋体" w:hint="eastAsia"/>
            <w:kern w:val="44"/>
          </w:rPr>
          <w:t>三、基金管理人</w:t>
        </w:r>
        <w:r>
          <w:tab/>
        </w:r>
        <w:r>
          <w:fldChar w:fldCharType="begin"/>
        </w:r>
        <w:r>
          <w:instrText xml:space="preserve"> PAGEREF _Toc69916728 \h </w:instrText>
        </w:r>
        <w:r>
          <w:fldChar w:fldCharType="separate"/>
        </w:r>
        <w:r>
          <w:t>7</w:t>
        </w:r>
        <w:r>
          <w:fldChar w:fldCharType="end"/>
        </w:r>
      </w:hyperlink>
    </w:p>
    <w:p w14:paraId="32650DDD" w14:textId="77777777" w:rsidR="00BF38BB" w:rsidRDefault="002837D7">
      <w:pPr>
        <w:pStyle w:val="11"/>
        <w:rPr>
          <w:rFonts w:ascii="Calibri" w:hAnsi="Calibri"/>
          <w:szCs w:val="22"/>
        </w:rPr>
      </w:pPr>
      <w:hyperlink w:anchor="_Toc69916729" w:history="1">
        <w:r>
          <w:rPr>
            <w:rStyle w:val="aff3"/>
            <w:rFonts w:hAnsi="宋体" w:hint="eastAsia"/>
            <w:kern w:val="44"/>
          </w:rPr>
          <w:t>四、基金托管人</w:t>
        </w:r>
        <w:r>
          <w:tab/>
        </w:r>
        <w:r>
          <w:fldChar w:fldCharType="begin"/>
        </w:r>
        <w:r>
          <w:instrText xml:space="preserve"> PAGEREF _Toc69916729 \h </w:instrText>
        </w:r>
        <w:r>
          <w:fldChar w:fldCharType="separate"/>
        </w:r>
        <w:r>
          <w:t>16</w:t>
        </w:r>
        <w:r>
          <w:fldChar w:fldCharType="end"/>
        </w:r>
      </w:hyperlink>
    </w:p>
    <w:p w14:paraId="69D1B34B" w14:textId="77777777" w:rsidR="00BF38BB" w:rsidRDefault="002837D7">
      <w:pPr>
        <w:pStyle w:val="11"/>
        <w:rPr>
          <w:rFonts w:ascii="Calibri" w:hAnsi="Calibri"/>
          <w:szCs w:val="22"/>
        </w:rPr>
      </w:pPr>
      <w:hyperlink w:anchor="_Toc69916730" w:history="1">
        <w:r>
          <w:rPr>
            <w:rStyle w:val="aff3"/>
            <w:rFonts w:hAnsi="宋体" w:hint="eastAsia"/>
            <w:kern w:val="44"/>
          </w:rPr>
          <w:t>五、相关服务机构</w:t>
        </w:r>
        <w:r>
          <w:tab/>
        </w:r>
        <w:r>
          <w:fldChar w:fldCharType="begin"/>
        </w:r>
        <w:r>
          <w:instrText xml:space="preserve"> PAGEREF _Toc6991</w:instrText>
        </w:r>
        <w:r>
          <w:instrText xml:space="preserve">6730 \h </w:instrText>
        </w:r>
        <w:r>
          <w:fldChar w:fldCharType="separate"/>
        </w:r>
        <w:r>
          <w:t>19</w:t>
        </w:r>
        <w:r>
          <w:fldChar w:fldCharType="end"/>
        </w:r>
      </w:hyperlink>
    </w:p>
    <w:p w14:paraId="2CD8468C" w14:textId="77777777" w:rsidR="00BF38BB" w:rsidRDefault="002837D7">
      <w:pPr>
        <w:pStyle w:val="11"/>
        <w:rPr>
          <w:rFonts w:ascii="Calibri" w:hAnsi="Calibri"/>
          <w:szCs w:val="22"/>
        </w:rPr>
      </w:pPr>
      <w:hyperlink w:anchor="_Toc69916731" w:history="1">
        <w:r>
          <w:rPr>
            <w:rStyle w:val="aff3"/>
            <w:rFonts w:hAnsi="宋体" w:hint="eastAsia"/>
            <w:kern w:val="44"/>
          </w:rPr>
          <w:t>六、基金的募集</w:t>
        </w:r>
        <w:r>
          <w:tab/>
        </w:r>
        <w:r>
          <w:fldChar w:fldCharType="begin"/>
        </w:r>
        <w:r>
          <w:instrText xml:space="preserve"> PAGEREF _Toc69916731 \h </w:instrText>
        </w:r>
        <w:r>
          <w:fldChar w:fldCharType="separate"/>
        </w:r>
        <w:r>
          <w:t>21</w:t>
        </w:r>
        <w:r>
          <w:fldChar w:fldCharType="end"/>
        </w:r>
      </w:hyperlink>
    </w:p>
    <w:p w14:paraId="00173DD5" w14:textId="77777777" w:rsidR="00BF38BB" w:rsidRDefault="002837D7">
      <w:pPr>
        <w:pStyle w:val="11"/>
        <w:rPr>
          <w:rFonts w:ascii="Calibri" w:hAnsi="Calibri"/>
          <w:szCs w:val="22"/>
        </w:rPr>
      </w:pPr>
      <w:hyperlink w:anchor="_Toc69916732" w:history="1">
        <w:r>
          <w:rPr>
            <w:rStyle w:val="aff3"/>
            <w:rFonts w:hAnsi="宋体" w:hint="eastAsia"/>
            <w:kern w:val="44"/>
          </w:rPr>
          <w:t>七、基金合同的生效</w:t>
        </w:r>
        <w:r>
          <w:tab/>
        </w:r>
        <w:r>
          <w:fldChar w:fldCharType="begin"/>
        </w:r>
        <w:r>
          <w:instrText xml:space="preserve"> P</w:instrText>
        </w:r>
        <w:r>
          <w:instrText xml:space="preserve">AGEREF _Toc69916732 \h </w:instrText>
        </w:r>
        <w:r>
          <w:fldChar w:fldCharType="separate"/>
        </w:r>
        <w:r>
          <w:t>25</w:t>
        </w:r>
        <w:r>
          <w:fldChar w:fldCharType="end"/>
        </w:r>
      </w:hyperlink>
    </w:p>
    <w:p w14:paraId="16ABC71C" w14:textId="77777777" w:rsidR="00BF38BB" w:rsidRDefault="002837D7">
      <w:pPr>
        <w:pStyle w:val="11"/>
        <w:rPr>
          <w:rFonts w:ascii="Calibri" w:hAnsi="Calibri"/>
          <w:szCs w:val="22"/>
        </w:rPr>
      </w:pPr>
      <w:hyperlink w:anchor="_Toc69916733" w:history="1">
        <w:r>
          <w:rPr>
            <w:rStyle w:val="aff3"/>
            <w:rFonts w:hAnsi="宋体" w:hint="eastAsia"/>
            <w:kern w:val="44"/>
          </w:rPr>
          <w:t>八、基金份额的申购与赎回</w:t>
        </w:r>
        <w:r>
          <w:tab/>
        </w:r>
        <w:r>
          <w:fldChar w:fldCharType="begin"/>
        </w:r>
        <w:r>
          <w:instrText xml:space="preserve"> PAGEREF _Toc69916733 \h </w:instrText>
        </w:r>
        <w:r>
          <w:fldChar w:fldCharType="separate"/>
        </w:r>
        <w:r>
          <w:t>26</w:t>
        </w:r>
        <w:r>
          <w:fldChar w:fldCharType="end"/>
        </w:r>
      </w:hyperlink>
    </w:p>
    <w:p w14:paraId="57022F86" w14:textId="77777777" w:rsidR="00BF38BB" w:rsidRDefault="002837D7">
      <w:pPr>
        <w:pStyle w:val="11"/>
        <w:rPr>
          <w:rFonts w:ascii="Calibri" w:hAnsi="Calibri"/>
          <w:szCs w:val="22"/>
        </w:rPr>
      </w:pPr>
      <w:hyperlink w:anchor="_Toc69916734" w:history="1">
        <w:r>
          <w:rPr>
            <w:rStyle w:val="aff3"/>
            <w:rFonts w:hAnsi="宋体" w:hint="eastAsia"/>
            <w:kern w:val="44"/>
          </w:rPr>
          <w:t>九、基金的投资</w:t>
        </w:r>
        <w:r>
          <w:tab/>
        </w:r>
        <w:r>
          <w:fldChar w:fldCharType="begin"/>
        </w:r>
        <w:r>
          <w:instrText xml:space="preserve"> PAGEREF _Toc69916734 \h </w:instrText>
        </w:r>
        <w:r>
          <w:fldChar w:fldCharType="separate"/>
        </w:r>
        <w:r>
          <w:t>38</w:t>
        </w:r>
        <w:r>
          <w:fldChar w:fldCharType="end"/>
        </w:r>
      </w:hyperlink>
    </w:p>
    <w:p w14:paraId="09E61193" w14:textId="77777777" w:rsidR="00BF38BB" w:rsidRDefault="002837D7">
      <w:pPr>
        <w:pStyle w:val="11"/>
        <w:rPr>
          <w:rFonts w:ascii="Calibri" w:hAnsi="Calibri"/>
          <w:szCs w:val="22"/>
        </w:rPr>
      </w:pPr>
      <w:hyperlink w:anchor="_Toc69916735" w:history="1">
        <w:r>
          <w:rPr>
            <w:rStyle w:val="aff3"/>
            <w:rFonts w:hAnsi="宋体" w:hint="eastAsia"/>
            <w:kern w:val="44"/>
          </w:rPr>
          <w:t>十、基金的财产</w:t>
        </w:r>
        <w:r>
          <w:tab/>
        </w:r>
        <w:r>
          <w:fldChar w:fldCharType="begin"/>
        </w:r>
        <w:r>
          <w:instrText xml:space="preserve"> PAGEREF _Toc69916735 \h </w:instrText>
        </w:r>
        <w:r>
          <w:fldChar w:fldCharType="separate"/>
        </w:r>
        <w:r>
          <w:t>47</w:t>
        </w:r>
        <w:r>
          <w:fldChar w:fldCharType="end"/>
        </w:r>
      </w:hyperlink>
    </w:p>
    <w:p w14:paraId="5A3CF943" w14:textId="77777777" w:rsidR="00BF38BB" w:rsidRDefault="002837D7">
      <w:pPr>
        <w:pStyle w:val="11"/>
        <w:rPr>
          <w:rFonts w:ascii="Calibri" w:hAnsi="Calibri"/>
          <w:szCs w:val="22"/>
        </w:rPr>
      </w:pPr>
      <w:hyperlink w:anchor="_Toc69916736" w:history="1">
        <w:r>
          <w:rPr>
            <w:rStyle w:val="aff3"/>
            <w:rFonts w:hAnsi="宋体" w:hint="eastAsia"/>
            <w:kern w:val="44"/>
          </w:rPr>
          <w:t>十一、基金资产的估值</w:t>
        </w:r>
        <w:r>
          <w:tab/>
        </w:r>
        <w:r>
          <w:fldChar w:fldCharType="begin"/>
        </w:r>
        <w:r>
          <w:instrText xml:space="preserve"> PAGEREF _Toc69916736 \h </w:instrText>
        </w:r>
        <w:r>
          <w:fldChar w:fldCharType="separate"/>
        </w:r>
        <w:r>
          <w:t>48</w:t>
        </w:r>
        <w:r>
          <w:fldChar w:fldCharType="end"/>
        </w:r>
      </w:hyperlink>
    </w:p>
    <w:p w14:paraId="70335667" w14:textId="77777777" w:rsidR="00BF38BB" w:rsidRDefault="002837D7">
      <w:pPr>
        <w:pStyle w:val="11"/>
        <w:rPr>
          <w:rFonts w:ascii="Calibri" w:hAnsi="Calibri"/>
          <w:szCs w:val="22"/>
        </w:rPr>
      </w:pPr>
      <w:hyperlink w:anchor="_Toc69916737" w:history="1">
        <w:r>
          <w:rPr>
            <w:rStyle w:val="aff3"/>
            <w:rFonts w:hAnsi="宋体" w:hint="eastAsia"/>
            <w:kern w:val="44"/>
          </w:rPr>
          <w:t>十二、基金的收益与分配</w:t>
        </w:r>
        <w:r>
          <w:tab/>
        </w:r>
        <w:r>
          <w:fldChar w:fldCharType="begin"/>
        </w:r>
        <w:r>
          <w:instrText xml:space="preserve"> PAGEREF _Toc69916737 \h </w:instrText>
        </w:r>
        <w:r>
          <w:fldChar w:fldCharType="separate"/>
        </w:r>
        <w:r>
          <w:t>53</w:t>
        </w:r>
        <w:r>
          <w:fldChar w:fldCharType="end"/>
        </w:r>
      </w:hyperlink>
    </w:p>
    <w:p w14:paraId="7C86B02A" w14:textId="77777777" w:rsidR="00BF38BB" w:rsidRDefault="002837D7">
      <w:pPr>
        <w:pStyle w:val="11"/>
        <w:rPr>
          <w:rFonts w:ascii="Calibri" w:hAnsi="Calibri"/>
          <w:szCs w:val="22"/>
        </w:rPr>
      </w:pPr>
      <w:hyperlink w:anchor="_Toc69916738" w:history="1">
        <w:r>
          <w:rPr>
            <w:rStyle w:val="aff3"/>
            <w:rFonts w:hAnsi="宋体" w:hint="eastAsia"/>
            <w:kern w:val="44"/>
          </w:rPr>
          <w:t>十三、基金的费用与税收</w:t>
        </w:r>
        <w:r>
          <w:tab/>
        </w:r>
        <w:r>
          <w:fldChar w:fldCharType="begin"/>
        </w:r>
        <w:r>
          <w:instrText xml:space="preserve"> PAGEREF _Toc69916738 \h </w:instrText>
        </w:r>
        <w:r>
          <w:fldChar w:fldCharType="separate"/>
        </w:r>
        <w:r>
          <w:t>54</w:t>
        </w:r>
        <w:r>
          <w:fldChar w:fldCharType="end"/>
        </w:r>
      </w:hyperlink>
    </w:p>
    <w:p w14:paraId="56213A1C" w14:textId="77777777" w:rsidR="00BF38BB" w:rsidRDefault="002837D7">
      <w:pPr>
        <w:pStyle w:val="11"/>
        <w:rPr>
          <w:rFonts w:ascii="Calibri" w:hAnsi="Calibri"/>
          <w:szCs w:val="22"/>
        </w:rPr>
      </w:pPr>
      <w:hyperlink w:anchor="_Toc69916739" w:history="1">
        <w:r>
          <w:rPr>
            <w:rStyle w:val="aff3"/>
            <w:rFonts w:hAnsi="宋体" w:hint="eastAsia"/>
            <w:kern w:val="44"/>
          </w:rPr>
          <w:t>十四、基金的会计与审计</w:t>
        </w:r>
        <w:r>
          <w:tab/>
        </w:r>
        <w:r>
          <w:fldChar w:fldCharType="begin"/>
        </w:r>
        <w:r>
          <w:instrText xml:space="preserve"> PAGEREF _</w:instrText>
        </w:r>
        <w:r>
          <w:instrText xml:space="preserve">Toc69916739 \h </w:instrText>
        </w:r>
        <w:r>
          <w:fldChar w:fldCharType="separate"/>
        </w:r>
        <w:r>
          <w:t>57</w:t>
        </w:r>
        <w:r>
          <w:fldChar w:fldCharType="end"/>
        </w:r>
      </w:hyperlink>
    </w:p>
    <w:p w14:paraId="53BF31F1" w14:textId="77777777" w:rsidR="00BF38BB" w:rsidRDefault="002837D7">
      <w:pPr>
        <w:pStyle w:val="11"/>
        <w:rPr>
          <w:rFonts w:ascii="Calibri" w:hAnsi="Calibri"/>
          <w:szCs w:val="22"/>
        </w:rPr>
      </w:pPr>
      <w:hyperlink w:anchor="_Toc69916740" w:history="1">
        <w:r>
          <w:rPr>
            <w:rStyle w:val="aff3"/>
            <w:rFonts w:hAnsi="宋体" w:hint="eastAsia"/>
            <w:kern w:val="44"/>
          </w:rPr>
          <w:t>十五、基金的信息披露</w:t>
        </w:r>
        <w:r>
          <w:tab/>
        </w:r>
        <w:r>
          <w:fldChar w:fldCharType="begin"/>
        </w:r>
        <w:r>
          <w:instrText xml:space="preserve"> PAGEREF _Toc69916740 \h </w:instrText>
        </w:r>
        <w:r>
          <w:fldChar w:fldCharType="separate"/>
        </w:r>
        <w:r>
          <w:t>58</w:t>
        </w:r>
        <w:r>
          <w:fldChar w:fldCharType="end"/>
        </w:r>
      </w:hyperlink>
    </w:p>
    <w:p w14:paraId="68EBC85C" w14:textId="77777777" w:rsidR="00BF38BB" w:rsidRDefault="002837D7">
      <w:pPr>
        <w:pStyle w:val="11"/>
        <w:rPr>
          <w:rFonts w:ascii="Calibri" w:hAnsi="Calibri"/>
          <w:szCs w:val="22"/>
        </w:rPr>
      </w:pPr>
      <w:hyperlink w:anchor="_Toc69916741" w:history="1">
        <w:r>
          <w:rPr>
            <w:rStyle w:val="aff3"/>
            <w:rFonts w:hAnsi="宋体" w:hint="eastAsia"/>
            <w:kern w:val="44"/>
          </w:rPr>
          <w:t>十六</w:t>
        </w:r>
        <w:r>
          <w:rPr>
            <w:rStyle w:val="aff3"/>
            <w:rFonts w:hAnsi="宋体" w:hint="eastAsia"/>
            <w:kern w:val="44"/>
          </w:rPr>
          <w:t>、侧袋机制</w:t>
        </w:r>
        <w:r>
          <w:tab/>
        </w:r>
        <w:r>
          <w:fldChar w:fldCharType="begin"/>
        </w:r>
        <w:r>
          <w:instrText xml:space="preserve"> PAGEREF _Toc69916741 \h </w:instrText>
        </w:r>
        <w:r>
          <w:fldChar w:fldCharType="separate"/>
        </w:r>
        <w:r>
          <w:t>63</w:t>
        </w:r>
        <w:r>
          <w:fldChar w:fldCharType="end"/>
        </w:r>
      </w:hyperlink>
    </w:p>
    <w:p w14:paraId="38725B25" w14:textId="77777777" w:rsidR="00BF38BB" w:rsidRDefault="002837D7">
      <w:pPr>
        <w:pStyle w:val="11"/>
        <w:rPr>
          <w:rFonts w:ascii="Calibri" w:hAnsi="Calibri"/>
          <w:szCs w:val="22"/>
        </w:rPr>
      </w:pPr>
      <w:hyperlink w:anchor="_Toc69916742" w:history="1">
        <w:r>
          <w:rPr>
            <w:rStyle w:val="aff3"/>
            <w:rFonts w:hAnsi="宋体" w:hint="eastAsia"/>
            <w:kern w:val="44"/>
          </w:rPr>
          <w:t>十七、风险揭示</w:t>
        </w:r>
        <w:r>
          <w:tab/>
        </w:r>
        <w:r>
          <w:fldChar w:fldCharType="begin"/>
        </w:r>
        <w:r>
          <w:instrText xml:space="preserve"> PAGEREF _Toc69916742 \h </w:instrText>
        </w:r>
        <w:r>
          <w:fldChar w:fldCharType="separate"/>
        </w:r>
        <w:r>
          <w:t>65</w:t>
        </w:r>
        <w:r>
          <w:fldChar w:fldCharType="end"/>
        </w:r>
      </w:hyperlink>
    </w:p>
    <w:p w14:paraId="161F7F99" w14:textId="77777777" w:rsidR="00BF38BB" w:rsidRDefault="002837D7">
      <w:pPr>
        <w:pStyle w:val="11"/>
        <w:rPr>
          <w:rFonts w:ascii="Calibri" w:hAnsi="Calibri"/>
          <w:szCs w:val="22"/>
        </w:rPr>
      </w:pPr>
      <w:hyperlink w:anchor="_Toc69916743" w:history="1">
        <w:r>
          <w:rPr>
            <w:rStyle w:val="aff3"/>
            <w:rFonts w:hAnsi="宋体" w:hint="eastAsia"/>
            <w:kern w:val="44"/>
          </w:rPr>
          <w:t>十八、基金合同的变更、终止与基金财产的清算</w:t>
        </w:r>
        <w:r>
          <w:tab/>
        </w:r>
        <w:r>
          <w:fldChar w:fldCharType="begin"/>
        </w:r>
        <w:r>
          <w:instrText xml:space="preserve"> PAGEREF _Toc69916743 \h </w:instrText>
        </w:r>
        <w:r>
          <w:fldChar w:fldCharType="separate"/>
        </w:r>
        <w:r>
          <w:t>74</w:t>
        </w:r>
        <w:r>
          <w:fldChar w:fldCharType="end"/>
        </w:r>
      </w:hyperlink>
    </w:p>
    <w:p w14:paraId="516ECC4D" w14:textId="77777777" w:rsidR="00BF38BB" w:rsidRDefault="002837D7">
      <w:pPr>
        <w:pStyle w:val="11"/>
        <w:rPr>
          <w:rFonts w:ascii="Calibri" w:hAnsi="Calibri"/>
          <w:szCs w:val="22"/>
        </w:rPr>
      </w:pPr>
      <w:hyperlink w:anchor="_Toc69916744" w:history="1">
        <w:r>
          <w:rPr>
            <w:rStyle w:val="aff3"/>
            <w:rFonts w:hAnsi="宋体" w:hint="eastAsia"/>
            <w:kern w:val="44"/>
          </w:rPr>
          <w:t>十九、基金合同的内容摘要</w:t>
        </w:r>
        <w:r>
          <w:tab/>
        </w:r>
        <w:r>
          <w:fldChar w:fldCharType="begin"/>
        </w:r>
        <w:r>
          <w:instrText xml:space="preserve"> PAGEREF _Toc69916744 \h </w:instrText>
        </w:r>
        <w:r>
          <w:fldChar w:fldCharType="separate"/>
        </w:r>
        <w:r>
          <w:t>76</w:t>
        </w:r>
        <w:r>
          <w:fldChar w:fldCharType="end"/>
        </w:r>
      </w:hyperlink>
    </w:p>
    <w:p w14:paraId="22A076E6" w14:textId="77777777" w:rsidR="00BF38BB" w:rsidRDefault="002837D7">
      <w:pPr>
        <w:pStyle w:val="11"/>
        <w:rPr>
          <w:rFonts w:ascii="Calibri" w:hAnsi="Calibri"/>
          <w:szCs w:val="22"/>
        </w:rPr>
      </w:pPr>
      <w:hyperlink w:anchor="_Toc69916745" w:history="1">
        <w:r>
          <w:rPr>
            <w:rStyle w:val="aff3"/>
            <w:rFonts w:hAnsi="宋体" w:hint="eastAsia"/>
            <w:kern w:val="44"/>
          </w:rPr>
          <w:t>二十、基金托管协议的内容摘要</w:t>
        </w:r>
        <w:r>
          <w:tab/>
        </w:r>
        <w:r>
          <w:fldChar w:fldCharType="begin"/>
        </w:r>
        <w:r>
          <w:instrText xml:space="preserve"> PAGEREF _Toc69916745 \h </w:instrText>
        </w:r>
        <w:r>
          <w:fldChar w:fldCharType="separate"/>
        </w:r>
        <w:r>
          <w:t>90</w:t>
        </w:r>
        <w:r>
          <w:fldChar w:fldCharType="end"/>
        </w:r>
      </w:hyperlink>
    </w:p>
    <w:p w14:paraId="00FE0FA1" w14:textId="77777777" w:rsidR="00BF38BB" w:rsidRDefault="002837D7">
      <w:pPr>
        <w:pStyle w:val="11"/>
        <w:rPr>
          <w:rFonts w:ascii="Calibri" w:hAnsi="Calibri"/>
          <w:szCs w:val="22"/>
        </w:rPr>
      </w:pPr>
      <w:hyperlink w:anchor="_Toc69916746" w:history="1">
        <w:r>
          <w:rPr>
            <w:rStyle w:val="aff3"/>
            <w:rFonts w:hAnsi="宋体" w:hint="eastAsia"/>
            <w:kern w:val="44"/>
          </w:rPr>
          <w:t>二十一、对基金份额持有人的服务</w:t>
        </w:r>
        <w:r>
          <w:tab/>
        </w:r>
        <w:r>
          <w:fldChar w:fldCharType="begin"/>
        </w:r>
        <w:r>
          <w:instrText xml:space="preserve"> PAGEREF _Toc69916746 \h </w:instrText>
        </w:r>
        <w:r>
          <w:fldChar w:fldCharType="separate"/>
        </w:r>
        <w:r>
          <w:t>106</w:t>
        </w:r>
        <w:r>
          <w:fldChar w:fldCharType="end"/>
        </w:r>
      </w:hyperlink>
    </w:p>
    <w:p w14:paraId="2DAA3E33" w14:textId="77777777" w:rsidR="00BF38BB" w:rsidRDefault="002837D7">
      <w:pPr>
        <w:pStyle w:val="11"/>
        <w:rPr>
          <w:rFonts w:ascii="Calibri" w:hAnsi="Calibri"/>
          <w:szCs w:val="22"/>
        </w:rPr>
      </w:pPr>
      <w:hyperlink w:anchor="_Toc69916747" w:history="1">
        <w:r>
          <w:rPr>
            <w:rStyle w:val="aff3"/>
            <w:rFonts w:hAnsi="宋体" w:hint="eastAsia"/>
            <w:kern w:val="44"/>
          </w:rPr>
          <w:t>二十二、其他应披露事项</w:t>
        </w:r>
        <w:r>
          <w:tab/>
        </w:r>
        <w:r>
          <w:fldChar w:fldCharType="begin"/>
        </w:r>
        <w:r>
          <w:instrText xml:space="preserve"> PAGEREF _Toc69916747 \h </w:instrText>
        </w:r>
        <w:r>
          <w:fldChar w:fldCharType="separate"/>
        </w:r>
        <w:r>
          <w:t>108</w:t>
        </w:r>
        <w:r>
          <w:fldChar w:fldCharType="end"/>
        </w:r>
      </w:hyperlink>
    </w:p>
    <w:p w14:paraId="7720F288" w14:textId="77777777" w:rsidR="00BF38BB" w:rsidRDefault="002837D7">
      <w:pPr>
        <w:pStyle w:val="11"/>
        <w:rPr>
          <w:rFonts w:ascii="Calibri" w:hAnsi="Calibri"/>
          <w:szCs w:val="22"/>
        </w:rPr>
      </w:pPr>
      <w:hyperlink w:anchor="_Toc69916748" w:history="1">
        <w:r>
          <w:rPr>
            <w:rStyle w:val="aff3"/>
            <w:rFonts w:hAnsi="宋体" w:hint="eastAsia"/>
            <w:kern w:val="44"/>
          </w:rPr>
          <w:t>二十三、招募说明书存放及查阅方式</w:t>
        </w:r>
        <w:r>
          <w:tab/>
        </w:r>
        <w:r>
          <w:fldChar w:fldCharType="begin"/>
        </w:r>
        <w:r>
          <w:instrText xml:space="preserve"> PA</w:instrText>
        </w:r>
        <w:r>
          <w:instrText xml:space="preserve">GEREF _Toc69916748 \h </w:instrText>
        </w:r>
        <w:r>
          <w:fldChar w:fldCharType="separate"/>
        </w:r>
        <w:r>
          <w:t>109</w:t>
        </w:r>
        <w:r>
          <w:fldChar w:fldCharType="end"/>
        </w:r>
      </w:hyperlink>
    </w:p>
    <w:p w14:paraId="4605461A" w14:textId="77777777" w:rsidR="00BF38BB" w:rsidRDefault="002837D7">
      <w:pPr>
        <w:pStyle w:val="11"/>
        <w:rPr>
          <w:rFonts w:ascii="Calibri" w:hAnsi="Calibri"/>
          <w:szCs w:val="22"/>
        </w:rPr>
      </w:pPr>
      <w:hyperlink w:anchor="_Toc69916749" w:history="1">
        <w:r>
          <w:rPr>
            <w:rStyle w:val="aff3"/>
            <w:rFonts w:hAnsi="宋体" w:hint="eastAsia"/>
            <w:kern w:val="44"/>
          </w:rPr>
          <w:t>二十四、备查文件</w:t>
        </w:r>
        <w:r>
          <w:tab/>
        </w:r>
        <w:r>
          <w:fldChar w:fldCharType="begin"/>
        </w:r>
        <w:r>
          <w:instrText xml:space="preserve"> PAGEREF _Toc69916749 \h </w:instrText>
        </w:r>
        <w:r>
          <w:fldChar w:fldCharType="separate"/>
        </w:r>
        <w:r>
          <w:t>110</w:t>
        </w:r>
        <w:r>
          <w:fldChar w:fldCharType="end"/>
        </w:r>
      </w:hyperlink>
    </w:p>
    <w:p w14:paraId="535F2AE3" w14:textId="77777777" w:rsidR="00BF38BB" w:rsidRDefault="002837D7">
      <w:pPr>
        <w:tabs>
          <w:tab w:val="left" w:pos="6660"/>
        </w:tabs>
        <w:spacing w:line="360" w:lineRule="auto"/>
        <w:jc w:val="center"/>
        <w:rPr>
          <w:rFonts w:ascii="宋体" w:hAnsi="宋体"/>
          <w:b/>
          <w:bCs/>
          <w:sz w:val="44"/>
          <w:szCs w:val="44"/>
        </w:rPr>
      </w:pPr>
      <w:r>
        <w:rPr>
          <w:rFonts w:ascii="宋体" w:hAnsi="宋体"/>
          <w:b/>
          <w:sz w:val="44"/>
        </w:rPr>
        <w:fldChar w:fldCharType="end"/>
      </w:r>
    </w:p>
    <w:p w14:paraId="78A0B541" w14:textId="77777777" w:rsidR="00BF38BB" w:rsidRDefault="00BF38BB">
      <w:pPr>
        <w:tabs>
          <w:tab w:val="left" w:pos="6660"/>
        </w:tabs>
        <w:spacing w:line="360" w:lineRule="auto"/>
        <w:jc w:val="center"/>
        <w:rPr>
          <w:rFonts w:ascii="宋体" w:hAnsi="宋体"/>
          <w:b/>
          <w:bCs/>
          <w:sz w:val="44"/>
          <w:szCs w:val="44"/>
        </w:rPr>
        <w:sectPr w:rsidR="00BF38BB">
          <w:headerReference w:type="default" r:id="rId8"/>
          <w:footerReference w:type="default" r:id="rId9"/>
          <w:pgSz w:w="11906" w:h="16838"/>
          <w:pgMar w:top="1440" w:right="1800" w:bottom="1440" w:left="1800" w:header="851" w:footer="992" w:gutter="0"/>
          <w:pgNumType w:start="1"/>
          <w:cols w:space="720"/>
          <w:titlePg/>
          <w:docGrid w:type="lines" w:linePitch="312"/>
        </w:sectPr>
      </w:pPr>
    </w:p>
    <w:p w14:paraId="48566D0F" w14:textId="77777777" w:rsidR="00BF38BB" w:rsidRDefault="002837D7">
      <w:pPr>
        <w:pStyle w:val="1"/>
        <w:spacing w:before="340" w:after="330"/>
        <w:jc w:val="center"/>
        <w:rPr>
          <w:rFonts w:hAnsi="宋体"/>
          <w:color w:val="auto"/>
          <w:kern w:val="44"/>
          <w:sz w:val="21"/>
        </w:rPr>
      </w:pPr>
      <w:bookmarkStart w:id="10" w:name="_Toc334542950"/>
      <w:bookmarkStart w:id="11" w:name="_Toc69916726"/>
      <w:bookmarkStart w:id="12" w:name="_Toc334542633"/>
      <w:bookmarkStart w:id="13" w:name="_Toc329187110"/>
      <w:bookmarkStart w:id="14" w:name="_Toc16920818"/>
      <w:r>
        <w:rPr>
          <w:rFonts w:hAnsi="宋体"/>
          <w:color w:val="auto"/>
          <w:kern w:val="44"/>
          <w:sz w:val="21"/>
        </w:rPr>
        <w:lastRenderedPageBreak/>
        <w:t>一、绪言</w:t>
      </w:r>
      <w:bookmarkEnd w:id="10"/>
      <w:bookmarkEnd w:id="11"/>
      <w:bookmarkEnd w:id="12"/>
      <w:bookmarkEnd w:id="13"/>
      <w:bookmarkEnd w:id="14"/>
    </w:p>
    <w:p w14:paraId="36A2A866" w14:textId="77777777" w:rsidR="00BF38BB" w:rsidRDefault="002837D7">
      <w:pPr>
        <w:spacing w:line="360" w:lineRule="auto"/>
        <w:ind w:firstLineChars="200" w:firstLine="420"/>
        <w:rPr>
          <w:rFonts w:ascii="宋体" w:hAnsi="宋体"/>
        </w:rPr>
      </w:pPr>
      <w:r>
        <w:rPr>
          <w:rFonts w:ascii="宋体" w:hAnsi="宋体"/>
          <w:szCs w:val="21"/>
        </w:rPr>
        <w:t>《</w:t>
      </w:r>
      <w:r>
        <w:rPr>
          <w:rFonts w:ascii="宋体" w:hAnsi="宋体" w:hint="eastAsia"/>
          <w:szCs w:val="21"/>
        </w:rPr>
        <w:t>嘉实中证</w:t>
      </w:r>
      <w:r>
        <w:rPr>
          <w:rFonts w:ascii="宋体" w:hAnsi="宋体" w:hint="eastAsia"/>
          <w:szCs w:val="21"/>
        </w:rPr>
        <w:t>800</w:t>
      </w:r>
      <w:r>
        <w:rPr>
          <w:rFonts w:ascii="宋体" w:hAnsi="宋体" w:hint="eastAsia"/>
          <w:szCs w:val="21"/>
        </w:rPr>
        <w:t>指数增强型证券投资基金</w:t>
      </w:r>
      <w:r>
        <w:rPr>
          <w:rFonts w:ascii="宋体" w:hAnsi="宋体"/>
          <w:szCs w:val="21"/>
        </w:rPr>
        <w:t>招募说明书》</w:t>
      </w:r>
      <w:r>
        <w:rPr>
          <w:rFonts w:ascii="宋体" w:hAnsi="宋体"/>
        </w:rPr>
        <w:t>（以下简称</w:t>
      </w:r>
      <w:r>
        <w:rPr>
          <w:rFonts w:ascii="宋体" w:hAnsi="宋体"/>
        </w:rPr>
        <w:t>“</w:t>
      </w:r>
      <w:r>
        <w:rPr>
          <w:rFonts w:ascii="宋体" w:hAnsi="宋体"/>
        </w:rPr>
        <w:t>本招募说明书</w:t>
      </w:r>
      <w:r>
        <w:rPr>
          <w:rFonts w:ascii="宋体" w:hAnsi="宋体"/>
        </w:rPr>
        <w:t>”</w:t>
      </w:r>
      <w:r>
        <w:rPr>
          <w:rFonts w:ascii="宋体" w:hAnsi="宋体"/>
        </w:rPr>
        <w:t>）依据《中华人民共和国证券投资基金法》（以下简称</w:t>
      </w:r>
      <w:r>
        <w:rPr>
          <w:rFonts w:ascii="宋体" w:hAnsi="宋体"/>
        </w:rPr>
        <w:t>“</w:t>
      </w:r>
      <w:r>
        <w:rPr>
          <w:rFonts w:ascii="宋体" w:hAnsi="宋体"/>
        </w:rPr>
        <w:t>《基金法》</w:t>
      </w:r>
      <w:r>
        <w:rPr>
          <w:rFonts w:ascii="宋体" w:hAnsi="宋体"/>
        </w:rPr>
        <w:t>”</w:t>
      </w:r>
      <w:r>
        <w:rPr>
          <w:rFonts w:ascii="宋体" w:hAnsi="宋体"/>
        </w:rPr>
        <w:t>）、《公开募集证券投资基金销售机构监督管理办法》（以下简称</w:t>
      </w:r>
      <w:r>
        <w:rPr>
          <w:rFonts w:ascii="宋体" w:hAnsi="宋体"/>
        </w:rPr>
        <w:t>“</w:t>
      </w:r>
      <w:r>
        <w:rPr>
          <w:rFonts w:ascii="宋体" w:hAnsi="宋体"/>
        </w:rPr>
        <w:t>《销售办法》</w:t>
      </w:r>
      <w:r>
        <w:rPr>
          <w:rFonts w:ascii="宋体" w:hAnsi="宋体"/>
        </w:rPr>
        <w:t>”</w:t>
      </w:r>
      <w:r>
        <w:rPr>
          <w:rFonts w:ascii="宋体" w:hAnsi="宋体"/>
        </w:rPr>
        <w:t>）、《公开募集证券投资基金运作管理办法》（以下简称</w:t>
      </w:r>
      <w:r>
        <w:rPr>
          <w:rFonts w:ascii="宋体" w:hAnsi="宋体"/>
        </w:rPr>
        <w:t>“</w:t>
      </w:r>
      <w:r>
        <w:rPr>
          <w:rFonts w:ascii="宋体" w:hAnsi="宋体"/>
        </w:rPr>
        <w:t>《运作办法》</w:t>
      </w:r>
      <w:r>
        <w:rPr>
          <w:rFonts w:ascii="宋体" w:hAnsi="宋体"/>
        </w:rPr>
        <w:t>”</w:t>
      </w:r>
      <w:r>
        <w:rPr>
          <w:rFonts w:ascii="宋体" w:hAnsi="宋体"/>
        </w:rPr>
        <w:t>）、《</w:t>
      </w:r>
      <w:r>
        <w:rPr>
          <w:rFonts w:ascii="宋体" w:hAnsi="宋体" w:hint="eastAsia"/>
          <w:szCs w:val="21"/>
        </w:rPr>
        <w:t>公开募集</w:t>
      </w:r>
      <w:r>
        <w:rPr>
          <w:rFonts w:ascii="宋体" w:hAnsi="宋体"/>
        </w:rPr>
        <w:t>证券投资基金信息</w:t>
      </w:r>
      <w:r>
        <w:rPr>
          <w:rFonts w:ascii="宋体" w:hAnsi="宋体"/>
        </w:rPr>
        <w:t>披露管理办法》（以下简称</w:t>
      </w:r>
      <w:r>
        <w:rPr>
          <w:rFonts w:ascii="宋体" w:hAnsi="宋体"/>
        </w:rPr>
        <w:t>“</w:t>
      </w:r>
      <w:r>
        <w:rPr>
          <w:rFonts w:ascii="宋体" w:hAnsi="宋体"/>
        </w:rPr>
        <w:t>《信息披露办法》</w:t>
      </w:r>
      <w:r>
        <w:rPr>
          <w:rFonts w:ascii="宋体" w:hAnsi="宋体"/>
        </w:rPr>
        <w:t>”</w:t>
      </w:r>
      <w:r>
        <w:rPr>
          <w:rFonts w:ascii="宋体" w:hAnsi="宋体"/>
        </w:rPr>
        <w:t>）、</w:t>
      </w:r>
      <w:r>
        <w:rPr>
          <w:rFonts w:ascii="宋体" w:hAnsi="宋体"/>
          <w:szCs w:val="21"/>
        </w:rPr>
        <w:t>《</w:t>
      </w:r>
      <w:bookmarkStart w:id="15" w:name="_DV_C81"/>
      <w:r>
        <w:rPr>
          <w:rFonts w:ascii="宋体" w:hAnsi="宋体"/>
          <w:szCs w:val="21"/>
        </w:rPr>
        <w:t>证券投资基金信息披露</w:t>
      </w:r>
      <w:r>
        <w:rPr>
          <w:rFonts w:ascii="宋体" w:hAnsi="宋体" w:hint="eastAsia"/>
          <w:szCs w:val="21"/>
        </w:rPr>
        <w:t>内容与格式准则</w:t>
      </w:r>
      <w:r>
        <w:rPr>
          <w:rFonts w:ascii="宋体" w:hAnsi="宋体"/>
          <w:szCs w:val="21"/>
        </w:rPr>
        <w:t>第</w:t>
      </w:r>
      <w:r>
        <w:rPr>
          <w:rFonts w:ascii="宋体" w:hAnsi="宋体"/>
          <w:szCs w:val="21"/>
        </w:rPr>
        <w:t>5</w:t>
      </w:r>
      <w:r>
        <w:rPr>
          <w:rFonts w:ascii="宋体" w:hAnsi="宋体"/>
          <w:szCs w:val="21"/>
        </w:rPr>
        <w:t>号</w:t>
      </w:r>
      <w:r>
        <w:rPr>
          <w:rFonts w:ascii="宋体" w:hAnsi="宋体"/>
          <w:szCs w:val="21"/>
        </w:rPr>
        <w:t>&lt;</w:t>
      </w:r>
      <w:bookmarkStart w:id="16" w:name="_DV_M45"/>
      <w:bookmarkStart w:id="17" w:name="_DV_C82"/>
      <w:bookmarkEnd w:id="15"/>
      <w:bookmarkEnd w:id="16"/>
      <w:r>
        <w:rPr>
          <w:rFonts w:ascii="宋体" w:hAnsi="宋体"/>
          <w:szCs w:val="21"/>
        </w:rPr>
        <w:t>招募说明书的内容与格式</w:t>
      </w:r>
      <w:r>
        <w:rPr>
          <w:rFonts w:ascii="宋体" w:hAnsi="宋体"/>
          <w:szCs w:val="21"/>
        </w:rPr>
        <w:t>&gt;</w:t>
      </w:r>
      <w:bookmarkStart w:id="18" w:name="_DV_M46"/>
      <w:bookmarkEnd w:id="17"/>
      <w:bookmarkEnd w:id="18"/>
      <w:r>
        <w:rPr>
          <w:rFonts w:ascii="宋体" w:hAnsi="宋体"/>
          <w:szCs w:val="21"/>
        </w:rPr>
        <w:t>》</w:t>
      </w:r>
      <w:r>
        <w:rPr>
          <w:rFonts w:ascii="宋体" w:hAnsi="宋体" w:hint="eastAsia"/>
          <w:szCs w:val="21"/>
        </w:rPr>
        <w:t>、《公开募集开放式证券投资基金流动性风险管理规定》（以下简称“《流动性风险管理规定》”）、《公开募集证券投资基金运作指引第</w:t>
      </w:r>
      <w:r>
        <w:rPr>
          <w:rFonts w:ascii="宋体" w:hAnsi="宋体" w:hint="eastAsia"/>
          <w:szCs w:val="21"/>
        </w:rPr>
        <w:t>3</w:t>
      </w:r>
      <w:r>
        <w:rPr>
          <w:rFonts w:ascii="宋体" w:hAnsi="宋体" w:hint="eastAsia"/>
          <w:szCs w:val="21"/>
        </w:rPr>
        <w:t>号——指数基金指引》（以下简称“《指数基金指引》”）</w:t>
      </w:r>
      <w:r>
        <w:rPr>
          <w:rFonts w:ascii="宋体" w:hAnsi="宋体"/>
          <w:szCs w:val="21"/>
        </w:rPr>
        <w:t>等</w:t>
      </w:r>
      <w:r>
        <w:rPr>
          <w:rFonts w:ascii="宋体" w:hAnsi="宋体"/>
        </w:rPr>
        <w:t>有关法律法规以及</w:t>
      </w:r>
      <w:r>
        <w:rPr>
          <w:rFonts w:ascii="宋体" w:hAnsi="宋体"/>
          <w:kern w:val="0"/>
          <w:szCs w:val="21"/>
        </w:rPr>
        <w:t>《</w:t>
      </w:r>
      <w:r>
        <w:rPr>
          <w:rFonts w:ascii="宋体" w:hAnsi="宋体" w:hint="eastAsia"/>
          <w:szCs w:val="21"/>
        </w:rPr>
        <w:t>嘉实中证</w:t>
      </w:r>
      <w:r>
        <w:rPr>
          <w:rFonts w:ascii="宋体" w:hAnsi="宋体" w:hint="eastAsia"/>
          <w:szCs w:val="21"/>
        </w:rPr>
        <w:t>800</w:t>
      </w:r>
      <w:r>
        <w:rPr>
          <w:rFonts w:ascii="宋体" w:hAnsi="宋体" w:hint="eastAsia"/>
          <w:szCs w:val="21"/>
        </w:rPr>
        <w:t>指数增强型证券投资基金</w:t>
      </w:r>
      <w:r>
        <w:rPr>
          <w:rFonts w:ascii="宋体" w:hAnsi="宋体"/>
          <w:kern w:val="0"/>
        </w:rPr>
        <w:t>基金合同》（以下简称</w:t>
      </w:r>
      <w:r>
        <w:rPr>
          <w:rFonts w:ascii="宋体" w:hAnsi="宋体"/>
          <w:kern w:val="0"/>
        </w:rPr>
        <w:t>“</w:t>
      </w:r>
      <w:r>
        <w:rPr>
          <w:rFonts w:ascii="宋体" w:hAnsi="宋体"/>
          <w:kern w:val="0"/>
        </w:rPr>
        <w:t>基金合同</w:t>
      </w:r>
      <w:r>
        <w:rPr>
          <w:rFonts w:ascii="宋体" w:hAnsi="宋体"/>
          <w:kern w:val="0"/>
        </w:rPr>
        <w:t>”</w:t>
      </w:r>
      <w:r>
        <w:rPr>
          <w:rFonts w:ascii="宋体" w:hAnsi="宋体"/>
          <w:kern w:val="0"/>
        </w:rPr>
        <w:t>）</w:t>
      </w:r>
      <w:r>
        <w:rPr>
          <w:rFonts w:ascii="宋体" w:hAnsi="宋体"/>
        </w:rPr>
        <w:t>编写。</w:t>
      </w:r>
    </w:p>
    <w:p w14:paraId="192323A1" w14:textId="77777777" w:rsidR="00BF38BB" w:rsidRDefault="002837D7">
      <w:pPr>
        <w:spacing w:line="360" w:lineRule="auto"/>
        <w:ind w:firstLineChars="200" w:firstLine="420"/>
        <w:rPr>
          <w:rFonts w:ascii="宋体" w:hAnsi="宋体"/>
        </w:rPr>
      </w:pPr>
      <w:r>
        <w:rPr>
          <w:rFonts w:ascii="宋体" w:hAnsi="宋体"/>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741A9168" w14:textId="77777777" w:rsidR="00BF38BB" w:rsidRDefault="002837D7">
      <w:pPr>
        <w:spacing w:line="360" w:lineRule="auto"/>
        <w:ind w:firstLineChars="200" w:firstLine="420"/>
        <w:rPr>
          <w:rFonts w:ascii="宋体" w:hAnsi="宋体"/>
        </w:rPr>
      </w:pPr>
      <w:r>
        <w:rPr>
          <w:rFonts w:ascii="宋体" w:hAnsi="宋体"/>
        </w:rPr>
        <w:t>本招募说明书根据本基金的基金合同编写，并经中国证监会注册。基金合同是约定基金合同当事人之间基本权利义务的法律文件，</w:t>
      </w:r>
      <w:r>
        <w:rPr>
          <w:rFonts w:ascii="宋体" w:hAnsi="宋体" w:hint="eastAsia"/>
          <w:szCs w:val="21"/>
        </w:rPr>
        <w:t>其他与本基金相关的涉及基金合同当事人之间权利义务关系的任何文件或表述</w:t>
      </w:r>
      <w:r>
        <w:rPr>
          <w:rFonts w:ascii="宋体" w:hAnsi="宋体"/>
        </w:rPr>
        <w:t>，均以基金合同为准。基金合同的当事人包括基金管理人、基金托管人</w:t>
      </w:r>
      <w:r>
        <w:rPr>
          <w:rFonts w:ascii="宋体" w:hAnsi="宋体"/>
        </w:rPr>
        <w:t>和基金份额持有人。基金投资者自依基金合同取得本基金基金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p>
    <w:p w14:paraId="3A492C48" w14:textId="77777777" w:rsidR="00BF38BB" w:rsidRDefault="00BF38BB">
      <w:pPr>
        <w:spacing w:line="360" w:lineRule="auto"/>
        <w:ind w:firstLineChars="200" w:firstLine="420"/>
        <w:rPr>
          <w:rFonts w:ascii="宋体" w:hAnsi="宋体"/>
        </w:rPr>
      </w:pPr>
    </w:p>
    <w:p w14:paraId="24349668" w14:textId="77777777" w:rsidR="00BF38BB" w:rsidRDefault="002837D7">
      <w:pPr>
        <w:pStyle w:val="1"/>
        <w:spacing w:before="340" w:after="330"/>
        <w:jc w:val="center"/>
        <w:rPr>
          <w:rFonts w:hAnsi="宋体"/>
          <w:color w:val="auto"/>
          <w:kern w:val="44"/>
          <w:sz w:val="21"/>
        </w:rPr>
      </w:pPr>
      <w:bookmarkStart w:id="19" w:name="_Toc334542951"/>
      <w:bookmarkStart w:id="20" w:name="_Toc329187111"/>
      <w:bookmarkStart w:id="21" w:name="_Toc334542634"/>
      <w:r>
        <w:rPr>
          <w:rFonts w:hAnsi="宋体"/>
          <w:color w:val="auto"/>
          <w:kern w:val="44"/>
          <w:sz w:val="21"/>
        </w:rPr>
        <w:br w:type="page"/>
      </w:r>
      <w:bookmarkStart w:id="22" w:name="_Toc69916727"/>
      <w:r>
        <w:rPr>
          <w:rFonts w:hAnsi="宋体"/>
          <w:color w:val="auto"/>
          <w:kern w:val="44"/>
          <w:sz w:val="21"/>
        </w:rPr>
        <w:lastRenderedPageBreak/>
        <w:t>二、释义</w:t>
      </w:r>
      <w:bookmarkEnd w:id="19"/>
      <w:bookmarkEnd w:id="20"/>
      <w:bookmarkEnd w:id="21"/>
      <w:bookmarkEnd w:id="22"/>
    </w:p>
    <w:p w14:paraId="107ADBDE" w14:textId="77777777" w:rsidR="00BF38BB" w:rsidRDefault="002837D7">
      <w:pPr>
        <w:spacing w:line="360" w:lineRule="auto"/>
        <w:ind w:firstLineChars="200" w:firstLine="420"/>
        <w:rPr>
          <w:bCs/>
          <w:szCs w:val="21"/>
        </w:rPr>
      </w:pPr>
      <w:bookmarkStart w:id="23" w:name="_Toc329187112"/>
      <w:bookmarkStart w:id="24" w:name="_Toc334542635"/>
      <w:bookmarkStart w:id="25" w:name="_Toc334542952"/>
      <w:r>
        <w:rPr>
          <w:bCs/>
          <w:szCs w:val="21"/>
        </w:rPr>
        <w:t>在本招募说明书中，除非文意另有所指，下列词语或简称具有如下含义：</w:t>
      </w:r>
    </w:p>
    <w:p w14:paraId="54517D15" w14:textId="77777777" w:rsidR="00BF38BB" w:rsidRDefault="002837D7">
      <w:pPr>
        <w:pStyle w:val="aff7"/>
        <w:numPr>
          <w:ilvl w:val="0"/>
          <w:numId w:val="3"/>
        </w:numPr>
        <w:spacing w:line="360" w:lineRule="auto"/>
        <w:ind w:firstLineChars="0"/>
        <w:rPr>
          <w:bCs/>
          <w:szCs w:val="21"/>
        </w:rPr>
      </w:pPr>
      <w:bookmarkStart w:id="26" w:name="OLE_LINK24"/>
      <w:bookmarkStart w:id="27" w:name="_Hlk141892123"/>
      <w:r>
        <w:rPr>
          <w:bCs/>
          <w:szCs w:val="21"/>
        </w:rPr>
        <w:t>基金</w:t>
      </w:r>
      <w:r>
        <w:rPr>
          <w:rFonts w:hint="eastAsia"/>
          <w:bCs/>
          <w:szCs w:val="21"/>
        </w:rPr>
        <w:t>/</w:t>
      </w:r>
      <w:r>
        <w:rPr>
          <w:bCs/>
          <w:szCs w:val="21"/>
        </w:rPr>
        <w:t>本基金：指</w:t>
      </w:r>
      <w:r>
        <w:rPr>
          <w:rFonts w:hint="eastAsia"/>
          <w:bCs/>
          <w:szCs w:val="21"/>
        </w:rPr>
        <w:t>嘉实中证</w:t>
      </w:r>
      <w:r>
        <w:rPr>
          <w:rFonts w:hint="eastAsia"/>
          <w:bCs/>
          <w:szCs w:val="21"/>
        </w:rPr>
        <w:t>800</w:t>
      </w:r>
      <w:r>
        <w:rPr>
          <w:rFonts w:hint="eastAsia"/>
          <w:bCs/>
          <w:szCs w:val="21"/>
        </w:rPr>
        <w:t>指数增强型证券投资基金</w:t>
      </w:r>
    </w:p>
    <w:p w14:paraId="553879A0" w14:textId="77777777" w:rsidR="00BF38BB" w:rsidRDefault="002837D7">
      <w:pPr>
        <w:pStyle w:val="aff7"/>
        <w:numPr>
          <w:ilvl w:val="0"/>
          <w:numId w:val="3"/>
        </w:numPr>
        <w:spacing w:line="360" w:lineRule="auto"/>
        <w:ind w:firstLineChars="0"/>
        <w:rPr>
          <w:bCs/>
          <w:szCs w:val="21"/>
        </w:rPr>
      </w:pPr>
      <w:r>
        <w:rPr>
          <w:bCs/>
          <w:szCs w:val="21"/>
        </w:rPr>
        <w:t>基金管理人：指嘉实基金管理有限公司</w:t>
      </w:r>
    </w:p>
    <w:p w14:paraId="729ED7A6" w14:textId="77777777" w:rsidR="00BF38BB" w:rsidRDefault="002837D7">
      <w:pPr>
        <w:pStyle w:val="aff7"/>
        <w:numPr>
          <w:ilvl w:val="0"/>
          <w:numId w:val="3"/>
        </w:numPr>
        <w:spacing w:line="360" w:lineRule="auto"/>
        <w:ind w:firstLineChars="0"/>
        <w:rPr>
          <w:bCs/>
          <w:szCs w:val="21"/>
        </w:rPr>
      </w:pPr>
      <w:r>
        <w:rPr>
          <w:bCs/>
          <w:szCs w:val="21"/>
        </w:rPr>
        <w:t>基金托管人：指</w:t>
      </w:r>
      <w:r>
        <w:rPr>
          <w:rFonts w:hint="eastAsia"/>
          <w:bCs/>
          <w:szCs w:val="21"/>
        </w:rPr>
        <w:t>交通银行股份有限公司</w:t>
      </w:r>
    </w:p>
    <w:p w14:paraId="52C3E40E" w14:textId="77777777" w:rsidR="00BF38BB" w:rsidRDefault="002837D7">
      <w:pPr>
        <w:spacing w:line="360" w:lineRule="auto"/>
        <w:ind w:firstLineChars="200" w:firstLine="420"/>
        <w:rPr>
          <w:bCs/>
          <w:szCs w:val="21"/>
        </w:rPr>
      </w:pPr>
      <w:r>
        <w:rPr>
          <w:bCs/>
          <w:szCs w:val="21"/>
        </w:rPr>
        <w:t>4</w:t>
      </w:r>
      <w:r>
        <w:rPr>
          <w:rFonts w:hint="eastAsia"/>
          <w:bCs/>
          <w:szCs w:val="21"/>
        </w:rPr>
        <w:t>、</w:t>
      </w:r>
      <w:r>
        <w:rPr>
          <w:bCs/>
          <w:szCs w:val="21"/>
        </w:rPr>
        <w:t>基金合同：指《</w:t>
      </w:r>
      <w:r>
        <w:rPr>
          <w:rFonts w:hint="eastAsia"/>
          <w:bCs/>
          <w:szCs w:val="21"/>
        </w:rPr>
        <w:t>嘉实中证</w:t>
      </w:r>
      <w:r>
        <w:rPr>
          <w:rFonts w:hint="eastAsia"/>
          <w:bCs/>
          <w:szCs w:val="21"/>
        </w:rPr>
        <w:t>800</w:t>
      </w:r>
      <w:r>
        <w:rPr>
          <w:rFonts w:hint="eastAsia"/>
          <w:bCs/>
          <w:szCs w:val="21"/>
        </w:rPr>
        <w:t>指数增强型证券投资基金</w:t>
      </w:r>
      <w:r>
        <w:rPr>
          <w:bCs/>
          <w:szCs w:val="21"/>
        </w:rPr>
        <w:t>基金合同》及对基金合同的任何有效修订和补充</w:t>
      </w:r>
    </w:p>
    <w:p w14:paraId="4010C487" w14:textId="77777777" w:rsidR="00BF38BB" w:rsidRDefault="002837D7">
      <w:pPr>
        <w:spacing w:line="360" w:lineRule="auto"/>
        <w:ind w:firstLineChars="200" w:firstLine="420"/>
        <w:rPr>
          <w:bCs/>
          <w:szCs w:val="21"/>
        </w:rPr>
      </w:pPr>
      <w:r>
        <w:rPr>
          <w:bCs/>
          <w:szCs w:val="21"/>
        </w:rPr>
        <w:t>5</w:t>
      </w:r>
      <w:r>
        <w:rPr>
          <w:rFonts w:hint="eastAsia"/>
          <w:bCs/>
          <w:szCs w:val="21"/>
        </w:rPr>
        <w:t>、</w:t>
      </w:r>
      <w:r>
        <w:rPr>
          <w:bCs/>
          <w:szCs w:val="21"/>
        </w:rPr>
        <w:t>托管协议：指基金管理人与基金托管人就本基金签订之《</w:t>
      </w:r>
      <w:r>
        <w:rPr>
          <w:rFonts w:hint="eastAsia"/>
          <w:bCs/>
          <w:szCs w:val="21"/>
        </w:rPr>
        <w:t>嘉实中证</w:t>
      </w:r>
      <w:r>
        <w:rPr>
          <w:rFonts w:hint="eastAsia"/>
          <w:bCs/>
          <w:szCs w:val="21"/>
        </w:rPr>
        <w:t>800</w:t>
      </w:r>
      <w:r>
        <w:rPr>
          <w:rFonts w:hint="eastAsia"/>
          <w:bCs/>
          <w:szCs w:val="21"/>
        </w:rPr>
        <w:t>指数增强型证券投资基金</w:t>
      </w:r>
      <w:r>
        <w:rPr>
          <w:bCs/>
          <w:szCs w:val="21"/>
        </w:rPr>
        <w:t>托管协议》及对该托管协议的任何有效修订和补充</w:t>
      </w:r>
    </w:p>
    <w:p w14:paraId="5E5047E8" w14:textId="77777777" w:rsidR="00BF38BB" w:rsidRDefault="002837D7">
      <w:pPr>
        <w:spacing w:line="360" w:lineRule="auto"/>
        <w:ind w:firstLineChars="200" w:firstLine="420"/>
        <w:rPr>
          <w:bCs/>
          <w:szCs w:val="21"/>
        </w:rPr>
      </w:pPr>
      <w:r>
        <w:rPr>
          <w:bCs/>
          <w:szCs w:val="21"/>
        </w:rPr>
        <w:t>6</w:t>
      </w:r>
      <w:r>
        <w:rPr>
          <w:rFonts w:hint="eastAsia"/>
          <w:bCs/>
          <w:szCs w:val="21"/>
        </w:rPr>
        <w:t>、</w:t>
      </w:r>
      <w:r>
        <w:rPr>
          <w:bCs/>
          <w:szCs w:val="21"/>
        </w:rPr>
        <w:t>招募说明书：指《</w:t>
      </w:r>
      <w:r>
        <w:rPr>
          <w:rFonts w:hint="eastAsia"/>
          <w:bCs/>
          <w:szCs w:val="21"/>
        </w:rPr>
        <w:t>嘉实中证</w:t>
      </w:r>
      <w:r>
        <w:rPr>
          <w:rFonts w:hint="eastAsia"/>
          <w:bCs/>
          <w:szCs w:val="21"/>
        </w:rPr>
        <w:t>800</w:t>
      </w:r>
      <w:r>
        <w:rPr>
          <w:rFonts w:hint="eastAsia"/>
          <w:bCs/>
          <w:szCs w:val="21"/>
        </w:rPr>
        <w:t>指数增强型证券投资基金</w:t>
      </w:r>
      <w:r>
        <w:rPr>
          <w:bCs/>
          <w:szCs w:val="21"/>
        </w:rPr>
        <w:t>招募说明书》及其更新后的版本</w:t>
      </w:r>
    </w:p>
    <w:p w14:paraId="48E37974" w14:textId="77777777" w:rsidR="00BF38BB" w:rsidRDefault="002837D7">
      <w:pPr>
        <w:spacing w:line="360" w:lineRule="auto"/>
        <w:ind w:firstLineChars="200" w:firstLine="420"/>
        <w:rPr>
          <w:bCs/>
          <w:szCs w:val="21"/>
        </w:rPr>
      </w:pPr>
      <w:r>
        <w:rPr>
          <w:bCs/>
          <w:szCs w:val="21"/>
        </w:rPr>
        <w:t>7</w:t>
      </w:r>
      <w:r>
        <w:rPr>
          <w:rFonts w:hint="eastAsia"/>
          <w:bCs/>
          <w:szCs w:val="21"/>
        </w:rPr>
        <w:t>、</w:t>
      </w:r>
      <w:r>
        <w:rPr>
          <w:bCs/>
          <w:szCs w:val="21"/>
        </w:rPr>
        <w:t>基金份额发售公告：指《</w:t>
      </w:r>
      <w:r>
        <w:rPr>
          <w:rFonts w:hint="eastAsia"/>
          <w:bCs/>
          <w:szCs w:val="21"/>
        </w:rPr>
        <w:t>嘉实中证</w:t>
      </w:r>
      <w:r>
        <w:rPr>
          <w:rFonts w:hint="eastAsia"/>
          <w:bCs/>
          <w:szCs w:val="21"/>
        </w:rPr>
        <w:t>800</w:t>
      </w:r>
      <w:r>
        <w:rPr>
          <w:rFonts w:hint="eastAsia"/>
          <w:bCs/>
          <w:szCs w:val="21"/>
        </w:rPr>
        <w:t>指数增强型证券投资基金</w:t>
      </w:r>
      <w:r>
        <w:rPr>
          <w:bCs/>
          <w:szCs w:val="21"/>
        </w:rPr>
        <w:t>基金份额发售公告》</w:t>
      </w:r>
    </w:p>
    <w:p w14:paraId="59B73FBD" w14:textId="77777777" w:rsidR="00BF38BB" w:rsidRDefault="002837D7">
      <w:pPr>
        <w:spacing w:line="360" w:lineRule="auto"/>
        <w:ind w:firstLineChars="200" w:firstLine="420"/>
        <w:rPr>
          <w:bCs/>
          <w:szCs w:val="21"/>
        </w:rPr>
      </w:pPr>
      <w:r>
        <w:rPr>
          <w:bCs/>
          <w:szCs w:val="21"/>
        </w:rPr>
        <w:t>8</w:t>
      </w:r>
      <w:r>
        <w:rPr>
          <w:rFonts w:hint="eastAsia"/>
          <w:bCs/>
          <w:szCs w:val="21"/>
        </w:rPr>
        <w:t>、</w:t>
      </w:r>
      <w:r>
        <w:rPr>
          <w:bCs/>
          <w:szCs w:val="21"/>
        </w:rPr>
        <w:t>法律法规：指中国现行有效并公布实施</w:t>
      </w:r>
      <w:r>
        <w:rPr>
          <w:bCs/>
          <w:szCs w:val="21"/>
        </w:rPr>
        <w:t>的法律、行政法规、司法解释、行政规章、规范性文件以及其他对基金合同当事人有约束力的决定、决议、通知等</w:t>
      </w:r>
      <w:r>
        <w:rPr>
          <w:rFonts w:hint="eastAsia"/>
          <w:bCs/>
          <w:szCs w:val="21"/>
        </w:rPr>
        <w:t>，</w:t>
      </w:r>
      <w:r>
        <w:rPr>
          <w:bCs/>
          <w:szCs w:val="21"/>
        </w:rPr>
        <w:t>包括颁布机关对前述文件不时做出的修订</w:t>
      </w:r>
    </w:p>
    <w:p w14:paraId="66152560" w14:textId="77777777" w:rsidR="00BF38BB" w:rsidRDefault="002837D7">
      <w:pPr>
        <w:spacing w:line="360" w:lineRule="auto"/>
        <w:ind w:firstLineChars="200" w:firstLine="420"/>
        <w:rPr>
          <w:bCs/>
          <w:szCs w:val="21"/>
        </w:rPr>
      </w:pPr>
      <w:r>
        <w:rPr>
          <w:bCs/>
          <w:szCs w:val="21"/>
        </w:rPr>
        <w:t>9</w:t>
      </w:r>
      <w:r>
        <w:rPr>
          <w:rFonts w:hint="eastAsia"/>
          <w:bCs/>
          <w:szCs w:val="21"/>
        </w:rPr>
        <w:t>、</w:t>
      </w:r>
      <w:r>
        <w:rPr>
          <w:bCs/>
          <w:szCs w:val="21"/>
        </w:rPr>
        <w:t>《基金法》：指</w:t>
      </w:r>
      <w:r>
        <w:rPr>
          <w:bCs/>
          <w:szCs w:val="21"/>
        </w:rPr>
        <w:t>2003</w:t>
      </w:r>
      <w:r>
        <w:rPr>
          <w:bCs/>
          <w:szCs w:val="21"/>
        </w:rPr>
        <w:t>年</w:t>
      </w:r>
      <w:r>
        <w:rPr>
          <w:bCs/>
          <w:szCs w:val="21"/>
        </w:rPr>
        <w:t>10</w:t>
      </w:r>
      <w:r>
        <w:rPr>
          <w:bCs/>
          <w:szCs w:val="21"/>
        </w:rPr>
        <w:t>月</w:t>
      </w:r>
      <w:r>
        <w:rPr>
          <w:bCs/>
          <w:szCs w:val="21"/>
        </w:rPr>
        <w:t>28</w:t>
      </w:r>
      <w:r>
        <w:rPr>
          <w:bCs/>
          <w:szCs w:val="21"/>
        </w:rPr>
        <w:t>日经第十届全国人民代表大会常务委员会第五次会议通过，经</w:t>
      </w:r>
      <w:r>
        <w:rPr>
          <w:bCs/>
          <w:szCs w:val="21"/>
        </w:rPr>
        <w:t>2012</w:t>
      </w:r>
      <w:r>
        <w:rPr>
          <w:bCs/>
          <w:szCs w:val="21"/>
        </w:rPr>
        <w:t>年</w:t>
      </w:r>
      <w:r>
        <w:rPr>
          <w:bCs/>
          <w:szCs w:val="21"/>
        </w:rPr>
        <w:t>12</w:t>
      </w:r>
      <w:r>
        <w:rPr>
          <w:bCs/>
          <w:szCs w:val="21"/>
        </w:rPr>
        <w:t>月</w:t>
      </w:r>
      <w:r>
        <w:rPr>
          <w:bCs/>
          <w:szCs w:val="21"/>
        </w:rPr>
        <w:t>28</w:t>
      </w:r>
      <w:r>
        <w:rPr>
          <w:bCs/>
          <w:szCs w:val="21"/>
        </w:rPr>
        <w:t>日第十一届全国人民代表大会常务委员会第三十次会议修订，自</w:t>
      </w:r>
      <w:r>
        <w:rPr>
          <w:bCs/>
          <w:szCs w:val="21"/>
        </w:rPr>
        <w:t>2013</w:t>
      </w:r>
      <w:r>
        <w:rPr>
          <w:bCs/>
          <w:szCs w:val="21"/>
        </w:rPr>
        <w:t>年</w:t>
      </w:r>
      <w:r>
        <w:rPr>
          <w:bCs/>
          <w:szCs w:val="21"/>
        </w:rPr>
        <w:t>6</w:t>
      </w:r>
      <w:r>
        <w:rPr>
          <w:bCs/>
          <w:szCs w:val="21"/>
        </w:rPr>
        <w:t>月</w:t>
      </w:r>
      <w:r>
        <w:rPr>
          <w:bCs/>
          <w:szCs w:val="21"/>
        </w:rPr>
        <w:t>1</w:t>
      </w:r>
      <w:r>
        <w:rPr>
          <w:bCs/>
          <w:szCs w:val="21"/>
        </w:rPr>
        <w:t>日起实施，并经</w:t>
      </w:r>
      <w:r>
        <w:rPr>
          <w:bCs/>
          <w:szCs w:val="21"/>
        </w:rPr>
        <w:t>2015</w:t>
      </w:r>
      <w:r>
        <w:rPr>
          <w:bCs/>
          <w:szCs w:val="21"/>
        </w:rPr>
        <w:t>年</w:t>
      </w:r>
      <w:r>
        <w:rPr>
          <w:bCs/>
          <w:szCs w:val="21"/>
        </w:rPr>
        <w:t>4</w:t>
      </w:r>
      <w:r>
        <w:rPr>
          <w:bCs/>
          <w:szCs w:val="21"/>
        </w:rPr>
        <w:t>月</w:t>
      </w:r>
      <w:r>
        <w:rPr>
          <w:bCs/>
          <w:szCs w:val="21"/>
        </w:rPr>
        <w:t>24</w:t>
      </w:r>
      <w:r>
        <w:rPr>
          <w:bCs/>
          <w:szCs w:val="21"/>
        </w:rPr>
        <w:t>日第十二届全国人民代表大会常务委员会第十四次会议《全国人民代表大会常务委员会关于修改</w:t>
      </w:r>
      <w:r>
        <w:rPr>
          <w:bCs/>
          <w:szCs w:val="21"/>
        </w:rPr>
        <w:t>&lt;</w:t>
      </w:r>
      <w:r>
        <w:rPr>
          <w:bCs/>
          <w:szCs w:val="21"/>
        </w:rPr>
        <w:t>中华人民共和国港口法</w:t>
      </w:r>
      <w:r>
        <w:rPr>
          <w:bCs/>
          <w:szCs w:val="21"/>
        </w:rPr>
        <w:t>&gt;</w:t>
      </w:r>
      <w:r>
        <w:rPr>
          <w:bCs/>
          <w:szCs w:val="21"/>
        </w:rPr>
        <w:t>等七部法律的决定》修订的《中华人民共和国证券投资</w:t>
      </w:r>
      <w:r>
        <w:rPr>
          <w:bCs/>
          <w:szCs w:val="21"/>
        </w:rPr>
        <w:t>基金法》及颁布机关对其不时做出的修订</w:t>
      </w:r>
    </w:p>
    <w:p w14:paraId="5447CD68" w14:textId="77777777" w:rsidR="00BF38BB" w:rsidRDefault="002837D7">
      <w:pPr>
        <w:spacing w:line="360" w:lineRule="auto"/>
        <w:ind w:firstLineChars="200" w:firstLine="420"/>
        <w:rPr>
          <w:bCs/>
          <w:szCs w:val="21"/>
        </w:rPr>
      </w:pPr>
      <w:r>
        <w:rPr>
          <w:bCs/>
          <w:szCs w:val="21"/>
        </w:rPr>
        <w:t>10</w:t>
      </w:r>
      <w:r>
        <w:rPr>
          <w:rFonts w:hint="eastAsia"/>
          <w:bCs/>
          <w:szCs w:val="21"/>
        </w:rPr>
        <w:t>、</w:t>
      </w:r>
      <w:r>
        <w:rPr>
          <w:bCs/>
          <w:szCs w:val="21"/>
        </w:rPr>
        <w:t>《销售办法》：</w:t>
      </w:r>
      <w:r>
        <w:rPr>
          <w:rFonts w:hint="eastAsia"/>
          <w:bCs/>
          <w:szCs w:val="21"/>
        </w:rPr>
        <w:t>指中国证监会</w:t>
      </w:r>
      <w:r>
        <w:rPr>
          <w:rFonts w:hint="eastAsia"/>
          <w:bCs/>
          <w:szCs w:val="21"/>
        </w:rPr>
        <w:t>2020</w:t>
      </w:r>
      <w:r>
        <w:rPr>
          <w:rFonts w:hint="eastAsia"/>
          <w:bCs/>
          <w:szCs w:val="21"/>
        </w:rPr>
        <w:t>年</w:t>
      </w:r>
      <w:r>
        <w:rPr>
          <w:rFonts w:hint="eastAsia"/>
          <w:bCs/>
          <w:szCs w:val="21"/>
        </w:rPr>
        <w:t>8</w:t>
      </w:r>
      <w:r>
        <w:rPr>
          <w:rFonts w:hint="eastAsia"/>
          <w:bCs/>
          <w:szCs w:val="21"/>
        </w:rPr>
        <w:t>月</w:t>
      </w:r>
      <w:r>
        <w:rPr>
          <w:rFonts w:hint="eastAsia"/>
          <w:bCs/>
          <w:szCs w:val="21"/>
        </w:rPr>
        <w:t>28</w:t>
      </w:r>
      <w:r>
        <w:rPr>
          <w:rFonts w:hint="eastAsia"/>
          <w:bCs/>
          <w:szCs w:val="21"/>
        </w:rPr>
        <w:t>日颁布、同年</w:t>
      </w:r>
      <w:r>
        <w:rPr>
          <w:rFonts w:hint="eastAsia"/>
          <w:bCs/>
          <w:szCs w:val="21"/>
        </w:rPr>
        <w:t>10</w:t>
      </w:r>
      <w:r>
        <w:rPr>
          <w:rFonts w:hint="eastAsia"/>
          <w:bCs/>
          <w:szCs w:val="21"/>
        </w:rPr>
        <w:t>月</w:t>
      </w:r>
      <w:r>
        <w:rPr>
          <w:rFonts w:hint="eastAsia"/>
          <w:bCs/>
          <w:szCs w:val="21"/>
        </w:rPr>
        <w:t>1</w:t>
      </w:r>
      <w:r>
        <w:rPr>
          <w:rFonts w:hint="eastAsia"/>
          <w:bCs/>
          <w:szCs w:val="21"/>
        </w:rPr>
        <w:t>日实施的《公开募集证券投资基金销售机构监督管理办法》及颁布机关对其不时做出的修订</w:t>
      </w:r>
    </w:p>
    <w:p w14:paraId="61A00072" w14:textId="77777777" w:rsidR="00BF38BB" w:rsidRDefault="002837D7">
      <w:pPr>
        <w:spacing w:line="360" w:lineRule="auto"/>
        <w:ind w:firstLineChars="200" w:firstLine="420"/>
        <w:rPr>
          <w:bCs/>
          <w:szCs w:val="21"/>
        </w:rPr>
      </w:pPr>
      <w:r>
        <w:rPr>
          <w:bCs/>
          <w:szCs w:val="21"/>
        </w:rPr>
        <w:t>11</w:t>
      </w:r>
      <w:r>
        <w:rPr>
          <w:rFonts w:hint="eastAsia"/>
          <w:bCs/>
          <w:szCs w:val="21"/>
        </w:rPr>
        <w:t>、</w:t>
      </w:r>
      <w:r>
        <w:rPr>
          <w:bCs/>
          <w:szCs w:val="21"/>
        </w:rPr>
        <w:t>《信息披露办法》：指中国证监会</w:t>
      </w:r>
      <w:r>
        <w:rPr>
          <w:bCs/>
          <w:szCs w:val="21"/>
        </w:rPr>
        <w:t>2019</w:t>
      </w:r>
      <w:r>
        <w:rPr>
          <w:bCs/>
          <w:szCs w:val="21"/>
        </w:rPr>
        <w:t>年</w:t>
      </w:r>
      <w:r>
        <w:rPr>
          <w:bCs/>
          <w:szCs w:val="21"/>
        </w:rPr>
        <w:t>7</w:t>
      </w:r>
      <w:r>
        <w:rPr>
          <w:bCs/>
          <w:szCs w:val="21"/>
        </w:rPr>
        <w:t>月</w:t>
      </w:r>
      <w:r>
        <w:rPr>
          <w:bCs/>
          <w:szCs w:val="21"/>
        </w:rPr>
        <w:t>26</w:t>
      </w:r>
      <w:r>
        <w:rPr>
          <w:bCs/>
          <w:szCs w:val="21"/>
        </w:rPr>
        <w:t>日颁布、同年</w:t>
      </w:r>
      <w:r>
        <w:rPr>
          <w:rFonts w:hint="eastAsia"/>
          <w:bCs/>
          <w:szCs w:val="21"/>
        </w:rPr>
        <w:t>9</w:t>
      </w:r>
      <w:r>
        <w:rPr>
          <w:bCs/>
          <w:szCs w:val="21"/>
        </w:rPr>
        <w:t>月</w:t>
      </w:r>
      <w:r>
        <w:rPr>
          <w:bCs/>
          <w:szCs w:val="21"/>
        </w:rPr>
        <w:t>1</w:t>
      </w:r>
      <w:r>
        <w:rPr>
          <w:bCs/>
          <w:szCs w:val="21"/>
        </w:rPr>
        <w:t>日实施的</w:t>
      </w:r>
      <w:r>
        <w:rPr>
          <w:rFonts w:hint="eastAsia"/>
          <w:bCs/>
          <w:szCs w:val="21"/>
        </w:rPr>
        <w:t>，并经</w:t>
      </w:r>
      <w:r>
        <w:rPr>
          <w:rFonts w:hint="eastAsia"/>
          <w:bCs/>
          <w:szCs w:val="21"/>
        </w:rPr>
        <w:t>2020</w:t>
      </w:r>
      <w:r>
        <w:rPr>
          <w:rFonts w:hint="eastAsia"/>
          <w:bCs/>
          <w:szCs w:val="21"/>
        </w:rPr>
        <w:t>年</w:t>
      </w:r>
      <w:r>
        <w:rPr>
          <w:rFonts w:hint="eastAsia"/>
          <w:bCs/>
          <w:szCs w:val="21"/>
        </w:rPr>
        <w:t>3</w:t>
      </w:r>
      <w:r>
        <w:rPr>
          <w:rFonts w:hint="eastAsia"/>
          <w:bCs/>
          <w:szCs w:val="21"/>
        </w:rPr>
        <w:t>月</w:t>
      </w:r>
      <w:r>
        <w:rPr>
          <w:rFonts w:hint="eastAsia"/>
          <w:bCs/>
          <w:szCs w:val="21"/>
        </w:rPr>
        <w:t>20</w:t>
      </w:r>
      <w:r>
        <w:rPr>
          <w:rFonts w:hint="eastAsia"/>
          <w:bCs/>
          <w:szCs w:val="21"/>
        </w:rPr>
        <w:t>日中国证监会《关于修改部分证券期货规章的决定》修</w:t>
      </w:r>
      <w:r>
        <w:rPr>
          <w:bCs/>
          <w:szCs w:val="21"/>
        </w:rPr>
        <w:t>订</w:t>
      </w:r>
      <w:r>
        <w:rPr>
          <w:rFonts w:hint="eastAsia"/>
          <w:bCs/>
          <w:szCs w:val="21"/>
        </w:rPr>
        <w:t>的</w:t>
      </w:r>
      <w:r>
        <w:rPr>
          <w:bCs/>
          <w:szCs w:val="21"/>
        </w:rPr>
        <w:t>《公开募集证券投资基金信息披露管理办法》及颁布机关对其不时做出的修订</w:t>
      </w:r>
    </w:p>
    <w:p w14:paraId="523E044F" w14:textId="77777777" w:rsidR="00BF38BB" w:rsidRDefault="002837D7">
      <w:pPr>
        <w:spacing w:line="360" w:lineRule="auto"/>
        <w:ind w:firstLineChars="200" w:firstLine="420"/>
        <w:rPr>
          <w:bCs/>
          <w:szCs w:val="21"/>
        </w:rPr>
      </w:pPr>
      <w:r>
        <w:rPr>
          <w:bCs/>
          <w:szCs w:val="21"/>
        </w:rPr>
        <w:t>12</w:t>
      </w:r>
      <w:r>
        <w:rPr>
          <w:rFonts w:hint="eastAsia"/>
          <w:bCs/>
          <w:szCs w:val="21"/>
        </w:rPr>
        <w:t>、</w:t>
      </w:r>
      <w:r>
        <w:rPr>
          <w:bCs/>
          <w:szCs w:val="21"/>
        </w:rPr>
        <w:t>《运作办法》：指中国证监会</w:t>
      </w:r>
      <w:r>
        <w:rPr>
          <w:bCs/>
          <w:szCs w:val="21"/>
        </w:rPr>
        <w:t>20</w:t>
      </w:r>
      <w:r>
        <w:rPr>
          <w:rFonts w:hint="eastAsia"/>
          <w:bCs/>
          <w:szCs w:val="21"/>
        </w:rPr>
        <w:t>14</w:t>
      </w:r>
      <w:r>
        <w:rPr>
          <w:bCs/>
          <w:szCs w:val="21"/>
        </w:rPr>
        <w:t>年</w:t>
      </w:r>
      <w:r>
        <w:rPr>
          <w:rFonts w:hint="eastAsia"/>
          <w:bCs/>
          <w:szCs w:val="21"/>
        </w:rPr>
        <w:t>7</w:t>
      </w:r>
      <w:r>
        <w:rPr>
          <w:bCs/>
          <w:szCs w:val="21"/>
        </w:rPr>
        <w:t>月</w:t>
      </w:r>
      <w:r>
        <w:rPr>
          <w:rFonts w:hint="eastAsia"/>
          <w:bCs/>
          <w:szCs w:val="21"/>
        </w:rPr>
        <w:t>7</w:t>
      </w:r>
      <w:r>
        <w:rPr>
          <w:bCs/>
          <w:szCs w:val="21"/>
        </w:rPr>
        <w:t>日颁布、同年</w:t>
      </w:r>
      <w:r>
        <w:rPr>
          <w:rFonts w:hint="eastAsia"/>
          <w:bCs/>
          <w:szCs w:val="21"/>
        </w:rPr>
        <w:t>8</w:t>
      </w:r>
      <w:r>
        <w:rPr>
          <w:bCs/>
          <w:szCs w:val="21"/>
        </w:rPr>
        <w:t>月</w:t>
      </w:r>
      <w:r>
        <w:rPr>
          <w:rFonts w:hint="eastAsia"/>
          <w:bCs/>
          <w:szCs w:val="21"/>
        </w:rPr>
        <w:t>8</w:t>
      </w:r>
      <w:r>
        <w:rPr>
          <w:bCs/>
          <w:szCs w:val="21"/>
        </w:rPr>
        <w:t>日实施的《</w:t>
      </w:r>
      <w:r>
        <w:rPr>
          <w:rFonts w:hint="eastAsia"/>
          <w:bCs/>
          <w:szCs w:val="21"/>
        </w:rPr>
        <w:t>公开募集</w:t>
      </w:r>
      <w:r>
        <w:rPr>
          <w:bCs/>
          <w:szCs w:val="21"/>
        </w:rPr>
        <w:t>证券投资基金运作管理办法》及颁布机关对其不时做出的修订</w:t>
      </w:r>
    </w:p>
    <w:p w14:paraId="30381DF2" w14:textId="77777777" w:rsidR="00BF38BB" w:rsidRDefault="002837D7">
      <w:pPr>
        <w:spacing w:line="360" w:lineRule="auto"/>
        <w:ind w:firstLineChars="200" w:firstLine="420"/>
        <w:rPr>
          <w:bCs/>
          <w:szCs w:val="21"/>
        </w:rPr>
      </w:pPr>
      <w:r>
        <w:rPr>
          <w:bCs/>
          <w:szCs w:val="21"/>
        </w:rPr>
        <w:t>13</w:t>
      </w:r>
      <w:r>
        <w:rPr>
          <w:bCs/>
          <w:szCs w:val="21"/>
        </w:rPr>
        <w:t>、《流动性</w:t>
      </w:r>
      <w:r>
        <w:rPr>
          <w:rFonts w:hint="eastAsia"/>
          <w:bCs/>
          <w:szCs w:val="21"/>
        </w:rPr>
        <w:t>风险管理</w:t>
      </w:r>
      <w:r>
        <w:rPr>
          <w:bCs/>
          <w:szCs w:val="21"/>
        </w:rPr>
        <w:t>规定》：指中国证监会</w:t>
      </w:r>
      <w:r>
        <w:rPr>
          <w:bCs/>
          <w:szCs w:val="21"/>
        </w:rPr>
        <w:t>2017</w:t>
      </w:r>
      <w:r>
        <w:rPr>
          <w:bCs/>
          <w:szCs w:val="21"/>
        </w:rPr>
        <w:t>年</w:t>
      </w:r>
      <w:r>
        <w:rPr>
          <w:bCs/>
          <w:szCs w:val="21"/>
        </w:rPr>
        <w:t>8</w:t>
      </w:r>
      <w:r>
        <w:rPr>
          <w:bCs/>
          <w:szCs w:val="21"/>
        </w:rPr>
        <w:t>月</w:t>
      </w:r>
      <w:r>
        <w:rPr>
          <w:bCs/>
          <w:szCs w:val="21"/>
        </w:rPr>
        <w:t>31</w:t>
      </w:r>
      <w:r>
        <w:rPr>
          <w:bCs/>
          <w:szCs w:val="21"/>
        </w:rPr>
        <w:t>日颁布、同年</w:t>
      </w:r>
      <w:r>
        <w:rPr>
          <w:bCs/>
          <w:szCs w:val="21"/>
        </w:rPr>
        <w:t>10</w:t>
      </w:r>
      <w:r>
        <w:rPr>
          <w:bCs/>
          <w:szCs w:val="21"/>
        </w:rPr>
        <w:t>月</w:t>
      </w:r>
      <w:r>
        <w:rPr>
          <w:bCs/>
          <w:szCs w:val="21"/>
        </w:rPr>
        <w:t>1</w:t>
      </w:r>
      <w:r>
        <w:rPr>
          <w:bCs/>
          <w:szCs w:val="21"/>
        </w:rPr>
        <w:t>日实施的《公开募集开放式证券投资基金流动性风险管理规定》及颁布机关对其不时做出的修订</w:t>
      </w:r>
    </w:p>
    <w:p w14:paraId="73E19F2F" w14:textId="77777777" w:rsidR="00BF38BB" w:rsidRDefault="002837D7">
      <w:pPr>
        <w:spacing w:line="360" w:lineRule="auto"/>
        <w:ind w:firstLineChars="200" w:firstLine="420"/>
        <w:rPr>
          <w:bCs/>
          <w:szCs w:val="21"/>
        </w:rPr>
      </w:pPr>
      <w:r>
        <w:rPr>
          <w:bCs/>
          <w:szCs w:val="21"/>
        </w:rPr>
        <w:t>14</w:t>
      </w:r>
      <w:r>
        <w:rPr>
          <w:rFonts w:hint="eastAsia"/>
          <w:bCs/>
          <w:szCs w:val="21"/>
        </w:rPr>
        <w:t>、《指数基金指引》：指中国证监会</w:t>
      </w:r>
      <w:r>
        <w:rPr>
          <w:rFonts w:hint="eastAsia"/>
          <w:bCs/>
          <w:szCs w:val="21"/>
        </w:rPr>
        <w:t>2021</w:t>
      </w:r>
      <w:r>
        <w:rPr>
          <w:rFonts w:hint="eastAsia"/>
          <w:bCs/>
          <w:szCs w:val="21"/>
        </w:rPr>
        <w:t>年</w:t>
      </w:r>
      <w:r>
        <w:rPr>
          <w:rFonts w:hint="eastAsia"/>
          <w:bCs/>
          <w:szCs w:val="21"/>
        </w:rPr>
        <w:t>1</w:t>
      </w:r>
      <w:r>
        <w:rPr>
          <w:rFonts w:hint="eastAsia"/>
          <w:bCs/>
          <w:szCs w:val="21"/>
        </w:rPr>
        <w:t>月</w:t>
      </w:r>
      <w:r>
        <w:rPr>
          <w:rFonts w:hint="eastAsia"/>
          <w:bCs/>
          <w:szCs w:val="21"/>
        </w:rPr>
        <w:t>22</w:t>
      </w:r>
      <w:r>
        <w:rPr>
          <w:rFonts w:hint="eastAsia"/>
          <w:bCs/>
          <w:szCs w:val="21"/>
        </w:rPr>
        <w:t>日颁布、同年</w:t>
      </w:r>
      <w:r>
        <w:rPr>
          <w:rFonts w:hint="eastAsia"/>
          <w:bCs/>
          <w:szCs w:val="21"/>
        </w:rPr>
        <w:t>2</w:t>
      </w:r>
      <w:r>
        <w:rPr>
          <w:rFonts w:hint="eastAsia"/>
          <w:bCs/>
          <w:szCs w:val="21"/>
        </w:rPr>
        <w:t>月</w:t>
      </w:r>
      <w:r>
        <w:rPr>
          <w:rFonts w:hint="eastAsia"/>
          <w:bCs/>
          <w:szCs w:val="21"/>
        </w:rPr>
        <w:t>1</w:t>
      </w:r>
      <w:r>
        <w:rPr>
          <w:rFonts w:hint="eastAsia"/>
          <w:bCs/>
          <w:szCs w:val="21"/>
        </w:rPr>
        <w:t>日实施的《公开募集证券投资基金运作指引第</w:t>
      </w:r>
      <w:r>
        <w:rPr>
          <w:rFonts w:hint="eastAsia"/>
          <w:bCs/>
          <w:szCs w:val="21"/>
        </w:rPr>
        <w:t>3</w:t>
      </w:r>
      <w:r>
        <w:rPr>
          <w:rFonts w:hint="eastAsia"/>
          <w:bCs/>
          <w:szCs w:val="21"/>
        </w:rPr>
        <w:t>号——指数基金指引》及颁布机关对其不时做出的修订</w:t>
      </w:r>
    </w:p>
    <w:p w14:paraId="31A4B8D9" w14:textId="77777777" w:rsidR="00BF38BB" w:rsidRDefault="002837D7">
      <w:pPr>
        <w:spacing w:line="360" w:lineRule="auto"/>
        <w:ind w:firstLineChars="200" w:firstLine="420"/>
        <w:rPr>
          <w:bCs/>
          <w:szCs w:val="21"/>
        </w:rPr>
      </w:pPr>
      <w:r>
        <w:rPr>
          <w:bCs/>
          <w:szCs w:val="21"/>
        </w:rPr>
        <w:lastRenderedPageBreak/>
        <w:t>15</w:t>
      </w:r>
      <w:r>
        <w:rPr>
          <w:rFonts w:hint="eastAsia"/>
          <w:bCs/>
          <w:szCs w:val="21"/>
        </w:rPr>
        <w:t>、</w:t>
      </w:r>
      <w:r>
        <w:rPr>
          <w:bCs/>
          <w:szCs w:val="21"/>
        </w:rPr>
        <w:t>中国证监会：指中国证券监督管理委员会</w:t>
      </w:r>
    </w:p>
    <w:p w14:paraId="17543088" w14:textId="77777777" w:rsidR="00BF38BB" w:rsidRDefault="002837D7">
      <w:pPr>
        <w:spacing w:line="360" w:lineRule="auto"/>
        <w:ind w:firstLineChars="200" w:firstLine="420"/>
        <w:rPr>
          <w:bCs/>
          <w:szCs w:val="21"/>
        </w:rPr>
      </w:pPr>
      <w:r>
        <w:rPr>
          <w:rFonts w:hint="eastAsia"/>
          <w:bCs/>
          <w:szCs w:val="21"/>
        </w:rPr>
        <w:t>16</w:t>
      </w:r>
      <w:r>
        <w:rPr>
          <w:rFonts w:hint="eastAsia"/>
          <w:bCs/>
          <w:szCs w:val="21"/>
        </w:rPr>
        <w:t>、银行业监督管理机构：指中国人民银行和</w:t>
      </w:r>
      <w:r>
        <w:rPr>
          <w:rFonts w:hint="eastAsia"/>
          <w:bCs/>
          <w:szCs w:val="21"/>
        </w:rPr>
        <w:t>/</w:t>
      </w:r>
      <w:r>
        <w:rPr>
          <w:rFonts w:hint="eastAsia"/>
          <w:bCs/>
          <w:szCs w:val="21"/>
        </w:rPr>
        <w:t>或国家金融监督管理总局等对银行业金融机</w:t>
      </w:r>
      <w:r>
        <w:rPr>
          <w:rFonts w:hint="eastAsia"/>
          <w:bCs/>
          <w:szCs w:val="21"/>
        </w:rPr>
        <w:t>构进行监督和管理的机构</w:t>
      </w:r>
    </w:p>
    <w:p w14:paraId="13D680C4" w14:textId="77777777" w:rsidR="00BF38BB" w:rsidRDefault="002837D7">
      <w:pPr>
        <w:spacing w:line="360" w:lineRule="auto"/>
        <w:ind w:firstLineChars="200" w:firstLine="420"/>
        <w:rPr>
          <w:bCs/>
          <w:szCs w:val="21"/>
        </w:rPr>
      </w:pPr>
      <w:r>
        <w:rPr>
          <w:bCs/>
          <w:szCs w:val="21"/>
        </w:rPr>
        <w:t>17</w:t>
      </w:r>
      <w:r>
        <w:rPr>
          <w:rFonts w:hint="eastAsia"/>
          <w:bCs/>
          <w:szCs w:val="21"/>
        </w:rPr>
        <w:t>、证券交易所：指根据法律法规的规定，由国家决定或批准设立的证券交易场所</w:t>
      </w:r>
    </w:p>
    <w:p w14:paraId="27168AE3" w14:textId="77777777" w:rsidR="00BF38BB" w:rsidRDefault="002837D7">
      <w:pPr>
        <w:spacing w:line="360" w:lineRule="auto"/>
        <w:ind w:firstLineChars="200" w:firstLine="420"/>
        <w:rPr>
          <w:bCs/>
          <w:szCs w:val="21"/>
        </w:rPr>
      </w:pPr>
      <w:r>
        <w:rPr>
          <w:bCs/>
          <w:szCs w:val="21"/>
        </w:rPr>
        <w:t>18</w:t>
      </w:r>
      <w:r>
        <w:rPr>
          <w:rFonts w:hint="eastAsia"/>
          <w:bCs/>
          <w:szCs w:val="21"/>
        </w:rPr>
        <w:t>、</w:t>
      </w:r>
      <w:r>
        <w:rPr>
          <w:bCs/>
          <w:szCs w:val="21"/>
        </w:rPr>
        <w:t>基金合同当事人：指受基金合同约束，根据基金合同享有权利并承担义务的法律主体，包括基金管理人、基金托管人和基金份额持有人</w:t>
      </w:r>
    </w:p>
    <w:p w14:paraId="26DAFC56" w14:textId="77777777" w:rsidR="00BF38BB" w:rsidRDefault="002837D7">
      <w:pPr>
        <w:spacing w:line="360" w:lineRule="auto"/>
        <w:ind w:firstLineChars="200" w:firstLine="420"/>
        <w:rPr>
          <w:bCs/>
          <w:szCs w:val="21"/>
        </w:rPr>
      </w:pPr>
      <w:r>
        <w:rPr>
          <w:bCs/>
          <w:szCs w:val="21"/>
        </w:rPr>
        <w:t>19</w:t>
      </w:r>
      <w:r>
        <w:rPr>
          <w:rFonts w:hint="eastAsia"/>
          <w:bCs/>
          <w:szCs w:val="21"/>
        </w:rPr>
        <w:t>、</w:t>
      </w:r>
      <w:r>
        <w:rPr>
          <w:bCs/>
          <w:szCs w:val="21"/>
        </w:rPr>
        <w:t>个人投资者：指依据有关法律法规规定可投资于证券投资基金的自然人</w:t>
      </w:r>
    </w:p>
    <w:p w14:paraId="3A0F28DD" w14:textId="77777777" w:rsidR="00BF38BB" w:rsidRDefault="002837D7">
      <w:pPr>
        <w:spacing w:line="360" w:lineRule="auto"/>
        <w:ind w:firstLineChars="200" w:firstLine="420"/>
        <w:rPr>
          <w:bCs/>
          <w:szCs w:val="21"/>
        </w:rPr>
      </w:pPr>
      <w:r>
        <w:rPr>
          <w:bCs/>
          <w:szCs w:val="21"/>
        </w:rPr>
        <w:t>20</w:t>
      </w:r>
      <w:r>
        <w:rPr>
          <w:rFonts w:hint="eastAsia"/>
          <w:bCs/>
          <w:szCs w:val="21"/>
        </w:rPr>
        <w:t>、</w:t>
      </w:r>
      <w:r>
        <w:rPr>
          <w:bCs/>
          <w:szCs w:val="21"/>
        </w:rPr>
        <w:t>机构投资者：指依法可以投资证券投资基金的、在中华人民共和国境内合法登记并存续或经有关政府部门批准设立并存续的企业法人、事业法人、社会团体或其他组织</w:t>
      </w:r>
    </w:p>
    <w:p w14:paraId="729F73E8" w14:textId="77777777" w:rsidR="00BF38BB" w:rsidRDefault="002837D7">
      <w:pPr>
        <w:spacing w:line="360" w:lineRule="auto"/>
        <w:ind w:firstLineChars="200" w:firstLine="420"/>
        <w:rPr>
          <w:bCs/>
          <w:szCs w:val="21"/>
        </w:rPr>
      </w:pPr>
      <w:r>
        <w:rPr>
          <w:bCs/>
          <w:szCs w:val="21"/>
        </w:rPr>
        <w:t>21</w:t>
      </w:r>
      <w:r>
        <w:rPr>
          <w:rFonts w:hint="eastAsia"/>
          <w:bCs/>
          <w:szCs w:val="21"/>
        </w:rPr>
        <w:t>、合格境外投资者：指符合《合格境外机构投资者和人民币合格境</w:t>
      </w:r>
      <w:r>
        <w:rPr>
          <w:rFonts w:hint="eastAsia"/>
          <w:bCs/>
          <w:szCs w:val="21"/>
        </w:rPr>
        <w:t>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6A2E9260" w14:textId="77777777" w:rsidR="00BF38BB" w:rsidRDefault="002837D7">
      <w:pPr>
        <w:spacing w:line="360" w:lineRule="auto"/>
        <w:ind w:firstLineChars="200" w:firstLine="420"/>
        <w:rPr>
          <w:bCs/>
          <w:szCs w:val="21"/>
        </w:rPr>
      </w:pPr>
      <w:r>
        <w:rPr>
          <w:rFonts w:hint="eastAsia"/>
          <w:bCs/>
          <w:szCs w:val="21"/>
        </w:rPr>
        <w:t>2</w:t>
      </w:r>
      <w:r>
        <w:rPr>
          <w:bCs/>
          <w:szCs w:val="21"/>
        </w:rPr>
        <w:t>2</w:t>
      </w:r>
      <w:r>
        <w:rPr>
          <w:rFonts w:hint="eastAsia"/>
          <w:bCs/>
          <w:szCs w:val="21"/>
        </w:rPr>
        <w:t>、</w:t>
      </w:r>
      <w:r>
        <w:rPr>
          <w:bCs/>
          <w:szCs w:val="21"/>
        </w:rPr>
        <w:t>投资人</w:t>
      </w:r>
      <w:r>
        <w:rPr>
          <w:rFonts w:hint="eastAsia"/>
          <w:bCs/>
          <w:szCs w:val="21"/>
        </w:rPr>
        <w:t>、投资者</w:t>
      </w:r>
      <w:r>
        <w:rPr>
          <w:bCs/>
          <w:szCs w:val="21"/>
        </w:rPr>
        <w:t>：指个人投资者、机构投资者</w:t>
      </w:r>
      <w:r>
        <w:rPr>
          <w:rFonts w:hint="eastAsia"/>
          <w:bCs/>
          <w:szCs w:val="21"/>
        </w:rPr>
        <w:t>、</w:t>
      </w:r>
      <w:r>
        <w:rPr>
          <w:bCs/>
          <w:szCs w:val="21"/>
        </w:rPr>
        <w:t>合格境外投资者以及法律法规或中国证监会允许购买证券投资基金的其他投资人的合称</w:t>
      </w:r>
    </w:p>
    <w:p w14:paraId="17B259E6" w14:textId="77777777" w:rsidR="00BF38BB" w:rsidRDefault="002837D7">
      <w:pPr>
        <w:spacing w:line="360" w:lineRule="auto"/>
        <w:ind w:firstLineChars="200" w:firstLine="420"/>
        <w:rPr>
          <w:bCs/>
          <w:szCs w:val="21"/>
        </w:rPr>
      </w:pPr>
      <w:r>
        <w:rPr>
          <w:rFonts w:hint="eastAsia"/>
          <w:bCs/>
          <w:szCs w:val="21"/>
        </w:rPr>
        <w:t>2</w:t>
      </w:r>
      <w:r>
        <w:rPr>
          <w:bCs/>
          <w:szCs w:val="21"/>
        </w:rPr>
        <w:t>3</w:t>
      </w:r>
      <w:r>
        <w:rPr>
          <w:rFonts w:hint="eastAsia"/>
          <w:bCs/>
          <w:szCs w:val="21"/>
        </w:rPr>
        <w:t>、</w:t>
      </w:r>
      <w:r>
        <w:rPr>
          <w:bCs/>
          <w:szCs w:val="21"/>
        </w:rPr>
        <w:t>基金份额持有人：指依基金合同和招募说明书合法取得基金份额的投资人</w:t>
      </w:r>
    </w:p>
    <w:p w14:paraId="302F8B0C" w14:textId="77777777" w:rsidR="00BF38BB" w:rsidRDefault="002837D7">
      <w:pPr>
        <w:spacing w:line="360" w:lineRule="auto"/>
        <w:ind w:firstLineChars="200" w:firstLine="420"/>
        <w:rPr>
          <w:bCs/>
          <w:szCs w:val="21"/>
        </w:rPr>
      </w:pPr>
      <w:r>
        <w:rPr>
          <w:bCs/>
          <w:szCs w:val="21"/>
        </w:rPr>
        <w:t>24</w:t>
      </w:r>
      <w:r>
        <w:rPr>
          <w:rFonts w:hint="eastAsia"/>
          <w:bCs/>
          <w:szCs w:val="21"/>
        </w:rPr>
        <w:t>、</w:t>
      </w:r>
      <w:r>
        <w:rPr>
          <w:bCs/>
          <w:szCs w:val="21"/>
        </w:rPr>
        <w:t>销售机构：指</w:t>
      </w:r>
      <w:r>
        <w:rPr>
          <w:rFonts w:hint="eastAsia"/>
          <w:bCs/>
          <w:szCs w:val="21"/>
        </w:rPr>
        <w:t>基金</w:t>
      </w:r>
      <w:r>
        <w:rPr>
          <w:bCs/>
          <w:szCs w:val="21"/>
        </w:rPr>
        <w:t>管理人以及符合《销售办法》和中国证监会规定的其他条件，取得公开募集证券投资基金</w:t>
      </w:r>
      <w:r>
        <w:rPr>
          <w:rFonts w:hint="eastAsia"/>
          <w:bCs/>
          <w:szCs w:val="21"/>
        </w:rPr>
        <w:t>销售</w:t>
      </w:r>
      <w:r>
        <w:rPr>
          <w:bCs/>
          <w:szCs w:val="21"/>
        </w:rPr>
        <w:t>业务资格并与基金管</w:t>
      </w:r>
      <w:r>
        <w:rPr>
          <w:bCs/>
          <w:szCs w:val="21"/>
        </w:rPr>
        <w:t>理人签订了基金销售服务协议，办理基金销售业务的机构</w:t>
      </w:r>
    </w:p>
    <w:p w14:paraId="2AF61192" w14:textId="77777777" w:rsidR="00BF38BB" w:rsidRDefault="002837D7">
      <w:pPr>
        <w:spacing w:line="360" w:lineRule="auto"/>
        <w:ind w:firstLineChars="200" w:firstLine="420"/>
        <w:rPr>
          <w:bCs/>
          <w:szCs w:val="21"/>
        </w:rPr>
      </w:pPr>
      <w:r>
        <w:rPr>
          <w:bCs/>
          <w:szCs w:val="21"/>
        </w:rPr>
        <w:t>25</w:t>
      </w:r>
      <w:r>
        <w:rPr>
          <w:rFonts w:hint="eastAsia"/>
          <w:bCs/>
          <w:szCs w:val="21"/>
        </w:rPr>
        <w:t>、</w:t>
      </w:r>
      <w:r>
        <w:rPr>
          <w:bCs/>
          <w:szCs w:val="21"/>
        </w:rPr>
        <w:t>登记机构：指办理登记业务的机构。本基金的登记机构为</w:t>
      </w:r>
      <w:r>
        <w:rPr>
          <w:rFonts w:hint="eastAsia"/>
          <w:bCs/>
          <w:szCs w:val="21"/>
        </w:rPr>
        <w:t>基金</w:t>
      </w:r>
      <w:r>
        <w:rPr>
          <w:bCs/>
          <w:szCs w:val="21"/>
        </w:rPr>
        <w:t>管理人或接受基金管理人委托代为办理登记业务的机构</w:t>
      </w:r>
    </w:p>
    <w:p w14:paraId="3D0CC915" w14:textId="77777777" w:rsidR="00BF38BB" w:rsidRDefault="002837D7">
      <w:pPr>
        <w:spacing w:line="360" w:lineRule="auto"/>
        <w:ind w:firstLineChars="200" w:firstLine="420"/>
        <w:rPr>
          <w:bCs/>
          <w:szCs w:val="21"/>
        </w:rPr>
      </w:pPr>
      <w:r>
        <w:rPr>
          <w:bCs/>
          <w:szCs w:val="21"/>
        </w:rPr>
        <w:t>26</w:t>
      </w:r>
      <w:r>
        <w:rPr>
          <w:rFonts w:hint="eastAsia"/>
          <w:bCs/>
          <w:szCs w:val="21"/>
        </w:rPr>
        <w:t>、</w:t>
      </w:r>
      <w:r>
        <w:rPr>
          <w:bCs/>
          <w:szCs w:val="21"/>
        </w:rPr>
        <w:t>基金销售业务：指基金管理人或销售机构宣传推介基金，开立基金交易账户</w:t>
      </w:r>
      <w:r>
        <w:rPr>
          <w:rFonts w:hint="eastAsia"/>
          <w:bCs/>
          <w:szCs w:val="21"/>
        </w:rPr>
        <w:t>，</w:t>
      </w:r>
      <w:r>
        <w:rPr>
          <w:bCs/>
          <w:szCs w:val="21"/>
        </w:rPr>
        <w:t>发售基金份额，办理基金份额的申购、赎回、转换、转托管</w:t>
      </w:r>
      <w:r>
        <w:rPr>
          <w:rFonts w:hint="eastAsia"/>
          <w:bCs/>
          <w:szCs w:val="21"/>
        </w:rPr>
        <w:t>、</w:t>
      </w:r>
      <w:r>
        <w:rPr>
          <w:bCs/>
          <w:szCs w:val="21"/>
        </w:rPr>
        <w:t>定期定额投资及提供基金交易账户信息查询等业务</w:t>
      </w:r>
    </w:p>
    <w:p w14:paraId="2E8B0990" w14:textId="77777777" w:rsidR="00BF38BB" w:rsidRDefault="002837D7">
      <w:pPr>
        <w:spacing w:line="360" w:lineRule="auto"/>
        <w:ind w:firstLineChars="200" w:firstLine="420"/>
        <w:rPr>
          <w:bCs/>
          <w:szCs w:val="21"/>
        </w:rPr>
      </w:pPr>
      <w:r>
        <w:rPr>
          <w:rFonts w:hint="eastAsia"/>
          <w:bCs/>
          <w:szCs w:val="21"/>
        </w:rPr>
        <w:t>2</w:t>
      </w:r>
      <w:r>
        <w:rPr>
          <w:bCs/>
          <w:szCs w:val="21"/>
        </w:rPr>
        <w:t>7</w:t>
      </w:r>
      <w:r>
        <w:rPr>
          <w:rFonts w:hint="eastAsia"/>
          <w:bCs/>
          <w:szCs w:val="21"/>
        </w:rPr>
        <w:t>、</w:t>
      </w:r>
      <w:r>
        <w:rPr>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和办理非交易过户</w:t>
      </w:r>
      <w:r>
        <w:rPr>
          <w:bCs/>
          <w:szCs w:val="21"/>
        </w:rPr>
        <w:t>等</w:t>
      </w:r>
    </w:p>
    <w:p w14:paraId="26FAB879" w14:textId="77777777" w:rsidR="00BF38BB" w:rsidRDefault="002837D7">
      <w:pPr>
        <w:spacing w:line="360" w:lineRule="auto"/>
        <w:ind w:firstLineChars="200" w:firstLine="420"/>
        <w:rPr>
          <w:bCs/>
          <w:szCs w:val="21"/>
        </w:rPr>
      </w:pPr>
      <w:r>
        <w:rPr>
          <w:bCs/>
          <w:szCs w:val="21"/>
        </w:rPr>
        <w:t>28</w:t>
      </w:r>
      <w:r>
        <w:rPr>
          <w:rFonts w:hint="eastAsia"/>
          <w:bCs/>
          <w:szCs w:val="21"/>
        </w:rPr>
        <w:t>、</w:t>
      </w:r>
      <w:r>
        <w:rPr>
          <w:bCs/>
          <w:szCs w:val="21"/>
        </w:rPr>
        <w:t>基金账户：指登记机构为投资人开立的、记录其持有的、基金管理人所管理的基金份额余额及其变动情况的账户</w:t>
      </w:r>
    </w:p>
    <w:p w14:paraId="7B83C7A8" w14:textId="77777777" w:rsidR="00BF38BB" w:rsidRDefault="002837D7">
      <w:pPr>
        <w:spacing w:line="360" w:lineRule="auto"/>
        <w:ind w:firstLineChars="200" w:firstLine="420"/>
        <w:rPr>
          <w:bCs/>
          <w:szCs w:val="21"/>
        </w:rPr>
      </w:pPr>
      <w:r>
        <w:rPr>
          <w:bCs/>
          <w:szCs w:val="21"/>
        </w:rPr>
        <w:t>29</w:t>
      </w:r>
      <w:r>
        <w:rPr>
          <w:rFonts w:hint="eastAsia"/>
          <w:bCs/>
          <w:szCs w:val="21"/>
        </w:rPr>
        <w:t>、</w:t>
      </w:r>
      <w:r>
        <w:rPr>
          <w:bCs/>
          <w:szCs w:val="21"/>
        </w:rPr>
        <w:t>基金交易账户：指销售机构为投资人开立的、记录投资人通过该销售机构办理认购、申购、赎回</w:t>
      </w:r>
      <w:r>
        <w:rPr>
          <w:rFonts w:hint="eastAsia"/>
          <w:bCs/>
          <w:szCs w:val="21"/>
        </w:rPr>
        <w:t>、转换、转托管及定期定额投资</w:t>
      </w:r>
      <w:r>
        <w:rPr>
          <w:bCs/>
          <w:szCs w:val="21"/>
        </w:rPr>
        <w:t>等业务而引起的基金份额变动及结余情况的账户</w:t>
      </w:r>
    </w:p>
    <w:p w14:paraId="098F5FBC" w14:textId="77777777" w:rsidR="00BF38BB" w:rsidRDefault="002837D7">
      <w:pPr>
        <w:spacing w:line="360" w:lineRule="auto"/>
        <w:ind w:firstLineChars="200" w:firstLine="420"/>
        <w:rPr>
          <w:bCs/>
          <w:szCs w:val="21"/>
        </w:rPr>
      </w:pPr>
      <w:r>
        <w:rPr>
          <w:bCs/>
          <w:szCs w:val="21"/>
        </w:rPr>
        <w:t>30</w:t>
      </w:r>
      <w:r>
        <w:rPr>
          <w:rFonts w:hint="eastAsia"/>
          <w:bCs/>
          <w:szCs w:val="21"/>
        </w:rPr>
        <w:t>、</w:t>
      </w:r>
      <w:r>
        <w:rPr>
          <w:bCs/>
          <w:szCs w:val="21"/>
        </w:rPr>
        <w:t>基金合同生效日：指基金募集达到法律法规及基金合同规定的条件，基金管理人向中国证监会办理完毕基金备案手续，并获得中国证监会书面确认的日期</w:t>
      </w:r>
    </w:p>
    <w:p w14:paraId="5C5871C2" w14:textId="77777777" w:rsidR="00BF38BB" w:rsidRDefault="002837D7">
      <w:pPr>
        <w:spacing w:line="360" w:lineRule="auto"/>
        <w:ind w:firstLineChars="200" w:firstLine="420"/>
        <w:rPr>
          <w:bCs/>
          <w:szCs w:val="21"/>
        </w:rPr>
      </w:pPr>
      <w:r>
        <w:rPr>
          <w:bCs/>
          <w:szCs w:val="21"/>
        </w:rPr>
        <w:lastRenderedPageBreak/>
        <w:t>31</w:t>
      </w:r>
      <w:r>
        <w:rPr>
          <w:rFonts w:hint="eastAsia"/>
          <w:bCs/>
          <w:szCs w:val="21"/>
        </w:rPr>
        <w:t>、</w:t>
      </w:r>
      <w:r>
        <w:rPr>
          <w:bCs/>
          <w:szCs w:val="21"/>
        </w:rPr>
        <w:t>基金合同终止日：指基金合同规定的基金合同终止事由出现后，基金财产清算完毕，清算结果报中国证监会备案并予以公告的日期</w:t>
      </w:r>
    </w:p>
    <w:p w14:paraId="4810FDBC" w14:textId="77777777" w:rsidR="00BF38BB" w:rsidRDefault="002837D7">
      <w:pPr>
        <w:spacing w:line="360" w:lineRule="auto"/>
        <w:ind w:firstLineChars="200" w:firstLine="420"/>
        <w:rPr>
          <w:bCs/>
          <w:szCs w:val="21"/>
        </w:rPr>
      </w:pPr>
      <w:r>
        <w:rPr>
          <w:bCs/>
          <w:szCs w:val="21"/>
        </w:rPr>
        <w:t>32</w:t>
      </w:r>
      <w:r>
        <w:rPr>
          <w:rFonts w:hint="eastAsia"/>
          <w:bCs/>
          <w:szCs w:val="21"/>
        </w:rPr>
        <w:t>、</w:t>
      </w:r>
      <w:r>
        <w:rPr>
          <w:bCs/>
          <w:szCs w:val="21"/>
        </w:rPr>
        <w:t>基金募集期：指自基金份额发售之日起至发售结束之日止的期间，最长不得超过</w:t>
      </w:r>
      <w:r>
        <w:rPr>
          <w:rFonts w:hint="eastAsia"/>
          <w:bCs/>
          <w:szCs w:val="21"/>
        </w:rPr>
        <w:t>3</w:t>
      </w:r>
      <w:r>
        <w:rPr>
          <w:bCs/>
          <w:szCs w:val="21"/>
        </w:rPr>
        <w:t>个月</w:t>
      </w:r>
    </w:p>
    <w:p w14:paraId="4EE30278" w14:textId="77777777" w:rsidR="00BF38BB" w:rsidRDefault="002837D7">
      <w:pPr>
        <w:spacing w:line="360" w:lineRule="auto"/>
        <w:ind w:firstLineChars="200" w:firstLine="420"/>
        <w:rPr>
          <w:bCs/>
          <w:szCs w:val="21"/>
        </w:rPr>
      </w:pPr>
      <w:r>
        <w:rPr>
          <w:rFonts w:hint="eastAsia"/>
          <w:bCs/>
          <w:szCs w:val="21"/>
        </w:rPr>
        <w:t>3</w:t>
      </w:r>
      <w:r>
        <w:rPr>
          <w:bCs/>
          <w:szCs w:val="21"/>
        </w:rPr>
        <w:t>3</w:t>
      </w:r>
      <w:r>
        <w:rPr>
          <w:rFonts w:hint="eastAsia"/>
          <w:bCs/>
          <w:szCs w:val="21"/>
        </w:rPr>
        <w:t>、</w:t>
      </w:r>
      <w:r>
        <w:rPr>
          <w:bCs/>
          <w:szCs w:val="21"/>
        </w:rPr>
        <w:t>存续期：指基金合同生效至终止之间的不定期期限</w:t>
      </w:r>
    </w:p>
    <w:p w14:paraId="75E28205" w14:textId="77777777" w:rsidR="00BF38BB" w:rsidRDefault="002837D7">
      <w:pPr>
        <w:spacing w:line="360" w:lineRule="auto"/>
        <w:ind w:firstLineChars="200" w:firstLine="420"/>
        <w:rPr>
          <w:bCs/>
          <w:szCs w:val="21"/>
        </w:rPr>
      </w:pPr>
      <w:r>
        <w:rPr>
          <w:bCs/>
          <w:szCs w:val="21"/>
        </w:rPr>
        <w:t>34</w:t>
      </w:r>
      <w:r>
        <w:rPr>
          <w:rFonts w:hint="eastAsia"/>
          <w:bCs/>
          <w:szCs w:val="21"/>
        </w:rPr>
        <w:t>、交易</w:t>
      </w:r>
      <w:r>
        <w:rPr>
          <w:bCs/>
          <w:szCs w:val="21"/>
        </w:rPr>
        <w:t>日：指证券交易所的正常交易</w:t>
      </w:r>
      <w:r>
        <w:rPr>
          <w:rFonts w:hint="eastAsia"/>
          <w:bCs/>
          <w:szCs w:val="21"/>
        </w:rPr>
        <w:t>之</w:t>
      </w:r>
      <w:r>
        <w:rPr>
          <w:bCs/>
          <w:szCs w:val="21"/>
        </w:rPr>
        <w:t>日</w:t>
      </w:r>
    </w:p>
    <w:p w14:paraId="0DA2DE26" w14:textId="77777777" w:rsidR="00BF38BB" w:rsidRDefault="002837D7">
      <w:pPr>
        <w:spacing w:line="360" w:lineRule="auto"/>
        <w:ind w:firstLineChars="200" w:firstLine="420"/>
        <w:rPr>
          <w:bCs/>
          <w:szCs w:val="21"/>
        </w:rPr>
      </w:pPr>
      <w:r>
        <w:rPr>
          <w:bCs/>
          <w:szCs w:val="21"/>
        </w:rPr>
        <w:t>35</w:t>
      </w:r>
      <w:r>
        <w:rPr>
          <w:rFonts w:hint="eastAsia"/>
          <w:bCs/>
          <w:szCs w:val="21"/>
        </w:rPr>
        <w:t>、工作日：指上海证券交易所、深圳证券交易所、北京证券交易所正常交易之日</w:t>
      </w:r>
    </w:p>
    <w:p w14:paraId="3C3113AC" w14:textId="77777777" w:rsidR="00BF38BB" w:rsidRDefault="002837D7">
      <w:pPr>
        <w:spacing w:line="360" w:lineRule="auto"/>
        <w:ind w:firstLineChars="200" w:firstLine="420"/>
        <w:rPr>
          <w:bCs/>
          <w:szCs w:val="21"/>
        </w:rPr>
      </w:pPr>
      <w:r>
        <w:rPr>
          <w:rFonts w:hint="eastAsia"/>
          <w:bCs/>
          <w:szCs w:val="21"/>
        </w:rPr>
        <w:t>3</w:t>
      </w:r>
      <w:r>
        <w:rPr>
          <w:bCs/>
          <w:szCs w:val="21"/>
        </w:rPr>
        <w:t>6</w:t>
      </w:r>
      <w:r>
        <w:rPr>
          <w:rFonts w:hint="eastAsia"/>
          <w:bCs/>
          <w:szCs w:val="21"/>
        </w:rPr>
        <w:t>、</w:t>
      </w:r>
      <w:r>
        <w:rPr>
          <w:bCs/>
          <w:szCs w:val="21"/>
        </w:rPr>
        <w:t>T</w:t>
      </w:r>
      <w:r>
        <w:rPr>
          <w:bCs/>
          <w:szCs w:val="21"/>
        </w:rPr>
        <w:t>日：指销售机构在规定时间受理投资人申购、赎回或其他业务申请的开放日</w:t>
      </w:r>
    </w:p>
    <w:p w14:paraId="41CC8C58" w14:textId="77777777" w:rsidR="00BF38BB" w:rsidRDefault="002837D7">
      <w:pPr>
        <w:spacing w:line="360" w:lineRule="auto"/>
        <w:ind w:firstLineChars="200" w:firstLine="420"/>
        <w:rPr>
          <w:bCs/>
          <w:szCs w:val="21"/>
        </w:rPr>
      </w:pPr>
      <w:r>
        <w:rPr>
          <w:bCs/>
          <w:szCs w:val="21"/>
        </w:rPr>
        <w:t>37</w:t>
      </w:r>
      <w:r>
        <w:rPr>
          <w:rFonts w:hint="eastAsia"/>
          <w:bCs/>
          <w:szCs w:val="21"/>
        </w:rPr>
        <w:t>、</w:t>
      </w:r>
      <w:r>
        <w:rPr>
          <w:bCs/>
          <w:szCs w:val="21"/>
        </w:rPr>
        <w:t>T+n</w:t>
      </w:r>
      <w:r>
        <w:rPr>
          <w:bCs/>
          <w:szCs w:val="21"/>
        </w:rPr>
        <w:t>日：指自</w:t>
      </w:r>
      <w:r>
        <w:rPr>
          <w:bCs/>
          <w:szCs w:val="21"/>
        </w:rPr>
        <w:t>T</w:t>
      </w:r>
      <w:r>
        <w:rPr>
          <w:bCs/>
          <w:szCs w:val="21"/>
        </w:rPr>
        <w:t>日起第</w:t>
      </w:r>
      <w:r>
        <w:rPr>
          <w:bCs/>
          <w:szCs w:val="21"/>
        </w:rPr>
        <w:t>n</w:t>
      </w:r>
      <w:r>
        <w:rPr>
          <w:bCs/>
          <w:szCs w:val="21"/>
        </w:rPr>
        <w:t>个工作日</w:t>
      </w:r>
      <w:r>
        <w:rPr>
          <w:bCs/>
          <w:szCs w:val="21"/>
        </w:rPr>
        <w:t>(</w:t>
      </w:r>
      <w:r>
        <w:rPr>
          <w:bCs/>
          <w:szCs w:val="21"/>
        </w:rPr>
        <w:t>不包含</w:t>
      </w:r>
      <w:r>
        <w:rPr>
          <w:bCs/>
          <w:szCs w:val="21"/>
        </w:rPr>
        <w:t>T</w:t>
      </w:r>
      <w:r>
        <w:rPr>
          <w:bCs/>
          <w:szCs w:val="21"/>
        </w:rPr>
        <w:t>日</w:t>
      </w:r>
      <w:r>
        <w:rPr>
          <w:bCs/>
          <w:szCs w:val="21"/>
        </w:rPr>
        <w:t>)</w:t>
      </w:r>
    </w:p>
    <w:p w14:paraId="5F30E428" w14:textId="77777777" w:rsidR="00BF38BB" w:rsidRDefault="002837D7">
      <w:pPr>
        <w:spacing w:line="360" w:lineRule="auto"/>
        <w:ind w:firstLineChars="200" w:firstLine="420"/>
        <w:rPr>
          <w:bCs/>
          <w:szCs w:val="21"/>
        </w:rPr>
      </w:pPr>
      <w:r>
        <w:rPr>
          <w:bCs/>
          <w:szCs w:val="21"/>
        </w:rPr>
        <w:t>38</w:t>
      </w:r>
      <w:r>
        <w:rPr>
          <w:rFonts w:hint="eastAsia"/>
          <w:bCs/>
          <w:szCs w:val="21"/>
        </w:rPr>
        <w:t>、</w:t>
      </w:r>
      <w:r>
        <w:rPr>
          <w:bCs/>
          <w:szCs w:val="21"/>
        </w:rPr>
        <w:t>开放日：指为投资人办理基金份额申购、赎回或其他业务的工作日</w:t>
      </w:r>
    </w:p>
    <w:p w14:paraId="71ADCAB7" w14:textId="77777777" w:rsidR="00BF38BB" w:rsidRDefault="002837D7">
      <w:pPr>
        <w:spacing w:line="360" w:lineRule="auto"/>
        <w:ind w:firstLineChars="200" w:firstLine="420"/>
        <w:rPr>
          <w:bCs/>
          <w:szCs w:val="21"/>
        </w:rPr>
      </w:pPr>
      <w:r>
        <w:rPr>
          <w:bCs/>
          <w:szCs w:val="21"/>
        </w:rPr>
        <w:t>39</w:t>
      </w:r>
      <w:r>
        <w:rPr>
          <w:rFonts w:hint="eastAsia"/>
          <w:bCs/>
          <w:szCs w:val="21"/>
        </w:rPr>
        <w:t>、</w:t>
      </w:r>
      <w:r>
        <w:rPr>
          <w:bCs/>
          <w:szCs w:val="21"/>
        </w:rPr>
        <w:t>开放时间：指开放日基金接受申购、赎回或其他交易的时间段</w:t>
      </w:r>
    </w:p>
    <w:p w14:paraId="3346B5CF" w14:textId="77777777" w:rsidR="00BF38BB" w:rsidRDefault="002837D7">
      <w:pPr>
        <w:spacing w:line="360" w:lineRule="auto"/>
        <w:ind w:firstLineChars="200" w:firstLine="420"/>
        <w:rPr>
          <w:bCs/>
          <w:szCs w:val="21"/>
        </w:rPr>
      </w:pPr>
      <w:r>
        <w:rPr>
          <w:bCs/>
          <w:szCs w:val="21"/>
        </w:rPr>
        <w:t>40</w:t>
      </w:r>
      <w:r>
        <w:rPr>
          <w:rFonts w:hint="eastAsia"/>
          <w:bCs/>
          <w:szCs w:val="21"/>
        </w:rPr>
        <w:t>、</w:t>
      </w:r>
      <w:r>
        <w:rPr>
          <w:bCs/>
          <w:szCs w:val="21"/>
        </w:rPr>
        <w:t>业务规则：指基金管理人制定并不时修订的</w:t>
      </w:r>
      <w:r>
        <w:rPr>
          <w:rFonts w:hint="eastAsia"/>
          <w:bCs/>
          <w:szCs w:val="21"/>
        </w:rPr>
        <w:t>，</w:t>
      </w:r>
      <w:r>
        <w:rPr>
          <w:bCs/>
          <w:szCs w:val="21"/>
        </w:rPr>
        <w:t>规范基金管理人所管理的开放式证券投资基金登记方面的业务规则，由基金管理人和投资人共同遵守</w:t>
      </w:r>
    </w:p>
    <w:p w14:paraId="3AB98C42" w14:textId="77777777" w:rsidR="00BF38BB" w:rsidRDefault="002837D7">
      <w:pPr>
        <w:spacing w:line="360" w:lineRule="auto"/>
        <w:ind w:firstLineChars="200" w:firstLine="420"/>
        <w:rPr>
          <w:bCs/>
          <w:szCs w:val="21"/>
        </w:rPr>
      </w:pPr>
      <w:r>
        <w:rPr>
          <w:bCs/>
          <w:szCs w:val="21"/>
        </w:rPr>
        <w:t>41</w:t>
      </w:r>
      <w:r>
        <w:rPr>
          <w:rFonts w:hint="eastAsia"/>
          <w:bCs/>
          <w:szCs w:val="21"/>
        </w:rPr>
        <w:t>、</w:t>
      </w:r>
      <w:r>
        <w:rPr>
          <w:bCs/>
          <w:szCs w:val="21"/>
        </w:rPr>
        <w:t>认购：指在基金募集期内，投资人</w:t>
      </w:r>
      <w:r>
        <w:rPr>
          <w:rFonts w:hint="eastAsia"/>
          <w:bCs/>
          <w:szCs w:val="21"/>
        </w:rPr>
        <w:t>根据基金合同、招募说明书及相关公告的规定</w:t>
      </w:r>
      <w:r>
        <w:rPr>
          <w:bCs/>
          <w:szCs w:val="21"/>
        </w:rPr>
        <w:t>申请购买基金份额的行为</w:t>
      </w:r>
    </w:p>
    <w:p w14:paraId="7B469372" w14:textId="77777777" w:rsidR="00BF38BB" w:rsidRDefault="002837D7">
      <w:pPr>
        <w:spacing w:line="360" w:lineRule="auto"/>
        <w:ind w:firstLineChars="200" w:firstLine="420"/>
        <w:rPr>
          <w:bCs/>
          <w:szCs w:val="21"/>
        </w:rPr>
      </w:pPr>
      <w:r>
        <w:rPr>
          <w:bCs/>
          <w:szCs w:val="21"/>
        </w:rPr>
        <w:t>42</w:t>
      </w:r>
      <w:r>
        <w:rPr>
          <w:rFonts w:hint="eastAsia"/>
          <w:bCs/>
          <w:szCs w:val="21"/>
        </w:rPr>
        <w:t>、</w:t>
      </w:r>
      <w:r>
        <w:rPr>
          <w:bCs/>
          <w:szCs w:val="21"/>
        </w:rPr>
        <w:t>申购：指基金</w:t>
      </w:r>
      <w:r>
        <w:rPr>
          <w:bCs/>
          <w:szCs w:val="21"/>
        </w:rPr>
        <w:t>合同生效后，投资人根据基金合同和招募说明书及相关公告的规定申请购买基金份额的行为</w:t>
      </w:r>
    </w:p>
    <w:p w14:paraId="5D936397" w14:textId="77777777" w:rsidR="00BF38BB" w:rsidRDefault="002837D7">
      <w:pPr>
        <w:spacing w:line="360" w:lineRule="auto"/>
        <w:ind w:firstLineChars="200" w:firstLine="420"/>
        <w:rPr>
          <w:bCs/>
          <w:szCs w:val="21"/>
        </w:rPr>
      </w:pPr>
      <w:r>
        <w:rPr>
          <w:bCs/>
          <w:szCs w:val="21"/>
        </w:rPr>
        <w:t>43</w:t>
      </w:r>
      <w:r>
        <w:rPr>
          <w:rFonts w:hint="eastAsia"/>
          <w:bCs/>
          <w:szCs w:val="21"/>
        </w:rPr>
        <w:t>、</w:t>
      </w:r>
      <w:r>
        <w:rPr>
          <w:bCs/>
          <w:szCs w:val="21"/>
        </w:rPr>
        <w:t>赎回：指基金合同生效后，基金份额持有人按基金合同</w:t>
      </w:r>
      <w:r>
        <w:rPr>
          <w:rFonts w:hint="eastAsia"/>
          <w:bCs/>
          <w:szCs w:val="21"/>
        </w:rPr>
        <w:t>、招募说明书及相关公告</w:t>
      </w:r>
      <w:r>
        <w:rPr>
          <w:bCs/>
          <w:szCs w:val="21"/>
        </w:rPr>
        <w:t>规定的条件要求将基金份额兑换为现金的行为</w:t>
      </w:r>
    </w:p>
    <w:p w14:paraId="7A607656" w14:textId="77777777" w:rsidR="00BF38BB" w:rsidRDefault="002837D7">
      <w:pPr>
        <w:spacing w:line="360" w:lineRule="auto"/>
        <w:ind w:firstLineChars="200" w:firstLine="420"/>
        <w:rPr>
          <w:bCs/>
          <w:szCs w:val="21"/>
        </w:rPr>
      </w:pPr>
      <w:r>
        <w:rPr>
          <w:bCs/>
          <w:szCs w:val="21"/>
        </w:rPr>
        <w:t>44</w:t>
      </w:r>
      <w:r>
        <w:rPr>
          <w:rFonts w:hint="eastAsia"/>
          <w:bCs/>
          <w:szCs w:val="21"/>
        </w:rPr>
        <w:t>、</w:t>
      </w:r>
      <w:r>
        <w:rPr>
          <w:bCs/>
          <w:szCs w:val="21"/>
        </w:rPr>
        <w:t>基金转换：</w:t>
      </w:r>
      <w:r>
        <w:rPr>
          <w:rFonts w:hint="eastAsia"/>
          <w:bCs/>
          <w:szCs w:val="21"/>
        </w:rPr>
        <w:t>指基金份额持有人按照基金合同和基金管理人届时有效公告规定的条件，申请将其持有基金管理人管理的某一基金的基金份额转换为该基金其他份额（如有）或基金管理人管理的其他基金基金份额的行为</w:t>
      </w:r>
    </w:p>
    <w:p w14:paraId="61A8C351" w14:textId="77777777" w:rsidR="00BF38BB" w:rsidRDefault="002837D7">
      <w:pPr>
        <w:spacing w:line="360" w:lineRule="auto"/>
        <w:ind w:firstLineChars="200" w:firstLine="420"/>
        <w:rPr>
          <w:bCs/>
          <w:szCs w:val="21"/>
        </w:rPr>
      </w:pPr>
      <w:r>
        <w:rPr>
          <w:bCs/>
          <w:szCs w:val="21"/>
        </w:rPr>
        <w:t>45</w:t>
      </w:r>
      <w:r>
        <w:rPr>
          <w:rFonts w:hint="eastAsia"/>
          <w:bCs/>
          <w:szCs w:val="21"/>
        </w:rPr>
        <w:t>、</w:t>
      </w:r>
      <w:r>
        <w:rPr>
          <w:bCs/>
          <w:szCs w:val="21"/>
        </w:rPr>
        <w:t>转托管：指基金份额持有人在本基金的不同销售机构之间实施的变更所持基金份额销售机构的操作</w:t>
      </w:r>
    </w:p>
    <w:p w14:paraId="2259E0DB" w14:textId="77777777" w:rsidR="00BF38BB" w:rsidRDefault="002837D7">
      <w:pPr>
        <w:spacing w:line="360" w:lineRule="auto"/>
        <w:ind w:firstLineChars="200" w:firstLine="420"/>
        <w:rPr>
          <w:bCs/>
          <w:szCs w:val="21"/>
        </w:rPr>
      </w:pPr>
      <w:r>
        <w:rPr>
          <w:bCs/>
          <w:szCs w:val="21"/>
        </w:rPr>
        <w:t>46</w:t>
      </w:r>
      <w:r>
        <w:rPr>
          <w:rFonts w:hint="eastAsia"/>
          <w:bCs/>
          <w:szCs w:val="21"/>
        </w:rPr>
        <w:t>、</w:t>
      </w:r>
      <w:r>
        <w:rPr>
          <w:bCs/>
          <w:szCs w:val="21"/>
        </w:rPr>
        <w:t>定期定额投资计划：指投资人通过有关销售机构提出申请，约定每期</w:t>
      </w:r>
      <w:r>
        <w:rPr>
          <w:rFonts w:hint="eastAsia"/>
          <w:bCs/>
          <w:szCs w:val="21"/>
        </w:rPr>
        <w:t>申购</w:t>
      </w:r>
      <w:r>
        <w:rPr>
          <w:bCs/>
          <w:szCs w:val="21"/>
        </w:rPr>
        <w:t>日、扣款金额及扣款方式，由销售机构于每期约定扣款日在投资人指定银行账户内自动完成扣款及</w:t>
      </w:r>
      <w:r>
        <w:rPr>
          <w:rFonts w:hint="eastAsia"/>
          <w:bCs/>
          <w:szCs w:val="21"/>
        </w:rPr>
        <w:t>受理</w:t>
      </w:r>
      <w:r>
        <w:rPr>
          <w:bCs/>
          <w:szCs w:val="21"/>
        </w:rPr>
        <w:t>基金申购申请的一种投资方式</w:t>
      </w:r>
    </w:p>
    <w:p w14:paraId="6D13F0A5" w14:textId="77777777" w:rsidR="00BF38BB" w:rsidRDefault="002837D7">
      <w:pPr>
        <w:spacing w:line="360" w:lineRule="auto"/>
        <w:ind w:firstLineChars="200" w:firstLine="420"/>
        <w:rPr>
          <w:bCs/>
          <w:szCs w:val="21"/>
        </w:rPr>
      </w:pPr>
      <w:r>
        <w:rPr>
          <w:bCs/>
          <w:szCs w:val="21"/>
        </w:rPr>
        <w:t>47</w:t>
      </w:r>
      <w:r>
        <w:rPr>
          <w:rFonts w:hint="eastAsia"/>
          <w:bCs/>
          <w:szCs w:val="21"/>
        </w:rPr>
        <w:t>、</w:t>
      </w:r>
      <w:r>
        <w:rPr>
          <w:bCs/>
          <w:szCs w:val="21"/>
        </w:rPr>
        <w:t>巨额赎回：</w:t>
      </w:r>
      <w:r>
        <w:rPr>
          <w:rFonts w:hint="eastAsia"/>
          <w:bCs/>
          <w:szCs w:val="21"/>
        </w:rPr>
        <w:t>指本基金单个开放日，基金净赎回申请</w:t>
      </w:r>
      <w:r>
        <w:rPr>
          <w:rFonts w:hint="eastAsia"/>
          <w:bCs/>
          <w:szCs w:val="21"/>
        </w:rPr>
        <w:t>(</w:t>
      </w:r>
      <w:r>
        <w:rPr>
          <w:rFonts w:hint="eastAsia"/>
          <w:bCs/>
          <w:szCs w:val="21"/>
        </w:rPr>
        <w:t>赎回申请份额总数加上基金转换中转出申请份额总数后扣除申购申请份额总数及基金转换中转入申请份额总数后的余额</w:t>
      </w:r>
      <w:r>
        <w:rPr>
          <w:rFonts w:hint="eastAsia"/>
          <w:bCs/>
          <w:szCs w:val="21"/>
        </w:rPr>
        <w:t>)</w:t>
      </w:r>
      <w:r>
        <w:rPr>
          <w:rFonts w:hint="eastAsia"/>
          <w:bCs/>
          <w:szCs w:val="21"/>
        </w:rPr>
        <w:t>超过上一工作日基金总份额的</w:t>
      </w:r>
      <w:r>
        <w:rPr>
          <w:rFonts w:hint="eastAsia"/>
          <w:bCs/>
          <w:szCs w:val="21"/>
        </w:rPr>
        <w:t>10%</w:t>
      </w:r>
    </w:p>
    <w:p w14:paraId="3103E7E6" w14:textId="77777777" w:rsidR="00BF38BB" w:rsidRDefault="002837D7">
      <w:pPr>
        <w:spacing w:line="360" w:lineRule="auto"/>
        <w:ind w:firstLineChars="200" w:firstLine="420"/>
        <w:rPr>
          <w:bCs/>
          <w:szCs w:val="21"/>
        </w:rPr>
      </w:pPr>
      <w:r>
        <w:rPr>
          <w:bCs/>
          <w:szCs w:val="21"/>
        </w:rPr>
        <w:t>48</w:t>
      </w:r>
      <w:r>
        <w:rPr>
          <w:rFonts w:hint="eastAsia"/>
          <w:bCs/>
          <w:szCs w:val="21"/>
        </w:rPr>
        <w:t>、</w:t>
      </w:r>
      <w:r>
        <w:rPr>
          <w:bCs/>
          <w:szCs w:val="21"/>
        </w:rPr>
        <w:t>元：指人民币元</w:t>
      </w:r>
    </w:p>
    <w:p w14:paraId="7DE42311" w14:textId="77777777" w:rsidR="00BF38BB" w:rsidRDefault="002837D7">
      <w:pPr>
        <w:spacing w:line="360" w:lineRule="auto"/>
        <w:ind w:firstLineChars="200" w:firstLine="420"/>
        <w:rPr>
          <w:bCs/>
          <w:szCs w:val="21"/>
        </w:rPr>
      </w:pPr>
      <w:r>
        <w:rPr>
          <w:bCs/>
          <w:szCs w:val="21"/>
        </w:rPr>
        <w:t>49</w:t>
      </w:r>
      <w:r>
        <w:rPr>
          <w:rFonts w:hint="eastAsia"/>
          <w:bCs/>
          <w:szCs w:val="21"/>
        </w:rPr>
        <w:t>、</w:t>
      </w:r>
      <w:r>
        <w:rPr>
          <w:bCs/>
          <w:szCs w:val="21"/>
        </w:rPr>
        <w:t>基金收益：指基金投资所得</w:t>
      </w:r>
      <w:r>
        <w:rPr>
          <w:rFonts w:hint="eastAsia"/>
          <w:bCs/>
          <w:szCs w:val="21"/>
        </w:rPr>
        <w:t>红利、股息、</w:t>
      </w:r>
      <w:r>
        <w:rPr>
          <w:bCs/>
          <w:szCs w:val="21"/>
        </w:rPr>
        <w:t>债券利息、买卖证券价差、银行存款利息、已实现的其他合法收入及因运用基金财产</w:t>
      </w:r>
      <w:r>
        <w:rPr>
          <w:bCs/>
          <w:szCs w:val="21"/>
        </w:rPr>
        <w:t>带来的成本和费用的节约</w:t>
      </w:r>
    </w:p>
    <w:p w14:paraId="34222C14" w14:textId="77777777" w:rsidR="00BF38BB" w:rsidRDefault="002837D7">
      <w:pPr>
        <w:spacing w:line="360" w:lineRule="auto"/>
        <w:ind w:firstLineChars="200" w:firstLine="420"/>
        <w:rPr>
          <w:bCs/>
          <w:szCs w:val="21"/>
        </w:rPr>
      </w:pPr>
      <w:r>
        <w:rPr>
          <w:bCs/>
          <w:szCs w:val="21"/>
        </w:rPr>
        <w:lastRenderedPageBreak/>
        <w:t>50</w:t>
      </w:r>
      <w:r>
        <w:rPr>
          <w:rFonts w:hint="eastAsia"/>
          <w:bCs/>
          <w:szCs w:val="21"/>
        </w:rPr>
        <w:t>、</w:t>
      </w:r>
      <w:r>
        <w:rPr>
          <w:bCs/>
          <w:szCs w:val="21"/>
        </w:rPr>
        <w:t>基金资产总值：指基金拥有的各类有价证券、银行存款本息、基金应收款及其他资产的价值总和</w:t>
      </w:r>
    </w:p>
    <w:p w14:paraId="1E01BA22" w14:textId="77777777" w:rsidR="00BF38BB" w:rsidRDefault="002837D7">
      <w:pPr>
        <w:spacing w:line="360" w:lineRule="auto"/>
        <w:ind w:firstLineChars="200" w:firstLine="420"/>
        <w:rPr>
          <w:bCs/>
          <w:szCs w:val="21"/>
        </w:rPr>
      </w:pPr>
      <w:r>
        <w:rPr>
          <w:bCs/>
          <w:szCs w:val="21"/>
        </w:rPr>
        <w:t>51</w:t>
      </w:r>
      <w:r>
        <w:rPr>
          <w:rFonts w:hint="eastAsia"/>
          <w:bCs/>
          <w:szCs w:val="21"/>
        </w:rPr>
        <w:t>、</w:t>
      </w:r>
      <w:r>
        <w:rPr>
          <w:bCs/>
          <w:szCs w:val="21"/>
        </w:rPr>
        <w:t>基金资产净值：指基金资产总值减去基金负债后的价值</w:t>
      </w:r>
    </w:p>
    <w:p w14:paraId="434E6D0A" w14:textId="77777777" w:rsidR="00BF38BB" w:rsidRDefault="002837D7">
      <w:pPr>
        <w:spacing w:line="360" w:lineRule="auto"/>
        <w:ind w:firstLineChars="200" w:firstLine="420"/>
        <w:rPr>
          <w:bCs/>
          <w:szCs w:val="21"/>
        </w:rPr>
      </w:pPr>
      <w:r>
        <w:rPr>
          <w:bCs/>
          <w:szCs w:val="21"/>
        </w:rPr>
        <w:t>52</w:t>
      </w:r>
      <w:r>
        <w:rPr>
          <w:rFonts w:hint="eastAsia"/>
          <w:bCs/>
          <w:szCs w:val="21"/>
        </w:rPr>
        <w:t>、</w:t>
      </w:r>
      <w:r>
        <w:rPr>
          <w:bCs/>
          <w:szCs w:val="21"/>
        </w:rPr>
        <w:t>基金份额净值：</w:t>
      </w:r>
      <w:r>
        <w:rPr>
          <w:rFonts w:hint="eastAsia"/>
          <w:bCs/>
          <w:szCs w:val="21"/>
        </w:rPr>
        <w:t>针对本基金各类基金份额，指计算日某一类基金份额的基金资产净值除以计算日该类基金份额的基金份额总数</w:t>
      </w:r>
    </w:p>
    <w:p w14:paraId="32B9E56F" w14:textId="77777777" w:rsidR="00BF38BB" w:rsidRDefault="002837D7">
      <w:pPr>
        <w:spacing w:line="360" w:lineRule="auto"/>
        <w:ind w:firstLineChars="200" w:firstLine="420"/>
        <w:rPr>
          <w:bCs/>
          <w:szCs w:val="21"/>
        </w:rPr>
      </w:pPr>
      <w:r>
        <w:rPr>
          <w:bCs/>
          <w:szCs w:val="21"/>
        </w:rPr>
        <w:t>53</w:t>
      </w:r>
      <w:r>
        <w:rPr>
          <w:rFonts w:hint="eastAsia"/>
          <w:bCs/>
          <w:szCs w:val="21"/>
        </w:rPr>
        <w:t>、</w:t>
      </w:r>
      <w:r>
        <w:rPr>
          <w:bCs/>
          <w:szCs w:val="21"/>
        </w:rPr>
        <w:t>基金资产估值：指计算评估基金资产和负债的价值，以确定基金资产净值和各类基金份额净值的过程</w:t>
      </w:r>
    </w:p>
    <w:p w14:paraId="20A3B422" w14:textId="77777777" w:rsidR="00BF38BB" w:rsidRDefault="002837D7">
      <w:pPr>
        <w:spacing w:line="360" w:lineRule="auto"/>
        <w:ind w:firstLineChars="200" w:firstLine="420"/>
        <w:rPr>
          <w:bCs/>
          <w:szCs w:val="21"/>
        </w:rPr>
      </w:pPr>
      <w:r>
        <w:rPr>
          <w:rFonts w:hint="eastAsia"/>
          <w:bCs/>
          <w:szCs w:val="21"/>
        </w:rPr>
        <w:t>5</w:t>
      </w:r>
      <w:r>
        <w:rPr>
          <w:bCs/>
          <w:szCs w:val="21"/>
        </w:rPr>
        <w:t>4</w:t>
      </w:r>
      <w:r>
        <w:rPr>
          <w:rFonts w:hint="eastAsia"/>
          <w:bCs/>
          <w:szCs w:val="21"/>
        </w:rPr>
        <w:t>、基金份额类别：指本基金根据认购</w:t>
      </w:r>
      <w:r>
        <w:rPr>
          <w:rFonts w:hint="eastAsia"/>
          <w:bCs/>
          <w:szCs w:val="21"/>
        </w:rPr>
        <w:t>/</w:t>
      </w:r>
      <w:r>
        <w:rPr>
          <w:rFonts w:hint="eastAsia"/>
          <w:bCs/>
          <w:szCs w:val="21"/>
        </w:rPr>
        <w:t>申购费用、销售服务费收取方式的不同，将基金份额分为不同的类别。各基金份额类别分别设置代码</w:t>
      </w:r>
      <w:r>
        <w:rPr>
          <w:rFonts w:hint="eastAsia"/>
          <w:bCs/>
          <w:szCs w:val="21"/>
        </w:rPr>
        <w:t>，合并投资运作，分别计算和公告各类基金份额的基金份额净值和基金份额累计净值</w:t>
      </w:r>
    </w:p>
    <w:p w14:paraId="434249E7" w14:textId="77777777" w:rsidR="00BF38BB" w:rsidRDefault="002837D7">
      <w:pPr>
        <w:spacing w:line="360" w:lineRule="auto"/>
        <w:ind w:firstLineChars="200" w:firstLine="420"/>
        <w:rPr>
          <w:bCs/>
          <w:szCs w:val="21"/>
        </w:rPr>
      </w:pPr>
      <w:r>
        <w:rPr>
          <w:rFonts w:hint="eastAsia"/>
          <w:bCs/>
          <w:szCs w:val="21"/>
        </w:rPr>
        <w:t>A</w:t>
      </w:r>
      <w:r>
        <w:rPr>
          <w:rFonts w:hint="eastAsia"/>
          <w:bCs/>
          <w:szCs w:val="21"/>
        </w:rPr>
        <w:t>类基金份额：指在投资人认购</w:t>
      </w:r>
      <w:r>
        <w:rPr>
          <w:rFonts w:hint="eastAsia"/>
          <w:bCs/>
          <w:szCs w:val="21"/>
        </w:rPr>
        <w:t>/</w:t>
      </w:r>
      <w:r>
        <w:rPr>
          <w:rFonts w:hint="eastAsia"/>
          <w:bCs/>
          <w:szCs w:val="21"/>
        </w:rPr>
        <w:t>申购基金份额时收取认购</w:t>
      </w:r>
      <w:r>
        <w:rPr>
          <w:rFonts w:hint="eastAsia"/>
          <w:bCs/>
          <w:szCs w:val="21"/>
        </w:rPr>
        <w:t>/</w:t>
      </w:r>
      <w:r>
        <w:rPr>
          <w:rFonts w:hint="eastAsia"/>
          <w:bCs/>
          <w:szCs w:val="21"/>
        </w:rPr>
        <w:t>申购费用，并不再从本类别基金资产中计提销售服务费的基金份额</w:t>
      </w:r>
    </w:p>
    <w:p w14:paraId="6119FCAE" w14:textId="77777777" w:rsidR="00BF38BB" w:rsidRDefault="002837D7">
      <w:pPr>
        <w:spacing w:line="360" w:lineRule="auto"/>
        <w:ind w:firstLineChars="200" w:firstLine="420"/>
        <w:rPr>
          <w:bCs/>
          <w:szCs w:val="21"/>
        </w:rPr>
      </w:pPr>
      <w:r>
        <w:rPr>
          <w:rFonts w:hint="eastAsia"/>
          <w:bCs/>
          <w:szCs w:val="21"/>
        </w:rPr>
        <w:t>C</w:t>
      </w:r>
      <w:r>
        <w:rPr>
          <w:rFonts w:hint="eastAsia"/>
          <w:bCs/>
          <w:szCs w:val="21"/>
        </w:rPr>
        <w:t>类基金份额：指从本类别基金资产中计提销售服务费，并不收取认购</w:t>
      </w:r>
      <w:r>
        <w:rPr>
          <w:rFonts w:hint="eastAsia"/>
          <w:bCs/>
          <w:szCs w:val="21"/>
        </w:rPr>
        <w:t>/</w:t>
      </w:r>
      <w:r>
        <w:rPr>
          <w:rFonts w:hint="eastAsia"/>
          <w:bCs/>
          <w:szCs w:val="21"/>
        </w:rPr>
        <w:t>申购费用的基金份额</w:t>
      </w:r>
    </w:p>
    <w:p w14:paraId="3CFF9047" w14:textId="77777777" w:rsidR="00BF38BB" w:rsidRDefault="002837D7">
      <w:pPr>
        <w:spacing w:line="360" w:lineRule="auto"/>
        <w:ind w:firstLineChars="200" w:firstLine="420"/>
        <w:rPr>
          <w:bCs/>
          <w:szCs w:val="21"/>
        </w:rPr>
      </w:pPr>
      <w:r>
        <w:rPr>
          <w:rFonts w:hint="eastAsia"/>
          <w:bCs/>
          <w:szCs w:val="21"/>
        </w:rPr>
        <w:t>5</w:t>
      </w:r>
      <w:r>
        <w:rPr>
          <w:bCs/>
          <w:szCs w:val="21"/>
        </w:rPr>
        <w:t>5</w:t>
      </w:r>
      <w:r>
        <w:rPr>
          <w:rFonts w:hint="eastAsia"/>
          <w:bCs/>
          <w:szCs w:val="21"/>
        </w:rPr>
        <w:t>、销售服务费：指从相应类别基金份额的基金资产中计提的，用于本基金市场推广、销售以及基金份额持有人服务的费用</w:t>
      </w:r>
    </w:p>
    <w:p w14:paraId="334ED14E" w14:textId="77777777" w:rsidR="00BF38BB" w:rsidRDefault="002837D7">
      <w:pPr>
        <w:spacing w:line="360" w:lineRule="auto"/>
        <w:ind w:firstLineChars="200" w:firstLine="420"/>
        <w:rPr>
          <w:bCs/>
          <w:szCs w:val="21"/>
        </w:rPr>
      </w:pPr>
      <w:r>
        <w:rPr>
          <w:bCs/>
          <w:szCs w:val="21"/>
        </w:rPr>
        <w:t>56</w:t>
      </w:r>
      <w:r>
        <w:rPr>
          <w:rFonts w:hint="eastAsia"/>
          <w:bCs/>
          <w:szCs w:val="21"/>
        </w:rPr>
        <w:t>、规定媒介：指符合中国证监会规定条件的用以进行信息披露的全国性报刊、《信息披露办法》规定的互联网网站（包括基金管理人网站、基金托管人网站、中国证监会基金电子披露网站）等媒介</w:t>
      </w:r>
    </w:p>
    <w:p w14:paraId="71C06B2F" w14:textId="77777777" w:rsidR="00BF38BB" w:rsidRDefault="002837D7">
      <w:pPr>
        <w:spacing w:line="360" w:lineRule="auto"/>
        <w:ind w:firstLineChars="200" w:firstLine="420"/>
        <w:rPr>
          <w:bCs/>
          <w:szCs w:val="21"/>
        </w:rPr>
      </w:pPr>
      <w:r>
        <w:rPr>
          <w:bCs/>
          <w:szCs w:val="21"/>
        </w:rPr>
        <w:t>57</w:t>
      </w:r>
      <w:r>
        <w:rPr>
          <w:rFonts w:hint="eastAsia"/>
          <w:bCs/>
          <w:szCs w:val="21"/>
        </w:rPr>
        <w:t>、流动性受限资产：指由于法律法规、监管、合同或操作障碍等原因无法以合理价格予以变现的资产，包括但不限于到期日在</w:t>
      </w:r>
      <w:r>
        <w:rPr>
          <w:rFonts w:hint="eastAsia"/>
          <w:bCs/>
          <w:szCs w:val="21"/>
        </w:rPr>
        <w:t>10</w:t>
      </w:r>
      <w:r>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7DDCDFB5" w14:textId="77777777" w:rsidR="00BF38BB" w:rsidRDefault="002837D7">
      <w:pPr>
        <w:spacing w:line="360" w:lineRule="auto"/>
        <w:ind w:firstLineChars="200" w:firstLine="420"/>
        <w:rPr>
          <w:bCs/>
          <w:szCs w:val="21"/>
        </w:rPr>
      </w:pPr>
      <w:r>
        <w:rPr>
          <w:bCs/>
          <w:szCs w:val="21"/>
        </w:rPr>
        <w:t>58</w:t>
      </w:r>
      <w:r>
        <w:rPr>
          <w:rFonts w:hint="eastAsia"/>
          <w:bCs/>
          <w:szCs w:val="21"/>
        </w:rPr>
        <w:t>、摆动定价机制：指当开放式基金遭遇大额申购</w:t>
      </w:r>
      <w:r>
        <w:rPr>
          <w:rFonts w:hint="eastAsia"/>
          <w:bCs/>
          <w:szCs w:val="21"/>
        </w:rPr>
        <w:t>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D7F29DA" w14:textId="77777777" w:rsidR="00BF38BB" w:rsidRDefault="002837D7">
      <w:pPr>
        <w:spacing w:line="360" w:lineRule="auto"/>
        <w:ind w:firstLineChars="200" w:firstLine="420"/>
        <w:rPr>
          <w:bCs/>
          <w:szCs w:val="21"/>
        </w:rPr>
      </w:pPr>
      <w:r>
        <w:rPr>
          <w:bCs/>
          <w:szCs w:val="21"/>
        </w:rPr>
        <w:t>59</w:t>
      </w:r>
      <w:r>
        <w:rPr>
          <w:rFonts w:hint="eastAsia"/>
          <w:bCs/>
          <w:szCs w:val="21"/>
        </w:rPr>
        <w:t>、</w:t>
      </w:r>
      <w:r>
        <w:rPr>
          <w:bCs/>
          <w:szCs w:val="21"/>
        </w:rPr>
        <w:t>不可抗力：指</w:t>
      </w:r>
      <w:r>
        <w:rPr>
          <w:rFonts w:hint="eastAsia"/>
          <w:bCs/>
          <w:szCs w:val="21"/>
        </w:rPr>
        <w:t>基金</w:t>
      </w:r>
      <w:r>
        <w:rPr>
          <w:bCs/>
          <w:szCs w:val="21"/>
        </w:rPr>
        <w:t>合同当事人不能预见、不能避免且不能克服的客观事件</w:t>
      </w:r>
    </w:p>
    <w:p w14:paraId="327556DB" w14:textId="77777777" w:rsidR="00BF38BB" w:rsidRDefault="002837D7">
      <w:pPr>
        <w:spacing w:line="360" w:lineRule="auto"/>
        <w:ind w:firstLineChars="200" w:firstLine="420"/>
        <w:rPr>
          <w:bCs/>
          <w:szCs w:val="21"/>
        </w:rPr>
      </w:pPr>
      <w:r>
        <w:rPr>
          <w:bCs/>
          <w:szCs w:val="21"/>
        </w:rPr>
        <w:t>60</w:t>
      </w:r>
      <w:r>
        <w:rPr>
          <w:rFonts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A91CE0C" w14:textId="77777777" w:rsidR="00BF38BB" w:rsidRDefault="002837D7">
      <w:pPr>
        <w:spacing w:line="360" w:lineRule="auto"/>
        <w:ind w:firstLineChars="200" w:firstLine="420"/>
        <w:rPr>
          <w:bCs/>
          <w:szCs w:val="21"/>
        </w:rPr>
      </w:pPr>
      <w:r>
        <w:rPr>
          <w:bCs/>
          <w:szCs w:val="21"/>
        </w:rPr>
        <w:t>61</w:t>
      </w:r>
      <w:r>
        <w:rPr>
          <w:rFonts w:hint="eastAsia"/>
          <w:bCs/>
          <w:szCs w:val="21"/>
        </w:rPr>
        <w:t>、特定资产：包括：（一）无</w:t>
      </w:r>
      <w:r>
        <w:rPr>
          <w:rFonts w:hint="eastAsia"/>
          <w:bCs/>
          <w:szCs w:val="21"/>
        </w:rPr>
        <w:t>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69A8EEF" w14:textId="77777777" w:rsidR="00BF38BB" w:rsidRDefault="002837D7">
      <w:pPr>
        <w:spacing w:line="360" w:lineRule="auto"/>
        <w:ind w:firstLineChars="200" w:firstLine="420"/>
        <w:rPr>
          <w:bCs/>
          <w:szCs w:val="21"/>
        </w:rPr>
      </w:pPr>
      <w:r>
        <w:rPr>
          <w:rFonts w:hint="eastAsia"/>
          <w:bCs/>
          <w:szCs w:val="21"/>
        </w:rPr>
        <w:lastRenderedPageBreak/>
        <w:t>6</w:t>
      </w:r>
      <w:r>
        <w:rPr>
          <w:bCs/>
          <w:szCs w:val="21"/>
        </w:rPr>
        <w:t>2</w:t>
      </w:r>
      <w:r>
        <w:rPr>
          <w:rFonts w:hint="eastAsia"/>
          <w:bCs/>
          <w:szCs w:val="21"/>
        </w:rPr>
        <w:t>、基金产品资料概要：指《嘉实中证</w:t>
      </w:r>
      <w:r>
        <w:rPr>
          <w:rFonts w:hint="eastAsia"/>
          <w:bCs/>
          <w:szCs w:val="21"/>
        </w:rPr>
        <w:t>800</w:t>
      </w:r>
      <w:r>
        <w:rPr>
          <w:rFonts w:hint="eastAsia"/>
          <w:bCs/>
          <w:szCs w:val="21"/>
        </w:rPr>
        <w:t>指数增强型证券投资基金基金产品资料概要》及其更新</w:t>
      </w:r>
    </w:p>
    <w:p w14:paraId="126A21DF" w14:textId="77777777" w:rsidR="00BF38BB" w:rsidRDefault="002837D7">
      <w:pPr>
        <w:spacing w:line="360" w:lineRule="auto"/>
        <w:ind w:firstLineChars="200" w:firstLine="420"/>
        <w:rPr>
          <w:bCs/>
          <w:szCs w:val="21"/>
        </w:rPr>
      </w:pPr>
      <w:r>
        <w:rPr>
          <w:rFonts w:hint="eastAsia"/>
          <w:bCs/>
          <w:szCs w:val="21"/>
        </w:rPr>
        <w:t>6</w:t>
      </w:r>
      <w:r>
        <w:rPr>
          <w:bCs/>
          <w:szCs w:val="21"/>
        </w:rPr>
        <w:t>3</w:t>
      </w:r>
      <w:r>
        <w:rPr>
          <w:rFonts w:hint="eastAsia"/>
          <w:bCs/>
          <w:szCs w:val="21"/>
        </w:rPr>
        <w:t>、转融通证券出借业务：简称出借业务，指本基金以一定的费率通过证券交易所综合业务平台向中国证券金融股份有限公司（以下简称证券金融公司）出借证券，证券金融公司到期归还所借证券及相应权益补偿并支付费用的业务</w:t>
      </w:r>
    </w:p>
    <w:p w14:paraId="0CA22096" w14:textId="77777777" w:rsidR="00BF38BB" w:rsidRDefault="002837D7">
      <w:pPr>
        <w:spacing w:line="360" w:lineRule="auto"/>
        <w:ind w:firstLineChars="200" w:firstLine="420"/>
        <w:rPr>
          <w:bCs/>
          <w:szCs w:val="21"/>
        </w:rPr>
      </w:pPr>
      <w:r>
        <w:rPr>
          <w:rFonts w:hint="eastAsia"/>
          <w:bCs/>
          <w:szCs w:val="21"/>
        </w:rPr>
        <w:t>6</w:t>
      </w:r>
      <w:r>
        <w:rPr>
          <w:bCs/>
          <w:szCs w:val="21"/>
        </w:rPr>
        <w:t>4</w:t>
      </w:r>
      <w:r>
        <w:rPr>
          <w:rFonts w:hint="eastAsia"/>
          <w:bCs/>
          <w:szCs w:val="21"/>
        </w:rPr>
        <w:t>、标的指数：指中证</w:t>
      </w:r>
      <w:r>
        <w:rPr>
          <w:rFonts w:hint="eastAsia"/>
          <w:bCs/>
          <w:szCs w:val="21"/>
        </w:rPr>
        <w:t>8</w:t>
      </w:r>
      <w:r>
        <w:rPr>
          <w:rFonts w:hint="eastAsia"/>
          <w:bCs/>
          <w:szCs w:val="21"/>
        </w:rPr>
        <w:t>00</w:t>
      </w:r>
      <w:r>
        <w:rPr>
          <w:rFonts w:hint="eastAsia"/>
          <w:bCs/>
          <w:szCs w:val="21"/>
        </w:rPr>
        <w:t>指数及其未来可能发生的变更</w:t>
      </w:r>
      <w:bookmarkEnd w:id="26"/>
    </w:p>
    <w:p w14:paraId="42C8D34A" w14:textId="77777777" w:rsidR="00BF38BB" w:rsidRDefault="00BF38BB">
      <w:pPr>
        <w:spacing w:line="360" w:lineRule="auto"/>
        <w:ind w:firstLineChars="200" w:firstLine="420"/>
        <w:rPr>
          <w:bCs/>
          <w:szCs w:val="21"/>
        </w:rPr>
      </w:pPr>
    </w:p>
    <w:p w14:paraId="2D5E8B96" w14:textId="77777777" w:rsidR="00BF38BB" w:rsidRDefault="00BF38BB">
      <w:pPr>
        <w:spacing w:line="360" w:lineRule="auto"/>
        <w:rPr>
          <w:rFonts w:ascii="宋体" w:hAnsi="宋体"/>
          <w:bCs/>
          <w:szCs w:val="21"/>
        </w:rPr>
      </w:pPr>
    </w:p>
    <w:p w14:paraId="1F1DBAD5"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28" w:name="_Toc69916728"/>
      <w:bookmarkEnd w:id="27"/>
      <w:r>
        <w:rPr>
          <w:rFonts w:hAnsi="宋体"/>
          <w:color w:val="auto"/>
          <w:kern w:val="44"/>
          <w:sz w:val="21"/>
        </w:rPr>
        <w:lastRenderedPageBreak/>
        <w:t>三、基金管理人</w:t>
      </w:r>
      <w:bookmarkEnd w:id="23"/>
      <w:bookmarkEnd w:id="24"/>
      <w:bookmarkEnd w:id="25"/>
      <w:bookmarkEnd w:id="28"/>
    </w:p>
    <w:p w14:paraId="52953FD7" w14:textId="77777777" w:rsidR="00BF38BB" w:rsidRDefault="002837D7">
      <w:pPr>
        <w:spacing w:line="360" w:lineRule="auto"/>
        <w:ind w:firstLineChars="100" w:firstLine="210"/>
        <w:rPr>
          <w:rFonts w:ascii="宋体" w:hAnsi="宋体"/>
          <w:color w:val="000000"/>
          <w:szCs w:val="21"/>
        </w:rPr>
      </w:pPr>
      <w:bookmarkStart w:id="29" w:name="_Toc329187113"/>
      <w:bookmarkStart w:id="30" w:name="_Toc334542636"/>
      <w:bookmarkStart w:id="31" w:name="_Toc334542953"/>
      <w:bookmarkStart w:id="32" w:name="_Toc525454754"/>
      <w:bookmarkStart w:id="33" w:name="_Toc63171745"/>
      <w:bookmarkStart w:id="34" w:name="_Toc530223179"/>
      <w:r>
        <w:rPr>
          <w:rFonts w:ascii="宋体" w:hAnsi="宋体" w:hint="eastAsia"/>
        </w:rPr>
        <w:t>（一）基金管理人概况</w:t>
      </w:r>
    </w:p>
    <w:tbl>
      <w:tblPr>
        <w:tblW w:w="0" w:type="auto"/>
        <w:tblInd w:w="132" w:type="dxa"/>
        <w:tblCellMar>
          <w:left w:w="0" w:type="dxa"/>
          <w:right w:w="0" w:type="dxa"/>
        </w:tblCellMar>
        <w:tblLook w:val="04A0" w:firstRow="1" w:lastRow="0" w:firstColumn="1" w:lastColumn="0" w:noHBand="0" w:noVBand="1"/>
      </w:tblPr>
      <w:tblGrid>
        <w:gridCol w:w="1389"/>
        <w:gridCol w:w="6765"/>
      </w:tblGrid>
      <w:tr w:rsidR="00BF38BB" w14:paraId="1D61F06F" w14:textId="77777777">
        <w:tc>
          <w:tcPr>
            <w:tcW w:w="1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BEF95E"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名称</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7151F5" w14:textId="77777777" w:rsidR="00BF38BB" w:rsidRDefault="002837D7">
            <w:pPr>
              <w:widowControl/>
              <w:rPr>
                <w:rFonts w:ascii="宋体" w:hAnsi="宋体" w:cs="宋体"/>
                <w:color w:val="000000"/>
                <w:kern w:val="0"/>
                <w:szCs w:val="21"/>
              </w:rPr>
            </w:pPr>
            <w:r>
              <w:rPr>
                <w:rFonts w:ascii="宋体" w:hAnsi="宋体" w:cs="宋体" w:hint="eastAsia"/>
                <w:color w:val="000000"/>
                <w:kern w:val="0"/>
                <w:szCs w:val="21"/>
              </w:rPr>
              <w:t>嘉实基金管理有限公司</w:t>
            </w:r>
          </w:p>
        </w:tc>
      </w:tr>
      <w:tr w:rsidR="00BF38BB" w14:paraId="0213DC87"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51904A"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注册地址</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19490A" w14:textId="77777777" w:rsidR="00BF38BB" w:rsidRDefault="002837D7">
            <w:pPr>
              <w:widowControl/>
              <w:rPr>
                <w:rFonts w:ascii="宋体" w:hAnsi="宋体" w:cs="宋体"/>
                <w:kern w:val="0"/>
                <w:szCs w:val="21"/>
              </w:rPr>
            </w:pPr>
            <w:r>
              <w:rPr>
                <w:rFonts w:ascii="宋体" w:hAnsi="宋体" w:cs="宋体" w:hint="eastAsia"/>
                <w:kern w:val="0"/>
                <w:szCs w:val="21"/>
              </w:rPr>
              <w:t>中国（上海）自由贸易试验区陆家嘴环路</w:t>
            </w:r>
            <w:r>
              <w:rPr>
                <w:rFonts w:ascii="宋体" w:hAnsi="宋体" w:cs="宋体" w:hint="eastAsia"/>
                <w:kern w:val="0"/>
                <w:szCs w:val="21"/>
              </w:rPr>
              <w:t>1318</w:t>
            </w:r>
            <w:r>
              <w:rPr>
                <w:rFonts w:ascii="宋体" w:hAnsi="宋体" w:cs="宋体" w:hint="eastAsia"/>
                <w:kern w:val="0"/>
                <w:szCs w:val="21"/>
              </w:rPr>
              <w:t>号</w:t>
            </w:r>
            <w:r>
              <w:rPr>
                <w:rFonts w:ascii="宋体" w:hAnsi="宋体" w:cs="宋体" w:hint="eastAsia"/>
                <w:kern w:val="0"/>
                <w:szCs w:val="21"/>
              </w:rPr>
              <w:t>1806A</w:t>
            </w:r>
            <w:r>
              <w:rPr>
                <w:rFonts w:ascii="宋体" w:hAnsi="宋体" w:cs="宋体" w:hint="eastAsia"/>
                <w:kern w:val="0"/>
                <w:szCs w:val="21"/>
              </w:rPr>
              <w:t>单元</w:t>
            </w:r>
          </w:p>
        </w:tc>
      </w:tr>
      <w:tr w:rsidR="00BF38BB" w14:paraId="1A5A0DB2"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FFDCFE"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办公地址</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CDCDB9" w14:textId="77777777" w:rsidR="00BF38BB" w:rsidRDefault="002837D7">
            <w:pPr>
              <w:widowControl/>
              <w:rPr>
                <w:rFonts w:ascii="宋体" w:hAnsi="宋体" w:cs="宋体"/>
                <w:color w:val="000000"/>
                <w:kern w:val="0"/>
                <w:szCs w:val="21"/>
              </w:rPr>
            </w:pPr>
            <w:r>
              <w:rPr>
                <w:rFonts w:ascii="宋体" w:hAnsi="宋体" w:cs="宋体" w:hint="eastAsia"/>
                <w:kern w:val="0"/>
                <w:szCs w:val="21"/>
              </w:rPr>
              <w:t>北京市朝阳区建国门外大街</w:t>
            </w:r>
            <w:r>
              <w:rPr>
                <w:rFonts w:ascii="Calibri" w:hAnsi="Calibri" w:cs="宋体"/>
                <w:kern w:val="0"/>
                <w:szCs w:val="21"/>
              </w:rPr>
              <w:t>21</w:t>
            </w:r>
            <w:r>
              <w:rPr>
                <w:rFonts w:ascii="宋体" w:hAnsi="宋体" w:cs="宋体" w:hint="eastAsia"/>
                <w:kern w:val="0"/>
                <w:szCs w:val="21"/>
              </w:rPr>
              <w:t>号北京国际俱乐部</w:t>
            </w:r>
            <w:r>
              <w:rPr>
                <w:rFonts w:ascii="Calibri" w:hAnsi="Calibri" w:cs="宋体"/>
                <w:kern w:val="0"/>
                <w:szCs w:val="21"/>
              </w:rPr>
              <w:t>C</w:t>
            </w:r>
            <w:r>
              <w:rPr>
                <w:rFonts w:ascii="宋体" w:hAnsi="宋体" w:cs="宋体" w:hint="eastAsia"/>
                <w:kern w:val="0"/>
                <w:szCs w:val="21"/>
              </w:rPr>
              <w:t>座写字楼</w:t>
            </w:r>
            <w:r>
              <w:rPr>
                <w:rFonts w:ascii="Calibri" w:hAnsi="Calibri" w:cs="宋体"/>
                <w:kern w:val="0"/>
                <w:szCs w:val="21"/>
              </w:rPr>
              <w:t>12A</w:t>
            </w:r>
            <w:r>
              <w:rPr>
                <w:rFonts w:ascii="宋体" w:hAnsi="宋体" w:cs="宋体" w:hint="eastAsia"/>
                <w:kern w:val="0"/>
                <w:szCs w:val="21"/>
              </w:rPr>
              <w:t>层</w:t>
            </w:r>
          </w:p>
        </w:tc>
      </w:tr>
      <w:tr w:rsidR="00BF38BB" w14:paraId="79CBBC4B"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C3731"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法定代表人</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6DF7E4" w14:textId="77777777" w:rsidR="00BF38BB" w:rsidRDefault="002837D7">
            <w:pPr>
              <w:widowControl/>
              <w:rPr>
                <w:rFonts w:ascii="宋体" w:hAnsi="宋体" w:cs="宋体"/>
                <w:color w:val="000000"/>
                <w:kern w:val="0"/>
                <w:szCs w:val="21"/>
              </w:rPr>
            </w:pPr>
            <w:r>
              <w:rPr>
                <w:rFonts w:ascii="宋体" w:hAnsi="宋体" w:cs="宋体" w:hint="eastAsia"/>
                <w:kern w:val="0"/>
                <w:szCs w:val="21"/>
              </w:rPr>
              <w:t>经雷</w:t>
            </w:r>
          </w:p>
        </w:tc>
      </w:tr>
      <w:tr w:rsidR="00BF38BB" w14:paraId="4E6F58B0"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37A9E"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成立日期</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83AC21" w14:textId="77777777" w:rsidR="00BF38BB" w:rsidRDefault="002837D7">
            <w:pPr>
              <w:widowControl/>
              <w:rPr>
                <w:rFonts w:ascii="宋体" w:hAnsi="宋体" w:cs="宋体"/>
                <w:color w:val="000000"/>
                <w:kern w:val="0"/>
                <w:szCs w:val="21"/>
              </w:rPr>
            </w:pPr>
            <w:r>
              <w:rPr>
                <w:rFonts w:ascii="Calibri" w:hAnsi="Calibri" w:cs="宋体"/>
                <w:kern w:val="0"/>
                <w:szCs w:val="21"/>
              </w:rPr>
              <w:t>1999</w:t>
            </w:r>
            <w:r>
              <w:rPr>
                <w:rFonts w:ascii="宋体" w:hAnsi="宋体" w:cs="宋体" w:hint="eastAsia"/>
                <w:kern w:val="0"/>
                <w:szCs w:val="21"/>
              </w:rPr>
              <w:t>年</w:t>
            </w:r>
            <w:r>
              <w:rPr>
                <w:rFonts w:ascii="Calibri" w:hAnsi="Calibri" w:cs="宋体"/>
                <w:kern w:val="0"/>
                <w:szCs w:val="21"/>
              </w:rPr>
              <w:t>3</w:t>
            </w:r>
            <w:r>
              <w:rPr>
                <w:rFonts w:ascii="宋体" w:hAnsi="宋体" w:cs="宋体" w:hint="eastAsia"/>
                <w:kern w:val="0"/>
                <w:szCs w:val="21"/>
              </w:rPr>
              <w:t>月</w:t>
            </w:r>
            <w:r>
              <w:rPr>
                <w:rFonts w:ascii="Calibri" w:hAnsi="Calibri" w:cs="宋体"/>
                <w:kern w:val="0"/>
                <w:szCs w:val="21"/>
              </w:rPr>
              <w:t>25</w:t>
            </w:r>
            <w:r>
              <w:rPr>
                <w:rFonts w:ascii="宋体" w:hAnsi="宋体" w:cs="宋体" w:hint="eastAsia"/>
                <w:kern w:val="0"/>
                <w:szCs w:val="21"/>
              </w:rPr>
              <w:t>日</w:t>
            </w:r>
          </w:p>
        </w:tc>
      </w:tr>
      <w:tr w:rsidR="00BF38BB" w14:paraId="5845C05D"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AA2497"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注册资本</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4A87BA" w14:textId="77777777" w:rsidR="00BF38BB" w:rsidRDefault="002837D7">
            <w:pPr>
              <w:widowControl/>
              <w:rPr>
                <w:rFonts w:ascii="宋体" w:hAnsi="宋体" w:cs="宋体"/>
                <w:color w:val="000000"/>
                <w:kern w:val="0"/>
                <w:szCs w:val="21"/>
              </w:rPr>
            </w:pPr>
            <w:r>
              <w:rPr>
                <w:rFonts w:ascii="Calibri" w:hAnsi="Calibri" w:cs="宋体"/>
                <w:kern w:val="0"/>
                <w:szCs w:val="21"/>
              </w:rPr>
              <w:t>1.5</w:t>
            </w:r>
            <w:r>
              <w:rPr>
                <w:rFonts w:ascii="宋体" w:hAnsi="宋体" w:cs="宋体" w:hint="eastAsia"/>
                <w:kern w:val="0"/>
                <w:szCs w:val="21"/>
              </w:rPr>
              <w:t>亿元</w:t>
            </w:r>
          </w:p>
        </w:tc>
      </w:tr>
      <w:tr w:rsidR="00BF38BB" w14:paraId="2D6E2EB4"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F188CE"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股权结构</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9F237" w14:textId="77777777" w:rsidR="00BF38BB" w:rsidRDefault="002837D7">
            <w:pPr>
              <w:widowControl/>
              <w:rPr>
                <w:rFonts w:ascii="宋体" w:hAnsi="宋体" w:cs="宋体"/>
                <w:color w:val="000000"/>
                <w:kern w:val="0"/>
                <w:szCs w:val="21"/>
              </w:rPr>
            </w:pPr>
            <w:r>
              <w:rPr>
                <w:rFonts w:ascii="宋体" w:hAnsi="宋体" w:cs="宋体" w:hint="eastAsia"/>
                <w:kern w:val="0"/>
                <w:szCs w:val="21"/>
              </w:rPr>
              <w:t>中诚信托有限责任公司</w:t>
            </w:r>
            <w:r>
              <w:rPr>
                <w:rFonts w:ascii="Calibri" w:hAnsi="Calibri" w:cs="宋体"/>
                <w:kern w:val="0"/>
                <w:szCs w:val="21"/>
              </w:rPr>
              <w:t>40%</w:t>
            </w:r>
            <w:r>
              <w:rPr>
                <w:rFonts w:ascii="宋体" w:hAnsi="宋体" w:cs="宋体" w:hint="eastAsia"/>
                <w:kern w:val="0"/>
                <w:szCs w:val="21"/>
              </w:rPr>
              <w:t>，</w:t>
            </w:r>
            <w:r>
              <w:rPr>
                <w:rFonts w:ascii="Calibri" w:hAnsi="Calibri" w:cs="宋体"/>
                <w:kern w:val="0"/>
                <w:szCs w:val="21"/>
              </w:rPr>
              <w:t>DWS Investments Singapore Limited 30%</w:t>
            </w:r>
            <w:r>
              <w:rPr>
                <w:rFonts w:ascii="宋体" w:hAnsi="宋体" w:cs="宋体" w:hint="eastAsia"/>
                <w:kern w:val="0"/>
                <w:szCs w:val="21"/>
              </w:rPr>
              <w:t>，立信投资有限责任公司</w:t>
            </w:r>
            <w:r>
              <w:rPr>
                <w:rFonts w:ascii="Calibri" w:hAnsi="Calibri" w:cs="宋体"/>
                <w:kern w:val="0"/>
                <w:szCs w:val="21"/>
              </w:rPr>
              <w:t>30%</w:t>
            </w:r>
            <w:r>
              <w:rPr>
                <w:rFonts w:ascii="宋体" w:hAnsi="宋体" w:cs="宋体" w:hint="eastAsia"/>
                <w:kern w:val="0"/>
                <w:szCs w:val="21"/>
              </w:rPr>
              <w:t>。</w:t>
            </w:r>
          </w:p>
        </w:tc>
      </w:tr>
      <w:tr w:rsidR="00BF38BB" w14:paraId="16F1D218"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0279A4"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存续期间</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018902" w14:textId="77777777" w:rsidR="00BF38BB" w:rsidRDefault="002837D7">
            <w:pPr>
              <w:widowControl/>
              <w:rPr>
                <w:rFonts w:ascii="宋体" w:hAnsi="宋体" w:cs="宋体"/>
                <w:color w:val="000000"/>
                <w:kern w:val="0"/>
                <w:szCs w:val="21"/>
              </w:rPr>
            </w:pPr>
            <w:r>
              <w:rPr>
                <w:rFonts w:ascii="宋体" w:hAnsi="宋体" w:cs="宋体" w:hint="eastAsia"/>
                <w:color w:val="000000"/>
                <w:kern w:val="0"/>
                <w:szCs w:val="21"/>
              </w:rPr>
              <w:t>持续经营</w:t>
            </w:r>
          </w:p>
        </w:tc>
      </w:tr>
      <w:tr w:rsidR="00BF38BB" w14:paraId="5C18987D"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159751"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电话</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AEBE6" w14:textId="77777777" w:rsidR="00BF38BB" w:rsidRDefault="002837D7">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010</w:t>
            </w:r>
            <w:r>
              <w:rPr>
                <w:rFonts w:ascii="宋体" w:hAnsi="宋体" w:cs="宋体" w:hint="eastAsia"/>
                <w:color w:val="000000"/>
                <w:kern w:val="0"/>
                <w:szCs w:val="21"/>
              </w:rPr>
              <w:t>）</w:t>
            </w:r>
            <w:r>
              <w:rPr>
                <w:rFonts w:ascii="宋体" w:hAnsi="宋体" w:cs="宋体" w:hint="eastAsia"/>
                <w:color w:val="000000"/>
                <w:kern w:val="0"/>
                <w:szCs w:val="21"/>
              </w:rPr>
              <w:t>65215588</w:t>
            </w:r>
          </w:p>
        </w:tc>
      </w:tr>
      <w:tr w:rsidR="00BF38BB" w14:paraId="6F9EA4E3"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9EED9E"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传真</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EAA0F" w14:textId="77777777" w:rsidR="00BF38BB" w:rsidRDefault="002837D7">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010</w:t>
            </w:r>
            <w:r>
              <w:rPr>
                <w:rFonts w:ascii="宋体" w:hAnsi="宋体" w:cs="宋体" w:hint="eastAsia"/>
                <w:color w:val="000000"/>
                <w:kern w:val="0"/>
                <w:szCs w:val="21"/>
              </w:rPr>
              <w:t>）</w:t>
            </w:r>
            <w:r>
              <w:rPr>
                <w:rFonts w:ascii="宋体" w:hAnsi="宋体" w:cs="宋体" w:hint="eastAsia"/>
                <w:color w:val="000000"/>
                <w:kern w:val="0"/>
                <w:szCs w:val="21"/>
              </w:rPr>
              <w:t>65185678</w:t>
            </w:r>
          </w:p>
        </w:tc>
      </w:tr>
      <w:tr w:rsidR="00BF38BB" w14:paraId="7B2BE0D5" w14:textId="77777777">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89572" w14:textId="77777777" w:rsidR="00BF38BB" w:rsidRDefault="002837D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联系人</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A0F5B" w14:textId="77777777" w:rsidR="00BF38BB" w:rsidRDefault="002837D7">
            <w:pPr>
              <w:widowControl/>
              <w:rPr>
                <w:rFonts w:ascii="宋体" w:hAnsi="宋体" w:cs="宋体"/>
                <w:color w:val="000000"/>
                <w:kern w:val="0"/>
                <w:szCs w:val="21"/>
              </w:rPr>
            </w:pPr>
            <w:r>
              <w:rPr>
                <w:rFonts w:ascii="宋体" w:hAnsi="宋体" w:cs="宋体" w:hint="eastAsia"/>
                <w:color w:val="000000"/>
                <w:kern w:val="0"/>
                <w:szCs w:val="21"/>
              </w:rPr>
              <w:t>罗朝伟</w:t>
            </w:r>
          </w:p>
        </w:tc>
      </w:tr>
    </w:tbl>
    <w:p w14:paraId="5D5D5638" w14:textId="77777777" w:rsidR="00BF38BB" w:rsidRDefault="002837D7">
      <w:pPr>
        <w:spacing w:line="360" w:lineRule="auto"/>
        <w:ind w:firstLine="420"/>
        <w:rPr>
          <w:rFonts w:ascii="宋体" w:hAnsi="宋体"/>
          <w:color w:val="000000"/>
        </w:rPr>
      </w:pPr>
      <w:r>
        <w:rPr>
          <w:rFonts w:ascii="宋体" w:hAnsi="宋体" w:cs="宋体" w:hint="eastAsia"/>
          <w:color w:val="000000"/>
          <w:kern w:val="0"/>
          <w:szCs w:val="21"/>
        </w:rPr>
        <w:t>嘉实基金管理有限公司经中国证监会证监基金字</w:t>
      </w:r>
      <w:r>
        <w:rPr>
          <w:rFonts w:ascii="宋体" w:hAnsi="宋体" w:cs="宋体" w:hint="eastAsia"/>
          <w:color w:val="000000"/>
          <w:kern w:val="0"/>
          <w:szCs w:val="21"/>
        </w:rPr>
        <w:t>[1999]5</w:t>
      </w:r>
      <w:r>
        <w:rPr>
          <w:rFonts w:ascii="宋体" w:hAnsi="宋体" w:cs="宋体" w:hint="eastAsia"/>
          <w:color w:val="000000"/>
          <w:kern w:val="0"/>
          <w:szCs w:val="21"/>
        </w:rPr>
        <w:t>号文批准，于</w:t>
      </w:r>
      <w:r>
        <w:rPr>
          <w:rFonts w:ascii="宋体" w:hAnsi="宋体" w:cs="宋体" w:hint="eastAsia"/>
          <w:color w:val="000000"/>
          <w:kern w:val="0"/>
          <w:szCs w:val="21"/>
        </w:rPr>
        <w:t>1999</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r>
        <w:rPr>
          <w:rFonts w:ascii="宋体" w:hAnsi="宋体" w:cs="宋体" w:hint="eastAsia"/>
          <w:color w:val="000000"/>
          <w:kern w:val="0"/>
          <w:szCs w:val="21"/>
        </w:rPr>
        <w:t>25</w:t>
      </w:r>
      <w:r>
        <w:rPr>
          <w:rFonts w:ascii="宋体" w:hAnsi="宋体" w:cs="宋体" w:hint="eastAsia"/>
          <w:color w:val="000000"/>
          <w:kern w:val="0"/>
          <w:szCs w:val="21"/>
        </w:rPr>
        <w:t>日成立。公司注册地上海，总部设在北京并设北京、深圳、成都、杭州、青岛、南京、福州、广州、北京怀柔、武汉分公司。公司获得首批全国社保基金、企业年金投资管理人、</w:t>
      </w:r>
      <w:r>
        <w:rPr>
          <w:rFonts w:ascii="宋体" w:hAnsi="宋体" w:cs="宋体" w:hint="eastAsia"/>
          <w:color w:val="000000"/>
          <w:kern w:val="0"/>
          <w:szCs w:val="21"/>
        </w:rPr>
        <w:t>QDII</w:t>
      </w:r>
      <w:r>
        <w:rPr>
          <w:rFonts w:ascii="宋体" w:hAnsi="宋体" w:cs="宋体" w:hint="eastAsia"/>
          <w:color w:val="000000"/>
          <w:kern w:val="0"/>
          <w:szCs w:val="21"/>
        </w:rPr>
        <w:t>和特定资产管理</w:t>
      </w:r>
      <w:r>
        <w:rPr>
          <w:rFonts w:ascii="宋体" w:hAnsi="宋体" w:cs="宋体" w:hint="eastAsia"/>
          <w:kern w:val="0"/>
          <w:szCs w:val="21"/>
        </w:rPr>
        <w:t>业务等资</w:t>
      </w:r>
      <w:r>
        <w:rPr>
          <w:rFonts w:ascii="宋体" w:hAnsi="宋体" w:cs="宋体" w:hint="eastAsia"/>
          <w:color w:val="000000"/>
          <w:kern w:val="0"/>
          <w:szCs w:val="21"/>
        </w:rPr>
        <w:t>格。</w:t>
      </w:r>
    </w:p>
    <w:p w14:paraId="60C19282" w14:textId="77777777" w:rsidR="00BF38BB" w:rsidRDefault="002837D7">
      <w:pPr>
        <w:spacing w:line="360" w:lineRule="auto"/>
        <w:ind w:firstLine="480"/>
        <w:rPr>
          <w:rFonts w:ascii="宋体" w:hAnsi="宋体"/>
          <w:color w:val="000000"/>
        </w:rPr>
      </w:pPr>
      <w:r>
        <w:rPr>
          <w:rFonts w:ascii="宋体" w:hAnsi="宋体" w:hint="eastAsia"/>
          <w:color w:val="000000"/>
        </w:rPr>
        <w:t>（二）主要人员情况</w:t>
      </w:r>
    </w:p>
    <w:p w14:paraId="7D1E8234"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1</w:t>
      </w:r>
      <w:r>
        <w:rPr>
          <w:rFonts w:ascii="宋体" w:hAnsi="宋体" w:hint="eastAsia"/>
        </w:rPr>
        <w:t>、基金管理人董事、监事、总经理及其他高级管理人员基本情况</w:t>
      </w:r>
    </w:p>
    <w:p w14:paraId="16760432"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安国勇先生，董事长，博士研究生，中共党员。曾任中国人民财产保险股份有限公司船舶货运保险部总经理，华夏银行副行长（挂职），中国人保资产管理有限公司党委委员、副总裁，中诚信托有限责任公司党委书记、总裁。</w:t>
      </w:r>
    </w:p>
    <w:p w14:paraId="488BBD04"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王会妙女士，董事，北京大学经济学博士。曾就职于河北定州师范学院、国投信托有限责任公司。</w:t>
      </w:r>
      <w:r>
        <w:rPr>
          <w:rFonts w:ascii="宋体" w:hAnsi="宋体" w:hint="eastAsia"/>
        </w:rPr>
        <w:t>2011</w:t>
      </w:r>
      <w:r>
        <w:rPr>
          <w:rFonts w:ascii="宋体" w:hAnsi="宋体" w:hint="eastAsia"/>
        </w:rPr>
        <w:t>年</w:t>
      </w:r>
      <w:r>
        <w:rPr>
          <w:rFonts w:ascii="宋体" w:hAnsi="宋体" w:hint="eastAsia"/>
        </w:rPr>
        <w:t>5</w:t>
      </w:r>
      <w:r>
        <w:rPr>
          <w:rFonts w:ascii="宋体" w:hAnsi="宋体" w:hint="eastAsia"/>
        </w:rPr>
        <w:t>月加入中诚信托有限责任公司，曾任信托业务总部业务团队负责人（</w:t>
      </w:r>
      <w:r>
        <w:rPr>
          <w:rFonts w:ascii="宋体" w:hAnsi="宋体" w:hint="eastAsia"/>
        </w:rPr>
        <w:t>MD</w:t>
      </w:r>
      <w:r>
        <w:rPr>
          <w:rFonts w:ascii="宋体" w:hAnsi="宋体" w:hint="eastAsia"/>
        </w:rPr>
        <w:t>）、信托业务三部总经理、财富管理中心副总经理、资产配置部总经理、中诚资本管理（北京）有限公司总经理等职，现任中诚信托有限责任公司党委副书记、总裁。</w:t>
      </w:r>
    </w:p>
    <w:p w14:paraId="33DF2DE7"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Stefan Hoops</w:t>
      </w:r>
      <w:r>
        <w:rPr>
          <w:rFonts w:ascii="宋体" w:hAnsi="宋体" w:hint="eastAsia"/>
        </w:rPr>
        <w:t>先生，董事，德国籍，毕业于德国拜罗伊特大学（</w:t>
      </w:r>
      <w:r>
        <w:rPr>
          <w:rFonts w:ascii="宋体" w:hAnsi="宋体" w:hint="eastAsia"/>
        </w:rPr>
        <w:t>University of Bayreuth</w:t>
      </w:r>
      <w:r>
        <w:rPr>
          <w:rFonts w:ascii="宋体" w:hAnsi="宋体" w:hint="eastAsia"/>
        </w:rPr>
        <w:t>），获得工商管理学位及经济学博士学位。</w:t>
      </w:r>
      <w:r>
        <w:rPr>
          <w:rFonts w:ascii="宋体" w:hAnsi="宋体" w:hint="eastAsia"/>
        </w:rPr>
        <w:t>2003</w:t>
      </w:r>
      <w:r>
        <w:rPr>
          <w:rFonts w:ascii="宋体" w:hAnsi="宋体" w:hint="eastAsia"/>
        </w:rPr>
        <w:t>年加入</w:t>
      </w:r>
      <w:r>
        <w:rPr>
          <w:rFonts w:ascii="宋体" w:hAnsi="宋体" w:hint="eastAsia"/>
        </w:rPr>
        <w:t>Deutsche Bank AG</w:t>
      </w:r>
      <w:r>
        <w:rPr>
          <w:rFonts w:ascii="宋体" w:hAnsi="宋体" w:hint="eastAsia"/>
        </w:rPr>
        <w:t>（德意志银行）并担任过债券销售负责人、融资与解决方案负责人、全球市场部负责人、全球交易银行部负责人、企业银行业务全球负责人等多个职务。现</w:t>
      </w:r>
      <w:r>
        <w:rPr>
          <w:rFonts w:ascii="宋体" w:hAnsi="宋体" w:hint="eastAsia"/>
        </w:rPr>
        <w:lastRenderedPageBreak/>
        <w:t>任</w:t>
      </w:r>
      <w:r>
        <w:rPr>
          <w:rFonts w:ascii="宋体" w:hAnsi="宋体" w:hint="eastAsia"/>
        </w:rPr>
        <w:t>DWS Group GmbH &amp; Co.KGaA</w:t>
      </w:r>
      <w:r>
        <w:rPr>
          <w:rFonts w:ascii="宋体" w:hAnsi="宋体" w:hint="eastAsia"/>
        </w:rPr>
        <w:t>首席执行官、总裁部负责人、投资部联席负责人。</w:t>
      </w:r>
    </w:p>
    <w:p w14:paraId="13F0BC88"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王静雯女士，董事，毕业于明尼苏达大学（</w:t>
      </w:r>
      <w:r>
        <w:rPr>
          <w:rFonts w:ascii="宋体" w:hAnsi="宋体" w:hint="eastAsia"/>
        </w:rPr>
        <w:t>University of Minnesota</w:t>
      </w:r>
      <w:r>
        <w:rPr>
          <w:rFonts w:ascii="宋体" w:hAnsi="宋体" w:hint="eastAsia"/>
        </w:rPr>
        <w:t>），获得数学与精算硕士学位。曾于安永会计师事务所（</w:t>
      </w:r>
      <w:r>
        <w:rPr>
          <w:rFonts w:ascii="宋体" w:hAnsi="宋体" w:hint="eastAsia"/>
        </w:rPr>
        <w:t>ERNST &amp; YOUNG</w:t>
      </w:r>
      <w:r>
        <w:rPr>
          <w:rFonts w:ascii="宋体" w:hAnsi="宋体" w:hint="eastAsia"/>
        </w:rPr>
        <w:t>）担任精算咨询集团高级顾问；于美世集团（</w:t>
      </w:r>
      <w:r>
        <w:rPr>
          <w:rFonts w:ascii="宋体" w:hAnsi="宋体" w:hint="eastAsia"/>
        </w:rPr>
        <w:t>MERCER</w:t>
      </w:r>
      <w:r>
        <w:rPr>
          <w:rFonts w:ascii="宋体" w:hAnsi="宋体" w:hint="eastAsia"/>
        </w:rPr>
        <w:t>）担任首席咨询顾问，退休、风险和金融业务的合伙人兼亚洲主管；于花旗集团（</w:t>
      </w:r>
      <w:r>
        <w:rPr>
          <w:rFonts w:ascii="宋体" w:hAnsi="宋体" w:hint="eastAsia"/>
        </w:rPr>
        <w:t>CITIGROUP</w:t>
      </w:r>
      <w:r>
        <w:rPr>
          <w:rFonts w:ascii="宋体" w:hAnsi="宋体" w:hint="eastAsia"/>
        </w:rPr>
        <w:t>）担任董事总经理兼亚太区养老金、全球市场与证券服务主管；于东方汇理香港公司（</w:t>
      </w:r>
      <w:r>
        <w:rPr>
          <w:rFonts w:ascii="宋体" w:hAnsi="宋体" w:hint="eastAsia"/>
        </w:rPr>
        <w:t>Amundi Hong Kong Limited</w:t>
      </w:r>
      <w:r>
        <w:rPr>
          <w:rFonts w:ascii="宋体" w:hAnsi="宋体" w:hint="eastAsia"/>
        </w:rPr>
        <w:t>）担任董事总经理兼北亚机构业务主管；于东方汇理美国（</w:t>
      </w:r>
      <w:r>
        <w:rPr>
          <w:rFonts w:ascii="宋体" w:hAnsi="宋体" w:hint="eastAsia"/>
        </w:rPr>
        <w:t>Amundi US</w:t>
      </w:r>
      <w:r>
        <w:rPr>
          <w:rFonts w:ascii="宋体" w:hAnsi="宋体" w:hint="eastAsia"/>
        </w:rPr>
        <w:t>）担任资深董事总经理兼美国机构业务主管。于</w:t>
      </w:r>
      <w:r>
        <w:rPr>
          <w:rFonts w:ascii="宋体" w:hAnsi="宋体" w:hint="eastAsia"/>
        </w:rPr>
        <w:t>2021</w:t>
      </w:r>
      <w:r>
        <w:rPr>
          <w:rFonts w:ascii="宋体" w:hAnsi="宋体" w:hint="eastAsia"/>
        </w:rPr>
        <w:t>年</w:t>
      </w:r>
      <w:r>
        <w:rPr>
          <w:rFonts w:ascii="宋体" w:hAnsi="宋体" w:hint="eastAsia"/>
        </w:rPr>
        <w:t>9</w:t>
      </w:r>
      <w:r>
        <w:rPr>
          <w:rFonts w:ascii="宋体" w:hAnsi="宋体" w:hint="eastAsia"/>
        </w:rPr>
        <w:t>月加入德意志投资香港有限公司（</w:t>
      </w:r>
      <w:r>
        <w:rPr>
          <w:rFonts w:ascii="宋体" w:hAnsi="宋体" w:hint="eastAsia"/>
        </w:rPr>
        <w:t>DWS Inve</w:t>
      </w:r>
      <w:r>
        <w:rPr>
          <w:rFonts w:ascii="宋体" w:hAnsi="宋体" w:hint="eastAsia"/>
        </w:rPr>
        <w:t>stments Hong Kong Limited</w:t>
      </w:r>
      <w:r>
        <w:rPr>
          <w:rFonts w:ascii="宋体" w:hAnsi="宋体" w:hint="eastAsia"/>
        </w:rPr>
        <w:t>）担任</w:t>
      </w:r>
      <w:r>
        <w:rPr>
          <w:rFonts w:ascii="宋体" w:hAnsi="宋体" w:hint="eastAsia"/>
        </w:rPr>
        <w:t>DWS Group</w:t>
      </w:r>
      <w:r>
        <w:rPr>
          <w:rFonts w:ascii="宋体" w:hAnsi="宋体" w:hint="eastAsia"/>
        </w:rPr>
        <w:t>董事总经理兼亚太区客户主管，现任</w:t>
      </w:r>
      <w:r>
        <w:rPr>
          <w:rFonts w:ascii="宋体" w:hAnsi="宋体" w:hint="eastAsia"/>
        </w:rPr>
        <w:t>DWS Group GmbH &amp; Co KGaA</w:t>
      </w:r>
      <w:r>
        <w:rPr>
          <w:rFonts w:ascii="宋体" w:hAnsi="宋体" w:hint="eastAsia"/>
        </w:rPr>
        <w:t>亚太区负责人及亚太区客户部负责人，德意志投资香港有限公司（</w:t>
      </w:r>
      <w:r>
        <w:rPr>
          <w:rFonts w:ascii="宋体" w:hAnsi="宋体" w:hint="eastAsia"/>
        </w:rPr>
        <w:t>DWS Investments Hong Kong Limited</w:t>
      </w:r>
      <w:r>
        <w:rPr>
          <w:rFonts w:ascii="宋体" w:hAnsi="宋体" w:hint="eastAsia"/>
        </w:rPr>
        <w:t>）董事会主席兼董事。</w:t>
      </w:r>
    </w:p>
    <w:p w14:paraId="157D5712"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韩家乐先生，董事，清华大学经济管理学院工业企业管理专业，硕士研究生。</w:t>
      </w:r>
      <w:r>
        <w:rPr>
          <w:rFonts w:ascii="宋体" w:hAnsi="宋体" w:hint="eastAsia"/>
        </w:rPr>
        <w:t>1990</w:t>
      </w:r>
      <w:r>
        <w:rPr>
          <w:rFonts w:ascii="宋体" w:hAnsi="宋体" w:hint="eastAsia"/>
        </w:rPr>
        <w:t>年</w:t>
      </w:r>
      <w:r>
        <w:rPr>
          <w:rFonts w:ascii="宋体" w:hAnsi="宋体" w:hint="eastAsia"/>
        </w:rPr>
        <w:t>2</w:t>
      </w:r>
      <w:r>
        <w:rPr>
          <w:rFonts w:ascii="宋体" w:hAnsi="宋体" w:hint="eastAsia"/>
        </w:rPr>
        <w:t>月至</w:t>
      </w:r>
      <w:r>
        <w:rPr>
          <w:rFonts w:ascii="宋体" w:hAnsi="宋体" w:hint="eastAsia"/>
        </w:rPr>
        <w:t>2000</w:t>
      </w:r>
      <w:r>
        <w:rPr>
          <w:rFonts w:ascii="宋体" w:hAnsi="宋体" w:hint="eastAsia"/>
        </w:rPr>
        <w:t>年</w:t>
      </w:r>
      <w:r>
        <w:rPr>
          <w:rFonts w:ascii="宋体" w:hAnsi="宋体" w:hint="eastAsia"/>
        </w:rPr>
        <w:t>5</w:t>
      </w:r>
      <w:r>
        <w:rPr>
          <w:rFonts w:ascii="宋体" w:hAnsi="宋体" w:hint="eastAsia"/>
        </w:rPr>
        <w:t>月任海问证券投资咨询有限公司总经理。</w:t>
      </w:r>
      <w:r>
        <w:rPr>
          <w:rFonts w:ascii="宋体" w:hAnsi="宋体" w:hint="eastAsia"/>
        </w:rPr>
        <w:t>1994</w:t>
      </w:r>
      <w:r>
        <w:rPr>
          <w:rFonts w:ascii="宋体" w:hAnsi="宋体" w:hint="eastAsia"/>
        </w:rPr>
        <w:t>年至今任北京德恒有限责任公司总经理，</w:t>
      </w:r>
      <w:r>
        <w:rPr>
          <w:rFonts w:ascii="宋体" w:hAnsi="宋体" w:hint="eastAsia"/>
        </w:rPr>
        <w:t>2001</w:t>
      </w:r>
      <w:r>
        <w:rPr>
          <w:rFonts w:ascii="宋体" w:hAnsi="宋体" w:hint="eastAsia"/>
        </w:rPr>
        <w:t>年</w:t>
      </w:r>
      <w:r>
        <w:rPr>
          <w:rFonts w:ascii="宋体" w:hAnsi="宋体" w:hint="eastAsia"/>
        </w:rPr>
        <w:t>11</w:t>
      </w:r>
      <w:r>
        <w:rPr>
          <w:rFonts w:ascii="宋体" w:hAnsi="宋体" w:hint="eastAsia"/>
        </w:rPr>
        <w:t>月至今任立信投资有限责</w:t>
      </w:r>
      <w:r>
        <w:rPr>
          <w:rFonts w:ascii="宋体" w:hAnsi="宋体" w:hint="eastAsia"/>
        </w:rPr>
        <w:t>任公司董事长，</w:t>
      </w:r>
      <w:r>
        <w:rPr>
          <w:rFonts w:ascii="宋体" w:hAnsi="宋体" w:hint="eastAsia"/>
        </w:rPr>
        <w:t>2013</w:t>
      </w:r>
      <w:r>
        <w:rPr>
          <w:rFonts w:ascii="宋体" w:hAnsi="宋体" w:hint="eastAsia"/>
        </w:rPr>
        <w:t>年至今任麦克传感器股份有限公司董事长。</w:t>
      </w:r>
    </w:p>
    <w:p w14:paraId="048200B8"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王巍先生，独立董事，美国</w:t>
      </w:r>
      <w:r>
        <w:rPr>
          <w:rFonts w:ascii="宋体" w:hAnsi="宋体" w:hint="eastAsia"/>
        </w:rPr>
        <w:t>Fordham University</w:t>
      </w:r>
      <w:r>
        <w:rPr>
          <w:rFonts w:ascii="宋体" w:hAnsi="宋体" w:hint="eastAsia"/>
        </w:rPr>
        <w:t>经济学博士。并购公会创始会长，金融博物馆理事长。曾长期担任中欧国际工商学院和长江商学院的客座教授。</w:t>
      </w:r>
      <w:r>
        <w:rPr>
          <w:rFonts w:ascii="宋体" w:hAnsi="宋体" w:hint="eastAsia"/>
        </w:rPr>
        <w:t xml:space="preserve">2004 </w:t>
      </w:r>
      <w:r>
        <w:rPr>
          <w:rFonts w:ascii="宋体" w:hAnsi="宋体" w:hint="eastAsia"/>
        </w:rPr>
        <w:t>年主持创建了全联并购公会；</w:t>
      </w:r>
      <w:r>
        <w:rPr>
          <w:rFonts w:ascii="宋体" w:hAnsi="宋体" w:hint="eastAsia"/>
        </w:rPr>
        <w:t>2005</w:t>
      </w:r>
      <w:r>
        <w:rPr>
          <w:rFonts w:ascii="宋体" w:hAnsi="宋体" w:hint="eastAsia"/>
        </w:rPr>
        <w:t>年担任经济合作与发展组织（</w:t>
      </w:r>
      <w:r>
        <w:rPr>
          <w:rFonts w:ascii="宋体" w:hAnsi="宋体" w:hint="eastAsia"/>
        </w:rPr>
        <w:t>OECD</w:t>
      </w:r>
      <w:r>
        <w:rPr>
          <w:rFonts w:ascii="宋体" w:hAnsi="宋体" w:hint="eastAsia"/>
        </w:rPr>
        <w:t>）投资委员会专家委员，</w:t>
      </w:r>
      <w:r>
        <w:rPr>
          <w:rFonts w:ascii="宋体" w:hAnsi="宋体" w:hint="eastAsia"/>
        </w:rPr>
        <w:t>2007</w:t>
      </w:r>
      <w:r>
        <w:rPr>
          <w:rFonts w:ascii="宋体" w:hAnsi="宋体" w:hint="eastAsia"/>
        </w:rPr>
        <w:t>年起担任上海证券交易所公司治理专家委员会成员；</w:t>
      </w:r>
      <w:r>
        <w:rPr>
          <w:rFonts w:ascii="宋体" w:hAnsi="宋体" w:hint="eastAsia"/>
        </w:rPr>
        <w:t>2010</w:t>
      </w:r>
      <w:r>
        <w:rPr>
          <w:rFonts w:ascii="宋体" w:hAnsi="宋体" w:hint="eastAsia"/>
        </w:rPr>
        <w:t>年创建了系列金融博物馆，在北京、上海、天津、宁波、苏州、成都、沈阳、郑州和井冈山有十处不同主题的分馆，也参与香港金融博物馆的创建。</w:t>
      </w:r>
      <w:r>
        <w:rPr>
          <w:rFonts w:ascii="宋体" w:hAnsi="宋体" w:hint="eastAsia"/>
        </w:rPr>
        <w:t>现兼任神州数码信息服务股份有限公司独立董事、北京首创生态环保集团股份有限公司独立董事、美年大健康产业控股股份有限公司独立董事。</w:t>
      </w:r>
    </w:p>
    <w:p w14:paraId="0A6248A5"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汤欣先生，独立董事，法学博士，清华大学法学院教授、博士生导师，清华大学商法研究中心主任、清华大学全球私募股权研究院副院长。曾兼任中国证监会第一、二届并购重组审核委员会委员，中国上市公司协会第一、二届独立董事委员会主任委员、上海证券交易所第四、五届上市委员会委员。现兼任最高人民法院执行特邀咨询专家、深圳证券交易所法律专业咨询委员会委员、中国证券投资基金业协会法制工作委员会委员、中国上</w:t>
      </w:r>
      <w:r>
        <w:rPr>
          <w:rFonts w:ascii="宋体" w:hAnsi="宋体" w:hint="eastAsia"/>
        </w:rPr>
        <w:t>市公司协会学术顾问委员会委员、银行间市场交易商协会法律专业委员会委员。</w:t>
      </w:r>
    </w:p>
    <w:p w14:paraId="7789A573"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陈重先生，独立董事，博士，中共党员，现任明石创新技术集团股份有限公司董事。曾任中国企业联合会研究部副主任、主任，常务副理事长、党委副书记；重庆市人民政府副秘书长（分管金融工作）；新华基金管理股份有限公司董事长。现兼任重庆国际信托股份有限公司独立董事、中国人寿养老保险股份有限公司独立董事、深圳光韵达光电科技股份有限公司独立董事、赞同科技股份有限公司独立董事、爱美客技术发展股份有限公司董事。</w:t>
      </w:r>
    </w:p>
    <w:p w14:paraId="769D1FDD"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类承曜先生，独立董事，中共党员，中国人民大学财政</w:t>
      </w:r>
      <w:r>
        <w:rPr>
          <w:rFonts w:ascii="宋体" w:hAnsi="宋体" w:hint="eastAsia"/>
        </w:rPr>
        <w:t>金融学院财政系专业毕业，经济学博士。现任中国人民大学财政金融学院金融学教授、博士生导师、中债研究所所长，兼任</w:t>
      </w:r>
      <w:r>
        <w:rPr>
          <w:rFonts w:ascii="宋体" w:hAnsi="宋体" w:hint="eastAsia"/>
        </w:rPr>
        <w:t xml:space="preserve"> International Journal of </w:t>
      </w:r>
      <w:r>
        <w:rPr>
          <w:rFonts w:ascii="宋体" w:hAnsi="宋体" w:hint="eastAsia"/>
        </w:rPr>
        <w:lastRenderedPageBreak/>
        <w:t xml:space="preserve">Innovation and Entrepreneurship </w:t>
      </w:r>
      <w:r>
        <w:rPr>
          <w:rFonts w:ascii="宋体" w:hAnsi="宋体" w:hint="eastAsia"/>
        </w:rPr>
        <w:t>中方副主编、《投资研究》</w:t>
      </w:r>
      <w:r>
        <w:rPr>
          <w:rFonts w:ascii="宋体" w:hAnsi="宋体" w:hint="eastAsia"/>
        </w:rPr>
        <w:t xml:space="preserve"> </w:t>
      </w:r>
      <w:r>
        <w:rPr>
          <w:rFonts w:ascii="宋体" w:hAnsi="宋体" w:hint="eastAsia"/>
        </w:rPr>
        <w:t>编委会委员等职。</w:t>
      </w:r>
      <w:r>
        <w:rPr>
          <w:rFonts w:ascii="宋体" w:hAnsi="宋体" w:hint="eastAsia"/>
        </w:rPr>
        <w:t>2020</w:t>
      </w:r>
      <w:r>
        <w:rPr>
          <w:rFonts w:ascii="宋体" w:hAnsi="宋体" w:hint="eastAsia"/>
        </w:rPr>
        <w:t>年受聘为财政部财政风险研究专家工作室专家。现兼任余姚农商行独立董事。</w:t>
      </w:r>
    </w:p>
    <w:p w14:paraId="04DC617E"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经雷先生，董事，总经理，财务负责人，美国佩斯大学金融学和财会专业毕业，双学士，特许金融分析师（</w:t>
      </w:r>
      <w:r>
        <w:rPr>
          <w:rFonts w:ascii="宋体" w:hAnsi="宋体" w:hint="eastAsia"/>
        </w:rPr>
        <w:t>CFA</w:t>
      </w:r>
      <w:r>
        <w:rPr>
          <w:rFonts w:ascii="宋体" w:hAnsi="宋体" w:hint="eastAsia"/>
        </w:rPr>
        <w:t>）。</w:t>
      </w:r>
      <w:r>
        <w:rPr>
          <w:rFonts w:ascii="宋体" w:hAnsi="宋体" w:hint="eastAsia"/>
        </w:rPr>
        <w:t>1998</w:t>
      </w:r>
      <w:r>
        <w:rPr>
          <w:rFonts w:ascii="宋体" w:hAnsi="宋体" w:hint="eastAsia"/>
        </w:rPr>
        <w:t>年</w:t>
      </w:r>
      <w:r>
        <w:rPr>
          <w:rFonts w:ascii="宋体" w:hAnsi="宋体" w:hint="eastAsia"/>
        </w:rPr>
        <w:t>6</w:t>
      </w:r>
      <w:r>
        <w:rPr>
          <w:rFonts w:ascii="宋体" w:hAnsi="宋体" w:hint="eastAsia"/>
        </w:rPr>
        <w:t>月至</w:t>
      </w:r>
      <w:r>
        <w:rPr>
          <w:rFonts w:ascii="宋体" w:hAnsi="宋体" w:hint="eastAsia"/>
        </w:rPr>
        <w:t>2008</w:t>
      </w:r>
      <w:r>
        <w:rPr>
          <w:rFonts w:ascii="宋体" w:hAnsi="宋体" w:hint="eastAsia"/>
        </w:rPr>
        <w:t>年</w:t>
      </w:r>
      <w:r>
        <w:rPr>
          <w:rFonts w:ascii="宋体" w:hAnsi="宋体" w:hint="eastAsia"/>
        </w:rPr>
        <w:t>5</w:t>
      </w:r>
      <w:r>
        <w:rPr>
          <w:rFonts w:ascii="宋体" w:hAnsi="宋体" w:hint="eastAsia"/>
        </w:rPr>
        <w:t>月在美国国际集团（</w:t>
      </w:r>
      <w:r>
        <w:rPr>
          <w:rFonts w:ascii="宋体" w:hAnsi="宋体" w:hint="eastAsia"/>
        </w:rPr>
        <w:t>AIG</w:t>
      </w:r>
      <w:r>
        <w:rPr>
          <w:rFonts w:ascii="宋体" w:hAnsi="宋体" w:hint="eastAsia"/>
        </w:rPr>
        <w:t>）国际投资公</w:t>
      </w:r>
      <w:r>
        <w:rPr>
          <w:rFonts w:ascii="宋体" w:hAnsi="宋体" w:hint="eastAsia"/>
        </w:rPr>
        <w:t>司美国纽约总部从事研究投资工作；</w:t>
      </w:r>
      <w:r>
        <w:rPr>
          <w:rFonts w:ascii="宋体" w:hAnsi="宋体" w:hint="eastAsia"/>
        </w:rPr>
        <w:t>2008</w:t>
      </w:r>
      <w:r>
        <w:rPr>
          <w:rFonts w:ascii="宋体" w:hAnsi="宋体" w:hint="eastAsia"/>
        </w:rPr>
        <w:t>年</w:t>
      </w:r>
      <w:r>
        <w:rPr>
          <w:rFonts w:ascii="宋体" w:hAnsi="宋体" w:hint="eastAsia"/>
        </w:rPr>
        <w:t>5</w:t>
      </w:r>
      <w:r>
        <w:rPr>
          <w:rFonts w:ascii="宋体" w:hAnsi="宋体" w:hint="eastAsia"/>
        </w:rPr>
        <w:t>月至</w:t>
      </w:r>
      <w:r>
        <w:rPr>
          <w:rFonts w:ascii="宋体" w:hAnsi="宋体" w:hint="eastAsia"/>
        </w:rPr>
        <w:t>2013</w:t>
      </w:r>
      <w:r>
        <w:rPr>
          <w:rFonts w:ascii="宋体" w:hAnsi="宋体" w:hint="eastAsia"/>
        </w:rPr>
        <w:t>年</w:t>
      </w:r>
      <w:r>
        <w:rPr>
          <w:rFonts w:ascii="宋体" w:hAnsi="宋体" w:hint="eastAsia"/>
        </w:rPr>
        <w:t>9</w:t>
      </w:r>
      <w:r>
        <w:rPr>
          <w:rFonts w:ascii="宋体" w:hAnsi="宋体" w:hint="eastAsia"/>
        </w:rPr>
        <w:t>月，历任友邦保险中国区资产管理中心副总监、首席投资总监及资产管理中心负责人；</w:t>
      </w:r>
      <w:r>
        <w:rPr>
          <w:rFonts w:ascii="宋体" w:hAnsi="宋体" w:hint="eastAsia"/>
        </w:rPr>
        <w:t>2013</w:t>
      </w:r>
      <w:r>
        <w:rPr>
          <w:rFonts w:ascii="宋体" w:hAnsi="宋体" w:hint="eastAsia"/>
        </w:rPr>
        <w:t>年</w:t>
      </w:r>
      <w:r>
        <w:rPr>
          <w:rFonts w:ascii="宋体" w:hAnsi="宋体" w:hint="eastAsia"/>
        </w:rPr>
        <w:t>10</w:t>
      </w:r>
      <w:r>
        <w:rPr>
          <w:rFonts w:ascii="宋体" w:hAnsi="宋体" w:hint="eastAsia"/>
        </w:rPr>
        <w:t>月入职嘉实基金管理有限公司，</w:t>
      </w:r>
      <w:r>
        <w:rPr>
          <w:rFonts w:ascii="宋体" w:hAnsi="宋体" w:hint="eastAsia"/>
        </w:rPr>
        <w:t>2013</w:t>
      </w:r>
      <w:r>
        <w:rPr>
          <w:rFonts w:ascii="宋体" w:hAnsi="宋体" w:hint="eastAsia"/>
        </w:rPr>
        <w:t>年</w:t>
      </w:r>
      <w:r>
        <w:rPr>
          <w:rFonts w:ascii="宋体" w:hAnsi="宋体" w:hint="eastAsia"/>
        </w:rPr>
        <w:t>10</w:t>
      </w:r>
      <w:r>
        <w:rPr>
          <w:rFonts w:ascii="宋体" w:hAnsi="宋体" w:hint="eastAsia"/>
        </w:rPr>
        <w:t>月至</w:t>
      </w:r>
      <w:r>
        <w:rPr>
          <w:rFonts w:ascii="宋体" w:hAnsi="宋体" w:hint="eastAsia"/>
        </w:rPr>
        <w:t>2018</w:t>
      </w:r>
      <w:r>
        <w:rPr>
          <w:rFonts w:ascii="宋体" w:hAnsi="宋体" w:hint="eastAsia"/>
        </w:rPr>
        <w:t>年</w:t>
      </w:r>
      <w:r>
        <w:rPr>
          <w:rFonts w:ascii="宋体" w:hAnsi="宋体" w:hint="eastAsia"/>
        </w:rPr>
        <w:t>3</w:t>
      </w:r>
      <w:r>
        <w:rPr>
          <w:rFonts w:ascii="宋体" w:hAnsi="宋体" w:hint="eastAsia"/>
        </w:rPr>
        <w:t>月任机构投资和固定收益业务首席投资官；</w:t>
      </w:r>
      <w:r>
        <w:rPr>
          <w:rFonts w:ascii="宋体" w:hAnsi="宋体" w:hint="eastAsia"/>
        </w:rPr>
        <w:t>2018</w:t>
      </w:r>
      <w:r>
        <w:rPr>
          <w:rFonts w:ascii="宋体" w:hAnsi="宋体" w:hint="eastAsia"/>
        </w:rPr>
        <w:t>年</w:t>
      </w:r>
      <w:r>
        <w:rPr>
          <w:rFonts w:ascii="宋体" w:hAnsi="宋体" w:hint="eastAsia"/>
        </w:rPr>
        <w:t>3</w:t>
      </w:r>
      <w:r>
        <w:rPr>
          <w:rFonts w:ascii="宋体" w:hAnsi="宋体" w:hint="eastAsia"/>
        </w:rPr>
        <w:t>月至今任嘉实基金管理有限公司总经理；</w:t>
      </w:r>
      <w:r>
        <w:rPr>
          <w:rFonts w:ascii="宋体" w:hAnsi="宋体" w:hint="eastAsia"/>
        </w:rPr>
        <w:t>2018</w:t>
      </w:r>
      <w:r>
        <w:rPr>
          <w:rFonts w:ascii="宋体" w:hAnsi="宋体" w:hint="eastAsia"/>
        </w:rPr>
        <w:t>年</w:t>
      </w:r>
      <w:r>
        <w:rPr>
          <w:rFonts w:ascii="宋体" w:hAnsi="宋体" w:hint="eastAsia"/>
        </w:rPr>
        <w:t>10</w:t>
      </w:r>
      <w:r>
        <w:rPr>
          <w:rFonts w:ascii="宋体" w:hAnsi="宋体" w:hint="eastAsia"/>
        </w:rPr>
        <w:t>月至今任嘉实基金管理有限公司董事、总经理。</w:t>
      </w:r>
    </w:p>
    <w:p w14:paraId="1594CA29"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沈树忠先生，监事长，正高级会计师，管理学硕士。曾任中国糖业酒类集团公司财务部科员、财务部副经理、审计部经理、财务部经理、财务总监、副总经理、常务副总经理（主持工</w:t>
      </w:r>
      <w:r>
        <w:rPr>
          <w:rFonts w:ascii="宋体" w:hAnsi="宋体" w:hint="eastAsia"/>
        </w:rPr>
        <w:t>作）、法定代表人；兼任北京华堂商场有限公司董事、中日合资成都伊藤洋华堂商场有限公司副董事长、酒鬼酒股份有限公司董事。现任中诚信托有限责任公司财务总监。</w:t>
      </w:r>
    </w:p>
    <w:p w14:paraId="081C40E5"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穆群先生，监事，经济师，硕士研究生。曾任西安电子科技大学助教，长安信息产业（集团）股份有限公司董事会秘书，北京德恒有限责任公司财务主管，立信投资有限公司财务总监。现任立信投资有限公司监事。</w:t>
      </w:r>
    </w:p>
    <w:p w14:paraId="3EF234EF"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高华女士，监事，法学硕士，中共党员。</w:t>
      </w:r>
      <w:r>
        <w:rPr>
          <w:rFonts w:ascii="宋体" w:hAnsi="宋体" w:hint="eastAsia"/>
        </w:rPr>
        <w:t>2006</w:t>
      </w:r>
      <w:r>
        <w:rPr>
          <w:rFonts w:ascii="宋体" w:hAnsi="宋体" w:hint="eastAsia"/>
        </w:rPr>
        <w:t>年</w:t>
      </w:r>
      <w:r>
        <w:rPr>
          <w:rFonts w:ascii="宋体" w:hAnsi="宋体" w:hint="eastAsia"/>
        </w:rPr>
        <w:t>9</w:t>
      </w:r>
      <w:r>
        <w:rPr>
          <w:rFonts w:ascii="宋体" w:hAnsi="宋体" w:hint="eastAsia"/>
        </w:rPr>
        <w:t>月至</w:t>
      </w:r>
      <w:r>
        <w:rPr>
          <w:rFonts w:ascii="宋体" w:hAnsi="宋体" w:hint="eastAsia"/>
        </w:rPr>
        <w:t>2010</w:t>
      </w:r>
      <w:r>
        <w:rPr>
          <w:rFonts w:ascii="宋体" w:hAnsi="宋体" w:hint="eastAsia"/>
        </w:rPr>
        <w:t>年</w:t>
      </w:r>
      <w:r>
        <w:rPr>
          <w:rFonts w:ascii="宋体" w:hAnsi="宋体" w:hint="eastAsia"/>
        </w:rPr>
        <w:t>7</w:t>
      </w:r>
      <w:r>
        <w:rPr>
          <w:rFonts w:ascii="宋体" w:hAnsi="宋体" w:hint="eastAsia"/>
        </w:rPr>
        <w:t>月任安永华明会计师事务所高级审计师，</w:t>
      </w:r>
      <w:r>
        <w:rPr>
          <w:rFonts w:ascii="宋体" w:hAnsi="宋体" w:hint="eastAsia"/>
        </w:rPr>
        <w:t>2010</w:t>
      </w:r>
      <w:r>
        <w:rPr>
          <w:rFonts w:ascii="宋体" w:hAnsi="宋体" w:hint="eastAsia"/>
        </w:rPr>
        <w:t>年</w:t>
      </w:r>
      <w:r>
        <w:rPr>
          <w:rFonts w:ascii="宋体" w:hAnsi="宋体" w:hint="eastAsia"/>
        </w:rPr>
        <w:t>7</w:t>
      </w:r>
      <w:r>
        <w:rPr>
          <w:rFonts w:ascii="宋体" w:hAnsi="宋体" w:hint="eastAsia"/>
        </w:rPr>
        <w:t>月至</w:t>
      </w:r>
      <w:r>
        <w:rPr>
          <w:rFonts w:ascii="宋体" w:hAnsi="宋体" w:hint="eastAsia"/>
        </w:rPr>
        <w:t>2011</w:t>
      </w:r>
      <w:r>
        <w:rPr>
          <w:rFonts w:ascii="宋体" w:hAnsi="宋体" w:hint="eastAsia"/>
        </w:rPr>
        <w:t>年</w:t>
      </w:r>
      <w:r>
        <w:rPr>
          <w:rFonts w:ascii="宋体" w:hAnsi="宋体" w:hint="eastAsia"/>
        </w:rPr>
        <w:t>1</w:t>
      </w:r>
      <w:r>
        <w:rPr>
          <w:rFonts w:ascii="宋体" w:hAnsi="宋体" w:hint="eastAsia"/>
        </w:rPr>
        <w:t>月任联想（北京）有限公司流程分析师，</w:t>
      </w:r>
      <w:r>
        <w:rPr>
          <w:rFonts w:ascii="宋体" w:hAnsi="宋体" w:hint="eastAsia"/>
        </w:rPr>
        <w:t>201</w:t>
      </w:r>
      <w:r>
        <w:rPr>
          <w:rFonts w:ascii="宋体" w:hAnsi="宋体" w:hint="eastAsia"/>
        </w:rPr>
        <w:t>1</w:t>
      </w:r>
      <w:r>
        <w:rPr>
          <w:rFonts w:ascii="宋体" w:hAnsi="宋体" w:hint="eastAsia"/>
        </w:rPr>
        <w:t>年</w:t>
      </w:r>
      <w:r>
        <w:rPr>
          <w:rFonts w:ascii="宋体" w:hAnsi="宋体" w:hint="eastAsia"/>
        </w:rPr>
        <w:t>1</w:t>
      </w:r>
      <w:r>
        <w:rPr>
          <w:rFonts w:ascii="宋体" w:hAnsi="宋体" w:hint="eastAsia"/>
        </w:rPr>
        <w:t>月至</w:t>
      </w:r>
      <w:r>
        <w:rPr>
          <w:rFonts w:ascii="宋体" w:hAnsi="宋体" w:hint="eastAsia"/>
        </w:rPr>
        <w:t>2013</w:t>
      </w:r>
      <w:r>
        <w:rPr>
          <w:rFonts w:ascii="宋体" w:hAnsi="宋体" w:hint="eastAsia"/>
        </w:rPr>
        <w:t>年</w:t>
      </w:r>
      <w:r>
        <w:rPr>
          <w:rFonts w:ascii="宋体" w:hAnsi="宋体" w:hint="eastAsia"/>
        </w:rPr>
        <w:t>11</w:t>
      </w:r>
      <w:r>
        <w:rPr>
          <w:rFonts w:ascii="宋体" w:hAnsi="宋体" w:hint="eastAsia"/>
        </w:rPr>
        <w:t>月任银华基金管理有限公司监察稽核部内审主管。</w:t>
      </w:r>
      <w:r>
        <w:rPr>
          <w:rFonts w:ascii="宋体" w:hAnsi="宋体" w:hint="eastAsia"/>
        </w:rPr>
        <w:t>2013</w:t>
      </w:r>
      <w:r>
        <w:rPr>
          <w:rFonts w:ascii="宋体" w:hAnsi="宋体" w:hint="eastAsia"/>
        </w:rPr>
        <w:t>年</w:t>
      </w:r>
      <w:r>
        <w:rPr>
          <w:rFonts w:ascii="宋体" w:hAnsi="宋体" w:hint="eastAsia"/>
        </w:rPr>
        <w:t>11</w:t>
      </w:r>
      <w:r>
        <w:rPr>
          <w:rFonts w:ascii="宋体" w:hAnsi="宋体" w:hint="eastAsia"/>
        </w:rPr>
        <w:t>月加入嘉实基金管理有限公司，曾任合规管理部稽核组总监，现任人力资源总监兼董事会办公室主任。</w:t>
      </w:r>
    </w:p>
    <w:p w14:paraId="6CE580F3"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马莲女士，监事，法学博士，中共党员。曾任北京市竞天公诚律师事务所律师，法国基德律师事务所北京代表处法律顾问，北京天驰律师事务所律师、合伙人。</w:t>
      </w:r>
      <w:r>
        <w:rPr>
          <w:rFonts w:ascii="宋体" w:hAnsi="宋体" w:hint="eastAsia"/>
        </w:rPr>
        <w:t>2013</w:t>
      </w:r>
      <w:r>
        <w:rPr>
          <w:rFonts w:ascii="宋体" w:hAnsi="宋体" w:hint="eastAsia"/>
        </w:rPr>
        <w:t>年</w:t>
      </w:r>
      <w:r>
        <w:rPr>
          <w:rFonts w:ascii="宋体" w:hAnsi="宋体" w:hint="eastAsia"/>
        </w:rPr>
        <w:t>9</w:t>
      </w:r>
      <w:r>
        <w:rPr>
          <w:rFonts w:ascii="宋体" w:hAnsi="宋体" w:hint="eastAsia"/>
        </w:rPr>
        <w:t>月加入嘉实资本管理有限公司，历任法律合规总监、首席风控官。</w:t>
      </w:r>
      <w:r>
        <w:rPr>
          <w:rFonts w:ascii="宋体" w:hAnsi="宋体" w:hint="eastAsia"/>
        </w:rPr>
        <w:t>2020</w:t>
      </w:r>
      <w:r>
        <w:rPr>
          <w:rFonts w:ascii="宋体" w:hAnsi="宋体" w:hint="eastAsia"/>
        </w:rPr>
        <w:t>年</w:t>
      </w:r>
      <w:r>
        <w:rPr>
          <w:rFonts w:ascii="宋体" w:hAnsi="宋体" w:hint="eastAsia"/>
        </w:rPr>
        <w:t>6</w:t>
      </w:r>
      <w:r>
        <w:rPr>
          <w:rFonts w:ascii="宋体" w:hAnsi="宋体" w:hint="eastAsia"/>
        </w:rPr>
        <w:t>月至</w:t>
      </w: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月任嘉实财富管理有限公司副总经理、风控合规负责人。现任嘉实基金管理有限公司审计部总监。</w:t>
      </w:r>
    </w:p>
    <w:p w14:paraId="3B90D919"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郭松先生，督</w:t>
      </w:r>
      <w:r>
        <w:rPr>
          <w:rFonts w:ascii="宋体" w:hAnsi="宋体" w:hint="eastAsia"/>
        </w:rPr>
        <w:t>察长，硕士研究生。曾任职于国家外汇管理局、中汇储投资有限责任公司、国新国际投资有限公司。</w:t>
      </w:r>
      <w:r>
        <w:rPr>
          <w:rFonts w:ascii="宋体" w:hAnsi="宋体" w:hint="eastAsia"/>
        </w:rPr>
        <w:t>2019</w:t>
      </w:r>
      <w:r>
        <w:rPr>
          <w:rFonts w:ascii="宋体" w:hAnsi="宋体" w:hint="eastAsia"/>
        </w:rPr>
        <w:t>年</w:t>
      </w:r>
      <w:r>
        <w:rPr>
          <w:rFonts w:ascii="宋体" w:hAnsi="宋体" w:hint="eastAsia"/>
        </w:rPr>
        <w:t>12</w:t>
      </w:r>
      <w:r>
        <w:rPr>
          <w:rFonts w:ascii="宋体" w:hAnsi="宋体" w:hint="eastAsia"/>
        </w:rPr>
        <w:t>月加入嘉实基金管理有限公司，现任公司督察长。</w:t>
      </w:r>
    </w:p>
    <w:p w14:paraId="00B15FB0" w14:textId="77777777" w:rsidR="00BF38BB" w:rsidRDefault="002837D7">
      <w:pPr>
        <w:autoSpaceDE w:val="0"/>
        <w:autoSpaceDN w:val="0"/>
        <w:adjustRightInd w:val="0"/>
        <w:spacing w:line="360" w:lineRule="auto"/>
        <w:ind w:firstLineChars="200" w:firstLine="420"/>
        <w:rPr>
          <w:rFonts w:ascii="宋体" w:hAnsi="宋体"/>
        </w:rPr>
      </w:pPr>
      <w:bookmarkStart w:id="35" w:name="_GoBack"/>
      <w:bookmarkEnd w:id="35"/>
      <w:r>
        <w:rPr>
          <w:rFonts w:ascii="宋体" w:hAnsi="宋体" w:hint="eastAsia"/>
        </w:rPr>
        <w:t>姚志鹏先生，副总经理，硕士研究生。</w:t>
      </w:r>
      <w:r>
        <w:rPr>
          <w:rFonts w:ascii="宋体" w:hAnsi="宋体" w:hint="eastAsia"/>
        </w:rPr>
        <w:t>2011</w:t>
      </w:r>
      <w:r>
        <w:rPr>
          <w:rFonts w:ascii="宋体" w:hAnsi="宋体" w:hint="eastAsia"/>
        </w:rPr>
        <w:t>年加入嘉实基金管理有限公司，曾任股票研究部研究员、基金经理、成长风格投资总监兼权益投资部总监，现任公司副总经理。</w:t>
      </w:r>
    </w:p>
    <w:p w14:paraId="73459D73"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鲁令飞先生，副总经理，硕士研究生。</w:t>
      </w:r>
      <w:r>
        <w:rPr>
          <w:rFonts w:ascii="宋体" w:hAnsi="宋体" w:hint="eastAsia"/>
        </w:rPr>
        <w:t>2000</w:t>
      </w:r>
      <w:r>
        <w:rPr>
          <w:rFonts w:ascii="宋体" w:hAnsi="宋体" w:hint="eastAsia"/>
        </w:rPr>
        <w:t>年</w:t>
      </w:r>
      <w:r>
        <w:rPr>
          <w:rFonts w:ascii="宋体" w:hAnsi="宋体" w:hint="eastAsia"/>
        </w:rPr>
        <w:t>10</w:t>
      </w:r>
      <w:r>
        <w:rPr>
          <w:rFonts w:ascii="宋体" w:hAnsi="宋体" w:hint="eastAsia"/>
        </w:rPr>
        <w:t>月加入嘉实基金管理有限公司，历任机构业务部机构销售、保险业务部总监、机构销售业务板块负责人，现任公司副总经理、首席市场官。</w:t>
      </w:r>
    </w:p>
    <w:p w14:paraId="50B6397A"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张敏女士，副总经理，博士研究生。</w:t>
      </w:r>
      <w:r>
        <w:rPr>
          <w:rFonts w:ascii="宋体" w:hAnsi="宋体" w:hint="eastAsia"/>
        </w:rPr>
        <w:t>2010</w:t>
      </w:r>
      <w:r>
        <w:rPr>
          <w:rFonts w:ascii="宋体" w:hAnsi="宋体" w:hint="eastAsia"/>
        </w:rPr>
        <w:t>年</w:t>
      </w:r>
      <w:r>
        <w:rPr>
          <w:rFonts w:ascii="宋体" w:hAnsi="宋体" w:hint="eastAsia"/>
        </w:rPr>
        <w:t>3</w:t>
      </w:r>
      <w:r>
        <w:rPr>
          <w:rFonts w:ascii="宋体" w:hAnsi="宋体" w:hint="eastAsia"/>
        </w:rPr>
        <w:t>月加入嘉实基金管理有限公司，历任风险管理部副总监、总监、首席风险官，现任公司副总经理、养老首席投资官。</w:t>
      </w:r>
    </w:p>
    <w:p w14:paraId="79C7E6BE"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lastRenderedPageBreak/>
        <w:t>刘伟先生，首席信息官，硕士研究生。</w:t>
      </w:r>
      <w:r>
        <w:rPr>
          <w:rFonts w:ascii="宋体" w:hAnsi="宋体" w:hint="eastAsia"/>
        </w:rPr>
        <w:t>2</w:t>
      </w:r>
      <w:r>
        <w:rPr>
          <w:rFonts w:ascii="宋体" w:hAnsi="宋体" w:hint="eastAsia"/>
        </w:rPr>
        <w:t>010</w:t>
      </w:r>
      <w:r>
        <w:rPr>
          <w:rFonts w:ascii="宋体" w:hAnsi="宋体" w:hint="eastAsia"/>
        </w:rPr>
        <w:t>年</w:t>
      </w:r>
      <w:r>
        <w:rPr>
          <w:rFonts w:ascii="宋体" w:hAnsi="宋体" w:hint="eastAsia"/>
        </w:rPr>
        <w:t>4</w:t>
      </w:r>
      <w:r>
        <w:rPr>
          <w:rFonts w:ascii="宋体" w:hAnsi="宋体" w:hint="eastAsia"/>
        </w:rPr>
        <w:t>月加入嘉实基金管理有限公司，历任信息技术部高级软件工程师、</w:t>
      </w:r>
      <w:r>
        <w:rPr>
          <w:rFonts w:ascii="宋体" w:hAnsi="宋体" w:hint="eastAsia"/>
        </w:rPr>
        <w:t>C-Lab</w:t>
      </w:r>
      <w:r>
        <w:rPr>
          <w:rFonts w:ascii="宋体" w:hAnsi="宋体" w:hint="eastAsia"/>
        </w:rPr>
        <w:t>科技总监、数字业务部总监，现任公司首席信息官。</w:t>
      </w:r>
    </w:p>
    <w:p w14:paraId="04EBF6AC" w14:textId="77777777" w:rsidR="00BF38BB" w:rsidRDefault="002837D7">
      <w:pPr>
        <w:spacing w:line="360" w:lineRule="auto"/>
        <w:ind w:firstLine="480"/>
        <w:rPr>
          <w:rFonts w:ascii="宋体" w:hAnsi="宋体"/>
          <w:color w:val="000000"/>
        </w:rPr>
      </w:pPr>
      <w:r>
        <w:rPr>
          <w:rFonts w:ascii="宋体" w:hAnsi="宋体" w:hint="eastAsia"/>
          <w:color w:val="000000"/>
        </w:rPr>
        <w:t>2</w:t>
      </w:r>
      <w:r>
        <w:rPr>
          <w:rFonts w:ascii="宋体" w:hAnsi="宋体" w:hint="eastAsia"/>
          <w:color w:val="000000"/>
        </w:rPr>
        <w:t>、投资总监</w:t>
      </w:r>
    </w:p>
    <w:p w14:paraId="6B62CA78" w14:textId="77777777" w:rsidR="00BF38BB" w:rsidRDefault="002837D7">
      <w:pPr>
        <w:spacing w:line="360" w:lineRule="auto"/>
        <w:ind w:firstLine="480"/>
        <w:rPr>
          <w:rFonts w:ascii="宋体" w:hAnsi="宋体"/>
        </w:rPr>
      </w:pPr>
      <w:r>
        <w:rPr>
          <w:rFonts w:ascii="宋体" w:hAnsi="宋体" w:hint="eastAsia"/>
        </w:rPr>
        <w:t>归凯先生，成长风格投资总监，硕士研究生。曾任国都证券研究所研究员、投资经理。</w:t>
      </w:r>
      <w:r>
        <w:rPr>
          <w:rFonts w:ascii="宋体" w:hAnsi="宋体" w:hint="eastAsia"/>
        </w:rPr>
        <w:t>2014</w:t>
      </w:r>
      <w:r>
        <w:rPr>
          <w:rFonts w:ascii="宋体" w:hAnsi="宋体" w:hint="eastAsia"/>
        </w:rPr>
        <w:t>年</w:t>
      </w:r>
      <w:r>
        <w:rPr>
          <w:rFonts w:ascii="宋体" w:hAnsi="宋体" w:hint="eastAsia"/>
        </w:rPr>
        <w:t>5</w:t>
      </w:r>
      <w:r>
        <w:rPr>
          <w:rFonts w:ascii="宋体" w:hAnsi="宋体" w:hint="eastAsia"/>
        </w:rPr>
        <w:t>月加入嘉实基金管理有限公司，曾任机构投资部投资经理、策略组投资总监。</w:t>
      </w:r>
    </w:p>
    <w:p w14:paraId="47FE6151" w14:textId="77777777" w:rsidR="00BF38BB" w:rsidRDefault="002837D7">
      <w:pPr>
        <w:spacing w:line="360" w:lineRule="auto"/>
        <w:ind w:firstLine="480"/>
        <w:rPr>
          <w:rFonts w:ascii="宋体" w:hAnsi="宋体"/>
        </w:rPr>
      </w:pPr>
      <w:r>
        <w:rPr>
          <w:rFonts w:ascii="宋体" w:hAnsi="宋体" w:hint="eastAsia"/>
        </w:rPr>
        <w:t>张金涛先生，价值风格投资总监，硕士研究生。曾任中金公司研究部能源组组长，润晖投资高级副总裁负责能源和原材料等行业的研究和投资。</w:t>
      </w:r>
      <w:r>
        <w:rPr>
          <w:rFonts w:ascii="宋体" w:hAnsi="宋体" w:hint="eastAsia"/>
        </w:rPr>
        <w:t>2012</w:t>
      </w:r>
      <w:r>
        <w:rPr>
          <w:rFonts w:ascii="宋体" w:hAnsi="宋体" w:hint="eastAsia"/>
        </w:rPr>
        <w:t>年</w:t>
      </w:r>
      <w:r>
        <w:rPr>
          <w:rFonts w:ascii="宋体" w:hAnsi="宋体" w:hint="eastAsia"/>
        </w:rPr>
        <w:t>10</w:t>
      </w:r>
      <w:r>
        <w:rPr>
          <w:rFonts w:ascii="宋体" w:hAnsi="宋体" w:hint="eastAsia"/>
        </w:rPr>
        <w:t>月加入嘉实基金管理有限公司，曾任海外研究组组长、策略组投资总监。</w:t>
      </w:r>
    </w:p>
    <w:p w14:paraId="04E846DB" w14:textId="77777777" w:rsidR="00BF38BB" w:rsidRDefault="002837D7">
      <w:pPr>
        <w:spacing w:line="360" w:lineRule="auto"/>
        <w:ind w:firstLine="480"/>
        <w:rPr>
          <w:rFonts w:ascii="宋体" w:hAnsi="宋体"/>
        </w:rPr>
      </w:pPr>
      <w:r>
        <w:rPr>
          <w:rFonts w:ascii="宋体" w:hAnsi="宋体" w:hint="eastAsia"/>
        </w:rPr>
        <w:t>胡永青先</w:t>
      </w:r>
      <w:r>
        <w:rPr>
          <w:rFonts w:ascii="宋体" w:hAnsi="宋体" w:hint="eastAsia"/>
        </w:rPr>
        <w:t>生，投资总监（固收</w:t>
      </w:r>
      <w:r>
        <w:rPr>
          <w:rFonts w:ascii="宋体" w:hAnsi="宋体" w:hint="eastAsia"/>
        </w:rPr>
        <w:t>+</w:t>
      </w:r>
      <w:r>
        <w:rPr>
          <w:rFonts w:ascii="宋体" w:hAnsi="宋体" w:hint="eastAsia"/>
        </w:rPr>
        <w:t>），硕士研究生。曾任天安保险固定收益组合经理，信诚基金投资经理，国泰基金固定收益部总监助理、基金经理。</w:t>
      </w:r>
      <w:r>
        <w:rPr>
          <w:rFonts w:ascii="宋体" w:hAnsi="宋体" w:hint="eastAsia"/>
        </w:rPr>
        <w:t>2013</w:t>
      </w:r>
      <w:r>
        <w:rPr>
          <w:rFonts w:ascii="宋体" w:hAnsi="宋体" w:hint="eastAsia"/>
        </w:rPr>
        <w:t>年</w:t>
      </w:r>
      <w:r>
        <w:rPr>
          <w:rFonts w:ascii="宋体" w:hAnsi="宋体" w:hint="eastAsia"/>
        </w:rPr>
        <w:t>11</w:t>
      </w:r>
      <w:r>
        <w:rPr>
          <w:rFonts w:ascii="宋体" w:hAnsi="宋体" w:hint="eastAsia"/>
        </w:rPr>
        <w:t>月加入嘉实基金管理有限公司，曾任策略组组长。</w:t>
      </w:r>
    </w:p>
    <w:p w14:paraId="5DF2FEA6" w14:textId="77777777" w:rsidR="00BF38BB" w:rsidRDefault="002837D7">
      <w:pPr>
        <w:spacing w:line="360" w:lineRule="auto"/>
        <w:ind w:firstLine="480"/>
        <w:rPr>
          <w:rFonts w:ascii="宋体" w:hAnsi="宋体"/>
        </w:rPr>
      </w:pPr>
      <w:r>
        <w:rPr>
          <w:rFonts w:ascii="宋体" w:hAnsi="宋体" w:hint="eastAsia"/>
        </w:rPr>
        <w:t>赵国英女士，投资总监（纯债），硕士研究生。曾任天安保险债券交易员，兴业银行资金营运中心债券交易员，美国银行上海分行环球金融市场部副总裁，中欧基金策略组负责人、基金经理。</w:t>
      </w:r>
      <w:r>
        <w:rPr>
          <w:rFonts w:ascii="宋体" w:hAnsi="宋体" w:hint="eastAsia"/>
        </w:rPr>
        <w:t>2020</w:t>
      </w:r>
      <w:r>
        <w:rPr>
          <w:rFonts w:ascii="宋体" w:hAnsi="宋体" w:hint="eastAsia"/>
        </w:rPr>
        <w:t>年</w:t>
      </w:r>
      <w:r>
        <w:rPr>
          <w:rFonts w:ascii="宋体" w:hAnsi="宋体" w:hint="eastAsia"/>
        </w:rPr>
        <w:t>8</w:t>
      </w:r>
      <w:r>
        <w:rPr>
          <w:rFonts w:ascii="宋体" w:hAnsi="宋体" w:hint="eastAsia"/>
        </w:rPr>
        <w:t>月加入嘉实基金管理有限公司。</w:t>
      </w:r>
    </w:p>
    <w:p w14:paraId="4E1FFDE5" w14:textId="77777777" w:rsidR="00BF38BB" w:rsidRDefault="002837D7">
      <w:pPr>
        <w:spacing w:line="360" w:lineRule="auto"/>
        <w:ind w:firstLine="480"/>
        <w:rPr>
          <w:rFonts w:ascii="宋体" w:hAnsi="宋体"/>
          <w:color w:val="000000"/>
          <w:shd w:val="pct10" w:color="auto" w:fill="FFFFFF"/>
        </w:rPr>
      </w:pPr>
      <w:r>
        <w:rPr>
          <w:rFonts w:ascii="宋体" w:hAnsi="宋体" w:hint="eastAsia"/>
          <w:color w:val="000000"/>
        </w:rPr>
        <w:t>3</w:t>
      </w:r>
      <w:r>
        <w:rPr>
          <w:rFonts w:ascii="宋体" w:hAnsi="宋体" w:hint="eastAsia"/>
          <w:color w:val="000000"/>
        </w:rPr>
        <w:t>、基金经理</w:t>
      </w:r>
    </w:p>
    <w:p w14:paraId="3C5C20FE" w14:textId="77777777" w:rsidR="00BF38BB" w:rsidRDefault="002837D7">
      <w:pPr>
        <w:spacing w:line="360" w:lineRule="auto"/>
        <w:ind w:firstLine="480"/>
        <w:rPr>
          <w:rFonts w:ascii="宋体" w:hAnsi="宋体"/>
        </w:rPr>
      </w:pPr>
      <w:r>
        <w:rPr>
          <w:rFonts w:ascii="宋体" w:hAnsi="宋体" w:hint="eastAsia"/>
        </w:rPr>
        <w:t>刘斌先生，博士研究生，</w:t>
      </w:r>
      <w:r>
        <w:rPr>
          <w:rFonts w:ascii="宋体" w:hAnsi="宋体" w:hint="eastAsia"/>
        </w:rPr>
        <w:t>20</w:t>
      </w:r>
      <w:r>
        <w:rPr>
          <w:rFonts w:ascii="宋体" w:hAnsi="宋体" w:hint="eastAsia"/>
        </w:rPr>
        <w:t>年证券从业经历，具有基金从业资格。中国国籍。曾任长盛基金管理有限公司金融工程研究</w:t>
      </w:r>
      <w:r>
        <w:rPr>
          <w:rFonts w:ascii="宋体" w:hAnsi="宋体" w:hint="eastAsia"/>
        </w:rPr>
        <w:t>员、高级金融工程研究员、基金经理、金融工程与量化投资部总监等职务。</w:t>
      </w:r>
      <w:r>
        <w:rPr>
          <w:rFonts w:ascii="宋体" w:hAnsi="宋体" w:hint="eastAsia"/>
        </w:rPr>
        <w:t>2013</w:t>
      </w:r>
      <w:r>
        <w:rPr>
          <w:rFonts w:ascii="宋体" w:hAnsi="宋体" w:hint="eastAsia"/>
        </w:rPr>
        <w:t>年</w:t>
      </w:r>
      <w:r>
        <w:rPr>
          <w:rFonts w:ascii="宋体" w:hAnsi="宋体" w:hint="eastAsia"/>
        </w:rPr>
        <w:t>12</w:t>
      </w:r>
      <w:r>
        <w:rPr>
          <w:rFonts w:ascii="宋体" w:hAnsi="宋体" w:hint="eastAsia"/>
        </w:rPr>
        <w:t>月加入嘉实基金管理有限公司股票投资部，从事投资、研究工作，曾任增强风格投资总监，现任指数与量化投资首席投资官。</w:t>
      </w:r>
      <w:r>
        <w:rPr>
          <w:rFonts w:ascii="宋体" w:hAnsi="宋体" w:hint="eastAsia"/>
        </w:rPr>
        <w:t>2009</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25</w:t>
      </w:r>
      <w:r>
        <w:rPr>
          <w:rFonts w:ascii="宋体" w:hAnsi="宋体" w:hint="eastAsia"/>
        </w:rPr>
        <w:t>日至</w:t>
      </w:r>
      <w:r>
        <w:rPr>
          <w:rFonts w:ascii="宋体" w:hAnsi="宋体" w:hint="eastAsia"/>
        </w:rPr>
        <w:t>2013</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4</w:t>
      </w:r>
      <w:r>
        <w:rPr>
          <w:rFonts w:ascii="宋体" w:hAnsi="宋体" w:hint="eastAsia"/>
        </w:rPr>
        <w:t>日长盛量化红利策略混合型证券投资基金基金经理，</w:t>
      </w:r>
      <w:r>
        <w:rPr>
          <w:rFonts w:ascii="宋体" w:hAnsi="宋体" w:hint="eastAsia"/>
        </w:rPr>
        <w:t>2010</w:t>
      </w:r>
      <w:r>
        <w:rPr>
          <w:rFonts w:ascii="宋体" w:hAnsi="宋体" w:hint="eastAsia"/>
        </w:rPr>
        <w:t>年</w:t>
      </w:r>
      <w:r>
        <w:rPr>
          <w:rFonts w:ascii="宋体" w:hAnsi="宋体" w:hint="eastAsia"/>
        </w:rPr>
        <w:t>8</w:t>
      </w:r>
      <w:r>
        <w:rPr>
          <w:rFonts w:ascii="宋体" w:hAnsi="宋体" w:hint="eastAsia"/>
        </w:rPr>
        <w:t>月</w:t>
      </w:r>
      <w:r>
        <w:rPr>
          <w:rFonts w:ascii="宋体" w:hAnsi="宋体" w:hint="eastAsia"/>
        </w:rPr>
        <w:t>4</w:t>
      </w:r>
      <w:r>
        <w:rPr>
          <w:rFonts w:ascii="宋体" w:hAnsi="宋体" w:hint="eastAsia"/>
        </w:rPr>
        <w:t>日至</w:t>
      </w:r>
      <w:r>
        <w:rPr>
          <w:rFonts w:ascii="宋体" w:hAnsi="宋体" w:hint="eastAsia"/>
        </w:rPr>
        <w:t>2011</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20</w:t>
      </w:r>
      <w:r>
        <w:rPr>
          <w:rFonts w:ascii="宋体" w:hAnsi="宋体" w:hint="eastAsia"/>
        </w:rPr>
        <w:t>日任长盛沪深</w:t>
      </w:r>
      <w:r>
        <w:rPr>
          <w:rFonts w:ascii="宋体" w:hAnsi="宋体" w:hint="eastAsia"/>
        </w:rPr>
        <w:t>300</w:t>
      </w:r>
      <w:r>
        <w:rPr>
          <w:rFonts w:ascii="宋体" w:hAnsi="宋体" w:hint="eastAsia"/>
        </w:rPr>
        <w:t>指数证券投资基金（</w:t>
      </w:r>
      <w:r>
        <w:rPr>
          <w:rFonts w:ascii="宋体" w:hAnsi="宋体" w:hint="eastAsia"/>
        </w:rPr>
        <w:t>LOF</w:t>
      </w:r>
      <w:r>
        <w:rPr>
          <w:rFonts w:ascii="宋体" w:hAnsi="宋体" w:hint="eastAsia"/>
        </w:rPr>
        <w:t>）基金经理，</w:t>
      </w:r>
      <w:r>
        <w:rPr>
          <w:rFonts w:ascii="宋体" w:hAnsi="宋体" w:hint="eastAsia"/>
        </w:rPr>
        <w:t>2012</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20</w:t>
      </w:r>
      <w:r>
        <w:rPr>
          <w:rFonts w:ascii="宋体" w:hAnsi="宋体" w:hint="eastAsia"/>
        </w:rPr>
        <w:t>日至</w:t>
      </w:r>
      <w:r>
        <w:rPr>
          <w:rFonts w:ascii="宋体" w:hAnsi="宋体" w:hint="eastAsia"/>
        </w:rPr>
        <w:t>2013</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4</w:t>
      </w:r>
      <w:r>
        <w:rPr>
          <w:rFonts w:ascii="宋体" w:hAnsi="宋体" w:hint="eastAsia"/>
        </w:rPr>
        <w:t>日任长盛成长价值证券投资基金基金经理，</w:t>
      </w:r>
      <w:r>
        <w:rPr>
          <w:rFonts w:ascii="宋体" w:hAnsi="宋体" w:hint="eastAsia"/>
        </w:rPr>
        <w:t>2012</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13</w:t>
      </w:r>
      <w:r>
        <w:rPr>
          <w:rFonts w:ascii="宋体" w:hAnsi="宋体" w:hint="eastAsia"/>
        </w:rPr>
        <w:t>日至</w:t>
      </w:r>
      <w:r>
        <w:rPr>
          <w:rFonts w:ascii="宋体" w:hAnsi="宋体" w:hint="eastAsia"/>
        </w:rPr>
        <w:t>2013</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4</w:t>
      </w:r>
      <w:r>
        <w:rPr>
          <w:rFonts w:ascii="宋体" w:hAnsi="宋体" w:hint="eastAsia"/>
        </w:rPr>
        <w:t>日任长盛同辉深证</w:t>
      </w:r>
      <w:r>
        <w:rPr>
          <w:rFonts w:ascii="宋体" w:hAnsi="宋体" w:hint="eastAsia"/>
        </w:rPr>
        <w:t>100</w:t>
      </w:r>
      <w:r>
        <w:rPr>
          <w:rFonts w:ascii="宋体" w:hAnsi="宋体" w:hint="eastAsia"/>
        </w:rPr>
        <w:t>等权重指数证券投资基金（</w:t>
      </w:r>
      <w:r>
        <w:rPr>
          <w:rFonts w:ascii="宋体" w:hAnsi="宋体" w:hint="eastAsia"/>
        </w:rPr>
        <w:t>LOF</w:t>
      </w:r>
      <w:r>
        <w:rPr>
          <w:rFonts w:ascii="宋体" w:hAnsi="宋体" w:hint="eastAsia"/>
        </w:rPr>
        <w:t>）基金经理。</w:t>
      </w:r>
      <w:r>
        <w:rPr>
          <w:rFonts w:ascii="宋体" w:hAnsi="宋体" w:hint="eastAsia"/>
        </w:rPr>
        <w:t>2014</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15</w:t>
      </w:r>
      <w:r>
        <w:rPr>
          <w:rFonts w:ascii="宋体" w:hAnsi="宋体" w:hint="eastAsia"/>
        </w:rPr>
        <w:t>日至</w:t>
      </w:r>
      <w:r>
        <w:rPr>
          <w:rFonts w:ascii="宋体" w:hAnsi="宋体" w:hint="eastAsia"/>
        </w:rPr>
        <w:t>2016</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27</w:t>
      </w:r>
      <w:r>
        <w:rPr>
          <w:rFonts w:ascii="宋体" w:hAnsi="宋体" w:hint="eastAsia"/>
        </w:rPr>
        <w:t>日任嘉实研究阿尔法股票型证券投资基金基金经理、</w:t>
      </w:r>
      <w:r>
        <w:rPr>
          <w:rFonts w:ascii="宋体" w:hAnsi="宋体" w:hint="eastAsia"/>
        </w:rPr>
        <w:t>2014</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15</w:t>
      </w:r>
      <w:r>
        <w:rPr>
          <w:rFonts w:ascii="宋体" w:hAnsi="宋体" w:hint="eastAsia"/>
        </w:rPr>
        <w:t>日至</w:t>
      </w:r>
      <w:r>
        <w:rPr>
          <w:rFonts w:ascii="宋体" w:hAnsi="宋体" w:hint="eastAsia"/>
        </w:rPr>
        <w:t>2020</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14</w:t>
      </w:r>
      <w:r>
        <w:rPr>
          <w:rFonts w:ascii="宋体" w:hAnsi="宋体" w:hint="eastAsia"/>
        </w:rPr>
        <w:t>日任嘉实绝对收益策略定期开放混合型发起式证券投资基金基金经理、</w:t>
      </w:r>
      <w:r>
        <w:rPr>
          <w:rFonts w:ascii="宋体" w:hAnsi="宋体" w:hint="eastAsia"/>
        </w:rPr>
        <w:t>2015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7</w:t>
      </w:r>
      <w:r>
        <w:rPr>
          <w:rFonts w:ascii="宋体" w:hAnsi="宋体" w:hint="eastAsia"/>
        </w:rPr>
        <w:t>日至</w:t>
      </w:r>
      <w:r>
        <w:rPr>
          <w:rFonts w:ascii="宋体" w:hAnsi="宋体" w:hint="eastAsia"/>
        </w:rPr>
        <w:t>2021</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25</w:t>
      </w:r>
      <w:r>
        <w:rPr>
          <w:rFonts w:ascii="宋体" w:hAnsi="宋体" w:hint="eastAsia"/>
        </w:rPr>
        <w:t>日任嘉实腾讯自选股大数据策略股票型证券投资基金基金经理、</w:t>
      </w:r>
      <w:r>
        <w:rPr>
          <w:rFonts w:ascii="宋体" w:hAnsi="宋体" w:hint="eastAsia"/>
        </w:rPr>
        <w:t>2016</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22</w:t>
      </w:r>
      <w:r>
        <w:rPr>
          <w:rFonts w:ascii="宋体" w:hAnsi="宋体" w:hint="eastAsia"/>
        </w:rPr>
        <w:t>日至</w:t>
      </w:r>
      <w:r>
        <w:rPr>
          <w:rFonts w:ascii="宋体" w:hAnsi="宋体" w:hint="eastAsia"/>
        </w:rPr>
        <w:t>2020</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14</w:t>
      </w:r>
      <w:r>
        <w:rPr>
          <w:rFonts w:ascii="宋体" w:hAnsi="宋体" w:hint="eastAsia"/>
        </w:rPr>
        <w:t>日任嘉实对冲套利定期开放混合型发起式证券投资基金基金经理、</w:t>
      </w:r>
      <w:r>
        <w:rPr>
          <w:rFonts w:ascii="宋体" w:hAnsi="宋体" w:hint="eastAsia"/>
        </w:rPr>
        <w:t>2018</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19</w:t>
      </w:r>
      <w:r>
        <w:rPr>
          <w:rFonts w:ascii="宋体" w:hAnsi="宋体" w:hint="eastAsia"/>
        </w:rPr>
        <w:t>日至</w:t>
      </w:r>
      <w:r>
        <w:rPr>
          <w:rFonts w:ascii="宋体" w:hAnsi="宋体" w:hint="eastAsia"/>
        </w:rPr>
        <w:t>2023</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16</w:t>
      </w:r>
      <w:r>
        <w:rPr>
          <w:rFonts w:ascii="宋体" w:hAnsi="宋体" w:hint="eastAsia"/>
        </w:rPr>
        <w:t>日任嘉实润泽量化一年定期开放混合型证券投资基金</w:t>
      </w:r>
      <w:r>
        <w:rPr>
          <w:rFonts w:ascii="宋体" w:hAnsi="宋体" w:hint="eastAsia"/>
        </w:rPr>
        <w:t>基金经理、</w:t>
      </w:r>
      <w:r>
        <w:rPr>
          <w:rFonts w:ascii="宋体" w:hAnsi="宋体" w:hint="eastAsia"/>
        </w:rPr>
        <w:t>2018</w:t>
      </w:r>
      <w:r>
        <w:rPr>
          <w:rFonts w:ascii="宋体" w:hAnsi="宋体" w:hint="eastAsia"/>
        </w:rPr>
        <w:t>年</w:t>
      </w:r>
      <w:r>
        <w:rPr>
          <w:rFonts w:ascii="宋体" w:hAnsi="宋体" w:hint="eastAsia"/>
        </w:rPr>
        <w:t>2</w:t>
      </w:r>
      <w:r>
        <w:rPr>
          <w:rFonts w:ascii="宋体" w:hAnsi="宋体" w:hint="eastAsia"/>
        </w:rPr>
        <w:t>月</w:t>
      </w:r>
      <w:r>
        <w:rPr>
          <w:rFonts w:ascii="宋体" w:hAnsi="宋体" w:hint="eastAsia"/>
        </w:rPr>
        <w:t>9</w:t>
      </w:r>
      <w:r>
        <w:rPr>
          <w:rFonts w:ascii="宋体" w:hAnsi="宋体" w:hint="eastAsia"/>
        </w:rPr>
        <w:t>日至</w:t>
      </w:r>
      <w:r>
        <w:rPr>
          <w:rFonts w:ascii="宋体" w:hAnsi="宋体" w:hint="eastAsia"/>
        </w:rPr>
        <w:t>2023</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10</w:t>
      </w:r>
      <w:r>
        <w:rPr>
          <w:rFonts w:ascii="宋体" w:hAnsi="宋体" w:hint="eastAsia"/>
        </w:rPr>
        <w:t>日任嘉实润和量化</w:t>
      </w:r>
      <w:r>
        <w:rPr>
          <w:rFonts w:ascii="宋体" w:hAnsi="宋体" w:hint="eastAsia"/>
        </w:rPr>
        <w:t>6</w:t>
      </w:r>
      <w:r>
        <w:rPr>
          <w:rFonts w:ascii="宋体" w:hAnsi="宋体" w:hint="eastAsia"/>
        </w:rPr>
        <w:t>个月定期开放混合型证券投资基金基金经理、</w:t>
      </w:r>
      <w:r>
        <w:rPr>
          <w:rFonts w:ascii="宋体" w:hAnsi="宋体" w:hint="eastAsia"/>
        </w:rPr>
        <w:t>2021</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27</w:t>
      </w:r>
      <w:r>
        <w:rPr>
          <w:rFonts w:ascii="宋体" w:hAnsi="宋体" w:hint="eastAsia"/>
        </w:rPr>
        <w:t>日至</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27</w:t>
      </w:r>
      <w:r>
        <w:rPr>
          <w:rFonts w:ascii="宋体" w:hAnsi="宋体" w:hint="eastAsia"/>
        </w:rPr>
        <w:t>日任嘉实沪深</w:t>
      </w:r>
      <w:r>
        <w:rPr>
          <w:rFonts w:ascii="宋体" w:hAnsi="宋体" w:hint="eastAsia"/>
        </w:rPr>
        <w:t>300</w:t>
      </w:r>
      <w:r>
        <w:rPr>
          <w:rFonts w:ascii="宋体" w:hAnsi="宋体" w:hint="eastAsia"/>
        </w:rPr>
        <w:t>指数研究增强型证券投资基金基金经理、</w:t>
      </w:r>
      <w:r>
        <w:rPr>
          <w:rFonts w:ascii="宋体" w:hAnsi="宋体" w:hint="eastAsia"/>
        </w:rPr>
        <w:t>2021</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26</w:t>
      </w:r>
      <w:r>
        <w:rPr>
          <w:rFonts w:ascii="宋体" w:hAnsi="宋体" w:hint="eastAsia"/>
        </w:rPr>
        <w:t>日至</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27</w:t>
      </w:r>
      <w:r>
        <w:rPr>
          <w:rFonts w:ascii="宋体" w:hAnsi="宋体" w:hint="eastAsia"/>
        </w:rPr>
        <w:t>日任嘉实量化精选股票型证券投资基金基金经理、</w:t>
      </w:r>
      <w:r>
        <w:rPr>
          <w:rFonts w:ascii="宋体" w:hAnsi="宋体" w:hint="eastAsia"/>
        </w:rPr>
        <w:t>2022</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13</w:t>
      </w:r>
      <w:r>
        <w:rPr>
          <w:rFonts w:ascii="宋体" w:hAnsi="宋体" w:hint="eastAsia"/>
        </w:rPr>
        <w:t>日至</w:t>
      </w:r>
      <w:r>
        <w:rPr>
          <w:rFonts w:ascii="宋体" w:hAnsi="宋体" w:hint="eastAsia"/>
        </w:rPr>
        <w:t>2024</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25</w:t>
      </w:r>
      <w:r>
        <w:rPr>
          <w:rFonts w:ascii="宋体" w:hAnsi="宋体" w:hint="eastAsia"/>
        </w:rPr>
        <w:t>日任嘉实低碳精选混合型发起式证券投资基金基金经理、</w:t>
      </w:r>
      <w:r>
        <w:rPr>
          <w:rFonts w:ascii="宋体" w:hAnsi="宋体" w:hint="eastAsia"/>
        </w:rPr>
        <w:t>2022</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22</w:t>
      </w:r>
      <w:r>
        <w:rPr>
          <w:rFonts w:ascii="宋体" w:hAnsi="宋体" w:hint="eastAsia"/>
        </w:rPr>
        <w:t>日至今任嘉实中证半导体产业指数增强型发起式证券投资基金基金经理、</w:t>
      </w:r>
      <w:r>
        <w:rPr>
          <w:rFonts w:ascii="宋体" w:hAnsi="宋体" w:hint="eastAsia"/>
        </w:rPr>
        <w:t>2022</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20</w:t>
      </w:r>
      <w:r>
        <w:rPr>
          <w:rFonts w:ascii="宋体" w:hAnsi="宋体" w:hint="eastAsia"/>
        </w:rPr>
        <w:t>日至今任嘉实上证</w:t>
      </w:r>
      <w:r>
        <w:rPr>
          <w:rFonts w:ascii="宋体" w:hAnsi="宋体" w:hint="eastAsia"/>
        </w:rPr>
        <w:lastRenderedPageBreak/>
        <w:t>科创板</w:t>
      </w:r>
      <w:r>
        <w:rPr>
          <w:rFonts w:ascii="宋体" w:hAnsi="宋体" w:hint="eastAsia"/>
        </w:rPr>
        <w:t>50</w:t>
      </w:r>
      <w:r>
        <w:rPr>
          <w:rFonts w:ascii="宋体" w:hAnsi="宋体" w:hint="eastAsia"/>
        </w:rPr>
        <w:t>成</w:t>
      </w:r>
      <w:r>
        <w:rPr>
          <w:rFonts w:ascii="宋体" w:hAnsi="宋体" w:hint="eastAsia"/>
        </w:rPr>
        <w:t>份指数增强型发起式证券投资基金基金经理、</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14</w:t>
      </w:r>
      <w:r>
        <w:rPr>
          <w:rFonts w:ascii="宋体" w:hAnsi="宋体" w:hint="eastAsia"/>
        </w:rPr>
        <w:t>日至今任嘉实兴锐优选一年持有期混合型证券投资基金基金经理、</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16</w:t>
      </w:r>
      <w:r>
        <w:rPr>
          <w:rFonts w:ascii="宋体" w:hAnsi="宋体" w:hint="eastAsia"/>
        </w:rPr>
        <w:t>日至今任嘉实优质精选混合型证券投资基金基金经理、</w:t>
      </w:r>
      <w:r>
        <w:rPr>
          <w:rFonts w:ascii="宋体" w:hAnsi="宋体" w:hint="eastAsia"/>
        </w:rPr>
        <w:t>2025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23</w:t>
      </w:r>
      <w:r>
        <w:rPr>
          <w:rFonts w:ascii="宋体" w:hAnsi="宋体" w:hint="eastAsia"/>
        </w:rPr>
        <w:t>日至今任嘉实中证</w:t>
      </w:r>
      <w:r>
        <w:rPr>
          <w:rFonts w:ascii="宋体" w:hAnsi="宋体" w:hint="eastAsia"/>
        </w:rPr>
        <w:t>A500</w:t>
      </w:r>
      <w:r>
        <w:rPr>
          <w:rFonts w:ascii="宋体" w:hAnsi="宋体" w:hint="eastAsia"/>
        </w:rPr>
        <w:t>指数增强型证券投资基金基金经理。</w:t>
      </w:r>
    </w:p>
    <w:p w14:paraId="356A9235" w14:textId="77777777" w:rsidR="00BF38BB" w:rsidRDefault="002837D7">
      <w:pPr>
        <w:spacing w:line="360" w:lineRule="auto"/>
        <w:ind w:firstLine="480"/>
        <w:rPr>
          <w:rFonts w:ascii="宋体" w:hAnsi="宋体"/>
          <w:color w:val="000000"/>
        </w:rPr>
      </w:pPr>
      <w:r>
        <w:rPr>
          <w:rFonts w:ascii="宋体" w:hAnsi="宋体" w:hint="eastAsia"/>
        </w:rPr>
        <w:t>4</w:t>
      </w:r>
      <w:r>
        <w:rPr>
          <w:rFonts w:ascii="宋体" w:hAnsi="宋体" w:hint="eastAsia"/>
          <w:color w:val="000000"/>
        </w:rPr>
        <w:t>、指数与量化投资决策委员会</w:t>
      </w:r>
    </w:p>
    <w:p w14:paraId="5477BE3D" w14:textId="77777777" w:rsidR="00BF38BB" w:rsidRDefault="002837D7">
      <w:pPr>
        <w:spacing w:line="360" w:lineRule="auto"/>
        <w:ind w:firstLine="480"/>
        <w:rPr>
          <w:rFonts w:ascii="宋体" w:hAnsi="宋体"/>
          <w:color w:val="000000"/>
        </w:rPr>
      </w:pPr>
      <w:r>
        <w:rPr>
          <w:rFonts w:ascii="宋体" w:hAnsi="宋体" w:hint="eastAsia"/>
          <w:color w:val="000000"/>
        </w:rPr>
        <w:t>指数与量化投资决策委员会的成员包括：指数与量化投资首席投资官刘斌先生，公司总经理经雷先生，指数投资总监刘珈吟女士，股票研究部总监刘杰先生，风险管理部总监武雪冬先生，指数基金经理李直先生。</w:t>
      </w:r>
    </w:p>
    <w:p w14:paraId="10CA12D7" w14:textId="77777777" w:rsidR="00BF38BB" w:rsidRDefault="002837D7">
      <w:pPr>
        <w:spacing w:line="360" w:lineRule="auto"/>
        <w:ind w:firstLine="480"/>
        <w:rPr>
          <w:rFonts w:ascii="宋体" w:hAnsi="宋体"/>
          <w:color w:val="000000"/>
        </w:rPr>
      </w:pPr>
      <w:r>
        <w:rPr>
          <w:rFonts w:ascii="宋体" w:hAnsi="宋体"/>
          <w:color w:val="000000"/>
        </w:rPr>
        <w:t>5</w:t>
      </w:r>
      <w:r>
        <w:rPr>
          <w:rFonts w:ascii="宋体" w:hAnsi="宋体" w:hint="eastAsia"/>
          <w:color w:val="000000"/>
        </w:rPr>
        <w:t>、上述人员之间均不存在近亲属关系。</w:t>
      </w:r>
    </w:p>
    <w:p w14:paraId="33416C11" w14:textId="77777777" w:rsidR="00BF38BB" w:rsidRDefault="002837D7">
      <w:pPr>
        <w:spacing w:line="360" w:lineRule="auto"/>
        <w:ind w:firstLine="420"/>
        <w:rPr>
          <w:rFonts w:ascii="宋体" w:hAnsi="宋体"/>
          <w:color w:val="000000"/>
        </w:rPr>
      </w:pPr>
      <w:r>
        <w:rPr>
          <w:rFonts w:ascii="宋体" w:hAnsi="宋体" w:hint="eastAsia"/>
          <w:color w:val="000000"/>
        </w:rPr>
        <w:t>（三）基金管理人的职责</w:t>
      </w:r>
    </w:p>
    <w:p w14:paraId="6FDB9739" w14:textId="77777777" w:rsidR="00BF38BB" w:rsidRDefault="002837D7">
      <w:pPr>
        <w:spacing w:line="360" w:lineRule="auto"/>
        <w:ind w:firstLineChars="200" w:firstLine="420"/>
        <w:rPr>
          <w:rFonts w:ascii="宋体" w:hAnsi="宋体"/>
          <w:color w:val="000000"/>
        </w:rPr>
      </w:pPr>
      <w:r>
        <w:rPr>
          <w:rFonts w:ascii="宋体" w:hAnsi="宋体" w:hint="eastAsia"/>
          <w:color w:val="000000"/>
        </w:rPr>
        <w:t>1</w:t>
      </w:r>
      <w:r>
        <w:rPr>
          <w:rFonts w:ascii="宋体" w:hAnsi="宋体" w:hint="eastAsia"/>
          <w:color w:val="000000"/>
        </w:rPr>
        <w:t>、依法募集基金，办理或者委托经中国证监会认定的其他机构代为办理基金份额的发售、申购、赎回、转换和登记事宜；</w:t>
      </w:r>
    </w:p>
    <w:p w14:paraId="564557BF" w14:textId="77777777" w:rsidR="00BF38BB" w:rsidRDefault="002837D7">
      <w:pPr>
        <w:spacing w:line="360" w:lineRule="auto"/>
        <w:ind w:firstLineChars="200" w:firstLine="420"/>
        <w:rPr>
          <w:rFonts w:ascii="宋体" w:hAnsi="宋体"/>
          <w:color w:val="000000"/>
        </w:rPr>
      </w:pPr>
      <w:r>
        <w:rPr>
          <w:rFonts w:ascii="宋体" w:hAnsi="宋体" w:hint="eastAsia"/>
          <w:color w:val="000000"/>
        </w:rPr>
        <w:t>2</w:t>
      </w:r>
      <w:r>
        <w:rPr>
          <w:rFonts w:ascii="宋体" w:hAnsi="宋体" w:hint="eastAsia"/>
          <w:color w:val="000000"/>
        </w:rPr>
        <w:t>、办理基金备案手续；</w:t>
      </w:r>
    </w:p>
    <w:p w14:paraId="3D4425E9" w14:textId="77777777" w:rsidR="00BF38BB" w:rsidRDefault="002837D7">
      <w:pPr>
        <w:spacing w:line="360" w:lineRule="auto"/>
        <w:ind w:firstLineChars="200" w:firstLine="420"/>
        <w:rPr>
          <w:rFonts w:ascii="宋体" w:hAnsi="宋体"/>
          <w:color w:val="000000"/>
        </w:rPr>
      </w:pPr>
      <w:r>
        <w:rPr>
          <w:rFonts w:ascii="宋体" w:hAnsi="宋体" w:hint="eastAsia"/>
          <w:color w:val="000000"/>
        </w:rPr>
        <w:t>3</w:t>
      </w:r>
      <w:r>
        <w:rPr>
          <w:rFonts w:ascii="宋体" w:hAnsi="宋体" w:hint="eastAsia"/>
          <w:color w:val="000000"/>
        </w:rPr>
        <w:t>、对所管理的不同基金资产分别管理、分别记账，进行证券投资；</w:t>
      </w:r>
    </w:p>
    <w:p w14:paraId="7A6F2838" w14:textId="77777777" w:rsidR="00BF38BB" w:rsidRDefault="002837D7">
      <w:pPr>
        <w:spacing w:line="360" w:lineRule="auto"/>
        <w:ind w:firstLineChars="200" w:firstLine="420"/>
        <w:rPr>
          <w:rFonts w:ascii="宋体" w:hAnsi="宋体"/>
          <w:color w:val="000000"/>
        </w:rPr>
      </w:pPr>
      <w:r>
        <w:rPr>
          <w:rFonts w:ascii="宋体" w:hAnsi="宋体" w:hint="eastAsia"/>
          <w:color w:val="000000"/>
        </w:rPr>
        <w:t>4</w:t>
      </w:r>
      <w:r>
        <w:rPr>
          <w:rFonts w:ascii="宋体" w:hAnsi="宋体" w:hint="eastAsia"/>
          <w:color w:val="000000"/>
        </w:rPr>
        <w:t>、按照基金合同的约定确定基金收益分配方案，及时向基金份额持有人分配收益；</w:t>
      </w:r>
    </w:p>
    <w:p w14:paraId="1566DE9D" w14:textId="77777777" w:rsidR="00BF38BB" w:rsidRDefault="002837D7">
      <w:pPr>
        <w:spacing w:line="360" w:lineRule="auto"/>
        <w:ind w:firstLineChars="200" w:firstLine="420"/>
        <w:rPr>
          <w:rFonts w:ascii="宋体" w:hAnsi="宋体"/>
          <w:color w:val="000000"/>
        </w:rPr>
      </w:pPr>
      <w:r>
        <w:rPr>
          <w:rFonts w:ascii="宋体" w:hAnsi="宋体" w:hint="eastAsia"/>
          <w:color w:val="000000"/>
        </w:rPr>
        <w:t>5</w:t>
      </w:r>
      <w:r>
        <w:rPr>
          <w:rFonts w:ascii="宋体" w:hAnsi="宋体" w:hint="eastAsia"/>
          <w:color w:val="000000"/>
        </w:rPr>
        <w:t>、进行基金会计核算并编制基金财务会计报告；</w:t>
      </w:r>
    </w:p>
    <w:p w14:paraId="2676E0AA" w14:textId="77777777" w:rsidR="00BF38BB" w:rsidRDefault="002837D7">
      <w:pPr>
        <w:spacing w:line="360" w:lineRule="auto"/>
        <w:ind w:firstLineChars="200" w:firstLine="420"/>
        <w:rPr>
          <w:rFonts w:ascii="宋体" w:hAnsi="宋体"/>
          <w:color w:val="000000"/>
        </w:rPr>
      </w:pPr>
      <w:r>
        <w:rPr>
          <w:rFonts w:ascii="宋体" w:hAnsi="宋体" w:hint="eastAsia"/>
          <w:color w:val="000000"/>
        </w:rPr>
        <w:t>6</w:t>
      </w:r>
      <w:r>
        <w:rPr>
          <w:rFonts w:ascii="宋体" w:hAnsi="宋体" w:hint="eastAsia"/>
          <w:color w:val="000000"/>
        </w:rPr>
        <w:t>、编制季度报告、中期报告和年度报告；</w:t>
      </w:r>
    </w:p>
    <w:p w14:paraId="3995930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7</w:t>
      </w:r>
      <w:r>
        <w:rPr>
          <w:rFonts w:ascii="宋体" w:hAnsi="宋体" w:hint="eastAsia"/>
          <w:color w:val="000000"/>
        </w:rPr>
        <w:t>、计算并公告基金净值信息，确定基金份额申购、赎回价格；</w:t>
      </w:r>
    </w:p>
    <w:p w14:paraId="3A355E83" w14:textId="77777777" w:rsidR="00BF38BB" w:rsidRDefault="002837D7">
      <w:pPr>
        <w:spacing w:line="360" w:lineRule="auto"/>
        <w:ind w:firstLineChars="200" w:firstLine="420"/>
        <w:rPr>
          <w:rFonts w:ascii="宋体" w:hAnsi="宋体"/>
          <w:color w:val="000000"/>
        </w:rPr>
      </w:pPr>
      <w:r>
        <w:rPr>
          <w:rFonts w:ascii="宋体" w:hAnsi="宋体" w:hint="eastAsia"/>
          <w:color w:val="000000"/>
        </w:rPr>
        <w:t>8</w:t>
      </w:r>
      <w:r>
        <w:rPr>
          <w:rFonts w:ascii="宋体" w:hAnsi="宋体" w:hint="eastAsia"/>
          <w:color w:val="000000"/>
        </w:rPr>
        <w:t>、办理与基金资产管理业务活动有关的</w:t>
      </w:r>
      <w:r>
        <w:rPr>
          <w:rFonts w:ascii="宋体" w:hAnsi="宋体" w:hint="eastAsia"/>
          <w:color w:val="000000"/>
        </w:rPr>
        <w:t>信息披露事项；</w:t>
      </w:r>
    </w:p>
    <w:p w14:paraId="2C77969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9</w:t>
      </w:r>
      <w:r>
        <w:rPr>
          <w:rFonts w:ascii="宋体" w:hAnsi="宋体" w:hint="eastAsia"/>
          <w:color w:val="000000"/>
        </w:rPr>
        <w:t>、召集基金份额持有人大会；</w:t>
      </w:r>
    </w:p>
    <w:p w14:paraId="02D7FD64" w14:textId="77777777" w:rsidR="00BF38BB" w:rsidRDefault="002837D7">
      <w:pPr>
        <w:spacing w:line="360" w:lineRule="auto"/>
        <w:ind w:firstLineChars="200" w:firstLine="420"/>
        <w:rPr>
          <w:rFonts w:ascii="宋体" w:hAnsi="宋体"/>
          <w:color w:val="000000"/>
        </w:rPr>
      </w:pPr>
      <w:r>
        <w:rPr>
          <w:rFonts w:ascii="宋体" w:hAnsi="宋体" w:hint="eastAsia"/>
          <w:color w:val="000000"/>
        </w:rPr>
        <w:t>10</w:t>
      </w:r>
      <w:r>
        <w:rPr>
          <w:rFonts w:ascii="宋体" w:hAnsi="宋体" w:hint="eastAsia"/>
          <w:color w:val="000000"/>
        </w:rPr>
        <w:t>、保存基金资产管理业务活动的记录、账册、报表和其他相关资料；</w:t>
      </w:r>
    </w:p>
    <w:p w14:paraId="33208819" w14:textId="77777777" w:rsidR="00BF38BB" w:rsidRDefault="002837D7">
      <w:pPr>
        <w:spacing w:line="360" w:lineRule="auto"/>
        <w:ind w:firstLineChars="200" w:firstLine="420"/>
        <w:rPr>
          <w:rFonts w:ascii="宋体" w:hAnsi="宋体"/>
          <w:color w:val="000000"/>
        </w:rPr>
      </w:pPr>
      <w:r>
        <w:rPr>
          <w:rFonts w:ascii="宋体" w:hAnsi="宋体" w:hint="eastAsia"/>
          <w:color w:val="000000"/>
        </w:rPr>
        <w:t>11</w:t>
      </w:r>
      <w:r>
        <w:rPr>
          <w:rFonts w:ascii="宋体" w:hAnsi="宋体" w:hint="eastAsia"/>
          <w:color w:val="000000"/>
        </w:rPr>
        <w:t>、以基金管理人名义，代表基金份额持有人利益行使诉讼权利或者实施其他法律行为；</w:t>
      </w:r>
    </w:p>
    <w:p w14:paraId="0211E55B" w14:textId="77777777" w:rsidR="00BF38BB" w:rsidRDefault="002837D7">
      <w:pPr>
        <w:spacing w:line="360" w:lineRule="auto"/>
        <w:ind w:firstLineChars="200" w:firstLine="420"/>
        <w:rPr>
          <w:rFonts w:ascii="宋体" w:hAnsi="宋体"/>
          <w:color w:val="000000"/>
        </w:rPr>
      </w:pPr>
      <w:r>
        <w:rPr>
          <w:rFonts w:ascii="宋体" w:hAnsi="宋体" w:hint="eastAsia"/>
          <w:color w:val="000000"/>
        </w:rPr>
        <w:t>12</w:t>
      </w:r>
      <w:r>
        <w:rPr>
          <w:rFonts w:ascii="宋体" w:hAnsi="宋体" w:hint="eastAsia"/>
          <w:color w:val="000000"/>
        </w:rPr>
        <w:t>、有关法律法规和中国证监会规定的其他职责。</w:t>
      </w:r>
    </w:p>
    <w:p w14:paraId="0398760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（四）基金管理人的承诺</w:t>
      </w:r>
    </w:p>
    <w:p w14:paraId="0AF3C2B6" w14:textId="77777777" w:rsidR="00BF38BB" w:rsidRDefault="002837D7">
      <w:pPr>
        <w:spacing w:line="360" w:lineRule="auto"/>
        <w:ind w:firstLineChars="200" w:firstLine="420"/>
        <w:rPr>
          <w:rFonts w:ascii="宋体" w:hAnsi="宋体"/>
          <w:color w:val="000000"/>
        </w:rPr>
      </w:pPr>
      <w:r>
        <w:rPr>
          <w:rFonts w:ascii="宋体" w:hAnsi="宋体" w:hint="eastAsia"/>
          <w:color w:val="000000"/>
        </w:rPr>
        <w:t>1</w:t>
      </w:r>
      <w:r>
        <w:rPr>
          <w:rFonts w:ascii="宋体" w:hAnsi="宋体" w:hint="eastAsia"/>
          <w:color w:val="000000"/>
        </w:rPr>
        <w:t>、本基金管理人承诺严格遵守相关法律法规、基金合同和中国证监会的有关规定，建立健全内部控制制度，采取有效措施，防止违反有关法律法规、基金合同和中国证监会有关规定的行为发生。</w:t>
      </w:r>
    </w:p>
    <w:p w14:paraId="44816905" w14:textId="77777777" w:rsidR="00BF38BB" w:rsidRDefault="002837D7">
      <w:pPr>
        <w:spacing w:line="360" w:lineRule="auto"/>
        <w:ind w:firstLineChars="200" w:firstLine="420"/>
        <w:rPr>
          <w:rFonts w:ascii="宋体" w:hAnsi="宋体"/>
          <w:color w:val="000000"/>
        </w:rPr>
      </w:pPr>
      <w:r>
        <w:rPr>
          <w:rFonts w:ascii="宋体" w:hAnsi="宋体" w:hint="eastAsia"/>
          <w:color w:val="000000"/>
        </w:rPr>
        <w:t>2</w:t>
      </w:r>
      <w:r>
        <w:rPr>
          <w:rFonts w:ascii="宋体" w:hAnsi="宋体" w:hint="eastAsia"/>
          <w:color w:val="000000"/>
        </w:rPr>
        <w:t>、本基金管理人承诺严格遵守《中华人民共和国证券法》（简称“《证券法》”）、《基金法》及有关法律法规，建立健全的内部控制制度，采取有效措施，防止下列行为发生：</w:t>
      </w:r>
    </w:p>
    <w:p w14:paraId="33A6B625"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）将其固有财产或者他人财产混同于基金资产从事证券投资；</w:t>
      </w:r>
    </w:p>
    <w:p w14:paraId="1DA66769"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）不公平地对待其管理的不同基金资产；</w:t>
      </w:r>
    </w:p>
    <w:p w14:paraId="13D9E2F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）利用基金资产为基金份额持有人以外的第三人牟取利益；</w:t>
      </w:r>
    </w:p>
    <w:p w14:paraId="28E3E915" w14:textId="77777777" w:rsidR="00BF38BB" w:rsidRDefault="002837D7">
      <w:pPr>
        <w:spacing w:line="360" w:lineRule="auto"/>
        <w:ind w:firstLineChars="200" w:firstLine="420"/>
        <w:rPr>
          <w:rFonts w:ascii="宋体" w:hAnsi="宋体"/>
          <w:color w:val="000000"/>
        </w:rPr>
      </w:pPr>
      <w:r>
        <w:rPr>
          <w:rFonts w:ascii="宋体" w:hAnsi="宋体" w:hint="eastAsia"/>
          <w:color w:val="000000"/>
        </w:rPr>
        <w:lastRenderedPageBreak/>
        <w:t>（</w:t>
      </w:r>
      <w:r>
        <w:rPr>
          <w:rFonts w:ascii="宋体" w:hAnsi="宋体" w:hint="eastAsia"/>
          <w:color w:val="000000"/>
        </w:rPr>
        <w:t>4</w:t>
      </w:r>
      <w:r>
        <w:rPr>
          <w:rFonts w:ascii="宋体" w:hAnsi="宋体" w:hint="eastAsia"/>
          <w:color w:val="000000"/>
        </w:rPr>
        <w:t>）向基金份额持有人违规承诺收益或者承担损失；</w:t>
      </w:r>
    </w:p>
    <w:p w14:paraId="4A718094"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）法律法规或中国证监会规定禁止的其他行为。</w:t>
      </w:r>
    </w:p>
    <w:p w14:paraId="7F5E7F36" w14:textId="77777777" w:rsidR="00BF38BB" w:rsidRDefault="002837D7">
      <w:pPr>
        <w:spacing w:line="360" w:lineRule="auto"/>
        <w:ind w:firstLineChars="200" w:firstLine="420"/>
        <w:rPr>
          <w:rFonts w:ascii="宋体" w:hAnsi="宋体"/>
          <w:color w:val="000000"/>
        </w:rPr>
      </w:pPr>
      <w:r>
        <w:rPr>
          <w:rFonts w:ascii="宋体" w:hAnsi="宋体" w:hint="eastAsia"/>
          <w:color w:val="000000"/>
        </w:rPr>
        <w:t>3</w:t>
      </w:r>
      <w:r>
        <w:rPr>
          <w:rFonts w:ascii="宋体" w:hAnsi="宋体" w:hint="eastAsia"/>
          <w:color w:val="000000"/>
        </w:rPr>
        <w:t>、本基金管理人承诺加强人员管理，强化职业操守，督促和约束员工遵守国家有关法律法规及行业规范，</w:t>
      </w:r>
      <w:r>
        <w:rPr>
          <w:rFonts w:ascii="宋体" w:hAnsi="宋体" w:hint="eastAsia"/>
          <w:color w:val="000000"/>
        </w:rPr>
        <w:t>诚实信用、勤勉尽责，不得将基金资产用于以下投资或活动：</w:t>
      </w:r>
    </w:p>
    <w:p w14:paraId="67432576"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）承销证券；</w:t>
      </w:r>
    </w:p>
    <w:p w14:paraId="160120F9"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）违反规定向他人贷款或者提供担保；</w:t>
      </w:r>
    </w:p>
    <w:p w14:paraId="445AA2A9"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）从事承担无限责任的投资；</w:t>
      </w:r>
    </w:p>
    <w:p w14:paraId="641EFBB1" w14:textId="77777777" w:rsidR="00BF38BB" w:rsidRDefault="002837D7">
      <w:pPr>
        <w:spacing w:line="360" w:lineRule="auto"/>
        <w:ind w:firstLineChars="200" w:firstLine="420"/>
        <w:rPr>
          <w:rFonts w:ascii="宋体" w:hAnsi="宋体"/>
          <w:bCs/>
          <w:color w:val="000000"/>
        </w:rPr>
      </w:pPr>
      <w:r>
        <w:rPr>
          <w:rFonts w:ascii="宋体" w:hAnsi="宋体"/>
          <w:bCs/>
          <w:color w:val="000000"/>
        </w:rPr>
        <w:t>（</w:t>
      </w:r>
      <w:r>
        <w:rPr>
          <w:rFonts w:ascii="宋体" w:hAnsi="宋体"/>
          <w:bCs/>
          <w:color w:val="000000"/>
        </w:rPr>
        <w:t>4</w:t>
      </w:r>
      <w:r>
        <w:rPr>
          <w:rFonts w:ascii="宋体" w:hAnsi="宋体"/>
          <w:bCs/>
          <w:color w:val="000000"/>
        </w:rPr>
        <w:t>）</w:t>
      </w:r>
      <w:r>
        <w:rPr>
          <w:rFonts w:ascii="宋体" w:hAnsi="宋体" w:hint="eastAsia"/>
          <w:bCs/>
          <w:color w:val="000000"/>
        </w:rPr>
        <w:t>买卖其他基金份额，但是中国证监会另有规定的除外；</w:t>
      </w:r>
    </w:p>
    <w:p w14:paraId="13AAAE63"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5</w:t>
      </w:r>
      <w:r>
        <w:rPr>
          <w:rFonts w:ascii="宋体" w:hAnsi="宋体" w:hint="eastAsia"/>
          <w:color w:val="000000"/>
        </w:rPr>
        <w:t>）向其基金管理人、基金托管人出资；</w:t>
      </w:r>
    </w:p>
    <w:p w14:paraId="15F0D3D3"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6</w:t>
      </w:r>
      <w:r>
        <w:rPr>
          <w:rFonts w:ascii="宋体" w:hAnsi="宋体" w:hint="eastAsia"/>
          <w:color w:val="000000"/>
        </w:rPr>
        <w:t>）从事内幕交易、操纵证券交易价格及其他不正当的证券交易活动；</w:t>
      </w:r>
    </w:p>
    <w:p w14:paraId="52FB008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7</w:t>
      </w:r>
      <w:r>
        <w:rPr>
          <w:rFonts w:ascii="宋体" w:hAnsi="宋体" w:hint="eastAsia"/>
          <w:color w:val="000000"/>
        </w:rPr>
        <w:t>）法律、行政法规和中国证监会规定禁止的其他活动。</w:t>
      </w:r>
    </w:p>
    <w:p w14:paraId="0250CBD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除标的指数成份股、备选成份股之外，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w:t>
      </w:r>
      <w:r>
        <w:rPr>
          <w:rFonts w:ascii="宋体" w:hAnsi="宋体" w:hint="eastAsia"/>
          <w:color w:val="000000"/>
        </w:rPr>
        <w:t>对关联交易事项进行审查。</w:t>
      </w:r>
    </w:p>
    <w:p w14:paraId="70A977F5" w14:textId="77777777" w:rsidR="00BF38BB" w:rsidRDefault="002837D7">
      <w:pPr>
        <w:spacing w:line="360" w:lineRule="auto"/>
        <w:ind w:firstLineChars="200" w:firstLine="420"/>
        <w:rPr>
          <w:rFonts w:ascii="宋体" w:hAnsi="宋体"/>
          <w:color w:val="000000"/>
        </w:rPr>
      </w:pPr>
      <w:r>
        <w:rPr>
          <w:rFonts w:ascii="宋体" w:hAnsi="宋体" w:hint="eastAsia"/>
          <w:color w:val="000000"/>
        </w:rPr>
        <w:t>4</w:t>
      </w:r>
      <w:r>
        <w:rPr>
          <w:rFonts w:ascii="宋体" w:hAnsi="宋体" w:hint="eastAsia"/>
          <w:color w:val="000000"/>
        </w:rPr>
        <w:t>、基金经理承诺</w:t>
      </w:r>
    </w:p>
    <w:p w14:paraId="306BE552"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）依照有关法律法规和基金合同的规定，本着谨慎的原则为基金份额持有人谋取最大利益；</w:t>
      </w:r>
    </w:p>
    <w:p w14:paraId="36495A2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）不利用职务之便为自己及其代理人、受雇人或任何第三人谋取利益；</w:t>
      </w:r>
    </w:p>
    <w:p w14:paraId="37152C97"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）不违反现行有效的有关法律法规、规章、基金合同和中国证监会的有关规定，泄露在任职期间知悉的有关证券、基金的商业秘密、尚未依法公开的基金投资内容、基金投资计划等信息；</w:t>
      </w:r>
    </w:p>
    <w:p w14:paraId="425C783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）不从事损害基金资产和基金份额持有人利益的证券交易及其他活动。</w:t>
      </w:r>
    </w:p>
    <w:p w14:paraId="707BD9BF" w14:textId="77777777" w:rsidR="00BF38BB" w:rsidRDefault="002837D7">
      <w:pPr>
        <w:spacing w:line="360" w:lineRule="auto"/>
        <w:ind w:firstLineChars="200" w:firstLine="420"/>
        <w:rPr>
          <w:rFonts w:ascii="宋体" w:hAnsi="宋体"/>
          <w:color w:val="000000"/>
        </w:rPr>
      </w:pPr>
      <w:r>
        <w:rPr>
          <w:rFonts w:ascii="宋体" w:hAnsi="宋体" w:hint="eastAsia"/>
          <w:color w:val="000000"/>
        </w:rPr>
        <w:t>（五）基金管理人的内部控制制度</w:t>
      </w:r>
    </w:p>
    <w:p w14:paraId="5A5D6E72" w14:textId="77777777" w:rsidR="00BF38BB" w:rsidRDefault="002837D7">
      <w:pPr>
        <w:spacing w:line="360" w:lineRule="auto"/>
        <w:ind w:firstLineChars="200" w:firstLine="420"/>
        <w:rPr>
          <w:rFonts w:ascii="宋体" w:hAnsi="宋体"/>
          <w:color w:val="000000"/>
        </w:rPr>
      </w:pPr>
      <w:r>
        <w:rPr>
          <w:rFonts w:ascii="宋体" w:hAnsi="宋体" w:hint="eastAsia"/>
          <w:color w:val="000000"/>
        </w:rPr>
        <w:t>1</w:t>
      </w:r>
      <w:r>
        <w:rPr>
          <w:rFonts w:ascii="宋体" w:hAnsi="宋体" w:hint="eastAsia"/>
          <w:color w:val="000000"/>
        </w:rPr>
        <w:t>、内部控制制度概述</w:t>
      </w:r>
    </w:p>
    <w:p w14:paraId="4D62E135" w14:textId="77777777" w:rsidR="00BF38BB" w:rsidRDefault="002837D7">
      <w:pPr>
        <w:spacing w:line="360" w:lineRule="auto"/>
        <w:ind w:firstLineChars="200" w:firstLine="420"/>
        <w:rPr>
          <w:rFonts w:ascii="宋体" w:hAnsi="宋体"/>
          <w:color w:val="000000"/>
        </w:rPr>
      </w:pPr>
      <w:r>
        <w:rPr>
          <w:rFonts w:ascii="宋体" w:hAnsi="宋体" w:hint="eastAsia"/>
          <w:color w:val="000000"/>
        </w:rPr>
        <w:t>为加强内部控制，防范和</w:t>
      </w:r>
      <w:r>
        <w:rPr>
          <w:rFonts w:ascii="宋体" w:hAnsi="宋体" w:hint="eastAsia"/>
          <w:color w:val="000000"/>
        </w:rPr>
        <w:t>化解风险，促进公司诚信、合法、有效经营，保障基金份额持有人利益，根据《证券投资基金管理公司内部控制指导意见》并结合公司具体情况，公司已建立健全内部控制体系和内部控制制度。</w:t>
      </w:r>
    </w:p>
    <w:p w14:paraId="65668744" w14:textId="77777777" w:rsidR="00BF38BB" w:rsidRDefault="002837D7">
      <w:pPr>
        <w:spacing w:line="360" w:lineRule="auto"/>
        <w:ind w:firstLineChars="200" w:firstLine="420"/>
        <w:rPr>
          <w:rFonts w:ascii="宋体" w:hAnsi="宋体"/>
          <w:color w:val="000000"/>
        </w:rPr>
      </w:pPr>
      <w:r>
        <w:rPr>
          <w:rFonts w:ascii="宋体" w:hAnsi="宋体" w:hint="eastAsia"/>
          <w:color w:val="000000"/>
        </w:rPr>
        <w:t>公司内部控制制度由内部控制大纲、基本管理制度、部门业务规章等部分组成。公司内部控制大纲是对公司章程规定的内控原则的细化和展开，是各项基本管理制度的纲要和总揽。基本管理制度包括投资管理、</w:t>
      </w:r>
      <w:r>
        <w:rPr>
          <w:rFonts w:ascii="宋体" w:hAnsi="宋体" w:hint="eastAsia"/>
          <w:color w:val="000000"/>
        </w:rPr>
        <w:lastRenderedPageBreak/>
        <w:t>信息披露、信息技术管理、公司财务管理、基金会计、人力资源管理、资料档案管理、业绩评估考核、合规管理和风险控制、紧急应变等制度。部门业务规章是对各部门的主要职</w:t>
      </w:r>
      <w:r>
        <w:rPr>
          <w:rFonts w:ascii="宋体" w:hAnsi="宋体" w:hint="eastAsia"/>
          <w:color w:val="000000"/>
        </w:rPr>
        <w:t>责、岗位设置、岗位责任、操作守则等具体说明。</w:t>
      </w:r>
    </w:p>
    <w:p w14:paraId="296033D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2</w:t>
      </w:r>
      <w:r>
        <w:rPr>
          <w:rFonts w:ascii="宋体" w:hAnsi="宋体" w:hint="eastAsia"/>
          <w:color w:val="000000"/>
        </w:rPr>
        <w:t>、内部控制的原则</w:t>
      </w:r>
    </w:p>
    <w:p w14:paraId="6AB092EB"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）健全性原则：内部控制包括公司的各项业务、各个部门或机构和各级人员，并涵盖到决策、执行、监督、反馈等各个环节；</w:t>
      </w:r>
    </w:p>
    <w:p w14:paraId="130131D7"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）有效性原则：通过科学的内控手段和方法，建立合理的内控程序，维护内控制度的有效执行；</w:t>
      </w:r>
    </w:p>
    <w:p w14:paraId="2FE1D13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）独立性原则：公司各机构、部门和岗位在职能上必须保持相对独立；</w:t>
      </w:r>
    </w:p>
    <w:p w14:paraId="0524B342"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）相互制约原则：组织结构体现职责明确、相互制约的原则，各部门有明确的授权分工，操作相互独立；</w:t>
      </w:r>
    </w:p>
    <w:p w14:paraId="6BFD90E3"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）成本效益原则：运用科学化的经营管理方法降低运作成本，提高经济效益，以</w:t>
      </w:r>
      <w:r>
        <w:rPr>
          <w:rFonts w:ascii="宋体" w:hAnsi="宋体" w:hint="eastAsia"/>
          <w:color w:val="000000"/>
        </w:rPr>
        <w:t>合理的控制成本达到最佳的内部控制效果。</w:t>
      </w:r>
    </w:p>
    <w:p w14:paraId="79AC5138" w14:textId="77777777" w:rsidR="00BF38BB" w:rsidRDefault="002837D7">
      <w:pPr>
        <w:spacing w:line="360" w:lineRule="auto"/>
        <w:ind w:firstLineChars="200" w:firstLine="420"/>
        <w:rPr>
          <w:rFonts w:ascii="宋体" w:hAnsi="宋体"/>
          <w:color w:val="000000"/>
        </w:rPr>
      </w:pPr>
      <w:r>
        <w:rPr>
          <w:rFonts w:ascii="宋体" w:hAnsi="宋体" w:hint="eastAsia"/>
          <w:color w:val="000000"/>
        </w:rPr>
        <w:t>3</w:t>
      </w:r>
      <w:r>
        <w:rPr>
          <w:rFonts w:ascii="宋体" w:hAnsi="宋体" w:hint="eastAsia"/>
          <w:color w:val="000000"/>
        </w:rPr>
        <w:t>、内部控制组织体系</w:t>
      </w:r>
    </w:p>
    <w:p w14:paraId="62B4BBD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公司董事会对公司建立内部控制系统和维持其有效性承担最终责任。董事会下设合规与风险控制委员会，督促公司经理层履行职责建立有效的财务控制、内部控制的系统及制度，充分发挥独立董事监督职能，保护投资者利益和公司合法权益。</w:t>
      </w:r>
    </w:p>
    <w:p w14:paraId="4A961F1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）投资决策委员会为公司投资管理的最高决策机构，由总经理、投资总监及资深基金经理组成，负责指导基金资产的运作、确定基本的投资策略和投资组合的原则。</w:t>
      </w:r>
    </w:p>
    <w:p w14:paraId="7C345B5F"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）风险控制委员会为公司风险管理的最高决策机构，由公司总经理、督察长及相关总监组成，负责全面评估公司经营管理过程中的各项风险，并提出防范化解措施。</w:t>
      </w:r>
    </w:p>
    <w:p w14:paraId="7FA2426B"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）督察长积极对公司各项制度、业务的合法合规性及公司内部控制制度的执行情况进行监察、稽核，定期和不定期向董事会报告公司内部控制执行情况。</w:t>
      </w:r>
    </w:p>
    <w:p w14:paraId="0EDB0D44"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合规管理部门：公司管理层重视和支持合规风控工作，并保证合规管理部门的独立性和权威性，配备了充足合格的合规风控人员，明确合规管理部门及其各岗位的职责和工作流程、组织纪律。合规管理部门具体负责公司各项制度、业务的合法合规</w:t>
      </w:r>
      <w:r>
        <w:rPr>
          <w:rFonts w:ascii="宋体" w:hAnsi="宋体" w:hint="eastAsia"/>
          <w:color w:val="000000"/>
        </w:rPr>
        <w:t>性及公司内部控制制度的执行情况的监控检查工作。</w:t>
      </w:r>
    </w:p>
    <w:p w14:paraId="0498B01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6</w:t>
      </w:r>
      <w:r>
        <w:rPr>
          <w:rFonts w:ascii="宋体" w:hAnsi="宋体" w:hint="eastAsia"/>
          <w:color w:val="000000"/>
        </w:rPr>
        <w:t>）业务部门：部门负责人为所在部门的风险控制第一责任人，对本部门业务范围内的风险负有管控及时报告的义务。</w:t>
      </w:r>
    </w:p>
    <w:p w14:paraId="70A71ECA"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7</w:t>
      </w:r>
      <w:r>
        <w:rPr>
          <w:rFonts w:ascii="宋体" w:hAnsi="宋体" w:hint="eastAsia"/>
          <w:color w:val="000000"/>
        </w:rPr>
        <w:t>）岗位员工：公司努力树立内控优先和风险管理理念，培养全体员工的风险防范意识，营造一个浓厚的内控文化氛围，保证全体员工及时了解国家法律法规和公司规章制度，使风险意识贯穿到公司各个部门、各个岗位和各个环节。员工在其岗位职责范围内承担相应的内控责任，并负有对岗位工作中发现的风险</w:t>
      </w:r>
      <w:r>
        <w:rPr>
          <w:rFonts w:ascii="宋体" w:hAnsi="宋体" w:hint="eastAsia"/>
          <w:color w:val="000000"/>
        </w:rPr>
        <w:lastRenderedPageBreak/>
        <w:t>隐患或风险问题及时报告、反馈的义务。</w:t>
      </w:r>
    </w:p>
    <w:p w14:paraId="56552870" w14:textId="77777777" w:rsidR="00BF38BB" w:rsidRDefault="002837D7">
      <w:pPr>
        <w:spacing w:line="360" w:lineRule="auto"/>
        <w:ind w:firstLineChars="200" w:firstLine="420"/>
        <w:rPr>
          <w:rFonts w:ascii="宋体" w:hAnsi="宋体"/>
          <w:color w:val="000000"/>
        </w:rPr>
      </w:pPr>
      <w:r>
        <w:rPr>
          <w:rFonts w:ascii="宋体" w:hAnsi="宋体" w:hint="eastAsia"/>
          <w:color w:val="000000"/>
        </w:rPr>
        <w:t>4</w:t>
      </w:r>
      <w:r>
        <w:rPr>
          <w:rFonts w:ascii="宋体" w:hAnsi="宋体" w:hint="eastAsia"/>
          <w:color w:val="000000"/>
        </w:rPr>
        <w:t>、内部控制措施</w:t>
      </w:r>
    </w:p>
    <w:p w14:paraId="1BFD30A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公司确立“制度上控制风险、技术上量化风险”，积极吸收或采用先进的风险控制技术和手段，进行内部控制和风险管理。</w:t>
      </w:r>
    </w:p>
    <w:p w14:paraId="5B41041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）公司逐步健全法人治理结构，充分发挥独立董事和监事会的监督职能，严禁不正当关联交易、利益输送和内部人控制现象的发生，保护投资者利益和公司合法权益。</w:t>
      </w:r>
    </w:p>
    <w:p w14:paraId="684786E7"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公司设置的组织结构，充分体现职责明确、相互制约的原则，各部门均有明确的授权分工，操作相互独立。公司逐步建立决策科学、运营规范、管理高效的运行机制，包括民主、透明的决策程序和管理议事规则，高效、严谨的业务执行系统，以及健全、有效的内部监督和反馈系</w:t>
      </w:r>
      <w:r>
        <w:rPr>
          <w:rFonts w:ascii="宋体" w:hAnsi="宋体" w:hint="eastAsia"/>
          <w:color w:val="000000"/>
        </w:rPr>
        <w:t>统。</w:t>
      </w:r>
    </w:p>
    <w:p w14:paraId="1B0F38DE"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）公司设立了顺序递进、权责统一、严密有效的内控防线：</w:t>
      </w:r>
    </w:p>
    <w:p w14:paraId="3205542C" w14:textId="77777777" w:rsidR="00BF38BB" w:rsidRDefault="002837D7">
      <w:pPr>
        <w:spacing w:line="360" w:lineRule="auto"/>
        <w:ind w:firstLineChars="200" w:firstLine="420"/>
        <w:rPr>
          <w:rFonts w:ascii="宋体" w:hAnsi="宋体"/>
          <w:color w:val="000000"/>
        </w:rPr>
      </w:pPr>
      <w:r>
        <w:rPr>
          <w:rFonts w:ascii="宋体" w:hAnsi="宋体" w:hint="eastAsia"/>
          <w:color w:val="000000"/>
        </w:rPr>
        <w:t>①各岗位职责明确，有详细的岗位说明书和业务流程，各岗位人员在上岗前均应知悉并以书面方式承诺遵守，在授权范围内承担责任；</w:t>
      </w:r>
    </w:p>
    <w:p w14:paraId="117AE65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②建立重要业务处理凭据传递和信息沟通制度，相关部门和岗位之间相互监督制衡。</w:t>
      </w:r>
    </w:p>
    <w:p w14:paraId="32E26C19"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）公司建立有效的人力资源管理制度，健全激励约束机制，确保公司人员具备与岗位要求相适应的职业操守和专业胜任能力。</w:t>
      </w:r>
    </w:p>
    <w:p w14:paraId="3359B72D"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）公司建立科学严密的风险评估体系，对公司内外部风险进行识别、评估和分析，及时防范和化解风险。</w:t>
      </w:r>
    </w:p>
    <w:p w14:paraId="13D506C0"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6</w:t>
      </w:r>
      <w:r>
        <w:rPr>
          <w:rFonts w:ascii="宋体" w:hAnsi="宋体" w:hint="eastAsia"/>
          <w:color w:val="000000"/>
        </w:rPr>
        <w:t>）授权控制应当贯穿于公司经营活动的</w:t>
      </w:r>
      <w:r>
        <w:rPr>
          <w:rFonts w:ascii="宋体" w:hAnsi="宋体" w:hint="eastAsia"/>
          <w:color w:val="000000"/>
        </w:rPr>
        <w:t>始终，授权控制的主要内容包括：</w:t>
      </w:r>
    </w:p>
    <w:p w14:paraId="6E70BF93" w14:textId="77777777" w:rsidR="00BF38BB" w:rsidRDefault="002837D7">
      <w:pPr>
        <w:spacing w:line="360" w:lineRule="auto"/>
        <w:ind w:firstLineChars="200" w:firstLine="420"/>
        <w:rPr>
          <w:rFonts w:ascii="宋体" w:hAnsi="宋体"/>
          <w:color w:val="000000"/>
        </w:rPr>
      </w:pPr>
      <w:r>
        <w:rPr>
          <w:rFonts w:ascii="宋体" w:hAnsi="宋体" w:hint="eastAsia"/>
          <w:color w:val="000000"/>
        </w:rPr>
        <w:t>①股东会、董事会、监事会和管理层充分了解和履行各自的职权，建立健全公司授权标准和程序，确保授权制度的贯彻执行；</w:t>
      </w:r>
    </w:p>
    <w:p w14:paraId="767263B5" w14:textId="77777777" w:rsidR="00BF38BB" w:rsidRDefault="002837D7">
      <w:pPr>
        <w:spacing w:line="360" w:lineRule="auto"/>
        <w:ind w:firstLineChars="200" w:firstLine="420"/>
        <w:rPr>
          <w:rFonts w:ascii="宋体" w:hAnsi="宋体"/>
          <w:color w:val="000000"/>
        </w:rPr>
      </w:pPr>
      <w:r>
        <w:rPr>
          <w:rFonts w:ascii="宋体" w:hAnsi="宋体" w:hint="eastAsia"/>
          <w:color w:val="000000"/>
        </w:rPr>
        <w:t>②公司各部门、分公司及员工在规定授权范围内行使相应的职责；</w:t>
      </w:r>
    </w:p>
    <w:p w14:paraId="1D6819F5" w14:textId="77777777" w:rsidR="00BF38BB" w:rsidRDefault="002837D7">
      <w:pPr>
        <w:spacing w:line="360" w:lineRule="auto"/>
        <w:ind w:firstLineChars="200" w:firstLine="420"/>
        <w:rPr>
          <w:rFonts w:ascii="宋体" w:hAnsi="宋体"/>
          <w:color w:val="000000"/>
        </w:rPr>
      </w:pPr>
      <w:r>
        <w:rPr>
          <w:rFonts w:ascii="宋体" w:hAnsi="宋体" w:hint="eastAsia"/>
          <w:color w:val="000000"/>
        </w:rPr>
        <w:t>③重大业务授权采取书面形式，授权书应当明确授权内容和时效；</w:t>
      </w:r>
    </w:p>
    <w:p w14:paraId="3DB88194" w14:textId="77777777" w:rsidR="00BF38BB" w:rsidRDefault="002837D7">
      <w:pPr>
        <w:spacing w:line="360" w:lineRule="auto"/>
        <w:ind w:firstLineChars="200" w:firstLine="420"/>
        <w:rPr>
          <w:rFonts w:ascii="宋体" w:hAnsi="宋体"/>
          <w:color w:val="000000"/>
        </w:rPr>
      </w:pPr>
      <w:r>
        <w:rPr>
          <w:rFonts w:ascii="宋体" w:hAnsi="宋体" w:hint="eastAsia"/>
          <w:color w:val="000000"/>
        </w:rPr>
        <w:t>④对已获授权的部门和人员建立有效的评价和反馈机制，对已不适用的授权应及时修改或取消授权。</w:t>
      </w:r>
    </w:p>
    <w:p w14:paraId="6A4FDFBB"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7</w:t>
      </w:r>
      <w:r>
        <w:rPr>
          <w:rFonts w:ascii="宋体" w:hAnsi="宋体" w:hint="eastAsia"/>
          <w:color w:val="000000"/>
        </w:rPr>
        <w:t>）建立完善的基金财务核算与基金资产估值系统和资产分离制度，基金资产与公司自有资产、其他委托资产以及不同基金的资产之间实行独立运作，分别核算，及时、准确和完</w:t>
      </w:r>
      <w:r>
        <w:rPr>
          <w:rFonts w:ascii="宋体" w:hAnsi="宋体" w:hint="eastAsia"/>
          <w:color w:val="000000"/>
        </w:rPr>
        <w:t>整地反映基金资产的状况。</w:t>
      </w:r>
    </w:p>
    <w:p w14:paraId="15470864"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8</w:t>
      </w:r>
      <w:r>
        <w:rPr>
          <w:rFonts w:ascii="宋体" w:hAnsi="宋体" w:hint="eastAsia"/>
          <w:color w:val="000000"/>
        </w:rPr>
        <w:t>）建立科学、严格的岗位分离制度，明确划分各岗位职责，投资和交易、交易和清算、基金会计和公司会计等重要岗位不得有人员的重叠。投资、研究、交易、</w:t>
      </w:r>
      <w:r>
        <w:rPr>
          <w:rFonts w:ascii="宋体" w:hAnsi="宋体" w:hint="eastAsia"/>
          <w:color w:val="000000"/>
        </w:rPr>
        <w:t>IT</w:t>
      </w:r>
      <w:r>
        <w:rPr>
          <w:rFonts w:ascii="宋体" w:hAnsi="宋体" w:hint="eastAsia"/>
          <w:color w:val="000000"/>
        </w:rPr>
        <w:t>等重要业务部门和岗位进行物理隔离。</w:t>
      </w:r>
    </w:p>
    <w:p w14:paraId="611996AE"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9</w:t>
      </w:r>
      <w:r>
        <w:rPr>
          <w:rFonts w:ascii="宋体" w:hAnsi="宋体" w:hint="eastAsia"/>
          <w:color w:val="000000"/>
        </w:rPr>
        <w:t>）建立和维护信息管理系统，严格信息管理，保证客户资料等信息安全、真实和完整。积极维护信息沟通渠道的畅通，建立清晰的报告系统，各级领导、部门及员工均有明确的报告途径。</w:t>
      </w:r>
    </w:p>
    <w:p w14:paraId="2DB66D73"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10</w:t>
      </w:r>
      <w:r>
        <w:rPr>
          <w:rFonts w:ascii="宋体" w:hAnsi="宋体" w:hint="eastAsia"/>
          <w:color w:val="000000"/>
        </w:rPr>
        <w:t>）建立和完善客户服务标准，加强基金销售管理，规范基金宣传推介，不得有不正当销售行为和不</w:t>
      </w:r>
      <w:r>
        <w:rPr>
          <w:rFonts w:ascii="宋体" w:hAnsi="宋体" w:hint="eastAsia"/>
          <w:color w:val="000000"/>
        </w:rPr>
        <w:lastRenderedPageBreak/>
        <w:t>正当竞争行为。</w:t>
      </w:r>
    </w:p>
    <w:p w14:paraId="4A919F41"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11</w:t>
      </w:r>
      <w:r>
        <w:rPr>
          <w:rFonts w:ascii="宋体" w:hAnsi="宋体" w:hint="eastAsia"/>
          <w:color w:val="000000"/>
        </w:rPr>
        <w:t>）制订切实有效的应</w:t>
      </w:r>
      <w:r>
        <w:rPr>
          <w:rFonts w:ascii="宋体" w:hAnsi="宋体" w:hint="eastAsia"/>
          <w:color w:val="000000"/>
        </w:rPr>
        <w:t>急应变措施，建立危机处理机制和程序，对发生严重影响基金份额持有人利益、可能引起系统性风险、严重影响社会稳定的突发事件，按照预案妥善处理。</w:t>
      </w:r>
    </w:p>
    <w:p w14:paraId="4F976F95" w14:textId="77777777" w:rsidR="00BF38BB" w:rsidRDefault="002837D7">
      <w:pPr>
        <w:spacing w:line="360" w:lineRule="auto"/>
        <w:ind w:firstLineChars="200" w:firstLine="420"/>
        <w:rPr>
          <w:rFonts w:ascii="宋体" w:hAnsi="宋体"/>
          <w:color w:val="000000"/>
        </w:rPr>
      </w:pPr>
      <w:r>
        <w:rPr>
          <w:rFonts w:ascii="宋体" w:hAnsi="宋体" w:hint="eastAsia"/>
          <w:color w:val="000000"/>
          <w:lang w:val="zh-CN"/>
        </w:rPr>
        <w:t>（</w:t>
      </w:r>
      <w:r>
        <w:rPr>
          <w:rFonts w:ascii="宋体" w:hAnsi="宋体" w:hint="eastAsia"/>
          <w:color w:val="000000"/>
        </w:rPr>
        <w:t>12</w:t>
      </w:r>
      <w:r>
        <w:rPr>
          <w:rFonts w:ascii="宋体" w:hAnsi="宋体" w:hint="eastAsia"/>
          <w:color w:val="000000"/>
          <w:lang w:val="zh-CN"/>
        </w:rPr>
        <w:t>）公司建立健全内控制度，督察长、合规管理部门对公司内部控制制度的执行情况进行持续的监督，保证内部控制制度落实；定期评价内部控制的有效性并适时改进。</w:t>
      </w:r>
    </w:p>
    <w:p w14:paraId="7FA08157"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①对公司各项制度、业务的合法合规性进行监控核查，确保公司各项制度、业务符合有关法律、行政法规、部门规章及行业监管规则；</w:t>
      </w:r>
    </w:p>
    <w:p w14:paraId="4B8EDB1E" w14:textId="77777777" w:rsidR="00BF38BB" w:rsidRDefault="002837D7">
      <w:pPr>
        <w:spacing w:line="360" w:lineRule="auto"/>
        <w:ind w:firstLineChars="200" w:firstLine="420"/>
        <w:rPr>
          <w:rFonts w:ascii="宋体" w:hAnsi="宋体"/>
          <w:color w:val="000000"/>
        </w:rPr>
      </w:pPr>
      <w:r>
        <w:rPr>
          <w:rFonts w:ascii="宋体" w:hAnsi="宋体" w:hint="eastAsia"/>
          <w:color w:val="000000"/>
          <w:lang w:val="zh-CN"/>
        </w:rPr>
        <w:t>②对内部风险控制制度的持续监督。合规管理部门持续完善“风险责任授权体系”机制</w:t>
      </w:r>
      <w:r>
        <w:rPr>
          <w:rFonts w:ascii="宋体" w:hAnsi="宋体" w:hint="eastAsia"/>
          <w:color w:val="000000"/>
        </w:rPr>
        <w:t>，</w:t>
      </w:r>
      <w:r>
        <w:rPr>
          <w:rFonts w:ascii="宋体" w:hAnsi="宋体" w:hint="eastAsia"/>
          <w:color w:val="000000"/>
          <w:lang w:val="zh-CN"/>
        </w:rPr>
        <w:t>组织相关业务部门、岗位</w:t>
      </w:r>
      <w:r>
        <w:rPr>
          <w:rFonts w:ascii="宋体" w:hAnsi="宋体" w:hint="eastAsia"/>
          <w:color w:val="000000"/>
          <w:lang w:val="zh-CN"/>
        </w:rPr>
        <w:t>共同识别风险点，界定风险责任人，确保所有识别出的关键风险点均有对应控制措施，及时防范和化解风险；</w:t>
      </w:r>
    </w:p>
    <w:p w14:paraId="4278F91F" w14:textId="77777777" w:rsidR="00BF38BB" w:rsidRDefault="002837D7">
      <w:pPr>
        <w:spacing w:line="360" w:lineRule="auto"/>
        <w:ind w:firstLineChars="200" w:firstLine="420"/>
        <w:rPr>
          <w:rFonts w:ascii="宋体" w:hAnsi="宋体"/>
          <w:color w:val="000000"/>
        </w:rPr>
      </w:pPr>
      <w:r>
        <w:rPr>
          <w:rFonts w:ascii="宋体" w:hAnsi="宋体" w:hint="eastAsia"/>
          <w:color w:val="000000"/>
          <w:lang w:val="zh-CN"/>
        </w:rPr>
        <w:t>③督察长按照公司规定，向董事会、经营管理主要负责人报告</w:t>
      </w:r>
      <w:r>
        <w:rPr>
          <w:rFonts w:ascii="宋体" w:hAnsi="宋体" w:hint="eastAsia"/>
          <w:color w:val="000000"/>
        </w:rPr>
        <w:t>公司</w:t>
      </w:r>
      <w:r>
        <w:rPr>
          <w:rFonts w:ascii="宋体" w:hAnsi="宋体" w:hint="eastAsia"/>
          <w:color w:val="000000"/>
          <w:lang w:val="zh-CN"/>
        </w:rPr>
        <w:t>经营管理的合法合规情况和合规管理工作开展情况。</w:t>
      </w:r>
    </w:p>
    <w:p w14:paraId="35F9F154" w14:textId="77777777" w:rsidR="00BF38BB" w:rsidRDefault="002837D7">
      <w:pPr>
        <w:spacing w:line="360" w:lineRule="auto"/>
        <w:ind w:firstLineChars="200" w:firstLine="420"/>
        <w:rPr>
          <w:rFonts w:ascii="宋体" w:hAnsi="宋体"/>
          <w:color w:val="000000"/>
        </w:rPr>
      </w:pPr>
      <w:r>
        <w:rPr>
          <w:rFonts w:ascii="宋体" w:hAnsi="宋体" w:hint="eastAsia"/>
          <w:color w:val="000000"/>
        </w:rPr>
        <w:t>5</w:t>
      </w:r>
      <w:r>
        <w:rPr>
          <w:rFonts w:ascii="宋体" w:hAnsi="宋体" w:hint="eastAsia"/>
          <w:color w:val="000000"/>
        </w:rPr>
        <w:t>、基金管理人关于内部控制的声明</w:t>
      </w:r>
    </w:p>
    <w:p w14:paraId="50ABFFE7" w14:textId="77777777" w:rsidR="00BF38BB" w:rsidRDefault="002837D7">
      <w:pPr>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）基金管理人承诺以上关于内部控制的披露真实、准确；</w:t>
      </w:r>
    </w:p>
    <w:p w14:paraId="71851955" w14:textId="77777777" w:rsidR="00BF38BB" w:rsidRDefault="002837D7">
      <w:pPr>
        <w:spacing w:line="360" w:lineRule="auto"/>
        <w:ind w:firstLine="42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）基金管理人承诺根据市场变化和公司发展不断完善内部控制体系和内部控制制度。</w:t>
      </w:r>
    </w:p>
    <w:p w14:paraId="1A29B89C" w14:textId="77777777" w:rsidR="00BF38BB" w:rsidRDefault="002837D7">
      <w:pPr>
        <w:spacing w:line="360" w:lineRule="auto"/>
        <w:ind w:firstLine="420"/>
        <w:rPr>
          <w:rFonts w:ascii="宋体" w:hAnsi="宋体"/>
          <w:kern w:val="0"/>
        </w:rPr>
      </w:pPr>
      <w:r>
        <w:rPr>
          <w:rFonts w:ascii="宋体" w:hAnsi="宋体"/>
          <w:color w:val="000000"/>
        </w:rPr>
        <w:t xml:space="preserve">  </w:t>
      </w:r>
    </w:p>
    <w:p w14:paraId="4D9BED59"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36" w:name="_Toc69916729"/>
      <w:r>
        <w:rPr>
          <w:rFonts w:hAnsi="宋体"/>
          <w:color w:val="auto"/>
          <w:kern w:val="44"/>
          <w:sz w:val="21"/>
        </w:rPr>
        <w:lastRenderedPageBreak/>
        <w:t>四、基金托管人</w:t>
      </w:r>
      <w:bookmarkEnd w:id="29"/>
      <w:bookmarkEnd w:id="30"/>
      <w:bookmarkEnd w:id="31"/>
      <w:bookmarkEnd w:id="36"/>
    </w:p>
    <w:p w14:paraId="71ED3D68"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 xml:space="preserve"> </w:t>
      </w:r>
      <w:r>
        <w:rPr>
          <w:rFonts w:ascii="宋体" w:hAnsi="宋体" w:hint="eastAsia"/>
          <w:color w:val="000000"/>
          <w:lang w:val="zh-CN"/>
        </w:rPr>
        <w:t>（一）基金托管人基本情况</w:t>
      </w:r>
    </w:p>
    <w:p w14:paraId="3559A2F6"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1</w:t>
      </w:r>
      <w:r>
        <w:rPr>
          <w:rFonts w:ascii="宋体" w:hAnsi="宋体" w:hint="eastAsia"/>
          <w:color w:val="000000"/>
          <w:lang w:val="zh-CN"/>
        </w:rPr>
        <w:t>、基金托管人概况</w:t>
      </w:r>
    </w:p>
    <w:p w14:paraId="4ACD8BA9"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公司法定中文名称：交通银行股份有限公司（简称：交通银行）</w:t>
      </w:r>
    </w:p>
    <w:p w14:paraId="4A73B97F"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公司法定英文名称：</w:t>
      </w:r>
      <w:r>
        <w:rPr>
          <w:rFonts w:ascii="宋体" w:hAnsi="宋体" w:hint="eastAsia"/>
          <w:color w:val="000000"/>
          <w:lang w:val="zh-CN"/>
        </w:rPr>
        <w:t>Bank of Communications Co., Ltd.</w:t>
      </w:r>
    </w:p>
    <w:p w14:paraId="54A01494"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法定代表人：任德奇</w:t>
      </w:r>
    </w:p>
    <w:p w14:paraId="1C424AA2"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住</w:t>
      </w:r>
      <w:r>
        <w:rPr>
          <w:rFonts w:ascii="宋体" w:hAnsi="宋体" w:hint="eastAsia"/>
          <w:color w:val="000000"/>
          <w:lang w:val="zh-CN"/>
        </w:rPr>
        <w:t xml:space="preserve">    </w:t>
      </w:r>
      <w:r>
        <w:rPr>
          <w:rFonts w:ascii="宋体" w:hAnsi="宋体" w:hint="eastAsia"/>
          <w:color w:val="000000"/>
          <w:lang w:val="zh-CN"/>
        </w:rPr>
        <w:t>所：中国（上海）自由贸易试验区银城中路</w:t>
      </w:r>
      <w:r>
        <w:rPr>
          <w:rFonts w:ascii="宋体" w:hAnsi="宋体" w:hint="eastAsia"/>
          <w:color w:val="000000"/>
          <w:lang w:val="zh-CN"/>
        </w:rPr>
        <w:t>188</w:t>
      </w:r>
      <w:r>
        <w:rPr>
          <w:rFonts w:ascii="宋体" w:hAnsi="宋体" w:hint="eastAsia"/>
          <w:color w:val="000000"/>
          <w:lang w:val="zh-CN"/>
        </w:rPr>
        <w:t>号</w:t>
      </w:r>
      <w:r>
        <w:rPr>
          <w:rFonts w:ascii="宋体" w:hAnsi="宋体" w:hint="eastAsia"/>
          <w:color w:val="000000"/>
          <w:lang w:val="zh-CN"/>
        </w:rPr>
        <w:t xml:space="preserve"> </w:t>
      </w:r>
    </w:p>
    <w:p w14:paraId="3635ECAA"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办公地址：上海市长宁区仙霞路</w:t>
      </w:r>
      <w:r>
        <w:rPr>
          <w:rFonts w:ascii="宋体" w:hAnsi="宋体" w:hint="eastAsia"/>
          <w:color w:val="000000"/>
          <w:lang w:val="zh-CN"/>
        </w:rPr>
        <w:t>18</w:t>
      </w:r>
      <w:r>
        <w:rPr>
          <w:rFonts w:ascii="宋体" w:hAnsi="宋体" w:hint="eastAsia"/>
          <w:color w:val="000000"/>
          <w:lang w:val="zh-CN"/>
        </w:rPr>
        <w:t>号</w:t>
      </w:r>
    </w:p>
    <w:p w14:paraId="4DC4F7FE"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邮政编码：</w:t>
      </w:r>
      <w:r>
        <w:rPr>
          <w:rFonts w:ascii="宋体" w:hAnsi="宋体" w:hint="eastAsia"/>
          <w:color w:val="000000"/>
          <w:lang w:val="zh-CN"/>
        </w:rPr>
        <w:t>200336</w:t>
      </w:r>
    </w:p>
    <w:p w14:paraId="186ABAFF"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注册时间：</w:t>
      </w:r>
      <w:r>
        <w:rPr>
          <w:rFonts w:ascii="宋体" w:hAnsi="宋体" w:hint="eastAsia"/>
          <w:color w:val="000000"/>
          <w:lang w:val="zh-CN"/>
        </w:rPr>
        <w:t>1987</w:t>
      </w:r>
      <w:r>
        <w:rPr>
          <w:rFonts w:ascii="宋体" w:hAnsi="宋体" w:hint="eastAsia"/>
          <w:color w:val="000000"/>
          <w:lang w:val="zh-CN"/>
        </w:rPr>
        <w:t>年</w:t>
      </w:r>
      <w:r>
        <w:rPr>
          <w:rFonts w:ascii="宋体" w:hAnsi="宋体" w:hint="eastAsia"/>
          <w:color w:val="000000"/>
          <w:lang w:val="zh-CN"/>
        </w:rPr>
        <w:t>3</w:t>
      </w:r>
      <w:r>
        <w:rPr>
          <w:rFonts w:ascii="宋体" w:hAnsi="宋体" w:hint="eastAsia"/>
          <w:color w:val="000000"/>
          <w:lang w:val="zh-CN"/>
        </w:rPr>
        <w:t>月</w:t>
      </w:r>
      <w:r>
        <w:rPr>
          <w:rFonts w:ascii="宋体" w:hAnsi="宋体" w:hint="eastAsia"/>
          <w:color w:val="000000"/>
          <w:lang w:val="zh-CN"/>
        </w:rPr>
        <w:t>30</w:t>
      </w:r>
      <w:r>
        <w:rPr>
          <w:rFonts w:ascii="宋体" w:hAnsi="宋体" w:hint="eastAsia"/>
          <w:color w:val="000000"/>
          <w:lang w:val="zh-CN"/>
        </w:rPr>
        <w:t>日</w:t>
      </w:r>
    </w:p>
    <w:p w14:paraId="51947571"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注册资本：</w:t>
      </w:r>
      <w:r>
        <w:rPr>
          <w:rFonts w:ascii="宋体" w:hAnsi="宋体" w:hint="eastAsia"/>
          <w:color w:val="000000"/>
          <w:lang w:val="zh-CN"/>
        </w:rPr>
        <w:t>883.64</w:t>
      </w:r>
      <w:r>
        <w:rPr>
          <w:rFonts w:ascii="宋体" w:hAnsi="宋体" w:hint="eastAsia"/>
          <w:color w:val="000000"/>
          <w:lang w:val="zh-CN"/>
        </w:rPr>
        <w:t>亿元</w:t>
      </w:r>
    </w:p>
    <w:p w14:paraId="476A61B8"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基金托管资格批文及文号：中国证监会证监基字</w:t>
      </w:r>
      <w:r>
        <w:rPr>
          <w:rFonts w:ascii="宋体" w:hAnsi="宋体" w:hint="eastAsia"/>
          <w:color w:val="000000"/>
          <w:lang w:val="zh-CN"/>
        </w:rPr>
        <w:t>[1998]25</w:t>
      </w:r>
      <w:r>
        <w:rPr>
          <w:rFonts w:ascii="宋体" w:hAnsi="宋体" w:hint="eastAsia"/>
          <w:color w:val="000000"/>
          <w:lang w:val="zh-CN"/>
        </w:rPr>
        <w:t>号</w:t>
      </w:r>
    </w:p>
    <w:p w14:paraId="57339860"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联系人：方圆</w:t>
      </w:r>
    </w:p>
    <w:p w14:paraId="71696E1E"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电</w:t>
      </w:r>
      <w:r>
        <w:rPr>
          <w:rFonts w:ascii="宋体" w:hAnsi="宋体" w:hint="eastAsia"/>
          <w:color w:val="000000"/>
          <w:lang w:val="zh-CN"/>
        </w:rPr>
        <w:t xml:space="preserve">  </w:t>
      </w:r>
      <w:r>
        <w:rPr>
          <w:rFonts w:ascii="宋体" w:hAnsi="宋体" w:hint="eastAsia"/>
          <w:color w:val="000000"/>
          <w:lang w:val="zh-CN"/>
        </w:rPr>
        <w:t>话：</w:t>
      </w:r>
      <w:r>
        <w:rPr>
          <w:rFonts w:ascii="宋体" w:hAnsi="宋体" w:hint="eastAsia"/>
          <w:color w:val="000000"/>
          <w:lang w:val="zh-CN"/>
        </w:rPr>
        <w:t>95559</w:t>
      </w:r>
    </w:p>
    <w:p w14:paraId="74B26D88"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交通银行始建于</w:t>
      </w:r>
      <w:r>
        <w:rPr>
          <w:rFonts w:ascii="宋体" w:hAnsi="宋体" w:hint="eastAsia"/>
          <w:color w:val="000000"/>
          <w:lang w:val="zh-CN"/>
        </w:rPr>
        <w:t>1908</w:t>
      </w:r>
      <w:r>
        <w:rPr>
          <w:rFonts w:ascii="宋体" w:hAnsi="宋体" w:hint="eastAsia"/>
          <w:color w:val="000000"/>
          <w:lang w:val="zh-CN"/>
        </w:rPr>
        <w:t>年，是中国历史最悠久的银行之一，也是近代中国的发钞行之一。</w:t>
      </w:r>
      <w:r>
        <w:rPr>
          <w:rFonts w:ascii="宋体" w:hAnsi="宋体" w:hint="eastAsia"/>
          <w:color w:val="000000"/>
          <w:lang w:val="zh-CN"/>
        </w:rPr>
        <w:t>1987</w:t>
      </w:r>
      <w:r>
        <w:rPr>
          <w:rFonts w:ascii="宋体" w:hAnsi="宋体" w:hint="eastAsia"/>
          <w:color w:val="000000"/>
          <w:lang w:val="zh-CN"/>
        </w:rPr>
        <w:t>年重新组建后的交通银行正式对外营业，成为中</w:t>
      </w:r>
      <w:r>
        <w:rPr>
          <w:rFonts w:ascii="宋体" w:hAnsi="宋体" w:hint="eastAsia"/>
          <w:color w:val="000000"/>
          <w:lang w:val="zh-CN"/>
        </w:rPr>
        <w:t>国第一家全国性的国有股份制商业银行，总部设在上海。</w:t>
      </w:r>
      <w:r>
        <w:rPr>
          <w:rFonts w:ascii="宋体" w:hAnsi="宋体" w:hint="eastAsia"/>
          <w:color w:val="000000"/>
          <w:lang w:val="zh-CN"/>
        </w:rPr>
        <w:t>2005</w:t>
      </w:r>
      <w:r>
        <w:rPr>
          <w:rFonts w:ascii="宋体" w:hAnsi="宋体" w:hint="eastAsia"/>
          <w:color w:val="000000"/>
          <w:lang w:val="zh-CN"/>
        </w:rPr>
        <w:t>年</w:t>
      </w:r>
      <w:r>
        <w:rPr>
          <w:rFonts w:ascii="宋体" w:hAnsi="宋体" w:hint="eastAsia"/>
          <w:color w:val="000000"/>
          <w:lang w:val="zh-CN"/>
        </w:rPr>
        <w:t>6</w:t>
      </w:r>
      <w:r>
        <w:rPr>
          <w:rFonts w:ascii="宋体" w:hAnsi="宋体" w:hint="eastAsia"/>
          <w:color w:val="000000"/>
          <w:lang w:val="zh-CN"/>
        </w:rPr>
        <w:t>月交通银行在香港联合交易所挂牌上市，</w:t>
      </w:r>
      <w:r>
        <w:rPr>
          <w:rFonts w:ascii="宋体" w:hAnsi="宋体" w:hint="eastAsia"/>
          <w:color w:val="000000"/>
          <w:lang w:val="zh-CN"/>
        </w:rPr>
        <w:t>2007</w:t>
      </w:r>
      <w:r>
        <w:rPr>
          <w:rFonts w:ascii="宋体" w:hAnsi="宋体" w:hint="eastAsia"/>
          <w:color w:val="000000"/>
          <w:lang w:val="zh-CN"/>
        </w:rPr>
        <w:t>年</w:t>
      </w:r>
      <w:r>
        <w:rPr>
          <w:rFonts w:ascii="宋体" w:hAnsi="宋体" w:hint="eastAsia"/>
          <w:color w:val="000000"/>
          <w:lang w:val="zh-CN"/>
        </w:rPr>
        <w:t>5</w:t>
      </w:r>
      <w:r>
        <w:rPr>
          <w:rFonts w:ascii="宋体" w:hAnsi="宋体" w:hint="eastAsia"/>
          <w:color w:val="000000"/>
          <w:lang w:val="zh-CN"/>
        </w:rPr>
        <w:t>月在上海证券交易所挂牌上市。交通银行连续</w:t>
      </w:r>
      <w:r>
        <w:rPr>
          <w:rFonts w:ascii="宋体" w:hAnsi="宋体" w:hint="eastAsia"/>
          <w:color w:val="000000"/>
          <w:lang w:val="zh-CN"/>
        </w:rPr>
        <w:t>17</w:t>
      </w:r>
      <w:r>
        <w:rPr>
          <w:rFonts w:ascii="宋体" w:hAnsi="宋体" w:hint="eastAsia"/>
          <w:color w:val="000000"/>
          <w:lang w:val="zh-CN"/>
        </w:rPr>
        <w:t>年跻身《财富》</w:t>
      </w:r>
      <w:r>
        <w:rPr>
          <w:rFonts w:ascii="宋体" w:hAnsi="宋体" w:hint="eastAsia"/>
          <w:color w:val="000000"/>
          <w:lang w:val="zh-CN"/>
        </w:rPr>
        <w:t>(FORTUNE)</w:t>
      </w:r>
      <w:r>
        <w:rPr>
          <w:rFonts w:ascii="宋体" w:hAnsi="宋体" w:hint="eastAsia"/>
          <w:color w:val="000000"/>
          <w:lang w:val="zh-CN"/>
        </w:rPr>
        <w:t>世界</w:t>
      </w:r>
      <w:r>
        <w:rPr>
          <w:rFonts w:ascii="宋体" w:hAnsi="宋体" w:hint="eastAsia"/>
          <w:color w:val="000000"/>
          <w:lang w:val="zh-CN"/>
        </w:rPr>
        <w:t>500</w:t>
      </w:r>
      <w:r>
        <w:rPr>
          <w:rFonts w:ascii="宋体" w:hAnsi="宋体" w:hint="eastAsia"/>
          <w:color w:val="000000"/>
          <w:lang w:val="zh-CN"/>
        </w:rPr>
        <w:t>强，营业收入排名第</w:t>
      </w:r>
      <w:r>
        <w:rPr>
          <w:rFonts w:ascii="宋体" w:hAnsi="宋体" w:hint="eastAsia"/>
          <w:color w:val="000000"/>
          <w:lang w:val="zh-CN"/>
        </w:rPr>
        <w:t>168</w:t>
      </w:r>
      <w:r>
        <w:rPr>
          <w:rFonts w:ascii="宋体" w:hAnsi="宋体" w:hint="eastAsia"/>
          <w:color w:val="000000"/>
          <w:lang w:val="zh-CN"/>
        </w:rPr>
        <w:t>位；列《银行家》</w:t>
      </w:r>
      <w:r>
        <w:rPr>
          <w:rFonts w:ascii="宋体" w:hAnsi="宋体" w:hint="eastAsia"/>
          <w:color w:val="000000"/>
          <w:lang w:val="zh-CN"/>
        </w:rPr>
        <w:t>(The Banker)</w:t>
      </w:r>
      <w:r>
        <w:rPr>
          <w:rFonts w:ascii="宋体" w:hAnsi="宋体" w:hint="eastAsia"/>
          <w:color w:val="000000"/>
          <w:lang w:val="zh-CN"/>
        </w:rPr>
        <w:t>杂志全球千家大银行一级资本排名第</w:t>
      </w:r>
      <w:r>
        <w:rPr>
          <w:rFonts w:ascii="宋体" w:hAnsi="宋体" w:hint="eastAsia"/>
          <w:color w:val="000000"/>
          <w:lang w:val="zh-CN"/>
        </w:rPr>
        <w:t>9</w:t>
      </w:r>
      <w:r>
        <w:rPr>
          <w:rFonts w:ascii="宋体" w:hAnsi="宋体" w:hint="eastAsia"/>
          <w:color w:val="000000"/>
          <w:lang w:val="zh-CN"/>
        </w:rPr>
        <w:t>位。</w:t>
      </w:r>
    </w:p>
    <w:p w14:paraId="7C20E553"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截至</w:t>
      </w:r>
      <w:r>
        <w:rPr>
          <w:rFonts w:ascii="宋体" w:hAnsi="宋体" w:hint="eastAsia"/>
          <w:color w:val="000000"/>
          <w:lang w:val="zh-CN"/>
        </w:rPr>
        <w:t>2026</w:t>
      </w:r>
      <w:r>
        <w:rPr>
          <w:rFonts w:ascii="宋体" w:hAnsi="宋体" w:hint="eastAsia"/>
          <w:color w:val="000000"/>
          <w:lang w:val="zh-CN"/>
        </w:rPr>
        <w:t>年</w:t>
      </w:r>
      <w:r>
        <w:rPr>
          <w:rFonts w:ascii="宋体" w:hAnsi="宋体" w:hint="eastAsia"/>
          <w:color w:val="000000"/>
          <w:lang w:val="zh-CN"/>
        </w:rPr>
        <w:t>3</w:t>
      </w:r>
      <w:r>
        <w:rPr>
          <w:rFonts w:ascii="宋体" w:hAnsi="宋体" w:hint="eastAsia"/>
          <w:color w:val="000000"/>
          <w:lang w:val="zh-CN"/>
        </w:rPr>
        <w:t>月</w:t>
      </w:r>
      <w:r>
        <w:rPr>
          <w:rFonts w:ascii="宋体" w:hAnsi="宋体" w:hint="eastAsia"/>
          <w:color w:val="000000"/>
          <w:lang w:val="zh-CN"/>
        </w:rPr>
        <w:t>31</w:t>
      </w:r>
      <w:r>
        <w:rPr>
          <w:rFonts w:ascii="宋体" w:hAnsi="宋体" w:hint="eastAsia"/>
          <w:color w:val="000000"/>
          <w:lang w:val="zh-CN"/>
        </w:rPr>
        <w:t>日，交通银行资产总额为人民币</w:t>
      </w:r>
      <w:r>
        <w:rPr>
          <w:rFonts w:ascii="宋体" w:hAnsi="宋体" w:hint="eastAsia"/>
          <w:color w:val="000000"/>
          <w:lang w:val="zh-CN"/>
        </w:rPr>
        <w:t>16.27</w:t>
      </w:r>
      <w:r>
        <w:rPr>
          <w:rFonts w:ascii="宋体" w:hAnsi="宋体" w:hint="eastAsia"/>
          <w:color w:val="000000"/>
          <w:lang w:val="zh-CN"/>
        </w:rPr>
        <w:t>万亿元。</w:t>
      </w:r>
      <w:r>
        <w:rPr>
          <w:rFonts w:ascii="宋体" w:hAnsi="宋体" w:hint="eastAsia"/>
          <w:color w:val="000000"/>
          <w:lang w:val="zh-CN"/>
        </w:rPr>
        <w:t>2026</w:t>
      </w:r>
      <w:r>
        <w:rPr>
          <w:rFonts w:ascii="宋体" w:hAnsi="宋体" w:hint="eastAsia"/>
          <w:color w:val="000000"/>
          <w:lang w:val="zh-CN"/>
        </w:rPr>
        <w:t>年一季度交通银行实现净利润（归属于母公司股东）人民币</w:t>
      </w:r>
      <w:r>
        <w:rPr>
          <w:rFonts w:ascii="宋体" w:hAnsi="宋体" w:hint="eastAsia"/>
          <w:color w:val="000000"/>
          <w:lang w:val="zh-CN"/>
        </w:rPr>
        <w:t>261.62</w:t>
      </w:r>
      <w:r>
        <w:rPr>
          <w:rFonts w:ascii="宋体" w:hAnsi="宋体" w:hint="eastAsia"/>
          <w:color w:val="000000"/>
          <w:lang w:val="zh-CN"/>
        </w:rPr>
        <w:t>亿元。</w:t>
      </w:r>
    </w:p>
    <w:p w14:paraId="150AA926"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交通银行总行设资产托管部</w:t>
      </w:r>
      <w:r>
        <w:rPr>
          <w:rFonts w:ascii="宋体" w:hAnsi="宋体" w:hint="eastAsia"/>
          <w:color w:val="000000"/>
          <w:lang w:val="zh-CN"/>
        </w:rPr>
        <w:t>/</w:t>
      </w:r>
      <w:r>
        <w:rPr>
          <w:rFonts w:ascii="宋体" w:hAnsi="宋体" w:hint="eastAsia"/>
          <w:color w:val="000000"/>
          <w:lang w:val="zh-CN"/>
        </w:rPr>
        <w:t>资产托管业务发展中心（下文简称“托管部</w:t>
      </w:r>
      <w:r>
        <w:rPr>
          <w:rFonts w:ascii="宋体" w:hAnsi="宋体" w:hint="eastAsia"/>
          <w:color w:val="000000"/>
          <w:lang w:val="zh-CN"/>
        </w:rPr>
        <w:t>/</w:t>
      </w:r>
      <w:r>
        <w:rPr>
          <w:rFonts w:ascii="宋体" w:hAnsi="宋体" w:hint="eastAsia"/>
          <w:color w:val="000000"/>
          <w:lang w:val="zh-CN"/>
        </w:rPr>
        <w:t>托管发展中心”）。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14:paraId="5507E45B"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2</w:t>
      </w:r>
      <w:r>
        <w:rPr>
          <w:rFonts w:ascii="宋体" w:hAnsi="宋体" w:hint="eastAsia"/>
          <w:color w:val="000000"/>
          <w:lang w:val="zh-CN"/>
        </w:rPr>
        <w:t>、主要人员情况</w:t>
      </w:r>
    </w:p>
    <w:p w14:paraId="2AD050D3"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任德奇先生，董事长、执行董事，高级经济师。</w:t>
      </w:r>
    </w:p>
    <w:p w14:paraId="14B9795C"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任先生</w:t>
      </w:r>
      <w:r>
        <w:rPr>
          <w:rFonts w:ascii="宋体" w:hAnsi="宋体" w:hint="eastAsia"/>
          <w:color w:val="000000"/>
          <w:lang w:val="zh-CN"/>
        </w:rPr>
        <w:t>2020</w:t>
      </w:r>
      <w:r>
        <w:rPr>
          <w:rFonts w:ascii="宋体" w:hAnsi="宋体" w:hint="eastAsia"/>
          <w:color w:val="000000"/>
          <w:lang w:val="zh-CN"/>
        </w:rPr>
        <w:t>年</w:t>
      </w:r>
      <w:r>
        <w:rPr>
          <w:rFonts w:ascii="宋体" w:hAnsi="宋体" w:hint="eastAsia"/>
          <w:color w:val="000000"/>
          <w:lang w:val="zh-CN"/>
        </w:rPr>
        <w:t>1</w:t>
      </w:r>
      <w:r>
        <w:rPr>
          <w:rFonts w:ascii="宋体" w:hAnsi="宋体" w:hint="eastAsia"/>
          <w:color w:val="000000"/>
          <w:lang w:val="zh-CN"/>
        </w:rPr>
        <w:t>月起任本行董事长，</w:t>
      </w:r>
      <w:r>
        <w:rPr>
          <w:rFonts w:ascii="宋体" w:hAnsi="宋体" w:hint="eastAsia"/>
          <w:color w:val="000000"/>
          <w:lang w:val="zh-CN"/>
        </w:rPr>
        <w:t>2018</w:t>
      </w:r>
      <w:r>
        <w:rPr>
          <w:rFonts w:ascii="宋体" w:hAnsi="宋体" w:hint="eastAsia"/>
          <w:color w:val="000000"/>
          <w:lang w:val="zh-CN"/>
        </w:rPr>
        <w:t>年</w:t>
      </w:r>
      <w:r>
        <w:rPr>
          <w:rFonts w:ascii="宋体" w:hAnsi="宋体" w:hint="eastAsia"/>
          <w:color w:val="000000"/>
          <w:lang w:val="zh-CN"/>
        </w:rPr>
        <w:t>8</w:t>
      </w:r>
      <w:r>
        <w:rPr>
          <w:rFonts w:ascii="宋体" w:hAnsi="宋体" w:hint="eastAsia"/>
          <w:color w:val="000000"/>
          <w:lang w:val="zh-CN"/>
        </w:rPr>
        <w:t>月起任本行执行董事。曾任本行副董事长、执行董事、行长。曾任中国银行执行董事、副行长，期间曾兼任中银香港（控股）有限公司非执行董事，</w:t>
      </w:r>
      <w:r>
        <w:rPr>
          <w:rFonts w:ascii="宋体" w:hAnsi="宋体" w:hint="eastAsia"/>
          <w:color w:val="000000"/>
          <w:lang w:val="zh-CN"/>
        </w:rPr>
        <w:t>中国银行上海</w:t>
      </w:r>
      <w:r>
        <w:rPr>
          <w:rFonts w:ascii="宋体" w:hAnsi="宋体" w:hint="eastAsia"/>
          <w:color w:val="000000"/>
          <w:lang w:val="zh-CN"/>
        </w:rPr>
        <w:lastRenderedPageBreak/>
        <w:t>人民币交易业务总部总裁。曾任中国建设银行信贷审批部副总经理、风险监控部总经理、授信管理部总经理、湖北省分行行长、风险管理部总经理。任先生</w:t>
      </w:r>
      <w:r>
        <w:rPr>
          <w:rFonts w:ascii="宋体" w:hAnsi="宋体" w:hint="eastAsia"/>
          <w:color w:val="000000"/>
          <w:lang w:val="zh-CN"/>
        </w:rPr>
        <w:t>1988</w:t>
      </w:r>
      <w:r>
        <w:rPr>
          <w:rFonts w:ascii="宋体" w:hAnsi="宋体" w:hint="eastAsia"/>
          <w:color w:val="000000"/>
          <w:lang w:val="zh-CN"/>
        </w:rPr>
        <w:t>年于清华大学获工学硕士学位。</w:t>
      </w:r>
    </w:p>
    <w:p w14:paraId="2A717592"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张宝江先生，副董事长、执行董事、行长，高级经济师。</w:t>
      </w:r>
    </w:p>
    <w:p w14:paraId="5DB82FE3"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张先生</w:t>
      </w:r>
      <w:r>
        <w:rPr>
          <w:rFonts w:ascii="宋体" w:hAnsi="宋体" w:hint="eastAsia"/>
          <w:color w:val="000000"/>
          <w:lang w:val="zh-CN"/>
        </w:rPr>
        <w:t>2024</w:t>
      </w:r>
      <w:r>
        <w:rPr>
          <w:rFonts w:ascii="宋体" w:hAnsi="宋体" w:hint="eastAsia"/>
          <w:color w:val="000000"/>
          <w:lang w:val="zh-CN"/>
        </w:rPr>
        <w:t>年</w:t>
      </w:r>
      <w:r>
        <w:rPr>
          <w:rFonts w:ascii="宋体" w:hAnsi="宋体" w:hint="eastAsia"/>
          <w:color w:val="000000"/>
          <w:lang w:val="zh-CN"/>
        </w:rPr>
        <w:t>8</w:t>
      </w:r>
      <w:r>
        <w:rPr>
          <w:rFonts w:ascii="宋体" w:hAnsi="宋体" w:hint="eastAsia"/>
          <w:color w:val="000000"/>
          <w:lang w:val="zh-CN"/>
        </w:rPr>
        <w:t>月起任本行副董事长、执行董事，</w:t>
      </w:r>
      <w:r>
        <w:rPr>
          <w:rFonts w:ascii="宋体" w:hAnsi="宋体" w:hint="eastAsia"/>
          <w:color w:val="000000"/>
          <w:lang w:val="zh-CN"/>
        </w:rPr>
        <w:t>2024</w:t>
      </w:r>
      <w:r>
        <w:rPr>
          <w:rFonts w:ascii="宋体" w:hAnsi="宋体" w:hint="eastAsia"/>
          <w:color w:val="000000"/>
          <w:lang w:val="zh-CN"/>
        </w:rPr>
        <w:t>年</w:t>
      </w:r>
      <w:r>
        <w:rPr>
          <w:rFonts w:ascii="宋体" w:hAnsi="宋体" w:hint="eastAsia"/>
          <w:color w:val="000000"/>
          <w:lang w:val="zh-CN"/>
        </w:rPr>
        <w:t>6</w:t>
      </w:r>
      <w:r>
        <w:rPr>
          <w:rFonts w:ascii="宋体" w:hAnsi="宋体" w:hint="eastAsia"/>
          <w:color w:val="000000"/>
          <w:lang w:val="zh-CN"/>
        </w:rPr>
        <w:t>月起任本行行长；曾任中国农业发展银行副行长，安徽省分行行长，总行办公室主任，陕西省分行副行长，总行政策研究室副主任（主持工作）、办公室副主任、研究室副主任等职务。张先生</w:t>
      </w:r>
      <w:r>
        <w:rPr>
          <w:rFonts w:ascii="宋体" w:hAnsi="宋体" w:hint="eastAsia"/>
          <w:color w:val="000000"/>
          <w:lang w:val="zh-CN"/>
        </w:rPr>
        <w:t>1998</w:t>
      </w:r>
      <w:r>
        <w:rPr>
          <w:rFonts w:ascii="宋体" w:hAnsi="宋体" w:hint="eastAsia"/>
          <w:color w:val="000000"/>
          <w:lang w:val="zh-CN"/>
        </w:rPr>
        <w:t>年于中央党校研究生院获经济学硕士学位，</w:t>
      </w:r>
      <w:r>
        <w:rPr>
          <w:rFonts w:ascii="宋体" w:hAnsi="宋体" w:hint="eastAsia"/>
          <w:color w:val="000000"/>
          <w:lang w:val="zh-CN"/>
        </w:rPr>
        <w:t>2004</w:t>
      </w:r>
      <w:r>
        <w:rPr>
          <w:rFonts w:ascii="宋体" w:hAnsi="宋体" w:hint="eastAsia"/>
          <w:color w:val="000000"/>
          <w:lang w:val="zh-CN"/>
        </w:rPr>
        <w:t>年于中央党校研究生院获经济学博士学位。</w:t>
      </w:r>
    </w:p>
    <w:p w14:paraId="7E120D19"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孟羽先生，资产托管部</w:t>
      </w:r>
      <w:r>
        <w:rPr>
          <w:rFonts w:ascii="宋体" w:hAnsi="宋体" w:hint="eastAsia"/>
          <w:color w:val="000000"/>
          <w:lang w:val="zh-CN"/>
        </w:rPr>
        <w:t>/</w:t>
      </w:r>
      <w:r>
        <w:rPr>
          <w:rFonts w:ascii="宋体" w:hAnsi="宋体" w:hint="eastAsia"/>
          <w:color w:val="000000"/>
          <w:lang w:val="zh-CN"/>
        </w:rPr>
        <w:t>资产托管业务发展中心总经理。</w:t>
      </w:r>
    </w:p>
    <w:p w14:paraId="158D7F08"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孟先生</w:t>
      </w:r>
      <w:r>
        <w:rPr>
          <w:rFonts w:ascii="宋体" w:hAnsi="宋体" w:hint="eastAsia"/>
          <w:color w:val="000000"/>
          <w:lang w:val="zh-CN"/>
        </w:rPr>
        <w:t>2025</w:t>
      </w:r>
      <w:r>
        <w:rPr>
          <w:rFonts w:ascii="宋体" w:hAnsi="宋体" w:hint="eastAsia"/>
          <w:color w:val="000000"/>
          <w:lang w:val="zh-CN"/>
        </w:rPr>
        <w:t>年</w:t>
      </w:r>
      <w:r>
        <w:rPr>
          <w:rFonts w:ascii="宋体" w:hAnsi="宋体" w:hint="eastAsia"/>
          <w:color w:val="000000"/>
          <w:lang w:val="zh-CN"/>
        </w:rPr>
        <w:t>9</w:t>
      </w:r>
      <w:r>
        <w:rPr>
          <w:rFonts w:ascii="宋体" w:hAnsi="宋体" w:hint="eastAsia"/>
          <w:color w:val="000000"/>
          <w:lang w:val="zh-CN"/>
        </w:rPr>
        <w:t>月起任本行资产托管部</w:t>
      </w:r>
      <w:r>
        <w:rPr>
          <w:rFonts w:ascii="宋体" w:hAnsi="宋体" w:hint="eastAsia"/>
          <w:color w:val="000000"/>
          <w:lang w:val="zh-CN"/>
        </w:rPr>
        <w:t>/</w:t>
      </w:r>
      <w:r>
        <w:rPr>
          <w:rFonts w:ascii="宋体" w:hAnsi="宋体" w:hint="eastAsia"/>
          <w:color w:val="000000"/>
          <w:lang w:val="zh-CN"/>
        </w:rPr>
        <w:t>资产托管业务发展中心总经理。曾任本行香港分行行政总裁，交通银行（香港）有限公司副董事长、执行董事、行政总裁，交银国际控股有限公司执行董事、首席执行官，广东省分行副行长，营业部副总经理，深圳分行国际业务部高级经理。曾在中国工商银行十堰分行工作。孟先生</w:t>
      </w:r>
      <w:r>
        <w:rPr>
          <w:rFonts w:ascii="宋体" w:hAnsi="宋体" w:hint="eastAsia"/>
          <w:color w:val="000000"/>
          <w:lang w:val="zh-CN"/>
        </w:rPr>
        <w:t>1999</w:t>
      </w:r>
      <w:r>
        <w:rPr>
          <w:rFonts w:ascii="宋体" w:hAnsi="宋体" w:hint="eastAsia"/>
          <w:color w:val="000000"/>
          <w:lang w:val="zh-CN"/>
        </w:rPr>
        <w:t>年于复旦大学获工商管理硕士学位。</w:t>
      </w:r>
    </w:p>
    <w:p w14:paraId="704F0EA0"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3</w:t>
      </w:r>
      <w:r>
        <w:rPr>
          <w:rFonts w:ascii="宋体" w:hAnsi="宋体" w:hint="eastAsia"/>
          <w:color w:val="000000"/>
          <w:lang w:val="zh-CN"/>
        </w:rPr>
        <w:t>、基金托管业务经营情况</w:t>
      </w:r>
    </w:p>
    <w:p w14:paraId="23F0FD39"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截至</w:t>
      </w:r>
      <w:r>
        <w:rPr>
          <w:rFonts w:ascii="宋体" w:hAnsi="宋体" w:hint="eastAsia"/>
          <w:color w:val="000000"/>
          <w:lang w:val="zh-CN"/>
        </w:rPr>
        <w:t>2026</w:t>
      </w:r>
      <w:r>
        <w:rPr>
          <w:rFonts w:ascii="宋体" w:hAnsi="宋体" w:hint="eastAsia"/>
          <w:color w:val="000000"/>
          <w:lang w:val="zh-CN"/>
        </w:rPr>
        <w:t>年</w:t>
      </w:r>
      <w:r>
        <w:rPr>
          <w:rFonts w:ascii="宋体" w:hAnsi="宋体" w:hint="eastAsia"/>
          <w:color w:val="000000"/>
          <w:lang w:val="zh-CN"/>
        </w:rPr>
        <w:t>3</w:t>
      </w:r>
      <w:r>
        <w:rPr>
          <w:rFonts w:ascii="宋体" w:hAnsi="宋体" w:hint="eastAsia"/>
          <w:color w:val="000000"/>
          <w:lang w:val="zh-CN"/>
        </w:rPr>
        <w:t>月</w:t>
      </w:r>
      <w:r>
        <w:rPr>
          <w:rFonts w:ascii="宋体" w:hAnsi="宋体" w:hint="eastAsia"/>
          <w:color w:val="000000"/>
          <w:lang w:val="zh-CN"/>
        </w:rPr>
        <w:t>31</w:t>
      </w:r>
      <w:r>
        <w:rPr>
          <w:rFonts w:ascii="宋体" w:hAnsi="宋体" w:hint="eastAsia"/>
          <w:color w:val="000000"/>
          <w:lang w:val="zh-CN"/>
        </w:rPr>
        <w:t>日，交通银行共托管证券投资基金</w:t>
      </w:r>
      <w:r>
        <w:rPr>
          <w:rFonts w:ascii="宋体" w:hAnsi="宋体" w:hint="eastAsia"/>
          <w:color w:val="000000"/>
          <w:lang w:val="zh-CN"/>
        </w:rPr>
        <w:t>933</w:t>
      </w:r>
      <w:r>
        <w:rPr>
          <w:rFonts w:ascii="宋体" w:hAnsi="宋体" w:hint="eastAsia"/>
          <w:color w:val="000000"/>
          <w:lang w:val="zh-CN"/>
        </w:rPr>
        <w:t>只。此外，交通银行还托管了基金公司特定客户资产管理计划、证券公司客户资产管理计划、理财产品、信托计划、私募投资基金、保险资金、全国社保基金、基本养老保险基金、划转国有资本充实社保基金、养老保障管理产品、企业年金基金、职业年金基金、企业年金养老金产品、商业养老金产品、期货公司资产管理计划、</w:t>
      </w:r>
      <w:r>
        <w:rPr>
          <w:rFonts w:ascii="宋体" w:hAnsi="宋体" w:hint="eastAsia"/>
          <w:color w:val="000000"/>
          <w:lang w:val="zh-CN"/>
        </w:rPr>
        <w:t>QFI</w:t>
      </w:r>
      <w:r>
        <w:rPr>
          <w:rFonts w:ascii="宋体" w:hAnsi="宋体" w:hint="eastAsia"/>
          <w:color w:val="000000"/>
          <w:lang w:val="zh-CN"/>
        </w:rPr>
        <w:t>证券投资资产、</w:t>
      </w:r>
      <w:r>
        <w:rPr>
          <w:rFonts w:ascii="宋体" w:hAnsi="宋体" w:hint="eastAsia"/>
          <w:color w:val="000000"/>
          <w:lang w:val="zh-CN"/>
        </w:rPr>
        <w:t>QDII</w:t>
      </w:r>
      <w:r>
        <w:rPr>
          <w:rFonts w:ascii="宋体" w:hAnsi="宋体" w:hint="eastAsia"/>
          <w:color w:val="000000"/>
          <w:lang w:val="zh-CN"/>
        </w:rPr>
        <w:t>证券投资资产、</w:t>
      </w:r>
      <w:r>
        <w:rPr>
          <w:rFonts w:ascii="宋体" w:hAnsi="宋体" w:hint="eastAsia"/>
          <w:color w:val="000000"/>
          <w:lang w:val="zh-CN"/>
        </w:rPr>
        <w:t>RQDII</w:t>
      </w:r>
      <w:r>
        <w:rPr>
          <w:rFonts w:ascii="宋体" w:hAnsi="宋体" w:hint="eastAsia"/>
          <w:color w:val="000000"/>
          <w:lang w:val="zh-CN"/>
        </w:rPr>
        <w:t>证券投资资产、</w:t>
      </w:r>
      <w:r>
        <w:rPr>
          <w:rFonts w:ascii="宋体" w:hAnsi="宋体" w:hint="eastAsia"/>
          <w:color w:val="000000"/>
          <w:lang w:val="zh-CN"/>
        </w:rPr>
        <w:t>QDIE</w:t>
      </w:r>
      <w:r>
        <w:rPr>
          <w:rFonts w:ascii="宋体" w:hAnsi="宋体" w:hint="eastAsia"/>
          <w:color w:val="000000"/>
          <w:lang w:val="zh-CN"/>
        </w:rPr>
        <w:t>、</w:t>
      </w:r>
      <w:r>
        <w:rPr>
          <w:rFonts w:ascii="宋体" w:hAnsi="宋体" w:hint="eastAsia"/>
          <w:color w:val="000000"/>
          <w:lang w:val="zh-CN"/>
        </w:rPr>
        <w:t>QDLP</w:t>
      </w:r>
      <w:r>
        <w:rPr>
          <w:rFonts w:ascii="宋体" w:hAnsi="宋体" w:hint="eastAsia"/>
          <w:color w:val="000000"/>
          <w:lang w:val="zh-CN"/>
        </w:rPr>
        <w:t>和</w:t>
      </w:r>
      <w:r>
        <w:rPr>
          <w:rFonts w:ascii="宋体" w:hAnsi="宋体" w:hint="eastAsia"/>
          <w:color w:val="000000"/>
          <w:lang w:val="zh-CN"/>
        </w:rPr>
        <w:t>QFLP</w:t>
      </w:r>
      <w:r>
        <w:rPr>
          <w:rFonts w:ascii="宋体" w:hAnsi="宋体" w:hint="eastAsia"/>
          <w:color w:val="000000"/>
          <w:lang w:val="zh-CN"/>
        </w:rPr>
        <w:t>、债券“南向通”等产品。</w:t>
      </w:r>
    </w:p>
    <w:p w14:paraId="6F2F392A"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（二）基金托管人的内部控制制度</w:t>
      </w:r>
    </w:p>
    <w:p w14:paraId="01B0E8B6"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1</w:t>
      </w:r>
      <w:r>
        <w:rPr>
          <w:rFonts w:ascii="宋体" w:hAnsi="宋体" w:hint="eastAsia"/>
          <w:color w:val="000000"/>
          <w:lang w:val="zh-CN"/>
        </w:rPr>
        <w:t>、内部控制目</w:t>
      </w:r>
      <w:r>
        <w:rPr>
          <w:rFonts w:ascii="宋体" w:hAnsi="宋体" w:hint="eastAsia"/>
          <w:color w:val="000000"/>
          <w:lang w:val="zh-CN"/>
        </w:rPr>
        <w:t>标</w:t>
      </w:r>
    </w:p>
    <w:p w14:paraId="7ADC49AF"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交通银行严格遵守国家法律法规、行业规章及行内相关管理规定，加强内部管理，托管部</w:t>
      </w:r>
      <w:r>
        <w:rPr>
          <w:rFonts w:ascii="宋体" w:hAnsi="宋体" w:hint="eastAsia"/>
          <w:color w:val="000000"/>
          <w:lang w:val="zh-CN"/>
        </w:rPr>
        <w:t>/</w:t>
      </w:r>
      <w:r>
        <w:rPr>
          <w:rFonts w:ascii="宋体" w:hAnsi="宋体" w:hint="eastAsia"/>
          <w:color w:val="000000"/>
          <w:lang w:val="zh-CN"/>
        </w:rPr>
        <w:t>托管发展中心业务制度健全并确保贯彻执行各项规章，通过对各种风险的识别、评估、控制及缓释，有效地实现对各项业务的风险管控，确保业务稳健运行，保护基金持有人的合法权益。</w:t>
      </w:r>
    </w:p>
    <w:p w14:paraId="7003A7EC"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2</w:t>
      </w:r>
      <w:r>
        <w:rPr>
          <w:rFonts w:ascii="宋体" w:hAnsi="宋体" w:hint="eastAsia"/>
          <w:color w:val="000000"/>
          <w:lang w:val="zh-CN"/>
        </w:rPr>
        <w:t>、内部控制原则</w:t>
      </w:r>
    </w:p>
    <w:p w14:paraId="574E087C"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①合法性原则：托管部</w:t>
      </w:r>
      <w:r>
        <w:rPr>
          <w:rFonts w:ascii="宋体" w:hAnsi="宋体" w:hint="eastAsia"/>
          <w:color w:val="000000"/>
          <w:lang w:val="zh-CN"/>
        </w:rPr>
        <w:t>/</w:t>
      </w:r>
      <w:r>
        <w:rPr>
          <w:rFonts w:ascii="宋体" w:hAnsi="宋体" w:hint="eastAsia"/>
          <w:color w:val="000000"/>
          <w:lang w:val="zh-CN"/>
        </w:rPr>
        <w:t>托管发展中心制定的各项制度符合国家法律法规及监管机构的监管要求，并贯穿于托管业务经营管理活动始终。</w:t>
      </w:r>
    </w:p>
    <w:p w14:paraId="67A871B5"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②全面性原则：托管部</w:t>
      </w:r>
      <w:r>
        <w:rPr>
          <w:rFonts w:ascii="宋体" w:hAnsi="宋体" w:hint="eastAsia"/>
          <w:color w:val="000000"/>
          <w:lang w:val="zh-CN"/>
        </w:rPr>
        <w:t>/</w:t>
      </w:r>
      <w:r>
        <w:rPr>
          <w:rFonts w:ascii="宋体" w:hAnsi="宋体" w:hint="eastAsia"/>
          <w:color w:val="000000"/>
          <w:lang w:val="zh-CN"/>
        </w:rPr>
        <w:t>托管发展中心建立各二级部自我监控和风险合规部风险管控的内部控制机制，覆盖各项业务、各个部门和各级人员</w:t>
      </w:r>
      <w:r>
        <w:rPr>
          <w:rFonts w:ascii="宋体" w:hAnsi="宋体" w:hint="eastAsia"/>
          <w:color w:val="000000"/>
          <w:lang w:val="zh-CN"/>
        </w:rPr>
        <w:t>，并渗透到决策、执行、监督、反馈等各个经营环节，建立全面的风险管理监督机制。</w:t>
      </w:r>
    </w:p>
    <w:p w14:paraId="441F25D7"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③独立性原则：托管部</w:t>
      </w:r>
      <w:r>
        <w:rPr>
          <w:rFonts w:ascii="宋体" w:hAnsi="宋体" w:hint="eastAsia"/>
          <w:color w:val="000000"/>
          <w:lang w:val="zh-CN"/>
        </w:rPr>
        <w:t>/</w:t>
      </w:r>
      <w:r>
        <w:rPr>
          <w:rFonts w:ascii="宋体" w:hAnsi="宋体" w:hint="eastAsia"/>
          <w:color w:val="000000"/>
          <w:lang w:val="zh-CN"/>
        </w:rPr>
        <w:t>托管发展中心独立负责受托基金资产的保管，保证基金资产与交通银行的自有</w:t>
      </w:r>
      <w:r>
        <w:rPr>
          <w:rFonts w:ascii="宋体" w:hAnsi="宋体" w:hint="eastAsia"/>
          <w:color w:val="000000"/>
          <w:lang w:val="zh-CN"/>
        </w:rPr>
        <w:lastRenderedPageBreak/>
        <w:t>资产相互独立，对不同的受托基金资产分别设置账户，独立核算，分账管理。</w:t>
      </w:r>
    </w:p>
    <w:p w14:paraId="79FB70F5"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④制衡性原则：托管部</w:t>
      </w:r>
      <w:r>
        <w:rPr>
          <w:rFonts w:ascii="宋体" w:hAnsi="宋体" w:hint="eastAsia"/>
          <w:color w:val="000000"/>
          <w:lang w:val="zh-CN"/>
        </w:rPr>
        <w:t>/</w:t>
      </w:r>
      <w:r>
        <w:rPr>
          <w:rFonts w:ascii="宋体" w:hAnsi="宋体" w:hint="eastAsia"/>
          <w:color w:val="000000"/>
          <w:lang w:val="zh-CN"/>
        </w:rPr>
        <w:t>托管发展中心贯彻适当授权、相互制约的原则，从组织架构的设置上确保各二级部和各岗位权责分明、相互制约，并通过有效的相互制衡措施消除内部控制中的盲点。</w:t>
      </w:r>
    </w:p>
    <w:p w14:paraId="3E296EA0"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⑤有效性原则：托管部</w:t>
      </w:r>
      <w:r>
        <w:rPr>
          <w:rFonts w:ascii="宋体" w:hAnsi="宋体" w:hint="eastAsia"/>
          <w:color w:val="000000"/>
          <w:lang w:val="zh-CN"/>
        </w:rPr>
        <w:t>/</w:t>
      </w:r>
      <w:r>
        <w:rPr>
          <w:rFonts w:ascii="宋体" w:hAnsi="宋体" w:hint="eastAsia"/>
          <w:color w:val="000000"/>
          <w:lang w:val="zh-CN"/>
        </w:rPr>
        <w:t>托管发展中心在岗位、业务二级部和风险合规部三级内控管理模式的基础上，形成科学合理的</w:t>
      </w:r>
      <w:r>
        <w:rPr>
          <w:rFonts w:ascii="宋体" w:hAnsi="宋体" w:hint="eastAsia"/>
          <w:color w:val="000000"/>
          <w:lang w:val="zh-CN"/>
        </w:rPr>
        <w:t>内部控制决策机制、执行机制和监督机制，通过行之有效的控制流程、控制措施，建立合理的内控程序，保障各项内控管理目标被有效执行。</w:t>
      </w:r>
    </w:p>
    <w:p w14:paraId="5685C145"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⑥效益性原则：托管部</w:t>
      </w:r>
      <w:r>
        <w:rPr>
          <w:rFonts w:ascii="宋体" w:hAnsi="宋体" w:hint="eastAsia"/>
          <w:color w:val="000000"/>
          <w:lang w:val="zh-CN"/>
        </w:rPr>
        <w:t>/</w:t>
      </w:r>
      <w:r>
        <w:rPr>
          <w:rFonts w:ascii="宋体" w:hAnsi="宋体" w:hint="eastAsia"/>
          <w:color w:val="000000"/>
          <w:lang w:val="zh-CN"/>
        </w:rPr>
        <w:t>托管发展中心内部控制与基金托管规模、业务范围和业务运作环节的风险控制要求相适应，尽量降低经营运作成本，以合理的控制成本实现最佳的内部控制目标。</w:t>
      </w:r>
    </w:p>
    <w:p w14:paraId="64546967"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3</w:t>
      </w:r>
      <w:r>
        <w:rPr>
          <w:rFonts w:ascii="宋体" w:hAnsi="宋体" w:hint="eastAsia"/>
          <w:color w:val="000000"/>
          <w:lang w:val="zh-CN"/>
        </w:rPr>
        <w:t>、内部控制制度及措施</w:t>
      </w:r>
    </w:p>
    <w:p w14:paraId="155C7F7E"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根据《证券投资基金法》、《中华人民共和国商业银行法》、《商业银行资产托管业务指引》、《商业银行托管业务监督管理办法（试行）》等法律法规，托管部</w:t>
      </w:r>
      <w:r>
        <w:rPr>
          <w:rFonts w:ascii="宋体" w:hAnsi="宋体" w:hint="eastAsia"/>
          <w:color w:val="000000"/>
          <w:lang w:val="zh-CN"/>
        </w:rPr>
        <w:t>/</w:t>
      </w:r>
      <w:r>
        <w:rPr>
          <w:rFonts w:ascii="宋体" w:hAnsi="宋体" w:hint="eastAsia"/>
          <w:color w:val="000000"/>
          <w:lang w:val="zh-CN"/>
        </w:rPr>
        <w:t>托管发展中心制定了一整套严密、完整的证券投资基金托管</w:t>
      </w:r>
      <w:r>
        <w:rPr>
          <w:rFonts w:ascii="宋体" w:hAnsi="宋体" w:hint="eastAsia"/>
          <w:color w:val="000000"/>
          <w:lang w:val="zh-CN"/>
        </w:rPr>
        <w:t>管理规章制度，确保基金托管业务运行的规范、安全、高效，包括《交通银行资产托管业务管理办法》、《交通银行资产托管业务风险管理办法》、《交通银行资产托管业务商业秘密管理规定》、《交通银行资产托管业务从业人员行为规范》、《交通银行资产托管业务运营档案管理办法》等，并根据市场变化和基金业务的发展不断加以完善。做到业务分工科学合理，技术系统管理规范，业务管理制度健全，核心作业区实行封闭管理，落实各项安全隔离措施，相关信息披露由专人负责。</w:t>
      </w:r>
      <w:r>
        <w:rPr>
          <w:rFonts w:ascii="宋体" w:hAnsi="宋体" w:hint="eastAsia"/>
          <w:color w:val="000000"/>
          <w:lang w:val="zh-CN"/>
        </w:rPr>
        <w:t xml:space="preserve"> </w:t>
      </w:r>
    </w:p>
    <w:p w14:paraId="1893CDE8"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托管部</w:t>
      </w:r>
      <w:r>
        <w:rPr>
          <w:rFonts w:ascii="宋体" w:hAnsi="宋体" w:hint="eastAsia"/>
          <w:color w:val="000000"/>
          <w:lang w:val="zh-CN"/>
        </w:rPr>
        <w:t>/</w:t>
      </w:r>
      <w:r>
        <w:rPr>
          <w:rFonts w:ascii="宋体" w:hAnsi="宋体" w:hint="eastAsia"/>
          <w:color w:val="000000"/>
          <w:lang w:val="zh-CN"/>
        </w:rPr>
        <w:t>托管发展中心通过对基金托管业务各环节的事前揭示、事中控制和事后检查措施实现全流程、全链条的风险管理，聘请会计师事务所对基金托管业务运行进行国际标准的内部控制评审。</w:t>
      </w:r>
    </w:p>
    <w:p w14:paraId="794EFB8B"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（三）基金托管人对基金管理人运作基金进行监督的方法和程序</w:t>
      </w:r>
    </w:p>
    <w:p w14:paraId="66150186"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w:t>
      </w:r>
      <w:r>
        <w:rPr>
          <w:rFonts w:ascii="宋体" w:hAnsi="宋体" w:hint="eastAsia"/>
          <w:color w:val="000000"/>
          <w:lang w:val="zh-CN"/>
        </w:rPr>
        <w:t>收益分配等行为的合规性进行监督和核查。</w:t>
      </w:r>
    </w:p>
    <w:p w14:paraId="4EE85F99"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交通银行作为基金托管人，发现基金管理人有违反《证券投资基金法》、《公开募集证券投资基金运作管理办法》等有关证券法规和《基金合同》的行为，及时通知基金管理人予以纠正，基金管理人收到通知后及时确认并进行调整。交通银行有权对通知事项进行复查，督促基金管理人改正。基金管理人对交通银行通知的违规事项未能及时纠正的，交通银行按规定报告中国证监会。</w:t>
      </w:r>
    </w:p>
    <w:p w14:paraId="43A85C54" w14:textId="77777777" w:rsidR="00BF38BB" w:rsidRDefault="002837D7">
      <w:pPr>
        <w:spacing w:line="360" w:lineRule="auto"/>
        <w:ind w:firstLineChars="200" w:firstLine="420"/>
        <w:rPr>
          <w:rFonts w:ascii="宋体" w:hAnsi="宋体"/>
          <w:color w:val="000000"/>
          <w:lang w:val="zh-CN"/>
        </w:rPr>
      </w:pPr>
      <w:r>
        <w:rPr>
          <w:rFonts w:ascii="宋体" w:hAnsi="宋体" w:hint="eastAsia"/>
          <w:color w:val="000000"/>
          <w:lang w:val="zh-CN"/>
        </w:rPr>
        <w:t>交通银行作为基金托管人，发现基金管理人有重大违规行为，按规定报告中国证监会，同时通知基金管理人限期纠正。</w:t>
      </w:r>
    </w:p>
    <w:p w14:paraId="2CEAE400" w14:textId="77777777" w:rsidR="00BF38BB" w:rsidRDefault="002837D7">
      <w:pPr>
        <w:spacing w:line="360" w:lineRule="auto"/>
        <w:ind w:firstLineChars="200" w:firstLine="420"/>
        <w:rPr>
          <w:rFonts w:ascii="宋体" w:hAnsi="宋体"/>
          <w:color w:val="000000"/>
          <w:lang w:val="zh-CN"/>
        </w:rPr>
      </w:pPr>
      <w:r>
        <w:rPr>
          <w:rFonts w:ascii="宋体" w:hAnsi="宋体"/>
          <w:color w:val="000000"/>
          <w:lang w:val="zh-CN"/>
        </w:rPr>
        <w:br w:type="page"/>
      </w:r>
    </w:p>
    <w:p w14:paraId="4A39938A" w14:textId="77777777" w:rsidR="00BF38BB" w:rsidRDefault="002837D7">
      <w:pPr>
        <w:pStyle w:val="1"/>
        <w:spacing w:before="340" w:after="330"/>
        <w:jc w:val="center"/>
        <w:rPr>
          <w:rFonts w:hAnsi="宋体"/>
          <w:color w:val="auto"/>
          <w:kern w:val="44"/>
          <w:sz w:val="21"/>
        </w:rPr>
      </w:pPr>
      <w:bookmarkStart w:id="37" w:name="_Toc329187114"/>
      <w:bookmarkStart w:id="38" w:name="_Toc334542637"/>
      <w:bookmarkStart w:id="39" w:name="_Toc69916730"/>
      <w:bookmarkStart w:id="40" w:name="_Toc334542954"/>
      <w:r>
        <w:rPr>
          <w:rFonts w:hAnsi="宋体"/>
          <w:color w:val="auto"/>
          <w:kern w:val="44"/>
          <w:sz w:val="21"/>
        </w:rPr>
        <w:lastRenderedPageBreak/>
        <w:t>五、相关服务机构</w:t>
      </w:r>
      <w:bookmarkStart w:id="41" w:name="_Toc335642073"/>
      <w:bookmarkStart w:id="42" w:name="_Toc329187115"/>
      <w:bookmarkEnd w:id="32"/>
      <w:bookmarkEnd w:id="33"/>
      <w:bookmarkEnd w:id="34"/>
      <w:bookmarkEnd w:id="37"/>
      <w:bookmarkEnd w:id="38"/>
      <w:bookmarkEnd w:id="39"/>
      <w:bookmarkEnd w:id="40"/>
    </w:p>
    <w:p w14:paraId="1DDDF02C" w14:textId="77777777" w:rsidR="00BF38BB" w:rsidRDefault="002837D7">
      <w:pPr>
        <w:spacing w:line="360" w:lineRule="auto"/>
        <w:ind w:firstLineChars="200" w:firstLine="420"/>
        <w:rPr>
          <w:rFonts w:ascii="宋体" w:hAnsi="宋体"/>
        </w:rPr>
      </w:pPr>
      <w:r>
        <w:rPr>
          <w:rFonts w:ascii="宋体" w:hAnsi="宋体"/>
        </w:rPr>
        <w:t>（一）</w:t>
      </w:r>
      <w:r>
        <w:rPr>
          <w:rFonts w:ascii="宋体" w:hAnsi="宋体"/>
        </w:rPr>
        <w:t>基金份额发售机构</w:t>
      </w:r>
    </w:p>
    <w:p w14:paraId="6653960F" w14:textId="77777777" w:rsidR="00BF38BB" w:rsidRDefault="002837D7">
      <w:pPr>
        <w:autoSpaceDE w:val="0"/>
        <w:autoSpaceDN w:val="0"/>
        <w:adjustRightInd w:val="0"/>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、基金管理人直销机构（或称“直销机构”）：</w:t>
      </w:r>
      <w:r>
        <w:rPr>
          <w:rFonts w:ascii="宋体" w:hAnsi="宋体"/>
          <w:szCs w:val="21"/>
        </w:rPr>
        <w:t xml:space="preserve"> </w:t>
      </w:r>
    </w:p>
    <w:p w14:paraId="2FB0A1A1" w14:textId="77777777" w:rsidR="00BF38BB" w:rsidRDefault="002837D7">
      <w:pPr>
        <w:tabs>
          <w:tab w:val="left" w:pos="5235"/>
        </w:tabs>
        <w:spacing w:line="360" w:lineRule="auto"/>
        <w:ind w:firstLine="409"/>
        <w:rPr>
          <w:rFonts w:ascii="宋体" w:hAnsi="宋体" w:cs="Arial"/>
          <w:szCs w:val="21"/>
        </w:rPr>
      </w:pPr>
      <w:r>
        <w:rPr>
          <w:rFonts w:ascii="宋体" w:hAnsi="宋体" w:cs="Arial"/>
          <w:szCs w:val="21"/>
        </w:rPr>
        <w:t>（</w:t>
      </w:r>
      <w:r>
        <w:rPr>
          <w:rFonts w:ascii="宋体" w:hAnsi="宋体" w:cs="Arial"/>
          <w:szCs w:val="21"/>
        </w:rPr>
        <w:t>1</w:t>
      </w:r>
      <w:r>
        <w:rPr>
          <w:rFonts w:ascii="宋体" w:hAnsi="宋体" w:cs="Arial"/>
          <w:szCs w:val="21"/>
        </w:rPr>
        <w:t>）嘉实基金管理有限公司直销中心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BF38BB" w14:paraId="2BF33C07" w14:textId="77777777">
        <w:tc>
          <w:tcPr>
            <w:tcW w:w="1368" w:type="dxa"/>
          </w:tcPr>
          <w:p w14:paraId="263571B6" w14:textId="77777777" w:rsidR="00BF38BB" w:rsidRDefault="002837D7">
            <w:pPr>
              <w:spacing w:line="360" w:lineRule="auto"/>
              <w:rPr>
                <w:rFonts w:ascii="宋体" w:hAnsi="宋体" w:cs="Arial"/>
                <w:szCs w:val="21"/>
              </w:rPr>
            </w:pPr>
            <w:r>
              <w:rPr>
                <w:rFonts w:ascii="宋体" w:hAnsi="宋体" w:cs="Arial"/>
                <w:szCs w:val="21"/>
              </w:rPr>
              <w:t>办公地址</w:t>
            </w:r>
          </w:p>
        </w:tc>
        <w:tc>
          <w:tcPr>
            <w:tcW w:w="6192" w:type="dxa"/>
            <w:gridSpan w:val="3"/>
          </w:tcPr>
          <w:p w14:paraId="6B580CE2" w14:textId="77777777" w:rsidR="00BF38BB" w:rsidRDefault="002837D7">
            <w:pPr>
              <w:spacing w:line="360" w:lineRule="auto"/>
              <w:rPr>
                <w:rFonts w:ascii="宋体" w:hAnsi="宋体" w:cs="Arial"/>
                <w:szCs w:val="21"/>
              </w:rPr>
            </w:pPr>
            <w:r>
              <w:rPr>
                <w:rFonts w:ascii="宋体" w:hAnsi="宋体" w:cs="Arial" w:hint="eastAsia"/>
                <w:szCs w:val="21"/>
              </w:rPr>
              <w:t>北京市丰台区丽泽路</w:t>
            </w:r>
            <w:r>
              <w:rPr>
                <w:rFonts w:ascii="宋体" w:hAnsi="宋体" w:cs="Arial" w:hint="eastAsia"/>
                <w:szCs w:val="21"/>
              </w:rPr>
              <w:t>16</w:t>
            </w:r>
            <w:r>
              <w:rPr>
                <w:rFonts w:ascii="宋体" w:hAnsi="宋体" w:cs="Arial" w:hint="eastAsia"/>
                <w:szCs w:val="21"/>
              </w:rPr>
              <w:t>号院</w:t>
            </w:r>
            <w:r>
              <w:rPr>
                <w:rFonts w:ascii="宋体" w:hAnsi="宋体" w:cs="Arial" w:hint="eastAsia"/>
                <w:szCs w:val="21"/>
              </w:rPr>
              <w:t>4</w:t>
            </w:r>
            <w:r>
              <w:rPr>
                <w:rFonts w:ascii="宋体" w:hAnsi="宋体" w:cs="Arial" w:hint="eastAsia"/>
                <w:szCs w:val="21"/>
              </w:rPr>
              <w:t>号楼汇亚大厦</w:t>
            </w:r>
            <w:r>
              <w:rPr>
                <w:rFonts w:ascii="宋体" w:hAnsi="宋体" w:cs="Arial" w:hint="eastAsia"/>
                <w:szCs w:val="21"/>
              </w:rPr>
              <w:t>12</w:t>
            </w:r>
            <w:r>
              <w:rPr>
                <w:rFonts w:ascii="宋体" w:hAnsi="宋体" w:cs="Arial" w:hint="eastAsia"/>
                <w:szCs w:val="21"/>
              </w:rPr>
              <w:t>层</w:t>
            </w:r>
          </w:p>
        </w:tc>
      </w:tr>
      <w:tr w:rsidR="00BF38BB" w14:paraId="29CFE8CE" w14:textId="77777777">
        <w:tc>
          <w:tcPr>
            <w:tcW w:w="1368" w:type="dxa"/>
          </w:tcPr>
          <w:p w14:paraId="2D52B12F" w14:textId="77777777" w:rsidR="00BF38BB" w:rsidRDefault="002837D7">
            <w:pPr>
              <w:spacing w:line="360" w:lineRule="auto"/>
              <w:rPr>
                <w:rFonts w:ascii="宋体" w:hAnsi="宋体" w:cs="Arial"/>
                <w:szCs w:val="21"/>
              </w:rPr>
            </w:pPr>
            <w:r>
              <w:rPr>
                <w:rFonts w:ascii="宋体" w:hAnsi="宋体" w:cs="Arial"/>
                <w:szCs w:val="21"/>
              </w:rPr>
              <w:t>电话</w:t>
            </w:r>
          </w:p>
        </w:tc>
        <w:tc>
          <w:tcPr>
            <w:tcW w:w="2592" w:type="dxa"/>
          </w:tcPr>
          <w:p w14:paraId="58642D57" w14:textId="77777777" w:rsidR="00BF38BB" w:rsidRDefault="002837D7">
            <w:pPr>
              <w:spacing w:line="360" w:lineRule="auto"/>
              <w:rPr>
                <w:rFonts w:ascii="宋体" w:hAnsi="宋体" w:cs="Arial"/>
                <w:szCs w:val="21"/>
              </w:rPr>
            </w:pPr>
            <w:r>
              <w:rPr>
                <w:rFonts w:ascii="宋体" w:hAnsi="宋体" w:cs="Arial"/>
                <w:szCs w:val="21"/>
              </w:rPr>
              <w:t>（</w:t>
            </w:r>
            <w:r>
              <w:rPr>
                <w:rFonts w:ascii="宋体" w:hAnsi="宋体" w:cs="Arial"/>
                <w:szCs w:val="21"/>
              </w:rPr>
              <w:t>010</w:t>
            </w:r>
            <w:r>
              <w:rPr>
                <w:rFonts w:ascii="宋体" w:hAnsi="宋体" w:cs="Arial"/>
                <w:szCs w:val="21"/>
              </w:rPr>
              <w:t>）</w:t>
            </w:r>
            <w:r>
              <w:rPr>
                <w:rFonts w:ascii="宋体" w:hAnsi="宋体" w:cs="Arial"/>
                <w:szCs w:val="21"/>
              </w:rPr>
              <w:t>65</w:t>
            </w:r>
            <w:r>
              <w:rPr>
                <w:rFonts w:ascii="宋体" w:hAnsi="宋体" w:cs="Arial" w:hint="eastAsia"/>
                <w:szCs w:val="21"/>
              </w:rPr>
              <w:t>215588</w:t>
            </w:r>
          </w:p>
        </w:tc>
        <w:tc>
          <w:tcPr>
            <w:tcW w:w="1080" w:type="dxa"/>
          </w:tcPr>
          <w:p w14:paraId="162C5792" w14:textId="77777777" w:rsidR="00BF38BB" w:rsidRDefault="002837D7">
            <w:pPr>
              <w:spacing w:line="360" w:lineRule="auto"/>
              <w:rPr>
                <w:rFonts w:ascii="宋体" w:hAnsi="宋体" w:cs="Arial"/>
                <w:szCs w:val="21"/>
              </w:rPr>
            </w:pPr>
            <w:r>
              <w:rPr>
                <w:rFonts w:ascii="宋体" w:hAnsi="宋体" w:cs="Arial"/>
                <w:szCs w:val="21"/>
              </w:rPr>
              <w:t>传真</w:t>
            </w:r>
          </w:p>
        </w:tc>
        <w:tc>
          <w:tcPr>
            <w:tcW w:w="2520" w:type="dxa"/>
          </w:tcPr>
          <w:p w14:paraId="3E284445" w14:textId="77777777" w:rsidR="00BF38BB" w:rsidRDefault="002837D7">
            <w:pPr>
              <w:spacing w:line="360" w:lineRule="auto"/>
              <w:rPr>
                <w:rFonts w:ascii="宋体" w:hAnsi="宋体" w:cs="Arial"/>
                <w:szCs w:val="21"/>
              </w:rPr>
            </w:pPr>
            <w:r>
              <w:rPr>
                <w:rFonts w:ascii="宋体" w:hAnsi="宋体" w:cs="Arial"/>
                <w:szCs w:val="21"/>
              </w:rPr>
              <w:t>（</w:t>
            </w:r>
            <w:r>
              <w:rPr>
                <w:rFonts w:ascii="宋体" w:hAnsi="宋体" w:cs="Arial"/>
                <w:szCs w:val="21"/>
              </w:rPr>
              <w:t>010</w:t>
            </w:r>
            <w:r>
              <w:rPr>
                <w:rFonts w:ascii="宋体" w:hAnsi="宋体" w:cs="Arial"/>
                <w:szCs w:val="21"/>
              </w:rPr>
              <w:t>）</w:t>
            </w:r>
            <w:r>
              <w:rPr>
                <w:rFonts w:ascii="宋体" w:hAnsi="宋体" w:cs="Arial"/>
                <w:szCs w:val="21"/>
              </w:rPr>
              <w:t>65</w:t>
            </w:r>
            <w:r>
              <w:rPr>
                <w:rFonts w:ascii="宋体" w:hAnsi="宋体" w:cs="Arial" w:hint="eastAsia"/>
                <w:szCs w:val="21"/>
              </w:rPr>
              <w:t>215577</w:t>
            </w:r>
          </w:p>
        </w:tc>
      </w:tr>
      <w:tr w:rsidR="00BF38BB" w14:paraId="48CA3EAD" w14:textId="77777777">
        <w:tc>
          <w:tcPr>
            <w:tcW w:w="1368" w:type="dxa"/>
          </w:tcPr>
          <w:p w14:paraId="2822E33B" w14:textId="77777777" w:rsidR="00BF38BB" w:rsidRDefault="002837D7">
            <w:pPr>
              <w:spacing w:line="360" w:lineRule="auto"/>
              <w:rPr>
                <w:rFonts w:ascii="宋体" w:hAnsi="宋体" w:cs="Arial"/>
                <w:szCs w:val="21"/>
              </w:rPr>
            </w:pPr>
            <w:r>
              <w:rPr>
                <w:rFonts w:ascii="宋体" w:hAnsi="宋体" w:cs="Arial"/>
                <w:spacing w:val="6"/>
                <w:szCs w:val="21"/>
              </w:rPr>
              <w:t>联系人</w:t>
            </w:r>
          </w:p>
        </w:tc>
        <w:tc>
          <w:tcPr>
            <w:tcW w:w="6192" w:type="dxa"/>
            <w:gridSpan w:val="3"/>
          </w:tcPr>
          <w:p w14:paraId="5D741158" w14:textId="77777777" w:rsidR="00BF38BB" w:rsidRDefault="002837D7">
            <w:pPr>
              <w:spacing w:line="360" w:lineRule="auto"/>
              <w:rPr>
                <w:rFonts w:ascii="宋体" w:hAnsi="宋体" w:cs="Arial"/>
                <w:szCs w:val="21"/>
              </w:rPr>
            </w:pPr>
            <w:r>
              <w:rPr>
                <w:rFonts w:ascii="宋体" w:hAnsi="宋体" w:cs="Arial"/>
                <w:szCs w:val="21"/>
                <w:lang w:val="zh-CN"/>
              </w:rPr>
              <w:t>黄娜</w:t>
            </w:r>
          </w:p>
        </w:tc>
      </w:tr>
    </w:tbl>
    <w:p w14:paraId="11D3474C" w14:textId="77777777" w:rsidR="00BF38BB" w:rsidRDefault="002837D7">
      <w:pPr>
        <w:tabs>
          <w:tab w:val="left" w:pos="5235"/>
        </w:tabs>
        <w:spacing w:line="360" w:lineRule="auto"/>
        <w:ind w:firstLine="420"/>
      </w:pPr>
      <w:r>
        <w:rPr>
          <w:rFonts w:hint="eastAsia"/>
        </w:rPr>
        <w:t>（</w:t>
      </w:r>
      <w:r>
        <w:rPr>
          <w:rFonts w:hint="eastAsia"/>
        </w:rPr>
        <w:t>2</w:t>
      </w:r>
      <w:r>
        <w:rPr>
          <w:rFonts w:hint="eastAsia"/>
        </w:rPr>
        <w:t>）嘉实基金管理有限公司网上直销</w:t>
      </w:r>
    </w:p>
    <w:p w14:paraId="7162D6EB" w14:textId="77777777" w:rsidR="00BF38BB" w:rsidRDefault="002837D7">
      <w:pPr>
        <w:spacing w:line="360" w:lineRule="auto"/>
        <w:ind w:firstLineChars="200" w:firstLine="420"/>
      </w:pPr>
      <w:r>
        <w:rPr>
          <w:rFonts w:hint="eastAsia"/>
        </w:rPr>
        <w:t>具体信息详见本公司网站（</w:t>
      </w:r>
      <w:hyperlink r:id="rId10" w:history="1">
        <w:r>
          <w:rPr>
            <w:rStyle w:val="aff3"/>
            <w:rFonts w:hint="eastAsia"/>
          </w:rPr>
          <w:t>www.jsfund.cn</w:t>
        </w:r>
      </w:hyperlink>
      <w:r>
        <w:rPr>
          <w:rFonts w:hint="eastAsia"/>
        </w:rPr>
        <w:t>）。</w:t>
      </w:r>
    </w:p>
    <w:p w14:paraId="77DBEAEE" w14:textId="77777777" w:rsidR="00BF38BB" w:rsidRDefault="002837D7">
      <w:pPr>
        <w:spacing w:line="360" w:lineRule="auto"/>
        <w:ind w:firstLine="420"/>
        <w:rPr>
          <w:rFonts w:ascii="宋体" w:hAnsi="宋体"/>
        </w:rPr>
      </w:pPr>
      <w:r>
        <w:rPr>
          <w:rFonts w:ascii="宋体" w:hAnsi="宋体"/>
        </w:rPr>
        <w:t>2</w:t>
      </w:r>
      <w:r>
        <w:rPr>
          <w:rFonts w:ascii="宋体" w:hAnsi="宋体"/>
        </w:rPr>
        <w:t>、</w:t>
      </w:r>
      <w:r>
        <w:rPr>
          <w:rFonts w:ascii="宋体" w:hAnsi="宋体" w:hint="eastAsia"/>
        </w:rPr>
        <w:t>非直销销售</w:t>
      </w:r>
      <w:r>
        <w:rPr>
          <w:rFonts w:ascii="宋体" w:hAnsi="宋体"/>
        </w:rPr>
        <w:t>机构</w:t>
      </w:r>
    </w:p>
    <w:p w14:paraId="4AD0AC83" w14:textId="77777777" w:rsidR="00BF38BB" w:rsidRDefault="002837D7">
      <w:pPr>
        <w:spacing w:line="360" w:lineRule="auto"/>
        <w:ind w:firstLineChars="200" w:firstLine="420"/>
        <w:rPr>
          <w:rFonts w:ascii="宋体" w:hAnsi="宋体"/>
        </w:rPr>
      </w:pPr>
      <w:r>
        <w:rPr>
          <w:rFonts w:ascii="宋体" w:hAnsi="宋体" w:hint="eastAsia"/>
        </w:rPr>
        <w:t>基金管理人可根据有关法律、法规的要求，选择符合要求的其他机构销售本基金，并</w:t>
      </w:r>
      <w:r>
        <w:rPr>
          <w:rFonts w:hint="eastAsia"/>
          <w:bCs/>
        </w:rPr>
        <w:t>在基金管理人网站公示</w:t>
      </w:r>
      <w:r>
        <w:rPr>
          <w:rFonts w:ascii="宋体" w:hAnsi="宋体"/>
        </w:rPr>
        <w:t>。</w:t>
      </w:r>
    </w:p>
    <w:p w14:paraId="427707C3" w14:textId="77777777" w:rsidR="00BF38BB" w:rsidRDefault="002837D7">
      <w:pPr>
        <w:spacing w:line="360" w:lineRule="auto"/>
        <w:ind w:firstLineChars="200" w:firstLine="420"/>
        <w:rPr>
          <w:rFonts w:ascii="宋体" w:hAnsi="宋体"/>
        </w:rPr>
      </w:pPr>
      <w:r>
        <w:rPr>
          <w:rFonts w:ascii="宋体" w:hAnsi="宋体"/>
        </w:rPr>
        <w:t>（二）登记机构</w:t>
      </w:r>
    </w:p>
    <w:tbl>
      <w:tblPr>
        <w:tblpPr w:leftFromText="180" w:rightFromText="180" w:vertAnchor="text" w:horzAnchor="margin" w:tblpXSpec="center" w:tblpY="202"/>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985"/>
      </w:tblGrid>
      <w:tr w:rsidR="00BF38BB" w14:paraId="7A744D06" w14:textId="77777777">
        <w:tc>
          <w:tcPr>
            <w:tcW w:w="1555" w:type="dxa"/>
          </w:tcPr>
          <w:p w14:paraId="6B71AC70" w14:textId="77777777" w:rsidR="00BF38BB" w:rsidRDefault="002837D7">
            <w:pPr>
              <w:spacing w:line="360" w:lineRule="auto"/>
              <w:rPr>
                <w:rFonts w:ascii="宋体" w:hAnsi="宋体"/>
              </w:rPr>
            </w:pPr>
            <w:r>
              <w:rPr>
                <w:rFonts w:ascii="宋体" w:hAnsi="宋体"/>
              </w:rPr>
              <w:t>名称</w:t>
            </w:r>
          </w:p>
        </w:tc>
        <w:tc>
          <w:tcPr>
            <w:tcW w:w="6985" w:type="dxa"/>
          </w:tcPr>
          <w:p w14:paraId="02F13469" w14:textId="77777777" w:rsidR="00BF38BB" w:rsidRDefault="002837D7">
            <w:pPr>
              <w:spacing w:line="360" w:lineRule="auto"/>
              <w:rPr>
                <w:rFonts w:ascii="宋体" w:hAnsi="宋体"/>
              </w:rPr>
            </w:pPr>
            <w:r>
              <w:rPr>
                <w:rFonts w:ascii="宋体" w:hAnsi="宋体"/>
              </w:rPr>
              <w:t>嘉实基金管理有限公司</w:t>
            </w:r>
          </w:p>
        </w:tc>
      </w:tr>
      <w:tr w:rsidR="00BF38BB" w14:paraId="5D0DDC07" w14:textId="77777777">
        <w:tc>
          <w:tcPr>
            <w:tcW w:w="1555" w:type="dxa"/>
          </w:tcPr>
          <w:p w14:paraId="5ABBD7D1" w14:textId="77777777" w:rsidR="00BF38BB" w:rsidRDefault="002837D7">
            <w:pPr>
              <w:spacing w:line="360" w:lineRule="auto"/>
              <w:rPr>
                <w:rFonts w:ascii="宋体" w:hAnsi="宋体"/>
              </w:rPr>
            </w:pPr>
            <w:r>
              <w:rPr>
                <w:rFonts w:ascii="宋体" w:hAnsi="宋体"/>
              </w:rPr>
              <w:t>住所</w:t>
            </w:r>
          </w:p>
        </w:tc>
        <w:tc>
          <w:tcPr>
            <w:tcW w:w="6985" w:type="dxa"/>
          </w:tcPr>
          <w:p w14:paraId="73534869" w14:textId="77777777" w:rsidR="00BF38BB" w:rsidRDefault="002837D7">
            <w:pPr>
              <w:spacing w:line="360" w:lineRule="auto"/>
              <w:rPr>
                <w:rFonts w:ascii="宋体" w:hAnsi="宋体"/>
                <w:color w:val="000000"/>
              </w:rPr>
            </w:pPr>
            <w:r>
              <w:rPr>
                <w:rFonts w:ascii="宋体" w:hAnsi="宋体" w:hint="eastAsia"/>
                <w:color w:val="000000"/>
                <w:szCs w:val="21"/>
              </w:rPr>
              <w:t>中国（上海）自由贸易试验区陆家嘴环路</w:t>
            </w:r>
            <w:r>
              <w:rPr>
                <w:rFonts w:ascii="宋体" w:hAnsi="宋体" w:hint="eastAsia"/>
                <w:color w:val="000000"/>
                <w:szCs w:val="21"/>
              </w:rPr>
              <w:t>1318</w:t>
            </w:r>
            <w:r>
              <w:rPr>
                <w:rFonts w:ascii="宋体" w:hAnsi="宋体" w:hint="eastAsia"/>
                <w:color w:val="000000"/>
                <w:szCs w:val="21"/>
              </w:rPr>
              <w:t>号</w:t>
            </w:r>
            <w:r>
              <w:rPr>
                <w:rFonts w:ascii="宋体" w:hAnsi="宋体" w:hint="eastAsia"/>
                <w:color w:val="000000"/>
                <w:szCs w:val="21"/>
              </w:rPr>
              <w:t>1806A</w:t>
            </w:r>
            <w:r>
              <w:rPr>
                <w:rFonts w:ascii="宋体" w:hAnsi="宋体" w:hint="eastAsia"/>
                <w:color w:val="000000"/>
                <w:szCs w:val="21"/>
              </w:rPr>
              <w:t>单元</w:t>
            </w:r>
          </w:p>
        </w:tc>
      </w:tr>
      <w:tr w:rsidR="00BF38BB" w14:paraId="751C72FA" w14:textId="77777777">
        <w:tc>
          <w:tcPr>
            <w:tcW w:w="1555" w:type="dxa"/>
          </w:tcPr>
          <w:p w14:paraId="77BEEA5B" w14:textId="77777777" w:rsidR="00BF38BB" w:rsidRDefault="002837D7">
            <w:pPr>
              <w:spacing w:line="360" w:lineRule="auto"/>
              <w:rPr>
                <w:rFonts w:ascii="宋体" w:hAnsi="宋体"/>
                <w:szCs w:val="21"/>
              </w:rPr>
            </w:pPr>
            <w:r>
              <w:rPr>
                <w:rFonts w:ascii="宋体" w:hAnsi="宋体"/>
                <w:szCs w:val="21"/>
              </w:rPr>
              <w:t>办公地址</w:t>
            </w:r>
          </w:p>
        </w:tc>
        <w:tc>
          <w:tcPr>
            <w:tcW w:w="6985" w:type="dxa"/>
          </w:tcPr>
          <w:p w14:paraId="7231A1E3" w14:textId="77777777" w:rsidR="00BF38BB" w:rsidRDefault="002837D7">
            <w:pPr>
              <w:spacing w:line="360" w:lineRule="auto"/>
              <w:rPr>
                <w:rFonts w:ascii="宋体" w:hAnsi="宋体"/>
                <w:szCs w:val="21"/>
              </w:rPr>
            </w:pPr>
            <w:r>
              <w:rPr>
                <w:rFonts w:ascii="宋体" w:hAnsi="宋体" w:hint="eastAsia"/>
                <w:color w:val="000000"/>
                <w:szCs w:val="21"/>
              </w:rPr>
              <w:t>北京市朝阳区建国门外大街</w:t>
            </w:r>
            <w:r>
              <w:rPr>
                <w:rFonts w:ascii="宋体" w:hAnsi="宋体" w:hint="eastAsia"/>
                <w:color w:val="000000"/>
                <w:szCs w:val="21"/>
              </w:rPr>
              <w:t>21</w:t>
            </w:r>
            <w:r>
              <w:rPr>
                <w:rFonts w:ascii="宋体" w:hAnsi="宋体" w:hint="eastAsia"/>
                <w:color w:val="000000"/>
                <w:szCs w:val="21"/>
              </w:rPr>
              <w:t>号北京国际俱乐部</w:t>
            </w:r>
            <w:r>
              <w:rPr>
                <w:rFonts w:ascii="宋体" w:hAnsi="宋体" w:hint="eastAsia"/>
                <w:color w:val="000000"/>
                <w:szCs w:val="21"/>
              </w:rPr>
              <w:t>C</w:t>
            </w:r>
            <w:r>
              <w:rPr>
                <w:rFonts w:ascii="宋体" w:hAnsi="宋体" w:hint="eastAsia"/>
                <w:color w:val="000000"/>
                <w:szCs w:val="21"/>
              </w:rPr>
              <w:t>座写字楼</w:t>
            </w:r>
            <w:r>
              <w:rPr>
                <w:rFonts w:ascii="宋体" w:hAnsi="宋体" w:hint="eastAsia"/>
                <w:color w:val="000000"/>
                <w:szCs w:val="21"/>
              </w:rPr>
              <w:t>12A</w:t>
            </w:r>
            <w:r>
              <w:rPr>
                <w:rFonts w:ascii="宋体" w:hAnsi="宋体" w:hint="eastAsia"/>
                <w:color w:val="000000"/>
                <w:szCs w:val="21"/>
              </w:rPr>
              <w:t>层</w:t>
            </w:r>
          </w:p>
        </w:tc>
      </w:tr>
      <w:tr w:rsidR="00BF38BB" w14:paraId="30D63DF6" w14:textId="77777777">
        <w:tc>
          <w:tcPr>
            <w:tcW w:w="1555" w:type="dxa"/>
          </w:tcPr>
          <w:p w14:paraId="5F73E837" w14:textId="77777777" w:rsidR="00BF38BB" w:rsidRDefault="002837D7">
            <w:pPr>
              <w:spacing w:line="360" w:lineRule="auto"/>
              <w:rPr>
                <w:rFonts w:ascii="宋体" w:hAnsi="宋体"/>
              </w:rPr>
            </w:pPr>
            <w:r>
              <w:rPr>
                <w:rFonts w:ascii="宋体" w:hAnsi="宋体"/>
              </w:rPr>
              <w:t>法定代表人</w:t>
            </w:r>
          </w:p>
        </w:tc>
        <w:tc>
          <w:tcPr>
            <w:tcW w:w="6985" w:type="dxa"/>
          </w:tcPr>
          <w:p w14:paraId="7CA06882" w14:textId="77777777" w:rsidR="00BF38BB" w:rsidRDefault="002837D7">
            <w:pPr>
              <w:spacing w:line="360" w:lineRule="auto"/>
              <w:rPr>
                <w:rFonts w:ascii="宋体" w:hAnsi="宋体"/>
              </w:rPr>
            </w:pPr>
            <w:r>
              <w:rPr>
                <w:rFonts w:ascii="宋体" w:hAnsi="宋体" w:hint="eastAsia"/>
              </w:rPr>
              <w:t>经雷</w:t>
            </w:r>
          </w:p>
        </w:tc>
      </w:tr>
      <w:tr w:rsidR="00BF38BB" w14:paraId="567E71BA" w14:textId="77777777">
        <w:tc>
          <w:tcPr>
            <w:tcW w:w="1555" w:type="dxa"/>
          </w:tcPr>
          <w:p w14:paraId="2613CE3A" w14:textId="77777777" w:rsidR="00BF38BB" w:rsidRDefault="002837D7">
            <w:pPr>
              <w:spacing w:line="360" w:lineRule="auto"/>
              <w:rPr>
                <w:rFonts w:ascii="宋体" w:hAnsi="宋体"/>
              </w:rPr>
            </w:pPr>
            <w:r>
              <w:rPr>
                <w:rFonts w:ascii="宋体" w:hAnsi="宋体"/>
              </w:rPr>
              <w:t>联系人</w:t>
            </w:r>
          </w:p>
        </w:tc>
        <w:tc>
          <w:tcPr>
            <w:tcW w:w="6985" w:type="dxa"/>
          </w:tcPr>
          <w:p w14:paraId="60DB41F6" w14:textId="77777777" w:rsidR="00BF38BB" w:rsidRDefault="002837D7">
            <w:pPr>
              <w:spacing w:line="360" w:lineRule="auto"/>
              <w:rPr>
                <w:rFonts w:ascii="宋体" w:hAnsi="宋体"/>
              </w:rPr>
            </w:pPr>
            <w:r>
              <w:rPr>
                <w:rFonts w:ascii="宋体" w:hAnsi="宋体" w:hint="eastAsia"/>
              </w:rPr>
              <w:t>梁凯</w:t>
            </w:r>
          </w:p>
        </w:tc>
      </w:tr>
      <w:tr w:rsidR="00BF38BB" w14:paraId="2F90B887" w14:textId="77777777">
        <w:tc>
          <w:tcPr>
            <w:tcW w:w="1555" w:type="dxa"/>
          </w:tcPr>
          <w:p w14:paraId="4BDDD3F9" w14:textId="77777777" w:rsidR="00BF38BB" w:rsidRDefault="002837D7">
            <w:pPr>
              <w:spacing w:line="360" w:lineRule="auto"/>
              <w:rPr>
                <w:rFonts w:ascii="宋体" w:hAnsi="宋体"/>
              </w:rPr>
            </w:pPr>
            <w:r>
              <w:rPr>
                <w:rFonts w:ascii="宋体" w:hAnsi="宋体"/>
              </w:rPr>
              <w:t>电话</w:t>
            </w:r>
          </w:p>
        </w:tc>
        <w:tc>
          <w:tcPr>
            <w:tcW w:w="6985" w:type="dxa"/>
          </w:tcPr>
          <w:p w14:paraId="1819C469" w14:textId="77777777" w:rsidR="00BF38BB" w:rsidRDefault="002837D7">
            <w:pPr>
              <w:spacing w:line="360" w:lineRule="auto"/>
              <w:rPr>
                <w:rFonts w:ascii="宋体" w:hAnsi="宋体"/>
              </w:rPr>
            </w:pPr>
            <w:r>
              <w:rPr>
                <w:rFonts w:ascii="宋体" w:hAnsi="宋体"/>
              </w:rPr>
              <w:t>（</w:t>
            </w:r>
            <w:r>
              <w:rPr>
                <w:rFonts w:ascii="宋体" w:hAnsi="宋体"/>
              </w:rPr>
              <w:t>010</w:t>
            </w:r>
            <w:r>
              <w:rPr>
                <w:rFonts w:ascii="宋体" w:hAnsi="宋体"/>
              </w:rPr>
              <w:t>）</w:t>
            </w:r>
            <w:r>
              <w:rPr>
                <w:rFonts w:ascii="宋体" w:hAnsi="宋体"/>
              </w:rPr>
              <w:t>65215588</w:t>
            </w:r>
          </w:p>
        </w:tc>
      </w:tr>
      <w:tr w:rsidR="00BF38BB" w14:paraId="2C0D0E47" w14:textId="77777777">
        <w:tc>
          <w:tcPr>
            <w:tcW w:w="1555" w:type="dxa"/>
          </w:tcPr>
          <w:p w14:paraId="5E03D85A" w14:textId="77777777" w:rsidR="00BF38BB" w:rsidRDefault="002837D7">
            <w:pPr>
              <w:spacing w:line="360" w:lineRule="auto"/>
              <w:rPr>
                <w:rFonts w:ascii="宋体" w:hAnsi="宋体"/>
              </w:rPr>
            </w:pPr>
            <w:r>
              <w:rPr>
                <w:rFonts w:ascii="宋体" w:hAnsi="宋体"/>
              </w:rPr>
              <w:t>传真</w:t>
            </w:r>
          </w:p>
        </w:tc>
        <w:tc>
          <w:tcPr>
            <w:tcW w:w="6985" w:type="dxa"/>
          </w:tcPr>
          <w:p w14:paraId="548FCF35" w14:textId="77777777" w:rsidR="00BF38BB" w:rsidRDefault="002837D7">
            <w:pPr>
              <w:spacing w:line="360" w:lineRule="auto"/>
              <w:rPr>
                <w:rFonts w:ascii="宋体" w:hAnsi="宋体"/>
              </w:rPr>
            </w:pPr>
            <w:r>
              <w:rPr>
                <w:rFonts w:ascii="宋体" w:hAnsi="宋体"/>
              </w:rPr>
              <w:t>（</w:t>
            </w:r>
            <w:r>
              <w:rPr>
                <w:rFonts w:ascii="宋体" w:hAnsi="宋体"/>
              </w:rPr>
              <w:t>010</w:t>
            </w:r>
            <w:r>
              <w:rPr>
                <w:rFonts w:ascii="宋体" w:hAnsi="宋体"/>
              </w:rPr>
              <w:t>）</w:t>
            </w:r>
            <w:r>
              <w:rPr>
                <w:rFonts w:ascii="宋体" w:hAnsi="宋体"/>
              </w:rPr>
              <w:t>65185678</w:t>
            </w:r>
          </w:p>
        </w:tc>
      </w:tr>
    </w:tbl>
    <w:p w14:paraId="0BE99476" w14:textId="77777777" w:rsidR="00BF38BB" w:rsidRDefault="00BF38BB">
      <w:pPr>
        <w:spacing w:line="360" w:lineRule="auto"/>
        <w:ind w:firstLineChars="200" w:firstLine="420"/>
        <w:rPr>
          <w:rFonts w:ascii="宋体" w:hAnsi="宋体"/>
        </w:rPr>
      </w:pPr>
    </w:p>
    <w:p w14:paraId="1AF11E1A" w14:textId="77777777" w:rsidR="00BF38BB" w:rsidRDefault="002837D7">
      <w:pPr>
        <w:spacing w:line="360" w:lineRule="auto"/>
        <w:ind w:firstLineChars="200" w:firstLine="420"/>
        <w:rPr>
          <w:rFonts w:ascii="宋体" w:hAnsi="宋体"/>
        </w:rPr>
      </w:pPr>
      <w:r>
        <w:rPr>
          <w:rFonts w:ascii="宋体" w:hAnsi="宋体"/>
        </w:rPr>
        <w:t>（三）出具法律意见书的律师事务所</w:t>
      </w:r>
    </w:p>
    <w:tbl>
      <w:tblPr>
        <w:tblpPr w:leftFromText="180" w:rightFromText="180" w:vertAnchor="text" w:horzAnchor="margin" w:tblpXSpec="center" w:tblpY="202"/>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32"/>
        <w:gridCol w:w="1080"/>
        <w:gridCol w:w="2520"/>
      </w:tblGrid>
      <w:tr w:rsidR="00BF38BB" w14:paraId="12954505" w14:textId="77777777">
        <w:tc>
          <w:tcPr>
            <w:tcW w:w="1728" w:type="dxa"/>
          </w:tcPr>
          <w:p w14:paraId="2F1C9DDE" w14:textId="77777777" w:rsidR="00BF38BB" w:rsidRDefault="002837D7">
            <w:pPr>
              <w:spacing w:line="360" w:lineRule="auto"/>
              <w:rPr>
                <w:rFonts w:ascii="宋体" w:hAnsi="宋体"/>
              </w:rPr>
            </w:pPr>
            <w:r>
              <w:rPr>
                <w:rFonts w:ascii="宋体" w:hAnsi="宋体" w:cs="Arial"/>
                <w:color w:val="000000"/>
                <w:szCs w:val="21"/>
              </w:rPr>
              <w:t>名称</w:t>
            </w:r>
          </w:p>
        </w:tc>
        <w:tc>
          <w:tcPr>
            <w:tcW w:w="5832" w:type="dxa"/>
            <w:gridSpan w:val="3"/>
          </w:tcPr>
          <w:p w14:paraId="77E11FFE" w14:textId="77777777" w:rsidR="00BF38BB" w:rsidRDefault="002837D7">
            <w:pPr>
              <w:spacing w:line="360" w:lineRule="auto"/>
              <w:rPr>
                <w:rFonts w:ascii="宋体" w:hAnsi="宋体"/>
              </w:rPr>
            </w:pPr>
            <w:r>
              <w:rPr>
                <w:rFonts w:ascii="宋体" w:hAnsi="宋体" w:hint="eastAsia"/>
                <w:color w:val="000000"/>
                <w:szCs w:val="21"/>
              </w:rPr>
              <w:t>上海源泰律师事务所</w:t>
            </w:r>
          </w:p>
        </w:tc>
      </w:tr>
      <w:tr w:rsidR="00BF38BB" w14:paraId="41E189A1" w14:textId="77777777">
        <w:tc>
          <w:tcPr>
            <w:tcW w:w="1728" w:type="dxa"/>
          </w:tcPr>
          <w:p w14:paraId="03857A1B" w14:textId="77777777" w:rsidR="00BF38BB" w:rsidRDefault="002837D7">
            <w:pPr>
              <w:spacing w:line="360" w:lineRule="auto"/>
              <w:rPr>
                <w:rFonts w:ascii="宋体" w:hAnsi="宋体"/>
              </w:rPr>
            </w:pPr>
            <w:r>
              <w:rPr>
                <w:rFonts w:ascii="宋体" w:hAnsi="宋体" w:cs="Arial"/>
                <w:color w:val="000000"/>
                <w:szCs w:val="21"/>
              </w:rPr>
              <w:t>住所、办公地址</w:t>
            </w:r>
          </w:p>
        </w:tc>
        <w:tc>
          <w:tcPr>
            <w:tcW w:w="5832" w:type="dxa"/>
            <w:gridSpan w:val="3"/>
          </w:tcPr>
          <w:p w14:paraId="32AA1482" w14:textId="77777777" w:rsidR="00BF38BB" w:rsidRDefault="002837D7">
            <w:pPr>
              <w:spacing w:line="360" w:lineRule="auto"/>
              <w:rPr>
                <w:rFonts w:ascii="宋体" w:hAnsi="宋体"/>
              </w:rPr>
            </w:pPr>
            <w:r>
              <w:rPr>
                <w:rFonts w:ascii="宋体" w:hAnsi="宋体" w:hint="eastAsia"/>
                <w:color w:val="000000"/>
                <w:szCs w:val="21"/>
              </w:rPr>
              <w:t>上海市浦东新区浦东南路</w:t>
            </w:r>
            <w:r>
              <w:rPr>
                <w:rFonts w:ascii="宋体" w:hAnsi="宋体" w:hint="eastAsia"/>
                <w:color w:val="000000"/>
                <w:szCs w:val="21"/>
              </w:rPr>
              <w:t>256</w:t>
            </w:r>
            <w:r>
              <w:rPr>
                <w:rFonts w:ascii="宋体" w:hAnsi="宋体" w:hint="eastAsia"/>
                <w:color w:val="000000"/>
                <w:szCs w:val="21"/>
              </w:rPr>
              <w:t>号华夏银行大厦</w:t>
            </w:r>
            <w:r>
              <w:rPr>
                <w:rFonts w:ascii="宋体" w:hAnsi="宋体" w:hint="eastAsia"/>
                <w:color w:val="000000"/>
                <w:szCs w:val="21"/>
              </w:rPr>
              <w:t>14</w:t>
            </w:r>
            <w:r>
              <w:rPr>
                <w:rFonts w:ascii="宋体" w:hAnsi="宋体" w:hint="eastAsia"/>
                <w:color w:val="000000"/>
                <w:szCs w:val="21"/>
              </w:rPr>
              <w:t>楼</w:t>
            </w:r>
          </w:p>
        </w:tc>
      </w:tr>
      <w:tr w:rsidR="00BF38BB" w14:paraId="1FE34F05" w14:textId="77777777">
        <w:tc>
          <w:tcPr>
            <w:tcW w:w="1728" w:type="dxa"/>
          </w:tcPr>
          <w:p w14:paraId="0469CD7E" w14:textId="77777777" w:rsidR="00BF38BB" w:rsidRDefault="002837D7">
            <w:pPr>
              <w:spacing w:line="360" w:lineRule="auto"/>
              <w:rPr>
                <w:rFonts w:ascii="宋体" w:hAnsi="宋体"/>
              </w:rPr>
            </w:pPr>
            <w:r>
              <w:rPr>
                <w:rFonts w:ascii="宋体" w:hAnsi="宋体" w:cs="Arial"/>
                <w:color w:val="000000"/>
                <w:szCs w:val="21"/>
              </w:rPr>
              <w:t>负责人</w:t>
            </w:r>
          </w:p>
        </w:tc>
        <w:tc>
          <w:tcPr>
            <w:tcW w:w="2232" w:type="dxa"/>
          </w:tcPr>
          <w:p w14:paraId="69FD12BE" w14:textId="77777777" w:rsidR="00BF38BB" w:rsidRDefault="002837D7">
            <w:pPr>
              <w:spacing w:line="360" w:lineRule="auto"/>
              <w:rPr>
                <w:rFonts w:ascii="宋体" w:hAnsi="宋体"/>
              </w:rPr>
            </w:pPr>
            <w:r>
              <w:rPr>
                <w:rFonts w:ascii="宋体" w:hAnsi="宋体" w:hint="eastAsia"/>
                <w:color w:val="000000"/>
                <w:szCs w:val="21"/>
              </w:rPr>
              <w:t>廖海</w:t>
            </w:r>
          </w:p>
        </w:tc>
        <w:tc>
          <w:tcPr>
            <w:tcW w:w="1080" w:type="dxa"/>
          </w:tcPr>
          <w:p w14:paraId="2CC4F72A" w14:textId="77777777" w:rsidR="00BF38BB" w:rsidRDefault="002837D7">
            <w:pPr>
              <w:spacing w:line="360" w:lineRule="auto"/>
              <w:rPr>
                <w:rFonts w:ascii="宋体" w:hAnsi="宋体"/>
              </w:rPr>
            </w:pPr>
            <w:r>
              <w:rPr>
                <w:rFonts w:ascii="宋体" w:hAnsi="宋体" w:cs="Arial" w:hint="eastAsia"/>
                <w:color w:val="000000"/>
                <w:szCs w:val="21"/>
              </w:rPr>
              <w:t>联系</w:t>
            </w:r>
            <w:r>
              <w:rPr>
                <w:rFonts w:ascii="宋体" w:hAnsi="宋体" w:cs="Arial"/>
                <w:color w:val="000000"/>
                <w:szCs w:val="21"/>
              </w:rPr>
              <w:t>人</w:t>
            </w:r>
          </w:p>
        </w:tc>
        <w:tc>
          <w:tcPr>
            <w:tcW w:w="2520" w:type="dxa"/>
          </w:tcPr>
          <w:p w14:paraId="1B4ACE91" w14:textId="77777777" w:rsidR="00BF38BB" w:rsidRDefault="002837D7">
            <w:pPr>
              <w:spacing w:line="360" w:lineRule="auto"/>
              <w:rPr>
                <w:rFonts w:ascii="宋体" w:hAnsi="宋体"/>
              </w:rPr>
            </w:pPr>
            <w:r>
              <w:rPr>
                <w:rFonts w:ascii="宋体" w:hAnsi="宋体" w:hint="eastAsia"/>
                <w:color w:val="000000"/>
                <w:szCs w:val="21"/>
              </w:rPr>
              <w:t>刘佳</w:t>
            </w:r>
          </w:p>
        </w:tc>
      </w:tr>
      <w:tr w:rsidR="00BF38BB" w14:paraId="60C96A53" w14:textId="77777777">
        <w:tc>
          <w:tcPr>
            <w:tcW w:w="1728" w:type="dxa"/>
          </w:tcPr>
          <w:p w14:paraId="6E5B2B16" w14:textId="77777777" w:rsidR="00BF38BB" w:rsidRDefault="002837D7">
            <w:pPr>
              <w:spacing w:line="360" w:lineRule="auto"/>
              <w:rPr>
                <w:rFonts w:ascii="宋体" w:hAnsi="宋体"/>
              </w:rPr>
            </w:pPr>
            <w:r>
              <w:rPr>
                <w:rFonts w:ascii="宋体" w:hAnsi="宋体" w:hint="eastAsia"/>
                <w:color w:val="000000"/>
                <w:szCs w:val="21"/>
              </w:rPr>
              <w:t>电话</w:t>
            </w:r>
          </w:p>
        </w:tc>
        <w:tc>
          <w:tcPr>
            <w:tcW w:w="2232" w:type="dxa"/>
          </w:tcPr>
          <w:p w14:paraId="3A90D4A4" w14:textId="77777777" w:rsidR="00BF38BB" w:rsidRDefault="002837D7">
            <w:pPr>
              <w:spacing w:line="360" w:lineRule="auto"/>
              <w:rPr>
                <w:rFonts w:ascii="宋体" w:hAnsi="宋体"/>
              </w:rPr>
            </w:pPr>
            <w:r>
              <w:rPr>
                <w:rFonts w:ascii="宋体" w:hAnsi="宋体" w:hint="eastAsia"/>
                <w:color w:val="000000"/>
                <w:szCs w:val="21"/>
              </w:rPr>
              <w:t>（</w:t>
            </w:r>
            <w:r>
              <w:rPr>
                <w:rFonts w:ascii="宋体" w:hAnsi="宋体" w:hint="eastAsia"/>
                <w:color w:val="000000"/>
                <w:szCs w:val="21"/>
              </w:rPr>
              <w:t>021</w:t>
            </w:r>
            <w:r>
              <w:rPr>
                <w:rFonts w:ascii="宋体" w:hAnsi="宋体" w:hint="eastAsia"/>
                <w:color w:val="000000"/>
                <w:szCs w:val="21"/>
              </w:rPr>
              <w:t>）</w:t>
            </w:r>
            <w:r>
              <w:rPr>
                <w:rFonts w:ascii="宋体" w:hAnsi="宋体" w:hint="eastAsia"/>
                <w:color w:val="000000"/>
                <w:szCs w:val="21"/>
              </w:rPr>
              <w:t>51150298</w:t>
            </w:r>
          </w:p>
        </w:tc>
        <w:tc>
          <w:tcPr>
            <w:tcW w:w="1080" w:type="dxa"/>
          </w:tcPr>
          <w:p w14:paraId="613A75E9" w14:textId="77777777" w:rsidR="00BF38BB" w:rsidRDefault="002837D7">
            <w:pPr>
              <w:spacing w:line="360" w:lineRule="auto"/>
              <w:rPr>
                <w:rFonts w:ascii="宋体" w:hAnsi="宋体"/>
              </w:rPr>
            </w:pPr>
            <w:r>
              <w:rPr>
                <w:rFonts w:ascii="宋体" w:hAnsi="宋体" w:hint="eastAsia"/>
                <w:color w:val="000000"/>
                <w:szCs w:val="21"/>
              </w:rPr>
              <w:t>传真</w:t>
            </w:r>
          </w:p>
        </w:tc>
        <w:tc>
          <w:tcPr>
            <w:tcW w:w="2520" w:type="dxa"/>
          </w:tcPr>
          <w:p w14:paraId="1ACA5FC9" w14:textId="77777777" w:rsidR="00BF38BB" w:rsidRDefault="002837D7">
            <w:pPr>
              <w:spacing w:line="360" w:lineRule="auto"/>
              <w:rPr>
                <w:rFonts w:ascii="宋体" w:hAnsi="宋体"/>
              </w:rPr>
            </w:pPr>
            <w:r>
              <w:rPr>
                <w:rFonts w:ascii="宋体" w:hAnsi="宋体" w:hint="eastAsia"/>
                <w:color w:val="000000"/>
                <w:szCs w:val="21"/>
              </w:rPr>
              <w:t>（</w:t>
            </w:r>
            <w:r>
              <w:rPr>
                <w:rFonts w:ascii="宋体" w:hAnsi="宋体" w:hint="eastAsia"/>
                <w:color w:val="000000"/>
                <w:szCs w:val="21"/>
              </w:rPr>
              <w:t>021</w:t>
            </w:r>
            <w:r>
              <w:rPr>
                <w:rFonts w:ascii="宋体" w:hAnsi="宋体" w:hint="eastAsia"/>
                <w:color w:val="000000"/>
                <w:szCs w:val="21"/>
              </w:rPr>
              <w:t>）</w:t>
            </w:r>
            <w:r>
              <w:rPr>
                <w:rFonts w:ascii="宋体" w:hAnsi="宋体" w:hint="eastAsia"/>
                <w:color w:val="000000"/>
                <w:szCs w:val="21"/>
              </w:rPr>
              <w:t>51150</w:t>
            </w:r>
            <w:r>
              <w:rPr>
                <w:rFonts w:ascii="宋体" w:hAnsi="宋体"/>
                <w:color w:val="000000"/>
                <w:szCs w:val="21"/>
              </w:rPr>
              <w:t>3</w:t>
            </w:r>
            <w:r>
              <w:rPr>
                <w:rFonts w:ascii="宋体" w:hAnsi="宋体" w:hint="eastAsia"/>
                <w:color w:val="000000"/>
                <w:szCs w:val="21"/>
              </w:rPr>
              <w:t>98</w:t>
            </w:r>
          </w:p>
        </w:tc>
      </w:tr>
      <w:tr w:rsidR="00BF38BB" w14:paraId="05733774" w14:textId="77777777">
        <w:tc>
          <w:tcPr>
            <w:tcW w:w="1728" w:type="dxa"/>
          </w:tcPr>
          <w:p w14:paraId="2A00D6DC" w14:textId="77777777" w:rsidR="00BF38BB" w:rsidRDefault="002837D7">
            <w:pPr>
              <w:spacing w:line="360" w:lineRule="auto"/>
              <w:rPr>
                <w:rFonts w:ascii="宋体" w:hAnsi="宋体"/>
                <w:spacing w:val="6"/>
              </w:rPr>
            </w:pPr>
            <w:r>
              <w:rPr>
                <w:rFonts w:ascii="宋体" w:hAnsi="宋体" w:cs="Arial" w:hint="eastAsia"/>
                <w:color w:val="000000"/>
                <w:spacing w:val="6"/>
                <w:szCs w:val="21"/>
              </w:rPr>
              <w:t>经办律师</w:t>
            </w:r>
          </w:p>
        </w:tc>
        <w:tc>
          <w:tcPr>
            <w:tcW w:w="5832" w:type="dxa"/>
            <w:gridSpan w:val="3"/>
          </w:tcPr>
          <w:p w14:paraId="7D3F6E31" w14:textId="77777777" w:rsidR="00BF38BB" w:rsidRDefault="002837D7">
            <w:pPr>
              <w:spacing w:line="360" w:lineRule="auto"/>
              <w:rPr>
                <w:rFonts w:ascii="宋体" w:hAnsi="宋体"/>
              </w:rPr>
            </w:pPr>
            <w:r>
              <w:rPr>
                <w:rFonts w:ascii="宋体" w:hAnsi="宋体" w:hint="eastAsia"/>
                <w:color w:val="000000"/>
                <w:szCs w:val="21"/>
              </w:rPr>
              <w:t>刘佳、李筱筱</w:t>
            </w:r>
          </w:p>
        </w:tc>
      </w:tr>
    </w:tbl>
    <w:p w14:paraId="3023151D" w14:textId="77777777" w:rsidR="00BF38BB" w:rsidRDefault="00BF38BB">
      <w:pPr>
        <w:spacing w:line="360" w:lineRule="auto"/>
        <w:ind w:firstLineChars="200" w:firstLine="420"/>
        <w:rPr>
          <w:rFonts w:ascii="宋体" w:hAnsi="宋体"/>
        </w:rPr>
      </w:pPr>
    </w:p>
    <w:p w14:paraId="4CEDC74F" w14:textId="77777777" w:rsidR="00BF38BB" w:rsidRDefault="00BF38BB">
      <w:pPr>
        <w:spacing w:line="360" w:lineRule="auto"/>
        <w:ind w:firstLineChars="200" w:firstLine="420"/>
        <w:rPr>
          <w:rFonts w:ascii="宋体" w:hAnsi="宋体"/>
        </w:rPr>
      </w:pPr>
    </w:p>
    <w:p w14:paraId="5904105E" w14:textId="77777777" w:rsidR="00BF38BB" w:rsidRDefault="00BF38BB">
      <w:pPr>
        <w:spacing w:line="360" w:lineRule="auto"/>
        <w:ind w:firstLineChars="200" w:firstLine="420"/>
        <w:rPr>
          <w:rFonts w:ascii="宋体" w:hAnsi="宋体"/>
        </w:rPr>
      </w:pPr>
    </w:p>
    <w:p w14:paraId="0BF4CADB" w14:textId="77777777" w:rsidR="00BF38BB" w:rsidRDefault="00BF38BB">
      <w:pPr>
        <w:spacing w:line="360" w:lineRule="auto"/>
        <w:ind w:firstLineChars="200" w:firstLine="420"/>
        <w:rPr>
          <w:rFonts w:ascii="宋体" w:hAnsi="宋体"/>
        </w:rPr>
      </w:pPr>
    </w:p>
    <w:p w14:paraId="4916EBD4" w14:textId="77777777" w:rsidR="00BF38BB" w:rsidRDefault="00BF38BB">
      <w:pPr>
        <w:spacing w:line="360" w:lineRule="auto"/>
        <w:ind w:firstLineChars="200" w:firstLine="420"/>
        <w:rPr>
          <w:rFonts w:ascii="宋体" w:hAnsi="宋体"/>
        </w:rPr>
      </w:pPr>
    </w:p>
    <w:p w14:paraId="0F620DAB" w14:textId="77777777" w:rsidR="00BF38BB" w:rsidRDefault="00BF38BB">
      <w:pPr>
        <w:spacing w:line="360" w:lineRule="auto"/>
        <w:rPr>
          <w:rFonts w:ascii="宋体" w:hAnsi="宋体"/>
        </w:rPr>
      </w:pPr>
    </w:p>
    <w:p w14:paraId="3FB310F1" w14:textId="77777777" w:rsidR="00BF38BB" w:rsidRDefault="002837D7">
      <w:pPr>
        <w:spacing w:line="360" w:lineRule="auto"/>
        <w:ind w:firstLineChars="200" w:firstLine="420"/>
        <w:rPr>
          <w:rFonts w:ascii="宋体" w:hAnsi="宋体"/>
        </w:rPr>
      </w:pPr>
      <w:r>
        <w:rPr>
          <w:rFonts w:ascii="宋体" w:hAnsi="宋体"/>
        </w:rPr>
        <w:lastRenderedPageBreak/>
        <w:t>（四）会计师事务所</w:t>
      </w:r>
    </w:p>
    <w:tbl>
      <w:tblPr>
        <w:tblW w:w="478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2253"/>
        <w:gridCol w:w="1323"/>
        <w:gridCol w:w="3643"/>
      </w:tblGrid>
      <w:tr w:rsidR="00BF38BB" w14:paraId="43E92E59" w14:textId="77777777">
        <w:tc>
          <w:tcPr>
            <w:tcW w:w="1126" w:type="pct"/>
            <w:vAlign w:val="bottom"/>
          </w:tcPr>
          <w:p w14:paraId="539DD3C1"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名称</w:t>
            </w:r>
          </w:p>
        </w:tc>
        <w:tc>
          <w:tcPr>
            <w:tcW w:w="3874" w:type="pct"/>
            <w:gridSpan w:val="3"/>
            <w:vAlign w:val="bottom"/>
          </w:tcPr>
          <w:p w14:paraId="68D163A9"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德勤华永会计师事务所</w:t>
            </w:r>
            <w:r>
              <w:rPr>
                <w:rFonts w:ascii="Calibri" w:eastAsia="等线" w:hAnsi="Calibri" w:cs="Calibri"/>
                <w:color w:val="000000"/>
                <w:kern w:val="0"/>
                <w:szCs w:val="21"/>
              </w:rPr>
              <w:t>(</w:t>
            </w:r>
            <w:r>
              <w:rPr>
                <w:rFonts w:ascii="宋体" w:hAnsi="宋体" w:cs="Calibri" w:hint="eastAsia"/>
                <w:color w:val="000000"/>
                <w:kern w:val="0"/>
                <w:szCs w:val="21"/>
              </w:rPr>
              <w:t>特殊普通合伙</w:t>
            </w:r>
            <w:r>
              <w:rPr>
                <w:rFonts w:ascii="Calibri" w:eastAsia="等线" w:hAnsi="Calibri" w:cs="Calibri"/>
                <w:color w:val="000000"/>
                <w:kern w:val="0"/>
                <w:szCs w:val="21"/>
              </w:rPr>
              <w:t>)</w:t>
            </w:r>
          </w:p>
        </w:tc>
      </w:tr>
      <w:tr w:rsidR="00BF38BB" w14:paraId="38BC1C25" w14:textId="77777777">
        <w:tc>
          <w:tcPr>
            <w:tcW w:w="1126" w:type="pct"/>
            <w:vAlign w:val="bottom"/>
          </w:tcPr>
          <w:p w14:paraId="63A3F202"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住所</w:t>
            </w:r>
          </w:p>
        </w:tc>
        <w:tc>
          <w:tcPr>
            <w:tcW w:w="3874" w:type="pct"/>
            <w:gridSpan w:val="3"/>
            <w:vAlign w:val="bottom"/>
          </w:tcPr>
          <w:p w14:paraId="2388233A"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中国上海市延安东路</w:t>
            </w:r>
            <w:r>
              <w:rPr>
                <w:rFonts w:ascii="宋体" w:hAnsi="宋体" w:cs="Calibri" w:hint="eastAsia"/>
                <w:color w:val="000000"/>
                <w:kern w:val="0"/>
                <w:szCs w:val="21"/>
              </w:rPr>
              <w:t>222</w:t>
            </w:r>
            <w:r>
              <w:rPr>
                <w:rFonts w:ascii="宋体" w:hAnsi="宋体" w:cs="Calibri" w:hint="eastAsia"/>
                <w:color w:val="000000"/>
                <w:kern w:val="0"/>
                <w:szCs w:val="21"/>
              </w:rPr>
              <w:t>号外滩中心</w:t>
            </w:r>
            <w:r>
              <w:rPr>
                <w:rFonts w:ascii="宋体" w:hAnsi="宋体" w:cs="Calibri" w:hint="eastAsia"/>
                <w:color w:val="000000"/>
                <w:kern w:val="0"/>
                <w:szCs w:val="21"/>
              </w:rPr>
              <w:t>30</w:t>
            </w:r>
            <w:r>
              <w:rPr>
                <w:rFonts w:ascii="宋体" w:hAnsi="宋体" w:cs="Calibri" w:hint="eastAsia"/>
                <w:color w:val="000000"/>
                <w:kern w:val="0"/>
                <w:szCs w:val="21"/>
              </w:rPr>
              <w:t>楼</w:t>
            </w:r>
          </w:p>
        </w:tc>
      </w:tr>
      <w:tr w:rsidR="00BF38BB" w14:paraId="4625A6F5" w14:textId="77777777">
        <w:tc>
          <w:tcPr>
            <w:tcW w:w="1126" w:type="pct"/>
            <w:vAlign w:val="bottom"/>
          </w:tcPr>
          <w:p w14:paraId="23909A80"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办公地址</w:t>
            </w:r>
          </w:p>
        </w:tc>
        <w:tc>
          <w:tcPr>
            <w:tcW w:w="3874" w:type="pct"/>
            <w:gridSpan w:val="3"/>
            <w:vAlign w:val="bottom"/>
          </w:tcPr>
          <w:p w14:paraId="7D83D8EB"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中国上海市延安东路</w:t>
            </w:r>
            <w:r>
              <w:rPr>
                <w:rFonts w:ascii="宋体" w:hAnsi="宋体" w:cs="Calibri" w:hint="eastAsia"/>
                <w:color w:val="000000"/>
                <w:kern w:val="0"/>
                <w:szCs w:val="21"/>
              </w:rPr>
              <w:t>222</w:t>
            </w:r>
            <w:r>
              <w:rPr>
                <w:rFonts w:ascii="宋体" w:hAnsi="宋体" w:cs="Calibri" w:hint="eastAsia"/>
                <w:color w:val="000000"/>
                <w:kern w:val="0"/>
                <w:szCs w:val="21"/>
              </w:rPr>
              <w:t>号外滩中心</w:t>
            </w:r>
            <w:r>
              <w:rPr>
                <w:rFonts w:ascii="宋体" w:hAnsi="宋体" w:cs="Calibri" w:hint="eastAsia"/>
                <w:color w:val="000000"/>
                <w:kern w:val="0"/>
                <w:szCs w:val="21"/>
              </w:rPr>
              <w:t>30</w:t>
            </w:r>
            <w:r>
              <w:rPr>
                <w:rFonts w:ascii="宋体" w:hAnsi="宋体" w:cs="Calibri" w:hint="eastAsia"/>
                <w:color w:val="000000"/>
                <w:kern w:val="0"/>
                <w:szCs w:val="21"/>
              </w:rPr>
              <w:t>楼</w:t>
            </w:r>
          </w:p>
        </w:tc>
      </w:tr>
      <w:tr w:rsidR="00BF38BB" w14:paraId="1E2965DB" w14:textId="77777777">
        <w:tc>
          <w:tcPr>
            <w:tcW w:w="1126" w:type="pct"/>
            <w:vAlign w:val="bottom"/>
          </w:tcPr>
          <w:p w14:paraId="2D82DAF3"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 w:val="22"/>
                <w:szCs w:val="22"/>
              </w:rPr>
              <w:t>执行事务合伙人</w:t>
            </w:r>
          </w:p>
        </w:tc>
        <w:tc>
          <w:tcPr>
            <w:tcW w:w="1209" w:type="pct"/>
            <w:vAlign w:val="bottom"/>
          </w:tcPr>
          <w:p w14:paraId="10165CDE"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唐恋炯</w:t>
            </w:r>
          </w:p>
        </w:tc>
        <w:tc>
          <w:tcPr>
            <w:tcW w:w="710" w:type="pct"/>
            <w:vAlign w:val="bottom"/>
          </w:tcPr>
          <w:p w14:paraId="44F57A27"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联系人</w:t>
            </w:r>
          </w:p>
        </w:tc>
        <w:tc>
          <w:tcPr>
            <w:tcW w:w="1955" w:type="pct"/>
            <w:vAlign w:val="bottom"/>
          </w:tcPr>
          <w:p w14:paraId="185C0B47" w14:textId="77777777" w:rsidR="00BF38BB" w:rsidRDefault="002837D7">
            <w:pPr>
              <w:pStyle w:val="Default"/>
              <w:spacing w:line="360" w:lineRule="auto"/>
              <w:jc w:val="both"/>
              <w:rPr>
                <w:rFonts w:asciiTheme="minorEastAsia" w:eastAsiaTheme="minorEastAsia" w:hAnsiTheme="minorEastAsia"/>
                <w:sz w:val="21"/>
                <w:szCs w:val="21"/>
              </w:rPr>
            </w:pPr>
            <w:r>
              <w:rPr>
                <w:rFonts w:hAnsi="宋体" w:cs="Calibri" w:hint="eastAsia"/>
                <w:sz w:val="21"/>
                <w:szCs w:val="21"/>
              </w:rPr>
              <w:t>郭新华</w:t>
            </w:r>
          </w:p>
        </w:tc>
      </w:tr>
      <w:tr w:rsidR="00BF38BB" w14:paraId="1FF7DB6D" w14:textId="77777777">
        <w:tc>
          <w:tcPr>
            <w:tcW w:w="1126" w:type="pct"/>
            <w:vAlign w:val="bottom"/>
          </w:tcPr>
          <w:p w14:paraId="35354BD7"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电话</w:t>
            </w:r>
          </w:p>
        </w:tc>
        <w:tc>
          <w:tcPr>
            <w:tcW w:w="1209" w:type="pct"/>
            <w:vAlign w:val="bottom"/>
          </w:tcPr>
          <w:p w14:paraId="58AB434E" w14:textId="77777777" w:rsidR="00BF38BB" w:rsidRDefault="002837D7">
            <w:pPr>
              <w:spacing w:line="360" w:lineRule="auto"/>
              <w:rPr>
                <w:rFonts w:asciiTheme="minorEastAsia" w:eastAsiaTheme="minorEastAsia" w:hAnsiTheme="minorEastAsia"/>
                <w:szCs w:val="21"/>
              </w:rPr>
            </w:pPr>
            <w:r>
              <w:rPr>
                <w:rFonts w:ascii="Calibri" w:eastAsia="等线" w:hAnsi="Calibri" w:cs="Calibri"/>
                <w:color w:val="000000"/>
                <w:kern w:val="0"/>
                <w:szCs w:val="21"/>
              </w:rPr>
              <w:t>+86 (21) 6141 8888</w:t>
            </w:r>
          </w:p>
        </w:tc>
        <w:tc>
          <w:tcPr>
            <w:tcW w:w="710" w:type="pct"/>
            <w:vAlign w:val="bottom"/>
          </w:tcPr>
          <w:p w14:paraId="3D41FD20" w14:textId="77777777" w:rsidR="00BF38BB" w:rsidRDefault="002837D7">
            <w:pPr>
              <w:spacing w:line="360" w:lineRule="auto"/>
              <w:rPr>
                <w:rFonts w:asciiTheme="minorEastAsia" w:eastAsiaTheme="minorEastAsia" w:hAnsiTheme="minorEastAsia"/>
                <w:szCs w:val="21"/>
              </w:rPr>
            </w:pPr>
            <w:r>
              <w:rPr>
                <w:rFonts w:ascii="宋体" w:hAnsi="宋体" w:cs="Calibri" w:hint="eastAsia"/>
                <w:color w:val="000000"/>
                <w:kern w:val="0"/>
                <w:szCs w:val="21"/>
              </w:rPr>
              <w:t>传真</w:t>
            </w:r>
          </w:p>
        </w:tc>
        <w:tc>
          <w:tcPr>
            <w:tcW w:w="1955" w:type="pct"/>
            <w:vAlign w:val="bottom"/>
          </w:tcPr>
          <w:p w14:paraId="27987CC8" w14:textId="77777777" w:rsidR="00BF38BB" w:rsidRDefault="002837D7">
            <w:pPr>
              <w:spacing w:line="360" w:lineRule="auto"/>
              <w:rPr>
                <w:rFonts w:asciiTheme="minorEastAsia" w:eastAsiaTheme="minorEastAsia" w:hAnsiTheme="minorEastAsia"/>
                <w:szCs w:val="21"/>
              </w:rPr>
            </w:pPr>
            <w:r>
              <w:rPr>
                <w:rFonts w:ascii="Calibri" w:eastAsia="等线" w:hAnsi="Calibri" w:cs="Calibri"/>
                <w:color w:val="000000"/>
                <w:kern w:val="0"/>
                <w:szCs w:val="21"/>
              </w:rPr>
              <w:t>+86 (21) 6335 0003</w:t>
            </w:r>
          </w:p>
        </w:tc>
      </w:tr>
      <w:tr w:rsidR="00BF38BB" w14:paraId="6B4BF3C4" w14:textId="77777777">
        <w:tc>
          <w:tcPr>
            <w:tcW w:w="1126" w:type="pct"/>
            <w:vAlign w:val="bottom"/>
          </w:tcPr>
          <w:p w14:paraId="02A9A51D" w14:textId="77777777" w:rsidR="00BF38BB" w:rsidRDefault="002837D7">
            <w:pPr>
              <w:spacing w:line="360" w:lineRule="auto"/>
              <w:rPr>
                <w:rFonts w:asciiTheme="minorEastAsia" w:eastAsiaTheme="minorEastAsia" w:hAnsiTheme="minorEastAsia"/>
                <w:spacing w:val="6"/>
                <w:szCs w:val="21"/>
                <w:highlight w:val="yellow"/>
              </w:rPr>
            </w:pPr>
            <w:r>
              <w:rPr>
                <w:rFonts w:ascii="宋体" w:hAnsi="宋体" w:cs="Calibri" w:hint="eastAsia"/>
                <w:color w:val="000000"/>
                <w:kern w:val="0"/>
                <w:szCs w:val="21"/>
              </w:rPr>
              <w:t>经办注册会计师</w:t>
            </w:r>
          </w:p>
        </w:tc>
        <w:tc>
          <w:tcPr>
            <w:tcW w:w="3874" w:type="pct"/>
            <w:gridSpan w:val="3"/>
            <w:vAlign w:val="bottom"/>
          </w:tcPr>
          <w:p w14:paraId="41300C12" w14:textId="77777777" w:rsidR="00BF38BB" w:rsidRDefault="002837D7">
            <w:pPr>
              <w:spacing w:line="360" w:lineRule="auto"/>
              <w:rPr>
                <w:rFonts w:asciiTheme="minorEastAsia" w:eastAsiaTheme="minorEastAsia" w:hAnsiTheme="minorEastAsia"/>
                <w:szCs w:val="21"/>
                <w:highlight w:val="yellow"/>
              </w:rPr>
            </w:pPr>
            <w:r>
              <w:rPr>
                <w:rFonts w:ascii="宋体" w:hAnsi="宋体" w:cs="Calibri" w:hint="eastAsia"/>
                <w:color w:val="000000"/>
                <w:kern w:val="0"/>
                <w:szCs w:val="21"/>
              </w:rPr>
              <w:t>郭新华、强占新</w:t>
            </w:r>
          </w:p>
        </w:tc>
      </w:tr>
    </w:tbl>
    <w:p w14:paraId="5BD3A641" w14:textId="77777777" w:rsidR="00BF38BB" w:rsidRDefault="00BF38BB">
      <w:pPr>
        <w:spacing w:line="360" w:lineRule="auto"/>
        <w:ind w:firstLineChars="200" w:firstLine="420"/>
        <w:rPr>
          <w:rFonts w:ascii="宋体" w:hAnsi="宋体"/>
        </w:rPr>
      </w:pPr>
    </w:p>
    <w:p w14:paraId="619DF5C9" w14:textId="77777777" w:rsidR="00BF38BB" w:rsidRDefault="00BF38BB">
      <w:pPr>
        <w:spacing w:line="360" w:lineRule="auto"/>
        <w:rPr>
          <w:rFonts w:ascii="宋体" w:hAnsi="宋体"/>
          <w:b/>
          <w:bCs/>
          <w:szCs w:val="21"/>
        </w:rPr>
      </w:pPr>
    </w:p>
    <w:p w14:paraId="03EB08A0" w14:textId="77777777" w:rsidR="00BF38BB" w:rsidRDefault="002837D7">
      <w:pPr>
        <w:pStyle w:val="1"/>
        <w:spacing w:before="340" w:after="330"/>
        <w:jc w:val="center"/>
        <w:rPr>
          <w:rFonts w:hAnsi="宋体"/>
          <w:color w:val="auto"/>
          <w:kern w:val="44"/>
          <w:sz w:val="21"/>
        </w:rPr>
      </w:pPr>
      <w:r>
        <w:rPr>
          <w:rFonts w:hAnsi="宋体"/>
          <w:sz w:val="21"/>
        </w:rPr>
        <w:br w:type="page"/>
      </w:r>
      <w:bookmarkStart w:id="43" w:name="_Toc69916731"/>
      <w:r>
        <w:rPr>
          <w:rFonts w:hAnsi="宋体"/>
          <w:color w:val="auto"/>
          <w:kern w:val="44"/>
          <w:sz w:val="21"/>
        </w:rPr>
        <w:lastRenderedPageBreak/>
        <w:t>六、</w:t>
      </w:r>
      <w:bookmarkStart w:id="44" w:name="_Toc334542955"/>
      <w:bookmarkStart w:id="45" w:name="_Toc16920828"/>
      <w:bookmarkStart w:id="46" w:name="_Toc329187116"/>
      <w:bookmarkStart w:id="47" w:name="_Toc334542638"/>
      <w:bookmarkEnd w:id="41"/>
      <w:bookmarkEnd w:id="42"/>
      <w:r>
        <w:rPr>
          <w:rFonts w:hAnsi="宋体"/>
          <w:color w:val="auto"/>
          <w:kern w:val="44"/>
          <w:sz w:val="21"/>
        </w:rPr>
        <w:t>基金的募集</w:t>
      </w:r>
      <w:bookmarkEnd w:id="43"/>
      <w:bookmarkEnd w:id="44"/>
      <w:bookmarkEnd w:id="45"/>
      <w:bookmarkEnd w:id="46"/>
      <w:bookmarkEnd w:id="47"/>
    </w:p>
    <w:p w14:paraId="6AB6851D" w14:textId="77777777" w:rsidR="00BF38BB" w:rsidRDefault="002837D7">
      <w:pPr>
        <w:spacing w:line="360" w:lineRule="auto"/>
        <w:ind w:firstLineChars="200" w:firstLine="420"/>
        <w:rPr>
          <w:rFonts w:ascii="宋体" w:hAnsi="宋体"/>
        </w:rPr>
      </w:pPr>
      <w:r>
        <w:rPr>
          <w:rFonts w:ascii="宋体" w:hAnsi="宋体"/>
        </w:rPr>
        <w:t>（一）基金募集的依据</w:t>
      </w:r>
    </w:p>
    <w:p w14:paraId="771DA311" w14:textId="77777777" w:rsidR="00BF38BB" w:rsidRDefault="002837D7">
      <w:pPr>
        <w:spacing w:line="360" w:lineRule="auto"/>
        <w:ind w:firstLineChars="200" w:firstLine="420"/>
        <w:rPr>
          <w:rFonts w:ascii="宋体" w:hAnsi="宋体"/>
        </w:rPr>
      </w:pPr>
      <w:r>
        <w:rPr>
          <w:rFonts w:ascii="宋体" w:hAnsi="宋体"/>
        </w:rPr>
        <w:t>本基金由基金管理人依照《基金法》、《运作办法》、《销售办法》、基金合同及其他有关规定募集。本基金募集申请已经中国证监会</w:t>
      </w:r>
      <w:r>
        <w:rPr>
          <w:rFonts w:ascii="宋体" w:hAnsi="宋体"/>
          <w:szCs w:val="21"/>
        </w:rPr>
        <w:t>2026</w:t>
      </w:r>
      <w:r>
        <w:rPr>
          <w:rFonts w:ascii="宋体" w:hAnsi="宋体"/>
          <w:szCs w:val="21"/>
        </w:rPr>
        <w:t>年</w:t>
      </w:r>
      <w:r>
        <w:rPr>
          <w:rFonts w:ascii="宋体" w:hAnsi="宋体"/>
          <w:szCs w:val="21"/>
        </w:rPr>
        <w:t>6</w:t>
      </w:r>
      <w:r>
        <w:rPr>
          <w:rFonts w:ascii="宋体" w:hAnsi="宋体"/>
          <w:szCs w:val="21"/>
        </w:rPr>
        <w:t>月</w:t>
      </w:r>
      <w:r>
        <w:rPr>
          <w:rFonts w:ascii="宋体" w:hAnsi="宋体"/>
          <w:szCs w:val="21"/>
        </w:rPr>
        <w:t>2</w:t>
      </w:r>
      <w:r>
        <w:rPr>
          <w:rFonts w:ascii="宋体" w:hAnsi="宋体"/>
          <w:szCs w:val="21"/>
        </w:rPr>
        <w:t>日</w:t>
      </w:r>
      <w:r>
        <w:rPr>
          <w:rFonts w:ascii="宋体" w:hAnsi="宋体"/>
        </w:rPr>
        <w:t>证监许可</w:t>
      </w:r>
      <w:r>
        <w:rPr>
          <w:rFonts w:ascii="宋体" w:hAnsi="宋体"/>
          <w:szCs w:val="21"/>
        </w:rPr>
        <w:t>[2026]1357</w:t>
      </w:r>
      <w:r>
        <w:rPr>
          <w:rFonts w:ascii="宋体" w:hAnsi="宋体"/>
        </w:rPr>
        <w:t>号文注册。</w:t>
      </w:r>
    </w:p>
    <w:p w14:paraId="4705B4D8"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（二）基金类型</w:t>
      </w:r>
      <w:r>
        <w:rPr>
          <w:rFonts w:ascii="宋体" w:hAnsi="宋体" w:hint="eastAsia"/>
        </w:rPr>
        <w:t>、</w:t>
      </w:r>
      <w:r>
        <w:rPr>
          <w:rFonts w:ascii="宋体" w:hAnsi="宋体"/>
        </w:rPr>
        <w:t>运作方式</w:t>
      </w:r>
      <w:r>
        <w:rPr>
          <w:rFonts w:ascii="宋体" w:hAnsi="宋体" w:hint="eastAsia"/>
        </w:rPr>
        <w:t>、</w:t>
      </w:r>
      <w:r>
        <w:rPr>
          <w:rFonts w:ascii="宋体" w:hAnsi="宋体"/>
        </w:rPr>
        <w:t>存续期间</w:t>
      </w:r>
      <w:r>
        <w:rPr>
          <w:rFonts w:ascii="宋体" w:hAnsi="宋体" w:hint="eastAsia"/>
        </w:rPr>
        <w:t>、标的指数</w:t>
      </w:r>
      <w:r>
        <w:rPr>
          <w:rFonts w:ascii="宋体" w:hAnsi="宋体"/>
        </w:rPr>
        <w:t>和基金份额类别</w:t>
      </w:r>
    </w:p>
    <w:p w14:paraId="40F78B13"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1</w:t>
      </w:r>
      <w:r>
        <w:rPr>
          <w:rFonts w:ascii="宋体" w:hAnsi="宋体"/>
        </w:rPr>
        <w:t>、基金的类别：</w:t>
      </w:r>
      <w:r>
        <w:rPr>
          <w:rFonts w:ascii="宋体" w:hAnsi="宋体" w:hint="eastAsia"/>
        </w:rPr>
        <w:t>股票型证券投资基金</w:t>
      </w:r>
      <w:r>
        <w:rPr>
          <w:rFonts w:ascii="宋体" w:hAnsi="宋体"/>
        </w:rPr>
        <w:t>。</w:t>
      </w:r>
    </w:p>
    <w:p w14:paraId="739F321D"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2</w:t>
      </w:r>
      <w:r>
        <w:rPr>
          <w:rFonts w:ascii="宋体" w:hAnsi="宋体"/>
        </w:rPr>
        <w:t>、基金的运作方式：</w:t>
      </w:r>
      <w:r>
        <w:rPr>
          <w:rFonts w:ascii="宋体" w:hAnsi="宋体" w:hint="eastAsia"/>
        </w:rPr>
        <w:t>契约型开放式</w:t>
      </w:r>
    </w:p>
    <w:p w14:paraId="3D52770D"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3</w:t>
      </w:r>
      <w:r>
        <w:rPr>
          <w:rFonts w:ascii="宋体" w:hAnsi="宋体"/>
        </w:rPr>
        <w:t>、基金存续期间：不定期。</w:t>
      </w:r>
    </w:p>
    <w:p w14:paraId="1FADF296"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4</w:t>
      </w:r>
      <w:r>
        <w:rPr>
          <w:rFonts w:ascii="宋体" w:hAnsi="宋体" w:hint="eastAsia"/>
        </w:rPr>
        <w:t>、标的指数：中证</w:t>
      </w:r>
      <w:r>
        <w:rPr>
          <w:rFonts w:ascii="宋体" w:hAnsi="宋体" w:hint="eastAsia"/>
        </w:rPr>
        <w:t>800</w:t>
      </w:r>
      <w:r>
        <w:rPr>
          <w:rFonts w:ascii="宋体" w:hAnsi="宋体" w:hint="eastAsia"/>
        </w:rPr>
        <w:t>指数</w:t>
      </w:r>
    </w:p>
    <w:p w14:paraId="6F401531" w14:textId="77777777" w:rsidR="00BF38BB" w:rsidRDefault="002837D7">
      <w:pPr>
        <w:autoSpaceDE w:val="0"/>
        <w:autoSpaceDN w:val="0"/>
        <w:adjustRightInd w:val="0"/>
        <w:spacing w:line="360" w:lineRule="auto"/>
        <w:ind w:firstLineChars="200" w:firstLine="420"/>
        <w:rPr>
          <w:rFonts w:ascii="宋体" w:hAnsi="宋体"/>
          <w:kern w:val="0"/>
          <w:shd w:val="pct10" w:color="auto" w:fill="FFFFFF"/>
        </w:rPr>
      </w:pPr>
      <w:r>
        <w:rPr>
          <w:rFonts w:ascii="宋体" w:hAnsi="宋体"/>
          <w:kern w:val="0"/>
        </w:rPr>
        <w:t>5</w:t>
      </w:r>
      <w:r>
        <w:rPr>
          <w:rFonts w:ascii="宋体" w:hAnsi="宋体" w:hint="eastAsia"/>
          <w:kern w:val="0"/>
        </w:rPr>
        <w:t>、基金份额类别</w:t>
      </w:r>
    </w:p>
    <w:p w14:paraId="0879FB8E" w14:textId="77777777" w:rsidR="00BF38BB" w:rsidRDefault="002837D7">
      <w:pPr>
        <w:autoSpaceDE w:val="0"/>
        <w:autoSpaceDN w:val="0"/>
        <w:adjustRightInd w:val="0"/>
        <w:spacing w:line="360" w:lineRule="auto"/>
        <w:ind w:firstLineChars="200" w:firstLine="420"/>
        <w:rPr>
          <w:bCs/>
          <w:szCs w:val="21"/>
        </w:rPr>
      </w:pPr>
      <w:bookmarkStart w:id="48" w:name="_Hlk38018610"/>
      <w:r>
        <w:rPr>
          <w:rFonts w:hint="eastAsia"/>
          <w:bCs/>
          <w:szCs w:val="21"/>
        </w:rPr>
        <w:t>本基金根据认购</w:t>
      </w:r>
      <w:r>
        <w:rPr>
          <w:rFonts w:hint="eastAsia"/>
          <w:bCs/>
          <w:szCs w:val="21"/>
        </w:rPr>
        <w:t>/</w:t>
      </w:r>
      <w:r>
        <w:rPr>
          <w:rFonts w:hint="eastAsia"/>
          <w:bCs/>
          <w:szCs w:val="21"/>
        </w:rPr>
        <w:t>申购费用、销售服务费用收取方式的不同，将基金份额分为不同的类别。在投资人认购</w:t>
      </w:r>
      <w:r>
        <w:rPr>
          <w:rFonts w:hint="eastAsia"/>
          <w:bCs/>
          <w:szCs w:val="21"/>
        </w:rPr>
        <w:t>/</w:t>
      </w:r>
      <w:r>
        <w:rPr>
          <w:rFonts w:hint="eastAsia"/>
          <w:bCs/>
          <w:szCs w:val="21"/>
        </w:rPr>
        <w:t>申购基金份额时收取认购</w:t>
      </w:r>
      <w:r>
        <w:rPr>
          <w:rFonts w:hint="eastAsia"/>
          <w:bCs/>
          <w:szCs w:val="21"/>
        </w:rPr>
        <w:t>/</w:t>
      </w:r>
      <w:r>
        <w:rPr>
          <w:rFonts w:hint="eastAsia"/>
          <w:bCs/>
          <w:szCs w:val="21"/>
        </w:rPr>
        <w:t>申购费用，</w:t>
      </w:r>
      <w:r>
        <w:rPr>
          <w:rFonts w:hint="eastAsia"/>
          <w:bCs/>
          <w:szCs w:val="21"/>
        </w:rPr>
        <w:t>并不再从本类别基金资产中计提销售服务费的基金份额，称为</w:t>
      </w:r>
      <w:r>
        <w:rPr>
          <w:rFonts w:hint="eastAsia"/>
          <w:bCs/>
          <w:szCs w:val="21"/>
        </w:rPr>
        <w:t>A</w:t>
      </w:r>
      <w:r>
        <w:rPr>
          <w:rFonts w:hint="eastAsia"/>
          <w:bCs/>
          <w:szCs w:val="21"/>
        </w:rPr>
        <w:t>类基金份额；从本类别基金资产中计提销售服务费，并不收取认购</w:t>
      </w:r>
      <w:r>
        <w:rPr>
          <w:rFonts w:hint="eastAsia"/>
          <w:bCs/>
          <w:szCs w:val="21"/>
        </w:rPr>
        <w:t>/</w:t>
      </w:r>
      <w:r>
        <w:rPr>
          <w:rFonts w:hint="eastAsia"/>
          <w:bCs/>
          <w:szCs w:val="21"/>
        </w:rPr>
        <w:t>申购费用的基金份额，称为</w:t>
      </w:r>
      <w:r>
        <w:rPr>
          <w:rFonts w:hint="eastAsia"/>
          <w:bCs/>
          <w:szCs w:val="21"/>
        </w:rPr>
        <w:t>C</w:t>
      </w:r>
      <w:r>
        <w:rPr>
          <w:rFonts w:hint="eastAsia"/>
          <w:bCs/>
          <w:szCs w:val="21"/>
        </w:rPr>
        <w:t>类基金份额。其中，投资者通过基金管理人直销机构、基金管理人销售子公司认购</w:t>
      </w:r>
      <w:r>
        <w:rPr>
          <w:rFonts w:hint="eastAsia"/>
          <w:bCs/>
          <w:szCs w:val="21"/>
        </w:rPr>
        <w:t>/</w:t>
      </w:r>
      <w:r>
        <w:rPr>
          <w:rFonts w:hint="eastAsia"/>
          <w:bCs/>
          <w:szCs w:val="21"/>
        </w:rPr>
        <w:t>申购本基金</w:t>
      </w:r>
      <w:r>
        <w:rPr>
          <w:rFonts w:hint="eastAsia"/>
          <w:bCs/>
          <w:szCs w:val="21"/>
        </w:rPr>
        <w:t>A</w:t>
      </w:r>
      <w:r>
        <w:rPr>
          <w:rFonts w:hint="eastAsia"/>
          <w:bCs/>
          <w:szCs w:val="21"/>
        </w:rPr>
        <w:t>类基金份额，不收取认购</w:t>
      </w:r>
      <w:r>
        <w:rPr>
          <w:rFonts w:hint="eastAsia"/>
          <w:bCs/>
          <w:szCs w:val="21"/>
        </w:rPr>
        <w:t>/</w:t>
      </w:r>
      <w:r>
        <w:rPr>
          <w:rFonts w:hint="eastAsia"/>
          <w:bCs/>
          <w:szCs w:val="21"/>
        </w:rPr>
        <w:t>申购费用；通过基金管理人直销机构、基金管理人销售子公司认购</w:t>
      </w:r>
      <w:r>
        <w:rPr>
          <w:rFonts w:hint="eastAsia"/>
          <w:bCs/>
          <w:szCs w:val="21"/>
        </w:rPr>
        <w:t>/</w:t>
      </w:r>
      <w:r>
        <w:rPr>
          <w:rFonts w:hint="eastAsia"/>
          <w:bCs/>
          <w:szCs w:val="21"/>
        </w:rPr>
        <w:t>申购</w:t>
      </w:r>
      <w:r>
        <w:rPr>
          <w:rFonts w:hint="eastAsia"/>
          <w:bCs/>
          <w:szCs w:val="21"/>
        </w:rPr>
        <w:t>C</w:t>
      </w:r>
      <w:r>
        <w:rPr>
          <w:rFonts w:hint="eastAsia"/>
          <w:bCs/>
          <w:szCs w:val="21"/>
        </w:rPr>
        <w:t>类基金份额，</w:t>
      </w:r>
      <w:r>
        <w:rPr>
          <w:rFonts w:hint="eastAsia"/>
          <w:bCs/>
          <w:szCs w:val="21"/>
        </w:rPr>
        <w:t xml:space="preserve"> </w:t>
      </w:r>
      <w:r>
        <w:rPr>
          <w:rFonts w:hint="eastAsia"/>
          <w:bCs/>
          <w:szCs w:val="21"/>
        </w:rPr>
        <w:t>不收取销售服务费；对于投资人持续持有期限超过一年（即</w:t>
      </w:r>
      <w:r>
        <w:rPr>
          <w:rFonts w:hint="eastAsia"/>
          <w:bCs/>
          <w:szCs w:val="21"/>
        </w:rPr>
        <w:t>365</w:t>
      </w:r>
      <w:r>
        <w:rPr>
          <w:rFonts w:hint="eastAsia"/>
          <w:bCs/>
          <w:szCs w:val="21"/>
        </w:rPr>
        <w:t>天）的</w:t>
      </w:r>
      <w:r>
        <w:rPr>
          <w:rFonts w:hint="eastAsia"/>
          <w:bCs/>
          <w:szCs w:val="21"/>
        </w:rPr>
        <w:t>C</w:t>
      </w:r>
      <w:r>
        <w:rPr>
          <w:rFonts w:hint="eastAsia"/>
          <w:bCs/>
          <w:szCs w:val="21"/>
        </w:rPr>
        <w:t>类基金份额，其他销售机构不再继续收取销售服务费。</w:t>
      </w:r>
    </w:p>
    <w:p w14:paraId="4AB428B6" w14:textId="77777777" w:rsidR="00BF38BB" w:rsidRDefault="002837D7">
      <w:pPr>
        <w:autoSpaceDE w:val="0"/>
        <w:autoSpaceDN w:val="0"/>
        <w:adjustRightInd w:val="0"/>
        <w:spacing w:line="360" w:lineRule="auto"/>
        <w:ind w:firstLineChars="200" w:firstLine="420"/>
        <w:rPr>
          <w:bCs/>
          <w:szCs w:val="21"/>
        </w:rPr>
      </w:pPr>
      <w:r>
        <w:rPr>
          <w:rFonts w:hint="eastAsia"/>
          <w:bCs/>
          <w:szCs w:val="21"/>
        </w:rPr>
        <w:t>本基金各类基金份额分别设置代码，合并投资运作，分别计算和公告各类</w:t>
      </w:r>
      <w:r>
        <w:rPr>
          <w:rFonts w:hint="eastAsia"/>
          <w:bCs/>
          <w:szCs w:val="21"/>
        </w:rPr>
        <w:t>基金份额的基金份额净值和基金份额累计净值。</w:t>
      </w:r>
    </w:p>
    <w:p w14:paraId="7C8ABBCF" w14:textId="77777777" w:rsidR="00BF38BB" w:rsidRDefault="002837D7">
      <w:pPr>
        <w:autoSpaceDE w:val="0"/>
        <w:autoSpaceDN w:val="0"/>
        <w:adjustRightInd w:val="0"/>
        <w:spacing w:line="360" w:lineRule="auto"/>
        <w:ind w:firstLineChars="200" w:firstLine="420"/>
        <w:rPr>
          <w:bCs/>
          <w:szCs w:val="21"/>
        </w:rPr>
      </w:pPr>
      <w:r>
        <w:rPr>
          <w:rFonts w:hint="eastAsia"/>
          <w:bCs/>
          <w:szCs w:val="21"/>
        </w:rPr>
        <w:t>投资人在认购</w:t>
      </w:r>
      <w:r>
        <w:rPr>
          <w:rFonts w:hint="eastAsia"/>
          <w:bCs/>
          <w:szCs w:val="21"/>
        </w:rPr>
        <w:t>/</w:t>
      </w:r>
      <w:r>
        <w:rPr>
          <w:rFonts w:hint="eastAsia"/>
          <w:bCs/>
          <w:szCs w:val="21"/>
        </w:rPr>
        <w:t>申购基金份额时可自行选择认购</w:t>
      </w:r>
      <w:r>
        <w:rPr>
          <w:rFonts w:hint="eastAsia"/>
          <w:bCs/>
          <w:szCs w:val="21"/>
        </w:rPr>
        <w:t>/</w:t>
      </w:r>
      <w:r>
        <w:rPr>
          <w:rFonts w:hint="eastAsia"/>
          <w:bCs/>
          <w:szCs w:val="21"/>
        </w:rPr>
        <w:t>申购的基金份额类别。</w:t>
      </w:r>
    </w:p>
    <w:p w14:paraId="7153F167" w14:textId="77777777" w:rsidR="00BF38BB" w:rsidRDefault="002837D7">
      <w:pPr>
        <w:autoSpaceDE w:val="0"/>
        <w:autoSpaceDN w:val="0"/>
        <w:adjustRightInd w:val="0"/>
        <w:spacing w:line="360" w:lineRule="auto"/>
        <w:ind w:firstLineChars="200" w:firstLine="420"/>
        <w:jc w:val="left"/>
        <w:rPr>
          <w:bCs/>
          <w:szCs w:val="21"/>
        </w:rPr>
      </w:pPr>
      <w:r>
        <w:rPr>
          <w:rFonts w:hint="eastAsia"/>
          <w:bCs/>
          <w:szCs w:val="21"/>
        </w:rPr>
        <w:t>在不违反法律法规规定且对基金份额持有人利益无实质性不利影响的前提下，基金管理人可为本基金增设新的基金份额类别并设置相应费率、减少或调整基金份额类别设置、对基金份额分类办法及规则进行调整，无需召开基金份额持有人大会审议决定。基金管理人应在调整实施日前依照《信息披露办法》的有关规定在规定媒介上公告。</w:t>
      </w:r>
    </w:p>
    <w:bookmarkEnd w:id="48"/>
    <w:p w14:paraId="3C60EA57"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w:t>
      </w:r>
      <w:r>
        <w:rPr>
          <w:rFonts w:ascii="宋体" w:hAnsi="宋体" w:hint="eastAsia"/>
          <w:szCs w:val="21"/>
        </w:rPr>
        <w:t>三</w:t>
      </w:r>
      <w:r>
        <w:rPr>
          <w:rFonts w:ascii="宋体" w:hAnsi="宋体"/>
        </w:rPr>
        <w:t>）基金份额的募集期限、募集方式及场所、募集对象、募集目标</w:t>
      </w:r>
    </w:p>
    <w:p w14:paraId="6D0AD110" w14:textId="77777777" w:rsidR="00BF38BB" w:rsidRDefault="002837D7">
      <w:pPr>
        <w:autoSpaceDE w:val="0"/>
        <w:autoSpaceDN w:val="0"/>
        <w:adjustRightInd w:val="0"/>
        <w:spacing w:line="360" w:lineRule="auto"/>
        <w:ind w:firstLineChars="194" w:firstLine="407"/>
        <w:rPr>
          <w:color w:val="000000"/>
          <w:kern w:val="0"/>
          <w:szCs w:val="21"/>
        </w:rPr>
      </w:pPr>
      <w:r>
        <w:rPr>
          <w:rFonts w:ascii="宋体" w:hAnsi="宋体"/>
          <w:color w:val="000000"/>
          <w:kern w:val="0"/>
        </w:rPr>
        <w:t>1</w:t>
      </w:r>
      <w:r>
        <w:rPr>
          <w:rFonts w:ascii="宋体" w:hAnsi="宋体"/>
          <w:color w:val="000000"/>
          <w:kern w:val="0"/>
        </w:rPr>
        <w:t>、募集期限：</w:t>
      </w:r>
    </w:p>
    <w:p w14:paraId="53033B43" w14:textId="77777777" w:rsidR="00BF38BB" w:rsidRDefault="002837D7">
      <w:pPr>
        <w:autoSpaceDE w:val="0"/>
        <w:autoSpaceDN w:val="0"/>
        <w:adjustRightInd w:val="0"/>
        <w:spacing w:line="360" w:lineRule="auto"/>
        <w:ind w:firstLineChars="194" w:firstLine="407"/>
        <w:rPr>
          <w:color w:val="000000"/>
          <w:kern w:val="0"/>
          <w:szCs w:val="21"/>
        </w:rPr>
      </w:pPr>
      <w:r>
        <w:rPr>
          <w:rFonts w:hint="eastAsia"/>
          <w:color w:val="000000"/>
          <w:kern w:val="0"/>
          <w:szCs w:val="21"/>
        </w:rPr>
        <w:t>具体发售时间由基金管理人根据相关法律法规以及基金合同的规定确定，并在基金份额发售公告中披露。</w:t>
      </w:r>
    </w:p>
    <w:p w14:paraId="3E055B46" w14:textId="77777777" w:rsidR="00BF38BB" w:rsidRDefault="002837D7">
      <w:pPr>
        <w:autoSpaceDE w:val="0"/>
        <w:autoSpaceDN w:val="0"/>
        <w:adjustRightInd w:val="0"/>
        <w:spacing w:line="360" w:lineRule="auto"/>
        <w:ind w:firstLineChars="194" w:firstLine="407"/>
        <w:rPr>
          <w:rFonts w:ascii="宋体" w:hAnsi="宋体"/>
        </w:rPr>
      </w:pPr>
      <w:r>
        <w:rPr>
          <w:rFonts w:hint="eastAsia"/>
          <w:color w:val="000000"/>
          <w:kern w:val="0"/>
          <w:szCs w:val="21"/>
        </w:rPr>
        <w:t>根据《运作办法》的规定，如果本基金在上述时间段内未达到基金合同生效的法定条件、或基金管理人根据市场情况需要延长基金份额发售的时间，本基金可延长募集时间，但募集期限自基金份额发售之日起最</w:t>
      </w:r>
      <w:r>
        <w:rPr>
          <w:rFonts w:hint="eastAsia"/>
          <w:color w:val="000000"/>
          <w:kern w:val="0"/>
          <w:szCs w:val="21"/>
        </w:rPr>
        <w:lastRenderedPageBreak/>
        <w:t>长不超过</w:t>
      </w:r>
      <w:r>
        <w:rPr>
          <w:rFonts w:hint="eastAsia"/>
          <w:color w:val="000000"/>
          <w:kern w:val="0"/>
          <w:szCs w:val="21"/>
        </w:rPr>
        <w:t>3</w:t>
      </w:r>
      <w:r>
        <w:rPr>
          <w:rFonts w:hint="eastAsia"/>
          <w:color w:val="000000"/>
          <w:kern w:val="0"/>
          <w:szCs w:val="21"/>
        </w:rPr>
        <w:t>个月。</w:t>
      </w:r>
      <w:r>
        <w:rPr>
          <w:rFonts w:ascii="宋体" w:hAnsi="宋体"/>
          <w:color w:val="000000"/>
          <w:kern w:val="0"/>
        </w:rPr>
        <w:t xml:space="preserve">  </w:t>
      </w:r>
    </w:p>
    <w:p w14:paraId="6E8B4F6A" w14:textId="77777777" w:rsidR="00BF38BB" w:rsidRDefault="002837D7">
      <w:pPr>
        <w:spacing w:line="360" w:lineRule="auto"/>
        <w:ind w:firstLineChars="200" w:firstLine="420"/>
        <w:rPr>
          <w:rFonts w:ascii="宋体" w:hAnsi="宋体"/>
        </w:rPr>
      </w:pPr>
      <w:r>
        <w:rPr>
          <w:rFonts w:ascii="宋体" w:hAnsi="宋体" w:hint="eastAsia"/>
        </w:rPr>
        <w:t>2</w:t>
      </w:r>
      <w:r>
        <w:rPr>
          <w:rFonts w:ascii="宋体" w:hAnsi="宋体" w:hint="eastAsia"/>
        </w:rPr>
        <w:t>、募集方式及场所</w:t>
      </w:r>
    </w:p>
    <w:p w14:paraId="71727E2E" w14:textId="77777777" w:rsidR="00BF38BB" w:rsidRDefault="002837D7">
      <w:pPr>
        <w:spacing w:line="360" w:lineRule="auto"/>
        <w:ind w:firstLineChars="200" w:firstLine="420"/>
        <w:rPr>
          <w:rFonts w:ascii="宋体" w:hAnsi="宋体"/>
        </w:rPr>
      </w:pPr>
      <w:r>
        <w:rPr>
          <w:rFonts w:ascii="宋体" w:hAnsi="宋体" w:hint="eastAsia"/>
        </w:rPr>
        <w:t>本基金通过销售机构公开发售。销售机构的具体名单见基金份额发售公告或在基金管理人网站列明。基金管理人可不时变更或增减销售机构，并在基金管理人网站公示。</w:t>
      </w:r>
    </w:p>
    <w:p w14:paraId="505FA179" w14:textId="77777777" w:rsidR="00BF38BB" w:rsidRDefault="002837D7">
      <w:pPr>
        <w:spacing w:line="360" w:lineRule="auto"/>
        <w:ind w:firstLineChars="200" w:firstLine="420"/>
        <w:rPr>
          <w:rFonts w:ascii="宋体" w:hAnsi="宋体"/>
        </w:rPr>
      </w:pPr>
      <w:r>
        <w:rPr>
          <w:rFonts w:ascii="宋体" w:hAnsi="宋体"/>
        </w:rPr>
        <w:t>3</w:t>
      </w:r>
      <w:r>
        <w:rPr>
          <w:rFonts w:ascii="宋体" w:hAnsi="宋体"/>
        </w:rPr>
        <w:t>、募集对象</w:t>
      </w:r>
    </w:p>
    <w:p w14:paraId="7FC2750C" w14:textId="77777777" w:rsidR="00BF38BB" w:rsidRDefault="002837D7">
      <w:pPr>
        <w:spacing w:line="360" w:lineRule="auto"/>
        <w:ind w:firstLineChars="200" w:firstLine="420"/>
        <w:rPr>
          <w:rFonts w:ascii="宋体" w:hAnsi="宋体"/>
          <w:bCs/>
        </w:rPr>
      </w:pPr>
      <w:r>
        <w:rPr>
          <w:rFonts w:ascii="宋体" w:hAnsi="宋体"/>
          <w:bCs/>
        </w:rPr>
        <w:t>符合法律法规规定的可投资于证券投资基金的个人投资者、机构投资者</w:t>
      </w:r>
      <w:r>
        <w:rPr>
          <w:rFonts w:ascii="宋体" w:hAnsi="宋体" w:hint="eastAsia"/>
          <w:bCs/>
        </w:rPr>
        <w:t>、</w:t>
      </w:r>
      <w:r>
        <w:rPr>
          <w:rFonts w:ascii="宋体" w:hAnsi="宋体"/>
          <w:bCs/>
        </w:rPr>
        <w:t>合格境外投资者以及法律法规或中国证监会允许购买证券投资基金的其他投资人。</w:t>
      </w:r>
    </w:p>
    <w:p w14:paraId="6211423F" w14:textId="77777777" w:rsidR="00BF38BB" w:rsidRDefault="002837D7">
      <w:pPr>
        <w:spacing w:line="360" w:lineRule="auto"/>
        <w:ind w:firstLineChars="200" w:firstLine="420"/>
        <w:rPr>
          <w:rFonts w:ascii="宋体" w:hAnsi="宋体"/>
        </w:rPr>
      </w:pPr>
      <w:r>
        <w:rPr>
          <w:rFonts w:ascii="宋体" w:hAnsi="宋体"/>
        </w:rPr>
        <w:t>4</w:t>
      </w:r>
      <w:r>
        <w:rPr>
          <w:rFonts w:ascii="宋体" w:hAnsi="宋体"/>
        </w:rPr>
        <w:t>、募集目标</w:t>
      </w:r>
    </w:p>
    <w:p w14:paraId="4B275283" w14:textId="77777777" w:rsidR="00BF38BB" w:rsidRDefault="002837D7">
      <w:pPr>
        <w:spacing w:line="360" w:lineRule="auto"/>
        <w:ind w:firstLineChars="200" w:firstLine="420"/>
        <w:rPr>
          <w:rFonts w:ascii="宋体" w:hAnsi="宋体"/>
        </w:rPr>
      </w:pPr>
      <w:r>
        <w:rPr>
          <w:rFonts w:ascii="宋体" w:hAnsi="宋体"/>
        </w:rPr>
        <w:t>本基金不设募集目标。</w:t>
      </w:r>
    </w:p>
    <w:p w14:paraId="3E954D72" w14:textId="77777777" w:rsidR="00BF38BB" w:rsidRDefault="002837D7">
      <w:pPr>
        <w:spacing w:line="360" w:lineRule="auto"/>
        <w:ind w:firstLineChars="200" w:firstLine="420"/>
        <w:rPr>
          <w:rFonts w:ascii="宋体" w:hAnsi="宋体"/>
        </w:rPr>
      </w:pPr>
      <w:r>
        <w:rPr>
          <w:rFonts w:ascii="宋体" w:hAnsi="宋体" w:hint="eastAsia"/>
        </w:rPr>
        <w:t>基金管理人可以对募集期间的本基金募集规模设置上限。募集期内超过募集规模上限时，基金管理人可以采用比例确认或其他方式进行确认，具体办法参见基金份额发售公告。</w:t>
      </w:r>
    </w:p>
    <w:p w14:paraId="00C8F0CD" w14:textId="77777777" w:rsidR="00BF38BB" w:rsidRDefault="002837D7">
      <w:pPr>
        <w:spacing w:line="360" w:lineRule="auto"/>
        <w:ind w:firstLineChars="200" w:firstLine="420"/>
        <w:rPr>
          <w:rFonts w:ascii="宋体" w:hAnsi="宋体"/>
        </w:rPr>
      </w:pPr>
      <w:r>
        <w:rPr>
          <w:rFonts w:ascii="宋体" w:hAnsi="宋体"/>
        </w:rPr>
        <w:t>（</w:t>
      </w:r>
      <w:r>
        <w:rPr>
          <w:rFonts w:ascii="宋体" w:hAnsi="宋体" w:hint="eastAsia"/>
          <w:bCs/>
          <w:szCs w:val="21"/>
        </w:rPr>
        <w:t>四</w:t>
      </w:r>
      <w:r>
        <w:rPr>
          <w:rFonts w:ascii="宋体" w:hAnsi="宋体"/>
        </w:rPr>
        <w:t>）基金的认购</w:t>
      </w:r>
    </w:p>
    <w:p w14:paraId="37CA888B" w14:textId="77777777" w:rsidR="00BF38BB" w:rsidRDefault="002837D7">
      <w:pPr>
        <w:spacing w:line="360" w:lineRule="auto"/>
        <w:ind w:firstLineChars="200" w:firstLine="420"/>
        <w:rPr>
          <w:rFonts w:ascii="宋体" w:hAnsi="宋体"/>
        </w:rPr>
      </w:pPr>
      <w:r>
        <w:rPr>
          <w:rFonts w:ascii="宋体" w:hAnsi="宋体" w:hint="eastAsia"/>
        </w:rPr>
        <w:t>1</w:t>
      </w:r>
      <w:r>
        <w:rPr>
          <w:rFonts w:ascii="宋体" w:hAnsi="宋体" w:hint="eastAsia"/>
        </w:rPr>
        <w:t>、认购程序：投资者认购时间安排、认购时应提交的文件和办理的手续，详见本基金的基金份额发售公告。</w:t>
      </w:r>
    </w:p>
    <w:p w14:paraId="6FE50C71" w14:textId="77777777" w:rsidR="00BF38BB" w:rsidRDefault="002837D7">
      <w:pPr>
        <w:spacing w:line="360" w:lineRule="auto"/>
        <w:ind w:firstLineChars="200" w:firstLine="420"/>
        <w:rPr>
          <w:rFonts w:ascii="宋体" w:hAnsi="宋体"/>
        </w:rPr>
      </w:pPr>
      <w:r>
        <w:rPr>
          <w:rFonts w:ascii="宋体" w:hAnsi="宋体"/>
        </w:rPr>
        <w:t>2</w:t>
      </w:r>
      <w:r>
        <w:rPr>
          <w:rFonts w:ascii="宋体" w:hAnsi="宋体"/>
        </w:rPr>
        <w:t>、</w:t>
      </w:r>
      <w:r>
        <w:rPr>
          <w:rFonts w:ascii="宋体" w:hAnsi="宋体" w:hint="eastAsia"/>
        </w:rPr>
        <w:t>认购方式及确认：</w:t>
      </w:r>
    </w:p>
    <w:p w14:paraId="411B4F73" w14:textId="77777777" w:rsidR="00BF38BB" w:rsidRDefault="002837D7">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）本基金认购采取金额认购的方式。</w:t>
      </w:r>
    </w:p>
    <w:p w14:paraId="4FC3C71E" w14:textId="77777777" w:rsidR="00BF38BB" w:rsidRDefault="002837D7">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bCs/>
          <w:szCs w:val="21"/>
        </w:rPr>
        <w:t>投资者按照基金合同的约定提交认购申请并交纳认购基金份额的款项时，基金合同成立，基金管理人按照规定</w:t>
      </w:r>
      <w:r>
        <w:rPr>
          <w:rFonts w:ascii="宋体" w:hAnsi="宋体" w:hint="eastAsia"/>
        </w:rPr>
        <w:t>办理完毕基金募集的备案手续</w:t>
      </w:r>
      <w:r>
        <w:rPr>
          <w:rFonts w:ascii="宋体" w:hAnsi="宋体"/>
        </w:rPr>
        <w:t>并</w:t>
      </w:r>
      <w:r>
        <w:rPr>
          <w:rFonts w:ascii="宋体" w:hAnsi="宋体" w:hint="eastAsia"/>
        </w:rPr>
        <w:t>获</w:t>
      </w:r>
      <w:r>
        <w:rPr>
          <w:rFonts w:ascii="宋体" w:hAnsi="宋体"/>
        </w:rPr>
        <w:t>中国证监会书面确认之日</w:t>
      </w:r>
      <w:r>
        <w:rPr>
          <w:rFonts w:ascii="宋体" w:hAnsi="宋体" w:hint="eastAsia"/>
        </w:rPr>
        <w:t>起，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24BAA9A9" w14:textId="77777777" w:rsidR="00BF38BB" w:rsidRDefault="002837D7">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）投资人在募集期内可以多次认购基金份额，但已受理的认购申请非经登记机构同意不得撤销。</w:t>
      </w:r>
    </w:p>
    <w:p w14:paraId="280B711E" w14:textId="77777777" w:rsidR="00BF38BB" w:rsidRDefault="002837D7">
      <w:pPr>
        <w:spacing w:line="360" w:lineRule="auto"/>
        <w:ind w:firstLineChars="200" w:firstLine="420"/>
        <w:rPr>
          <w:rFonts w:ascii="宋体" w:hAnsi="宋体"/>
        </w:rPr>
      </w:pPr>
      <w:r>
        <w:rPr>
          <w:rFonts w:ascii="宋体" w:hAnsi="宋体" w:hint="eastAsia"/>
        </w:rPr>
        <w:t>3</w:t>
      </w:r>
      <w:r>
        <w:rPr>
          <w:rFonts w:ascii="宋体" w:hAnsi="宋体" w:hint="eastAsia"/>
        </w:rPr>
        <w:t>、基金认购数量的限制：</w:t>
      </w:r>
    </w:p>
    <w:p w14:paraId="59FF52A1" w14:textId="77777777" w:rsidR="00BF38BB" w:rsidRDefault="002837D7">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）在募集期内，投资者可多次认购，对单一</w:t>
      </w:r>
      <w:r>
        <w:rPr>
          <w:rFonts w:ascii="宋体" w:hAnsi="宋体" w:hint="eastAsia"/>
        </w:rPr>
        <w:t>投资者在认购期间累计认购份额不设上限，但如本基金单个投资人累计认购的基金份额数达到或者超过基金总份额的</w:t>
      </w:r>
      <w:r>
        <w:rPr>
          <w:rFonts w:ascii="宋体" w:hAnsi="宋体" w:hint="eastAsia"/>
        </w:rPr>
        <w:t>50%</w:t>
      </w:r>
      <w:r>
        <w:rPr>
          <w:rFonts w:ascii="宋体" w:hAnsi="宋体" w:hint="eastAsia"/>
        </w:rPr>
        <w:t>，基金管理人可以于募集期结束后采取部分确认等方式对该投资人的认购申请进行限制，以使该投资人持有本基金份额数低于本基金总份额数的</w:t>
      </w:r>
      <w:r>
        <w:rPr>
          <w:rFonts w:ascii="宋体" w:hAnsi="宋体" w:hint="eastAsia"/>
        </w:rPr>
        <w:t>50%</w:t>
      </w:r>
      <w:r>
        <w:rPr>
          <w:rFonts w:ascii="宋体" w:hAnsi="宋体" w:hint="eastAsia"/>
        </w:rPr>
        <w:t>。基金管理人接受某笔或者某些认购申请有可能导致投资者变相规避前述</w:t>
      </w:r>
      <w:r>
        <w:rPr>
          <w:rFonts w:ascii="宋体" w:hAnsi="宋体" w:hint="eastAsia"/>
        </w:rPr>
        <w:t>50%</w:t>
      </w:r>
      <w:r>
        <w:rPr>
          <w:rFonts w:ascii="宋体" w:hAnsi="宋体" w:hint="eastAsia"/>
        </w:rPr>
        <w:t>比例要求的，基金管理人有权拒绝该等全部或者部分认购申请。投资人认购的基金份额数以基金合同生效后登记机构的确认为准。</w:t>
      </w:r>
    </w:p>
    <w:p w14:paraId="3311D650" w14:textId="77777777" w:rsidR="00BF38BB" w:rsidRDefault="002837D7">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）认购最低限额：在基金募集期内，投资者通过嘉实基金管理有限公司网上直销认购的，不收</w:t>
      </w:r>
      <w:r>
        <w:rPr>
          <w:rFonts w:ascii="宋体" w:hAnsi="宋体" w:hint="eastAsia"/>
        </w:rPr>
        <w:t>取认购费，首次认购单笔最低限额为人民币</w:t>
      </w:r>
      <w:r>
        <w:rPr>
          <w:rFonts w:ascii="宋体" w:hAnsi="宋体" w:hint="eastAsia"/>
        </w:rPr>
        <w:t>1</w:t>
      </w:r>
      <w:r>
        <w:rPr>
          <w:rFonts w:ascii="宋体" w:hAnsi="宋体" w:hint="eastAsia"/>
        </w:rPr>
        <w:t>元，追加认购单笔最低限额为人民币</w:t>
      </w:r>
      <w:r>
        <w:rPr>
          <w:rFonts w:ascii="宋体" w:hAnsi="宋体" w:hint="eastAsia"/>
        </w:rPr>
        <w:t>1</w:t>
      </w:r>
      <w:r>
        <w:rPr>
          <w:rFonts w:ascii="宋体" w:hAnsi="宋体" w:hint="eastAsia"/>
        </w:rPr>
        <w:t>元；投资者通过直销中心柜台认购的，不收取认购费，首次认购单笔最低限额为人民币</w:t>
      </w:r>
      <w:r>
        <w:rPr>
          <w:rFonts w:ascii="宋体" w:hAnsi="宋体" w:hint="eastAsia"/>
        </w:rPr>
        <w:t>20,000</w:t>
      </w:r>
      <w:r>
        <w:rPr>
          <w:rFonts w:ascii="宋体" w:hAnsi="宋体" w:hint="eastAsia"/>
        </w:rPr>
        <w:t>元，追加认购单笔最低限额为人民币</w:t>
      </w:r>
      <w:r>
        <w:rPr>
          <w:rFonts w:ascii="宋体" w:hAnsi="宋体" w:hint="eastAsia"/>
        </w:rPr>
        <w:lastRenderedPageBreak/>
        <w:t>1</w:t>
      </w:r>
      <w:r>
        <w:rPr>
          <w:rFonts w:ascii="宋体" w:hAnsi="宋体" w:hint="eastAsia"/>
        </w:rPr>
        <w:t>元；投资者通过基金管理人销售子公司认购的，不收取认购费，首次认购单笔最低限额为人民币</w:t>
      </w:r>
      <w:r>
        <w:rPr>
          <w:rFonts w:ascii="宋体" w:hAnsi="宋体" w:hint="eastAsia"/>
        </w:rPr>
        <w:t>1</w:t>
      </w:r>
      <w:r>
        <w:rPr>
          <w:rFonts w:ascii="宋体" w:hAnsi="宋体" w:hint="eastAsia"/>
        </w:rPr>
        <w:t>元，追加认购单笔最低限额为人民币</w:t>
      </w:r>
      <w:r>
        <w:rPr>
          <w:rFonts w:ascii="宋体" w:hAnsi="宋体" w:hint="eastAsia"/>
        </w:rPr>
        <w:t>1</w:t>
      </w:r>
      <w:r>
        <w:rPr>
          <w:rFonts w:ascii="宋体" w:hAnsi="宋体" w:hint="eastAsia"/>
        </w:rPr>
        <w:t>元；投资者通过其他销售机构认购的，首次认购单笔最低限额为人民币</w:t>
      </w:r>
      <w:r>
        <w:rPr>
          <w:rFonts w:ascii="宋体" w:hAnsi="宋体" w:hint="eastAsia"/>
        </w:rPr>
        <w:t>1</w:t>
      </w:r>
      <w:r>
        <w:rPr>
          <w:rFonts w:ascii="宋体" w:hAnsi="宋体" w:hint="eastAsia"/>
        </w:rPr>
        <w:t>元（含认购费），追加认购单笔最低限额为人民币</w:t>
      </w:r>
      <w:r>
        <w:rPr>
          <w:rFonts w:ascii="宋体" w:hAnsi="宋体" w:hint="eastAsia"/>
        </w:rPr>
        <w:t>1</w:t>
      </w:r>
      <w:r>
        <w:rPr>
          <w:rFonts w:ascii="宋体" w:hAnsi="宋体" w:hint="eastAsia"/>
        </w:rPr>
        <w:t>元（含认购费）。各销售机构对本基金的具体认购最低限额及交易级差有其他规定的，以各销售机</w:t>
      </w:r>
      <w:r>
        <w:rPr>
          <w:rFonts w:ascii="宋体" w:hAnsi="宋体" w:hint="eastAsia"/>
        </w:rPr>
        <w:t>构规定为准，但不得低于上述最低认购限额。</w:t>
      </w:r>
    </w:p>
    <w:p w14:paraId="4E577D26" w14:textId="77777777" w:rsidR="00BF38BB" w:rsidRDefault="002837D7">
      <w:pPr>
        <w:spacing w:line="360" w:lineRule="auto"/>
        <w:ind w:firstLineChars="200" w:firstLine="420"/>
        <w:rPr>
          <w:rFonts w:ascii="宋体" w:hAnsi="宋体"/>
        </w:rPr>
      </w:pPr>
      <w:r>
        <w:rPr>
          <w:rFonts w:ascii="宋体" w:hAnsi="宋体"/>
        </w:rPr>
        <w:t>4</w:t>
      </w:r>
      <w:r>
        <w:rPr>
          <w:rFonts w:ascii="宋体" w:hAnsi="宋体" w:hint="eastAsia"/>
        </w:rPr>
        <w:t>、认购费率</w:t>
      </w:r>
    </w:p>
    <w:p w14:paraId="0D68FC97" w14:textId="77777777" w:rsidR="00BF38BB" w:rsidRDefault="002837D7">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）投资者通过基金管理人直销机构、基金管理人销售子公司认购本基金</w:t>
      </w:r>
      <w:r>
        <w:rPr>
          <w:rFonts w:ascii="宋体" w:hAnsi="宋体" w:hint="eastAsia"/>
        </w:rPr>
        <w:t>A</w:t>
      </w:r>
      <w:r>
        <w:rPr>
          <w:rFonts w:ascii="宋体" w:hAnsi="宋体" w:hint="eastAsia"/>
        </w:rPr>
        <w:t>类基金份额的，不收取认购费用。</w:t>
      </w:r>
    </w:p>
    <w:p w14:paraId="0FAEE1E8" w14:textId="77777777" w:rsidR="00BF38BB" w:rsidRDefault="002837D7">
      <w:pPr>
        <w:autoSpaceDE w:val="0"/>
        <w:autoSpaceDN w:val="0"/>
        <w:adjustRightInd w:val="0"/>
        <w:spacing w:line="360" w:lineRule="auto"/>
        <w:ind w:firstLineChars="194" w:firstLine="407"/>
        <w:rPr>
          <w:rFonts w:ascii="宋体" w:hAnsi="宋体"/>
          <w:color w:val="000000"/>
          <w:kern w:val="0"/>
        </w:rPr>
      </w:pPr>
      <w:r>
        <w:rPr>
          <w:rFonts w:ascii="宋体" w:hAnsi="宋体" w:hint="eastAsia"/>
        </w:rPr>
        <w:t>投资者通过其他销售机构认购</w:t>
      </w:r>
      <w:r>
        <w:rPr>
          <w:rFonts w:ascii="宋体" w:hAnsi="宋体"/>
          <w:kern w:val="0"/>
        </w:rPr>
        <w:t>本基金</w:t>
      </w:r>
      <w:r>
        <w:rPr>
          <w:rFonts w:ascii="宋体" w:hAnsi="宋体" w:hint="eastAsia"/>
          <w:kern w:val="0"/>
        </w:rPr>
        <w:t>A</w:t>
      </w:r>
      <w:r>
        <w:rPr>
          <w:rFonts w:ascii="宋体" w:hAnsi="宋体" w:hint="eastAsia"/>
          <w:kern w:val="0"/>
        </w:rPr>
        <w:t>类基金份额收取认购费用。本基金</w:t>
      </w:r>
      <w:r>
        <w:rPr>
          <w:rFonts w:ascii="宋体" w:hAnsi="宋体" w:hint="eastAsia"/>
          <w:kern w:val="0"/>
        </w:rPr>
        <w:t>A</w:t>
      </w:r>
      <w:r>
        <w:rPr>
          <w:rFonts w:ascii="宋体" w:hAnsi="宋体" w:hint="eastAsia"/>
          <w:kern w:val="0"/>
        </w:rPr>
        <w:t>类基金份额采用前端收费模式收取基金认购费用。投资者在一天之内如果有多笔认购，</w:t>
      </w:r>
      <w:r>
        <w:rPr>
          <w:rFonts w:ascii="宋体" w:hAnsi="宋体" w:hint="eastAsia"/>
          <w:kern w:val="0"/>
        </w:rPr>
        <w:t>A</w:t>
      </w:r>
      <w:r>
        <w:rPr>
          <w:rFonts w:ascii="宋体" w:hAnsi="宋体" w:hint="eastAsia"/>
          <w:kern w:val="0"/>
        </w:rPr>
        <w:t>类基金份额适用费率按单笔</w:t>
      </w:r>
      <w:r>
        <w:rPr>
          <w:rFonts w:ascii="宋体" w:hAnsi="宋体" w:hint="eastAsia"/>
          <w:kern w:val="0"/>
        </w:rPr>
        <w:t>A</w:t>
      </w:r>
      <w:r>
        <w:rPr>
          <w:rFonts w:ascii="宋体" w:hAnsi="宋体" w:hint="eastAsia"/>
          <w:kern w:val="0"/>
        </w:rPr>
        <w:t>类基金份额的认购申请分别计算。投资者通过其他销售机构认购本基金</w:t>
      </w:r>
      <w:r>
        <w:rPr>
          <w:rFonts w:ascii="宋体" w:hAnsi="宋体" w:hint="eastAsia"/>
          <w:kern w:val="0"/>
        </w:rPr>
        <w:t>A</w:t>
      </w:r>
      <w:r>
        <w:rPr>
          <w:rFonts w:ascii="宋体" w:hAnsi="宋体" w:hint="eastAsia"/>
          <w:kern w:val="0"/>
        </w:rPr>
        <w:t>类基金份额的具体认购费率如下：</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tblGrid>
      <w:tr w:rsidR="00BF38BB" w14:paraId="6B2B9984"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431D4BD6" w14:textId="77777777" w:rsidR="00BF38BB" w:rsidRDefault="002837D7">
            <w:pPr>
              <w:autoSpaceDE w:val="0"/>
              <w:autoSpaceDN w:val="0"/>
              <w:adjustRightInd w:val="0"/>
              <w:spacing w:line="360" w:lineRule="auto"/>
              <w:ind w:firstLineChars="192" w:firstLine="405"/>
              <w:rPr>
                <w:rFonts w:ascii="宋体" w:hAnsi="宋体"/>
                <w:b/>
                <w:color w:val="000000"/>
                <w:kern w:val="0"/>
              </w:rPr>
            </w:pPr>
            <w:r>
              <w:rPr>
                <w:rFonts w:ascii="宋体" w:hAnsi="宋体"/>
                <w:b/>
                <w:color w:val="000000"/>
                <w:kern w:val="0"/>
              </w:rPr>
              <w:t>认购金额（</w:t>
            </w:r>
            <w:r>
              <w:rPr>
                <w:rFonts w:ascii="宋体" w:hAnsi="宋体" w:hint="eastAsia"/>
                <w:b/>
                <w:color w:val="000000"/>
                <w:kern w:val="0"/>
              </w:rPr>
              <w:t>M</w:t>
            </w:r>
            <w:r>
              <w:rPr>
                <w:rFonts w:ascii="宋体" w:hAnsi="宋体" w:hint="eastAsia"/>
                <w:b/>
                <w:color w:val="000000"/>
                <w:kern w:val="0"/>
              </w:rPr>
              <w:t>，</w:t>
            </w:r>
            <w:r>
              <w:rPr>
                <w:rFonts w:ascii="宋体" w:hAnsi="宋体"/>
                <w:b/>
                <w:color w:val="000000"/>
                <w:kern w:val="0"/>
              </w:rPr>
              <w:t>含认购费）</w:t>
            </w:r>
          </w:p>
        </w:tc>
        <w:tc>
          <w:tcPr>
            <w:tcW w:w="2841" w:type="dxa"/>
            <w:tcBorders>
              <w:top w:val="single" w:sz="4" w:space="0" w:color="auto"/>
              <w:left w:val="single" w:sz="4" w:space="0" w:color="auto"/>
              <w:bottom w:val="single" w:sz="4" w:space="0" w:color="auto"/>
              <w:right w:val="single" w:sz="4" w:space="0" w:color="auto"/>
            </w:tcBorders>
          </w:tcPr>
          <w:p w14:paraId="55F32051" w14:textId="77777777" w:rsidR="00BF38BB" w:rsidRDefault="002837D7">
            <w:pPr>
              <w:autoSpaceDE w:val="0"/>
              <w:autoSpaceDN w:val="0"/>
              <w:adjustRightInd w:val="0"/>
              <w:spacing w:line="360" w:lineRule="auto"/>
              <w:ind w:leftChars="-57" w:left="-2" w:hangingChars="56" w:hanging="118"/>
              <w:jc w:val="center"/>
              <w:rPr>
                <w:rFonts w:ascii="宋体" w:hAnsi="宋体"/>
                <w:b/>
                <w:color w:val="000000"/>
                <w:kern w:val="0"/>
              </w:rPr>
            </w:pPr>
            <w:r>
              <w:rPr>
                <w:rFonts w:ascii="宋体" w:hAnsi="宋体"/>
                <w:b/>
                <w:color w:val="000000"/>
                <w:kern w:val="0"/>
              </w:rPr>
              <w:t>认购费率</w:t>
            </w:r>
          </w:p>
        </w:tc>
      </w:tr>
      <w:tr w:rsidR="00BF38BB" w14:paraId="2B08C3CB"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02AD51D8"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hint="eastAsia"/>
                <w:kern w:val="0"/>
                <w:szCs w:val="21"/>
              </w:rPr>
              <w:t>M</w:t>
            </w:r>
            <w:r>
              <w:rPr>
                <w:rFonts w:ascii="仿宋" w:eastAsia="仿宋" w:hAnsi="仿宋" w:hint="eastAsia"/>
                <w:kern w:val="0"/>
                <w:szCs w:val="21"/>
              </w:rPr>
              <w:t>＜</w:t>
            </w:r>
            <w:r>
              <w:rPr>
                <w:rFonts w:ascii="仿宋" w:eastAsia="仿宋" w:hAnsi="仿宋" w:hint="eastAsia"/>
                <w:kern w:val="0"/>
                <w:szCs w:val="21"/>
              </w:rPr>
              <w:t>100</w:t>
            </w:r>
            <w:r>
              <w:rPr>
                <w:rFonts w:ascii="仿宋" w:eastAsia="仿宋" w:hAnsi="仿宋"/>
                <w:kern w:val="0"/>
                <w:szCs w:val="21"/>
              </w:rPr>
              <w:t>0</w:t>
            </w:r>
            <w:r>
              <w:rPr>
                <w:rFonts w:ascii="仿宋" w:eastAsia="仿宋" w:hAnsi="仿宋" w:hint="eastAsia"/>
                <w:kern w:val="0"/>
                <w:szCs w:val="21"/>
              </w:rPr>
              <w:t>万元</w:t>
            </w:r>
          </w:p>
        </w:tc>
        <w:tc>
          <w:tcPr>
            <w:tcW w:w="2841" w:type="dxa"/>
            <w:tcBorders>
              <w:top w:val="single" w:sz="4" w:space="0" w:color="auto"/>
              <w:left w:val="single" w:sz="4" w:space="0" w:color="auto"/>
              <w:bottom w:val="single" w:sz="4" w:space="0" w:color="auto"/>
              <w:right w:val="single" w:sz="4" w:space="0" w:color="auto"/>
            </w:tcBorders>
          </w:tcPr>
          <w:p w14:paraId="4E298CBB"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kern w:val="0"/>
                <w:szCs w:val="21"/>
              </w:rPr>
              <w:t>0.3</w:t>
            </w:r>
            <w:r>
              <w:rPr>
                <w:rFonts w:ascii="仿宋" w:eastAsia="仿宋" w:hAnsi="仿宋" w:hint="eastAsia"/>
                <w:kern w:val="0"/>
                <w:szCs w:val="21"/>
              </w:rPr>
              <w:t>%</w:t>
            </w:r>
          </w:p>
        </w:tc>
      </w:tr>
      <w:tr w:rsidR="00BF38BB" w14:paraId="2B941899"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0A4C15C5"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hint="eastAsia"/>
                <w:kern w:val="0"/>
                <w:szCs w:val="21"/>
              </w:rPr>
              <w:t>M</w:t>
            </w:r>
            <w:r>
              <w:rPr>
                <w:rFonts w:ascii="仿宋" w:eastAsia="仿宋" w:hAnsi="仿宋" w:hint="eastAsia"/>
                <w:kern w:val="0"/>
                <w:szCs w:val="21"/>
              </w:rPr>
              <w:t>≥</w:t>
            </w:r>
            <w:r>
              <w:rPr>
                <w:rFonts w:ascii="仿宋" w:eastAsia="仿宋" w:hAnsi="仿宋"/>
                <w:kern w:val="0"/>
                <w:szCs w:val="21"/>
              </w:rPr>
              <w:t>10</w:t>
            </w:r>
            <w:r>
              <w:rPr>
                <w:rFonts w:ascii="仿宋" w:eastAsia="仿宋" w:hAnsi="仿宋" w:hint="eastAsia"/>
                <w:kern w:val="0"/>
                <w:szCs w:val="21"/>
              </w:rPr>
              <w:t>00</w:t>
            </w:r>
            <w:r>
              <w:rPr>
                <w:rFonts w:ascii="仿宋" w:eastAsia="仿宋" w:hAnsi="仿宋" w:hint="eastAsia"/>
                <w:kern w:val="0"/>
                <w:szCs w:val="21"/>
              </w:rPr>
              <w:t>万元</w:t>
            </w:r>
          </w:p>
        </w:tc>
        <w:tc>
          <w:tcPr>
            <w:tcW w:w="2841" w:type="dxa"/>
            <w:tcBorders>
              <w:top w:val="single" w:sz="4" w:space="0" w:color="auto"/>
              <w:left w:val="single" w:sz="4" w:space="0" w:color="auto"/>
              <w:bottom w:val="single" w:sz="4" w:space="0" w:color="auto"/>
              <w:right w:val="single" w:sz="4" w:space="0" w:color="auto"/>
            </w:tcBorders>
          </w:tcPr>
          <w:p w14:paraId="23EBE3EF"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hint="eastAsia"/>
                <w:kern w:val="0"/>
                <w:szCs w:val="21"/>
              </w:rPr>
              <w:t>按笔收取，</w:t>
            </w:r>
            <w:r>
              <w:rPr>
                <w:rFonts w:ascii="仿宋" w:eastAsia="仿宋" w:hAnsi="仿宋" w:hint="eastAsia"/>
                <w:kern w:val="0"/>
                <w:szCs w:val="21"/>
              </w:rPr>
              <w:t>1000</w:t>
            </w:r>
            <w:r>
              <w:rPr>
                <w:rFonts w:ascii="仿宋" w:eastAsia="仿宋" w:hAnsi="仿宋" w:hint="eastAsia"/>
                <w:kern w:val="0"/>
                <w:szCs w:val="21"/>
              </w:rPr>
              <w:t>元</w:t>
            </w:r>
            <w:r>
              <w:rPr>
                <w:rFonts w:ascii="仿宋" w:eastAsia="仿宋" w:hAnsi="仿宋" w:hint="eastAsia"/>
                <w:kern w:val="0"/>
                <w:szCs w:val="21"/>
              </w:rPr>
              <w:t>/</w:t>
            </w:r>
            <w:r>
              <w:rPr>
                <w:rFonts w:ascii="仿宋" w:eastAsia="仿宋" w:hAnsi="仿宋" w:hint="eastAsia"/>
                <w:kern w:val="0"/>
                <w:szCs w:val="21"/>
              </w:rPr>
              <w:t>笔</w:t>
            </w:r>
          </w:p>
        </w:tc>
      </w:tr>
    </w:tbl>
    <w:p w14:paraId="6B807813" w14:textId="77777777" w:rsidR="00BF38BB" w:rsidRDefault="002837D7">
      <w:pPr>
        <w:spacing w:line="360" w:lineRule="auto"/>
        <w:ind w:firstLineChars="200" w:firstLine="420"/>
        <w:rPr>
          <w:rFonts w:ascii="宋体" w:hAnsi="宋体"/>
          <w:color w:val="000000"/>
        </w:rPr>
      </w:pPr>
      <w:r>
        <w:rPr>
          <w:rFonts w:ascii="宋体" w:hAnsi="宋体" w:hint="eastAsia"/>
          <w:color w:val="000000"/>
        </w:rPr>
        <w:t>本基金</w:t>
      </w:r>
      <w:r>
        <w:rPr>
          <w:rFonts w:ascii="宋体" w:hAnsi="宋体" w:hint="eastAsia"/>
          <w:color w:val="000000"/>
        </w:rPr>
        <w:t>A</w:t>
      </w:r>
      <w:r>
        <w:rPr>
          <w:rFonts w:ascii="宋体" w:hAnsi="宋体" w:hint="eastAsia"/>
          <w:color w:val="000000"/>
        </w:rPr>
        <w:t>类基金份额的认购费用不列入基金资产，主要用于本基金的市场推广、销售等募集期间发生的各项费用</w:t>
      </w:r>
      <w:r>
        <w:rPr>
          <w:rFonts w:ascii="宋体" w:hAnsi="宋体"/>
          <w:color w:val="000000"/>
        </w:rPr>
        <w:t>。</w:t>
      </w:r>
    </w:p>
    <w:p w14:paraId="3A8B7095" w14:textId="77777777" w:rsidR="00BF38BB" w:rsidRDefault="002837D7">
      <w:pPr>
        <w:spacing w:line="360" w:lineRule="auto"/>
        <w:ind w:firstLineChars="200" w:firstLine="420"/>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w:t>
      </w:r>
      <w:r>
        <w:rPr>
          <w:rFonts w:ascii="宋体" w:hAnsi="宋体" w:hint="eastAsia"/>
          <w:color w:val="000000"/>
          <w:kern w:val="0"/>
          <w:szCs w:val="21"/>
        </w:rPr>
        <w:t>）投资者认购本基金</w:t>
      </w:r>
      <w:r>
        <w:rPr>
          <w:rFonts w:ascii="宋体" w:hAnsi="宋体" w:hint="eastAsia"/>
          <w:color w:val="000000"/>
          <w:kern w:val="0"/>
          <w:szCs w:val="21"/>
        </w:rPr>
        <w:t>C</w:t>
      </w:r>
      <w:r>
        <w:rPr>
          <w:rFonts w:ascii="宋体" w:hAnsi="宋体" w:hint="eastAsia"/>
          <w:color w:val="000000"/>
          <w:kern w:val="0"/>
          <w:szCs w:val="21"/>
        </w:rPr>
        <w:t>类基金份额不收取认购费用，即</w:t>
      </w:r>
      <w:r>
        <w:rPr>
          <w:rFonts w:ascii="宋体" w:hAnsi="宋体" w:hint="eastAsia"/>
          <w:color w:val="000000"/>
          <w:kern w:val="0"/>
          <w:szCs w:val="21"/>
        </w:rPr>
        <w:t>C</w:t>
      </w:r>
      <w:r>
        <w:rPr>
          <w:rFonts w:ascii="宋体" w:hAnsi="宋体" w:hint="eastAsia"/>
          <w:color w:val="000000"/>
          <w:kern w:val="0"/>
          <w:szCs w:val="21"/>
        </w:rPr>
        <w:t>类基金份额的认购费率为</w:t>
      </w:r>
      <w:r>
        <w:rPr>
          <w:rFonts w:ascii="宋体" w:hAnsi="宋体" w:hint="eastAsia"/>
          <w:color w:val="000000"/>
          <w:kern w:val="0"/>
          <w:szCs w:val="21"/>
        </w:rPr>
        <w:t>0</w:t>
      </w:r>
      <w:r>
        <w:rPr>
          <w:rFonts w:ascii="宋体" w:hAnsi="宋体" w:hint="eastAsia"/>
          <w:color w:val="000000"/>
          <w:kern w:val="0"/>
          <w:szCs w:val="21"/>
        </w:rPr>
        <w:t>。</w:t>
      </w:r>
    </w:p>
    <w:p w14:paraId="126ACB64" w14:textId="77777777" w:rsidR="00BF38BB" w:rsidRDefault="002837D7">
      <w:pPr>
        <w:spacing w:line="360" w:lineRule="auto"/>
        <w:ind w:firstLineChars="200" w:firstLine="420"/>
        <w:rPr>
          <w:rFonts w:ascii="宋体" w:hAnsi="宋体"/>
        </w:rPr>
      </w:pPr>
      <w:r>
        <w:rPr>
          <w:rFonts w:ascii="宋体" w:hAnsi="宋体"/>
        </w:rPr>
        <w:t>5</w:t>
      </w:r>
      <w:r>
        <w:rPr>
          <w:rFonts w:ascii="宋体" w:hAnsi="宋体"/>
        </w:rPr>
        <w:t>、募集资金利息的处理方式</w:t>
      </w:r>
    </w:p>
    <w:p w14:paraId="260964D7" w14:textId="77777777" w:rsidR="00BF38BB" w:rsidRDefault="002837D7">
      <w:pPr>
        <w:spacing w:line="360" w:lineRule="auto"/>
        <w:ind w:firstLineChars="200" w:firstLine="420"/>
        <w:rPr>
          <w:rFonts w:ascii="宋体" w:hAnsi="宋体"/>
        </w:rPr>
      </w:pPr>
      <w:bookmarkStart w:id="49" w:name="OLE_LINK29"/>
      <w:r>
        <w:rPr>
          <w:rFonts w:ascii="宋体" w:hAnsi="宋体"/>
        </w:rPr>
        <w:t>有效认购款项在募集期间产生的利息将折算为基金份额归基金份额持有人所有，其中利息转份额</w:t>
      </w:r>
      <w:r>
        <w:rPr>
          <w:rFonts w:ascii="宋体" w:hAnsi="宋体" w:hint="eastAsia"/>
          <w:bCs/>
          <w:szCs w:val="21"/>
        </w:rPr>
        <w:t>的数量</w:t>
      </w:r>
      <w:r>
        <w:rPr>
          <w:rFonts w:ascii="宋体" w:hAnsi="宋体"/>
        </w:rPr>
        <w:t>以登记机构的记录为准。</w:t>
      </w:r>
      <w:bookmarkEnd w:id="49"/>
    </w:p>
    <w:p w14:paraId="516E57B5" w14:textId="77777777" w:rsidR="00BF38BB" w:rsidRDefault="002837D7">
      <w:pPr>
        <w:spacing w:line="360" w:lineRule="auto"/>
        <w:ind w:firstLineChars="200" w:firstLine="420"/>
        <w:rPr>
          <w:rFonts w:ascii="宋体" w:hAnsi="宋体"/>
        </w:rPr>
      </w:pPr>
      <w:r>
        <w:rPr>
          <w:rFonts w:ascii="宋体" w:hAnsi="宋体"/>
        </w:rPr>
        <w:t>6</w:t>
      </w:r>
      <w:r>
        <w:rPr>
          <w:rFonts w:ascii="宋体" w:hAnsi="宋体"/>
        </w:rPr>
        <w:t>、认购份额的计算</w:t>
      </w:r>
    </w:p>
    <w:p w14:paraId="11279F29" w14:textId="77777777" w:rsidR="00BF38BB" w:rsidRDefault="002837D7">
      <w:pPr>
        <w:spacing w:line="360" w:lineRule="auto"/>
        <w:ind w:firstLineChars="200" w:firstLine="420"/>
        <w:rPr>
          <w:rFonts w:ascii="宋体" w:hAnsi="宋体"/>
        </w:rPr>
      </w:pPr>
      <w:r>
        <w:rPr>
          <w:rFonts w:ascii="宋体" w:hAnsi="宋体"/>
        </w:rPr>
        <w:t>本基金</w:t>
      </w:r>
      <w:r>
        <w:rPr>
          <w:rFonts w:ascii="宋体" w:hAnsi="宋体"/>
          <w:bCs/>
          <w:color w:val="000000"/>
          <w:kern w:val="0"/>
          <w:szCs w:val="21"/>
        </w:rPr>
        <w:t>A</w:t>
      </w:r>
      <w:r>
        <w:rPr>
          <w:rFonts w:ascii="宋体" w:hAnsi="宋体"/>
          <w:bCs/>
          <w:color w:val="000000"/>
          <w:kern w:val="0"/>
          <w:szCs w:val="21"/>
        </w:rPr>
        <w:t>类、</w:t>
      </w:r>
      <w:r>
        <w:rPr>
          <w:rFonts w:ascii="宋体" w:hAnsi="宋体"/>
          <w:bCs/>
          <w:color w:val="000000"/>
          <w:kern w:val="0"/>
          <w:szCs w:val="21"/>
        </w:rPr>
        <w:t>C</w:t>
      </w:r>
      <w:r>
        <w:rPr>
          <w:rFonts w:ascii="宋体" w:hAnsi="宋体"/>
          <w:bCs/>
          <w:color w:val="000000"/>
          <w:kern w:val="0"/>
          <w:szCs w:val="21"/>
        </w:rPr>
        <w:t>类</w:t>
      </w:r>
      <w:r>
        <w:rPr>
          <w:rFonts w:ascii="宋体" w:hAnsi="宋体" w:hint="eastAsia"/>
          <w:bCs/>
          <w:color w:val="000000"/>
          <w:kern w:val="0"/>
          <w:szCs w:val="21"/>
        </w:rPr>
        <w:t>基金</w:t>
      </w:r>
      <w:r>
        <w:rPr>
          <w:rFonts w:ascii="宋体" w:hAnsi="宋体"/>
          <w:bCs/>
          <w:color w:val="000000"/>
          <w:kern w:val="0"/>
          <w:szCs w:val="21"/>
        </w:rPr>
        <w:t>份额</w:t>
      </w:r>
      <w:r>
        <w:rPr>
          <w:rFonts w:ascii="宋体" w:hAnsi="宋体"/>
        </w:rPr>
        <w:t>每份基金份额初始面值均为人民币</w:t>
      </w:r>
      <w:r>
        <w:rPr>
          <w:rFonts w:ascii="宋体" w:hAnsi="宋体"/>
        </w:rPr>
        <w:t>1.00</w:t>
      </w:r>
      <w:r>
        <w:rPr>
          <w:rFonts w:ascii="宋体" w:hAnsi="宋体"/>
        </w:rPr>
        <w:t>元。</w:t>
      </w:r>
    </w:p>
    <w:p w14:paraId="3811AAA8" w14:textId="77777777" w:rsidR="00BF38BB" w:rsidRDefault="002837D7">
      <w:pPr>
        <w:spacing w:line="360" w:lineRule="auto"/>
        <w:ind w:firstLineChars="200" w:firstLine="420"/>
        <w:rPr>
          <w:rFonts w:ascii="宋体" w:hAnsi="宋体"/>
          <w:color w:val="000000"/>
          <w:kern w:val="0"/>
        </w:rPr>
      </w:pPr>
      <w:r>
        <w:rPr>
          <w:rFonts w:ascii="宋体" w:hAnsi="宋体" w:hint="eastAsia"/>
          <w:bCs/>
          <w:color w:val="000000"/>
          <w:kern w:val="0"/>
          <w:szCs w:val="21"/>
        </w:rPr>
        <w:t>（</w:t>
      </w:r>
      <w:r>
        <w:rPr>
          <w:rFonts w:ascii="宋体" w:hAnsi="宋体" w:hint="eastAsia"/>
          <w:bCs/>
          <w:color w:val="000000"/>
          <w:kern w:val="0"/>
          <w:szCs w:val="21"/>
        </w:rPr>
        <w:t>1</w:t>
      </w:r>
      <w:r>
        <w:rPr>
          <w:rFonts w:ascii="宋体" w:hAnsi="宋体" w:hint="eastAsia"/>
          <w:bCs/>
          <w:color w:val="000000"/>
          <w:kern w:val="0"/>
          <w:szCs w:val="21"/>
        </w:rPr>
        <w:t>）</w:t>
      </w:r>
      <w:r>
        <w:rPr>
          <w:rFonts w:ascii="宋体" w:hAnsi="宋体"/>
          <w:bCs/>
          <w:color w:val="000000"/>
          <w:kern w:val="0"/>
          <w:szCs w:val="21"/>
        </w:rPr>
        <w:t>当投资者选择认购</w:t>
      </w:r>
      <w:r>
        <w:rPr>
          <w:rFonts w:ascii="宋体" w:hAnsi="宋体"/>
          <w:bCs/>
          <w:color w:val="000000"/>
          <w:kern w:val="0"/>
          <w:szCs w:val="21"/>
        </w:rPr>
        <w:t>A</w:t>
      </w:r>
      <w:r>
        <w:rPr>
          <w:rFonts w:ascii="宋体" w:hAnsi="宋体"/>
          <w:bCs/>
          <w:color w:val="000000"/>
          <w:kern w:val="0"/>
          <w:szCs w:val="21"/>
        </w:rPr>
        <w:t>类基金份额时，</w:t>
      </w:r>
      <w:r>
        <w:rPr>
          <w:rFonts w:ascii="宋体" w:hAnsi="宋体"/>
          <w:color w:val="000000"/>
          <w:kern w:val="0"/>
        </w:rPr>
        <w:t>认购份</w:t>
      </w:r>
      <w:r>
        <w:rPr>
          <w:rFonts w:ascii="宋体" w:hAnsi="宋体" w:hint="eastAsia"/>
          <w:color w:val="000000"/>
          <w:kern w:val="0"/>
        </w:rPr>
        <w:t>额</w:t>
      </w:r>
      <w:r>
        <w:rPr>
          <w:rFonts w:ascii="宋体" w:hAnsi="宋体"/>
          <w:color w:val="000000"/>
          <w:kern w:val="0"/>
        </w:rPr>
        <w:t>的计算方法如下：</w:t>
      </w:r>
    </w:p>
    <w:p w14:paraId="18CCC2CE" w14:textId="77777777" w:rsidR="00BF38BB" w:rsidRDefault="002837D7">
      <w:pPr>
        <w:spacing w:line="360" w:lineRule="auto"/>
        <w:ind w:firstLineChars="200" w:firstLine="420"/>
        <w:rPr>
          <w:rFonts w:ascii="宋体" w:hAnsi="宋体"/>
        </w:rPr>
      </w:pPr>
      <w:r>
        <w:rPr>
          <w:rFonts w:ascii="宋体" w:hAnsi="宋体" w:hint="eastAsia"/>
        </w:rPr>
        <w:t>1</w:t>
      </w:r>
      <w:r>
        <w:rPr>
          <w:rFonts w:ascii="宋体" w:hAnsi="宋体" w:hint="eastAsia"/>
        </w:rPr>
        <w:t>）若投资者通过基金管理人直销机构或基金管理人销售子公司认购</w:t>
      </w:r>
      <w:r>
        <w:rPr>
          <w:rFonts w:ascii="宋体" w:hAnsi="宋体" w:hint="eastAsia"/>
        </w:rPr>
        <w:t>A</w:t>
      </w:r>
      <w:r>
        <w:rPr>
          <w:rFonts w:ascii="宋体" w:hAnsi="宋体" w:hint="eastAsia"/>
        </w:rPr>
        <w:t>类基金份额：</w:t>
      </w:r>
    </w:p>
    <w:p w14:paraId="025A0F2A" w14:textId="77777777" w:rsidR="00BF38BB" w:rsidRDefault="002837D7">
      <w:pPr>
        <w:spacing w:line="360" w:lineRule="auto"/>
        <w:ind w:firstLineChars="200" w:firstLine="420"/>
        <w:rPr>
          <w:rFonts w:ascii="宋体" w:hAnsi="宋体"/>
        </w:rPr>
      </w:pPr>
      <w:r>
        <w:rPr>
          <w:rFonts w:ascii="宋体" w:hAnsi="宋体" w:hint="eastAsia"/>
        </w:rPr>
        <w:t>认购份额</w:t>
      </w:r>
      <w:r>
        <w:rPr>
          <w:rFonts w:ascii="宋体" w:hAnsi="宋体" w:hint="eastAsia"/>
        </w:rPr>
        <w:t>=</w:t>
      </w:r>
      <w:r>
        <w:rPr>
          <w:rFonts w:ascii="宋体" w:hAnsi="宋体" w:hint="eastAsia"/>
        </w:rPr>
        <w:t>（认购金额</w:t>
      </w:r>
      <w:r>
        <w:rPr>
          <w:rFonts w:ascii="宋体" w:hAnsi="宋体" w:hint="eastAsia"/>
        </w:rPr>
        <w:t>+</w:t>
      </w:r>
      <w:r>
        <w:rPr>
          <w:rFonts w:ascii="宋体" w:hAnsi="宋体" w:hint="eastAsia"/>
        </w:rPr>
        <w:t>认购资金利息）</w:t>
      </w:r>
      <w:r>
        <w:rPr>
          <w:rFonts w:ascii="宋体" w:hAnsi="宋体" w:hint="eastAsia"/>
        </w:rPr>
        <w:t>/1.00</w:t>
      </w:r>
      <w:r>
        <w:rPr>
          <w:rFonts w:ascii="宋体" w:hAnsi="宋体" w:hint="eastAsia"/>
        </w:rPr>
        <w:t>元</w:t>
      </w:r>
    </w:p>
    <w:p w14:paraId="540465D2" w14:textId="77777777" w:rsidR="00BF38BB" w:rsidRDefault="002837D7">
      <w:pPr>
        <w:spacing w:line="360" w:lineRule="auto"/>
        <w:ind w:firstLineChars="200" w:firstLine="420"/>
        <w:rPr>
          <w:rFonts w:ascii="宋体" w:hAnsi="宋体"/>
        </w:rPr>
      </w:pPr>
      <w:r>
        <w:rPr>
          <w:rFonts w:ascii="宋体" w:hAnsi="宋体" w:hint="eastAsia"/>
        </w:rPr>
        <w:t>2</w:t>
      </w:r>
      <w:r>
        <w:rPr>
          <w:rFonts w:ascii="宋体" w:hAnsi="宋体" w:hint="eastAsia"/>
        </w:rPr>
        <w:t>）若投资者通过其他销售机构认购</w:t>
      </w:r>
      <w:r>
        <w:rPr>
          <w:rFonts w:ascii="宋体" w:hAnsi="宋体" w:hint="eastAsia"/>
        </w:rPr>
        <w:t>A</w:t>
      </w:r>
      <w:r>
        <w:rPr>
          <w:rFonts w:ascii="宋体" w:hAnsi="宋体" w:hint="eastAsia"/>
        </w:rPr>
        <w:t>类基金份额：</w:t>
      </w:r>
    </w:p>
    <w:p w14:paraId="47C2FF89" w14:textId="77777777" w:rsidR="00BF38BB" w:rsidRDefault="002837D7">
      <w:pPr>
        <w:numPr>
          <w:ilvl w:val="0"/>
          <w:numId w:val="4"/>
        </w:numPr>
        <w:autoSpaceDE w:val="0"/>
        <w:autoSpaceDN w:val="0"/>
        <w:adjustRightInd w:val="0"/>
        <w:spacing w:line="360" w:lineRule="auto"/>
        <w:rPr>
          <w:rFonts w:ascii="宋体" w:hAnsi="宋体"/>
        </w:rPr>
      </w:pPr>
      <w:r>
        <w:rPr>
          <w:rFonts w:ascii="宋体" w:hAnsi="宋体"/>
        </w:rPr>
        <w:t>认购费用适用比例费率时，认购份额的计算方法如下：</w:t>
      </w:r>
    </w:p>
    <w:p w14:paraId="1ED1F7E0" w14:textId="77777777" w:rsidR="00BF38BB" w:rsidRDefault="002837D7">
      <w:pPr>
        <w:autoSpaceDE w:val="0"/>
        <w:autoSpaceDN w:val="0"/>
        <w:spacing w:line="360" w:lineRule="auto"/>
        <w:ind w:firstLineChars="600" w:firstLine="1260"/>
        <w:textAlignment w:val="bottom"/>
        <w:rPr>
          <w:rFonts w:ascii="宋体" w:hAnsi="宋体"/>
          <w:color w:val="000000"/>
        </w:rPr>
      </w:pPr>
      <w:r>
        <w:rPr>
          <w:rFonts w:ascii="宋体" w:hAnsi="宋体"/>
          <w:color w:val="000000"/>
        </w:rPr>
        <w:t>净认购金额＝认购金额</w:t>
      </w:r>
      <w:r>
        <w:rPr>
          <w:rFonts w:ascii="宋体" w:hAnsi="宋体"/>
          <w:color w:val="000000"/>
        </w:rPr>
        <w:t>/</w:t>
      </w:r>
      <w:r>
        <w:rPr>
          <w:rFonts w:ascii="宋体" w:hAnsi="宋体"/>
          <w:color w:val="000000"/>
        </w:rPr>
        <w:t>（</w:t>
      </w:r>
      <w:r>
        <w:rPr>
          <w:rFonts w:ascii="宋体" w:hAnsi="宋体"/>
          <w:color w:val="000000"/>
        </w:rPr>
        <w:t>1</w:t>
      </w:r>
      <w:r>
        <w:rPr>
          <w:rFonts w:ascii="宋体" w:hAnsi="宋体"/>
          <w:color w:val="000000"/>
        </w:rPr>
        <w:t>＋认购费率）</w:t>
      </w:r>
    </w:p>
    <w:p w14:paraId="781EFC53" w14:textId="77777777" w:rsidR="00BF38BB" w:rsidRDefault="002837D7">
      <w:pPr>
        <w:autoSpaceDE w:val="0"/>
        <w:autoSpaceDN w:val="0"/>
        <w:spacing w:line="360" w:lineRule="auto"/>
        <w:ind w:firstLineChars="600" w:firstLine="1260"/>
        <w:textAlignment w:val="bottom"/>
        <w:rPr>
          <w:rFonts w:ascii="宋体" w:hAnsi="宋体"/>
          <w:color w:val="000000"/>
        </w:rPr>
      </w:pPr>
      <w:r>
        <w:rPr>
          <w:rFonts w:ascii="宋体" w:hAnsi="宋体"/>
          <w:color w:val="000000"/>
        </w:rPr>
        <w:t>认购费用＝认购金额－净认购金额</w:t>
      </w:r>
    </w:p>
    <w:p w14:paraId="57C305F2" w14:textId="77777777" w:rsidR="00BF38BB" w:rsidRDefault="002837D7">
      <w:pPr>
        <w:autoSpaceDE w:val="0"/>
        <w:autoSpaceDN w:val="0"/>
        <w:spacing w:line="360" w:lineRule="auto"/>
        <w:ind w:firstLineChars="600" w:firstLine="1260"/>
        <w:textAlignment w:val="bottom"/>
        <w:rPr>
          <w:rFonts w:ascii="宋体" w:hAnsi="宋体"/>
          <w:color w:val="000000"/>
        </w:rPr>
      </w:pPr>
      <w:r>
        <w:rPr>
          <w:rFonts w:ascii="宋体" w:hAnsi="宋体"/>
          <w:color w:val="000000"/>
        </w:rPr>
        <w:t>认购份额＝（净认购金额＋认购资金利息）</w:t>
      </w:r>
      <w:r>
        <w:rPr>
          <w:rFonts w:ascii="宋体" w:hAnsi="宋体"/>
          <w:color w:val="000000"/>
        </w:rPr>
        <w:t>/ 1.00</w:t>
      </w:r>
      <w:r>
        <w:rPr>
          <w:rFonts w:ascii="宋体" w:hAnsi="宋体"/>
          <w:color w:val="000000"/>
        </w:rPr>
        <w:t>元</w:t>
      </w:r>
    </w:p>
    <w:p w14:paraId="6FC7F040"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cs="宋体" w:hint="eastAsia"/>
        </w:rPr>
        <w:lastRenderedPageBreak/>
        <w:t>②</w:t>
      </w:r>
      <w:r>
        <w:rPr>
          <w:rFonts w:ascii="宋体" w:hAnsi="宋体"/>
        </w:rPr>
        <w:t>认购费用为固定金额时，认购份额的计算方法如下：</w:t>
      </w:r>
    </w:p>
    <w:p w14:paraId="6458B132" w14:textId="77777777" w:rsidR="00BF38BB" w:rsidRDefault="002837D7">
      <w:pPr>
        <w:autoSpaceDE w:val="0"/>
        <w:autoSpaceDN w:val="0"/>
        <w:adjustRightInd w:val="0"/>
        <w:spacing w:line="360" w:lineRule="auto"/>
        <w:ind w:firstLineChars="600" w:firstLine="1260"/>
        <w:rPr>
          <w:rFonts w:ascii="宋体" w:hAnsi="宋体"/>
        </w:rPr>
      </w:pPr>
      <w:r>
        <w:rPr>
          <w:rFonts w:ascii="宋体" w:hAnsi="宋体"/>
        </w:rPr>
        <w:t>认购费用＝固定金额</w:t>
      </w:r>
    </w:p>
    <w:p w14:paraId="3992C55F" w14:textId="77777777" w:rsidR="00BF38BB" w:rsidRDefault="002837D7">
      <w:pPr>
        <w:autoSpaceDE w:val="0"/>
        <w:autoSpaceDN w:val="0"/>
        <w:adjustRightInd w:val="0"/>
        <w:spacing w:line="360" w:lineRule="auto"/>
        <w:ind w:firstLineChars="600" w:firstLine="1260"/>
        <w:rPr>
          <w:rFonts w:ascii="宋体" w:hAnsi="宋体"/>
        </w:rPr>
      </w:pPr>
      <w:r>
        <w:rPr>
          <w:rFonts w:ascii="宋体" w:hAnsi="宋体"/>
        </w:rPr>
        <w:t>净认购金额</w:t>
      </w:r>
      <w:r>
        <w:rPr>
          <w:rFonts w:ascii="宋体" w:hAnsi="宋体"/>
        </w:rPr>
        <w:t>=</w:t>
      </w:r>
      <w:r>
        <w:rPr>
          <w:rFonts w:ascii="宋体" w:hAnsi="宋体"/>
        </w:rPr>
        <w:t>认购金额－认购费用</w:t>
      </w:r>
    </w:p>
    <w:p w14:paraId="4EAAB12A" w14:textId="77777777" w:rsidR="00BF38BB" w:rsidRDefault="002837D7">
      <w:pPr>
        <w:autoSpaceDE w:val="0"/>
        <w:autoSpaceDN w:val="0"/>
        <w:adjustRightInd w:val="0"/>
        <w:spacing w:line="360" w:lineRule="auto"/>
        <w:ind w:firstLineChars="600" w:firstLine="1260"/>
        <w:rPr>
          <w:rFonts w:ascii="宋体" w:hAnsi="宋体"/>
        </w:rPr>
      </w:pPr>
      <w:r>
        <w:rPr>
          <w:rFonts w:ascii="宋体" w:hAnsi="宋体"/>
        </w:rPr>
        <w:t>认购份额＝（净认购金额</w:t>
      </w:r>
      <w:r>
        <w:rPr>
          <w:rFonts w:ascii="宋体" w:hAnsi="宋体"/>
        </w:rPr>
        <w:t>+</w:t>
      </w:r>
      <w:r>
        <w:rPr>
          <w:rFonts w:ascii="宋体" w:hAnsi="宋体"/>
        </w:rPr>
        <w:t>认购资金利息）</w:t>
      </w:r>
      <w:r>
        <w:rPr>
          <w:rFonts w:ascii="宋体" w:hAnsi="宋体"/>
        </w:rPr>
        <w:t>/1.00</w:t>
      </w:r>
      <w:r>
        <w:rPr>
          <w:rFonts w:ascii="宋体" w:hAnsi="宋体"/>
        </w:rPr>
        <w:t>元</w:t>
      </w:r>
    </w:p>
    <w:p w14:paraId="055B886E"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例一：</w:t>
      </w:r>
      <w:r>
        <w:rPr>
          <w:rFonts w:ascii="宋体" w:hAnsi="宋体" w:hint="eastAsia"/>
        </w:rPr>
        <w:t>某投资者通过基金管理人直销机构或基金管理人销售子公司投资</w:t>
      </w:r>
      <w:r>
        <w:rPr>
          <w:rFonts w:ascii="宋体" w:hAnsi="宋体"/>
        </w:rPr>
        <w:t>10,000.00</w:t>
      </w:r>
      <w:r>
        <w:rPr>
          <w:rFonts w:ascii="宋体" w:hAnsi="宋体" w:hint="eastAsia"/>
        </w:rPr>
        <w:t>元认购本基金</w:t>
      </w:r>
      <w:r>
        <w:rPr>
          <w:rFonts w:ascii="宋体" w:hAnsi="宋体" w:hint="eastAsia"/>
        </w:rPr>
        <w:t>A</w:t>
      </w:r>
      <w:r>
        <w:rPr>
          <w:rFonts w:ascii="宋体" w:hAnsi="宋体" w:hint="eastAsia"/>
        </w:rPr>
        <w:t>类基金份额，如果其认购资金的利息为</w:t>
      </w:r>
      <w:r>
        <w:rPr>
          <w:rFonts w:ascii="宋体" w:hAnsi="宋体"/>
        </w:rPr>
        <w:t>10.00</w:t>
      </w:r>
      <w:r>
        <w:rPr>
          <w:rFonts w:ascii="宋体" w:hAnsi="宋体" w:hint="eastAsia"/>
        </w:rPr>
        <w:t>元，则其可得到的</w:t>
      </w:r>
      <w:r>
        <w:rPr>
          <w:rFonts w:ascii="宋体" w:hAnsi="宋体" w:hint="eastAsia"/>
        </w:rPr>
        <w:t>A</w:t>
      </w:r>
      <w:r>
        <w:rPr>
          <w:rFonts w:ascii="宋体" w:hAnsi="宋体" w:hint="eastAsia"/>
        </w:rPr>
        <w:t>类基金份额计算如下：</w:t>
      </w:r>
    </w:p>
    <w:p w14:paraId="238D9438"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认购份额＝</w:t>
      </w:r>
      <w:r>
        <w:rPr>
          <w:rFonts w:ascii="宋体" w:hAnsi="宋体" w:hint="eastAsia"/>
        </w:rPr>
        <w:t>(10,000+</w:t>
      </w:r>
      <w:r>
        <w:rPr>
          <w:rFonts w:ascii="宋体" w:hAnsi="宋体"/>
        </w:rPr>
        <w:t>10</w:t>
      </w:r>
      <w:r>
        <w:rPr>
          <w:rFonts w:ascii="宋体" w:hAnsi="宋体" w:hint="eastAsia"/>
        </w:rPr>
        <w:t>)/1.00</w:t>
      </w:r>
      <w:r>
        <w:rPr>
          <w:rFonts w:ascii="宋体" w:hAnsi="宋体" w:hint="eastAsia"/>
        </w:rPr>
        <w:t>＝</w:t>
      </w:r>
      <w:r>
        <w:rPr>
          <w:rFonts w:ascii="宋体" w:hAnsi="宋体" w:hint="eastAsia"/>
        </w:rPr>
        <w:t>10,0</w:t>
      </w:r>
      <w:r>
        <w:rPr>
          <w:rFonts w:ascii="宋体" w:hAnsi="宋体"/>
        </w:rPr>
        <w:t>1</w:t>
      </w:r>
      <w:r>
        <w:rPr>
          <w:rFonts w:ascii="宋体" w:hAnsi="宋体" w:hint="eastAsia"/>
        </w:rPr>
        <w:t>0</w:t>
      </w:r>
      <w:r>
        <w:rPr>
          <w:rFonts w:ascii="宋体" w:hAnsi="宋体" w:hint="eastAsia"/>
        </w:rPr>
        <w:t>份</w:t>
      </w:r>
    </w:p>
    <w:p w14:paraId="097BDAED"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例二：</w:t>
      </w:r>
      <w:r>
        <w:rPr>
          <w:rFonts w:ascii="宋体" w:hAnsi="宋体"/>
        </w:rPr>
        <w:t>某投资者</w:t>
      </w:r>
      <w:r>
        <w:rPr>
          <w:rFonts w:ascii="宋体" w:hAnsi="宋体" w:hint="eastAsia"/>
        </w:rPr>
        <w:t>通过其他销售机构</w:t>
      </w:r>
      <w:r>
        <w:rPr>
          <w:rFonts w:ascii="宋体" w:hAnsi="宋体"/>
        </w:rPr>
        <w:t>投资</w:t>
      </w:r>
      <w:r>
        <w:rPr>
          <w:rFonts w:ascii="宋体" w:hAnsi="宋体"/>
        </w:rPr>
        <w:t>10,000.00</w:t>
      </w:r>
      <w:r>
        <w:rPr>
          <w:rFonts w:ascii="宋体" w:hAnsi="宋体"/>
        </w:rPr>
        <w:t>元认购本基金</w:t>
      </w:r>
      <w:r>
        <w:rPr>
          <w:rFonts w:ascii="宋体" w:hAnsi="宋体" w:hint="eastAsia"/>
          <w:bCs/>
          <w:color w:val="000000"/>
          <w:kern w:val="0"/>
          <w:szCs w:val="21"/>
        </w:rPr>
        <w:t>A</w:t>
      </w:r>
      <w:r>
        <w:rPr>
          <w:rFonts w:ascii="宋体" w:hAnsi="宋体"/>
          <w:bCs/>
          <w:color w:val="000000"/>
          <w:kern w:val="0"/>
          <w:szCs w:val="21"/>
        </w:rPr>
        <w:t>类</w:t>
      </w:r>
      <w:r>
        <w:rPr>
          <w:rFonts w:ascii="宋体" w:hAnsi="宋体"/>
        </w:rPr>
        <w:t>基金份额，如果其认购资金的利息为</w:t>
      </w:r>
      <w:r>
        <w:rPr>
          <w:rFonts w:ascii="宋体" w:hAnsi="宋体"/>
        </w:rPr>
        <w:t>10.00</w:t>
      </w:r>
      <w:r>
        <w:rPr>
          <w:rFonts w:ascii="宋体" w:hAnsi="宋体"/>
        </w:rPr>
        <w:t>元，则其可得到的</w:t>
      </w:r>
      <w:r>
        <w:rPr>
          <w:rFonts w:ascii="宋体" w:hAnsi="宋体" w:hint="eastAsia"/>
        </w:rPr>
        <w:t>A</w:t>
      </w:r>
      <w:r>
        <w:rPr>
          <w:rFonts w:ascii="宋体" w:hAnsi="宋体" w:hint="eastAsia"/>
        </w:rPr>
        <w:t>类基金份额</w:t>
      </w:r>
      <w:r>
        <w:rPr>
          <w:rFonts w:ascii="宋体" w:hAnsi="宋体"/>
        </w:rPr>
        <w:t>计算如下：</w:t>
      </w:r>
    </w:p>
    <w:p w14:paraId="6F8A5A83"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净认购金额</w:t>
      </w:r>
      <w:r>
        <w:rPr>
          <w:rFonts w:ascii="宋体" w:hAnsi="宋体"/>
        </w:rPr>
        <w:t>=10,000.00/</w:t>
      </w:r>
      <w:r>
        <w:rPr>
          <w:rFonts w:ascii="宋体" w:hAnsi="宋体"/>
        </w:rPr>
        <w:t>（</w:t>
      </w:r>
      <w:r>
        <w:rPr>
          <w:rFonts w:ascii="宋体" w:hAnsi="宋体"/>
        </w:rPr>
        <w:t>1+0.3%</w:t>
      </w:r>
      <w:r>
        <w:rPr>
          <w:rFonts w:ascii="宋体" w:hAnsi="宋体"/>
        </w:rPr>
        <w:t>）</w:t>
      </w:r>
      <w:r>
        <w:rPr>
          <w:rFonts w:ascii="宋体" w:hAnsi="宋体"/>
        </w:rPr>
        <w:t>=</w:t>
      </w:r>
      <w:r>
        <w:rPr>
          <w:rFonts w:ascii="宋体" w:hAnsi="宋体" w:hint="eastAsia"/>
        </w:rPr>
        <w:t>9,9</w:t>
      </w:r>
      <w:r>
        <w:rPr>
          <w:rFonts w:ascii="宋体" w:hAnsi="宋体"/>
        </w:rPr>
        <w:t>70</w:t>
      </w:r>
      <w:r>
        <w:rPr>
          <w:rFonts w:ascii="宋体" w:hAnsi="宋体" w:hint="eastAsia"/>
        </w:rPr>
        <w:t>.</w:t>
      </w:r>
      <w:r>
        <w:rPr>
          <w:rFonts w:ascii="宋体" w:hAnsi="宋体"/>
        </w:rPr>
        <w:t>09</w:t>
      </w:r>
      <w:r>
        <w:rPr>
          <w:rFonts w:ascii="宋体" w:hAnsi="宋体"/>
        </w:rPr>
        <w:t>元</w:t>
      </w:r>
    </w:p>
    <w:p w14:paraId="29BF3812"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认购费用＝</w:t>
      </w:r>
      <w:r>
        <w:rPr>
          <w:rFonts w:ascii="宋体" w:hAnsi="宋体"/>
        </w:rPr>
        <w:t xml:space="preserve">10,000.00 - </w:t>
      </w:r>
      <w:r>
        <w:rPr>
          <w:rFonts w:ascii="宋体" w:hAnsi="宋体" w:hint="eastAsia"/>
        </w:rPr>
        <w:t>9,9</w:t>
      </w:r>
      <w:r>
        <w:rPr>
          <w:rFonts w:ascii="宋体" w:hAnsi="宋体"/>
        </w:rPr>
        <w:t>70</w:t>
      </w:r>
      <w:r>
        <w:rPr>
          <w:rFonts w:ascii="宋体" w:hAnsi="宋体" w:hint="eastAsia"/>
        </w:rPr>
        <w:t>.</w:t>
      </w:r>
      <w:r>
        <w:rPr>
          <w:rFonts w:ascii="宋体" w:hAnsi="宋体"/>
        </w:rPr>
        <w:t>09=29.91</w:t>
      </w:r>
      <w:r>
        <w:rPr>
          <w:rFonts w:ascii="宋体" w:hAnsi="宋体"/>
        </w:rPr>
        <w:t>元</w:t>
      </w:r>
    </w:p>
    <w:p w14:paraId="27D6D458"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认购份额＝（</w:t>
      </w:r>
      <w:r>
        <w:rPr>
          <w:rFonts w:ascii="宋体" w:hAnsi="宋体" w:hint="eastAsia"/>
        </w:rPr>
        <w:t>9,9</w:t>
      </w:r>
      <w:r>
        <w:rPr>
          <w:rFonts w:ascii="宋体" w:hAnsi="宋体"/>
        </w:rPr>
        <w:t>70</w:t>
      </w:r>
      <w:r>
        <w:rPr>
          <w:rFonts w:ascii="宋体" w:hAnsi="宋体" w:hint="eastAsia"/>
        </w:rPr>
        <w:t>.</w:t>
      </w:r>
      <w:r>
        <w:rPr>
          <w:rFonts w:ascii="宋体" w:hAnsi="宋体"/>
        </w:rPr>
        <w:t>09+ 10.00</w:t>
      </w:r>
      <w:r>
        <w:rPr>
          <w:rFonts w:ascii="宋体" w:hAnsi="宋体"/>
        </w:rPr>
        <w:t>）</w:t>
      </w:r>
      <w:r>
        <w:rPr>
          <w:rFonts w:ascii="宋体" w:hAnsi="宋体"/>
        </w:rPr>
        <w:t xml:space="preserve">/1.00= </w:t>
      </w:r>
      <w:r>
        <w:rPr>
          <w:rFonts w:ascii="宋体" w:hAnsi="宋体" w:hint="eastAsia"/>
        </w:rPr>
        <w:t>9,9</w:t>
      </w:r>
      <w:r>
        <w:rPr>
          <w:rFonts w:ascii="宋体" w:hAnsi="宋体"/>
        </w:rPr>
        <w:t>80</w:t>
      </w:r>
      <w:r>
        <w:rPr>
          <w:rFonts w:ascii="宋体" w:hAnsi="宋体" w:hint="eastAsia"/>
        </w:rPr>
        <w:t>.</w:t>
      </w:r>
      <w:r>
        <w:rPr>
          <w:rFonts w:ascii="宋体" w:hAnsi="宋体"/>
        </w:rPr>
        <w:t>09</w:t>
      </w:r>
      <w:r>
        <w:rPr>
          <w:rFonts w:ascii="宋体" w:hAnsi="宋体"/>
        </w:rPr>
        <w:t>份</w:t>
      </w:r>
    </w:p>
    <w:p w14:paraId="779D0A95" w14:textId="77777777" w:rsidR="00BF38BB" w:rsidRDefault="002837D7">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w:t>
      </w:r>
      <w:r>
        <w:rPr>
          <w:rFonts w:ascii="宋体" w:hAnsi="宋体" w:hint="eastAsia"/>
          <w:bCs/>
          <w:color w:val="000000"/>
          <w:kern w:val="0"/>
          <w:szCs w:val="21"/>
        </w:rPr>
        <w:t>2</w:t>
      </w:r>
      <w:r>
        <w:rPr>
          <w:rFonts w:ascii="宋体" w:hAnsi="宋体" w:hint="eastAsia"/>
          <w:bCs/>
          <w:color w:val="000000"/>
          <w:kern w:val="0"/>
          <w:szCs w:val="21"/>
        </w:rPr>
        <w:t>）</w:t>
      </w:r>
      <w:r>
        <w:rPr>
          <w:rFonts w:ascii="宋体" w:hAnsi="宋体"/>
          <w:bCs/>
          <w:color w:val="000000"/>
          <w:kern w:val="0"/>
          <w:szCs w:val="21"/>
        </w:rPr>
        <w:t>当投资者选择认购</w:t>
      </w:r>
      <w:r>
        <w:rPr>
          <w:rFonts w:ascii="宋体" w:hAnsi="宋体"/>
          <w:bCs/>
          <w:color w:val="000000"/>
          <w:kern w:val="0"/>
          <w:szCs w:val="21"/>
        </w:rPr>
        <w:t>C</w:t>
      </w:r>
      <w:r>
        <w:rPr>
          <w:rFonts w:ascii="宋体" w:hAnsi="宋体"/>
          <w:bCs/>
          <w:color w:val="000000"/>
          <w:kern w:val="0"/>
          <w:szCs w:val="21"/>
        </w:rPr>
        <w:t>类基金份额时，认购份</w:t>
      </w:r>
      <w:r>
        <w:rPr>
          <w:rFonts w:ascii="宋体" w:hAnsi="宋体" w:hint="eastAsia"/>
          <w:bCs/>
          <w:color w:val="000000"/>
          <w:kern w:val="0"/>
          <w:szCs w:val="21"/>
        </w:rPr>
        <w:t>额</w:t>
      </w:r>
      <w:r>
        <w:rPr>
          <w:rFonts w:ascii="宋体" w:hAnsi="宋体"/>
          <w:bCs/>
          <w:color w:val="000000"/>
          <w:kern w:val="0"/>
          <w:szCs w:val="21"/>
        </w:rPr>
        <w:t>的计算方法如下：</w:t>
      </w:r>
    </w:p>
    <w:p w14:paraId="5EABF56E" w14:textId="77777777" w:rsidR="00BF38BB" w:rsidRDefault="002837D7">
      <w:pPr>
        <w:spacing w:line="360" w:lineRule="auto"/>
        <w:ind w:firstLineChars="200" w:firstLine="420"/>
        <w:rPr>
          <w:rFonts w:ascii="宋体" w:hAnsi="宋体"/>
          <w:bCs/>
          <w:color w:val="000000"/>
          <w:kern w:val="0"/>
          <w:szCs w:val="21"/>
        </w:rPr>
      </w:pPr>
      <w:r>
        <w:rPr>
          <w:rFonts w:ascii="宋体" w:hAnsi="宋体"/>
          <w:bCs/>
          <w:color w:val="000000"/>
          <w:kern w:val="0"/>
          <w:szCs w:val="21"/>
        </w:rPr>
        <w:t>认购份</w:t>
      </w:r>
      <w:r>
        <w:rPr>
          <w:rFonts w:ascii="宋体" w:hAnsi="宋体" w:hint="eastAsia"/>
          <w:bCs/>
          <w:color w:val="000000"/>
          <w:kern w:val="0"/>
          <w:szCs w:val="21"/>
        </w:rPr>
        <w:t>额</w:t>
      </w:r>
      <w:r>
        <w:rPr>
          <w:rFonts w:ascii="宋体" w:hAnsi="宋体"/>
          <w:bCs/>
          <w:color w:val="000000"/>
          <w:kern w:val="0"/>
          <w:szCs w:val="21"/>
        </w:rPr>
        <w:t>＝</w:t>
      </w:r>
      <w:r>
        <w:rPr>
          <w:rFonts w:ascii="宋体" w:hAnsi="宋体"/>
          <w:bCs/>
          <w:color w:val="000000"/>
          <w:kern w:val="0"/>
          <w:szCs w:val="21"/>
        </w:rPr>
        <w:t>(</w:t>
      </w:r>
      <w:r>
        <w:rPr>
          <w:rFonts w:ascii="宋体" w:hAnsi="宋体"/>
          <w:bCs/>
          <w:color w:val="000000"/>
          <w:kern w:val="0"/>
          <w:szCs w:val="21"/>
        </w:rPr>
        <w:t>认购金额＋认购资金利息</w:t>
      </w:r>
      <w:r>
        <w:rPr>
          <w:rFonts w:ascii="宋体" w:hAnsi="宋体"/>
          <w:bCs/>
          <w:color w:val="000000"/>
          <w:kern w:val="0"/>
          <w:szCs w:val="21"/>
        </w:rPr>
        <w:t>)/1.00</w:t>
      </w:r>
      <w:r>
        <w:rPr>
          <w:rFonts w:ascii="宋体" w:hAnsi="宋体"/>
          <w:bCs/>
          <w:color w:val="000000"/>
          <w:kern w:val="0"/>
          <w:szCs w:val="21"/>
        </w:rPr>
        <w:t>元</w:t>
      </w:r>
    </w:p>
    <w:p w14:paraId="05F36E2E" w14:textId="77777777" w:rsidR="00BF38BB" w:rsidRDefault="002837D7">
      <w:pPr>
        <w:spacing w:line="360" w:lineRule="auto"/>
        <w:ind w:firstLineChars="200" w:firstLine="420"/>
        <w:rPr>
          <w:rFonts w:ascii="宋体" w:hAnsi="宋体"/>
          <w:bCs/>
          <w:color w:val="000000"/>
          <w:kern w:val="0"/>
          <w:szCs w:val="21"/>
        </w:rPr>
      </w:pPr>
      <w:r>
        <w:rPr>
          <w:rFonts w:ascii="宋体" w:hAnsi="宋体"/>
          <w:bCs/>
          <w:color w:val="000000"/>
          <w:kern w:val="0"/>
          <w:szCs w:val="21"/>
        </w:rPr>
        <w:t>例</w:t>
      </w:r>
      <w:r>
        <w:rPr>
          <w:rFonts w:ascii="宋体" w:hAnsi="宋体" w:hint="eastAsia"/>
          <w:bCs/>
          <w:color w:val="000000"/>
          <w:kern w:val="0"/>
          <w:szCs w:val="21"/>
        </w:rPr>
        <w:t>三</w:t>
      </w:r>
      <w:r>
        <w:rPr>
          <w:rFonts w:ascii="宋体" w:hAnsi="宋体"/>
          <w:bCs/>
          <w:color w:val="000000"/>
          <w:kern w:val="0"/>
          <w:szCs w:val="21"/>
        </w:rPr>
        <w:t>：某投资者投资</w:t>
      </w:r>
      <w:r>
        <w:rPr>
          <w:rFonts w:ascii="宋体" w:hAnsi="宋体" w:hint="eastAsia"/>
          <w:bCs/>
          <w:color w:val="000000"/>
          <w:kern w:val="0"/>
          <w:szCs w:val="21"/>
        </w:rPr>
        <w:t>10</w:t>
      </w:r>
      <w:r>
        <w:rPr>
          <w:rFonts w:ascii="宋体" w:hAnsi="宋体"/>
          <w:bCs/>
          <w:color w:val="000000"/>
          <w:kern w:val="0"/>
          <w:szCs w:val="21"/>
        </w:rPr>
        <w:t>,000.00</w:t>
      </w:r>
      <w:r>
        <w:rPr>
          <w:rFonts w:ascii="宋体" w:hAnsi="宋体"/>
          <w:bCs/>
          <w:color w:val="000000"/>
          <w:kern w:val="0"/>
          <w:szCs w:val="21"/>
        </w:rPr>
        <w:t>元认购本基金</w:t>
      </w:r>
      <w:r>
        <w:rPr>
          <w:rFonts w:ascii="宋体" w:hAnsi="宋体"/>
          <w:bCs/>
          <w:color w:val="000000"/>
          <w:kern w:val="0"/>
          <w:szCs w:val="21"/>
        </w:rPr>
        <w:t>C</w:t>
      </w:r>
      <w:r>
        <w:rPr>
          <w:rFonts w:ascii="宋体" w:hAnsi="宋体"/>
          <w:bCs/>
          <w:color w:val="000000"/>
          <w:kern w:val="0"/>
          <w:szCs w:val="21"/>
        </w:rPr>
        <w:t>类基金份额，假设这</w:t>
      </w:r>
      <w:r>
        <w:rPr>
          <w:rFonts w:ascii="宋体" w:hAnsi="宋体"/>
          <w:bCs/>
          <w:color w:val="000000"/>
          <w:kern w:val="0"/>
          <w:szCs w:val="21"/>
        </w:rPr>
        <w:t>1</w:t>
      </w:r>
      <w:r>
        <w:rPr>
          <w:rFonts w:ascii="宋体" w:hAnsi="宋体" w:hint="eastAsia"/>
          <w:bCs/>
          <w:color w:val="000000"/>
          <w:kern w:val="0"/>
          <w:szCs w:val="21"/>
        </w:rPr>
        <w:t>0</w:t>
      </w:r>
      <w:r>
        <w:rPr>
          <w:rFonts w:ascii="宋体" w:hAnsi="宋体"/>
          <w:bCs/>
          <w:color w:val="000000"/>
          <w:kern w:val="0"/>
          <w:szCs w:val="21"/>
        </w:rPr>
        <w:t>,000.00</w:t>
      </w:r>
      <w:r>
        <w:rPr>
          <w:rFonts w:ascii="宋体" w:hAnsi="宋体"/>
          <w:bCs/>
          <w:color w:val="000000"/>
          <w:kern w:val="0"/>
          <w:szCs w:val="21"/>
        </w:rPr>
        <w:t>元在募集期间产生的利息为</w:t>
      </w:r>
      <w:r>
        <w:rPr>
          <w:rFonts w:ascii="宋体" w:hAnsi="宋体" w:hint="eastAsia"/>
          <w:bCs/>
          <w:color w:val="000000"/>
          <w:kern w:val="0"/>
          <w:szCs w:val="21"/>
        </w:rPr>
        <w:t>5</w:t>
      </w:r>
      <w:r>
        <w:rPr>
          <w:rFonts w:ascii="宋体" w:hAnsi="宋体"/>
          <w:bCs/>
          <w:color w:val="000000"/>
          <w:kern w:val="0"/>
          <w:szCs w:val="21"/>
        </w:rPr>
        <w:t>.</w:t>
      </w:r>
      <w:r>
        <w:rPr>
          <w:rFonts w:ascii="宋体" w:hAnsi="宋体" w:hint="eastAsia"/>
          <w:bCs/>
          <w:color w:val="000000"/>
          <w:kern w:val="0"/>
          <w:szCs w:val="21"/>
        </w:rPr>
        <w:t>00</w:t>
      </w:r>
      <w:r>
        <w:rPr>
          <w:rFonts w:ascii="宋体" w:hAnsi="宋体"/>
          <w:bCs/>
          <w:color w:val="000000"/>
          <w:kern w:val="0"/>
          <w:szCs w:val="21"/>
        </w:rPr>
        <w:t>元，则其可得到的基金份数计算如下：</w:t>
      </w:r>
    </w:p>
    <w:p w14:paraId="66D69FCB" w14:textId="77777777" w:rsidR="00BF38BB" w:rsidRDefault="002837D7">
      <w:pPr>
        <w:spacing w:line="360" w:lineRule="auto"/>
        <w:ind w:firstLineChars="200" w:firstLine="420"/>
        <w:rPr>
          <w:rFonts w:ascii="宋体" w:hAnsi="宋体"/>
          <w:bCs/>
          <w:color w:val="000000"/>
          <w:kern w:val="0"/>
          <w:szCs w:val="21"/>
        </w:rPr>
      </w:pPr>
      <w:r>
        <w:rPr>
          <w:rFonts w:ascii="宋体" w:hAnsi="宋体"/>
          <w:bCs/>
          <w:color w:val="000000"/>
          <w:kern w:val="0"/>
          <w:szCs w:val="21"/>
        </w:rPr>
        <w:t>认购份</w:t>
      </w:r>
      <w:r>
        <w:rPr>
          <w:rFonts w:ascii="宋体" w:hAnsi="宋体" w:hint="eastAsia"/>
          <w:bCs/>
          <w:color w:val="000000"/>
          <w:kern w:val="0"/>
          <w:szCs w:val="21"/>
        </w:rPr>
        <w:t>额</w:t>
      </w:r>
      <w:r>
        <w:rPr>
          <w:rFonts w:ascii="宋体" w:hAnsi="宋体"/>
          <w:bCs/>
          <w:color w:val="000000"/>
          <w:kern w:val="0"/>
          <w:szCs w:val="21"/>
        </w:rPr>
        <w:t>=(1</w:t>
      </w:r>
      <w:r>
        <w:rPr>
          <w:rFonts w:ascii="宋体" w:hAnsi="宋体" w:hint="eastAsia"/>
          <w:bCs/>
          <w:color w:val="000000"/>
          <w:kern w:val="0"/>
          <w:szCs w:val="21"/>
        </w:rPr>
        <w:t>0</w:t>
      </w:r>
      <w:r>
        <w:rPr>
          <w:rFonts w:ascii="宋体" w:hAnsi="宋体"/>
          <w:bCs/>
          <w:color w:val="000000"/>
          <w:kern w:val="0"/>
          <w:szCs w:val="21"/>
        </w:rPr>
        <w:t>,000.00+</w:t>
      </w:r>
      <w:r>
        <w:rPr>
          <w:rFonts w:ascii="宋体" w:hAnsi="宋体"/>
          <w:color w:val="000000"/>
          <w:kern w:val="0"/>
        </w:rPr>
        <w:t>5</w:t>
      </w:r>
      <w:r>
        <w:rPr>
          <w:rFonts w:ascii="宋体" w:hAnsi="宋体"/>
          <w:bCs/>
          <w:color w:val="000000"/>
          <w:kern w:val="0"/>
          <w:szCs w:val="21"/>
        </w:rPr>
        <w:t>.</w:t>
      </w:r>
      <w:r>
        <w:rPr>
          <w:rFonts w:ascii="宋体" w:hAnsi="宋体" w:hint="eastAsia"/>
          <w:bCs/>
          <w:color w:val="000000"/>
          <w:kern w:val="0"/>
          <w:szCs w:val="21"/>
        </w:rPr>
        <w:t>00</w:t>
      </w:r>
      <w:r>
        <w:rPr>
          <w:rFonts w:ascii="宋体" w:hAnsi="宋体"/>
          <w:bCs/>
          <w:color w:val="000000"/>
          <w:kern w:val="0"/>
          <w:szCs w:val="21"/>
        </w:rPr>
        <w:t>)/1.00=1</w:t>
      </w:r>
      <w:r>
        <w:rPr>
          <w:rFonts w:ascii="宋体" w:hAnsi="宋体" w:hint="eastAsia"/>
          <w:bCs/>
          <w:color w:val="000000"/>
          <w:kern w:val="0"/>
          <w:szCs w:val="21"/>
        </w:rPr>
        <w:t>0</w:t>
      </w:r>
      <w:r>
        <w:rPr>
          <w:rFonts w:ascii="宋体" w:hAnsi="宋体"/>
          <w:bCs/>
          <w:color w:val="000000"/>
          <w:kern w:val="0"/>
          <w:szCs w:val="21"/>
        </w:rPr>
        <w:t>,00</w:t>
      </w:r>
      <w:r>
        <w:rPr>
          <w:rFonts w:ascii="宋体" w:hAnsi="宋体" w:hint="eastAsia"/>
          <w:bCs/>
          <w:color w:val="000000"/>
          <w:kern w:val="0"/>
          <w:szCs w:val="21"/>
        </w:rPr>
        <w:t>5</w:t>
      </w:r>
      <w:r>
        <w:rPr>
          <w:rFonts w:ascii="宋体" w:hAnsi="宋体"/>
          <w:bCs/>
          <w:color w:val="000000"/>
          <w:kern w:val="0"/>
          <w:szCs w:val="21"/>
        </w:rPr>
        <w:t>.</w:t>
      </w:r>
      <w:r>
        <w:rPr>
          <w:rFonts w:ascii="宋体" w:hAnsi="宋体" w:hint="eastAsia"/>
          <w:bCs/>
          <w:color w:val="000000"/>
          <w:kern w:val="0"/>
          <w:szCs w:val="21"/>
        </w:rPr>
        <w:t>00</w:t>
      </w:r>
      <w:r>
        <w:rPr>
          <w:rFonts w:ascii="宋体" w:hAnsi="宋体"/>
          <w:bCs/>
          <w:color w:val="000000"/>
          <w:kern w:val="0"/>
          <w:szCs w:val="21"/>
        </w:rPr>
        <w:t>份</w:t>
      </w:r>
    </w:p>
    <w:p w14:paraId="52BD1AB8" w14:textId="77777777" w:rsidR="00BF38BB" w:rsidRDefault="002837D7">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w:t>
      </w:r>
      <w:r>
        <w:rPr>
          <w:rFonts w:ascii="宋体" w:hAnsi="宋体" w:hint="eastAsia"/>
          <w:bCs/>
          <w:color w:val="000000"/>
          <w:kern w:val="0"/>
          <w:szCs w:val="21"/>
        </w:rPr>
        <w:t>3</w:t>
      </w:r>
      <w:r>
        <w:rPr>
          <w:rFonts w:ascii="宋体" w:hAnsi="宋体" w:hint="eastAsia"/>
          <w:bCs/>
          <w:color w:val="000000"/>
          <w:kern w:val="0"/>
          <w:szCs w:val="21"/>
        </w:rPr>
        <w:t>）认购份额的计算结果按四舍五入</w:t>
      </w:r>
      <w:r>
        <w:rPr>
          <w:rFonts w:ascii="宋体" w:hAnsi="宋体"/>
          <w:bCs/>
          <w:color w:val="000000"/>
          <w:kern w:val="0"/>
          <w:szCs w:val="21"/>
        </w:rPr>
        <w:t>方法</w:t>
      </w:r>
      <w:r>
        <w:rPr>
          <w:rFonts w:ascii="宋体" w:hAnsi="宋体" w:hint="eastAsia"/>
          <w:bCs/>
          <w:color w:val="000000"/>
          <w:kern w:val="0"/>
          <w:szCs w:val="21"/>
        </w:rPr>
        <w:t>，保留到小数点后两位，</w:t>
      </w:r>
      <w:r>
        <w:rPr>
          <w:rFonts w:ascii="宋体" w:hAnsi="宋体"/>
          <w:bCs/>
          <w:color w:val="000000"/>
          <w:kern w:val="0"/>
          <w:szCs w:val="21"/>
        </w:rPr>
        <w:t>由此误差产</w:t>
      </w:r>
      <w:r>
        <w:rPr>
          <w:rFonts w:ascii="宋体" w:hAnsi="宋体"/>
          <w:bCs/>
          <w:color w:val="000000"/>
          <w:kern w:val="0"/>
          <w:szCs w:val="21"/>
        </w:rPr>
        <w:t>生的收益或损失由基金财产承担</w:t>
      </w:r>
      <w:r>
        <w:rPr>
          <w:rFonts w:ascii="宋体" w:hAnsi="宋体" w:hint="eastAsia"/>
          <w:bCs/>
          <w:color w:val="000000"/>
          <w:kern w:val="0"/>
          <w:szCs w:val="21"/>
        </w:rPr>
        <w:t>。</w:t>
      </w:r>
    </w:p>
    <w:p w14:paraId="3BB6D4DE" w14:textId="77777777" w:rsidR="00BF38BB" w:rsidRDefault="002837D7">
      <w:pPr>
        <w:spacing w:line="360" w:lineRule="auto"/>
        <w:ind w:firstLineChars="200" w:firstLine="420"/>
        <w:rPr>
          <w:rFonts w:ascii="宋体" w:hAnsi="宋体"/>
        </w:rPr>
      </w:pPr>
      <w:r>
        <w:rPr>
          <w:rFonts w:ascii="宋体" w:hAnsi="宋体"/>
        </w:rPr>
        <w:t>7</w:t>
      </w:r>
      <w:r>
        <w:rPr>
          <w:rFonts w:ascii="宋体" w:hAnsi="宋体" w:hint="eastAsia"/>
        </w:rPr>
        <w:t>、</w:t>
      </w:r>
      <w:r>
        <w:rPr>
          <w:rFonts w:ascii="宋体" w:hAnsi="宋体"/>
        </w:rPr>
        <w:t>募集资金</w:t>
      </w:r>
    </w:p>
    <w:p w14:paraId="7011222F" w14:textId="77777777" w:rsidR="00BF38BB" w:rsidRDefault="002837D7">
      <w:pPr>
        <w:spacing w:line="360" w:lineRule="auto"/>
        <w:ind w:firstLineChars="200" w:firstLine="420"/>
        <w:rPr>
          <w:rFonts w:ascii="宋体" w:hAnsi="宋体"/>
        </w:rPr>
      </w:pPr>
      <w:r>
        <w:rPr>
          <w:rFonts w:ascii="宋体" w:hAnsi="宋体"/>
        </w:rPr>
        <w:t>基金募集期间募集的资金存入专门账户，在基金募集行为结束前，任何人不得动用。</w:t>
      </w:r>
    </w:p>
    <w:p w14:paraId="5C596799" w14:textId="77777777" w:rsidR="00BF38BB" w:rsidRDefault="002837D7">
      <w:pPr>
        <w:spacing w:line="360" w:lineRule="auto"/>
        <w:ind w:firstLineChars="200" w:firstLine="420"/>
        <w:rPr>
          <w:rFonts w:ascii="宋体" w:hAnsi="宋体"/>
        </w:rPr>
      </w:pPr>
      <w:r>
        <w:rPr>
          <w:rFonts w:ascii="宋体" w:hAnsi="宋体" w:hint="eastAsia"/>
        </w:rPr>
        <w:t>（五）未来条件许可情况下的模式转换</w:t>
      </w:r>
    </w:p>
    <w:p w14:paraId="6CE8429A" w14:textId="77777777" w:rsidR="00BF38BB" w:rsidRDefault="002837D7">
      <w:pPr>
        <w:spacing w:line="360" w:lineRule="auto"/>
        <w:ind w:firstLineChars="200" w:firstLine="420"/>
        <w:rPr>
          <w:rFonts w:ascii="宋体" w:hAnsi="宋体"/>
        </w:rPr>
      </w:pPr>
      <w:r>
        <w:rPr>
          <w:rFonts w:ascii="宋体" w:hAnsi="宋体" w:hint="eastAsia"/>
        </w:rPr>
        <w:t>若将来本基金管理人推出同一标的指数的增强策略交易型开放式指数基金（</w:t>
      </w:r>
      <w:r>
        <w:rPr>
          <w:rFonts w:ascii="宋体" w:hAnsi="宋体" w:hint="eastAsia"/>
        </w:rPr>
        <w:t>ETF</w:t>
      </w:r>
      <w:r>
        <w:rPr>
          <w:rFonts w:ascii="宋体" w:hAnsi="宋体" w:hint="eastAsia"/>
        </w:rPr>
        <w:t>），则基金管理人在履行适当程序后有权决定将本基金转换为该基金的联接基金，并相应修改《基金合同》。在遵守法律法规有关联接基金规定的前提下，包括但不限于基金投资目标、投资范围和投资策略等条款中将增加投资目标</w:t>
      </w:r>
      <w:r>
        <w:rPr>
          <w:rFonts w:ascii="宋体" w:hAnsi="宋体" w:hint="eastAsia"/>
        </w:rPr>
        <w:t>ETF</w:t>
      </w:r>
      <w:r>
        <w:rPr>
          <w:rFonts w:ascii="宋体" w:hAnsi="宋体" w:hint="eastAsia"/>
        </w:rPr>
        <w:t>的相关内容，同时相应变更基金名称、类别，并进行本基金变更为</w:t>
      </w:r>
      <w:r>
        <w:rPr>
          <w:rFonts w:ascii="宋体" w:hAnsi="宋体" w:hint="eastAsia"/>
        </w:rPr>
        <w:t>ETF</w:t>
      </w:r>
      <w:r>
        <w:rPr>
          <w:rFonts w:ascii="宋体" w:hAnsi="宋体" w:hint="eastAsia"/>
        </w:rPr>
        <w:t>联接基金的其他必要修订。此项调整经基金管理人与基金托管人协商一致，履行适当程序后及时公告，而无需召开基金份额持有人大会。</w:t>
      </w:r>
    </w:p>
    <w:p w14:paraId="25500EF9" w14:textId="77777777" w:rsidR="00BF38BB" w:rsidRDefault="002837D7">
      <w:pPr>
        <w:pStyle w:val="1"/>
        <w:spacing w:before="340" w:after="330"/>
        <w:jc w:val="center"/>
        <w:rPr>
          <w:rFonts w:hAnsi="宋体"/>
          <w:color w:val="auto"/>
          <w:kern w:val="44"/>
          <w:sz w:val="21"/>
        </w:rPr>
      </w:pPr>
      <w:bookmarkStart w:id="50" w:name="_Toc16920829"/>
      <w:bookmarkStart w:id="51" w:name="_Toc329187117"/>
      <w:bookmarkStart w:id="52" w:name="_Toc334542639"/>
      <w:bookmarkStart w:id="53" w:name="_Toc334542956"/>
      <w:r>
        <w:rPr>
          <w:rFonts w:hAnsi="宋体"/>
          <w:color w:val="auto"/>
          <w:kern w:val="44"/>
          <w:sz w:val="21"/>
        </w:rPr>
        <w:br w:type="page"/>
      </w:r>
      <w:bookmarkStart w:id="54" w:name="_Toc69916732"/>
      <w:r>
        <w:rPr>
          <w:rFonts w:hAnsi="宋体"/>
          <w:color w:val="auto"/>
          <w:kern w:val="44"/>
          <w:sz w:val="21"/>
        </w:rPr>
        <w:lastRenderedPageBreak/>
        <w:t>七、基金合同的生效</w:t>
      </w:r>
      <w:bookmarkEnd w:id="50"/>
      <w:bookmarkEnd w:id="51"/>
      <w:bookmarkEnd w:id="52"/>
      <w:bookmarkEnd w:id="53"/>
      <w:bookmarkEnd w:id="54"/>
    </w:p>
    <w:p w14:paraId="0B5B3835" w14:textId="77777777" w:rsidR="00BF38BB" w:rsidRDefault="002837D7">
      <w:pPr>
        <w:spacing w:line="360" w:lineRule="auto"/>
        <w:ind w:firstLineChars="200" w:firstLine="420"/>
        <w:rPr>
          <w:bCs/>
          <w:szCs w:val="21"/>
        </w:rPr>
      </w:pPr>
      <w:bookmarkStart w:id="55" w:name="_Hlk38015315"/>
      <w:r>
        <w:rPr>
          <w:rFonts w:hint="eastAsia"/>
          <w:bCs/>
          <w:szCs w:val="21"/>
        </w:rPr>
        <w:t>（一）</w:t>
      </w:r>
      <w:r>
        <w:rPr>
          <w:bCs/>
          <w:szCs w:val="21"/>
        </w:rPr>
        <w:t>基金备案的条件</w:t>
      </w:r>
    </w:p>
    <w:p w14:paraId="45880340" w14:textId="77777777" w:rsidR="00BF38BB" w:rsidRDefault="002837D7">
      <w:pPr>
        <w:spacing w:line="360" w:lineRule="auto"/>
        <w:ind w:firstLineChars="200" w:firstLine="420"/>
        <w:rPr>
          <w:color w:val="000000"/>
          <w:szCs w:val="21"/>
        </w:rPr>
      </w:pPr>
      <w:r>
        <w:rPr>
          <w:rFonts w:hint="eastAsia"/>
          <w:bCs/>
          <w:color w:val="000000"/>
          <w:szCs w:val="21"/>
        </w:rPr>
        <w:t>本基金自基金份额发售之日起</w:t>
      </w:r>
      <w:r>
        <w:rPr>
          <w:rFonts w:hint="eastAsia"/>
          <w:bCs/>
          <w:color w:val="000000"/>
          <w:szCs w:val="21"/>
        </w:rPr>
        <w:t>3</w:t>
      </w:r>
      <w:r>
        <w:rPr>
          <w:rFonts w:hint="eastAsia"/>
          <w:bCs/>
          <w:color w:val="000000"/>
          <w:szCs w:val="21"/>
        </w:rPr>
        <w:t>个月内，在基金募集份额总额不少于</w:t>
      </w:r>
      <w:r>
        <w:rPr>
          <w:rFonts w:hint="eastAsia"/>
          <w:bCs/>
          <w:color w:val="000000"/>
          <w:szCs w:val="21"/>
        </w:rPr>
        <w:t>2</w:t>
      </w:r>
      <w:r>
        <w:rPr>
          <w:rFonts w:hint="eastAsia"/>
          <w:bCs/>
          <w:color w:val="000000"/>
          <w:szCs w:val="21"/>
        </w:rPr>
        <w:t>亿份，基金募集金额不少于</w:t>
      </w:r>
      <w:r>
        <w:rPr>
          <w:rFonts w:hint="eastAsia"/>
          <w:bCs/>
          <w:color w:val="000000"/>
          <w:szCs w:val="21"/>
        </w:rPr>
        <w:t>2</w:t>
      </w:r>
      <w:r>
        <w:rPr>
          <w:rFonts w:hint="eastAsia"/>
          <w:bCs/>
          <w:color w:val="000000"/>
          <w:szCs w:val="21"/>
        </w:rPr>
        <w:t>亿元人民币且基金份额有效认购人数不少于</w:t>
      </w:r>
      <w:r>
        <w:rPr>
          <w:rFonts w:hint="eastAsia"/>
          <w:bCs/>
          <w:color w:val="000000"/>
          <w:szCs w:val="21"/>
        </w:rPr>
        <w:t>200</w:t>
      </w:r>
      <w:r>
        <w:rPr>
          <w:rFonts w:hint="eastAsia"/>
          <w:bCs/>
          <w:color w:val="000000"/>
          <w:szCs w:val="21"/>
        </w:rPr>
        <w:t>人的条件下，基金募集期届满或基金管理人依据法律法规及招募说明书可以决定停止基金发售，并在募集结束之日起</w:t>
      </w:r>
      <w:r>
        <w:rPr>
          <w:rFonts w:hint="eastAsia"/>
          <w:bCs/>
          <w:color w:val="000000"/>
          <w:szCs w:val="21"/>
        </w:rPr>
        <w:t>10</w:t>
      </w:r>
      <w:r>
        <w:rPr>
          <w:rFonts w:hint="eastAsia"/>
          <w:bCs/>
          <w:color w:val="000000"/>
          <w:szCs w:val="21"/>
        </w:rPr>
        <w:t>日内聘请法定验资机构验资。基金管理人自收到验资报告之日起</w:t>
      </w:r>
      <w:r>
        <w:rPr>
          <w:rFonts w:hint="eastAsia"/>
          <w:bCs/>
          <w:color w:val="000000"/>
          <w:szCs w:val="21"/>
        </w:rPr>
        <w:t>10</w:t>
      </w:r>
      <w:r>
        <w:rPr>
          <w:rFonts w:hint="eastAsia"/>
          <w:bCs/>
          <w:color w:val="000000"/>
          <w:szCs w:val="21"/>
        </w:rPr>
        <w:t>日内，向中国证监会办理基金备案手续。</w:t>
      </w:r>
    </w:p>
    <w:p w14:paraId="0DF1785C" w14:textId="77777777" w:rsidR="00BF38BB" w:rsidRDefault="002837D7">
      <w:pPr>
        <w:spacing w:line="360" w:lineRule="auto"/>
        <w:ind w:firstLineChars="200" w:firstLine="420"/>
        <w:rPr>
          <w:bCs/>
          <w:szCs w:val="21"/>
        </w:rPr>
      </w:pPr>
      <w:r>
        <w:rPr>
          <w:bCs/>
          <w:szCs w:val="21"/>
        </w:rPr>
        <w:t>基金募集达到基金备案条件的，基金管理人办理完毕基金备案手续并取得中国证监会书面确认之日，基金合同生效；否则基金合同不生效。基金管理人在收到中国证监会确认文件的次日对基金合同生效</w:t>
      </w:r>
      <w:r>
        <w:rPr>
          <w:bCs/>
          <w:szCs w:val="21"/>
        </w:rPr>
        <w:t>事宜予以公告。基金管理人应将基金募集期间募集的资金存入专门账户，在基金募集行为结束前，任何人不得动用。</w:t>
      </w:r>
    </w:p>
    <w:p w14:paraId="03A30731" w14:textId="77777777" w:rsidR="00BF38BB" w:rsidRDefault="002837D7">
      <w:pPr>
        <w:spacing w:line="360" w:lineRule="auto"/>
        <w:ind w:firstLineChars="200" w:firstLine="420"/>
        <w:rPr>
          <w:bCs/>
          <w:szCs w:val="21"/>
        </w:rPr>
      </w:pPr>
      <w:r>
        <w:rPr>
          <w:rFonts w:hint="eastAsia"/>
          <w:bCs/>
          <w:szCs w:val="21"/>
        </w:rPr>
        <w:t>（二）</w:t>
      </w:r>
      <w:r>
        <w:rPr>
          <w:bCs/>
          <w:szCs w:val="21"/>
        </w:rPr>
        <w:t>基金合同不能生效时募集资金的处理方式</w:t>
      </w:r>
    </w:p>
    <w:p w14:paraId="205784E5" w14:textId="77777777" w:rsidR="00BF38BB" w:rsidRDefault="002837D7">
      <w:pPr>
        <w:spacing w:line="360" w:lineRule="auto"/>
        <w:ind w:firstLineChars="200" w:firstLine="420"/>
        <w:rPr>
          <w:bCs/>
          <w:szCs w:val="21"/>
        </w:rPr>
      </w:pPr>
      <w:r>
        <w:rPr>
          <w:bCs/>
          <w:szCs w:val="21"/>
        </w:rPr>
        <w:t>如果募集期限届满，未满足</w:t>
      </w:r>
      <w:r>
        <w:rPr>
          <w:rFonts w:hint="eastAsia"/>
          <w:bCs/>
          <w:szCs w:val="21"/>
        </w:rPr>
        <w:t>基金备案</w:t>
      </w:r>
      <w:r>
        <w:rPr>
          <w:bCs/>
          <w:szCs w:val="21"/>
        </w:rPr>
        <w:t>条件，基金管理人应当承担下列责任：</w:t>
      </w:r>
    </w:p>
    <w:p w14:paraId="58921178" w14:textId="77777777" w:rsidR="00BF38BB" w:rsidRDefault="002837D7">
      <w:pPr>
        <w:spacing w:line="360" w:lineRule="auto"/>
        <w:ind w:firstLineChars="200" w:firstLine="420"/>
        <w:rPr>
          <w:bCs/>
          <w:szCs w:val="21"/>
        </w:rPr>
      </w:pPr>
      <w:r>
        <w:rPr>
          <w:bCs/>
          <w:szCs w:val="21"/>
        </w:rPr>
        <w:t>1</w:t>
      </w:r>
      <w:r>
        <w:rPr>
          <w:bCs/>
          <w:szCs w:val="21"/>
        </w:rPr>
        <w:t>、以其固有财产承担因募集行为而产生的债务和费用；</w:t>
      </w:r>
    </w:p>
    <w:p w14:paraId="76B4FEFC" w14:textId="77777777" w:rsidR="00BF38BB" w:rsidRDefault="002837D7">
      <w:pPr>
        <w:spacing w:line="360" w:lineRule="auto"/>
        <w:ind w:firstLineChars="200" w:firstLine="420"/>
        <w:rPr>
          <w:bCs/>
          <w:szCs w:val="21"/>
        </w:rPr>
      </w:pPr>
      <w:r>
        <w:rPr>
          <w:bCs/>
          <w:szCs w:val="21"/>
        </w:rPr>
        <w:t>2</w:t>
      </w:r>
      <w:r>
        <w:rPr>
          <w:bCs/>
          <w:szCs w:val="21"/>
        </w:rPr>
        <w:t>、在基金募集期限届满后</w:t>
      </w:r>
      <w:r>
        <w:rPr>
          <w:rFonts w:hint="eastAsia"/>
          <w:bCs/>
          <w:szCs w:val="21"/>
        </w:rPr>
        <w:t>30</w:t>
      </w:r>
      <w:r>
        <w:rPr>
          <w:bCs/>
          <w:szCs w:val="21"/>
        </w:rPr>
        <w:t>日内返还投资者已缴纳的款项，并加计银行同期</w:t>
      </w:r>
      <w:r>
        <w:rPr>
          <w:rFonts w:hint="eastAsia"/>
          <w:bCs/>
          <w:szCs w:val="21"/>
        </w:rPr>
        <w:t>活期</w:t>
      </w:r>
      <w:r>
        <w:rPr>
          <w:bCs/>
          <w:szCs w:val="21"/>
        </w:rPr>
        <w:t>存款利息。</w:t>
      </w:r>
    </w:p>
    <w:p w14:paraId="18A6F3F3" w14:textId="77777777" w:rsidR="00BF38BB" w:rsidRDefault="002837D7">
      <w:pPr>
        <w:spacing w:line="360" w:lineRule="auto"/>
        <w:ind w:firstLineChars="200" w:firstLine="420"/>
        <w:rPr>
          <w:bCs/>
          <w:szCs w:val="21"/>
        </w:rPr>
      </w:pPr>
      <w:r>
        <w:rPr>
          <w:bCs/>
          <w:szCs w:val="21"/>
        </w:rPr>
        <w:t>如基金募集失败，基金管理人、基金托管人及</w:t>
      </w:r>
      <w:r>
        <w:rPr>
          <w:rFonts w:hint="eastAsia"/>
          <w:bCs/>
          <w:szCs w:val="21"/>
        </w:rPr>
        <w:t>销售</w:t>
      </w:r>
      <w:r>
        <w:rPr>
          <w:bCs/>
          <w:szCs w:val="21"/>
        </w:rPr>
        <w:t>机构不得请求报酬。基金管理人、基金托管人和</w:t>
      </w:r>
      <w:r>
        <w:rPr>
          <w:rFonts w:hint="eastAsia"/>
          <w:bCs/>
          <w:szCs w:val="21"/>
        </w:rPr>
        <w:t>销售</w:t>
      </w:r>
      <w:r>
        <w:rPr>
          <w:bCs/>
          <w:szCs w:val="21"/>
        </w:rPr>
        <w:t>机构为基金募集支付之一切费用应由各方各自承担。</w:t>
      </w:r>
    </w:p>
    <w:p w14:paraId="57E9620E" w14:textId="77777777" w:rsidR="00BF38BB" w:rsidRDefault="002837D7">
      <w:pPr>
        <w:spacing w:line="360" w:lineRule="auto"/>
        <w:ind w:firstLineChars="200" w:firstLine="420"/>
        <w:rPr>
          <w:bCs/>
          <w:szCs w:val="21"/>
        </w:rPr>
      </w:pPr>
      <w:r>
        <w:rPr>
          <w:rFonts w:hint="eastAsia"/>
          <w:bCs/>
          <w:szCs w:val="21"/>
        </w:rPr>
        <w:t>（三）</w:t>
      </w:r>
      <w:r>
        <w:rPr>
          <w:bCs/>
          <w:szCs w:val="21"/>
        </w:rPr>
        <w:t>基金存续期内的</w:t>
      </w:r>
      <w:r>
        <w:rPr>
          <w:bCs/>
          <w:szCs w:val="21"/>
        </w:rPr>
        <w:t>基金份额持有人数量和资产规模</w:t>
      </w:r>
    </w:p>
    <w:p w14:paraId="2F639671" w14:textId="77777777" w:rsidR="00BF38BB" w:rsidRDefault="002837D7">
      <w:pPr>
        <w:spacing w:line="360" w:lineRule="auto"/>
        <w:ind w:firstLineChars="200" w:firstLine="420"/>
        <w:rPr>
          <w:bCs/>
          <w:color w:val="000000"/>
          <w:szCs w:val="21"/>
        </w:rPr>
      </w:pPr>
      <w:r>
        <w:rPr>
          <w:rFonts w:hint="eastAsia"/>
          <w:bCs/>
          <w:color w:val="000000"/>
          <w:szCs w:val="21"/>
        </w:rPr>
        <w:t>基金合同生效后，连续</w:t>
      </w:r>
      <w:r>
        <w:rPr>
          <w:rFonts w:hint="eastAsia"/>
          <w:bCs/>
          <w:color w:val="000000"/>
          <w:szCs w:val="21"/>
        </w:rPr>
        <w:t>20</w:t>
      </w:r>
      <w:r>
        <w:rPr>
          <w:rFonts w:hint="eastAsia"/>
          <w:bCs/>
          <w:color w:val="000000"/>
          <w:szCs w:val="21"/>
        </w:rPr>
        <w:t>个工作日出现基金份额持有人数量不满</w:t>
      </w:r>
      <w:r>
        <w:rPr>
          <w:rFonts w:hint="eastAsia"/>
          <w:bCs/>
          <w:color w:val="000000"/>
          <w:szCs w:val="21"/>
        </w:rPr>
        <w:t>200</w:t>
      </w:r>
      <w:r>
        <w:rPr>
          <w:rFonts w:hint="eastAsia"/>
          <w:bCs/>
          <w:color w:val="000000"/>
          <w:szCs w:val="21"/>
        </w:rPr>
        <w:t>人或者基金资产净值低于</w:t>
      </w:r>
      <w:r>
        <w:rPr>
          <w:rFonts w:hint="eastAsia"/>
          <w:bCs/>
          <w:color w:val="000000"/>
          <w:szCs w:val="21"/>
        </w:rPr>
        <w:t>5000</w:t>
      </w:r>
      <w:r>
        <w:rPr>
          <w:rFonts w:hint="eastAsia"/>
          <w:bCs/>
          <w:color w:val="000000"/>
          <w:szCs w:val="21"/>
        </w:rPr>
        <w:t>万元情形的，基金管理人应当在定期报告中予以披露；连续</w:t>
      </w:r>
      <w:r>
        <w:rPr>
          <w:rFonts w:hint="eastAsia"/>
          <w:bCs/>
          <w:color w:val="000000"/>
          <w:szCs w:val="21"/>
        </w:rPr>
        <w:t>60</w:t>
      </w:r>
      <w:r>
        <w:rPr>
          <w:rFonts w:hint="eastAsia"/>
          <w:bCs/>
          <w:color w:val="000000"/>
          <w:szCs w:val="21"/>
        </w:rPr>
        <w:t>个工作日出现前述情形的，基金管理人应当在</w:t>
      </w:r>
      <w:r>
        <w:rPr>
          <w:rFonts w:hint="eastAsia"/>
          <w:bCs/>
          <w:color w:val="000000"/>
          <w:szCs w:val="21"/>
        </w:rPr>
        <w:t>10</w:t>
      </w:r>
      <w:r>
        <w:rPr>
          <w:rFonts w:hint="eastAsia"/>
          <w:bCs/>
          <w:color w:val="000000"/>
          <w:szCs w:val="21"/>
        </w:rPr>
        <w:t>个工作日内向中国证监会报告并提出解决方案，如持续运作、转换运作方式、与其他基金合并或者终止基金合同等，并于</w:t>
      </w:r>
      <w:r>
        <w:rPr>
          <w:rFonts w:hint="eastAsia"/>
          <w:bCs/>
          <w:color w:val="000000"/>
          <w:szCs w:val="21"/>
        </w:rPr>
        <w:t>6</w:t>
      </w:r>
      <w:r>
        <w:rPr>
          <w:rFonts w:hint="eastAsia"/>
          <w:bCs/>
          <w:color w:val="000000"/>
          <w:szCs w:val="21"/>
        </w:rPr>
        <w:t>个月内召集基金份额持有人大会进行表决。</w:t>
      </w:r>
    </w:p>
    <w:p w14:paraId="1A8F4159" w14:textId="77777777" w:rsidR="00BF38BB" w:rsidRDefault="002837D7">
      <w:pPr>
        <w:spacing w:line="360" w:lineRule="auto"/>
        <w:ind w:firstLineChars="200" w:firstLine="420"/>
        <w:rPr>
          <w:bCs/>
          <w:szCs w:val="21"/>
        </w:rPr>
      </w:pPr>
      <w:r>
        <w:rPr>
          <w:bCs/>
          <w:szCs w:val="21"/>
        </w:rPr>
        <w:t>法律法规</w:t>
      </w:r>
      <w:r>
        <w:rPr>
          <w:rFonts w:hint="eastAsia"/>
          <w:bCs/>
          <w:szCs w:val="21"/>
        </w:rPr>
        <w:t>或中国证监会</w:t>
      </w:r>
      <w:r>
        <w:rPr>
          <w:bCs/>
          <w:szCs w:val="21"/>
        </w:rPr>
        <w:t>另有规定时，从其规定。</w:t>
      </w:r>
    </w:p>
    <w:p w14:paraId="04CAB413" w14:textId="77777777" w:rsidR="00BF38BB" w:rsidRDefault="00BF38BB">
      <w:pPr>
        <w:spacing w:line="360" w:lineRule="auto"/>
        <w:ind w:firstLine="480"/>
        <w:rPr>
          <w:bCs/>
          <w:szCs w:val="21"/>
        </w:rPr>
      </w:pPr>
    </w:p>
    <w:p w14:paraId="6F6AEDFA" w14:textId="77777777" w:rsidR="00BF38BB" w:rsidRDefault="002837D7">
      <w:pPr>
        <w:widowControl/>
        <w:jc w:val="left"/>
        <w:rPr>
          <w:rFonts w:ascii="宋体" w:hAnsi="宋体"/>
          <w:b/>
          <w:kern w:val="44"/>
        </w:rPr>
      </w:pPr>
      <w:bookmarkStart w:id="56" w:name="_Toc334542957"/>
      <w:bookmarkStart w:id="57" w:name="_Toc76969591"/>
      <w:bookmarkStart w:id="58" w:name="_Toc69916733"/>
      <w:bookmarkStart w:id="59" w:name="_Toc334542640"/>
      <w:bookmarkStart w:id="60" w:name="_Toc329187118"/>
      <w:r>
        <w:rPr>
          <w:rFonts w:hAnsi="宋体"/>
          <w:kern w:val="44"/>
        </w:rPr>
        <w:br w:type="page"/>
      </w:r>
    </w:p>
    <w:p w14:paraId="74388F0C" w14:textId="77777777" w:rsidR="00BF38BB" w:rsidRDefault="002837D7">
      <w:pPr>
        <w:pStyle w:val="1"/>
        <w:spacing w:before="340" w:after="330"/>
        <w:jc w:val="center"/>
        <w:rPr>
          <w:rFonts w:hAnsi="宋体"/>
          <w:color w:val="auto"/>
          <w:kern w:val="44"/>
          <w:sz w:val="21"/>
        </w:rPr>
      </w:pPr>
      <w:r>
        <w:rPr>
          <w:rFonts w:hAnsi="宋体"/>
          <w:color w:val="auto"/>
          <w:kern w:val="44"/>
          <w:sz w:val="21"/>
        </w:rPr>
        <w:lastRenderedPageBreak/>
        <w:t>八、基金份额的申购与赎回</w:t>
      </w:r>
      <w:bookmarkEnd w:id="56"/>
      <w:bookmarkEnd w:id="57"/>
      <w:bookmarkEnd w:id="58"/>
      <w:bookmarkEnd w:id="59"/>
      <w:bookmarkEnd w:id="60"/>
    </w:p>
    <w:p w14:paraId="38D4A9AF" w14:textId="77777777" w:rsidR="00BF38BB" w:rsidRDefault="002837D7">
      <w:pPr>
        <w:spacing w:line="360" w:lineRule="auto"/>
        <w:ind w:firstLineChars="200" w:firstLine="420"/>
        <w:rPr>
          <w:bCs/>
          <w:szCs w:val="21"/>
        </w:rPr>
      </w:pPr>
      <w:bookmarkStart w:id="61" w:name="_Hlk200033798"/>
      <w:r>
        <w:rPr>
          <w:rFonts w:hint="eastAsia"/>
          <w:bCs/>
          <w:szCs w:val="21"/>
        </w:rPr>
        <w:t>（一）</w:t>
      </w:r>
      <w:r>
        <w:rPr>
          <w:bCs/>
          <w:szCs w:val="21"/>
        </w:rPr>
        <w:t>申购和赎回</w:t>
      </w:r>
      <w:r>
        <w:rPr>
          <w:rFonts w:hint="eastAsia"/>
          <w:bCs/>
          <w:szCs w:val="21"/>
        </w:rPr>
        <w:t>的</w:t>
      </w:r>
      <w:r>
        <w:rPr>
          <w:bCs/>
          <w:szCs w:val="21"/>
        </w:rPr>
        <w:t>场所</w:t>
      </w:r>
    </w:p>
    <w:p w14:paraId="517E6ED2" w14:textId="77777777" w:rsidR="00BF38BB" w:rsidRDefault="002837D7">
      <w:pPr>
        <w:spacing w:line="360" w:lineRule="auto"/>
        <w:ind w:firstLineChars="200" w:firstLine="420"/>
        <w:rPr>
          <w:bCs/>
          <w:szCs w:val="21"/>
        </w:rPr>
      </w:pPr>
      <w:r>
        <w:rPr>
          <w:bCs/>
          <w:szCs w:val="21"/>
        </w:rPr>
        <w:t>本基金的申购与赎回将通过销售机构进行。具体的销售</w:t>
      </w:r>
      <w:r>
        <w:rPr>
          <w:rFonts w:hint="eastAsia"/>
          <w:bCs/>
          <w:szCs w:val="21"/>
        </w:rPr>
        <w:t>机构</w:t>
      </w:r>
      <w:r>
        <w:rPr>
          <w:bCs/>
          <w:szCs w:val="21"/>
        </w:rPr>
        <w:t>将由基金管理人在招募说明书或</w:t>
      </w:r>
      <w:r>
        <w:rPr>
          <w:rFonts w:hint="eastAsia"/>
          <w:bCs/>
          <w:szCs w:val="21"/>
        </w:rPr>
        <w:t>基金管理人</w:t>
      </w:r>
      <w:r>
        <w:rPr>
          <w:bCs/>
          <w:szCs w:val="21"/>
        </w:rPr>
        <w:t>网站列明。基金管理人可根据情况</w:t>
      </w:r>
      <w:r>
        <w:rPr>
          <w:rFonts w:hint="eastAsia"/>
          <w:bCs/>
          <w:szCs w:val="21"/>
        </w:rPr>
        <w:t>针对某类基金份额</w:t>
      </w:r>
      <w:r>
        <w:rPr>
          <w:bCs/>
          <w:szCs w:val="21"/>
        </w:rPr>
        <w:t>变更或增减销售机构，并在基金管理人网站公示。基金投资者应当</w:t>
      </w:r>
      <w:r>
        <w:rPr>
          <w:rFonts w:hint="eastAsia"/>
          <w:bCs/>
          <w:szCs w:val="21"/>
        </w:rPr>
        <w:t>在</w:t>
      </w:r>
      <w:r>
        <w:rPr>
          <w:bCs/>
          <w:szCs w:val="21"/>
        </w:rPr>
        <w:t>销售机构办理基金销售业务的营业场所或按销售机构提供的其他方式办理基金份额的申购与赎回。</w:t>
      </w:r>
    </w:p>
    <w:p w14:paraId="7A6E5CBB" w14:textId="77777777" w:rsidR="00BF38BB" w:rsidRDefault="002837D7">
      <w:pPr>
        <w:spacing w:line="360" w:lineRule="auto"/>
        <w:ind w:firstLineChars="200" w:firstLine="420"/>
        <w:rPr>
          <w:bCs/>
          <w:szCs w:val="21"/>
        </w:rPr>
      </w:pPr>
      <w:r>
        <w:rPr>
          <w:rFonts w:hint="eastAsia"/>
          <w:bCs/>
          <w:szCs w:val="21"/>
        </w:rPr>
        <w:t>（二）</w:t>
      </w:r>
      <w:r>
        <w:rPr>
          <w:bCs/>
          <w:szCs w:val="21"/>
        </w:rPr>
        <w:t>申购和赎回的开放日及时间</w:t>
      </w:r>
    </w:p>
    <w:p w14:paraId="76E86818" w14:textId="77777777" w:rsidR="00BF38BB" w:rsidRDefault="002837D7">
      <w:pPr>
        <w:spacing w:line="360" w:lineRule="auto"/>
        <w:ind w:firstLineChars="200" w:firstLine="420"/>
        <w:rPr>
          <w:bCs/>
          <w:szCs w:val="21"/>
        </w:rPr>
      </w:pPr>
      <w:r>
        <w:rPr>
          <w:bCs/>
          <w:szCs w:val="21"/>
        </w:rPr>
        <w:t>1</w:t>
      </w:r>
      <w:r>
        <w:rPr>
          <w:rFonts w:hint="eastAsia"/>
          <w:bCs/>
          <w:szCs w:val="21"/>
        </w:rPr>
        <w:t>、</w:t>
      </w:r>
      <w:r>
        <w:rPr>
          <w:bCs/>
          <w:szCs w:val="21"/>
        </w:rPr>
        <w:t>开放日及开放时间</w:t>
      </w:r>
    </w:p>
    <w:p w14:paraId="4CEE4BCA" w14:textId="77777777" w:rsidR="00BF38BB" w:rsidRDefault="002837D7">
      <w:pPr>
        <w:spacing w:line="360" w:lineRule="auto"/>
        <w:ind w:firstLineChars="200" w:firstLine="420"/>
        <w:rPr>
          <w:bCs/>
          <w:szCs w:val="21"/>
        </w:rPr>
      </w:pPr>
      <w:r>
        <w:rPr>
          <w:bCs/>
          <w:szCs w:val="21"/>
        </w:rPr>
        <w:t>投资人在开放日的开放时间办理基金份额的申购</w:t>
      </w:r>
      <w:r>
        <w:rPr>
          <w:rFonts w:hint="eastAsia"/>
          <w:bCs/>
          <w:szCs w:val="21"/>
        </w:rPr>
        <w:t>和赎回，</w:t>
      </w:r>
      <w:r>
        <w:rPr>
          <w:bCs/>
          <w:szCs w:val="21"/>
        </w:rPr>
        <w:t>具体办理时间为证券交易所的正常交易日的交易时间，但基金管理人根据法律法规、中国证监会的要求或基金合同的规定公告暂停申购、赎回</w:t>
      </w:r>
      <w:r>
        <w:rPr>
          <w:bCs/>
          <w:szCs w:val="21"/>
        </w:rPr>
        <w:t>时除外。</w:t>
      </w:r>
    </w:p>
    <w:p w14:paraId="6CDE73F3" w14:textId="77777777" w:rsidR="00BF38BB" w:rsidRDefault="002837D7">
      <w:pPr>
        <w:spacing w:line="360" w:lineRule="auto"/>
        <w:ind w:firstLineChars="200" w:firstLine="420"/>
        <w:rPr>
          <w:bCs/>
          <w:szCs w:val="21"/>
        </w:rPr>
      </w:pPr>
      <w:r>
        <w:rPr>
          <w:bCs/>
          <w:szCs w:val="21"/>
        </w:rPr>
        <w:t>基金合同生效后，若</w:t>
      </w:r>
      <w:r>
        <w:rPr>
          <w:rFonts w:hint="eastAsia"/>
          <w:bCs/>
          <w:szCs w:val="21"/>
        </w:rPr>
        <w:t>证券</w:t>
      </w:r>
      <w:r>
        <w:rPr>
          <w:bCs/>
          <w:szCs w:val="21"/>
        </w:rPr>
        <w:t>交易所交易时间变更或有其他特殊情况，基金管理人将视情况对前述开放日及开放时间进行相应的调整，但应在实施日前依照《信息披露办法》的有关规定在规定媒介上公告。</w:t>
      </w:r>
    </w:p>
    <w:p w14:paraId="2D131CE0" w14:textId="77777777" w:rsidR="00BF38BB" w:rsidRDefault="002837D7">
      <w:pPr>
        <w:spacing w:line="360" w:lineRule="auto"/>
        <w:ind w:firstLineChars="200" w:firstLine="420"/>
        <w:rPr>
          <w:bCs/>
          <w:szCs w:val="21"/>
        </w:rPr>
      </w:pPr>
      <w:r>
        <w:rPr>
          <w:bCs/>
          <w:szCs w:val="21"/>
        </w:rPr>
        <w:t>2</w:t>
      </w:r>
      <w:r>
        <w:rPr>
          <w:rFonts w:hint="eastAsia"/>
          <w:bCs/>
          <w:szCs w:val="21"/>
        </w:rPr>
        <w:t>、</w:t>
      </w:r>
      <w:r>
        <w:rPr>
          <w:bCs/>
          <w:szCs w:val="21"/>
        </w:rPr>
        <w:t>申购、赎回开始日及业务办理时间</w:t>
      </w:r>
    </w:p>
    <w:p w14:paraId="514790EB" w14:textId="77777777" w:rsidR="00BF38BB" w:rsidRDefault="002837D7">
      <w:pPr>
        <w:spacing w:line="360" w:lineRule="auto"/>
        <w:ind w:firstLineChars="200" w:firstLine="420"/>
        <w:rPr>
          <w:bCs/>
          <w:szCs w:val="21"/>
        </w:rPr>
      </w:pPr>
      <w:r>
        <w:rPr>
          <w:bCs/>
          <w:szCs w:val="21"/>
        </w:rPr>
        <w:t>基金合同生效后</w:t>
      </w:r>
      <w:r>
        <w:rPr>
          <w:rFonts w:hint="eastAsia"/>
          <w:bCs/>
          <w:szCs w:val="21"/>
        </w:rPr>
        <w:t>，</w:t>
      </w:r>
      <w:r>
        <w:rPr>
          <w:bCs/>
          <w:szCs w:val="21"/>
        </w:rPr>
        <w:t>基金管理人在满足监管要求的情况下</w:t>
      </w:r>
      <w:r>
        <w:rPr>
          <w:rFonts w:hint="eastAsia"/>
          <w:bCs/>
          <w:szCs w:val="21"/>
        </w:rPr>
        <w:t>，</w:t>
      </w:r>
      <w:r>
        <w:rPr>
          <w:bCs/>
          <w:szCs w:val="21"/>
        </w:rPr>
        <w:t>根据本基金运作的需要决定本基金开始办理申购的具体日期</w:t>
      </w:r>
      <w:r>
        <w:rPr>
          <w:rFonts w:hint="eastAsia"/>
          <w:bCs/>
          <w:szCs w:val="21"/>
        </w:rPr>
        <w:t>，</w:t>
      </w:r>
      <w:r>
        <w:rPr>
          <w:bCs/>
          <w:szCs w:val="21"/>
        </w:rPr>
        <w:t>具体业务办理时间在申购开始公告中规定。</w:t>
      </w:r>
    </w:p>
    <w:p w14:paraId="418F7584" w14:textId="77777777" w:rsidR="00BF38BB" w:rsidRDefault="002837D7">
      <w:pPr>
        <w:spacing w:line="360" w:lineRule="auto"/>
        <w:ind w:firstLineChars="200" w:firstLine="420"/>
        <w:rPr>
          <w:bCs/>
          <w:szCs w:val="21"/>
        </w:rPr>
      </w:pPr>
      <w:r>
        <w:rPr>
          <w:rFonts w:hint="eastAsia"/>
          <w:bCs/>
          <w:szCs w:val="21"/>
        </w:rPr>
        <w:t>基金合同生效后，基金管理人在满足监管要求的情况下，根据本基金运作的需要决定本基金开始办理赎回的具体日期，具体业务办理时间在赎回开始公告中规定。</w:t>
      </w:r>
    </w:p>
    <w:p w14:paraId="379C233E" w14:textId="77777777" w:rsidR="00BF38BB" w:rsidRDefault="002837D7">
      <w:pPr>
        <w:spacing w:line="360" w:lineRule="auto"/>
        <w:ind w:firstLineChars="200" w:firstLine="420"/>
        <w:rPr>
          <w:bCs/>
          <w:szCs w:val="21"/>
        </w:rPr>
      </w:pPr>
      <w:r>
        <w:rPr>
          <w:bCs/>
          <w:szCs w:val="21"/>
        </w:rPr>
        <w:t>在确定申购开始与赎回开始时间后，基金管理人应在申购、赎回开放日前依照《信息披露办法》的有关规定在规定媒介上公告申购与赎回的开始时间。</w:t>
      </w:r>
    </w:p>
    <w:p w14:paraId="7C00D6A3" w14:textId="77777777" w:rsidR="00BF38BB" w:rsidRDefault="002837D7">
      <w:pPr>
        <w:spacing w:line="360" w:lineRule="auto"/>
        <w:ind w:firstLineChars="200" w:firstLine="420"/>
        <w:rPr>
          <w:bCs/>
          <w:szCs w:val="21"/>
        </w:rPr>
      </w:pPr>
      <w:r>
        <w:rPr>
          <w:bCs/>
          <w:szCs w:val="21"/>
        </w:rPr>
        <w:t>基金管理人不得在基金合同约定之外的日期或者时间办理基金份额的申购</w:t>
      </w:r>
      <w:r>
        <w:rPr>
          <w:rFonts w:hint="eastAsia"/>
          <w:bCs/>
          <w:szCs w:val="21"/>
        </w:rPr>
        <w:t>、</w:t>
      </w:r>
      <w:r>
        <w:rPr>
          <w:bCs/>
          <w:szCs w:val="21"/>
        </w:rPr>
        <w:t>赎回或者转换。投资人在基金合同约定之外的日期和时间提出申购</w:t>
      </w:r>
      <w:r>
        <w:rPr>
          <w:rFonts w:hint="eastAsia"/>
          <w:bCs/>
          <w:szCs w:val="21"/>
        </w:rPr>
        <w:t>、</w:t>
      </w:r>
      <w:r>
        <w:rPr>
          <w:bCs/>
          <w:szCs w:val="21"/>
        </w:rPr>
        <w:t>赎回或转换申请</w:t>
      </w:r>
      <w:r>
        <w:rPr>
          <w:rFonts w:hint="eastAsia"/>
          <w:bCs/>
          <w:szCs w:val="21"/>
        </w:rPr>
        <w:t>，登记机构有权拒绝，如登记机构接</w:t>
      </w:r>
      <w:r>
        <w:rPr>
          <w:bCs/>
          <w:szCs w:val="21"/>
        </w:rPr>
        <w:t>收的，</w:t>
      </w:r>
      <w:r>
        <w:rPr>
          <w:rFonts w:hint="eastAsia"/>
          <w:bCs/>
          <w:szCs w:val="21"/>
        </w:rPr>
        <w:t>视为投资人在下一开放日提出的申购、赎回或转换申请，并按照下一开放日的申请处理</w:t>
      </w:r>
      <w:r>
        <w:rPr>
          <w:bCs/>
          <w:szCs w:val="21"/>
        </w:rPr>
        <w:t>。</w:t>
      </w:r>
    </w:p>
    <w:p w14:paraId="4737389B" w14:textId="77777777" w:rsidR="00BF38BB" w:rsidRDefault="002837D7">
      <w:pPr>
        <w:spacing w:line="360" w:lineRule="auto"/>
        <w:ind w:firstLineChars="200" w:firstLine="420"/>
        <w:rPr>
          <w:bCs/>
          <w:szCs w:val="21"/>
        </w:rPr>
      </w:pPr>
      <w:r>
        <w:rPr>
          <w:rFonts w:hint="eastAsia"/>
          <w:bCs/>
          <w:szCs w:val="21"/>
        </w:rPr>
        <w:t>（三）</w:t>
      </w:r>
      <w:r>
        <w:rPr>
          <w:bCs/>
          <w:szCs w:val="21"/>
        </w:rPr>
        <w:t>申购与赎回的原则</w:t>
      </w:r>
    </w:p>
    <w:p w14:paraId="2C8362DC" w14:textId="77777777" w:rsidR="00BF38BB" w:rsidRDefault="002837D7">
      <w:pPr>
        <w:spacing w:line="360" w:lineRule="auto"/>
        <w:ind w:firstLineChars="200" w:firstLine="420"/>
        <w:rPr>
          <w:bCs/>
          <w:szCs w:val="21"/>
        </w:rPr>
      </w:pPr>
      <w:r>
        <w:rPr>
          <w:bCs/>
          <w:szCs w:val="21"/>
        </w:rPr>
        <w:t>1</w:t>
      </w:r>
      <w:r>
        <w:rPr>
          <w:rFonts w:hint="eastAsia"/>
          <w:bCs/>
          <w:szCs w:val="21"/>
        </w:rPr>
        <w:t>、</w:t>
      </w:r>
      <w:r>
        <w:rPr>
          <w:bCs/>
          <w:szCs w:val="21"/>
        </w:rPr>
        <w:t>“</w:t>
      </w:r>
      <w:r>
        <w:rPr>
          <w:bCs/>
          <w:szCs w:val="21"/>
        </w:rPr>
        <w:t>未知价</w:t>
      </w:r>
      <w:r>
        <w:rPr>
          <w:bCs/>
          <w:szCs w:val="21"/>
        </w:rPr>
        <w:t>”</w:t>
      </w:r>
      <w:r>
        <w:rPr>
          <w:bCs/>
          <w:szCs w:val="21"/>
        </w:rPr>
        <w:t>原则，即申购、赎回价格以申请当日收市后计算的</w:t>
      </w:r>
      <w:r>
        <w:rPr>
          <w:rFonts w:hint="eastAsia"/>
          <w:bCs/>
          <w:szCs w:val="21"/>
        </w:rPr>
        <w:t>各类</w:t>
      </w:r>
      <w:r>
        <w:rPr>
          <w:bCs/>
          <w:szCs w:val="21"/>
        </w:rPr>
        <w:t>基金份额净值为基准进行计算；</w:t>
      </w:r>
    </w:p>
    <w:p w14:paraId="47744F83" w14:textId="77777777" w:rsidR="00BF38BB" w:rsidRDefault="002837D7">
      <w:pPr>
        <w:spacing w:line="360" w:lineRule="auto"/>
        <w:ind w:firstLineChars="200" w:firstLine="420"/>
        <w:rPr>
          <w:bCs/>
          <w:szCs w:val="21"/>
        </w:rPr>
      </w:pPr>
      <w:r>
        <w:rPr>
          <w:bCs/>
          <w:szCs w:val="21"/>
        </w:rPr>
        <w:t>2</w:t>
      </w:r>
      <w:r>
        <w:rPr>
          <w:rFonts w:hint="eastAsia"/>
          <w:bCs/>
          <w:szCs w:val="21"/>
        </w:rPr>
        <w:t>、</w:t>
      </w:r>
      <w:r>
        <w:rPr>
          <w:bCs/>
          <w:szCs w:val="21"/>
        </w:rPr>
        <w:t>“</w:t>
      </w:r>
      <w:r>
        <w:rPr>
          <w:bCs/>
          <w:szCs w:val="21"/>
        </w:rPr>
        <w:t>金额申购、份额赎回</w:t>
      </w:r>
      <w:r>
        <w:rPr>
          <w:bCs/>
          <w:szCs w:val="21"/>
        </w:rPr>
        <w:t>”</w:t>
      </w:r>
      <w:r>
        <w:rPr>
          <w:bCs/>
          <w:szCs w:val="21"/>
        </w:rPr>
        <w:t>原则，即申购以金额申请，赎回以份额申请；</w:t>
      </w:r>
    </w:p>
    <w:p w14:paraId="541B3A44" w14:textId="77777777" w:rsidR="00BF38BB" w:rsidRDefault="002837D7">
      <w:pPr>
        <w:spacing w:line="360" w:lineRule="auto"/>
        <w:ind w:firstLineChars="200" w:firstLine="420"/>
        <w:rPr>
          <w:bCs/>
          <w:szCs w:val="21"/>
        </w:rPr>
      </w:pPr>
      <w:r>
        <w:rPr>
          <w:bCs/>
          <w:szCs w:val="21"/>
        </w:rPr>
        <w:t>3</w:t>
      </w:r>
      <w:r>
        <w:rPr>
          <w:rFonts w:hint="eastAsia"/>
          <w:bCs/>
          <w:szCs w:val="21"/>
        </w:rPr>
        <w:t>、</w:t>
      </w:r>
      <w:r>
        <w:rPr>
          <w:bCs/>
          <w:szCs w:val="21"/>
        </w:rPr>
        <w:t>当日的申购与赎回申请可以在基金管理人规定的时间以内撤销；</w:t>
      </w:r>
    </w:p>
    <w:p w14:paraId="33972F33" w14:textId="77777777" w:rsidR="00BF38BB" w:rsidRDefault="002837D7">
      <w:pPr>
        <w:spacing w:line="360" w:lineRule="auto"/>
        <w:ind w:firstLineChars="200" w:firstLine="420"/>
        <w:rPr>
          <w:bCs/>
          <w:szCs w:val="21"/>
        </w:rPr>
      </w:pPr>
      <w:r>
        <w:rPr>
          <w:bCs/>
          <w:szCs w:val="21"/>
        </w:rPr>
        <w:t>4</w:t>
      </w:r>
      <w:r>
        <w:rPr>
          <w:rFonts w:hint="eastAsia"/>
          <w:bCs/>
          <w:szCs w:val="21"/>
        </w:rPr>
        <w:t>、除指定赎回外，</w:t>
      </w:r>
      <w:r>
        <w:rPr>
          <w:bCs/>
          <w:szCs w:val="21"/>
        </w:rPr>
        <w:t>赎回遵循</w:t>
      </w:r>
      <w:r>
        <w:rPr>
          <w:bCs/>
          <w:szCs w:val="21"/>
        </w:rPr>
        <w:t>“</w:t>
      </w:r>
      <w:r>
        <w:rPr>
          <w:bCs/>
          <w:szCs w:val="21"/>
        </w:rPr>
        <w:t>先进先出</w:t>
      </w:r>
      <w:r>
        <w:rPr>
          <w:bCs/>
          <w:szCs w:val="21"/>
        </w:rPr>
        <w:t>”</w:t>
      </w:r>
      <w:r>
        <w:rPr>
          <w:bCs/>
          <w:szCs w:val="21"/>
        </w:rPr>
        <w:t>原则，即按照投资人认购、申购的先后次序进行顺序赎回</w:t>
      </w:r>
      <w:r>
        <w:rPr>
          <w:rFonts w:hint="eastAsia"/>
          <w:bCs/>
          <w:szCs w:val="21"/>
        </w:rPr>
        <w:t>，</w:t>
      </w:r>
      <w:r>
        <w:rPr>
          <w:bCs/>
          <w:szCs w:val="21"/>
        </w:rPr>
        <w:t>先认购或申购的</w:t>
      </w:r>
      <w:r>
        <w:rPr>
          <w:rFonts w:hint="eastAsia"/>
          <w:bCs/>
          <w:szCs w:val="21"/>
        </w:rPr>
        <w:t>基金份额先赎回</w:t>
      </w:r>
      <w:r>
        <w:rPr>
          <w:bCs/>
          <w:szCs w:val="21"/>
        </w:rPr>
        <w:t>；</w:t>
      </w:r>
    </w:p>
    <w:p w14:paraId="49FA91F7" w14:textId="77777777" w:rsidR="00BF38BB" w:rsidRDefault="002837D7">
      <w:pPr>
        <w:spacing w:line="360" w:lineRule="auto"/>
        <w:ind w:firstLineChars="200" w:firstLine="420"/>
        <w:rPr>
          <w:bCs/>
          <w:szCs w:val="21"/>
        </w:rPr>
      </w:pPr>
      <w:r>
        <w:rPr>
          <w:bCs/>
          <w:szCs w:val="21"/>
        </w:rPr>
        <w:t>5</w:t>
      </w:r>
      <w:r>
        <w:rPr>
          <w:bCs/>
          <w:szCs w:val="21"/>
        </w:rPr>
        <w:t>、办理申购、赎回业务时，应当遵循基金份额持有人利益优先原则</w:t>
      </w:r>
      <w:r>
        <w:rPr>
          <w:rFonts w:hint="eastAsia"/>
          <w:bCs/>
          <w:szCs w:val="21"/>
        </w:rPr>
        <w:t>，确保投资者的合法权益不受损害</w:t>
      </w:r>
      <w:r>
        <w:rPr>
          <w:rFonts w:hint="eastAsia"/>
          <w:bCs/>
          <w:szCs w:val="21"/>
        </w:rPr>
        <w:lastRenderedPageBreak/>
        <w:t>并得到公平对待</w:t>
      </w:r>
      <w:r>
        <w:rPr>
          <w:bCs/>
          <w:szCs w:val="21"/>
        </w:rPr>
        <w:t>。</w:t>
      </w:r>
    </w:p>
    <w:p w14:paraId="2CBE93CA" w14:textId="77777777" w:rsidR="00BF38BB" w:rsidRDefault="002837D7">
      <w:pPr>
        <w:spacing w:line="360" w:lineRule="auto"/>
        <w:ind w:firstLineChars="200" w:firstLine="420"/>
        <w:rPr>
          <w:bCs/>
          <w:szCs w:val="21"/>
        </w:rPr>
      </w:pPr>
      <w:r>
        <w:rPr>
          <w:rFonts w:hint="eastAsia"/>
          <w:bCs/>
          <w:szCs w:val="21"/>
        </w:rPr>
        <w:t>基金管理人可在不违反法律法规的情况下</w:t>
      </w:r>
      <w:r>
        <w:rPr>
          <w:bCs/>
          <w:szCs w:val="21"/>
        </w:rPr>
        <w:t>，对上述原则进行调整。基金管理人必须在新规则开始实施前依照《信息披露办法》的有关规定在规定媒介上公告。</w:t>
      </w:r>
    </w:p>
    <w:p w14:paraId="263864CE" w14:textId="77777777" w:rsidR="00BF38BB" w:rsidRDefault="002837D7">
      <w:pPr>
        <w:spacing w:line="360" w:lineRule="auto"/>
        <w:ind w:firstLineChars="200" w:firstLine="420"/>
        <w:rPr>
          <w:bCs/>
          <w:szCs w:val="21"/>
        </w:rPr>
      </w:pPr>
      <w:r>
        <w:rPr>
          <w:rFonts w:hint="eastAsia"/>
          <w:bCs/>
          <w:szCs w:val="21"/>
        </w:rPr>
        <w:t>（四）</w:t>
      </w:r>
      <w:r>
        <w:rPr>
          <w:bCs/>
          <w:szCs w:val="21"/>
        </w:rPr>
        <w:t>申购与赎回</w:t>
      </w:r>
      <w:r>
        <w:rPr>
          <w:bCs/>
          <w:szCs w:val="21"/>
        </w:rPr>
        <w:t>的程序</w:t>
      </w:r>
    </w:p>
    <w:p w14:paraId="5C80040F" w14:textId="77777777" w:rsidR="00BF38BB" w:rsidRDefault="002837D7">
      <w:pPr>
        <w:spacing w:line="360" w:lineRule="auto"/>
        <w:ind w:firstLineChars="200" w:firstLine="420"/>
        <w:rPr>
          <w:bCs/>
          <w:szCs w:val="21"/>
        </w:rPr>
      </w:pPr>
      <w:r>
        <w:rPr>
          <w:bCs/>
          <w:szCs w:val="21"/>
        </w:rPr>
        <w:t>1</w:t>
      </w:r>
      <w:r>
        <w:rPr>
          <w:rFonts w:hint="eastAsia"/>
          <w:bCs/>
          <w:szCs w:val="21"/>
        </w:rPr>
        <w:t>、</w:t>
      </w:r>
      <w:r>
        <w:rPr>
          <w:bCs/>
          <w:szCs w:val="21"/>
        </w:rPr>
        <w:t>申购和赎回的申请方式</w:t>
      </w:r>
    </w:p>
    <w:p w14:paraId="36288965" w14:textId="77777777" w:rsidR="00BF38BB" w:rsidRDefault="002837D7">
      <w:pPr>
        <w:spacing w:line="360" w:lineRule="auto"/>
        <w:ind w:firstLineChars="200" w:firstLine="420"/>
        <w:rPr>
          <w:bCs/>
          <w:szCs w:val="21"/>
        </w:rPr>
      </w:pPr>
      <w:r>
        <w:rPr>
          <w:bCs/>
          <w:szCs w:val="21"/>
        </w:rPr>
        <w:t>投资人</w:t>
      </w:r>
      <w:r>
        <w:rPr>
          <w:rFonts w:hint="eastAsia"/>
          <w:bCs/>
          <w:szCs w:val="21"/>
        </w:rPr>
        <w:t>应</w:t>
      </w:r>
      <w:r>
        <w:rPr>
          <w:bCs/>
          <w:szCs w:val="21"/>
        </w:rPr>
        <w:t>根据销售机构规定的程序，在开放日的</w:t>
      </w:r>
      <w:r>
        <w:rPr>
          <w:rFonts w:hint="eastAsia"/>
          <w:bCs/>
          <w:szCs w:val="21"/>
        </w:rPr>
        <w:t>开放</w:t>
      </w:r>
      <w:r>
        <w:rPr>
          <w:bCs/>
          <w:szCs w:val="21"/>
        </w:rPr>
        <w:t>时间内提出申购或赎回的申请。</w:t>
      </w:r>
    </w:p>
    <w:p w14:paraId="4C2BA847" w14:textId="77777777" w:rsidR="00BF38BB" w:rsidRDefault="002837D7">
      <w:pPr>
        <w:spacing w:line="360" w:lineRule="auto"/>
        <w:ind w:firstLineChars="200" w:firstLine="420"/>
        <w:rPr>
          <w:bCs/>
          <w:szCs w:val="21"/>
        </w:rPr>
      </w:pPr>
      <w:r>
        <w:rPr>
          <w:rFonts w:hint="eastAsia"/>
          <w:bCs/>
          <w:szCs w:val="21"/>
        </w:rPr>
        <w:t>投资人办理申购、赎回等业务时应提交的文件和办理手续、办理时间、处理规则等在遵守基金合同和招募说明书规定的前提下，以各销售机构的具体规定为准。</w:t>
      </w:r>
    </w:p>
    <w:p w14:paraId="41E39BA9" w14:textId="77777777" w:rsidR="00BF38BB" w:rsidRDefault="002837D7">
      <w:pPr>
        <w:spacing w:line="360" w:lineRule="auto"/>
        <w:ind w:firstLineChars="200" w:firstLine="420"/>
        <w:rPr>
          <w:bCs/>
          <w:szCs w:val="21"/>
        </w:rPr>
      </w:pPr>
      <w:r>
        <w:rPr>
          <w:bCs/>
          <w:szCs w:val="21"/>
        </w:rPr>
        <w:t>2</w:t>
      </w:r>
      <w:r>
        <w:rPr>
          <w:rFonts w:hint="eastAsia"/>
          <w:bCs/>
          <w:szCs w:val="21"/>
        </w:rPr>
        <w:t>、</w:t>
      </w:r>
      <w:r>
        <w:rPr>
          <w:bCs/>
          <w:szCs w:val="21"/>
        </w:rPr>
        <w:t>申购和赎回的款项支付</w:t>
      </w:r>
    </w:p>
    <w:p w14:paraId="53D78380" w14:textId="77777777" w:rsidR="00BF38BB" w:rsidRDefault="002837D7">
      <w:pPr>
        <w:spacing w:line="360" w:lineRule="auto"/>
        <w:ind w:firstLineChars="200" w:firstLine="420"/>
        <w:rPr>
          <w:bCs/>
          <w:szCs w:val="21"/>
        </w:rPr>
      </w:pPr>
      <w:r>
        <w:rPr>
          <w:bCs/>
          <w:szCs w:val="21"/>
        </w:rPr>
        <w:t>投资人申购基金份额时，必须</w:t>
      </w:r>
      <w:r>
        <w:rPr>
          <w:rFonts w:hint="eastAsia"/>
          <w:bCs/>
          <w:szCs w:val="21"/>
        </w:rPr>
        <w:t>在规定时间内</w:t>
      </w:r>
      <w:r>
        <w:rPr>
          <w:bCs/>
          <w:szCs w:val="21"/>
        </w:rPr>
        <w:t>全额交付申购款项，投资人交付</w:t>
      </w:r>
      <w:r>
        <w:rPr>
          <w:rFonts w:hint="eastAsia"/>
          <w:bCs/>
          <w:szCs w:val="21"/>
        </w:rPr>
        <w:t>申购</w:t>
      </w:r>
      <w:r>
        <w:rPr>
          <w:bCs/>
          <w:szCs w:val="21"/>
        </w:rPr>
        <w:t>款项，申购成立；</w:t>
      </w:r>
      <w:r>
        <w:rPr>
          <w:rFonts w:hint="eastAsia"/>
          <w:bCs/>
          <w:szCs w:val="21"/>
        </w:rPr>
        <w:t>基金份额</w:t>
      </w:r>
      <w:r>
        <w:rPr>
          <w:bCs/>
          <w:szCs w:val="21"/>
        </w:rPr>
        <w:t>登记机构确认基金份额时，申购生效。</w:t>
      </w:r>
    </w:p>
    <w:p w14:paraId="0DDCAEED" w14:textId="77777777" w:rsidR="00BF38BB" w:rsidRDefault="002837D7">
      <w:pPr>
        <w:spacing w:line="360" w:lineRule="auto"/>
        <w:ind w:firstLineChars="200" w:firstLine="420"/>
        <w:rPr>
          <w:bCs/>
          <w:szCs w:val="21"/>
        </w:rPr>
      </w:pPr>
      <w:r>
        <w:rPr>
          <w:bCs/>
          <w:szCs w:val="21"/>
        </w:rPr>
        <w:t>基金份额持有人递交赎回申请，赎回成立；</w:t>
      </w:r>
      <w:r>
        <w:rPr>
          <w:rFonts w:hint="eastAsia"/>
          <w:bCs/>
          <w:szCs w:val="21"/>
        </w:rPr>
        <w:t>基金份额</w:t>
      </w:r>
      <w:r>
        <w:rPr>
          <w:bCs/>
          <w:szCs w:val="21"/>
        </w:rPr>
        <w:t>登记机构确认赎回时，赎回生效。投资者赎回申请生效后</w:t>
      </w:r>
      <w:r>
        <w:rPr>
          <w:rFonts w:hint="eastAsia"/>
          <w:bCs/>
          <w:szCs w:val="21"/>
        </w:rPr>
        <w:t>，</w:t>
      </w:r>
      <w:r>
        <w:rPr>
          <w:bCs/>
          <w:szCs w:val="21"/>
        </w:rPr>
        <w:t>基金管理人将在</w:t>
      </w:r>
      <w:r>
        <w:rPr>
          <w:bCs/>
          <w:szCs w:val="21"/>
        </w:rPr>
        <w:t>T</w:t>
      </w:r>
      <w:r>
        <w:rPr>
          <w:bCs/>
          <w:szCs w:val="21"/>
        </w:rPr>
        <w:t>＋</w:t>
      </w:r>
      <w:r>
        <w:rPr>
          <w:bCs/>
          <w:szCs w:val="21"/>
        </w:rPr>
        <w:t>7</w:t>
      </w:r>
      <w:r>
        <w:rPr>
          <w:bCs/>
          <w:szCs w:val="21"/>
        </w:rPr>
        <w:t>日</w:t>
      </w:r>
      <w:r>
        <w:rPr>
          <w:rFonts w:hint="eastAsia"/>
          <w:bCs/>
          <w:szCs w:val="21"/>
        </w:rPr>
        <w:t>（含</w:t>
      </w:r>
      <w:r>
        <w:rPr>
          <w:bCs/>
          <w:szCs w:val="21"/>
        </w:rPr>
        <w:t>本日</w:t>
      </w:r>
      <w:r>
        <w:rPr>
          <w:rFonts w:hint="eastAsia"/>
          <w:bCs/>
          <w:szCs w:val="21"/>
        </w:rPr>
        <w:t>）</w:t>
      </w:r>
      <w:r>
        <w:rPr>
          <w:bCs/>
          <w:szCs w:val="21"/>
        </w:rPr>
        <w:t>内支付赎回款项。</w:t>
      </w:r>
      <w:r>
        <w:rPr>
          <w:rFonts w:hint="eastAsia"/>
          <w:bCs/>
          <w:szCs w:val="21"/>
        </w:rPr>
        <w:t>遇证券、期货交易所或交易市场数据传输延迟、通讯系统故障、银行数据交换系统故障等非基金管理人及基金托管人所能控制的因素影响业务处理流程时，赎回款项的支付时间相应顺延。</w:t>
      </w:r>
      <w:r>
        <w:rPr>
          <w:bCs/>
          <w:szCs w:val="21"/>
        </w:rPr>
        <w:t>在发生巨额赎回</w:t>
      </w:r>
      <w:r>
        <w:rPr>
          <w:rFonts w:hint="eastAsia"/>
          <w:bCs/>
          <w:szCs w:val="21"/>
        </w:rPr>
        <w:t>或基金合同载明的其他暂停赎回或延缓支付赎回款项的情形</w:t>
      </w:r>
      <w:r>
        <w:rPr>
          <w:bCs/>
          <w:szCs w:val="21"/>
        </w:rPr>
        <w:t>时，款项的支付按照基金合同有关条款处理。</w:t>
      </w:r>
    </w:p>
    <w:p w14:paraId="662F8360" w14:textId="77777777" w:rsidR="00BF38BB" w:rsidRDefault="002837D7">
      <w:pPr>
        <w:spacing w:line="360" w:lineRule="auto"/>
        <w:ind w:firstLineChars="200" w:firstLine="420"/>
        <w:rPr>
          <w:bCs/>
          <w:szCs w:val="21"/>
        </w:rPr>
      </w:pPr>
      <w:r>
        <w:rPr>
          <w:bCs/>
          <w:szCs w:val="21"/>
        </w:rPr>
        <w:t>3</w:t>
      </w:r>
      <w:r>
        <w:rPr>
          <w:rFonts w:hint="eastAsia"/>
          <w:bCs/>
          <w:szCs w:val="21"/>
        </w:rPr>
        <w:t>、</w:t>
      </w:r>
      <w:r>
        <w:rPr>
          <w:bCs/>
          <w:szCs w:val="21"/>
        </w:rPr>
        <w:t>申购和赎回申请的确认</w:t>
      </w:r>
    </w:p>
    <w:p w14:paraId="47CFEC71" w14:textId="77777777" w:rsidR="00BF38BB" w:rsidRDefault="002837D7">
      <w:pPr>
        <w:spacing w:line="360" w:lineRule="auto"/>
        <w:ind w:firstLineChars="200" w:firstLine="420"/>
        <w:rPr>
          <w:bCs/>
          <w:szCs w:val="21"/>
        </w:rPr>
      </w:pPr>
      <w:r>
        <w:rPr>
          <w:bCs/>
          <w:szCs w:val="21"/>
        </w:rPr>
        <w:t>基金管理人应以交易时间结束前受理</w:t>
      </w:r>
      <w:r>
        <w:rPr>
          <w:rFonts w:hint="eastAsia"/>
          <w:bCs/>
          <w:szCs w:val="21"/>
        </w:rPr>
        <w:t>有效</w:t>
      </w:r>
      <w:r>
        <w:rPr>
          <w:bCs/>
          <w:szCs w:val="21"/>
        </w:rPr>
        <w:t>申购或赎回申请的当天作为申购或赎回申请日</w:t>
      </w:r>
      <w:r>
        <w:rPr>
          <w:rFonts w:hint="eastAsia"/>
          <w:bCs/>
          <w:szCs w:val="21"/>
        </w:rPr>
        <w:t>（</w:t>
      </w:r>
      <w:r>
        <w:rPr>
          <w:bCs/>
          <w:szCs w:val="21"/>
        </w:rPr>
        <w:t>T</w:t>
      </w:r>
      <w:r>
        <w:rPr>
          <w:bCs/>
          <w:szCs w:val="21"/>
        </w:rPr>
        <w:t>日），在正常情况下，本基金登记机构在</w:t>
      </w:r>
      <w:r>
        <w:rPr>
          <w:bCs/>
          <w:szCs w:val="21"/>
        </w:rPr>
        <w:t>T+1</w:t>
      </w:r>
      <w:r>
        <w:rPr>
          <w:bCs/>
          <w:szCs w:val="21"/>
        </w:rPr>
        <w:t>日内对该交易的有效性进行确认。本基金份额登记</w:t>
      </w:r>
      <w:r>
        <w:rPr>
          <w:bCs/>
          <w:szCs w:val="21"/>
        </w:rPr>
        <w:t>机构确认申购或赎回的，申购或赎回生效。</w:t>
      </w:r>
      <w:r>
        <w:rPr>
          <w:bCs/>
          <w:szCs w:val="21"/>
        </w:rPr>
        <w:t>T</w:t>
      </w:r>
      <w:r>
        <w:rPr>
          <w:bCs/>
          <w:szCs w:val="21"/>
        </w:rPr>
        <w:t>日提交的有效申请，投资人</w:t>
      </w:r>
      <w:r>
        <w:rPr>
          <w:rFonts w:hint="eastAsia"/>
          <w:bCs/>
          <w:szCs w:val="21"/>
        </w:rPr>
        <w:t>可</w:t>
      </w:r>
      <w:r>
        <w:rPr>
          <w:bCs/>
          <w:szCs w:val="21"/>
        </w:rPr>
        <w:t>在</w:t>
      </w:r>
      <w:r>
        <w:rPr>
          <w:bCs/>
          <w:szCs w:val="21"/>
        </w:rPr>
        <w:t>T+2</w:t>
      </w:r>
      <w:r>
        <w:rPr>
          <w:bCs/>
          <w:szCs w:val="21"/>
        </w:rPr>
        <w:t>日后</w:t>
      </w:r>
      <w:r>
        <w:rPr>
          <w:rFonts w:hint="eastAsia"/>
          <w:bCs/>
          <w:szCs w:val="21"/>
        </w:rPr>
        <w:t>（</w:t>
      </w:r>
      <w:r>
        <w:rPr>
          <w:bCs/>
          <w:szCs w:val="21"/>
        </w:rPr>
        <w:t>包括该日）及时到办理申购或赎回业务的销售机构或以销售机构规定的其他方式查询申请的确认情况。若申购</w:t>
      </w:r>
      <w:r>
        <w:rPr>
          <w:rFonts w:hint="eastAsia"/>
          <w:bCs/>
          <w:szCs w:val="21"/>
        </w:rPr>
        <w:t>未被确认</w:t>
      </w:r>
      <w:r>
        <w:rPr>
          <w:bCs/>
          <w:szCs w:val="21"/>
        </w:rPr>
        <w:t>，则申购款项退还给投资人。</w:t>
      </w:r>
    </w:p>
    <w:p w14:paraId="0EAE7A7A" w14:textId="77777777" w:rsidR="00BF38BB" w:rsidRDefault="002837D7">
      <w:pPr>
        <w:spacing w:line="360" w:lineRule="auto"/>
        <w:ind w:firstLineChars="200" w:firstLine="420"/>
        <w:rPr>
          <w:bCs/>
          <w:szCs w:val="21"/>
        </w:rPr>
      </w:pPr>
      <w:r>
        <w:rPr>
          <w:rFonts w:hint="eastAsia"/>
          <w:bCs/>
          <w:szCs w:val="21"/>
        </w:rPr>
        <w:t>销售机构对申购、赎回申请的受理并不代表申请一定会被确认，而仅代表销售机构确实接收到申请。申购、赎回的确认以登记机构的确认结果为准。对于申请的确认情况，投资者应及时查询。</w:t>
      </w:r>
    </w:p>
    <w:p w14:paraId="569D627A"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、如未来法律法规或监管机构对上述内容另有规定，从其规定。</w:t>
      </w:r>
    </w:p>
    <w:p w14:paraId="6ED7B916" w14:textId="77777777" w:rsidR="00BF38BB" w:rsidRDefault="002837D7">
      <w:pPr>
        <w:spacing w:line="360" w:lineRule="auto"/>
        <w:ind w:firstLineChars="200" w:firstLine="420"/>
        <w:rPr>
          <w:bCs/>
          <w:szCs w:val="21"/>
        </w:rPr>
      </w:pPr>
      <w:r>
        <w:rPr>
          <w:rFonts w:hint="eastAsia"/>
          <w:bCs/>
          <w:szCs w:val="21"/>
        </w:rPr>
        <w:t>在法律法规允许的范围内，本基金登记机构可根据相关业务规则，对上述业务办</w:t>
      </w:r>
      <w:r>
        <w:rPr>
          <w:rFonts w:hint="eastAsia"/>
          <w:bCs/>
          <w:szCs w:val="21"/>
        </w:rPr>
        <w:t>理时间进行调整，本基金管理人将于开始实施前按照有关规定予以公告。</w:t>
      </w:r>
    </w:p>
    <w:p w14:paraId="64E467DE" w14:textId="77777777" w:rsidR="00BF38BB" w:rsidRDefault="002837D7">
      <w:pPr>
        <w:spacing w:line="360" w:lineRule="auto"/>
        <w:ind w:firstLineChars="200" w:firstLine="420"/>
        <w:rPr>
          <w:rFonts w:ascii="宋体" w:hAnsi="宋体"/>
        </w:rPr>
      </w:pPr>
      <w:r>
        <w:rPr>
          <w:rFonts w:ascii="宋体" w:hAnsi="宋体"/>
        </w:rPr>
        <w:t>（五）申购、赎回的数</w:t>
      </w:r>
      <w:r>
        <w:rPr>
          <w:rFonts w:ascii="宋体" w:hAnsi="宋体" w:hint="eastAsia"/>
        </w:rPr>
        <w:t>量</w:t>
      </w:r>
      <w:r>
        <w:rPr>
          <w:rFonts w:ascii="宋体" w:hAnsi="宋体"/>
        </w:rPr>
        <w:t>限制</w:t>
      </w:r>
    </w:p>
    <w:p w14:paraId="297198A0" w14:textId="77777777" w:rsidR="00BF38BB" w:rsidRDefault="002837D7">
      <w:pPr>
        <w:autoSpaceDE w:val="0"/>
        <w:autoSpaceDN w:val="0"/>
        <w:adjustRightInd w:val="0"/>
        <w:spacing w:line="360" w:lineRule="auto"/>
        <w:ind w:firstLineChars="194" w:firstLine="407"/>
        <w:rPr>
          <w:rFonts w:ascii="宋体" w:hAnsi="宋体"/>
          <w:kern w:val="0"/>
        </w:rPr>
      </w:pPr>
      <w:r>
        <w:rPr>
          <w:rFonts w:ascii="宋体" w:hAnsi="宋体"/>
          <w:kern w:val="0"/>
        </w:rPr>
        <w:t>1</w:t>
      </w:r>
      <w:r>
        <w:rPr>
          <w:rFonts w:ascii="宋体" w:hAnsi="宋体"/>
          <w:kern w:val="0"/>
        </w:rPr>
        <w:t>．申请申购基金的金额</w:t>
      </w:r>
    </w:p>
    <w:p w14:paraId="05F8F7F6" w14:textId="77777777" w:rsidR="00BF38BB" w:rsidRDefault="002837D7">
      <w:pPr>
        <w:autoSpaceDE w:val="0"/>
        <w:autoSpaceDN w:val="0"/>
        <w:adjustRightInd w:val="0"/>
        <w:spacing w:line="360" w:lineRule="auto"/>
        <w:ind w:firstLineChars="194" w:firstLine="407"/>
        <w:rPr>
          <w:rFonts w:ascii="宋体" w:hAnsi="宋体"/>
          <w:color w:val="000000"/>
          <w:kern w:val="0"/>
          <w:szCs w:val="21"/>
        </w:rPr>
      </w:pPr>
      <w:r>
        <w:rPr>
          <w:rFonts w:ascii="宋体" w:hAnsi="宋体" w:hint="eastAsia"/>
          <w:color w:val="000000"/>
          <w:kern w:val="0"/>
          <w:szCs w:val="21"/>
        </w:rPr>
        <w:t>投资者通过嘉实基金管理有限公司网上直销申购的，不收取申购费，首次申购单笔最低限额为人民币</w:t>
      </w:r>
      <w:r>
        <w:rPr>
          <w:rFonts w:ascii="宋体" w:hAnsi="宋体" w:hint="eastAsia"/>
          <w:color w:val="000000"/>
          <w:kern w:val="0"/>
          <w:szCs w:val="21"/>
        </w:rPr>
        <w:t>1</w:t>
      </w:r>
      <w:r>
        <w:rPr>
          <w:rFonts w:ascii="宋体" w:hAnsi="宋体" w:hint="eastAsia"/>
          <w:color w:val="000000"/>
          <w:kern w:val="0"/>
          <w:szCs w:val="21"/>
        </w:rPr>
        <w:lastRenderedPageBreak/>
        <w:t>元，追加申购单笔最低限额为人民币</w:t>
      </w:r>
      <w:r>
        <w:rPr>
          <w:rFonts w:ascii="宋体" w:hAnsi="宋体" w:hint="eastAsia"/>
          <w:color w:val="000000"/>
          <w:kern w:val="0"/>
          <w:szCs w:val="21"/>
        </w:rPr>
        <w:t>1</w:t>
      </w:r>
      <w:r>
        <w:rPr>
          <w:rFonts w:ascii="宋体" w:hAnsi="宋体" w:hint="eastAsia"/>
          <w:color w:val="000000"/>
          <w:kern w:val="0"/>
          <w:szCs w:val="21"/>
        </w:rPr>
        <w:t>元；投资者通过直销中心柜台申购的，不收取申购费，首次申购单笔最低限额为人民币</w:t>
      </w:r>
      <w:r>
        <w:rPr>
          <w:rFonts w:ascii="宋体" w:hAnsi="宋体" w:hint="eastAsia"/>
          <w:color w:val="000000"/>
          <w:kern w:val="0"/>
          <w:szCs w:val="21"/>
        </w:rPr>
        <w:t>20,000</w:t>
      </w:r>
      <w:r>
        <w:rPr>
          <w:rFonts w:ascii="宋体" w:hAnsi="宋体" w:hint="eastAsia"/>
          <w:color w:val="000000"/>
          <w:kern w:val="0"/>
          <w:szCs w:val="21"/>
        </w:rPr>
        <w:t>元，追加申购单笔最低限额为人民币</w:t>
      </w:r>
      <w:r>
        <w:rPr>
          <w:rFonts w:ascii="宋体" w:hAnsi="宋体" w:hint="eastAsia"/>
          <w:color w:val="000000"/>
          <w:kern w:val="0"/>
          <w:szCs w:val="21"/>
        </w:rPr>
        <w:t>1</w:t>
      </w:r>
      <w:r>
        <w:rPr>
          <w:rFonts w:ascii="宋体" w:hAnsi="宋体" w:hint="eastAsia"/>
          <w:color w:val="000000"/>
          <w:kern w:val="0"/>
          <w:szCs w:val="21"/>
        </w:rPr>
        <w:t>元；投资者通过基金管理人销售子公司申购的，不收取申购费，首次申购单笔最低限额为人民币</w:t>
      </w:r>
      <w:r>
        <w:rPr>
          <w:rFonts w:ascii="宋体" w:hAnsi="宋体" w:hint="eastAsia"/>
          <w:color w:val="000000"/>
          <w:kern w:val="0"/>
          <w:szCs w:val="21"/>
        </w:rPr>
        <w:t>1</w:t>
      </w:r>
      <w:r>
        <w:rPr>
          <w:rFonts w:ascii="宋体" w:hAnsi="宋体" w:hint="eastAsia"/>
          <w:color w:val="000000"/>
          <w:kern w:val="0"/>
          <w:szCs w:val="21"/>
        </w:rPr>
        <w:t>元，追加申购单笔最低限额为人民币</w:t>
      </w:r>
      <w:r>
        <w:rPr>
          <w:rFonts w:ascii="宋体" w:hAnsi="宋体" w:hint="eastAsia"/>
          <w:color w:val="000000"/>
          <w:kern w:val="0"/>
          <w:szCs w:val="21"/>
        </w:rPr>
        <w:t>1</w:t>
      </w:r>
      <w:r>
        <w:rPr>
          <w:rFonts w:ascii="宋体" w:hAnsi="宋体" w:hint="eastAsia"/>
          <w:color w:val="000000"/>
          <w:kern w:val="0"/>
          <w:szCs w:val="21"/>
        </w:rPr>
        <w:t>元；投资者通过其他销售机构申</w:t>
      </w:r>
      <w:r>
        <w:rPr>
          <w:rFonts w:ascii="宋体" w:hAnsi="宋体" w:hint="eastAsia"/>
          <w:color w:val="000000"/>
          <w:kern w:val="0"/>
          <w:szCs w:val="21"/>
        </w:rPr>
        <w:t>购的，首次申购单笔最低限额为人民币</w:t>
      </w:r>
      <w:r>
        <w:rPr>
          <w:rFonts w:ascii="宋体" w:hAnsi="宋体" w:hint="eastAsia"/>
          <w:color w:val="000000"/>
          <w:kern w:val="0"/>
          <w:szCs w:val="21"/>
        </w:rPr>
        <w:t>1</w:t>
      </w:r>
      <w:r>
        <w:rPr>
          <w:rFonts w:ascii="宋体" w:hAnsi="宋体" w:hint="eastAsia"/>
          <w:color w:val="000000"/>
          <w:kern w:val="0"/>
          <w:szCs w:val="21"/>
        </w:rPr>
        <w:t>元（含申购费），追加申购单笔最低限额为人民币</w:t>
      </w:r>
      <w:r>
        <w:rPr>
          <w:rFonts w:ascii="宋体" w:hAnsi="宋体" w:hint="eastAsia"/>
          <w:color w:val="000000"/>
          <w:kern w:val="0"/>
          <w:szCs w:val="21"/>
        </w:rPr>
        <w:t>1</w:t>
      </w:r>
      <w:r>
        <w:rPr>
          <w:rFonts w:ascii="宋体" w:hAnsi="宋体" w:hint="eastAsia"/>
          <w:color w:val="000000"/>
          <w:kern w:val="0"/>
          <w:szCs w:val="21"/>
        </w:rPr>
        <w:t>元（含申购费）。投资者通过各销售机构申购本基金的具体申购最低限额及交易级差有其他规定的，以各销售机构规定为准，但不得低于上述最低申购限额。</w:t>
      </w:r>
    </w:p>
    <w:p w14:paraId="3B4D56EF" w14:textId="77777777" w:rsidR="00BF38BB" w:rsidRDefault="002837D7">
      <w:pPr>
        <w:autoSpaceDE w:val="0"/>
        <w:autoSpaceDN w:val="0"/>
        <w:adjustRightInd w:val="0"/>
        <w:spacing w:line="360" w:lineRule="auto"/>
        <w:ind w:firstLineChars="194" w:firstLine="407"/>
        <w:rPr>
          <w:rFonts w:ascii="宋体" w:hAnsi="宋体"/>
          <w:kern w:val="0"/>
        </w:rPr>
      </w:pPr>
      <w:r>
        <w:rPr>
          <w:rFonts w:ascii="宋体" w:hAnsi="宋体"/>
          <w:kern w:val="0"/>
        </w:rPr>
        <w:t>投资者将当期分配的基金收益转购相应类别的基金份额时，不受最低申购金额的限制。</w:t>
      </w:r>
      <w:r>
        <w:rPr>
          <w:rFonts w:ascii="宋体" w:hAnsi="宋体"/>
          <w:kern w:val="0"/>
        </w:rPr>
        <w:t xml:space="preserve"> </w:t>
      </w:r>
    </w:p>
    <w:p w14:paraId="210CDC01" w14:textId="77777777" w:rsidR="00BF38BB" w:rsidRDefault="002837D7">
      <w:pPr>
        <w:autoSpaceDE w:val="0"/>
        <w:autoSpaceDN w:val="0"/>
        <w:adjustRightInd w:val="0"/>
        <w:spacing w:line="360" w:lineRule="auto"/>
        <w:ind w:firstLineChars="194" w:firstLine="407"/>
        <w:rPr>
          <w:rFonts w:ascii="宋体" w:hAnsi="宋体"/>
          <w:kern w:val="0"/>
        </w:rPr>
      </w:pPr>
      <w:bookmarkStart w:id="62" w:name="OLE_LINK31"/>
      <w:r>
        <w:rPr>
          <w:rFonts w:ascii="宋体" w:hAnsi="宋体" w:hint="eastAsia"/>
          <w:kern w:val="0"/>
        </w:rPr>
        <w:t>投资者可多次申购，对单个投资者累计持有份额不设上限限制，但单一投资者累计持有份额不得达到或者超过本基金总份额的</w:t>
      </w:r>
      <w:r>
        <w:rPr>
          <w:rFonts w:ascii="宋体" w:hAnsi="宋体" w:hint="eastAsia"/>
          <w:kern w:val="0"/>
        </w:rPr>
        <w:t>50%</w:t>
      </w:r>
      <w:r>
        <w:rPr>
          <w:rFonts w:ascii="宋体" w:hAnsi="宋体" w:hint="eastAsia"/>
          <w:kern w:val="0"/>
        </w:rPr>
        <w:t>，且不得变相规避</w:t>
      </w:r>
      <w:r>
        <w:rPr>
          <w:rFonts w:ascii="宋体" w:hAnsi="宋体" w:hint="eastAsia"/>
          <w:kern w:val="0"/>
        </w:rPr>
        <w:t>50%</w:t>
      </w:r>
      <w:r>
        <w:rPr>
          <w:rFonts w:ascii="宋体" w:hAnsi="宋体" w:hint="eastAsia"/>
          <w:kern w:val="0"/>
        </w:rPr>
        <w:t>集中度要求。法律法规、中国证监会或基金合同另有规定的除外。</w:t>
      </w:r>
    </w:p>
    <w:bookmarkEnd w:id="62"/>
    <w:p w14:paraId="0560C94A" w14:textId="77777777" w:rsidR="00BF38BB" w:rsidRDefault="002837D7">
      <w:pPr>
        <w:autoSpaceDE w:val="0"/>
        <w:autoSpaceDN w:val="0"/>
        <w:adjustRightInd w:val="0"/>
        <w:spacing w:line="360" w:lineRule="auto"/>
        <w:ind w:firstLineChars="194" w:firstLine="407"/>
        <w:rPr>
          <w:rFonts w:ascii="宋体" w:hAnsi="宋体"/>
          <w:kern w:val="0"/>
        </w:rPr>
      </w:pPr>
      <w:r>
        <w:rPr>
          <w:rFonts w:ascii="宋体" w:hAnsi="宋体"/>
          <w:kern w:val="0"/>
        </w:rPr>
        <w:t>2</w:t>
      </w:r>
      <w:r>
        <w:rPr>
          <w:rFonts w:ascii="宋体" w:hAnsi="宋体"/>
          <w:kern w:val="0"/>
        </w:rPr>
        <w:t>．申请赎回基金的份额</w:t>
      </w:r>
    </w:p>
    <w:p w14:paraId="6D16D4D3" w14:textId="77777777" w:rsidR="00BF38BB" w:rsidRDefault="002837D7">
      <w:pPr>
        <w:spacing w:before="60" w:after="60" w:line="360" w:lineRule="auto"/>
        <w:ind w:firstLine="420"/>
        <w:rPr>
          <w:rFonts w:ascii="宋体" w:hAnsi="宋体"/>
          <w:color w:val="000000"/>
          <w:kern w:val="0"/>
          <w:szCs w:val="21"/>
        </w:rPr>
      </w:pPr>
      <w:r>
        <w:rPr>
          <w:rFonts w:ascii="宋体" w:hAnsi="宋体" w:hint="eastAsia"/>
          <w:color w:val="000000"/>
          <w:kern w:val="0"/>
          <w:szCs w:val="21"/>
        </w:rPr>
        <w:t>投资者通过销售机构赎回本基金份额时，可申请将其持有的部分或全部基金份额赎回；单笔赎回不得少于</w:t>
      </w:r>
      <w:r>
        <w:rPr>
          <w:rFonts w:ascii="宋体" w:hAnsi="宋体" w:hint="eastAsia"/>
          <w:color w:val="000000"/>
          <w:kern w:val="0"/>
          <w:szCs w:val="21"/>
        </w:rPr>
        <w:t>1</w:t>
      </w:r>
      <w:r>
        <w:rPr>
          <w:rFonts w:ascii="宋体" w:hAnsi="宋体" w:hint="eastAsia"/>
          <w:color w:val="000000"/>
          <w:kern w:val="0"/>
          <w:szCs w:val="21"/>
        </w:rPr>
        <w:t>份，每个基金交易账户最低持有基金份额余额为</w:t>
      </w:r>
      <w:r>
        <w:rPr>
          <w:rFonts w:ascii="宋体" w:hAnsi="宋体" w:hint="eastAsia"/>
          <w:color w:val="000000"/>
          <w:kern w:val="0"/>
          <w:szCs w:val="21"/>
        </w:rPr>
        <w:t>1</w:t>
      </w:r>
      <w:r>
        <w:rPr>
          <w:rFonts w:ascii="宋体" w:hAnsi="宋体" w:hint="eastAsia"/>
          <w:color w:val="000000"/>
          <w:kern w:val="0"/>
          <w:szCs w:val="21"/>
        </w:rPr>
        <w:t>份，若某笔赎回导致某一销售机构的某一基金交易账户的基金份额余额少于</w:t>
      </w:r>
      <w:r>
        <w:rPr>
          <w:rFonts w:ascii="宋体" w:hAnsi="宋体" w:hint="eastAsia"/>
          <w:color w:val="000000"/>
          <w:kern w:val="0"/>
          <w:szCs w:val="21"/>
        </w:rPr>
        <w:t>1</w:t>
      </w:r>
      <w:r>
        <w:rPr>
          <w:rFonts w:ascii="宋体" w:hAnsi="宋体" w:hint="eastAsia"/>
          <w:color w:val="000000"/>
          <w:kern w:val="0"/>
          <w:szCs w:val="21"/>
        </w:rPr>
        <w:t>份时，基金管理人有权将投资者在该销售机构的某一基金交易账户剩余基金份额一次性全部赎回。各销售机构对本基金的具体赎回份额限制有其他规定的，以各销售机构规定为准，但不得低于上述最低赎回份额。</w:t>
      </w:r>
    </w:p>
    <w:p w14:paraId="1FEFA4A8" w14:textId="77777777" w:rsidR="00BF38BB" w:rsidRDefault="002837D7">
      <w:pPr>
        <w:autoSpaceDE w:val="0"/>
        <w:autoSpaceDN w:val="0"/>
        <w:adjustRightInd w:val="0"/>
        <w:spacing w:line="360" w:lineRule="auto"/>
        <w:ind w:firstLineChars="194" w:firstLine="407"/>
        <w:rPr>
          <w:rFonts w:ascii="宋体" w:hAnsi="宋体"/>
          <w:kern w:val="0"/>
        </w:rPr>
      </w:pPr>
      <w:r>
        <w:rPr>
          <w:rFonts w:ascii="宋体" w:hAnsi="宋体"/>
          <w:kern w:val="0"/>
        </w:rPr>
        <w:t>3</w:t>
      </w:r>
      <w:r>
        <w:rPr>
          <w:rFonts w:ascii="宋体" w:hAnsi="宋体"/>
          <w:kern w:val="0"/>
        </w:rPr>
        <w:t>．</w:t>
      </w:r>
      <w:r>
        <w:rPr>
          <w:rFonts w:ascii="宋体" w:hAnsi="宋体" w:hint="eastAsia"/>
          <w:kern w:val="0"/>
        </w:rPr>
        <w:t>基金管理人有权规定本基金的总规模限额或基金单日净申购比例上限，具体规定请参见更新的招募说明书或相关公告。</w:t>
      </w:r>
    </w:p>
    <w:p w14:paraId="478C7A34" w14:textId="77777777" w:rsidR="00BF38BB" w:rsidRDefault="002837D7">
      <w:pPr>
        <w:autoSpaceDE w:val="0"/>
        <w:autoSpaceDN w:val="0"/>
        <w:adjustRightInd w:val="0"/>
        <w:spacing w:line="360" w:lineRule="auto"/>
        <w:ind w:firstLineChars="194" w:firstLine="407"/>
        <w:rPr>
          <w:rFonts w:ascii="宋体" w:hAnsi="宋体"/>
          <w:kern w:val="0"/>
        </w:rPr>
      </w:pPr>
      <w:r>
        <w:rPr>
          <w:rFonts w:ascii="宋体" w:hAnsi="宋体"/>
          <w:kern w:val="0"/>
        </w:rPr>
        <w:t>4</w:t>
      </w:r>
      <w:r>
        <w:rPr>
          <w:rFonts w:ascii="宋体" w:hAnsi="宋体"/>
          <w:kern w:val="0"/>
        </w:rPr>
        <w:t>．</w:t>
      </w:r>
      <w:r>
        <w:rPr>
          <w:rFonts w:ascii="宋体" w:hAnsi="宋体" w:hint="eastAsia"/>
          <w:kern w:val="0"/>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一项或多项措施对基金规模予以控制，具体以基金管理人相关公告为准。</w:t>
      </w:r>
    </w:p>
    <w:p w14:paraId="7338E711" w14:textId="77777777" w:rsidR="00BF38BB" w:rsidRDefault="002837D7">
      <w:pPr>
        <w:autoSpaceDE w:val="0"/>
        <w:autoSpaceDN w:val="0"/>
        <w:adjustRightInd w:val="0"/>
        <w:spacing w:line="360" w:lineRule="auto"/>
        <w:ind w:firstLineChars="194" w:firstLine="407"/>
        <w:rPr>
          <w:rFonts w:ascii="宋体" w:hAnsi="宋体"/>
          <w:kern w:val="0"/>
        </w:rPr>
      </w:pPr>
      <w:r>
        <w:rPr>
          <w:rFonts w:ascii="宋体" w:hAnsi="宋体"/>
          <w:kern w:val="0"/>
        </w:rPr>
        <w:t>5</w:t>
      </w:r>
      <w:r>
        <w:rPr>
          <w:rFonts w:ascii="宋体" w:hAnsi="宋体"/>
          <w:kern w:val="0"/>
        </w:rPr>
        <w:t>．</w:t>
      </w:r>
      <w:r>
        <w:rPr>
          <w:rFonts w:ascii="宋体" w:hAnsi="宋体" w:hint="eastAsia"/>
          <w:kern w:val="0"/>
        </w:rPr>
        <w:t>基金管理人可在不违反法律法规的情况下，调整上述申购金额和赎回份额的数量限制，或</w:t>
      </w:r>
      <w:r>
        <w:rPr>
          <w:rFonts w:ascii="宋体" w:hAnsi="宋体" w:hint="eastAsia"/>
          <w:kern w:val="0"/>
        </w:rPr>
        <w:t>者新增基金申购或赎回的控制措施。基金管理人应在调整前依照《信息披露办法》的有关规定在规定媒介上公告。</w:t>
      </w:r>
    </w:p>
    <w:bookmarkEnd w:id="55"/>
    <w:bookmarkEnd w:id="61"/>
    <w:p w14:paraId="690570A2" w14:textId="77777777" w:rsidR="00BF38BB" w:rsidRDefault="002837D7">
      <w:pPr>
        <w:spacing w:line="360" w:lineRule="auto"/>
        <w:ind w:firstLineChars="200" w:firstLine="420"/>
        <w:rPr>
          <w:rFonts w:ascii="宋体" w:hAnsi="宋体"/>
        </w:rPr>
      </w:pPr>
      <w:r>
        <w:rPr>
          <w:rFonts w:ascii="宋体" w:hAnsi="宋体"/>
        </w:rPr>
        <w:t>（六）申购、赎回的费率</w:t>
      </w:r>
    </w:p>
    <w:p w14:paraId="10BEE1A1" w14:textId="77777777" w:rsidR="00BF38BB" w:rsidRDefault="002837D7">
      <w:pPr>
        <w:autoSpaceDE w:val="0"/>
        <w:autoSpaceDN w:val="0"/>
        <w:adjustRightInd w:val="0"/>
        <w:spacing w:line="360" w:lineRule="auto"/>
        <w:ind w:firstLineChars="192" w:firstLine="403"/>
        <w:rPr>
          <w:rFonts w:ascii="宋体" w:hAnsi="宋体"/>
          <w:kern w:val="0"/>
        </w:rPr>
      </w:pPr>
      <w:r>
        <w:rPr>
          <w:rFonts w:ascii="宋体" w:hAnsi="宋体"/>
          <w:kern w:val="0"/>
        </w:rPr>
        <w:t>1</w:t>
      </w:r>
      <w:r>
        <w:rPr>
          <w:rFonts w:ascii="宋体" w:hAnsi="宋体"/>
          <w:kern w:val="0"/>
        </w:rPr>
        <w:t>、</w:t>
      </w:r>
      <w:r>
        <w:rPr>
          <w:rFonts w:ascii="宋体" w:hAnsi="宋体" w:hint="eastAsia"/>
          <w:kern w:val="0"/>
        </w:rPr>
        <w:t>申购费率</w:t>
      </w:r>
    </w:p>
    <w:p w14:paraId="05E28AC0" w14:textId="77777777" w:rsidR="00BF38BB" w:rsidRDefault="002837D7">
      <w:pPr>
        <w:autoSpaceDE w:val="0"/>
        <w:autoSpaceDN w:val="0"/>
        <w:adjustRightInd w:val="0"/>
        <w:spacing w:line="360" w:lineRule="auto"/>
        <w:ind w:firstLineChars="192" w:firstLine="403"/>
        <w:rPr>
          <w:rFonts w:ascii="宋体" w:hAnsi="宋体"/>
          <w:kern w:val="0"/>
        </w:rPr>
      </w:pPr>
      <w:r>
        <w:rPr>
          <w:rFonts w:ascii="宋体" w:hAnsi="宋体" w:hint="eastAsia"/>
          <w:kern w:val="0"/>
        </w:rPr>
        <w:t>（</w:t>
      </w:r>
      <w:r>
        <w:rPr>
          <w:rFonts w:ascii="宋体" w:hAnsi="宋体" w:hint="eastAsia"/>
          <w:kern w:val="0"/>
        </w:rPr>
        <w:t>1</w:t>
      </w:r>
      <w:r>
        <w:rPr>
          <w:rFonts w:ascii="宋体" w:hAnsi="宋体" w:hint="eastAsia"/>
          <w:kern w:val="0"/>
        </w:rPr>
        <w:t>）通过基金管理人直销机构、基金管理人销售子公司申购本基金</w:t>
      </w:r>
      <w:r>
        <w:rPr>
          <w:rFonts w:ascii="宋体" w:hAnsi="宋体" w:hint="eastAsia"/>
          <w:kern w:val="0"/>
        </w:rPr>
        <w:t>A</w:t>
      </w:r>
      <w:r>
        <w:rPr>
          <w:rFonts w:ascii="宋体" w:hAnsi="宋体" w:hint="eastAsia"/>
          <w:kern w:val="0"/>
        </w:rPr>
        <w:t>类基金份额的，不收取申购费。</w:t>
      </w:r>
    </w:p>
    <w:p w14:paraId="5EF19023" w14:textId="77777777" w:rsidR="00BF38BB" w:rsidRDefault="002837D7">
      <w:pPr>
        <w:autoSpaceDE w:val="0"/>
        <w:autoSpaceDN w:val="0"/>
        <w:adjustRightInd w:val="0"/>
        <w:spacing w:line="360" w:lineRule="auto"/>
        <w:ind w:firstLineChars="192" w:firstLine="403"/>
        <w:rPr>
          <w:rFonts w:ascii="宋体" w:hAnsi="宋体"/>
          <w:color w:val="000000"/>
          <w:kern w:val="0"/>
        </w:rPr>
      </w:pPr>
      <w:r>
        <w:rPr>
          <w:rFonts w:ascii="宋体" w:hAnsi="宋体" w:hint="eastAsia"/>
          <w:kern w:val="0"/>
        </w:rPr>
        <w:t>通过其他销售机构申购本基金</w:t>
      </w:r>
      <w:r>
        <w:rPr>
          <w:rFonts w:ascii="宋体" w:hAnsi="宋体" w:hint="eastAsia"/>
          <w:kern w:val="0"/>
        </w:rPr>
        <w:t>A</w:t>
      </w:r>
      <w:r>
        <w:rPr>
          <w:rFonts w:ascii="宋体" w:hAnsi="宋体" w:hint="eastAsia"/>
          <w:kern w:val="0"/>
        </w:rPr>
        <w:t>类基金份额收取申购费。本基金</w:t>
      </w:r>
      <w:r>
        <w:rPr>
          <w:rFonts w:ascii="宋体" w:hAnsi="宋体" w:hint="eastAsia"/>
          <w:kern w:val="0"/>
        </w:rPr>
        <w:t>A</w:t>
      </w:r>
      <w:r>
        <w:rPr>
          <w:rFonts w:ascii="宋体" w:hAnsi="宋体" w:hint="eastAsia"/>
          <w:kern w:val="0"/>
        </w:rPr>
        <w:t>类基金份额采用前端收费模式收取基金申购费用。投资者在一天之内如果有多笔申购，</w:t>
      </w:r>
      <w:r>
        <w:rPr>
          <w:rFonts w:ascii="宋体" w:hAnsi="宋体" w:hint="eastAsia"/>
          <w:kern w:val="0"/>
        </w:rPr>
        <w:t>A</w:t>
      </w:r>
      <w:r>
        <w:rPr>
          <w:rFonts w:ascii="宋体" w:hAnsi="宋体" w:hint="eastAsia"/>
          <w:kern w:val="0"/>
        </w:rPr>
        <w:t>类基金份额适用费率按单笔</w:t>
      </w:r>
      <w:r>
        <w:rPr>
          <w:rFonts w:ascii="宋体" w:hAnsi="宋体" w:hint="eastAsia"/>
          <w:kern w:val="0"/>
        </w:rPr>
        <w:t>A</w:t>
      </w:r>
      <w:r>
        <w:rPr>
          <w:rFonts w:ascii="宋体" w:hAnsi="宋体" w:hint="eastAsia"/>
          <w:kern w:val="0"/>
        </w:rPr>
        <w:t>类基金份额的申购申请分</w:t>
      </w:r>
      <w:r>
        <w:rPr>
          <w:rFonts w:ascii="宋体" w:hAnsi="宋体" w:hint="eastAsia"/>
          <w:kern w:val="0"/>
        </w:rPr>
        <w:lastRenderedPageBreak/>
        <w:t>别计算。投资者通过其他销售机构申购本基金</w:t>
      </w:r>
      <w:r>
        <w:rPr>
          <w:rFonts w:ascii="宋体" w:hAnsi="宋体" w:hint="eastAsia"/>
          <w:kern w:val="0"/>
        </w:rPr>
        <w:t>A</w:t>
      </w:r>
      <w:r>
        <w:rPr>
          <w:rFonts w:ascii="宋体" w:hAnsi="宋体" w:hint="eastAsia"/>
          <w:kern w:val="0"/>
        </w:rPr>
        <w:t>类基金份额的具体申购费率如下</w:t>
      </w:r>
      <w:r>
        <w:rPr>
          <w:rFonts w:ascii="宋体" w:hAnsi="宋体"/>
          <w:color w:val="000000"/>
          <w:kern w:val="0"/>
        </w:rPr>
        <w:t>：</w:t>
      </w:r>
    </w:p>
    <w:tbl>
      <w:tblPr>
        <w:tblW w:w="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0"/>
        <w:gridCol w:w="2520"/>
      </w:tblGrid>
      <w:tr w:rsidR="00BF38BB" w14:paraId="32DA35CD" w14:textId="77777777">
        <w:trPr>
          <w:cantSplit/>
          <w:jc w:val="center"/>
        </w:trPr>
        <w:tc>
          <w:tcPr>
            <w:tcW w:w="3700" w:type="dxa"/>
          </w:tcPr>
          <w:p w14:paraId="743364E1" w14:textId="77777777" w:rsidR="00BF38BB" w:rsidRDefault="002837D7">
            <w:pPr>
              <w:spacing w:line="360" w:lineRule="auto"/>
              <w:jc w:val="center"/>
              <w:rPr>
                <w:rFonts w:ascii="宋体" w:hAnsi="宋体"/>
                <w:color w:val="000000"/>
              </w:rPr>
            </w:pPr>
            <w:r>
              <w:rPr>
                <w:rFonts w:ascii="宋体" w:hAnsi="宋体"/>
                <w:b/>
                <w:bCs/>
                <w:color w:val="000000"/>
              </w:rPr>
              <w:t>申购金额（</w:t>
            </w:r>
            <w:r>
              <w:rPr>
                <w:rFonts w:ascii="宋体" w:hAnsi="宋体" w:hint="eastAsia"/>
                <w:b/>
                <w:bCs/>
                <w:color w:val="000000"/>
              </w:rPr>
              <w:t>M</w:t>
            </w:r>
            <w:r>
              <w:rPr>
                <w:rFonts w:ascii="宋体" w:hAnsi="宋体" w:hint="eastAsia"/>
                <w:b/>
                <w:bCs/>
                <w:color w:val="000000"/>
              </w:rPr>
              <w:t>，</w:t>
            </w:r>
            <w:r>
              <w:rPr>
                <w:rFonts w:ascii="宋体" w:hAnsi="宋体"/>
                <w:b/>
                <w:bCs/>
                <w:color w:val="000000"/>
              </w:rPr>
              <w:t>含申购费</w:t>
            </w:r>
            <w:r>
              <w:rPr>
                <w:rFonts w:ascii="宋体" w:hAnsi="宋体"/>
                <w:b/>
                <w:bCs/>
                <w:color w:val="000000"/>
              </w:rPr>
              <w:t>）</w:t>
            </w:r>
          </w:p>
        </w:tc>
        <w:tc>
          <w:tcPr>
            <w:tcW w:w="2520" w:type="dxa"/>
          </w:tcPr>
          <w:p w14:paraId="72B20798" w14:textId="77777777" w:rsidR="00BF38BB" w:rsidRDefault="002837D7">
            <w:pPr>
              <w:spacing w:line="360" w:lineRule="auto"/>
              <w:jc w:val="center"/>
              <w:rPr>
                <w:rFonts w:ascii="宋体" w:hAnsi="宋体"/>
                <w:b/>
                <w:bCs/>
                <w:color w:val="000000"/>
              </w:rPr>
            </w:pPr>
            <w:r>
              <w:rPr>
                <w:rFonts w:ascii="宋体" w:hAnsi="宋体"/>
                <w:b/>
                <w:bCs/>
                <w:color w:val="000000"/>
              </w:rPr>
              <w:t>申购费率</w:t>
            </w:r>
          </w:p>
        </w:tc>
      </w:tr>
      <w:tr w:rsidR="00BF38BB" w14:paraId="663FF424" w14:textId="77777777">
        <w:trPr>
          <w:jc w:val="center"/>
        </w:trPr>
        <w:tc>
          <w:tcPr>
            <w:tcW w:w="3700" w:type="dxa"/>
          </w:tcPr>
          <w:p w14:paraId="784EBC61"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hint="eastAsia"/>
                <w:kern w:val="0"/>
                <w:szCs w:val="21"/>
              </w:rPr>
              <w:t>M</w:t>
            </w:r>
            <w:r>
              <w:rPr>
                <w:rFonts w:ascii="仿宋" w:eastAsia="仿宋" w:hAnsi="仿宋" w:hint="eastAsia"/>
                <w:kern w:val="0"/>
                <w:szCs w:val="21"/>
              </w:rPr>
              <w:t>＜</w:t>
            </w:r>
            <w:r>
              <w:rPr>
                <w:rFonts w:ascii="仿宋" w:eastAsia="仿宋" w:hAnsi="仿宋" w:hint="eastAsia"/>
                <w:kern w:val="0"/>
                <w:szCs w:val="21"/>
              </w:rPr>
              <w:t>100</w:t>
            </w:r>
            <w:r>
              <w:rPr>
                <w:rFonts w:ascii="仿宋" w:eastAsia="仿宋" w:hAnsi="仿宋"/>
                <w:kern w:val="0"/>
                <w:szCs w:val="21"/>
              </w:rPr>
              <w:t>0</w:t>
            </w:r>
            <w:r>
              <w:rPr>
                <w:rFonts w:ascii="仿宋" w:eastAsia="仿宋" w:hAnsi="仿宋" w:hint="eastAsia"/>
                <w:kern w:val="0"/>
                <w:szCs w:val="21"/>
              </w:rPr>
              <w:t>万元</w:t>
            </w:r>
          </w:p>
        </w:tc>
        <w:tc>
          <w:tcPr>
            <w:tcW w:w="2520" w:type="dxa"/>
          </w:tcPr>
          <w:p w14:paraId="7F9DDD4E"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kern w:val="0"/>
                <w:szCs w:val="21"/>
              </w:rPr>
              <w:t>0.3</w:t>
            </w:r>
            <w:r>
              <w:rPr>
                <w:rFonts w:ascii="仿宋" w:eastAsia="仿宋" w:hAnsi="仿宋" w:hint="eastAsia"/>
                <w:kern w:val="0"/>
                <w:szCs w:val="21"/>
              </w:rPr>
              <w:t>%</w:t>
            </w:r>
          </w:p>
        </w:tc>
      </w:tr>
      <w:tr w:rsidR="00BF38BB" w14:paraId="75EEC695" w14:textId="77777777">
        <w:trPr>
          <w:jc w:val="center"/>
        </w:trPr>
        <w:tc>
          <w:tcPr>
            <w:tcW w:w="3700" w:type="dxa"/>
          </w:tcPr>
          <w:p w14:paraId="3E85FE31"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hint="eastAsia"/>
                <w:kern w:val="0"/>
                <w:szCs w:val="21"/>
              </w:rPr>
              <w:t>M</w:t>
            </w:r>
            <w:r>
              <w:rPr>
                <w:rFonts w:ascii="仿宋" w:eastAsia="仿宋" w:hAnsi="仿宋" w:hint="eastAsia"/>
                <w:kern w:val="0"/>
                <w:szCs w:val="21"/>
              </w:rPr>
              <w:t>≥</w:t>
            </w:r>
            <w:r>
              <w:rPr>
                <w:rFonts w:ascii="仿宋" w:eastAsia="仿宋" w:hAnsi="仿宋"/>
                <w:kern w:val="0"/>
                <w:szCs w:val="21"/>
              </w:rPr>
              <w:t>10</w:t>
            </w:r>
            <w:r>
              <w:rPr>
                <w:rFonts w:ascii="仿宋" w:eastAsia="仿宋" w:hAnsi="仿宋" w:hint="eastAsia"/>
                <w:kern w:val="0"/>
                <w:szCs w:val="21"/>
              </w:rPr>
              <w:t>00</w:t>
            </w:r>
            <w:r>
              <w:rPr>
                <w:rFonts w:ascii="仿宋" w:eastAsia="仿宋" w:hAnsi="仿宋" w:hint="eastAsia"/>
                <w:kern w:val="0"/>
                <w:szCs w:val="21"/>
              </w:rPr>
              <w:t>万元</w:t>
            </w:r>
          </w:p>
        </w:tc>
        <w:tc>
          <w:tcPr>
            <w:tcW w:w="2520" w:type="dxa"/>
          </w:tcPr>
          <w:p w14:paraId="357573F8" w14:textId="77777777" w:rsidR="00BF38BB" w:rsidRDefault="002837D7">
            <w:pPr>
              <w:autoSpaceDE w:val="0"/>
              <w:autoSpaceDN w:val="0"/>
              <w:adjustRightInd w:val="0"/>
              <w:spacing w:line="360" w:lineRule="auto"/>
              <w:jc w:val="center"/>
              <w:rPr>
                <w:rFonts w:ascii="仿宋" w:eastAsia="仿宋" w:hAnsi="仿宋"/>
                <w:kern w:val="0"/>
                <w:szCs w:val="21"/>
              </w:rPr>
            </w:pPr>
            <w:r>
              <w:rPr>
                <w:rFonts w:ascii="仿宋" w:eastAsia="仿宋" w:hAnsi="仿宋" w:hint="eastAsia"/>
                <w:kern w:val="0"/>
                <w:szCs w:val="21"/>
              </w:rPr>
              <w:t>按笔收取，</w:t>
            </w:r>
            <w:r>
              <w:rPr>
                <w:rFonts w:ascii="仿宋" w:eastAsia="仿宋" w:hAnsi="仿宋" w:hint="eastAsia"/>
                <w:kern w:val="0"/>
                <w:szCs w:val="21"/>
              </w:rPr>
              <w:t>1000</w:t>
            </w:r>
            <w:r>
              <w:rPr>
                <w:rFonts w:ascii="仿宋" w:eastAsia="仿宋" w:hAnsi="仿宋" w:hint="eastAsia"/>
                <w:kern w:val="0"/>
                <w:szCs w:val="21"/>
              </w:rPr>
              <w:t>元</w:t>
            </w:r>
            <w:r>
              <w:rPr>
                <w:rFonts w:ascii="仿宋" w:eastAsia="仿宋" w:hAnsi="仿宋" w:hint="eastAsia"/>
                <w:kern w:val="0"/>
                <w:szCs w:val="21"/>
              </w:rPr>
              <w:t>/</w:t>
            </w:r>
            <w:r>
              <w:rPr>
                <w:rFonts w:ascii="仿宋" w:eastAsia="仿宋" w:hAnsi="仿宋" w:hint="eastAsia"/>
                <w:kern w:val="0"/>
                <w:szCs w:val="21"/>
              </w:rPr>
              <w:t>笔</w:t>
            </w:r>
          </w:p>
        </w:tc>
      </w:tr>
    </w:tbl>
    <w:p w14:paraId="64454BFF" w14:textId="77777777" w:rsidR="00BF38BB" w:rsidRDefault="002837D7">
      <w:pPr>
        <w:autoSpaceDE w:val="0"/>
        <w:autoSpaceDN w:val="0"/>
        <w:adjustRightInd w:val="0"/>
        <w:spacing w:line="360" w:lineRule="auto"/>
        <w:ind w:firstLineChars="192" w:firstLine="403"/>
        <w:rPr>
          <w:rFonts w:ascii="宋体" w:hAnsi="宋体"/>
          <w:color w:val="000000"/>
          <w:kern w:val="0"/>
        </w:rPr>
      </w:pPr>
      <w:r>
        <w:rPr>
          <w:rFonts w:ascii="宋体" w:hAnsi="宋体" w:hint="eastAsia"/>
          <w:color w:val="000000"/>
          <w:kern w:val="0"/>
        </w:rPr>
        <w:t>本基金</w:t>
      </w:r>
      <w:r>
        <w:rPr>
          <w:rFonts w:ascii="宋体" w:hAnsi="宋体" w:hint="eastAsia"/>
          <w:color w:val="000000"/>
          <w:kern w:val="0"/>
        </w:rPr>
        <w:t>A</w:t>
      </w:r>
      <w:r>
        <w:rPr>
          <w:rFonts w:ascii="宋体" w:hAnsi="宋体" w:hint="eastAsia"/>
          <w:color w:val="000000"/>
          <w:kern w:val="0"/>
        </w:rPr>
        <w:t>类基金份额的申购费用主要用于本基金的市场推广、销售等各项费用，不列入基金财产</w:t>
      </w:r>
      <w:r>
        <w:rPr>
          <w:rFonts w:ascii="宋体" w:hAnsi="宋体"/>
          <w:color w:val="000000"/>
          <w:kern w:val="0"/>
        </w:rPr>
        <w:t>。</w:t>
      </w:r>
    </w:p>
    <w:p w14:paraId="518157DE" w14:textId="77777777" w:rsidR="00BF38BB" w:rsidRDefault="002837D7">
      <w:pPr>
        <w:spacing w:line="360" w:lineRule="auto"/>
        <w:ind w:firstLineChars="200" w:firstLine="420"/>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w:t>
      </w:r>
      <w:r>
        <w:rPr>
          <w:rFonts w:ascii="宋体" w:hAnsi="宋体" w:hint="eastAsia"/>
          <w:color w:val="000000"/>
          <w:kern w:val="0"/>
          <w:szCs w:val="21"/>
        </w:rPr>
        <w:t>）投资者申购本基金</w:t>
      </w:r>
      <w:r>
        <w:rPr>
          <w:rFonts w:ascii="宋体" w:hAnsi="宋体" w:hint="eastAsia"/>
          <w:color w:val="000000"/>
          <w:kern w:val="0"/>
          <w:szCs w:val="21"/>
        </w:rPr>
        <w:t>C</w:t>
      </w:r>
      <w:r>
        <w:rPr>
          <w:rFonts w:ascii="宋体" w:hAnsi="宋体" w:hint="eastAsia"/>
          <w:color w:val="000000"/>
          <w:kern w:val="0"/>
          <w:szCs w:val="21"/>
        </w:rPr>
        <w:t>类基金份额不收取申购费用，即</w:t>
      </w:r>
      <w:r>
        <w:rPr>
          <w:rFonts w:ascii="宋体" w:hAnsi="宋体" w:hint="eastAsia"/>
          <w:color w:val="000000"/>
          <w:kern w:val="0"/>
          <w:szCs w:val="21"/>
        </w:rPr>
        <w:t>C</w:t>
      </w:r>
      <w:r>
        <w:rPr>
          <w:rFonts w:ascii="宋体" w:hAnsi="宋体" w:hint="eastAsia"/>
          <w:color w:val="000000"/>
          <w:kern w:val="0"/>
          <w:szCs w:val="21"/>
        </w:rPr>
        <w:t>类基金份额申购费率为</w:t>
      </w:r>
      <w:r>
        <w:rPr>
          <w:rFonts w:ascii="宋体" w:hAnsi="宋体" w:hint="eastAsia"/>
          <w:color w:val="000000"/>
          <w:kern w:val="0"/>
          <w:szCs w:val="21"/>
        </w:rPr>
        <w:t>0</w:t>
      </w:r>
      <w:r>
        <w:rPr>
          <w:rFonts w:ascii="宋体" w:hAnsi="宋体" w:hint="eastAsia"/>
          <w:color w:val="000000"/>
          <w:kern w:val="0"/>
          <w:szCs w:val="21"/>
        </w:rPr>
        <w:t>。</w:t>
      </w:r>
    </w:p>
    <w:p w14:paraId="6A14BE81" w14:textId="77777777" w:rsidR="00BF38BB" w:rsidRDefault="002837D7">
      <w:pPr>
        <w:autoSpaceDE w:val="0"/>
        <w:autoSpaceDN w:val="0"/>
        <w:adjustRightInd w:val="0"/>
        <w:spacing w:line="360" w:lineRule="auto"/>
        <w:ind w:firstLineChars="192" w:firstLine="403"/>
        <w:rPr>
          <w:rFonts w:ascii="宋体" w:hAnsi="宋体"/>
          <w:kern w:val="0"/>
        </w:rPr>
      </w:pPr>
      <w:r>
        <w:rPr>
          <w:rFonts w:ascii="宋体" w:hAnsi="宋体"/>
          <w:kern w:val="0"/>
        </w:rPr>
        <w:t>2</w:t>
      </w:r>
      <w:r>
        <w:rPr>
          <w:rFonts w:ascii="宋体" w:hAnsi="宋体"/>
          <w:kern w:val="0"/>
        </w:rPr>
        <w:t>、</w:t>
      </w:r>
      <w:r>
        <w:rPr>
          <w:rFonts w:ascii="宋体" w:hAnsi="宋体" w:hint="eastAsia"/>
          <w:kern w:val="0"/>
        </w:rPr>
        <w:t>赎回费率</w:t>
      </w:r>
    </w:p>
    <w:p w14:paraId="38DD596B" w14:textId="77777777" w:rsidR="00BF38BB" w:rsidRDefault="002837D7">
      <w:pPr>
        <w:autoSpaceDE w:val="0"/>
        <w:autoSpaceDN w:val="0"/>
        <w:adjustRightInd w:val="0"/>
        <w:spacing w:line="360" w:lineRule="auto"/>
        <w:ind w:firstLineChars="192" w:firstLine="403"/>
        <w:rPr>
          <w:rFonts w:ascii="宋体" w:hAnsi="宋体"/>
          <w:kern w:val="0"/>
        </w:rPr>
      </w:pPr>
      <w:r>
        <w:rPr>
          <w:rFonts w:ascii="宋体" w:hAnsi="宋体"/>
          <w:kern w:val="0"/>
        </w:rPr>
        <w:t>本基金对</w:t>
      </w:r>
      <w:r>
        <w:rPr>
          <w:rFonts w:ascii="宋体" w:hAnsi="宋体" w:hint="eastAsia"/>
          <w:kern w:val="0"/>
        </w:rPr>
        <w:t>各类</w:t>
      </w:r>
      <w:r>
        <w:rPr>
          <w:rFonts w:ascii="宋体" w:hAnsi="宋体"/>
          <w:kern w:val="0"/>
        </w:rPr>
        <w:t>基金份额收取赎回费，在投资者赎回基金份额时收取。基金份额的赎回费率按照持有时间递减，即相关基金份额持有时间越长，所适用的赎回费率越低。</w:t>
      </w:r>
      <w:r>
        <w:rPr>
          <w:rFonts w:ascii="宋体" w:hAnsi="宋体"/>
          <w:kern w:val="0"/>
        </w:rPr>
        <w:t xml:space="preserve"> </w:t>
      </w:r>
    </w:p>
    <w:p w14:paraId="1EBC2FB2" w14:textId="77777777" w:rsidR="00BF38BB" w:rsidRDefault="002837D7">
      <w:pPr>
        <w:autoSpaceDE w:val="0"/>
        <w:autoSpaceDN w:val="0"/>
        <w:adjustRightInd w:val="0"/>
        <w:spacing w:line="360" w:lineRule="auto"/>
        <w:ind w:firstLineChars="192" w:firstLine="403"/>
        <w:rPr>
          <w:rFonts w:ascii="宋体" w:hAnsi="宋体"/>
          <w:kern w:val="0"/>
        </w:rPr>
      </w:pPr>
      <w:r>
        <w:rPr>
          <w:rFonts w:ascii="宋体" w:hAnsi="宋体" w:hint="eastAsia"/>
          <w:kern w:val="0"/>
        </w:rPr>
        <w:t>赎回费用由赎回各类基金份额的基金份额持有人承担，在基金份额持有人赎回相应类别基金份额时收取。赎回费用全额计入基金财产。</w:t>
      </w:r>
    </w:p>
    <w:p w14:paraId="347E80A1" w14:textId="77777777" w:rsidR="00BF38BB" w:rsidRDefault="002837D7">
      <w:pPr>
        <w:autoSpaceDE w:val="0"/>
        <w:autoSpaceDN w:val="0"/>
        <w:adjustRightInd w:val="0"/>
        <w:spacing w:line="360" w:lineRule="auto"/>
        <w:ind w:firstLineChars="192" w:firstLine="403"/>
      </w:pPr>
      <w:r>
        <w:rPr>
          <w:rFonts w:ascii="宋体" w:hAnsi="宋体" w:hint="eastAsia"/>
          <w:kern w:val="0"/>
        </w:rPr>
        <w:t>其中，对于投资者在基金管理人或基金管理人销售子公司处保有的</w:t>
      </w:r>
      <w:r>
        <w:rPr>
          <w:rFonts w:ascii="宋体" w:hAnsi="宋体"/>
          <w:kern w:val="0"/>
        </w:rPr>
        <w:t>C</w:t>
      </w:r>
      <w:r>
        <w:rPr>
          <w:rFonts w:ascii="宋体" w:hAnsi="宋体"/>
          <w:kern w:val="0"/>
        </w:rPr>
        <w:t>类基金份额，其先行收取的销售服务费将在投资者赎回时随赎回款一并返还给投资者；对于投资者在其他销售机构处保有的且持续持有期限超过一年（即</w:t>
      </w:r>
      <w:r>
        <w:rPr>
          <w:rFonts w:ascii="宋体" w:hAnsi="宋体"/>
          <w:kern w:val="0"/>
        </w:rPr>
        <w:t>365</w:t>
      </w:r>
      <w:r>
        <w:rPr>
          <w:rFonts w:ascii="宋体" w:hAnsi="宋体"/>
          <w:kern w:val="0"/>
        </w:rPr>
        <w:t>天）的</w:t>
      </w:r>
      <w:r>
        <w:rPr>
          <w:rFonts w:ascii="宋体" w:hAnsi="宋体"/>
          <w:kern w:val="0"/>
        </w:rPr>
        <w:t>C</w:t>
      </w:r>
      <w:r>
        <w:rPr>
          <w:rFonts w:ascii="宋体" w:hAnsi="宋体"/>
          <w:kern w:val="0"/>
        </w:rPr>
        <w:t>类基金份额，超过一年后继续收取的销售服务费将在投资者赎回时随赎回款一并返还给投资者。</w:t>
      </w:r>
      <w:r>
        <w:rPr>
          <w:rFonts w:hint="eastAsia"/>
        </w:rPr>
        <w:t>（</w:t>
      </w:r>
      <w:r>
        <w:rPr>
          <w:rFonts w:hint="eastAsia"/>
        </w:rPr>
        <w:t>1</w:t>
      </w:r>
      <w:r>
        <w:rPr>
          <w:rFonts w:hint="eastAsia"/>
        </w:rPr>
        <w:t>）个人投资者持有本基金</w:t>
      </w:r>
      <w:r>
        <w:rPr>
          <w:rFonts w:hint="eastAsia"/>
        </w:rPr>
        <w:t>A</w:t>
      </w:r>
      <w:r>
        <w:rPr>
          <w:rFonts w:hint="eastAsia"/>
        </w:rPr>
        <w:t>类基金份额和</w:t>
      </w:r>
      <w:r>
        <w:rPr>
          <w:rFonts w:hint="eastAsia"/>
        </w:rPr>
        <w:t>C</w:t>
      </w:r>
      <w:r>
        <w:rPr>
          <w:rFonts w:hint="eastAsia"/>
        </w:rPr>
        <w:t>类基金份额适用相同的费率结构，具体赎回费率如下表所示：</w:t>
      </w:r>
    </w:p>
    <w:tbl>
      <w:tblPr>
        <w:tblW w:w="5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810"/>
      </w:tblGrid>
      <w:tr w:rsidR="00BF38BB" w14:paraId="0EEDFFE1" w14:textId="77777777">
        <w:trPr>
          <w:trHeight w:val="566"/>
          <w:jc w:val="center"/>
        </w:trPr>
        <w:tc>
          <w:tcPr>
            <w:tcW w:w="0" w:type="auto"/>
            <w:tcBorders>
              <w:top w:val="single" w:sz="4" w:space="0" w:color="auto"/>
              <w:left w:val="single" w:sz="4" w:space="0" w:color="auto"/>
              <w:bottom w:val="single" w:sz="4" w:space="0" w:color="auto"/>
              <w:right w:val="single" w:sz="4" w:space="0" w:color="auto"/>
            </w:tcBorders>
          </w:tcPr>
          <w:p w14:paraId="74196678" w14:textId="77777777" w:rsidR="00BF38BB" w:rsidRDefault="002837D7">
            <w:pPr>
              <w:spacing w:line="360" w:lineRule="auto"/>
              <w:jc w:val="center"/>
              <w:rPr>
                <w:bCs/>
                <w:color w:val="000000" w:themeColor="text1"/>
                <w:szCs w:val="21"/>
              </w:rPr>
            </w:pPr>
            <w:r>
              <w:rPr>
                <w:rFonts w:cs="Arial" w:hint="eastAsia"/>
                <w:color w:val="000000"/>
                <w:szCs w:val="21"/>
              </w:rPr>
              <w:t>持</w:t>
            </w:r>
            <w:r>
              <w:rPr>
                <w:rFonts w:cs="Arial" w:hint="eastAsia"/>
                <w:color w:val="000000"/>
                <w:szCs w:val="21"/>
              </w:rPr>
              <w:t>续持有期限</w:t>
            </w:r>
            <w:r>
              <w:rPr>
                <w:rFonts w:hint="eastAsia"/>
                <w:bCs/>
                <w:color w:val="000000" w:themeColor="text1"/>
                <w:szCs w:val="21"/>
              </w:rPr>
              <w:t>（</w:t>
            </w:r>
            <w:r>
              <w:rPr>
                <w:rFonts w:hint="eastAsia"/>
                <w:bCs/>
                <w:color w:val="000000" w:themeColor="text1"/>
                <w:szCs w:val="21"/>
              </w:rPr>
              <w:t>N</w:t>
            </w:r>
            <w:r>
              <w:rPr>
                <w:rFonts w:hint="eastAsia"/>
                <w:bCs/>
                <w:color w:val="000000" w:themeColor="text1"/>
                <w:szCs w:val="21"/>
              </w:rPr>
              <w:t>）</w:t>
            </w:r>
          </w:p>
        </w:tc>
        <w:tc>
          <w:tcPr>
            <w:tcW w:w="1810" w:type="dxa"/>
            <w:tcBorders>
              <w:top w:val="single" w:sz="4" w:space="0" w:color="auto"/>
              <w:left w:val="single" w:sz="4" w:space="0" w:color="auto"/>
              <w:bottom w:val="single" w:sz="4" w:space="0" w:color="auto"/>
              <w:right w:val="single" w:sz="4" w:space="0" w:color="auto"/>
            </w:tcBorders>
          </w:tcPr>
          <w:p w14:paraId="0D7CFC76" w14:textId="77777777" w:rsidR="00BF38BB" w:rsidRDefault="002837D7">
            <w:pPr>
              <w:spacing w:line="360" w:lineRule="auto"/>
              <w:jc w:val="center"/>
              <w:rPr>
                <w:bCs/>
                <w:color w:val="000000" w:themeColor="text1"/>
                <w:szCs w:val="21"/>
              </w:rPr>
            </w:pPr>
            <w:r>
              <w:rPr>
                <w:rFonts w:hint="eastAsia"/>
                <w:bCs/>
                <w:color w:val="000000" w:themeColor="text1"/>
                <w:szCs w:val="21"/>
              </w:rPr>
              <w:t>赎回费率</w:t>
            </w:r>
          </w:p>
        </w:tc>
      </w:tr>
      <w:tr w:rsidR="00BF38BB" w14:paraId="1950F2C5" w14:textId="77777777">
        <w:trPr>
          <w:trHeight w:val="566"/>
          <w:jc w:val="center"/>
        </w:trPr>
        <w:tc>
          <w:tcPr>
            <w:tcW w:w="0" w:type="auto"/>
            <w:tcBorders>
              <w:top w:val="single" w:sz="4" w:space="0" w:color="auto"/>
              <w:left w:val="single" w:sz="4" w:space="0" w:color="auto"/>
              <w:bottom w:val="single" w:sz="4" w:space="0" w:color="auto"/>
              <w:right w:val="single" w:sz="4" w:space="0" w:color="auto"/>
            </w:tcBorders>
            <w:vAlign w:val="center"/>
          </w:tcPr>
          <w:p w14:paraId="5B7E1961" w14:textId="77777777" w:rsidR="00BF38BB" w:rsidRDefault="002837D7">
            <w:pPr>
              <w:snapToGrid w:val="0"/>
              <w:spacing w:line="360" w:lineRule="auto"/>
              <w:jc w:val="center"/>
              <w:rPr>
                <w:kern w:val="0"/>
                <w:szCs w:val="21"/>
              </w:rPr>
            </w:pPr>
            <w:r>
              <w:rPr>
                <w:kern w:val="0"/>
                <w:szCs w:val="21"/>
              </w:rPr>
              <w:t>N</w:t>
            </w:r>
            <w:r>
              <w:rPr>
                <w:kern w:val="0"/>
                <w:szCs w:val="21"/>
              </w:rPr>
              <w:t>＜</w:t>
            </w:r>
            <w:r>
              <w:rPr>
                <w:rFonts w:hint="eastAsia"/>
                <w:kern w:val="0"/>
                <w:szCs w:val="21"/>
              </w:rPr>
              <w:t>7</w:t>
            </w:r>
            <w:r>
              <w:rPr>
                <w:rFonts w:hint="eastAsia"/>
                <w:kern w:val="0"/>
                <w:szCs w:val="21"/>
              </w:rPr>
              <w:t>天</w:t>
            </w:r>
          </w:p>
        </w:tc>
        <w:tc>
          <w:tcPr>
            <w:tcW w:w="1810" w:type="dxa"/>
            <w:tcBorders>
              <w:top w:val="single" w:sz="4" w:space="0" w:color="auto"/>
              <w:left w:val="single" w:sz="4" w:space="0" w:color="auto"/>
              <w:bottom w:val="single" w:sz="4" w:space="0" w:color="auto"/>
              <w:right w:val="single" w:sz="4" w:space="0" w:color="auto"/>
            </w:tcBorders>
            <w:vAlign w:val="center"/>
          </w:tcPr>
          <w:p w14:paraId="0FA07263" w14:textId="77777777" w:rsidR="00BF38BB" w:rsidRDefault="002837D7">
            <w:pPr>
              <w:snapToGrid w:val="0"/>
              <w:spacing w:line="360" w:lineRule="auto"/>
              <w:jc w:val="center"/>
              <w:rPr>
                <w:kern w:val="0"/>
                <w:szCs w:val="21"/>
              </w:rPr>
            </w:pPr>
            <w:r>
              <w:rPr>
                <w:rFonts w:hint="eastAsia"/>
                <w:kern w:val="0"/>
                <w:szCs w:val="21"/>
              </w:rPr>
              <w:t>1.5</w:t>
            </w:r>
            <w:r>
              <w:rPr>
                <w:kern w:val="0"/>
                <w:szCs w:val="21"/>
              </w:rPr>
              <w:t>0</w:t>
            </w:r>
            <w:r>
              <w:rPr>
                <w:rFonts w:hint="eastAsia"/>
                <w:kern w:val="0"/>
                <w:szCs w:val="21"/>
              </w:rPr>
              <w:t>%</w:t>
            </w:r>
          </w:p>
        </w:tc>
      </w:tr>
      <w:tr w:rsidR="00BF38BB" w14:paraId="676672FB" w14:textId="77777777">
        <w:trPr>
          <w:trHeight w:val="627"/>
          <w:jc w:val="center"/>
        </w:trPr>
        <w:tc>
          <w:tcPr>
            <w:tcW w:w="0" w:type="auto"/>
            <w:tcBorders>
              <w:top w:val="single" w:sz="4" w:space="0" w:color="auto"/>
              <w:left w:val="single" w:sz="4" w:space="0" w:color="auto"/>
              <w:bottom w:val="single" w:sz="4" w:space="0" w:color="auto"/>
              <w:right w:val="single" w:sz="4" w:space="0" w:color="auto"/>
            </w:tcBorders>
            <w:vAlign w:val="center"/>
          </w:tcPr>
          <w:p w14:paraId="517E28E3" w14:textId="77777777" w:rsidR="00BF38BB" w:rsidRDefault="002837D7">
            <w:pPr>
              <w:snapToGrid w:val="0"/>
              <w:spacing w:line="360" w:lineRule="auto"/>
              <w:jc w:val="center"/>
              <w:rPr>
                <w:kern w:val="0"/>
                <w:szCs w:val="21"/>
              </w:rPr>
            </w:pPr>
            <w:r>
              <w:rPr>
                <w:kern w:val="0"/>
                <w:szCs w:val="21"/>
              </w:rPr>
              <w:t>N</w:t>
            </w:r>
            <w:r>
              <w:rPr>
                <w:rFonts w:hint="eastAsia"/>
                <w:kern w:val="0"/>
                <w:szCs w:val="21"/>
              </w:rPr>
              <w:t>≥</w:t>
            </w:r>
            <w:r>
              <w:rPr>
                <w:kern w:val="0"/>
                <w:szCs w:val="21"/>
              </w:rPr>
              <w:t>7</w:t>
            </w:r>
            <w:r>
              <w:rPr>
                <w:rFonts w:hint="eastAsia"/>
                <w:kern w:val="0"/>
                <w:szCs w:val="21"/>
              </w:rPr>
              <w:t>天</w:t>
            </w:r>
          </w:p>
        </w:tc>
        <w:tc>
          <w:tcPr>
            <w:tcW w:w="1810" w:type="dxa"/>
            <w:tcBorders>
              <w:top w:val="single" w:sz="4" w:space="0" w:color="auto"/>
              <w:left w:val="single" w:sz="4" w:space="0" w:color="auto"/>
              <w:bottom w:val="single" w:sz="4" w:space="0" w:color="auto"/>
              <w:right w:val="single" w:sz="4" w:space="0" w:color="auto"/>
            </w:tcBorders>
            <w:vAlign w:val="center"/>
          </w:tcPr>
          <w:p w14:paraId="6FF36494" w14:textId="77777777" w:rsidR="00BF38BB" w:rsidRDefault="002837D7">
            <w:pPr>
              <w:snapToGrid w:val="0"/>
              <w:spacing w:line="360" w:lineRule="auto"/>
              <w:jc w:val="center"/>
              <w:rPr>
                <w:kern w:val="0"/>
                <w:szCs w:val="21"/>
              </w:rPr>
            </w:pPr>
            <w:r>
              <w:rPr>
                <w:rFonts w:hint="eastAsia"/>
                <w:kern w:val="0"/>
                <w:szCs w:val="21"/>
              </w:rPr>
              <w:t>0</w:t>
            </w:r>
          </w:p>
        </w:tc>
      </w:tr>
    </w:tbl>
    <w:p w14:paraId="6055F2B4" w14:textId="77777777" w:rsidR="00BF38BB" w:rsidRDefault="002837D7">
      <w:pPr>
        <w:autoSpaceDE w:val="0"/>
        <w:autoSpaceDN w:val="0"/>
        <w:adjustRightInd w:val="0"/>
        <w:spacing w:line="360" w:lineRule="auto"/>
        <w:ind w:firstLineChars="192" w:firstLine="403"/>
      </w:pPr>
      <w:r>
        <w:rPr>
          <w:rFonts w:hint="eastAsia"/>
        </w:rPr>
        <w:t>（</w:t>
      </w:r>
      <w:r>
        <w:t>2</w:t>
      </w:r>
      <w:r>
        <w:rPr>
          <w:rFonts w:hint="eastAsia"/>
        </w:rPr>
        <w:t>）非个人投资者持有本基金</w:t>
      </w:r>
      <w:r>
        <w:rPr>
          <w:rFonts w:hint="eastAsia"/>
        </w:rPr>
        <w:t>A</w:t>
      </w:r>
      <w:r>
        <w:rPr>
          <w:rFonts w:hint="eastAsia"/>
        </w:rPr>
        <w:t>类基金份额和</w:t>
      </w:r>
      <w:r>
        <w:rPr>
          <w:rFonts w:hint="eastAsia"/>
        </w:rPr>
        <w:t>C</w:t>
      </w:r>
      <w:r>
        <w:rPr>
          <w:rFonts w:hint="eastAsia"/>
        </w:rPr>
        <w:t>类基金份额适用相同的费率结构，具体赎回费率如下表所示：</w:t>
      </w:r>
    </w:p>
    <w:tbl>
      <w:tblPr>
        <w:tblW w:w="5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810"/>
      </w:tblGrid>
      <w:tr w:rsidR="00BF38BB" w14:paraId="19F34093" w14:textId="77777777">
        <w:trPr>
          <w:trHeight w:val="566"/>
          <w:jc w:val="center"/>
        </w:trPr>
        <w:tc>
          <w:tcPr>
            <w:tcW w:w="0" w:type="auto"/>
            <w:tcBorders>
              <w:top w:val="single" w:sz="4" w:space="0" w:color="auto"/>
              <w:left w:val="single" w:sz="4" w:space="0" w:color="auto"/>
              <w:bottom w:val="single" w:sz="4" w:space="0" w:color="auto"/>
              <w:right w:val="single" w:sz="4" w:space="0" w:color="auto"/>
            </w:tcBorders>
          </w:tcPr>
          <w:p w14:paraId="5C4CD654" w14:textId="77777777" w:rsidR="00BF38BB" w:rsidRDefault="002837D7">
            <w:pPr>
              <w:spacing w:line="360" w:lineRule="auto"/>
              <w:jc w:val="center"/>
              <w:rPr>
                <w:bCs/>
                <w:color w:val="000000" w:themeColor="text1"/>
                <w:szCs w:val="21"/>
              </w:rPr>
            </w:pPr>
            <w:r>
              <w:rPr>
                <w:rFonts w:cs="Arial" w:hint="eastAsia"/>
                <w:color w:val="000000"/>
                <w:szCs w:val="21"/>
              </w:rPr>
              <w:t>持续持有期限</w:t>
            </w:r>
            <w:r>
              <w:rPr>
                <w:rFonts w:hint="eastAsia"/>
                <w:bCs/>
                <w:color w:val="000000" w:themeColor="text1"/>
                <w:szCs w:val="21"/>
              </w:rPr>
              <w:t>（</w:t>
            </w:r>
            <w:r>
              <w:rPr>
                <w:rFonts w:hint="eastAsia"/>
                <w:bCs/>
                <w:color w:val="000000" w:themeColor="text1"/>
                <w:szCs w:val="21"/>
              </w:rPr>
              <w:t>N</w:t>
            </w:r>
            <w:r>
              <w:rPr>
                <w:rFonts w:hint="eastAsia"/>
                <w:bCs/>
                <w:color w:val="000000" w:themeColor="text1"/>
                <w:szCs w:val="21"/>
              </w:rPr>
              <w:t>）</w:t>
            </w:r>
          </w:p>
        </w:tc>
        <w:tc>
          <w:tcPr>
            <w:tcW w:w="1810" w:type="dxa"/>
            <w:tcBorders>
              <w:top w:val="single" w:sz="4" w:space="0" w:color="auto"/>
              <w:left w:val="single" w:sz="4" w:space="0" w:color="auto"/>
              <w:bottom w:val="single" w:sz="4" w:space="0" w:color="auto"/>
              <w:right w:val="single" w:sz="4" w:space="0" w:color="auto"/>
            </w:tcBorders>
          </w:tcPr>
          <w:p w14:paraId="0AC746C9" w14:textId="77777777" w:rsidR="00BF38BB" w:rsidRDefault="002837D7">
            <w:pPr>
              <w:spacing w:line="360" w:lineRule="auto"/>
              <w:jc w:val="center"/>
              <w:rPr>
                <w:bCs/>
                <w:color w:val="000000" w:themeColor="text1"/>
                <w:szCs w:val="21"/>
              </w:rPr>
            </w:pPr>
            <w:r>
              <w:rPr>
                <w:rFonts w:hint="eastAsia"/>
                <w:bCs/>
                <w:color w:val="000000" w:themeColor="text1"/>
                <w:szCs w:val="21"/>
              </w:rPr>
              <w:t>赎回费率</w:t>
            </w:r>
          </w:p>
        </w:tc>
      </w:tr>
      <w:tr w:rsidR="00BF38BB" w14:paraId="024A064A" w14:textId="77777777">
        <w:trPr>
          <w:trHeight w:val="566"/>
          <w:jc w:val="center"/>
        </w:trPr>
        <w:tc>
          <w:tcPr>
            <w:tcW w:w="0" w:type="auto"/>
            <w:tcBorders>
              <w:top w:val="single" w:sz="4" w:space="0" w:color="auto"/>
              <w:left w:val="single" w:sz="4" w:space="0" w:color="auto"/>
              <w:bottom w:val="single" w:sz="4" w:space="0" w:color="auto"/>
              <w:right w:val="single" w:sz="4" w:space="0" w:color="auto"/>
            </w:tcBorders>
            <w:vAlign w:val="center"/>
          </w:tcPr>
          <w:p w14:paraId="2400F9AE" w14:textId="77777777" w:rsidR="00BF38BB" w:rsidRDefault="002837D7">
            <w:pPr>
              <w:snapToGrid w:val="0"/>
              <w:spacing w:line="360" w:lineRule="auto"/>
              <w:jc w:val="center"/>
              <w:rPr>
                <w:kern w:val="0"/>
                <w:szCs w:val="21"/>
              </w:rPr>
            </w:pPr>
            <w:r>
              <w:rPr>
                <w:kern w:val="0"/>
                <w:szCs w:val="21"/>
              </w:rPr>
              <w:t>N</w:t>
            </w:r>
            <w:r>
              <w:rPr>
                <w:kern w:val="0"/>
                <w:szCs w:val="21"/>
              </w:rPr>
              <w:t>＜</w:t>
            </w:r>
            <w:r>
              <w:rPr>
                <w:rFonts w:hint="eastAsia"/>
                <w:kern w:val="0"/>
                <w:szCs w:val="21"/>
              </w:rPr>
              <w:t>7</w:t>
            </w:r>
            <w:r>
              <w:rPr>
                <w:rFonts w:hint="eastAsia"/>
                <w:kern w:val="0"/>
                <w:szCs w:val="21"/>
              </w:rPr>
              <w:t>天</w:t>
            </w:r>
          </w:p>
        </w:tc>
        <w:tc>
          <w:tcPr>
            <w:tcW w:w="1810" w:type="dxa"/>
            <w:tcBorders>
              <w:top w:val="single" w:sz="4" w:space="0" w:color="auto"/>
              <w:left w:val="single" w:sz="4" w:space="0" w:color="auto"/>
              <w:bottom w:val="single" w:sz="4" w:space="0" w:color="auto"/>
              <w:right w:val="single" w:sz="4" w:space="0" w:color="auto"/>
            </w:tcBorders>
            <w:vAlign w:val="center"/>
          </w:tcPr>
          <w:p w14:paraId="54775D7A" w14:textId="77777777" w:rsidR="00BF38BB" w:rsidRDefault="002837D7">
            <w:pPr>
              <w:snapToGrid w:val="0"/>
              <w:spacing w:line="360" w:lineRule="auto"/>
              <w:jc w:val="center"/>
              <w:rPr>
                <w:kern w:val="0"/>
                <w:szCs w:val="21"/>
              </w:rPr>
            </w:pPr>
            <w:r>
              <w:rPr>
                <w:rFonts w:hint="eastAsia"/>
                <w:kern w:val="0"/>
                <w:szCs w:val="21"/>
              </w:rPr>
              <w:t>1.5</w:t>
            </w:r>
            <w:r>
              <w:rPr>
                <w:kern w:val="0"/>
                <w:szCs w:val="21"/>
              </w:rPr>
              <w:t>0</w:t>
            </w:r>
            <w:r>
              <w:rPr>
                <w:rFonts w:hint="eastAsia"/>
                <w:kern w:val="0"/>
                <w:szCs w:val="21"/>
              </w:rPr>
              <w:t>%</w:t>
            </w:r>
          </w:p>
        </w:tc>
      </w:tr>
      <w:tr w:rsidR="00BF38BB" w14:paraId="0A0B5BCF" w14:textId="77777777">
        <w:trPr>
          <w:trHeight w:val="566"/>
          <w:jc w:val="center"/>
        </w:trPr>
        <w:tc>
          <w:tcPr>
            <w:tcW w:w="0" w:type="auto"/>
            <w:tcBorders>
              <w:top w:val="single" w:sz="4" w:space="0" w:color="auto"/>
              <w:left w:val="single" w:sz="4" w:space="0" w:color="auto"/>
              <w:bottom w:val="single" w:sz="4" w:space="0" w:color="auto"/>
              <w:right w:val="single" w:sz="4" w:space="0" w:color="auto"/>
            </w:tcBorders>
            <w:vAlign w:val="center"/>
          </w:tcPr>
          <w:p w14:paraId="6CDFE6BF" w14:textId="77777777" w:rsidR="00BF38BB" w:rsidRDefault="002837D7">
            <w:pPr>
              <w:snapToGrid w:val="0"/>
              <w:spacing w:line="360" w:lineRule="auto"/>
              <w:jc w:val="center"/>
              <w:rPr>
                <w:kern w:val="0"/>
                <w:szCs w:val="21"/>
              </w:rPr>
            </w:pPr>
            <w:r>
              <w:rPr>
                <w:rFonts w:hint="eastAsia"/>
                <w:kern w:val="0"/>
                <w:szCs w:val="21"/>
              </w:rPr>
              <w:t>7</w:t>
            </w:r>
            <w:r>
              <w:rPr>
                <w:rFonts w:hint="eastAsia"/>
                <w:kern w:val="0"/>
                <w:szCs w:val="21"/>
              </w:rPr>
              <w:t>天≤</w:t>
            </w:r>
            <w:r>
              <w:rPr>
                <w:rFonts w:hint="eastAsia"/>
                <w:kern w:val="0"/>
                <w:szCs w:val="21"/>
              </w:rPr>
              <w:t>N</w:t>
            </w:r>
            <w:r>
              <w:rPr>
                <w:rFonts w:hint="eastAsia"/>
                <w:kern w:val="0"/>
                <w:szCs w:val="21"/>
              </w:rPr>
              <w:t>＜</w:t>
            </w:r>
            <w:r>
              <w:rPr>
                <w:rFonts w:hint="eastAsia"/>
                <w:kern w:val="0"/>
                <w:szCs w:val="21"/>
              </w:rPr>
              <w:t>30</w:t>
            </w:r>
            <w:r>
              <w:rPr>
                <w:rFonts w:hint="eastAsia"/>
                <w:kern w:val="0"/>
                <w:szCs w:val="21"/>
              </w:rPr>
              <w:t>天</w:t>
            </w:r>
          </w:p>
        </w:tc>
        <w:tc>
          <w:tcPr>
            <w:tcW w:w="1810" w:type="dxa"/>
            <w:tcBorders>
              <w:top w:val="single" w:sz="4" w:space="0" w:color="auto"/>
              <w:left w:val="single" w:sz="4" w:space="0" w:color="auto"/>
              <w:bottom w:val="single" w:sz="4" w:space="0" w:color="auto"/>
              <w:right w:val="single" w:sz="4" w:space="0" w:color="auto"/>
            </w:tcBorders>
            <w:vAlign w:val="center"/>
          </w:tcPr>
          <w:p w14:paraId="64A4317C" w14:textId="77777777" w:rsidR="00BF38BB" w:rsidRDefault="002837D7">
            <w:pPr>
              <w:snapToGrid w:val="0"/>
              <w:spacing w:line="360" w:lineRule="auto"/>
              <w:jc w:val="center"/>
              <w:rPr>
                <w:kern w:val="0"/>
                <w:szCs w:val="21"/>
              </w:rPr>
            </w:pPr>
            <w:r>
              <w:rPr>
                <w:kern w:val="0"/>
                <w:szCs w:val="21"/>
              </w:rPr>
              <w:t>1.00</w:t>
            </w:r>
            <w:r>
              <w:rPr>
                <w:rFonts w:hint="eastAsia"/>
                <w:kern w:val="0"/>
                <w:szCs w:val="21"/>
              </w:rPr>
              <w:t>%</w:t>
            </w:r>
          </w:p>
        </w:tc>
      </w:tr>
      <w:tr w:rsidR="00BF38BB" w14:paraId="4C45357D" w14:textId="77777777">
        <w:trPr>
          <w:trHeight w:val="566"/>
          <w:jc w:val="center"/>
        </w:trPr>
        <w:tc>
          <w:tcPr>
            <w:tcW w:w="0" w:type="auto"/>
            <w:tcBorders>
              <w:top w:val="single" w:sz="4" w:space="0" w:color="auto"/>
              <w:left w:val="single" w:sz="4" w:space="0" w:color="auto"/>
              <w:bottom w:val="single" w:sz="4" w:space="0" w:color="auto"/>
              <w:right w:val="single" w:sz="4" w:space="0" w:color="auto"/>
            </w:tcBorders>
            <w:vAlign w:val="center"/>
          </w:tcPr>
          <w:p w14:paraId="70CDCE0B" w14:textId="77777777" w:rsidR="00BF38BB" w:rsidRDefault="002837D7">
            <w:pPr>
              <w:snapToGrid w:val="0"/>
              <w:spacing w:line="360" w:lineRule="auto"/>
              <w:jc w:val="center"/>
              <w:rPr>
                <w:kern w:val="0"/>
                <w:szCs w:val="21"/>
              </w:rPr>
            </w:pPr>
            <w:r>
              <w:rPr>
                <w:rFonts w:hint="eastAsia"/>
                <w:kern w:val="0"/>
                <w:szCs w:val="21"/>
              </w:rPr>
              <w:t>30</w:t>
            </w:r>
            <w:r>
              <w:rPr>
                <w:rFonts w:hint="eastAsia"/>
                <w:kern w:val="0"/>
                <w:szCs w:val="21"/>
              </w:rPr>
              <w:t>天≤</w:t>
            </w:r>
            <w:r>
              <w:rPr>
                <w:kern w:val="0"/>
                <w:szCs w:val="21"/>
              </w:rPr>
              <w:t>N</w:t>
            </w:r>
            <w:r>
              <w:rPr>
                <w:kern w:val="0"/>
                <w:szCs w:val="21"/>
              </w:rPr>
              <w:t>＜</w:t>
            </w:r>
            <w:r>
              <w:rPr>
                <w:rFonts w:hint="eastAsia"/>
                <w:kern w:val="0"/>
                <w:szCs w:val="21"/>
              </w:rPr>
              <w:t>180</w:t>
            </w:r>
            <w:r>
              <w:rPr>
                <w:rFonts w:hint="eastAsia"/>
                <w:kern w:val="0"/>
                <w:szCs w:val="21"/>
              </w:rPr>
              <w:t>天</w:t>
            </w:r>
          </w:p>
        </w:tc>
        <w:tc>
          <w:tcPr>
            <w:tcW w:w="1810" w:type="dxa"/>
            <w:tcBorders>
              <w:top w:val="single" w:sz="4" w:space="0" w:color="auto"/>
              <w:left w:val="single" w:sz="4" w:space="0" w:color="auto"/>
              <w:bottom w:val="single" w:sz="4" w:space="0" w:color="auto"/>
              <w:right w:val="single" w:sz="4" w:space="0" w:color="auto"/>
            </w:tcBorders>
            <w:vAlign w:val="center"/>
          </w:tcPr>
          <w:p w14:paraId="22665E87" w14:textId="77777777" w:rsidR="00BF38BB" w:rsidRDefault="002837D7">
            <w:pPr>
              <w:snapToGrid w:val="0"/>
              <w:spacing w:line="360" w:lineRule="auto"/>
              <w:jc w:val="center"/>
              <w:rPr>
                <w:kern w:val="0"/>
                <w:szCs w:val="21"/>
              </w:rPr>
            </w:pPr>
            <w:r>
              <w:rPr>
                <w:rFonts w:hint="eastAsia"/>
                <w:kern w:val="0"/>
                <w:szCs w:val="21"/>
              </w:rPr>
              <w:t>0.5</w:t>
            </w:r>
            <w:r>
              <w:rPr>
                <w:kern w:val="0"/>
                <w:szCs w:val="21"/>
              </w:rPr>
              <w:t>0</w:t>
            </w:r>
            <w:r>
              <w:rPr>
                <w:rFonts w:hint="eastAsia"/>
                <w:kern w:val="0"/>
                <w:szCs w:val="21"/>
              </w:rPr>
              <w:t>%</w:t>
            </w:r>
          </w:p>
        </w:tc>
      </w:tr>
      <w:tr w:rsidR="00BF38BB" w14:paraId="1C57636B" w14:textId="77777777">
        <w:trPr>
          <w:trHeight w:val="627"/>
          <w:jc w:val="center"/>
        </w:trPr>
        <w:tc>
          <w:tcPr>
            <w:tcW w:w="0" w:type="auto"/>
            <w:tcBorders>
              <w:top w:val="single" w:sz="4" w:space="0" w:color="auto"/>
              <w:left w:val="single" w:sz="4" w:space="0" w:color="auto"/>
              <w:bottom w:val="single" w:sz="4" w:space="0" w:color="auto"/>
              <w:right w:val="single" w:sz="4" w:space="0" w:color="auto"/>
            </w:tcBorders>
            <w:vAlign w:val="center"/>
          </w:tcPr>
          <w:p w14:paraId="1621CB16" w14:textId="77777777" w:rsidR="00BF38BB" w:rsidRDefault="002837D7">
            <w:pPr>
              <w:snapToGrid w:val="0"/>
              <w:spacing w:line="360" w:lineRule="auto"/>
              <w:jc w:val="center"/>
              <w:rPr>
                <w:kern w:val="0"/>
                <w:szCs w:val="21"/>
              </w:rPr>
            </w:pPr>
            <w:r>
              <w:rPr>
                <w:kern w:val="0"/>
                <w:szCs w:val="21"/>
              </w:rPr>
              <w:t>N</w:t>
            </w:r>
            <w:r>
              <w:rPr>
                <w:rFonts w:hint="eastAsia"/>
                <w:kern w:val="0"/>
                <w:szCs w:val="21"/>
              </w:rPr>
              <w:t>≥</w:t>
            </w:r>
            <w:r>
              <w:rPr>
                <w:rFonts w:hint="eastAsia"/>
                <w:kern w:val="0"/>
                <w:szCs w:val="21"/>
              </w:rPr>
              <w:t>180</w:t>
            </w:r>
            <w:r>
              <w:rPr>
                <w:rFonts w:hint="eastAsia"/>
                <w:kern w:val="0"/>
                <w:szCs w:val="21"/>
              </w:rPr>
              <w:t>天</w:t>
            </w:r>
          </w:p>
        </w:tc>
        <w:tc>
          <w:tcPr>
            <w:tcW w:w="1810" w:type="dxa"/>
            <w:tcBorders>
              <w:top w:val="single" w:sz="4" w:space="0" w:color="auto"/>
              <w:left w:val="single" w:sz="4" w:space="0" w:color="auto"/>
              <w:bottom w:val="single" w:sz="4" w:space="0" w:color="auto"/>
              <w:right w:val="single" w:sz="4" w:space="0" w:color="auto"/>
            </w:tcBorders>
            <w:vAlign w:val="center"/>
          </w:tcPr>
          <w:p w14:paraId="2978DA31" w14:textId="77777777" w:rsidR="00BF38BB" w:rsidRDefault="002837D7">
            <w:pPr>
              <w:snapToGrid w:val="0"/>
              <w:spacing w:line="360" w:lineRule="auto"/>
              <w:jc w:val="center"/>
              <w:rPr>
                <w:kern w:val="0"/>
                <w:szCs w:val="21"/>
              </w:rPr>
            </w:pPr>
            <w:r>
              <w:rPr>
                <w:rFonts w:hint="eastAsia"/>
                <w:kern w:val="0"/>
                <w:szCs w:val="21"/>
              </w:rPr>
              <w:t>0</w:t>
            </w:r>
          </w:p>
        </w:tc>
      </w:tr>
    </w:tbl>
    <w:p w14:paraId="5F8DBCA3" w14:textId="77777777" w:rsidR="00BF38BB" w:rsidRDefault="002837D7">
      <w:pPr>
        <w:autoSpaceDE w:val="0"/>
        <w:autoSpaceDN w:val="0"/>
        <w:adjustRightInd w:val="0"/>
        <w:spacing w:line="360" w:lineRule="auto"/>
        <w:ind w:firstLineChars="192" w:firstLine="403"/>
        <w:rPr>
          <w:rFonts w:ascii="宋体" w:hAnsi="宋体"/>
          <w:kern w:val="0"/>
        </w:rPr>
      </w:pPr>
      <w:bookmarkStart w:id="63" w:name="_Hlk38018896"/>
      <w:r>
        <w:rPr>
          <w:rFonts w:ascii="宋体" w:hAnsi="宋体"/>
          <w:kern w:val="0"/>
        </w:rPr>
        <w:t>3</w:t>
      </w:r>
      <w:r>
        <w:rPr>
          <w:rFonts w:ascii="宋体" w:hAnsi="宋体"/>
          <w:kern w:val="0"/>
        </w:rPr>
        <w:t>、</w:t>
      </w:r>
      <w:r>
        <w:rPr>
          <w:rFonts w:ascii="宋体" w:hAnsi="宋体" w:hint="eastAsia"/>
          <w:kern w:val="0"/>
        </w:rPr>
        <w:t>基金管理人可以按照基金合同的约定调整费率或收费方式，并最迟应于新的费率或收费方式实施日</w:t>
      </w:r>
      <w:r>
        <w:rPr>
          <w:rFonts w:ascii="宋体" w:hAnsi="宋体" w:hint="eastAsia"/>
          <w:kern w:val="0"/>
        </w:rPr>
        <w:lastRenderedPageBreak/>
        <w:t>前依照《信息披露办法》的有关规定在规定媒介上公告。</w:t>
      </w:r>
    </w:p>
    <w:p w14:paraId="5B8A9EF7" w14:textId="77777777" w:rsidR="00BF38BB" w:rsidRDefault="002837D7">
      <w:pPr>
        <w:autoSpaceDE w:val="0"/>
        <w:autoSpaceDN w:val="0"/>
        <w:adjustRightInd w:val="0"/>
        <w:spacing w:line="360" w:lineRule="auto"/>
        <w:ind w:firstLineChars="192" w:firstLine="403"/>
        <w:rPr>
          <w:rFonts w:ascii="宋体" w:hAnsi="宋体"/>
          <w:kern w:val="0"/>
        </w:rPr>
      </w:pPr>
      <w:r>
        <w:rPr>
          <w:rFonts w:ascii="宋体" w:hAnsi="宋体"/>
          <w:kern w:val="0"/>
        </w:rPr>
        <w:t>4</w:t>
      </w:r>
      <w:r>
        <w:rPr>
          <w:rFonts w:ascii="宋体" w:hAnsi="宋体"/>
          <w:kern w:val="0"/>
        </w:rPr>
        <w:t>、</w:t>
      </w:r>
      <w:r>
        <w:rPr>
          <w:rFonts w:ascii="宋体" w:hAnsi="宋体" w:hint="eastAsia"/>
          <w:kern w:val="0"/>
        </w:rPr>
        <w:t>当本基金发生大额申购或赎回情形时，基金管理人可以采用摆动定价机制，以确保基金估值的公平性。具体处理原则与操作规范遵循相关法律法规以及监管部门、自律规则的规定。</w:t>
      </w:r>
    </w:p>
    <w:p w14:paraId="70015D31" w14:textId="77777777" w:rsidR="00BF38BB" w:rsidRDefault="002837D7">
      <w:pPr>
        <w:autoSpaceDE w:val="0"/>
        <w:autoSpaceDN w:val="0"/>
        <w:adjustRightInd w:val="0"/>
        <w:spacing w:line="360" w:lineRule="auto"/>
        <w:ind w:firstLineChars="192" w:firstLine="403"/>
        <w:rPr>
          <w:rFonts w:ascii="宋体" w:hAnsi="宋体"/>
          <w:kern w:val="0"/>
        </w:rPr>
      </w:pPr>
      <w:r>
        <w:rPr>
          <w:rFonts w:ascii="宋体" w:hAnsi="宋体"/>
          <w:kern w:val="0"/>
        </w:rPr>
        <w:t>5</w:t>
      </w:r>
      <w:r>
        <w:rPr>
          <w:rFonts w:ascii="宋体" w:hAnsi="宋体" w:hint="eastAsia"/>
          <w:kern w:val="0"/>
        </w:rPr>
        <w:t>、基金销售机构可以在不违反法律法规规定及基金合同约定的情形下根据市场情况制定基金促销计划，定期或不定期地开展基金促销活动。</w:t>
      </w:r>
    </w:p>
    <w:bookmarkEnd w:id="63"/>
    <w:p w14:paraId="7F611D7A" w14:textId="77777777" w:rsidR="00BF38BB" w:rsidRDefault="002837D7">
      <w:pPr>
        <w:spacing w:line="360" w:lineRule="auto"/>
        <w:ind w:firstLineChars="200" w:firstLine="420"/>
        <w:rPr>
          <w:rFonts w:ascii="宋体" w:hAnsi="宋体"/>
        </w:rPr>
      </w:pPr>
      <w:r>
        <w:rPr>
          <w:rFonts w:ascii="宋体" w:hAnsi="宋体"/>
        </w:rPr>
        <w:t>（七）申购份额、赎回金额的计算方式</w:t>
      </w:r>
    </w:p>
    <w:p w14:paraId="4BB4DB1D" w14:textId="77777777" w:rsidR="00BF38BB" w:rsidRDefault="002837D7">
      <w:pPr>
        <w:pStyle w:val="aff6"/>
        <w:autoSpaceDE w:val="0"/>
        <w:autoSpaceDN w:val="0"/>
        <w:adjustRightInd w:val="0"/>
        <w:rPr>
          <w:rFonts w:ascii="Times New Roman" w:hAnsi="宋体"/>
          <w:szCs w:val="24"/>
        </w:rPr>
      </w:pPr>
      <w:bookmarkStart w:id="64" w:name="_Hlk136605561"/>
      <w:r>
        <w:rPr>
          <w:rFonts w:ascii="Times New Roman" w:hAnsi="宋体" w:hint="eastAsia"/>
          <w:szCs w:val="24"/>
        </w:rPr>
        <w:t>1</w:t>
      </w:r>
      <w:r>
        <w:rPr>
          <w:rFonts w:ascii="Times New Roman" w:hAnsi="宋体" w:hint="eastAsia"/>
          <w:szCs w:val="24"/>
        </w:rPr>
        <w:t>、申购份额的计算</w:t>
      </w:r>
    </w:p>
    <w:p w14:paraId="7446C2DF"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）当投资者选择申购</w:t>
      </w:r>
      <w:r>
        <w:rPr>
          <w:rFonts w:ascii="Times New Roman" w:hAnsi="宋体" w:hint="eastAsia"/>
          <w:szCs w:val="24"/>
        </w:rPr>
        <w:t>A</w:t>
      </w:r>
      <w:r>
        <w:rPr>
          <w:rFonts w:ascii="Times New Roman" w:hAnsi="宋体" w:hint="eastAsia"/>
          <w:szCs w:val="24"/>
        </w:rPr>
        <w:t>类基金份额时，申购份额的计算方法如下：</w:t>
      </w:r>
    </w:p>
    <w:p w14:paraId="59AECEF6"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）若投资者通过基金管理人直销机构或基金管理人销售子公司申购</w:t>
      </w:r>
      <w:r>
        <w:rPr>
          <w:rFonts w:ascii="Times New Roman" w:hAnsi="宋体" w:hint="eastAsia"/>
          <w:szCs w:val="24"/>
        </w:rPr>
        <w:t>A</w:t>
      </w:r>
      <w:r>
        <w:rPr>
          <w:rFonts w:ascii="Times New Roman" w:hAnsi="宋体" w:hint="eastAsia"/>
          <w:szCs w:val="24"/>
        </w:rPr>
        <w:t>类基金份额：</w:t>
      </w:r>
    </w:p>
    <w:p w14:paraId="22468737"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申购份额＝申购金额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A</w:t>
      </w:r>
      <w:r>
        <w:rPr>
          <w:rFonts w:ascii="Times New Roman" w:hAnsi="宋体" w:hint="eastAsia"/>
          <w:szCs w:val="24"/>
        </w:rPr>
        <w:t>类基</w:t>
      </w:r>
      <w:r>
        <w:rPr>
          <w:rFonts w:ascii="Times New Roman" w:hAnsi="宋体" w:hint="eastAsia"/>
          <w:szCs w:val="24"/>
        </w:rPr>
        <w:t>金份额净值</w:t>
      </w:r>
    </w:p>
    <w:p w14:paraId="06BE0647"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）若投资者通过其他销售机构申购</w:t>
      </w:r>
      <w:r>
        <w:rPr>
          <w:rFonts w:ascii="Times New Roman" w:hAnsi="宋体" w:hint="eastAsia"/>
          <w:szCs w:val="24"/>
        </w:rPr>
        <w:t>A</w:t>
      </w:r>
      <w:r>
        <w:rPr>
          <w:rFonts w:ascii="Times New Roman" w:hAnsi="宋体" w:hint="eastAsia"/>
          <w:szCs w:val="24"/>
        </w:rPr>
        <w:t>类基金份额：</w:t>
      </w:r>
    </w:p>
    <w:p w14:paraId="4303753C"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①申购费用适用比例费率时，申购份额的计算方法如下：</w:t>
      </w:r>
    </w:p>
    <w:p w14:paraId="76B55569"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净申购金额＝申购金额</w:t>
      </w:r>
      <w:r>
        <w:rPr>
          <w:rFonts w:ascii="Times New Roman" w:hAnsi="宋体" w:hint="eastAsia"/>
          <w:szCs w:val="24"/>
        </w:rPr>
        <w:t>/(1</w:t>
      </w:r>
      <w:r>
        <w:rPr>
          <w:rFonts w:ascii="Times New Roman" w:hAnsi="宋体" w:hint="eastAsia"/>
          <w:szCs w:val="24"/>
        </w:rPr>
        <w:t>＋申购费率</w:t>
      </w:r>
      <w:r>
        <w:rPr>
          <w:rFonts w:ascii="Times New Roman" w:hAnsi="宋体" w:hint="eastAsia"/>
          <w:szCs w:val="24"/>
        </w:rPr>
        <w:t>)</w:t>
      </w:r>
    </w:p>
    <w:p w14:paraId="259A9C73"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申购费用＝申购金额－净申购金额</w:t>
      </w:r>
    </w:p>
    <w:p w14:paraId="3770B2A2"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申购份额＝净申购金额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A</w:t>
      </w:r>
      <w:r>
        <w:rPr>
          <w:rFonts w:ascii="Times New Roman" w:hAnsi="宋体" w:hint="eastAsia"/>
          <w:szCs w:val="24"/>
        </w:rPr>
        <w:t>类基金份额净值</w:t>
      </w:r>
    </w:p>
    <w:p w14:paraId="7981B5EF"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②申购费用为固定金额时，申购份额的计算方法如下：</w:t>
      </w:r>
    </w:p>
    <w:p w14:paraId="002D7DCD"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申购费用＝固定金额</w:t>
      </w:r>
    </w:p>
    <w:p w14:paraId="6C3FCB35"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净申购金额</w:t>
      </w:r>
      <w:r>
        <w:rPr>
          <w:rFonts w:ascii="Times New Roman" w:hAnsi="宋体" w:hint="eastAsia"/>
          <w:szCs w:val="24"/>
        </w:rPr>
        <w:t>=</w:t>
      </w:r>
      <w:r>
        <w:rPr>
          <w:rFonts w:ascii="Times New Roman" w:hAnsi="宋体" w:hint="eastAsia"/>
          <w:szCs w:val="24"/>
        </w:rPr>
        <w:t>申购金额－申购费用</w:t>
      </w:r>
    </w:p>
    <w:p w14:paraId="666390C3"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申购份额＝净申购金额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A</w:t>
      </w:r>
      <w:r>
        <w:rPr>
          <w:rFonts w:ascii="Times New Roman" w:hAnsi="宋体" w:hint="eastAsia"/>
          <w:szCs w:val="24"/>
        </w:rPr>
        <w:t>类基金份额净值</w:t>
      </w:r>
    </w:p>
    <w:p w14:paraId="14B56F45"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例一：某投资者通过基金管理人直销机构或基金管理人销售子公司投资</w:t>
      </w:r>
      <w:r>
        <w:rPr>
          <w:rFonts w:ascii="Times New Roman" w:hAnsi="宋体" w:hint="eastAsia"/>
          <w:szCs w:val="24"/>
        </w:rPr>
        <w:t>5</w:t>
      </w:r>
      <w:r>
        <w:rPr>
          <w:rFonts w:ascii="Times New Roman" w:hAnsi="宋体" w:hint="eastAsia"/>
          <w:szCs w:val="24"/>
        </w:rPr>
        <w:t>万元申购本基金</w:t>
      </w:r>
      <w:r>
        <w:rPr>
          <w:rFonts w:ascii="Times New Roman" w:hAnsi="宋体" w:hint="eastAsia"/>
          <w:szCs w:val="24"/>
        </w:rPr>
        <w:t>A</w:t>
      </w:r>
      <w:r>
        <w:rPr>
          <w:rFonts w:ascii="Times New Roman" w:hAnsi="宋体" w:hint="eastAsia"/>
          <w:szCs w:val="24"/>
        </w:rPr>
        <w:t>类基金份额，假设申购当日</w:t>
      </w:r>
      <w:r>
        <w:rPr>
          <w:rFonts w:ascii="Times New Roman" w:hAnsi="宋体" w:hint="eastAsia"/>
          <w:szCs w:val="24"/>
        </w:rPr>
        <w:t>A</w:t>
      </w:r>
      <w:r>
        <w:rPr>
          <w:rFonts w:ascii="Times New Roman" w:hAnsi="宋体" w:hint="eastAsia"/>
          <w:szCs w:val="24"/>
        </w:rPr>
        <w:t>类基金份额净值为</w:t>
      </w:r>
      <w:r>
        <w:rPr>
          <w:rFonts w:ascii="Times New Roman" w:hAnsi="宋体" w:hint="eastAsia"/>
          <w:szCs w:val="24"/>
        </w:rPr>
        <w:t>1.0500</w:t>
      </w:r>
      <w:r>
        <w:rPr>
          <w:rFonts w:ascii="Times New Roman" w:hAnsi="宋体" w:hint="eastAsia"/>
          <w:szCs w:val="24"/>
        </w:rPr>
        <w:t>元，则可得到的申购份额为：</w:t>
      </w:r>
      <w:r>
        <w:rPr>
          <w:rFonts w:ascii="Times New Roman" w:hAnsi="宋体" w:hint="eastAsia"/>
          <w:szCs w:val="24"/>
        </w:rPr>
        <w:t xml:space="preserve"> </w:t>
      </w:r>
    </w:p>
    <w:p w14:paraId="0F7A6929"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申购份额＝</w:t>
      </w:r>
      <w:r>
        <w:rPr>
          <w:rFonts w:ascii="Times New Roman" w:hAnsi="宋体" w:hint="eastAsia"/>
          <w:szCs w:val="24"/>
        </w:rPr>
        <w:t>50,000/1.0500</w:t>
      </w:r>
      <w:r>
        <w:rPr>
          <w:rFonts w:ascii="Times New Roman" w:hAnsi="宋体" w:hint="eastAsia"/>
          <w:szCs w:val="24"/>
        </w:rPr>
        <w:t>＝</w:t>
      </w:r>
      <w:r>
        <w:rPr>
          <w:rFonts w:ascii="Times New Roman" w:hAnsi="宋体" w:hint="eastAsia"/>
          <w:szCs w:val="24"/>
        </w:rPr>
        <w:t>47,619.05</w:t>
      </w:r>
      <w:r>
        <w:rPr>
          <w:rFonts w:ascii="Times New Roman" w:hAnsi="宋体" w:hint="eastAsia"/>
          <w:szCs w:val="24"/>
        </w:rPr>
        <w:t>份</w:t>
      </w:r>
    </w:p>
    <w:p w14:paraId="6620FB1F"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例二：某投资者通过其他销售机构投资</w:t>
      </w:r>
      <w:r>
        <w:rPr>
          <w:rFonts w:ascii="Times New Roman" w:hAnsi="宋体" w:hint="eastAsia"/>
          <w:szCs w:val="24"/>
        </w:rPr>
        <w:t>5</w:t>
      </w:r>
      <w:r>
        <w:rPr>
          <w:rFonts w:ascii="Times New Roman" w:hAnsi="宋体" w:hint="eastAsia"/>
          <w:szCs w:val="24"/>
        </w:rPr>
        <w:t>万元申购本基金</w:t>
      </w:r>
      <w:r>
        <w:rPr>
          <w:rFonts w:ascii="Times New Roman" w:hAnsi="宋体" w:hint="eastAsia"/>
          <w:szCs w:val="24"/>
        </w:rPr>
        <w:t>A</w:t>
      </w:r>
      <w:r>
        <w:rPr>
          <w:rFonts w:ascii="Times New Roman" w:hAnsi="宋体" w:hint="eastAsia"/>
          <w:szCs w:val="24"/>
        </w:rPr>
        <w:t>类基金份额，假设申购当日</w:t>
      </w:r>
      <w:r>
        <w:rPr>
          <w:rFonts w:ascii="Times New Roman" w:hAnsi="宋体" w:hint="eastAsia"/>
          <w:szCs w:val="24"/>
        </w:rPr>
        <w:t>A</w:t>
      </w:r>
      <w:r>
        <w:rPr>
          <w:rFonts w:ascii="Times New Roman" w:hAnsi="宋体" w:hint="eastAsia"/>
          <w:szCs w:val="24"/>
        </w:rPr>
        <w:t>类基金份额净值为</w:t>
      </w:r>
      <w:r>
        <w:rPr>
          <w:rFonts w:ascii="Times New Roman" w:hAnsi="宋体" w:hint="eastAsia"/>
          <w:szCs w:val="24"/>
        </w:rPr>
        <w:t>1.0500</w:t>
      </w:r>
      <w:r>
        <w:rPr>
          <w:rFonts w:ascii="Times New Roman" w:hAnsi="宋体" w:hint="eastAsia"/>
          <w:szCs w:val="24"/>
        </w:rPr>
        <w:t>元，则可得到的申购份额为：净申购金额＝</w:t>
      </w:r>
      <w:r>
        <w:rPr>
          <w:rFonts w:ascii="Times New Roman" w:hAnsi="宋体" w:hint="eastAsia"/>
          <w:szCs w:val="24"/>
        </w:rPr>
        <w:t>50,000/</w:t>
      </w:r>
      <w:r>
        <w:rPr>
          <w:rFonts w:ascii="Times New Roman" w:hAnsi="宋体" w:hint="eastAsia"/>
          <w:szCs w:val="24"/>
        </w:rPr>
        <w:t>（</w:t>
      </w:r>
      <w:r>
        <w:rPr>
          <w:rFonts w:ascii="Times New Roman" w:hAnsi="宋体" w:hint="eastAsia"/>
          <w:szCs w:val="24"/>
        </w:rPr>
        <w:t>1</w:t>
      </w:r>
      <w:r>
        <w:rPr>
          <w:rFonts w:ascii="Times New Roman" w:hAnsi="宋体" w:hint="eastAsia"/>
          <w:szCs w:val="24"/>
        </w:rPr>
        <w:t>＋</w:t>
      </w:r>
      <w:r>
        <w:rPr>
          <w:rFonts w:ascii="Times New Roman" w:hAnsi="宋体" w:hint="eastAsia"/>
          <w:szCs w:val="24"/>
        </w:rPr>
        <w:t>0.</w:t>
      </w:r>
      <w:r>
        <w:rPr>
          <w:rFonts w:ascii="Times New Roman" w:hAnsi="宋体"/>
          <w:szCs w:val="24"/>
        </w:rPr>
        <w:t>3</w:t>
      </w:r>
      <w:r>
        <w:rPr>
          <w:rFonts w:ascii="Times New Roman" w:hAnsi="宋体" w:hint="eastAsia"/>
          <w:szCs w:val="24"/>
        </w:rPr>
        <w:t>0%</w:t>
      </w:r>
      <w:r>
        <w:rPr>
          <w:rFonts w:ascii="Times New Roman" w:hAnsi="宋体" w:hint="eastAsia"/>
          <w:szCs w:val="24"/>
        </w:rPr>
        <w:t>）＝</w:t>
      </w:r>
      <w:r>
        <w:rPr>
          <w:rFonts w:ascii="Times New Roman" w:hAnsi="宋体" w:hint="eastAsia"/>
          <w:szCs w:val="24"/>
        </w:rPr>
        <w:t>49,</w:t>
      </w:r>
      <w:r>
        <w:rPr>
          <w:rFonts w:ascii="Times New Roman" w:hAnsi="宋体"/>
          <w:szCs w:val="24"/>
        </w:rPr>
        <w:t>850</w:t>
      </w:r>
      <w:r>
        <w:rPr>
          <w:rFonts w:ascii="Times New Roman" w:hAnsi="宋体" w:hint="eastAsia"/>
          <w:szCs w:val="24"/>
        </w:rPr>
        <w:t>.</w:t>
      </w:r>
      <w:r>
        <w:rPr>
          <w:rFonts w:ascii="Times New Roman" w:hAnsi="宋体"/>
          <w:szCs w:val="24"/>
        </w:rPr>
        <w:t>45</w:t>
      </w:r>
      <w:r>
        <w:rPr>
          <w:rFonts w:ascii="Times New Roman" w:hAnsi="宋体" w:hint="eastAsia"/>
          <w:szCs w:val="24"/>
        </w:rPr>
        <w:t>元</w:t>
      </w:r>
    </w:p>
    <w:p w14:paraId="1A4EBB11"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申购费用＝</w:t>
      </w:r>
      <w:r>
        <w:rPr>
          <w:rFonts w:ascii="Times New Roman" w:hAnsi="宋体" w:hint="eastAsia"/>
          <w:szCs w:val="24"/>
        </w:rPr>
        <w:t>50,000</w:t>
      </w:r>
      <w:r>
        <w:rPr>
          <w:rFonts w:ascii="Times New Roman" w:hAnsi="宋体" w:hint="eastAsia"/>
          <w:szCs w:val="24"/>
        </w:rPr>
        <w:t>－</w:t>
      </w:r>
      <w:r>
        <w:rPr>
          <w:rFonts w:ascii="Times New Roman" w:hAnsi="宋体" w:hint="eastAsia"/>
          <w:szCs w:val="24"/>
        </w:rPr>
        <w:t>49,</w:t>
      </w:r>
      <w:r>
        <w:rPr>
          <w:rFonts w:ascii="Times New Roman" w:hAnsi="宋体"/>
          <w:szCs w:val="24"/>
        </w:rPr>
        <w:t>850</w:t>
      </w:r>
      <w:r>
        <w:rPr>
          <w:rFonts w:ascii="Times New Roman" w:hAnsi="宋体" w:hint="eastAsia"/>
          <w:szCs w:val="24"/>
        </w:rPr>
        <w:t>.</w:t>
      </w:r>
      <w:r>
        <w:rPr>
          <w:rFonts w:ascii="Times New Roman" w:hAnsi="宋体"/>
          <w:szCs w:val="24"/>
        </w:rPr>
        <w:t>45</w:t>
      </w:r>
      <w:r>
        <w:rPr>
          <w:rFonts w:ascii="Times New Roman" w:hAnsi="宋体" w:hint="eastAsia"/>
          <w:szCs w:val="24"/>
        </w:rPr>
        <w:t>＝</w:t>
      </w:r>
      <w:r>
        <w:rPr>
          <w:rFonts w:ascii="Times New Roman" w:hAnsi="宋体"/>
          <w:szCs w:val="24"/>
        </w:rPr>
        <w:t>149.55</w:t>
      </w:r>
      <w:r>
        <w:rPr>
          <w:rFonts w:ascii="Times New Roman" w:hAnsi="宋体" w:hint="eastAsia"/>
          <w:szCs w:val="24"/>
        </w:rPr>
        <w:t>元</w:t>
      </w:r>
      <w:r>
        <w:rPr>
          <w:rFonts w:ascii="Times New Roman" w:hAnsi="宋体" w:hint="eastAsia"/>
          <w:szCs w:val="24"/>
        </w:rPr>
        <w:t xml:space="preserve"> </w:t>
      </w:r>
    </w:p>
    <w:p w14:paraId="596B36BE"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申购份额＝</w:t>
      </w:r>
      <w:r>
        <w:rPr>
          <w:rFonts w:ascii="Times New Roman" w:hAnsi="宋体" w:hint="eastAsia"/>
          <w:szCs w:val="24"/>
        </w:rPr>
        <w:t>49,</w:t>
      </w:r>
      <w:r>
        <w:rPr>
          <w:rFonts w:ascii="Times New Roman" w:hAnsi="宋体"/>
          <w:szCs w:val="24"/>
        </w:rPr>
        <w:t>850</w:t>
      </w:r>
      <w:r>
        <w:rPr>
          <w:rFonts w:ascii="Times New Roman" w:hAnsi="宋体" w:hint="eastAsia"/>
          <w:szCs w:val="24"/>
        </w:rPr>
        <w:t>.</w:t>
      </w:r>
      <w:r>
        <w:rPr>
          <w:rFonts w:ascii="Times New Roman" w:hAnsi="宋体"/>
          <w:szCs w:val="24"/>
        </w:rPr>
        <w:t>4</w:t>
      </w:r>
      <w:r>
        <w:rPr>
          <w:rFonts w:ascii="Times New Roman" w:hAnsi="宋体"/>
          <w:szCs w:val="24"/>
        </w:rPr>
        <w:t>5</w:t>
      </w:r>
      <w:r>
        <w:rPr>
          <w:rFonts w:ascii="Times New Roman" w:hAnsi="宋体" w:hint="eastAsia"/>
          <w:szCs w:val="24"/>
        </w:rPr>
        <w:t>/1.0500</w:t>
      </w:r>
      <w:r>
        <w:rPr>
          <w:rFonts w:ascii="Times New Roman" w:hAnsi="宋体" w:hint="eastAsia"/>
          <w:szCs w:val="24"/>
        </w:rPr>
        <w:t>＝</w:t>
      </w:r>
      <w:r>
        <w:rPr>
          <w:rFonts w:ascii="Times New Roman" w:hAnsi="宋体" w:hint="eastAsia"/>
          <w:szCs w:val="24"/>
        </w:rPr>
        <w:t>47,</w:t>
      </w:r>
      <w:r>
        <w:rPr>
          <w:rFonts w:ascii="Times New Roman" w:hAnsi="宋体"/>
          <w:szCs w:val="24"/>
        </w:rPr>
        <w:t>476</w:t>
      </w:r>
      <w:r>
        <w:rPr>
          <w:rFonts w:ascii="Times New Roman" w:hAnsi="宋体" w:hint="eastAsia"/>
          <w:szCs w:val="24"/>
        </w:rPr>
        <w:t>.</w:t>
      </w:r>
      <w:r>
        <w:rPr>
          <w:rFonts w:ascii="Times New Roman" w:hAnsi="宋体"/>
          <w:szCs w:val="24"/>
        </w:rPr>
        <w:t>62</w:t>
      </w:r>
      <w:r>
        <w:rPr>
          <w:rFonts w:ascii="Times New Roman" w:hAnsi="宋体" w:hint="eastAsia"/>
          <w:szCs w:val="24"/>
        </w:rPr>
        <w:t>份</w:t>
      </w:r>
    </w:p>
    <w:p w14:paraId="01200060"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）当投资者选择申购</w:t>
      </w:r>
      <w:r>
        <w:rPr>
          <w:rFonts w:ascii="Times New Roman" w:hAnsi="宋体" w:hint="eastAsia"/>
          <w:szCs w:val="24"/>
        </w:rPr>
        <w:t>C</w:t>
      </w:r>
      <w:r>
        <w:rPr>
          <w:rFonts w:ascii="Times New Roman" w:hAnsi="宋体" w:hint="eastAsia"/>
          <w:szCs w:val="24"/>
        </w:rPr>
        <w:t>类基金份额时，申购份额的计算方法如下：</w:t>
      </w:r>
    </w:p>
    <w:p w14:paraId="43BB2530"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申购份额＝申购金额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C</w:t>
      </w:r>
      <w:r>
        <w:rPr>
          <w:rFonts w:ascii="Times New Roman" w:hAnsi="宋体" w:hint="eastAsia"/>
          <w:szCs w:val="24"/>
        </w:rPr>
        <w:t>类基金份额净值</w:t>
      </w:r>
    </w:p>
    <w:p w14:paraId="7D8E72C2"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例三：某投资者投资</w:t>
      </w:r>
      <w:r>
        <w:rPr>
          <w:rFonts w:ascii="Times New Roman" w:hAnsi="宋体" w:hint="eastAsia"/>
          <w:szCs w:val="24"/>
        </w:rPr>
        <w:t>5</w:t>
      </w:r>
      <w:r>
        <w:rPr>
          <w:rFonts w:ascii="Times New Roman" w:hAnsi="宋体" w:hint="eastAsia"/>
          <w:szCs w:val="24"/>
        </w:rPr>
        <w:t>万元申购本基金</w:t>
      </w:r>
      <w:r>
        <w:rPr>
          <w:rFonts w:ascii="Times New Roman" w:hAnsi="宋体" w:hint="eastAsia"/>
          <w:szCs w:val="24"/>
        </w:rPr>
        <w:t>C</w:t>
      </w:r>
      <w:r>
        <w:rPr>
          <w:rFonts w:ascii="Times New Roman" w:hAnsi="宋体" w:hint="eastAsia"/>
          <w:szCs w:val="24"/>
        </w:rPr>
        <w:t>类基金份额，假设申购当日</w:t>
      </w:r>
      <w:r>
        <w:rPr>
          <w:rFonts w:ascii="Times New Roman" w:hAnsi="宋体" w:hint="eastAsia"/>
          <w:szCs w:val="24"/>
        </w:rPr>
        <w:t>C</w:t>
      </w:r>
      <w:r>
        <w:rPr>
          <w:rFonts w:ascii="Times New Roman" w:hAnsi="宋体" w:hint="eastAsia"/>
          <w:szCs w:val="24"/>
        </w:rPr>
        <w:t>类基金份额净值为</w:t>
      </w:r>
      <w:r>
        <w:rPr>
          <w:rFonts w:ascii="Times New Roman" w:hAnsi="宋体" w:hint="eastAsia"/>
          <w:szCs w:val="24"/>
        </w:rPr>
        <w:t>1.0500</w:t>
      </w:r>
      <w:r>
        <w:rPr>
          <w:rFonts w:ascii="Times New Roman" w:hAnsi="宋体" w:hint="eastAsia"/>
          <w:szCs w:val="24"/>
        </w:rPr>
        <w:t>元，则可得到的申购份额为：</w:t>
      </w:r>
    </w:p>
    <w:p w14:paraId="5CD57D5A"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lastRenderedPageBreak/>
        <w:t>申购份额＝</w:t>
      </w:r>
      <w:r>
        <w:rPr>
          <w:rFonts w:ascii="Times New Roman" w:hAnsi="宋体" w:hint="eastAsia"/>
          <w:szCs w:val="24"/>
        </w:rPr>
        <w:t>50,000/1.0500</w:t>
      </w:r>
      <w:r>
        <w:rPr>
          <w:rFonts w:ascii="Times New Roman" w:hAnsi="宋体" w:hint="eastAsia"/>
          <w:szCs w:val="24"/>
        </w:rPr>
        <w:t>＝</w:t>
      </w:r>
      <w:r>
        <w:rPr>
          <w:rFonts w:ascii="Times New Roman" w:hAnsi="宋体" w:hint="eastAsia"/>
          <w:szCs w:val="24"/>
        </w:rPr>
        <w:t>47,619.05</w:t>
      </w:r>
      <w:r>
        <w:rPr>
          <w:rFonts w:ascii="Times New Roman" w:hAnsi="宋体" w:hint="eastAsia"/>
          <w:szCs w:val="24"/>
        </w:rPr>
        <w:t>份</w:t>
      </w:r>
    </w:p>
    <w:p w14:paraId="0536CFB9"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）申购份额的计算结果均按四舍五入方法，保留到小数点后两位，由此产生的收益或损失归入基金财产。</w:t>
      </w:r>
    </w:p>
    <w:p w14:paraId="22CBA082"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、基金赎回金额的计算</w:t>
      </w:r>
    </w:p>
    <w:p w14:paraId="78D96CD2"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本基金的赎回采用“份额赎回”方式，赎回价格以</w:t>
      </w:r>
      <w:r>
        <w:rPr>
          <w:rFonts w:ascii="Times New Roman" w:hAnsi="宋体" w:hint="eastAsia"/>
          <w:szCs w:val="24"/>
        </w:rPr>
        <w:t>T</w:t>
      </w:r>
      <w:r>
        <w:rPr>
          <w:rFonts w:ascii="Times New Roman" w:hAnsi="宋体" w:hint="eastAsia"/>
          <w:szCs w:val="24"/>
        </w:rPr>
        <w:t>日的该类基金份额净值为基准进行计算，本基金的赎回金额为按实际确认的有效赎回份额乘以</w:t>
      </w:r>
      <w:r>
        <w:rPr>
          <w:rFonts w:ascii="Times New Roman" w:hAnsi="宋体" w:hint="eastAsia"/>
          <w:szCs w:val="24"/>
        </w:rPr>
        <w:t>T</w:t>
      </w:r>
      <w:r>
        <w:rPr>
          <w:rFonts w:ascii="Times New Roman" w:hAnsi="宋体" w:hint="eastAsia"/>
          <w:szCs w:val="24"/>
        </w:rPr>
        <w:t>日该类基金份额净值并扣除或加上相应的费用，赎回金额单位为元。</w:t>
      </w:r>
    </w:p>
    <w:p w14:paraId="4830AD13"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）当投资者赎回本基金</w:t>
      </w:r>
      <w:r>
        <w:rPr>
          <w:rFonts w:ascii="Times New Roman" w:hAnsi="宋体" w:hint="eastAsia"/>
          <w:szCs w:val="24"/>
        </w:rPr>
        <w:t>A</w:t>
      </w:r>
      <w:r>
        <w:rPr>
          <w:rFonts w:ascii="Times New Roman" w:hAnsi="宋体" w:hint="eastAsia"/>
          <w:szCs w:val="24"/>
        </w:rPr>
        <w:t>类基金份额时，赎回金额的计算方法如下：</w:t>
      </w:r>
    </w:p>
    <w:p w14:paraId="0E6C8440"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赎回总额＝赎回份额×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A</w:t>
      </w:r>
      <w:r>
        <w:rPr>
          <w:rFonts w:ascii="Times New Roman" w:hAnsi="宋体" w:hint="eastAsia"/>
          <w:szCs w:val="24"/>
        </w:rPr>
        <w:t>类基金份额净值</w:t>
      </w:r>
    </w:p>
    <w:p w14:paraId="741A56A0"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赎回费用＝赎回总额×赎回费率</w:t>
      </w:r>
    </w:p>
    <w:p w14:paraId="317A2DFD"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赎回金额＝赎回总额－赎回费用</w:t>
      </w:r>
    </w:p>
    <w:p w14:paraId="3743121C"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例四：某投资者在</w:t>
      </w:r>
      <w:r>
        <w:rPr>
          <w:rFonts w:ascii="Times New Roman" w:hAnsi="宋体" w:hint="eastAsia"/>
          <w:szCs w:val="24"/>
        </w:rPr>
        <w:t>T</w:t>
      </w:r>
      <w:r>
        <w:rPr>
          <w:rFonts w:ascii="Times New Roman" w:hAnsi="宋体" w:hint="eastAsia"/>
          <w:szCs w:val="24"/>
        </w:rPr>
        <w:t>日赎回</w:t>
      </w:r>
      <w:r>
        <w:rPr>
          <w:rFonts w:ascii="Times New Roman" w:hAnsi="宋体" w:hint="eastAsia"/>
          <w:szCs w:val="24"/>
        </w:rPr>
        <w:t>10,000</w:t>
      </w:r>
      <w:r>
        <w:rPr>
          <w:rFonts w:ascii="Times New Roman" w:hAnsi="宋体" w:hint="eastAsia"/>
          <w:szCs w:val="24"/>
        </w:rPr>
        <w:t>份</w:t>
      </w:r>
      <w:r>
        <w:rPr>
          <w:rFonts w:ascii="Times New Roman" w:hAnsi="宋体" w:hint="eastAsia"/>
          <w:szCs w:val="24"/>
        </w:rPr>
        <w:t>A</w:t>
      </w:r>
      <w:r>
        <w:rPr>
          <w:rFonts w:ascii="Times New Roman" w:hAnsi="宋体" w:hint="eastAsia"/>
          <w:szCs w:val="24"/>
        </w:rPr>
        <w:t>类基金份额，假设赎回当日</w:t>
      </w:r>
      <w:r>
        <w:rPr>
          <w:rFonts w:ascii="Times New Roman" w:hAnsi="宋体" w:hint="eastAsia"/>
          <w:szCs w:val="24"/>
        </w:rPr>
        <w:t>A</w:t>
      </w:r>
      <w:r>
        <w:rPr>
          <w:rFonts w:ascii="Times New Roman" w:hAnsi="宋体" w:hint="eastAsia"/>
          <w:szCs w:val="24"/>
        </w:rPr>
        <w:t>类基金份额净值为</w:t>
      </w:r>
      <w:r>
        <w:rPr>
          <w:rFonts w:ascii="Times New Roman" w:hAnsi="宋体" w:hint="eastAsia"/>
          <w:szCs w:val="24"/>
        </w:rPr>
        <w:t>1.1000</w:t>
      </w:r>
      <w:r>
        <w:rPr>
          <w:rFonts w:ascii="Times New Roman" w:hAnsi="宋体" w:hint="eastAsia"/>
          <w:szCs w:val="24"/>
        </w:rPr>
        <w:t>元，持有时间为</w:t>
      </w:r>
      <w:r>
        <w:rPr>
          <w:rFonts w:ascii="Times New Roman" w:hAnsi="宋体" w:hint="eastAsia"/>
          <w:szCs w:val="24"/>
        </w:rPr>
        <w:t>10</w:t>
      </w:r>
      <w:r>
        <w:rPr>
          <w:rFonts w:ascii="Times New Roman" w:hAnsi="宋体" w:hint="eastAsia"/>
          <w:szCs w:val="24"/>
        </w:rPr>
        <w:t>天，不同类型投资者适用赎回费率不同，其获</w:t>
      </w:r>
      <w:r>
        <w:rPr>
          <w:rFonts w:ascii="Times New Roman" w:hAnsi="宋体" w:hint="eastAsia"/>
          <w:szCs w:val="24"/>
        </w:rPr>
        <w:t>得的赎回金额分别计算如下：</w:t>
      </w:r>
    </w:p>
    <w:p w14:paraId="231A95CA"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①个人投资者，赎回费率为</w:t>
      </w:r>
      <w:r>
        <w:rPr>
          <w:rFonts w:ascii="Times New Roman" w:hAnsi="宋体" w:hint="eastAsia"/>
          <w:szCs w:val="24"/>
        </w:rPr>
        <w:t>0</w:t>
      </w:r>
    </w:p>
    <w:p w14:paraId="4DF12326"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1.1000</w:t>
      </w:r>
      <w:r>
        <w:rPr>
          <w:rFonts w:ascii="Times New Roman" w:hAnsi="宋体" w:hint="eastAsia"/>
          <w:szCs w:val="24"/>
        </w:rPr>
        <w:t>＝</w:t>
      </w:r>
      <w:r>
        <w:rPr>
          <w:rFonts w:ascii="Times New Roman" w:hAnsi="宋体" w:hint="eastAsia"/>
          <w:szCs w:val="24"/>
        </w:rPr>
        <w:t>11,000.00</w:t>
      </w:r>
      <w:r>
        <w:rPr>
          <w:rFonts w:ascii="Times New Roman" w:hAnsi="宋体" w:hint="eastAsia"/>
          <w:szCs w:val="24"/>
        </w:rPr>
        <w:t>元</w:t>
      </w:r>
    </w:p>
    <w:p w14:paraId="36DE4E8F"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0</w:t>
      </w:r>
      <w:r>
        <w:rPr>
          <w:rFonts w:ascii="Times New Roman" w:hAnsi="宋体" w:hint="eastAsia"/>
          <w:szCs w:val="24"/>
        </w:rPr>
        <w:t>＝</w:t>
      </w:r>
      <w:r>
        <w:rPr>
          <w:rFonts w:ascii="Times New Roman" w:hAnsi="宋体" w:hint="eastAsia"/>
          <w:szCs w:val="24"/>
        </w:rPr>
        <w:t>0.00</w:t>
      </w:r>
      <w:r>
        <w:rPr>
          <w:rFonts w:ascii="Times New Roman" w:hAnsi="宋体" w:hint="eastAsia"/>
          <w:szCs w:val="24"/>
        </w:rPr>
        <w:t>元</w:t>
      </w:r>
      <w:r>
        <w:rPr>
          <w:rFonts w:ascii="Times New Roman" w:hAnsi="宋体" w:hint="eastAsia"/>
          <w:szCs w:val="24"/>
        </w:rPr>
        <w:t xml:space="preserve"> </w:t>
      </w:r>
    </w:p>
    <w:p w14:paraId="0978910E"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0.00</w:t>
      </w:r>
      <w:r>
        <w:rPr>
          <w:rFonts w:ascii="Times New Roman" w:hAnsi="宋体" w:hint="eastAsia"/>
          <w:szCs w:val="24"/>
        </w:rPr>
        <w:t>＝</w:t>
      </w:r>
      <w:r>
        <w:rPr>
          <w:rFonts w:ascii="Times New Roman" w:hAnsi="宋体" w:hint="eastAsia"/>
          <w:szCs w:val="24"/>
        </w:rPr>
        <w:t>11,000.00</w:t>
      </w:r>
      <w:r>
        <w:rPr>
          <w:rFonts w:ascii="Times New Roman" w:hAnsi="宋体" w:hint="eastAsia"/>
          <w:szCs w:val="24"/>
        </w:rPr>
        <w:t>元</w:t>
      </w:r>
    </w:p>
    <w:p w14:paraId="7161760A"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②非个人投资者，赎回费率为</w:t>
      </w:r>
      <w:r>
        <w:rPr>
          <w:rFonts w:ascii="Times New Roman" w:hAnsi="宋体" w:hint="eastAsia"/>
          <w:szCs w:val="24"/>
        </w:rPr>
        <w:t>1%</w:t>
      </w:r>
    </w:p>
    <w:p w14:paraId="42FA4110"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1.1000</w:t>
      </w:r>
      <w:r>
        <w:rPr>
          <w:rFonts w:ascii="Times New Roman" w:hAnsi="宋体" w:hint="eastAsia"/>
          <w:szCs w:val="24"/>
        </w:rPr>
        <w:t>＝</w:t>
      </w:r>
      <w:r>
        <w:rPr>
          <w:rFonts w:ascii="Times New Roman" w:hAnsi="宋体" w:hint="eastAsia"/>
          <w:szCs w:val="24"/>
        </w:rPr>
        <w:t>11,000.00</w:t>
      </w:r>
      <w:r>
        <w:rPr>
          <w:rFonts w:ascii="Times New Roman" w:hAnsi="宋体" w:hint="eastAsia"/>
          <w:szCs w:val="24"/>
        </w:rPr>
        <w:t>元</w:t>
      </w:r>
    </w:p>
    <w:p w14:paraId="159EDE27"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1%</w:t>
      </w:r>
      <w:r>
        <w:rPr>
          <w:rFonts w:ascii="Times New Roman" w:hAnsi="宋体" w:hint="eastAsia"/>
          <w:szCs w:val="24"/>
        </w:rPr>
        <w:t>＝</w:t>
      </w:r>
      <w:r>
        <w:rPr>
          <w:rFonts w:ascii="Times New Roman" w:hAnsi="宋体" w:hint="eastAsia"/>
          <w:szCs w:val="24"/>
        </w:rPr>
        <w:t>110.00</w:t>
      </w:r>
      <w:r>
        <w:rPr>
          <w:rFonts w:ascii="Times New Roman" w:hAnsi="宋体" w:hint="eastAsia"/>
          <w:szCs w:val="24"/>
        </w:rPr>
        <w:t>元</w:t>
      </w:r>
      <w:r>
        <w:rPr>
          <w:rFonts w:ascii="Times New Roman" w:hAnsi="宋体" w:hint="eastAsia"/>
          <w:szCs w:val="24"/>
        </w:rPr>
        <w:t xml:space="preserve"> </w:t>
      </w:r>
    </w:p>
    <w:p w14:paraId="0ABD41C2"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110.00</w:t>
      </w:r>
      <w:r>
        <w:rPr>
          <w:rFonts w:ascii="Times New Roman" w:hAnsi="宋体" w:hint="eastAsia"/>
          <w:szCs w:val="24"/>
        </w:rPr>
        <w:t>＝</w:t>
      </w:r>
      <w:r>
        <w:rPr>
          <w:rFonts w:ascii="Times New Roman" w:hAnsi="宋体" w:hint="eastAsia"/>
          <w:szCs w:val="24"/>
        </w:rPr>
        <w:t>10,890.00</w:t>
      </w:r>
      <w:r>
        <w:rPr>
          <w:rFonts w:ascii="Times New Roman" w:hAnsi="宋体" w:hint="eastAsia"/>
          <w:szCs w:val="24"/>
        </w:rPr>
        <w:t>元</w:t>
      </w:r>
    </w:p>
    <w:p w14:paraId="19905CD0"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）当投资者赎回本基金</w:t>
      </w:r>
      <w:r>
        <w:rPr>
          <w:rFonts w:ascii="Times New Roman" w:hAnsi="宋体" w:hint="eastAsia"/>
          <w:szCs w:val="24"/>
        </w:rPr>
        <w:t>C</w:t>
      </w:r>
      <w:r>
        <w:rPr>
          <w:rFonts w:ascii="Times New Roman" w:hAnsi="宋体" w:hint="eastAsia"/>
          <w:szCs w:val="24"/>
        </w:rPr>
        <w:t>类基金份额时，赎回金额的计算方法如下：</w:t>
      </w:r>
    </w:p>
    <w:p w14:paraId="524546EB"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＝赎回份额×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C</w:t>
      </w:r>
      <w:r>
        <w:rPr>
          <w:rFonts w:ascii="Times New Roman" w:hAnsi="宋体" w:hint="eastAsia"/>
          <w:szCs w:val="24"/>
        </w:rPr>
        <w:t>类基金份额净值</w:t>
      </w:r>
    </w:p>
    <w:p w14:paraId="46BE776B"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赎回费用＝赎回总额×赎回费率</w:t>
      </w:r>
    </w:p>
    <w:p w14:paraId="13F819BE"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赎回金额＝赎回总额－赎回费用＋销售服务费返还</w:t>
      </w:r>
      <w:r>
        <w:rPr>
          <w:rFonts w:ascii="Times New Roman" w:hAnsi="宋体" w:hint="eastAsia"/>
          <w:szCs w:val="24"/>
        </w:rPr>
        <w:t>(</w:t>
      </w:r>
      <w:r>
        <w:rPr>
          <w:rFonts w:ascii="Times New Roman" w:hAnsi="宋体" w:hint="eastAsia"/>
          <w:szCs w:val="24"/>
        </w:rPr>
        <w:t>如有</w:t>
      </w:r>
      <w:r>
        <w:rPr>
          <w:rFonts w:ascii="Times New Roman" w:hAnsi="宋体" w:hint="eastAsia"/>
          <w:szCs w:val="24"/>
        </w:rPr>
        <w:t>)</w:t>
      </w:r>
    </w:p>
    <w:p w14:paraId="300047A5"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该笔赎回是否涉及返还销售服务费的具体条件及计算方法等具体安排详见本招募说明书“基金的费用与税收”部分。</w:t>
      </w:r>
    </w:p>
    <w:p w14:paraId="15C95292"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）基金管理人或基金管理人销售子公司处保有的</w:t>
      </w:r>
      <w:r>
        <w:rPr>
          <w:rFonts w:ascii="Times New Roman" w:hAnsi="宋体" w:hint="eastAsia"/>
          <w:szCs w:val="24"/>
        </w:rPr>
        <w:t>C</w:t>
      </w:r>
      <w:r>
        <w:rPr>
          <w:rFonts w:ascii="Times New Roman" w:hAnsi="宋体" w:hint="eastAsia"/>
          <w:szCs w:val="24"/>
        </w:rPr>
        <w:t>类基金份额</w:t>
      </w:r>
    </w:p>
    <w:p w14:paraId="67716568"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例五：某投资者在</w:t>
      </w:r>
      <w:r>
        <w:rPr>
          <w:rFonts w:ascii="Times New Roman" w:hAnsi="宋体" w:hint="eastAsia"/>
          <w:szCs w:val="24"/>
        </w:rPr>
        <w:t>T</w:t>
      </w:r>
      <w:r>
        <w:rPr>
          <w:rFonts w:ascii="Times New Roman" w:hAnsi="宋体" w:hint="eastAsia"/>
          <w:szCs w:val="24"/>
        </w:rPr>
        <w:t>日通过基金管理人或基金管理人销售子公司赎回</w:t>
      </w:r>
      <w:r>
        <w:rPr>
          <w:rFonts w:ascii="Times New Roman" w:hAnsi="宋体" w:hint="eastAsia"/>
          <w:szCs w:val="24"/>
        </w:rPr>
        <w:t>10,000</w:t>
      </w:r>
      <w:r>
        <w:rPr>
          <w:rFonts w:ascii="Times New Roman" w:hAnsi="宋体" w:hint="eastAsia"/>
          <w:szCs w:val="24"/>
        </w:rPr>
        <w:t>份</w:t>
      </w:r>
      <w:r>
        <w:rPr>
          <w:rFonts w:ascii="Times New Roman" w:hAnsi="宋体" w:hint="eastAsia"/>
          <w:szCs w:val="24"/>
        </w:rPr>
        <w:t>C</w:t>
      </w:r>
      <w:r>
        <w:rPr>
          <w:rFonts w:ascii="Times New Roman" w:hAnsi="宋体" w:hint="eastAsia"/>
          <w:szCs w:val="24"/>
        </w:rPr>
        <w:t>类基金份额，假设赎回当日</w:t>
      </w:r>
      <w:r>
        <w:rPr>
          <w:rFonts w:ascii="Times New Roman" w:hAnsi="宋体" w:hint="eastAsia"/>
          <w:szCs w:val="24"/>
        </w:rPr>
        <w:t>C</w:t>
      </w:r>
      <w:r>
        <w:rPr>
          <w:rFonts w:ascii="Times New Roman" w:hAnsi="宋体" w:hint="eastAsia"/>
          <w:szCs w:val="24"/>
        </w:rPr>
        <w:t>类基金份额净值为</w:t>
      </w:r>
      <w:r>
        <w:rPr>
          <w:rFonts w:ascii="Times New Roman" w:hAnsi="宋体" w:hint="eastAsia"/>
          <w:szCs w:val="24"/>
        </w:rPr>
        <w:t>1.1000</w:t>
      </w:r>
      <w:r>
        <w:rPr>
          <w:rFonts w:ascii="Times New Roman" w:hAnsi="宋体" w:hint="eastAsia"/>
          <w:szCs w:val="24"/>
        </w:rPr>
        <w:t>元，持有时间为</w:t>
      </w:r>
      <w:r>
        <w:rPr>
          <w:rFonts w:ascii="Times New Roman" w:hAnsi="宋体" w:hint="eastAsia"/>
          <w:szCs w:val="24"/>
        </w:rPr>
        <w:t>60</w:t>
      </w:r>
      <w:r>
        <w:rPr>
          <w:rFonts w:ascii="Times New Roman" w:hAnsi="宋体" w:hint="eastAsia"/>
          <w:szCs w:val="24"/>
        </w:rPr>
        <w:t>天，不同类型投资者适用赎回费率不同，且假设按基金合</w:t>
      </w:r>
      <w:r>
        <w:rPr>
          <w:rFonts w:ascii="Times New Roman" w:hAnsi="宋体" w:hint="eastAsia"/>
          <w:szCs w:val="24"/>
        </w:rPr>
        <w:lastRenderedPageBreak/>
        <w:t>同约定计算出的应返还的销售服务费为</w:t>
      </w:r>
      <w:r>
        <w:rPr>
          <w:rFonts w:ascii="Times New Roman" w:hAnsi="宋体" w:hint="eastAsia"/>
          <w:szCs w:val="24"/>
        </w:rPr>
        <w:t>5.00</w:t>
      </w:r>
      <w:r>
        <w:rPr>
          <w:rFonts w:ascii="Times New Roman" w:hAnsi="宋体" w:hint="eastAsia"/>
          <w:szCs w:val="24"/>
        </w:rPr>
        <w:t>元（即该笔赎回的基金份额符合返还销售服务费的情形，应将已计提的符合返还条件的销售服务费返还给投资者），其获得的赎回金额计算如下：</w:t>
      </w:r>
    </w:p>
    <w:p w14:paraId="044C33BB"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①个人投资者，赎回费率为</w:t>
      </w:r>
      <w:r>
        <w:rPr>
          <w:rFonts w:ascii="Times New Roman" w:hAnsi="宋体" w:hint="eastAsia"/>
          <w:szCs w:val="24"/>
        </w:rPr>
        <w:t>0</w:t>
      </w:r>
    </w:p>
    <w:p w14:paraId="7A694474"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1.1000</w:t>
      </w:r>
      <w:r>
        <w:rPr>
          <w:rFonts w:ascii="Times New Roman" w:hAnsi="宋体" w:hint="eastAsia"/>
          <w:szCs w:val="24"/>
        </w:rPr>
        <w:t>＝</w:t>
      </w:r>
      <w:r>
        <w:rPr>
          <w:rFonts w:ascii="Times New Roman" w:hAnsi="宋体" w:hint="eastAsia"/>
          <w:szCs w:val="24"/>
        </w:rPr>
        <w:t>11,000.00</w:t>
      </w:r>
      <w:r>
        <w:rPr>
          <w:rFonts w:ascii="Times New Roman" w:hAnsi="宋体" w:hint="eastAsia"/>
          <w:szCs w:val="24"/>
        </w:rPr>
        <w:t>元</w:t>
      </w:r>
    </w:p>
    <w:p w14:paraId="337406D5"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0</w:t>
      </w:r>
      <w:r>
        <w:rPr>
          <w:rFonts w:ascii="Times New Roman" w:hAnsi="宋体" w:hint="eastAsia"/>
          <w:szCs w:val="24"/>
        </w:rPr>
        <w:t>＝</w:t>
      </w:r>
      <w:r>
        <w:rPr>
          <w:rFonts w:ascii="Times New Roman" w:hAnsi="宋体" w:hint="eastAsia"/>
          <w:szCs w:val="24"/>
        </w:rPr>
        <w:t>0.00</w:t>
      </w:r>
      <w:r>
        <w:rPr>
          <w:rFonts w:ascii="Times New Roman" w:hAnsi="宋体" w:hint="eastAsia"/>
          <w:szCs w:val="24"/>
        </w:rPr>
        <w:t>元</w:t>
      </w:r>
      <w:r>
        <w:rPr>
          <w:rFonts w:ascii="Times New Roman" w:hAnsi="宋体" w:hint="eastAsia"/>
          <w:szCs w:val="24"/>
        </w:rPr>
        <w:t xml:space="preserve"> </w:t>
      </w:r>
    </w:p>
    <w:p w14:paraId="0536FA6A"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w:t>
      </w:r>
      <w:r>
        <w:rPr>
          <w:rFonts w:ascii="Times New Roman" w:hAnsi="宋体" w:hint="eastAsia"/>
          <w:szCs w:val="24"/>
        </w:rPr>
        <w:t>额＝</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0.00</w:t>
      </w:r>
      <w:r>
        <w:rPr>
          <w:rFonts w:ascii="Times New Roman" w:hAnsi="宋体" w:hint="eastAsia"/>
          <w:szCs w:val="24"/>
        </w:rPr>
        <w:t>＋</w:t>
      </w:r>
      <w:r>
        <w:rPr>
          <w:rFonts w:ascii="Times New Roman" w:hAnsi="宋体" w:hint="eastAsia"/>
          <w:szCs w:val="24"/>
        </w:rPr>
        <w:t>5.00</w:t>
      </w:r>
      <w:r>
        <w:rPr>
          <w:rFonts w:ascii="Times New Roman" w:hAnsi="宋体" w:hint="eastAsia"/>
          <w:szCs w:val="24"/>
        </w:rPr>
        <w:t>＝</w:t>
      </w:r>
      <w:r>
        <w:rPr>
          <w:rFonts w:ascii="Times New Roman" w:hAnsi="宋体" w:hint="eastAsia"/>
          <w:szCs w:val="24"/>
        </w:rPr>
        <w:t>11,005.00</w:t>
      </w:r>
      <w:r>
        <w:rPr>
          <w:rFonts w:ascii="Times New Roman" w:hAnsi="宋体" w:hint="eastAsia"/>
          <w:szCs w:val="24"/>
        </w:rPr>
        <w:t>元</w:t>
      </w:r>
    </w:p>
    <w:p w14:paraId="2931709A"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②非个人投资者，赎回费率为</w:t>
      </w:r>
      <w:r>
        <w:rPr>
          <w:rFonts w:ascii="Times New Roman" w:hAnsi="宋体" w:hint="eastAsia"/>
          <w:szCs w:val="24"/>
        </w:rPr>
        <w:t>0.5%</w:t>
      </w:r>
    </w:p>
    <w:p w14:paraId="68B99158"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1.1000</w:t>
      </w:r>
      <w:r>
        <w:rPr>
          <w:rFonts w:ascii="Times New Roman" w:hAnsi="宋体" w:hint="eastAsia"/>
          <w:szCs w:val="24"/>
        </w:rPr>
        <w:t>＝</w:t>
      </w:r>
      <w:r>
        <w:rPr>
          <w:rFonts w:ascii="Times New Roman" w:hAnsi="宋体" w:hint="eastAsia"/>
          <w:szCs w:val="24"/>
        </w:rPr>
        <w:t>11,000.00</w:t>
      </w:r>
      <w:r>
        <w:rPr>
          <w:rFonts w:ascii="Times New Roman" w:hAnsi="宋体" w:hint="eastAsia"/>
          <w:szCs w:val="24"/>
        </w:rPr>
        <w:t>元</w:t>
      </w:r>
    </w:p>
    <w:p w14:paraId="3209CF29"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0.5%</w:t>
      </w:r>
      <w:r>
        <w:rPr>
          <w:rFonts w:ascii="Times New Roman" w:hAnsi="宋体" w:hint="eastAsia"/>
          <w:szCs w:val="24"/>
        </w:rPr>
        <w:t>＝</w:t>
      </w:r>
      <w:r>
        <w:rPr>
          <w:rFonts w:ascii="Times New Roman" w:hAnsi="宋体" w:hint="eastAsia"/>
          <w:szCs w:val="24"/>
        </w:rPr>
        <w:t>55.00</w:t>
      </w:r>
      <w:r>
        <w:rPr>
          <w:rFonts w:ascii="Times New Roman" w:hAnsi="宋体" w:hint="eastAsia"/>
          <w:szCs w:val="24"/>
        </w:rPr>
        <w:t>元</w:t>
      </w:r>
      <w:r>
        <w:rPr>
          <w:rFonts w:ascii="Times New Roman" w:hAnsi="宋体" w:hint="eastAsia"/>
          <w:szCs w:val="24"/>
        </w:rPr>
        <w:t xml:space="preserve"> </w:t>
      </w:r>
    </w:p>
    <w:p w14:paraId="3D5D2AD7"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11,000.00</w:t>
      </w:r>
      <w:r>
        <w:rPr>
          <w:rFonts w:ascii="Times New Roman" w:hAnsi="宋体" w:hint="eastAsia"/>
          <w:szCs w:val="24"/>
        </w:rPr>
        <w:t>－</w:t>
      </w:r>
      <w:r>
        <w:rPr>
          <w:rFonts w:ascii="Times New Roman" w:hAnsi="宋体" w:hint="eastAsia"/>
          <w:szCs w:val="24"/>
        </w:rPr>
        <w:t>55.00</w:t>
      </w:r>
      <w:r>
        <w:rPr>
          <w:rFonts w:ascii="Times New Roman" w:hAnsi="宋体" w:hint="eastAsia"/>
          <w:szCs w:val="24"/>
        </w:rPr>
        <w:t>＋</w:t>
      </w:r>
      <w:r>
        <w:rPr>
          <w:rFonts w:ascii="Times New Roman" w:hAnsi="宋体" w:hint="eastAsia"/>
          <w:szCs w:val="24"/>
        </w:rPr>
        <w:t>5.00</w:t>
      </w:r>
      <w:r>
        <w:rPr>
          <w:rFonts w:ascii="Times New Roman" w:hAnsi="宋体" w:hint="eastAsia"/>
          <w:szCs w:val="24"/>
        </w:rPr>
        <w:t>＝</w:t>
      </w:r>
      <w:r>
        <w:rPr>
          <w:rFonts w:ascii="Times New Roman" w:hAnsi="宋体" w:hint="eastAsia"/>
          <w:szCs w:val="24"/>
        </w:rPr>
        <w:t>10,950.00</w:t>
      </w:r>
      <w:r>
        <w:rPr>
          <w:rFonts w:ascii="Times New Roman" w:hAnsi="宋体" w:hint="eastAsia"/>
          <w:szCs w:val="24"/>
        </w:rPr>
        <w:t>元</w:t>
      </w:r>
    </w:p>
    <w:p w14:paraId="3A4156DE"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）其他销售机构处保有的</w:t>
      </w:r>
      <w:r>
        <w:rPr>
          <w:rFonts w:ascii="Times New Roman" w:hAnsi="宋体" w:hint="eastAsia"/>
          <w:szCs w:val="24"/>
        </w:rPr>
        <w:t>C</w:t>
      </w:r>
      <w:r>
        <w:rPr>
          <w:rFonts w:ascii="Times New Roman" w:hAnsi="宋体" w:hint="eastAsia"/>
          <w:szCs w:val="24"/>
        </w:rPr>
        <w:t>类基金份额</w:t>
      </w:r>
    </w:p>
    <w:p w14:paraId="77AE578A"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例六：某投资者在</w:t>
      </w:r>
      <w:r>
        <w:rPr>
          <w:rFonts w:ascii="Times New Roman" w:hAnsi="宋体" w:hint="eastAsia"/>
          <w:szCs w:val="24"/>
        </w:rPr>
        <w:t>T</w:t>
      </w:r>
      <w:r>
        <w:rPr>
          <w:rFonts w:ascii="Times New Roman" w:hAnsi="宋体" w:hint="eastAsia"/>
          <w:szCs w:val="24"/>
        </w:rPr>
        <w:t>日通过其他销售机构赎回</w:t>
      </w:r>
      <w:r>
        <w:rPr>
          <w:rFonts w:ascii="Times New Roman" w:hAnsi="宋体" w:hint="eastAsia"/>
          <w:szCs w:val="24"/>
        </w:rPr>
        <w:t>10,000</w:t>
      </w:r>
      <w:r>
        <w:rPr>
          <w:rFonts w:ascii="Times New Roman" w:hAnsi="宋体" w:hint="eastAsia"/>
          <w:szCs w:val="24"/>
        </w:rPr>
        <w:t>份</w:t>
      </w:r>
      <w:r>
        <w:rPr>
          <w:rFonts w:ascii="Times New Roman" w:hAnsi="宋体" w:hint="eastAsia"/>
          <w:szCs w:val="24"/>
        </w:rPr>
        <w:t>C</w:t>
      </w:r>
      <w:r>
        <w:rPr>
          <w:rFonts w:ascii="Times New Roman" w:hAnsi="宋体" w:hint="eastAsia"/>
          <w:szCs w:val="24"/>
        </w:rPr>
        <w:t>类基金份额，假设赎回当日</w:t>
      </w:r>
      <w:r>
        <w:rPr>
          <w:rFonts w:ascii="Times New Roman" w:hAnsi="宋体" w:hint="eastAsia"/>
          <w:szCs w:val="24"/>
        </w:rPr>
        <w:t>C</w:t>
      </w:r>
      <w:r>
        <w:rPr>
          <w:rFonts w:ascii="Times New Roman" w:hAnsi="宋体" w:hint="eastAsia"/>
          <w:szCs w:val="24"/>
        </w:rPr>
        <w:t>类基金份额净值为</w:t>
      </w:r>
      <w:r>
        <w:rPr>
          <w:rFonts w:ascii="Times New Roman" w:hAnsi="宋体" w:hint="eastAsia"/>
          <w:szCs w:val="24"/>
        </w:rPr>
        <w:t>1.2500</w:t>
      </w:r>
      <w:r>
        <w:rPr>
          <w:rFonts w:ascii="Times New Roman" w:hAnsi="宋体" w:hint="eastAsia"/>
          <w:szCs w:val="24"/>
        </w:rPr>
        <w:t>元，持有时间为</w:t>
      </w:r>
      <w:r>
        <w:rPr>
          <w:rFonts w:ascii="Times New Roman" w:hAnsi="宋体" w:hint="eastAsia"/>
          <w:szCs w:val="24"/>
        </w:rPr>
        <w:t>100</w:t>
      </w:r>
      <w:r>
        <w:rPr>
          <w:rFonts w:ascii="Times New Roman" w:hAnsi="宋体" w:hint="eastAsia"/>
          <w:szCs w:val="24"/>
        </w:rPr>
        <w:t>天，不同类型投资者适用赎回费率不同，但均不涉及返还销</w:t>
      </w:r>
      <w:r>
        <w:rPr>
          <w:rFonts w:ascii="Times New Roman" w:hAnsi="宋体" w:hint="eastAsia"/>
          <w:szCs w:val="24"/>
        </w:rPr>
        <w:t>售服务费，其获得的赎回金额计算如下：</w:t>
      </w:r>
    </w:p>
    <w:p w14:paraId="7661419D"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①个人投资者，赎回费率为</w:t>
      </w:r>
      <w:r>
        <w:rPr>
          <w:rFonts w:ascii="Times New Roman" w:hAnsi="宋体" w:hint="eastAsia"/>
          <w:szCs w:val="24"/>
        </w:rPr>
        <w:t>0</w:t>
      </w:r>
    </w:p>
    <w:p w14:paraId="0C1F273D"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1.2500</w:t>
      </w:r>
      <w:r>
        <w:rPr>
          <w:rFonts w:ascii="Times New Roman" w:hAnsi="宋体" w:hint="eastAsia"/>
          <w:szCs w:val="24"/>
        </w:rPr>
        <w:t>＝</w:t>
      </w:r>
      <w:r>
        <w:rPr>
          <w:rFonts w:ascii="Times New Roman" w:hAnsi="宋体" w:hint="eastAsia"/>
          <w:szCs w:val="24"/>
        </w:rPr>
        <w:t>12,500.00</w:t>
      </w:r>
      <w:r>
        <w:rPr>
          <w:rFonts w:ascii="Times New Roman" w:hAnsi="宋体" w:hint="eastAsia"/>
          <w:szCs w:val="24"/>
        </w:rPr>
        <w:t>元</w:t>
      </w:r>
    </w:p>
    <w:p w14:paraId="223104BC"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12,500.00</w:t>
      </w:r>
      <w:r>
        <w:rPr>
          <w:rFonts w:ascii="Times New Roman" w:hAnsi="宋体" w:hint="eastAsia"/>
          <w:szCs w:val="24"/>
        </w:rPr>
        <w:t>×</w:t>
      </w:r>
      <w:r>
        <w:rPr>
          <w:rFonts w:ascii="Times New Roman" w:hAnsi="宋体" w:hint="eastAsia"/>
          <w:szCs w:val="24"/>
        </w:rPr>
        <w:t>0</w:t>
      </w:r>
      <w:r>
        <w:rPr>
          <w:rFonts w:ascii="Times New Roman" w:hAnsi="宋体" w:hint="eastAsia"/>
          <w:szCs w:val="24"/>
        </w:rPr>
        <w:t>＝</w:t>
      </w:r>
      <w:r>
        <w:rPr>
          <w:rFonts w:ascii="Times New Roman" w:hAnsi="宋体" w:hint="eastAsia"/>
          <w:szCs w:val="24"/>
        </w:rPr>
        <w:t>0.00</w:t>
      </w:r>
      <w:r>
        <w:rPr>
          <w:rFonts w:ascii="Times New Roman" w:hAnsi="宋体" w:hint="eastAsia"/>
          <w:szCs w:val="24"/>
        </w:rPr>
        <w:t>元</w:t>
      </w:r>
      <w:r>
        <w:rPr>
          <w:rFonts w:ascii="Times New Roman" w:hAnsi="宋体" w:hint="eastAsia"/>
          <w:szCs w:val="24"/>
        </w:rPr>
        <w:t xml:space="preserve"> </w:t>
      </w:r>
    </w:p>
    <w:p w14:paraId="4D8F7544"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12,500.00</w:t>
      </w:r>
      <w:r>
        <w:rPr>
          <w:rFonts w:ascii="Times New Roman" w:hAnsi="宋体" w:hint="eastAsia"/>
          <w:szCs w:val="24"/>
        </w:rPr>
        <w:t>－</w:t>
      </w:r>
      <w:r>
        <w:rPr>
          <w:rFonts w:ascii="Times New Roman" w:hAnsi="宋体" w:hint="eastAsia"/>
          <w:szCs w:val="24"/>
        </w:rPr>
        <w:t>0.00</w:t>
      </w:r>
      <w:r>
        <w:rPr>
          <w:rFonts w:ascii="Times New Roman" w:hAnsi="宋体" w:hint="eastAsia"/>
          <w:szCs w:val="24"/>
        </w:rPr>
        <w:t>＝</w:t>
      </w:r>
      <w:r>
        <w:rPr>
          <w:rFonts w:ascii="Times New Roman" w:hAnsi="宋体" w:hint="eastAsia"/>
          <w:szCs w:val="24"/>
        </w:rPr>
        <w:t>12,500.00</w:t>
      </w:r>
      <w:r>
        <w:rPr>
          <w:rFonts w:ascii="Times New Roman" w:hAnsi="宋体" w:hint="eastAsia"/>
          <w:szCs w:val="24"/>
        </w:rPr>
        <w:t>元</w:t>
      </w:r>
    </w:p>
    <w:p w14:paraId="13928ACC"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②非个人投资者，赎回费率为</w:t>
      </w:r>
      <w:r>
        <w:rPr>
          <w:rFonts w:ascii="Times New Roman" w:hAnsi="宋体" w:hint="eastAsia"/>
          <w:szCs w:val="24"/>
        </w:rPr>
        <w:t>0.5%</w:t>
      </w:r>
    </w:p>
    <w:p w14:paraId="77E36675"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1.2500</w:t>
      </w:r>
      <w:r>
        <w:rPr>
          <w:rFonts w:ascii="Times New Roman" w:hAnsi="宋体" w:hint="eastAsia"/>
          <w:szCs w:val="24"/>
        </w:rPr>
        <w:t>＝</w:t>
      </w:r>
      <w:r>
        <w:rPr>
          <w:rFonts w:ascii="Times New Roman" w:hAnsi="宋体" w:hint="eastAsia"/>
          <w:szCs w:val="24"/>
        </w:rPr>
        <w:t>12,500.00</w:t>
      </w:r>
      <w:r>
        <w:rPr>
          <w:rFonts w:ascii="Times New Roman" w:hAnsi="宋体" w:hint="eastAsia"/>
          <w:szCs w:val="24"/>
        </w:rPr>
        <w:t>元</w:t>
      </w:r>
    </w:p>
    <w:p w14:paraId="69DE991A"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12,500.00</w:t>
      </w:r>
      <w:r>
        <w:rPr>
          <w:rFonts w:ascii="Times New Roman" w:hAnsi="宋体" w:hint="eastAsia"/>
          <w:szCs w:val="24"/>
        </w:rPr>
        <w:t>×</w:t>
      </w:r>
      <w:r>
        <w:rPr>
          <w:rFonts w:ascii="Times New Roman" w:hAnsi="宋体" w:hint="eastAsia"/>
          <w:szCs w:val="24"/>
        </w:rPr>
        <w:t>0.50%</w:t>
      </w:r>
      <w:r>
        <w:rPr>
          <w:rFonts w:ascii="Times New Roman" w:hAnsi="宋体" w:hint="eastAsia"/>
          <w:szCs w:val="24"/>
        </w:rPr>
        <w:t>＝</w:t>
      </w:r>
      <w:r>
        <w:rPr>
          <w:rFonts w:ascii="Times New Roman" w:hAnsi="宋体" w:hint="eastAsia"/>
          <w:szCs w:val="24"/>
        </w:rPr>
        <w:t>62.50</w:t>
      </w:r>
      <w:r>
        <w:rPr>
          <w:rFonts w:ascii="Times New Roman" w:hAnsi="宋体" w:hint="eastAsia"/>
          <w:szCs w:val="24"/>
        </w:rPr>
        <w:t>元</w:t>
      </w:r>
      <w:r>
        <w:rPr>
          <w:rFonts w:ascii="Times New Roman" w:hAnsi="宋体" w:hint="eastAsia"/>
          <w:szCs w:val="24"/>
        </w:rPr>
        <w:t xml:space="preserve"> </w:t>
      </w:r>
    </w:p>
    <w:p w14:paraId="1BA46B5D"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12,500.00</w:t>
      </w:r>
      <w:r>
        <w:rPr>
          <w:rFonts w:ascii="Times New Roman" w:hAnsi="宋体" w:hint="eastAsia"/>
          <w:szCs w:val="24"/>
        </w:rPr>
        <w:t>－</w:t>
      </w:r>
      <w:r>
        <w:rPr>
          <w:rFonts w:ascii="Times New Roman" w:hAnsi="宋体" w:hint="eastAsia"/>
          <w:szCs w:val="24"/>
        </w:rPr>
        <w:t>62.50</w:t>
      </w:r>
      <w:r>
        <w:rPr>
          <w:rFonts w:ascii="Times New Roman" w:hAnsi="宋体" w:hint="eastAsia"/>
          <w:szCs w:val="24"/>
        </w:rPr>
        <w:t>＝</w:t>
      </w:r>
      <w:r>
        <w:rPr>
          <w:rFonts w:ascii="Times New Roman" w:hAnsi="宋体" w:hint="eastAsia"/>
          <w:szCs w:val="24"/>
        </w:rPr>
        <w:t>12,437.50</w:t>
      </w:r>
      <w:r>
        <w:rPr>
          <w:rFonts w:ascii="Times New Roman" w:hAnsi="宋体" w:hint="eastAsia"/>
          <w:szCs w:val="24"/>
        </w:rPr>
        <w:t>元</w:t>
      </w:r>
    </w:p>
    <w:p w14:paraId="0DB79E5D"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例七：某投资者在</w:t>
      </w:r>
      <w:r>
        <w:rPr>
          <w:rFonts w:ascii="Times New Roman" w:hAnsi="宋体" w:hint="eastAsia"/>
          <w:szCs w:val="24"/>
        </w:rPr>
        <w:t>T</w:t>
      </w:r>
      <w:r>
        <w:rPr>
          <w:rFonts w:ascii="Times New Roman" w:hAnsi="宋体" w:hint="eastAsia"/>
          <w:szCs w:val="24"/>
        </w:rPr>
        <w:t>日通过其他销售机构赎回</w:t>
      </w:r>
      <w:r>
        <w:rPr>
          <w:rFonts w:ascii="Times New Roman" w:hAnsi="宋体" w:hint="eastAsia"/>
          <w:szCs w:val="24"/>
        </w:rPr>
        <w:t>10,000</w:t>
      </w:r>
      <w:r>
        <w:rPr>
          <w:rFonts w:ascii="Times New Roman" w:hAnsi="宋体" w:hint="eastAsia"/>
          <w:szCs w:val="24"/>
        </w:rPr>
        <w:t>份</w:t>
      </w:r>
      <w:r>
        <w:rPr>
          <w:rFonts w:ascii="Times New Roman" w:hAnsi="宋体" w:hint="eastAsia"/>
          <w:szCs w:val="24"/>
        </w:rPr>
        <w:t>C</w:t>
      </w:r>
      <w:r>
        <w:rPr>
          <w:rFonts w:ascii="Times New Roman" w:hAnsi="宋体" w:hint="eastAsia"/>
          <w:szCs w:val="24"/>
        </w:rPr>
        <w:t>类</w:t>
      </w:r>
      <w:r>
        <w:rPr>
          <w:rFonts w:ascii="Times New Roman" w:hAnsi="宋体" w:hint="eastAsia"/>
          <w:szCs w:val="24"/>
        </w:rPr>
        <w:t>基金份额，假设赎回当日</w:t>
      </w:r>
      <w:r>
        <w:rPr>
          <w:rFonts w:ascii="Times New Roman" w:hAnsi="宋体" w:hint="eastAsia"/>
          <w:szCs w:val="24"/>
        </w:rPr>
        <w:t>C</w:t>
      </w:r>
      <w:r>
        <w:rPr>
          <w:rFonts w:ascii="Times New Roman" w:hAnsi="宋体" w:hint="eastAsia"/>
          <w:szCs w:val="24"/>
        </w:rPr>
        <w:t>类基金份额净值为</w:t>
      </w:r>
      <w:r>
        <w:rPr>
          <w:rFonts w:ascii="Times New Roman" w:hAnsi="宋体" w:hint="eastAsia"/>
          <w:szCs w:val="24"/>
        </w:rPr>
        <w:t>1.5000</w:t>
      </w:r>
      <w:r>
        <w:rPr>
          <w:rFonts w:ascii="Times New Roman" w:hAnsi="宋体" w:hint="eastAsia"/>
          <w:szCs w:val="24"/>
        </w:rPr>
        <w:t>元，持有时间为</w:t>
      </w:r>
      <w:r>
        <w:rPr>
          <w:rFonts w:ascii="Times New Roman" w:hAnsi="宋体" w:hint="eastAsia"/>
          <w:szCs w:val="24"/>
        </w:rPr>
        <w:t>730</w:t>
      </w:r>
      <w:r>
        <w:rPr>
          <w:rFonts w:ascii="Times New Roman" w:hAnsi="宋体" w:hint="eastAsia"/>
          <w:szCs w:val="24"/>
        </w:rPr>
        <w:t>天，对所有类型投资者而言，赎回费率均为</w:t>
      </w:r>
      <w:r>
        <w:rPr>
          <w:rFonts w:ascii="Times New Roman" w:hAnsi="宋体" w:hint="eastAsia"/>
          <w:szCs w:val="24"/>
        </w:rPr>
        <w:t>0</w:t>
      </w:r>
      <w:r>
        <w:rPr>
          <w:rFonts w:ascii="Times New Roman" w:hAnsi="宋体" w:hint="eastAsia"/>
          <w:szCs w:val="24"/>
        </w:rPr>
        <w:t>，且假设按基金合同约定计算出的应返还的销售服务费为</w:t>
      </w:r>
      <w:r>
        <w:rPr>
          <w:rFonts w:ascii="Times New Roman" w:hAnsi="宋体" w:hint="eastAsia"/>
          <w:szCs w:val="24"/>
        </w:rPr>
        <w:t>50.00</w:t>
      </w:r>
      <w:r>
        <w:rPr>
          <w:rFonts w:ascii="Times New Roman" w:hAnsi="宋体" w:hint="eastAsia"/>
          <w:szCs w:val="24"/>
        </w:rPr>
        <w:t>元（即该笔赎回的基金份额符合返还销售服务费的情形，应将已计提的符合返还条件的销售服务费返还给投资者），其获得的赎回金额计算如下：</w:t>
      </w:r>
    </w:p>
    <w:p w14:paraId="58430583"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赎回总额＝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1.5000</w:t>
      </w:r>
      <w:r>
        <w:rPr>
          <w:rFonts w:ascii="Times New Roman" w:hAnsi="宋体" w:hint="eastAsia"/>
          <w:szCs w:val="24"/>
        </w:rPr>
        <w:t>＝</w:t>
      </w:r>
      <w:r>
        <w:rPr>
          <w:rFonts w:ascii="Times New Roman" w:hAnsi="宋体" w:hint="eastAsia"/>
          <w:szCs w:val="24"/>
        </w:rPr>
        <w:t>15,000.00</w:t>
      </w:r>
      <w:r>
        <w:rPr>
          <w:rFonts w:ascii="Times New Roman" w:hAnsi="宋体" w:hint="eastAsia"/>
          <w:szCs w:val="24"/>
        </w:rPr>
        <w:t>元</w:t>
      </w:r>
    </w:p>
    <w:p w14:paraId="1E37677B"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15,000.00</w:t>
      </w:r>
      <w:r>
        <w:rPr>
          <w:rFonts w:ascii="Times New Roman" w:hAnsi="宋体" w:hint="eastAsia"/>
          <w:szCs w:val="24"/>
        </w:rPr>
        <w:t>×</w:t>
      </w:r>
      <w:r>
        <w:rPr>
          <w:rFonts w:ascii="Times New Roman" w:hAnsi="宋体" w:hint="eastAsia"/>
          <w:szCs w:val="24"/>
        </w:rPr>
        <w:t>0</w:t>
      </w:r>
      <w:r>
        <w:rPr>
          <w:rFonts w:ascii="Times New Roman" w:hAnsi="宋体" w:hint="eastAsia"/>
          <w:szCs w:val="24"/>
        </w:rPr>
        <w:t>＝</w:t>
      </w:r>
      <w:r>
        <w:rPr>
          <w:rFonts w:ascii="Times New Roman" w:hAnsi="宋体" w:hint="eastAsia"/>
          <w:szCs w:val="24"/>
        </w:rPr>
        <w:t>0.00</w:t>
      </w:r>
      <w:r>
        <w:rPr>
          <w:rFonts w:ascii="Times New Roman" w:hAnsi="宋体" w:hint="eastAsia"/>
          <w:szCs w:val="24"/>
        </w:rPr>
        <w:t>元</w:t>
      </w:r>
      <w:r>
        <w:rPr>
          <w:rFonts w:ascii="Times New Roman" w:hAnsi="宋体" w:hint="eastAsia"/>
          <w:szCs w:val="24"/>
        </w:rPr>
        <w:t xml:space="preserve"> </w:t>
      </w:r>
    </w:p>
    <w:p w14:paraId="4E899AF2"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15,000.00</w:t>
      </w:r>
      <w:r>
        <w:rPr>
          <w:rFonts w:ascii="Times New Roman" w:hAnsi="宋体" w:hint="eastAsia"/>
          <w:szCs w:val="24"/>
        </w:rPr>
        <w:t>－</w:t>
      </w:r>
      <w:r>
        <w:rPr>
          <w:rFonts w:ascii="Times New Roman" w:hAnsi="宋体" w:hint="eastAsia"/>
          <w:szCs w:val="24"/>
        </w:rPr>
        <w:t>0.00</w:t>
      </w:r>
      <w:r>
        <w:rPr>
          <w:rFonts w:ascii="Times New Roman" w:hAnsi="宋体" w:hint="eastAsia"/>
          <w:szCs w:val="24"/>
        </w:rPr>
        <w:t>＋</w:t>
      </w:r>
      <w:r>
        <w:rPr>
          <w:rFonts w:ascii="Times New Roman" w:hAnsi="宋体" w:hint="eastAsia"/>
          <w:szCs w:val="24"/>
        </w:rPr>
        <w:t>50.00</w:t>
      </w:r>
      <w:r>
        <w:rPr>
          <w:rFonts w:ascii="Times New Roman" w:hAnsi="宋体" w:hint="eastAsia"/>
          <w:szCs w:val="24"/>
        </w:rPr>
        <w:t>＝</w:t>
      </w:r>
      <w:r>
        <w:rPr>
          <w:rFonts w:ascii="Times New Roman" w:hAnsi="宋体" w:hint="eastAsia"/>
          <w:szCs w:val="24"/>
        </w:rPr>
        <w:t>15,050.00</w:t>
      </w:r>
      <w:r>
        <w:rPr>
          <w:rFonts w:ascii="Times New Roman" w:hAnsi="宋体" w:hint="eastAsia"/>
          <w:szCs w:val="24"/>
        </w:rPr>
        <w:t>元</w:t>
      </w:r>
    </w:p>
    <w:p w14:paraId="100A17C6" w14:textId="77777777" w:rsidR="00BF38BB" w:rsidRDefault="002837D7">
      <w:pPr>
        <w:pStyle w:val="aff6"/>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）赎回金额计算结果按四舍</w:t>
      </w:r>
      <w:r>
        <w:rPr>
          <w:rFonts w:ascii="Times New Roman" w:hAnsi="宋体" w:hint="eastAsia"/>
          <w:szCs w:val="24"/>
        </w:rPr>
        <w:t>五入方法，保留到小数点后</w:t>
      </w:r>
      <w:r>
        <w:rPr>
          <w:rFonts w:ascii="Times New Roman" w:hAnsi="宋体" w:hint="eastAsia"/>
          <w:szCs w:val="24"/>
        </w:rPr>
        <w:t>2</w:t>
      </w:r>
      <w:r>
        <w:rPr>
          <w:rFonts w:ascii="Times New Roman" w:hAnsi="宋体" w:hint="eastAsia"/>
          <w:szCs w:val="24"/>
        </w:rPr>
        <w:t>位，由此产生的收益或损失归入基金财产。</w:t>
      </w:r>
    </w:p>
    <w:p w14:paraId="6E3EC2F2" w14:textId="77777777" w:rsidR="00BF38BB" w:rsidRDefault="002837D7">
      <w:pPr>
        <w:spacing w:line="360" w:lineRule="auto"/>
        <w:ind w:firstLineChars="200" w:firstLine="420"/>
        <w:rPr>
          <w:rFonts w:ascii="宋体" w:hAnsi="宋体"/>
        </w:rPr>
      </w:pPr>
      <w:r>
        <w:rPr>
          <w:rFonts w:ascii="宋体" w:hAnsi="宋体" w:hint="eastAsia"/>
        </w:rPr>
        <w:lastRenderedPageBreak/>
        <w:t>3</w:t>
      </w:r>
      <w:r>
        <w:rPr>
          <w:rFonts w:ascii="宋体" w:hAnsi="宋体" w:hint="eastAsia"/>
        </w:rPr>
        <w:t>、基金份额净值计算</w:t>
      </w:r>
    </w:p>
    <w:p w14:paraId="78C9AAB5" w14:textId="77777777" w:rsidR="00BF38BB" w:rsidRDefault="002837D7">
      <w:pPr>
        <w:spacing w:line="360" w:lineRule="auto"/>
        <w:ind w:firstLineChars="200" w:firstLine="420"/>
        <w:rPr>
          <w:rFonts w:ascii="宋体" w:hAnsi="宋体"/>
        </w:rPr>
      </w:pPr>
      <w:r>
        <w:rPr>
          <w:rFonts w:ascii="宋体" w:hAnsi="宋体"/>
        </w:rPr>
        <w:t xml:space="preserve">T </w:t>
      </w:r>
      <w:r>
        <w:rPr>
          <w:rFonts w:ascii="宋体" w:hAnsi="宋体" w:hint="eastAsia"/>
        </w:rPr>
        <w:t>日基金份额净值</w:t>
      </w:r>
      <w:r>
        <w:rPr>
          <w:rFonts w:ascii="宋体" w:hAnsi="宋体"/>
        </w:rPr>
        <w:t>=T</w:t>
      </w:r>
      <w:r>
        <w:rPr>
          <w:rFonts w:ascii="宋体" w:hAnsi="宋体"/>
        </w:rPr>
        <w:t>日该类别基金资产净值</w:t>
      </w:r>
      <w:r>
        <w:rPr>
          <w:rFonts w:ascii="宋体" w:hAnsi="宋体"/>
        </w:rPr>
        <w:t>/T</w:t>
      </w:r>
      <w:r>
        <w:rPr>
          <w:rFonts w:ascii="宋体" w:hAnsi="宋体"/>
        </w:rPr>
        <w:t>日发行在外的该类别基金份额总数。</w:t>
      </w:r>
    </w:p>
    <w:p w14:paraId="6BA6D810" w14:textId="77777777" w:rsidR="00BF38BB" w:rsidRDefault="002837D7">
      <w:pPr>
        <w:spacing w:line="360" w:lineRule="auto"/>
        <w:ind w:firstLineChars="200" w:firstLine="420"/>
        <w:rPr>
          <w:rFonts w:ascii="宋体" w:hAnsi="宋体"/>
          <w:shd w:val="pct10" w:color="auto" w:fill="FFFFFF"/>
        </w:rPr>
      </w:pPr>
      <w:bookmarkStart w:id="65" w:name="OLE_LINK33"/>
      <w:r>
        <w:rPr>
          <w:rFonts w:ascii="宋体" w:hAnsi="宋体" w:hint="eastAsia"/>
        </w:rPr>
        <w:t>T</w:t>
      </w:r>
      <w:r>
        <w:rPr>
          <w:rFonts w:ascii="宋体" w:hAnsi="宋体" w:hint="eastAsia"/>
        </w:rPr>
        <w:t>日的各类基金份额净值在当天收市后计算，并在</w:t>
      </w:r>
      <w:r>
        <w:rPr>
          <w:rFonts w:ascii="宋体" w:hAnsi="宋体" w:hint="eastAsia"/>
        </w:rPr>
        <w:t>T+1</w:t>
      </w:r>
      <w:r>
        <w:rPr>
          <w:rFonts w:ascii="宋体" w:hAnsi="宋体" w:hint="eastAsia"/>
        </w:rPr>
        <w:t>日内公告。遇特殊情况，经履行适当程序，可以适当延迟计算或公告。某一类别基金份额净值为计算日该类别基金资产净值除以计算日发行在外的该类别基金份额总数，每一类别基金份额净值单位为元，计算结果保留至小数点后</w:t>
      </w:r>
      <w:r>
        <w:rPr>
          <w:rFonts w:ascii="宋体" w:hAnsi="宋体" w:hint="eastAsia"/>
        </w:rPr>
        <w:t>4</w:t>
      </w:r>
      <w:r>
        <w:rPr>
          <w:rFonts w:ascii="宋体" w:hAnsi="宋体" w:hint="eastAsia"/>
        </w:rPr>
        <w:t>位，小数点后第</w:t>
      </w:r>
      <w:r>
        <w:rPr>
          <w:rFonts w:ascii="宋体" w:hAnsi="宋体" w:hint="eastAsia"/>
        </w:rPr>
        <w:t>5</w:t>
      </w:r>
      <w:r>
        <w:rPr>
          <w:rFonts w:ascii="宋体" w:hAnsi="宋体" w:hint="eastAsia"/>
        </w:rPr>
        <w:t>位四舍五入</w:t>
      </w:r>
      <w:r>
        <w:rPr>
          <w:rFonts w:ascii="宋体" w:hAnsi="宋体"/>
        </w:rPr>
        <w:t>，由此产生的收益或损失由基金财产承担</w:t>
      </w:r>
      <w:r>
        <w:rPr>
          <w:rFonts w:ascii="宋体" w:hAnsi="宋体" w:hint="eastAsia"/>
        </w:rPr>
        <w:t>。</w:t>
      </w:r>
    </w:p>
    <w:p w14:paraId="7ABBD6D2" w14:textId="77777777" w:rsidR="00BF38BB" w:rsidRDefault="002837D7">
      <w:pPr>
        <w:spacing w:line="360" w:lineRule="auto"/>
        <w:ind w:firstLineChars="200" w:firstLine="420"/>
        <w:rPr>
          <w:bCs/>
          <w:szCs w:val="21"/>
        </w:rPr>
      </w:pPr>
      <w:bookmarkStart w:id="66" w:name="OLE_LINK34"/>
      <w:bookmarkStart w:id="67" w:name="_Hlk38019004"/>
      <w:bookmarkStart w:id="68" w:name="_Hlk38016409"/>
      <w:bookmarkEnd w:id="65"/>
      <w:r>
        <w:rPr>
          <w:rFonts w:hint="eastAsia"/>
          <w:bCs/>
          <w:szCs w:val="21"/>
        </w:rPr>
        <w:t>（八）</w:t>
      </w:r>
      <w:r>
        <w:rPr>
          <w:bCs/>
          <w:szCs w:val="21"/>
        </w:rPr>
        <w:t>拒绝或暂停申购的情形</w:t>
      </w:r>
    </w:p>
    <w:p w14:paraId="132D1D9E" w14:textId="77777777" w:rsidR="00BF38BB" w:rsidRDefault="002837D7">
      <w:pPr>
        <w:spacing w:line="360" w:lineRule="auto"/>
        <w:ind w:firstLineChars="200" w:firstLine="420"/>
        <w:rPr>
          <w:bCs/>
          <w:szCs w:val="21"/>
        </w:rPr>
      </w:pPr>
      <w:r>
        <w:rPr>
          <w:bCs/>
          <w:szCs w:val="21"/>
        </w:rPr>
        <w:t>发生下列情况之一时，基金管理人可拒绝或暂停接受投资人的申购申请：</w:t>
      </w:r>
    </w:p>
    <w:p w14:paraId="44D5FC75" w14:textId="77777777" w:rsidR="00BF38BB" w:rsidRDefault="002837D7">
      <w:pPr>
        <w:spacing w:line="360" w:lineRule="auto"/>
        <w:ind w:firstLineChars="200" w:firstLine="420"/>
        <w:rPr>
          <w:bCs/>
          <w:szCs w:val="21"/>
        </w:rPr>
      </w:pPr>
      <w:r>
        <w:rPr>
          <w:bCs/>
          <w:szCs w:val="21"/>
        </w:rPr>
        <w:t>1</w:t>
      </w:r>
      <w:r>
        <w:rPr>
          <w:rFonts w:hint="eastAsia"/>
          <w:bCs/>
          <w:szCs w:val="21"/>
        </w:rPr>
        <w:t>、</w:t>
      </w:r>
      <w:r>
        <w:rPr>
          <w:bCs/>
          <w:szCs w:val="21"/>
        </w:rPr>
        <w:t>因不可抗力导致基金无法正常运作。</w:t>
      </w:r>
    </w:p>
    <w:p w14:paraId="6042E7F9"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、发生基金合同规定的暂停基金资产估值情况。</w:t>
      </w:r>
    </w:p>
    <w:p w14:paraId="01CA22A3"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w:t>
      </w:r>
      <w:r>
        <w:rPr>
          <w:bCs/>
          <w:szCs w:val="21"/>
        </w:rPr>
        <w:t>证券交易所或期货交易所交易时间非正常停市，导致基金管理人无法计算当日基金资产净值。</w:t>
      </w:r>
    </w:p>
    <w:p w14:paraId="429F7F43" w14:textId="77777777" w:rsidR="00BF38BB" w:rsidRDefault="002837D7">
      <w:pPr>
        <w:spacing w:line="360" w:lineRule="auto"/>
        <w:ind w:firstLineChars="200" w:firstLine="420"/>
        <w:rPr>
          <w:bCs/>
          <w:szCs w:val="21"/>
        </w:rPr>
      </w:pPr>
      <w:r>
        <w:rPr>
          <w:bCs/>
          <w:szCs w:val="21"/>
        </w:rPr>
        <w:t>4</w:t>
      </w:r>
      <w:r>
        <w:rPr>
          <w:rFonts w:hint="eastAsia"/>
          <w:bCs/>
          <w:szCs w:val="21"/>
        </w:rPr>
        <w:t>、基金资产规模过大，使基金管理人无法找到合适的投资品种，或其他可能对基金业绩产生负面影响，或发生其他损害现有基金份额持有人利益的情形。</w:t>
      </w:r>
    </w:p>
    <w:p w14:paraId="7BE20215" w14:textId="77777777" w:rsidR="00BF38BB" w:rsidRDefault="002837D7">
      <w:pPr>
        <w:spacing w:line="360" w:lineRule="auto"/>
        <w:ind w:firstLineChars="200" w:firstLine="420"/>
        <w:rPr>
          <w:bCs/>
          <w:szCs w:val="21"/>
        </w:rPr>
      </w:pPr>
      <w:r>
        <w:rPr>
          <w:bCs/>
          <w:szCs w:val="21"/>
        </w:rPr>
        <w:t>5</w:t>
      </w:r>
      <w:r>
        <w:rPr>
          <w:rFonts w:hint="eastAsia"/>
          <w:bCs/>
          <w:szCs w:val="21"/>
        </w:rPr>
        <w:t>、基金管理人、基金托管人、销售机构、登记机构、支付结算机构等因异常情况导致基金销售系统、基金注册登记系统、基金会计系统等无法正常运行</w:t>
      </w:r>
      <w:r>
        <w:rPr>
          <w:rFonts w:hint="eastAsia"/>
          <w:bCs/>
          <w:szCs w:val="21"/>
        </w:rPr>
        <w:t>。</w:t>
      </w:r>
    </w:p>
    <w:p w14:paraId="2876E12F" w14:textId="77777777" w:rsidR="00BF38BB" w:rsidRDefault="002837D7">
      <w:pPr>
        <w:spacing w:line="360" w:lineRule="auto"/>
        <w:ind w:firstLineChars="200" w:firstLine="420"/>
        <w:rPr>
          <w:bCs/>
          <w:szCs w:val="21"/>
        </w:rPr>
      </w:pPr>
      <w:r>
        <w:rPr>
          <w:bCs/>
          <w:szCs w:val="21"/>
        </w:rPr>
        <w:t>6</w:t>
      </w:r>
      <w:r>
        <w:rPr>
          <w:rFonts w:hint="eastAsia"/>
          <w:bCs/>
          <w:szCs w:val="21"/>
        </w:rPr>
        <w:t>、占前一估值日基金资产净值</w:t>
      </w:r>
      <w:r>
        <w:rPr>
          <w:rFonts w:hint="eastAsia"/>
          <w:bCs/>
          <w:szCs w:val="21"/>
        </w:rPr>
        <w:t>50%</w:t>
      </w:r>
      <w:r>
        <w:rPr>
          <w:rFonts w:hint="eastAsia"/>
          <w:bCs/>
          <w:szCs w:val="21"/>
        </w:rPr>
        <w:t>以上的资产出现无可参考的活跃市场价格且采用估值技术仍导致公允价值存在重大不确定性时，经与基金托管人协商确认后，基金管理人应当暂停接受基金申购申请。</w:t>
      </w:r>
    </w:p>
    <w:p w14:paraId="73A97DCC" w14:textId="77777777" w:rsidR="00BF38BB" w:rsidRDefault="002837D7">
      <w:pPr>
        <w:spacing w:line="360" w:lineRule="auto"/>
        <w:ind w:firstLineChars="200" w:firstLine="420"/>
        <w:rPr>
          <w:bCs/>
          <w:szCs w:val="21"/>
        </w:rPr>
      </w:pPr>
      <w:r>
        <w:rPr>
          <w:bCs/>
          <w:szCs w:val="21"/>
        </w:rPr>
        <w:t>7</w:t>
      </w:r>
      <w:r>
        <w:rPr>
          <w:rFonts w:hint="eastAsia"/>
          <w:bCs/>
          <w:szCs w:val="21"/>
        </w:rPr>
        <w:t>、当继续接受申购申请，可能会导致本基金总规模超过基金管理人规定的本基金总规模上限时；或使本基金单日净申购比例超过基金管理人规定的当日净申购比例上限。</w:t>
      </w:r>
    </w:p>
    <w:p w14:paraId="484BDE04" w14:textId="77777777" w:rsidR="00BF38BB" w:rsidRDefault="002837D7">
      <w:pPr>
        <w:spacing w:line="360" w:lineRule="auto"/>
        <w:ind w:firstLineChars="200" w:firstLine="420"/>
        <w:rPr>
          <w:bCs/>
          <w:szCs w:val="21"/>
        </w:rPr>
      </w:pPr>
      <w:r>
        <w:rPr>
          <w:rFonts w:hint="eastAsia"/>
          <w:bCs/>
          <w:szCs w:val="21"/>
        </w:rPr>
        <w:t>8</w:t>
      </w:r>
      <w:r>
        <w:rPr>
          <w:rFonts w:hint="eastAsia"/>
          <w:bCs/>
          <w:szCs w:val="21"/>
        </w:rPr>
        <w:t>、基金管理人接受某笔或者某些申购申请有可能导致单一投资者持有基金份额的比例达到或者超过</w:t>
      </w:r>
      <w:r>
        <w:rPr>
          <w:rFonts w:hint="eastAsia"/>
          <w:bCs/>
          <w:szCs w:val="21"/>
        </w:rPr>
        <w:t>50%</w:t>
      </w:r>
      <w:r>
        <w:rPr>
          <w:rFonts w:hint="eastAsia"/>
          <w:bCs/>
          <w:szCs w:val="21"/>
        </w:rPr>
        <w:t>，或者变相规避</w:t>
      </w:r>
      <w:r>
        <w:rPr>
          <w:rFonts w:hint="eastAsia"/>
          <w:bCs/>
          <w:szCs w:val="21"/>
        </w:rPr>
        <w:t>50%</w:t>
      </w:r>
      <w:r>
        <w:rPr>
          <w:rFonts w:hint="eastAsia"/>
          <w:bCs/>
          <w:szCs w:val="21"/>
        </w:rPr>
        <w:t>集中度的情形。</w:t>
      </w:r>
    </w:p>
    <w:p w14:paraId="2191104E" w14:textId="77777777" w:rsidR="00BF38BB" w:rsidRDefault="002837D7">
      <w:pPr>
        <w:spacing w:line="360" w:lineRule="auto"/>
        <w:ind w:firstLineChars="200" w:firstLine="420"/>
        <w:rPr>
          <w:bCs/>
          <w:szCs w:val="21"/>
        </w:rPr>
      </w:pPr>
      <w:r>
        <w:rPr>
          <w:bCs/>
          <w:szCs w:val="21"/>
        </w:rPr>
        <w:t>9</w:t>
      </w:r>
      <w:r>
        <w:rPr>
          <w:rFonts w:hint="eastAsia"/>
          <w:bCs/>
          <w:szCs w:val="21"/>
        </w:rPr>
        <w:t>、</w:t>
      </w:r>
      <w:r>
        <w:rPr>
          <w:bCs/>
          <w:szCs w:val="21"/>
        </w:rPr>
        <w:t>接受某笔或某些申购申请可能会影响或损害现</w:t>
      </w:r>
      <w:r>
        <w:rPr>
          <w:bCs/>
          <w:szCs w:val="21"/>
        </w:rPr>
        <w:t>有基金份额持有人利益。</w:t>
      </w:r>
    </w:p>
    <w:p w14:paraId="552B3370" w14:textId="77777777" w:rsidR="00BF38BB" w:rsidRDefault="002837D7">
      <w:pPr>
        <w:spacing w:line="360" w:lineRule="auto"/>
        <w:ind w:firstLineChars="200" w:firstLine="420"/>
        <w:rPr>
          <w:bCs/>
          <w:szCs w:val="21"/>
        </w:rPr>
      </w:pPr>
      <w:r>
        <w:rPr>
          <w:rFonts w:hint="eastAsia"/>
          <w:bCs/>
          <w:szCs w:val="21"/>
        </w:rPr>
        <w:t>10</w:t>
      </w:r>
      <w:r>
        <w:rPr>
          <w:rFonts w:hint="eastAsia"/>
          <w:bCs/>
          <w:szCs w:val="21"/>
        </w:rPr>
        <w:t>、当接受某笔或某些申购申请，可能会导致该投资人累计持有的份额超过单个投资人累计持有的份额上限；或该投资人当日申购金额超过单个投资人单日或单笔申购金额上限。</w:t>
      </w:r>
    </w:p>
    <w:p w14:paraId="756124E1" w14:textId="77777777" w:rsidR="00BF38BB" w:rsidRDefault="002837D7">
      <w:pPr>
        <w:spacing w:line="360" w:lineRule="auto"/>
        <w:ind w:firstLineChars="200" w:firstLine="420"/>
        <w:rPr>
          <w:bCs/>
          <w:szCs w:val="21"/>
        </w:rPr>
      </w:pPr>
      <w:r>
        <w:rPr>
          <w:bCs/>
          <w:szCs w:val="21"/>
        </w:rPr>
        <w:t>11</w:t>
      </w:r>
      <w:r>
        <w:rPr>
          <w:bCs/>
          <w:szCs w:val="21"/>
        </w:rPr>
        <w:t>、法律法规规定或中国证监会认定的其他情形。</w:t>
      </w:r>
    </w:p>
    <w:p w14:paraId="2AD0B9BC" w14:textId="77777777" w:rsidR="00BF38BB" w:rsidRDefault="002837D7">
      <w:pPr>
        <w:spacing w:line="360" w:lineRule="auto"/>
        <w:ind w:firstLineChars="200" w:firstLine="420"/>
        <w:rPr>
          <w:bCs/>
          <w:szCs w:val="21"/>
        </w:rPr>
      </w:pPr>
      <w:r>
        <w:rPr>
          <w:bCs/>
          <w:szCs w:val="21"/>
        </w:rPr>
        <w:t>发生上述第</w:t>
      </w:r>
      <w:r>
        <w:rPr>
          <w:bCs/>
          <w:szCs w:val="21"/>
        </w:rPr>
        <w:t>1</w:t>
      </w:r>
      <w:r>
        <w:rPr>
          <w:rFonts w:hint="eastAsia"/>
          <w:bCs/>
          <w:szCs w:val="21"/>
        </w:rPr>
        <w:t>项</w:t>
      </w:r>
      <w:r>
        <w:rPr>
          <w:bCs/>
          <w:szCs w:val="21"/>
        </w:rPr>
        <w:t>至第</w:t>
      </w:r>
      <w:r>
        <w:rPr>
          <w:rFonts w:hint="eastAsia"/>
          <w:bCs/>
          <w:szCs w:val="21"/>
        </w:rPr>
        <w:t>7</w:t>
      </w:r>
      <w:r>
        <w:rPr>
          <w:rFonts w:hint="eastAsia"/>
          <w:bCs/>
          <w:szCs w:val="21"/>
        </w:rPr>
        <w:t>项</w:t>
      </w:r>
      <w:r>
        <w:rPr>
          <w:bCs/>
          <w:szCs w:val="21"/>
        </w:rPr>
        <w:t>及第</w:t>
      </w:r>
      <w:r>
        <w:rPr>
          <w:rFonts w:hint="eastAsia"/>
          <w:bCs/>
          <w:szCs w:val="21"/>
        </w:rPr>
        <w:t>11</w:t>
      </w:r>
      <w:r>
        <w:rPr>
          <w:rFonts w:hint="eastAsia"/>
          <w:bCs/>
          <w:szCs w:val="21"/>
        </w:rPr>
        <w:t>项拒绝或</w:t>
      </w:r>
      <w:r>
        <w:rPr>
          <w:bCs/>
          <w:szCs w:val="21"/>
        </w:rPr>
        <w:t>暂停申购情形之一且基金管理人决定暂停接受投资人申购申请时，基金管理人应当根据</w:t>
      </w:r>
      <w:r>
        <w:rPr>
          <w:rFonts w:hint="eastAsia"/>
          <w:bCs/>
          <w:szCs w:val="21"/>
        </w:rPr>
        <w:t>《信息披露办法》的</w:t>
      </w:r>
      <w:r>
        <w:rPr>
          <w:bCs/>
          <w:szCs w:val="21"/>
        </w:rPr>
        <w:t>规定在规定媒介上刊登暂停申购公告。如果投资人的申购申请被</w:t>
      </w:r>
      <w:r>
        <w:rPr>
          <w:rFonts w:hint="eastAsia"/>
          <w:bCs/>
          <w:szCs w:val="21"/>
        </w:rPr>
        <w:t>全部或部分</w:t>
      </w:r>
      <w:r>
        <w:rPr>
          <w:bCs/>
          <w:szCs w:val="21"/>
        </w:rPr>
        <w:t>拒绝</w:t>
      </w:r>
      <w:r>
        <w:rPr>
          <w:rFonts w:hint="eastAsia"/>
          <w:bCs/>
          <w:szCs w:val="21"/>
        </w:rPr>
        <w:t>的</w:t>
      </w:r>
      <w:r>
        <w:rPr>
          <w:bCs/>
          <w:szCs w:val="21"/>
        </w:rPr>
        <w:t>，被拒绝的申购款项将退还给投资人。在暂停申购的情况消除时，基金管理人应及时恢</w:t>
      </w:r>
      <w:r>
        <w:rPr>
          <w:bCs/>
          <w:szCs w:val="21"/>
        </w:rPr>
        <w:t>复申购业务的办理。</w:t>
      </w:r>
      <w:r>
        <w:rPr>
          <w:rFonts w:hint="eastAsia"/>
          <w:bCs/>
          <w:szCs w:val="21"/>
        </w:rPr>
        <w:t>发生上述第</w:t>
      </w:r>
      <w:r>
        <w:rPr>
          <w:rFonts w:hint="eastAsia"/>
          <w:bCs/>
          <w:szCs w:val="21"/>
        </w:rPr>
        <w:t>8</w:t>
      </w:r>
      <w:r>
        <w:rPr>
          <w:rFonts w:hint="eastAsia"/>
          <w:bCs/>
          <w:szCs w:val="21"/>
        </w:rPr>
        <w:t>、</w:t>
      </w:r>
      <w:r>
        <w:rPr>
          <w:rFonts w:hint="eastAsia"/>
          <w:bCs/>
          <w:szCs w:val="21"/>
        </w:rPr>
        <w:t>9</w:t>
      </w:r>
      <w:r>
        <w:rPr>
          <w:rFonts w:hint="eastAsia"/>
          <w:bCs/>
          <w:szCs w:val="21"/>
        </w:rPr>
        <w:t>、</w:t>
      </w:r>
      <w:r>
        <w:rPr>
          <w:rFonts w:hint="eastAsia"/>
          <w:bCs/>
          <w:szCs w:val="21"/>
        </w:rPr>
        <w:t>10</w:t>
      </w:r>
      <w:r>
        <w:rPr>
          <w:rFonts w:hint="eastAsia"/>
          <w:bCs/>
          <w:szCs w:val="21"/>
        </w:rPr>
        <w:t>项拒绝或</w:t>
      </w:r>
      <w:r>
        <w:rPr>
          <w:bCs/>
          <w:szCs w:val="21"/>
        </w:rPr>
        <w:t>暂停申购情形之一</w:t>
      </w:r>
      <w:r>
        <w:rPr>
          <w:rFonts w:hint="eastAsia"/>
          <w:bCs/>
          <w:szCs w:val="21"/>
        </w:rPr>
        <w:t>的，</w:t>
      </w:r>
      <w:r>
        <w:rPr>
          <w:bCs/>
          <w:szCs w:val="21"/>
        </w:rPr>
        <w:t>基金管理人有权按照维护存量基金份额持有人利益的原则</w:t>
      </w:r>
      <w:r>
        <w:rPr>
          <w:rFonts w:hint="eastAsia"/>
          <w:bCs/>
          <w:szCs w:val="21"/>
        </w:rPr>
        <w:t>，</w:t>
      </w:r>
      <w:r>
        <w:rPr>
          <w:bCs/>
          <w:szCs w:val="21"/>
        </w:rPr>
        <w:t>决定</w:t>
      </w:r>
      <w:r>
        <w:rPr>
          <w:rFonts w:hint="eastAsia"/>
          <w:bCs/>
          <w:szCs w:val="21"/>
        </w:rPr>
        <w:t>拒绝或</w:t>
      </w:r>
      <w:r>
        <w:rPr>
          <w:bCs/>
          <w:szCs w:val="21"/>
        </w:rPr>
        <w:t>暂停接受投资人申购申请</w:t>
      </w:r>
      <w:r>
        <w:rPr>
          <w:rFonts w:hint="eastAsia"/>
          <w:bCs/>
          <w:szCs w:val="21"/>
        </w:rPr>
        <w:t>，或采取部分确认等方式对该投资人的申</w:t>
      </w:r>
      <w:r>
        <w:rPr>
          <w:rFonts w:hint="eastAsia"/>
          <w:bCs/>
          <w:szCs w:val="21"/>
        </w:rPr>
        <w:lastRenderedPageBreak/>
        <w:t>购申请进行限制。</w:t>
      </w:r>
    </w:p>
    <w:p w14:paraId="24722DA7" w14:textId="77777777" w:rsidR="00BF38BB" w:rsidRDefault="002837D7">
      <w:pPr>
        <w:spacing w:line="360" w:lineRule="auto"/>
        <w:ind w:firstLineChars="200" w:firstLine="420"/>
        <w:rPr>
          <w:bCs/>
          <w:szCs w:val="21"/>
        </w:rPr>
      </w:pPr>
      <w:r>
        <w:rPr>
          <w:rFonts w:hint="eastAsia"/>
          <w:bCs/>
          <w:szCs w:val="21"/>
        </w:rPr>
        <w:t>（九）</w:t>
      </w:r>
      <w:r>
        <w:rPr>
          <w:bCs/>
          <w:szCs w:val="21"/>
        </w:rPr>
        <w:t>暂停赎回或延缓支付赎回款项的情形</w:t>
      </w:r>
    </w:p>
    <w:p w14:paraId="4B4E16AA" w14:textId="77777777" w:rsidR="00BF38BB" w:rsidRDefault="002837D7">
      <w:pPr>
        <w:spacing w:line="360" w:lineRule="auto"/>
        <w:ind w:firstLineChars="200" w:firstLine="420"/>
        <w:rPr>
          <w:bCs/>
          <w:szCs w:val="21"/>
        </w:rPr>
      </w:pPr>
      <w:r>
        <w:rPr>
          <w:bCs/>
          <w:szCs w:val="21"/>
        </w:rPr>
        <w:t>发生下列情形之一时，基金管理人可暂停接受投资人的赎回申请或延缓支付赎回款项：</w:t>
      </w:r>
    </w:p>
    <w:p w14:paraId="0DC85E0A" w14:textId="77777777" w:rsidR="00BF38BB" w:rsidRDefault="002837D7">
      <w:pPr>
        <w:spacing w:line="360" w:lineRule="auto"/>
        <w:ind w:firstLineChars="200" w:firstLine="420"/>
        <w:rPr>
          <w:bCs/>
          <w:szCs w:val="21"/>
        </w:rPr>
      </w:pPr>
      <w:r>
        <w:rPr>
          <w:bCs/>
          <w:szCs w:val="21"/>
        </w:rPr>
        <w:t>1</w:t>
      </w:r>
      <w:r>
        <w:rPr>
          <w:rFonts w:hint="eastAsia"/>
          <w:bCs/>
          <w:szCs w:val="21"/>
        </w:rPr>
        <w:t>、</w:t>
      </w:r>
      <w:r>
        <w:rPr>
          <w:bCs/>
          <w:szCs w:val="21"/>
        </w:rPr>
        <w:t>因不可抗力导致基金管理人不能支付赎回款项。</w:t>
      </w:r>
    </w:p>
    <w:p w14:paraId="5ACC56C9"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、发生基金合同规定的暂停基金资产估值情况。</w:t>
      </w:r>
    </w:p>
    <w:p w14:paraId="6C2A3CDA"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w:t>
      </w:r>
      <w:r>
        <w:rPr>
          <w:bCs/>
          <w:szCs w:val="21"/>
        </w:rPr>
        <w:t>证券交易所或期货交易所交易时间非正常停市，导致基金管理人无法计算当日基金资产净值。</w:t>
      </w:r>
    </w:p>
    <w:p w14:paraId="2B6D5D40"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w:t>
      </w:r>
      <w:r>
        <w:rPr>
          <w:bCs/>
          <w:szCs w:val="21"/>
        </w:rPr>
        <w:t>连续两个或两个以上开放日发生巨额赎回。</w:t>
      </w:r>
    </w:p>
    <w:p w14:paraId="1D9F2303" w14:textId="77777777" w:rsidR="00BF38BB" w:rsidRDefault="002837D7">
      <w:pPr>
        <w:spacing w:line="360" w:lineRule="auto"/>
        <w:ind w:firstLineChars="200" w:firstLine="420"/>
        <w:rPr>
          <w:bCs/>
          <w:szCs w:val="21"/>
        </w:rPr>
      </w:pPr>
      <w:r>
        <w:rPr>
          <w:bCs/>
          <w:szCs w:val="21"/>
        </w:rPr>
        <w:t>5</w:t>
      </w:r>
      <w:r>
        <w:rPr>
          <w:bCs/>
          <w:szCs w:val="21"/>
        </w:rPr>
        <w:t>、占前一估值日基金资产净值</w:t>
      </w:r>
      <w:r>
        <w:rPr>
          <w:bCs/>
          <w:szCs w:val="21"/>
        </w:rPr>
        <w:t>50%</w:t>
      </w:r>
      <w:r>
        <w:rPr>
          <w:bCs/>
          <w:szCs w:val="21"/>
        </w:rPr>
        <w:t>以上的资产出现无可参考的活跃市场价格且采用估值技术仍导致公允价值存在重大不确定性时，经与基金托管人协商确认后，基金管理人应当延缓支付赎回款项或暂停接受基金赎回申请。</w:t>
      </w:r>
    </w:p>
    <w:p w14:paraId="7D0EFDDB"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w:t>
      </w:r>
      <w:r>
        <w:rPr>
          <w:bCs/>
          <w:szCs w:val="21"/>
        </w:rPr>
        <w:t>接受某笔或某些</w:t>
      </w:r>
      <w:r>
        <w:rPr>
          <w:rFonts w:hint="eastAsia"/>
          <w:bCs/>
          <w:szCs w:val="21"/>
        </w:rPr>
        <w:t>赎回</w:t>
      </w:r>
      <w:r>
        <w:rPr>
          <w:bCs/>
          <w:szCs w:val="21"/>
        </w:rPr>
        <w:t>申请可能会影响或损害现有基金份额持有人利益</w:t>
      </w:r>
      <w:r>
        <w:rPr>
          <w:rFonts w:hint="eastAsia"/>
          <w:bCs/>
          <w:szCs w:val="21"/>
        </w:rPr>
        <w:t>。</w:t>
      </w:r>
    </w:p>
    <w:p w14:paraId="432DBD9C" w14:textId="77777777" w:rsidR="00BF38BB" w:rsidRDefault="002837D7">
      <w:pPr>
        <w:spacing w:line="360" w:lineRule="auto"/>
        <w:ind w:firstLineChars="200" w:firstLine="420"/>
        <w:rPr>
          <w:bCs/>
          <w:szCs w:val="21"/>
        </w:rPr>
      </w:pPr>
      <w:r>
        <w:rPr>
          <w:bCs/>
          <w:szCs w:val="21"/>
        </w:rPr>
        <w:t>7</w:t>
      </w:r>
      <w:r>
        <w:rPr>
          <w:rFonts w:hint="eastAsia"/>
          <w:bCs/>
          <w:szCs w:val="21"/>
        </w:rPr>
        <w:t>、发生继续接受赎回申请将损害现有基金份额持有人利益的情形。</w:t>
      </w:r>
    </w:p>
    <w:p w14:paraId="4CCFD7AC" w14:textId="77777777" w:rsidR="00BF38BB" w:rsidRDefault="002837D7">
      <w:pPr>
        <w:spacing w:line="360" w:lineRule="auto"/>
        <w:ind w:firstLineChars="200" w:firstLine="420"/>
        <w:rPr>
          <w:bCs/>
          <w:szCs w:val="21"/>
        </w:rPr>
      </w:pPr>
      <w:r>
        <w:rPr>
          <w:bCs/>
          <w:szCs w:val="21"/>
        </w:rPr>
        <w:t>8</w:t>
      </w:r>
      <w:r>
        <w:rPr>
          <w:rFonts w:hint="eastAsia"/>
          <w:bCs/>
          <w:szCs w:val="21"/>
        </w:rPr>
        <w:t>、</w:t>
      </w:r>
      <w:r>
        <w:rPr>
          <w:bCs/>
          <w:szCs w:val="21"/>
        </w:rPr>
        <w:t>法律法规规定或中国证监会认定的其他情形。</w:t>
      </w:r>
    </w:p>
    <w:p w14:paraId="5C91BEB2" w14:textId="77777777" w:rsidR="00BF38BB" w:rsidRDefault="002837D7">
      <w:pPr>
        <w:spacing w:line="360" w:lineRule="auto"/>
        <w:ind w:firstLineChars="200" w:firstLine="420"/>
        <w:rPr>
          <w:bCs/>
          <w:szCs w:val="21"/>
        </w:rPr>
      </w:pPr>
      <w:r>
        <w:rPr>
          <w:bCs/>
          <w:szCs w:val="21"/>
        </w:rPr>
        <w:t>发生上述情形</w:t>
      </w:r>
      <w:r>
        <w:rPr>
          <w:rFonts w:hint="eastAsia"/>
          <w:bCs/>
          <w:szCs w:val="21"/>
        </w:rPr>
        <w:t>（第</w:t>
      </w:r>
      <w:r>
        <w:rPr>
          <w:rFonts w:hint="eastAsia"/>
          <w:bCs/>
          <w:szCs w:val="21"/>
        </w:rPr>
        <w:t>4</w:t>
      </w:r>
      <w:r>
        <w:rPr>
          <w:rFonts w:hint="eastAsia"/>
          <w:bCs/>
          <w:szCs w:val="21"/>
        </w:rPr>
        <w:t>、</w:t>
      </w:r>
      <w:r>
        <w:rPr>
          <w:bCs/>
          <w:szCs w:val="21"/>
        </w:rPr>
        <w:t>6</w:t>
      </w:r>
      <w:r>
        <w:rPr>
          <w:rFonts w:hint="eastAsia"/>
          <w:bCs/>
          <w:szCs w:val="21"/>
        </w:rPr>
        <w:t>项除外）</w:t>
      </w:r>
      <w:r>
        <w:rPr>
          <w:bCs/>
          <w:szCs w:val="21"/>
        </w:rPr>
        <w:t>之一且基金管理人决定暂停赎回或延缓支付赎回款项时，基金管理人应</w:t>
      </w:r>
      <w:r>
        <w:rPr>
          <w:rFonts w:hint="eastAsia"/>
          <w:bCs/>
          <w:szCs w:val="21"/>
        </w:rPr>
        <w:t>按规</w:t>
      </w:r>
      <w:r>
        <w:rPr>
          <w:rFonts w:hint="eastAsia"/>
          <w:bCs/>
          <w:szCs w:val="21"/>
        </w:rPr>
        <w:t>定</w:t>
      </w:r>
      <w:r>
        <w:rPr>
          <w:bCs/>
          <w:szCs w:val="21"/>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Cs w:val="21"/>
        </w:rPr>
        <w:t>4</w:t>
      </w:r>
      <w:r>
        <w:rPr>
          <w:bCs/>
          <w:szCs w:val="21"/>
        </w:rPr>
        <w:t>项所述情形，按基金合同的相关条款处理。基金份额持有人在申请赎回时可事先选择将当日可能未获受理部分予以撤销。在暂停赎回的情况消除时</w:t>
      </w:r>
      <w:r>
        <w:rPr>
          <w:rFonts w:hint="eastAsia"/>
          <w:bCs/>
          <w:szCs w:val="21"/>
        </w:rPr>
        <w:t>（上述第</w:t>
      </w:r>
      <w:r>
        <w:rPr>
          <w:bCs/>
          <w:szCs w:val="21"/>
        </w:rPr>
        <w:t>6</w:t>
      </w:r>
      <w:r>
        <w:rPr>
          <w:rFonts w:hint="eastAsia"/>
          <w:bCs/>
          <w:szCs w:val="21"/>
        </w:rPr>
        <w:t>项除外）</w:t>
      </w:r>
      <w:r>
        <w:rPr>
          <w:bCs/>
          <w:szCs w:val="21"/>
        </w:rPr>
        <w:t>，基金管理人应及时恢复赎回业务的办理并公告。</w:t>
      </w:r>
    </w:p>
    <w:p w14:paraId="5E4D8B01" w14:textId="77777777" w:rsidR="00BF38BB" w:rsidRDefault="002837D7">
      <w:pPr>
        <w:spacing w:line="360" w:lineRule="auto"/>
        <w:ind w:firstLineChars="200" w:firstLine="420"/>
        <w:rPr>
          <w:bCs/>
          <w:szCs w:val="21"/>
        </w:rPr>
      </w:pPr>
      <w:r>
        <w:rPr>
          <w:rFonts w:hint="eastAsia"/>
          <w:bCs/>
          <w:szCs w:val="21"/>
        </w:rPr>
        <w:t>（十）</w:t>
      </w:r>
      <w:r>
        <w:rPr>
          <w:bCs/>
          <w:szCs w:val="21"/>
        </w:rPr>
        <w:t>巨额赎回的情形及处理方式</w:t>
      </w:r>
    </w:p>
    <w:p w14:paraId="5FDA851F" w14:textId="77777777" w:rsidR="00BF38BB" w:rsidRDefault="002837D7">
      <w:pPr>
        <w:spacing w:line="360" w:lineRule="auto"/>
        <w:ind w:firstLineChars="200" w:firstLine="420"/>
        <w:rPr>
          <w:bCs/>
          <w:szCs w:val="21"/>
        </w:rPr>
      </w:pPr>
      <w:r>
        <w:rPr>
          <w:bCs/>
          <w:szCs w:val="21"/>
        </w:rPr>
        <w:t>1</w:t>
      </w:r>
      <w:r>
        <w:rPr>
          <w:rFonts w:hint="eastAsia"/>
          <w:bCs/>
          <w:szCs w:val="21"/>
        </w:rPr>
        <w:t>、</w:t>
      </w:r>
      <w:r>
        <w:rPr>
          <w:bCs/>
          <w:szCs w:val="21"/>
        </w:rPr>
        <w:t>巨额赎回的认定</w:t>
      </w:r>
    </w:p>
    <w:p w14:paraId="5D31D558" w14:textId="77777777" w:rsidR="00BF38BB" w:rsidRDefault="002837D7">
      <w:pPr>
        <w:spacing w:line="360" w:lineRule="auto"/>
        <w:ind w:firstLineChars="200" w:firstLine="420"/>
        <w:rPr>
          <w:bCs/>
          <w:szCs w:val="21"/>
        </w:rPr>
      </w:pPr>
      <w:r>
        <w:rPr>
          <w:bCs/>
          <w:szCs w:val="21"/>
        </w:rPr>
        <w:t>若本基金单个开放日内的基金份额净赎回申请</w:t>
      </w:r>
      <w:r>
        <w:rPr>
          <w:bCs/>
          <w:szCs w:val="21"/>
        </w:rPr>
        <w:t>(</w:t>
      </w:r>
      <w:r>
        <w:rPr>
          <w:bCs/>
          <w:szCs w:val="21"/>
        </w:rPr>
        <w:t>赎回申请份额总数加上基金转换中转出申请份额总数后扣除申购申请份额总数及基金转换中转入申请份额总数后的余额</w:t>
      </w:r>
      <w:r>
        <w:rPr>
          <w:bCs/>
          <w:szCs w:val="21"/>
        </w:rPr>
        <w:t>)</w:t>
      </w:r>
      <w:r>
        <w:rPr>
          <w:bCs/>
          <w:szCs w:val="21"/>
        </w:rPr>
        <w:t>超过前一</w:t>
      </w:r>
      <w:r>
        <w:rPr>
          <w:rFonts w:hint="eastAsia"/>
          <w:bCs/>
          <w:szCs w:val="21"/>
        </w:rPr>
        <w:t>工作日</w:t>
      </w:r>
      <w:r>
        <w:rPr>
          <w:bCs/>
          <w:szCs w:val="21"/>
        </w:rPr>
        <w:t>的基金总份额的</w:t>
      </w:r>
      <w:r>
        <w:rPr>
          <w:rFonts w:hint="eastAsia"/>
          <w:bCs/>
          <w:szCs w:val="21"/>
        </w:rPr>
        <w:t>10%</w:t>
      </w:r>
      <w:r>
        <w:rPr>
          <w:bCs/>
          <w:szCs w:val="21"/>
        </w:rPr>
        <w:t>，即认为是发生了巨额赎回。</w:t>
      </w:r>
    </w:p>
    <w:p w14:paraId="5BD27E10" w14:textId="77777777" w:rsidR="00BF38BB" w:rsidRDefault="002837D7">
      <w:pPr>
        <w:spacing w:line="360" w:lineRule="auto"/>
        <w:ind w:firstLineChars="200" w:firstLine="420"/>
        <w:rPr>
          <w:bCs/>
          <w:szCs w:val="21"/>
        </w:rPr>
      </w:pPr>
      <w:r>
        <w:rPr>
          <w:bCs/>
          <w:szCs w:val="21"/>
        </w:rPr>
        <w:t>2</w:t>
      </w:r>
      <w:r>
        <w:rPr>
          <w:rFonts w:hint="eastAsia"/>
          <w:bCs/>
          <w:szCs w:val="21"/>
        </w:rPr>
        <w:t>、</w:t>
      </w:r>
      <w:r>
        <w:rPr>
          <w:bCs/>
          <w:szCs w:val="21"/>
        </w:rPr>
        <w:t>巨额赎回的处理方式</w:t>
      </w:r>
    </w:p>
    <w:p w14:paraId="353B17A3" w14:textId="77777777" w:rsidR="00BF38BB" w:rsidRDefault="002837D7">
      <w:pPr>
        <w:spacing w:line="360" w:lineRule="auto"/>
        <w:ind w:firstLineChars="200" w:firstLine="420"/>
        <w:rPr>
          <w:bCs/>
          <w:szCs w:val="21"/>
        </w:rPr>
      </w:pPr>
      <w:r>
        <w:rPr>
          <w:bCs/>
          <w:szCs w:val="21"/>
        </w:rPr>
        <w:t>当基金出现巨额赎回时，基金管理人可以根据基金当时的资产组合状况决定全额赎回或部分延期赎回。</w:t>
      </w:r>
    </w:p>
    <w:p w14:paraId="37068A4D" w14:textId="77777777" w:rsidR="00BF38BB" w:rsidRDefault="002837D7">
      <w:pPr>
        <w:spacing w:line="360" w:lineRule="auto"/>
        <w:ind w:firstLineChars="200" w:firstLine="420"/>
        <w:rPr>
          <w:bCs/>
          <w:szCs w:val="21"/>
        </w:rPr>
      </w:pPr>
      <w:r>
        <w:rPr>
          <w:bCs/>
          <w:szCs w:val="21"/>
        </w:rPr>
        <w:t>（</w:t>
      </w:r>
      <w:r>
        <w:rPr>
          <w:bCs/>
          <w:szCs w:val="21"/>
        </w:rPr>
        <w:t>1</w:t>
      </w:r>
      <w:r>
        <w:rPr>
          <w:bCs/>
          <w:szCs w:val="21"/>
        </w:rPr>
        <w:t>）全额赎回：当基金管理人认为有能力支付投资人的全部赎回申请时，按正常赎回程序执行。</w:t>
      </w:r>
    </w:p>
    <w:p w14:paraId="10F48DC2" w14:textId="77777777" w:rsidR="00BF38BB" w:rsidRDefault="002837D7">
      <w:pPr>
        <w:spacing w:line="360" w:lineRule="auto"/>
        <w:ind w:firstLineChars="200" w:firstLine="420"/>
        <w:rPr>
          <w:bCs/>
          <w:szCs w:val="21"/>
        </w:rPr>
      </w:pPr>
      <w:r>
        <w:rPr>
          <w:bCs/>
          <w:szCs w:val="21"/>
        </w:rPr>
        <w:t>（</w:t>
      </w:r>
      <w:r>
        <w:rPr>
          <w:rFonts w:hint="eastAsia"/>
          <w:bCs/>
          <w:szCs w:val="21"/>
        </w:rPr>
        <w:t>2</w:t>
      </w:r>
      <w:r>
        <w:rPr>
          <w:bCs/>
          <w:szCs w:val="21"/>
        </w:rPr>
        <w:t>）部分延期赎回：当基金管理人认为支付投资人的全部赎回申请有困难或认为因支付投资人的赎回申请而进</w:t>
      </w:r>
      <w:r>
        <w:rPr>
          <w:bCs/>
          <w:szCs w:val="21"/>
        </w:rPr>
        <w:t>行的财产变现可能会对基金资产净值造成较大波动时，基金管理人在当日接受赎回比例不低于上一</w:t>
      </w:r>
      <w:r>
        <w:rPr>
          <w:rFonts w:hint="eastAsia"/>
          <w:bCs/>
          <w:szCs w:val="21"/>
        </w:rPr>
        <w:t>工作日</w:t>
      </w:r>
      <w:r>
        <w:rPr>
          <w:bCs/>
          <w:szCs w:val="21"/>
        </w:rPr>
        <w:t>基金总份额的</w:t>
      </w:r>
      <w:r>
        <w:rPr>
          <w:rFonts w:hint="eastAsia"/>
          <w:bCs/>
          <w:szCs w:val="21"/>
        </w:rPr>
        <w:t>10%</w:t>
      </w:r>
      <w:r>
        <w:rPr>
          <w:bCs/>
          <w:szCs w:val="21"/>
        </w:rPr>
        <w:t>的前提下，可对其余赎回申请延期办理。对于当日的赎回申请，应当按单个账户赎回申请量占赎回申请总量的比例，确定当日受理的赎回份额；对于未能赎回部分，投资人在提交赎回申</w:t>
      </w:r>
      <w:r>
        <w:rPr>
          <w:bCs/>
          <w:szCs w:val="21"/>
        </w:rPr>
        <w:lastRenderedPageBreak/>
        <w:t>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w:t>
      </w:r>
      <w:r>
        <w:rPr>
          <w:bCs/>
          <w:szCs w:val="21"/>
        </w:rPr>
        <w:t>计算赎回金额，以此类推，直到全部赎回为止。如投资人在提交赎回申请时未作明确选择，投资人未能赎回部分作自动延期赎回处理。</w:t>
      </w:r>
    </w:p>
    <w:p w14:paraId="10EF0087" w14:textId="77777777" w:rsidR="00BF38BB" w:rsidRDefault="002837D7">
      <w:pPr>
        <w:spacing w:line="360" w:lineRule="auto"/>
        <w:ind w:firstLineChars="200" w:firstLine="420"/>
        <w:rPr>
          <w:bCs/>
          <w:szCs w:val="21"/>
        </w:rPr>
      </w:pPr>
      <w:r>
        <w:rPr>
          <w:rFonts w:hint="eastAsia"/>
          <w:bCs/>
          <w:szCs w:val="21"/>
        </w:rPr>
        <w:t>若基金发生巨额赎回且基金管理人决定部分延期赎回并在当日接受赎回比例不低于上一工作日基金总份额</w:t>
      </w:r>
      <w:r>
        <w:rPr>
          <w:rFonts w:hint="eastAsia"/>
          <w:bCs/>
          <w:szCs w:val="21"/>
        </w:rPr>
        <w:t>10%</w:t>
      </w:r>
      <w:r>
        <w:rPr>
          <w:rFonts w:hint="eastAsia"/>
          <w:bCs/>
          <w:szCs w:val="21"/>
        </w:rPr>
        <w:t>的前提下，如出现单个基金份额持有人超过前一工作日基金总份额</w:t>
      </w:r>
      <w:r>
        <w:rPr>
          <w:bCs/>
          <w:szCs w:val="21"/>
        </w:rPr>
        <w:t>20</w:t>
      </w:r>
      <w:r>
        <w:rPr>
          <w:rFonts w:hint="eastAsia"/>
          <w:bCs/>
          <w:szCs w:val="21"/>
        </w:rPr>
        <w:t>%</w:t>
      </w:r>
      <w:r>
        <w:rPr>
          <w:rFonts w:hint="eastAsia"/>
          <w:bCs/>
          <w:szCs w:val="21"/>
        </w:rPr>
        <w:t>的赎回申请（“大额赎回申请人”）的，基金管理人有权按照优先确认其他赎回申请人（“小额赎回申请人”）赎回申请的原则，对当日的赎回申请按照以下原则办理：如小额赎回申请人的赎回申请能在当日被全部确认，则在仍可接受赎回申请的范围内对大额赎</w:t>
      </w:r>
      <w:r>
        <w:rPr>
          <w:rFonts w:hint="eastAsia"/>
          <w:bCs/>
          <w:szCs w:val="21"/>
        </w:rPr>
        <w:t>回申请人的赎回申请按比例（单个大额赎回申请人的赎回申请量</w:t>
      </w:r>
      <w:r>
        <w:rPr>
          <w:rFonts w:hint="eastAsia"/>
          <w:bCs/>
          <w:szCs w:val="21"/>
        </w:rPr>
        <w:t>/</w:t>
      </w:r>
      <w:r>
        <w:rPr>
          <w:rFonts w:hint="eastAsia"/>
          <w:bCs/>
          <w:szCs w:val="21"/>
        </w:rPr>
        <w:t>当日大额赎回申请总量）确认，对大额赎回申请人未予确认的赎回申请延期办理；如小额赎回申请人的赎回申请在当日不能被全部确认，则按照单个小额赎回申请人的赎回申请量占当日小额赎回申请总量的比例，确认当日受理的赎回申请量，对当日全部未确认的赎回申请（含小额赎回申请人的其余赎回申请与大额赎回申请人的全部赎回申请）延期办理。延期办理的具体程序，按照本条规定的延期赎回或取消赎回的方式办理；同时，基金管理人应当对延期办理的事宜按照《信息披露办法》的规定在规定媒介上刊登</w:t>
      </w:r>
      <w:r>
        <w:rPr>
          <w:rFonts w:hint="eastAsia"/>
          <w:bCs/>
          <w:szCs w:val="21"/>
        </w:rPr>
        <w:t>公告。</w:t>
      </w:r>
    </w:p>
    <w:p w14:paraId="3BF40599" w14:textId="77777777" w:rsidR="00BF38BB" w:rsidRDefault="002837D7">
      <w:pPr>
        <w:spacing w:line="360" w:lineRule="auto"/>
        <w:ind w:firstLineChars="200" w:firstLine="420"/>
        <w:rPr>
          <w:bCs/>
          <w:szCs w:val="21"/>
        </w:rPr>
      </w:pPr>
      <w:r>
        <w:rPr>
          <w:bCs/>
          <w:szCs w:val="21"/>
        </w:rPr>
        <w:t>（</w:t>
      </w:r>
      <w:r>
        <w:rPr>
          <w:rFonts w:hint="eastAsia"/>
          <w:bCs/>
          <w:szCs w:val="21"/>
        </w:rPr>
        <w:t>3</w:t>
      </w:r>
      <w:r>
        <w:rPr>
          <w:bCs/>
          <w:szCs w:val="21"/>
        </w:rPr>
        <w:t>）暂停赎回：连续</w:t>
      </w:r>
      <w:r>
        <w:rPr>
          <w:bCs/>
          <w:szCs w:val="21"/>
        </w:rPr>
        <w:t>2</w:t>
      </w:r>
      <w:r>
        <w:rPr>
          <w:bCs/>
          <w:szCs w:val="21"/>
        </w:rPr>
        <w:t>个开放日以上</w:t>
      </w:r>
      <w:r>
        <w:rPr>
          <w:bCs/>
          <w:szCs w:val="21"/>
        </w:rPr>
        <w:t>(</w:t>
      </w:r>
      <w:r>
        <w:rPr>
          <w:bCs/>
          <w:szCs w:val="21"/>
        </w:rPr>
        <w:t>含本数</w:t>
      </w:r>
      <w:r>
        <w:rPr>
          <w:bCs/>
          <w:szCs w:val="21"/>
        </w:rPr>
        <w:t>)</w:t>
      </w:r>
      <w:r>
        <w:rPr>
          <w:bCs/>
          <w:szCs w:val="21"/>
        </w:rPr>
        <w:t>发生巨额赎回，如基金管理人认为有必要，可暂停接受基金的赎回申请；已经接受的赎回申请可以延缓支付赎回款项，但不得超过</w:t>
      </w:r>
      <w:r>
        <w:rPr>
          <w:bCs/>
          <w:szCs w:val="21"/>
        </w:rPr>
        <w:t>20</w:t>
      </w:r>
      <w:r>
        <w:rPr>
          <w:bCs/>
          <w:szCs w:val="21"/>
        </w:rPr>
        <w:t>个工作日，并应当</w:t>
      </w:r>
      <w:r>
        <w:rPr>
          <w:rFonts w:hint="eastAsia"/>
          <w:bCs/>
          <w:szCs w:val="21"/>
        </w:rPr>
        <w:t>按照《信息披露办法》的规定</w:t>
      </w:r>
      <w:r>
        <w:rPr>
          <w:bCs/>
          <w:szCs w:val="21"/>
        </w:rPr>
        <w:t>在规定媒介上进行公告。</w:t>
      </w:r>
    </w:p>
    <w:p w14:paraId="1B878E29" w14:textId="77777777" w:rsidR="00BF38BB" w:rsidRDefault="002837D7">
      <w:pPr>
        <w:spacing w:line="360" w:lineRule="auto"/>
        <w:ind w:firstLineChars="200" w:firstLine="420"/>
        <w:rPr>
          <w:bCs/>
          <w:szCs w:val="21"/>
        </w:rPr>
      </w:pPr>
      <w:r>
        <w:rPr>
          <w:bCs/>
          <w:szCs w:val="21"/>
        </w:rPr>
        <w:t>3</w:t>
      </w:r>
      <w:r>
        <w:rPr>
          <w:rFonts w:hint="eastAsia"/>
          <w:bCs/>
          <w:szCs w:val="21"/>
        </w:rPr>
        <w:t>、</w:t>
      </w:r>
      <w:r>
        <w:rPr>
          <w:bCs/>
          <w:szCs w:val="21"/>
        </w:rPr>
        <w:t>巨额赎回的公告</w:t>
      </w:r>
    </w:p>
    <w:p w14:paraId="3A656AA0" w14:textId="77777777" w:rsidR="00BF38BB" w:rsidRDefault="002837D7">
      <w:pPr>
        <w:spacing w:line="360" w:lineRule="auto"/>
        <w:ind w:firstLineChars="200" w:firstLine="420"/>
        <w:rPr>
          <w:bCs/>
          <w:szCs w:val="21"/>
        </w:rPr>
      </w:pPr>
      <w:r>
        <w:rPr>
          <w:bCs/>
          <w:szCs w:val="21"/>
        </w:rPr>
        <w:t>当发生上述</w:t>
      </w:r>
      <w:r>
        <w:rPr>
          <w:rFonts w:hint="eastAsia"/>
          <w:bCs/>
          <w:szCs w:val="21"/>
        </w:rPr>
        <w:t>巨额</w:t>
      </w:r>
      <w:r>
        <w:rPr>
          <w:bCs/>
          <w:szCs w:val="21"/>
        </w:rPr>
        <w:t>赎回并延期办理时，基金管理人应当通过邮寄、传真</w:t>
      </w:r>
      <w:r>
        <w:rPr>
          <w:rFonts w:hint="eastAsia"/>
          <w:bCs/>
          <w:szCs w:val="21"/>
        </w:rPr>
        <w:t>、公告</w:t>
      </w:r>
      <w:r>
        <w:rPr>
          <w:bCs/>
          <w:szCs w:val="21"/>
        </w:rPr>
        <w:t>或者招募说明书规定的其他方式在</w:t>
      </w:r>
      <w:r>
        <w:rPr>
          <w:rFonts w:hint="eastAsia"/>
          <w:bCs/>
          <w:szCs w:val="21"/>
        </w:rPr>
        <w:t>3</w:t>
      </w:r>
      <w:r>
        <w:rPr>
          <w:bCs/>
          <w:szCs w:val="21"/>
        </w:rPr>
        <w:t>个交易日内通知基金份额持有人，说明有关处理方法，</w:t>
      </w:r>
      <w:r>
        <w:rPr>
          <w:rFonts w:hint="eastAsia"/>
          <w:bCs/>
          <w:szCs w:val="21"/>
        </w:rPr>
        <w:t>并依照</w:t>
      </w:r>
      <w:r>
        <w:rPr>
          <w:bCs/>
          <w:szCs w:val="21"/>
        </w:rPr>
        <w:t>《信息披露办法》的有关规定在规定媒介上刊登公告。</w:t>
      </w:r>
    </w:p>
    <w:p w14:paraId="5FB84AA6" w14:textId="77777777" w:rsidR="00BF38BB" w:rsidRDefault="002837D7">
      <w:pPr>
        <w:spacing w:line="360" w:lineRule="auto"/>
        <w:ind w:firstLineChars="200" w:firstLine="420"/>
        <w:rPr>
          <w:bCs/>
          <w:szCs w:val="21"/>
        </w:rPr>
      </w:pPr>
      <w:r>
        <w:rPr>
          <w:rFonts w:hint="eastAsia"/>
          <w:bCs/>
          <w:szCs w:val="21"/>
        </w:rPr>
        <w:t>（十一）</w:t>
      </w:r>
      <w:r>
        <w:rPr>
          <w:bCs/>
          <w:szCs w:val="21"/>
        </w:rPr>
        <w:t>暂停申购或赎回的公告和重新开放申购或赎回的公告</w:t>
      </w:r>
    </w:p>
    <w:p w14:paraId="3C14A9EE" w14:textId="77777777" w:rsidR="00BF38BB" w:rsidRDefault="002837D7">
      <w:pPr>
        <w:spacing w:line="360" w:lineRule="auto"/>
        <w:ind w:firstLineChars="200" w:firstLine="420"/>
        <w:rPr>
          <w:bCs/>
          <w:szCs w:val="21"/>
        </w:rPr>
      </w:pPr>
      <w:r>
        <w:rPr>
          <w:bCs/>
          <w:szCs w:val="21"/>
        </w:rPr>
        <w:t>1</w:t>
      </w:r>
      <w:r>
        <w:rPr>
          <w:rFonts w:hint="eastAsia"/>
          <w:bCs/>
          <w:szCs w:val="21"/>
        </w:rPr>
        <w:t>、</w:t>
      </w:r>
      <w:r>
        <w:rPr>
          <w:bCs/>
          <w:szCs w:val="21"/>
        </w:rPr>
        <w:t>发生上述暂停申购或赎回情况的，基金管理人应在规定期限内在规定媒介上刊登暂停公告。</w:t>
      </w:r>
    </w:p>
    <w:p w14:paraId="7FC7F150" w14:textId="77777777" w:rsidR="00BF38BB" w:rsidRDefault="002837D7">
      <w:pPr>
        <w:spacing w:line="360" w:lineRule="auto"/>
        <w:ind w:firstLineChars="200" w:firstLine="420"/>
        <w:rPr>
          <w:bCs/>
          <w:szCs w:val="21"/>
        </w:rPr>
      </w:pPr>
      <w:r>
        <w:rPr>
          <w:bCs/>
          <w:szCs w:val="21"/>
        </w:rPr>
        <w:t>2</w:t>
      </w:r>
      <w:r>
        <w:rPr>
          <w:rFonts w:hint="eastAsia"/>
          <w:bCs/>
          <w:szCs w:val="21"/>
        </w:rPr>
        <w:t>、</w:t>
      </w:r>
      <w:r>
        <w:rPr>
          <w:bCs/>
          <w:szCs w:val="21"/>
        </w:rPr>
        <w:t>如发生暂停的时间为</w:t>
      </w:r>
      <w:r>
        <w:rPr>
          <w:bCs/>
          <w:szCs w:val="21"/>
        </w:rPr>
        <w:t>1</w:t>
      </w:r>
      <w:r>
        <w:rPr>
          <w:bCs/>
          <w:szCs w:val="21"/>
        </w:rPr>
        <w:t>日，基金管理人应于重新开放日，</w:t>
      </w:r>
      <w:r>
        <w:rPr>
          <w:rFonts w:hint="eastAsia"/>
          <w:bCs/>
          <w:szCs w:val="21"/>
        </w:rPr>
        <w:t>按照《信息披露办法》的规定</w:t>
      </w:r>
      <w:r>
        <w:rPr>
          <w:bCs/>
          <w:szCs w:val="21"/>
        </w:rPr>
        <w:t>在规定媒介上刊登基金重新开放申购或赎回公告，并公布最近</w:t>
      </w:r>
      <w:r>
        <w:rPr>
          <w:bCs/>
          <w:szCs w:val="21"/>
        </w:rPr>
        <w:t>1</w:t>
      </w:r>
      <w:r>
        <w:rPr>
          <w:bCs/>
          <w:szCs w:val="21"/>
        </w:rPr>
        <w:t>个开放日</w:t>
      </w:r>
      <w:r>
        <w:rPr>
          <w:rFonts w:hint="eastAsia"/>
          <w:bCs/>
          <w:szCs w:val="21"/>
        </w:rPr>
        <w:t>各类基金份额的</w:t>
      </w:r>
      <w:r>
        <w:rPr>
          <w:bCs/>
          <w:szCs w:val="21"/>
        </w:rPr>
        <w:t>基金份额净值。</w:t>
      </w:r>
    </w:p>
    <w:p w14:paraId="348192CF"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、若暂停时间超过</w:t>
      </w:r>
      <w:r>
        <w:rPr>
          <w:rFonts w:hint="eastAsia"/>
          <w:bCs/>
          <w:szCs w:val="21"/>
        </w:rPr>
        <w:t>1</w:t>
      </w:r>
      <w:r>
        <w:rPr>
          <w:rFonts w:hint="eastAsia"/>
          <w:bCs/>
          <w:szCs w:val="21"/>
        </w:rPr>
        <w:t>日，基金管理人可以根据《信息披露办法》的规定自行确定增加公告的次数，但基金管理人须依照《信息披露办法》，最迟于重新开放日在规定媒介上刊登重新开放申购或赎回的公告，或根据实际情况在暂停公告中明确重新开放申购或赎回的时间，届时可不再另行发布重新开放的公告。</w:t>
      </w:r>
    </w:p>
    <w:p w14:paraId="69E9D5B4" w14:textId="77777777" w:rsidR="00BF38BB" w:rsidRDefault="002837D7">
      <w:pPr>
        <w:spacing w:line="360" w:lineRule="auto"/>
        <w:ind w:firstLineChars="200" w:firstLine="420"/>
        <w:rPr>
          <w:bCs/>
          <w:szCs w:val="21"/>
        </w:rPr>
      </w:pPr>
      <w:r>
        <w:rPr>
          <w:rFonts w:hint="eastAsia"/>
          <w:bCs/>
          <w:szCs w:val="21"/>
        </w:rPr>
        <w:t>（十二）</w:t>
      </w:r>
      <w:r>
        <w:rPr>
          <w:bCs/>
          <w:szCs w:val="21"/>
        </w:rPr>
        <w:t>基金转换</w:t>
      </w:r>
    </w:p>
    <w:p w14:paraId="4AB857AC" w14:textId="77777777" w:rsidR="00BF38BB" w:rsidRDefault="002837D7">
      <w:pPr>
        <w:spacing w:line="360" w:lineRule="auto"/>
        <w:ind w:firstLineChars="200" w:firstLine="420"/>
        <w:rPr>
          <w:bCs/>
          <w:szCs w:val="21"/>
        </w:rPr>
      </w:pPr>
      <w:r>
        <w:rPr>
          <w:rFonts w:hint="eastAsia"/>
          <w:bCs/>
          <w:szCs w:val="21"/>
        </w:rPr>
        <w:t>基金管理人可以根据相关法律法规以及基金合同的规定决定开办本基金的基金转换业务。基金转换可</w:t>
      </w:r>
      <w:r>
        <w:rPr>
          <w:rFonts w:hint="eastAsia"/>
          <w:bCs/>
          <w:szCs w:val="21"/>
        </w:rPr>
        <w:lastRenderedPageBreak/>
        <w:t>以收取一定的转换费，相关规则由基金管理人届时根据相关法律法规及基金合同的规定制定并公告，并提前告知基金托管人与相关机构。</w:t>
      </w:r>
    </w:p>
    <w:p w14:paraId="1D082FF0" w14:textId="77777777" w:rsidR="00BF38BB" w:rsidRDefault="002837D7">
      <w:pPr>
        <w:spacing w:line="360" w:lineRule="auto"/>
        <w:ind w:firstLineChars="200" w:firstLine="420"/>
        <w:rPr>
          <w:bCs/>
          <w:szCs w:val="21"/>
        </w:rPr>
      </w:pPr>
      <w:r>
        <w:rPr>
          <w:rFonts w:hint="eastAsia"/>
          <w:bCs/>
          <w:szCs w:val="21"/>
        </w:rPr>
        <w:t>（十三）</w:t>
      </w:r>
      <w:r>
        <w:rPr>
          <w:bCs/>
          <w:szCs w:val="21"/>
        </w:rPr>
        <w:t>基</w:t>
      </w:r>
      <w:r>
        <w:rPr>
          <w:bCs/>
          <w:szCs w:val="21"/>
        </w:rPr>
        <w:t>金的非交易过户</w:t>
      </w:r>
    </w:p>
    <w:p w14:paraId="5E23C47B" w14:textId="77777777" w:rsidR="00BF38BB" w:rsidRDefault="002837D7">
      <w:pPr>
        <w:spacing w:line="360" w:lineRule="auto"/>
        <w:ind w:firstLineChars="200" w:firstLine="420"/>
        <w:rPr>
          <w:bCs/>
          <w:szCs w:val="21"/>
        </w:rPr>
      </w:pPr>
      <w:r>
        <w:rPr>
          <w:bCs/>
          <w:szCs w:val="21"/>
        </w:rPr>
        <w:t>基金的非交易过户是指基金登记机构受理继承、捐赠和司法强制执行</w:t>
      </w:r>
      <w:r>
        <w:rPr>
          <w:rFonts w:hint="eastAsia"/>
          <w:bCs/>
          <w:szCs w:val="21"/>
        </w:rPr>
        <w:t>等情形</w:t>
      </w:r>
      <w:r>
        <w:rPr>
          <w:bCs/>
          <w:szCs w:val="21"/>
        </w:rPr>
        <w:t>而产生的非交易过户以及登记机构认可、符合法律法规的其它非交易过户。无论在上述何种情况下，接受划转的主体必须是依法可以持有本基金基金份额的投资人。</w:t>
      </w:r>
    </w:p>
    <w:p w14:paraId="1D3588AA" w14:textId="77777777" w:rsidR="00BF38BB" w:rsidRDefault="002837D7">
      <w:pPr>
        <w:spacing w:line="360" w:lineRule="auto"/>
        <w:ind w:firstLineChars="200" w:firstLine="420"/>
        <w:rPr>
          <w:bCs/>
          <w:szCs w:val="21"/>
        </w:rPr>
      </w:pPr>
      <w:r>
        <w:rPr>
          <w:rFonts w:hint="eastAsia"/>
          <w:bCs/>
          <w:szCs w:val="21"/>
        </w:rPr>
        <w:t>继承是指基金份额持有人死亡，其持有的基金份额由其合法的继承人继承；捐赠指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非</w:t>
      </w:r>
      <w:r>
        <w:rPr>
          <w:rFonts w:hint="eastAsia"/>
          <w:bCs/>
          <w:szCs w:val="21"/>
        </w:rPr>
        <w:t>交易过户必须提供基金登记机构要求提供的相关资料，对于符合条件的非交易过户申请按基金登记机构的规定办理，并按基金登记机构规定的标准收费。</w:t>
      </w:r>
    </w:p>
    <w:p w14:paraId="29C89D67" w14:textId="77777777" w:rsidR="00BF38BB" w:rsidRDefault="002837D7">
      <w:pPr>
        <w:spacing w:line="360" w:lineRule="auto"/>
        <w:ind w:firstLineChars="200" w:firstLine="420"/>
        <w:rPr>
          <w:bCs/>
          <w:szCs w:val="21"/>
        </w:rPr>
      </w:pPr>
      <w:r>
        <w:rPr>
          <w:rFonts w:hint="eastAsia"/>
          <w:bCs/>
          <w:szCs w:val="21"/>
        </w:rPr>
        <w:t>（十四）</w:t>
      </w:r>
      <w:r>
        <w:rPr>
          <w:bCs/>
          <w:szCs w:val="21"/>
        </w:rPr>
        <w:t>基金的转托管</w:t>
      </w:r>
    </w:p>
    <w:p w14:paraId="104B4260" w14:textId="77777777" w:rsidR="00BF38BB" w:rsidRDefault="002837D7">
      <w:pPr>
        <w:spacing w:line="360" w:lineRule="auto"/>
        <w:ind w:firstLineChars="200" w:firstLine="420"/>
        <w:rPr>
          <w:bCs/>
          <w:szCs w:val="21"/>
        </w:rPr>
      </w:pPr>
      <w:r>
        <w:rPr>
          <w:bCs/>
          <w:szCs w:val="21"/>
        </w:rPr>
        <w:t>基金份额持有人可</w:t>
      </w:r>
      <w:r>
        <w:rPr>
          <w:rFonts w:hint="eastAsia"/>
          <w:bCs/>
          <w:szCs w:val="21"/>
        </w:rPr>
        <w:t>向其销售机构申请</w:t>
      </w:r>
      <w:r>
        <w:rPr>
          <w:bCs/>
          <w:szCs w:val="21"/>
        </w:rPr>
        <w:t>办理已持有基金份额在不同销售机构之间的转托管，基金销售机构可以按照规定的标准收取转托管费。尽管有前述约定</w:t>
      </w:r>
      <w:r>
        <w:rPr>
          <w:rFonts w:hint="eastAsia"/>
          <w:bCs/>
          <w:szCs w:val="21"/>
        </w:rPr>
        <w:t>，</w:t>
      </w:r>
      <w:r>
        <w:rPr>
          <w:bCs/>
          <w:szCs w:val="21"/>
        </w:rPr>
        <w:t>基金销售机构仍有权决定是否办理基金份额的转托管业务</w:t>
      </w:r>
      <w:r>
        <w:rPr>
          <w:rFonts w:hint="eastAsia"/>
          <w:bCs/>
          <w:szCs w:val="21"/>
        </w:rPr>
        <w:t>。</w:t>
      </w:r>
    </w:p>
    <w:p w14:paraId="323E1B11" w14:textId="77777777" w:rsidR="00BF38BB" w:rsidRDefault="002837D7">
      <w:pPr>
        <w:spacing w:line="360" w:lineRule="auto"/>
        <w:ind w:firstLineChars="200" w:firstLine="420"/>
        <w:rPr>
          <w:bCs/>
          <w:szCs w:val="21"/>
        </w:rPr>
      </w:pPr>
      <w:r>
        <w:rPr>
          <w:rFonts w:hint="eastAsia"/>
          <w:bCs/>
          <w:szCs w:val="21"/>
        </w:rPr>
        <w:t>（十五）</w:t>
      </w:r>
      <w:r>
        <w:rPr>
          <w:bCs/>
          <w:szCs w:val="21"/>
        </w:rPr>
        <w:t>定期定额投资计划</w:t>
      </w:r>
    </w:p>
    <w:p w14:paraId="13A12BE0" w14:textId="77777777" w:rsidR="00BF38BB" w:rsidRDefault="002837D7">
      <w:pPr>
        <w:spacing w:line="360" w:lineRule="auto"/>
        <w:ind w:firstLineChars="200" w:firstLine="420"/>
        <w:rPr>
          <w:bCs/>
          <w:szCs w:val="21"/>
        </w:rPr>
      </w:pPr>
      <w:r>
        <w:rPr>
          <w:bCs/>
          <w:szCs w:val="21"/>
        </w:rPr>
        <w:t>基金管理人可以为投资人办理定期定额投资计划，具体规则由基金管理人另行规定。投资人在办理定期定额投资计划时可自行约定每期扣款金额，每期扣款</w:t>
      </w:r>
      <w:r>
        <w:rPr>
          <w:bCs/>
          <w:szCs w:val="21"/>
        </w:rPr>
        <w:t>金额必须不低于基金管理人在相关公告或更新的招募说明书中所规定的定期定额投资计划最低申购金额。</w:t>
      </w:r>
    </w:p>
    <w:p w14:paraId="291CFBE8" w14:textId="77777777" w:rsidR="00BF38BB" w:rsidRDefault="002837D7">
      <w:pPr>
        <w:spacing w:line="360" w:lineRule="auto"/>
        <w:ind w:firstLineChars="200" w:firstLine="420"/>
        <w:rPr>
          <w:bCs/>
          <w:szCs w:val="21"/>
        </w:rPr>
      </w:pPr>
      <w:r>
        <w:rPr>
          <w:rFonts w:hint="eastAsia"/>
          <w:bCs/>
          <w:szCs w:val="21"/>
        </w:rPr>
        <w:t>（十六）基金的质押</w:t>
      </w:r>
    </w:p>
    <w:p w14:paraId="57F8AA5A" w14:textId="77777777" w:rsidR="00BF38BB" w:rsidRDefault="002837D7">
      <w:pPr>
        <w:spacing w:line="360" w:lineRule="auto"/>
        <w:ind w:firstLineChars="200" w:firstLine="420"/>
        <w:rPr>
          <w:bCs/>
          <w:szCs w:val="21"/>
        </w:rPr>
      </w:pPr>
      <w:r>
        <w:rPr>
          <w:rFonts w:hint="eastAsia"/>
          <w:bCs/>
          <w:szCs w:val="21"/>
        </w:rPr>
        <w:t>在条件允许的情况下，登记结算机构可依据相关法律法规及其业务规则，办理基金份额质押业务，并收取一定的手续费。</w:t>
      </w:r>
    </w:p>
    <w:p w14:paraId="79AC2BF0" w14:textId="77777777" w:rsidR="00BF38BB" w:rsidRDefault="002837D7">
      <w:pPr>
        <w:spacing w:line="360" w:lineRule="auto"/>
        <w:ind w:firstLineChars="200" w:firstLine="420"/>
        <w:rPr>
          <w:bCs/>
          <w:szCs w:val="21"/>
        </w:rPr>
      </w:pPr>
      <w:r>
        <w:rPr>
          <w:rFonts w:hint="eastAsia"/>
          <w:bCs/>
          <w:szCs w:val="21"/>
        </w:rPr>
        <w:t>（十七）</w:t>
      </w:r>
      <w:r>
        <w:rPr>
          <w:bCs/>
          <w:szCs w:val="21"/>
        </w:rPr>
        <w:t>基金</w:t>
      </w:r>
      <w:r>
        <w:rPr>
          <w:rFonts w:hint="eastAsia"/>
          <w:bCs/>
          <w:szCs w:val="21"/>
        </w:rPr>
        <w:t>份额</w:t>
      </w:r>
      <w:r>
        <w:rPr>
          <w:bCs/>
          <w:szCs w:val="21"/>
        </w:rPr>
        <w:t>的冻结和解冻</w:t>
      </w:r>
    </w:p>
    <w:p w14:paraId="5D1E8FF2" w14:textId="77777777" w:rsidR="00BF38BB" w:rsidRDefault="002837D7">
      <w:pPr>
        <w:spacing w:line="360" w:lineRule="auto"/>
        <w:ind w:firstLineChars="200" w:firstLine="420"/>
        <w:rPr>
          <w:bCs/>
          <w:szCs w:val="21"/>
        </w:rPr>
      </w:pPr>
      <w:r>
        <w:rPr>
          <w:bCs/>
          <w:szCs w:val="21"/>
        </w:rPr>
        <w:t>基金登记机构只受理国家有权机关依法要求的基金份额的冻结与解冻，以及登记机构认可、符合法律法规的其他情况下的冻结与解冻。</w:t>
      </w:r>
    </w:p>
    <w:p w14:paraId="78851732" w14:textId="77777777" w:rsidR="00BF38BB" w:rsidRDefault="002837D7">
      <w:pPr>
        <w:spacing w:line="360" w:lineRule="auto"/>
        <w:ind w:firstLineChars="200" w:firstLine="420"/>
        <w:rPr>
          <w:bCs/>
          <w:szCs w:val="21"/>
        </w:rPr>
      </w:pPr>
      <w:r>
        <w:rPr>
          <w:rFonts w:hint="eastAsia"/>
          <w:bCs/>
          <w:szCs w:val="21"/>
        </w:rPr>
        <w:t>基金份额被冻结的，被冻结部分产生的权益一并冻结，被冻结部分份额仍然参与收益分配。法律法规或监管机构另有规定的除外。</w:t>
      </w:r>
    </w:p>
    <w:p w14:paraId="24D7C2AA" w14:textId="77777777" w:rsidR="00BF38BB" w:rsidRDefault="002837D7">
      <w:pPr>
        <w:spacing w:line="360" w:lineRule="auto"/>
        <w:ind w:firstLineChars="200" w:firstLine="420"/>
        <w:rPr>
          <w:bCs/>
          <w:szCs w:val="21"/>
        </w:rPr>
      </w:pPr>
      <w:r>
        <w:rPr>
          <w:rFonts w:hint="eastAsia"/>
          <w:bCs/>
          <w:szCs w:val="21"/>
        </w:rPr>
        <w:t>（十八）实施侧袋机制期间本基金的申购与赎回</w:t>
      </w:r>
    </w:p>
    <w:p w14:paraId="0453C403" w14:textId="77777777" w:rsidR="00BF38BB" w:rsidRDefault="002837D7">
      <w:pPr>
        <w:spacing w:line="360" w:lineRule="auto"/>
        <w:ind w:firstLineChars="200" w:firstLine="420"/>
        <w:rPr>
          <w:bCs/>
          <w:szCs w:val="21"/>
        </w:rPr>
      </w:pPr>
      <w:r>
        <w:rPr>
          <w:rFonts w:hint="eastAsia"/>
          <w:bCs/>
          <w:szCs w:val="21"/>
        </w:rPr>
        <w:t>本基金实施侧袋机制的，本基金的申购和赎回安排详见招募说明书“侧袋机制”章节或相关公告。</w:t>
      </w:r>
    </w:p>
    <w:p w14:paraId="1C9348CF" w14:textId="77777777" w:rsidR="00BF38BB" w:rsidRDefault="002837D7">
      <w:pPr>
        <w:spacing w:line="360" w:lineRule="auto"/>
        <w:ind w:firstLineChars="200" w:firstLine="420"/>
        <w:rPr>
          <w:bCs/>
          <w:szCs w:val="21"/>
        </w:rPr>
      </w:pPr>
      <w:r>
        <w:rPr>
          <w:rFonts w:hint="eastAsia"/>
          <w:bCs/>
          <w:szCs w:val="21"/>
        </w:rPr>
        <w:t>（十九）基金管理人在不违反法律法规、且对基金份额持有人的利益无实质不利影响的前提下，可对上</w:t>
      </w:r>
      <w:r>
        <w:rPr>
          <w:rFonts w:hint="eastAsia"/>
          <w:bCs/>
          <w:szCs w:val="21"/>
        </w:rPr>
        <w:lastRenderedPageBreak/>
        <w:t>述申购和赎回安排进行调整，或者安排本基金的一类或多类基金份额在证券交易所上市、申购和赎回，无需召开基金份额持有人大会进行审议。</w:t>
      </w:r>
      <w:bookmarkStart w:id="69" w:name="_Hlt70481650"/>
      <w:bookmarkEnd w:id="69"/>
    </w:p>
    <w:bookmarkEnd w:id="66"/>
    <w:p w14:paraId="595CFCFF" w14:textId="77777777" w:rsidR="00BF38BB" w:rsidRDefault="00BF38BB">
      <w:pPr>
        <w:spacing w:line="360" w:lineRule="auto"/>
        <w:ind w:firstLine="480"/>
        <w:rPr>
          <w:bCs/>
          <w:szCs w:val="21"/>
        </w:rPr>
      </w:pPr>
    </w:p>
    <w:p w14:paraId="5F62ADA2" w14:textId="77777777" w:rsidR="00BF38BB" w:rsidRDefault="002837D7">
      <w:pPr>
        <w:pStyle w:val="1"/>
        <w:spacing w:before="340" w:after="330"/>
        <w:jc w:val="center"/>
        <w:rPr>
          <w:rFonts w:hAnsi="宋体"/>
          <w:color w:val="auto"/>
          <w:kern w:val="44"/>
          <w:sz w:val="21"/>
        </w:rPr>
      </w:pPr>
      <w:bookmarkStart w:id="70" w:name="_Toc334542641"/>
      <w:bookmarkStart w:id="71" w:name="_Toc334542958"/>
      <w:bookmarkStart w:id="72" w:name="_Toc329187119"/>
      <w:r>
        <w:rPr>
          <w:rFonts w:hAnsi="宋体"/>
          <w:kern w:val="44"/>
          <w:sz w:val="21"/>
        </w:rPr>
        <w:br w:type="page"/>
      </w:r>
      <w:bookmarkStart w:id="73" w:name="_Toc69916734"/>
      <w:r>
        <w:rPr>
          <w:rFonts w:hAnsi="宋体"/>
          <w:color w:val="auto"/>
          <w:kern w:val="44"/>
          <w:sz w:val="21"/>
        </w:rPr>
        <w:lastRenderedPageBreak/>
        <w:t>九、基金的投资</w:t>
      </w:r>
      <w:bookmarkEnd w:id="70"/>
      <w:bookmarkEnd w:id="71"/>
      <w:bookmarkEnd w:id="72"/>
      <w:bookmarkEnd w:id="73"/>
    </w:p>
    <w:p w14:paraId="67AC0860" w14:textId="77777777" w:rsidR="00BF38BB" w:rsidRDefault="002837D7">
      <w:pPr>
        <w:spacing w:line="360" w:lineRule="auto"/>
        <w:ind w:firstLineChars="200" w:firstLine="420"/>
        <w:rPr>
          <w:bCs/>
          <w:szCs w:val="21"/>
        </w:rPr>
      </w:pPr>
      <w:bookmarkStart w:id="74" w:name="_Toc78208364"/>
      <w:bookmarkStart w:id="75" w:name="_Toc334542642"/>
      <w:bookmarkStart w:id="76" w:name="_Toc329187120"/>
      <w:bookmarkStart w:id="77" w:name="_Toc334542959"/>
      <w:r>
        <w:rPr>
          <w:rFonts w:hint="eastAsia"/>
          <w:bCs/>
          <w:szCs w:val="21"/>
        </w:rPr>
        <w:t>（一）</w:t>
      </w:r>
      <w:r>
        <w:rPr>
          <w:bCs/>
          <w:szCs w:val="21"/>
        </w:rPr>
        <w:t>投资目标</w:t>
      </w:r>
    </w:p>
    <w:p w14:paraId="4DCA33A0" w14:textId="77777777" w:rsidR="00BF38BB" w:rsidRDefault="002837D7">
      <w:pPr>
        <w:spacing w:line="360" w:lineRule="auto"/>
        <w:ind w:firstLineChars="200" w:firstLine="420"/>
        <w:rPr>
          <w:bCs/>
          <w:szCs w:val="21"/>
        </w:rPr>
      </w:pPr>
      <w:r>
        <w:rPr>
          <w:rFonts w:hint="eastAsia"/>
          <w:bCs/>
          <w:szCs w:val="21"/>
        </w:rPr>
        <w:t>本基金为增强型指数基金，力求对标的指数（中证</w:t>
      </w:r>
      <w:r>
        <w:rPr>
          <w:rFonts w:hint="eastAsia"/>
          <w:bCs/>
          <w:szCs w:val="21"/>
        </w:rPr>
        <w:t>800</w:t>
      </w:r>
      <w:r>
        <w:rPr>
          <w:rFonts w:hint="eastAsia"/>
          <w:bCs/>
          <w:szCs w:val="21"/>
        </w:rPr>
        <w:t>指数）进行有效跟踪的基础上，通过精选个股策略增强并优化指数组合管理和风险控制</w:t>
      </w:r>
      <w:r>
        <w:rPr>
          <w:rFonts w:hint="eastAsia"/>
          <w:bCs/>
          <w:szCs w:val="21"/>
        </w:rPr>
        <w:t>，力争获取超越业绩比较基准的超额收益，实现基金资产的长期增值。本基金力争使日均跟踪偏离度的绝对值不超过</w:t>
      </w:r>
      <w:r>
        <w:rPr>
          <w:rFonts w:hint="eastAsia"/>
          <w:bCs/>
          <w:szCs w:val="21"/>
        </w:rPr>
        <w:t>0.5%</w:t>
      </w:r>
      <w:r>
        <w:rPr>
          <w:rFonts w:hint="eastAsia"/>
          <w:bCs/>
          <w:szCs w:val="21"/>
        </w:rPr>
        <w:t>，年化跟踪误差不超过</w:t>
      </w:r>
      <w:r>
        <w:rPr>
          <w:rFonts w:hint="eastAsia"/>
          <w:bCs/>
          <w:szCs w:val="21"/>
        </w:rPr>
        <w:t>7.75%</w:t>
      </w:r>
      <w:r>
        <w:rPr>
          <w:rFonts w:hint="eastAsia"/>
          <w:bCs/>
          <w:szCs w:val="21"/>
        </w:rPr>
        <w:t>。</w:t>
      </w:r>
    </w:p>
    <w:p w14:paraId="612B586A" w14:textId="77777777" w:rsidR="00BF38BB" w:rsidRDefault="002837D7">
      <w:pPr>
        <w:spacing w:line="360" w:lineRule="auto"/>
        <w:ind w:firstLineChars="200" w:firstLine="420"/>
        <w:rPr>
          <w:bCs/>
          <w:szCs w:val="21"/>
        </w:rPr>
      </w:pPr>
      <w:r>
        <w:rPr>
          <w:rFonts w:hint="eastAsia"/>
          <w:bCs/>
          <w:szCs w:val="21"/>
        </w:rPr>
        <w:t>（二）</w:t>
      </w:r>
      <w:r>
        <w:rPr>
          <w:bCs/>
          <w:szCs w:val="21"/>
        </w:rPr>
        <w:t>投资范围</w:t>
      </w:r>
    </w:p>
    <w:p w14:paraId="56EBCBCC" w14:textId="77777777" w:rsidR="00BF38BB" w:rsidRDefault="002837D7">
      <w:pPr>
        <w:spacing w:line="360" w:lineRule="auto"/>
        <w:ind w:firstLineChars="200" w:firstLine="420"/>
        <w:rPr>
          <w:bCs/>
          <w:szCs w:val="21"/>
        </w:rPr>
      </w:pPr>
      <w:r>
        <w:rPr>
          <w:rFonts w:hint="eastAsia"/>
          <w:bCs/>
          <w:szCs w:val="21"/>
        </w:rPr>
        <w:t>本基金的投资范围主要为标的指数成份股及备选成份股（含存托凭证，下同），此外，为更好地实现投资目标，本基金可少量投资于部分非成份股（包含主板、创业板、科创板、存托凭证及其他依法发行上市的股票）、债券资产（国债、地方政府债、金融债、企业债、公司债、次级债、可转换债券（含分离交易可转债）、可交换债券、央行票据、中期票据、短期融资券、超短期融资券等）、资产支</w:t>
      </w:r>
      <w:r>
        <w:rPr>
          <w:rFonts w:hint="eastAsia"/>
          <w:bCs/>
          <w:szCs w:val="21"/>
        </w:rPr>
        <w:t>持证券、衍生工具（股指期货、股票期权、国债期货等）、债券回购、银行存款、同业存单、现金资产以及中国证监会允许基金投资的其他金融工具（但须符合中国证监会的相关规定）。</w:t>
      </w:r>
    </w:p>
    <w:p w14:paraId="2EF64387" w14:textId="77777777" w:rsidR="00BF38BB" w:rsidRDefault="002837D7">
      <w:pPr>
        <w:spacing w:line="360" w:lineRule="auto"/>
        <w:ind w:firstLineChars="200" w:firstLine="420"/>
        <w:rPr>
          <w:bCs/>
          <w:szCs w:val="21"/>
        </w:rPr>
      </w:pPr>
      <w:r>
        <w:rPr>
          <w:rFonts w:hint="eastAsia"/>
          <w:bCs/>
          <w:szCs w:val="21"/>
        </w:rPr>
        <w:t>本基金可根据相关法律法规和基金合同的约定，参与融资业务和转融通证券出借业务。</w:t>
      </w:r>
    </w:p>
    <w:p w14:paraId="38895388" w14:textId="77777777" w:rsidR="00BF38BB" w:rsidRDefault="002837D7">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14:paraId="075658CF" w14:textId="77777777" w:rsidR="00BF38BB" w:rsidRDefault="002837D7">
      <w:pPr>
        <w:spacing w:line="360" w:lineRule="auto"/>
        <w:ind w:firstLineChars="200" w:firstLine="420"/>
        <w:rPr>
          <w:bCs/>
          <w:szCs w:val="21"/>
        </w:rPr>
      </w:pPr>
      <w:r>
        <w:rPr>
          <w:rFonts w:hint="eastAsia"/>
          <w:bCs/>
          <w:szCs w:val="21"/>
        </w:rPr>
        <w:t>本基金股票资产占基金资产的比例不低于</w:t>
      </w:r>
      <w:r>
        <w:rPr>
          <w:rFonts w:hint="eastAsia"/>
          <w:bCs/>
          <w:szCs w:val="21"/>
        </w:rPr>
        <w:t>80%</w:t>
      </w:r>
      <w:r>
        <w:rPr>
          <w:rFonts w:hint="eastAsia"/>
          <w:bCs/>
          <w:szCs w:val="21"/>
        </w:rPr>
        <w:t>；投资于中证</w:t>
      </w:r>
      <w:r>
        <w:rPr>
          <w:rFonts w:hint="eastAsia"/>
          <w:bCs/>
          <w:szCs w:val="21"/>
        </w:rPr>
        <w:t>800</w:t>
      </w:r>
      <w:r>
        <w:rPr>
          <w:rFonts w:hint="eastAsia"/>
          <w:bCs/>
          <w:szCs w:val="21"/>
        </w:rPr>
        <w:t>指数成份股及备选成份股的资产不低于非现金基金资产的</w:t>
      </w:r>
      <w:r>
        <w:rPr>
          <w:rFonts w:hint="eastAsia"/>
          <w:bCs/>
          <w:szCs w:val="21"/>
        </w:rPr>
        <w:t>80%</w:t>
      </w:r>
      <w:r>
        <w:rPr>
          <w:rFonts w:hint="eastAsia"/>
          <w:bCs/>
          <w:szCs w:val="21"/>
        </w:rPr>
        <w:t>；本基金应当保持不低于基金资产净值</w:t>
      </w:r>
      <w:r>
        <w:rPr>
          <w:rFonts w:hint="eastAsia"/>
          <w:bCs/>
          <w:szCs w:val="21"/>
        </w:rPr>
        <w:t>5%</w:t>
      </w:r>
      <w:r>
        <w:rPr>
          <w:rFonts w:hint="eastAsia"/>
          <w:bCs/>
          <w:szCs w:val="21"/>
        </w:rPr>
        <w:t>的现金或者到期日</w:t>
      </w:r>
      <w:r>
        <w:rPr>
          <w:rFonts w:hint="eastAsia"/>
          <w:bCs/>
          <w:szCs w:val="21"/>
        </w:rPr>
        <w:t>在一年以内的政府债券，其中现金不包括结算备付金、存出保证金和应收申购款等；国债期货、股指期货、股票期权及其他金融工具的投资比例符合法律法规和监管机构的规定。</w:t>
      </w:r>
    </w:p>
    <w:p w14:paraId="1699ACDB" w14:textId="77777777" w:rsidR="00BF38BB" w:rsidRDefault="002837D7">
      <w:pPr>
        <w:spacing w:line="360" w:lineRule="auto"/>
        <w:ind w:firstLineChars="200" w:firstLine="420"/>
        <w:rPr>
          <w:bCs/>
          <w:szCs w:val="21"/>
        </w:rPr>
      </w:pPr>
      <w:r>
        <w:rPr>
          <w:rFonts w:hint="eastAsia"/>
          <w:bCs/>
          <w:szCs w:val="21"/>
        </w:rPr>
        <w:t>如法律法规或监管机构变更投资品种的投资比例限制，基金管理人在履行适当程序后，可以调整上述投资品种的投资比例。</w:t>
      </w:r>
    </w:p>
    <w:p w14:paraId="2089151E" w14:textId="77777777" w:rsidR="00BF38BB" w:rsidRDefault="002837D7">
      <w:pPr>
        <w:spacing w:line="360" w:lineRule="auto"/>
        <w:ind w:firstLineChars="200" w:firstLine="420"/>
        <w:rPr>
          <w:bCs/>
          <w:szCs w:val="21"/>
        </w:rPr>
      </w:pPr>
      <w:r>
        <w:rPr>
          <w:rFonts w:hint="eastAsia"/>
          <w:bCs/>
          <w:szCs w:val="21"/>
        </w:rPr>
        <w:t>（三）</w:t>
      </w:r>
      <w:r>
        <w:rPr>
          <w:bCs/>
          <w:szCs w:val="21"/>
        </w:rPr>
        <w:t>投资策略</w:t>
      </w:r>
    </w:p>
    <w:p w14:paraId="45FBE548" w14:textId="77777777" w:rsidR="00BF38BB" w:rsidRDefault="002837D7">
      <w:pPr>
        <w:spacing w:line="360" w:lineRule="auto"/>
        <w:ind w:firstLineChars="200" w:firstLine="420"/>
        <w:rPr>
          <w:bCs/>
          <w:szCs w:val="21"/>
        </w:rPr>
      </w:pPr>
      <w:r>
        <w:rPr>
          <w:rFonts w:hint="eastAsia"/>
          <w:bCs/>
          <w:szCs w:val="21"/>
        </w:rPr>
        <w:t>本基金采用指数增强型投资策略，以中证</w:t>
      </w:r>
      <w:r>
        <w:rPr>
          <w:rFonts w:hint="eastAsia"/>
          <w:bCs/>
          <w:szCs w:val="21"/>
        </w:rPr>
        <w:t>800</w:t>
      </w:r>
      <w:r>
        <w:rPr>
          <w:rFonts w:hint="eastAsia"/>
          <w:bCs/>
          <w:szCs w:val="21"/>
        </w:rPr>
        <w:t>指数作为本基金的标的指数，力求投资收益能够跟踪并超越标的指数。</w:t>
      </w:r>
    </w:p>
    <w:p w14:paraId="6B97DCA3" w14:textId="77777777" w:rsidR="00BF38BB" w:rsidRDefault="002837D7">
      <w:pPr>
        <w:spacing w:line="360" w:lineRule="auto"/>
        <w:ind w:firstLineChars="200" w:firstLine="420"/>
        <w:rPr>
          <w:bCs/>
          <w:szCs w:val="21"/>
        </w:rPr>
      </w:pPr>
      <w:r>
        <w:rPr>
          <w:rFonts w:hint="eastAsia"/>
          <w:bCs/>
          <w:szCs w:val="21"/>
        </w:rPr>
        <w:t>股票投资策略为本基金的核心策略。本基金股票投资以个股精选策略为主，通过定量增强策略优化组合管理和风险。在本基金的投资过程中，将控制股票投资组合与标的指数的结构性偏离，以期在长期实现持续超越标的指数收益率的投资目标。</w:t>
      </w:r>
    </w:p>
    <w:p w14:paraId="3BF83F1E"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、资产配置策略</w:t>
      </w:r>
    </w:p>
    <w:p w14:paraId="3D9A3CF0" w14:textId="77777777" w:rsidR="00BF38BB" w:rsidRDefault="002837D7">
      <w:pPr>
        <w:spacing w:line="360" w:lineRule="auto"/>
        <w:ind w:firstLineChars="200" w:firstLine="420"/>
        <w:rPr>
          <w:bCs/>
          <w:szCs w:val="21"/>
        </w:rPr>
      </w:pPr>
      <w:r>
        <w:rPr>
          <w:rFonts w:hint="eastAsia"/>
          <w:bCs/>
          <w:szCs w:val="21"/>
        </w:rPr>
        <w:t>本基金作为指数增强型基金，以跟踪标的指数为主，一般情况下保持各类资产配置的基本稳定，与此同</w:t>
      </w:r>
      <w:r>
        <w:rPr>
          <w:rFonts w:hint="eastAsia"/>
          <w:bCs/>
          <w:szCs w:val="21"/>
        </w:rPr>
        <w:lastRenderedPageBreak/>
        <w:t>时，根据宏观经济趋势、市场政策、资产估值水平、外围主要经济体宏观经济和资本市场的运行状况等因素的变化在本基金的投资范围内进行适度动态配置，在控制基金跟踪误差的前提下，通过对基本面的深入研究</w:t>
      </w:r>
      <w:r>
        <w:rPr>
          <w:rFonts w:hint="eastAsia"/>
          <w:bCs/>
          <w:szCs w:val="21"/>
        </w:rPr>
        <w:t>及分析谋求在偏离风险和超额收益间的最佳配置。</w:t>
      </w:r>
    </w:p>
    <w:p w14:paraId="61209143"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、股票投资策略</w:t>
      </w:r>
    </w:p>
    <w:p w14:paraId="39719B85" w14:textId="77777777" w:rsidR="00BF38BB" w:rsidRDefault="002837D7">
      <w:pPr>
        <w:spacing w:line="360" w:lineRule="auto"/>
        <w:ind w:firstLineChars="200" w:firstLine="420"/>
        <w:rPr>
          <w:bCs/>
          <w:szCs w:val="21"/>
        </w:rPr>
      </w:pPr>
      <w:r>
        <w:rPr>
          <w:rFonts w:hint="eastAsia"/>
          <w:bCs/>
          <w:szCs w:val="21"/>
        </w:rPr>
        <w:t>本基金通过深入的基本面研究，精选具备核心竞争优势的个股，并通过定量增强策略优化组合管理和风险，力求投资收益能够跟踪并超越标的指数。</w:t>
      </w:r>
    </w:p>
    <w:p w14:paraId="5668118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）基本面精选策略</w:t>
      </w:r>
    </w:p>
    <w:p w14:paraId="717594E6" w14:textId="77777777" w:rsidR="00BF38BB" w:rsidRDefault="002837D7">
      <w:pPr>
        <w:spacing w:line="360" w:lineRule="auto"/>
        <w:ind w:firstLineChars="200" w:firstLine="420"/>
        <w:rPr>
          <w:bCs/>
          <w:szCs w:val="21"/>
        </w:rPr>
      </w:pPr>
      <w:r>
        <w:rPr>
          <w:rFonts w:hint="eastAsia"/>
          <w:bCs/>
          <w:szCs w:val="21"/>
        </w:rPr>
        <w:t>基金管理人通过实地调研并结合案头研究的方式对企业基本面进行深入细致的研究并运用定量和定性的研究方法挖掘具有长期潜在投资价值的企业。具体分为行业分析、商业模式及市场定位、企业竞争优势评估三个层级进行股票筛选：</w:t>
      </w:r>
    </w:p>
    <w:p w14:paraId="46DE3D7B" w14:textId="77777777" w:rsidR="00BF38BB" w:rsidRDefault="002837D7">
      <w:pPr>
        <w:spacing w:line="360" w:lineRule="auto"/>
        <w:ind w:firstLineChars="200" w:firstLine="420"/>
        <w:rPr>
          <w:bCs/>
          <w:szCs w:val="21"/>
        </w:rPr>
      </w:pPr>
      <w:r>
        <w:rPr>
          <w:rFonts w:hint="eastAsia"/>
          <w:bCs/>
          <w:szCs w:val="21"/>
        </w:rPr>
        <w:t>①</w:t>
      </w:r>
      <w:r>
        <w:rPr>
          <w:rFonts w:hint="eastAsia"/>
          <w:bCs/>
          <w:szCs w:val="21"/>
        </w:rPr>
        <w:tab/>
      </w:r>
      <w:r>
        <w:rPr>
          <w:rFonts w:hint="eastAsia"/>
          <w:bCs/>
          <w:szCs w:val="21"/>
        </w:rPr>
        <w:t>行业分析</w:t>
      </w:r>
    </w:p>
    <w:p w14:paraId="56E97053" w14:textId="77777777" w:rsidR="00BF38BB" w:rsidRDefault="002837D7">
      <w:pPr>
        <w:spacing w:line="360" w:lineRule="auto"/>
        <w:ind w:firstLineChars="200" w:firstLine="420"/>
        <w:rPr>
          <w:bCs/>
          <w:szCs w:val="21"/>
        </w:rPr>
      </w:pPr>
      <w:r>
        <w:rPr>
          <w:rFonts w:hint="eastAsia"/>
          <w:bCs/>
          <w:szCs w:val="21"/>
        </w:rPr>
        <w:t>包括对宏观经济环境与政策分析、上下游产业链分析、供求分析、产品生命周期分</w:t>
      </w:r>
      <w:r>
        <w:rPr>
          <w:rFonts w:hint="eastAsia"/>
          <w:bCs/>
          <w:szCs w:val="21"/>
        </w:rPr>
        <w:t>析、竞争格局分析。通过行业分析，发现行业整体投资机会，为分析重点龙头公司和潜在高增长公司的投资价值提供支持。</w:t>
      </w:r>
    </w:p>
    <w:p w14:paraId="5486F56B" w14:textId="77777777" w:rsidR="00BF38BB" w:rsidRDefault="002837D7">
      <w:pPr>
        <w:spacing w:line="360" w:lineRule="auto"/>
        <w:ind w:firstLineChars="200" w:firstLine="420"/>
        <w:rPr>
          <w:bCs/>
          <w:szCs w:val="21"/>
        </w:rPr>
      </w:pPr>
      <w:r>
        <w:rPr>
          <w:rFonts w:hint="eastAsia"/>
          <w:bCs/>
          <w:szCs w:val="21"/>
        </w:rPr>
        <w:t>②</w:t>
      </w:r>
      <w:r>
        <w:rPr>
          <w:rFonts w:hint="eastAsia"/>
          <w:bCs/>
          <w:szCs w:val="21"/>
        </w:rPr>
        <w:tab/>
      </w:r>
      <w:r>
        <w:rPr>
          <w:rFonts w:hint="eastAsia"/>
          <w:bCs/>
          <w:szCs w:val="21"/>
        </w:rPr>
        <w:t>公司商业模式及市场定位研究</w:t>
      </w:r>
    </w:p>
    <w:p w14:paraId="5881FED5" w14:textId="77777777" w:rsidR="00BF38BB" w:rsidRDefault="002837D7">
      <w:pPr>
        <w:spacing w:line="360" w:lineRule="auto"/>
        <w:ind w:firstLineChars="200" w:firstLine="420"/>
        <w:rPr>
          <w:bCs/>
          <w:szCs w:val="21"/>
        </w:rPr>
      </w:pPr>
      <w:r>
        <w:rPr>
          <w:rFonts w:hint="eastAsia"/>
          <w:bCs/>
          <w:szCs w:val="21"/>
        </w:rPr>
        <w:t>公司商业模式及市场定位研究从五个角度进行评估，包括：目标公司的优势、弱点、机遇和威胁的</w:t>
      </w:r>
      <w:r>
        <w:rPr>
          <w:rFonts w:hint="eastAsia"/>
          <w:bCs/>
          <w:szCs w:val="21"/>
        </w:rPr>
        <w:t>SWOT</w:t>
      </w:r>
      <w:r>
        <w:rPr>
          <w:rFonts w:hint="eastAsia"/>
          <w:bCs/>
          <w:szCs w:val="21"/>
        </w:rPr>
        <w:t>分析；该公司已经发生和正在发生的变化；公司商业模式和战略分析；公司的治理结构分析；公司制度建设与对外发布信息透明程度。</w:t>
      </w:r>
    </w:p>
    <w:p w14:paraId="0E1A1FFA" w14:textId="77777777" w:rsidR="00BF38BB" w:rsidRDefault="002837D7">
      <w:pPr>
        <w:spacing w:line="360" w:lineRule="auto"/>
        <w:ind w:firstLineChars="200" w:firstLine="420"/>
        <w:rPr>
          <w:bCs/>
          <w:szCs w:val="21"/>
        </w:rPr>
      </w:pPr>
      <w:r>
        <w:rPr>
          <w:rFonts w:hint="eastAsia"/>
          <w:bCs/>
          <w:szCs w:val="21"/>
        </w:rPr>
        <w:t>③</w:t>
      </w:r>
      <w:r>
        <w:rPr>
          <w:rFonts w:hint="eastAsia"/>
          <w:bCs/>
          <w:szCs w:val="21"/>
        </w:rPr>
        <w:tab/>
      </w:r>
      <w:r>
        <w:rPr>
          <w:rFonts w:hint="eastAsia"/>
          <w:bCs/>
          <w:szCs w:val="21"/>
        </w:rPr>
        <w:t>企业竞争优势评估</w:t>
      </w:r>
    </w:p>
    <w:p w14:paraId="1B497132" w14:textId="77777777" w:rsidR="00BF38BB" w:rsidRDefault="002837D7">
      <w:pPr>
        <w:spacing w:line="360" w:lineRule="auto"/>
        <w:ind w:firstLineChars="200" w:firstLine="420"/>
        <w:rPr>
          <w:bCs/>
          <w:szCs w:val="21"/>
        </w:rPr>
      </w:pPr>
      <w:r>
        <w:rPr>
          <w:rFonts w:hint="eastAsia"/>
          <w:bCs/>
          <w:szCs w:val="21"/>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6B88478E"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）增强策略</w:t>
      </w:r>
    </w:p>
    <w:p w14:paraId="662DFBDC" w14:textId="77777777" w:rsidR="00BF38BB" w:rsidRDefault="002837D7">
      <w:pPr>
        <w:spacing w:line="360" w:lineRule="auto"/>
        <w:ind w:firstLineChars="200" w:firstLine="420"/>
        <w:rPr>
          <w:bCs/>
          <w:szCs w:val="21"/>
        </w:rPr>
      </w:pPr>
      <w:r>
        <w:rPr>
          <w:rFonts w:hint="eastAsia"/>
          <w:bCs/>
          <w:szCs w:val="21"/>
        </w:rPr>
        <w:t>本基金利用定量模型，在保持对标的指数紧密跟踪的前提下，力争实现对标的指数长期超越。增强策略由风险模型、</w:t>
      </w:r>
      <w:r>
        <w:rPr>
          <w:rFonts w:hint="eastAsia"/>
          <w:bCs/>
          <w:szCs w:val="21"/>
        </w:rPr>
        <w:t>Alpha</w:t>
      </w:r>
      <w:r>
        <w:rPr>
          <w:rFonts w:hint="eastAsia"/>
          <w:bCs/>
          <w:szCs w:val="21"/>
        </w:rPr>
        <w:t>模型以及组合优化构成。</w:t>
      </w:r>
    </w:p>
    <w:p w14:paraId="0D2408B5" w14:textId="77777777" w:rsidR="00BF38BB" w:rsidRDefault="002837D7">
      <w:pPr>
        <w:spacing w:line="360" w:lineRule="auto"/>
        <w:ind w:firstLineChars="200" w:firstLine="420"/>
        <w:rPr>
          <w:bCs/>
          <w:szCs w:val="21"/>
        </w:rPr>
      </w:pPr>
      <w:r>
        <w:rPr>
          <w:rFonts w:hint="eastAsia"/>
          <w:bCs/>
          <w:szCs w:val="21"/>
        </w:rPr>
        <w:t>①</w:t>
      </w:r>
      <w:r>
        <w:rPr>
          <w:rFonts w:hint="eastAsia"/>
          <w:bCs/>
          <w:szCs w:val="21"/>
        </w:rPr>
        <w:tab/>
      </w:r>
      <w:r>
        <w:rPr>
          <w:rFonts w:hint="eastAsia"/>
          <w:bCs/>
          <w:szCs w:val="21"/>
        </w:rPr>
        <w:t>风险模型</w:t>
      </w:r>
    </w:p>
    <w:p w14:paraId="3A6EBCCE" w14:textId="77777777" w:rsidR="00BF38BB" w:rsidRDefault="002837D7">
      <w:pPr>
        <w:spacing w:line="360" w:lineRule="auto"/>
        <w:ind w:firstLineChars="200" w:firstLine="420"/>
        <w:rPr>
          <w:bCs/>
          <w:szCs w:val="21"/>
        </w:rPr>
      </w:pPr>
      <w:r>
        <w:rPr>
          <w:rFonts w:hint="eastAsia"/>
          <w:bCs/>
          <w:szCs w:val="21"/>
        </w:rPr>
        <w:t>基于中国股票市场特性，通过风险预测和对主动风险敞口的控制</w:t>
      </w:r>
      <w:r>
        <w:rPr>
          <w:rFonts w:hint="eastAsia"/>
          <w:bCs/>
          <w:szCs w:val="21"/>
        </w:rPr>
        <w:t>，如市场、行业和风格等。</w:t>
      </w:r>
    </w:p>
    <w:p w14:paraId="454DF564" w14:textId="77777777" w:rsidR="00BF38BB" w:rsidRDefault="002837D7">
      <w:pPr>
        <w:spacing w:line="360" w:lineRule="auto"/>
        <w:ind w:firstLineChars="200" w:firstLine="420"/>
        <w:rPr>
          <w:bCs/>
          <w:szCs w:val="21"/>
        </w:rPr>
      </w:pPr>
      <w:r>
        <w:rPr>
          <w:rFonts w:hint="eastAsia"/>
          <w:bCs/>
          <w:szCs w:val="21"/>
        </w:rPr>
        <w:t>②</w:t>
      </w:r>
      <w:r>
        <w:rPr>
          <w:rFonts w:hint="eastAsia"/>
          <w:bCs/>
          <w:szCs w:val="21"/>
        </w:rPr>
        <w:tab/>
        <w:t>Alpha</w:t>
      </w:r>
      <w:r>
        <w:rPr>
          <w:rFonts w:hint="eastAsia"/>
          <w:bCs/>
          <w:szCs w:val="21"/>
        </w:rPr>
        <w:t>模型</w:t>
      </w:r>
    </w:p>
    <w:p w14:paraId="5ACBCCE7" w14:textId="77777777" w:rsidR="00BF38BB" w:rsidRDefault="002837D7">
      <w:pPr>
        <w:spacing w:line="360" w:lineRule="auto"/>
        <w:ind w:firstLineChars="200" w:firstLine="420"/>
        <w:rPr>
          <w:bCs/>
          <w:szCs w:val="21"/>
        </w:rPr>
      </w:pPr>
      <w:r>
        <w:rPr>
          <w:rFonts w:hint="eastAsia"/>
          <w:bCs/>
          <w:szCs w:val="21"/>
        </w:rPr>
        <w:t>基于量化模型构建选股策略，从估值、成长、营运质量、动量、流动性等多维度刻画股票特征，选取最具投资价值的个股。量化投资团队对各维度因子进行持续跟踪与深入研究，分析其适用条件和背后的驱动机</w:t>
      </w:r>
      <w:r>
        <w:rPr>
          <w:rFonts w:hint="eastAsia"/>
          <w:bCs/>
          <w:szCs w:val="21"/>
        </w:rPr>
        <w:lastRenderedPageBreak/>
        <w:t>理，在市场状态发生变化的情况下及时对模型做出调整，力争实现模型的长期有效。</w:t>
      </w:r>
    </w:p>
    <w:p w14:paraId="57809002" w14:textId="77777777" w:rsidR="00BF38BB" w:rsidRDefault="002837D7">
      <w:pPr>
        <w:spacing w:line="360" w:lineRule="auto"/>
        <w:ind w:firstLineChars="200" w:firstLine="420"/>
        <w:rPr>
          <w:bCs/>
          <w:szCs w:val="21"/>
        </w:rPr>
      </w:pPr>
      <w:r>
        <w:rPr>
          <w:rFonts w:hint="eastAsia"/>
          <w:bCs/>
          <w:szCs w:val="21"/>
        </w:rPr>
        <w:t>③</w:t>
      </w:r>
      <w:r>
        <w:rPr>
          <w:rFonts w:hint="eastAsia"/>
          <w:bCs/>
          <w:szCs w:val="21"/>
        </w:rPr>
        <w:tab/>
      </w:r>
      <w:r>
        <w:rPr>
          <w:rFonts w:hint="eastAsia"/>
          <w:bCs/>
          <w:szCs w:val="21"/>
        </w:rPr>
        <w:t>组合优化</w:t>
      </w:r>
    </w:p>
    <w:p w14:paraId="7A21919D" w14:textId="77777777" w:rsidR="00BF38BB" w:rsidRDefault="002837D7">
      <w:pPr>
        <w:spacing w:line="360" w:lineRule="auto"/>
        <w:ind w:firstLineChars="200" w:firstLine="420"/>
        <w:rPr>
          <w:bCs/>
          <w:szCs w:val="21"/>
        </w:rPr>
      </w:pPr>
      <w:r>
        <w:rPr>
          <w:rFonts w:hint="eastAsia"/>
          <w:bCs/>
          <w:szCs w:val="21"/>
        </w:rPr>
        <w:t>综合市场交易环境和交易成本，运用组合优化器将风险模型和</w:t>
      </w:r>
      <w:r>
        <w:rPr>
          <w:rFonts w:hint="eastAsia"/>
          <w:bCs/>
          <w:szCs w:val="21"/>
        </w:rPr>
        <w:t>Alpha</w:t>
      </w:r>
      <w:r>
        <w:rPr>
          <w:rFonts w:hint="eastAsia"/>
          <w:bCs/>
          <w:szCs w:val="21"/>
        </w:rPr>
        <w:t>模型相结合，力争将投资组合的跟踪误差控制在目标范围内的前提下，有效实现预期投资目标。</w:t>
      </w:r>
    </w:p>
    <w:p w14:paraId="74DC1BA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）存托凭证投资策略</w:t>
      </w:r>
    </w:p>
    <w:p w14:paraId="3B1E0454" w14:textId="77777777" w:rsidR="00BF38BB" w:rsidRDefault="002837D7">
      <w:pPr>
        <w:spacing w:line="360" w:lineRule="auto"/>
        <w:ind w:firstLineChars="200" w:firstLine="420"/>
        <w:rPr>
          <w:bCs/>
          <w:szCs w:val="21"/>
        </w:rPr>
      </w:pPr>
      <w:r>
        <w:rPr>
          <w:rFonts w:hint="eastAsia"/>
          <w:bCs/>
          <w:szCs w:val="21"/>
        </w:rPr>
        <w:t>本基金可投资存托凭</w:t>
      </w:r>
      <w:r>
        <w:rPr>
          <w:rFonts w:hint="eastAsia"/>
          <w:bCs/>
          <w:szCs w:val="21"/>
        </w:rPr>
        <w:t>证，本基金将结合对宏观经济状况、行业景气度、公司竞争优势、公司治理结构、估值水平等因素的分析判断，选择投资价值高的存托凭证进行投资。</w:t>
      </w:r>
    </w:p>
    <w:p w14:paraId="0998CD95"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、债券投资策略</w:t>
      </w:r>
    </w:p>
    <w:p w14:paraId="4613700C" w14:textId="77777777" w:rsidR="00BF38BB" w:rsidRDefault="002837D7">
      <w:pPr>
        <w:spacing w:line="360" w:lineRule="auto"/>
        <w:ind w:firstLineChars="200" w:firstLine="420"/>
        <w:rPr>
          <w:bCs/>
          <w:szCs w:val="21"/>
        </w:rPr>
      </w:pPr>
      <w:r>
        <w:rPr>
          <w:rFonts w:hint="eastAsia"/>
          <w:bCs/>
          <w:szCs w:val="21"/>
        </w:rPr>
        <w:t>本基金在债券投资方面，通过深入分析宏观经济数据、货币政策和利率变化趋势以及不同类属的收益率水平、流动性和信用风险等因素，以久期控制和结构分布策略为主，以收益率曲线策略、利差策略等为辅，力争构造能够提供稳定收益的债券和货币市场工具组合。</w:t>
      </w:r>
    </w:p>
    <w:p w14:paraId="72BE488F"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、衍生品投资策略</w:t>
      </w:r>
    </w:p>
    <w:p w14:paraId="08F28BBD" w14:textId="77777777" w:rsidR="00BF38BB" w:rsidRDefault="002837D7">
      <w:pPr>
        <w:spacing w:line="360" w:lineRule="auto"/>
        <w:ind w:firstLineChars="200" w:firstLine="420"/>
        <w:rPr>
          <w:bCs/>
          <w:szCs w:val="21"/>
        </w:rPr>
      </w:pPr>
      <w:r>
        <w:rPr>
          <w:rFonts w:hint="eastAsia"/>
          <w:bCs/>
          <w:szCs w:val="21"/>
        </w:rPr>
        <w:t>为更好地实现投资目标，本基金可投资股指期货、股票期权和国债期货等衍生金融产品。本基金将根据风险管理的原则</w:t>
      </w:r>
      <w:r>
        <w:rPr>
          <w:rFonts w:hint="eastAsia"/>
          <w:bCs/>
          <w:szCs w:val="21"/>
        </w:rPr>
        <w:t>，主要选择流动性好、交易活跃的衍生品合约进行交易。</w:t>
      </w:r>
    </w:p>
    <w:p w14:paraId="5BE799D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）股指期货投资策略</w:t>
      </w:r>
    </w:p>
    <w:p w14:paraId="5F04BDB1" w14:textId="77777777" w:rsidR="00BF38BB" w:rsidRDefault="002837D7">
      <w:pPr>
        <w:spacing w:line="360" w:lineRule="auto"/>
        <w:ind w:firstLineChars="200" w:firstLine="420"/>
        <w:rPr>
          <w:bCs/>
          <w:szCs w:val="21"/>
        </w:rPr>
      </w:pPr>
      <w:r>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53EE162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）股票期权投资策略</w:t>
      </w:r>
    </w:p>
    <w:p w14:paraId="6FD5A53F" w14:textId="77777777" w:rsidR="00BF38BB" w:rsidRDefault="002837D7">
      <w:pPr>
        <w:spacing w:line="360" w:lineRule="auto"/>
        <w:ind w:firstLineChars="200" w:firstLine="420"/>
        <w:rPr>
          <w:bCs/>
          <w:szCs w:val="21"/>
        </w:rPr>
      </w:pPr>
      <w:r>
        <w:rPr>
          <w:rFonts w:hint="eastAsia"/>
          <w:bCs/>
          <w:szCs w:val="21"/>
        </w:rPr>
        <w:t>本基金投资股票期权将根据风险管理的原则，以套期保值为主要目的，充分考虑股票期权的流动性和风险收益特征，在风险可控的前提下适度参与股票期权投资。</w:t>
      </w:r>
    </w:p>
    <w:p w14:paraId="7231471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）国债期货投资策略</w:t>
      </w:r>
    </w:p>
    <w:p w14:paraId="67820CA8" w14:textId="77777777" w:rsidR="00BF38BB" w:rsidRDefault="002837D7">
      <w:pPr>
        <w:spacing w:line="360" w:lineRule="auto"/>
        <w:ind w:firstLineChars="200" w:firstLine="420"/>
        <w:rPr>
          <w:bCs/>
          <w:szCs w:val="21"/>
        </w:rPr>
      </w:pPr>
      <w:r>
        <w:rPr>
          <w:rFonts w:hint="eastAsia"/>
          <w:bCs/>
          <w:szCs w:val="21"/>
        </w:rPr>
        <w:t>基金参与国债期货交易，应当根据风险管理</w:t>
      </w:r>
      <w:r>
        <w:rPr>
          <w:rFonts w:hint="eastAsia"/>
          <w:bCs/>
          <w:szCs w:val="21"/>
        </w:rPr>
        <w:t>的原则，以套期保值为目的。基金管理人将充分考虑国债期货的流动性和风险收益特征，在风险可控的前提下，适度参与国债期货投资。</w:t>
      </w:r>
    </w:p>
    <w:p w14:paraId="032C833E"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、资产支持证券投资策略</w:t>
      </w:r>
    </w:p>
    <w:p w14:paraId="5DB39ED0" w14:textId="77777777" w:rsidR="00BF38BB" w:rsidRDefault="002837D7">
      <w:pPr>
        <w:spacing w:line="360" w:lineRule="auto"/>
        <w:ind w:firstLineChars="200" w:firstLine="420"/>
        <w:rPr>
          <w:bCs/>
          <w:szCs w:val="21"/>
        </w:rPr>
      </w:pPr>
      <w:r>
        <w:rPr>
          <w:rFonts w:hint="eastAsia"/>
          <w:bCs/>
          <w:szCs w:val="21"/>
        </w:rPr>
        <w:t>本基金综合考虑市场利率、发行条款支持资产的构成及质量等因素，主要从资产池信用状况、违约相关性历史记录和损失比例证券的增强方式、利差补偿程度等方面对资产支持证券的风险与收益状况进行评估，在严格控制风险的情况下，确定资产合理配置比例，在保证资产安全性的前提条件下，以期获得长期稳定收益。</w:t>
      </w:r>
    </w:p>
    <w:p w14:paraId="4EE081BB"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、可转换债券、可交换债券投资策略</w:t>
      </w:r>
    </w:p>
    <w:p w14:paraId="15DDD08E" w14:textId="77777777" w:rsidR="00BF38BB" w:rsidRDefault="002837D7">
      <w:pPr>
        <w:spacing w:line="360" w:lineRule="auto"/>
        <w:ind w:firstLineChars="200" w:firstLine="420"/>
        <w:rPr>
          <w:bCs/>
          <w:szCs w:val="21"/>
        </w:rPr>
      </w:pPr>
      <w:r>
        <w:rPr>
          <w:rFonts w:hint="eastAsia"/>
          <w:bCs/>
          <w:szCs w:val="21"/>
        </w:rPr>
        <w:lastRenderedPageBreak/>
        <w:t>本基金将对可转换债券、可交换债券对应的基础股</w:t>
      </w:r>
      <w:r>
        <w:rPr>
          <w:rFonts w:hint="eastAsia"/>
          <w:bCs/>
          <w:szCs w:val="21"/>
        </w:rPr>
        <w:t>票进行深入分析与研究，重点选择有较好盈利能力或成长前景的上市公司的可转换债券、可交换债券，并在对应可转换债券、可交换债券估值合理的前提下进行投资。同时，本基金还将密切跟踪上市公司的经营状况，从财务压力、融资安排、未来的投资计划等方面推测、并通过实地调研等方式确认上市公司对转股价的修正和转股意愿。</w:t>
      </w:r>
    </w:p>
    <w:p w14:paraId="7996A775" w14:textId="77777777" w:rsidR="00BF38BB" w:rsidRDefault="002837D7">
      <w:pPr>
        <w:spacing w:line="360" w:lineRule="auto"/>
        <w:ind w:firstLineChars="200" w:firstLine="420"/>
        <w:rPr>
          <w:bCs/>
          <w:szCs w:val="21"/>
        </w:rPr>
      </w:pPr>
      <w:r>
        <w:rPr>
          <w:rFonts w:hint="eastAsia"/>
          <w:bCs/>
          <w:szCs w:val="21"/>
        </w:rPr>
        <w:t>7</w:t>
      </w:r>
      <w:r>
        <w:rPr>
          <w:rFonts w:hint="eastAsia"/>
          <w:bCs/>
          <w:szCs w:val="21"/>
        </w:rPr>
        <w:t>、参与融资及转融通证券出借业务策略</w:t>
      </w:r>
    </w:p>
    <w:p w14:paraId="23A32579" w14:textId="77777777" w:rsidR="00BF38BB" w:rsidRDefault="002837D7">
      <w:pPr>
        <w:spacing w:line="360" w:lineRule="auto"/>
        <w:ind w:firstLineChars="200" w:firstLine="420"/>
        <w:rPr>
          <w:bCs/>
          <w:szCs w:val="21"/>
        </w:rPr>
      </w:pPr>
      <w:r>
        <w:rPr>
          <w:rFonts w:hint="eastAsia"/>
          <w:bCs/>
          <w:szCs w:val="21"/>
        </w:rPr>
        <w:t>为更好地实现投资目标，在加强风险防范并遵守审慎原则的前提下，本基金可根据投资管理的需要参与融资及转融通证券出借业务。本基金将分析市场情况、投资者类型与结构、本基金历史申赎数据、出借证券流动性情况等因素，合理确定出借证券的范围、期限和比例。若相关融资及转融通业务的法律法规发生变化，本基金将从其最新规定。</w:t>
      </w:r>
    </w:p>
    <w:p w14:paraId="44E15113" w14:textId="77777777" w:rsidR="00BF38BB" w:rsidRDefault="002837D7">
      <w:pPr>
        <w:spacing w:line="360" w:lineRule="auto"/>
        <w:ind w:firstLineChars="200" w:firstLine="420"/>
        <w:rPr>
          <w:bCs/>
          <w:szCs w:val="21"/>
        </w:rPr>
      </w:pPr>
      <w:r>
        <w:rPr>
          <w:rFonts w:hint="eastAsia"/>
          <w:bCs/>
          <w:szCs w:val="21"/>
        </w:rPr>
        <w:t>8</w:t>
      </w:r>
      <w:r>
        <w:rPr>
          <w:rFonts w:hint="eastAsia"/>
          <w:bCs/>
          <w:szCs w:val="21"/>
        </w:rPr>
        <w:t>、未来，根据市场情况，基金可在不改变投资目标及本基金风险收益特征的前提下，遵循法律法规的规定，在履行适当程序后相应调整和更新相关投资策略，并公告。</w:t>
      </w:r>
    </w:p>
    <w:p w14:paraId="12F00FA3" w14:textId="77777777" w:rsidR="00BF38BB" w:rsidRDefault="002837D7">
      <w:pPr>
        <w:spacing w:line="360" w:lineRule="auto"/>
        <w:ind w:firstLineChars="200" w:firstLine="420"/>
        <w:rPr>
          <w:bCs/>
          <w:szCs w:val="21"/>
        </w:rPr>
      </w:pPr>
      <w:r>
        <w:rPr>
          <w:rFonts w:hint="eastAsia"/>
          <w:bCs/>
          <w:szCs w:val="21"/>
        </w:rPr>
        <w:t>（四）</w:t>
      </w:r>
      <w:r>
        <w:rPr>
          <w:bCs/>
          <w:szCs w:val="21"/>
        </w:rPr>
        <w:t>投资限制</w:t>
      </w:r>
    </w:p>
    <w:p w14:paraId="1E948981" w14:textId="77777777" w:rsidR="00BF38BB" w:rsidRDefault="002837D7">
      <w:pPr>
        <w:spacing w:line="360" w:lineRule="auto"/>
        <w:ind w:firstLineChars="200" w:firstLine="420"/>
        <w:rPr>
          <w:bCs/>
          <w:szCs w:val="21"/>
        </w:rPr>
      </w:pPr>
      <w:r>
        <w:rPr>
          <w:bCs/>
          <w:szCs w:val="21"/>
        </w:rPr>
        <w:t>1</w:t>
      </w:r>
      <w:r>
        <w:rPr>
          <w:bCs/>
          <w:szCs w:val="21"/>
        </w:rPr>
        <w:t>、组合限制</w:t>
      </w:r>
    </w:p>
    <w:p w14:paraId="436BD090" w14:textId="77777777" w:rsidR="00BF38BB" w:rsidRDefault="002837D7">
      <w:pPr>
        <w:spacing w:line="360" w:lineRule="auto"/>
        <w:ind w:firstLineChars="200" w:firstLine="420"/>
        <w:rPr>
          <w:bCs/>
          <w:szCs w:val="21"/>
        </w:rPr>
      </w:pPr>
      <w:r>
        <w:rPr>
          <w:bCs/>
          <w:szCs w:val="21"/>
        </w:rPr>
        <w:t>基金的投资组合应遵循以下限制</w:t>
      </w:r>
      <w:r>
        <w:rPr>
          <w:bCs/>
          <w:szCs w:val="21"/>
        </w:rPr>
        <w:t>：</w:t>
      </w:r>
    </w:p>
    <w:p w14:paraId="1A2CEEB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）本基金股票资产占基金资产的比例不低于</w:t>
      </w:r>
      <w:r>
        <w:rPr>
          <w:rFonts w:hint="eastAsia"/>
          <w:bCs/>
          <w:szCs w:val="21"/>
        </w:rPr>
        <w:t>80%</w:t>
      </w:r>
      <w:r>
        <w:rPr>
          <w:rFonts w:hint="eastAsia"/>
          <w:bCs/>
          <w:szCs w:val="21"/>
        </w:rPr>
        <w:t>；投资于中证</w:t>
      </w:r>
      <w:r>
        <w:rPr>
          <w:rFonts w:hint="eastAsia"/>
          <w:bCs/>
          <w:szCs w:val="21"/>
        </w:rPr>
        <w:t>800</w:t>
      </w:r>
      <w:r>
        <w:rPr>
          <w:rFonts w:hint="eastAsia"/>
          <w:bCs/>
          <w:szCs w:val="21"/>
        </w:rPr>
        <w:t>指数成份股及备选成份股的资产不低于非现金基金资产的</w:t>
      </w:r>
      <w:r>
        <w:rPr>
          <w:rFonts w:hint="eastAsia"/>
          <w:bCs/>
          <w:szCs w:val="21"/>
        </w:rPr>
        <w:t>80%</w:t>
      </w:r>
      <w:r>
        <w:rPr>
          <w:rFonts w:hint="eastAsia"/>
          <w:bCs/>
          <w:szCs w:val="21"/>
        </w:rPr>
        <w:t>；</w:t>
      </w:r>
    </w:p>
    <w:p w14:paraId="48CECA7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）本基金应当保持不低于基金资产净值</w:t>
      </w:r>
      <w:r>
        <w:rPr>
          <w:rFonts w:hint="eastAsia"/>
          <w:bCs/>
          <w:szCs w:val="21"/>
        </w:rPr>
        <w:t>5%</w:t>
      </w:r>
      <w:r>
        <w:rPr>
          <w:rFonts w:hint="eastAsia"/>
          <w:bCs/>
          <w:szCs w:val="21"/>
        </w:rPr>
        <w:t>的现金或者到期日在一年以内的政府债券，其中现金不包括结算备付金、存出保证金和应收申购款等；</w:t>
      </w:r>
    </w:p>
    <w:p w14:paraId="403AAF0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）本基金持有一家公司发行的证券，其市值不超过基金资产净值的</w:t>
      </w:r>
      <w:r>
        <w:rPr>
          <w:rFonts w:hint="eastAsia"/>
          <w:bCs/>
          <w:szCs w:val="21"/>
        </w:rPr>
        <w:t>10</w:t>
      </w:r>
      <w:r>
        <w:rPr>
          <w:rFonts w:hint="eastAsia"/>
          <w:bCs/>
          <w:szCs w:val="21"/>
        </w:rPr>
        <w:t>％，完全按照有关指数的构成比例进行证券投资的基金品种可以不受此条款规定的比例限制；</w:t>
      </w:r>
    </w:p>
    <w:p w14:paraId="2659209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）本基金管理人管理的全部基金持有一家公司发行的证券，不超过该证券的</w:t>
      </w:r>
      <w:r>
        <w:rPr>
          <w:rFonts w:hint="eastAsia"/>
          <w:bCs/>
          <w:szCs w:val="21"/>
        </w:rPr>
        <w:t>10</w:t>
      </w:r>
      <w:r>
        <w:rPr>
          <w:rFonts w:hint="eastAsia"/>
          <w:bCs/>
          <w:szCs w:val="21"/>
        </w:rPr>
        <w:t>％，完全按照有关指数的构成比例进行证券投资的基金品种可以不受此条款规定的比例限制；</w:t>
      </w:r>
    </w:p>
    <w:p w14:paraId="44442F8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14:paraId="06E00C6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14:paraId="5C47EA3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）本基金持有的同一</w:t>
      </w:r>
      <w:r>
        <w:rPr>
          <w:rFonts w:hint="eastAsia"/>
          <w:bCs/>
          <w:szCs w:val="21"/>
        </w:rPr>
        <w:t>(</w:t>
      </w:r>
      <w:r>
        <w:rPr>
          <w:rFonts w:hint="eastAsia"/>
          <w:bCs/>
          <w:szCs w:val="21"/>
        </w:rPr>
        <w:t>指同一信用级别</w:t>
      </w:r>
      <w:r>
        <w:rPr>
          <w:rFonts w:hint="eastAsia"/>
          <w:bCs/>
          <w:szCs w:val="21"/>
        </w:rPr>
        <w:t>)</w:t>
      </w:r>
      <w:r>
        <w:rPr>
          <w:rFonts w:hint="eastAsia"/>
          <w:bCs/>
          <w:szCs w:val="21"/>
        </w:rPr>
        <w:t>资产支持证券的比例，不得超过该资产支持证券规模的</w:t>
      </w:r>
      <w:r>
        <w:rPr>
          <w:rFonts w:hint="eastAsia"/>
          <w:bCs/>
          <w:szCs w:val="21"/>
        </w:rPr>
        <w:t>10</w:t>
      </w:r>
      <w:r>
        <w:rPr>
          <w:rFonts w:hint="eastAsia"/>
          <w:bCs/>
          <w:szCs w:val="21"/>
        </w:rPr>
        <w:t>％；</w:t>
      </w:r>
    </w:p>
    <w:p w14:paraId="4DF1E97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）本基金管理人管理的全部基金投资于同一原始权益人的各类资产支持证券，不得超过其各类资产支</w:t>
      </w:r>
      <w:r>
        <w:rPr>
          <w:rFonts w:hint="eastAsia"/>
          <w:bCs/>
          <w:szCs w:val="21"/>
        </w:rPr>
        <w:t>持证券合计规模的</w:t>
      </w:r>
      <w:r>
        <w:rPr>
          <w:rFonts w:hint="eastAsia"/>
          <w:bCs/>
          <w:szCs w:val="21"/>
        </w:rPr>
        <w:t>10</w:t>
      </w:r>
      <w:r>
        <w:rPr>
          <w:rFonts w:hint="eastAsia"/>
          <w:bCs/>
          <w:szCs w:val="21"/>
        </w:rPr>
        <w:t>％；</w:t>
      </w:r>
    </w:p>
    <w:p w14:paraId="5495989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）本基金应投资于信用级别评级为</w:t>
      </w:r>
      <w:r>
        <w:rPr>
          <w:rFonts w:hint="eastAsia"/>
          <w:bCs/>
          <w:szCs w:val="21"/>
        </w:rPr>
        <w:t>BBB</w:t>
      </w:r>
      <w:r>
        <w:rPr>
          <w:rFonts w:hint="eastAsia"/>
          <w:bCs/>
          <w:szCs w:val="21"/>
        </w:rPr>
        <w:t>以上</w:t>
      </w:r>
      <w:r>
        <w:rPr>
          <w:rFonts w:hint="eastAsia"/>
          <w:bCs/>
          <w:szCs w:val="21"/>
        </w:rPr>
        <w:t>(</w:t>
      </w:r>
      <w:r>
        <w:rPr>
          <w:rFonts w:hint="eastAsia"/>
          <w:bCs/>
          <w:szCs w:val="21"/>
        </w:rPr>
        <w:t>含</w:t>
      </w:r>
      <w:r>
        <w:rPr>
          <w:rFonts w:hint="eastAsia"/>
          <w:bCs/>
          <w:szCs w:val="21"/>
        </w:rPr>
        <w:t>BBB)</w:t>
      </w:r>
      <w:r>
        <w:rPr>
          <w:rFonts w:hint="eastAsia"/>
          <w:bCs/>
          <w:szCs w:val="21"/>
        </w:rPr>
        <w:t>的资产支持证券。基金持有资产支持证券期间，如果其信用等级下降、不再符合投资标准，应在评级报告发布之日起</w:t>
      </w:r>
      <w:r>
        <w:rPr>
          <w:rFonts w:hint="eastAsia"/>
          <w:bCs/>
          <w:szCs w:val="21"/>
        </w:rPr>
        <w:t>3</w:t>
      </w:r>
      <w:r>
        <w:rPr>
          <w:rFonts w:hint="eastAsia"/>
          <w:bCs/>
          <w:szCs w:val="21"/>
        </w:rPr>
        <w:t>个月内予以全部卖出；</w:t>
      </w:r>
    </w:p>
    <w:p w14:paraId="0A0C0BC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）基金财产参与股票发行申购，本基金所申报的金额不超过本基金的总资产，本基金所申报的股票</w:t>
      </w:r>
      <w:r>
        <w:rPr>
          <w:rFonts w:hint="eastAsia"/>
          <w:bCs/>
          <w:szCs w:val="21"/>
        </w:rPr>
        <w:lastRenderedPageBreak/>
        <w:t>数量不超过拟发行股票公司本次发行股票的总量；</w:t>
      </w:r>
    </w:p>
    <w:p w14:paraId="0B2CEE9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）本基金若参与股指期货交易，应当符合下列投资限制：</w:t>
      </w:r>
    </w:p>
    <w:p w14:paraId="55C914A1" w14:textId="77777777" w:rsidR="00BF38BB" w:rsidRDefault="002837D7">
      <w:pPr>
        <w:spacing w:line="360" w:lineRule="auto"/>
        <w:ind w:firstLineChars="200" w:firstLine="420"/>
        <w:rPr>
          <w:bCs/>
          <w:szCs w:val="21"/>
        </w:rPr>
      </w:pPr>
      <w:r>
        <w:rPr>
          <w:rFonts w:hint="eastAsia"/>
          <w:bCs/>
          <w:szCs w:val="21"/>
        </w:rPr>
        <w:t>①本基金在任何交易日日终，持有的买入股指期货合约价值，不得超过基金资产净值的</w:t>
      </w:r>
      <w:r>
        <w:rPr>
          <w:rFonts w:hint="eastAsia"/>
          <w:bCs/>
          <w:szCs w:val="21"/>
        </w:rPr>
        <w:t>10%</w:t>
      </w:r>
      <w:r>
        <w:rPr>
          <w:rFonts w:hint="eastAsia"/>
          <w:bCs/>
          <w:szCs w:val="21"/>
        </w:rPr>
        <w:t>；</w:t>
      </w:r>
    </w:p>
    <w:p w14:paraId="1E294A2B" w14:textId="77777777" w:rsidR="00BF38BB" w:rsidRDefault="002837D7">
      <w:pPr>
        <w:spacing w:line="360" w:lineRule="auto"/>
        <w:ind w:firstLineChars="200" w:firstLine="420"/>
        <w:rPr>
          <w:bCs/>
          <w:szCs w:val="21"/>
        </w:rPr>
      </w:pPr>
      <w:r>
        <w:rPr>
          <w:rFonts w:hint="eastAsia"/>
          <w:bCs/>
          <w:szCs w:val="21"/>
        </w:rPr>
        <w:t>②本基金每个交易日日终</w:t>
      </w:r>
      <w:r>
        <w:rPr>
          <w:rFonts w:hint="eastAsia"/>
          <w:bCs/>
          <w:szCs w:val="21"/>
        </w:rPr>
        <w:t>在扣除股指期货和国债期货合约需缴纳的交易保证金后，应当保持不低于基金资产净值的</w:t>
      </w:r>
      <w:r>
        <w:rPr>
          <w:rFonts w:hint="eastAsia"/>
          <w:bCs/>
          <w:szCs w:val="21"/>
        </w:rPr>
        <w:t>5%</w:t>
      </w:r>
      <w:r>
        <w:rPr>
          <w:rFonts w:hint="eastAsia"/>
          <w:bCs/>
          <w:szCs w:val="21"/>
        </w:rPr>
        <w:t>的现金或到期日在一年以内的政府债券，其中现金不包括结算备付金、存出保证金、应收申购款等；</w:t>
      </w:r>
    </w:p>
    <w:p w14:paraId="310F19C1" w14:textId="77777777" w:rsidR="00BF38BB" w:rsidRDefault="002837D7">
      <w:pPr>
        <w:spacing w:line="360" w:lineRule="auto"/>
        <w:ind w:firstLineChars="200" w:firstLine="420"/>
        <w:rPr>
          <w:bCs/>
          <w:szCs w:val="21"/>
        </w:rPr>
      </w:pPr>
      <w:r>
        <w:rPr>
          <w:rFonts w:hint="eastAsia"/>
          <w:bCs/>
          <w:szCs w:val="21"/>
        </w:rPr>
        <w:t>③本基金在任何交易日日终，持有的买入股指期货、国债期货合约价值与有价证券市值之和，不得超过基金资产净值的</w:t>
      </w:r>
      <w:r>
        <w:rPr>
          <w:rFonts w:hint="eastAsia"/>
          <w:bCs/>
          <w:szCs w:val="21"/>
        </w:rPr>
        <w:t>95%</w:t>
      </w:r>
      <w:r>
        <w:rPr>
          <w:rFonts w:hint="eastAsia"/>
          <w:bCs/>
          <w:szCs w:val="21"/>
        </w:rPr>
        <w:t>。其中，有价证券指股票、债券（不含到期日在一年以内的政府债券）、资产支持证券、买入返售金融资产（不含质押式回购）等；</w:t>
      </w:r>
    </w:p>
    <w:p w14:paraId="2B5BDB8E" w14:textId="77777777" w:rsidR="00BF38BB" w:rsidRDefault="002837D7">
      <w:pPr>
        <w:spacing w:line="360" w:lineRule="auto"/>
        <w:ind w:firstLineChars="200" w:firstLine="420"/>
        <w:rPr>
          <w:bCs/>
          <w:szCs w:val="21"/>
        </w:rPr>
      </w:pPr>
      <w:r>
        <w:rPr>
          <w:rFonts w:hint="eastAsia"/>
          <w:bCs/>
          <w:szCs w:val="21"/>
        </w:rPr>
        <w:t>④本基金在任何交易日日终，持有的卖出股指期货合约价值不得超过基金持有的股票总市值的</w:t>
      </w:r>
      <w:r>
        <w:rPr>
          <w:rFonts w:hint="eastAsia"/>
          <w:bCs/>
          <w:szCs w:val="21"/>
        </w:rPr>
        <w:t>20%</w:t>
      </w:r>
      <w:r>
        <w:rPr>
          <w:rFonts w:hint="eastAsia"/>
          <w:bCs/>
          <w:szCs w:val="21"/>
        </w:rPr>
        <w:t>；</w:t>
      </w:r>
    </w:p>
    <w:p w14:paraId="7E029346" w14:textId="77777777" w:rsidR="00BF38BB" w:rsidRDefault="002837D7">
      <w:pPr>
        <w:spacing w:line="360" w:lineRule="auto"/>
        <w:ind w:firstLineChars="200" w:firstLine="420"/>
        <w:rPr>
          <w:bCs/>
          <w:szCs w:val="21"/>
        </w:rPr>
      </w:pPr>
      <w:r>
        <w:rPr>
          <w:rFonts w:hint="eastAsia"/>
          <w:bCs/>
          <w:szCs w:val="21"/>
        </w:rPr>
        <w:t>⑤本基金所持有的股票</w:t>
      </w:r>
      <w:r>
        <w:rPr>
          <w:rFonts w:hint="eastAsia"/>
          <w:bCs/>
          <w:szCs w:val="21"/>
        </w:rPr>
        <w:t>市值和买入、卖出股指期货合约价值，合计（轧差计算）应当符合基金合同关于股票投资比例的有关规定；</w:t>
      </w:r>
    </w:p>
    <w:p w14:paraId="43D8E994" w14:textId="77777777" w:rsidR="00BF38BB" w:rsidRDefault="002837D7">
      <w:pPr>
        <w:spacing w:line="360" w:lineRule="auto"/>
        <w:ind w:firstLineChars="200" w:firstLine="420"/>
        <w:rPr>
          <w:bCs/>
          <w:szCs w:val="21"/>
        </w:rPr>
      </w:pPr>
      <w:r>
        <w:rPr>
          <w:rFonts w:hint="eastAsia"/>
          <w:bCs/>
          <w:szCs w:val="21"/>
        </w:rPr>
        <w:t>⑥本基金在任何交易日内交易（不包括平仓）的股指期货合约的成交金额不得超过上一交易日基金资产净值的</w:t>
      </w:r>
      <w:r>
        <w:rPr>
          <w:rFonts w:hint="eastAsia"/>
          <w:bCs/>
          <w:szCs w:val="21"/>
        </w:rPr>
        <w:t>20%</w:t>
      </w:r>
      <w:r>
        <w:rPr>
          <w:rFonts w:hint="eastAsia"/>
          <w:bCs/>
          <w:szCs w:val="21"/>
        </w:rPr>
        <w:t>；</w:t>
      </w:r>
    </w:p>
    <w:p w14:paraId="7385A40F"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）本基金若参与国债期货交易，应当符合下列投资限制：</w:t>
      </w:r>
    </w:p>
    <w:p w14:paraId="68F3D6B9" w14:textId="77777777" w:rsidR="00BF38BB" w:rsidRDefault="002837D7">
      <w:pPr>
        <w:spacing w:line="360" w:lineRule="auto"/>
        <w:ind w:firstLineChars="200" w:firstLine="420"/>
        <w:rPr>
          <w:bCs/>
          <w:szCs w:val="21"/>
        </w:rPr>
      </w:pPr>
      <w:r>
        <w:rPr>
          <w:rFonts w:hint="eastAsia"/>
          <w:bCs/>
          <w:szCs w:val="21"/>
        </w:rPr>
        <w:t>①本基金在任何交易日日终，持有的买入国债期货合约价值，不得超过基金资产净值的</w:t>
      </w:r>
      <w:r>
        <w:rPr>
          <w:rFonts w:hint="eastAsia"/>
          <w:bCs/>
          <w:szCs w:val="21"/>
        </w:rPr>
        <w:t>15%</w:t>
      </w:r>
      <w:r>
        <w:rPr>
          <w:rFonts w:hint="eastAsia"/>
          <w:bCs/>
          <w:szCs w:val="21"/>
        </w:rPr>
        <w:t>；</w:t>
      </w:r>
    </w:p>
    <w:p w14:paraId="6D815A09" w14:textId="77777777" w:rsidR="00BF38BB" w:rsidRDefault="002837D7">
      <w:pPr>
        <w:spacing w:line="360" w:lineRule="auto"/>
        <w:ind w:firstLineChars="200" w:firstLine="420"/>
        <w:rPr>
          <w:bCs/>
          <w:szCs w:val="21"/>
        </w:rPr>
      </w:pPr>
      <w:r>
        <w:rPr>
          <w:rFonts w:hint="eastAsia"/>
          <w:bCs/>
          <w:szCs w:val="21"/>
        </w:rPr>
        <w:t>②本基金每个交易日日终在扣除股指期货和国债期货合约需缴纳的交易保证金后，应当保持不低于基金资产净值的</w:t>
      </w:r>
      <w:r>
        <w:rPr>
          <w:rFonts w:hint="eastAsia"/>
          <w:bCs/>
          <w:szCs w:val="21"/>
        </w:rPr>
        <w:t>5%</w:t>
      </w:r>
      <w:r>
        <w:rPr>
          <w:rFonts w:hint="eastAsia"/>
          <w:bCs/>
          <w:szCs w:val="21"/>
        </w:rPr>
        <w:t>的现金或到期日在一年以内的政府债券，其中现金不包括结算备付金、</w:t>
      </w:r>
      <w:r>
        <w:rPr>
          <w:rFonts w:hint="eastAsia"/>
          <w:bCs/>
          <w:szCs w:val="21"/>
        </w:rPr>
        <w:t>存出保证金、应收申购款等；</w:t>
      </w:r>
    </w:p>
    <w:p w14:paraId="1667FB84" w14:textId="77777777" w:rsidR="00BF38BB" w:rsidRDefault="002837D7">
      <w:pPr>
        <w:spacing w:line="360" w:lineRule="auto"/>
        <w:ind w:firstLineChars="200" w:firstLine="420"/>
        <w:rPr>
          <w:bCs/>
          <w:szCs w:val="21"/>
        </w:rPr>
      </w:pPr>
      <w:r>
        <w:rPr>
          <w:rFonts w:hint="eastAsia"/>
          <w:bCs/>
          <w:szCs w:val="21"/>
        </w:rPr>
        <w:t>③本基金在任何交易日日终，持有的买入股指期货、国债期货合约价值与有价证券市值之和，不得超过基金资产净值的</w:t>
      </w:r>
      <w:r>
        <w:rPr>
          <w:rFonts w:hint="eastAsia"/>
          <w:bCs/>
          <w:szCs w:val="21"/>
        </w:rPr>
        <w:t>95%</w:t>
      </w:r>
      <w:r>
        <w:rPr>
          <w:rFonts w:hint="eastAsia"/>
          <w:bCs/>
          <w:szCs w:val="21"/>
        </w:rPr>
        <w:t>。其中，有价证券指股票、债券（不含到期日在一年以内的政府债券）、资产支持证券、买入返售金融资产（不含质押式回购）等；</w:t>
      </w:r>
    </w:p>
    <w:p w14:paraId="2E28AE54" w14:textId="77777777" w:rsidR="00BF38BB" w:rsidRDefault="002837D7">
      <w:pPr>
        <w:spacing w:line="360" w:lineRule="auto"/>
        <w:ind w:firstLineChars="200" w:firstLine="420"/>
        <w:rPr>
          <w:bCs/>
          <w:szCs w:val="21"/>
        </w:rPr>
      </w:pPr>
      <w:r>
        <w:rPr>
          <w:rFonts w:hint="eastAsia"/>
          <w:bCs/>
          <w:szCs w:val="21"/>
        </w:rPr>
        <w:t>④本基金在任何交易日日终，持有的卖出国债期货合约价值不得超过基金持有的债券总市值的</w:t>
      </w:r>
      <w:r>
        <w:rPr>
          <w:rFonts w:hint="eastAsia"/>
          <w:bCs/>
          <w:szCs w:val="21"/>
        </w:rPr>
        <w:t>30%</w:t>
      </w:r>
      <w:r>
        <w:rPr>
          <w:rFonts w:hint="eastAsia"/>
          <w:bCs/>
          <w:szCs w:val="21"/>
        </w:rPr>
        <w:t>；</w:t>
      </w:r>
    </w:p>
    <w:p w14:paraId="69B488E8" w14:textId="77777777" w:rsidR="00BF38BB" w:rsidRDefault="002837D7">
      <w:pPr>
        <w:spacing w:line="360" w:lineRule="auto"/>
        <w:ind w:firstLineChars="200" w:firstLine="420"/>
        <w:rPr>
          <w:bCs/>
          <w:szCs w:val="21"/>
        </w:rPr>
      </w:pPr>
      <w:r>
        <w:rPr>
          <w:rFonts w:hint="eastAsia"/>
          <w:bCs/>
          <w:szCs w:val="21"/>
        </w:rPr>
        <w:t>⑤本基金所持有的债券</w:t>
      </w:r>
      <w:r>
        <w:rPr>
          <w:rFonts w:hint="eastAsia"/>
          <w:bCs/>
          <w:szCs w:val="21"/>
        </w:rPr>
        <w:t>(</w:t>
      </w:r>
      <w:r>
        <w:rPr>
          <w:rFonts w:hint="eastAsia"/>
          <w:bCs/>
          <w:szCs w:val="21"/>
        </w:rPr>
        <w:t>不含到期日在一年以内的政府债券</w:t>
      </w:r>
      <w:r>
        <w:rPr>
          <w:rFonts w:hint="eastAsia"/>
          <w:bCs/>
          <w:szCs w:val="21"/>
        </w:rPr>
        <w:t>)</w:t>
      </w:r>
      <w:r>
        <w:rPr>
          <w:rFonts w:hint="eastAsia"/>
          <w:bCs/>
          <w:szCs w:val="21"/>
        </w:rPr>
        <w:t>市值和买入、卖出国债期货合约价值，合计</w:t>
      </w:r>
      <w:r>
        <w:rPr>
          <w:rFonts w:hint="eastAsia"/>
          <w:bCs/>
          <w:szCs w:val="21"/>
        </w:rPr>
        <w:t>(</w:t>
      </w:r>
      <w:r>
        <w:rPr>
          <w:rFonts w:hint="eastAsia"/>
          <w:bCs/>
          <w:szCs w:val="21"/>
        </w:rPr>
        <w:t>轧差计算</w:t>
      </w:r>
      <w:r>
        <w:rPr>
          <w:rFonts w:hint="eastAsia"/>
          <w:bCs/>
          <w:szCs w:val="21"/>
        </w:rPr>
        <w:t>)</w:t>
      </w:r>
      <w:r>
        <w:rPr>
          <w:rFonts w:hint="eastAsia"/>
          <w:bCs/>
          <w:szCs w:val="21"/>
        </w:rPr>
        <w:t>应当符合基金合同关于债券投资比例的有关约定；</w:t>
      </w:r>
    </w:p>
    <w:p w14:paraId="4DF5158E" w14:textId="77777777" w:rsidR="00BF38BB" w:rsidRDefault="002837D7">
      <w:pPr>
        <w:spacing w:line="360" w:lineRule="auto"/>
        <w:ind w:firstLineChars="200" w:firstLine="420"/>
        <w:rPr>
          <w:bCs/>
          <w:szCs w:val="21"/>
        </w:rPr>
      </w:pPr>
      <w:r>
        <w:rPr>
          <w:rFonts w:hint="eastAsia"/>
          <w:bCs/>
          <w:szCs w:val="21"/>
        </w:rPr>
        <w:t>⑥本基金在任何交易日内交易（不包括平仓）的国债期货合约的成交金额不得超过上一交易日基金资产净值的</w:t>
      </w:r>
      <w:r>
        <w:rPr>
          <w:rFonts w:hint="eastAsia"/>
          <w:bCs/>
          <w:szCs w:val="21"/>
        </w:rPr>
        <w:t>30%</w:t>
      </w:r>
      <w:r>
        <w:rPr>
          <w:rFonts w:hint="eastAsia"/>
          <w:bCs/>
          <w:szCs w:val="21"/>
        </w:rPr>
        <w:t>；</w:t>
      </w:r>
    </w:p>
    <w:p w14:paraId="4E48CA4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）本基金若参与股票期权交易，应当符合下列投资限制：</w:t>
      </w:r>
    </w:p>
    <w:p w14:paraId="598573B0" w14:textId="77777777" w:rsidR="00BF38BB" w:rsidRDefault="002837D7">
      <w:pPr>
        <w:spacing w:line="360" w:lineRule="auto"/>
        <w:ind w:firstLineChars="200" w:firstLine="420"/>
        <w:rPr>
          <w:bCs/>
          <w:szCs w:val="21"/>
        </w:rPr>
      </w:pPr>
      <w:r>
        <w:rPr>
          <w:rFonts w:hint="eastAsia"/>
          <w:bCs/>
          <w:szCs w:val="21"/>
        </w:rPr>
        <w:t>①本基金因未平仓的期权合约支付和收取的权利金总额不得超过基金资产净值的</w:t>
      </w:r>
      <w:r>
        <w:rPr>
          <w:rFonts w:hint="eastAsia"/>
          <w:bCs/>
          <w:szCs w:val="21"/>
        </w:rPr>
        <w:t>10%</w:t>
      </w:r>
      <w:r>
        <w:rPr>
          <w:rFonts w:hint="eastAsia"/>
          <w:bCs/>
          <w:szCs w:val="21"/>
        </w:rPr>
        <w:t>；</w:t>
      </w:r>
    </w:p>
    <w:p w14:paraId="6FB41BF9" w14:textId="77777777" w:rsidR="00BF38BB" w:rsidRDefault="002837D7">
      <w:pPr>
        <w:spacing w:line="360" w:lineRule="auto"/>
        <w:ind w:firstLineChars="200" w:firstLine="420"/>
        <w:rPr>
          <w:bCs/>
          <w:szCs w:val="21"/>
        </w:rPr>
      </w:pPr>
      <w:r>
        <w:rPr>
          <w:rFonts w:hint="eastAsia"/>
          <w:bCs/>
          <w:szCs w:val="21"/>
        </w:rPr>
        <w:t>②本基金开仓卖出认购期权的，应持有足额标的证券；开仓卖出认沽期权的，应持有合约行权所需的全</w:t>
      </w:r>
      <w:r>
        <w:rPr>
          <w:rFonts w:hint="eastAsia"/>
          <w:bCs/>
          <w:szCs w:val="21"/>
        </w:rPr>
        <w:lastRenderedPageBreak/>
        <w:t>额现金或交易所规则认可的可冲抵期权保证金的现金等价物；</w:t>
      </w:r>
    </w:p>
    <w:p w14:paraId="6BA21504" w14:textId="77777777" w:rsidR="00BF38BB" w:rsidRDefault="002837D7">
      <w:pPr>
        <w:spacing w:line="360" w:lineRule="auto"/>
        <w:ind w:firstLineChars="200" w:firstLine="420"/>
        <w:rPr>
          <w:bCs/>
          <w:szCs w:val="21"/>
        </w:rPr>
      </w:pPr>
      <w:r>
        <w:rPr>
          <w:rFonts w:hint="eastAsia"/>
          <w:bCs/>
          <w:szCs w:val="21"/>
        </w:rPr>
        <w:t>③本基金未平仓的期权合约面值不得超过基金资产净值的</w:t>
      </w:r>
      <w:r>
        <w:rPr>
          <w:rFonts w:hint="eastAsia"/>
          <w:bCs/>
          <w:szCs w:val="21"/>
        </w:rPr>
        <w:t>20%</w:t>
      </w:r>
      <w:r>
        <w:rPr>
          <w:rFonts w:hint="eastAsia"/>
          <w:bCs/>
          <w:szCs w:val="21"/>
        </w:rPr>
        <w:t>。其中，合约面值按照行权价乘以合约乘数计算；</w:t>
      </w:r>
    </w:p>
    <w:p w14:paraId="440D3A8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）本基金参与融</w:t>
      </w:r>
      <w:r>
        <w:rPr>
          <w:rFonts w:hint="eastAsia"/>
          <w:bCs/>
          <w:szCs w:val="21"/>
        </w:rPr>
        <w:t>资业务后，在任何交易日日终，持有的融资买入股票与其他有价证券市值之和，不得超过基金资产净值的</w:t>
      </w:r>
      <w:r>
        <w:rPr>
          <w:rFonts w:hint="eastAsia"/>
          <w:bCs/>
          <w:szCs w:val="21"/>
        </w:rPr>
        <w:t>95%</w:t>
      </w:r>
      <w:r>
        <w:rPr>
          <w:rFonts w:hint="eastAsia"/>
          <w:bCs/>
          <w:szCs w:val="21"/>
        </w:rPr>
        <w:t>；</w:t>
      </w:r>
    </w:p>
    <w:p w14:paraId="4A8A510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）本基金若参与转融通证券出借业务，应当符合下列投资限制：</w:t>
      </w:r>
    </w:p>
    <w:p w14:paraId="3753AEDF" w14:textId="77777777" w:rsidR="00BF38BB" w:rsidRDefault="002837D7">
      <w:pPr>
        <w:spacing w:line="360" w:lineRule="auto"/>
        <w:ind w:firstLineChars="200" w:firstLine="420"/>
        <w:rPr>
          <w:bCs/>
          <w:szCs w:val="21"/>
        </w:rPr>
      </w:pPr>
      <w:r>
        <w:rPr>
          <w:rFonts w:hint="eastAsia"/>
          <w:bCs/>
          <w:szCs w:val="21"/>
        </w:rPr>
        <w:t>①出借证券资产不得超过基金资产净值的</w:t>
      </w:r>
      <w:r>
        <w:rPr>
          <w:rFonts w:hint="eastAsia"/>
          <w:bCs/>
          <w:szCs w:val="21"/>
        </w:rPr>
        <w:t>30%</w:t>
      </w:r>
      <w:r>
        <w:rPr>
          <w:rFonts w:hint="eastAsia"/>
          <w:bCs/>
          <w:szCs w:val="21"/>
        </w:rPr>
        <w:t>，出借期限在</w:t>
      </w:r>
      <w:r>
        <w:rPr>
          <w:rFonts w:hint="eastAsia"/>
          <w:bCs/>
          <w:szCs w:val="21"/>
        </w:rPr>
        <w:t>10</w:t>
      </w:r>
      <w:r>
        <w:rPr>
          <w:rFonts w:hint="eastAsia"/>
          <w:bCs/>
          <w:szCs w:val="21"/>
        </w:rPr>
        <w:t>个交易日以上的出借证券应纳入《流动性风险管理规定》所述流动性受限证券的范围；</w:t>
      </w:r>
    </w:p>
    <w:p w14:paraId="20686A5E" w14:textId="77777777" w:rsidR="00BF38BB" w:rsidRDefault="002837D7">
      <w:pPr>
        <w:spacing w:line="360" w:lineRule="auto"/>
        <w:ind w:firstLineChars="200" w:firstLine="420"/>
        <w:rPr>
          <w:bCs/>
          <w:szCs w:val="21"/>
        </w:rPr>
      </w:pPr>
      <w:r>
        <w:rPr>
          <w:rFonts w:hint="eastAsia"/>
          <w:bCs/>
          <w:szCs w:val="21"/>
        </w:rPr>
        <w:t>②本基金参与出借业务的单只证券不得超过基金持有该证券总量的</w:t>
      </w:r>
      <w:r>
        <w:rPr>
          <w:rFonts w:hint="eastAsia"/>
          <w:bCs/>
          <w:szCs w:val="21"/>
        </w:rPr>
        <w:t>50%</w:t>
      </w:r>
      <w:r>
        <w:rPr>
          <w:rFonts w:hint="eastAsia"/>
          <w:bCs/>
          <w:szCs w:val="21"/>
        </w:rPr>
        <w:t>；</w:t>
      </w:r>
    </w:p>
    <w:p w14:paraId="60C56B51" w14:textId="77777777" w:rsidR="00BF38BB" w:rsidRDefault="002837D7">
      <w:pPr>
        <w:spacing w:line="360" w:lineRule="auto"/>
        <w:ind w:firstLineChars="200" w:firstLine="420"/>
        <w:rPr>
          <w:bCs/>
          <w:szCs w:val="21"/>
        </w:rPr>
      </w:pPr>
      <w:r>
        <w:rPr>
          <w:rFonts w:hint="eastAsia"/>
          <w:bCs/>
          <w:szCs w:val="21"/>
        </w:rPr>
        <w:t>③最近</w:t>
      </w:r>
      <w:r>
        <w:rPr>
          <w:rFonts w:hint="eastAsia"/>
          <w:bCs/>
          <w:szCs w:val="21"/>
        </w:rPr>
        <w:t>6</w:t>
      </w:r>
      <w:r>
        <w:rPr>
          <w:rFonts w:hint="eastAsia"/>
          <w:bCs/>
          <w:szCs w:val="21"/>
        </w:rPr>
        <w:t>个月内日均基金资产净值不得低于</w:t>
      </w:r>
      <w:r>
        <w:rPr>
          <w:rFonts w:hint="eastAsia"/>
          <w:bCs/>
          <w:szCs w:val="21"/>
        </w:rPr>
        <w:t>2</w:t>
      </w:r>
      <w:r>
        <w:rPr>
          <w:rFonts w:hint="eastAsia"/>
          <w:bCs/>
          <w:szCs w:val="21"/>
        </w:rPr>
        <w:t>亿元；</w:t>
      </w:r>
    </w:p>
    <w:p w14:paraId="10B2F418" w14:textId="77777777" w:rsidR="00BF38BB" w:rsidRDefault="002837D7">
      <w:pPr>
        <w:spacing w:line="360" w:lineRule="auto"/>
        <w:ind w:firstLineChars="200" w:firstLine="420"/>
        <w:rPr>
          <w:bCs/>
          <w:szCs w:val="21"/>
        </w:rPr>
      </w:pPr>
      <w:r>
        <w:rPr>
          <w:rFonts w:hint="eastAsia"/>
          <w:bCs/>
          <w:szCs w:val="21"/>
        </w:rPr>
        <w:t>④证券出借的平均剩余期限不得超过</w:t>
      </w:r>
      <w:r>
        <w:rPr>
          <w:rFonts w:hint="eastAsia"/>
          <w:bCs/>
          <w:szCs w:val="21"/>
        </w:rPr>
        <w:t>30</w:t>
      </w:r>
      <w:r>
        <w:rPr>
          <w:rFonts w:hint="eastAsia"/>
          <w:bCs/>
          <w:szCs w:val="21"/>
        </w:rPr>
        <w:t>天，平均剩余期限按照市值加权平均计算；</w:t>
      </w:r>
    </w:p>
    <w:p w14:paraId="3C4B0540" w14:textId="77777777" w:rsidR="00BF38BB" w:rsidRDefault="002837D7">
      <w:pPr>
        <w:spacing w:line="360" w:lineRule="auto"/>
        <w:ind w:firstLineChars="200" w:firstLine="420"/>
        <w:rPr>
          <w:bCs/>
          <w:szCs w:val="21"/>
        </w:rPr>
      </w:pPr>
      <w:r>
        <w:rPr>
          <w:rFonts w:hint="eastAsia"/>
          <w:bCs/>
          <w:szCs w:val="21"/>
        </w:rPr>
        <w:t>因证券市场波动、上</w:t>
      </w:r>
      <w:r>
        <w:rPr>
          <w:rFonts w:hint="eastAsia"/>
          <w:bCs/>
          <w:szCs w:val="21"/>
        </w:rPr>
        <w:t>市公司合并、基金规模变动等基金管理人之外的因素致使基金投资不符合上述规定的，基金管理人不得新增出借业务；</w:t>
      </w:r>
    </w:p>
    <w:p w14:paraId="25153B7F"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）本基金资产总值不得超过基金资产净值的</w:t>
      </w:r>
      <w:r>
        <w:rPr>
          <w:rFonts w:hint="eastAsia"/>
          <w:bCs/>
          <w:szCs w:val="21"/>
        </w:rPr>
        <w:t>140%</w:t>
      </w:r>
      <w:r>
        <w:rPr>
          <w:rFonts w:hint="eastAsia"/>
          <w:bCs/>
          <w:szCs w:val="21"/>
        </w:rPr>
        <w:t>；</w:t>
      </w:r>
    </w:p>
    <w:p w14:paraId="3A98496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）本基金管理人管理的全部开放式基金持有一家上市公司发行的可流通股票，不得超过该上市公司可流通股票的</w:t>
      </w:r>
      <w:r>
        <w:rPr>
          <w:rFonts w:hint="eastAsia"/>
          <w:bCs/>
          <w:szCs w:val="21"/>
        </w:rPr>
        <w:t>15%</w:t>
      </w:r>
      <w:r>
        <w:rPr>
          <w:rFonts w:hint="eastAsia"/>
          <w:bCs/>
          <w:szCs w:val="21"/>
        </w:rPr>
        <w:t>；本基金管理人管理的全部投资组合持有一家上市公司发行的可流通股票，不得超过该上市公司可流通股票的</w:t>
      </w:r>
      <w:r>
        <w:rPr>
          <w:rFonts w:hint="eastAsia"/>
          <w:bCs/>
          <w:szCs w:val="21"/>
        </w:rPr>
        <w:t>30%</w:t>
      </w:r>
      <w:r>
        <w:rPr>
          <w:rFonts w:hint="eastAsia"/>
          <w:bCs/>
          <w:szCs w:val="21"/>
        </w:rPr>
        <w:t>；完全按照有关指数的构成比例进行证券投资的基金品种可以不受此条款规定的比例限制；</w:t>
      </w:r>
    </w:p>
    <w:p w14:paraId="7F45058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）本基金主动投资于流动性受限资产的市值合计不得超过</w:t>
      </w:r>
      <w:r>
        <w:rPr>
          <w:rFonts w:hint="eastAsia"/>
          <w:bCs/>
          <w:szCs w:val="21"/>
        </w:rPr>
        <w:t>基金资产净值的</w:t>
      </w:r>
      <w:r>
        <w:rPr>
          <w:rFonts w:hint="eastAsia"/>
          <w:bCs/>
          <w:szCs w:val="21"/>
        </w:rPr>
        <w:t>15%</w:t>
      </w:r>
      <w:r>
        <w:rPr>
          <w:rFonts w:hint="eastAsia"/>
          <w:bCs/>
          <w:szCs w:val="21"/>
        </w:rPr>
        <w:t>；因证券市场波动、上市公司股票停牌、基金规模变动等基金管理人之外的因素致使基金不符合本款所规定比例限制的，本基金管理人不得主动新增流动性受限资产的投资；</w:t>
      </w:r>
    </w:p>
    <w:p w14:paraId="15F2EC3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19</w:t>
      </w:r>
      <w:r>
        <w:rPr>
          <w:rFonts w:hint="eastAsia"/>
          <w:bCs/>
          <w:szCs w:val="21"/>
        </w:rPr>
        <w:t>）本基金与私募类证券资管产品及中国证监会认定的其他主体为交易对手开展逆回购交易的，可接受质押品的资质要求应当与基金合同约定的投资范围保持一致；</w:t>
      </w:r>
    </w:p>
    <w:p w14:paraId="235C7C0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）本基金投资存托凭证的比例限制依照国内依法发行上市的股票执行，与国内依法发行上市的股票合并计算；</w:t>
      </w:r>
    </w:p>
    <w:p w14:paraId="2E0E088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21</w:t>
      </w:r>
      <w:r>
        <w:rPr>
          <w:rFonts w:hint="eastAsia"/>
          <w:bCs/>
          <w:szCs w:val="21"/>
        </w:rPr>
        <w:t>）法律法规及中国证监会规定的和《基金合同》约定的其他投资限制。</w:t>
      </w:r>
    </w:p>
    <w:p w14:paraId="6B6A1EE6" w14:textId="77777777" w:rsidR="00BF38BB" w:rsidRDefault="002837D7">
      <w:pPr>
        <w:spacing w:line="360" w:lineRule="auto"/>
        <w:ind w:firstLineChars="200" w:firstLine="420"/>
        <w:rPr>
          <w:bCs/>
          <w:szCs w:val="21"/>
        </w:rPr>
      </w:pPr>
      <w:r>
        <w:rPr>
          <w:rFonts w:hint="eastAsia"/>
          <w:bCs/>
          <w:szCs w:val="21"/>
        </w:rPr>
        <w:t>除上述第（</w:t>
      </w:r>
      <w:r>
        <w:rPr>
          <w:rFonts w:hint="eastAsia"/>
          <w:bCs/>
          <w:szCs w:val="21"/>
        </w:rPr>
        <w:t>2</w:t>
      </w:r>
      <w:r>
        <w:rPr>
          <w:rFonts w:hint="eastAsia"/>
          <w:bCs/>
          <w:szCs w:val="21"/>
        </w:rPr>
        <w:t>）</w:t>
      </w:r>
      <w:r>
        <w:rPr>
          <w:rFonts w:hint="eastAsia"/>
          <w:bCs/>
          <w:szCs w:val="21"/>
        </w:rPr>
        <w:t>、（</w:t>
      </w:r>
      <w:r>
        <w:rPr>
          <w:rFonts w:hint="eastAsia"/>
          <w:bCs/>
          <w:szCs w:val="21"/>
        </w:rPr>
        <w:t>9</w:t>
      </w:r>
      <w:r>
        <w:rPr>
          <w:rFonts w:hint="eastAsia"/>
          <w:bCs/>
          <w:szCs w:val="21"/>
        </w:rPr>
        <w:t>）、（</w:t>
      </w:r>
      <w:r>
        <w:rPr>
          <w:rFonts w:hint="eastAsia"/>
          <w:bCs/>
          <w:szCs w:val="21"/>
        </w:rPr>
        <w:t>15</w:t>
      </w:r>
      <w:r>
        <w:rPr>
          <w:rFonts w:hint="eastAsia"/>
          <w:bCs/>
          <w:szCs w:val="21"/>
        </w:rPr>
        <w:t>）、（</w:t>
      </w:r>
      <w:r>
        <w:rPr>
          <w:rFonts w:hint="eastAsia"/>
          <w:bCs/>
          <w:szCs w:val="21"/>
        </w:rPr>
        <w:t>18</w:t>
      </w:r>
      <w:r>
        <w:rPr>
          <w:rFonts w:hint="eastAsia"/>
          <w:bCs/>
          <w:szCs w:val="21"/>
        </w:rPr>
        <w:t>）、（</w:t>
      </w:r>
      <w:r>
        <w:rPr>
          <w:rFonts w:hint="eastAsia"/>
          <w:bCs/>
          <w:szCs w:val="21"/>
        </w:rPr>
        <w:t>19</w:t>
      </w:r>
      <w:r>
        <w:rPr>
          <w:rFonts w:hint="eastAsia"/>
          <w:bCs/>
          <w:szCs w:val="21"/>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w:t>
      </w:r>
      <w:r>
        <w:rPr>
          <w:rFonts w:hint="eastAsia"/>
          <w:bCs/>
          <w:szCs w:val="21"/>
        </w:rPr>
        <w:t>10</w:t>
      </w:r>
      <w:r>
        <w:rPr>
          <w:rFonts w:hint="eastAsia"/>
          <w:bCs/>
          <w:szCs w:val="21"/>
        </w:rPr>
        <w:t>个交易日内进行调整，但中国证监会规定的特殊情形除外。法律法规另有规定的，从其规定。</w:t>
      </w:r>
    </w:p>
    <w:p w14:paraId="6130410F" w14:textId="77777777" w:rsidR="00BF38BB" w:rsidRDefault="002837D7">
      <w:pPr>
        <w:spacing w:line="360" w:lineRule="auto"/>
        <w:ind w:firstLineChars="200" w:firstLine="420"/>
        <w:rPr>
          <w:bCs/>
          <w:szCs w:val="21"/>
        </w:rPr>
      </w:pPr>
      <w:r>
        <w:rPr>
          <w:rFonts w:hint="eastAsia"/>
          <w:bCs/>
          <w:szCs w:val="21"/>
        </w:rPr>
        <w:lastRenderedPageBreak/>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个月内使基金的投资组合比例符合基金合同的有关约定。在上述期间内，本基金的投资范围、投资策略应当符合基金合同的约定。基金托管人对基金投资的监督与检查自</w:t>
      </w:r>
      <w:r>
        <w:rPr>
          <w:rFonts w:hint="eastAsia"/>
          <w:bCs/>
          <w:szCs w:val="21"/>
        </w:rPr>
        <w:t>基金合同生效之日起开始。</w:t>
      </w:r>
    </w:p>
    <w:p w14:paraId="133CBEAF" w14:textId="77777777" w:rsidR="00BF38BB" w:rsidRDefault="002837D7">
      <w:pPr>
        <w:spacing w:line="360" w:lineRule="auto"/>
        <w:ind w:firstLineChars="200" w:firstLine="420"/>
        <w:rPr>
          <w:bCs/>
          <w:szCs w:val="21"/>
        </w:rPr>
      </w:pPr>
      <w:r>
        <w:rPr>
          <w:bCs/>
          <w:szCs w:val="21"/>
        </w:rPr>
        <w:t>2</w:t>
      </w:r>
      <w:r>
        <w:rPr>
          <w:rFonts w:hint="eastAsia"/>
          <w:bCs/>
          <w:szCs w:val="21"/>
        </w:rPr>
        <w:t>、</w:t>
      </w:r>
      <w:r>
        <w:rPr>
          <w:bCs/>
          <w:szCs w:val="21"/>
        </w:rPr>
        <w:t>禁止行为</w:t>
      </w:r>
    </w:p>
    <w:p w14:paraId="1C6BF813" w14:textId="77777777" w:rsidR="00BF38BB" w:rsidRDefault="002837D7">
      <w:pPr>
        <w:spacing w:line="360" w:lineRule="auto"/>
        <w:ind w:firstLineChars="200" w:firstLine="420"/>
        <w:rPr>
          <w:bCs/>
          <w:szCs w:val="21"/>
        </w:rPr>
      </w:pPr>
      <w:r>
        <w:rPr>
          <w:bCs/>
          <w:szCs w:val="21"/>
        </w:rPr>
        <w:t>为维护基金份额持有人的合法权益，基金财产不得用于下列投资或者活动：</w:t>
      </w:r>
    </w:p>
    <w:p w14:paraId="7518A2BA" w14:textId="77777777" w:rsidR="00BF38BB" w:rsidRDefault="002837D7">
      <w:pPr>
        <w:spacing w:line="360" w:lineRule="auto"/>
        <w:ind w:firstLineChars="200" w:firstLine="420"/>
        <w:rPr>
          <w:bCs/>
          <w:szCs w:val="21"/>
        </w:rPr>
      </w:pPr>
      <w:r>
        <w:rPr>
          <w:bCs/>
          <w:szCs w:val="21"/>
        </w:rPr>
        <w:t>（</w:t>
      </w:r>
      <w:r>
        <w:rPr>
          <w:bCs/>
          <w:szCs w:val="21"/>
        </w:rPr>
        <w:t>1</w:t>
      </w:r>
      <w:r>
        <w:rPr>
          <w:bCs/>
          <w:szCs w:val="21"/>
        </w:rPr>
        <w:t>）承销证券；</w:t>
      </w:r>
    </w:p>
    <w:p w14:paraId="4D27B1C1" w14:textId="77777777" w:rsidR="00BF38BB" w:rsidRDefault="002837D7">
      <w:pPr>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14:paraId="06DB2071" w14:textId="77777777" w:rsidR="00BF38BB" w:rsidRDefault="002837D7">
      <w:pPr>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14:paraId="1F785509" w14:textId="77777777" w:rsidR="00BF38BB" w:rsidRDefault="002837D7">
      <w:pPr>
        <w:spacing w:line="360" w:lineRule="auto"/>
        <w:ind w:firstLineChars="200" w:firstLine="420"/>
        <w:rPr>
          <w:bCs/>
          <w:szCs w:val="21"/>
        </w:rPr>
      </w:pPr>
      <w:r>
        <w:rPr>
          <w:bCs/>
          <w:szCs w:val="21"/>
        </w:rPr>
        <w:t>（</w:t>
      </w:r>
      <w:r>
        <w:rPr>
          <w:rFonts w:hint="eastAsia"/>
          <w:bCs/>
          <w:szCs w:val="21"/>
        </w:rPr>
        <w:t>4</w:t>
      </w:r>
      <w:r>
        <w:rPr>
          <w:bCs/>
          <w:szCs w:val="21"/>
        </w:rPr>
        <w:t>）</w:t>
      </w:r>
      <w:r>
        <w:rPr>
          <w:rFonts w:hint="eastAsia"/>
          <w:bCs/>
          <w:color w:val="000000"/>
          <w:szCs w:val="21"/>
        </w:rPr>
        <w:t>买卖其他基金份额</w:t>
      </w:r>
      <w:r>
        <w:rPr>
          <w:bCs/>
          <w:szCs w:val="21"/>
        </w:rPr>
        <w:t>，但是</w:t>
      </w:r>
      <w:r>
        <w:rPr>
          <w:rFonts w:hint="eastAsia"/>
          <w:bCs/>
          <w:szCs w:val="21"/>
        </w:rPr>
        <w:t>中国证监会</w:t>
      </w:r>
      <w:r>
        <w:rPr>
          <w:bCs/>
          <w:szCs w:val="21"/>
        </w:rPr>
        <w:t>另有规定的除外；</w:t>
      </w:r>
    </w:p>
    <w:p w14:paraId="666306C5" w14:textId="77777777" w:rsidR="00BF38BB" w:rsidRDefault="002837D7">
      <w:pPr>
        <w:spacing w:line="360" w:lineRule="auto"/>
        <w:ind w:firstLineChars="200" w:firstLine="420"/>
        <w:rPr>
          <w:bCs/>
          <w:szCs w:val="21"/>
        </w:rPr>
      </w:pPr>
      <w:r>
        <w:rPr>
          <w:bCs/>
          <w:szCs w:val="21"/>
        </w:rPr>
        <w:t>（</w:t>
      </w:r>
      <w:r>
        <w:rPr>
          <w:rFonts w:hint="eastAsia"/>
          <w:bCs/>
          <w:szCs w:val="21"/>
        </w:rPr>
        <w:t>5</w:t>
      </w:r>
      <w:r>
        <w:rPr>
          <w:bCs/>
          <w:szCs w:val="21"/>
        </w:rPr>
        <w:t>）向其基金管理人、基金托管人出资；</w:t>
      </w:r>
    </w:p>
    <w:p w14:paraId="00079EDE" w14:textId="77777777" w:rsidR="00BF38BB" w:rsidRDefault="002837D7">
      <w:pPr>
        <w:spacing w:line="360" w:lineRule="auto"/>
        <w:ind w:firstLineChars="200" w:firstLine="420"/>
        <w:rPr>
          <w:bCs/>
          <w:szCs w:val="21"/>
        </w:rPr>
      </w:pPr>
      <w:r>
        <w:rPr>
          <w:bCs/>
          <w:szCs w:val="21"/>
        </w:rPr>
        <w:t>（</w:t>
      </w:r>
      <w:r>
        <w:rPr>
          <w:rFonts w:hint="eastAsia"/>
          <w:bCs/>
          <w:szCs w:val="21"/>
        </w:rPr>
        <w:t>6</w:t>
      </w:r>
      <w:r>
        <w:rPr>
          <w:bCs/>
          <w:szCs w:val="21"/>
        </w:rPr>
        <w:t>）从事内幕交易、操纵证券交易价格及其他不正当的证券交易活动；</w:t>
      </w:r>
    </w:p>
    <w:p w14:paraId="3F666252" w14:textId="77777777" w:rsidR="00BF38BB" w:rsidRDefault="002837D7">
      <w:pPr>
        <w:spacing w:line="360" w:lineRule="auto"/>
        <w:ind w:firstLineChars="200" w:firstLine="420"/>
        <w:rPr>
          <w:bCs/>
          <w:szCs w:val="21"/>
        </w:rPr>
      </w:pPr>
      <w:r>
        <w:rPr>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14:paraId="55D6BC0E" w14:textId="77777777" w:rsidR="00BF38BB" w:rsidRDefault="002837D7">
      <w:pPr>
        <w:spacing w:line="360" w:lineRule="auto"/>
        <w:ind w:firstLineChars="200" w:firstLine="420"/>
        <w:rPr>
          <w:bCs/>
          <w:szCs w:val="21"/>
        </w:rPr>
      </w:pPr>
      <w:r>
        <w:rPr>
          <w:rFonts w:hint="eastAsia"/>
          <w:bCs/>
          <w:szCs w:val="21"/>
        </w:rPr>
        <w:t>除标的指数成份股、备选成份股之外，</w:t>
      </w:r>
      <w:r>
        <w:rPr>
          <w:bCs/>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Pr>
          <w:rFonts w:hint="eastAsia"/>
          <w:bCs/>
          <w:szCs w:val="21"/>
        </w:rPr>
        <w:t>（含三分之二）</w:t>
      </w:r>
      <w:r>
        <w:rPr>
          <w:bCs/>
          <w:szCs w:val="21"/>
        </w:rPr>
        <w:t>的独立董事通过。基金管理人董事会应至少每半年对关联交易事项进行审查。</w:t>
      </w:r>
    </w:p>
    <w:p w14:paraId="29F94B84"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、法律</w:t>
      </w:r>
      <w:r>
        <w:rPr>
          <w:rFonts w:hint="eastAsia"/>
          <w:bCs/>
          <w:szCs w:val="21"/>
        </w:rPr>
        <w:t>法规或监管部门对基金合同所述投资比例、投资限制、组合限制、禁止行为等作出强制性调整的，本基金应当按照法律法规或监管部门的规定执行。</w:t>
      </w:r>
    </w:p>
    <w:p w14:paraId="5BD2C60B" w14:textId="77777777" w:rsidR="00BF38BB" w:rsidRDefault="002837D7">
      <w:pPr>
        <w:spacing w:line="360" w:lineRule="auto"/>
        <w:ind w:firstLineChars="200" w:firstLine="420"/>
        <w:rPr>
          <w:bCs/>
          <w:szCs w:val="21"/>
        </w:rPr>
      </w:pPr>
      <w:r>
        <w:rPr>
          <w:rFonts w:hint="eastAsia"/>
          <w:bCs/>
          <w:szCs w:val="21"/>
        </w:rPr>
        <w:t>（五）标的指数</w:t>
      </w:r>
    </w:p>
    <w:p w14:paraId="40046B96" w14:textId="77777777" w:rsidR="00BF38BB" w:rsidRDefault="002837D7">
      <w:pPr>
        <w:spacing w:line="360" w:lineRule="auto"/>
        <w:ind w:firstLineChars="200" w:firstLine="420"/>
        <w:rPr>
          <w:bCs/>
          <w:szCs w:val="21"/>
        </w:rPr>
      </w:pPr>
      <w:bookmarkStart w:id="78" w:name="OLE_LINK36"/>
      <w:r>
        <w:rPr>
          <w:rFonts w:hint="eastAsia"/>
          <w:bCs/>
          <w:szCs w:val="21"/>
        </w:rPr>
        <w:t>本基金的标的指数为中证</w:t>
      </w:r>
      <w:r>
        <w:rPr>
          <w:rFonts w:hint="eastAsia"/>
          <w:bCs/>
          <w:szCs w:val="21"/>
        </w:rPr>
        <w:t>800</w:t>
      </w:r>
      <w:r>
        <w:rPr>
          <w:rFonts w:hint="eastAsia"/>
          <w:bCs/>
          <w:szCs w:val="21"/>
        </w:rPr>
        <w:t>指数。</w:t>
      </w:r>
    </w:p>
    <w:p w14:paraId="04A0404C" w14:textId="77777777" w:rsidR="00BF38BB" w:rsidRDefault="002837D7">
      <w:pPr>
        <w:spacing w:line="360" w:lineRule="auto"/>
        <w:ind w:firstLineChars="200" w:firstLine="420"/>
        <w:rPr>
          <w:bCs/>
          <w:szCs w:val="21"/>
        </w:rPr>
      </w:pPr>
      <w:r>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Cs w:val="21"/>
        </w:rPr>
        <w:t>6</w:t>
      </w:r>
      <w:r>
        <w:rPr>
          <w:rFonts w:hint="eastAsia"/>
          <w:bCs/>
          <w:szCs w:val="21"/>
        </w:rPr>
        <w:t>个月内召集基金份额持有人大会进行表决，基金份额持有人大会未成</w:t>
      </w:r>
      <w:r>
        <w:rPr>
          <w:rFonts w:hint="eastAsia"/>
          <w:bCs/>
          <w:szCs w:val="21"/>
        </w:rPr>
        <w:t>功召开或就上述事项表决未通过的，基金合同终止。</w:t>
      </w:r>
    </w:p>
    <w:p w14:paraId="12CF5F2E" w14:textId="77777777" w:rsidR="00BF38BB" w:rsidRDefault="002837D7">
      <w:pPr>
        <w:spacing w:line="360" w:lineRule="auto"/>
        <w:ind w:firstLineChars="200" w:firstLine="420"/>
        <w:rPr>
          <w:bCs/>
          <w:szCs w:val="21"/>
        </w:rPr>
      </w:pPr>
      <w:r>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38832AB3" w14:textId="77777777" w:rsidR="00BF38BB" w:rsidRDefault="002837D7">
      <w:pPr>
        <w:spacing w:line="360" w:lineRule="auto"/>
        <w:ind w:firstLineChars="200" w:firstLine="420"/>
        <w:rPr>
          <w:bCs/>
          <w:szCs w:val="21"/>
        </w:rPr>
      </w:pPr>
      <w:r>
        <w:rPr>
          <w:rFonts w:hint="eastAsia"/>
          <w:bCs/>
          <w:szCs w:val="21"/>
        </w:rPr>
        <w:t>尽管有前述约定，但若出现指数更名等对基金投资及基金份额持有人无实质性影响的标的指数变更情</w:t>
      </w:r>
      <w:r>
        <w:rPr>
          <w:rFonts w:hint="eastAsia"/>
          <w:bCs/>
          <w:szCs w:val="21"/>
        </w:rPr>
        <w:lastRenderedPageBreak/>
        <w:t>形，则无需召开基金份额持有人大会，基金管理人与基金托管人协商一致后变更并在规定媒介上公告。</w:t>
      </w:r>
    </w:p>
    <w:p w14:paraId="1B09D757" w14:textId="77777777" w:rsidR="00BF38BB" w:rsidRDefault="002837D7">
      <w:pPr>
        <w:spacing w:line="360" w:lineRule="auto"/>
        <w:ind w:firstLineChars="200" w:firstLine="420"/>
        <w:rPr>
          <w:bCs/>
          <w:szCs w:val="21"/>
        </w:rPr>
      </w:pPr>
      <w:r>
        <w:rPr>
          <w:rFonts w:hint="eastAsia"/>
          <w:bCs/>
          <w:szCs w:val="21"/>
        </w:rPr>
        <w:t>（六）业绩比较基准</w:t>
      </w:r>
    </w:p>
    <w:p w14:paraId="6396F4ED" w14:textId="77777777" w:rsidR="00BF38BB" w:rsidRDefault="002837D7">
      <w:pPr>
        <w:spacing w:line="360" w:lineRule="auto"/>
        <w:ind w:firstLineChars="200" w:firstLine="420"/>
        <w:rPr>
          <w:bCs/>
          <w:szCs w:val="21"/>
        </w:rPr>
      </w:pPr>
      <w:r>
        <w:rPr>
          <w:rFonts w:hint="eastAsia"/>
          <w:bCs/>
          <w:szCs w:val="21"/>
        </w:rPr>
        <w:t>本基金业绩比较基准为：中证</w:t>
      </w:r>
      <w:r>
        <w:rPr>
          <w:rFonts w:hint="eastAsia"/>
          <w:bCs/>
          <w:szCs w:val="21"/>
        </w:rPr>
        <w:t>800</w:t>
      </w:r>
      <w:r>
        <w:rPr>
          <w:rFonts w:hint="eastAsia"/>
          <w:bCs/>
          <w:szCs w:val="21"/>
        </w:rPr>
        <w:t>指数收益率×</w:t>
      </w:r>
      <w:r>
        <w:rPr>
          <w:rFonts w:hint="eastAsia"/>
          <w:bCs/>
          <w:szCs w:val="21"/>
        </w:rPr>
        <w:t>95%+</w:t>
      </w:r>
      <w:r>
        <w:rPr>
          <w:rFonts w:hint="eastAsia"/>
          <w:bCs/>
          <w:szCs w:val="21"/>
        </w:rPr>
        <w:t>活期存款基准利率×</w:t>
      </w:r>
      <w:r>
        <w:rPr>
          <w:rFonts w:hint="eastAsia"/>
          <w:bCs/>
          <w:szCs w:val="21"/>
        </w:rPr>
        <w:t>5%</w:t>
      </w:r>
    </w:p>
    <w:p w14:paraId="313F1D83"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、业绩比较基准设定的</w:t>
      </w:r>
      <w:r>
        <w:rPr>
          <w:rFonts w:hint="eastAsia"/>
          <w:bCs/>
          <w:szCs w:val="21"/>
        </w:rPr>
        <w:t>原因</w:t>
      </w:r>
    </w:p>
    <w:p w14:paraId="5D5BF644" w14:textId="77777777" w:rsidR="00BF38BB" w:rsidRDefault="002837D7">
      <w:pPr>
        <w:spacing w:line="360" w:lineRule="auto"/>
        <w:ind w:firstLineChars="200" w:firstLine="420"/>
        <w:rPr>
          <w:bCs/>
          <w:szCs w:val="21"/>
        </w:rPr>
      </w:pPr>
      <w:r>
        <w:rPr>
          <w:rFonts w:hint="eastAsia"/>
          <w:bCs/>
          <w:szCs w:val="21"/>
        </w:rPr>
        <w:t>本基金为增强型指数基金，力求对标的指数进行有效跟踪的基础上，力争获取超越业绩比较基准的超额收益。本基金的标的指数为中证</w:t>
      </w:r>
      <w:r>
        <w:rPr>
          <w:rFonts w:hint="eastAsia"/>
          <w:bCs/>
          <w:szCs w:val="21"/>
        </w:rPr>
        <w:t>800</w:t>
      </w:r>
      <w:r>
        <w:rPr>
          <w:rFonts w:hint="eastAsia"/>
          <w:bCs/>
          <w:szCs w:val="21"/>
        </w:rPr>
        <w:t>指数，相应选取标的指数作为业绩比较基准要素，并将对应要素权重设置为</w:t>
      </w:r>
      <w:r>
        <w:rPr>
          <w:rFonts w:hint="eastAsia"/>
          <w:bCs/>
          <w:szCs w:val="21"/>
        </w:rPr>
        <w:t>95%</w:t>
      </w:r>
      <w:r>
        <w:rPr>
          <w:rFonts w:hint="eastAsia"/>
          <w:bCs/>
          <w:szCs w:val="21"/>
        </w:rPr>
        <w:t>；同时选取活期存款基准利率作为流动性管理部分的业绩比较基准要素，其对应要素权重设置为</w:t>
      </w:r>
      <w:r>
        <w:rPr>
          <w:rFonts w:hint="eastAsia"/>
          <w:bCs/>
          <w:szCs w:val="21"/>
        </w:rPr>
        <w:t>5%</w:t>
      </w:r>
      <w:r>
        <w:rPr>
          <w:rFonts w:hint="eastAsia"/>
          <w:bCs/>
          <w:szCs w:val="21"/>
        </w:rPr>
        <w:t>。</w:t>
      </w:r>
    </w:p>
    <w:p w14:paraId="2C037A14" w14:textId="77777777" w:rsidR="00BF38BB" w:rsidRDefault="002837D7">
      <w:pPr>
        <w:spacing w:line="360" w:lineRule="auto"/>
        <w:ind w:firstLineChars="200" w:firstLine="420"/>
        <w:rPr>
          <w:bCs/>
          <w:szCs w:val="21"/>
        </w:rPr>
      </w:pPr>
      <w:r>
        <w:rPr>
          <w:rFonts w:hint="eastAsia"/>
          <w:bCs/>
          <w:szCs w:val="21"/>
        </w:rPr>
        <w:t>综上，本基金选取的业绩比较基准与基金投资目标、投资范围、投资策略、投资比例限制相匹配。</w:t>
      </w:r>
    </w:p>
    <w:p w14:paraId="1C6F0FE8"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、业绩比较基准要素的基本信息</w:t>
      </w:r>
    </w:p>
    <w:p w14:paraId="6BC20B6C" w14:textId="77777777" w:rsidR="00BF38BB" w:rsidRDefault="002837D7">
      <w:pPr>
        <w:spacing w:line="360" w:lineRule="auto"/>
        <w:ind w:firstLineChars="200" w:firstLine="420"/>
        <w:rPr>
          <w:bCs/>
          <w:szCs w:val="21"/>
        </w:rPr>
      </w:pPr>
      <w:r>
        <w:rPr>
          <w:rFonts w:hint="eastAsia"/>
          <w:bCs/>
          <w:szCs w:val="21"/>
        </w:rPr>
        <w:t>中证</w:t>
      </w:r>
      <w:r>
        <w:rPr>
          <w:bCs/>
          <w:szCs w:val="21"/>
        </w:rPr>
        <w:t>800</w:t>
      </w:r>
      <w:r>
        <w:rPr>
          <w:rFonts w:hint="eastAsia"/>
          <w:bCs/>
          <w:szCs w:val="21"/>
        </w:rPr>
        <w:t>指数由中证指数有限公司编制发布，指数代码为</w:t>
      </w:r>
      <w:r>
        <w:rPr>
          <w:rFonts w:hint="eastAsia"/>
          <w:bCs/>
          <w:szCs w:val="21"/>
        </w:rPr>
        <w:t>000</w:t>
      </w:r>
      <w:r>
        <w:rPr>
          <w:bCs/>
          <w:szCs w:val="21"/>
        </w:rPr>
        <w:t>906</w:t>
      </w:r>
      <w:r>
        <w:rPr>
          <w:rFonts w:hint="eastAsia"/>
          <w:bCs/>
          <w:szCs w:val="21"/>
        </w:rPr>
        <w:t>，指数具体信息详见中证指数有限公司</w:t>
      </w:r>
      <w:r>
        <w:rPr>
          <w:rFonts w:hint="eastAsia"/>
          <w:bCs/>
          <w:szCs w:val="21"/>
        </w:rPr>
        <w:t>网站，网址：</w:t>
      </w:r>
      <w:r>
        <w:rPr>
          <w:rFonts w:hint="eastAsia"/>
          <w:bCs/>
          <w:szCs w:val="21"/>
        </w:rPr>
        <w:t>www.csindex.com.cn</w:t>
      </w:r>
      <w:r>
        <w:rPr>
          <w:rFonts w:hint="eastAsia"/>
          <w:bCs/>
          <w:szCs w:val="21"/>
        </w:rPr>
        <w:t>。</w:t>
      </w:r>
    </w:p>
    <w:p w14:paraId="0E3D2DC4" w14:textId="77777777" w:rsidR="00BF38BB" w:rsidRDefault="002837D7">
      <w:pPr>
        <w:spacing w:line="360" w:lineRule="auto"/>
        <w:ind w:firstLineChars="200" w:firstLine="420"/>
        <w:rPr>
          <w:bCs/>
          <w:szCs w:val="21"/>
        </w:rPr>
      </w:pPr>
      <w:r>
        <w:rPr>
          <w:rFonts w:hint="eastAsia"/>
          <w:bCs/>
          <w:szCs w:val="21"/>
        </w:rPr>
        <w:t>活期存款基准利率由中国人民银行发布，具体信息详见中国人民银行网站，网址：</w:t>
      </w:r>
      <w:r>
        <w:rPr>
          <w:rFonts w:hint="eastAsia"/>
          <w:bCs/>
          <w:szCs w:val="21"/>
        </w:rPr>
        <w:t>www.pbc.gov.cn</w:t>
      </w:r>
      <w:r>
        <w:rPr>
          <w:rFonts w:hint="eastAsia"/>
          <w:bCs/>
          <w:szCs w:val="21"/>
        </w:rPr>
        <w:t>。</w:t>
      </w:r>
    </w:p>
    <w:p w14:paraId="5C1171AC"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、业绩比较基准的计算方法</w:t>
      </w:r>
    </w:p>
    <w:p w14:paraId="2442B98A" w14:textId="77777777" w:rsidR="00BF38BB" w:rsidRDefault="002837D7">
      <w:pPr>
        <w:spacing w:line="360" w:lineRule="auto"/>
        <w:ind w:firstLineChars="200" w:firstLine="420"/>
        <w:rPr>
          <w:bCs/>
          <w:szCs w:val="21"/>
        </w:rPr>
      </w:pPr>
      <w:r>
        <w:rPr>
          <w:rFonts w:hint="eastAsia"/>
          <w:bCs/>
          <w:szCs w:val="21"/>
        </w:rPr>
        <w:t>本基金业绩比较基准收益率的计算方法以每日收益率为基础，以时间加权为计算原则。本基金先分别计算业绩比较基准各构成要素的每日收益率，再按照预设权重比例计算当日组合要素基准的日收益率，并连乘每日收益率。</w:t>
      </w:r>
    </w:p>
    <w:p w14:paraId="2ED4A5BF" w14:textId="77777777" w:rsidR="00BF38BB" w:rsidRDefault="002837D7">
      <w:pPr>
        <w:spacing w:line="360" w:lineRule="auto"/>
        <w:ind w:firstLineChars="200" w:firstLine="420"/>
        <w:rPr>
          <w:bCs/>
          <w:szCs w:val="21"/>
        </w:rPr>
      </w:pPr>
      <w:r>
        <w:rPr>
          <w:rFonts w:hint="eastAsia"/>
          <w:bCs/>
          <w:szCs w:val="21"/>
        </w:rPr>
        <w:t>法律法规、监管机关、登记机构、证券交易所另有规定的，从其规定。</w:t>
      </w:r>
    </w:p>
    <w:p w14:paraId="2EE75639"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、管理投资偏离业绩比较基准的定性或定量方法</w:t>
      </w:r>
    </w:p>
    <w:p w14:paraId="7BE38745" w14:textId="77777777" w:rsidR="00BF38BB" w:rsidRDefault="002837D7">
      <w:pPr>
        <w:spacing w:line="360" w:lineRule="auto"/>
        <w:ind w:firstLineChars="200" w:firstLine="420"/>
        <w:rPr>
          <w:bCs/>
          <w:szCs w:val="21"/>
        </w:rPr>
      </w:pPr>
      <w:r>
        <w:rPr>
          <w:rFonts w:hint="eastAsia"/>
          <w:bCs/>
          <w:szCs w:val="21"/>
        </w:rPr>
        <w:t>本基金为实现投资目标</w:t>
      </w:r>
      <w:r>
        <w:rPr>
          <w:rFonts w:hint="eastAsia"/>
          <w:bCs/>
          <w:szCs w:val="21"/>
        </w:rPr>
        <w:t>，按照约定的投资策略构建投资组合，对基金实际投资与业绩比较基准的偏离进行管理与控制。如因发生风险因素导致跟踪偏离度和跟踪误差超过投资目标所述范围时，基金管理人应采取合理措施避免跟踪偏离度和跟踪误差进一步扩大。</w:t>
      </w:r>
    </w:p>
    <w:p w14:paraId="62C9559B"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、未来可能变更业绩比较基准的情况和程序</w:t>
      </w:r>
    </w:p>
    <w:p w14:paraId="60E5F8BE" w14:textId="77777777" w:rsidR="00BF38BB" w:rsidRDefault="002837D7">
      <w:pPr>
        <w:spacing w:line="360" w:lineRule="auto"/>
        <w:ind w:firstLineChars="200" w:firstLine="420"/>
        <w:rPr>
          <w:bCs/>
          <w:szCs w:val="21"/>
        </w:rPr>
      </w:pPr>
      <w:r>
        <w:rPr>
          <w:rFonts w:hint="eastAsia"/>
          <w:bCs/>
          <w:szCs w:val="21"/>
        </w:rPr>
        <w:t>本基金的业绩比较基准的要素与标的指数一致，相关变更情形和程序详见本章“（五）标的指数”部分内容。</w:t>
      </w:r>
    </w:p>
    <w:p w14:paraId="71847E44" w14:textId="77777777" w:rsidR="00BF38BB" w:rsidRDefault="002837D7">
      <w:pPr>
        <w:spacing w:line="360" w:lineRule="auto"/>
        <w:ind w:firstLineChars="200" w:firstLine="420"/>
        <w:rPr>
          <w:bCs/>
          <w:szCs w:val="21"/>
        </w:rPr>
      </w:pPr>
      <w:r>
        <w:rPr>
          <w:rFonts w:hint="eastAsia"/>
          <w:bCs/>
          <w:szCs w:val="21"/>
        </w:rPr>
        <w:t>若本基金调整业绩比较基准的要素权重，本基金将根据法律法规、中国证监会的规定和基金合同约定履行相关程序。</w:t>
      </w:r>
    </w:p>
    <w:bookmarkEnd w:id="78"/>
    <w:p w14:paraId="02ECF077" w14:textId="77777777" w:rsidR="00BF38BB" w:rsidRDefault="002837D7">
      <w:pPr>
        <w:spacing w:line="360" w:lineRule="auto"/>
        <w:ind w:firstLineChars="200" w:firstLine="420"/>
        <w:rPr>
          <w:bCs/>
          <w:szCs w:val="21"/>
        </w:rPr>
      </w:pPr>
      <w:r>
        <w:rPr>
          <w:rFonts w:hint="eastAsia"/>
          <w:bCs/>
          <w:szCs w:val="21"/>
        </w:rPr>
        <w:t>（七）</w:t>
      </w:r>
      <w:r>
        <w:rPr>
          <w:bCs/>
          <w:szCs w:val="21"/>
        </w:rPr>
        <w:t>风险收益特征</w:t>
      </w:r>
    </w:p>
    <w:p w14:paraId="56D1BF26" w14:textId="77777777" w:rsidR="00BF38BB" w:rsidRDefault="002837D7">
      <w:pPr>
        <w:spacing w:line="360" w:lineRule="auto"/>
        <w:ind w:firstLineChars="200" w:firstLine="420"/>
        <w:rPr>
          <w:bCs/>
          <w:szCs w:val="21"/>
        </w:rPr>
      </w:pPr>
      <w:r>
        <w:rPr>
          <w:rFonts w:hint="eastAsia"/>
          <w:bCs/>
          <w:szCs w:val="21"/>
        </w:rPr>
        <w:t>本基金为股票指数增强型基金，一般情况下</w:t>
      </w:r>
      <w:r>
        <w:rPr>
          <w:rFonts w:hint="eastAsia"/>
          <w:bCs/>
          <w:szCs w:val="21"/>
        </w:rPr>
        <w:t>，其预期风险和预期收益高于货币市场基金、债券型基金、混合型基金。本基金为指数增强型基金，主要采用抽样复制和动态最优化的方法跟踪标的指数的表现，具有</w:t>
      </w:r>
      <w:r>
        <w:rPr>
          <w:rFonts w:hint="eastAsia"/>
          <w:bCs/>
          <w:szCs w:val="21"/>
        </w:rPr>
        <w:lastRenderedPageBreak/>
        <w:t>与标的指数、以及标的指数所代表的证券市场相似的风险收益特征。</w:t>
      </w:r>
    </w:p>
    <w:p w14:paraId="479EFE4E" w14:textId="77777777" w:rsidR="00BF38BB" w:rsidRDefault="002837D7">
      <w:pPr>
        <w:spacing w:line="360" w:lineRule="auto"/>
        <w:ind w:firstLineChars="200" w:firstLine="420"/>
        <w:rPr>
          <w:bCs/>
          <w:color w:val="000000"/>
          <w:szCs w:val="21"/>
        </w:rPr>
      </w:pPr>
      <w:r>
        <w:rPr>
          <w:rFonts w:hint="eastAsia"/>
          <w:bCs/>
          <w:color w:val="000000"/>
          <w:szCs w:val="21"/>
        </w:rPr>
        <w:t>（八）</w:t>
      </w:r>
      <w:r>
        <w:rPr>
          <w:bCs/>
          <w:color w:val="000000"/>
          <w:szCs w:val="21"/>
        </w:rPr>
        <w:t>基金管理人代表基金行使股东</w:t>
      </w:r>
      <w:r>
        <w:rPr>
          <w:rFonts w:hint="eastAsia"/>
          <w:bCs/>
          <w:color w:val="000000"/>
          <w:szCs w:val="21"/>
        </w:rPr>
        <w:t>、</w:t>
      </w:r>
      <w:r>
        <w:rPr>
          <w:bCs/>
          <w:color w:val="000000"/>
          <w:szCs w:val="21"/>
        </w:rPr>
        <w:t>债权人</w:t>
      </w:r>
      <w:r>
        <w:rPr>
          <w:rFonts w:hint="eastAsia"/>
          <w:bCs/>
          <w:color w:val="000000"/>
          <w:szCs w:val="21"/>
        </w:rPr>
        <w:t>权</w:t>
      </w:r>
      <w:r>
        <w:rPr>
          <w:bCs/>
          <w:color w:val="000000"/>
          <w:szCs w:val="21"/>
        </w:rPr>
        <w:t>利的处理原则及方法</w:t>
      </w:r>
    </w:p>
    <w:p w14:paraId="398EDD96" w14:textId="77777777" w:rsidR="00BF38BB" w:rsidRDefault="002837D7">
      <w:pPr>
        <w:spacing w:line="360" w:lineRule="auto"/>
        <w:ind w:firstLineChars="200" w:firstLine="420"/>
        <w:rPr>
          <w:bCs/>
          <w:color w:val="000000"/>
          <w:szCs w:val="21"/>
        </w:rPr>
      </w:pPr>
      <w:r>
        <w:rPr>
          <w:bCs/>
          <w:color w:val="000000"/>
          <w:szCs w:val="21"/>
        </w:rPr>
        <w:t>1</w:t>
      </w:r>
      <w:r>
        <w:rPr>
          <w:bCs/>
          <w:color w:val="000000"/>
          <w:szCs w:val="21"/>
        </w:rPr>
        <w:t>、基金管理人按照国家有关规定代表基金独立行使股东</w:t>
      </w:r>
      <w:r>
        <w:rPr>
          <w:rFonts w:hint="eastAsia"/>
          <w:bCs/>
          <w:color w:val="000000"/>
          <w:szCs w:val="21"/>
        </w:rPr>
        <w:t>、</w:t>
      </w:r>
      <w:r>
        <w:rPr>
          <w:bCs/>
          <w:color w:val="000000"/>
          <w:szCs w:val="21"/>
        </w:rPr>
        <w:t>债权人权利，保护基金份额持有人的利益；</w:t>
      </w:r>
    </w:p>
    <w:p w14:paraId="38D7A8DF" w14:textId="77777777" w:rsidR="00BF38BB" w:rsidRDefault="002837D7">
      <w:pPr>
        <w:spacing w:line="360" w:lineRule="auto"/>
        <w:ind w:firstLineChars="200" w:firstLine="420"/>
        <w:rPr>
          <w:bCs/>
          <w:color w:val="000000"/>
          <w:szCs w:val="21"/>
        </w:rPr>
      </w:pPr>
      <w:r>
        <w:rPr>
          <w:bCs/>
          <w:color w:val="000000"/>
          <w:szCs w:val="21"/>
        </w:rPr>
        <w:t>2</w:t>
      </w:r>
      <w:r>
        <w:rPr>
          <w:bCs/>
          <w:color w:val="000000"/>
          <w:szCs w:val="21"/>
        </w:rPr>
        <w:t>、不谋求对上市公司的控股；</w:t>
      </w:r>
    </w:p>
    <w:p w14:paraId="447643A2" w14:textId="77777777" w:rsidR="00BF38BB" w:rsidRDefault="002837D7">
      <w:pPr>
        <w:spacing w:line="360" w:lineRule="auto"/>
        <w:ind w:firstLineChars="200" w:firstLine="420"/>
        <w:rPr>
          <w:bCs/>
          <w:color w:val="000000"/>
          <w:szCs w:val="21"/>
        </w:rPr>
      </w:pPr>
      <w:r>
        <w:rPr>
          <w:bCs/>
          <w:color w:val="000000"/>
          <w:szCs w:val="21"/>
        </w:rPr>
        <w:t>3</w:t>
      </w:r>
      <w:r>
        <w:rPr>
          <w:bCs/>
          <w:color w:val="000000"/>
          <w:szCs w:val="21"/>
        </w:rPr>
        <w:t>、有利于基金财产的安全与增值；</w:t>
      </w:r>
    </w:p>
    <w:p w14:paraId="080D88C7" w14:textId="77777777" w:rsidR="00BF38BB" w:rsidRDefault="002837D7">
      <w:pPr>
        <w:spacing w:line="360" w:lineRule="auto"/>
        <w:ind w:firstLineChars="200" w:firstLine="420"/>
        <w:rPr>
          <w:bCs/>
          <w:color w:val="000000"/>
          <w:szCs w:val="21"/>
        </w:rPr>
      </w:pPr>
      <w:r>
        <w:rPr>
          <w:bCs/>
          <w:color w:val="000000"/>
          <w:szCs w:val="21"/>
        </w:rPr>
        <w:t>4</w:t>
      </w:r>
      <w:r>
        <w:rPr>
          <w:bCs/>
          <w:color w:val="000000"/>
          <w:szCs w:val="21"/>
        </w:rPr>
        <w:t>、不通过关联交易为自身、雇员、授权代理人或任何存在利害关系的第三人牟取任何不当利益。</w:t>
      </w:r>
    </w:p>
    <w:p w14:paraId="0A44F57D" w14:textId="77777777" w:rsidR="00BF38BB" w:rsidRDefault="002837D7">
      <w:pPr>
        <w:spacing w:line="360" w:lineRule="auto"/>
        <w:ind w:firstLineChars="200" w:firstLine="420"/>
        <w:rPr>
          <w:bCs/>
          <w:szCs w:val="21"/>
        </w:rPr>
      </w:pPr>
      <w:r>
        <w:rPr>
          <w:rFonts w:hint="eastAsia"/>
          <w:bCs/>
          <w:szCs w:val="21"/>
        </w:rPr>
        <w:t>（九）侧袋机制的实施和投资运作安排</w:t>
      </w:r>
    </w:p>
    <w:p w14:paraId="128A82EC" w14:textId="77777777" w:rsidR="00BF38BB" w:rsidRDefault="002837D7">
      <w:pPr>
        <w:spacing w:line="360" w:lineRule="auto"/>
        <w:ind w:firstLineChars="200" w:firstLine="420"/>
        <w:rPr>
          <w:bCs/>
          <w:szCs w:val="21"/>
        </w:rPr>
      </w:pPr>
      <w:r>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6CD4849" w14:textId="77777777" w:rsidR="00BF38BB" w:rsidRDefault="002837D7">
      <w:pPr>
        <w:spacing w:line="360" w:lineRule="auto"/>
        <w:ind w:firstLineChars="200" w:firstLine="420"/>
        <w:rPr>
          <w:bCs/>
          <w:szCs w:val="21"/>
        </w:rPr>
      </w:pPr>
      <w:r>
        <w:rPr>
          <w:rFonts w:hint="eastAsia"/>
          <w:bCs/>
          <w:szCs w:val="21"/>
        </w:rPr>
        <w:t>侧袋机制实施期间，本部分约定的投资组合比例、投资策略、组合限制、业绩比较基准、风险收益特征等约定仅适用于主袋账户。</w:t>
      </w:r>
    </w:p>
    <w:p w14:paraId="6C5B0D55" w14:textId="77777777" w:rsidR="00BF38BB" w:rsidRDefault="002837D7">
      <w:pPr>
        <w:spacing w:line="360" w:lineRule="auto"/>
        <w:ind w:firstLineChars="200" w:firstLine="420"/>
        <w:rPr>
          <w:bCs/>
          <w:szCs w:val="21"/>
        </w:rPr>
      </w:pPr>
      <w:r>
        <w:rPr>
          <w:rFonts w:hint="eastAsia"/>
          <w:bCs/>
          <w:szCs w:val="21"/>
        </w:rPr>
        <w:t>侧袋账户的实施条件、实施程序、运作安排、投资安排、特定资产的处置变现和支付等对投资者权益有重大影响的事项详见招募说明书“侧袋机制”章节的规定。</w:t>
      </w:r>
    </w:p>
    <w:p w14:paraId="7C1B5688" w14:textId="77777777" w:rsidR="00BF38BB" w:rsidRDefault="00BF38BB">
      <w:pPr>
        <w:spacing w:line="360" w:lineRule="auto"/>
        <w:ind w:firstLineChars="200" w:firstLine="420"/>
        <w:rPr>
          <w:bCs/>
          <w:szCs w:val="21"/>
        </w:rPr>
      </w:pPr>
    </w:p>
    <w:p w14:paraId="3FD3ABE6" w14:textId="77777777" w:rsidR="00BF38BB" w:rsidRDefault="00BF38BB">
      <w:pPr>
        <w:spacing w:line="360" w:lineRule="auto"/>
        <w:ind w:firstLineChars="200" w:firstLine="420"/>
        <w:rPr>
          <w:rFonts w:ascii="宋体" w:hAnsi="宋体"/>
        </w:rPr>
      </w:pPr>
    </w:p>
    <w:p w14:paraId="36766036" w14:textId="77777777" w:rsidR="00BF38BB" w:rsidRDefault="002837D7">
      <w:pPr>
        <w:pStyle w:val="1"/>
        <w:spacing w:before="340" w:after="330"/>
        <w:jc w:val="center"/>
        <w:rPr>
          <w:rFonts w:hAnsi="宋体"/>
          <w:color w:val="auto"/>
          <w:kern w:val="44"/>
          <w:sz w:val="21"/>
        </w:rPr>
      </w:pPr>
      <w:r>
        <w:rPr>
          <w:rFonts w:hAnsi="宋体"/>
        </w:rPr>
        <w:br w:type="page"/>
      </w:r>
      <w:bookmarkStart w:id="79" w:name="_Toc69916735"/>
      <w:bookmarkEnd w:id="74"/>
      <w:r>
        <w:rPr>
          <w:rFonts w:hAnsi="宋体"/>
          <w:color w:val="auto"/>
          <w:kern w:val="44"/>
          <w:sz w:val="21"/>
        </w:rPr>
        <w:lastRenderedPageBreak/>
        <w:t>十、基金的财</w:t>
      </w:r>
      <w:r>
        <w:rPr>
          <w:rFonts w:hAnsi="宋体"/>
          <w:color w:val="auto"/>
          <w:kern w:val="44"/>
          <w:sz w:val="21"/>
        </w:rPr>
        <w:t>产</w:t>
      </w:r>
      <w:bookmarkEnd w:id="75"/>
      <w:bookmarkEnd w:id="76"/>
      <w:bookmarkEnd w:id="77"/>
      <w:bookmarkEnd w:id="79"/>
    </w:p>
    <w:p w14:paraId="7655C04B" w14:textId="77777777" w:rsidR="00BF38BB" w:rsidRDefault="002837D7">
      <w:pPr>
        <w:spacing w:line="360" w:lineRule="auto"/>
        <w:ind w:firstLineChars="200" w:firstLine="420"/>
        <w:rPr>
          <w:bCs/>
          <w:szCs w:val="21"/>
        </w:rPr>
      </w:pPr>
      <w:bookmarkStart w:id="80" w:name="_Toc334542643"/>
      <w:bookmarkStart w:id="81" w:name="_Toc334542960"/>
      <w:bookmarkStart w:id="82" w:name="_Toc329187121"/>
      <w:r>
        <w:rPr>
          <w:rFonts w:hint="eastAsia"/>
          <w:bCs/>
          <w:szCs w:val="21"/>
        </w:rPr>
        <w:t>（一）</w:t>
      </w:r>
      <w:r>
        <w:rPr>
          <w:bCs/>
          <w:szCs w:val="21"/>
        </w:rPr>
        <w:t>基金资产总值</w:t>
      </w:r>
    </w:p>
    <w:p w14:paraId="52BF04CA" w14:textId="77777777" w:rsidR="00BF38BB" w:rsidRDefault="002837D7">
      <w:pPr>
        <w:spacing w:line="360" w:lineRule="auto"/>
        <w:ind w:firstLineChars="200" w:firstLine="420"/>
        <w:rPr>
          <w:bCs/>
          <w:szCs w:val="21"/>
        </w:rPr>
      </w:pPr>
      <w:r>
        <w:rPr>
          <w:bCs/>
          <w:szCs w:val="21"/>
        </w:rPr>
        <w:t>基金资产总值是指</w:t>
      </w:r>
      <w:r>
        <w:rPr>
          <w:rFonts w:hint="eastAsia"/>
          <w:bCs/>
          <w:szCs w:val="21"/>
        </w:rPr>
        <w:t>基金持有</w:t>
      </w:r>
      <w:r>
        <w:rPr>
          <w:bCs/>
          <w:szCs w:val="21"/>
        </w:rPr>
        <w:t>的各类</w:t>
      </w:r>
      <w:r>
        <w:rPr>
          <w:rFonts w:hint="eastAsia"/>
          <w:bCs/>
          <w:szCs w:val="21"/>
        </w:rPr>
        <w:t>有价</w:t>
      </w:r>
      <w:r>
        <w:rPr>
          <w:bCs/>
          <w:szCs w:val="21"/>
        </w:rPr>
        <w:t>证券、银行存款本息和基金应收款以及其他投资所形成的价值总和。</w:t>
      </w:r>
    </w:p>
    <w:p w14:paraId="0527A9DB" w14:textId="77777777" w:rsidR="00BF38BB" w:rsidRDefault="002837D7">
      <w:pPr>
        <w:spacing w:line="360" w:lineRule="auto"/>
        <w:ind w:firstLineChars="200" w:firstLine="420"/>
        <w:rPr>
          <w:bCs/>
          <w:szCs w:val="21"/>
        </w:rPr>
      </w:pPr>
      <w:r>
        <w:rPr>
          <w:rFonts w:hint="eastAsia"/>
          <w:bCs/>
          <w:szCs w:val="21"/>
        </w:rPr>
        <w:t>（二）</w:t>
      </w:r>
      <w:r>
        <w:rPr>
          <w:bCs/>
          <w:szCs w:val="21"/>
        </w:rPr>
        <w:t>基金资产净值</w:t>
      </w:r>
    </w:p>
    <w:p w14:paraId="5DABDC52" w14:textId="77777777" w:rsidR="00BF38BB" w:rsidRDefault="002837D7">
      <w:pPr>
        <w:spacing w:line="360" w:lineRule="auto"/>
        <w:ind w:firstLineChars="200" w:firstLine="420"/>
        <w:rPr>
          <w:bCs/>
          <w:szCs w:val="21"/>
        </w:rPr>
      </w:pPr>
      <w:r>
        <w:rPr>
          <w:bCs/>
          <w:szCs w:val="21"/>
        </w:rPr>
        <w:t>基金资产净值是指基金资产总值减去基金负债后的价值。</w:t>
      </w:r>
    </w:p>
    <w:p w14:paraId="2530249C" w14:textId="77777777" w:rsidR="00BF38BB" w:rsidRDefault="002837D7">
      <w:pPr>
        <w:spacing w:line="360" w:lineRule="auto"/>
        <w:ind w:firstLineChars="200" w:firstLine="420"/>
        <w:rPr>
          <w:bCs/>
          <w:szCs w:val="21"/>
        </w:rPr>
      </w:pPr>
      <w:r>
        <w:rPr>
          <w:rFonts w:hint="eastAsia"/>
          <w:bCs/>
          <w:szCs w:val="21"/>
        </w:rPr>
        <w:t>（三）</w:t>
      </w:r>
      <w:r>
        <w:rPr>
          <w:bCs/>
          <w:szCs w:val="21"/>
        </w:rPr>
        <w:t>基金财产的账户</w:t>
      </w:r>
    </w:p>
    <w:p w14:paraId="42F940F3" w14:textId="77777777" w:rsidR="00BF38BB" w:rsidRDefault="002837D7">
      <w:pPr>
        <w:spacing w:line="360" w:lineRule="auto"/>
        <w:ind w:firstLineChars="200" w:firstLine="420"/>
        <w:rPr>
          <w:bCs/>
          <w:szCs w:val="21"/>
        </w:rPr>
      </w:pPr>
      <w:r>
        <w:rPr>
          <w:bCs/>
          <w:szCs w:val="21"/>
        </w:rPr>
        <w:t>基金托管人根据相关法律法规、规范性文件为本基金开立资金</w:t>
      </w:r>
      <w:r>
        <w:rPr>
          <w:rFonts w:hint="eastAsia"/>
          <w:bCs/>
          <w:szCs w:val="21"/>
        </w:rPr>
        <w:t>账户</w:t>
      </w:r>
      <w:r>
        <w:rPr>
          <w:bCs/>
          <w:szCs w:val="21"/>
        </w:rPr>
        <w:t>、证券</w:t>
      </w:r>
      <w:r>
        <w:rPr>
          <w:rFonts w:hint="eastAsia"/>
          <w:bCs/>
          <w:szCs w:val="21"/>
        </w:rPr>
        <w:t>账户、期货结算账户</w:t>
      </w:r>
      <w:r>
        <w:rPr>
          <w:bCs/>
          <w:szCs w:val="21"/>
        </w:rPr>
        <w:t>以及投资所需的其他专用</w:t>
      </w:r>
      <w:r>
        <w:rPr>
          <w:rFonts w:hint="eastAsia"/>
          <w:bCs/>
          <w:szCs w:val="21"/>
        </w:rPr>
        <w:t>账户</w:t>
      </w:r>
      <w:r>
        <w:rPr>
          <w:bCs/>
          <w:szCs w:val="21"/>
        </w:rPr>
        <w:t>。开立的基金专用账户与基金管理人、基金托管人、基金销售机构和基金</w:t>
      </w:r>
      <w:r>
        <w:rPr>
          <w:rFonts w:hint="eastAsia"/>
          <w:bCs/>
          <w:szCs w:val="21"/>
        </w:rPr>
        <w:t>服务</w:t>
      </w:r>
      <w:r>
        <w:rPr>
          <w:bCs/>
          <w:szCs w:val="21"/>
        </w:rPr>
        <w:t>机构自有的财产账户以及其他基金财产账户相独立。</w:t>
      </w:r>
      <w:bookmarkStart w:id="83" w:name="_Hlt88841837"/>
      <w:bookmarkEnd w:id="83"/>
    </w:p>
    <w:p w14:paraId="6F3D80AB" w14:textId="77777777" w:rsidR="00BF38BB" w:rsidRDefault="002837D7">
      <w:pPr>
        <w:spacing w:line="360" w:lineRule="auto"/>
        <w:ind w:firstLineChars="200" w:firstLine="420"/>
        <w:rPr>
          <w:bCs/>
          <w:szCs w:val="21"/>
        </w:rPr>
      </w:pPr>
      <w:r>
        <w:rPr>
          <w:rFonts w:hint="eastAsia"/>
          <w:bCs/>
          <w:szCs w:val="21"/>
        </w:rPr>
        <w:t>（四）</w:t>
      </w:r>
      <w:r>
        <w:rPr>
          <w:bCs/>
          <w:szCs w:val="21"/>
        </w:rPr>
        <w:t>基金财产的保管和处分</w:t>
      </w:r>
      <w:bookmarkStart w:id="84" w:name="_Hlt88900062"/>
      <w:bookmarkEnd w:id="84"/>
    </w:p>
    <w:p w14:paraId="257E0A85" w14:textId="77777777" w:rsidR="00BF38BB" w:rsidRDefault="002837D7">
      <w:pPr>
        <w:spacing w:line="360" w:lineRule="auto"/>
        <w:ind w:firstLineChars="200" w:firstLine="420"/>
        <w:rPr>
          <w:bCs/>
          <w:szCs w:val="21"/>
        </w:rPr>
      </w:pPr>
      <w:r>
        <w:rPr>
          <w:bCs/>
          <w:szCs w:val="21"/>
        </w:rPr>
        <w:t>本基金财产独立于基金管理人、基金托管人</w:t>
      </w:r>
      <w:r>
        <w:rPr>
          <w:rFonts w:hint="eastAsia"/>
          <w:bCs/>
          <w:szCs w:val="21"/>
        </w:rPr>
        <w:t>、</w:t>
      </w:r>
      <w:r>
        <w:rPr>
          <w:bCs/>
          <w:szCs w:val="21"/>
        </w:rPr>
        <w:t>基金</w:t>
      </w:r>
      <w:r>
        <w:rPr>
          <w:rFonts w:hint="eastAsia"/>
          <w:bCs/>
          <w:szCs w:val="21"/>
        </w:rPr>
        <w:t>销</w:t>
      </w:r>
      <w:r>
        <w:rPr>
          <w:rFonts w:hint="eastAsia"/>
          <w:bCs/>
          <w:szCs w:val="21"/>
        </w:rPr>
        <w:t>售</w:t>
      </w:r>
      <w:r>
        <w:rPr>
          <w:bCs/>
          <w:szCs w:val="21"/>
        </w:rPr>
        <w:t>机构和基金服务机构的财产，并由基金托管人保管。基金管理人、基金托管人、基金</w:t>
      </w:r>
      <w:r>
        <w:rPr>
          <w:rFonts w:hint="eastAsia"/>
          <w:bCs/>
          <w:szCs w:val="21"/>
        </w:rPr>
        <w:t>销售</w:t>
      </w:r>
      <w:r>
        <w:rPr>
          <w:bCs/>
          <w:szCs w:val="21"/>
        </w:rPr>
        <w:t>机构和基金服务机构以其自有的财产承担其自身的法律责任，其债权人不得对本基金财产行使请求冻结、扣押或其他权利。除依法律法规和基金合同的规定处分外，基金财产不得被处分。</w:t>
      </w:r>
    </w:p>
    <w:p w14:paraId="6F666775" w14:textId="77777777" w:rsidR="00BF38BB" w:rsidRDefault="002837D7">
      <w:pPr>
        <w:spacing w:line="360" w:lineRule="auto"/>
        <w:ind w:firstLineChars="200" w:firstLine="42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69BD6DC"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85" w:name="_Toc69916736"/>
      <w:r>
        <w:rPr>
          <w:rFonts w:hAnsi="宋体"/>
          <w:color w:val="auto"/>
          <w:kern w:val="44"/>
          <w:sz w:val="21"/>
        </w:rPr>
        <w:lastRenderedPageBreak/>
        <w:t>十</w:t>
      </w:r>
      <w:r>
        <w:rPr>
          <w:rFonts w:hAnsi="宋体" w:hint="eastAsia"/>
          <w:color w:val="auto"/>
          <w:kern w:val="44"/>
          <w:sz w:val="21"/>
        </w:rPr>
        <w:t>一</w:t>
      </w:r>
      <w:r>
        <w:rPr>
          <w:rFonts w:hAnsi="宋体"/>
          <w:color w:val="auto"/>
          <w:kern w:val="44"/>
          <w:sz w:val="21"/>
        </w:rPr>
        <w:t>、基金资产的估值</w:t>
      </w:r>
      <w:bookmarkEnd w:id="80"/>
      <w:bookmarkEnd w:id="81"/>
      <w:bookmarkEnd w:id="82"/>
      <w:bookmarkEnd w:id="85"/>
    </w:p>
    <w:p w14:paraId="638E8A5D" w14:textId="77777777" w:rsidR="00BF38BB" w:rsidRDefault="002837D7">
      <w:pPr>
        <w:spacing w:line="360" w:lineRule="auto"/>
        <w:ind w:firstLineChars="200" w:firstLine="420"/>
        <w:rPr>
          <w:bCs/>
          <w:szCs w:val="21"/>
        </w:rPr>
      </w:pPr>
      <w:bookmarkStart w:id="86" w:name="_Toc334542644"/>
      <w:bookmarkStart w:id="87" w:name="_Toc334542961"/>
      <w:bookmarkStart w:id="88" w:name="_Toc329187122"/>
      <w:r>
        <w:rPr>
          <w:rFonts w:hint="eastAsia"/>
          <w:bCs/>
          <w:szCs w:val="21"/>
        </w:rPr>
        <w:t>（一）</w:t>
      </w:r>
      <w:r>
        <w:rPr>
          <w:bCs/>
          <w:szCs w:val="21"/>
        </w:rPr>
        <w:t>估值日</w:t>
      </w:r>
    </w:p>
    <w:p w14:paraId="6E5F06D2" w14:textId="77777777" w:rsidR="00BF38BB" w:rsidRDefault="002837D7">
      <w:pPr>
        <w:spacing w:line="360" w:lineRule="auto"/>
        <w:ind w:firstLineChars="200" w:firstLine="420"/>
        <w:rPr>
          <w:bCs/>
          <w:szCs w:val="21"/>
        </w:rPr>
      </w:pPr>
      <w:r>
        <w:rPr>
          <w:bCs/>
          <w:szCs w:val="21"/>
        </w:rPr>
        <w:t>本基金的估值日为本基金相关的证券交易场所的交易日以及国家法律法规规定需要对外披露基金净值的非交易日。</w:t>
      </w:r>
    </w:p>
    <w:p w14:paraId="4E959BDA" w14:textId="77777777" w:rsidR="00BF38BB" w:rsidRDefault="002837D7">
      <w:pPr>
        <w:spacing w:line="360" w:lineRule="auto"/>
        <w:ind w:firstLineChars="200" w:firstLine="420"/>
        <w:rPr>
          <w:bCs/>
          <w:szCs w:val="21"/>
        </w:rPr>
      </w:pPr>
      <w:r>
        <w:rPr>
          <w:rFonts w:hint="eastAsia"/>
          <w:bCs/>
          <w:szCs w:val="21"/>
        </w:rPr>
        <w:t>（二）</w:t>
      </w:r>
      <w:r>
        <w:rPr>
          <w:bCs/>
          <w:szCs w:val="21"/>
        </w:rPr>
        <w:t>估值对象</w:t>
      </w:r>
    </w:p>
    <w:p w14:paraId="5C88D3E2" w14:textId="77777777" w:rsidR="00BF38BB" w:rsidRDefault="002837D7">
      <w:pPr>
        <w:spacing w:line="360" w:lineRule="auto"/>
        <w:ind w:firstLineChars="200" w:firstLine="420"/>
        <w:rPr>
          <w:bCs/>
          <w:color w:val="000000"/>
          <w:szCs w:val="21"/>
        </w:rPr>
      </w:pPr>
      <w:r>
        <w:rPr>
          <w:bCs/>
          <w:color w:val="000000"/>
          <w:szCs w:val="21"/>
        </w:rPr>
        <w:t>基金所拥有的股票、债券和银行存款本息、应收款项、</w:t>
      </w:r>
      <w:r>
        <w:rPr>
          <w:rFonts w:hint="eastAsia"/>
          <w:bCs/>
          <w:color w:val="000000"/>
          <w:szCs w:val="21"/>
        </w:rPr>
        <w:t>资产支</w:t>
      </w:r>
      <w:r>
        <w:rPr>
          <w:rFonts w:hint="eastAsia"/>
          <w:bCs/>
          <w:color w:val="000000"/>
          <w:szCs w:val="21"/>
        </w:rPr>
        <w:t>持证券、国债期货合约、股指期货合约、股票期权合约、</w:t>
      </w:r>
      <w:r>
        <w:rPr>
          <w:bCs/>
          <w:color w:val="000000"/>
          <w:szCs w:val="21"/>
        </w:rPr>
        <w:t>其它投资等资产及负债。</w:t>
      </w:r>
    </w:p>
    <w:p w14:paraId="08356F34" w14:textId="77777777" w:rsidR="00BF38BB" w:rsidRDefault="002837D7">
      <w:pPr>
        <w:spacing w:line="360" w:lineRule="auto"/>
        <w:ind w:firstLineChars="200" w:firstLine="420"/>
        <w:rPr>
          <w:bCs/>
          <w:szCs w:val="21"/>
        </w:rPr>
      </w:pPr>
      <w:r>
        <w:rPr>
          <w:rFonts w:hint="eastAsia"/>
          <w:bCs/>
          <w:szCs w:val="21"/>
        </w:rPr>
        <w:t>（三）估值原则</w:t>
      </w:r>
    </w:p>
    <w:p w14:paraId="04F7D92A" w14:textId="77777777" w:rsidR="00BF38BB" w:rsidRDefault="002837D7">
      <w:pPr>
        <w:spacing w:line="360" w:lineRule="auto"/>
        <w:ind w:firstLineChars="200" w:firstLine="420"/>
        <w:rPr>
          <w:bCs/>
          <w:szCs w:val="21"/>
        </w:rPr>
      </w:pPr>
      <w:r>
        <w:rPr>
          <w:bCs/>
          <w:szCs w:val="21"/>
        </w:rPr>
        <w:t>基金管理人在确定相关金融资产和金融负债的公允价值时，应符合《企业会计准则》、监管部门有关规定。</w:t>
      </w:r>
    </w:p>
    <w:p w14:paraId="3352C75F"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w:t>
      </w:r>
      <w:r>
        <w:rPr>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w:t>
      </w:r>
      <w:r>
        <w:rPr>
          <w:bCs/>
          <w:szCs w:val="21"/>
        </w:rPr>
        <w:t>进行调整，确定公允价值。</w:t>
      </w:r>
    </w:p>
    <w:p w14:paraId="09B75A50" w14:textId="77777777" w:rsidR="00BF38BB" w:rsidRDefault="002837D7">
      <w:pPr>
        <w:spacing w:line="360" w:lineRule="auto"/>
        <w:ind w:firstLineChars="200" w:firstLine="420"/>
        <w:rPr>
          <w:bCs/>
          <w:szCs w:val="21"/>
        </w:rPr>
      </w:pPr>
      <w:r>
        <w:rPr>
          <w:bCs/>
          <w:szCs w:val="21"/>
        </w:rPr>
        <w:t>与上述投资品种</w:t>
      </w:r>
      <w:r>
        <w:rPr>
          <w:rFonts w:hint="eastAsia"/>
          <w:bCs/>
          <w:szCs w:val="21"/>
        </w:rPr>
        <w:t>相同</w:t>
      </w:r>
      <w:r>
        <w:rPr>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A105786"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w:t>
      </w:r>
      <w:r>
        <w:rPr>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FFA8CD1"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w:t>
      </w:r>
      <w:r>
        <w:rPr>
          <w:bCs/>
          <w:szCs w:val="21"/>
        </w:rPr>
        <w:t>如经济环境发生重大变化或证券发行人发生影响证券价格的重大事件，使潜在估值调整对前一估值日的基金资产净值的影响在</w:t>
      </w:r>
      <w:r>
        <w:rPr>
          <w:bCs/>
          <w:szCs w:val="21"/>
        </w:rPr>
        <w:t>0.25%</w:t>
      </w:r>
      <w:r>
        <w:rPr>
          <w:bCs/>
          <w:szCs w:val="21"/>
        </w:rPr>
        <w:t>以上的，应对估值进行调整并确定公允价值。</w:t>
      </w:r>
    </w:p>
    <w:p w14:paraId="09F8FF4D" w14:textId="77777777" w:rsidR="00BF38BB" w:rsidRDefault="002837D7">
      <w:pPr>
        <w:spacing w:line="360" w:lineRule="auto"/>
        <w:ind w:firstLineChars="200" w:firstLine="420"/>
        <w:rPr>
          <w:bCs/>
          <w:szCs w:val="21"/>
        </w:rPr>
      </w:pPr>
      <w:r>
        <w:rPr>
          <w:rFonts w:hint="eastAsia"/>
          <w:bCs/>
          <w:szCs w:val="21"/>
        </w:rPr>
        <w:t>（四）</w:t>
      </w:r>
      <w:r>
        <w:rPr>
          <w:bCs/>
          <w:szCs w:val="21"/>
        </w:rPr>
        <w:t>估值方法</w:t>
      </w:r>
    </w:p>
    <w:p w14:paraId="3066EA7D" w14:textId="77777777" w:rsidR="00BF38BB" w:rsidRDefault="002837D7">
      <w:pPr>
        <w:spacing w:line="360" w:lineRule="auto"/>
        <w:ind w:firstLineChars="200" w:firstLine="420"/>
        <w:rPr>
          <w:bCs/>
          <w:szCs w:val="21"/>
        </w:rPr>
      </w:pPr>
      <w:r>
        <w:rPr>
          <w:bCs/>
          <w:szCs w:val="21"/>
        </w:rPr>
        <w:t>1</w:t>
      </w:r>
      <w:r>
        <w:rPr>
          <w:bCs/>
          <w:szCs w:val="21"/>
        </w:rPr>
        <w:t>、证券交易所上市的有价证券的估值</w:t>
      </w:r>
    </w:p>
    <w:p w14:paraId="773E9C1E" w14:textId="77777777" w:rsidR="00BF38BB" w:rsidRDefault="002837D7">
      <w:pPr>
        <w:spacing w:line="360" w:lineRule="auto"/>
        <w:ind w:firstLineChars="200" w:firstLine="420"/>
        <w:rPr>
          <w:bCs/>
          <w:szCs w:val="21"/>
        </w:rPr>
      </w:pPr>
      <w:r>
        <w:rPr>
          <w:bCs/>
          <w:szCs w:val="21"/>
        </w:rPr>
        <w:t>（</w:t>
      </w:r>
      <w:r>
        <w:rPr>
          <w:bCs/>
          <w:szCs w:val="21"/>
        </w:rPr>
        <w:t>1</w:t>
      </w:r>
      <w:r>
        <w:rPr>
          <w:bCs/>
          <w:szCs w:val="21"/>
        </w:rPr>
        <w:t>）交易所上市的有价证券（包括股票等）</w:t>
      </w:r>
      <w:r>
        <w:rPr>
          <w:bCs/>
          <w:szCs w:val="21"/>
        </w:rPr>
        <w:t>，以其估值日在证券交易所挂牌的市价（收盘价）估值；估值日无交易的，且最近交易日后经济环境未发生重大变化</w:t>
      </w:r>
      <w:r>
        <w:rPr>
          <w:rFonts w:hint="eastAsia"/>
          <w:bCs/>
          <w:szCs w:val="21"/>
        </w:rPr>
        <w:t>或</w:t>
      </w:r>
      <w:r>
        <w:rPr>
          <w:bCs/>
          <w:szCs w:val="21"/>
        </w:rPr>
        <w:t>证券发行机构未发生影响证券价格的重大事件的，以最近交易日的市价（收盘价）估值；如最近交易日后经济环境发生了重大变化</w:t>
      </w:r>
      <w:r>
        <w:rPr>
          <w:rFonts w:hint="eastAsia"/>
          <w:bCs/>
          <w:szCs w:val="21"/>
        </w:rPr>
        <w:t>或</w:t>
      </w:r>
      <w:r>
        <w:rPr>
          <w:bCs/>
          <w:szCs w:val="21"/>
        </w:rPr>
        <w:t>证券发行机构发生影响证券价格的重大事件的，可参考类似投资品种的现行市价及重大变化因素，调整最近交易市价，确定公允</w:t>
      </w:r>
      <w:r>
        <w:rPr>
          <w:bCs/>
          <w:szCs w:val="21"/>
        </w:rPr>
        <w:lastRenderedPageBreak/>
        <w:t>价格</w:t>
      </w:r>
      <w:r>
        <w:rPr>
          <w:rFonts w:hint="eastAsia"/>
          <w:bCs/>
          <w:szCs w:val="21"/>
        </w:rPr>
        <w:t>；</w:t>
      </w:r>
    </w:p>
    <w:p w14:paraId="37F81B84" w14:textId="77777777" w:rsidR="00BF38BB" w:rsidRDefault="002837D7">
      <w:pPr>
        <w:spacing w:line="360" w:lineRule="auto"/>
        <w:ind w:firstLineChars="200" w:firstLine="420"/>
        <w:rPr>
          <w:bCs/>
          <w:szCs w:val="21"/>
        </w:rPr>
      </w:pPr>
      <w:r>
        <w:rPr>
          <w:bCs/>
          <w:szCs w:val="21"/>
        </w:rPr>
        <w:t>（</w:t>
      </w:r>
      <w:r>
        <w:rPr>
          <w:bCs/>
          <w:szCs w:val="21"/>
        </w:rPr>
        <w:t>2</w:t>
      </w:r>
      <w:r>
        <w:rPr>
          <w:bCs/>
          <w:szCs w:val="21"/>
        </w:rPr>
        <w:t>）交易所上市交易或挂牌转让的不含权固定收益品种，选取估值日第三方估值</w:t>
      </w:r>
      <w:r>
        <w:rPr>
          <w:rFonts w:hint="eastAsia"/>
          <w:bCs/>
          <w:szCs w:val="21"/>
        </w:rPr>
        <w:t>基准服务</w:t>
      </w:r>
      <w:r>
        <w:rPr>
          <w:bCs/>
          <w:szCs w:val="21"/>
        </w:rPr>
        <w:t>机构提供的相应品种当日的估值</w:t>
      </w:r>
      <w:r>
        <w:rPr>
          <w:rFonts w:hint="eastAsia"/>
          <w:bCs/>
          <w:szCs w:val="21"/>
        </w:rPr>
        <w:t>全价</w:t>
      </w:r>
      <w:r>
        <w:rPr>
          <w:bCs/>
          <w:szCs w:val="21"/>
        </w:rPr>
        <w:t>进行估值；</w:t>
      </w:r>
    </w:p>
    <w:p w14:paraId="44447118" w14:textId="77777777" w:rsidR="00BF38BB" w:rsidRDefault="002837D7">
      <w:pPr>
        <w:spacing w:line="360" w:lineRule="auto"/>
        <w:ind w:firstLineChars="200" w:firstLine="420"/>
        <w:rPr>
          <w:bCs/>
          <w:szCs w:val="21"/>
        </w:rPr>
      </w:pPr>
      <w:r>
        <w:rPr>
          <w:bCs/>
          <w:szCs w:val="21"/>
        </w:rPr>
        <w:t>（</w:t>
      </w:r>
      <w:r>
        <w:rPr>
          <w:bCs/>
          <w:szCs w:val="21"/>
        </w:rPr>
        <w:t>3</w:t>
      </w:r>
      <w:r>
        <w:rPr>
          <w:bCs/>
          <w:szCs w:val="21"/>
        </w:rPr>
        <w:t>）交易所上市交易或挂牌转让的含权固定收益品种</w:t>
      </w:r>
      <w:r>
        <w:rPr>
          <w:bCs/>
          <w:szCs w:val="21"/>
        </w:rPr>
        <w:t>，选取估值日第三方估值</w:t>
      </w:r>
      <w:r>
        <w:rPr>
          <w:rFonts w:hint="eastAsia"/>
          <w:bCs/>
          <w:szCs w:val="21"/>
        </w:rPr>
        <w:t>基准服务</w:t>
      </w:r>
      <w:r>
        <w:rPr>
          <w:bCs/>
          <w:szCs w:val="21"/>
        </w:rPr>
        <w:t>机构提供的相应品种当日的唯一估值</w:t>
      </w:r>
      <w:r>
        <w:rPr>
          <w:rFonts w:hint="eastAsia"/>
          <w:bCs/>
          <w:szCs w:val="21"/>
        </w:rPr>
        <w:t>全价</w:t>
      </w:r>
      <w:r>
        <w:rPr>
          <w:bCs/>
          <w:szCs w:val="21"/>
        </w:rPr>
        <w:t>或推荐估值</w:t>
      </w:r>
      <w:r>
        <w:rPr>
          <w:rFonts w:hint="eastAsia"/>
          <w:bCs/>
          <w:szCs w:val="21"/>
        </w:rPr>
        <w:t>全价</w:t>
      </w:r>
      <w:r>
        <w:rPr>
          <w:bCs/>
          <w:szCs w:val="21"/>
        </w:rPr>
        <w:t>进行估值；</w:t>
      </w:r>
    </w:p>
    <w:p w14:paraId="10B36CE7" w14:textId="77777777" w:rsidR="00BF38BB" w:rsidRDefault="002837D7">
      <w:pPr>
        <w:spacing w:line="360" w:lineRule="auto"/>
        <w:ind w:firstLineChars="200" w:firstLine="420"/>
        <w:rPr>
          <w:bCs/>
          <w:szCs w:val="21"/>
        </w:rPr>
      </w:pPr>
      <w:r>
        <w:rPr>
          <w:bCs/>
          <w:szCs w:val="21"/>
        </w:rPr>
        <w:t>（</w:t>
      </w:r>
      <w:r>
        <w:rPr>
          <w:bCs/>
          <w:szCs w:val="21"/>
        </w:rPr>
        <w:t>4</w:t>
      </w:r>
      <w:r>
        <w:rPr>
          <w:bCs/>
          <w:szCs w:val="21"/>
        </w:rPr>
        <w:t>）</w:t>
      </w:r>
      <w:r>
        <w:rPr>
          <w:rFonts w:hint="eastAsia"/>
          <w:bCs/>
          <w:szCs w:val="21"/>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E65A2D3" w14:textId="77777777" w:rsidR="00BF38BB" w:rsidRDefault="002837D7">
      <w:pPr>
        <w:spacing w:line="360" w:lineRule="auto"/>
        <w:ind w:firstLineChars="200" w:firstLine="420"/>
        <w:rPr>
          <w:bCs/>
          <w:szCs w:val="21"/>
        </w:rPr>
      </w:pPr>
      <w:r>
        <w:rPr>
          <w:bCs/>
          <w:szCs w:val="21"/>
        </w:rPr>
        <w:t>2</w:t>
      </w:r>
      <w:r>
        <w:rPr>
          <w:bCs/>
          <w:szCs w:val="21"/>
        </w:rPr>
        <w:t>、处于未上市期间的有价证券应区分如下情况处理：</w:t>
      </w:r>
    </w:p>
    <w:p w14:paraId="2C244861" w14:textId="77777777" w:rsidR="00BF38BB" w:rsidRDefault="002837D7">
      <w:pPr>
        <w:spacing w:line="360" w:lineRule="auto"/>
        <w:ind w:firstLineChars="200" w:firstLine="420"/>
        <w:rPr>
          <w:bCs/>
          <w:szCs w:val="21"/>
        </w:rPr>
      </w:pPr>
      <w:r>
        <w:rPr>
          <w:bCs/>
          <w:szCs w:val="21"/>
        </w:rPr>
        <w:t>（</w:t>
      </w:r>
      <w:r>
        <w:rPr>
          <w:bCs/>
          <w:szCs w:val="21"/>
        </w:rPr>
        <w:t>1</w:t>
      </w:r>
      <w:r>
        <w:rPr>
          <w:bCs/>
          <w:szCs w:val="21"/>
        </w:rPr>
        <w:t>）送股、转增股、配股和公开增发的新股，按估值日在证券交易所挂牌的同一股票的估值方法估值；该日无交易的，以最近一日的市价（收盘价）估值；</w:t>
      </w:r>
    </w:p>
    <w:p w14:paraId="06F96EE8" w14:textId="77777777" w:rsidR="00BF38BB" w:rsidRDefault="002837D7">
      <w:pPr>
        <w:spacing w:line="360" w:lineRule="auto"/>
        <w:ind w:firstLineChars="200" w:firstLine="420"/>
        <w:rPr>
          <w:bCs/>
          <w:szCs w:val="21"/>
        </w:rPr>
      </w:pPr>
      <w:r>
        <w:rPr>
          <w:bCs/>
          <w:szCs w:val="21"/>
        </w:rPr>
        <w:t>（</w:t>
      </w:r>
      <w:r>
        <w:rPr>
          <w:bCs/>
          <w:szCs w:val="21"/>
        </w:rPr>
        <w:t>2</w:t>
      </w:r>
      <w:r>
        <w:rPr>
          <w:bCs/>
          <w:szCs w:val="21"/>
        </w:rPr>
        <w:t>）首次公开发行未上市的股票</w:t>
      </w:r>
      <w:r>
        <w:rPr>
          <w:rFonts w:hint="eastAsia"/>
          <w:bCs/>
          <w:szCs w:val="21"/>
        </w:rPr>
        <w:t>、债券</w:t>
      </w:r>
      <w:r>
        <w:rPr>
          <w:bCs/>
          <w:szCs w:val="21"/>
        </w:rPr>
        <w:t>，采用估值技术确定公允价值</w:t>
      </w:r>
      <w:r>
        <w:rPr>
          <w:rFonts w:hint="eastAsia"/>
          <w:bCs/>
          <w:szCs w:val="21"/>
        </w:rPr>
        <w:t>；</w:t>
      </w:r>
    </w:p>
    <w:p w14:paraId="2A208091" w14:textId="77777777" w:rsidR="00BF38BB" w:rsidRDefault="002837D7">
      <w:pPr>
        <w:spacing w:line="360" w:lineRule="auto"/>
        <w:ind w:firstLineChars="200" w:firstLine="420"/>
        <w:rPr>
          <w:bCs/>
          <w:szCs w:val="21"/>
        </w:rPr>
      </w:pPr>
      <w:r>
        <w:rPr>
          <w:bCs/>
          <w:szCs w:val="21"/>
        </w:rPr>
        <w:t>（</w:t>
      </w:r>
      <w:r>
        <w:rPr>
          <w:bCs/>
          <w:szCs w:val="21"/>
        </w:rPr>
        <w:t>3</w:t>
      </w:r>
      <w:r>
        <w:rPr>
          <w:bCs/>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BF0FCB0" w14:textId="77777777" w:rsidR="00BF38BB" w:rsidRDefault="002837D7">
      <w:pPr>
        <w:spacing w:line="360" w:lineRule="auto"/>
        <w:ind w:firstLineChars="200" w:firstLine="420"/>
        <w:rPr>
          <w:bCs/>
          <w:szCs w:val="21"/>
        </w:rPr>
      </w:pPr>
      <w:r>
        <w:rPr>
          <w:bCs/>
          <w:szCs w:val="21"/>
        </w:rPr>
        <w:t>3</w:t>
      </w:r>
      <w:r>
        <w:rPr>
          <w:bCs/>
          <w:szCs w:val="21"/>
        </w:rPr>
        <w:t>、</w:t>
      </w:r>
      <w:r>
        <w:rPr>
          <w:rFonts w:hint="eastAsia"/>
          <w:bCs/>
          <w:szCs w:val="21"/>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银行间市场</w:t>
      </w:r>
      <w:r>
        <w:rPr>
          <w:rFonts w:hint="eastAsia"/>
          <w:bCs/>
          <w:szCs w:val="21"/>
        </w:rPr>
        <w:t>未上市，且第三方估值基准服务机构未提供估值价格的债券，应采用估值技术确定其公允价值。</w:t>
      </w:r>
    </w:p>
    <w:p w14:paraId="271AC6C1"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49479349"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、对于未上市或未挂牌转让且不存在活跃市场的固定收益品种，应采用在当前情况下适用并且有足够可利用数据和其他信息支持的估值技术确定其公允价值。</w:t>
      </w:r>
    </w:p>
    <w:p w14:paraId="59EA21B3"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、本基金投资股指期货、国债期货，一般以估值当日结算</w:t>
      </w:r>
      <w:r>
        <w:rPr>
          <w:rFonts w:hint="eastAsia"/>
          <w:bCs/>
          <w:szCs w:val="21"/>
        </w:rPr>
        <w:t>价进行估值，估值当日无结算价的，且最近交易日后经济环境未发生重大变化的，采用最近交易日结算价估值。</w:t>
      </w:r>
    </w:p>
    <w:p w14:paraId="061BA320" w14:textId="77777777" w:rsidR="00BF38BB" w:rsidRDefault="002837D7">
      <w:pPr>
        <w:spacing w:line="360" w:lineRule="auto"/>
        <w:ind w:firstLineChars="200" w:firstLine="420"/>
        <w:rPr>
          <w:bCs/>
          <w:szCs w:val="21"/>
        </w:rPr>
      </w:pPr>
      <w:r>
        <w:rPr>
          <w:rFonts w:hint="eastAsia"/>
          <w:bCs/>
          <w:szCs w:val="21"/>
        </w:rPr>
        <w:t>本基金投资期权，根据相关法律法规以及监管部门的规定估值。</w:t>
      </w:r>
    </w:p>
    <w:p w14:paraId="6D4DC6F5" w14:textId="77777777" w:rsidR="00BF38BB" w:rsidRDefault="002837D7">
      <w:pPr>
        <w:spacing w:line="360" w:lineRule="auto"/>
        <w:ind w:firstLineChars="200" w:firstLine="420"/>
        <w:rPr>
          <w:bCs/>
          <w:szCs w:val="21"/>
        </w:rPr>
      </w:pPr>
      <w:r>
        <w:rPr>
          <w:bCs/>
          <w:szCs w:val="21"/>
        </w:rPr>
        <w:t>7</w:t>
      </w:r>
      <w:r>
        <w:rPr>
          <w:rFonts w:hint="eastAsia"/>
          <w:bCs/>
          <w:szCs w:val="21"/>
        </w:rPr>
        <w:t>、同一证券同时在两个或两个以上市场交易的，按证券所处的市场分别估值。</w:t>
      </w:r>
    </w:p>
    <w:p w14:paraId="5BD69804" w14:textId="77777777" w:rsidR="00BF38BB" w:rsidRDefault="002837D7">
      <w:pPr>
        <w:spacing w:line="360" w:lineRule="auto"/>
        <w:ind w:firstLineChars="200" w:firstLine="420"/>
        <w:rPr>
          <w:bCs/>
          <w:szCs w:val="21"/>
        </w:rPr>
      </w:pPr>
      <w:r>
        <w:rPr>
          <w:rFonts w:hint="eastAsia"/>
          <w:bCs/>
          <w:szCs w:val="21"/>
        </w:rPr>
        <w:t>8</w:t>
      </w:r>
      <w:r>
        <w:rPr>
          <w:rFonts w:hint="eastAsia"/>
          <w:bCs/>
          <w:szCs w:val="21"/>
        </w:rPr>
        <w:t>、本基金参与融资和转融通证券出借业务的，按照相关法律法规和行业协会的相关规定进行估值。</w:t>
      </w:r>
    </w:p>
    <w:p w14:paraId="5292CAC3" w14:textId="77777777" w:rsidR="00BF38BB" w:rsidRDefault="002837D7">
      <w:pPr>
        <w:spacing w:line="360" w:lineRule="auto"/>
        <w:ind w:firstLineChars="200" w:firstLine="420"/>
        <w:rPr>
          <w:bCs/>
          <w:szCs w:val="21"/>
        </w:rPr>
      </w:pPr>
      <w:r>
        <w:rPr>
          <w:rFonts w:hint="eastAsia"/>
          <w:bCs/>
          <w:szCs w:val="21"/>
        </w:rPr>
        <w:t>9</w:t>
      </w:r>
      <w:r>
        <w:rPr>
          <w:rFonts w:hint="eastAsia"/>
          <w:bCs/>
          <w:szCs w:val="21"/>
        </w:rPr>
        <w:t>、本基金投资同业存单，按估值日第三方估值基准服务机构提供的估值全价估值；选定的第三方估值</w:t>
      </w:r>
      <w:r>
        <w:rPr>
          <w:rFonts w:hint="eastAsia"/>
          <w:bCs/>
          <w:szCs w:val="21"/>
        </w:rPr>
        <w:lastRenderedPageBreak/>
        <w:t>基准服务机构未提供估值价格的，应采用估值技术确定其公允价值。</w:t>
      </w:r>
    </w:p>
    <w:p w14:paraId="64797799" w14:textId="77777777" w:rsidR="00BF38BB" w:rsidRDefault="002837D7">
      <w:pPr>
        <w:spacing w:line="360" w:lineRule="auto"/>
        <w:ind w:firstLineChars="200" w:firstLine="420"/>
        <w:rPr>
          <w:bCs/>
          <w:szCs w:val="21"/>
        </w:rPr>
      </w:pPr>
      <w:r>
        <w:rPr>
          <w:rFonts w:hint="eastAsia"/>
          <w:bCs/>
          <w:szCs w:val="21"/>
        </w:rPr>
        <w:t>10</w:t>
      </w:r>
      <w:r>
        <w:rPr>
          <w:rFonts w:hint="eastAsia"/>
          <w:bCs/>
          <w:szCs w:val="21"/>
        </w:rPr>
        <w:t>、本基金投资存托凭证的估值核算，依照</w:t>
      </w:r>
      <w:r>
        <w:rPr>
          <w:rFonts w:hint="eastAsia"/>
          <w:bCs/>
          <w:szCs w:val="21"/>
        </w:rPr>
        <w:t>国内依法发行上市的股票执行。</w:t>
      </w:r>
    </w:p>
    <w:p w14:paraId="22EE23D7" w14:textId="77777777" w:rsidR="00BF38BB" w:rsidRDefault="002837D7">
      <w:pPr>
        <w:spacing w:line="360" w:lineRule="auto"/>
        <w:ind w:firstLineChars="200" w:firstLine="420"/>
        <w:rPr>
          <w:bCs/>
          <w:szCs w:val="21"/>
        </w:rPr>
      </w:pPr>
      <w:r>
        <w:rPr>
          <w:rFonts w:hint="eastAsia"/>
          <w:bCs/>
          <w:szCs w:val="21"/>
        </w:rPr>
        <w:t>1</w:t>
      </w:r>
      <w:r>
        <w:rPr>
          <w:bCs/>
          <w:szCs w:val="21"/>
        </w:rPr>
        <w:t>1</w:t>
      </w:r>
      <w:r>
        <w:rPr>
          <w:rFonts w:hint="eastAsia"/>
          <w:bCs/>
          <w:szCs w:val="21"/>
        </w:rPr>
        <w:t>、如有确凿证据表明按上述方法进行估值不能客观反映其公允价值的，基金管理人可根据具体情况与基金托管人商定后，按最能反映公允价值的价格估值。</w:t>
      </w:r>
    </w:p>
    <w:p w14:paraId="24E1C13B" w14:textId="77777777" w:rsidR="00BF38BB" w:rsidRDefault="002837D7">
      <w:pPr>
        <w:spacing w:line="360" w:lineRule="auto"/>
        <w:ind w:firstLineChars="200" w:firstLine="420"/>
        <w:rPr>
          <w:bCs/>
          <w:szCs w:val="21"/>
        </w:rPr>
      </w:pPr>
      <w:r>
        <w:rPr>
          <w:rFonts w:hint="eastAsia"/>
          <w:bCs/>
          <w:szCs w:val="21"/>
        </w:rPr>
        <w:t>1</w:t>
      </w:r>
      <w:r>
        <w:rPr>
          <w:bCs/>
          <w:szCs w:val="21"/>
        </w:rPr>
        <w:t>2</w:t>
      </w:r>
      <w:r>
        <w:rPr>
          <w:rFonts w:hint="eastAsia"/>
          <w:bCs/>
          <w:szCs w:val="21"/>
        </w:rPr>
        <w:t>、当发生大额申购或赎回情形时，基金管理人可以采用摆动定价机制，以确保基金估值的公平性。</w:t>
      </w:r>
    </w:p>
    <w:p w14:paraId="03BEAAE9" w14:textId="77777777" w:rsidR="00BF38BB" w:rsidRDefault="002837D7">
      <w:pPr>
        <w:spacing w:line="360" w:lineRule="auto"/>
        <w:ind w:firstLineChars="200" w:firstLine="420"/>
        <w:rPr>
          <w:bCs/>
          <w:szCs w:val="21"/>
        </w:rPr>
      </w:pPr>
      <w:r>
        <w:rPr>
          <w:rFonts w:hint="eastAsia"/>
          <w:bCs/>
          <w:szCs w:val="21"/>
        </w:rPr>
        <w:t>1</w:t>
      </w:r>
      <w:r>
        <w:rPr>
          <w:bCs/>
          <w:szCs w:val="21"/>
        </w:rPr>
        <w:t>3</w:t>
      </w:r>
      <w:r>
        <w:rPr>
          <w:rFonts w:hint="eastAsia"/>
          <w:bCs/>
          <w:szCs w:val="21"/>
        </w:rPr>
        <w:t>、相关法律法规以及监管部门有强制规定的，从其规定。如有新增事项，按国家最新规定估值。</w:t>
      </w:r>
    </w:p>
    <w:p w14:paraId="44AF6225" w14:textId="77777777" w:rsidR="00BF38BB" w:rsidRDefault="002837D7">
      <w:pPr>
        <w:spacing w:line="360" w:lineRule="auto"/>
        <w:ind w:firstLineChars="200" w:firstLine="420"/>
        <w:rPr>
          <w:bCs/>
          <w:szCs w:val="21"/>
        </w:rPr>
      </w:pPr>
      <w:r>
        <w:rPr>
          <w:bCs/>
          <w:szCs w:val="21"/>
        </w:rPr>
        <w:t>如基金管理人或基金托管人发现基金估值违反基金合同订明的估值方法、程序及相关法律法规的规定或者未能充分维护基金份额持有人利益时，应立即通知对方，共同查明原因，双</w:t>
      </w:r>
      <w:r>
        <w:rPr>
          <w:bCs/>
          <w:szCs w:val="21"/>
        </w:rPr>
        <w:t>方协商解决。</w:t>
      </w:r>
    </w:p>
    <w:p w14:paraId="1754F372" w14:textId="77777777" w:rsidR="00BF38BB" w:rsidRDefault="002837D7">
      <w:pPr>
        <w:spacing w:line="360" w:lineRule="auto"/>
        <w:ind w:firstLineChars="200" w:firstLine="420"/>
        <w:rPr>
          <w:bCs/>
          <w:szCs w:val="21"/>
        </w:rPr>
      </w:pPr>
      <w:r>
        <w:rPr>
          <w:rFonts w:hint="eastAsia"/>
          <w:bCs/>
          <w:szCs w:val="21"/>
        </w:rPr>
        <w:t>基金管理人担任本基金的会计责任方，负责本基金净值信息计算和基金会计核算。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基金托管人不承担相应责任</w:t>
      </w:r>
      <w:r>
        <w:rPr>
          <w:bCs/>
          <w:szCs w:val="21"/>
        </w:rPr>
        <w:t>。</w:t>
      </w:r>
    </w:p>
    <w:p w14:paraId="310C1343" w14:textId="77777777" w:rsidR="00BF38BB" w:rsidRDefault="002837D7">
      <w:pPr>
        <w:spacing w:line="360" w:lineRule="auto"/>
        <w:ind w:firstLineChars="200" w:firstLine="420"/>
        <w:rPr>
          <w:bCs/>
          <w:szCs w:val="21"/>
        </w:rPr>
      </w:pPr>
      <w:r>
        <w:rPr>
          <w:rFonts w:hint="eastAsia"/>
          <w:bCs/>
          <w:szCs w:val="21"/>
        </w:rPr>
        <w:t>（五）</w:t>
      </w:r>
      <w:r>
        <w:rPr>
          <w:bCs/>
          <w:szCs w:val="21"/>
        </w:rPr>
        <w:t>估值程序</w:t>
      </w:r>
    </w:p>
    <w:p w14:paraId="374BC9AE" w14:textId="77777777" w:rsidR="00BF38BB" w:rsidRDefault="002837D7">
      <w:pPr>
        <w:spacing w:line="360" w:lineRule="auto"/>
        <w:ind w:firstLineChars="200" w:firstLine="420"/>
        <w:rPr>
          <w:bCs/>
          <w:szCs w:val="21"/>
        </w:rPr>
      </w:pPr>
      <w:r>
        <w:rPr>
          <w:bCs/>
          <w:szCs w:val="21"/>
        </w:rPr>
        <w:t>1</w:t>
      </w:r>
      <w:r>
        <w:rPr>
          <w:bCs/>
          <w:szCs w:val="21"/>
        </w:rPr>
        <w:t>、</w:t>
      </w:r>
      <w:r>
        <w:rPr>
          <w:rFonts w:hint="eastAsia"/>
          <w:bCs/>
          <w:szCs w:val="21"/>
        </w:rPr>
        <w:t>各类基金份额净值是按照每个工作日闭市后，该类基金资产净值除以当日该类基金份额的余额数量计算，精确到</w:t>
      </w:r>
      <w:r>
        <w:rPr>
          <w:rFonts w:hint="eastAsia"/>
          <w:bCs/>
          <w:szCs w:val="21"/>
        </w:rPr>
        <w:t>0.0001</w:t>
      </w:r>
      <w:r>
        <w:rPr>
          <w:rFonts w:hint="eastAsia"/>
          <w:bCs/>
          <w:szCs w:val="21"/>
        </w:rPr>
        <w:t>元，小数点后第</w:t>
      </w:r>
      <w:r>
        <w:rPr>
          <w:rFonts w:hint="eastAsia"/>
          <w:bCs/>
          <w:szCs w:val="21"/>
        </w:rPr>
        <w:t>5</w:t>
      </w:r>
      <w:r>
        <w:rPr>
          <w:rFonts w:hint="eastAsia"/>
          <w:bCs/>
          <w:szCs w:val="21"/>
        </w:rPr>
        <w:t>位四舍五入，由此产生的收益或损失归入基金财产。基金管理人可以设立大额赎回情形下的净值精度应急调整机制。国家另有规定的，从其规定。本基金</w:t>
      </w:r>
      <w:r>
        <w:rPr>
          <w:rFonts w:hint="eastAsia"/>
          <w:bCs/>
          <w:szCs w:val="21"/>
        </w:rPr>
        <w:t>A</w:t>
      </w:r>
      <w:r>
        <w:rPr>
          <w:rFonts w:hint="eastAsia"/>
          <w:bCs/>
          <w:szCs w:val="21"/>
        </w:rPr>
        <w:t>类基金份额和</w:t>
      </w:r>
      <w:r>
        <w:rPr>
          <w:rFonts w:hint="eastAsia"/>
          <w:bCs/>
          <w:szCs w:val="21"/>
        </w:rPr>
        <w:t>C</w:t>
      </w:r>
      <w:r>
        <w:rPr>
          <w:rFonts w:hint="eastAsia"/>
          <w:bCs/>
          <w:szCs w:val="21"/>
        </w:rPr>
        <w:t>类基金份额将分别计算基金份额净值。</w:t>
      </w:r>
    </w:p>
    <w:p w14:paraId="7184F7F7" w14:textId="77777777" w:rsidR="00BF38BB" w:rsidRDefault="002837D7">
      <w:pPr>
        <w:spacing w:line="360" w:lineRule="auto"/>
        <w:ind w:firstLineChars="200" w:firstLine="420"/>
        <w:rPr>
          <w:bCs/>
          <w:szCs w:val="21"/>
        </w:rPr>
      </w:pPr>
      <w:r>
        <w:rPr>
          <w:bCs/>
          <w:szCs w:val="21"/>
        </w:rPr>
        <w:t>2</w:t>
      </w:r>
      <w:r>
        <w:rPr>
          <w:bCs/>
          <w:szCs w:val="21"/>
        </w:rPr>
        <w:t>、</w:t>
      </w:r>
      <w:r>
        <w:rPr>
          <w:rFonts w:hint="eastAsia"/>
          <w:bCs/>
          <w:szCs w:val="21"/>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w:t>
      </w:r>
      <w:r>
        <w:rPr>
          <w:rFonts w:hint="eastAsia"/>
          <w:bCs/>
          <w:szCs w:val="21"/>
        </w:rPr>
        <w:t>基金管理人按照规定对外公布</w:t>
      </w:r>
      <w:r>
        <w:rPr>
          <w:bCs/>
          <w:szCs w:val="21"/>
        </w:rPr>
        <w:t>。</w:t>
      </w:r>
    </w:p>
    <w:p w14:paraId="1529C42E" w14:textId="77777777" w:rsidR="00BF38BB" w:rsidRDefault="002837D7">
      <w:pPr>
        <w:spacing w:line="360" w:lineRule="auto"/>
        <w:ind w:firstLineChars="200" w:firstLine="420"/>
        <w:rPr>
          <w:bCs/>
          <w:szCs w:val="21"/>
        </w:rPr>
      </w:pPr>
      <w:r>
        <w:rPr>
          <w:rFonts w:hint="eastAsia"/>
          <w:bCs/>
          <w:szCs w:val="21"/>
        </w:rPr>
        <w:t>（六）</w:t>
      </w:r>
      <w:r>
        <w:rPr>
          <w:bCs/>
          <w:szCs w:val="21"/>
        </w:rPr>
        <w:t>估值错误的处理</w:t>
      </w:r>
    </w:p>
    <w:p w14:paraId="7E57DF84" w14:textId="77777777" w:rsidR="00BF38BB" w:rsidRDefault="002837D7">
      <w:pPr>
        <w:spacing w:line="360" w:lineRule="auto"/>
        <w:ind w:firstLineChars="200" w:firstLine="420"/>
        <w:rPr>
          <w:bCs/>
          <w:szCs w:val="21"/>
        </w:rPr>
      </w:pPr>
      <w:r>
        <w:rPr>
          <w:rFonts w:hint="eastAsia"/>
          <w:bCs/>
          <w:szCs w:val="21"/>
        </w:rPr>
        <w:t>基金管理人和基金托管人将采取必要、适当、合理的措施确保基金资产估值的准确性、及时性。当任一类别的基金份额净值小数点后</w:t>
      </w:r>
      <w:r>
        <w:rPr>
          <w:rFonts w:hint="eastAsia"/>
          <w:bCs/>
          <w:szCs w:val="21"/>
        </w:rPr>
        <w:t>4</w:t>
      </w:r>
      <w:r>
        <w:rPr>
          <w:rFonts w:hint="eastAsia"/>
          <w:bCs/>
          <w:szCs w:val="21"/>
        </w:rPr>
        <w:t>位以内</w:t>
      </w:r>
      <w:r>
        <w:rPr>
          <w:rFonts w:hint="eastAsia"/>
          <w:bCs/>
          <w:szCs w:val="21"/>
        </w:rPr>
        <w:t>(</w:t>
      </w:r>
      <w:r>
        <w:rPr>
          <w:rFonts w:hint="eastAsia"/>
          <w:bCs/>
          <w:szCs w:val="21"/>
        </w:rPr>
        <w:t>含第</w:t>
      </w:r>
      <w:r>
        <w:rPr>
          <w:rFonts w:hint="eastAsia"/>
          <w:bCs/>
          <w:szCs w:val="21"/>
        </w:rPr>
        <w:t>4</w:t>
      </w:r>
      <w:r>
        <w:rPr>
          <w:rFonts w:hint="eastAsia"/>
          <w:bCs/>
          <w:szCs w:val="21"/>
        </w:rPr>
        <w:t>位</w:t>
      </w:r>
      <w:r>
        <w:rPr>
          <w:rFonts w:hint="eastAsia"/>
          <w:bCs/>
          <w:szCs w:val="21"/>
        </w:rPr>
        <w:t>)</w:t>
      </w:r>
      <w:r>
        <w:rPr>
          <w:rFonts w:hint="eastAsia"/>
          <w:bCs/>
          <w:szCs w:val="21"/>
        </w:rPr>
        <w:t>发生估值错误时，视为该类基金份额净值错误。基金合同的当事人应按照以下约定处理</w:t>
      </w:r>
      <w:r>
        <w:rPr>
          <w:bCs/>
          <w:szCs w:val="21"/>
        </w:rPr>
        <w:t>：</w:t>
      </w:r>
    </w:p>
    <w:p w14:paraId="0C26BDBF" w14:textId="77777777" w:rsidR="00BF38BB" w:rsidRDefault="002837D7">
      <w:pPr>
        <w:spacing w:line="360" w:lineRule="auto"/>
        <w:ind w:firstLineChars="200" w:firstLine="420"/>
        <w:rPr>
          <w:bCs/>
          <w:szCs w:val="21"/>
        </w:rPr>
      </w:pPr>
      <w:r>
        <w:rPr>
          <w:bCs/>
          <w:szCs w:val="21"/>
        </w:rPr>
        <w:t>1</w:t>
      </w:r>
      <w:r>
        <w:rPr>
          <w:bCs/>
          <w:szCs w:val="21"/>
        </w:rPr>
        <w:t>、估值错误类型</w:t>
      </w:r>
    </w:p>
    <w:p w14:paraId="454A065A" w14:textId="77777777" w:rsidR="00BF38BB" w:rsidRDefault="002837D7">
      <w:pPr>
        <w:spacing w:line="360" w:lineRule="auto"/>
        <w:ind w:firstLineChars="200" w:firstLine="420"/>
        <w:rPr>
          <w:bCs/>
          <w:szCs w:val="21"/>
        </w:rPr>
      </w:pPr>
      <w:r>
        <w:rPr>
          <w:bCs/>
          <w:szCs w:val="21"/>
        </w:rPr>
        <w:t>本基金运作过程中，如果由于基金管理人</w:t>
      </w:r>
      <w:r>
        <w:rPr>
          <w:rFonts w:hint="eastAsia"/>
          <w:bCs/>
          <w:szCs w:val="21"/>
        </w:rPr>
        <w:t>，</w:t>
      </w:r>
      <w:r>
        <w:rPr>
          <w:bCs/>
          <w:szCs w:val="21"/>
        </w:rPr>
        <w:t>或基金托管人</w:t>
      </w:r>
      <w:r>
        <w:rPr>
          <w:rFonts w:hint="eastAsia"/>
          <w:bCs/>
          <w:szCs w:val="21"/>
        </w:rPr>
        <w:t>，</w:t>
      </w:r>
      <w:r>
        <w:rPr>
          <w:bCs/>
          <w:szCs w:val="21"/>
        </w:rPr>
        <w:t>或投资人自身的</w:t>
      </w:r>
      <w:r>
        <w:rPr>
          <w:rFonts w:hint="eastAsia"/>
          <w:bCs/>
          <w:szCs w:val="21"/>
        </w:rPr>
        <w:t>原因</w:t>
      </w:r>
      <w:r>
        <w:rPr>
          <w:bCs/>
          <w:szCs w:val="21"/>
        </w:rPr>
        <w:t>造成估值错误，导致其他当事人遭受损失的，责任人应当对由于该估值错误遭受损失当事人</w:t>
      </w:r>
      <w:r>
        <w:rPr>
          <w:bCs/>
          <w:szCs w:val="21"/>
        </w:rPr>
        <w:t>(“</w:t>
      </w:r>
      <w:r>
        <w:rPr>
          <w:bCs/>
          <w:szCs w:val="21"/>
        </w:rPr>
        <w:t>受损方</w:t>
      </w:r>
      <w:r>
        <w:rPr>
          <w:bCs/>
          <w:szCs w:val="21"/>
        </w:rPr>
        <w:t>”)</w:t>
      </w:r>
      <w:r>
        <w:rPr>
          <w:bCs/>
          <w:szCs w:val="21"/>
        </w:rPr>
        <w:t>的直接损失按下述</w:t>
      </w:r>
      <w:r>
        <w:rPr>
          <w:rFonts w:hint="eastAsia"/>
          <w:bCs/>
          <w:szCs w:val="21"/>
        </w:rPr>
        <w:t>“</w:t>
      </w:r>
      <w:r>
        <w:rPr>
          <w:bCs/>
          <w:szCs w:val="21"/>
        </w:rPr>
        <w:t>估值错误处理原则</w:t>
      </w:r>
      <w:r>
        <w:rPr>
          <w:rFonts w:hint="eastAsia"/>
          <w:bCs/>
          <w:szCs w:val="21"/>
        </w:rPr>
        <w:t>”</w:t>
      </w:r>
      <w:r>
        <w:rPr>
          <w:bCs/>
          <w:szCs w:val="21"/>
        </w:rPr>
        <w:t>给予赔偿，承担赔偿责任。</w:t>
      </w:r>
    </w:p>
    <w:p w14:paraId="43E28CDA" w14:textId="77777777" w:rsidR="00BF38BB" w:rsidRDefault="002837D7">
      <w:pPr>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p>
    <w:p w14:paraId="65425F16" w14:textId="77777777" w:rsidR="00BF38BB" w:rsidRDefault="002837D7">
      <w:pPr>
        <w:spacing w:line="360" w:lineRule="auto"/>
        <w:ind w:firstLineChars="200" w:firstLine="420"/>
        <w:rPr>
          <w:bCs/>
          <w:szCs w:val="21"/>
        </w:rPr>
      </w:pPr>
      <w:r>
        <w:rPr>
          <w:bCs/>
          <w:szCs w:val="21"/>
        </w:rPr>
        <w:lastRenderedPageBreak/>
        <w:t>2</w:t>
      </w:r>
      <w:r>
        <w:rPr>
          <w:bCs/>
          <w:szCs w:val="21"/>
        </w:rPr>
        <w:t>、估值错误处理原则</w:t>
      </w:r>
    </w:p>
    <w:p w14:paraId="3E46AB4E" w14:textId="77777777" w:rsidR="00BF38BB" w:rsidRDefault="002837D7">
      <w:pPr>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szCs w:val="21"/>
        </w:rPr>
        <w:t>有协助义务的当事人</w:t>
      </w:r>
      <w:r>
        <w:rPr>
          <w:bCs/>
          <w:szCs w:val="21"/>
        </w:rPr>
        <w:t>应当承担相应赔偿责任。估值错误责任</w:t>
      </w:r>
      <w:r>
        <w:rPr>
          <w:bCs/>
          <w:szCs w:val="21"/>
        </w:rPr>
        <w:t>方应对更正的情况向有关当事人进行确认，确保估值错误已得到更正。</w:t>
      </w:r>
    </w:p>
    <w:p w14:paraId="3826A0C9" w14:textId="77777777" w:rsidR="00BF38BB" w:rsidRDefault="002837D7">
      <w:pPr>
        <w:spacing w:line="360" w:lineRule="auto"/>
        <w:ind w:firstLineChars="200" w:firstLine="420"/>
        <w:rPr>
          <w:bCs/>
          <w:szCs w:val="21"/>
        </w:rPr>
      </w:pPr>
      <w:r>
        <w:rPr>
          <w:bCs/>
          <w:szCs w:val="21"/>
        </w:rPr>
        <w:t>（</w:t>
      </w:r>
      <w:r>
        <w:rPr>
          <w:rFonts w:hint="eastAsia"/>
          <w:bCs/>
          <w:szCs w:val="21"/>
        </w:rPr>
        <w:t>2</w:t>
      </w:r>
      <w:r>
        <w:rPr>
          <w:bCs/>
          <w:szCs w:val="21"/>
        </w:rPr>
        <w:t>）估值错误的责任方对有关当事人的直接损失负责，不对间接损失负责，并且仅对估值错误的有关直接当事人负责，不对第三方负责。</w:t>
      </w:r>
    </w:p>
    <w:p w14:paraId="3CF30381" w14:textId="77777777" w:rsidR="00BF38BB" w:rsidRDefault="002837D7">
      <w:pPr>
        <w:spacing w:line="360" w:lineRule="auto"/>
        <w:ind w:firstLineChars="200" w:firstLine="420"/>
        <w:rPr>
          <w:bCs/>
          <w:szCs w:val="21"/>
        </w:rPr>
      </w:pPr>
      <w:r>
        <w:rPr>
          <w:bCs/>
          <w:szCs w:val="21"/>
        </w:rPr>
        <w:t>（</w:t>
      </w:r>
      <w:r>
        <w:rPr>
          <w:rFonts w:hint="eastAsia"/>
          <w:bCs/>
          <w:szCs w:val="21"/>
        </w:rPr>
        <w:t>3</w:t>
      </w:r>
      <w:r>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w:t>
      </w:r>
      <w:r>
        <w:rPr>
          <w:bCs/>
          <w:szCs w:val="21"/>
        </w:rPr>
        <w:t>利的当事人已经将此部分不当得利返还给受损方，则受损方应当将其已经获得的赔偿额加上已经获得的不当得利返还的总和超过其实际损失的差额部分支付给估值错误责任方。</w:t>
      </w:r>
    </w:p>
    <w:p w14:paraId="51DA4673" w14:textId="77777777" w:rsidR="00BF38BB" w:rsidRDefault="002837D7">
      <w:pPr>
        <w:spacing w:line="360" w:lineRule="auto"/>
        <w:ind w:firstLineChars="200" w:firstLine="420"/>
        <w:rPr>
          <w:bCs/>
          <w:szCs w:val="21"/>
        </w:rPr>
      </w:pPr>
      <w:r>
        <w:rPr>
          <w:bCs/>
          <w:szCs w:val="21"/>
        </w:rPr>
        <w:t>（</w:t>
      </w:r>
      <w:r>
        <w:rPr>
          <w:rFonts w:hint="eastAsia"/>
          <w:bCs/>
          <w:szCs w:val="21"/>
        </w:rPr>
        <w:t>4</w:t>
      </w:r>
      <w:r>
        <w:rPr>
          <w:bCs/>
          <w:szCs w:val="21"/>
        </w:rPr>
        <w:t>）估值错误调整采用尽量恢复至假设未发生估值错误的正确情形的方式。</w:t>
      </w:r>
    </w:p>
    <w:p w14:paraId="3DCD9AC5" w14:textId="77777777" w:rsidR="00BF38BB" w:rsidRDefault="002837D7">
      <w:pPr>
        <w:spacing w:line="360" w:lineRule="auto"/>
        <w:ind w:firstLineChars="200" w:firstLine="420"/>
        <w:rPr>
          <w:bCs/>
          <w:szCs w:val="21"/>
        </w:rPr>
      </w:pPr>
      <w:r>
        <w:rPr>
          <w:bCs/>
          <w:szCs w:val="21"/>
        </w:rPr>
        <w:t>3</w:t>
      </w:r>
      <w:r>
        <w:rPr>
          <w:bCs/>
          <w:szCs w:val="21"/>
        </w:rPr>
        <w:t>、估值错误处理程序</w:t>
      </w:r>
    </w:p>
    <w:p w14:paraId="13B74E1D" w14:textId="77777777" w:rsidR="00BF38BB" w:rsidRDefault="002837D7">
      <w:pPr>
        <w:spacing w:line="360" w:lineRule="auto"/>
        <w:ind w:firstLineChars="200" w:firstLine="420"/>
        <w:rPr>
          <w:bCs/>
          <w:szCs w:val="21"/>
        </w:rPr>
      </w:pPr>
      <w:r>
        <w:rPr>
          <w:bCs/>
          <w:szCs w:val="21"/>
        </w:rPr>
        <w:t>估值错误被发现后，有关的当事人应当及时进行处理，处理的程序如下：</w:t>
      </w:r>
    </w:p>
    <w:p w14:paraId="7A3C5A24" w14:textId="77777777" w:rsidR="00BF38BB" w:rsidRDefault="002837D7">
      <w:pPr>
        <w:spacing w:line="360" w:lineRule="auto"/>
        <w:ind w:firstLineChars="200" w:firstLine="420"/>
        <w:rPr>
          <w:bCs/>
          <w:szCs w:val="21"/>
        </w:rPr>
      </w:pPr>
      <w:r>
        <w:rPr>
          <w:bCs/>
          <w:szCs w:val="21"/>
        </w:rPr>
        <w:t>（</w:t>
      </w:r>
      <w:r>
        <w:rPr>
          <w:bCs/>
          <w:szCs w:val="21"/>
        </w:rPr>
        <w:t>1</w:t>
      </w:r>
      <w:r>
        <w:rPr>
          <w:bCs/>
          <w:szCs w:val="21"/>
        </w:rPr>
        <w:t>）查明估值错误发生的原因，列明所有的当事人，并根据估值错误发生的原因确定估值错误的责任方；</w:t>
      </w:r>
    </w:p>
    <w:p w14:paraId="785B0C56" w14:textId="77777777" w:rsidR="00BF38BB" w:rsidRDefault="002837D7">
      <w:pPr>
        <w:spacing w:line="360" w:lineRule="auto"/>
        <w:ind w:firstLineChars="200" w:firstLine="420"/>
        <w:rPr>
          <w:bCs/>
          <w:szCs w:val="21"/>
        </w:rPr>
      </w:pPr>
      <w:r>
        <w:rPr>
          <w:bCs/>
          <w:szCs w:val="21"/>
        </w:rPr>
        <w:t>（</w:t>
      </w:r>
      <w:r>
        <w:rPr>
          <w:rFonts w:hint="eastAsia"/>
          <w:bCs/>
          <w:szCs w:val="21"/>
        </w:rPr>
        <w:t>2</w:t>
      </w:r>
      <w:r>
        <w:rPr>
          <w:bCs/>
          <w:szCs w:val="21"/>
        </w:rPr>
        <w:t>）根据估值错误处理原则或当事人协商的方法对因估值错误造成的损失进行评估；</w:t>
      </w:r>
    </w:p>
    <w:p w14:paraId="57F549C9" w14:textId="77777777" w:rsidR="00BF38BB" w:rsidRDefault="002837D7">
      <w:pPr>
        <w:spacing w:line="360" w:lineRule="auto"/>
        <w:ind w:firstLineChars="200" w:firstLine="420"/>
        <w:rPr>
          <w:bCs/>
          <w:szCs w:val="21"/>
        </w:rPr>
      </w:pPr>
      <w:r>
        <w:rPr>
          <w:bCs/>
          <w:szCs w:val="21"/>
        </w:rPr>
        <w:t>（</w:t>
      </w:r>
      <w:r>
        <w:rPr>
          <w:rFonts w:hint="eastAsia"/>
          <w:bCs/>
          <w:szCs w:val="21"/>
        </w:rPr>
        <w:t>3</w:t>
      </w:r>
      <w:r>
        <w:rPr>
          <w:bCs/>
          <w:szCs w:val="21"/>
        </w:rPr>
        <w:t>）根据估值错误处理原则或当事人协商的方法由估值错误的责任方进行更正和赔偿损失；</w:t>
      </w:r>
    </w:p>
    <w:p w14:paraId="781C7850" w14:textId="77777777" w:rsidR="00BF38BB" w:rsidRDefault="002837D7">
      <w:pPr>
        <w:spacing w:line="360" w:lineRule="auto"/>
        <w:ind w:firstLineChars="200" w:firstLine="420"/>
        <w:rPr>
          <w:bCs/>
          <w:szCs w:val="21"/>
        </w:rPr>
      </w:pPr>
      <w:r>
        <w:rPr>
          <w:bCs/>
          <w:szCs w:val="21"/>
        </w:rPr>
        <w:t>（</w:t>
      </w:r>
      <w:r>
        <w:rPr>
          <w:rFonts w:hint="eastAsia"/>
          <w:bCs/>
          <w:szCs w:val="21"/>
        </w:rPr>
        <w:t>4</w:t>
      </w:r>
      <w:r>
        <w:rPr>
          <w:bCs/>
          <w:szCs w:val="21"/>
        </w:rPr>
        <w:t>）根据估值错误处理的方法，需要修改基金登记机构交易数据的，由基金登记机构进行更正，并就估值错误的更正向有关当事人进行确认。</w:t>
      </w:r>
    </w:p>
    <w:p w14:paraId="77407C29" w14:textId="77777777" w:rsidR="00BF38BB" w:rsidRDefault="002837D7">
      <w:pPr>
        <w:spacing w:line="360" w:lineRule="auto"/>
        <w:ind w:firstLineChars="200" w:firstLine="420"/>
        <w:rPr>
          <w:bCs/>
          <w:szCs w:val="21"/>
        </w:rPr>
      </w:pPr>
      <w:r>
        <w:rPr>
          <w:bCs/>
          <w:szCs w:val="21"/>
        </w:rPr>
        <w:t>4</w:t>
      </w:r>
      <w:r>
        <w:rPr>
          <w:bCs/>
          <w:szCs w:val="21"/>
        </w:rPr>
        <w:t>、基金份额净值估值错误处理的方法如下：</w:t>
      </w:r>
    </w:p>
    <w:p w14:paraId="7FE82EB2" w14:textId="77777777" w:rsidR="00BF38BB" w:rsidRDefault="002837D7">
      <w:pPr>
        <w:spacing w:line="360" w:lineRule="auto"/>
        <w:ind w:firstLineChars="200" w:firstLine="420"/>
        <w:rPr>
          <w:bCs/>
          <w:szCs w:val="21"/>
        </w:rPr>
      </w:pPr>
      <w:r>
        <w:rPr>
          <w:bCs/>
          <w:szCs w:val="21"/>
        </w:rPr>
        <w:t>（</w:t>
      </w:r>
      <w:r>
        <w:rPr>
          <w:bCs/>
          <w:szCs w:val="21"/>
        </w:rPr>
        <w:t>1</w:t>
      </w:r>
      <w:r>
        <w:rPr>
          <w:bCs/>
          <w:szCs w:val="21"/>
        </w:rPr>
        <w:t>）基金份额净值计算出现错误时，基金管理人</w:t>
      </w:r>
      <w:r>
        <w:rPr>
          <w:rFonts w:hint="eastAsia"/>
          <w:bCs/>
          <w:szCs w:val="21"/>
        </w:rPr>
        <w:t>和基金托管人</w:t>
      </w:r>
      <w:r>
        <w:rPr>
          <w:bCs/>
          <w:szCs w:val="21"/>
        </w:rPr>
        <w:t>应当立即予以纠正，并采取合理的措施防止损失进一步扩大。</w:t>
      </w:r>
    </w:p>
    <w:p w14:paraId="095461F9" w14:textId="77777777" w:rsidR="00BF38BB" w:rsidRDefault="002837D7">
      <w:pPr>
        <w:spacing w:line="360" w:lineRule="auto"/>
        <w:ind w:firstLineChars="200" w:firstLine="420"/>
        <w:rPr>
          <w:bCs/>
          <w:szCs w:val="21"/>
        </w:rPr>
      </w:pPr>
      <w:r>
        <w:rPr>
          <w:bCs/>
          <w:szCs w:val="21"/>
        </w:rPr>
        <w:t>（</w:t>
      </w:r>
      <w:r>
        <w:rPr>
          <w:rFonts w:hint="eastAsia"/>
          <w:bCs/>
          <w:szCs w:val="21"/>
        </w:rPr>
        <w:t>2</w:t>
      </w:r>
      <w:r>
        <w:rPr>
          <w:bCs/>
          <w:szCs w:val="21"/>
        </w:rPr>
        <w:t>）错误偏差达到</w:t>
      </w:r>
      <w:r>
        <w:rPr>
          <w:rFonts w:hint="eastAsia"/>
          <w:bCs/>
          <w:szCs w:val="21"/>
        </w:rPr>
        <w:t>该类</w:t>
      </w:r>
      <w:r>
        <w:rPr>
          <w:bCs/>
          <w:szCs w:val="21"/>
        </w:rPr>
        <w:t>基金份额净值的</w:t>
      </w:r>
      <w:r>
        <w:rPr>
          <w:bCs/>
          <w:szCs w:val="21"/>
        </w:rPr>
        <w:t>0.25%</w:t>
      </w:r>
      <w:r>
        <w:rPr>
          <w:bCs/>
          <w:szCs w:val="21"/>
        </w:rPr>
        <w:t>时，基金管理人应当通报基金托管人并报中国证监会备案；错误偏差达到</w:t>
      </w:r>
      <w:r>
        <w:rPr>
          <w:rFonts w:hint="eastAsia"/>
          <w:bCs/>
          <w:szCs w:val="21"/>
        </w:rPr>
        <w:t>该类</w:t>
      </w:r>
      <w:r>
        <w:rPr>
          <w:bCs/>
          <w:szCs w:val="21"/>
        </w:rPr>
        <w:t>基金份额净值的</w:t>
      </w:r>
      <w:r>
        <w:rPr>
          <w:bCs/>
          <w:szCs w:val="21"/>
        </w:rPr>
        <w:t>0.5%</w:t>
      </w:r>
      <w:r>
        <w:rPr>
          <w:bCs/>
          <w:szCs w:val="21"/>
        </w:rPr>
        <w:t>时，基金管理人</w:t>
      </w:r>
      <w:r>
        <w:rPr>
          <w:bCs/>
          <w:szCs w:val="21"/>
        </w:rPr>
        <w:t>应当公告，通报基金托管人并报中国证监会备案。</w:t>
      </w:r>
    </w:p>
    <w:p w14:paraId="053F31F3" w14:textId="77777777" w:rsidR="00BF38BB" w:rsidRDefault="002837D7">
      <w:pPr>
        <w:spacing w:line="360" w:lineRule="auto"/>
        <w:ind w:firstLineChars="200" w:firstLine="420"/>
        <w:rPr>
          <w:bCs/>
          <w:szCs w:val="21"/>
        </w:rPr>
      </w:pPr>
      <w:r>
        <w:rPr>
          <w:bCs/>
          <w:color w:val="000000"/>
          <w:szCs w:val="21"/>
        </w:rPr>
        <w:t>（</w:t>
      </w:r>
      <w:r>
        <w:rPr>
          <w:bCs/>
          <w:color w:val="000000"/>
          <w:szCs w:val="21"/>
        </w:rPr>
        <w:t>3</w:t>
      </w:r>
      <w:r>
        <w:rPr>
          <w:color w:val="000000"/>
          <w:szCs w:val="21"/>
        </w:rPr>
        <w:t>）</w:t>
      </w:r>
      <w:r>
        <w:rPr>
          <w:bCs/>
          <w:szCs w:val="21"/>
        </w:rPr>
        <w:t>如法律法规或监管机关另有规定的，从其规定处理。</w:t>
      </w:r>
    </w:p>
    <w:p w14:paraId="646BFC5C" w14:textId="77777777" w:rsidR="00BF38BB" w:rsidRDefault="002837D7">
      <w:pPr>
        <w:spacing w:line="360" w:lineRule="auto"/>
        <w:ind w:firstLineChars="200" w:firstLine="420"/>
        <w:rPr>
          <w:bCs/>
          <w:szCs w:val="21"/>
        </w:rPr>
      </w:pPr>
      <w:r>
        <w:rPr>
          <w:rFonts w:hint="eastAsia"/>
          <w:bCs/>
          <w:szCs w:val="21"/>
        </w:rPr>
        <w:lastRenderedPageBreak/>
        <w:t>5</w:t>
      </w:r>
      <w:r>
        <w:rPr>
          <w:rFonts w:hint="eastAsia"/>
          <w:bCs/>
          <w:szCs w:val="21"/>
        </w:rPr>
        <w:t>、特殊情况的处理</w:t>
      </w:r>
    </w:p>
    <w:p w14:paraId="1DBD4165" w14:textId="77777777" w:rsidR="00BF38BB" w:rsidRDefault="002837D7">
      <w:pPr>
        <w:spacing w:line="360" w:lineRule="auto"/>
        <w:ind w:firstLineChars="200" w:firstLine="420"/>
        <w:rPr>
          <w:bCs/>
          <w:szCs w:val="21"/>
        </w:rPr>
      </w:pPr>
      <w:r>
        <w:rPr>
          <w:rFonts w:hint="eastAsia"/>
          <w:bCs/>
          <w:szCs w:val="21"/>
        </w:rPr>
        <w:t>（</w:t>
      </w:r>
      <w:r>
        <w:rPr>
          <w:bCs/>
          <w:szCs w:val="21"/>
        </w:rPr>
        <w:t>1</w:t>
      </w:r>
      <w:r>
        <w:rPr>
          <w:rFonts w:hint="eastAsia"/>
          <w:bCs/>
          <w:szCs w:val="21"/>
        </w:rPr>
        <w:t>）基金管理人或基金托管人按基金合同约定的估值方法进行估值时，所造成的误差不作为基金资产估值错误处理。</w:t>
      </w:r>
    </w:p>
    <w:p w14:paraId="00828FB8" w14:textId="77777777" w:rsidR="00BF38BB" w:rsidRDefault="002837D7">
      <w:pPr>
        <w:spacing w:line="360" w:lineRule="auto"/>
        <w:ind w:firstLineChars="200" w:firstLine="420"/>
        <w:rPr>
          <w:bCs/>
          <w:szCs w:val="21"/>
        </w:rPr>
      </w:pPr>
      <w:r>
        <w:rPr>
          <w:rFonts w:hint="eastAsia"/>
          <w:bCs/>
          <w:szCs w:val="21"/>
        </w:rPr>
        <w:t>（</w:t>
      </w:r>
      <w:r>
        <w:rPr>
          <w:bCs/>
          <w:szCs w:val="21"/>
        </w:rPr>
        <w:t>2</w:t>
      </w:r>
      <w:r>
        <w:rPr>
          <w:rFonts w:hint="eastAsia"/>
          <w:bCs/>
          <w:szCs w:val="21"/>
        </w:rPr>
        <w:t>）由于不可抗力原因，或由于证券、期货交易所、指数编制机构、第三方估值基准服务机构、证券经纪商或证券登记结算机构等发送的数据错误，或国家会计政策、市场规则变更等非基金管理人或基金托管人原因，基金管理人和基金托管人虽然已经采取必要、适当、合理的措施进行检查，仍未能发现错误或因前述原因未</w:t>
      </w:r>
      <w:r>
        <w:rPr>
          <w:rFonts w:hint="eastAsia"/>
          <w:bCs/>
          <w:szCs w:val="21"/>
        </w:rPr>
        <w:t>能避免或更正错误的，由此造成的基金资产估值错误，基金管理人和基金托管人免除赔偿责任，但基金管理人、基金托管人应当积极采取必要的措施减轻或消除由此造成的影响。</w:t>
      </w:r>
    </w:p>
    <w:p w14:paraId="2BD03905" w14:textId="77777777" w:rsidR="00BF38BB" w:rsidRDefault="002837D7">
      <w:pPr>
        <w:spacing w:line="360" w:lineRule="auto"/>
        <w:ind w:firstLineChars="200" w:firstLine="420"/>
        <w:rPr>
          <w:bCs/>
          <w:szCs w:val="21"/>
        </w:rPr>
      </w:pPr>
      <w:r>
        <w:rPr>
          <w:rFonts w:hint="eastAsia"/>
          <w:bCs/>
          <w:szCs w:val="21"/>
        </w:rPr>
        <w:t>（七）</w:t>
      </w:r>
      <w:r>
        <w:rPr>
          <w:bCs/>
          <w:szCs w:val="21"/>
        </w:rPr>
        <w:t>暂停估值的情形</w:t>
      </w:r>
    </w:p>
    <w:p w14:paraId="6E2850FA" w14:textId="77777777" w:rsidR="00BF38BB" w:rsidRDefault="002837D7">
      <w:pPr>
        <w:spacing w:line="360" w:lineRule="auto"/>
        <w:ind w:firstLineChars="200" w:firstLine="420"/>
        <w:rPr>
          <w:bCs/>
          <w:szCs w:val="21"/>
        </w:rPr>
      </w:pPr>
      <w:r>
        <w:rPr>
          <w:bCs/>
          <w:szCs w:val="21"/>
        </w:rPr>
        <w:t>1</w:t>
      </w:r>
      <w:r>
        <w:rPr>
          <w:bCs/>
          <w:szCs w:val="21"/>
        </w:rPr>
        <w:t>、基金投资所涉及的证券</w:t>
      </w:r>
      <w:r>
        <w:rPr>
          <w:rFonts w:hint="eastAsia"/>
          <w:bCs/>
          <w:szCs w:val="21"/>
        </w:rPr>
        <w:t>、</w:t>
      </w:r>
      <w:r>
        <w:rPr>
          <w:bCs/>
          <w:szCs w:val="21"/>
        </w:rPr>
        <w:t>期货交易市场遇法定节假日或因其他原因暂停营业时；</w:t>
      </w:r>
    </w:p>
    <w:p w14:paraId="1BB77C33" w14:textId="77777777" w:rsidR="00BF38BB" w:rsidRDefault="002837D7">
      <w:pPr>
        <w:spacing w:line="360" w:lineRule="auto"/>
        <w:ind w:firstLineChars="200" w:firstLine="420"/>
        <w:rPr>
          <w:bCs/>
          <w:szCs w:val="21"/>
        </w:rPr>
      </w:pPr>
      <w:r>
        <w:rPr>
          <w:bCs/>
          <w:szCs w:val="21"/>
        </w:rPr>
        <w:t>2</w:t>
      </w:r>
      <w:r>
        <w:rPr>
          <w:bCs/>
          <w:szCs w:val="21"/>
        </w:rPr>
        <w:t>、因不可抗力致使基金管理人、基金托管人无法准确评估基金资产价值时；</w:t>
      </w:r>
    </w:p>
    <w:p w14:paraId="692465A6"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、当特定资产占前一估值日基金资产净值</w:t>
      </w:r>
      <w:r>
        <w:rPr>
          <w:rFonts w:hint="eastAsia"/>
          <w:bCs/>
          <w:szCs w:val="21"/>
        </w:rPr>
        <w:t>50%</w:t>
      </w:r>
      <w:r>
        <w:rPr>
          <w:rFonts w:hint="eastAsia"/>
          <w:bCs/>
          <w:szCs w:val="21"/>
        </w:rPr>
        <w:t>以上的，经与基金托管人协商确认后，基金管理人应当暂停估值；</w:t>
      </w:r>
    </w:p>
    <w:p w14:paraId="345C8931" w14:textId="77777777" w:rsidR="00BF38BB" w:rsidRDefault="002837D7">
      <w:pPr>
        <w:spacing w:line="360" w:lineRule="auto"/>
        <w:ind w:firstLineChars="200" w:firstLine="420"/>
        <w:rPr>
          <w:bCs/>
          <w:szCs w:val="21"/>
        </w:rPr>
      </w:pPr>
      <w:r>
        <w:rPr>
          <w:rFonts w:hint="eastAsia"/>
          <w:bCs/>
          <w:szCs w:val="21"/>
        </w:rPr>
        <w:t>4</w:t>
      </w:r>
      <w:r>
        <w:rPr>
          <w:bCs/>
          <w:szCs w:val="21"/>
        </w:rPr>
        <w:t>、法律法规</w:t>
      </w:r>
      <w:r>
        <w:rPr>
          <w:rFonts w:hint="eastAsia"/>
          <w:bCs/>
          <w:szCs w:val="21"/>
        </w:rPr>
        <w:t>规定、</w:t>
      </w:r>
      <w:r>
        <w:rPr>
          <w:bCs/>
          <w:szCs w:val="21"/>
        </w:rPr>
        <w:t>中国证监会和基金合同认定的其它情形。</w:t>
      </w:r>
    </w:p>
    <w:p w14:paraId="5D07E841" w14:textId="77777777" w:rsidR="00BF38BB" w:rsidRDefault="002837D7">
      <w:pPr>
        <w:spacing w:line="360" w:lineRule="auto"/>
        <w:ind w:firstLineChars="200" w:firstLine="420"/>
        <w:rPr>
          <w:bCs/>
          <w:szCs w:val="21"/>
        </w:rPr>
      </w:pPr>
      <w:r>
        <w:rPr>
          <w:rFonts w:hint="eastAsia"/>
          <w:bCs/>
          <w:szCs w:val="21"/>
        </w:rPr>
        <w:t>（八）</w:t>
      </w:r>
      <w:r>
        <w:rPr>
          <w:bCs/>
          <w:szCs w:val="21"/>
        </w:rPr>
        <w:t>基金净值的确认</w:t>
      </w:r>
    </w:p>
    <w:p w14:paraId="1365DC15" w14:textId="77777777" w:rsidR="00BF38BB" w:rsidRDefault="002837D7">
      <w:pPr>
        <w:spacing w:line="360" w:lineRule="auto"/>
        <w:ind w:firstLineChars="200" w:firstLine="420"/>
        <w:rPr>
          <w:bCs/>
          <w:szCs w:val="21"/>
        </w:rPr>
      </w:pPr>
      <w:r>
        <w:rPr>
          <w:bCs/>
          <w:szCs w:val="21"/>
        </w:rPr>
        <w:t>基金资产净值和</w:t>
      </w:r>
      <w:r>
        <w:rPr>
          <w:rFonts w:hint="eastAsia"/>
          <w:bCs/>
          <w:szCs w:val="21"/>
        </w:rPr>
        <w:t>各类</w:t>
      </w:r>
      <w:r>
        <w:rPr>
          <w:bCs/>
          <w:szCs w:val="21"/>
        </w:rPr>
        <w:t>基金份额净值由基金管理人负责计算，基金托管人负责进行复核。基金管理人应于每个</w:t>
      </w:r>
      <w:r>
        <w:rPr>
          <w:rFonts w:hint="eastAsia"/>
          <w:bCs/>
          <w:szCs w:val="21"/>
        </w:rPr>
        <w:t>工作日</w:t>
      </w:r>
      <w:r>
        <w:rPr>
          <w:bCs/>
          <w:szCs w:val="21"/>
        </w:rPr>
        <w:t>交易结束后计算当日的基金资产净值和</w:t>
      </w:r>
      <w:r>
        <w:rPr>
          <w:rFonts w:hint="eastAsia"/>
          <w:bCs/>
          <w:szCs w:val="21"/>
        </w:rPr>
        <w:t>各类</w:t>
      </w:r>
      <w:r>
        <w:rPr>
          <w:bCs/>
          <w:szCs w:val="21"/>
        </w:rPr>
        <w:t>基金份额净值并发送给基金托管人。基金托管人对净值计算结果复核确认后发送给基金管理人，由基金管理人按照</w:t>
      </w:r>
      <w:r>
        <w:rPr>
          <w:rFonts w:hint="eastAsia"/>
          <w:bCs/>
          <w:szCs w:val="21"/>
        </w:rPr>
        <w:t>《信息披露办法》的规定进行披露</w:t>
      </w:r>
      <w:r>
        <w:rPr>
          <w:bCs/>
          <w:szCs w:val="21"/>
        </w:rPr>
        <w:t>。</w:t>
      </w:r>
    </w:p>
    <w:p w14:paraId="45B8DCA2" w14:textId="77777777" w:rsidR="00BF38BB" w:rsidRDefault="002837D7">
      <w:pPr>
        <w:spacing w:line="360" w:lineRule="auto"/>
        <w:ind w:firstLineChars="200" w:firstLine="420"/>
        <w:rPr>
          <w:bCs/>
          <w:szCs w:val="21"/>
        </w:rPr>
      </w:pPr>
      <w:r>
        <w:rPr>
          <w:rFonts w:hint="eastAsia"/>
          <w:bCs/>
          <w:szCs w:val="21"/>
        </w:rPr>
        <w:t>（九）实施侧袋机制期间的基金资产估值</w:t>
      </w:r>
    </w:p>
    <w:p w14:paraId="5FF505DF" w14:textId="77777777" w:rsidR="00BF38BB" w:rsidRDefault="002837D7">
      <w:pPr>
        <w:spacing w:line="360" w:lineRule="auto"/>
        <w:ind w:firstLineChars="200" w:firstLine="420"/>
        <w:rPr>
          <w:bCs/>
          <w:szCs w:val="21"/>
        </w:rPr>
      </w:pPr>
      <w:r>
        <w:rPr>
          <w:rFonts w:hint="eastAsia"/>
          <w:bCs/>
          <w:szCs w:val="21"/>
        </w:rPr>
        <w:t>本基金实施侧袋机制的，应根据本部分的约定对主袋账户资产进行估值并披露主袋账户的基金净值信息，暂停披露侧袋账户的基金净值信息。</w:t>
      </w:r>
    </w:p>
    <w:p w14:paraId="55EF1FBE"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89" w:name="_Toc69916737"/>
      <w:r>
        <w:rPr>
          <w:rFonts w:hAnsi="宋体"/>
          <w:color w:val="auto"/>
          <w:kern w:val="44"/>
          <w:sz w:val="21"/>
        </w:rPr>
        <w:lastRenderedPageBreak/>
        <w:t>十</w:t>
      </w:r>
      <w:r>
        <w:rPr>
          <w:rFonts w:hAnsi="宋体" w:hint="eastAsia"/>
          <w:color w:val="auto"/>
          <w:kern w:val="44"/>
          <w:sz w:val="21"/>
        </w:rPr>
        <w:t>二</w:t>
      </w:r>
      <w:r>
        <w:rPr>
          <w:rFonts w:hAnsi="宋体"/>
          <w:color w:val="auto"/>
          <w:kern w:val="44"/>
          <w:sz w:val="21"/>
        </w:rPr>
        <w:t>、基金的收益与分配</w:t>
      </w:r>
      <w:bookmarkEnd w:id="86"/>
      <w:bookmarkEnd w:id="87"/>
      <w:bookmarkEnd w:id="88"/>
      <w:bookmarkEnd w:id="89"/>
    </w:p>
    <w:p w14:paraId="51A18CCC" w14:textId="77777777" w:rsidR="00BF38BB" w:rsidRDefault="002837D7">
      <w:pPr>
        <w:spacing w:line="360" w:lineRule="auto"/>
        <w:ind w:firstLineChars="200" w:firstLine="420"/>
        <w:rPr>
          <w:bCs/>
          <w:szCs w:val="21"/>
        </w:rPr>
      </w:pPr>
      <w:bookmarkStart w:id="90" w:name="_Toc334542645"/>
      <w:bookmarkStart w:id="91" w:name="_Toc334542962"/>
      <w:bookmarkStart w:id="92" w:name="_Toc329187123"/>
      <w:r>
        <w:rPr>
          <w:rFonts w:hint="eastAsia"/>
          <w:bCs/>
          <w:szCs w:val="21"/>
        </w:rPr>
        <w:t>（一）</w:t>
      </w:r>
      <w:r>
        <w:rPr>
          <w:bCs/>
          <w:szCs w:val="21"/>
        </w:rPr>
        <w:t>基金利润的构成</w:t>
      </w:r>
    </w:p>
    <w:p w14:paraId="3DA3409B" w14:textId="77777777" w:rsidR="00BF38BB" w:rsidRDefault="002837D7">
      <w:pPr>
        <w:spacing w:line="360" w:lineRule="auto"/>
        <w:ind w:firstLineChars="200"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14:paraId="3AF253A0" w14:textId="77777777" w:rsidR="00BF38BB" w:rsidRDefault="002837D7">
      <w:pPr>
        <w:spacing w:line="360" w:lineRule="auto"/>
        <w:ind w:firstLineChars="200" w:firstLine="420"/>
        <w:rPr>
          <w:bCs/>
          <w:szCs w:val="21"/>
        </w:rPr>
      </w:pPr>
      <w:r>
        <w:rPr>
          <w:rFonts w:hint="eastAsia"/>
          <w:bCs/>
          <w:szCs w:val="21"/>
        </w:rPr>
        <w:t>（二）</w:t>
      </w:r>
      <w:r>
        <w:rPr>
          <w:bCs/>
          <w:szCs w:val="21"/>
        </w:rPr>
        <w:t>基金可供分配利润</w:t>
      </w:r>
    </w:p>
    <w:p w14:paraId="7D7EE861" w14:textId="77777777" w:rsidR="00BF38BB" w:rsidRDefault="002837D7">
      <w:pPr>
        <w:spacing w:line="360" w:lineRule="auto"/>
        <w:ind w:firstLineChars="200" w:firstLine="420"/>
        <w:rPr>
          <w:bCs/>
          <w:szCs w:val="21"/>
        </w:rPr>
      </w:pPr>
      <w:r>
        <w:rPr>
          <w:bCs/>
          <w:szCs w:val="21"/>
        </w:rPr>
        <w:t>基金可供分配利润指截至收益分配基准日基金未分配利润与未分配利润中已实现收益的孰低数。</w:t>
      </w:r>
    </w:p>
    <w:p w14:paraId="08A5C77B" w14:textId="77777777" w:rsidR="00BF38BB" w:rsidRDefault="002837D7">
      <w:pPr>
        <w:spacing w:line="360" w:lineRule="auto"/>
        <w:ind w:firstLineChars="200" w:firstLine="420"/>
        <w:rPr>
          <w:bCs/>
          <w:szCs w:val="21"/>
        </w:rPr>
      </w:pPr>
      <w:r>
        <w:rPr>
          <w:rFonts w:hint="eastAsia"/>
          <w:bCs/>
          <w:szCs w:val="21"/>
        </w:rPr>
        <w:t>（三）</w:t>
      </w:r>
      <w:r>
        <w:rPr>
          <w:bCs/>
          <w:szCs w:val="21"/>
        </w:rPr>
        <w:t>基金收益分配原则</w:t>
      </w:r>
    </w:p>
    <w:p w14:paraId="5AE25F12" w14:textId="77777777" w:rsidR="00BF38BB" w:rsidRDefault="002837D7">
      <w:pPr>
        <w:spacing w:line="360" w:lineRule="auto"/>
        <w:ind w:firstLineChars="200" w:firstLine="420"/>
        <w:rPr>
          <w:bCs/>
          <w:szCs w:val="21"/>
        </w:rPr>
      </w:pPr>
      <w:r>
        <w:rPr>
          <w:bCs/>
          <w:szCs w:val="21"/>
        </w:rPr>
        <w:t>1</w:t>
      </w:r>
      <w:r>
        <w:rPr>
          <w:bCs/>
          <w:szCs w:val="21"/>
        </w:rPr>
        <w:t>、</w:t>
      </w:r>
      <w:r>
        <w:rPr>
          <w:rFonts w:hint="eastAsia"/>
          <w:bCs/>
          <w:szCs w:val="21"/>
        </w:rPr>
        <w:t>在符合有关基金分红条件的前提下，由基金管理人根据实际情况进行收益分配，具体分配方案以公告为准，若基金合同生效不满</w:t>
      </w:r>
      <w:r>
        <w:rPr>
          <w:rFonts w:hint="eastAsia"/>
          <w:bCs/>
          <w:szCs w:val="21"/>
        </w:rPr>
        <w:t>3</w:t>
      </w:r>
      <w:r>
        <w:rPr>
          <w:rFonts w:hint="eastAsia"/>
          <w:bCs/>
          <w:szCs w:val="21"/>
        </w:rPr>
        <w:t>个月可不进行收益分配；</w:t>
      </w:r>
    </w:p>
    <w:p w14:paraId="396627E1" w14:textId="77777777" w:rsidR="00BF38BB" w:rsidRDefault="002837D7">
      <w:pPr>
        <w:spacing w:line="360" w:lineRule="auto"/>
        <w:ind w:firstLineChars="200" w:firstLine="420"/>
        <w:rPr>
          <w:bCs/>
          <w:szCs w:val="21"/>
        </w:rPr>
      </w:pPr>
      <w:r>
        <w:rPr>
          <w:bCs/>
          <w:szCs w:val="21"/>
        </w:rPr>
        <w:t>2</w:t>
      </w:r>
      <w:r>
        <w:rPr>
          <w:bCs/>
          <w:szCs w:val="21"/>
        </w:rPr>
        <w:t>、</w:t>
      </w:r>
      <w:r>
        <w:rPr>
          <w:rFonts w:hint="eastAsia"/>
          <w:bCs/>
          <w:szCs w:val="21"/>
        </w:rPr>
        <w:t>本基金收益分配方式分两种：现金分红与红利再投资，投资者可选择现金红利或将现金红利自动转为相应类</w:t>
      </w:r>
      <w:r>
        <w:rPr>
          <w:rFonts w:hint="eastAsia"/>
          <w:bCs/>
          <w:szCs w:val="21"/>
        </w:rPr>
        <w:t>别的基金份额进行再投资</w:t>
      </w:r>
      <w:r>
        <w:rPr>
          <w:bCs/>
          <w:szCs w:val="21"/>
        </w:rPr>
        <w:t>；</w:t>
      </w:r>
      <w:r>
        <w:rPr>
          <w:rFonts w:hint="eastAsia"/>
          <w:bCs/>
          <w:szCs w:val="21"/>
        </w:rPr>
        <w:t>若投资者不选择，本基金默认的收益分配方式是现金分红；</w:t>
      </w:r>
    </w:p>
    <w:p w14:paraId="1F14C39F" w14:textId="77777777" w:rsidR="00BF38BB" w:rsidRDefault="002837D7">
      <w:pPr>
        <w:spacing w:line="360" w:lineRule="auto"/>
        <w:ind w:firstLineChars="200" w:firstLine="420"/>
        <w:rPr>
          <w:bCs/>
          <w:szCs w:val="21"/>
        </w:rPr>
      </w:pPr>
      <w:r>
        <w:rPr>
          <w:bCs/>
          <w:szCs w:val="21"/>
        </w:rPr>
        <w:t>3</w:t>
      </w:r>
      <w:r>
        <w:rPr>
          <w:bCs/>
          <w:szCs w:val="21"/>
        </w:rPr>
        <w:t>、</w:t>
      </w:r>
      <w:r>
        <w:rPr>
          <w:rFonts w:hint="eastAsia"/>
          <w:bCs/>
          <w:szCs w:val="21"/>
        </w:rPr>
        <w:t>由于基金费用的不同，不同类别的基金份额在收益分配数额方面可能有所不同，基金管理人可对各类别基金份额分别制定收益分配方案。</w:t>
      </w:r>
      <w:r>
        <w:rPr>
          <w:bCs/>
          <w:szCs w:val="21"/>
        </w:rPr>
        <w:t>同一类别内的</w:t>
      </w:r>
      <w:r>
        <w:rPr>
          <w:rFonts w:hint="eastAsia"/>
          <w:bCs/>
          <w:szCs w:val="21"/>
        </w:rPr>
        <w:t>每份基金份额享有同等分配权；</w:t>
      </w:r>
    </w:p>
    <w:p w14:paraId="7AA17F47" w14:textId="77777777" w:rsidR="00BF38BB" w:rsidRDefault="002837D7">
      <w:pPr>
        <w:spacing w:line="360" w:lineRule="auto"/>
        <w:ind w:firstLineChars="200" w:firstLine="420"/>
        <w:rPr>
          <w:bCs/>
          <w:szCs w:val="21"/>
        </w:rPr>
      </w:pPr>
      <w:r>
        <w:rPr>
          <w:bCs/>
          <w:szCs w:val="21"/>
        </w:rPr>
        <w:t>4</w:t>
      </w:r>
      <w:r>
        <w:rPr>
          <w:bCs/>
          <w:szCs w:val="21"/>
        </w:rPr>
        <w:t>、法律法规或监管机关另有规定的，从其规定。</w:t>
      </w:r>
    </w:p>
    <w:p w14:paraId="209CC2CD" w14:textId="77777777" w:rsidR="00BF38BB" w:rsidRDefault="002837D7">
      <w:pPr>
        <w:spacing w:line="360" w:lineRule="auto"/>
        <w:ind w:firstLineChars="200" w:firstLine="420"/>
        <w:rPr>
          <w:bCs/>
          <w:szCs w:val="21"/>
        </w:rPr>
      </w:pPr>
      <w:r>
        <w:rPr>
          <w:rFonts w:hint="eastAsia"/>
          <w:bCs/>
          <w:szCs w:val="21"/>
        </w:rPr>
        <w:t>（四）</w:t>
      </w:r>
      <w:r>
        <w:rPr>
          <w:bCs/>
          <w:szCs w:val="21"/>
        </w:rPr>
        <w:t>收益分配方案</w:t>
      </w:r>
    </w:p>
    <w:p w14:paraId="38E9FDA0" w14:textId="77777777" w:rsidR="00BF38BB" w:rsidRDefault="002837D7">
      <w:pPr>
        <w:spacing w:line="360" w:lineRule="auto"/>
        <w:ind w:firstLineChars="200" w:firstLine="420"/>
        <w:rPr>
          <w:bCs/>
          <w:szCs w:val="21"/>
        </w:rPr>
      </w:pPr>
      <w:r>
        <w:rPr>
          <w:bCs/>
          <w:szCs w:val="21"/>
        </w:rPr>
        <w:t>基金收益分配方案中应载明截至收益分配基准日的可供分配利润、基金收益分配对象、分配时间、分配数额及比例、分配方式等内容。</w:t>
      </w:r>
    </w:p>
    <w:p w14:paraId="03B3C416" w14:textId="77777777" w:rsidR="00BF38BB" w:rsidRDefault="002837D7">
      <w:pPr>
        <w:spacing w:line="360" w:lineRule="auto"/>
        <w:ind w:firstLineChars="200" w:firstLine="420"/>
        <w:rPr>
          <w:bCs/>
          <w:szCs w:val="21"/>
        </w:rPr>
      </w:pPr>
      <w:r>
        <w:rPr>
          <w:rFonts w:hint="eastAsia"/>
          <w:bCs/>
          <w:szCs w:val="21"/>
        </w:rPr>
        <w:t>（五）</w:t>
      </w:r>
      <w:r>
        <w:rPr>
          <w:bCs/>
          <w:szCs w:val="21"/>
        </w:rPr>
        <w:t>收益分配方案的确定、公告与实施</w:t>
      </w:r>
    </w:p>
    <w:p w14:paraId="2276351E" w14:textId="77777777" w:rsidR="00BF38BB" w:rsidRDefault="002837D7">
      <w:pPr>
        <w:spacing w:line="360" w:lineRule="auto"/>
        <w:ind w:firstLineChars="200" w:firstLine="420"/>
        <w:rPr>
          <w:bCs/>
          <w:szCs w:val="21"/>
        </w:rPr>
      </w:pPr>
      <w:r>
        <w:rPr>
          <w:bCs/>
          <w:szCs w:val="21"/>
        </w:rPr>
        <w:t>本基金收益分配方案由基金管理人拟定，并由基金</w:t>
      </w:r>
      <w:r>
        <w:rPr>
          <w:bCs/>
          <w:szCs w:val="21"/>
        </w:rPr>
        <w:t>托管人复核，</w:t>
      </w:r>
      <w:r>
        <w:rPr>
          <w:rFonts w:hint="eastAsia"/>
          <w:bCs/>
          <w:szCs w:val="21"/>
        </w:rPr>
        <w:t>依照《信息披露办法》的有关规定</w:t>
      </w:r>
      <w:r>
        <w:rPr>
          <w:bCs/>
          <w:szCs w:val="21"/>
        </w:rPr>
        <w:t>在规定</w:t>
      </w:r>
      <w:r>
        <w:rPr>
          <w:rFonts w:hint="eastAsia"/>
          <w:bCs/>
          <w:szCs w:val="21"/>
        </w:rPr>
        <w:t>媒介</w:t>
      </w:r>
      <w:r>
        <w:rPr>
          <w:bCs/>
          <w:szCs w:val="21"/>
        </w:rPr>
        <w:t>公告。</w:t>
      </w:r>
    </w:p>
    <w:p w14:paraId="2BE0916C" w14:textId="77777777" w:rsidR="00BF38BB" w:rsidRDefault="002837D7">
      <w:pPr>
        <w:spacing w:line="360" w:lineRule="auto"/>
        <w:ind w:firstLineChars="200" w:firstLine="420"/>
        <w:rPr>
          <w:bCs/>
          <w:szCs w:val="21"/>
        </w:rPr>
      </w:pPr>
      <w:r>
        <w:rPr>
          <w:rFonts w:hint="eastAsia"/>
          <w:bCs/>
          <w:szCs w:val="21"/>
        </w:rPr>
        <w:t>（六）</w:t>
      </w:r>
      <w:r>
        <w:rPr>
          <w:bCs/>
          <w:szCs w:val="21"/>
        </w:rPr>
        <w:t>基金收益分配中发生的费用</w:t>
      </w:r>
    </w:p>
    <w:p w14:paraId="6137A7AF" w14:textId="77777777" w:rsidR="00BF38BB" w:rsidRDefault="002837D7">
      <w:pPr>
        <w:spacing w:line="360" w:lineRule="auto"/>
        <w:ind w:firstLineChars="200" w:firstLine="420"/>
        <w:rPr>
          <w:bCs/>
          <w:szCs w:val="21"/>
        </w:rPr>
      </w:pPr>
      <w:r>
        <w:rPr>
          <w:bCs/>
          <w:szCs w:val="21"/>
        </w:rPr>
        <w:t>基金收益分配时所发生的银行转账或其他手续费用由投资者自行承担。当</w:t>
      </w:r>
      <w:r>
        <w:rPr>
          <w:rFonts w:hint="eastAsia"/>
          <w:bCs/>
          <w:szCs w:val="21"/>
        </w:rPr>
        <w:t>基金份额持有人</w:t>
      </w:r>
      <w:r>
        <w:rPr>
          <w:bCs/>
          <w:szCs w:val="21"/>
        </w:rPr>
        <w:t>的现金红利小于一定金额，不足</w:t>
      </w:r>
      <w:r>
        <w:rPr>
          <w:rFonts w:hint="eastAsia"/>
          <w:bCs/>
          <w:szCs w:val="21"/>
        </w:rPr>
        <w:t>以</w:t>
      </w:r>
      <w:r>
        <w:rPr>
          <w:bCs/>
          <w:szCs w:val="21"/>
        </w:rPr>
        <w:t>支付银行转账或其他手续费用时，基金份额登记机构可将基金份额持有人的现金红利自动转为</w:t>
      </w:r>
      <w:r>
        <w:rPr>
          <w:rFonts w:hint="eastAsia"/>
          <w:bCs/>
          <w:szCs w:val="21"/>
        </w:rPr>
        <w:t>相应</w:t>
      </w:r>
      <w:r>
        <w:rPr>
          <w:bCs/>
          <w:szCs w:val="21"/>
        </w:rPr>
        <w:t>类别的基金份额。红利再投资的计算方法，依照业务规则执行</w:t>
      </w:r>
      <w:r>
        <w:rPr>
          <w:rFonts w:hint="eastAsia"/>
          <w:bCs/>
          <w:szCs w:val="21"/>
        </w:rPr>
        <w:t>。</w:t>
      </w:r>
    </w:p>
    <w:p w14:paraId="2F28E168" w14:textId="77777777" w:rsidR="00BF38BB" w:rsidRDefault="002837D7">
      <w:pPr>
        <w:spacing w:line="360" w:lineRule="auto"/>
        <w:ind w:firstLineChars="200" w:firstLine="420"/>
        <w:rPr>
          <w:bCs/>
          <w:szCs w:val="21"/>
        </w:rPr>
      </w:pPr>
      <w:r>
        <w:rPr>
          <w:rFonts w:hint="eastAsia"/>
          <w:bCs/>
          <w:szCs w:val="21"/>
        </w:rPr>
        <w:t>（七）实施侧袋机制期间的收益分配</w:t>
      </w:r>
    </w:p>
    <w:p w14:paraId="4E5C1DC9" w14:textId="77777777" w:rsidR="00BF38BB" w:rsidRDefault="002837D7">
      <w:pPr>
        <w:spacing w:line="360" w:lineRule="auto"/>
        <w:ind w:firstLineChars="200" w:firstLine="420"/>
        <w:rPr>
          <w:bCs/>
          <w:szCs w:val="21"/>
        </w:rPr>
      </w:pPr>
      <w:r>
        <w:rPr>
          <w:rFonts w:hint="eastAsia"/>
          <w:bCs/>
          <w:szCs w:val="21"/>
        </w:rPr>
        <w:t>本基金实施侧袋机制的，侧袋账户不进行收益分配，详见招募说明书“侧袋机制”章节的规定。</w:t>
      </w:r>
    </w:p>
    <w:p w14:paraId="3EEF7B0A" w14:textId="77777777" w:rsidR="00BF38BB" w:rsidRDefault="00BF38BB">
      <w:pPr>
        <w:spacing w:line="360" w:lineRule="auto"/>
        <w:ind w:firstLineChars="225" w:firstLine="473"/>
        <w:rPr>
          <w:rFonts w:ascii="宋体" w:hAnsi="宋体"/>
        </w:rPr>
      </w:pPr>
    </w:p>
    <w:p w14:paraId="0450125E"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93" w:name="_Toc69916738"/>
      <w:r>
        <w:rPr>
          <w:rFonts w:hAnsi="宋体"/>
          <w:color w:val="auto"/>
          <w:kern w:val="44"/>
          <w:sz w:val="21"/>
        </w:rPr>
        <w:lastRenderedPageBreak/>
        <w:t>十</w:t>
      </w:r>
      <w:r>
        <w:rPr>
          <w:rFonts w:hAnsi="宋体" w:hint="eastAsia"/>
          <w:color w:val="auto"/>
          <w:kern w:val="44"/>
          <w:sz w:val="21"/>
        </w:rPr>
        <w:t>三</w:t>
      </w:r>
      <w:r>
        <w:rPr>
          <w:rFonts w:hAnsi="宋体"/>
          <w:color w:val="auto"/>
          <w:kern w:val="44"/>
          <w:sz w:val="21"/>
        </w:rPr>
        <w:t>、基金的费用与税收</w:t>
      </w:r>
      <w:bookmarkEnd w:id="90"/>
      <w:bookmarkEnd w:id="91"/>
      <w:bookmarkEnd w:id="92"/>
      <w:bookmarkEnd w:id="93"/>
    </w:p>
    <w:p w14:paraId="0EDD4A90" w14:textId="77777777" w:rsidR="00BF38BB" w:rsidRDefault="002837D7">
      <w:pPr>
        <w:spacing w:line="360" w:lineRule="auto"/>
        <w:ind w:firstLineChars="200" w:firstLine="420"/>
        <w:rPr>
          <w:bCs/>
          <w:szCs w:val="21"/>
        </w:rPr>
      </w:pPr>
      <w:r>
        <w:rPr>
          <w:rFonts w:hint="eastAsia"/>
          <w:bCs/>
          <w:szCs w:val="21"/>
        </w:rPr>
        <w:t>（一）</w:t>
      </w:r>
      <w:r>
        <w:rPr>
          <w:bCs/>
          <w:szCs w:val="21"/>
        </w:rPr>
        <w:t>基金费用的种类</w:t>
      </w:r>
    </w:p>
    <w:p w14:paraId="5A822272" w14:textId="77777777" w:rsidR="00BF38BB" w:rsidRDefault="002837D7">
      <w:pPr>
        <w:spacing w:line="360" w:lineRule="auto"/>
        <w:ind w:firstLineChars="200" w:firstLine="420"/>
        <w:rPr>
          <w:bCs/>
          <w:szCs w:val="21"/>
        </w:rPr>
      </w:pPr>
      <w:r>
        <w:rPr>
          <w:bCs/>
          <w:szCs w:val="21"/>
        </w:rPr>
        <w:t>1</w:t>
      </w:r>
      <w:r>
        <w:rPr>
          <w:bCs/>
          <w:szCs w:val="21"/>
        </w:rPr>
        <w:t>、基金管理人的管理费；</w:t>
      </w:r>
    </w:p>
    <w:p w14:paraId="4D7048BA" w14:textId="77777777" w:rsidR="00BF38BB" w:rsidRDefault="002837D7">
      <w:pPr>
        <w:spacing w:line="360" w:lineRule="auto"/>
        <w:ind w:firstLineChars="200" w:firstLine="420"/>
        <w:rPr>
          <w:bCs/>
          <w:szCs w:val="21"/>
        </w:rPr>
      </w:pPr>
      <w:r>
        <w:rPr>
          <w:bCs/>
          <w:szCs w:val="21"/>
        </w:rPr>
        <w:t>2</w:t>
      </w:r>
      <w:r>
        <w:rPr>
          <w:bCs/>
          <w:szCs w:val="21"/>
        </w:rPr>
        <w:t>、基金托管人的托管费；</w:t>
      </w:r>
    </w:p>
    <w:p w14:paraId="67A2F530"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、基金销售服务费；</w:t>
      </w:r>
    </w:p>
    <w:p w14:paraId="71A528AC" w14:textId="77777777" w:rsidR="00BF38BB" w:rsidRDefault="002837D7">
      <w:pPr>
        <w:spacing w:line="360" w:lineRule="auto"/>
        <w:ind w:firstLineChars="200" w:firstLine="420"/>
        <w:rPr>
          <w:bCs/>
          <w:szCs w:val="21"/>
        </w:rPr>
      </w:pPr>
      <w:r>
        <w:rPr>
          <w:bCs/>
          <w:szCs w:val="21"/>
        </w:rPr>
        <w:t>4</w:t>
      </w:r>
      <w:r>
        <w:rPr>
          <w:bCs/>
          <w:szCs w:val="21"/>
        </w:rPr>
        <w:t>、基金合同生效后与基金相关的信息披露费用；</w:t>
      </w:r>
    </w:p>
    <w:p w14:paraId="68164073" w14:textId="77777777" w:rsidR="00BF38BB" w:rsidRDefault="002837D7">
      <w:pPr>
        <w:spacing w:line="360" w:lineRule="auto"/>
        <w:ind w:firstLineChars="200" w:firstLine="420"/>
        <w:rPr>
          <w:bCs/>
          <w:szCs w:val="21"/>
        </w:rPr>
      </w:pPr>
      <w:r>
        <w:rPr>
          <w:bCs/>
          <w:szCs w:val="21"/>
        </w:rPr>
        <w:t>5</w:t>
      </w:r>
      <w:r>
        <w:rPr>
          <w:bCs/>
          <w:szCs w:val="21"/>
        </w:rPr>
        <w:t>、基金合同生效后与基金相关的会计师费、律师费和诉讼费</w:t>
      </w:r>
      <w:r>
        <w:rPr>
          <w:rFonts w:hint="eastAsia"/>
          <w:bCs/>
          <w:szCs w:val="21"/>
        </w:rPr>
        <w:t>或仲裁费</w:t>
      </w:r>
      <w:r>
        <w:rPr>
          <w:bCs/>
          <w:szCs w:val="21"/>
        </w:rPr>
        <w:t>；</w:t>
      </w:r>
    </w:p>
    <w:p w14:paraId="38B36042" w14:textId="77777777" w:rsidR="00BF38BB" w:rsidRDefault="002837D7">
      <w:pPr>
        <w:spacing w:line="360" w:lineRule="auto"/>
        <w:ind w:firstLineChars="200" w:firstLine="420"/>
        <w:rPr>
          <w:bCs/>
          <w:szCs w:val="21"/>
        </w:rPr>
      </w:pPr>
      <w:r>
        <w:rPr>
          <w:bCs/>
          <w:szCs w:val="21"/>
        </w:rPr>
        <w:t>6</w:t>
      </w:r>
      <w:r>
        <w:rPr>
          <w:bCs/>
          <w:szCs w:val="21"/>
        </w:rPr>
        <w:t>、基金份额持有人大会费用；</w:t>
      </w:r>
    </w:p>
    <w:p w14:paraId="54808DB4" w14:textId="77777777" w:rsidR="00BF38BB" w:rsidRDefault="002837D7">
      <w:pPr>
        <w:spacing w:line="360" w:lineRule="auto"/>
        <w:ind w:firstLineChars="200" w:firstLine="420"/>
        <w:rPr>
          <w:bCs/>
          <w:szCs w:val="21"/>
        </w:rPr>
      </w:pPr>
      <w:r>
        <w:rPr>
          <w:bCs/>
          <w:szCs w:val="21"/>
        </w:rPr>
        <w:t>7</w:t>
      </w:r>
      <w:r>
        <w:rPr>
          <w:bCs/>
          <w:szCs w:val="21"/>
        </w:rPr>
        <w:t>、基金的证券</w:t>
      </w:r>
      <w:r>
        <w:rPr>
          <w:rFonts w:hint="eastAsia"/>
          <w:bCs/>
          <w:szCs w:val="21"/>
        </w:rPr>
        <w:t>、</w:t>
      </w:r>
      <w:r>
        <w:rPr>
          <w:bCs/>
          <w:szCs w:val="21"/>
        </w:rPr>
        <w:t>期货等交易费用；</w:t>
      </w:r>
    </w:p>
    <w:p w14:paraId="62C92867" w14:textId="77777777" w:rsidR="00BF38BB" w:rsidRDefault="002837D7">
      <w:pPr>
        <w:spacing w:line="360" w:lineRule="auto"/>
        <w:ind w:firstLineChars="200" w:firstLine="420"/>
        <w:rPr>
          <w:bCs/>
          <w:szCs w:val="21"/>
        </w:rPr>
      </w:pPr>
      <w:r>
        <w:rPr>
          <w:bCs/>
          <w:szCs w:val="21"/>
        </w:rPr>
        <w:t>8</w:t>
      </w:r>
      <w:r>
        <w:rPr>
          <w:bCs/>
          <w:szCs w:val="21"/>
        </w:rPr>
        <w:t>、基金的银行汇划费用；</w:t>
      </w:r>
    </w:p>
    <w:p w14:paraId="5A1FD47A" w14:textId="77777777" w:rsidR="00BF38BB" w:rsidRDefault="002837D7">
      <w:pPr>
        <w:spacing w:line="360" w:lineRule="auto"/>
        <w:ind w:firstLineChars="200" w:firstLine="420"/>
        <w:rPr>
          <w:bCs/>
          <w:szCs w:val="21"/>
        </w:rPr>
      </w:pPr>
      <w:r>
        <w:rPr>
          <w:bCs/>
          <w:szCs w:val="21"/>
        </w:rPr>
        <w:t>9</w:t>
      </w:r>
      <w:r>
        <w:rPr>
          <w:rFonts w:hint="eastAsia"/>
          <w:bCs/>
          <w:szCs w:val="21"/>
        </w:rPr>
        <w:t>、基金的开户费用、账户维护费用；</w:t>
      </w:r>
    </w:p>
    <w:p w14:paraId="12273D17" w14:textId="77777777" w:rsidR="00BF38BB" w:rsidRDefault="002837D7">
      <w:pPr>
        <w:spacing w:line="360" w:lineRule="auto"/>
        <w:ind w:firstLineChars="200" w:firstLine="420"/>
        <w:rPr>
          <w:bCs/>
          <w:szCs w:val="21"/>
        </w:rPr>
      </w:pPr>
      <w:r>
        <w:rPr>
          <w:bCs/>
          <w:szCs w:val="21"/>
        </w:rPr>
        <w:t>10</w:t>
      </w:r>
      <w:r>
        <w:rPr>
          <w:bCs/>
          <w:szCs w:val="21"/>
        </w:rPr>
        <w:t>、按照国家有关规定和基金合同约定，可以在基金财产中列支的其他费用。</w:t>
      </w:r>
    </w:p>
    <w:p w14:paraId="065F5CFF" w14:textId="77777777" w:rsidR="00BF38BB" w:rsidRDefault="002837D7">
      <w:pPr>
        <w:spacing w:line="360" w:lineRule="auto"/>
        <w:ind w:firstLineChars="200" w:firstLine="420"/>
        <w:rPr>
          <w:bCs/>
          <w:szCs w:val="21"/>
        </w:rPr>
      </w:pPr>
      <w:r>
        <w:rPr>
          <w:rFonts w:hint="eastAsia"/>
          <w:bCs/>
          <w:szCs w:val="21"/>
        </w:rPr>
        <w:t>（二）</w:t>
      </w:r>
      <w:r>
        <w:rPr>
          <w:bCs/>
          <w:szCs w:val="21"/>
        </w:rPr>
        <w:t>基金费用计提方法、计提标准和支付方式</w:t>
      </w:r>
    </w:p>
    <w:p w14:paraId="137F5A9C" w14:textId="77777777" w:rsidR="00BF38BB" w:rsidRDefault="002837D7">
      <w:pPr>
        <w:spacing w:line="360" w:lineRule="auto"/>
        <w:ind w:firstLineChars="200" w:firstLine="420"/>
        <w:rPr>
          <w:bCs/>
          <w:szCs w:val="21"/>
        </w:rPr>
      </w:pPr>
      <w:r>
        <w:rPr>
          <w:bCs/>
          <w:szCs w:val="21"/>
        </w:rPr>
        <w:t>1</w:t>
      </w:r>
      <w:r>
        <w:rPr>
          <w:bCs/>
          <w:szCs w:val="21"/>
        </w:rPr>
        <w:t>、基金管理人的管理费</w:t>
      </w:r>
    </w:p>
    <w:p w14:paraId="17C3E073" w14:textId="77777777" w:rsidR="00BF38BB" w:rsidRDefault="002837D7">
      <w:pPr>
        <w:spacing w:line="360" w:lineRule="auto"/>
        <w:ind w:firstLineChars="200" w:firstLine="420"/>
        <w:rPr>
          <w:bCs/>
          <w:color w:val="000000"/>
          <w:szCs w:val="21"/>
        </w:rPr>
      </w:pPr>
      <w:r>
        <w:rPr>
          <w:rFonts w:hint="eastAsia"/>
          <w:bCs/>
          <w:color w:val="000000"/>
          <w:szCs w:val="21"/>
        </w:rPr>
        <w:t>本基金的管理费按前一日基金资产净值的</w:t>
      </w:r>
      <w:r>
        <w:rPr>
          <w:rFonts w:hint="eastAsia"/>
          <w:bCs/>
          <w:color w:val="000000"/>
          <w:szCs w:val="21"/>
        </w:rPr>
        <w:t>0.80%</w:t>
      </w:r>
      <w:r>
        <w:rPr>
          <w:rFonts w:hint="eastAsia"/>
          <w:bCs/>
          <w:color w:val="000000"/>
          <w:szCs w:val="21"/>
        </w:rPr>
        <w:t>年费率计提。管理费的计算方法如下：</w:t>
      </w:r>
    </w:p>
    <w:p w14:paraId="50866415" w14:textId="77777777" w:rsidR="00BF38BB" w:rsidRDefault="002837D7">
      <w:pPr>
        <w:spacing w:line="360" w:lineRule="auto"/>
        <w:ind w:firstLineChars="200" w:firstLine="420"/>
        <w:rPr>
          <w:bCs/>
          <w:color w:val="000000"/>
          <w:szCs w:val="21"/>
        </w:rPr>
      </w:pPr>
      <w:r>
        <w:rPr>
          <w:rFonts w:hint="eastAsia"/>
          <w:bCs/>
          <w:color w:val="000000"/>
          <w:szCs w:val="21"/>
        </w:rPr>
        <w:t>H</w:t>
      </w:r>
      <w:r>
        <w:rPr>
          <w:rFonts w:hint="eastAsia"/>
          <w:bCs/>
          <w:color w:val="000000"/>
          <w:szCs w:val="21"/>
        </w:rPr>
        <w:t>＝</w:t>
      </w:r>
      <w:r>
        <w:rPr>
          <w:rFonts w:hint="eastAsia"/>
          <w:bCs/>
          <w:color w:val="000000"/>
          <w:szCs w:val="21"/>
        </w:rPr>
        <w:t>E</w:t>
      </w:r>
      <w:r>
        <w:rPr>
          <w:rFonts w:hint="eastAsia"/>
          <w:bCs/>
          <w:color w:val="000000"/>
          <w:szCs w:val="21"/>
        </w:rPr>
        <w:t>×</w:t>
      </w:r>
      <w:r>
        <w:rPr>
          <w:rFonts w:hint="eastAsia"/>
          <w:bCs/>
          <w:color w:val="000000"/>
          <w:szCs w:val="21"/>
        </w:rPr>
        <w:t>0.80%</w:t>
      </w:r>
      <w:r>
        <w:rPr>
          <w:rFonts w:hint="eastAsia"/>
          <w:bCs/>
          <w:color w:val="000000"/>
          <w:szCs w:val="21"/>
        </w:rPr>
        <w:t>÷当年天数</w:t>
      </w:r>
    </w:p>
    <w:p w14:paraId="4EBA5E55" w14:textId="77777777" w:rsidR="00BF38BB" w:rsidRDefault="002837D7">
      <w:pPr>
        <w:spacing w:line="360" w:lineRule="auto"/>
        <w:ind w:firstLineChars="200" w:firstLine="420"/>
        <w:rPr>
          <w:bCs/>
          <w:color w:val="000000"/>
          <w:szCs w:val="21"/>
        </w:rPr>
      </w:pPr>
      <w:r>
        <w:rPr>
          <w:rFonts w:hint="eastAsia"/>
          <w:bCs/>
          <w:color w:val="000000"/>
          <w:szCs w:val="21"/>
        </w:rPr>
        <w:t>H</w:t>
      </w:r>
      <w:r>
        <w:rPr>
          <w:rFonts w:hint="eastAsia"/>
          <w:bCs/>
          <w:color w:val="000000"/>
          <w:szCs w:val="21"/>
        </w:rPr>
        <w:t>为每日应计提的基金管理费</w:t>
      </w:r>
    </w:p>
    <w:p w14:paraId="5EC1C183" w14:textId="77777777" w:rsidR="00BF38BB" w:rsidRDefault="002837D7">
      <w:pPr>
        <w:spacing w:line="360" w:lineRule="auto"/>
        <w:ind w:firstLineChars="200" w:firstLine="420"/>
        <w:rPr>
          <w:bCs/>
          <w:color w:val="000000"/>
          <w:szCs w:val="21"/>
        </w:rPr>
      </w:pPr>
      <w:r>
        <w:rPr>
          <w:rFonts w:hint="eastAsia"/>
          <w:bCs/>
          <w:color w:val="000000"/>
          <w:szCs w:val="21"/>
        </w:rPr>
        <w:t>E</w:t>
      </w:r>
      <w:r>
        <w:rPr>
          <w:rFonts w:hint="eastAsia"/>
          <w:bCs/>
          <w:color w:val="000000"/>
          <w:szCs w:val="21"/>
        </w:rPr>
        <w:t>为前一日的基金资产净值</w:t>
      </w:r>
    </w:p>
    <w:p w14:paraId="4A29A83D" w14:textId="77777777" w:rsidR="00BF38BB" w:rsidRDefault="002837D7">
      <w:pPr>
        <w:spacing w:line="360" w:lineRule="auto"/>
        <w:ind w:firstLineChars="200" w:firstLine="420"/>
        <w:rPr>
          <w:szCs w:val="21"/>
        </w:rPr>
      </w:pPr>
      <w:r>
        <w:rPr>
          <w:rFonts w:hint="eastAsia"/>
          <w:bCs/>
          <w:color w:val="000000"/>
          <w:szCs w:val="21"/>
        </w:rPr>
        <w:t>基金管理费每日计提，逐日累计至每月月末，按月支付，由基金托管人根据与基金管理人核对一致的财务数据，自动在次月月初</w:t>
      </w:r>
      <w:r>
        <w:rPr>
          <w:rFonts w:hint="eastAsia"/>
          <w:bCs/>
          <w:color w:val="000000"/>
          <w:szCs w:val="21"/>
        </w:rPr>
        <w:t>5</w:t>
      </w:r>
      <w:r>
        <w:rPr>
          <w:rFonts w:hint="eastAsia"/>
          <w:bCs/>
          <w:color w:val="000000"/>
          <w:szCs w:val="21"/>
        </w:rPr>
        <w:t>个工作日内、按照指定的账户路径进行资金支付，基金管理人无需再出具资金划拨指令。若遇法定节假日、公休日等，顺延至最近可支付日支付。费用自动扣划后，基金管理人应进行核对，如发现数据不符，及时联系基金托管人协商解决</w:t>
      </w:r>
      <w:r>
        <w:rPr>
          <w:rFonts w:hint="eastAsia"/>
          <w:szCs w:val="21"/>
        </w:rPr>
        <w:t>。</w:t>
      </w:r>
    </w:p>
    <w:p w14:paraId="3B280A58" w14:textId="77777777" w:rsidR="00BF38BB" w:rsidRDefault="002837D7">
      <w:pPr>
        <w:spacing w:line="360" w:lineRule="auto"/>
        <w:ind w:firstLineChars="200" w:firstLine="420"/>
        <w:rPr>
          <w:bCs/>
          <w:szCs w:val="21"/>
        </w:rPr>
      </w:pPr>
      <w:r>
        <w:rPr>
          <w:bCs/>
          <w:szCs w:val="21"/>
        </w:rPr>
        <w:t>2</w:t>
      </w:r>
      <w:r>
        <w:rPr>
          <w:bCs/>
          <w:szCs w:val="21"/>
        </w:rPr>
        <w:t>、基金托管人的托管</w:t>
      </w:r>
      <w:r>
        <w:rPr>
          <w:bCs/>
          <w:szCs w:val="21"/>
        </w:rPr>
        <w:t>费</w:t>
      </w:r>
    </w:p>
    <w:p w14:paraId="0A21B82D" w14:textId="77777777" w:rsidR="00BF38BB" w:rsidRDefault="002837D7">
      <w:pPr>
        <w:spacing w:line="360" w:lineRule="auto"/>
        <w:ind w:firstLineChars="200" w:firstLine="420"/>
        <w:rPr>
          <w:bCs/>
          <w:color w:val="000000"/>
          <w:szCs w:val="21"/>
        </w:rPr>
      </w:pPr>
      <w:r>
        <w:rPr>
          <w:rFonts w:hint="eastAsia"/>
          <w:bCs/>
          <w:color w:val="000000"/>
          <w:szCs w:val="21"/>
        </w:rPr>
        <w:t>本基金的托管费按前一日基金资产净值的</w:t>
      </w:r>
      <w:r>
        <w:rPr>
          <w:rFonts w:hint="eastAsia"/>
          <w:bCs/>
          <w:color w:val="000000"/>
          <w:szCs w:val="21"/>
        </w:rPr>
        <w:t>0.15%</w:t>
      </w:r>
      <w:r>
        <w:rPr>
          <w:rFonts w:hint="eastAsia"/>
          <w:bCs/>
          <w:color w:val="000000"/>
          <w:szCs w:val="21"/>
        </w:rPr>
        <w:t>年费率计提。托管费的计算方法如下：</w:t>
      </w:r>
    </w:p>
    <w:p w14:paraId="4AA34088" w14:textId="77777777" w:rsidR="00BF38BB" w:rsidRDefault="002837D7">
      <w:pPr>
        <w:spacing w:line="360" w:lineRule="auto"/>
        <w:ind w:firstLineChars="200" w:firstLine="420"/>
        <w:rPr>
          <w:bCs/>
          <w:color w:val="000000"/>
          <w:szCs w:val="21"/>
        </w:rPr>
      </w:pPr>
      <w:r>
        <w:rPr>
          <w:rFonts w:hint="eastAsia"/>
          <w:bCs/>
          <w:color w:val="000000"/>
          <w:szCs w:val="21"/>
        </w:rPr>
        <w:t>H</w:t>
      </w:r>
      <w:r>
        <w:rPr>
          <w:rFonts w:hint="eastAsia"/>
          <w:bCs/>
          <w:color w:val="000000"/>
          <w:szCs w:val="21"/>
        </w:rPr>
        <w:t>＝</w:t>
      </w:r>
      <w:r>
        <w:rPr>
          <w:rFonts w:hint="eastAsia"/>
          <w:bCs/>
          <w:color w:val="000000"/>
          <w:szCs w:val="21"/>
        </w:rPr>
        <w:t>E</w:t>
      </w:r>
      <w:r>
        <w:rPr>
          <w:rFonts w:hint="eastAsia"/>
          <w:bCs/>
          <w:color w:val="000000"/>
          <w:szCs w:val="21"/>
        </w:rPr>
        <w:t>×</w:t>
      </w:r>
      <w:r>
        <w:rPr>
          <w:rFonts w:hint="eastAsia"/>
          <w:bCs/>
          <w:color w:val="000000"/>
          <w:szCs w:val="21"/>
        </w:rPr>
        <w:t>0.15%</w:t>
      </w:r>
      <w:r>
        <w:rPr>
          <w:rFonts w:hint="eastAsia"/>
          <w:bCs/>
          <w:color w:val="000000"/>
          <w:szCs w:val="21"/>
        </w:rPr>
        <w:t>÷当年天数</w:t>
      </w:r>
    </w:p>
    <w:p w14:paraId="73EF855C" w14:textId="77777777" w:rsidR="00BF38BB" w:rsidRDefault="002837D7">
      <w:pPr>
        <w:spacing w:line="360" w:lineRule="auto"/>
        <w:ind w:firstLineChars="200" w:firstLine="420"/>
        <w:rPr>
          <w:bCs/>
          <w:color w:val="000000"/>
          <w:szCs w:val="21"/>
        </w:rPr>
      </w:pPr>
      <w:r>
        <w:rPr>
          <w:rFonts w:hint="eastAsia"/>
          <w:bCs/>
          <w:color w:val="000000"/>
          <w:szCs w:val="21"/>
        </w:rPr>
        <w:t>H</w:t>
      </w:r>
      <w:r>
        <w:rPr>
          <w:rFonts w:hint="eastAsia"/>
          <w:bCs/>
          <w:color w:val="000000"/>
          <w:szCs w:val="21"/>
        </w:rPr>
        <w:t>为每日应计提的基金托管费</w:t>
      </w:r>
    </w:p>
    <w:p w14:paraId="46DC0019" w14:textId="77777777" w:rsidR="00BF38BB" w:rsidRDefault="002837D7">
      <w:pPr>
        <w:spacing w:line="360" w:lineRule="auto"/>
        <w:ind w:firstLineChars="200" w:firstLine="420"/>
        <w:rPr>
          <w:bCs/>
          <w:color w:val="000000"/>
          <w:szCs w:val="21"/>
        </w:rPr>
      </w:pPr>
      <w:r>
        <w:rPr>
          <w:rFonts w:hint="eastAsia"/>
          <w:bCs/>
          <w:color w:val="000000"/>
          <w:szCs w:val="21"/>
        </w:rPr>
        <w:t>E</w:t>
      </w:r>
      <w:r>
        <w:rPr>
          <w:rFonts w:hint="eastAsia"/>
          <w:bCs/>
          <w:color w:val="000000"/>
          <w:szCs w:val="21"/>
        </w:rPr>
        <w:t>为前一日的基金资产净值</w:t>
      </w:r>
    </w:p>
    <w:p w14:paraId="00FCABA8" w14:textId="77777777" w:rsidR="00BF38BB" w:rsidRDefault="002837D7">
      <w:pPr>
        <w:spacing w:line="360" w:lineRule="auto"/>
        <w:ind w:firstLineChars="200" w:firstLine="420"/>
        <w:rPr>
          <w:szCs w:val="21"/>
        </w:rPr>
      </w:pPr>
      <w:r>
        <w:rPr>
          <w:rFonts w:hint="eastAsia"/>
          <w:bCs/>
          <w:color w:val="000000"/>
          <w:szCs w:val="21"/>
        </w:rPr>
        <w:t>基金托管费每日计提，逐日累计至每月月末，按月支付，由基金托管人根据与基金管理人核对一致的财务数据，自动在次月月初</w:t>
      </w:r>
      <w:r>
        <w:rPr>
          <w:rFonts w:hint="eastAsia"/>
          <w:bCs/>
          <w:color w:val="000000"/>
          <w:szCs w:val="21"/>
        </w:rPr>
        <w:t>5</w:t>
      </w:r>
      <w:r>
        <w:rPr>
          <w:rFonts w:hint="eastAsia"/>
          <w:bCs/>
          <w:color w:val="000000"/>
          <w:szCs w:val="21"/>
        </w:rPr>
        <w:t>个工作日内、按照指定的账户路径进行资金支付，基金管理人无需再出具资金划</w:t>
      </w:r>
      <w:r>
        <w:rPr>
          <w:rFonts w:hint="eastAsia"/>
          <w:bCs/>
          <w:color w:val="000000"/>
          <w:szCs w:val="21"/>
        </w:rPr>
        <w:lastRenderedPageBreak/>
        <w:t>拨指令。若遇法定节假日、公休日等，顺延至最近可支付日支付。费用自动扣划后，基金管理人应进行核对，如发现数据不符，及时联系基金托管人协商解决</w:t>
      </w:r>
      <w:r>
        <w:rPr>
          <w:rFonts w:hint="eastAsia"/>
          <w:szCs w:val="21"/>
        </w:rPr>
        <w:t>。</w:t>
      </w:r>
    </w:p>
    <w:p w14:paraId="78520712"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、基金的销售服</w:t>
      </w:r>
      <w:r>
        <w:rPr>
          <w:rFonts w:hint="eastAsia"/>
          <w:bCs/>
          <w:szCs w:val="21"/>
        </w:rPr>
        <w:t>务费</w:t>
      </w:r>
    </w:p>
    <w:p w14:paraId="7DE642D6" w14:textId="77777777" w:rsidR="00BF38BB" w:rsidRDefault="002837D7">
      <w:pPr>
        <w:spacing w:line="360" w:lineRule="auto"/>
        <w:ind w:firstLineChars="200" w:firstLine="420"/>
        <w:rPr>
          <w:bCs/>
          <w:szCs w:val="21"/>
        </w:rPr>
      </w:pPr>
      <w:r>
        <w:rPr>
          <w:rFonts w:hint="eastAsia"/>
          <w:bCs/>
          <w:szCs w:val="21"/>
        </w:rPr>
        <w:t>本基金</w:t>
      </w:r>
      <w:r>
        <w:rPr>
          <w:rFonts w:hint="eastAsia"/>
          <w:bCs/>
          <w:szCs w:val="21"/>
        </w:rPr>
        <w:t>A</w:t>
      </w:r>
      <w:r>
        <w:rPr>
          <w:rFonts w:hint="eastAsia"/>
          <w:bCs/>
          <w:szCs w:val="21"/>
        </w:rPr>
        <w:t>类基金份额不收取销售服务费，</w:t>
      </w:r>
      <w:r>
        <w:rPr>
          <w:rFonts w:hint="eastAsia"/>
          <w:bCs/>
          <w:szCs w:val="21"/>
        </w:rPr>
        <w:t>C</w:t>
      </w:r>
      <w:r>
        <w:rPr>
          <w:rFonts w:hint="eastAsia"/>
          <w:bCs/>
          <w:szCs w:val="21"/>
        </w:rPr>
        <w:t>类基金份额的销售服务费年费率为</w:t>
      </w:r>
      <w:r>
        <w:rPr>
          <w:rFonts w:hint="eastAsia"/>
          <w:bCs/>
          <w:szCs w:val="21"/>
        </w:rPr>
        <w:t>0.20%</w:t>
      </w:r>
      <w:r>
        <w:rPr>
          <w:rFonts w:hint="eastAsia"/>
          <w:bCs/>
          <w:szCs w:val="21"/>
        </w:rPr>
        <w:t>，按前一日</w:t>
      </w:r>
      <w:r>
        <w:rPr>
          <w:rFonts w:hint="eastAsia"/>
          <w:bCs/>
          <w:szCs w:val="21"/>
        </w:rPr>
        <w:t>C</w:t>
      </w:r>
      <w:r>
        <w:rPr>
          <w:rFonts w:hint="eastAsia"/>
          <w:bCs/>
          <w:szCs w:val="21"/>
        </w:rPr>
        <w:t>类基金份额的基金资产净值的</w:t>
      </w:r>
      <w:r>
        <w:rPr>
          <w:rFonts w:hint="eastAsia"/>
          <w:bCs/>
          <w:szCs w:val="21"/>
        </w:rPr>
        <w:t>0.20%</w:t>
      </w:r>
      <w:r>
        <w:rPr>
          <w:rFonts w:hint="eastAsia"/>
          <w:bCs/>
          <w:szCs w:val="21"/>
        </w:rPr>
        <w:t>年费率计提。</w:t>
      </w:r>
    </w:p>
    <w:p w14:paraId="059EF685" w14:textId="77777777" w:rsidR="00BF38BB" w:rsidRDefault="002837D7">
      <w:pPr>
        <w:spacing w:line="360" w:lineRule="auto"/>
        <w:ind w:firstLineChars="200" w:firstLine="420"/>
        <w:rPr>
          <w:bCs/>
          <w:szCs w:val="21"/>
        </w:rPr>
      </w:pPr>
      <w:r>
        <w:rPr>
          <w:rFonts w:hint="eastAsia"/>
          <w:bCs/>
          <w:szCs w:val="21"/>
        </w:rPr>
        <w:t>销售服务费的计算方法如下：</w:t>
      </w:r>
    </w:p>
    <w:p w14:paraId="3E63F9A6" w14:textId="77777777" w:rsidR="00BF38BB" w:rsidRDefault="002837D7">
      <w:pPr>
        <w:spacing w:line="360" w:lineRule="auto"/>
        <w:ind w:firstLineChars="200" w:firstLine="420"/>
        <w:rPr>
          <w:bCs/>
          <w:szCs w:val="21"/>
        </w:rPr>
      </w:pPr>
      <w:r>
        <w:rPr>
          <w:rFonts w:hint="eastAsia"/>
          <w:bCs/>
          <w:szCs w:val="21"/>
        </w:rPr>
        <w:t>H</w:t>
      </w:r>
      <w:r>
        <w:rPr>
          <w:rFonts w:hint="eastAsia"/>
          <w:bCs/>
          <w:szCs w:val="21"/>
        </w:rPr>
        <w:t>＝</w:t>
      </w:r>
      <w:r>
        <w:rPr>
          <w:rFonts w:hint="eastAsia"/>
          <w:bCs/>
          <w:szCs w:val="21"/>
        </w:rPr>
        <w:t>E</w:t>
      </w:r>
      <w:r>
        <w:rPr>
          <w:rFonts w:hint="eastAsia"/>
          <w:bCs/>
          <w:szCs w:val="21"/>
        </w:rPr>
        <w:t>×</w:t>
      </w:r>
      <w:r>
        <w:rPr>
          <w:rFonts w:hint="eastAsia"/>
          <w:bCs/>
          <w:szCs w:val="21"/>
        </w:rPr>
        <w:t>0.20%</w:t>
      </w:r>
      <w:r>
        <w:rPr>
          <w:rFonts w:hint="eastAsia"/>
          <w:bCs/>
          <w:szCs w:val="21"/>
        </w:rPr>
        <w:t>÷当年天数</w:t>
      </w:r>
    </w:p>
    <w:p w14:paraId="1C6D2B06" w14:textId="77777777" w:rsidR="00BF38BB" w:rsidRDefault="002837D7">
      <w:pPr>
        <w:spacing w:line="360" w:lineRule="auto"/>
        <w:ind w:firstLineChars="200" w:firstLine="420"/>
        <w:rPr>
          <w:bCs/>
          <w:szCs w:val="21"/>
        </w:rPr>
      </w:pPr>
      <w:r>
        <w:rPr>
          <w:rFonts w:hint="eastAsia"/>
          <w:bCs/>
          <w:szCs w:val="21"/>
        </w:rPr>
        <w:t>H</w:t>
      </w:r>
      <w:r>
        <w:rPr>
          <w:rFonts w:hint="eastAsia"/>
          <w:bCs/>
          <w:szCs w:val="21"/>
        </w:rPr>
        <w:t>为</w:t>
      </w:r>
      <w:r>
        <w:rPr>
          <w:rFonts w:hint="eastAsia"/>
          <w:bCs/>
          <w:szCs w:val="21"/>
        </w:rPr>
        <w:t>C</w:t>
      </w:r>
      <w:r>
        <w:rPr>
          <w:rFonts w:hint="eastAsia"/>
          <w:bCs/>
          <w:szCs w:val="21"/>
        </w:rPr>
        <w:t>类基金份额每日应计提的销售服务费</w:t>
      </w:r>
    </w:p>
    <w:p w14:paraId="2318573A" w14:textId="77777777" w:rsidR="00BF38BB" w:rsidRDefault="002837D7">
      <w:pPr>
        <w:spacing w:line="360" w:lineRule="auto"/>
        <w:ind w:firstLineChars="200" w:firstLine="420"/>
        <w:rPr>
          <w:bCs/>
          <w:szCs w:val="21"/>
        </w:rPr>
      </w:pPr>
      <w:r>
        <w:rPr>
          <w:rFonts w:hint="eastAsia"/>
          <w:bCs/>
          <w:szCs w:val="21"/>
        </w:rPr>
        <w:t>E</w:t>
      </w:r>
      <w:r>
        <w:rPr>
          <w:rFonts w:hint="eastAsia"/>
          <w:bCs/>
          <w:szCs w:val="21"/>
        </w:rPr>
        <w:t>为</w:t>
      </w:r>
      <w:r>
        <w:rPr>
          <w:rFonts w:hint="eastAsia"/>
          <w:bCs/>
          <w:szCs w:val="21"/>
        </w:rPr>
        <w:t>C</w:t>
      </w:r>
      <w:r>
        <w:rPr>
          <w:rFonts w:hint="eastAsia"/>
          <w:bCs/>
          <w:szCs w:val="21"/>
        </w:rPr>
        <w:t>类基金份额前一日的基金资产净值</w:t>
      </w:r>
    </w:p>
    <w:p w14:paraId="77D721EF" w14:textId="77777777" w:rsidR="00BF38BB" w:rsidRDefault="002837D7">
      <w:pPr>
        <w:spacing w:line="360" w:lineRule="auto"/>
        <w:ind w:firstLineChars="200" w:firstLine="420"/>
        <w:rPr>
          <w:bCs/>
          <w:szCs w:val="21"/>
        </w:rPr>
      </w:pPr>
      <w:r>
        <w:rPr>
          <w:rFonts w:hint="eastAsia"/>
          <w:bCs/>
          <w:szCs w:val="21"/>
        </w:rPr>
        <w:t>销售服务费每日计提。</w:t>
      </w:r>
    </w:p>
    <w:p w14:paraId="133DD42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）基金管理人处保有的</w:t>
      </w:r>
      <w:r>
        <w:rPr>
          <w:rFonts w:hint="eastAsia"/>
          <w:bCs/>
          <w:szCs w:val="21"/>
        </w:rPr>
        <w:t>C</w:t>
      </w:r>
      <w:r>
        <w:rPr>
          <w:rFonts w:hint="eastAsia"/>
          <w:bCs/>
          <w:szCs w:val="21"/>
        </w:rPr>
        <w:t>类基金份额</w:t>
      </w:r>
    </w:p>
    <w:p w14:paraId="460169AF" w14:textId="77777777" w:rsidR="00BF38BB" w:rsidRDefault="002837D7">
      <w:pPr>
        <w:spacing w:line="360" w:lineRule="auto"/>
        <w:ind w:firstLineChars="200" w:firstLine="420"/>
        <w:rPr>
          <w:bCs/>
          <w:szCs w:val="21"/>
        </w:rPr>
      </w:pPr>
      <w:r>
        <w:rPr>
          <w:rFonts w:hint="eastAsia"/>
          <w:bCs/>
          <w:szCs w:val="21"/>
        </w:rPr>
        <w:t>投资者在基金管理人处保有的</w:t>
      </w:r>
      <w:r>
        <w:rPr>
          <w:rFonts w:hint="eastAsia"/>
          <w:bCs/>
          <w:szCs w:val="21"/>
        </w:rPr>
        <w:t>C</w:t>
      </w:r>
      <w:r>
        <w:rPr>
          <w:rFonts w:hint="eastAsia"/>
          <w:bCs/>
          <w:szCs w:val="21"/>
        </w:rPr>
        <w:t>类基金份额，将先行收取相应的销售服务费，但并不实际支付给相关机构。当投资者赎回或基金合同终止的情形发生时，该部分费用随赎回款或清算款一并返还给投资者。</w:t>
      </w:r>
    </w:p>
    <w:p w14:paraId="3F404646" w14:textId="77777777" w:rsidR="00BF38BB" w:rsidRDefault="002837D7">
      <w:pPr>
        <w:spacing w:line="360" w:lineRule="auto"/>
        <w:ind w:firstLineChars="200" w:firstLine="420"/>
        <w:rPr>
          <w:bCs/>
          <w:szCs w:val="21"/>
        </w:rPr>
      </w:pPr>
      <w:r>
        <w:rPr>
          <w:rFonts w:hint="eastAsia"/>
          <w:bCs/>
          <w:szCs w:val="21"/>
        </w:rPr>
        <w:t>基金销售子公司销售母公司所管理基金的，按照前述要求执行。</w:t>
      </w:r>
    </w:p>
    <w:p w14:paraId="1FD4D44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）其他销售机构处保有的</w:t>
      </w:r>
      <w:r>
        <w:rPr>
          <w:rFonts w:hint="eastAsia"/>
          <w:bCs/>
          <w:szCs w:val="21"/>
        </w:rPr>
        <w:t>C</w:t>
      </w:r>
      <w:r>
        <w:rPr>
          <w:rFonts w:hint="eastAsia"/>
          <w:bCs/>
          <w:szCs w:val="21"/>
        </w:rPr>
        <w:t>类基金份额</w:t>
      </w:r>
    </w:p>
    <w:p w14:paraId="42DF9FE0" w14:textId="77777777" w:rsidR="00BF38BB" w:rsidRDefault="002837D7">
      <w:pPr>
        <w:spacing w:line="360" w:lineRule="auto"/>
        <w:ind w:firstLineChars="200" w:firstLine="420"/>
        <w:rPr>
          <w:bCs/>
          <w:szCs w:val="21"/>
        </w:rPr>
      </w:pPr>
      <w:r>
        <w:rPr>
          <w:rFonts w:hint="eastAsia"/>
          <w:bCs/>
          <w:szCs w:val="21"/>
        </w:rPr>
        <w:t>对于投资者持续持有期限未超过一年（即</w:t>
      </w:r>
      <w:r>
        <w:rPr>
          <w:rFonts w:hint="eastAsia"/>
          <w:bCs/>
          <w:szCs w:val="21"/>
        </w:rPr>
        <w:t>365</w:t>
      </w:r>
      <w:r>
        <w:rPr>
          <w:rFonts w:hint="eastAsia"/>
          <w:bCs/>
          <w:szCs w:val="21"/>
        </w:rPr>
        <w:t>天）的</w:t>
      </w:r>
      <w:r>
        <w:rPr>
          <w:rFonts w:hint="eastAsia"/>
          <w:bCs/>
          <w:szCs w:val="21"/>
        </w:rPr>
        <w:t>C</w:t>
      </w:r>
      <w:r>
        <w:rPr>
          <w:rFonts w:hint="eastAsia"/>
          <w:bCs/>
          <w:szCs w:val="21"/>
        </w:rPr>
        <w:t>类基金份额收取的销售服务费，逐日累计至每月月末，按月支付，由基金托管人于次月月初</w:t>
      </w:r>
      <w:r>
        <w:rPr>
          <w:rFonts w:hint="eastAsia"/>
          <w:bCs/>
          <w:szCs w:val="21"/>
        </w:rPr>
        <w:t>5</w:t>
      </w:r>
      <w:r>
        <w:rPr>
          <w:rFonts w:hint="eastAsia"/>
          <w:bCs/>
          <w:szCs w:val="21"/>
        </w:rPr>
        <w:t>个工作日内按照与基金管理人协商一致的方式从基金财产中一次性支付。若遇法定节假日、休息日或不可抗力等，支</w:t>
      </w:r>
      <w:r>
        <w:rPr>
          <w:rFonts w:hint="eastAsia"/>
          <w:bCs/>
          <w:szCs w:val="21"/>
        </w:rPr>
        <w:t>付日期顺延。费用扣划后，基金管理人应进行核对，如发现数据不符，及时联系基金托管人协商解决。</w:t>
      </w:r>
    </w:p>
    <w:p w14:paraId="18051B2F" w14:textId="77777777" w:rsidR="00BF38BB" w:rsidRDefault="002837D7">
      <w:pPr>
        <w:spacing w:line="360" w:lineRule="auto"/>
        <w:ind w:firstLineChars="200" w:firstLine="420"/>
        <w:rPr>
          <w:bCs/>
          <w:szCs w:val="21"/>
        </w:rPr>
      </w:pPr>
      <w:r>
        <w:rPr>
          <w:rFonts w:hint="eastAsia"/>
          <w:bCs/>
          <w:szCs w:val="21"/>
        </w:rPr>
        <w:t>对于投资者持续持有期限超过一年（即</w:t>
      </w:r>
      <w:r>
        <w:rPr>
          <w:rFonts w:hint="eastAsia"/>
          <w:bCs/>
          <w:szCs w:val="21"/>
        </w:rPr>
        <w:t>365</w:t>
      </w:r>
      <w:r>
        <w:rPr>
          <w:rFonts w:hint="eastAsia"/>
          <w:bCs/>
          <w:szCs w:val="21"/>
        </w:rPr>
        <w:t>天）的</w:t>
      </w:r>
      <w:r>
        <w:rPr>
          <w:rFonts w:hint="eastAsia"/>
          <w:bCs/>
          <w:szCs w:val="21"/>
        </w:rPr>
        <w:t>C</w:t>
      </w:r>
      <w:r>
        <w:rPr>
          <w:rFonts w:hint="eastAsia"/>
          <w:bCs/>
          <w:szCs w:val="21"/>
        </w:rPr>
        <w:t>类基金份额，超过一年后将继续先行收取销售服务费，该部分销售服务费不实际支付给相关机构，当投资者赎回或基金合同终止的情形发生时，该部分费用随赎回款或清算款一并返还给投资者。</w:t>
      </w:r>
    </w:p>
    <w:p w14:paraId="16F0A681" w14:textId="77777777" w:rsidR="00BF38BB" w:rsidRDefault="002837D7">
      <w:pPr>
        <w:spacing w:line="360" w:lineRule="auto"/>
        <w:ind w:firstLineChars="200" w:firstLine="420"/>
        <w:rPr>
          <w:bCs/>
          <w:szCs w:val="21"/>
        </w:rPr>
      </w:pPr>
      <w:r>
        <w:rPr>
          <w:rFonts w:hint="eastAsia"/>
          <w:bCs/>
          <w:szCs w:val="21"/>
        </w:rPr>
        <w:t>销售服务费计提后按规定收取或返还投资者的金额以登记机构的计算结果为准，基金托管人无需复核。</w:t>
      </w:r>
    </w:p>
    <w:p w14:paraId="293060D5" w14:textId="77777777" w:rsidR="00BF38BB" w:rsidRDefault="002837D7">
      <w:pPr>
        <w:spacing w:line="360" w:lineRule="auto"/>
        <w:ind w:firstLineChars="200" w:firstLine="420"/>
        <w:rPr>
          <w:szCs w:val="21"/>
        </w:rPr>
      </w:pPr>
      <w:r>
        <w:rPr>
          <w:rFonts w:hint="eastAsia"/>
          <w:bCs/>
          <w:szCs w:val="21"/>
        </w:rPr>
        <w:t>在不违反法律法规、基金合同的约定的情况下，基金管理人可根据基金实际运作情况和市场环境变化，经履行适当程序后，</w:t>
      </w:r>
      <w:r>
        <w:rPr>
          <w:rFonts w:hint="eastAsia"/>
          <w:bCs/>
          <w:szCs w:val="21"/>
        </w:rPr>
        <w:t>对本基金的销售服务费的计提或收取方式进行调整，无需召开基金份额持有人大会</w:t>
      </w:r>
      <w:r>
        <w:rPr>
          <w:rFonts w:hint="eastAsia"/>
          <w:szCs w:val="21"/>
        </w:rPr>
        <w:t>。</w:t>
      </w:r>
    </w:p>
    <w:p w14:paraId="3FFF872C"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w:t>
      </w:r>
      <w:r>
        <w:rPr>
          <w:bCs/>
          <w:szCs w:val="21"/>
        </w:rPr>
        <w:t>上述</w:t>
      </w:r>
      <w:r>
        <w:rPr>
          <w:bCs/>
          <w:szCs w:val="21"/>
        </w:rPr>
        <w:t>“</w:t>
      </w:r>
      <w:r>
        <w:rPr>
          <w:rFonts w:hint="eastAsia"/>
          <w:bCs/>
          <w:szCs w:val="21"/>
        </w:rPr>
        <w:t>（一）</w:t>
      </w:r>
      <w:r>
        <w:rPr>
          <w:bCs/>
          <w:szCs w:val="21"/>
        </w:rPr>
        <w:t>基金费用的种类</w:t>
      </w:r>
      <w:r>
        <w:rPr>
          <w:rFonts w:hint="eastAsia"/>
          <w:bCs/>
          <w:szCs w:val="21"/>
        </w:rPr>
        <w:t>”</w:t>
      </w:r>
      <w:r>
        <w:rPr>
          <w:bCs/>
          <w:szCs w:val="21"/>
        </w:rPr>
        <w:t>中第</w:t>
      </w:r>
      <w:r>
        <w:rPr>
          <w:bCs/>
          <w:szCs w:val="21"/>
        </w:rPr>
        <w:t>4</w:t>
      </w:r>
      <w:r>
        <w:rPr>
          <w:bCs/>
          <w:szCs w:val="21"/>
        </w:rPr>
        <w:t>－</w:t>
      </w:r>
      <w:r>
        <w:rPr>
          <w:bCs/>
          <w:szCs w:val="21"/>
        </w:rPr>
        <w:t>10</w:t>
      </w:r>
      <w:r>
        <w:rPr>
          <w:bCs/>
          <w:szCs w:val="21"/>
        </w:rPr>
        <w:t>项费用，根据有关法规及相应协议规定，按费用实际支出金额列入当期费用，由基金托管人从基金财产中支付。</w:t>
      </w:r>
    </w:p>
    <w:p w14:paraId="48F17AE0" w14:textId="77777777" w:rsidR="00BF38BB" w:rsidRDefault="002837D7">
      <w:pPr>
        <w:spacing w:line="360" w:lineRule="auto"/>
        <w:ind w:firstLineChars="200" w:firstLine="420"/>
        <w:rPr>
          <w:bCs/>
          <w:szCs w:val="21"/>
        </w:rPr>
      </w:pPr>
      <w:r>
        <w:rPr>
          <w:rFonts w:hint="eastAsia"/>
          <w:bCs/>
          <w:szCs w:val="21"/>
        </w:rPr>
        <w:t>（三）</w:t>
      </w:r>
      <w:r>
        <w:rPr>
          <w:bCs/>
          <w:szCs w:val="21"/>
        </w:rPr>
        <w:t>不列入基金费用的项目</w:t>
      </w:r>
    </w:p>
    <w:p w14:paraId="7303BFAF" w14:textId="77777777" w:rsidR="00BF38BB" w:rsidRDefault="002837D7">
      <w:pPr>
        <w:spacing w:line="360" w:lineRule="auto"/>
        <w:ind w:firstLineChars="200" w:firstLine="420"/>
        <w:rPr>
          <w:bCs/>
          <w:szCs w:val="21"/>
        </w:rPr>
      </w:pPr>
      <w:r>
        <w:rPr>
          <w:bCs/>
          <w:szCs w:val="21"/>
        </w:rPr>
        <w:t>下列费用不列入基金费用：</w:t>
      </w:r>
    </w:p>
    <w:p w14:paraId="71DD9462" w14:textId="77777777" w:rsidR="00BF38BB" w:rsidRDefault="002837D7">
      <w:pPr>
        <w:spacing w:line="360" w:lineRule="auto"/>
        <w:ind w:firstLineChars="200" w:firstLine="420"/>
        <w:rPr>
          <w:bCs/>
          <w:szCs w:val="21"/>
        </w:rPr>
      </w:pPr>
      <w:r>
        <w:rPr>
          <w:bCs/>
          <w:szCs w:val="21"/>
        </w:rPr>
        <w:t>1</w:t>
      </w:r>
      <w:r>
        <w:rPr>
          <w:bCs/>
          <w:szCs w:val="21"/>
        </w:rPr>
        <w:t>、基金管理人和基金托管人因未履行或未完全履行义务导致的费用支出或基金财产的损失；</w:t>
      </w:r>
    </w:p>
    <w:p w14:paraId="5C925E86" w14:textId="77777777" w:rsidR="00BF38BB" w:rsidRDefault="002837D7">
      <w:pPr>
        <w:spacing w:line="360" w:lineRule="auto"/>
        <w:ind w:firstLineChars="200" w:firstLine="420"/>
        <w:rPr>
          <w:bCs/>
          <w:szCs w:val="21"/>
        </w:rPr>
      </w:pPr>
      <w:r>
        <w:rPr>
          <w:bCs/>
          <w:szCs w:val="21"/>
        </w:rPr>
        <w:lastRenderedPageBreak/>
        <w:t>2</w:t>
      </w:r>
      <w:r>
        <w:rPr>
          <w:bCs/>
          <w:szCs w:val="21"/>
        </w:rPr>
        <w:t>、基金管理人和基金托管人处理与基金运作无关的事项发生的费用；</w:t>
      </w:r>
    </w:p>
    <w:p w14:paraId="76411C4F" w14:textId="77777777" w:rsidR="00BF38BB" w:rsidRDefault="002837D7">
      <w:pPr>
        <w:spacing w:line="360" w:lineRule="auto"/>
        <w:ind w:firstLineChars="200" w:firstLine="420"/>
        <w:rPr>
          <w:bCs/>
          <w:szCs w:val="21"/>
        </w:rPr>
      </w:pPr>
      <w:r>
        <w:rPr>
          <w:bCs/>
          <w:szCs w:val="21"/>
        </w:rPr>
        <w:t>3</w:t>
      </w:r>
      <w:r>
        <w:rPr>
          <w:bCs/>
          <w:szCs w:val="21"/>
        </w:rPr>
        <w:t>、基金合同生效前的相关费用；</w:t>
      </w:r>
    </w:p>
    <w:p w14:paraId="3AE7F68A" w14:textId="77777777" w:rsidR="00BF38BB" w:rsidRDefault="002837D7">
      <w:pPr>
        <w:spacing w:line="360" w:lineRule="auto"/>
        <w:ind w:firstLineChars="200" w:firstLine="420"/>
        <w:rPr>
          <w:bCs/>
          <w:szCs w:val="21"/>
        </w:rPr>
      </w:pPr>
      <w:r>
        <w:rPr>
          <w:bCs/>
          <w:szCs w:val="21"/>
        </w:rPr>
        <w:t>4</w:t>
      </w:r>
      <w:r>
        <w:rPr>
          <w:bCs/>
          <w:szCs w:val="21"/>
        </w:rPr>
        <w:t>、</w:t>
      </w:r>
      <w:r>
        <w:rPr>
          <w:rFonts w:hint="eastAsia"/>
          <w:bCs/>
          <w:szCs w:val="21"/>
        </w:rPr>
        <w:t>基金的指数许可使用费（该费用由基金管理人承担，不得从基金财产中列支）；</w:t>
      </w:r>
    </w:p>
    <w:p w14:paraId="6FE9DF13" w14:textId="77777777" w:rsidR="00BF38BB" w:rsidRDefault="002837D7">
      <w:pPr>
        <w:spacing w:line="360" w:lineRule="auto"/>
        <w:ind w:firstLineChars="200" w:firstLine="420"/>
        <w:rPr>
          <w:bCs/>
          <w:szCs w:val="21"/>
        </w:rPr>
      </w:pPr>
      <w:r>
        <w:rPr>
          <w:bCs/>
          <w:szCs w:val="21"/>
        </w:rPr>
        <w:t>5</w:t>
      </w:r>
      <w:r>
        <w:rPr>
          <w:rFonts w:hint="eastAsia"/>
          <w:bCs/>
          <w:szCs w:val="21"/>
        </w:rPr>
        <w:t>、</w:t>
      </w:r>
      <w:r>
        <w:rPr>
          <w:bCs/>
          <w:szCs w:val="21"/>
        </w:rPr>
        <w:t>其他根据相关法律法规及中国证监会的有关规定不得列入基金费用的项目。</w:t>
      </w:r>
      <w:bookmarkStart w:id="94" w:name="_Hlt88827255"/>
      <w:bookmarkEnd w:id="94"/>
    </w:p>
    <w:p w14:paraId="7A1FDF06" w14:textId="77777777" w:rsidR="00BF38BB" w:rsidRDefault="002837D7">
      <w:pPr>
        <w:spacing w:line="360" w:lineRule="auto"/>
        <w:ind w:firstLineChars="200" w:firstLine="420"/>
        <w:rPr>
          <w:bCs/>
          <w:szCs w:val="21"/>
        </w:rPr>
      </w:pPr>
      <w:r>
        <w:rPr>
          <w:rFonts w:hint="eastAsia"/>
          <w:bCs/>
          <w:szCs w:val="21"/>
        </w:rPr>
        <w:t>（四）实施侧袋机制期间的基金费用</w:t>
      </w:r>
    </w:p>
    <w:p w14:paraId="33BBE496" w14:textId="77777777" w:rsidR="00BF38BB" w:rsidRDefault="002837D7">
      <w:pPr>
        <w:spacing w:line="360" w:lineRule="auto"/>
        <w:ind w:firstLineChars="200" w:firstLine="420"/>
        <w:rPr>
          <w:bCs/>
          <w:szCs w:val="21"/>
        </w:rPr>
      </w:pPr>
      <w:r>
        <w:rPr>
          <w:rFonts w:hint="eastAsia"/>
          <w:bCs/>
          <w:szCs w:val="21"/>
        </w:rPr>
        <w:t>本基金实施侧袋机制的，与侧袋账户有关的费用可以从侧袋账户中列支，但应待侧袋账户资产变现后方可列支，有关费用可酌情收取或减免，但不得收取管理费，详见招募说明书“侧袋机制”章节的规定。</w:t>
      </w:r>
    </w:p>
    <w:p w14:paraId="4A3D2EA0" w14:textId="77777777" w:rsidR="00BF38BB" w:rsidRDefault="002837D7">
      <w:pPr>
        <w:spacing w:line="360" w:lineRule="auto"/>
        <w:ind w:firstLineChars="200" w:firstLine="420"/>
        <w:rPr>
          <w:bCs/>
          <w:szCs w:val="21"/>
        </w:rPr>
      </w:pPr>
      <w:r>
        <w:rPr>
          <w:rFonts w:hint="eastAsia"/>
          <w:bCs/>
          <w:szCs w:val="21"/>
        </w:rPr>
        <w:t>（五）</w:t>
      </w:r>
      <w:r>
        <w:rPr>
          <w:bCs/>
          <w:szCs w:val="21"/>
        </w:rPr>
        <w:t>基金税收</w:t>
      </w:r>
    </w:p>
    <w:p w14:paraId="28328BB0" w14:textId="77777777" w:rsidR="00BF38BB" w:rsidRDefault="002837D7">
      <w:pPr>
        <w:spacing w:line="360" w:lineRule="auto"/>
        <w:ind w:firstLineChars="200" w:firstLine="420"/>
        <w:rPr>
          <w:bCs/>
          <w:szCs w:val="21"/>
        </w:rPr>
      </w:pPr>
      <w:r>
        <w:rPr>
          <w:bCs/>
          <w:szCs w:val="21"/>
        </w:rPr>
        <w:t>本基金运作过程中涉及的各纳税主体，其纳税义务按国家税收法律、法规执行</w:t>
      </w:r>
      <w:r>
        <w:rPr>
          <w:rFonts w:hint="eastAsia"/>
          <w:bCs/>
          <w:szCs w:val="21"/>
        </w:rPr>
        <w:t>，但本基金运作过程中应缴纳的增值税、附加税费等税费由基金财产承担，按</w:t>
      </w:r>
      <w:r>
        <w:rPr>
          <w:rFonts w:hint="eastAsia"/>
          <w:bCs/>
          <w:szCs w:val="21"/>
        </w:rPr>
        <w:t>照税务机关的要求以基金管理人名义缴纳</w:t>
      </w:r>
      <w:r>
        <w:rPr>
          <w:bCs/>
          <w:szCs w:val="21"/>
        </w:rPr>
        <w:t>。</w:t>
      </w:r>
    </w:p>
    <w:p w14:paraId="3625B76E"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95" w:name="_Toc69916739"/>
      <w:r>
        <w:rPr>
          <w:rFonts w:hAnsi="宋体"/>
          <w:color w:val="auto"/>
          <w:kern w:val="44"/>
          <w:sz w:val="21"/>
        </w:rPr>
        <w:lastRenderedPageBreak/>
        <w:t>十</w:t>
      </w:r>
      <w:r>
        <w:rPr>
          <w:rFonts w:hAnsi="宋体" w:hint="eastAsia"/>
          <w:color w:val="auto"/>
          <w:kern w:val="44"/>
          <w:sz w:val="21"/>
        </w:rPr>
        <w:t>四</w:t>
      </w:r>
      <w:r>
        <w:rPr>
          <w:rFonts w:hAnsi="宋体"/>
          <w:color w:val="auto"/>
          <w:kern w:val="44"/>
          <w:sz w:val="21"/>
        </w:rPr>
        <w:t>、</w:t>
      </w:r>
      <w:bookmarkStart w:id="96" w:name="_Toc329187124"/>
      <w:bookmarkStart w:id="97" w:name="_Toc334542963"/>
      <w:bookmarkStart w:id="98" w:name="_Toc334542647"/>
      <w:r>
        <w:rPr>
          <w:rFonts w:hAnsi="宋体"/>
          <w:color w:val="auto"/>
          <w:kern w:val="44"/>
          <w:sz w:val="21"/>
        </w:rPr>
        <w:t>基金的会计与审计</w:t>
      </w:r>
      <w:bookmarkEnd w:id="95"/>
      <w:bookmarkEnd w:id="96"/>
      <w:bookmarkEnd w:id="97"/>
      <w:bookmarkEnd w:id="98"/>
    </w:p>
    <w:p w14:paraId="5FFABE4B" w14:textId="77777777" w:rsidR="00BF38BB" w:rsidRDefault="002837D7">
      <w:pPr>
        <w:spacing w:line="360" w:lineRule="auto"/>
        <w:ind w:firstLineChars="200" w:firstLine="420"/>
        <w:rPr>
          <w:bCs/>
          <w:szCs w:val="21"/>
        </w:rPr>
      </w:pPr>
      <w:bookmarkStart w:id="99" w:name="_Toc334542648"/>
      <w:bookmarkStart w:id="100" w:name="_Toc334542964"/>
      <w:bookmarkStart w:id="101" w:name="_Toc329187125"/>
      <w:bookmarkStart w:id="102" w:name="OLE_LINK37"/>
      <w:r>
        <w:rPr>
          <w:rFonts w:hint="eastAsia"/>
          <w:bCs/>
          <w:szCs w:val="21"/>
        </w:rPr>
        <w:t>（一）</w:t>
      </w:r>
      <w:r>
        <w:rPr>
          <w:bCs/>
          <w:szCs w:val="21"/>
        </w:rPr>
        <w:t>基金会计政策</w:t>
      </w:r>
    </w:p>
    <w:p w14:paraId="31631A17" w14:textId="77777777" w:rsidR="00BF38BB" w:rsidRDefault="002837D7">
      <w:pPr>
        <w:spacing w:line="360" w:lineRule="auto"/>
        <w:ind w:firstLineChars="200" w:firstLine="420"/>
        <w:rPr>
          <w:bCs/>
          <w:szCs w:val="21"/>
        </w:rPr>
      </w:pPr>
      <w:r>
        <w:rPr>
          <w:bCs/>
          <w:szCs w:val="21"/>
        </w:rPr>
        <w:t>1</w:t>
      </w:r>
      <w:r>
        <w:rPr>
          <w:bCs/>
          <w:szCs w:val="21"/>
        </w:rPr>
        <w:t>、基金管理人为本基金的基金会计责任方；</w:t>
      </w:r>
    </w:p>
    <w:p w14:paraId="41ECABD6" w14:textId="77777777" w:rsidR="00BF38BB" w:rsidRDefault="002837D7">
      <w:pPr>
        <w:spacing w:line="360" w:lineRule="auto"/>
        <w:ind w:firstLineChars="200" w:firstLine="420"/>
        <w:rPr>
          <w:bCs/>
          <w:szCs w:val="21"/>
        </w:rPr>
      </w:pPr>
      <w:r>
        <w:rPr>
          <w:bCs/>
          <w:szCs w:val="21"/>
        </w:rPr>
        <w:t>2</w:t>
      </w:r>
      <w:r>
        <w:rPr>
          <w:bCs/>
          <w:szCs w:val="21"/>
        </w:rPr>
        <w:t>、基金的会计年度为公历年度的</w:t>
      </w:r>
      <w:r>
        <w:rPr>
          <w:bCs/>
          <w:szCs w:val="21"/>
        </w:rPr>
        <w:t>1</w:t>
      </w:r>
      <w:r>
        <w:rPr>
          <w:bCs/>
          <w:szCs w:val="21"/>
        </w:rPr>
        <w:t>月</w:t>
      </w:r>
      <w:r>
        <w:rPr>
          <w:bCs/>
          <w:szCs w:val="21"/>
        </w:rPr>
        <w:t>1</w:t>
      </w:r>
      <w:r>
        <w:rPr>
          <w:bCs/>
          <w:szCs w:val="21"/>
        </w:rPr>
        <w:t>日至</w:t>
      </w:r>
      <w:r>
        <w:rPr>
          <w:bCs/>
          <w:szCs w:val="21"/>
        </w:rPr>
        <w:t>12</w:t>
      </w:r>
      <w:r>
        <w:rPr>
          <w:bCs/>
          <w:szCs w:val="21"/>
        </w:rPr>
        <w:t>月</w:t>
      </w:r>
      <w:r>
        <w:rPr>
          <w:bCs/>
          <w:szCs w:val="21"/>
        </w:rPr>
        <w:t>31</w:t>
      </w:r>
      <w:r>
        <w:rPr>
          <w:bCs/>
          <w:szCs w:val="21"/>
        </w:rPr>
        <w:t>日；</w:t>
      </w:r>
    </w:p>
    <w:p w14:paraId="2F891586" w14:textId="77777777" w:rsidR="00BF38BB" w:rsidRDefault="002837D7">
      <w:pPr>
        <w:spacing w:line="360" w:lineRule="auto"/>
        <w:ind w:firstLineChars="200" w:firstLine="420"/>
        <w:rPr>
          <w:bCs/>
          <w:szCs w:val="21"/>
        </w:rPr>
      </w:pPr>
      <w:r>
        <w:rPr>
          <w:bCs/>
          <w:szCs w:val="21"/>
        </w:rPr>
        <w:t>3</w:t>
      </w:r>
      <w:r>
        <w:rPr>
          <w:bCs/>
          <w:szCs w:val="21"/>
        </w:rPr>
        <w:t>、基金核算以人民币为记账本位币，以人民币元为记账单位；</w:t>
      </w:r>
    </w:p>
    <w:p w14:paraId="390B74EB" w14:textId="77777777" w:rsidR="00BF38BB" w:rsidRDefault="002837D7">
      <w:pPr>
        <w:spacing w:line="360" w:lineRule="auto"/>
        <w:ind w:firstLineChars="200" w:firstLine="420"/>
        <w:rPr>
          <w:bCs/>
          <w:szCs w:val="21"/>
        </w:rPr>
      </w:pPr>
      <w:r>
        <w:rPr>
          <w:bCs/>
          <w:szCs w:val="21"/>
        </w:rPr>
        <w:t>4</w:t>
      </w:r>
      <w:r>
        <w:rPr>
          <w:bCs/>
          <w:szCs w:val="21"/>
        </w:rPr>
        <w:t>、会计制度执行国家有关会计制度；</w:t>
      </w:r>
    </w:p>
    <w:p w14:paraId="079140E7" w14:textId="77777777" w:rsidR="00BF38BB" w:rsidRDefault="002837D7">
      <w:pPr>
        <w:spacing w:line="360" w:lineRule="auto"/>
        <w:ind w:firstLineChars="200" w:firstLine="420"/>
        <w:rPr>
          <w:bCs/>
          <w:szCs w:val="21"/>
        </w:rPr>
      </w:pPr>
      <w:r>
        <w:rPr>
          <w:bCs/>
          <w:szCs w:val="21"/>
        </w:rPr>
        <w:t>5</w:t>
      </w:r>
      <w:r>
        <w:rPr>
          <w:bCs/>
          <w:szCs w:val="21"/>
        </w:rPr>
        <w:t>、本基金独立建账、独立核算；</w:t>
      </w:r>
    </w:p>
    <w:p w14:paraId="6A73961D" w14:textId="77777777" w:rsidR="00BF38BB" w:rsidRDefault="002837D7">
      <w:pPr>
        <w:spacing w:line="360" w:lineRule="auto"/>
        <w:ind w:firstLineChars="200" w:firstLine="420"/>
        <w:rPr>
          <w:bCs/>
          <w:szCs w:val="21"/>
        </w:rPr>
      </w:pPr>
      <w:r>
        <w:rPr>
          <w:bCs/>
          <w:szCs w:val="21"/>
        </w:rPr>
        <w:t>6</w:t>
      </w:r>
      <w:r>
        <w:rPr>
          <w:bCs/>
          <w:szCs w:val="21"/>
        </w:rPr>
        <w:t>、基金管理人及基金托管人各自保留完整的会计账目、凭证并进行日常的会计核算，按照有关规定编制基金会计报表；</w:t>
      </w:r>
    </w:p>
    <w:p w14:paraId="6F52B937" w14:textId="77777777" w:rsidR="00BF38BB" w:rsidRDefault="002837D7">
      <w:pPr>
        <w:spacing w:line="360" w:lineRule="auto"/>
        <w:ind w:firstLineChars="200" w:firstLine="420"/>
        <w:rPr>
          <w:bCs/>
          <w:szCs w:val="21"/>
        </w:rPr>
      </w:pPr>
      <w:r>
        <w:rPr>
          <w:bCs/>
          <w:szCs w:val="21"/>
        </w:rPr>
        <w:t>7</w:t>
      </w:r>
      <w:r>
        <w:rPr>
          <w:bCs/>
          <w:szCs w:val="21"/>
        </w:rPr>
        <w:t>、基金托管人每月与基金管理人就基金的会计核算、报表编制等进行核对并以书面方式确认。</w:t>
      </w:r>
    </w:p>
    <w:p w14:paraId="53985549" w14:textId="77777777" w:rsidR="00BF38BB" w:rsidRDefault="002837D7">
      <w:pPr>
        <w:spacing w:line="360" w:lineRule="auto"/>
        <w:ind w:firstLineChars="200" w:firstLine="420"/>
        <w:rPr>
          <w:bCs/>
          <w:szCs w:val="21"/>
        </w:rPr>
      </w:pPr>
      <w:r>
        <w:rPr>
          <w:rFonts w:hint="eastAsia"/>
          <w:bCs/>
          <w:szCs w:val="21"/>
        </w:rPr>
        <w:t>（二）</w:t>
      </w:r>
      <w:r>
        <w:rPr>
          <w:bCs/>
          <w:szCs w:val="21"/>
        </w:rPr>
        <w:t>基金的年度审计</w:t>
      </w:r>
    </w:p>
    <w:p w14:paraId="160CB75A" w14:textId="77777777" w:rsidR="00BF38BB" w:rsidRDefault="002837D7">
      <w:pPr>
        <w:spacing w:line="360" w:lineRule="auto"/>
        <w:ind w:firstLineChars="200" w:firstLine="420"/>
        <w:rPr>
          <w:bCs/>
          <w:szCs w:val="21"/>
        </w:rPr>
      </w:pPr>
      <w:r>
        <w:rPr>
          <w:bCs/>
          <w:szCs w:val="21"/>
        </w:rPr>
        <w:t>1</w:t>
      </w:r>
      <w:r>
        <w:rPr>
          <w:bCs/>
          <w:szCs w:val="21"/>
        </w:rPr>
        <w:t>、基金管理人聘请与基金管理人、基金托管人相互独立的</w:t>
      </w:r>
      <w:r>
        <w:rPr>
          <w:rFonts w:hint="eastAsia"/>
          <w:bCs/>
          <w:szCs w:val="21"/>
        </w:rPr>
        <w:t>符合《中华人民共和国证券法》规定</w:t>
      </w:r>
      <w:r>
        <w:rPr>
          <w:bCs/>
          <w:szCs w:val="21"/>
        </w:rPr>
        <w:t>的会计师事务所及其注册会计师对本基金的年度财务报表进行审计。</w:t>
      </w:r>
    </w:p>
    <w:p w14:paraId="00E2A568" w14:textId="77777777" w:rsidR="00BF38BB" w:rsidRDefault="002837D7">
      <w:pPr>
        <w:spacing w:line="360" w:lineRule="auto"/>
        <w:ind w:firstLineChars="200" w:firstLine="420"/>
        <w:rPr>
          <w:bCs/>
          <w:szCs w:val="21"/>
        </w:rPr>
      </w:pPr>
      <w:r>
        <w:rPr>
          <w:bCs/>
          <w:szCs w:val="21"/>
        </w:rPr>
        <w:t>2</w:t>
      </w:r>
      <w:r>
        <w:rPr>
          <w:bCs/>
          <w:szCs w:val="21"/>
        </w:rPr>
        <w:t>、会计师事务所更换经办注册会计师，应事先征得基金管理人同意。</w:t>
      </w:r>
    </w:p>
    <w:p w14:paraId="11F0329E" w14:textId="77777777" w:rsidR="00BF38BB" w:rsidRDefault="002837D7">
      <w:pPr>
        <w:spacing w:line="360" w:lineRule="auto"/>
        <w:ind w:firstLineChars="200" w:firstLine="420"/>
        <w:rPr>
          <w:bCs/>
          <w:szCs w:val="21"/>
        </w:rPr>
      </w:pPr>
      <w:r>
        <w:rPr>
          <w:bCs/>
          <w:szCs w:val="21"/>
        </w:rPr>
        <w:t>3</w:t>
      </w:r>
      <w:r>
        <w:rPr>
          <w:bCs/>
          <w:szCs w:val="21"/>
        </w:rPr>
        <w:t>、</w:t>
      </w:r>
      <w:bookmarkStart w:id="103" w:name="_Hlt4221115"/>
      <w:bookmarkEnd w:id="103"/>
      <w:r>
        <w:rPr>
          <w:bCs/>
          <w:szCs w:val="21"/>
        </w:rPr>
        <w:t>基金管理人认为有充足理由更换会计师事务所，须通报基金托管人。更换会计师事务所需</w:t>
      </w:r>
      <w:r>
        <w:rPr>
          <w:rFonts w:hint="eastAsia"/>
          <w:bCs/>
          <w:szCs w:val="21"/>
        </w:rPr>
        <w:t>依照《信息披露办法》的有关规定</w:t>
      </w:r>
      <w:r>
        <w:rPr>
          <w:bCs/>
          <w:szCs w:val="21"/>
        </w:rPr>
        <w:t>在</w:t>
      </w:r>
      <w:r>
        <w:rPr>
          <w:rFonts w:hint="eastAsia"/>
          <w:bCs/>
          <w:szCs w:val="21"/>
        </w:rPr>
        <w:t>规定媒介</w:t>
      </w:r>
      <w:r>
        <w:rPr>
          <w:bCs/>
          <w:szCs w:val="21"/>
        </w:rPr>
        <w:t>公告。</w:t>
      </w:r>
    </w:p>
    <w:p w14:paraId="46D294D7" w14:textId="77777777" w:rsidR="00BF38BB" w:rsidRDefault="00BF38BB">
      <w:pPr>
        <w:spacing w:line="360" w:lineRule="auto"/>
        <w:ind w:firstLineChars="200" w:firstLine="420"/>
        <w:rPr>
          <w:rFonts w:ascii="宋体" w:hAnsi="宋体"/>
        </w:rPr>
      </w:pPr>
    </w:p>
    <w:p w14:paraId="17A4DF5A"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104" w:name="_Toc69916740"/>
      <w:r>
        <w:rPr>
          <w:rFonts w:hAnsi="宋体"/>
          <w:color w:val="auto"/>
          <w:kern w:val="44"/>
          <w:sz w:val="21"/>
        </w:rPr>
        <w:lastRenderedPageBreak/>
        <w:t>十</w:t>
      </w:r>
      <w:r>
        <w:rPr>
          <w:rFonts w:hAnsi="宋体" w:hint="eastAsia"/>
          <w:color w:val="auto"/>
          <w:kern w:val="44"/>
          <w:sz w:val="21"/>
        </w:rPr>
        <w:t>五</w:t>
      </w:r>
      <w:r>
        <w:rPr>
          <w:rFonts w:hAnsi="宋体"/>
          <w:color w:val="auto"/>
          <w:kern w:val="44"/>
          <w:sz w:val="21"/>
        </w:rPr>
        <w:t>、基金的信息披露</w:t>
      </w:r>
      <w:bookmarkEnd w:id="99"/>
      <w:bookmarkEnd w:id="100"/>
      <w:bookmarkEnd w:id="101"/>
      <w:bookmarkEnd w:id="104"/>
    </w:p>
    <w:p w14:paraId="2B193665" w14:textId="77777777" w:rsidR="00BF38BB" w:rsidRDefault="002837D7">
      <w:pPr>
        <w:spacing w:line="360" w:lineRule="auto"/>
        <w:ind w:firstLineChars="200" w:firstLine="420"/>
        <w:rPr>
          <w:bCs/>
          <w:szCs w:val="21"/>
        </w:rPr>
      </w:pPr>
      <w:bookmarkStart w:id="105" w:name="_Toc329187126"/>
      <w:bookmarkStart w:id="106" w:name="_Toc334542649"/>
      <w:bookmarkStart w:id="107" w:name="_Toc334542965"/>
      <w:bookmarkStart w:id="108" w:name="_Toc63171753"/>
      <w:r>
        <w:rPr>
          <w:rFonts w:hint="eastAsia"/>
          <w:bCs/>
          <w:szCs w:val="21"/>
        </w:rPr>
        <w:t>（一）</w:t>
      </w:r>
      <w:r>
        <w:rPr>
          <w:bCs/>
          <w:szCs w:val="21"/>
        </w:rPr>
        <w:t>本基金的信息披露应符合《基金法》、《运作办法》、《信息披露办法》、</w:t>
      </w:r>
      <w:r>
        <w:rPr>
          <w:rFonts w:hint="eastAsia"/>
          <w:bCs/>
          <w:szCs w:val="21"/>
        </w:rPr>
        <w:t>《流动性风险管理规定》、</w:t>
      </w:r>
      <w:r>
        <w:rPr>
          <w:bCs/>
          <w:szCs w:val="21"/>
        </w:rPr>
        <w:t>基金合同及其他有关规定。</w:t>
      </w:r>
      <w:r>
        <w:rPr>
          <w:rFonts w:hint="eastAsia"/>
          <w:bCs/>
          <w:szCs w:val="21"/>
        </w:rPr>
        <w:t>相关法律法规或监管机关就基金的信息披露做出新的规定或予以调整的，本基金按照其最新规定执行，无需基金份额持有人大会审议批准。</w:t>
      </w:r>
    </w:p>
    <w:p w14:paraId="01488B19" w14:textId="77777777" w:rsidR="00BF38BB" w:rsidRDefault="002837D7">
      <w:pPr>
        <w:spacing w:line="360" w:lineRule="auto"/>
        <w:ind w:firstLineChars="200" w:firstLine="420"/>
        <w:rPr>
          <w:bCs/>
          <w:szCs w:val="21"/>
        </w:rPr>
      </w:pPr>
      <w:r>
        <w:rPr>
          <w:rFonts w:hint="eastAsia"/>
          <w:bCs/>
          <w:szCs w:val="21"/>
        </w:rPr>
        <w:t>（二）</w:t>
      </w:r>
      <w:r>
        <w:rPr>
          <w:bCs/>
          <w:szCs w:val="21"/>
        </w:rPr>
        <w:t>信息披露义务人</w:t>
      </w:r>
    </w:p>
    <w:p w14:paraId="570CFFB8" w14:textId="77777777" w:rsidR="00BF38BB" w:rsidRDefault="002837D7">
      <w:pPr>
        <w:spacing w:line="360" w:lineRule="auto"/>
        <w:ind w:firstLineChars="200" w:firstLine="420"/>
        <w:rPr>
          <w:bCs/>
          <w:szCs w:val="21"/>
        </w:rPr>
      </w:pPr>
      <w:r>
        <w:rPr>
          <w:bCs/>
          <w:szCs w:val="21"/>
        </w:rPr>
        <w:t>本基金信息披露义务人包括基金管理人、基金托管人、召集基金份额持有人大会的基金份额持有人等法律法规和中国证监会规定的自然人、法人和</w:t>
      </w:r>
      <w:r>
        <w:rPr>
          <w:rFonts w:hint="eastAsia"/>
          <w:bCs/>
          <w:szCs w:val="21"/>
        </w:rPr>
        <w:t>非法人</w:t>
      </w:r>
      <w:r>
        <w:rPr>
          <w:bCs/>
          <w:szCs w:val="21"/>
        </w:rPr>
        <w:t>组织。</w:t>
      </w:r>
    </w:p>
    <w:p w14:paraId="28BB142E" w14:textId="77777777" w:rsidR="00BF38BB" w:rsidRDefault="002837D7">
      <w:pPr>
        <w:spacing w:line="360" w:lineRule="auto"/>
        <w:ind w:firstLineChars="200" w:firstLine="420"/>
        <w:rPr>
          <w:bCs/>
          <w:szCs w:val="21"/>
        </w:rPr>
      </w:pPr>
      <w:r>
        <w:rPr>
          <w:bCs/>
          <w:szCs w:val="21"/>
        </w:rPr>
        <w:t>本基金信息披露义务人以保护基金份额持有人利益为根本出发点，按照法律法规和中国证监会的规定披露基金信息，并保证所披露信息的真实性、准确性</w:t>
      </w:r>
      <w:r>
        <w:rPr>
          <w:rFonts w:hint="eastAsia"/>
          <w:bCs/>
          <w:szCs w:val="21"/>
        </w:rPr>
        <w:t>、</w:t>
      </w:r>
      <w:r>
        <w:rPr>
          <w:bCs/>
          <w:szCs w:val="21"/>
        </w:rPr>
        <w:t>完整性、及时性、简明性和易得性。</w:t>
      </w:r>
    </w:p>
    <w:p w14:paraId="2C0201F4" w14:textId="77777777" w:rsidR="00BF38BB" w:rsidRDefault="002837D7">
      <w:pPr>
        <w:spacing w:line="360" w:lineRule="auto"/>
        <w:ind w:firstLineChars="200" w:firstLine="420"/>
        <w:rPr>
          <w:bCs/>
          <w:szCs w:val="21"/>
        </w:rPr>
      </w:pPr>
      <w:r>
        <w:rPr>
          <w:bCs/>
          <w:szCs w:val="21"/>
        </w:rPr>
        <w:t>本基金信息披露义务人应当在中国证监会规定时间内，将应予</w:t>
      </w:r>
      <w:r>
        <w:rPr>
          <w:bCs/>
          <w:szCs w:val="21"/>
        </w:rPr>
        <w:t>披露的基金信息通过符合中国证监会规定条件的</w:t>
      </w:r>
      <w:r>
        <w:rPr>
          <w:rFonts w:hint="eastAsia"/>
          <w:bCs/>
          <w:szCs w:val="21"/>
        </w:rPr>
        <w:t>全国性报刊</w:t>
      </w:r>
      <w:r>
        <w:rPr>
          <w:bCs/>
          <w:szCs w:val="21"/>
        </w:rPr>
        <w:t>（以下简称</w:t>
      </w:r>
      <w:r>
        <w:rPr>
          <w:rFonts w:hint="eastAsia"/>
          <w:bCs/>
          <w:szCs w:val="21"/>
        </w:rPr>
        <w:t>“规定报刊”）及符合</w:t>
      </w:r>
      <w:r>
        <w:rPr>
          <w:bCs/>
          <w:szCs w:val="21"/>
        </w:rPr>
        <w:t>《信息披露办法》规定的</w:t>
      </w:r>
      <w:r>
        <w:rPr>
          <w:rFonts w:hint="eastAsia"/>
          <w:bCs/>
          <w:szCs w:val="21"/>
        </w:rPr>
        <w:t>互联网网站（以下简称“规定网站”）</w:t>
      </w:r>
      <w:r>
        <w:rPr>
          <w:bCs/>
          <w:szCs w:val="21"/>
        </w:rPr>
        <w:t>等媒介披露，并保证基金投资者能够按照基金合同约定的时间和方式查阅或者复制公开披露的信息资料。</w:t>
      </w:r>
    </w:p>
    <w:p w14:paraId="6411ADED" w14:textId="77777777" w:rsidR="00BF38BB" w:rsidRDefault="002837D7">
      <w:pPr>
        <w:spacing w:line="360" w:lineRule="auto"/>
        <w:ind w:firstLineChars="200" w:firstLine="420"/>
        <w:rPr>
          <w:bCs/>
          <w:szCs w:val="21"/>
        </w:rPr>
      </w:pPr>
      <w:r>
        <w:rPr>
          <w:rFonts w:hint="eastAsia"/>
          <w:bCs/>
          <w:szCs w:val="21"/>
        </w:rPr>
        <w:t>（三）</w:t>
      </w:r>
      <w:r>
        <w:rPr>
          <w:bCs/>
          <w:szCs w:val="21"/>
        </w:rPr>
        <w:t>本基金信息披露义务人承诺公开披露的基金信息，不得有下列行为：</w:t>
      </w:r>
    </w:p>
    <w:p w14:paraId="154A5775" w14:textId="77777777" w:rsidR="00BF38BB" w:rsidRDefault="002837D7">
      <w:pPr>
        <w:spacing w:line="360" w:lineRule="auto"/>
        <w:ind w:firstLineChars="200" w:firstLine="420"/>
        <w:rPr>
          <w:bCs/>
          <w:szCs w:val="21"/>
        </w:rPr>
      </w:pPr>
      <w:r>
        <w:rPr>
          <w:bCs/>
          <w:szCs w:val="21"/>
        </w:rPr>
        <w:t>1</w:t>
      </w:r>
      <w:r>
        <w:rPr>
          <w:bCs/>
          <w:szCs w:val="21"/>
        </w:rPr>
        <w:t>、虚假记载、误导性陈述或者重大遗漏；</w:t>
      </w:r>
    </w:p>
    <w:p w14:paraId="6009EEBB" w14:textId="77777777" w:rsidR="00BF38BB" w:rsidRDefault="002837D7">
      <w:pPr>
        <w:spacing w:line="360" w:lineRule="auto"/>
        <w:ind w:firstLineChars="200" w:firstLine="420"/>
        <w:rPr>
          <w:bCs/>
          <w:szCs w:val="21"/>
        </w:rPr>
      </w:pPr>
      <w:r>
        <w:rPr>
          <w:bCs/>
          <w:szCs w:val="21"/>
        </w:rPr>
        <w:t>2</w:t>
      </w:r>
      <w:r>
        <w:rPr>
          <w:bCs/>
          <w:szCs w:val="21"/>
        </w:rPr>
        <w:t>、对证券投资业绩进行预测；</w:t>
      </w:r>
    </w:p>
    <w:p w14:paraId="781863DB" w14:textId="77777777" w:rsidR="00BF38BB" w:rsidRDefault="002837D7">
      <w:pPr>
        <w:spacing w:line="360" w:lineRule="auto"/>
        <w:ind w:firstLineChars="200" w:firstLine="420"/>
        <w:rPr>
          <w:bCs/>
          <w:szCs w:val="21"/>
        </w:rPr>
      </w:pPr>
      <w:r>
        <w:rPr>
          <w:bCs/>
          <w:szCs w:val="21"/>
        </w:rPr>
        <w:t>3</w:t>
      </w:r>
      <w:r>
        <w:rPr>
          <w:bCs/>
          <w:szCs w:val="21"/>
        </w:rPr>
        <w:t>、违规承诺收益或者承担损失；</w:t>
      </w:r>
    </w:p>
    <w:p w14:paraId="5ABBC649" w14:textId="77777777" w:rsidR="00BF38BB" w:rsidRDefault="002837D7">
      <w:pPr>
        <w:spacing w:line="360" w:lineRule="auto"/>
        <w:ind w:firstLineChars="200" w:firstLine="420"/>
        <w:rPr>
          <w:bCs/>
          <w:szCs w:val="21"/>
        </w:rPr>
      </w:pPr>
      <w:r>
        <w:rPr>
          <w:bCs/>
          <w:szCs w:val="21"/>
        </w:rPr>
        <w:t>4</w:t>
      </w:r>
      <w:r>
        <w:rPr>
          <w:bCs/>
          <w:szCs w:val="21"/>
        </w:rPr>
        <w:t>、诋毁其他基金管理人、基金托管人或者基金销售机构；</w:t>
      </w:r>
    </w:p>
    <w:p w14:paraId="70B2D6ED" w14:textId="77777777" w:rsidR="00BF38BB" w:rsidRDefault="002837D7">
      <w:pPr>
        <w:spacing w:line="360" w:lineRule="auto"/>
        <w:ind w:firstLineChars="200" w:firstLine="420"/>
        <w:rPr>
          <w:bCs/>
          <w:szCs w:val="21"/>
        </w:rPr>
      </w:pPr>
      <w:r>
        <w:rPr>
          <w:bCs/>
          <w:szCs w:val="21"/>
        </w:rPr>
        <w:t>5</w:t>
      </w:r>
      <w:r>
        <w:rPr>
          <w:bCs/>
          <w:szCs w:val="21"/>
        </w:rPr>
        <w:t>、登载任何自然人、法人和非法人组织的祝贺性、恭维性或推</w:t>
      </w:r>
      <w:r>
        <w:rPr>
          <w:bCs/>
          <w:szCs w:val="21"/>
        </w:rPr>
        <w:t>荐性的文字；</w:t>
      </w:r>
    </w:p>
    <w:p w14:paraId="17EC3E55" w14:textId="77777777" w:rsidR="00BF38BB" w:rsidRDefault="002837D7">
      <w:pPr>
        <w:spacing w:line="360" w:lineRule="auto"/>
        <w:ind w:firstLineChars="200" w:firstLine="420"/>
        <w:rPr>
          <w:bCs/>
          <w:szCs w:val="21"/>
        </w:rPr>
      </w:pPr>
      <w:r>
        <w:rPr>
          <w:bCs/>
          <w:szCs w:val="21"/>
        </w:rPr>
        <w:t>6</w:t>
      </w:r>
      <w:r>
        <w:rPr>
          <w:bCs/>
          <w:szCs w:val="21"/>
        </w:rPr>
        <w:t>、中国证监会禁止的其他行为。</w:t>
      </w:r>
    </w:p>
    <w:p w14:paraId="5D1FFCA6" w14:textId="77777777" w:rsidR="00BF38BB" w:rsidRDefault="002837D7">
      <w:pPr>
        <w:spacing w:line="360" w:lineRule="auto"/>
        <w:ind w:firstLineChars="200" w:firstLine="420"/>
        <w:rPr>
          <w:bCs/>
          <w:szCs w:val="21"/>
        </w:rPr>
      </w:pPr>
      <w:r>
        <w:rPr>
          <w:rFonts w:hint="eastAsia"/>
          <w:bCs/>
          <w:szCs w:val="21"/>
        </w:rPr>
        <w:t>（四）</w:t>
      </w:r>
      <w:r>
        <w:rPr>
          <w:bCs/>
          <w:szCs w:val="21"/>
        </w:rPr>
        <w:t>本基金公开披露的信息应采用中文文本。同时采用外文文本的，基金信息披露义务人应保证</w:t>
      </w:r>
      <w:r>
        <w:rPr>
          <w:rFonts w:hint="eastAsia"/>
          <w:bCs/>
          <w:szCs w:val="21"/>
        </w:rPr>
        <w:t>不同</w:t>
      </w:r>
      <w:r>
        <w:rPr>
          <w:bCs/>
          <w:szCs w:val="21"/>
        </w:rPr>
        <w:t>文本的内容一致。</w:t>
      </w:r>
      <w:r>
        <w:rPr>
          <w:rFonts w:hint="eastAsia"/>
          <w:bCs/>
          <w:szCs w:val="21"/>
        </w:rPr>
        <w:t>不同</w:t>
      </w:r>
      <w:r>
        <w:rPr>
          <w:bCs/>
          <w:szCs w:val="21"/>
        </w:rPr>
        <w:t>文本</w:t>
      </w:r>
      <w:r>
        <w:rPr>
          <w:rFonts w:hint="eastAsia"/>
          <w:bCs/>
          <w:szCs w:val="21"/>
        </w:rPr>
        <w:t>之间</w:t>
      </w:r>
      <w:r>
        <w:rPr>
          <w:bCs/>
          <w:szCs w:val="21"/>
        </w:rPr>
        <w:t>发生歧义的，以中文文本为准。</w:t>
      </w:r>
    </w:p>
    <w:p w14:paraId="2F2C47DE" w14:textId="77777777" w:rsidR="00BF38BB" w:rsidRDefault="002837D7">
      <w:pPr>
        <w:spacing w:line="360" w:lineRule="auto"/>
        <w:ind w:firstLineChars="200" w:firstLine="420"/>
        <w:rPr>
          <w:bCs/>
          <w:szCs w:val="21"/>
        </w:rPr>
      </w:pPr>
      <w:r>
        <w:rPr>
          <w:bCs/>
          <w:szCs w:val="21"/>
        </w:rPr>
        <w:t>本基金公开披露的信息采用阿拉伯数字；除特别说明外，货币单位为人民币元。</w:t>
      </w:r>
    </w:p>
    <w:p w14:paraId="50CDE823" w14:textId="77777777" w:rsidR="00BF38BB" w:rsidRDefault="002837D7">
      <w:pPr>
        <w:spacing w:line="360" w:lineRule="auto"/>
        <w:ind w:firstLineChars="200" w:firstLine="420"/>
        <w:rPr>
          <w:bCs/>
          <w:szCs w:val="21"/>
        </w:rPr>
      </w:pPr>
      <w:r>
        <w:rPr>
          <w:rFonts w:hint="eastAsia"/>
          <w:bCs/>
          <w:szCs w:val="21"/>
        </w:rPr>
        <w:t>（五）</w:t>
      </w:r>
      <w:r>
        <w:rPr>
          <w:bCs/>
          <w:szCs w:val="21"/>
        </w:rPr>
        <w:t>公开披露的基金信息</w:t>
      </w:r>
    </w:p>
    <w:p w14:paraId="064F746A" w14:textId="77777777" w:rsidR="00BF38BB" w:rsidRDefault="002837D7">
      <w:pPr>
        <w:spacing w:line="360" w:lineRule="auto"/>
        <w:ind w:firstLineChars="200" w:firstLine="420"/>
        <w:rPr>
          <w:bCs/>
          <w:szCs w:val="21"/>
        </w:rPr>
      </w:pPr>
      <w:r>
        <w:rPr>
          <w:bCs/>
          <w:szCs w:val="21"/>
        </w:rPr>
        <w:t>公开披露的基金信息包括：</w:t>
      </w:r>
    </w:p>
    <w:p w14:paraId="3131B6FD" w14:textId="77777777" w:rsidR="00BF38BB" w:rsidRDefault="002837D7">
      <w:pPr>
        <w:spacing w:line="360" w:lineRule="auto"/>
        <w:ind w:firstLineChars="200" w:firstLine="420"/>
        <w:rPr>
          <w:bCs/>
          <w:szCs w:val="21"/>
        </w:rPr>
      </w:pPr>
      <w:r>
        <w:rPr>
          <w:bCs/>
          <w:szCs w:val="21"/>
        </w:rPr>
        <w:t>一）基金招募说明书、基金合同、基金托管协议</w:t>
      </w:r>
      <w:r>
        <w:rPr>
          <w:rFonts w:hint="eastAsia"/>
          <w:bCs/>
          <w:szCs w:val="21"/>
        </w:rPr>
        <w:t>、基金产品资料概要</w:t>
      </w:r>
    </w:p>
    <w:p w14:paraId="5B45CF64" w14:textId="77777777" w:rsidR="00BF38BB" w:rsidRDefault="002837D7">
      <w:pPr>
        <w:spacing w:line="360" w:lineRule="auto"/>
        <w:ind w:firstLineChars="200" w:firstLine="420"/>
        <w:rPr>
          <w:bCs/>
          <w:szCs w:val="21"/>
        </w:rPr>
      </w:pPr>
      <w:r>
        <w:rPr>
          <w:bCs/>
          <w:szCs w:val="21"/>
        </w:rPr>
        <w:t>1</w:t>
      </w:r>
      <w:r>
        <w:rPr>
          <w:bCs/>
          <w:szCs w:val="21"/>
        </w:rPr>
        <w:t>、基金合同是界定基金合同当事人的各项权利、义务关系，明确基金份额持有人大会召开的规则及具体程序，说明基金产品的特性等涉及基金投资者重大利益的事项的法律文件。</w:t>
      </w:r>
    </w:p>
    <w:p w14:paraId="2032141C" w14:textId="77777777" w:rsidR="00BF38BB" w:rsidRDefault="002837D7">
      <w:pPr>
        <w:spacing w:line="360" w:lineRule="auto"/>
        <w:ind w:firstLineChars="200" w:firstLine="420"/>
        <w:rPr>
          <w:bCs/>
          <w:szCs w:val="21"/>
        </w:rPr>
      </w:pPr>
      <w:r>
        <w:rPr>
          <w:bCs/>
          <w:szCs w:val="21"/>
        </w:rPr>
        <w:t>2</w:t>
      </w:r>
      <w:r>
        <w:rPr>
          <w:bCs/>
          <w:szCs w:val="21"/>
        </w:rPr>
        <w:t>、基金招募说明书应当按照法律法规和监管要求披露影响基金投资者决策的全部事项，说明基金认购、</w:t>
      </w:r>
      <w:r>
        <w:rPr>
          <w:bCs/>
          <w:szCs w:val="21"/>
        </w:rPr>
        <w:lastRenderedPageBreak/>
        <w:t>申购和赎回安排、基金投资、基金产品特性、风险揭示、信息披露及基金份额持有人服务等内容。基金合同生效后</w:t>
      </w:r>
      <w:r>
        <w:rPr>
          <w:rFonts w:hint="eastAsia"/>
          <w:bCs/>
          <w:szCs w:val="21"/>
        </w:rPr>
        <w:t>，</w:t>
      </w:r>
      <w:r>
        <w:rPr>
          <w:bCs/>
          <w:szCs w:val="21"/>
        </w:rPr>
        <w:t>基金招募说明书的信息发生重大变更的，基金管理人</w:t>
      </w:r>
      <w:r>
        <w:rPr>
          <w:rFonts w:hint="eastAsia"/>
          <w:bCs/>
          <w:szCs w:val="21"/>
        </w:rPr>
        <w:t>应当</w:t>
      </w:r>
      <w:r>
        <w:rPr>
          <w:bCs/>
          <w:szCs w:val="21"/>
        </w:rPr>
        <w:t>在三个工作日内，更新</w:t>
      </w:r>
      <w:r>
        <w:rPr>
          <w:rFonts w:hint="eastAsia"/>
          <w:bCs/>
          <w:szCs w:val="21"/>
        </w:rPr>
        <w:t>基金</w:t>
      </w:r>
      <w:r>
        <w:rPr>
          <w:bCs/>
          <w:szCs w:val="21"/>
        </w:rPr>
        <w:t>招募说明书并登载在</w:t>
      </w:r>
      <w:r>
        <w:rPr>
          <w:rFonts w:hint="eastAsia"/>
          <w:bCs/>
          <w:szCs w:val="21"/>
        </w:rPr>
        <w:t>规定</w:t>
      </w:r>
      <w:r>
        <w:rPr>
          <w:bCs/>
          <w:szCs w:val="21"/>
        </w:rPr>
        <w:t>网站上</w:t>
      </w:r>
      <w:r>
        <w:rPr>
          <w:rFonts w:hint="eastAsia"/>
          <w:bCs/>
          <w:szCs w:val="21"/>
        </w:rPr>
        <w:t>；基金</w:t>
      </w:r>
      <w:r>
        <w:rPr>
          <w:bCs/>
          <w:szCs w:val="21"/>
        </w:rPr>
        <w:t>招募说明书其他信息发生变更的，</w:t>
      </w:r>
      <w:r>
        <w:rPr>
          <w:rFonts w:hint="eastAsia"/>
          <w:bCs/>
          <w:szCs w:val="21"/>
        </w:rPr>
        <w:t>基金管理人至少每年更</w:t>
      </w:r>
      <w:r>
        <w:rPr>
          <w:rFonts w:hint="eastAsia"/>
          <w:bCs/>
          <w:szCs w:val="21"/>
        </w:rPr>
        <w:t>新一次。</w:t>
      </w:r>
      <w:r>
        <w:rPr>
          <w:bCs/>
          <w:szCs w:val="21"/>
        </w:rPr>
        <w:t>基金终止运作的，基金管理人不再更新基金招募说明书</w:t>
      </w:r>
      <w:r>
        <w:rPr>
          <w:rFonts w:hint="eastAsia"/>
          <w:bCs/>
          <w:szCs w:val="21"/>
        </w:rPr>
        <w:t>。</w:t>
      </w:r>
    </w:p>
    <w:p w14:paraId="3C3A3569" w14:textId="77777777" w:rsidR="00BF38BB" w:rsidRDefault="002837D7">
      <w:pPr>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14:paraId="201FE2AD" w14:textId="77777777" w:rsidR="00BF38BB" w:rsidRDefault="002837D7">
      <w:pPr>
        <w:spacing w:line="360" w:lineRule="auto"/>
        <w:ind w:firstLineChars="200" w:firstLine="420"/>
        <w:rPr>
          <w:bCs/>
          <w:szCs w:val="21"/>
        </w:rPr>
      </w:pPr>
      <w:r>
        <w:rPr>
          <w:bCs/>
          <w:szCs w:val="21"/>
        </w:rPr>
        <w:t>4</w:t>
      </w:r>
      <w:r>
        <w:rPr>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w:t>
      </w:r>
      <w:r>
        <w:rPr>
          <w:bCs/>
          <w:szCs w:val="21"/>
        </w:rPr>
        <w:t>资料概要。</w:t>
      </w:r>
    </w:p>
    <w:p w14:paraId="0247BF0C" w14:textId="77777777" w:rsidR="00BF38BB" w:rsidRDefault="002837D7">
      <w:pPr>
        <w:spacing w:line="360" w:lineRule="auto"/>
        <w:ind w:firstLineChars="200" w:firstLine="420"/>
        <w:rPr>
          <w:bCs/>
          <w:szCs w:val="21"/>
        </w:rPr>
      </w:pPr>
      <w:r>
        <w:rPr>
          <w:bCs/>
          <w:szCs w:val="21"/>
        </w:rPr>
        <w:t>基金募集申请经中国证监会</w:t>
      </w:r>
      <w:r>
        <w:rPr>
          <w:rFonts w:hint="eastAsia"/>
          <w:bCs/>
          <w:szCs w:val="21"/>
        </w:rPr>
        <w:t>注册</w:t>
      </w:r>
      <w:r>
        <w:rPr>
          <w:bCs/>
          <w:szCs w:val="21"/>
        </w:rPr>
        <w:t>后，基金管理人</w:t>
      </w:r>
      <w:r>
        <w:rPr>
          <w:rFonts w:hint="eastAsia"/>
          <w:bCs/>
          <w:szCs w:val="21"/>
        </w:rPr>
        <w:t>应当按照《信息披露办法》的规定</w:t>
      </w:r>
      <w:r>
        <w:rPr>
          <w:bCs/>
          <w:szCs w:val="21"/>
        </w:rPr>
        <w:t>，将</w:t>
      </w:r>
      <w:r>
        <w:rPr>
          <w:rFonts w:hint="eastAsia"/>
          <w:bCs/>
          <w:szCs w:val="21"/>
        </w:rPr>
        <w:t>基金份额发售公告、</w:t>
      </w:r>
      <w:r>
        <w:rPr>
          <w:bCs/>
          <w:szCs w:val="21"/>
        </w:rPr>
        <w:t>基金招募说明书</w:t>
      </w:r>
      <w:r>
        <w:rPr>
          <w:rFonts w:hint="eastAsia"/>
          <w:bCs/>
          <w:szCs w:val="21"/>
        </w:rPr>
        <w:t>提示性公告和基金合同提示性公告</w:t>
      </w:r>
      <w:r>
        <w:rPr>
          <w:bCs/>
          <w:szCs w:val="21"/>
        </w:rPr>
        <w:t>登载在规定</w:t>
      </w:r>
      <w:r>
        <w:rPr>
          <w:rFonts w:hint="eastAsia"/>
          <w:bCs/>
          <w:szCs w:val="21"/>
        </w:rPr>
        <w:t>报刊</w:t>
      </w:r>
      <w:r>
        <w:rPr>
          <w:bCs/>
          <w:szCs w:val="21"/>
        </w:rPr>
        <w:t>上</w:t>
      </w:r>
      <w:r>
        <w:rPr>
          <w:rFonts w:hint="eastAsia"/>
          <w:bCs/>
          <w:szCs w:val="21"/>
        </w:rPr>
        <w:t>，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578EBAE" w14:textId="77777777" w:rsidR="00BF38BB" w:rsidRDefault="002837D7">
      <w:pPr>
        <w:spacing w:line="360" w:lineRule="auto"/>
        <w:ind w:firstLineChars="200" w:firstLine="420"/>
        <w:rPr>
          <w:bCs/>
          <w:szCs w:val="21"/>
        </w:rPr>
      </w:pPr>
      <w:r>
        <w:rPr>
          <w:bCs/>
          <w:szCs w:val="21"/>
        </w:rPr>
        <w:t>二）基金份额发售公告</w:t>
      </w:r>
    </w:p>
    <w:p w14:paraId="5AF62E28" w14:textId="77777777" w:rsidR="00BF38BB" w:rsidRDefault="002837D7">
      <w:pPr>
        <w:spacing w:line="360" w:lineRule="auto"/>
        <w:ind w:firstLineChars="200" w:firstLine="420"/>
        <w:rPr>
          <w:bCs/>
          <w:szCs w:val="21"/>
        </w:rPr>
      </w:pPr>
      <w:r>
        <w:rPr>
          <w:bCs/>
          <w:szCs w:val="21"/>
        </w:rPr>
        <w:t>基金管理人应当就基金份额发售的具体事宜编制基金份额发售公告，并在披露招募说明书的当日</w:t>
      </w:r>
      <w:r>
        <w:rPr>
          <w:rFonts w:hint="eastAsia"/>
          <w:bCs/>
          <w:szCs w:val="21"/>
        </w:rPr>
        <w:t>按照《信息披露办法》的规定</w:t>
      </w:r>
      <w:r>
        <w:rPr>
          <w:bCs/>
          <w:szCs w:val="21"/>
        </w:rPr>
        <w:t>登载于规定</w:t>
      </w:r>
      <w:r>
        <w:rPr>
          <w:rFonts w:hint="eastAsia"/>
          <w:bCs/>
          <w:szCs w:val="21"/>
        </w:rPr>
        <w:t>媒介</w:t>
      </w:r>
      <w:r>
        <w:rPr>
          <w:bCs/>
          <w:szCs w:val="21"/>
        </w:rPr>
        <w:t>上。</w:t>
      </w:r>
    </w:p>
    <w:p w14:paraId="31558B00" w14:textId="77777777" w:rsidR="00BF38BB" w:rsidRDefault="002837D7">
      <w:pPr>
        <w:spacing w:line="360" w:lineRule="auto"/>
        <w:ind w:firstLineChars="200" w:firstLine="420"/>
        <w:rPr>
          <w:bCs/>
          <w:szCs w:val="21"/>
        </w:rPr>
      </w:pPr>
      <w:r>
        <w:rPr>
          <w:bCs/>
          <w:szCs w:val="21"/>
        </w:rPr>
        <w:t>三）基金合同生效公告</w:t>
      </w:r>
    </w:p>
    <w:p w14:paraId="39C24A01" w14:textId="77777777" w:rsidR="00BF38BB" w:rsidRDefault="002837D7">
      <w:pPr>
        <w:spacing w:line="360" w:lineRule="auto"/>
        <w:ind w:firstLineChars="200" w:firstLine="420"/>
        <w:rPr>
          <w:bCs/>
          <w:szCs w:val="21"/>
        </w:rPr>
      </w:pPr>
      <w:r>
        <w:rPr>
          <w:bCs/>
          <w:szCs w:val="21"/>
        </w:rPr>
        <w:t>基金管理人应当在收到中国证监会确认文件的次日</w:t>
      </w:r>
      <w:r>
        <w:rPr>
          <w:rFonts w:hint="eastAsia"/>
          <w:bCs/>
          <w:szCs w:val="21"/>
        </w:rPr>
        <w:t>按照《信息披露办法》的规定</w:t>
      </w:r>
      <w:r>
        <w:rPr>
          <w:bCs/>
          <w:szCs w:val="21"/>
        </w:rPr>
        <w:t>在规定</w:t>
      </w:r>
      <w:r>
        <w:rPr>
          <w:rFonts w:hint="eastAsia"/>
          <w:bCs/>
          <w:szCs w:val="21"/>
        </w:rPr>
        <w:t>媒介</w:t>
      </w:r>
      <w:r>
        <w:rPr>
          <w:bCs/>
          <w:szCs w:val="21"/>
        </w:rPr>
        <w:t>上登载基金合同生效公告。</w:t>
      </w:r>
    </w:p>
    <w:p w14:paraId="6D9DDB62" w14:textId="77777777" w:rsidR="00BF38BB" w:rsidRDefault="002837D7">
      <w:pPr>
        <w:spacing w:line="360" w:lineRule="auto"/>
        <w:ind w:firstLineChars="200" w:firstLine="420"/>
        <w:rPr>
          <w:bCs/>
          <w:szCs w:val="21"/>
        </w:rPr>
      </w:pPr>
      <w:r>
        <w:rPr>
          <w:bCs/>
          <w:szCs w:val="21"/>
        </w:rPr>
        <w:t>四）基金净值</w:t>
      </w:r>
      <w:r>
        <w:rPr>
          <w:rFonts w:hint="eastAsia"/>
          <w:bCs/>
          <w:szCs w:val="21"/>
        </w:rPr>
        <w:t>信息</w:t>
      </w:r>
    </w:p>
    <w:p w14:paraId="5BF62254" w14:textId="77777777" w:rsidR="00BF38BB" w:rsidRDefault="002837D7">
      <w:pPr>
        <w:spacing w:line="360" w:lineRule="auto"/>
        <w:ind w:firstLineChars="200" w:firstLine="420"/>
        <w:rPr>
          <w:bCs/>
          <w:szCs w:val="21"/>
        </w:rPr>
      </w:pPr>
      <w:r>
        <w:rPr>
          <w:bCs/>
          <w:szCs w:val="21"/>
        </w:rPr>
        <w:t>基金合同生效后，在</w:t>
      </w:r>
      <w:r>
        <w:rPr>
          <w:rFonts w:hint="eastAsia"/>
          <w:bCs/>
          <w:szCs w:val="21"/>
        </w:rPr>
        <w:t>开始办理基金份额申购或者赎回前</w:t>
      </w:r>
      <w:r>
        <w:rPr>
          <w:bCs/>
          <w:szCs w:val="21"/>
        </w:rPr>
        <w:t>，基金管理人应当至少每周</w:t>
      </w:r>
      <w:r>
        <w:rPr>
          <w:rFonts w:hint="eastAsia"/>
          <w:bCs/>
          <w:szCs w:val="21"/>
        </w:rPr>
        <w:t>在规定网站披露</w:t>
      </w:r>
      <w:r>
        <w:rPr>
          <w:bCs/>
          <w:szCs w:val="21"/>
        </w:rPr>
        <w:t>一次</w:t>
      </w:r>
      <w:r>
        <w:rPr>
          <w:rFonts w:hint="eastAsia"/>
          <w:bCs/>
          <w:szCs w:val="21"/>
        </w:rPr>
        <w:t>各类</w:t>
      </w:r>
      <w:r>
        <w:rPr>
          <w:bCs/>
          <w:szCs w:val="21"/>
        </w:rPr>
        <w:t>基金份额</w:t>
      </w:r>
      <w:r>
        <w:rPr>
          <w:rFonts w:hint="eastAsia"/>
          <w:bCs/>
          <w:szCs w:val="21"/>
        </w:rPr>
        <w:t>的基金份额</w:t>
      </w:r>
      <w:r>
        <w:rPr>
          <w:bCs/>
          <w:szCs w:val="21"/>
        </w:rPr>
        <w:t>净值</w:t>
      </w:r>
      <w:r>
        <w:rPr>
          <w:rFonts w:hint="eastAsia"/>
          <w:bCs/>
          <w:szCs w:val="21"/>
        </w:rPr>
        <w:t>和基金份额累计净值</w:t>
      </w:r>
      <w:r>
        <w:rPr>
          <w:bCs/>
          <w:szCs w:val="21"/>
        </w:rPr>
        <w:t>。</w:t>
      </w:r>
    </w:p>
    <w:p w14:paraId="0C8FE7BB" w14:textId="77777777" w:rsidR="00BF38BB" w:rsidRDefault="002837D7">
      <w:pPr>
        <w:spacing w:line="360" w:lineRule="auto"/>
        <w:ind w:firstLineChars="200" w:firstLine="420"/>
        <w:rPr>
          <w:bCs/>
          <w:szCs w:val="21"/>
        </w:rPr>
      </w:pPr>
      <w:r>
        <w:rPr>
          <w:bCs/>
          <w:szCs w:val="21"/>
        </w:rPr>
        <w:t>在</w:t>
      </w:r>
      <w:r>
        <w:rPr>
          <w:rFonts w:hint="eastAsia"/>
          <w:bCs/>
          <w:szCs w:val="21"/>
        </w:rPr>
        <w:t>开始办理基金份额申购或者赎回后</w:t>
      </w:r>
      <w:r>
        <w:rPr>
          <w:bCs/>
          <w:szCs w:val="21"/>
        </w:rPr>
        <w:t>，基金管理人应当在</w:t>
      </w:r>
      <w:r>
        <w:rPr>
          <w:rFonts w:hint="eastAsia"/>
          <w:bCs/>
          <w:szCs w:val="21"/>
        </w:rPr>
        <w:t>不晚于</w:t>
      </w:r>
      <w:r>
        <w:rPr>
          <w:bCs/>
          <w:szCs w:val="21"/>
        </w:rPr>
        <w:t>每个开放日的次日，通过规定网站、基金销售机构网站或者营业网点，披露开放日的</w:t>
      </w:r>
      <w:r>
        <w:rPr>
          <w:rFonts w:hint="eastAsia"/>
          <w:bCs/>
          <w:szCs w:val="21"/>
        </w:rPr>
        <w:t>各类</w:t>
      </w:r>
      <w:r>
        <w:rPr>
          <w:bCs/>
          <w:szCs w:val="21"/>
        </w:rPr>
        <w:t>基金份额</w:t>
      </w:r>
      <w:r>
        <w:rPr>
          <w:rFonts w:hint="eastAsia"/>
          <w:bCs/>
          <w:szCs w:val="21"/>
        </w:rPr>
        <w:t>的基金份额</w:t>
      </w:r>
      <w:r>
        <w:rPr>
          <w:bCs/>
          <w:szCs w:val="21"/>
        </w:rPr>
        <w:t>净值和基金份额累计净值。</w:t>
      </w:r>
    </w:p>
    <w:p w14:paraId="07B9A40A" w14:textId="77777777" w:rsidR="00BF38BB" w:rsidRDefault="002837D7">
      <w:pPr>
        <w:spacing w:line="360" w:lineRule="auto"/>
        <w:ind w:firstLineChars="200" w:firstLine="420"/>
        <w:rPr>
          <w:bCs/>
          <w:szCs w:val="21"/>
        </w:rPr>
      </w:pPr>
      <w:r>
        <w:rPr>
          <w:bCs/>
          <w:szCs w:val="21"/>
        </w:rPr>
        <w:t>基金管理人应当</w:t>
      </w:r>
      <w:r>
        <w:rPr>
          <w:rFonts w:hint="eastAsia"/>
          <w:bCs/>
          <w:szCs w:val="21"/>
        </w:rPr>
        <w:t>在不晚于</w:t>
      </w:r>
      <w:r>
        <w:rPr>
          <w:bCs/>
          <w:szCs w:val="21"/>
        </w:rPr>
        <w:t>半年度和</w:t>
      </w:r>
      <w:r>
        <w:rPr>
          <w:bCs/>
          <w:szCs w:val="21"/>
        </w:rPr>
        <w:t>年度最后</w:t>
      </w:r>
      <w:r>
        <w:rPr>
          <w:rFonts w:hint="eastAsia"/>
          <w:bCs/>
          <w:szCs w:val="21"/>
        </w:rPr>
        <w:t>一日的</w:t>
      </w:r>
      <w:r>
        <w:rPr>
          <w:bCs/>
          <w:szCs w:val="21"/>
        </w:rPr>
        <w:t>次日，</w:t>
      </w:r>
      <w:r>
        <w:rPr>
          <w:rFonts w:hint="eastAsia"/>
          <w:bCs/>
          <w:szCs w:val="21"/>
        </w:rPr>
        <w:t>在规定网站披露半年度和年度最后一日的各类</w:t>
      </w:r>
      <w:r>
        <w:rPr>
          <w:bCs/>
          <w:szCs w:val="21"/>
        </w:rPr>
        <w:t>基金份额</w:t>
      </w:r>
      <w:r>
        <w:rPr>
          <w:rFonts w:hint="eastAsia"/>
          <w:bCs/>
          <w:szCs w:val="21"/>
        </w:rPr>
        <w:t>的基金份额</w:t>
      </w:r>
      <w:r>
        <w:rPr>
          <w:bCs/>
          <w:szCs w:val="21"/>
        </w:rPr>
        <w:t>净值和基金份额累计净值。</w:t>
      </w:r>
    </w:p>
    <w:p w14:paraId="77D6C276" w14:textId="77777777" w:rsidR="00BF38BB" w:rsidRDefault="002837D7">
      <w:pPr>
        <w:spacing w:line="360" w:lineRule="auto"/>
        <w:ind w:firstLineChars="200" w:firstLine="420"/>
        <w:rPr>
          <w:bCs/>
          <w:szCs w:val="21"/>
        </w:rPr>
      </w:pPr>
      <w:r>
        <w:rPr>
          <w:bCs/>
          <w:szCs w:val="21"/>
        </w:rPr>
        <w:t>五）基金份额申购、赎回价格</w:t>
      </w:r>
    </w:p>
    <w:p w14:paraId="04EF16DE" w14:textId="77777777" w:rsidR="00BF38BB" w:rsidRDefault="002837D7">
      <w:pPr>
        <w:spacing w:line="360" w:lineRule="auto"/>
        <w:ind w:firstLineChars="200" w:firstLine="420"/>
        <w:rPr>
          <w:bCs/>
          <w:szCs w:val="21"/>
        </w:rPr>
      </w:pPr>
      <w:r>
        <w:rPr>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34CE8A3" w14:textId="77777777" w:rsidR="00BF38BB" w:rsidRDefault="002837D7">
      <w:pPr>
        <w:spacing w:line="360" w:lineRule="auto"/>
        <w:ind w:firstLineChars="200" w:firstLine="420"/>
        <w:rPr>
          <w:bCs/>
          <w:szCs w:val="21"/>
        </w:rPr>
      </w:pPr>
      <w:r>
        <w:rPr>
          <w:bCs/>
          <w:szCs w:val="21"/>
        </w:rPr>
        <w:lastRenderedPageBreak/>
        <w:t>六）基金定期报告，包括基金年度报告、基金中期报告和基金季度报告</w:t>
      </w:r>
    </w:p>
    <w:p w14:paraId="18859294" w14:textId="77777777" w:rsidR="00BF38BB" w:rsidRDefault="002837D7">
      <w:pPr>
        <w:spacing w:line="360" w:lineRule="auto"/>
        <w:ind w:firstLineChars="200" w:firstLine="420"/>
        <w:rPr>
          <w:bCs/>
          <w:szCs w:val="21"/>
        </w:rPr>
      </w:pPr>
      <w:r>
        <w:rPr>
          <w:bCs/>
          <w:szCs w:val="21"/>
        </w:rPr>
        <w:t>基金管理人应当在每年结束之日起三个月内，编制完成基金年度报告，将年度报告登载在规定网站上，并将年度报告</w:t>
      </w:r>
      <w:r>
        <w:rPr>
          <w:rFonts w:hint="eastAsia"/>
          <w:bCs/>
          <w:szCs w:val="21"/>
        </w:rPr>
        <w:t>提示性公告</w:t>
      </w:r>
      <w:r>
        <w:rPr>
          <w:bCs/>
          <w:szCs w:val="21"/>
        </w:rPr>
        <w:t>登载在规定</w:t>
      </w:r>
      <w:r>
        <w:rPr>
          <w:rFonts w:hint="eastAsia"/>
          <w:bCs/>
          <w:szCs w:val="21"/>
        </w:rPr>
        <w:t>报刊</w:t>
      </w:r>
      <w:r>
        <w:rPr>
          <w:bCs/>
          <w:szCs w:val="21"/>
        </w:rPr>
        <w:t>上。基金</w:t>
      </w:r>
      <w:r>
        <w:rPr>
          <w:bCs/>
          <w:szCs w:val="21"/>
        </w:rPr>
        <w:t>年度报告</w:t>
      </w:r>
      <w:r>
        <w:rPr>
          <w:rFonts w:hint="eastAsia"/>
          <w:bCs/>
          <w:szCs w:val="21"/>
        </w:rPr>
        <w:t>中</w:t>
      </w:r>
      <w:r>
        <w:rPr>
          <w:bCs/>
          <w:szCs w:val="21"/>
        </w:rPr>
        <w:t>的财务会计报告应当经</w:t>
      </w:r>
      <w:r>
        <w:rPr>
          <w:rFonts w:hint="eastAsia"/>
          <w:bCs/>
          <w:szCs w:val="21"/>
        </w:rPr>
        <w:t>符合《中华人民共和国证券法》规定的</w:t>
      </w:r>
      <w:r>
        <w:rPr>
          <w:bCs/>
          <w:szCs w:val="21"/>
        </w:rPr>
        <w:t>会计师事务所审计。</w:t>
      </w:r>
    </w:p>
    <w:p w14:paraId="5754F7AE" w14:textId="77777777" w:rsidR="00BF38BB" w:rsidRDefault="002837D7">
      <w:pPr>
        <w:spacing w:line="360" w:lineRule="auto"/>
        <w:ind w:firstLineChars="200" w:firstLine="420"/>
        <w:rPr>
          <w:bCs/>
          <w:szCs w:val="21"/>
        </w:rPr>
      </w:pPr>
      <w:r>
        <w:rPr>
          <w:bCs/>
          <w:szCs w:val="21"/>
        </w:rPr>
        <w:t>基金管理人应当在上半年结束之日起两个月内，编制完成基金</w:t>
      </w:r>
      <w:r>
        <w:rPr>
          <w:rFonts w:hint="eastAsia"/>
          <w:bCs/>
          <w:szCs w:val="21"/>
        </w:rPr>
        <w:t>中期</w:t>
      </w:r>
      <w:r>
        <w:rPr>
          <w:bCs/>
          <w:szCs w:val="21"/>
        </w:rPr>
        <w:t>报告，将</w:t>
      </w:r>
      <w:r>
        <w:rPr>
          <w:rFonts w:hint="eastAsia"/>
          <w:bCs/>
          <w:szCs w:val="21"/>
        </w:rPr>
        <w:t>中期</w:t>
      </w:r>
      <w:r>
        <w:rPr>
          <w:bCs/>
          <w:szCs w:val="21"/>
        </w:rPr>
        <w:t>报告登载在</w:t>
      </w:r>
      <w:r>
        <w:rPr>
          <w:rFonts w:hint="eastAsia"/>
          <w:bCs/>
          <w:szCs w:val="21"/>
        </w:rPr>
        <w:t>规定</w:t>
      </w:r>
      <w:r>
        <w:rPr>
          <w:bCs/>
          <w:szCs w:val="21"/>
        </w:rPr>
        <w:t>网站上，</w:t>
      </w:r>
      <w:r>
        <w:rPr>
          <w:rFonts w:hint="eastAsia"/>
          <w:bCs/>
          <w:szCs w:val="21"/>
        </w:rPr>
        <w:t>并</w:t>
      </w:r>
      <w:r>
        <w:rPr>
          <w:bCs/>
          <w:szCs w:val="21"/>
        </w:rPr>
        <w:t>将</w:t>
      </w:r>
      <w:r>
        <w:rPr>
          <w:rFonts w:hint="eastAsia"/>
          <w:bCs/>
          <w:szCs w:val="21"/>
        </w:rPr>
        <w:t>中期</w:t>
      </w:r>
      <w:r>
        <w:rPr>
          <w:bCs/>
          <w:szCs w:val="21"/>
        </w:rPr>
        <w:t>报告</w:t>
      </w:r>
      <w:r>
        <w:rPr>
          <w:rFonts w:hint="eastAsia"/>
          <w:bCs/>
          <w:szCs w:val="21"/>
        </w:rPr>
        <w:t>提示性公告</w:t>
      </w:r>
      <w:r>
        <w:rPr>
          <w:bCs/>
          <w:szCs w:val="21"/>
        </w:rPr>
        <w:t>登载在规定</w:t>
      </w:r>
      <w:r>
        <w:rPr>
          <w:rFonts w:hint="eastAsia"/>
          <w:bCs/>
          <w:szCs w:val="21"/>
        </w:rPr>
        <w:t>报刊</w:t>
      </w:r>
      <w:r>
        <w:rPr>
          <w:bCs/>
          <w:szCs w:val="21"/>
        </w:rPr>
        <w:t>上。</w:t>
      </w:r>
    </w:p>
    <w:p w14:paraId="71AEA5B9" w14:textId="77777777" w:rsidR="00BF38BB" w:rsidRDefault="002837D7">
      <w:pPr>
        <w:spacing w:line="360" w:lineRule="auto"/>
        <w:ind w:firstLineChars="200" w:firstLine="420"/>
        <w:rPr>
          <w:bCs/>
          <w:szCs w:val="21"/>
        </w:rPr>
      </w:pPr>
      <w:r>
        <w:rPr>
          <w:bCs/>
          <w:szCs w:val="21"/>
        </w:rPr>
        <w:t>基金管理人应当在季度结束之日起</w:t>
      </w:r>
      <w:r>
        <w:rPr>
          <w:rFonts w:hint="eastAsia"/>
          <w:bCs/>
          <w:szCs w:val="21"/>
        </w:rPr>
        <w:t>十五</w:t>
      </w:r>
      <w:r>
        <w:rPr>
          <w:bCs/>
          <w:szCs w:val="21"/>
        </w:rPr>
        <w:t>个工作日内，编制完成基金季度报告，</w:t>
      </w:r>
      <w:r>
        <w:rPr>
          <w:rFonts w:hint="eastAsia"/>
          <w:bCs/>
          <w:szCs w:val="21"/>
        </w:rPr>
        <w:t>将季度报告登载在规定网站上，</w:t>
      </w:r>
      <w:r>
        <w:rPr>
          <w:bCs/>
          <w:szCs w:val="21"/>
        </w:rPr>
        <w:t>并将季度报告</w:t>
      </w:r>
      <w:r>
        <w:rPr>
          <w:rFonts w:hint="eastAsia"/>
          <w:bCs/>
          <w:szCs w:val="21"/>
        </w:rPr>
        <w:t>提示性公告</w:t>
      </w:r>
      <w:r>
        <w:rPr>
          <w:bCs/>
          <w:szCs w:val="21"/>
        </w:rPr>
        <w:t>登载在规定</w:t>
      </w:r>
      <w:r>
        <w:rPr>
          <w:rFonts w:hint="eastAsia"/>
          <w:bCs/>
          <w:szCs w:val="21"/>
        </w:rPr>
        <w:t>报刊</w:t>
      </w:r>
      <w:r>
        <w:rPr>
          <w:bCs/>
          <w:szCs w:val="21"/>
        </w:rPr>
        <w:t>上。</w:t>
      </w:r>
    </w:p>
    <w:p w14:paraId="5418B067" w14:textId="77777777" w:rsidR="00BF38BB" w:rsidRDefault="002837D7">
      <w:pPr>
        <w:spacing w:line="360" w:lineRule="auto"/>
        <w:ind w:firstLineChars="200" w:firstLine="420"/>
        <w:rPr>
          <w:bCs/>
          <w:szCs w:val="21"/>
        </w:rPr>
      </w:pPr>
      <w:r>
        <w:rPr>
          <w:bCs/>
          <w:szCs w:val="21"/>
        </w:rPr>
        <w:t>基金合同生效不足</w:t>
      </w:r>
      <w:r>
        <w:rPr>
          <w:bCs/>
          <w:szCs w:val="21"/>
        </w:rPr>
        <w:t>2</w:t>
      </w:r>
      <w:r>
        <w:rPr>
          <w:bCs/>
          <w:szCs w:val="21"/>
        </w:rPr>
        <w:t>个月的，基金管理人可以不编制当期季度报告、</w:t>
      </w:r>
      <w:r>
        <w:rPr>
          <w:rFonts w:hint="eastAsia"/>
          <w:bCs/>
          <w:szCs w:val="21"/>
        </w:rPr>
        <w:t>中期</w:t>
      </w:r>
      <w:r>
        <w:rPr>
          <w:bCs/>
          <w:szCs w:val="21"/>
        </w:rPr>
        <w:t>报告或者年度报告。</w:t>
      </w:r>
    </w:p>
    <w:p w14:paraId="5234458B" w14:textId="77777777" w:rsidR="00BF38BB" w:rsidRDefault="002837D7">
      <w:pPr>
        <w:spacing w:line="360" w:lineRule="auto"/>
        <w:ind w:firstLineChars="200" w:firstLine="420"/>
        <w:rPr>
          <w:bCs/>
          <w:szCs w:val="21"/>
        </w:rPr>
      </w:pPr>
      <w:r>
        <w:rPr>
          <w:bCs/>
          <w:szCs w:val="21"/>
        </w:rPr>
        <w:t>如报告期内出现单一投资者持有基金份额达到或超过基金总份额</w:t>
      </w:r>
      <w:r>
        <w:rPr>
          <w:bCs/>
          <w:szCs w:val="21"/>
        </w:rPr>
        <w:t>20%</w:t>
      </w:r>
      <w:r>
        <w:rPr>
          <w:bCs/>
          <w:szCs w:val="21"/>
        </w:rPr>
        <w:t>的情形，为保障其他投资者的权益，基金管理人至少应当在定期报告</w:t>
      </w:r>
      <w:r>
        <w:rPr>
          <w:bCs/>
          <w:szCs w:val="21"/>
        </w:rPr>
        <w:t>“</w:t>
      </w:r>
      <w:r>
        <w:rPr>
          <w:bCs/>
          <w:szCs w:val="21"/>
        </w:rPr>
        <w:t>影响投资者决策的其他重要信息</w:t>
      </w:r>
      <w:r>
        <w:rPr>
          <w:bCs/>
          <w:szCs w:val="21"/>
        </w:rPr>
        <w:t>”</w:t>
      </w:r>
      <w:r>
        <w:rPr>
          <w:bCs/>
          <w:szCs w:val="21"/>
        </w:rPr>
        <w:t>项下披露该投资者的类别、报告期末持有份额及占比、报告期内持有份额变化情况及本基金的特有风险，中国证监会认定的特殊情形除外。</w:t>
      </w:r>
    </w:p>
    <w:p w14:paraId="3A5CD571" w14:textId="77777777" w:rsidR="00BF38BB" w:rsidRDefault="002837D7">
      <w:pPr>
        <w:spacing w:line="360" w:lineRule="auto"/>
        <w:ind w:firstLineChars="200" w:firstLine="420"/>
        <w:rPr>
          <w:bCs/>
          <w:szCs w:val="21"/>
        </w:rPr>
      </w:pPr>
      <w:r>
        <w:rPr>
          <w:bCs/>
          <w:szCs w:val="21"/>
        </w:rPr>
        <w:t>基金管理人应当在基金年度报告和</w:t>
      </w:r>
      <w:r>
        <w:rPr>
          <w:rFonts w:hint="eastAsia"/>
          <w:bCs/>
          <w:szCs w:val="21"/>
        </w:rPr>
        <w:t>中期</w:t>
      </w:r>
      <w:r>
        <w:rPr>
          <w:bCs/>
          <w:szCs w:val="21"/>
        </w:rPr>
        <w:t>报告中披露基金组合资产情况及其流动性风险分析等。</w:t>
      </w:r>
    </w:p>
    <w:p w14:paraId="167511C4" w14:textId="77777777" w:rsidR="00BF38BB" w:rsidRDefault="002837D7">
      <w:pPr>
        <w:spacing w:line="360" w:lineRule="auto"/>
        <w:ind w:firstLineChars="200" w:firstLine="420"/>
        <w:rPr>
          <w:bCs/>
          <w:szCs w:val="21"/>
        </w:rPr>
      </w:pPr>
      <w:r>
        <w:rPr>
          <w:bCs/>
          <w:szCs w:val="21"/>
        </w:rPr>
        <w:t>七）临时报告</w:t>
      </w:r>
    </w:p>
    <w:p w14:paraId="24374B25" w14:textId="77777777" w:rsidR="00BF38BB" w:rsidRDefault="002837D7">
      <w:pPr>
        <w:spacing w:line="360" w:lineRule="auto"/>
        <w:ind w:firstLineChars="200" w:firstLine="420"/>
        <w:rPr>
          <w:bCs/>
          <w:szCs w:val="21"/>
        </w:rPr>
      </w:pPr>
      <w:r>
        <w:rPr>
          <w:bCs/>
          <w:szCs w:val="21"/>
        </w:rPr>
        <w:t>本基金发生重大事件，有关信息披露义务人应当依照《信息披露办法》的有关规定编制临时报告书，</w:t>
      </w:r>
      <w:r>
        <w:rPr>
          <w:rFonts w:hint="eastAsia"/>
          <w:bCs/>
          <w:szCs w:val="21"/>
        </w:rPr>
        <w:t>并</w:t>
      </w:r>
      <w:r>
        <w:rPr>
          <w:bCs/>
          <w:szCs w:val="21"/>
        </w:rPr>
        <w:t>登载在规定报刊和规定网站上。</w:t>
      </w:r>
    </w:p>
    <w:p w14:paraId="784A9418" w14:textId="77777777" w:rsidR="00BF38BB" w:rsidRDefault="002837D7">
      <w:pPr>
        <w:spacing w:line="360" w:lineRule="auto"/>
        <w:ind w:firstLineChars="200" w:firstLine="420"/>
        <w:rPr>
          <w:bCs/>
          <w:szCs w:val="21"/>
        </w:rPr>
      </w:pPr>
      <w:r>
        <w:rPr>
          <w:bCs/>
          <w:szCs w:val="21"/>
        </w:rPr>
        <w:t>前款所称重大事件</w:t>
      </w:r>
      <w:r>
        <w:rPr>
          <w:bCs/>
          <w:szCs w:val="21"/>
        </w:rPr>
        <w:t>，是指可能对基金份额持有人权益或者基金份额的价格产生重大影响的下列事件：</w:t>
      </w:r>
    </w:p>
    <w:p w14:paraId="60204BC3"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、基金份额持有人大会的召开及决定的事项；</w:t>
      </w:r>
    </w:p>
    <w:p w14:paraId="5207592C" w14:textId="77777777" w:rsidR="00BF38BB" w:rsidRDefault="002837D7">
      <w:pPr>
        <w:spacing w:line="360" w:lineRule="auto"/>
        <w:ind w:firstLineChars="200" w:firstLine="420"/>
        <w:rPr>
          <w:bCs/>
          <w:szCs w:val="21"/>
        </w:rPr>
      </w:pPr>
      <w:r>
        <w:rPr>
          <w:bCs/>
          <w:szCs w:val="21"/>
        </w:rPr>
        <w:t>2</w:t>
      </w:r>
      <w:r>
        <w:rPr>
          <w:rFonts w:hint="eastAsia"/>
          <w:bCs/>
          <w:szCs w:val="21"/>
        </w:rPr>
        <w:t>、基金合同终止、基金清算；</w:t>
      </w:r>
    </w:p>
    <w:p w14:paraId="7EF4C4F2"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、本基金转换基金运作方式、与其他基金合并；</w:t>
      </w:r>
    </w:p>
    <w:p w14:paraId="0F348190" w14:textId="77777777" w:rsidR="00BF38BB" w:rsidRDefault="002837D7">
      <w:pPr>
        <w:spacing w:line="360" w:lineRule="auto"/>
        <w:ind w:firstLineChars="200" w:firstLine="420"/>
        <w:rPr>
          <w:bCs/>
          <w:szCs w:val="21"/>
        </w:rPr>
      </w:pPr>
      <w:r>
        <w:rPr>
          <w:bCs/>
          <w:szCs w:val="21"/>
        </w:rPr>
        <w:t>4</w:t>
      </w:r>
      <w:r>
        <w:rPr>
          <w:rFonts w:hint="eastAsia"/>
          <w:bCs/>
          <w:szCs w:val="21"/>
        </w:rPr>
        <w:t>、</w:t>
      </w:r>
      <w:r>
        <w:rPr>
          <w:bCs/>
          <w:szCs w:val="21"/>
        </w:rPr>
        <w:t>本基金</w:t>
      </w:r>
      <w:r>
        <w:rPr>
          <w:rFonts w:hint="eastAsia"/>
          <w:bCs/>
          <w:szCs w:val="21"/>
        </w:rPr>
        <w:t>更换基金管理人、基金托管人、基金份额登记机构，本基金改聘会计师事务所；</w:t>
      </w:r>
    </w:p>
    <w:p w14:paraId="6C5B1859"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、基金管理人委托基金服务机构代为办理基金的份额登记、核算、估值等事项，基金托管人委托基金服务机构代为办理基金的核算、估值、复核等事项；</w:t>
      </w:r>
    </w:p>
    <w:p w14:paraId="7DC20085" w14:textId="77777777" w:rsidR="00BF38BB" w:rsidRDefault="002837D7">
      <w:pPr>
        <w:spacing w:line="360" w:lineRule="auto"/>
        <w:ind w:firstLineChars="200" w:firstLine="420"/>
        <w:rPr>
          <w:bCs/>
          <w:szCs w:val="21"/>
        </w:rPr>
      </w:pPr>
      <w:r>
        <w:rPr>
          <w:bCs/>
          <w:szCs w:val="21"/>
        </w:rPr>
        <w:t>6</w:t>
      </w:r>
      <w:r>
        <w:rPr>
          <w:rFonts w:hint="eastAsia"/>
          <w:bCs/>
          <w:szCs w:val="21"/>
        </w:rPr>
        <w:t>、基金管理人、基金托管人的法定名称、住所发生变更；</w:t>
      </w:r>
    </w:p>
    <w:p w14:paraId="169AE7A1" w14:textId="77777777" w:rsidR="00BF38BB" w:rsidRDefault="002837D7">
      <w:pPr>
        <w:spacing w:line="360" w:lineRule="auto"/>
        <w:ind w:firstLineChars="200" w:firstLine="420"/>
        <w:rPr>
          <w:bCs/>
          <w:szCs w:val="21"/>
        </w:rPr>
      </w:pPr>
      <w:r>
        <w:rPr>
          <w:rFonts w:hint="eastAsia"/>
          <w:bCs/>
          <w:szCs w:val="21"/>
        </w:rPr>
        <w:t>7</w:t>
      </w:r>
      <w:r>
        <w:rPr>
          <w:rFonts w:hint="eastAsia"/>
          <w:bCs/>
          <w:szCs w:val="21"/>
        </w:rPr>
        <w:t>、基金管理人变更持有百分之五以上股权的股东、变更基金管理人的实际控制人；</w:t>
      </w:r>
    </w:p>
    <w:p w14:paraId="4FB4C1F6" w14:textId="77777777" w:rsidR="00BF38BB" w:rsidRDefault="002837D7">
      <w:pPr>
        <w:spacing w:line="360" w:lineRule="auto"/>
        <w:ind w:firstLineChars="200" w:firstLine="420"/>
        <w:rPr>
          <w:bCs/>
          <w:szCs w:val="21"/>
        </w:rPr>
      </w:pPr>
      <w:r>
        <w:rPr>
          <w:rFonts w:hint="eastAsia"/>
          <w:bCs/>
          <w:szCs w:val="21"/>
        </w:rPr>
        <w:t>8</w:t>
      </w:r>
      <w:r>
        <w:rPr>
          <w:rFonts w:hint="eastAsia"/>
          <w:bCs/>
          <w:szCs w:val="21"/>
        </w:rPr>
        <w:t>、本基金募集期延长或提前结束募集；</w:t>
      </w:r>
    </w:p>
    <w:p w14:paraId="6481D63A" w14:textId="77777777" w:rsidR="00BF38BB" w:rsidRDefault="002837D7">
      <w:pPr>
        <w:spacing w:line="360" w:lineRule="auto"/>
        <w:ind w:firstLineChars="200" w:firstLine="420"/>
        <w:rPr>
          <w:bCs/>
          <w:szCs w:val="21"/>
        </w:rPr>
      </w:pPr>
      <w:r>
        <w:rPr>
          <w:bCs/>
          <w:szCs w:val="21"/>
        </w:rPr>
        <w:t>9</w:t>
      </w:r>
      <w:r>
        <w:rPr>
          <w:rFonts w:hint="eastAsia"/>
          <w:bCs/>
          <w:szCs w:val="21"/>
        </w:rPr>
        <w:t>、基金管理人的高级管理人员、基金经理和基金托管人专门基金托管部门负责人发生变动；</w:t>
      </w:r>
    </w:p>
    <w:p w14:paraId="6404636F" w14:textId="77777777" w:rsidR="00BF38BB" w:rsidRDefault="002837D7">
      <w:pPr>
        <w:spacing w:line="360" w:lineRule="auto"/>
        <w:ind w:firstLineChars="200" w:firstLine="420"/>
        <w:rPr>
          <w:bCs/>
          <w:szCs w:val="21"/>
        </w:rPr>
      </w:pPr>
      <w:r>
        <w:rPr>
          <w:bCs/>
          <w:szCs w:val="21"/>
        </w:rPr>
        <w:t>10</w:t>
      </w:r>
      <w:r>
        <w:rPr>
          <w:rFonts w:hint="eastAsia"/>
          <w:bCs/>
          <w:szCs w:val="21"/>
        </w:rPr>
        <w:t>、基金管理人的董事在最近</w:t>
      </w:r>
      <w:r>
        <w:rPr>
          <w:bCs/>
          <w:szCs w:val="21"/>
        </w:rPr>
        <w:t>12</w:t>
      </w:r>
      <w:r>
        <w:rPr>
          <w:rFonts w:hint="eastAsia"/>
          <w:bCs/>
          <w:szCs w:val="21"/>
        </w:rPr>
        <w:t>个月内变更超过百分之五十，基金管理人、基金托管人专门基金托管部门的主要业务人员在最近</w:t>
      </w:r>
      <w:r>
        <w:rPr>
          <w:bCs/>
          <w:szCs w:val="21"/>
        </w:rPr>
        <w:t>12</w:t>
      </w:r>
      <w:r>
        <w:rPr>
          <w:rFonts w:hint="eastAsia"/>
          <w:bCs/>
          <w:szCs w:val="21"/>
        </w:rPr>
        <w:t>个月内变动超过百分之三十；</w:t>
      </w:r>
    </w:p>
    <w:p w14:paraId="1767768A" w14:textId="77777777" w:rsidR="00BF38BB" w:rsidRDefault="002837D7">
      <w:pPr>
        <w:spacing w:line="360" w:lineRule="auto"/>
        <w:ind w:firstLineChars="200" w:firstLine="420"/>
        <w:rPr>
          <w:bCs/>
          <w:szCs w:val="21"/>
        </w:rPr>
      </w:pPr>
      <w:r>
        <w:rPr>
          <w:bCs/>
          <w:szCs w:val="21"/>
        </w:rPr>
        <w:t>11</w:t>
      </w:r>
      <w:r>
        <w:rPr>
          <w:rFonts w:hint="eastAsia"/>
          <w:bCs/>
          <w:szCs w:val="21"/>
        </w:rPr>
        <w:t>、涉及基金财产、基金管理业务、基金托管业务的诉讼或仲裁；</w:t>
      </w:r>
    </w:p>
    <w:p w14:paraId="773B3E1B" w14:textId="77777777" w:rsidR="00BF38BB" w:rsidRDefault="002837D7">
      <w:pPr>
        <w:spacing w:line="360" w:lineRule="auto"/>
        <w:ind w:firstLineChars="200" w:firstLine="420"/>
        <w:rPr>
          <w:bCs/>
          <w:szCs w:val="21"/>
        </w:rPr>
      </w:pPr>
      <w:r>
        <w:rPr>
          <w:bCs/>
          <w:szCs w:val="21"/>
        </w:rPr>
        <w:lastRenderedPageBreak/>
        <w:t>12</w:t>
      </w:r>
      <w:r>
        <w:rPr>
          <w:rFonts w:hint="eastAsia"/>
          <w:bCs/>
          <w:szCs w:val="21"/>
        </w:rPr>
        <w:t>、基金管理人或其高级管理人员、基金经理因基金管理业务相关行为受到重大行政处罚、刑事处罚，基金托管人或</w:t>
      </w:r>
      <w:r>
        <w:rPr>
          <w:rFonts w:hint="eastAsia"/>
          <w:bCs/>
          <w:szCs w:val="21"/>
        </w:rPr>
        <w:t>其专门基金托管部门负责人因基金托管业务相关行为受到重大行政处罚、刑事处罚；</w:t>
      </w:r>
    </w:p>
    <w:p w14:paraId="36CA97EE" w14:textId="77777777" w:rsidR="00BF38BB" w:rsidRDefault="002837D7">
      <w:pPr>
        <w:spacing w:line="360" w:lineRule="auto"/>
        <w:ind w:firstLineChars="200" w:firstLine="420"/>
        <w:rPr>
          <w:bCs/>
          <w:szCs w:val="21"/>
        </w:rPr>
      </w:pPr>
      <w:r>
        <w:rPr>
          <w:bCs/>
          <w:szCs w:val="21"/>
        </w:rPr>
        <w:t>13</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53364B3" w14:textId="77777777" w:rsidR="00BF38BB" w:rsidRDefault="002837D7">
      <w:pPr>
        <w:spacing w:line="360" w:lineRule="auto"/>
        <w:ind w:firstLineChars="200" w:firstLine="420"/>
        <w:rPr>
          <w:bCs/>
          <w:szCs w:val="21"/>
        </w:rPr>
      </w:pPr>
      <w:r>
        <w:rPr>
          <w:rFonts w:hint="eastAsia"/>
          <w:bCs/>
          <w:szCs w:val="21"/>
        </w:rPr>
        <w:t>1</w:t>
      </w:r>
      <w:r>
        <w:rPr>
          <w:bCs/>
          <w:szCs w:val="21"/>
        </w:rPr>
        <w:t>4</w:t>
      </w:r>
      <w:r>
        <w:rPr>
          <w:rFonts w:hint="eastAsia"/>
          <w:bCs/>
          <w:szCs w:val="21"/>
        </w:rPr>
        <w:t>、</w:t>
      </w:r>
      <w:r>
        <w:rPr>
          <w:bCs/>
          <w:szCs w:val="21"/>
        </w:rPr>
        <w:t>本</w:t>
      </w:r>
      <w:r>
        <w:rPr>
          <w:rFonts w:hint="eastAsia"/>
          <w:bCs/>
          <w:szCs w:val="21"/>
        </w:rPr>
        <w:t>基金收益分配事项；</w:t>
      </w:r>
    </w:p>
    <w:p w14:paraId="6FAAD555" w14:textId="77777777" w:rsidR="00BF38BB" w:rsidRDefault="002837D7">
      <w:pPr>
        <w:spacing w:line="360" w:lineRule="auto"/>
        <w:ind w:firstLineChars="200" w:firstLine="420"/>
        <w:rPr>
          <w:bCs/>
          <w:szCs w:val="21"/>
        </w:rPr>
      </w:pPr>
      <w:r>
        <w:rPr>
          <w:bCs/>
          <w:szCs w:val="21"/>
        </w:rPr>
        <w:t>15</w:t>
      </w:r>
      <w:r>
        <w:rPr>
          <w:rFonts w:hint="eastAsia"/>
          <w:bCs/>
          <w:szCs w:val="21"/>
        </w:rPr>
        <w:t>、管理费、托管费、销售服务费、申购费、赎回费等费用计提标准、计提方式和费率发生变更；</w:t>
      </w:r>
    </w:p>
    <w:p w14:paraId="07C70176" w14:textId="77777777" w:rsidR="00BF38BB" w:rsidRDefault="002837D7">
      <w:pPr>
        <w:spacing w:line="360" w:lineRule="auto"/>
        <w:ind w:firstLineChars="200" w:firstLine="420"/>
        <w:rPr>
          <w:bCs/>
          <w:szCs w:val="21"/>
        </w:rPr>
      </w:pPr>
      <w:r>
        <w:rPr>
          <w:bCs/>
          <w:szCs w:val="21"/>
        </w:rPr>
        <w:t>16</w:t>
      </w:r>
      <w:r>
        <w:rPr>
          <w:rFonts w:hint="eastAsia"/>
          <w:bCs/>
          <w:szCs w:val="21"/>
        </w:rPr>
        <w:t>、某类基金份额的基金份额净值计价错误达该类基金份额的基金份额净值百分之零点五；</w:t>
      </w:r>
    </w:p>
    <w:p w14:paraId="788FCEC6" w14:textId="77777777" w:rsidR="00BF38BB" w:rsidRDefault="002837D7">
      <w:pPr>
        <w:spacing w:line="360" w:lineRule="auto"/>
        <w:ind w:firstLineChars="200" w:firstLine="420"/>
        <w:rPr>
          <w:bCs/>
          <w:szCs w:val="21"/>
        </w:rPr>
      </w:pPr>
      <w:r>
        <w:rPr>
          <w:bCs/>
          <w:szCs w:val="21"/>
        </w:rPr>
        <w:t>17</w:t>
      </w:r>
      <w:r>
        <w:rPr>
          <w:rFonts w:hint="eastAsia"/>
          <w:bCs/>
          <w:szCs w:val="21"/>
        </w:rPr>
        <w:t>、本基金开始办理申购、赎回；</w:t>
      </w:r>
    </w:p>
    <w:p w14:paraId="3FFC8A00" w14:textId="77777777" w:rsidR="00BF38BB" w:rsidRDefault="002837D7">
      <w:pPr>
        <w:spacing w:line="360" w:lineRule="auto"/>
        <w:ind w:firstLineChars="200" w:firstLine="420"/>
        <w:rPr>
          <w:bCs/>
          <w:szCs w:val="21"/>
        </w:rPr>
      </w:pPr>
      <w:r>
        <w:rPr>
          <w:bCs/>
          <w:szCs w:val="21"/>
        </w:rPr>
        <w:t>18</w:t>
      </w:r>
      <w:r>
        <w:rPr>
          <w:rFonts w:hint="eastAsia"/>
          <w:bCs/>
          <w:szCs w:val="21"/>
        </w:rPr>
        <w:t>、本基金发生巨额赎回并延期办理；</w:t>
      </w:r>
    </w:p>
    <w:p w14:paraId="5646F671" w14:textId="77777777" w:rsidR="00BF38BB" w:rsidRDefault="002837D7">
      <w:pPr>
        <w:spacing w:line="360" w:lineRule="auto"/>
        <w:ind w:firstLineChars="200" w:firstLine="420"/>
        <w:rPr>
          <w:bCs/>
          <w:szCs w:val="21"/>
        </w:rPr>
      </w:pPr>
      <w:r>
        <w:rPr>
          <w:bCs/>
          <w:szCs w:val="21"/>
        </w:rPr>
        <w:t>19</w:t>
      </w:r>
      <w:r>
        <w:rPr>
          <w:rFonts w:hint="eastAsia"/>
          <w:bCs/>
          <w:szCs w:val="21"/>
        </w:rPr>
        <w:t>、本基金连续发生巨额赎回并暂停接受赎回申请或延缓支付赎回款项；</w:t>
      </w:r>
    </w:p>
    <w:p w14:paraId="7B694216" w14:textId="77777777" w:rsidR="00BF38BB" w:rsidRDefault="002837D7">
      <w:pPr>
        <w:spacing w:line="360" w:lineRule="auto"/>
        <w:ind w:firstLineChars="200" w:firstLine="420"/>
        <w:rPr>
          <w:bCs/>
          <w:szCs w:val="21"/>
        </w:rPr>
      </w:pPr>
      <w:r>
        <w:rPr>
          <w:bCs/>
          <w:szCs w:val="21"/>
        </w:rPr>
        <w:t>20</w:t>
      </w:r>
      <w:r>
        <w:rPr>
          <w:rFonts w:hint="eastAsia"/>
          <w:bCs/>
          <w:szCs w:val="21"/>
        </w:rPr>
        <w:t>、</w:t>
      </w:r>
      <w:r>
        <w:rPr>
          <w:bCs/>
          <w:szCs w:val="21"/>
        </w:rPr>
        <w:t>本</w:t>
      </w:r>
      <w:r>
        <w:rPr>
          <w:rFonts w:hint="eastAsia"/>
          <w:bCs/>
          <w:szCs w:val="21"/>
        </w:rPr>
        <w:t>基金暂停接受申购、赎回申请或重新接受申购、赎回申请；</w:t>
      </w:r>
    </w:p>
    <w:p w14:paraId="10193B8F" w14:textId="77777777" w:rsidR="00BF38BB" w:rsidRDefault="002837D7">
      <w:pPr>
        <w:spacing w:line="360" w:lineRule="auto"/>
        <w:ind w:firstLineChars="200" w:firstLine="420"/>
        <w:rPr>
          <w:bCs/>
          <w:szCs w:val="21"/>
        </w:rPr>
      </w:pPr>
      <w:r>
        <w:rPr>
          <w:bCs/>
          <w:szCs w:val="21"/>
        </w:rPr>
        <w:t>21</w:t>
      </w:r>
      <w:r>
        <w:rPr>
          <w:bCs/>
          <w:szCs w:val="21"/>
        </w:rPr>
        <w:t>、基金管理人采用摆动定价机制进行估值</w:t>
      </w:r>
      <w:r>
        <w:rPr>
          <w:rFonts w:hint="eastAsia"/>
          <w:bCs/>
          <w:szCs w:val="21"/>
        </w:rPr>
        <w:t>；</w:t>
      </w:r>
    </w:p>
    <w:p w14:paraId="330E9047" w14:textId="77777777" w:rsidR="00BF38BB" w:rsidRDefault="002837D7">
      <w:pPr>
        <w:spacing w:line="360" w:lineRule="auto"/>
        <w:ind w:firstLineChars="200" w:firstLine="420"/>
        <w:rPr>
          <w:bCs/>
          <w:szCs w:val="21"/>
        </w:rPr>
      </w:pPr>
      <w:r>
        <w:rPr>
          <w:rFonts w:hint="eastAsia"/>
          <w:bCs/>
          <w:szCs w:val="21"/>
        </w:rPr>
        <w:t>2</w:t>
      </w:r>
      <w:r>
        <w:rPr>
          <w:bCs/>
          <w:szCs w:val="21"/>
        </w:rPr>
        <w:t>2</w:t>
      </w:r>
      <w:r>
        <w:rPr>
          <w:rFonts w:hint="eastAsia"/>
          <w:bCs/>
          <w:szCs w:val="21"/>
        </w:rPr>
        <w:t>、调整本基金份额类别设置；</w:t>
      </w:r>
    </w:p>
    <w:p w14:paraId="50C1B787" w14:textId="77777777" w:rsidR="00BF38BB" w:rsidRDefault="002837D7">
      <w:pPr>
        <w:spacing w:line="360" w:lineRule="auto"/>
        <w:ind w:firstLineChars="200" w:firstLine="420"/>
        <w:rPr>
          <w:bCs/>
          <w:szCs w:val="21"/>
        </w:rPr>
      </w:pPr>
      <w:r>
        <w:rPr>
          <w:rFonts w:hint="eastAsia"/>
          <w:bCs/>
          <w:szCs w:val="21"/>
        </w:rPr>
        <w:t>2</w:t>
      </w:r>
      <w:r>
        <w:rPr>
          <w:bCs/>
          <w:szCs w:val="21"/>
        </w:rPr>
        <w:t>3</w:t>
      </w:r>
      <w:r>
        <w:rPr>
          <w:rFonts w:hint="eastAsia"/>
          <w:bCs/>
          <w:szCs w:val="21"/>
        </w:rPr>
        <w:t>、发生涉及基金申购、赎回事项调整或潜在影响投资者赎回等重大事项时；</w:t>
      </w:r>
    </w:p>
    <w:p w14:paraId="32AA97AD" w14:textId="77777777" w:rsidR="00BF38BB" w:rsidRDefault="002837D7">
      <w:pPr>
        <w:spacing w:line="360" w:lineRule="auto"/>
        <w:ind w:firstLineChars="200" w:firstLine="420"/>
        <w:rPr>
          <w:bCs/>
          <w:szCs w:val="21"/>
        </w:rPr>
      </w:pPr>
      <w:r>
        <w:rPr>
          <w:bCs/>
          <w:szCs w:val="21"/>
        </w:rPr>
        <w:t>24</w:t>
      </w:r>
      <w:r>
        <w:rPr>
          <w:bCs/>
          <w:szCs w:val="21"/>
        </w:rPr>
        <w:t>、</w:t>
      </w:r>
      <w:r>
        <w:rPr>
          <w:rFonts w:hint="eastAsia"/>
          <w:bCs/>
          <w:szCs w:val="21"/>
        </w:rPr>
        <w:t>基金信息披露义务人认为可能对基金份额持有人权益或者基金份额的价格产生重大影响的其他事项或中国证监会规定的其他事项。</w:t>
      </w:r>
    </w:p>
    <w:p w14:paraId="55899553" w14:textId="77777777" w:rsidR="00BF38BB" w:rsidRDefault="002837D7">
      <w:pPr>
        <w:spacing w:line="360" w:lineRule="auto"/>
        <w:ind w:firstLineChars="200" w:firstLine="420"/>
        <w:rPr>
          <w:bCs/>
          <w:szCs w:val="21"/>
        </w:rPr>
      </w:pPr>
      <w:r>
        <w:rPr>
          <w:bCs/>
          <w:szCs w:val="21"/>
        </w:rPr>
        <w:t>八）澄清公告</w:t>
      </w:r>
    </w:p>
    <w:p w14:paraId="1A3263F3" w14:textId="77777777" w:rsidR="00BF38BB" w:rsidRDefault="002837D7">
      <w:pPr>
        <w:spacing w:line="360" w:lineRule="auto"/>
        <w:ind w:firstLineChars="200" w:firstLine="420"/>
        <w:rPr>
          <w:bCs/>
          <w:szCs w:val="21"/>
        </w:rPr>
      </w:pPr>
      <w:r>
        <w:rPr>
          <w:bCs/>
          <w:szCs w:val="21"/>
        </w:rPr>
        <w:t>在基金合同存续期限内，任何公共</w:t>
      </w:r>
      <w:r>
        <w:rPr>
          <w:rFonts w:hint="eastAsia"/>
          <w:bCs/>
          <w:szCs w:val="21"/>
        </w:rPr>
        <w:t>媒介</w:t>
      </w:r>
      <w:r>
        <w:rPr>
          <w:bCs/>
          <w:szCs w:val="21"/>
        </w:rPr>
        <w:t>中出现的或者在市场上流传的消息可能对基金份额价格产生误导性影响或者引起较大波动，以及可能损害基金份额持有人权益</w:t>
      </w:r>
      <w:r>
        <w:rPr>
          <w:rFonts w:hint="eastAsia"/>
          <w:bCs/>
          <w:szCs w:val="21"/>
        </w:rPr>
        <w:t>的，</w:t>
      </w:r>
      <w:r>
        <w:rPr>
          <w:bCs/>
          <w:szCs w:val="21"/>
        </w:rPr>
        <w:t>相关信息披露义务人知悉后应当立即对该消息进行公开澄清。</w:t>
      </w:r>
    </w:p>
    <w:p w14:paraId="1A31301B" w14:textId="77777777" w:rsidR="00BF38BB" w:rsidRDefault="002837D7">
      <w:pPr>
        <w:spacing w:line="360" w:lineRule="auto"/>
        <w:ind w:firstLineChars="200" w:firstLine="420"/>
        <w:rPr>
          <w:bCs/>
          <w:szCs w:val="21"/>
        </w:rPr>
      </w:pPr>
      <w:r>
        <w:rPr>
          <w:bCs/>
          <w:szCs w:val="21"/>
        </w:rPr>
        <w:t>九）基金份额持有人大会决议</w:t>
      </w:r>
    </w:p>
    <w:p w14:paraId="6C0F3294" w14:textId="77777777" w:rsidR="00BF38BB" w:rsidRDefault="002837D7">
      <w:pPr>
        <w:spacing w:line="360" w:lineRule="auto"/>
        <w:ind w:firstLineChars="200" w:firstLine="420"/>
        <w:rPr>
          <w:bCs/>
          <w:szCs w:val="21"/>
        </w:rPr>
      </w:pPr>
      <w:r>
        <w:rPr>
          <w:bCs/>
          <w:szCs w:val="21"/>
        </w:rPr>
        <w:t>基金份额持有人大会</w:t>
      </w:r>
      <w:r>
        <w:rPr>
          <w:rFonts w:hint="eastAsia"/>
          <w:bCs/>
          <w:szCs w:val="21"/>
        </w:rPr>
        <w:t>决议</w:t>
      </w:r>
      <w:r>
        <w:rPr>
          <w:bCs/>
          <w:szCs w:val="21"/>
        </w:rPr>
        <w:t>，应当依法报</w:t>
      </w:r>
      <w:r>
        <w:rPr>
          <w:rFonts w:hint="eastAsia"/>
          <w:bCs/>
          <w:szCs w:val="21"/>
        </w:rPr>
        <w:t>中国证监会</w:t>
      </w:r>
      <w:r>
        <w:rPr>
          <w:bCs/>
          <w:szCs w:val="21"/>
        </w:rPr>
        <w:t>备案，并予以公告。</w:t>
      </w:r>
    </w:p>
    <w:p w14:paraId="1E144F81" w14:textId="77777777" w:rsidR="00BF38BB" w:rsidRDefault="002837D7">
      <w:pPr>
        <w:spacing w:line="360" w:lineRule="auto"/>
        <w:ind w:firstLineChars="200" w:firstLine="420"/>
        <w:rPr>
          <w:bCs/>
          <w:szCs w:val="21"/>
        </w:rPr>
      </w:pPr>
      <w:bookmarkStart w:id="109" w:name="_Hlk21945119"/>
      <w:r>
        <w:rPr>
          <w:bCs/>
          <w:szCs w:val="21"/>
        </w:rPr>
        <w:t>十）</w:t>
      </w:r>
      <w:r>
        <w:rPr>
          <w:rFonts w:hint="eastAsia"/>
          <w:bCs/>
          <w:szCs w:val="21"/>
        </w:rPr>
        <w:t>清算报告</w:t>
      </w:r>
    </w:p>
    <w:p w14:paraId="0C3AC588" w14:textId="77777777" w:rsidR="00BF38BB" w:rsidRDefault="002837D7">
      <w:pPr>
        <w:spacing w:line="360" w:lineRule="auto"/>
        <w:ind w:firstLineChars="200" w:firstLine="420"/>
        <w:rPr>
          <w:bCs/>
          <w:szCs w:val="21"/>
        </w:rPr>
      </w:pPr>
      <w:r>
        <w:rPr>
          <w:rFonts w:hint="eastAsia"/>
          <w:bCs/>
          <w:szCs w:val="21"/>
        </w:rPr>
        <w:t>发生基金合同终止事由的，基金管理人应当依法组织基金财产清算小组对基金财产进行清算并制作清算报告。基金财产清算小组应当将清算报告登载在规定网站上，并将清算报告提示性公告登载在规定报刊上。</w:t>
      </w:r>
    </w:p>
    <w:bookmarkEnd w:id="109"/>
    <w:p w14:paraId="45B8B8B0" w14:textId="77777777" w:rsidR="00BF38BB" w:rsidRDefault="002837D7">
      <w:pPr>
        <w:spacing w:line="360" w:lineRule="auto"/>
        <w:ind w:firstLineChars="200" w:firstLine="420"/>
        <w:rPr>
          <w:bCs/>
          <w:szCs w:val="21"/>
        </w:rPr>
      </w:pPr>
      <w:r>
        <w:rPr>
          <w:bCs/>
          <w:szCs w:val="21"/>
        </w:rPr>
        <w:t>十</w:t>
      </w:r>
      <w:r>
        <w:rPr>
          <w:rFonts w:hint="eastAsia"/>
          <w:bCs/>
          <w:szCs w:val="21"/>
        </w:rPr>
        <w:t>一</w:t>
      </w:r>
      <w:r>
        <w:rPr>
          <w:bCs/>
          <w:szCs w:val="21"/>
        </w:rPr>
        <w:t>）</w:t>
      </w:r>
      <w:r>
        <w:rPr>
          <w:rFonts w:hint="eastAsia"/>
          <w:bCs/>
          <w:szCs w:val="21"/>
        </w:rPr>
        <w:t>实施侧袋机制期间的信息披露</w:t>
      </w:r>
    </w:p>
    <w:p w14:paraId="5A922050" w14:textId="77777777" w:rsidR="00BF38BB" w:rsidRDefault="002837D7">
      <w:pPr>
        <w:spacing w:line="360" w:lineRule="auto"/>
        <w:ind w:firstLineChars="200" w:firstLine="420"/>
        <w:rPr>
          <w:bCs/>
          <w:szCs w:val="21"/>
        </w:rPr>
      </w:pPr>
      <w:r>
        <w:rPr>
          <w:rFonts w:hint="eastAsia"/>
          <w:bCs/>
          <w:szCs w:val="21"/>
        </w:rPr>
        <w:t>本基金实施侧袋机制的，相关信息披露义务人应当根据法律法规、基金合同和招募说明书的规定进行信息披露，详见招募说明书“侧袋机制”章节的规定。</w:t>
      </w:r>
    </w:p>
    <w:p w14:paraId="32EE77E0" w14:textId="77777777" w:rsidR="00BF38BB" w:rsidRDefault="002837D7">
      <w:pPr>
        <w:spacing w:line="360" w:lineRule="auto"/>
        <w:ind w:firstLineChars="200" w:firstLine="420"/>
        <w:rPr>
          <w:bCs/>
          <w:szCs w:val="21"/>
        </w:rPr>
      </w:pPr>
      <w:r>
        <w:rPr>
          <w:bCs/>
          <w:szCs w:val="21"/>
        </w:rPr>
        <w:lastRenderedPageBreak/>
        <w:t>十</w:t>
      </w:r>
      <w:r>
        <w:rPr>
          <w:rFonts w:hint="eastAsia"/>
          <w:bCs/>
          <w:szCs w:val="21"/>
        </w:rPr>
        <w:t>二</w:t>
      </w:r>
      <w:r>
        <w:rPr>
          <w:bCs/>
          <w:szCs w:val="21"/>
        </w:rPr>
        <w:t>）中国证监会规定应予公开披露的其他信息</w:t>
      </w:r>
    </w:p>
    <w:p w14:paraId="0179ABEA" w14:textId="77777777" w:rsidR="00BF38BB" w:rsidRDefault="002837D7">
      <w:pPr>
        <w:spacing w:line="360" w:lineRule="auto"/>
        <w:ind w:firstLineChars="200" w:firstLine="420"/>
        <w:rPr>
          <w:bCs/>
          <w:szCs w:val="21"/>
        </w:rPr>
      </w:pPr>
      <w:r>
        <w:rPr>
          <w:rFonts w:hint="eastAsia"/>
          <w:bCs/>
          <w:szCs w:val="21"/>
        </w:rPr>
        <w:t>若本基金投资股指期货、国债期货、股票期权、资产支持证券、参与融资及转融通证券出借业务，基金管理人将按相关法律法规要求进行披露。</w:t>
      </w:r>
    </w:p>
    <w:p w14:paraId="33C4D3D3" w14:textId="77777777" w:rsidR="00BF38BB" w:rsidRDefault="002837D7">
      <w:pPr>
        <w:spacing w:line="360" w:lineRule="auto"/>
        <w:ind w:firstLineChars="200" w:firstLine="420"/>
        <w:rPr>
          <w:bCs/>
          <w:szCs w:val="21"/>
        </w:rPr>
      </w:pPr>
      <w:r>
        <w:rPr>
          <w:rFonts w:hint="eastAsia"/>
          <w:bCs/>
          <w:szCs w:val="21"/>
        </w:rPr>
        <w:t>当相关法律法规关于上述信息披露的规定发生变化时，基金管理人将按最新规定进行信息披露。</w:t>
      </w:r>
    </w:p>
    <w:p w14:paraId="20FF18C0" w14:textId="77777777" w:rsidR="00BF38BB" w:rsidRDefault="002837D7">
      <w:pPr>
        <w:spacing w:line="360" w:lineRule="auto"/>
        <w:ind w:firstLineChars="200" w:firstLine="420"/>
        <w:rPr>
          <w:bCs/>
          <w:szCs w:val="21"/>
        </w:rPr>
      </w:pPr>
      <w:r>
        <w:rPr>
          <w:rFonts w:hint="eastAsia"/>
          <w:bCs/>
          <w:szCs w:val="21"/>
        </w:rPr>
        <w:t>（六）</w:t>
      </w:r>
      <w:r>
        <w:rPr>
          <w:bCs/>
          <w:szCs w:val="21"/>
        </w:rPr>
        <w:t>信息披露事务管理</w:t>
      </w:r>
    </w:p>
    <w:p w14:paraId="75654D95" w14:textId="77777777" w:rsidR="00BF38BB" w:rsidRDefault="002837D7">
      <w:pPr>
        <w:spacing w:line="360" w:lineRule="auto"/>
        <w:ind w:firstLineChars="200" w:firstLine="420"/>
        <w:rPr>
          <w:bCs/>
          <w:szCs w:val="21"/>
        </w:rPr>
      </w:pPr>
      <w:r>
        <w:rPr>
          <w:bCs/>
          <w:szCs w:val="21"/>
        </w:rPr>
        <w:t>基金管理人、基金托管人应当建立健全信息披露管理制度，指定专门部门及高级管理人员负责管理信息披</w:t>
      </w:r>
      <w:r>
        <w:rPr>
          <w:bCs/>
          <w:szCs w:val="21"/>
        </w:rPr>
        <w:t>露事务。</w:t>
      </w:r>
    </w:p>
    <w:p w14:paraId="4A5E4ECB" w14:textId="77777777" w:rsidR="00BF38BB" w:rsidRDefault="002837D7">
      <w:pPr>
        <w:spacing w:line="360" w:lineRule="auto"/>
        <w:ind w:firstLineChars="200" w:firstLine="420"/>
        <w:rPr>
          <w:bCs/>
          <w:szCs w:val="21"/>
        </w:rPr>
      </w:pPr>
      <w:r>
        <w:rPr>
          <w:bCs/>
          <w:szCs w:val="21"/>
        </w:rPr>
        <w:t>基金信息披露义务人公开披露基金信息，应当符合中国证监会相关基金信息披露内容与格式准则</w:t>
      </w:r>
      <w:r>
        <w:rPr>
          <w:rFonts w:hint="eastAsia"/>
          <w:bCs/>
          <w:szCs w:val="21"/>
        </w:rPr>
        <w:t>等法规</w:t>
      </w:r>
      <w:r>
        <w:rPr>
          <w:bCs/>
          <w:szCs w:val="21"/>
        </w:rPr>
        <w:t>的规定。</w:t>
      </w:r>
    </w:p>
    <w:p w14:paraId="1F019525" w14:textId="77777777" w:rsidR="00BF38BB" w:rsidRDefault="002837D7">
      <w:pPr>
        <w:spacing w:line="360" w:lineRule="auto"/>
        <w:ind w:firstLineChars="200" w:firstLine="420"/>
        <w:rPr>
          <w:bCs/>
          <w:szCs w:val="21"/>
        </w:rPr>
      </w:pPr>
      <w:r>
        <w:rPr>
          <w:bCs/>
          <w:szCs w:val="21"/>
        </w:rPr>
        <w:t>基金托管人应当按照相关法律法规、中国证监会的规定和基金合同的约定，对基金管理人编制的基金资产净值、</w:t>
      </w:r>
      <w:r>
        <w:rPr>
          <w:rFonts w:hint="eastAsia"/>
          <w:bCs/>
          <w:szCs w:val="21"/>
        </w:rPr>
        <w:t>各类</w:t>
      </w:r>
      <w:r>
        <w:rPr>
          <w:bCs/>
          <w:szCs w:val="21"/>
        </w:rPr>
        <w:t>基金份额净值、基金份额申购赎回价格、基金定期报告</w:t>
      </w:r>
      <w:r>
        <w:rPr>
          <w:rFonts w:hint="eastAsia"/>
          <w:bCs/>
          <w:szCs w:val="21"/>
        </w:rPr>
        <w:t>、</w:t>
      </w:r>
      <w:r>
        <w:rPr>
          <w:bCs/>
          <w:szCs w:val="21"/>
        </w:rPr>
        <w:t>更新的招募说明书</w:t>
      </w:r>
      <w:r>
        <w:rPr>
          <w:rFonts w:hint="eastAsia"/>
          <w:bCs/>
          <w:szCs w:val="21"/>
        </w:rPr>
        <w:t>、基金产品资料概要、基金清算报告</w:t>
      </w:r>
      <w:r>
        <w:rPr>
          <w:bCs/>
          <w:szCs w:val="21"/>
        </w:rPr>
        <w:t>等公开披露的相关基金信息进行复核、审查，并向基金管理人</w:t>
      </w:r>
      <w:r>
        <w:rPr>
          <w:rFonts w:hint="eastAsia"/>
          <w:bCs/>
          <w:szCs w:val="21"/>
        </w:rPr>
        <w:t>进行</w:t>
      </w:r>
      <w:r>
        <w:rPr>
          <w:bCs/>
          <w:szCs w:val="21"/>
        </w:rPr>
        <w:t>书面或电子确认。</w:t>
      </w:r>
    </w:p>
    <w:p w14:paraId="1AC3664A" w14:textId="77777777" w:rsidR="00BF38BB" w:rsidRDefault="002837D7">
      <w:pPr>
        <w:spacing w:line="360" w:lineRule="auto"/>
        <w:ind w:firstLineChars="200" w:firstLine="420"/>
        <w:rPr>
          <w:bCs/>
          <w:szCs w:val="21"/>
        </w:rPr>
      </w:pPr>
      <w:r>
        <w:rPr>
          <w:bCs/>
          <w:szCs w:val="21"/>
        </w:rPr>
        <w:t>基金管理人、基金托管人应当在规定报刊中选择一家报刊披露本基金信息。基金管理人、基金托管人应当向中国证监会基金电子披露网站报送拟</w:t>
      </w:r>
      <w:r>
        <w:rPr>
          <w:bCs/>
          <w:szCs w:val="21"/>
        </w:rPr>
        <w:t>披露的基金信息，并保证相关报送信息的真实、准确、完整、及时。</w:t>
      </w:r>
    </w:p>
    <w:p w14:paraId="5537E10D" w14:textId="77777777" w:rsidR="00BF38BB" w:rsidRDefault="002837D7">
      <w:pPr>
        <w:spacing w:line="360" w:lineRule="auto"/>
        <w:ind w:firstLineChars="200" w:firstLine="420"/>
        <w:rPr>
          <w:bCs/>
          <w:szCs w:val="21"/>
        </w:rPr>
      </w:pPr>
      <w:r>
        <w:rPr>
          <w:bCs/>
          <w:szCs w:val="21"/>
        </w:rPr>
        <w:t>基金管理人、基金托管人除依法在规定</w:t>
      </w:r>
      <w:r>
        <w:rPr>
          <w:rFonts w:hint="eastAsia"/>
          <w:bCs/>
          <w:szCs w:val="21"/>
        </w:rPr>
        <w:t>媒介</w:t>
      </w:r>
      <w:r>
        <w:rPr>
          <w:bCs/>
          <w:szCs w:val="21"/>
        </w:rPr>
        <w:t>上披露信息外，还可以根据需要在其他公共</w:t>
      </w:r>
      <w:r>
        <w:rPr>
          <w:rFonts w:hint="eastAsia"/>
          <w:bCs/>
          <w:szCs w:val="21"/>
        </w:rPr>
        <w:t>媒介</w:t>
      </w:r>
      <w:r>
        <w:rPr>
          <w:bCs/>
          <w:szCs w:val="21"/>
        </w:rPr>
        <w:t>披露信息，但是其他公共</w:t>
      </w:r>
      <w:r>
        <w:rPr>
          <w:rFonts w:hint="eastAsia"/>
          <w:bCs/>
          <w:szCs w:val="21"/>
        </w:rPr>
        <w:t>媒介</w:t>
      </w:r>
      <w:r>
        <w:rPr>
          <w:bCs/>
          <w:szCs w:val="21"/>
        </w:rPr>
        <w:t>不得早于规定</w:t>
      </w:r>
      <w:r>
        <w:rPr>
          <w:rFonts w:hint="eastAsia"/>
          <w:bCs/>
          <w:szCs w:val="21"/>
        </w:rPr>
        <w:t>媒介</w:t>
      </w:r>
      <w:r>
        <w:rPr>
          <w:bCs/>
          <w:szCs w:val="21"/>
        </w:rPr>
        <w:t>披露信息，并且在不同媒介上披露同一信息的内容应当一致。</w:t>
      </w:r>
    </w:p>
    <w:p w14:paraId="5BC18417" w14:textId="77777777" w:rsidR="00BF38BB" w:rsidRDefault="002837D7">
      <w:pPr>
        <w:spacing w:line="360" w:lineRule="auto"/>
        <w:ind w:firstLineChars="200" w:firstLine="420"/>
        <w:rPr>
          <w:bCs/>
          <w:szCs w:val="21"/>
        </w:rPr>
      </w:pPr>
      <w:r>
        <w:rPr>
          <w:bCs/>
          <w:szCs w:val="21"/>
        </w:rPr>
        <w:t>为基金信息披露义务人公开披露的基金信息出具审计报告、法律意见书的专业机构，应当制作工作底稿，相关档案保存期限不低于法律法规要求的最低年限。</w:t>
      </w:r>
    </w:p>
    <w:p w14:paraId="29F5546D" w14:textId="77777777" w:rsidR="00BF38BB" w:rsidRDefault="002837D7">
      <w:pPr>
        <w:spacing w:line="360" w:lineRule="auto"/>
        <w:ind w:firstLineChars="200" w:firstLine="420"/>
        <w:rPr>
          <w:bCs/>
          <w:szCs w:val="21"/>
        </w:rPr>
      </w:pPr>
      <w:r>
        <w:rPr>
          <w:bCs/>
          <w:szCs w:val="21"/>
        </w:rPr>
        <w:t>基金管理人、基金托管人除按法律法规要求披露信息外，也可着眼于为投资者决策提供有用信息的角度，在保证公平对待投资者、不误导投资者、不影</w:t>
      </w:r>
      <w:r>
        <w:rPr>
          <w:bCs/>
          <w:szCs w:val="21"/>
        </w:rPr>
        <w:t>响基金正常投资操作的前提下，自主提升信息披露服务的质量。具体要求应当符合中国证监会及自律规则的相关规定。前述自主披露如产生信息披露费用，该费用不得从基金财产中列支。</w:t>
      </w:r>
    </w:p>
    <w:p w14:paraId="43B4ACEB" w14:textId="77777777" w:rsidR="00BF38BB" w:rsidRDefault="002837D7">
      <w:pPr>
        <w:spacing w:line="360" w:lineRule="auto"/>
        <w:ind w:firstLineChars="200" w:firstLine="420"/>
        <w:rPr>
          <w:bCs/>
          <w:szCs w:val="21"/>
        </w:rPr>
      </w:pPr>
      <w:r>
        <w:rPr>
          <w:rFonts w:hint="eastAsia"/>
          <w:bCs/>
          <w:szCs w:val="21"/>
        </w:rPr>
        <w:t>（七）</w:t>
      </w:r>
      <w:r>
        <w:rPr>
          <w:bCs/>
          <w:szCs w:val="21"/>
        </w:rPr>
        <w:t>信息披露文件的存放与查阅</w:t>
      </w:r>
    </w:p>
    <w:p w14:paraId="055A8C9D" w14:textId="77777777" w:rsidR="00BF38BB" w:rsidRDefault="002837D7">
      <w:pPr>
        <w:spacing w:line="360" w:lineRule="auto"/>
        <w:ind w:firstLineChars="200" w:firstLine="420"/>
        <w:rPr>
          <w:bCs/>
          <w:szCs w:val="21"/>
        </w:rPr>
      </w:pPr>
      <w:r>
        <w:rPr>
          <w:bCs/>
          <w:szCs w:val="21"/>
        </w:rPr>
        <w:t>依法必须披露的信息发布后，基金管理人、基金托管人</w:t>
      </w:r>
      <w:r>
        <w:rPr>
          <w:rFonts w:hint="eastAsia"/>
          <w:bCs/>
          <w:szCs w:val="21"/>
        </w:rPr>
        <w:t>应当按照</w:t>
      </w:r>
      <w:r>
        <w:rPr>
          <w:bCs/>
          <w:szCs w:val="21"/>
        </w:rPr>
        <w:t>相关法律法规规定将信息置备于</w:t>
      </w:r>
      <w:r>
        <w:rPr>
          <w:rFonts w:hint="eastAsia"/>
          <w:bCs/>
          <w:szCs w:val="21"/>
        </w:rPr>
        <w:t>公司</w:t>
      </w:r>
      <w:r>
        <w:rPr>
          <w:bCs/>
          <w:szCs w:val="21"/>
        </w:rPr>
        <w:t>住所，供</w:t>
      </w:r>
      <w:r>
        <w:rPr>
          <w:rFonts w:hint="eastAsia"/>
          <w:bCs/>
          <w:szCs w:val="21"/>
        </w:rPr>
        <w:t>社会</w:t>
      </w:r>
      <w:r>
        <w:rPr>
          <w:bCs/>
          <w:szCs w:val="21"/>
        </w:rPr>
        <w:t>公众查阅、复制。</w:t>
      </w:r>
    </w:p>
    <w:p w14:paraId="7DD12352" w14:textId="77777777" w:rsidR="00BF38BB" w:rsidRDefault="002837D7">
      <w:pPr>
        <w:spacing w:line="360" w:lineRule="auto"/>
        <w:ind w:firstLineChars="200" w:firstLine="420"/>
        <w:rPr>
          <w:bCs/>
          <w:szCs w:val="21"/>
        </w:rPr>
      </w:pPr>
      <w:r>
        <w:rPr>
          <w:rFonts w:hint="eastAsia"/>
          <w:bCs/>
          <w:szCs w:val="21"/>
        </w:rPr>
        <w:t>（八）暂停或延迟信息披露的情形</w:t>
      </w:r>
    </w:p>
    <w:p w14:paraId="5B44FB25" w14:textId="77777777" w:rsidR="00BF38BB" w:rsidRDefault="002837D7">
      <w:pPr>
        <w:spacing w:line="360" w:lineRule="auto"/>
        <w:ind w:firstLineChars="200" w:firstLine="420"/>
        <w:rPr>
          <w:bCs/>
          <w:szCs w:val="21"/>
        </w:rPr>
      </w:pPr>
      <w:r>
        <w:rPr>
          <w:rFonts w:hint="eastAsia"/>
          <w:bCs/>
          <w:szCs w:val="21"/>
        </w:rPr>
        <w:t>当出现下述情况时，基金管理人和基金托管人可暂停或延迟披露基金信息：</w:t>
      </w:r>
    </w:p>
    <w:p w14:paraId="0063AC1D"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、基金投资所涉及的证券、期货交易所遇法定节假日或因其他原因暂停营业时；</w:t>
      </w:r>
    </w:p>
    <w:p w14:paraId="0ACE76B5"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、因不可抗力或其他情</w:t>
      </w:r>
      <w:r>
        <w:rPr>
          <w:rFonts w:hint="eastAsia"/>
          <w:bCs/>
          <w:szCs w:val="21"/>
        </w:rPr>
        <w:t>形致使基金管理人、基金托管人无法准确评估基金资产价值时；</w:t>
      </w:r>
    </w:p>
    <w:p w14:paraId="2DACAAA4"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、法律法规规定、中国证监会或基金合同认定的其他情形。</w:t>
      </w:r>
      <w:bookmarkEnd w:id="67"/>
      <w:bookmarkEnd w:id="102"/>
    </w:p>
    <w:p w14:paraId="541B0FDD" w14:textId="77777777" w:rsidR="00BF38BB" w:rsidRDefault="002837D7">
      <w:pPr>
        <w:pStyle w:val="1"/>
        <w:spacing w:before="340" w:after="330"/>
        <w:jc w:val="center"/>
        <w:rPr>
          <w:rFonts w:hAnsi="宋体"/>
          <w:color w:val="auto"/>
          <w:kern w:val="44"/>
          <w:sz w:val="21"/>
        </w:rPr>
      </w:pPr>
      <w:bookmarkStart w:id="110" w:name="_Toc69916741"/>
      <w:bookmarkEnd w:id="64"/>
      <w:r>
        <w:rPr>
          <w:rFonts w:hAnsi="宋体" w:hint="eastAsia"/>
          <w:color w:val="auto"/>
          <w:kern w:val="44"/>
          <w:sz w:val="21"/>
        </w:rPr>
        <w:lastRenderedPageBreak/>
        <w:t>十六、侧袋机制</w:t>
      </w:r>
      <w:bookmarkEnd w:id="110"/>
    </w:p>
    <w:p w14:paraId="2D3C6804" w14:textId="77777777" w:rsidR="00BF38BB" w:rsidRDefault="002837D7">
      <w:pPr>
        <w:spacing w:line="360" w:lineRule="auto"/>
        <w:ind w:firstLineChars="200" w:firstLine="420"/>
        <w:rPr>
          <w:rFonts w:ascii="宋体" w:hAnsi="宋体"/>
        </w:rPr>
      </w:pPr>
      <w:r>
        <w:rPr>
          <w:rFonts w:ascii="宋体" w:hAnsi="宋体" w:hint="eastAsia"/>
        </w:rPr>
        <w:t>（一）侧袋机制的实施条件</w:t>
      </w:r>
    </w:p>
    <w:p w14:paraId="016F31A1" w14:textId="77777777" w:rsidR="00BF38BB" w:rsidRDefault="002837D7">
      <w:pPr>
        <w:spacing w:line="360" w:lineRule="auto"/>
        <w:ind w:firstLineChars="200" w:firstLine="420"/>
        <w:rPr>
          <w:rFonts w:ascii="宋体" w:hAnsi="宋体"/>
        </w:rPr>
      </w:pPr>
      <w:r>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1CFAE9A" w14:textId="77777777" w:rsidR="00BF38BB" w:rsidRDefault="002837D7">
      <w:pPr>
        <w:spacing w:line="360" w:lineRule="auto"/>
        <w:ind w:firstLineChars="200" w:firstLine="420"/>
        <w:rPr>
          <w:rFonts w:ascii="宋体" w:hAnsi="宋体"/>
        </w:rPr>
      </w:pPr>
      <w:r>
        <w:rPr>
          <w:rFonts w:ascii="宋体" w:hAnsi="宋体" w:hint="eastAsia"/>
        </w:rPr>
        <w:t>基金管理人应当在启用侧袋机制后及时发布临时公告，并在五个工作日内聘请符合《中华人民共和国证券法》规定的会计师事务所进行审计并披露专项审计意见。</w:t>
      </w:r>
    </w:p>
    <w:p w14:paraId="376A1DDE" w14:textId="77777777" w:rsidR="00BF38BB" w:rsidRDefault="002837D7">
      <w:pPr>
        <w:spacing w:line="360" w:lineRule="auto"/>
        <w:ind w:firstLineChars="200" w:firstLine="420"/>
        <w:rPr>
          <w:rFonts w:ascii="宋体" w:hAnsi="宋体"/>
        </w:rPr>
      </w:pPr>
      <w:r>
        <w:rPr>
          <w:rFonts w:ascii="宋体" w:hAnsi="宋体" w:hint="eastAsia"/>
        </w:rPr>
        <w:t>（二）实施侧袋机制期间基金份额的申购与赎回</w:t>
      </w:r>
    </w:p>
    <w:p w14:paraId="7D089D68" w14:textId="77777777" w:rsidR="00BF38BB" w:rsidRDefault="002837D7">
      <w:pPr>
        <w:spacing w:line="360" w:lineRule="auto"/>
        <w:ind w:firstLineChars="200" w:firstLine="420"/>
        <w:rPr>
          <w:rFonts w:ascii="宋体" w:hAnsi="宋体"/>
        </w:rPr>
      </w:pPr>
      <w:r>
        <w:rPr>
          <w:rFonts w:ascii="宋体" w:hAnsi="宋体" w:hint="eastAsia"/>
        </w:rPr>
        <w:t>1</w:t>
      </w:r>
      <w:r>
        <w:rPr>
          <w:rFonts w:ascii="宋体" w:hAnsi="宋体" w:hint="eastAsia"/>
        </w:rPr>
        <w:t>、启用侧袋机制当日，基金登记机构以基金份额持有人的原有账户份额为基础，确认相应侧袋账户基金份额持有人名册和份额。</w:t>
      </w:r>
    </w:p>
    <w:p w14:paraId="4E8B9983" w14:textId="77777777" w:rsidR="00BF38BB" w:rsidRDefault="002837D7">
      <w:pPr>
        <w:spacing w:line="360" w:lineRule="auto"/>
        <w:ind w:firstLineChars="200" w:firstLine="420"/>
        <w:rPr>
          <w:rFonts w:ascii="宋体" w:hAnsi="宋体"/>
        </w:rPr>
      </w:pPr>
      <w:r>
        <w:rPr>
          <w:rFonts w:ascii="宋体" w:hAnsi="宋体" w:hint="eastAsia"/>
        </w:rPr>
        <w:t>2</w:t>
      </w:r>
      <w:r>
        <w:rPr>
          <w:rFonts w:ascii="宋体" w:hAnsi="宋体" w:hint="eastAsia"/>
        </w:rPr>
        <w:t>、实施侧袋机制期间，基金管理人不办理侧袋账户份额的申购、赎回和转换；同时，基金管理人按照基金合同和招募说明书的约定办理主袋账户份额的赎回，并根据主袋账户运作情况确定是否暂停申购。</w:t>
      </w:r>
    </w:p>
    <w:p w14:paraId="5C8D24CF" w14:textId="77777777" w:rsidR="00BF38BB" w:rsidRDefault="002837D7">
      <w:pPr>
        <w:spacing w:line="360" w:lineRule="auto"/>
        <w:ind w:firstLineChars="200" w:firstLine="420"/>
        <w:rPr>
          <w:rFonts w:ascii="宋体" w:hAnsi="宋体"/>
        </w:rPr>
      </w:pPr>
      <w:r>
        <w:rPr>
          <w:rFonts w:ascii="宋体" w:hAnsi="宋体" w:hint="eastAsia"/>
        </w:rPr>
        <w:t>3</w:t>
      </w:r>
      <w:r>
        <w:rPr>
          <w:rFonts w:ascii="宋体" w:hAnsi="宋体" w:hint="eastAsia"/>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工作日主袋账户总份额的</w:t>
      </w:r>
      <w:r>
        <w:rPr>
          <w:rFonts w:ascii="宋体" w:hAnsi="宋体"/>
        </w:rPr>
        <w:t>10</w:t>
      </w:r>
      <w:r>
        <w:rPr>
          <w:rFonts w:ascii="宋体" w:hAnsi="宋体" w:hint="eastAsia"/>
        </w:rPr>
        <w:t>%</w:t>
      </w:r>
      <w:r>
        <w:rPr>
          <w:rFonts w:ascii="宋体" w:hAnsi="宋体" w:hint="eastAsia"/>
        </w:rPr>
        <w:t>认定。</w:t>
      </w:r>
    </w:p>
    <w:p w14:paraId="2DC9FA75" w14:textId="77777777" w:rsidR="00BF38BB" w:rsidRDefault="002837D7">
      <w:pPr>
        <w:spacing w:line="360" w:lineRule="auto"/>
        <w:ind w:firstLineChars="200" w:firstLine="420"/>
        <w:rPr>
          <w:rFonts w:ascii="宋体" w:hAnsi="宋体"/>
        </w:rPr>
      </w:pPr>
      <w:r>
        <w:rPr>
          <w:rFonts w:ascii="宋体" w:hAnsi="宋体" w:hint="eastAsia"/>
        </w:rPr>
        <w:t>（三）实施侧袋机制期间的基金投资</w:t>
      </w:r>
    </w:p>
    <w:p w14:paraId="389A2B81" w14:textId="77777777" w:rsidR="00BF38BB" w:rsidRDefault="002837D7">
      <w:pPr>
        <w:spacing w:line="360" w:lineRule="auto"/>
        <w:ind w:firstLineChars="200" w:firstLine="420"/>
        <w:rPr>
          <w:rFonts w:ascii="宋体" w:hAnsi="宋体"/>
        </w:rPr>
      </w:pPr>
      <w:r>
        <w:rPr>
          <w:rFonts w:ascii="宋体" w:hAnsi="宋体" w:hint="eastAsia"/>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0D83B4E8" w14:textId="77777777" w:rsidR="00BF38BB" w:rsidRDefault="002837D7">
      <w:pPr>
        <w:spacing w:line="360" w:lineRule="auto"/>
        <w:ind w:firstLineChars="200" w:firstLine="420"/>
        <w:rPr>
          <w:rFonts w:ascii="宋体" w:hAnsi="宋体"/>
        </w:rPr>
      </w:pPr>
      <w:r>
        <w:rPr>
          <w:rFonts w:ascii="宋体" w:hAnsi="宋体" w:hint="eastAsia"/>
        </w:rPr>
        <w:t>基金管理人原则上应当在侧袋机制启用</w:t>
      </w:r>
      <w:r>
        <w:rPr>
          <w:rFonts w:ascii="宋体" w:hAnsi="宋体" w:hint="eastAsia"/>
        </w:rPr>
        <w:t>后</w:t>
      </w:r>
      <w:r>
        <w:rPr>
          <w:rFonts w:ascii="宋体" w:hAnsi="宋体" w:hint="eastAsia"/>
        </w:rPr>
        <w:t>20</w:t>
      </w:r>
      <w:r>
        <w:rPr>
          <w:rFonts w:ascii="宋体" w:hAnsi="宋体" w:hint="eastAsia"/>
        </w:rPr>
        <w:t>个交易日内完成对主袋账户投资组合的调整，因资产流动性受限等中国证监会规定的情形除外。</w:t>
      </w:r>
    </w:p>
    <w:p w14:paraId="10BFCEDF" w14:textId="77777777" w:rsidR="00BF38BB" w:rsidRDefault="002837D7">
      <w:pPr>
        <w:spacing w:line="360" w:lineRule="auto"/>
        <w:ind w:firstLineChars="200" w:firstLine="420"/>
        <w:rPr>
          <w:rFonts w:ascii="宋体" w:hAnsi="宋体"/>
        </w:rPr>
      </w:pPr>
      <w:r>
        <w:rPr>
          <w:rFonts w:ascii="宋体" w:hAnsi="宋体" w:hint="eastAsia"/>
        </w:rPr>
        <w:t>基金管理人不得在侧袋账户中进行除特定资产处置变现以外的其他投资操作。</w:t>
      </w:r>
    </w:p>
    <w:p w14:paraId="29700965" w14:textId="77777777" w:rsidR="00BF38BB" w:rsidRDefault="002837D7">
      <w:pPr>
        <w:spacing w:line="360" w:lineRule="auto"/>
        <w:ind w:firstLineChars="200" w:firstLine="420"/>
        <w:rPr>
          <w:rFonts w:ascii="宋体" w:hAnsi="宋体"/>
        </w:rPr>
      </w:pPr>
      <w:r>
        <w:rPr>
          <w:rFonts w:ascii="宋体" w:hAnsi="宋体" w:hint="eastAsia"/>
        </w:rPr>
        <w:t>（四）实施侧袋机制期间的基金估值</w:t>
      </w:r>
    </w:p>
    <w:p w14:paraId="4A252D00" w14:textId="77777777" w:rsidR="00BF38BB" w:rsidRDefault="002837D7">
      <w:pPr>
        <w:spacing w:line="360" w:lineRule="auto"/>
        <w:ind w:firstLineChars="200" w:firstLine="420"/>
        <w:rPr>
          <w:rFonts w:ascii="宋体" w:hAnsi="宋体"/>
        </w:rPr>
      </w:pPr>
      <w:r>
        <w:rPr>
          <w:rFonts w:ascii="宋体" w:hAnsi="宋体" w:hint="eastAsia"/>
        </w:rPr>
        <w:t>本基金实施侧袋机制的，基金管理人和基金托管人应对主袋账户资产进行估值并披露主袋账户的基金净值信息，暂停披露侧袋账户的基金净值信息。侧袋账户的会计核算应符合《企业会计准则》的相关要求。</w:t>
      </w:r>
    </w:p>
    <w:p w14:paraId="0F3C3384" w14:textId="77777777" w:rsidR="00BF38BB" w:rsidRDefault="002837D7">
      <w:pPr>
        <w:spacing w:line="360" w:lineRule="auto"/>
        <w:ind w:firstLineChars="200" w:firstLine="420"/>
        <w:rPr>
          <w:rFonts w:ascii="宋体" w:hAnsi="宋体"/>
        </w:rPr>
      </w:pPr>
      <w:r>
        <w:rPr>
          <w:rFonts w:ascii="宋体" w:hAnsi="宋体" w:hint="eastAsia"/>
        </w:rPr>
        <w:t>（五）实施侧袋账户期间的基金费用</w:t>
      </w:r>
    </w:p>
    <w:p w14:paraId="1391129E" w14:textId="77777777" w:rsidR="00BF38BB" w:rsidRDefault="002837D7">
      <w:pPr>
        <w:spacing w:line="360" w:lineRule="auto"/>
        <w:ind w:firstLineChars="200" w:firstLine="420"/>
        <w:rPr>
          <w:rFonts w:ascii="宋体" w:hAnsi="宋体"/>
        </w:rPr>
      </w:pPr>
      <w:r>
        <w:rPr>
          <w:rFonts w:ascii="宋体" w:hAnsi="宋体" w:hint="eastAsia"/>
        </w:rPr>
        <w:t>与侧袋账户有关的费用可从侧袋账户中列支，但应待侧袋账户资产变现后方可列支，有关费用可酌情收取或减免</w:t>
      </w:r>
      <w:r>
        <w:rPr>
          <w:rFonts w:ascii="宋体" w:hAnsi="宋体" w:hint="eastAsia"/>
        </w:rPr>
        <w:t>，但不得收取管理费。</w:t>
      </w:r>
    </w:p>
    <w:p w14:paraId="3F83EBB3" w14:textId="77777777" w:rsidR="00BF38BB" w:rsidRDefault="002837D7">
      <w:pPr>
        <w:spacing w:line="360" w:lineRule="auto"/>
        <w:ind w:firstLineChars="200" w:firstLine="420"/>
        <w:rPr>
          <w:rFonts w:ascii="宋体" w:hAnsi="宋体"/>
        </w:rPr>
      </w:pPr>
      <w:r>
        <w:rPr>
          <w:rFonts w:ascii="宋体" w:hAnsi="宋体" w:hint="eastAsia"/>
        </w:rPr>
        <w:t>（六）侧袋账户中特定资产的处置变现和支付</w:t>
      </w:r>
    </w:p>
    <w:p w14:paraId="42F603A0" w14:textId="77777777" w:rsidR="00BF38BB" w:rsidRDefault="002837D7">
      <w:pPr>
        <w:spacing w:line="360" w:lineRule="auto"/>
        <w:ind w:firstLineChars="200" w:firstLine="420"/>
        <w:rPr>
          <w:rFonts w:ascii="宋体" w:hAnsi="宋体"/>
        </w:rPr>
      </w:pPr>
      <w:r>
        <w:rPr>
          <w:rFonts w:ascii="宋体" w:hAnsi="宋体" w:hint="eastAsia"/>
        </w:rPr>
        <w:lastRenderedPageBreak/>
        <w:t>特定资产以可出售、可转让、恢复交易等方式恢复流动性后，基金管理人应当按照基金份额持有人利益最大化原则，采取将特定资产予以处置变现等方式，及时向侧袋账户份额持有人支付对应变现款项。</w:t>
      </w:r>
    </w:p>
    <w:p w14:paraId="72F5E38B" w14:textId="77777777" w:rsidR="00BF38BB" w:rsidRDefault="002837D7">
      <w:pPr>
        <w:spacing w:line="360" w:lineRule="auto"/>
        <w:ind w:firstLineChars="200" w:firstLine="420"/>
        <w:rPr>
          <w:rFonts w:ascii="宋体" w:hAnsi="宋体"/>
        </w:rPr>
      </w:pPr>
      <w:r>
        <w:rPr>
          <w:rFonts w:ascii="宋体" w:hAnsi="宋体" w:hint="eastAsia"/>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5E274434" w14:textId="77777777" w:rsidR="00BF38BB" w:rsidRDefault="002837D7">
      <w:pPr>
        <w:spacing w:line="360" w:lineRule="auto"/>
        <w:ind w:firstLineChars="200" w:firstLine="420"/>
        <w:rPr>
          <w:rFonts w:ascii="宋体" w:hAnsi="宋体"/>
        </w:rPr>
      </w:pPr>
      <w:r>
        <w:rPr>
          <w:rFonts w:ascii="宋体" w:hAnsi="宋体" w:hint="eastAsia"/>
        </w:rPr>
        <w:t>侧袋账户资产全部完成变现并终止侧袋机制</w:t>
      </w:r>
      <w:r>
        <w:rPr>
          <w:rFonts w:ascii="宋体" w:hAnsi="宋体" w:hint="eastAsia"/>
        </w:rPr>
        <w:t>后，基金管理人应及时聘请符合《中华人民共和国证券法》规定的会计师事务所进行审计并披露专项审计意见。</w:t>
      </w:r>
    </w:p>
    <w:p w14:paraId="237070B5" w14:textId="77777777" w:rsidR="00BF38BB" w:rsidRDefault="002837D7">
      <w:pPr>
        <w:spacing w:line="360" w:lineRule="auto"/>
        <w:ind w:firstLineChars="200" w:firstLine="420"/>
        <w:rPr>
          <w:rFonts w:ascii="宋体" w:hAnsi="宋体"/>
        </w:rPr>
      </w:pPr>
      <w:r>
        <w:rPr>
          <w:rFonts w:ascii="宋体" w:hAnsi="宋体" w:hint="eastAsia"/>
        </w:rPr>
        <w:t>（七）侧袋机制的信息披露</w:t>
      </w:r>
    </w:p>
    <w:p w14:paraId="2BA0A639" w14:textId="77777777" w:rsidR="00BF38BB" w:rsidRDefault="002837D7">
      <w:pPr>
        <w:spacing w:line="360" w:lineRule="auto"/>
        <w:ind w:firstLineChars="200" w:firstLine="420"/>
        <w:rPr>
          <w:rFonts w:ascii="宋体" w:hAnsi="宋体"/>
        </w:rPr>
      </w:pPr>
      <w:r>
        <w:rPr>
          <w:rFonts w:ascii="宋体" w:hAnsi="宋体" w:hint="eastAsia"/>
        </w:rPr>
        <w:t>在启用侧袋机制、处置特定资产、终止侧袋机制以及发生其他可能对投资者利益产生重大影响的事项后基金管理人应及时发布临时公告，并在基金定期报告中披露特定资产的运作情况。</w:t>
      </w:r>
    </w:p>
    <w:p w14:paraId="4D15A3B6" w14:textId="77777777" w:rsidR="00BF38BB" w:rsidRDefault="002837D7">
      <w:pPr>
        <w:spacing w:line="360" w:lineRule="auto"/>
        <w:ind w:firstLineChars="200" w:firstLine="420"/>
        <w:rPr>
          <w:rFonts w:ascii="宋体" w:hAnsi="宋体"/>
        </w:rPr>
      </w:pPr>
      <w:r>
        <w:rPr>
          <w:rFonts w:ascii="宋体" w:hAnsi="宋体" w:hint="eastAsia"/>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w:t>
      </w:r>
      <w:r>
        <w:rPr>
          <w:rFonts w:ascii="宋体" w:hAnsi="宋体" w:hint="eastAsia"/>
        </w:rPr>
        <w:t>履行适当程序后，可直接对本部分内容进行修改和调整，无需召开基金份额持有人大会审议。</w:t>
      </w:r>
    </w:p>
    <w:p w14:paraId="52365023" w14:textId="77777777" w:rsidR="00BF38BB" w:rsidRDefault="00BF38BB">
      <w:pPr>
        <w:spacing w:line="360" w:lineRule="auto"/>
        <w:ind w:firstLineChars="200" w:firstLine="420"/>
        <w:rPr>
          <w:rFonts w:ascii="宋体" w:hAnsi="宋体"/>
        </w:rPr>
      </w:pPr>
    </w:p>
    <w:p w14:paraId="08AD3273" w14:textId="77777777" w:rsidR="00BF38BB" w:rsidRDefault="002837D7">
      <w:pPr>
        <w:widowControl/>
        <w:jc w:val="left"/>
        <w:rPr>
          <w:rFonts w:ascii="宋体" w:hAnsi="宋体"/>
        </w:rPr>
      </w:pPr>
      <w:r>
        <w:rPr>
          <w:rFonts w:ascii="宋体" w:hAnsi="宋体"/>
        </w:rPr>
        <w:br w:type="page"/>
      </w:r>
    </w:p>
    <w:p w14:paraId="7775102F" w14:textId="77777777" w:rsidR="00BF38BB" w:rsidRDefault="002837D7">
      <w:pPr>
        <w:pStyle w:val="1"/>
        <w:spacing w:before="340" w:after="330"/>
        <w:jc w:val="center"/>
        <w:rPr>
          <w:rFonts w:hAnsi="宋体"/>
          <w:color w:val="auto"/>
          <w:kern w:val="44"/>
          <w:sz w:val="21"/>
        </w:rPr>
      </w:pPr>
      <w:bookmarkStart w:id="111" w:name="_Toc69916742"/>
      <w:bookmarkEnd w:id="68"/>
      <w:r>
        <w:rPr>
          <w:rFonts w:hAnsi="宋体"/>
          <w:color w:val="auto"/>
          <w:kern w:val="44"/>
          <w:sz w:val="21"/>
        </w:rPr>
        <w:lastRenderedPageBreak/>
        <w:t>十</w:t>
      </w:r>
      <w:r>
        <w:rPr>
          <w:rFonts w:hAnsi="宋体" w:hint="eastAsia"/>
          <w:color w:val="auto"/>
          <w:kern w:val="44"/>
          <w:sz w:val="21"/>
        </w:rPr>
        <w:t>七</w:t>
      </w:r>
      <w:r>
        <w:rPr>
          <w:rFonts w:hAnsi="宋体"/>
          <w:color w:val="auto"/>
          <w:kern w:val="44"/>
          <w:sz w:val="21"/>
        </w:rPr>
        <w:t>、风险揭示</w:t>
      </w:r>
      <w:bookmarkEnd w:id="105"/>
      <w:bookmarkEnd w:id="106"/>
      <w:bookmarkEnd w:id="107"/>
      <w:bookmarkEnd w:id="108"/>
      <w:bookmarkEnd w:id="111"/>
    </w:p>
    <w:p w14:paraId="60FAD3EF" w14:textId="77777777" w:rsidR="00BF38BB" w:rsidRDefault="002837D7">
      <w:pPr>
        <w:spacing w:line="360" w:lineRule="auto"/>
        <w:ind w:firstLineChars="200" w:firstLine="420"/>
        <w:rPr>
          <w:rFonts w:ascii="宋体" w:hAnsi="宋体"/>
        </w:rPr>
      </w:pPr>
      <w:bookmarkStart w:id="112" w:name="_Hlk38019231"/>
      <w:bookmarkStart w:id="113" w:name="_Toc76969604"/>
      <w:bookmarkStart w:id="114" w:name="_Toc334542966"/>
      <w:bookmarkStart w:id="115" w:name="_Toc334542650"/>
      <w:bookmarkStart w:id="116" w:name="_Toc329187127"/>
      <w:r>
        <w:rPr>
          <w:rFonts w:ascii="宋体" w:hAnsi="宋体"/>
        </w:rPr>
        <w:t>（一）市场风险</w:t>
      </w:r>
    </w:p>
    <w:p w14:paraId="11A15138" w14:textId="77777777" w:rsidR="00BF38BB" w:rsidRDefault="002837D7">
      <w:pPr>
        <w:autoSpaceDE w:val="0"/>
        <w:autoSpaceDN w:val="0"/>
        <w:adjustRightInd w:val="0"/>
        <w:spacing w:line="360" w:lineRule="auto"/>
        <w:ind w:firstLine="420"/>
        <w:rPr>
          <w:rFonts w:ascii="宋体" w:hAnsi="宋体"/>
        </w:rPr>
      </w:pPr>
      <w:r>
        <w:rPr>
          <w:rFonts w:ascii="宋体" w:hAnsi="宋体"/>
        </w:rPr>
        <w:t>证券市场价格因受各种因素的影响而引起的波动，将对本基金资产产生潜在风险，主要包括：</w:t>
      </w:r>
    </w:p>
    <w:p w14:paraId="74B57934" w14:textId="77777777" w:rsidR="00BF38BB" w:rsidRDefault="002837D7">
      <w:pPr>
        <w:autoSpaceDE w:val="0"/>
        <w:autoSpaceDN w:val="0"/>
        <w:adjustRightInd w:val="0"/>
        <w:spacing w:line="360" w:lineRule="auto"/>
        <w:ind w:firstLineChars="171" w:firstLine="359"/>
        <w:rPr>
          <w:rFonts w:ascii="宋体" w:hAnsi="宋体"/>
        </w:rPr>
      </w:pPr>
      <w:r>
        <w:rPr>
          <w:rFonts w:ascii="宋体" w:hAnsi="宋体"/>
        </w:rPr>
        <w:t>1</w:t>
      </w:r>
      <w:r>
        <w:rPr>
          <w:rFonts w:ascii="宋体" w:hAnsi="宋体"/>
        </w:rPr>
        <w:t>、政策风险</w:t>
      </w:r>
    </w:p>
    <w:p w14:paraId="70F7B201" w14:textId="77777777" w:rsidR="00BF38BB" w:rsidRDefault="002837D7">
      <w:pPr>
        <w:autoSpaceDE w:val="0"/>
        <w:autoSpaceDN w:val="0"/>
        <w:adjustRightInd w:val="0"/>
        <w:spacing w:line="360" w:lineRule="auto"/>
        <w:ind w:firstLine="420"/>
        <w:rPr>
          <w:rFonts w:ascii="宋体" w:hAnsi="宋体"/>
        </w:rPr>
      </w:pPr>
      <w:r>
        <w:rPr>
          <w:rFonts w:ascii="宋体" w:hAnsi="宋体"/>
        </w:rPr>
        <w:t>货币政策、财政政策、产业政策等国家政策的变化对证券市场产生一定的影响，导致市场价格波动，影响基金收益而产生风险。</w:t>
      </w:r>
    </w:p>
    <w:p w14:paraId="6974C2C7" w14:textId="77777777" w:rsidR="00BF38BB" w:rsidRDefault="002837D7">
      <w:pPr>
        <w:autoSpaceDE w:val="0"/>
        <w:autoSpaceDN w:val="0"/>
        <w:adjustRightInd w:val="0"/>
        <w:spacing w:line="360" w:lineRule="auto"/>
        <w:ind w:firstLineChars="171" w:firstLine="359"/>
        <w:rPr>
          <w:rFonts w:ascii="宋体" w:hAnsi="宋体"/>
        </w:rPr>
      </w:pPr>
      <w:r>
        <w:rPr>
          <w:rFonts w:ascii="宋体" w:hAnsi="宋体"/>
        </w:rPr>
        <w:t>2</w:t>
      </w:r>
      <w:r>
        <w:rPr>
          <w:rFonts w:ascii="宋体" w:hAnsi="宋体"/>
        </w:rPr>
        <w:t>、经济周期风险</w:t>
      </w:r>
    </w:p>
    <w:p w14:paraId="3F613438" w14:textId="77777777" w:rsidR="00BF38BB" w:rsidRDefault="002837D7">
      <w:pPr>
        <w:autoSpaceDE w:val="0"/>
        <w:autoSpaceDN w:val="0"/>
        <w:adjustRightInd w:val="0"/>
        <w:spacing w:line="360" w:lineRule="auto"/>
        <w:ind w:firstLine="420"/>
        <w:rPr>
          <w:rFonts w:ascii="宋体" w:hAnsi="宋体"/>
        </w:rPr>
      </w:pPr>
      <w:r>
        <w:rPr>
          <w:rFonts w:ascii="宋体" w:hAnsi="宋体"/>
        </w:rPr>
        <w:t>证券市场是国民经济的晴雨表，而经济运行具有周期性的特点。宏观经济运行状况将对证券市场的收益水平产生影响，从而产生风险。</w:t>
      </w:r>
    </w:p>
    <w:p w14:paraId="0F1D1FB7" w14:textId="77777777" w:rsidR="00BF38BB" w:rsidRDefault="002837D7">
      <w:pPr>
        <w:autoSpaceDE w:val="0"/>
        <w:autoSpaceDN w:val="0"/>
        <w:adjustRightInd w:val="0"/>
        <w:spacing w:line="360" w:lineRule="auto"/>
        <w:ind w:leftChars="179" w:left="391" w:hangingChars="7" w:hanging="15"/>
        <w:rPr>
          <w:rFonts w:ascii="宋体" w:hAnsi="宋体"/>
        </w:rPr>
      </w:pPr>
      <w:r>
        <w:rPr>
          <w:rFonts w:ascii="宋体" w:hAnsi="宋体"/>
        </w:rPr>
        <w:t>3</w:t>
      </w:r>
      <w:r>
        <w:rPr>
          <w:rFonts w:ascii="宋体" w:hAnsi="宋体"/>
        </w:rPr>
        <w:t>、利率风险</w:t>
      </w:r>
    </w:p>
    <w:p w14:paraId="6B565B03" w14:textId="77777777" w:rsidR="00BF38BB" w:rsidRDefault="002837D7">
      <w:pPr>
        <w:autoSpaceDE w:val="0"/>
        <w:autoSpaceDN w:val="0"/>
        <w:adjustRightInd w:val="0"/>
        <w:spacing w:line="360" w:lineRule="auto"/>
        <w:ind w:firstLine="420"/>
        <w:rPr>
          <w:rFonts w:ascii="宋体" w:hAnsi="宋体"/>
        </w:rPr>
      </w:pPr>
      <w:r>
        <w:rPr>
          <w:rFonts w:ascii="宋体" w:hAnsi="宋体"/>
        </w:rPr>
        <w:t>金融市场利率波动会导致股票市场及债券市场的价格和收益率的变动，同时直接影响企业的融资成本和利润水平。基金投资于货币市场工具，收益水平会受到利率变化的影响。</w:t>
      </w:r>
    </w:p>
    <w:p w14:paraId="6AEE7062" w14:textId="77777777" w:rsidR="00BF38BB" w:rsidRDefault="002837D7">
      <w:pPr>
        <w:autoSpaceDE w:val="0"/>
        <w:autoSpaceDN w:val="0"/>
        <w:adjustRightInd w:val="0"/>
        <w:spacing w:line="360" w:lineRule="auto"/>
        <w:ind w:firstLine="346"/>
        <w:rPr>
          <w:rFonts w:ascii="宋体" w:hAnsi="宋体"/>
        </w:rPr>
      </w:pPr>
      <w:r>
        <w:rPr>
          <w:rFonts w:ascii="宋体" w:hAnsi="宋体"/>
        </w:rPr>
        <w:t>4</w:t>
      </w:r>
      <w:r>
        <w:rPr>
          <w:rFonts w:ascii="宋体" w:hAnsi="宋体"/>
        </w:rPr>
        <w:t>、购买力风险</w:t>
      </w:r>
    </w:p>
    <w:p w14:paraId="585A47D3" w14:textId="77777777" w:rsidR="00BF38BB" w:rsidRDefault="002837D7">
      <w:pPr>
        <w:autoSpaceDE w:val="0"/>
        <w:autoSpaceDN w:val="0"/>
        <w:adjustRightInd w:val="0"/>
        <w:spacing w:line="360" w:lineRule="auto"/>
        <w:ind w:firstLine="420"/>
        <w:rPr>
          <w:rFonts w:ascii="宋体" w:hAnsi="宋体"/>
        </w:rPr>
      </w:pPr>
      <w:r>
        <w:rPr>
          <w:rFonts w:ascii="宋体" w:hAnsi="宋体"/>
        </w:rPr>
        <w:t>本基金投资的目的是使基金资产保值增值，如果发生通货膨胀，基金投资于证券所获得的收益可能会被通货膨胀抵消，从而影响基金资产的保值增值。</w:t>
      </w:r>
    </w:p>
    <w:p w14:paraId="1A825CF8" w14:textId="77777777" w:rsidR="00BF38BB" w:rsidRDefault="002837D7">
      <w:pPr>
        <w:autoSpaceDE w:val="0"/>
        <w:autoSpaceDN w:val="0"/>
        <w:adjustRightInd w:val="0"/>
        <w:spacing w:line="360" w:lineRule="auto"/>
        <w:ind w:firstLine="420"/>
        <w:rPr>
          <w:rFonts w:ascii="宋体" w:hAnsi="宋体"/>
        </w:rPr>
      </w:pPr>
      <w:r>
        <w:rPr>
          <w:rFonts w:ascii="宋体" w:hAnsi="宋体"/>
        </w:rPr>
        <w:t>5</w:t>
      </w:r>
      <w:r>
        <w:rPr>
          <w:rFonts w:ascii="宋体" w:hAnsi="宋体"/>
        </w:rPr>
        <w:t>、上市公司经营风险</w:t>
      </w:r>
    </w:p>
    <w:p w14:paraId="16355E7A" w14:textId="77777777" w:rsidR="00BF38BB" w:rsidRDefault="002837D7">
      <w:pPr>
        <w:autoSpaceDE w:val="0"/>
        <w:autoSpaceDN w:val="0"/>
        <w:adjustRightInd w:val="0"/>
        <w:spacing w:line="360" w:lineRule="auto"/>
        <w:ind w:firstLine="420"/>
        <w:rPr>
          <w:rFonts w:ascii="宋体" w:hAnsi="宋体"/>
        </w:rPr>
      </w:pPr>
      <w:r>
        <w:rPr>
          <w:rFonts w:ascii="宋体" w:hAnsi="宋体"/>
        </w:rPr>
        <w:t>上市公司的经营状况受多种因素影响，如市场、技术、竞争、管理、财务等都会导致公司盈利发生变化，从而导致基金投资收益变化。</w:t>
      </w:r>
    </w:p>
    <w:p w14:paraId="187633A2" w14:textId="77777777" w:rsidR="00BF38BB" w:rsidRDefault="002837D7">
      <w:pPr>
        <w:spacing w:line="360" w:lineRule="auto"/>
        <w:ind w:firstLineChars="200" w:firstLine="420"/>
        <w:rPr>
          <w:rFonts w:ascii="宋体" w:hAnsi="宋体"/>
        </w:rPr>
      </w:pPr>
      <w:r>
        <w:rPr>
          <w:rFonts w:ascii="宋体" w:hAnsi="宋体"/>
        </w:rPr>
        <w:t>（二）信用风险</w:t>
      </w:r>
    </w:p>
    <w:p w14:paraId="09A78201"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hint="eastAsia"/>
        </w:rPr>
        <w:t>信用风险主要指债券、资产支持证券等信用证券发行主体信用状况恶化，导致信用评级下降甚至到期不能履行合约进行兑付的风险，另外，信用风险也包括证券交易对手因违约而产生的证券交割风险。</w:t>
      </w:r>
    </w:p>
    <w:p w14:paraId="7A332405" w14:textId="77777777" w:rsidR="00BF38BB" w:rsidRDefault="002837D7">
      <w:pPr>
        <w:spacing w:line="360" w:lineRule="auto"/>
        <w:ind w:firstLineChars="200" w:firstLine="420"/>
        <w:rPr>
          <w:rFonts w:ascii="宋体" w:hAnsi="宋体"/>
        </w:rPr>
      </w:pPr>
      <w:r>
        <w:rPr>
          <w:rFonts w:ascii="宋体" w:hAnsi="宋体"/>
        </w:rPr>
        <w:t>（三）流动性风险</w:t>
      </w:r>
    </w:p>
    <w:p w14:paraId="16F9D4D9"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指基金资产不能迅速转变成现金，或者不能应付可能出现的投资者大额赎回的风险。在开放式基金交易过程中，可能会发生巨额赎回的情形。巨额赎回可能会产生基金仓位调整的困难，导致流动性风险，甚至影响基金份额净值。</w:t>
      </w:r>
    </w:p>
    <w:p w14:paraId="09673438" w14:textId="77777777" w:rsidR="00BF38BB" w:rsidRDefault="002837D7">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、本基金的申购、赎回安排</w:t>
      </w:r>
    </w:p>
    <w:p w14:paraId="574B0256" w14:textId="77777777" w:rsidR="00BF38BB" w:rsidRDefault="002837D7">
      <w:pPr>
        <w:spacing w:line="360" w:lineRule="auto"/>
        <w:ind w:firstLineChars="200" w:firstLine="420"/>
        <w:rPr>
          <w:rFonts w:ascii="宋体" w:hAnsi="宋体"/>
          <w:bCs/>
          <w:szCs w:val="21"/>
        </w:rPr>
      </w:pPr>
      <w:r>
        <w:rPr>
          <w:rFonts w:ascii="宋体" w:hAnsi="宋体"/>
          <w:bCs/>
          <w:szCs w:val="21"/>
        </w:rPr>
        <w:t>投资人在开放日的开放时间办理基金份额的申购</w:t>
      </w:r>
      <w:r>
        <w:rPr>
          <w:rFonts w:ascii="宋体" w:hAnsi="宋体" w:hint="eastAsia"/>
          <w:bCs/>
          <w:szCs w:val="21"/>
        </w:rPr>
        <w:t>和赎回，</w:t>
      </w:r>
      <w:r>
        <w:rPr>
          <w:rFonts w:ascii="宋体" w:hAnsi="宋体"/>
          <w:bCs/>
          <w:szCs w:val="21"/>
        </w:rPr>
        <w:t>具体办理时间为证券交易所的正常交易日</w:t>
      </w:r>
      <w:r>
        <w:rPr>
          <w:rFonts w:ascii="宋体" w:hAnsi="宋体"/>
          <w:bCs/>
          <w:szCs w:val="21"/>
        </w:rPr>
        <w:t>的交易时间，但基金管理人根据法律法规、中国证监会的要求或基金合同的规定公告暂停申购、赎回时除外。</w:t>
      </w:r>
    </w:p>
    <w:p w14:paraId="73A58DB5" w14:textId="77777777" w:rsidR="00BF38BB" w:rsidRDefault="002837D7">
      <w:pPr>
        <w:spacing w:line="360" w:lineRule="auto"/>
        <w:ind w:firstLineChars="200" w:firstLine="420"/>
        <w:rPr>
          <w:rFonts w:ascii="宋体" w:hAnsi="宋体"/>
          <w:bCs/>
          <w:szCs w:val="21"/>
        </w:rPr>
      </w:pPr>
      <w:r>
        <w:rPr>
          <w:rFonts w:ascii="宋体" w:hAnsi="宋体"/>
          <w:bCs/>
          <w:szCs w:val="21"/>
        </w:rPr>
        <w:t>基金合同生效后，若</w:t>
      </w:r>
      <w:r>
        <w:rPr>
          <w:rFonts w:ascii="宋体" w:hAnsi="宋体" w:hint="eastAsia"/>
          <w:bCs/>
          <w:szCs w:val="21"/>
        </w:rPr>
        <w:t>证券</w:t>
      </w:r>
      <w:r>
        <w:rPr>
          <w:rFonts w:ascii="宋体" w:hAnsi="宋体"/>
          <w:bCs/>
          <w:szCs w:val="21"/>
        </w:rPr>
        <w:t>交易所交易时间变更或有其他特殊情况，基金管理人将视情况对前述开放日及</w:t>
      </w:r>
      <w:r>
        <w:rPr>
          <w:rFonts w:ascii="宋体" w:hAnsi="宋体"/>
          <w:bCs/>
          <w:szCs w:val="21"/>
        </w:rPr>
        <w:lastRenderedPageBreak/>
        <w:t>开放时间进行相应的调整，但应在实施日前依照《信息披露办法》的有关规定在规定媒介上公告</w:t>
      </w:r>
      <w:r>
        <w:rPr>
          <w:rFonts w:ascii="宋体" w:hAnsi="宋体" w:hint="eastAsia"/>
          <w:bCs/>
          <w:szCs w:val="21"/>
        </w:rPr>
        <w:t>。</w:t>
      </w:r>
    </w:p>
    <w:p w14:paraId="313A4B3F" w14:textId="77777777" w:rsidR="00BF38BB" w:rsidRDefault="002837D7">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bCs/>
          <w:szCs w:val="21"/>
        </w:rPr>
        <w:t>、拟投资市场、行业及资产的流动性风险评估</w:t>
      </w:r>
    </w:p>
    <w:p w14:paraId="24657858"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）投资市场的流动性风险</w:t>
      </w:r>
    </w:p>
    <w:p w14:paraId="63C6943E" w14:textId="77777777" w:rsidR="00BF38BB" w:rsidRDefault="002837D7">
      <w:pPr>
        <w:spacing w:line="360" w:lineRule="auto"/>
        <w:ind w:firstLineChars="200" w:firstLine="420"/>
        <w:rPr>
          <w:rFonts w:ascii="宋体" w:hAnsi="宋体"/>
          <w:bCs/>
          <w:szCs w:val="21"/>
        </w:rPr>
      </w:pPr>
      <w:r>
        <w:rPr>
          <w:rFonts w:ascii="宋体" w:hAnsi="宋体" w:hint="eastAsia"/>
          <w:color w:val="000000" w:themeColor="text1"/>
        </w:rPr>
        <w:t>本基金为指数增强型基金，可投资的资产包括股票、债券、货币市场工具等，一般情况下，这些资产市场流动性较好。</w:t>
      </w:r>
      <w:r>
        <w:rPr>
          <w:rFonts w:ascii="宋体" w:hAnsi="宋体" w:hint="eastAsia"/>
          <w:bCs/>
          <w:szCs w:val="21"/>
        </w:rPr>
        <w:t>上述资产均存在规范的交易场所，运作时间长，市场透明度较高，运</w:t>
      </w:r>
      <w:r>
        <w:rPr>
          <w:rFonts w:ascii="宋体" w:hAnsi="宋体" w:hint="eastAsia"/>
          <w:bCs/>
          <w:szCs w:val="21"/>
        </w:rPr>
        <w:t>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54320B47"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）投资行业的流动性风险</w:t>
      </w:r>
    </w:p>
    <w:p w14:paraId="1EE78D32" w14:textId="77777777" w:rsidR="00BF38BB" w:rsidRDefault="002837D7">
      <w:pPr>
        <w:spacing w:line="360" w:lineRule="auto"/>
        <w:ind w:firstLineChars="200" w:firstLine="420"/>
        <w:rPr>
          <w:rFonts w:ascii="宋体" w:hAnsi="宋体"/>
          <w:bCs/>
          <w:szCs w:val="21"/>
        </w:rPr>
      </w:pPr>
      <w:r>
        <w:rPr>
          <w:rFonts w:hint="eastAsia"/>
        </w:rPr>
        <w:t>本基金采用指数增强型投资策略，以中证</w:t>
      </w:r>
      <w:r>
        <w:rPr>
          <w:rFonts w:hint="eastAsia"/>
        </w:rPr>
        <w:t>800</w:t>
      </w:r>
      <w:r>
        <w:rPr>
          <w:rFonts w:hint="eastAsia"/>
        </w:rPr>
        <w:t>指数作为基金投资组合的标的指数，</w:t>
      </w:r>
      <w:r>
        <w:rPr>
          <w:rFonts w:ascii="宋体" w:hAnsi="宋体" w:hint="eastAsia"/>
          <w:bCs/>
          <w:szCs w:val="21"/>
        </w:rPr>
        <w:t>不以投资于某单一行业为投资目标，行业分散度较高，受到单一行业流动性风险的影响较小。</w:t>
      </w:r>
    </w:p>
    <w:p w14:paraId="342067F2"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）投资资产的流动性风险</w:t>
      </w:r>
    </w:p>
    <w:p w14:paraId="5A406BE8" w14:textId="77777777" w:rsidR="00BF38BB" w:rsidRDefault="002837D7">
      <w:pPr>
        <w:spacing w:line="360" w:lineRule="auto"/>
        <w:ind w:firstLineChars="200" w:firstLine="420"/>
      </w:pPr>
      <w:r>
        <w:rPr>
          <w:rFonts w:hint="eastAsia"/>
        </w:rPr>
        <w:t>本基金主要投资于标的指数成份股及备选成份股（含存托凭证），经考察中证</w:t>
      </w:r>
      <w:r>
        <w:rPr>
          <w:rFonts w:hint="eastAsia"/>
        </w:rPr>
        <w:t>800</w:t>
      </w:r>
      <w:r>
        <w:rPr>
          <w:rFonts w:hint="eastAsia"/>
        </w:rPr>
        <w:t>指数的成份股数量、日均成交量以及日均成交金额，该指数将具有充足的流动性可满足本基金投资的要求；本基金在组合构建过程中，将根据开放日申购和赎回情况，决定投资标的指数成份股及备选成份股的时间和方式。一般情况下，上述投资标的流动性较好，但不排除在特定阶段、特定市场环境下特定投资标的出现流动性较差的情况，如因成份股流动性严重不足等特</w:t>
      </w:r>
      <w:r>
        <w:rPr>
          <w:rFonts w:hint="eastAsia"/>
        </w:rPr>
        <w:t>殊情形导致基金无法完全投资于成份股时，基金管理人将根据市场情况，并结合经验判断，采取包括成份股替代策略等在内的其他指数投资技术适当调整基金投资组合，以期有效控制本基金的流动性风险。</w:t>
      </w:r>
    </w:p>
    <w:p w14:paraId="7478779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本基金针对流动性较低资产的投资进行了严格的限制，以降低基金的流动性风险：本基金主动投资于流动性受限资产的市值合计不得超过基金资产净值的</w:t>
      </w:r>
      <w:r>
        <w:rPr>
          <w:rFonts w:ascii="宋体" w:hAnsi="宋体" w:hint="eastAsia"/>
          <w:bCs/>
          <w:szCs w:val="21"/>
        </w:rPr>
        <w:t>15%</w:t>
      </w:r>
      <w:r>
        <w:rPr>
          <w:rFonts w:ascii="宋体" w:hAnsi="宋体" w:hint="eastAsia"/>
          <w:bCs/>
          <w:szCs w:val="21"/>
        </w:rPr>
        <w:t>。</w:t>
      </w:r>
    </w:p>
    <w:p w14:paraId="4C902981" w14:textId="77777777" w:rsidR="00BF38BB" w:rsidRDefault="002837D7">
      <w:pPr>
        <w:autoSpaceDE w:val="0"/>
        <w:autoSpaceDN w:val="0"/>
        <w:adjustRightInd w:val="0"/>
        <w:spacing w:line="360" w:lineRule="auto"/>
        <w:ind w:firstLineChars="200" w:firstLine="420"/>
      </w:pPr>
      <w:r>
        <w:rPr>
          <w:rFonts w:hint="eastAsia"/>
        </w:rPr>
        <w:t>本基金绝大部分基金资产投资于</w:t>
      </w:r>
      <w:r>
        <w:t>7</w:t>
      </w:r>
      <w:r>
        <w:rPr>
          <w:rFonts w:hint="eastAsia"/>
        </w:rPr>
        <w:t>个工作日可变现资产，包括可在交易所、银行间市场正常交易的股票、债券、非金融企业债务融资工具及同业存单，</w:t>
      </w:r>
      <w:r>
        <w:t>7</w:t>
      </w:r>
      <w:r>
        <w:rPr>
          <w:rFonts w:hint="eastAsia"/>
        </w:rPr>
        <w:t>个工作日内到期或可支取的逆回购、银行存款，</w:t>
      </w:r>
      <w:r>
        <w:t>7</w:t>
      </w:r>
      <w:r>
        <w:rPr>
          <w:rFonts w:hint="eastAsia"/>
        </w:rPr>
        <w:t>个工作日</w:t>
      </w:r>
      <w:r>
        <w:rPr>
          <w:rFonts w:hint="eastAsia"/>
        </w:rPr>
        <w:t>内能够确认收到的各类应收款项等，上述资产流动性情况良好。</w:t>
      </w:r>
    </w:p>
    <w:p w14:paraId="5195114E" w14:textId="77777777" w:rsidR="00BF38BB" w:rsidRDefault="002837D7">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、巨额赎回情形下的流动性风险管理措施</w:t>
      </w:r>
    </w:p>
    <w:p w14:paraId="5EC5B63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若本基金单个开放日内的基金份额净赎回申请（赎回申请份额总数加上基金转换中转出申请份额总数后扣除申购申请份额总数及基金转换中转入申请份额总数后的余额）超过前一工作日的基金总份额的</w:t>
      </w:r>
      <w:r>
        <w:rPr>
          <w:rFonts w:ascii="宋体" w:hAnsi="宋体" w:hint="eastAsia"/>
          <w:bCs/>
          <w:szCs w:val="21"/>
        </w:rPr>
        <w:t>10%</w:t>
      </w:r>
      <w:r>
        <w:rPr>
          <w:rFonts w:ascii="宋体" w:hAnsi="宋体" w:hint="eastAsia"/>
          <w:bCs/>
          <w:szCs w:val="21"/>
        </w:rPr>
        <w:t>，即认为是发生了巨额赎回。</w:t>
      </w:r>
    </w:p>
    <w:p w14:paraId="61EBACB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当本基金发生巨额赎回情形时，基金管理人可能采用以下流动性风险管理措施，以控制因巨额赎回可能</w:t>
      </w:r>
      <w:r>
        <w:rPr>
          <w:rFonts w:ascii="宋体" w:hAnsi="宋体" w:hint="eastAsia"/>
          <w:bCs/>
          <w:szCs w:val="21"/>
        </w:rPr>
        <w:lastRenderedPageBreak/>
        <w:t>产生的流动性风险：</w:t>
      </w:r>
    </w:p>
    <w:p w14:paraId="294D37A1" w14:textId="77777777" w:rsidR="00BF38BB" w:rsidRDefault="002837D7">
      <w:pPr>
        <w:autoSpaceDE w:val="0"/>
        <w:autoSpaceDN w:val="0"/>
        <w:adjustRightInd w:val="0"/>
        <w:spacing w:line="360" w:lineRule="auto"/>
        <w:ind w:firstLineChars="200" w:firstLine="420"/>
      </w:pPr>
      <w:r>
        <w:rPr>
          <w:rFonts w:hint="eastAsia"/>
        </w:rPr>
        <w:t>（</w:t>
      </w:r>
      <w:r>
        <w:t>1</w:t>
      </w:r>
      <w:r>
        <w:rPr>
          <w:rFonts w:hint="eastAsia"/>
        </w:rPr>
        <w:t>）部分延期</w:t>
      </w:r>
      <w:r>
        <w:t>赎回</w:t>
      </w:r>
      <w:r>
        <w:rPr>
          <w:rFonts w:hint="eastAsia"/>
        </w:rPr>
        <w:t>，并</w:t>
      </w:r>
      <w:r>
        <w:rPr>
          <w:rFonts w:asciiTheme="minorEastAsia" w:eastAsiaTheme="minorEastAsia" w:hAnsiTheme="minorEastAsia" w:hint="eastAsia"/>
          <w:bCs/>
          <w:color w:val="000000" w:themeColor="text1"/>
          <w:szCs w:val="21"/>
        </w:rPr>
        <w:t>有权</w:t>
      </w:r>
      <w:r>
        <w:rPr>
          <w:rFonts w:hint="eastAsia"/>
        </w:rPr>
        <w:t>对当日申请赎回的份额超过前一工作日基金总份额</w:t>
      </w:r>
      <w:r>
        <w:t>20%</w:t>
      </w:r>
      <w:r>
        <w:rPr>
          <w:rFonts w:hint="eastAsia"/>
        </w:rPr>
        <w:t>的单个赎回申请人</w:t>
      </w:r>
      <w:r>
        <w:rPr>
          <w:rFonts w:asciiTheme="minorEastAsia" w:eastAsiaTheme="minorEastAsia" w:hAnsiTheme="minorEastAsia" w:hint="eastAsia"/>
          <w:bCs/>
          <w:color w:val="000000" w:themeColor="text1"/>
          <w:szCs w:val="21"/>
        </w:rPr>
        <w:t>实施</w:t>
      </w:r>
      <w:r>
        <w:rPr>
          <w:rFonts w:hint="eastAsia"/>
        </w:rPr>
        <w:t>部分延期办理；</w:t>
      </w:r>
    </w:p>
    <w:p w14:paraId="125BE4D9"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）暂停赎回；</w:t>
      </w:r>
    </w:p>
    <w:p w14:paraId="6A6705A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）采用摆动定价机制；</w:t>
      </w:r>
    </w:p>
    <w:p w14:paraId="0D502FE2"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）中国证监会认定的其他措施。</w:t>
      </w:r>
    </w:p>
    <w:p w14:paraId="5849B9A2" w14:textId="77777777" w:rsidR="00BF38BB" w:rsidRDefault="002837D7">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、实施备用的流动性风险管理工具的情形、程序及对投资者的潜在影响：</w:t>
      </w:r>
    </w:p>
    <w:p w14:paraId="1F634F19"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基金管理人在确保投资者得到公平对待的前提下，可依照法律法规及基金合同的约定，综合运用各类流动性风险管理工具，对赎回申请等进行适度调整，作为特定情形下基金管理人流动性风险的辅助措施，包括但不限于：</w:t>
      </w:r>
    </w:p>
    <w:p w14:paraId="3FDE445B"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）延期办理巨额赎回申请</w:t>
      </w:r>
    </w:p>
    <w:p w14:paraId="4CF11B78"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具体请参见基金合同“第六部分</w:t>
      </w:r>
      <w:r>
        <w:rPr>
          <w:rFonts w:ascii="宋体" w:hAnsi="宋体" w:hint="eastAsia"/>
          <w:bCs/>
          <w:szCs w:val="21"/>
        </w:rPr>
        <w:t xml:space="preserve"> </w:t>
      </w:r>
      <w:r>
        <w:rPr>
          <w:rFonts w:ascii="宋体" w:hAnsi="宋体" w:hint="eastAsia"/>
          <w:bCs/>
          <w:szCs w:val="21"/>
        </w:rPr>
        <w:t>基金份额的申购与赎回”中的“九、巨额赎回的情形及处理方式”，详细了解本基金延期办理巨额赎回申</w:t>
      </w:r>
      <w:r>
        <w:rPr>
          <w:rFonts w:ascii="宋体" w:hAnsi="宋体" w:hint="eastAsia"/>
          <w:bCs/>
          <w:szCs w:val="21"/>
        </w:rPr>
        <w:t>请的情形及程序。</w:t>
      </w:r>
    </w:p>
    <w:p w14:paraId="58B79E36"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在此情形下，投资人的部分或全部赎回申请可能被拒绝，同时投资人完成基金赎回时的基金份额净值可能与其提交赎回申请时的基金份额净值不同。</w:t>
      </w:r>
    </w:p>
    <w:p w14:paraId="173D72BC"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）暂停接受赎回申请</w:t>
      </w:r>
    </w:p>
    <w:p w14:paraId="2B67461A"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具体请参见基金合同“第六部分</w:t>
      </w:r>
      <w:r>
        <w:rPr>
          <w:rFonts w:ascii="宋体" w:hAnsi="宋体" w:hint="eastAsia"/>
          <w:bCs/>
          <w:szCs w:val="21"/>
        </w:rPr>
        <w:t xml:space="preserve"> </w:t>
      </w:r>
      <w:r>
        <w:rPr>
          <w:rFonts w:ascii="宋体" w:hAnsi="宋体" w:hint="eastAsia"/>
          <w:bCs/>
          <w:szCs w:val="21"/>
        </w:rPr>
        <w:t>基金份额的申购与赎回”中的“八、暂停赎回或延缓支付赎回款项的情形”和“九、巨额赎回的情形及处理方式”，详细了解本基金暂停接受赎回申请的情形及程序。</w:t>
      </w:r>
    </w:p>
    <w:p w14:paraId="33F928F1"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）延缓支付赎回款项</w:t>
      </w:r>
    </w:p>
    <w:p w14:paraId="78A462B0"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投资人具体请参见基金合同“第六部分</w:t>
      </w:r>
      <w:r>
        <w:rPr>
          <w:rFonts w:ascii="宋体" w:hAnsi="宋体" w:hint="eastAsia"/>
          <w:bCs/>
          <w:szCs w:val="21"/>
        </w:rPr>
        <w:t xml:space="preserve"> </w:t>
      </w:r>
      <w:r>
        <w:rPr>
          <w:rFonts w:ascii="宋体" w:hAnsi="宋体" w:hint="eastAsia"/>
          <w:bCs/>
          <w:szCs w:val="21"/>
        </w:rPr>
        <w:t>基金份额的申购与赎回”中的“八、暂停赎回或延缓支付赎回款项的情形”</w:t>
      </w:r>
      <w:bookmarkStart w:id="117" w:name="OLE_LINK39"/>
      <w:r>
        <w:rPr>
          <w:rFonts w:ascii="宋体" w:hAnsi="宋体" w:hint="eastAsia"/>
          <w:bCs/>
          <w:szCs w:val="21"/>
        </w:rPr>
        <w:t>和“九、巨额赎回的情形及处理方式”</w:t>
      </w:r>
      <w:bookmarkEnd w:id="117"/>
      <w:r>
        <w:rPr>
          <w:rFonts w:ascii="宋体" w:hAnsi="宋体" w:hint="eastAsia"/>
          <w:bCs/>
          <w:szCs w:val="21"/>
        </w:rPr>
        <w:t>，详细了解本基金延缓支付赎回款项的情形及程序。</w:t>
      </w:r>
    </w:p>
    <w:p w14:paraId="556B0288"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在此情形下，投资人接收赎回款项的时间将可能比一般正常情形下有所延迟。</w:t>
      </w:r>
    </w:p>
    <w:p w14:paraId="054CFA58"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）收取短期赎回费</w:t>
      </w:r>
    </w:p>
    <w:p w14:paraId="752CBAC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本基金对持续持有期少于</w:t>
      </w:r>
      <w:r>
        <w:rPr>
          <w:rFonts w:ascii="宋体" w:hAnsi="宋体" w:hint="eastAsia"/>
          <w:bCs/>
          <w:szCs w:val="21"/>
        </w:rPr>
        <w:t>7</w:t>
      </w:r>
      <w:r>
        <w:rPr>
          <w:rFonts w:ascii="宋体" w:hAnsi="宋体" w:hint="eastAsia"/>
          <w:bCs/>
          <w:szCs w:val="21"/>
        </w:rPr>
        <w:t>日的投资者收取不低于</w:t>
      </w:r>
      <w:r>
        <w:rPr>
          <w:rFonts w:ascii="宋体" w:hAnsi="宋体" w:hint="eastAsia"/>
          <w:bCs/>
          <w:szCs w:val="21"/>
        </w:rPr>
        <w:t>1.5%</w:t>
      </w:r>
      <w:r>
        <w:rPr>
          <w:rFonts w:ascii="宋体" w:hAnsi="宋体" w:hint="eastAsia"/>
          <w:bCs/>
          <w:szCs w:val="21"/>
        </w:rPr>
        <w:t>的赎回费，并将上述赎回费全额计入基金财产。</w:t>
      </w:r>
    </w:p>
    <w:p w14:paraId="5005BEE7"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）暂停基金估值</w:t>
      </w:r>
    </w:p>
    <w:p w14:paraId="07798BB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投资人具体请参见基金合同“第十四部分</w:t>
      </w:r>
      <w:r>
        <w:rPr>
          <w:rFonts w:ascii="宋体" w:hAnsi="宋体" w:hint="eastAsia"/>
          <w:bCs/>
          <w:szCs w:val="21"/>
        </w:rPr>
        <w:t xml:space="preserve"> </w:t>
      </w:r>
      <w:r>
        <w:rPr>
          <w:rFonts w:ascii="宋体" w:hAnsi="宋体" w:hint="eastAsia"/>
          <w:bCs/>
          <w:szCs w:val="21"/>
        </w:rPr>
        <w:t>基金资产估值”中的“七、暂停估值的情形”，详细了解本基金暂停估值的情形及程序。</w:t>
      </w:r>
    </w:p>
    <w:p w14:paraId="5CF0F518"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在此情形下，投资人没有可供参考的基金份额净值，同时赎回申请可能被延期办理或被暂停接受，或被延缓支付赎回款项。</w:t>
      </w:r>
    </w:p>
    <w:p w14:paraId="22F773DC"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）摆动定价</w:t>
      </w:r>
    </w:p>
    <w:p w14:paraId="0A24861B" w14:textId="77777777" w:rsidR="00BF38BB" w:rsidRDefault="002837D7">
      <w:pPr>
        <w:spacing w:line="360" w:lineRule="auto"/>
        <w:ind w:firstLineChars="200" w:firstLine="420"/>
        <w:rPr>
          <w:rFonts w:ascii="宋体" w:hAnsi="宋体"/>
          <w:bCs/>
          <w:szCs w:val="21"/>
        </w:rPr>
      </w:pPr>
      <w:r>
        <w:rPr>
          <w:rFonts w:ascii="宋体" w:hAnsi="宋体" w:hint="eastAsia"/>
          <w:bCs/>
          <w:szCs w:val="21"/>
        </w:rPr>
        <w:lastRenderedPageBreak/>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363982B7"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7</w:t>
      </w:r>
      <w:r>
        <w:rPr>
          <w:rFonts w:ascii="宋体" w:hAnsi="宋体" w:hint="eastAsia"/>
          <w:bCs/>
          <w:szCs w:val="21"/>
        </w:rPr>
        <w:t>）实施侧袋机制</w:t>
      </w:r>
    </w:p>
    <w:p w14:paraId="57587634"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投资人具体请参见招募说明书“十六、侧袋机制”，详细了解本基金侧袋机制的情形及程序。</w:t>
      </w:r>
    </w:p>
    <w:p w14:paraId="77BB8CEB" w14:textId="77777777" w:rsidR="00BF38BB" w:rsidRDefault="002837D7">
      <w:pPr>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、实施侧袋机制对投资者的影响</w:t>
      </w:r>
    </w:p>
    <w:p w14:paraId="711A0004" w14:textId="77777777" w:rsidR="00BF38BB" w:rsidRDefault="002837D7">
      <w:pPr>
        <w:spacing w:line="360" w:lineRule="auto"/>
        <w:ind w:firstLineChars="200" w:firstLine="420"/>
        <w:rPr>
          <w:rFonts w:ascii="宋体" w:hAnsi="宋体"/>
          <w:bCs/>
          <w:szCs w:val="21"/>
        </w:rPr>
      </w:pPr>
      <w:r>
        <w:rPr>
          <w:rFonts w:ascii="宋体" w:hAnsi="宋体" w:hint="eastAsia"/>
          <w:bCs/>
          <w:szCs w:val="21"/>
        </w:rPr>
        <w:t>侧袋机制是一种流动性风险管理工具，是将</w:t>
      </w:r>
      <w:r>
        <w:rPr>
          <w:rFonts w:ascii="宋体" w:hAnsi="宋体" w:hint="eastAsia"/>
          <w:bCs/>
          <w:szCs w:val="21"/>
        </w:rPr>
        <w:t>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0D7F81FB"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实施侧袋机制期间，因</w:t>
      </w:r>
      <w:r>
        <w:rPr>
          <w:rFonts w:ascii="宋体" w:hAnsi="宋体" w:hint="eastAsia"/>
          <w:bCs/>
          <w:szCs w:val="21"/>
        </w:rPr>
        <w:t>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FAA3CA4"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基金管理人将根据主袋账户运作情况合理确定申购政策，因此实施侧袋机制后主袋账户份额存在暂停申购的可能。</w:t>
      </w:r>
    </w:p>
    <w:p w14:paraId="70E5643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启用侧袋机制后，基金管理人计算各项投资运作指标和基金业绩指标时仅需考虑主袋账户资产，并根据相关规定对分割侧袋账户资产导致的基金净资产减少进行按投资损失处理，因此本基金披露的业绩指标不能反</w:t>
      </w:r>
      <w:r>
        <w:rPr>
          <w:rFonts w:ascii="宋体" w:hAnsi="宋体" w:hint="eastAsia"/>
          <w:bCs/>
          <w:szCs w:val="21"/>
        </w:rPr>
        <w:t>映特定资产的真实价值及变化情况。</w:t>
      </w:r>
    </w:p>
    <w:p w14:paraId="2B41E5D9" w14:textId="77777777" w:rsidR="00BF38BB" w:rsidRDefault="002837D7">
      <w:pPr>
        <w:spacing w:line="360" w:lineRule="auto"/>
        <w:ind w:firstLineChars="200" w:firstLine="420"/>
        <w:rPr>
          <w:rFonts w:ascii="宋体" w:hAnsi="宋体"/>
        </w:rPr>
      </w:pPr>
      <w:r>
        <w:rPr>
          <w:rFonts w:ascii="宋体" w:hAnsi="宋体"/>
        </w:rPr>
        <w:t>（四）管理风险</w:t>
      </w:r>
    </w:p>
    <w:p w14:paraId="1A1B9046"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在基金管理运作过程中，可能因基金管理人对经济形势和证券市场等判断有误、获取的信息不全等影响基金的收益水平。基金管理人的管理水平、管理手段和管理技术等对基金收益水平存在影响。</w:t>
      </w:r>
    </w:p>
    <w:p w14:paraId="2E7A8A1F" w14:textId="77777777" w:rsidR="00BF38BB" w:rsidRDefault="002837D7">
      <w:pPr>
        <w:spacing w:line="360" w:lineRule="auto"/>
        <w:ind w:firstLineChars="200" w:firstLine="420"/>
        <w:rPr>
          <w:rFonts w:ascii="宋体" w:hAnsi="宋体"/>
        </w:rPr>
      </w:pPr>
      <w:r>
        <w:rPr>
          <w:rFonts w:ascii="宋体" w:hAnsi="宋体"/>
        </w:rPr>
        <w:t>（五）操作或技术风险</w:t>
      </w:r>
    </w:p>
    <w:p w14:paraId="2E11A60C"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指相关当事人在业务各环节操作过程中，因内部控制存在缺陷或者人为因素造成操作失误或违反操作规程等引致的风险，例如，越权违规交易、会计部门欺诈、交易错误、</w:t>
      </w:r>
      <w:r>
        <w:rPr>
          <w:rFonts w:ascii="宋体" w:hAnsi="宋体"/>
        </w:rPr>
        <w:t>IT</w:t>
      </w:r>
      <w:r>
        <w:rPr>
          <w:rFonts w:ascii="宋体" w:hAnsi="宋体"/>
        </w:rPr>
        <w:t>系统故障等风险。</w:t>
      </w:r>
    </w:p>
    <w:p w14:paraId="761BEB94" w14:textId="77777777" w:rsidR="00BF38BB" w:rsidRDefault="002837D7">
      <w:pPr>
        <w:spacing w:line="360" w:lineRule="auto"/>
        <w:ind w:firstLineChars="200" w:firstLine="420"/>
        <w:rPr>
          <w:rFonts w:ascii="宋体" w:hAnsi="宋体"/>
        </w:rPr>
      </w:pPr>
      <w:r>
        <w:rPr>
          <w:rFonts w:ascii="宋体" w:hAnsi="宋体" w:hint="eastAsia"/>
        </w:rPr>
        <w:t>在开放式基金的各种交易行为或者后台运作中，可能因为技术系统的故障或者差错而影响交易的正常进行或者导致投资者的利益受到影响。这种技术风险可能来自基金管理人、登记机构、销售机构、证券</w:t>
      </w:r>
      <w:r>
        <w:rPr>
          <w:rFonts w:ascii="宋体" w:hAnsi="宋体" w:hint="eastAsia"/>
        </w:rPr>
        <w:t>/</w:t>
      </w:r>
      <w:r>
        <w:rPr>
          <w:rFonts w:ascii="宋体" w:hAnsi="宋体" w:hint="eastAsia"/>
        </w:rPr>
        <w:t>期货交易所、证券登记结算机构等等。</w:t>
      </w:r>
    </w:p>
    <w:p w14:paraId="28298913" w14:textId="77777777" w:rsidR="00BF38BB" w:rsidRDefault="002837D7">
      <w:pPr>
        <w:spacing w:line="360" w:lineRule="auto"/>
        <w:ind w:firstLineChars="200" w:firstLine="420"/>
        <w:rPr>
          <w:rFonts w:ascii="宋体" w:hAnsi="宋体"/>
        </w:rPr>
      </w:pPr>
      <w:r>
        <w:rPr>
          <w:rFonts w:ascii="宋体" w:hAnsi="宋体"/>
        </w:rPr>
        <w:lastRenderedPageBreak/>
        <w:t>（六）合规性风险</w:t>
      </w:r>
    </w:p>
    <w:p w14:paraId="5C7C5E90"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指基金管理或运作过程中，违反国家法律法规的规定，或者基金投资违反法规及基金合同有关规定的风险。</w:t>
      </w:r>
    </w:p>
    <w:p w14:paraId="2A44B127" w14:textId="77777777" w:rsidR="00BF38BB" w:rsidRDefault="002837D7">
      <w:pPr>
        <w:spacing w:line="360" w:lineRule="auto"/>
        <w:ind w:firstLineChars="200" w:firstLine="420"/>
        <w:rPr>
          <w:rFonts w:ascii="宋体" w:hAnsi="宋体"/>
        </w:rPr>
      </w:pPr>
      <w:bookmarkStart w:id="118" w:name="_Hlk154682400"/>
      <w:r>
        <w:rPr>
          <w:rFonts w:ascii="宋体" w:hAnsi="宋体"/>
        </w:rPr>
        <w:t>（七）本基金特有的风险</w:t>
      </w:r>
    </w:p>
    <w:bookmarkEnd w:id="118"/>
    <w:p w14:paraId="284CDBCB" w14:textId="77777777" w:rsidR="00BF38BB" w:rsidRDefault="002837D7">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、标的指数回报与股票市场平均回报偏离的风险</w:t>
      </w:r>
    </w:p>
    <w:p w14:paraId="2798BE2F"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标的指数并不能完全代表整个股票市场。标的指数成份股的平均回报率与整个股票市场的平均回报率可能存在偏离。</w:t>
      </w:r>
    </w:p>
    <w:p w14:paraId="29C4D6D6" w14:textId="77777777" w:rsidR="00BF38BB" w:rsidRDefault="002837D7">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、标的</w:t>
      </w:r>
      <w:r>
        <w:rPr>
          <w:rFonts w:ascii="宋体" w:hAnsi="宋体" w:hint="eastAsia"/>
          <w:bCs/>
          <w:szCs w:val="21"/>
        </w:rPr>
        <w:t>指数波动的风险</w:t>
      </w:r>
    </w:p>
    <w:p w14:paraId="7F728756"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标的指数成份股的价格可能受到政治因素、经济因素、上市公司经营状况、投资者心理和交易制度等各种因素的影响而波动，导致指数波动，从而使基金收益水平发生变化，产生风险。</w:t>
      </w:r>
    </w:p>
    <w:p w14:paraId="67BEE5E7" w14:textId="77777777" w:rsidR="00BF38BB" w:rsidRDefault="002837D7">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、基金投资组合回报与标的指数回报偏离的风险</w:t>
      </w:r>
    </w:p>
    <w:p w14:paraId="2186ABE8" w14:textId="77777777" w:rsidR="00BF38BB" w:rsidRDefault="002837D7">
      <w:pPr>
        <w:spacing w:line="360" w:lineRule="auto"/>
        <w:ind w:firstLineChars="200" w:firstLine="420"/>
        <w:rPr>
          <w:rFonts w:ascii="宋体" w:hAnsi="宋体"/>
          <w:bCs/>
          <w:szCs w:val="21"/>
        </w:rPr>
      </w:pPr>
      <w:r>
        <w:rPr>
          <w:rFonts w:ascii="宋体" w:hAnsi="宋体" w:hint="eastAsia"/>
          <w:bCs/>
          <w:szCs w:val="21"/>
        </w:rPr>
        <w:t>以下因素可能使基金投资组合的收益率与标的指数的收益率发生偏离：</w:t>
      </w:r>
    </w:p>
    <w:p w14:paraId="467DA6B7"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）由于标的指数调整成份股或变更编制方法，使本基金在相应的组合调整中产生跟踪偏离度与跟踪误差。</w:t>
      </w:r>
    </w:p>
    <w:p w14:paraId="5D71A69A"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）由于标的指数成份股发生配股、增发等行为导致成份股在标的指数中的权重发生变化，使本基金在相应的组合调整中产生跟踪偏离度和</w:t>
      </w:r>
      <w:r>
        <w:rPr>
          <w:rFonts w:ascii="宋体" w:hAnsi="宋体" w:hint="eastAsia"/>
          <w:bCs/>
          <w:szCs w:val="21"/>
        </w:rPr>
        <w:t>跟踪误差。</w:t>
      </w:r>
    </w:p>
    <w:p w14:paraId="6C113FE7"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）成份股派发现金红利、新股市值配售收益将导致基金收益率超过标的指数收益率，产生正的跟踪偏离度。</w:t>
      </w:r>
    </w:p>
    <w:p w14:paraId="6CCD789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）由于成份股停牌、摘牌或流动性差等原因使本基金无法及时调整投资组合或承担冲击成本而产生跟踪偏离度和跟踪误差。</w:t>
      </w:r>
    </w:p>
    <w:p w14:paraId="2197A2C1"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5</w:t>
      </w:r>
      <w:r>
        <w:rPr>
          <w:rFonts w:ascii="宋体" w:hAnsi="宋体" w:hint="eastAsia"/>
          <w:bCs/>
          <w:szCs w:val="21"/>
        </w:rPr>
        <w:t>）由于基金投资过程中的证券交易成本，以及基金管理费和托管费的存在，使基金投资组合与标的指数产生跟踪偏离度与跟踪误差。</w:t>
      </w:r>
    </w:p>
    <w:p w14:paraId="514B899F"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6</w:t>
      </w:r>
      <w:r>
        <w:rPr>
          <w:rFonts w:ascii="宋体" w:hAnsi="宋体" w:hint="eastAsia"/>
          <w:bCs/>
          <w:szCs w:val="21"/>
        </w:rPr>
        <w:t>）在本基金指数化投资过程中，基金管理人的管理能力，例如跟踪指数的水平、技术手段、买入卖出的时机选择等，都会对本基金的收益产生影响，从而影响本基金对标的指数的跟踪程度。</w:t>
      </w:r>
    </w:p>
    <w:p w14:paraId="59EB8BDA"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7</w:t>
      </w:r>
      <w:r>
        <w:rPr>
          <w:rFonts w:ascii="宋体" w:hAnsi="宋体" w:hint="eastAsia"/>
          <w:bCs/>
          <w:szCs w:val="21"/>
        </w:rPr>
        <w:t>）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3C610409" w14:textId="77777777" w:rsidR="00BF38BB" w:rsidRDefault="002837D7">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、主动增强投资的风险</w:t>
      </w:r>
    </w:p>
    <w:p w14:paraId="70E49EF0"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根据本基金的投资策略，为了获得稳定适度的超</w:t>
      </w:r>
      <w:r>
        <w:rPr>
          <w:rFonts w:ascii="宋体" w:hAnsi="宋体" w:hint="eastAsia"/>
          <w:bCs/>
          <w:szCs w:val="21"/>
        </w:rPr>
        <w:t>额收益，可以在被动跟踪指数的基础上进行一些优化调整，如在一定幅度内减少或增强成份股的权重、替换或者增加一些非成份股、以及投资股指期货进行套期保</w:t>
      </w:r>
      <w:r>
        <w:rPr>
          <w:rFonts w:ascii="宋体" w:hAnsi="宋体" w:hint="eastAsia"/>
          <w:bCs/>
          <w:szCs w:val="21"/>
        </w:rPr>
        <w:lastRenderedPageBreak/>
        <w:t>值等。这种基于对宏观面、基本面的深度研究、通过基金管理人开发的选股模型做出优化调整投资组合的决策，最终结果仍然存在一定的不确定性，其投资收益率可能高于指数收益率但也有可能低于指数收益率。</w:t>
      </w:r>
    </w:p>
    <w:p w14:paraId="0DB25CF2" w14:textId="77777777" w:rsidR="00BF38BB" w:rsidRDefault="002837D7">
      <w:pPr>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、跟踪误差控制未达约定目标的风险</w:t>
      </w:r>
    </w:p>
    <w:p w14:paraId="0EA457DB"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本基金力争控制本基金净值增长率与业绩比较基准之间的日均跟踪偏离度的绝对值不超过</w:t>
      </w:r>
      <w:r>
        <w:rPr>
          <w:rFonts w:ascii="宋体" w:hAnsi="宋体" w:hint="eastAsia"/>
          <w:bCs/>
          <w:szCs w:val="21"/>
        </w:rPr>
        <w:t>0.5%</w:t>
      </w:r>
      <w:r>
        <w:rPr>
          <w:rFonts w:ascii="宋体" w:hAnsi="宋体" w:hint="eastAsia"/>
          <w:bCs/>
          <w:szCs w:val="21"/>
        </w:rPr>
        <w:t>、年化跟踪误差不超过</w:t>
      </w:r>
      <w:r>
        <w:rPr>
          <w:rFonts w:ascii="宋体" w:hAnsi="宋体" w:hint="eastAsia"/>
          <w:bCs/>
          <w:szCs w:val="21"/>
        </w:rPr>
        <w:t>7.75%</w:t>
      </w:r>
      <w:r>
        <w:rPr>
          <w:rFonts w:ascii="宋体" w:hAnsi="宋体" w:hint="eastAsia"/>
          <w:bCs/>
          <w:szCs w:val="21"/>
        </w:rPr>
        <w:t>，但因标的指数编制规则调整或其</w:t>
      </w:r>
      <w:r>
        <w:rPr>
          <w:rFonts w:ascii="宋体" w:hAnsi="宋体" w:hint="eastAsia"/>
          <w:bCs/>
          <w:szCs w:val="21"/>
        </w:rPr>
        <w:t>他因素可能导致跟踪误差超过上述范围，本基金净值表现与指数价格走势可能发生较大偏离。</w:t>
      </w:r>
    </w:p>
    <w:p w14:paraId="51CB18EA" w14:textId="77777777" w:rsidR="00BF38BB" w:rsidRDefault="002837D7">
      <w:pPr>
        <w:spacing w:line="360" w:lineRule="auto"/>
        <w:ind w:firstLineChars="200" w:firstLine="420"/>
        <w:rPr>
          <w:rFonts w:ascii="宋体" w:hAnsi="宋体"/>
          <w:bCs/>
          <w:szCs w:val="21"/>
        </w:rPr>
      </w:pPr>
      <w:r>
        <w:rPr>
          <w:rFonts w:ascii="宋体" w:hAnsi="宋体"/>
          <w:bCs/>
          <w:szCs w:val="21"/>
        </w:rPr>
        <w:t>6</w:t>
      </w:r>
      <w:r>
        <w:rPr>
          <w:rFonts w:ascii="宋体" w:hAnsi="宋体"/>
          <w:bCs/>
          <w:szCs w:val="21"/>
        </w:rPr>
        <w:t>、</w:t>
      </w:r>
      <w:r>
        <w:rPr>
          <w:rFonts w:ascii="宋体" w:hAnsi="宋体" w:hint="eastAsia"/>
          <w:bCs/>
          <w:szCs w:val="21"/>
        </w:rPr>
        <w:t>指数编制机构停止服务的风险</w:t>
      </w:r>
    </w:p>
    <w:p w14:paraId="7787B739" w14:textId="77777777" w:rsidR="00BF38BB" w:rsidRDefault="002837D7">
      <w:pPr>
        <w:spacing w:line="360" w:lineRule="auto"/>
        <w:ind w:firstLineChars="200" w:firstLine="420"/>
        <w:rPr>
          <w:rFonts w:ascii="宋体" w:hAnsi="宋体"/>
          <w:bCs/>
          <w:szCs w:val="21"/>
        </w:rPr>
      </w:pPr>
      <w:bookmarkStart w:id="119" w:name="OLE_LINK40"/>
      <w:r>
        <w:rPr>
          <w:rFonts w:ascii="宋体" w:hAnsi="宋体" w:hint="eastAsia"/>
          <w:bCs/>
          <w:szCs w:val="21"/>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转换运作方式、与其他基金合并、或者终止基金合同等，并在</w:t>
      </w:r>
      <w:r>
        <w:rPr>
          <w:rFonts w:ascii="宋体" w:hAnsi="宋体" w:hint="eastAsia"/>
          <w:bCs/>
          <w:szCs w:val="21"/>
        </w:rPr>
        <w:t>6</w:t>
      </w:r>
      <w:r>
        <w:rPr>
          <w:rFonts w:ascii="宋体" w:hAnsi="宋体" w:hint="eastAsia"/>
          <w:bCs/>
          <w:szCs w:val="21"/>
        </w:rPr>
        <w:t>个月内召集基金份额持有人大会进行表决，基金份额持有人大会未成功召开或就上述事项表决未通过的，基金合同终止。投资人将面临转换运作方式，与其他基金合并</w:t>
      </w:r>
      <w:r>
        <w:rPr>
          <w:rFonts w:ascii="宋体" w:hAnsi="宋体" w:hint="eastAsia"/>
          <w:bCs/>
          <w:szCs w:val="21"/>
        </w:rPr>
        <w:t>、或者终止基金合同等风险。</w:t>
      </w:r>
    </w:p>
    <w:p w14:paraId="2C8D0D54" w14:textId="77777777" w:rsidR="00BF38BB" w:rsidRDefault="002837D7">
      <w:pPr>
        <w:spacing w:line="360" w:lineRule="auto"/>
        <w:ind w:firstLineChars="200" w:firstLine="420"/>
        <w:rPr>
          <w:rFonts w:ascii="宋体" w:hAnsi="宋体"/>
          <w:bCs/>
          <w:szCs w:val="21"/>
        </w:rPr>
      </w:pPr>
      <w:r>
        <w:rPr>
          <w:rFonts w:ascii="宋体" w:hAnsi="宋体" w:hint="eastAsia"/>
          <w:bCs/>
          <w:szCs w:val="21"/>
        </w:rPr>
        <w:t>自指数编制机构停止标的指数的编制及发布至解决方案确定并实施前，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bookmarkEnd w:id="119"/>
    <w:p w14:paraId="3A4520AA" w14:textId="77777777" w:rsidR="00BF38BB" w:rsidRDefault="002837D7">
      <w:pPr>
        <w:spacing w:line="360" w:lineRule="auto"/>
        <w:ind w:firstLineChars="200" w:firstLine="420"/>
        <w:rPr>
          <w:rFonts w:ascii="宋体" w:hAnsi="宋体"/>
          <w:bCs/>
          <w:szCs w:val="21"/>
        </w:rPr>
      </w:pPr>
      <w:r>
        <w:rPr>
          <w:rFonts w:ascii="宋体" w:hAnsi="宋体"/>
          <w:bCs/>
          <w:szCs w:val="21"/>
        </w:rPr>
        <w:t>7</w:t>
      </w:r>
      <w:r>
        <w:rPr>
          <w:rFonts w:ascii="宋体" w:hAnsi="宋体" w:hint="eastAsia"/>
          <w:bCs/>
          <w:szCs w:val="21"/>
        </w:rPr>
        <w:t>、成份股停牌的风险</w:t>
      </w:r>
    </w:p>
    <w:p w14:paraId="0902E8BC"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本基金的标的指数成份股可能出现停牌，从而使基金的部分资产无法变现或出现大幅折价，存在对基金净值产生冲击的风险。此外，本基金运作过程中，当标的指数成份股发生明显负面事件面临退市风险，且指数编制机构暂未作出调整</w:t>
      </w:r>
      <w:r>
        <w:rPr>
          <w:rFonts w:ascii="宋体" w:hAnsi="宋体" w:hint="eastAsia"/>
          <w:bCs/>
          <w:szCs w:val="21"/>
        </w:rPr>
        <w:t>的，基金管理人将按照基金份额持有人利益优先的原则，履行内部决策程序后及时对相关成份股进行调整，从而可能产生跟踪偏离、跟踪误差控制未达约定目标的风险。</w:t>
      </w:r>
    </w:p>
    <w:p w14:paraId="4FA73901" w14:textId="77777777" w:rsidR="00BF38BB" w:rsidRDefault="002837D7">
      <w:pPr>
        <w:spacing w:line="360" w:lineRule="auto"/>
        <w:ind w:firstLineChars="200" w:firstLine="420"/>
        <w:rPr>
          <w:rFonts w:ascii="宋体" w:hAnsi="宋体"/>
          <w:bCs/>
          <w:szCs w:val="21"/>
        </w:rPr>
      </w:pPr>
      <w:r>
        <w:rPr>
          <w:rFonts w:ascii="宋体" w:hAnsi="宋体"/>
          <w:bCs/>
          <w:szCs w:val="21"/>
        </w:rPr>
        <w:t>8</w:t>
      </w:r>
      <w:r>
        <w:rPr>
          <w:rFonts w:ascii="宋体" w:hAnsi="宋体" w:hint="eastAsia"/>
          <w:bCs/>
          <w:szCs w:val="21"/>
        </w:rPr>
        <w:t>、资产支持证券投资风险</w:t>
      </w:r>
    </w:p>
    <w:p w14:paraId="5D42CADB"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本基金投资资产支持证券，可能面临利率风险、流动性风险、现金流预测风险。利率风险是指市场利率将随宏观经济环境的变化而波动，利率波动可能会影响资产支持证券收益。流动性风险是指在交易对手有限的情况下，资产支持证券持有人将面临无法在合理的时间内以公允价格出售资产支持证券而遭受损失的风险。资产支持证券的还款来源为基础资产未来现金流，现金流预测风</w:t>
      </w:r>
      <w:r>
        <w:rPr>
          <w:rFonts w:ascii="宋体" w:hAnsi="宋体" w:hint="eastAsia"/>
          <w:bCs/>
          <w:szCs w:val="21"/>
        </w:rPr>
        <w:t>险是指由于对基础资产的现金流预测发生偏差导致的资产支持证券本息无法按期或足额偿还的风险。</w:t>
      </w:r>
    </w:p>
    <w:p w14:paraId="666D182F" w14:textId="77777777" w:rsidR="00BF38BB" w:rsidRDefault="002837D7">
      <w:pPr>
        <w:spacing w:line="360" w:lineRule="auto"/>
        <w:ind w:firstLineChars="200" w:firstLine="420"/>
        <w:rPr>
          <w:rFonts w:ascii="宋体" w:hAnsi="宋体"/>
          <w:bCs/>
          <w:szCs w:val="21"/>
        </w:rPr>
      </w:pPr>
      <w:r>
        <w:rPr>
          <w:rFonts w:ascii="宋体" w:hAnsi="宋体"/>
          <w:bCs/>
          <w:szCs w:val="21"/>
        </w:rPr>
        <w:t>9</w:t>
      </w:r>
      <w:r>
        <w:rPr>
          <w:rFonts w:ascii="宋体" w:hAnsi="宋体" w:hint="eastAsia"/>
          <w:bCs/>
          <w:szCs w:val="21"/>
        </w:rPr>
        <w:t>、股指期货投资风险</w:t>
      </w:r>
    </w:p>
    <w:p w14:paraId="0245C11C"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本基金可投资于股指期货，股指期货作为一种金融衍生品，具备一些特有的风险点。投资股指期货主要存在以下风险：</w:t>
      </w:r>
    </w:p>
    <w:p w14:paraId="490DF037"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）市场风险：是指由于股指期货价格变动而给投资者带来的风险。</w:t>
      </w:r>
    </w:p>
    <w:p w14:paraId="36C54BCB" w14:textId="77777777" w:rsidR="00BF38BB" w:rsidRDefault="002837D7">
      <w:pPr>
        <w:spacing w:line="360" w:lineRule="auto"/>
        <w:ind w:firstLineChars="200" w:firstLine="420"/>
        <w:rPr>
          <w:rFonts w:ascii="宋体" w:hAnsi="宋体"/>
          <w:bCs/>
          <w:szCs w:val="21"/>
        </w:rPr>
      </w:pPr>
      <w:r>
        <w:rPr>
          <w:rFonts w:ascii="宋体" w:hAnsi="宋体" w:hint="eastAsia"/>
          <w:bCs/>
          <w:szCs w:val="21"/>
        </w:rPr>
        <w:lastRenderedPageBreak/>
        <w:t>（</w:t>
      </w:r>
      <w:r>
        <w:rPr>
          <w:rFonts w:ascii="宋体" w:hAnsi="宋体" w:hint="eastAsia"/>
          <w:bCs/>
          <w:szCs w:val="21"/>
        </w:rPr>
        <w:t>2</w:t>
      </w:r>
      <w:r>
        <w:rPr>
          <w:rFonts w:ascii="宋体" w:hAnsi="宋体" w:hint="eastAsia"/>
          <w:bCs/>
          <w:szCs w:val="21"/>
        </w:rPr>
        <w:t>）流动性风险：是指由于股指期货合约无法及时变现所带来的风险。</w:t>
      </w:r>
    </w:p>
    <w:p w14:paraId="49F9851C"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）基差风险：是指股指期货合约价格和指数价格之间的价格差的波动所造成的风险，以及不同股指期货合约价格之间价格差的波动所造成的期现价差风险。</w:t>
      </w:r>
    </w:p>
    <w:p w14:paraId="04745F43"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）保证金风险：是指由于无法及时筹措资金满足建立或者维持股指期货合约头寸所要求的保证金而带来的风险。</w:t>
      </w:r>
    </w:p>
    <w:p w14:paraId="7F7749E1"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5</w:t>
      </w:r>
      <w:r>
        <w:rPr>
          <w:rFonts w:ascii="宋体" w:hAnsi="宋体" w:hint="eastAsia"/>
          <w:bCs/>
          <w:szCs w:val="21"/>
        </w:rPr>
        <w:t>）信用风险：是指期货经纪公司违约而产生损失的风险。</w:t>
      </w:r>
    </w:p>
    <w:p w14:paraId="1E5A33F4" w14:textId="77777777" w:rsidR="00BF38BB" w:rsidRDefault="002837D7">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6</w:t>
      </w:r>
      <w:r>
        <w:rPr>
          <w:rFonts w:ascii="宋体" w:hAnsi="宋体" w:hint="eastAsia"/>
          <w:bCs/>
          <w:szCs w:val="21"/>
        </w:rPr>
        <w:t>）操作风险：是指由于内部流程的不完善，业务人员出现差错或者疏漏，或者系统出现故障等原因造成损失的风险。</w:t>
      </w:r>
    </w:p>
    <w:p w14:paraId="0587CAD2" w14:textId="77777777" w:rsidR="00BF38BB" w:rsidRDefault="002837D7">
      <w:pPr>
        <w:spacing w:line="360" w:lineRule="auto"/>
        <w:ind w:firstLineChars="200" w:firstLine="420"/>
        <w:rPr>
          <w:rFonts w:ascii="宋体" w:hAnsi="宋体"/>
          <w:bCs/>
          <w:szCs w:val="21"/>
        </w:rPr>
      </w:pPr>
      <w:r>
        <w:rPr>
          <w:rFonts w:ascii="宋体" w:hAnsi="宋体"/>
          <w:bCs/>
          <w:szCs w:val="21"/>
        </w:rPr>
        <w:t>10</w:t>
      </w:r>
      <w:r>
        <w:rPr>
          <w:rFonts w:ascii="宋体" w:hAnsi="宋体" w:hint="eastAsia"/>
          <w:bCs/>
          <w:szCs w:val="21"/>
        </w:rPr>
        <w:t>、股票期权投资风险</w:t>
      </w:r>
    </w:p>
    <w:p w14:paraId="457C9016" w14:textId="77777777" w:rsidR="00BF38BB" w:rsidRDefault="002837D7">
      <w:pPr>
        <w:spacing w:line="360" w:lineRule="auto"/>
        <w:ind w:firstLineChars="200" w:firstLine="420"/>
        <w:rPr>
          <w:rFonts w:ascii="宋体" w:hAnsi="宋体"/>
          <w:bCs/>
          <w:szCs w:val="21"/>
        </w:rPr>
      </w:pPr>
      <w:r>
        <w:rPr>
          <w:rFonts w:ascii="宋体" w:hAnsi="宋体" w:hint="eastAsia"/>
          <w:bCs/>
          <w:szCs w:val="21"/>
        </w:rPr>
        <w:t>股票期权价格主要受到标的资产价格水平、标的资产价格波动率、期权到期时间、市场利率水平等因素的影响。因此，投资股票期权主要存在</w:t>
      </w:r>
      <w:r>
        <w:rPr>
          <w:rFonts w:ascii="宋体" w:hAnsi="宋体" w:hint="eastAsia"/>
          <w:bCs/>
          <w:szCs w:val="21"/>
        </w:rPr>
        <w:t>Delta</w:t>
      </w:r>
      <w:r>
        <w:rPr>
          <w:rFonts w:ascii="宋体" w:hAnsi="宋体" w:hint="eastAsia"/>
          <w:bCs/>
          <w:szCs w:val="21"/>
        </w:rPr>
        <w:t>风险、</w:t>
      </w:r>
      <w:r>
        <w:rPr>
          <w:rFonts w:ascii="宋体" w:hAnsi="宋体" w:hint="eastAsia"/>
          <w:bCs/>
          <w:szCs w:val="21"/>
        </w:rPr>
        <w:t>Gamma</w:t>
      </w:r>
      <w:r>
        <w:rPr>
          <w:rFonts w:ascii="宋体" w:hAnsi="宋体" w:hint="eastAsia"/>
          <w:bCs/>
          <w:szCs w:val="21"/>
        </w:rPr>
        <w:t>风险、</w:t>
      </w:r>
      <w:r>
        <w:rPr>
          <w:rFonts w:ascii="宋体" w:hAnsi="宋体" w:hint="eastAsia"/>
          <w:bCs/>
          <w:szCs w:val="21"/>
        </w:rPr>
        <w:t>Vega</w:t>
      </w:r>
      <w:r>
        <w:rPr>
          <w:rFonts w:ascii="宋体" w:hAnsi="宋体" w:hint="eastAsia"/>
          <w:bCs/>
          <w:szCs w:val="21"/>
        </w:rPr>
        <w:t>风险、</w:t>
      </w:r>
      <w:r>
        <w:rPr>
          <w:rFonts w:ascii="宋体" w:hAnsi="宋体" w:hint="eastAsia"/>
          <w:bCs/>
          <w:szCs w:val="21"/>
        </w:rPr>
        <w:t>Theta</w:t>
      </w:r>
      <w:r>
        <w:rPr>
          <w:rFonts w:ascii="宋体" w:hAnsi="宋体" w:hint="eastAsia"/>
          <w:bCs/>
          <w:szCs w:val="21"/>
        </w:rPr>
        <w:t>风险以及</w:t>
      </w:r>
      <w:r>
        <w:rPr>
          <w:rFonts w:ascii="宋体" w:hAnsi="宋体" w:hint="eastAsia"/>
          <w:bCs/>
          <w:szCs w:val="21"/>
        </w:rPr>
        <w:t>Rho</w:t>
      </w:r>
      <w:r>
        <w:rPr>
          <w:rFonts w:ascii="宋体" w:hAnsi="宋体" w:hint="eastAsia"/>
          <w:bCs/>
          <w:szCs w:val="21"/>
        </w:rPr>
        <w:t>风险。同时，进行股票期权投</w:t>
      </w:r>
      <w:r>
        <w:rPr>
          <w:rFonts w:ascii="宋体" w:hAnsi="宋体" w:hint="eastAsia"/>
          <w:bCs/>
          <w:szCs w:val="21"/>
        </w:rPr>
        <w:t>资还面临流动性风险、信用风险、操作风险等。</w:t>
      </w:r>
    </w:p>
    <w:p w14:paraId="56B085DD" w14:textId="77777777" w:rsidR="00BF38BB" w:rsidRDefault="002837D7">
      <w:pPr>
        <w:spacing w:line="360" w:lineRule="auto"/>
        <w:ind w:firstLineChars="200" w:firstLine="420"/>
        <w:rPr>
          <w:rFonts w:ascii="宋体" w:hAnsi="宋体"/>
          <w:bCs/>
          <w:szCs w:val="21"/>
        </w:rPr>
      </w:pPr>
      <w:r>
        <w:rPr>
          <w:rFonts w:ascii="宋体" w:hAnsi="宋体" w:hint="eastAsia"/>
          <w:bCs/>
          <w:szCs w:val="21"/>
        </w:rPr>
        <w:t>11</w:t>
      </w:r>
      <w:r>
        <w:rPr>
          <w:rFonts w:ascii="宋体" w:hAnsi="宋体" w:hint="eastAsia"/>
          <w:bCs/>
          <w:szCs w:val="21"/>
        </w:rPr>
        <w:t>、</w:t>
      </w:r>
      <w:bookmarkStart w:id="120" w:name="OLE_LINK57"/>
      <w:r>
        <w:rPr>
          <w:rFonts w:ascii="宋体" w:hAnsi="宋体" w:hint="eastAsia"/>
          <w:bCs/>
          <w:szCs w:val="21"/>
        </w:rPr>
        <w:t>国债期货投资风险</w:t>
      </w:r>
      <w:bookmarkEnd w:id="120"/>
    </w:p>
    <w:p w14:paraId="4D0C6260" w14:textId="77777777" w:rsidR="00BF38BB" w:rsidRDefault="002837D7">
      <w:pPr>
        <w:spacing w:line="360" w:lineRule="auto"/>
        <w:ind w:firstLineChars="200" w:firstLine="420"/>
        <w:rPr>
          <w:rFonts w:ascii="宋体" w:hAnsi="宋体"/>
          <w:bCs/>
          <w:szCs w:val="21"/>
        </w:rPr>
      </w:pPr>
      <w:r>
        <w:rPr>
          <w:rFonts w:ascii="宋体" w:hAnsi="宋体" w:hint="eastAsia"/>
          <w:bCs/>
          <w:szCs w:val="21"/>
        </w:rPr>
        <w:t>本基金可投资于国债期货，可能引发如下风险：国债期货交易采用保证金交易方式，基金资产可能由于无法及时筹措资金满足建立或者维持国债期货头寸所要求的保证金而面临保证金风险。同时，该潜在损失可能成倍放大，具有杠杆性风险。另外，期货在对冲市场风险的使用过程中，基金资产可能因为国债期货合约与合约标的价格波动不一致而面临基差风险。</w:t>
      </w:r>
    </w:p>
    <w:p w14:paraId="6F26D6B6" w14:textId="77777777" w:rsidR="00BF38BB" w:rsidRDefault="002837D7">
      <w:pPr>
        <w:spacing w:line="360" w:lineRule="auto"/>
        <w:ind w:firstLineChars="200" w:firstLine="420"/>
        <w:rPr>
          <w:rFonts w:ascii="宋体" w:hAnsi="宋体"/>
          <w:bCs/>
          <w:color w:val="000000" w:themeColor="text1"/>
          <w:szCs w:val="21"/>
        </w:rPr>
      </w:pPr>
      <w:r>
        <w:rPr>
          <w:rFonts w:ascii="宋体" w:hAnsi="宋体"/>
          <w:bCs/>
          <w:color w:val="000000" w:themeColor="text1"/>
          <w:szCs w:val="21"/>
        </w:rPr>
        <w:t>12</w:t>
      </w:r>
      <w:r>
        <w:rPr>
          <w:rFonts w:ascii="宋体" w:hAnsi="宋体" w:hint="eastAsia"/>
          <w:bCs/>
          <w:color w:val="000000" w:themeColor="text1"/>
          <w:szCs w:val="21"/>
        </w:rPr>
        <w:t>、融资及转融通证券出借的风险</w:t>
      </w:r>
    </w:p>
    <w:p w14:paraId="4007FC27" w14:textId="77777777" w:rsidR="00BF38BB" w:rsidRDefault="002837D7">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基金参与融资业务</w:t>
      </w:r>
      <w:r>
        <w:rPr>
          <w:rFonts w:ascii="宋体" w:hAnsi="宋体"/>
          <w:bCs/>
          <w:color w:val="000000" w:themeColor="text1"/>
          <w:szCs w:val="21"/>
        </w:rPr>
        <w:t>，</w:t>
      </w:r>
      <w:r>
        <w:rPr>
          <w:rFonts w:ascii="宋体" w:hAnsi="宋体" w:hint="eastAsia"/>
          <w:bCs/>
          <w:color w:val="000000" w:themeColor="text1"/>
          <w:szCs w:val="21"/>
        </w:rPr>
        <w:t>在放大收益的同时也放大了风险。类似于期货交易，融资业务在交易过程中需要全程监控其担保金的比例，以保证其不低于所要求的维持担保比率，这种“盯市”的方式对本基金流动性的管理提出了更高的要求。</w:t>
      </w:r>
    </w:p>
    <w:p w14:paraId="0D613DB6" w14:textId="77777777" w:rsidR="00BF38BB" w:rsidRDefault="002837D7">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基金参与转融通证券出借业务的风险，包括但不限于：</w:t>
      </w:r>
    </w:p>
    <w:p w14:paraId="668924EA" w14:textId="77777777" w:rsidR="00BF38BB" w:rsidRDefault="002837D7">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w:t>
      </w:r>
      <w:r>
        <w:rPr>
          <w:rFonts w:ascii="宋体" w:hAnsi="宋体" w:hint="eastAsia"/>
          <w:bCs/>
          <w:color w:val="000000" w:themeColor="text1"/>
          <w:szCs w:val="21"/>
        </w:rPr>
        <w:t>1</w:t>
      </w:r>
      <w:r>
        <w:rPr>
          <w:rFonts w:ascii="宋体" w:hAnsi="宋体" w:hint="eastAsia"/>
          <w:bCs/>
          <w:color w:val="000000" w:themeColor="text1"/>
          <w:szCs w:val="21"/>
        </w:rPr>
        <w:t>）流动性风险：当基金资产面临大额赎回时，可能因证券出借原因发生无法及时变现、支付赎回款项的风险。</w:t>
      </w:r>
    </w:p>
    <w:p w14:paraId="365A0EE2" w14:textId="77777777" w:rsidR="00BF38BB" w:rsidRDefault="002837D7">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w:t>
      </w:r>
      <w:r>
        <w:rPr>
          <w:rFonts w:ascii="宋体" w:hAnsi="宋体" w:hint="eastAsia"/>
          <w:bCs/>
          <w:color w:val="000000" w:themeColor="text1"/>
          <w:szCs w:val="21"/>
        </w:rPr>
        <w:t>2</w:t>
      </w:r>
      <w:r>
        <w:rPr>
          <w:rFonts w:ascii="宋体" w:hAnsi="宋体" w:hint="eastAsia"/>
          <w:bCs/>
          <w:color w:val="000000" w:themeColor="text1"/>
          <w:szCs w:val="21"/>
        </w:rPr>
        <w:t>）信用风险：证券出借对手方可能无法及时归还证券、无法支付相应权益补偿及借券费用的风险。</w:t>
      </w:r>
    </w:p>
    <w:p w14:paraId="37F9C0D4" w14:textId="77777777" w:rsidR="00BF38BB" w:rsidRDefault="002837D7">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w:t>
      </w:r>
      <w:r>
        <w:rPr>
          <w:rFonts w:ascii="宋体" w:hAnsi="宋体" w:hint="eastAsia"/>
          <w:bCs/>
          <w:color w:val="000000" w:themeColor="text1"/>
          <w:szCs w:val="21"/>
        </w:rPr>
        <w:t>3</w:t>
      </w:r>
      <w:r>
        <w:rPr>
          <w:rFonts w:ascii="宋体" w:hAnsi="宋体" w:hint="eastAsia"/>
          <w:bCs/>
          <w:color w:val="000000" w:themeColor="text1"/>
          <w:szCs w:val="21"/>
        </w:rPr>
        <w:t>）市场风险：证券出借后可能面临出借期间无法及时处置证券的市场风险。</w:t>
      </w:r>
    </w:p>
    <w:p w14:paraId="03675EDC" w14:textId="77777777" w:rsidR="00BF38BB" w:rsidRDefault="002837D7">
      <w:pPr>
        <w:widowControl/>
        <w:spacing w:line="360" w:lineRule="auto"/>
        <w:ind w:firstLineChars="200" w:firstLine="420"/>
        <w:jc w:val="left"/>
      </w:pPr>
      <w:r>
        <w:t>13</w:t>
      </w:r>
      <w:r>
        <w:rPr>
          <w:rFonts w:hint="eastAsia"/>
        </w:rPr>
        <w:t>、存</w:t>
      </w:r>
      <w:r>
        <w:rPr>
          <w:rFonts w:hint="eastAsia"/>
        </w:rPr>
        <w:t>托凭证投资风险</w:t>
      </w:r>
    </w:p>
    <w:p w14:paraId="2FAEC93B" w14:textId="77777777" w:rsidR="00BF38BB" w:rsidRDefault="002837D7">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本基金的投资范围包括存托凭证，除与其他仅投资于境内市场股票的基金所面临的共同风险外，若本基金投资存托凭证的，还将面临中国存托凭证价格大幅波动甚至出现较大亏损的风险，以及与中国存托凭证发行机制相关的风险，包括存托凭证持有人与境外基础证券发行人的股东在法律地位、享有权利等方面存在差</w:t>
      </w:r>
      <w:r>
        <w:rPr>
          <w:rFonts w:asciiTheme="minorEastAsia" w:eastAsiaTheme="minorEastAsia" w:hAnsiTheme="minorEastAsia" w:hint="eastAsia"/>
          <w:bCs/>
          <w:color w:val="000000" w:themeColor="text1"/>
          <w:szCs w:val="21"/>
        </w:rPr>
        <w:lastRenderedPageBreak/>
        <w:t>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w:t>
      </w:r>
      <w:r>
        <w:rPr>
          <w:rFonts w:asciiTheme="minorEastAsia" w:eastAsiaTheme="minorEastAsia" w:hAnsiTheme="minorEastAsia" w:hint="eastAsia"/>
          <w:bCs/>
          <w:color w:val="000000" w:themeColor="text1"/>
          <w:szCs w:val="21"/>
        </w:rPr>
        <w:t>险；已在境外上市的基础证券发行人，在持续信息披露监管方面与境内可能存在差异的风险；境内外证券交易机制、法律制度、监管环境差异可能导致的其他风险。</w:t>
      </w:r>
    </w:p>
    <w:p w14:paraId="5F6AB5D2" w14:textId="77777777" w:rsidR="00BF38BB" w:rsidRDefault="002837D7">
      <w:pPr>
        <w:spacing w:line="360" w:lineRule="auto"/>
        <w:ind w:firstLineChars="200" w:firstLine="420"/>
        <w:rPr>
          <w:rFonts w:ascii="宋体" w:hAnsi="宋体"/>
          <w:kern w:val="0"/>
        </w:rPr>
      </w:pPr>
      <w:r>
        <w:rPr>
          <w:rFonts w:ascii="宋体" w:hAnsi="宋体"/>
          <w:kern w:val="0"/>
        </w:rPr>
        <w:t>14</w:t>
      </w:r>
      <w:r>
        <w:rPr>
          <w:rFonts w:ascii="宋体" w:hAnsi="宋体" w:hint="eastAsia"/>
          <w:kern w:val="0"/>
        </w:rPr>
        <w:t>、科创板投资风险</w:t>
      </w:r>
    </w:p>
    <w:p w14:paraId="1BCE2DE1" w14:textId="77777777" w:rsidR="00BF38BB" w:rsidRDefault="002837D7">
      <w:pPr>
        <w:spacing w:line="360" w:lineRule="auto"/>
        <w:ind w:firstLineChars="200" w:firstLine="420"/>
        <w:rPr>
          <w:rFonts w:ascii="宋体" w:hAnsi="宋体"/>
          <w:kern w:val="0"/>
        </w:rPr>
      </w:pPr>
      <w:r>
        <w:rPr>
          <w:rFonts w:ascii="宋体" w:hAnsi="宋体" w:hint="eastAsia"/>
          <w:kern w:val="0"/>
        </w:rPr>
        <w:t>本基金可投资于科创板股票，将面临以下特殊风险：</w:t>
      </w:r>
    </w:p>
    <w:p w14:paraId="4FC2DC7D" w14:textId="77777777" w:rsidR="00BF38BB" w:rsidRDefault="002837D7">
      <w:pPr>
        <w:spacing w:line="360" w:lineRule="auto"/>
        <w:ind w:firstLineChars="200" w:firstLine="420"/>
        <w:rPr>
          <w:rFonts w:ascii="宋体" w:hAnsi="宋体"/>
          <w:kern w:val="0"/>
        </w:rPr>
      </w:pPr>
      <w:r>
        <w:rPr>
          <w:rFonts w:ascii="宋体" w:hAnsi="宋体" w:hint="eastAsia"/>
          <w:kern w:val="0"/>
        </w:rPr>
        <w:t>（</w:t>
      </w:r>
      <w:r>
        <w:rPr>
          <w:rFonts w:ascii="宋体" w:hAnsi="宋体" w:hint="eastAsia"/>
          <w:kern w:val="0"/>
        </w:rPr>
        <w:t>1</w:t>
      </w:r>
      <w:r>
        <w:rPr>
          <w:rFonts w:ascii="宋体" w:hAnsi="宋体" w:hint="eastAsia"/>
          <w:kern w:val="0"/>
        </w:rPr>
        <w:t>）流动性风险</w:t>
      </w:r>
    </w:p>
    <w:p w14:paraId="019199C1" w14:textId="77777777" w:rsidR="00BF38BB" w:rsidRDefault="002837D7">
      <w:pPr>
        <w:spacing w:line="360" w:lineRule="auto"/>
        <w:ind w:firstLineChars="200" w:firstLine="420"/>
        <w:rPr>
          <w:rFonts w:ascii="宋体" w:hAnsi="宋体"/>
          <w:kern w:val="0"/>
        </w:rPr>
      </w:pPr>
      <w:r>
        <w:rPr>
          <w:rFonts w:ascii="宋体" w:hAnsi="宋体" w:hint="eastAsia"/>
          <w:kern w:val="0"/>
        </w:rPr>
        <w:t>科创板设置较高投资者准入门槛，市场整体流动性可能弱于</w:t>
      </w:r>
      <w:r>
        <w:rPr>
          <w:rFonts w:ascii="宋体" w:hAnsi="宋体" w:hint="eastAsia"/>
          <w:kern w:val="0"/>
        </w:rPr>
        <w:t>A</w:t>
      </w:r>
      <w:r>
        <w:rPr>
          <w:rFonts w:ascii="宋体" w:hAnsi="宋体" w:hint="eastAsia"/>
          <w:kern w:val="0"/>
        </w:rPr>
        <w:t>股其他板块。若市场环境变化或机构投资者对标的形成一致性预期，可能导致基金持仓股票成交难度增加、交易成本上升，极端情况下存在无法及时变现的风险。</w:t>
      </w:r>
    </w:p>
    <w:p w14:paraId="49C43BA2" w14:textId="77777777" w:rsidR="00BF38BB" w:rsidRDefault="002837D7">
      <w:pPr>
        <w:spacing w:line="360" w:lineRule="auto"/>
        <w:ind w:firstLineChars="200" w:firstLine="420"/>
        <w:rPr>
          <w:rFonts w:ascii="宋体" w:hAnsi="宋体"/>
          <w:kern w:val="0"/>
        </w:rPr>
      </w:pPr>
      <w:r>
        <w:rPr>
          <w:rFonts w:ascii="宋体" w:hAnsi="宋体" w:hint="eastAsia"/>
          <w:kern w:val="0"/>
        </w:rPr>
        <w:t>（</w:t>
      </w:r>
      <w:r>
        <w:rPr>
          <w:rFonts w:ascii="宋体" w:hAnsi="宋体" w:hint="eastAsia"/>
          <w:kern w:val="0"/>
        </w:rPr>
        <w:t>2</w:t>
      </w:r>
      <w:r>
        <w:rPr>
          <w:rFonts w:ascii="宋体" w:hAnsi="宋体" w:hint="eastAsia"/>
          <w:kern w:val="0"/>
        </w:rPr>
        <w:t>）退市风险</w:t>
      </w:r>
    </w:p>
    <w:p w14:paraId="08308A60" w14:textId="77777777" w:rsidR="00BF38BB" w:rsidRDefault="002837D7">
      <w:pPr>
        <w:spacing w:line="360" w:lineRule="auto"/>
        <w:ind w:firstLineChars="200" w:firstLine="420"/>
        <w:rPr>
          <w:rFonts w:ascii="宋体" w:hAnsi="宋体"/>
          <w:kern w:val="0"/>
        </w:rPr>
      </w:pPr>
      <w:r>
        <w:rPr>
          <w:rFonts w:ascii="宋体" w:hAnsi="宋体" w:hint="eastAsia"/>
          <w:kern w:val="0"/>
        </w:rPr>
        <w:t>与</w:t>
      </w:r>
      <w:r>
        <w:rPr>
          <w:rFonts w:ascii="宋体" w:hAnsi="宋体" w:hint="eastAsia"/>
          <w:kern w:val="0"/>
        </w:rPr>
        <w:t>A</w:t>
      </w:r>
      <w:r>
        <w:rPr>
          <w:rFonts w:ascii="宋体" w:hAnsi="宋体" w:hint="eastAsia"/>
          <w:kern w:val="0"/>
        </w:rPr>
        <w:t>股其他板块相比，科创板执行更严格退市标准，退市流程更简洁高效，标的企业退市风险显著提升。若基金投资标的触发退市条件，可能导致其估值大幅缩水、流动性丧失，进而对基金资产净值造成不利影响。</w:t>
      </w:r>
    </w:p>
    <w:p w14:paraId="49393F9E" w14:textId="77777777" w:rsidR="00BF38BB" w:rsidRDefault="002837D7">
      <w:pPr>
        <w:spacing w:line="360" w:lineRule="auto"/>
        <w:ind w:firstLineChars="200" w:firstLine="420"/>
        <w:rPr>
          <w:rFonts w:ascii="宋体" w:hAnsi="宋体"/>
          <w:kern w:val="0"/>
        </w:rPr>
      </w:pPr>
      <w:r>
        <w:rPr>
          <w:rFonts w:ascii="宋体" w:hAnsi="宋体" w:hint="eastAsia"/>
          <w:kern w:val="0"/>
        </w:rPr>
        <w:t>（</w:t>
      </w:r>
      <w:r>
        <w:rPr>
          <w:rFonts w:ascii="宋体" w:hAnsi="宋体" w:hint="eastAsia"/>
          <w:kern w:val="0"/>
        </w:rPr>
        <w:t>3</w:t>
      </w:r>
      <w:r>
        <w:rPr>
          <w:rFonts w:ascii="宋体" w:hAnsi="宋体" w:hint="eastAsia"/>
          <w:kern w:val="0"/>
        </w:rPr>
        <w:t>）投资集中度风险</w:t>
      </w:r>
    </w:p>
    <w:p w14:paraId="344A79D3" w14:textId="77777777" w:rsidR="00BF38BB" w:rsidRDefault="002837D7">
      <w:pPr>
        <w:spacing w:line="360" w:lineRule="auto"/>
        <w:ind w:firstLineChars="200" w:firstLine="420"/>
        <w:rPr>
          <w:rFonts w:ascii="宋体" w:hAnsi="宋体"/>
          <w:kern w:val="0"/>
        </w:rPr>
      </w:pPr>
      <w:r>
        <w:rPr>
          <w:rFonts w:ascii="宋体" w:hAnsi="宋体" w:hint="eastAsia"/>
          <w:kern w:val="0"/>
        </w:rPr>
        <w:t>科创板上市公司多聚焦科技创新领域，属成长型企业，其商业模式、技术迭代风险、盈利能力、业绩波动等特征具有较强同质性。基金通过行业或风格分散投资降低风险的效果可能受限，若相关板块或行业面临系统性风险，标的股票价格集中波动可能导致基金资产净值大幅波动。</w:t>
      </w:r>
    </w:p>
    <w:p w14:paraId="28305CEF" w14:textId="77777777" w:rsidR="00BF38BB" w:rsidRDefault="002837D7">
      <w:pPr>
        <w:spacing w:line="360" w:lineRule="auto"/>
        <w:ind w:firstLineChars="200" w:firstLine="420"/>
        <w:rPr>
          <w:rFonts w:ascii="宋体" w:hAnsi="宋体"/>
          <w:kern w:val="0"/>
        </w:rPr>
      </w:pPr>
      <w:r>
        <w:rPr>
          <w:rFonts w:ascii="宋体" w:hAnsi="宋体"/>
          <w:kern w:val="0"/>
        </w:rPr>
        <w:t>15</w:t>
      </w:r>
      <w:r>
        <w:rPr>
          <w:rFonts w:ascii="宋体" w:hAnsi="宋体" w:hint="eastAsia"/>
          <w:kern w:val="0"/>
        </w:rPr>
        <w:t>、创业板投资风险</w:t>
      </w:r>
    </w:p>
    <w:p w14:paraId="626A0906" w14:textId="77777777" w:rsidR="00BF38BB" w:rsidRDefault="002837D7">
      <w:pPr>
        <w:spacing w:line="360" w:lineRule="auto"/>
        <w:ind w:firstLineChars="200" w:firstLine="420"/>
        <w:rPr>
          <w:rFonts w:ascii="宋体" w:hAnsi="宋体"/>
          <w:kern w:val="0"/>
        </w:rPr>
      </w:pPr>
      <w:r>
        <w:rPr>
          <w:rFonts w:ascii="宋体" w:hAnsi="宋体" w:hint="eastAsia"/>
          <w:kern w:val="0"/>
        </w:rPr>
        <w:t>本基金可投资于创业板股票，将面</w:t>
      </w:r>
      <w:r>
        <w:rPr>
          <w:rFonts w:ascii="宋体" w:hAnsi="宋体" w:hint="eastAsia"/>
          <w:kern w:val="0"/>
        </w:rPr>
        <w:t>临以下特殊风险：</w:t>
      </w:r>
    </w:p>
    <w:p w14:paraId="18E920F8" w14:textId="77777777" w:rsidR="00BF38BB" w:rsidRDefault="002837D7">
      <w:pPr>
        <w:spacing w:line="360" w:lineRule="auto"/>
        <w:ind w:firstLineChars="200" w:firstLine="420"/>
        <w:rPr>
          <w:rFonts w:ascii="宋体" w:hAnsi="宋体"/>
          <w:kern w:val="0"/>
        </w:rPr>
      </w:pPr>
      <w:r>
        <w:rPr>
          <w:rFonts w:ascii="宋体" w:hAnsi="宋体" w:hint="eastAsia"/>
          <w:kern w:val="0"/>
        </w:rPr>
        <w:t>（</w:t>
      </w:r>
      <w:r>
        <w:rPr>
          <w:rFonts w:ascii="宋体" w:hAnsi="宋体" w:hint="eastAsia"/>
          <w:kern w:val="0"/>
        </w:rPr>
        <w:t>1</w:t>
      </w:r>
      <w:r>
        <w:rPr>
          <w:rFonts w:ascii="宋体" w:hAnsi="宋体" w:hint="eastAsia"/>
          <w:kern w:val="0"/>
        </w:rPr>
        <w:t>）盈利不及预期风险</w:t>
      </w:r>
    </w:p>
    <w:p w14:paraId="42A29240" w14:textId="77777777" w:rsidR="00BF38BB" w:rsidRDefault="002837D7">
      <w:pPr>
        <w:spacing w:line="360" w:lineRule="auto"/>
        <w:ind w:firstLineChars="200" w:firstLine="420"/>
        <w:rPr>
          <w:rFonts w:ascii="宋体" w:hAnsi="宋体"/>
          <w:kern w:val="0"/>
        </w:rPr>
      </w:pPr>
      <w:r>
        <w:rPr>
          <w:rFonts w:ascii="宋体" w:hAnsi="宋体" w:hint="eastAsia"/>
          <w:kern w:val="0"/>
        </w:rPr>
        <w:t>创业板上市公司多以新技术、新模式、新业态为核心竞争力，普遍呈现轻资产运营模式，叠加技术迭代速度快、产业升级节奏快、商业模式易复制、业绩波动幅度大等特征，其上市后的持续创新能力、盈利稳定性和抗风险韧性均存在较大不确定性。因此，本基金投资于创业板相关企业，可能面临标的企业盈利不及预期、甚至导致基金资产遭受较大损失的风险。</w:t>
      </w:r>
    </w:p>
    <w:p w14:paraId="71D17804" w14:textId="77777777" w:rsidR="00BF38BB" w:rsidRDefault="002837D7">
      <w:pPr>
        <w:spacing w:line="360" w:lineRule="auto"/>
        <w:ind w:firstLineChars="200" w:firstLine="420"/>
        <w:rPr>
          <w:rFonts w:ascii="宋体" w:hAnsi="宋体"/>
          <w:kern w:val="0"/>
        </w:rPr>
      </w:pPr>
      <w:r>
        <w:rPr>
          <w:rFonts w:ascii="宋体" w:hAnsi="宋体" w:hint="eastAsia"/>
          <w:kern w:val="0"/>
        </w:rPr>
        <w:t>（</w:t>
      </w:r>
      <w:r>
        <w:rPr>
          <w:rFonts w:ascii="宋体" w:hAnsi="宋体" w:hint="eastAsia"/>
          <w:kern w:val="0"/>
        </w:rPr>
        <w:t>2</w:t>
      </w:r>
      <w:r>
        <w:rPr>
          <w:rFonts w:ascii="宋体" w:hAnsi="宋体" w:hint="eastAsia"/>
          <w:kern w:val="0"/>
        </w:rPr>
        <w:t>）退市风险</w:t>
      </w:r>
    </w:p>
    <w:p w14:paraId="0BF61855" w14:textId="77777777" w:rsidR="00BF38BB" w:rsidRDefault="002837D7">
      <w:pPr>
        <w:spacing w:line="360" w:lineRule="auto"/>
        <w:ind w:firstLineChars="200" w:firstLine="420"/>
        <w:rPr>
          <w:rFonts w:ascii="宋体" w:hAnsi="宋体"/>
          <w:kern w:val="0"/>
        </w:rPr>
      </w:pPr>
      <w:r>
        <w:rPr>
          <w:rFonts w:ascii="宋体" w:hAnsi="宋体" w:hint="eastAsia"/>
          <w:kern w:val="0"/>
        </w:rPr>
        <w:t>注册制下，创业板退市制度更趋严格，退市指标涵盖财务类、交易类、规范类及重大违法类等多维度，且退市流程更简洁、退市效率更高。若本基金投资</w:t>
      </w:r>
      <w:r>
        <w:rPr>
          <w:rFonts w:ascii="宋体" w:hAnsi="宋体" w:hint="eastAsia"/>
          <w:kern w:val="0"/>
        </w:rPr>
        <w:t>的创业板股票触发退市条件，可能导致股票流动性骤降、估值大幅缩水，进而影响基金资产净值。</w:t>
      </w:r>
    </w:p>
    <w:p w14:paraId="7B10377D" w14:textId="77777777" w:rsidR="00BF38BB" w:rsidRDefault="002837D7">
      <w:pPr>
        <w:spacing w:line="360" w:lineRule="auto"/>
        <w:ind w:firstLineChars="200" w:firstLine="420"/>
        <w:rPr>
          <w:rFonts w:ascii="宋体" w:hAnsi="宋体"/>
          <w:kern w:val="0"/>
        </w:rPr>
      </w:pPr>
      <w:r>
        <w:rPr>
          <w:rFonts w:ascii="宋体" w:hAnsi="宋体" w:hint="eastAsia"/>
          <w:kern w:val="0"/>
        </w:rPr>
        <w:t>（</w:t>
      </w:r>
      <w:r>
        <w:rPr>
          <w:rFonts w:ascii="宋体" w:hAnsi="宋体" w:hint="eastAsia"/>
          <w:kern w:val="0"/>
        </w:rPr>
        <w:t>3</w:t>
      </w:r>
      <w:r>
        <w:rPr>
          <w:rFonts w:ascii="宋体" w:hAnsi="宋体" w:hint="eastAsia"/>
          <w:kern w:val="0"/>
        </w:rPr>
        <w:t>）股价大幅波动风险</w:t>
      </w:r>
    </w:p>
    <w:p w14:paraId="382DA29B" w14:textId="77777777" w:rsidR="00BF38BB" w:rsidRDefault="002837D7">
      <w:pPr>
        <w:spacing w:line="360" w:lineRule="auto"/>
        <w:ind w:firstLineChars="200" w:firstLine="420"/>
        <w:rPr>
          <w:rFonts w:ascii="宋体" w:hAnsi="宋体"/>
          <w:kern w:val="0"/>
        </w:rPr>
      </w:pPr>
      <w:r>
        <w:rPr>
          <w:rFonts w:ascii="宋体" w:hAnsi="宋体" w:hint="eastAsia"/>
          <w:kern w:val="0"/>
        </w:rPr>
        <w:lastRenderedPageBreak/>
        <w:t>实施注册制后，创业板股票交易规则与</w:t>
      </w:r>
      <w:r>
        <w:rPr>
          <w:rFonts w:ascii="宋体" w:hAnsi="宋体" w:hint="eastAsia"/>
          <w:kern w:val="0"/>
        </w:rPr>
        <w:t>A</w:t>
      </w:r>
      <w:r>
        <w:rPr>
          <w:rFonts w:ascii="宋体" w:hAnsi="宋体" w:hint="eastAsia"/>
          <w:kern w:val="0"/>
        </w:rPr>
        <w:t>股主板存在差异，涨跌幅限制更为宽松：首次公开发行上市的创业板股票，上市后前</w:t>
      </w:r>
      <w:r>
        <w:rPr>
          <w:rFonts w:ascii="宋体" w:hAnsi="宋体" w:hint="eastAsia"/>
          <w:kern w:val="0"/>
        </w:rPr>
        <w:t>5</w:t>
      </w:r>
      <w:r>
        <w:rPr>
          <w:rFonts w:ascii="宋体" w:hAnsi="宋体" w:hint="eastAsia"/>
          <w:kern w:val="0"/>
        </w:rPr>
        <w:t>个交易日不设置涨跌幅限制，后续涨跌停幅度为</w:t>
      </w:r>
      <w:r>
        <w:rPr>
          <w:rFonts w:ascii="宋体" w:hAnsi="宋体" w:hint="eastAsia"/>
          <w:kern w:val="0"/>
        </w:rPr>
        <w:t>20%</w:t>
      </w:r>
      <w:r>
        <w:rPr>
          <w:rFonts w:ascii="宋体" w:hAnsi="宋体" w:hint="eastAsia"/>
          <w:kern w:val="0"/>
        </w:rPr>
        <w:t>。同时，创业板股票上市首日即纳入融资融券标的范围。上述交易规则特点可能导致创业板股票波动幅度显著大于</w:t>
      </w:r>
      <w:r>
        <w:rPr>
          <w:rFonts w:ascii="宋体" w:hAnsi="宋体" w:hint="eastAsia"/>
          <w:kern w:val="0"/>
        </w:rPr>
        <w:t>A</w:t>
      </w:r>
      <w:r>
        <w:rPr>
          <w:rFonts w:ascii="宋体" w:hAnsi="宋体" w:hint="eastAsia"/>
          <w:kern w:val="0"/>
        </w:rPr>
        <w:t>股主板股票，存在大幅波动的风险。</w:t>
      </w:r>
    </w:p>
    <w:p w14:paraId="49C3F93D" w14:textId="77777777" w:rsidR="00BF38BB" w:rsidRDefault="002837D7">
      <w:pPr>
        <w:spacing w:line="360" w:lineRule="auto"/>
        <w:ind w:firstLineChars="200" w:firstLine="420"/>
        <w:rPr>
          <w:rFonts w:ascii="宋体" w:hAnsi="宋体"/>
          <w:kern w:val="0"/>
        </w:rPr>
      </w:pPr>
      <w:r>
        <w:rPr>
          <w:rFonts w:ascii="宋体" w:hAnsi="宋体" w:hint="eastAsia"/>
          <w:kern w:val="0"/>
        </w:rPr>
        <w:t>（</w:t>
      </w:r>
      <w:r>
        <w:rPr>
          <w:rFonts w:ascii="宋体" w:hAnsi="宋体" w:hint="eastAsia"/>
          <w:kern w:val="0"/>
        </w:rPr>
        <w:t>4</w:t>
      </w:r>
      <w:r>
        <w:rPr>
          <w:rFonts w:ascii="宋体" w:hAnsi="宋体" w:hint="eastAsia"/>
          <w:kern w:val="0"/>
        </w:rPr>
        <w:t>）红筹企业及存托凭证相关风险</w:t>
      </w:r>
    </w:p>
    <w:p w14:paraId="7E3D6655" w14:textId="77777777" w:rsidR="00BF38BB" w:rsidRDefault="002837D7">
      <w:pPr>
        <w:spacing w:line="360" w:lineRule="auto"/>
        <w:ind w:firstLineChars="200" w:firstLine="420"/>
        <w:rPr>
          <w:rFonts w:ascii="宋体" w:hAnsi="宋体"/>
          <w:kern w:val="0"/>
        </w:rPr>
      </w:pPr>
      <w:r>
        <w:rPr>
          <w:rFonts w:ascii="宋体" w:hAnsi="宋体" w:hint="eastAsia"/>
          <w:kern w:val="0"/>
        </w:rPr>
        <w:t>符合规定的红筹企业可在创业板上市。此类企业注册于境外，可能采用协议控制</w:t>
      </w:r>
      <w:r>
        <w:rPr>
          <w:rFonts w:ascii="宋体" w:hAnsi="宋体" w:hint="eastAsia"/>
          <w:kern w:val="0"/>
        </w:rPr>
        <w:t>架构，其信息披露、分红派息及对投资者保护安排与境内上市公司存在差异。</w:t>
      </w:r>
    </w:p>
    <w:p w14:paraId="148BCE88" w14:textId="77777777" w:rsidR="00BF38BB" w:rsidRDefault="002837D7">
      <w:pPr>
        <w:spacing w:line="360" w:lineRule="auto"/>
        <w:ind w:firstLineChars="200" w:firstLine="420"/>
        <w:rPr>
          <w:rFonts w:ascii="宋体" w:hAnsi="宋体"/>
          <w:kern w:val="0"/>
        </w:rPr>
      </w:pPr>
      <w:r>
        <w:rPr>
          <w:rFonts w:ascii="宋体" w:hAnsi="宋体" w:hint="eastAsia"/>
          <w:kern w:val="0"/>
        </w:rPr>
        <w:t>红筹企业可发行股票或存托凭证（由存托人签发，以境外证券为基础在境内发行，代表境外基础证券权益）。存托凭证持有人享有的权益虽与境外基础证券持有人基本相当，但不等同于直接持有境外基础证券。投资者需充分知悉存托协议及相关规则，审慎评估相关投资风险。</w:t>
      </w:r>
    </w:p>
    <w:p w14:paraId="527EF06D" w14:textId="77777777" w:rsidR="00BF38BB" w:rsidRDefault="002837D7">
      <w:pPr>
        <w:spacing w:line="360" w:lineRule="auto"/>
        <w:ind w:firstLineChars="200" w:firstLine="420"/>
        <w:rPr>
          <w:rFonts w:ascii="宋体" w:hAnsi="宋体"/>
          <w:kern w:val="0"/>
        </w:rPr>
      </w:pPr>
      <w:r>
        <w:rPr>
          <w:rFonts w:ascii="宋体" w:hAnsi="宋体"/>
          <w:kern w:val="0"/>
        </w:rPr>
        <w:t>16</w:t>
      </w:r>
      <w:r>
        <w:rPr>
          <w:rFonts w:ascii="宋体" w:hAnsi="宋体" w:hint="eastAsia"/>
          <w:kern w:val="0"/>
        </w:rPr>
        <w:t>、采用证券经纪商交易结算模式的风险</w:t>
      </w:r>
    </w:p>
    <w:p w14:paraId="6ADA6833" w14:textId="77777777" w:rsidR="00BF38BB" w:rsidRDefault="002837D7">
      <w:pPr>
        <w:spacing w:line="360" w:lineRule="auto"/>
        <w:ind w:firstLineChars="200" w:firstLine="420"/>
        <w:rPr>
          <w:rFonts w:ascii="宋体" w:hAnsi="宋体"/>
          <w:kern w:val="0"/>
        </w:rPr>
      </w:pPr>
      <w:r>
        <w:rPr>
          <w:rFonts w:ascii="宋体" w:hAnsi="宋体" w:hint="eastAsia"/>
          <w:kern w:val="0"/>
        </w:rPr>
        <w:t>本基金采用证券经纪商交易结算模式，即本基金将通过基金管理人选定的证券经纪商进行场内交易，并由选定的证券经纪商作为结算参与人代理本基金进行结算，该种交易结算模式可能存在信息系统风险、操作风险、效率降低风险、交易结算风险、投资信息安全保密风险等风险。</w:t>
      </w:r>
    </w:p>
    <w:p w14:paraId="57DC6E3A" w14:textId="77777777" w:rsidR="00BF38BB" w:rsidRDefault="002837D7">
      <w:pPr>
        <w:spacing w:line="360" w:lineRule="auto"/>
        <w:ind w:firstLineChars="200" w:firstLine="420"/>
        <w:rPr>
          <w:rFonts w:ascii="宋体" w:hAnsi="宋体"/>
        </w:rPr>
      </w:pPr>
      <w:r>
        <w:rPr>
          <w:rFonts w:ascii="宋体" w:hAnsi="宋体"/>
        </w:rPr>
        <w:t>（</w:t>
      </w:r>
      <w:r>
        <w:rPr>
          <w:rFonts w:ascii="宋体" w:hAnsi="宋体" w:hint="eastAsia"/>
        </w:rPr>
        <w:t>八</w:t>
      </w:r>
      <w:r>
        <w:rPr>
          <w:rFonts w:ascii="宋体" w:hAnsi="宋体"/>
        </w:rPr>
        <w:t>）</w:t>
      </w:r>
      <w:r>
        <w:rPr>
          <w:rFonts w:ascii="宋体" w:hAnsi="宋体" w:hint="eastAsia"/>
        </w:rPr>
        <w:t>由于销售服务费的收取与返还机制导致的风险</w:t>
      </w:r>
    </w:p>
    <w:p w14:paraId="3E7D9118" w14:textId="77777777" w:rsidR="00BF38BB" w:rsidRDefault="002837D7">
      <w:pPr>
        <w:spacing w:line="360" w:lineRule="auto"/>
        <w:ind w:firstLineChars="200" w:firstLine="420"/>
        <w:rPr>
          <w:rFonts w:ascii="宋体" w:hAnsi="宋体"/>
        </w:rPr>
      </w:pPr>
      <w:r>
        <w:rPr>
          <w:rFonts w:ascii="宋体" w:hAnsi="宋体" w:hint="eastAsia"/>
        </w:rPr>
        <w:t>对于通过基金管理人直销机构或其基金销售子公司认购</w:t>
      </w:r>
      <w:r>
        <w:rPr>
          <w:rFonts w:ascii="宋体" w:hAnsi="宋体" w:hint="eastAsia"/>
        </w:rPr>
        <w:t>/</w:t>
      </w:r>
      <w:r>
        <w:rPr>
          <w:rFonts w:ascii="宋体" w:hAnsi="宋体" w:hint="eastAsia"/>
        </w:rPr>
        <w:t>申购</w:t>
      </w:r>
      <w:r>
        <w:rPr>
          <w:rFonts w:ascii="宋体" w:hAnsi="宋体" w:hint="eastAsia"/>
        </w:rPr>
        <w:t>C</w:t>
      </w:r>
      <w:r>
        <w:rPr>
          <w:rFonts w:ascii="宋体" w:hAnsi="宋体" w:hint="eastAsia"/>
        </w:rPr>
        <w:t>类基金份额收取的销售服务费，以及对于持续持有期限超过一年（即</w:t>
      </w:r>
      <w:r>
        <w:rPr>
          <w:rFonts w:ascii="宋体" w:hAnsi="宋体" w:hint="eastAsia"/>
        </w:rPr>
        <w:t>365</w:t>
      </w:r>
      <w:r>
        <w:rPr>
          <w:rFonts w:ascii="宋体" w:hAnsi="宋体" w:hint="eastAsia"/>
        </w:rPr>
        <w:t>天）的</w:t>
      </w:r>
      <w:r>
        <w:rPr>
          <w:rFonts w:ascii="宋体" w:hAnsi="宋体" w:hint="eastAsia"/>
        </w:rPr>
        <w:t>C</w:t>
      </w:r>
      <w:r>
        <w:rPr>
          <w:rFonts w:ascii="宋体" w:hAnsi="宋体" w:hint="eastAsia"/>
        </w:rPr>
        <w:t>类基金份额继续收取的销售服务费采取先收后返模式，基金投资者实际收到的赎回款项或清算款项</w:t>
      </w:r>
      <w:r>
        <w:rPr>
          <w:rFonts w:ascii="宋体" w:hAnsi="宋体" w:hint="eastAsia"/>
        </w:rPr>
        <w:t>的金额可能与按披露的基金份额净值计算的结果存在差异。投资者的实际赎回金额和清算资金以登记机构确认数据为准。</w:t>
      </w:r>
    </w:p>
    <w:p w14:paraId="72342061" w14:textId="77777777" w:rsidR="00BF38BB" w:rsidRDefault="002837D7">
      <w:pPr>
        <w:spacing w:line="360" w:lineRule="auto"/>
        <w:ind w:firstLineChars="200" w:firstLine="420"/>
        <w:rPr>
          <w:rFonts w:ascii="宋体" w:hAnsi="宋体"/>
        </w:rPr>
      </w:pPr>
      <w:r>
        <w:rPr>
          <w:rFonts w:ascii="宋体" w:hAnsi="宋体" w:hint="eastAsia"/>
        </w:rPr>
        <w:t>（九）</w:t>
      </w:r>
      <w:r>
        <w:rPr>
          <w:rFonts w:ascii="宋体" w:hAnsi="宋体"/>
        </w:rPr>
        <w:t>其他风险</w:t>
      </w:r>
    </w:p>
    <w:p w14:paraId="54CB2133" w14:textId="77777777" w:rsidR="00BF38BB" w:rsidRDefault="002837D7">
      <w:pPr>
        <w:autoSpaceDE w:val="0"/>
        <w:autoSpaceDN w:val="0"/>
        <w:adjustRightInd w:val="0"/>
        <w:spacing w:line="360" w:lineRule="auto"/>
        <w:ind w:firstLineChars="200" w:firstLine="420"/>
        <w:rPr>
          <w:rFonts w:ascii="宋体" w:hAnsi="宋体"/>
        </w:rPr>
      </w:pPr>
      <w:r>
        <w:rPr>
          <w:rFonts w:ascii="宋体" w:hAnsi="宋体"/>
        </w:rPr>
        <w:t>战争、自然灾害等不可抗力因素的出现，将会严重影响证券市场的运行，可能导致基金资产的损失。</w:t>
      </w:r>
    </w:p>
    <w:p w14:paraId="0FC57407" w14:textId="77777777" w:rsidR="00BF38BB" w:rsidRDefault="002837D7">
      <w:pPr>
        <w:widowControl/>
        <w:spacing w:line="360" w:lineRule="auto"/>
        <w:ind w:firstLineChars="200" w:firstLine="420"/>
        <w:jc w:val="left"/>
        <w:rPr>
          <w:rFonts w:ascii="宋体" w:hAnsi="宋体"/>
        </w:rPr>
      </w:pPr>
      <w:r>
        <w:rPr>
          <w:rFonts w:ascii="宋体" w:hAnsi="宋体"/>
        </w:rPr>
        <w:t>金融市场危机、行业竞争、代理商违约、</w:t>
      </w:r>
      <w:r>
        <w:rPr>
          <w:rFonts w:ascii="宋体" w:hAnsi="宋体" w:hint="eastAsia"/>
        </w:rPr>
        <w:t>基金托管人</w:t>
      </w:r>
      <w:r>
        <w:rPr>
          <w:rFonts w:ascii="宋体" w:hAnsi="宋体"/>
        </w:rPr>
        <w:t>违约等超出基金管理人自身直接控制能力之外的风险，可能导致基金或者基金</w:t>
      </w:r>
      <w:r>
        <w:rPr>
          <w:rFonts w:ascii="宋体" w:hAnsi="宋体" w:hint="eastAsia"/>
        </w:rPr>
        <w:t>份额</w:t>
      </w:r>
      <w:r>
        <w:rPr>
          <w:rFonts w:ascii="宋体" w:hAnsi="宋体"/>
        </w:rPr>
        <w:t>持有人利益受损。</w:t>
      </w:r>
    </w:p>
    <w:p w14:paraId="2500E37F" w14:textId="77777777" w:rsidR="00BF38BB" w:rsidRDefault="002837D7">
      <w:pPr>
        <w:pStyle w:val="1"/>
        <w:spacing w:before="0" w:after="0" w:line="240" w:lineRule="atLeast"/>
        <w:jc w:val="center"/>
        <w:rPr>
          <w:rFonts w:hAnsi="宋体"/>
          <w:color w:val="auto"/>
          <w:kern w:val="44"/>
          <w:sz w:val="21"/>
        </w:rPr>
      </w:pPr>
      <w:r>
        <w:rPr>
          <w:rFonts w:hAnsi="宋体"/>
          <w:color w:val="auto"/>
          <w:kern w:val="44"/>
          <w:sz w:val="21"/>
        </w:rPr>
        <w:br w:type="page"/>
      </w:r>
      <w:bookmarkStart w:id="121" w:name="_Toc69916743"/>
      <w:bookmarkEnd w:id="112"/>
      <w:r>
        <w:rPr>
          <w:rFonts w:hAnsi="宋体"/>
          <w:color w:val="auto"/>
          <w:kern w:val="44"/>
          <w:sz w:val="21"/>
        </w:rPr>
        <w:lastRenderedPageBreak/>
        <w:t>十</w:t>
      </w:r>
      <w:r>
        <w:rPr>
          <w:rFonts w:hAnsi="宋体" w:hint="eastAsia"/>
          <w:color w:val="auto"/>
          <w:kern w:val="44"/>
          <w:sz w:val="21"/>
        </w:rPr>
        <w:t>八</w:t>
      </w:r>
      <w:r>
        <w:rPr>
          <w:rFonts w:hAnsi="宋体"/>
          <w:color w:val="auto"/>
          <w:kern w:val="44"/>
          <w:sz w:val="21"/>
        </w:rPr>
        <w:t>、</w:t>
      </w:r>
      <w:bookmarkEnd w:id="113"/>
      <w:r>
        <w:rPr>
          <w:rFonts w:hAnsi="宋体"/>
          <w:color w:val="auto"/>
          <w:kern w:val="44"/>
          <w:sz w:val="21"/>
        </w:rPr>
        <w:t>基金合同的变更、终止与基金财产的清算</w:t>
      </w:r>
      <w:bookmarkEnd w:id="114"/>
      <w:bookmarkEnd w:id="115"/>
      <w:bookmarkEnd w:id="116"/>
      <w:bookmarkEnd w:id="121"/>
    </w:p>
    <w:p w14:paraId="2E244665" w14:textId="77777777" w:rsidR="00BF38BB" w:rsidRDefault="00BF38BB">
      <w:pPr>
        <w:spacing w:line="360" w:lineRule="auto"/>
        <w:ind w:firstLineChars="200" w:firstLine="420"/>
        <w:rPr>
          <w:rFonts w:ascii="宋体" w:hAnsi="宋体"/>
        </w:rPr>
      </w:pPr>
      <w:bookmarkStart w:id="122" w:name="_Toc79392639"/>
      <w:bookmarkStart w:id="123" w:name="_Toc329187128"/>
      <w:bookmarkStart w:id="124" w:name="_Toc334542651"/>
      <w:bookmarkStart w:id="125" w:name="_Toc334542967"/>
      <w:bookmarkStart w:id="126" w:name="_Toc63171764"/>
      <w:bookmarkStart w:id="127" w:name="_Toc530223198"/>
    </w:p>
    <w:p w14:paraId="40AD6091" w14:textId="77777777" w:rsidR="00BF38BB" w:rsidRDefault="002837D7">
      <w:pPr>
        <w:spacing w:line="360" w:lineRule="auto"/>
        <w:ind w:firstLineChars="200" w:firstLine="420"/>
        <w:rPr>
          <w:bCs/>
          <w:szCs w:val="21"/>
        </w:rPr>
      </w:pPr>
      <w:bookmarkStart w:id="128" w:name="_Hlk38019268"/>
      <w:bookmarkStart w:id="129" w:name="_Hlk141894897"/>
      <w:bookmarkStart w:id="130" w:name="_Hlk136606865"/>
      <w:bookmarkEnd w:id="122"/>
      <w:r>
        <w:rPr>
          <w:rFonts w:hint="eastAsia"/>
          <w:bCs/>
          <w:szCs w:val="21"/>
        </w:rPr>
        <w:t>（一）</w:t>
      </w:r>
      <w:r>
        <w:rPr>
          <w:bCs/>
          <w:szCs w:val="21"/>
        </w:rPr>
        <w:t>基金合同的变更</w:t>
      </w:r>
    </w:p>
    <w:p w14:paraId="565E6647" w14:textId="77777777" w:rsidR="00BF38BB" w:rsidRDefault="002837D7">
      <w:pPr>
        <w:spacing w:line="360" w:lineRule="auto"/>
        <w:ind w:firstLineChars="200" w:firstLine="420"/>
        <w:rPr>
          <w:bCs/>
          <w:szCs w:val="21"/>
        </w:rPr>
      </w:pPr>
      <w:r>
        <w:rPr>
          <w:bCs/>
          <w:szCs w:val="21"/>
        </w:rPr>
        <w:t>1</w:t>
      </w:r>
      <w:r>
        <w:rPr>
          <w:bCs/>
          <w:szCs w:val="21"/>
        </w:rPr>
        <w:t>、变更基金合同</w:t>
      </w:r>
      <w:r>
        <w:rPr>
          <w:rFonts w:hint="eastAsia"/>
          <w:bCs/>
          <w:szCs w:val="21"/>
        </w:rPr>
        <w:t>涉及</w:t>
      </w:r>
      <w:r>
        <w:rPr>
          <w:bCs/>
          <w:szCs w:val="21"/>
        </w:rPr>
        <w:t>法律法规规定或</w:t>
      </w:r>
      <w:r>
        <w:rPr>
          <w:rFonts w:hint="eastAsia"/>
          <w:bCs/>
          <w:szCs w:val="21"/>
        </w:rPr>
        <w:t>基金</w:t>
      </w:r>
      <w:r>
        <w:rPr>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w:t>
      </w:r>
      <w:r>
        <w:rPr>
          <w:rFonts w:hint="eastAsia"/>
          <w:bCs/>
          <w:szCs w:val="21"/>
        </w:rPr>
        <w:t>，在履行适当程序</w:t>
      </w:r>
      <w:r>
        <w:rPr>
          <w:bCs/>
          <w:szCs w:val="21"/>
        </w:rPr>
        <w:t>后变更并公告。</w:t>
      </w:r>
    </w:p>
    <w:p w14:paraId="7E869632" w14:textId="77777777" w:rsidR="00BF38BB" w:rsidRDefault="002837D7">
      <w:pPr>
        <w:spacing w:line="360" w:lineRule="auto"/>
        <w:ind w:firstLineChars="200" w:firstLine="420"/>
        <w:rPr>
          <w:bCs/>
          <w:szCs w:val="21"/>
        </w:rPr>
      </w:pPr>
      <w:r>
        <w:rPr>
          <w:bCs/>
          <w:szCs w:val="21"/>
        </w:rPr>
        <w:t>2</w:t>
      </w:r>
      <w:r>
        <w:rPr>
          <w:bCs/>
          <w:szCs w:val="21"/>
        </w:rPr>
        <w:t>、关于基金合同变更的基金份额持有人大会决议自通过之日起</w:t>
      </w:r>
      <w:r>
        <w:rPr>
          <w:rFonts w:hint="eastAsia"/>
          <w:bCs/>
          <w:szCs w:val="21"/>
        </w:rPr>
        <w:t>生效。</w:t>
      </w:r>
      <w:r>
        <w:rPr>
          <w:bCs/>
          <w:szCs w:val="21"/>
        </w:rPr>
        <w:t>信息披露义务人应在决议生效后</w:t>
      </w:r>
      <w:r>
        <w:rPr>
          <w:rFonts w:hint="eastAsia"/>
          <w:bCs/>
          <w:szCs w:val="21"/>
        </w:rPr>
        <w:t>依照《信息</w:t>
      </w:r>
      <w:r>
        <w:rPr>
          <w:bCs/>
          <w:szCs w:val="21"/>
        </w:rPr>
        <w:t>披露办法</w:t>
      </w:r>
      <w:r>
        <w:rPr>
          <w:rFonts w:hint="eastAsia"/>
          <w:bCs/>
          <w:szCs w:val="21"/>
        </w:rPr>
        <w:t>》的</w:t>
      </w:r>
      <w:r>
        <w:rPr>
          <w:bCs/>
          <w:szCs w:val="21"/>
        </w:rPr>
        <w:t>有关规定在规定</w:t>
      </w:r>
      <w:r>
        <w:rPr>
          <w:rFonts w:hint="eastAsia"/>
          <w:bCs/>
          <w:szCs w:val="21"/>
        </w:rPr>
        <w:t>媒介</w:t>
      </w:r>
      <w:r>
        <w:rPr>
          <w:bCs/>
          <w:szCs w:val="21"/>
        </w:rPr>
        <w:t>公告。</w:t>
      </w:r>
    </w:p>
    <w:p w14:paraId="0C3CE54B" w14:textId="77777777" w:rsidR="00BF38BB" w:rsidRDefault="002837D7">
      <w:pPr>
        <w:spacing w:line="360" w:lineRule="auto"/>
        <w:ind w:firstLineChars="200" w:firstLine="420"/>
        <w:rPr>
          <w:bCs/>
          <w:szCs w:val="21"/>
        </w:rPr>
      </w:pPr>
      <w:r>
        <w:rPr>
          <w:rFonts w:hint="eastAsia"/>
          <w:bCs/>
          <w:szCs w:val="21"/>
        </w:rPr>
        <w:t>（二）</w:t>
      </w:r>
      <w:r>
        <w:rPr>
          <w:bCs/>
          <w:szCs w:val="21"/>
        </w:rPr>
        <w:t>基金合同的终止事由</w:t>
      </w:r>
    </w:p>
    <w:p w14:paraId="17351BBB" w14:textId="77777777" w:rsidR="00BF38BB" w:rsidRDefault="002837D7">
      <w:pPr>
        <w:spacing w:line="360" w:lineRule="auto"/>
        <w:ind w:firstLineChars="200" w:firstLine="420"/>
        <w:rPr>
          <w:bCs/>
          <w:szCs w:val="21"/>
        </w:rPr>
      </w:pPr>
      <w:r>
        <w:rPr>
          <w:bCs/>
          <w:szCs w:val="21"/>
        </w:rPr>
        <w:t>有下列情形之一的，</w:t>
      </w:r>
      <w:r>
        <w:rPr>
          <w:rFonts w:hint="eastAsia"/>
          <w:bCs/>
          <w:szCs w:val="21"/>
        </w:rPr>
        <w:t>经履行相关程序后，</w:t>
      </w:r>
      <w:r>
        <w:rPr>
          <w:bCs/>
          <w:szCs w:val="21"/>
        </w:rPr>
        <w:t>基金合同应当终止：</w:t>
      </w:r>
    </w:p>
    <w:p w14:paraId="6B759239" w14:textId="77777777" w:rsidR="00BF38BB" w:rsidRDefault="002837D7">
      <w:pPr>
        <w:spacing w:line="360" w:lineRule="auto"/>
        <w:ind w:firstLineChars="200" w:firstLine="420"/>
        <w:rPr>
          <w:bCs/>
          <w:szCs w:val="21"/>
        </w:rPr>
      </w:pPr>
      <w:r>
        <w:rPr>
          <w:bCs/>
          <w:szCs w:val="21"/>
        </w:rPr>
        <w:t>1</w:t>
      </w:r>
      <w:r>
        <w:rPr>
          <w:bCs/>
          <w:szCs w:val="21"/>
        </w:rPr>
        <w:t>、基金份额持有人大会决定终止的；</w:t>
      </w:r>
    </w:p>
    <w:p w14:paraId="187784E1" w14:textId="77777777" w:rsidR="00BF38BB" w:rsidRDefault="002837D7">
      <w:pPr>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w:t>
      </w:r>
      <w:r>
        <w:rPr>
          <w:bCs/>
          <w:szCs w:val="21"/>
        </w:rPr>
        <w:t>内没有新基金管理人、新基金托管人承接的；</w:t>
      </w:r>
    </w:p>
    <w:p w14:paraId="3C315C11"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CA5D815"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w:t>
      </w:r>
      <w:r>
        <w:rPr>
          <w:bCs/>
          <w:szCs w:val="21"/>
        </w:rPr>
        <w:t>基金合同约定的其他情形；</w:t>
      </w:r>
    </w:p>
    <w:p w14:paraId="115F8AA7" w14:textId="77777777" w:rsidR="00BF38BB" w:rsidRDefault="002837D7">
      <w:pPr>
        <w:spacing w:line="360" w:lineRule="auto"/>
        <w:ind w:firstLineChars="200" w:firstLine="420"/>
        <w:rPr>
          <w:bCs/>
          <w:szCs w:val="21"/>
        </w:rPr>
      </w:pPr>
      <w:r>
        <w:rPr>
          <w:bCs/>
          <w:szCs w:val="21"/>
        </w:rPr>
        <w:t>5</w:t>
      </w:r>
      <w:r>
        <w:rPr>
          <w:bCs/>
          <w:szCs w:val="21"/>
        </w:rPr>
        <w:t>、相关法律法规和中国证监会规定的其他情况。</w:t>
      </w:r>
    </w:p>
    <w:p w14:paraId="1956E729" w14:textId="77777777" w:rsidR="00BF38BB" w:rsidRDefault="002837D7">
      <w:pPr>
        <w:spacing w:line="360" w:lineRule="auto"/>
        <w:ind w:firstLineChars="200" w:firstLine="420"/>
        <w:rPr>
          <w:bCs/>
          <w:szCs w:val="21"/>
        </w:rPr>
      </w:pPr>
      <w:r>
        <w:rPr>
          <w:rFonts w:hint="eastAsia"/>
          <w:bCs/>
          <w:szCs w:val="21"/>
        </w:rPr>
        <w:t>（三）</w:t>
      </w:r>
      <w:r>
        <w:rPr>
          <w:bCs/>
          <w:szCs w:val="21"/>
        </w:rPr>
        <w:t>基金财产的清算</w:t>
      </w:r>
    </w:p>
    <w:p w14:paraId="35EED61A"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、基金财产清算小组：自出现基金合同的终止事由之日起</w:t>
      </w:r>
      <w:r>
        <w:rPr>
          <w:rFonts w:hint="eastAsia"/>
          <w:bCs/>
          <w:szCs w:val="21"/>
        </w:rPr>
        <w:t>30</w:t>
      </w:r>
      <w:r>
        <w:rPr>
          <w:rFonts w:hint="eastAsia"/>
          <w:bCs/>
          <w:szCs w:val="21"/>
        </w:rPr>
        <w:t>个工作日内成立基金财产清算小组，基金管理人组织基金财产清算小组并在中国证监会</w:t>
      </w:r>
      <w:r>
        <w:rPr>
          <w:rFonts w:hint="eastAsia"/>
          <w:bCs/>
          <w:szCs w:val="21"/>
        </w:rPr>
        <w:t>的监督下进行基金清算。</w:t>
      </w:r>
    </w:p>
    <w:p w14:paraId="269884DB"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、在基金财产清算小组接管基金财产之前，基金管理人和基金托管人应按照基金合同和托管协议的规定继续履行保护基金财产安全的职责。</w:t>
      </w:r>
    </w:p>
    <w:p w14:paraId="442D7E21"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、基金财产清算小组组成：基金财产清算小组成员由基金管理人、基金托管人、符合《中华人民共和国证券法》规定的注册会计师、律师组成。基金财产清算小组可以聘用必要的工作人员。</w:t>
      </w:r>
    </w:p>
    <w:p w14:paraId="204C9726"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、基金财产清算小组职责：基金财产清算小组负责基金财产的保管、清理、估价、变现和分配。基金财产清算小组可以依法进行必要的民事活动。</w:t>
      </w:r>
    </w:p>
    <w:p w14:paraId="354F5A82"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、基金财产清算程序：</w:t>
      </w:r>
    </w:p>
    <w:p w14:paraId="404FEE90" w14:textId="77777777" w:rsidR="00BF38BB" w:rsidRDefault="002837D7">
      <w:pPr>
        <w:spacing w:line="360" w:lineRule="auto"/>
        <w:ind w:firstLineChars="200" w:firstLine="420"/>
        <w:rPr>
          <w:bCs/>
          <w:szCs w:val="21"/>
        </w:rPr>
      </w:pPr>
      <w:r>
        <w:rPr>
          <w:bCs/>
          <w:szCs w:val="21"/>
        </w:rPr>
        <w:t>（</w:t>
      </w:r>
      <w:r>
        <w:rPr>
          <w:bCs/>
          <w:szCs w:val="21"/>
        </w:rPr>
        <w:t>1</w:t>
      </w:r>
      <w:r>
        <w:rPr>
          <w:bCs/>
          <w:szCs w:val="21"/>
        </w:rPr>
        <w:t>）基金财产清算小组成立后，由基金财产清算小组统一接管基金；</w:t>
      </w:r>
    </w:p>
    <w:p w14:paraId="557FF323" w14:textId="77777777" w:rsidR="00BF38BB" w:rsidRDefault="002837D7">
      <w:pPr>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14:paraId="289F63FA" w14:textId="77777777" w:rsidR="00BF38BB" w:rsidRDefault="002837D7">
      <w:pPr>
        <w:spacing w:line="360" w:lineRule="auto"/>
        <w:ind w:firstLineChars="200" w:firstLine="420"/>
        <w:rPr>
          <w:bCs/>
          <w:szCs w:val="21"/>
        </w:rPr>
      </w:pPr>
      <w:r>
        <w:rPr>
          <w:bCs/>
          <w:szCs w:val="21"/>
        </w:rPr>
        <w:t>（</w:t>
      </w:r>
      <w:r>
        <w:rPr>
          <w:bCs/>
          <w:szCs w:val="21"/>
        </w:rPr>
        <w:t>3</w:t>
      </w:r>
      <w:r>
        <w:rPr>
          <w:bCs/>
          <w:szCs w:val="21"/>
        </w:rPr>
        <w:t>）对基金财产进行估值和变现；</w:t>
      </w:r>
    </w:p>
    <w:p w14:paraId="05CB34A2" w14:textId="77777777" w:rsidR="00BF38BB" w:rsidRDefault="002837D7">
      <w:pPr>
        <w:spacing w:line="360" w:lineRule="auto"/>
        <w:ind w:firstLineChars="200" w:firstLine="420"/>
        <w:rPr>
          <w:bCs/>
          <w:szCs w:val="21"/>
        </w:rPr>
      </w:pPr>
      <w:r>
        <w:rPr>
          <w:bCs/>
          <w:szCs w:val="21"/>
        </w:rPr>
        <w:lastRenderedPageBreak/>
        <w:t>（</w:t>
      </w:r>
      <w:r>
        <w:rPr>
          <w:bCs/>
          <w:szCs w:val="21"/>
        </w:rPr>
        <w:t>4</w:t>
      </w:r>
      <w:r>
        <w:rPr>
          <w:bCs/>
          <w:szCs w:val="21"/>
        </w:rPr>
        <w:t>）制作清算报告；</w:t>
      </w:r>
    </w:p>
    <w:p w14:paraId="5FAED0EA" w14:textId="77777777" w:rsidR="00BF38BB" w:rsidRDefault="002837D7">
      <w:pPr>
        <w:spacing w:line="360" w:lineRule="auto"/>
        <w:ind w:firstLineChars="200" w:firstLine="420"/>
        <w:rPr>
          <w:bCs/>
          <w:szCs w:val="21"/>
        </w:rPr>
      </w:pPr>
      <w:r>
        <w:rPr>
          <w:bCs/>
          <w:szCs w:val="21"/>
        </w:rPr>
        <w:t>（</w:t>
      </w:r>
      <w:r>
        <w:rPr>
          <w:bCs/>
          <w:szCs w:val="21"/>
        </w:rPr>
        <w:t>5</w:t>
      </w:r>
      <w:r>
        <w:rPr>
          <w:bCs/>
          <w:szCs w:val="21"/>
        </w:rPr>
        <w:t>）聘请会计师事务所对清算报告进行外部审计，聘请律师事务所对清算报告出具法律意见书；</w:t>
      </w:r>
    </w:p>
    <w:p w14:paraId="50918556" w14:textId="77777777" w:rsidR="00BF38BB" w:rsidRDefault="002837D7">
      <w:pPr>
        <w:spacing w:line="360" w:lineRule="auto"/>
        <w:ind w:firstLineChars="200" w:firstLine="420"/>
        <w:rPr>
          <w:bCs/>
          <w:szCs w:val="21"/>
        </w:rPr>
      </w:pPr>
      <w:r>
        <w:rPr>
          <w:bCs/>
          <w:szCs w:val="21"/>
        </w:rPr>
        <w:t>（</w:t>
      </w:r>
      <w:r>
        <w:rPr>
          <w:bCs/>
          <w:szCs w:val="21"/>
        </w:rPr>
        <w:t>6</w:t>
      </w:r>
      <w:r>
        <w:rPr>
          <w:bCs/>
          <w:szCs w:val="21"/>
        </w:rPr>
        <w:t>）将清算报告报中国证监会备案并公告</w:t>
      </w:r>
      <w:r>
        <w:rPr>
          <w:rFonts w:hint="eastAsia"/>
          <w:bCs/>
          <w:szCs w:val="21"/>
        </w:rPr>
        <w:t>；</w:t>
      </w:r>
    </w:p>
    <w:p w14:paraId="79B51665" w14:textId="77777777" w:rsidR="00BF38BB" w:rsidRDefault="002837D7">
      <w:pPr>
        <w:spacing w:line="360" w:lineRule="auto"/>
        <w:ind w:firstLineChars="200" w:firstLine="420"/>
        <w:rPr>
          <w:bCs/>
          <w:szCs w:val="21"/>
        </w:rPr>
      </w:pPr>
      <w:r>
        <w:rPr>
          <w:bCs/>
          <w:szCs w:val="21"/>
        </w:rPr>
        <w:t>（</w:t>
      </w:r>
      <w:r>
        <w:rPr>
          <w:bCs/>
          <w:szCs w:val="21"/>
        </w:rPr>
        <w:t>7</w:t>
      </w:r>
      <w:r>
        <w:rPr>
          <w:bCs/>
          <w:szCs w:val="21"/>
        </w:rPr>
        <w:t>）对基金</w:t>
      </w:r>
      <w:r>
        <w:rPr>
          <w:rFonts w:hint="eastAsia"/>
          <w:bCs/>
          <w:szCs w:val="21"/>
        </w:rPr>
        <w:t>剩余</w:t>
      </w:r>
      <w:r>
        <w:rPr>
          <w:bCs/>
          <w:szCs w:val="21"/>
        </w:rPr>
        <w:t>财产进行分配</w:t>
      </w:r>
      <w:r>
        <w:rPr>
          <w:rFonts w:hint="eastAsia"/>
          <w:bCs/>
          <w:szCs w:val="21"/>
        </w:rPr>
        <w:t>。</w:t>
      </w:r>
    </w:p>
    <w:p w14:paraId="33291EF2" w14:textId="77777777" w:rsidR="00BF38BB" w:rsidRDefault="002837D7">
      <w:pPr>
        <w:spacing w:line="360" w:lineRule="auto"/>
        <w:ind w:firstLineChars="200" w:firstLine="420"/>
        <w:rPr>
          <w:bCs/>
          <w:szCs w:val="21"/>
        </w:rPr>
      </w:pPr>
      <w:r>
        <w:rPr>
          <w:rFonts w:hint="eastAsia"/>
          <w:bCs/>
          <w:szCs w:val="21"/>
        </w:rPr>
        <w:t>6</w:t>
      </w:r>
      <w:r>
        <w:rPr>
          <w:bCs/>
          <w:szCs w:val="21"/>
        </w:rPr>
        <w:t>、基金财产清算的期限为</w:t>
      </w:r>
      <w:r>
        <w:rPr>
          <w:rFonts w:hint="eastAsia"/>
          <w:bCs/>
          <w:szCs w:val="21"/>
        </w:rPr>
        <w:t>6</w:t>
      </w:r>
      <w:r>
        <w:rPr>
          <w:bCs/>
          <w:szCs w:val="21"/>
        </w:rPr>
        <w:t>个月，但因本基金所持证券的流动性受到限制而不能及时变现</w:t>
      </w:r>
      <w:r>
        <w:rPr>
          <w:rFonts w:hint="eastAsia"/>
          <w:bCs/>
          <w:szCs w:val="21"/>
        </w:rPr>
        <w:t>、结算保证金相关规定等客观因素</w:t>
      </w:r>
      <w:r>
        <w:rPr>
          <w:bCs/>
          <w:szCs w:val="21"/>
        </w:rPr>
        <w:t>，清算期限相应顺延。</w:t>
      </w:r>
    </w:p>
    <w:p w14:paraId="4B95064D" w14:textId="77777777" w:rsidR="00BF38BB" w:rsidRDefault="002837D7">
      <w:pPr>
        <w:spacing w:line="360" w:lineRule="auto"/>
        <w:ind w:firstLineChars="200" w:firstLine="420"/>
        <w:rPr>
          <w:bCs/>
          <w:szCs w:val="21"/>
        </w:rPr>
      </w:pPr>
      <w:r>
        <w:rPr>
          <w:rFonts w:hint="eastAsia"/>
          <w:bCs/>
          <w:szCs w:val="21"/>
        </w:rPr>
        <w:t>（四）</w:t>
      </w:r>
      <w:r>
        <w:rPr>
          <w:bCs/>
          <w:szCs w:val="21"/>
        </w:rPr>
        <w:t>清算费用</w:t>
      </w:r>
    </w:p>
    <w:p w14:paraId="2F1F9064" w14:textId="77777777" w:rsidR="00BF38BB" w:rsidRDefault="002837D7">
      <w:pPr>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14:paraId="68F30CB0" w14:textId="77777777" w:rsidR="00BF38BB" w:rsidRDefault="002837D7">
      <w:pPr>
        <w:spacing w:line="360" w:lineRule="auto"/>
        <w:ind w:firstLineChars="200" w:firstLine="420"/>
        <w:rPr>
          <w:bCs/>
          <w:szCs w:val="21"/>
        </w:rPr>
      </w:pPr>
      <w:r>
        <w:rPr>
          <w:rFonts w:hint="eastAsia"/>
          <w:bCs/>
          <w:szCs w:val="21"/>
        </w:rPr>
        <w:t>（五）</w:t>
      </w:r>
      <w:r>
        <w:rPr>
          <w:bCs/>
          <w:szCs w:val="21"/>
        </w:rPr>
        <w:t>基金财产清算剩余资产的分配</w:t>
      </w:r>
    </w:p>
    <w:p w14:paraId="4F3ABD43" w14:textId="77777777" w:rsidR="00BF38BB" w:rsidRDefault="002837D7">
      <w:pPr>
        <w:spacing w:line="360" w:lineRule="auto"/>
        <w:ind w:firstLineChars="200" w:firstLine="420"/>
        <w:rPr>
          <w:color w:val="000000"/>
          <w:szCs w:val="21"/>
        </w:rPr>
      </w:pPr>
      <w:r>
        <w:rPr>
          <w:rFonts w:hint="eastAsia"/>
          <w:color w:val="000000"/>
          <w:szCs w:val="21"/>
        </w:rPr>
        <w:t>依据基金财产清算的分配方案，将基金财产清算后的全部剩余资产扣除基金财产清算费用、交纳所欠税款并清偿基金债务后，按</w:t>
      </w:r>
      <w:r>
        <w:rPr>
          <w:rFonts w:hint="eastAsia"/>
          <w:bCs/>
          <w:color w:val="000000"/>
          <w:szCs w:val="21"/>
        </w:rPr>
        <w:t>各类基金份额资产净值的比例确定剩余财产在各类基金份额中的分配比例，并在各类基金份额可分配的剩余财产范围内按各类别</w:t>
      </w:r>
      <w:r>
        <w:rPr>
          <w:rFonts w:hint="eastAsia"/>
          <w:color w:val="000000"/>
          <w:szCs w:val="21"/>
        </w:rPr>
        <w:t>基金份额持有人持有的</w:t>
      </w:r>
      <w:r>
        <w:rPr>
          <w:rFonts w:hint="eastAsia"/>
          <w:bCs/>
          <w:color w:val="000000"/>
          <w:szCs w:val="21"/>
        </w:rPr>
        <w:t>该类</w:t>
      </w:r>
      <w:r>
        <w:rPr>
          <w:rFonts w:hint="eastAsia"/>
          <w:color w:val="000000"/>
          <w:szCs w:val="21"/>
        </w:rPr>
        <w:t>基金份额比例进行分配</w:t>
      </w:r>
      <w:r>
        <w:rPr>
          <w:rFonts w:hint="eastAsia"/>
          <w:bCs/>
          <w:color w:val="000000"/>
          <w:szCs w:val="21"/>
        </w:rPr>
        <w:t>。同一类别的基金份额持有人对基金财产清算后本类别基金份额的剩余资产具有同等的分配权</w:t>
      </w:r>
      <w:r>
        <w:rPr>
          <w:rFonts w:hint="eastAsia"/>
          <w:color w:val="000000"/>
          <w:szCs w:val="21"/>
        </w:rPr>
        <w:t>。基金清算</w:t>
      </w:r>
      <w:r>
        <w:rPr>
          <w:rFonts w:hint="eastAsia"/>
          <w:color w:val="000000"/>
          <w:szCs w:val="21"/>
        </w:rPr>
        <w:t>时，对于投资者在基金管理人或基金管理人销售子公司处保有的</w:t>
      </w:r>
      <w:r>
        <w:rPr>
          <w:rFonts w:hint="eastAsia"/>
          <w:color w:val="000000"/>
          <w:szCs w:val="21"/>
        </w:rPr>
        <w:t>C</w:t>
      </w:r>
      <w:r>
        <w:rPr>
          <w:rFonts w:hint="eastAsia"/>
          <w:color w:val="000000"/>
          <w:szCs w:val="21"/>
        </w:rPr>
        <w:t>类基金份额，其先行收取的销售服务费将在基金合同终止时随清算款一并返还给投资者；对于投资者在其他销售机构处保有的且持续持有期限超过一年（即</w:t>
      </w:r>
      <w:r>
        <w:rPr>
          <w:rFonts w:hint="eastAsia"/>
          <w:color w:val="000000"/>
          <w:szCs w:val="21"/>
        </w:rPr>
        <w:t>365</w:t>
      </w:r>
      <w:r>
        <w:rPr>
          <w:rFonts w:hint="eastAsia"/>
          <w:color w:val="000000"/>
          <w:szCs w:val="21"/>
        </w:rPr>
        <w:t>天）的</w:t>
      </w:r>
      <w:r>
        <w:rPr>
          <w:rFonts w:hint="eastAsia"/>
          <w:color w:val="000000"/>
          <w:szCs w:val="21"/>
        </w:rPr>
        <w:t>C</w:t>
      </w:r>
      <w:r>
        <w:rPr>
          <w:rFonts w:hint="eastAsia"/>
          <w:color w:val="000000"/>
          <w:szCs w:val="21"/>
        </w:rPr>
        <w:t>类基金份额，超过一年后继续收取的销售服务费将在基金合同终止时随清算款一并返还给投资者。</w:t>
      </w:r>
    </w:p>
    <w:p w14:paraId="1B7BA0D0" w14:textId="77777777" w:rsidR="00BF38BB" w:rsidRDefault="002837D7">
      <w:pPr>
        <w:spacing w:line="360" w:lineRule="auto"/>
        <w:ind w:firstLineChars="200" w:firstLine="420"/>
        <w:rPr>
          <w:bCs/>
          <w:szCs w:val="21"/>
        </w:rPr>
      </w:pPr>
      <w:r>
        <w:rPr>
          <w:rFonts w:hint="eastAsia"/>
          <w:bCs/>
          <w:szCs w:val="21"/>
        </w:rPr>
        <w:t>（六）</w:t>
      </w:r>
      <w:r>
        <w:rPr>
          <w:bCs/>
          <w:szCs w:val="21"/>
        </w:rPr>
        <w:t>基金财产清算的公告</w:t>
      </w:r>
    </w:p>
    <w:p w14:paraId="70D50D7F" w14:textId="77777777" w:rsidR="00BF38BB" w:rsidRDefault="002837D7">
      <w:pPr>
        <w:spacing w:line="360" w:lineRule="auto"/>
        <w:ind w:firstLineChars="200" w:firstLine="420"/>
        <w:rPr>
          <w:bCs/>
          <w:szCs w:val="21"/>
        </w:rPr>
      </w:pPr>
      <w:r>
        <w:rPr>
          <w:rFonts w:hint="eastAsia"/>
          <w:bCs/>
          <w:szCs w:val="21"/>
        </w:rPr>
        <w:t>清算过程中的有关重大事项应及时公告；基金财产清算报告经符合《中华人民共和国证券法》规定的会计师事务所审计并由律师事务所出具法律意见书后报中国证监会备案并公告。基金财产清算报告报中国证监会备案</w:t>
      </w:r>
      <w:r>
        <w:rPr>
          <w:rFonts w:hint="eastAsia"/>
          <w:bCs/>
          <w:szCs w:val="21"/>
        </w:rPr>
        <w:t>后</w:t>
      </w:r>
      <w:r>
        <w:rPr>
          <w:rFonts w:hint="eastAsia"/>
          <w:bCs/>
          <w:szCs w:val="21"/>
        </w:rPr>
        <w:t>5</w:t>
      </w:r>
      <w:r>
        <w:rPr>
          <w:rFonts w:hint="eastAsia"/>
          <w:bCs/>
          <w:szCs w:val="21"/>
        </w:rPr>
        <w:t>个工作日内由基金财产清算小组进行公告。</w:t>
      </w:r>
    </w:p>
    <w:p w14:paraId="3873BB58" w14:textId="77777777" w:rsidR="00BF38BB" w:rsidRDefault="002837D7">
      <w:pPr>
        <w:spacing w:line="360" w:lineRule="auto"/>
        <w:ind w:firstLineChars="200" w:firstLine="420"/>
        <w:rPr>
          <w:bCs/>
          <w:szCs w:val="21"/>
        </w:rPr>
      </w:pPr>
      <w:r>
        <w:rPr>
          <w:rFonts w:hint="eastAsia"/>
          <w:bCs/>
          <w:szCs w:val="21"/>
        </w:rPr>
        <w:t>（七）</w:t>
      </w:r>
      <w:r>
        <w:rPr>
          <w:bCs/>
          <w:szCs w:val="21"/>
        </w:rPr>
        <w:t>基金财产清算账册及文件的保存</w:t>
      </w:r>
    </w:p>
    <w:p w14:paraId="4AE702B3" w14:textId="77777777" w:rsidR="00BF38BB" w:rsidRDefault="002837D7">
      <w:pPr>
        <w:spacing w:line="360" w:lineRule="auto"/>
        <w:ind w:firstLineChars="200" w:firstLine="420"/>
        <w:rPr>
          <w:bCs/>
          <w:szCs w:val="21"/>
        </w:rPr>
      </w:pPr>
      <w:r>
        <w:rPr>
          <w:bCs/>
          <w:szCs w:val="21"/>
        </w:rPr>
        <w:t>基金财产清算账册及有关文件由基金托管人保存</w:t>
      </w:r>
      <w:r>
        <w:rPr>
          <w:rFonts w:hint="eastAsia"/>
          <w:bCs/>
          <w:szCs w:val="21"/>
        </w:rPr>
        <w:t>，保存期限不低于法律法规规定的最低年限</w:t>
      </w:r>
      <w:r>
        <w:rPr>
          <w:bCs/>
          <w:szCs w:val="21"/>
        </w:rPr>
        <w:t>。</w:t>
      </w:r>
    </w:p>
    <w:p w14:paraId="1B5F5DCD"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131" w:name="_Toc69916744"/>
      <w:bookmarkStart w:id="132" w:name="OLE_LINK2"/>
      <w:bookmarkStart w:id="133" w:name="OLE_LINK1"/>
      <w:bookmarkEnd w:id="128"/>
      <w:r>
        <w:rPr>
          <w:rFonts w:hAnsi="宋体"/>
          <w:color w:val="auto"/>
          <w:kern w:val="44"/>
          <w:sz w:val="21"/>
        </w:rPr>
        <w:lastRenderedPageBreak/>
        <w:t>十</w:t>
      </w:r>
      <w:r>
        <w:rPr>
          <w:rFonts w:hAnsi="宋体" w:hint="eastAsia"/>
          <w:color w:val="auto"/>
          <w:kern w:val="44"/>
          <w:sz w:val="21"/>
        </w:rPr>
        <w:t>九</w:t>
      </w:r>
      <w:r>
        <w:rPr>
          <w:rFonts w:hAnsi="宋体"/>
          <w:color w:val="auto"/>
          <w:kern w:val="44"/>
          <w:sz w:val="21"/>
        </w:rPr>
        <w:t>、基金合同的内容摘要</w:t>
      </w:r>
      <w:bookmarkEnd w:id="123"/>
      <w:bookmarkEnd w:id="124"/>
      <w:bookmarkEnd w:id="125"/>
      <w:bookmarkEnd w:id="131"/>
    </w:p>
    <w:p w14:paraId="349E53F8" w14:textId="77777777" w:rsidR="00BF38BB" w:rsidRDefault="002837D7">
      <w:pPr>
        <w:spacing w:line="360" w:lineRule="auto"/>
        <w:ind w:firstLineChars="200" w:firstLine="420"/>
        <w:rPr>
          <w:bCs/>
          <w:szCs w:val="21"/>
        </w:rPr>
      </w:pPr>
      <w:bookmarkStart w:id="134" w:name="OLE_LINK41"/>
      <w:bookmarkStart w:id="135" w:name="_Hlk38017619"/>
      <w:bookmarkStart w:id="136" w:name="_Hlk146277313"/>
      <w:r>
        <w:rPr>
          <w:rFonts w:hint="eastAsia"/>
          <w:bCs/>
          <w:szCs w:val="21"/>
        </w:rPr>
        <w:t>（一）基金份额持有人、基金管理人和基金托管人的权利、义务</w:t>
      </w:r>
    </w:p>
    <w:p w14:paraId="39082A69" w14:textId="77777777" w:rsidR="00BF38BB" w:rsidRDefault="002837D7">
      <w:pPr>
        <w:spacing w:line="360" w:lineRule="auto"/>
        <w:ind w:firstLine="480"/>
        <w:rPr>
          <w:bCs/>
          <w:szCs w:val="21"/>
        </w:rPr>
      </w:pPr>
      <w:bookmarkStart w:id="137" w:name="_Toc523711670"/>
      <w:r>
        <w:rPr>
          <w:rFonts w:hint="eastAsia"/>
          <w:bCs/>
          <w:szCs w:val="21"/>
        </w:rPr>
        <w:t>一）基金份额持有人的权利与义务</w:t>
      </w:r>
    </w:p>
    <w:p w14:paraId="094FC568" w14:textId="77777777" w:rsidR="00BF38BB" w:rsidRDefault="002837D7">
      <w:pPr>
        <w:spacing w:line="360" w:lineRule="auto"/>
        <w:ind w:firstLine="480"/>
        <w:rPr>
          <w:bCs/>
          <w:szCs w:val="21"/>
        </w:rPr>
      </w:pPr>
      <w:r>
        <w:rPr>
          <w:rFonts w:hint="eastAsia"/>
          <w:bCs/>
          <w:szCs w:val="21"/>
        </w:rPr>
        <w:t>基金投资者持有本基金基金份额的行为即视为对基金合同的承认和接受，基金投资者自依据基金合同取得基金份额，即成为本基金的基金份额持有人和基金合同的当事人，直至其不再持有本基金的基金份额。基金份额持有人作为基金合同当事人并不以在基金合同</w:t>
      </w:r>
      <w:r>
        <w:rPr>
          <w:rFonts w:hint="eastAsia"/>
          <w:bCs/>
          <w:szCs w:val="21"/>
        </w:rPr>
        <w:t>上书面签章或签字为必要条件。</w:t>
      </w:r>
    </w:p>
    <w:p w14:paraId="5454D04A" w14:textId="77777777" w:rsidR="00BF38BB" w:rsidRDefault="002837D7">
      <w:pPr>
        <w:spacing w:line="360" w:lineRule="auto"/>
        <w:ind w:firstLine="480"/>
        <w:rPr>
          <w:bCs/>
          <w:szCs w:val="21"/>
        </w:rPr>
      </w:pPr>
      <w:r>
        <w:rPr>
          <w:rFonts w:hint="eastAsia"/>
          <w:bCs/>
          <w:szCs w:val="21"/>
        </w:rPr>
        <w:t>同一类别的每份基金份额具有同等的合法权益。</w:t>
      </w:r>
    </w:p>
    <w:p w14:paraId="54C798D9" w14:textId="77777777" w:rsidR="00BF38BB" w:rsidRDefault="002837D7">
      <w:pPr>
        <w:spacing w:line="360" w:lineRule="auto"/>
        <w:ind w:firstLine="480"/>
        <w:rPr>
          <w:bCs/>
          <w:szCs w:val="21"/>
        </w:rPr>
      </w:pPr>
      <w:r>
        <w:rPr>
          <w:rFonts w:hint="eastAsia"/>
          <w:bCs/>
          <w:szCs w:val="21"/>
        </w:rPr>
        <w:t>1</w:t>
      </w:r>
      <w:r>
        <w:rPr>
          <w:rFonts w:hint="eastAsia"/>
          <w:bCs/>
          <w:szCs w:val="21"/>
        </w:rPr>
        <w:t>、根据《基金法》、《运作办法》及其他有关规定，基金份额持有人的权利包括但不限于：</w:t>
      </w:r>
    </w:p>
    <w:p w14:paraId="083FA13D" w14:textId="77777777" w:rsidR="00BF38BB" w:rsidRDefault="002837D7">
      <w:pPr>
        <w:spacing w:line="360" w:lineRule="auto"/>
        <w:ind w:firstLine="480"/>
        <w:rPr>
          <w:bCs/>
          <w:szCs w:val="21"/>
        </w:rPr>
      </w:pPr>
      <w:r>
        <w:rPr>
          <w:rFonts w:hint="eastAsia"/>
          <w:bCs/>
          <w:szCs w:val="21"/>
        </w:rPr>
        <w:t>（</w:t>
      </w:r>
      <w:r>
        <w:rPr>
          <w:rFonts w:hint="eastAsia"/>
          <w:bCs/>
          <w:szCs w:val="21"/>
        </w:rPr>
        <w:t>1</w:t>
      </w:r>
      <w:r>
        <w:rPr>
          <w:rFonts w:hint="eastAsia"/>
          <w:bCs/>
          <w:szCs w:val="21"/>
        </w:rPr>
        <w:t>）分享基金财产收益；</w:t>
      </w:r>
    </w:p>
    <w:p w14:paraId="0C1963ED" w14:textId="77777777" w:rsidR="00BF38BB" w:rsidRDefault="002837D7">
      <w:pPr>
        <w:spacing w:line="360" w:lineRule="auto"/>
        <w:ind w:firstLine="480"/>
        <w:rPr>
          <w:bCs/>
          <w:szCs w:val="21"/>
        </w:rPr>
      </w:pPr>
      <w:r>
        <w:rPr>
          <w:rFonts w:hint="eastAsia"/>
          <w:bCs/>
          <w:szCs w:val="21"/>
        </w:rPr>
        <w:t>（</w:t>
      </w:r>
      <w:r>
        <w:rPr>
          <w:rFonts w:hint="eastAsia"/>
          <w:bCs/>
          <w:szCs w:val="21"/>
        </w:rPr>
        <w:t>2</w:t>
      </w:r>
      <w:r>
        <w:rPr>
          <w:rFonts w:hint="eastAsia"/>
          <w:bCs/>
          <w:szCs w:val="21"/>
        </w:rPr>
        <w:t>）参与分配清算后的剩余基金财产；</w:t>
      </w:r>
    </w:p>
    <w:p w14:paraId="451B2881" w14:textId="77777777" w:rsidR="00BF38BB" w:rsidRDefault="002837D7">
      <w:pPr>
        <w:spacing w:line="360" w:lineRule="auto"/>
        <w:ind w:firstLine="480"/>
        <w:rPr>
          <w:bCs/>
          <w:szCs w:val="21"/>
        </w:rPr>
      </w:pPr>
      <w:r>
        <w:rPr>
          <w:rFonts w:hint="eastAsia"/>
          <w:bCs/>
          <w:szCs w:val="21"/>
        </w:rPr>
        <w:t>（</w:t>
      </w:r>
      <w:r>
        <w:rPr>
          <w:rFonts w:hint="eastAsia"/>
          <w:bCs/>
          <w:szCs w:val="21"/>
        </w:rPr>
        <w:t>3</w:t>
      </w:r>
      <w:r>
        <w:rPr>
          <w:rFonts w:hint="eastAsia"/>
          <w:bCs/>
          <w:szCs w:val="21"/>
        </w:rPr>
        <w:t>）依法转让或者申请赎回其持有的基金份额；</w:t>
      </w:r>
    </w:p>
    <w:p w14:paraId="3DEDB98D" w14:textId="77777777" w:rsidR="00BF38BB" w:rsidRDefault="002837D7">
      <w:pPr>
        <w:spacing w:line="360" w:lineRule="auto"/>
        <w:ind w:firstLine="480"/>
        <w:rPr>
          <w:bCs/>
          <w:szCs w:val="21"/>
        </w:rPr>
      </w:pPr>
      <w:r>
        <w:rPr>
          <w:rFonts w:hint="eastAsia"/>
          <w:bCs/>
          <w:szCs w:val="21"/>
        </w:rPr>
        <w:t>（</w:t>
      </w:r>
      <w:r>
        <w:rPr>
          <w:rFonts w:hint="eastAsia"/>
          <w:bCs/>
          <w:szCs w:val="21"/>
        </w:rPr>
        <w:t>4</w:t>
      </w:r>
      <w:r>
        <w:rPr>
          <w:rFonts w:hint="eastAsia"/>
          <w:bCs/>
          <w:szCs w:val="21"/>
        </w:rPr>
        <w:t>）按照规定要求召开基金份额持有人大会或者召集基金份额持有人大会；</w:t>
      </w:r>
    </w:p>
    <w:p w14:paraId="63F42425" w14:textId="77777777" w:rsidR="00BF38BB" w:rsidRDefault="002837D7">
      <w:pPr>
        <w:spacing w:line="360" w:lineRule="auto"/>
        <w:ind w:firstLine="480"/>
        <w:rPr>
          <w:bCs/>
          <w:szCs w:val="21"/>
        </w:rPr>
      </w:pPr>
      <w:r>
        <w:rPr>
          <w:rFonts w:hint="eastAsia"/>
          <w:bCs/>
          <w:szCs w:val="21"/>
        </w:rPr>
        <w:t>（</w:t>
      </w:r>
      <w:r>
        <w:rPr>
          <w:rFonts w:hint="eastAsia"/>
          <w:bCs/>
          <w:szCs w:val="21"/>
        </w:rPr>
        <w:t>5</w:t>
      </w:r>
      <w:r>
        <w:rPr>
          <w:rFonts w:hint="eastAsia"/>
          <w:bCs/>
          <w:szCs w:val="21"/>
        </w:rPr>
        <w:t>）出席或者委派代表出席基金份额持有人大会，对基金份额持有人大会审议事项行使表决权；</w:t>
      </w:r>
    </w:p>
    <w:p w14:paraId="281B9C0D" w14:textId="77777777" w:rsidR="00BF38BB" w:rsidRDefault="002837D7">
      <w:pPr>
        <w:spacing w:line="360" w:lineRule="auto"/>
        <w:ind w:firstLine="480"/>
        <w:rPr>
          <w:bCs/>
          <w:szCs w:val="21"/>
        </w:rPr>
      </w:pPr>
      <w:r>
        <w:rPr>
          <w:rFonts w:hint="eastAsia"/>
          <w:bCs/>
          <w:szCs w:val="21"/>
        </w:rPr>
        <w:t>（</w:t>
      </w:r>
      <w:r>
        <w:rPr>
          <w:rFonts w:hint="eastAsia"/>
          <w:bCs/>
          <w:szCs w:val="21"/>
        </w:rPr>
        <w:t>6</w:t>
      </w:r>
      <w:r>
        <w:rPr>
          <w:rFonts w:hint="eastAsia"/>
          <w:bCs/>
          <w:szCs w:val="21"/>
        </w:rPr>
        <w:t>）查阅或者复制公开披露的基金信息资料；</w:t>
      </w:r>
    </w:p>
    <w:p w14:paraId="463E54D2" w14:textId="77777777" w:rsidR="00BF38BB" w:rsidRDefault="002837D7">
      <w:pPr>
        <w:spacing w:line="360" w:lineRule="auto"/>
        <w:ind w:firstLine="480"/>
        <w:rPr>
          <w:bCs/>
          <w:szCs w:val="21"/>
        </w:rPr>
      </w:pPr>
      <w:r>
        <w:rPr>
          <w:rFonts w:hint="eastAsia"/>
          <w:bCs/>
          <w:szCs w:val="21"/>
        </w:rPr>
        <w:t>（</w:t>
      </w:r>
      <w:r>
        <w:rPr>
          <w:rFonts w:hint="eastAsia"/>
          <w:bCs/>
          <w:szCs w:val="21"/>
        </w:rPr>
        <w:t>7</w:t>
      </w:r>
      <w:r>
        <w:rPr>
          <w:rFonts w:hint="eastAsia"/>
          <w:bCs/>
          <w:szCs w:val="21"/>
        </w:rPr>
        <w:t>）监督基金管理人的投资运作；</w:t>
      </w:r>
    </w:p>
    <w:p w14:paraId="6048DBAC" w14:textId="77777777" w:rsidR="00BF38BB" w:rsidRDefault="002837D7">
      <w:pPr>
        <w:spacing w:line="360" w:lineRule="auto"/>
        <w:ind w:firstLine="480"/>
        <w:rPr>
          <w:bCs/>
          <w:szCs w:val="21"/>
        </w:rPr>
      </w:pPr>
      <w:r>
        <w:rPr>
          <w:rFonts w:hint="eastAsia"/>
          <w:bCs/>
          <w:szCs w:val="21"/>
        </w:rPr>
        <w:t>（</w:t>
      </w:r>
      <w:r>
        <w:rPr>
          <w:rFonts w:hint="eastAsia"/>
          <w:bCs/>
          <w:szCs w:val="21"/>
        </w:rPr>
        <w:t>8</w:t>
      </w:r>
      <w:r>
        <w:rPr>
          <w:rFonts w:hint="eastAsia"/>
          <w:bCs/>
          <w:szCs w:val="21"/>
        </w:rPr>
        <w:t>）对基金管理人、基金托管人损害其合法权益的行为依法提起仲裁；</w:t>
      </w:r>
    </w:p>
    <w:p w14:paraId="66203817" w14:textId="77777777" w:rsidR="00BF38BB" w:rsidRDefault="002837D7">
      <w:pPr>
        <w:spacing w:line="360" w:lineRule="auto"/>
        <w:ind w:firstLine="480"/>
        <w:rPr>
          <w:bCs/>
          <w:szCs w:val="21"/>
        </w:rPr>
      </w:pPr>
      <w:r>
        <w:rPr>
          <w:rFonts w:hint="eastAsia"/>
          <w:bCs/>
          <w:szCs w:val="21"/>
        </w:rPr>
        <w:t>（</w:t>
      </w:r>
      <w:r>
        <w:rPr>
          <w:rFonts w:hint="eastAsia"/>
          <w:bCs/>
          <w:szCs w:val="21"/>
        </w:rPr>
        <w:t>9</w:t>
      </w:r>
      <w:r>
        <w:rPr>
          <w:rFonts w:hint="eastAsia"/>
          <w:bCs/>
          <w:szCs w:val="21"/>
        </w:rPr>
        <w:t>）法律法规或中国证监会或基金合同规定的其他权利。</w:t>
      </w:r>
    </w:p>
    <w:p w14:paraId="7D14A5B1" w14:textId="77777777" w:rsidR="00BF38BB" w:rsidRDefault="002837D7">
      <w:pPr>
        <w:spacing w:line="360" w:lineRule="auto"/>
        <w:ind w:firstLine="480"/>
        <w:rPr>
          <w:bCs/>
          <w:szCs w:val="21"/>
        </w:rPr>
      </w:pPr>
      <w:r>
        <w:rPr>
          <w:rFonts w:hint="eastAsia"/>
          <w:bCs/>
          <w:szCs w:val="21"/>
        </w:rPr>
        <w:t>2</w:t>
      </w:r>
      <w:r>
        <w:rPr>
          <w:rFonts w:hint="eastAsia"/>
          <w:bCs/>
          <w:szCs w:val="21"/>
        </w:rPr>
        <w:t>、根据《基金法》、《运作办法》及其他有关规定，基金份额持有人的义务包括但不限于：</w:t>
      </w:r>
    </w:p>
    <w:p w14:paraId="1C256140" w14:textId="77777777" w:rsidR="00BF38BB" w:rsidRDefault="002837D7">
      <w:pPr>
        <w:spacing w:line="360" w:lineRule="auto"/>
        <w:ind w:firstLine="480"/>
        <w:rPr>
          <w:bCs/>
          <w:szCs w:val="21"/>
        </w:rPr>
      </w:pPr>
      <w:r>
        <w:rPr>
          <w:rFonts w:hint="eastAsia"/>
          <w:bCs/>
          <w:szCs w:val="21"/>
        </w:rPr>
        <w:t>（</w:t>
      </w:r>
      <w:r>
        <w:rPr>
          <w:rFonts w:hint="eastAsia"/>
          <w:bCs/>
          <w:szCs w:val="21"/>
        </w:rPr>
        <w:t>1</w:t>
      </w:r>
      <w:r>
        <w:rPr>
          <w:rFonts w:hint="eastAsia"/>
          <w:bCs/>
          <w:szCs w:val="21"/>
        </w:rPr>
        <w:t>）认真阅读并遵守基金合同、招募说明书、基金产品资料概要、业务规则以及基金管理人按照规定就本基金发布的相关公告；</w:t>
      </w:r>
    </w:p>
    <w:p w14:paraId="6110A818" w14:textId="77777777" w:rsidR="00BF38BB" w:rsidRDefault="002837D7">
      <w:pPr>
        <w:spacing w:line="360" w:lineRule="auto"/>
        <w:ind w:firstLine="480"/>
        <w:rPr>
          <w:bCs/>
          <w:szCs w:val="21"/>
        </w:rPr>
      </w:pPr>
      <w:r>
        <w:rPr>
          <w:rFonts w:hint="eastAsia"/>
          <w:bCs/>
          <w:szCs w:val="21"/>
        </w:rPr>
        <w:t>（</w:t>
      </w:r>
      <w:r>
        <w:rPr>
          <w:rFonts w:hint="eastAsia"/>
          <w:bCs/>
          <w:szCs w:val="21"/>
        </w:rPr>
        <w:t>2</w:t>
      </w:r>
      <w:r>
        <w:rPr>
          <w:rFonts w:hint="eastAsia"/>
          <w:bCs/>
          <w:szCs w:val="21"/>
        </w:rPr>
        <w:t>）了解所投资基金产品，了解自身风险承受能力，自主判断基金的投资价值，自主做出投资决策，自行承担投资风险；</w:t>
      </w:r>
    </w:p>
    <w:p w14:paraId="570D845F" w14:textId="77777777" w:rsidR="00BF38BB" w:rsidRDefault="002837D7">
      <w:pPr>
        <w:spacing w:line="360" w:lineRule="auto"/>
        <w:ind w:firstLine="480"/>
        <w:rPr>
          <w:bCs/>
          <w:szCs w:val="21"/>
        </w:rPr>
      </w:pPr>
      <w:r>
        <w:rPr>
          <w:rFonts w:hint="eastAsia"/>
          <w:bCs/>
          <w:szCs w:val="21"/>
        </w:rPr>
        <w:t>（</w:t>
      </w:r>
      <w:r>
        <w:rPr>
          <w:rFonts w:hint="eastAsia"/>
          <w:bCs/>
          <w:szCs w:val="21"/>
        </w:rPr>
        <w:t>3</w:t>
      </w:r>
      <w:r>
        <w:rPr>
          <w:rFonts w:hint="eastAsia"/>
          <w:bCs/>
          <w:szCs w:val="21"/>
        </w:rPr>
        <w:t>）关注基金信息披露，及时行使权利和履行义务；</w:t>
      </w:r>
    </w:p>
    <w:p w14:paraId="3C9C20AE" w14:textId="77777777" w:rsidR="00BF38BB" w:rsidRDefault="002837D7">
      <w:pPr>
        <w:spacing w:line="360" w:lineRule="auto"/>
        <w:ind w:firstLine="480"/>
        <w:rPr>
          <w:bCs/>
          <w:szCs w:val="21"/>
        </w:rPr>
      </w:pPr>
      <w:r>
        <w:rPr>
          <w:rFonts w:hint="eastAsia"/>
          <w:bCs/>
          <w:szCs w:val="21"/>
        </w:rPr>
        <w:t>（</w:t>
      </w:r>
      <w:r>
        <w:rPr>
          <w:rFonts w:hint="eastAsia"/>
          <w:bCs/>
          <w:szCs w:val="21"/>
        </w:rPr>
        <w:t>4</w:t>
      </w:r>
      <w:r>
        <w:rPr>
          <w:rFonts w:hint="eastAsia"/>
          <w:bCs/>
          <w:szCs w:val="21"/>
        </w:rPr>
        <w:t>）交纳基金认购、申购款项及法律法规和基金合同所规定的费用；</w:t>
      </w:r>
    </w:p>
    <w:p w14:paraId="4C9E89D4" w14:textId="77777777" w:rsidR="00BF38BB" w:rsidRDefault="002837D7">
      <w:pPr>
        <w:spacing w:line="360" w:lineRule="auto"/>
        <w:ind w:firstLine="480"/>
        <w:rPr>
          <w:bCs/>
          <w:szCs w:val="21"/>
        </w:rPr>
      </w:pPr>
      <w:r>
        <w:rPr>
          <w:rFonts w:hint="eastAsia"/>
          <w:bCs/>
          <w:szCs w:val="21"/>
        </w:rPr>
        <w:t>（</w:t>
      </w:r>
      <w:r>
        <w:rPr>
          <w:rFonts w:hint="eastAsia"/>
          <w:bCs/>
          <w:szCs w:val="21"/>
        </w:rPr>
        <w:t>5</w:t>
      </w:r>
      <w:r>
        <w:rPr>
          <w:rFonts w:hint="eastAsia"/>
          <w:bCs/>
          <w:szCs w:val="21"/>
        </w:rPr>
        <w:t>）在其持有的基金份额范围内，承担基金亏损或者基金合同终止的有限责任；</w:t>
      </w:r>
    </w:p>
    <w:p w14:paraId="791A62F4" w14:textId="77777777" w:rsidR="00BF38BB" w:rsidRDefault="002837D7">
      <w:pPr>
        <w:spacing w:line="360" w:lineRule="auto"/>
        <w:ind w:firstLine="480"/>
        <w:rPr>
          <w:bCs/>
          <w:szCs w:val="21"/>
        </w:rPr>
      </w:pPr>
      <w:r>
        <w:rPr>
          <w:rFonts w:hint="eastAsia"/>
          <w:bCs/>
          <w:szCs w:val="21"/>
        </w:rPr>
        <w:t>（</w:t>
      </w:r>
      <w:r>
        <w:rPr>
          <w:rFonts w:hint="eastAsia"/>
          <w:bCs/>
          <w:szCs w:val="21"/>
        </w:rPr>
        <w:t>6</w:t>
      </w:r>
      <w:r>
        <w:rPr>
          <w:rFonts w:hint="eastAsia"/>
          <w:bCs/>
          <w:szCs w:val="21"/>
        </w:rPr>
        <w:t>）不从事任何有损基金及其他基金合同当事人合法权益的活动；</w:t>
      </w:r>
    </w:p>
    <w:p w14:paraId="04531BC9" w14:textId="77777777" w:rsidR="00BF38BB" w:rsidRDefault="002837D7">
      <w:pPr>
        <w:spacing w:line="360" w:lineRule="auto"/>
        <w:ind w:firstLine="480"/>
        <w:rPr>
          <w:bCs/>
          <w:szCs w:val="21"/>
        </w:rPr>
      </w:pPr>
      <w:r>
        <w:rPr>
          <w:rFonts w:hint="eastAsia"/>
          <w:bCs/>
          <w:szCs w:val="21"/>
        </w:rPr>
        <w:t>（</w:t>
      </w:r>
      <w:r>
        <w:rPr>
          <w:rFonts w:hint="eastAsia"/>
          <w:bCs/>
          <w:szCs w:val="21"/>
        </w:rPr>
        <w:t>7</w:t>
      </w:r>
      <w:r>
        <w:rPr>
          <w:rFonts w:hint="eastAsia"/>
          <w:bCs/>
          <w:szCs w:val="21"/>
        </w:rPr>
        <w:t>）执行生效的基金份额持有人大会的决议；</w:t>
      </w:r>
    </w:p>
    <w:p w14:paraId="035DAC4A" w14:textId="77777777" w:rsidR="00BF38BB" w:rsidRDefault="002837D7">
      <w:pPr>
        <w:spacing w:line="360" w:lineRule="auto"/>
        <w:ind w:firstLine="480"/>
        <w:rPr>
          <w:bCs/>
          <w:szCs w:val="21"/>
        </w:rPr>
      </w:pPr>
      <w:r>
        <w:rPr>
          <w:rFonts w:hint="eastAsia"/>
          <w:bCs/>
          <w:szCs w:val="21"/>
        </w:rPr>
        <w:t>（</w:t>
      </w:r>
      <w:r>
        <w:rPr>
          <w:rFonts w:hint="eastAsia"/>
          <w:bCs/>
          <w:szCs w:val="21"/>
        </w:rPr>
        <w:t>8</w:t>
      </w:r>
      <w:r>
        <w:rPr>
          <w:rFonts w:hint="eastAsia"/>
          <w:bCs/>
          <w:szCs w:val="21"/>
        </w:rPr>
        <w:t>）返还在基金交易过程中因任何原因获得的不当得利；</w:t>
      </w:r>
    </w:p>
    <w:p w14:paraId="3BA74430" w14:textId="77777777" w:rsidR="00BF38BB" w:rsidRDefault="002837D7">
      <w:pPr>
        <w:spacing w:line="360" w:lineRule="auto"/>
        <w:ind w:firstLine="480"/>
        <w:rPr>
          <w:bCs/>
          <w:szCs w:val="21"/>
        </w:rPr>
      </w:pPr>
      <w:r>
        <w:rPr>
          <w:rFonts w:hint="eastAsia"/>
          <w:bCs/>
          <w:szCs w:val="21"/>
        </w:rPr>
        <w:t>（</w:t>
      </w:r>
      <w:r>
        <w:rPr>
          <w:rFonts w:hint="eastAsia"/>
          <w:bCs/>
          <w:szCs w:val="21"/>
        </w:rPr>
        <w:t>9</w:t>
      </w:r>
      <w:r>
        <w:rPr>
          <w:rFonts w:hint="eastAsia"/>
          <w:bCs/>
          <w:szCs w:val="21"/>
        </w:rPr>
        <w:t>）如实提供基金管理人或其销售机构依法要求提供的信息，并不时予以更新和补充；</w:t>
      </w:r>
    </w:p>
    <w:p w14:paraId="1AEFACD9" w14:textId="77777777" w:rsidR="00BF38BB" w:rsidRDefault="002837D7">
      <w:pPr>
        <w:spacing w:line="360" w:lineRule="auto"/>
        <w:ind w:firstLine="480"/>
        <w:rPr>
          <w:bCs/>
          <w:szCs w:val="21"/>
        </w:rPr>
      </w:pPr>
      <w:r>
        <w:rPr>
          <w:rFonts w:hint="eastAsia"/>
          <w:bCs/>
          <w:szCs w:val="21"/>
        </w:rPr>
        <w:lastRenderedPageBreak/>
        <w:t>（</w:t>
      </w:r>
      <w:r>
        <w:rPr>
          <w:rFonts w:hint="eastAsia"/>
          <w:bCs/>
          <w:szCs w:val="21"/>
        </w:rPr>
        <w:t>10</w:t>
      </w:r>
      <w:r>
        <w:rPr>
          <w:rFonts w:hint="eastAsia"/>
          <w:bCs/>
          <w:szCs w:val="21"/>
        </w:rPr>
        <w:t>）配合基金管理人或销售机构开展反洗钱尽职调查，包括但不限于提供真实有效的身份证件或者其他身份证明文件，准确、完整填报身份信息，如</w:t>
      </w:r>
      <w:r>
        <w:rPr>
          <w:rFonts w:hint="eastAsia"/>
          <w:bCs/>
          <w:szCs w:val="21"/>
        </w:rPr>
        <w:t>实提供与交易和资金相关的资料等；不得从事洗钱活动或者为洗钱活动提供便利；</w:t>
      </w:r>
    </w:p>
    <w:p w14:paraId="77C6B847" w14:textId="77777777" w:rsidR="00BF38BB" w:rsidRDefault="002837D7">
      <w:pPr>
        <w:spacing w:line="360" w:lineRule="auto"/>
        <w:ind w:firstLine="480"/>
        <w:rPr>
          <w:bCs/>
          <w:szCs w:val="21"/>
        </w:rPr>
      </w:pPr>
      <w:r>
        <w:rPr>
          <w:rFonts w:hint="eastAsia"/>
          <w:bCs/>
          <w:szCs w:val="21"/>
        </w:rPr>
        <w:t>（</w:t>
      </w:r>
      <w:r>
        <w:rPr>
          <w:rFonts w:hint="eastAsia"/>
          <w:bCs/>
          <w:szCs w:val="21"/>
        </w:rPr>
        <w:t>11</w:t>
      </w:r>
      <w:r>
        <w:rPr>
          <w:rFonts w:hint="eastAsia"/>
          <w:bCs/>
          <w:szCs w:val="21"/>
        </w:rPr>
        <w:t>）法律法规或中国证监会或基金合同规定的其他义务。</w:t>
      </w:r>
    </w:p>
    <w:p w14:paraId="1D986585" w14:textId="77777777" w:rsidR="00BF38BB" w:rsidRDefault="002837D7">
      <w:pPr>
        <w:spacing w:line="360" w:lineRule="auto"/>
        <w:ind w:firstLine="480"/>
        <w:jc w:val="left"/>
        <w:rPr>
          <w:bCs/>
          <w:szCs w:val="21"/>
        </w:rPr>
      </w:pPr>
      <w:r>
        <w:rPr>
          <w:bCs/>
          <w:szCs w:val="21"/>
        </w:rPr>
        <w:t>二）基金管理人的权利与义务</w:t>
      </w:r>
    </w:p>
    <w:p w14:paraId="7A7B5E2E" w14:textId="77777777" w:rsidR="00BF38BB" w:rsidRDefault="002837D7">
      <w:pPr>
        <w:spacing w:line="360" w:lineRule="auto"/>
        <w:ind w:firstLine="480"/>
        <w:rPr>
          <w:bCs/>
          <w:szCs w:val="21"/>
        </w:rPr>
      </w:pPr>
      <w:r>
        <w:rPr>
          <w:rFonts w:hint="eastAsia"/>
          <w:bCs/>
          <w:szCs w:val="21"/>
        </w:rPr>
        <w:t>1</w:t>
      </w:r>
      <w:r>
        <w:rPr>
          <w:rFonts w:hint="eastAsia"/>
          <w:bCs/>
          <w:szCs w:val="21"/>
        </w:rPr>
        <w:t>、根据《基金法》、《运作办法》及其他有关规定，基金管理人的权利包括但不限于：</w:t>
      </w:r>
    </w:p>
    <w:p w14:paraId="69D8F3C2" w14:textId="77777777" w:rsidR="00BF38BB" w:rsidRDefault="002837D7">
      <w:pPr>
        <w:spacing w:line="360" w:lineRule="auto"/>
        <w:ind w:firstLine="480"/>
        <w:rPr>
          <w:bCs/>
          <w:szCs w:val="21"/>
        </w:rPr>
      </w:pPr>
      <w:r>
        <w:rPr>
          <w:rFonts w:hint="eastAsia"/>
          <w:bCs/>
          <w:szCs w:val="21"/>
        </w:rPr>
        <w:t>（</w:t>
      </w:r>
      <w:r>
        <w:rPr>
          <w:rFonts w:hint="eastAsia"/>
          <w:bCs/>
          <w:szCs w:val="21"/>
        </w:rPr>
        <w:t>1</w:t>
      </w:r>
      <w:r>
        <w:rPr>
          <w:rFonts w:hint="eastAsia"/>
          <w:bCs/>
          <w:szCs w:val="21"/>
        </w:rPr>
        <w:t>）依法募集资金；</w:t>
      </w:r>
    </w:p>
    <w:p w14:paraId="430C4CCB" w14:textId="77777777" w:rsidR="00BF38BB" w:rsidRDefault="002837D7">
      <w:pPr>
        <w:spacing w:line="360" w:lineRule="auto"/>
        <w:ind w:firstLine="480"/>
        <w:rPr>
          <w:bCs/>
          <w:szCs w:val="21"/>
        </w:rPr>
      </w:pPr>
      <w:r>
        <w:rPr>
          <w:rFonts w:hint="eastAsia"/>
          <w:bCs/>
          <w:szCs w:val="21"/>
        </w:rPr>
        <w:t>（</w:t>
      </w:r>
      <w:r>
        <w:rPr>
          <w:rFonts w:hint="eastAsia"/>
          <w:bCs/>
          <w:szCs w:val="21"/>
        </w:rPr>
        <w:t>2</w:t>
      </w:r>
      <w:r>
        <w:rPr>
          <w:rFonts w:hint="eastAsia"/>
          <w:bCs/>
          <w:szCs w:val="21"/>
        </w:rPr>
        <w:t>）自基金合同生效之日起，根据法律法规和基金合同独立运用并管理基金财产；</w:t>
      </w:r>
    </w:p>
    <w:p w14:paraId="49EAD020" w14:textId="77777777" w:rsidR="00BF38BB" w:rsidRDefault="002837D7">
      <w:pPr>
        <w:spacing w:line="360" w:lineRule="auto"/>
        <w:ind w:firstLine="480"/>
        <w:rPr>
          <w:bCs/>
          <w:szCs w:val="21"/>
        </w:rPr>
      </w:pPr>
      <w:r>
        <w:rPr>
          <w:rFonts w:hint="eastAsia"/>
          <w:bCs/>
          <w:szCs w:val="21"/>
        </w:rPr>
        <w:t>（</w:t>
      </w:r>
      <w:r>
        <w:rPr>
          <w:rFonts w:hint="eastAsia"/>
          <w:bCs/>
          <w:szCs w:val="21"/>
        </w:rPr>
        <w:t>3</w:t>
      </w:r>
      <w:r>
        <w:rPr>
          <w:rFonts w:hint="eastAsia"/>
          <w:bCs/>
          <w:szCs w:val="21"/>
        </w:rPr>
        <w:t>）依照基金合同收取基金管理费以及法律法规规定或中国证监会批准的其他费用；</w:t>
      </w:r>
    </w:p>
    <w:p w14:paraId="503F474C" w14:textId="77777777" w:rsidR="00BF38BB" w:rsidRDefault="002837D7">
      <w:pPr>
        <w:spacing w:line="360" w:lineRule="auto"/>
        <w:ind w:firstLine="480"/>
        <w:rPr>
          <w:bCs/>
          <w:szCs w:val="21"/>
        </w:rPr>
      </w:pPr>
      <w:r>
        <w:rPr>
          <w:rFonts w:hint="eastAsia"/>
          <w:bCs/>
          <w:szCs w:val="21"/>
        </w:rPr>
        <w:t>（</w:t>
      </w:r>
      <w:r>
        <w:rPr>
          <w:rFonts w:hint="eastAsia"/>
          <w:bCs/>
          <w:szCs w:val="21"/>
        </w:rPr>
        <w:t>4</w:t>
      </w:r>
      <w:r>
        <w:rPr>
          <w:rFonts w:hint="eastAsia"/>
          <w:bCs/>
          <w:szCs w:val="21"/>
        </w:rPr>
        <w:t>）销售基金份额；</w:t>
      </w:r>
    </w:p>
    <w:p w14:paraId="269F0920" w14:textId="77777777" w:rsidR="00BF38BB" w:rsidRDefault="002837D7">
      <w:pPr>
        <w:spacing w:line="360" w:lineRule="auto"/>
        <w:ind w:firstLine="480"/>
        <w:rPr>
          <w:bCs/>
          <w:szCs w:val="21"/>
        </w:rPr>
      </w:pPr>
      <w:r>
        <w:rPr>
          <w:rFonts w:hint="eastAsia"/>
          <w:bCs/>
          <w:szCs w:val="21"/>
        </w:rPr>
        <w:t>（</w:t>
      </w:r>
      <w:r>
        <w:rPr>
          <w:rFonts w:hint="eastAsia"/>
          <w:bCs/>
          <w:szCs w:val="21"/>
        </w:rPr>
        <w:t>5</w:t>
      </w:r>
      <w:r>
        <w:rPr>
          <w:rFonts w:hint="eastAsia"/>
          <w:bCs/>
          <w:szCs w:val="21"/>
        </w:rPr>
        <w:t>）按照规定召集基金份额持有人大会；</w:t>
      </w:r>
    </w:p>
    <w:p w14:paraId="3E2DD449" w14:textId="77777777" w:rsidR="00BF38BB" w:rsidRDefault="002837D7">
      <w:pPr>
        <w:spacing w:line="360" w:lineRule="auto"/>
        <w:ind w:firstLine="480"/>
        <w:rPr>
          <w:bCs/>
          <w:szCs w:val="21"/>
        </w:rPr>
      </w:pPr>
      <w:r>
        <w:rPr>
          <w:rFonts w:hint="eastAsia"/>
          <w:bCs/>
          <w:szCs w:val="21"/>
        </w:rPr>
        <w:t>（</w:t>
      </w:r>
      <w:r>
        <w:rPr>
          <w:rFonts w:hint="eastAsia"/>
          <w:bCs/>
          <w:szCs w:val="21"/>
        </w:rPr>
        <w:t>6</w:t>
      </w:r>
      <w:r>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7F35CF2E" w14:textId="77777777" w:rsidR="00BF38BB" w:rsidRDefault="002837D7">
      <w:pPr>
        <w:spacing w:line="360" w:lineRule="auto"/>
        <w:ind w:firstLine="480"/>
        <w:rPr>
          <w:bCs/>
          <w:szCs w:val="21"/>
        </w:rPr>
      </w:pPr>
      <w:r>
        <w:rPr>
          <w:rFonts w:hint="eastAsia"/>
          <w:bCs/>
          <w:szCs w:val="21"/>
        </w:rPr>
        <w:t>（</w:t>
      </w:r>
      <w:r>
        <w:rPr>
          <w:rFonts w:hint="eastAsia"/>
          <w:bCs/>
          <w:szCs w:val="21"/>
        </w:rPr>
        <w:t>7</w:t>
      </w:r>
      <w:r>
        <w:rPr>
          <w:rFonts w:hint="eastAsia"/>
          <w:bCs/>
          <w:szCs w:val="21"/>
        </w:rPr>
        <w:t>）在基金托管人更换时，提名新的基金托管人；</w:t>
      </w:r>
    </w:p>
    <w:p w14:paraId="4E5A0FAC" w14:textId="77777777" w:rsidR="00BF38BB" w:rsidRDefault="002837D7">
      <w:pPr>
        <w:spacing w:line="360" w:lineRule="auto"/>
        <w:ind w:firstLine="480"/>
        <w:rPr>
          <w:bCs/>
          <w:szCs w:val="21"/>
        </w:rPr>
      </w:pPr>
      <w:r>
        <w:rPr>
          <w:rFonts w:hint="eastAsia"/>
          <w:bCs/>
          <w:szCs w:val="21"/>
        </w:rPr>
        <w:t>（</w:t>
      </w:r>
      <w:r>
        <w:rPr>
          <w:rFonts w:hint="eastAsia"/>
          <w:bCs/>
          <w:szCs w:val="21"/>
        </w:rPr>
        <w:t>8</w:t>
      </w:r>
      <w:r>
        <w:rPr>
          <w:rFonts w:hint="eastAsia"/>
          <w:bCs/>
          <w:szCs w:val="21"/>
        </w:rPr>
        <w:t>）依据基金合同及有关法律规定决定基金收益的分配方案；</w:t>
      </w:r>
    </w:p>
    <w:p w14:paraId="70180BFA" w14:textId="77777777" w:rsidR="00BF38BB" w:rsidRDefault="002837D7">
      <w:pPr>
        <w:spacing w:line="360" w:lineRule="auto"/>
        <w:ind w:firstLine="480"/>
        <w:rPr>
          <w:bCs/>
          <w:szCs w:val="21"/>
        </w:rPr>
      </w:pPr>
      <w:r>
        <w:rPr>
          <w:rFonts w:hint="eastAsia"/>
          <w:bCs/>
          <w:szCs w:val="21"/>
        </w:rPr>
        <w:t>（</w:t>
      </w:r>
      <w:r>
        <w:rPr>
          <w:rFonts w:hint="eastAsia"/>
          <w:bCs/>
          <w:szCs w:val="21"/>
        </w:rPr>
        <w:t>9</w:t>
      </w:r>
      <w:r>
        <w:rPr>
          <w:rFonts w:hint="eastAsia"/>
          <w:bCs/>
          <w:szCs w:val="21"/>
        </w:rPr>
        <w:t>）在基金合同约定的范围内，拒绝或暂停受理申购、赎回及转换申请；</w:t>
      </w:r>
    </w:p>
    <w:p w14:paraId="6590757F" w14:textId="77777777" w:rsidR="00BF38BB" w:rsidRDefault="002837D7">
      <w:pPr>
        <w:spacing w:line="360" w:lineRule="auto"/>
        <w:ind w:firstLine="480"/>
        <w:rPr>
          <w:bCs/>
          <w:szCs w:val="21"/>
        </w:rPr>
      </w:pPr>
      <w:r>
        <w:rPr>
          <w:rFonts w:hint="eastAsia"/>
          <w:bCs/>
          <w:szCs w:val="21"/>
        </w:rPr>
        <w:t>（</w:t>
      </w:r>
      <w:r>
        <w:rPr>
          <w:rFonts w:hint="eastAsia"/>
          <w:bCs/>
          <w:szCs w:val="21"/>
        </w:rPr>
        <w:t>10</w:t>
      </w:r>
      <w:r>
        <w:rPr>
          <w:rFonts w:hint="eastAsia"/>
          <w:bCs/>
          <w:szCs w:val="21"/>
        </w:rPr>
        <w:t>）依照法律法规为基金的利益对被投资公司行使证券持有人权利，为基金的利益行使因基金财产投资所产生的其他权利；</w:t>
      </w:r>
    </w:p>
    <w:p w14:paraId="71F876C1" w14:textId="77777777" w:rsidR="00BF38BB" w:rsidRDefault="002837D7">
      <w:pPr>
        <w:spacing w:line="360" w:lineRule="auto"/>
        <w:ind w:firstLine="480"/>
        <w:rPr>
          <w:bCs/>
          <w:szCs w:val="21"/>
        </w:rPr>
      </w:pPr>
      <w:r>
        <w:rPr>
          <w:rFonts w:hint="eastAsia"/>
          <w:bCs/>
          <w:szCs w:val="21"/>
        </w:rPr>
        <w:t>（</w:t>
      </w:r>
      <w:r>
        <w:rPr>
          <w:rFonts w:hint="eastAsia"/>
          <w:bCs/>
          <w:szCs w:val="21"/>
        </w:rPr>
        <w:t>11</w:t>
      </w:r>
      <w:r>
        <w:rPr>
          <w:rFonts w:hint="eastAsia"/>
          <w:bCs/>
          <w:szCs w:val="21"/>
        </w:rPr>
        <w:t>）在法律法规允许的前提下，为基金的利益依法为基金进</w:t>
      </w:r>
      <w:r>
        <w:rPr>
          <w:rFonts w:hint="eastAsia"/>
          <w:bCs/>
          <w:szCs w:val="21"/>
        </w:rPr>
        <w:t>行融资及转融通证券出借业务；</w:t>
      </w:r>
    </w:p>
    <w:p w14:paraId="63F0C059" w14:textId="77777777" w:rsidR="00BF38BB" w:rsidRDefault="002837D7">
      <w:pPr>
        <w:spacing w:line="360" w:lineRule="auto"/>
        <w:ind w:firstLine="480"/>
        <w:rPr>
          <w:bCs/>
          <w:szCs w:val="21"/>
        </w:rPr>
      </w:pPr>
      <w:r>
        <w:rPr>
          <w:rFonts w:hint="eastAsia"/>
          <w:bCs/>
          <w:szCs w:val="21"/>
        </w:rPr>
        <w:t>（</w:t>
      </w:r>
      <w:r>
        <w:rPr>
          <w:rFonts w:hint="eastAsia"/>
          <w:bCs/>
          <w:szCs w:val="21"/>
        </w:rPr>
        <w:t>12</w:t>
      </w:r>
      <w:r>
        <w:rPr>
          <w:rFonts w:hint="eastAsia"/>
          <w:bCs/>
          <w:szCs w:val="21"/>
        </w:rPr>
        <w:t>）以基金管理人的名义，代表基金份额持有人的利益行使诉讼权利或者实施其他法律行为；</w:t>
      </w:r>
    </w:p>
    <w:p w14:paraId="26100873" w14:textId="77777777" w:rsidR="00BF38BB" w:rsidRDefault="002837D7">
      <w:pPr>
        <w:spacing w:line="360" w:lineRule="auto"/>
        <w:ind w:firstLine="480"/>
        <w:rPr>
          <w:bCs/>
          <w:szCs w:val="21"/>
        </w:rPr>
      </w:pPr>
      <w:r>
        <w:rPr>
          <w:rFonts w:hint="eastAsia"/>
          <w:bCs/>
          <w:szCs w:val="21"/>
        </w:rPr>
        <w:t>（</w:t>
      </w:r>
      <w:r>
        <w:rPr>
          <w:rFonts w:hint="eastAsia"/>
          <w:bCs/>
          <w:szCs w:val="21"/>
        </w:rPr>
        <w:t>13</w:t>
      </w:r>
      <w:r>
        <w:rPr>
          <w:rFonts w:hint="eastAsia"/>
          <w:bCs/>
          <w:szCs w:val="21"/>
        </w:rPr>
        <w:t>）选择、更换为本基金提供销售、支付结算、基金份额注册登记、估值、投资顾问、法律、会计、证券经纪商等服务的机构并确定相关费率，对该等服务机构的相关行为进行监督和处理；</w:t>
      </w:r>
    </w:p>
    <w:p w14:paraId="5020EFC1" w14:textId="77777777" w:rsidR="00BF38BB" w:rsidRDefault="002837D7">
      <w:pPr>
        <w:spacing w:line="360" w:lineRule="auto"/>
        <w:ind w:firstLine="480"/>
        <w:rPr>
          <w:bCs/>
          <w:szCs w:val="21"/>
        </w:rPr>
      </w:pPr>
      <w:r>
        <w:rPr>
          <w:rFonts w:hint="eastAsia"/>
          <w:bCs/>
          <w:szCs w:val="21"/>
        </w:rPr>
        <w:t>（</w:t>
      </w:r>
      <w:r>
        <w:rPr>
          <w:rFonts w:hint="eastAsia"/>
          <w:bCs/>
          <w:szCs w:val="21"/>
        </w:rPr>
        <w:t>14</w:t>
      </w:r>
      <w:r>
        <w:rPr>
          <w:rFonts w:hint="eastAsia"/>
          <w:bCs/>
          <w:szCs w:val="21"/>
        </w:rPr>
        <w:t>）在不违反法律法规的前提下，制订和调整有关基金开户、认购、申购、赎回、转换和非交易过户及其他相关业务的业务规则；</w:t>
      </w:r>
    </w:p>
    <w:p w14:paraId="1A9AA000" w14:textId="77777777" w:rsidR="00BF38BB" w:rsidRDefault="002837D7">
      <w:pPr>
        <w:spacing w:line="360" w:lineRule="auto"/>
        <w:ind w:firstLine="480"/>
        <w:rPr>
          <w:bCs/>
          <w:szCs w:val="21"/>
        </w:rPr>
      </w:pPr>
      <w:r>
        <w:rPr>
          <w:rFonts w:hint="eastAsia"/>
          <w:bCs/>
          <w:szCs w:val="21"/>
        </w:rPr>
        <w:t>（</w:t>
      </w:r>
      <w:r>
        <w:rPr>
          <w:rFonts w:hint="eastAsia"/>
          <w:bCs/>
          <w:szCs w:val="21"/>
        </w:rPr>
        <w:t>15</w:t>
      </w:r>
      <w:r>
        <w:rPr>
          <w:rFonts w:hint="eastAsia"/>
          <w:bCs/>
          <w:szCs w:val="21"/>
        </w:rPr>
        <w:t>）若本基金采用证券经纪商交易结算模式，即本基金将通过基金管理人选定的证券经纪商进行场内交易，并由</w:t>
      </w:r>
      <w:r>
        <w:rPr>
          <w:rFonts w:hint="eastAsia"/>
          <w:bCs/>
          <w:szCs w:val="21"/>
        </w:rPr>
        <w:t>选定的证券经纪商作为结算参与人代理本基金进行结算，则基金管理人、基金托管人须与选择的证券经纪商签订相关协议，约定证券经纪商应履行的相关交易结算和交易监控等职责；</w:t>
      </w:r>
    </w:p>
    <w:p w14:paraId="38F8CE28" w14:textId="77777777" w:rsidR="00BF38BB" w:rsidRDefault="002837D7">
      <w:pPr>
        <w:spacing w:line="360" w:lineRule="auto"/>
        <w:ind w:firstLine="480"/>
        <w:rPr>
          <w:bCs/>
          <w:szCs w:val="21"/>
        </w:rPr>
      </w:pPr>
      <w:r>
        <w:rPr>
          <w:rFonts w:hint="eastAsia"/>
          <w:bCs/>
          <w:szCs w:val="21"/>
        </w:rPr>
        <w:t>（</w:t>
      </w:r>
      <w:r>
        <w:rPr>
          <w:rFonts w:hint="eastAsia"/>
          <w:bCs/>
          <w:szCs w:val="21"/>
        </w:rPr>
        <w:t>16</w:t>
      </w:r>
      <w:r>
        <w:rPr>
          <w:rFonts w:hint="eastAsia"/>
          <w:bCs/>
          <w:szCs w:val="21"/>
        </w:rPr>
        <w:t>）法律法规或中国证监会或基金合同规定的其他权利。</w:t>
      </w:r>
    </w:p>
    <w:p w14:paraId="3C09AA2D" w14:textId="77777777" w:rsidR="00BF38BB" w:rsidRDefault="002837D7">
      <w:pPr>
        <w:spacing w:line="360" w:lineRule="auto"/>
        <w:ind w:firstLine="480"/>
        <w:rPr>
          <w:bCs/>
          <w:szCs w:val="21"/>
        </w:rPr>
      </w:pPr>
      <w:r>
        <w:rPr>
          <w:rFonts w:hint="eastAsia"/>
          <w:bCs/>
          <w:szCs w:val="21"/>
        </w:rPr>
        <w:t>2</w:t>
      </w:r>
      <w:r>
        <w:rPr>
          <w:rFonts w:hint="eastAsia"/>
          <w:bCs/>
          <w:szCs w:val="21"/>
        </w:rPr>
        <w:t>、根据《基金法》、《运作办法》及其他有关规定，基金管理人的义务包括但不限于：</w:t>
      </w:r>
    </w:p>
    <w:p w14:paraId="59D24B6D" w14:textId="77777777" w:rsidR="00BF38BB" w:rsidRDefault="002837D7">
      <w:pPr>
        <w:spacing w:line="360" w:lineRule="auto"/>
        <w:ind w:firstLine="480"/>
        <w:rPr>
          <w:bCs/>
          <w:szCs w:val="21"/>
        </w:rPr>
      </w:pPr>
      <w:r>
        <w:rPr>
          <w:rFonts w:hint="eastAsia"/>
          <w:bCs/>
          <w:szCs w:val="21"/>
        </w:rPr>
        <w:t>（</w:t>
      </w:r>
      <w:r>
        <w:rPr>
          <w:rFonts w:hint="eastAsia"/>
          <w:bCs/>
          <w:szCs w:val="21"/>
        </w:rPr>
        <w:t>1</w:t>
      </w:r>
      <w:r>
        <w:rPr>
          <w:rFonts w:hint="eastAsia"/>
          <w:bCs/>
          <w:szCs w:val="21"/>
        </w:rPr>
        <w:t>）依法募集资金，办理或者委托经中国证监会认定的其他机构代为办理基金份额的发售、申购、赎</w:t>
      </w:r>
      <w:r>
        <w:rPr>
          <w:rFonts w:hint="eastAsia"/>
          <w:bCs/>
          <w:szCs w:val="21"/>
        </w:rPr>
        <w:lastRenderedPageBreak/>
        <w:t>回和登记事宜；</w:t>
      </w:r>
    </w:p>
    <w:p w14:paraId="73A46E95" w14:textId="77777777" w:rsidR="00BF38BB" w:rsidRDefault="002837D7">
      <w:pPr>
        <w:spacing w:line="360" w:lineRule="auto"/>
        <w:ind w:firstLine="480"/>
        <w:rPr>
          <w:bCs/>
          <w:szCs w:val="21"/>
        </w:rPr>
      </w:pPr>
      <w:r>
        <w:rPr>
          <w:rFonts w:hint="eastAsia"/>
          <w:bCs/>
          <w:szCs w:val="21"/>
        </w:rPr>
        <w:t>（</w:t>
      </w:r>
      <w:r>
        <w:rPr>
          <w:rFonts w:hint="eastAsia"/>
          <w:bCs/>
          <w:szCs w:val="21"/>
        </w:rPr>
        <w:t>2</w:t>
      </w:r>
      <w:r>
        <w:rPr>
          <w:rFonts w:hint="eastAsia"/>
          <w:bCs/>
          <w:szCs w:val="21"/>
        </w:rPr>
        <w:t>）办理基金备案手续；</w:t>
      </w:r>
    </w:p>
    <w:p w14:paraId="0633501B" w14:textId="77777777" w:rsidR="00BF38BB" w:rsidRDefault="002837D7">
      <w:pPr>
        <w:spacing w:line="360" w:lineRule="auto"/>
        <w:ind w:firstLine="480"/>
        <w:rPr>
          <w:bCs/>
          <w:szCs w:val="21"/>
        </w:rPr>
      </w:pPr>
      <w:r>
        <w:rPr>
          <w:rFonts w:hint="eastAsia"/>
          <w:bCs/>
          <w:szCs w:val="21"/>
        </w:rPr>
        <w:t>（</w:t>
      </w:r>
      <w:r>
        <w:rPr>
          <w:rFonts w:hint="eastAsia"/>
          <w:bCs/>
          <w:szCs w:val="21"/>
        </w:rPr>
        <w:t>3</w:t>
      </w:r>
      <w:r>
        <w:rPr>
          <w:rFonts w:hint="eastAsia"/>
          <w:bCs/>
          <w:szCs w:val="21"/>
        </w:rPr>
        <w:t>）自基金合同生效之日起，以诚实信用、谨慎勤勉的原则管理和运用基金财产；</w:t>
      </w:r>
    </w:p>
    <w:p w14:paraId="7994C697" w14:textId="77777777" w:rsidR="00BF38BB" w:rsidRDefault="002837D7">
      <w:pPr>
        <w:spacing w:line="360" w:lineRule="auto"/>
        <w:ind w:firstLine="480"/>
        <w:rPr>
          <w:bCs/>
          <w:szCs w:val="21"/>
        </w:rPr>
      </w:pPr>
      <w:r>
        <w:rPr>
          <w:rFonts w:hint="eastAsia"/>
          <w:bCs/>
          <w:szCs w:val="21"/>
        </w:rPr>
        <w:t>（</w:t>
      </w:r>
      <w:r>
        <w:rPr>
          <w:rFonts w:hint="eastAsia"/>
          <w:bCs/>
          <w:szCs w:val="21"/>
        </w:rPr>
        <w:t>4</w:t>
      </w:r>
      <w:r>
        <w:rPr>
          <w:rFonts w:hint="eastAsia"/>
          <w:bCs/>
          <w:szCs w:val="21"/>
        </w:rPr>
        <w:t>）</w:t>
      </w:r>
      <w:r>
        <w:rPr>
          <w:rFonts w:hint="eastAsia"/>
          <w:bCs/>
          <w:szCs w:val="21"/>
        </w:rPr>
        <w:t>配备足够的具有专业资格的人员进行基金投资分析、决策，以专业化的经营方式管理和运作基金财产；</w:t>
      </w:r>
    </w:p>
    <w:p w14:paraId="5B938431" w14:textId="77777777" w:rsidR="00BF38BB" w:rsidRDefault="002837D7">
      <w:pPr>
        <w:spacing w:line="360" w:lineRule="auto"/>
        <w:ind w:firstLine="480"/>
        <w:rPr>
          <w:bCs/>
          <w:szCs w:val="21"/>
        </w:rPr>
      </w:pPr>
      <w:r>
        <w:rPr>
          <w:rFonts w:hint="eastAsia"/>
          <w:bCs/>
          <w:szCs w:val="21"/>
        </w:rPr>
        <w:t>（</w:t>
      </w:r>
      <w:r>
        <w:rPr>
          <w:rFonts w:hint="eastAsia"/>
          <w:bCs/>
          <w:szCs w:val="21"/>
        </w:rPr>
        <w:t>5</w:t>
      </w:r>
      <w:r>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45433706" w14:textId="77777777" w:rsidR="00BF38BB" w:rsidRDefault="002837D7">
      <w:pPr>
        <w:spacing w:line="360" w:lineRule="auto"/>
        <w:ind w:firstLine="480"/>
        <w:rPr>
          <w:bCs/>
          <w:szCs w:val="21"/>
        </w:rPr>
      </w:pPr>
      <w:r>
        <w:rPr>
          <w:rFonts w:hint="eastAsia"/>
          <w:bCs/>
          <w:szCs w:val="21"/>
        </w:rPr>
        <w:t>（</w:t>
      </w:r>
      <w:r>
        <w:rPr>
          <w:rFonts w:hint="eastAsia"/>
          <w:bCs/>
          <w:szCs w:val="21"/>
        </w:rPr>
        <w:t>6</w:t>
      </w:r>
      <w:r>
        <w:rPr>
          <w:rFonts w:hint="eastAsia"/>
          <w:bCs/>
          <w:szCs w:val="21"/>
        </w:rPr>
        <w:t>）除依据《基金法》、基金合同及其他有关规定外，不得利用基金财产为自己及任何第三人谋取利益，不得委托第三人运作基金财产；</w:t>
      </w:r>
    </w:p>
    <w:p w14:paraId="3EA2B83F" w14:textId="77777777" w:rsidR="00BF38BB" w:rsidRDefault="002837D7">
      <w:pPr>
        <w:spacing w:line="360" w:lineRule="auto"/>
        <w:ind w:firstLine="480"/>
        <w:rPr>
          <w:bCs/>
          <w:szCs w:val="21"/>
        </w:rPr>
      </w:pPr>
      <w:r>
        <w:rPr>
          <w:rFonts w:hint="eastAsia"/>
          <w:bCs/>
          <w:szCs w:val="21"/>
        </w:rPr>
        <w:t>（</w:t>
      </w:r>
      <w:r>
        <w:rPr>
          <w:rFonts w:hint="eastAsia"/>
          <w:bCs/>
          <w:szCs w:val="21"/>
        </w:rPr>
        <w:t>7</w:t>
      </w:r>
      <w:r>
        <w:rPr>
          <w:rFonts w:hint="eastAsia"/>
          <w:bCs/>
          <w:szCs w:val="21"/>
        </w:rPr>
        <w:t>）依法接受基金托管人的监督；</w:t>
      </w:r>
    </w:p>
    <w:p w14:paraId="03832547" w14:textId="77777777" w:rsidR="00BF38BB" w:rsidRDefault="002837D7">
      <w:pPr>
        <w:spacing w:line="360" w:lineRule="auto"/>
        <w:ind w:firstLine="480"/>
        <w:rPr>
          <w:bCs/>
          <w:szCs w:val="21"/>
        </w:rPr>
      </w:pPr>
      <w:r>
        <w:rPr>
          <w:rFonts w:hint="eastAsia"/>
          <w:bCs/>
          <w:szCs w:val="21"/>
        </w:rPr>
        <w:t>（</w:t>
      </w:r>
      <w:r>
        <w:rPr>
          <w:rFonts w:hint="eastAsia"/>
          <w:bCs/>
          <w:szCs w:val="21"/>
        </w:rPr>
        <w:t>8</w:t>
      </w:r>
      <w:r>
        <w:rPr>
          <w:rFonts w:hint="eastAsia"/>
          <w:bCs/>
          <w:szCs w:val="21"/>
        </w:rPr>
        <w:t>）采取适当合理的措施使计算基金份额认购、申购、赎回和注销价格的方法符合基金合同等法律文件的</w:t>
      </w:r>
      <w:r>
        <w:rPr>
          <w:rFonts w:hint="eastAsia"/>
          <w:bCs/>
          <w:szCs w:val="21"/>
        </w:rPr>
        <w:t>规定，按有关规定计算并公告基金净值信息，确定基金份额申购、赎回的价格；</w:t>
      </w:r>
    </w:p>
    <w:p w14:paraId="5939C6D8" w14:textId="77777777" w:rsidR="00BF38BB" w:rsidRDefault="002837D7">
      <w:pPr>
        <w:spacing w:line="360" w:lineRule="auto"/>
        <w:ind w:firstLine="480"/>
        <w:rPr>
          <w:bCs/>
          <w:szCs w:val="21"/>
        </w:rPr>
      </w:pPr>
      <w:r>
        <w:rPr>
          <w:rFonts w:hint="eastAsia"/>
          <w:bCs/>
          <w:szCs w:val="21"/>
        </w:rPr>
        <w:t>（</w:t>
      </w:r>
      <w:r>
        <w:rPr>
          <w:rFonts w:hint="eastAsia"/>
          <w:bCs/>
          <w:szCs w:val="21"/>
        </w:rPr>
        <w:t>9</w:t>
      </w:r>
      <w:r>
        <w:rPr>
          <w:rFonts w:hint="eastAsia"/>
          <w:bCs/>
          <w:szCs w:val="21"/>
        </w:rPr>
        <w:t>）进行基金会计核算并编制基金财务会计报告；</w:t>
      </w:r>
    </w:p>
    <w:p w14:paraId="188E3333" w14:textId="77777777" w:rsidR="00BF38BB" w:rsidRDefault="002837D7">
      <w:pPr>
        <w:spacing w:line="360" w:lineRule="auto"/>
        <w:ind w:firstLine="480"/>
        <w:rPr>
          <w:bCs/>
          <w:szCs w:val="21"/>
        </w:rPr>
      </w:pPr>
      <w:r>
        <w:rPr>
          <w:rFonts w:hint="eastAsia"/>
          <w:bCs/>
          <w:szCs w:val="21"/>
        </w:rPr>
        <w:t>（</w:t>
      </w:r>
      <w:r>
        <w:rPr>
          <w:rFonts w:hint="eastAsia"/>
          <w:bCs/>
          <w:szCs w:val="21"/>
        </w:rPr>
        <w:t>10</w:t>
      </w:r>
      <w:r>
        <w:rPr>
          <w:rFonts w:hint="eastAsia"/>
          <w:bCs/>
          <w:szCs w:val="21"/>
        </w:rPr>
        <w:t>）按照法律规定要求编制季度报告、中期报告和年度报告；</w:t>
      </w:r>
    </w:p>
    <w:p w14:paraId="224EE021" w14:textId="77777777" w:rsidR="00BF38BB" w:rsidRDefault="002837D7">
      <w:pPr>
        <w:spacing w:line="360" w:lineRule="auto"/>
        <w:ind w:firstLine="480"/>
        <w:rPr>
          <w:bCs/>
          <w:szCs w:val="21"/>
        </w:rPr>
      </w:pPr>
      <w:r>
        <w:rPr>
          <w:rFonts w:hint="eastAsia"/>
          <w:bCs/>
          <w:szCs w:val="21"/>
        </w:rPr>
        <w:t>（</w:t>
      </w:r>
      <w:r>
        <w:rPr>
          <w:rFonts w:hint="eastAsia"/>
          <w:bCs/>
          <w:szCs w:val="21"/>
        </w:rPr>
        <w:t>11</w:t>
      </w:r>
      <w:r>
        <w:rPr>
          <w:rFonts w:hint="eastAsia"/>
          <w:bCs/>
          <w:szCs w:val="21"/>
        </w:rPr>
        <w:t>）</w:t>
      </w:r>
      <w:r>
        <w:rPr>
          <w:rFonts w:hint="eastAsia"/>
          <w:bCs/>
          <w:szCs w:val="21"/>
        </w:rPr>
        <w:tab/>
      </w:r>
      <w:r>
        <w:rPr>
          <w:rFonts w:hint="eastAsia"/>
          <w:bCs/>
          <w:szCs w:val="21"/>
        </w:rPr>
        <w:t>严格按照《基金法》、基金合同及其他有关规定，履行信息披露及报告义务；</w:t>
      </w:r>
    </w:p>
    <w:p w14:paraId="46F91918" w14:textId="77777777" w:rsidR="00BF38BB" w:rsidRDefault="002837D7">
      <w:pPr>
        <w:spacing w:line="360" w:lineRule="auto"/>
        <w:ind w:firstLine="480"/>
        <w:rPr>
          <w:bCs/>
          <w:szCs w:val="21"/>
        </w:rPr>
      </w:pPr>
      <w:r>
        <w:rPr>
          <w:rFonts w:hint="eastAsia"/>
          <w:bCs/>
          <w:szCs w:val="21"/>
        </w:rPr>
        <w:t>（</w:t>
      </w:r>
      <w:r>
        <w:rPr>
          <w:rFonts w:hint="eastAsia"/>
          <w:bCs/>
          <w:szCs w:val="21"/>
        </w:rPr>
        <w:t>12</w:t>
      </w:r>
      <w:r>
        <w:rPr>
          <w:rFonts w:hint="eastAsia"/>
          <w:bCs/>
          <w:szCs w:val="21"/>
        </w:rPr>
        <w:t>）保守基金商业秘密，不泄露基金投资计划、投资意向等。除《基金法》、基金合同及其他有关规定另有规定或有权机关另有要求外，在基金信息公开披露前应予保密，不向他人泄露，但向审计、法律等外部专业顾问提供的除外；</w:t>
      </w:r>
    </w:p>
    <w:p w14:paraId="5D449604" w14:textId="77777777" w:rsidR="00BF38BB" w:rsidRDefault="002837D7">
      <w:pPr>
        <w:spacing w:line="360" w:lineRule="auto"/>
        <w:ind w:firstLine="480"/>
        <w:rPr>
          <w:bCs/>
          <w:szCs w:val="21"/>
        </w:rPr>
      </w:pPr>
      <w:r>
        <w:rPr>
          <w:rFonts w:hint="eastAsia"/>
          <w:bCs/>
          <w:szCs w:val="21"/>
        </w:rPr>
        <w:t>（</w:t>
      </w:r>
      <w:r>
        <w:rPr>
          <w:rFonts w:hint="eastAsia"/>
          <w:bCs/>
          <w:szCs w:val="21"/>
        </w:rPr>
        <w:t>13</w:t>
      </w:r>
      <w:r>
        <w:rPr>
          <w:rFonts w:hint="eastAsia"/>
          <w:bCs/>
          <w:szCs w:val="21"/>
        </w:rPr>
        <w:t>）按基金合同的约定确定基金收益分配方</w:t>
      </w:r>
      <w:r>
        <w:rPr>
          <w:rFonts w:hint="eastAsia"/>
          <w:bCs/>
          <w:szCs w:val="21"/>
        </w:rPr>
        <w:t>案，及时向基金份额持有人分配基金收益；</w:t>
      </w:r>
    </w:p>
    <w:p w14:paraId="2B3C11AA" w14:textId="77777777" w:rsidR="00BF38BB" w:rsidRDefault="002837D7">
      <w:pPr>
        <w:spacing w:line="360" w:lineRule="auto"/>
        <w:ind w:firstLine="480"/>
        <w:rPr>
          <w:bCs/>
          <w:szCs w:val="21"/>
        </w:rPr>
      </w:pPr>
      <w:r>
        <w:rPr>
          <w:rFonts w:hint="eastAsia"/>
          <w:bCs/>
          <w:szCs w:val="21"/>
        </w:rPr>
        <w:t>（</w:t>
      </w:r>
      <w:r>
        <w:rPr>
          <w:rFonts w:hint="eastAsia"/>
          <w:bCs/>
          <w:szCs w:val="21"/>
        </w:rPr>
        <w:t>14</w:t>
      </w:r>
      <w:r>
        <w:rPr>
          <w:rFonts w:hint="eastAsia"/>
          <w:bCs/>
          <w:szCs w:val="21"/>
        </w:rPr>
        <w:t>）按规定受理申购与赎回申请，及时、足额支付赎回款项；</w:t>
      </w:r>
    </w:p>
    <w:p w14:paraId="3A7E640D" w14:textId="77777777" w:rsidR="00BF38BB" w:rsidRDefault="002837D7">
      <w:pPr>
        <w:spacing w:line="360" w:lineRule="auto"/>
        <w:ind w:firstLine="480"/>
        <w:rPr>
          <w:bCs/>
          <w:szCs w:val="21"/>
        </w:rPr>
      </w:pPr>
      <w:r>
        <w:rPr>
          <w:rFonts w:hint="eastAsia"/>
          <w:bCs/>
          <w:szCs w:val="21"/>
        </w:rPr>
        <w:t>（</w:t>
      </w:r>
      <w:r>
        <w:rPr>
          <w:rFonts w:hint="eastAsia"/>
          <w:bCs/>
          <w:szCs w:val="21"/>
        </w:rPr>
        <w:t>15</w:t>
      </w:r>
      <w:r>
        <w:rPr>
          <w:rFonts w:hint="eastAsia"/>
          <w:bCs/>
          <w:szCs w:val="21"/>
        </w:rPr>
        <w:t>）依据《基金法》、基金合同及其他有关规定召集基金份额持有人大会或配合基金托管人、基金份额持有人依法召集基金份额持有人大会；</w:t>
      </w:r>
    </w:p>
    <w:p w14:paraId="1DD11088" w14:textId="77777777" w:rsidR="00BF38BB" w:rsidRDefault="002837D7">
      <w:pPr>
        <w:spacing w:line="360" w:lineRule="auto"/>
        <w:ind w:firstLine="480"/>
        <w:rPr>
          <w:bCs/>
          <w:szCs w:val="21"/>
        </w:rPr>
      </w:pPr>
      <w:r>
        <w:rPr>
          <w:rFonts w:hint="eastAsia"/>
          <w:bCs/>
          <w:szCs w:val="21"/>
        </w:rPr>
        <w:t>（</w:t>
      </w:r>
      <w:r>
        <w:rPr>
          <w:rFonts w:hint="eastAsia"/>
          <w:bCs/>
          <w:szCs w:val="21"/>
        </w:rPr>
        <w:t>16</w:t>
      </w:r>
      <w:r>
        <w:rPr>
          <w:rFonts w:hint="eastAsia"/>
          <w:bCs/>
          <w:szCs w:val="21"/>
        </w:rPr>
        <w:t>）按规定保存基金财产管理业务活动的会计账册、报表、记录和其他相关资料，保存期限不低于法律法规规定的最低年限；</w:t>
      </w:r>
    </w:p>
    <w:p w14:paraId="7873E1A8" w14:textId="77777777" w:rsidR="00BF38BB" w:rsidRDefault="002837D7">
      <w:pPr>
        <w:spacing w:line="360" w:lineRule="auto"/>
        <w:ind w:firstLine="480"/>
        <w:rPr>
          <w:bCs/>
          <w:szCs w:val="21"/>
        </w:rPr>
      </w:pPr>
      <w:r>
        <w:rPr>
          <w:rFonts w:hint="eastAsia"/>
          <w:bCs/>
          <w:szCs w:val="21"/>
        </w:rPr>
        <w:t>（</w:t>
      </w:r>
      <w:r>
        <w:rPr>
          <w:rFonts w:hint="eastAsia"/>
          <w:bCs/>
          <w:szCs w:val="21"/>
        </w:rPr>
        <w:t>17</w:t>
      </w:r>
      <w:r>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0A4E956" w14:textId="77777777" w:rsidR="00BF38BB" w:rsidRDefault="002837D7">
      <w:pPr>
        <w:spacing w:line="360" w:lineRule="auto"/>
        <w:ind w:firstLine="480"/>
        <w:rPr>
          <w:bCs/>
          <w:szCs w:val="21"/>
        </w:rPr>
      </w:pPr>
      <w:r>
        <w:rPr>
          <w:rFonts w:hint="eastAsia"/>
          <w:bCs/>
          <w:szCs w:val="21"/>
        </w:rPr>
        <w:t>（</w:t>
      </w:r>
      <w:r>
        <w:rPr>
          <w:rFonts w:hint="eastAsia"/>
          <w:bCs/>
          <w:szCs w:val="21"/>
        </w:rPr>
        <w:t>18</w:t>
      </w:r>
      <w:r>
        <w:rPr>
          <w:rFonts w:hint="eastAsia"/>
          <w:bCs/>
          <w:szCs w:val="21"/>
        </w:rPr>
        <w:t>）组织并参加基金财产清算小组，参与基金财产的保管、清理、估价、变现和分配；</w:t>
      </w:r>
    </w:p>
    <w:p w14:paraId="21985319" w14:textId="77777777" w:rsidR="00BF38BB" w:rsidRDefault="002837D7">
      <w:pPr>
        <w:spacing w:line="360" w:lineRule="auto"/>
        <w:ind w:firstLine="480"/>
        <w:rPr>
          <w:bCs/>
          <w:szCs w:val="21"/>
        </w:rPr>
      </w:pPr>
      <w:r>
        <w:rPr>
          <w:rFonts w:hint="eastAsia"/>
          <w:bCs/>
          <w:szCs w:val="21"/>
        </w:rPr>
        <w:t>（</w:t>
      </w:r>
      <w:r>
        <w:rPr>
          <w:rFonts w:hint="eastAsia"/>
          <w:bCs/>
          <w:szCs w:val="21"/>
        </w:rPr>
        <w:t>19</w:t>
      </w:r>
      <w:r>
        <w:rPr>
          <w:rFonts w:hint="eastAsia"/>
          <w:bCs/>
          <w:szCs w:val="21"/>
        </w:rPr>
        <w:t>）面临解散、依法被撤销或者被依法宣告破产时，及时报告中国证监会并通知基金托管人；</w:t>
      </w:r>
    </w:p>
    <w:p w14:paraId="6BB8AB2A" w14:textId="77777777" w:rsidR="00BF38BB" w:rsidRDefault="002837D7">
      <w:pPr>
        <w:spacing w:line="360" w:lineRule="auto"/>
        <w:ind w:firstLine="480"/>
        <w:rPr>
          <w:bCs/>
          <w:szCs w:val="21"/>
        </w:rPr>
      </w:pPr>
      <w:r>
        <w:rPr>
          <w:rFonts w:hint="eastAsia"/>
          <w:bCs/>
          <w:szCs w:val="21"/>
        </w:rPr>
        <w:t>（</w:t>
      </w:r>
      <w:r>
        <w:rPr>
          <w:rFonts w:hint="eastAsia"/>
          <w:bCs/>
          <w:szCs w:val="21"/>
        </w:rPr>
        <w:t>20</w:t>
      </w:r>
      <w:r>
        <w:rPr>
          <w:rFonts w:hint="eastAsia"/>
          <w:bCs/>
          <w:szCs w:val="21"/>
        </w:rPr>
        <w:t>）因违反基金合同导致基金财产的损失或损害基金份额持有人合法权益时，应当承担赔偿责任，</w:t>
      </w:r>
      <w:r>
        <w:rPr>
          <w:rFonts w:hint="eastAsia"/>
          <w:bCs/>
          <w:szCs w:val="21"/>
        </w:rPr>
        <w:lastRenderedPageBreak/>
        <w:t>其赔偿责任不因其退任而免除；</w:t>
      </w:r>
    </w:p>
    <w:p w14:paraId="268B563B" w14:textId="77777777" w:rsidR="00BF38BB" w:rsidRDefault="002837D7">
      <w:pPr>
        <w:spacing w:line="360" w:lineRule="auto"/>
        <w:ind w:firstLine="480"/>
        <w:rPr>
          <w:bCs/>
          <w:szCs w:val="21"/>
        </w:rPr>
      </w:pPr>
      <w:r>
        <w:rPr>
          <w:rFonts w:hint="eastAsia"/>
          <w:bCs/>
          <w:szCs w:val="21"/>
        </w:rPr>
        <w:t>（</w:t>
      </w:r>
      <w:r>
        <w:rPr>
          <w:rFonts w:hint="eastAsia"/>
          <w:bCs/>
          <w:szCs w:val="21"/>
        </w:rPr>
        <w:t>21</w:t>
      </w:r>
      <w:r>
        <w:rPr>
          <w:rFonts w:hint="eastAsia"/>
          <w:bCs/>
          <w:szCs w:val="21"/>
        </w:rPr>
        <w:t>）监督基金托管人按法律法规和基金合同规定履行自己的义务，基金托管人违反基金合同造成基金财产损失时，基金管理人应为基金份额持有人利益向基金托管人追偿；</w:t>
      </w:r>
    </w:p>
    <w:p w14:paraId="4A77E588" w14:textId="77777777" w:rsidR="00BF38BB" w:rsidRDefault="002837D7">
      <w:pPr>
        <w:spacing w:line="360" w:lineRule="auto"/>
        <w:ind w:firstLine="480"/>
        <w:rPr>
          <w:bCs/>
          <w:szCs w:val="21"/>
        </w:rPr>
      </w:pPr>
      <w:r>
        <w:rPr>
          <w:rFonts w:hint="eastAsia"/>
          <w:bCs/>
          <w:szCs w:val="21"/>
        </w:rPr>
        <w:t>（</w:t>
      </w:r>
      <w:r>
        <w:rPr>
          <w:rFonts w:hint="eastAsia"/>
          <w:bCs/>
          <w:szCs w:val="21"/>
        </w:rPr>
        <w:t>22</w:t>
      </w:r>
      <w:r>
        <w:rPr>
          <w:rFonts w:hint="eastAsia"/>
          <w:bCs/>
          <w:szCs w:val="21"/>
        </w:rPr>
        <w:t>）当基金管理人将其义务委托第三方处理时，应当对第三方处理有关基金事务的行为承担责任；</w:t>
      </w:r>
    </w:p>
    <w:p w14:paraId="74AD72E9" w14:textId="77777777" w:rsidR="00BF38BB" w:rsidRDefault="002837D7">
      <w:pPr>
        <w:spacing w:line="360" w:lineRule="auto"/>
        <w:ind w:firstLine="480"/>
        <w:rPr>
          <w:bCs/>
          <w:szCs w:val="21"/>
        </w:rPr>
      </w:pPr>
      <w:r>
        <w:rPr>
          <w:rFonts w:hint="eastAsia"/>
          <w:bCs/>
          <w:szCs w:val="21"/>
        </w:rPr>
        <w:t>（</w:t>
      </w:r>
      <w:r>
        <w:rPr>
          <w:rFonts w:hint="eastAsia"/>
          <w:bCs/>
          <w:szCs w:val="21"/>
        </w:rPr>
        <w:t>23</w:t>
      </w:r>
      <w:r>
        <w:rPr>
          <w:rFonts w:hint="eastAsia"/>
          <w:bCs/>
          <w:szCs w:val="21"/>
        </w:rPr>
        <w:t>）以基金管理人名义，代表基金份额持有人利益行使诉讼权利或实施其他法律行为；</w:t>
      </w:r>
      <w:r>
        <w:rPr>
          <w:rFonts w:hint="eastAsia"/>
          <w:bCs/>
          <w:szCs w:val="21"/>
        </w:rPr>
        <w:tab/>
      </w:r>
    </w:p>
    <w:p w14:paraId="3D1E530D" w14:textId="77777777" w:rsidR="00BF38BB" w:rsidRDefault="002837D7">
      <w:pPr>
        <w:spacing w:line="360" w:lineRule="auto"/>
        <w:ind w:firstLine="480"/>
        <w:rPr>
          <w:bCs/>
          <w:szCs w:val="21"/>
        </w:rPr>
      </w:pPr>
      <w:r>
        <w:rPr>
          <w:rFonts w:hint="eastAsia"/>
          <w:bCs/>
          <w:szCs w:val="21"/>
        </w:rPr>
        <w:t>（</w:t>
      </w:r>
      <w:r>
        <w:rPr>
          <w:rFonts w:hint="eastAsia"/>
          <w:bCs/>
          <w:szCs w:val="21"/>
        </w:rPr>
        <w:t>24</w:t>
      </w:r>
      <w:r>
        <w:rPr>
          <w:rFonts w:hint="eastAsia"/>
          <w:bCs/>
          <w:szCs w:val="21"/>
        </w:rPr>
        <w:t>）基金管理人在募集期满未能达到基金的备案条件，基金合同不能生效，基金管理人应当将已募集资金并加计银行同期活期存款利息在基金募集期结束后</w:t>
      </w:r>
      <w:r>
        <w:rPr>
          <w:rFonts w:hint="eastAsia"/>
          <w:bCs/>
          <w:szCs w:val="21"/>
        </w:rPr>
        <w:t>30</w:t>
      </w:r>
      <w:r>
        <w:rPr>
          <w:rFonts w:hint="eastAsia"/>
          <w:bCs/>
          <w:szCs w:val="21"/>
        </w:rPr>
        <w:t>日内退还基金认购人；</w:t>
      </w:r>
    </w:p>
    <w:p w14:paraId="4F64DDAF" w14:textId="77777777" w:rsidR="00BF38BB" w:rsidRDefault="002837D7">
      <w:pPr>
        <w:spacing w:line="360" w:lineRule="auto"/>
        <w:ind w:firstLine="480"/>
        <w:rPr>
          <w:bCs/>
          <w:szCs w:val="21"/>
        </w:rPr>
      </w:pPr>
      <w:r>
        <w:rPr>
          <w:rFonts w:hint="eastAsia"/>
          <w:bCs/>
          <w:szCs w:val="21"/>
        </w:rPr>
        <w:t>（</w:t>
      </w:r>
      <w:r>
        <w:rPr>
          <w:rFonts w:hint="eastAsia"/>
          <w:bCs/>
          <w:szCs w:val="21"/>
        </w:rPr>
        <w:t>25</w:t>
      </w:r>
      <w:r>
        <w:rPr>
          <w:rFonts w:hint="eastAsia"/>
          <w:bCs/>
          <w:szCs w:val="21"/>
        </w:rPr>
        <w:t>）执行生</w:t>
      </w:r>
      <w:r>
        <w:rPr>
          <w:rFonts w:hint="eastAsia"/>
          <w:bCs/>
          <w:szCs w:val="21"/>
        </w:rPr>
        <w:t>效的基金份额持有人大会的决议；</w:t>
      </w:r>
    </w:p>
    <w:p w14:paraId="6B9952BF" w14:textId="77777777" w:rsidR="00BF38BB" w:rsidRDefault="002837D7">
      <w:pPr>
        <w:spacing w:line="360" w:lineRule="auto"/>
        <w:ind w:firstLine="480"/>
        <w:rPr>
          <w:bCs/>
          <w:szCs w:val="21"/>
        </w:rPr>
      </w:pPr>
      <w:r>
        <w:rPr>
          <w:rFonts w:hint="eastAsia"/>
          <w:bCs/>
          <w:szCs w:val="21"/>
        </w:rPr>
        <w:t>（</w:t>
      </w:r>
      <w:r>
        <w:rPr>
          <w:rFonts w:hint="eastAsia"/>
          <w:bCs/>
          <w:szCs w:val="21"/>
        </w:rPr>
        <w:t>26</w:t>
      </w:r>
      <w:r>
        <w:rPr>
          <w:rFonts w:hint="eastAsia"/>
          <w:bCs/>
          <w:szCs w:val="21"/>
        </w:rPr>
        <w:t>）建立并保存基金份额持有人名册；</w:t>
      </w:r>
    </w:p>
    <w:p w14:paraId="740850DC" w14:textId="77777777" w:rsidR="00BF38BB" w:rsidRDefault="002837D7">
      <w:pPr>
        <w:spacing w:line="360" w:lineRule="auto"/>
        <w:ind w:firstLine="480"/>
        <w:rPr>
          <w:bCs/>
          <w:szCs w:val="21"/>
        </w:rPr>
      </w:pPr>
      <w:r>
        <w:rPr>
          <w:rFonts w:hint="eastAsia"/>
          <w:bCs/>
          <w:szCs w:val="21"/>
        </w:rPr>
        <w:t>（</w:t>
      </w:r>
      <w:r>
        <w:rPr>
          <w:rFonts w:hint="eastAsia"/>
          <w:bCs/>
          <w:szCs w:val="21"/>
        </w:rPr>
        <w:t>27</w:t>
      </w:r>
      <w:r>
        <w:rPr>
          <w:rFonts w:hint="eastAsia"/>
          <w:bCs/>
          <w:szCs w:val="21"/>
        </w:rPr>
        <w:t>）按照《中华人民共和国反洗钱法》等有关反洗钱的法律法规和监管要求履行反洗钱义务；</w:t>
      </w:r>
    </w:p>
    <w:p w14:paraId="7E130247" w14:textId="77777777" w:rsidR="00BF38BB" w:rsidRDefault="002837D7">
      <w:pPr>
        <w:spacing w:line="360" w:lineRule="auto"/>
        <w:ind w:firstLine="480"/>
        <w:rPr>
          <w:bCs/>
          <w:szCs w:val="21"/>
        </w:rPr>
      </w:pPr>
      <w:r>
        <w:rPr>
          <w:rFonts w:hint="eastAsia"/>
          <w:bCs/>
          <w:szCs w:val="21"/>
        </w:rPr>
        <w:t>（</w:t>
      </w:r>
      <w:r>
        <w:rPr>
          <w:rFonts w:hint="eastAsia"/>
          <w:bCs/>
          <w:szCs w:val="21"/>
        </w:rPr>
        <w:t>28</w:t>
      </w:r>
      <w:r>
        <w:rPr>
          <w:rFonts w:hint="eastAsia"/>
          <w:bCs/>
          <w:szCs w:val="21"/>
        </w:rPr>
        <w:t>）法律法规或中国证监会或基金合同规定的其他义务。</w:t>
      </w:r>
    </w:p>
    <w:p w14:paraId="3A4B4F76" w14:textId="77777777" w:rsidR="00BF38BB" w:rsidRDefault="002837D7">
      <w:pPr>
        <w:spacing w:line="360" w:lineRule="auto"/>
        <w:ind w:firstLine="480"/>
        <w:rPr>
          <w:bCs/>
          <w:szCs w:val="21"/>
        </w:rPr>
      </w:pPr>
      <w:r>
        <w:rPr>
          <w:rFonts w:hint="eastAsia"/>
          <w:bCs/>
          <w:szCs w:val="21"/>
        </w:rPr>
        <w:t>三</w:t>
      </w:r>
      <w:r>
        <w:rPr>
          <w:bCs/>
          <w:szCs w:val="21"/>
        </w:rPr>
        <w:t>）基金托管人的权利与义务</w:t>
      </w:r>
    </w:p>
    <w:p w14:paraId="76342A78"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、根据《基金法》、《运作办法》及其他有关规定，基金托管人的权利包括但不限于：</w:t>
      </w:r>
    </w:p>
    <w:p w14:paraId="4A4E3E2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）自基金合同生效之日起，依法律法规和基金合同的规定安全保管基金财产；</w:t>
      </w:r>
    </w:p>
    <w:p w14:paraId="36B3EC2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）依基金合同约定获得基金托管费以及法律法规规定或监管部门批准的其他费用；</w:t>
      </w:r>
    </w:p>
    <w:p w14:paraId="2F76BF8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）监督基金管理人对本基金的投资运</w:t>
      </w:r>
      <w:r>
        <w:rPr>
          <w:rFonts w:hint="eastAsia"/>
          <w:bCs/>
          <w:szCs w:val="21"/>
        </w:rPr>
        <w:t>作，如发现基金管理人有违反基金合同及国家法律法规行为，对基金财产、其他当事人的利益造成重大损失的情形，应呈报中国证监会，并采取必要措施保护基金投资者的利益；</w:t>
      </w:r>
    </w:p>
    <w:p w14:paraId="799D619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）根据相关市场规则，为基金开设资金账户、证券账户和期货结算账户等投资所需账户、为基金办理证券、期货交易资金清算；</w:t>
      </w:r>
    </w:p>
    <w:p w14:paraId="25B60B17"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）提议召开或召集基金份额持有人大会；</w:t>
      </w:r>
    </w:p>
    <w:p w14:paraId="53D4496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）在基金管理人更换时，提名新的基金管理人；</w:t>
      </w:r>
    </w:p>
    <w:p w14:paraId="121091F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）法律法规或中国证监会或基金合同规定的其他权利。</w:t>
      </w:r>
    </w:p>
    <w:p w14:paraId="20BB93C2"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、根据《基金法》、《运作办法》及其他有关规定，基金托管人的义务包括但不限于：</w:t>
      </w:r>
    </w:p>
    <w:p w14:paraId="57203EB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）以诚实</w:t>
      </w:r>
      <w:r>
        <w:rPr>
          <w:rFonts w:hint="eastAsia"/>
          <w:bCs/>
          <w:szCs w:val="21"/>
        </w:rPr>
        <w:t>信用、勤勉尽责的原则持有并安全保管基金财产；</w:t>
      </w:r>
    </w:p>
    <w:p w14:paraId="0B129FA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）设立专门的基金托管部门，具有符合要求的营业场所，配备足够的、合格的熟悉基金托管业务的专职人员，负责基金财产托管事宜；</w:t>
      </w:r>
    </w:p>
    <w:p w14:paraId="6484048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AEFC6C" w14:textId="77777777" w:rsidR="00BF38BB" w:rsidRDefault="002837D7">
      <w:pPr>
        <w:spacing w:line="360" w:lineRule="auto"/>
        <w:ind w:firstLineChars="200" w:firstLine="420"/>
        <w:rPr>
          <w:bCs/>
          <w:szCs w:val="21"/>
        </w:rPr>
      </w:pPr>
      <w:r>
        <w:rPr>
          <w:rFonts w:hint="eastAsia"/>
          <w:bCs/>
          <w:szCs w:val="21"/>
        </w:rPr>
        <w:lastRenderedPageBreak/>
        <w:t>（</w:t>
      </w:r>
      <w:r>
        <w:rPr>
          <w:rFonts w:hint="eastAsia"/>
          <w:bCs/>
          <w:szCs w:val="21"/>
        </w:rPr>
        <w:t>4</w:t>
      </w:r>
      <w:r>
        <w:rPr>
          <w:rFonts w:hint="eastAsia"/>
          <w:bCs/>
          <w:szCs w:val="21"/>
        </w:rPr>
        <w:t>）除依据《基金法》、基金合同及其他有关规定外，不得利用基金财产为自</w:t>
      </w:r>
      <w:r>
        <w:rPr>
          <w:rFonts w:hint="eastAsia"/>
          <w:bCs/>
          <w:szCs w:val="21"/>
        </w:rPr>
        <w:t>己及任何第三人谋取利益，不得委托第三人托管基金财产；</w:t>
      </w:r>
    </w:p>
    <w:p w14:paraId="4F16905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）保管由基金管理人代表基金签订的与基金有关的重大合同及有关凭证；</w:t>
      </w:r>
    </w:p>
    <w:p w14:paraId="2FACB3B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）按规定开设基金财产的资金账户、证券账户和期货结算账户等投资所需账户，按照基金合同的约定，根据基金管理人的投资指令，及时办理清算、交割事宜；</w:t>
      </w:r>
    </w:p>
    <w:p w14:paraId="0F7790AF"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保守基金商业秘密，除《基金法》、基金合同及其他有关规定另有规定或有权机关另有要求外，在基金信息公开披露前予以保密，不得向他人泄露，但应监管机构、司法机关等有权机关的要求，或向审计、法律等外部专业顾问提供的除外；</w:t>
      </w:r>
    </w:p>
    <w:p w14:paraId="78F6403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）复核、审查基金管理人计算的基金资产净值、基金份额净值、基金份额申购、赎回价格；</w:t>
      </w:r>
    </w:p>
    <w:p w14:paraId="1A09A7F7"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）办理与基金托管业务活动有关的信息披露事项；</w:t>
      </w:r>
    </w:p>
    <w:p w14:paraId="7F7D747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AEABD6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）保存基金托管业务活动的记录、账册、报表和其他相关资料，保存期限不低于法律法规规定的最低年限；</w:t>
      </w:r>
    </w:p>
    <w:p w14:paraId="6A6FB6F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）从基金管理人或其委托的登记机构处接收并保存基金份额</w:t>
      </w:r>
      <w:r>
        <w:rPr>
          <w:rFonts w:hint="eastAsia"/>
          <w:bCs/>
          <w:szCs w:val="21"/>
        </w:rPr>
        <w:t>持有人名册；</w:t>
      </w:r>
    </w:p>
    <w:p w14:paraId="5ACABFD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）按规定制作相关账册并与基金管理人核对；</w:t>
      </w:r>
    </w:p>
    <w:p w14:paraId="2F2EE8C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）依据基金管理人的指令或有关规定向基金份额持有人支付基金收益和赎回款项；</w:t>
      </w:r>
    </w:p>
    <w:p w14:paraId="35A531A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）依据《基金法》、基金合同及其他有关规定，召集基金份额持有人大会或配合基金管理人、基金份额持有人依法召集基金份额持有人大会；</w:t>
      </w:r>
    </w:p>
    <w:p w14:paraId="1D6E83D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）按照法律法规和基金合同的规定监督基金管理人的投资运作；</w:t>
      </w:r>
    </w:p>
    <w:p w14:paraId="33C4EDCE"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）参加基金财产清算小组，参与基金财产的保管、清理、估价、变现和分配；</w:t>
      </w:r>
    </w:p>
    <w:p w14:paraId="24E3C6B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）面临解散、依法被撤销或者被依法宣告破产时，及时报告中国证监会和银行业监督管理机构，并通知基</w:t>
      </w:r>
      <w:r>
        <w:rPr>
          <w:rFonts w:hint="eastAsia"/>
          <w:bCs/>
          <w:szCs w:val="21"/>
        </w:rPr>
        <w:t>金管理人；</w:t>
      </w:r>
    </w:p>
    <w:p w14:paraId="514BFE6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19</w:t>
      </w:r>
      <w:r>
        <w:rPr>
          <w:rFonts w:hint="eastAsia"/>
          <w:bCs/>
          <w:szCs w:val="21"/>
        </w:rPr>
        <w:t>）因违反基金合同导致基金财产损失时，应承担赔偿责任，其担任托管人期间的赔偿责任不因其退任而免除；</w:t>
      </w:r>
    </w:p>
    <w:p w14:paraId="6B6B82A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）按规定监督基金管理人按法律法规和基金合同规定履行自己的义务，基金管理人因违反基金合同造成基金财产损失时，应为基金份额持有人利益向基金管理人追偿；</w:t>
      </w:r>
    </w:p>
    <w:p w14:paraId="1680BE6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21</w:t>
      </w:r>
      <w:r>
        <w:rPr>
          <w:rFonts w:hint="eastAsia"/>
          <w:bCs/>
          <w:szCs w:val="21"/>
        </w:rPr>
        <w:t>）执行生效的基金份额持有人大会的决议；</w:t>
      </w:r>
    </w:p>
    <w:p w14:paraId="6414443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22</w:t>
      </w:r>
      <w:r>
        <w:rPr>
          <w:rFonts w:hint="eastAsia"/>
          <w:bCs/>
          <w:szCs w:val="21"/>
        </w:rPr>
        <w:t>）按照《中华人民共和国反洗钱法》等有关反洗钱的法律法规和监管要求履行反洗钱义务；</w:t>
      </w:r>
    </w:p>
    <w:p w14:paraId="7889B590" w14:textId="77777777" w:rsidR="00BF38BB" w:rsidRDefault="002837D7">
      <w:pPr>
        <w:spacing w:line="360" w:lineRule="auto"/>
        <w:ind w:firstLineChars="200" w:firstLine="420"/>
        <w:rPr>
          <w:bCs/>
          <w:szCs w:val="21"/>
        </w:rPr>
      </w:pPr>
      <w:r>
        <w:rPr>
          <w:rFonts w:hint="eastAsia"/>
          <w:bCs/>
          <w:szCs w:val="21"/>
        </w:rPr>
        <w:lastRenderedPageBreak/>
        <w:t>（</w:t>
      </w:r>
      <w:r>
        <w:rPr>
          <w:rFonts w:hint="eastAsia"/>
          <w:bCs/>
          <w:szCs w:val="21"/>
        </w:rPr>
        <w:t>23</w:t>
      </w:r>
      <w:r>
        <w:rPr>
          <w:rFonts w:hint="eastAsia"/>
          <w:bCs/>
          <w:szCs w:val="21"/>
        </w:rPr>
        <w:t>）法律法规或中国证监会或基金合同规定的其他义务。</w:t>
      </w:r>
      <w:bookmarkEnd w:id="137"/>
    </w:p>
    <w:p w14:paraId="56074F5F" w14:textId="77777777" w:rsidR="00BF38BB" w:rsidRDefault="002837D7">
      <w:pPr>
        <w:spacing w:line="360" w:lineRule="auto"/>
        <w:ind w:firstLineChars="200" w:firstLine="420"/>
        <w:rPr>
          <w:bCs/>
          <w:szCs w:val="21"/>
        </w:rPr>
      </w:pPr>
      <w:r>
        <w:rPr>
          <w:rFonts w:hint="eastAsia"/>
          <w:bCs/>
          <w:szCs w:val="21"/>
        </w:rPr>
        <w:t>（二）基金份额持有人大会召集、议事及表决的程序和规则</w:t>
      </w:r>
    </w:p>
    <w:p w14:paraId="717CC54D" w14:textId="77777777" w:rsidR="00BF38BB" w:rsidRDefault="002837D7">
      <w:pPr>
        <w:spacing w:line="360" w:lineRule="auto"/>
        <w:ind w:firstLineChars="200" w:firstLine="420"/>
        <w:rPr>
          <w:bCs/>
          <w:szCs w:val="21"/>
        </w:rPr>
      </w:pPr>
      <w:r>
        <w:rPr>
          <w:rFonts w:hint="eastAsia"/>
          <w:bCs/>
          <w:szCs w:val="21"/>
        </w:rPr>
        <w:t>基金份额持有人大会由基金份额持有人组成，基金份额持有人的合法授权代表有权代表基金份额持有人出席会议并表决。就本部分所述基金份额持有人大会事宜，除法律法规另有规定或基金合同另有约定外，基金份额持有人持有的每一基金份额拥有平等的权利。</w:t>
      </w:r>
    </w:p>
    <w:p w14:paraId="5AAA1A59" w14:textId="77777777" w:rsidR="00BF38BB" w:rsidRDefault="002837D7">
      <w:pPr>
        <w:spacing w:line="360" w:lineRule="auto"/>
        <w:ind w:firstLineChars="200" w:firstLine="420"/>
        <w:rPr>
          <w:bCs/>
          <w:szCs w:val="21"/>
        </w:rPr>
      </w:pPr>
      <w:r>
        <w:rPr>
          <w:rFonts w:hint="eastAsia"/>
          <w:bCs/>
          <w:szCs w:val="21"/>
        </w:rPr>
        <w:t>一）</w:t>
      </w:r>
      <w:r>
        <w:rPr>
          <w:bCs/>
          <w:szCs w:val="21"/>
        </w:rPr>
        <w:t>召开事由</w:t>
      </w:r>
    </w:p>
    <w:p w14:paraId="4AC1C071"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除法律法规或中国证监会或基金合同另有规定外，当出现或需要决定下列事由之一的，基金管理人、基金托管人以及符合基金合同约定的基金份额持有人应当依据基金合同约定的相关程序召开基金份额持有人大会：</w:t>
      </w:r>
    </w:p>
    <w:p w14:paraId="06008F6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）终止基金合同；</w:t>
      </w:r>
    </w:p>
    <w:p w14:paraId="5E8A793F"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）更换基金管理人；</w:t>
      </w:r>
    </w:p>
    <w:p w14:paraId="015A586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）更换基金托管人；</w:t>
      </w:r>
    </w:p>
    <w:p w14:paraId="01FD49B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）转换基金运作方式；</w:t>
      </w:r>
    </w:p>
    <w:p w14:paraId="6D00FDF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）调整基金管理人、基金托管人的报酬标准或提高销售服务费率；</w:t>
      </w:r>
    </w:p>
    <w:p w14:paraId="5A1AE87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）变更基金类别；</w:t>
      </w:r>
    </w:p>
    <w:p w14:paraId="5554192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）本基金与其他基金的合并；</w:t>
      </w:r>
    </w:p>
    <w:p w14:paraId="1654FE47"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）变更基金投资目标、范围或策略；</w:t>
      </w:r>
    </w:p>
    <w:p w14:paraId="55ABA3D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）变更基金份额持有人大会程序；</w:t>
      </w:r>
    </w:p>
    <w:p w14:paraId="34BA265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）对基金合同当事人权利和义务产生重大影响的其他事项；</w:t>
      </w:r>
    </w:p>
    <w:p w14:paraId="645E5F6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）法律法规或基金合同或中国证监会规定的其他应当召开基金份额持有人大会的事项。</w:t>
      </w:r>
    </w:p>
    <w:p w14:paraId="137FC7CB"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、在不违反法律法规有关规定和监管要求的前提下，以下情况可由基金管理人和基金托管人协商后修改，不需召开基金份额持有人大会：</w:t>
      </w:r>
    </w:p>
    <w:p w14:paraId="28207F8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）法律法规要求增加的基金费用的收取；</w:t>
      </w:r>
    </w:p>
    <w:p w14:paraId="01C839A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）在对现有基金份额持有人利益无实质性不利影响的前提下，调整本基金的申购费率、调低销售服务费率或变更收费方式、调整本基金的基金份额类别的设置；</w:t>
      </w:r>
    </w:p>
    <w:p w14:paraId="7958819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）因相应的法律法规发生变动而应当对基金合同进行修改；</w:t>
      </w:r>
    </w:p>
    <w:p w14:paraId="536FD04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）对基金合同的修改对基金份额持有人利益无实质性不利影响或修改不涉及基金合同当事人权利义务关系发生变化；</w:t>
      </w:r>
    </w:p>
    <w:p w14:paraId="0396FA1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）基金管理人、登记机构、销售机构在法律法规和中国证监会规定范围内调整有关基金认购、申购、赎回、转换、非交易过户、转托管等业务的规则；</w:t>
      </w:r>
    </w:p>
    <w:p w14:paraId="5205B95F" w14:textId="77777777" w:rsidR="00BF38BB" w:rsidRDefault="002837D7">
      <w:pPr>
        <w:spacing w:line="360" w:lineRule="auto"/>
        <w:ind w:firstLineChars="200" w:firstLine="420"/>
        <w:rPr>
          <w:bCs/>
          <w:szCs w:val="21"/>
        </w:rPr>
      </w:pPr>
      <w:r>
        <w:rPr>
          <w:rFonts w:hint="eastAsia"/>
          <w:bCs/>
          <w:szCs w:val="21"/>
        </w:rPr>
        <w:lastRenderedPageBreak/>
        <w:t>（</w:t>
      </w:r>
      <w:r>
        <w:rPr>
          <w:rFonts w:hint="eastAsia"/>
          <w:bCs/>
          <w:szCs w:val="21"/>
        </w:rPr>
        <w:t>6</w:t>
      </w:r>
      <w:r>
        <w:rPr>
          <w:rFonts w:hint="eastAsia"/>
          <w:bCs/>
          <w:szCs w:val="21"/>
        </w:rPr>
        <w:t>）对基金份额持有</w:t>
      </w:r>
      <w:r>
        <w:rPr>
          <w:rFonts w:hint="eastAsia"/>
          <w:bCs/>
          <w:szCs w:val="21"/>
        </w:rPr>
        <w:t>人利益无实质性不利影响的情况下，基金推出新业务或服务；</w:t>
      </w:r>
    </w:p>
    <w:p w14:paraId="40A54A0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）按照法律法规和基金合同规定不需召开基金份额持有人大会的其他情形。</w:t>
      </w:r>
    </w:p>
    <w:p w14:paraId="2014CFB3" w14:textId="77777777" w:rsidR="00BF38BB" w:rsidRDefault="002837D7">
      <w:pPr>
        <w:spacing w:line="360" w:lineRule="auto"/>
        <w:ind w:firstLineChars="200" w:firstLine="420"/>
        <w:rPr>
          <w:bCs/>
          <w:szCs w:val="21"/>
        </w:rPr>
      </w:pPr>
      <w:r>
        <w:rPr>
          <w:rFonts w:hint="eastAsia"/>
          <w:bCs/>
          <w:szCs w:val="21"/>
        </w:rPr>
        <w:t>二）</w:t>
      </w:r>
      <w:r>
        <w:rPr>
          <w:bCs/>
          <w:szCs w:val="21"/>
        </w:rPr>
        <w:t>会议召集人及召集方式</w:t>
      </w:r>
    </w:p>
    <w:p w14:paraId="5970B681"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、本基金基金份额持有人大会不设日常机构。除法律法规规定或基金合同另有约定外，基金份额持有人大会由基金管理人召集。</w:t>
      </w:r>
    </w:p>
    <w:p w14:paraId="541660B5"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、基金管理人未按规定召集或不能召开时，由基金托管人召集。</w:t>
      </w:r>
    </w:p>
    <w:p w14:paraId="7988E487"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、基金托管人认为有必要召开基金份额持有人大会的，应当向基金管理人提出书面提议。基金管理人应当自收到书面提议之日起</w:t>
      </w:r>
      <w:r>
        <w:rPr>
          <w:rFonts w:hint="eastAsia"/>
          <w:bCs/>
          <w:szCs w:val="21"/>
        </w:rPr>
        <w:t>10</w:t>
      </w:r>
      <w:r>
        <w:rPr>
          <w:rFonts w:hint="eastAsia"/>
          <w:bCs/>
          <w:szCs w:val="21"/>
        </w:rPr>
        <w:t>日内决定是否召集，并书面告知基金托管人。基金管理人决定召集的，应</w:t>
      </w:r>
      <w:r>
        <w:rPr>
          <w:rFonts w:hint="eastAsia"/>
          <w:bCs/>
          <w:szCs w:val="21"/>
        </w:rPr>
        <w:t>当自出具书面决定之日起</w:t>
      </w:r>
      <w:r>
        <w:rPr>
          <w:rFonts w:hint="eastAsia"/>
          <w:bCs/>
          <w:szCs w:val="21"/>
        </w:rPr>
        <w:t>60</w:t>
      </w:r>
      <w:r>
        <w:rPr>
          <w:rFonts w:hint="eastAsia"/>
          <w:bCs/>
          <w:szCs w:val="21"/>
        </w:rPr>
        <w:t>日内召开；基金管理人决定不召集，基金托管人仍认为有必要召开的，应当由基金托管人自行召集，并自出具书面决定之日起</w:t>
      </w:r>
      <w:r>
        <w:rPr>
          <w:rFonts w:hint="eastAsia"/>
          <w:bCs/>
          <w:szCs w:val="21"/>
        </w:rPr>
        <w:t>60</w:t>
      </w:r>
      <w:r>
        <w:rPr>
          <w:rFonts w:hint="eastAsia"/>
          <w:bCs/>
          <w:szCs w:val="21"/>
        </w:rPr>
        <w:t>日内召开并告知基金管理人，基金管理人应当配合。</w:t>
      </w:r>
    </w:p>
    <w:p w14:paraId="13B41B03"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、代表基金份额</w:t>
      </w:r>
      <w:r>
        <w:rPr>
          <w:rFonts w:hint="eastAsia"/>
          <w:bCs/>
          <w:szCs w:val="21"/>
        </w:rPr>
        <w:t>10%</w:t>
      </w:r>
      <w:r>
        <w:rPr>
          <w:rFonts w:hint="eastAsia"/>
          <w:bCs/>
          <w:szCs w:val="21"/>
        </w:rPr>
        <w:t>以上（含</w:t>
      </w:r>
      <w:r>
        <w:rPr>
          <w:rFonts w:hint="eastAsia"/>
          <w:bCs/>
          <w:szCs w:val="21"/>
        </w:rPr>
        <w:t>10%</w:t>
      </w:r>
      <w:r>
        <w:rPr>
          <w:rFonts w:hint="eastAsia"/>
          <w:bCs/>
          <w:szCs w:val="21"/>
        </w:rPr>
        <w:t>，以基金管理人收到提议当日的基金份额计算，下同）的基金份额持有人就同一事项书面要求召开基金份额持有人大会，应当向基金管理人提出书面提议。基金管理人应当自收到书面提议之日起</w:t>
      </w:r>
      <w:r>
        <w:rPr>
          <w:rFonts w:hint="eastAsia"/>
          <w:bCs/>
          <w:szCs w:val="21"/>
        </w:rPr>
        <w:t>10</w:t>
      </w:r>
      <w:r>
        <w:rPr>
          <w:rFonts w:hint="eastAsia"/>
          <w:bCs/>
          <w:szCs w:val="21"/>
        </w:rPr>
        <w:t>日内决定是否召集，并书面告知提出提议的基金份额持有人代表和基金托管人。基金管理人决定召集的，应当自出具书面决定之日</w:t>
      </w:r>
      <w:r>
        <w:rPr>
          <w:rFonts w:hint="eastAsia"/>
          <w:bCs/>
          <w:szCs w:val="21"/>
        </w:rPr>
        <w:t>起</w:t>
      </w:r>
      <w:r>
        <w:rPr>
          <w:rFonts w:hint="eastAsia"/>
          <w:bCs/>
          <w:szCs w:val="21"/>
        </w:rPr>
        <w:t>60</w:t>
      </w:r>
      <w:r>
        <w:rPr>
          <w:rFonts w:hint="eastAsia"/>
          <w:bCs/>
          <w:szCs w:val="21"/>
        </w:rPr>
        <w:t>日内召开；基金管理人决定不召集，代表基金份额</w:t>
      </w:r>
      <w:r>
        <w:rPr>
          <w:rFonts w:hint="eastAsia"/>
          <w:bCs/>
          <w:szCs w:val="21"/>
        </w:rPr>
        <w:t>10%</w:t>
      </w:r>
      <w:r>
        <w:rPr>
          <w:rFonts w:hint="eastAsia"/>
          <w:bCs/>
          <w:szCs w:val="21"/>
        </w:rPr>
        <w:t>以上的基金份额持有人仍认为有必要召开的，应当向基金托管人提出书面提议。基金托管人应当自收到书面提议之日起</w:t>
      </w:r>
      <w:r>
        <w:rPr>
          <w:rFonts w:hint="eastAsia"/>
          <w:bCs/>
          <w:szCs w:val="21"/>
        </w:rPr>
        <w:t>10</w:t>
      </w:r>
      <w:r>
        <w:rPr>
          <w:rFonts w:hint="eastAsia"/>
          <w:bCs/>
          <w:szCs w:val="21"/>
        </w:rPr>
        <w:t>日内决定是否召集，并书面告知提出提议的基金份额持有人代表和基金管理人；基金托管人决定召集的，应当自出具书面决定之日起</w:t>
      </w:r>
      <w:r>
        <w:rPr>
          <w:rFonts w:hint="eastAsia"/>
          <w:bCs/>
          <w:szCs w:val="21"/>
        </w:rPr>
        <w:t>60</w:t>
      </w:r>
      <w:r>
        <w:rPr>
          <w:rFonts w:hint="eastAsia"/>
          <w:bCs/>
          <w:szCs w:val="21"/>
        </w:rPr>
        <w:t>日内召开，并告知基金管理人，基金管理人应当配合。</w:t>
      </w:r>
    </w:p>
    <w:p w14:paraId="7F7D0140"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、代表基金份额</w:t>
      </w:r>
      <w:r>
        <w:rPr>
          <w:rFonts w:hint="eastAsia"/>
          <w:bCs/>
          <w:szCs w:val="21"/>
        </w:rPr>
        <w:t>10%</w:t>
      </w:r>
      <w:r>
        <w:rPr>
          <w:rFonts w:hint="eastAsia"/>
          <w:bCs/>
          <w:szCs w:val="21"/>
        </w:rPr>
        <w:t>以上的基金份额持有人就同一事项要求召开基金份额持有人大会，而基金管理人、基金托管人都不召集的，单独或合计代表基金份额</w:t>
      </w:r>
      <w:r>
        <w:rPr>
          <w:rFonts w:hint="eastAsia"/>
          <w:bCs/>
          <w:szCs w:val="21"/>
        </w:rPr>
        <w:t>10%</w:t>
      </w:r>
      <w:r>
        <w:rPr>
          <w:rFonts w:hint="eastAsia"/>
          <w:bCs/>
          <w:szCs w:val="21"/>
        </w:rPr>
        <w:t>以上的基金份额持有人有权自行召集，</w:t>
      </w:r>
      <w:r>
        <w:rPr>
          <w:rFonts w:hint="eastAsia"/>
          <w:bCs/>
          <w:szCs w:val="21"/>
        </w:rPr>
        <w:t>并至少提前</w:t>
      </w:r>
      <w:r>
        <w:rPr>
          <w:rFonts w:hint="eastAsia"/>
          <w:bCs/>
          <w:szCs w:val="21"/>
        </w:rPr>
        <w:t>30</w:t>
      </w:r>
      <w:r>
        <w:rPr>
          <w:rFonts w:hint="eastAsia"/>
          <w:bCs/>
          <w:szCs w:val="21"/>
        </w:rPr>
        <w:t>日报中国证监会备案。基金份额持有人依法自行召集基金份额持有人大会的，基金管理人、基金托管人应当配合，不得阻碍、干扰。</w:t>
      </w:r>
    </w:p>
    <w:p w14:paraId="79A5F92B"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、基金份额持有人大会的召集人负责选择确定开会时间、地点、方式和权益登记日。</w:t>
      </w:r>
    </w:p>
    <w:p w14:paraId="6F54EFD0" w14:textId="77777777" w:rsidR="00BF38BB" w:rsidRDefault="002837D7">
      <w:pPr>
        <w:spacing w:line="360" w:lineRule="auto"/>
        <w:ind w:firstLineChars="200" w:firstLine="420"/>
        <w:rPr>
          <w:bCs/>
          <w:szCs w:val="21"/>
        </w:rPr>
      </w:pPr>
      <w:r>
        <w:rPr>
          <w:rFonts w:hint="eastAsia"/>
          <w:bCs/>
          <w:szCs w:val="21"/>
        </w:rPr>
        <w:t>三）</w:t>
      </w:r>
      <w:r>
        <w:rPr>
          <w:bCs/>
          <w:szCs w:val="21"/>
        </w:rPr>
        <w:t>召开基金份额持有人大会的通知时间、通知内容、通知方式</w:t>
      </w:r>
    </w:p>
    <w:p w14:paraId="2880EEE2"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、召开基金份额持有人大会，召集人应于会议召开前至少</w:t>
      </w:r>
      <w:r>
        <w:rPr>
          <w:rFonts w:hint="eastAsia"/>
          <w:bCs/>
          <w:szCs w:val="21"/>
        </w:rPr>
        <w:t>30</w:t>
      </w:r>
      <w:r>
        <w:rPr>
          <w:rFonts w:hint="eastAsia"/>
          <w:bCs/>
          <w:szCs w:val="21"/>
        </w:rPr>
        <w:t>日，按照《信息披露办法》的规定在规定媒介公告会议通知。基金份额持有人大会通知应至少载明以下内容：</w:t>
      </w:r>
    </w:p>
    <w:p w14:paraId="7559125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）会议召开的时间、地点和会议形式；</w:t>
      </w:r>
    </w:p>
    <w:p w14:paraId="752277D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）会议拟审议的事项、议事程序和表决方式；</w:t>
      </w:r>
    </w:p>
    <w:p w14:paraId="465B547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）有权出席基金份额持有人大会的基金份额持有人的权益登记日；</w:t>
      </w:r>
    </w:p>
    <w:p w14:paraId="38C4DE8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）授权委托证明的内容要求（包括但不限于代理人身份，代理权限和代理有效期限等）、送达时间和地点；</w:t>
      </w:r>
    </w:p>
    <w:p w14:paraId="7398E34F" w14:textId="77777777" w:rsidR="00BF38BB" w:rsidRDefault="002837D7">
      <w:pPr>
        <w:spacing w:line="360" w:lineRule="auto"/>
        <w:ind w:firstLineChars="200" w:firstLine="420"/>
        <w:rPr>
          <w:bCs/>
          <w:szCs w:val="21"/>
        </w:rPr>
      </w:pPr>
      <w:r>
        <w:rPr>
          <w:rFonts w:hint="eastAsia"/>
          <w:bCs/>
          <w:szCs w:val="21"/>
        </w:rPr>
        <w:lastRenderedPageBreak/>
        <w:t>（</w:t>
      </w:r>
      <w:r>
        <w:rPr>
          <w:rFonts w:hint="eastAsia"/>
          <w:bCs/>
          <w:szCs w:val="21"/>
        </w:rPr>
        <w:t>5</w:t>
      </w:r>
      <w:r>
        <w:rPr>
          <w:rFonts w:hint="eastAsia"/>
          <w:bCs/>
          <w:szCs w:val="21"/>
        </w:rPr>
        <w:t>）会务常设联系人姓名及联系电话；</w:t>
      </w:r>
    </w:p>
    <w:p w14:paraId="4B5555D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）出席会议者必须准备的文件和必须履行的手续；</w:t>
      </w:r>
    </w:p>
    <w:p w14:paraId="23CB1AF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）召集人需要通知的其他事项。</w:t>
      </w:r>
    </w:p>
    <w:p w14:paraId="41D5FA87"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14:paraId="48F8D87F"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D96569B" w14:textId="77777777" w:rsidR="00BF38BB" w:rsidRDefault="002837D7">
      <w:pPr>
        <w:spacing w:line="360" w:lineRule="auto"/>
        <w:ind w:firstLineChars="200" w:firstLine="420"/>
        <w:rPr>
          <w:bCs/>
          <w:szCs w:val="21"/>
        </w:rPr>
      </w:pPr>
      <w:r>
        <w:rPr>
          <w:rFonts w:hint="eastAsia"/>
          <w:bCs/>
          <w:szCs w:val="21"/>
        </w:rPr>
        <w:t>四）</w:t>
      </w:r>
      <w:r>
        <w:rPr>
          <w:bCs/>
          <w:szCs w:val="21"/>
        </w:rPr>
        <w:t>基金份额持有人出席会议的方式</w:t>
      </w:r>
    </w:p>
    <w:p w14:paraId="5B85434F" w14:textId="77777777" w:rsidR="00BF38BB" w:rsidRDefault="002837D7">
      <w:pPr>
        <w:spacing w:line="360" w:lineRule="auto"/>
        <w:ind w:firstLineChars="200" w:firstLine="420"/>
        <w:rPr>
          <w:bCs/>
          <w:szCs w:val="21"/>
        </w:rPr>
      </w:pPr>
      <w:r>
        <w:rPr>
          <w:rFonts w:hint="eastAsia"/>
          <w:bCs/>
          <w:szCs w:val="21"/>
        </w:rPr>
        <w:t>基金份额持有人大会可通过现场开会方式、通讯开会方式或法律法规、监管机构、基金合同允许的其他方式召开，会议的召开方式</w:t>
      </w:r>
      <w:r>
        <w:rPr>
          <w:rFonts w:hint="eastAsia"/>
          <w:bCs/>
          <w:szCs w:val="21"/>
        </w:rPr>
        <w:t>由会议召集人确定。</w:t>
      </w:r>
    </w:p>
    <w:p w14:paraId="22742716"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D0C345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417E3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）经核对，汇总到</w:t>
      </w:r>
      <w:r>
        <w:rPr>
          <w:rFonts w:hint="eastAsia"/>
          <w:bCs/>
          <w:szCs w:val="21"/>
        </w:rPr>
        <w:t>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w:t>
      </w:r>
      <w:bookmarkStart w:id="138" w:name="OLE_LINK45"/>
      <w:bookmarkStart w:id="139" w:name="OLE_LINK46"/>
      <w:r>
        <w:rPr>
          <w:rFonts w:hint="eastAsia"/>
          <w:bCs/>
          <w:szCs w:val="21"/>
        </w:rPr>
        <w:t>。重新召集的基金份额持有人大会到会者在权益登记日代表的有效的基金份额应不少于本基金在权益登记日基金总份额的三分之一（含三分之一）。</w:t>
      </w:r>
    </w:p>
    <w:p w14:paraId="439316A9"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、通讯开会。通讯开会系指基金份额持有人将其对审议事项的表决意见</w:t>
      </w:r>
      <w:r>
        <w:rPr>
          <w:rFonts w:hint="eastAsia"/>
          <w:bCs/>
          <w:szCs w:val="21"/>
        </w:rPr>
        <w:t>以书面形式或</w:t>
      </w:r>
      <w:bookmarkEnd w:id="138"/>
      <w:bookmarkEnd w:id="139"/>
      <w:r>
        <w:rPr>
          <w:rFonts w:hint="eastAsia"/>
          <w:bCs/>
          <w:szCs w:val="21"/>
        </w:rPr>
        <w:t>大会公告载明的其他方式在收取表决意见截止时间以前送达召集人指定的地址。通讯开会应以书面方式或大会公告载明的其他方式进行表决。</w:t>
      </w:r>
    </w:p>
    <w:p w14:paraId="7CD92AB5" w14:textId="77777777" w:rsidR="00BF38BB" w:rsidRDefault="002837D7">
      <w:pPr>
        <w:spacing w:line="360" w:lineRule="auto"/>
        <w:ind w:firstLineChars="200" w:firstLine="420"/>
        <w:rPr>
          <w:bCs/>
          <w:szCs w:val="21"/>
        </w:rPr>
      </w:pPr>
      <w:r>
        <w:rPr>
          <w:rFonts w:hint="eastAsia"/>
          <w:bCs/>
          <w:szCs w:val="21"/>
        </w:rPr>
        <w:t>在同时符合以下条件时，通讯开会的方式视为有效：</w:t>
      </w:r>
    </w:p>
    <w:p w14:paraId="32484F6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）会议召集人按基金合同约定公布会议通知后，在</w:t>
      </w:r>
      <w:r>
        <w:rPr>
          <w:rFonts w:hint="eastAsia"/>
          <w:bCs/>
          <w:szCs w:val="21"/>
        </w:rPr>
        <w:t>2</w:t>
      </w:r>
      <w:r>
        <w:rPr>
          <w:rFonts w:hint="eastAsia"/>
          <w:bCs/>
          <w:szCs w:val="21"/>
        </w:rPr>
        <w:t>个工作日内连续公布相关提示性公告；</w:t>
      </w:r>
    </w:p>
    <w:p w14:paraId="1B19E5D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）召集人按基金合同约定通知基金托管人（如果基金托管人为召集人，则为基金管理人）到指定地</w:t>
      </w:r>
      <w:r>
        <w:rPr>
          <w:rFonts w:hint="eastAsia"/>
          <w:bCs/>
          <w:szCs w:val="21"/>
        </w:rPr>
        <w:lastRenderedPageBreak/>
        <w:t>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4B92A23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）本人直接出具书面意见或授权他人代表出具书面意见的，基金份额持有人所持有的基金份额不小于在权益登记日基金总份额的二分之一（含二分之一）；若本人直接出具书面意见或授权他人代表出具</w:t>
      </w:r>
      <w:r>
        <w:rPr>
          <w:rFonts w:hint="eastAsia"/>
          <w:bCs/>
          <w:szCs w:val="21"/>
        </w:rPr>
        <w:t>书面意见基金份额持有人所持有的基金份额小于在权益登记日基金总份额的二分之一，召集人可以在原公告的基金份额持有人大会召开时间的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个月以内，就原定审议事项重新召集基金份额持有人大会。重新召集的基金份额持有人大会应当有代表三分之一以上（含三分之一）基金份额的持有人直接出具书面意见或授权他人代表出具书面意见；</w:t>
      </w:r>
    </w:p>
    <w:p w14:paraId="536644F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）上述第（</w:t>
      </w:r>
      <w:r>
        <w:rPr>
          <w:rFonts w:hint="eastAsia"/>
          <w:bCs/>
          <w:szCs w:val="21"/>
        </w:rPr>
        <w:t>3</w:t>
      </w:r>
      <w:r>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w:t>
      </w:r>
      <w:r>
        <w:rPr>
          <w:rFonts w:hint="eastAsia"/>
          <w:bCs/>
          <w:szCs w:val="21"/>
        </w:rPr>
        <w:t>委托证明应符合法律法规、基金合同和会议通知的规定，并与基金登记机构记录相符。</w:t>
      </w:r>
    </w:p>
    <w:p w14:paraId="1571876A"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在不与法律法规冲突的前提下，基金份额持有人大会可通过网络、电话、短信或其他方式召开，基金份额持有人可以采用书面、网络、电话、短信或其他方式进行表决，具体方式由会议召集人确定并在会议通知中列明。</w:t>
      </w:r>
    </w:p>
    <w:p w14:paraId="3F649765"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、基金份额持有人授权他人代为出席会议并表决的，授权方式可以采用书面、网络、电话、短信或其他方式，具体方式在会议通知中列明。</w:t>
      </w:r>
    </w:p>
    <w:p w14:paraId="1110C5C7" w14:textId="77777777" w:rsidR="00BF38BB" w:rsidRDefault="002837D7">
      <w:pPr>
        <w:spacing w:line="360" w:lineRule="auto"/>
        <w:ind w:firstLineChars="200" w:firstLine="420"/>
        <w:rPr>
          <w:bCs/>
          <w:szCs w:val="21"/>
        </w:rPr>
      </w:pPr>
      <w:r>
        <w:rPr>
          <w:rFonts w:hint="eastAsia"/>
          <w:bCs/>
          <w:szCs w:val="21"/>
        </w:rPr>
        <w:t>五）</w:t>
      </w:r>
      <w:r>
        <w:rPr>
          <w:bCs/>
          <w:szCs w:val="21"/>
        </w:rPr>
        <w:t>议事内容与程序</w:t>
      </w:r>
    </w:p>
    <w:p w14:paraId="4B800CBA"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、议事内容及提案权</w:t>
      </w:r>
    </w:p>
    <w:p w14:paraId="0A752692" w14:textId="77777777" w:rsidR="00BF38BB" w:rsidRDefault="002837D7">
      <w:pPr>
        <w:spacing w:line="360" w:lineRule="auto"/>
        <w:ind w:firstLineChars="200" w:firstLine="420"/>
        <w:rPr>
          <w:bCs/>
          <w:szCs w:val="21"/>
        </w:rPr>
      </w:pPr>
      <w:r>
        <w:rPr>
          <w:rFonts w:hint="eastAsia"/>
          <w:bCs/>
          <w:szCs w:val="21"/>
        </w:rPr>
        <w:t>议事内容为本部分“一）召开事由”中所述应由基金份额持有人大会审议决定</w:t>
      </w:r>
      <w:r>
        <w:rPr>
          <w:rFonts w:hint="eastAsia"/>
          <w:bCs/>
          <w:szCs w:val="21"/>
        </w:rPr>
        <w:t>的事项。</w:t>
      </w:r>
    </w:p>
    <w:p w14:paraId="4B557133" w14:textId="77777777" w:rsidR="00BF38BB" w:rsidRDefault="002837D7">
      <w:pPr>
        <w:spacing w:line="360" w:lineRule="auto"/>
        <w:ind w:firstLineChars="200" w:firstLine="420"/>
        <w:rPr>
          <w:bCs/>
          <w:szCs w:val="21"/>
        </w:rPr>
      </w:pPr>
      <w:r>
        <w:rPr>
          <w:rFonts w:hint="eastAsia"/>
          <w:bCs/>
          <w:szCs w:val="21"/>
        </w:rPr>
        <w:t>基金份额持有人大会的召集人发出召集会议的通知后，对原有议事内容的修改应当在基金份额持有人大会召开前及时公告。</w:t>
      </w:r>
    </w:p>
    <w:p w14:paraId="27E49A47" w14:textId="77777777" w:rsidR="00BF38BB" w:rsidRDefault="002837D7">
      <w:pPr>
        <w:spacing w:line="360" w:lineRule="auto"/>
        <w:ind w:firstLineChars="200" w:firstLine="420"/>
        <w:rPr>
          <w:bCs/>
          <w:szCs w:val="21"/>
        </w:rPr>
      </w:pPr>
      <w:r>
        <w:rPr>
          <w:rFonts w:hint="eastAsia"/>
          <w:bCs/>
          <w:szCs w:val="21"/>
        </w:rPr>
        <w:t>基金份额持有人大会不得对未事先公告的议事内容进行表决。</w:t>
      </w:r>
    </w:p>
    <w:p w14:paraId="07FF6D17"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、议事程序</w:t>
      </w:r>
    </w:p>
    <w:p w14:paraId="6D08AFE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）现场开会</w:t>
      </w:r>
    </w:p>
    <w:p w14:paraId="0151BCCA" w14:textId="77777777" w:rsidR="00BF38BB" w:rsidRDefault="002837D7">
      <w:pPr>
        <w:spacing w:line="360" w:lineRule="auto"/>
        <w:ind w:firstLineChars="200" w:firstLine="420"/>
        <w:rPr>
          <w:bCs/>
          <w:szCs w:val="21"/>
        </w:rPr>
      </w:pPr>
      <w:r>
        <w:rPr>
          <w:rFonts w:hint="eastAsia"/>
          <w:bCs/>
          <w:szCs w:val="21"/>
        </w:rPr>
        <w:t>在现场开会的方式下，首先由大会主持人按照下列第七）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w:t>
      </w:r>
      <w:r>
        <w:rPr>
          <w:rFonts w:hint="eastAsia"/>
          <w:bCs/>
          <w:szCs w:val="21"/>
        </w:rPr>
        <w:t>能主持大会，则由出席大会的基金份额持有人和代理人所持表决权的</w:t>
      </w:r>
      <w:r>
        <w:rPr>
          <w:rFonts w:hint="eastAsia"/>
          <w:bCs/>
          <w:szCs w:val="21"/>
        </w:rPr>
        <w:t>50%</w:t>
      </w:r>
      <w:r>
        <w:rPr>
          <w:rFonts w:hint="eastAsia"/>
          <w:bCs/>
          <w:szCs w:val="21"/>
        </w:rPr>
        <w:t>以上（含</w:t>
      </w:r>
      <w:r>
        <w:rPr>
          <w:rFonts w:hint="eastAsia"/>
          <w:bCs/>
          <w:szCs w:val="21"/>
        </w:rPr>
        <w:t>50%</w:t>
      </w:r>
      <w:r>
        <w:rPr>
          <w:rFonts w:hint="eastAsia"/>
          <w:bCs/>
          <w:szCs w:val="21"/>
        </w:rPr>
        <w:t>）选举产生一名基金份额持有人作为该次基金份额持有人大会的主持人。基金管理人和基金</w:t>
      </w:r>
      <w:r>
        <w:rPr>
          <w:rFonts w:hint="eastAsia"/>
          <w:bCs/>
          <w:szCs w:val="21"/>
        </w:rPr>
        <w:lastRenderedPageBreak/>
        <w:t>托管人拒不出席或主持基金份额持有人大会，不影响基金份额持有人大会作出的决议的效力。</w:t>
      </w:r>
    </w:p>
    <w:p w14:paraId="37C452F2" w14:textId="77777777" w:rsidR="00BF38BB" w:rsidRDefault="002837D7">
      <w:pPr>
        <w:spacing w:line="360" w:lineRule="auto"/>
        <w:ind w:firstLineChars="200" w:firstLine="420"/>
        <w:rPr>
          <w:bCs/>
          <w:szCs w:val="21"/>
        </w:rPr>
      </w:pPr>
      <w:r>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01AEE54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）通讯开会</w:t>
      </w:r>
    </w:p>
    <w:p w14:paraId="2D9ED885" w14:textId="77777777" w:rsidR="00BF38BB" w:rsidRDefault="002837D7">
      <w:pPr>
        <w:spacing w:line="360" w:lineRule="auto"/>
        <w:ind w:firstLineChars="200" w:firstLine="420"/>
        <w:rPr>
          <w:bCs/>
          <w:szCs w:val="21"/>
        </w:rPr>
      </w:pPr>
      <w:r>
        <w:rPr>
          <w:rFonts w:hint="eastAsia"/>
          <w:bCs/>
          <w:szCs w:val="21"/>
        </w:rPr>
        <w:t>在通讯开会的情况下，首先由召集人在收取会议审议事项书面表决意见截止时间前至少提</w:t>
      </w:r>
      <w:r>
        <w:rPr>
          <w:rFonts w:hint="eastAsia"/>
          <w:bCs/>
          <w:szCs w:val="21"/>
        </w:rPr>
        <w:t>前</w:t>
      </w:r>
      <w:r>
        <w:rPr>
          <w:rFonts w:hint="eastAsia"/>
          <w:bCs/>
          <w:szCs w:val="21"/>
        </w:rPr>
        <w:t>30</w:t>
      </w:r>
      <w:r>
        <w:rPr>
          <w:rFonts w:hint="eastAsia"/>
          <w:bCs/>
          <w:szCs w:val="21"/>
        </w:rPr>
        <w:t>日公布提案，在所通知的收取表决意见截止日期后</w:t>
      </w:r>
      <w:r>
        <w:rPr>
          <w:rFonts w:hint="eastAsia"/>
          <w:bCs/>
          <w:szCs w:val="21"/>
        </w:rPr>
        <w:t>2</w:t>
      </w:r>
      <w:r>
        <w:rPr>
          <w:rFonts w:hint="eastAsia"/>
          <w:bCs/>
          <w:szCs w:val="21"/>
        </w:rPr>
        <w:t>个工作日内在公证机关监督下由召集人统计全部有效表决，在公证机关监督下形成决议。</w:t>
      </w:r>
    </w:p>
    <w:p w14:paraId="41E5263C" w14:textId="77777777" w:rsidR="00BF38BB" w:rsidRDefault="002837D7">
      <w:pPr>
        <w:spacing w:line="360" w:lineRule="auto"/>
        <w:ind w:firstLineChars="200" w:firstLine="420"/>
        <w:rPr>
          <w:bCs/>
          <w:szCs w:val="21"/>
        </w:rPr>
      </w:pPr>
      <w:r>
        <w:rPr>
          <w:rFonts w:hint="eastAsia"/>
          <w:bCs/>
          <w:szCs w:val="21"/>
        </w:rPr>
        <w:t>六）</w:t>
      </w:r>
      <w:r>
        <w:rPr>
          <w:bCs/>
          <w:szCs w:val="21"/>
        </w:rPr>
        <w:t>表决</w:t>
      </w:r>
    </w:p>
    <w:p w14:paraId="0EF893F5" w14:textId="77777777" w:rsidR="00BF38BB" w:rsidRDefault="002837D7">
      <w:pPr>
        <w:spacing w:line="360" w:lineRule="auto"/>
        <w:ind w:firstLineChars="200" w:firstLine="420"/>
        <w:rPr>
          <w:bCs/>
          <w:szCs w:val="21"/>
        </w:rPr>
      </w:pPr>
      <w:r>
        <w:rPr>
          <w:rFonts w:hint="eastAsia"/>
          <w:bCs/>
          <w:szCs w:val="21"/>
        </w:rPr>
        <w:t>基金份额持有人所持每份基金份额有一票表决权。</w:t>
      </w:r>
    </w:p>
    <w:p w14:paraId="7150CE68" w14:textId="77777777" w:rsidR="00BF38BB" w:rsidRDefault="002837D7">
      <w:pPr>
        <w:spacing w:line="360" w:lineRule="auto"/>
        <w:ind w:firstLineChars="200" w:firstLine="420"/>
        <w:rPr>
          <w:bCs/>
          <w:szCs w:val="21"/>
        </w:rPr>
      </w:pPr>
      <w:r>
        <w:rPr>
          <w:rFonts w:hint="eastAsia"/>
          <w:bCs/>
          <w:szCs w:val="21"/>
        </w:rPr>
        <w:t>基金份额持有人大会决议分为一般决议和特别决议：</w:t>
      </w:r>
    </w:p>
    <w:p w14:paraId="440B52A8"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、一般决议，一般决议须经参加大会的基金份额持有人或其代理人所持表决权的二分之一以上（含二分之一）通过方为有效；除下列第</w:t>
      </w:r>
      <w:r>
        <w:rPr>
          <w:rFonts w:hint="eastAsia"/>
          <w:bCs/>
          <w:szCs w:val="21"/>
        </w:rPr>
        <w:t>2</w:t>
      </w:r>
      <w:r>
        <w:rPr>
          <w:rFonts w:hint="eastAsia"/>
          <w:bCs/>
          <w:szCs w:val="21"/>
        </w:rPr>
        <w:t>项所规定的须以特别决议通过事项以外的其他事项均以一般决议的方式通过。</w:t>
      </w:r>
    </w:p>
    <w:p w14:paraId="016EE003"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5947290" w14:textId="77777777" w:rsidR="00BF38BB" w:rsidRDefault="002837D7">
      <w:pPr>
        <w:spacing w:line="360" w:lineRule="auto"/>
        <w:ind w:firstLineChars="200" w:firstLine="420"/>
        <w:rPr>
          <w:bCs/>
          <w:szCs w:val="21"/>
        </w:rPr>
      </w:pPr>
      <w:r>
        <w:rPr>
          <w:rFonts w:hint="eastAsia"/>
          <w:bCs/>
          <w:szCs w:val="21"/>
        </w:rPr>
        <w:t>基金份额持有人大会采取记名方式进行投票表决。</w:t>
      </w:r>
    </w:p>
    <w:p w14:paraId="7AFBBCE0" w14:textId="77777777" w:rsidR="00BF38BB" w:rsidRDefault="002837D7">
      <w:pPr>
        <w:spacing w:line="360" w:lineRule="auto"/>
        <w:ind w:firstLineChars="200" w:firstLine="420"/>
        <w:rPr>
          <w:bCs/>
          <w:szCs w:val="21"/>
        </w:rPr>
      </w:pPr>
      <w:r>
        <w:rPr>
          <w:rFonts w:hint="eastAsia"/>
          <w:bCs/>
          <w:szCs w:val="21"/>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w:t>
      </w:r>
      <w:r>
        <w:rPr>
          <w:rFonts w:hint="eastAsia"/>
          <w:bCs/>
          <w:szCs w:val="21"/>
        </w:rPr>
        <w:t>，但应当计入出具书面意见的基金份额持有人所代表的基金份额总数。</w:t>
      </w:r>
    </w:p>
    <w:p w14:paraId="2689DC6B" w14:textId="77777777" w:rsidR="00BF38BB" w:rsidRDefault="002837D7">
      <w:pPr>
        <w:spacing w:line="360" w:lineRule="auto"/>
        <w:ind w:firstLineChars="200" w:firstLine="420"/>
        <w:rPr>
          <w:bCs/>
          <w:szCs w:val="21"/>
        </w:rPr>
      </w:pPr>
      <w:r>
        <w:rPr>
          <w:rFonts w:hint="eastAsia"/>
          <w:bCs/>
          <w:szCs w:val="21"/>
        </w:rPr>
        <w:t>基金份额持有人大会的各项提案或同一项提案内并列的各项议题应当分开审议、逐项表决。</w:t>
      </w:r>
    </w:p>
    <w:p w14:paraId="11D9BA7C" w14:textId="77777777" w:rsidR="00BF38BB" w:rsidRDefault="002837D7">
      <w:pPr>
        <w:spacing w:line="360" w:lineRule="auto"/>
        <w:ind w:firstLineChars="200" w:firstLine="420"/>
        <w:rPr>
          <w:bCs/>
          <w:szCs w:val="21"/>
        </w:rPr>
      </w:pPr>
      <w:r>
        <w:rPr>
          <w:rFonts w:hint="eastAsia"/>
          <w:bCs/>
          <w:szCs w:val="21"/>
        </w:rPr>
        <w:t>七）</w:t>
      </w:r>
      <w:r>
        <w:rPr>
          <w:bCs/>
          <w:szCs w:val="21"/>
        </w:rPr>
        <w:t>计票</w:t>
      </w:r>
    </w:p>
    <w:p w14:paraId="68D3D0B4"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、现场开会</w:t>
      </w:r>
    </w:p>
    <w:p w14:paraId="20FA894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人士共同担任计票人；如大会由基金份额持有人自行召集或大会虽然由基金管理人或基金托管人召集，但是基金管理人或基金托管人未出席大会的，基金份额持有人大会的主持人应当在会议开始</w:t>
      </w:r>
      <w:r>
        <w:rPr>
          <w:rFonts w:hint="eastAsia"/>
          <w:bCs/>
          <w:szCs w:val="21"/>
        </w:rPr>
        <w:t>后宣布在出席会议的基金份额持有人中选举三名基金份额持有人代表担任计票人。基金管理人或基金托管人不出席大会的，不影响计票的效力。</w:t>
      </w:r>
    </w:p>
    <w:p w14:paraId="4671DE68" w14:textId="77777777" w:rsidR="00BF38BB" w:rsidRDefault="002837D7">
      <w:pPr>
        <w:spacing w:line="360" w:lineRule="auto"/>
        <w:ind w:firstLineChars="200" w:firstLine="420"/>
        <w:rPr>
          <w:bCs/>
          <w:szCs w:val="21"/>
        </w:rPr>
      </w:pPr>
      <w:r>
        <w:rPr>
          <w:rFonts w:hint="eastAsia"/>
          <w:bCs/>
          <w:szCs w:val="21"/>
        </w:rPr>
        <w:lastRenderedPageBreak/>
        <w:t>（</w:t>
      </w:r>
      <w:r>
        <w:rPr>
          <w:rFonts w:hint="eastAsia"/>
          <w:bCs/>
          <w:szCs w:val="21"/>
        </w:rPr>
        <w:t>2</w:t>
      </w:r>
      <w:r>
        <w:rPr>
          <w:rFonts w:hint="eastAsia"/>
          <w:bCs/>
          <w:szCs w:val="21"/>
        </w:rPr>
        <w:t>）计票人应当在基金份额持有人表决后立即进行清点并由大会主持人当场公布计票结果。</w:t>
      </w:r>
    </w:p>
    <w:p w14:paraId="196E25A8"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如果会议主持人或基金份额持有人或代理人对于提交的表决结果有异议，可以在宣布表决结果后立即要求对所投票数进行重新清点。计票人应当进行重新清点，重新清点以一次为限。重新清点后，大会主持人应当当场公布重新清点结果。</w:t>
      </w:r>
    </w:p>
    <w:p w14:paraId="31A76AC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）计票过程应由公证机关予以公证，基金管理人或基金托管人拒不出席大会的，不影响计票</w:t>
      </w:r>
      <w:r>
        <w:rPr>
          <w:rFonts w:hint="eastAsia"/>
          <w:bCs/>
          <w:szCs w:val="21"/>
        </w:rPr>
        <w:t>的效力。</w:t>
      </w:r>
    </w:p>
    <w:p w14:paraId="7EB76E50"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、通讯开会</w:t>
      </w:r>
    </w:p>
    <w:p w14:paraId="5E0FEB19" w14:textId="77777777" w:rsidR="00BF38BB" w:rsidRDefault="002837D7">
      <w:pPr>
        <w:spacing w:line="360" w:lineRule="auto"/>
        <w:ind w:firstLineChars="200" w:firstLine="420"/>
        <w:rPr>
          <w:bCs/>
          <w:szCs w:val="21"/>
        </w:rPr>
      </w:pPr>
      <w:r>
        <w:rPr>
          <w:rFonts w:hint="eastAsia"/>
          <w:bCs/>
          <w:szCs w:val="21"/>
        </w:rPr>
        <w:t>在通讯开会的情况下，计票方式为：由大会召集人授权的两名人士在基金托管人授权代表（若由基金托管人召集，则为基金管理人授权代表）的监督下进行计票，并由公证机关对计票过程予以公证。基金管理人或基金托管人拒派代表对书面表决意见的计票进行监督的，不影响计票和表决结果。</w:t>
      </w:r>
    </w:p>
    <w:p w14:paraId="23BAF7A0" w14:textId="77777777" w:rsidR="00BF38BB" w:rsidRDefault="002837D7">
      <w:pPr>
        <w:spacing w:line="360" w:lineRule="auto"/>
        <w:ind w:firstLineChars="200" w:firstLine="420"/>
        <w:rPr>
          <w:bCs/>
          <w:szCs w:val="21"/>
        </w:rPr>
      </w:pPr>
      <w:r>
        <w:rPr>
          <w:rFonts w:hint="eastAsia"/>
          <w:bCs/>
          <w:szCs w:val="21"/>
        </w:rPr>
        <w:t>八）</w:t>
      </w:r>
      <w:r>
        <w:rPr>
          <w:bCs/>
          <w:szCs w:val="21"/>
        </w:rPr>
        <w:t>生效与公告</w:t>
      </w:r>
    </w:p>
    <w:p w14:paraId="56BA6AEC" w14:textId="77777777" w:rsidR="00BF38BB" w:rsidRDefault="002837D7">
      <w:pPr>
        <w:spacing w:line="360" w:lineRule="auto"/>
        <w:ind w:firstLineChars="200" w:firstLine="420"/>
        <w:rPr>
          <w:bCs/>
          <w:szCs w:val="21"/>
        </w:rPr>
      </w:pPr>
      <w:r>
        <w:rPr>
          <w:rFonts w:hint="eastAsia"/>
          <w:bCs/>
          <w:szCs w:val="21"/>
        </w:rPr>
        <w:t>基金份额持有人大会的决议，召集人应当自通过之日起</w:t>
      </w:r>
      <w:r>
        <w:rPr>
          <w:rFonts w:hint="eastAsia"/>
          <w:bCs/>
          <w:szCs w:val="21"/>
        </w:rPr>
        <w:t>5</w:t>
      </w:r>
      <w:r>
        <w:rPr>
          <w:rFonts w:hint="eastAsia"/>
          <w:bCs/>
          <w:szCs w:val="21"/>
        </w:rPr>
        <w:t>日内报中国证监会备案。</w:t>
      </w:r>
    </w:p>
    <w:p w14:paraId="48A4C99C" w14:textId="77777777" w:rsidR="00BF38BB" w:rsidRDefault="002837D7">
      <w:pPr>
        <w:spacing w:line="360" w:lineRule="auto"/>
        <w:ind w:firstLineChars="200" w:firstLine="420"/>
        <w:rPr>
          <w:bCs/>
          <w:szCs w:val="21"/>
        </w:rPr>
      </w:pPr>
      <w:r>
        <w:rPr>
          <w:rFonts w:hint="eastAsia"/>
          <w:bCs/>
          <w:szCs w:val="21"/>
        </w:rPr>
        <w:t>基金份额持有人大会的决议自表决通过之日起生效。该表决通过之日为基金份额持有人大会计票完成且计票结果符合法律法规和基金合同规定的决议通过条件</w:t>
      </w:r>
      <w:r>
        <w:rPr>
          <w:rFonts w:hint="eastAsia"/>
          <w:bCs/>
          <w:szCs w:val="21"/>
        </w:rPr>
        <w:t>之日。</w:t>
      </w:r>
    </w:p>
    <w:p w14:paraId="74D73265" w14:textId="77777777" w:rsidR="00BF38BB" w:rsidRDefault="002837D7">
      <w:pPr>
        <w:spacing w:line="360" w:lineRule="auto"/>
        <w:ind w:firstLineChars="200" w:firstLine="420"/>
        <w:rPr>
          <w:bCs/>
          <w:szCs w:val="21"/>
        </w:rPr>
      </w:pPr>
      <w:r>
        <w:rPr>
          <w:rFonts w:hint="eastAsia"/>
          <w:bCs/>
          <w:szCs w:val="21"/>
        </w:rPr>
        <w:t>基金份额持有人大会决议生效后应按照《信息披露办法》的规定在规定媒介上公告。</w:t>
      </w:r>
    </w:p>
    <w:p w14:paraId="7EB54CE4" w14:textId="77777777" w:rsidR="00BF38BB" w:rsidRDefault="002837D7">
      <w:pPr>
        <w:spacing w:line="360" w:lineRule="auto"/>
        <w:ind w:firstLineChars="200" w:firstLine="420"/>
        <w:rPr>
          <w:bCs/>
          <w:szCs w:val="21"/>
        </w:rPr>
      </w:pPr>
      <w:r>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0C53BEF1" w14:textId="77777777" w:rsidR="00BF38BB" w:rsidRDefault="002837D7">
      <w:pPr>
        <w:spacing w:line="360" w:lineRule="auto"/>
        <w:ind w:firstLineChars="200" w:firstLine="420"/>
        <w:rPr>
          <w:bCs/>
          <w:szCs w:val="21"/>
        </w:rPr>
      </w:pPr>
      <w:r>
        <w:rPr>
          <w:rFonts w:hint="eastAsia"/>
          <w:bCs/>
          <w:szCs w:val="21"/>
        </w:rPr>
        <w:t>九）实施侧袋机制期间基金份额持有人大会的特殊约定</w:t>
      </w:r>
    </w:p>
    <w:p w14:paraId="03D0DDA0" w14:textId="77777777" w:rsidR="00BF38BB" w:rsidRDefault="002837D7">
      <w:pPr>
        <w:spacing w:line="360" w:lineRule="auto"/>
        <w:ind w:firstLineChars="200" w:firstLine="420"/>
        <w:rPr>
          <w:bCs/>
          <w:szCs w:val="21"/>
        </w:rPr>
      </w:pPr>
      <w:r>
        <w:rPr>
          <w:rFonts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w:t>
      </w:r>
      <w:r>
        <w:rPr>
          <w:rFonts w:hint="eastAsia"/>
          <w:bCs/>
          <w:szCs w:val="21"/>
        </w:rPr>
        <w:t>表的基金份额或表决权符合该等比例：</w:t>
      </w:r>
    </w:p>
    <w:p w14:paraId="7ED2EDD5"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、基金份额持有人行使提议权、召集权、提名权所需单独或合计代表相关基金份额</w:t>
      </w:r>
      <w:r>
        <w:rPr>
          <w:rFonts w:hint="eastAsia"/>
          <w:bCs/>
          <w:szCs w:val="21"/>
        </w:rPr>
        <w:t>10%</w:t>
      </w:r>
      <w:r>
        <w:rPr>
          <w:rFonts w:hint="eastAsia"/>
          <w:bCs/>
          <w:szCs w:val="21"/>
        </w:rPr>
        <w:t>以上（含</w:t>
      </w:r>
      <w:r>
        <w:rPr>
          <w:rFonts w:hint="eastAsia"/>
          <w:bCs/>
          <w:szCs w:val="21"/>
        </w:rPr>
        <w:t>10%</w:t>
      </w:r>
      <w:r>
        <w:rPr>
          <w:rFonts w:hint="eastAsia"/>
          <w:bCs/>
          <w:szCs w:val="21"/>
        </w:rPr>
        <w:t>）；</w:t>
      </w:r>
    </w:p>
    <w:p w14:paraId="7CFAF2BF"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、现场开会的到会者在权益登记日代表的基金份额不少于本基金在权益登记日相关基金份额的二分之一（含二分之一）；</w:t>
      </w:r>
    </w:p>
    <w:p w14:paraId="423F78A8"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、通讯开会的直接出具书面意见或授权他人代表出具书面意见的基金份额持有人所持有的基金份额不小于在权益登记日相关基金份额的二分之一（含二分之一）；</w:t>
      </w:r>
    </w:p>
    <w:p w14:paraId="180494D5"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、若参与基金份额持有人大会投票的基金份额持有人所持有的基金份额小于在权益登记日相关基金份额的二分之一，召集人在原公告的</w:t>
      </w:r>
      <w:r>
        <w:rPr>
          <w:rFonts w:hint="eastAsia"/>
          <w:bCs/>
          <w:szCs w:val="21"/>
        </w:rPr>
        <w:t>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14:paraId="02CE7404"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、现场开会由出席大会的基金份额持有人和代理人所持表决权的</w:t>
      </w:r>
      <w:r>
        <w:rPr>
          <w:rFonts w:hint="eastAsia"/>
          <w:bCs/>
          <w:szCs w:val="21"/>
        </w:rPr>
        <w:t>50%</w:t>
      </w:r>
      <w:r>
        <w:rPr>
          <w:rFonts w:hint="eastAsia"/>
          <w:bCs/>
          <w:szCs w:val="21"/>
        </w:rPr>
        <w:t>以上（含</w:t>
      </w:r>
      <w:r>
        <w:rPr>
          <w:rFonts w:hint="eastAsia"/>
          <w:bCs/>
          <w:szCs w:val="21"/>
        </w:rPr>
        <w:t>50%</w:t>
      </w:r>
      <w:r>
        <w:rPr>
          <w:rFonts w:hint="eastAsia"/>
          <w:bCs/>
          <w:szCs w:val="21"/>
        </w:rPr>
        <w:t>）选举产生一名基</w:t>
      </w:r>
      <w:r>
        <w:rPr>
          <w:rFonts w:hint="eastAsia"/>
          <w:bCs/>
          <w:szCs w:val="21"/>
        </w:rPr>
        <w:lastRenderedPageBreak/>
        <w:t>金份额持有人作为该次基金份额持有人大会的主持人；</w:t>
      </w:r>
    </w:p>
    <w:p w14:paraId="45457F9D"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、一般决议须经参加大会的基金份额持有人或其代理人所持表决权的二分之一以上（含二分之一）通过；</w:t>
      </w:r>
    </w:p>
    <w:p w14:paraId="163D92CA" w14:textId="77777777" w:rsidR="00BF38BB" w:rsidRDefault="002837D7">
      <w:pPr>
        <w:spacing w:line="360" w:lineRule="auto"/>
        <w:ind w:firstLineChars="200" w:firstLine="420"/>
        <w:rPr>
          <w:bCs/>
          <w:szCs w:val="21"/>
        </w:rPr>
      </w:pPr>
      <w:r>
        <w:rPr>
          <w:rFonts w:hint="eastAsia"/>
          <w:bCs/>
          <w:szCs w:val="21"/>
        </w:rPr>
        <w:t>7</w:t>
      </w:r>
      <w:r>
        <w:rPr>
          <w:rFonts w:hint="eastAsia"/>
          <w:bCs/>
          <w:szCs w:val="21"/>
        </w:rPr>
        <w:t>、特别决议应当经参加大会的基金份额持有人或其代理人所持表决权的三分之二以上（含三分之二）通过。</w:t>
      </w:r>
    </w:p>
    <w:p w14:paraId="53351750" w14:textId="77777777" w:rsidR="00BF38BB" w:rsidRDefault="002837D7">
      <w:pPr>
        <w:spacing w:line="360" w:lineRule="auto"/>
        <w:ind w:firstLineChars="200" w:firstLine="420"/>
        <w:rPr>
          <w:bCs/>
          <w:szCs w:val="21"/>
        </w:rPr>
      </w:pPr>
      <w:r>
        <w:rPr>
          <w:rFonts w:hint="eastAsia"/>
          <w:bCs/>
          <w:szCs w:val="21"/>
        </w:rPr>
        <w:t>同一主侧袋账户内的每份基金份额具有平等的表决权。</w:t>
      </w:r>
    </w:p>
    <w:p w14:paraId="36CC404A" w14:textId="77777777" w:rsidR="00BF38BB" w:rsidRDefault="002837D7">
      <w:pPr>
        <w:spacing w:line="360" w:lineRule="auto"/>
        <w:ind w:firstLineChars="200" w:firstLine="420"/>
        <w:rPr>
          <w:bCs/>
          <w:szCs w:val="21"/>
        </w:rPr>
      </w:pPr>
      <w:r>
        <w:rPr>
          <w:rFonts w:hint="eastAsia"/>
          <w:bCs/>
          <w:szCs w:val="21"/>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履行适当程序并提前公告后，可直接对本部分内容进行修改和调整，无需召开基金份额持有人大会审议。</w:t>
      </w:r>
    </w:p>
    <w:p w14:paraId="54CB23C2" w14:textId="77777777" w:rsidR="00BF38BB" w:rsidRDefault="002837D7">
      <w:pPr>
        <w:spacing w:line="360" w:lineRule="auto"/>
        <w:ind w:firstLineChars="200" w:firstLine="420"/>
        <w:rPr>
          <w:bCs/>
          <w:szCs w:val="21"/>
        </w:rPr>
      </w:pPr>
      <w:r>
        <w:rPr>
          <w:rFonts w:hint="eastAsia"/>
          <w:bCs/>
          <w:szCs w:val="21"/>
        </w:rPr>
        <w:t>（三）基金合同的变更、终止与基金财产的清算</w:t>
      </w:r>
    </w:p>
    <w:p w14:paraId="1027B141" w14:textId="77777777" w:rsidR="00BF38BB" w:rsidRDefault="002837D7">
      <w:pPr>
        <w:spacing w:line="360" w:lineRule="auto"/>
        <w:ind w:firstLineChars="200" w:firstLine="420"/>
        <w:rPr>
          <w:bCs/>
          <w:szCs w:val="21"/>
        </w:rPr>
      </w:pPr>
      <w:r>
        <w:rPr>
          <w:rFonts w:hint="eastAsia"/>
          <w:bCs/>
          <w:szCs w:val="21"/>
        </w:rPr>
        <w:t>一）</w:t>
      </w:r>
      <w:r>
        <w:rPr>
          <w:bCs/>
          <w:szCs w:val="21"/>
        </w:rPr>
        <w:t>基金合同的变更</w:t>
      </w:r>
    </w:p>
    <w:p w14:paraId="5DC7D40B"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在履行适当程序后变更并公告。</w:t>
      </w:r>
    </w:p>
    <w:p w14:paraId="561E8422"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、关于基金合同变更的基金份额持有人大会决议自通过之日起生效。信息披露义务人应在决议生效后依照《信息披露办法》的有关规定在规定媒介公告</w:t>
      </w:r>
      <w:r>
        <w:rPr>
          <w:bCs/>
          <w:szCs w:val="21"/>
        </w:rPr>
        <w:t>。</w:t>
      </w:r>
    </w:p>
    <w:p w14:paraId="6BBFF9E5" w14:textId="77777777" w:rsidR="00BF38BB" w:rsidRDefault="002837D7">
      <w:pPr>
        <w:spacing w:line="360" w:lineRule="auto"/>
        <w:ind w:firstLineChars="200" w:firstLine="420"/>
        <w:rPr>
          <w:bCs/>
          <w:szCs w:val="21"/>
        </w:rPr>
      </w:pPr>
      <w:r>
        <w:rPr>
          <w:rFonts w:hint="eastAsia"/>
          <w:bCs/>
          <w:szCs w:val="21"/>
        </w:rPr>
        <w:t>二）</w:t>
      </w:r>
      <w:r>
        <w:rPr>
          <w:bCs/>
          <w:szCs w:val="21"/>
        </w:rPr>
        <w:t>基金合同的终止事由</w:t>
      </w:r>
    </w:p>
    <w:p w14:paraId="3EE2B576" w14:textId="77777777" w:rsidR="00BF38BB" w:rsidRDefault="002837D7">
      <w:pPr>
        <w:spacing w:line="360" w:lineRule="auto"/>
        <w:ind w:firstLineChars="200" w:firstLine="420"/>
        <w:rPr>
          <w:bCs/>
          <w:szCs w:val="21"/>
        </w:rPr>
      </w:pPr>
      <w:r>
        <w:rPr>
          <w:rFonts w:hint="eastAsia"/>
          <w:bCs/>
          <w:szCs w:val="21"/>
        </w:rPr>
        <w:t>有下列情形之一的，经履行相关程序后，基金合同应当终止：</w:t>
      </w:r>
    </w:p>
    <w:p w14:paraId="1A583FAB"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、基金份额持有人大会决定终止的；</w:t>
      </w:r>
    </w:p>
    <w:p w14:paraId="468F47C1"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w:t>
      </w:r>
      <w:r>
        <w:rPr>
          <w:rFonts w:hint="eastAsia"/>
          <w:bCs/>
          <w:szCs w:val="21"/>
        </w:rPr>
        <w:t>金管理人、基金托管人职责终止，在</w:t>
      </w:r>
      <w:r>
        <w:rPr>
          <w:rFonts w:hint="eastAsia"/>
          <w:bCs/>
          <w:szCs w:val="21"/>
        </w:rPr>
        <w:t>6</w:t>
      </w:r>
      <w:r>
        <w:rPr>
          <w:rFonts w:hint="eastAsia"/>
          <w:bCs/>
          <w:szCs w:val="21"/>
        </w:rPr>
        <w:t>个月内没有新基金管理人、新基金托管人承接的；</w:t>
      </w:r>
    </w:p>
    <w:p w14:paraId="01C09FA4"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5B918F7"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、基金合同约定的其他情形；</w:t>
      </w:r>
    </w:p>
    <w:p w14:paraId="38FF9306"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、相关法律法规和中国证监会规定的其他情况。</w:t>
      </w:r>
    </w:p>
    <w:p w14:paraId="3FB82F1C" w14:textId="77777777" w:rsidR="00BF38BB" w:rsidRDefault="002837D7">
      <w:pPr>
        <w:spacing w:line="360" w:lineRule="auto"/>
        <w:ind w:firstLineChars="200" w:firstLine="420"/>
        <w:rPr>
          <w:bCs/>
          <w:szCs w:val="21"/>
        </w:rPr>
      </w:pPr>
      <w:r>
        <w:rPr>
          <w:rFonts w:hint="eastAsia"/>
          <w:bCs/>
          <w:szCs w:val="21"/>
        </w:rPr>
        <w:t>三）</w:t>
      </w:r>
      <w:r>
        <w:rPr>
          <w:bCs/>
          <w:szCs w:val="21"/>
        </w:rPr>
        <w:t>基金财产的清算</w:t>
      </w:r>
    </w:p>
    <w:p w14:paraId="17F42E86"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、基金财产清算小组：自出现基金合同的终止事由之日起</w:t>
      </w:r>
      <w:r>
        <w:rPr>
          <w:rFonts w:hint="eastAsia"/>
          <w:bCs/>
          <w:szCs w:val="21"/>
        </w:rPr>
        <w:t>30</w:t>
      </w:r>
      <w:r>
        <w:rPr>
          <w:rFonts w:hint="eastAsia"/>
          <w:bCs/>
          <w:szCs w:val="21"/>
        </w:rPr>
        <w:t>个工作日内成立基金财产清算小组，基金管理</w:t>
      </w:r>
      <w:r>
        <w:rPr>
          <w:rFonts w:hint="eastAsia"/>
          <w:bCs/>
          <w:szCs w:val="21"/>
        </w:rPr>
        <w:t>人组织基金财产清算小组并在中国证监会的监督下进行基金清算。</w:t>
      </w:r>
    </w:p>
    <w:p w14:paraId="0DA98CFF"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、在基金财产清算小组接管基金财产之前，基金管理人和基金托管人应按照基金合同和托管协议的规</w:t>
      </w:r>
      <w:r>
        <w:rPr>
          <w:rFonts w:hint="eastAsia"/>
          <w:bCs/>
          <w:szCs w:val="21"/>
        </w:rPr>
        <w:lastRenderedPageBreak/>
        <w:t>定继续履行保护基金财产安全的职责。</w:t>
      </w:r>
    </w:p>
    <w:p w14:paraId="3C92BC99"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、基金财产清算小组组成：基金财产清算小组成员由基金管理人、基金托管人、符合《中华人民共和国证券法》规定的注册会计师、律师组成。基金财产清算小组可以聘用必要的工作人员。</w:t>
      </w:r>
    </w:p>
    <w:p w14:paraId="645A08A1"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、基金财产清算小组职责：基金财产清算小组负责基金财产的保管、清理、估价、变现和分配。基金财产清算小组可以依法进行必要的民事活动。</w:t>
      </w:r>
    </w:p>
    <w:p w14:paraId="6D09FA87"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、基金财产清算程序：</w:t>
      </w:r>
    </w:p>
    <w:p w14:paraId="32DCF86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）基金财产清算小组成立后，由基金财产清算小组统一接管基金；</w:t>
      </w:r>
    </w:p>
    <w:p w14:paraId="6232DF9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）对基金财产和债权债务进行清理和确认；</w:t>
      </w:r>
    </w:p>
    <w:p w14:paraId="54B8589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）对基金财产进行估值和变现；</w:t>
      </w:r>
    </w:p>
    <w:p w14:paraId="3F2C075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）制作清算报告；</w:t>
      </w:r>
    </w:p>
    <w:p w14:paraId="1722E7C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）聘请会计师事务所对清算报告进行外部审计，聘请律师事务所对清算报告出具法律意见书；</w:t>
      </w:r>
    </w:p>
    <w:p w14:paraId="3121ABB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）将清算报告报中国证监会备案并公告；</w:t>
      </w:r>
    </w:p>
    <w:p w14:paraId="73C51B5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）对基金剩余财产进行分配。</w:t>
      </w:r>
    </w:p>
    <w:p w14:paraId="6BB7AC1A"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、基金财产清算的期限为</w:t>
      </w:r>
      <w:r>
        <w:rPr>
          <w:rFonts w:hint="eastAsia"/>
          <w:bCs/>
          <w:szCs w:val="21"/>
        </w:rPr>
        <w:t>6</w:t>
      </w:r>
      <w:r>
        <w:rPr>
          <w:rFonts w:hint="eastAsia"/>
          <w:bCs/>
          <w:szCs w:val="21"/>
        </w:rPr>
        <w:t>个月，但因本基金所持证券的流动性受到限制而不能及时变现、结算保证金相关规定等客观因素，清算期限相应顺延。</w:t>
      </w:r>
    </w:p>
    <w:p w14:paraId="00526240" w14:textId="77777777" w:rsidR="00BF38BB" w:rsidRDefault="002837D7">
      <w:pPr>
        <w:spacing w:line="360" w:lineRule="auto"/>
        <w:ind w:firstLineChars="200" w:firstLine="420"/>
        <w:rPr>
          <w:bCs/>
          <w:szCs w:val="21"/>
        </w:rPr>
      </w:pPr>
      <w:r>
        <w:rPr>
          <w:rFonts w:hint="eastAsia"/>
          <w:bCs/>
          <w:szCs w:val="21"/>
        </w:rPr>
        <w:t>四）</w:t>
      </w:r>
      <w:r>
        <w:rPr>
          <w:bCs/>
          <w:szCs w:val="21"/>
        </w:rPr>
        <w:t>清算费用</w:t>
      </w:r>
    </w:p>
    <w:p w14:paraId="738FEE04" w14:textId="77777777" w:rsidR="00BF38BB" w:rsidRDefault="002837D7">
      <w:pPr>
        <w:spacing w:line="360" w:lineRule="auto"/>
        <w:ind w:firstLineChars="200" w:firstLine="420"/>
        <w:rPr>
          <w:bCs/>
          <w:szCs w:val="21"/>
        </w:rPr>
      </w:pPr>
      <w:r>
        <w:rPr>
          <w:rFonts w:hint="eastAsia"/>
          <w:bCs/>
          <w:szCs w:val="21"/>
        </w:rPr>
        <w:t>清算费用是指基金财产清算小组在进行基金清算过程中发生的所有合理费用，清算费用由基金财产清算小组优先从基金财产中支付。</w:t>
      </w:r>
    </w:p>
    <w:p w14:paraId="73AAF534" w14:textId="77777777" w:rsidR="00BF38BB" w:rsidRDefault="002837D7">
      <w:pPr>
        <w:spacing w:line="360" w:lineRule="auto"/>
        <w:ind w:firstLineChars="200" w:firstLine="420"/>
        <w:rPr>
          <w:bCs/>
          <w:szCs w:val="21"/>
        </w:rPr>
      </w:pPr>
      <w:r>
        <w:rPr>
          <w:rFonts w:hint="eastAsia"/>
          <w:bCs/>
          <w:szCs w:val="21"/>
        </w:rPr>
        <w:t>五）</w:t>
      </w:r>
      <w:r>
        <w:rPr>
          <w:bCs/>
          <w:szCs w:val="21"/>
        </w:rPr>
        <w:t>基金财产清算剩余资产的分配</w:t>
      </w:r>
    </w:p>
    <w:p w14:paraId="008DCDBF" w14:textId="77777777" w:rsidR="00BF38BB" w:rsidRDefault="002837D7">
      <w:pPr>
        <w:spacing w:line="360" w:lineRule="auto"/>
        <w:ind w:firstLineChars="200" w:firstLine="420"/>
        <w:rPr>
          <w:color w:val="000000"/>
          <w:szCs w:val="21"/>
        </w:rPr>
      </w:pPr>
      <w:r>
        <w:rPr>
          <w:rFonts w:hint="eastAsia"/>
          <w:color w:val="000000"/>
          <w:szCs w:val="21"/>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本类别基金份额的剩余资产具有同等的分配权。</w:t>
      </w:r>
    </w:p>
    <w:p w14:paraId="5B1AC39E" w14:textId="77777777" w:rsidR="00BF38BB" w:rsidRDefault="002837D7">
      <w:pPr>
        <w:spacing w:line="360" w:lineRule="auto"/>
        <w:ind w:firstLineChars="200" w:firstLine="420"/>
        <w:rPr>
          <w:bCs/>
          <w:szCs w:val="21"/>
        </w:rPr>
      </w:pPr>
      <w:r>
        <w:rPr>
          <w:rFonts w:hint="eastAsia"/>
          <w:bCs/>
          <w:szCs w:val="21"/>
        </w:rPr>
        <w:t>六）</w:t>
      </w:r>
      <w:r>
        <w:rPr>
          <w:bCs/>
          <w:szCs w:val="21"/>
        </w:rPr>
        <w:t>基金</w:t>
      </w:r>
      <w:r>
        <w:rPr>
          <w:bCs/>
          <w:szCs w:val="21"/>
        </w:rPr>
        <w:t>财产清算的公告</w:t>
      </w:r>
    </w:p>
    <w:p w14:paraId="2CCF7D2F" w14:textId="77777777" w:rsidR="00BF38BB" w:rsidRDefault="002837D7">
      <w:pPr>
        <w:spacing w:line="360" w:lineRule="auto"/>
        <w:ind w:firstLineChars="200" w:firstLine="420"/>
        <w:rPr>
          <w:bCs/>
          <w:szCs w:val="21"/>
        </w:rPr>
      </w:pPr>
      <w:r>
        <w:rPr>
          <w:rFonts w:hint="eastAsia"/>
          <w:bCs/>
          <w:szCs w:val="21"/>
        </w:rPr>
        <w:t>清算过程中的有关重大事项应及时公告；基金财产清算报告经符合《中华人民共和国证券法》规定的会计师事务所审计并由律师事务所出具法律意见书后报中国证监会备案并公告。基金财产清算报告报中国证监会备案后</w:t>
      </w:r>
      <w:r>
        <w:rPr>
          <w:rFonts w:hint="eastAsia"/>
          <w:bCs/>
          <w:szCs w:val="21"/>
        </w:rPr>
        <w:t>5</w:t>
      </w:r>
      <w:r>
        <w:rPr>
          <w:rFonts w:hint="eastAsia"/>
          <w:bCs/>
          <w:szCs w:val="21"/>
        </w:rPr>
        <w:t>个工作日内由基金财产清算小组进行公告。</w:t>
      </w:r>
    </w:p>
    <w:p w14:paraId="2F0251E3" w14:textId="77777777" w:rsidR="00BF38BB" w:rsidRDefault="002837D7">
      <w:pPr>
        <w:spacing w:line="360" w:lineRule="auto"/>
        <w:ind w:firstLineChars="200" w:firstLine="420"/>
        <w:rPr>
          <w:bCs/>
          <w:szCs w:val="21"/>
        </w:rPr>
      </w:pPr>
      <w:r>
        <w:rPr>
          <w:rFonts w:hint="eastAsia"/>
          <w:bCs/>
          <w:szCs w:val="21"/>
        </w:rPr>
        <w:t>七）</w:t>
      </w:r>
      <w:r>
        <w:rPr>
          <w:bCs/>
          <w:szCs w:val="21"/>
        </w:rPr>
        <w:t>基金财产清算账册及文件的保存</w:t>
      </w:r>
    </w:p>
    <w:p w14:paraId="070C34D4" w14:textId="77777777" w:rsidR="00BF38BB" w:rsidRDefault="002837D7">
      <w:pPr>
        <w:spacing w:line="360" w:lineRule="auto"/>
        <w:ind w:firstLineChars="200" w:firstLine="420"/>
        <w:rPr>
          <w:bCs/>
          <w:szCs w:val="21"/>
        </w:rPr>
      </w:pPr>
      <w:r>
        <w:rPr>
          <w:rFonts w:hint="eastAsia"/>
          <w:bCs/>
          <w:szCs w:val="21"/>
        </w:rPr>
        <w:t>基金财产清算账册及有关文件由基金托管人保存，保存期限不低于法律法规规定的最低年限。</w:t>
      </w:r>
    </w:p>
    <w:p w14:paraId="7A5367CD" w14:textId="77777777" w:rsidR="00BF38BB" w:rsidRDefault="002837D7">
      <w:pPr>
        <w:spacing w:line="360" w:lineRule="auto"/>
        <w:ind w:firstLineChars="200" w:firstLine="420"/>
        <w:rPr>
          <w:bCs/>
          <w:szCs w:val="21"/>
        </w:rPr>
      </w:pPr>
      <w:r>
        <w:rPr>
          <w:rFonts w:hint="eastAsia"/>
          <w:bCs/>
          <w:szCs w:val="21"/>
        </w:rPr>
        <w:t>（四）争议的处理和适用的法律</w:t>
      </w:r>
    </w:p>
    <w:p w14:paraId="6CC22BEA" w14:textId="77777777" w:rsidR="00BF38BB" w:rsidRDefault="002837D7">
      <w:pPr>
        <w:spacing w:line="360" w:lineRule="auto"/>
        <w:ind w:firstLineChars="200" w:firstLine="420"/>
        <w:rPr>
          <w:bCs/>
          <w:szCs w:val="21"/>
        </w:rPr>
      </w:pPr>
      <w:r>
        <w:rPr>
          <w:rFonts w:hint="eastAsia"/>
          <w:bCs/>
          <w:szCs w:val="21"/>
        </w:rPr>
        <w:lastRenderedPageBreak/>
        <w:t>各方当事人同意，因基金合同而产生的或与基金合同有关的一切争议，各方当事人应尽量通过协商、调解解决。协商、调解不能解</w:t>
      </w:r>
      <w:r>
        <w:rPr>
          <w:rFonts w:hint="eastAsia"/>
          <w:bCs/>
          <w:szCs w:val="21"/>
        </w:rPr>
        <w:t>决的，应当将争议提交上海国际经济贸易仲裁委员会，按照上海国际经济贸易仲裁委员会届时有效的仲裁规则进行仲裁。仲裁地点为上海市。仲裁裁决是终局的，对各方当事人均具有约束力。仲裁费用由败诉方承担，除非仲裁裁决另有决定。</w:t>
      </w:r>
    </w:p>
    <w:p w14:paraId="701BA75E" w14:textId="77777777" w:rsidR="00BF38BB" w:rsidRDefault="002837D7">
      <w:pPr>
        <w:spacing w:line="360" w:lineRule="auto"/>
        <w:ind w:firstLineChars="200" w:firstLine="420"/>
        <w:rPr>
          <w:bCs/>
          <w:szCs w:val="21"/>
        </w:rPr>
      </w:pPr>
      <w:r>
        <w:rPr>
          <w:rFonts w:hint="eastAsia"/>
          <w:bCs/>
          <w:szCs w:val="21"/>
        </w:rPr>
        <w:t>争议处理期间，各方当事人应恪守各自的职责，继续忠实、勤勉、尽责地履行基金合同规定的义务，维护基金份额持有人的合法权益。</w:t>
      </w:r>
    </w:p>
    <w:p w14:paraId="6FF0A89F" w14:textId="77777777" w:rsidR="00BF38BB" w:rsidRDefault="002837D7">
      <w:pPr>
        <w:spacing w:line="360" w:lineRule="auto"/>
        <w:ind w:firstLineChars="200" w:firstLine="420"/>
        <w:rPr>
          <w:bCs/>
          <w:szCs w:val="21"/>
        </w:rPr>
      </w:pPr>
      <w:r>
        <w:rPr>
          <w:rFonts w:hint="eastAsia"/>
          <w:bCs/>
          <w:szCs w:val="21"/>
        </w:rPr>
        <w:t>基金合同受中国法律（为本基金合同之目的，不包括香港特别行政区、澳门特别行政区和台湾地区法律）管辖。</w:t>
      </w:r>
    </w:p>
    <w:p w14:paraId="7E81D61E" w14:textId="77777777" w:rsidR="00BF38BB" w:rsidRDefault="002837D7">
      <w:pPr>
        <w:spacing w:line="360" w:lineRule="auto"/>
        <w:ind w:firstLineChars="200" w:firstLine="420"/>
        <w:rPr>
          <w:bCs/>
          <w:szCs w:val="21"/>
        </w:rPr>
      </w:pPr>
      <w:r>
        <w:rPr>
          <w:rFonts w:hint="eastAsia"/>
          <w:bCs/>
          <w:szCs w:val="21"/>
        </w:rPr>
        <w:t>（五）基金合同的效力</w:t>
      </w:r>
    </w:p>
    <w:p w14:paraId="56002E90" w14:textId="77777777" w:rsidR="00BF38BB" w:rsidRDefault="002837D7">
      <w:pPr>
        <w:spacing w:line="360" w:lineRule="auto"/>
        <w:ind w:firstLineChars="200" w:firstLine="420"/>
        <w:rPr>
          <w:bCs/>
          <w:szCs w:val="21"/>
        </w:rPr>
      </w:pPr>
      <w:bookmarkStart w:id="140" w:name="_Toc334542652"/>
      <w:bookmarkStart w:id="141" w:name="_Toc334542968"/>
      <w:bookmarkStart w:id="142" w:name="_Toc329187129"/>
      <w:r>
        <w:rPr>
          <w:rFonts w:hint="eastAsia"/>
          <w:bCs/>
          <w:szCs w:val="21"/>
        </w:rPr>
        <w:t>基金合同是约定基金合同当事人之间权利义务关系的法律文件。</w:t>
      </w:r>
    </w:p>
    <w:p w14:paraId="60073948"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、基金合同经基金管理人、基金托管人双方盖章以及双方法定代表人或授权代表签字</w:t>
      </w:r>
      <w:r>
        <w:rPr>
          <w:rFonts w:hint="eastAsia"/>
          <w:bCs/>
          <w:szCs w:val="21"/>
        </w:rPr>
        <w:t>/</w:t>
      </w:r>
      <w:r>
        <w:rPr>
          <w:rFonts w:hint="eastAsia"/>
          <w:bCs/>
          <w:szCs w:val="21"/>
        </w:rPr>
        <w:t>签章并在募集结束后经基金管理人向中国证监会办理基金备案手续，经中国证监会书面确认后生效。</w:t>
      </w:r>
    </w:p>
    <w:p w14:paraId="102D5960"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、基金合同的有效期自其生效之日起至基金财产清算结果报中国证监会备案并公告之日止。</w:t>
      </w:r>
    </w:p>
    <w:p w14:paraId="36CA5FAA"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、基金合同自生效之日起对包括基金管理人、基金托管人和基金份额持有人在内的基金合同各方当事人具有同等的法律约束力。</w:t>
      </w:r>
    </w:p>
    <w:p w14:paraId="0CC4C18C"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、基金合同正本一式三份，除上报有关监管机构一份外，基金管理人、基金托管人各持有一份，每份具有同等的法律效力。</w:t>
      </w:r>
    </w:p>
    <w:p w14:paraId="7341C197"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、基金合同可印制成册，供投资</w:t>
      </w:r>
      <w:r>
        <w:rPr>
          <w:rFonts w:hint="eastAsia"/>
          <w:bCs/>
          <w:szCs w:val="21"/>
        </w:rPr>
        <w:t>者在基金管理人、基金托管人、销售机构的办公场所和营业场所查阅。</w:t>
      </w:r>
    </w:p>
    <w:bookmarkEnd w:id="132"/>
    <w:bookmarkEnd w:id="133"/>
    <w:bookmarkEnd w:id="134"/>
    <w:p w14:paraId="3CACC4BA" w14:textId="77777777" w:rsidR="00BF38BB" w:rsidRDefault="00BF38BB">
      <w:pPr>
        <w:spacing w:line="360" w:lineRule="auto"/>
        <w:ind w:firstLineChars="200" w:firstLine="420"/>
        <w:rPr>
          <w:bCs/>
          <w:szCs w:val="21"/>
        </w:rPr>
      </w:pPr>
    </w:p>
    <w:p w14:paraId="4B03EB9C" w14:textId="77777777" w:rsidR="00BF38BB" w:rsidRDefault="00BF38BB">
      <w:pPr>
        <w:spacing w:line="360" w:lineRule="auto"/>
        <w:ind w:firstLineChars="200" w:firstLine="420"/>
        <w:rPr>
          <w:bCs/>
          <w:szCs w:val="21"/>
        </w:rPr>
      </w:pPr>
    </w:p>
    <w:p w14:paraId="7072A9EB" w14:textId="77777777" w:rsidR="00BF38BB" w:rsidRDefault="00BF38BB">
      <w:pPr>
        <w:spacing w:line="360" w:lineRule="auto"/>
        <w:ind w:firstLineChars="200" w:firstLine="420"/>
        <w:rPr>
          <w:bCs/>
          <w:szCs w:val="21"/>
        </w:rPr>
      </w:pPr>
    </w:p>
    <w:p w14:paraId="79ED8BF0" w14:textId="77777777" w:rsidR="00BF38BB" w:rsidRDefault="00BF38BB">
      <w:pPr>
        <w:spacing w:line="360" w:lineRule="auto"/>
        <w:ind w:firstLineChars="200" w:firstLine="420"/>
        <w:rPr>
          <w:bCs/>
          <w:szCs w:val="21"/>
        </w:rPr>
      </w:pPr>
    </w:p>
    <w:p w14:paraId="291E61DC" w14:textId="77777777" w:rsidR="00BF38BB" w:rsidRDefault="00BF38BB">
      <w:pPr>
        <w:spacing w:line="360" w:lineRule="auto"/>
        <w:ind w:firstLineChars="200" w:firstLine="420"/>
        <w:rPr>
          <w:bCs/>
          <w:szCs w:val="21"/>
        </w:rPr>
      </w:pPr>
    </w:p>
    <w:p w14:paraId="0D9D0F83" w14:textId="77777777" w:rsidR="00BF38BB" w:rsidRDefault="00BF38BB">
      <w:pPr>
        <w:spacing w:line="360" w:lineRule="auto"/>
        <w:ind w:firstLineChars="200" w:firstLine="420"/>
        <w:rPr>
          <w:bCs/>
          <w:szCs w:val="21"/>
        </w:rPr>
      </w:pPr>
    </w:p>
    <w:p w14:paraId="5D68DF38" w14:textId="77777777" w:rsidR="00BF38BB" w:rsidRDefault="00BF38BB">
      <w:pPr>
        <w:spacing w:line="360" w:lineRule="auto"/>
        <w:ind w:firstLineChars="200" w:firstLine="420"/>
        <w:rPr>
          <w:bCs/>
          <w:szCs w:val="21"/>
        </w:rPr>
      </w:pPr>
    </w:p>
    <w:p w14:paraId="1B483DE3" w14:textId="77777777" w:rsidR="00BF38BB" w:rsidRDefault="00BF38BB">
      <w:pPr>
        <w:spacing w:line="360" w:lineRule="auto"/>
        <w:ind w:firstLineChars="200" w:firstLine="420"/>
        <w:rPr>
          <w:bCs/>
          <w:szCs w:val="21"/>
        </w:rPr>
      </w:pPr>
    </w:p>
    <w:p w14:paraId="3D7AFF70" w14:textId="77777777" w:rsidR="00BF38BB" w:rsidRDefault="00BF38BB">
      <w:pPr>
        <w:spacing w:line="360" w:lineRule="auto"/>
        <w:ind w:firstLineChars="200" w:firstLine="420"/>
        <w:rPr>
          <w:bCs/>
          <w:szCs w:val="21"/>
        </w:rPr>
      </w:pPr>
    </w:p>
    <w:p w14:paraId="32A63A97" w14:textId="77777777" w:rsidR="00BF38BB" w:rsidRDefault="00BF38BB">
      <w:pPr>
        <w:spacing w:line="360" w:lineRule="auto"/>
        <w:ind w:firstLineChars="200" w:firstLine="420"/>
        <w:rPr>
          <w:bCs/>
          <w:szCs w:val="21"/>
        </w:rPr>
      </w:pPr>
    </w:p>
    <w:p w14:paraId="2E227099" w14:textId="77777777" w:rsidR="00BF38BB" w:rsidRDefault="00BF38BB">
      <w:pPr>
        <w:spacing w:line="360" w:lineRule="auto"/>
        <w:ind w:firstLineChars="200" w:firstLine="420"/>
        <w:rPr>
          <w:bCs/>
          <w:szCs w:val="21"/>
        </w:rPr>
      </w:pPr>
    </w:p>
    <w:p w14:paraId="7A466AD4" w14:textId="77777777" w:rsidR="00BF38BB" w:rsidRDefault="00BF38BB">
      <w:pPr>
        <w:widowControl/>
        <w:jc w:val="left"/>
        <w:rPr>
          <w:rFonts w:ascii="宋体"/>
          <w:b/>
          <w:bCs/>
          <w:color w:val="000000"/>
          <w:kern w:val="0"/>
          <w:sz w:val="20"/>
          <w:szCs w:val="21"/>
        </w:rPr>
      </w:pPr>
      <w:bookmarkStart w:id="143" w:name="_Toc69916745"/>
    </w:p>
    <w:p w14:paraId="7A7D51A1" w14:textId="77777777" w:rsidR="00BF38BB" w:rsidRDefault="002837D7">
      <w:pPr>
        <w:pStyle w:val="1"/>
        <w:spacing w:before="340" w:after="330"/>
        <w:jc w:val="center"/>
        <w:rPr>
          <w:rFonts w:hAnsi="宋体"/>
          <w:color w:val="auto"/>
          <w:kern w:val="44"/>
          <w:sz w:val="21"/>
        </w:rPr>
      </w:pPr>
      <w:r>
        <w:rPr>
          <w:rFonts w:hint="eastAsia"/>
          <w:bCs/>
          <w:szCs w:val="21"/>
        </w:rPr>
        <w:lastRenderedPageBreak/>
        <w:t>二十</w:t>
      </w:r>
      <w:r>
        <w:rPr>
          <w:bCs/>
          <w:szCs w:val="21"/>
        </w:rPr>
        <w:t>、基金托管协议的内容摘要</w:t>
      </w:r>
      <w:bookmarkEnd w:id="140"/>
      <w:bookmarkEnd w:id="141"/>
      <w:bookmarkEnd w:id="142"/>
      <w:bookmarkEnd w:id="143"/>
    </w:p>
    <w:p w14:paraId="34B18F31" w14:textId="77777777" w:rsidR="00BF38BB" w:rsidRDefault="002837D7">
      <w:pPr>
        <w:spacing w:line="360" w:lineRule="auto"/>
        <w:ind w:firstLineChars="200" w:firstLine="420"/>
        <w:rPr>
          <w:bCs/>
          <w:szCs w:val="21"/>
        </w:rPr>
      </w:pPr>
      <w:bookmarkStart w:id="144" w:name="_Toc329187130"/>
      <w:bookmarkStart w:id="145" w:name="_Toc334542969"/>
      <w:bookmarkStart w:id="146" w:name="_Toc334542653"/>
      <w:bookmarkEnd w:id="135"/>
      <w:r>
        <w:rPr>
          <w:rFonts w:hint="eastAsia"/>
          <w:bCs/>
          <w:szCs w:val="21"/>
        </w:rPr>
        <w:t>（一）托管协议当事人</w:t>
      </w:r>
    </w:p>
    <w:p w14:paraId="1ACF0E77" w14:textId="77777777" w:rsidR="00BF38BB" w:rsidRDefault="002837D7">
      <w:pPr>
        <w:spacing w:line="360" w:lineRule="auto"/>
        <w:ind w:firstLineChars="200" w:firstLine="420"/>
        <w:rPr>
          <w:bCs/>
          <w:szCs w:val="21"/>
        </w:rPr>
      </w:pPr>
      <w:bookmarkStart w:id="147" w:name="OLE_LINK3"/>
      <w:bookmarkEnd w:id="147"/>
      <w:r>
        <w:rPr>
          <w:rFonts w:hint="eastAsia"/>
          <w:bCs/>
          <w:szCs w:val="21"/>
        </w:rPr>
        <w:t>一）</w:t>
      </w:r>
      <w:r>
        <w:rPr>
          <w:bCs/>
          <w:szCs w:val="21"/>
        </w:rPr>
        <w:t>基金管理人</w:t>
      </w:r>
    </w:p>
    <w:p w14:paraId="146A9F89" w14:textId="77777777" w:rsidR="00BF38BB" w:rsidRDefault="002837D7">
      <w:pPr>
        <w:spacing w:line="360" w:lineRule="auto"/>
        <w:ind w:firstLineChars="200" w:firstLine="420"/>
        <w:rPr>
          <w:bCs/>
          <w:szCs w:val="21"/>
        </w:rPr>
      </w:pPr>
      <w:r>
        <w:rPr>
          <w:bCs/>
          <w:szCs w:val="21"/>
        </w:rPr>
        <w:t>名称：嘉实基金管理有限公司</w:t>
      </w:r>
    </w:p>
    <w:p w14:paraId="5976F600" w14:textId="77777777" w:rsidR="00BF38BB" w:rsidRDefault="002837D7">
      <w:pPr>
        <w:spacing w:line="360" w:lineRule="auto"/>
        <w:ind w:firstLineChars="200" w:firstLine="420"/>
        <w:rPr>
          <w:bCs/>
          <w:szCs w:val="21"/>
        </w:rPr>
      </w:pPr>
      <w:r>
        <w:rPr>
          <w:bCs/>
          <w:szCs w:val="21"/>
        </w:rPr>
        <w:t>住所：</w:t>
      </w:r>
      <w:r>
        <w:rPr>
          <w:rFonts w:hint="eastAsia"/>
          <w:bCs/>
          <w:szCs w:val="21"/>
        </w:rPr>
        <w:t>中国（上海）自由贸易试验区陆家嘴环路</w:t>
      </w:r>
      <w:r>
        <w:rPr>
          <w:rFonts w:hint="eastAsia"/>
          <w:bCs/>
          <w:szCs w:val="21"/>
        </w:rPr>
        <w:t>1318</w:t>
      </w:r>
      <w:r>
        <w:rPr>
          <w:rFonts w:hint="eastAsia"/>
          <w:bCs/>
          <w:szCs w:val="21"/>
        </w:rPr>
        <w:t>号</w:t>
      </w:r>
      <w:r>
        <w:rPr>
          <w:rFonts w:hint="eastAsia"/>
          <w:bCs/>
          <w:szCs w:val="21"/>
        </w:rPr>
        <w:t>1806A</w:t>
      </w:r>
      <w:r>
        <w:rPr>
          <w:rFonts w:hint="eastAsia"/>
          <w:bCs/>
          <w:szCs w:val="21"/>
        </w:rPr>
        <w:t>单元</w:t>
      </w:r>
    </w:p>
    <w:p w14:paraId="43C856C9" w14:textId="77777777" w:rsidR="00BF38BB" w:rsidRDefault="002837D7">
      <w:pPr>
        <w:spacing w:line="360" w:lineRule="auto"/>
        <w:ind w:firstLineChars="200" w:firstLine="420"/>
        <w:rPr>
          <w:bCs/>
          <w:szCs w:val="21"/>
        </w:rPr>
      </w:pPr>
      <w:r>
        <w:rPr>
          <w:bCs/>
          <w:szCs w:val="21"/>
        </w:rPr>
        <w:t>办公地址：北京市朝阳区建国门外大街</w:t>
      </w:r>
      <w:r>
        <w:rPr>
          <w:bCs/>
          <w:szCs w:val="21"/>
        </w:rPr>
        <w:t>21</w:t>
      </w:r>
      <w:r>
        <w:rPr>
          <w:bCs/>
          <w:szCs w:val="21"/>
        </w:rPr>
        <w:t>号北京国际俱乐部</w:t>
      </w:r>
      <w:r>
        <w:rPr>
          <w:bCs/>
          <w:szCs w:val="21"/>
        </w:rPr>
        <w:t>C</w:t>
      </w:r>
      <w:r>
        <w:rPr>
          <w:bCs/>
          <w:szCs w:val="21"/>
        </w:rPr>
        <w:t>座写字楼</w:t>
      </w:r>
      <w:r>
        <w:rPr>
          <w:bCs/>
          <w:szCs w:val="21"/>
        </w:rPr>
        <w:t>12A</w:t>
      </w:r>
      <w:r>
        <w:rPr>
          <w:bCs/>
          <w:szCs w:val="21"/>
        </w:rPr>
        <w:t>层</w:t>
      </w:r>
    </w:p>
    <w:p w14:paraId="77B62F5D" w14:textId="77777777" w:rsidR="00BF38BB" w:rsidRDefault="002837D7">
      <w:pPr>
        <w:spacing w:line="360" w:lineRule="auto"/>
        <w:ind w:firstLineChars="200" w:firstLine="420"/>
        <w:rPr>
          <w:bCs/>
          <w:szCs w:val="21"/>
        </w:rPr>
      </w:pPr>
      <w:r>
        <w:rPr>
          <w:bCs/>
          <w:szCs w:val="21"/>
        </w:rPr>
        <w:t>法定代表人：经雷</w:t>
      </w:r>
    </w:p>
    <w:p w14:paraId="2343F487" w14:textId="77777777" w:rsidR="00BF38BB" w:rsidRDefault="002837D7">
      <w:pPr>
        <w:spacing w:line="360" w:lineRule="auto"/>
        <w:ind w:firstLineChars="200" w:firstLine="420"/>
        <w:rPr>
          <w:bCs/>
          <w:szCs w:val="21"/>
        </w:rPr>
      </w:pPr>
      <w:r>
        <w:rPr>
          <w:bCs/>
          <w:szCs w:val="21"/>
        </w:rPr>
        <w:t>成立时间：</w:t>
      </w:r>
      <w:r>
        <w:rPr>
          <w:bCs/>
          <w:szCs w:val="21"/>
        </w:rPr>
        <w:t>1999</w:t>
      </w:r>
      <w:r>
        <w:rPr>
          <w:bCs/>
          <w:szCs w:val="21"/>
        </w:rPr>
        <w:t>年</w:t>
      </w:r>
      <w:r>
        <w:rPr>
          <w:bCs/>
          <w:szCs w:val="21"/>
        </w:rPr>
        <w:t>3</w:t>
      </w:r>
      <w:r>
        <w:rPr>
          <w:bCs/>
          <w:szCs w:val="21"/>
        </w:rPr>
        <w:t>月</w:t>
      </w:r>
      <w:r>
        <w:rPr>
          <w:bCs/>
          <w:szCs w:val="21"/>
        </w:rPr>
        <w:t>25</w:t>
      </w:r>
      <w:r>
        <w:rPr>
          <w:bCs/>
          <w:szCs w:val="21"/>
        </w:rPr>
        <w:t>日</w:t>
      </w:r>
    </w:p>
    <w:p w14:paraId="0108AEB2" w14:textId="77777777" w:rsidR="00BF38BB" w:rsidRDefault="002837D7">
      <w:pPr>
        <w:spacing w:line="360" w:lineRule="auto"/>
        <w:ind w:firstLineChars="200" w:firstLine="420"/>
        <w:rPr>
          <w:bCs/>
          <w:szCs w:val="21"/>
        </w:rPr>
      </w:pPr>
      <w:r>
        <w:rPr>
          <w:rFonts w:hint="eastAsia"/>
          <w:bCs/>
          <w:szCs w:val="21"/>
        </w:rPr>
        <w:t>批准设立机关及批准设立文号：中国证监会证监基</w:t>
      </w:r>
      <w:r>
        <w:rPr>
          <w:rFonts w:hint="eastAsia"/>
          <w:bCs/>
          <w:szCs w:val="21"/>
        </w:rPr>
        <w:t>金</w:t>
      </w:r>
      <w:r>
        <w:rPr>
          <w:rFonts w:hint="eastAsia"/>
          <w:bCs/>
          <w:szCs w:val="21"/>
        </w:rPr>
        <w:t>字【</w:t>
      </w:r>
      <w:r>
        <w:rPr>
          <w:rFonts w:hint="eastAsia"/>
          <w:bCs/>
          <w:szCs w:val="21"/>
        </w:rPr>
        <w:t>1999</w:t>
      </w:r>
      <w:r>
        <w:rPr>
          <w:rFonts w:hint="eastAsia"/>
          <w:bCs/>
          <w:szCs w:val="21"/>
        </w:rPr>
        <w:t>】</w:t>
      </w:r>
      <w:r>
        <w:rPr>
          <w:rFonts w:hint="eastAsia"/>
          <w:bCs/>
          <w:szCs w:val="21"/>
        </w:rPr>
        <w:t>5</w:t>
      </w:r>
      <w:r>
        <w:rPr>
          <w:rFonts w:hint="eastAsia"/>
          <w:bCs/>
          <w:szCs w:val="21"/>
        </w:rPr>
        <w:t>号</w:t>
      </w:r>
    </w:p>
    <w:p w14:paraId="4522995D" w14:textId="77777777" w:rsidR="00BF38BB" w:rsidRDefault="002837D7">
      <w:pPr>
        <w:spacing w:line="360" w:lineRule="auto"/>
        <w:ind w:firstLineChars="200" w:firstLine="420"/>
        <w:rPr>
          <w:bCs/>
          <w:szCs w:val="21"/>
        </w:rPr>
      </w:pPr>
      <w:r>
        <w:rPr>
          <w:rFonts w:hint="eastAsia"/>
          <w:bCs/>
          <w:szCs w:val="21"/>
        </w:rPr>
        <w:t>经营范围：基金募集、基金销售、资产管理及中国证监会许可的其他业务</w:t>
      </w:r>
    </w:p>
    <w:p w14:paraId="5B624F30" w14:textId="77777777" w:rsidR="00BF38BB" w:rsidRDefault="002837D7">
      <w:pPr>
        <w:spacing w:line="360" w:lineRule="auto"/>
        <w:ind w:firstLineChars="200" w:firstLine="420"/>
        <w:rPr>
          <w:bCs/>
          <w:szCs w:val="21"/>
        </w:rPr>
      </w:pPr>
      <w:r>
        <w:rPr>
          <w:bCs/>
          <w:szCs w:val="21"/>
        </w:rPr>
        <w:t>注册资本：</w:t>
      </w:r>
      <w:r>
        <w:rPr>
          <w:bCs/>
          <w:szCs w:val="21"/>
        </w:rPr>
        <w:t xml:space="preserve"> 1.5</w:t>
      </w:r>
      <w:r>
        <w:rPr>
          <w:bCs/>
          <w:szCs w:val="21"/>
        </w:rPr>
        <w:t>亿元人民币</w:t>
      </w:r>
    </w:p>
    <w:p w14:paraId="6584D7E6" w14:textId="77777777" w:rsidR="00BF38BB" w:rsidRDefault="002837D7">
      <w:pPr>
        <w:spacing w:line="360" w:lineRule="auto"/>
        <w:ind w:firstLineChars="200" w:firstLine="420"/>
        <w:rPr>
          <w:bCs/>
          <w:szCs w:val="21"/>
        </w:rPr>
      </w:pPr>
      <w:r>
        <w:rPr>
          <w:bCs/>
          <w:szCs w:val="21"/>
        </w:rPr>
        <w:t>组织形式：有限责任公司（</w:t>
      </w:r>
      <w:r>
        <w:rPr>
          <w:rFonts w:hint="eastAsia"/>
          <w:bCs/>
          <w:szCs w:val="21"/>
        </w:rPr>
        <w:t>外商投资、非独资</w:t>
      </w:r>
      <w:r>
        <w:rPr>
          <w:bCs/>
          <w:szCs w:val="21"/>
        </w:rPr>
        <w:t>）</w:t>
      </w:r>
    </w:p>
    <w:p w14:paraId="345B8F3D" w14:textId="77777777" w:rsidR="00BF38BB" w:rsidRDefault="002837D7">
      <w:pPr>
        <w:spacing w:line="360" w:lineRule="auto"/>
        <w:ind w:firstLineChars="200" w:firstLine="420"/>
        <w:rPr>
          <w:bCs/>
          <w:szCs w:val="21"/>
        </w:rPr>
      </w:pPr>
      <w:r>
        <w:rPr>
          <w:bCs/>
          <w:szCs w:val="21"/>
        </w:rPr>
        <w:t>存续期间：持续经营</w:t>
      </w:r>
    </w:p>
    <w:p w14:paraId="3792D43A" w14:textId="77777777" w:rsidR="00BF38BB" w:rsidRDefault="002837D7">
      <w:pPr>
        <w:spacing w:line="360" w:lineRule="auto"/>
        <w:ind w:firstLineChars="200" w:firstLine="420"/>
        <w:rPr>
          <w:bCs/>
          <w:szCs w:val="21"/>
        </w:rPr>
      </w:pPr>
      <w:r>
        <w:rPr>
          <w:rFonts w:hint="eastAsia"/>
          <w:bCs/>
          <w:szCs w:val="21"/>
        </w:rPr>
        <w:t>二）基金托管人</w:t>
      </w:r>
    </w:p>
    <w:p w14:paraId="16E49056" w14:textId="77777777" w:rsidR="00BF38BB" w:rsidRDefault="002837D7">
      <w:pPr>
        <w:spacing w:line="360" w:lineRule="auto"/>
        <w:ind w:firstLineChars="200" w:firstLine="420"/>
        <w:rPr>
          <w:bCs/>
          <w:szCs w:val="21"/>
        </w:rPr>
      </w:pPr>
      <w:r>
        <w:rPr>
          <w:rFonts w:hint="eastAsia"/>
          <w:bCs/>
          <w:szCs w:val="21"/>
        </w:rPr>
        <w:t>名称：交通银行股份有限公司（简称：交通银行）</w:t>
      </w:r>
    </w:p>
    <w:p w14:paraId="5981EFDC" w14:textId="77777777" w:rsidR="00BF38BB" w:rsidRDefault="002837D7">
      <w:pPr>
        <w:spacing w:line="360" w:lineRule="auto"/>
        <w:ind w:firstLineChars="200" w:firstLine="420"/>
        <w:rPr>
          <w:bCs/>
          <w:szCs w:val="21"/>
        </w:rPr>
      </w:pPr>
      <w:r>
        <w:rPr>
          <w:rFonts w:hint="eastAsia"/>
          <w:bCs/>
          <w:szCs w:val="21"/>
        </w:rPr>
        <w:t>住所：中国（上海）自由贸易试验区银城中路</w:t>
      </w:r>
      <w:r>
        <w:rPr>
          <w:rFonts w:hint="eastAsia"/>
          <w:bCs/>
          <w:szCs w:val="21"/>
        </w:rPr>
        <w:t>188</w:t>
      </w:r>
      <w:r>
        <w:rPr>
          <w:rFonts w:hint="eastAsia"/>
          <w:bCs/>
          <w:szCs w:val="21"/>
        </w:rPr>
        <w:t>号</w:t>
      </w:r>
    </w:p>
    <w:p w14:paraId="68DBA2BC" w14:textId="77777777" w:rsidR="00BF38BB" w:rsidRDefault="002837D7">
      <w:pPr>
        <w:spacing w:line="360" w:lineRule="auto"/>
        <w:ind w:firstLineChars="200" w:firstLine="420"/>
        <w:rPr>
          <w:bCs/>
          <w:szCs w:val="21"/>
        </w:rPr>
      </w:pPr>
      <w:r>
        <w:rPr>
          <w:rFonts w:hint="eastAsia"/>
          <w:bCs/>
          <w:szCs w:val="21"/>
        </w:rPr>
        <w:t>办公地址：上海市长宁区仙霞路</w:t>
      </w:r>
      <w:r>
        <w:rPr>
          <w:rFonts w:hint="eastAsia"/>
          <w:bCs/>
          <w:szCs w:val="21"/>
        </w:rPr>
        <w:t>18</w:t>
      </w:r>
      <w:r>
        <w:rPr>
          <w:rFonts w:hint="eastAsia"/>
          <w:bCs/>
          <w:szCs w:val="21"/>
        </w:rPr>
        <w:t>号</w:t>
      </w:r>
    </w:p>
    <w:p w14:paraId="4CFF0201" w14:textId="77777777" w:rsidR="00BF38BB" w:rsidRDefault="002837D7">
      <w:pPr>
        <w:spacing w:line="360" w:lineRule="auto"/>
        <w:ind w:firstLineChars="200" w:firstLine="420"/>
        <w:rPr>
          <w:bCs/>
          <w:szCs w:val="21"/>
        </w:rPr>
      </w:pPr>
      <w:r>
        <w:rPr>
          <w:rFonts w:hint="eastAsia"/>
          <w:bCs/>
          <w:szCs w:val="21"/>
        </w:rPr>
        <w:t>法定代表人：任德奇</w:t>
      </w:r>
    </w:p>
    <w:p w14:paraId="6DFCB5EE" w14:textId="77777777" w:rsidR="00BF38BB" w:rsidRDefault="002837D7">
      <w:pPr>
        <w:spacing w:line="360" w:lineRule="auto"/>
        <w:ind w:firstLineChars="200" w:firstLine="420"/>
        <w:rPr>
          <w:bCs/>
          <w:szCs w:val="21"/>
        </w:rPr>
      </w:pPr>
      <w:r>
        <w:rPr>
          <w:rFonts w:hint="eastAsia"/>
          <w:bCs/>
          <w:szCs w:val="21"/>
        </w:rPr>
        <w:t>成立时间：</w:t>
      </w:r>
      <w:r>
        <w:rPr>
          <w:rFonts w:hint="eastAsia"/>
          <w:bCs/>
          <w:szCs w:val="21"/>
        </w:rPr>
        <w:t>1987</w:t>
      </w:r>
      <w:r>
        <w:rPr>
          <w:rFonts w:hint="eastAsia"/>
          <w:bCs/>
          <w:szCs w:val="21"/>
        </w:rPr>
        <w:t>年</w:t>
      </w:r>
      <w:r>
        <w:rPr>
          <w:rFonts w:hint="eastAsia"/>
          <w:bCs/>
          <w:szCs w:val="21"/>
        </w:rPr>
        <w:t>3</w:t>
      </w:r>
      <w:r>
        <w:rPr>
          <w:rFonts w:hint="eastAsia"/>
          <w:bCs/>
          <w:szCs w:val="21"/>
        </w:rPr>
        <w:t>月</w:t>
      </w:r>
      <w:r>
        <w:rPr>
          <w:rFonts w:hint="eastAsia"/>
          <w:bCs/>
          <w:szCs w:val="21"/>
        </w:rPr>
        <w:t>30</w:t>
      </w:r>
      <w:r>
        <w:rPr>
          <w:rFonts w:hint="eastAsia"/>
          <w:bCs/>
          <w:szCs w:val="21"/>
        </w:rPr>
        <w:t>日</w:t>
      </w:r>
    </w:p>
    <w:p w14:paraId="12DC55F0" w14:textId="77777777" w:rsidR="00BF38BB" w:rsidRDefault="002837D7">
      <w:pPr>
        <w:spacing w:line="360" w:lineRule="auto"/>
        <w:ind w:firstLineChars="200" w:firstLine="420"/>
        <w:rPr>
          <w:bCs/>
          <w:szCs w:val="21"/>
        </w:rPr>
      </w:pPr>
      <w:r>
        <w:rPr>
          <w:rFonts w:hint="eastAsia"/>
          <w:bCs/>
          <w:szCs w:val="21"/>
        </w:rPr>
        <w:t>批准设立机关及批准设立文号：国务院国发</w:t>
      </w:r>
      <w:r>
        <w:rPr>
          <w:rFonts w:hint="eastAsia"/>
          <w:bCs/>
          <w:szCs w:val="21"/>
        </w:rPr>
        <w:t>(1986)</w:t>
      </w:r>
      <w:r>
        <w:rPr>
          <w:rFonts w:hint="eastAsia"/>
          <w:bCs/>
          <w:szCs w:val="21"/>
        </w:rPr>
        <w:t>字第</w:t>
      </w:r>
      <w:r>
        <w:rPr>
          <w:rFonts w:hint="eastAsia"/>
          <w:bCs/>
          <w:szCs w:val="21"/>
        </w:rPr>
        <w:t>81</w:t>
      </w:r>
      <w:r>
        <w:rPr>
          <w:rFonts w:hint="eastAsia"/>
          <w:bCs/>
          <w:szCs w:val="21"/>
        </w:rPr>
        <w:t>号文和中国人民银行银发［</w:t>
      </w:r>
      <w:r>
        <w:rPr>
          <w:rFonts w:hint="eastAsia"/>
          <w:bCs/>
          <w:szCs w:val="21"/>
        </w:rPr>
        <w:t>1987</w:t>
      </w:r>
      <w:r>
        <w:rPr>
          <w:rFonts w:hint="eastAsia"/>
          <w:bCs/>
          <w:szCs w:val="21"/>
        </w:rPr>
        <w:t>］</w:t>
      </w:r>
      <w:r>
        <w:rPr>
          <w:rFonts w:hint="eastAsia"/>
          <w:bCs/>
          <w:szCs w:val="21"/>
        </w:rPr>
        <w:t>40</w:t>
      </w:r>
      <w:r>
        <w:rPr>
          <w:rFonts w:hint="eastAsia"/>
          <w:bCs/>
          <w:szCs w:val="21"/>
        </w:rPr>
        <w:t>号文</w:t>
      </w:r>
    </w:p>
    <w:p w14:paraId="29D99003" w14:textId="77777777" w:rsidR="00BF38BB" w:rsidRDefault="002837D7">
      <w:pPr>
        <w:spacing w:line="360" w:lineRule="auto"/>
        <w:ind w:firstLineChars="200" w:firstLine="420"/>
        <w:rPr>
          <w:bCs/>
          <w:szCs w:val="21"/>
        </w:rPr>
      </w:pPr>
      <w:r>
        <w:rPr>
          <w:rFonts w:hint="eastAsia"/>
          <w:bCs/>
          <w:szCs w:val="21"/>
        </w:rPr>
        <w:t>基金托管资格批文及文号：中国证监会证监基字［</w:t>
      </w:r>
      <w:r>
        <w:rPr>
          <w:rFonts w:hint="eastAsia"/>
          <w:bCs/>
          <w:szCs w:val="21"/>
        </w:rPr>
        <w:t>1998</w:t>
      </w:r>
      <w:r>
        <w:rPr>
          <w:rFonts w:hint="eastAsia"/>
          <w:bCs/>
          <w:szCs w:val="21"/>
        </w:rPr>
        <w:t>］</w:t>
      </w:r>
      <w:r>
        <w:rPr>
          <w:rFonts w:hint="eastAsia"/>
          <w:bCs/>
          <w:szCs w:val="21"/>
        </w:rPr>
        <w:t>25</w:t>
      </w:r>
      <w:r>
        <w:rPr>
          <w:rFonts w:hint="eastAsia"/>
          <w:bCs/>
          <w:szCs w:val="21"/>
        </w:rPr>
        <w:t>号</w:t>
      </w:r>
    </w:p>
    <w:p w14:paraId="1A7682EE" w14:textId="77777777" w:rsidR="00BF38BB" w:rsidRDefault="002837D7">
      <w:pPr>
        <w:spacing w:line="360" w:lineRule="auto"/>
        <w:ind w:firstLineChars="200" w:firstLine="420"/>
        <w:rPr>
          <w:bCs/>
          <w:szCs w:val="21"/>
        </w:rPr>
      </w:pPr>
      <w:r>
        <w:rPr>
          <w:rFonts w:hint="eastAsia"/>
          <w:bCs/>
          <w:szCs w:val="21"/>
        </w:rPr>
        <w:t>注册资本：</w:t>
      </w:r>
      <w:r>
        <w:rPr>
          <w:bCs/>
          <w:szCs w:val="21"/>
        </w:rPr>
        <w:t>883.64</w:t>
      </w:r>
      <w:r>
        <w:rPr>
          <w:rFonts w:hint="eastAsia"/>
          <w:bCs/>
          <w:szCs w:val="21"/>
        </w:rPr>
        <w:t>亿元人民币</w:t>
      </w:r>
    </w:p>
    <w:p w14:paraId="4F89B502" w14:textId="77777777" w:rsidR="00BF38BB" w:rsidRDefault="002837D7">
      <w:pPr>
        <w:spacing w:line="360" w:lineRule="auto"/>
        <w:ind w:firstLineChars="200" w:firstLine="420"/>
        <w:rPr>
          <w:bCs/>
          <w:szCs w:val="21"/>
        </w:rPr>
      </w:pPr>
      <w:r>
        <w:rPr>
          <w:rFonts w:hint="eastAsia"/>
          <w:bCs/>
          <w:szCs w:val="21"/>
        </w:rPr>
        <w:t>组织形式：股份有限公</w:t>
      </w:r>
      <w:r>
        <w:rPr>
          <w:rFonts w:hint="eastAsia"/>
          <w:bCs/>
          <w:szCs w:val="21"/>
        </w:rPr>
        <w:t>司</w:t>
      </w:r>
    </w:p>
    <w:p w14:paraId="70F1F1AE" w14:textId="77777777" w:rsidR="00BF38BB" w:rsidRDefault="002837D7">
      <w:pPr>
        <w:spacing w:line="360" w:lineRule="auto"/>
        <w:ind w:firstLineChars="200" w:firstLine="420"/>
        <w:rPr>
          <w:bCs/>
          <w:szCs w:val="21"/>
        </w:rPr>
      </w:pPr>
      <w:r>
        <w:rPr>
          <w:rFonts w:hint="eastAsia"/>
          <w:bCs/>
          <w:szCs w:val="21"/>
        </w:rPr>
        <w:t>存续期间：持续经营</w:t>
      </w:r>
    </w:p>
    <w:p w14:paraId="0CD185E4" w14:textId="77777777" w:rsidR="00BF38BB" w:rsidRDefault="002837D7">
      <w:pPr>
        <w:spacing w:line="360" w:lineRule="auto"/>
        <w:ind w:firstLineChars="200" w:firstLine="420"/>
        <w:rPr>
          <w:bCs/>
          <w:szCs w:val="21"/>
        </w:rPr>
      </w:pPr>
      <w:r>
        <w:rPr>
          <w:rFonts w:hint="eastAsia"/>
          <w:bCs/>
          <w:szCs w:val="21"/>
        </w:rPr>
        <w:t>（二）基金托管人对基金管理人的业务监督和核查</w:t>
      </w:r>
    </w:p>
    <w:p w14:paraId="5D0A4209" w14:textId="77777777" w:rsidR="00BF38BB" w:rsidRDefault="002837D7">
      <w:pPr>
        <w:spacing w:line="360" w:lineRule="auto"/>
        <w:ind w:firstLineChars="200" w:firstLine="420"/>
        <w:rPr>
          <w:bCs/>
          <w:szCs w:val="21"/>
        </w:rPr>
      </w:pPr>
      <w:r>
        <w:rPr>
          <w:rFonts w:hint="eastAsia"/>
          <w:bCs/>
          <w:szCs w:val="21"/>
        </w:rPr>
        <w:t>一）基金托管人对基金管理人的投资行为行使监督权</w:t>
      </w:r>
    </w:p>
    <w:p w14:paraId="6D9434AD"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基金托管人根据有关法律法规的规定及《基金合同》和本协议的约定，对基金的投资范围、投资对象进行监督。</w:t>
      </w:r>
    </w:p>
    <w:p w14:paraId="69B5AFC8" w14:textId="77777777" w:rsidR="00BF38BB" w:rsidRDefault="002837D7">
      <w:pPr>
        <w:spacing w:line="360" w:lineRule="auto"/>
        <w:ind w:firstLineChars="200" w:firstLine="420"/>
        <w:rPr>
          <w:bCs/>
          <w:szCs w:val="21"/>
        </w:rPr>
      </w:pPr>
      <w:r>
        <w:rPr>
          <w:rFonts w:hint="eastAsia"/>
          <w:bCs/>
          <w:szCs w:val="21"/>
        </w:rPr>
        <w:t>本基金的投资范围主要为标的指数成份股及备选成份股（含存托凭证，下同），此外，为更好地实现投</w:t>
      </w:r>
      <w:r>
        <w:rPr>
          <w:rFonts w:hint="eastAsia"/>
          <w:bCs/>
          <w:szCs w:val="21"/>
        </w:rPr>
        <w:lastRenderedPageBreak/>
        <w:t>资目标，本基金可少量投资于部分非成份股（包含主板、创业板、科创板、存托凭证及其他依法发行上市的股票）、债券资产（国债、地方政府债、金融债、企业债、公司债、次级债、可转换债券（含分离交易可转债）、可交换债券、央行票据、中期票据、短期融资券、超短期融资券等）、资产支持证券、衍生工具（股指期货、股票期权、国债期货等）、债券回购、银行存款、同业存单、现金资产以及中国证监会允许基金投资的其他金融工具（但须符合中国证监会的相关规定</w:t>
      </w:r>
      <w:r>
        <w:rPr>
          <w:rFonts w:hint="eastAsia"/>
          <w:bCs/>
          <w:szCs w:val="21"/>
        </w:rPr>
        <w:t>）。</w:t>
      </w:r>
    </w:p>
    <w:p w14:paraId="7A256AE3" w14:textId="77777777" w:rsidR="00BF38BB" w:rsidRDefault="002837D7">
      <w:pPr>
        <w:spacing w:line="360" w:lineRule="auto"/>
        <w:ind w:firstLineChars="200" w:firstLine="420"/>
        <w:rPr>
          <w:bCs/>
          <w:szCs w:val="21"/>
        </w:rPr>
      </w:pPr>
      <w:r>
        <w:rPr>
          <w:rFonts w:hint="eastAsia"/>
          <w:bCs/>
          <w:szCs w:val="21"/>
        </w:rPr>
        <w:t>本基金可根据相关法律法规和基金合同的约定，参与融资业务和转融通证券出借业务。</w:t>
      </w:r>
    </w:p>
    <w:p w14:paraId="08828180" w14:textId="77777777" w:rsidR="00BF38BB" w:rsidRDefault="002837D7">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14:paraId="11AEC8DF" w14:textId="77777777" w:rsidR="00BF38BB" w:rsidRDefault="002837D7">
      <w:pPr>
        <w:spacing w:line="360" w:lineRule="auto"/>
        <w:ind w:firstLineChars="200" w:firstLine="420"/>
        <w:rPr>
          <w:bCs/>
          <w:szCs w:val="21"/>
        </w:rPr>
      </w:pPr>
      <w:r>
        <w:rPr>
          <w:rFonts w:hint="eastAsia"/>
          <w:bCs/>
          <w:szCs w:val="21"/>
        </w:rPr>
        <w:t>本基金股票资产占基金资产的比例不低于</w:t>
      </w:r>
      <w:r>
        <w:rPr>
          <w:rFonts w:hint="eastAsia"/>
          <w:bCs/>
          <w:szCs w:val="21"/>
        </w:rPr>
        <w:t>80%</w:t>
      </w:r>
      <w:r>
        <w:rPr>
          <w:rFonts w:hint="eastAsia"/>
          <w:bCs/>
          <w:szCs w:val="21"/>
        </w:rPr>
        <w:t>；投资于中证</w:t>
      </w:r>
      <w:r>
        <w:rPr>
          <w:rFonts w:hint="eastAsia"/>
          <w:bCs/>
          <w:szCs w:val="21"/>
        </w:rPr>
        <w:t>800</w:t>
      </w:r>
      <w:r>
        <w:rPr>
          <w:rFonts w:hint="eastAsia"/>
          <w:bCs/>
          <w:szCs w:val="21"/>
        </w:rPr>
        <w:t>指数成份股及备选成份股的资产不低于非现金基金资产的</w:t>
      </w:r>
      <w:r>
        <w:rPr>
          <w:rFonts w:hint="eastAsia"/>
          <w:bCs/>
          <w:szCs w:val="21"/>
        </w:rPr>
        <w:t>80%</w:t>
      </w:r>
      <w:r>
        <w:rPr>
          <w:rFonts w:hint="eastAsia"/>
          <w:bCs/>
          <w:szCs w:val="21"/>
        </w:rPr>
        <w:t>；本基金应当保持不低于基金资产净值</w:t>
      </w:r>
      <w:r>
        <w:rPr>
          <w:rFonts w:hint="eastAsia"/>
          <w:bCs/>
          <w:szCs w:val="21"/>
        </w:rPr>
        <w:t>5%</w:t>
      </w:r>
      <w:r>
        <w:rPr>
          <w:rFonts w:hint="eastAsia"/>
          <w:bCs/>
          <w:szCs w:val="21"/>
        </w:rPr>
        <w:t>的现金或者到期日在一年以内的政府债券，其中现金不包括结算备付金、存出保证金和应收申购款等；国债期货、股指期货、股票期权及其他金融工具的投资比例符合法律法规和监管机构的规定。</w:t>
      </w:r>
    </w:p>
    <w:p w14:paraId="795CBD6B" w14:textId="77777777" w:rsidR="00BF38BB" w:rsidRDefault="002837D7">
      <w:pPr>
        <w:spacing w:line="360" w:lineRule="auto"/>
        <w:ind w:firstLineChars="200" w:firstLine="420"/>
        <w:rPr>
          <w:bCs/>
          <w:szCs w:val="21"/>
        </w:rPr>
      </w:pPr>
      <w:r>
        <w:rPr>
          <w:rFonts w:hint="eastAsia"/>
          <w:bCs/>
          <w:szCs w:val="21"/>
        </w:rPr>
        <w:t>如</w:t>
      </w:r>
      <w:r>
        <w:rPr>
          <w:rFonts w:hint="eastAsia"/>
          <w:bCs/>
          <w:szCs w:val="21"/>
        </w:rPr>
        <w:t>法律法规或监管机构变更投资品种的投资比例限制，基金管理人在履行适当程序后，可以调整上述投资品种的投资比例。</w:t>
      </w:r>
    </w:p>
    <w:p w14:paraId="75DBAABA"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基金托管人根据有关法律法规的规定及《基金合同》和本协议的约定，对基金投资、融资比例进行监督。</w:t>
      </w:r>
    </w:p>
    <w:p w14:paraId="0731A154" w14:textId="77777777" w:rsidR="00BF38BB" w:rsidRDefault="002837D7">
      <w:pPr>
        <w:spacing w:line="360" w:lineRule="auto"/>
        <w:ind w:firstLineChars="200" w:firstLine="420"/>
        <w:rPr>
          <w:bCs/>
          <w:szCs w:val="21"/>
        </w:rPr>
      </w:pPr>
      <w:r>
        <w:rPr>
          <w:rFonts w:hint="eastAsia"/>
          <w:bCs/>
          <w:szCs w:val="21"/>
        </w:rPr>
        <w:t>根据《基金合同》的约定，本基金投资组合比例应符合以下规定：</w:t>
      </w:r>
    </w:p>
    <w:p w14:paraId="1606BB7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）本基金股票资产占基金资产的比例不低于</w:t>
      </w:r>
      <w:r>
        <w:rPr>
          <w:rFonts w:hint="eastAsia"/>
          <w:bCs/>
          <w:szCs w:val="21"/>
        </w:rPr>
        <w:t>80%</w:t>
      </w:r>
      <w:r>
        <w:rPr>
          <w:rFonts w:hint="eastAsia"/>
          <w:bCs/>
          <w:szCs w:val="21"/>
        </w:rPr>
        <w:t>；投资于中证</w:t>
      </w:r>
      <w:r>
        <w:rPr>
          <w:rFonts w:hint="eastAsia"/>
          <w:bCs/>
          <w:szCs w:val="21"/>
        </w:rPr>
        <w:t>800</w:t>
      </w:r>
      <w:r>
        <w:rPr>
          <w:rFonts w:hint="eastAsia"/>
          <w:bCs/>
          <w:szCs w:val="21"/>
        </w:rPr>
        <w:t>指数成份股及备选成份股的资产不低于非现金基金资产的</w:t>
      </w:r>
      <w:r>
        <w:rPr>
          <w:rFonts w:hint="eastAsia"/>
          <w:bCs/>
          <w:szCs w:val="21"/>
        </w:rPr>
        <w:t>80%</w:t>
      </w:r>
      <w:r>
        <w:rPr>
          <w:rFonts w:hint="eastAsia"/>
          <w:bCs/>
          <w:szCs w:val="21"/>
        </w:rPr>
        <w:t>；</w:t>
      </w:r>
    </w:p>
    <w:p w14:paraId="1B5223D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）本基金应当保持不低于基金资产净值</w:t>
      </w:r>
      <w:r>
        <w:rPr>
          <w:rFonts w:hint="eastAsia"/>
          <w:bCs/>
          <w:szCs w:val="21"/>
        </w:rPr>
        <w:t>5%</w:t>
      </w:r>
      <w:r>
        <w:rPr>
          <w:rFonts w:hint="eastAsia"/>
          <w:bCs/>
          <w:szCs w:val="21"/>
        </w:rPr>
        <w:t>的现金或者到期日在一年以内的政府债券，其中现金不包括结算备付金、存出保证金和应</w:t>
      </w:r>
      <w:r>
        <w:rPr>
          <w:rFonts w:hint="eastAsia"/>
          <w:bCs/>
          <w:szCs w:val="21"/>
        </w:rPr>
        <w:t>收申购款等；</w:t>
      </w:r>
    </w:p>
    <w:p w14:paraId="39369D24"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）本基金持有一家公司发行的证券，其市值不超过基金资产净值的</w:t>
      </w:r>
      <w:r>
        <w:rPr>
          <w:rFonts w:hint="eastAsia"/>
          <w:bCs/>
          <w:szCs w:val="21"/>
        </w:rPr>
        <w:t>10</w:t>
      </w:r>
      <w:r>
        <w:rPr>
          <w:rFonts w:hint="eastAsia"/>
          <w:bCs/>
          <w:szCs w:val="21"/>
        </w:rPr>
        <w:t>％，完全按照有关指数的构成比例进行证券投资的基金品种可以不受此条款规定的比例限制；</w:t>
      </w:r>
    </w:p>
    <w:p w14:paraId="7F374F5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）本基金管理人管理的全部基金持有一家公司发行的证券，不超过该证券的</w:t>
      </w:r>
      <w:r>
        <w:rPr>
          <w:rFonts w:hint="eastAsia"/>
          <w:bCs/>
          <w:szCs w:val="21"/>
        </w:rPr>
        <w:t>10</w:t>
      </w:r>
      <w:r>
        <w:rPr>
          <w:rFonts w:hint="eastAsia"/>
          <w:bCs/>
          <w:szCs w:val="21"/>
        </w:rPr>
        <w:t>％，完全按照有关指数的构成比例进行证券投资的基金品种可以不受此条款规定的比例限制；</w:t>
      </w:r>
    </w:p>
    <w:p w14:paraId="07EB673E"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14:paraId="6CE476A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14:paraId="13A81F2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）本基金持有的同一</w:t>
      </w:r>
      <w:r>
        <w:rPr>
          <w:rFonts w:hint="eastAsia"/>
          <w:bCs/>
          <w:szCs w:val="21"/>
        </w:rPr>
        <w:t>(</w:t>
      </w:r>
      <w:r>
        <w:rPr>
          <w:rFonts w:hint="eastAsia"/>
          <w:bCs/>
          <w:szCs w:val="21"/>
        </w:rPr>
        <w:t>指</w:t>
      </w:r>
      <w:r>
        <w:rPr>
          <w:rFonts w:hint="eastAsia"/>
          <w:bCs/>
          <w:szCs w:val="21"/>
        </w:rPr>
        <w:t>同一信用级别</w:t>
      </w:r>
      <w:r>
        <w:rPr>
          <w:rFonts w:hint="eastAsia"/>
          <w:bCs/>
          <w:szCs w:val="21"/>
        </w:rPr>
        <w:t>)</w:t>
      </w:r>
      <w:r>
        <w:rPr>
          <w:rFonts w:hint="eastAsia"/>
          <w:bCs/>
          <w:szCs w:val="21"/>
        </w:rPr>
        <w:t>资产支持证券的比例，不得超过该资产支持证券规模的</w:t>
      </w:r>
      <w:r>
        <w:rPr>
          <w:rFonts w:hint="eastAsia"/>
          <w:bCs/>
          <w:szCs w:val="21"/>
        </w:rPr>
        <w:t>10</w:t>
      </w:r>
      <w:r>
        <w:rPr>
          <w:rFonts w:hint="eastAsia"/>
          <w:bCs/>
          <w:szCs w:val="21"/>
        </w:rPr>
        <w:t>％；</w:t>
      </w:r>
    </w:p>
    <w:p w14:paraId="33BF45F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）本基金管理人管理的全部基金投资于同一原始权益人的各类资产支持证券，不得超过其各类资产支持证券合计规模的</w:t>
      </w:r>
      <w:r>
        <w:rPr>
          <w:rFonts w:hint="eastAsia"/>
          <w:bCs/>
          <w:szCs w:val="21"/>
        </w:rPr>
        <w:t>10</w:t>
      </w:r>
      <w:r>
        <w:rPr>
          <w:rFonts w:hint="eastAsia"/>
          <w:bCs/>
          <w:szCs w:val="21"/>
        </w:rPr>
        <w:t>％；</w:t>
      </w:r>
    </w:p>
    <w:p w14:paraId="4BEC4D81" w14:textId="77777777" w:rsidR="00BF38BB" w:rsidRDefault="002837D7">
      <w:pPr>
        <w:spacing w:line="360" w:lineRule="auto"/>
        <w:ind w:firstLineChars="200" w:firstLine="420"/>
        <w:rPr>
          <w:bCs/>
          <w:szCs w:val="21"/>
        </w:rPr>
      </w:pPr>
      <w:r>
        <w:rPr>
          <w:rFonts w:hint="eastAsia"/>
          <w:bCs/>
          <w:szCs w:val="21"/>
        </w:rPr>
        <w:lastRenderedPageBreak/>
        <w:t>（</w:t>
      </w:r>
      <w:r>
        <w:rPr>
          <w:rFonts w:hint="eastAsia"/>
          <w:bCs/>
          <w:szCs w:val="21"/>
        </w:rPr>
        <w:t>9</w:t>
      </w:r>
      <w:r>
        <w:rPr>
          <w:rFonts w:hint="eastAsia"/>
          <w:bCs/>
          <w:szCs w:val="21"/>
        </w:rPr>
        <w:t>）本基金应投资于信用级别评级为</w:t>
      </w:r>
      <w:r>
        <w:rPr>
          <w:rFonts w:hint="eastAsia"/>
          <w:bCs/>
          <w:szCs w:val="21"/>
        </w:rPr>
        <w:t>BBB</w:t>
      </w:r>
      <w:r>
        <w:rPr>
          <w:rFonts w:hint="eastAsia"/>
          <w:bCs/>
          <w:szCs w:val="21"/>
        </w:rPr>
        <w:t>以上</w:t>
      </w:r>
      <w:r>
        <w:rPr>
          <w:rFonts w:hint="eastAsia"/>
          <w:bCs/>
          <w:szCs w:val="21"/>
        </w:rPr>
        <w:t>(</w:t>
      </w:r>
      <w:r>
        <w:rPr>
          <w:rFonts w:hint="eastAsia"/>
          <w:bCs/>
          <w:szCs w:val="21"/>
        </w:rPr>
        <w:t>含</w:t>
      </w:r>
      <w:r>
        <w:rPr>
          <w:rFonts w:hint="eastAsia"/>
          <w:bCs/>
          <w:szCs w:val="21"/>
        </w:rPr>
        <w:t>BBB)</w:t>
      </w:r>
      <w:r>
        <w:rPr>
          <w:rFonts w:hint="eastAsia"/>
          <w:bCs/>
          <w:szCs w:val="21"/>
        </w:rPr>
        <w:t>的资产支持证券。基金持有资产支持证券期间，如果其信用等级下降、不再符合投资标准，应在评级报告发布之日起</w:t>
      </w:r>
      <w:r>
        <w:rPr>
          <w:rFonts w:hint="eastAsia"/>
          <w:bCs/>
          <w:szCs w:val="21"/>
        </w:rPr>
        <w:t>3</w:t>
      </w:r>
      <w:r>
        <w:rPr>
          <w:rFonts w:hint="eastAsia"/>
          <w:bCs/>
          <w:szCs w:val="21"/>
        </w:rPr>
        <w:t>个月内予以全部卖出；</w:t>
      </w:r>
    </w:p>
    <w:p w14:paraId="436624D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）基金财产参与股票发行申购，本基金所申报的金额不超过本基金的总资产，本基金所申报的股票数量不超过拟发行股票公司本次发行股票的总量；</w:t>
      </w:r>
    </w:p>
    <w:p w14:paraId="40A0BAF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）本基金若参与股指期货交易，应当符合下列投资限制：</w:t>
      </w:r>
    </w:p>
    <w:p w14:paraId="7131E55B" w14:textId="77777777" w:rsidR="00BF38BB" w:rsidRDefault="002837D7">
      <w:pPr>
        <w:spacing w:line="360" w:lineRule="auto"/>
        <w:ind w:firstLineChars="200" w:firstLine="420"/>
        <w:rPr>
          <w:bCs/>
          <w:szCs w:val="21"/>
        </w:rPr>
      </w:pPr>
      <w:r>
        <w:rPr>
          <w:rFonts w:hint="eastAsia"/>
          <w:bCs/>
          <w:szCs w:val="21"/>
        </w:rPr>
        <w:t>①本基金在任何交易日日终，持有的买入股指期货合约价值，不得超过基金资产净值的</w:t>
      </w:r>
      <w:r>
        <w:rPr>
          <w:rFonts w:hint="eastAsia"/>
          <w:bCs/>
          <w:szCs w:val="21"/>
        </w:rPr>
        <w:t>10%</w:t>
      </w:r>
      <w:r>
        <w:rPr>
          <w:rFonts w:hint="eastAsia"/>
          <w:bCs/>
          <w:szCs w:val="21"/>
        </w:rPr>
        <w:t>；</w:t>
      </w:r>
    </w:p>
    <w:p w14:paraId="2238BA6A" w14:textId="77777777" w:rsidR="00BF38BB" w:rsidRDefault="002837D7">
      <w:pPr>
        <w:spacing w:line="360" w:lineRule="auto"/>
        <w:ind w:firstLineChars="200" w:firstLine="420"/>
        <w:rPr>
          <w:bCs/>
          <w:szCs w:val="21"/>
        </w:rPr>
      </w:pPr>
      <w:r>
        <w:rPr>
          <w:rFonts w:hint="eastAsia"/>
          <w:bCs/>
          <w:szCs w:val="21"/>
        </w:rPr>
        <w:t>②本基金每个交易日日终在扣除股指期货和国债期货合约需缴纳的交易保证金后，应当保持不低于基金资产净值的</w:t>
      </w:r>
      <w:r>
        <w:rPr>
          <w:rFonts w:hint="eastAsia"/>
          <w:bCs/>
          <w:szCs w:val="21"/>
        </w:rPr>
        <w:t>5%</w:t>
      </w:r>
      <w:r>
        <w:rPr>
          <w:rFonts w:hint="eastAsia"/>
          <w:bCs/>
          <w:szCs w:val="21"/>
        </w:rPr>
        <w:t>的现金或到期日在一年以内的政府债券，其中现金不包括结算备付金、存出保证金、应收申购款等；</w:t>
      </w:r>
    </w:p>
    <w:p w14:paraId="75542CC7" w14:textId="77777777" w:rsidR="00BF38BB" w:rsidRDefault="002837D7">
      <w:pPr>
        <w:spacing w:line="360" w:lineRule="auto"/>
        <w:ind w:firstLineChars="200" w:firstLine="420"/>
        <w:rPr>
          <w:bCs/>
          <w:szCs w:val="21"/>
        </w:rPr>
      </w:pPr>
      <w:r>
        <w:rPr>
          <w:rFonts w:hint="eastAsia"/>
          <w:bCs/>
          <w:szCs w:val="21"/>
        </w:rPr>
        <w:t>③本基金在任何交易日日终，持有的买入股指期货、国债期货合约价值与有价证券市值之和，不得超过基金资产净值的</w:t>
      </w:r>
      <w:r>
        <w:rPr>
          <w:rFonts w:hint="eastAsia"/>
          <w:bCs/>
          <w:szCs w:val="21"/>
        </w:rPr>
        <w:t>95%</w:t>
      </w:r>
      <w:r>
        <w:rPr>
          <w:rFonts w:hint="eastAsia"/>
          <w:bCs/>
          <w:szCs w:val="21"/>
        </w:rPr>
        <w:t>。其中，有价证券指股票、债券（不含到期日在一年以内的政府债券）、资</w:t>
      </w:r>
      <w:r>
        <w:rPr>
          <w:rFonts w:hint="eastAsia"/>
          <w:bCs/>
          <w:szCs w:val="21"/>
        </w:rPr>
        <w:t>产支持证券、买入返售金融资产（不含质押式回购）等；</w:t>
      </w:r>
    </w:p>
    <w:p w14:paraId="3946B7F1" w14:textId="77777777" w:rsidR="00BF38BB" w:rsidRDefault="002837D7">
      <w:pPr>
        <w:spacing w:line="360" w:lineRule="auto"/>
        <w:ind w:firstLineChars="200" w:firstLine="420"/>
        <w:rPr>
          <w:bCs/>
          <w:szCs w:val="21"/>
        </w:rPr>
      </w:pPr>
      <w:r>
        <w:rPr>
          <w:rFonts w:hint="eastAsia"/>
          <w:bCs/>
          <w:szCs w:val="21"/>
        </w:rPr>
        <w:t>④本基金在任何交易日日终，持有的卖出股指期货合约价值不得超过基金持有的股票总市值的</w:t>
      </w:r>
      <w:r>
        <w:rPr>
          <w:rFonts w:hint="eastAsia"/>
          <w:bCs/>
          <w:szCs w:val="21"/>
        </w:rPr>
        <w:t>20%</w:t>
      </w:r>
      <w:r>
        <w:rPr>
          <w:rFonts w:hint="eastAsia"/>
          <w:bCs/>
          <w:szCs w:val="21"/>
        </w:rPr>
        <w:t>；</w:t>
      </w:r>
    </w:p>
    <w:p w14:paraId="690B76E2" w14:textId="77777777" w:rsidR="00BF38BB" w:rsidRDefault="002837D7">
      <w:pPr>
        <w:spacing w:line="360" w:lineRule="auto"/>
        <w:ind w:firstLineChars="200" w:firstLine="420"/>
        <w:rPr>
          <w:bCs/>
          <w:szCs w:val="21"/>
        </w:rPr>
      </w:pPr>
      <w:r>
        <w:rPr>
          <w:rFonts w:hint="eastAsia"/>
          <w:bCs/>
          <w:szCs w:val="21"/>
        </w:rPr>
        <w:t>⑤本基金所持有的股票市值和买入、卖出股指期货合约价值，合计（轧差计算）应当符合基金合同关于股票投资比例的有关规定；</w:t>
      </w:r>
    </w:p>
    <w:p w14:paraId="77DCB03D" w14:textId="77777777" w:rsidR="00BF38BB" w:rsidRDefault="002837D7">
      <w:pPr>
        <w:spacing w:line="360" w:lineRule="auto"/>
        <w:ind w:firstLineChars="200" w:firstLine="420"/>
        <w:rPr>
          <w:bCs/>
          <w:szCs w:val="21"/>
        </w:rPr>
      </w:pPr>
      <w:r>
        <w:rPr>
          <w:rFonts w:hint="eastAsia"/>
          <w:bCs/>
          <w:szCs w:val="21"/>
        </w:rPr>
        <w:t>⑥本基金在任何交易日内交易（不包括平仓）的股指期货合约的成交金额不得超过上一交易日基金资产净值的</w:t>
      </w:r>
      <w:r>
        <w:rPr>
          <w:rFonts w:hint="eastAsia"/>
          <w:bCs/>
          <w:szCs w:val="21"/>
        </w:rPr>
        <w:t>20%</w:t>
      </w:r>
      <w:r>
        <w:rPr>
          <w:rFonts w:hint="eastAsia"/>
          <w:bCs/>
          <w:szCs w:val="21"/>
        </w:rPr>
        <w:t>；</w:t>
      </w:r>
    </w:p>
    <w:p w14:paraId="686202D4"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）本基金若参与国债期货交易，应当符合下列投资限制：</w:t>
      </w:r>
    </w:p>
    <w:p w14:paraId="131363CC" w14:textId="77777777" w:rsidR="00BF38BB" w:rsidRDefault="002837D7">
      <w:pPr>
        <w:spacing w:line="360" w:lineRule="auto"/>
        <w:ind w:firstLineChars="200" w:firstLine="420"/>
        <w:rPr>
          <w:bCs/>
          <w:szCs w:val="21"/>
        </w:rPr>
      </w:pPr>
      <w:r>
        <w:rPr>
          <w:rFonts w:hint="eastAsia"/>
          <w:bCs/>
          <w:szCs w:val="21"/>
        </w:rPr>
        <w:t>①本基金在任何交易日日终，持有的买入国债期货合约价值，不得超过基金资产净值的</w:t>
      </w:r>
      <w:r>
        <w:rPr>
          <w:rFonts w:hint="eastAsia"/>
          <w:bCs/>
          <w:szCs w:val="21"/>
        </w:rPr>
        <w:t>15%</w:t>
      </w:r>
      <w:r>
        <w:rPr>
          <w:rFonts w:hint="eastAsia"/>
          <w:bCs/>
          <w:szCs w:val="21"/>
        </w:rPr>
        <w:t>；</w:t>
      </w:r>
    </w:p>
    <w:p w14:paraId="69E84859" w14:textId="77777777" w:rsidR="00BF38BB" w:rsidRDefault="002837D7">
      <w:pPr>
        <w:spacing w:line="360" w:lineRule="auto"/>
        <w:ind w:firstLineChars="200" w:firstLine="420"/>
        <w:rPr>
          <w:bCs/>
          <w:szCs w:val="21"/>
        </w:rPr>
      </w:pPr>
      <w:r>
        <w:rPr>
          <w:rFonts w:hint="eastAsia"/>
          <w:bCs/>
          <w:szCs w:val="21"/>
        </w:rPr>
        <w:t>②本基金每个交易日日终在扣除股指期货和国债期货合约需缴纳的交易保证金后，应当保持不低于基金资产净值的</w:t>
      </w:r>
      <w:r>
        <w:rPr>
          <w:rFonts w:hint="eastAsia"/>
          <w:bCs/>
          <w:szCs w:val="21"/>
        </w:rPr>
        <w:t>5%</w:t>
      </w:r>
      <w:r>
        <w:rPr>
          <w:rFonts w:hint="eastAsia"/>
          <w:bCs/>
          <w:szCs w:val="21"/>
        </w:rPr>
        <w:t>的现金或到期日在一年以内的政府债券，其中现金不包括结算备付金、存出保证金、应收申购款等；</w:t>
      </w:r>
    </w:p>
    <w:p w14:paraId="0F2C63DD" w14:textId="77777777" w:rsidR="00BF38BB" w:rsidRDefault="002837D7">
      <w:pPr>
        <w:spacing w:line="360" w:lineRule="auto"/>
        <w:ind w:firstLineChars="200" w:firstLine="420"/>
        <w:rPr>
          <w:bCs/>
          <w:szCs w:val="21"/>
        </w:rPr>
      </w:pPr>
      <w:r>
        <w:rPr>
          <w:rFonts w:hint="eastAsia"/>
          <w:bCs/>
          <w:szCs w:val="21"/>
        </w:rPr>
        <w:t>③本基金在任何交易日日终，持有的买入股指期货、国债期货合约价值与有价证券市值之和，不得超过基金资产净值的</w:t>
      </w:r>
      <w:r>
        <w:rPr>
          <w:rFonts w:hint="eastAsia"/>
          <w:bCs/>
          <w:szCs w:val="21"/>
        </w:rPr>
        <w:t>95%</w:t>
      </w:r>
      <w:r>
        <w:rPr>
          <w:rFonts w:hint="eastAsia"/>
          <w:bCs/>
          <w:szCs w:val="21"/>
        </w:rPr>
        <w:t>。其中，有价证券指股票、债券（不含到期日在一年以内的政府债券）、资产支持证券、买入返售金融资产（不含质押式回购）等；</w:t>
      </w:r>
    </w:p>
    <w:p w14:paraId="34FFCD7B" w14:textId="77777777" w:rsidR="00BF38BB" w:rsidRDefault="002837D7">
      <w:pPr>
        <w:spacing w:line="360" w:lineRule="auto"/>
        <w:ind w:firstLineChars="200" w:firstLine="420"/>
        <w:rPr>
          <w:bCs/>
          <w:szCs w:val="21"/>
        </w:rPr>
      </w:pPr>
      <w:r>
        <w:rPr>
          <w:rFonts w:hint="eastAsia"/>
          <w:bCs/>
          <w:szCs w:val="21"/>
        </w:rPr>
        <w:t>④本基金在任何交易日日终，持有的卖出国债期货合约价值不得超过基金持有的债券总市值的</w:t>
      </w:r>
      <w:r>
        <w:rPr>
          <w:rFonts w:hint="eastAsia"/>
          <w:bCs/>
          <w:szCs w:val="21"/>
        </w:rPr>
        <w:t>30%</w:t>
      </w:r>
      <w:r>
        <w:rPr>
          <w:rFonts w:hint="eastAsia"/>
          <w:bCs/>
          <w:szCs w:val="21"/>
        </w:rPr>
        <w:t>；</w:t>
      </w:r>
    </w:p>
    <w:p w14:paraId="547ACA5D" w14:textId="77777777" w:rsidR="00BF38BB" w:rsidRDefault="002837D7">
      <w:pPr>
        <w:spacing w:line="360" w:lineRule="auto"/>
        <w:ind w:firstLineChars="200" w:firstLine="420"/>
        <w:rPr>
          <w:bCs/>
          <w:szCs w:val="21"/>
        </w:rPr>
      </w:pPr>
      <w:r>
        <w:rPr>
          <w:rFonts w:hint="eastAsia"/>
          <w:bCs/>
          <w:szCs w:val="21"/>
        </w:rPr>
        <w:t>⑤本基金所持有的债券</w:t>
      </w:r>
      <w:r>
        <w:rPr>
          <w:rFonts w:hint="eastAsia"/>
          <w:bCs/>
          <w:szCs w:val="21"/>
        </w:rPr>
        <w:t>(</w:t>
      </w:r>
      <w:r>
        <w:rPr>
          <w:rFonts w:hint="eastAsia"/>
          <w:bCs/>
          <w:szCs w:val="21"/>
        </w:rPr>
        <w:t>不含到期日在一年以内的政府债券</w:t>
      </w:r>
      <w:r>
        <w:rPr>
          <w:rFonts w:hint="eastAsia"/>
          <w:bCs/>
          <w:szCs w:val="21"/>
        </w:rPr>
        <w:t>)</w:t>
      </w:r>
      <w:r>
        <w:rPr>
          <w:rFonts w:hint="eastAsia"/>
          <w:bCs/>
          <w:szCs w:val="21"/>
        </w:rPr>
        <w:t>市值和买入、卖出国债期货合约价值，合计</w:t>
      </w:r>
      <w:r>
        <w:rPr>
          <w:rFonts w:hint="eastAsia"/>
          <w:bCs/>
          <w:szCs w:val="21"/>
        </w:rPr>
        <w:t>(</w:t>
      </w:r>
      <w:r>
        <w:rPr>
          <w:rFonts w:hint="eastAsia"/>
          <w:bCs/>
          <w:szCs w:val="21"/>
        </w:rPr>
        <w:t>轧差计算</w:t>
      </w:r>
      <w:r>
        <w:rPr>
          <w:rFonts w:hint="eastAsia"/>
          <w:bCs/>
          <w:szCs w:val="21"/>
        </w:rPr>
        <w:t>)</w:t>
      </w:r>
      <w:r>
        <w:rPr>
          <w:rFonts w:hint="eastAsia"/>
          <w:bCs/>
          <w:szCs w:val="21"/>
        </w:rPr>
        <w:t>应当符合基金合同关于债券投资比例的有关约定；</w:t>
      </w:r>
    </w:p>
    <w:p w14:paraId="05B23418" w14:textId="77777777" w:rsidR="00BF38BB" w:rsidRDefault="002837D7">
      <w:pPr>
        <w:spacing w:line="360" w:lineRule="auto"/>
        <w:ind w:firstLineChars="200" w:firstLine="420"/>
        <w:rPr>
          <w:bCs/>
          <w:szCs w:val="21"/>
        </w:rPr>
      </w:pPr>
      <w:r>
        <w:rPr>
          <w:rFonts w:hint="eastAsia"/>
          <w:bCs/>
          <w:szCs w:val="21"/>
        </w:rPr>
        <w:t>⑥本基金在任何交易日内交易（不包括平仓）的国债期货合约的成交金额不得超过上一交易日基金资产净值的</w:t>
      </w:r>
      <w:r>
        <w:rPr>
          <w:rFonts w:hint="eastAsia"/>
          <w:bCs/>
          <w:szCs w:val="21"/>
        </w:rPr>
        <w:t>30%</w:t>
      </w:r>
      <w:r>
        <w:rPr>
          <w:rFonts w:hint="eastAsia"/>
          <w:bCs/>
          <w:szCs w:val="21"/>
        </w:rPr>
        <w:t>；</w:t>
      </w:r>
    </w:p>
    <w:p w14:paraId="20853C2F" w14:textId="77777777" w:rsidR="00BF38BB" w:rsidRDefault="002837D7">
      <w:pPr>
        <w:spacing w:line="360" w:lineRule="auto"/>
        <w:ind w:firstLineChars="200" w:firstLine="420"/>
        <w:rPr>
          <w:bCs/>
          <w:szCs w:val="21"/>
        </w:rPr>
      </w:pPr>
      <w:r>
        <w:rPr>
          <w:rFonts w:hint="eastAsia"/>
          <w:bCs/>
          <w:szCs w:val="21"/>
        </w:rPr>
        <w:lastRenderedPageBreak/>
        <w:t>（</w:t>
      </w:r>
      <w:r>
        <w:rPr>
          <w:rFonts w:hint="eastAsia"/>
          <w:bCs/>
          <w:szCs w:val="21"/>
        </w:rPr>
        <w:t>13</w:t>
      </w:r>
      <w:r>
        <w:rPr>
          <w:rFonts w:hint="eastAsia"/>
          <w:bCs/>
          <w:szCs w:val="21"/>
        </w:rPr>
        <w:t>）本基金若参与股票期权交易，应当符合下列投资限制：</w:t>
      </w:r>
    </w:p>
    <w:p w14:paraId="3262AB25" w14:textId="77777777" w:rsidR="00BF38BB" w:rsidRDefault="002837D7">
      <w:pPr>
        <w:spacing w:line="360" w:lineRule="auto"/>
        <w:ind w:firstLineChars="200" w:firstLine="420"/>
        <w:rPr>
          <w:bCs/>
          <w:szCs w:val="21"/>
        </w:rPr>
      </w:pPr>
      <w:r>
        <w:rPr>
          <w:rFonts w:hint="eastAsia"/>
          <w:bCs/>
          <w:szCs w:val="21"/>
        </w:rPr>
        <w:t>①本基金因未平仓的期权合约支付和收取的权利金总额不得超过基金资产净值的</w:t>
      </w:r>
      <w:r>
        <w:rPr>
          <w:rFonts w:hint="eastAsia"/>
          <w:bCs/>
          <w:szCs w:val="21"/>
        </w:rPr>
        <w:t>10%</w:t>
      </w:r>
      <w:r>
        <w:rPr>
          <w:rFonts w:hint="eastAsia"/>
          <w:bCs/>
          <w:szCs w:val="21"/>
        </w:rPr>
        <w:t>；</w:t>
      </w:r>
    </w:p>
    <w:p w14:paraId="0E4C7CA4" w14:textId="77777777" w:rsidR="00BF38BB" w:rsidRDefault="002837D7">
      <w:pPr>
        <w:spacing w:line="360" w:lineRule="auto"/>
        <w:ind w:firstLineChars="200" w:firstLine="420"/>
        <w:rPr>
          <w:bCs/>
          <w:szCs w:val="21"/>
        </w:rPr>
      </w:pPr>
      <w:r>
        <w:rPr>
          <w:rFonts w:hint="eastAsia"/>
          <w:bCs/>
          <w:szCs w:val="21"/>
        </w:rPr>
        <w:t>②本基金开仓卖出认购期权的，应持有足额标的证券；开仓卖出认沽期权的，应持有合约行权所需的全额现金或交易所规则认可的可</w:t>
      </w:r>
      <w:r>
        <w:rPr>
          <w:rFonts w:hint="eastAsia"/>
          <w:bCs/>
          <w:szCs w:val="21"/>
        </w:rPr>
        <w:t>冲抵期权保证金的现金等价物；</w:t>
      </w:r>
    </w:p>
    <w:p w14:paraId="27565D05" w14:textId="77777777" w:rsidR="00BF38BB" w:rsidRDefault="002837D7">
      <w:pPr>
        <w:spacing w:line="360" w:lineRule="auto"/>
        <w:ind w:firstLineChars="200" w:firstLine="420"/>
        <w:rPr>
          <w:bCs/>
          <w:szCs w:val="21"/>
        </w:rPr>
      </w:pPr>
      <w:r>
        <w:rPr>
          <w:rFonts w:hint="eastAsia"/>
          <w:bCs/>
          <w:szCs w:val="21"/>
        </w:rPr>
        <w:t>③本基金未平仓的期权合约面值不得超过基金资产净值的</w:t>
      </w:r>
      <w:r>
        <w:rPr>
          <w:rFonts w:hint="eastAsia"/>
          <w:bCs/>
          <w:szCs w:val="21"/>
        </w:rPr>
        <w:t>20%</w:t>
      </w:r>
      <w:r>
        <w:rPr>
          <w:rFonts w:hint="eastAsia"/>
          <w:bCs/>
          <w:szCs w:val="21"/>
        </w:rPr>
        <w:t>。其中，合约面值按照行权价乘以合约乘数计算；</w:t>
      </w:r>
    </w:p>
    <w:p w14:paraId="373B608F"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）本基金参与融资业务后，在任何交易日日终，持有的融资买入股票与其他有价证券市值之和，不得超过基金资产净值的</w:t>
      </w:r>
      <w:r>
        <w:rPr>
          <w:rFonts w:hint="eastAsia"/>
          <w:bCs/>
          <w:szCs w:val="21"/>
        </w:rPr>
        <w:t>95%</w:t>
      </w:r>
      <w:r>
        <w:rPr>
          <w:rFonts w:hint="eastAsia"/>
          <w:bCs/>
          <w:szCs w:val="21"/>
        </w:rPr>
        <w:t>；</w:t>
      </w:r>
    </w:p>
    <w:p w14:paraId="7BF41C5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）本基金若参与转融通证券出借业务，应当符合下列投资限制：</w:t>
      </w:r>
    </w:p>
    <w:p w14:paraId="5EEF75D7" w14:textId="77777777" w:rsidR="00BF38BB" w:rsidRDefault="002837D7">
      <w:pPr>
        <w:spacing w:line="360" w:lineRule="auto"/>
        <w:ind w:firstLineChars="200" w:firstLine="420"/>
        <w:rPr>
          <w:bCs/>
          <w:szCs w:val="21"/>
        </w:rPr>
      </w:pPr>
      <w:r>
        <w:rPr>
          <w:rFonts w:hint="eastAsia"/>
          <w:bCs/>
          <w:szCs w:val="21"/>
        </w:rPr>
        <w:t>①出借证券资产不得超过基金资产净值的</w:t>
      </w:r>
      <w:r>
        <w:rPr>
          <w:rFonts w:hint="eastAsia"/>
          <w:bCs/>
          <w:szCs w:val="21"/>
        </w:rPr>
        <w:t>30%</w:t>
      </w:r>
      <w:r>
        <w:rPr>
          <w:rFonts w:hint="eastAsia"/>
          <w:bCs/>
          <w:szCs w:val="21"/>
        </w:rPr>
        <w:t>，出借期限在</w:t>
      </w:r>
      <w:r>
        <w:rPr>
          <w:rFonts w:hint="eastAsia"/>
          <w:bCs/>
          <w:szCs w:val="21"/>
        </w:rPr>
        <w:t>10</w:t>
      </w:r>
      <w:r>
        <w:rPr>
          <w:rFonts w:hint="eastAsia"/>
          <w:bCs/>
          <w:szCs w:val="21"/>
        </w:rPr>
        <w:t>个交易日以上的出借证券应纳入《流动性风险管理规定》所述流动性受限证券的范围；</w:t>
      </w:r>
    </w:p>
    <w:p w14:paraId="2388A348" w14:textId="77777777" w:rsidR="00BF38BB" w:rsidRDefault="002837D7">
      <w:pPr>
        <w:spacing w:line="360" w:lineRule="auto"/>
        <w:ind w:firstLineChars="200" w:firstLine="420"/>
        <w:rPr>
          <w:bCs/>
          <w:szCs w:val="21"/>
        </w:rPr>
      </w:pPr>
      <w:r>
        <w:rPr>
          <w:rFonts w:hint="eastAsia"/>
          <w:bCs/>
          <w:szCs w:val="21"/>
        </w:rPr>
        <w:t>②本基金参与出借业务的单只证券不得超过基金持有该证券总量的</w:t>
      </w:r>
      <w:r>
        <w:rPr>
          <w:rFonts w:hint="eastAsia"/>
          <w:bCs/>
          <w:szCs w:val="21"/>
        </w:rPr>
        <w:t>50%</w:t>
      </w:r>
      <w:r>
        <w:rPr>
          <w:rFonts w:hint="eastAsia"/>
          <w:bCs/>
          <w:szCs w:val="21"/>
        </w:rPr>
        <w:t>；</w:t>
      </w:r>
    </w:p>
    <w:p w14:paraId="4BECC364" w14:textId="77777777" w:rsidR="00BF38BB" w:rsidRDefault="002837D7">
      <w:pPr>
        <w:spacing w:line="360" w:lineRule="auto"/>
        <w:ind w:firstLineChars="200" w:firstLine="420"/>
        <w:rPr>
          <w:bCs/>
          <w:szCs w:val="21"/>
        </w:rPr>
      </w:pPr>
      <w:r>
        <w:rPr>
          <w:rFonts w:hint="eastAsia"/>
          <w:bCs/>
          <w:szCs w:val="21"/>
        </w:rPr>
        <w:t>③最近</w:t>
      </w:r>
      <w:r>
        <w:rPr>
          <w:rFonts w:hint="eastAsia"/>
          <w:bCs/>
          <w:szCs w:val="21"/>
        </w:rPr>
        <w:t>6</w:t>
      </w:r>
      <w:r>
        <w:rPr>
          <w:rFonts w:hint="eastAsia"/>
          <w:bCs/>
          <w:szCs w:val="21"/>
        </w:rPr>
        <w:t>个月内日均基金资产净值不得低于</w:t>
      </w:r>
      <w:r>
        <w:rPr>
          <w:rFonts w:hint="eastAsia"/>
          <w:bCs/>
          <w:szCs w:val="21"/>
        </w:rPr>
        <w:t>2</w:t>
      </w:r>
      <w:r>
        <w:rPr>
          <w:rFonts w:hint="eastAsia"/>
          <w:bCs/>
          <w:szCs w:val="21"/>
        </w:rPr>
        <w:t>亿元；</w:t>
      </w:r>
    </w:p>
    <w:p w14:paraId="5510C30C" w14:textId="77777777" w:rsidR="00BF38BB" w:rsidRDefault="002837D7">
      <w:pPr>
        <w:spacing w:line="360" w:lineRule="auto"/>
        <w:ind w:firstLineChars="200" w:firstLine="420"/>
        <w:rPr>
          <w:bCs/>
          <w:szCs w:val="21"/>
        </w:rPr>
      </w:pPr>
      <w:r>
        <w:rPr>
          <w:rFonts w:hint="eastAsia"/>
          <w:bCs/>
          <w:szCs w:val="21"/>
        </w:rPr>
        <w:t>④证券出借的平均剩余期限不得超过</w:t>
      </w:r>
      <w:r>
        <w:rPr>
          <w:rFonts w:hint="eastAsia"/>
          <w:bCs/>
          <w:szCs w:val="21"/>
        </w:rPr>
        <w:t>30</w:t>
      </w:r>
      <w:r>
        <w:rPr>
          <w:rFonts w:hint="eastAsia"/>
          <w:bCs/>
          <w:szCs w:val="21"/>
        </w:rPr>
        <w:t>天，平均剩余期限按照市值加权平均计算；</w:t>
      </w:r>
    </w:p>
    <w:p w14:paraId="7F177687" w14:textId="77777777" w:rsidR="00BF38BB" w:rsidRDefault="002837D7">
      <w:pPr>
        <w:spacing w:line="360" w:lineRule="auto"/>
        <w:ind w:firstLineChars="200" w:firstLine="420"/>
        <w:rPr>
          <w:bCs/>
          <w:szCs w:val="21"/>
        </w:rPr>
      </w:pPr>
      <w:r>
        <w:rPr>
          <w:rFonts w:hint="eastAsia"/>
          <w:bCs/>
          <w:szCs w:val="21"/>
        </w:rPr>
        <w:t>因证券市场波动、上市公司合并、基金规模变动等基金管理人之外的因素致使基金投资不符合上述规定的，基金管理人不得新增出借业务；</w:t>
      </w:r>
    </w:p>
    <w:p w14:paraId="422B0AB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）本基金资产总值不得超过基金资产净值的</w:t>
      </w:r>
      <w:r>
        <w:rPr>
          <w:rFonts w:hint="eastAsia"/>
          <w:bCs/>
          <w:szCs w:val="21"/>
        </w:rPr>
        <w:t>140%</w:t>
      </w:r>
      <w:r>
        <w:rPr>
          <w:rFonts w:hint="eastAsia"/>
          <w:bCs/>
          <w:szCs w:val="21"/>
        </w:rPr>
        <w:t>；</w:t>
      </w:r>
    </w:p>
    <w:p w14:paraId="0846B0B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）本基金管理人管理的全部开放式基金持有一家上市公司发行的可流通股票，不得超过该上市公司可流通股票的</w:t>
      </w:r>
      <w:r>
        <w:rPr>
          <w:rFonts w:hint="eastAsia"/>
          <w:bCs/>
          <w:szCs w:val="21"/>
        </w:rPr>
        <w:t>15%</w:t>
      </w:r>
      <w:r>
        <w:rPr>
          <w:rFonts w:hint="eastAsia"/>
          <w:bCs/>
          <w:szCs w:val="21"/>
        </w:rPr>
        <w:t>；本基金管理人管理的全部投资组合持有一家上市公司发行的可流通股票，不得超过该上市公司可流</w:t>
      </w:r>
      <w:r>
        <w:rPr>
          <w:rFonts w:hint="eastAsia"/>
          <w:bCs/>
          <w:szCs w:val="21"/>
        </w:rPr>
        <w:t>通股票的</w:t>
      </w:r>
      <w:r>
        <w:rPr>
          <w:rFonts w:hint="eastAsia"/>
          <w:bCs/>
          <w:szCs w:val="21"/>
        </w:rPr>
        <w:t>30%</w:t>
      </w:r>
      <w:r>
        <w:rPr>
          <w:rFonts w:hint="eastAsia"/>
          <w:bCs/>
          <w:szCs w:val="21"/>
        </w:rPr>
        <w:t>；完全按照有关指数的构成比例进行证券投资的基金品种可以不受此条款规定的比例限制；</w:t>
      </w:r>
    </w:p>
    <w:p w14:paraId="1AF6836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）本基金主动投资于流动性受限资产的市值合计不得超过基金资产净值的</w:t>
      </w:r>
      <w:r>
        <w:rPr>
          <w:rFonts w:hint="eastAsia"/>
          <w:bCs/>
          <w:szCs w:val="21"/>
        </w:rPr>
        <w:t>15%</w:t>
      </w:r>
      <w:r>
        <w:rPr>
          <w:rFonts w:hint="eastAsia"/>
          <w:bCs/>
          <w:szCs w:val="21"/>
        </w:rPr>
        <w:t>；因证券市场波动、上市公司股票停牌、基金规模变动等基金管理人之外的因素致使基金不符合本款所规定比例限制的，本基金管理人不得主动新增流动性受限资产的投资；</w:t>
      </w:r>
    </w:p>
    <w:p w14:paraId="7E1C9462"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19</w:t>
      </w:r>
      <w:r>
        <w:rPr>
          <w:rFonts w:hint="eastAsia"/>
          <w:bCs/>
          <w:szCs w:val="21"/>
        </w:rPr>
        <w:t>）本基金与私募类证券资管产品及中国证监会认定的其他主体为交易对手开展逆回购交易的，可接受质押品的资质要求应当与基金合同约定的投资范围保持一致；</w:t>
      </w:r>
    </w:p>
    <w:p w14:paraId="29755EC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）本基金投资存托凭证的比例限制依照国内依法发行上市的股票执行，与国内依法发行上市的股票合并计算；</w:t>
      </w:r>
    </w:p>
    <w:p w14:paraId="16C0BC0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21</w:t>
      </w:r>
      <w:r>
        <w:rPr>
          <w:rFonts w:hint="eastAsia"/>
          <w:bCs/>
          <w:szCs w:val="21"/>
        </w:rPr>
        <w:t>）法律法规及中国证监会规定的和《基金合同》约定的其他投资限制。</w:t>
      </w:r>
    </w:p>
    <w:p w14:paraId="7AF91414" w14:textId="77777777" w:rsidR="00BF38BB" w:rsidRDefault="002837D7">
      <w:pPr>
        <w:spacing w:line="360" w:lineRule="auto"/>
        <w:ind w:firstLineChars="200" w:firstLine="420"/>
        <w:rPr>
          <w:bCs/>
          <w:szCs w:val="21"/>
        </w:rPr>
      </w:pPr>
      <w:r>
        <w:rPr>
          <w:rFonts w:hint="eastAsia"/>
          <w:bCs/>
          <w:szCs w:val="21"/>
        </w:rPr>
        <w:t>除上述第（</w:t>
      </w:r>
      <w:r>
        <w:rPr>
          <w:rFonts w:hint="eastAsia"/>
          <w:bCs/>
          <w:szCs w:val="21"/>
        </w:rPr>
        <w:t>2</w:t>
      </w:r>
      <w:r>
        <w:rPr>
          <w:rFonts w:hint="eastAsia"/>
          <w:bCs/>
          <w:szCs w:val="21"/>
        </w:rPr>
        <w:t>）、（</w:t>
      </w:r>
      <w:r>
        <w:rPr>
          <w:rFonts w:hint="eastAsia"/>
          <w:bCs/>
          <w:szCs w:val="21"/>
        </w:rPr>
        <w:t>9</w:t>
      </w:r>
      <w:r>
        <w:rPr>
          <w:rFonts w:hint="eastAsia"/>
          <w:bCs/>
          <w:szCs w:val="21"/>
        </w:rPr>
        <w:t>）、（</w:t>
      </w:r>
      <w:r>
        <w:rPr>
          <w:rFonts w:hint="eastAsia"/>
          <w:bCs/>
          <w:szCs w:val="21"/>
        </w:rPr>
        <w:t>15</w:t>
      </w:r>
      <w:r>
        <w:rPr>
          <w:rFonts w:hint="eastAsia"/>
          <w:bCs/>
          <w:szCs w:val="21"/>
        </w:rPr>
        <w:t>）、（</w:t>
      </w:r>
      <w:r>
        <w:rPr>
          <w:rFonts w:hint="eastAsia"/>
          <w:bCs/>
          <w:szCs w:val="21"/>
        </w:rPr>
        <w:t>18</w:t>
      </w:r>
      <w:r>
        <w:rPr>
          <w:rFonts w:hint="eastAsia"/>
          <w:bCs/>
          <w:szCs w:val="21"/>
        </w:rPr>
        <w:t>）、（</w:t>
      </w:r>
      <w:r>
        <w:rPr>
          <w:rFonts w:hint="eastAsia"/>
          <w:bCs/>
          <w:szCs w:val="21"/>
        </w:rPr>
        <w:t>19</w:t>
      </w:r>
      <w:r>
        <w:rPr>
          <w:rFonts w:hint="eastAsia"/>
          <w:bCs/>
          <w:szCs w:val="21"/>
        </w:rPr>
        <w:t>）项外，因证券、期货市场波动、证券发行人合并、基金规模变</w:t>
      </w:r>
      <w:r>
        <w:rPr>
          <w:rFonts w:hint="eastAsia"/>
          <w:bCs/>
          <w:szCs w:val="21"/>
        </w:rPr>
        <w:lastRenderedPageBreak/>
        <w:t>动、标的指数成份股调整、标的指数成份股流动性限制等基金管理人之外的因素致使基金投资比例不符合上述规定投资比例的，基金管理人应当在所涉证券可交易之日起</w:t>
      </w:r>
      <w:r>
        <w:rPr>
          <w:rFonts w:hint="eastAsia"/>
          <w:bCs/>
          <w:szCs w:val="21"/>
        </w:rPr>
        <w:t>10</w:t>
      </w:r>
      <w:r>
        <w:rPr>
          <w:rFonts w:hint="eastAsia"/>
          <w:bCs/>
          <w:szCs w:val="21"/>
        </w:rPr>
        <w:t>个交易日内进行调整，但中国证监会规定的特殊情形除外。法律法规另有规定的，从其规定</w:t>
      </w:r>
      <w:r>
        <w:rPr>
          <w:rFonts w:hint="eastAsia"/>
          <w:bCs/>
          <w:szCs w:val="21"/>
        </w:rPr>
        <w:t>。</w:t>
      </w:r>
    </w:p>
    <w:p w14:paraId="4084396E" w14:textId="77777777" w:rsidR="00BF38BB" w:rsidRDefault="002837D7">
      <w:pPr>
        <w:spacing w:line="360" w:lineRule="auto"/>
        <w:ind w:firstLineChars="200" w:firstLine="420"/>
        <w:rPr>
          <w:bCs/>
          <w:szCs w:val="21"/>
        </w:rPr>
      </w:pPr>
      <w:r>
        <w:rPr>
          <w:rFonts w:hint="eastAsia"/>
          <w:bCs/>
          <w:szCs w:val="21"/>
        </w:rPr>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个月内使基金的投资组合比例符合基金合同的有关约定。在上述期间内，本基金的投资范围、投资策略应当符合基金合同的约定。基金托管人对基金投资的监督与检查自基金合同生效之日起开始。</w:t>
      </w:r>
    </w:p>
    <w:p w14:paraId="2B9BF5AC"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基金托管人根据有关法律法规的规定及基金合同和本协议的约定，对基金投资禁止行为进行监督。基金财产不得用于下列投资或者活动。</w:t>
      </w:r>
    </w:p>
    <w:p w14:paraId="192C909E"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）承销证券；</w:t>
      </w:r>
    </w:p>
    <w:p w14:paraId="5DB4BBA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）违反规定向他人贷款或者提供担保；</w:t>
      </w:r>
    </w:p>
    <w:p w14:paraId="7990406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）从事承担无限责任的投资；</w:t>
      </w:r>
    </w:p>
    <w:p w14:paraId="2E045D0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）买卖其他基金份额，但是中国证监会另有规定的除外；</w:t>
      </w:r>
    </w:p>
    <w:p w14:paraId="7870CD3F"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）向其基金管理人、基金托管人出资；</w:t>
      </w:r>
    </w:p>
    <w:p w14:paraId="1A7EDA9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）从事内幕交易、操纵证券交易价格及其他不正当的证券交易活动；</w:t>
      </w:r>
    </w:p>
    <w:p w14:paraId="0F9440C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）法律、行政法规和中国证监会规定禁止的其他活动。</w:t>
      </w:r>
    </w:p>
    <w:p w14:paraId="4586B491" w14:textId="77777777" w:rsidR="00BF38BB" w:rsidRDefault="002837D7">
      <w:pPr>
        <w:spacing w:line="360" w:lineRule="auto"/>
        <w:ind w:firstLineChars="200" w:firstLine="420"/>
        <w:rPr>
          <w:bCs/>
          <w:szCs w:val="21"/>
        </w:rPr>
      </w:pPr>
      <w:r>
        <w:rPr>
          <w:rFonts w:hint="eastAsia"/>
          <w:bCs/>
          <w:szCs w:val="21"/>
        </w:rPr>
        <w:t>除标的指数成份股、备选成份股之外，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w:t>
      </w:r>
      <w:r>
        <w:rPr>
          <w:rFonts w:hint="eastAsia"/>
          <w:bCs/>
          <w:szCs w:val="21"/>
        </w:rPr>
        <w:t>得到基金托管人的同意，并按法律法规予以披露。重大关联交易应提交基金管理人董事会审议，并经过三分之二以上（含三分之二）的独立董事通过。基金管理人董事会应至少每半年对关联交易事项进行审查。</w:t>
      </w:r>
    </w:p>
    <w:p w14:paraId="5BC9EC13"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法律法规或监管部门对基金合同所述投资比例、投资限制、组合限制、禁止行为等作出强制性调整的，本基金应当按照法律法规或监管部门的规定执行。</w:t>
      </w:r>
    </w:p>
    <w:p w14:paraId="6C728717"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基金托管人根据有关法律法规的规定及基金合同和本协议的约定，对基金管理人参与银行间债券市场进行监督。</w:t>
      </w:r>
    </w:p>
    <w:p w14:paraId="00B576AB"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）基金托管人依据有关法律法规的规定和《基金合同》的约定对于基金管理人参与银行间</w:t>
      </w:r>
      <w:r>
        <w:rPr>
          <w:rFonts w:hint="eastAsia"/>
          <w:bCs/>
          <w:szCs w:val="21"/>
        </w:rPr>
        <w:t>市场交易时面临的交易对手资信风险进行监督。</w:t>
      </w:r>
    </w:p>
    <w:p w14:paraId="4C963498" w14:textId="77777777" w:rsidR="00BF38BB" w:rsidRDefault="002837D7">
      <w:pPr>
        <w:spacing w:line="360" w:lineRule="auto"/>
        <w:ind w:firstLineChars="200" w:firstLine="420"/>
        <w:rPr>
          <w:bCs/>
          <w:szCs w:val="21"/>
        </w:rPr>
      </w:pPr>
      <w:r>
        <w:rPr>
          <w:rFonts w:hint="eastAsia"/>
          <w:bCs/>
          <w:szCs w:val="21"/>
        </w:rPr>
        <w:t>基金管理人应向基金托管人提供符合法律法规及行业标准的银行间市场交易对手的名单。基金托管人在收到名单后</w:t>
      </w:r>
      <w:r>
        <w:rPr>
          <w:rFonts w:hint="eastAsia"/>
          <w:bCs/>
          <w:szCs w:val="21"/>
        </w:rPr>
        <w:t>2</w:t>
      </w:r>
      <w:r>
        <w:rPr>
          <w:rFonts w:hint="eastAsia"/>
          <w:bCs/>
          <w:szCs w:val="21"/>
        </w:rPr>
        <w:t>个工作日内电话或回函确认收到该名单。基金管理人应定期和不定期对银行间市场现券及回购交易对手的名单进行更新。基金托管人在收到名单后</w:t>
      </w:r>
      <w:r>
        <w:rPr>
          <w:rFonts w:hint="eastAsia"/>
          <w:bCs/>
          <w:szCs w:val="21"/>
        </w:rPr>
        <w:t>2</w:t>
      </w:r>
      <w:r>
        <w:rPr>
          <w:rFonts w:hint="eastAsia"/>
          <w:bCs/>
          <w:szCs w:val="21"/>
        </w:rPr>
        <w:t>个工作日内电话或书面回函确认，新名单自基</w:t>
      </w:r>
      <w:r>
        <w:rPr>
          <w:rFonts w:hint="eastAsia"/>
          <w:bCs/>
          <w:szCs w:val="21"/>
        </w:rPr>
        <w:lastRenderedPageBreak/>
        <w:t>金托管人确认当日生效。新名单生效前已与本次剔除的交易对手所进行但尚未结算的交易，仍应按照协议进行结算。</w:t>
      </w:r>
    </w:p>
    <w:p w14:paraId="396C871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）基金管理人参与银行间市场交易时，有责任控制交易对手的资信风险，由于交易对手资信风险引起</w:t>
      </w:r>
      <w:r>
        <w:rPr>
          <w:rFonts w:hint="eastAsia"/>
          <w:bCs/>
          <w:szCs w:val="21"/>
        </w:rPr>
        <w:t>的损失，基金管理人应当负责向相关责任人追偿，基金托管人应予以必要的协助及配合。</w:t>
      </w:r>
    </w:p>
    <w:p w14:paraId="13870A19"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基金托管人根据有关法律法规的规定及基金合同和本协议的约定，对基金管理人银行存款业务进行监督。</w:t>
      </w:r>
    </w:p>
    <w:p w14:paraId="3E9B0FEA" w14:textId="77777777" w:rsidR="00BF38BB" w:rsidRDefault="002837D7">
      <w:pPr>
        <w:spacing w:line="360" w:lineRule="auto"/>
        <w:ind w:firstLineChars="200" w:firstLine="420"/>
        <w:rPr>
          <w:bCs/>
          <w:szCs w:val="21"/>
        </w:rPr>
      </w:pPr>
      <w:r>
        <w:rPr>
          <w:rFonts w:hint="eastAsia"/>
          <w:bCs/>
          <w:szCs w:val="21"/>
        </w:rPr>
        <w:t>本基金投资银行存款应符合如下规定：</w:t>
      </w:r>
    </w:p>
    <w:p w14:paraId="5DBE4BA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）基金管理人、基金托管人应当与存款银行建立对账机制，确保基金银行存款业务账目及核算的真实、准确。</w:t>
      </w:r>
    </w:p>
    <w:p w14:paraId="68689EEE"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）基金托管人应加强对基金银行存款业务的监督与核查，严格审查、复核相关协议、账户资料、投资指令、存款证实书等有关文件，切实履行托管职责。</w:t>
      </w:r>
    </w:p>
    <w:p w14:paraId="10A5EDD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）基金管理人与基金托管人在开展基金存款业务时，应严格</w:t>
      </w:r>
      <w:r>
        <w:rPr>
          <w:rFonts w:hint="eastAsia"/>
          <w:bCs/>
          <w:szCs w:val="21"/>
        </w:rPr>
        <w:t>遵守《基金法》、《运作办法》等有关法律法规，以及国家有关账户管理、利率管理、支付结算等的各项规定。</w:t>
      </w:r>
    </w:p>
    <w:p w14:paraId="48A17791" w14:textId="77777777" w:rsidR="00BF38BB" w:rsidRDefault="002837D7">
      <w:pPr>
        <w:spacing w:line="360" w:lineRule="auto"/>
        <w:ind w:firstLineChars="200" w:firstLine="420"/>
        <w:rPr>
          <w:bCs/>
          <w:szCs w:val="21"/>
        </w:rPr>
      </w:pPr>
      <w:r>
        <w:rPr>
          <w:rFonts w:hint="eastAsia"/>
          <w:bCs/>
          <w:szCs w:val="21"/>
        </w:rPr>
        <w:t>7.</w:t>
      </w:r>
      <w:r>
        <w:rPr>
          <w:rFonts w:hint="eastAsia"/>
          <w:bCs/>
          <w:szCs w:val="21"/>
        </w:rPr>
        <w:t>基金托管人对基金投资流通受限证券的监督。</w:t>
      </w:r>
    </w:p>
    <w:p w14:paraId="7574CD3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）基金投资流通受限证券，应遵守《关于基金投资非公开发行股票等流通受限证券有关问题的通知》等有关法律法规规定。</w:t>
      </w:r>
    </w:p>
    <w:p w14:paraId="1CF0B0A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Pr>
          <w:rFonts w:hint="eastAsia"/>
          <w:bCs/>
          <w:szCs w:val="21"/>
        </w:rPr>
        <w:t xml:space="preserve"> </w:t>
      </w:r>
    </w:p>
    <w:p w14:paraId="58B51CFA"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基金管理人应在基金首次投资流通受限证券前，向基金托管人提供基金管理人的基金投资流通受限证券的投资决策流程、风险控制制度。基金投资非公开发行股票，基金管理人还应提供基金管理人的流动性风险处置预案。上述资料应包括但不限于基金投资流通受限证券的投资额度和投资比例控制情况。</w:t>
      </w:r>
      <w:r>
        <w:rPr>
          <w:rFonts w:hint="eastAsia"/>
          <w:bCs/>
          <w:szCs w:val="21"/>
        </w:rPr>
        <w:t xml:space="preserve"> </w:t>
      </w:r>
      <w:r>
        <w:rPr>
          <w:rFonts w:hint="eastAsia"/>
          <w:bCs/>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r>
        <w:rPr>
          <w:rFonts w:hint="eastAsia"/>
          <w:bCs/>
          <w:szCs w:val="21"/>
        </w:rPr>
        <w:t xml:space="preserve"> </w:t>
      </w:r>
    </w:p>
    <w:p w14:paraId="372592C4"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）基金投资流通受限证券前，基金</w:t>
      </w:r>
      <w:r>
        <w:rPr>
          <w:rFonts w:hint="eastAsia"/>
          <w:bCs/>
          <w:szCs w:val="21"/>
        </w:rPr>
        <w:t>管理人应向基金托管人提供符合法律法规要求的有关书面信息，包括但不限于拟发行证券主体的中国证监会批准或注册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送至基金托管人，保证基金托管人有足够的时间进行审核。</w:t>
      </w:r>
    </w:p>
    <w:p w14:paraId="377C2AEB" w14:textId="77777777" w:rsidR="00BF38BB" w:rsidRDefault="002837D7">
      <w:pPr>
        <w:spacing w:line="360" w:lineRule="auto"/>
        <w:ind w:firstLineChars="200" w:firstLine="420"/>
        <w:rPr>
          <w:bCs/>
          <w:szCs w:val="21"/>
        </w:rPr>
      </w:pPr>
      <w:r>
        <w:rPr>
          <w:rFonts w:hint="eastAsia"/>
          <w:bCs/>
          <w:szCs w:val="21"/>
        </w:rPr>
        <w:lastRenderedPageBreak/>
        <w:t>8.</w:t>
      </w:r>
      <w:r>
        <w:rPr>
          <w:rFonts w:hint="eastAsia"/>
          <w:bCs/>
          <w:szCs w:val="21"/>
        </w:rPr>
        <w:t>基金参与融资及转融通证券出借业务，基金管理人应当遵守审慎经营的原则，配备技术系统和专业人员，制定科学合理的</w:t>
      </w:r>
      <w:r>
        <w:rPr>
          <w:rFonts w:hint="eastAsia"/>
          <w:bCs/>
          <w:szCs w:val="21"/>
        </w:rPr>
        <w:t>投资策略和风险管理制度，完善业务流程，有效防范和控制风险，基金托管人将对基金参与融资及转融通证券出借业务进行监督与复核。</w:t>
      </w:r>
    </w:p>
    <w:p w14:paraId="31873850" w14:textId="77777777" w:rsidR="00BF38BB" w:rsidRDefault="002837D7">
      <w:pPr>
        <w:spacing w:line="360" w:lineRule="auto"/>
        <w:ind w:firstLineChars="200" w:firstLine="420"/>
        <w:rPr>
          <w:bCs/>
          <w:szCs w:val="21"/>
        </w:rPr>
      </w:pPr>
      <w:r>
        <w:rPr>
          <w:rFonts w:hint="eastAsia"/>
          <w:bCs/>
          <w:szCs w:val="21"/>
        </w:rPr>
        <w:t>9</w:t>
      </w:r>
      <w:r>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B881EB8" w14:textId="77777777" w:rsidR="00BF38BB" w:rsidRDefault="002837D7">
      <w:pPr>
        <w:spacing w:line="360" w:lineRule="auto"/>
        <w:ind w:firstLineChars="200" w:firstLine="420"/>
        <w:rPr>
          <w:bCs/>
          <w:szCs w:val="21"/>
        </w:rPr>
      </w:pPr>
      <w:r>
        <w:rPr>
          <w:rFonts w:hint="eastAsia"/>
          <w:bCs/>
          <w:szCs w:val="21"/>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200F4187" w14:textId="77777777" w:rsidR="00BF38BB" w:rsidRDefault="002837D7">
      <w:pPr>
        <w:spacing w:line="360" w:lineRule="auto"/>
        <w:ind w:firstLineChars="200" w:firstLine="420"/>
        <w:rPr>
          <w:bCs/>
          <w:szCs w:val="21"/>
        </w:rPr>
      </w:pPr>
      <w:r>
        <w:rPr>
          <w:rFonts w:hint="eastAsia"/>
          <w:bCs/>
          <w:szCs w:val="21"/>
        </w:rPr>
        <w:t>10.</w:t>
      </w:r>
      <w:r>
        <w:rPr>
          <w:rFonts w:hint="eastAsia"/>
          <w:bCs/>
          <w:szCs w:val="21"/>
        </w:rPr>
        <w:t>基</w:t>
      </w:r>
      <w:r>
        <w:rPr>
          <w:rFonts w:hint="eastAsia"/>
          <w:bCs/>
          <w:szCs w:val="21"/>
        </w:rPr>
        <w:t>金托管人根据法律法规的规定及《基金合同》和本协议的约定，对基金投资其他方面进行监督。</w:t>
      </w:r>
    </w:p>
    <w:p w14:paraId="045192DE" w14:textId="77777777" w:rsidR="00BF38BB" w:rsidRDefault="002837D7">
      <w:pPr>
        <w:spacing w:line="360" w:lineRule="auto"/>
        <w:ind w:firstLineChars="200" w:firstLine="420"/>
        <w:rPr>
          <w:bCs/>
          <w:szCs w:val="21"/>
        </w:rPr>
      </w:pPr>
      <w:r>
        <w:rPr>
          <w:rFonts w:hint="eastAsia"/>
          <w:bCs/>
          <w:szCs w:val="21"/>
        </w:rPr>
        <w:t>二）基金托管人应根据有关法律法规的规定及《基金合同》的约定，对基金资产净值计算、各类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487BF250" w14:textId="77777777" w:rsidR="00BF38BB" w:rsidRDefault="002837D7">
      <w:pPr>
        <w:spacing w:line="360" w:lineRule="auto"/>
        <w:ind w:firstLineChars="200" w:firstLine="420"/>
        <w:rPr>
          <w:bCs/>
          <w:szCs w:val="21"/>
        </w:rPr>
      </w:pPr>
      <w:r>
        <w:rPr>
          <w:rFonts w:hint="eastAsia"/>
          <w:bCs/>
          <w:szCs w:val="21"/>
        </w:rPr>
        <w:t>三）基金管理人应积极配合和协助基金托管人的监督和核查，在规</w:t>
      </w:r>
      <w:r>
        <w:rPr>
          <w:rFonts w:hint="eastAsia"/>
          <w:bCs/>
          <w:szCs w:val="21"/>
        </w:rPr>
        <w:t>定时间内答复并改正，就基金托管人的合理疑义进行解释或举证。对基金托管人按照法规要求需向中国证监会报送基金监督报告的，基金管理人应积极配合提供相关数据资料和制度等。</w:t>
      </w:r>
    </w:p>
    <w:p w14:paraId="560BD295" w14:textId="77777777" w:rsidR="00BF38BB" w:rsidRDefault="002837D7">
      <w:pPr>
        <w:spacing w:line="360" w:lineRule="auto"/>
        <w:ind w:firstLineChars="200" w:firstLine="420"/>
        <w:rPr>
          <w:bCs/>
          <w:szCs w:val="21"/>
        </w:rPr>
      </w:pPr>
      <w:r>
        <w:rPr>
          <w:rFonts w:hint="eastAsia"/>
          <w:bCs/>
          <w:szCs w:val="21"/>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1E9A9112" w14:textId="77777777" w:rsidR="00BF38BB" w:rsidRDefault="002837D7">
      <w:pPr>
        <w:spacing w:line="360" w:lineRule="auto"/>
        <w:ind w:firstLineChars="200" w:firstLine="420"/>
        <w:rPr>
          <w:bCs/>
          <w:szCs w:val="21"/>
        </w:rPr>
      </w:pPr>
      <w:r>
        <w:rPr>
          <w:rFonts w:hint="eastAsia"/>
          <w:bCs/>
          <w:szCs w:val="21"/>
        </w:rPr>
        <w:t>基金托管人发现基金管理人有重大违规行为，应立即报告中国证监会，同时通知基金管理人在限期</w:t>
      </w:r>
      <w:r>
        <w:rPr>
          <w:rFonts w:hint="eastAsia"/>
          <w:bCs/>
          <w:szCs w:val="21"/>
        </w:rPr>
        <w:t>内纠正。</w:t>
      </w:r>
    </w:p>
    <w:p w14:paraId="2ABC2B71" w14:textId="77777777" w:rsidR="00BF38BB" w:rsidRDefault="002837D7">
      <w:pPr>
        <w:spacing w:line="360" w:lineRule="auto"/>
        <w:ind w:firstLineChars="200" w:firstLine="420"/>
        <w:rPr>
          <w:bCs/>
          <w:szCs w:val="21"/>
        </w:rPr>
      </w:pPr>
      <w:r>
        <w:rPr>
          <w:rFonts w:hint="eastAsia"/>
          <w:bCs/>
          <w:szCs w:val="21"/>
        </w:rPr>
        <w:t>基金托管人发现基金管理人的指令违反法律、行政法规和其他有关规定，或者违反《基金合同》约定的，应当拒绝执行，立即通知基金管理人，并有权向中国证监会报告。</w:t>
      </w:r>
    </w:p>
    <w:p w14:paraId="0FDB67F8" w14:textId="77777777" w:rsidR="00BF38BB" w:rsidRDefault="002837D7">
      <w:pPr>
        <w:spacing w:line="360" w:lineRule="auto"/>
        <w:ind w:firstLineChars="200" w:firstLine="420"/>
        <w:rPr>
          <w:bCs/>
          <w:szCs w:val="21"/>
        </w:rPr>
      </w:pPr>
      <w:r>
        <w:rPr>
          <w:rFonts w:hint="eastAsia"/>
          <w:bCs/>
          <w:szCs w:val="21"/>
        </w:rPr>
        <w:t>基金托管人发现基金管理人依据交易程序已经生效的指令违反法律、行政法规和其他有关规定，或者违反《基金合同》约定的，应当立即通知基金管理人，并有权向中国证监会报告。</w:t>
      </w:r>
    </w:p>
    <w:p w14:paraId="6F30475E" w14:textId="77777777" w:rsidR="00BF38BB" w:rsidRDefault="002837D7">
      <w:pPr>
        <w:spacing w:line="360" w:lineRule="auto"/>
        <w:ind w:firstLineChars="200" w:firstLine="420"/>
        <w:rPr>
          <w:bCs/>
          <w:szCs w:val="21"/>
        </w:rPr>
      </w:pPr>
      <w:r>
        <w:rPr>
          <w:rFonts w:hint="eastAsia"/>
          <w:bCs/>
          <w:szCs w:val="21"/>
        </w:rPr>
        <w:t>（三）基金管理人对基金托管人的业务核查</w:t>
      </w:r>
    </w:p>
    <w:p w14:paraId="2A2EDCC8" w14:textId="77777777" w:rsidR="00BF38BB" w:rsidRDefault="002837D7">
      <w:pPr>
        <w:spacing w:line="360" w:lineRule="auto"/>
        <w:ind w:firstLineChars="200" w:firstLine="420"/>
        <w:rPr>
          <w:bCs/>
          <w:szCs w:val="21"/>
        </w:rPr>
      </w:pPr>
      <w:r>
        <w:rPr>
          <w:rFonts w:hint="eastAsia"/>
          <w:bCs/>
          <w:szCs w:val="21"/>
        </w:rPr>
        <w:t>根据《基金法》及其他有关法规、《基金合同》和本协议规定，基金管理人对基金托管人履行托管职责的情况进行核查，核查事项包括但不限于基金托管人是否安全保管</w:t>
      </w:r>
      <w:r>
        <w:rPr>
          <w:rFonts w:hint="eastAsia"/>
          <w:bCs/>
          <w:szCs w:val="21"/>
        </w:rPr>
        <w:t>基金财产、开立基金财产的资金账户、证</w:t>
      </w:r>
      <w:r>
        <w:rPr>
          <w:rFonts w:hint="eastAsia"/>
          <w:bCs/>
          <w:szCs w:val="21"/>
        </w:rPr>
        <w:lastRenderedPageBreak/>
        <w:t>券账户及债券托管账户等投资所需账户，是否及时、准确复核基金管理人计算的基金资产净值和各类基金份额净值，是否根据基金管理人指令办理清算交收，是否按照法规规定和《基金合同》规定进行相关信息披露和监督基金投资运作等行为。</w:t>
      </w:r>
    </w:p>
    <w:p w14:paraId="62D8B367" w14:textId="77777777" w:rsidR="00BF38BB" w:rsidRDefault="002837D7">
      <w:pPr>
        <w:spacing w:line="360" w:lineRule="auto"/>
        <w:ind w:firstLineChars="200" w:firstLine="420"/>
        <w:rPr>
          <w:bCs/>
          <w:szCs w:val="21"/>
        </w:rPr>
      </w:pPr>
      <w:r>
        <w:rPr>
          <w:rFonts w:hint="eastAsia"/>
          <w:bCs/>
          <w:szCs w:val="21"/>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2E6772F3" w14:textId="77777777" w:rsidR="00BF38BB" w:rsidRDefault="002837D7">
      <w:pPr>
        <w:spacing w:line="360" w:lineRule="auto"/>
        <w:ind w:firstLineChars="200" w:firstLine="420"/>
        <w:rPr>
          <w:bCs/>
          <w:szCs w:val="21"/>
        </w:rPr>
      </w:pPr>
      <w:r>
        <w:rPr>
          <w:rFonts w:hint="eastAsia"/>
          <w:bCs/>
          <w:szCs w:val="21"/>
        </w:rPr>
        <w:t>基金管理人发现基金托管人未对基金资产实行分账管理、擅自挪用基金</w:t>
      </w:r>
      <w:r>
        <w:rPr>
          <w:rFonts w:hint="eastAsia"/>
          <w:bCs/>
          <w:szCs w:val="21"/>
        </w:rPr>
        <w:t>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51B1A9C5" w14:textId="77777777" w:rsidR="00BF38BB" w:rsidRDefault="002837D7">
      <w:pPr>
        <w:spacing w:line="360" w:lineRule="auto"/>
        <w:ind w:firstLineChars="200" w:firstLine="420"/>
        <w:rPr>
          <w:bCs/>
          <w:szCs w:val="21"/>
        </w:rPr>
      </w:pPr>
      <w:r>
        <w:rPr>
          <w:rFonts w:hint="eastAsia"/>
          <w:bCs/>
          <w:szCs w:val="21"/>
        </w:rPr>
        <w:t>基金管理人发现基金托管人</w:t>
      </w:r>
      <w:r>
        <w:rPr>
          <w:rFonts w:hint="eastAsia"/>
          <w:bCs/>
          <w:szCs w:val="21"/>
        </w:rPr>
        <w:t>有重大违规行为，应立即报告中国证监会，同时通知基金托管人在限期内纠正。</w:t>
      </w:r>
    </w:p>
    <w:p w14:paraId="27CACE13" w14:textId="77777777" w:rsidR="00BF38BB" w:rsidRDefault="002837D7">
      <w:pPr>
        <w:spacing w:line="360" w:lineRule="auto"/>
        <w:ind w:firstLineChars="200" w:firstLine="420"/>
        <w:rPr>
          <w:bCs/>
          <w:szCs w:val="21"/>
        </w:rPr>
      </w:pPr>
      <w:r>
        <w:rPr>
          <w:rFonts w:hint="eastAsia"/>
          <w:bCs/>
          <w:szCs w:val="21"/>
        </w:rPr>
        <w:t>（四）基金财产的保管</w:t>
      </w:r>
    </w:p>
    <w:p w14:paraId="2A506AC6" w14:textId="77777777" w:rsidR="00BF38BB" w:rsidRDefault="002837D7">
      <w:pPr>
        <w:spacing w:line="360" w:lineRule="auto"/>
        <w:ind w:firstLineChars="200" w:firstLine="420"/>
        <w:rPr>
          <w:bCs/>
          <w:szCs w:val="21"/>
        </w:rPr>
      </w:pPr>
      <w:r>
        <w:rPr>
          <w:rFonts w:hint="eastAsia"/>
          <w:bCs/>
          <w:szCs w:val="21"/>
        </w:rPr>
        <w:t>一）基金财产保管的原则</w:t>
      </w:r>
    </w:p>
    <w:p w14:paraId="6A1CE66C"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基金托管人应安全保管基金财产，未经基金管理人的指令，不得自行运用、处分、分配基金的任何资产，非因基金财产本身承担的债务，不得对基金财产强制执行。</w:t>
      </w:r>
    </w:p>
    <w:p w14:paraId="71C0BBC9"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财产应独立于基金管理人、基金托管人、证券经纪商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09F10635"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基金托管人按照规定开立基金财产的银行存款账户（即本基金的托管账户）、证券账户和债券托管账户等投资所需账户，基金管理人和基金托管人按照规定开立期货资金账户。</w:t>
      </w:r>
    </w:p>
    <w:p w14:paraId="7E87E037"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基金托管人对所托管的不同基金财产分别设置账户，与基金托管人的其他业务和其他基</w:t>
      </w:r>
      <w:r>
        <w:rPr>
          <w:rFonts w:hint="eastAsia"/>
          <w:bCs/>
          <w:szCs w:val="21"/>
        </w:rPr>
        <w:t>金的托管业务实行严格的分账管理，独立核算，确保基金财产的完整和独立。</w:t>
      </w:r>
    </w:p>
    <w:p w14:paraId="3DB18A54"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但应配合基金管理人催收和追偿。</w:t>
      </w:r>
    </w:p>
    <w:p w14:paraId="5F14852A" w14:textId="77777777" w:rsidR="00BF38BB" w:rsidRDefault="002837D7">
      <w:pPr>
        <w:spacing w:line="360" w:lineRule="auto"/>
        <w:ind w:firstLineChars="200" w:firstLine="420"/>
        <w:rPr>
          <w:bCs/>
          <w:szCs w:val="21"/>
        </w:rPr>
      </w:pPr>
      <w:r>
        <w:rPr>
          <w:rFonts w:hint="eastAsia"/>
          <w:bCs/>
          <w:szCs w:val="21"/>
        </w:rPr>
        <w:t>二）基金募集资产的验证</w:t>
      </w:r>
    </w:p>
    <w:p w14:paraId="3145957E" w14:textId="77777777" w:rsidR="00BF38BB" w:rsidRDefault="002837D7">
      <w:pPr>
        <w:spacing w:line="360" w:lineRule="auto"/>
        <w:ind w:firstLineChars="200" w:firstLine="420"/>
        <w:rPr>
          <w:bCs/>
          <w:szCs w:val="21"/>
        </w:rPr>
      </w:pPr>
      <w:r>
        <w:rPr>
          <w:rFonts w:hint="eastAsia"/>
          <w:bCs/>
          <w:szCs w:val="21"/>
        </w:rPr>
        <w:lastRenderedPageBreak/>
        <w:t>基金募集期满或基金提前结束募集之日起</w:t>
      </w:r>
      <w:r>
        <w:rPr>
          <w:rFonts w:hint="eastAsia"/>
          <w:bCs/>
          <w:szCs w:val="21"/>
        </w:rPr>
        <w:t>10</w:t>
      </w:r>
      <w:r>
        <w:rPr>
          <w:rFonts w:hint="eastAsia"/>
          <w:bCs/>
          <w:szCs w:val="21"/>
        </w:rPr>
        <w:t>日内，由基金管理人聘请符合《中华人</w:t>
      </w:r>
      <w:r>
        <w:rPr>
          <w:rFonts w:hint="eastAsia"/>
          <w:bCs/>
          <w:szCs w:val="21"/>
        </w:rPr>
        <w:t>民共和国证券法》（以下简称“《证券法》”）规定的会计师事务所进行验资，出具验资报告，出具的验资报告应由参加验资的</w:t>
      </w:r>
      <w:r>
        <w:rPr>
          <w:rFonts w:hint="eastAsia"/>
          <w:bCs/>
          <w:szCs w:val="21"/>
        </w:rPr>
        <w:t>2</w:t>
      </w:r>
      <w:r>
        <w:rPr>
          <w:rFonts w:hint="eastAsia"/>
          <w:bCs/>
          <w:szCs w:val="21"/>
        </w:rPr>
        <w:t>名以上（含</w:t>
      </w:r>
      <w:r>
        <w:rPr>
          <w:rFonts w:hint="eastAsia"/>
          <w:bCs/>
          <w:szCs w:val="21"/>
        </w:rPr>
        <w:t>2</w:t>
      </w:r>
      <w:r>
        <w:rPr>
          <w:rFonts w:hint="eastAsia"/>
          <w:bCs/>
          <w:szCs w:val="21"/>
        </w:rPr>
        <w:t>名）中国注册会计师签字有效。验资完成，基金管理人应将募集到的全部资金存入基金托管人为基金开立的基金银行存款账户中，基金托管人在收到资金当日出具相关证明文件。</w:t>
      </w:r>
    </w:p>
    <w:p w14:paraId="5584D891" w14:textId="77777777" w:rsidR="00BF38BB" w:rsidRDefault="002837D7">
      <w:pPr>
        <w:spacing w:line="360" w:lineRule="auto"/>
        <w:ind w:firstLineChars="200" w:firstLine="420"/>
        <w:rPr>
          <w:bCs/>
          <w:szCs w:val="21"/>
        </w:rPr>
      </w:pPr>
      <w:r>
        <w:rPr>
          <w:rFonts w:hint="eastAsia"/>
          <w:bCs/>
          <w:szCs w:val="21"/>
        </w:rPr>
        <w:t>三）基金的银行存款账户的开立和管理</w:t>
      </w:r>
    </w:p>
    <w:p w14:paraId="64750BB0"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基金托管人应负责本基金银行存款账户的开立和管理。</w:t>
      </w:r>
    </w:p>
    <w:p w14:paraId="794E570B"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基金托管人以本基金的名义在其营业机构开立基金的银行存款账户，并根据基金管理人合法合规的指令办理资金收付。本基金的银行预留印鉴由基金托管</w:t>
      </w:r>
      <w:r>
        <w:rPr>
          <w:rFonts w:hint="eastAsia"/>
          <w:bCs/>
          <w:szCs w:val="21"/>
        </w:rPr>
        <w:t>人保管和使用。本基金的一切货币收支活动，包括但不限于投资、支付赎回金额、支付基金收益，均需通过本基金的银行存款账户进行。</w:t>
      </w:r>
    </w:p>
    <w:p w14:paraId="4D6E47B7"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1AC2281A"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基金托管人可以通过申请开通本基金银行存款账户的企业网上银行业务进行资金支付，并使用交通银行企业网上银行（简称“交通银行网银”）办理托管资产的资金结算汇划业务。</w:t>
      </w:r>
    </w:p>
    <w:p w14:paraId="25892126"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基金银行存款账户的管理应符合</w:t>
      </w:r>
      <w:r>
        <w:rPr>
          <w:rFonts w:hint="eastAsia"/>
          <w:bCs/>
          <w:szCs w:val="21"/>
        </w:rPr>
        <w:t>银行业监督管理机构的有关规定。</w:t>
      </w:r>
    </w:p>
    <w:p w14:paraId="18C96F05" w14:textId="77777777" w:rsidR="00BF38BB" w:rsidRDefault="002837D7">
      <w:pPr>
        <w:spacing w:line="360" w:lineRule="auto"/>
        <w:ind w:firstLineChars="200" w:firstLine="420"/>
        <w:rPr>
          <w:bCs/>
          <w:szCs w:val="21"/>
        </w:rPr>
      </w:pPr>
      <w:r>
        <w:rPr>
          <w:rFonts w:hint="eastAsia"/>
          <w:bCs/>
          <w:szCs w:val="21"/>
        </w:rPr>
        <w:t>四）基金证券账户、证券资金账户的开立和管理</w:t>
      </w:r>
    </w:p>
    <w:p w14:paraId="02B4DFD9"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基金托管人应当代表本基金，以基金托管人和本基金联名的方式在中国证券登记结算有限责任公司开设证券账户。</w:t>
      </w:r>
    </w:p>
    <w:p w14:paraId="6FFC30D1"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基金证券账户资产的管理和运用由基金管理人负责。</w:t>
      </w:r>
    </w:p>
    <w:p w14:paraId="38E9A97B"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证券账户开立后，基金管理人以本基金名义在基金管理人选择的证券经纪商营业网点开立对应的证券资金账户，并通知基金托管人。证券资金账户用于本基金证券交易的结算以及证券交易结算资金的记录，并与本基金银行存款账户之间建立唯一银证转账对应关系，证券经纪商对开立的证券资金账户内存放的资金</w:t>
      </w:r>
      <w:r>
        <w:rPr>
          <w:rFonts w:hint="eastAsia"/>
          <w:bCs/>
          <w:szCs w:val="21"/>
        </w:rPr>
        <w:t>的安全承担责任，基金托管人不负责保管证券资金账户内存放的资金。</w:t>
      </w:r>
    </w:p>
    <w:p w14:paraId="77179F49"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由基金托管人持基金管理人、基金托管人与证券经纪商签订的三方存管相关协议办理证券资金账户与本基金银行存款账户的银证签约手续，未经另一方书面同意，基金管理人或基金托管人不得将银证签约的指定银行结算账户（即本基金银行存款账户）变更为其他账户，否则，因此引起的法律后果及给本基金造成的损失全部由过错方承担。</w:t>
      </w:r>
    </w:p>
    <w:p w14:paraId="604697EC"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本基金证券账户和证券资金账户的开立和使用，限于满足开展本基金业务的需要。基金托管人和基金管理人不得出借或未经另一方同意擅自转让本基金的证券账户和证券资金账户；亦不得使用本基金的证券账户和证券资金账户进行本基金业务以外的活动。</w:t>
      </w:r>
    </w:p>
    <w:p w14:paraId="0F3F21DD" w14:textId="77777777" w:rsidR="00BF38BB" w:rsidRDefault="002837D7">
      <w:pPr>
        <w:spacing w:line="360" w:lineRule="auto"/>
        <w:ind w:firstLineChars="200" w:firstLine="420"/>
        <w:rPr>
          <w:bCs/>
          <w:szCs w:val="21"/>
        </w:rPr>
      </w:pPr>
      <w:r>
        <w:rPr>
          <w:rFonts w:hint="eastAsia"/>
          <w:bCs/>
          <w:szCs w:val="21"/>
        </w:rPr>
        <w:lastRenderedPageBreak/>
        <w:t>五）债券托管账户的开立和管理</w:t>
      </w:r>
    </w:p>
    <w:p w14:paraId="0402C8B2"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基金管理人负责申请基金进入全国银行间同</w:t>
      </w:r>
      <w:r>
        <w:rPr>
          <w:rFonts w:hint="eastAsia"/>
          <w:bCs/>
          <w:szCs w:val="21"/>
        </w:rPr>
        <w:t>业拆借市场进行交易，由基金管理人在中国外汇交易中心开设同业拆借市场交易账户。</w:t>
      </w:r>
    </w:p>
    <w:p w14:paraId="79DA0AFC"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基金管理人代表基金签订全国银行间债券市场债券回购主协议，协议正本由基金管理人保存。</w:t>
      </w:r>
    </w:p>
    <w:p w14:paraId="3CE459D6" w14:textId="77777777" w:rsidR="00BF38BB" w:rsidRDefault="002837D7">
      <w:pPr>
        <w:spacing w:line="360" w:lineRule="auto"/>
        <w:ind w:firstLineChars="200" w:firstLine="420"/>
        <w:rPr>
          <w:bCs/>
          <w:szCs w:val="21"/>
        </w:rPr>
      </w:pPr>
      <w:r>
        <w:rPr>
          <w:rFonts w:hint="eastAsia"/>
          <w:bCs/>
          <w:szCs w:val="21"/>
        </w:rPr>
        <w:t>六）期货相关账户的开立和管理</w:t>
      </w:r>
    </w:p>
    <w:p w14:paraId="1F573CFD" w14:textId="77777777" w:rsidR="00BF38BB" w:rsidRDefault="002837D7">
      <w:pPr>
        <w:spacing w:line="360" w:lineRule="auto"/>
        <w:ind w:firstLineChars="200" w:firstLine="420"/>
        <w:rPr>
          <w:bCs/>
          <w:szCs w:val="21"/>
        </w:rPr>
      </w:pPr>
      <w:r>
        <w:rPr>
          <w:rFonts w:hint="eastAsia"/>
          <w:bCs/>
          <w:szCs w:val="21"/>
        </w:rPr>
        <w:t>基金管理人、基金托管人应当按照相关规定开立期货资金账户，在中国金融期货交易所获取交易编码。期货资金账户名称及交易编码对应名称应按照有关规定设立。</w:t>
      </w:r>
    </w:p>
    <w:p w14:paraId="70CB6C01" w14:textId="77777777" w:rsidR="00BF38BB" w:rsidRDefault="002837D7">
      <w:pPr>
        <w:spacing w:line="360" w:lineRule="auto"/>
        <w:ind w:firstLineChars="200" w:firstLine="420"/>
        <w:rPr>
          <w:bCs/>
          <w:szCs w:val="21"/>
        </w:rPr>
      </w:pPr>
      <w:r>
        <w:rPr>
          <w:rFonts w:hint="eastAsia"/>
          <w:bCs/>
          <w:szCs w:val="21"/>
        </w:rPr>
        <w:t>基金托管人已取得期货保证金存管银行资格，基金管理人授权基金托管人办理相关银期转账业务。</w:t>
      </w:r>
    </w:p>
    <w:p w14:paraId="46FB681C" w14:textId="77777777" w:rsidR="00BF38BB" w:rsidRDefault="002837D7">
      <w:pPr>
        <w:spacing w:line="360" w:lineRule="auto"/>
        <w:ind w:firstLineChars="200" w:firstLine="420"/>
        <w:rPr>
          <w:bCs/>
          <w:szCs w:val="21"/>
        </w:rPr>
      </w:pPr>
      <w:r>
        <w:rPr>
          <w:rFonts w:hint="eastAsia"/>
          <w:bCs/>
          <w:szCs w:val="21"/>
        </w:rPr>
        <w:t>七）基金投资银行存款账户的开</w:t>
      </w:r>
      <w:r>
        <w:rPr>
          <w:bCs/>
          <w:szCs w:val="21"/>
        </w:rPr>
        <w:t>立</w:t>
      </w:r>
      <w:r>
        <w:rPr>
          <w:rFonts w:hint="eastAsia"/>
          <w:bCs/>
          <w:szCs w:val="21"/>
        </w:rPr>
        <w:t>和管理</w:t>
      </w:r>
    </w:p>
    <w:p w14:paraId="35D5DCDA" w14:textId="77777777" w:rsidR="00BF38BB" w:rsidRDefault="002837D7">
      <w:pPr>
        <w:spacing w:line="360" w:lineRule="auto"/>
        <w:ind w:firstLineChars="200" w:firstLine="420"/>
        <w:rPr>
          <w:bCs/>
          <w:szCs w:val="21"/>
        </w:rPr>
      </w:pPr>
      <w:r>
        <w:rPr>
          <w:rFonts w:hint="eastAsia"/>
          <w:bCs/>
          <w:szCs w:val="21"/>
        </w:rPr>
        <w:t>存款账户必须以基金名义开立，账户名称为基金名</w:t>
      </w:r>
      <w:r>
        <w:rPr>
          <w:rFonts w:hint="eastAsia"/>
          <w:bCs/>
          <w:szCs w:val="21"/>
        </w:rPr>
        <w:t>称，存款账户开户文件上加盖预留印鉴（须包括托管人印章）及基金管理人公章。</w:t>
      </w:r>
    </w:p>
    <w:p w14:paraId="68867980" w14:textId="77777777" w:rsidR="00BF38BB" w:rsidRDefault="002837D7">
      <w:pPr>
        <w:spacing w:line="360" w:lineRule="auto"/>
        <w:ind w:firstLineChars="200" w:firstLine="420"/>
        <w:rPr>
          <w:bCs/>
          <w:szCs w:val="21"/>
        </w:rPr>
      </w:pPr>
      <w:r>
        <w:rPr>
          <w:rFonts w:hint="eastAsia"/>
          <w:bCs/>
          <w:szCs w:val="21"/>
        </w:rPr>
        <w:t>本基金投资银行存款时，基金管理人应当与存款银行签订具体存款协议</w:t>
      </w:r>
      <w:r>
        <w:rPr>
          <w:rFonts w:hint="eastAsia"/>
          <w:bCs/>
          <w:szCs w:val="21"/>
        </w:rPr>
        <w:t>/</w:t>
      </w:r>
      <w:r>
        <w:rPr>
          <w:rFonts w:hint="eastAsia"/>
          <w:bCs/>
          <w:szCs w:val="21"/>
        </w:rPr>
        <w:t>存款确认单据，明确存款的类型、期限、利率、金额、账号、对账方式、支取方式、存款到期指定收款账户等细则。</w:t>
      </w:r>
    </w:p>
    <w:p w14:paraId="09F00955" w14:textId="77777777" w:rsidR="00BF38BB" w:rsidRDefault="002837D7">
      <w:pPr>
        <w:spacing w:line="360" w:lineRule="auto"/>
        <w:ind w:firstLineChars="200" w:firstLine="420"/>
        <w:rPr>
          <w:bCs/>
          <w:szCs w:val="21"/>
        </w:rPr>
      </w:pPr>
      <w:r>
        <w:rPr>
          <w:rFonts w:hint="eastAsia"/>
          <w:bCs/>
          <w:szCs w:val="21"/>
        </w:rPr>
        <w:t>为防范特殊情况下的流动性风险，存款协议中应当约定提前支取条款。</w:t>
      </w:r>
    </w:p>
    <w:p w14:paraId="58A2AF96" w14:textId="77777777" w:rsidR="00BF38BB" w:rsidRDefault="002837D7">
      <w:pPr>
        <w:spacing w:line="360" w:lineRule="auto"/>
        <w:ind w:firstLineChars="200" w:firstLine="420"/>
        <w:rPr>
          <w:bCs/>
          <w:szCs w:val="21"/>
        </w:rPr>
      </w:pPr>
      <w:r>
        <w:rPr>
          <w:rFonts w:hint="eastAsia"/>
          <w:bCs/>
          <w:szCs w:val="21"/>
        </w:rPr>
        <w:t>八）其他账户的开立和管理</w:t>
      </w:r>
    </w:p>
    <w:p w14:paraId="7436DFB0" w14:textId="77777777" w:rsidR="00BF38BB" w:rsidRDefault="002837D7">
      <w:pPr>
        <w:spacing w:line="360" w:lineRule="auto"/>
        <w:ind w:firstLineChars="200" w:firstLine="420"/>
        <w:rPr>
          <w:bCs/>
          <w:szCs w:val="21"/>
        </w:rPr>
      </w:pPr>
      <w:r>
        <w:rPr>
          <w:rFonts w:hint="eastAsia"/>
          <w:bCs/>
          <w:szCs w:val="21"/>
        </w:rPr>
        <w:t>若中国证监会或其他监管机构在本托管协议订立日之后允许基金从事其他投资品种的投资业务，涉及相关账户的开立、使用的，由基金管理人协助基金托管人根据有关法律法规的规定和《基金合同》的约定</w:t>
      </w:r>
      <w:r>
        <w:rPr>
          <w:rFonts w:hint="eastAsia"/>
          <w:bCs/>
          <w:szCs w:val="21"/>
        </w:rPr>
        <w:t>，开立有关账户。该账户按有关规则使用并管理。</w:t>
      </w:r>
    </w:p>
    <w:p w14:paraId="783046BD" w14:textId="77777777" w:rsidR="00BF38BB" w:rsidRDefault="002837D7">
      <w:pPr>
        <w:spacing w:line="360" w:lineRule="auto"/>
        <w:ind w:firstLineChars="200" w:firstLine="420"/>
        <w:rPr>
          <w:bCs/>
          <w:szCs w:val="21"/>
        </w:rPr>
      </w:pPr>
      <w:r>
        <w:rPr>
          <w:rFonts w:hint="eastAsia"/>
          <w:bCs/>
          <w:szCs w:val="21"/>
        </w:rPr>
        <w:t>九）基金财产投资的有关实物证券、银行存款定期存单等有价凭证的保管</w:t>
      </w:r>
    </w:p>
    <w:p w14:paraId="6F16BEC3" w14:textId="77777777" w:rsidR="00BF38BB" w:rsidRDefault="002837D7">
      <w:pPr>
        <w:spacing w:line="360" w:lineRule="auto"/>
        <w:ind w:firstLineChars="200" w:firstLine="420"/>
        <w:rPr>
          <w:bCs/>
          <w:szCs w:val="21"/>
        </w:rPr>
      </w:pPr>
      <w:r>
        <w:rPr>
          <w:rFonts w:hint="eastAsia"/>
          <w:bCs/>
          <w:szCs w:val="21"/>
        </w:rPr>
        <w:t>实物证券由基金托管人存放于基金托管人的保管库。实物证券的购买和转让，由基金托管人根据基金管理人的指令办理。基金托管人对由基金托管人以外机构实际有效控制的本基金资产不承担保管责任。</w:t>
      </w:r>
    </w:p>
    <w:p w14:paraId="56A133A7" w14:textId="77777777" w:rsidR="00BF38BB" w:rsidRDefault="002837D7">
      <w:pPr>
        <w:spacing w:line="360" w:lineRule="auto"/>
        <w:ind w:firstLineChars="200" w:firstLine="420"/>
        <w:rPr>
          <w:bCs/>
          <w:szCs w:val="21"/>
        </w:rPr>
      </w:pPr>
      <w:r>
        <w:rPr>
          <w:rFonts w:hint="eastAsia"/>
          <w:bCs/>
          <w:szCs w:val="21"/>
        </w:rPr>
        <w:t>银行存款定期存单等有价凭证由基金托管人负责保管。</w:t>
      </w:r>
    </w:p>
    <w:p w14:paraId="01476E68" w14:textId="77777777" w:rsidR="00BF38BB" w:rsidRDefault="002837D7">
      <w:pPr>
        <w:spacing w:line="360" w:lineRule="auto"/>
        <w:ind w:firstLineChars="200" w:firstLine="420"/>
        <w:rPr>
          <w:bCs/>
          <w:szCs w:val="21"/>
        </w:rPr>
      </w:pPr>
      <w:r>
        <w:rPr>
          <w:rFonts w:hint="eastAsia"/>
          <w:bCs/>
          <w:szCs w:val="21"/>
        </w:rPr>
        <w:t>基金托管人只负责对存款证实书进行保管，不负责对存款证实书真伪的辨别，不承担存款证实书对应存款的本金及收益的安全保管责任。</w:t>
      </w:r>
    </w:p>
    <w:p w14:paraId="2C632C00" w14:textId="77777777" w:rsidR="00BF38BB" w:rsidRDefault="002837D7">
      <w:pPr>
        <w:spacing w:line="360" w:lineRule="auto"/>
        <w:ind w:firstLineChars="200" w:firstLine="420"/>
        <w:rPr>
          <w:bCs/>
          <w:szCs w:val="21"/>
        </w:rPr>
      </w:pPr>
      <w:r>
        <w:rPr>
          <w:rFonts w:hint="eastAsia"/>
          <w:bCs/>
          <w:szCs w:val="21"/>
        </w:rPr>
        <w:t>十）与基金财产有关的重大合同的保管</w:t>
      </w:r>
    </w:p>
    <w:p w14:paraId="739BD9E2" w14:textId="77777777" w:rsidR="00BF38BB" w:rsidRDefault="002837D7">
      <w:pPr>
        <w:spacing w:line="360" w:lineRule="auto"/>
        <w:ind w:firstLineChars="200" w:firstLine="420"/>
        <w:rPr>
          <w:bCs/>
          <w:szCs w:val="21"/>
        </w:rPr>
      </w:pPr>
      <w:r>
        <w:rPr>
          <w:rFonts w:hint="eastAsia"/>
          <w:bCs/>
          <w:szCs w:val="21"/>
        </w:rPr>
        <w:t>由基金管理人</w:t>
      </w:r>
      <w:r>
        <w:rPr>
          <w:rFonts w:hint="eastAsia"/>
          <w:bCs/>
          <w:szCs w:val="21"/>
        </w:rPr>
        <w:t>代表基金签署的与基金有关的重大合同的原件分别由基金托管人、基金管理人保管，相关业务程序另有限制除外。除本协议另有规定外，基金管理人在代表基金签署与基金有关的重大合同时应尽可能保证持有二份以上的正本，以便基金管理人和基金托管人至少各持有一份正本的原件，基金管理人应及时</w:t>
      </w:r>
      <w:r>
        <w:rPr>
          <w:rFonts w:hint="eastAsia"/>
          <w:bCs/>
          <w:szCs w:val="21"/>
        </w:rPr>
        <w:lastRenderedPageBreak/>
        <w:t>将正本送达基金托管人处。合同的保管期限不低于法律法规规定的最低期限。</w:t>
      </w:r>
    </w:p>
    <w:p w14:paraId="3D02AF4C" w14:textId="77777777" w:rsidR="00BF38BB" w:rsidRDefault="002837D7">
      <w:pPr>
        <w:spacing w:line="360" w:lineRule="auto"/>
        <w:ind w:firstLineChars="200" w:firstLine="420"/>
        <w:rPr>
          <w:bCs/>
          <w:szCs w:val="21"/>
        </w:rPr>
      </w:pPr>
      <w:r>
        <w:rPr>
          <w:rFonts w:hint="eastAsia"/>
          <w:bCs/>
          <w:szCs w:val="21"/>
        </w:rPr>
        <w:t>对于无法取得二份以上的正本的，基金管理人应向基金托管人提供加盖授权业务章的合同复制件，未经双方协商或未在合同约定范围内，合同原件不得转移。</w:t>
      </w:r>
    </w:p>
    <w:p w14:paraId="2B0BBFF7" w14:textId="77777777" w:rsidR="00BF38BB" w:rsidRDefault="002837D7">
      <w:pPr>
        <w:spacing w:line="360" w:lineRule="auto"/>
        <w:ind w:firstLineChars="200" w:firstLine="420"/>
        <w:rPr>
          <w:bCs/>
          <w:szCs w:val="21"/>
        </w:rPr>
      </w:pPr>
      <w:r>
        <w:rPr>
          <w:rFonts w:hint="eastAsia"/>
          <w:bCs/>
          <w:szCs w:val="21"/>
        </w:rPr>
        <w:t>（五）基金资产净值计算和会计核算</w:t>
      </w:r>
    </w:p>
    <w:p w14:paraId="7CD039E6" w14:textId="77777777" w:rsidR="00BF38BB" w:rsidRDefault="002837D7">
      <w:pPr>
        <w:spacing w:line="360" w:lineRule="auto"/>
        <w:ind w:firstLineChars="200" w:firstLine="420"/>
        <w:rPr>
          <w:bCs/>
          <w:szCs w:val="21"/>
        </w:rPr>
      </w:pPr>
      <w:r>
        <w:rPr>
          <w:rFonts w:hint="eastAsia"/>
          <w:bCs/>
          <w:szCs w:val="21"/>
        </w:rPr>
        <w:t>一</w:t>
      </w:r>
      <w:r>
        <w:rPr>
          <w:rFonts w:hint="eastAsia"/>
          <w:bCs/>
          <w:szCs w:val="21"/>
        </w:rPr>
        <w:t>）基金资产净值及各类基金份额净值的计算与复核</w:t>
      </w:r>
    </w:p>
    <w:p w14:paraId="5B4A1E38" w14:textId="77777777" w:rsidR="00BF38BB" w:rsidRDefault="002837D7">
      <w:pPr>
        <w:spacing w:line="360" w:lineRule="auto"/>
        <w:ind w:firstLineChars="200" w:firstLine="420"/>
        <w:rPr>
          <w:bCs/>
          <w:szCs w:val="21"/>
        </w:rPr>
      </w:pPr>
      <w:r>
        <w:rPr>
          <w:rFonts w:hint="eastAsia"/>
          <w:bCs/>
          <w:szCs w:val="21"/>
        </w:rPr>
        <w:t>基金资产净值是指基金资产总值减去基金负债后的价值。某一类别基金份额净值是按照每个工作日闭市后，该类别基金资产净值除以当日该类别基金份额的余额数量计算，精确到</w:t>
      </w:r>
      <w:r>
        <w:rPr>
          <w:rFonts w:hint="eastAsia"/>
          <w:bCs/>
          <w:szCs w:val="21"/>
        </w:rPr>
        <w:t>0.0001</w:t>
      </w:r>
      <w:r>
        <w:rPr>
          <w:rFonts w:hint="eastAsia"/>
          <w:bCs/>
          <w:szCs w:val="21"/>
        </w:rPr>
        <w:t>元，小数点后第</w:t>
      </w:r>
      <w:r>
        <w:rPr>
          <w:rFonts w:hint="eastAsia"/>
          <w:bCs/>
          <w:szCs w:val="21"/>
        </w:rPr>
        <w:t>5</w:t>
      </w:r>
      <w:r>
        <w:rPr>
          <w:rFonts w:hint="eastAsia"/>
          <w:bCs/>
          <w:szCs w:val="21"/>
        </w:rPr>
        <w:t>位四舍五入，由此产生的收益或损失由基金财产承担。基金管理人可以设立大额赎回情形下的净值精度应急调整机制。国家另有规定的，从其规定。本基金</w:t>
      </w:r>
      <w:r>
        <w:rPr>
          <w:rFonts w:hint="eastAsia"/>
          <w:bCs/>
          <w:szCs w:val="21"/>
        </w:rPr>
        <w:t>A</w:t>
      </w:r>
      <w:r>
        <w:rPr>
          <w:rFonts w:hint="eastAsia"/>
          <w:bCs/>
          <w:szCs w:val="21"/>
        </w:rPr>
        <w:t>类基金份额和</w:t>
      </w:r>
      <w:r>
        <w:rPr>
          <w:rFonts w:hint="eastAsia"/>
          <w:bCs/>
          <w:szCs w:val="21"/>
        </w:rPr>
        <w:t>C</w:t>
      </w:r>
      <w:r>
        <w:rPr>
          <w:rFonts w:hint="eastAsia"/>
          <w:bCs/>
          <w:szCs w:val="21"/>
        </w:rPr>
        <w:t>类基金份额将分别计算基金份额净值。</w:t>
      </w:r>
    </w:p>
    <w:p w14:paraId="45763950" w14:textId="77777777" w:rsidR="00BF38BB" w:rsidRDefault="002837D7">
      <w:pPr>
        <w:spacing w:line="360" w:lineRule="auto"/>
        <w:ind w:firstLineChars="200" w:firstLine="420"/>
        <w:rPr>
          <w:bCs/>
          <w:szCs w:val="21"/>
        </w:rPr>
      </w:pPr>
      <w:r>
        <w:rPr>
          <w:rFonts w:hint="eastAsia"/>
          <w:bCs/>
          <w:szCs w:val="21"/>
        </w:rPr>
        <w:t>基金管理人应每个工作日对基金资产估值，但基金管理人根据法律法规或基金合同的规定暂停估值时除外。</w:t>
      </w:r>
      <w:r>
        <w:rPr>
          <w:rFonts w:hint="eastAsia"/>
          <w:bCs/>
          <w:szCs w:val="21"/>
        </w:rPr>
        <w:t>估值原则应符合《基金合同》、《中国证监会关于证券投资基金估值业务的指导意见》及其他法律、法规的规定。基金资产净值和各类基金份额净值由基金管理人负责计算，基金托管人复核。基金管理人每个工作日对基金资产估值后，将各类基金份额净值结果发送基金托管人，经基金托管人复核无误后，由基金管理人按照规定对外公布。</w:t>
      </w:r>
    </w:p>
    <w:p w14:paraId="63818C46" w14:textId="77777777" w:rsidR="00BF38BB" w:rsidRDefault="002837D7">
      <w:pPr>
        <w:spacing w:line="360" w:lineRule="auto"/>
        <w:ind w:firstLineChars="200" w:firstLine="420"/>
        <w:rPr>
          <w:bCs/>
          <w:szCs w:val="21"/>
        </w:rPr>
      </w:pPr>
      <w:r>
        <w:rPr>
          <w:rFonts w:hint="eastAsia"/>
          <w:bCs/>
          <w:szCs w:val="21"/>
        </w:rPr>
        <w:t>本基金按以下方法估值：</w:t>
      </w:r>
      <w:r>
        <w:rPr>
          <w:rFonts w:hint="eastAsia"/>
          <w:bCs/>
          <w:szCs w:val="21"/>
        </w:rPr>
        <w:t xml:space="preserve"> </w:t>
      </w:r>
    </w:p>
    <w:p w14:paraId="7BEF4DF1"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、证券交易所上市的有价证券的估值</w:t>
      </w:r>
    </w:p>
    <w:p w14:paraId="268E01B3"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）交易所上市的有价证券（包括股票等），以其估值日在证券交易所挂牌的市价（收盘价）估值；估值日无交易的，且最近交易日后经济环境未发生重大变化或证券发</w:t>
      </w:r>
      <w:r>
        <w:rPr>
          <w:rFonts w:hint="eastAsia"/>
          <w:bCs/>
          <w:szCs w:val="21"/>
        </w:rPr>
        <w:t>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0E40047"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）交易所上市交易或挂牌转让的不含权固定收益品种，选取估值日第三方估值基准服务机构提供的相应品种当日的估值全价进行估值；</w:t>
      </w:r>
    </w:p>
    <w:p w14:paraId="35EB6BE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）交易所上市交易或挂牌转让的含权固定收益品种，选取估值日第三方估值基准服务机构提供的相应品种当日的唯一估值全价或推荐估值全价进行估值；</w:t>
      </w:r>
    </w:p>
    <w:p w14:paraId="2396402D"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628C2FB"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、处于未上市期间的有价证券应区分如下情况处理：</w:t>
      </w:r>
    </w:p>
    <w:p w14:paraId="74CCFFB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）送股、转增股、配股和公开增发的新股，按估值日在证券交易所挂牌的同一股票的估值方法估值；</w:t>
      </w:r>
      <w:r>
        <w:rPr>
          <w:rFonts w:hint="eastAsia"/>
          <w:bCs/>
          <w:szCs w:val="21"/>
        </w:rPr>
        <w:lastRenderedPageBreak/>
        <w:t>该日无交易的，以最近一日的市价（收盘价）估值；</w:t>
      </w:r>
    </w:p>
    <w:p w14:paraId="777AAB8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）首次公开发行未上市的股票、债券，采用估值技术确定公允价值；</w:t>
      </w:r>
    </w:p>
    <w:p w14:paraId="38124B4E"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）在发行时明确一定期限限售期的股票，包括但不限于非公开</w:t>
      </w:r>
      <w:r>
        <w:rPr>
          <w:rFonts w:hint="eastAsia"/>
          <w:bCs/>
          <w:szCs w:val="21"/>
        </w:rPr>
        <w:t>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0DFC847"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银行间市场未上市，且第三方估值基准服务机构未提供估值价格的债券，应采用估值技术确定其公允价值。</w:t>
      </w:r>
    </w:p>
    <w:p w14:paraId="14131693"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、对于</w:t>
      </w:r>
      <w:r>
        <w:rPr>
          <w:rFonts w:hint="eastAsia"/>
          <w:bCs/>
          <w:szCs w:val="21"/>
        </w:rPr>
        <w:t>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3B55C385"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、对于未上市或未挂牌转让且不存在活跃市场的固定收益品种，应采用在当前情况下适用并且有足够可利用数据和其他信息支持的估值技术确定其公允价值。</w:t>
      </w:r>
    </w:p>
    <w:p w14:paraId="643A8F0B"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、本基金投资股指期货、国债期货，一般以估值当日结算价进行估值，估值当日无结算价的，且最近交易日后经济环境未发生重大变化的，采用最近交易日结算价估</w:t>
      </w:r>
      <w:r>
        <w:rPr>
          <w:rFonts w:hint="eastAsia"/>
          <w:bCs/>
          <w:szCs w:val="21"/>
        </w:rPr>
        <w:t>值。</w:t>
      </w:r>
    </w:p>
    <w:p w14:paraId="358E8F02" w14:textId="77777777" w:rsidR="00BF38BB" w:rsidRDefault="002837D7">
      <w:pPr>
        <w:spacing w:line="360" w:lineRule="auto"/>
        <w:ind w:firstLineChars="200" w:firstLine="420"/>
        <w:rPr>
          <w:bCs/>
          <w:szCs w:val="21"/>
        </w:rPr>
      </w:pPr>
      <w:r>
        <w:rPr>
          <w:rFonts w:hint="eastAsia"/>
          <w:bCs/>
          <w:szCs w:val="21"/>
        </w:rPr>
        <w:t>本基金投资期权，根据相关法律法规以及监管部门的规定估值。</w:t>
      </w:r>
    </w:p>
    <w:p w14:paraId="39111CCA" w14:textId="77777777" w:rsidR="00BF38BB" w:rsidRDefault="002837D7">
      <w:pPr>
        <w:spacing w:line="360" w:lineRule="auto"/>
        <w:ind w:firstLineChars="200" w:firstLine="420"/>
        <w:rPr>
          <w:bCs/>
          <w:szCs w:val="21"/>
        </w:rPr>
      </w:pPr>
      <w:r>
        <w:rPr>
          <w:rFonts w:hint="eastAsia"/>
          <w:bCs/>
          <w:szCs w:val="21"/>
        </w:rPr>
        <w:t>7</w:t>
      </w:r>
      <w:r>
        <w:rPr>
          <w:rFonts w:hint="eastAsia"/>
          <w:bCs/>
          <w:szCs w:val="21"/>
        </w:rPr>
        <w:t>、同一证券同时在两个或两个以上市场交易的，按证券所处的市场分别估值。</w:t>
      </w:r>
    </w:p>
    <w:p w14:paraId="608A3BC9" w14:textId="77777777" w:rsidR="00BF38BB" w:rsidRDefault="002837D7">
      <w:pPr>
        <w:spacing w:line="360" w:lineRule="auto"/>
        <w:ind w:firstLineChars="200" w:firstLine="420"/>
        <w:rPr>
          <w:bCs/>
          <w:szCs w:val="21"/>
        </w:rPr>
      </w:pPr>
      <w:r>
        <w:rPr>
          <w:rFonts w:hint="eastAsia"/>
          <w:bCs/>
          <w:szCs w:val="21"/>
        </w:rPr>
        <w:t>8</w:t>
      </w:r>
      <w:r>
        <w:rPr>
          <w:rFonts w:hint="eastAsia"/>
          <w:bCs/>
          <w:szCs w:val="21"/>
        </w:rPr>
        <w:t>、本基金参与融资和转融通证券出借业务的，按照相关法律法规和行业协会的相关规定进行估值。</w:t>
      </w:r>
    </w:p>
    <w:p w14:paraId="32247605" w14:textId="77777777" w:rsidR="00BF38BB" w:rsidRDefault="002837D7">
      <w:pPr>
        <w:spacing w:line="360" w:lineRule="auto"/>
        <w:ind w:firstLineChars="200" w:firstLine="420"/>
        <w:rPr>
          <w:bCs/>
          <w:szCs w:val="21"/>
        </w:rPr>
      </w:pPr>
      <w:r>
        <w:rPr>
          <w:rFonts w:hint="eastAsia"/>
          <w:bCs/>
          <w:szCs w:val="21"/>
        </w:rPr>
        <w:t>9</w:t>
      </w:r>
      <w:r>
        <w:rPr>
          <w:rFonts w:hint="eastAsia"/>
          <w:bCs/>
          <w:szCs w:val="21"/>
        </w:rPr>
        <w:t>、本基金投资同业存单，按估值日第三方估值基准服务机构提供的估值全价估值；选定的第三方估值基准服务机构未提供估值价格的，应采用估值技术确定其公允价值。</w:t>
      </w:r>
    </w:p>
    <w:p w14:paraId="3BD07C27" w14:textId="77777777" w:rsidR="00BF38BB" w:rsidRDefault="002837D7">
      <w:pPr>
        <w:spacing w:line="360" w:lineRule="auto"/>
        <w:ind w:firstLineChars="200" w:firstLine="420"/>
        <w:rPr>
          <w:bCs/>
          <w:szCs w:val="21"/>
        </w:rPr>
      </w:pPr>
      <w:r>
        <w:rPr>
          <w:rFonts w:hint="eastAsia"/>
          <w:bCs/>
          <w:szCs w:val="21"/>
        </w:rPr>
        <w:t>10</w:t>
      </w:r>
      <w:r>
        <w:rPr>
          <w:rFonts w:hint="eastAsia"/>
          <w:bCs/>
          <w:szCs w:val="21"/>
        </w:rPr>
        <w:t>、本基金投资存托凭证的估值核算，依照国内依法发行上市的股票执行。</w:t>
      </w:r>
    </w:p>
    <w:p w14:paraId="4837B1F2" w14:textId="77777777" w:rsidR="00BF38BB" w:rsidRDefault="002837D7">
      <w:pPr>
        <w:spacing w:line="360" w:lineRule="auto"/>
        <w:ind w:firstLineChars="200" w:firstLine="420"/>
        <w:rPr>
          <w:bCs/>
          <w:szCs w:val="21"/>
        </w:rPr>
      </w:pPr>
      <w:r>
        <w:rPr>
          <w:rFonts w:hint="eastAsia"/>
          <w:bCs/>
          <w:szCs w:val="21"/>
        </w:rPr>
        <w:t>11</w:t>
      </w:r>
      <w:r>
        <w:rPr>
          <w:rFonts w:hint="eastAsia"/>
          <w:bCs/>
          <w:szCs w:val="21"/>
        </w:rPr>
        <w:t>、如有确凿证据表明按上述方法进行估值不能客观反映其公允价值的</w:t>
      </w:r>
      <w:r>
        <w:rPr>
          <w:rFonts w:hint="eastAsia"/>
          <w:bCs/>
          <w:szCs w:val="21"/>
        </w:rPr>
        <w:t>，基金管理人可根据具体情况与基金托管人商定后，按最能反映公允价值的价格估值。</w:t>
      </w:r>
    </w:p>
    <w:p w14:paraId="1BB25939" w14:textId="77777777" w:rsidR="00BF38BB" w:rsidRDefault="002837D7">
      <w:pPr>
        <w:spacing w:line="360" w:lineRule="auto"/>
        <w:ind w:firstLineChars="200" w:firstLine="420"/>
        <w:rPr>
          <w:bCs/>
          <w:szCs w:val="21"/>
        </w:rPr>
      </w:pPr>
      <w:r>
        <w:rPr>
          <w:rFonts w:hint="eastAsia"/>
          <w:bCs/>
          <w:szCs w:val="21"/>
        </w:rPr>
        <w:t>12</w:t>
      </w:r>
      <w:r>
        <w:rPr>
          <w:rFonts w:hint="eastAsia"/>
          <w:bCs/>
          <w:szCs w:val="21"/>
        </w:rPr>
        <w:t>、当发生大额申购或赎回情形时，基金管理人可以采用摆动定价机制，以确保基金估值的公平性。</w:t>
      </w:r>
    </w:p>
    <w:p w14:paraId="24159E0D" w14:textId="77777777" w:rsidR="00BF38BB" w:rsidRDefault="002837D7">
      <w:pPr>
        <w:spacing w:line="360" w:lineRule="auto"/>
        <w:ind w:firstLineChars="200" w:firstLine="420"/>
        <w:rPr>
          <w:bCs/>
          <w:szCs w:val="21"/>
        </w:rPr>
      </w:pPr>
      <w:r>
        <w:rPr>
          <w:rFonts w:hint="eastAsia"/>
          <w:bCs/>
          <w:szCs w:val="21"/>
        </w:rPr>
        <w:t>13</w:t>
      </w:r>
      <w:r>
        <w:rPr>
          <w:rFonts w:hint="eastAsia"/>
          <w:bCs/>
          <w:szCs w:val="21"/>
        </w:rPr>
        <w:t>、相关法律法规以及监管部门有强制规定的，从其规定。如有新增事项，按国家最新规定估值。</w:t>
      </w:r>
    </w:p>
    <w:p w14:paraId="6C5D10FE" w14:textId="77777777" w:rsidR="00BF38BB" w:rsidRDefault="002837D7">
      <w:pPr>
        <w:spacing w:line="360" w:lineRule="auto"/>
        <w:ind w:firstLineChars="200" w:firstLine="420"/>
        <w:rPr>
          <w:bCs/>
          <w:szCs w:val="21"/>
        </w:rPr>
      </w:pPr>
      <w:r>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961C9EC" w14:textId="77777777" w:rsidR="00BF38BB" w:rsidRDefault="002837D7">
      <w:pPr>
        <w:spacing w:line="360" w:lineRule="auto"/>
        <w:ind w:firstLineChars="200" w:firstLine="420"/>
        <w:rPr>
          <w:bCs/>
          <w:szCs w:val="21"/>
        </w:rPr>
      </w:pPr>
      <w:r>
        <w:rPr>
          <w:rFonts w:hint="eastAsia"/>
          <w:bCs/>
          <w:szCs w:val="21"/>
        </w:rPr>
        <w:t>基金管理人担任本基金的会计责任方，负责本基金净值信息计算和基金会计核算。就与本基</w:t>
      </w:r>
      <w:r>
        <w:rPr>
          <w:rFonts w:hint="eastAsia"/>
          <w:bCs/>
          <w:szCs w:val="21"/>
        </w:rPr>
        <w:t>金有关的会计问题，如经相关各方在平等基础上充分讨论后，仍无法达成一致的意见，按照基金管理人对基金净值信息</w:t>
      </w:r>
      <w:r>
        <w:rPr>
          <w:rFonts w:hint="eastAsia"/>
          <w:bCs/>
          <w:szCs w:val="21"/>
        </w:rPr>
        <w:lastRenderedPageBreak/>
        <w:t>的计算结果对外予以公布，由此给基金份额持有人和基金造成的损失以及因该交易日基金资产净值计算顺延错误而引起的损失，基金托管人不承担相应责任。</w:t>
      </w:r>
    </w:p>
    <w:p w14:paraId="478C4112" w14:textId="77777777" w:rsidR="00BF38BB" w:rsidRDefault="002837D7">
      <w:pPr>
        <w:spacing w:line="360" w:lineRule="auto"/>
        <w:ind w:firstLineChars="200" w:firstLine="420"/>
        <w:rPr>
          <w:bCs/>
          <w:szCs w:val="21"/>
        </w:rPr>
      </w:pPr>
      <w:r>
        <w:rPr>
          <w:rFonts w:hint="eastAsia"/>
          <w:bCs/>
          <w:szCs w:val="21"/>
        </w:rPr>
        <w:t>二）净值差错处理</w:t>
      </w:r>
    </w:p>
    <w:p w14:paraId="6AA91D50" w14:textId="77777777" w:rsidR="00BF38BB" w:rsidRDefault="002837D7">
      <w:pPr>
        <w:spacing w:line="360" w:lineRule="auto"/>
        <w:ind w:firstLineChars="200" w:firstLine="420"/>
        <w:rPr>
          <w:bCs/>
          <w:szCs w:val="21"/>
        </w:rPr>
      </w:pPr>
      <w:r>
        <w:rPr>
          <w:rFonts w:hint="eastAsia"/>
          <w:bCs/>
          <w:szCs w:val="21"/>
        </w:rPr>
        <w:t>当发生净值计算错误时，基金管理人和基金托管人根据《基金合同》约定的估值错误处理原则处理，由此给基金份额持有人和基金造成损失的，基金管理人和基金托管人应根据实际情况界定双方承担的责任，经确认后按以下条款进行赔偿。</w:t>
      </w:r>
      <w:r>
        <w:rPr>
          <w:rFonts w:hint="eastAsia"/>
          <w:bCs/>
          <w:szCs w:val="21"/>
        </w:rPr>
        <w:t xml:space="preserve"> </w:t>
      </w:r>
    </w:p>
    <w:p w14:paraId="74D674BB"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如采用本协议第八章“基金资产净值</w:t>
      </w:r>
      <w:r>
        <w:rPr>
          <w:rFonts w:hint="eastAsia"/>
          <w:bCs/>
          <w:szCs w:val="21"/>
        </w:rPr>
        <w:t>及各类基金份额净值的计算与复核”中估值方法进行处理时，所造成的误差不作为基金资产估值错误处理。</w:t>
      </w:r>
    </w:p>
    <w:p w14:paraId="62490EA3"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若基金管理人净值计算出错，基金托管人在复核过程中没有发现，且造成基金份额持有人损失的，应根据法律法规的规定对投资者或基金支付赔偿金，就实际向投资者或基金支付的赔偿金额，由基金管理人与基金托管人按照管理费率和托管费率的比例各自承担相应的责任；</w:t>
      </w:r>
    </w:p>
    <w:p w14:paraId="27C361DA"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如基金管理人和基金托管人对某类基金份额净值的计算结果，虽然多次重新计算和核对，尚不能达成一致时，为避免不能按时公布该类基金份额净值的情形，以基金管理人的计算结果对外公</w:t>
      </w:r>
      <w:r>
        <w:rPr>
          <w:rFonts w:hint="eastAsia"/>
          <w:bCs/>
          <w:szCs w:val="21"/>
        </w:rPr>
        <w:t>布，在基金托管人计算正确的情况下，因前述计算错误给基金份额持有人和基金造成的损失，基金托管人不承担责任。</w:t>
      </w:r>
    </w:p>
    <w:p w14:paraId="0D8DAB7C"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由于不可抗力原因，或由于证券、期货交易所、指数编制机构、证券经纪商、第三方估值基准服务机构或证券登记结算机构等发送的数据错误，或国家会计政策、市场规则变更等非基金管理人或基金托管人原因，基金管理人和基金托管人虽然已经采取必要、适当、合理的措施进行检查，仍未能发现错误或因前述原因未能避免或更正错误的，由此造成的基金资产估值错误，基金管理人和基金托管人免除赔偿责任，但基金管理人、基金托管人应当积极采取必</w:t>
      </w:r>
      <w:r>
        <w:rPr>
          <w:rFonts w:hint="eastAsia"/>
          <w:bCs/>
          <w:szCs w:val="21"/>
        </w:rPr>
        <w:t>要的措施减轻或消除由此造成的影响。</w:t>
      </w:r>
    </w:p>
    <w:p w14:paraId="0EF86BDF" w14:textId="77777777" w:rsidR="00BF38BB" w:rsidRDefault="002837D7">
      <w:pPr>
        <w:spacing w:line="360" w:lineRule="auto"/>
        <w:ind w:firstLineChars="200" w:firstLine="420"/>
        <w:rPr>
          <w:bCs/>
        </w:rPr>
      </w:pPr>
      <w:r>
        <w:rPr>
          <w:rFonts w:hint="eastAsia"/>
          <w:bCs/>
          <w:szCs w:val="21"/>
        </w:rPr>
        <w:t>针对净值差错处理，如果法律法规或证监会有新的规定，则按新的规定执行；如果行业有通行做法，在不违背法律法规且不损害投资者利益的前提下，双方应本着平等和保护基金份额持有人利益的原则重新协商确定处理原则。</w:t>
      </w:r>
    </w:p>
    <w:p w14:paraId="6B4F09D9" w14:textId="77777777" w:rsidR="00BF38BB" w:rsidRDefault="002837D7">
      <w:pPr>
        <w:spacing w:line="360" w:lineRule="auto"/>
        <w:ind w:firstLineChars="200" w:firstLine="420"/>
        <w:rPr>
          <w:bCs/>
          <w:szCs w:val="21"/>
        </w:rPr>
      </w:pPr>
      <w:r>
        <w:rPr>
          <w:rFonts w:hint="eastAsia"/>
          <w:bCs/>
          <w:szCs w:val="21"/>
        </w:rPr>
        <w:t>三）实施侧袋机制期间的基金资产估值</w:t>
      </w:r>
    </w:p>
    <w:p w14:paraId="5239C0BE" w14:textId="77777777" w:rsidR="00BF38BB" w:rsidRDefault="002837D7">
      <w:pPr>
        <w:spacing w:line="360" w:lineRule="auto"/>
        <w:ind w:firstLineChars="200" w:firstLine="420"/>
        <w:rPr>
          <w:bCs/>
          <w:szCs w:val="21"/>
        </w:rPr>
      </w:pPr>
      <w:r>
        <w:rPr>
          <w:rFonts w:hint="eastAsia"/>
          <w:bCs/>
          <w:szCs w:val="21"/>
        </w:rPr>
        <w:t>本基金实施侧袋机制的，应根据本部分的约定对主袋账户资产进行估值并披露主袋账户的基金净值信息，暂停披露侧袋账户的基金净值信息。</w:t>
      </w:r>
    </w:p>
    <w:p w14:paraId="0CA41D0E" w14:textId="77777777" w:rsidR="00BF38BB" w:rsidRDefault="002837D7">
      <w:pPr>
        <w:spacing w:line="360" w:lineRule="auto"/>
        <w:ind w:firstLineChars="200" w:firstLine="420"/>
        <w:rPr>
          <w:bCs/>
          <w:szCs w:val="21"/>
        </w:rPr>
      </w:pPr>
      <w:r>
        <w:rPr>
          <w:rFonts w:hint="eastAsia"/>
          <w:bCs/>
          <w:szCs w:val="21"/>
        </w:rPr>
        <w:t>四）基金会计制度</w:t>
      </w:r>
    </w:p>
    <w:p w14:paraId="0EFB685F" w14:textId="77777777" w:rsidR="00BF38BB" w:rsidRDefault="002837D7">
      <w:pPr>
        <w:spacing w:line="360" w:lineRule="auto"/>
        <w:ind w:firstLineChars="200" w:firstLine="420"/>
        <w:rPr>
          <w:bCs/>
          <w:szCs w:val="21"/>
        </w:rPr>
      </w:pPr>
      <w:r>
        <w:rPr>
          <w:rFonts w:hint="eastAsia"/>
          <w:bCs/>
          <w:szCs w:val="21"/>
        </w:rPr>
        <w:t>按国家有关部门制定的会计制度执行。</w:t>
      </w:r>
    </w:p>
    <w:p w14:paraId="5DDFC686" w14:textId="77777777" w:rsidR="00BF38BB" w:rsidRDefault="002837D7">
      <w:pPr>
        <w:spacing w:line="360" w:lineRule="auto"/>
        <w:ind w:firstLineChars="200" w:firstLine="420"/>
        <w:rPr>
          <w:bCs/>
          <w:szCs w:val="21"/>
        </w:rPr>
      </w:pPr>
      <w:r>
        <w:rPr>
          <w:rFonts w:hint="eastAsia"/>
          <w:bCs/>
          <w:szCs w:val="21"/>
        </w:rPr>
        <w:t>五）基金账册的建立</w:t>
      </w:r>
    </w:p>
    <w:p w14:paraId="6CCFDD7E" w14:textId="77777777" w:rsidR="00BF38BB" w:rsidRDefault="002837D7">
      <w:pPr>
        <w:spacing w:line="360" w:lineRule="auto"/>
        <w:ind w:firstLineChars="200" w:firstLine="420"/>
        <w:rPr>
          <w:bCs/>
          <w:szCs w:val="21"/>
        </w:rPr>
      </w:pPr>
      <w:r>
        <w:rPr>
          <w:rFonts w:hint="eastAsia"/>
          <w:bCs/>
          <w:szCs w:val="21"/>
        </w:rPr>
        <w:t>基金管理人和基金托管人在《基金合同》生效后，应按照双方约定的同一记账方法和会计处理原则，分别独立地设置、登录和保管本基金的全套账册，对双方各自的账册定期进行核对，互相监督，以保证基金财</w:t>
      </w:r>
      <w:r>
        <w:rPr>
          <w:rFonts w:hint="eastAsia"/>
          <w:bCs/>
          <w:szCs w:val="21"/>
        </w:rPr>
        <w:lastRenderedPageBreak/>
        <w:t>产的安全。若双方对会计处理方法存在分歧，应以基金管理人的处理方法为准。</w:t>
      </w:r>
    </w:p>
    <w:p w14:paraId="7D710A4E" w14:textId="77777777" w:rsidR="00BF38BB" w:rsidRDefault="002837D7">
      <w:pPr>
        <w:spacing w:line="360" w:lineRule="auto"/>
        <w:ind w:firstLineChars="200" w:firstLine="420"/>
        <w:rPr>
          <w:bCs/>
          <w:szCs w:val="21"/>
        </w:rPr>
      </w:pPr>
      <w:r>
        <w:rPr>
          <w:rFonts w:hint="eastAsia"/>
          <w:bCs/>
          <w:szCs w:val="21"/>
        </w:rPr>
        <w:t>六）会计数据和财务指标的核对</w:t>
      </w:r>
    </w:p>
    <w:p w14:paraId="74A542F3" w14:textId="77777777" w:rsidR="00BF38BB" w:rsidRDefault="002837D7">
      <w:pPr>
        <w:spacing w:line="360" w:lineRule="auto"/>
        <w:ind w:firstLineChars="200" w:firstLine="420"/>
        <w:rPr>
          <w:bCs/>
          <w:szCs w:val="21"/>
        </w:rPr>
      </w:pPr>
      <w:r>
        <w:rPr>
          <w:rFonts w:hint="eastAsia"/>
          <w:bCs/>
          <w:szCs w:val="21"/>
        </w:rPr>
        <w:t>双方应每个交易日核对账目，如发现双方的账目存在不符的，基金管理人和基金托管人必须及时查明原因并纠正，确保核对一致。若当日核对不符，暂时无法查找到错账的原因而影响到基金净值信息的计算和公告的，以基金管理人的账册为准。</w:t>
      </w:r>
    </w:p>
    <w:p w14:paraId="030664C9" w14:textId="77777777" w:rsidR="00BF38BB" w:rsidRDefault="002837D7">
      <w:pPr>
        <w:spacing w:line="360" w:lineRule="auto"/>
        <w:ind w:firstLineChars="200" w:firstLine="420"/>
        <w:rPr>
          <w:bCs/>
          <w:szCs w:val="21"/>
        </w:rPr>
      </w:pPr>
      <w:r>
        <w:rPr>
          <w:rFonts w:hint="eastAsia"/>
          <w:bCs/>
          <w:szCs w:val="21"/>
        </w:rPr>
        <w:t>七）基金财</w:t>
      </w:r>
      <w:r>
        <w:rPr>
          <w:rFonts w:hint="eastAsia"/>
          <w:bCs/>
          <w:szCs w:val="21"/>
        </w:rPr>
        <w:t>务报表及定期报告的编制和复核</w:t>
      </w:r>
    </w:p>
    <w:p w14:paraId="275513EA" w14:textId="77777777" w:rsidR="00BF38BB" w:rsidRDefault="002837D7">
      <w:pPr>
        <w:spacing w:line="360" w:lineRule="auto"/>
        <w:ind w:firstLineChars="200" w:firstLine="420"/>
        <w:rPr>
          <w:bCs/>
          <w:szCs w:val="21"/>
        </w:rPr>
      </w:pPr>
      <w:r>
        <w:rPr>
          <w:rFonts w:hint="eastAsia"/>
          <w:bCs/>
          <w:szCs w:val="21"/>
        </w:rPr>
        <w:t>基金财务报表由基金管理人和基金托管人每月分别独立编制。月度报表的编制，应于每月终了后</w:t>
      </w:r>
      <w:r>
        <w:rPr>
          <w:rFonts w:hint="eastAsia"/>
          <w:bCs/>
          <w:szCs w:val="21"/>
        </w:rPr>
        <w:t>5</w:t>
      </w:r>
      <w:r>
        <w:rPr>
          <w:rFonts w:hint="eastAsia"/>
          <w:bCs/>
          <w:szCs w:val="21"/>
        </w:rPr>
        <w:t>个工作日内完成。定期报告文件应按中国证监会的要求公告。季度报表的编制，应于每季度终了后</w:t>
      </w:r>
      <w:r>
        <w:rPr>
          <w:rFonts w:hint="eastAsia"/>
          <w:bCs/>
          <w:szCs w:val="21"/>
        </w:rPr>
        <w:t>15</w:t>
      </w:r>
      <w:r>
        <w:rPr>
          <w:rFonts w:hint="eastAsia"/>
          <w:bCs/>
          <w:szCs w:val="21"/>
        </w:rPr>
        <w:t>个工作日内完成并公告；基金合同生效后，基金招募说明书、基金产品资料概要的信息发生重大变更的，基金管理人应当在</w:t>
      </w:r>
      <w:r>
        <w:rPr>
          <w:rFonts w:hint="eastAsia"/>
          <w:bCs/>
          <w:szCs w:val="21"/>
        </w:rPr>
        <w:t>3</w:t>
      </w:r>
      <w:r>
        <w:rPr>
          <w:rFonts w:hint="eastAsia"/>
          <w:bCs/>
          <w:szCs w:val="21"/>
        </w:rPr>
        <w:t>个工作日内，更新基金招募说明书和基金产品资料概要并登载在规定网站上，其中基金产品资料概要还应当登载在基金销售机构网站或营业网点；基金招募说明书、基金产品资料概要的其他信息发生变更的，基金管理人至少</w:t>
      </w:r>
      <w:r>
        <w:rPr>
          <w:rFonts w:hint="eastAsia"/>
          <w:bCs/>
          <w:szCs w:val="21"/>
        </w:rPr>
        <w:t>每年更新一次；基金终止运作的，基金管理人不再更新基金招募说明书和基金产品资料概要。中期报告在基金会计年度前</w:t>
      </w:r>
      <w:r>
        <w:rPr>
          <w:rFonts w:hint="eastAsia"/>
          <w:bCs/>
          <w:szCs w:val="21"/>
        </w:rPr>
        <w:t>6</w:t>
      </w:r>
      <w:r>
        <w:rPr>
          <w:rFonts w:hint="eastAsia"/>
          <w:bCs/>
          <w:szCs w:val="21"/>
        </w:rPr>
        <w:t>个月结束后的</w:t>
      </w:r>
      <w:r>
        <w:rPr>
          <w:rFonts w:hint="eastAsia"/>
          <w:bCs/>
          <w:szCs w:val="21"/>
        </w:rPr>
        <w:t>2</w:t>
      </w:r>
      <w:r>
        <w:rPr>
          <w:rFonts w:hint="eastAsia"/>
          <w:bCs/>
          <w:szCs w:val="21"/>
        </w:rPr>
        <w:t>个月内公告；年度报告在会计年度结束后</w:t>
      </w:r>
      <w:r>
        <w:rPr>
          <w:rFonts w:hint="eastAsia"/>
          <w:bCs/>
          <w:szCs w:val="21"/>
        </w:rPr>
        <w:t>3</w:t>
      </w:r>
      <w:r>
        <w:rPr>
          <w:rFonts w:hint="eastAsia"/>
          <w:bCs/>
          <w:szCs w:val="21"/>
        </w:rPr>
        <w:t>个月内公告。如果基金合同生效不足</w:t>
      </w:r>
      <w:r>
        <w:rPr>
          <w:rFonts w:hint="eastAsia"/>
          <w:bCs/>
          <w:szCs w:val="21"/>
        </w:rPr>
        <w:t>2</w:t>
      </w:r>
      <w:r>
        <w:rPr>
          <w:rFonts w:hint="eastAsia"/>
          <w:bCs/>
          <w:szCs w:val="21"/>
        </w:rPr>
        <w:t>个月的，基金管理人可以不编制当期季度报告、中期报告或者年度报告。</w:t>
      </w:r>
    </w:p>
    <w:p w14:paraId="05E9C7E3" w14:textId="77777777" w:rsidR="00BF38BB" w:rsidRDefault="002837D7">
      <w:pPr>
        <w:spacing w:line="360" w:lineRule="auto"/>
        <w:ind w:firstLineChars="200" w:firstLine="420"/>
        <w:rPr>
          <w:bCs/>
          <w:szCs w:val="21"/>
        </w:rPr>
      </w:pPr>
      <w:r>
        <w:rPr>
          <w:rFonts w:hint="eastAsia"/>
          <w:bCs/>
          <w:szCs w:val="21"/>
        </w:rPr>
        <w:t>基金管理人在月初</w:t>
      </w:r>
      <w:r>
        <w:rPr>
          <w:rFonts w:hint="eastAsia"/>
          <w:bCs/>
          <w:szCs w:val="21"/>
        </w:rPr>
        <w:t>3</w:t>
      </w:r>
      <w:r>
        <w:rPr>
          <w:rFonts w:hint="eastAsia"/>
          <w:bCs/>
          <w:szCs w:val="21"/>
        </w:rPr>
        <w:t>个工作日内完成上月度报表的编制，以约定方式将有关报表提供基金托管人；基金托管人收到后在</w:t>
      </w:r>
      <w:r>
        <w:rPr>
          <w:rFonts w:hint="eastAsia"/>
          <w:bCs/>
          <w:szCs w:val="21"/>
        </w:rPr>
        <w:t>2</w:t>
      </w:r>
      <w:r>
        <w:rPr>
          <w:rFonts w:hint="eastAsia"/>
          <w:bCs/>
          <w:szCs w:val="21"/>
        </w:rPr>
        <w:t>个工作日内进行复核，并将复核结果及时书面或以双方约定的其他方式通知基金管理人。对于季度报告、中期报告、年度报告、更新招募说明书、基金产品资料概要等</w:t>
      </w:r>
      <w:r>
        <w:rPr>
          <w:rFonts w:hint="eastAsia"/>
          <w:bCs/>
          <w:szCs w:val="21"/>
        </w:rPr>
        <w:t>，基金管理人和基金托管人应在上述监管部门规定的时间内完成编制、复核及公告。基金托管人在复核过程中，发现双方的报表或定期报告存在不符时，基金管理人和基金托管人应共同查明原因，进行调整，调整以双方认可的账务处理方式为准。如果基金管理人与基金托管人不能于应当发布公告之日前就相关报表或定期报告达成一致，基金管理人有权按照其编制的报表和定期报告对外发布公告，基金托管人有权就相关情况报证监会备案。</w:t>
      </w:r>
    </w:p>
    <w:p w14:paraId="74A60BB4" w14:textId="77777777" w:rsidR="00BF38BB" w:rsidRDefault="002837D7">
      <w:pPr>
        <w:spacing w:line="360" w:lineRule="auto"/>
        <w:ind w:firstLineChars="200" w:firstLine="420"/>
        <w:rPr>
          <w:bCs/>
          <w:szCs w:val="21"/>
        </w:rPr>
      </w:pPr>
      <w:r>
        <w:rPr>
          <w:rFonts w:hint="eastAsia"/>
          <w:bCs/>
          <w:szCs w:val="21"/>
        </w:rPr>
        <w:t>基金托管人对上述报告复核完毕后，可以出具复核确认书（盖章）或以其他双方约定的方式确认，以备有权机构对相关文件审核检查。</w:t>
      </w:r>
    </w:p>
    <w:p w14:paraId="211BFA18" w14:textId="77777777" w:rsidR="00BF38BB" w:rsidRDefault="002837D7">
      <w:pPr>
        <w:spacing w:line="360" w:lineRule="auto"/>
        <w:ind w:firstLineChars="200" w:firstLine="420"/>
        <w:rPr>
          <w:bCs/>
        </w:rPr>
      </w:pPr>
      <w:r>
        <w:rPr>
          <w:rFonts w:ascii="宋体" w:hAnsi="宋体" w:hint="eastAsia"/>
          <w:bCs/>
        </w:rPr>
        <w:t>（</w:t>
      </w:r>
      <w:r>
        <w:rPr>
          <w:rFonts w:ascii="宋体" w:hAnsi="宋体" w:hint="eastAsia"/>
          <w:bCs/>
        </w:rPr>
        <w:t>六）基金份额持有人名册的保管</w:t>
      </w:r>
    </w:p>
    <w:p w14:paraId="49562E61" w14:textId="77777777" w:rsidR="00BF38BB" w:rsidRDefault="002837D7">
      <w:pPr>
        <w:spacing w:line="360" w:lineRule="auto"/>
        <w:ind w:firstLineChars="200" w:firstLine="420"/>
        <w:rPr>
          <w:rFonts w:ascii="宋体" w:hAnsi="宋体"/>
          <w:bCs/>
        </w:rPr>
      </w:pPr>
      <w:r>
        <w:rPr>
          <w:rFonts w:ascii="宋体" w:hAnsi="宋体" w:hint="eastAsia"/>
          <w:bCs/>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低于法律法规规定的最低期限。如不能妥善保管，则按相关法律法规承担责任。</w:t>
      </w:r>
    </w:p>
    <w:p w14:paraId="0A3E19E8" w14:textId="77777777" w:rsidR="00BF38BB" w:rsidRDefault="002837D7">
      <w:pPr>
        <w:spacing w:line="360" w:lineRule="auto"/>
        <w:ind w:firstLineChars="200" w:firstLine="420"/>
        <w:rPr>
          <w:rFonts w:ascii="宋体" w:hAnsi="宋体"/>
          <w:bCs/>
        </w:rPr>
      </w:pPr>
      <w:r>
        <w:rPr>
          <w:rFonts w:ascii="宋体" w:hAnsi="宋体" w:hint="eastAsia"/>
          <w:bCs/>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w:t>
      </w:r>
      <w:r>
        <w:rPr>
          <w:rFonts w:ascii="宋体" w:hAnsi="宋体" w:hint="eastAsia"/>
          <w:bCs/>
        </w:rPr>
        <w:t>守保密义务，法律法规另有规定或有权机关另有要求的除外。</w:t>
      </w:r>
    </w:p>
    <w:p w14:paraId="0B748485" w14:textId="77777777" w:rsidR="00BF38BB" w:rsidRDefault="002837D7">
      <w:pPr>
        <w:spacing w:line="360" w:lineRule="auto"/>
        <w:ind w:firstLineChars="200" w:firstLine="420"/>
        <w:rPr>
          <w:bCs/>
          <w:szCs w:val="21"/>
        </w:rPr>
      </w:pPr>
      <w:r>
        <w:rPr>
          <w:rFonts w:hint="eastAsia"/>
          <w:bCs/>
          <w:szCs w:val="21"/>
        </w:rPr>
        <w:lastRenderedPageBreak/>
        <w:t>（七）托管协议的变更、终止与基金财产的清算</w:t>
      </w:r>
    </w:p>
    <w:p w14:paraId="100C8E61" w14:textId="77777777" w:rsidR="00BF38BB" w:rsidRDefault="002837D7">
      <w:pPr>
        <w:spacing w:line="360" w:lineRule="auto"/>
        <w:ind w:firstLineChars="200" w:firstLine="420"/>
        <w:rPr>
          <w:bCs/>
          <w:szCs w:val="21"/>
        </w:rPr>
      </w:pPr>
      <w:r>
        <w:rPr>
          <w:rFonts w:hint="eastAsia"/>
          <w:bCs/>
          <w:szCs w:val="21"/>
        </w:rPr>
        <w:t>一）基金托管协议的变更</w:t>
      </w:r>
    </w:p>
    <w:p w14:paraId="4CBECB39" w14:textId="77777777" w:rsidR="00BF38BB" w:rsidRDefault="002837D7">
      <w:pPr>
        <w:spacing w:line="360" w:lineRule="auto"/>
        <w:ind w:firstLineChars="200" w:firstLine="420"/>
        <w:rPr>
          <w:bCs/>
          <w:szCs w:val="21"/>
        </w:rPr>
      </w:pPr>
      <w:r>
        <w:rPr>
          <w:rFonts w:hint="eastAsia"/>
          <w:bCs/>
          <w:szCs w:val="21"/>
        </w:rPr>
        <w:t>本协议双方当事人经协商一致，可以对协议进行修改。修改后的新协议，其内容不得与《基金合同》的规定有任何冲突。基金管理人应根据法律法规的规定履行备案程序或根据中国证监会的要求完成变更程序。</w:t>
      </w:r>
    </w:p>
    <w:p w14:paraId="4E871516" w14:textId="77777777" w:rsidR="00BF38BB" w:rsidRDefault="002837D7">
      <w:pPr>
        <w:spacing w:line="360" w:lineRule="auto"/>
        <w:ind w:firstLineChars="200" w:firstLine="420"/>
        <w:rPr>
          <w:bCs/>
          <w:szCs w:val="21"/>
        </w:rPr>
      </w:pPr>
      <w:r>
        <w:rPr>
          <w:rFonts w:hint="eastAsia"/>
          <w:bCs/>
          <w:szCs w:val="21"/>
        </w:rPr>
        <w:t>二）基金托管协议的终止</w:t>
      </w:r>
    </w:p>
    <w:p w14:paraId="2F40BC7E"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《基金合同》终止；</w:t>
      </w:r>
    </w:p>
    <w:p w14:paraId="618BFCE5" w14:textId="77777777" w:rsidR="00BF38BB" w:rsidRDefault="002837D7">
      <w:pPr>
        <w:spacing w:line="360" w:lineRule="auto"/>
        <w:ind w:firstLineChars="200" w:firstLine="420"/>
        <w:rPr>
          <w:bCs/>
          <w:szCs w:val="21"/>
        </w:rPr>
      </w:pPr>
      <w:r>
        <w:rPr>
          <w:rFonts w:hint="eastAsia"/>
          <w:bCs/>
          <w:szCs w:val="21"/>
        </w:rPr>
        <w:t>2.</w:t>
      </w:r>
      <w:r>
        <w:rPr>
          <w:rFonts w:hint="eastAsia"/>
          <w:bCs/>
          <w:szCs w:val="21"/>
        </w:rPr>
        <w:t>基金托管人解散、依法被撤销、破产，被依法取消基金托管资格或因其他事由造成其他基金托管人接管基金财产；</w:t>
      </w:r>
    </w:p>
    <w:p w14:paraId="5271D633"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基金管理人解散、依法被撤销、破产，被依法取消基金管理资格或因其他事由造成其他基金管理人接管基金管理权；</w:t>
      </w:r>
    </w:p>
    <w:p w14:paraId="743349C7"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发生《基金法》、《销售办法》、《运作办法》或其他法律法规规定的终止事项。</w:t>
      </w:r>
    </w:p>
    <w:p w14:paraId="6EA23CAB" w14:textId="77777777" w:rsidR="00BF38BB" w:rsidRDefault="002837D7">
      <w:pPr>
        <w:spacing w:line="360" w:lineRule="auto"/>
        <w:ind w:firstLineChars="200" w:firstLine="420"/>
        <w:rPr>
          <w:bCs/>
          <w:szCs w:val="21"/>
        </w:rPr>
      </w:pPr>
      <w:r>
        <w:rPr>
          <w:rFonts w:hint="eastAsia"/>
          <w:bCs/>
          <w:szCs w:val="21"/>
        </w:rPr>
        <w:t>三）基金财产的清算</w:t>
      </w:r>
    </w:p>
    <w:p w14:paraId="60FE632E" w14:textId="77777777" w:rsidR="00BF38BB" w:rsidRDefault="002837D7">
      <w:pPr>
        <w:spacing w:line="360" w:lineRule="auto"/>
        <w:ind w:firstLineChars="200" w:firstLine="420"/>
        <w:rPr>
          <w:bCs/>
          <w:szCs w:val="21"/>
        </w:rPr>
      </w:pPr>
      <w:r>
        <w:rPr>
          <w:rFonts w:hint="eastAsia"/>
          <w:bCs/>
          <w:szCs w:val="21"/>
        </w:rPr>
        <w:t>1.</w:t>
      </w:r>
      <w:r>
        <w:rPr>
          <w:rFonts w:hint="eastAsia"/>
          <w:bCs/>
          <w:szCs w:val="21"/>
        </w:rPr>
        <w:t>基金财产清算小组：自出现《基金合同》终止事由之日起</w:t>
      </w:r>
      <w:r>
        <w:rPr>
          <w:rFonts w:hint="eastAsia"/>
          <w:bCs/>
          <w:szCs w:val="21"/>
        </w:rPr>
        <w:t>30</w:t>
      </w:r>
      <w:r>
        <w:rPr>
          <w:rFonts w:hint="eastAsia"/>
          <w:bCs/>
          <w:szCs w:val="21"/>
        </w:rPr>
        <w:t>个工作日内成立基金财产清算小组，基金管理人组织基金财产清算小组并在中国证监会的监督下进行基金清算。</w:t>
      </w:r>
    </w:p>
    <w:p w14:paraId="1A2FCDAE" w14:textId="77777777" w:rsidR="00BF38BB" w:rsidRDefault="002837D7">
      <w:pPr>
        <w:spacing w:line="360" w:lineRule="auto"/>
        <w:ind w:firstLineChars="200" w:firstLine="420"/>
        <w:rPr>
          <w:bCs/>
          <w:szCs w:val="21"/>
        </w:rPr>
      </w:pPr>
      <w:r>
        <w:rPr>
          <w:rFonts w:hint="eastAsia"/>
          <w:bCs/>
          <w:szCs w:val="21"/>
        </w:rPr>
        <w:t xml:space="preserve">2. </w:t>
      </w:r>
      <w:r>
        <w:rPr>
          <w:rFonts w:hint="eastAsia"/>
          <w:bCs/>
          <w:szCs w:val="21"/>
        </w:rPr>
        <w:t>在基金财产清算小组接管基金财产之前，基金管理人和基金托管人应按照基金合同和托管协议的规定继续履行保护基金财产安全的职责。</w:t>
      </w:r>
    </w:p>
    <w:p w14:paraId="36F24A41" w14:textId="77777777" w:rsidR="00BF38BB" w:rsidRDefault="002837D7">
      <w:pPr>
        <w:spacing w:line="360" w:lineRule="auto"/>
        <w:ind w:firstLineChars="200" w:firstLine="420"/>
        <w:rPr>
          <w:bCs/>
          <w:szCs w:val="21"/>
        </w:rPr>
      </w:pPr>
      <w:r>
        <w:rPr>
          <w:rFonts w:hint="eastAsia"/>
          <w:bCs/>
          <w:szCs w:val="21"/>
        </w:rPr>
        <w:t>3.</w:t>
      </w:r>
      <w:r>
        <w:rPr>
          <w:rFonts w:hint="eastAsia"/>
          <w:bCs/>
          <w:szCs w:val="21"/>
        </w:rPr>
        <w:t>基金财产清算小组</w:t>
      </w:r>
      <w:r>
        <w:rPr>
          <w:rFonts w:hint="eastAsia"/>
          <w:bCs/>
          <w:szCs w:val="21"/>
        </w:rPr>
        <w:t>组成：基金财产清算小组成员由基金管理人、基金托管人、符合《证券法》规定的注册会计师、律师组成。基金财产清算小组可以聘用必要的工作人员。</w:t>
      </w:r>
    </w:p>
    <w:p w14:paraId="08176261" w14:textId="77777777" w:rsidR="00BF38BB" w:rsidRDefault="002837D7">
      <w:pPr>
        <w:spacing w:line="360" w:lineRule="auto"/>
        <w:ind w:firstLineChars="200" w:firstLine="420"/>
        <w:rPr>
          <w:bCs/>
          <w:szCs w:val="21"/>
        </w:rPr>
      </w:pPr>
      <w:r>
        <w:rPr>
          <w:rFonts w:hint="eastAsia"/>
          <w:bCs/>
          <w:szCs w:val="21"/>
        </w:rPr>
        <w:t>4.</w:t>
      </w:r>
      <w:r>
        <w:rPr>
          <w:rFonts w:hint="eastAsia"/>
          <w:bCs/>
          <w:szCs w:val="21"/>
        </w:rPr>
        <w:t>基金财产清算小组职责：基金财产清算小组负责基金财产的保管、清理、估价、变现和分配。基金财产清算小组可以依法进行必要的民事活动。</w:t>
      </w:r>
    </w:p>
    <w:p w14:paraId="0425D0A6" w14:textId="77777777" w:rsidR="00BF38BB" w:rsidRDefault="002837D7">
      <w:pPr>
        <w:spacing w:line="360" w:lineRule="auto"/>
        <w:ind w:firstLineChars="200" w:firstLine="420"/>
        <w:rPr>
          <w:bCs/>
          <w:szCs w:val="21"/>
        </w:rPr>
      </w:pPr>
      <w:r>
        <w:rPr>
          <w:rFonts w:hint="eastAsia"/>
          <w:bCs/>
          <w:szCs w:val="21"/>
        </w:rPr>
        <w:t>5.</w:t>
      </w:r>
      <w:r>
        <w:rPr>
          <w:rFonts w:hint="eastAsia"/>
          <w:bCs/>
          <w:szCs w:val="21"/>
        </w:rPr>
        <w:t>基金财产清算程序：</w:t>
      </w:r>
    </w:p>
    <w:p w14:paraId="39C226A1"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）基金财产清算小组成立后，由基金财产清算小组统一接管基金；</w:t>
      </w:r>
    </w:p>
    <w:p w14:paraId="6850BC69"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）对基金财产和债权债务进行清理和确认；</w:t>
      </w:r>
    </w:p>
    <w:p w14:paraId="7C5904BF"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）对基金财产进行估值和变现；</w:t>
      </w:r>
    </w:p>
    <w:p w14:paraId="7E181635"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）制作清算报告；</w:t>
      </w:r>
    </w:p>
    <w:p w14:paraId="7D18F526"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）聘请会计师事务所对清算报告进行外部审计，聘请律师事务所对清算报告出具法律意见书；</w:t>
      </w:r>
    </w:p>
    <w:p w14:paraId="4181A36C"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）将清算报告报中国证监会备案并公告；</w:t>
      </w:r>
    </w:p>
    <w:p w14:paraId="25674060" w14:textId="77777777" w:rsidR="00BF38BB" w:rsidRDefault="002837D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）对基金剩余财产进行分配。</w:t>
      </w:r>
    </w:p>
    <w:p w14:paraId="051D6A10" w14:textId="77777777" w:rsidR="00BF38BB" w:rsidRDefault="002837D7">
      <w:pPr>
        <w:spacing w:line="360" w:lineRule="auto"/>
        <w:ind w:firstLineChars="200" w:firstLine="420"/>
        <w:rPr>
          <w:bCs/>
          <w:szCs w:val="21"/>
        </w:rPr>
      </w:pPr>
      <w:r>
        <w:rPr>
          <w:rFonts w:hint="eastAsia"/>
          <w:bCs/>
          <w:szCs w:val="21"/>
        </w:rPr>
        <w:t>6.</w:t>
      </w:r>
      <w:r>
        <w:rPr>
          <w:rFonts w:hint="eastAsia"/>
          <w:bCs/>
          <w:szCs w:val="21"/>
        </w:rPr>
        <w:t>基金财产清算的期限为</w:t>
      </w:r>
      <w:r>
        <w:rPr>
          <w:rFonts w:hint="eastAsia"/>
          <w:bCs/>
          <w:szCs w:val="21"/>
        </w:rPr>
        <w:t>6</w:t>
      </w:r>
      <w:r>
        <w:rPr>
          <w:rFonts w:hint="eastAsia"/>
          <w:bCs/>
          <w:szCs w:val="21"/>
        </w:rPr>
        <w:t>个月，但因本基金所持证券的流动性受到限制而不能及时变现、结算保证金相关规定等客观因素，清算期限相应顺延。</w:t>
      </w:r>
    </w:p>
    <w:p w14:paraId="547A8A5B" w14:textId="77777777" w:rsidR="00BF38BB" w:rsidRDefault="002837D7">
      <w:pPr>
        <w:spacing w:line="360" w:lineRule="auto"/>
        <w:ind w:firstLineChars="200" w:firstLine="420"/>
        <w:rPr>
          <w:bCs/>
          <w:szCs w:val="21"/>
        </w:rPr>
      </w:pPr>
      <w:r>
        <w:rPr>
          <w:rFonts w:hint="eastAsia"/>
          <w:bCs/>
          <w:szCs w:val="21"/>
        </w:rPr>
        <w:lastRenderedPageBreak/>
        <w:t>7.</w:t>
      </w:r>
      <w:r>
        <w:rPr>
          <w:rFonts w:hint="eastAsia"/>
          <w:bCs/>
          <w:szCs w:val="21"/>
        </w:rPr>
        <w:t>清算费用</w:t>
      </w:r>
    </w:p>
    <w:p w14:paraId="7C1A94C7" w14:textId="77777777" w:rsidR="00BF38BB" w:rsidRDefault="002837D7">
      <w:pPr>
        <w:spacing w:line="360" w:lineRule="auto"/>
        <w:ind w:firstLineChars="200" w:firstLine="420"/>
        <w:rPr>
          <w:bCs/>
          <w:szCs w:val="21"/>
        </w:rPr>
      </w:pPr>
      <w:r>
        <w:rPr>
          <w:rFonts w:hint="eastAsia"/>
          <w:bCs/>
          <w:szCs w:val="21"/>
        </w:rPr>
        <w:t>清算费用是指基金财产清算小组在进行基金清算过程中发生的所有合理费用，清算费用由基金财产清算小组优先从基金财产中支付。</w:t>
      </w:r>
    </w:p>
    <w:p w14:paraId="22CAA0B0" w14:textId="77777777" w:rsidR="00BF38BB" w:rsidRDefault="002837D7">
      <w:pPr>
        <w:spacing w:line="360" w:lineRule="auto"/>
        <w:ind w:firstLineChars="200" w:firstLine="420"/>
        <w:rPr>
          <w:bCs/>
          <w:szCs w:val="21"/>
        </w:rPr>
      </w:pPr>
      <w:r>
        <w:rPr>
          <w:rFonts w:hint="eastAsia"/>
          <w:bCs/>
          <w:szCs w:val="21"/>
        </w:rPr>
        <w:t>8.</w:t>
      </w:r>
      <w:r>
        <w:rPr>
          <w:rFonts w:hint="eastAsia"/>
          <w:bCs/>
          <w:szCs w:val="21"/>
        </w:rPr>
        <w:t>基金财产清算剩余资产的分配</w:t>
      </w:r>
    </w:p>
    <w:p w14:paraId="5283464B" w14:textId="77777777" w:rsidR="00BF38BB" w:rsidRDefault="002837D7">
      <w:pPr>
        <w:spacing w:line="360" w:lineRule="auto"/>
        <w:ind w:firstLineChars="200" w:firstLine="420"/>
        <w:rPr>
          <w:bCs/>
          <w:szCs w:val="21"/>
        </w:rPr>
      </w:pPr>
      <w:r>
        <w:rPr>
          <w:rFonts w:hint="eastAsia"/>
          <w:bCs/>
          <w:szCs w:val="21"/>
        </w:rPr>
        <w:t>依据基金财产清算的分配方案，将基金财产清算后的全部剩余</w:t>
      </w:r>
      <w:r>
        <w:rPr>
          <w:rFonts w:hint="eastAsia"/>
          <w:bCs/>
          <w:szCs w:val="21"/>
        </w:rPr>
        <w:t>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本类别基金份额的剩余资产具有同等的分配权。</w:t>
      </w:r>
    </w:p>
    <w:p w14:paraId="112C9A98" w14:textId="77777777" w:rsidR="00BF38BB" w:rsidRDefault="002837D7">
      <w:pPr>
        <w:spacing w:line="360" w:lineRule="auto"/>
        <w:ind w:firstLineChars="200" w:firstLine="420"/>
        <w:rPr>
          <w:bCs/>
          <w:szCs w:val="21"/>
        </w:rPr>
      </w:pPr>
      <w:r>
        <w:rPr>
          <w:rFonts w:hint="eastAsia"/>
          <w:bCs/>
          <w:szCs w:val="21"/>
        </w:rPr>
        <w:t>9.</w:t>
      </w:r>
      <w:r>
        <w:rPr>
          <w:rFonts w:hint="eastAsia"/>
          <w:bCs/>
          <w:szCs w:val="21"/>
        </w:rPr>
        <w:t>基金财产清算的公告</w:t>
      </w:r>
    </w:p>
    <w:p w14:paraId="7733698B" w14:textId="77777777" w:rsidR="00BF38BB" w:rsidRDefault="002837D7">
      <w:pPr>
        <w:spacing w:line="360" w:lineRule="auto"/>
        <w:ind w:firstLineChars="200" w:firstLine="420"/>
        <w:rPr>
          <w:bCs/>
          <w:szCs w:val="21"/>
        </w:rPr>
      </w:pPr>
      <w:r>
        <w:rPr>
          <w:rFonts w:hint="eastAsia"/>
          <w:bCs/>
          <w:szCs w:val="21"/>
        </w:rPr>
        <w:t>清算过程中的有关重大事项应及时公告。基金财产清算报告经符合《证券法》规定的会计师事务所审计并由律师事务所出具法律意见书后报中国证监会备案并公告。基金财产清算报告报中国证监会备案后</w:t>
      </w:r>
      <w:r>
        <w:rPr>
          <w:rFonts w:hint="eastAsia"/>
          <w:bCs/>
          <w:szCs w:val="21"/>
        </w:rPr>
        <w:t>5</w:t>
      </w:r>
      <w:r>
        <w:rPr>
          <w:rFonts w:hint="eastAsia"/>
          <w:bCs/>
          <w:szCs w:val="21"/>
        </w:rPr>
        <w:t>个工作日</w:t>
      </w:r>
      <w:r>
        <w:rPr>
          <w:rFonts w:hint="eastAsia"/>
          <w:bCs/>
          <w:szCs w:val="21"/>
        </w:rPr>
        <w:t>内由基金财产清算小组进行公告，基金财产清算小组应当将清算报告登载在规定网站上，并将清算报告提示性公告登载在规定报刊上。</w:t>
      </w:r>
    </w:p>
    <w:p w14:paraId="0A64FFC5" w14:textId="77777777" w:rsidR="00BF38BB" w:rsidRDefault="002837D7">
      <w:pPr>
        <w:spacing w:line="360" w:lineRule="auto"/>
        <w:ind w:firstLineChars="200" w:firstLine="420"/>
        <w:rPr>
          <w:bCs/>
          <w:szCs w:val="21"/>
        </w:rPr>
      </w:pPr>
      <w:r>
        <w:rPr>
          <w:rFonts w:hint="eastAsia"/>
          <w:bCs/>
          <w:szCs w:val="21"/>
        </w:rPr>
        <w:t>10.</w:t>
      </w:r>
      <w:r>
        <w:rPr>
          <w:rFonts w:hint="eastAsia"/>
          <w:bCs/>
          <w:szCs w:val="21"/>
        </w:rPr>
        <w:t>基金财产清算账册及文件的保存</w:t>
      </w:r>
    </w:p>
    <w:p w14:paraId="5FB4EF39" w14:textId="77777777" w:rsidR="00BF38BB" w:rsidRDefault="002837D7">
      <w:pPr>
        <w:spacing w:line="360" w:lineRule="auto"/>
        <w:ind w:firstLineChars="200" w:firstLine="420"/>
        <w:rPr>
          <w:bCs/>
          <w:szCs w:val="21"/>
        </w:rPr>
      </w:pPr>
      <w:r>
        <w:rPr>
          <w:rFonts w:hint="eastAsia"/>
          <w:bCs/>
          <w:szCs w:val="21"/>
        </w:rPr>
        <w:t>基金财产清算账册及有关文件由基金托管人保存，保存期限不低于法律法规规定的最低年限。</w:t>
      </w:r>
    </w:p>
    <w:bookmarkEnd w:id="129"/>
    <w:p w14:paraId="3B4A4290" w14:textId="77777777" w:rsidR="00BF38BB" w:rsidRDefault="002837D7">
      <w:pPr>
        <w:spacing w:line="360" w:lineRule="auto"/>
        <w:ind w:firstLineChars="200" w:firstLine="420"/>
        <w:rPr>
          <w:bCs/>
          <w:szCs w:val="21"/>
        </w:rPr>
      </w:pPr>
      <w:r>
        <w:rPr>
          <w:rFonts w:hint="eastAsia"/>
          <w:bCs/>
          <w:szCs w:val="21"/>
        </w:rPr>
        <w:t>（八）争议解决方式</w:t>
      </w:r>
    </w:p>
    <w:p w14:paraId="2AE85486" w14:textId="77777777" w:rsidR="00BF38BB" w:rsidRDefault="002837D7">
      <w:pPr>
        <w:spacing w:line="360" w:lineRule="auto"/>
        <w:ind w:firstLineChars="200" w:firstLine="420"/>
        <w:rPr>
          <w:bCs/>
          <w:szCs w:val="21"/>
        </w:rPr>
      </w:pPr>
      <w:r>
        <w:rPr>
          <w:rFonts w:hint="eastAsia"/>
          <w:bCs/>
          <w:szCs w:val="21"/>
        </w:rPr>
        <w:t>双方当事人同意，因本协议而产生的或与本协议有关的一切争议，应通过友好协商或者调解解决。托管协议当事人不愿通过协商、调解解决或者协商、调解不成的，应当将争议提交上海国际经济贸易仲裁委员会，根据该会届时有效的仲裁规则进行仲裁，仲裁的地点在上海市，仲裁裁决是</w:t>
      </w:r>
      <w:r>
        <w:rPr>
          <w:rFonts w:hint="eastAsia"/>
          <w:bCs/>
          <w:szCs w:val="21"/>
        </w:rPr>
        <w:t>终局的，并对相关各方当事人均有约束力。除非仲裁裁决另有决定，仲裁费用由败诉方承担。</w:t>
      </w:r>
    </w:p>
    <w:p w14:paraId="2DFF53BA" w14:textId="77777777" w:rsidR="00BF38BB" w:rsidRDefault="002837D7">
      <w:pPr>
        <w:spacing w:line="360" w:lineRule="auto"/>
        <w:ind w:firstLineChars="200" w:firstLine="420"/>
        <w:rPr>
          <w:bCs/>
          <w:szCs w:val="21"/>
        </w:rPr>
      </w:pPr>
      <w:r>
        <w:rPr>
          <w:rFonts w:hint="eastAsia"/>
          <w:bCs/>
          <w:szCs w:val="21"/>
        </w:rPr>
        <w:t>争议处理期间，双方当事人应恪守基金管理人和基金托管人职责，继续忠实、勤勉、尽责地履行《基金合同》和本协议规定的义务，维护基金份额持有人的合法权益。</w:t>
      </w:r>
    </w:p>
    <w:p w14:paraId="373BBF24" w14:textId="77777777" w:rsidR="00BF38BB" w:rsidRDefault="002837D7">
      <w:pPr>
        <w:spacing w:line="360" w:lineRule="auto"/>
        <w:ind w:firstLineChars="200" w:firstLine="420"/>
        <w:rPr>
          <w:bCs/>
          <w:szCs w:val="21"/>
        </w:rPr>
      </w:pPr>
      <w:r>
        <w:rPr>
          <w:rFonts w:hint="eastAsia"/>
          <w:bCs/>
          <w:szCs w:val="21"/>
        </w:rPr>
        <w:t>本协议受中华人民共和国法律（为本协议之目的，在此不包括香港特别行政区、澳门特别行政区和台湾地区法律）管辖。</w:t>
      </w:r>
    </w:p>
    <w:p w14:paraId="0A20A73E" w14:textId="77777777" w:rsidR="00BF38BB" w:rsidRDefault="002837D7">
      <w:pPr>
        <w:pStyle w:val="1"/>
        <w:spacing w:before="340" w:after="330"/>
        <w:jc w:val="center"/>
        <w:rPr>
          <w:rFonts w:hAnsi="宋体"/>
          <w:color w:val="auto"/>
          <w:kern w:val="44"/>
          <w:sz w:val="21"/>
        </w:rPr>
      </w:pPr>
      <w:r>
        <w:rPr>
          <w:rFonts w:hAnsi="宋体"/>
          <w:color w:val="auto"/>
          <w:kern w:val="2"/>
          <w:sz w:val="21"/>
        </w:rPr>
        <w:br w:type="page"/>
      </w:r>
      <w:bookmarkStart w:id="148" w:name="_Toc69916746"/>
      <w:bookmarkEnd w:id="130"/>
      <w:bookmarkEnd w:id="136"/>
      <w:r>
        <w:rPr>
          <w:rFonts w:hAnsi="宋体"/>
          <w:color w:val="auto"/>
          <w:kern w:val="44"/>
          <w:sz w:val="21"/>
        </w:rPr>
        <w:lastRenderedPageBreak/>
        <w:t>二十</w:t>
      </w:r>
      <w:r>
        <w:rPr>
          <w:rFonts w:hAnsi="宋体" w:hint="eastAsia"/>
          <w:color w:val="auto"/>
          <w:kern w:val="44"/>
          <w:sz w:val="21"/>
        </w:rPr>
        <w:t>一</w:t>
      </w:r>
      <w:r>
        <w:rPr>
          <w:rFonts w:hAnsi="宋体"/>
          <w:color w:val="auto"/>
          <w:kern w:val="44"/>
          <w:sz w:val="21"/>
        </w:rPr>
        <w:t>、对基金份额持有人的服务</w:t>
      </w:r>
      <w:bookmarkEnd w:id="144"/>
      <w:bookmarkEnd w:id="145"/>
      <w:bookmarkEnd w:id="146"/>
      <w:bookmarkEnd w:id="148"/>
    </w:p>
    <w:p w14:paraId="21BC9CDD" w14:textId="77777777" w:rsidR="00BF38BB" w:rsidRDefault="002837D7">
      <w:pPr>
        <w:spacing w:line="360" w:lineRule="auto"/>
        <w:ind w:firstLineChars="200" w:firstLine="420"/>
        <w:rPr>
          <w:rFonts w:ascii="宋体" w:hAnsi="宋体"/>
        </w:rPr>
      </w:pPr>
      <w:bookmarkStart w:id="149" w:name="_Toc329187131"/>
      <w:bookmarkStart w:id="150" w:name="_Toc334542970"/>
      <w:bookmarkStart w:id="151" w:name="_Toc334542654"/>
      <w:r>
        <w:rPr>
          <w:rFonts w:ascii="宋体" w:hAnsi="宋体" w:hint="eastAsia"/>
        </w:rPr>
        <w:t>基金管理人承诺为基金份额持有人提供一系列的服务，并将根据基金份额持有人的需要和市场的变化，增加或变更服务项目。主要服务内容如下：</w:t>
      </w:r>
    </w:p>
    <w:p w14:paraId="5BDA8B9F" w14:textId="77777777" w:rsidR="00BF38BB" w:rsidRDefault="002837D7">
      <w:pPr>
        <w:spacing w:line="360" w:lineRule="auto"/>
        <w:ind w:firstLineChars="200" w:firstLine="420"/>
        <w:rPr>
          <w:rFonts w:ascii="宋体" w:hAnsi="宋体"/>
        </w:rPr>
      </w:pPr>
      <w:r>
        <w:rPr>
          <w:rFonts w:ascii="宋体" w:hAnsi="宋体" w:hint="eastAsia"/>
        </w:rPr>
        <w:t>（一）资料寄送</w:t>
      </w:r>
      <w:r>
        <w:rPr>
          <w:rFonts w:ascii="宋体" w:hAnsi="宋体" w:hint="eastAsia"/>
        </w:rPr>
        <w:t>/</w:t>
      </w:r>
      <w:r>
        <w:rPr>
          <w:rFonts w:ascii="宋体" w:hAnsi="宋体" w:hint="eastAsia"/>
        </w:rPr>
        <w:t>发送</w:t>
      </w:r>
    </w:p>
    <w:p w14:paraId="6A2B3B96" w14:textId="77777777" w:rsidR="00BF38BB" w:rsidRDefault="002837D7">
      <w:pPr>
        <w:spacing w:line="360" w:lineRule="auto"/>
        <w:ind w:firstLineChars="200" w:firstLine="420"/>
        <w:rPr>
          <w:rFonts w:ascii="宋体" w:hAnsi="宋体"/>
        </w:rPr>
      </w:pPr>
      <w:r>
        <w:rPr>
          <w:rFonts w:ascii="宋体" w:hAnsi="宋体" w:hint="eastAsia"/>
        </w:rPr>
        <w:t>1</w:t>
      </w:r>
      <w:r>
        <w:rPr>
          <w:rFonts w:ascii="宋体" w:hAnsi="宋体" w:hint="eastAsia"/>
        </w:rPr>
        <w:t>、开户确认书和交易对账单</w:t>
      </w:r>
    </w:p>
    <w:p w14:paraId="1799C7C1" w14:textId="77777777" w:rsidR="00BF38BB" w:rsidRDefault="002837D7">
      <w:pPr>
        <w:spacing w:line="360" w:lineRule="auto"/>
        <w:ind w:firstLineChars="200" w:firstLine="420"/>
        <w:rPr>
          <w:rFonts w:ascii="宋体" w:hAnsi="宋体"/>
        </w:rPr>
      </w:pPr>
      <w:r>
        <w:rPr>
          <w:rFonts w:ascii="宋体" w:hAnsi="宋体" w:hint="eastAsia"/>
        </w:rPr>
        <w:t>首次基金交易（除基金开户外其他交易类型）后的</w:t>
      </w:r>
      <w:r>
        <w:rPr>
          <w:rFonts w:ascii="宋体" w:hAnsi="宋体" w:hint="eastAsia"/>
        </w:rPr>
        <w:t>15</w:t>
      </w:r>
      <w:r>
        <w:rPr>
          <w:rFonts w:ascii="宋体" w:hAnsi="宋体" w:hint="eastAsia"/>
        </w:rPr>
        <w:t>个工作日内向基金份额持有人寄送或邮件发送开户确认书和交易对账单。</w:t>
      </w:r>
    </w:p>
    <w:p w14:paraId="0190FDED" w14:textId="77777777" w:rsidR="00BF38BB" w:rsidRDefault="002837D7">
      <w:pPr>
        <w:spacing w:line="360" w:lineRule="auto"/>
        <w:ind w:firstLineChars="200" w:firstLine="420"/>
        <w:rPr>
          <w:rFonts w:ascii="宋体" w:hAnsi="宋体"/>
        </w:rPr>
      </w:pPr>
      <w:r>
        <w:rPr>
          <w:rFonts w:ascii="宋体" w:hAnsi="宋体" w:hint="eastAsia"/>
        </w:rPr>
        <w:t>2</w:t>
      </w:r>
      <w:r>
        <w:rPr>
          <w:rFonts w:ascii="宋体" w:hAnsi="宋体" w:hint="eastAsia"/>
        </w:rPr>
        <w:t>、基金份额持有人对账单</w:t>
      </w:r>
    </w:p>
    <w:p w14:paraId="326A132A" w14:textId="77777777" w:rsidR="00BF38BB" w:rsidRDefault="002837D7">
      <w:pPr>
        <w:spacing w:line="360" w:lineRule="auto"/>
        <w:ind w:firstLineChars="200" w:firstLine="420"/>
        <w:rPr>
          <w:rFonts w:ascii="宋体" w:hAnsi="宋体"/>
        </w:rPr>
      </w:pPr>
      <w:r>
        <w:rPr>
          <w:rFonts w:ascii="宋体" w:hAnsi="宋体" w:hint="eastAsia"/>
        </w:rPr>
        <w:t>每月向定制电子对账单服务的基金份额持有人发送电子对账单。</w:t>
      </w:r>
    </w:p>
    <w:p w14:paraId="2A6DF03A" w14:textId="77777777" w:rsidR="00BF38BB" w:rsidRDefault="002837D7">
      <w:pPr>
        <w:spacing w:line="360" w:lineRule="auto"/>
        <w:ind w:firstLineChars="200" w:firstLine="420"/>
        <w:rPr>
          <w:rFonts w:ascii="宋体" w:hAnsi="宋体"/>
        </w:rPr>
      </w:pPr>
      <w:r>
        <w:rPr>
          <w:rFonts w:ascii="宋体" w:hAnsi="宋体" w:hint="eastAsia"/>
        </w:rPr>
        <w:t>3</w:t>
      </w:r>
      <w:r>
        <w:rPr>
          <w:rFonts w:ascii="宋体" w:hAnsi="宋体" w:hint="eastAsia"/>
        </w:rPr>
        <w:t>、由于投资者提供的邮寄地址、手机号码、电子邮箱不详、错误、未及时变更或邮局投递差错、通讯故障、延误等原因有可能造成对账单无法按时或准确送达。因上述原因无法正常收取对账单的投资者，敬请及时通过本公司网站，或拨打本公司客服热线查询、核对、变更您的预留联系方式。</w:t>
      </w:r>
    </w:p>
    <w:p w14:paraId="56A5A85D" w14:textId="77777777" w:rsidR="00BF38BB" w:rsidRDefault="002837D7">
      <w:pPr>
        <w:spacing w:line="360" w:lineRule="auto"/>
        <w:ind w:firstLineChars="200" w:firstLine="420"/>
        <w:rPr>
          <w:rFonts w:ascii="宋体" w:hAnsi="宋体"/>
        </w:rPr>
      </w:pPr>
      <w:r>
        <w:rPr>
          <w:rFonts w:ascii="宋体" w:hAnsi="宋体" w:hint="eastAsia"/>
        </w:rPr>
        <w:t>（二）定期定额投资计划</w:t>
      </w:r>
    </w:p>
    <w:p w14:paraId="2C38DE53" w14:textId="77777777" w:rsidR="00BF38BB" w:rsidRDefault="002837D7">
      <w:pPr>
        <w:spacing w:line="360" w:lineRule="auto"/>
        <w:ind w:firstLineChars="200" w:firstLine="420"/>
        <w:rPr>
          <w:rFonts w:ascii="宋体" w:hAnsi="宋体"/>
        </w:rPr>
      </w:pPr>
      <w:r>
        <w:rPr>
          <w:rFonts w:ascii="宋体" w:hAnsi="宋体" w:hint="eastAsia"/>
        </w:rPr>
        <w:t>基金管理人可通过销售机构为投资者提供定期定额投资服务。通过定期定额投资计划，投资者可以通过销售渠道定期定额申购基金份额。定期定额投资计划的有关规则另行公告。</w:t>
      </w:r>
    </w:p>
    <w:p w14:paraId="1CB5F2EB" w14:textId="77777777" w:rsidR="00BF38BB" w:rsidRDefault="002837D7">
      <w:pPr>
        <w:spacing w:line="360" w:lineRule="auto"/>
        <w:ind w:firstLineChars="200" w:firstLine="420"/>
        <w:rPr>
          <w:rFonts w:ascii="宋体" w:hAnsi="宋体"/>
        </w:rPr>
      </w:pPr>
      <w:r>
        <w:rPr>
          <w:rFonts w:ascii="宋体" w:hAnsi="宋体" w:hint="eastAsia"/>
        </w:rPr>
        <w:t>（三）在线服务</w:t>
      </w:r>
    </w:p>
    <w:p w14:paraId="0B34CFE8" w14:textId="77777777" w:rsidR="00BF38BB" w:rsidRDefault="002837D7">
      <w:pPr>
        <w:spacing w:line="360" w:lineRule="auto"/>
        <w:ind w:firstLineChars="200" w:firstLine="420"/>
        <w:rPr>
          <w:rFonts w:ascii="宋体" w:hAnsi="宋体"/>
        </w:rPr>
      </w:pPr>
      <w:r>
        <w:rPr>
          <w:rFonts w:ascii="宋体" w:hAnsi="宋体" w:hint="eastAsia"/>
        </w:rPr>
        <w:t>通过本公司网站</w:t>
      </w:r>
      <w:hyperlink r:id="rId11" w:history="1">
        <w:r>
          <w:rPr>
            <w:rFonts w:hint="eastAsia"/>
          </w:rPr>
          <w:t>www.jsfund.cn</w:t>
        </w:r>
      </w:hyperlink>
      <w:r>
        <w:rPr>
          <w:rFonts w:ascii="宋体" w:hAnsi="宋体" w:hint="eastAsia"/>
        </w:rPr>
        <w:t>，基金份额持有人还可获得如下服务：</w:t>
      </w:r>
    </w:p>
    <w:p w14:paraId="0418A30B" w14:textId="77777777" w:rsidR="00BF38BB" w:rsidRDefault="002837D7">
      <w:pPr>
        <w:spacing w:line="360" w:lineRule="auto"/>
        <w:ind w:firstLineChars="200" w:firstLine="420"/>
        <w:rPr>
          <w:rFonts w:ascii="宋体" w:hAnsi="宋体"/>
        </w:rPr>
      </w:pPr>
      <w:r>
        <w:rPr>
          <w:rFonts w:ascii="宋体" w:hAnsi="宋体" w:hint="eastAsia"/>
        </w:rPr>
        <w:t>1</w:t>
      </w:r>
      <w:r>
        <w:rPr>
          <w:rFonts w:ascii="宋体" w:hAnsi="宋体" w:hint="eastAsia"/>
        </w:rPr>
        <w:t>、查询服务</w:t>
      </w:r>
    </w:p>
    <w:p w14:paraId="40339378" w14:textId="77777777" w:rsidR="00BF38BB" w:rsidRDefault="002837D7">
      <w:pPr>
        <w:spacing w:line="360" w:lineRule="auto"/>
        <w:ind w:firstLineChars="200" w:firstLine="420"/>
        <w:rPr>
          <w:rFonts w:ascii="宋体" w:hAnsi="宋体"/>
        </w:rPr>
      </w:pPr>
      <w:r>
        <w:rPr>
          <w:rFonts w:ascii="宋体" w:hAnsi="宋体" w:hint="eastAsia"/>
        </w:rPr>
        <w:t>基金份额持有人均可通过基金管理人网站实现基金交易查询、账户信息查询和基金信息查询。</w:t>
      </w:r>
    </w:p>
    <w:p w14:paraId="15AD3E75" w14:textId="77777777" w:rsidR="00BF38BB" w:rsidRDefault="002837D7">
      <w:pPr>
        <w:spacing w:line="360" w:lineRule="auto"/>
        <w:ind w:firstLineChars="200" w:firstLine="420"/>
        <w:rPr>
          <w:rFonts w:ascii="宋体" w:hAnsi="宋体"/>
        </w:rPr>
      </w:pPr>
      <w:r>
        <w:rPr>
          <w:rFonts w:ascii="宋体" w:hAnsi="宋体" w:hint="eastAsia"/>
        </w:rPr>
        <w:t>2</w:t>
      </w:r>
      <w:r>
        <w:rPr>
          <w:rFonts w:ascii="宋体" w:hAnsi="宋体" w:hint="eastAsia"/>
        </w:rPr>
        <w:t>、信息资讯服务</w:t>
      </w:r>
    </w:p>
    <w:p w14:paraId="3241DC81" w14:textId="77777777" w:rsidR="00BF38BB" w:rsidRDefault="002837D7">
      <w:pPr>
        <w:spacing w:line="360" w:lineRule="auto"/>
        <w:ind w:firstLineChars="200" w:firstLine="420"/>
        <w:rPr>
          <w:rFonts w:ascii="宋体" w:hAnsi="宋体"/>
        </w:rPr>
      </w:pPr>
      <w:r>
        <w:rPr>
          <w:rFonts w:ascii="宋体" w:hAnsi="宋体" w:hint="eastAsia"/>
        </w:rPr>
        <w:t>投资者可以利用基金管理人网站获取基金和基金管理人</w:t>
      </w:r>
      <w:r>
        <w:rPr>
          <w:rFonts w:ascii="宋体" w:hAnsi="宋体" w:hint="eastAsia"/>
        </w:rPr>
        <w:t>的各类信息，包括基金的法律文件、业绩报告及基金管理人最新动态等资料。</w:t>
      </w:r>
    </w:p>
    <w:p w14:paraId="23B51E13" w14:textId="77777777" w:rsidR="00BF38BB" w:rsidRDefault="002837D7">
      <w:pPr>
        <w:spacing w:line="360" w:lineRule="auto"/>
        <w:ind w:firstLineChars="200" w:firstLine="420"/>
        <w:rPr>
          <w:rFonts w:ascii="宋体" w:hAnsi="宋体"/>
        </w:rPr>
      </w:pPr>
      <w:r>
        <w:rPr>
          <w:rFonts w:ascii="宋体" w:hAnsi="宋体" w:hint="eastAsia"/>
        </w:rPr>
        <w:t>3</w:t>
      </w:r>
      <w:r>
        <w:rPr>
          <w:rFonts w:ascii="宋体" w:hAnsi="宋体" w:hint="eastAsia"/>
        </w:rPr>
        <w:t>、网上交易</w:t>
      </w:r>
    </w:p>
    <w:p w14:paraId="764F973D" w14:textId="77777777" w:rsidR="00BF38BB" w:rsidRDefault="002837D7">
      <w:pPr>
        <w:spacing w:line="360" w:lineRule="auto"/>
        <w:ind w:firstLineChars="200" w:firstLine="420"/>
        <w:rPr>
          <w:rFonts w:ascii="宋体" w:hAnsi="宋体"/>
        </w:rPr>
      </w:pPr>
      <w:r>
        <w:rPr>
          <w:rFonts w:ascii="宋体" w:hAnsi="宋体" w:hint="eastAsia"/>
        </w:rPr>
        <w:t>本基金管理人已开通个人和机构投资者的网上直销交易业务。个人和机构投资者通过基金管理人网站</w:t>
      </w:r>
      <w:hyperlink r:id="rId12" w:history="1">
        <w:r>
          <w:rPr>
            <w:rFonts w:hint="eastAsia"/>
          </w:rPr>
          <w:t>www.jsfund.cn</w:t>
        </w:r>
      </w:hyperlink>
      <w:r>
        <w:rPr>
          <w:rFonts w:ascii="宋体" w:hAnsi="宋体"/>
        </w:rPr>
        <w:t xml:space="preserve"> </w:t>
      </w:r>
      <w:r>
        <w:rPr>
          <w:rFonts w:ascii="宋体" w:hAnsi="宋体" w:hint="eastAsia"/>
        </w:rPr>
        <w:t>可以办理基金认购、申购、赎回、账户资料修改、交易密码修改、交易申请查询和账户资料查询等各类业务。</w:t>
      </w:r>
      <w:r>
        <w:rPr>
          <w:rFonts w:ascii="宋体" w:hAnsi="宋体" w:hint="eastAsia"/>
        </w:rPr>
        <w:t> </w:t>
      </w:r>
    </w:p>
    <w:p w14:paraId="666A0548" w14:textId="77777777" w:rsidR="00BF38BB" w:rsidRDefault="002837D7">
      <w:pPr>
        <w:spacing w:line="360" w:lineRule="auto"/>
        <w:ind w:firstLineChars="200" w:firstLine="420"/>
        <w:rPr>
          <w:rFonts w:ascii="宋体" w:hAnsi="宋体"/>
        </w:rPr>
      </w:pPr>
      <w:r>
        <w:rPr>
          <w:rFonts w:ascii="宋体" w:hAnsi="宋体" w:hint="eastAsia"/>
        </w:rPr>
        <w:t>（四）咨询服务</w:t>
      </w:r>
    </w:p>
    <w:p w14:paraId="0C597A65" w14:textId="77777777" w:rsidR="00BF38BB" w:rsidRDefault="002837D7">
      <w:pPr>
        <w:spacing w:line="360" w:lineRule="auto"/>
        <w:ind w:firstLineChars="200" w:firstLine="420"/>
        <w:rPr>
          <w:rFonts w:ascii="宋体" w:hAnsi="宋体"/>
        </w:rPr>
      </w:pPr>
      <w:r>
        <w:rPr>
          <w:rFonts w:ascii="宋体" w:hAnsi="宋体" w:hint="eastAsia"/>
        </w:rPr>
        <w:t>1</w:t>
      </w:r>
      <w:r>
        <w:rPr>
          <w:rFonts w:ascii="宋体" w:hAnsi="宋体" w:hint="eastAsia"/>
        </w:rPr>
        <w:t>、投资者或基金份额持有人如果想了解申购与赎回的交易情况、基金账户余额、基金产品与服务等信息，可拨打基金管理人全国统一客服</w:t>
      </w:r>
      <w:r>
        <w:rPr>
          <w:rFonts w:ascii="宋体" w:hAnsi="宋体" w:hint="eastAsia"/>
        </w:rPr>
        <w:t>电话：</w:t>
      </w:r>
      <w:r>
        <w:rPr>
          <w:rFonts w:ascii="宋体" w:hAnsi="宋体" w:hint="eastAsia"/>
        </w:rPr>
        <w:t>400-600-8800</w:t>
      </w:r>
      <w:r>
        <w:rPr>
          <w:rFonts w:ascii="宋体" w:hAnsi="宋体" w:hint="eastAsia"/>
        </w:rPr>
        <w:t>（免长途话费）、</w:t>
      </w:r>
      <w:r>
        <w:rPr>
          <w:rFonts w:ascii="宋体" w:hAnsi="宋体" w:hint="eastAsia"/>
        </w:rPr>
        <w:t>(010)85712266</w:t>
      </w:r>
      <w:r>
        <w:rPr>
          <w:rFonts w:ascii="宋体" w:hAnsi="宋体" w:hint="eastAsia"/>
        </w:rPr>
        <w:t>，传真：（</w:t>
      </w:r>
      <w:r>
        <w:rPr>
          <w:rFonts w:ascii="宋体" w:hAnsi="宋体" w:hint="eastAsia"/>
        </w:rPr>
        <w:t>010</w:t>
      </w:r>
      <w:r>
        <w:rPr>
          <w:rFonts w:ascii="宋体" w:hAnsi="宋体" w:hint="eastAsia"/>
        </w:rPr>
        <w:t>）</w:t>
      </w:r>
      <w:r>
        <w:rPr>
          <w:rFonts w:ascii="宋体" w:hAnsi="宋体" w:hint="eastAsia"/>
        </w:rPr>
        <w:lastRenderedPageBreak/>
        <w:t>65215577</w:t>
      </w:r>
      <w:r>
        <w:rPr>
          <w:rFonts w:ascii="宋体" w:hAnsi="宋体" w:hint="eastAsia"/>
        </w:rPr>
        <w:t>。</w:t>
      </w:r>
    </w:p>
    <w:p w14:paraId="5FB922FF" w14:textId="77777777" w:rsidR="00BF38BB" w:rsidRDefault="002837D7">
      <w:pPr>
        <w:spacing w:line="360" w:lineRule="auto"/>
        <w:ind w:firstLineChars="200" w:firstLine="420"/>
        <w:rPr>
          <w:rFonts w:ascii="宋体" w:hAnsi="宋体"/>
        </w:rPr>
      </w:pPr>
      <w:r>
        <w:rPr>
          <w:rFonts w:ascii="宋体" w:hAnsi="宋体" w:hint="eastAsia"/>
        </w:rPr>
        <w:t>2</w:t>
      </w:r>
      <w:r>
        <w:rPr>
          <w:rFonts w:ascii="宋体" w:hAnsi="宋体" w:hint="eastAsia"/>
        </w:rPr>
        <w:t>、网站和电子信箱</w:t>
      </w:r>
    </w:p>
    <w:p w14:paraId="5C807437" w14:textId="77777777" w:rsidR="00BF38BB" w:rsidRDefault="002837D7">
      <w:pPr>
        <w:spacing w:line="360" w:lineRule="auto"/>
        <w:ind w:firstLineChars="200" w:firstLine="420"/>
        <w:rPr>
          <w:rFonts w:ascii="宋体" w:hAnsi="宋体"/>
        </w:rPr>
      </w:pPr>
      <w:r>
        <w:rPr>
          <w:rFonts w:ascii="宋体" w:hAnsi="宋体" w:hint="eastAsia"/>
        </w:rPr>
        <w:t>公司网址：</w:t>
      </w:r>
      <w:hyperlink r:id="rId13" w:history="1">
        <w:r>
          <w:rPr>
            <w:rFonts w:hint="eastAsia"/>
          </w:rPr>
          <w:t>http://www.jsfund.cn</w:t>
        </w:r>
      </w:hyperlink>
      <w:r>
        <w:rPr>
          <w:rFonts w:ascii="宋体" w:hAnsi="宋体"/>
        </w:rPr>
        <w:t xml:space="preserve"> </w:t>
      </w:r>
    </w:p>
    <w:p w14:paraId="46F74B2E" w14:textId="77777777" w:rsidR="00BF38BB" w:rsidRDefault="002837D7">
      <w:pPr>
        <w:spacing w:line="360" w:lineRule="auto"/>
        <w:ind w:firstLineChars="200" w:firstLine="420"/>
        <w:rPr>
          <w:rFonts w:ascii="宋体" w:hAnsi="宋体"/>
        </w:rPr>
      </w:pPr>
      <w:r>
        <w:rPr>
          <w:rFonts w:ascii="宋体" w:hAnsi="宋体" w:hint="eastAsia"/>
        </w:rPr>
        <w:t>电子信箱：</w:t>
      </w:r>
      <w:hyperlink r:id="rId14" w:history="1">
        <w:r>
          <w:rPr>
            <w:rFonts w:hint="eastAsia"/>
          </w:rPr>
          <w:t>service@jsfund.cn</w:t>
        </w:r>
      </w:hyperlink>
      <w:r>
        <w:rPr>
          <w:rFonts w:ascii="宋体" w:hAnsi="宋体"/>
        </w:rPr>
        <w:t xml:space="preserve"> </w:t>
      </w:r>
    </w:p>
    <w:p w14:paraId="180BFE74" w14:textId="77777777" w:rsidR="00BF38BB" w:rsidRDefault="002837D7">
      <w:pPr>
        <w:autoSpaceDE w:val="0"/>
        <w:autoSpaceDN w:val="0"/>
        <w:adjustRightInd w:val="0"/>
        <w:spacing w:line="360" w:lineRule="auto"/>
        <w:ind w:firstLine="315"/>
        <w:jc w:val="left"/>
        <w:rPr>
          <w:rFonts w:ascii="宋体" w:hAnsi="宋体"/>
          <w:color w:val="000000"/>
          <w:kern w:val="0"/>
        </w:rPr>
      </w:pPr>
      <w:r>
        <w:rPr>
          <w:rFonts w:ascii="宋体" w:hAnsi="宋体"/>
          <w:color w:val="000000"/>
          <w:kern w:val="0"/>
        </w:rPr>
        <w:t xml:space="preserve"> </w:t>
      </w:r>
    </w:p>
    <w:p w14:paraId="1F2D5A58" w14:textId="77777777" w:rsidR="00BF38BB" w:rsidRDefault="002837D7">
      <w:pPr>
        <w:spacing w:line="360" w:lineRule="auto"/>
        <w:ind w:firstLineChars="200" w:firstLine="420"/>
        <w:rPr>
          <w:rFonts w:ascii="宋体" w:hAnsi="宋体"/>
        </w:rPr>
      </w:pPr>
      <w:r>
        <w:rPr>
          <w:rFonts w:ascii="宋体" w:hAnsi="宋体"/>
        </w:rPr>
        <w:t xml:space="preserve"> </w:t>
      </w:r>
    </w:p>
    <w:p w14:paraId="29EFB045"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152" w:name="_Toc69916747"/>
      <w:r>
        <w:rPr>
          <w:rFonts w:hAnsi="宋体"/>
          <w:color w:val="auto"/>
          <w:kern w:val="44"/>
          <w:sz w:val="21"/>
        </w:rPr>
        <w:lastRenderedPageBreak/>
        <w:t>二十</w:t>
      </w:r>
      <w:r>
        <w:rPr>
          <w:rFonts w:hAnsi="宋体" w:hint="eastAsia"/>
          <w:color w:val="auto"/>
          <w:kern w:val="44"/>
          <w:sz w:val="21"/>
        </w:rPr>
        <w:t>二</w:t>
      </w:r>
      <w:r>
        <w:rPr>
          <w:rFonts w:hAnsi="宋体"/>
          <w:color w:val="auto"/>
          <w:kern w:val="44"/>
          <w:sz w:val="21"/>
        </w:rPr>
        <w:t>、其他应披露事项</w:t>
      </w:r>
      <w:bookmarkEnd w:id="152"/>
    </w:p>
    <w:p w14:paraId="6B4A19C9" w14:textId="77777777" w:rsidR="00BF38BB" w:rsidRDefault="002837D7">
      <w:pPr>
        <w:spacing w:line="360" w:lineRule="auto"/>
        <w:ind w:firstLineChars="200" w:firstLine="420"/>
        <w:rPr>
          <w:rFonts w:ascii="宋体" w:cs="宋体"/>
          <w:color w:val="000000"/>
          <w:kern w:val="0"/>
          <w:szCs w:val="21"/>
        </w:rPr>
      </w:pPr>
      <w:r>
        <w:rPr>
          <w:rFonts w:ascii="宋体" w:cs="宋体" w:hint="eastAsia"/>
          <w:color w:val="000000"/>
          <w:kern w:val="0"/>
          <w:szCs w:val="21"/>
        </w:rPr>
        <w:t>无</w:t>
      </w:r>
      <w:r>
        <w:rPr>
          <w:rFonts w:ascii="宋体" w:cs="宋体"/>
          <w:color w:val="000000"/>
          <w:kern w:val="0"/>
          <w:szCs w:val="21"/>
        </w:rPr>
        <w:t>。</w:t>
      </w:r>
    </w:p>
    <w:p w14:paraId="14CC223E" w14:textId="77777777" w:rsidR="00BF38BB" w:rsidRDefault="002837D7">
      <w:pPr>
        <w:pStyle w:val="1"/>
        <w:spacing w:before="340" w:after="330"/>
        <w:jc w:val="center"/>
        <w:rPr>
          <w:rFonts w:hAnsi="宋体"/>
          <w:color w:val="auto"/>
          <w:kern w:val="44"/>
          <w:sz w:val="21"/>
        </w:rPr>
      </w:pPr>
      <w:r>
        <w:rPr>
          <w:rFonts w:hAnsi="宋体"/>
          <w:color w:val="auto"/>
          <w:kern w:val="44"/>
          <w:sz w:val="21"/>
        </w:rPr>
        <w:br w:type="page"/>
      </w:r>
      <w:bookmarkStart w:id="153" w:name="_Toc69916748"/>
      <w:r>
        <w:rPr>
          <w:rFonts w:hAnsi="宋体"/>
          <w:color w:val="auto"/>
          <w:kern w:val="44"/>
          <w:sz w:val="21"/>
        </w:rPr>
        <w:lastRenderedPageBreak/>
        <w:t>二十</w:t>
      </w:r>
      <w:r>
        <w:rPr>
          <w:rFonts w:hAnsi="宋体" w:hint="eastAsia"/>
          <w:color w:val="auto"/>
          <w:kern w:val="44"/>
          <w:sz w:val="21"/>
        </w:rPr>
        <w:t>三</w:t>
      </w:r>
      <w:r>
        <w:rPr>
          <w:rFonts w:hAnsi="宋体"/>
          <w:color w:val="auto"/>
          <w:kern w:val="44"/>
          <w:sz w:val="21"/>
        </w:rPr>
        <w:t>、招募说明书存放及查阅方式</w:t>
      </w:r>
      <w:bookmarkEnd w:id="126"/>
      <w:bookmarkEnd w:id="127"/>
      <w:bookmarkEnd w:id="149"/>
      <w:bookmarkEnd w:id="150"/>
      <w:bookmarkEnd w:id="151"/>
      <w:bookmarkEnd w:id="153"/>
    </w:p>
    <w:p w14:paraId="764A5F7D" w14:textId="77777777" w:rsidR="00BF38BB" w:rsidRDefault="002837D7">
      <w:pPr>
        <w:spacing w:line="360" w:lineRule="auto"/>
        <w:ind w:firstLineChars="200" w:firstLine="420"/>
        <w:rPr>
          <w:rFonts w:ascii="宋体" w:hAnsi="宋体"/>
        </w:rPr>
      </w:pPr>
      <w:r>
        <w:rPr>
          <w:rFonts w:ascii="宋体" w:hAnsi="宋体"/>
        </w:rPr>
        <w:t>本基金招募说明书公布后，分别置备于基金管理人、基金托管人和基金</w:t>
      </w:r>
      <w:r>
        <w:rPr>
          <w:rFonts w:ascii="宋体" w:hAnsi="宋体" w:hint="eastAsia"/>
        </w:rPr>
        <w:t>销售</w:t>
      </w:r>
      <w:r>
        <w:rPr>
          <w:rFonts w:ascii="宋体" w:hAnsi="宋体"/>
        </w:rPr>
        <w:t>机构的住所，投资者可免费查阅。投资者在支付工本费后，可在合理时间内取得上述文件复印件。</w:t>
      </w:r>
    </w:p>
    <w:p w14:paraId="1E3E3CBE" w14:textId="77777777" w:rsidR="00BF38BB" w:rsidRDefault="002837D7">
      <w:pPr>
        <w:pStyle w:val="1"/>
        <w:spacing w:before="340" w:after="330"/>
        <w:jc w:val="center"/>
        <w:rPr>
          <w:rFonts w:hAnsi="宋体"/>
          <w:bCs/>
          <w:color w:val="auto"/>
          <w:kern w:val="44"/>
          <w:sz w:val="21"/>
          <w:szCs w:val="21"/>
        </w:rPr>
      </w:pPr>
      <w:bookmarkStart w:id="154" w:name="_Toc329187132"/>
      <w:bookmarkStart w:id="155" w:name="_Toc530223199"/>
      <w:bookmarkStart w:id="156" w:name="_Toc334542655"/>
      <w:bookmarkStart w:id="157" w:name="_Toc525454771"/>
      <w:bookmarkStart w:id="158" w:name="_Toc63171765"/>
      <w:bookmarkStart w:id="159" w:name="_Toc334542971"/>
      <w:r>
        <w:rPr>
          <w:rFonts w:hAnsi="宋体"/>
          <w:color w:val="auto"/>
          <w:kern w:val="44"/>
          <w:sz w:val="21"/>
        </w:rPr>
        <w:br w:type="page"/>
      </w:r>
      <w:bookmarkStart w:id="160" w:name="_Toc50650807"/>
      <w:bookmarkStart w:id="161" w:name="_Toc69916749"/>
      <w:r>
        <w:rPr>
          <w:rFonts w:hAnsi="宋体" w:hint="eastAsia"/>
          <w:bCs/>
          <w:color w:val="auto"/>
          <w:kern w:val="44"/>
          <w:sz w:val="21"/>
          <w:szCs w:val="21"/>
        </w:rPr>
        <w:lastRenderedPageBreak/>
        <w:t>二十四、备查文件</w:t>
      </w:r>
      <w:bookmarkEnd w:id="160"/>
    </w:p>
    <w:p w14:paraId="54AD0217" w14:textId="77777777" w:rsidR="00BF38BB" w:rsidRDefault="002837D7">
      <w:pPr>
        <w:spacing w:line="360" w:lineRule="auto"/>
        <w:rPr>
          <w:rFonts w:ascii="宋体" w:hAnsi="宋体"/>
          <w:b/>
          <w:bCs/>
          <w:szCs w:val="21"/>
        </w:rPr>
      </w:pPr>
      <w:r>
        <w:rPr>
          <w:rFonts w:ascii="宋体" w:hAnsi="宋体" w:hint="eastAsia"/>
          <w:b/>
          <w:bCs/>
          <w:szCs w:val="21"/>
        </w:rPr>
        <w:t>（一）备查文件目录</w:t>
      </w:r>
    </w:p>
    <w:p w14:paraId="0C36079F" w14:textId="77777777" w:rsidR="00BF38BB" w:rsidRDefault="002837D7">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、中国证监会准予嘉实中证</w:t>
      </w:r>
      <w:r>
        <w:rPr>
          <w:rFonts w:ascii="宋体" w:hAnsi="宋体" w:hint="eastAsia"/>
          <w:szCs w:val="21"/>
        </w:rPr>
        <w:t>800</w:t>
      </w:r>
      <w:r>
        <w:rPr>
          <w:rFonts w:ascii="宋体" w:hAnsi="宋体" w:hint="eastAsia"/>
          <w:szCs w:val="21"/>
        </w:rPr>
        <w:t>指数增强型证券投资基金注册的批复文件。</w:t>
      </w:r>
    </w:p>
    <w:p w14:paraId="0FCF1B62" w14:textId="77777777" w:rsidR="00BF38BB" w:rsidRDefault="002837D7">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、《嘉实中证</w:t>
      </w:r>
      <w:r>
        <w:rPr>
          <w:rFonts w:ascii="宋体" w:hAnsi="宋体" w:hint="eastAsia"/>
          <w:szCs w:val="21"/>
        </w:rPr>
        <w:t>800</w:t>
      </w:r>
      <w:r>
        <w:rPr>
          <w:rFonts w:ascii="宋体" w:hAnsi="宋体" w:hint="eastAsia"/>
          <w:szCs w:val="21"/>
        </w:rPr>
        <w:t>指数增强型证券投资基金基金合同》。</w:t>
      </w:r>
    </w:p>
    <w:p w14:paraId="175A300F" w14:textId="77777777" w:rsidR="00BF38BB" w:rsidRDefault="002837D7">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、《嘉实中证</w:t>
      </w:r>
      <w:r>
        <w:rPr>
          <w:rFonts w:ascii="宋体" w:hAnsi="宋体" w:hint="eastAsia"/>
          <w:szCs w:val="21"/>
        </w:rPr>
        <w:t>800</w:t>
      </w:r>
      <w:r>
        <w:rPr>
          <w:rFonts w:ascii="宋体" w:hAnsi="宋体" w:hint="eastAsia"/>
          <w:szCs w:val="21"/>
        </w:rPr>
        <w:t>指数增强型证券投资基金托管协议》。</w:t>
      </w:r>
    </w:p>
    <w:p w14:paraId="79F25E6D" w14:textId="77777777" w:rsidR="00BF38BB" w:rsidRDefault="002837D7">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、法律意见书。</w:t>
      </w:r>
    </w:p>
    <w:p w14:paraId="621D7787" w14:textId="77777777" w:rsidR="00BF38BB" w:rsidRDefault="002837D7">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、基金管理人业务资格批件、营业执照。</w:t>
      </w:r>
    </w:p>
    <w:p w14:paraId="1F7F60AB" w14:textId="77777777" w:rsidR="00BF38BB" w:rsidRDefault="002837D7">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、基金托管人业务资格批件、营业执照。</w:t>
      </w:r>
    </w:p>
    <w:p w14:paraId="74AC45CD" w14:textId="77777777" w:rsidR="00BF38BB" w:rsidRDefault="002837D7">
      <w:pPr>
        <w:spacing w:line="360" w:lineRule="auto"/>
        <w:rPr>
          <w:rFonts w:ascii="宋体" w:hAnsi="宋体"/>
          <w:b/>
          <w:bCs/>
          <w:szCs w:val="21"/>
        </w:rPr>
      </w:pPr>
      <w:r>
        <w:rPr>
          <w:rFonts w:ascii="宋体" w:hAnsi="宋体" w:hint="eastAsia"/>
          <w:b/>
          <w:bCs/>
          <w:szCs w:val="21"/>
        </w:rPr>
        <w:t>（二）存放地点</w:t>
      </w:r>
    </w:p>
    <w:p w14:paraId="0FFEC6D5" w14:textId="77777777" w:rsidR="00BF38BB" w:rsidRDefault="002837D7">
      <w:pPr>
        <w:tabs>
          <w:tab w:val="left" w:pos="3780"/>
        </w:tabs>
        <w:autoSpaceDE w:val="0"/>
        <w:autoSpaceDN w:val="0"/>
        <w:adjustRightInd w:val="0"/>
        <w:spacing w:line="360" w:lineRule="auto"/>
        <w:ind w:firstLine="420"/>
        <w:rPr>
          <w:rFonts w:ascii="宋体" w:hAnsi="宋体"/>
          <w:szCs w:val="21"/>
        </w:rPr>
      </w:pPr>
      <w:r>
        <w:rPr>
          <w:rFonts w:ascii="宋体" w:hAnsi="宋体" w:hint="eastAsia"/>
          <w:szCs w:val="21"/>
        </w:rPr>
        <w:t>备查文件存放于基金管理人和</w:t>
      </w:r>
      <w:r>
        <w:rPr>
          <w:rFonts w:ascii="宋体" w:hAnsi="宋体"/>
          <w:szCs w:val="21"/>
        </w:rPr>
        <w:t>/</w:t>
      </w:r>
      <w:r>
        <w:rPr>
          <w:rFonts w:ascii="宋体" w:hAnsi="宋体" w:hint="eastAsia"/>
          <w:szCs w:val="21"/>
        </w:rPr>
        <w:t>或基金托管人处。</w:t>
      </w:r>
    </w:p>
    <w:p w14:paraId="3C1E8882" w14:textId="77777777" w:rsidR="00BF38BB" w:rsidRDefault="002837D7">
      <w:pPr>
        <w:spacing w:line="360" w:lineRule="auto"/>
        <w:rPr>
          <w:rFonts w:ascii="宋体" w:hAnsi="宋体"/>
          <w:b/>
          <w:bCs/>
          <w:szCs w:val="21"/>
        </w:rPr>
      </w:pPr>
      <w:r>
        <w:rPr>
          <w:rFonts w:ascii="宋体" w:hAnsi="宋体" w:hint="eastAsia"/>
          <w:b/>
          <w:bCs/>
          <w:szCs w:val="21"/>
        </w:rPr>
        <w:t>（三）查阅方式</w:t>
      </w:r>
    </w:p>
    <w:p w14:paraId="7A67C6BA" w14:textId="77777777" w:rsidR="00BF38BB" w:rsidRDefault="002837D7">
      <w:pPr>
        <w:tabs>
          <w:tab w:val="left" w:pos="3780"/>
        </w:tabs>
        <w:autoSpaceDE w:val="0"/>
        <w:autoSpaceDN w:val="0"/>
        <w:adjustRightInd w:val="0"/>
        <w:spacing w:line="360" w:lineRule="auto"/>
        <w:ind w:firstLine="420"/>
        <w:rPr>
          <w:rFonts w:ascii="宋体" w:hAnsi="宋体"/>
          <w:szCs w:val="21"/>
        </w:rPr>
      </w:pPr>
      <w:r>
        <w:rPr>
          <w:rFonts w:ascii="宋体" w:hAnsi="宋体" w:hint="eastAsia"/>
          <w:szCs w:val="21"/>
        </w:rPr>
        <w:t>投资者可在营业时间免费查阅备查文件。在支付工本费后，可在合理时间内取得备查文件的复制件或复印件。</w:t>
      </w:r>
    </w:p>
    <w:p w14:paraId="7A3FD629" w14:textId="77777777" w:rsidR="00BF38BB" w:rsidRDefault="00BF38BB">
      <w:pPr>
        <w:tabs>
          <w:tab w:val="left" w:pos="3780"/>
        </w:tabs>
        <w:autoSpaceDE w:val="0"/>
        <w:autoSpaceDN w:val="0"/>
        <w:adjustRightInd w:val="0"/>
        <w:spacing w:line="360" w:lineRule="auto"/>
        <w:ind w:firstLine="420"/>
        <w:rPr>
          <w:rFonts w:ascii="宋体" w:hAnsi="宋体"/>
          <w:szCs w:val="21"/>
        </w:rPr>
      </w:pPr>
    </w:p>
    <w:p w14:paraId="7E07E830" w14:textId="77777777" w:rsidR="00BF38BB" w:rsidRDefault="002837D7">
      <w:pPr>
        <w:autoSpaceDE w:val="0"/>
        <w:autoSpaceDN w:val="0"/>
        <w:adjustRightInd w:val="0"/>
        <w:spacing w:line="360" w:lineRule="auto"/>
        <w:ind w:firstLineChars="200" w:firstLine="420"/>
        <w:jc w:val="right"/>
        <w:rPr>
          <w:rFonts w:ascii="宋体" w:hAnsi="宋体"/>
          <w:szCs w:val="21"/>
        </w:rPr>
      </w:pPr>
      <w:r>
        <w:rPr>
          <w:rFonts w:ascii="宋体" w:hAnsi="宋体" w:hint="eastAsia"/>
          <w:szCs w:val="21"/>
        </w:rPr>
        <w:t>嘉实基金管理有限公司</w:t>
      </w:r>
    </w:p>
    <w:p w14:paraId="10637F0A" w14:textId="77777777" w:rsidR="00BF38BB" w:rsidRDefault="002837D7">
      <w:pPr>
        <w:autoSpaceDE w:val="0"/>
        <w:autoSpaceDN w:val="0"/>
        <w:adjustRightInd w:val="0"/>
        <w:spacing w:line="360" w:lineRule="auto"/>
        <w:ind w:firstLineChars="200" w:firstLine="420"/>
        <w:jc w:val="right"/>
        <w:rPr>
          <w:lang w:eastAsia="zh-Hans"/>
        </w:rPr>
      </w:pPr>
      <w:r>
        <w:rPr>
          <w:rFonts w:ascii="宋体" w:hAnsi="宋体"/>
          <w:szCs w:val="21"/>
        </w:rPr>
        <w:t xml:space="preserve">  </w:t>
      </w:r>
      <w:bookmarkEnd w:id="154"/>
      <w:bookmarkEnd w:id="155"/>
      <w:bookmarkEnd w:id="156"/>
      <w:bookmarkEnd w:id="157"/>
      <w:bookmarkEnd w:id="158"/>
      <w:bookmarkEnd w:id="159"/>
      <w:bookmarkEnd w:id="161"/>
      <w:r>
        <w:rPr>
          <w:rFonts w:ascii="宋体" w:hAnsi="宋体"/>
          <w:szCs w:val="21"/>
        </w:rPr>
        <w:t>2026</w:t>
      </w:r>
      <w:r>
        <w:rPr>
          <w:rFonts w:ascii="宋体" w:hAnsi="宋体" w:hint="eastAsia"/>
          <w:szCs w:val="21"/>
        </w:rPr>
        <w:t>年</w:t>
      </w:r>
      <w:r>
        <w:rPr>
          <w:rFonts w:ascii="宋体" w:hAnsi="宋体"/>
          <w:szCs w:val="21"/>
        </w:rPr>
        <w:t>6</w:t>
      </w:r>
      <w:r>
        <w:rPr>
          <w:rFonts w:ascii="宋体" w:hAnsi="宋体" w:hint="eastAsia"/>
          <w:szCs w:val="21"/>
        </w:rPr>
        <w:t>月</w:t>
      </w:r>
      <w:r>
        <w:rPr>
          <w:rFonts w:ascii="宋体" w:hAnsi="宋体"/>
          <w:szCs w:val="21"/>
        </w:rPr>
        <w:t>27</w:t>
      </w:r>
      <w:r>
        <w:rPr>
          <w:rFonts w:ascii="宋体" w:hAnsi="宋体" w:hint="eastAsia"/>
          <w:szCs w:val="21"/>
        </w:rPr>
        <w:t>日</w:t>
      </w:r>
      <w:bookmarkStart w:id="162" w:name="_Toc435538201"/>
      <w:bookmarkStart w:id="163" w:name="_Toc510201001"/>
      <w:bookmarkStart w:id="164" w:name="_Toc435537850"/>
      <w:bookmarkStart w:id="165" w:name="_Toc435537894"/>
      <w:bookmarkStart w:id="166" w:name="_Toc436040501"/>
      <w:bookmarkStart w:id="167" w:name="_Toc435538034"/>
      <w:bookmarkStart w:id="168" w:name="_Toc435716465"/>
      <w:bookmarkEnd w:id="162"/>
      <w:bookmarkEnd w:id="163"/>
      <w:bookmarkEnd w:id="164"/>
      <w:bookmarkEnd w:id="165"/>
      <w:bookmarkEnd w:id="166"/>
      <w:bookmarkEnd w:id="167"/>
      <w:bookmarkEnd w:id="168"/>
    </w:p>
    <w:sectPr w:rsidR="00BF38BB">
      <w:headerReference w:type="default" r:id="rId15"/>
      <w:footerReference w:type="default" r:id="rId16"/>
      <w:pgSz w:w="11907" w:h="16839"/>
      <w:pgMar w:top="1440" w:right="1080" w:bottom="1440" w:left="108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3D960" w14:textId="77777777" w:rsidR="002837D7" w:rsidRDefault="002837D7">
      <w:r>
        <w:separator/>
      </w:r>
    </w:p>
  </w:endnote>
  <w:endnote w:type="continuationSeparator" w:id="0">
    <w:p w14:paraId="21D394BA" w14:textId="77777777" w:rsidR="002837D7" w:rsidRDefault="0028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长城仿宋">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1E73" w14:textId="77777777" w:rsidR="00BF38BB" w:rsidRDefault="00BF38BB">
    <w:pPr>
      <w:pStyle w:val="af2"/>
      <w:jc w:val="center"/>
    </w:pPr>
  </w:p>
  <w:p w14:paraId="27FEE4EA" w14:textId="77777777" w:rsidR="00BF38BB" w:rsidRDefault="00BF38BB">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7C5C" w14:textId="4B8DA1CF" w:rsidR="00BF38BB" w:rsidRDefault="002837D7">
    <w:pPr>
      <w:jc w:val="cente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A360CE">
      <w:rPr>
        <w:noProof/>
        <w:sz w:val="18"/>
        <w:szCs w:val="18"/>
      </w:rPr>
      <w:t>11</w:t>
    </w:r>
    <w:r>
      <w:rPr>
        <w:rFonts w:hint="eastAsia"/>
        <w:sz w:val="18"/>
        <w:szCs w:val="18"/>
      </w:rPr>
      <w:fldChar w:fldCharType="end"/>
    </w:r>
    <w:r>
      <w:rPr>
        <w:rFonts w:hint="eastAsia"/>
        <w:sz w:val="18"/>
        <w:szCs w:val="18"/>
        <w:lang w:val="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71B8A" w14:textId="77777777" w:rsidR="002837D7" w:rsidRDefault="002837D7">
      <w:r>
        <w:separator/>
      </w:r>
    </w:p>
  </w:footnote>
  <w:footnote w:type="continuationSeparator" w:id="0">
    <w:p w14:paraId="2881F574" w14:textId="77777777" w:rsidR="002837D7" w:rsidRDefault="0028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8A20" w14:textId="77777777" w:rsidR="00BF38BB" w:rsidRDefault="002837D7">
    <w:pPr>
      <w:pStyle w:val="af4"/>
    </w:pPr>
    <w:r>
      <w:rPr>
        <w:rFonts w:hint="eastAsia"/>
      </w:rPr>
      <w:t>嘉实中证</w:t>
    </w:r>
    <w:r>
      <w:rPr>
        <w:rFonts w:hint="eastAsia"/>
      </w:rPr>
      <w:t>800</w:t>
    </w:r>
    <w:r>
      <w:rPr>
        <w:rFonts w:hint="eastAsia"/>
      </w:rPr>
      <w:t>指数增强型证券投资基金招募说明书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CAA4" w14:textId="77777777" w:rsidR="00BF38BB" w:rsidRDefault="002837D7">
    <w:pPr>
      <w:pStyle w:val="af4"/>
    </w:pPr>
    <w:r>
      <w:rPr>
        <w:rFonts w:hint="eastAsia"/>
      </w:rPr>
      <w:t>嘉实中证</w:t>
    </w:r>
    <w:r>
      <w:rPr>
        <w:rFonts w:hint="eastAsia"/>
      </w:rPr>
      <w:t>800</w:t>
    </w:r>
    <w:r>
      <w:rPr>
        <w:rFonts w:hint="eastAsia"/>
      </w:rPr>
      <w:t>指数增强型证券投资基金招募说明书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22276A39"/>
    <w:multiLevelType w:val="multilevel"/>
    <w:tmpl w:val="22276A39"/>
    <w:lvl w:ilvl="0">
      <w:start w:val="1"/>
      <w:numFmt w:val="decimalEnclosedCircle"/>
      <w:lvlText w:val="%1"/>
      <w:lvlJc w:val="left"/>
      <w:pPr>
        <w:ind w:left="763" w:hanging="360"/>
      </w:pPr>
      <w:rPr>
        <w:rFonts w:hint="default"/>
      </w:rPr>
    </w:lvl>
    <w:lvl w:ilvl="1">
      <w:start w:val="1"/>
      <w:numFmt w:val="lowerLetter"/>
      <w:lvlText w:val="%2)"/>
      <w:lvlJc w:val="left"/>
      <w:pPr>
        <w:ind w:left="1243" w:hanging="420"/>
      </w:pPr>
    </w:lvl>
    <w:lvl w:ilvl="2">
      <w:start w:val="1"/>
      <w:numFmt w:val="lowerRoman"/>
      <w:lvlText w:val="%3."/>
      <w:lvlJc w:val="right"/>
      <w:pPr>
        <w:ind w:left="1663" w:hanging="420"/>
      </w:pPr>
    </w:lvl>
    <w:lvl w:ilvl="3">
      <w:start w:val="1"/>
      <w:numFmt w:val="decimal"/>
      <w:lvlText w:val="%4."/>
      <w:lvlJc w:val="left"/>
      <w:pPr>
        <w:ind w:left="2083" w:hanging="420"/>
      </w:pPr>
    </w:lvl>
    <w:lvl w:ilvl="4">
      <w:start w:val="1"/>
      <w:numFmt w:val="lowerLetter"/>
      <w:lvlText w:val="%5)"/>
      <w:lvlJc w:val="left"/>
      <w:pPr>
        <w:ind w:left="2503" w:hanging="420"/>
      </w:pPr>
    </w:lvl>
    <w:lvl w:ilvl="5">
      <w:start w:val="1"/>
      <w:numFmt w:val="lowerRoman"/>
      <w:lvlText w:val="%6."/>
      <w:lvlJc w:val="right"/>
      <w:pPr>
        <w:ind w:left="2923" w:hanging="420"/>
      </w:pPr>
    </w:lvl>
    <w:lvl w:ilvl="6">
      <w:start w:val="1"/>
      <w:numFmt w:val="decimal"/>
      <w:lvlText w:val="%7."/>
      <w:lvlJc w:val="left"/>
      <w:pPr>
        <w:ind w:left="3343" w:hanging="420"/>
      </w:pPr>
    </w:lvl>
    <w:lvl w:ilvl="7">
      <w:start w:val="1"/>
      <w:numFmt w:val="lowerLetter"/>
      <w:lvlText w:val="%8)"/>
      <w:lvlJc w:val="left"/>
      <w:pPr>
        <w:ind w:left="3763" w:hanging="420"/>
      </w:pPr>
    </w:lvl>
    <w:lvl w:ilvl="8">
      <w:start w:val="1"/>
      <w:numFmt w:val="lowerRoman"/>
      <w:lvlText w:val="%9."/>
      <w:lvlJc w:val="right"/>
      <w:pPr>
        <w:ind w:left="4183" w:hanging="420"/>
      </w:pPr>
    </w:lvl>
  </w:abstractNum>
  <w:abstractNum w:abstractNumId="2" w15:restartNumberingAfterBreak="0">
    <w:nsid w:val="522801C2"/>
    <w:multiLevelType w:val="multilevel"/>
    <w:tmpl w:val="522801C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47D73EE"/>
    <w:multiLevelType w:val="multilevel"/>
    <w:tmpl w:val="547D73EE"/>
    <w:lvl w:ilvl="0">
      <w:start w:val="1"/>
      <w:numFmt w:val="chineseCountingThousand"/>
      <w:pStyle w:val="XBRLTitle1"/>
      <w:lvlText w:val="%1、"/>
      <w:lvlJc w:val="left"/>
      <w:pPr>
        <w:ind w:left="425" w:hanging="425"/>
      </w:pPr>
      <w:rPr>
        <w:rFonts w:hint="eastAsia"/>
      </w:rPr>
    </w:lvl>
    <w:lvl w:ilvl="1">
      <w:start w:val="1"/>
      <w:numFmt w:val="decimal"/>
      <w:pStyle w:val="XBRLTitle2"/>
      <w:lvlText w:val="%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NDU3MWY0YWY5OTA0OTBkN2FmZmM5ZjJiYTk5ZTQifQ=="/>
  </w:docVars>
  <w:rsids>
    <w:rsidRoot w:val="00830BB9"/>
    <w:rsid w:val="00000319"/>
    <w:rsid w:val="000014FA"/>
    <w:rsid w:val="00001EB8"/>
    <w:rsid w:val="00002468"/>
    <w:rsid w:val="00002D01"/>
    <w:rsid w:val="000053B0"/>
    <w:rsid w:val="000059E6"/>
    <w:rsid w:val="000064F0"/>
    <w:rsid w:val="000065C8"/>
    <w:rsid w:val="00006D41"/>
    <w:rsid w:val="00011535"/>
    <w:rsid w:val="00013E44"/>
    <w:rsid w:val="00014A7C"/>
    <w:rsid w:val="00014FB7"/>
    <w:rsid w:val="00015E67"/>
    <w:rsid w:val="00015EE9"/>
    <w:rsid w:val="000168C8"/>
    <w:rsid w:val="00016ADE"/>
    <w:rsid w:val="00017779"/>
    <w:rsid w:val="00020372"/>
    <w:rsid w:val="00020865"/>
    <w:rsid w:val="00020E4D"/>
    <w:rsid w:val="00021578"/>
    <w:rsid w:val="00021A97"/>
    <w:rsid w:val="00021DAA"/>
    <w:rsid w:val="00021F1C"/>
    <w:rsid w:val="00022272"/>
    <w:rsid w:val="0002255D"/>
    <w:rsid w:val="00022E37"/>
    <w:rsid w:val="000232CD"/>
    <w:rsid w:val="000233C9"/>
    <w:rsid w:val="00023B0F"/>
    <w:rsid w:val="00023E4E"/>
    <w:rsid w:val="00024203"/>
    <w:rsid w:val="00024AE1"/>
    <w:rsid w:val="00024D92"/>
    <w:rsid w:val="0002504C"/>
    <w:rsid w:val="0002546C"/>
    <w:rsid w:val="000261ED"/>
    <w:rsid w:val="0002626E"/>
    <w:rsid w:val="00027874"/>
    <w:rsid w:val="0003167E"/>
    <w:rsid w:val="00031AA6"/>
    <w:rsid w:val="00032321"/>
    <w:rsid w:val="000330C9"/>
    <w:rsid w:val="0003339A"/>
    <w:rsid w:val="00033D29"/>
    <w:rsid w:val="000340A6"/>
    <w:rsid w:val="0003428E"/>
    <w:rsid w:val="00034362"/>
    <w:rsid w:val="00034BA2"/>
    <w:rsid w:val="00034FC3"/>
    <w:rsid w:val="00035509"/>
    <w:rsid w:val="000356A8"/>
    <w:rsid w:val="00035B7A"/>
    <w:rsid w:val="00036663"/>
    <w:rsid w:val="0003778F"/>
    <w:rsid w:val="00037DA5"/>
    <w:rsid w:val="00040229"/>
    <w:rsid w:val="0004039A"/>
    <w:rsid w:val="00040502"/>
    <w:rsid w:val="00040FEB"/>
    <w:rsid w:val="0004101A"/>
    <w:rsid w:val="0004136D"/>
    <w:rsid w:val="000419C4"/>
    <w:rsid w:val="00041D26"/>
    <w:rsid w:val="000420AB"/>
    <w:rsid w:val="000422FB"/>
    <w:rsid w:val="00042A11"/>
    <w:rsid w:val="000443E2"/>
    <w:rsid w:val="000452C2"/>
    <w:rsid w:val="00045916"/>
    <w:rsid w:val="00045FDB"/>
    <w:rsid w:val="0004765B"/>
    <w:rsid w:val="0004771C"/>
    <w:rsid w:val="00050635"/>
    <w:rsid w:val="00050C19"/>
    <w:rsid w:val="00050C69"/>
    <w:rsid w:val="0005160D"/>
    <w:rsid w:val="00051782"/>
    <w:rsid w:val="00051862"/>
    <w:rsid w:val="000518B8"/>
    <w:rsid w:val="00051A18"/>
    <w:rsid w:val="00051E5B"/>
    <w:rsid w:val="00051EBA"/>
    <w:rsid w:val="00052297"/>
    <w:rsid w:val="000532F1"/>
    <w:rsid w:val="00053C48"/>
    <w:rsid w:val="0005403E"/>
    <w:rsid w:val="0005443B"/>
    <w:rsid w:val="000547C2"/>
    <w:rsid w:val="00054AE3"/>
    <w:rsid w:val="00054EA1"/>
    <w:rsid w:val="0005512A"/>
    <w:rsid w:val="000551D2"/>
    <w:rsid w:val="0005541F"/>
    <w:rsid w:val="00057477"/>
    <w:rsid w:val="00057A46"/>
    <w:rsid w:val="00057F51"/>
    <w:rsid w:val="000610A9"/>
    <w:rsid w:val="00061836"/>
    <w:rsid w:val="000630FE"/>
    <w:rsid w:val="000631B0"/>
    <w:rsid w:val="00064076"/>
    <w:rsid w:val="00064662"/>
    <w:rsid w:val="00064C84"/>
    <w:rsid w:val="00064EE6"/>
    <w:rsid w:val="0006568E"/>
    <w:rsid w:val="00066667"/>
    <w:rsid w:val="00067C34"/>
    <w:rsid w:val="00070611"/>
    <w:rsid w:val="00071B96"/>
    <w:rsid w:val="00072667"/>
    <w:rsid w:val="00072C95"/>
    <w:rsid w:val="000736BA"/>
    <w:rsid w:val="00074748"/>
    <w:rsid w:val="0007476B"/>
    <w:rsid w:val="00074772"/>
    <w:rsid w:val="000750AC"/>
    <w:rsid w:val="00076252"/>
    <w:rsid w:val="00076B60"/>
    <w:rsid w:val="00076FA9"/>
    <w:rsid w:val="00077E65"/>
    <w:rsid w:val="00080487"/>
    <w:rsid w:val="00080C85"/>
    <w:rsid w:val="0008176E"/>
    <w:rsid w:val="000817E5"/>
    <w:rsid w:val="0008214D"/>
    <w:rsid w:val="00082618"/>
    <w:rsid w:val="0008278A"/>
    <w:rsid w:val="00082926"/>
    <w:rsid w:val="0008326E"/>
    <w:rsid w:val="0008331C"/>
    <w:rsid w:val="00083338"/>
    <w:rsid w:val="000834AE"/>
    <w:rsid w:val="000836D6"/>
    <w:rsid w:val="00083C08"/>
    <w:rsid w:val="00083D77"/>
    <w:rsid w:val="00084114"/>
    <w:rsid w:val="00084184"/>
    <w:rsid w:val="000844D8"/>
    <w:rsid w:val="00084F29"/>
    <w:rsid w:val="000850BB"/>
    <w:rsid w:val="000857C4"/>
    <w:rsid w:val="000866A5"/>
    <w:rsid w:val="000866E2"/>
    <w:rsid w:val="0008698B"/>
    <w:rsid w:val="000902F9"/>
    <w:rsid w:val="0009132B"/>
    <w:rsid w:val="000918BA"/>
    <w:rsid w:val="0009262E"/>
    <w:rsid w:val="00092A0C"/>
    <w:rsid w:val="00092EA2"/>
    <w:rsid w:val="00093864"/>
    <w:rsid w:val="00093D04"/>
    <w:rsid w:val="0009491D"/>
    <w:rsid w:val="00094B74"/>
    <w:rsid w:val="00094BB2"/>
    <w:rsid w:val="00095180"/>
    <w:rsid w:val="00095AB7"/>
    <w:rsid w:val="00095CC5"/>
    <w:rsid w:val="00097E9D"/>
    <w:rsid w:val="000A016D"/>
    <w:rsid w:val="000A0415"/>
    <w:rsid w:val="000A0D6F"/>
    <w:rsid w:val="000A1687"/>
    <w:rsid w:val="000A225B"/>
    <w:rsid w:val="000A3F10"/>
    <w:rsid w:val="000A438F"/>
    <w:rsid w:val="000A45C4"/>
    <w:rsid w:val="000A48C2"/>
    <w:rsid w:val="000A5B40"/>
    <w:rsid w:val="000A78E8"/>
    <w:rsid w:val="000B06AB"/>
    <w:rsid w:val="000B1027"/>
    <w:rsid w:val="000B127A"/>
    <w:rsid w:val="000B195A"/>
    <w:rsid w:val="000B1E8E"/>
    <w:rsid w:val="000B315B"/>
    <w:rsid w:val="000B38CB"/>
    <w:rsid w:val="000B509A"/>
    <w:rsid w:val="000B5E2F"/>
    <w:rsid w:val="000B6E6A"/>
    <w:rsid w:val="000B6E8B"/>
    <w:rsid w:val="000B7084"/>
    <w:rsid w:val="000B73EC"/>
    <w:rsid w:val="000B7B6B"/>
    <w:rsid w:val="000C21B5"/>
    <w:rsid w:val="000C222E"/>
    <w:rsid w:val="000C34C4"/>
    <w:rsid w:val="000C3A65"/>
    <w:rsid w:val="000C487B"/>
    <w:rsid w:val="000C495F"/>
    <w:rsid w:val="000C6138"/>
    <w:rsid w:val="000C65FC"/>
    <w:rsid w:val="000C66CE"/>
    <w:rsid w:val="000C6713"/>
    <w:rsid w:val="000C7480"/>
    <w:rsid w:val="000D0732"/>
    <w:rsid w:val="000D13F7"/>
    <w:rsid w:val="000D1B71"/>
    <w:rsid w:val="000D1CCF"/>
    <w:rsid w:val="000D215F"/>
    <w:rsid w:val="000D278C"/>
    <w:rsid w:val="000D2AFF"/>
    <w:rsid w:val="000D2C8F"/>
    <w:rsid w:val="000D3DFA"/>
    <w:rsid w:val="000D3FC9"/>
    <w:rsid w:val="000D4ABB"/>
    <w:rsid w:val="000D5D3F"/>
    <w:rsid w:val="000D6000"/>
    <w:rsid w:val="000D6A87"/>
    <w:rsid w:val="000D6BCF"/>
    <w:rsid w:val="000D6E2E"/>
    <w:rsid w:val="000E00C7"/>
    <w:rsid w:val="000E0CB7"/>
    <w:rsid w:val="000E17A0"/>
    <w:rsid w:val="000E1CEF"/>
    <w:rsid w:val="000E3636"/>
    <w:rsid w:val="000E47CA"/>
    <w:rsid w:val="000E4D1E"/>
    <w:rsid w:val="000E4FFF"/>
    <w:rsid w:val="000E5004"/>
    <w:rsid w:val="000E5108"/>
    <w:rsid w:val="000E74E1"/>
    <w:rsid w:val="000E7A07"/>
    <w:rsid w:val="000E7E5C"/>
    <w:rsid w:val="000E7ED1"/>
    <w:rsid w:val="000F05A5"/>
    <w:rsid w:val="000F1488"/>
    <w:rsid w:val="000F23B2"/>
    <w:rsid w:val="000F2ABE"/>
    <w:rsid w:val="000F33A4"/>
    <w:rsid w:val="000F3F03"/>
    <w:rsid w:val="000F4602"/>
    <w:rsid w:val="000F4CF6"/>
    <w:rsid w:val="000F4FDD"/>
    <w:rsid w:val="000F52D2"/>
    <w:rsid w:val="000F6208"/>
    <w:rsid w:val="000F6555"/>
    <w:rsid w:val="000F6EE2"/>
    <w:rsid w:val="000F78AB"/>
    <w:rsid w:val="000F79BD"/>
    <w:rsid w:val="000F7A3D"/>
    <w:rsid w:val="000F7C0B"/>
    <w:rsid w:val="00100016"/>
    <w:rsid w:val="001005F3"/>
    <w:rsid w:val="001017A9"/>
    <w:rsid w:val="00102CEB"/>
    <w:rsid w:val="00103224"/>
    <w:rsid w:val="001040A6"/>
    <w:rsid w:val="001043AD"/>
    <w:rsid w:val="00104F96"/>
    <w:rsid w:val="0010506B"/>
    <w:rsid w:val="00105433"/>
    <w:rsid w:val="00105599"/>
    <w:rsid w:val="00106C2C"/>
    <w:rsid w:val="00107511"/>
    <w:rsid w:val="00110601"/>
    <w:rsid w:val="00110997"/>
    <w:rsid w:val="0011103E"/>
    <w:rsid w:val="001119C4"/>
    <w:rsid w:val="00111BED"/>
    <w:rsid w:val="00112313"/>
    <w:rsid w:val="00114223"/>
    <w:rsid w:val="001146A8"/>
    <w:rsid w:val="00114E89"/>
    <w:rsid w:val="0011512C"/>
    <w:rsid w:val="001151BF"/>
    <w:rsid w:val="00115399"/>
    <w:rsid w:val="00115458"/>
    <w:rsid w:val="00115B29"/>
    <w:rsid w:val="00116395"/>
    <w:rsid w:val="00116D08"/>
    <w:rsid w:val="00117552"/>
    <w:rsid w:val="001175CE"/>
    <w:rsid w:val="00120EC1"/>
    <w:rsid w:val="00121A05"/>
    <w:rsid w:val="00122A11"/>
    <w:rsid w:val="001237CD"/>
    <w:rsid w:val="001242CC"/>
    <w:rsid w:val="0012454F"/>
    <w:rsid w:val="001245C3"/>
    <w:rsid w:val="0012551B"/>
    <w:rsid w:val="001256D4"/>
    <w:rsid w:val="001259E3"/>
    <w:rsid w:val="00125B2B"/>
    <w:rsid w:val="00125B8D"/>
    <w:rsid w:val="00130721"/>
    <w:rsid w:val="0013090C"/>
    <w:rsid w:val="00130D9C"/>
    <w:rsid w:val="00131319"/>
    <w:rsid w:val="00131C44"/>
    <w:rsid w:val="0013360B"/>
    <w:rsid w:val="0013368B"/>
    <w:rsid w:val="0013389F"/>
    <w:rsid w:val="00133A99"/>
    <w:rsid w:val="001342C8"/>
    <w:rsid w:val="00134513"/>
    <w:rsid w:val="001345FA"/>
    <w:rsid w:val="0013545B"/>
    <w:rsid w:val="00135827"/>
    <w:rsid w:val="00135978"/>
    <w:rsid w:val="00136C41"/>
    <w:rsid w:val="001374AC"/>
    <w:rsid w:val="00137965"/>
    <w:rsid w:val="00140993"/>
    <w:rsid w:val="00141049"/>
    <w:rsid w:val="001412F7"/>
    <w:rsid w:val="0014265A"/>
    <w:rsid w:val="001430D4"/>
    <w:rsid w:val="00144617"/>
    <w:rsid w:val="00144963"/>
    <w:rsid w:val="00145A5C"/>
    <w:rsid w:val="00145DC8"/>
    <w:rsid w:val="001472DF"/>
    <w:rsid w:val="00147ABB"/>
    <w:rsid w:val="001513BC"/>
    <w:rsid w:val="00152A88"/>
    <w:rsid w:val="00153BD9"/>
    <w:rsid w:val="001540D1"/>
    <w:rsid w:val="0015425A"/>
    <w:rsid w:val="00154474"/>
    <w:rsid w:val="001545D9"/>
    <w:rsid w:val="00154901"/>
    <w:rsid w:val="00156CA7"/>
    <w:rsid w:val="00156CF7"/>
    <w:rsid w:val="00157386"/>
    <w:rsid w:val="00160270"/>
    <w:rsid w:val="00160E66"/>
    <w:rsid w:val="00160E78"/>
    <w:rsid w:val="00161B04"/>
    <w:rsid w:val="00161B4A"/>
    <w:rsid w:val="001620EA"/>
    <w:rsid w:val="001634FE"/>
    <w:rsid w:val="0016393D"/>
    <w:rsid w:val="00163C3E"/>
    <w:rsid w:val="001642A3"/>
    <w:rsid w:val="001662D5"/>
    <w:rsid w:val="00166D12"/>
    <w:rsid w:val="00167567"/>
    <w:rsid w:val="0016771F"/>
    <w:rsid w:val="001677BF"/>
    <w:rsid w:val="001706AD"/>
    <w:rsid w:val="001708F5"/>
    <w:rsid w:val="00170BEF"/>
    <w:rsid w:val="00171763"/>
    <w:rsid w:val="0017187E"/>
    <w:rsid w:val="001723B0"/>
    <w:rsid w:val="00173D6B"/>
    <w:rsid w:val="001741F1"/>
    <w:rsid w:val="00174CD0"/>
    <w:rsid w:val="00175246"/>
    <w:rsid w:val="00175DE8"/>
    <w:rsid w:val="00176307"/>
    <w:rsid w:val="00177EDB"/>
    <w:rsid w:val="0018024B"/>
    <w:rsid w:val="00180352"/>
    <w:rsid w:val="001804DB"/>
    <w:rsid w:val="001825E1"/>
    <w:rsid w:val="001826AD"/>
    <w:rsid w:val="00183990"/>
    <w:rsid w:val="001839D1"/>
    <w:rsid w:val="00184E41"/>
    <w:rsid w:val="00185959"/>
    <w:rsid w:val="00185F6A"/>
    <w:rsid w:val="001871F0"/>
    <w:rsid w:val="00187728"/>
    <w:rsid w:val="001879B6"/>
    <w:rsid w:val="001906BD"/>
    <w:rsid w:val="00191BA8"/>
    <w:rsid w:val="001922E2"/>
    <w:rsid w:val="0019469F"/>
    <w:rsid w:val="00194EA7"/>
    <w:rsid w:val="00194EAD"/>
    <w:rsid w:val="001961A7"/>
    <w:rsid w:val="001965EF"/>
    <w:rsid w:val="001971C3"/>
    <w:rsid w:val="001977ED"/>
    <w:rsid w:val="001A02EC"/>
    <w:rsid w:val="001A06CE"/>
    <w:rsid w:val="001A0E87"/>
    <w:rsid w:val="001A0ED7"/>
    <w:rsid w:val="001A2101"/>
    <w:rsid w:val="001A244D"/>
    <w:rsid w:val="001A2C8D"/>
    <w:rsid w:val="001A2E1F"/>
    <w:rsid w:val="001A3FB3"/>
    <w:rsid w:val="001A47D2"/>
    <w:rsid w:val="001A4839"/>
    <w:rsid w:val="001A4F77"/>
    <w:rsid w:val="001A5F0E"/>
    <w:rsid w:val="001A7E1B"/>
    <w:rsid w:val="001B0142"/>
    <w:rsid w:val="001B13A7"/>
    <w:rsid w:val="001B15FF"/>
    <w:rsid w:val="001B1932"/>
    <w:rsid w:val="001B1C1A"/>
    <w:rsid w:val="001B2508"/>
    <w:rsid w:val="001B2AF3"/>
    <w:rsid w:val="001B2CA0"/>
    <w:rsid w:val="001B3152"/>
    <w:rsid w:val="001B354D"/>
    <w:rsid w:val="001B612B"/>
    <w:rsid w:val="001B62E8"/>
    <w:rsid w:val="001B6752"/>
    <w:rsid w:val="001B6A09"/>
    <w:rsid w:val="001B6E8F"/>
    <w:rsid w:val="001C11B6"/>
    <w:rsid w:val="001C237A"/>
    <w:rsid w:val="001C30EF"/>
    <w:rsid w:val="001C4292"/>
    <w:rsid w:val="001C4E5A"/>
    <w:rsid w:val="001C539B"/>
    <w:rsid w:val="001C573A"/>
    <w:rsid w:val="001C6246"/>
    <w:rsid w:val="001C6DA8"/>
    <w:rsid w:val="001C7D32"/>
    <w:rsid w:val="001D0259"/>
    <w:rsid w:val="001D0338"/>
    <w:rsid w:val="001D09C4"/>
    <w:rsid w:val="001D1777"/>
    <w:rsid w:val="001D179B"/>
    <w:rsid w:val="001D30A0"/>
    <w:rsid w:val="001D3BC6"/>
    <w:rsid w:val="001D40E7"/>
    <w:rsid w:val="001D4135"/>
    <w:rsid w:val="001D4806"/>
    <w:rsid w:val="001D49D0"/>
    <w:rsid w:val="001D622E"/>
    <w:rsid w:val="001D6636"/>
    <w:rsid w:val="001D6A0D"/>
    <w:rsid w:val="001D6FF5"/>
    <w:rsid w:val="001D7927"/>
    <w:rsid w:val="001E0127"/>
    <w:rsid w:val="001E0937"/>
    <w:rsid w:val="001E1056"/>
    <w:rsid w:val="001E115D"/>
    <w:rsid w:val="001E12AD"/>
    <w:rsid w:val="001E133E"/>
    <w:rsid w:val="001E15DD"/>
    <w:rsid w:val="001E18BB"/>
    <w:rsid w:val="001E1D1E"/>
    <w:rsid w:val="001E2C73"/>
    <w:rsid w:val="001E2CEF"/>
    <w:rsid w:val="001E39FF"/>
    <w:rsid w:val="001E3B4D"/>
    <w:rsid w:val="001E412E"/>
    <w:rsid w:val="001E484F"/>
    <w:rsid w:val="001E498B"/>
    <w:rsid w:val="001E676F"/>
    <w:rsid w:val="001F0544"/>
    <w:rsid w:val="001F0C53"/>
    <w:rsid w:val="001F0CFA"/>
    <w:rsid w:val="001F1039"/>
    <w:rsid w:val="001F2831"/>
    <w:rsid w:val="001F2C57"/>
    <w:rsid w:val="001F61B7"/>
    <w:rsid w:val="001F7328"/>
    <w:rsid w:val="001F7378"/>
    <w:rsid w:val="001F7777"/>
    <w:rsid w:val="001F79C1"/>
    <w:rsid w:val="001F7FB3"/>
    <w:rsid w:val="002008D5"/>
    <w:rsid w:val="002009CA"/>
    <w:rsid w:val="00200AC0"/>
    <w:rsid w:val="002012BB"/>
    <w:rsid w:val="00201A2D"/>
    <w:rsid w:val="0020274A"/>
    <w:rsid w:val="002027C2"/>
    <w:rsid w:val="00203118"/>
    <w:rsid w:val="00203FDD"/>
    <w:rsid w:val="002040D9"/>
    <w:rsid w:val="0020440A"/>
    <w:rsid w:val="00205311"/>
    <w:rsid w:val="00205E21"/>
    <w:rsid w:val="00206575"/>
    <w:rsid w:val="00207705"/>
    <w:rsid w:val="0021023B"/>
    <w:rsid w:val="0021085D"/>
    <w:rsid w:val="00210E0A"/>
    <w:rsid w:val="00211935"/>
    <w:rsid w:val="00211980"/>
    <w:rsid w:val="00211D7C"/>
    <w:rsid w:val="00211DEB"/>
    <w:rsid w:val="0021260C"/>
    <w:rsid w:val="00212D42"/>
    <w:rsid w:val="00212EAD"/>
    <w:rsid w:val="002130DA"/>
    <w:rsid w:val="002134E0"/>
    <w:rsid w:val="0021371F"/>
    <w:rsid w:val="00213D24"/>
    <w:rsid w:val="002149F4"/>
    <w:rsid w:val="00214B16"/>
    <w:rsid w:val="00215601"/>
    <w:rsid w:val="002165F4"/>
    <w:rsid w:val="00216986"/>
    <w:rsid w:val="00216C39"/>
    <w:rsid w:val="002171E3"/>
    <w:rsid w:val="002202DF"/>
    <w:rsid w:val="002203C7"/>
    <w:rsid w:val="00220BE6"/>
    <w:rsid w:val="00220DA7"/>
    <w:rsid w:val="002212B4"/>
    <w:rsid w:val="00221A7C"/>
    <w:rsid w:val="00222A2C"/>
    <w:rsid w:val="00222B3F"/>
    <w:rsid w:val="00222F6A"/>
    <w:rsid w:val="002235BA"/>
    <w:rsid w:val="0022373C"/>
    <w:rsid w:val="002238DC"/>
    <w:rsid w:val="00224DCB"/>
    <w:rsid w:val="00224E0E"/>
    <w:rsid w:val="00225155"/>
    <w:rsid w:val="00225506"/>
    <w:rsid w:val="0022683F"/>
    <w:rsid w:val="002307FB"/>
    <w:rsid w:val="00230977"/>
    <w:rsid w:val="00231789"/>
    <w:rsid w:val="0023228D"/>
    <w:rsid w:val="002328A2"/>
    <w:rsid w:val="00233B1F"/>
    <w:rsid w:val="00233F07"/>
    <w:rsid w:val="00234D9F"/>
    <w:rsid w:val="0023527E"/>
    <w:rsid w:val="002355F6"/>
    <w:rsid w:val="00236117"/>
    <w:rsid w:val="002363FE"/>
    <w:rsid w:val="002367E6"/>
    <w:rsid w:val="002372CA"/>
    <w:rsid w:val="00237D85"/>
    <w:rsid w:val="00240EF5"/>
    <w:rsid w:val="00241431"/>
    <w:rsid w:val="00241C0D"/>
    <w:rsid w:val="0024226E"/>
    <w:rsid w:val="002422E3"/>
    <w:rsid w:val="00243B88"/>
    <w:rsid w:val="00244143"/>
    <w:rsid w:val="00245973"/>
    <w:rsid w:val="002464B4"/>
    <w:rsid w:val="002478C9"/>
    <w:rsid w:val="002503E8"/>
    <w:rsid w:val="002506D2"/>
    <w:rsid w:val="002509CF"/>
    <w:rsid w:val="00250EE5"/>
    <w:rsid w:val="00251E42"/>
    <w:rsid w:val="002523E3"/>
    <w:rsid w:val="0025256E"/>
    <w:rsid w:val="0025265C"/>
    <w:rsid w:val="002527D2"/>
    <w:rsid w:val="00252B57"/>
    <w:rsid w:val="00252FEF"/>
    <w:rsid w:val="00253420"/>
    <w:rsid w:val="00253850"/>
    <w:rsid w:val="00253F75"/>
    <w:rsid w:val="002542C7"/>
    <w:rsid w:val="002545F7"/>
    <w:rsid w:val="002549F8"/>
    <w:rsid w:val="0025504A"/>
    <w:rsid w:val="00255812"/>
    <w:rsid w:val="002559E9"/>
    <w:rsid w:val="00255C4A"/>
    <w:rsid w:val="002571D8"/>
    <w:rsid w:val="00260601"/>
    <w:rsid w:val="0026238D"/>
    <w:rsid w:val="00262C11"/>
    <w:rsid w:val="00263022"/>
    <w:rsid w:val="00263B1F"/>
    <w:rsid w:val="00264183"/>
    <w:rsid w:val="002652BE"/>
    <w:rsid w:val="00265A44"/>
    <w:rsid w:val="00266B3B"/>
    <w:rsid w:val="00266E37"/>
    <w:rsid w:val="00266F72"/>
    <w:rsid w:val="002672EC"/>
    <w:rsid w:val="002705B3"/>
    <w:rsid w:val="0027064F"/>
    <w:rsid w:val="002715D2"/>
    <w:rsid w:val="00271617"/>
    <w:rsid w:val="002719A5"/>
    <w:rsid w:val="0027222B"/>
    <w:rsid w:val="00274118"/>
    <w:rsid w:val="002751A3"/>
    <w:rsid w:val="00275DB7"/>
    <w:rsid w:val="00276A24"/>
    <w:rsid w:val="00277232"/>
    <w:rsid w:val="00277FB1"/>
    <w:rsid w:val="00280951"/>
    <w:rsid w:val="00281D92"/>
    <w:rsid w:val="002828B2"/>
    <w:rsid w:val="002829FE"/>
    <w:rsid w:val="00282B19"/>
    <w:rsid w:val="00282D88"/>
    <w:rsid w:val="00282E5C"/>
    <w:rsid w:val="002833E2"/>
    <w:rsid w:val="002837D7"/>
    <w:rsid w:val="00283F72"/>
    <w:rsid w:val="00286301"/>
    <w:rsid w:val="00286348"/>
    <w:rsid w:val="0028635E"/>
    <w:rsid w:val="0028655D"/>
    <w:rsid w:val="0028690C"/>
    <w:rsid w:val="002872B0"/>
    <w:rsid w:val="002872CA"/>
    <w:rsid w:val="002873DB"/>
    <w:rsid w:val="002874A4"/>
    <w:rsid w:val="002877B4"/>
    <w:rsid w:val="0029079B"/>
    <w:rsid w:val="0029107A"/>
    <w:rsid w:val="00291086"/>
    <w:rsid w:val="002918E5"/>
    <w:rsid w:val="00292BC4"/>
    <w:rsid w:val="00292DB0"/>
    <w:rsid w:val="0029328F"/>
    <w:rsid w:val="00293E10"/>
    <w:rsid w:val="0029440C"/>
    <w:rsid w:val="0029447F"/>
    <w:rsid w:val="00295DB2"/>
    <w:rsid w:val="00295E1B"/>
    <w:rsid w:val="002964AD"/>
    <w:rsid w:val="002968F4"/>
    <w:rsid w:val="00296E31"/>
    <w:rsid w:val="00297285"/>
    <w:rsid w:val="00297642"/>
    <w:rsid w:val="002A1173"/>
    <w:rsid w:val="002A3C85"/>
    <w:rsid w:val="002A3E93"/>
    <w:rsid w:val="002A43F7"/>
    <w:rsid w:val="002A452A"/>
    <w:rsid w:val="002A4A89"/>
    <w:rsid w:val="002A517D"/>
    <w:rsid w:val="002A5A8A"/>
    <w:rsid w:val="002A6F46"/>
    <w:rsid w:val="002A7016"/>
    <w:rsid w:val="002B01EE"/>
    <w:rsid w:val="002B0E27"/>
    <w:rsid w:val="002B1661"/>
    <w:rsid w:val="002B49E5"/>
    <w:rsid w:val="002B4B1B"/>
    <w:rsid w:val="002B564C"/>
    <w:rsid w:val="002B5CEC"/>
    <w:rsid w:val="002B6513"/>
    <w:rsid w:val="002B6AEF"/>
    <w:rsid w:val="002B6C99"/>
    <w:rsid w:val="002B725D"/>
    <w:rsid w:val="002B7AA3"/>
    <w:rsid w:val="002C0338"/>
    <w:rsid w:val="002C0B9E"/>
    <w:rsid w:val="002C0BD6"/>
    <w:rsid w:val="002C15A1"/>
    <w:rsid w:val="002C161B"/>
    <w:rsid w:val="002C1844"/>
    <w:rsid w:val="002C2AD9"/>
    <w:rsid w:val="002C3408"/>
    <w:rsid w:val="002C36B9"/>
    <w:rsid w:val="002C3F57"/>
    <w:rsid w:val="002C439E"/>
    <w:rsid w:val="002C4968"/>
    <w:rsid w:val="002C5FE1"/>
    <w:rsid w:val="002C69E1"/>
    <w:rsid w:val="002C6B7C"/>
    <w:rsid w:val="002C7986"/>
    <w:rsid w:val="002D0CC2"/>
    <w:rsid w:val="002D1911"/>
    <w:rsid w:val="002D1C0B"/>
    <w:rsid w:val="002D2746"/>
    <w:rsid w:val="002D2CE2"/>
    <w:rsid w:val="002D3965"/>
    <w:rsid w:val="002D4690"/>
    <w:rsid w:val="002D4CA9"/>
    <w:rsid w:val="002D6786"/>
    <w:rsid w:val="002D681C"/>
    <w:rsid w:val="002D6AF3"/>
    <w:rsid w:val="002D6B1A"/>
    <w:rsid w:val="002D6F86"/>
    <w:rsid w:val="002D7110"/>
    <w:rsid w:val="002D76AA"/>
    <w:rsid w:val="002E03A4"/>
    <w:rsid w:val="002E1E5E"/>
    <w:rsid w:val="002E20DF"/>
    <w:rsid w:val="002E2A05"/>
    <w:rsid w:val="002E2A6F"/>
    <w:rsid w:val="002E441A"/>
    <w:rsid w:val="002E5085"/>
    <w:rsid w:val="002E5A15"/>
    <w:rsid w:val="002E6628"/>
    <w:rsid w:val="002E748C"/>
    <w:rsid w:val="002E7543"/>
    <w:rsid w:val="002F079E"/>
    <w:rsid w:val="002F0DD6"/>
    <w:rsid w:val="002F0FEE"/>
    <w:rsid w:val="002F1E60"/>
    <w:rsid w:val="002F2093"/>
    <w:rsid w:val="002F2573"/>
    <w:rsid w:val="002F2994"/>
    <w:rsid w:val="002F3161"/>
    <w:rsid w:val="002F4883"/>
    <w:rsid w:val="002F488E"/>
    <w:rsid w:val="002F5985"/>
    <w:rsid w:val="002F6F6C"/>
    <w:rsid w:val="002F766B"/>
    <w:rsid w:val="0030031A"/>
    <w:rsid w:val="00301726"/>
    <w:rsid w:val="00301FEE"/>
    <w:rsid w:val="00303301"/>
    <w:rsid w:val="0030338F"/>
    <w:rsid w:val="0030350F"/>
    <w:rsid w:val="00303E78"/>
    <w:rsid w:val="00304047"/>
    <w:rsid w:val="003048FB"/>
    <w:rsid w:val="003058A7"/>
    <w:rsid w:val="003058B1"/>
    <w:rsid w:val="00305C07"/>
    <w:rsid w:val="00306B86"/>
    <w:rsid w:val="00307F03"/>
    <w:rsid w:val="0031031E"/>
    <w:rsid w:val="00310B0F"/>
    <w:rsid w:val="00310CEF"/>
    <w:rsid w:val="00310E89"/>
    <w:rsid w:val="00310ED5"/>
    <w:rsid w:val="003119AC"/>
    <w:rsid w:val="003122F4"/>
    <w:rsid w:val="003126D1"/>
    <w:rsid w:val="0031398D"/>
    <w:rsid w:val="0031410A"/>
    <w:rsid w:val="003143C0"/>
    <w:rsid w:val="00314637"/>
    <w:rsid w:val="003149DA"/>
    <w:rsid w:val="00314AA9"/>
    <w:rsid w:val="00316770"/>
    <w:rsid w:val="003202D2"/>
    <w:rsid w:val="003211A5"/>
    <w:rsid w:val="00321D27"/>
    <w:rsid w:val="003228AD"/>
    <w:rsid w:val="00323AAA"/>
    <w:rsid w:val="003240B4"/>
    <w:rsid w:val="00325434"/>
    <w:rsid w:val="003258EA"/>
    <w:rsid w:val="00325918"/>
    <w:rsid w:val="00325ACB"/>
    <w:rsid w:val="003260FD"/>
    <w:rsid w:val="003268F7"/>
    <w:rsid w:val="00326B9D"/>
    <w:rsid w:val="00327921"/>
    <w:rsid w:val="00327C2A"/>
    <w:rsid w:val="003300B7"/>
    <w:rsid w:val="00330379"/>
    <w:rsid w:val="0033037D"/>
    <w:rsid w:val="00330532"/>
    <w:rsid w:val="00330858"/>
    <w:rsid w:val="003308F6"/>
    <w:rsid w:val="00330C6C"/>
    <w:rsid w:val="003315F4"/>
    <w:rsid w:val="00332FF2"/>
    <w:rsid w:val="00333841"/>
    <w:rsid w:val="00333C2D"/>
    <w:rsid w:val="00333D44"/>
    <w:rsid w:val="00334DFB"/>
    <w:rsid w:val="003352E1"/>
    <w:rsid w:val="00335AC4"/>
    <w:rsid w:val="00335D14"/>
    <w:rsid w:val="0033698C"/>
    <w:rsid w:val="003378A3"/>
    <w:rsid w:val="00340139"/>
    <w:rsid w:val="003403F4"/>
    <w:rsid w:val="003404E3"/>
    <w:rsid w:val="003408DC"/>
    <w:rsid w:val="00340CD2"/>
    <w:rsid w:val="00341F48"/>
    <w:rsid w:val="003433AA"/>
    <w:rsid w:val="0034383F"/>
    <w:rsid w:val="00343A62"/>
    <w:rsid w:val="00343FBF"/>
    <w:rsid w:val="0034421A"/>
    <w:rsid w:val="0034431E"/>
    <w:rsid w:val="00346138"/>
    <w:rsid w:val="003469A4"/>
    <w:rsid w:val="00347113"/>
    <w:rsid w:val="003475F6"/>
    <w:rsid w:val="00347E94"/>
    <w:rsid w:val="00353B88"/>
    <w:rsid w:val="00353FE8"/>
    <w:rsid w:val="0035463E"/>
    <w:rsid w:val="003551A4"/>
    <w:rsid w:val="0035567F"/>
    <w:rsid w:val="0035629C"/>
    <w:rsid w:val="00357D09"/>
    <w:rsid w:val="003609F5"/>
    <w:rsid w:val="00360D75"/>
    <w:rsid w:val="00360E79"/>
    <w:rsid w:val="00360FAA"/>
    <w:rsid w:val="00361131"/>
    <w:rsid w:val="00361B0F"/>
    <w:rsid w:val="00362205"/>
    <w:rsid w:val="0036231D"/>
    <w:rsid w:val="00362B3F"/>
    <w:rsid w:val="003630FE"/>
    <w:rsid w:val="0036323E"/>
    <w:rsid w:val="00363FB9"/>
    <w:rsid w:val="00364448"/>
    <w:rsid w:val="00364543"/>
    <w:rsid w:val="0036494F"/>
    <w:rsid w:val="00364E3D"/>
    <w:rsid w:val="0036509C"/>
    <w:rsid w:val="00365265"/>
    <w:rsid w:val="00365A56"/>
    <w:rsid w:val="003663C1"/>
    <w:rsid w:val="003665F9"/>
    <w:rsid w:val="00366649"/>
    <w:rsid w:val="0036689E"/>
    <w:rsid w:val="00366BC4"/>
    <w:rsid w:val="00367189"/>
    <w:rsid w:val="00367996"/>
    <w:rsid w:val="00370448"/>
    <w:rsid w:val="00370BC6"/>
    <w:rsid w:val="0037221F"/>
    <w:rsid w:val="00372836"/>
    <w:rsid w:val="00372FF6"/>
    <w:rsid w:val="003731FA"/>
    <w:rsid w:val="0037360E"/>
    <w:rsid w:val="0037384F"/>
    <w:rsid w:val="0037427F"/>
    <w:rsid w:val="00375A2F"/>
    <w:rsid w:val="00376FE1"/>
    <w:rsid w:val="00377391"/>
    <w:rsid w:val="00377D78"/>
    <w:rsid w:val="00380218"/>
    <w:rsid w:val="003804DA"/>
    <w:rsid w:val="00380FFE"/>
    <w:rsid w:val="0038147E"/>
    <w:rsid w:val="00381828"/>
    <w:rsid w:val="00381969"/>
    <w:rsid w:val="003822D6"/>
    <w:rsid w:val="0038329E"/>
    <w:rsid w:val="00383510"/>
    <w:rsid w:val="00383631"/>
    <w:rsid w:val="00384CD2"/>
    <w:rsid w:val="00384F20"/>
    <w:rsid w:val="00385337"/>
    <w:rsid w:val="00386680"/>
    <w:rsid w:val="0038722D"/>
    <w:rsid w:val="00387876"/>
    <w:rsid w:val="00387B21"/>
    <w:rsid w:val="003906C9"/>
    <w:rsid w:val="003907AB"/>
    <w:rsid w:val="00391231"/>
    <w:rsid w:val="0039123A"/>
    <w:rsid w:val="00391C93"/>
    <w:rsid w:val="00391DEF"/>
    <w:rsid w:val="0039371F"/>
    <w:rsid w:val="00393E09"/>
    <w:rsid w:val="00393E4C"/>
    <w:rsid w:val="00393EF6"/>
    <w:rsid w:val="0039471D"/>
    <w:rsid w:val="00394760"/>
    <w:rsid w:val="003949CC"/>
    <w:rsid w:val="0039515B"/>
    <w:rsid w:val="00396A91"/>
    <w:rsid w:val="00397180"/>
    <w:rsid w:val="003972CE"/>
    <w:rsid w:val="00397922"/>
    <w:rsid w:val="003A0497"/>
    <w:rsid w:val="003A187B"/>
    <w:rsid w:val="003A199E"/>
    <w:rsid w:val="003A1D73"/>
    <w:rsid w:val="003A1E59"/>
    <w:rsid w:val="003A25AE"/>
    <w:rsid w:val="003A2B18"/>
    <w:rsid w:val="003A2CF0"/>
    <w:rsid w:val="003A31A2"/>
    <w:rsid w:val="003A33C9"/>
    <w:rsid w:val="003A38EC"/>
    <w:rsid w:val="003A3E18"/>
    <w:rsid w:val="003A4400"/>
    <w:rsid w:val="003A45C3"/>
    <w:rsid w:val="003A4663"/>
    <w:rsid w:val="003A4A0B"/>
    <w:rsid w:val="003A55AE"/>
    <w:rsid w:val="003A5733"/>
    <w:rsid w:val="003A5860"/>
    <w:rsid w:val="003A5F50"/>
    <w:rsid w:val="003A67CD"/>
    <w:rsid w:val="003A7FA3"/>
    <w:rsid w:val="003B069B"/>
    <w:rsid w:val="003B0E3F"/>
    <w:rsid w:val="003B121E"/>
    <w:rsid w:val="003B19A0"/>
    <w:rsid w:val="003B1AFF"/>
    <w:rsid w:val="003B1E3C"/>
    <w:rsid w:val="003B23C4"/>
    <w:rsid w:val="003B29ED"/>
    <w:rsid w:val="003B3B6C"/>
    <w:rsid w:val="003B50C1"/>
    <w:rsid w:val="003B57B2"/>
    <w:rsid w:val="003B6E42"/>
    <w:rsid w:val="003B78F3"/>
    <w:rsid w:val="003B7A94"/>
    <w:rsid w:val="003B7F32"/>
    <w:rsid w:val="003C06CC"/>
    <w:rsid w:val="003C08A5"/>
    <w:rsid w:val="003C1099"/>
    <w:rsid w:val="003C4331"/>
    <w:rsid w:val="003C4384"/>
    <w:rsid w:val="003C6709"/>
    <w:rsid w:val="003D067B"/>
    <w:rsid w:val="003D0F57"/>
    <w:rsid w:val="003D1261"/>
    <w:rsid w:val="003D1F6A"/>
    <w:rsid w:val="003D2152"/>
    <w:rsid w:val="003D2B61"/>
    <w:rsid w:val="003D2CD8"/>
    <w:rsid w:val="003D342E"/>
    <w:rsid w:val="003D4AB7"/>
    <w:rsid w:val="003D4C5D"/>
    <w:rsid w:val="003D4E09"/>
    <w:rsid w:val="003D4FAD"/>
    <w:rsid w:val="003D54D5"/>
    <w:rsid w:val="003E01EC"/>
    <w:rsid w:val="003E0817"/>
    <w:rsid w:val="003E2D3F"/>
    <w:rsid w:val="003E51C8"/>
    <w:rsid w:val="003E63F9"/>
    <w:rsid w:val="003E646F"/>
    <w:rsid w:val="003E7A74"/>
    <w:rsid w:val="003E7DCE"/>
    <w:rsid w:val="003F0B31"/>
    <w:rsid w:val="003F0D32"/>
    <w:rsid w:val="003F0FE3"/>
    <w:rsid w:val="003F10E4"/>
    <w:rsid w:val="003F118C"/>
    <w:rsid w:val="003F3675"/>
    <w:rsid w:val="003F4107"/>
    <w:rsid w:val="003F4E9F"/>
    <w:rsid w:val="003F5191"/>
    <w:rsid w:val="003F5307"/>
    <w:rsid w:val="003F577C"/>
    <w:rsid w:val="003F69BA"/>
    <w:rsid w:val="004011D5"/>
    <w:rsid w:val="00401C20"/>
    <w:rsid w:val="00402542"/>
    <w:rsid w:val="004025C0"/>
    <w:rsid w:val="00402EA1"/>
    <w:rsid w:val="00403114"/>
    <w:rsid w:val="00403328"/>
    <w:rsid w:val="0040339C"/>
    <w:rsid w:val="00404006"/>
    <w:rsid w:val="00404899"/>
    <w:rsid w:val="00404C96"/>
    <w:rsid w:val="004052F5"/>
    <w:rsid w:val="00405D18"/>
    <w:rsid w:val="00406CBC"/>
    <w:rsid w:val="004070E9"/>
    <w:rsid w:val="00407F8B"/>
    <w:rsid w:val="004109BB"/>
    <w:rsid w:val="00410D57"/>
    <w:rsid w:val="004117CC"/>
    <w:rsid w:val="0041208E"/>
    <w:rsid w:val="004120B2"/>
    <w:rsid w:val="00412732"/>
    <w:rsid w:val="0041293B"/>
    <w:rsid w:val="00413BCA"/>
    <w:rsid w:val="00414985"/>
    <w:rsid w:val="00414F2D"/>
    <w:rsid w:val="00414FC9"/>
    <w:rsid w:val="00415512"/>
    <w:rsid w:val="00416619"/>
    <w:rsid w:val="0041737A"/>
    <w:rsid w:val="0041778B"/>
    <w:rsid w:val="00417F39"/>
    <w:rsid w:val="0042167E"/>
    <w:rsid w:val="00421889"/>
    <w:rsid w:val="00421DF8"/>
    <w:rsid w:val="004228D7"/>
    <w:rsid w:val="00422910"/>
    <w:rsid w:val="004230A1"/>
    <w:rsid w:val="00423AA3"/>
    <w:rsid w:val="00423ABC"/>
    <w:rsid w:val="00424B76"/>
    <w:rsid w:val="00425066"/>
    <w:rsid w:val="004253D2"/>
    <w:rsid w:val="004259AD"/>
    <w:rsid w:val="00425A9B"/>
    <w:rsid w:val="00425D56"/>
    <w:rsid w:val="004260BB"/>
    <w:rsid w:val="004260CD"/>
    <w:rsid w:val="004263B4"/>
    <w:rsid w:val="00426622"/>
    <w:rsid w:val="00426B06"/>
    <w:rsid w:val="0042702E"/>
    <w:rsid w:val="0042758F"/>
    <w:rsid w:val="004312B8"/>
    <w:rsid w:val="004319C7"/>
    <w:rsid w:val="00432847"/>
    <w:rsid w:val="00432C62"/>
    <w:rsid w:val="00433126"/>
    <w:rsid w:val="00433293"/>
    <w:rsid w:val="004345A4"/>
    <w:rsid w:val="004359C0"/>
    <w:rsid w:val="00435C9D"/>
    <w:rsid w:val="00436AFB"/>
    <w:rsid w:val="00436E1B"/>
    <w:rsid w:val="00437105"/>
    <w:rsid w:val="004374C6"/>
    <w:rsid w:val="00437861"/>
    <w:rsid w:val="00437A21"/>
    <w:rsid w:val="00437B56"/>
    <w:rsid w:val="00441021"/>
    <w:rsid w:val="00441F0D"/>
    <w:rsid w:val="004424C7"/>
    <w:rsid w:val="00442650"/>
    <w:rsid w:val="00442AE2"/>
    <w:rsid w:val="00443486"/>
    <w:rsid w:val="004440BE"/>
    <w:rsid w:val="0044425B"/>
    <w:rsid w:val="00445C0C"/>
    <w:rsid w:val="0044616A"/>
    <w:rsid w:val="00447353"/>
    <w:rsid w:val="00450959"/>
    <w:rsid w:val="00450F6F"/>
    <w:rsid w:val="00451C33"/>
    <w:rsid w:val="00451F11"/>
    <w:rsid w:val="00451F3C"/>
    <w:rsid w:val="00452781"/>
    <w:rsid w:val="00452D01"/>
    <w:rsid w:val="00453A07"/>
    <w:rsid w:val="00454EF8"/>
    <w:rsid w:val="004552CD"/>
    <w:rsid w:val="00456D11"/>
    <w:rsid w:val="004577FB"/>
    <w:rsid w:val="004578B0"/>
    <w:rsid w:val="00457FB9"/>
    <w:rsid w:val="0046061A"/>
    <w:rsid w:val="004607A5"/>
    <w:rsid w:val="00460998"/>
    <w:rsid w:val="00460BCD"/>
    <w:rsid w:val="004610F9"/>
    <w:rsid w:val="004612F6"/>
    <w:rsid w:val="0046155C"/>
    <w:rsid w:val="004622FF"/>
    <w:rsid w:val="004623B7"/>
    <w:rsid w:val="00462683"/>
    <w:rsid w:val="004626E6"/>
    <w:rsid w:val="0046299F"/>
    <w:rsid w:val="00464AB0"/>
    <w:rsid w:val="00465E35"/>
    <w:rsid w:val="00466435"/>
    <w:rsid w:val="004666B5"/>
    <w:rsid w:val="0046735A"/>
    <w:rsid w:val="0046789D"/>
    <w:rsid w:val="0047103A"/>
    <w:rsid w:val="004713EF"/>
    <w:rsid w:val="004722B9"/>
    <w:rsid w:val="00472D78"/>
    <w:rsid w:val="004731D9"/>
    <w:rsid w:val="0047394A"/>
    <w:rsid w:val="00474025"/>
    <w:rsid w:val="00474B05"/>
    <w:rsid w:val="00475010"/>
    <w:rsid w:val="0047573B"/>
    <w:rsid w:val="00475BAE"/>
    <w:rsid w:val="00475BDD"/>
    <w:rsid w:val="00475C98"/>
    <w:rsid w:val="00475CE1"/>
    <w:rsid w:val="004764DC"/>
    <w:rsid w:val="00477984"/>
    <w:rsid w:val="00482F0C"/>
    <w:rsid w:val="004833C0"/>
    <w:rsid w:val="004833F1"/>
    <w:rsid w:val="00483AB6"/>
    <w:rsid w:val="00483D1C"/>
    <w:rsid w:val="0048499C"/>
    <w:rsid w:val="00484A39"/>
    <w:rsid w:val="00485903"/>
    <w:rsid w:val="0048608E"/>
    <w:rsid w:val="00486C5A"/>
    <w:rsid w:val="00486F3F"/>
    <w:rsid w:val="00487011"/>
    <w:rsid w:val="00490E79"/>
    <w:rsid w:val="00491174"/>
    <w:rsid w:val="00491877"/>
    <w:rsid w:val="00492646"/>
    <w:rsid w:val="004929E0"/>
    <w:rsid w:val="004929EA"/>
    <w:rsid w:val="00492E95"/>
    <w:rsid w:val="0049393D"/>
    <w:rsid w:val="00494E2D"/>
    <w:rsid w:val="004969AE"/>
    <w:rsid w:val="004970F0"/>
    <w:rsid w:val="0049777A"/>
    <w:rsid w:val="0049784E"/>
    <w:rsid w:val="004A0ABA"/>
    <w:rsid w:val="004A102D"/>
    <w:rsid w:val="004A13B7"/>
    <w:rsid w:val="004A1BC1"/>
    <w:rsid w:val="004A1DE8"/>
    <w:rsid w:val="004A1EF9"/>
    <w:rsid w:val="004A3267"/>
    <w:rsid w:val="004A4767"/>
    <w:rsid w:val="004A4DDF"/>
    <w:rsid w:val="004A4DE3"/>
    <w:rsid w:val="004A4ECD"/>
    <w:rsid w:val="004A52A6"/>
    <w:rsid w:val="004A6628"/>
    <w:rsid w:val="004A69C5"/>
    <w:rsid w:val="004A6B3D"/>
    <w:rsid w:val="004A6D95"/>
    <w:rsid w:val="004B04A7"/>
    <w:rsid w:val="004B068C"/>
    <w:rsid w:val="004B12B4"/>
    <w:rsid w:val="004B1536"/>
    <w:rsid w:val="004B180B"/>
    <w:rsid w:val="004B1C0F"/>
    <w:rsid w:val="004B2201"/>
    <w:rsid w:val="004B32B4"/>
    <w:rsid w:val="004B4F1F"/>
    <w:rsid w:val="004B4FCC"/>
    <w:rsid w:val="004B52F5"/>
    <w:rsid w:val="004B5564"/>
    <w:rsid w:val="004B55EC"/>
    <w:rsid w:val="004B5ECC"/>
    <w:rsid w:val="004B60AB"/>
    <w:rsid w:val="004B675A"/>
    <w:rsid w:val="004B67F6"/>
    <w:rsid w:val="004B7BCD"/>
    <w:rsid w:val="004C0AAA"/>
    <w:rsid w:val="004C149C"/>
    <w:rsid w:val="004C1C07"/>
    <w:rsid w:val="004C3278"/>
    <w:rsid w:val="004C41CB"/>
    <w:rsid w:val="004C5E16"/>
    <w:rsid w:val="004C5F99"/>
    <w:rsid w:val="004C6081"/>
    <w:rsid w:val="004C6F79"/>
    <w:rsid w:val="004C732E"/>
    <w:rsid w:val="004C7C8C"/>
    <w:rsid w:val="004D0B1D"/>
    <w:rsid w:val="004D1B73"/>
    <w:rsid w:val="004D2477"/>
    <w:rsid w:val="004D2A63"/>
    <w:rsid w:val="004D3B72"/>
    <w:rsid w:val="004D5216"/>
    <w:rsid w:val="004D533B"/>
    <w:rsid w:val="004D6DFE"/>
    <w:rsid w:val="004D74F7"/>
    <w:rsid w:val="004D7A97"/>
    <w:rsid w:val="004E0572"/>
    <w:rsid w:val="004E059C"/>
    <w:rsid w:val="004E0DBE"/>
    <w:rsid w:val="004E1326"/>
    <w:rsid w:val="004E1F87"/>
    <w:rsid w:val="004E2548"/>
    <w:rsid w:val="004E2604"/>
    <w:rsid w:val="004E280E"/>
    <w:rsid w:val="004E3553"/>
    <w:rsid w:val="004E3727"/>
    <w:rsid w:val="004E3E17"/>
    <w:rsid w:val="004E5D74"/>
    <w:rsid w:val="004E6240"/>
    <w:rsid w:val="004E7B73"/>
    <w:rsid w:val="004F03DA"/>
    <w:rsid w:val="004F08D8"/>
    <w:rsid w:val="004F1247"/>
    <w:rsid w:val="004F1F2C"/>
    <w:rsid w:val="004F296A"/>
    <w:rsid w:val="004F31BB"/>
    <w:rsid w:val="004F336C"/>
    <w:rsid w:val="004F3827"/>
    <w:rsid w:val="004F4039"/>
    <w:rsid w:val="004F42B2"/>
    <w:rsid w:val="004F4603"/>
    <w:rsid w:val="004F4D3A"/>
    <w:rsid w:val="004F5DC1"/>
    <w:rsid w:val="004F6B00"/>
    <w:rsid w:val="004F7025"/>
    <w:rsid w:val="004F7135"/>
    <w:rsid w:val="004F7428"/>
    <w:rsid w:val="004F7881"/>
    <w:rsid w:val="004F78A6"/>
    <w:rsid w:val="004F7F9A"/>
    <w:rsid w:val="00500317"/>
    <w:rsid w:val="0050183A"/>
    <w:rsid w:val="00501C15"/>
    <w:rsid w:val="0050229B"/>
    <w:rsid w:val="0050235D"/>
    <w:rsid w:val="00502AEB"/>
    <w:rsid w:val="005038AC"/>
    <w:rsid w:val="00504654"/>
    <w:rsid w:val="00504CF2"/>
    <w:rsid w:val="005051FC"/>
    <w:rsid w:val="005053E8"/>
    <w:rsid w:val="00506A62"/>
    <w:rsid w:val="005073A9"/>
    <w:rsid w:val="00507EB4"/>
    <w:rsid w:val="00507ED7"/>
    <w:rsid w:val="00507F58"/>
    <w:rsid w:val="00510178"/>
    <w:rsid w:val="00510792"/>
    <w:rsid w:val="00510BDA"/>
    <w:rsid w:val="00511461"/>
    <w:rsid w:val="00511C7B"/>
    <w:rsid w:val="005123D5"/>
    <w:rsid w:val="005124BA"/>
    <w:rsid w:val="00512B74"/>
    <w:rsid w:val="005136E2"/>
    <w:rsid w:val="00513DE3"/>
    <w:rsid w:val="0051447F"/>
    <w:rsid w:val="00514974"/>
    <w:rsid w:val="005150C7"/>
    <w:rsid w:val="00515125"/>
    <w:rsid w:val="00516339"/>
    <w:rsid w:val="00516D78"/>
    <w:rsid w:val="0051769C"/>
    <w:rsid w:val="00517AC0"/>
    <w:rsid w:val="00520B50"/>
    <w:rsid w:val="00521636"/>
    <w:rsid w:val="005216DF"/>
    <w:rsid w:val="00521E9F"/>
    <w:rsid w:val="00521F23"/>
    <w:rsid w:val="00522E0B"/>
    <w:rsid w:val="0052426E"/>
    <w:rsid w:val="005247F3"/>
    <w:rsid w:val="0052497C"/>
    <w:rsid w:val="005251D7"/>
    <w:rsid w:val="005255CB"/>
    <w:rsid w:val="00525A55"/>
    <w:rsid w:val="00525F0F"/>
    <w:rsid w:val="00527BA4"/>
    <w:rsid w:val="0053020B"/>
    <w:rsid w:val="0053164B"/>
    <w:rsid w:val="00533582"/>
    <w:rsid w:val="005342ED"/>
    <w:rsid w:val="0053474E"/>
    <w:rsid w:val="00534D0D"/>
    <w:rsid w:val="00534EF6"/>
    <w:rsid w:val="00534F0F"/>
    <w:rsid w:val="00535F15"/>
    <w:rsid w:val="00537A09"/>
    <w:rsid w:val="005400E2"/>
    <w:rsid w:val="00540968"/>
    <w:rsid w:val="00540BE5"/>
    <w:rsid w:val="00540D8A"/>
    <w:rsid w:val="00540FFB"/>
    <w:rsid w:val="00542FEE"/>
    <w:rsid w:val="00544FD3"/>
    <w:rsid w:val="00545157"/>
    <w:rsid w:val="005459E3"/>
    <w:rsid w:val="005470ED"/>
    <w:rsid w:val="00547A1A"/>
    <w:rsid w:val="00547E7D"/>
    <w:rsid w:val="00550258"/>
    <w:rsid w:val="00550E70"/>
    <w:rsid w:val="00551B59"/>
    <w:rsid w:val="00552154"/>
    <w:rsid w:val="005523E4"/>
    <w:rsid w:val="00552515"/>
    <w:rsid w:val="00552C9D"/>
    <w:rsid w:val="00552F80"/>
    <w:rsid w:val="0055383C"/>
    <w:rsid w:val="005542BF"/>
    <w:rsid w:val="005543BB"/>
    <w:rsid w:val="00554653"/>
    <w:rsid w:val="005546CA"/>
    <w:rsid w:val="00554EF6"/>
    <w:rsid w:val="00555030"/>
    <w:rsid w:val="00555049"/>
    <w:rsid w:val="005550AC"/>
    <w:rsid w:val="00555F37"/>
    <w:rsid w:val="00556A2D"/>
    <w:rsid w:val="00557B8B"/>
    <w:rsid w:val="00557CB3"/>
    <w:rsid w:val="005601BC"/>
    <w:rsid w:val="00560F08"/>
    <w:rsid w:val="00561693"/>
    <w:rsid w:val="005626FE"/>
    <w:rsid w:val="00562925"/>
    <w:rsid w:val="00565D11"/>
    <w:rsid w:val="00566128"/>
    <w:rsid w:val="00566175"/>
    <w:rsid w:val="00566730"/>
    <w:rsid w:val="00566816"/>
    <w:rsid w:val="005674FB"/>
    <w:rsid w:val="0057068A"/>
    <w:rsid w:val="00570D45"/>
    <w:rsid w:val="00571FA1"/>
    <w:rsid w:val="00572896"/>
    <w:rsid w:val="0057297C"/>
    <w:rsid w:val="00572B6D"/>
    <w:rsid w:val="00574767"/>
    <w:rsid w:val="00575226"/>
    <w:rsid w:val="005756A9"/>
    <w:rsid w:val="00575E85"/>
    <w:rsid w:val="005766BE"/>
    <w:rsid w:val="00577399"/>
    <w:rsid w:val="00577607"/>
    <w:rsid w:val="0057771D"/>
    <w:rsid w:val="00577834"/>
    <w:rsid w:val="005778CB"/>
    <w:rsid w:val="00577A88"/>
    <w:rsid w:val="00577E6E"/>
    <w:rsid w:val="005801E4"/>
    <w:rsid w:val="00580332"/>
    <w:rsid w:val="00580FB7"/>
    <w:rsid w:val="005815B5"/>
    <w:rsid w:val="0058174E"/>
    <w:rsid w:val="00581B6B"/>
    <w:rsid w:val="005821D2"/>
    <w:rsid w:val="005828E5"/>
    <w:rsid w:val="005847B3"/>
    <w:rsid w:val="00585AFD"/>
    <w:rsid w:val="00585C74"/>
    <w:rsid w:val="00587565"/>
    <w:rsid w:val="00587A98"/>
    <w:rsid w:val="00590603"/>
    <w:rsid w:val="00590D75"/>
    <w:rsid w:val="00590EFE"/>
    <w:rsid w:val="00591223"/>
    <w:rsid w:val="00591346"/>
    <w:rsid w:val="005914AA"/>
    <w:rsid w:val="00591A77"/>
    <w:rsid w:val="00591BEB"/>
    <w:rsid w:val="00592012"/>
    <w:rsid w:val="0059255E"/>
    <w:rsid w:val="005925DC"/>
    <w:rsid w:val="00592C5C"/>
    <w:rsid w:val="005930BF"/>
    <w:rsid w:val="0059408B"/>
    <w:rsid w:val="005943C8"/>
    <w:rsid w:val="005950D1"/>
    <w:rsid w:val="0059513A"/>
    <w:rsid w:val="00595D19"/>
    <w:rsid w:val="00595EDE"/>
    <w:rsid w:val="00596006"/>
    <w:rsid w:val="0059712F"/>
    <w:rsid w:val="00597281"/>
    <w:rsid w:val="005A03A7"/>
    <w:rsid w:val="005A03D0"/>
    <w:rsid w:val="005A0A42"/>
    <w:rsid w:val="005A0DF5"/>
    <w:rsid w:val="005A1F15"/>
    <w:rsid w:val="005A280B"/>
    <w:rsid w:val="005A3C61"/>
    <w:rsid w:val="005A451C"/>
    <w:rsid w:val="005A453D"/>
    <w:rsid w:val="005A4B6F"/>
    <w:rsid w:val="005A4BA7"/>
    <w:rsid w:val="005A4BE4"/>
    <w:rsid w:val="005A77C7"/>
    <w:rsid w:val="005A7A6A"/>
    <w:rsid w:val="005B02AE"/>
    <w:rsid w:val="005B0A7B"/>
    <w:rsid w:val="005B1FD9"/>
    <w:rsid w:val="005B22BA"/>
    <w:rsid w:val="005B2E96"/>
    <w:rsid w:val="005B37D2"/>
    <w:rsid w:val="005B3A01"/>
    <w:rsid w:val="005B3A83"/>
    <w:rsid w:val="005B4738"/>
    <w:rsid w:val="005B4896"/>
    <w:rsid w:val="005B5AF9"/>
    <w:rsid w:val="005B751E"/>
    <w:rsid w:val="005B7E1E"/>
    <w:rsid w:val="005B7EAE"/>
    <w:rsid w:val="005C458B"/>
    <w:rsid w:val="005C4650"/>
    <w:rsid w:val="005C5874"/>
    <w:rsid w:val="005C5B94"/>
    <w:rsid w:val="005C6076"/>
    <w:rsid w:val="005C6692"/>
    <w:rsid w:val="005C7069"/>
    <w:rsid w:val="005C71F7"/>
    <w:rsid w:val="005D0A16"/>
    <w:rsid w:val="005D0C35"/>
    <w:rsid w:val="005D0E86"/>
    <w:rsid w:val="005D13A6"/>
    <w:rsid w:val="005D33F1"/>
    <w:rsid w:val="005D33F6"/>
    <w:rsid w:val="005D34DD"/>
    <w:rsid w:val="005D36FB"/>
    <w:rsid w:val="005D3788"/>
    <w:rsid w:val="005D3E34"/>
    <w:rsid w:val="005D4029"/>
    <w:rsid w:val="005D41A9"/>
    <w:rsid w:val="005D4563"/>
    <w:rsid w:val="005D4669"/>
    <w:rsid w:val="005D4EEF"/>
    <w:rsid w:val="005D50C7"/>
    <w:rsid w:val="005D6037"/>
    <w:rsid w:val="005D6974"/>
    <w:rsid w:val="005D7396"/>
    <w:rsid w:val="005D78D7"/>
    <w:rsid w:val="005E04D9"/>
    <w:rsid w:val="005E0B2F"/>
    <w:rsid w:val="005E1392"/>
    <w:rsid w:val="005E1885"/>
    <w:rsid w:val="005E2930"/>
    <w:rsid w:val="005E2A9F"/>
    <w:rsid w:val="005E2C88"/>
    <w:rsid w:val="005E43BC"/>
    <w:rsid w:val="005E4DC6"/>
    <w:rsid w:val="005E580F"/>
    <w:rsid w:val="005E5AE0"/>
    <w:rsid w:val="005E5CEE"/>
    <w:rsid w:val="005E6B8A"/>
    <w:rsid w:val="005E7CC6"/>
    <w:rsid w:val="005E7DA1"/>
    <w:rsid w:val="005F1851"/>
    <w:rsid w:val="005F1FE0"/>
    <w:rsid w:val="005F2086"/>
    <w:rsid w:val="005F26D2"/>
    <w:rsid w:val="005F2F0F"/>
    <w:rsid w:val="005F3387"/>
    <w:rsid w:val="005F5868"/>
    <w:rsid w:val="005F58F0"/>
    <w:rsid w:val="005F5A66"/>
    <w:rsid w:val="005F65B6"/>
    <w:rsid w:val="005F6E36"/>
    <w:rsid w:val="005F7865"/>
    <w:rsid w:val="006000EA"/>
    <w:rsid w:val="00601278"/>
    <w:rsid w:val="006015EE"/>
    <w:rsid w:val="00601A09"/>
    <w:rsid w:val="00601C86"/>
    <w:rsid w:val="00601C9A"/>
    <w:rsid w:val="006022DD"/>
    <w:rsid w:val="006027EB"/>
    <w:rsid w:val="006029F6"/>
    <w:rsid w:val="00602AC4"/>
    <w:rsid w:val="00603D91"/>
    <w:rsid w:val="0060407F"/>
    <w:rsid w:val="00604710"/>
    <w:rsid w:val="006048F0"/>
    <w:rsid w:val="0060490F"/>
    <w:rsid w:val="00605A2B"/>
    <w:rsid w:val="00605AB6"/>
    <w:rsid w:val="00605E66"/>
    <w:rsid w:val="00606079"/>
    <w:rsid w:val="00607413"/>
    <w:rsid w:val="00610051"/>
    <w:rsid w:val="006101E6"/>
    <w:rsid w:val="00610F29"/>
    <w:rsid w:val="006118D8"/>
    <w:rsid w:val="0061212D"/>
    <w:rsid w:val="006125DF"/>
    <w:rsid w:val="00612621"/>
    <w:rsid w:val="0061413B"/>
    <w:rsid w:val="00614201"/>
    <w:rsid w:val="00615A01"/>
    <w:rsid w:val="00615EBE"/>
    <w:rsid w:val="00617005"/>
    <w:rsid w:val="00617053"/>
    <w:rsid w:val="00617683"/>
    <w:rsid w:val="00617EC5"/>
    <w:rsid w:val="006207B1"/>
    <w:rsid w:val="00620C98"/>
    <w:rsid w:val="00621788"/>
    <w:rsid w:val="00622760"/>
    <w:rsid w:val="00622AEC"/>
    <w:rsid w:val="00622E35"/>
    <w:rsid w:val="006235B5"/>
    <w:rsid w:val="006238BE"/>
    <w:rsid w:val="0062397D"/>
    <w:rsid w:val="00624551"/>
    <w:rsid w:val="00624BFE"/>
    <w:rsid w:val="006251D5"/>
    <w:rsid w:val="00626ACD"/>
    <w:rsid w:val="00627A19"/>
    <w:rsid w:val="00630384"/>
    <w:rsid w:val="00630692"/>
    <w:rsid w:val="00631209"/>
    <w:rsid w:val="0063134A"/>
    <w:rsid w:val="0063183A"/>
    <w:rsid w:val="00631853"/>
    <w:rsid w:val="00631F38"/>
    <w:rsid w:val="00632CC0"/>
    <w:rsid w:val="00632D85"/>
    <w:rsid w:val="00633C31"/>
    <w:rsid w:val="00634BB0"/>
    <w:rsid w:val="00634F47"/>
    <w:rsid w:val="006366C4"/>
    <w:rsid w:val="00636739"/>
    <w:rsid w:val="00636CBE"/>
    <w:rsid w:val="00636ED1"/>
    <w:rsid w:val="00637235"/>
    <w:rsid w:val="006372B4"/>
    <w:rsid w:val="00637744"/>
    <w:rsid w:val="006378AB"/>
    <w:rsid w:val="00640C57"/>
    <w:rsid w:val="00640F74"/>
    <w:rsid w:val="006411CC"/>
    <w:rsid w:val="006411D6"/>
    <w:rsid w:val="006417E7"/>
    <w:rsid w:val="0064185F"/>
    <w:rsid w:val="00641D48"/>
    <w:rsid w:val="006420D3"/>
    <w:rsid w:val="00643312"/>
    <w:rsid w:val="006449D3"/>
    <w:rsid w:val="0064598C"/>
    <w:rsid w:val="00645C88"/>
    <w:rsid w:val="00645DC2"/>
    <w:rsid w:val="006460B8"/>
    <w:rsid w:val="00646605"/>
    <w:rsid w:val="00646835"/>
    <w:rsid w:val="00647555"/>
    <w:rsid w:val="00650407"/>
    <w:rsid w:val="006506FA"/>
    <w:rsid w:val="00650BF7"/>
    <w:rsid w:val="00651633"/>
    <w:rsid w:val="00651CF6"/>
    <w:rsid w:val="006524D7"/>
    <w:rsid w:val="00653F64"/>
    <w:rsid w:val="00654BE7"/>
    <w:rsid w:val="00654C4A"/>
    <w:rsid w:val="0065543E"/>
    <w:rsid w:val="00655673"/>
    <w:rsid w:val="00655CB8"/>
    <w:rsid w:val="00655D67"/>
    <w:rsid w:val="006564DE"/>
    <w:rsid w:val="00656703"/>
    <w:rsid w:val="00656C95"/>
    <w:rsid w:val="00657685"/>
    <w:rsid w:val="006577C2"/>
    <w:rsid w:val="00657B5F"/>
    <w:rsid w:val="00660AE6"/>
    <w:rsid w:val="00661577"/>
    <w:rsid w:val="00661EDB"/>
    <w:rsid w:val="00661EFC"/>
    <w:rsid w:val="00662829"/>
    <w:rsid w:val="0066363B"/>
    <w:rsid w:val="00663A48"/>
    <w:rsid w:val="006640A7"/>
    <w:rsid w:val="0066468D"/>
    <w:rsid w:val="006658D9"/>
    <w:rsid w:val="00666507"/>
    <w:rsid w:val="0066690E"/>
    <w:rsid w:val="006670E8"/>
    <w:rsid w:val="006703C3"/>
    <w:rsid w:val="00670801"/>
    <w:rsid w:val="00670E21"/>
    <w:rsid w:val="0067117C"/>
    <w:rsid w:val="006722F3"/>
    <w:rsid w:val="00672343"/>
    <w:rsid w:val="0067234B"/>
    <w:rsid w:val="00672915"/>
    <w:rsid w:val="00672B58"/>
    <w:rsid w:val="00673901"/>
    <w:rsid w:val="00673AC2"/>
    <w:rsid w:val="00673E3E"/>
    <w:rsid w:val="00674E57"/>
    <w:rsid w:val="006752ED"/>
    <w:rsid w:val="0067580C"/>
    <w:rsid w:val="00676844"/>
    <w:rsid w:val="006768E6"/>
    <w:rsid w:val="0067785E"/>
    <w:rsid w:val="0067796E"/>
    <w:rsid w:val="00677D30"/>
    <w:rsid w:val="006801C7"/>
    <w:rsid w:val="006808AA"/>
    <w:rsid w:val="006814FE"/>
    <w:rsid w:val="006824C3"/>
    <w:rsid w:val="006828AF"/>
    <w:rsid w:val="00682D7D"/>
    <w:rsid w:val="006832FA"/>
    <w:rsid w:val="006835AD"/>
    <w:rsid w:val="00683C79"/>
    <w:rsid w:val="006841AF"/>
    <w:rsid w:val="006842EC"/>
    <w:rsid w:val="00685C34"/>
    <w:rsid w:val="0068608A"/>
    <w:rsid w:val="006868D9"/>
    <w:rsid w:val="00686F2B"/>
    <w:rsid w:val="00687A43"/>
    <w:rsid w:val="0069043F"/>
    <w:rsid w:val="00690C8D"/>
    <w:rsid w:val="00690D4A"/>
    <w:rsid w:val="0069276A"/>
    <w:rsid w:val="00692CB3"/>
    <w:rsid w:val="00693268"/>
    <w:rsid w:val="00694DBC"/>
    <w:rsid w:val="00695C5D"/>
    <w:rsid w:val="0069730E"/>
    <w:rsid w:val="0069735E"/>
    <w:rsid w:val="00697F62"/>
    <w:rsid w:val="006A0065"/>
    <w:rsid w:val="006A0291"/>
    <w:rsid w:val="006A126D"/>
    <w:rsid w:val="006A13D3"/>
    <w:rsid w:val="006A1555"/>
    <w:rsid w:val="006A19BB"/>
    <w:rsid w:val="006A1A81"/>
    <w:rsid w:val="006A1CC0"/>
    <w:rsid w:val="006A207D"/>
    <w:rsid w:val="006A2096"/>
    <w:rsid w:val="006A2CF7"/>
    <w:rsid w:val="006A2F66"/>
    <w:rsid w:val="006A3455"/>
    <w:rsid w:val="006A3513"/>
    <w:rsid w:val="006A37CF"/>
    <w:rsid w:val="006A39F3"/>
    <w:rsid w:val="006A4A79"/>
    <w:rsid w:val="006A61B7"/>
    <w:rsid w:val="006A67A2"/>
    <w:rsid w:val="006A6988"/>
    <w:rsid w:val="006A72ED"/>
    <w:rsid w:val="006A779A"/>
    <w:rsid w:val="006B054E"/>
    <w:rsid w:val="006B131F"/>
    <w:rsid w:val="006B1AEE"/>
    <w:rsid w:val="006B1E02"/>
    <w:rsid w:val="006B240E"/>
    <w:rsid w:val="006B293F"/>
    <w:rsid w:val="006B29C2"/>
    <w:rsid w:val="006B3079"/>
    <w:rsid w:val="006B3441"/>
    <w:rsid w:val="006B4081"/>
    <w:rsid w:val="006B4B13"/>
    <w:rsid w:val="006B4CA8"/>
    <w:rsid w:val="006B4D3A"/>
    <w:rsid w:val="006B4D67"/>
    <w:rsid w:val="006B5701"/>
    <w:rsid w:val="006B62FB"/>
    <w:rsid w:val="006B65C4"/>
    <w:rsid w:val="006B685A"/>
    <w:rsid w:val="006B6FFB"/>
    <w:rsid w:val="006B7575"/>
    <w:rsid w:val="006B7A37"/>
    <w:rsid w:val="006B7EDD"/>
    <w:rsid w:val="006C0A87"/>
    <w:rsid w:val="006C0DC6"/>
    <w:rsid w:val="006C1118"/>
    <w:rsid w:val="006C15D6"/>
    <w:rsid w:val="006C169F"/>
    <w:rsid w:val="006C21C2"/>
    <w:rsid w:val="006C2A4A"/>
    <w:rsid w:val="006C2B1F"/>
    <w:rsid w:val="006C3256"/>
    <w:rsid w:val="006C3FCE"/>
    <w:rsid w:val="006C3FEA"/>
    <w:rsid w:val="006C4ED0"/>
    <w:rsid w:val="006C5828"/>
    <w:rsid w:val="006C699B"/>
    <w:rsid w:val="006C69C4"/>
    <w:rsid w:val="006C7112"/>
    <w:rsid w:val="006C76DB"/>
    <w:rsid w:val="006D22EF"/>
    <w:rsid w:val="006D23DB"/>
    <w:rsid w:val="006D2669"/>
    <w:rsid w:val="006D34D1"/>
    <w:rsid w:val="006D36B8"/>
    <w:rsid w:val="006D3A8E"/>
    <w:rsid w:val="006D623F"/>
    <w:rsid w:val="006D678B"/>
    <w:rsid w:val="006D6B54"/>
    <w:rsid w:val="006D6EC3"/>
    <w:rsid w:val="006D7AF5"/>
    <w:rsid w:val="006E06D6"/>
    <w:rsid w:val="006E090E"/>
    <w:rsid w:val="006E1A4B"/>
    <w:rsid w:val="006E1EFE"/>
    <w:rsid w:val="006E3120"/>
    <w:rsid w:val="006E44EE"/>
    <w:rsid w:val="006E459B"/>
    <w:rsid w:val="006E4735"/>
    <w:rsid w:val="006E5318"/>
    <w:rsid w:val="006E54B6"/>
    <w:rsid w:val="006E6ADD"/>
    <w:rsid w:val="006E7110"/>
    <w:rsid w:val="006E7806"/>
    <w:rsid w:val="006F022D"/>
    <w:rsid w:val="006F1133"/>
    <w:rsid w:val="006F1819"/>
    <w:rsid w:val="006F2E50"/>
    <w:rsid w:val="006F2F78"/>
    <w:rsid w:val="006F31EA"/>
    <w:rsid w:val="006F37FE"/>
    <w:rsid w:val="006F400C"/>
    <w:rsid w:val="006F4616"/>
    <w:rsid w:val="006F5310"/>
    <w:rsid w:val="006F5B70"/>
    <w:rsid w:val="006F629E"/>
    <w:rsid w:val="006F6E2B"/>
    <w:rsid w:val="007005F7"/>
    <w:rsid w:val="00700949"/>
    <w:rsid w:val="007010CC"/>
    <w:rsid w:val="0070160B"/>
    <w:rsid w:val="007027E7"/>
    <w:rsid w:val="007029ED"/>
    <w:rsid w:val="00702EB0"/>
    <w:rsid w:val="0070387B"/>
    <w:rsid w:val="0070428F"/>
    <w:rsid w:val="00704E25"/>
    <w:rsid w:val="007053D8"/>
    <w:rsid w:val="00705887"/>
    <w:rsid w:val="00705E54"/>
    <w:rsid w:val="00706784"/>
    <w:rsid w:val="00706DDA"/>
    <w:rsid w:val="00707434"/>
    <w:rsid w:val="00707728"/>
    <w:rsid w:val="0070778A"/>
    <w:rsid w:val="00707B79"/>
    <w:rsid w:val="00710F87"/>
    <w:rsid w:val="0071170E"/>
    <w:rsid w:val="00711741"/>
    <w:rsid w:val="00711760"/>
    <w:rsid w:val="0071181A"/>
    <w:rsid w:val="007125D7"/>
    <w:rsid w:val="00712EA5"/>
    <w:rsid w:val="00712EF5"/>
    <w:rsid w:val="00712EF8"/>
    <w:rsid w:val="007133D0"/>
    <w:rsid w:val="007142ED"/>
    <w:rsid w:val="007146A8"/>
    <w:rsid w:val="00714AD7"/>
    <w:rsid w:val="00714F0A"/>
    <w:rsid w:val="00715284"/>
    <w:rsid w:val="007153E7"/>
    <w:rsid w:val="007162D5"/>
    <w:rsid w:val="007208F0"/>
    <w:rsid w:val="00721145"/>
    <w:rsid w:val="00721D7E"/>
    <w:rsid w:val="00722998"/>
    <w:rsid w:val="00722B9A"/>
    <w:rsid w:val="0072364B"/>
    <w:rsid w:val="0072375D"/>
    <w:rsid w:val="007244F5"/>
    <w:rsid w:val="007245BB"/>
    <w:rsid w:val="00724D24"/>
    <w:rsid w:val="00726849"/>
    <w:rsid w:val="00727CCA"/>
    <w:rsid w:val="007306C3"/>
    <w:rsid w:val="00730ABC"/>
    <w:rsid w:val="00730B58"/>
    <w:rsid w:val="00731195"/>
    <w:rsid w:val="00732581"/>
    <w:rsid w:val="00732EDF"/>
    <w:rsid w:val="00733333"/>
    <w:rsid w:val="00733AEC"/>
    <w:rsid w:val="00733E3A"/>
    <w:rsid w:val="0073444A"/>
    <w:rsid w:val="00734964"/>
    <w:rsid w:val="00734AE8"/>
    <w:rsid w:val="007353A1"/>
    <w:rsid w:val="00736576"/>
    <w:rsid w:val="0073738C"/>
    <w:rsid w:val="00737808"/>
    <w:rsid w:val="00740573"/>
    <w:rsid w:val="00740731"/>
    <w:rsid w:val="00740A6D"/>
    <w:rsid w:val="00740E1A"/>
    <w:rsid w:val="00741818"/>
    <w:rsid w:val="00741AB9"/>
    <w:rsid w:val="0074220F"/>
    <w:rsid w:val="007422FC"/>
    <w:rsid w:val="007429BF"/>
    <w:rsid w:val="00742A1A"/>
    <w:rsid w:val="00742CBB"/>
    <w:rsid w:val="00742D9F"/>
    <w:rsid w:val="00744DC2"/>
    <w:rsid w:val="00745124"/>
    <w:rsid w:val="0074553E"/>
    <w:rsid w:val="00745611"/>
    <w:rsid w:val="007458FB"/>
    <w:rsid w:val="00747046"/>
    <w:rsid w:val="007473BA"/>
    <w:rsid w:val="00747478"/>
    <w:rsid w:val="0075080A"/>
    <w:rsid w:val="00750B88"/>
    <w:rsid w:val="00752ABB"/>
    <w:rsid w:val="00752E77"/>
    <w:rsid w:val="007531B2"/>
    <w:rsid w:val="00753C58"/>
    <w:rsid w:val="00754675"/>
    <w:rsid w:val="00755916"/>
    <w:rsid w:val="00755FB8"/>
    <w:rsid w:val="007564E1"/>
    <w:rsid w:val="00760252"/>
    <w:rsid w:val="00760336"/>
    <w:rsid w:val="0076076E"/>
    <w:rsid w:val="00761D92"/>
    <w:rsid w:val="0076203C"/>
    <w:rsid w:val="007626EA"/>
    <w:rsid w:val="00763E04"/>
    <w:rsid w:val="00764039"/>
    <w:rsid w:val="00764667"/>
    <w:rsid w:val="00764978"/>
    <w:rsid w:val="00764BC1"/>
    <w:rsid w:val="0076501C"/>
    <w:rsid w:val="007650B1"/>
    <w:rsid w:val="00765609"/>
    <w:rsid w:val="007657D0"/>
    <w:rsid w:val="00765939"/>
    <w:rsid w:val="00766F48"/>
    <w:rsid w:val="0076746C"/>
    <w:rsid w:val="007703AA"/>
    <w:rsid w:val="00770527"/>
    <w:rsid w:val="007710D5"/>
    <w:rsid w:val="007715EE"/>
    <w:rsid w:val="00771BFF"/>
    <w:rsid w:val="00771F70"/>
    <w:rsid w:val="00771F74"/>
    <w:rsid w:val="007720BE"/>
    <w:rsid w:val="00772953"/>
    <w:rsid w:val="00772E89"/>
    <w:rsid w:val="00773076"/>
    <w:rsid w:val="00773C70"/>
    <w:rsid w:val="007750EC"/>
    <w:rsid w:val="0077530A"/>
    <w:rsid w:val="0077542F"/>
    <w:rsid w:val="0077631B"/>
    <w:rsid w:val="00777AB1"/>
    <w:rsid w:val="00777CD5"/>
    <w:rsid w:val="007813F2"/>
    <w:rsid w:val="00781537"/>
    <w:rsid w:val="00781F9B"/>
    <w:rsid w:val="0078254D"/>
    <w:rsid w:val="00782DE7"/>
    <w:rsid w:val="007830BD"/>
    <w:rsid w:val="0078318D"/>
    <w:rsid w:val="00783C59"/>
    <w:rsid w:val="007849DB"/>
    <w:rsid w:val="00784B44"/>
    <w:rsid w:val="007855BA"/>
    <w:rsid w:val="007868E1"/>
    <w:rsid w:val="0078707B"/>
    <w:rsid w:val="00787355"/>
    <w:rsid w:val="007875BB"/>
    <w:rsid w:val="00787B63"/>
    <w:rsid w:val="00787D05"/>
    <w:rsid w:val="00791847"/>
    <w:rsid w:val="007934B1"/>
    <w:rsid w:val="007948E3"/>
    <w:rsid w:val="0079560A"/>
    <w:rsid w:val="007974DA"/>
    <w:rsid w:val="007A0AC0"/>
    <w:rsid w:val="007A0CC0"/>
    <w:rsid w:val="007A0CF2"/>
    <w:rsid w:val="007A1150"/>
    <w:rsid w:val="007A145C"/>
    <w:rsid w:val="007A2557"/>
    <w:rsid w:val="007A2CFC"/>
    <w:rsid w:val="007A30A6"/>
    <w:rsid w:val="007A490A"/>
    <w:rsid w:val="007A4C19"/>
    <w:rsid w:val="007A4DE0"/>
    <w:rsid w:val="007A51EC"/>
    <w:rsid w:val="007A5CAB"/>
    <w:rsid w:val="007A6327"/>
    <w:rsid w:val="007A690A"/>
    <w:rsid w:val="007A6BD2"/>
    <w:rsid w:val="007A6CA7"/>
    <w:rsid w:val="007A7DC1"/>
    <w:rsid w:val="007B19D3"/>
    <w:rsid w:val="007B1B50"/>
    <w:rsid w:val="007B1BDB"/>
    <w:rsid w:val="007B2994"/>
    <w:rsid w:val="007B2B57"/>
    <w:rsid w:val="007B2F70"/>
    <w:rsid w:val="007B3141"/>
    <w:rsid w:val="007B379B"/>
    <w:rsid w:val="007B3B57"/>
    <w:rsid w:val="007B3DF0"/>
    <w:rsid w:val="007B4A61"/>
    <w:rsid w:val="007B4A6D"/>
    <w:rsid w:val="007B4C83"/>
    <w:rsid w:val="007B504A"/>
    <w:rsid w:val="007B5790"/>
    <w:rsid w:val="007B712C"/>
    <w:rsid w:val="007B7795"/>
    <w:rsid w:val="007C00B8"/>
    <w:rsid w:val="007C057A"/>
    <w:rsid w:val="007C0AE2"/>
    <w:rsid w:val="007C149D"/>
    <w:rsid w:val="007C234D"/>
    <w:rsid w:val="007C252F"/>
    <w:rsid w:val="007C2868"/>
    <w:rsid w:val="007C3724"/>
    <w:rsid w:val="007C465F"/>
    <w:rsid w:val="007C5C28"/>
    <w:rsid w:val="007C6AEB"/>
    <w:rsid w:val="007C6D35"/>
    <w:rsid w:val="007C733C"/>
    <w:rsid w:val="007C7909"/>
    <w:rsid w:val="007C7F8B"/>
    <w:rsid w:val="007D17CC"/>
    <w:rsid w:val="007D223E"/>
    <w:rsid w:val="007D2307"/>
    <w:rsid w:val="007D2630"/>
    <w:rsid w:val="007D29C2"/>
    <w:rsid w:val="007D2E90"/>
    <w:rsid w:val="007D4314"/>
    <w:rsid w:val="007D49E3"/>
    <w:rsid w:val="007D4A34"/>
    <w:rsid w:val="007D4EEB"/>
    <w:rsid w:val="007D5187"/>
    <w:rsid w:val="007D6431"/>
    <w:rsid w:val="007D69A0"/>
    <w:rsid w:val="007D69C7"/>
    <w:rsid w:val="007D6C87"/>
    <w:rsid w:val="007D7966"/>
    <w:rsid w:val="007D79C4"/>
    <w:rsid w:val="007D7C49"/>
    <w:rsid w:val="007D7C6E"/>
    <w:rsid w:val="007E0D61"/>
    <w:rsid w:val="007E1436"/>
    <w:rsid w:val="007E3D17"/>
    <w:rsid w:val="007E3E04"/>
    <w:rsid w:val="007E4080"/>
    <w:rsid w:val="007E53F5"/>
    <w:rsid w:val="007E62CF"/>
    <w:rsid w:val="007E63A8"/>
    <w:rsid w:val="007E6427"/>
    <w:rsid w:val="007E66AB"/>
    <w:rsid w:val="007E7C82"/>
    <w:rsid w:val="007F0468"/>
    <w:rsid w:val="007F0784"/>
    <w:rsid w:val="007F19F8"/>
    <w:rsid w:val="007F1AAC"/>
    <w:rsid w:val="007F27E5"/>
    <w:rsid w:val="007F2928"/>
    <w:rsid w:val="007F325C"/>
    <w:rsid w:val="007F34C1"/>
    <w:rsid w:val="007F3B0C"/>
    <w:rsid w:val="007F42E5"/>
    <w:rsid w:val="007F4898"/>
    <w:rsid w:val="007F5130"/>
    <w:rsid w:val="007F7CF1"/>
    <w:rsid w:val="00800600"/>
    <w:rsid w:val="008015A0"/>
    <w:rsid w:val="00801DD7"/>
    <w:rsid w:val="00801F71"/>
    <w:rsid w:val="008023FE"/>
    <w:rsid w:val="00804235"/>
    <w:rsid w:val="00805600"/>
    <w:rsid w:val="00805605"/>
    <w:rsid w:val="00805DD2"/>
    <w:rsid w:val="00805F9E"/>
    <w:rsid w:val="00806139"/>
    <w:rsid w:val="00806FCA"/>
    <w:rsid w:val="0080743B"/>
    <w:rsid w:val="00807725"/>
    <w:rsid w:val="00810390"/>
    <w:rsid w:val="008109D7"/>
    <w:rsid w:val="00811689"/>
    <w:rsid w:val="00811CD8"/>
    <w:rsid w:val="008138EB"/>
    <w:rsid w:val="00814B1A"/>
    <w:rsid w:val="00814B91"/>
    <w:rsid w:val="00814E08"/>
    <w:rsid w:val="00815268"/>
    <w:rsid w:val="008156AA"/>
    <w:rsid w:val="00815A26"/>
    <w:rsid w:val="0081640C"/>
    <w:rsid w:val="0081693F"/>
    <w:rsid w:val="00817157"/>
    <w:rsid w:val="00817FF5"/>
    <w:rsid w:val="0082015B"/>
    <w:rsid w:val="008207DE"/>
    <w:rsid w:val="00820B80"/>
    <w:rsid w:val="00820DCF"/>
    <w:rsid w:val="00821EA1"/>
    <w:rsid w:val="00822E70"/>
    <w:rsid w:val="00823D19"/>
    <w:rsid w:val="00823EA9"/>
    <w:rsid w:val="008240B6"/>
    <w:rsid w:val="008249C0"/>
    <w:rsid w:val="00824D16"/>
    <w:rsid w:val="00825CA1"/>
    <w:rsid w:val="00826A1A"/>
    <w:rsid w:val="00826D66"/>
    <w:rsid w:val="00827435"/>
    <w:rsid w:val="0082787C"/>
    <w:rsid w:val="00830413"/>
    <w:rsid w:val="00830BB9"/>
    <w:rsid w:val="00830CA3"/>
    <w:rsid w:val="00831455"/>
    <w:rsid w:val="008314AE"/>
    <w:rsid w:val="008319A0"/>
    <w:rsid w:val="00832155"/>
    <w:rsid w:val="00832485"/>
    <w:rsid w:val="0083289D"/>
    <w:rsid w:val="00832BB1"/>
    <w:rsid w:val="00832E17"/>
    <w:rsid w:val="00833C2B"/>
    <w:rsid w:val="00834153"/>
    <w:rsid w:val="008342F0"/>
    <w:rsid w:val="0083441F"/>
    <w:rsid w:val="00834E8C"/>
    <w:rsid w:val="00835FDC"/>
    <w:rsid w:val="008361B7"/>
    <w:rsid w:val="008374D0"/>
    <w:rsid w:val="00840694"/>
    <w:rsid w:val="00840807"/>
    <w:rsid w:val="00840CAA"/>
    <w:rsid w:val="00841259"/>
    <w:rsid w:val="008414C4"/>
    <w:rsid w:val="00841A18"/>
    <w:rsid w:val="00842797"/>
    <w:rsid w:val="00844535"/>
    <w:rsid w:val="0084481E"/>
    <w:rsid w:val="00844994"/>
    <w:rsid w:val="00844EDA"/>
    <w:rsid w:val="00844F35"/>
    <w:rsid w:val="008458C8"/>
    <w:rsid w:val="00845CCB"/>
    <w:rsid w:val="00845D58"/>
    <w:rsid w:val="0084608C"/>
    <w:rsid w:val="008460E6"/>
    <w:rsid w:val="00846585"/>
    <w:rsid w:val="00846A5C"/>
    <w:rsid w:val="00846EA9"/>
    <w:rsid w:val="00847AA1"/>
    <w:rsid w:val="00853FCE"/>
    <w:rsid w:val="008542FE"/>
    <w:rsid w:val="00855C71"/>
    <w:rsid w:val="00855FC7"/>
    <w:rsid w:val="00856CCE"/>
    <w:rsid w:val="008574D8"/>
    <w:rsid w:val="00857FE8"/>
    <w:rsid w:val="008608BD"/>
    <w:rsid w:val="00861432"/>
    <w:rsid w:val="008644DF"/>
    <w:rsid w:val="00864640"/>
    <w:rsid w:val="00864B76"/>
    <w:rsid w:val="00866494"/>
    <w:rsid w:val="008664AD"/>
    <w:rsid w:val="00866585"/>
    <w:rsid w:val="008670D6"/>
    <w:rsid w:val="0086781C"/>
    <w:rsid w:val="00867AA4"/>
    <w:rsid w:val="00867BC6"/>
    <w:rsid w:val="008704D2"/>
    <w:rsid w:val="00870D63"/>
    <w:rsid w:val="008711F8"/>
    <w:rsid w:val="00871A27"/>
    <w:rsid w:val="00872093"/>
    <w:rsid w:val="008723BD"/>
    <w:rsid w:val="00872E06"/>
    <w:rsid w:val="00873A25"/>
    <w:rsid w:val="00873E26"/>
    <w:rsid w:val="00874016"/>
    <w:rsid w:val="00874404"/>
    <w:rsid w:val="00874DFD"/>
    <w:rsid w:val="00874EB2"/>
    <w:rsid w:val="0087507A"/>
    <w:rsid w:val="008750E2"/>
    <w:rsid w:val="008753D9"/>
    <w:rsid w:val="008775E8"/>
    <w:rsid w:val="0087778F"/>
    <w:rsid w:val="00877961"/>
    <w:rsid w:val="00880A54"/>
    <w:rsid w:val="008819B2"/>
    <w:rsid w:val="00881B0A"/>
    <w:rsid w:val="00883205"/>
    <w:rsid w:val="00883373"/>
    <w:rsid w:val="00883699"/>
    <w:rsid w:val="0088473B"/>
    <w:rsid w:val="00885AD1"/>
    <w:rsid w:val="008863BF"/>
    <w:rsid w:val="008872E7"/>
    <w:rsid w:val="00887828"/>
    <w:rsid w:val="00890045"/>
    <w:rsid w:val="00890154"/>
    <w:rsid w:val="00890746"/>
    <w:rsid w:val="008914C9"/>
    <w:rsid w:val="008919F4"/>
    <w:rsid w:val="008923EE"/>
    <w:rsid w:val="00892EED"/>
    <w:rsid w:val="00893AAE"/>
    <w:rsid w:val="00894092"/>
    <w:rsid w:val="008947FE"/>
    <w:rsid w:val="00894C05"/>
    <w:rsid w:val="008956D7"/>
    <w:rsid w:val="00895F85"/>
    <w:rsid w:val="00896225"/>
    <w:rsid w:val="00896EAC"/>
    <w:rsid w:val="00897317"/>
    <w:rsid w:val="00897A6E"/>
    <w:rsid w:val="00897CE7"/>
    <w:rsid w:val="00897F84"/>
    <w:rsid w:val="008A11D9"/>
    <w:rsid w:val="008A123D"/>
    <w:rsid w:val="008A18CE"/>
    <w:rsid w:val="008A1C23"/>
    <w:rsid w:val="008A1DA5"/>
    <w:rsid w:val="008A2952"/>
    <w:rsid w:val="008A5741"/>
    <w:rsid w:val="008A5935"/>
    <w:rsid w:val="008A5EB7"/>
    <w:rsid w:val="008A7876"/>
    <w:rsid w:val="008A7DF9"/>
    <w:rsid w:val="008B0635"/>
    <w:rsid w:val="008B080E"/>
    <w:rsid w:val="008B0908"/>
    <w:rsid w:val="008B0FE9"/>
    <w:rsid w:val="008B21FC"/>
    <w:rsid w:val="008B257C"/>
    <w:rsid w:val="008B3029"/>
    <w:rsid w:val="008B316B"/>
    <w:rsid w:val="008B3276"/>
    <w:rsid w:val="008B3F5B"/>
    <w:rsid w:val="008B4CAB"/>
    <w:rsid w:val="008B58AD"/>
    <w:rsid w:val="008B5A59"/>
    <w:rsid w:val="008B65D9"/>
    <w:rsid w:val="008B6C36"/>
    <w:rsid w:val="008B73EF"/>
    <w:rsid w:val="008B78CB"/>
    <w:rsid w:val="008B79EF"/>
    <w:rsid w:val="008B7A01"/>
    <w:rsid w:val="008B7C52"/>
    <w:rsid w:val="008C0A5F"/>
    <w:rsid w:val="008C0DD3"/>
    <w:rsid w:val="008C0EAD"/>
    <w:rsid w:val="008C2D14"/>
    <w:rsid w:val="008C3893"/>
    <w:rsid w:val="008C3F66"/>
    <w:rsid w:val="008C41CF"/>
    <w:rsid w:val="008C433B"/>
    <w:rsid w:val="008C489B"/>
    <w:rsid w:val="008C514D"/>
    <w:rsid w:val="008C5720"/>
    <w:rsid w:val="008C5896"/>
    <w:rsid w:val="008C5BE0"/>
    <w:rsid w:val="008C5E1F"/>
    <w:rsid w:val="008C601C"/>
    <w:rsid w:val="008C6179"/>
    <w:rsid w:val="008D0009"/>
    <w:rsid w:val="008D296A"/>
    <w:rsid w:val="008D323C"/>
    <w:rsid w:val="008D4184"/>
    <w:rsid w:val="008D41EB"/>
    <w:rsid w:val="008D5179"/>
    <w:rsid w:val="008D73B3"/>
    <w:rsid w:val="008D7552"/>
    <w:rsid w:val="008E029B"/>
    <w:rsid w:val="008E07AB"/>
    <w:rsid w:val="008E1641"/>
    <w:rsid w:val="008E34BE"/>
    <w:rsid w:val="008E38BB"/>
    <w:rsid w:val="008E3AE7"/>
    <w:rsid w:val="008E42C6"/>
    <w:rsid w:val="008E42F6"/>
    <w:rsid w:val="008E59C1"/>
    <w:rsid w:val="008E6662"/>
    <w:rsid w:val="008F0342"/>
    <w:rsid w:val="008F0916"/>
    <w:rsid w:val="008F0AF9"/>
    <w:rsid w:val="008F179B"/>
    <w:rsid w:val="008F2D9B"/>
    <w:rsid w:val="008F2EFB"/>
    <w:rsid w:val="008F3472"/>
    <w:rsid w:val="008F38BE"/>
    <w:rsid w:val="008F4BC8"/>
    <w:rsid w:val="008F574E"/>
    <w:rsid w:val="008F57DA"/>
    <w:rsid w:val="008F623D"/>
    <w:rsid w:val="008F6527"/>
    <w:rsid w:val="009007DD"/>
    <w:rsid w:val="009014AF"/>
    <w:rsid w:val="00901F19"/>
    <w:rsid w:val="00902D65"/>
    <w:rsid w:val="00902E5F"/>
    <w:rsid w:val="00903D7E"/>
    <w:rsid w:val="00903E9E"/>
    <w:rsid w:val="00905167"/>
    <w:rsid w:val="0090632A"/>
    <w:rsid w:val="00906AF3"/>
    <w:rsid w:val="00906D16"/>
    <w:rsid w:val="00906EF2"/>
    <w:rsid w:val="00907EAB"/>
    <w:rsid w:val="00911072"/>
    <w:rsid w:val="00912604"/>
    <w:rsid w:val="009130B7"/>
    <w:rsid w:val="009139DF"/>
    <w:rsid w:val="00913C4F"/>
    <w:rsid w:val="0091404C"/>
    <w:rsid w:val="009142E4"/>
    <w:rsid w:val="00915DAD"/>
    <w:rsid w:val="0091670C"/>
    <w:rsid w:val="009167D2"/>
    <w:rsid w:val="00916B68"/>
    <w:rsid w:val="00916C89"/>
    <w:rsid w:val="0091715F"/>
    <w:rsid w:val="009200ED"/>
    <w:rsid w:val="009204D3"/>
    <w:rsid w:val="00920597"/>
    <w:rsid w:val="0092169E"/>
    <w:rsid w:val="0092172B"/>
    <w:rsid w:val="0092181B"/>
    <w:rsid w:val="00921825"/>
    <w:rsid w:val="00922FA5"/>
    <w:rsid w:val="0092318B"/>
    <w:rsid w:val="009236F4"/>
    <w:rsid w:val="00923A8C"/>
    <w:rsid w:val="0092424B"/>
    <w:rsid w:val="0092488A"/>
    <w:rsid w:val="00924BBC"/>
    <w:rsid w:val="00926652"/>
    <w:rsid w:val="00926738"/>
    <w:rsid w:val="00926A7D"/>
    <w:rsid w:val="00931716"/>
    <w:rsid w:val="009318ED"/>
    <w:rsid w:val="00931DD0"/>
    <w:rsid w:val="009335A0"/>
    <w:rsid w:val="00933736"/>
    <w:rsid w:val="0093450D"/>
    <w:rsid w:val="00934B5A"/>
    <w:rsid w:val="009352F1"/>
    <w:rsid w:val="00935EC3"/>
    <w:rsid w:val="00935FA4"/>
    <w:rsid w:val="00936934"/>
    <w:rsid w:val="009374C4"/>
    <w:rsid w:val="00937837"/>
    <w:rsid w:val="00937844"/>
    <w:rsid w:val="009379F4"/>
    <w:rsid w:val="00937DEB"/>
    <w:rsid w:val="009402E4"/>
    <w:rsid w:val="00941D25"/>
    <w:rsid w:val="0094219D"/>
    <w:rsid w:val="0094334B"/>
    <w:rsid w:val="009433F1"/>
    <w:rsid w:val="00943DC9"/>
    <w:rsid w:val="00944409"/>
    <w:rsid w:val="00945126"/>
    <w:rsid w:val="009451F7"/>
    <w:rsid w:val="00945CA1"/>
    <w:rsid w:val="00946A03"/>
    <w:rsid w:val="00946E50"/>
    <w:rsid w:val="00946F65"/>
    <w:rsid w:val="00947858"/>
    <w:rsid w:val="0094796A"/>
    <w:rsid w:val="00947FBD"/>
    <w:rsid w:val="00950D0A"/>
    <w:rsid w:val="00951534"/>
    <w:rsid w:val="009517EE"/>
    <w:rsid w:val="009520AA"/>
    <w:rsid w:val="00952189"/>
    <w:rsid w:val="009526E2"/>
    <w:rsid w:val="00952E72"/>
    <w:rsid w:val="00953017"/>
    <w:rsid w:val="00953973"/>
    <w:rsid w:val="00953BE3"/>
    <w:rsid w:val="009543E8"/>
    <w:rsid w:val="00954861"/>
    <w:rsid w:val="00954A5C"/>
    <w:rsid w:val="00954F56"/>
    <w:rsid w:val="00956087"/>
    <w:rsid w:val="00956BDA"/>
    <w:rsid w:val="009573D1"/>
    <w:rsid w:val="00960051"/>
    <w:rsid w:val="009615B8"/>
    <w:rsid w:val="00961680"/>
    <w:rsid w:val="009621F0"/>
    <w:rsid w:val="00962E00"/>
    <w:rsid w:val="00963B17"/>
    <w:rsid w:val="00964E17"/>
    <w:rsid w:val="00964EB5"/>
    <w:rsid w:val="0096551A"/>
    <w:rsid w:val="00965C00"/>
    <w:rsid w:val="00966149"/>
    <w:rsid w:val="0096661E"/>
    <w:rsid w:val="00967075"/>
    <w:rsid w:val="009677A1"/>
    <w:rsid w:val="00970348"/>
    <w:rsid w:val="00970413"/>
    <w:rsid w:val="009706FF"/>
    <w:rsid w:val="00971C59"/>
    <w:rsid w:val="0097356F"/>
    <w:rsid w:val="00974115"/>
    <w:rsid w:val="0097441B"/>
    <w:rsid w:val="00974917"/>
    <w:rsid w:val="00974ED7"/>
    <w:rsid w:val="0097673B"/>
    <w:rsid w:val="00977035"/>
    <w:rsid w:val="009772FE"/>
    <w:rsid w:val="00977ACE"/>
    <w:rsid w:val="0098029D"/>
    <w:rsid w:val="009807FA"/>
    <w:rsid w:val="009810A2"/>
    <w:rsid w:val="0098133D"/>
    <w:rsid w:val="009825B7"/>
    <w:rsid w:val="009825C0"/>
    <w:rsid w:val="00983002"/>
    <w:rsid w:val="009845D2"/>
    <w:rsid w:val="00986A06"/>
    <w:rsid w:val="00986E63"/>
    <w:rsid w:val="0098749F"/>
    <w:rsid w:val="00987B89"/>
    <w:rsid w:val="00990AC9"/>
    <w:rsid w:val="00990B9E"/>
    <w:rsid w:val="00990C2D"/>
    <w:rsid w:val="009919C6"/>
    <w:rsid w:val="009920F4"/>
    <w:rsid w:val="009922CB"/>
    <w:rsid w:val="0099318D"/>
    <w:rsid w:val="00993593"/>
    <w:rsid w:val="009949B7"/>
    <w:rsid w:val="00995015"/>
    <w:rsid w:val="00995421"/>
    <w:rsid w:val="009959CC"/>
    <w:rsid w:val="00995F02"/>
    <w:rsid w:val="00995F14"/>
    <w:rsid w:val="009A03F7"/>
    <w:rsid w:val="009A12DC"/>
    <w:rsid w:val="009A1348"/>
    <w:rsid w:val="009A177B"/>
    <w:rsid w:val="009A19FF"/>
    <w:rsid w:val="009A2517"/>
    <w:rsid w:val="009A48A2"/>
    <w:rsid w:val="009A4D0C"/>
    <w:rsid w:val="009A4D23"/>
    <w:rsid w:val="009A5306"/>
    <w:rsid w:val="009A5EE0"/>
    <w:rsid w:val="009A6517"/>
    <w:rsid w:val="009B0A4F"/>
    <w:rsid w:val="009B0F70"/>
    <w:rsid w:val="009B113E"/>
    <w:rsid w:val="009B183C"/>
    <w:rsid w:val="009B2B8A"/>
    <w:rsid w:val="009B33E4"/>
    <w:rsid w:val="009B3CF4"/>
    <w:rsid w:val="009B47E3"/>
    <w:rsid w:val="009B4DC5"/>
    <w:rsid w:val="009B576E"/>
    <w:rsid w:val="009B5888"/>
    <w:rsid w:val="009B59B4"/>
    <w:rsid w:val="009B5B7A"/>
    <w:rsid w:val="009B5BC6"/>
    <w:rsid w:val="009B6137"/>
    <w:rsid w:val="009B69D4"/>
    <w:rsid w:val="009B6C6E"/>
    <w:rsid w:val="009B7018"/>
    <w:rsid w:val="009B787E"/>
    <w:rsid w:val="009C0256"/>
    <w:rsid w:val="009C1AAD"/>
    <w:rsid w:val="009C1B8A"/>
    <w:rsid w:val="009C1E29"/>
    <w:rsid w:val="009C2747"/>
    <w:rsid w:val="009C34B1"/>
    <w:rsid w:val="009C3819"/>
    <w:rsid w:val="009C3B9E"/>
    <w:rsid w:val="009C3DDD"/>
    <w:rsid w:val="009C4892"/>
    <w:rsid w:val="009C52A0"/>
    <w:rsid w:val="009C53FF"/>
    <w:rsid w:val="009C5495"/>
    <w:rsid w:val="009C5E3C"/>
    <w:rsid w:val="009C60DF"/>
    <w:rsid w:val="009C6B79"/>
    <w:rsid w:val="009C756E"/>
    <w:rsid w:val="009C7B54"/>
    <w:rsid w:val="009D0776"/>
    <w:rsid w:val="009D0D19"/>
    <w:rsid w:val="009D10A7"/>
    <w:rsid w:val="009D14A8"/>
    <w:rsid w:val="009D1AC5"/>
    <w:rsid w:val="009D1F5B"/>
    <w:rsid w:val="009D26F0"/>
    <w:rsid w:val="009D2871"/>
    <w:rsid w:val="009D2BB5"/>
    <w:rsid w:val="009D35F8"/>
    <w:rsid w:val="009D476C"/>
    <w:rsid w:val="009D4E76"/>
    <w:rsid w:val="009D5AA8"/>
    <w:rsid w:val="009D655C"/>
    <w:rsid w:val="009D6825"/>
    <w:rsid w:val="009D6E38"/>
    <w:rsid w:val="009D70DB"/>
    <w:rsid w:val="009D7611"/>
    <w:rsid w:val="009D7D90"/>
    <w:rsid w:val="009D7DC8"/>
    <w:rsid w:val="009E031D"/>
    <w:rsid w:val="009E1221"/>
    <w:rsid w:val="009E1696"/>
    <w:rsid w:val="009E1B34"/>
    <w:rsid w:val="009E1C96"/>
    <w:rsid w:val="009E1D8B"/>
    <w:rsid w:val="009E1FA4"/>
    <w:rsid w:val="009E20FD"/>
    <w:rsid w:val="009E2377"/>
    <w:rsid w:val="009E3331"/>
    <w:rsid w:val="009E37BB"/>
    <w:rsid w:val="009E3E19"/>
    <w:rsid w:val="009E417B"/>
    <w:rsid w:val="009E4264"/>
    <w:rsid w:val="009E4763"/>
    <w:rsid w:val="009E4AD8"/>
    <w:rsid w:val="009E4CD7"/>
    <w:rsid w:val="009E4EBF"/>
    <w:rsid w:val="009E582C"/>
    <w:rsid w:val="009E5980"/>
    <w:rsid w:val="009E692C"/>
    <w:rsid w:val="009E77E6"/>
    <w:rsid w:val="009E7BC1"/>
    <w:rsid w:val="009E7BC4"/>
    <w:rsid w:val="009F229B"/>
    <w:rsid w:val="009F2A00"/>
    <w:rsid w:val="009F2C06"/>
    <w:rsid w:val="009F45B9"/>
    <w:rsid w:val="009F4CC5"/>
    <w:rsid w:val="009F506F"/>
    <w:rsid w:val="009F5091"/>
    <w:rsid w:val="009F5B5C"/>
    <w:rsid w:val="009F5B7E"/>
    <w:rsid w:val="009F71D0"/>
    <w:rsid w:val="009F7361"/>
    <w:rsid w:val="009F7F63"/>
    <w:rsid w:val="00A00619"/>
    <w:rsid w:val="00A009C3"/>
    <w:rsid w:val="00A00BC1"/>
    <w:rsid w:val="00A00D71"/>
    <w:rsid w:val="00A0101C"/>
    <w:rsid w:val="00A01F9B"/>
    <w:rsid w:val="00A02583"/>
    <w:rsid w:val="00A025ED"/>
    <w:rsid w:val="00A02C00"/>
    <w:rsid w:val="00A04940"/>
    <w:rsid w:val="00A04B78"/>
    <w:rsid w:val="00A04BF7"/>
    <w:rsid w:val="00A06A60"/>
    <w:rsid w:val="00A06FDC"/>
    <w:rsid w:val="00A07A97"/>
    <w:rsid w:val="00A07D5B"/>
    <w:rsid w:val="00A07ED2"/>
    <w:rsid w:val="00A10CC2"/>
    <w:rsid w:val="00A11866"/>
    <w:rsid w:val="00A11987"/>
    <w:rsid w:val="00A11C14"/>
    <w:rsid w:val="00A11D96"/>
    <w:rsid w:val="00A11EAF"/>
    <w:rsid w:val="00A1299D"/>
    <w:rsid w:val="00A135FE"/>
    <w:rsid w:val="00A13CC4"/>
    <w:rsid w:val="00A13F5E"/>
    <w:rsid w:val="00A1436B"/>
    <w:rsid w:val="00A1472A"/>
    <w:rsid w:val="00A149A0"/>
    <w:rsid w:val="00A14B76"/>
    <w:rsid w:val="00A14C7C"/>
    <w:rsid w:val="00A15E9F"/>
    <w:rsid w:val="00A167C3"/>
    <w:rsid w:val="00A1719E"/>
    <w:rsid w:val="00A1761F"/>
    <w:rsid w:val="00A17945"/>
    <w:rsid w:val="00A20955"/>
    <w:rsid w:val="00A20C46"/>
    <w:rsid w:val="00A227BC"/>
    <w:rsid w:val="00A22AF1"/>
    <w:rsid w:val="00A22F9E"/>
    <w:rsid w:val="00A2399A"/>
    <w:rsid w:val="00A23C1C"/>
    <w:rsid w:val="00A2486E"/>
    <w:rsid w:val="00A24AF4"/>
    <w:rsid w:val="00A24D54"/>
    <w:rsid w:val="00A24F02"/>
    <w:rsid w:val="00A261A6"/>
    <w:rsid w:val="00A26847"/>
    <w:rsid w:val="00A26F31"/>
    <w:rsid w:val="00A26F36"/>
    <w:rsid w:val="00A2745E"/>
    <w:rsid w:val="00A27625"/>
    <w:rsid w:val="00A27A6B"/>
    <w:rsid w:val="00A3016C"/>
    <w:rsid w:val="00A309DE"/>
    <w:rsid w:val="00A32A7A"/>
    <w:rsid w:val="00A32CFA"/>
    <w:rsid w:val="00A33AA5"/>
    <w:rsid w:val="00A3477D"/>
    <w:rsid w:val="00A3480E"/>
    <w:rsid w:val="00A348BE"/>
    <w:rsid w:val="00A3513F"/>
    <w:rsid w:val="00A35603"/>
    <w:rsid w:val="00A35A94"/>
    <w:rsid w:val="00A360CE"/>
    <w:rsid w:val="00A366E6"/>
    <w:rsid w:val="00A369FC"/>
    <w:rsid w:val="00A36B47"/>
    <w:rsid w:val="00A37043"/>
    <w:rsid w:val="00A4010D"/>
    <w:rsid w:val="00A406E3"/>
    <w:rsid w:val="00A40BEB"/>
    <w:rsid w:val="00A41B28"/>
    <w:rsid w:val="00A4203A"/>
    <w:rsid w:val="00A421E9"/>
    <w:rsid w:val="00A42FC7"/>
    <w:rsid w:val="00A4317C"/>
    <w:rsid w:val="00A442EF"/>
    <w:rsid w:val="00A44303"/>
    <w:rsid w:val="00A46138"/>
    <w:rsid w:val="00A46E39"/>
    <w:rsid w:val="00A501E9"/>
    <w:rsid w:val="00A50C0E"/>
    <w:rsid w:val="00A51DD4"/>
    <w:rsid w:val="00A51DF6"/>
    <w:rsid w:val="00A520D8"/>
    <w:rsid w:val="00A524BE"/>
    <w:rsid w:val="00A52562"/>
    <w:rsid w:val="00A52CB1"/>
    <w:rsid w:val="00A52FBA"/>
    <w:rsid w:val="00A5348D"/>
    <w:rsid w:val="00A53A7D"/>
    <w:rsid w:val="00A53A8E"/>
    <w:rsid w:val="00A53B16"/>
    <w:rsid w:val="00A53F14"/>
    <w:rsid w:val="00A546B1"/>
    <w:rsid w:val="00A54EAC"/>
    <w:rsid w:val="00A54FFE"/>
    <w:rsid w:val="00A55036"/>
    <w:rsid w:val="00A55420"/>
    <w:rsid w:val="00A5566A"/>
    <w:rsid w:val="00A55891"/>
    <w:rsid w:val="00A562C9"/>
    <w:rsid w:val="00A5727E"/>
    <w:rsid w:val="00A577FF"/>
    <w:rsid w:val="00A6162D"/>
    <w:rsid w:val="00A619DB"/>
    <w:rsid w:val="00A621D0"/>
    <w:rsid w:val="00A62416"/>
    <w:rsid w:val="00A6472B"/>
    <w:rsid w:val="00A6593E"/>
    <w:rsid w:val="00A65B12"/>
    <w:rsid w:val="00A65B52"/>
    <w:rsid w:val="00A662CE"/>
    <w:rsid w:val="00A6680E"/>
    <w:rsid w:val="00A66EFD"/>
    <w:rsid w:val="00A674C2"/>
    <w:rsid w:val="00A674D2"/>
    <w:rsid w:val="00A6789E"/>
    <w:rsid w:val="00A700A9"/>
    <w:rsid w:val="00A705A6"/>
    <w:rsid w:val="00A7071A"/>
    <w:rsid w:val="00A70AEE"/>
    <w:rsid w:val="00A7114E"/>
    <w:rsid w:val="00A71774"/>
    <w:rsid w:val="00A72349"/>
    <w:rsid w:val="00A725AA"/>
    <w:rsid w:val="00A72622"/>
    <w:rsid w:val="00A734E1"/>
    <w:rsid w:val="00A7377A"/>
    <w:rsid w:val="00A73BEC"/>
    <w:rsid w:val="00A747F3"/>
    <w:rsid w:val="00A75498"/>
    <w:rsid w:val="00A7557E"/>
    <w:rsid w:val="00A75910"/>
    <w:rsid w:val="00A75BB3"/>
    <w:rsid w:val="00A77796"/>
    <w:rsid w:val="00A77B98"/>
    <w:rsid w:val="00A77C5F"/>
    <w:rsid w:val="00A77F3E"/>
    <w:rsid w:val="00A806F0"/>
    <w:rsid w:val="00A8115F"/>
    <w:rsid w:val="00A81658"/>
    <w:rsid w:val="00A81842"/>
    <w:rsid w:val="00A81895"/>
    <w:rsid w:val="00A82BC9"/>
    <w:rsid w:val="00A830ED"/>
    <w:rsid w:val="00A83611"/>
    <w:rsid w:val="00A8421B"/>
    <w:rsid w:val="00A8484E"/>
    <w:rsid w:val="00A85404"/>
    <w:rsid w:val="00A8609C"/>
    <w:rsid w:val="00A862F4"/>
    <w:rsid w:val="00A86747"/>
    <w:rsid w:val="00A86867"/>
    <w:rsid w:val="00A86BDD"/>
    <w:rsid w:val="00A87391"/>
    <w:rsid w:val="00A878AD"/>
    <w:rsid w:val="00A90249"/>
    <w:rsid w:val="00A904EB"/>
    <w:rsid w:val="00A913E3"/>
    <w:rsid w:val="00A91DEA"/>
    <w:rsid w:val="00A923FB"/>
    <w:rsid w:val="00A9332B"/>
    <w:rsid w:val="00A93589"/>
    <w:rsid w:val="00A939BE"/>
    <w:rsid w:val="00A93F98"/>
    <w:rsid w:val="00A9458B"/>
    <w:rsid w:val="00A94D6C"/>
    <w:rsid w:val="00A95E31"/>
    <w:rsid w:val="00A961D9"/>
    <w:rsid w:val="00A96F24"/>
    <w:rsid w:val="00A9773E"/>
    <w:rsid w:val="00AA0D9D"/>
    <w:rsid w:val="00AA1081"/>
    <w:rsid w:val="00AA1624"/>
    <w:rsid w:val="00AA2548"/>
    <w:rsid w:val="00AA28F4"/>
    <w:rsid w:val="00AA598C"/>
    <w:rsid w:val="00AA5EC2"/>
    <w:rsid w:val="00AA7579"/>
    <w:rsid w:val="00AA77AF"/>
    <w:rsid w:val="00AA7ACC"/>
    <w:rsid w:val="00AB07C5"/>
    <w:rsid w:val="00AB084D"/>
    <w:rsid w:val="00AB0D54"/>
    <w:rsid w:val="00AB2A45"/>
    <w:rsid w:val="00AB3222"/>
    <w:rsid w:val="00AB3E36"/>
    <w:rsid w:val="00AB3EF1"/>
    <w:rsid w:val="00AB5B9B"/>
    <w:rsid w:val="00AB5FB7"/>
    <w:rsid w:val="00AB61F3"/>
    <w:rsid w:val="00AB6313"/>
    <w:rsid w:val="00AC00E6"/>
    <w:rsid w:val="00AC021C"/>
    <w:rsid w:val="00AC04E8"/>
    <w:rsid w:val="00AC0A5F"/>
    <w:rsid w:val="00AC1459"/>
    <w:rsid w:val="00AC1863"/>
    <w:rsid w:val="00AC1B53"/>
    <w:rsid w:val="00AC2276"/>
    <w:rsid w:val="00AC3BF4"/>
    <w:rsid w:val="00AC3E5A"/>
    <w:rsid w:val="00AC40B5"/>
    <w:rsid w:val="00AC5342"/>
    <w:rsid w:val="00AC5917"/>
    <w:rsid w:val="00AC5C95"/>
    <w:rsid w:val="00AC6050"/>
    <w:rsid w:val="00AC70E3"/>
    <w:rsid w:val="00AC7F0A"/>
    <w:rsid w:val="00AD05BA"/>
    <w:rsid w:val="00AD0637"/>
    <w:rsid w:val="00AD2512"/>
    <w:rsid w:val="00AD2BAC"/>
    <w:rsid w:val="00AD355B"/>
    <w:rsid w:val="00AD3746"/>
    <w:rsid w:val="00AD3B13"/>
    <w:rsid w:val="00AD3C15"/>
    <w:rsid w:val="00AD4290"/>
    <w:rsid w:val="00AD492B"/>
    <w:rsid w:val="00AD5100"/>
    <w:rsid w:val="00AD51CE"/>
    <w:rsid w:val="00AD5DBD"/>
    <w:rsid w:val="00AE02F6"/>
    <w:rsid w:val="00AE3001"/>
    <w:rsid w:val="00AE3250"/>
    <w:rsid w:val="00AE408E"/>
    <w:rsid w:val="00AE45B2"/>
    <w:rsid w:val="00AE4CE3"/>
    <w:rsid w:val="00AE5724"/>
    <w:rsid w:val="00AE57C0"/>
    <w:rsid w:val="00AE57D5"/>
    <w:rsid w:val="00AE6C8C"/>
    <w:rsid w:val="00AE7298"/>
    <w:rsid w:val="00AE7C86"/>
    <w:rsid w:val="00AF0E9E"/>
    <w:rsid w:val="00AF11BD"/>
    <w:rsid w:val="00AF27EB"/>
    <w:rsid w:val="00AF3383"/>
    <w:rsid w:val="00AF3860"/>
    <w:rsid w:val="00AF5188"/>
    <w:rsid w:val="00AF5C6B"/>
    <w:rsid w:val="00AF6094"/>
    <w:rsid w:val="00AF6597"/>
    <w:rsid w:val="00AF7AE5"/>
    <w:rsid w:val="00B004B8"/>
    <w:rsid w:val="00B009D8"/>
    <w:rsid w:val="00B010D1"/>
    <w:rsid w:val="00B01C97"/>
    <w:rsid w:val="00B028A5"/>
    <w:rsid w:val="00B031ED"/>
    <w:rsid w:val="00B03641"/>
    <w:rsid w:val="00B03B9F"/>
    <w:rsid w:val="00B03C10"/>
    <w:rsid w:val="00B046E3"/>
    <w:rsid w:val="00B04931"/>
    <w:rsid w:val="00B04FF3"/>
    <w:rsid w:val="00B06D54"/>
    <w:rsid w:val="00B06DF9"/>
    <w:rsid w:val="00B06F19"/>
    <w:rsid w:val="00B07100"/>
    <w:rsid w:val="00B07AA8"/>
    <w:rsid w:val="00B10E1F"/>
    <w:rsid w:val="00B10FBE"/>
    <w:rsid w:val="00B11708"/>
    <w:rsid w:val="00B11DF5"/>
    <w:rsid w:val="00B1295A"/>
    <w:rsid w:val="00B12AD9"/>
    <w:rsid w:val="00B12CE4"/>
    <w:rsid w:val="00B12FB6"/>
    <w:rsid w:val="00B14B8E"/>
    <w:rsid w:val="00B16641"/>
    <w:rsid w:val="00B166D7"/>
    <w:rsid w:val="00B2157D"/>
    <w:rsid w:val="00B21A27"/>
    <w:rsid w:val="00B21B8D"/>
    <w:rsid w:val="00B21F0B"/>
    <w:rsid w:val="00B228B8"/>
    <w:rsid w:val="00B22B4C"/>
    <w:rsid w:val="00B22E66"/>
    <w:rsid w:val="00B23E41"/>
    <w:rsid w:val="00B24160"/>
    <w:rsid w:val="00B2476B"/>
    <w:rsid w:val="00B2507B"/>
    <w:rsid w:val="00B254EA"/>
    <w:rsid w:val="00B26D1B"/>
    <w:rsid w:val="00B27E3E"/>
    <w:rsid w:val="00B30B74"/>
    <w:rsid w:val="00B30C33"/>
    <w:rsid w:val="00B311A2"/>
    <w:rsid w:val="00B31339"/>
    <w:rsid w:val="00B3154D"/>
    <w:rsid w:val="00B31760"/>
    <w:rsid w:val="00B3180D"/>
    <w:rsid w:val="00B31945"/>
    <w:rsid w:val="00B32901"/>
    <w:rsid w:val="00B32E8A"/>
    <w:rsid w:val="00B32F3D"/>
    <w:rsid w:val="00B341F9"/>
    <w:rsid w:val="00B34642"/>
    <w:rsid w:val="00B34771"/>
    <w:rsid w:val="00B34AA8"/>
    <w:rsid w:val="00B34C83"/>
    <w:rsid w:val="00B34CE5"/>
    <w:rsid w:val="00B3523E"/>
    <w:rsid w:val="00B352E2"/>
    <w:rsid w:val="00B36013"/>
    <w:rsid w:val="00B3635E"/>
    <w:rsid w:val="00B369EC"/>
    <w:rsid w:val="00B36E95"/>
    <w:rsid w:val="00B400D8"/>
    <w:rsid w:val="00B40209"/>
    <w:rsid w:val="00B4062A"/>
    <w:rsid w:val="00B40D0C"/>
    <w:rsid w:val="00B41A3D"/>
    <w:rsid w:val="00B41B8D"/>
    <w:rsid w:val="00B41C8E"/>
    <w:rsid w:val="00B41D7F"/>
    <w:rsid w:val="00B424D4"/>
    <w:rsid w:val="00B427F5"/>
    <w:rsid w:val="00B43622"/>
    <w:rsid w:val="00B43FD4"/>
    <w:rsid w:val="00B442E6"/>
    <w:rsid w:val="00B44723"/>
    <w:rsid w:val="00B447B9"/>
    <w:rsid w:val="00B44F78"/>
    <w:rsid w:val="00B45034"/>
    <w:rsid w:val="00B45C86"/>
    <w:rsid w:val="00B4644B"/>
    <w:rsid w:val="00B4695F"/>
    <w:rsid w:val="00B46BEF"/>
    <w:rsid w:val="00B46C19"/>
    <w:rsid w:val="00B46C30"/>
    <w:rsid w:val="00B47F2F"/>
    <w:rsid w:val="00B50445"/>
    <w:rsid w:val="00B50486"/>
    <w:rsid w:val="00B508E9"/>
    <w:rsid w:val="00B51169"/>
    <w:rsid w:val="00B51526"/>
    <w:rsid w:val="00B5167F"/>
    <w:rsid w:val="00B51AB3"/>
    <w:rsid w:val="00B522E0"/>
    <w:rsid w:val="00B52C3C"/>
    <w:rsid w:val="00B52ECD"/>
    <w:rsid w:val="00B52F90"/>
    <w:rsid w:val="00B53D86"/>
    <w:rsid w:val="00B5406E"/>
    <w:rsid w:val="00B553CA"/>
    <w:rsid w:val="00B554CE"/>
    <w:rsid w:val="00B55B45"/>
    <w:rsid w:val="00B55D8F"/>
    <w:rsid w:val="00B55FD6"/>
    <w:rsid w:val="00B57C89"/>
    <w:rsid w:val="00B57FC8"/>
    <w:rsid w:val="00B60084"/>
    <w:rsid w:val="00B60261"/>
    <w:rsid w:val="00B6103D"/>
    <w:rsid w:val="00B613ED"/>
    <w:rsid w:val="00B61A57"/>
    <w:rsid w:val="00B621A8"/>
    <w:rsid w:val="00B636CF"/>
    <w:rsid w:val="00B63AD1"/>
    <w:rsid w:val="00B65498"/>
    <w:rsid w:val="00B654D6"/>
    <w:rsid w:val="00B7079E"/>
    <w:rsid w:val="00B71E8C"/>
    <w:rsid w:val="00B72A93"/>
    <w:rsid w:val="00B73049"/>
    <w:rsid w:val="00B73A5E"/>
    <w:rsid w:val="00B7405A"/>
    <w:rsid w:val="00B74D29"/>
    <w:rsid w:val="00B74FD2"/>
    <w:rsid w:val="00B76330"/>
    <w:rsid w:val="00B76759"/>
    <w:rsid w:val="00B767B6"/>
    <w:rsid w:val="00B770B3"/>
    <w:rsid w:val="00B770E4"/>
    <w:rsid w:val="00B806E1"/>
    <w:rsid w:val="00B8083C"/>
    <w:rsid w:val="00B80F10"/>
    <w:rsid w:val="00B83C0F"/>
    <w:rsid w:val="00B83E22"/>
    <w:rsid w:val="00B85872"/>
    <w:rsid w:val="00B859D4"/>
    <w:rsid w:val="00B86925"/>
    <w:rsid w:val="00B86F80"/>
    <w:rsid w:val="00B873FC"/>
    <w:rsid w:val="00B87435"/>
    <w:rsid w:val="00B8765F"/>
    <w:rsid w:val="00B877A9"/>
    <w:rsid w:val="00B9014E"/>
    <w:rsid w:val="00B90C05"/>
    <w:rsid w:val="00B911FB"/>
    <w:rsid w:val="00B915AF"/>
    <w:rsid w:val="00B91692"/>
    <w:rsid w:val="00B9171E"/>
    <w:rsid w:val="00B91A6E"/>
    <w:rsid w:val="00B91AF8"/>
    <w:rsid w:val="00B92140"/>
    <w:rsid w:val="00B9234B"/>
    <w:rsid w:val="00B92EAE"/>
    <w:rsid w:val="00B9368F"/>
    <w:rsid w:val="00B93E39"/>
    <w:rsid w:val="00B93E56"/>
    <w:rsid w:val="00B95146"/>
    <w:rsid w:val="00B95D37"/>
    <w:rsid w:val="00BA2B4B"/>
    <w:rsid w:val="00BA3DDA"/>
    <w:rsid w:val="00BA4418"/>
    <w:rsid w:val="00BA4B26"/>
    <w:rsid w:val="00BA697D"/>
    <w:rsid w:val="00BA6E56"/>
    <w:rsid w:val="00BA7230"/>
    <w:rsid w:val="00BB0901"/>
    <w:rsid w:val="00BB0F34"/>
    <w:rsid w:val="00BB130E"/>
    <w:rsid w:val="00BB14A4"/>
    <w:rsid w:val="00BB1610"/>
    <w:rsid w:val="00BB18E2"/>
    <w:rsid w:val="00BB2119"/>
    <w:rsid w:val="00BB24E6"/>
    <w:rsid w:val="00BB2820"/>
    <w:rsid w:val="00BB2C39"/>
    <w:rsid w:val="00BB2DFF"/>
    <w:rsid w:val="00BB3269"/>
    <w:rsid w:val="00BB33A7"/>
    <w:rsid w:val="00BB35BD"/>
    <w:rsid w:val="00BB4041"/>
    <w:rsid w:val="00BB5F46"/>
    <w:rsid w:val="00BB6FD0"/>
    <w:rsid w:val="00BB7A29"/>
    <w:rsid w:val="00BB7D98"/>
    <w:rsid w:val="00BC01A8"/>
    <w:rsid w:val="00BC0DDD"/>
    <w:rsid w:val="00BC172E"/>
    <w:rsid w:val="00BC17B8"/>
    <w:rsid w:val="00BC1B8B"/>
    <w:rsid w:val="00BC1BDA"/>
    <w:rsid w:val="00BC1CA8"/>
    <w:rsid w:val="00BC1D5F"/>
    <w:rsid w:val="00BC20CD"/>
    <w:rsid w:val="00BC23A2"/>
    <w:rsid w:val="00BC3229"/>
    <w:rsid w:val="00BC33B8"/>
    <w:rsid w:val="00BC36AC"/>
    <w:rsid w:val="00BC36CE"/>
    <w:rsid w:val="00BC4AA6"/>
    <w:rsid w:val="00BC4F25"/>
    <w:rsid w:val="00BC5D83"/>
    <w:rsid w:val="00BC5FDF"/>
    <w:rsid w:val="00BC65E7"/>
    <w:rsid w:val="00BC716F"/>
    <w:rsid w:val="00BD0EB3"/>
    <w:rsid w:val="00BD1F97"/>
    <w:rsid w:val="00BD20B4"/>
    <w:rsid w:val="00BD25B7"/>
    <w:rsid w:val="00BD2CAA"/>
    <w:rsid w:val="00BD2FB1"/>
    <w:rsid w:val="00BD35A3"/>
    <w:rsid w:val="00BD3F75"/>
    <w:rsid w:val="00BD4A0D"/>
    <w:rsid w:val="00BD4C1E"/>
    <w:rsid w:val="00BD4D91"/>
    <w:rsid w:val="00BD5A45"/>
    <w:rsid w:val="00BD737B"/>
    <w:rsid w:val="00BD76A8"/>
    <w:rsid w:val="00BD7ADF"/>
    <w:rsid w:val="00BD7CF3"/>
    <w:rsid w:val="00BE0864"/>
    <w:rsid w:val="00BE0B92"/>
    <w:rsid w:val="00BE0E3C"/>
    <w:rsid w:val="00BE0EF4"/>
    <w:rsid w:val="00BE12F6"/>
    <w:rsid w:val="00BE13F7"/>
    <w:rsid w:val="00BE14EE"/>
    <w:rsid w:val="00BE188D"/>
    <w:rsid w:val="00BE1E4A"/>
    <w:rsid w:val="00BE28A4"/>
    <w:rsid w:val="00BE311D"/>
    <w:rsid w:val="00BE52E5"/>
    <w:rsid w:val="00BE58A4"/>
    <w:rsid w:val="00BE641C"/>
    <w:rsid w:val="00BE6685"/>
    <w:rsid w:val="00BE6CC9"/>
    <w:rsid w:val="00BE6EDA"/>
    <w:rsid w:val="00BE7290"/>
    <w:rsid w:val="00BF0199"/>
    <w:rsid w:val="00BF0208"/>
    <w:rsid w:val="00BF0427"/>
    <w:rsid w:val="00BF0527"/>
    <w:rsid w:val="00BF056E"/>
    <w:rsid w:val="00BF16AF"/>
    <w:rsid w:val="00BF38BB"/>
    <w:rsid w:val="00BF4654"/>
    <w:rsid w:val="00BF4658"/>
    <w:rsid w:val="00BF4A7E"/>
    <w:rsid w:val="00BF4FE3"/>
    <w:rsid w:val="00BF5604"/>
    <w:rsid w:val="00BF5C59"/>
    <w:rsid w:val="00BF60A1"/>
    <w:rsid w:val="00BF63C6"/>
    <w:rsid w:val="00BF7086"/>
    <w:rsid w:val="00BF7729"/>
    <w:rsid w:val="00BF7EBD"/>
    <w:rsid w:val="00BF7F0E"/>
    <w:rsid w:val="00C00056"/>
    <w:rsid w:val="00C00543"/>
    <w:rsid w:val="00C02234"/>
    <w:rsid w:val="00C023EF"/>
    <w:rsid w:val="00C02811"/>
    <w:rsid w:val="00C03BFA"/>
    <w:rsid w:val="00C045B1"/>
    <w:rsid w:val="00C049A6"/>
    <w:rsid w:val="00C04ED4"/>
    <w:rsid w:val="00C069A8"/>
    <w:rsid w:val="00C06E7D"/>
    <w:rsid w:val="00C076EA"/>
    <w:rsid w:val="00C10BCE"/>
    <w:rsid w:val="00C10D4C"/>
    <w:rsid w:val="00C11962"/>
    <w:rsid w:val="00C11BDD"/>
    <w:rsid w:val="00C12AA9"/>
    <w:rsid w:val="00C12DFC"/>
    <w:rsid w:val="00C13007"/>
    <w:rsid w:val="00C131CB"/>
    <w:rsid w:val="00C13D8B"/>
    <w:rsid w:val="00C147B0"/>
    <w:rsid w:val="00C14E69"/>
    <w:rsid w:val="00C14FD2"/>
    <w:rsid w:val="00C16B2D"/>
    <w:rsid w:val="00C16D56"/>
    <w:rsid w:val="00C16E6F"/>
    <w:rsid w:val="00C1762D"/>
    <w:rsid w:val="00C17EFB"/>
    <w:rsid w:val="00C202C8"/>
    <w:rsid w:val="00C2038B"/>
    <w:rsid w:val="00C2044B"/>
    <w:rsid w:val="00C2090B"/>
    <w:rsid w:val="00C218C0"/>
    <w:rsid w:val="00C222F9"/>
    <w:rsid w:val="00C2239A"/>
    <w:rsid w:val="00C23C89"/>
    <w:rsid w:val="00C23CD4"/>
    <w:rsid w:val="00C240EC"/>
    <w:rsid w:val="00C244AC"/>
    <w:rsid w:val="00C247F2"/>
    <w:rsid w:val="00C24BF0"/>
    <w:rsid w:val="00C25BB3"/>
    <w:rsid w:val="00C26010"/>
    <w:rsid w:val="00C2619F"/>
    <w:rsid w:val="00C265BB"/>
    <w:rsid w:val="00C2701A"/>
    <w:rsid w:val="00C275F5"/>
    <w:rsid w:val="00C30686"/>
    <w:rsid w:val="00C30AD5"/>
    <w:rsid w:val="00C31BCC"/>
    <w:rsid w:val="00C32BFA"/>
    <w:rsid w:val="00C32E0E"/>
    <w:rsid w:val="00C3491A"/>
    <w:rsid w:val="00C3518F"/>
    <w:rsid w:val="00C354DF"/>
    <w:rsid w:val="00C35EC6"/>
    <w:rsid w:val="00C3619B"/>
    <w:rsid w:val="00C361A7"/>
    <w:rsid w:val="00C36CC0"/>
    <w:rsid w:val="00C36FE8"/>
    <w:rsid w:val="00C37A1D"/>
    <w:rsid w:val="00C403C4"/>
    <w:rsid w:val="00C40B34"/>
    <w:rsid w:val="00C40D41"/>
    <w:rsid w:val="00C42195"/>
    <w:rsid w:val="00C429FF"/>
    <w:rsid w:val="00C42B8F"/>
    <w:rsid w:val="00C43B44"/>
    <w:rsid w:val="00C44A81"/>
    <w:rsid w:val="00C450D9"/>
    <w:rsid w:val="00C45DF7"/>
    <w:rsid w:val="00C45F02"/>
    <w:rsid w:val="00C47B42"/>
    <w:rsid w:val="00C47E80"/>
    <w:rsid w:val="00C50AA5"/>
    <w:rsid w:val="00C51822"/>
    <w:rsid w:val="00C523DA"/>
    <w:rsid w:val="00C52E11"/>
    <w:rsid w:val="00C5338A"/>
    <w:rsid w:val="00C5354C"/>
    <w:rsid w:val="00C537F7"/>
    <w:rsid w:val="00C5682C"/>
    <w:rsid w:val="00C57593"/>
    <w:rsid w:val="00C57D72"/>
    <w:rsid w:val="00C57DA3"/>
    <w:rsid w:val="00C57FC2"/>
    <w:rsid w:val="00C601EB"/>
    <w:rsid w:val="00C60CAD"/>
    <w:rsid w:val="00C60D11"/>
    <w:rsid w:val="00C61449"/>
    <w:rsid w:val="00C6183A"/>
    <w:rsid w:val="00C61913"/>
    <w:rsid w:val="00C61BA8"/>
    <w:rsid w:val="00C620B2"/>
    <w:rsid w:val="00C6394B"/>
    <w:rsid w:val="00C63981"/>
    <w:rsid w:val="00C63FBD"/>
    <w:rsid w:val="00C64645"/>
    <w:rsid w:val="00C64E0D"/>
    <w:rsid w:val="00C6517C"/>
    <w:rsid w:val="00C651CB"/>
    <w:rsid w:val="00C67060"/>
    <w:rsid w:val="00C67AE1"/>
    <w:rsid w:val="00C7155F"/>
    <w:rsid w:val="00C75465"/>
    <w:rsid w:val="00C75D33"/>
    <w:rsid w:val="00C76B7F"/>
    <w:rsid w:val="00C76E53"/>
    <w:rsid w:val="00C76FCB"/>
    <w:rsid w:val="00C77357"/>
    <w:rsid w:val="00C7773B"/>
    <w:rsid w:val="00C80076"/>
    <w:rsid w:val="00C80393"/>
    <w:rsid w:val="00C8039A"/>
    <w:rsid w:val="00C803E9"/>
    <w:rsid w:val="00C80AB4"/>
    <w:rsid w:val="00C80BE1"/>
    <w:rsid w:val="00C813B8"/>
    <w:rsid w:val="00C81E61"/>
    <w:rsid w:val="00C838A1"/>
    <w:rsid w:val="00C839F5"/>
    <w:rsid w:val="00C83CD3"/>
    <w:rsid w:val="00C84A50"/>
    <w:rsid w:val="00C84C68"/>
    <w:rsid w:val="00C84E78"/>
    <w:rsid w:val="00C8515F"/>
    <w:rsid w:val="00C854F7"/>
    <w:rsid w:val="00C85803"/>
    <w:rsid w:val="00C86168"/>
    <w:rsid w:val="00C86C8D"/>
    <w:rsid w:val="00C87522"/>
    <w:rsid w:val="00C9014F"/>
    <w:rsid w:val="00C90C59"/>
    <w:rsid w:val="00C91221"/>
    <w:rsid w:val="00C9144A"/>
    <w:rsid w:val="00C915AC"/>
    <w:rsid w:val="00C917B6"/>
    <w:rsid w:val="00C91935"/>
    <w:rsid w:val="00C92948"/>
    <w:rsid w:val="00C93641"/>
    <w:rsid w:val="00C93A99"/>
    <w:rsid w:val="00C93BC6"/>
    <w:rsid w:val="00C94115"/>
    <w:rsid w:val="00C952D4"/>
    <w:rsid w:val="00C955CE"/>
    <w:rsid w:val="00C97DE0"/>
    <w:rsid w:val="00CA0A98"/>
    <w:rsid w:val="00CA0F39"/>
    <w:rsid w:val="00CA118D"/>
    <w:rsid w:val="00CA1500"/>
    <w:rsid w:val="00CA1C5B"/>
    <w:rsid w:val="00CA1E01"/>
    <w:rsid w:val="00CA214C"/>
    <w:rsid w:val="00CA2376"/>
    <w:rsid w:val="00CA2948"/>
    <w:rsid w:val="00CA3058"/>
    <w:rsid w:val="00CA37CF"/>
    <w:rsid w:val="00CA4E02"/>
    <w:rsid w:val="00CA4F35"/>
    <w:rsid w:val="00CA67BB"/>
    <w:rsid w:val="00CA78BE"/>
    <w:rsid w:val="00CB0EB0"/>
    <w:rsid w:val="00CB14D4"/>
    <w:rsid w:val="00CB20B9"/>
    <w:rsid w:val="00CB223A"/>
    <w:rsid w:val="00CB23A5"/>
    <w:rsid w:val="00CB2C35"/>
    <w:rsid w:val="00CB32DC"/>
    <w:rsid w:val="00CB3351"/>
    <w:rsid w:val="00CB423D"/>
    <w:rsid w:val="00CB52C6"/>
    <w:rsid w:val="00CB5463"/>
    <w:rsid w:val="00CB59F9"/>
    <w:rsid w:val="00CB6ADE"/>
    <w:rsid w:val="00CB6E0E"/>
    <w:rsid w:val="00CB6EA3"/>
    <w:rsid w:val="00CB72A8"/>
    <w:rsid w:val="00CB7A7C"/>
    <w:rsid w:val="00CB7C07"/>
    <w:rsid w:val="00CC0558"/>
    <w:rsid w:val="00CC06C3"/>
    <w:rsid w:val="00CC0F0D"/>
    <w:rsid w:val="00CC1D1B"/>
    <w:rsid w:val="00CC27A6"/>
    <w:rsid w:val="00CC2823"/>
    <w:rsid w:val="00CC301D"/>
    <w:rsid w:val="00CC34D4"/>
    <w:rsid w:val="00CC3567"/>
    <w:rsid w:val="00CC425A"/>
    <w:rsid w:val="00CC4A97"/>
    <w:rsid w:val="00CC4B20"/>
    <w:rsid w:val="00CC5AD6"/>
    <w:rsid w:val="00CC700B"/>
    <w:rsid w:val="00CC779B"/>
    <w:rsid w:val="00CC794E"/>
    <w:rsid w:val="00CD177F"/>
    <w:rsid w:val="00CD1EF8"/>
    <w:rsid w:val="00CD29D4"/>
    <w:rsid w:val="00CD3231"/>
    <w:rsid w:val="00CD3483"/>
    <w:rsid w:val="00CD34A9"/>
    <w:rsid w:val="00CD3E8A"/>
    <w:rsid w:val="00CD4048"/>
    <w:rsid w:val="00CD49DA"/>
    <w:rsid w:val="00CD50F6"/>
    <w:rsid w:val="00CD54E9"/>
    <w:rsid w:val="00CD57DA"/>
    <w:rsid w:val="00CD6C6B"/>
    <w:rsid w:val="00CD6F3C"/>
    <w:rsid w:val="00CD73B7"/>
    <w:rsid w:val="00CD7708"/>
    <w:rsid w:val="00CD774A"/>
    <w:rsid w:val="00CE00C9"/>
    <w:rsid w:val="00CE0CF0"/>
    <w:rsid w:val="00CE15B8"/>
    <w:rsid w:val="00CE1E29"/>
    <w:rsid w:val="00CE29FB"/>
    <w:rsid w:val="00CE3CDD"/>
    <w:rsid w:val="00CE4242"/>
    <w:rsid w:val="00CE45DF"/>
    <w:rsid w:val="00CE5BEB"/>
    <w:rsid w:val="00CE5DA3"/>
    <w:rsid w:val="00CE6FDC"/>
    <w:rsid w:val="00CE77D1"/>
    <w:rsid w:val="00CE7C42"/>
    <w:rsid w:val="00CF00BC"/>
    <w:rsid w:val="00CF2E5A"/>
    <w:rsid w:val="00CF3085"/>
    <w:rsid w:val="00CF31CE"/>
    <w:rsid w:val="00CF3DBA"/>
    <w:rsid w:val="00CF4BA6"/>
    <w:rsid w:val="00CF552C"/>
    <w:rsid w:val="00CF575B"/>
    <w:rsid w:val="00CF5E9A"/>
    <w:rsid w:val="00CF6361"/>
    <w:rsid w:val="00CF676F"/>
    <w:rsid w:val="00CF6937"/>
    <w:rsid w:val="00CF69CF"/>
    <w:rsid w:val="00CF6E1C"/>
    <w:rsid w:val="00CF7947"/>
    <w:rsid w:val="00CF7BC3"/>
    <w:rsid w:val="00CF7CD2"/>
    <w:rsid w:val="00D00212"/>
    <w:rsid w:val="00D00E78"/>
    <w:rsid w:val="00D01ACA"/>
    <w:rsid w:val="00D01B7F"/>
    <w:rsid w:val="00D028E6"/>
    <w:rsid w:val="00D02A52"/>
    <w:rsid w:val="00D02ED2"/>
    <w:rsid w:val="00D02FBC"/>
    <w:rsid w:val="00D0446D"/>
    <w:rsid w:val="00D04632"/>
    <w:rsid w:val="00D0583C"/>
    <w:rsid w:val="00D0606F"/>
    <w:rsid w:val="00D0736F"/>
    <w:rsid w:val="00D07933"/>
    <w:rsid w:val="00D10A75"/>
    <w:rsid w:val="00D10D5A"/>
    <w:rsid w:val="00D10FC9"/>
    <w:rsid w:val="00D11B83"/>
    <w:rsid w:val="00D11C23"/>
    <w:rsid w:val="00D11DC9"/>
    <w:rsid w:val="00D12716"/>
    <w:rsid w:val="00D12B35"/>
    <w:rsid w:val="00D1365E"/>
    <w:rsid w:val="00D13731"/>
    <w:rsid w:val="00D14578"/>
    <w:rsid w:val="00D15790"/>
    <w:rsid w:val="00D168F2"/>
    <w:rsid w:val="00D1760A"/>
    <w:rsid w:val="00D17D65"/>
    <w:rsid w:val="00D17E16"/>
    <w:rsid w:val="00D201D9"/>
    <w:rsid w:val="00D20371"/>
    <w:rsid w:val="00D20B05"/>
    <w:rsid w:val="00D20C0E"/>
    <w:rsid w:val="00D210DB"/>
    <w:rsid w:val="00D2195B"/>
    <w:rsid w:val="00D21B8B"/>
    <w:rsid w:val="00D220FD"/>
    <w:rsid w:val="00D22231"/>
    <w:rsid w:val="00D2239B"/>
    <w:rsid w:val="00D22FF9"/>
    <w:rsid w:val="00D233FC"/>
    <w:rsid w:val="00D23922"/>
    <w:rsid w:val="00D24D1F"/>
    <w:rsid w:val="00D24D6B"/>
    <w:rsid w:val="00D2519F"/>
    <w:rsid w:val="00D2523A"/>
    <w:rsid w:val="00D25327"/>
    <w:rsid w:val="00D260CA"/>
    <w:rsid w:val="00D267DD"/>
    <w:rsid w:val="00D2684F"/>
    <w:rsid w:val="00D26EAB"/>
    <w:rsid w:val="00D26F0D"/>
    <w:rsid w:val="00D2730E"/>
    <w:rsid w:val="00D273AD"/>
    <w:rsid w:val="00D3111C"/>
    <w:rsid w:val="00D31467"/>
    <w:rsid w:val="00D31480"/>
    <w:rsid w:val="00D31D3B"/>
    <w:rsid w:val="00D31F6E"/>
    <w:rsid w:val="00D32120"/>
    <w:rsid w:val="00D3345D"/>
    <w:rsid w:val="00D33BAE"/>
    <w:rsid w:val="00D33E58"/>
    <w:rsid w:val="00D340D3"/>
    <w:rsid w:val="00D34339"/>
    <w:rsid w:val="00D34B01"/>
    <w:rsid w:val="00D3510A"/>
    <w:rsid w:val="00D35365"/>
    <w:rsid w:val="00D35621"/>
    <w:rsid w:val="00D35844"/>
    <w:rsid w:val="00D359AD"/>
    <w:rsid w:val="00D35DBD"/>
    <w:rsid w:val="00D361D1"/>
    <w:rsid w:val="00D369DB"/>
    <w:rsid w:val="00D37309"/>
    <w:rsid w:val="00D4146C"/>
    <w:rsid w:val="00D42BB4"/>
    <w:rsid w:val="00D42BC0"/>
    <w:rsid w:val="00D435CE"/>
    <w:rsid w:val="00D441E1"/>
    <w:rsid w:val="00D442B9"/>
    <w:rsid w:val="00D45CF7"/>
    <w:rsid w:val="00D46A67"/>
    <w:rsid w:val="00D46E4B"/>
    <w:rsid w:val="00D4750F"/>
    <w:rsid w:val="00D50007"/>
    <w:rsid w:val="00D50B44"/>
    <w:rsid w:val="00D50E6B"/>
    <w:rsid w:val="00D517CE"/>
    <w:rsid w:val="00D52D84"/>
    <w:rsid w:val="00D532E2"/>
    <w:rsid w:val="00D53865"/>
    <w:rsid w:val="00D5389F"/>
    <w:rsid w:val="00D53E78"/>
    <w:rsid w:val="00D54117"/>
    <w:rsid w:val="00D544FB"/>
    <w:rsid w:val="00D551D3"/>
    <w:rsid w:val="00D56BC9"/>
    <w:rsid w:val="00D57398"/>
    <w:rsid w:val="00D6083B"/>
    <w:rsid w:val="00D60AEA"/>
    <w:rsid w:val="00D61692"/>
    <w:rsid w:val="00D61AE1"/>
    <w:rsid w:val="00D61B5C"/>
    <w:rsid w:val="00D6227E"/>
    <w:rsid w:val="00D62CB2"/>
    <w:rsid w:val="00D62D30"/>
    <w:rsid w:val="00D634E4"/>
    <w:rsid w:val="00D63B6F"/>
    <w:rsid w:val="00D63BF8"/>
    <w:rsid w:val="00D64098"/>
    <w:rsid w:val="00D646E3"/>
    <w:rsid w:val="00D6502F"/>
    <w:rsid w:val="00D651A4"/>
    <w:rsid w:val="00D65278"/>
    <w:rsid w:val="00D65ACD"/>
    <w:rsid w:val="00D661F1"/>
    <w:rsid w:val="00D67F6C"/>
    <w:rsid w:val="00D70040"/>
    <w:rsid w:val="00D70293"/>
    <w:rsid w:val="00D70CCE"/>
    <w:rsid w:val="00D7102D"/>
    <w:rsid w:val="00D712F9"/>
    <w:rsid w:val="00D715F9"/>
    <w:rsid w:val="00D71D25"/>
    <w:rsid w:val="00D71ED5"/>
    <w:rsid w:val="00D72A5F"/>
    <w:rsid w:val="00D730C7"/>
    <w:rsid w:val="00D7399F"/>
    <w:rsid w:val="00D73C6A"/>
    <w:rsid w:val="00D73CA3"/>
    <w:rsid w:val="00D74A94"/>
    <w:rsid w:val="00D74D6D"/>
    <w:rsid w:val="00D750AD"/>
    <w:rsid w:val="00D7610F"/>
    <w:rsid w:val="00D7693C"/>
    <w:rsid w:val="00D775CD"/>
    <w:rsid w:val="00D778CE"/>
    <w:rsid w:val="00D77A3A"/>
    <w:rsid w:val="00D803D2"/>
    <w:rsid w:val="00D8045C"/>
    <w:rsid w:val="00D80589"/>
    <w:rsid w:val="00D805EE"/>
    <w:rsid w:val="00D80E97"/>
    <w:rsid w:val="00D80F61"/>
    <w:rsid w:val="00D811B9"/>
    <w:rsid w:val="00D81F3D"/>
    <w:rsid w:val="00D8290F"/>
    <w:rsid w:val="00D84280"/>
    <w:rsid w:val="00D855BB"/>
    <w:rsid w:val="00D86B94"/>
    <w:rsid w:val="00D90094"/>
    <w:rsid w:val="00D904A1"/>
    <w:rsid w:val="00D90744"/>
    <w:rsid w:val="00D90D0E"/>
    <w:rsid w:val="00D9109D"/>
    <w:rsid w:val="00D9237E"/>
    <w:rsid w:val="00D92983"/>
    <w:rsid w:val="00D92FA3"/>
    <w:rsid w:val="00D935DA"/>
    <w:rsid w:val="00D93D31"/>
    <w:rsid w:val="00D940B6"/>
    <w:rsid w:val="00D947AF"/>
    <w:rsid w:val="00D948A6"/>
    <w:rsid w:val="00D94966"/>
    <w:rsid w:val="00D9572F"/>
    <w:rsid w:val="00D95E7E"/>
    <w:rsid w:val="00D96230"/>
    <w:rsid w:val="00DA06CF"/>
    <w:rsid w:val="00DA09C1"/>
    <w:rsid w:val="00DA1180"/>
    <w:rsid w:val="00DA1423"/>
    <w:rsid w:val="00DA1A2F"/>
    <w:rsid w:val="00DA20A2"/>
    <w:rsid w:val="00DA26F0"/>
    <w:rsid w:val="00DA2AAA"/>
    <w:rsid w:val="00DA2E07"/>
    <w:rsid w:val="00DA3566"/>
    <w:rsid w:val="00DA35B9"/>
    <w:rsid w:val="00DA4E62"/>
    <w:rsid w:val="00DA62D1"/>
    <w:rsid w:val="00DA7604"/>
    <w:rsid w:val="00DA76D5"/>
    <w:rsid w:val="00DA77D1"/>
    <w:rsid w:val="00DA7987"/>
    <w:rsid w:val="00DA7DE5"/>
    <w:rsid w:val="00DA7E2F"/>
    <w:rsid w:val="00DB0265"/>
    <w:rsid w:val="00DB0504"/>
    <w:rsid w:val="00DB06F6"/>
    <w:rsid w:val="00DB26A9"/>
    <w:rsid w:val="00DB2CB1"/>
    <w:rsid w:val="00DB3566"/>
    <w:rsid w:val="00DB3C37"/>
    <w:rsid w:val="00DB4283"/>
    <w:rsid w:val="00DB45EE"/>
    <w:rsid w:val="00DB4FCA"/>
    <w:rsid w:val="00DB511A"/>
    <w:rsid w:val="00DB5A4B"/>
    <w:rsid w:val="00DB71F7"/>
    <w:rsid w:val="00DC0401"/>
    <w:rsid w:val="00DC11A1"/>
    <w:rsid w:val="00DC16B4"/>
    <w:rsid w:val="00DC1C0B"/>
    <w:rsid w:val="00DC2348"/>
    <w:rsid w:val="00DC264E"/>
    <w:rsid w:val="00DC361E"/>
    <w:rsid w:val="00DC3BBF"/>
    <w:rsid w:val="00DC46D7"/>
    <w:rsid w:val="00DC4A22"/>
    <w:rsid w:val="00DC4F87"/>
    <w:rsid w:val="00DC59BE"/>
    <w:rsid w:val="00DC5DFE"/>
    <w:rsid w:val="00DC6BB3"/>
    <w:rsid w:val="00DC750B"/>
    <w:rsid w:val="00DC7C32"/>
    <w:rsid w:val="00DD0BC6"/>
    <w:rsid w:val="00DD1B91"/>
    <w:rsid w:val="00DD1CBC"/>
    <w:rsid w:val="00DD2222"/>
    <w:rsid w:val="00DD245D"/>
    <w:rsid w:val="00DD2ECB"/>
    <w:rsid w:val="00DD3E75"/>
    <w:rsid w:val="00DD43D1"/>
    <w:rsid w:val="00DD4D4C"/>
    <w:rsid w:val="00DD517F"/>
    <w:rsid w:val="00DD5C24"/>
    <w:rsid w:val="00DD5C8B"/>
    <w:rsid w:val="00DD5F03"/>
    <w:rsid w:val="00DD63B4"/>
    <w:rsid w:val="00DD6B91"/>
    <w:rsid w:val="00DD6B98"/>
    <w:rsid w:val="00DD7CCE"/>
    <w:rsid w:val="00DE01AB"/>
    <w:rsid w:val="00DE07FF"/>
    <w:rsid w:val="00DE0C1F"/>
    <w:rsid w:val="00DE0F75"/>
    <w:rsid w:val="00DE1C6F"/>
    <w:rsid w:val="00DE27A9"/>
    <w:rsid w:val="00DE2DBB"/>
    <w:rsid w:val="00DE30E6"/>
    <w:rsid w:val="00DE3599"/>
    <w:rsid w:val="00DE401F"/>
    <w:rsid w:val="00DE5762"/>
    <w:rsid w:val="00DE5922"/>
    <w:rsid w:val="00DE656D"/>
    <w:rsid w:val="00DE6676"/>
    <w:rsid w:val="00DE6BBE"/>
    <w:rsid w:val="00DE7280"/>
    <w:rsid w:val="00DE7290"/>
    <w:rsid w:val="00DE7309"/>
    <w:rsid w:val="00DE79D2"/>
    <w:rsid w:val="00DE7BB3"/>
    <w:rsid w:val="00DE7E7D"/>
    <w:rsid w:val="00DF01ED"/>
    <w:rsid w:val="00DF025E"/>
    <w:rsid w:val="00DF0D83"/>
    <w:rsid w:val="00DF0F8D"/>
    <w:rsid w:val="00DF13FE"/>
    <w:rsid w:val="00DF16EA"/>
    <w:rsid w:val="00DF1952"/>
    <w:rsid w:val="00DF1FCF"/>
    <w:rsid w:val="00DF21C6"/>
    <w:rsid w:val="00DF2D1B"/>
    <w:rsid w:val="00DF52A5"/>
    <w:rsid w:val="00DF52D4"/>
    <w:rsid w:val="00DF5A3A"/>
    <w:rsid w:val="00DF5BF1"/>
    <w:rsid w:val="00DF6D2C"/>
    <w:rsid w:val="00DF72C5"/>
    <w:rsid w:val="00DF77BB"/>
    <w:rsid w:val="00E00285"/>
    <w:rsid w:val="00E00967"/>
    <w:rsid w:val="00E01A76"/>
    <w:rsid w:val="00E01C95"/>
    <w:rsid w:val="00E01EE1"/>
    <w:rsid w:val="00E021EF"/>
    <w:rsid w:val="00E028F7"/>
    <w:rsid w:val="00E02EF1"/>
    <w:rsid w:val="00E03836"/>
    <w:rsid w:val="00E03A70"/>
    <w:rsid w:val="00E04C24"/>
    <w:rsid w:val="00E052D7"/>
    <w:rsid w:val="00E06958"/>
    <w:rsid w:val="00E07103"/>
    <w:rsid w:val="00E0765B"/>
    <w:rsid w:val="00E078EA"/>
    <w:rsid w:val="00E079F1"/>
    <w:rsid w:val="00E07A27"/>
    <w:rsid w:val="00E103AC"/>
    <w:rsid w:val="00E10706"/>
    <w:rsid w:val="00E108C7"/>
    <w:rsid w:val="00E10C17"/>
    <w:rsid w:val="00E10FAA"/>
    <w:rsid w:val="00E1144C"/>
    <w:rsid w:val="00E11622"/>
    <w:rsid w:val="00E11AEB"/>
    <w:rsid w:val="00E128F8"/>
    <w:rsid w:val="00E1340D"/>
    <w:rsid w:val="00E14730"/>
    <w:rsid w:val="00E14BD7"/>
    <w:rsid w:val="00E15976"/>
    <w:rsid w:val="00E15A38"/>
    <w:rsid w:val="00E15C50"/>
    <w:rsid w:val="00E17271"/>
    <w:rsid w:val="00E17563"/>
    <w:rsid w:val="00E200C9"/>
    <w:rsid w:val="00E20502"/>
    <w:rsid w:val="00E20666"/>
    <w:rsid w:val="00E20712"/>
    <w:rsid w:val="00E20A5F"/>
    <w:rsid w:val="00E21528"/>
    <w:rsid w:val="00E21CB0"/>
    <w:rsid w:val="00E21E1F"/>
    <w:rsid w:val="00E22994"/>
    <w:rsid w:val="00E23593"/>
    <w:rsid w:val="00E23A99"/>
    <w:rsid w:val="00E23B5F"/>
    <w:rsid w:val="00E24540"/>
    <w:rsid w:val="00E24810"/>
    <w:rsid w:val="00E252D8"/>
    <w:rsid w:val="00E25AD2"/>
    <w:rsid w:val="00E25D12"/>
    <w:rsid w:val="00E26EE3"/>
    <w:rsid w:val="00E2704B"/>
    <w:rsid w:val="00E276C4"/>
    <w:rsid w:val="00E30AF2"/>
    <w:rsid w:val="00E310AF"/>
    <w:rsid w:val="00E31A3F"/>
    <w:rsid w:val="00E31D73"/>
    <w:rsid w:val="00E31DFA"/>
    <w:rsid w:val="00E33796"/>
    <w:rsid w:val="00E33CF0"/>
    <w:rsid w:val="00E33E7B"/>
    <w:rsid w:val="00E353C4"/>
    <w:rsid w:val="00E35E2B"/>
    <w:rsid w:val="00E36041"/>
    <w:rsid w:val="00E364DF"/>
    <w:rsid w:val="00E36AB8"/>
    <w:rsid w:val="00E36D85"/>
    <w:rsid w:val="00E37CF3"/>
    <w:rsid w:val="00E40511"/>
    <w:rsid w:val="00E40CCF"/>
    <w:rsid w:val="00E40F6A"/>
    <w:rsid w:val="00E414C5"/>
    <w:rsid w:val="00E422A4"/>
    <w:rsid w:val="00E43311"/>
    <w:rsid w:val="00E4332C"/>
    <w:rsid w:val="00E43999"/>
    <w:rsid w:val="00E44376"/>
    <w:rsid w:val="00E44995"/>
    <w:rsid w:val="00E45774"/>
    <w:rsid w:val="00E4618D"/>
    <w:rsid w:val="00E4694B"/>
    <w:rsid w:val="00E47292"/>
    <w:rsid w:val="00E477D4"/>
    <w:rsid w:val="00E47B33"/>
    <w:rsid w:val="00E47F3D"/>
    <w:rsid w:val="00E51129"/>
    <w:rsid w:val="00E51679"/>
    <w:rsid w:val="00E54052"/>
    <w:rsid w:val="00E54702"/>
    <w:rsid w:val="00E558FE"/>
    <w:rsid w:val="00E567E6"/>
    <w:rsid w:val="00E600EE"/>
    <w:rsid w:val="00E6045A"/>
    <w:rsid w:val="00E6142C"/>
    <w:rsid w:val="00E63A65"/>
    <w:rsid w:val="00E64E15"/>
    <w:rsid w:val="00E65837"/>
    <w:rsid w:val="00E65884"/>
    <w:rsid w:val="00E664AB"/>
    <w:rsid w:val="00E6681D"/>
    <w:rsid w:val="00E668E3"/>
    <w:rsid w:val="00E66F7F"/>
    <w:rsid w:val="00E66FEA"/>
    <w:rsid w:val="00E6702B"/>
    <w:rsid w:val="00E70B53"/>
    <w:rsid w:val="00E72E29"/>
    <w:rsid w:val="00E736F7"/>
    <w:rsid w:val="00E73A60"/>
    <w:rsid w:val="00E73BA0"/>
    <w:rsid w:val="00E73C92"/>
    <w:rsid w:val="00E74932"/>
    <w:rsid w:val="00E75F72"/>
    <w:rsid w:val="00E76688"/>
    <w:rsid w:val="00E76E3A"/>
    <w:rsid w:val="00E77082"/>
    <w:rsid w:val="00E77C3A"/>
    <w:rsid w:val="00E8005F"/>
    <w:rsid w:val="00E802C0"/>
    <w:rsid w:val="00E8059D"/>
    <w:rsid w:val="00E80A88"/>
    <w:rsid w:val="00E81218"/>
    <w:rsid w:val="00E8124F"/>
    <w:rsid w:val="00E82B65"/>
    <w:rsid w:val="00E832E0"/>
    <w:rsid w:val="00E840E8"/>
    <w:rsid w:val="00E874CE"/>
    <w:rsid w:val="00E875FB"/>
    <w:rsid w:val="00E87917"/>
    <w:rsid w:val="00E8795D"/>
    <w:rsid w:val="00E87B83"/>
    <w:rsid w:val="00E87DA7"/>
    <w:rsid w:val="00E90081"/>
    <w:rsid w:val="00E90127"/>
    <w:rsid w:val="00E902CF"/>
    <w:rsid w:val="00E902EE"/>
    <w:rsid w:val="00E90BB3"/>
    <w:rsid w:val="00E91404"/>
    <w:rsid w:val="00E9155F"/>
    <w:rsid w:val="00E921A6"/>
    <w:rsid w:val="00E948C1"/>
    <w:rsid w:val="00E94C4A"/>
    <w:rsid w:val="00E955C9"/>
    <w:rsid w:val="00E9578A"/>
    <w:rsid w:val="00E95DC3"/>
    <w:rsid w:val="00E977C8"/>
    <w:rsid w:val="00E97B20"/>
    <w:rsid w:val="00E97E06"/>
    <w:rsid w:val="00EA06B4"/>
    <w:rsid w:val="00EA098A"/>
    <w:rsid w:val="00EA1702"/>
    <w:rsid w:val="00EA2DDE"/>
    <w:rsid w:val="00EA2FA2"/>
    <w:rsid w:val="00EA38B4"/>
    <w:rsid w:val="00EA3F9E"/>
    <w:rsid w:val="00EA46C7"/>
    <w:rsid w:val="00EA4A5F"/>
    <w:rsid w:val="00EA4AE0"/>
    <w:rsid w:val="00EA4FDB"/>
    <w:rsid w:val="00EA5E3C"/>
    <w:rsid w:val="00EA6849"/>
    <w:rsid w:val="00EA6F79"/>
    <w:rsid w:val="00EA7AE9"/>
    <w:rsid w:val="00EB0F52"/>
    <w:rsid w:val="00EB1E95"/>
    <w:rsid w:val="00EB1F1E"/>
    <w:rsid w:val="00EB2B18"/>
    <w:rsid w:val="00EB2E23"/>
    <w:rsid w:val="00EB2FBB"/>
    <w:rsid w:val="00EB3075"/>
    <w:rsid w:val="00EB31A8"/>
    <w:rsid w:val="00EB3A71"/>
    <w:rsid w:val="00EB3F95"/>
    <w:rsid w:val="00EB52D3"/>
    <w:rsid w:val="00EB574C"/>
    <w:rsid w:val="00EB59C6"/>
    <w:rsid w:val="00EB5AAB"/>
    <w:rsid w:val="00EB5D5B"/>
    <w:rsid w:val="00EB6C68"/>
    <w:rsid w:val="00EC0599"/>
    <w:rsid w:val="00EC0B25"/>
    <w:rsid w:val="00EC0C1E"/>
    <w:rsid w:val="00EC107F"/>
    <w:rsid w:val="00EC12ED"/>
    <w:rsid w:val="00EC14E1"/>
    <w:rsid w:val="00EC17E8"/>
    <w:rsid w:val="00EC1CBF"/>
    <w:rsid w:val="00EC236D"/>
    <w:rsid w:val="00EC23A5"/>
    <w:rsid w:val="00EC3BD7"/>
    <w:rsid w:val="00EC403F"/>
    <w:rsid w:val="00EC48D9"/>
    <w:rsid w:val="00EC4D5D"/>
    <w:rsid w:val="00EC4D97"/>
    <w:rsid w:val="00EC4DF6"/>
    <w:rsid w:val="00EC769B"/>
    <w:rsid w:val="00EC7EA9"/>
    <w:rsid w:val="00ED0737"/>
    <w:rsid w:val="00ED0C4A"/>
    <w:rsid w:val="00ED1D02"/>
    <w:rsid w:val="00ED20BB"/>
    <w:rsid w:val="00ED3834"/>
    <w:rsid w:val="00ED3CED"/>
    <w:rsid w:val="00ED4553"/>
    <w:rsid w:val="00ED53A1"/>
    <w:rsid w:val="00ED56A7"/>
    <w:rsid w:val="00ED5750"/>
    <w:rsid w:val="00ED6063"/>
    <w:rsid w:val="00ED6272"/>
    <w:rsid w:val="00ED709B"/>
    <w:rsid w:val="00ED737D"/>
    <w:rsid w:val="00ED7402"/>
    <w:rsid w:val="00EE051E"/>
    <w:rsid w:val="00EE076C"/>
    <w:rsid w:val="00EE14EA"/>
    <w:rsid w:val="00EE2545"/>
    <w:rsid w:val="00EE299F"/>
    <w:rsid w:val="00EE2D0A"/>
    <w:rsid w:val="00EE2D5B"/>
    <w:rsid w:val="00EE36AB"/>
    <w:rsid w:val="00EE465C"/>
    <w:rsid w:val="00EE4B40"/>
    <w:rsid w:val="00EE50F3"/>
    <w:rsid w:val="00EE6969"/>
    <w:rsid w:val="00EE7055"/>
    <w:rsid w:val="00EE7CC0"/>
    <w:rsid w:val="00EF02D6"/>
    <w:rsid w:val="00EF037D"/>
    <w:rsid w:val="00EF0A1D"/>
    <w:rsid w:val="00EF0EC7"/>
    <w:rsid w:val="00EF0FEF"/>
    <w:rsid w:val="00EF11A0"/>
    <w:rsid w:val="00EF1F07"/>
    <w:rsid w:val="00EF2373"/>
    <w:rsid w:val="00EF23B1"/>
    <w:rsid w:val="00EF32BB"/>
    <w:rsid w:val="00EF37B4"/>
    <w:rsid w:val="00EF3DD4"/>
    <w:rsid w:val="00EF3FD1"/>
    <w:rsid w:val="00EF4096"/>
    <w:rsid w:val="00EF549D"/>
    <w:rsid w:val="00EF5627"/>
    <w:rsid w:val="00EF57C5"/>
    <w:rsid w:val="00EF6052"/>
    <w:rsid w:val="00EF61AF"/>
    <w:rsid w:val="00EF6F83"/>
    <w:rsid w:val="00EF7DA3"/>
    <w:rsid w:val="00F00353"/>
    <w:rsid w:val="00F0037A"/>
    <w:rsid w:val="00F00D8D"/>
    <w:rsid w:val="00F018B4"/>
    <w:rsid w:val="00F02F93"/>
    <w:rsid w:val="00F03278"/>
    <w:rsid w:val="00F03407"/>
    <w:rsid w:val="00F03888"/>
    <w:rsid w:val="00F03EB6"/>
    <w:rsid w:val="00F04527"/>
    <w:rsid w:val="00F04C86"/>
    <w:rsid w:val="00F04DD7"/>
    <w:rsid w:val="00F053A3"/>
    <w:rsid w:val="00F055D6"/>
    <w:rsid w:val="00F05A68"/>
    <w:rsid w:val="00F061B5"/>
    <w:rsid w:val="00F0735D"/>
    <w:rsid w:val="00F10326"/>
    <w:rsid w:val="00F10C13"/>
    <w:rsid w:val="00F11080"/>
    <w:rsid w:val="00F11334"/>
    <w:rsid w:val="00F1176A"/>
    <w:rsid w:val="00F117D0"/>
    <w:rsid w:val="00F1269A"/>
    <w:rsid w:val="00F13878"/>
    <w:rsid w:val="00F13B73"/>
    <w:rsid w:val="00F13EC5"/>
    <w:rsid w:val="00F153BC"/>
    <w:rsid w:val="00F15508"/>
    <w:rsid w:val="00F157C3"/>
    <w:rsid w:val="00F15B89"/>
    <w:rsid w:val="00F1620C"/>
    <w:rsid w:val="00F16A81"/>
    <w:rsid w:val="00F17017"/>
    <w:rsid w:val="00F176EF"/>
    <w:rsid w:val="00F17E8A"/>
    <w:rsid w:val="00F209BE"/>
    <w:rsid w:val="00F20A16"/>
    <w:rsid w:val="00F23456"/>
    <w:rsid w:val="00F23735"/>
    <w:rsid w:val="00F23E30"/>
    <w:rsid w:val="00F24D22"/>
    <w:rsid w:val="00F25C51"/>
    <w:rsid w:val="00F26719"/>
    <w:rsid w:val="00F26F31"/>
    <w:rsid w:val="00F270BF"/>
    <w:rsid w:val="00F27947"/>
    <w:rsid w:val="00F300F5"/>
    <w:rsid w:val="00F3067B"/>
    <w:rsid w:val="00F3182D"/>
    <w:rsid w:val="00F3335E"/>
    <w:rsid w:val="00F33621"/>
    <w:rsid w:val="00F33665"/>
    <w:rsid w:val="00F34D58"/>
    <w:rsid w:val="00F34F3B"/>
    <w:rsid w:val="00F35556"/>
    <w:rsid w:val="00F35612"/>
    <w:rsid w:val="00F365B6"/>
    <w:rsid w:val="00F369CB"/>
    <w:rsid w:val="00F36E5D"/>
    <w:rsid w:val="00F37015"/>
    <w:rsid w:val="00F3719D"/>
    <w:rsid w:val="00F37BE9"/>
    <w:rsid w:val="00F40539"/>
    <w:rsid w:val="00F410FB"/>
    <w:rsid w:val="00F4214B"/>
    <w:rsid w:val="00F4218E"/>
    <w:rsid w:val="00F423E7"/>
    <w:rsid w:val="00F434DE"/>
    <w:rsid w:val="00F43D68"/>
    <w:rsid w:val="00F43DD1"/>
    <w:rsid w:val="00F441A8"/>
    <w:rsid w:val="00F4494A"/>
    <w:rsid w:val="00F44A78"/>
    <w:rsid w:val="00F44ED3"/>
    <w:rsid w:val="00F45BE1"/>
    <w:rsid w:val="00F4664A"/>
    <w:rsid w:val="00F46A48"/>
    <w:rsid w:val="00F473AE"/>
    <w:rsid w:val="00F47605"/>
    <w:rsid w:val="00F479A8"/>
    <w:rsid w:val="00F52004"/>
    <w:rsid w:val="00F52B94"/>
    <w:rsid w:val="00F531F5"/>
    <w:rsid w:val="00F535F2"/>
    <w:rsid w:val="00F541AD"/>
    <w:rsid w:val="00F54369"/>
    <w:rsid w:val="00F5472E"/>
    <w:rsid w:val="00F54803"/>
    <w:rsid w:val="00F54896"/>
    <w:rsid w:val="00F558CB"/>
    <w:rsid w:val="00F56333"/>
    <w:rsid w:val="00F564EE"/>
    <w:rsid w:val="00F56C8D"/>
    <w:rsid w:val="00F6045F"/>
    <w:rsid w:val="00F616DB"/>
    <w:rsid w:val="00F61936"/>
    <w:rsid w:val="00F628A0"/>
    <w:rsid w:val="00F62A61"/>
    <w:rsid w:val="00F62ABE"/>
    <w:rsid w:val="00F62B4B"/>
    <w:rsid w:val="00F63167"/>
    <w:rsid w:val="00F63B41"/>
    <w:rsid w:val="00F64AB0"/>
    <w:rsid w:val="00F657D4"/>
    <w:rsid w:val="00F658D1"/>
    <w:rsid w:val="00F66915"/>
    <w:rsid w:val="00F66D25"/>
    <w:rsid w:val="00F67161"/>
    <w:rsid w:val="00F6730A"/>
    <w:rsid w:val="00F678AF"/>
    <w:rsid w:val="00F7050F"/>
    <w:rsid w:val="00F70727"/>
    <w:rsid w:val="00F71B05"/>
    <w:rsid w:val="00F72452"/>
    <w:rsid w:val="00F72F9C"/>
    <w:rsid w:val="00F73473"/>
    <w:rsid w:val="00F73A17"/>
    <w:rsid w:val="00F74770"/>
    <w:rsid w:val="00F74900"/>
    <w:rsid w:val="00F75050"/>
    <w:rsid w:val="00F75546"/>
    <w:rsid w:val="00F76634"/>
    <w:rsid w:val="00F7690A"/>
    <w:rsid w:val="00F77E8A"/>
    <w:rsid w:val="00F805F0"/>
    <w:rsid w:val="00F80668"/>
    <w:rsid w:val="00F809A7"/>
    <w:rsid w:val="00F80B76"/>
    <w:rsid w:val="00F80E7C"/>
    <w:rsid w:val="00F81479"/>
    <w:rsid w:val="00F815B6"/>
    <w:rsid w:val="00F8227C"/>
    <w:rsid w:val="00F82781"/>
    <w:rsid w:val="00F827DD"/>
    <w:rsid w:val="00F8357D"/>
    <w:rsid w:val="00F838CD"/>
    <w:rsid w:val="00F83A18"/>
    <w:rsid w:val="00F83AAE"/>
    <w:rsid w:val="00F83DBB"/>
    <w:rsid w:val="00F842AB"/>
    <w:rsid w:val="00F849A5"/>
    <w:rsid w:val="00F85817"/>
    <w:rsid w:val="00F85B6B"/>
    <w:rsid w:val="00F8733D"/>
    <w:rsid w:val="00F9001E"/>
    <w:rsid w:val="00F900B0"/>
    <w:rsid w:val="00F902B5"/>
    <w:rsid w:val="00F907E8"/>
    <w:rsid w:val="00F90FF4"/>
    <w:rsid w:val="00F91223"/>
    <w:rsid w:val="00F91A1A"/>
    <w:rsid w:val="00F924B5"/>
    <w:rsid w:val="00F9250C"/>
    <w:rsid w:val="00F92A05"/>
    <w:rsid w:val="00F93418"/>
    <w:rsid w:val="00F936FB"/>
    <w:rsid w:val="00F94A1B"/>
    <w:rsid w:val="00F94EC4"/>
    <w:rsid w:val="00F957CA"/>
    <w:rsid w:val="00F95907"/>
    <w:rsid w:val="00F96588"/>
    <w:rsid w:val="00F96663"/>
    <w:rsid w:val="00F9666F"/>
    <w:rsid w:val="00F97964"/>
    <w:rsid w:val="00FA29B9"/>
    <w:rsid w:val="00FA4429"/>
    <w:rsid w:val="00FA45F0"/>
    <w:rsid w:val="00FA50FC"/>
    <w:rsid w:val="00FA5401"/>
    <w:rsid w:val="00FA5538"/>
    <w:rsid w:val="00FA5B2A"/>
    <w:rsid w:val="00FA5D2D"/>
    <w:rsid w:val="00FA6524"/>
    <w:rsid w:val="00FA6704"/>
    <w:rsid w:val="00FA7468"/>
    <w:rsid w:val="00FB0742"/>
    <w:rsid w:val="00FB0877"/>
    <w:rsid w:val="00FB0AAD"/>
    <w:rsid w:val="00FB0BDD"/>
    <w:rsid w:val="00FB1518"/>
    <w:rsid w:val="00FB249A"/>
    <w:rsid w:val="00FB2887"/>
    <w:rsid w:val="00FB2AAB"/>
    <w:rsid w:val="00FB2B13"/>
    <w:rsid w:val="00FB383B"/>
    <w:rsid w:val="00FB3D40"/>
    <w:rsid w:val="00FB3DAE"/>
    <w:rsid w:val="00FB6476"/>
    <w:rsid w:val="00FB729D"/>
    <w:rsid w:val="00FB7768"/>
    <w:rsid w:val="00FB7DD9"/>
    <w:rsid w:val="00FB7E18"/>
    <w:rsid w:val="00FC09E0"/>
    <w:rsid w:val="00FC0A11"/>
    <w:rsid w:val="00FC0E9D"/>
    <w:rsid w:val="00FC21AD"/>
    <w:rsid w:val="00FC2DC2"/>
    <w:rsid w:val="00FC3CFA"/>
    <w:rsid w:val="00FC4A5B"/>
    <w:rsid w:val="00FC6593"/>
    <w:rsid w:val="00FC6924"/>
    <w:rsid w:val="00FC74ED"/>
    <w:rsid w:val="00FC799A"/>
    <w:rsid w:val="00FC7E3F"/>
    <w:rsid w:val="00FD05D6"/>
    <w:rsid w:val="00FD0EE6"/>
    <w:rsid w:val="00FD113E"/>
    <w:rsid w:val="00FD120B"/>
    <w:rsid w:val="00FD13A0"/>
    <w:rsid w:val="00FD18F2"/>
    <w:rsid w:val="00FD1BB0"/>
    <w:rsid w:val="00FD238C"/>
    <w:rsid w:val="00FD29BB"/>
    <w:rsid w:val="00FD4090"/>
    <w:rsid w:val="00FD4161"/>
    <w:rsid w:val="00FD4615"/>
    <w:rsid w:val="00FD4B0C"/>
    <w:rsid w:val="00FD4F2B"/>
    <w:rsid w:val="00FD5066"/>
    <w:rsid w:val="00FD51FB"/>
    <w:rsid w:val="00FD5AD8"/>
    <w:rsid w:val="00FD6293"/>
    <w:rsid w:val="00FD6324"/>
    <w:rsid w:val="00FD6789"/>
    <w:rsid w:val="00FD6F48"/>
    <w:rsid w:val="00FD7BBC"/>
    <w:rsid w:val="00FE05D8"/>
    <w:rsid w:val="00FE1C28"/>
    <w:rsid w:val="00FE22B6"/>
    <w:rsid w:val="00FE35BC"/>
    <w:rsid w:val="00FE4F9B"/>
    <w:rsid w:val="00FE51C6"/>
    <w:rsid w:val="00FE548F"/>
    <w:rsid w:val="00FE5551"/>
    <w:rsid w:val="00FE5603"/>
    <w:rsid w:val="00FE5AA6"/>
    <w:rsid w:val="00FE5C7D"/>
    <w:rsid w:val="00FE6652"/>
    <w:rsid w:val="00FE6DB2"/>
    <w:rsid w:val="00FE70DB"/>
    <w:rsid w:val="00FE743E"/>
    <w:rsid w:val="00FE7B70"/>
    <w:rsid w:val="00FE7F0E"/>
    <w:rsid w:val="00FF065D"/>
    <w:rsid w:val="00FF26B7"/>
    <w:rsid w:val="00FF2A56"/>
    <w:rsid w:val="00FF2B03"/>
    <w:rsid w:val="00FF2F59"/>
    <w:rsid w:val="00FF368C"/>
    <w:rsid w:val="00FF3923"/>
    <w:rsid w:val="00FF4500"/>
    <w:rsid w:val="00FF4FA9"/>
    <w:rsid w:val="00FF6395"/>
    <w:rsid w:val="00FF69AC"/>
    <w:rsid w:val="00FF6FC9"/>
    <w:rsid w:val="00FF7824"/>
    <w:rsid w:val="00FF7F19"/>
    <w:rsid w:val="01096B8D"/>
    <w:rsid w:val="010B3889"/>
    <w:rsid w:val="011B0422"/>
    <w:rsid w:val="0123654F"/>
    <w:rsid w:val="01561E77"/>
    <w:rsid w:val="01775098"/>
    <w:rsid w:val="017829C6"/>
    <w:rsid w:val="01945B22"/>
    <w:rsid w:val="01B021C5"/>
    <w:rsid w:val="01C55B35"/>
    <w:rsid w:val="01E83276"/>
    <w:rsid w:val="01F75701"/>
    <w:rsid w:val="0221650C"/>
    <w:rsid w:val="02222CAE"/>
    <w:rsid w:val="02270485"/>
    <w:rsid w:val="02295C0B"/>
    <w:rsid w:val="02456830"/>
    <w:rsid w:val="025B2B37"/>
    <w:rsid w:val="026103F0"/>
    <w:rsid w:val="026B23F7"/>
    <w:rsid w:val="02744219"/>
    <w:rsid w:val="02773D64"/>
    <w:rsid w:val="02DE6C5C"/>
    <w:rsid w:val="02E40C9F"/>
    <w:rsid w:val="02FF2228"/>
    <w:rsid w:val="031D6DD9"/>
    <w:rsid w:val="03213725"/>
    <w:rsid w:val="03331D62"/>
    <w:rsid w:val="03393DD7"/>
    <w:rsid w:val="03851B29"/>
    <w:rsid w:val="03AD7CCF"/>
    <w:rsid w:val="03BA5564"/>
    <w:rsid w:val="03BC32EE"/>
    <w:rsid w:val="03C05B17"/>
    <w:rsid w:val="03C755A5"/>
    <w:rsid w:val="03CB3539"/>
    <w:rsid w:val="04012C5E"/>
    <w:rsid w:val="04055AC0"/>
    <w:rsid w:val="04062345"/>
    <w:rsid w:val="041609A6"/>
    <w:rsid w:val="04287643"/>
    <w:rsid w:val="043D09F9"/>
    <w:rsid w:val="04413C04"/>
    <w:rsid w:val="04415B9C"/>
    <w:rsid w:val="04A448A8"/>
    <w:rsid w:val="04A6440F"/>
    <w:rsid w:val="04AC1138"/>
    <w:rsid w:val="04C44472"/>
    <w:rsid w:val="04D57B5A"/>
    <w:rsid w:val="04F1542A"/>
    <w:rsid w:val="04F60FEE"/>
    <w:rsid w:val="051016A8"/>
    <w:rsid w:val="05273066"/>
    <w:rsid w:val="05744E06"/>
    <w:rsid w:val="05B90F2D"/>
    <w:rsid w:val="05C24D7D"/>
    <w:rsid w:val="05C71F5D"/>
    <w:rsid w:val="05CC37B6"/>
    <w:rsid w:val="05CD437A"/>
    <w:rsid w:val="05F33576"/>
    <w:rsid w:val="05F424A6"/>
    <w:rsid w:val="062B7BF5"/>
    <w:rsid w:val="064004E8"/>
    <w:rsid w:val="064D08D5"/>
    <w:rsid w:val="065C6FA0"/>
    <w:rsid w:val="06A85E48"/>
    <w:rsid w:val="06AA1CC4"/>
    <w:rsid w:val="06AF635A"/>
    <w:rsid w:val="06BB5A3F"/>
    <w:rsid w:val="06C033A4"/>
    <w:rsid w:val="06D4519C"/>
    <w:rsid w:val="06D82F87"/>
    <w:rsid w:val="06DC3288"/>
    <w:rsid w:val="06E46E2D"/>
    <w:rsid w:val="07183FC3"/>
    <w:rsid w:val="0732330D"/>
    <w:rsid w:val="07462CB6"/>
    <w:rsid w:val="076041CD"/>
    <w:rsid w:val="076660B6"/>
    <w:rsid w:val="076E0880"/>
    <w:rsid w:val="07795B35"/>
    <w:rsid w:val="0787535D"/>
    <w:rsid w:val="079D2ABD"/>
    <w:rsid w:val="07A92484"/>
    <w:rsid w:val="07BD542C"/>
    <w:rsid w:val="07F12062"/>
    <w:rsid w:val="07F570FC"/>
    <w:rsid w:val="08215D59"/>
    <w:rsid w:val="087C5C38"/>
    <w:rsid w:val="08854962"/>
    <w:rsid w:val="088D0924"/>
    <w:rsid w:val="08A7789C"/>
    <w:rsid w:val="08AC4777"/>
    <w:rsid w:val="08C758B5"/>
    <w:rsid w:val="08CE45A1"/>
    <w:rsid w:val="08D77CBB"/>
    <w:rsid w:val="096A4D31"/>
    <w:rsid w:val="09851F41"/>
    <w:rsid w:val="098C108D"/>
    <w:rsid w:val="098D415D"/>
    <w:rsid w:val="09A100ED"/>
    <w:rsid w:val="09B011C4"/>
    <w:rsid w:val="09EC0369"/>
    <w:rsid w:val="09F13DDD"/>
    <w:rsid w:val="0A0201CD"/>
    <w:rsid w:val="0A2148F3"/>
    <w:rsid w:val="0A2B72F8"/>
    <w:rsid w:val="0A2D224C"/>
    <w:rsid w:val="0A2E25D8"/>
    <w:rsid w:val="0A3F0389"/>
    <w:rsid w:val="0A420499"/>
    <w:rsid w:val="0A4533BB"/>
    <w:rsid w:val="0A5029B0"/>
    <w:rsid w:val="0A6C7214"/>
    <w:rsid w:val="0A7553C5"/>
    <w:rsid w:val="0A7A468C"/>
    <w:rsid w:val="0A960C94"/>
    <w:rsid w:val="0A9944B4"/>
    <w:rsid w:val="0AA50A75"/>
    <w:rsid w:val="0AB22065"/>
    <w:rsid w:val="0AB647EE"/>
    <w:rsid w:val="0ABE1DDF"/>
    <w:rsid w:val="0AC31510"/>
    <w:rsid w:val="0AE32775"/>
    <w:rsid w:val="0AE903B2"/>
    <w:rsid w:val="0B1F0CF1"/>
    <w:rsid w:val="0B235A3B"/>
    <w:rsid w:val="0B2535E7"/>
    <w:rsid w:val="0B2F1DA8"/>
    <w:rsid w:val="0B381C31"/>
    <w:rsid w:val="0B4F5B03"/>
    <w:rsid w:val="0B5021E7"/>
    <w:rsid w:val="0B5C7B7B"/>
    <w:rsid w:val="0B6052B5"/>
    <w:rsid w:val="0B7E5E3F"/>
    <w:rsid w:val="0B9C130A"/>
    <w:rsid w:val="0BAD3CA8"/>
    <w:rsid w:val="0BB64DED"/>
    <w:rsid w:val="0BD37B9C"/>
    <w:rsid w:val="0BDF6B28"/>
    <w:rsid w:val="0BE07CDC"/>
    <w:rsid w:val="0BEB4495"/>
    <w:rsid w:val="0BEF0A50"/>
    <w:rsid w:val="0C2C61BD"/>
    <w:rsid w:val="0C31604A"/>
    <w:rsid w:val="0C560020"/>
    <w:rsid w:val="0C8C5B05"/>
    <w:rsid w:val="0C90494C"/>
    <w:rsid w:val="0C9575A5"/>
    <w:rsid w:val="0CAF60CA"/>
    <w:rsid w:val="0CF06255"/>
    <w:rsid w:val="0CF97DB4"/>
    <w:rsid w:val="0D060E7F"/>
    <w:rsid w:val="0D10286D"/>
    <w:rsid w:val="0D154EEE"/>
    <w:rsid w:val="0D320AB2"/>
    <w:rsid w:val="0D507917"/>
    <w:rsid w:val="0D5242E0"/>
    <w:rsid w:val="0D8C245E"/>
    <w:rsid w:val="0DA47E72"/>
    <w:rsid w:val="0DBA4F6D"/>
    <w:rsid w:val="0DBB4B74"/>
    <w:rsid w:val="0DF039C2"/>
    <w:rsid w:val="0E0B0479"/>
    <w:rsid w:val="0E182E56"/>
    <w:rsid w:val="0E2141A5"/>
    <w:rsid w:val="0E326A5D"/>
    <w:rsid w:val="0E3A30E2"/>
    <w:rsid w:val="0E3F7F89"/>
    <w:rsid w:val="0E5D4672"/>
    <w:rsid w:val="0E606B01"/>
    <w:rsid w:val="0E773044"/>
    <w:rsid w:val="0E7A4FA9"/>
    <w:rsid w:val="0E9303C4"/>
    <w:rsid w:val="0E981855"/>
    <w:rsid w:val="0EEC1279"/>
    <w:rsid w:val="0EF12264"/>
    <w:rsid w:val="0F3E46F8"/>
    <w:rsid w:val="0F4972CE"/>
    <w:rsid w:val="0F511A42"/>
    <w:rsid w:val="0F5C23CC"/>
    <w:rsid w:val="0F62539F"/>
    <w:rsid w:val="0F6604AB"/>
    <w:rsid w:val="0F693ACE"/>
    <w:rsid w:val="0F855884"/>
    <w:rsid w:val="0FA30B7C"/>
    <w:rsid w:val="0FB077A3"/>
    <w:rsid w:val="0FC71A3A"/>
    <w:rsid w:val="0FCB0F74"/>
    <w:rsid w:val="0FD101B8"/>
    <w:rsid w:val="0FE17FC7"/>
    <w:rsid w:val="0FE76EB9"/>
    <w:rsid w:val="0FF35D53"/>
    <w:rsid w:val="0FFD0D68"/>
    <w:rsid w:val="10152F6E"/>
    <w:rsid w:val="101C20B6"/>
    <w:rsid w:val="10370AC7"/>
    <w:rsid w:val="103E64A7"/>
    <w:rsid w:val="10515B96"/>
    <w:rsid w:val="105D7A30"/>
    <w:rsid w:val="1064757C"/>
    <w:rsid w:val="108651F7"/>
    <w:rsid w:val="108718DD"/>
    <w:rsid w:val="1091278A"/>
    <w:rsid w:val="1098537C"/>
    <w:rsid w:val="109F79C3"/>
    <w:rsid w:val="10B72560"/>
    <w:rsid w:val="10BB74AB"/>
    <w:rsid w:val="10EE2BE0"/>
    <w:rsid w:val="10F31F68"/>
    <w:rsid w:val="1100541B"/>
    <w:rsid w:val="11185769"/>
    <w:rsid w:val="117925AB"/>
    <w:rsid w:val="117C68FD"/>
    <w:rsid w:val="11982E42"/>
    <w:rsid w:val="11A15D00"/>
    <w:rsid w:val="11BC3B34"/>
    <w:rsid w:val="11EC78ED"/>
    <w:rsid w:val="11EE35C0"/>
    <w:rsid w:val="11FA3585"/>
    <w:rsid w:val="12143781"/>
    <w:rsid w:val="125E5108"/>
    <w:rsid w:val="12815C20"/>
    <w:rsid w:val="12832CAD"/>
    <w:rsid w:val="129273DB"/>
    <w:rsid w:val="12B93496"/>
    <w:rsid w:val="12C91B51"/>
    <w:rsid w:val="12CA1778"/>
    <w:rsid w:val="13053E20"/>
    <w:rsid w:val="130C2F93"/>
    <w:rsid w:val="130D1F28"/>
    <w:rsid w:val="13443195"/>
    <w:rsid w:val="13466504"/>
    <w:rsid w:val="134A5CF6"/>
    <w:rsid w:val="13642E53"/>
    <w:rsid w:val="1366684E"/>
    <w:rsid w:val="1386442B"/>
    <w:rsid w:val="138E13E0"/>
    <w:rsid w:val="13BD0221"/>
    <w:rsid w:val="13C13BA3"/>
    <w:rsid w:val="13C9123B"/>
    <w:rsid w:val="13E77F37"/>
    <w:rsid w:val="1427606C"/>
    <w:rsid w:val="142A4A76"/>
    <w:rsid w:val="142B4ED7"/>
    <w:rsid w:val="142F75B4"/>
    <w:rsid w:val="14330CD4"/>
    <w:rsid w:val="14404410"/>
    <w:rsid w:val="14536C55"/>
    <w:rsid w:val="145B5010"/>
    <w:rsid w:val="145D21D8"/>
    <w:rsid w:val="147742EC"/>
    <w:rsid w:val="147825C3"/>
    <w:rsid w:val="14811447"/>
    <w:rsid w:val="14991028"/>
    <w:rsid w:val="149C0023"/>
    <w:rsid w:val="14AB7ADB"/>
    <w:rsid w:val="14D90451"/>
    <w:rsid w:val="14DD45C5"/>
    <w:rsid w:val="15043F34"/>
    <w:rsid w:val="151E7B2C"/>
    <w:rsid w:val="152154EF"/>
    <w:rsid w:val="15562EDC"/>
    <w:rsid w:val="15591493"/>
    <w:rsid w:val="156A79EE"/>
    <w:rsid w:val="159E404F"/>
    <w:rsid w:val="15A77A71"/>
    <w:rsid w:val="15AE604A"/>
    <w:rsid w:val="15B91834"/>
    <w:rsid w:val="15D56932"/>
    <w:rsid w:val="15E1329D"/>
    <w:rsid w:val="15F10949"/>
    <w:rsid w:val="161601AF"/>
    <w:rsid w:val="1625463C"/>
    <w:rsid w:val="16267E50"/>
    <w:rsid w:val="162D5624"/>
    <w:rsid w:val="165A5C7A"/>
    <w:rsid w:val="16652675"/>
    <w:rsid w:val="16663200"/>
    <w:rsid w:val="166A5F29"/>
    <w:rsid w:val="16756281"/>
    <w:rsid w:val="1676687E"/>
    <w:rsid w:val="16846ECA"/>
    <w:rsid w:val="168519D9"/>
    <w:rsid w:val="16853BF7"/>
    <w:rsid w:val="168C7BAD"/>
    <w:rsid w:val="16980680"/>
    <w:rsid w:val="16997E98"/>
    <w:rsid w:val="16A00FBF"/>
    <w:rsid w:val="16C24726"/>
    <w:rsid w:val="16DA1EE0"/>
    <w:rsid w:val="16F108A6"/>
    <w:rsid w:val="174119EB"/>
    <w:rsid w:val="17414A78"/>
    <w:rsid w:val="176A664B"/>
    <w:rsid w:val="179A7011"/>
    <w:rsid w:val="17B3562F"/>
    <w:rsid w:val="17E61182"/>
    <w:rsid w:val="17F72FDD"/>
    <w:rsid w:val="1808550C"/>
    <w:rsid w:val="181E674C"/>
    <w:rsid w:val="18246F80"/>
    <w:rsid w:val="18382671"/>
    <w:rsid w:val="185323C3"/>
    <w:rsid w:val="186C0FA2"/>
    <w:rsid w:val="18731F01"/>
    <w:rsid w:val="18791A56"/>
    <w:rsid w:val="187C49D2"/>
    <w:rsid w:val="187D7EBF"/>
    <w:rsid w:val="18822DEB"/>
    <w:rsid w:val="189177C7"/>
    <w:rsid w:val="18D46919"/>
    <w:rsid w:val="18E85FBC"/>
    <w:rsid w:val="18F15472"/>
    <w:rsid w:val="19471CA2"/>
    <w:rsid w:val="19493FAA"/>
    <w:rsid w:val="194D640C"/>
    <w:rsid w:val="198B04A8"/>
    <w:rsid w:val="199C5153"/>
    <w:rsid w:val="19B9739A"/>
    <w:rsid w:val="19C464A6"/>
    <w:rsid w:val="19C81381"/>
    <w:rsid w:val="19E805BF"/>
    <w:rsid w:val="1A052D69"/>
    <w:rsid w:val="1A2331F5"/>
    <w:rsid w:val="1A245317"/>
    <w:rsid w:val="1A2D31EF"/>
    <w:rsid w:val="1A4D7FB9"/>
    <w:rsid w:val="1A921FE0"/>
    <w:rsid w:val="1AC74ADE"/>
    <w:rsid w:val="1ACD2FC8"/>
    <w:rsid w:val="1AE07E7A"/>
    <w:rsid w:val="1AFF6560"/>
    <w:rsid w:val="1B0B31AD"/>
    <w:rsid w:val="1B0C4A36"/>
    <w:rsid w:val="1B17084A"/>
    <w:rsid w:val="1B1A3740"/>
    <w:rsid w:val="1B4709FE"/>
    <w:rsid w:val="1BC92629"/>
    <w:rsid w:val="1BCF0A39"/>
    <w:rsid w:val="1BE31751"/>
    <w:rsid w:val="1BF47C90"/>
    <w:rsid w:val="1BFB5617"/>
    <w:rsid w:val="1C46185D"/>
    <w:rsid w:val="1C4B7A9F"/>
    <w:rsid w:val="1C9F2EE5"/>
    <w:rsid w:val="1CB91C81"/>
    <w:rsid w:val="1CD1560B"/>
    <w:rsid w:val="1CDD7A72"/>
    <w:rsid w:val="1CE03210"/>
    <w:rsid w:val="1D02725A"/>
    <w:rsid w:val="1D074F56"/>
    <w:rsid w:val="1D49165B"/>
    <w:rsid w:val="1D580C6C"/>
    <w:rsid w:val="1D5E5328"/>
    <w:rsid w:val="1D7C259D"/>
    <w:rsid w:val="1DA7211D"/>
    <w:rsid w:val="1DC26D62"/>
    <w:rsid w:val="1DD0262B"/>
    <w:rsid w:val="1E0123E5"/>
    <w:rsid w:val="1E063F58"/>
    <w:rsid w:val="1E4008B4"/>
    <w:rsid w:val="1E775034"/>
    <w:rsid w:val="1E7A1021"/>
    <w:rsid w:val="1E816AE9"/>
    <w:rsid w:val="1E832AC7"/>
    <w:rsid w:val="1EA30B46"/>
    <w:rsid w:val="1EE37B95"/>
    <w:rsid w:val="1F1630F1"/>
    <w:rsid w:val="1F576D49"/>
    <w:rsid w:val="1F5D05C3"/>
    <w:rsid w:val="1F636349"/>
    <w:rsid w:val="1F995C33"/>
    <w:rsid w:val="1FAA4F54"/>
    <w:rsid w:val="1FD515E9"/>
    <w:rsid w:val="1FFA2A24"/>
    <w:rsid w:val="20001618"/>
    <w:rsid w:val="201B089A"/>
    <w:rsid w:val="20312319"/>
    <w:rsid w:val="205510AA"/>
    <w:rsid w:val="206C381B"/>
    <w:rsid w:val="209D3F29"/>
    <w:rsid w:val="20A73973"/>
    <w:rsid w:val="20A83339"/>
    <w:rsid w:val="20B300CD"/>
    <w:rsid w:val="20BC69E5"/>
    <w:rsid w:val="20C5217C"/>
    <w:rsid w:val="20C75766"/>
    <w:rsid w:val="20C8162E"/>
    <w:rsid w:val="210452EA"/>
    <w:rsid w:val="21052ED7"/>
    <w:rsid w:val="211012B8"/>
    <w:rsid w:val="211027CA"/>
    <w:rsid w:val="21193295"/>
    <w:rsid w:val="21506F01"/>
    <w:rsid w:val="217056DE"/>
    <w:rsid w:val="218063D1"/>
    <w:rsid w:val="219D44A7"/>
    <w:rsid w:val="21DE0B00"/>
    <w:rsid w:val="21EB00D8"/>
    <w:rsid w:val="21EC558F"/>
    <w:rsid w:val="21F1181D"/>
    <w:rsid w:val="220C00F8"/>
    <w:rsid w:val="22223840"/>
    <w:rsid w:val="223A7429"/>
    <w:rsid w:val="225525F9"/>
    <w:rsid w:val="226856F0"/>
    <w:rsid w:val="226A14EF"/>
    <w:rsid w:val="22D27BD9"/>
    <w:rsid w:val="22F0764A"/>
    <w:rsid w:val="22F45E71"/>
    <w:rsid w:val="23073CDC"/>
    <w:rsid w:val="230B4D11"/>
    <w:rsid w:val="23123CF7"/>
    <w:rsid w:val="231C3299"/>
    <w:rsid w:val="231C5EFC"/>
    <w:rsid w:val="231D5601"/>
    <w:rsid w:val="23266FD2"/>
    <w:rsid w:val="23371184"/>
    <w:rsid w:val="23484E96"/>
    <w:rsid w:val="2363176D"/>
    <w:rsid w:val="237E19CF"/>
    <w:rsid w:val="23A3697E"/>
    <w:rsid w:val="23AE19C9"/>
    <w:rsid w:val="23B250E7"/>
    <w:rsid w:val="23E12560"/>
    <w:rsid w:val="241730B4"/>
    <w:rsid w:val="241E252C"/>
    <w:rsid w:val="24314143"/>
    <w:rsid w:val="24347488"/>
    <w:rsid w:val="24412707"/>
    <w:rsid w:val="245F23FA"/>
    <w:rsid w:val="246C5FFD"/>
    <w:rsid w:val="24761927"/>
    <w:rsid w:val="247B7727"/>
    <w:rsid w:val="249779BD"/>
    <w:rsid w:val="24EA5FED"/>
    <w:rsid w:val="24ED1696"/>
    <w:rsid w:val="252B2FD2"/>
    <w:rsid w:val="252B4D89"/>
    <w:rsid w:val="252F4818"/>
    <w:rsid w:val="253B32B8"/>
    <w:rsid w:val="254418F8"/>
    <w:rsid w:val="25560126"/>
    <w:rsid w:val="255B051B"/>
    <w:rsid w:val="25833493"/>
    <w:rsid w:val="258A6AF2"/>
    <w:rsid w:val="259E03F3"/>
    <w:rsid w:val="25A21329"/>
    <w:rsid w:val="25A40595"/>
    <w:rsid w:val="25A6586A"/>
    <w:rsid w:val="25C379EC"/>
    <w:rsid w:val="25D03017"/>
    <w:rsid w:val="25D87946"/>
    <w:rsid w:val="25EC4450"/>
    <w:rsid w:val="25FA78AB"/>
    <w:rsid w:val="26065624"/>
    <w:rsid w:val="264E1CE0"/>
    <w:rsid w:val="26913B3E"/>
    <w:rsid w:val="26C37153"/>
    <w:rsid w:val="26D9344B"/>
    <w:rsid w:val="27066F62"/>
    <w:rsid w:val="27176513"/>
    <w:rsid w:val="27196D0C"/>
    <w:rsid w:val="272725EB"/>
    <w:rsid w:val="2738785C"/>
    <w:rsid w:val="273966D1"/>
    <w:rsid w:val="275331AA"/>
    <w:rsid w:val="277C5E61"/>
    <w:rsid w:val="2795513D"/>
    <w:rsid w:val="27B176ED"/>
    <w:rsid w:val="27BC6F53"/>
    <w:rsid w:val="27C05D48"/>
    <w:rsid w:val="27E5414B"/>
    <w:rsid w:val="27F84BC1"/>
    <w:rsid w:val="282202AC"/>
    <w:rsid w:val="28357531"/>
    <w:rsid w:val="289941C4"/>
    <w:rsid w:val="28C0694C"/>
    <w:rsid w:val="28C712F4"/>
    <w:rsid w:val="28C83014"/>
    <w:rsid w:val="28D24F22"/>
    <w:rsid w:val="28D5369E"/>
    <w:rsid w:val="28D54981"/>
    <w:rsid w:val="28DD05FF"/>
    <w:rsid w:val="28E422F7"/>
    <w:rsid w:val="29046CCE"/>
    <w:rsid w:val="292F6A3F"/>
    <w:rsid w:val="29375918"/>
    <w:rsid w:val="293C1DCC"/>
    <w:rsid w:val="293C75BC"/>
    <w:rsid w:val="29424ABA"/>
    <w:rsid w:val="295033BB"/>
    <w:rsid w:val="2960062D"/>
    <w:rsid w:val="296634B7"/>
    <w:rsid w:val="29765BE2"/>
    <w:rsid w:val="29911D70"/>
    <w:rsid w:val="29B9108D"/>
    <w:rsid w:val="2A1C4961"/>
    <w:rsid w:val="2A230529"/>
    <w:rsid w:val="2A3A7239"/>
    <w:rsid w:val="2A5C4850"/>
    <w:rsid w:val="2A6F6161"/>
    <w:rsid w:val="2A6F79AD"/>
    <w:rsid w:val="2A7918E0"/>
    <w:rsid w:val="2A7A0B81"/>
    <w:rsid w:val="2A95660B"/>
    <w:rsid w:val="2AB26F8F"/>
    <w:rsid w:val="2AD61DAD"/>
    <w:rsid w:val="2AF51C1C"/>
    <w:rsid w:val="2B08195D"/>
    <w:rsid w:val="2B200D93"/>
    <w:rsid w:val="2B2E4AE3"/>
    <w:rsid w:val="2B3F79DD"/>
    <w:rsid w:val="2B455CD6"/>
    <w:rsid w:val="2B745BF1"/>
    <w:rsid w:val="2B80340E"/>
    <w:rsid w:val="2B8D533E"/>
    <w:rsid w:val="2B944CC9"/>
    <w:rsid w:val="2B985679"/>
    <w:rsid w:val="2BA8094E"/>
    <w:rsid w:val="2BCB0302"/>
    <w:rsid w:val="2BD501C7"/>
    <w:rsid w:val="2BDB4ED9"/>
    <w:rsid w:val="2BF60C79"/>
    <w:rsid w:val="2BF66264"/>
    <w:rsid w:val="2BF816B5"/>
    <w:rsid w:val="2C044185"/>
    <w:rsid w:val="2C0572B2"/>
    <w:rsid w:val="2C4838DC"/>
    <w:rsid w:val="2C6B7C71"/>
    <w:rsid w:val="2C6D1C99"/>
    <w:rsid w:val="2C7314AC"/>
    <w:rsid w:val="2C7D5AC0"/>
    <w:rsid w:val="2CBF64A5"/>
    <w:rsid w:val="2CD8565D"/>
    <w:rsid w:val="2CDE1BE3"/>
    <w:rsid w:val="2CFF6334"/>
    <w:rsid w:val="2D104FBB"/>
    <w:rsid w:val="2D1814DA"/>
    <w:rsid w:val="2D3246C3"/>
    <w:rsid w:val="2D59338A"/>
    <w:rsid w:val="2D5A7565"/>
    <w:rsid w:val="2D6274DA"/>
    <w:rsid w:val="2D63405D"/>
    <w:rsid w:val="2D6476CD"/>
    <w:rsid w:val="2D726F6E"/>
    <w:rsid w:val="2D8654A2"/>
    <w:rsid w:val="2D88753E"/>
    <w:rsid w:val="2D9327E9"/>
    <w:rsid w:val="2DAE5044"/>
    <w:rsid w:val="2DB10465"/>
    <w:rsid w:val="2DBE6265"/>
    <w:rsid w:val="2DD81D6D"/>
    <w:rsid w:val="2E5E375F"/>
    <w:rsid w:val="2E892E8B"/>
    <w:rsid w:val="2EF36A91"/>
    <w:rsid w:val="2EF63947"/>
    <w:rsid w:val="2F0914F8"/>
    <w:rsid w:val="2F161D1A"/>
    <w:rsid w:val="2F55405D"/>
    <w:rsid w:val="2F5736E7"/>
    <w:rsid w:val="2F5B115A"/>
    <w:rsid w:val="2F6F12BB"/>
    <w:rsid w:val="2F6F6286"/>
    <w:rsid w:val="2F733920"/>
    <w:rsid w:val="2F85406C"/>
    <w:rsid w:val="2F8738FA"/>
    <w:rsid w:val="2FB17EBC"/>
    <w:rsid w:val="2FD93B72"/>
    <w:rsid w:val="2FEE01C6"/>
    <w:rsid w:val="2FEE5A79"/>
    <w:rsid w:val="300971D2"/>
    <w:rsid w:val="30174154"/>
    <w:rsid w:val="303141C3"/>
    <w:rsid w:val="30453CE1"/>
    <w:rsid w:val="304601F5"/>
    <w:rsid w:val="309F5FA3"/>
    <w:rsid w:val="30BE23B0"/>
    <w:rsid w:val="30CD7E77"/>
    <w:rsid w:val="30D852C3"/>
    <w:rsid w:val="30DE1B5D"/>
    <w:rsid w:val="30E9151D"/>
    <w:rsid w:val="310227CD"/>
    <w:rsid w:val="310C133D"/>
    <w:rsid w:val="313C5C88"/>
    <w:rsid w:val="31416F6B"/>
    <w:rsid w:val="31435FD1"/>
    <w:rsid w:val="31625426"/>
    <w:rsid w:val="31734D4A"/>
    <w:rsid w:val="31B31ECD"/>
    <w:rsid w:val="31BC1F4B"/>
    <w:rsid w:val="31BD32A7"/>
    <w:rsid w:val="31D831AC"/>
    <w:rsid w:val="31E16ABF"/>
    <w:rsid w:val="31E849D5"/>
    <w:rsid w:val="31E90CEB"/>
    <w:rsid w:val="31EE27EF"/>
    <w:rsid w:val="320442AE"/>
    <w:rsid w:val="320F3040"/>
    <w:rsid w:val="32106A8C"/>
    <w:rsid w:val="321B5689"/>
    <w:rsid w:val="32236C80"/>
    <w:rsid w:val="32314C4B"/>
    <w:rsid w:val="323D66D3"/>
    <w:rsid w:val="323F795F"/>
    <w:rsid w:val="32420CEF"/>
    <w:rsid w:val="32527BD5"/>
    <w:rsid w:val="32600550"/>
    <w:rsid w:val="3269481A"/>
    <w:rsid w:val="326F0320"/>
    <w:rsid w:val="328577AA"/>
    <w:rsid w:val="328D78D5"/>
    <w:rsid w:val="329976E9"/>
    <w:rsid w:val="32AA0A24"/>
    <w:rsid w:val="32BB5957"/>
    <w:rsid w:val="32C13554"/>
    <w:rsid w:val="32E116CD"/>
    <w:rsid w:val="32E94C99"/>
    <w:rsid w:val="32E95458"/>
    <w:rsid w:val="32F639E8"/>
    <w:rsid w:val="32FB4ABB"/>
    <w:rsid w:val="33065D44"/>
    <w:rsid w:val="33113216"/>
    <w:rsid w:val="33133398"/>
    <w:rsid w:val="3315374A"/>
    <w:rsid w:val="331E1818"/>
    <w:rsid w:val="332317AF"/>
    <w:rsid w:val="332A614F"/>
    <w:rsid w:val="33442079"/>
    <w:rsid w:val="334936FF"/>
    <w:rsid w:val="3358606E"/>
    <w:rsid w:val="336D3CF8"/>
    <w:rsid w:val="33900679"/>
    <w:rsid w:val="33944FB3"/>
    <w:rsid w:val="33AE6CBB"/>
    <w:rsid w:val="33AF68C0"/>
    <w:rsid w:val="33B0336A"/>
    <w:rsid w:val="33BB3905"/>
    <w:rsid w:val="33DE2CC2"/>
    <w:rsid w:val="33EC2C33"/>
    <w:rsid w:val="343E724F"/>
    <w:rsid w:val="347256C0"/>
    <w:rsid w:val="347427B3"/>
    <w:rsid w:val="347B713A"/>
    <w:rsid w:val="349E0692"/>
    <w:rsid w:val="3525564A"/>
    <w:rsid w:val="3540131F"/>
    <w:rsid w:val="35635B80"/>
    <w:rsid w:val="35786BA0"/>
    <w:rsid w:val="3581386F"/>
    <w:rsid w:val="35BA065D"/>
    <w:rsid w:val="35C935A4"/>
    <w:rsid w:val="35D41CC3"/>
    <w:rsid w:val="35D56E1C"/>
    <w:rsid w:val="35FE17EA"/>
    <w:rsid w:val="36066BC1"/>
    <w:rsid w:val="360C1020"/>
    <w:rsid w:val="366F5982"/>
    <w:rsid w:val="36903165"/>
    <w:rsid w:val="36C61B37"/>
    <w:rsid w:val="36E830B4"/>
    <w:rsid w:val="36F07628"/>
    <w:rsid w:val="37070B03"/>
    <w:rsid w:val="37514374"/>
    <w:rsid w:val="375354E9"/>
    <w:rsid w:val="375F1275"/>
    <w:rsid w:val="377814A5"/>
    <w:rsid w:val="377D28A3"/>
    <w:rsid w:val="37810B77"/>
    <w:rsid w:val="378308B2"/>
    <w:rsid w:val="3785033C"/>
    <w:rsid w:val="378D710A"/>
    <w:rsid w:val="37912C97"/>
    <w:rsid w:val="379A1A84"/>
    <w:rsid w:val="37A8245B"/>
    <w:rsid w:val="37D36A8A"/>
    <w:rsid w:val="3801215D"/>
    <w:rsid w:val="38035498"/>
    <w:rsid w:val="38071143"/>
    <w:rsid w:val="38075185"/>
    <w:rsid w:val="384D4A59"/>
    <w:rsid w:val="38754A3C"/>
    <w:rsid w:val="388B3FCE"/>
    <w:rsid w:val="389800C5"/>
    <w:rsid w:val="389B650E"/>
    <w:rsid w:val="389E5A04"/>
    <w:rsid w:val="38A8334F"/>
    <w:rsid w:val="38C96AB0"/>
    <w:rsid w:val="38CE0A33"/>
    <w:rsid w:val="38CE6483"/>
    <w:rsid w:val="38E4722F"/>
    <w:rsid w:val="38F23E0A"/>
    <w:rsid w:val="3905717D"/>
    <w:rsid w:val="39131355"/>
    <w:rsid w:val="39252FCB"/>
    <w:rsid w:val="392A41DD"/>
    <w:rsid w:val="392B5C21"/>
    <w:rsid w:val="393134F7"/>
    <w:rsid w:val="395B0042"/>
    <w:rsid w:val="395D583B"/>
    <w:rsid w:val="396A7FAD"/>
    <w:rsid w:val="397F58BD"/>
    <w:rsid w:val="39920141"/>
    <w:rsid w:val="39AD61CB"/>
    <w:rsid w:val="39B047A9"/>
    <w:rsid w:val="39B54060"/>
    <w:rsid w:val="39B72033"/>
    <w:rsid w:val="39BD0C56"/>
    <w:rsid w:val="3A012ACB"/>
    <w:rsid w:val="3A0B3173"/>
    <w:rsid w:val="3A0D739D"/>
    <w:rsid w:val="3A221AB3"/>
    <w:rsid w:val="3A744663"/>
    <w:rsid w:val="3A9C4ADB"/>
    <w:rsid w:val="3AB34EC0"/>
    <w:rsid w:val="3ABA104E"/>
    <w:rsid w:val="3AD26A57"/>
    <w:rsid w:val="3AF15A72"/>
    <w:rsid w:val="3AF627B5"/>
    <w:rsid w:val="3B306AD4"/>
    <w:rsid w:val="3B4E258B"/>
    <w:rsid w:val="3B681F87"/>
    <w:rsid w:val="3B6B5B68"/>
    <w:rsid w:val="3B887B2B"/>
    <w:rsid w:val="3BD17085"/>
    <w:rsid w:val="3BF83495"/>
    <w:rsid w:val="3BFC2FB5"/>
    <w:rsid w:val="3C1970F9"/>
    <w:rsid w:val="3C1F5E39"/>
    <w:rsid w:val="3C2704F1"/>
    <w:rsid w:val="3C7A06F6"/>
    <w:rsid w:val="3C957688"/>
    <w:rsid w:val="3CA2232C"/>
    <w:rsid w:val="3CA66757"/>
    <w:rsid w:val="3CC573F5"/>
    <w:rsid w:val="3CFC75A5"/>
    <w:rsid w:val="3D155D2E"/>
    <w:rsid w:val="3D396CF4"/>
    <w:rsid w:val="3D973676"/>
    <w:rsid w:val="3DA43037"/>
    <w:rsid w:val="3DA97084"/>
    <w:rsid w:val="3DBF64AC"/>
    <w:rsid w:val="3DD24ECE"/>
    <w:rsid w:val="3E0C61CA"/>
    <w:rsid w:val="3E1E7BDD"/>
    <w:rsid w:val="3E3A1EB7"/>
    <w:rsid w:val="3E3C47A7"/>
    <w:rsid w:val="3E46502A"/>
    <w:rsid w:val="3E4C7075"/>
    <w:rsid w:val="3E5F5D9A"/>
    <w:rsid w:val="3E690313"/>
    <w:rsid w:val="3E8532D2"/>
    <w:rsid w:val="3E9669E0"/>
    <w:rsid w:val="3E995961"/>
    <w:rsid w:val="3EB4624A"/>
    <w:rsid w:val="3EC80314"/>
    <w:rsid w:val="3EE339A5"/>
    <w:rsid w:val="3EE40DB8"/>
    <w:rsid w:val="3EEE0777"/>
    <w:rsid w:val="3EF41C5F"/>
    <w:rsid w:val="3F0B51C3"/>
    <w:rsid w:val="3F4245A4"/>
    <w:rsid w:val="3F5A15A6"/>
    <w:rsid w:val="3F611D25"/>
    <w:rsid w:val="3F8E7EDE"/>
    <w:rsid w:val="3FA12CC3"/>
    <w:rsid w:val="3FA26DBF"/>
    <w:rsid w:val="3FB2451A"/>
    <w:rsid w:val="3FD86658"/>
    <w:rsid w:val="3FE12D95"/>
    <w:rsid w:val="3FE34261"/>
    <w:rsid w:val="40011941"/>
    <w:rsid w:val="4003536C"/>
    <w:rsid w:val="401E1CCB"/>
    <w:rsid w:val="402438A0"/>
    <w:rsid w:val="407C29FB"/>
    <w:rsid w:val="407F624C"/>
    <w:rsid w:val="40894D9D"/>
    <w:rsid w:val="40A652CA"/>
    <w:rsid w:val="40B54789"/>
    <w:rsid w:val="40C03320"/>
    <w:rsid w:val="40D754C6"/>
    <w:rsid w:val="40ED2A03"/>
    <w:rsid w:val="40F35680"/>
    <w:rsid w:val="410815FC"/>
    <w:rsid w:val="410E323A"/>
    <w:rsid w:val="41507418"/>
    <w:rsid w:val="41B93715"/>
    <w:rsid w:val="41C90915"/>
    <w:rsid w:val="42244A4A"/>
    <w:rsid w:val="422C0FFC"/>
    <w:rsid w:val="422F71CC"/>
    <w:rsid w:val="423D152F"/>
    <w:rsid w:val="42447CC6"/>
    <w:rsid w:val="425F0CDA"/>
    <w:rsid w:val="426B5B9E"/>
    <w:rsid w:val="428B48A2"/>
    <w:rsid w:val="42A162F2"/>
    <w:rsid w:val="42BB0A4F"/>
    <w:rsid w:val="42D57AFB"/>
    <w:rsid w:val="42EA711A"/>
    <w:rsid w:val="42ED4F61"/>
    <w:rsid w:val="42F43DBB"/>
    <w:rsid w:val="42F9232D"/>
    <w:rsid w:val="43283309"/>
    <w:rsid w:val="432A24F6"/>
    <w:rsid w:val="43375DD6"/>
    <w:rsid w:val="43386372"/>
    <w:rsid w:val="433E7693"/>
    <w:rsid w:val="43525EB8"/>
    <w:rsid w:val="436671E4"/>
    <w:rsid w:val="43773FE1"/>
    <w:rsid w:val="43AB05D3"/>
    <w:rsid w:val="44412B93"/>
    <w:rsid w:val="4472452D"/>
    <w:rsid w:val="4488091E"/>
    <w:rsid w:val="448E49A5"/>
    <w:rsid w:val="44B94F17"/>
    <w:rsid w:val="44CB430F"/>
    <w:rsid w:val="45352A42"/>
    <w:rsid w:val="45767B23"/>
    <w:rsid w:val="457A5631"/>
    <w:rsid w:val="45986793"/>
    <w:rsid w:val="45A01BF7"/>
    <w:rsid w:val="45FE6DEE"/>
    <w:rsid w:val="46075BF5"/>
    <w:rsid w:val="46284A7B"/>
    <w:rsid w:val="46594CCA"/>
    <w:rsid w:val="465B5EA3"/>
    <w:rsid w:val="465E53A6"/>
    <w:rsid w:val="465E61B1"/>
    <w:rsid w:val="466277E2"/>
    <w:rsid w:val="4675404D"/>
    <w:rsid w:val="467D2CFD"/>
    <w:rsid w:val="468B3E2E"/>
    <w:rsid w:val="469B6C63"/>
    <w:rsid w:val="46AD320F"/>
    <w:rsid w:val="46B83F40"/>
    <w:rsid w:val="46CA0FC7"/>
    <w:rsid w:val="46D27C76"/>
    <w:rsid w:val="46D41D66"/>
    <w:rsid w:val="46E324B7"/>
    <w:rsid w:val="470060E0"/>
    <w:rsid w:val="47016F20"/>
    <w:rsid w:val="471A7F32"/>
    <w:rsid w:val="471B3108"/>
    <w:rsid w:val="472B4A57"/>
    <w:rsid w:val="473005CF"/>
    <w:rsid w:val="474565AD"/>
    <w:rsid w:val="47553258"/>
    <w:rsid w:val="47670CBD"/>
    <w:rsid w:val="477C185A"/>
    <w:rsid w:val="478B7BD2"/>
    <w:rsid w:val="478D7C6E"/>
    <w:rsid w:val="47950501"/>
    <w:rsid w:val="479F313D"/>
    <w:rsid w:val="47A439B9"/>
    <w:rsid w:val="47B515A7"/>
    <w:rsid w:val="47B653E7"/>
    <w:rsid w:val="47DF7CD9"/>
    <w:rsid w:val="47EA0E0B"/>
    <w:rsid w:val="47FA1241"/>
    <w:rsid w:val="480D39F6"/>
    <w:rsid w:val="4828433F"/>
    <w:rsid w:val="482D1B82"/>
    <w:rsid w:val="48413019"/>
    <w:rsid w:val="484510D6"/>
    <w:rsid w:val="4862306B"/>
    <w:rsid w:val="486B3E27"/>
    <w:rsid w:val="487028ED"/>
    <w:rsid w:val="487E1CCB"/>
    <w:rsid w:val="488A6D51"/>
    <w:rsid w:val="488F48D2"/>
    <w:rsid w:val="48995EFE"/>
    <w:rsid w:val="48B9397F"/>
    <w:rsid w:val="48DC208E"/>
    <w:rsid w:val="48E1633D"/>
    <w:rsid w:val="492A3D1E"/>
    <w:rsid w:val="494E2A9E"/>
    <w:rsid w:val="497866B3"/>
    <w:rsid w:val="497E53C8"/>
    <w:rsid w:val="498B7914"/>
    <w:rsid w:val="49934DC2"/>
    <w:rsid w:val="49BF1426"/>
    <w:rsid w:val="49DE6C6C"/>
    <w:rsid w:val="49E5113B"/>
    <w:rsid w:val="49E606BE"/>
    <w:rsid w:val="4A0658F6"/>
    <w:rsid w:val="4A120A67"/>
    <w:rsid w:val="4A3A3C27"/>
    <w:rsid w:val="4A472709"/>
    <w:rsid w:val="4A762065"/>
    <w:rsid w:val="4A8A325D"/>
    <w:rsid w:val="4A8E3945"/>
    <w:rsid w:val="4A9B0889"/>
    <w:rsid w:val="4A9B7C69"/>
    <w:rsid w:val="4ABA6832"/>
    <w:rsid w:val="4ACA23D3"/>
    <w:rsid w:val="4AD601A5"/>
    <w:rsid w:val="4ADC0230"/>
    <w:rsid w:val="4AE567AE"/>
    <w:rsid w:val="4AF10146"/>
    <w:rsid w:val="4B063C12"/>
    <w:rsid w:val="4B0A65B2"/>
    <w:rsid w:val="4B4401C9"/>
    <w:rsid w:val="4B4C1ECF"/>
    <w:rsid w:val="4B7F7058"/>
    <w:rsid w:val="4B8B4947"/>
    <w:rsid w:val="4BBD2314"/>
    <w:rsid w:val="4BDE68B7"/>
    <w:rsid w:val="4BE47F9F"/>
    <w:rsid w:val="4C074FE0"/>
    <w:rsid w:val="4C1C734B"/>
    <w:rsid w:val="4C303BBF"/>
    <w:rsid w:val="4C531368"/>
    <w:rsid w:val="4C576B6C"/>
    <w:rsid w:val="4C5C1098"/>
    <w:rsid w:val="4C666936"/>
    <w:rsid w:val="4C691231"/>
    <w:rsid w:val="4C750F9F"/>
    <w:rsid w:val="4C8F1D26"/>
    <w:rsid w:val="4C9A79B1"/>
    <w:rsid w:val="4CCA0A1C"/>
    <w:rsid w:val="4CCC75EC"/>
    <w:rsid w:val="4CD2564E"/>
    <w:rsid w:val="4CDD1DBF"/>
    <w:rsid w:val="4CE85803"/>
    <w:rsid w:val="4CF74093"/>
    <w:rsid w:val="4CFD3500"/>
    <w:rsid w:val="4CFF36F9"/>
    <w:rsid w:val="4D774639"/>
    <w:rsid w:val="4D8C7B66"/>
    <w:rsid w:val="4D9765BB"/>
    <w:rsid w:val="4DA04BDE"/>
    <w:rsid w:val="4DA529BB"/>
    <w:rsid w:val="4DBF7E56"/>
    <w:rsid w:val="4DC215B3"/>
    <w:rsid w:val="4DC6176A"/>
    <w:rsid w:val="4DE63988"/>
    <w:rsid w:val="4DF135DA"/>
    <w:rsid w:val="4E12759A"/>
    <w:rsid w:val="4E370792"/>
    <w:rsid w:val="4E474601"/>
    <w:rsid w:val="4E584942"/>
    <w:rsid w:val="4E61362E"/>
    <w:rsid w:val="4EA8773B"/>
    <w:rsid w:val="4EB44662"/>
    <w:rsid w:val="4ED2187D"/>
    <w:rsid w:val="4EF232FC"/>
    <w:rsid w:val="4EF61147"/>
    <w:rsid w:val="4F1007B0"/>
    <w:rsid w:val="4F124961"/>
    <w:rsid w:val="4F652B1C"/>
    <w:rsid w:val="4F735AE8"/>
    <w:rsid w:val="4F8453F5"/>
    <w:rsid w:val="4FB03118"/>
    <w:rsid w:val="4FB05D3C"/>
    <w:rsid w:val="4FCE5B8B"/>
    <w:rsid w:val="4FD26C11"/>
    <w:rsid w:val="4FDD1951"/>
    <w:rsid w:val="4FE07C8C"/>
    <w:rsid w:val="4FE645F3"/>
    <w:rsid w:val="4FE73138"/>
    <w:rsid w:val="502008DE"/>
    <w:rsid w:val="50251568"/>
    <w:rsid w:val="50472345"/>
    <w:rsid w:val="50533EEE"/>
    <w:rsid w:val="50534890"/>
    <w:rsid w:val="505A0260"/>
    <w:rsid w:val="50726F91"/>
    <w:rsid w:val="50B6524A"/>
    <w:rsid w:val="50BD6606"/>
    <w:rsid w:val="50C1776B"/>
    <w:rsid w:val="50D2195D"/>
    <w:rsid w:val="5105029E"/>
    <w:rsid w:val="51111C5B"/>
    <w:rsid w:val="51176E7F"/>
    <w:rsid w:val="51385367"/>
    <w:rsid w:val="5148609B"/>
    <w:rsid w:val="51542AFA"/>
    <w:rsid w:val="51601CF3"/>
    <w:rsid w:val="516D7826"/>
    <w:rsid w:val="517D7646"/>
    <w:rsid w:val="51A101EF"/>
    <w:rsid w:val="51C863FA"/>
    <w:rsid w:val="51C92DA7"/>
    <w:rsid w:val="51E539DE"/>
    <w:rsid w:val="51E76BDC"/>
    <w:rsid w:val="5209436B"/>
    <w:rsid w:val="520F53DF"/>
    <w:rsid w:val="522F7DD5"/>
    <w:rsid w:val="52576567"/>
    <w:rsid w:val="526743ED"/>
    <w:rsid w:val="52794B3D"/>
    <w:rsid w:val="527F78B6"/>
    <w:rsid w:val="52832ADB"/>
    <w:rsid w:val="52A045E5"/>
    <w:rsid w:val="52AE19B2"/>
    <w:rsid w:val="52BA32EA"/>
    <w:rsid w:val="52C227C0"/>
    <w:rsid w:val="52DB4BB8"/>
    <w:rsid w:val="52EA03ED"/>
    <w:rsid w:val="531718B3"/>
    <w:rsid w:val="5327135F"/>
    <w:rsid w:val="5341447C"/>
    <w:rsid w:val="534A4372"/>
    <w:rsid w:val="534B208C"/>
    <w:rsid w:val="535C0633"/>
    <w:rsid w:val="53854F4C"/>
    <w:rsid w:val="53944D15"/>
    <w:rsid w:val="53962BF5"/>
    <w:rsid w:val="53CC5554"/>
    <w:rsid w:val="53D455AD"/>
    <w:rsid w:val="53F3306B"/>
    <w:rsid w:val="540037B8"/>
    <w:rsid w:val="540A2764"/>
    <w:rsid w:val="542249A2"/>
    <w:rsid w:val="5423410E"/>
    <w:rsid w:val="545C326C"/>
    <w:rsid w:val="545D2D25"/>
    <w:rsid w:val="54656708"/>
    <w:rsid w:val="54715F86"/>
    <w:rsid w:val="54754CE5"/>
    <w:rsid w:val="549D5577"/>
    <w:rsid w:val="54CD7236"/>
    <w:rsid w:val="54DD40C9"/>
    <w:rsid w:val="54EF597C"/>
    <w:rsid w:val="55056518"/>
    <w:rsid w:val="55071543"/>
    <w:rsid w:val="551D25EA"/>
    <w:rsid w:val="552117B1"/>
    <w:rsid w:val="55280CC8"/>
    <w:rsid w:val="55313E4C"/>
    <w:rsid w:val="553356BC"/>
    <w:rsid w:val="553A2672"/>
    <w:rsid w:val="55533894"/>
    <w:rsid w:val="5563509B"/>
    <w:rsid w:val="55993B55"/>
    <w:rsid w:val="559D1514"/>
    <w:rsid w:val="55A84F5C"/>
    <w:rsid w:val="55CC658F"/>
    <w:rsid w:val="560529AF"/>
    <w:rsid w:val="5625186B"/>
    <w:rsid w:val="56261730"/>
    <w:rsid w:val="56335081"/>
    <w:rsid w:val="563614D1"/>
    <w:rsid w:val="564B15C1"/>
    <w:rsid w:val="566E2C3F"/>
    <w:rsid w:val="56800871"/>
    <w:rsid w:val="56860D05"/>
    <w:rsid w:val="56864888"/>
    <w:rsid w:val="56A46B60"/>
    <w:rsid w:val="56B362D5"/>
    <w:rsid w:val="56C24190"/>
    <w:rsid w:val="56D54BE5"/>
    <w:rsid w:val="56F30E09"/>
    <w:rsid w:val="56F62D5B"/>
    <w:rsid w:val="57041A4B"/>
    <w:rsid w:val="571D0423"/>
    <w:rsid w:val="57251209"/>
    <w:rsid w:val="57264D44"/>
    <w:rsid w:val="572E7F50"/>
    <w:rsid w:val="57390E9C"/>
    <w:rsid w:val="5741584C"/>
    <w:rsid w:val="574A5146"/>
    <w:rsid w:val="576239A8"/>
    <w:rsid w:val="577F1368"/>
    <w:rsid w:val="578876A4"/>
    <w:rsid w:val="5791794C"/>
    <w:rsid w:val="57BC2AD9"/>
    <w:rsid w:val="57C0503B"/>
    <w:rsid w:val="57DB151F"/>
    <w:rsid w:val="57E378EF"/>
    <w:rsid w:val="5801350B"/>
    <w:rsid w:val="5810203B"/>
    <w:rsid w:val="58113652"/>
    <w:rsid w:val="58116902"/>
    <w:rsid w:val="5847430E"/>
    <w:rsid w:val="58737B25"/>
    <w:rsid w:val="588669D0"/>
    <w:rsid w:val="588F6E40"/>
    <w:rsid w:val="58AA5BCF"/>
    <w:rsid w:val="591A2D10"/>
    <w:rsid w:val="591A456B"/>
    <w:rsid w:val="59384491"/>
    <w:rsid w:val="59674C0A"/>
    <w:rsid w:val="597E59E2"/>
    <w:rsid w:val="59A75F40"/>
    <w:rsid w:val="59AC464F"/>
    <w:rsid w:val="59D623E9"/>
    <w:rsid w:val="59DD2A8C"/>
    <w:rsid w:val="59DD677B"/>
    <w:rsid w:val="59EB7F8F"/>
    <w:rsid w:val="59EC1A21"/>
    <w:rsid w:val="59F0049B"/>
    <w:rsid w:val="59F35A4E"/>
    <w:rsid w:val="59FA239E"/>
    <w:rsid w:val="59FB3E12"/>
    <w:rsid w:val="5A1D4405"/>
    <w:rsid w:val="5A283C06"/>
    <w:rsid w:val="5A7C45E2"/>
    <w:rsid w:val="5A955FA7"/>
    <w:rsid w:val="5ABF0AED"/>
    <w:rsid w:val="5ADC2D77"/>
    <w:rsid w:val="5B10723D"/>
    <w:rsid w:val="5B17241C"/>
    <w:rsid w:val="5B217AC7"/>
    <w:rsid w:val="5B3E6FD4"/>
    <w:rsid w:val="5B421D12"/>
    <w:rsid w:val="5B45681F"/>
    <w:rsid w:val="5B4A7FD0"/>
    <w:rsid w:val="5B4E5A6D"/>
    <w:rsid w:val="5B685F6A"/>
    <w:rsid w:val="5B9F6781"/>
    <w:rsid w:val="5BBA6699"/>
    <w:rsid w:val="5BBF30C8"/>
    <w:rsid w:val="5BD1010F"/>
    <w:rsid w:val="5C1146DA"/>
    <w:rsid w:val="5C1464B2"/>
    <w:rsid w:val="5C1B5521"/>
    <w:rsid w:val="5C211F94"/>
    <w:rsid w:val="5C414FC1"/>
    <w:rsid w:val="5C967974"/>
    <w:rsid w:val="5CA5403A"/>
    <w:rsid w:val="5CB03E88"/>
    <w:rsid w:val="5CFC2A7D"/>
    <w:rsid w:val="5D011D75"/>
    <w:rsid w:val="5D144D1B"/>
    <w:rsid w:val="5D1C7EAD"/>
    <w:rsid w:val="5D2B624D"/>
    <w:rsid w:val="5D485AE8"/>
    <w:rsid w:val="5D7948D2"/>
    <w:rsid w:val="5D7A1F5C"/>
    <w:rsid w:val="5D96520F"/>
    <w:rsid w:val="5D983D0F"/>
    <w:rsid w:val="5D9F30A5"/>
    <w:rsid w:val="5DA1280E"/>
    <w:rsid w:val="5DB379B9"/>
    <w:rsid w:val="5DC421D4"/>
    <w:rsid w:val="5DC60142"/>
    <w:rsid w:val="5DD8608A"/>
    <w:rsid w:val="5DDD018E"/>
    <w:rsid w:val="5DE05D3D"/>
    <w:rsid w:val="5DE35A1C"/>
    <w:rsid w:val="5E067BAE"/>
    <w:rsid w:val="5E0C2E4B"/>
    <w:rsid w:val="5E0D7EB1"/>
    <w:rsid w:val="5E0E3F5E"/>
    <w:rsid w:val="5E441876"/>
    <w:rsid w:val="5E71144A"/>
    <w:rsid w:val="5E9373AB"/>
    <w:rsid w:val="5EA9350C"/>
    <w:rsid w:val="5EAB64B0"/>
    <w:rsid w:val="5EBF65DF"/>
    <w:rsid w:val="5F293FDF"/>
    <w:rsid w:val="5F347496"/>
    <w:rsid w:val="5F3E3421"/>
    <w:rsid w:val="5F4811B8"/>
    <w:rsid w:val="5F551A98"/>
    <w:rsid w:val="5F6652E7"/>
    <w:rsid w:val="5F745673"/>
    <w:rsid w:val="5F806BC5"/>
    <w:rsid w:val="5F9201CF"/>
    <w:rsid w:val="5F9642FD"/>
    <w:rsid w:val="5FE26A5A"/>
    <w:rsid w:val="5FE275AE"/>
    <w:rsid w:val="5FED0422"/>
    <w:rsid w:val="5FEF2878"/>
    <w:rsid w:val="60325011"/>
    <w:rsid w:val="60371A54"/>
    <w:rsid w:val="60477CB9"/>
    <w:rsid w:val="6048470B"/>
    <w:rsid w:val="604D184E"/>
    <w:rsid w:val="606F4351"/>
    <w:rsid w:val="60880072"/>
    <w:rsid w:val="609668D5"/>
    <w:rsid w:val="60A127E3"/>
    <w:rsid w:val="60B1259A"/>
    <w:rsid w:val="60B510E4"/>
    <w:rsid w:val="60C20C56"/>
    <w:rsid w:val="60CF1B39"/>
    <w:rsid w:val="60CF78D5"/>
    <w:rsid w:val="60D40E0A"/>
    <w:rsid w:val="60F75DED"/>
    <w:rsid w:val="61064B5B"/>
    <w:rsid w:val="610E5E4C"/>
    <w:rsid w:val="61115311"/>
    <w:rsid w:val="612F4765"/>
    <w:rsid w:val="61565728"/>
    <w:rsid w:val="615B0F7F"/>
    <w:rsid w:val="61856193"/>
    <w:rsid w:val="61970E36"/>
    <w:rsid w:val="61980C54"/>
    <w:rsid w:val="619D2A95"/>
    <w:rsid w:val="61A770CE"/>
    <w:rsid w:val="61AD0A82"/>
    <w:rsid w:val="61B5444B"/>
    <w:rsid w:val="61C15D2A"/>
    <w:rsid w:val="61F86E3D"/>
    <w:rsid w:val="620C2E3E"/>
    <w:rsid w:val="6212433F"/>
    <w:rsid w:val="62495108"/>
    <w:rsid w:val="624B3FB9"/>
    <w:rsid w:val="624B6BDB"/>
    <w:rsid w:val="62536CA0"/>
    <w:rsid w:val="628559CF"/>
    <w:rsid w:val="62961332"/>
    <w:rsid w:val="629E2E6D"/>
    <w:rsid w:val="62DA556C"/>
    <w:rsid w:val="63136C9E"/>
    <w:rsid w:val="632458B6"/>
    <w:rsid w:val="633730B3"/>
    <w:rsid w:val="63546349"/>
    <w:rsid w:val="63562908"/>
    <w:rsid w:val="635B7AD7"/>
    <w:rsid w:val="63615C63"/>
    <w:rsid w:val="63776667"/>
    <w:rsid w:val="637F2E93"/>
    <w:rsid w:val="638B3E2B"/>
    <w:rsid w:val="63994A1B"/>
    <w:rsid w:val="63A3251D"/>
    <w:rsid w:val="63A6746E"/>
    <w:rsid w:val="63CB2ADF"/>
    <w:rsid w:val="63E30626"/>
    <w:rsid w:val="63EF2EA5"/>
    <w:rsid w:val="63F0573C"/>
    <w:rsid w:val="63F21584"/>
    <w:rsid w:val="6406227D"/>
    <w:rsid w:val="641D6408"/>
    <w:rsid w:val="6458109A"/>
    <w:rsid w:val="64882C52"/>
    <w:rsid w:val="649842E6"/>
    <w:rsid w:val="649C501C"/>
    <w:rsid w:val="64B250C2"/>
    <w:rsid w:val="64D35579"/>
    <w:rsid w:val="64E42B52"/>
    <w:rsid w:val="64F2527C"/>
    <w:rsid w:val="650653CA"/>
    <w:rsid w:val="650A4DBD"/>
    <w:rsid w:val="65541551"/>
    <w:rsid w:val="655F0089"/>
    <w:rsid w:val="656A4962"/>
    <w:rsid w:val="659362B0"/>
    <w:rsid w:val="65BA7A4C"/>
    <w:rsid w:val="65BB38E8"/>
    <w:rsid w:val="65E000EA"/>
    <w:rsid w:val="66195CD3"/>
    <w:rsid w:val="66255ECD"/>
    <w:rsid w:val="66384340"/>
    <w:rsid w:val="665650E3"/>
    <w:rsid w:val="6661497E"/>
    <w:rsid w:val="66F745F5"/>
    <w:rsid w:val="66FE16DC"/>
    <w:rsid w:val="67022858"/>
    <w:rsid w:val="672D4D4E"/>
    <w:rsid w:val="67331268"/>
    <w:rsid w:val="6736266C"/>
    <w:rsid w:val="673B72FA"/>
    <w:rsid w:val="67701F59"/>
    <w:rsid w:val="677267CE"/>
    <w:rsid w:val="67747B79"/>
    <w:rsid w:val="67A037D2"/>
    <w:rsid w:val="67B33BE2"/>
    <w:rsid w:val="67B87EAA"/>
    <w:rsid w:val="67CF7E5A"/>
    <w:rsid w:val="67DD2711"/>
    <w:rsid w:val="67DD70C2"/>
    <w:rsid w:val="67EB0727"/>
    <w:rsid w:val="681A22CE"/>
    <w:rsid w:val="68404C8D"/>
    <w:rsid w:val="68547D73"/>
    <w:rsid w:val="68656CAB"/>
    <w:rsid w:val="68774E33"/>
    <w:rsid w:val="68790795"/>
    <w:rsid w:val="68863E59"/>
    <w:rsid w:val="68BA5E7B"/>
    <w:rsid w:val="68E31BB8"/>
    <w:rsid w:val="68F40AC8"/>
    <w:rsid w:val="68F54715"/>
    <w:rsid w:val="691960EE"/>
    <w:rsid w:val="692C7F7F"/>
    <w:rsid w:val="693958CA"/>
    <w:rsid w:val="694F7810"/>
    <w:rsid w:val="69595D55"/>
    <w:rsid w:val="696603B2"/>
    <w:rsid w:val="69690710"/>
    <w:rsid w:val="698B0C54"/>
    <w:rsid w:val="69957E68"/>
    <w:rsid w:val="69D45F35"/>
    <w:rsid w:val="69F83A37"/>
    <w:rsid w:val="6A000127"/>
    <w:rsid w:val="6A0F4E17"/>
    <w:rsid w:val="6A377D57"/>
    <w:rsid w:val="6A6D234A"/>
    <w:rsid w:val="6A860CB3"/>
    <w:rsid w:val="6AA07D86"/>
    <w:rsid w:val="6AAD1903"/>
    <w:rsid w:val="6AC14FDD"/>
    <w:rsid w:val="6AD824E8"/>
    <w:rsid w:val="6AE75CEB"/>
    <w:rsid w:val="6AF27E00"/>
    <w:rsid w:val="6AFD1F69"/>
    <w:rsid w:val="6B077BA2"/>
    <w:rsid w:val="6B0D58B6"/>
    <w:rsid w:val="6B3D7A90"/>
    <w:rsid w:val="6B4056CD"/>
    <w:rsid w:val="6B4572AB"/>
    <w:rsid w:val="6B640EB2"/>
    <w:rsid w:val="6BA41FB9"/>
    <w:rsid w:val="6BA73790"/>
    <w:rsid w:val="6BAB490F"/>
    <w:rsid w:val="6BC427F7"/>
    <w:rsid w:val="6BCF2478"/>
    <w:rsid w:val="6BDC6D83"/>
    <w:rsid w:val="6BEA0467"/>
    <w:rsid w:val="6C140876"/>
    <w:rsid w:val="6C156D71"/>
    <w:rsid w:val="6C193E11"/>
    <w:rsid w:val="6C2C5CD7"/>
    <w:rsid w:val="6C3E5671"/>
    <w:rsid w:val="6C5E157E"/>
    <w:rsid w:val="6C664D73"/>
    <w:rsid w:val="6C6C0D65"/>
    <w:rsid w:val="6C7639A0"/>
    <w:rsid w:val="6C827EBF"/>
    <w:rsid w:val="6C830892"/>
    <w:rsid w:val="6C9D625E"/>
    <w:rsid w:val="6CAD3383"/>
    <w:rsid w:val="6CB502EC"/>
    <w:rsid w:val="6CC03D28"/>
    <w:rsid w:val="6CCF37BA"/>
    <w:rsid w:val="6CDC644E"/>
    <w:rsid w:val="6CEC57C1"/>
    <w:rsid w:val="6CFF1CC5"/>
    <w:rsid w:val="6D1239FB"/>
    <w:rsid w:val="6D446EE3"/>
    <w:rsid w:val="6D542361"/>
    <w:rsid w:val="6D56218A"/>
    <w:rsid w:val="6D562295"/>
    <w:rsid w:val="6D5C0F86"/>
    <w:rsid w:val="6D966D60"/>
    <w:rsid w:val="6DD3203D"/>
    <w:rsid w:val="6DD84954"/>
    <w:rsid w:val="6DDD2149"/>
    <w:rsid w:val="6E0B642D"/>
    <w:rsid w:val="6E0D5ED9"/>
    <w:rsid w:val="6E272FA3"/>
    <w:rsid w:val="6E54356D"/>
    <w:rsid w:val="6E836D35"/>
    <w:rsid w:val="6E8D42B1"/>
    <w:rsid w:val="6E8F54D1"/>
    <w:rsid w:val="6E9434F9"/>
    <w:rsid w:val="6E944A2C"/>
    <w:rsid w:val="6E97533E"/>
    <w:rsid w:val="6EAB58F8"/>
    <w:rsid w:val="6EBD22AB"/>
    <w:rsid w:val="6EBF2325"/>
    <w:rsid w:val="6EC45CF8"/>
    <w:rsid w:val="6ECF61EB"/>
    <w:rsid w:val="6ED0572A"/>
    <w:rsid w:val="6ED77D9B"/>
    <w:rsid w:val="6F0E03BD"/>
    <w:rsid w:val="6F333BB2"/>
    <w:rsid w:val="6F336092"/>
    <w:rsid w:val="6F6B5AEE"/>
    <w:rsid w:val="6F830C3C"/>
    <w:rsid w:val="6FA075DF"/>
    <w:rsid w:val="6FAB714B"/>
    <w:rsid w:val="6FC4655B"/>
    <w:rsid w:val="6FD5186D"/>
    <w:rsid w:val="6FE23123"/>
    <w:rsid w:val="702D69FC"/>
    <w:rsid w:val="705A21E7"/>
    <w:rsid w:val="705E1BD1"/>
    <w:rsid w:val="70614C12"/>
    <w:rsid w:val="708448CC"/>
    <w:rsid w:val="70871B32"/>
    <w:rsid w:val="7090337E"/>
    <w:rsid w:val="70954B81"/>
    <w:rsid w:val="70A14767"/>
    <w:rsid w:val="70B736A1"/>
    <w:rsid w:val="70D16F7A"/>
    <w:rsid w:val="71032155"/>
    <w:rsid w:val="712639A0"/>
    <w:rsid w:val="712B7C04"/>
    <w:rsid w:val="714572EF"/>
    <w:rsid w:val="71563CEB"/>
    <w:rsid w:val="71896F9C"/>
    <w:rsid w:val="71C84997"/>
    <w:rsid w:val="71D34B15"/>
    <w:rsid w:val="71D55EBD"/>
    <w:rsid w:val="71ED7026"/>
    <w:rsid w:val="71FD22C6"/>
    <w:rsid w:val="72074A9C"/>
    <w:rsid w:val="72163CAC"/>
    <w:rsid w:val="72280BE1"/>
    <w:rsid w:val="722A114C"/>
    <w:rsid w:val="722D2E5A"/>
    <w:rsid w:val="723C346D"/>
    <w:rsid w:val="725E256C"/>
    <w:rsid w:val="72765617"/>
    <w:rsid w:val="727F5F13"/>
    <w:rsid w:val="728746C1"/>
    <w:rsid w:val="728A2680"/>
    <w:rsid w:val="728B3D46"/>
    <w:rsid w:val="72906B93"/>
    <w:rsid w:val="72FF3F8D"/>
    <w:rsid w:val="730D7118"/>
    <w:rsid w:val="73135C01"/>
    <w:rsid w:val="731A260E"/>
    <w:rsid w:val="732050F8"/>
    <w:rsid w:val="733A0DD1"/>
    <w:rsid w:val="736D3B81"/>
    <w:rsid w:val="73724524"/>
    <w:rsid w:val="73770C0A"/>
    <w:rsid w:val="73810C96"/>
    <w:rsid w:val="73B41B4E"/>
    <w:rsid w:val="73E36B13"/>
    <w:rsid w:val="73F80DD0"/>
    <w:rsid w:val="742803AC"/>
    <w:rsid w:val="74330A97"/>
    <w:rsid w:val="74332315"/>
    <w:rsid w:val="744F7F58"/>
    <w:rsid w:val="745C5A24"/>
    <w:rsid w:val="745D188C"/>
    <w:rsid w:val="74604112"/>
    <w:rsid w:val="74947C52"/>
    <w:rsid w:val="749A19C3"/>
    <w:rsid w:val="74A807B7"/>
    <w:rsid w:val="74A81722"/>
    <w:rsid w:val="74D0742F"/>
    <w:rsid w:val="74D23992"/>
    <w:rsid w:val="74D73928"/>
    <w:rsid w:val="74E317E7"/>
    <w:rsid w:val="74E90EAF"/>
    <w:rsid w:val="750E5E85"/>
    <w:rsid w:val="750E7540"/>
    <w:rsid w:val="751C1725"/>
    <w:rsid w:val="754E30A4"/>
    <w:rsid w:val="75523A28"/>
    <w:rsid w:val="7558082E"/>
    <w:rsid w:val="755E05E0"/>
    <w:rsid w:val="758F7DE5"/>
    <w:rsid w:val="759564FE"/>
    <w:rsid w:val="759A7F57"/>
    <w:rsid w:val="759C45F0"/>
    <w:rsid w:val="759D1E8B"/>
    <w:rsid w:val="75A02FAA"/>
    <w:rsid w:val="75AA53A9"/>
    <w:rsid w:val="75BA281B"/>
    <w:rsid w:val="75C243CA"/>
    <w:rsid w:val="75CF1241"/>
    <w:rsid w:val="75FC0F53"/>
    <w:rsid w:val="76470243"/>
    <w:rsid w:val="76475EFE"/>
    <w:rsid w:val="764E4CF6"/>
    <w:rsid w:val="765A1505"/>
    <w:rsid w:val="76840ADF"/>
    <w:rsid w:val="768F3300"/>
    <w:rsid w:val="76924CE5"/>
    <w:rsid w:val="76BB5862"/>
    <w:rsid w:val="76C41A85"/>
    <w:rsid w:val="76C70801"/>
    <w:rsid w:val="76E22E84"/>
    <w:rsid w:val="7707189A"/>
    <w:rsid w:val="77157B46"/>
    <w:rsid w:val="77241A7F"/>
    <w:rsid w:val="772A19FC"/>
    <w:rsid w:val="77315E93"/>
    <w:rsid w:val="774A6C68"/>
    <w:rsid w:val="775326CE"/>
    <w:rsid w:val="77544F39"/>
    <w:rsid w:val="775B0815"/>
    <w:rsid w:val="776D4CB3"/>
    <w:rsid w:val="77917C98"/>
    <w:rsid w:val="77943E07"/>
    <w:rsid w:val="77D34592"/>
    <w:rsid w:val="77DC79DF"/>
    <w:rsid w:val="77E20F1A"/>
    <w:rsid w:val="7807288D"/>
    <w:rsid w:val="78073E8C"/>
    <w:rsid w:val="780B2425"/>
    <w:rsid w:val="781E0E9B"/>
    <w:rsid w:val="782A27D4"/>
    <w:rsid w:val="78326723"/>
    <w:rsid w:val="784D22CE"/>
    <w:rsid w:val="789B3A73"/>
    <w:rsid w:val="789F70BF"/>
    <w:rsid w:val="78A32309"/>
    <w:rsid w:val="78CC4D5F"/>
    <w:rsid w:val="78F712E2"/>
    <w:rsid w:val="78FE4EB2"/>
    <w:rsid w:val="795E2685"/>
    <w:rsid w:val="796160BA"/>
    <w:rsid w:val="79673C5F"/>
    <w:rsid w:val="79722B2A"/>
    <w:rsid w:val="79770468"/>
    <w:rsid w:val="79933C8F"/>
    <w:rsid w:val="799E7601"/>
    <w:rsid w:val="79ED24D6"/>
    <w:rsid w:val="79F12D78"/>
    <w:rsid w:val="79FA124A"/>
    <w:rsid w:val="7A0211D0"/>
    <w:rsid w:val="7A0A04E7"/>
    <w:rsid w:val="7A0A2A3B"/>
    <w:rsid w:val="7A3C4EF9"/>
    <w:rsid w:val="7A740838"/>
    <w:rsid w:val="7A79053E"/>
    <w:rsid w:val="7A86730B"/>
    <w:rsid w:val="7A943E68"/>
    <w:rsid w:val="7A9B7569"/>
    <w:rsid w:val="7AA923A8"/>
    <w:rsid w:val="7AAA238D"/>
    <w:rsid w:val="7AAD635C"/>
    <w:rsid w:val="7AB32111"/>
    <w:rsid w:val="7ABA26D3"/>
    <w:rsid w:val="7AD54E9E"/>
    <w:rsid w:val="7AEF6003"/>
    <w:rsid w:val="7AFD021C"/>
    <w:rsid w:val="7B0B01F1"/>
    <w:rsid w:val="7B301C8A"/>
    <w:rsid w:val="7B42662C"/>
    <w:rsid w:val="7B4A5A9F"/>
    <w:rsid w:val="7B71137D"/>
    <w:rsid w:val="7B720B89"/>
    <w:rsid w:val="7B737C84"/>
    <w:rsid w:val="7B8A31DC"/>
    <w:rsid w:val="7BA14D14"/>
    <w:rsid w:val="7BAF630C"/>
    <w:rsid w:val="7BE95ACB"/>
    <w:rsid w:val="7BEC73D7"/>
    <w:rsid w:val="7BF57625"/>
    <w:rsid w:val="7C026DF2"/>
    <w:rsid w:val="7C135583"/>
    <w:rsid w:val="7C2F321A"/>
    <w:rsid w:val="7C42774D"/>
    <w:rsid w:val="7C4C003A"/>
    <w:rsid w:val="7C6E121B"/>
    <w:rsid w:val="7C914D5B"/>
    <w:rsid w:val="7CB14161"/>
    <w:rsid w:val="7CCF27B5"/>
    <w:rsid w:val="7CFE492C"/>
    <w:rsid w:val="7D1738D4"/>
    <w:rsid w:val="7D26160A"/>
    <w:rsid w:val="7D390178"/>
    <w:rsid w:val="7D3936D5"/>
    <w:rsid w:val="7D41131A"/>
    <w:rsid w:val="7D555539"/>
    <w:rsid w:val="7D75176D"/>
    <w:rsid w:val="7D773654"/>
    <w:rsid w:val="7D7F12FD"/>
    <w:rsid w:val="7D8D79DC"/>
    <w:rsid w:val="7D9B457D"/>
    <w:rsid w:val="7DA42C73"/>
    <w:rsid w:val="7DB3311A"/>
    <w:rsid w:val="7DDB4599"/>
    <w:rsid w:val="7DE36E17"/>
    <w:rsid w:val="7DE663E7"/>
    <w:rsid w:val="7E041637"/>
    <w:rsid w:val="7E160000"/>
    <w:rsid w:val="7E294AAA"/>
    <w:rsid w:val="7E6A3FB2"/>
    <w:rsid w:val="7E6C2474"/>
    <w:rsid w:val="7E6E6E14"/>
    <w:rsid w:val="7E90097D"/>
    <w:rsid w:val="7EAB5B79"/>
    <w:rsid w:val="7EC65187"/>
    <w:rsid w:val="7ED304D1"/>
    <w:rsid w:val="7EE223D7"/>
    <w:rsid w:val="7EE969A8"/>
    <w:rsid w:val="7EFD5D59"/>
    <w:rsid w:val="7F025863"/>
    <w:rsid w:val="7F2C2976"/>
    <w:rsid w:val="7F5F540A"/>
    <w:rsid w:val="7F8659A1"/>
    <w:rsid w:val="7F8E0622"/>
    <w:rsid w:val="7FA63022"/>
    <w:rsid w:val="7FAF03B0"/>
    <w:rsid w:val="7FBB2E4D"/>
    <w:rsid w:val="7FDC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51F03F-84F8-402F-910E-EEC7D6F2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semiHidden="1" w:unhideWhenUsed="1"/>
    <w:lsdException w:name="toc 3" w:lock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locked="1" w:qFormat="1"/>
    <w:lsdException w:name="Emphasis" w:locked="1"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0"/>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locked/>
    <w:pPr>
      <w:keepNext/>
      <w:keepLines/>
      <w:spacing w:before="260" w:after="260" w:line="413" w:lineRule="auto"/>
      <w:outlineLvl w:val="2"/>
    </w:pPr>
    <w:rPr>
      <w:b/>
      <w:sz w:val="32"/>
    </w:rPr>
  </w:style>
  <w:style w:type="paragraph" w:styleId="4">
    <w:name w:val="heading 4"/>
    <w:basedOn w:val="a"/>
    <w:next w:val="a"/>
    <w:link w:val="40"/>
    <w:semiHidden/>
    <w:unhideWhenUsed/>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autoSpaceDE w:val="0"/>
      <w:autoSpaceDN w:val="0"/>
      <w:adjustRightInd w:val="0"/>
      <w:spacing w:line="360" w:lineRule="auto"/>
      <w:jc w:val="left"/>
    </w:pPr>
    <w:rPr>
      <w:rFonts w:ascii="宋体"/>
      <w:kern w:val="0"/>
      <w:szCs w:val="21"/>
    </w:rPr>
  </w:style>
  <w:style w:type="paragraph" w:styleId="aa">
    <w:name w:val="Body Text Indent"/>
    <w:basedOn w:val="a"/>
    <w:link w:val="ab"/>
    <w:qFormat/>
    <w:pPr>
      <w:spacing w:after="120"/>
      <w:ind w:leftChars="200" w:left="420"/>
    </w:pPr>
  </w:style>
  <w:style w:type="paragraph" w:styleId="31">
    <w:name w:val="toc 3"/>
    <w:basedOn w:val="a"/>
    <w:next w:val="a"/>
    <w:qFormat/>
    <w:locked/>
    <w:pPr>
      <w:ind w:leftChars="400" w:left="840"/>
    </w:pPr>
  </w:style>
  <w:style w:type="paragraph" w:styleId="ac">
    <w:name w:val="Plain Text"/>
    <w:basedOn w:val="a"/>
    <w:link w:val="ad"/>
    <w:qFormat/>
    <w:pPr>
      <w:adjustRightInd w:val="0"/>
      <w:spacing w:line="360" w:lineRule="atLeast"/>
      <w:textAlignment w:val="baseline"/>
    </w:pPr>
    <w:rPr>
      <w:rFonts w:ascii="宋体" w:hAnsi="Courier New"/>
    </w:rPr>
  </w:style>
  <w:style w:type="paragraph" w:styleId="ae">
    <w:name w:val="Date"/>
    <w:basedOn w:val="a"/>
    <w:next w:val="a"/>
    <w:link w:val="af"/>
    <w:qFormat/>
    <w:pPr>
      <w:ind w:leftChars="2500" w:left="100"/>
    </w:pPr>
  </w:style>
  <w:style w:type="paragraph" w:styleId="21">
    <w:name w:val="Body Text Indent 2"/>
    <w:basedOn w:val="a"/>
    <w:link w:val="22"/>
    <w:qFormat/>
    <w:pPr>
      <w:spacing w:line="360" w:lineRule="auto"/>
      <w:ind w:firstLine="425"/>
    </w:pPr>
    <w:rPr>
      <w:rFonts w:ascii="仿宋_GB2312" w:eastAsia="仿宋_GB2312"/>
      <w:kern w:val="0"/>
      <w:sz w:val="20"/>
    </w:rPr>
  </w:style>
  <w:style w:type="paragraph" w:styleId="af0">
    <w:name w:val="Balloon Text"/>
    <w:basedOn w:val="a"/>
    <w:link w:val="af1"/>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qFormat/>
    <w:pPr>
      <w:tabs>
        <w:tab w:val="right" w:leader="dot" w:pos="8296"/>
      </w:tabs>
      <w:spacing w:line="360" w:lineRule="auto"/>
    </w:pPr>
  </w:style>
  <w:style w:type="paragraph" w:styleId="af6">
    <w:name w:val="Subtitle"/>
    <w:basedOn w:val="a"/>
    <w:next w:val="a"/>
    <w:link w:val="af7"/>
    <w:qFormat/>
    <w:locked/>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rPr>
  </w:style>
  <w:style w:type="paragraph" w:styleId="32">
    <w:name w:val="Body Text Indent 3"/>
    <w:basedOn w:val="a"/>
    <w:link w:val="33"/>
    <w:qFormat/>
    <w:pPr>
      <w:spacing w:after="120"/>
      <w:ind w:leftChars="200" w:left="420"/>
    </w:pPr>
    <w:rPr>
      <w:sz w:val="16"/>
      <w:szCs w:val="16"/>
    </w:rPr>
  </w:style>
  <w:style w:type="paragraph" w:styleId="9">
    <w:name w:val="toc 9"/>
    <w:basedOn w:val="a"/>
    <w:next w:val="a"/>
    <w:qFormat/>
    <w:locked/>
    <w:pPr>
      <w:ind w:leftChars="1600" w:left="3360"/>
    </w:pPr>
    <w:rPr>
      <w:szCs w:val="24"/>
    </w:rPr>
  </w:style>
  <w:style w:type="paragraph" w:styleId="23">
    <w:name w:val="Body Text 2"/>
    <w:basedOn w:val="a"/>
    <w:link w:val="24"/>
    <w:qFormat/>
    <w:pPr>
      <w:spacing w:after="120" w:line="480" w:lineRule="auto"/>
    </w:pPr>
  </w:style>
  <w:style w:type="paragraph" w:styleId="afa">
    <w:name w:val="Normal (Web)"/>
    <w:basedOn w:val="a"/>
    <w:link w:val="afb"/>
    <w:uiPriority w:val="99"/>
    <w:qFormat/>
    <w:pPr>
      <w:widowControl/>
      <w:snapToGrid w:val="0"/>
      <w:spacing w:before="100" w:beforeAutospacing="1" w:after="100" w:afterAutospacing="1"/>
      <w:ind w:rightChars="-3" w:right="-6" w:firstLineChars="200" w:firstLine="420"/>
      <w:jc w:val="left"/>
    </w:pPr>
    <w:rPr>
      <w:rFonts w:ascii="宋体" w:hAnsi="宋体"/>
      <w:color w:val="000000"/>
      <w:kern w:val="0"/>
      <w:sz w:val="24"/>
      <w:szCs w:val="24"/>
    </w:rPr>
  </w:style>
  <w:style w:type="paragraph" w:styleId="afc">
    <w:name w:val="Title"/>
    <w:basedOn w:val="a"/>
    <w:next w:val="a"/>
    <w:link w:val="afd"/>
    <w:qFormat/>
    <w:locked/>
    <w:pPr>
      <w:spacing w:before="240" w:after="60"/>
      <w:jc w:val="center"/>
      <w:outlineLvl w:val="0"/>
    </w:pPr>
    <w:rPr>
      <w:rFonts w:ascii="Cambria" w:hAnsi="Cambria"/>
      <w:b/>
      <w:sz w:val="32"/>
    </w:rPr>
  </w:style>
  <w:style w:type="paragraph" w:styleId="afe">
    <w:name w:val="annotation subject"/>
    <w:basedOn w:val="a6"/>
    <w:next w:val="a6"/>
    <w:link w:val="aff"/>
    <w:qFormat/>
    <w:rPr>
      <w:b/>
      <w:bCs/>
    </w:rPr>
  </w:style>
  <w:style w:type="table" w:styleId="aff0">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semiHidden/>
    <w:unhideWhenUsed/>
    <w:rPr>
      <w:color w:val="800080"/>
      <w:u w:val="single"/>
    </w:rPr>
  </w:style>
  <w:style w:type="character" w:styleId="HTML">
    <w:name w:val="HTML Typewriter"/>
    <w:qFormat/>
    <w:rPr>
      <w:rFonts w:ascii="宋体" w:eastAsia="宋体" w:hAnsi="宋体" w:cs="宋体" w:hint="eastAsia"/>
      <w:sz w:val="24"/>
      <w:szCs w:val="24"/>
    </w:rPr>
  </w:style>
  <w:style w:type="character" w:styleId="aff3">
    <w:name w:val="Hyperlink"/>
    <w:uiPriority w:val="99"/>
    <w:qFormat/>
    <w:rPr>
      <w:rFonts w:cs="Times New Roman"/>
      <w:color w:val="0000FF"/>
      <w:u w:val="single"/>
    </w:rPr>
  </w:style>
  <w:style w:type="character" w:styleId="aff4">
    <w:name w:val="annotation reference"/>
    <w:qFormat/>
    <w:rPr>
      <w:sz w:val="21"/>
      <w:szCs w:val="21"/>
    </w:rPr>
  </w:style>
  <w:style w:type="character" w:styleId="aff5">
    <w:name w:val="footnote reference"/>
    <w:qFormat/>
    <w:rPr>
      <w:vertAlign w:val="superscript"/>
    </w:rPr>
  </w:style>
  <w:style w:type="character" w:customStyle="1" w:styleId="ab">
    <w:name w:val="正文文本缩进 字符"/>
    <w:link w:val="aa"/>
    <w:qFormat/>
    <w:rPr>
      <w:rFonts w:ascii="Times New Roman" w:hAnsi="Times New Roman"/>
      <w:kern w:val="2"/>
      <w:sz w:val="21"/>
    </w:rPr>
  </w:style>
  <w:style w:type="character" w:customStyle="1" w:styleId="a5">
    <w:name w:val="文档结构图 字符"/>
    <w:link w:val="a4"/>
    <w:qFormat/>
    <w:rPr>
      <w:rFonts w:ascii="Times New Roman" w:hAnsi="Times New Roman"/>
      <w:kern w:val="2"/>
      <w:sz w:val="21"/>
      <w:shd w:val="clear" w:color="auto" w:fill="000080"/>
    </w:rPr>
  </w:style>
  <w:style w:type="character" w:customStyle="1" w:styleId="24">
    <w:name w:val="正文文本 2 字符"/>
    <w:link w:val="23"/>
    <w:qFormat/>
    <w:rPr>
      <w:rFonts w:ascii="Times New Roman" w:hAnsi="Times New Roman"/>
      <w:kern w:val="2"/>
      <w:sz w:val="21"/>
    </w:rPr>
  </w:style>
  <w:style w:type="character" w:customStyle="1" w:styleId="af1">
    <w:name w:val="批注框文本 字符"/>
    <w:link w:val="af0"/>
    <w:qFormat/>
    <w:locked/>
    <w:rPr>
      <w:rFonts w:ascii="Times New Roman" w:eastAsia="宋体" w:hAnsi="Times New Roman" w:cs="Times New Roman"/>
      <w:sz w:val="18"/>
      <w:szCs w:val="18"/>
    </w:rPr>
  </w:style>
  <w:style w:type="character" w:customStyle="1" w:styleId="af3">
    <w:name w:val="页脚 字符"/>
    <w:link w:val="af2"/>
    <w:uiPriority w:val="99"/>
    <w:qFormat/>
    <w:locked/>
    <w:rPr>
      <w:rFonts w:ascii="Times New Roman" w:eastAsia="宋体" w:hAnsi="Times New Roman" w:cs="Times New Roman"/>
      <w:sz w:val="18"/>
      <w:szCs w:val="18"/>
    </w:rPr>
  </w:style>
  <w:style w:type="character" w:customStyle="1" w:styleId="10">
    <w:name w:val="标题 1 字符"/>
    <w:link w:val="1"/>
    <w:qFormat/>
    <w:locked/>
    <w:rPr>
      <w:rFonts w:ascii="宋体" w:eastAsia="宋体" w:hAnsi="Times New Roman" w:cs="Times New Roman"/>
      <w:b/>
      <w:color w:val="000000"/>
      <w:kern w:val="0"/>
      <w:sz w:val="20"/>
      <w:szCs w:val="20"/>
    </w:rPr>
  </w:style>
  <w:style w:type="character" w:customStyle="1" w:styleId="ad">
    <w:name w:val="纯文本 字符"/>
    <w:link w:val="ac"/>
    <w:qFormat/>
    <w:rPr>
      <w:rFonts w:ascii="宋体" w:hAnsi="Courier New"/>
      <w:kern w:val="2"/>
      <w:sz w:val="21"/>
    </w:rPr>
  </w:style>
  <w:style w:type="character" w:customStyle="1" w:styleId="22">
    <w:name w:val="正文文本缩进 2 字符"/>
    <w:link w:val="21"/>
    <w:qFormat/>
    <w:locked/>
    <w:rPr>
      <w:rFonts w:ascii="仿宋_GB2312" w:eastAsia="仿宋_GB2312" w:hAnsi="Times New Roman" w:cs="Times New Roman"/>
      <w:sz w:val="20"/>
      <w:szCs w:val="20"/>
    </w:rPr>
  </w:style>
  <w:style w:type="character" w:customStyle="1" w:styleId="a9">
    <w:name w:val="正文文本 字符"/>
    <w:link w:val="a8"/>
    <w:qFormat/>
    <w:locked/>
    <w:rPr>
      <w:rFonts w:ascii="宋体" w:eastAsia="宋体" w:hAnsi="Times New Roman" w:cs="Times New Roman"/>
      <w:kern w:val="0"/>
      <w:sz w:val="21"/>
      <w:szCs w:val="21"/>
    </w:rPr>
  </w:style>
  <w:style w:type="character" w:customStyle="1" w:styleId="read">
    <w:name w:val="read"/>
    <w:qFormat/>
    <w:rPr>
      <w:rFonts w:cs="Times New Roman"/>
    </w:rPr>
  </w:style>
  <w:style w:type="character" w:customStyle="1" w:styleId="af5">
    <w:name w:val="页眉 字符"/>
    <w:link w:val="af4"/>
    <w:qFormat/>
    <w:locked/>
    <w:rPr>
      <w:rFonts w:ascii="Times New Roman" w:eastAsia="宋体" w:hAnsi="Times New Roman" w:cs="Times New Roman"/>
      <w:sz w:val="18"/>
      <w:szCs w:val="18"/>
    </w:rPr>
  </w:style>
  <w:style w:type="character" w:customStyle="1" w:styleId="20">
    <w:name w:val="标题 2 字符"/>
    <w:link w:val="2"/>
    <w:qFormat/>
    <w:locked/>
    <w:rPr>
      <w:rFonts w:ascii="Arial" w:eastAsia="黑体" w:hAnsi="Arial" w:cs="Times New Roman"/>
      <w:b/>
      <w:bCs/>
      <w:kern w:val="2"/>
      <w:sz w:val="32"/>
      <w:szCs w:val="32"/>
    </w:rPr>
  </w:style>
  <w:style w:type="character" w:customStyle="1" w:styleId="a7">
    <w:name w:val="批注文字 字符"/>
    <w:link w:val="a6"/>
    <w:qFormat/>
    <w:locked/>
    <w:rPr>
      <w:rFonts w:ascii="Times New Roman" w:hAnsi="Times New Roman"/>
      <w:kern w:val="2"/>
      <w:sz w:val="21"/>
    </w:rPr>
  </w:style>
  <w:style w:type="character" w:customStyle="1" w:styleId="33">
    <w:name w:val="正文文本缩进 3 字符"/>
    <w:link w:val="32"/>
    <w:qFormat/>
    <w:rPr>
      <w:rFonts w:ascii="Times New Roman" w:hAnsi="Times New Roman"/>
      <w:kern w:val="2"/>
      <w:sz w:val="16"/>
      <w:szCs w:val="16"/>
    </w:rPr>
  </w:style>
  <w:style w:type="paragraph" w:customStyle="1" w:styleId="CharCharChar1">
    <w:name w:val="Char Char Char1"/>
    <w:basedOn w:val="a"/>
    <w:qFormat/>
  </w:style>
  <w:style w:type="paragraph" w:customStyle="1" w:styleId="aff6">
    <w:name w:val="正文所"/>
    <w:basedOn w:val="a"/>
    <w:qFormat/>
    <w:pPr>
      <w:spacing w:line="360" w:lineRule="auto"/>
      <w:ind w:firstLineChars="200" w:firstLine="420"/>
    </w:pPr>
    <w:rPr>
      <w:rFonts w:ascii="宋体"/>
    </w:rPr>
  </w:style>
  <w:style w:type="paragraph" w:customStyle="1" w:styleId="12">
    <w:name w:val="列出段落1"/>
    <w:basedOn w:val="a"/>
    <w:qFormat/>
    <w:pPr>
      <w:ind w:firstLineChars="200" w:firstLine="420"/>
    </w:pPr>
  </w:style>
  <w:style w:type="paragraph" w:customStyle="1" w:styleId="Char">
    <w:name w:val="Char"/>
    <w:basedOn w:val="a"/>
    <w:qFormat/>
    <w:rPr>
      <w:szCs w:val="24"/>
    </w:rPr>
  </w:style>
  <w:style w:type="paragraph" w:styleId="aff7">
    <w:name w:val="List Paragraph"/>
    <w:basedOn w:val="a"/>
    <w:uiPriority w:val="99"/>
    <w:qFormat/>
    <w:pPr>
      <w:ind w:firstLineChars="200" w:firstLine="420"/>
    </w:pPr>
    <w:rPr>
      <w:szCs w:val="24"/>
    </w:rPr>
  </w:style>
  <w:style w:type="paragraph" w:customStyle="1" w:styleId="13">
    <w:name w:val="修订1"/>
    <w:uiPriority w:val="99"/>
    <w:semiHidden/>
    <w:qFormat/>
    <w:rPr>
      <w:kern w:val="2"/>
      <w:sz w:val="21"/>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szCs w:val="24"/>
    </w:rPr>
  </w:style>
  <w:style w:type="paragraph" w:customStyle="1" w:styleId="25">
    <w:name w:val="修订2"/>
    <w:uiPriority w:val="99"/>
    <w:semiHidden/>
    <w:qFormat/>
    <w:rPr>
      <w:kern w:val="2"/>
      <w:sz w:val="21"/>
    </w:rPr>
  </w:style>
  <w:style w:type="paragraph" w:customStyle="1" w:styleId="CharChar">
    <w:name w:val="Char Char"/>
    <w:basedOn w:val="a"/>
    <w:qFormat/>
  </w:style>
  <w:style w:type="paragraph" w:customStyle="1" w:styleId="XBRLTitle1">
    <w:name w:val="XBRLTitle1"/>
    <w:basedOn w:val="1"/>
    <w:next w:val="2"/>
    <w:qFormat/>
    <w:pPr>
      <w:numPr>
        <w:numId w:val="1"/>
      </w:numPr>
      <w:spacing w:before="0" w:after="0"/>
      <w:jc w:val="center"/>
    </w:pPr>
    <w:rPr>
      <w:rFonts w:ascii="Cambria" w:hAnsi="Cambria"/>
      <w:bCs/>
      <w:color w:val="auto"/>
      <w:kern w:val="44"/>
      <w:sz w:val="28"/>
      <w:szCs w:val="44"/>
      <w:lang w:val="zh-CN"/>
    </w:rPr>
  </w:style>
  <w:style w:type="paragraph" w:customStyle="1" w:styleId="XBRLTitle2">
    <w:name w:val="XBRLTitle2"/>
    <w:basedOn w:val="af6"/>
    <w:next w:val="4"/>
    <w:qFormat/>
    <w:pPr>
      <w:keepNext/>
      <w:keepLines/>
      <w:numPr>
        <w:ilvl w:val="1"/>
        <w:numId w:val="1"/>
      </w:numPr>
      <w:spacing w:before="0" w:after="0" w:line="360" w:lineRule="auto"/>
      <w:jc w:val="left"/>
    </w:pPr>
    <w:rPr>
      <w:sz w:val="24"/>
      <w:lang w:val="zh-CN"/>
    </w:rPr>
  </w:style>
  <w:style w:type="paragraph" w:customStyle="1" w:styleId="XBRLTitle3">
    <w:name w:val="XBRLTitle3"/>
    <w:basedOn w:val="af6"/>
    <w:next w:val="4"/>
    <w:qFormat/>
    <w:pPr>
      <w:keepNext/>
      <w:keepLines/>
      <w:numPr>
        <w:ilvl w:val="2"/>
        <w:numId w:val="1"/>
      </w:numPr>
      <w:spacing w:before="0" w:after="0" w:line="360" w:lineRule="auto"/>
      <w:jc w:val="left"/>
      <w:outlineLvl w:val="9"/>
    </w:pPr>
    <w:rPr>
      <w:sz w:val="24"/>
      <w:lang w:val="zh-CN"/>
    </w:rPr>
  </w:style>
  <w:style w:type="paragraph" w:customStyle="1" w:styleId="XBRLTitle4">
    <w:name w:val="XBRLTitle4"/>
    <w:basedOn w:val="af6"/>
    <w:next w:val="4"/>
    <w:qFormat/>
    <w:pPr>
      <w:keepNext/>
      <w:keepLines/>
      <w:numPr>
        <w:ilvl w:val="3"/>
        <w:numId w:val="1"/>
      </w:numPr>
      <w:spacing w:beforeLines="50" w:afterLines="50" w:line="240" w:lineRule="auto"/>
      <w:ind w:left="2160" w:hanging="420"/>
      <w:jc w:val="left"/>
      <w:outlineLvl w:val="9"/>
    </w:pPr>
    <w:rPr>
      <w:sz w:val="24"/>
      <w:lang w:val="zh-CN"/>
    </w:rPr>
  </w:style>
  <w:style w:type="paragraph" w:customStyle="1" w:styleId="XBRLTitle5">
    <w:name w:val="XBRLTitle5"/>
    <w:basedOn w:val="af6"/>
    <w:next w:val="4"/>
    <w:qFormat/>
    <w:pPr>
      <w:keepNext/>
      <w:keepLines/>
      <w:numPr>
        <w:ilvl w:val="4"/>
        <w:numId w:val="1"/>
      </w:numPr>
      <w:spacing w:beforeLines="50" w:afterLines="50" w:line="240" w:lineRule="auto"/>
      <w:ind w:left="2580" w:hanging="420"/>
      <w:jc w:val="left"/>
      <w:outlineLvl w:val="9"/>
    </w:pPr>
    <w:rPr>
      <w:sz w:val="24"/>
      <w:lang w:val="zh-CN"/>
    </w:rPr>
  </w:style>
  <w:style w:type="paragraph" w:customStyle="1" w:styleId="XBRLTitle6">
    <w:name w:val="XBRLTitle6"/>
    <w:basedOn w:val="af6"/>
    <w:next w:val="4"/>
    <w:qFormat/>
    <w:pPr>
      <w:keepNext/>
      <w:keepLines/>
      <w:numPr>
        <w:ilvl w:val="5"/>
        <w:numId w:val="1"/>
      </w:numPr>
      <w:spacing w:beforeLines="50" w:afterLines="50" w:line="240" w:lineRule="auto"/>
      <w:ind w:left="3000" w:hanging="420"/>
      <w:jc w:val="left"/>
      <w:outlineLvl w:val="9"/>
    </w:pPr>
    <w:rPr>
      <w:sz w:val="24"/>
      <w:lang w:val="zh-CN"/>
    </w:rPr>
  </w:style>
  <w:style w:type="character" w:customStyle="1" w:styleId="af7">
    <w:name w:val="副标题 字符"/>
    <w:link w:val="af6"/>
    <w:qFormat/>
    <w:rPr>
      <w:rFonts w:ascii="Cambria" w:hAnsi="Cambria" w:cs="Times New Roman"/>
      <w:b/>
      <w:bCs/>
      <w:kern w:val="28"/>
      <w:sz w:val="32"/>
      <w:szCs w:val="32"/>
    </w:rPr>
  </w:style>
  <w:style w:type="character" w:customStyle="1" w:styleId="40">
    <w:name w:val="标题 4 字符"/>
    <w:link w:val="4"/>
    <w:semiHidden/>
    <w:qFormat/>
    <w:rPr>
      <w:rFonts w:ascii="Cambria" w:eastAsia="宋体" w:hAnsi="Cambria" w:cs="Times New Roman"/>
      <w:b/>
      <w:bCs/>
      <w:kern w:val="2"/>
      <w:sz w:val="28"/>
      <w:szCs w:val="28"/>
    </w:rPr>
  </w:style>
  <w:style w:type="paragraph" w:customStyle="1" w:styleId="34">
    <w:name w:val="修订3"/>
    <w:hidden/>
    <w:uiPriority w:val="99"/>
    <w:unhideWhenUsed/>
    <w:qFormat/>
    <w:rPr>
      <w:kern w:val="2"/>
      <w:sz w:val="21"/>
    </w:rPr>
  </w:style>
  <w:style w:type="paragraph" w:customStyle="1" w:styleId="41">
    <w:name w:val="修订4"/>
    <w:hidden/>
    <w:uiPriority w:val="99"/>
    <w:semiHidden/>
    <w:qFormat/>
    <w:rPr>
      <w:kern w:val="2"/>
      <w:sz w:val="21"/>
    </w:rPr>
  </w:style>
  <w:style w:type="paragraph" w:customStyle="1" w:styleId="-">
    <w:name w:val="模板-正文"/>
    <w:basedOn w:val="afa"/>
    <w:link w:val="-Char"/>
    <w:qFormat/>
    <w:pPr>
      <w:shd w:val="clear" w:color="auto" w:fill="FFFFFF"/>
      <w:spacing w:before="0" w:beforeAutospacing="0" w:after="0" w:afterAutospacing="0" w:line="360" w:lineRule="auto"/>
      <w:ind w:rightChars="0" w:right="0" w:firstLine="200"/>
      <w:jc w:val="both"/>
    </w:pPr>
    <w:rPr>
      <w:color w:val="222222"/>
      <w:sz w:val="21"/>
      <w:szCs w:val="21"/>
      <w:lang w:val="zh-CN"/>
    </w:rPr>
  </w:style>
  <w:style w:type="character" w:customStyle="1" w:styleId="-Char">
    <w:name w:val="模板-正文 Char"/>
    <w:link w:val="-"/>
    <w:qFormat/>
    <w:rPr>
      <w:rFonts w:ascii="宋体" w:hAnsi="宋体"/>
      <w:color w:val="222222"/>
      <w:sz w:val="21"/>
      <w:szCs w:val="21"/>
      <w:shd w:val="clear" w:color="auto" w:fill="FFFFFF"/>
      <w:lang w:val="zh-CN" w:eastAsia="zh-CN"/>
    </w:rPr>
  </w:style>
  <w:style w:type="character" w:customStyle="1" w:styleId="afb">
    <w:name w:val="普通(网站) 字符"/>
    <w:link w:val="afa"/>
    <w:uiPriority w:val="99"/>
    <w:qFormat/>
    <w:rPr>
      <w:rFonts w:ascii="宋体" w:hAnsi="宋体"/>
      <w:color w:val="000000"/>
      <w:sz w:val="24"/>
      <w:szCs w:val="24"/>
    </w:rPr>
  </w:style>
  <w:style w:type="paragraph" w:customStyle="1" w:styleId="5">
    <w:name w:val="修订5"/>
    <w:hidden/>
    <w:uiPriority w:val="99"/>
    <w:semiHidden/>
    <w:qFormat/>
    <w:rPr>
      <w:kern w:val="2"/>
      <w:sz w:val="21"/>
    </w:rPr>
  </w:style>
  <w:style w:type="character" w:customStyle="1" w:styleId="30">
    <w:name w:val="标题 3 字符"/>
    <w:link w:val="3"/>
    <w:qFormat/>
    <w:rPr>
      <w:b/>
      <w:kern w:val="2"/>
      <w:sz w:val="32"/>
    </w:rPr>
  </w:style>
  <w:style w:type="character" w:customStyle="1" w:styleId="af9">
    <w:name w:val="脚注文本 字符"/>
    <w:link w:val="af8"/>
    <w:qFormat/>
    <w:rPr>
      <w:kern w:val="2"/>
      <w:sz w:val="18"/>
    </w:rPr>
  </w:style>
  <w:style w:type="character" w:customStyle="1" w:styleId="afd">
    <w:name w:val="标题 字符"/>
    <w:link w:val="afc"/>
    <w:qFormat/>
    <w:rPr>
      <w:rFonts w:ascii="Cambria" w:hAnsi="Cambria"/>
      <w:b/>
      <w:kern w:val="2"/>
      <w:sz w:val="32"/>
    </w:rPr>
  </w:style>
  <w:style w:type="character" w:customStyle="1" w:styleId="aff">
    <w:name w:val="批注主题 字符"/>
    <w:link w:val="afe"/>
    <w:qFormat/>
    <w:rPr>
      <w:rFonts w:ascii="Times New Roman" w:hAnsi="Times New Roman"/>
      <w:b/>
      <w:bCs/>
      <w:kern w:val="2"/>
      <w:sz w:val="21"/>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2"/>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f8">
    <w:name w:val="正文正文"/>
    <w:basedOn w:val="a"/>
    <w:qFormat/>
    <w:pPr>
      <w:spacing w:afterLines="25" w:after="78" w:line="360" w:lineRule="auto"/>
      <w:ind w:firstLineChars="200" w:firstLine="200"/>
    </w:pPr>
    <w:rPr>
      <w:sz w:val="24"/>
    </w:rPr>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51">
    <w:name w:val="修订51"/>
    <w:hidden/>
    <w:uiPriority w:val="99"/>
    <w:semiHidden/>
    <w:qFormat/>
    <w:rPr>
      <w:kern w:val="2"/>
      <w:sz w:val="21"/>
    </w:rPr>
  </w:style>
  <w:style w:type="paragraph" w:customStyle="1" w:styleId="CharChar2">
    <w:name w:val="Char Char2"/>
    <w:basedOn w:val="a"/>
    <w:qFormat/>
  </w:style>
  <w:style w:type="paragraph" w:customStyle="1" w:styleId="CharChar11">
    <w:name w:val="Char Char11"/>
    <w:basedOn w:val="a"/>
    <w:qFormat/>
  </w:style>
  <w:style w:type="paragraph" w:customStyle="1" w:styleId="Char2">
    <w:name w:val="Char2"/>
    <w:basedOn w:val="a"/>
    <w:qFormat/>
  </w:style>
  <w:style w:type="paragraph" w:customStyle="1" w:styleId="CharChar3">
    <w:name w:val="Char Char3"/>
    <w:basedOn w:val="a"/>
    <w:qFormat/>
  </w:style>
  <w:style w:type="paragraph" w:customStyle="1" w:styleId="6">
    <w:name w:val="修订6"/>
    <w:hidden/>
    <w:uiPriority w:val="99"/>
    <w:semiHidden/>
    <w:qFormat/>
    <w:rPr>
      <w:kern w:val="2"/>
      <w:sz w:val="21"/>
    </w:rPr>
  </w:style>
  <w:style w:type="character" w:customStyle="1" w:styleId="msoins0">
    <w:name w:val="msoins"/>
    <w:basedOn w:val="a0"/>
    <w:qFormat/>
  </w:style>
  <w:style w:type="character" w:customStyle="1" w:styleId="msodel0">
    <w:name w:val="msodel"/>
    <w:basedOn w:val="a0"/>
    <w:qFormat/>
  </w:style>
  <w:style w:type="paragraph" w:customStyle="1" w:styleId="p0">
    <w:name w:val="p0"/>
    <w:basedOn w:val="a"/>
    <w:qFormat/>
    <w:pPr>
      <w:widowControl/>
    </w:pPr>
    <w:rPr>
      <w:kern w:val="0"/>
      <w:szCs w:val="21"/>
    </w:rPr>
  </w:style>
  <w:style w:type="character" w:customStyle="1" w:styleId="14">
    <w:name w:val="未处理的提及1"/>
    <w:uiPriority w:val="99"/>
    <w:semiHidden/>
    <w:unhideWhenUsed/>
    <w:rPr>
      <w:color w:val="605E5C"/>
      <w:shd w:val="clear" w:color="auto" w:fill="E1DFDD"/>
    </w:rPr>
  </w:style>
  <w:style w:type="character" w:customStyle="1" w:styleId="Char10">
    <w:name w:val="页眉 Char1"/>
    <w:qFormat/>
    <w:locked/>
    <w:rPr>
      <w:kern w:val="2"/>
      <w:sz w:val="18"/>
      <w:szCs w:val="18"/>
    </w:rPr>
  </w:style>
  <w:style w:type="paragraph" w:customStyle="1" w:styleId="7">
    <w:name w:val="修订7"/>
    <w:hidden/>
    <w:uiPriority w:val="99"/>
    <w:unhideWhenUsed/>
    <w:qFormat/>
    <w:rPr>
      <w:kern w:val="2"/>
      <w:sz w:val="21"/>
    </w:rPr>
  </w:style>
  <w:style w:type="paragraph" w:customStyle="1" w:styleId="15">
    <w:name w:val="正文1"/>
    <w:link w:val="16"/>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sz w:val="21"/>
      <w:szCs w:val="24"/>
    </w:rPr>
  </w:style>
  <w:style w:type="character" w:customStyle="1" w:styleId="16">
    <w:name w:val="批注引用1"/>
    <w:link w:val="15"/>
    <w:qFormat/>
    <w:rPr>
      <w:sz w:val="21"/>
      <w:szCs w:val="24"/>
      <w:shd w:val="clear" w:color="auto" w:fill="FFFFFF"/>
    </w:rPr>
  </w:style>
  <w:style w:type="paragraph" w:customStyle="1" w:styleId="17">
    <w:name w:val="纯文本1"/>
    <w:basedOn w:val="15"/>
    <w:qFormat/>
    <w:rPr>
      <w:rFonts w:ascii="宋体" w:hAnsi="Courier New"/>
      <w:szCs w:val="21"/>
    </w:rPr>
  </w:style>
  <w:style w:type="paragraph" w:customStyle="1" w:styleId="18">
    <w:name w:val="正文文本缩进1"/>
    <w:basedOn w:val="15"/>
    <w:qFormat/>
    <w:pPr>
      <w:spacing w:line="400" w:lineRule="exact"/>
      <w:ind w:firstLine="538"/>
    </w:pPr>
    <w:rPr>
      <w:rFonts w:ascii="仿宋_GB2312" w:eastAsia="仿宋_GB2312" w:hAnsi="宋体"/>
      <w:color w:val="000000"/>
      <w:sz w:val="28"/>
    </w:rPr>
  </w:style>
  <w:style w:type="paragraph" w:customStyle="1" w:styleId="310">
    <w:name w:val="正文文本缩进 31"/>
    <w:basedOn w:val="15"/>
    <w:qFormat/>
    <w:pPr>
      <w:ind w:left="360" w:firstLine="540"/>
    </w:pPr>
    <w:rPr>
      <w:rFonts w:eastAsia="长城仿宋"/>
      <w:sz w:val="24"/>
      <w:szCs w:val="20"/>
    </w:rPr>
  </w:style>
  <w:style w:type="character" w:customStyle="1" w:styleId="26">
    <w:name w:val="未处理的提及2"/>
    <w:uiPriority w:val="99"/>
    <w:semiHidden/>
    <w:unhideWhenUsed/>
    <w:qFormat/>
    <w:rPr>
      <w:color w:val="605E5C"/>
      <w:shd w:val="clear" w:color="auto" w:fill="E1DFDD"/>
    </w:rPr>
  </w:style>
  <w:style w:type="character" w:customStyle="1" w:styleId="af">
    <w:name w:val="日期 字符"/>
    <w:basedOn w:val="a0"/>
    <w:link w:val="ae"/>
    <w:qFormat/>
    <w:rPr>
      <w:kern w:val="2"/>
      <w:sz w:val="21"/>
    </w:rPr>
  </w:style>
  <w:style w:type="paragraph" w:styleId="aff9">
    <w:name w:val="Revision"/>
    <w:hidden/>
    <w:uiPriority w:val="99"/>
    <w:semiHidden/>
    <w:rsid w:val="00A360C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sfund.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fund.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fund.c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jsfund.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rvice@jsfund.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my\Documents\&#33258;&#23450;&#20041;%20Office%20&#27169;&#26495;\05-&#22025;&#23454;&#20013;&#35777;100&#20132;&#26131;&#22411;&#24320;&#25918;&#24335;&#25351;&#25968;&#35777;&#21048;&#25237;&#36164;&#22522;&#37329;&#21457;&#36215;&#24335;&#32852;&#25509;&#22522;&#37329;&#25307;&#21215;&#35828;&#26126;&#20070;&#65288;&#33609;&#26696;&#65289;-&#23450;&#312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E74F-A9A7-48F9-BD69-35635D2D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05-嘉实中证100交易型开放式指数证券投资基金发起式联接基金招募说明书（草案）-定稿.dot</Template>
  <TotalTime>369</TotalTime>
  <Pages>115</Pages>
  <Words>50188</Words>
  <Characters>51193</Characters>
  <Application>Microsoft Office Word</Application>
  <DocSecurity>0</DocSecurity>
  <Lines>2437</Lines>
  <Paragraphs>2157</Paragraphs>
  <ScaleCrop>false</ScaleCrop>
  <Company>Microsoft</Company>
  <LinksUpToDate>false</LinksUpToDate>
  <CharactersWithSpaces>99224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董明睿</dc:creator>
  <cp:lastModifiedBy>wjy</cp:lastModifiedBy>
  <cp:revision>35</cp:revision>
  <cp:lastPrinted>2025-06-09T05:19:00Z</cp:lastPrinted>
  <dcterms:created xsi:type="dcterms:W3CDTF">2025-11-27T11:03:00Z</dcterms:created>
  <dcterms:modified xsi:type="dcterms:W3CDTF">2026-06-25T07:30:00Z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9517C6D98C084EBCAD7CEC951BA15013</vt:lpwstr>
  </property>
</Properties>
</file>