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D96F0" w14:textId="77777777" w:rsidR="00A931B6" w:rsidRDefault="00A931B6">
      <w:pPr>
        <w:pStyle w:val="121"/>
        <w:spacing w:after="156" w:line="500" w:lineRule="exact"/>
        <w:jc w:val="center"/>
        <w:rPr>
          <w:rFonts w:ascii="宋体"/>
          <w:b/>
          <w:bCs/>
          <w:sz w:val="48"/>
          <w:szCs w:val="48"/>
        </w:rPr>
      </w:pPr>
    </w:p>
    <w:p w14:paraId="0874436B" w14:textId="77777777" w:rsidR="00A931B6" w:rsidRDefault="00A931B6">
      <w:pPr>
        <w:pStyle w:val="121"/>
        <w:spacing w:after="156" w:line="500" w:lineRule="exact"/>
        <w:jc w:val="center"/>
        <w:rPr>
          <w:rFonts w:ascii="宋体"/>
          <w:b/>
          <w:bCs/>
          <w:sz w:val="48"/>
          <w:szCs w:val="48"/>
        </w:rPr>
      </w:pPr>
    </w:p>
    <w:p w14:paraId="6F4B0542" w14:textId="77777777" w:rsidR="00A931B6" w:rsidRDefault="00A931B6">
      <w:pPr>
        <w:pStyle w:val="121"/>
        <w:spacing w:after="156" w:line="500" w:lineRule="exact"/>
        <w:jc w:val="center"/>
        <w:rPr>
          <w:rFonts w:ascii="宋体"/>
          <w:b/>
          <w:bCs/>
          <w:sz w:val="48"/>
          <w:szCs w:val="48"/>
        </w:rPr>
      </w:pPr>
    </w:p>
    <w:p w14:paraId="2C15A752" w14:textId="77777777" w:rsidR="00A931B6" w:rsidRDefault="00A931B6">
      <w:pPr>
        <w:pStyle w:val="121"/>
        <w:spacing w:after="156" w:line="500" w:lineRule="exact"/>
        <w:jc w:val="center"/>
        <w:rPr>
          <w:rFonts w:ascii="宋体"/>
          <w:b/>
          <w:bCs/>
          <w:sz w:val="48"/>
          <w:szCs w:val="48"/>
        </w:rPr>
      </w:pPr>
    </w:p>
    <w:p w14:paraId="55C0AF75" w14:textId="77777777" w:rsidR="00A931B6" w:rsidRDefault="00A931B6">
      <w:pPr>
        <w:pStyle w:val="121"/>
        <w:spacing w:after="156" w:line="500" w:lineRule="exact"/>
        <w:jc w:val="center"/>
        <w:rPr>
          <w:rFonts w:ascii="宋体"/>
          <w:b/>
          <w:bCs/>
          <w:sz w:val="48"/>
          <w:szCs w:val="48"/>
        </w:rPr>
      </w:pPr>
    </w:p>
    <w:p w14:paraId="5C17FDF5" w14:textId="77777777" w:rsidR="00A931B6" w:rsidRDefault="000A2AB6">
      <w:pPr>
        <w:pStyle w:val="121"/>
        <w:spacing w:after="156" w:line="500" w:lineRule="exact"/>
        <w:jc w:val="center"/>
        <w:rPr>
          <w:rFonts w:ascii="宋体"/>
          <w:b/>
          <w:bCs/>
          <w:sz w:val="48"/>
          <w:szCs w:val="48"/>
        </w:rPr>
      </w:pPr>
      <w:r>
        <w:rPr>
          <w:rFonts w:hint="eastAsia"/>
          <w:b/>
          <w:sz w:val="48"/>
        </w:rPr>
        <w:t>嘉实中证</w:t>
      </w:r>
      <w:r>
        <w:rPr>
          <w:rFonts w:hint="eastAsia"/>
          <w:b/>
          <w:sz w:val="48"/>
        </w:rPr>
        <w:t>800</w:t>
      </w:r>
      <w:r>
        <w:rPr>
          <w:rFonts w:hint="eastAsia"/>
          <w:b/>
          <w:sz w:val="48"/>
        </w:rPr>
        <w:t>指数增强型</w:t>
      </w:r>
      <w:r>
        <w:rPr>
          <w:b/>
          <w:sz w:val="48"/>
        </w:rPr>
        <w:t>证</w:t>
      </w:r>
      <w:r>
        <w:rPr>
          <w:rFonts w:ascii="宋体" w:hAnsi="宋体"/>
          <w:b/>
          <w:bCs/>
          <w:sz w:val="48"/>
          <w:szCs w:val="48"/>
        </w:rPr>
        <w:t>券投资基金</w:t>
      </w:r>
    </w:p>
    <w:p w14:paraId="1F7693C5" w14:textId="77777777" w:rsidR="00A931B6" w:rsidRDefault="00A931B6">
      <w:pPr>
        <w:pStyle w:val="121"/>
        <w:spacing w:after="156" w:line="500" w:lineRule="exact"/>
        <w:jc w:val="center"/>
        <w:rPr>
          <w:rFonts w:ascii="宋体"/>
          <w:b/>
          <w:bCs/>
          <w:sz w:val="48"/>
          <w:szCs w:val="48"/>
        </w:rPr>
      </w:pPr>
    </w:p>
    <w:p w14:paraId="230FB865" w14:textId="30C17C21" w:rsidR="00A931B6" w:rsidRDefault="000A2AB6">
      <w:pPr>
        <w:pStyle w:val="121"/>
        <w:spacing w:after="156" w:line="500" w:lineRule="exact"/>
        <w:jc w:val="center"/>
        <w:rPr>
          <w:rFonts w:ascii="宋体"/>
          <w:b/>
          <w:bCs/>
          <w:sz w:val="44"/>
        </w:rPr>
      </w:pPr>
      <w:r>
        <w:rPr>
          <w:rFonts w:ascii="宋体" w:hAnsi="宋体"/>
          <w:b/>
          <w:bCs/>
          <w:sz w:val="44"/>
        </w:rPr>
        <w:t>托管协议</w:t>
      </w:r>
    </w:p>
    <w:p w14:paraId="2D21CDA3" w14:textId="77777777" w:rsidR="00A931B6" w:rsidRDefault="00A931B6">
      <w:pPr>
        <w:pStyle w:val="121"/>
        <w:spacing w:after="156" w:line="500" w:lineRule="exact"/>
        <w:jc w:val="center"/>
        <w:rPr>
          <w:rFonts w:ascii="宋体"/>
          <w:bCs/>
          <w:sz w:val="44"/>
          <w:szCs w:val="44"/>
        </w:rPr>
      </w:pPr>
    </w:p>
    <w:p w14:paraId="04DAC2FB" w14:textId="77777777" w:rsidR="00A931B6" w:rsidRDefault="00A931B6">
      <w:pPr>
        <w:pStyle w:val="121"/>
        <w:autoSpaceDE w:val="0"/>
        <w:autoSpaceDN w:val="0"/>
        <w:spacing w:line="360" w:lineRule="auto"/>
        <w:ind w:left="4709" w:rightChars="12" w:right="24" w:hangingChars="1066" w:hanging="4709"/>
        <w:jc w:val="center"/>
        <w:rPr>
          <w:rFonts w:ascii="宋体"/>
          <w:b/>
          <w:bCs/>
          <w:sz w:val="44"/>
        </w:rPr>
      </w:pPr>
    </w:p>
    <w:p w14:paraId="5776C5B7" w14:textId="77777777" w:rsidR="00A931B6" w:rsidRDefault="00A931B6">
      <w:pPr>
        <w:pStyle w:val="121"/>
        <w:spacing w:line="360" w:lineRule="auto"/>
        <w:jc w:val="center"/>
        <w:rPr>
          <w:rFonts w:ascii="宋体"/>
          <w:b/>
          <w:sz w:val="30"/>
          <w:szCs w:val="30"/>
        </w:rPr>
      </w:pPr>
    </w:p>
    <w:p w14:paraId="028BCF9B" w14:textId="77777777" w:rsidR="00A931B6" w:rsidRDefault="00A931B6">
      <w:pPr>
        <w:pStyle w:val="121"/>
        <w:spacing w:line="360" w:lineRule="auto"/>
        <w:jc w:val="center"/>
        <w:rPr>
          <w:rFonts w:ascii="宋体"/>
          <w:b/>
          <w:sz w:val="30"/>
          <w:szCs w:val="30"/>
        </w:rPr>
      </w:pPr>
    </w:p>
    <w:p w14:paraId="48A823C8" w14:textId="77777777" w:rsidR="00A931B6" w:rsidRDefault="00A931B6">
      <w:pPr>
        <w:pStyle w:val="121"/>
        <w:spacing w:line="360" w:lineRule="auto"/>
        <w:jc w:val="center"/>
        <w:rPr>
          <w:rFonts w:ascii="宋体"/>
          <w:b/>
          <w:sz w:val="30"/>
          <w:szCs w:val="30"/>
        </w:rPr>
      </w:pPr>
    </w:p>
    <w:p w14:paraId="75718B85" w14:textId="77777777" w:rsidR="00A931B6" w:rsidRDefault="00A931B6">
      <w:pPr>
        <w:pStyle w:val="121"/>
        <w:spacing w:line="360" w:lineRule="auto"/>
        <w:jc w:val="center"/>
        <w:rPr>
          <w:rFonts w:ascii="宋体"/>
          <w:b/>
          <w:sz w:val="30"/>
          <w:szCs w:val="30"/>
        </w:rPr>
      </w:pPr>
    </w:p>
    <w:p w14:paraId="20025252" w14:textId="77777777" w:rsidR="00A931B6" w:rsidRDefault="00A931B6">
      <w:pPr>
        <w:pStyle w:val="121"/>
        <w:spacing w:line="360" w:lineRule="auto"/>
        <w:jc w:val="center"/>
        <w:rPr>
          <w:rFonts w:ascii="宋体"/>
          <w:b/>
          <w:sz w:val="30"/>
          <w:szCs w:val="30"/>
        </w:rPr>
      </w:pPr>
    </w:p>
    <w:p w14:paraId="141CE7F0" w14:textId="77777777" w:rsidR="00A931B6" w:rsidRDefault="00A931B6">
      <w:pPr>
        <w:pStyle w:val="121"/>
        <w:spacing w:line="360" w:lineRule="auto"/>
        <w:jc w:val="center"/>
        <w:rPr>
          <w:rFonts w:ascii="宋体"/>
          <w:b/>
          <w:sz w:val="30"/>
          <w:szCs w:val="30"/>
        </w:rPr>
      </w:pPr>
    </w:p>
    <w:p w14:paraId="33FA94FD" w14:textId="77777777" w:rsidR="00A931B6" w:rsidRDefault="00A931B6">
      <w:pPr>
        <w:pStyle w:val="121"/>
        <w:spacing w:line="360" w:lineRule="auto"/>
        <w:rPr>
          <w:rFonts w:ascii="宋体"/>
          <w:b/>
          <w:sz w:val="30"/>
          <w:szCs w:val="30"/>
        </w:rPr>
      </w:pPr>
    </w:p>
    <w:p w14:paraId="2F328D98" w14:textId="77777777" w:rsidR="00A931B6" w:rsidRDefault="000A2AB6">
      <w:pPr>
        <w:pStyle w:val="121"/>
        <w:spacing w:after="156" w:line="500" w:lineRule="exact"/>
        <w:ind w:leftChars="514" w:left="1028"/>
        <w:rPr>
          <w:rFonts w:ascii="宋体"/>
          <w:b/>
          <w:bCs/>
          <w:sz w:val="36"/>
          <w:szCs w:val="36"/>
        </w:rPr>
      </w:pPr>
      <w:r>
        <w:rPr>
          <w:rFonts w:ascii="宋体" w:hAnsi="宋体"/>
          <w:b/>
          <w:bCs/>
          <w:sz w:val="36"/>
          <w:szCs w:val="36"/>
        </w:rPr>
        <w:t>基金管理人：</w:t>
      </w:r>
      <w:r>
        <w:rPr>
          <w:rFonts w:ascii="宋体" w:hAnsi="宋体" w:hint="eastAsia"/>
          <w:b/>
          <w:bCs/>
          <w:sz w:val="36"/>
          <w:szCs w:val="36"/>
        </w:rPr>
        <w:t>嘉实</w:t>
      </w:r>
      <w:r>
        <w:rPr>
          <w:rFonts w:ascii="宋体" w:hAnsi="宋体"/>
          <w:b/>
          <w:bCs/>
          <w:sz w:val="36"/>
          <w:szCs w:val="36"/>
        </w:rPr>
        <w:t>基金管理有限公司</w:t>
      </w:r>
    </w:p>
    <w:p w14:paraId="416ED856" w14:textId="77777777" w:rsidR="00A931B6" w:rsidRDefault="000A2AB6">
      <w:pPr>
        <w:pStyle w:val="121"/>
        <w:ind w:leftChars="514" w:left="1028"/>
        <w:rPr>
          <w:rFonts w:ascii="宋体"/>
        </w:rPr>
      </w:pPr>
      <w:r>
        <w:rPr>
          <w:rFonts w:ascii="宋体" w:hAnsi="宋体"/>
          <w:b/>
          <w:bCs/>
          <w:sz w:val="36"/>
          <w:szCs w:val="36"/>
        </w:rPr>
        <w:t>基金托管人：交通银行股份有限公司</w:t>
      </w:r>
    </w:p>
    <w:p w14:paraId="546E2618" w14:textId="77777777" w:rsidR="00A931B6" w:rsidRDefault="00A931B6">
      <w:pPr>
        <w:pStyle w:val="121"/>
        <w:ind w:leftChars="514" w:left="1028"/>
        <w:sectPr w:rsidR="00A931B6">
          <w:headerReference w:type="default" r:id="rId8"/>
          <w:footerReference w:type="even" r:id="rId9"/>
          <w:footerReference w:type="first" r:id="rId10"/>
          <w:pgSz w:w="11906" w:h="16838"/>
          <w:pgMar w:top="1440" w:right="1800" w:bottom="1440" w:left="1800" w:header="851" w:footer="992" w:gutter="0"/>
          <w:pgNumType w:start="1"/>
          <w:cols w:space="1701"/>
          <w:docGrid w:type="lines" w:linePitch="312"/>
        </w:sectPr>
      </w:pPr>
    </w:p>
    <w:p w14:paraId="20B8522B" w14:textId="77777777" w:rsidR="00A931B6" w:rsidRDefault="000A2AB6">
      <w:pPr>
        <w:pStyle w:val="121"/>
        <w:spacing w:before="312" w:after="156" w:line="360" w:lineRule="auto"/>
        <w:jc w:val="center"/>
        <w:rPr>
          <w:rFonts w:ascii="宋体"/>
          <w:b/>
          <w:sz w:val="44"/>
          <w:szCs w:val="44"/>
        </w:rPr>
      </w:pPr>
      <w:r>
        <w:rPr>
          <w:rFonts w:ascii="宋体" w:hAnsi="宋体"/>
          <w:b/>
          <w:sz w:val="44"/>
          <w:szCs w:val="44"/>
        </w:rPr>
        <w:lastRenderedPageBreak/>
        <w:t>目  录</w:t>
      </w:r>
    </w:p>
    <w:p w14:paraId="5A35013A" w14:textId="6B80998A" w:rsidR="00A931B6" w:rsidRDefault="000A2AB6">
      <w:pPr>
        <w:pStyle w:val="114"/>
        <w:rPr>
          <w:rFonts w:ascii="Calibri" w:hAnsi="Calibri"/>
          <w:b w:val="0"/>
          <w:caps w:val="0"/>
          <w:noProof/>
          <w:sz w:val="21"/>
          <w:szCs w:val="22"/>
        </w:rPr>
      </w:pPr>
      <w:r>
        <w:rPr>
          <w:rStyle w:val="1f0"/>
          <w:rFonts w:ascii="宋体" w:hAnsi="宋体"/>
          <w:bCs/>
          <w:color w:val="000000"/>
          <w:sz w:val="24"/>
          <w:szCs w:val="24"/>
        </w:rPr>
        <w:fldChar w:fldCharType="begin"/>
      </w:r>
      <w:r>
        <w:rPr>
          <w:rStyle w:val="1f0"/>
          <w:rFonts w:ascii="宋体" w:hAnsi="宋体"/>
          <w:bCs/>
          <w:color w:val="000000"/>
          <w:sz w:val="24"/>
          <w:szCs w:val="24"/>
        </w:rPr>
        <w:instrText xml:space="preserve"> TOC \h \z \t "标题 1,1" </w:instrText>
      </w:r>
      <w:r>
        <w:rPr>
          <w:rStyle w:val="1f0"/>
          <w:rFonts w:ascii="宋体" w:hAnsi="宋体"/>
          <w:bCs/>
          <w:color w:val="000000"/>
          <w:sz w:val="24"/>
          <w:szCs w:val="24"/>
        </w:rPr>
        <w:fldChar w:fldCharType="separate"/>
      </w:r>
      <w:hyperlink w:anchor="_Toc65162000" w:tooltip="当前文档" w:history="1">
        <w:r>
          <w:rPr>
            <w:rStyle w:val="1f0"/>
            <w:noProof/>
          </w:rPr>
          <w:t>一、基金托管协议当事人</w:t>
        </w:r>
        <w:r>
          <w:rPr>
            <w:noProof/>
          </w:rPr>
          <w:tab/>
        </w:r>
        <w:r>
          <w:rPr>
            <w:noProof/>
          </w:rPr>
          <w:fldChar w:fldCharType="begin"/>
        </w:r>
        <w:r>
          <w:rPr>
            <w:noProof/>
          </w:rPr>
          <w:instrText xml:space="preserve"> PAGEREF _Toc65162000 \h </w:instrText>
        </w:r>
        <w:r>
          <w:rPr>
            <w:noProof/>
          </w:rPr>
        </w:r>
        <w:r>
          <w:rPr>
            <w:noProof/>
          </w:rPr>
          <w:fldChar w:fldCharType="separate"/>
        </w:r>
        <w:r w:rsidR="0088142A">
          <w:rPr>
            <w:noProof/>
          </w:rPr>
          <w:t>4</w:t>
        </w:r>
        <w:r>
          <w:rPr>
            <w:noProof/>
          </w:rPr>
          <w:fldChar w:fldCharType="end"/>
        </w:r>
      </w:hyperlink>
    </w:p>
    <w:p w14:paraId="3E7D0475" w14:textId="5606A10D" w:rsidR="00A931B6" w:rsidRDefault="00D23D63">
      <w:pPr>
        <w:pStyle w:val="114"/>
        <w:rPr>
          <w:rFonts w:ascii="Calibri" w:hAnsi="Calibri"/>
          <w:b w:val="0"/>
          <w:caps w:val="0"/>
          <w:noProof/>
          <w:sz w:val="21"/>
          <w:szCs w:val="22"/>
        </w:rPr>
      </w:pPr>
      <w:hyperlink w:anchor="_Toc65162001" w:tooltip="当前文档" w:history="1">
        <w:r w:rsidR="000A2AB6">
          <w:rPr>
            <w:rStyle w:val="1f0"/>
            <w:noProof/>
          </w:rPr>
          <w:t>二、基金托管协议的依据、目的和原则</w:t>
        </w:r>
        <w:r w:rsidR="000A2AB6">
          <w:rPr>
            <w:noProof/>
          </w:rPr>
          <w:tab/>
        </w:r>
        <w:r w:rsidR="000A2AB6">
          <w:rPr>
            <w:noProof/>
          </w:rPr>
          <w:fldChar w:fldCharType="begin"/>
        </w:r>
        <w:r w:rsidR="000A2AB6">
          <w:rPr>
            <w:noProof/>
          </w:rPr>
          <w:instrText xml:space="preserve"> PAGEREF _Toc65162001 \h </w:instrText>
        </w:r>
        <w:r w:rsidR="000A2AB6">
          <w:rPr>
            <w:noProof/>
          </w:rPr>
        </w:r>
        <w:r w:rsidR="000A2AB6">
          <w:rPr>
            <w:noProof/>
          </w:rPr>
          <w:fldChar w:fldCharType="separate"/>
        </w:r>
        <w:r w:rsidR="0088142A">
          <w:rPr>
            <w:noProof/>
          </w:rPr>
          <w:t>4</w:t>
        </w:r>
        <w:r w:rsidR="000A2AB6">
          <w:rPr>
            <w:noProof/>
          </w:rPr>
          <w:fldChar w:fldCharType="end"/>
        </w:r>
      </w:hyperlink>
    </w:p>
    <w:p w14:paraId="5D20D60B" w14:textId="68070550" w:rsidR="00A931B6" w:rsidRDefault="00D23D63">
      <w:pPr>
        <w:pStyle w:val="114"/>
        <w:rPr>
          <w:rFonts w:ascii="Calibri" w:hAnsi="Calibri"/>
          <w:b w:val="0"/>
          <w:caps w:val="0"/>
          <w:noProof/>
          <w:sz w:val="21"/>
          <w:szCs w:val="22"/>
        </w:rPr>
      </w:pPr>
      <w:hyperlink w:anchor="_Toc65162002" w:tooltip="当前文档" w:history="1">
        <w:r w:rsidR="000A2AB6">
          <w:rPr>
            <w:rStyle w:val="1f0"/>
            <w:noProof/>
          </w:rPr>
          <w:t>三、基金托管人对基金管理人的业务监督和核查</w:t>
        </w:r>
        <w:r w:rsidR="000A2AB6">
          <w:rPr>
            <w:noProof/>
          </w:rPr>
          <w:tab/>
        </w:r>
        <w:r w:rsidR="000A2AB6">
          <w:rPr>
            <w:noProof/>
          </w:rPr>
          <w:fldChar w:fldCharType="begin"/>
        </w:r>
        <w:r w:rsidR="000A2AB6">
          <w:rPr>
            <w:noProof/>
          </w:rPr>
          <w:instrText xml:space="preserve"> PAGEREF _Toc65162002 \h </w:instrText>
        </w:r>
        <w:r w:rsidR="000A2AB6">
          <w:rPr>
            <w:noProof/>
          </w:rPr>
        </w:r>
        <w:r w:rsidR="000A2AB6">
          <w:rPr>
            <w:noProof/>
          </w:rPr>
          <w:fldChar w:fldCharType="separate"/>
        </w:r>
        <w:r w:rsidR="0088142A">
          <w:rPr>
            <w:noProof/>
          </w:rPr>
          <w:t>5</w:t>
        </w:r>
        <w:r w:rsidR="000A2AB6">
          <w:rPr>
            <w:noProof/>
          </w:rPr>
          <w:fldChar w:fldCharType="end"/>
        </w:r>
      </w:hyperlink>
    </w:p>
    <w:p w14:paraId="4FC04028" w14:textId="33C5CF29" w:rsidR="00A931B6" w:rsidRDefault="00D23D63">
      <w:pPr>
        <w:pStyle w:val="114"/>
        <w:rPr>
          <w:rFonts w:ascii="Calibri" w:hAnsi="Calibri"/>
          <w:b w:val="0"/>
          <w:caps w:val="0"/>
          <w:noProof/>
          <w:sz w:val="21"/>
          <w:szCs w:val="22"/>
        </w:rPr>
      </w:pPr>
      <w:hyperlink w:anchor="_Toc65162003" w:tooltip="当前文档" w:history="1">
        <w:r w:rsidR="000A2AB6">
          <w:rPr>
            <w:rStyle w:val="1f0"/>
            <w:noProof/>
          </w:rPr>
          <w:t>四、基金管理人对基金托管人的业务核查</w:t>
        </w:r>
        <w:r w:rsidR="000A2AB6">
          <w:rPr>
            <w:noProof/>
          </w:rPr>
          <w:tab/>
        </w:r>
        <w:r w:rsidR="000A2AB6">
          <w:rPr>
            <w:noProof/>
          </w:rPr>
          <w:fldChar w:fldCharType="begin"/>
        </w:r>
        <w:r w:rsidR="000A2AB6">
          <w:rPr>
            <w:noProof/>
          </w:rPr>
          <w:instrText xml:space="preserve"> PAGEREF _Toc65162003 \h </w:instrText>
        </w:r>
        <w:r w:rsidR="000A2AB6">
          <w:rPr>
            <w:noProof/>
          </w:rPr>
        </w:r>
        <w:r w:rsidR="000A2AB6">
          <w:rPr>
            <w:noProof/>
          </w:rPr>
          <w:fldChar w:fldCharType="separate"/>
        </w:r>
        <w:r w:rsidR="0088142A">
          <w:rPr>
            <w:noProof/>
          </w:rPr>
          <w:t>12</w:t>
        </w:r>
        <w:r w:rsidR="000A2AB6">
          <w:rPr>
            <w:noProof/>
          </w:rPr>
          <w:fldChar w:fldCharType="end"/>
        </w:r>
      </w:hyperlink>
    </w:p>
    <w:p w14:paraId="1D6A2868" w14:textId="7C12D665" w:rsidR="00A931B6" w:rsidRDefault="00D23D63">
      <w:pPr>
        <w:pStyle w:val="114"/>
        <w:rPr>
          <w:rFonts w:ascii="Calibri" w:hAnsi="Calibri"/>
          <w:b w:val="0"/>
          <w:caps w:val="0"/>
          <w:noProof/>
          <w:sz w:val="21"/>
          <w:szCs w:val="22"/>
        </w:rPr>
      </w:pPr>
      <w:hyperlink w:anchor="_Toc65162004" w:tooltip="当前文档" w:history="1">
        <w:r w:rsidR="000A2AB6">
          <w:rPr>
            <w:rStyle w:val="1f0"/>
            <w:noProof/>
          </w:rPr>
          <w:t>五、基金财产的保管</w:t>
        </w:r>
        <w:r w:rsidR="000A2AB6">
          <w:rPr>
            <w:noProof/>
          </w:rPr>
          <w:tab/>
        </w:r>
        <w:r w:rsidR="000A2AB6">
          <w:rPr>
            <w:noProof/>
          </w:rPr>
          <w:fldChar w:fldCharType="begin"/>
        </w:r>
        <w:r w:rsidR="000A2AB6">
          <w:rPr>
            <w:noProof/>
          </w:rPr>
          <w:instrText xml:space="preserve"> PAGEREF _Toc65162004 \h </w:instrText>
        </w:r>
        <w:r w:rsidR="000A2AB6">
          <w:rPr>
            <w:noProof/>
          </w:rPr>
        </w:r>
        <w:r w:rsidR="000A2AB6">
          <w:rPr>
            <w:noProof/>
          </w:rPr>
          <w:fldChar w:fldCharType="separate"/>
        </w:r>
        <w:r w:rsidR="0088142A">
          <w:rPr>
            <w:noProof/>
          </w:rPr>
          <w:t>13</w:t>
        </w:r>
        <w:r w:rsidR="000A2AB6">
          <w:rPr>
            <w:noProof/>
          </w:rPr>
          <w:fldChar w:fldCharType="end"/>
        </w:r>
      </w:hyperlink>
    </w:p>
    <w:p w14:paraId="0C9CEA83" w14:textId="2534B92F" w:rsidR="00A931B6" w:rsidRDefault="00D23D63">
      <w:pPr>
        <w:pStyle w:val="114"/>
        <w:rPr>
          <w:rFonts w:ascii="Calibri" w:hAnsi="Calibri"/>
          <w:b w:val="0"/>
          <w:caps w:val="0"/>
          <w:noProof/>
          <w:sz w:val="21"/>
          <w:szCs w:val="22"/>
        </w:rPr>
      </w:pPr>
      <w:hyperlink w:anchor="_Toc65162005" w:tooltip="当前文档" w:history="1">
        <w:r w:rsidR="000A2AB6">
          <w:rPr>
            <w:rStyle w:val="1f0"/>
            <w:noProof/>
          </w:rPr>
          <w:t>六、指令的发送、确认和执行</w:t>
        </w:r>
        <w:r w:rsidR="000A2AB6">
          <w:rPr>
            <w:noProof/>
          </w:rPr>
          <w:tab/>
        </w:r>
        <w:r w:rsidR="000A2AB6">
          <w:rPr>
            <w:noProof/>
          </w:rPr>
          <w:fldChar w:fldCharType="begin"/>
        </w:r>
        <w:r w:rsidR="000A2AB6">
          <w:rPr>
            <w:noProof/>
          </w:rPr>
          <w:instrText xml:space="preserve"> PAGEREF _Toc65162005 \h </w:instrText>
        </w:r>
        <w:r w:rsidR="000A2AB6">
          <w:rPr>
            <w:noProof/>
          </w:rPr>
        </w:r>
        <w:r w:rsidR="000A2AB6">
          <w:rPr>
            <w:noProof/>
          </w:rPr>
          <w:fldChar w:fldCharType="separate"/>
        </w:r>
        <w:r w:rsidR="0088142A">
          <w:rPr>
            <w:noProof/>
          </w:rPr>
          <w:t>17</w:t>
        </w:r>
        <w:r w:rsidR="000A2AB6">
          <w:rPr>
            <w:noProof/>
          </w:rPr>
          <w:fldChar w:fldCharType="end"/>
        </w:r>
      </w:hyperlink>
    </w:p>
    <w:p w14:paraId="7ADD5710" w14:textId="41EB8848" w:rsidR="00A931B6" w:rsidRDefault="00D23D63">
      <w:pPr>
        <w:pStyle w:val="114"/>
        <w:rPr>
          <w:rFonts w:ascii="Calibri" w:hAnsi="Calibri"/>
          <w:b w:val="0"/>
          <w:caps w:val="0"/>
          <w:noProof/>
          <w:sz w:val="21"/>
          <w:szCs w:val="22"/>
        </w:rPr>
      </w:pPr>
      <w:hyperlink w:anchor="_Toc65162006" w:tooltip="当前文档" w:history="1">
        <w:r w:rsidR="000A2AB6">
          <w:rPr>
            <w:rStyle w:val="1f0"/>
            <w:noProof/>
          </w:rPr>
          <w:t>七、交易及清算交收安排</w:t>
        </w:r>
        <w:r w:rsidR="000A2AB6">
          <w:rPr>
            <w:noProof/>
          </w:rPr>
          <w:tab/>
        </w:r>
        <w:r w:rsidR="000A2AB6">
          <w:rPr>
            <w:noProof/>
          </w:rPr>
          <w:fldChar w:fldCharType="begin"/>
        </w:r>
        <w:r w:rsidR="000A2AB6">
          <w:rPr>
            <w:noProof/>
          </w:rPr>
          <w:instrText xml:space="preserve"> PAGEREF _Toc65162006 \h </w:instrText>
        </w:r>
        <w:r w:rsidR="000A2AB6">
          <w:rPr>
            <w:noProof/>
          </w:rPr>
        </w:r>
        <w:r w:rsidR="000A2AB6">
          <w:rPr>
            <w:noProof/>
          </w:rPr>
          <w:fldChar w:fldCharType="separate"/>
        </w:r>
        <w:r w:rsidR="0088142A">
          <w:rPr>
            <w:noProof/>
          </w:rPr>
          <w:t>19</w:t>
        </w:r>
        <w:r w:rsidR="000A2AB6">
          <w:rPr>
            <w:noProof/>
          </w:rPr>
          <w:fldChar w:fldCharType="end"/>
        </w:r>
      </w:hyperlink>
    </w:p>
    <w:p w14:paraId="1861F8DA" w14:textId="35F1C0EB" w:rsidR="00A931B6" w:rsidRDefault="00D23D63">
      <w:pPr>
        <w:pStyle w:val="114"/>
        <w:rPr>
          <w:rFonts w:ascii="Calibri" w:hAnsi="Calibri"/>
          <w:b w:val="0"/>
          <w:caps w:val="0"/>
          <w:noProof/>
          <w:sz w:val="21"/>
          <w:szCs w:val="22"/>
        </w:rPr>
      </w:pPr>
      <w:hyperlink w:anchor="_Toc65162007" w:tooltip="当前文档" w:history="1">
        <w:r w:rsidR="000A2AB6">
          <w:rPr>
            <w:rStyle w:val="1f0"/>
            <w:noProof/>
          </w:rPr>
          <w:t>八、基金资产净值计算和会计核算</w:t>
        </w:r>
        <w:r w:rsidR="000A2AB6">
          <w:rPr>
            <w:noProof/>
          </w:rPr>
          <w:tab/>
        </w:r>
        <w:r w:rsidR="000A2AB6">
          <w:rPr>
            <w:noProof/>
          </w:rPr>
          <w:fldChar w:fldCharType="begin"/>
        </w:r>
        <w:r w:rsidR="000A2AB6">
          <w:rPr>
            <w:noProof/>
          </w:rPr>
          <w:instrText xml:space="preserve"> PAGEREF _Toc65162007 \h </w:instrText>
        </w:r>
        <w:r w:rsidR="000A2AB6">
          <w:rPr>
            <w:noProof/>
          </w:rPr>
        </w:r>
        <w:r w:rsidR="000A2AB6">
          <w:rPr>
            <w:noProof/>
          </w:rPr>
          <w:fldChar w:fldCharType="separate"/>
        </w:r>
        <w:r w:rsidR="0088142A">
          <w:rPr>
            <w:noProof/>
          </w:rPr>
          <w:t>23</w:t>
        </w:r>
        <w:r w:rsidR="000A2AB6">
          <w:rPr>
            <w:noProof/>
          </w:rPr>
          <w:fldChar w:fldCharType="end"/>
        </w:r>
      </w:hyperlink>
    </w:p>
    <w:p w14:paraId="01947660" w14:textId="15852E5B" w:rsidR="00A931B6" w:rsidRDefault="00D23D63">
      <w:pPr>
        <w:pStyle w:val="114"/>
        <w:rPr>
          <w:rFonts w:ascii="Calibri" w:hAnsi="Calibri"/>
          <w:b w:val="0"/>
          <w:caps w:val="0"/>
          <w:noProof/>
          <w:sz w:val="21"/>
          <w:szCs w:val="22"/>
        </w:rPr>
      </w:pPr>
      <w:hyperlink w:anchor="_Toc65162008" w:tooltip="当前文档" w:history="1">
        <w:r w:rsidR="000A2AB6">
          <w:rPr>
            <w:rStyle w:val="1f0"/>
            <w:noProof/>
          </w:rPr>
          <w:t>九、基金收益分配</w:t>
        </w:r>
        <w:r w:rsidR="000A2AB6">
          <w:rPr>
            <w:noProof/>
          </w:rPr>
          <w:tab/>
        </w:r>
        <w:r w:rsidR="000A2AB6">
          <w:rPr>
            <w:noProof/>
          </w:rPr>
          <w:fldChar w:fldCharType="begin"/>
        </w:r>
        <w:r w:rsidR="000A2AB6">
          <w:rPr>
            <w:noProof/>
          </w:rPr>
          <w:instrText xml:space="preserve"> PAGEREF _Toc65162008 \h </w:instrText>
        </w:r>
        <w:r w:rsidR="000A2AB6">
          <w:rPr>
            <w:noProof/>
          </w:rPr>
        </w:r>
        <w:r w:rsidR="000A2AB6">
          <w:rPr>
            <w:noProof/>
          </w:rPr>
          <w:fldChar w:fldCharType="separate"/>
        </w:r>
        <w:r w:rsidR="0088142A">
          <w:rPr>
            <w:noProof/>
          </w:rPr>
          <w:t>28</w:t>
        </w:r>
        <w:r w:rsidR="000A2AB6">
          <w:rPr>
            <w:noProof/>
          </w:rPr>
          <w:fldChar w:fldCharType="end"/>
        </w:r>
      </w:hyperlink>
    </w:p>
    <w:p w14:paraId="378DF6AD" w14:textId="5AFD0CDF" w:rsidR="00A931B6" w:rsidRDefault="00D23D63">
      <w:pPr>
        <w:pStyle w:val="114"/>
        <w:rPr>
          <w:rFonts w:ascii="Calibri" w:hAnsi="Calibri"/>
          <w:b w:val="0"/>
          <w:caps w:val="0"/>
          <w:noProof/>
          <w:sz w:val="21"/>
          <w:szCs w:val="22"/>
        </w:rPr>
      </w:pPr>
      <w:hyperlink w:anchor="_Toc65162009" w:tooltip="当前文档" w:history="1">
        <w:r w:rsidR="000A2AB6">
          <w:rPr>
            <w:rStyle w:val="1f0"/>
            <w:noProof/>
          </w:rPr>
          <w:t>十、基金信息披露</w:t>
        </w:r>
        <w:r w:rsidR="000A2AB6">
          <w:rPr>
            <w:noProof/>
          </w:rPr>
          <w:tab/>
        </w:r>
        <w:r w:rsidR="000A2AB6">
          <w:rPr>
            <w:noProof/>
          </w:rPr>
          <w:fldChar w:fldCharType="begin"/>
        </w:r>
        <w:r w:rsidR="000A2AB6">
          <w:rPr>
            <w:noProof/>
          </w:rPr>
          <w:instrText xml:space="preserve"> PAGEREF _Toc65162009 \h </w:instrText>
        </w:r>
        <w:r w:rsidR="000A2AB6">
          <w:rPr>
            <w:noProof/>
          </w:rPr>
        </w:r>
        <w:r w:rsidR="000A2AB6">
          <w:rPr>
            <w:noProof/>
          </w:rPr>
          <w:fldChar w:fldCharType="separate"/>
        </w:r>
        <w:r w:rsidR="0088142A">
          <w:rPr>
            <w:noProof/>
          </w:rPr>
          <w:t>29</w:t>
        </w:r>
        <w:r w:rsidR="000A2AB6">
          <w:rPr>
            <w:noProof/>
          </w:rPr>
          <w:fldChar w:fldCharType="end"/>
        </w:r>
      </w:hyperlink>
    </w:p>
    <w:p w14:paraId="5C3D0E5C" w14:textId="54DBAE1A" w:rsidR="00A931B6" w:rsidRDefault="00D23D63">
      <w:pPr>
        <w:pStyle w:val="114"/>
        <w:rPr>
          <w:rFonts w:ascii="Calibri" w:hAnsi="Calibri"/>
          <w:b w:val="0"/>
          <w:caps w:val="0"/>
          <w:noProof/>
          <w:sz w:val="21"/>
          <w:szCs w:val="22"/>
        </w:rPr>
      </w:pPr>
      <w:hyperlink w:anchor="_Toc65162010" w:tooltip="当前文档" w:history="1">
        <w:r w:rsidR="000A2AB6">
          <w:rPr>
            <w:rStyle w:val="1f0"/>
            <w:noProof/>
          </w:rPr>
          <w:t>十一、基金费用</w:t>
        </w:r>
        <w:r w:rsidR="000A2AB6">
          <w:rPr>
            <w:noProof/>
          </w:rPr>
          <w:tab/>
        </w:r>
        <w:r w:rsidR="000A2AB6">
          <w:rPr>
            <w:noProof/>
          </w:rPr>
          <w:fldChar w:fldCharType="begin"/>
        </w:r>
        <w:r w:rsidR="000A2AB6">
          <w:rPr>
            <w:noProof/>
          </w:rPr>
          <w:instrText xml:space="preserve"> PAGEREF _Toc65162010 \h </w:instrText>
        </w:r>
        <w:r w:rsidR="000A2AB6">
          <w:rPr>
            <w:noProof/>
          </w:rPr>
        </w:r>
        <w:r w:rsidR="000A2AB6">
          <w:rPr>
            <w:noProof/>
          </w:rPr>
          <w:fldChar w:fldCharType="separate"/>
        </w:r>
        <w:r w:rsidR="0088142A">
          <w:rPr>
            <w:noProof/>
          </w:rPr>
          <w:t>30</w:t>
        </w:r>
        <w:r w:rsidR="000A2AB6">
          <w:rPr>
            <w:noProof/>
          </w:rPr>
          <w:fldChar w:fldCharType="end"/>
        </w:r>
      </w:hyperlink>
    </w:p>
    <w:p w14:paraId="2D5CB79D" w14:textId="0EC55F76" w:rsidR="00A931B6" w:rsidRDefault="00D23D63">
      <w:pPr>
        <w:pStyle w:val="114"/>
        <w:rPr>
          <w:rFonts w:ascii="Calibri" w:hAnsi="Calibri"/>
          <w:b w:val="0"/>
          <w:caps w:val="0"/>
          <w:noProof/>
          <w:sz w:val="21"/>
          <w:szCs w:val="22"/>
        </w:rPr>
      </w:pPr>
      <w:hyperlink w:anchor="_Toc65162011" w:tooltip="当前文档" w:history="1">
        <w:r w:rsidR="000A2AB6">
          <w:rPr>
            <w:rStyle w:val="1f0"/>
            <w:noProof/>
          </w:rPr>
          <w:t>十二、基金份额持有人名册的保管</w:t>
        </w:r>
        <w:r w:rsidR="000A2AB6">
          <w:rPr>
            <w:noProof/>
          </w:rPr>
          <w:tab/>
        </w:r>
        <w:r w:rsidR="000A2AB6">
          <w:rPr>
            <w:noProof/>
          </w:rPr>
          <w:fldChar w:fldCharType="begin"/>
        </w:r>
        <w:r w:rsidR="000A2AB6">
          <w:rPr>
            <w:noProof/>
          </w:rPr>
          <w:instrText xml:space="preserve"> PAGEREF _Toc65162011 \h </w:instrText>
        </w:r>
        <w:r w:rsidR="000A2AB6">
          <w:rPr>
            <w:noProof/>
          </w:rPr>
        </w:r>
        <w:r w:rsidR="000A2AB6">
          <w:rPr>
            <w:noProof/>
          </w:rPr>
          <w:fldChar w:fldCharType="separate"/>
        </w:r>
        <w:r w:rsidR="0088142A">
          <w:rPr>
            <w:noProof/>
          </w:rPr>
          <w:t>33</w:t>
        </w:r>
        <w:r w:rsidR="000A2AB6">
          <w:rPr>
            <w:noProof/>
          </w:rPr>
          <w:fldChar w:fldCharType="end"/>
        </w:r>
      </w:hyperlink>
    </w:p>
    <w:p w14:paraId="58FCD3DB" w14:textId="03C52E40" w:rsidR="00A931B6" w:rsidRDefault="00D23D63">
      <w:pPr>
        <w:pStyle w:val="114"/>
        <w:rPr>
          <w:rFonts w:ascii="Calibri" w:hAnsi="Calibri"/>
          <w:b w:val="0"/>
          <w:caps w:val="0"/>
          <w:noProof/>
          <w:sz w:val="21"/>
          <w:szCs w:val="22"/>
        </w:rPr>
      </w:pPr>
      <w:hyperlink w:anchor="_Toc65162012" w:tooltip="当前文档" w:history="1">
        <w:r w:rsidR="000A2AB6">
          <w:rPr>
            <w:rStyle w:val="1f0"/>
            <w:noProof/>
          </w:rPr>
          <w:t>十三、基金有关文件档案的保存</w:t>
        </w:r>
        <w:r w:rsidR="000A2AB6">
          <w:rPr>
            <w:noProof/>
          </w:rPr>
          <w:tab/>
        </w:r>
        <w:r w:rsidR="000A2AB6">
          <w:rPr>
            <w:noProof/>
          </w:rPr>
          <w:fldChar w:fldCharType="begin"/>
        </w:r>
        <w:r w:rsidR="000A2AB6">
          <w:rPr>
            <w:noProof/>
          </w:rPr>
          <w:instrText xml:space="preserve"> PAGEREF _Toc65162012 \h </w:instrText>
        </w:r>
        <w:r w:rsidR="000A2AB6">
          <w:rPr>
            <w:noProof/>
          </w:rPr>
        </w:r>
        <w:r w:rsidR="000A2AB6">
          <w:rPr>
            <w:noProof/>
          </w:rPr>
          <w:fldChar w:fldCharType="separate"/>
        </w:r>
        <w:r w:rsidR="0088142A">
          <w:rPr>
            <w:noProof/>
          </w:rPr>
          <w:t>33</w:t>
        </w:r>
        <w:r w:rsidR="000A2AB6">
          <w:rPr>
            <w:noProof/>
          </w:rPr>
          <w:fldChar w:fldCharType="end"/>
        </w:r>
      </w:hyperlink>
    </w:p>
    <w:p w14:paraId="76585FE2" w14:textId="26001048" w:rsidR="00A931B6" w:rsidRDefault="00D23D63">
      <w:pPr>
        <w:pStyle w:val="114"/>
        <w:rPr>
          <w:rFonts w:ascii="Calibri" w:hAnsi="Calibri"/>
          <w:b w:val="0"/>
          <w:caps w:val="0"/>
          <w:noProof/>
          <w:sz w:val="21"/>
          <w:szCs w:val="22"/>
        </w:rPr>
      </w:pPr>
      <w:hyperlink w:anchor="_Toc65162013" w:tooltip="当前文档" w:history="1">
        <w:r w:rsidR="000A2AB6">
          <w:rPr>
            <w:rStyle w:val="1f0"/>
            <w:noProof/>
          </w:rPr>
          <w:t>十四、基金管理人和基金托管人的更换</w:t>
        </w:r>
        <w:r w:rsidR="000A2AB6">
          <w:rPr>
            <w:noProof/>
          </w:rPr>
          <w:tab/>
        </w:r>
        <w:r w:rsidR="000A2AB6">
          <w:rPr>
            <w:noProof/>
          </w:rPr>
          <w:fldChar w:fldCharType="begin"/>
        </w:r>
        <w:r w:rsidR="000A2AB6">
          <w:rPr>
            <w:noProof/>
          </w:rPr>
          <w:instrText xml:space="preserve"> PAGEREF _Toc65162013 \h </w:instrText>
        </w:r>
        <w:r w:rsidR="000A2AB6">
          <w:rPr>
            <w:noProof/>
          </w:rPr>
        </w:r>
        <w:r w:rsidR="000A2AB6">
          <w:rPr>
            <w:noProof/>
          </w:rPr>
          <w:fldChar w:fldCharType="separate"/>
        </w:r>
        <w:r w:rsidR="0088142A">
          <w:rPr>
            <w:noProof/>
          </w:rPr>
          <w:t>33</w:t>
        </w:r>
        <w:r w:rsidR="000A2AB6">
          <w:rPr>
            <w:noProof/>
          </w:rPr>
          <w:fldChar w:fldCharType="end"/>
        </w:r>
      </w:hyperlink>
    </w:p>
    <w:p w14:paraId="37634D73" w14:textId="589D52FB" w:rsidR="00A931B6" w:rsidRDefault="00D23D63">
      <w:pPr>
        <w:pStyle w:val="114"/>
        <w:rPr>
          <w:rFonts w:ascii="Calibri" w:hAnsi="Calibri"/>
          <w:b w:val="0"/>
          <w:caps w:val="0"/>
          <w:noProof/>
          <w:sz w:val="21"/>
          <w:szCs w:val="22"/>
        </w:rPr>
      </w:pPr>
      <w:hyperlink w:anchor="_Toc65162014" w:tooltip="当前文档" w:history="1">
        <w:r w:rsidR="000A2AB6">
          <w:rPr>
            <w:rStyle w:val="1f0"/>
            <w:noProof/>
          </w:rPr>
          <w:t>十五、禁止行为</w:t>
        </w:r>
        <w:r w:rsidR="000A2AB6">
          <w:rPr>
            <w:noProof/>
          </w:rPr>
          <w:tab/>
        </w:r>
        <w:r w:rsidR="000A2AB6">
          <w:rPr>
            <w:noProof/>
          </w:rPr>
          <w:fldChar w:fldCharType="begin"/>
        </w:r>
        <w:r w:rsidR="000A2AB6">
          <w:rPr>
            <w:noProof/>
          </w:rPr>
          <w:instrText xml:space="preserve"> PAGEREF _Toc65162014 \h </w:instrText>
        </w:r>
        <w:r w:rsidR="000A2AB6">
          <w:rPr>
            <w:noProof/>
          </w:rPr>
        </w:r>
        <w:r w:rsidR="000A2AB6">
          <w:rPr>
            <w:noProof/>
          </w:rPr>
          <w:fldChar w:fldCharType="separate"/>
        </w:r>
        <w:r w:rsidR="0088142A">
          <w:rPr>
            <w:noProof/>
          </w:rPr>
          <w:t>36</w:t>
        </w:r>
        <w:r w:rsidR="000A2AB6">
          <w:rPr>
            <w:noProof/>
          </w:rPr>
          <w:fldChar w:fldCharType="end"/>
        </w:r>
      </w:hyperlink>
    </w:p>
    <w:p w14:paraId="779F016D" w14:textId="651499F4" w:rsidR="00A931B6" w:rsidRDefault="00D23D63">
      <w:pPr>
        <w:pStyle w:val="114"/>
        <w:rPr>
          <w:rFonts w:ascii="Calibri" w:hAnsi="Calibri"/>
          <w:b w:val="0"/>
          <w:caps w:val="0"/>
          <w:noProof/>
          <w:sz w:val="21"/>
          <w:szCs w:val="22"/>
        </w:rPr>
      </w:pPr>
      <w:hyperlink w:anchor="_Toc65162015" w:tooltip="当前文档" w:history="1">
        <w:r w:rsidR="000A2AB6">
          <w:rPr>
            <w:rStyle w:val="1f0"/>
            <w:noProof/>
          </w:rPr>
          <w:t>十六、基金托管协议的变更、终止与基金财产的清算</w:t>
        </w:r>
        <w:r w:rsidR="000A2AB6">
          <w:rPr>
            <w:noProof/>
          </w:rPr>
          <w:tab/>
        </w:r>
        <w:r w:rsidR="000A2AB6">
          <w:rPr>
            <w:noProof/>
          </w:rPr>
          <w:fldChar w:fldCharType="begin"/>
        </w:r>
        <w:r w:rsidR="000A2AB6">
          <w:rPr>
            <w:noProof/>
          </w:rPr>
          <w:instrText xml:space="preserve"> PAGEREF _Toc65162015 \h </w:instrText>
        </w:r>
        <w:r w:rsidR="000A2AB6">
          <w:rPr>
            <w:noProof/>
          </w:rPr>
        </w:r>
        <w:r w:rsidR="000A2AB6">
          <w:rPr>
            <w:noProof/>
          </w:rPr>
          <w:fldChar w:fldCharType="separate"/>
        </w:r>
        <w:r w:rsidR="0088142A">
          <w:rPr>
            <w:noProof/>
          </w:rPr>
          <w:t>37</w:t>
        </w:r>
        <w:r w:rsidR="000A2AB6">
          <w:rPr>
            <w:noProof/>
          </w:rPr>
          <w:fldChar w:fldCharType="end"/>
        </w:r>
      </w:hyperlink>
    </w:p>
    <w:p w14:paraId="2A06ABD5" w14:textId="585F1D37" w:rsidR="00A931B6" w:rsidRDefault="00D23D63">
      <w:pPr>
        <w:pStyle w:val="114"/>
        <w:rPr>
          <w:rFonts w:ascii="Calibri" w:hAnsi="Calibri"/>
          <w:b w:val="0"/>
          <w:caps w:val="0"/>
          <w:noProof/>
          <w:sz w:val="21"/>
          <w:szCs w:val="22"/>
        </w:rPr>
      </w:pPr>
      <w:hyperlink w:anchor="_Toc65162016" w:tooltip="当前文档" w:history="1">
        <w:r w:rsidR="000A2AB6">
          <w:rPr>
            <w:rStyle w:val="1f0"/>
            <w:noProof/>
          </w:rPr>
          <w:t>十七、违约责任</w:t>
        </w:r>
        <w:r w:rsidR="000A2AB6">
          <w:rPr>
            <w:noProof/>
          </w:rPr>
          <w:tab/>
        </w:r>
        <w:r w:rsidR="000A2AB6">
          <w:rPr>
            <w:noProof/>
          </w:rPr>
          <w:fldChar w:fldCharType="begin"/>
        </w:r>
        <w:r w:rsidR="000A2AB6">
          <w:rPr>
            <w:noProof/>
          </w:rPr>
          <w:instrText xml:space="preserve"> PAGEREF _Toc65162016 \h </w:instrText>
        </w:r>
        <w:r w:rsidR="000A2AB6">
          <w:rPr>
            <w:noProof/>
          </w:rPr>
        </w:r>
        <w:r w:rsidR="000A2AB6">
          <w:rPr>
            <w:noProof/>
          </w:rPr>
          <w:fldChar w:fldCharType="separate"/>
        </w:r>
        <w:r w:rsidR="0088142A">
          <w:rPr>
            <w:noProof/>
          </w:rPr>
          <w:t>39</w:t>
        </w:r>
        <w:r w:rsidR="000A2AB6">
          <w:rPr>
            <w:noProof/>
          </w:rPr>
          <w:fldChar w:fldCharType="end"/>
        </w:r>
      </w:hyperlink>
    </w:p>
    <w:p w14:paraId="5CFAE052" w14:textId="4D5C6F78" w:rsidR="00A931B6" w:rsidRDefault="00D23D63">
      <w:pPr>
        <w:pStyle w:val="114"/>
        <w:rPr>
          <w:rFonts w:ascii="Calibri" w:hAnsi="Calibri"/>
          <w:b w:val="0"/>
          <w:caps w:val="0"/>
          <w:noProof/>
          <w:sz w:val="21"/>
          <w:szCs w:val="22"/>
        </w:rPr>
      </w:pPr>
      <w:hyperlink w:anchor="_Toc65162017" w:tooltip="当前文档" w:history="1">
        <w:r w:rsidR="000A2AB6">
          <w:rPr>
            <w:rStyle w:val="1f0"/>
            <w:noProof/>
          </w:rPr>
          <w:t>十八、争议解决方式</w:t>
        </w:r>
        <w:r w:rsidR="000A2AB6">
          <w:rPr>
            <w:noProof/>
          </w:rPr>
          <w:tab/>
        </w:r>
        <w:r w:rsidR="000A2AB6">
          <w:rPr>
            <w:noProof/>
          </w:rPr>
          <w:fldChar w:fldCharType="begin"/>
        </w:r>
        <w:r w:rsidR="000A2AB6">
          <w:rPr>
            <w:noProof/>
          </w:rPr>
          <w:instrText xml:space="preserve"> PAGEREF _Toc65162017 \h </w:instrText>
        </w:r>
        <w:r w:rsidR="000A2AB6">
          <w:rPr>
            <w:noProof/>
          </w:rPr>
        </w:r>
        <w:r w:rsidR="000A2AB6">
          <w:rPr>
            <w:noProof/>
          </w:rPr>
          <w:fldChar w:fldCharType="separate"/>
        </w:r>
        <w:r w:rsidR="0088142A">
          <w:rPr>
            <w:noProof/>
          </w:rPr>
          <w:t>40</w:t>
        </w:r>
        <w:r w:rsidR="000A2AB6">
          <w:rPr>
            <w:noProof/>
          </w:rPr>
          <w:fldChar w:fldCharType="end"/>
        </w:r>
      </w:hyperlink>
    </w:p>
    <w:p w14:paraId="1F7C90BE" w14:textId="409D7481" w:rsidR="00A931B6" w:rsidRDefault="00D23D63">
      <w:pPr>
        <w:pStyle w:val="114"/>
        <w:rPr>
          <w:rFonts w:ascii="Calibri" w:hAnsi="Calibri"/>
          <w:b w:val="0"/>
          <w:caps w:val="0"/>
          <w:noProof/>
          <w:sz w:val="21"/>
          <w:szCs w:val="22"/>
        </w:rPr>
      </w:pPr>
      <w:hyperlink w:anchor="_Toc65162018" w:tooltip="当前文档" w:history="1">
        <w:r w:rsidR="000A2AB6">
          <w:rPr>
            <w:rStyle w:val="1f0"/>
            <w:noProof/>
          </w:rPr>
          <w:t>十九、基金托管协议的效力</w:t>
        </w:r>
        <w:r w:rsidR="000A2AB6">
          <w:rPr>
            <w:noProof/>
          </w:rPr>
          <w:tab/>
        </w:r>
        <w:r w:rsidR="000A2AB6">
          <w:rPr>
            <w:noProof/>
          </w:rPr>
          <w:fldChar w:fldCharType="begin"/>
        </w:r>
        <w:r w:rsidR="000A2AB6">
          <w:rPr>
            <w:noProof/>
          </w:rPr>
          <w:instrText xml:space="preserve"> PAGEREF _Toc65162018 \h </w:instrText>
        </w:r>
        <w:r w:rsidR="000A2AB6">
          <w:rPr>
            <w:noProof/>
          </w:rPr>
        </w:r>
        <w:r w:rsidR="000A2AB6">
          <w:rPr>
            <w:noProof/>
          </w:rPr>
          <w:fldChar w:fldCharType="separate"/>
        </w:r>
        <w:r w:rsidR="0088142A">
          <w:rPr>
            <w:noProof/>
          </w:rPr>
          <w:t>40</w:t>
        </w:r>
        <w:r w:rsidR="000A2AB6">
          <w:rPr>
            <w:noProof/>
          </w:rPr>
          <w:fldChar w:fldCharType="end"/>
        </w:r>
      </w:hyperlink>
    </w:p>
    <w:p w14:paraId="08C99288" w14:textId="7397BE91" w:rsidR="00A931B6" w:rsidRDefault="00D23D63">
      <w:pPr>
        <w:pStyle w:val="114"/>
        <w:rPr>
          <w:rFonts w:ascii="Calibri" w:hAnsi="Calibri"/>
          <w:b w:val="0"/>
          <w:caps w:val="0"/>
          <w:noProof/>
          <w:sz w:val="21"/>
          <w:szCs w:val="22"/>
        </w:rPr>
      </w:pPr>
      <w:hyperlink w:anchor="_Toc65162019" w:tooltip="当前文档" w:history="1">
        <w:r w:rsidR="000A2AB6">
          <w:rPr>
            <w:rStyle w:val="1f0"/>
            <w:noProof/>
          </w:rPr>
          <w:t>二十、其他事项</w:t>
        </w:r>
        <w:r w:rsidR="000A2AB6">
          <w:rPr>
            <w:noProof/>
          </w:rPr>
          <w:tab/>
        </w:r>
        <w:r w:rsidR="000A2AB6">
          <w:rPr>
            <w:noProof/>
          </w:rPr>
          <w:fldChar w:fldCharType="begin"/>
        </w:r>
        <w:r w:rsidR="000A2AB6">
          <w:rPr>
            <w:noProof/>
          </w:rPr>
          <w:instrText xml:space="preserve"> PAGEREF _Toc65162019 \h </w:instrText>
        </w:r>
        <w:r w:rsidR="000A2AB6">
          <w:rPr>
            <w:noProof/>
          </w:rPr>
        </w:r>
        <w:r w:rsidR="000A2AB6">
          <w:rPr>
            <w:noProof/>
          </w:rPr>
          <w:fldChar w:fldCharType="separate"/>
        </w:r>
        <w:r w:rsidR="0088142A">
          <w:rPr>
            <w:noProof/>
          </w:rPr>
          <w:t>41</w:t>
        </w:r>
        <w:r w:rsidR="000A2AB6">
          <w:rPr>
            <w:noProof/>
          </w:rPr>
          <w:fldChar w:fldCharType="end"/>
        </w:r>
      </w:hyperlink>
    </w:p>
    <w:p w14:paraId="38072627" w14:textId="703314C9" w:rsidR="00A931B6" w:rsidRDefault="00D23D63">
      <w:pPr>
        <w:pStyle w:val="114"/>
        <w:rPr>
          <w:rFonts w:ascii="Calibri" w:hAnsi="Calibri"/>
          <w:b w:val="0"/>
          <w:caps w:val="0"/>
          <w:noProof/>
          <w:sz w:val="21"/>
          <w:szCs w:val="22"/>
        </w:rPr>
      </w:pPr>
      <w:hyperlink w:anchor="_Toc65162020" w:tooltip="当前文档" w:history="1">
        <w:r w:rsidR="000A2AB6">
          <w:rPr>
            <w:rStyle w:val="1f0"/>
            <w:noProof/>
          </w:rPr>
          <w:t>二十一、基金托管协议的签订</w:t>
        </w:r>
        <w:r w:rsidR="000A2AB6">
          <w:rPr>
            <w:noProof/>
          </w:rPr>
          <w:tab/>
        </w:r>
        <w:r w:rsidR="000A2AB6">
          <w:rPr>
            <w:noProof/>
          </w:rPr>
          <w:fldChar w:fldCharType="begin"/>
        </w:r>
        <w:r w:rsidR="000A2AB6">
          <w:rPr>
            <w:noProof/>
          </w:rPr>
          <w:instrText xml:space="preserve"> PAGEREF _Toc65162020 \h </w:instrText>
        </w:r>
        <w:r w:rsidR="000A2AB6">
          <w:rPr>
            <w:noProof/>
          </w:rPr>
        </w:r>
        <w:r w:rsidR="000A2AB6">
          <w:rPr>
            <w:noProof/>
          </w:rPr>
          <w:fldChar w:fldCharType="separate"/>
        </w:r>
        <w:r w:rsidR="0088142A">
          <w:rPr>
            <w:noProof/>
          </w:rPr>
          <w:t>41</w:t>
        </w:r>
        <w:r w:rsidR="000A2AB6">
          <w:rPr>
            <w:noProof/>
          </w:rPr>
          <w:fldChar w:fldCharType="end"/>
        </w:r>
      </w:hyperlink>
    </w:p>
    <w:p w14:paraId="054F693C" w14:textId="77777777" w:rsidR="00A931B6" w:rsidRDefault="000A2AB6">
      <w:pPr>
        <w:pStyle w:val="114"/>
        <w:tabs>
          <w:tab w:val="right" w:leader="dot" w:pos="8296"/>
        </w:tabs>
        <w:spacing w:before="0"/>
        <w:ind w:firstLine="0"/>
        <w:rPr>
          <w:rStyle w:val="1f0"/>
          <w:rFonts w:ascii="宋体"/>
          <w:bCs/>
          <w:color w:val="000000"/>
        </w:rPr>
      </w:pPr>
      <w:r>
        <w:rPr>
          <w:rStyle w:val="1f0"/>
          <w:rFonts w:ascii="宋体" w:hAnsi="宋体"/>
          <w:bCs/>
          <w:color w:val="000000"/>
          <w:sz w:val="24"/>
          <w:szCs w:val="24"/>
        </w:rPr>
        <w:fldChar w:fldCharType="end"/>
      </w:r>
    </w:p>
    <w:p w14:paraId="5284C5B6" w14:textId="77777777" w:rsidR="00A931B6" w:rsidRDefault="000A2AB6">
      <w:pPr>
        <w:pStyle w:val="121"/>
        <w:spacing w:line="360" w:lineRule="auto"/>
        <w:ind w:firstLineChars="200" w:firstLine="420"/>
        <w:rPr>
          <w:rFonts w:ascii="宋体"/>
          <w:sz w:val="24"/>
        </w:rPr>
      </w:pPr>
      <w:r>
        <w:rPr>
          <w:rStyle w:val="1f0"/>
          <w:rFonts w:ascii="宋体"/>
          <w:bCs/>
          <w:color w:val="000000"/>
        </w:rPr>
        <w:br w:type="page"/>
      </w:r>
      <w:bookmarkStart w:id="0" w:name="_Toc125892432"/>
      <w:bookmarkStart w:id="1" w:name="_Toc22454432"/>
      <w:bookmarkStart w:id="2" w:name="_Toc523829992"/>
      <w:r>
        <w:rPr>
          <w:rFonts w:ascii="宋体" w:hAnsi="宋体"/>
          <w:sz w:val="24"/>
        </w:rPr>
        <w:lastRenderedPageBreak/>
        <w:t>鉴于</w:t>
      </w:r>
      <w:r>
        <w:rPr>
          <w:rFonts w:ascii="宋体" w:hAnsi="宋体" w:hint="eastAsia"/>
          <w:sz w:val="24"/>
        </w:rPr>
        <w:t>嘉实</w:t>
      </w:r>
      <w:r>
        <w:rPr>
          <w:rFonts w:ascii="宋体" w:hAnsi="宋体"/>
          <w:sz w:val="24"/>
        </w:rPr>
        <w:t>基金管理有限公司系一家依照中国法律合法成立并有效存续的有限责任公司，拟募集</w:t>
      </w:r>
      <w:r>
        <w:rPr>
          <w:rFonts w:ascii="宋体" w:hAnsi="宋体" w:hint="eastAsia"/>
          <w:sz w:val="24"/>
        </w:rPr>
        <w:t>嘉实中证800指数增强型</w:t>
      </w:r>
      <w:r>
        <w:rPr>
          <w:rFonts w:ascii="宋体" w:hAnsi="宋体"/>
          <w:sz w:val="24"/>
        </w:rPr>
        <w:t>证券投资基金（以下简称“本基金”或“基金”）；</w:t>
      </w:r>
      <w:bookmarkEnd w:id="0"/>
    </w:p>
    <w:p w14:paraId="4AA1C9AF" w14:textId="77777777" w:rsidR="00A931B6" w:rsidRDefault="000A2AB6">
      <w:pPr>
        <w:pStyle w:val="121"/>
        <w:spacing w:line="360" w:lineRule="auto"/>
        <w:ind w:firstLineChars="200" w:firstLine="480"/>
        <w:rPr>
          <w:rFonts w:ascii="宋体"/>
          <w:sz w:val="24"/>
        </w:rPr>
      </w:pPr>
      <w:bookmarkStart w:id="3" w:name="_Toc125892433"/>
      <w:r>
        <w:rPr>
          <w:rFonts w:ascii="宋体" w:hAnsi="宋体"/>
          <w:sz w:val="24"/>
        </w:rPr>
        <w:t>鉴于交通银行股份有限公司系一家依照中国法律合法成立并有效存续的银行，按照相关法律法规的规定具备担任基金托管人的资格和能力；</w:t>
      </w:r>
      <w:bookmarkEnd w:id="3"/>
    </w:p>
    <w:p w14:paraId="3BC30E00" w14:textId="77777777" w:rsidR="00A931B6" w:rsidRDefault="000A2AB6">
      <w:pPr>
        <w:pStyle w:val="121"/>
        <w:spacing w:line="360" w:lineRule="auto"/>
        <w:ind w:firstLineChars="200" w:firstLine="480"/>
        <w:rPr>
          <w:rFonts w:ascii="宋体"/>
          <w:sz w:val="24"/>
        </w:rPr>
      </w:pPr>
      <w:bookmarkStart w:id="4" w:name="_Toc125892434"/>
      <w:r>
        <w:rPr>
          <w:rFonts w:ascii="宋体" w:hAnsi="宋体"/>
          <w:sz w:val="24"/>
        </w:rPr>
        <w:t>鉴于</w:t>
      </w:r>
      <w:r>
        <w:rPr>
          <w:rFonts w:ascii="宋体" w:hAnsi="宋体" w:hint="eastAsia"/>
          <w:sz w:val="24"/>
        </w:rPr>
        <w:t>嘉实</w:t>
      </w:r>
      <w:r>
        <w:rPr>
          <w:rFonts w:ascii="宋体" w:hAnsi="宋体"/>
          <w:sz w:val="24"/>
        </w:rPr>
        <w:t>基金管理有限公司拟担任</w:t>
      </w:r>
      <w:r>
        <w:rPr>
          <w:rFonts w:ascii="宋体" w:hAnsi="宋体" w:hint="eastAsia"/>
          <w:sz w:val="24"/>
        </w:rPr>
        <w:t>嘉实中证800指数增强型</w:t>
      </w:r>
      <w:r>
        <w:rPr>
          <w:rFonts w:ascii="宋体" w:hAnsi="宋体"/>
          <w:sz w:val="24"/>
        </w:rPr>
        <w:t>证券投资基金的基金管理人，交通银行股份有限公司拟担任</w:t>
      </w:r>
      <w:r>
        <w:rPr>
          <w:rFonts w:ascii="宋体" w:hAnsi="宋体" w:hint="eastAsia"/>
          <w:sz w:val="24"/>
        </w:rPr>
        <w:t>嘉实中证800指数增强型</w:t>
      </w:r>
      <w:r>
        <w:rPr>
          <w:rFonts w:ascii="宋体" w:hAnsi="宋体"/>
          <w:sz w:val="24"/>
        </w:rPr>
        <w:t>证券投资基金的基金托管人；</w:t>
      </w:r>
      <w:bookmarkEnd w:id="4"/>
    </w:p>
    <w:p w14:paraId="44FCDE28" w14:textId="77777777" w:rsidR="00A931B6" w:rsidRDefault="000A2AB6">
      <w:pPr>
        <w:pStyle w:val="121"/>
        <w:spacing w:line="360" w:lineRule="auto"/>
        <w:ind w:firstLineChars="200" w:firstLine="480"/>
        <w:rPr>
          <w:rFonts w:ascii="宋体" w:hAnsi="宋体"/>
          <w:sz w:val="24"/>
        </w:rPr>
      </w:pPr>
      <w:bookmarkStart w:id="5" w:name="_Toc125892435"/>
      <w:r>
        <w:rPr>
          <w:rFonts w:ascii="宋体" w:hAnsi="宋体"/>
          <w:sz w:val="24"/>
        </w:rPr>
        <w:t>基金管理人承诺其知悉《中华人民共和国反洗钱法》、《金融机构客户身份识别和客户身份资料及交易记录保存管理办法》、《金融机构大额交易和可疑交易报告管理办法》、《中国人民银行关于加强反洗钱客户身份识别有关工作的通知》（银发﹝2017﹞235号）、《中国人民银行关于进一步做好受益所有人身份识别工作有关问题的通知》（银发﹝2018﹞164号）等反洗钱相关法律法规、监管规定，将严格遵守上述规定，不会违反任何前述规定；承诺投资的去向不涉及洗钱、恐怖融资和逃税等行为；承诺向基金托管人出示真实有效的身份证件或者其他身份证明文件，提供真实有效的业务性质与股权或者控制权结构、提供产品受益所有人的信息和资料，并在产品受益所有人发生变化时，及时告知基金托管人并按基金托管人要求完成更新；承诺积极履行反洗钱职责，不借助本业务进行洗钱等违法犯罪活动；</w:t>
      </w:r>
    </w:p>
    <w:p w14:paraId="33E37B4D" w14:textId="77777777" w:rsidR="00A931B6" w:rsidRDefault="000A2AB6">
      <w:pPr>
        <w:pStyle w:val="121"/>
        <w:spacing w:line="360" w:lineRule="auto"/>
        <w:ind w:firstLineChars="200" w:firstLine="480"/>
        <w:rPr>
          <w:rFonts w:ascii="宋体" w:hAnsi="宋体"/>
          <w:sz w:val="24"/>
        </w:rPr>
      </w:pPr>
      <w:r>
        <w:rPr>
          <w:rFonts w:ascii="宋体" w:hAnsi="宋体"/>
          <w:sz w:val="24"/>
        </w:rPr>
        <w:t>基金管理人承诺基金管理人及其关联方均不属于中国法律法规认可的联合国及相关国家、组织、机构发布的制裁名单，及中国政府部门或有权机关发布的涉恐及反洗钱相关风险名单内的企业或个人；不位于被中国法律法规认可的联合国及相关国家、组织、机构制裁的国家和地区；</w:t>
      </w:r>
    </w:p>
    <w:p w14:paraId="38FDF97D" w14:textId="77777777" w:rsidR="00A931B6" w:rsidRDefault="000A2AB6" w:rsidP="00C55EA8">
      <w:pPr>
        <w:pStyle w:val="121"/>
        <w:pBdr>
          <w:top w:val="none" w:sz="4" w:space="0" w:color="000000"/>
          <w:left w:val="none" w:sz="4" w:space="0" w:color="000000"/>
          <w:bottom w:val="none" w:sz="4" w:space="0" w:color="000000"/>
          <w:right w:val="none" w:sz="4" w:space="0" w:color="000000"/>
        </w:pBdr>
        <w:spacing w:line="360" w:lineRule="auto"/>
        <w:ind w:firstLineChars="200" w:firstLine="480"/>
        <w:rPr>
          <w:rFonts w:ascii="Calibri" w:hAnsi="Calibri" w:cs="Calibri"/>
          <w:sz w:val="22"/>
        </w:rPr>
      </w:pPr>
      <w:r w:rsidRPr="00784467">
        <w:rPr>
          <w:rFonts w:ascii="宋体" w:hAnsi="宋体"/>
          <w:sz w:val="24"/>
        </w:rPr>
        <w:t>基金管理人承诺，其已根据《中华人民共和国个人信息保护法》等适用的现行法律法规、监管规定的要求，履行了个人信息处理者应承担的义务；</w:t>
      </w:r>
      <w:r w:rsidRPr="00C55EA8">
        <w:rPr>
          <w:rFonts w:ascii="宋体" w:hAnsi="宋体" w:hint="eastAsia"/>
          <w:sz w:val="24"/>
        </w:rPr>
        <w:t>对于按规定应向基金托管人提供的自然人个人信息，其已按照相关法律法规、监管规定的要求，履行了必需的手续</w:t>
      </w:r>
      <w:r w:rsidRPr="00C55EA8">
        <w:rPr>
          <w:rFonts w:ascii="宋体" w:hAnsi="宋体"/>
          <w:sz w:val="24"/>
        </w:rPr>
        <w:t>，并已取得了自然人的同意或者授权</w:t>
      </w:r>
      <w:r w:rsidRPr="00C55EA8">
        <w:rPr>
          <w:rFonts w:ascii="宋体" w:hAnsi="宋体" w:hint="eastAsia"/>
          <w:sz w:val="24"/>
        </w:rPr>
        <w:t>；</w:t>
      </w:r>
    </w:p>
    <w:p w14:paraId="0258F2F3" w14:textId="77777777" w:rsidR="00A931B6" w:rsidRDefault="000A2AB6">
      <w:pPr>
        <w:pStyle w:val="121"/>
        <w:spacing w:line="360" w:lineRule="auto"/>
        <w:ind w:firstLineChars="200" w:firstLine="480"/>
        <w:rPr>
          <w:rFonts w:ascii="宋体" w:hAnsi="宋体"/>
          <w:sz w:val="24"/>
        </w:rPr>
      </w:pPr>
      <w:r>
        <w:rPr>
          <w:rFonts w:ascii="宋体" w:hAnsi="宋体"/>
          <w:sz w:val="24"/>
        </w:rPr>
        <w:t>为明确</w:t>
      </w:r>
      <w:r>
        <w:rPr>
          <w:rFonts w:ascii="宋体" w:hAnsi="宋体" w:hint="eastAsia"/>
          <w:sz w:val="24"/>
        </w:rPr>
        <w:t>嘉实中证800指数增强型</w:t>
      </w:r>
      <w:r>
        <w:rPr>
          <w:rFonts w:ascii="宋体" w:hAnsi="宋体"/>
          <w:sz w:val="24"/>
        </w:rPr>
        <w:t>证券投资基金的基金管理人和基金托管人之间的权利义务关系，特制订本协议；</w:t>
      </w:r>
      <w:bookmarkEnd w:id="5"/>
    </w:p>
    <w:p w14:paraId="296D1325" w14:textId="77777777" w:rsidR="00A931B6" w:rsidRDefault="000A2AB6">
      <w:pPr>
        <w:pStyle w:val="121"/>
        <w:spacing w:line="360" w:lineRule="auto"/>
        <w:ind w:firstLineChars="200" w:firstLine="480"/>
        <w:rPr>
          <w:rFonts w:ascii="宋体" w:hAnsi="宋体"/>
          <w:sz w:val="24"/>
        </w:rPr>
      </w:pPr>
      <w:bookmarkStart w:id="6" w:name="_Toc125892436"/>
      <w:r>
        <w:rPr>
          <w:rFonts w:ascii="宋体" w:hAnsi="宋体"/>
          <w:sz w:val="24"/>
        </w:rPr>
        <w:lastRenderedPageBreak/>
        <w:t>除非文义另有所指，本协议的所有术语与《</w:t>
      </w:r>
      <w:r>
        <w:rPr>
          <w:rFonts w:ascii="宋体" w:hAnsi="宋体" w:hint="eastAsia"/>
          <w:sz w:val="24"/>
        </w:rPr>
        <w:t>嘉实中证800指数增强型</w:t>
      </w:r>
      <w:r>
        <w:rPr>
          <w:rFonts w:ascii="宋体" w:hAnsi="宋体"/>
          <w:sz w:val="24"/>
        </w:rPr>
        <w:t>证券投资基金基金合同》（以下简称《基金合同》）中定义的相应术语具有相同的含义。若有抵触应以《基金合同》为准，并依其条款解释。</w:t>
      </w:r>
      <w:bookmarkStart w:id="7" w:name="_Toc125892437"/>
      <w:bookmarkEnd w:id="6"/>
    </w:p>
    <w:p w14:paraId="58843521" w14:textId="77777777" w:rsidR="00A931B6" w:rsidRDefault="000A2AB6">
      <w:pPr>
        <w:pStyle w:val="121"/>
        <w:spacing w:line="360" w:lineRule="auto"/>
        <w:ind w:firstLineChars="200" w:firstLine="480"/>
        <w:rPr>
          <w:rFonts w:ascii="宋体"/>
          <w:sz w:val="24"/>
        </w:rPr>
      </w:pPr>
      <w:r>
        <w:rPr>
          <w:rFonts w:ascii="宋体" w:hint="eastAsia"/>
          <w:sz w:val="24"/>
        </w:rPr>
        <w:t>若本基金实施侧袋机制的，侧袋机制实施期间的相关安排见基金合同和招募说明书的规定。</w:t>
      </w:r>
    </w:p>
    <w:p w14:paraId="62F716CA" w14:textId="77777777" w:rsidR="00A931B6" w:rsidRDefault="000A2AB6">
      <w:pPr>
        <w:pStyle w:val="113"/>
      </w:pPr>
      <w:r>
        <w:br w:type="page"/>
      </w:r>
      <w:bookmarkStart w:id="8" w:name="_Toc65162000"/>
      <w:r>
        <w:lastRenderedPageBreak/>
        <w:t>一、基金托管协议当事人</w:t>
      </w:r>
      <w:bookmarkEnd w:id="1"/>
      <w:bookmarkEnd w:id="2"/>
      <w:bookmarkEnd w:id="7"/>
      <w:bookmarkEnd w:id="8"/>
    </w:p>
    <w:p w14:paraId="3C32417D" w14:textId="77777777" w:rsidR="00A931B6" w:rsidRDefault="000A2AB6">
      <w:pPr>
        <w:pStyle w:val="121"/>
        <w:tabs>
          <w:tab w:val="left" w:pos="3780"/>
        </w:tabs>
        <w:autoSpaceDE w:val="0"/>
        <w:autoSpaceDN w:val="0"/>
        <w:spacing w:before="156" w:after="156" w:line="360" w:lineRule="auto"/>
        <w:outlineLvl w:val="0"/>
        <w:rPr>
          <w:rFonts w:ascii="宋体"/>
          <w:b/>
          <w:bCs/>
          <w:sz w:val="24"/>
        </w:rPr>
      </w:pPr>
      <w:bookmarkStart w:id="9" w:name="_Toc22454433"/>
      <w:bookmarkStart w:id="10" w:name="_Toc77662992"/>
      <w:r>
        <w:rPr>
          <w:rFonts w:ascii="宋体" w:hAnsi="宋体"/>
          <w:b/>
          <w:bCs/>
          <w:sz w:val="24"/>
        </w:rPr>
        <w:t>（一）基金管理人</w:t>
      </w:r>
      <w:bookmarkEnd w:id="9"/>
      <w:bookmarkEnd w:id="10"/>
    </w:p>
    <w:p w14:paraId="6F0726C8" w14:textId="77777777" w:rsidR="00A931B6" w:rsidRDefault="000A2AB6">
      <w:pPr>
        <w:pStyle w:val="121"/>
        <w:spacing w:line="360" w:lineRule="auto"/>
        <w:ind w:firstLineChars="200" w:firstLine="480"/>
        <w:rPr>
          <w:rFonts w:ascii="宋体"/>
          <w:sz w:val="24"/>
        </w:rPr>
      </w:pPr>
      <w:r>
        <w:rPr>
          <w:rFonts w:ascii="宋体" w:hAnsi="宋体"/>
          <w:sz w:val="24"/>
        </w:rPr>
        <w:t>名称：</w:t>
      </w:r>
      <w:r>
        <w:rPr>
          <w:rFonts w:ascii="宋体" w:hAnsi="宋体" w:hint="eastAsia"/>
          <w:sz w:val="24"/>
        </w:rPr>
        <w:t>嘉实</w:t>
      </w:r>
      <w:r>
        <w:rPr>
          <w:rFonts w:ascii="宋体" w:hAnsi="宋体"/>
          <w:sz w:val="24"/>
        </w:rPr>
        <w:t>基金管理有限公司</w:t>
      </w:r>
    </w:p>
    <w:p w14:paraId="0067C6B7" w14:textId="77777777" w:rsidR="00A931B6" w:rsidRDefault="000A2AB6">
      <w:pPr>
        <w:pStyle w:val="121"/>
        <w:spacing w:line="360" w:lineRule="auto"/>
        <w:ind w:firstLineChars="200" w:firstLine="480"/>
        <w:rPr>
          <w:rFonts w:ascii="宋体"/>
          <w:sz w:val="24"/>
        </w:rPr>
      </w:pPr>
      <w:r>
        <w:rPr>
          <w:rFonts w:ascii="宋体" w:hAnsi="宋体"/>
          <w:sz w:val="24"/>
        </w:rPr>
        <w:t>住所：</w:t>
      </w:r>
      <w:r>
        <w:rPr>
          <w:rFonts w:hint="eastAsia"/>
          <w:bCs/>
          <w:sz w:val="24"/>
        </w:rPr>
        <w:t>中国（上海）自由贸易试验区陆家嘴环路</w:t>
      </w:r>
      <w:r>
        <w:rPr>
          <w:rFonts w:hint="eastAsia"/>
          <w:bCs/>
          <w:sz w:val="24"/>
        </w:rPr>
        <w:t>1318</w:t>
      </w:r>
      <w:r>
        <w:rPr>
          <w:rFonts w:hint="eastAsia"/>
          <w:bCs/>
          <w:sz w:val="24"/>
        </w:rPr>
        <w:t>号</w:t>
      </w:r>
      <w:r>
        <w:rPr>
          <w:rFonts w:hint="eastAsia"/>
          <w:bCs/>
          <w:sz w:val="24"/>
        </w:rPr>
        <w:t>1806A</w:t>
      </w:r>
      <w:r>
        <w:rPr>
          <w:rFonts w:hint="eastAsia"/>
          <w:bCs/>
          <w:sz w:val="24"/>
        </w:rPr>
        <w:t>单元</w:t>
      </w:r>
    </w:p>
    <w:p w14:paraId="283EF7EE" w14:textId="77777777" w:rsidR="00A931B6" w:rsidRDefault="000A2AB6">
      <w:pPr>
        <w:pStyle w:val="121"/>
        <w:spacing w:line="360" w:lineRule="auto"/>
        <w:ind w:firstLineChars="200" w:firstLine="480"/>
        <w:rPr>
          <w:rFonts w:ascii="宋体"/>
          <w:sz w:val="24"/>
        </w:rPr>
      </w:pPr>
      <w:r>
        <w:rPr>
          <w:rFonts w:ascii="宋体" w:hAnsi="宋体"/>
          <w:sz w:val="24"/>
        </w:rPr>
        <w:t>办公地址：</w:t>
      </w:r>
      <w:r>
        <w:rPr>
          <w:rFonts w:hint="eastAsia"/>
          <w:bCs/>
          <w:sz w:val="24"/>
        </w:rPr>
        <w:t>北京市朝阳区建国门外大街</w:t>
      </w:r>
      <w:r>
        <w:rPr>
          <w:rFonts w:hint="eastAsia"/>
          <w:bCs/>
          <w:sz w:val="24"/>
        </w:rPr>
        <w:t>21</w:t>
      </w:r>
      <w:r>
        <w:rPr>
          <w:rFonts w:hint="eastAsia"/>
          <w:bCs/>
          <w:sz w:val="24"/>
        </w:rPr>
        <w:t>号北京国际俱乐部</w:t>
      </w:r>
      <w:r>
        <w:rPr>
          <w:rFonts w:hint="eastAsia"/>
          <w:bCs/>
          <w:sz w:val="24"/>
        </w:rPr>
        <w:t>C</w:t>
      </w:r>
      <w:r>
        <w:rPr>
          <w:rFonts w:hint="eastAsia"/>
          <w:bCs/>
          <w:sz w:val="24"/>
        </w:rPr>
        <w:t>座写字楼</w:t>
      </w:r>
      <w:r>
        <w:rPr>
          <w:rFonts w:hint="eastAsia"/>
          <w:bCs/>
          <w:sz w:val="24"/>
        </w:rPr>
        <w:t>12A</w:t>
      </w:r>
      <w:r>
        <w:rPr>
          <w:rFonts w:hint="eastAsia"/>
          <w:bCs/>
          <w:sz w:val="24"/>
        </w:rPr>
        <w:t>层</w:t>
      </w:r>
    </w:p>
    <w:p w14:paraId="12BA27B4" w14:textId="77777777" w:rsidR="00A931B6" w:rsidRDefault="000A2AB6">
      <w:pPr>
        <w:pStyle w:val="121"/>
        <w:spacing w:line="360" w:lineRule="auto"/>
        <w:ind w:firstLineChars="200" w:firstLine="480"/>
        <w:rPr>
          <w:color w:val="000000"/>
          <w:sz w:val="24"/>
        </w:rPr>
      </w:pPr>
      <w:r>
        <w:rPr>
          <w:rFonts w:ascii="宋体" w:hAnsi="宋体"/>
          <w:sz w:val="24"/>
        </w:rPr>
        <w:t>法定代表人：</w:t>
      </w:r>
      <w:r>
        <w:rPr>
          <w:bCs/>
          <w:sz w:val="24"/>
        </w:rPr>
        <w:t>经雷</w:t>
      </w:r>
    </w:p>
    <w:p w14:paraId="0A91D5C6" w14:textId="77777777" w:rsidR="00A931B6" w:rsidRDefault="000A2AB6">
      <w:pPr>
        <w:pStyle w:val="121"/>
        <w:spacing w:line="360" w:lineRule="auto"/>
        <w:ind w:firstLineChars="200" w:firstLine="480"/>
        <w:rPr>
          <w:rFonts w:ascii="宋体"/>
          <w:sz w:val="24"/>
        </w:rPr>
      </w:pPr>
      <w:r>
        <w:rPr>
          <w:rFonts w:ascii="宋体" w:hAnsi="宋体"/>
          <w:sz w:val="24"/>
        </w:rPr>
        <w:t>成立时间：</w:t>
      </w:r>
      <w:r>
        <w:rPr>
          <w:rFonts w:hint="eastAsia"/>
          <w:bCs/>
          <w:sz w:val="24"/>
        </w:rPr>
        <w:t>1999</w:t>
      </w:r>
      <w:r>
        <w:rPr>
          <w:rFonts w:hint="eastAsia"/>
          <w:bCs/>
          <w:sz w:val="24"/>
        </w:rPr>
        <w:t>年</w:t>
      </w:r>
      <w:r>
        <w:rPr>
          <w:rFonts w:hint="eastAsia"/>
          <w:bCs/>
          <w:sz w:val="24"/>
        </w:rPr>
        <w:t>3</w:t>
      </w:r>
      <w:r>
        <w:rPr>
          <w:rFonts w:hint="eastAsia"/>
          <w:bCs/>
          <w:sz w:val="24"/>
        </w:rPr>
        <w:t>月</w:t>
      </w:r>
      <w:r>
        <w:rPr>
          <w:rFonts w:hint="eastAsia"/>
          <w:bCs/>
          <w:sz w:val="24"/>
        </w:rPr>
        <w:t>25</w:t>
      </w:r>
      <w:r>
        <w:rPr>
          <w:rFonts w:hint="eastAsia"/>
          <w:bCs/>
          <w:sz w:val="24"/>
        </w:rPr>
        <w:t>日</w:t>
      </w:r>
    </w:p>
    <w:p w14:paraId="17C2B4F2" w14:textId="19A88813" w:rsidR="00A931B6" w:rsidRDefault="000A2AB6">
      <w:pPr>
        <w:pStyle w:val="121"/>
        <w:spacing w:line="360" w:lineRule="auto"/>
        <w:ind w:firstLineChars="200" w:firstLine="480"/>
        <w:rPr>
          <w:rFonts w:ascii="宋体"/>
          <w:sz w:val="24"/>
        </w:rPr>
      </w:pPr>
      <w:r>
        <w:rPr>
          <w:rFonts w:ascii="宋体" w:hAnsi="宋体"/>
          <w:sz w:val="24"/>
        </w:rPr>
        <w:t>批准设立机关及批准设立文号：</w:t>
      </w:r>
      <w:r>
        <w:rPr>
          <w:rFonts w:hint="eastAsia"/>
          <w:bCs/>
          <w:sz w:val="24"/>
        </w:rPr>
        <w:t>中国证监会证监基</w:t>
      </w:r>
      <w:r w:rsidR="009A42C0">
        <w:rPr>
          <w:rFonts w:hint="eastAsia"/>
          <w:bCs/>
          <w:sz w:val="24"/>
        </w:rPr>
        <w:t>金</w:t>
      </w:r>
      <w:r>
        <w:rPr>
          <w:rFonts w:hint="eastAsia"/>
          <w:bCs/>
          <w:sz w:val="24"/>
        </w:rPr>
        <w:t>字【</w:t>
      </w:r>
      <w:r>
        <w:rPr>
          <w:rFonts w:hint="eastAsia"/>
          <w:bCs/>
          <w:sz w:val="24"/>
        </w:rPr>
        <w:t>1999</w:t>
      </w:r>
      <w:r>
        <w:rPr>
          <w:rFonts w:hint="eastAsia"/>
          <w:bCs/>
          <w:sz w:val="24"/>
        </w:rPr>
        <w:t>】</w:t>
      </w:r>
      <w:r>
        <w:rPr>
          <w:rFonts w:hint="eastAsia"/>
          <w:bCs/>
          <w:sz w:val="24"/>
        </w:rPr>
        <w:t>5</w:t>
      </w:r>
      <w:r>
        <w:rPr>
          <w:rFonts w:hint="eastAsia"/>
          <w:bCs/>
          <w:sz w:val="24"/>
        </w:rPr>
        <w:t>号</w:t>
      </w:r>
    </w:p>
    <w:p w14:paraId="23A45B3E" w14:textId="77777777" w:rsidR="00A931B6" w:rsidRDefault="000A2AB6">
      <w:pPr>
        <w:pStyle w:val="121"/>
        <w:spacing w:line="360" w:lineRule="auto"/>
        <w:ind w:firstLineChars="200" w:firstLine="480"/>
        <w:rPr>
          <w:rFonts w:ascii="宋体" w:hAnsi="宋体"/>
          <w:sz w:val="24"/>
        </w:rPr>
      </w:pPr>
      <w:r>
        <w:rPr>
          <w:rFonts w:ascii="宋体" w:hAnsi="宋体"/>
          <w:sz w:val="24"/>
        </w:rPr>
        <w:t>经营范围：</w:t>
      </w:r>
      <w:r>
        <w:rPr>
          <w:rFonts w:ascii="宋体" w:hAnsi="宋体" w:hint="eastAsia"/>
          <w:sz w:val="24"/>
        </w:rPr>
        <w:t>基金募集、基金销售、资产管理及中国证监会许可的其他业务</w:t>
      </w:r>
    </w:p>
    <w:p w14:paraId="734D1D41" w14:textId="77777777" w:rsidR="00A931B6" w:rsidRDefault="000A2AB6">
      <w:pPr>
        <w:pStyle w:val="121"/>
        <w:spacing w:line="360" w:lineRule="auto"/>
        <w:ind w:firstLineChars="200" w:firstLine="480"/>
        <w:rPr>
          <w:rFonts w:ascii="宋体" w:hAnsi="宋体"/>
          <w:sz w:val="24"/>
        </w:rPr>
      </w:pPr>
      <w:r>
        <w:rPr>
          <w:rFonts w:ascii="宋体" w:hAnsi="宋体"/>
          <w:sz w:val="24"/>
        </w:rPr>
        <w:t>注册资本：</w:t>
      </w:r>
      <w:r>
        <w:rPr>
          <w:rFonts w:ascii="宋体" w:hAnsi="宋体" w:hint="eastAsia"/>
          <w:sz w:val="24"/>
        </w:rPr>
        <w:t>1.5亿元人民币</w:t>
      </w:r>
    </w:p>
    <w:p w14:paraId="70684E9B" w14:textId="77777777" w:rsidR="00A931B6" w:rsidRDefault="000A2AB6">
      <w:pPr>
        <w:pStyle w:val="121"/>
        <w:spacing w:line="360" w:lineRule="auto"/>
        <w:ind w:firstLineChars="200" w:firstLine="480"/>
        <w:rPr>
          <w:rFonts w:ascii="宋体" w:hAnsi="宋体"/>
          <w:sz w:val="24"/>
        </w:rPr>
      </w:pPr>
      <w:r>
        <w:rPr>
          <w:rFonts w:ascii="宋体" w:hAnsi="宋体"/>
          <w:sz w:val="24"/>
        </w:rPr>
        <w:t>组织形式：有限责任公司</w:t>
      </w:r>
      <w:r>
        <w:rPr>
          <w:rFonts w:ascii="宋体" w:hAnsi="宋体" w:hint="eastAsia"/>
          <w:sz w:val="24"/>
        </w:rPr>
        <w:t>（外商投资、非独资）</w:t>
      </w:r>
    </w:p>
    <w:p w14:paraId="6C9C8438" w14:textId="77777777" w:rsidR="00A931B6" w:rsidRDefault="000A2AB6">
      <w:pPr>
        <w:pStyle w:val="121"/>
        <w:spacing w:line="360" w:lineRule="auto"/>
        <w:ind w:firstLineChars="200" w:firstLine="480"/>
        <w:rPr>
          <w:rFonts w:ascii="宋体" w:hAnsi="宋体"/>
          <w:sz w:val="24"/>
        </w:rPr>
      </w:pPr>
      <w:r>
        <w:rPr>
          <w:rFonts w:ascii="宋体" w:hAnsi="宋体"/>
          <w:sz w:val="24"/>
        </w:rPr>
        <w:t>存续期间：</w:t>
      </w:r>
      <w:bookmarkStart w:id="11" w:name="_Toc22454434"/>
      <w:bookmarkStart w:id="12" w:name="_Toc77662993"/>
      <w:r>
        <w:rPr>
          <w:rFonts w:ascii="宋体" w:hAnsi="宋体" w:hint="eastAsia"/>
          <w:sz w:val="24"/>
        </w:rPr>
        <w:t>持续经营</w:t>
      </w:r>
    </w:p>
    <w:p w14:paraId="4B89588C" w14:textId="77777777" w:rsidR="00A931B6" w:rsidRDefault="00A931B6">
      <w:pPr>
        <w:pStyle w:val="121"/>
        <w:spacing w:line="360" w:lineRule="auto"/>
        <w:ind w:firstLineChars="200" w:firstLine="480"/>
        <w:rPr>
          <w:rFonts w:ascii="宋体"/>
          <w:sz w:val="24"/>
        </w:rPr>
      </w:pPr>
    </w:p>
    <w:p w14:paraId="6F16C49B"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t>（二）基金托管人</w:t>
      </w:r>
      <w:bookmarkEnd w:id="11"/>
      <w:bookmarkEnd w:id="12"/>
    </w:p>
    <w:p w14:paraId="57814EAA" w14:textId="77777777" w:rsidR="00A931B6" w:rsidRDefault="000A2AB6">
      <w:pPr>
        <w:pStyle w:val="121"/>
        <w:spacing w:line="360" w:lineRule="auto"/>
        <w:ind w:firstLineChars="200" w:firstLine="480"/>
        <w:rPr>
          <w:rFonts w:ascii="宋体"/>
          <w:sz w:val="24"/>
        </w:rPr>
      </w:pPr>
      <w:r>
        <w:rPr>
          <w:rFonts w:ascii="宋体" w:hAnsi="宋体"/>
          <w:sz w:val="24"/>
        </w:rPr>
        <w:t>名称：交通银行股份有限公司（简称：交通银行）</w:t>
      </w:r>
    </w:p>
    <w:p w14:paraId="16B3C061" w14:textId="77777777" w:rsidR="00A931B6" w:rsidRDefault="000A2AB6">
      <w:pPr>
        <w:pStyle w:val="121"/>
        <w:spacing w:line="360" w:lineRule="auto"/>
        <w:ind w:firstLineChars="200" w:firstLine="480"/>
        <w:rPr>
          <w:rFonts w:ascii="宋体"/>
          <w:sz w:val="24"/>
        </w:rPr>
      </w:pPr>
      <w:r>
        <w:rPr>
          <w:rFonts w:ascii="宋体" w:hAnsi="宋体"/>
          <w:sz w:val="24"/>
        </w:rPr>
        <w:t>住所：中国（上海）自由贸易试验区银城中路188号</w:t>
      </w:r>
    </w:p>
    <w:p w14:paraId="08E7FCF1" w14:textId="77777777" w:rsidR="00A931B6" w:rsidRDefault="000A2AB6">
      <w:pPr>
        <w:pStyle w:val="121"/>
        <w:spacing w:line="360" w:lineRule="auto"/>
        <w:ind w:firstLineChars="200" w:firstLine="480"/>
        <w:rPr>
          <w:rFonts w:ascii="宋体"/>
          <w:sz w:val="24"/>
        </w:rPr>
      </w:pPr>
      <w:r>
        <w:rPr>
          <w:rFonts w:ascii="宋体" w:hAnsi="宋体"/>
          <w:sz w:val="24"/>
        </w:rPr>
        <w:t>办公地址：上海市长宁区仙霞路18号</w:t>
      </w:r>
    </w:p>
    <w:p w14:paraId="46DF69C4" w14:textId="77777777" w:rsidR="00A931B6" w:rsidRDefault="000A2AB6">
      <w:pPr>
        <w:pStyle w:val="121"/>
        <w:spacing w:line="360" w:lineRule="auto"/>
        <w:ind w:firstLineChars="200" w:firstLine="480"/>
        <w:rPr>
          <w:rFonts w:ascii="宋体"/>
          <w:sz w:val="24"/>
        </w:rPr>
      </w:pPr>
      <w:r>
        <w:rPr>
          <w:rFonts w:ascii="宋体" w:hAnsi="宋体"/>
          <w:sz w:val="24"/>
        </w:rPr>
        <w:t>法定代表人：任德奇</w:t>
      </w:r>
    </w:p>
    <w:p w14:paraId="03E9513C" w14:textId="77777777" w:rsidR="00A931B6" w:rsidRDefault="000A2AB6">
      <w:pPr>
        <w:pStyle w:val="121"/>
        <w:spacing w:line="360" w:lineRule="auto"/>
        <w:ind w:firstLineChars="200" w:firstLine="480"/>
        <w:rPr>
          <w:rFonts w:ascii="宋体"/>
          <w:sz w:val="24"/>
        </w:rPr>
      </w:pPr>
      <w:r>
        <w:rPr>
          <w:rFonts w:ascii="宋体" w:hAnsi="宋体"/>
          <w:sz w:val="24"/>
        </w:rPr>
        <w:t>成立时间：1987年3月30日</w:t>
      </w:r>
    </w:p>
    <w:p w14:paraId="28DE13C9" w14:textId="77777777" w:rsidR="00A931B6" w:rsidRDefault="000A2AB6">
      <w:pPr>
        <w:pStyle w:val="121"/>
        <w:spacing w:line="360" w:lineRule="auto"/>
        <w:ind w:firstLineChars="200" w:firstLine="480"/>
        <w:rPr>
          <w:rFonts w:ascii="宋体"/>
          <w:sz w:val="24"/>
        </w:rPr>
      </w:pPr>
      <w:r>
        <w:rPr>
          <w:rFonts w:ascii="宋体" w:hAnsi="宋体"/>
          <w:sz w:val="24"/>
        </w:rPr>
        <w:t>批准设立机关及批准设立文号：国务院国发(1986)字第81号文和中国人民银行银发［1987］40号文</w:t>
      </w:r>
    </w:p>
    <w:p w14:paraId="6AA9C734" w14:textId="77777777" w:rsidR="00A931B6" w:rsidRDefault="000A2AB6">
      <w:pPr>
        <w:pStyle w:val="121"/>
        <w:spacing w:line="360" w:lineRule="auto"/>
        <w:ind w:firstLineChars="200" w:firstLine="480"/>
        <w:rPr>
          <w:rFonts w:ascii="宋体"/>
          <w:sz w:val="24"/>
        </w:rPr>
      </w:pPr>
      <w:r>
        <w:rPr>
          <w:rFonts w:ascii="宋体" w:hAnsi="宋体"/>
          <w:sz w:val="24"/>
        </w:rPr>
        <w:t>基金托管资格批文及文号：中国证监会证监基字［1998］25号</w:t>
      </w:r>
    </w:p>
    <w:p w14:paraId="0E4C1725" w14:textId="56D7F2ED" w:rsidR="00A931B6" w:rsidRDefault="000A2AB6">
      <w:pPr>
        <w:pStyle w:val="121"/>
        <w:spacing w:line="360" w:lineRule="auto"/>
        <w:ind w:firstLineChars="200" w:firstLine="480"/>
        <w:rPr>
          <w:rFonts w:ascii="宋体"/>
          <w:sz w:val="24"/>
        </w:rPr>
      </w:pPr>
      <w:r>
        <w:rPr>
          <w:rFonts w:ascii="宋体" w:hAnsi="宋体"/>
          <w:sz w:val="24"/>
        </w:rPr>
        <w:t>注册资本：</w:t>
      </w:r>
      <w:r w:rsidR="00926F37" w:rsidRPr="00926F37">
        <w:rPr>
          <w:rFonts w:ascii="宋体" w:hAnsi="宋体"/>
          <w:sz w:val="24"/>
        </w:rPr>
        <w:t>883.64</w:t>
      </w:r>
      <w:r>
        <w:rPr>
          <w:rFonts w:ascii="宋体" w:hAnsi="宋体"/>
          <w:sz w:val="24"/>
        </w:rPr>
        <w:t>亿元人民币</w:t>
      </w:r>
    </w:p>
    <w:p w14:paraId="1820A695" w14:textId="77777777" w:rsidR="00A931B6" w:rsidRDefault="000A2AB6">
      <w:pPr>
        <w:pStyle w:val="121"/>
        <w:spacing w:line="360" w:lineRule="auto"/>
        <w:ind w:firstLineChars="200" w:firstLine="480"/>
        <w:rPr>
          <w:rFonts w:ascii="宋体"/>
          <w:sz w:val="24"/>
        </w:rPr>
      </w:pPr>
      <w:r>
        <w:rPr>
          <w:rFonts w:ascii="宋体" w:hAnsi="宋体"/>
          <w:sz w:val="24"/>
        </w:rPr>
        <w:t>组织形式：股份有限公司</w:t>
      </w:r>
      <w:bookmarkStart w:id="13" w:name="_GoBack"/>
      <w:bookmarkEnd w:id="13"/>
    </w:p>
    <w:p w14:paraId="37A36830" w14:textId="77777777" w:rsidR="00A931B6" w:rsidRDefault="000A2AB6">
      <w:pPr>
        <w:pStyle w:val="121"/>
        <w:spacing w:line="360" w:lineRule="auto"/>
        <w:ind w:firstLineChars="200" w:firstLine="480"/>
        <w:rPr>
          <w:rFonts w:ascii="宋体"/>
          <w:sz w:val="24"/>
        </w:rPr>
      </w:pPr>
      <w:r>
        <w:rPr>
          <w:rFonts w:ascii="宋体" w:hAnsi="宋体"/>
          <w:sz w:val="24"/>
        </w:rPr>
        <w:t>存续期间：持续经营</w:t>
      </w:r>
    </w:p>
    <w:p w14:paraId="12E0CCE9" w14:textId="77777777" w:rsidR="00A931B6" w:rsidRDefault="000A2AB6">
      <w:pPr>
        <w:pStyle w:val="113"/>
      </w:pPr>
      <w:bookmarkStart w:id="14" w:name="_Toc466788852"/>
      <w:bookmarkStart w:id="15" w:name="_Toc523829993"/>
      <w:bookmarkStart w:id="16" w:name="_Toc125892438"/>
      <w:bookmarkStart w:id="17" w:name="_Toc65162001"/>
      <w:bookmarkStart w:id="18" w:name="_Toc22454435"/>
      <w:r>
        <w:t>二、基金托管协议的依据、目的和原则</w:t>
      </w:r>
      <w:bookmarkEnd w:id="14"/>
      <w:bookmarkEnd w:id="15"/>
      <w:bookmarkEnd w:id="16"/>
      <w:bookmarkEnd w:id="17"/>
      <w:bookmarkEnd w:id="18"/>
    </w:p>
    <w:p w14:paraId="5521C775" w14:textId="77777777" w:rsidR="00A931B6" w:rsidRDefault="000A2AB6">
      <w:pPr>
        <w:pStyle w:val="121"/>
        <w:spacing w:line="360" w:lineRule="auto"/>
        <w:ind w:firstLineChars="200" w:firstLine="480"/>
        <w:rPr>
          <w:rFonts w:ascii="宋体"/>
          <w:sz w:val="24"/>
        </w:rPr>
      </w:pPr>
      <w:r>
        <w:rPr>
          <w:rFonts w:ascii="宋体" w:hAnsi="宋体"/>
          <w:sz w:val="24"/>
        </w:rPr>
        <w:t>本协议依据《中华人民共和国证券投资基金法》（以下简称《基金法》）、</w:t>
      </w:r>
      <w:r>
        <w:rPr>
          <w:rFonts w:ascii="宋体" w:hAnsi="宋体"/>
          <w:sz w:val="24"/>
        </w:rPr>
        <w:lastRenderedPageBreak/>
        <w:t>《公开募集证券投资基金销售机构监督管理办法》（以下简称《销售办法》）、《公开募集证券投资基金运作管理办法》（以下简称《运作办法》）、《公开募集证券投资基金信息披露管理办法》（以下简称《信息披露办法》）、《公开募集开放式证券投资基金流动性风险管理规定》(以下简称《流动性风险管理规定》)、</w:t>
      </w:r>
      <w:r>
        <w:rPr>
          <w:rFonts w:ascii="宋体" w:hAnsi="宋体" w:hint="eastAsia"/>
          <w:sz w:val="24"/>
        </w:rPr>
        <w:t>《公开募集证券投资基金运作指引第3号——指数基金指引》、《公开募集证券投资基金侧袋机制指引（试行）》、</w:t>
      </w:r>
      <w:r>
        <w:rPr>
          <w:rFonts w:ascii="宋体" w:hAnsi="宋体"/>
          <w:sz w:val="24"/>
        </w:rPr>
        <w:t>《基金合同》及其他有关规定订立。</w:t>
      </w:r>
    </w:p>
    <w:p w14:paraId="0BEDB1EB" w14:textId="77777777" w:rsidR="00A931B6" w:rsidRDefault="000A2AB6">
      <w:pPr>
        <w:pStyle w:val="121"/>
        <w:spacing w:line="360" w:lineRule="auto"/>
        <w:ind w:firstLineChars="200" w:firstLine="480"/>
        <w:rPr>
          <w:rFonts w:ascii="宋体"/>
          <w:sz w:val="24"/>
        </w:rPr>
      </w:pPr>
      <w:r>
        <w:rPr>
          <w:rFonts w:ascii="宋体" w:hAnsi="宋体"/>
          <w:sz w:val="24"/>
        </w:rPr>
        <w:t>本协议的目的是明确基金管理人和基金托管人之间在基金财产的保管、投资运作、净值计算、收益分配、信息披露及相互监督等有关事宜中的权利、义务及职责，以确保基金财产的安全，保护基金份额持有人的合法权益。</w:t>
      </w:r>
    </w:p>
    <w:p w14:paraId="38CF32C1" w14:textId="77777777" w:rsidR="00A931B6" w:rsidRDefault="000A2AB6">
      <w:pPr>
        <w:pStyle w:val="121"/>
        <w:spacing w:line="360" w:lineRule="auto"/>
        <w:ind w:firstLineChars="200" w:firstLine="480"/>
        <w:rPr>
          <w:rFonts w:ascii="宋体"/>
          <w:sz w:val="24"/>
        </w:rPr>
      </w:pPr>
      <w:r>
        <w:rPr>
          <w:rFonts w:ascii="宋体" w:hAnsi="宋体"/>
          <w:sz w:val="24"/>
        </w:rPr>
        <w:t>基金管理人和基金托管人遵循平等自愿、诚实信用、充分保护投资者合法利益的原则，经协商一致，签订本协议。</w:t>
      </w:r>
    </w:p>
    <w:p w14:paraId="7FDADA4B" w14:textId="77777777" w:rsidR="00A931B6" w:rsidRDefault="000A2AB6">
      <w:pPr>
        <w:pStyle w:val="113"/>
        <w:rPr>
          <w:rFonts w:hAnsi="宋体"/>
          <w:b w:val="0"/>
          <w:bCs/>
        </w:rPr>
      </w:pPr>
      <w:bookmarkStart w:id="19" w:name="_Toc466788853"/>
      <w:bookmarkStart w:id="20" w:name="_Toc125892439"/>
      <w:bookmarkStart w:id="21" w:name="_Toc523829994"/>
      <w:bookmarkStart w:id="22" w:name="_Toc22454436"/>
      <w:bookmarkStart w:id="23" w:name="_Toc65162002"/>
      <w:r>
        <w:t>三、基金托管人对基金管理人</w:t>
      </w:r>
      <w:bookmarkEnd w:id="19"/>
      <w:r>
        <w:t>的业务监督和核查</w:t>
      </w:r>
      <w:bookmarkEnd w:id="20"/>
      <w:bookmarkEnd w:id="21"/>
      <w:bookmarkEnd w:id="22"/>
      <w:bookmarkEnd w:id="23"/>
    </w:p>
    <w:p w14:paraId="09F57AB1"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t>（一）基金托管人对基金管理人的投资行为行使监督权</w:t>
      </w:r>
    </w:p>
    <w:p w14:paraId="29708D20" w14:textId="77777777" w:rsidR="00A931B6" w:rsidRDefault="000A2AB6">
      <w:pPr>
        <w:pStyle w:val="121"/>
        <w:spacing w:line="360" w:lineRule="auto"/>
        <w:ind w:firstLineChars="200" w:firstLine="482"/>
        <w:rPr>
          <w:rFonts w:ascii="宋体"/>
          <w:b/>
          <w:bCs/>
          <w:sz w:val="24"/>
        </w:rPr>
      </w:pPr>
      <w:r>
        <w:rPr>
          <w:rFonts w:ascii="宋体" w:hAnsi="宋体"/>
          <w:b/>
          <w:bCs/>
          <w:sz w:val="24"/>
        </w:rPr>
        <w:t>1.基金托管人根据有关法律法规的规定及《基金合同》和本协议的约定，对基金的投资范围、投资对象进行监督。</w:t>
      </w:r>
    </w:p>
    <w:p w14:paraId="5DE2E0A3" w14:textId="77777777" w:rsidR="00A931B6" w:rsidRDefault="000A2AB6">
      <w:pPr>
        <w:pStyle w:val="121"/>
        <w:spacing w:line="360" w:lineRule="auto"/>
        <w:ind w:firstLineChars="200" w:firstLine="480"/>
        <w:rPr>
          <w:rFonts w:ascii="宋体" w:hAnsi="宋体"/>
          <w:sz w:val="24"/>
          <w:szCs w:val="20"/>
        </w:rPr>
      </w:pPr>
      <w:r>
        <w:rPr>
          <w:rFonts w:ascii="宋体" w:hAnsi="宋体" w:hint="eastAsia"/>
          <w:sz w:val="24"/>
          <w:szCs w:val="20"/>
        </w:rPr>
        <w:t>本基金的投资范围主要为标的指数成份股及备选成份股（含存托凭证，下同），此外，为更好地实现投资目标，本基金可少量投资于部分非成份股（包含主板、创业板、科创板、存托凭证及其他依法发行上市的股票）、债券资产（国债、地方政府债、金融债、企业债、公司债、次级债、可转换债券（含分离交易可转债）、可交换债券、央行票据、中期票据、短期融资券、超短期融资券等）、资产支持证券、衍生工具（股指期货、股票期权、国债期货等）、债券回购、银行存款、同业存单、现金资产以及中国证监会允许基金投资的其他金融工具（但须符合中国证监会的相关规定）。</w:t>
      </w:r>
    </w:p>
    <w:p w14:paraId="63D0A926" w14:textId="77777777" w:rsidR="00A931B6" w:rsidRDefault="000A2AB6">
      <w:pPr>
        <w:pStyle w:val="121"/>
        <w:spacing w:line="360" w:lineRule="auto"/>
        <w:ind w:firstLineChars="200" w:firstLine="480"/>
        <w:rPr>
          <w:rFonts w:ascii="宋体" w:hAnsi="宋体"/>
          <w:sz w:val="24"/>
          <w:szCs w:val="20"/>
        </w:rPr>
      </w:pPr>
      <w:r>
        <w:rPr>
          <w:rFonts w:ascii="宋体" w:hAnsi="宋体" w:hint="eastAsia"/>
          <w:sz w:val="24"/>
          <w:szCs w:val="20"/>
        </w:rPr>
        <w:t>本基金可根据相关法律法规和基金合同的约定，参与融资业务和转融通证券出借业务。</w:t>
      </w:r>
    </w:p>
    <w:p w14:paraId="56F61223" w14:textId="77777777" w:rsidR="00A931B6" w:rsidRDefault="000A2AB6">
      <w:pPr>
        <w:pStyle w:val="121"/>
        <w:spacing w:line="360" w:lineRule="auto"/>
        <w:ind w:firstLineChars="200" w:firstLine="480"/>
        <w:rPr>
          <w:rFonts w:ascii="宋体" w:hAnsi="宋体"/>
          <w:sz w:val="24"/>
          <w:szCs w:val="20"/>
        </w:rPr>
      </w:pPr>
      <w:r>
        <w:rPr>
          <w:rFonts w:ascii="宋体" w:hAnsi="宋体" w:hint="eastAsia"/>
          <w:sz w:val="24"/>
          <w:szCs w:val="20"/>
        </w:rPr>
        <w:t>如法律法规或监管机构以后允许基金投资其他品种，基金管理人在履行适当程序后，可以将其纳入投资范围。</w:t>
      </w:r>
    </w:p>
    <w:p w14:paraId="3922A1CE" w14:textId="77777777" w:rsidR="00A931B6" w:rsidRDefault="000A2AB6">
      <w:pPr>
        <w:pStyle w:val="121"/>
        <w:spacing w:line="360" w:lineRule="auto"/>
        <w:ind w:firstLineChars="200" w:firstLine="480"/>
        <w:rPr>
          <w:bCs/>
          <w:sz w:val="24"/>
        </w:rPr>
      </w:pPr>
      <w:r>
        <w:rPr>
          <w:rFonts w:ascii="宋体" w:hAnsi="宋体" w:hint="eastAsia"/>
          <w:sz w:val="24"/>
          <w:szCs w:val="20"/>
        </w:rPr>
        <w:t>本基金股票资产占基金资产的比例不低于80%；投资于中证800指数成份股及备选成份股的资产不低于非现金基金资产的80%；本基金应当保持不低于基金</w:t>
      </w:r>
      <w:r>
        <w:rPr>
          <w:rFonts w:ascii="宋体" w:hAnsi="宋体" w:hint="eastAsia"/>
          <w:sz w:val="24"/>
          <w:szCs w:val="20"/>
        </w:rPr>
        <w:lastRenderedPageBreak/>
        <w:t>资产净值5%的现金或者到期日在一年以内的政府债券，其中现金不包括结算备付金、存出保证金和应收申购款等；国债期货、股指期货、股票期权及其他金融工具的投资比例符合法律法规和监管机构的规定</w:t>
      </w:r>
      <w:r>
        <w:rPr>
          <w:rFonts w:hint="eastAsia"/>
          <w:bCs/>
          <w:sz w:val="24"/>
        </w:rPr>
        <w:t>。</w:t>
      </w:r>
    </w:p>
    <w:p w14:paraId="00A6348E" w14:textId="77777777" w:rsidR="00A931B6" w:rsidRDefault="000A2AB6">
      <w:pPr>
        <w:pStyle w:val="121"/>
        <w:spacing w:line="360" w:lineRule="auto"/>
        <w:ind w:firstLineChars="200" w:firstLine="480"/>
        <w:rPr>
          <w:bCs/>
          <w:sz w:val="24"/>
        </w:rPr>
      </w:pPr>
      <w:r>
        <w:rPr>
          <w:rFonts w:hint="eastAsia"/>
          <w:bCs/>
          <w:sz w:val="24"/>
        </w:rPr>
        <w:t>如法律法规或监管机构变更投资品种的投资比例限制，基金管理人在履行适当程序后，可以调整上述投资品种的投资比例。</w:t>
      </w:r>
    </w:p>
    <w:p w14:paraId="033AE177" w14:textId="77777777" w:rsidR="00A931B6" w:rsidRDefault="000A2AB6">
      <w:pPr>
        <w:pStyle w:val="121"/>
        <w:spacing w:line="360" w:lineRule="auto"/>
        <w:ind w:firstLineChars="200" w:firstLine="482"/>
        <w:rPr>
          <w:rFonts w:ascii="宋体"/>
          <w:b/>
          <w:bCs/>
          <w:sz w:val="24"/>
        </w:rPr>
      </w:pPr>
      <w:r>
        <w:rPr>
          <w:rFonts w:ascii="宋体" w:hAnsi="宋体"/>
          <w:b/>
          <w:bCs/>
          <w:sz w:val="24"/>
        </w:rPr>
        <w:t>2.基金托管人根据有关法律法规的规定及《基金合同》和本协议的约定，对基金投资、融资比例进行监督。</w:t>
      </w:r>
    </w:p>
    <w:p w14:paraId="04E8365A" w14:textId="77777777" w:rsidR="00A931B6" w:rsidRDefault="000A2AB6">
      <w:pPr>
        <w:pStyle w:val="121"/>
        <w:tabs>
          <w:tab w:val="left" w:pos="1260"/>
        </w:tabs>
        <w:spacing w:line="336" w:lineRule="auto"/>
        <w:ind w:firstLineChars="200" w:firstLine="480"/>
        <w:rPr>
          <w:rFonts w:ascii="宋体"/>
          <w:sz w:val="24"/>
        </w:rPr>
      </w:pPr>
      <w:r>
        <w:rPr>
          <w:rFonts w:ascii="宋体" w:hAnsi="宋体"/>
          <w:sz w:val="24"/>
          <w:szCs w:val="20"/>
        </w:rPr>
        <w:t>根据《基金合同》的约定，本基金投资组合比例应符合以下规定：</w:t>
      </w:r>
    </w:p>
    <w:p w14:paraId="5B79C86F" w14:textId="77777777" w:rsidR="00A931B6" w:rsidRDefault="000A2AB6">
      <w:pPr>
        <w:pStyle w:val="121"/>
        <w:tabs>
          <w:tab w:val="left" w:pos="1260"/>
        </w:tabs>
        <w:spacing w:line="336" w:lineRule="auto"/>
        <w:ind w:firstLineChars="200" w:firstLine="480"/>
        <w:rPr>
          <w:bCs/>
          <w:sz w:val="24"/>
        </w:rPr>
      </w:pPr>
      <w:r>
        <w:rPr>
          <w:rFonts w:hint="eastAsia"/>
          <w:bCs/>
          <w:sz w:val="24"/>
        </w:rPr>
        <w:t>（</w:t>
      </w:r>
      <w:r>
        <w:rPr>
          <w:rFonts w:hint="eastAsia"/>
          <w:bCs/>
          <w:sz w:val="24"/>
        </w:rPr>
        <w:t>1</w:t>
      </w:r>
      <w:r>
        <w:rPr>
          <w:rFonts w:hint="eastAsia"/>
          <w:bCs/>
          <w:sz w:val="24"/>
        </w:rPr>
        <w:t>）本基金股票资产占基金资产的比例不低于</w:t>
      </w:r>
      <w:r>
        <w:rPr>
          <w:rFonts w:hint="eastAsia"/>
          <w:bCs/>
          <w:sz w:val="24"/>
        </w:rPr>
        <w:t>80%</w:t>
      </w:r>
      <w:r>
        <w:rPr>
          <w:rFonts w:hint="eastAsia"/>
          <w:bCs/>
          <w:sz w:val="24"/>
        </w:rPr>
        <w:t>；投资于中证</w:t>
      </w:r>
      <w:r>
        <w:rPr>
          <w:rFonts w:hint="eastAsia"/>
          <w:bCs/>
          <w:sz w:val="24"/>
        </w:rPr>
        <w:t>800</w:t>
      </w:r>
      <w:r>
        <w:rPr>
          <w:rFonts w:hint="eastAsia"/>
          <w:bCs/>
          <w:sz w:val="24"/>
        </w:rPr>
        <w:t>指数成份股及备选成份股的资产不低于非现金基金资产的</w:t>
      </w:r>
      <w:r>
        <w:rPr>
          <w:rFonts w:hint="eastAsia"/>
          <w:bCs/>
          <w:sz w:val="24"/>
        </w:rPr>
        <w:t>80%</w:t>
      </w:r>
      <w:r>
        <w:rPr>
          <w:rFonts w:hint="eastAsia"/>
          <w:bCs/>
          <w:sz w:val="24"/>
        </w:rPr>
        <w:t>；</w:t>
      </w:r>
    </w:p>
    <w:p w14:paraId="6A0B428E" w14:textId="77777777" w:rsidR="00A931B6" w:rsidRDefault="000A2AB6">
      <w:pPr>
        <w:pStyle w:val="121"/>
        <w:tabs>
          <w:tab w:val="left" w:pos="1260"/>
        </w:tabs>
        <w:spacing w:line="336" w:lineRule="auto"/>
        <w:ind w:firstLineChars="200" w:firstLine="480"/>
        <w:rPr>
          <w:bCs/>
          <w:sz w:val="24"/>
        </w:rPr>
      </w:pPr>
      <w:r>
        <w:rPr>
          <w:rFonts w:hint="eastAsia"/>
          <w:bCs/>
          <w:sz w:val="24"/>
        </w:rPr>
        <w:t>（</w:t>
      </w:r>
      <w:r>
        <w:rPr>
          <w:rFonts w:hint="eastAsia"/>
          <w:bCs/>
          <w:sz w:val="24"/>
        </w:rPr>
        <w:t>2</w:t>
      </w:r>
      <w:r>
        <w:rPr>
          <w:rFonts w:hint="eastAsia"/>
          <w:bCs/>
          <w:sz w:val="24"/>
        </w:rPr>
        <w:t>）本基金应当保持不低于基金资产净值</w:t>
      </w:r>
      <w:r>
        <w:rPr>
          <w:rFonts w:hint="eastAsia"/>
          <w:bCs/>
          <w:sz w:val="24"/>
        </w:rPr>
        <w:t>5%</w:t>
      </w:r>
      <w:r>
        <w:rPr>
          <w:rFonts w:hint="eastAsia"/>
          <w:bCs/>
          <w:sz w:val="24"/>
        </w:rPr>
        <w:t>的现金或者到期日在一年以内的政府债券，其中现金不包括结算备付金、存出保证金和应收申购款等；</w:t>
      </w:r>
    </w:p>
    <w:p w14:paraId="4D052876" w14:textId="77777777" w:rsidR="00A931B6" w:rsidRDefault="000A2AB6">
      <w:pPr>
        <w:pStyle w:val="121"/>
        <w:tabs>
          <w:tab w:val="left" w:pos="1260"/>
        </w:tabs>
        <w:spacing w:line="336" w:lineRule="auto"/>
        <w:ind w:firstLineChars="200" w:firstLine="480"/>
        <w:rPr>
          <w:bCs/>
          <w:sz w:val="24"/>
        </w:rPr>
      </w:pPr>
      <w:r>
        <w:rPr>
          <w:rFonts w:hint="eastAsia"/>
          <w:bCs/>
          <w:sz w:val="24"/>
        </w:rPr>
        <w:t>（</w:t>
      </w:r>
      <w:r>
        <w:rPr>
          <w:rFonts w:hint="eastAsia"/>
          <w:bCs/>
          <w:sz w:val="24"/>
        </w:rPr>
        <w:t>3</w:t>
      </w:r>
      <w:r>
        <w:rPr>
          <w:rFonts w:hint="eastAsia"/>
          <w:bCs/>
          <w:sz w:val="24"/>
        </w:rPr>
        <w:t>）本基金持有一家公司发行的证券，其市值不超过基金资产净值的</w:t>
      </w:r>
      <w:r>
        <w:rPr>
          <w:rFonts w:hint="eastAsia"/>
          <w:bCs/>
          <w:sz w:val="24"/>
        </w:rPr>
        <w:t>10</w:t>
      </w:r>
      <w:r>
        <w:rPr>
          <w:rFonts w:hint="eastAsia"/>
          <w:bCs/>
          <w:sz w:val="24"/>
        </w:rPr>
        <w:t>％，完全按照有关指数的构成比例进行证券投资的基金品种可以不受此条款规定的比例限制；</w:t>
      </w:r>
    </w:p>
    <w:p w14:paraId="59EE1FC4" w14:textId="77777777" w:rsidR="00A931B6" w:rsidRDefault="000A2AB6">
      <w:pPr>
        <w:pStyle w:val="121"/>
        <w:tabs>
          <w:tab w:val="left" w:pos="1260"/>
        </w:tabs>
        <w:spacing w:line="336" w:lineRule="auto"/>
        <w:ind w:firstLineChars="200" w:firstLine="480"/>
        <w:rPr>
          <w:bCs/>
          <w:sz w:val="24"/>
        </w:rPr>
      </w:pPr>
      <w:r>
        <w:rPr>
          <w:rFonts w:hint="eastAsia"/>
          <w:bCs/>
          <w:sz w:val="24"/>
        </w:rPr>
        <w:t>（</w:t>
      </w:r>
      <w:r>
        <w:rPr>
          <w:rFonts w:hint="eastAsia"/>
          <w:bCs/>
          <w:sz w:val="24"/>
        </w:rPr>
        <w:t>4</w:t>
      </w:r>
      <w:r>
        <w:rPr>
          <w:rFonts w:hint="eastAsia"/>
          <w:bCs/>
          <w:sz w:val="24"/>
        </w:rPr>
        <w:t>）本基金管理人管理的全部基金持有一家公司发行的证券，不超过该证券的</w:t>
      </w:r>
      <w:r>
        <w:rPr>
          <w:rFonts w:hint="eastAsia"/>
          <w:bCs/>
          <w:sz w:val="24"/>
        </w:rPr>
        <w:t>10</w:t>
      </w:r>
      <w:r>
        <w:rPr>
          <w:rFonts w:hint="eastAsia"/>
          <w:bCs/>
          <w:sz w:val="24"/>
        </w:rPr>
        <w:t>％，完全按照有关指数的构成比例进行证券投资的基金品种可以不受此条款规定的比例限制；</w:t>
      </w:r>
    </w:p>
    <w:p w14:paraId="1F45876F" w14:textId="77777777" w:rsidR="00A931B6" w:rsidRDefault="000A2AB6">
      <w:pPr>
        <w:pStyle w:val="121"/>
        <w:tabs>
          <w:tab w:val="left" w:pos="1260"/>
        </w:tabs>
        <w:spacing w:line="336" w:lineRule="auto"/>
        <w:ind w:firstLineChars="200" w:firstLine="480"/>
        <w:rPr>
          <w:bCs/>
          <w:sz w:val="24"/>
        </w:rPr>
      </w:pPr>
      <w:r>
        <w:rPr>
          <w:rFonts w:hint="eastAsia"/>
          <w:bCs/>
          <w:sz w:val="24"/>
        </w:rPr>
        <w:t>（</w:t>
      </w:r>
      <w:r>
        <w:rPr>
          <w:rFonts w:hint="eastAsia"/>
          <w:bCs/>
          <w:sz w:val="24"/>
        </w:rPr>
        <w:t>5</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49697003" w14:textId="77777777" w:rsidR="00A931B6" w:rsidRDefault="000A2AB6">
      <w:pPr>
        <w:pStyle w:val="121"/>
        <w:tabs>
          <w:tab w:val="left" w:pos="1260"/>
        </w:tabs>
        <w:spacing w:line="336" w:lineRule="auto"/>
        <w:ind w:firstLineChars="200" w:firstLine="480"/>
        <w:rPr>
          <w:bCs/>
          <w:sz w:val="24"/>
        </w:rPr>
      </w:pPr>
      <w:r>
        <w:rPr>
          <w:rFonts w:hint="eastAsia"/>
          <w:bCs/>
          <w:sz w:val="24"/>
        </w:rPr>
        <w:t>（</w:t>
      </w:r>
      <w:r>
        <w:rPr>
          <w:rFonts w:hint="eastAsia"/>
          <w:bCs/>
          <w:sz w:val="24"/>
        </w:rPr>
        <w:t>6</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6CFAEFE4" w14:textId="77777777" w:rsidR="00A931B6" w:rsidRDefault="000A2AB6">
      <w:pPr>
        <w:pStyle w:val="121"/>
        <w:tabs>
          <w:tab w:val="left" w:pos="1260"/>
        </w:tabs>
        <w:spacing w:line="336" w:lineRule="auto"/>
        <w:ind w:firstLineChars="200" w:firstLine="480"/>
        <w:rPr>
          <w:bCs/>
          <w:sz w:val="24"/>
        </w:rPr>
      </w:pPr>
      <w:r>
        <w:rPr>
          <w:rFonts w:hint="eastAsia"/>
          <w:bCs/>
          <w:sz w:val="24"/>
        </w:rPr>
        <w:t>（</w:t>
      </w:r>
      <w:r>
        <w:rPr>
          <w:rFonts w:hint="eastAsia"/>
          <w:bCs/>
          <w:sz w:val="24"/>
        </w:rPr>
        <w:t>7</w:t>
      </w:r>
      <w:r>
        <w:rPr>
          <w:rFonts w:hint="eastAsia"/>
          <w:bCs/>
          <w:sz w:val="24"/>
        </w:rPr>
        <w:t>）本基金持有的同一</w:t>
      </w:r>
      <w:r>
        <w:rPr>
          <w:rFonts w:hint="eastAsia"/>
          <w:bCs/>
          <w:sz w:val="24"/>
        </w:rPr>
        <w:t>(</w:t>
      </w:r>
      <w:r>
        <w:rPr>
          <w:rFonts w:hint="eastAsia"/>
          <w:bCs/>
          <w:sz w:val="24"/>
        </w:rPr>
        <w:t>指同一信用级别</w:t>
      </w:r>
      <w:r>
        <w:rPr>
          <w:rFonts w:hint="eastAsia"/>
          <w:bCs/>
          <w:sz w:val="24"/>
        </w:rPr>
        <w:t>)</w:t>
      </w:r>
      <w:r>
        <w:rPr>
          <w:rFonts w:hint="eastAsia"/>
          <w:bCs/>
          <w:sz w:val="24"/>
        </w:rPr>
        <w:t>资产支持证券的比例，不得超过该资产支持证券规模的</w:t>
      </w:r>
      <w:r>
        <w:rPr>
          <w:rFonts w:hint="eastAsia"/>
          <w:bCs/>
          <w:sz w:val="24"/>
        </w:rPr>
        <w:t>10</w:t>
      </w:r>
      <w:r>
        <w:rPr>
          <w:rFonts w:hint="eastAsia"/>
          <w:bCs/>
          <w:sz w:val="24"/>
        </w:rPr>
        <w:t>％；</w:t>
      </w:r>
    </w:p>
    <w:p w14:paraId="71D1DEA2" w14:textId="77777777" w:rsidR="00A931B6" w:rsidRDefault="000A2AB6">
      <w:pPr>
        <w:pStyle w:val="121"/>
        <w:tabs>
          <w:tab w:val="left" w:pos="1260"/>
        </w:tabs>
        <w:spacing w:line="336" w:lineRule="auto"/>
        <w:ind w:firstLineChars="200" w:firstLine="480"/>
        <w:rPr>
          <w:bCs/>
          <w:sz w:val="24"/>
        </w:rPr>
      </w:pPr>
      <w:r>
        <w:rPr>
          <w:rFonts w:hint="eastAsia"/>
          <w:bCs/>
          <w:sz w:val="24"/>
        </w:rPr>
        <w:t>（</w:t>
      </w:r>
      <w:r>
        <w:rPr>
          <w:rFonts w:hint="eastAsia"/>
          <w:bCs/>
          <w:sz w:val="24"/>
        </w:rPr>
        <w:t>8</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1B56E0C5" w14:textId="77777777" w:rsidR="00A931B6" w:rsidRDefault="000A2AB6">
      <w:pPr>
        <w:pStyle w:val="121"/>
        <w:tabs>
          <w:tab w:val="left" w:pos="1260"/>
        </w:tabs>
        <w:spacing w:line="336" w:lineRule="auto"/>
        <w:ind w:firstLineChars="200" w:firstLine="480"/>
        <w:rPr>
          <w:bCs/>
          <w:sz w:val="24"/>
        </w:rPr>
      </w:pPr>
      <w:r>
        <w:rPr>
          <w:rFonts w:hint="eastAsia"/>
          <w:bCs/>
          <w:sz w:val="24"/>
        </w:rPr>
        <w:t>（</w:t>
      </w:r>
      <w:r>
        <w:rPr>
          <w:rFonts w:hint="eastAsia"/>
          <w:bCs/>
          <w:sz w:val="24"/>
        </w:rPr>
        <w:t>9</w:t>
      </w:r>
      <w:r>
        <w:rPr>
          <w:rFonts w:hint="eastAsia"/>
          <w:bCs/>
          <w:sz w:val="24"/>
        </w:rPr>
        <w:t>）本基金应投资于信用级别评级为</w:t>
      </w:r>
      <w:r>
        <w:rPr>
          <w:rFonts w:hint="eastAsia"/>
          <w:bCs/>
          <w:sz w:val="24"/>
        </w:rPr>
        <w:t>BBB</w:t>
      </w:r>
      <w:r>
        <w:rPr>
          <w:rFonts w:hint="eastAsia"/>
          <w:bCs/>
          <w:sz w:val="24"/>
        </w:rPr>
        <w:t>以上</w:t>
      </w:r>
      <w:r>
        <w:rPr>
          <w:rFonts w:hint="eastAsia"/>
          <w:bCs/>
          <w:sz w:val="24"/>
        </w:rPr>
        <w:t>(</w:t>
      </w:r>
      <w:r>
        <w:rPr>
          <w:rFonts w:hint="eastAsia"/>
          <w:bCs/>
          <w:sz w:val="24"/>
        </w:rPr>
        <w:t>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6EF9990A" w14:textId="77777777" w:rsidR="00A931B6" w:rsidRDefault="000A2AB6">
      <w:pPr>
        <w:pStyle w:val="121"/>
        <w:tabs>
          <w:tab w:val="left" w:pos="1260"/>
        </w:tabs>
        <w:spacing w:line="336" w:lineRule="auto"/>
        <w:ind w:firstLineChars="200" w:firstLine="480"/>
        <w:rPr>
          <w:bCs/>
          <w:sz w:val="24"/>
        </w:rPr>
      </w:pPr>
      <w:r>
        <w:rPr>
          <w:rFonts w:hint="eastAsia"/>
          <w:bCs/>
          <w:sz w:val="24"/>
        </w:rPr>
        <w:t>（</w:t>
      </w:r>
      <w:r>
        <w:rPr>
          <w:rFonts w:hint="eastAsia"/>
          <w:bCs/>
          <w:sz w:val="24"/>
        </w:rPr>
        <w:t>10</w:t>
      </w:r>
      <w:r>
        <w:rPr>
          <w:rFonts w:hint="eastAsia"/>
          <w:bCs/>
          <w:sz w:val="24"/>
        </w:rPr>
        <w:t>）基金财产参与股票发行申购，本基金所申报的金额不超过本基金的总资产，本基金所申报的股票数量不超过拟发行股票公司本次发行股票的总量；</w:t>
      </w:r>
    </w:p>
    <w:p w14:paraId="78710CAA" w14:textId="77777777" w:rsidR="00A931B6" w:rsidRDefault="000A2AB6">
      <w:pPr>
        <w:pStyle w:val="121"/>
        <w:tabs>
          <w:tab w:val="left" w:pos="1260"/>
        </w:tabs>
        <w:spacing w:line="336" w:lineRule="auto"/>
        <w:ind w:firstLineChars="200" w:firstLine="480"/>
        <w:rPr>
          <w:bCs/>
          <w:sz w:val="24"/>
        </w:rPr>
      </w:pPr>
      <w:r>
        <w:rPr>
          <w:rFonts w:hint="eastAsia"/>
          <w:bCs/>
          <w:sz w:val="24"/>
        </w:rPr>
        <w:t>（</w:t>
      </w:r>
      <w:r>
        <w:rPr>
          <w:rFonts w:hint="eastAsia"/>
          <w:bCs/>
          <w:sz w:val="24"/>
        </w:rPr>
        <w:t>11</w:t>
      </w:r>
      <w:r>
        <w:rPr>
          <w:rFonts w:hint="eastAsia"/>
          <w:bCs/>
          <w:sz w:val="24"/>
        </w:rPr>
        <w:t>）本基金若参与股指期货交易，应当符合下列投资限制：</w:t>
      </w:r>
    </w:p>
    <w:p w14:paraId="23FFD5AA" w14:textId="77777777" w:rsidR="00A931B6" w:rsidRDefault="000A2AB6">
      <w:pPr>
        <w:pStyle w:val="121"/>
        <w:tabs>
          <w:tab w:val="left" w:pos="1260"/>
        </w:tabs>
        <w:spacing w:line="336" w:lineRule="auto"/>
        <w:ind w:firstLineChars="200" w:firstLine="480"/>
        <w:rPr>
          <w:bCs/>
          <w:sz w:val="24"/>
        </w:rPr>
      </w:pPr>
      <w:r>
        <w:rPr>
          <w:rFonts w:hint="eastAsia"/>
          <w:bCs/>
          <w:sz w:val="24"/>
        </w:rPr>
        <w:lastRenderedPageBreak/>
        <w:t>①本基金在任何交易日日终，持有的买入股指期货合约价值，不得超过基金资产净值的</w:t>
      </w:r>
      <w:r>
        <w:rPr>
          <w:rFonts w:hint="eastAsia"/>
          <w:bCs/>
          <w:sz w:val="24"/>
        </w:rPr>
        <w:t>10%</w:t>
      </w:r>
      <w:r>
        <w:rPr>
          <w:rFonts w:hint="eastAsia"/>
          <w:bCs/>
          <w:sz w:val="24"/>
        </w:rPr>
        <w:t>；</w:t>
      </w:r>
    </w:p>
    <w:p w14:paraId="28B490A2" w14:textId="77777777" w:rsidR="00A931B6" w:rsidRDefault="000A2AB6">
      <w:pPr>
        <w:pStyle w:val="121"/>
        <w:tabs>
          <w:tab w:val="left" w:pos="1260"/>
        </w:tabs>
        <w:spacing w:line="336" w:lineRule="auto"/>
        <w:ind w:firstLineChars="200" w:firstLine="480"/>
        <w:rPr>
          <w:bCs/>
          <w:sz w:val="24"/>
        </w:rPr>
      </w:pPr>
      <w:r>
        <w:rPr>
          <w:rFonts w:hint="eastAsia"/>
          <w:bCs/>
          <w:sz w:val="24"/>
        </w:rPr>
        <w:t>②本基金每个交易日日终在扣除股指期货和国债期货合约需缴纳的交易保证金后，应当保持不低于基金资产净值的</w:t>
      </w:r>
      <w:r>
        <w:rPr>
          <w:rFonts w:hint="eastAsia"/>
          <w:bCs/>
          <w:sz w:val="24"/>
        </w:rPr>
        <w:t>5%</w:t>
      </w:r>
      <w:r>
        <w:rPr>
          <w:rFonts w:hint="eastAsia"/>
          <w:bCs/>
          <w:sz w:val="24"/>
        </w:rPr>
        <w:t>的现金或到期日在一年以内的政府债券，其中现金不包括结算备付金、存出保证金、应收申购款等；</w:t>
      </w:r>
    </w:p>
    <w:p w14:paraId="321D6155" w14:textId="77777777" w:rsidR="00A931B6" w:rsidRDefault="000A2AB6">
      <w:pPr>
        <w:pStyle w:val="121"/>
        <w:tabs>
          <w:tab w:val="left" w:pos="1260"/>
        </w:tabs>
        <w:spacing w:line="336" w:lineRule="auto"/>
        <w:ind w:firstLineChars="200" w:firstLine="480"/>
        <w:rPr>
          <w:bCs/>
          <w:sz w:val="24"/>
        </w:rPr>
      </w:pPr>
      <w:r>
        <w:rPr>
          <w:rFonts w:hint="eastAsia"/>
          <w:bCs/>
          <w:sz w:val="24"/>
        </w:rPr>
        <w:t>③本基金在任何交易日日终，持有的买入股指期货、国债期货合约价值与有价证券市值之和，不得超过基金资产净值的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2C2BC27C" w14:textId="77777777" w:rsidR="00A931B6" w:rsidRDefault="000A2AB6">
      <w:pPr>
        <w:pStyle w:val="121"/>
        <w:tabs>
          <w:tab w:val="left" w:pos="1260"/>
        </w:tabs>
        <w:spacing w:line="336" w:lineRule="auto"/>
        <w:ind w:firstLineChars="200" w:firstLine="480"/>
        <w:rPr>
          <w:bCs/>
          <w:sz w:val="24"/>
        </w:rPr>
      </w:pPr>
      <w:r>
        <w:rPr>
          <w:rFonts w:hint="eastAsia"/>
          <w:bCs/>
          <w:sz w:val="24"/>
        </w:rPr>
        <w:t>④本基金在任何交易日日终，持有的卖出股指期货合约价值不得超过基金持有的股票总市值的</w:t>
      </w:r>
      <w:r>
        <w:rPr>
          <w:rFonts w:hint="eastAsia"/>
          <w:bCs/>
          <w:sz w:val="24"/>
        </w:rPr>
        <w:t>20%</w:t>
      </w:r>
      <w:r>
        <w:rPr>
          <w:rFonts w:hint="eastAsia"/>
          <w:bCs/>
          <w:sz w:val="24"/>
        </w:rPr>
        <w:t>；</w:t>
      </w:r>
    </w:p>
    <w:p w14:paraId="25D0E943" w14:textId="77777777" w:rsidR="00A931B6" w:rsidRDefault="000A2AB6">
      <w:pPr>
        <w:pStyle w:val="121"/>
        <w:tabs>
          <w:tab w:val="left" w:pos="1260"/>
        </w:tabs>
        <w:spacing w:line="336" w:lineRule="auto"/>
        <w:ind w:firstLineChars="200" w:firstLine="480"/>
        <w:rPr>
          <w:bCs/>
          <w:sz w:val="24"/>
        </w:rPr>
      </w:pPr>
      <w:r>
        <w:rPr>
          <w:rFonts w:hint="eastAsia"/>
          <w:bCs/>
          <w:sz w:val="24"/>
        </w:rPr>
        <w:t>⑤本基金所持有的股票市值和买入、卖出股指期货合约价值，合计（轧差计算）应当符合基金合同关于股票投资比例的有关规定；</w:t>
      </w:r>
    </w:p>
    <w:p w14:paraId="5A917D7D" w14:textId="77777777" w:rsidR="00A931B6" w:rsidRDefault="000A2AB6">
      <w:pPr>
        <w:pStyle w:val="121"/>
        <w:tabs>
          <w:tab w:val="left" w:pos="1260"/>
        </w:tabs>
        <w:spacing w:line="336" w:lineRule="auto"/>
        <w:ind w:firstLineChars="200" w:firstLine="480"/>
        <w:rPr>
          <w:bCs/>
          <w:sz w:val="24"/>
        </w:rPr>
      </w:pPr>
      <w:r>
        <w:rPr>
          <w:rFonts w:hint="eastAsia"/>
          <w:bCs/>
          <w:sz w:val="24"/>
        </w:rPr>
        <w:t>⑥本基金在任何交易日内交易（不包括平仓）的股指期货合约的成交金额不得超过上一交易日基金资产净值的</w:t>
      </w:r>
      <w:r>
        <w:rPr>
          <w:rFonts w:hint="eastAsia"/>
          <w:bCs/>
          <w:sz w:val="24"/>
        </w:rPr>
        <w:t>20%</w:t>
      </w:r>
      <w:r>
        <w:rPr>
          <w:rFonts w:hint="eastAsia"/>
          <w:bCs/>
          <w:sz w:val="24"/>
        </w:rPr>
        <w:t>；</w:t>
      </w:r>
    </w:p>
    <w:p w14:paraId="1A880F8F" w14:textId="77777777" w:rsidR="00A931B6" w:rsidRDefault="000A2AB6">
      <w:pPr>
        <w:pStyle w:val="121"/>
        <w:tabs>
          <w:tab w:val="left" w:pos="1260"/>
        </w:tabs>
        <w:spacing w:line="336" w:lineRule="auto"/>
        <w:ind w:firstLineChars="200" w:firstLine="480"/>
        <w:rPr>
          <w:bCs/>
          <w:sz w:val="24"/>
        </w:rPr>
      </w:pPr>
      <w:r>
        <w:rPr>
          <w:rFonts w:hint="eastAsia"/>
          <w:bCs/>
          <w:sz w:val="24"/>
        </w:rPr>
        <w:t>（</w:t>
      </w:r>
      <w:r>
        <w:rPr>
          <w:rFonts w:hint="eastAsia"/>
          <w:bCs/>
          <w:sz w:val="24"/>
        </w:rPr>
        <w:t>12</w:t>
      </w:r>
      <w:r>
        <w:rPr>
          <w:rFonts w:hint="eastAsia"/>
          <w:bCs/>
          <w:sz w:val="24"/>
        </w:rPr>
        <w:t>）本基金若参与国债期货交易，应当符合下列投资限制：</w:t>
      </w:r>
    </w:p>
    <w:p w14:paraId="70C9B10B" w14:textId="77777777" w:rsidR="00A931B6" w:rsidRDefault="000A2AB6">
      <w:pPr>
        <w:pStyle w:val="121"/>
        <w:tabs>
          <w:tab w:val="left" w:pos="1260"/>
        </w:tabs>
        <w:spacing w:line="336" w:lineRule="auto"/>
        <w:ind w:firstLineChars="200" w:firstLine="480"/>
        <w:rPr>
          <w:bCs/>
          <w:sz w:val="24"/>
        </w:rPr>
      </w:pPr>
      <w:r>
        <w:rPr>
          <w:rFonts w:hint="eastAsia"/>
          <w:bCs/>
          <w:sz w:val="24"/>
        </w:rPr>
        <w:t>①本基金在任何交易日日终，持有的买入国债期货合约价值，不得超过基金资产净值的</w:t>
      </w:r>
      <w:r>
        <w:rPr>
          <w:rFonts w:hint="eastAsia"/>
          <w:bCs/>
          <w:sz w:val="24"/>
        </w:rPr>
        <w:t>15%</w:t>
      </w:r>
      <w:r>
        <w:rPr>
          <w:rFonts w:hint="eastAsia"/>
          <w:bCs/>
          <w:sz w:val="24"/>
        </w:rPr>
        <w:t>；</w:t>
      </w:r>
    </w:p>
    <w:p w14:paraId="0499F9DF" w14:textId="77777777" w:rsidR="00A931B6" w:rsidRDefault="000A2AB6">
      <w:pPr>
        <w:pStyle w:val="121"/>
        <w:tabs>
          <w:tab w:val="left" w:pos="1260"/>
        </w:tabs>
        <w:spacing w:line="336" w:lineRule="auto"/>
        <w:ind w:firstLineChars="200" w:firstLine="480"/>
        <w:rPr>
          <w:bCs/>
          <w:sz w:val="24"/>
        </w:rPr>
      </w:pPr>
      <w:r>
        <w:rPr>
          <w:rFonts w:hint="eastAsia"/>
          <w:bCs/>
          <w:sz w:val="24"/>
        </w:rPr>
        <w:t>②本基金每个交易日日终在扣除股指期货和国债期货合约需缴纳的交易保证金后，应当保持不低于基金资产净值的</w:t>
      </w:r>
      <w:r>
        <w:rPr>
          <w:rFonts w:hint="eastAsia"/>
          <w:bCs/>
          <w:sz w:val="24"/>
        </w:rPr>
        <w:t>5%</w:t>
      </w:r>
      <w:r>
        <w:rPr>
          <w:rFonts w:hint="eastAsia"/>
          <w:bCs/>
          <w:sz w:val="24"/>
        </w:rPr>
        <w:t>的现金或到期日在一年以内的政府债券，其中现金不包括结算备付金、存出保证金、应收申购款等；</w:t>
      </w:r>
    </w:p>
    <w:p w14:paraId="221391B1" w14:textId="77777777" w:rsidR="00A931B6" w:rsidRDefault="000A2AB6">
      <w:pPr>
        <w:pStyle w:val="121"/>
        <w:tabs>
          <w:tab w:val="left" w:pos="1260"/>
        </w:tabs>
        <w:spacing w:line="336" w:lineRule="auto"/>
        <w:ind w:firstLineChars="200" w:firstLine="480"/>
        <w:rPr>
          <w:bCs/>
          <w:sz w:val="24"/>
        </w:rPr>
      </w:pPr>
      <w:r>
        <w:rPr>
          <w:rFonts w:hint="eastAsia"/>
          <w:bCs/>
          <w:sz w:val="24"/>
        </w:rPr>
        <w:t>③本基金在任何交易日日终，持有的买入股指期货、国债期货合约价值与有价证券市值之和，不得超过基金资产净值的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63C8F72F" w14:textId="77777777" w:rsidR="00A931B6" w:rsidRDefault="000A2AB6">
      <w:pPr>
        <w:pStyle w:val="121"/>
        <w:tabs>
          <w:tab w:val="left" w:pos="1260"/>
        </w:tabs>
        <w:spacing w:line="336" w:lineRule="auto"/>
        <w:ind w:firstLineChars="200" w:firstLine="480"/>
        <w:rPr>
          <w:bCs/>
          <w:sz w:val="24"/>
        </w:rPr>
      </w:pPr>
      <w:r>
        <w:rPr>
          <w:rFonts w:hint="eastAsia"/>
          <w:bCs/>
          <w:sz w:val="24"/>
        </w:rPr>
        <w:t>④本基金在任何交易日日终，持有的卖出国债期货合约价值不得超过基金持有的债券总市值的</w:t>
      </w:r>
      <w:r>
        <w:rPr>
          <w:rFonts w:hint="eastAsia"/>
          <w:bCs/>
          <w:sz w:val="24"/>
        </w:rPr>
        <w:t>30%</w:t>
      </w:r>
      <w:r>
        <w:rPr>
          <w:rFonts w:hint="eastAsia"/>
          <w:bCs/>
          <w:sz w:val="24"/>
        </w:rPr>
        <w:t>；</w:t>
      </w:r>
    </w:p>
    <w:p w14:paraId="2FBFB5A5" w14:textId="77777777" w:rsidR="00A931B6" w:rsidRDefault="000A2AB6">
      <w:pPr>
        <w:pStyle w:val="121"/>
        <w:tabs>
          <w:tab w:val="left" w:pos="1260"/>
        </w:tabs>
        <w:spacing w:line="336" w:lineRule="auto"/>
        <w:ind w:firstLineChars="200" w:firstLine="480"/>
        <w:rPr>
          <w:bCs/>
          <w:sz w:val="24"/>
        </w:rPr>
      </w:pPr>
      <w:r>
        <w:rPr>
          <w:rFonts w:hint="eastAsia"/>
          <w:bCs/>
          <w:sz w:val="24"/>
        </w:rPr>
        <w:t>⑤本基金所持有的债券</w:t>
      </w:r>
      <w:r>
        <w:rPr>
          <w:rFonts w:hint="eastAsia"/>
          <w:bCs/>
          <w:sz w:val="24"/>
        </w:rPr>
        <w:t>(</w:t>
      </w:r>
      <w:r>
        <w:rPr>
          <w:rFonts w:hint="eastAsia"/>
          <w:bCs/>
          <w:sz w:val="24"/>
        </w:rPr>
        <w:t>不含到期日在一年以内的政府债券</w:t>
      </w:r>
      <w:r>
        <w:rPr>
          <w:rFonts w:hint="eastAsia"/>
          <w:bCs/>
          <w:sz w:val="24"/>
        </w:rPr>
        <w:t>)</w:t>
      </w:r>
      <w:r>
        <w:rPr>
          <w:rFonts w:hint="eastAsia"/>
          <w:bCs/>
          <w:sz w:val="24"/>
        </w:rPr>
        <w:t>市值和买入、卖出国债期货合约价值，合计</w:t>
      </w:r>
      <w:r>
        <w:rPr>
          <w:rFonts w:hint="eastAsia"/>
          <w:bCs/>
          <w:sz w:val="24"/>
        </w:rPr>
        <w:t>(</w:t>
      </w:r>
      <w:r>
        <w:rPr>
          <w:rFonts w:hint="eastAsia"/>
          <w:bCs/>
          <w:sz w:val="24"/>
        </w:rPr>
        <w:t>轧差计算</w:t>
      </w:r>
      <w:r>
        <w:rPr>
          <w:rFonts w:hint="eastAsia"/>
          <w:bCs/>
          <w:sz w:val="24"/>
        </w:rPr>
        <w:t>)</w:t>
      </w:r>
      <w:r>
        <w:rPr>
          <w:rFonts w:hint="eastAsia"/>
          <w:bCs/>
          <w:sz w:val="24"/>
        </w:rPr>
        <w:t>应当符合基金合同关于债券投资比例的有关约定；</w:t>
      </w:r>
    </w:p>
    <w:p w14:paraId="68A8402C" w14:textId="77777777" w:rsidR="00A931B6" w:rsidRDefault="000A2AB6">
      <w:pPr>
        <w:pStyle w:val="121"/>
        <w:tabs>
          <w:tab w:val="left" w:pos="1260"/>
        </w:tabs>
        <w:spacing w:line="336" w:lineRule="auto"/>
        <w:ind w:firstLineChars="200" w:firstLine="480"/>
        <w:rPr>
          <w:bCs/>
          <w:sz w:val="24"/>
        </w:rPr>
      </w:pPr>
      <w:r>
        <w:rPr>
          <w:rFonts w:hint="eastAsia"/>
          <w:bCs/>
          <w:sz w:val="24"/>
        </w:rPr>
        <w:t>⑥本基金在任何交易日内交易（不包括平仓）的国债期货合约的成交金额不得超过上一交易日基金资产净值的</w:t>
      </w:r>
      <w:r>
        <w:rPr>
          <w:rFonts w:hint="eastAsia"/>
          <w:bCs/>
          <w:sz w:val="24"/>
        </w:rPr>
        <w:t>30%</w:t>
      </w:r>
      <w:r>
        <w:rPr>
          <w:rFonts w:hint="eastAsia"/>
          <w:bCs/>
          <w:sz w:val="24"/>
        </w:rPr>
        <w:t>；</w:t>
      </w:r>
    </w:p>
    <w:p w14:paraId="19B2D1E5" w14:textId="77777777" w:rsidR="00A931B6" w:rsidRDefault="000A2AB6">
      <w:pPr>
        <w:pStyle w:val="121"/>
        <w:tabs>
          <w:tab w:val="left" w:pos="1260"/>
        </w:tabs>
        <w:spacing w:line="336" w:lineRule="auto"/>
        <w:ind w:firstLineChars="200" w:firstLine="480"/>
        <w:rPr>
          <w:bCs/>
          <w:sz w:val="24"/>
        </w:rPr>
      </w:pPr>
      <w:r>
        <w:rPr>
          <w:rFonts w:hint="eastAsia"/>
          <w:bCs/>
          <w:sz w:val="24"/>
        </w:rPr>
        <w:lastRenderedPageBreak/>
        <w:t>（</w:t>
      </w:r>
      <w:r>
        <w:rPr>
          <w:rFonts w:hint="eastAsia"/>
          <w:bCs/>
          <w:sz w:val="24"/>
        </w:rPr>
        <w:t>13</w:t>
      </w:r>
      <w:r>
        <w:rPr>
          <w:rFonts w:hint="eastAsia"/>
          <w:bCs/>
          <w:sz w:val="24"/>
        </w:rPr>
        <w:t>）本基金若参与股票期权交易，应当符合下列投资限制：</w:t>
      </w:r>
    </w:p>
    <w:p w14:paraId="7C2B05F8" w14:textId="77777777" w:rsidR="00A931B6" w:rsidRDefault="000A2AB6">
      <w:pPr>
        <w:pStyle w:val="121"/>
        <w:tabs>
          <w:tab w:val="left" w:pos="1260"/>
        </w:tabs>
        <w:spacing w:line="336" w:lineRule="auto"/>
        <w:ind w:firstLineChars="200" w:firstLine="480"/>
        <w:rPr>
          <w:bCs/>
          <w:sz w:val="24"/>
        </w:rPr>
      </w:pPr>
      <w:r>
        <w:rPr>
          <w:rFonts w:hint="eastAsia"/>
          <w:bCs/>
          <w:sz w:val="24"/>
        </w:rPr>
        <w:t>①本基金因未平仓的期权合约支付和收取的权利金总额不得超过基金资产净值的</w:t>
      </w:r>
      <w:r>
        <w:rPr>
          <w:rFonts w:hint="eastAsia"/>
          <w:bCs/>
          <w:sz w:val="24"/>
        </w:rPr>
        <w:t>10%</w:t>
      </w:r>
      <w:r>
        <w:rPr>
          <w:rFonts w:hint="eastAsia"/>
          <w:bCs/>
          <w:sz w:val="24"/>
        </w:rPr>
        <w:t>；</w:t>
      </w:r>
    </w:p>
    <w:p w14:paraId="1990FBC0" w14:textId="77777777" w:rsidR="00A931B6" w:rsidRDefault="000A2AB6">
      <w:pPr>
        <w:pStyle w:val="121"/>
        <w:tabs>
          <w:tab w:val="left" w:pos="1260"/>
        </w:tabs>
        <w:spacing w:line="336" w:lineRule="auto"/>
        <w:ind w:firstLineChars="200" w:firstLine="480"/>
        <w:rPr>
          <w:bCs/>
          <w:sz w:val="24"/>
        </w:rPr>
      </w:pPr>
      <w:r>
        <w:rPr>
          <w:rFonts w:hint="eastAsia"/>
          <w:bCs/>
          <w:sz w:val="24"/>
        </w:rPr>
        <w:t>②本基金开仓卖出认购期权的，应持有足额标的证券；开仓卖出认沽期权的，应持有合约行权所需的全额现金或交易所规则认可的可冲抵期权保证金的现金等价物；</w:t>
      </w:r>
    </w:p>
    <w:p w14:paraId="6A16A394" w14:textId="77777777" w:rsidR="00A931B6" w:rsidRDefault="000A2AB6">
      <w:pPr>
        <w:pStyle w:val="121"/>
        <w:tabs>
          <w:tab w:val="left" w:pos="1260"/>
        </w:tabs>
        <w:spacing w:line="336" w:lineRule="auto"/>
        <w:ind w:firstLineChars="200" w:firstLine="480"/>
        <w:rPr>
          <w:bCs/>
          <w:sz w:val="24"/>
        </w:rPr>
      </w:pPr>
      <w:r>
        <w:rPr>
          <w:rFonts w:hint="eastAsia"/>
          <w:bCs/>
          <w:sz w:val="24"/>
        </w:rPr>
        <w:t>③本基金未平仓的期权合约面值不得超过基金资产净值的</w:t>
      </w:r>
      <w:r>
        <w:rPr>
          <w:rFonts w:hint="eastAsia"/>
          <w:bCs/>
          <w:sz w:val="24"/>
        </w:rPr>
        <w:t>20%</w:t>
      </w:r>
      <w:r>
        <w:rPr>
          <w:rFonts w:hint="eastAsia"/>
          <w:bCs/>
          <w:sz w:val="24"/>
        </w:rPr>
        <w:t>。其中，合约面值按照行权价乘以合约乘数计算；</w:t>
      </w:r>
    </w:p>
    <w:p w14:paraId="018E52C4" w14:textId="77777777" w:rsidR="00A931B6" w:rsidRDefault="000A2AB6">
      <w:pPr>
        <w:pStyle w:val="121"/>
        <w:tabs>
          <w:tab w:val="left" w:pos="1260"/>
        </w:tabs>
        <w:spacing w:line="336" w:lineRule="auto"/>
        <w:ind w:firstLineChars="200" w:firstLine="480"/>
        <w:rPr>
          <w:bCs/>
          <w:sz w:val="24"/>
        </w:rPr>
      </w:pPr>
      <w:r>
        <w:rPr>
          <w:rFonts w:hint="eastAsia"/>
          <w:bCs/>
          <w:sz w:val="24"/>
        </w:rPr>
        <w:t>（</w:t>
      </w:r>
      <w:r>
        <w:rPr>
          <w:rFonts w:hint="eastAsia"/>
          <w:bCs/>
          <w:sz w:val="24"/>
        </w:rPr>
        <w:t>14</w:t>
      </w:r>
      <w:r>
        <w:rPr>
          <w:rFonts w:hint="eastAsia"/>
          <w:bCs/>
          <w:sz w:val="24"/>
        </w:rPr>
        <w:t>）本基金参与融资业务后，在任何交易日日终，持有的融资买入股票与其他有价证券市值之和，不得超过基金资产净值的</w:t>
      </w:r>
      <w:r>
        <w:rPr>
          <w:rFonts w:hint="eastAsia"/>
          <w:bCs/>
          <w:sz w:val="24"/>
        </w:rPr>
        <w:t>95%</w:t>
      </w:r>
      <w:r>
        <w:rPr>
          <w:rFonts w:hint="eastAsia"/>
          <w:bCs/>
          <w:sz w:val="24"/>
        </w:rPr>
        <w:t>；</w:t>
      </w:r>
    </w:p>
    <w:p w14:paraId="4C09CF31" w14:textId="77777777" w:rsidR="00A931B6" w:rsidRDefault="000A2AB6">
      <w:pPr>
        <w:pStyle w:val="121"/>
        <w:tabs>
          <w:tab w:val="left" w:pos="1260"/>
        </w:tabs>
        <w:spacing w:line="336" w:lineRule="auto"/>
        <w:ind w:firstLineChars="200" w:firstLine="480"/>
        <w:rPr>
          <w:bCs/>
          <w:sz w:val="24"/>
        </w:rPr>
      </w:pPr>
      <w:r>
        <w:rPr>
          <w:rFonts w:hint="eastAsia"/>
          <w:bCs/>
          <w:sz w:val="24"/>
        </w:rPr>
        <w:t>（</w:t>
      </w:r>
      <w:r>
        <w:rPr>
          <w:rFonts w:hint="eastAsia"/>
          <w:bCs/>
          <w:sz w:val="24"/>
        </w:rPr>
        <w:t>15</w:t>
      </w:r>
      <w:r>
        <w:rPr>
          <w:rFonts w:hint="eastAsia"/>
          <w:bCs/>
          <w:sz w:val="24"/>
        </w:rPr>
        <w:t>）本基金若参与转融通证券出借业务，应当符合下列投资限制：</w:t>
      </w:r>
    </w:p>
    <w:p w14:paraId="2F5E682A" w14:textId="77777777" w:rsidR="00A931B6" w:rsidRDefault="000A2AB6">
      <w:pPr>
        <w:pStyle w:val="121"/>
        <w:tabs>
          <w:tab w:val="left" w:pos="1260"/>
        </w:tabs>
        <w:spacing w:line="336" w:lineRule="auto"/>
        <w:ind w:firstLineChars="200" w:firstLine="480"/>
        <w:rPr>
          <w:bCs/>
          <w:sz w:val="24"/>
        </w:rPr>
      </w:pPr>
      <w:r>
        <w:rPr>
          <w:rFonts w:hint="eastAsia"/>
          <w:bCs/>
          <w:sz w:val="24"/>
        </w:rPr>
        <w:t>①出借证券资产不得超过基金资产净值的</w:t>
      </w:r>
      <w:r>
        <w:rPr>
          <w:rFonts w:hint="eastAsia"/>
          <w:bCs/>
          <w:sz w:val="24"/>
        </w:rPr>
        <w:t>30%</w:t>
      </w:r>
      <w:r>
        <w:rPr>
          <w:rFonts w:hint="eastAsia"/>
          <w:bCs/>
          <w:sz w:val="24"/>
        </w:rPr>
        <w:t>，出借期限在</w:t>
      </w:r>
      <w:r>
        <w:rPr>
          <w:rFonts w:hint="eastAsia"/>
          <w:bCs/>
          <w:sz w:val="24"/>
        </w:rPr>
        <w:t>10</w:t>
      </w:r>
      <w:r>
        <w:rPr>
          <w:rFonts w:hint="eastAsia"/>
          <w:bCs/>
          <w:sz w:val="24"/>
        </w:rPr>
        <w:t>个交易日以上的出借证券应纳入《流动性风险管理规定》所述流动性受限证券的范围；</w:t>
      </w:r>
    </w:p>
    <w:p w14:paraId="53CEDEA3" w14:textId="77777777" w:rsidR="00A931B6" w:rsidRDefault="000A2AB6">
      <w:pPr>
        <w:pStyle w:val="121"/>
        <w:tabs>
          <w:tab w:val="left" w:pos="1260"/>
        </w:tabs>
        <w:spacing w:line="336" w:lineRule="auto"/>
        <w:ind w:firstLineChars="200" w:firstLine="480"/>
        <w:rPr>
          <w:bCs/>
          <w:sz w:val="24"/>
        </w:rPr>
      </w:pPr>
      <w:r>
        <w:rPr>
          <w:rFonts w:hint="eastAsia"/>
          <w:bCs/>
          <w:sz w:val="24"/>
        </w:rPr>
        <w:t>②本基金参与出借业务的单只证券不得超过基金持有该证券总量的</w:t>
      </w:r>
      <w:r>
        <w:rPr>
          <w:rFonts w:hint="eastAsia"/>
          <w:bCs/>
          <w:sz w:val="24"/>
        </w:rPr>
        <w:t>50%</w:t>
      </w:r>
      <w:r>
        <w:rPr>
          <w:rFonts w:hint="eastAsia"/>
          <w:bCs/>
          <w:sz w:val="24"/>
        </w:rPr>
        <w:t>；</w:t>
      </w:r>
    </w:p>
    <w:p w14:paraId="423FE2B7" w14:textId="77777777" w:rsidR="00A931B6" w:rsidRDefault="000A2AB6">
      <w:pPr>
        <w:pStyle w:val="121"/>
        <w:tabs>
          <w:tab w:val="left" w:pos="1260"/>
        </w:tabs>
        <w:spacing w:line="336" w:lineRule="auto"/>
        <w:ind w:firstLineChars="200" w:firstLine="480"/>
        <w:rPr>
          <w:bCs/>
          <w:sz w:val="24"/>
        </w:rPr>
      </w:pPr>
      <w:r>
        <w:rPr>
          <w:rFonts w:hint="eastAsia"/>
          <w:bCs/>
          <w:sz w:val="24"/>
        </w:rPr>
        <w:t>③最近</w:t>
      </w:r>
      <w:r>
        <w:rPr>
          <w:rFonts w:hint="eastAsia"/>
          <w:bCs/>
          <w:sz w:val="24"/>
        </w:rPr>
        <w:t>6</w:t>
      </w:r>
      <w:r>
        <w:rPr>
          <w:rFonts w:hint="eastAsia"/>
          <w:bCs/>
          <w:sz w:val="24"/>
        </w:rPr>
        <w:t>个月内日均基金资产净值不得低于</w:t>
      </w:r>
      <w:r>
        <w:rPr>
          <w:rFonts w:hint="eastAsia"/>
          <w:bCs/>
          <w:sz w:val="24"/>
        </w:rPr>
        <w:t>2</w:t>
      </w:r>
      <w:r>
        <w:rPr>
          <w:rFonts w:hint="eastAsia"/>
          <w:bCs/>
          <w:sz w:val="24"/>
        </w:rPr>
        <w:t>亿元；</w:t>
      </w:r>
    </w:p>
    <w:p w14:paraId="27E9559B" w14:textId="77777777" w:rsidR="00A931B6" w:rsidRDefault="000A2AB6">
      <w:pPr>
        <w:pStyle w:val="121"/>
        <w:tabs>
          <w:tab w:val="left" w:pos="1260"/>
        </w:tabs>
        <w:spacing w:line="336" w:lineRule="auto"/>
        <w:ind w:firstLineChars="200" w:firstLine="480"/>
        <w:rPr>
          <w:bCs/>
          <w:sz w:val="24"/>
        </w:rPr>
      </w:pPr>
      <w:r>
        <w:rPr>
          <w:rFonts w:hint="eastAsia"/>
          <w:bCs/>
          <w:sz w:val="24"/>
        </w:rPr>
        <w:t>④证券出借的平均剩余期限不得超过</w:t>
      </w:r>
      <w:r>
        <w:rPr>
          <w:rFonts w:hint="eastAsia"/>
          <w:bCs/>
          <w:sz w:val="24"/>
        </w:rPr>
        <w:t>30</w:t>
      </w:r>
      <w:r>
        <w:rPr>
          <w:rFonts w:hint="eastAsia"/>
          <w:bCs/>
          <w:sz w:val="24"/>
        </w:rPr>
        <w:t>天，平均剩余期限按照市值加权平均计算；</w:t>
      </w:r>
    </w:p>
    <w:p w14:paraId="3D85EDF4" w14:textId="77777777" w:rsidR="00A931B6" w:rsidRDefault="000A2AB6">
      <w:pPr>
        <w:pStyle w:val="121"/>
        <w:tabs>
          <w:tab w:val="left" w:pos="1260"/>
        </w:tabs>
        <w:spacing w:line="336" w:lineRule="auto"/>
        <w:ind w:firstLineChars="200" w:firstLine="480"/>
        <w:rPr>
          <w:bCs/>
          <w:sz w:val="24"/>
        </w:rPr>
      </w:pPr>
      <w:r>
        <w:rPr>
          <w:rFonts w:hint="eastAsia"/>
          <w:bCs/>
          <w:sz w:val="24"/>
        </w:rPr>
        <w:t>因证券市场波动、上市公司合并、基金规模变动等基金管理人之外的因素致使基金投资不符合上述规定的，基金管理人不得新增出借业务；</w:t>
      </w:r>
    </w:p>
    <w:p w14:paraId="560690E4" w14:textId="77777777" w:rsidR="00A931B6" w:rsidRDefault="000A2AB6">
      <w:pPr>
        <w:pStyle w:val="121"/>
        <w:tabs>
          <w:tab w:val="left" w:pos="1260"/>
        </w:tabs>
        <w:spacing w:line="336" w:lineRule="auto"/>
        <w:ind w:firstLineChars="200" w:firstLine="480"/>
        <w:rPr>
          <w:bCs/>
          <w:sz w:val="24"/>
        </w:rPr>
      </w:pPr>
      <w:r>
        <w:rPr>
          <w:rFonts w:hint="eastAsia"/>
          <w:bCs/>
          <w:sz w:val="24"/>
        </w:rPr>
        <w:t>（</w:t>
      </w:r>
      <w:r>
        <w:rPr>
          <w:rFonts w:hint="eastAsia"/>
          <w:bCs/>
          <w:sz w:val="24"/>
        </w:rPr>
        <w:t>16</w:t>
      </w:r>
      <w:r>
        <w:rPr>
          <w:rFonts w:hint="eastAsia"/>
          <w:bCs/>
          <w:sz w:val="24"/>
        </w:rPr>
        <w:t>）本基金资产总值不得超过基金资产净值的</w:t>
      </w:r>
      <w:r>
        <w:rPr>
          <w:rFonts w:hint="eastAsia"/>
          <w:bCs/>
          <w:sz w:val="24"/>
        </w:rPr>
        <w:t>140%</w:t>
      </w:r>
      <w:r>
        <w:rPr>
          <w:rFonts w:hint="eastAsia"/>
          <w:bCs/>
          <w:sz w:val="24"/>
        </w:rPr>
        <w:t>；</w:t>
      </w:r>
    </w:p>
    <w:p w14:paraId="54F16035" w14:textId="77777777" w:rsidR="00A931B6" w:rsidRDefault="000A2AB6">
      <w:pPr>
        <w:pStyle w:val="121"/>
        <w:tabs>
          <w:tab w:val="left" w:pos="1260"/>
        </w:tabs>
        <w:spacing w:line="336" w:lineRule="auto"/>
        <w:ind w:firstLineChars="200" w:firstLine="480"/>
        <w:rPr>
          <w:bCs/>
          <w:sz w:val="24"/>
        </w:rPr>
      </w:pPr>
      <w:r>
        <w:rPr>
          <w:rFonts w:hint="eastAsia"/>
          <w:bCs/>
          <w:sz w:val="24"/>
        </w:rPr>
        <w:t>（</w:t>
      </w:r>
      <w:r>
        <w:rPr>
          <w:rFonts w:hint="eastAsia"/>
          <w:bCs/>
          <w:sz w:val="24"/>
        </w:rPr>
        <w:t>17</w:t>
      </w:r>
      <w:r>
        <w:rPr>
          <w:rFonts w:hint="eastAsia"/>
          <w:bCs/>
          <w:sz w:val="24"/>
        </w:rPr>
        <w:t>）本基金管理人管理的全部开放式基金持有一家上市公司发行的可流通股票，不得超过该上市公司可流通股票的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；完全按照有关指数的构成比例进行证券投资的基金品种可以不受此条款规定的比例限制；</w:t>
      </w:r>
    </w:p>
    <w:p w14:paraId="4B04A1E0" w14:textId="77777777" w:rsidR="00A931B6" w:rsidRDefault="000A2AB6">
      <w:pPr>
        <w:pStyle w:val="121"/>
        <w:tabs>
          <w:tab w:val="left" w:pos="1260"/>
        </w:tabs>
        <w:spacing w:line="336" w:lineRule="auto"/>
        <w:ind w:firstLineChars="200" w:firstLine="480"/>
        <w:rPr>
          <w:bCs/>
          <w:sz w:val="24"/>
        </w:rPr>
      </w:pPr>
      <w:r>
        <w:rPr>
          <w:rFonts w:hint="eastAsia"/>
          <w:bCs/>
          <w:sz w:val="24"/>
        </w:rPr>
        <w:t>（</w:t>
      </w:r>
      <w:r>
        <w:rPr>
          <w:rFonts w:hint="eastAsia"/>
          <w:bCs/>
          <w:sz w:val="24"/>
        </w:rPr>
        <w:t>18</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；因证券市场波动、上市公司股票停牌、基金规模变动等基金管理人之外的因素致使基金不符合本款所规定比例限制的，本基金管理人不得主动新增流动性受限资产的投资；</w:t>
      </w:r>
    </w:p>
    <w:p w14:paraId="0BC2F94D" w14:textId="77777777" w:rsidR="00A931B6" w:rsidRDefault="000A2AB6">
      <w:pPr>
        <w:pStyle w:val="121"/>
        <w:tabs>
          <w:tab w:val="left" w:pos="1260"/>
        </w:tabs>
        <w:spacing w:line="336" w:lineRule="auto"/>
        <w:ind w:firstLineChars="200" w:firstLine="480"/>
        <w:rPr>
          <w:bCs/>
          <w:sz w:val="24"/>
        </w:rPr>
      </w:pPr>
      <w:r>
        <w:rPr>
          <w:rFonts w:hint="eastAsia"/>
          <w:bCs/>
          <w:sz w:val="24"/>
        </w:rPr>
        <w:t>（</w:t>
      </w:r>
      <w:r>
        <w:rPr>
          <w:rFonts w:hint="eastAsia"/>
          <w:bCs/>
          <w:sz w:val="24"/>
        </w:rPr>
        <w:t>19</w:t>
      </w:r>
      <w:r>
        <w:rPr>
          <w:rFonts w:hint="eastAsia"/>
          <w:bCs/>
          <w:sz w:val="24"/>
        </w:rPr>
        <w:t>）本基金与私募类证券资管产品及中国证监会认定的其他主体为交易对手开展逆回购交易的，可接受质押品的资质要求应当与基金合同约定的投资范围保持一致；</w:t>
      </w:r>
    </w:p>
    <w:p w14:paraId="51E2BA2A" w14:textId="77777777" w:rsidR="00A931B6" w:rsidRDefault="000A2AB6">
      <w:pPr>
        <w:pStyle w:val="121"/>
        <w:tabs>
          <w:tab w:val="left" w:pos="1260"/>
        </w:tabs>
        <w:spacing w:line="336" w:lineRule="auto"/>
        <w:ind w:firstLineChars="200" w:firstLine="480"/>
        <w:rPr>
          <w:bCs/>
          <w:sz w:val="24"/>
        </w:rPr>
      </w:pPr>
      <w:r>
        <w:rPr>
          <w:rFonts w:hint="eastAsia"/>
          <w:bCs/>
          <w:sz w:val="24"/>
        </w:rPr>
        <w:lastRenderedPageBreak/>
        <w:t>（</w:t>
      </w:r>
      <w:r>
        <w:rPr>
          <w:rFonts w:hint="eastAsia"/>
          <w:bCs/>
          <w:sz w:val="24"/>
        </w:rPr>
        <w:t>20</w:t>
      </w:r>
      <w:r>
        <w:rPr>
          <w:rFonts w:hint="eastAsia"/>
          <w:bCs/>
          <w:sz w:val="24"/>
        </w:rPr>
        <w:t>）本基金投资存托凭证的比例限制依照国内依法发行上市的股票执行，与国内依法发行上市的股票合并计算；</w:t>
      </w:r>
    </w:p>
    <w:p w14:paraId="020CCA22" w14:textId="77777777" w:rsidR="00A931B6" w:rsidRDefault="000A2AB6">
      <w:pPr>
        <w:pStyle w:val="121"/>
        <w:tabs>
          <w:tab w:val="left" w:pos="1260"/>
        </w:tabs>
        <w:spacing w:line="336" w:lineRule="auto"/>
        <w:ind w:firstLineChars="200" w:firstLine="480"/>
        <w:rPr>
          <w:bCs/>
          <w:sz w:val="24"/>
        </w:rPr>
      </w:pPr>
      <w:r>
        <w:rPr>
          <w:rFonts w:hint="eastAsia"/>
          <w:bCs/>
          <w:sz w:val="24"/>
        </w:rPr>
        <w:t>（</w:t>
      </w:r>
      <w:r>
        <w:rPr>
          <w:rFonts w:hint="eastAsia"/>
          <w:bCs/>
          <w:sz w:val="24"/>
        </w:rPr>
        <w:t>21</w:t>
      </w:r>
      <w:r>
        <w:rPr>
          <w:rFonts w:hint="eastAsia"/>
          <w:bCs/>
          <w:sz w:val="24"/>
        </w:rPr>
        <w:t>）法律法规及中国证监会规定的和《基金合同》约定的其他投资限制。</w:t>
      </w:r>
    </w:p>
    <w:p w14:paraId="3FB32AE8" w14:textId="77777777" w:rsidR="00A931B6" w:rsidRDefault="000A2AB6">
      <w:pPr>
        <w:pStyle w:val="121"/>
        <w:tabs>
          <w:tab w:val="left" w:pos="1260"/>
        </w:tabs>
        <w:spacing w:line="336" w:lineRule="auto"/>
        <w:ind w:firstLineChars="200" w:firstLine="480"/>
        <w:rPr>
          <w:bCs/>
          <w:sz w:val="24"/>
        </w:rPr>
      </w:pPr>
      <w:r>
        <w:rPr>
          <w:rFonts w:hint="eastAsia"/>
          <w:bCs/>
          <w:sz w:val="24"/>
        </w:rPr>
        <w:t>除上述第（</w:t>
      </w:r>
      <w:r>
        <w:rPr>
          <w:rFonts w:hint="eastAsia"/>
          <w:bCs/>
          <w:sz w:val="24"/>
        </w:rPr>
        <w:t>2</w:t>
      </w:r>
      <w:r>
        <w:rPr>
          <w:rFonts w:hint="eastAsia"/>
          <w:bCs/>
          <w:sz w:val="24"/>
        </w:rPr>
        <w:t>）、（</w:t>
      </w:r>
      <w:r>
        <w:rPr>
          <w:rFonts w:hint="eastAsia"/>
          <w:bCs/>
          <w:sz w:val="24"/>
        </w:rPr>
        <w:t>9</w:t>
      </w:r>
      <w:r>
        <w:rPr>
          <w:rFonts w:hint="eastAsia"/>
          <w:bCs/>
          <w:sz w:val="24"/>
        </w:rPr>
        <w:t>）、（</w:t>
      </w:r>
      <w:r>
        <w:rPr>
          <w:rFonts w:hint="eastAsia"/>
          <w:bCs/>
          <w:sz w:val="24"/>
        </w:rPr>
        <w:t>15</w:t>
      </w:r>
      <w:r>
        <w:rPr>
          <w:rFonts w:hint="eastAsia"/>
          <w:bCs/>
          <w:sz w:val="24"/>
        </w:rPr>
        <w:t>）、（</w:t>
      </w:r>
      <w:r>
        <w:rPr>
          <w:rFonts w:hint="eastAsia"/>
          <w:bCs/>
          <w:sz w:val="24"/>
        </w:rPr>
        <w:t>18</w:t>
      </w:r>
      <w:r>
        <w:rPr>
          <w:rFonts w:hint="eastAsia"/>
          <w:bCs/>
          <w:sz w:val="24"/>
        </w:rPr>
        <w:t>）、（</w:t>
      </w:r>
      <w:r>
        <w:rPr>
          <w:rFonts w:hint="eastAsia"/>
          <w:bCs/>
          <w:sz w:val="24"/>
        </w:rPr>
        <w:t>19</w:t>
      </w:r>
      <w:r>
        <w:rPr>
          <w:rFonts w:hint="eastAsia"/>
          <w:bCs/>
          <w:sz w:val="24"/>
        </w:rPr>
        <w:t>）项外，因证券、期货市场波动、证券发行人合并、基金规模变动、标的指数成份股调整、标的指数成份股流动性限制等基金管理人之外的因素致使基金投资比例不符合上述规定投资比例的，基金管理人应当在所涉证券可交易之日起</w:t>
      </w:r>
      <w:r>
        <w:rPr>
          <w:rFonts w:hint="eastAsia"/>
          <w:bCs/>
          <w:sz w:val="24"/>
        </w:rPr>
        <w:t>10</w:t>
      </w:r>
      <w:r>
        <w:rPr>
          <w:rFonts w:hint="eastAsia"/>
          <w:bCs/>
          <w:sz w:val="24"/>
        </w:rPr>
        <w:t>个交易日内进行调整，但中国证监会规定的特殊情形除外。法律法规另有规定的，从其规定。</w:t>
      </w:r>
    </w:p>
    <w:p w14:paraId="5781D4BB" w14:textId="77777777" w:rsidR="00A931B6" w:rsidRDefault="000A2AB6">
      <w:pPr>
        <w:pStyle w:val="121"/>
        <w:tabs>
          <w:tab w:val="left" w:pos="1260"/>
        </w:tabs>
        <w:spacing w:line="336"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个月内使基金的投资组合比例符合基金合同的有关约定。在上述期间内，本基金的投资范围、投资策略应当符合基金合同的约定。基金托管人对基金投资的监督与检查自基金合同生效之日起开始。</w:t>
      </w:r>
    </w:p>
    <w:p w14:paraId="2ACB0198" w14:textId="77777777" w:rsidR="00A931B6" w:rsidRDefault="000A2AB6">
      <w:pPr>
        <w:pStyle w:val="121"/>
        <w:spacing w:line="360" w:lineRule="auto"/>
        <w:ind w:firstLineChars="200" w:firstLine="482"/>
        <w:rPr>
          <w:rFonts w:ascii="宋体"/>
          <w:b/>
          <w:bCs/>
          <w:sz w:val="24"/>
        </w:rPr>
      </w:pPr>
      <w:r>
        <w:rPr>
          <w:rFonts w:ascii="宋体" w:hAnsi="宋体"/>
          <w:b/>
          <w:bCs/>
          <w:sz w:val="24"/>
        </w:rPr>
        <w:t>3.基金托管人</w:t>
      </w:r>
      <w:bookmarkStart w:id="24" w:name="OLE_LINK1"/>
      <w:r>
        <w:rPr>
          <w:rFonts w:ascii="宋体" w:hAnsi="宋体"/>
          <w:b/>
          <w:bCs/>
          <w:sz w:val="24"/>
        </w:rPr>
        <w:t>根据有关法律法规的规定及基金合同和本协议的约定，</w:t>
      </w:r>
      <w:bookmarkEnd w:id="24"/>
      <w:r>
        <w:rPr>
          <w:rFonts w:ascii="宋体" w:hAnsi="宋体"/>
          <w:b/>
          <w:bCs/>
          <w:sz w:val="24"/>
        </w:rPr>
        <w:t>对基金投资禁止行为进行监督。基金财产不得用于下列投资或者活动。</w:t>
      </w:r>
    </w:p>
    <w:p w14:paraId="49090121" w14:textId="77777777" w:rsidR="00A931B6" w:rsidRDefault="000A2AB6">
      <w:pPr>
        <w:pStyle w:val="121"/>
        <w:tabs>
          <w:tab w:val="left" w:pos="1260"/>
        </w:tabs>
        <w:spacing w:line="360" w:lineRule="auto"/>
        <w:ind w:firstLineChars="200" w:firstLine="480"/>
        <w:rPr>
          <w:rFonts w:ascii="宋体" w:hAnsi="宋体"/>
          <w:sz w:val="24"/>
        </w:rPr>
      </w:pPr>
      <w:r>
        <w:rPr>
          <w:rFonts w:ascii="宋体" w:hAnsi="宋体" w:hint="eastAsia"/>
          <w:sz w:val="24"/>
        </w:rPr>
        <w:t>（1）承销证券；</w:t>
      </w:r>
    </w:p>
    <w:p w14:paraId="797D31D1" w14:textId="77777777" w:rsidR="00A931B6" w:rsidRDefault="000A2AB6">
      <w:pPr>
        <w:pStyle w:val="121"/>
        <w:tabs>
          <w:tab w:val="left" w:pos="1260"/>
        </w:tabs>
        <w:spacing w:line="360" w:lineRule="auto"/>
        <w:ind w:firstLineChars="200" w:firstLine="480"/>
        <w:rPr>
          <w:rFonts w:ascii="宋体" w:hAnsi="宋体"/>
          <w:sz w:val="24"/>
        </w:rPr>
      </w:pPr>
      <w:r>
        <w:rPr>
          <w:rFonts w:ascii="宋体" w:hAnsi="宋体" w:hint="eastAsia"/>
          <w:sz w:val="24"/>
        </w:rPr>
        <w:t>（2）违反规定向他人贷款或者提供担保；</w:t>
      </w:r>
    </w:p>
    <w:p w14:paraId="52ED0F2B" w14:textId="77777777" w:rsidR="00A931B6" w:rsidRDefault="000A2AB6">
      <w:pPr>
        <w:pStyle w:val="121"/>
        <w:tabs>
          <w:tab w:val="left" w:pos="1260"/>
        </w:tabs>
        <w:spacing w:line="360" w:lineRule="auto"/>
        <w:ind w:firstLineChars="200" w:firstLine="480"/>
        <w:rPr>
          <w:rFonts w:ascii="宋体" w:hAnsi="宋体"/>
          <w:sz w:val="24"/>
        </w:rPr>
      </w:pPr>
      <w:r>
        <w:rPr>
          <w:rFonts w:ascii="宋体" w:hAnsi="宋体" w:hint="eastAsia"/>
          <w:sz w:val="24"/>
        </w:rPr>
        <w:t>（3）从事承担无限责任的投资；</w:t>
      </w:r>
    </w:p>
    <w:p w14:paraId="6B6BC25B" w14:textId="77777777" w:rsidR="00A931B6" w:rsidRDefault="000A2AB6">
      <w:pPr>
        <w:pStyle w:val="121"/>
        <w:tabs>
          <w:tab w:val="left" w:pos="1260"/>
        </w:tabs>
        <w:spacing w:line="360" w:lineRule="auto"/>
        <w:ind w:firstLineChars="200" w:firstLine="480"/>
        <w:rPr>
          <w:rFonts w:ascii="宋体" w:hAnsi="宋体"/>
          <w:sz w:val="24"/>
        </w:rPr>
      </w:pPr>
      <w:r>
        <w:rPr>
          <w:rFonts w:ascii="宋体" w:hAnsi="宋体" w:hint="eastAsia"/>
          <w:sz w:val="24"/>
        </w:rPr>
        <w:t>（4）买卖其他基金份额，但是中国证监会另有规定的除外；</w:t>
      </w:r>
    </w:p>
    <w:p w14:paraId="200BFFD1" w14:textId="77777777" w:rsidR="00A931B6" w:rsidRDefault="000A2AB6">
      <w:pPr>
        <w:pStyle w:val="121"/>
        <w:tabs>
          <w:tab w:val="left" w:pos="1260"/>
        </w:tabs>
        <w:spacing w:line="360" w:lineRule="auto"/>
        <w:ind w:firstLineChars="200" w:firstLine="480"/>
        <w:rPr>
          <w:rFonts w:ascii="宋体" w:hAnsi="宋体"/>
          <w:sz w:val="24"/>
        </w:rPr>
      </w:pPr>
      <w:r>
        <w:rPr>
          <w:rFonts w:ascii="宋体" w:hAnsi="宋体" w:hint="eastAsia"/>
          <w:sz w:val="24"/>
        </w:rPr>
        <w:t>（5）向其基金管理人、基金托管人出资；</w:t>
      </w:r>
    </w:p>
    <w:p w14:paraId="0761B7FE" w14:textId="77777777" w:rsidR="00A931B6" w:rsidRDefault="000A2AB6">
      <w:pPr>
        <w:pStyle w:val="121"/>
        <w:tabs>
          <w:tab w:val="left" w:pos="1260"/>
        </w:tabs>
        <w:spacing w:line="360" w:lineRule="auto"/>
        <w:ind w:firstLineChars="200" w:firstLine="480"/>
        <w:rPr>
          <w:rFonts w:ascii="宋体" w:hAnsi="宋体"/>
          <w:sz w:val="24"/>
        </w:rPr>
      </w:pPr>
      <w:r>
        <w:rPr>
          <w:rFonts w:ascii="宋体" w:hAnsi="宋体" w:hint="eastAsia"/>
          <w:sz w:val="24"/>
        </w:rPr>
        <w:t>（6）从事内幕交易、操纵证券交易价格及其他不正当的证券交易活动；</w:t>
      </w:r>
    </w:p>
    <w:p w14:paraId="4ADC2E31" w14:textId="77777777" w:rsidR="00A931B6" w:rsidRDefault="000A2AB6">
      <w:pPr>
        <w:pStyle w:val="121"/>
        <w:tabs>
          <w:tab w:val="left" w:pos="1260"/>
        </w:tabs>
        <w:spacing w:line="360" w:lineRule="auto"/>
        <w:ind w:firstLineChars="200" w:firstLine="480"/>
        <w:rPr>
          <w:rFonts w:ascii="宋体"/>
          <w:sz w:val="24"/>
        </w:rPr>
      </w:pPr>
      <w:r>
        <w:rPr>
          <w:rFonts w:ascii="宋体" w:hAnsi="宋体" w:hint="eastAsia"/>
          <w:sz w:val="24"/>
        </w:rPr>
        <w:t>（7）法律、行政法规和中国证监会规定禁止的其他活动</w:t>
      </w:r>
      <w:r>
        <w:rPr>
          <w:rFonts w:ascii="宋体" w:hAnsi="宋体"/>
          <w:sz w:val="24"/>
        </w:rPr>
        <w:t>。</w:t>
      </w:r>
    </w:p>
    <w:p w14:paraId="7BE4DA00" w14:textId="77777777" w:rsidR="00A931B6" w:rsidRDefault="000A2AB6">
      <w:pPr>
        <w:pStyle w:val="121"/>
        <w:tabs>
          <w:tab w:val="left" w:pos="1260"/>
        </w:tabs>
        <w:spacing w:line="360" w:lineRule="auto"/>
        <w:ind w:firstLineChars="200" w:firstLine="480"/>
        <w:rPr>
          <w:rFonts w:ascii="宋体" w:hAnsi="宋体"/>
          <w:sz w:val="24"/>
        </w:rPr>
      </w:pPr>
      <w:r>
        <w:rPr>
          <w:rFonts w:ascii="宋体" w:hAnsi="宋体" w:hint="eastAsia"/>
          <w:sz w:val="24"/>
        </w:rPr>
        <w:t>除标的指数成份股、备选成份股之外，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含三分之二）的独立董事通过。基金管理人董事会应至少每半年对关联交易事项进行审查</w:t>
      </w:r>
      <w:r>
        <w:rPr>
          <w:rFonts w:ascii="宋体" w:hAnsi="宋体"/>
          <w:sz w:val="24"/>
        </w:rPr>
        <w:t>。</w:t>
      </w:r>
    </w:p>
    <w:p w14:paraId="158C27CA" w14:textId="77777777" w:rsidR="00A931B6" w:rsidRDefault="000A2AB6">
      <w:pPr>
        <w:pStyle w:val="121"/>
        <w:tabs>
          <w:tab w:val="left" w:pos="1260"/>
        </w:tabs>
        <w:spacing w:line="360" w:lineRule="auto"/>
        <w:ind w:firstLineChars="200" w:firstLine="480"/>
        <w:rPr>
          <w:rFonts w:ascii="宋体"/>
          <w:sz w:val="24"/>
        </w:rPr>
      </w:pPr>
      <w:r>
        <w:rPr>
          <w:rFonts w:ascii="宋体" w:hAnsi="宋体" w:hint="eastAsia"/>
          <w:sz w:val="24"/>
        </w:rPr>
        <w:t>4</w:t>
      </w:r>
      <w:r>
        <w:rPr>
          <w:rFonts w:ascii="宋体" w:hAnsi="宋体"/>
          <w:sz w:val="24"/>
        </w:rPr>
        <w:t>.</w:t>
      </w:r>
      <w:r>
        <w:rPr>
          <w:rFonts w:hint="eastAsia"/>
          <w:bCs/>
          <w:sz w:val="24"/>
        </w:rPr>
        <w:t>法律法规或监管部门对基金合同所述投资比例、投资限制、组合限制、禁</w:t>
      </w:r>
      <w:r>
        <w:rPr>
          <w:rFonts w:hint="eastAsia"/>
          <w:bCs/>
          <w:sz w:val="24"/>
        </w:rPr>
        <w:lastRenderedPageBreak/>
        <w:t>止行为等作出强制性调整的，本基金应当按照法律法规或监管部门的规定执行</w:t>
      </w:r>
      <w:r>
        <w:rPr>
          <w:rFonts w:ascii="宋体" w:hAnsi="宋体"/>
          <w:sz w:val="24"/>
        </w:rPr>
        <w:t>。</w:t>
      </w:r>
    </w:p>
    <w:p w14:paraId="3CDF388A" w14:textId="77777777" w:rsidR="00A931B6" w:rsidRDefault="000A2AB6">
      <w:pPr>
        <w:pStyle w:val="121"/>
        <w:spacing w:line="360" w:lineRule="auto"/>
        <w:ind w:firstLineChars="200" w:firstLine="482"/>
        <w:rPr>
          <w:rFonts w:ascii="宋体"/>
          <w:b/>
          <w:bCs/>
          <w:sz w:val="24"/>
        </w:rPr>
      </w:pPr>
      <w:bookmarkStart w:id="25" w:name="OLE_LINK2"/>
      <w:bookmarkStart w:id="26" w:name="OLE_LINK4"/>
      <w:r>
        <w:rPr>
          <w:rFonts w:ascii="宋体" w:hAnsi="宋体"/>
          <w:b/>
          <w:bCs/>
          <w:sz w:val="24"/>
        </w:rPr>
        <w:t>5.基金托管人根据有关法律法规的规定及基金合同和本协议的约定，对基金管理人参与银行间债券市场进行监督。</w:t>
      </w:r>
      <w:bookmarkEnd w:id="25"/>
      <w:bookmarkEnd w:id="26"/>
    </w:p>
    <w:p w14:paraId="5A88DCE6"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（1）基金托管人依据有关法律法规的规定和《基金合同》的约定对于基金管理人参与银行间市场交易时面临的交易对手资信风险进行监督。</w:t>
      </w:r>
    </w:p>
    <w:p w14:paraId="4F8F4A6E" w14:textId="77777777" w:rsidR="00A931B6" w:rsidRDefault="000A2AB6">
      <w:pPr>
        <w:pStyle w:val="121"/>
        <w:tabs>
          <w:tab w:val="left" w:pos="1260"/>
        </w:tabs>
        <w:spacing w:line="360" w:lineRule="auto"/>
        <w:ind w:firstLineChars="200" w:firstLine="480"/>
        <w:rPr>
          <w:rFonts w:ascii="宋体" w:hAnsi="宋体"/>
          <w:sz w:val="24"/>
        </w:rPr>
      </w:pPr>
      <w:r>
        <w:rPr>
          <w:rFonts w:ascii="宋体" w:hAnsi="宋体"/>
          <w:sz w:val="24"/>
        </w:rPr>
        <w:t>基金管理人应向基金托管人提供符合法律法规及行业标准的银行间市场交易对手的名单。基金托管人在收到名单后2个工作日内电话或回函确认收到该名单。基金管理人应定期和不定期对银行间市场现券及回购交易对手的名单进行更新。基金托管人在收到名单后2个工作日内电话或书面回函确认，新名单自基金托管人确认当日生效。新名单生效前已与本次剔除的交易对手所进行但尚未结算的交易，仍应按照协议进行结算。</w:t>
      </w:r>
    </w:p>
    <w:p w14:paraId="472746DC"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（2）基金管理人参与银行间市场交易时，有责任控制交易对手的资信风险，由于交易对手资信风险引起的损失</w:t>
      </w:r>
      <w:r>
        <w:rPr>
          <w:rFonts w:ascii="宋体" w:hint="eastAsia"/>
          <w:sz w:val="24"/>
        </w:rPr>
        <w:t>，</w:t>
      </w:r>
      <w:r>
        <w:rPr>
          <w:rFonts w:ascii="宋体" w:hAnsi="宋体"/>
          <w:sz w:val="24"/>
        </w:rPr>
        <w:t>基金管理人应当负责向相关责任人追偿</w:t>
      </w:r>
      <w:r>
        <w:rPr>
          <w:rFonts w:ascii="宋体" w:hAnsi="宋体" w:hint="eastAsia"/>
          <w:sz w:val="24"/>
        </w:rPr>
        <w:t>，基金托管人应予以必要的协助及配合</w:t>
      </w:r>
      <w:r>
        <w:rPr>
          <w:rFonts w:ascii="宋体" w:hAnsi="宋体"/>
          <w:sz w:val="24"/>
        </w:rPr>
        <w:t>。</w:t>
      </w:r>
    </w:p>
    <w:p w14:paraId="48D64B26" w14:textId="77777777" w:rsidR="00A931B6" w:rsidRDefault="000A2AB6">
      <w:pPr>
        <w:pStyle w:val="121"/>
        <w:spacing w:line="360" w:lineRule="auto"/>
        <w:ind w:firstLineChars="200" w:firstLine="482"/>
        <w:rPr>
          <w:rFonts w:ascii="宋体"/>
          <w:b/>
          <w:bCs/>
          <w:sz w:val="24"/>
        </w:rPr>
      </w:pPr>
      <w:r>
        <w:rPr>
          <w:rFonts w:ascii="宋体" w:hAnsi="宋体"/>
          <w:b/>
          <w:bCs/>
          <w:sz w:val="24"/>
        </w:rPr>
        <w:t>6.基金托管人根据有关法律法规的规定及基金合同和本协议的约定，对基金管理人银行存款业务进行监督。</w:t>
      </w:r>
    </w:p>
    <w:p w14:paraId="600DD9DA"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本基金投资银行存款应符合如下规定：</w:t>
      </w:r>
    </w:p>
    <w:p w14:paraId="0E6B735D" w14:textId="77777777" w:rsidR="00A931B6" w:rsidRDefault="000A2AB6">
      <w:pPr>
        <w:pStyle w:val="121"/>
        <w:tabs>
          <w:tab w:val="left" w:pos="1260"/>
        </w:tabs>
        <w:spacing w:line="360" w:lineRule="auto"/>
        <w:ind w:firstLineChars="200" w:firstLine="480"/>
        <w:rPr>
          <w:rFonts w:ascii="宋体" w:hAnsi="宋体"/>
          <w:sz w:val="24"/>
        </w:rPr>
      </w:pPr>
      <w:r>
        <w:rPr>
          <w:rFonts w:ascii="宋体" w:hAnsi="宋体"/>
          <w:sz w:val="24"/>
        </w:rPr>
        <w:t>（1）基金管理人、基金托管人应当与存款银行建立对账机制，确保基金银行存款业务账目及核算的真实、准确。</w:t>
      </w:r>
    </w:p>
    <w:p w14:paraId="4B35713B"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（2）基金托管人应加强对基金银行存款业务的监督与核查，严格审查、复核相关协议、账户资料、投资指令、存款证实书等有关文件，切实履行托管职责。</w:t>
      </w:r>
    </w:p>
    <w:p w14:paraId="5C45B1FC"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（3）基金管理人与基金托管人在开展基金存款业务时，应严格遵守《基金法》、《运作办法》等有关法律法规，以及国家有关账户管理、利率管理、支付结算等的各项规定。</w:t>
      </w:r>
    </w:p>
    <w:p w14:paraId="78C9EA4F" w14:textId="77777777" w:rsidR="00A931B6" w:rsidRDefault="000A2AB6">
      <w:pPr>
        <w:pStyle w:val="121"/>
        <w:spacing w:line="360" w:lineRule="auto"/>
        <w:ind w:firstLineChars="200" w:firstLine="482"/>
        <w:rPr>
          <w:rFonts w:ascii="宋体"/>
          <w:b/>
          <w:sz w:val="24"/>
        </w:rPr>
      </w:pPr>
      <w:r>
        <w:rPr>
          <w:rFonts w:ascii="宋体" w:hAnsi="宋体"/>
          <w:b/>
          <w:sz w:val="24"/>
        </w:rPr>
        <w:t>7.基金托管人对基金投资流通受限证券的监督。</w:t>
      </w:r>
    </w:p>
    <w:p w14:paraId="752EC9C3" w14:textId="77777777" w:rsidR="00A931B6" w:rsidRDefault="000A2AB6">
      <w:pPr>
        <w:pStyle w:val="121"/>
        <w:spacing w:before="156" w:line="360" w:lineRule="auto"/>
        <w:ind w:left="105" w:firstLineChars="200" w:firstLine="480"/>
        <w:rPr>
          <w:rFonts w:ascii="宋体"/>
          <w:color w:val="000000"/>
          <w:sz w:val="24"/>
        </w:rPr>
      </w:pPr>
      <w:r>
        <w:rPr>
          <w:rFonts w:ascii="宋体" w:hAnsi="宋体"/>
          <w:color w:val="000000"/>
          <w:sz w:val="24"/>
        </w:rPr>
        <w:t>（1）基金投资流通受限证券</w:t>
      </w:r>
      <w:r>
        <w:rPr>
          <w:rFonts w:ascii="宋体" w:hint="eastAsia"/>
          <w:color w:val="000000"/>
          <w:sz w:val="24"/>
        </w:rPr>
        <w:t>，</w:t>
      </w:r>
      <w:r>
        <w:rPr>
          <w:rFonts w:ascii="宋体" w:hAnsi="宋体"/>
          <w:color w:val="000000"/>
          <w:sz w:val="24"/>
        </w:rPr>
        <w:t>应遵守《关于基金投资非公开发行股票等流通受限证券有关问题的通知》等有关法律法规规定。</w:t>
      </w:r>
    </w:p>
    <w:p w14:paraId="1EFF41CA" w14:textId="77777777" w:rsidR="00A931B6" w:rsidRDefault="000A2AB6">
      <w:pPr>
        <w:pStyle w:val="121"/>
        <w:spacing w:before="156" w:line="360" w:lineRule="auto"/>
        <w:ind w:left="105" w:firstLineChars="200" w:firstLine="480"/>
        <w:rPr>
          <w:sz w:val="24"/>
        </w:rPr>
      </w:pPr>
      <w:r>
        <w:rPr>
          <w:rFonts w:ascii="宋体" w:hAnsi="宋体"/>
          <w:color w:val="000000"/>
          <w:sz w:val="24"/>
        </w:rPr>
        <w:t>（2）流通受限证券</w:t>
      </w:r>
      <w:r>
        <w:rPr>
          <w:rFonts w:ascii="宋体" w:hint="eastAsia"/>
          <w:color w:val="000000"/>
          <w:sz w:val="24"/>
        </w:rPr>
        <w:t>，</w:t>
      </w:r>
      <w:r>
        <w:rPr>
          <w:rFonts w:ascii="宋体" w:hAnsi="宋体"/>
          <w:color w:val="000000"/>
          <w:sz w:val="24"/>
        </w:rPr>
        <w:t>包括由《上市公司证券发行注册管理办法》规范的非公开发行股票、公开发行股票网下配售部分等在发行时明确一定期限锁定期的</w:t>
      </w:r>
      <w:r>
        <w:rPr>
          <w:rFonts w:ascii="宋体" w:hAnsi="宋体"/>
          <w:color w:val="000000"/>
          <w:sz w:val="24"/>
        </w:rPr>
        <w:lastRenderedPageBreak/>
        <w:t>可交易证券</w:t>
      </w:r>
      <w:r>
        <w:rPr>
          <w:rFonts w:ascii="宋体" w:hint="eastAsia"/>
          <w:color w:val="000000"/>
          <w:sz w:val="24"/>
        </w:rPr>
        <w:t>，</w:t>
      </w:r>
      <w:r>
        <w:rPr>
          <w:rFonts w:ascii="宋体" w:hAnsi="宋体"/>
          <w:color w:val="000000"/>
          <w:sz w:val="24"/>
        </w:rPr>
        <w:t>不包括由于发布重大消息或其他原因而临时停牌的证券、已发行未上市证券、回购交易中的质押券等流通受限证券。</w:t>
      </w:r>
      <w:r>
        <w:rPr>
          <w:rFonts w:ascii="宋体"/>
          <w:color w:val="000000"/>
          <w:sz w:val="24"/>
        </w:rPr>
        <w:t> </w:t>
      </w:r>
    </w:p>
    <w:p w14:paraId="418BB747" w14:textId="77777777" w:rsidR="00A931B6" w:rsidRDefault="000A2AB6">
      <w:pPr>
        <w:pStyle w:val="121"/>
        <w:spacing w:before="156" w:line="360" w:lineRule="auto"/>
        <w:ind w:firstLineChars="200" w:firstLine="480"/>
        <w:rPr>
          <w:sz w:val="24"/>
        </w:rPr>
      </w:pPr>
      <w:r>
        <w:rPr>
          <w:rFonts w:ascii="宋体" w:hAnsi="宋体"/>
          <w:color w:val="000000"/>
          <w:sz w:val="24"/>
        </w:rPr>
        <w:t>（3）基金管理人应在基金首次投资流通受限证券前</w:t>
      </w:r>
      <w:r>
        <w:rPr>
          <w:rFonts w:ascii="宋体" w:hint="eastAsia"/>
          <w:color w:val="000000"/>
          <w:sz w:val="24"/>
        </w:rPr>
        <w:t>，</w:t>
      </w:r>
      <w:r>
        <w:rPr>
          <w:rFonts w:ascii="宋体" w:hAnsi="宋体"/>
          <w:color w:val="000000"/>
          <w:sz w:val="24"/>
        </w:rPr>
        <w:t>向基金托管人提供</w:t>
      </w:r>
      <w:r>
        <w:rPr>
          <w:rFonts w:ascii="宋体" w:hAnsi="宋体" w:hint="eastAsia"/>
          <w:color w:val="000000"/>
          <w:sz w:val="24"/>
        </w:rPr>
        <w:t>基金管理人的</w:t>
      </w:r>
      <w:r>
        <w:rPr>
          <w:rFonts w:ascii="宋体" w:hAnsi="宋体"/>
          <w:color w:val="000000"/>
          <w:sz w:val="24"/>
        </w:rPr>
        <w:t>基金投资流通受限证券的投资决策流程、风险控制制度。基金投资非公开发行股票</w:t>
      </w:r>
      <w:r>
        <w:rPr>
          <w:rFonts w:ascii="宋体" w:hint="eastAsia"/>
          <w:color w:val="000000"/>
          <w:sz w:val="24"/>
        </w:rPr>
        <w:t>，</w:t>
      </w:r>
      <w:r>
        <w:rPr>
          <w:rFonts w:ascii="宋体" w:hAnsi="宋体"/>
          <w:color w:val="000000"/>
          <w:sz w:val="24"/>
        </w:rPr>
        <w:t>基金管理人还应提供基金管理人的流动性风险处置预案。上述资料应包括但不限于基金投资流通受限证券的投资额度和投资比例控制情况。</w:t>
      </w:r>
      <w:r>
        <w:rPr>
          <w:rFonts w:ascii="宋体"/>
          <w:color w:val="000000"/>
          <w:sz w:val="24"/>
        </w:rPr>
        <w:t> </w:t>
      </w:r>
      <w:r>
        <w:rPr>
          <w:rFonts w:ascii="宋体" w:hAnsi="宋体"/>
          <w:color w:val="000000"/>
          <w:sz w:val="24"/>
        </w:rPr>
        <w:t>基金管理人应至少于首次执行投资指令之前两个工作日将上述资料书面发至基金托管人</w:t>
      </w:r>
      <w:r>
        <w:rPr>
          <w:rFonts w:ascii="宋体" w:hint="eastAsia"/>
          <w:color w:val="000000"/>
          <w:sz w:val="24"/>
        </w:rPr>
        <w:t>，</w:t>
      </w:r>
      <w:r>
        <w:rPr>
          <w:rFonts w:ascii="宋体" w:hAnsi="宋体"/>
          <w:color w:val="000000"/>
          <w:sz w:val="24"/>
        </w:rPr>
        <w:t>保证基金托管人有足够的时间进行审核。基金托管人应在收到上述资料后两个工作日内</w:t>
      </w:r>
      <w:r>
        <w:rPr>
          <w:rFonts w:ascii="宋体" w:hint="eastAsia"/>
          <w:color w:val="000000"/>
          <w:sz w:val="24"/>
        </w:rPr>
        <w:t>，</w:t>
      </w:r>
      <w:r>
        <w:rPr>
          <w:rFonts w:ascii="宋体" w:hAnsi="宋体"/>
          <w:color w:val="000000"/>
          <w:sz w:val="24"/>
        </w:rPr>
        <w:t xml:space="preserve">以书面或其他双方认可的方式确认收到上述资料。 </w:t>
      </w:r>
    </w:p>
    <w:p w14:paraId="2802F0EB" w14:textId="77777777" w:rsidR="00A931B6" w:rsidRDefault="000A2AB6">
      <w:pPr>
        <w:pStyle w:val="121"/>
        <w:spacing w:before="156" w:line="360" w:lineRule="auto"/>
        <w:ind w:left="105" w:firstLineChars="200" w:firstLine="480"/>
        <w:rPr>
          <w:sz w:val="24"/>
        </w:rPr>
      </w:pPr>
      <w:r>
        <w:rPr>
          <w:rFonts w:ascii="宋体" w:hAnsi="宋体"/>
          <w:color w:val="000000"/>
          <w:sz w:val="24"/>
        </w:rPr>
        <w:t>（4）基金投资流通受限证券前</w:t>
      </w:r>
      <w:r>
        <w:rPr>
          <w:rFonts w:ascii="宋体" w:hint="eastAsia"/>
          <w:color w:val="000000"/>
          <w:sz w:val="24"/>
        </w:rPr>
        <w:t>，</w:t>
      </w:r>
      <w:r>
        <w:rPr>
          <w:rFonts w:ascii="宋体" w:hAnsi="宋体"/>
          <w:color w:val="000000"/>
          <w:sz w:val="24"/>
        </w:rPr>
        <w:t>基金管理人应向基金托管人提供符合法律法规要求的有关书面信息</w:t>
      </w:r>
      <w:r>
        <w:rPr>
          <w:rFonts w:ascii="宋体" w:hint="eastAsia"/>
          <w:color w:val="000000"/>
          <w:sz w:val="24"/>
        </w:rPr>
        <w:t>，</w:t>
      </w:r>
      <w:r>
        <w:rPr>
          <w:rFonts w:ascii="宋体" w:hAnsi="宋体"/>
          <w:color w:val="000000"/>
          <w:sz w:val="24"/>
        </w:rPr>
        <w:t>包括但不限于拟发行证券主体的中国证监会批准</w:t>
      </w:r>
      <w:r>
        <w:rPr>
          <w:rFonts w:ascii="宋体" w:hAnsi="宋体" w:hint="eastAsia"/>
          <w:color w:val="000000"/>
          <w:sz w:val="24"/>
        </w:rPr>
        <w:t>或注册</w:t>
      </w:r>
      <w:r>
        <w:rPr>
          <w:rFonts w:ascii="宋体" w:hAnsi="宋体"/>
          <w:color w:val="000000"/>
          <w:sz w:val="24"/>
        </w:rPr>
        <w:t>文件、发行证券数量、发行价格、锁定期</w:t>
      </w:r>
      <w:r>
        <w:rPr>
          <w:rFonts w:ascii="宋体" w:hint="eastAsia"/>
          <w:color w:val="000000"/>
          <w:sz w:val="24"/>
        </w:rPr>
        <w:t>、</w:t>
      </w:r>
      <w:r>
        <w:rPr>
          <w:rFonts w:ascii="宋体" w:hAnsi="宋体"/>
          <w:color w:val="000000"/>
          <w:sz w:val="24"/>
        </w:rPr>
        <w:t>基金拟认购的数量、价格、总成本、总成本占基金资产净值的比例、已持有流通受限证券市值占资产净值的比例、资金划付时间等。基金管理人应保证上述信息的真实、完整</w:t>
      </w:r>
      <w:r>
        <w:rPr>
          <w:rFonts w:ascii="宋体" w:hint="eastAsia"/>
          <w:color w:val="000000"/>
          <w:sz w:val="24"/>
        </w:rPr>
        <w:t>，</w:t>
      </w:r>
      <w:r>
        <w:rPr>
          <w:rFonts w:ascii="宋体" w:hAnsi="宋体"/>
          <w:color w:val="000000"/>
          <w:sz w:val="24"/>
        </w:rPr>
        <w:t>并应至少于拟执行投资指令前两个工作日将上述信息书面发送至基金托管人</w:t>
      </w:r>
      <w:r>
        <w:rPr>
          <w:rFonts w:ascii="宋体" w:hint="eastAsia"/>
          <w:color w:val="000000"/>
          <w:sz w:val="24"/>
        </w:rPr>
        <w:t>，</w:t>
      </w:r>
      <w:r>
        <w:rPr>
          <w:rFonts w:ascii="宋体" w:hAnsi="宋体"/>
          <w:color w:val="000000"/>
          <w:sz w:val="24"/>
        </w:rPr>
        <w:t>保证基金托管人有足够的时间进行审核。</w:t>
      </w:r>
    </w:p>
    <w:p w14:paraId="13E11DD9" w14:textId="77777777" w:rsidR="00A931B6" w:rsidRDefault="000A2AB6">
      <w:pPr>
        <w:pStyle w:val="121"/>
        <w:spacing w:line="360" w:lineRule="auto"/>
        <w:ind w:firstLineChars="200" w:firstLine="482"/>
        <w:rPr>
          <w:rFonts w:ascii="宋体" w:hAnsi="宋体"/>
          <w:b/>
          <w:bCs/>
          <w:sz w:val="24"/>
        </w:rPr>
      </w:pPr>
      <w:r>
        <w:rPr>
          <w:rFonts w:ascii="宋体" w:hAnsi="宋体"/>
          <w:b/>
          <w:bCs/>
          <w:sz w:val="24"/>
        </w:rPr>
        <w:t>8.</w:t>
      </w:r>
      <w:r>
        <w:rPr>
          <w:rFonts w:ascii="宋体" w:hAnsi="宋体" w:hint="eastAsia"/>
          <w:b/>
          <w:bCs/>
          <w:sz w:val="24"/>
        </w:rPr>
        <w:t>基金参与融资及转融通证券出借业务，基金管理人应当遵守审慎经营的原则，配备技术系统和专业人员，制定科学合理的投资策略和风险管理制度，完善业务流程，有效防范和控制风险，基金托管人将对基金参与融资及转融通证券出借业务进行监督与复核。</w:t>
      </w:r>
    </w:p>
    <w:p w14:paraId="3E42C355" w14:textId="77777777" w:rsidR="00A931B6" w:rsidRDefault="000A2AB6">
      <w:pPr>
        <w:pStyle w:val="121"/>
        <w:spacing w:line="360" w:lineRule="auto"/>
        <w:ind w:firstLineChars="200" w:firstLine="482"/>
        <w:rPr>
          <w:rFonts w:ascii="宋体" w:hAnsi="宋体"/>
          <w:b/>
          <w:bCs/>
          <w:sz w:val="24"/>
        </w:rPr>
      </w:pPr>
      <w:r>
        <w:rPr>
          <w:rFonts w:ascii="宋体" w:hAnsi="宋体"/>
          <w:b/>
          <w:bCs/>
          <w:sz w:val="24"/>
        </w:rPr>
        <w:t>9</w:t>
      </w:r>
      <w:r>
        <w:rPr>
          <w:rFonts w:ascii="宋体" w:hAnsi="宋体" w:hint="eastAsia"/>
          <w:b/>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224C61E2" w14:textId="77777777" w:rsidR="00A931B6" w:rsidRDefault="000A2AB6">
      <w:pPr>
        <w:pStyle w:val="121"/>
        <w:spacing w:before="156" w:line="360" w:lineRule="auto"/>
        <w:ind w:left="105" w:firstLineChars="200" w:firstLine="480"/>
        <w:rPr>
          <w:rFonts w:ascii="宋体" w:hAnsi="宋体"/>
          <w:color w:val="000000"/>
          <w:sz w:val="24"/>
        </w:rPr>
      </w:pPr>
      <w:r>
        <w:rPr>
          <w:rFonts w:ascii="宋体" w:hAnsi="宋体" w:hint="eastAsia"/>
          <w:color w:val="000000"/>
          <w:sz w:val="24"/>
        </w:rPr>
        <w:t>基金托管人依照相关法律法规的规定和基金合同的约定，对侧袋机制启用、特定资产处置和信息披露等方面进行复核和监督。侧袋机制实施期间的具体规则依照相关法律法规的规定和基金合同的约定执行。</w:t>
      </w:r>
    </w:p>
    <w:p w14:paraId="6753D1F2" w14:textId="3E47508E" w:rsidR="00A931B6" w:rsidRDefault="000A2AB6" w:rsidP="007D6CA1">
      <w:pPr>
        <w:pStyle w:val="121"/>
        <w:spacing w:line="360" w:lineRule="auto"/>
        <w:ind w:firstLineChars="200" w:firstLine="482"/>
        <w:rPr>
          <w:rFonts w:ascii="宋体" w:hAnsi="宋体"/>
          <w:b/>
          <w:bCs/>
          <w:sz w:val="24"/>
        </w:rPr>
      </w:pPr>
      <w:r>
        <w:rPr>
          <w:rFonts w:ascii="宋体" w:hAnsi="宋体"/>
          <w:b/>
          <w:bCs/>
          <w:sz w:val="24"/>
        </w:rPr>
        <w:t>10.基金托管人根据法律法规的规定及《基金合同》和本协议的约定，对基金投资其他方面进行监督。</w:t>
      </w:r>
    </w:p>
    <w:p w14:paraId="15AA2F9F"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lastRenderedPageBreak/>
        <w:t>（二）基金托管人应根据有关法律法规的规定及《基金合同》的约定，对基金资产净值计算、</w:t>
      </w:r>
      <w:r>
        <w:rPr>
          <w:rFonts w:ascii="宋体" w:hAnsi="宋体" w:hint="eastAsia"/>
          <w:b/>
          <w:bCs/>
          <w:sz w:val="24"/>
        </w:rPr>
        <w:t>各类</w:t>
      </w:r>
      <w:r>
        <w:rPr>
          <w:rFonts w:ascii="宋体" w:hAnsi="宋体"/>
          <w:b/>
          <w:bCs/>
          <w:sz w:val="24"/>
        </w:rPr>
        <w:t>基金份额净值计算、应收资金到账、基金费用开支及收入确认、基金收益分配、相关信息披露、基金宣传推介材料中登载基金业绩表现数据等进行监督和核查。如果基金管理人未经基金托管人的审核擅自将不实的业绩表现数据印制在宣传推介材料上，则基金托管人对此不承担任何责任，并有权在发现后报告中国证监会。</w:t>
      </w:r>
    </w:p>
    <w:p w14:paraId="3CF1A028"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t>（三）基金管理人应积极配合和协助基金托管人的监督和核查，在规定时间内答复并改正，就基金托管人的</w:t>
      </w:r>
      <w:r>
        <w:rPr>
          <w:rFonts w:ascii="宋体" w:hAnsi="宋体" w:hint="eastAsia"/>
          <w:b/>
          <w:bCs/>
          <w:sz w:val="24"/>
        </w:rPr>
        <w:t>合理</w:t>
      </w:r>
      <w:r>
        <w:rPr>
          <w:rFonts w:ascii="宋体" w:hAnsi="宋体"/>
          <w:b/>
          <w:bCs/>
          <w:sz w:val="24"/>
        </w:rPr>
        <w:t>疑义进行解释或举证。对基金托管人按照法规要求需向中国证监会报送基金监督报告的，基金管理人应积极配合提供相关数据资料和制度等。</w:t>
      </w:r>
    </w:p>
    <w:p w14:paraId="1C99FD9E"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基金托管人发现基金管理人的投资指令或实际投资运作违反《基金法》及其他有关法规、《基金合同》和本协议规定的行为，应及时以书面形式通知基金管理人限期纠正，基金管理人收到通知后应及时核对，并以电话或书面形式向基金托管人反馈，说明违规原因及纠正期限，并保证在规定期限内及时改正。在限期内，基金托管人有权随时对通知事项进行复查，督促基金管理人改正。基金管理人对基金托管人通知的违规事项未能在限期内纠正的，基金托管人有权报告中国证监会。</w:t>
      </w:r>
    </w:p>
    <w:p w14:paraId="5AA35D21"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基金托管人发现基金管理人有重大违规行为，应立即报告中国证监会，同时通知基金管理人在限期内纠正。</w:t>
      </w:r>
    </w:p>
    <w:p w14:paraId="4838A6CF"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基金托管人发现基金管理人的指令违反法律、行政法规和其他有关规定，或者违反《基金合同》约定的，应当拒绝执行，立即通知基金管理人，并有权向中国证监会报告。</w:t>
      </w:r>
    </w:p>
    <w:p w14:paraId="40643BA6"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基金托管人发现基金管理人依据交易程序已经生效的指令违反法律、行政法规和其他有关规定，或者违反《基金合同》约定的，应当立即通知基金管理人，并有权向中国证监会报告。</w:t>
      </w:r>
      <w:bookmarkStart w:id="27" w:name="_Toc125892440"/>
    </w:p>
    <w:p w14:paraId="60513116" w14:textId="77777777" w:rsidR="00A931B6" w:rsidRDefault="000A2AB6">
      <w:pPr>
        <w:pStyle w:val="113"/>
      </w:pPr>
      <w:bookmarkStart w:id="28" w:name="_Toc65162003"/>
      <w:r>
        <w:t>四、基金管理人对基金托管人的业务核查</w:t>
      </w:r>
      <w:bookmarkEnd w:id="27"/>
      <w:bookmarkEnd w:id="28"/>
    </w:p>
    <w:p w14:paraId="25D4F468"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根据《基金法》及其他有关法规、《基金合同》和本协议规定，基金管理人对基金托管人履行托管职责的情况进行核查，核查事项包括但不限于基金托管人</w:t>
      </w:r>
      <w:r>
        <w:rPr>
          <w:rFonts w:ascii="宋体" w:hAnsi="宋体"/>
          <w:sz w:val="24"/>
        </w:rPr>
        <w:lastRenderedPageBreak/>
        <w:t>是否安全保管基金财产、开立基金财产的资金账户、证券账户及债券托管账户等投资所需账户，是否及时、准确复核基金管理人计算的基金资产净值和</w:t>
      </w:r>
      <w:r>
        <w:rPr>
          <w:rFonts w:ascii="宋体" w:hAnsi="宋体" w:hint="eastAsia"/>
          <w:sz w:val="24"/>
        </w:rPr>
        <w:t>各类</w:t>
      </w:r>
      <w:r>
        <w:rPr>
          <w:rFonts w:ascii="宋体" w:hAnsi="宋体"/>
          <w:sz w:val="24"/>
        </w:rPr>
        <w:t>基金份额净值，是否根据基金管理人指令办理清算交收，是否按照法规规定和《基金合同》规定进行相关信息披露和监督基金投资运作等行为。</w:t>
      </w:r>
    </w:p>
    <w:p w14:paraId="75B10455"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基金管理人定期和不定期地对基金托管人保管的基金资产进行核查。基金托管人应积极配合基金管理人的核查行为，包括但不限于：提交相关资料以供基金管理人核查托管财产的完整性和真实性，在规定时间内答复并改正。</w:t>
      </w:r>
    </w:p>
    <w:p w14:paraId="230026D1"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基金管理人发现基金托管人未对基金资产实行分账管理、擅自挪用基金资产、未执行或无故延迟执行基金管理人资金划拨指令、泄露基金投资信息等违反《基金法》、《基金合同》、本协议及其他有关规定的，应及时以书面形式通知基金托管人在限期内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报告中国证监会。对基金管理人按照法规要求需向中国证监会报送基金监督报告的，基金托管人应积极配合提供相关数据资料和制度等。</w:t>
      </w:r>
    </w:p>
    <w:p w14:paraId="57DDF62B"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基金管理人发现基金托管人有重大违规行为，应立即报告中国证监会，同时通知基金托管人在限期内纠正。</w:t>
      </w:r>
    </w:p>
    <w:p w14:paraId="7939AC14" w14:textId="77777777" w:rsidR="00A931B6" w:rsidRDefault="000A2AB6">
      <w:pPr>
        <w:pStyle w:val="113"/>
      </w:pPr>
      <w:bookmarkStart w:id="29" w:name="_Toc22454437"/>
      <w:bookmarkStart w:id="30" w:name="_Toc65162004"/>
      <w:bookmarkStart w:id="31" w:name="_Toc466788854"/>
      <w:bookmarkStart w:id="32" w:name="_Toc125892441"/>
      <w:bookmarkStart w:id="33" w:name="_Toc523829995"/>
      <w:r>
        <w:t>五、基金财产的保管</w:t>
      </w:r>
      <w:bookmarkEnd w:id="29"/>
      <w:bookmarkEnd w:id="30"/>
      <w:bookmarkEnd w:id="31"/>
      <w:bookmarkEnd w:id="32"/>
      <w:bookmarkEnd w:id="33"/>
    </w:p>
    <w:p w14:paraId="348B8103" w14:textId="77777777" w:rsidR="00A931B6" w:rsidRDefault="000A2AB6">
      <w:pPr>
        <w:pStyle w:val="121"/>
        <w:tabs>
          <w:tab w:val="left" w:pos="3780"/>
        </w:tabs>
        <w:autoSpaceDE w:val="0"/>
        <w:autoSpaceDN w:val="0"/>
        <w:spacing w:before="156" w:after="156" w:line="360" w:lineRule="auto"/>
        <w:outlineLvl w:val="0"/>
        <w:rPr>
          <w:rFonts w:ascii="宋体"/>
          <w:b/>
          <w:bCs/>
          <w:sz w:val="24"/>
        </w:rPr>
      </w:pPr>
      <w:bookmarkStart w:id="34" w:name="_Toc37159173"/>
      <w:bookmarkStart w:id="35" w:name="_Toc77662997"/>
      <w:r>
        <w:rPr>
          <w:rFonts w:ascii="宋体" w:hAnsi="宋体"/>
          <w:b/>
          <w:bCs/>
          <w:sz w:val="24"/>
        </w:rPr>
        <w:t>（一）基金财产保管的原则</w:t>
      </w:r>
      <w:bookmarkEnd w:id="34"/>
      <w:bookmarkEnd w:id="35"/>
    </w:p>
    <w:p w14:paraId="66E132C5"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1.基金托管人应安全保管基金财产，未经基金管理人的指令，不得自行运用、处分、分配基金的任何资产，非因基金财产本身承担的债务，不得对基金财产强制执行。</w:t>
      </w:r>
    </w:p>
    <w:p w14:paraId="686591DF"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2.基金财产应独立于基金管理人、基金托管人</w:t>
      </w:r>
      <w:r>
        <w:rPr>
          <w:rFonts w:ascii="宋体" w:hAnsi="宋体" w:hint="eastAsia"/>
          <w:sz w:val="24"/>
        </w:rPr>
        <w:t>、证券经纪商</w:t>
      </w:r>
      <w:r>
        <w:rPr>
          <w:rFonts w:ascii="宋体" w:hAnsi="宋体"/>
          <w:sz w:val="24"/>
        </w:rPr>
        <w:t>的固有财产。基金财产的债权、不得与基金管理人、基金托管人固有财产的债务相抵销，不同基金财产的债权债务，不得相互抵销。基金管理人、基金托管人以其自有资产承担法律责任，其债权人不得对基金财产行使请求冻结、扣押和其他权利。</w:t>
      </w:r>
    </w:p>
    <w:p w14:paraId="1B99FDD8"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3.基金托管人按照规定开立基金财产的银行存款账户</w:t>
      </w:r>
      <w:r>
        <w:rPr>
          <w:rFonts w:ascii="宋体" w:hAnsi="宋体" w:hint="eastAsia"/>
          <w:sz w:val="24"/>
        </w:rPr>
        <w:t>（即本基金的托管账户）</w:t>
      </w:r>
      <w:r>
        <w:rPr>
          <w:rFonts w:ascii="宋体" w:hAnsi="宋体"/>
          <w:sz w:val="24"/>
        </w:rPr>
        <w:t>、证券账户和债券托管账户等投资所需账户</w:t>
      </w:r>
      <w:r>
        <w:rPr>
          <w:spacing w:val="-4"/>
          <w:sz w:val="24"/>
        </w:rPr>
        <w:t>，基金管理人和基金托管人按照规定</w:t>
      </w:r>
      <w:r>
        <w:rPr>
          <w:rFonts w:ascii="宋体" w:hAnsi="宋体"/>
          <w:sz w:val="24"/>
        </w:rPr>
        <w:t>开立期货资金账户。</w:t>
      </w:r>
    </w:p>
    <w:p w14:paraId="7DABF52C"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lastRenderedPageBreak/>
        <w:t>4.基金托管人对所托管的不同基金财产分别设置账户，与基金托管人的其他业务和其他基金的托管业务实行严格的分账管理，独立核算，确保基金财产的完整和独立。</w:t>
      </w:r>
    </w:p>
    <w:p w14:paraId="48E9918B" w14:textId="77777777" w:rsidR="00A931B6" w:rsidRDefault="000A2AB6">
      <w:pPr>
        <w:pStyle w:val="121"/>
        <w:tabs>
          <w:tab w:val="left" w:pos="1260"/>
        </w:tabs>
        <w:spacing w:line="360" w:lineRule="auto"/>
        <w:ind w:firstLineChars="200" w:firstLine="480"/>
        <w:rPr>
          <w:rFonts w:ascii="宋体" w:hAnsi="宋体"/>
          <w:sz w:val="24"/>
        </w:rPr>
      </w:pPr>
      <w:r>
        <w:rPr>
          <w:rFonts w:ascii="宋体" w:hAnsi="宋体"/>
          <w:sz w:val="24"/>
        </w:rPr>
        <w:t>5.对于因为基金投资产生的应收资产和基金申购过程中产生的应收资产，应由基金管理人负责与有关当事人确定到账日期并通知基金托管人，到账日基金资产没有到达基金银行存款账户的，基金托管人应及时通知基金管理人采取措施进行催收。由此给基金造成损失的，基金管理人应负责向有关当事人追偿基金的损失。</w:t>
      </w:r>
      <w:bookmarkStart w:id="36" w:name="_Toc77662998"/>
      <w:bookmarkStart w:id="37" w:name="_Toc37159174"/>
      <w:r>
        <w:rPr>
          <w:rFonts w:ascii="宋体" w:hAnsi="宋体"/>
          <w:sz w:val="24"/>
        </w:rPr>
        <w:t>基金托管人对此不承担任何责任</w:t>
      </w:r>
      <w:r>
        <w:rPr>
          <w:rFonts w:ascii="宋体" w:hAnsi="宋体" w:hint="eastAsia"/>
          <w:sz w:val="24"/>
        </w:rPr>
        <w:t>，但应配合基金管理人催收和追偿</w:t>
      </w:r>
      <w:r>
        <w:rPr>
          <w:rFonts w:ascii="宋体" w:hAnsi="宋体"/>
          <w:sz w:val="24"/>
        </w:rPr>
        <w:t>。</w:t>
      </w:r>
    </w:p>
    <w:p w14:paraId="43816560"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t>（二）基金募集资产的验证</w:t>
      </w:r>
      <w:bookmarkEnd w:id="36"/>
      <w:bookmarkEnd w:id="37"/>
    </w:p>
    <w:p w14:paraId="561AF295"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基金募集期满或基金提前结束募集之日起10日内，由基金管理人聘请符合《中华人民共和国证券法》</w:t>
      </w:r>
      <w:r>
        <w:rPr>
          <w:rFonts w:ascii="宋体" w:hAnsi="宋体" w:hint="eastAsia"/>
          <w:sz w:val="24"/>
        </w:rPr>
        <w:t>（以下简称“《证券法》”）</w:t>
      </w:r>
      <w:r>
        <w:rPr>
          <w:rFonts w:ascii="宋体" w:hAnsi="宋体"/>
          <w:sz w:val="24"/>
        </w:rPr>
        <w:t>规定的会计师事务所进行验资，出具验资报告，出具的验资报告应由参加验资的2名以上（含2名）中国注册会计师签字有效。验资完成，基金管理人应将募集到的全部资金存入基金托管人为基金开立的基金银行存款账户中，基金托管人在收到资金当日出具相关证明文件。</w:t>
      </w:r>
      <w:bookmarkStart w:id="38" w:name="_Toc37159176"/>
      <w:bookmarkStart w:id="39" w:name="_Toc77663000"/>
    </w:p>
    <w:p w14:paraId="62D92EBF"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t>（三）基金的银行存款账户的开立和管理</w:t>
      </w:r>
      <w:bookmarkEnd w:id="38"/>
      <w:bookmarkEnd w:id="39"/>
    </w:p>
    <w:p w14:paraId="40E32F73"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1.基金托管人应负责本基金银行存款账户的开立和管理。</w:t>
      </w:r>
    </w:p>
    <w:p w14:paraId="66A0355A"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2.基金托管人以本基金的名义在其营业机构开立基金的银行存款账户，并根据基金管理人合法合规的指令办理资金收付。本基金的银行预留印鉴由基金托管人保管和使用。本基金的一切货币收支活动，包括但不限于投资、支付赎回金额、支付基金收益，均需通过本基金的银行存款账户进行。</w:t>
      </w:r>
    </w:p>
    <w:p w14:paraId="2B2BB116"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3.本基金银行存款账户的开立和使用，限于满足开展本基金业务的需要。基金托管人和基金管理人不得假借本基金的名义开立其他任何银行存款账户；亦不得使用基金的任何银行存款账户进行本基金业务以外的活动。</w:t>
      </w:r>
    </w:p>
    <w:p w14:paraId="46356857"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4.基金托管人可以通过申请开通本基金银行</w:t>
      </w:r>
      <w:r>
        <w:rPr>
          <w:rFonts w:ascii="宋体" w:hAnsi="宋体" w:hint="eastAsia"/>
          <w:sz w:val="24"/>
        </w:rPr>
        <w:t>存款</w:t>
      </w:r>
      <w:r>
        <w:rPr>
          <w:rFonts w:ascii="宋体" w:hAnsi="宋体"/>
          <w:sz w:val="24"/>
        </w:rPr>
        <w:t>账户的企业网上银行业务进行资金支付，并使用交通银行企业网上银行（简称“交通银行网银”）办理托管资产的资金结算汇划业务。</w:t>
      </w:r>
    </w:p>
    <w:p w14:paraId="09F0B929"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5.基金银行存款账户的管理应符合银行业监督管理机构的有关规定。</w:t>
      </w:r>
      <w:bookmarkStart w:id="40" w:name="_Toc77663001"/>
      <w:bookmarkStart w:id="41" w:name="_Toc37159177"/>
    </w:p>
    <w:p w14:paraId="72FC0E6B"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lastRenderedPageBreak/>
        <w:t>（四）基金证券账户、证券资金账户的开立和管理</w:t>
      </w:r>
      <w:bookmarkEnd w:id="40"/>
      <w:bookmarkEnd w:id="41"/>
    </w:p>
    <w:p w14:paraId="4AC2055F" w14:textId="77777777" w:rsidR="00A931B6" w:rsidRDefault="000A2AB6">
      <w:pPr>
        <w:pStyle w:val="121"/>
        <w:tabs>
          <w:tab w:val="left" w:pos="1260"/>
        </w:tabs>
        <w:spacing w:line="360" w:lineRule="auto"/>
        <w:ind w:firstLineChars="200" w:firstLine="480"/>
        <w:rPr>
          <w:rFonts w:ascii="宋体" w:hAnsi="宋体"/>
          <w:sz w:val="24"/>
        </w:rPr>
      </w:pPr>
      <w:bookmarkStart w:id="42" w:name="_Toc466788855"/>
      <w:bookmarkStart w:id="43" w:name="_Toc125892442"/>
      <w:bookmarkStart w:id="44" w:name="_Toc523829996"/>
      <w:r>
        <w:rPr>
          <w:rFonts w:ascii="宋体" w:hAnsi="宋体"/>
          <w:sz w:val="24"/>
        </w:rPr>
        <w:t>1.基金托管人应当代表本基金，以基金托管人和本基金联名的方式在中国证券登记结算有限责任公司开设证券账户。</w:t>
      </w:r>
    </w:p>
    <w:p w14:paraId="1054F9F0" w14:textId="77777777" w:rsidR="00A931B6" w:rsidRDefault="000A2AB6">
      <w:pPr>
        <w:pStyle w:val="121"/>
        <w:tabs>
          <w:tab w:val="left" w:pos="1260"/>
        </w:tabs>
        <w:spacing w:line="360" w:lineRule="auto"/>
        <w:ind w:firstLineChars="200" w:firstLine="480"/>
        <w:rPr>
          <w:rFonts w:ascii="宋体" w:hAnsi="宋体"/>
          <w:sz w:val="24"/>
        </w:rPr>
      </w:pPr>
      <w:r>
        <w:rPr>
          <w:rFonts w:ascii="宋体" w:hAnsi="宋体"/>
          <w:sz w:val="24"/>
        </w:rPr>
        <w:t>2.基金证券账户资产的管理和运用由基金管理人负责。</w:t>
      </w:r>
    </w:p>
    <w:p w14:paraId="2705194C" w14:textId="77777777" w:rsidR="00A931B6" w:rsidRDefault="000A2AB6">
      <w:pPr>
        <w:pStyle w:val="121"/>
        <w:tabs>
          <w:tab w:val="left" w:pos="1260"/>
        </w:tabs>
        <w:spacing w:line="360" w:lineRule="auto"/>
        <w:ind w:firstLineChars="200" w:firstLine="480"/>
        <w:rPr>
          <w:rFonts w:ascii="宋体" w:hAnsi="宋体"/>
          <w:sz w:val="24"/>
        </w:rPr>
      </w:pPr>
      <w:r>
        <w:rPr>
          <w:rFonts w:ascii="宋体" w:hAnsi="宋体"/>
          <w:sz w:val="24"/>
        </w:rPr>
        <w:t>3.证券账户开立后，基金管理人以本基金名义在基金管理人选择的证券经纪</w:t>
      </w:r>
      <w:r>
        <w:rPr>
          <w:rFonts w:ascii="宋体" w:hAnsi="宋体" w:hint="eastAsia"/>
          <w:sz w:val="24"/>
        </w:rPr>
        <w:t>商</w:t>
      </w:r>
      <w:r>
        <w:rPr>
          <w:rFonts w:ascii="宋体" w:hAnsi="宋体"/>
          <w:sz w:val="24"/>
        </w:rPr>
        <w:t>营业网点开立对应的证券资金账户，并通知基金托管人。证券资金账户用于本基金证券交易的结算以及证券交易结算资金的记录，并与本基金银行存款账户之间建立唯一银证转账对应关系</w:t>
      </w:r>
      <w:r>
        <w:rPr>
          <w:rFonts w:ascii="宋体" w:hAnsi="宋体" w:hint="eastAsia"/>
          <w:sz w:val="24"/>
        </w:rPr>
        <w:t>，</w:t>
      </w:r>
      <w:r>
        <w:rPr>
          <w:rFonts w:ascii="宋体" w:hAnsi="宋体"/>
          <w:sz w:val="24"/>
        </w:rPr>
        <w:t>证券经纪</w:t>
      </w:r>
      <w:r>
        <w:rPr>
          <w:rFonts w:ascii="宋体" w:hAnsi="宋体" w:hint="eastAsia"/>
          <w:sz w:val="24"/>
        </w:rPr>
        <w:t>商</w:t>
      </w:r>
      <w:r>
        <w:rPr>
          <w:rFonts w:ascii="宋体" w:hAnsi="宋体"/>
          <w:sz w:val="24"/>
        </w:rPr>
        <w:t>对开立的证券资金账户内存放的资金的安全承担责任</w:t>
      </w:r>
      <w:r>
        <w:rPr>
          <w:rFonts w:ascii="宋体" w:hAnsi="宋体" w:hint="eastAsia"/>
          <w:sz w:val="24"/>
        </w:rPr>
        <w:t>，</w:t>
      </w:r>
      <w:r>
        <w:rPr>
          <w:rFonts w:ascii="宋体" w:hAnsi="宋体"/>
          <w:sz w:val="24"/>
        </w:rPr>
        <w:t>基金托管人不负责保管证券资金账户内存放的资金。</w:t>
      </w:r>
    </w:p>
    <w:p w14:paraId="09A8396D" w14:textId="77777777" w:rsidR="00A931B6" w:rsidRDefault="000A2AB6">
      <w:pPr>
        <w:pStyle w:val="121"/>
        <w:tabs>
          <w:tab w:val="left" w:pos="1260"/>
        </w:tabs>
        <w:spacing w:line="360" w:lineRule="auto"/>
        <w:ind w:firstLineChars="200" w:firstLine="480"/>
        <w:rPr>
          <w:rFonts w:ascii="宋体" w:hAnsi="宋体"/>
          <w:sz w:val="24"/>
        </w:rPr>
      </w:pPr>
      <w:r>
        <w:rPr>
          <w:rFonts w:ascii="宋体" w:hAnsi="宋体"/>
          <w:sz w:val="24"/>
        </w:rPr>
        <w:t>4.由基金托管人持基金管理人</w:t>
      </w:r>
      <w:r>
        <w:rPr>
          <w:rFonts w:ascii="宋体" w:hAnsi="宋体" w:hint="eastAsia"/>
          <w:sz w:val="24"/>
        </w:rPr>
        <w:t>、基金托管人</w:t>
      </w:r>
      <w:r>
        <w:rPr>
          <w:rFonts w:ascii="宋体" w:hAnsi="宋体"/>
          <w:sz w:val="24"/>
        </w:rPr>
        <w:t>与证券经纪</w:t>
      </w:r>
      <w:r>
        <w:rPr>
          <w:rFonts w:ascii="宋体" w:hAnsi="宋体" w:hint="eastAsia"/>
          <w:sz w:val="24"/>
        </w:rPr>
        <w:t>商</w:t>
      </w:r>
      <w:r>
        <w:rPr>
          <w:rFonts w:ascii="宋体" w:hAnsi="宋体"/>
          <w:sz w:val="24"/>
        </w:rPr>
        <w:t>签订的三方存管相关协议办理证券资金账户与本基金银行存款账户的银证签约手续，未经</w:t>
      </w:r>
      <w:r>
        <w:rPr>
          <w:rFonts w:ascii="宋体" w:hAnsi="宋体" w:hint="eastAsia"/>
          <w:sz w:val="24"/>
        </w:rPr>
        <w:t>另一方</w:t>
      </w:r>
      <w:r>
        <w:rPr>
          <w:rFonts w:ascii="宋体" w:hAnsi="宋体"/>
          <w:sz w:val="24"/>
        </w:rPr>
        <w:t>书面同意，</w:t>
      </w:r>
      <w:r>
        <w:rPr>
          <w:rFonts w:ascii="宋体" w:hAnsi="宋体" w:hint="eastAsia"/>
          <w:sz w:val="24"/>
        </w:rPr>
        <w:t>基金管理人或基金托管人</w:t>
      </w:r>
      <w:r>
        <w:rPr>
          <w:rFonts w:ascii="宋体" w:hAnsi="宋体"/>
          <w:sz w:val="24"/>
        </w:rPr>
        <w:t>不得将银证签约的指定银行结算账户（即本基金银行存款账户）变更为其他账户，否则，因此引起的法律后果及给本基金造成的损失全部由</w:t>
      </w:r>
      <w:r>
        <w:rPr>
          <w:rFonts w:ascii="宋体" w:hAnsi="宋体" w:hint="eastAsia"/>
          <w:sz w:val="24"/>
        </w:rPr>
        <w:t>过错方</w:t>
      </w:r>
      <w:r>
        <w:rPr>
          <w:rFonts w:ascii="宋体" w:hAnsi="宋体"/>
          <w:sz w:val="24"/>
        </w:rPr>
        <w:t>承担。</w:t>
      </w:r>
    </w:p>
    <w:p w14:paraId="15AFC2A6" w14:textId="77777777" w:rsidR="00A931B6" w:rsidRDefault="000A2AB6">
      <w:pPr>
        <w:pStyle w:val="121"/>
        <w:tabs>
          <w:tab w:val="left" w:pos="1260"/>
        </w:tabs>
        <w:spacing w:line="360" w:lineRule="auto"/>
        <w:ind w:firstLineChars="200" w:firstLine="480"/>
        <w:rPr>
          <w:rFonts w:ascii="宋体" w:hAnsi="宋体"/>
          <w:sz w:val="24"/>
        </w:rPr>
      </w:pPr>
      <w:r>
        <w:rPr>
          <w:rFonts w:ascii="宋体" w:hAnsi="宋体"/>
          <w:sz w:val="24"/>
        </w:rPr>
        <w:t>5.本基金证券账户和证券资金账户的开立和使用，限于满足开展本基金业务的需要。基金托管人和基金管理人不得出借或未经另一方同意擅自转让本基金的证券账户和证券资金账户；亦不得使用本基金的证券账户和证券资金账户进行本基金业务以外的活动。</w:t>
      </w:r>
    </w:p>
    <w:p w14:paraId="12CB08B0"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t>（五）债券托管账户的开立和管理</w:t>
      </w:r>
    </w:p>
    <w:p w14:paraId="12190C20"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1.基金合同生效后，基金管理人负责向中国人民银行进行报备，基金托管人在备案通过后在中央国债登记结算有限责任公司及银行间市场清算所股份有限公司以本基金的名义开立债券托管账户，并由基金托管人负责基金的债券及资金的清算。</w:t>
      </w:r>
      <w:r>
        <w:rPr>
          <w:rFonts w:ascii="宋体" w:hAnsi="宋体"/>
          <w:sz w:val="24"/>
          <w:szCs w:val="21"/>
        </w:rPr>
        <w:t>基金管理人负责申请基金进入全国银行间同业拆借市场进行交易，由基金管理人在中国外汇交易中心开设同业拆借市场交易</w:t>
      </w:r>
      <w:r>
        <w:rPr>
          <w:rFonts w:ascii="宋体" w:hAnsi="宋体"/>
          <w:sz w:val="24"/>
        </w:rPr>
        <w:t>账户</w:t>
      </w:r>
      <w:r>
        <w:rPr>
          <w:rFonts w:ascii="宋体" w:hAnsi="宋体"/>
          <w:sz w:val="24"/>
          <w:szCs w:val="21"/>
        </w:rPr>
        <w:t>。</w:t>
      </w:r>
    </w:p>
    <w:p w14:paraId="65F2E657" w14:textId="77777777" w:rsidR="00A931B6" w:rsidRDefault="000A2AB6">
      <w:pPr>
        <w:pStyle w:val="121"/>
        <w:tabs>
          <w:tab w:val="left" w:pos="1260"/>
        </w:tabs>
        <w:spacing w:line="360" w:lineRule="auto"/>
        <w:ind w:firstLineChars="200" w:firstLine="480"/>
        <w:rPr>
          <w:rFonts w:ascii="宋体" w:hAnsi="宋体"/>
          <w:sz w:val="24"/>
        </w:rPr>
      </w:pPr>
      <w:r>
        <w:rPr>
          <w:rFonts w:ascii="宋体" w:hAnsi="宋体"/>
          <w:sz w:val="24"/>
        </w:rPr>
        <w:t>2.基金管理人代表基金签订全国银行间债券市场债券回购主协议，协议正本由基金管理人保存。</w:t>
      </w:r>
    </w:p>
    <w:p w14:paraId="327B72B8" w14:textId="77777777" w:rsidR="00A931B6" w:rsidRDefault="000A2AB6">
      <w:pPr>
        <w:pStyle w:val="121"/>
        <w:tabs>
          <w:tab w:val="left" w:pos="3780"/>
        </w:tabs>
        <w:autoSpaceDE w:val="0"/>
        <w:autoSpaceDN w:val="0"/>
        <w:spacing w:before="156" w:after="156" w:line="360" w:lineRule="auto"/>
        <w:outlineLvl w:val="0"/>
        <w:rPr>
          <w:rFonts w:ascii="宋体" w:hAnsi="宋体"/>
          <w:b/>
          <w:bCs/>
          <w:sz w:val="24"/>
        </w:rPr>
      </w:pPr>
      <w:r>
        <w:rPr>
          <w:rFonts w:ascii="宋体" w:hAnsi="宋体"/>
          <w:b/>
          <w:bCs/>
          <w:sz w:val="24"/>
        </w:rPr>
        <w:t>（六）</w:t>
      </w:r>
      <w:bookmarkStart w:id="45" w:name="_Toc17996120"/>
      <w:r>
        <w:rPr>
          <w:rFonts w:ascii="宋体" w:hAnsi="宋体"/>
          <w:b/>
          <w:bCs/>
          <w:sz w:val="24"/>
        </w:rPr>
        <w:t>期货相关账户的开立和管理</w:t>
      </w:r>
      <w:bookmarkEnd w:id="45"/>
    </w:p>
    <w:p w14:paraId="44ECD1E3" w14:textId="77777777" w:rsidR="00A931B6" w:rsidRDefault="000A2AB6">
      <w:pPr>
        <w:pStyle w:val="121"/>
        <w:spacing w:line="360" w:lineRule="auto"/>
        <w:ind w:firstLineChars="200" w:firstLine="480"/>
        <w:rPr>
          <w:rFonts w:ascii="宋体" w:hAnsi="宋体"/>
          <w:sz w:val="24"/>
        </w:rPr>
      </w:pPr>
      <w:r>
        <w:rPr>
          <w:rFonts w:ascii="宋体" w:hAnsi="宋体"/>
          <w:sz w:val="24"/>
        </w:rPr>
        <w:t>基金管理人、基金托管人应当按照相关规定开立期货资金账户，在中国金融</w:t>
      </w:r>
      <w:r>
        <w:rPr>
          <w:rFonts w:ascii="宋体" w:hAnsi="宋体"/>
          <w:sz w:val="24"/>
        </w:rPr>
        <w:lastRenderedPageBreak/>
        <w:t>期货交易所获取交易编码。期货资金账户名称及交易编码对应名称应按照有关规定设立。</w:t>
      </w:r>
    </w:p>
    <w:p w14:paraId="4C3CD186" w14:textId="77777777" w:rsidR="00A931B6" w:rsidRDefault="000A2AB6">
      <w:pPr>
        <w:pStyle w:val="121"/>
        <w:tabs>
          <w:tab w:val="left" w:pos="1260"/>
        </w:tabs>
        <w:spacing w:before="156" w:after="156" w:line="360" w:lineRule="auto"/>
        <w:ind w:firstLineChars="200" w:firstLine="480"/>
        <w:rPr>
          <w:rFonts w:ascii="宋体" w:hAnsi="宋体"/>
          <w:sz w:val="24"/>
        </w:rPr>
      </w:pPr>
      <w:r>
        <w:rPr>
          <w:rFonts w:ascii="宋体" w:hAnsi="宋体"/>
          <w:sz w:val="24"/>
        </w:rPr>
        <w:t>基金托管人已取得期货保证金存管银行资格，基金管理人授权基金托管人办理相关银期转账业务。</w:t>
      </w:r>
    </w:p>
    <w:p w14:paraId="543ED646" w14:textId="77777777" w:rsidR="00A931B6" w:rsidRDefault="000A2AB6">
      <w:pPr>
        <w:pStyle w:val="121"/>
        <w:tabs>
          <w:tab w:val="left" w:pos="3780"/>
        </w:tabs>
        <w:autoSpaceDE w:val="0"/>
        <w:autoSpaceDN w:val="0"/>
        <w:spacing w:before="156" w:after="156" w:line="360" w:lineRule="auto"/>
        <w:outlineLvl w:val="0"/>
        <w:rPr>
          <w:rFonts w:ascii="宋体" w:hAnsi="宋体"/>
          <w:b/>
          <w:bCs/>
          <w:sz w:val="24"/>
        </w:rPr>
      </w:pPr>
      <w:r>
        <w:rPr>
          <w:rFonts w:ascii="宋体" w:hAnsi="宋体"/>
          <w:b/>
          <w:bCs/>
          <w:sz w:val="24"/>
        </w:rPr>
        <w:t>（七）</w:t>
      </w:r>
      <w:bookmarkStart w:id="46" w:name="_Toc17996121"/>
      <w:r>
        <w:rPr>
          <w:rFonts w:ascii="宋体" w:hAnsi="宋体"/>
          <w:b/>
          <w:bCs/>
          <w:sz w:val="24"/>
        </w:rPr>
        <w:t>基金投资银行存款账户的开立和管理</w:t>
      </w:r>
      <w:bookmarkEnd w:id="46"/>
    </w:p>
    <w:p w14:paraId="09AF180B" w14:textId="77777777" w:rsidR="00A931B6" w:rsidRDefault="000A2AB6">
      <w:pPr>
        <w:pStyle w:val="121"/>
        <w:spacing w:line="360" w:lineRule="auto"/>
        <w:ind w:firstLineChars="200" w:firstLine="464"/>
        <w:rPr>
          <w:spacing w:val="-4"/>
          <w:sz w:val="24"/>
        </w:rPr>
      </w:pPr>
      <w:r>
        <w:rPr>
          <w:spacing w:val="-4"/>
          <w:sz w:val="24"/>
        </w:rPr>
        <w:t>存款账户必须以基金名义开立，账户名称为基金名称，存款账户开户文件上加盖预留印鉴（须包括托管人印章）及基金管理人公章。</w:t>
      </w:r>
    </w:p>
    <w:p w14:paraId="1D3A24F5" w14:textId="77777777" w:rsidR="00A931B6" w:rsidRDefault="000A2AB6">
      <w:pPr>
        <w:pStyle w:val="121"/>
        <w:spacing w:line="360" w:lineRule="auto"/>
        <w:ind w:firstLineChars="200" w:firstLine="464"/>
        <w:rPr>
          <w:spacing w:val="-4"/>
          <w:sz w:val="24"/>
        </w:rPr>
      </w:pPr>
      <w:r>
        <w:rPr>
          <w:spacing w:val="-4"/>
          <w:sz w:val="24"/>
        </w:rPr>
        <w:t>本基金投资银行存款时，基金管理人应当与存款银行签订具体存款协议</w:t>
      </w:r>
      <w:r>
        <w:rPr>
          <w:spacing w:val="-4"/>
          <w:sz w:val="24"/>
        </w:rPr>
        <w:t>/</w:t>
      </w:r>
      <w:r>
        <w:rPr>
          <w:spacing w:val="-4"/>
          <w:sz w:val="24"/>
        </w:rPr>
        <w:t>存款确认单据，明确存款的类型、期限、利率、金额、账号、对账方式、支取方式、</w:t>
      </w:r>
      <w:r>
        <w:rPr>
          <w:spacing w:val="6"/>
          <w:sz w:val="24"/>
        </w:rPr>
        <w:t>存款到期指定收款账户</w:t>
      </w:r>
      <w:r>
        <w:rPr>
          <w:spacing w:val="-4"/>
          <w:sz w:val="24"/>
        </w:rPr>
        <w:t>等细则。</w:t>
      </w:r>
    </w:p>
    <w:p w14:paraId="5AA87F01" w14:textId="77777777" w:rsidR="00A931B6" w:rsidRDefault="000A2AB6">
      <w:pPr>
        <w:pStyle w:val="121"/>
        <w:spacing w:line="360" w:lineRule="auto"/>
        <w:ind w:firstLineChars="200" w:firstLine="464"/>
        <w:rPr>
          <w:spacing w:val="-4"/>
          <w:sz w:val="24"/>
        </w:rPr>
      </w:pPr>
      <w:r>
        <w:rPr>
          <w:spacing w:val="-4"/>
          <w:sz w:val="24"/>
        </w:rPr>
        <w:t>为防范特殊情况下的流动性风险，存款协议中应当约定提前支取条款。</w:t>
      </w:r>
    </w:p>
    <w:p w14:paraId="0D1D2574" w14:textId="77777777" w:rsidR="00A931B6" w:rsidRDefault="000A2AB6">
      <w:pPr>
        <w:pStyle w:val="121"/>
        <w:tabs>
          <w:tab w:val="left" w:pos="3780"/>
        </w:tabs>
        <w:autoSpaceDE w:val="0"/>
        <w:autoSpaceDN w:val="0"/>
        <w:spacing w:before="156" w:after="156" w:line="360" w:lineRule="auto"/>
        <w:outlineLvl w:val="0"/>
        <w:rPr>
          <w:rFonts w:ascii="宋体" w:hAnsi="宋体"/>
          <w:b/>
          <w:bCs/>
          <w:sz w:val="24"/>
        </w:rPr>
      </w:pPr>
      <w:r>
        <w:rPr>
          <w:rFonts w:ascii="宋体" w:hAnsi="宋体"/>
          <w:b/>
          <w:bCs/>
          <w:sz w:val="24"/>
        </w:rPr>
        <w:t>（八）其他账户的开立和管理</w:t>
      </w:r>
    </w:p>
    <w:p w14:paraId="32328FAF" w14:textId="77777777" w:rsidR="00A931B6" w:rsidRDefault="000A2AB6">
      <w:pPr>
        <w:pStyle w:val="214"/>
      </w:pPr>
      <w:r>
        <w:t>若中国证监会或其他监管机构在本托管协议订立日之后允许基金从事其他投资品种的投资业务，涉及相关账户的开立、使用的，由基金管理人协助基金托管人根据有关法律法规的规定和《基金合同》的约定，开立有关账户。该账户按有关规则使用并管理。</w:t>
      </w:r>
    </w:p>
    <w:p w14:paraId="58BEFD6C"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t>（九）基金财产投资的有关实物证券、银行存款定期存单等有价凭证的保管</w:t>
      </w:r>
    </w:p>
    <w:p w14:paraId="320CF1B3" w14:textId="77777777" w:rsidR="00A931B6" w:rsidRDefault="000A2AB6">
      <w:pPr>
        <w:pStyle w:val="121"/>
        <w:tabs>
          <w:tab w:val="left" w:pos="1260"/>
        </w:tabs>
        <w:spacing w:line="360" w:lineRule="auto"/>
        <w:ind w:firstLineChars="200" w:firstLine="480"/>
        <w:rPr>
          <w:rFonts w:ascii="宋体"/>
          <w:color w:val="000000"/>
          <w:sz w:val="24"/>
        </w:rPr>
      </w:pPr>
      <w:r>
        <w:rPr>
          <w:rFonts w:ascii="宋体" w:hAnsi="宋体"/>
          <w:sz w:val="24"/>
        </w:rPr>
        <w:t>实物证券由基金托管人存放于基金托管人的保管库。实物证券的购买和转让，由基金托管人根据基金管理人的指令办理。</w:t>
      </w:r>
      <w:r>
        <w:rPr>
          <w:rFonts w:ascii="宋体" w:hAnsi="宋体"/>
          <w:color w:val="000000"/>
          <w:sz w:val="24"/>
        </w:rPr>
        <w:t>基金托管人对由基金托管人以外机构实际有效控制的本基金资产不承担保管责任。</w:t>
      </w:r>
    </w:p>
    <w:p w14:paraId="35A13539" w14:textId="77777777" w:rsidR="00A931B6" w:rsidRDefault="000A2AB6">
      <w:pPr>
        <w:pStyle w:val="121"/>
        <w:tabs>
          <w:tab w:val="left" w:pos="1260"/>
        </w:tabs>
        <w:spacing w:line="360" w:lineRule="auto"/>
        <w:ind w:firstLineChars="200" w:firstLine="480"/>
        <w:rPr>
          <w:rFonts w:ascii="宋体" w:hAnsi="宋体"/>
          <w:sz w:val="24"/>
        </w:rPr>
      </w:pPr>
      <w:r>
        <w:rPr>
          <w:rFonts w:ascii="宋体" w:hAnsi="宋体"/>
          <w:sz w:val="24"/>
        </w:rPr>
        <w:t>银行存款定期存单等有价凭证由基金托管人负责保管。</w:t>
      </w:r>
    </w:p>
    <w:p w14:paraId="04839358" w14:textId="77777777" w:rsidR="00A931B6" w:rsidRDefault="000A2AB6">
      <w:pPr>
        <w:pStyle w:val="121"/>
        <w:spacing w:line="360" w:lineRule="auto"/>
        <w:ind w:firstLineChars="200" w:firstLine="480"/>
        <w:rPr>
          <w:spacing w:val="-4"/>
          <w:sz w:val="24"/>
        </w:rPr>
      </w:pPr>
      <w:r>
        <w:rPr>
          <w:rFonts w:ascii="宋体" w:hAnsi="宋体"/>
          <w:sz w:val="24"/>
        </w:rPr>
        <w:t>基金托管人只负责对存款证实书进行保管，不负责对存款证实书真伪的辨别，不承担存款证实书对应存款的本金及收益的安全保管责任。</w:t>
      </w:r>
    </w:p>
    <w:p w14:paraId="46B83CF5" w14:textId="77777777" w:rsidR="00A931B6" w:rsidRDefault="000A2AB6">
      <w:pPr>
        <w:pStyle w:val="121"/>
        <w:tabs>
          <w:tab w:val="left" w:pos="3780"/>
        </w:tabs>
        <w:autoSpaceDE w:val="0"/>
        <w:autoSpaceDN w:val="0"/>
        <w:spacing w:before="156" w:after="156" w:line="360" w:lineRule="auto"/>
        <w:outlineLvl w:val="0"/>
        <w:rPr>
          <w:rFonts w:ascii="宋体"/>
          <w:b/>
          <w:bCs/>
          <w:sz w:val="24"/>
        </w:rPr>
      </w:pPr>
      <w:bookmarkStart w:id="47" w:name="_Toc37159180"/>
      <w:bookmarkStart w:id="48" w:name="_Toc77663004"/>
      <w:r>
        <w:rPr>
          <w:rFonts w:ascii="宋体" w:hAnsi="宋体"/>
          <w:b/>
          <w:bCs/>
          <w:sz w:val="24"/>
        </w:rPr>
        <w:t>（十）与基金财产有关的重大合同的保管</w:t>
      </w:r>
      <w:bookmarkEnd w:id="47"/>
      <w:bookmarkEnd w:id="48"/>
    </w:p>
    <w:p w14:paraId="2507605E"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由基金管理人代表基金签署的与基金有关的重大合同的原件分别由基金托管人、基金管理人保管，相关业务程序另有限制除外。除本协议另有规定外，基</w:t>
      </w:r>
      <w:r>
        <w:rPr>
          <w:rFonts w:ascii="宋体" w:hAnsi="宋体"/>
          <w:sz w:val="24"/>
        </w:rPr>
        <w:lastRenderedPageBreak/>
        <w:t>金管理人在代表基金签署与基金有关的重大合同时应尽可能保证持有二份以上的正本，以便基金管理人和基金托管人至少各持有一份正本的原件，基金管理人应及时将正本送达基金托管人处。合同的保管期限</w:t>
      </w:r>
      <w:r>
        <w:rPr>
          <w:rFonts w:ascii="宋体" w:hAnsi="宋体" w:hint="eastAsia"/>
          <w:sz w:val="24"/>
        </w:rPr>
        <w:t>不低于法律法规规定的最低期限</w:t>
      </w:r>
      <w:r>
        <w:rPr>
          <w:rFonts w:ascii="宋体" w:hAnsi="宋体"/>
          <w:sz w:val="24"/>
        </w:rPr>
        <w:t>。</w:t>
      </w:r>
    </w:p>
    <w:p w14:paraId="2708B610"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对于无法取得二份以上的正本的，基金管理人应向基金托管人提供加盖授权业务章的合同</w:t>
      </w:r>
      <w:r>
        <w:rPr>
          <w:rFonts w:ascii="宋体" w:hAnsi="宋体" w:hint="eastAsia"/>
          <w:sz w:val="24"/>
        </w:rPr>
        <w:t>复制</w:t>
      </w:r>
      <w:r>
        <w:rPr>
          <w:rFonts w:ascii="宋体" w:hAnsi="宋体"/>
          <w:sz w:val="24"/>
        </w:rPr>
        <w:t>件，未经双方协商或未在合同约定范围内，合同原件不得转移。</w:t>
      </w:r>
    </w:p>
    <w:p w14:paraId="143D5B55" w14:textId="77777777" w:rsidR="00A931B6" w:rsidRDefault="000A2AB6">
      <w:pPr>
        <w:pStyle w:val="113"/>
      </w:pPr>
      <w:bookmarkStart w:id="49" w:name="_Toc65162005"/>
      <w:r>
        <w:t>六、指令的发送、确认和执行</w:t>
      </w:r>
      <w:bookmarkEnd w:id="42"/>
      <w:bookmarkEnd w:id="43"/>
      <w:bookmarkEnd w:id="44"/>
      <w:bookmarkEnd w:id="49"/>
    </w:p>
    <w:p w14:paraId="10E5855A" w14:textId="77777777" w:rsidR="00A931B6" w:rsidRDefault="000A2AB6">
      <w:pPr>
        <w:pStyle w:val="121"/>
        <w:tabs>
          <w:tab w:val="left" w:pos="3780"/>
        </w:tabs>
        <w:autoSpaceDE w:val="0"/>
        <w:autoSpaceDN w:val="0"/>
        <w:spacing w:before="156" w:after="156" w:line="360" w:lineRule="auto"/>
        <w:outlineLvl w:val="0"/>
        <w:rPr>
          <w:rFonts w:ascii="宋体"/>
          <w:b/>
          <w:bCs/>
          <w:sz w:val="24"/>
        </w:rPr>
      </w:pPr>
      <w:bookmarkStart w:id="50" w:name="_Toc77663006"/>
      <w:r>
        <w:rPr>
          <w:rFonts w:ascii="宋体" w:hAnsi="宋体"/>
          <w:b/>
          <w:bCs/>
          <w:sz w:val="24"/>
        </w:rPr>
        <w:t>（一）基金管理人对发送指令人员的书面授权</w:t>
      </w:r>
      <w:bookmarkEnd w:id="50"/>
    </w:p>
    <w:p w14:paraId="50398D62"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基金管理人应事先书面通知（以下简称“授权通知”）基金托管人有权发送指令的人员名单、签字样本、预留印鉴和启用日期，注明相应的权限，并规定基金管理人向基金托管人发送指令时基金托管人确认有权发送人员（以下简称“被授权人”）身份的方法。基金管理人向基金托管人发出的授权通知应加盖公章。基金管理人发出授权通知后，以电话形式向基金托管人确认，授权通知自其上面注明的启用日期开始生效，在此后三个工作日内基金管理人应将授权通知的正本送交基金托管人。</w:t>
      </w:r>
    </w:p>
    <w:p w14:paraId="4AF1D193"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基金托管人收到授权通知后，将签字和印鉴与预留样本核对无误后，应在收到授权通知当日电话向基金管理人确认。</w:t>
      </w:r>
    </w:p>
    <w:p w14:paraId="3A01E099"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基金管理人和基金托管人对授权</w:t>
      </w:r>
      <w:r>
        <w:rPr>
          <w:rFonts w:ascii="宋体" w:hAnsi="宋体" w:hint="eastAsia"/>
          <w:sz w:val="24"/>
        </w:rPr>
        <w:t>通知</w:t>
      </w:r>
      <w:r>
        <w:rPr>
          <w:rFonts w:ascii="宋体" w:hAnsi="宋体"/>
          <w:sz w:val="24"/>
        </w:rPr>
        <w:t>负有保密义务，其内容不得向</w:t>
      </w:r>
      <w:r>
        <w:rPr>
          <w:rFonts w:ascii="宋体" w:hAnsi="宋体" w:hint="eastAsia"/>
          <w:sz w:val="24"/>
        </w:rPr>
        <w:t>被</w:t>
      </w:r>
      <w:r>
        <w:rPr>
          <w:rFonts w:ascii="宋体" w:hAnsi="宋体"/>
          <w:sz w:val="24"/>
        </w:rPr>
        <w:t>授权人及相关操作人员以外的任何人泄露</w:t>
      </w:r>
      <w:r>
        <w:rPr>
          <w:rFonts w:ascii="宋体" w:hAnsi="宋体" w:hint="eastAsia"/>
          <w:sz w:val="24"/>
        </w:rPr>
        <w:t>，法律法规另有规定或者有权机关另有要求的除外</w:t>
      </w:r>
      <w:r>
        <w:rPr>
          <w:rFonts w:ascii="宋体" w:hAnsi="宋体"/>
          <w:sz w:val="24"/>
        </w:rPr>
        <w:t>。</w:t>
      </w:r>
      <w:bookmarkStart w:id="51" w:name="_Toc77663007"/>
    </w:p>
    <w:p w14:paraId="75123282"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t>（二）指令的内容</w:t>
      </w:r>
      <w:bookmarkEnd w:id="51"/>
    </w:p>
    <w:p w14:paraId="562898C4"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指令是基金管理人在运用基金资产时，向基金托管人发出的资金划拨及其他款项收付的指令。</w:t>
      </w:r>
      <w:bookmarkStart w:id="52" w:name="_Toc77663008"/>
      <w:r>
        <w:rPr>
          <w:rFonts w:ascii="宋体" w:hAnsi="宋体"/>
          <w:sz w:val="24"/>
        </w:rPr>
        <w:t>指令应写明款项事由、支付时间、到账时间、金额、收款账户</w:t>
      </w:r>
      <w:r>
        <w:rPr>
          <w:rFonts w:ascii="宋体" w:hAnsi="宋体" w:hint="eastAsia"/>
          <w:sz w:val="24"/>
        </w:rPr>
        <w:t>、大额支付号（如有）</w:t>
      </w:r>
      <w:r>
        <w:rPr>
          <w:rFonts w:ascii="宋体" w:hAnsi="宋体"/>
          <w:sz w:val="24"/>
        </w:rPr>
        <w:t>等执行支付所需内容，加盖预留印鉴</w:t>
      </w:r>
      <w:r>
        <w:rPr>
          <w:rFonts w:ascii="宋体" w:hAnsi="宋体" w:hint="eastAsia"/>
          <w:sz w:val="24"/>
        </w:rPr>
        <w:t>及被授权人的签章</w:t>
      </w:r>
      <w:r>
        <w:rPr>
          <w:rFonts w:ascii="宋体" w:hAnsi="宋体"/>
          <w:sz w:val="24"/>
        </w:rPr>
        <w:t>。</w:t>
      </w:r>
    </w:p>
    <w:p w14:paraId="6E7974A3" w14:textId="77777777" w:rsidR="00A931B6" w:rsidRDefault="000A2AB6">
      <w:pPr>
        <w:pStyle w:val="121"/>
        <w:tabs>
          <w:tab w:val="left" w:pos="1260"/>
        </w:tabs>
        <w:spacing w:line="360" w:lineRule="auto"/>
        <w:rPr>
          <w:rFonts w:ascii="宋体"/>
          <w:b/>
          <w:bCs/>
          <w:sz w:val="24"/>
        </w:rPr>
      </w:pPr>
      <w:r>
        <w:rPr>
          <w:rFonts w:ascii="宋体" w:hAnsi="宋体"/>
          <w:b/>
          <w:bCs/>
          <w:sz w:val="24"/>
        </w:rPr>
        <w:t>（三）指令的发送、确认和执行</w:t>
      </w:r>
      <w:bookmarkEnd w:id="52"/>
      <w:r>
        <w:rPr>
          <w:rFonts w:ascii="宋体" w:hAnsi="宋体"/>
          <w:b/>
          <w:bCs/>
          <w:sz w:val="24"/>
        </w:rPr>
        <w:t>的时间和程序</w:t>
      </w:r>
    </w:p>
    <w:p w14:paraId="447C7E76" w14:textId="77777777" w:rsidR="00A931B6" w:rsidRDefault="000A2AB6">
      <w:pPr>
        <w:pStyle w:val="121"/>
        <w:tabs>
          <w:tab w:val="left" w:pos="1260"/>
        </w:tabs>
        <w:spacing w:line="360" w:lineRule="auto"/>
        <w:ind w:firstLineChars="200" w:firstLine="480"/>
        <w:rPr>
          <w:rFonts w:ascii="宋体" w:hAnsi="宋体"/>
          <w:sz w:val="24"/>
        </w:rPr>
      </w:pPr>
      <w:r>
        <w:rPr>
          <w:rFonts w:ascii="宋体" w:hAnsi="宋体"/>
          <w:sz w:val="24"/>
        </w:rPr>
        <w:t>基金管理人应按照《基金法》及其他有关法规、《基金合同》和本协议的规定，在其合法的经营权限和交易权限内发送指令，被授权人应按照其授权权限发送指令。指令由“授权通知”确定的被授权人代表基金管理人向基金托管人发送。</w:t>
      </w:r>
      <w:r>
        <w:rPr>
          <w:rFonts w:ascii="宋体" w:hAnsi="宋体"/>
          <w:sz w:val="24"/>
        </w:rPr>
        <w:lastRenderedPageBreak/>
        <w:t>发送后基金管理人及时通过电话与基金托管人确认指令内容。基金管理人必须在15:00之前向基金托管人发送付款指令并确保基金银行</w:t>
      </w:r>
      <w:r>
        <w:rPr>
          <w:rFonts w:ascii="宋体" w:hAnsi="宋体" w:hint="eastAsia"/>
          <w:sz w:val="24"/>
        </w:rPr>
        <w:t>存款</w:t>
      </w:r>
      <w:r>
        <w:rPr>
          <w:rFonts w:ascii="宋体" w:hAnsi="宋体"/>
          <w:sz w:val="24"/>
        </w:rPr>
        <w:t>账户有足够的资金余额，15:00之后发送付款指令或截</w:t>
      </w:r>
      <w:r>
        <w:rPr>
          <w:rFonts w:ascii="宋体" w:hAnsi="宋体" w:hint="eastAsia"/>
          <w:sz w:val="24"/>
        </w:rPr>
        <w:t>至</w:t>
      </w:r>
      <w:r>
        <w:rPr>
          <w:rFonts w:ascii="宋体" w:hAnsi="宋体"/>
          <w:sz w:val="24"/>
        </w:rPr>
        <w:t>15:00账户资金不足的，基金托管人不能保证在当日完成划付</w:t>
      </w:r>
      <w:r>
        <w:rPr>
          <w:rFonts w:ascii="宋体" w:hAnsi="宋体" w:hint="eastAsia"/>
          <w:sz w:val="24"/>
        </w:rPr>
        <w:t>，但应尽力配合</w:t>
      </w:r>
      <w:r>
        <w:rPr>
          <w:rFonts w:ascii="宋体" w:hAnsi="宋体"/>
          <w:sz w:val="24"/>
        </w:rPr>
        <w:t>。对基金管理人在没有充足资金的情况下向基金托管人发出的指令，基金托管人可不予执行，并立即通知基金管理人，基金托管人不承担因为不执行该指令而造成损失的责任。如基金管理人要求当天某一时点到账，必须至少提前2个工作小时向基金托管人发送付款指令并与基金托管人电话确认。基金管理人指令传输及确认不及时或账户资金不足</w:t>
      </w:r>
      <w:r>
        <w:rPr>
          <w:rFonts w:ascii="宋体" w:hAnsi="宋体" w:hint="eastAsia"/>
          <w:sz w:val="24"/>
        </w:rPr>
        <w:t>或</w:t>
      </w:r>
      <w:r>
        <w:rPr>
          <w:rFonts w:ascii="宋体" w:hAnsi="宋体"/>
          <w:sz w:val="24"/>
        </w:rPr>
        <w:t>未能留出足够的执行时间，致使指令未能及时执行的，基金托管人不承担由此导致的损失。基金管理人应将银行间市场成交单加盖预留印鉴后传真</w:t>
      </w:r>
      <w:r>
        <w:rPr>
          <w:rFonts w:ascii="宋体" w:hAnsi="宋体" w:hint="eastAsia"/>
          <w:sz w:val="24"/>
        </w:rPr>
        <w:t>或电子邮件</w:t>
      </w:r>
      <w:r>
        <w:rPr>
          <w:rFonts w:ascii="宋体" w:hAnsi="宋体"/>
          <w:sz w:val="24"/>
        </w:rPr>
        <w:t>给基金托管人</w:t>
      </w:r>
      <w:r>
        <w:rPr>
          <w:rFonts w:ascii="宋体" w:hAnsi="宋体" w:hint="eastAsia"/>
          <w:sz w:val="24"/>
        </w:rPr>
        <w:t>，管理人与托管人协商一致后，可免除成交单的发送</w:t>
      </w:r>
      <w:r>
        <w:rPr>
          <w:rFonts w:ascii="宋体" w:hAnsi="宋体"/>
          <w:sz w:val="24"/>
        </w:rPr>
        <w:t>。对于被授权人</w:t>
      </w:r>
      <w:r>
        <w:rPr>
          <w:rFonts w:ascii="宋体" w:hAnsi="宋体" w:hint="eastAsia"/>
          <w:sz w:val="24"/>
        </w:rPr>
        <w:t>在其授权范围内依程序</w:t>
      </w:r>
      <w:r>
        <w:rPr>
          <w:rFonts w:ascii="宋体" w:hAnsi="宋体"/>
          <w:sz w:val="24"/>
        </w:rPr>
        <w:t>发出的指令，基金管理人不得否认其效力。基金托管人依照“授权通知”规定的方法确认指令有效后，方可执行指令。管理人承诺发送给托管人的指令所加盖印鉴及被授权人的签章真实、有效、完整，托管人仅对印鉴、签章进行表面相符性的形式审核，对其真实性不承担责任。</w:t>
      </w:r>
    </w:p>
    <w:p w14:paraId="770C4869"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t>（四）基金管理人发送错误指令的情形和处理程序</w:t>
      </w:r>
    </w:p>
    <w:p w14:paraId="2D42D24A"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基金管理人发送错误指令的情形包括指令发送人员无权或超越权限发送指令及交割信息错误，指令中重要信息模糊不清或不全等。基金托管人在履行监督职能时，发现基金管理人的指令错误时，</w:t>
      </w:r>
      <w:r>
        <w:rPr>
          <w:rFonts w:ascii="宋体" w:hAnsi="宋体" w:hint="eastAsia"/>
          <w:sz w:val="24"/>
        </w:rPr>
        <w:t>应当</w:t>
      </w:r>
      <w:r>
        <w:rPr>
          <w:rFonts w:ascii="宋体" w:hAnsi="宋体"/>
          <w:sz w:val="24"/>
        </w:rPr>
        <w:t xml:space="preserve">拒绝执行，并及时通知基金管理人改正。 </w:t>
      </w:r>
    </w:p>
    <w:p w14:paraId="778A3B51"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t>（五）基金托管人依照法律法规暂缓、拒绝执行指令的情形和处理程序</w:t>
      </w:r>
    </w:p>
    <w:p w14:paraId="0D129BD9"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基金托管人在对基金场外投资指令进行审核时，如发现基金管理人的投资指令违反有关基金的法律法规、《基金合同》、本协议的规定，如交易未生效，则不予执行并立即通知基金管理人；如交易已生效，则以书面形式通知基金管理人限期纠正。基金管理人收到通知后应及时核对，并以约定形式向基金托管人反馈，由此造成的损失由基金管理人承担。</w:t>
      </w:r>
    </w:p>
    <w:p w14:paraId="1DF18C68"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基金托管人在对基金场外投资指令进行审核时，如发现投资指令有可能违反法律法规、《基金合同》、本协议的规定，应暂缓执行指令，通知基金管理人改</w:t>
      </w:r>
      <w:r>
        <w:rPr>
          <w:rFonts w:ascii="宋体" w:hAnsi="宋体"/>
          <w:sz w:val="24"/>
        </w:rPr>
        <w:lastRenderedPageBreak/>
        <w:t>正。如果基金管理人拒不改正，基金托管人有权向中国证监会报告。</w:t>
      </w:r>
    </w:p>
    <w:p w14:paraId="56A42A93"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t>（六）基金托管人未按照基金管理人指令执行的处理方法</w:t>
      </w:r>
    </w:p>
    <w:p w14:paraId="73023D77"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基金托管人由于自身原因造成未按照基金管理人发送的正常指令执行，应在发现后及时采取措施予以弥补，给基金份额持有人造成损失的，对由此造成的直接经济损失负赔偿责任。</w:t>
      </w:r>
      <w:bookmarkStart w:id="53" w:name="_Toc77663009"/>
    </w:p>
    <w:p w14:paraId="37FCE5EF"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t>（七）被授权人</w:t>
      </w:r>
      <w:bookmarkEnd w:id="53"/>
      <w:r>
        <w:rPr>
          <w:rFonts w:ascii="宋体" w:hAnsi="宋体"/>
          <w:b/>
          <w:bCs/>
          <w:sz w:val="24"/>
        </w:rPr>
        <w:t>的更换</w:t>
      </w:r>
    </w:p>
    <w:p w14:paraId="7C0DC448"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基金管理人撤换被授权人或改变被授权人的权限，必须提前至少三个工作日，使用传真</w:t>
      </w:r>
      <w:r>
        <w:rPr>
          <w:rFonts w:ascii="宋体" w:hAnsi="宋体" w:hint="eastAsia"/>
          <w:sz w:val="24"/>
        </w:rPr>
        <w:t>或电子邮件</w:t>
      </w:r>
      <w:r>
        <w:rPr>
          <w:rFonts w:ascii="宋体" w:hAnsi="宋体"/>
          <w:sz w:val="24"/>
        </w:rPr>
        <w:t>向基金托管人发出加盖公章的被授权人变更通知，注明启用日期，同时电话通知基金托管人。被授权人变更通知自其上面注明的启用日期起开始生效。基金管理人对授权通知的内容的修改自启用日期起生效。基金管理人在此后三个工作日内将被授权人变更通知的正本送交基金托管人。</w:t>
      </w:r>
    </w:p>
    <w:p w14:paraId="373002C8"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如果基金管理人已经撤销或更改对指令发送人员的授权，并且书面通知基金托管人，则对于在变更通知的启用日期后该指令发送人员无权发送的指令，或超权限发送的指令，基金管理人不承担责任。</w:t>
      </w:r>
    </w:p>
    <w:p w14:paraId="47E7799D" w14:textId="77777777" w:rsidR="00A931B6" w:rsidRDefault="000A2AB6">
      <w:pPr>
        <w:pStyle w:val="113"/>
      </w:pPr>
      <w:bookmarkStart w:id="54" w:name="_Toc523829997"/>
      <w:bookmarkStart w:id="55" w:name="_Toc65162006"/>
      <w:bookmarkStart w:id="56" w:name="_Toc466788856"/>
      <w:bookmarkStart w:id="57" w:name="_Toc125892443"/>
      <w:bookmarkStart w:id="58" w:name="_Toc22454451"/>
      <w:r>
        <w:t>七、交易及清算交收安排</w:t>
      </w:r>
      <w:bookmarkEnd w:id="54"/>
      <w:bookmarkEnd w:id="55"/>
      <w:bookmarkEnd w:id="56"/>
      <w:bookmarkEnd w:id="57"/>
      <w:bookmarkEnd w:id="58"/>
    </w:p>
    <w:p w14:paraId="16315667" w14:textId="77777777" w:rsidR="00A931B6" w:rsidRDefault="000A2AB6">
      <w:pPr>
        <w:pStyle w:val="121"/>
        <w:tabs>
          <w:tab w:val="left" w:pos="3780"/>
        </w:tabs>
        <w:autoSpaceDE w:val="0"/>
        <w:autoSpaceDN w:val="0"/>
        <w:spacing w:before="156" w:after="156" w:line="360" w:lineRule="auto"/>
        <w:outlineLvl w:val="0"/>
        <w:rPr>
          <w:rFonts w:ascii="宋体"/>
          <w:b/>
          <w:bCs/>
          <w:sz w:val="24"/>
        </w:rPr>
      </w:pPr>
      <w:bookmarkStart w:id="59" w:name="_Toc77663011"/>
      <w:bookmarkStart w:id="60" w:name="_Toc22454452"/>
      <w:bookmarkStart w:id="61" w:name="_Toc77663012"/>
      <w:r>
        <w:rPr>
          <w:rFonts w:ascii="宋体" w:hAnsi="宋体"/>
          <w:b/>
          <w:bCs/>
          <w:sz w:val="24"/>
        </w:rPr>
        <w:t>（一）选择代理证券、期货买卖的证券、期货经</w:t>
      </w:r>
      <w:r>
        <w:rPr>
          <w:rFonts w:ascii="宋体" w:hAnsi="宋体" w:hint="eastAsia"/>
          <w:b/>
          <w:bCs/>
          <w:sz w:val="24"/>
        </w:rPr>
        <w:t>营</w:t>
      </w:r>
      <w:r>
        <w:rPr>
          <w:rFonts w:ascii="宋体" w:hAnsi="宋体"/>
          <w:b/>
          <w:bCs/>
          <w:sz w:val="24"/>
        </w:rPr>
        <w:t>机构的标准和程序</w:t>
      </w:r>
      <w:bookmarkEnd w:id="59"/>
      <w:bookmarkEnd w:id="60"/>
    </w:p>
    <w:p w14:paraId="7DCC6323" w14:textId="77777777" w:rsidR="00A931B6" w:rsidRDefault="000A2AB6">
      <w:pPr>
        <w:pStyle w:val="121"/>
        <w:tabs>
          <w:tab w:val="left" w:pos="1260"/>
        </w:tabs>
        <w:spacing w:line="360" w:lineRule="auto"/>
        <w:ind w:firstLineChars="200" w:firstLine="480"/>
        <w:rPr>
          <w:rFonts w:ascii="宋体" w:hAnsi="宋体"/>
          <w:sz w:val="24"/>
        </w:rPr>
      </w:pPr>
      <w:r>
        <w:rPr>
          <w:rFonts w:ascii="宋体" w:hAnsi="宋体"/>
          <w:sz w:val="24"/>
        </w:rPr>
        <w:t>基金管理人负责选择代理本基金证券交易所证券买卖的证券经</w:t>
      </w:r>
      <w:r>
        <w:rPr>
          <w:rFonts w:ascii="宋体" w:hAnsi="宋体" w:hint="eastAsia"/>
          <w:sz w:val="24"/>
        </w:rPr>
        <w:t>营</w:t>
      </w:r>
      <w:r>
        <w:rPr>
          <w:rFonts w:ascii="宋体" w:hAnsi="宋体"/>
          <w:sz w:val="24"/>
        </w:rPr>
        <w:t>机构，</w:t>
      </w:r>
      <w:r>
        <w:rPr>
          <w:rFonts w:ascii="宋体" w:hAnsi="宋体" w:cs="宋体"/>
          <w:color w:val="000000"/>
          <w:sz w:val="24"/>
        </w:rPr>
        <w:t>基金管理人、基金托管人和证券经</w:t>
      </w:r>
      <w:r>
        <w:rPr>
          <w:rFonts w:ascii="宋体" w:hAnsi="宋体" w:cs="宋体" w:hint="eastAsia"/>
          <w:color w:val="000000"/>
          <w:sz w:val="24"/>
        </w:rPr>
        <w:t>营</w:t>
      </w:r>
      <w:r>
        <w:rPr>
          <w:rFonts w:ascii="宋体" w:hAnsi="宋体" w:cs="宋体"/>
          <w:color w:val="000000"/>
          <w:sz w:val="24"/>
        </w:rPr>
        <w:t>机构签订本基金的证券经纪服务协议，明确三方在本基金参与场内证券买卖中的各类证券交易、证券交收及相关资金交收过程中的职责和义务。</w:t>
      </w:r>
      <w:r>
        <w:rPr>
          <w:rFonts w:ascii="宋体" w:hAnsi="宋体"/>
          <w:sz w:val="24"/>
        </w:rPr>
        <w:t>基金管理人应及时将基金佣金费率等基本信息以及变更情况及时以书面形式通知基金托管人，并</w:t>
      </w:r>
      <w:r>
        <w:rPr>
          <w:rFonts w:ascii="宋体" w:hAnsi="宋体" w:hint="eastAsia"/>
          <w:sz w:val="24"/>
        </w:rPr>
        <w:t>按规定</w:t>
      </w:r>
      <w:r>
        <w:rPr>
          <w:rFonts w:ascii="宋体" w:hAnsi="宋体"/>
          <w:sz w:val="24"/>
        </w:rPr>
        <w:t>披露相关内容。</w:t>
      </w:r>
    </w:p>
    <w:p w14:paraId="25043EFC" w14:textId="77777777" w:rsidR="00A931B6" w:rsidRDefault="000A2AB6">
      <w:pPr>
        <w:pStyle w:val="121"/>
        <w:tabs>
          <w:tab w:val="left" w:pos="1260"/>
        </w:tabs>
        <w:spacing w:line="360" w:lineRule="auto"/>
        <w:ind w:firstLineChars="200" w:firstLine="480"/>
        <w:rPr>
          <w:rFonts w:ascii="宋体"/>
          <w:sz w:val="24"/>
        </w:rPr>
      </w:pPr>
      <w:r>
        <w:rPr>
          <w:rFonts w:ascii="宋体"/>
          <w:sz w:val="24"/>
        </w:rPr>
        <w:t>基金管理人负责选择代理本基金期货交易的期货</w:t>
      </w:r>
      <w:r>
        <w:rPr>
          <w:rFonts w:ascii="宋体" w:hint="eastAsia"/>
          <w:sz w:val="24"/>
        </w:rPr>
        <w:t>经营</w:t>
      </w:r>
      <w:r>
        <w:rPr>
          <w:rFonts w:ascii="宋体"/>
          <w:sz w:val="24"/>
        </w:rPr>
        <w:t>机构，并与其签订期货经纪合同，其他事宜根据法律法规、基金合同的相关规定执行，若无明确规定的，可参照有关证券买卖、证券经</w:t>
      </w:r>
      <w:r>
        <w:rPr>
          <w:rFonts w:ascii="宋体" w:hint="eastAsia"/>
          <w:sz w:val="24"/>
        </w:rPr>
        <w:t>营</w:t>
      </w:r>
      <w:r>
        <w:rPr>
          <w:rFonts w:ascii="宋体"/>
          <w:sz w:val="24"/>
        </w:rPr>
        <w:t>机构选择的规则执行。</w:t>
      </w:r>
    </w:p>
    <w:p w14:paraId="2EF11A65" w14:textId="77777777" w:rsidR="00A931B6" w:rsidRDefault="000A2AB6">
      <w:pPr>
        <w:pStyle w:val="121"/>
        <w:tabs>
          <w:tab w:val="left" w:pos="3780"/>
        </w:tabs>
        <w:autoSpaceDE w:val="0"/>
        <w:autoSpaceDN w:val="0"/>
        <w:spacing w:before="156" w:after="156" w:line="360" w:lineRule="auto"/>
        <w:outlineLvl w:val="0"/>
        <w:rPr>
          <w:rFonts w:ascii="宋体" w:hAnsi="宋体"/>
          <w:b/>
          <w:bCs/>
          <w:sz w:val="24"/>
        </w:rPr>
      </w:pPr>
      <w:r>
        <w:rPr>
          <w:rFonts w:ascii="宋体" w:hAnsi="宋体"/>
          <w:b/>
          <w:bCs/>
          <w:sz w:val="24"/>
        </w:rPr>
        <w:t>（二）基金投资证券后的清算</w:t>
      </w:r>
      <w:bookmarkEnd w:id="61"/>
      <w:r>
        <w:rPr>
          <w:rFonts w:ascii="宋体" w:hAnsi="宋体"/>
          <w:b/>
          <w:bCs/>
          <w:sz w:val="24"/>
        </w:rPr>
        <w:t>交收安排</w:t>
      </w:r>
    </w:p>
    <w:p w14:paraId="728E6E27"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1.资金划拨</w:t>
      </w:r>
    </w:p>
    <w:p w14:paraId="5D24C9B9"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对于基金管理人的资金划拨指令，基金托管人在复核无误后应在规定期限内</w:t>
      </w:r>
      <w:r>
        <w:rPr>
          <w:rFonts w:ascii="宋体" w:hAnsi="宋体"/>
          <w:sz w:val="24"/>
        </w:rPr>
        <w:lastRenderedPageBreak/>
        <w:t>执行，不得延误。基金管理人应保证基金托管人在执行基金管理人发送的资金划拨指令时，基金银行</w:t>
      </w:r>
      <w:r>
        <w:rPr>
          <w:rFonts w:ascii="宋体" w:hAnsi="宋体" w:hint="eastAsia"/>
          <w:sz w:val="24"/>
        </w:rPr>
        <w:t>存款</w:t>
      </w:r>
      <w:r>
        <w:rPr>
          <w:rFonts w:ascii="宋体" w:hAnsi="宋体"/>
          <w:sz w:val="24"/>
        </w:rPr>
        <w:t>账户或</w:t>
      </w:r>
      <w:r>
        <w:rPr>
          <w:rFonts w:ascii="宋体" w:hAnsi="宋体" w:hint="eastAsia"/>
          <w:sz w:val="24"/>
        </w:rPr>
        <w:t>证券资金</w:t>
      </w:r>
      <w:r>
        <w:rPr>
          <w:rFonts w:ascii="宋体" w:hAnsi="宋体"/>
          <w:sz w:val="24"/>
        </w:rPr>
        <w:t>账户上有充足的资金。基金的资金头寸不足时，基金托管人有权拒绝基金管理人发送的划款指令</w:t>
      </w:r>
      <w:r>
        <w:rPr>
          <w:rFonts w:ascii="宋体" w:hAnsi="宋体" w:hint="eastAsia"/>
          <w:sz w:val="24"/>
        </w:rPr>
        <w:t>并立即通知管理人</w:t>
      </w:r>
      <w:r>
        <w:rPr>
          <w:rFonts w:ascii="宋体" w:hAnsi="宋体"/>
          <w:sz w:val="24"/>
        </w:rPr>
        <w:t>。基金管理人在发送划款指令时应充分考虑基金托管人的划款处理时间和在途时间。在基金资金头寸充足的情况下，基金托管人对基金管理人符合法律法规、《基金合同》、本协议的指令不得拖延或拒绝执行。对超头寸的划款指令，基金托管人有权止付但应及时电话通知基金管理人，</w:t>
      </w:r>
      <w:r>
        <w:rPr>
          <w:rFonts w:ascii="宋体" w:hAnsi="宋体" w:hint="eastAsia"/>
          <w:sz w:val="24"/>
        </w:rPr>
        <w:t>对于因基金管理人过错导致的超头寸指令</w:t>
      </w:r>
      <w:r>
        <w:rPr>
          <w:rFonts w:ascii="宋体" w:hAnsi="宋体"/>
          <w:sz w:val="24"/>
        </w:rPr>
        <w:t>造成的损失</w:t>
      </w:r>
      <w:r>
        <w:rPr>
          <w:rFonts w:ascii="宋体" w:hAnsi="宋体" w:hint="eastAsia"/>
          <w:sz w:val="24"/>
        </w:rPr>
        <w:t>由基金管理人承担</w:t>
      </w:r>
      <w:r>
        <w:rPr>
          <w:rFonts w:ascii="宋体" w:hAnsi="宋体"/>
          <w:sz w:val="24"/>
        </w:rPr>
        <w:t>。</w:t>
      </w:r>
    </w:p>
    <w:p w14:paraId="675BAC46"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2.结算方式</w:t>
      </w:r>
    </w:p>
    <w:p w14:paraId="42ECF31D"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支付结算以转账形式进行。如中国人民银行有更快捷、安全、可行的结算方式，基金托管人可根据需要进行调整。</w:t>
      </w:r>
    </w:p>
    <w:p w14:paraId="173778C7" w14:textId="77777777" w:rsidR="00A931B6" w:rsidRDefault="000A2AB6">
      <w:pPr>
        <w:pStyle w:val="121"/>
        <w:tabs>
          <w:tab w:val="left" w:pos="1260"/>
        </w:tabs>
        <w:spacing w:line="360" w:lineRule="auto"/>
        <w:ind w:firstLineChars="200" w:firstLine="480"/>
        <w:rPr>
          <w:rFonts w:ascii="宋体" w:hAnsi="宋体"/>
          <w:sz w:val="24"/>
        </w:rPr>
      </w:pPr>
      <w:bookmarkStart w:id="62" w:name="_Toc466788858"/>
      <w:bookmarkStart w:id="63" w:name="_Toc523829999"/>
      <w:r>
        <w:rPr>
          <w:rFonts w:ascii="宋体" w:hAnsi="宋体"/>
          <w:sz w:val="24"/>
        </w:rPr>
        <w:t>3.证券交易所资金结算</w:t>
      </w:r>
    </w:p>
    <w:p w14:paraId="46212A95" w14:textId="77777777" w:rsidR="00A931B6" w:rsidRDefault="000A2AB6">
      <w:pPr>
        <w:pStyle w:val="121"/>
        <w:tabs>
          <w:tab w:val="left" w:pos="1260"/>
        </w:tabs>
        <w:spacing w:line="360" w:lineRule="auto"/>
        <w:ind w:firstLineChars="200" w:firstLine="480"/>
        <w:rPr>
          <w:rFonts w:ascii="宋体" w:hAnsi="宋体"/>
          <w:sz w:val="24"/>
        </w:rPr>
      </w:pPr>
      <w:r>
        <w:rPr>
          <w:rFonts w:ascii="宋体" w:hAnsi="宋体"/>
          <w:sz w:val="24"/>
        </w:rPr>
        <w:t>本基金的证券交易所证券交易资金结算模式为券商结算模式。证券经纪</w:t>
      </w:r>
      <w:r>
        <w:rPr>
          <w:rFonts w:ascii="宋体" w:hAnsi="宋体" w:hint="eastAsia"/>
          <w:sz w:val="24"/>
        </w:rPr>
        <w:t>商</w:t>
      </w:r>
      <w:r>
        <w:rPr>
          <w:rFonts w:ascii="宋体" w:hAnsi="宋体"/>
          <w:sz w:val="24"/>
        </w:rPr>
        <w:t>负责根据中国证券登记结算有限责任公司（以下简称中国结算）的相关规则，作为结算参与人与中国结算办理本基金投资于证券交易所证券交易及非交易涉及的证券资金的清算交收。管理人应遵守有关登记结算机构制定的相关业务规则和规定，该等规则和规定自动成为本条款约定的内容。</w:t>
      </w:r>
    </w:p>
    <w:p w14:paraId="016B6A21" w14:textId="77777777" w:rsidR="00A931B6" w:rsidRDefault="000A2AB6">
      <w:pPr>
        <w:pStyle w:val="121"/>
        <w:pBdr>
          <w:top w:val="none" w:sz="4" w:space="0" w:color="000000"/>
          <w:left w:val="none" w:sz="4" w:space="0" w:color="000000"/>
          <w:bottom w:val="none" w:sz="4" w:space="0" w:color="000000"/>
          <w:right w:val="none" w:sz="4" w:space="0" w:color="000000"/>
        </w:pBdr>
        <w:tabs>
          <w:tab w:val="left" w:pos="1260"/>
        </w:tabs>
        <w:spacing w:line="360" w:lineRule="auto"/>
        <w:ind w:firstLineChars="200" w:firstLine="480"/>
        <w:rPr>
          <w:rFonts w:ascii="宋体" w:hAnsi="宋体"/>
          <w:sz w:val="24"/>
        </w:rPr>
      </w:pPr>
      <w:r>
        <w:rPr>
          <w:rFonts w:ascii="宋体" w:hAnsi="宋体"/>
          <w:sz w:val="24"/>
        </w:rPr>
        <w:t>基金管理人、基金托管人和证券经纪</w:t>
      </w:r>
      <w:r>
        <w:rPr>
          <w:rFonts w:ascii="宋体" w:hAnsi="宋体" w:hint="eastAsia"/>
          <w:sz w:val="24"/>
        </w:rPr>
        <w:t>商</w:t>
      </w:r>
      <w:r>
        <w:rPr>
          <w:rFonts w:ascii="宋体" w:hAnsi="宋体"/>
          <w:sz w:val="24"/>
        </w:rPr>
        <w:t>就本基金参与证券交易所证券交易的具体事项另行签订协议，明确三方在本基金参与证券交易所证券买卖中的各类证券交易、证券交收及相关资金交收过程中的职责和义务。证券经纪</w:t>
      </w:r>
      <w:r>
        <w:rPr>
          <w:rFonts w:ascii="宋体" w:hAnsi="宋体" w:hint="eastAsia"/>
          <w:sz w:val="24"/>
        </w:rPr>
        <w:t>商</w:t>
      </w:r>
      <w:r>
        <w:rPr>
          <w:rFonts w:ascii="宋体" w:hAnsi="宋体"/>
          <w:sz w:val="24"/>
        </w:rPr>
        <w:t>负责证券资金账户的资金安全和完整，并承担因证券经纪</w:t>
      </w:r>
      <w:r>
        <w:rPr>
          <w:rFonts w:ascii="宋体" w:hAnsi="宋体" w:hint="eastAsia"/>
          <w:sz w:val="24"/>
        </w:rPr>
        <w:t>商</w:t>
      </w:r>
      <w:r>
        <w:rPr>
          <w:rFonts w:ascii="宋体" w:hAnsi="宋体"/>
          <w:sz w:val="24"/>
        </w:rPr>
        <w:t>原因导致本基金清算交收业务无法完成给本基金造成的损失。</w:t>
      </w:r>
      <w:r>
        <w:rPr>
          <w:rFonts w:ascii="宋体" w:hAnsi="宋体" w:cs="宋体"/>
          <w:color w:val="000000"/>
          <w:sz w:val="24"/>
        </w:rPr>
        <w:t>若由于基金管理人的投资行为造成基金投资清算困难和风险的，由基金管理人负责解决，由此给基金托管人和本基金造成的损失由基金管理人承担。</w:t>
      </w:r>
    </w:p>
    <w:p w14:paraId="10D318DB" w14:textId="77777777" w:rsidR="00A931B6" w:rsidRDefault="000A2AB6">
      <w:pPr>
        <w:pStyle w:val="121"/>
        <w:tabs>
          <w:tab w:val="left" w:pos="1260"/>
        </w:tabs>
        <w:spacing w:line="360" w:lineRule="auto"/>
        <w:ind w:firstLineChars="200" w:firstLine="480"/>
        <w:rPr>
          <w:rFonts w:ascii="宋体" w:hAnsi="宋体"/>
          <w:sz w:val="24"/>
        </w:rPr>
      </w:pPr>
      <w:r>
        <w:rPr>
          <w:rFonts w:ascii="宋体" w:hAnsi="宋体"/>
          <w:sz w:val="24"/>
        </w:rPr>
        <w:t>基金管理人应根据证券交易的资金需求，向基金托管人发送银证/证银转账指令，将资金从本基金银行存款账户划至证券资金账户，或将资金从证券资金账户划至本基金银行存款账户。基金托管人对基金管理人的指令根据本协议约定核对无误后，通过银证转账方式执行指令。</w:t>
      </w:r>
    </w:p>
    <w:p w14:paraId="0D6D4B20" w14:textId="77777777" w:rsidR="00A931B6" w:rsidRDefault="000A2AB6">
      <w:pPr>
        <w:pStyle w:val="121"/>
        <w:tabs>
          <w:tab w:val="left" w:pos="1260"/>
        </w:tabs>
        <w:spacing w:line="360" w:lineRule="auto"/>
        <w:ind w:firstLineChars="200" w:firstLine="480"/>
        <w:rPr>
          <w:rFonts w:ascii="宋体" w:hAnsi="宋体"/>
          <w:sz w:val="24"/>
        </w:rPr>
      </w:pPr>
      <w:r>
        <w:rPr>
          <w:rFonts w:ascii="宋体" w:hAnsi="宋体"/>
          <w:sz w:val="24"/>
        </w:rPr>
        <w:t>4.场外交易资金结算</w:t>
      </w:r>
    </w:p>
    <w:p w14:paraId="34E7C721" w14:textId="77777777" w:rsidR="00A931B6" w:rsidRDefault="000A2AB6" w:rsidP="00C55EA8">
      <w:pPr>
        <w:pBdr>
          <w:top w:val="none" w:sz="4" w:space="0" w:color="000000"/>
          <w:left w:val="none" w:sz="4" w:space="0" w:color="000000"/>
          <w:bottom w:val="none" w:sz="4" w:space="0" w:color="000000"/>
          <w:right w:val="none" w:sz="4" w:space="0" w:color="000000"/>
        </w:pBdr>
        <w:tabs>
          <w:tab w:val="left" w:pos="1260"/>
        </w:tabs>
        <w:spacing w:line="360" w:lineRule="auto"/>
        <w:ind w:firstLine="480"/>
        <w:jc w:val="both"/>
        <w:rPr>
          <w:rFonts w:ascii="Calibri" w:hAnsi="Calibri" w:cs="Calibri"/>
          <w:sz w:val="22"/>
        </w:rPr>
      </w:pPr>
      <w:r>
        <w:rPr>
          <w:rFonts w:ascii="宋体" w:hAnsi="宋体"/>
          <w:sz w:val="24"/>
        </w:rPr>
        <w:lastRenderedPageBreak/>
        <w:t>本基金场外证券投资的清算交割，由基金托管人根据基金管理人的指令通过登记结算机构办理。如因基金托管人的自身原因在清算上造成基金资产的损失，应由基金托管人负责赔偿基金的损失。</w:t>
      </w:r>
      <w:r>
        <w:rPr>
          <w:rFonts w:ascii="宋体" w:hAnsi="宋体" w:cs="宋体"/>
          <w:color w:val="000000"/>
          <w:sz w:val="24"/>
        </w:rPr>
        <w:t>如果因为基金管理人的投资运作行为而造成基金投资清算困难和风险的，基金托管人发现后应立即通知基金管理人，由基金管理人负责解决，基金托管人应给予必要的配合，由此给基金托管人、本基金造成的损失由基金管理人承担。</w:t>
      </w:r>
    </w:p>
    <w:p w14:paraId="3ACF1D89" w14:textId="77777777" w:rsidR="00A931B6" w:rsidRDefault="00A931B6">
      <w:pPr>
        <w:pStyle w:val="121"/>
        <w:pBdr>
          <w:top w:val="none" w:sz="4" w:space="0" w:color="000000"/>
          <w:left w:val="none" w:sz="4" w:space="0" w:color="000000"/>
          <w:bottom w:val="none" w:sz="4" w:space="0" w:color="000000"/>
          <w:right w:val="none" w:sz="4" w:space="0" w:color="000000"/>
        </w:pBdr>
        <w:tabs>
          <w:tab w:val="left" w:pos="1260"/>
        </w:tabs>
        <w:spacing w:line="360" w:lineRule="auto"/>
        <w:ind w:firstLineChars="200" w:firstLine="440"/>
        <w:rPr>
          <w:rFonts w:ascii="Calibri" w:hAnsi="Calibri" w:cs="Calibri"/>
          <w:sz w:val="22"/>
        </w:rPr>
      </w:pPr>
    </w:p>
    <w:p w14:paraId="36ACD91D" w14:textId="77777777" w:rsidR="00A931B6" w:rsidRDefault="000A2AB6">
      <w:pPr>
        <w:pStyle w:val="121"/>
        <w:tabs>
          <w:tab w:val="left" w:pos="3780"/>
        </w:tabs>
        <w:autoSpaceDE w:val="0"/>
        <w:autoSpaceDN w:val="0"/>
        <w:spacing w:before="156" w:after="156" w:line="360" w:lineRule="auto"/>
        <w:outlineLvl w:val="0"/>
        <w:rPr>
          <w:rFonts w:ascii="宋体" w:hAnsi="宋体"/>
          <w:b/>
          <w:bCs/>
          <w:sz w:val="24"/>
        </w:rPr>
      </w:pPr>
      <w:bookmarkStart w:id="64" w:name="_Toc77663013"/>
      <w:r>
        <w:rPr>
          <w:rFonts w:ascii="宋体" w:hAnsi="宋体"/>
          <w:b/>
          <w:bCs/>
          <w:sz w:val="24"/>
        </w:rPr>
        <w:t>（三）基金投资期货后的清算交收安排</w:t>
      </w:r>
    </w:p>
    <w:p w14:paraId="20120282" w14:textId="77777777" w:rsidR="00A931B6" w:rsidRDefault="000A2AB6">
      <w:pPr>
        <w:pStyle w:val="121"/>
        <w:spacing w:line="360" w:lineRule="auto"/>
        <w:ind w:firstLineChars="200" w:firstLine="480"/>
        <w:jc w:val="left"/>
        <w:rPr>
          <w:rFonts w:ascii="宋体" w:hAnsi="宋体"/>
          <w:sz w:val="24"/>
        </w:rPr>
      </w:pPr>
      <w:r>
        <w:rPr>
          <w:rFonts w:ascii="宋体" w:hAnsi="宋体"/>
          <w:sz w:val="24"/>
        </w:rPr>
        <w:t>本基金</w:t>
      </w:r>
      <w:r>
        <w:rPr>
          <w:spacing w:val="-4"/>
          <w:sz w:val="24"/>
        </w:rPr>
        <w:t>通过</w:t>
      </w:r>
      <w:r>
        <w:rPr>
          <w:rFonts w:ascii="宋体" w:hAnsi="宋体"/>
          <w:sz w:val="24"/>
        </w:rPr>
        <w:t>期货</w:t>
      </w:r>
      <w:r>
        <w:rPr>
          <w:rFonts w:ascii="宋体" w:hAnsi="宋体" w:hint="eastAsia"/>
          <w:sz w:val="24"/>
        </w:rPr>
        <w:t>经营</w:t>
      </w:r>
      <w:r>
        <w:rPr>
          <w:rFonts w:ascii="宋体" w:hAnsi="宋体"/>
          <w:sz w:val="24"/>
        </w:rPr>
        <w:t>机构</w:t>
      </w:r>
      <w:r>
        <w:rPr>
          <w:spacing w:val="-4"/>
          <w:sz w:val="24"/>
        </w:rPr>
        <w:t>进行的交易</w:t>
      </w:r>
      <w:r>
        <w:rPr>
          <w:rFonts w:ascii="宋体" w:hAnsi="宋体"/>
          <w:sz w:val="24"/>
        </w:rPr>
        <w:t>由期货</w:t>
      </w:r>
      <w:r>
        <w:rPr>
          <w:rFonts w:ascii="宋体" w:hAnsi="宋体" w:hint="eastAsia"/>
          <w:sz w:val="24"/>
        </w:rPr>
        <w:t>经营</w:t>
      </w:r>
      <w:r>
        <w:rPr>
          <w:rFonts w:ascii="宋体" w:hAnsi="宋体"/>
          <w:sz w:val="24"/>
        </w:rPr>
        <w:t>机构作为结算参与人代理本基金进行结算</w:t>
      </w:r>
      <w:r>
        <w:rPr>
          <w:rFonts w:ascii="宋体" w:hAnsi="宋体" w:cs="宋体"/>
          <w:color w:val="000000"/>
          <w:sz w:val="24"/>
        </w:rPr>
        <w:t>，并承担由期货经纪机构原因造成的正常结算、交收业务无法完成的责任</w:t>
      </w:r>
      <w:r>
        <w:rPr>
          <w:rFonts w:ascii="宋体" w:hAnsi="宋体"/>
          <w:sz w:val="24"/>
        </w:rPr>
        <w:t>。</w:t>
      </w:r>
    </w:p>
    <w:p w14:paraId="6DF6E7F3" w14:textId="77777777" w:rsidR="00A931B6" w:rsidRDefault="000A2AB6">
      <w:pPr>
        <w:pStyle w:val="121"/>
        <w:spacing w:line="360" w:lineRule="auto"/>
        <w:ind w:firstLineChars="200" w:firstLine="480"/>
        <w:jc w:val="left"/>
        <w:rPr>
          <w:rFonts w:ascii="宋体" w:hAnsi="宋体"/>
          <w:sz w:val="24"/>
        </w:rPr>
      </w:pPr>
      <w:r>
        <w:rPr>
          <w:rFonts w:ascii="宋体" w:hAnsi="宋体"/>
          <w:sz w:val="24"/>
        </w:rPr>
        <w:t>基金管理人、基金托管人和期货</w:t>
      </w:r>
      <w:r>
        <w:rPr>
          <w:rFonts w:ascii="宋体" w:hAnsi="宋体" w:hint="eastAsia"/>
          <w:sz w:val="24"/>
        </w:rPr>
        <w:t>经营</w:t>
      </w:r>
      <w:r>
        <w:rPr>
          <w:rFonts w:ascii="宋体" w:hAnsi="宋体"/>
          <w:sz w:val="24"/>
        </w:rPr>
        <w:t>机构可就基金参与期货交易的具体事项另行签订协议，明确三方在基金参与期货交易中的账户开立、资金划拨、期货交易、交易费用、数据传输，以及风</w:t>
      </w:r>
      <w:r>
        <w:rPr>
          <w:rFonts w:ascii="宋体" w:hAnsi="宋体" w:hint="eastAsia"/>
          <w:sz w:val="24"/>
        </w:rPr>
        <w:t>险</w:t>
      </w:r>
      <w:r>
        <w:rPr>
          <w:rFonts w:ascii="宋体" w:hAnsi="宋体"/>
          <w:sz w:val="24"/>
        </w:rPr>
        <w:t>控制与监督等方面的职责和义务。</w:t>
      </w:r>
    </w:p>
    <w:p w14:paraId="342D545B" w14:textId="77777777" w:rsidR="00A931B6" w:rsidRDefault="000A2AB6">
      <w:pPr>
        <w:pStyle w:val="121"/>
        <w:spacing w:line="360" w:lineRule="auto"/>
        <w:ind w:firstLineChars="200" w:firstLine="480"/>
        <w:jc w:val="left"/>
        <w:rPr>
          <w:rFonts w:ascii="宋体" w:hAnsi="宋体"/>
          <w:b/>
          <w:bCs/>
          <w:sz w:val="24"/>
        </w:rPr>
      </w:pPr>
      <w:r>
        <w:rPr>
          <w:rFonts w:ascii="宋体" w:hAnsi="宋体"/>
          <w:sz w:val="24"/>
        </w:rPr>
        <w:t>期货公司对发送的数据的准确性、完整性、真实性负责。由于交易结算报告的记载事项出现与实际交易结果和权益不符造成本</w:t>
      </w:r>
      <w:r>
        <w:rPr>
          <w:rFonts w:ascii="宋体" w:hAnsi="宋体" w:hint="eastAsia"/>
          <w:sz w:val="24"/>
        </w:rPr>
        <w:t>基金</w:t>
      </w:r>
      <w:r>
        <w:rPr>
          <w:rFonts w:ascii="宋体" w:hAnsi="宋体"/>
          <w:sz w:val="24"/>
        </w:rPr>
        <w:t>估值计算错误的，应由基金管理人负责向数据发送方追偿，基金托管人不承担责任</w:t>
      </w:r>
      <w:r>
        <w:rPr>
          <w:rFonts w:ascii="宋体" w:hAnsi="宋体" w:hint="eastAsia"/>
          <w:sz w:val="24"/>
        </w:rPr>
        <w:t>，但应予以必要的协助</w:t>
      </w:r>
      <w:r>
        <w:rPr>
          <w:rFonts w:ascii="宋体" w:hAnsi="宋体"/>
          <w:sz w:val="24"/>
        </w:rPr>
        <w:t>。</w:t>
      </w:r>
    </w:p>
    <w:p w14:paraId="4A0A034C"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t>（四）基金管理人与基金托管人进行资金、证券</w:t>
      </w:r>
      <w:r>
        <w:rPr>
          <w:rFonts w:ascii="宋体" w:hAnsi="宋体" w:hint="eastAsia"/>
          <w:b/>
          <w:bCs/>
          <w:sz w:val="24"/>
        </w:rPr>
        <w:t>/</w:t>
      </w:r>
      <w:r>
        <w:rPr>
          <w:rFonts w:ascii="宋体" w:hAnsi="宋体"/>
          <w:b/>
          <w:bCs/>
          <w:sz w:val="24"/>
        </w:rPr>
        <w:t>期货账目和交易记录的核对</w:t>
      </w:r>
      <w:bookmarkEnd w:id="64"/>
    </w:p>
    <w:p w14:paraId="7D2D4516"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对基金的交易记录，由基金管理人按日进行核对。对外披露</w:t>
      </w:r>
      <w:r>
        <w:rPr>
          <w:rFonts w:ascii="宋体" w:hAnsi="宋体" w:hint="eastAsia"/>
          <w:sz w:val="24"/>
        </w:rPr>
        <w:t>各类</w:t>
      </w:r>
      <w:r>
        <w:rPr>
          <w:rFonts w:ascii="宋体" w:hAnsi="宋体"/>
          <w:sz w:val="24"/>
        </w:rPr>
        <w:t>基金份额净值之前，必须保证当天所有实际交易记录与基金会计账簿上的交易记录完全一致。如果交易记录与会计账簿记录不一致，造成基金会计核算不完整或不真实，由此导致的损失由责任方承担。基金管理人每一交易日以双方认可的方式在当日全部交易结束后，将编制的基金资金、证券</w:t>
      </w:r>
      <w:r>
        <w:rPr>
          <w:rFonts w:ascii="宋体" w:hAnsi="宋体" w:hint="eastAsia"/>
          <w:sz w:val="24"/>
        </w:rPr>
        <w:t>/</w:t>
      </w:r>
      <w:r>
        <w:rPr>
          <w:rFonts w:ascii="宋体" w:hAnsi="宋体"/>
          <w:sz w:val="24"/>
        </w:rPr>
        <w:t>期货账目传送给基金托管人，基金托管人按日进行账目核对。</w:t>
      </w:r>
    </w:p>
    <w:p w14:paraId="4CC04BF6"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对实物券账目，相关各方定期进行账实核对。</w:t>
      </w:r>
    </w:p>
    <w:p w14:paraId="082EF6A9" w14:textId="77777777" w:rsidR="00A931B6" w:rsidRDefault="000A2AB6">
      <w:pPr>
        <w:pStyle w:val="121"/>
        <w:tabs>
          <w:tab w:val="left" w:pos="1260"/>
        </w:tabs>
        <w:spacing w:line="360" w:lineRule="auto"/>
        <w:ind w:firstLineChars="200" w:firstLine="480"/>
        <w:rPr>
          <w:rFonts w:ascii="宋体"/>
          <w:b/>
          <w:bCs/>
          <w:sz w:val="24"/>
        </w:rPr>
      </w:pPr>
      <w:r>
        <w:rPr>
          <w:rFonts w:ascii="宋体" w:hAnsi="宋体"/>
          <w:sz w:val="24"/>
        </w:rPr>
        <w:t>基金托管人应定期核对证券</w:t>
      </w:r>
      <w:r>
        <w:rPr>
          <w:rFonts w:ascii="宋体" w:hAnsi="宋体" w:hint="eastAsia"/>
          <w:sz w:val="24"/>
        </w:rPr>
        <w:t>/期货</w:t>
      </w:r>
      <w:r>
        <w:rPr>
          <w:rFonts w:ascii="宋体" w:hAnsi="宋体"/>
          <w:sz w:val="24"/>
        </w:rPr>
        <w:t>账户中的证券</w:t>
      </w:r>
      <w:r>
        <w:rPr>
          <w:rFonts w:ascii="宋体" w:hAnsi="宋体" w:hint="eastAsia"/>
          <w:sz w:val="24"/>
        </w:rPr>
        <w:t>/期货</w:t>
      </w:r>
      <w:r>
        <w:rPr>
          <w:rFonts w:ascii="宋体" w:hAnsi="宋体"/>
          <w:sz w:val="24"/>
        </w:rPr>
        <w:t>数量和种类。</w:t>
      </w:r>
    </w:p>
    <w:p w14:paraId="0CB96027" w14:textId="77777777" w:rsidR="00A931B6" w:rsidRDefault="000A2AB6">
      <w:pPr>
        <w:pStyle w:val="121"/>
        <w:tabs>
          <w:tab w:val="left" w:pos="1260"/>
        </w:tabs>
        <w:spacing w:line="360" w:lineRule="auto"/>
        <w:ind w:firstLineChars="200" w:firstLine="480"/>
        <w:rPr>
          <w:rFonts w:ascii="宋体" w:hAnsi="宋体"/>
          <w:sz w:val="24"/>
        </w:rPr>
      </w:pPr>
      <w:r>
        <w:rPr>
          <w:rFonts w:ascii="宋体" w:hAnsi="宋体"/>
          <w:sz w:val="24"/>
        </w:rPr>
        <w:t>双方可协商采用电子对账方式进行账目核对。</w:t>
      </w:r>
    </w:p>
    <w:p w14:paraId="3EAA78D5"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lastRenderedPageBreak/>
        <w:t>（五）</w:t>
      </w:r>
      <w:r>
        <w:rPr>
          <w:rFonts w:hint="eastAsia"/>
          <w:b/>
          <w:bCs/>
          <w:sz w:val="24"/>
        </w:rPr>
        <w:t>申购、赎回、转换开放式基金的资金清算和数据传递的时间、程序及托管协议当事人的责任界定</w:t>
      </w:r>
    </w:p>
    <w:p w14:paraId="2CEA53DA" w14:textId="77777777" w:rsidR="00A931B6" w:rsidRDefault="000A2AB6">
      <w:pPr>
        <w:pStyle w:val="121"/>
        <w:tabs>
          <w:tab w:val="left" w:pos="1260"/>
        </w:tabs>
        <w:spacing w:line="360" w:lineRule="auto"/>
        <w:ind w:firstLineChars="200" w:firstLine="480"/>
        <w:rPr>
          <w:rFonts w:ascii="宋体" w:hAnsi="宋体"/>
          <w:sz w:val="24"/>
        </w:rPr>
      </w:pPr>
      <w:r>
        <w:rPr>
          <w:rFonts w:ascii="宋体" w:hAnsi="宋体" w:hint="eastAsia"/>
          <w:sz w:val="24"/>
        </w:rPr>
        <w:t>1.基金份额申购、赎回的确认，清算由基金管理人指定的登记机构负责。</w:t>
      </w:r>
    </w:p>
    <w:p w14:paraId="349FAF2F" w14:textId="77777777" w:rsidR="00A931B6" w:rsidRDefault="000A2AB6">
      <w:pPr>
        <w:pStyle w:val="121"/>
        <w:tabs>
          <w:tab w:val="left" w:pos="1260"/>
        </w:tabs>
        <w:spacing w:line="360" w:lineRule="auto"/>
        <w:ind w:firstLineChars="200" w:firstLine="480"/>
        <w:rPr>
          <w:rFonts w:ascii="宋体" w:hAnsi="宋体"/>
          <w:sz w:val="24"/>
        </w:rPr>
      </w:pPr>
      <w:r>
        <w:rPr>
          <w:rFonts w:ascii="宋体" w:hAnsi="宋体" w:hint="eastAsia"/>
          <w:sz w:val="24"/>
        </w:rPr>
        <w:t>2.基金管理人应将每个开放日的申购、赎回、转换开放式基金的数据传送给基金托管人。基金管理人应对传递的申购、赎回、转换开放式基金的数据真实性、准确性、完整性负责。基金托管人应及时查收申购资金的到账情况并根据基金管理人指令及时划付赎回及转换款项。</w:t>
      </w:r>
    </w:p>
    <w:p w14:paraId="6D106182" w14:textId="77777777" w:rsidR="00A931B6" w:rsidRDefault="000A2AB6">
      <w:pPr>
        <w:pStyle w:val="121"/>
        <w:tabs>
          <w:tab w:val="left" w:pos="1260"/>
        </w:tabs>
        <w:spacing w:line="360" w:lineRule="auto"/>
        <w:ind w:firstLineChars="200" w:firstLine="480"/>
        <w:rPr>
          <w:rFonts w:ascii="宋体" w:hAnsi="宋体"/>
          <w:sz w:val="24"/>
        </w:rPr>
      </w:pPr>
      <w:r>
        <w:rPr>
          <w:rFonts w:ascii="宋体" w:hAnsi="宋体" w:hint="eastAsia"/>
          <w:sz w:val="24"/>
        </w:rPr>
        <w:t>3.开放式基金的资金清算</w:t>
      </w:r>
    </w:p>
    <w:p w14:paraId="2879A45A" w14:textId="77777777" w:rsidR="00A931B6" w:rsidRDefault="000A2AB6">
      <w:pPr>
        <w:pStyle w:val="121"/>
        <w:tabs>
          <w:tab w:val="left" w:pos="1260"/>
        </w:tabs>
        <w:spacing w:line="360" w:lineRule="auto"/>
        <w:ind w:firstLineChars="200" w:firstLine="480"/>
        <w:rPr>
          <w:rFonts w:ascii="宋体" w:hAnsi="宋体"/>
          <w:sz w:val="24"/>
        </w:rPr>
      </w:pPr>
      <w:r>
        <w:rPr>
          <w:rFonts w:ascii="宋体" w:hAnsi="宋体" w:hint="eastAsia"/>
          <w:sz w:val="24"/>
        </w:rPr>
        <w:t>基金托管账户与“基金清算账户”间的资金清算遵循“全额清算、净额交收”的原则，即按照托管账户当日应收资金与托管账户应付额的差额来确定托管账户净应收额或净应付额，以此确定资金交收额。当存在托管账户净应收额时，基金管理人负责将托管账户净应收额在交收日 15:00 前从“基金清算账户”划到基金托管账户；当存在托管账户净应付额时，基金管理人尽量在交收日10：00前出具划款指令，基金托管人按基金管理人的划款指令将托管账户净应付额在交收日 12:00 前划到“基金清算账户”。</w:t>
      </w:r>
    </w:p>
    <w:p w14:paraId="5DA2C85E" w14:textId="77777777" w:rsidR="00A931B6" w:rsidRDefault="000A2AB6">
      <w:pPr>
        <w:pStyle w:val="121"/>
        <w:tabs>
          <w:tab w:val="left" w:pos="1260"/>
        </w:tabs>
        <w:spacing w:line="360" w:lineRule="auto"/>
        <w:ind w:firstLineChars="200" w:firstLine="480"/>
        <w:rPr>
          <w:rFonts w:ascii="宋体" w:hAnsi="宋体"/>
          <w:sz w:val="24"/>
        </w:rPr>
      </w:pPr>
      <w:r>
        <w:rPr>
          <w:rFonts w:ascii="宋体" w:hAnsi="宋体" w:hint="eastAsia"/>
          <w:sz w:val="24"/>
        </w:rPr>
        <w:t>如果当日基金为净应收款，基金托管人应及时查收资金是否到账，对于未准时到账的资金，应及时通知基金管理人划付。对于未准时划付的资金，基金托管人应及时通知基金管理人划付，因基金管理人过错而未准时划付导致的基金财产损失，由基金管理人承担。</w:t>
      </w:r>
    </w:p>
    <w:p w14:paraId="48ED966A" w14:textId="77777777" w:rsidR="00A931B6" w:rsidRDefault="000A2AB6">
      <w:pPr>
        <w:pStyle w:val="121"/>
        <w:tabs>
          <w:tab w:val="left" w:pos="1260"/>
        </w:tabs>
        <w:spacing w:line="360" w:lineRule="auto"/>
        <w:ind w:firstLineChars="200" w:firstLine="480"/>
        <w:rPr>
          <w:rFonts w:ascii="宋体"/>
          <w:sz w:val="24"/>
        </w:rPr>
      </w:pPr>
      <w:r>
        <w:rPr>
          <w:rFonts w:ascii="宋体" w:hAnsi="宋体" w:hint="eastAsia"/>
          <w:sz w:val="24"/>
        </w:rPr>
        <w:t>如果当日基金为净应付款，基金托管人应根据基金管理人的指令及时进行划付。对于未准时划付的资金，基金管理人应及时通知基金托管人划付，由此产生的责任应由基金托管人承担。后果严重的基金管理人应向中国证监会报告。</w:t>
      </w:r>
    </w:p>
    <w:p w14:paraId="5DB0394C"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t>（六）基金收益分配的清算交收安排</w:t>
      </w:r>
    </w:p>
    <w:p w14:paraId="4C92FBD0" w14:textId="77777777" w:rsidR="00A931B6" w:rsidRDefault="000A2AB6">
      <w:pPr>
        <w:pStyle w:val="121"/>
        <w:tabs>
          <w:tab w:val="left" w:pos="1260"/>
        </w:tabs>
        <w:spacing w:line="360" w:lineRule="auto"/>
        <w:ind w:firstLineChars="200" w:firstLine="480"/>
        <w:rPr>
          <w:rFonts w:ascii="宋体" w:hAnsi="宋体"/>
          <w:sz w:val="24"/>
        </w:rPr>
      </w:pPr>
      <w:r>
        <w:rPr>
          <w:rFonts w:ascii="宋体" w:hAnsi="宋体"/>
          <w:sz w:val="24"/>
        </w:rPr>
        <w:t>1.基金管理人决定收益分配方案并通知基金托管人，经基金托管人复核后依照《信息披露办法》的有关规定在规定媒介公告。</w:t>
      </w:r>
    </w:p>
    <w:p w14:paraId="3DD34749" w14:textId="77777777" w:rsidR="00A931B6" w:rsidRDefault="000A2AB6">
      <w:pPr>
        <w:pStyle w:val="121"/>
        <w:tabs>
          <w:tab w:val="left" w:pos="1260"/>
        </w:tabs>
        <w:spacing w:line="360" w:lineRule="auto"/>
        <w:ind w:firstLineChars="200" w:firstLine="480"/>
        <w:rPr>
          <w:rFonts w:ascii="宋体" w:hAnsi="宋体"/>
          <w:sz w:val="24"/>
        </w:rPr>
      </w:pPr>
      <w:r>
        <w:rPr>
          <w:rFonts w:ascii="宋体" w:hAnsi="宋体"/>
          <w:sz w:val="24"/>
        </w:rPr>
        <w:t xml:space="preserve">2.基金托管人和基金管理人对基金收益分配进行账务处理并核对后，基金管理人应及时向基金托管人发送分发现金红利的划款指令，基金托管人依据划款指令在指定划付日及时将资金划至基金管理人指定账户。 </w:t>
      </w:r>
    </w:p>
    <w:p w14:paraId="6D62847F"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lastRenderedPageBreak/>
        <w:t>3.基金管理人在下达分红款支付指令时，应给基金托管人留出必需的划款时间。</w:t>
      </w:r>
      <w:bookmarkStart w:id="65" w:name="_Toc125892444"/>
    </w:p>
    <w:p w14:paraId="7781F930" w14:textId="77777777" w:rsidR="00A931B6" w:rsidRDefault="000A2AB6">
      <w:pPr>
        <w:pStyle w:val="113"/>
      </w:pPr>
      <w:bookmarkStart w:id="66" w:name="_Toc65162007"/>
      <w:r>
        <w:t>八、基金资产净值计算和会计核算</w:t>
      </w:r>
      <w:bookmarkEnd w:id="62"/>
      <w:bookmarkEnd w:id="63"/>
      <w:bookmarkEnd w:id="65"/>
      <w:bookmarkEnd w:id="66"/>
    </w:p>
    <w:p w14:paraId="5041ACC9" w14:textId="77777777" w:rsidR="00A931B6" w:rsidRDefault="000A2AB6">
      <w:pPr>
        <w:pStyle w:val="121"/>
        <w:tabs>
          <w:tab w:val="left" w:pos="3780"/>
        </w:tabs>
        <w:autoSpaceDE w:val="0"/>
        <w:autoSpaceDN w:val="0"/>
        <w:spacing w:before="156" w:after="156" w:line="360" w:lineRule="auto"/>
        <w:outlineLvl w:val="0"/>
        <w:rPr>
          <w:rFonts w:ascii="宋体"/>
          <w:b/>
          <w:bCs/>
          <w:sz w:val="24"/>
        </w:rPr>
      </w:pPr>
      <w:bookmarkStart w:id="67" w:name="_Toc77663017"/>
      <w:r>
        <w:rPr>
          <w:rFonts w:ascii="宋体" w:hAnsi="宋体"/>
          <w:b/>
          <w:bCs/>
          <w:sz w:val="24"/>
        </w:rPr>
        <w:t>（一）基金资产净值及</w:t>
      </w:r>
      <w:r>
        <w:rPr>
          <w:rFonts w:ascii="宋体" w:hAnsi="宋体" w:hint="eastAsia"/>
          <w:b/>
          <w:bCs/>
          <w:sz w:val="24"/>
        </w:rPr>
        <w:t>各类</w:t>
      </w:r>
      <w:r>
        <w:rPr>
          <w:rFonts w:ascii="宋体" w:hAnsi="宋体"/>
          <w:b/>
          <w:bCs/>
          <w:sz w:val="24"/>
        </w:rPr>
        <w:t>基金份额净值的计算与复核</w:t>
      </w:r>
      <w:bookmarkEnd w:id="67"/>
    </w:p>
    <w:p w14:paraId="028E68B9" w14:textId="77777777" w:rsidR="00A931B6" w:rsidRDefault="000A2AB6">
      <w:pPr>
        <w:pStyle w:val="121"/>
        <w:autoSpaceDE w:val="0"/>
        <w:autoSpaceDN w:val="0"/>
        <w:spacing w:line="360" w:lineRule="auto"/>
        <w:ind w:firstLine="420"/>
        <w:jc w:val="left"/>
        <w:rPr>
          <w:rFonts w:ascii="宋体"/>
          <w:sz w:val="24"/>
        </w:rPr>
      </w:pPr>
      <w:r>
        <w:rPr>
          <w:rFonts w:ascii="宋体" w:hAnsi="宋体"/>
          <w:sz w:val="24"/>
        </w:rPr>
        <w:t>基金资产净值是指基金资产总值减去</w:t>
      </w:r>
      <w:r>
        <w:rPr>
          <w:rFonts w:ascii="宋体" w:hAnsi="宋体" w:hint="eastAsia"/>
          <w:sz w:val="24"/>
        </w:rPr>
        <w:t>基金</w:t>
      </w:r>
      <w:r>
        <w:rPr>
          <w:rFonts w:ascii="宋体" w:hAnsi="宋体"/>
          <w:sz w:val="24"/>
        </w:rPr>
        <w:t>负债后的价值。</w:t>
      </w:r>
      <w:r>
        <w:rPr>
          <w:rFonts w:ascii="宋体" w:hAnsi="宋体" w:hint="eastAsia"/>
          <w:sz w:val="24"/>
        </w:rPr>
        <w:t>某一类别基金份额净值是按照每个工作日闭市后，该类别基金资产净值除以当日该类别基金份额的余额数量计算，精确到0.0001元，小数点后第5位四舍五入，由此产生的收益或损失由基金财产承担。基金管理人可以设立大额赎回情形下的净值精度应急调整机制。国家另有规定的，从其规定。本基金A类基金份额和C类基金份额将分别计算基金份额净值。</w:t>
      </w:r>
    </w:p>
    <w:p w14:paraId="2C54428C"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基金管理人应每个工作日对基金资产估值</w:t>
      </w:r>
      <w:r>
        <w:rPr>
          <w:rFonts w:ascii="宋体" w:hAnsi="宋体" w:hint="eastAsia"/>
          <w:sz w:val="24"/>
        </w:rPr>
        <w:t>，但基金管理人根据法律法规或基金合同的规定暂停估值时除外。</w:t>
      </w:r>
      <w:r>
        <w:rPr>
          <w:rFonts w:ascii="宋体" w:hAnsi="宋体"/>
          <w:sz w:val="24"/>
        </w:rPr>
        <w:t>估值原则应符合《基金合同》、</w:t>
      </w:r>
      <w:r>
        <w:rPr>
          <w:rFonts w:ascii="宋体"/>
          <w:sz w:val="24"/>
        </w:rPr>
        <w:t>《中国证监会关于证券投资基金估值业务的指导意见》</w:t>
      </w:r>
      <w:r>
        <w:rPr>
          <w:rFonts w:ascii="宋体" w:hAnsi="宋体"/>
          <w:sz w:val="24"/>
        </w:rPr>
        <w:t>及其他法律、法规的规定。基金资产净值和</w:t>
      </w:r>
      <w:r>
        <w:rPr>
          <w:rFonts w:ascii="宋体" w:hAnsi="宋体" w:hint="eastAsia"/>
          <w:sz w:val="24"/>
        </w:rPr>
        <w:t>各类</w:t>
      </w:r>
      <w:r>
        <w:rPr>
          <w:rFonts w:ascii="宋体" w:hAnsi="宋体"/>
          <w:sz w:val="24"/>
        </w:rPr>
        <w:t>基金份额净值由基金管理人负责计算，基金托管人复核。</w:t>
      </w:r>
      <w:r>
        <w:rPr>
          <w:rFonts w:ascii="宋体" w:hAnsi="宋体" w:hint="eastAsia"/>
          <w:sz w:val="24"/>
        </w:rPr>
        <w:t>基金管理人每个工作日对基金资产估值后，将各类基金份额净值结果发送基金托管人，经基金托管人复核无误后，由基金管理人按照规定对外公布。</w:t>
      </w:r>
    </w:p>
    <w:p w14:paraId="3789B753"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 xml:space="preserve">本基金按以下方法估值： </w:t>
      </w:r>
    </w:p>
    <w:p w14:paraId="394ABA0D" w14:textId="77777777" w:rsidR="00A931B6" w:rsidRDefault="000A2AB6">
      <w:pPr>
        <w:spacing w:line="360" w:lineRule="auto"/>
        <w:ind w:firstLineChars="200" w:firstLine="480"/>
        <w:rPr>
          <w:bCs/>
          <w:sz w:val="24"/>
        </w:rPr>
      </w:pPr>
      <w:r>
        <w:rPr>
          <w:rFonts w:hint="eastAsia"/>
          <w:bCs/>
          <w:sz w:val="24"/>
        </w:rPr>
        <w:t>1</w:t>
      </w:r>
      <w:r>
        <w:rPr>
          <w:rFonts w:hint="eastAsia"/>
          <w:bCs/>
          <w:sz w:val="24"/>
        </w:rPr>
        <w:t>、证券交易所上市的有价证券的估值</w:t>
      </w:r>
    </w:p>
    <w:p w14:paraId="02D068D5" w14:textId="77777777" w:rsidR="00A931B6" w:rsidRDefault="000A2AB6">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0525A45" w14:textId="77777777" w:rsidR="00A931B6" w:rsidRDefault="000A2AB6">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）交易所上市交易或挂牌转让的不含权固定收益品种，选取估值日第三方估值基准服务机构提供的相应品种当日的估值全价进行估值；</w:t>
      </w:r>
    </w:p>
    <w:p w14:paraId="425DC6F6" w14:textId="77777777" w:rsidR="00A931B6" w:rsidRDefault="000A2AB6">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）交易所上市交易或挂牌转让的含权固定收益品种，选取估值日第三方估值基准服务机构提供的相应品种当日的唯一估值全价或推荐估值全价进行估值；</w:t>
      </w:r>
    </w:p>
    <w:p w14:paraId="22A69732" w14:textId="77777777" w:rsidR="00A931B6" w:rsidRDefault="000A2AB6" w:rsidP="00C52660">
      <w:pPr>
        <w:spacing w:line="360" w:lineRule="auto"/>
        <w:ind w:firstLineChars="200" w:firstLine="480"/>
        <w:rPr>
          <w:bCs/>
          <w:sz w:val="24"/>
        </w:rPr>
      </w:pPr>
      <w:r>
        <w:rPr>
          <w:rFonts w:hint="eastAsia"/>
          <w:bCs/>
          <w:sz w:val="24"/>
        </w:rPr>
        <w:lastRenderedPageBreak/>
        <w:t>（</w:t>
      </w:r>
      <w:r>
        <w:rPr>
          <w:rFonts w:hint="eastAsia"/>
          <w:bCs/>
          <w:sz w:val="24"/>
        </w:rPr>
        <w:t>4</w:t>
      </w:r>
      <w:r>
        <w:rPr>
          <w:rFonts w:hint="eastAsia"/>
          <w:bCs/>
          <w:sz w:val="24"/>
        </w:rPr>
        <w:t>）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6C032C1B" w14:textId="77777777" w:rsidR="00A931B6" w:rsidRDefault="000A2AB6">
      <w:pPr>
        <w:spacing w:line="360" w:lineRule="auto"/>
        <w:ind w:firstLineChars="200" w:firstLine="480"/>
        <w:rPr>
          <w:bCs/>
          <w:sz w:val="24"/>
        </w:rPr>
      </w:pPr>
      <w:r>
        <w:rPr>
          <w:rFonts w:hint="eastAsia"/>
          <w:bCs/>
          <w:sz w:val="24"/>
        </w:rPr>
        <w:t>2</w:t>
      </w:r>
      <w:r>
        <w:rPr>
          <w:rFonts w:hint="eastAsia"/>
          <w:bCs/>
          <w:sz w:val="24"/>
        </w:rPr>
        <w:t>、处于未上市期间的有价证券应区分如下情况处理：</w:t>
      </w:r>
    </w:p>
    <w:p w14:paraId="50C00AEF" w14:textId="77777777" w:rsidR="00A931B6" w:rsidRDefault="000A2AB6">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14:paraId="727047DD" w14:textId="77777777" w:rsidR="00A931B6" w:rsidRDefault="000A2AB6">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）首次公开发行未上市的股票、债券，采用估值技术确定公允价值；</w:t>
      </w:r>
    </w:p>
    <w:p w14:paraId="5881EFB5" w14:textId="77777777" w:rsidR="00A931B6" w:rsidRDefault="000A2AB6">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0BD5C780" w14:textId="77777777" w:rsidR="00A931B6" w:rsidRDefault="000A2AB6">
      <w:pPr>
        <w:spacing w:line="360" w:lineRule="auto"/>
        <w:ind w:firstLineChars="200" w:firstLine="480"/>
        <w:rPr>
          <w:bCs/>
          <w:sz w:val="24"/>
        </w:rPr>
      </w:pPr>
      <w:r>
        <w:rPr>
          <w:rFonts w:hint="eastAsia"/>
          <w:bCs/>
          <w:sz w:val="24"/>
        </w:rPr>
        <w:t>3</w:t>
      </w:r>
      <w:r>
        <w:rPr>
          <w:rFonts w:hint="eastAsia"/>
          <w:bCs/>
          <w:sz w:val="24"/>
        </w:rPr>
        <w:t>、对全国银行间市场上不含权的固定收益品种，按照第三方估值基准服务机构提供的相应品种当日的估值全价估值。对银行间市场上含权的固定收益品种，按照第三方估值基准服务机构提供的相应品种当日的唯一估值全价或推荐估值全价估值</w:t>
      </w:r>
      <w:r>
        <w:rPr>
          <w:bCs/>
          <w:sz w:val="24"/>
        </w:rPr>
        <w:t>。</w:t>
      </w:r>
      <w:r>
        <w:rPr>
          <w:rFonts w:hint="eastAsia"/>
          <w:bCs/>
          <w:sz w:val="24"/>
        </w:rPr>
        <w:t>对银行间市场未上市，且第三方估值基准服务机构未提供估值价格的债券，应采用估值技术确定其公允价值。</w:t>
      </w:r>
    </w:p>
    <w:p w14:paraId="23533DB0" w14:textId="77777777" w:rsidR="00A931B6" w:rsidRDefault="000A2AB6">
      <w:pPr>
        <w:spacing w:line="360" w:lineRule="auto"/>
        <w:ind w:firstLineChars="200" w:firstLine="480"/>
        <w:rPr>
          <w:bCs/>
          <w:sz w:val="24"/>
        </w:rPr>
      </w:pPr>
      <w:r>
        <w:rPr>
          <w:rFonts w:hint="eastAsia"/>
          <w:bCs/>
          <w:sz w:val="24"/>
        </w:rPr>
        <w:t>4</w:t>
      </w:r>
      <w:r>
        <w:rPr>
          <w:rFonts w:hint="eastAsia"/>
          <w:bCs/>
          <w:sz w:val="24"/>
        </w:rPr>
        <w:t>、对于含投资人回售权的固定收益品种，行使回售权的，在回售登记日至实际收款日期间采用第三方估值基准服务机构提供的相应品种的唯一估值全价或推荐估值全价估值。回售登记期截止日（含当日）后未行使回售权的按照长待偿期所对应的价格进行估值。</w:t>
      </w:r>
    </w:p>
    <w:p w14:paraId="4B7247A7" w14:textId="77777777" w:rsidR="00A931B6" w:rsidRDefault="000A2AB6">
      <w:pPr>
        <w:spacing w:line="360" w:lineRule="auto"/>
        <w:ind w:firstLineChars="200" w:firstLine="480"/>
        <w:rPr>
          <w:bCs/>
          <w:sz w:val="24"/>
        </w:rPr>
      </w:pPr>
      <w:r>
        <w:rPr>
          <w:rFonts w:hint="eastAsia"/>
          <w:bCs/>
          <w:sz w:val="24"/>
        </w:rPr>
        <w:t>5</w:t>
      </w:r>
      <w:r>
        <w:rPr>
          <w:rFonts w:hint="eastAsia"/>
          <w:bCs/>
          <w:sz w:val="24"/>
        </w:rPr>
        <w:t>、对于未上市或未挂牌转让且不存在活跃市场的固定收益品种，应采用在当前情况下适用并且有足够可利用数据和其他信息支持的估值技术确定其公允价值。</w:t>
      </w:r>
    </w:p>
    <w:p w14:paraId="7A33ACC7" w14:textId="77777777" w:rsidR="00A931B6" w:rsidRDefault="00A931B6">
      <w:pPr>
        <w:spacing w:line="360" w:lineRule="auto"/>
        <w:ind w:firstLineChars="200" w:firstLine="480"/>
        <w:rPr>
          <w:bCs/>
          <w:sz w:val="24"/>
        </w:rPr>
      </w:pPr>
    </w:p>
    <w:p w14:paraId="2B7849B4" w14:textId="77777777" w:rsidR="00A931B6" w:rsidRDefault="000A2AB6">
      <w:pPr>
        <w:spacing w:line="360" w:lineRule="auto"/>
        <w:ind w:firstLineChars="200" w:firstLine="480"/>
        <w:rPr>
          <w:bCs/>
          <w:sz w:val="24"/>
        </w:rPr>
      </w:pPr>
      <w:r>
        <w:rPr>
          <w:bCs/>
          <w:sz w:val="24"/>
        </w:rPr>
        <w:t>6</w:t>
      </w:r>
      <w:r>
        <w:rPr>
          <w:rFonts w:hint="eastAsia"/>
          <w:bCs/>
          <w:sz w:val="24"/>
        </w:rPr>
        <w:t>、本基金投资股指期货、国债期货，一般以估值当日结算价进行估值，估值当日无结算价的，且最近交易日后经济环境未发生重大变化的，采用最近交易日结算价估值。</w:t>
      </w:r>
    </w:p>
    <w:p w14:paraId="40B03829" w14:textId="77777777" w:rsidR="00A931B6" w:rsidRDefault="000A2AB6">
      <w:pPr>
        <w:spacing w:line="360" w:lineRule="auto"/>
        <w:ind w:firstLineChars="200" w:firstLine="480"/>
        <w:rPr>
          <w:bCs/>
          <w:sz w:val="24"/>
        </w:rPr>
      </w:pPr>
      <w:r>
        <w:rPr>
          <w:rFonts w:hint="eastAsia"/>
          <w:bCs/>
          <w:sz w:val="24"/>
        </w:rPr>
        <w:t>本基金投资期权，根据相关法律法规以及监管部门的规定估值。</w:t>
      </w:r>
    </w:p>
    <w:p w14:paraId="43675875" w14:textId="77777777" w:rsidR="00A931B6" w:rsidRDefault="000A2AB6">
      <w:pPr>
        <w:spacing w:line="360" w:lineRule="auto"/>
        <w:ind w:firstLineChars="200" w:firstLine="480"/>
        <w:rPr>
          <w:bCs/>
          <w:sz w:val="24"/>
        </w:rPr>
      </w:pPr>
      <w:r>
        <w:rPr>
          <w:bCs/>
          <w:sz w:val="24"/>
        </w:rPr>
        <w:lastRenderedPageBreak/>
        <w:t>7</w:t>
      </w:r>
      <w:r>
        <w:rPr>
          <w:rFonts w:hint="eastAsia"/>
          <w:bCs/>
          <w:sz w:val="24"/>
        </w:rPr>
        <w:t>、同一证券同时在两个或两个以上市场交易的，按证券所处的市场分别估值。</w:t>
      </w:r>
    </w:p>
    <w:p w14:paraId="6EB958FE" w14:textId="77777777" w:rsidR="00A931B6" w:rsidRDefault="000A2AB6">
      <w:pPr>
        <w:spacing w:line="360" w:lineRule="auto"/>
        <w:ind w:firstLineChars="200" w:firstLine="480"/>
        <w:rPr>
          <w:bCs/>
          <w:sz w:val="24"/>
        </w:rPr>
      </w:pPr>
      <w:r>
        <w:rPr>
          <w:rFonts w:hint="eastAsia"/>
          <w:bCs/>
          <w:sz w:val="24"/>
        </w:rPr>
        <w:t>8</w:t>
      </w:r>
      <w:r>
        <w:rPr>
          <w:rFonts w:hint="eastAsia"/>
          <w:bCs/>
          <w:sz w:val="24"/>
        </w:rPr>
        <w:t>、本基金参与融资和转融通证券出借业务的，按照相关法律法规和行业协会的相关规定进行估值。</w:t>
      </w:r>
    </w:p>
    <w:p w14:paraId="5797F5F8" w14:textId="77777777" w:rsidR="00A931B6" w:rsidRDefault="000A2AB6">
      <w:pPr>
        <w:spacing w:line="360" w:lineRule="auto"/>
        <w:ind w:firstLineChars="200" w:firstLine="480"/>
        <w:rPr>
          <w:bCs/>
          <w:sz w:val="24"/>
        </w:rPr>
      </w:pPr>
      <w:r>
        <w:rPr>
          <w:rFonts w:hint="eastAsia"/>
          <w:bCs/>
          <w:sz w:val="24"/>
        </w:rPr>
        <w:t>9</w:t>
      </w:r>
      <w:r>
        <w:rPr>
          <w:rFonts w:hint="eastAsia"/>
          <w:bCs/>
          <w:sz w:val="24"/>
        </w:rPr>
        <w:t>、本基金投资同业存单，按估值日第三方估值基准服务机构提供的估值全价估值；选定的第三方估值基准服务机构未提供估值价格的，应采用估值技术确定其公允价值。</w:t>
      </w:r>
    </w:p>
    <w:p w14:paraId="7BC401EF" w14:textId="77777777" w:rsidR="00A931B6" w:rsidRDefault="000A2AB6">
      <w:pPr>
        <w:spacing w:line="360" w:lineRule="auto"/>
        <w:ind w:firstLineChars="200" w:firstLine="480"/>
        <w:rPr>
          <w:bCs/>
          <w:sz w:val="24"/>
        </w:rPr>
      </w:pPr>
      <w:r>
        <w:rPr>
          <w:rFonts w:hint="eastAsia"/>
          <w:bCs/>
          <w:sz w:val="24"/>
        </w:rPr>
        <w:t>1</w:t>
      </w:r>
      <w:r>
        <w:rPr>
          <w:bCs/>
          <w:sz w:val="24"/>
        </w:rPr>
        <w:t>0</w:t>
      </w:r>
      <w:r>
        <w:rPr>
          <w:rFonts w:hint="eastAsia"/>
          <w:bCs/>
          <w:sz w:val="24"/>
        </w:rPr>
        <w:t>、本基金投资存托凭证的估值核算，依照国内依法发行上市的股票执行。</w:t>
      </w:r>
    </w:p>
    <w:p w14:paraId="298B1BAC" w14:textId="77777777" w:rsidR="00A931B6" w:rsidRDefault="000A2AB6">
      <w:pPr>
        <w:spacing w:line="360" w:lineRule="auto"/>
        <w:ind w:firstLineChars="200" w:firstLine="480"/>
        <w:rPr>
          <w:bCs/>
          <w:sz w:val="24"/>
        </w:rPr>
      </w:pPr>
      <w:r>
        <w:rPr>
          <w:rFonts w:hint="eastAsia"/>
          <w:bCs/>
          <w:sz w:val="24"/>
        </w:rPr>
        <w:t>1</w:t>
      </w:r>
      <w:r>
        <w:rPr>
          <w:bCs/>
          <w:sz w:val="24"/>
        </w:rPr>
        <w:t>1</w:t>
      </w:r>
      <w:r>
        <w:rPr>
          <w:rFonts w:hint="eastAsia"/>
          <w:bCs/>
          <w:sz w:val="24"/>
        </w:rPr>
        <w:t>、如有确凿证据表明按上述方法进行估值不能客观反映其公允价值的，基金管理人可根据具体情况与基金托管人商定后，按最能反映公允价值的价格估值。</w:t>
      </w:r>
    </w:p>
    <w:p w14:paraId="58B1540C" w14:textId="77777777" w:rsidR="00A931B6" w:rsidRDefault="000A2AB6">
      <w:pPr>
        <w:spacing w:line="360" w:lineRule="auto"/>
        <w:ind w:firstLineChars="200" w:firstLine="480"/>
        <w:rPr>
          <w:bCs/>
          <w:sz w:val="24"/>
        </w:rPr>
      </w:pPr>
      <w:r>
        <w:rPr>
          <w:rFonts w:hint="eastAsia"/>
          <w:bCs/>
          <w:sz w:val="24"/>
        </w:rPr>
        <w:t>1</w:t>
      </w:r>
      <w:r>
        <w:rPr>
          <w:bCs/>
          <w:sz w:val="24"/>
        </w:rPr>
        <w:t>2</w:t>
      </w:r>
      <w:r>
        <w:rPr>
          <w:rFonts w:hint="eastAsia"/>
          <w:bCs/>
          <w:sz w:val="24"/>
        </w:rPr>
        <w:t>、当发生大额申购或赎回情形时，基金管理人可以采用摆动定价机制，以确保基金估值的公平性。</w:t>
      </w:r>
    </w:p>
    <w:p w14:paraId="25F243E7" w14:textId="77777777" w:rsidR="00A931B6" w:rsidRDefault="000A2AB6">
      <w:pPr>
        <w:spacing w:line="360" w:lineRule="auto"/>
        <w:ind w:firstLineChars="200" w:firstLine="480"/>
        <w:rPr>
          <w:rStyle w:val="read"/>
          <w:bCs/>
          <w:sz w:val="24"/>
        </w:rPr>
      </w:pPr>
      <w:r>
        <w:rPr>
          <w:rFonts w:hint="eastAsia"/>
          <w:bCs/>
          <w:sz w:val="24"/>
        </w:rPr>
        <w:t>13</w:t>
      </w:r>
      <w:r>
        <w:rPr>
          <w:rFonts w:hint="eastAsia"/>
          <w:bCs/>
          <w:sz w:val="24"/>
        </w:rPr>
        <w:t>、相关法律法规以及监管部门有强制规定的，从其规定。如有新增事项，按国家最新规定估值。</w:t>
      </w:r>
    </w:p>
    <w:p w14:paraId="5A23ABD7" w14:textId="77777777" w:rsidR="00A931B6" w:rsidRDefault="000A2AB6">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584366B" w14:textId="77777777" w:rsidR="00A931B6" w:rsidRDefault="000A2AB6">
      <w:pPr>
        <w:spacing w:line="360" w:lineRule="auto"/>
        <w:ind w:firstLineChars="200" w:firstLine="480"/>
        <w:rPr>
          <w:rStyle w:val="read"/>
        </w:rPr>
      </w:pPr>
      <w:r>
        <w:rPr>
          <w:rFonts w:hint="eastAsia"/>
          <w:bCs/>
          <w:sz w:val="24"/>
          <w:szCs w:val="24"/>
        </w:rPr>
        <w:t>基金管理人担任本基金的会计责任方，负责本基金净值信息计算和基金会计核算。就与本基金有关的会计问题，如经相关各方在平等基础上充分讨论后，仍无法达成一致的意见，按照基金管理人对基金净值信息的计算结果对外予以公布</w:t>
      </w:r>
      <w:r>
        <w:rPr>
          <w:rStyle w:val="read"/>
          <w:rFonts w:hint="eastAsia"/>
          <w:bCs/>
          <w:sz w:val="24"/>
        </w:rPr>
        <w:t>，由此给基金份额持有人和基金造成的损失以及因该交易日基金资产净值计算顺延错误而引起的损失，基金托管人不承担</w:t>
      </w:r>
      <w:r w:rsidR="008C4BE9">
        <w:rPr>
          <w:rStyle w:val="read"/>
          <w:rFonts w:hint="eastAsia"/>
          <w:bCs/>
          <w:sz w:val="24"/>
        </w:rPr>
        <w:t>相应</w:t>
      </w:r>
      <w:r>
        <w:rPr>
          <w:rStyle w:val="read"/>
          <w:rFonts w:hint="eastAsia"/>
          <w:bCs/>
          <w:sz w:val="24"/>
        </w:rPr>
        <w:t>责任</w:t>
      </w:r>
      <w:r>
        <w:rPr>
          <w:rStyle w:val="read"/>
          <w:rFonts w:hint="eastAsia"/>
        </w:rPr>
        <w:t>。</w:t>
      </w:r>
    </w:p>
    <w:p w14:paraId="5C285C25"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t>（二）净值差错处理</w:t>
      </w:r>
    </w:p>
    <w:p w14:paraId="1363D6E7" w14:textId="77777777" w:rsidR="00A931B6" w:rsidRDefault="000A2AB6">
      <w:pPr>
        <w:pStyle w:val="121"/>
        <w:autoSpaceDE w:val="0"/>
        <w:autoSpaceDN w:val="0"/>
        <w:spacing w:line="360" w:lineRule="auto"/>
        <w:ind w:firstLine="420"/>
        <w:jc w:val="left"/>
        <w:rPr>
          <w:rFonts w:ascii="宋体" w:hAnsi="宋体"/>
          <w:sz w:val="24"/>
        </w:rPr>
      </w:pPr>
      <w:r>
        <w:rPr>
          <w:rFonts w:ascii="宋体" w:hAnsi="宋体"/>
          <w:sz w:val="24"/>
        </w:rPr>
        <w:t>当发生净值计算错误时，基金管理人</w:t>
      </w:r>
      <w:r>
        <w:rPr>
          <w:rFonts w:ascii="宋体" w:hAnsi="宋体" w:hint="eastAsia"/>
          <w:sz w:val="24"/>
        </w:rPr>
        <w:t>和基金托管人根据《基金合同》约定的估值错误处理原则</w:t>
      </w:r>
      <w:r>
        <w:rPr>
          <w:rFonts w:ascii="宋体" w:hAnsi="宋体"/>
          <w:sz w:val="24"/>
        </w:rPr>
        <w:t xml:space="preserve">处理，由此给基金份额持有人和基金造成损失的，基金管理人和基金托管人应根据实际情况界定双方承担的责任，经确认后按以下条款进行赔偿。 </w:t>
      </w:r>
    </w:p>
    <w:p w14:paraId="78381F20" w14:textId="77777777" w:rsidR="00A931B6" w:rsidRDefault="000A2AB6">
      <w:pPr>
        <w:pStyle w:val="121"/>
        <w:tabs>
          <w:tab w:val="left" w:pos="1260"/>
        </w:tabs>
        <w:spacing w:line="360" w:lineRule="auto"/>
        <w:ind w:firstLineChars="200" w:firstLine="480"/>
        <w:rPr>
          <w:bCs/>
          <w:sz w:val="24"/>
        </w:rPr>
      </w:pPr>
      <w:r>
        <w:rPr>
          <w:rFonts w:ascii="宋体" w:hAnsi="宋体"/>
          <w:sz w:val="24"/>
        </w:rPr>
        <w:lastRenderedPageBreak/>
        <w:t>1.如采用本协议第八章</w:t>
      </w:r>
      <w:r>
        <w:rPr>
          <w:rFonts w:ascii="宋体"/>
          <w:sz w:val="24"/>
        </w:rPr>
        <w:t>“</w:t>
      </w:r>
      <w:r>
        <w:rPr>
          <w:rFonts w:ascii="宋体" w:hAnsi="宋体"/>
          <w:sz w:val="24"/>
        </w:rPr>
        <w:t>基金资产净值及</w:t>
      </w:r>
      <w:r>
        <w:rPr>
          <w:rFonts w:ascii="宋体" w:hAnsi="宋体" w:hint="eastAsia"/>
          <w:sz w:val="24"/>
        </w:rPr>
        <w:t>各类</w:t>
      </w:r>
      <w:r>
        <w:rPr>
          <w:rFonts w:ascii="宋体" w:hAnsi="宋体"/>
          <w:sz w:val="24"/>
        </w:rPr>
        <w:t>基金份额净值的计算与复核</w:t>
      </w:r>
      <w:r>
        <w:rPr>
          <w:rFonts w:ascii="宋体"/>
          <w:sz w:val="24"/>
        </w:rPr>
        <w:t>”</w:t>
      </w:r>
      <w:r>
        <w:rPr>
          <w:rFonts w:ascii="宋体" w:hAnsi="宋体"/>
          <w:sz w:val="24"/>
        </w:rPr>
        <w:t>中估值方法进行处理时，</w:t>
      </w:r>
      <w:r>
        <w:rPr>
          <w:rFonts w:hint="eastAsia"/>
          <w:bCs/>
          <w:sz w:val="24"/>
        </w:rPr>
        <w:t>所造成的误差不作为基金资产估值错误处理。</w:t>
      </w:r>
    </w:p>
    <w:p w14:paraId="1C0F0C35"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2.若基金管理人净值计算出错，基金托管人在复核过程中没有发现，且造成基金份额持有人损失的，应根据法律法规的规定对投资者或基金支付赔偿金，就实际向投资者或基金支付的赔偿金额，由基金管理人与基金托管人按照管理费率和托管费率的比例各自承担相应的责任</w:t>
      </w:r>
      <w:r>
        <w:rPr>
          <w:rFonts w:ascii="宋体" w:hAnsi="宋体"/>
          <w:color w:val="000000"/>
          <w:sz w:val="24"/>
        </w:rPr>
        <w:t>；</w:t>
      </w:r>
    </w:p>
    <w:p w14:paraId="08541138" w14:textId="77777777" w:rsidR="00A931B6" w:rsidRDefault="000A2AB6">
      <w:pPr>
        <w:pStyle w:val="121"/>
        <w:pBdr>
          <w:top w:val="none" w:sz="4" w:space="0" w:color="000000"/>
          <w:left w:val="none" w:sz="4" w:space="0" w:color="000000"/>
          <w:bottom w:val="none" w:sz="4" w:space="0" w:color="000000"/>
          <w:right w:val="none" w:sz="4" w:space="0" w:color="000000"/>
        </w:pBdr>
        <w:tabs>
          <w:tab w:val="left" w:pos="1260"/>
        </w:tabs>
        <w:spacing w:line="360" w:lineRule="auto"/>
        <w:ind w:firstLineChars="200" w:firstLine="480"/>
        <w:rPr>
          <w:rFonts w:ascii="Calibri" w:hAnsi="Calibri" w:cs="Calibri"/>
          <w:sz w:val="22"/>
        </w:rPr>
      </w:pPr>
      <w:r>
        <w:rPr>
          <w:rFonts w:ascii="宋体" w:hAnsi="宋体"/>
          <w:sz w:val="24"/>
        </w:rPr>
        <w:t>3.如基金管理人和基金托管人对</w:t>
      </w:r>
      <w:r>
        <w:rPr>
          <w:rFonts w:ascii="宋体" w:hAnsi="宋体" w:hint="eastAsia"/>
          <w:sz w:val="24"/>
        </w:rPr>
        <w:t>某类</w:t>
      </w:r>
      <w:r>
        <w:rPr>
          <w:rFonts w:ascii="宋体" w:hAnsi="宋体"/>
          <w:sz w:val="24"/>
        </w:rPr>
        <w:t>基金份额净值的计算结果，虽然多次重新计算和核对，尚不能达成一致时，为避免不能按时公布</w:t>
      </w:r>
      <w:r>
        <w:rPr>
          <w:rFonts w:ascii="宋体" w:hAnsi="宋体" w:hint="eastAsia"/>
          <w:sz w:val="24"/>
        </w:rPr>
        <w:t>该类</w:t>
      </w:r>
      <w:r>
        <w:rPr>
          <w:rFonts w:ascii="宋体" w:hAnsi="宋体"/>
          <w:sz w:val="24"/>
        </w:rPr>
        <w:t>基金份额净值的情形，以基金管理人的计算结果对外公布，</w:t>
      </w:r>
      <w:r>
        <w:rPr>
          <w:rFonts w:ascii="宋体" w:hAnsi="宋体" w:hint="eastAsia"/>
          <w:sz w:val="24"/>
        </w:rPr>
        <w:t>在基金托管人计算正确的情况下，因前述计算错误给基金份额持有人和基金造成的损失，</w:t>
      </w:r>
      <w:r>
        <w:rPr>
          <w:rFonts w:ascii="宋体" w:hAnsi="宋体"/>
          <w:sz w:val="24"/>
        </w:rPr>
        <w:t>基金托管人不承担责任</w:t>
      </w:r>
      <w:r>
        <w:rPr>
          <w:rFonts w:ascii="宋体" w:hAnsi="宋体" w:hint="eastAsia"/>
          <w:sz w:val="24"/>
        </w:rPr>
        <w:t>。</w:t>
      </w:r>
    </w:p>
    <w:p w14:paraId="1C253B28" w14:textId="77777777" w:rsidR="00A931B6" w:rsidRDefault="000A2AB6">
      <w:pPr>
        <w:pStyle w:val="121"/>
        <w:tabs>
          <w:tab w:val="left" w:pos="1260"/>
        </w:tabs>
        <w:spacing w:line="360" w:lineRule="auto"/>
        <w:ind w:firstLineChars="200" w:firstLine="480"/>
        <w:rPr>
          <w:rFonts w:ascii="宋体"/>
          <w:sz w:val="24"/>
        </w:rPr>
      </w:pPr>
      <w:r>
        <w:rPr>
          <w:rFonts w:ascii="宋体"/>
          <w:sz w:val="24"/>
        </w:rPr>
        <w:t>4.</w:t>
      </w:r>
      <w:r>
        <w:rPr>
          <w:rFonts w:ascii="宋体" w:hAnsi="宋体"/>
          <w:sz w:val="24"/>
        </w:rPr>
        <w:t>由于不可抗力原因，或由于证券、期货交易所</w:t>
      </w:r>
      <w:r>
        <w:rPr>
          <w:rFonts w:ascii="宋体" w:hAnsi="宋体" w:hint="eastAsia"/>
          <w:sz w:val="24"/>
        </w:rPr>
        <w:t>、指数编制机构、证券经纪商、第三方估值基准服务机构或证券登记结算机构</w:t>
      </w:r>
      <w:r>
        <w:rPr>
          <w:rFonts w:ascii="宋体" w:hAnsi="宋体"/>
          <w:sz w:val="24"/>
        </w:rPr>
        <w:t>等发送的数据错误</w:t>
      </w:r>
      <w:r>
        <w:rPr>
          <w:rFonts w:ascii="宋体" w:hAnsi="宋体" w:hint="eastAsia"/>
          <w:sz w:val="24"/>
        </w:rPr>
        <w:t>，或国家会计政策、市场规则变更等非基金管理人或基金托管人</w:t>
      </w:r>
      <w:r>
        <w:rPr>
          <w:rFonts w:ascii="宋体" w:hAnsi="宋体"/>
          <w:sz w:val="24"/>
        </w:rPr>
        <w:t>原因，基金管理人和基金托管人虽然已经采取必要、适当、合理的措施进行检查，</w:t>
      </w:r>
      <w:r>
        <w:rPr>
          <w:rFonts w:ascii="宋体" w:hAnsi="宋体" w:hint="eastAsia"/>
          <w:sz w:val="24"/>
        </w:rPr>
        <w:t>仍</w:t>
      </w:r>
      <w:r>
        <w:rPr>
          <w:rFonts w:ascii="宋体" w:hAnsi="宋体"/>
          <w:sz w:val="24"/>
        </w:rPr>
        <w:t>未能发现错误</w:t>
      </w:r>
      <w:r>
        <w:rPr>
          <w:rFonts w:ascii="宋体" w:hAnsi="宋体" w:hint="eastAsia"/>
          <w:sz w:val="24"/>
        </w:rPr>
        <w:t>或因前述原因未能避免或更正错误</w:t>
      </w:r>
      <w:r>
        <w:rPr>
          <w:rFonts w:ascii="宋体" w:hAnsi="宋体"/>
          <w:sz w:val="24"/>
        </w:rPr>
        <w:t>的，由此造成的基金资产估值错误，基金管理人和基金托管人免除赔偿责任</w:t>
      </w:r>
      <w:r>
        <w:rPr>
          <w:rFonts w:ascii="宋体" w:hAnsi="宋体" w:hint="eastAsia"/>
          <w:sz w:val="24"/>
        </w:rPr>
        <w:t>，</w:t>
      </w:r>
      <w:r>
        <w:rPr>
          <w:rFonts w:ascii="宋体" w:hAnsi="宋体"/>
          <w:sz w:val="24"/>
        </w:rPr>
        <w:t>但基金管理人、基金托管人应当积极采取必要的措施减轻或消除由此造成的影响。</w:t>
      </w:r>
    </w:p>
    <w:p w14:paraId="5B5B2EA5" w14:textId="77777777" w:rsidR="00A931B6" w:rsidRDefault="000A2AB6">
      <w:pPr>
        <w:pStyle w:val="121"/>
        <w:tabs>
          <w:tab w:val="left" w:pos="1260"/>
        </w:tabs>
        <w:spacing w:line="360" w:lineRule="auto"/>
        <w:ind w:firstLineChars="200" w:firstLine="480"/>
        <w:rPr>
          <w:rFonts w:ascii="宋体" w:hAnsi="宋体"/>
          <w:sz w:val="24"/>
        </w:rPr>
      </w:pPr>
      <w:r>
        <w:rPr>
          <w:rFonts w:ascii="宋体" w:hAnsi="宋体"/>
          <w:sz w:val="24"/>
        </w:rPr>
        <w:t>针对净值差错处理，如果法律法规或证监会有新的规定，则按新的规定执行；如果行业有通行做法，在不违背法律法规且不损害投资者利益的前提下，双方应本着</w:t>
      </w:r>
      <w:r>
        <w:rPr>
          <w:rFonts w:ascii="宋体"/>
          <w:sz w:val="24"/>
        </w:rPr>
        <w:t>平等和保护基金份额持有人利益的</w:t>
      </w:r>
      <w:r>
        <w:rPr>
          <w:rFonts w:ascii="宋体" w:hAnsi="宋体"/>
          <w:sz w:val="24"/>
        </w:rPr>
        <w:t>原则重新协商确定处理原则。</w:t>
      </w:r>
    </w:p>
    <w:p w14:paraId="541943DC" w14:textId="77777777" w:rsidR="00A931B6" w:rsidRDefault="000A2AB6">
      <w:pPr>
        <w:pStyle w:val="121"/>
        <w:tabs>
          <w:tab w:val="left" w:pos="3780"/>
        </w:tabs>
        <w:autoSpaceDE w:val="0"/>
        <w:autoSpaceDN w:val="0"/>
        <w:spacing w:before="156" w:after="156" w:line="360" w:lineRule="auto"/>
        <w:outlineLvl w:val="0"/>
        <w:rPr>
          <w:rFonts w:ascii="宋体" w:hAnsi="宋体"/>
          <w:b/>
          <w:bCs/>
          <w:sz w:val="24"/>
        </w:rPr>
      </w:pPr>
      <w:r>
        <w:rPr>
          <w:rFonts w:ascii="宋体" w:hAnsi="宋体"/>
          <w:b/>
          <w:bCs/>
          <w:sz w:val="24"/>
        </w:rPr>
        <w:t>（三）</w:t>
      </w:r>
      <w:r>
        <w:rPr>
          <w:rFonts w:ascii="宋体" w:hAnsi="宋体" w:hint="eastAsia"/>
          <w:b/>
          <w:bCs/>
          <w:sz w:val="24"/>
        </w:rPr>
        <w:t>实施侧袋机制期间的基金资产估值</w:t>
      </w:r>
    </w:p>
    <w:p w14:paraId="684D398B" w14:textId="77777777" w:rsidR="00A931B6" w:rsidRDefault="000A2AB6">
      <w:pPr>
        <w:spacing w:line="360" w:lineRule="auto"/>
        <w:ind w:firstLineChars="200" w:firstLine="480"/>
        <w:rPr>
          <w:sz w:val="24"/>
        </w:rPr>
      </w:pPr>
      <w:r>
        <w:rPr>
          <w:rFonts w:hint="eastAsia"/>
          <w:sz w:val="24"/>
        </w:rPr>
        <w:t>本基金实施侧袋机制的，应根据本部分的约定对主袋账户资产进行估值并披露主袋账户的基金净值</w:t>
      </w:r>
      <w:r>
        <w:rPr>
          <w:sz w:val="24"/>
        </w:rPr>
        <w:t>信息</w:t>
      </w:r>
      <w:r>
        <w:rPr>
          <w:rFonts w:hint="eastAsia"/>
          <w:sz w:val="24"/>
        </w:rPr>
        <w:t>，暂停披露侧袋账户的基金</w:t>
      </w:r>
      <w:r>
        <w:rPr>
          <w:sz w:val="24"/>
        </w:rPr>
        <w:t>净值信息</w:t>
      </w:r>
      <w:r>
        <w:rPr>
          <w:rFonts w:hint="eastAsia"/>
          <w:sz w:val="24"/>
        </w:rPr>
        <w:t>。</w:t>
      </w:r>
    </w:p>
    <w:p w14:paraId="75A5758A" w14:textId="77777777" w:rsidR="00A931B6" w:rsidRDefault="000A2AB6">
      <w:pPr>
        <w:pStyle w:val="121"/>
        <w:tabs>
          <w:tab w:val="left" w:pos="3780"/>
        </w:tabs>
        <w:autoSpaceDE w:val="0"/>
        <w:autoSpaceDN w:val="0"/>
        <w:spacing w:before="156" w:after="156" w:line="360" w:lineRule="auto"/>
        <w:outlineLvl w:val="0"/>
        <w:rPr>
          <w:rFonts w:ascii="宋体"/>
          <w:b/>
          <w:sz w:val="24"/>
        </w:rPr>
      </w:pPr>
      <w:r>
        <w:rPr>
          <w:rFonts w:ascii="宋体"/>
          <w:b/>
          <w:sz w:val="24"/>
        </w:rPr>
        <w:t>（</w:t>
      </w:r>
      <w:r>
        <w:rPr>
          <w:rFonts w:ascii="宋体" w:hint="eastAsia"/>
          <w:b/>
          <w:sz w:val="24"/>
        </w:rPr>
        <w:t>四</w:t>
      </w:r>
      <w:r>
        <w:rPr>
          <w:rFonts w:ascii="宋体"/>
          <w:b/>
          <w:sz w:val="24"/>
        </w:rPr>
        <w:t>）基金</w:t>
      </w:r>
      <w:r>
        <w:rPr>
          <w:rFonts w:ascii="宋体" w:hAnsi="宋体"/>
          <w:b/>
          <w:bCs/>
          <w:sz w:val="24"/>
        </w:rPr>
        <w:t>会计制度</w:t>
      </w:r>
    </w:p>
    <w:p w14:paraId="679B2C7C" w14:textId="77777777" w:rsidR="00A931B6" w:rsidRDefault="000A2AB6">
      <w:pPr>
        <w:pStyle w:val="121"/>
        <w:autoSpaceDE w:val="0"/>
        <w:autoSpaceDN w:val="0"/>
        <w:spacing w:line="360" w:lineRule="auto"/>
        <w:ind w:firstLine="420"/>
        <w:jc w:val="left"/>
        <w:rPr>
          <w:rFonts w:ascii="宋体"/>
          <w:sz w:val="24"/>
        </w:rPr>
      </w:pPr>
      <w:r>
        <w:rPr>
          <w:rFonts w:ascii="宋体"/>
          <w:sz w:val="24"/>
        </w:rPr>
        <w:t>按国家有关部门制定的会计制度执行。</w:t>
      </w:r>
    </w:p>
    <w:p w14:paraId="47068CE7"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t>（</w:t>
      </w:r>
      <w:r>
        <w:rPr>
          <w:rFonts w:ascii="宋体" w:hAnsi="宋体" w:hint="eastAsia"/>
          <w:b/>
          <w:bCs/>
          <w:sz w:val="24"/>
        </w:rPr>
        <w:t>五</w:t>
      </w:r>
      <w:r>
        <w:rPr>
          <w:rFonts w:ascii="宋体" w:hAnsi="宋体"/>
          <w:b/>
          <w:bCs/>
          <w:sz w:val="24"/>
        </w:rPr>
        <w:t>）基金账册的建立</w:t>
      </w:r>
    </w:p>
    <w:p w14:paraId="61585D6C"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基金管理人和基金托管人在《基金合同》生效后，应按照双方约定的同一记</w:t>
      </w:r>
      <w:r>
        <w:rPr>
          <w:rFonts w:ascii="宋体" w:hAnsi="宋体"/>
          <w:sz w:val="24"/>
        </w:rPr>
        <w:lastRenderedPageBreak/>
        <w:t>账方法和会计处理原则，分别独立地设置、登录和保管本基金的全套账册，对双方各自的账册定期进行核对，互相监督，以保证基金财产的安全。若双方对会计处理方法存在分歧，应以基金管理人的处理方法为准。</w:t>
      </w:r>
    </w:p>
    <w:p w14:paraId="1604DA78"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t>（</w:t>
      </w:r>
      <w:r>
        <w:rPr>
          <w:rFonts w:ascii="宋体" w:hAnsi="宋体" w:hint="eastAsia"/>
          <w:b/>
          <w:bCs/>
          <w:sz w:val="24"/>
        </w:rPr>
        <w:t>六</w:t>
      </w:r>
      <w:r>
        <w:rPr>
          <w:rFonts w:ascii="宋体" w:hAnsi="宋体"/>
          <w:b/>
          <w:bCs/>
          <w:sz w:val="24"/>
        </w:rPr>
        <w:t>）会计数据和财务指标的核对</w:t>
      </w:r>
    </w:p>
    <w:p w14:paraId="533DE617"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双方应每个交易日核对账目，如发现双方的账目存在不符的，基金管理人和基金托管人必须及时查明原因并纠正，确保核对一致。若当日核对不符，暂时无法查找到错账的原因而影响到基金</w:t>
      </w:r>
      <w:r>
        <w:rPr>
          <w:rFonts w:ascii="宋体" w:hAnsi="宋体" w:hint="eastAsia"/>
          <w:sz w:val="24"/>
        </w:rPr>
        <w:t>净值信息</w:t>
      </w:r>
      <w:r>
        <w:rPr>
          <w:rFonts w:ascii="宋体" w:hAnsi="宋体"/>
          <w:sz w:val="24"/>
        </w:rPr>
        <w:t>的计算和公告的，以基金管理人的账册为准。</w:t>
      </w:r>
    </w:p>
    <w:p w14:paraId="08B0D88D"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t>（</w:t>
      </w:r>
      <w:r>
        <w:rPr>
          <w:rFonts w:ascii="宋体" w:hAnsi="宋体" w:hint="eastAsia"/>
          <w:b/>
          <w:bCs/>
          <w:sz w:val="24"/>
        </w:rPr>
        <w:t>七</w:t>
      </w:r>
      <w:r>
        <w:rPr>
          <w:rFonts w:ascii="宋体" w:hAnsi="宋体"/>
          <w:b/>
          <w:bCs/>
          <w:sz w:val="24"/>
        </w:rPr>
        <w:t>）基金</w:t>
      </w:r>
      <w:r>
        <w:rPr>
          <w:rFonts w:ascii="宋体" w:hAnsi="宋体" w:hint="eastAsia"/>
          <w:b/>
          <w:bCs/>
          <w:sz w:val="24"/>
        </w:rPr>
        <w:t>财务报表及</w:t>
      </w:r>
      <w:r>
        <w:rPr>
          <w:rFonts w:ascii="宋体" w:hAnsi="宋体"/>
          <w:b/>
          <w:bCs/>
          <w:sz w:val="24"/>
        </w:rPr>
        <w:t>定期报告的编制和复核</w:t>
      </w:r>
    </w:p>
    <w:p w14:paraId="037044AF"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基金财务报表由基金管理人和基金托管人每月分别独立编制。月度报表的编制，应于每月终了后5个工作日内完成。定期报告文件应按中国证监会的要求公告。季度报表的编制，应于每季度终了后15个工作日内完成</w:t>
      </w:r>
      <w:r>
        <w:rPr>
          <w:rFonts w:ascii="宋体" w:hAnsi="宋体" w:hint="eastAsia"/>
          <w:sz w:val="24"/>
        </w:rPr>
        <w:t>并公告</w:t>
      </w:r>
      <w:r>
        <w:rPr>
          <w:rFonts w:ascii="宋体" w:hAnsi="宋体"/>
          <w:sz w:val="24"/>
        </w:rPr>
        <w:t>；</w:t>
      </w:r>
      <w:r>
        <w:rPr>
          <w:rFonts w:ascii="宋体" w:hAnsi="宋体" w:hint="eastAsia"/>
          <w:sz w:val="24"/>
        </w:rPr>
        <w:t>基金合同生效后，</w:t>
      </w:r>
      <w:r>
        <w:rPr>
          <w:sz w:val="24"/>
        </w:rPr>
        <w:t>基金招募说明书、基金产品资料概要的信息发生重大变更的，基金管理人应当在</w:t>
      </w:r>
      <w:r>
        <w:rPr>
          <w:sz w:val="24"/>
        </w:rPr>
        <w:t>3</w:t>
      </w:r>
      <w:r>
        <w:rPr>
          <w:sz w:val="24"/>
        </w:rPr>
        <w:t>个工作日内，更新基金招募说明书和基金产品资料概要并登载在规定网站上</w:t>
      </w:r>
      <w:r>
        <w:rPr>
          <w:rFonts w:hint="eastAsia"/>
          <w:sz w:val="24"/>
        </w:rPr>
        <w:t>，其中基金产品资料概要还应当登载在基金销售机构网站或营业网点</w:t>
      </w:r>
      <w:r>
        <w:rPr>
          <w:sz w:val="24"/>
        </w:rPr>
        <w:t>；基金招募说明书、基金产品资料概要的其他信息发生变更的，基金管理人至少每年更新一次；</w:t>
      </w:r>
      <w:r>
        <w:rPr>
          <w:rFonts w:ascii="宋体" w:hAnsi="宋体" w:hint="eastAsia"/>
          <w:sz w:val="24"/>
        </w:rPr>
        <w:t>基金终止运作的，基金管理人不再更新基金招募说明书和基金产品资料概要</w:t>
      </w:r>
      <w:r>
        <w:rPr>
          <w:sz w:val="24"/>
        </w:rPr>
        <w:t>。</w:t>
      </w:r>
      <w:r>
        <w:rPr>
          <w:rFonts w:ascii="宋体" w:hAnsi="宋体"/>
          <w:sz w:val="24"/>
        </w:rPr>
        <w:t>中期报告在基金会计年度前6个月结束后的2个月内公告；年度报告在会计年度结束后3个月内公告。如果基金合同生效不足2个月的，基金管理人可以不编制当期季度报告、中期报告或者年度报告。</w:t>
      </w:r>
    </w:p>
    <w:p w14:paraId="0507AE8A"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基金管理人在月初3个工作日内完成上月度报表的编制，以约定方式将有关报表提供基金托管人；基金托管人收到后在2个工作日内进行复核，并将复核结果及时书面或以双方约定的其他方式通知基金管理人。对于季度报告、中期报告、年度报告、更新招募说明书、基金产品资料概要等，基金管理人和基金托管人应在上述监管部门规定的时间内完成编制、复核及公告。基金托管人在复核过程中，发现双方的报表或定期报告存在不符时，基金管理人和基金托管人应共同查明原因，进行调整，调整以双方认可的账务处理方式为准。如果基金管理人与基金托管人不能于应当发布公告之日前就相关报表或定期报告达成一致，基金管理人有</w:t>
      </w:r>
      <w:r>
        <w:rPr>
          <w:rFonts w:ascii="宋体" w:hAnsi="宋体"/>
          <w:sz w:val="24"/>
        </w:rPr>
        <w:lastRenderedPageBreak/>
        <w:t>权按照其编制的报表和定期报告对外发布公告，基金托管人有权就相关情况报证监会备案。</w:t>
      </w:r>
    </w:p>
    <w:p w14:paraId="12BFAA1E"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基金托管人对上述报告复核完毕后，可以出具复核确认书（盖章）或以其他双方约定的方式确认，以备有权机构对相关文件审核检查。</w:t>
      </w:r>
      <w:bookmarkStart w:id="68" w:name="_Toc523830000"/>
      <w:bookmarkStart w:id="69" w:name="_Toc466788859"/>
      <w:bookmarkStart w:id="70" w:name="_Toc22454461"/>
      <w:bookmarkStart w:id="71" w:name="_Toc125892445"/>
    </w:p>
    <w:p w14:paraId="5DEE0D66" w14:textId="77777777" w:rsidR="00A931B6" w:rsidRDefault="000A2AB6">
      <w:pPr>
        <w:pStyle w:val="113"/>
      </w:pPr>
      <w:bookmarkStart w:id="72" w:name="_Toc65162008"/>
      <w:r>
        <w:t>九、基金收益分配</w:t>
      </w:r>
      <w:bookmarkEnd w:id="68"/>
      <w:bookmarkEnd w:id="69"/>
      <w:bookmarkEnd w:id="70"/>
      <w:bookmarkEnd w:id="71"/>
      <w:bookmarkEnd w:id="72"/>
    </w:p>
    <w:p w14:paraId="1084ED5B" w14:textId="77777777" w:rsidR="00A931B6" w:rsidRDefault="000A2AB6">
      <w:pPr>
        <w:pStyle w:val="121"/>
        <w:tabs>
          <w:tab w:val="left" w:pos="1260"/>
        </w:tabs>
        <w:spacing w:line="360" w:lineRule="auto"/>
        <w:ind w:firstLineChars="200" w:firstLine="480"/>
        <w:rPr>
          <w:rFonts w:ascii="宋体" w:hAnsi="宋体"/>
          <w:sz w:val="24"/>
        </w:rPr>
      </w:pPr>
      <w:r>
        <w:rPr>
          <w:rFonts w:ascii="宋体" w:hAnsi="宋体"/>
          <w:sz w:val="24"/>
        </w:rPr>
        <w:t>基金收益分配是指将本基金的可分配收益根据持有</w:t>
      </w:r>
      <w:r>
        <w:rPr>
          <w:rFonts w:ascii="宋体" w:hAnsi="宋体" w:hint="eastAsia"/>
          <w:sz w:val="24"/>
        </w:rPr>
        <w:t>各类</w:t>
      </w:r>
      <w:r>
        <w:rPr>
          <w:rFonts w:ascii="宋体" w:hAnsi="宋体"/>
          <w:sz w:val="24"/>
        </w:rPr>
        <w:t>基金份额的数量按比例向基金份额持有人进行分配。</w:t>
      </w:r>
    </w:p>
    <w:p w14:paraId="569273BB" w14:textId="77777777" w:rsidR="00A931B6" w:rsidRDefault="000A2AB6">
      <w:pPr>
        <w:pStyle w:val="121"/>
        <w:tabs>
          <w:tab w:val="left" w:pos="1260"/>
        </w:tabs>
        <w:spacing w:line="360" w:lineRule="auto"/>
        <w:ind w:firstLineChars="200" w:firstLine="480"/>
        <w:rPr>
          <w:rFonts w:ascii="宋体" w:hAnsi="宋体"/>
          <w:sz w:val="24"/>
        </w:rPr>
      </w:pPr>
      <w:r>
        <w:rPr>
          <w:rFonts w:ascii="宋体" w:hAnsi="宋体" w:hint="eastAsia"/>
          <w:sz w:val="24"/>
        </w:rPr>
        <w:t>基金可供分配利润指截至收益分配基准日基金未分配利润与未分配利润中已实现收益的孰低数。</w:t>
      </w:r>
    </w:p>
    <w:p w14:paraId="4B6EA533"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t>（一）基金收益分配应符合基金合同中收益分配原则的规定，具体规定如下：</w:t>
      </w:r>
    </w:p>
    <w:p w14:paraId="6EC46E51" w14:textId="77777777" w:rsidR="00A931B6" w:rsidRDefault="000A2AB6">
      <w:pPr>
        <w:spacing w:line="360" w:lineRule="auto"/>
        <w:ind w:firstLineChars="225" w:firstLine="540"/>
        <w:rPr>
          <w:bCs/>
          <w:sz w:val="24"/>
        </w:rPr>
      </w:pPr>
      <w:r>
        <w:rPr>
          <w:rFonts w:hint="eastAsia"/>
          <w:bCs/>
          <w:sz w:val="24"/>
        </w:rPr>
        <w:t>1</w:t>
      </w:r>
      <w:r>
        <w:rPr>
          <w:rFonts w:hint="eastAsia"/>
          <w:bCs/>
          <w:sz w:val="24"/>
        </w:rPr>
        <w:t>、在符合有关基金分红条件的前提下，由基金管理人根据实际情况进行收益分配，具体分配方案以公告为准，若基金合同生效不满</w:t>
      </w:r>
      <w:r>
        <w:rPr>
          <w:rFonts w:hint="eastAsia"/>
          <w:bCs/>
          <w:sz w:val="24"/>
        </w:rPr>
        <w:t>3</w:t>
      </w:r>
      <w:r>
        <w:rPr>
          <w:rFonts w:hint="eastAsia"/>
          <w:bCs/>
          <w:sz w:val="24"/>
        </w:rPr>
        <w:t>个月可不进行收益分配；</w:t>
      </w:r>
    </w:p>
    <w:p w14:paraId="00C8FCA3" w14:textId="77777777" w:rsidR="00A931B6" w:rsidRDefault="000A2AB6">
      <w:pPr>
        <w:spacing w:line="360" w:lineRule="auto"/>
        <w:ind w:firstLineChars="225" w:firstLine="540"/>
        <w:rPr>
          <w:bCs/>
          <w:sz w:val="24"/>
        </w:rPr>
      </w:pPr>
      <w:r>
        <w:rPr>
          <w:rFonts w:hint="eastAsia"/>
          <w:bCs/>
          <w:sz w:val="24"/>
        </w:rPr>
        <w:t>2</w:t>
      </w:r>
      <w:r>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w:t>
      </w:r>
    </w:p>
    <w:p w14:paraId="39909936" w14:textId="77777777" w:rsidR="00A931B6" w:rsidRDefault="000A2AB6">
      <w:pPr>
        <w:spacing w:line="360" w:lineRule="auto"/>
        <w:ind w:firstLineChars="225" w:firstLine="540"/>
        <w:rPr>
          <w:bCs/>
          <w:sz w:val="24"/>
        </w:rPr>
      </w:pPr>
      <w:r>
        <w:rPr>
          <w:rFonts w:hint="eastAsia"/>
          <w:bCs/>
          <w:sz w:val="24"/>
        </w:rPr>
        <w:t>3</w:t>
      </w:r>
      <w:r>
        <w:rPr>
          <w:rFonts w:hint="eastAsia"/>
          <w:bCs/>
          <w:sz w:val="24"/>
        </w:rPr>
        <w:t>、由于基金费用的不同，不同类别的基金份额在收益分配数额方面可能有所不同，基金管理人可对各类别基金份额分别制定收益分配方案。同一类别内的每份基金份额享有同等分配权；</w:t>
      </w:r>
    </w:p>
    <w:p w14:paraId="7B527598" w14:textId="77777777" w:rsidR="00A931B6" w:rsidRDefault="000A2AB6">
      <w:pPr>
        <w:spacing w:line="360" w:lineRule="auto"/>
        <w:ind w:firstLineChars="225" w:firstLine="540"/>
        <w:rPr>
          <w:bCs/>
          <w:sz w:val="24"/>
        </w:rPr>
      </w:pPr>
      <w:r>
        <w:rPr>
          <w:rFonts w:hint="eastAsia"/>
          <w:bCs/>
          <w:sz w:val="24"/>
        </w:rPr>
        <w:t>4</w:t>
      </w:r>
      <w:r>
        <w:rPr>
          <w:rFonts w:hint="eastAsia"/>
          <w:bCs/>
          <w:sz w:val="24"/>
        </w:rPr>
        <w:t>、法律法规或监管机关另有规定的，从其规定。</w:t>
      </w:r>
    </w:p>
    <w:p w14:paraId="257650BD"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t>（二）基金收益分配方案的确定与公告</w:t>
      </w:r>
    </w:p>
    <w:p w14:paraId="47043AB3" w14:textId="77777777" w:rsidR="00A931B6" w:rsidRDefault="000A2AB6">
      <w:pPr>
        <w:pStyle w:val="121"/>
        <w:spacing w:line="360" w:lineRule="auto"/>
        <w:ind w:firstLineChars="225" w:firstLine="540"/>
        <w:rPr>
          <w:bCs/>
          <w:sz w:val="24"/>
          <w:szCs w:val="20"/>
        </w:rPr>
      </w:pPr>
      <w:bookmarkStart w:id="73" w:name="_Toc22454465"/>
      <w:bookmarkStart w:id="74" w:name="_Toc523830002"/>
      <w:bookmarkStart w:id="75" w:name="_Toc466788861"/>
      <w:r>
        <w:rPr>
          <w:bCs/>
          <w:sz w:val="24"/>
          <w:szCs w:val="20"/>
        </w:rPr>
        <w:t>本基金收益分配方案由基金管理人拟定，并由基金托管人复核，基金管理人应依照《信息披露办法》的有关规定在规定媒介公告。</w:t>
      </w:r>
    </w:p>
    <w:p w14:paraId="084CCF48" w14:textId="77777777" w:rsidR="00A931B6" w:rsidRDefault="000A2AB6">
      <w:pPr>
        <w:pStyle w:val="121"/>
        <w:tabs>
          <w:tab w:val="left" w:pos="1260"/>
        </w:tabs>
        <w:spacing w:line="360" w:lineRule="auto"/>
        <w:ind w:firstLineChars="200" w:firstLine="480"/>
        <w:rPr>
          <w:bCs/>
          <w:sz w:val="24"/>
          <w:szCs w:val="20"/>
        </w:rPr>
      </w:pPr>
      <w:r>
        <w:rPr>
          <w:bCs/>
          <w:sz w:val="24"/>
          <w:szCs w:val="20"/>
        </w:rPr>
        <w:t>基金收益分配时所发生的银行转账或其他手续费用由投资者自行承担。</w:t>
      </w:r>
      <w:bookmarkStart w:id="76" w:name="_Toc125892446"/>
      <w:r>
        <w:rPr>
          <w:rFonts w:hint="eastAsia"/>
          <w:bCs/>
          <w:sz w:val="24"/>
          <w:szCs w:val="20"/>
        </w:rPr>
        <w:t>当基金份额持有人的现金红利小于一定金额，不足以支付银行转账或其他手续费用时，基金份额登记机构可将基金份额持有人的现金红利自动转为相应类别的基金份额。红利再投资的计算方法，依照业务规则执行。</w:t>
      </w:r>
    </w:p>
    <w:p w14:paraId="05B8A000" w14:textId="77777777" w:rsidR="00A931B6" w:rsidRDefault="000A2AB6">
      <w:pPr>
        <w:pStyle w:val="121"/>
        <w:tabs>
          <w:tab w:val="left" w:pos="3780"/>
        </w:tabs>
        <w:autoSpaceDE w:val="0"/>
        <w:autoSpaceDN w:val="0"/>
        <w:spacing w:before="156" w:after="156" w:line="360" w:lineRule="auto"/>
        <w:outlineLvl w:val="0"/>
        <w:rPr>
          <w:rFonts w:ascii="宋体" w:hAnsi="宋体"/>
          <w:b/>
          <w:bCs/>
          <w:sz w:val="24"/>
        </w:rPr>
      </w:pPr>
      <w:r>
        <w:rPr>
          <w:rFonts w:ascii="宋体" w:hAnsi="宋体"/>
          <w:b/>
          <w:bCs/>
          <w:sz w:val="24"/>
        </w:rPr>
        <w:lastRenderedPageBreak/>
        <w:t>（三）实施侧袋机制期间的收益分配</w:t>
      </w:r>
    </w:p>
    <w:p w14:paraId="16DEE53D" w14:textId="77777777" w:rsidR="00A931B6" w:rsidRDefault="000A2AB6">
      <w:pPr>
        <w:pStyle w:val="121"/>
        <w:spacing w:line="360" w:lineRule="auto"/>
        <w:ind w:firstLineChars="225" w:firstLine="540"/>
        <w:rPr>
          <w:rFonts w:ascii="宋体"/>
          <w:sz w:val="24"/>
        </w:rPr>
      </w:pPr>
      <w:r>
        <w:rPr>
          <w:rFonts w:ascii="宋体"/>
          <w:sz w:val="24"/>
        </w:rPr>
        <w:t>本基金实施侧袋机制的，侧袋账户不进行收益分配，详见招募说明书的规定。</w:t>
      </w:r>
    </w:p>
    <w:p w14:paraId="000D0259" w14:textId="77777777" w:rsidR="00A931B6" w:rsidRDefault="00A931B6">
      <w:pPr>
        <w:pStyle w:val="121"/>
        <w:tabs>
          <w:tab w:val="left" w:pos="1260"/>
        </w:tabs>
        <w:spacing w:line="360" w:lineRule="auto"/>
        <w:ind w:firstLineChars="200" w:firstLine="480"/>
        <w:rPr>
          <w:rFonts w:ascii="宋体"/>
          <w:sz w:val="24"/>
        </w:rPr>
      </w:pPr>
    </w:p>
    <w:p w14:paraId="0E1FB1C1" w14:textId="77777777" w:rsidR="00A931B6" w:rsidRDefault="000A2AB6">
      <w:pPr>
        <w:pStyle w:val="113"/>
      </w:pPr>
      <w:bookmarkStart w:id="77" w:name="_Toc65162009"/>
      <w:r>
        <w:t>十、基金信息披露</w:t>
      </w:r>
      <w:bookmarkEnd w:id="73"/>
      <w:bookmarkEnd w:id="74"/>
      <w:bookmarkEnd w:id="75"/>
      <w:bookmarkEnd w:id="76"/>
      <w:bookmarkEnd w:id="77"/>
    </w:p>
    <w:p w14:paraId="70F2ED0A" w14:textId="77777777" w:rsidR="00A931B6" w:rsidRDefault="000A2AB6">
      <w:pPr>
        <w:pStyle w:val="121"/>
        <w:tabs>
          <w:tab w:val="left" w:pos="3780"/>
        </w:tabs>
        <w:autoSpaceDE w:val="0"/>
        <w:autoSpaceDN w:val="0"/>
        <w:spacing w:before="156" w:after="156" w:line="360" w:lineRule="auto"/>
        <w:outlineLvl w:val="0"/>
        <w:rPr>
          <w:rFonts w:ascii="宋体"/>
          <w:b/>
          <w:bCs/>
          <w:sz w:val="24"/>
        </w:rPr>
      </w:pPr>
      <w:bookmarkStart w:id="78" w:name="_Toc22454466"/>
      <w:bookmarkStart w:id="79" w:name="_Toc77663026"/>
      <w:r>
        <w:rPr>
          <w:rFonts w:ascii="宋体" w:hAnsi="宋体"/>
          <w:b/>
          <w:bCs/>
          <w:sz w:val="24"/>
        </w:rPr>
        <w:t>（一）保密义务</w:t>
      </w:r>
      <w:bookmarkEnd w:id="78"/>
      <w:bookmarkEnd w:id="79"/>
    </w:p>
    <w:p w14:paraId="327C7B68" w14:textId="77777777" w:rsidR="00A931B6" w:rsidRDefault="000A2AB6">
      <w:pPr>
        <w:pStyle w:val="121"/>
        <w:pBdr>
          <w:top w:val="none" w:sz="0" w:space="0" w:color="000000"/>
          <w:left w:val="none" w:sz="0" w:space="0" w:color="000000"/>
          <w:bottom w:val="none" w:sz="0" w:space="0" w:color="000000"/>
          <w:right w:val="none" w:sz="0" w:space="0" w:color="000000"/>
        </w:pBdr>
        <w:tabs>
          <w:tab w:val="left" w:pos="1260"/>
        </w:tabs>
        <w:spacing w:line="360" w:lineRule="auto"/>
        <w:ind w:firstLineChars="200" w:firstLine="480"/>
        <w:rPr>
          <w:rFonts w:ascii="宋体" w:hAnsi="宋体"/>
          <w:sz w:val="24"/>
        </w:rPr>
      </w:pPr>
      <w:r>
        <w:rPr>
          <w:rFonts w:ascii="宋体" w:hAnsi="宋体"/>
          <w:sz w:val="24"/>
        </w:rPr>
        <w:t>除按照《基金法》、</w:t>
      </w:r>
      <w:r>
        <w:rPr>
          <w:rFonts w:ascii="宋体" w:hAnsi="宋体" w:hint="eastAsia"/>
          <w:sz w:val="24"/>
        </w:rPr>
        <w:t>《运作办法》、</w:t>
      </w:r>
      <w:r>
        <w:rPr>
          <w:rFonts w:ascii="宋体" w:hAnsi="宋体"/>
          <w:sz w:val="24"/>
        </w:rPr>
        <w:t>《基金合同》、《信息披露办法》</w:t>
      </w:r>
      <w:r>
        <w:rPr>
          <w:rFonts w:ascii="宋体" w:hAnsi="宋体" w:hint="eastAsia"/>
          <w:sz w:val="24"/>
        </w:rPr>
        <w:t>、《流动性风险管理规定》等法律法规</w:t>
      </w:r>
      <w:r>
        <w:rPr>
          <w:rFonts w:ascii="宋体" w:hAnsi="宋体"/>
          <w:sz w:val="24"/>
        </w:rPr>
        <w:t>及中国证监会关于基金信息披露的有关规定进行披露以外，基金管理人和基金托管人对公开披露前的基金信息、从对方获得的业务信息及其他不宜公开披露的基金信息应予保密，不得向任何第三方泄露。法律法规另有规定的以及</w:t>
      </w:r>
      <w:r>
        <w:rPr>
          <w:rFonts w:ascii="宋体" w:hAnsi="宋体" w:cs="宋体"/>
          <w:color w:val="000000"/>
          <w:sz w:val="24"/>
        </w:rPr>
        <w:t>依法向监管机构、司法机关</w:t>
      </w:r>
      <w:r>
        <w:rPr>
          <w:rFonts w:ascii="宋体" w:hAnsi="宋体" w:cs="宋体" w:hint="eastAsia"/>
          <w:color w:val="000000"/>
          <w:sz w:val="24"/>
        </w:rPr>
        <w:t>等有权机关或</w:t>
      </w:r>
      <w:r>
        <w:rPr>
          <w:rFonts w:ascii="宋体" w:hAnsi="宋体" w:cs="宋体"/>
          <w:color w:val="000000"/>
          <w:sz w:val="24"/>
        </w:rPr>
        <w:t>审计、法律等外部专业顾问提供</w:t>
      </w:r>
      <w:r>
        <w:rPr>
          <w:rFonts w:ascii="宋体" w:hAnsi="宋体"/>
          <w:sz w:val="24"/>
        </w:rPr>
        <w:t>的除外。</w:t>
      </w:r>
    </w:p>
    <w:p w14:paraId="6C972643"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如下情况不应视为基金管理人或基金托管人违反保密义务：</w:t>
      </w:r>
    </w:p>
    <w:p w14:paraId="7DA3BE3D"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1.非因基金管理人和基金托管人的原因导致保密信息被披露、泄露或公开；</w:t>
      </w:r>
    </w:p>
    <w:p w14:paraId="0DC62B91"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2.基金管理人和基金托管人为遵守和服从法院判决</w:t>
      </w:r>
      <w:r>
        <w:rPr>
          <w:rFonts w:ascii="宋体" w:hAnsi="宋体" w:hint="eastAsia"/>
          <w:sz w:val="24"/>
        </w:rPr>
        <w:t>或裁定</w:t>
      </w:r>
      <w:r>
        <w:rPr>
          <w:rFonts w:ascii="宋体" w:hAnsi="宋体"/>
          <w:sz w:val="24"/>
        </w:rPr>
        <w:t>、仲裁裁决或中国证监会等监管机构的命令决定所做出的信息披露或公开。</w:t>
      </w:r>
      <w:bookmarkStart w:id="80" w:name="_Toc77663027"/>
      <w:bookmarkStart w:id="81" w:name="_Toc22454467"/>
    </w:p>
    <w:p w14:paraId="06820177"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t>（二）基金管理人和基金托管人在基金信息披露中的职责和信息披露程序</w:t>
      </w:r>
      <w:bookmarkEnd w:id="80"/>
      <w:bookmarkEnd w:id="81"/>
    </w:p>
    <w:p w14:paraId="447EF704"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基金管理人和基金托管人应根据相关法律法规、《基金合同》的规定各自承担相应的信息披露职责。基金管理人和基金托管人负有积极配合、互相督促、彼此监督、保证其履行按照法定方式和时限披露的义务。</w:t>
      </w:r>
    </w:p>
    <w:p w14:paraId="55D7248D" w14:textId="77777777" w:rsidR="00A931B6" w:rsidRDefault="000A2AB6">
      <w:pPr>
        <w:pStyle w:val="121"/>
        <w:tabs>
          <w:tab w:val="left" w:pos="1260"/>
        </w:tabs>
        <w:spacing w:line="360" w:lineRule="auto"/>
        <w:ind w:firstLineChars="200" w:firstLine="480"/>
        <w:rPr>
          <w:rFonts w:ascii="宋体" w:hAnsi="宋体"/>
          <w:sz w:val="24"/>
        </w:rPr>
      </w:pPr>
      <w:r>
        <w:rPr>
          <w:rFonts w:ascii="宋体" w:hAnsi="宋体"/>
          <w:sz w:val="24"/>
        </w:rPr>
        <w:t>本基金信息披露的文件，包括基金招募说明书、基金合同、基金托管协议、基金产品资料概要、基金份额发售公告、</w:t>
      </w:r>
      <w:r>
        <w:rPr>
          <w:rFonts w:ascii="宋体" w:hAnsi="宋体" w:hint="eastAsia"/>
          <w:sz w:val="24"/>
        </w:rPr>
        <w:t>基金合同生效公告、基金净值信息、</w:t>
      </w:r>
      <w:r>
        <w:rPr>
          <w:rFonts w:hint="eastAsia"/>
          <w:bCs/>
          <w:sz w:val="24"/>
        </w:rPr>
        <w:t>基金份额申购、赎回价格、</w:t>
      </w:r>
      <w:r>
        <w:rPr>
          <w:rFonts w:ascii="宋体" w:hAnsi="宋体"/>
          <w:sz w:val="24"/>
        </w:rPr>
        <w:t>基金定期报告</w:t>
      </w:r>
      <w:r>
        <w:rPr>
          <w:rFonts w:ascii="宋体" w:hAnsi="宋体" w:hint="eastAsia"/>
          <w:sz w:val="24"/>
        </w:rPr>
        <w:t>（</w:t>
      </w:r>
      <w:r>
        <w:rPr>
          <w:bCs/>
          <w:sz w:val="24"/>
        </w:rPr>
        <w:t>包括基金年度报告、基金中期报告和基金季度报告</w:t>
      </w:r>
      <w:r>
        <w:rPr>
          <w:rFonts w:ascii="宋体" w:hAnsi="宋体" w:hint="eastAsia"/>
          <w:sz w:val="24"/>
        </w:rPr>
        <w:t>）</w:t>
      </w:r>
      <w:r>
        <w:rPr>
          <w:rFonts w:ascii="宋体" w:hAnsi="宋体"/>
          <w:sz w:val="24"/>
        </w:rPr>
        <w:t>、临时报告、澄清公告、基金份额持有人大会决议、清算报告</w:t>
      </w:r>
      <w:r>
        <w:rPr>
          <w:rFonts w:ascii="宋体" w:hAnsi="宋体" w:hint="eastAsia"/>
          <w:sz w:val="24"/>
        </w:rPr>
        <w:t>、实施侧袋机制期间的信息披露</w:t>
      </w:r>
      <w:r>
        <w:rPr>
          <w:rFonts w:ascii="宋体" w:hAnsi="宋体"/>
          <w:sz w:val="24"/>
        </w:rPr>
        <w:t>及中国证监会规定</w:t>
      </w:r>
      <w:r>
        <w:rPr>
          <w:bCs/>
          <w:sz w:val="24"/>
        </w:rPr>
        <w:t>应予公开披露的其他信息</w:t>
      </w:r>
      <w:r>
        <w:rPr>
          <w:rFonts w:ascii="宋体" w:hAnsi="宋体"/>
          <w:sz w:val="24"/>
        </w:rPr>
        <w:t>，由基金管理人拟定并公布。</w:t>
      </w:r>
    </w:p>
    <w:p w14:paraId="39A215BB" w14:textId="77777777" w:rsidR="00A931B6" w:rsidRDefault="000A2AB6">
      <w:pPr>
        <w:pStyle w:val="121"/>
        <w:tabs>
          <w:tab w:val="left" w:pos="1260"/>
        </w:tabs>
        <w:spacing w:line="360" w:lineRule="auto"/>
        <w:ind w:firstLineChars="200" w:firstLine="480"/>
        <w:rPr>
          <w:rFonts w:ascii="宋体"/>
          <w:sz w:val="24"/>
        </w:rPr>
      </w:pPr>
      <w:r>
        <w:rPr>
          <w:rFonts w:ascii="宋体" w:hint="eastAsia"/>
          <w:sz w:val="24"/>
        </w:rPr>
        <w:t>若本基金投资股指期货、国债期货、资产支持证券、股票期权，参与融资及转融通证券出借业务，基金管理人将按相关法律法规要求进行披露。</w:t>
      </w:r>
    </w:p>
    <w:p w14:paraId="1A287EFA"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lastRenderedPageBreak/>
        <w:t>基金托管人应按本协议第八条第（六）款的规定对相关报告进行复核</w:t>
      </w:r>
      <w:r>
        <w:rPr>
          <w:rFonts w:ascii="宋体" w:hAnsi="宋体" w:hint="eastAsia"/>
          <w:sz w:val="24"/>
        </w:rPr>
        <w:t>，并向基金管理人进行书面或电子确认</w:t>
      </w:r>
      <w:r>
        <w:rPr>
          <w:rFonts w:ascii="宋体" w:hAnsi="宋体"/>
          <w:sz w:val="24"/>
        </w:rPr>
        <w:t>。基金年</w:t>
      </w:r>
      <w:r>
        <w:rPr>
          <w:rFonts w:ascii="宋体" w:hAnsi="宋体" w:hint="eastAsia"/>
          <w:sz w:val="24"/>
        </w:rPr>
        <w:t>度报告中的财务会计报告</w:t>
      </w:r>
      <w:r>
        <w:rPr>
          <w:rFonts w:ascii="宋体" w:hAnsi="宋体"/>
          <w:sz w:val="24"/>
        </w:rPr>
        <w:t>应当经过符合《证券法》规定的会计师事务所审计后方可披露。</w:t>
      </w:r>
    </w:p>
    <w:p w14:paraId="1E9C00B5"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本基金的信息披露公告，必须在中国证监会规定媒介发布。</w:t>
      </w:r>
      <w:bookmarkStart w:id="82" w:name="_Toc466788862"/>
    </w:p>
    <w:p w14:paraId="61D3E8F5"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t>（三）暂停或延迟信息披露的情形</w:t>
      </w:r>
    </w:p>
    <w:p w14:paraId="199CEA9B" w14:textId="77777777" w:rsidR="00A931B6" w:rsidRDefault="000A2AB6">
      <w:pPr>
        <w:spacing w:line="360" w:lineRule="auto"/>
        <w:ind w:firstLineChars="200" w:firstLine="480"/>
        <w:rPr>
          <w:bCs/>
          <w:sz w:val="24"/>
        </w:rPr>
      </w:pPr>
      <w:r>
        <w:rPr>
          <w:rFonts w:hint="eastAsia"/>
          <w:bCs/>
          <w:sz w:val="24"/>
        </w:rPr>
        <w:t>当出现下述情况时，基金管理人和基金托管人可暂停或延迟披露基金信息：</w:t>
      </w:r>
    </w:p>
    <w:p w14:paraId="33E0E97E" w14:textId="77777777" w:rsidR="00A931B6" w:rsidRDefault="000A2AB6">
      <w:pPr>
        <w:spacing w:line="360" w:lineRule="auto"/>
        <w:ind w:firstLineChars="200" w:firstLine="480"/>
        <w:rPr>
          <w:bCs/>
          <w:sz w:val="24"/>
        </w:rPr>
      </w:pPr>
      <w:r>
        <w:rPr>
          <w:rFonts w:hint="eastAsia"/>
          <w:bCs/>
          <w:sz w:val="24"/>
        </w:rPr>
        <w:t>1</w:t>
      </w:r>
      <w:r>
        <w:rPr>
          <w:rFonts w:hint="eastAsia"/>
          <w:bCs/>
          <w:sz w:val="24"/>
        </w:rPr>
        <w:t>、基金投资所涉及的证券、期货交易所遇法定节假日或因其他原因暂停营业时；</w:t>
      </w:r>
    </w:p>
    <w:p w14:paraId="566A4E8E" w14:textId="77777777" w:rsidR="00A931B6" w:rsidRDefault="000A2AB6">
      <w:pPr>
        <w:spacing w:line="360" w:lineRule="auto"/>
        <w:ind w:firstLineChars="200" w:firstLine="480"/>
        <w:rPr>
          <w:bCs/>
          <w:sz w:val="24"/>
        </w:rPr>
      </w:pPr>
      <w:r>
        <w:rPr>
          <w:rFonts w:hint="eastAsia"/>
          <w:bCs/>
          <w:sz w:val="24"/>
        </w:rPr>
        <w:t>2</w:t>
      </w:r>
      <w:r>
        <w:rPr>
          <w:rFonts w:hint="eastAsia"/>
          <w:bCs/>
          <w:sz w:val="24"/>
        </w:rPr>
        <w:t>、因不可抗力或其他情形致使基金管理人、基金托管人无法准确评估基金资产价值时；</w:t>
      </w:r>
    </w:p>
    <w:p w14:paraId="475477E0" w14:textId="77777777" w:rsidR="00A931B6" w:rsidRDefault="000A2AB6">
      <w:pPr>
        <w:pStyle w:val="121"/>
        <w:tabs>
          <w:tab w:val="left" w:pos="1260"/>
        </w:tabs>
        <w:spacing w:line="360" w:lineRule="auto"/>
        <w:ind w:firstLineChars="200" w:firstLine="480"/>
        <w:rPr>
          <w:bCs/>
          <w:sz w:val="24"/>
        </w:rPr>
      </w:pPr>
      <w:r>
        <w:rPr>
          <w:rFonts w:hint="eastAsia"/>
          <w:bCs/>
          <w:sz w:val="24"/>
        </w:rPr>
        <w:t>3</w:t>
      </w:r>
      <w:r>
        <w:rPr>
          <w:rFonts w:hint="eastAsia"/>
          <w:bCs/>
          <w:sz w:val="24"/>
        </w:rPr>
        <w:t>、法律法规规定、中国证监会或基金合同认定的其他情形。</w:t>
      </w:r>
    </w:p>
    <w:p w14:paraId="0E87A17F" w14:textId="77777777" w:rsidR="00A931B6" w:rsidRDefault="000A2AB6">
      <w:pPr>
        <w:pStyle w:val="1f4"/>
        <w:tabs>
          <w:tab w:val="left" w:pos="1260"/>
        </w:tabs>
        <w:spacing w:line="360" w:lineRule="auto"/>
        <w:rPr>
          <w:rFonts w:ascii="宋体"/>
          <w:b/>
          <w:sz w:val="24"/>
        </w:rPr>
      </w:pPr>
      <w:r>
        <w:rPr>
          <w:rFonts w:ascii="宋体"/>
          <w:b/>
          <w:sz w:val="24"/>
        </w:rPr>
        <w:t>（四）实施侧袋机制期间的信息披露</w:t>
      </w:r>
    </w:p>
    <w:p w14:paraId="044B45CE" w14:textId="77777777" w:rsidR="00A931B6" w:rsidRDefault="000A2AB6">
      <w:pPr>
        <w:pStyle w:val="1f4"/>
        <w:tabs>
          <w:tab w:val="left" w:pos="1260"/>
        </w:tabs>
        <w:spacing w:line="360" w:lineRule="auto"/>
        <w:ind w:firstLine="480"/>
        <w:rPr>
          <w:rFonts w:ascii="宋体"/>
          <w:sz w:val="24"/>
        </w:rPr>
      </w:pPr>
      <w:r>
        <w:rPr>
          <w:rFonts w:ascii="宋体"/>
          <w:sz w:val="24"/>
        </w:rPr>
        <w:t>本基金实施侧袋机制的，相关信息披露义务人应当根据法律法规、基金合同和招募说明书的规定进行信息披露，详见招募说明书的规定。</w:t>
      </w:r>
    </w:p>
    <w:p w14:paraId="56C199F2" w14:textId="77777777" w:rsidR="00A931B6" w:rsidRDefault="000A2AB6">
      <w:pPr>
        <w:pStyle w:val="121"/>
        <w:tabs>
          <w:tab w:val="left" w:pos="1260"/>
        </w:tabs>
        <w:spacing w:line="360" w:lineRule="auto"/>
        <w:rPr>
          <w:rFonts w:ascii="宋体"/>
          <w:b/>
          <w:bCs/>
          <w:sz w:val="24"/>
        </w:rPr>
      </w:pPr>
      <w:r>
        <w:rPr>
          <w:rFonts w:ascii="宋体"/>
          <w:b/>
          <w:sz w:val="24"/>
        </w:rPr>
        <w:t>（</w:t>
      </w:r>
      <w:r>
        <w:rPr>
          <w:rFonts w:ascii="宋体" w:hint="eastAsia"/>
          <w:b/>
          <w:sz w:val="24"/>
        </w:rPr>
        <w:t>五</w:t>
      </w:r>
      <w:r>
        <w:rPr>
          <w:rFonts w:ascii="宋体"/>
          <w:b/>
          <w:sz w:val="24"/>
        </w:rPr>
        <w:t>）</w:t>
      </w:r>
      <w:r>
        <w:rPr>
          <w:rFonts w:ascii="宋体" w:hAnsi="宋体"/>
          <w:b/>
          <w:bCs/>
          <w:sz w:val="24"/>
        </w:rPr>
        <w:t>基金托管人报告</w:t>
      </w:r>
    </w:p>
    <w:p w14:paraId="5C3BB5E6"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基金托管人应按《基金法》和中国证监会的有关规定出具基金托管情况报告。基金托管人报告说明该半年度/年度基金托管人和基金管理人履行《基金合同》的情况，是基金中期报告和年度报告的组成部分。</w:t>
      </w:r>
      <w:bookmarkStart w:id="83" w:name="_Toc125892447"/>
    </w:p>
    <w:p w14:paraId="79BE225A" w14:textId="77777777" w:rsidR="00A931B6" w:rsidRDefault="000A2AB6">
      <w:pPr>
        <w:pStyle w:val="113"/>
      </w:pPr>
      <w:bookmarkStart w:id="84" w:name="_Toc65162010"/>
      <w:r>
        <w:t>十一、基金费用</w:t>
      </w:r>
      <w:bookmarkEnd w:id="83"/>
      <w:bookmarkEnd w:id="84"/>
    </w:p>
    <w:p w14:paraId="0E38C2D2" w14:textId="77777777" w:rsidR="00A931B6" w:rsidRDefault="000A2AB6">
      <w:pPr>
        <w:pStyle w:val="121"/>
        <w:tabs>
          <w:tab w:val="left" w:pos="1260"/>
        </w:tabs>
        <w:spacing w:line="360" w:lineRule="auto"/>
        <w:ind w:firstLineChars="200" w:firstLine="482"/>
        <w:rPr>
          <w:rFonts w:ascii="宋体"/>
          <w:b/>
          <w:sz w:val="24"/>
        </w:rPr>
      </w:pPr>
      <w:r>
        <w:rPr>
          <w:rFonts w:ascii="宋体" w:hAnsi="宋体"/>
          <w:b/>
          <w:sz w:val="24"/>
        </w:rPr>
        <w:t>（一）基金管理人的管理费</w:t>
      </w:r>
    </w:p>
    <w:p w14:paraId="3296A9F6" w14:textId="77777777" w:rsidR="00A931B6" w:rsidRDefault="000A2AB6">
      <w:pPr>
        <w:spacing w:line="360" w:lineRule="auto"/>
        <w:ind w:firstLineChars="200" w:firstLine="480"/>
        <w:rPr>
          <w:bCs/>
          <w:sz w:val="24"/>
        </w:rPr>
      </w:pPr>
      <w:r>
        <w:rPr>
          <w:bCs/>
          <w:sz w:val="24"/>
        </w:rPr>
        <w:t>本基金的管理费按前一日基金资产净值的</w:t>
      </w:r>
      <w:r>
        <w:rPr>
          <w:rFonts w:hint="eastAsia"/>
          <w:bCs/>
          <w:sz w:val="24"/>
        </w:rPr>
        <w:t>0.</w:t>
      </w:r>
      <w:r>
        <w:rPr>
          <w:bCs/>
          <w:sz w:val="24"/>
        </w:rPr>
        <w:t>80%</w:t>
      </w:r>
      <w:r>
        <w:rPr>
          <w:bCs/>
          <w:sz w:val="24"/>
        </w:rPr>
        <w:t>年费率计提。管理费的计算方法如下：</w:t>
      </w:r>
    </w:p>
    <w:p w14:paraId="59031AA2" w14:textId="77777777" w:rsidR="00A931B6" w:rsidRDefault="000A2AB6">
      <w:pPr>
        <w:spacing w:line="360" w:lineRule="auto"/>
        <w:ind w:firstLineChars="200" w:firstLine="480"/>
        <w:rPr>
          <w:bCs/>
          <w:sz w:val="24"/>
        </w:rPr>
      </w:pPr>
      <w:r>
        <w:rPr>
          <w:bCs/>
          <w:sz w:val="24"/>
        </w:rPr>
        <w:t>H</w:t>
      </w:r>
      <w:r>
        <w:rPr>
          <w:bCs/>
          <w:sz w:val="24"/>
        </w:rPr>
        <w:t>＝</w:t>
      </w:r>
      <w:r>
        <w:rPr>
          <w:bCs/>
          <w:sz w:val="24"/>
        </w:rPr>
        <w:t>E×</w:t>
      </w:r>
      <w:r>
        <w:rPr>
          <w:rFonts w:hint="eastAsia"/>
          <w:bCs/>
          <w:sz w:val="24"/>
        </w:rPr>
        <w:t>0.</w:t>
      </w:r>
      <w:r>
        <w:rPr>
          <w:bCs/>
          <w:sz w:val="24"/>
        </w:rPr>
        <w:t>80%÷</w:t>
      </w:r>
      <w:r>
        <w:rPr>
          <w:bCs/>
          <w:sz w:val="24"/>
        </w:rPr>
        <w:t>当年天数</w:t>
      </w:r>
    </w:p>
    <w:p w14:paraId="672191A4" w14:textId="77777777" w:rsidR="00A931B6" w:rsidRDefault="000A2AB6">
      <w:pPr>
        <w:spacing w:line="360" w:lineRule="auto"/>
        <w:ind w:firstLineChars="200" w:firstLine="480"/>
        <w:rPr>
          <w:bCs/>
          <w:sz w:val="24"/>
        </w:rPr>
      </w:pPr>
      <w:r>
        <w:rPr>
          <w:bCs/>
          <w:sz w:val="24"/>
        </w:rPr>
        <w:t>H</w:t>
      </w:r>
      <w:r>
        <w:rPr>
          <w:bCs/>
          <w:sz w:val="24"/>
        </w:rPr>
        <w:t>为每日应计提的基金管理费</w:t>
      </w:r>
    </w:p>
    <w:p w14:paraId="0DDD23C9" w14:textId="77777777" w:rsidR="00A931B6" w:rsidRDefault="000A2AB6">
      <w:pPr>
        <w:spacing w:line="360" w:lineRule="auto"/>
        <w:ind w:firstLineChars="200" w:firstLine="480"/>
        <w:rPr>
          <w:bCs/>
          <w:sz w:val="24"/>
        </w:rPr>
      </w:pPr>
      <w:r>
        <w:rPr>
          <w:bCs/>
          <w:sz w:val="24"/>
        </w:rPr>
        <w:t>E</w:t>
      </w:r>
      <w:r>
        <w:rPr>
          <w:bCs/>
          <w:sz w:val="24"/>
        </w:rPr>
        <w:t>为前一日的基金资产净值</w:t>
      </w:r>
    </w:p>
    <w:p w14:paraId="77B29C60" w14:textId="77777777" w:rsidR="00A931B6" w:rsidRDefault="000A2AB6">
      <w:pPr>
        <w:pStyle w:val="121"/>
        <w:tabs>
          <w:tab w:val="left" w:pos="1260"/>
        </w:tabs>
        <w:spacing w:line="360" w:lineRule="auto"/>
        <w:ind w:firstLineChars="200" w:firstLine="480"/>
        <w:rPr>
          <w:rFonts w:ascii="宋体"/>
          <w:sz w:val="24"/>
        </w:rPr>
      </w:pPr>
      <w:r>
        <w:rPr>
          <w:rFonts w:hint="eastAsia"/>
          <w:bCs/>
          <w:sz w:val="24"/>
        </w:rPr>
        <w:t>基金管理费每日计提，逐日累计至每月月末，按月支付，由基金托管人根据</w:t>
      </w:r>
      <w:r>
        <w:rPr>
          <w:rFonts w:hint="eastAsia"/>
          <w:bCs/>
          <w:sz w:val="24"/>
        </w:rPr>
        <w:lastRenderedPageBreak/>
        <w:t>与基金管理人核对一致的财务数据，自动在次月月初</w:t>
      </w:r>
      <w:r>
        <w:rPr>
          <w:rFonts w:hint="eastAsia"/>
          <w:bCs/>
          <w:sz w:val="24"/>
        </w:rPr>
        <w:t>5</w:t>
      </w:r>
      <w:r>
        <w:rPr>
          <w:rFonts w:hint="eastAsia"/>
          <w:bCs/>
          <w:sz w:val="24"/>
        </w:rPr>
        <w:t>个工作日内、按照指定的账户路径进行资金支付，基金管理人无需再出具资金划拨指令。若遇法定节假日、公休日等，顺延至最近可支付日支付。费用自动扣划后，基金管理人应进行核对，如发现数据不符，及时联系基金托管人协商解决。</w:t>
      </w:r>
    </w:p>
    <w:p w14:paraId="1A25FE39" w14:textId="77777777" w:rsidR="00A931B6" w:rsidRDefault="000A2AB6">
      <w:pPr>
        <w:pStyle w:val="121"/>
        <w:tabs>
          <w:tab w:val="left" w:pos="1260"/>
        </w:tabs>
        <w:spacing w:line="360" w:lineRule="auto"/>
        <w:ind w:firstLineChars="200" w:firstLine="482"/>
        <w:rPr>
          <w:rFonts w:ascii="宋体"/>
          <w:b/>
          <w:sz w:val="24"/>
        </w:rPr>
      </w:pPr>
      <w:r>
        <w:rPr>
          <w:rFonts w:ascii="宋体" w:hAnsi="宋体"/>
          <w:b/>
          <w:sz w:val="24"/>
        </w:rPr>
        <w:t>（二）基金托管人的托管费</w:t>
      </w:r>
    </w:p>
    <w:p w14:paraId="3E968130" w14:textId="77777777" w:rsidR="00A931B6" w:rsidRDefault="000A2AB6">
      <w:pPr>
        <w:spacing w:line="360" w:lineRule="auto"/>
        <w:ind w:firstLineChars="200" w:firstLine="480"/>
        <w:rPr>
          <w:bCs/>
          <w:sz w:val="24"/>
        </w:rPr>
      </w:pPr>
      <w:r>
        <w:rPr>
          <w:bCs/>
          <w:sz w:val="24"/>
        </w:rPr>
        <w:t>本基金的托管费按前一日基金资产净值的</w:t>
      </w:r>
      <w:r>
        <w:rPr>
          <w:rFonts w:hint="eastAsia"/>
          <w:bCs/>
          <w:sz w:val="24"/>
        </w:rPr>
        <w:t>0.</w:t>
      </w:r>
      <w:r>
        <w:rPr>
          <w:bCs/>
          <w:sz w:val="24"/>
        </w:rPr>
        <w:t>15%</w:t>
      </w:r>
      <w:r>
        <w:rPr>
          <w:bCs/>
          <w:sz w:val="24"/>
        </w:rPr>
        <w:t>年费率计提。托管费的计算方法如下：</w:t>
      </w:r>
    </w:p>
    <w:p w14:paraId="2EE6D5EC" w14:textId="77777777" w:rsidR="00A931B6" w:rsidRDefault="000A2AB6">
      <w:pPr>
        <w:spacing w:line="360" w:lineRule="auto"/>
        <w:ind w:firstLineChars="200" w:firstLine="480"/>
        <w:rPr>
          <w:bCs/>
          <w:sz w:val="24"/>
        </w:rPr>
      </w:pPr>
      <w:r>
        <w:rPr>
          <w:bCs/>
          <w:sz w:val="24"/>
        </w:rPr>
        <w:t>H</w:t>
      </w:r>
      <w:r>
        <w:rPr>
          <w:bCs/>
          <w:sz w:val="24"/>
        </w:rPr>
        <w:t>＝</w:t>
      </w:r>
      <w:r>
        <w:rPr>
          <w:bCs/>
          <w:sz w:val="24"/>
        </w:rPr>
        <w:t>E×</w:t>
      </w:r>
      <w:r>
        <w:rPr>
          <w:rFonts w:hint="eastAsia"/>
          <w:bCs/>
          <w:sz w:val="24"/>
        </w:rPr>
        <w:t>0.</w:t>
      </w:r>
      <w:r>
        <w:rPr>
          <w:bCs/>
          <w:sz w:val="24"/>
        </w:rPr>
        <w:t>15%÷</w:t>
      </w:r>
      <w:r>
        <w:rPr>
          <w:bCs/>
          <w:sz w:val="24"/>
        </w:rPr>
        <w:t>当年天数</w:t>
      </w:r>
    </w:p>
    <w:p w14:paraId="68A97D26" w14:textId="77777777" w:rsidR="00A931B6" w:rsidRDefault="000A2AB6">
      <w:pPr>
        <w:spacing w:line="360" w:lineRule="auto"/>
        <w:ind w:firstLineChars="200" w:firstLine="480"/>
        <w:rPr>
          <w:bCs/>
          <w:sz w:val="24"/>
        </w:rPr>
      </w:pPr>
      <w:r>
        <w:rPr>
          <w:bCs/>
          <w:sz w:val="24"/>
        </w:rPr>
        <w:t>H</w:t>
      </w:r>
      <w:r>
        <w:rPr>
          <w:bCs/>
          <w:sz w:val="24"/>
        </w:rPr>
        <w:t>为每日应计提的基金托管费</w:t>
      </w:r>
    </w:p>
    <w:p w14:paraId="49330068" w14:textId="77777777" w:rsidR="00A931B6" w:rsidRDefault="000A2AB6">
      <w:pPr>
        <w:spacing w:line="360" w:lineRule="auto"/>
        <w:ind w:firstLineChars="200" w:firstLine="480"/>
        <w:rPr>
          <w:bCs/>
          <w:sz w:val="24"/>
        </w:rPr>
      </w:pPr>
      <w:r>
        <w:rPr>
          <w:bCs/>
          <w:sz w:val="24"/>
        </w:rPr>
        <w:t>E</w:t>
      </w:r>
      <w:r>
        <w:rPr>
          <w:bCs/>
          <w:sz w:val="24"/>
        </w:rPr>
        <w:t>为前一日的基金资产净值</w:t>
      </w:r>
    </w:p>
    <w:p w14:paraId="44A37B4F" w14:textId="77777777" w:rsidR="00A931B6" w:rsidRDefault="000A2AB6">
      <w:pPr>
        <w:pStyle w:val="121"/>
        <w:spacing w:line="360" w:lineRule="auto"/>
        <w:ind w:firstLineChars="200" w:firstLine="480"/>
        <w:rPr>
          <w:sz w:val="24"/>
        </w:rPr>
      </w:pPr>
      <w:r>
        <w:rPr>
          <w:rFonts w:hint="eastAsia"/>
          <w:bCs/>
          <w:sz w:val="24"/>
        </w:rPr>
        <w:t>基金托管费每日计提，逐日累计至每月月末，按月支付，由基金托管人根据与基金管理人核对一致的财务数据，自动在次月月初</w:t>
      </w:r>
      <w:r>
        <w:rPr>
          <w:rFonts w:hint="eastAsia"/>
          <w:bCs/>
          <w:sz w:val="24"/>
        </w:rPr>
        <w:t>5</w:t>
      </w:r>
      <w:r>
        <w:rPr>
          <w:rFonts w:hint="eastAsia"/>
          <w:bCs/>
          <w:sz w:val="24"/>
        </w:rPr>
        <w:t>个工作日内、按照指定的账户路径进行资金支付，基金管理人无需再出具资金划拨指令。若遇法定节假日、公休日等，顺延至最近可支付日支付。费用自动扣划后，基金管理人应进行核对，如发现数据不符，及时联系基金托管人协商解决。</w:t>
      </w:r>
    </w:p>
    <w:p w14:paraId="4EBE6442" w14:textId="77777777" w:rsidR="00A931B6" w:rsidRDefault="000A2AB6">
      <w:pPr>
        <w:pStyle w:val="121"/>
        <w:spacing w:line="360" w:lineRule="auto"/>
        <w:ind w:firstLineChars="200" w:firstLine="482"/>
        <w:rPr>
          <w:rFonts w:ascii="宋体" w:hAnsi="宋体"/>
          <w:b/>
          <w:bCs/>
          <w:sz w:val="24"/>
        </w:rPr>
      </w:pPr>
      <w:r>
        <w:rPr>
          <w:rFonts w:ascii="宋体" w:hAnsi="宋体"/>
          <w:b/>
          <w:bCs/>
          <w:sz w:val="24"/>
        </w:rPr>
        <w:t>（三）</w:t>
      </w:r>
      <w:r>
        <w:rPr>
          <w:rFonts w:ascii="宋体" w:hAnsi="宋体" w:hint="eastAsia"/>
          <w:b/>
          <w:bCs/>
          <w:sz w:val="24"/>
        </w:rPr>
        <w:t>基金的销售服务费</w:t>
      </w:r>
    </w:p>
    <w:p w14:paraId="79191AA7" w14:textId="77777777" w:rsidR="006F262A" w:rsidRPr="006F262A" w:rsidRDefault="006F262A" w:rsidP="006F262A">
      <w:pPr>
        <w:pStyle w:val="121"/>
        <w:spacing w:line="360" w:lineRule="auto"/>
        <w:ind w:firstLineChars="200" w:firstLine="480"/>
        <w:rPr>
          <w:rFonts w:ascii="宋体" w:hAnsi="宋体"/>
          <w:bCs/>
          <w:sz w:val="24"/>
        </w:rPr>
      </w:pPr>
      <w:r w:rsidRPr="006F262A">
        <w:rPr>
          <w:rFonts w:ascii="宋体" w:hAnsi="宋体" w:hint="eastAsia"/>
          <w:bCs/>
          <w:sz w:val="24"/>
        </w:rPr>
        <w:t>本基金A类基金份额不收取销售服务费，C类基金份额的销售服务费年费率为0.20%，按前一日C类基金份额的基金资产净值的0.20%年费率计提。</w:t>
      </w:r>
    </w:p>
    <w:p w14:paraId="53208156" w14:textId="77777777" w:rsidR="006F262A" w:rsidRPr="006F262A" w:rsidRDefault="006F262A" w:rsidP="006F262A">
      <w:pPr>
        <w:pStyle w:val="121"/>
        <w:spacing w:line="360" w:lineRule="auto"/>
        <w:ind w:firstLineChars="200" w:firstLine="480"/>
        <w:rPr>
          <w:rFonts w:ascii="宋体" w:hAnsi="宋体"/>
          <w:bCs/>
          <w:sz w:val="24"/>
        </w:rPr>
      </w:pPr>
      <w:r w:rsidRPr="006F262A">
        <w:rPr>
          <w:rFonts w:ascii="宋体" w:hAnsi="宋体" w:hint="eastAsia"/>
          <w:bCs/>
          <w:sz w:val="24"/>
        </w:rPr>
        <w:t>销售服务费的计算方法如下：</w:t>
      </w:r>
    </w:p>
    <w:p w14:paraId="210EA612" w14:textId="77777777" w:rsidR="006F262A" w:rsidRPr="006F262A" w:rsidRDefault="006F262A" w:rsidP="006F262A">
      <w:pPr>
        <w:pStyle w:val="121"/>
        <w:spacing w:line="360" w:lineRule="auto"/>
        <w:ind w:firstLineChars="200" w:firstLine="480"/>
        <w:rPr>
          <w:rFonts w:ascii="宋体" w:hAnsi="宋体"/>
          <w:bCs/>
          <w:sz w:val="24"/>
        </w:rPr>
      </w:pPr>
      <w:r w:rsidRPr="006F262A">
        <w:rPr>
          <w:rFonts w:ascii="宋体" w:hAnsi="宋体" w:hint="eastAsia"/>
          <w:bCs/>
          <w:sz w:val="24"/>
        </w:rPr>
        <w:t>H＝E×0.20%÷当年天数</w:t>
      </w:r>
    </w:p>
    <w:p w14:paraId="4A05D49C" w14:textId="77777777" w:rsidR="006F262A" w:rsidRPr="006F262A" w:rsidRDefault="006F262A" w:rsidP="006F262A">
      <w:pPr>
        <w:pStyle w:val="121"/>
        <w:spacing w:line="360" w:lineRule="auto"/>
        <w:ind w:firstLineChars="200" w:firstLine="480"/>
        <w:rPr>
          <w:rFonts w:ascii="宋体" w:hAnsi="宋体"/>
          <w:bCs/>
          <w:sz w:val="24"/>
        </w:rPr>
      </w:pPr>
      <w:r w:rsidRPr="006F262A">
        <w:rPr>
          <w:rFonts w:ascii="宋体" w:hAnsi="宋体" w:hint="eastAsia"/>
          <w:bCs/>
          <w:sz w:val="24"/>
        </w:rPr>
        <w:t>H为C类基金份额每日应计提的销售服务费</w:t>
      </w:r>
    </w:p>
    <w:p w14:paraId="5CBA36DE" w14:textId="77777777" w:rsidR="006F262A" w:rsidRPr="006F262A" w:rsidRDefault="006F262A" w:rsidP="006F262A">
      <w:pPr>
        <w:pStyle w:val="121"/>
        <w:spacing w:line="360" w:lineRule="auto"/>
        <w:ind w:firstLineChars="200" w:firstLine="480"/>
        <w:rPr>
          <w:rFonts w:ascii="宋体" w:hAnsi="宋体"/>
          <w:bCs/>
          <w:sz w:val="24"/>
        </w:rPr>
      </w:pPr>
      <w:r w:rsidRPr="006F262A">
        <w:rPr>
          <w:rFonts w:ascii="宋体" w:hAnsi="宋体" w:hint="eastAsia"/>
          <w:bCs/>
          <w:sz w:val="24"/>
        </w:rPr>
        <w:t>E为C类基金份额前一日的基金资产净值</w:t>
      </w:r>
    </w:p>
    <w:p w14:paraId="6ED7C673" w14:textId="77777777" w:rsidR="006F262A" w:rsidRPr="006F262A" w:rsidRDefault="006F262A" w:rsidP="006F262A">
      <w:pPr>
        <w:pStyle w:val="121"/>
        <w:spacing w:line="360" w:lineRule="auto"/>
        <w:ind w:firstLineChars="200" w:firstLine="480"/>
        <w:rPr>
          <w:rFonts w:ascii="宋体" w:hAnsi="宋体"/>
          <w:bCs/>
          <w:sz w:val="24"/>
        </w:rPr>
      </w:pPr>
      <w:r w:rsidRPr="006F262A">
        <w:rPr>
          <w:rFonts w:ascii="宋体" w:hAnsi="宋体" w:hint="eastAsia"/>
          <w:bCs/>
          <w:sz w:val="24"/>
        </w:rPr>
        <w:t>销售服务费每日计提。</w:t>
      </w:r>
    </w:p>
    <w:p w14:paraId="66E527E1" w14:textId="77777777" w:rsidR="006F262A" w:rsidRPr="006F262A" w:rsidRDefault="006F262A" w:rsidP="006F262A">
      <w:pPr>
        <w:pStyle w:val="121"/>
        <w:spacing w:line="360" w:lineRule="auto"/>
        <w:ind w:firstLineChars="200" w:firstLine="480"/>
        <w:rPr>
          <w:rFonts w:ascii="宋体" w:hAnsi="宋体"/>
          <w:bCs/>
          <w:sz w:val="24"/>
        </w:rPr>
      </w:pPr>
      <w:r w:rsidRPr="006F262A">
        <w:rPr>
          <w:rFonts w:ascii="宋体" w:hAnsi="宋体" w:hint="eastAsia"/>
          <w:bCs/>
          <w:sz w:val="24"/>
        </w:rPr>
        <w:t>（1）基金管理人处保有的C类基金份额</w:t>
      </w:r>
    </w:p>
    <w:p w14:paraId="0037D78E" w14:textId="77777777" w:rsidR="006F262A" w:rsidRPr="006F262A" w:rsidRDefault="006F262A" w:rsidP="006F262A">
      <w:pPr>
        <w:pStyle w:val="121"/>
        <w:spacing w:line="360" w:lineRule="auto"/>
        <w:ind w:firstLineChars="200" w:firstLine="480"/>
        <w:rPr>
          <w:rFonts w:ascii="宋体" w:hAnsi="宋体"/>
          <w:bCs/>
          <w:sz w:val="24"/>
        </w:rPr>
      </w:pPr>
      <w:r w:rsidRPr="006F262A">
        <w:rPr>
          <w:rFonts w:ascii="宋体" w:hAnsi="宋体" w:hint="eastAsia"/>
          <w:bCs/>
          <w:sz w:val="24"/>
        </w:rPr>
        <w:t>投资者在基金管理人处保有的C类基金份额，将先行收取相应的销售服务费，但并不实际支付给相关机构。当投资者赎回或基金合同终止的情形发生时，该部分费用随赎回款或清算款一并返还给投资者。</w:t>
      </w:r>
    </w:p>
    <w:p w14:paraId="79551CE1" w14:textId="77777777" w:rsidR="006F262A" w:rsidRPr="006F262A" w:rsidRDefault="006F262A" w:rsidP="006F262A">
      <w:pPr>
        <w:pStyle w:val="121"/>
        <w:spacing w:line="360" w:lineRule="auto"/>
        <w:ind w:firstLineChars="200" w:firstLine="480"/>
        <w:rPr>
          <w:rFonts w:ascii="宋体" w:hAnsi="宋体"/>
          <w:bCs/>
          <w:sz w:val="24"/>
        </w:rPr>
      </w:pPr>
      <w:r w:rsidRPr="006F262A">
        <w:rPr>
          <w:rFonts w:ascii="宋体" w:hAnsi="宋体" w:hint="eastAsia"/>
          <w:bCs/>
          <w:sz w:val="24"/>
        </w:rPr>
        <w:t>基金销售子公司销售母公司所管理基金的，按照前述要求执行。</w:t>
      </w:r>
    </w:p>
    <w:p w14:paraId="5141C9B7" w14:textId="77777777" w:rsidR="006F262A" w:rsidRPr="006F262A" w:rsidRDefault="006F262A" w:rsidP="006F262A">
      <w:pPr>
        <w:pStyle w:val="121"/>
        <w:spacing w:line="360" w:lineRule="auto"/>
        <w:ind w:firstLineChars="200" w:firstLine="480"/>
        <w:rPr>
          <w:rFonts w:ascii="宋体" w:hAnsi="宋体"/>
          <w:bCs/>
          <w:sz w:val="24"/>
        </w:rPr>
      </w:pPr>
      <w:r w:rsidRPr="006F262A">
        <w:rPr>
          <w:rFonts w:ascii="宋体" w:hAnsi="宋体" w:hint="eastAsia"/>
          <w:bCs/>
          <w:sz w:val="24"/>
        </w:rPr>
        <w:t>（2）其他销售机构处保有的C类基金份额</w:t>
      </w:r>
    </w:p>
    <w:p w14:paraId="63E461F2" w14:textId="24937E03" w:rsidR="006F262A" w:rsidRPr="006F262A" w:rsidRDefault="006F262A" w:rsidP="006F262A">
      <w:pPr>
        <w:pStyle w:val="121"/>
        <w:spacing w:line="360" w:lineRule="auto"/>
        <w:ind w:firstLineChars="200" w:firstLine="480"/>
        <w:rPr>
          <w:rFonts w:ascii="宋体" w:hAnsi="宋体"/>
          <w:bCs/>
          <w:sz w:val="24"/>
        </w:rPr>
      </w:pPr>
      <w:r w:rsidRPr="006F262A">
        <w:rPr>
          <w:rFonts w:ascii="宋体" w:hAnsi="宋体" w:hint="eastAsia"/>
          <w:bCs/>
          <w:sz w:val="24"/>
        </w:rPr>
        <w:lastRenderedPageBreak/>
        <w:t>对于投资者持续持有期限未超过一年（即365天）的C类基金份额收取的销售服务费，逐日累计至每月月末，按月支付，</w:t>
      </w:r>
      <w:r w:rsidR="00E43151" w:rsidRPr="00E43151">
        <w:rPr>
          <w:rFonts w:ascii="宋体" w:hAnsi="宋体" w:hint="eastAsia"/>
          <w:bCs/>
          <w:sz w:val="24"/>
        </w:rPr>
        <w:t>由基金托管人于次月月初5个工作日内按照与基金管理人协商一致的方式从基金财产中一次性支付。若遇法定节假日、休息日或不可抗力等，支付日期顺延。费用扣划后，基金管理人应进行核对，如发现数据不符，及时联系基金托管人协商解决</w:t>
      </w:r>
      <w:r w:rsidRPr="006F262A">
        <w:rPr>
          <w:rFonts w:ascii="宋体" w:hAnsi="宋体" w:hint="eastAsia"/>
          <w:bCs/>
          <w:sz w:val="24"/>
        </w:rPr>
        <w:t>。</w:t>
      </w:r>
    </w:p>
    <w:p w14:paraId="4B8E7367" w14:textId="2E8AF847" w:rsidR="006F262A" w:rsidRPr="006F262A" w:rsidRDefault="006F262A" w:rsidP="006F262A">
      <w:pPr>
        <w:pStyle w:val="121"/>
        <w:spacing w:line="360" w:lineRule="auto"/>
        <w:ind w:firstLineChars="200" w:firstLine="480"/>
        <w:rPr>
          <w:rFonts w:ascii="宋体" w:hAnsi="宋体"/>
          <w:bCs/>
          <w:sz w:val="24"/>
        </w:rPr>
      </w:pPr>
      <w:r w:rsidRPr="006F262A">
        <w:rPr>
          <w:rFonts w:ascii="宋体" w:hAnsi="宋体" w:hint="eastAsia"/>
          <w:bCs/>
          <w:sz w:val="24"/>
        </w:rPr>
        <w:t>对于投资者持续持有期限超过一年</w:t>
      </w:r>
      <w:r w:rsidR="00E43151" w:rsidRPr="00E43151">
        <w:rPr>
          <w:rFonts w:ascii="宋体" w:hAnsi="宋体" w:hint="eastAsia"/>
          <w:bCs/>
          <w:sz w:val="24"/>
        </w:rPr>
        <w:t>（即365天）</w:t>
      </w:r>
      <w:r w:rsidRPr="006F262A">
        <w:rPr>
          <w:rFonts w:ascii="宋体" w:hAnsi="宋体" w:hint="eastAsia"/>
          <w:bCs/>
          <w:sz w:val="24"/>
        </w:rPr>
        <w:t>的C类基金份额，超过一年后将继续先行收取销售服务费，该部分销售服务费不实际支付给相关机构，当投资者赎回或基金合同终止的情形发生时，该部分费用随赎回款或清算款一并返还给投资者。</w:t>
      </w:r>
    </w:p>
    <w:p w14:paraId="32EE253D" w14:textId="77777777" w:rsidR="006F262A" w:rsidRPr="006F262A" w:rsidRDefault="006F262A" w:rsidP="006F262A">
      <w:pPr>
        <w:pStyle w:val="121"/>
        <w:spacing w:line="360" w:lineRule="auto"/>
        <w:ind w:firstLineChars="200" w:firstLine="480"/>
        <w:rPr>
          <w:rFonts w:ascii="宋体" w:hAnsi="宋体"/>
          <w:bCs/>
          <w:sz w:val="24"/>
        </w:rPr>
      </w:pPr>
      <w:r w:rsidRPr="006F262A">
        <w:rPr>
          <w:rFonts w:ascii="宋体" w:hAnsi="宋体" w:hint="eastAsia"/>
          <w:bCs/>
          <w:sz w:val="24"/>
        </w:rPr>
        <w:t>销售服务费计提后按规定收取或返还投资者的金额以登记机构的计算结果为准，基金托管人无需复核。</w:t>
      </w:r>
    </w:p>
    <w:p w14:paraId="7517616F" w14:textId="77777777" w:rsidR="006F262A" w:rsidRDefault="006F262A">
      <w:pPr>
        <w:pStyle w:val="121"/>
        <w:spacing w:line="360" w:lineRule="auto"/>
        <w:ind w:firstLineChars="200" w:firstLine="480"/>
        <w:rPr>
          <w:rFonts w:ascii="宋体" w:hAnsi="宋体"/>
          <w:bCs/>
          <w:sz w:val="24"/>
        </w:rPr>
      </w:pPr>
      <w:r w:rsidRPr="006F262A">
        <w:rPr>
          <w:rFonts w:ascii="宋体" w:hAnsi="宋体" w:hint="eastAsia"/>
          <w:bCs/>
          <w:sz w:val="24"/>
        </w:rPr>
        <w:t>在不违反法律法规、基金合同的约定的情况下，基金管理人可根据基金实际运作情况和市场环境变化，经履行适当程序后，对本基金的销售服务费的计提或收取方式进行调整，无需召开基金份额持有人大会。</w:t>
      </w:r>
    </w:p>
    <w:p w14:paraId="666E483B" w14:textId="77777777" w:rsidR="00A931B6" w:rsidRDefault="000A2AB6">
      <w:pPr>
        <w:pStyle w:val="121"/>
        <w:spacing w:line="360" w:lineRule="auto"/>
        <w:ind w:firstLineChars="200" w:firstLine="482"/>
        <w:rPr>
          <w:rFonts w:ascii="宋体" w:hAnsi="宋体"/>
          <w:sz w:val="24"/>
        </w:rPr>
      </w:pPr>
      <w:r>
        <w:rPr>
          <w:rFonts w:ascii="宋体" w:hAnsi="宋体"/>
          <w:b/>
          <w:bCs/>
          <w:sz w:val="24"/>
        </w:rPr>
        <w:t>（</w:t>
      </w:r>
      <w:r>
        <w:rPr>
          <w:rFonts w:ascii="宋体" w:hAnsi="宋体" w:hint="eastAsia"/>
          <w:b/>
          <w:bCs/>
          <w:sz w:val="24"/>
        </w:rPr>
        <w:t>四</w:t>
      </w:r>
      <w:r>
        <w:rPr>
          <w:rFonts w:ascii="宋体" w:hAnsi="宋体"/>
          <w:b/>
          <w:bCs/>
          <w:sz w:val="24"/>
        </w:rPr>
        <w:t>）</w:t>
      </w:r>
      <w:r>
        <w:rPr>
          <w:rFonts w:ascii="宋体" w:hAnsi="宋体"/>
          <w:sz w:val="24"/>
        </w:rPr>
        <w:t>从基金资产中列支基金管理人的管理费、基金托管人的托管费</w:t>
      </w:r>
      <w:r>
        <w:rPr>
          <w:rFonts w:ascii="宋体" w:hAnsi="宋体" w:hint="eastAsia"/>
          <w:sz w:val="24"/>
        </w:rPr>
        <w:t>、销售服务费</w:t>
      </w:r>
      <w:r>
        <w:rPr>
          <w:rFonts w:ascii="宋体" w:hAnsi="宋体"/>
          <w:sz w:val="24"/>
        </w:rPr>
        <w:t>之外的其他基金费用，应当依据有关法律法规、《基金合同》的规定</w:t>
      </w:r>
      <w:r>
        <w:rPr>
          <w:rFonts w:ascii="宋体" w:hAnsi="宋体" w:hint="eastAsia"/>
          <w:sz w:val="24"/>
        </w:rPr>
        <w:t>执行</w:t>
      </w:r>
      <w:r>
        <w:rPr>
          <w:rFonts w:ascii="宋体" w:hAnsi="宋体"/>
          <w:sz w:val="24"/>
        </w:rPr>
        <w:t>；基金管理人和基金托管人因未履行或未完全履行义务导致的费用支出或基金财产的损失，以及处理与基金运作无关的事项发生的费用等不列入基金费用。基金合同生效之前的相关费用，包括但不限于律师费、会计师费和信息披露费用等不得从基金财产中列支；标的指数许可使用费由基金管理人承担，不从基金财产中列支</w:t>
      </w:r>
      <w:r>
        <w:rPr>
          <w:rFonts w:ascii="宋体" w:hAnsi="宋体" w:hint="eastAsia"/>
          <w:sz w:val="24"/>
        </w:rPr>
        <w:t>。</w:t>
      </w:r>
    </w:p>
    <w:p w14:paraId="2FD5DA2C" w14:textId="77777777" w:rsidR="00A931B6" w:rsidRDefault="000A2AB6">
      <w:pPr>
        <w:pStyle w:val="121"/>
        <w:spacing w:line="360" w:lineRule="auto"/>
        <w:ind w:firstLineChars="200" w:firstLine="480"/>
        <w:rPr>
          <w:rFonts w:ascii="宋体" w:hAnsi="宋体"/>
          <w:sz w:val="24"/>
        </w:rPr>
      </w:pPr>
      <w:r>
        <w:rPr>
          <w:rFonts w:ascii="宋体" w:hAnsi="宋体"/>
          <w:sz w:val="24"/>
        </w:rPr>
        <w:t>基金托管人对不符合《基金法》、《运作办法》等有关规定以及《基金合同》的其他费用有权拒绝执行。如果基金托管人发现基金管理人违反有关法律法规的有关规定和《基金合同》、本协议的约定，从基金财产中列支费用，有权要求基金管理人做出书面解释，如果基金托管人认为基金管理人无正当或合理的理由，可以拒绝支付。</w:t>
      </w:r>
    </w:p>
    <w:p w14:paraId="3A1FA28D" w14:textId="77777777" w:rsidR="00A931B6" w:rsidRDefault="000A2AB6">
      <w:pPr>
        <w:pStyle w:val="1f4"/>
        <w:spacing w:line="360" w:lineRule="auto"/>
        <w:ind w:firstLine="480"/>
        <w:jc w:val="left"/>
        <w:rPr>
          <w:rFonts w:ascii="宋体" w:hAnsi="宋体"/>
          <w:b/>
          <w:bCs/>
          <w:sz w:val="24"/>
        </w:rPr>
      </w:pPr>
      <w:r>
        <w:rPr>
          <w:rFonts w:ascii="宋体" w:hAnsi="宋体"/>
          <w:b/>
          <w:bCs/>
          <w:sz w:val="24"/>
        </w:rPr>
        <w:t>（</w:t>
      </w:r>
      <w:r>
        <w:rPr>
          <w:rFonts w:ascii="宋体" w:hAnsi="宋体" w:hint="eastAsia"/>
          <w:b/>
          <w:bCs/>
          <w:sz w:val="24"/>
        </w:rPr>
        <w:t>五</w:t>
      </w:r>
      <w:r>
        <w:rPr>
          <w:rFonts w:ascii="宋体" w:hAnsi="宋体"/>
          <w:b/>
          <w:bCs/>
          <w:sz w:val="24"/>
        </w:rPr>
        <w:t>）实施侧袋机制期间的基金费用</w:t>
      </w:r>
    </w:p>
    <w:p w14:paraId="6AABC985" w14:textId="77777777" w:rsidR="00A931B6" w:rsidRDefault="000A2AB6">
      <w:pPr>
        <w:pStyle w:val="1f4"/>
        <w:spacing w:line="360" w:lineRule="auto"/>
        <w:ind w:firstLine="480"/>
        <w:jc w:val="left"/>
        <w:rPr>
          <w:rFonts w:ascii="宋体"/>
          <w:sz w:val="24"/>
        </w:rPr>
      </w:pPr>
      <w:r>
        <w:rPr>
          <w:rFonts w:ascii="宋体"/>
          <w:sz w:val="24"/>
        </w:rPr>
        <w:t>本基金实施侧袋机制的，与侧袋账户有关的费用可以从侧袋账户中列支，但应待侧袋账户资产变现后方可列支，有关费用可酌情收取或减免，但不得收</w:t>
      </w:r>
      <w:r>
        <w:rPr>
          <w:rFonts w:ascii="宋体"/>
          <w:sz w:val="24"/>
        </w:rPr>
        <w:lastRenderedPageBreak/>
        <w:t>取管理费，详见招募说明书的规定。</w:t>
      </w:r>
    </w:p>
    <w:p w14:paraId="5B5EEC66" w14:textId="77777777" w:rsidR="00A931B6" w:rsidRDefault="00A931B6">
      <w:pPr>
        <w:pStyle w:val="121"/>
        <w:spacing w:line="360" w:lineRule="auto"/>
        <w:ind w:firstLineChars="200" w:firstLine="480"/>
        <w:rPr>
          <w:rFonts w:ascii="宋体" w:hAnsi="宋体"/>
          <w:sz w:val="24"/>
        </w:rPr>
      </w:pPr>
    </w:p>
    <w:p w14:paraId="639FF346" w14:textId="77777777" w:rsidR="00A931B6" w:rsidRDefault="00A931B6">
      <w:pPr>
        <w:pStyle w:val="121"/>
        <w:spacing w:line="360" w:lineRule="auto"/>
        <w:ind w:firstLineChars="200" w:firstLine="482"/>
        <w:rPr>
          <w:rFonts w:ascii="宋体"/>
          <w:b/>
          <w:vanish/>
          <w:sz w:val="24"/>
        </w:rPr>
      </w:pPr>
    </w:p>
    <w:p w14:paraId="0A44A5B1" w14:textId="77777777" w:rsidR="00A931B6" w:rsidRDefault="000A2AB6">
      <w:pPr>
        <w:pStyle w:val="113"/>
      </w:pPr>
      <w:bookmarkStart w:id="85" w:name="_Toc65162011"/>
      <w:bookmarkStart w:id="86" w:name="_Toc125892448"/>
      <w:r>
        <w:t>十二、基金份额持有人名册的保管</w:t>
      </w:r>
      <w:bookmarkEnd w:id="85"/>
      <w:bookmarkEnd w:id="86"/>
    </w:p>
    <w:p w14:paraId="069521F0" w14:textId="77777777" w:rsidR="00A931B6" w:rsidRDefault="000A2AB6">
      <w:pPr>
        <w:pStyle w:val="121"/>
        <w:tabs>
          <w:tab w:val="left" w:pos="1260"/>
        </w:tabs>
        <w:spacing w:line="360" w:lineRule="auto"/>
        <w:ind w:firstLineChars="200" w:firstLine="480"/>
        <w:rPr>
          <w:rFonts w:ascii="宋体" w:hAnsi="宋体"/>
          <w:sz w:val="24"/>
        </w:rPr>
      </w:pPr>
      <w:bookmarkStart w:id="87" w:name="_Toc125892449"/>
      <w:bookmarkStart w:id="88" w:name="_Toc523830003"/>
      <w:bookmarkStart w:id="89" w:name="_Toc22454468"/>
      <w:r>
        <w:rPr>
          <w:rFonts w:ascii="宋体" w:hAnsi="宋体"/>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低于法律法规规定的最低期限。如不能妥善保管，则按相关</w:t>
      </w:r>
      <w:r>
        <w:rPr>
          <w:rFonts w:ascii="宋体" w:hAnsi="宋体" w:hint="eastAsia"/>
          <w:sz w:val="24"/>
        </w:rPr>
        <w:t>法律</w:t>
      </w:r>
      <w:r>
        <w:rPr>
          <w:rFonts w:ascii="宋体" w:hAnsi="宋体"/>
          <w:sz w:val="24"/>
        </w:rPr>
        <w:t>法规承担责任。</w:t>
      </w:r>
    </w:p>
    <w:p w14:paraId="2243B53A"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在基金托管人要求或编制中期报告和年度报告前，基金管理人应将有关资料送交基金托管人，不得无故拒绝或延误提供，并保证其的真实性、准确性和完整性。基金托管人不得将所保管的基金份额持有人名册用于基金托管业务以外的其他用途，并应遵守保密义务</w:t>
      </w:r>
      <w:r>
        <w:rPr>
          <w:rFonts w:ascii="宋体" w:hAnsi="宋体" w:hint="eastAsia"/>
          <w:sz w:val="24"/>
        </w:rPr>
        <w:t>，法律法规另有规定或有权机关另有要求的除外</w:t>
      </w:r>
      <w:r>
        <w:rPr>
          <w:rFonts w:ascii="宋体" w:hAnsi="宋体"/>
          <w:sz w:val="24"/>
        </w:rPr>
        <w:t>。</w:t>
      </w:r>
    </w:p>
    <w:p w14:paraId="1A8C3F06" w14:textId="77777777" w:rsidR="00A931B6" w:rsidRDefault="000A2AB6">
      <w:pPr>
        <w:pStyle w:val="113"/>
      </w:pPr>
      <w:bookmarkStart w:id="90" w:name="_Toc65162012"/>
      <w:r>
        <w:t>十三、基金有关文件档案的保存</w:t>
      </w:r>
      <w:bookmarkEnd w:id="82"/>
      <w:bookmarkEnd w:id="87"/>
      <w:bookmarkEnd w:id="88"/>
      <w:bookmarkEnd w:id="89"/>
      <w:bookmarkEnd w:id="90"/>
    </w:p>
    <w:p w14:paraId="115A9190"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基金管理人应保存基金财产管理业务活动的记录、账册、报表和其他相关资料，基金托管人应保存基金托管业务活动的记录、账册、报表和其他相关资料。</w:t>
      </w:r>
    </w:p>
    <w:p w14:paraId="5A8F069F"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基金管理人和基金托管人应按各自职责完整保存原始凭证、记账凭证、基金账册、会计报告、交易记录和重要合同等，保存期限不低于法律法规规定的最低期限。</w:t>
      </w:r>
    </w:p>
    <w:p w14:paraId="3BFDDC47" w14:textId="77777777" w:rsidR="00A931B6" w:rsidRDefault="000A2AB6">
      <w:pPr>
        <w:pStyle w:val="121"/>
        <w:tabs>
          <w:tab w:val="left" w:pos="1260"/>
        </w:tabs>
        <w:spacing w:line="360" w:lineRule="auto"/>
        <w:ind w:firstLineChars="200" w:firstLine="480"/>
        <w:rPr>
          <w:rFonts w:ascii="宋体"/>
          <w:sz w:val="24"/>
        </w:rPr>
      </w:pPr>
      <w:r>
        <w:rPr>
          <w:rFonts w:ascii="宋体" w:hAnsi="宋体" w:hint="eastAsia"/>
          <w:sz w:val="24"/>
        </w:rPr>
        <w:t>除本协议另有约定外，</w:t>
      </w:r>
      <w:r>
        <w:rPr>
          <w:rFonts w:ascii="宋体" w:hAnsi="宋体"/>
          <w:sz w:val="24"/>
        </w:rPr>
        <w:t>基金管理人签署重大合同文本后，应及时将合同文本正本送达基金托管人处。基金管理人应及时将与本基金账务处理、资金划拨等有关的合同、协议</w:t>
      </w:r>
      <w:r>
        <w:rPr>
          <w:rFonts w:ascii="宋体" w:hAnsi="宋体" w:hint="eastAsia"/>
          <w:sz w:val="24"/>
        </w:rPr>
        <w:t>以</w:t>
      </w:r>
      <w:r>
        <w:rPr>
          <w:rFonts w:ascii="宋体" w:hAnsi="宋体"/>
          <w:sz w:val="24"/>
        </w:rPr>
        <w:t>传真</w:t>
      </w:r>
      <w:r>
        <w:rPr>
          <w:rFonts w:ascii="宋体" w:hAnsi="宋体" w:hint="eastAsia"/>
          <w:sz w:val="24"/>
        </w:rPr>
        <w:t>或其他双方共同认可的方式发送</w:t>
      </w:r>
      <w:r>
        <w:rPr>
          <w:rFonts w:ascii="宋体" w:hAnsi="宋体"/>
          <w:sz w:val="24"/>
        </w:rPr>
        <w:t>给基金托管人。</w:t>
      </w:r>
    </w:p>
    <w:p w14:paraId="14F85375"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基金管理人或基金托管人变更后，未变更的一方有义务协助接任人接收基金的有关文件。</w:t>
      </w:r>
      <w:bookmarkStart w:id="91" w:name="_Toc523830005"/>
      <w:bookmarkStart w:id="92" w:name="_Toc22454470"/>
      <w:bookmarkStart w:id="93" w:name="_Toc125892450"/>
      <w:bookmarkStart w:id="94" w:name="_Toc466788864"/>
    </w:p>
    <w:p w14:paraId="15A663CF" w14:textId="77777777" w:rsidR="00A931B6" w:rsidRDefault="000A2AB6">
      <w:pPr>
        <w:pStyle w:val="113"/>
      </w:pPr>
      <w:bookmarkStart w:id="95" w:name="_Toc65162013"/>
      <w:r>
        <w:t>十四、基金管理人和基金托管人的更换</w:t>
      </w:r>
      <w:bookmarkEnd w:id="91"/>
      <w:bookmarkEnd w:id="92"/>
      <w:bookmarkEnd w:id="93"/>
      <w:bookmarkEnd w:id="94"/>
      <w:bookmarkEnd w:id="95"/>
    </w:p>
    <w:p w14:paraId="2B4FA76F" w14:textId="77777777" w:rsidR="00A931B6" w:rsidRDefault="000A2AB6">
      <w:pPr>
        <w:pStyle w:val="121"/>
        <w:tabs>
          <w:tab w:val="left" w:pos="3780"/>
        </w:tabs>
        <w:autoSpaceDE w:val="0"/>
        <w:autoSpaceDN w:val="0"/>
        <w:spacing w:before="156" w:after="156" w:line="360" w:lineRule="auto"/>
        <w:outlineLvl w:val="0"/>
        <w:rPr>
          <w:rFonts w:ascii="宋体"/>
          <w:b/>
          <w:bCs/>
          <w:sz w:val="24"/>
        </w:rPr>
      </w:pPr>
      <w:bookmarkStart w:id="96" w:name="_Toc22454471"/>
      <w:bookmarkStart w:id="97" w:name="_Toc77663031"/>
      <w:r>
        <w:rPr>
          <w:rFonts w:ascii="宋体" w:hAnsi="宋体"/>
          <w:b/>
          <w:bCs/>
          <w:sz w:val="24"/>
        </w:rPr>
        <w:t>（一）基金管理人的更换</w:t>
      </w:r>
    </w:p>
    <w:p w14:paraId="29D71FBF" w14:textId="77777777" w:rsidR="00A931B6" w:rsidRDefault="000A2AB6">
      <w:pPr>
        <w:pStyle w:val="121"/>
        <w:tabs>
          <w:tab w:val="left" w:pos="1260"/>
        </w:tabs>
        <w:spacing w:line="360" w:lineRule="auto"/>
        <w:ind w:firstLineChars="200" w:firstLine="480"/>
        <w:rPr>
          <w:rFonts w:ascii="宋体"/>
          <w:sz w:val="24"/>
        </w:rPr>
      </w:pPr>
      <w:r>
        <w:rPr>
          <w:rFonts w:ascii="宋体" w:hAnsi="宋体"/>
          <w:sz w:val="24"/>
        </w:rPr>
        <w:t>1.基金管理人职责终止的条件</w:t>
      </w:r>
    </w:p>
    <w:p w14:paraId="3CE9B4BC" w14:textId="77777777" w:rsidR="00A931B6" w:rsidRDefault="000A2AB6">
      <w:pPr>
        <w:pStyle w:val="121"/>
        <w:spacing w:line="360" w:lineRule="auto"/>
        <w:ind w:firstLineChars="200" w:firstLine="480"/>
        <w:rPr>
          <w:rFonts w:ascii="宋体"/>
          <w:sz w:val="24"/>
        </w:rPr>
      </w:pPr>
      <w:r>
        <w:rPr>
          <w:rFonts w:ascii="宋体" w:hAnsi="宋体"/>
          <w:sz w:val="24"/>
        </w:rPr>
        <w:t>有下列情形之一的，基金管理人职责终止：</w:t>
      </w:r>
    </w:p>
    <w:p w14:paraId="6CC75BAC" w14:textId="77777777" w:rsidR="00A931B6" w:rsidRDefault="000A2AB6">
      <w:pPr>
        <w:pStyle w:val="afe"/>
        <w:ind w:firstLine="480"/>
        <w:rPr>
          <w:szCs w:val="24"/>
        </w:rPr>
      </w:pPr>
      <w:r>
        <w:rPr>
          <w:szCs w:val="24"/>
        </w:rPr>
        <w:t>（</w:t>
      </w:r>
      <w:r>
        <w:rPr>
          <w:szCs w:val="24"/>
        </w:rPr>
        <w:t>1</w:t>
      </w:r>
      <w:r>
        <w:rPr>
          <w:szCs w:val="24"/>
        </w:rPr>
        <w:t>）被依法取消基金管理资格；</w:t>
      </w:r>
    </w:p>
    <w:p w14:paraId="3714CB59" w14:textId="77777777" w:rsidR="00A931B6" w:rsidRDefault="000A2AB6">
      <w:pPr>
        <w:pStyle w:val="afe"/>
        <w:ind w:firstLine="480"/>
        <w:rPr>
          <w:szCs w:val="24"/>
        </w:rPr>
      </w:pPr>
      <w:r>
        <w:rPr>
          <w:szCs w:val="24"/>
        </w:rPr>
        <w:lastRenderedPageBreak/>
        <w:t>（</w:t>
      </w:r>
      <w:r>
        <w:rPr>
          <w:szCs w:val="24"/>
        </w:rPr>
        <w:t>2</w:t>
      </w:r>
      <w:r>
        <w:rPr>
          <w:szCs w:val="24"/>
        </w:rPr>
        <w:t>）依法解散、依法被撤销或被依法宣告破产；</w:t>
      </w:r>
    </w:p>
    <w:p w14:paraId="33C9E488" w14:textId="77777777" w:rsidR="00A931B6" w:rsidRDefault="000A2AB6">
      <w:pPr>
        <w:pStyle w:val="afe"/>
        <w:ind w:firstLine="480"/>
        <w:rPr>
          <w:szCs w:val="24"/>
        </w:rPr>
      </w:pPr>
      <w:r>
        <w:rPr>
          <w:szCs w:val="24"/>
        </w:rPr>
        <w:t>（</w:t>
      </w:r>
      <w:r>
        <w:rPr>
          <w:szCs w:val="24"/>
        </w:rPr>
        <w:t>3</w:t>
      </w:r>
      <w:r>
        <w:rPr>
          <w:szCs w:val="24"/>
        </w:rPr>
        <w:t>）被基金份额持有人大会解任；</w:t>
      </w:r>
      <w:r>
        <w:rPr>
          <w:szCs w:val="24"/>
        </w:rPr>
        <w:t xml:space="preserve"> </w:t>
      </w:r>
    </w:p>
    <w:p w14:paraId="63510F05" w14:textId="77777777" w:rsidR="00A931B6" w:rsidRDefault="000A2AB6">
      <w:pPr>
        <w:pStyle w:val="afe"/>
        <w:ind w:firstLine="480"/>
        <w:rPr>
          <w:szCs w:val="24"/>
        </w:rPr>
      </w:pPr>
      <w:r>
        <w:rPr>
          <w:szCs w:val="24"/>
        </w:rPr>
        <w:t>（</w:t>
      </w:r>
      <w:r>
        <w:rPr>
          <w:szCs w:val="24"/>
        </w:rPr>
        <w:t>4</w:t>
      </w:r>
      <w:r>
        <w:rPr>
          <w:szCs w:val="24"/>
        </w:rPr>
        <w:t>）法律法规及中国证监会规定的和《基金合同》约定的其他情形</w:t>
      </w:r>
    </w:p>
    <w:p w14:paraId="37BA15F3" w14:textId="77777777" w:rsidR="00A931B6" w:rsidRDefault="000A2AB6">
      <w:pPr>
        <w:pStyle w:val="121"/>
        <w:spacing w:line="360" w:lineRule="auto"/>
        <w:ind w:firstLineChars="200" w:firstLine="480"/>
        <w:rPr>
          <w:rFonts w:ascii="宋体"/>
          <w:sz w:val="24"/>
        </w:rPr>
      </w:pPr>
      <w:r>
        <w:rPr>
          <w:rFonts w:ascii="宋体" w:hAnsi="宋体"/>
          <w:sz w:val="24"/>
        </w:rPr>
        <w:t>2.基金管理人的更换程序</w:t>
      </w:r>
    </w:p>
    <w:p w14:paraId="78E8CAAA" w14:textId="77777777" w:rsidR="00A931B6" w:rsidRDefault="000A2AB6">
      <w:pPr>
        <w:pStyle w:val="121"/>
        <w:spacing w:line="360" w:lineRule="auto"/>
        <w:ind w:firstLineChars="200" w:firstLine="480"/>
        <w:rPr>
          <w:rFonts w:ascii="宋体" w:hAnsi="宋体"/>
          <w:bCs/>
          <w:sz w:val="24"/>
          <w:szCs w:val="20"/>
        </w:rPr>
      </w:pPr>
      <w:r>
        <w:rPr>
          <w:rFonts w:ascii="宋体" w:hAnsi="宋体"/>
          <w:bCs/>
          <w:sz w:val="24"/>
          <w:szCs w:val="20"/>
        </w:rPr>
        <w:t>（1）提名：新任基金管理人由基金托管人或由单独或合计持有10%以上（含10%）基金份额的基金份额持有人提名；</w:t>
      </w:r>
    </w:p>
    <w:p w14:paraId="15B3CF3A" w14:textId="77777777" w:rsidR="00A931B6" w:rsidRDefault="000A2AB6">
      <w:pPr>
        <w:pStyle w:val="121"/>
        <w:spacing w:line="360" w:lineRule="auto"/>
        <w:ind w:firstLineChars="200" w:firstLine="480"/>
        <w:rPr>
          <w:rFonts w:ascii="宋体" w:hAnsi="宋体"/>
          <w:bCs/>
          <w:sz w:val="24"/>
          <w:szCs w:val="20"/>
        </w:rPr>
      </w:pPr>
      <w:r>
        <w:rPr>
          <w:rFonts w:ascii="宋体" w:hAnsi="宋体"/>
          <w:bCs/>
          <w:sz w:val="24"/>
          <w:szCs w:val="20"/>
        </w:rPr>
        <w:t>（2）决议：基金份额持有人大会在基金管理人职责终止后6个月内对被提名的基金管理人形成决议，该决议需经参加大会的基金份额持有人所持表决权的三分之二以上（含三分之二）表决通过，</w:t>
      </w:r>
      <w:r>
        <w:rPr>
          <w:rFonts w:ascii="宋体" w:hAnsi="宋体" w:hint="eastAsia"/>
          <w:bCs/>
          <w:sz w:val="24"/>
          <w:szCs w:val="20"/>
        </w:rPr>
        <w:t>决议</w:t>
      </w:r>
      <w:r>
        <w:rPr>
          <w:rFonts w:ascii="宋体" w:hAnsi="宋体"/>
          <w:bCs/>
          <w:sz w:val="24"/>
          <w:szCs w:val="20"/>
        </w:rPr>
        <w:t>自表决通过之日起生效；</w:t>
      </w:r>
    </w:p>
    <w:p w14:paraId="2E21941A" w14:textId="77777777" w:rsidR="00A931B6" w:rsidRDefault="000A2AB6">
      <w:pPr>
        <w:pStyle w:val="121"/>
        <w:spacing w:line="360" w:lineRule="auto"/>
        <w:ind w:firstLineChars="200" w:firstLine="480"/>
        <w:rPr>
          <w:rFonts w:ascii="宋体" w:hAnsi="宋体"/>
          <w:bCs/>
          <w:sz w:val="24"/>
          <w:szCs w:val="20"/>
        </w:rPr>
      </w:pPr>
      <w:r>
        <w:rPr>
          <w:rFonts w:ascii="宋体" w:hAnsi="宋体"/>
          <w:bCs/>
          <w:sz w:val="24"/>
          <w:szCs w:val="20"/>
        </w:rPr>
        <w:t>（3）临时基金管理人：新任基金管理人产生之前，由中国证监会指定临时基金管理人；</w:t>
      </w:r>
    </w:p>
    <w:p w14:paraId="593B6D7B" w14:textId="77777777" w:rsidR="00A931B6" w:rsidRDefault="000A2AB6">
      <w:pPr>
        <w:pStyle w:val="121"/>
        <w:spacing w:line="360" w:lineRule="auto"/>
        <w:ind w:firstLineChars="200" w:firstLine="480"/>
        <w:rPr>
          <w:rFonts w:ascii="宋体" w:hAnsi="宋体"/>
          <w:bCs/>
          <w:sz w:val="24"/>
          <w:szCs w:val="20"/>
        </w:rPr>
      </w:pPr>
      <w:r>
        <w:rPr>
          <w:rFonts w:ascii="宋体" w:hAnsi="宋体"/>
          <w:bCs/>
          <w:sz w:val="24"/>
          <w:szCs w:val="20"/>
        </w:rPr>
        <w:t>（4）备案：基金份额持有人大会更换基金管理人的决议须报中国证监会备案；</w:t>
      </w:r>
    </w:p>
    <w:p w14:paraId="57E3DED3" w14:textId="77777777" w:rsidR="00A931B6" w:rsidRDefault="000A2AB6">
      <w:pPr>
        <w:pStyle w:val="121"/>
        <w:spacing w:line="360" w:lineRule="auto"/>
        <w:ind w:firstLineChars="200" w:firstLine="480"/>
        <w:rPr>
          <w:rFonts w:ascii="宋体" w:hAnsi="宋体"/>
          <w:bCs/>
          <w:sz w:val="24"/>
          <w:szCs w:val="20"/>
        </w:rPr>
      </w:pPr>
      <w:r>
        <w:rPr>
          <w:rFonts w:ascii="宋体" w:hAnsi="宋体"/>
          <w:bCs/>
          <w:sz w:val="24"/>
          <w:szCs w:val="20"/>
        </w:rPr>
        <w:t>（5）公告：基金管理人更换后，由基金托管人在更换基金管理人的基金份额持有人大会决议生效后依照《信息披露办法》的有关规定在规定媒介公告；</w:t>
      </w:r>
    </w:p>
    <w:p w14:paraId="5BE82802" w14:textId="77777777" w:rsidR="00A931B6" w:rsidRDefault="000A2AB6">
      <w:pPr>
        <w:pStyle w:val="121"/>
        <w:spacing w:line="360" w:lineRule="auto"/>
        <w:ind w:firstLineChars="200" w:firstLine="480"/>
        <w:rPr>
          <w:rFonts w:ascii="宋体" w:hAnsi="宋体"/>
          <w:bCs/>
          <w:sz w:val="24"/>
          <w:szCs w:val="20"/>
        </w:rPr>
      </w:pPr>
      <w:r>
        <w:rPr>
          <w:rFonts w:ascii="宋体" w:hAnsi="宋体"/>
          <w:bCs/>
          <w:sz w:val="24"/>
          <w:szCs w:val="20"/>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w:t>
      </w:r>
      <w:r>
        <w:rPr>
          <w:rFonts w:ascii="宋体" w:hAnsi="宋体" w:hint="eastAsia"/>
          <w:bCs/>
          <w:sz w:val="24"/>
          <w:szCs w:val="20"/>
        </w:rPr>
        <w:t>净值信息</w:t>
      </w:r>
      <w:r>
        <w:rPr>
          <w:rFonts w:ascii="宋体" w:hAnsi="宋体"/>
          <w:bCs/>
          <w:sz w:val="24"/>
          <w:szCs w:val="20"/>
        </w:rPr>
        <w:t>；</w:t>
      </w:r>
    </w:p>
    <w:p w14:paraId="7453A905" w14:textId="77777777" w:rsidR="00A931B6" w:rsidRDefault="000A2AB6">
      <w:pPr>
        <w:pStyle w:val="121"/>
        <w:spacing w:line="360" w:lineRule="auto"/>
        <w:ind w:firstLineChars="200" w:firstLine="480"/>
        <w:rPr>
          <w:rFonts w:ascii="宋体" w:hAnsi="宋体"/>
          <w:bCs/>
          <w:sz w:val="24"/>
          <w:szCs w:val="20"/>
        </w:rPr>
      </w:pPr>
      <w:r>
        <w:rPr>
          <w:rFonts w:ascii="宋体" w:hAnsi="宋体"/>
          <w:bCs/>
          <w:sz w:val="24"/>
          <w:szCs w:val="20"/>
        </w:rPr>
        <w:t>（7）审计：基金管理人职责终止的，应当</w:t>
      </w:r>
      <w:r>
        <w:rPr>
          <w:rFonts w:ascii="宋体" w:hAnsi="宋体" w:hint="eastAsia"/>
          <w:bCs/>
          <w:sz w:val="24"/>
          <w:szCs w:val="20"/>
        </w:rPr>
        <w:t>聘请符合《证券法》规定的</w:t>
      </w:r>
      <w:r>
        <w:rPr>
          <w:rFonts w:ascii="宋体" w:hAnsi="宋体"/>
          <w:bCs/>
          <w:sz w:val="24"/>
          <w:szCs w:val="20"/>
        </w:rPr>
        <w:t>会计师事务所对基金财产进行审计，并将审计结果予以公告，同时报中国证监会备案，审计费用从基金财产中列支；</w:t>
      </w:r>
    </w:p>
    <w:p w14:paraId="48880BEB" w14:textId="77777777" w:rsidR="00A931B6" w:rsidRDefault="000A2AB6">
      <w:pPr>
        <w:pStyle w:val="afe"/>
        <w:ind w:firstLine="480"/>
        <w:rPr>
          <w:szCs w:val="24"/>
        </w:rPr>
      </w:pPr>
      <w:r>
        <w:rPr>
          <w:rFonts w:ascii="宋体" w:hAnsi="宋体"/>
        </w:rPr>
        <w:t>（8）基金名称变更：基金管理人更换后，如果原任或新任基金管理人要求，应按其要求替换或删除基金名称中与原基金管理人有关的名称字样。</w:t>
      </w:r>
    </w:p>
    <w:p w14:paraId="263E0DD0"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t>（二）基金托管人的更换</w:t>
      </w:r>
    </w:p>
    <w:p w14:paraId="35A4BD6E" w14:textId="77777777" w:rsidR="00A931B6" w:rsidRDefault="000A2AB6">
      <w:pPr>
        <w:pStyle w:val="121"/>
        <w:spacing w:line="360" w:lineRule="auto"/>
        <w:ind w:firstLineChars="200" w:firstLine="480"/>
        <w:rPr>
          <w:rFonts w:ascii="宋体" w:hAnsi="宋体"/>
          <w:sz w:val="24"/>
        </w:rPr>
      </w:pPr>
      <w:r>
        <w:rPr>
          <w:rFonts w:ascii="宋体" w:hAnsi="宋体"/>
          <w:sz w:val="24"/>
        </w:rPr>
        <w:t>1.基金托管人职责终止的条件</w:t>
      </w:r>
    </w:p>
    <w:p w14:paraId="0C03E8C6" w14:textId="77777777" w:rsidR="00A931B6" w:rsidRDefault="000A2AB6">
      <w:pPr>
        <w:pStyle w:val="121"/>
        <w:spacing w:line="360" w:lineRule="auto"/>
        <w:ind w:firstLineChars="200" w:firstLine="480"/>
        <w:rPr>
          <w:rFonts w:ascii="宋体" w:hAnsi="宋体"/>
          <w:sz w:val="24"/>
        </w:rPr>
      </w:pPr>
      <w:r>
        <w:rPr>
          <w:rFonts w:ascii="宋体" w:hAnsi="宋体"/>
          <w:sz w:val="24"/>
        </w:rPr>
        <w:t>有下列情形之一的，基金托管人职责终止：</w:t>
      </w:r>
    </w:p>
    <w:p w14:paraId="0D05B62B" w14:textId="77777777" w:rsidR="00A931B6" w:rsidRDefault="000A2AB6">
      <w:pPr>
        <w:pStyle w:val="121"/>
        <w:spacing w:line="360" w:lineRule="auto"/>
        <w:ind w:firstLineChars="200" w:firstLine="480"/>
        <w:rPr>
          <w:rFonts w:ascii="宋体" w:hAnsi="宋体"/>
          <w:sz w:val="24"/>
        </w:rPr>
      </w:pPr>
      <w:r>
        <w:rPr>
          <w:rFonts w:ascii="宋体" w:hAnsi="宋体"/>
          <w:sz w:val="24"/>
        </w:rPr>
        <w:t>（1）被依法取消基金托管资格；</w:t>
      </w:r>
    </w:p>
    <w:p w14:paraId="2F2A58FA" w14:textId="77777777" w:rsidR="00A931B6" w:rsidRDefault="000A2AB6">
      <w:pPr>
        <w:pStyle w:val="121"/>
        <w:spacing w:line="360" w:lineRule="auto"/>
        <w:ind w:firstLineChars="200" w:firstLine="480"/>
        <w:rPr>
          <w:rFonts w:ascii="宋体" w:hAnsi="宋体"/>
          <w:sz w:val="24"/>
        </w:rPr>
      </w:pPr>
      <w:r>
        <w:rPr>
          <w:rFonts w:ascii="宋体" w:hAnsi="宋体"/>
          <w:sz w:val="24"/>
        </w:rPr>
        <w:t>（2）依法解散、依法被撤销或被依法宣告破产；</w:t>
      </w:r>
    </w:p>
    <w:p w14:paraId="06A441FF" w14:textId="77777777" w:rsidR="00A931B6" w:rsidRDefault="000A2AB6">
      <w:pPr>
        <w:pStyle w:val="121"/>
        <w:spacing w:line="360" w:lineRule="auto"/>
        <w:ind w:firstLineChars="200" w:firstLine="480"/>
        <w:rPr>
          <w:rFonts w:ascii="宋体" w:hAnsi="宋体"/>
          <w:sz w:val="24"/>
        </w:rPr>
      </w:pPr>
      <w:r>
        <w:rPr>
          <w:rFonts w:ascii="宋体" w:hAnsi="宋体"/>
          <w:sz w:val="24"/>
        </w:rPr>
        <w:lastRenderedPageBreak/>
        <w:t>（3）被基金份额持有人大会解任；</w:t>
      </w:r>
    </w:p>
    <w:p w14:paraId="66847893" w14:textId="77777777" w:rsidR="00A931B6" w:rsidRDefault="000A2AB6">
      <w:pPr>
        <w:pStyle w:val="121"/>
        <w:spacing w:line="360" w:lineRule="auto"/>
        <w:ind w:firstLineChars="200" w:firstLine="480"/>
        <w:rPr>
          <w:rFonts w:ascii="宋体" w:hAnsi="宋体"/>
          <w:sz w:val="24"/>
        </w:rPr>
      </w:pPr>
      <w:r>
        <w:rPr>
          <w:rFonts w:ascii="宋体" w:hAnsi="宋体"/>
          <w:sz w:val="24"/>
        </w:rPr>
        <w:t>（4）法律法规及中国证监会规定的和《基金合同》约定的其他情形</w:t>
      </w:r>
    </w:p>
    <w:p w14:paraId="03128E4D" w14:textId="77777777" w:rsidR="00A931B6" w:rsidRDefault="000A2AB6">
      <w:pPr>
        <w:pStyle w:val="121"/>
        <w:spacing w:line="360" w:lineRule="auto"/>
        <w:ind w:firstLineChars="200" w:firstLine="480"/>
        <w:rPr>
          <w:rFonts w:ascii="宋体" w:hAnsi="宋体"/>
          <w:sz w:val="24"/>
        </w:rPr>
      </w:pPr>
      <w:r>
        <w:rPr>
          <w:rFonts w:ascii="宋体" w:hAnsi="宋体"/>
          <w:sz w:val="24"/>
        </w:rPr>
        <w:t>2.基金托管人的更换程序</w:t>
      </w:r>
      <w:bookmarkEnd w:id="96"/>
      <w:bookmarkEnd w:id="97"/>
    </w:p>
    <w:p w14:paraId="79E9CCDA" w14:textId="77777777" w:rsidR="00A931B6" w:rsidRDefault="000A2AB6">
      <w:pPr>
        <w:pStyle w:val="121"/>
        <w:spacing w:line="360" w:lineRule="auto"/>
        <w:ind w:firstLineChars="200" w:firstLine="480"/>
        <w:rPr>
          <w:rFonts w:ascii="宋体" w:hAnsi="宋体"/>
          <w:sz w:val="24"/>
        </w:rPr>
      </w:pPr>
      <w:r>
        <w:rPr>
          <w:rFonts w:ascii="宋体" w:hAnsi="宋体"/>
          <w:sz w:val="24"/>
        </w:rPr>
        <w:t>（1）提名：新任基金托管人由基金管理人或由单独或合计持有10%以上（含10%）基金份额的基金份额持有人提名；</w:t>
      </w:r>
    </w:p>
    <w:p w14:paraId="1964BFD6" w14:textId="77777777" w:rsidR="00A931B6" w:rsidRDefault="000A2AB6">
      <w:pPr>
        <w:pStyle w:val="121"/>
        <w:spacing w:line="360" w:lineRule="auto"/>
        <w:ind w:firstLineChars="200" w:firstLine="480"/>
        <w:rPr>
          <w:rFonts w:ascii="宋体" w:hAnsi="宋体"/>
          <w:sz w:val="24"/>
        </w:rPr>
      </w:pPr>
      <w:r>
        <w:rPr>
          <w:rFonts w:ascii="宋体" w:hAnsi="宋体"/>
          <w:sz w:val="24"/>
        </w:rPr>
        <w:t>（2）决议：基金份额持有人大会在基金托管人职责终止后6个月内对被提名的基金托管人形成决议，该决议需经参加大会的基金份额持有人所持表决权的三分之二以上（含三分之二）表决通过，</w:t>
      </w:r>
      <w:r>
        <w:rPr>
          <w:rFonts w:ascii="宋体" w:hAnsi="宋体" w:hint="eastAsia"/>
          <w:sz w:val="24"/>
        </w:rPr>
        <w:t>决议</w:t>
      </w:r>
      <w:r>
        <w:rPr>
          <w:rFonts w:ascii="宋体" w:hAnsi="宋体"/>
          <w:sz w:val="24"/>
        </w:rPr>
        <w:t>自表决通过之日起生效；</w:t>
      </w:r>
    </w:p>
    <w:p w14:paraId="492029DE" w14:textId="77777777" w:rsidR="00A931B6" w:rsidRDefault="000A2AB6">
      <w:pPr>
        <w:pStyle w:val="121"/>
        <w:spacing w:line="360" w:lineRule="auto"/>
        <w:ind w:firstLineChars="200" w:firstLine="480"/>
        <w:rPr>
          <w:rFonts w:ascii="宋体" w:hAnsi="宋体"/>
          <w:sz w:val="24"/>
        </w:rPr>
      </w:pPr>
      <w:r>
        <w:rPr>
          <w:rFonts w:ascii="宋体" w:hAnsi="宋体"/>
          <w:sz w:val="24"/>
        </w:rPr>
        <w:t>（3）临时基金托管人：新任基金托管人产生之前，由中国证监会指定临时基金托管人；</w:t>
      </w:r>
    </w:p>
    <w:p w14:paraId="71F2FB2B" w14:textId="77777777" w:rsidR="00A931B6" w:rsidRDefault="000A2AB6">
      <w:pPr>
        <w:pStyle w:val="121"/>
        <w:spacing w:line="360" w:lineRule="auto"/>
        <w:ind w:firstLineChars="200" w:firstLine="480"/>
        <w:rPr>
          <w:rFonts w:ascii="宋体" w:hAnsi="宋体"/>
          <w:sz w:val="24"/>
        </w:rPr>
      </w:pPr>
      <w:r>
        <w:rPr>
          <w:rFonts w:ascii="宋体" w:hAnsi="宋体"/>
          <w:sz w:val="24"/>
        </w:rPr>
        <w:t>（4）备案：基金份额持有人大会更换基金托管人的决议须报中国证监会备案；</w:t>
      </w:r>
    </w:p>
    <w:p w14:paraId="119A9271" w14:textId="77777777" w:rsidR="00A931B6" w:rsidRDefault="000A2AB6">
      <w:pPr>
        <w:pStyle w:val="121"/>
        <w:spacing w:line="360" w:lineRule="auto"/>
        <w:ind w:firstLineChars="200" w:firstLine="480"/>
        <w:rPr>
          <w:rFonts w:ascii="宋体" w:hAnsi="宋体"/>
          <w:sz w:val="24"/>
        </w:rPr>
      </w:pPr>
      <w:r>
        <w:rPr>
          <w:rFonts w:ascii="宋体" w:hAnsi="宋体"/>
          <w:sz w:val="24"/>
        </w:rPr>
        <w:t>（5）公告：基金托管人更换后，由基金管理人在更换基金托管人的基金份额持有人大会决议生效后依照《信息披露办法》的有关规定在规定媒介公告；</w:t>
      </w:r>
    </w:p>
    <w:p w14:paraId="71F0A93A" w14:textId="77777777" w:rsidR="00A931B6" w:rsidRDefault="000A2AB6">
      <w:pPr>
        <w:pStyle w:val="121"/>
        <w:spacing w:line="360" w:lineRule="auto"/>
        <w:ind w:firstLineChars="200" w:firstLine="480"/>
        <w:rPr>
          <w:rFonts w:ascii="宋体" w:hAnsi="宋体"/>
          <w:sz w:val="24"/>
        </w:rPr>
      </w:pPr>
      <w:r>
        <w:rPr>
          <w:rFonts w:ascii="宋体" w:hAnsi="宋体"/>
          <w:sz w:val="24"/>
        </w:rPr>
        <w:t>（6）交接：基金托管人职责终止的，应当妥善保管基金财产和基金托管业务资料，及时办理基金财产和基金托管业务的移交手续，新任基金托管人或者临时基金托管人应当及时接收。临时基金托管人或新任基金托管人与基金管理人核对基金</w:t>
      </w:r>
      <w:r>
        <w:rPr>
          <w:rFonts w:ascii="宋体" w:hAnsi="宋体" w:hint="eastAsia"/>
          <w:sz w:val="24"/>
        </w:rPr>
        <w:t>净值信息</w:t>
      </w:r>
      <w:r>
        <w:rPr>
          <w:rFonts w:ascii="宋体" w:hAnsi="宋体"/>
          <w:sz w:val="24"/>
        </w:rPr>
        <w:t>；</w:t>
      </w:r>
    </w:p>
    <w:p w14:paraId="38990E68" w14:textId="77777777" w:rsidR="00A931B6" w:rsidRDefault="000A2AB6">
      <w:pPr>
        <w:pStyle w:val="121"/>
        <w:spacing w:line="360" w:lineRule="auto"/>
        <w:ind w:firstLineChars="200" w:firstLine="480"/>
        <w:rPr>
          <w:rFonts w:ascii="宋体" w:hAnsi="宋体"/>
          <w:sz w:val="24"/>
        </w:rPr>
      </w:pPr>
      <w:r>
        <w:rPr>
          <w:rFonts w:ascii="宋体" w:hAnsi="宋体"/>
          <w:sz w:val="24"/>
        </w:rPr>
        <w:t>（7）审计：基金托管人职责终止的，应当</w:t>
      </w:r>
      <w:r>
        <w:rPr>
          <w:rFonts w:ascii="宋体" w:hAnsi="宋体" w:hint="eastAsia"/>
          <w:sz w:val="24"/>
        </w:rPr>
        <w:t>聘请符合《证券法》规定的</w:t>
      </w:r>
      <w:r>
        <w:rPr>
          <w:rFonts w:ascii="宋体" w:hAnsi="宋体"/>
          <w:sz w:val="24"/>
        </w:rPr>
        <w:t>会计师事务所对基金财产进行审计，并将审计结果予以公告，同时报中国证监会备案，审计费用从基金财产中列支。</w:t>
      </w:r>
    </w:p>
    <w:p w14:paraId="62CA7AD4"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t>（三）基金管理人与基金托管人同时更换</w:t>
      </w:r>
    </w:p>
    <w:p w14:paraId="0CD7090F" w14:textId="77777777" w:rsidR="00A931B6" w:rsidRDefault="000A2AB6">
      <w:pPr>
        <w:pStyle w:val="121"/>
        <w:spacing w:line="360" w:lineRule="auto"/>
        <w:ind w:firstLineChars="200" w:firstLine="480"/>
        <w:rPr>
          <w:rFonts w:ascii="宋体" w:hAnsi="宋体"/>
          <w:sz w:val="24"/>
        </w:rPr>
      </w:pPr>
      <w:bookmarkStart w:id="98" w:name="_Toc22454478"/>
      <w:bookmarkStart w:id="99" w:name="_Toc523830007"/>
      <w:bookmarkStart w:id="100" w:name="_Toc466788866"/>
      <w:bookmarkStart w:id="101" w:name="_Toc125892451"/>
      <w:r>
        <w:rPr>
          <w:rFonts w:ascii="宋体" w:hAnsi="宋体"/>
          <w:sz w:val="24"/>
        </w:rPr>
        <w:t>1、提名：如果基金管理人和基金托管人同时更换，由单独或合计持有10%以上（含10%）</w:t>
      </w:r>
      <w:r>
        <w:rPr>
          <w:rFonts w:ascii="宋体" w:hAnsi="宋体" w:hint="eastAsia"/>
          <w:sz w:val="24"/>
        </w:rPr>
        <w:t>基金份额</w:t>
      </w:r>
      <w:r>
        <w:rPr>
          <w:rFonts w:ascii="宋体" w:hAnsi="宋体"/>
          <w:sz w:val="24"/>
        </w:rPr>
        <w:t>的基金份额持有人提名新的基金管理人和基金托管人；</w:t>
      </w:r>
    </w:p>
    <w:p w14:paraId="30834976" w14:textId="77777777" w:rsidR="00A931B6" w:rsidRDefault="000A2AB6">
      <w:pPr>
        <w:pStyle w:val="121"/>
        <w:spacing w:line="360" w:lineRule="auto"/>
        <w:ind w:firstLineChars="200" w:firstLine="480"/>
        <w:rPr>
          <w:rFonts w:ascii="宋体" w:hAnsi="宋体"/>
          <w:sz w:val="24"/>
        </w:rPr>
      </w:pPr>
      <w:r>
        <w:rPr>
          <w:rFonts w:ascii="宋体" w:hAnsi="宋体"/>
          <w:sz w:val="24"/>
        </w:rPr>
        <w:t>2、基金管理人和基金托管人的更换分别按上述程序进行；</w:t>
      </w:r>
    </w:p>
    <w:p w14:paraId="37A5F282" w14:textId="77777777" w:rsidR="00A931B6" w:rsidRDefault="000A2AB6">
      <w:pPr>
        <w:pStyle w:val="121"/>
        <w:spacing w:line="360" w:lineRule="auto"/>
        <w:ind w:left="1" w:firstLineChars="162" w:firstLine="389"/>
        <w:rPr>
          <w:rFonts w:ascii="宋体" w:hAnsi="宋体"/>
          <w:sz w:val="24"/>
        </w:rPr>
      </w:pPr>
      <w:r>
        <w:rPr>
          <w:rFonts w:ascii="宋体" w:hAnsi="宋体"/>
          <w:sz w:val="24"/>
        </w:rPr>
        <w:t>3、公告：新任基金管理人和新任基金托管人应在更换基金管理人和基金托管人的基金份额持有人大会决议生效后依照《信息披露办法》的有关规定在规定媒介上联合公告。</w:t>
      </w:r>
    </w:p>
    <w:p w14:paraId="7455395E" w14:textId="77777777" w:rsidR="00A931B6" w:rsidRDefault="000A2AB6">
      <w:pPr>
        <w:pStyle w:val="121"/>
        <w:spacing w:line="360" w:lineRule="auto"/>
        <w:ind w:left="1" w:firstLineChars="162" w:firstLine="390"/>
        <w:rPr>
          <w:rFonts w:ascii="宋体"/>
          <w:bCs/>
          <w:sz w:val="24"/>
        </w:rPr>
      </w:pPr>
      <w:r>
        <w:rPr>
          <w:rFonts w:ascii="宋体"/>
          <w:b/>
          <w:bCs/>
          <w:sz w:val="24"/>
        </w:rPr>
        <w:t>（四）新任基金管理人或临时基金管理人接收基金管理业务</w:t>
      </w:r>
      <w:r>
        <w:rPr>
          <w:rFonts w:ascii="宋体" w:hint="eastAsia"/>
          <w:b/>
          <w:bCs/>
          <w:sz w:val="24"/>
        </w:rPr>
        <w:t>，</w:t>
      </w:r>
      <w:r>
        <w:rPr>
          <w:rFonts w:ascii="宋体"/>
          <w:b/>
          <w:bCs/>
          <w:sz w:val="24"/>
        </w:rPr>
        <w:t>或新任基金托</w:t>
      </w:r>
      <w:r>
        <w:rPr>
          <w:rFonts w:ascii="宋体"/>
          <w:b/>
          <w:bCs/>
          <w:sz w:val="24"/>
        </w:rPr>
        <w:lastRenderedPageBreak/>
        <w:t>管人或临时基金托管人接收基金财产和基金托管业务前，原基金管理人或</w:t>
      </w:r>
      <w:r>
        <w:rPr>
          <w:rFonts w:ascii="宋体" w:hint="eastAsia"/>
          <w:b/>
          <w:bCs/>
          <w:sz w:val="24"/>
        </w:rPr>
        <w:t>原</w:t>
      </w:r>
      <w:r>
        <w:rPr>
          <w:rFonts w:ascii="宋体"/>
          <w:b/>
          <w:bCs/>
          <w:sz w:val="24"/>
        </w:rPr>
        <w:t>基金托管人应继续履行相关职责，并保证不</w:t>
      </w:r>
      <w:r>
        <w:rPr>
          <w:rFonts w:ascii="宋体" w:hint="eastAsia"/>
          <w:b/>
          <w:bCs/>
          <w:sz w:val="24"/>
        </w:rPr>
        <w:t>做出</w:t>
      </w:r>
      <w:r>
        <w:rPr>
          <w:rFonts w:ascii="宋体"/>
          <w:b/>
          <w:bCs/>
          <w:sz w:val="24"/>
        </w:rPr>
        <w:t>对基金份额持有人的利益造成损害</w:t>
      </w:r>
      <w:r>
        <w:rPr>
          <w:rFonts w:ascii="宋体" w:hint="eastAsia"/>
          <w:b/>
          <w:bCs/>
          <w:sz w:val="24"/>
        </w:rPr>
        <w:t>的行为</w:t>
      </w:r>
      <w:r>
        <w:rPr>
          <w:rFonts w:ascii="宋体"/>
          <w:b/>
          <w:bCs/>
          <w:sz w:val="24"/>
        </w:rPr>
        <w:t>。原基金管理人或</w:t>
      </w:r>
      <w:r>
        <w:rPr>
          <w:rFonts w:ascii="宋体" w:hint="eastAsia"/>
          <w:b/>
          <w:bCs/>
          <w:sz w:val="24"/>
        </w:rPr>
        <w:t>原</w:t>
      </w:r>
      <w:r>
        <w:rPr>
          <w:rFonts w:ascii="宋体"/>
          <w:b/>
          <w:bCs/>
          <w:sz w:val="24"/>
        </w:rPr>
        <w:t xml:space="preserve">基金托管人在继续履行相关职责期间，仍有权按照《基金合同》的规定收取基金管理费或基金托管费。 </w:t>
      </w:r>
    </w:p>
    <w:p w14:paraId="0486CAAE" w14:textId="77777777" w:rsidR="00A931B6" w:rsidRDefault="000A2AB6">
      <w:pPr>
        <w:pStyle w:val="121"/>
        <w:spacing w:line="360" w:lineRule="auto"/>
        <w:ind w:left="1" w:firstLineChars="162" w:firstLine="390"/>
        <w:rPr>
          <w:rFonts w:ascii="宋体"/>
          <w:sz w:val="24"/>
        </w:rPr>
      </w:pPr>
      <w:r>
        <w:rPr>
          <w:rFonts w:ascii="宋体"/>
          <w:b/>
          <w:bCs/>
          <w:sz w:val="24"/>
        </w:rPr>
        <w:t>（五）本部分关于基金管理人、基金托管人更换条件和程序的约定，凡是直接引用法律法规或监管规则的部分，如将来法律法规或监管规则修改导致相关内容被取消或变更的，基金管理人与基金托管人协商一致</w:t>
      </w:r>
      <w:r>
        <w:rPr>
          <w:rFonts w:ascii="宋体" w:hint="eastAsia"/>
          <w:b/>
          <w:bCs/>
          <w:sz w:val="24"/>
        </w:rPr>
        <w:t>，履行适当程序</w:t>
      </w:r>
      <w:r>
        <w:rPr>
          <w:rFonts w:ascii="宋体"/>
          <w:b/>
          <w:bCs/>
          <w:sz w:val="24"/>
        </w:rPr>
        <w:t>并提前公告后，可直接对相应内容进行修改和调整，无需召开基金份额持有人大会审议。</w:t>
      </w:r>
    </w:p>
    <w:p w14:paraId="421A2EAE" w14:textId="77777777" w:rsidR="00A931B6" w:rsidRDefault="000A2AB6">
      <w:pPr>
        <w:pStyle w:val="113"/>
      </w:pPr>
      <w:bookmarkStart w:id="102" w:name="_Toc65162014"/>
      <w:r>
        <w:t>十五、禁止行为</w:t>
      </w:r>
      <w:bookmarkEnd w:id="98"/>
      <w:bookmarkEnd w:id="99"/>
      <w:bookmarkEnd w:id="100"/>
      <w:bookmarkEnd w:id="101"/>
      <w:bookmarkEnd w:id="102"/>
    </w:p>
    <w:p w14:paraId="017DAF44" w14:textId="77777777" w:rsidR="00A931B6" w:rsidRDefault="000A2AB6">
      <w:pPr>
        <w:pStyle w:val="121"/>
        <w:spacing w:line="360" w:lineRule="auto"/>
        <w:ind w:firstLineChars="200" w:firstLine="480"/>
        <w:rPr>
          <w:rFonts w:ascii="宋体"/>
          <w:sz w:val="24"/>
        </w:rPr>
      </w:pPr>
      <w:r>
        <w:rPr>
          <w:rFonts w:ascii="宋体" w:hAnsi="宋体"/>
          <w:sz w:val="24"/>
        </w:rPr>
        <w:t>本协议项下的基金管理人和基金托管人禁止行为如下：</w:t>
      </w:r>
    </w:p>
    <w:p w14:paraId="4DB98650"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t>（一）《基金法》禁止的行为。</w:t>
      </w:r>
    </w:p>
    <w:p w14:paraId="61629742"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t>（二）除非法律法规及中国证监会另有规定，托管协议当事人用基金财产从事《基金法》禁止的投资或活动。</w:t>
      </w:r>
    </w:p>
    <w:p w14:paraId="1E51AF5F"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t>（三）除《基金法》及其他有关法规、《基金合同》及中国证监会另有规定，基金管理人、基金托管人利用基金财产</w:t>
      </w:r>
      <w:r>
        <w:rPr>
          <w:rFonts w:ascii="宋体" w:hAnsi="宋体" w:hint="eastAsia"/>
          <w:b/>
          <w:bCs/>
          <w:sz w:val="24"/>
        </w:rPr>
        <w:t>或职务之便</w:t>
      </w:r>
      <w:r>
        <w:rPr>
          <w:rFonts w:ascii="宋体" w:hAnsi="宋体"/>
          <w:b/>
          <w:bCs/>
          <w:sz w:val="24"/>
        </w:rPr>
        <w:t>为自身和任何</w:t>
      </w:r>
      <w:r>
        <w:rPr>
          <w:rFonts w:ascii="宋体" w:hAnsi="宋体" w:hint="eastAsia"/>
          <w:b/>
          <w:bCs/>
          <w:sz w:val="24"/>
        </w:rPr>
        <w:t>基金份额持有人以外的人</w:t>
      </w:r>
      <w:r>
        <w:rPr>
          <w:rFonts w:ascii="宋体" w:hAnsi="宋体"/>
          <w:b/>
          <w:bCs/>
          <w:sz w:val="24"/>
        </w:rPr>
        <w:t>谋取利益。</w:t>
      </w:r>
    </w:p>
    <w:p w14:paraId="3EC194AC"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t>（四）基金管理人与基金托管人对基金运作过程中任何尚未按有关法规规定的方式公开披露的信息，对他人泄露。</w:t>
      </w:r>
    </w:p>
    <w:p w14:paraId="23715710"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t>（五）基金管理人在资金头寸不足的情况下，向基金托管人发送划款指令。</w:t>
      </w:r>
    </w:p>
    <w:p w14:paraId="4E25CCB7"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t>（六）在资金头寸充足且为基金托管人执行指令留出足够时间的情况下，基金托管人对基金管理人符合法律法规、《基金合同》、本协议的指令拖延或拒绝执行。</w:t>
      </w:r>
    </w:p>
    <w:p w14:paraId="1B2B6266"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t>（七）除根据基金管理人指令或《基金合同》另有规定的，基金托管人动用或处分基金财产。</w:t>
      </w:r>
    </w:p>
    <w:p w14:paraId="6A6A9554"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t>（八）基金管理人与基金托管人为同一机构，或相互出资或者持有股份。基金托管人、基金管理人在行政上、财务上不独立，其</w:t>
      </w:r>
      <w:r>
        <w:rPr>
          <w:rFonts w:ascii="宋体" w:hAnsi="宋体" w:hint="eastAsia"/>
          <w:b/>
          <w:bCs/>
          <w:sz w:val="24"/>
        </w:rPr>
        <w:t>董事、监事、</w:t>
      </w:r>
      <w:r>
        <w:rPr>
          <w:rFonts w:ascii="宋体" w:hAnsi="宋体"/>
          <w:b/>
          <w:bCs/>
          <w:sz w:val="24"/>
        </w:rPr>
        <w:t>高级基金管理人员或其他从业人员相互兼职。</w:t>
      </w:r>
    </w:p>
    <w:p w14:paraId="15EFB326"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lastRenderedPageBreak/>
        <w:t>（九）《基金合同》投资限制中禁止投资的行为。</w:t>
      </w:r>
    </w:p>
    <w:p w14:paraId="27B88768"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t>（十）法律法规、《基金合同》和本协议禁止的其他行为。</w:t>
      </w:r>
    </w:p>
    <w:p w14:paraId="6D2F6902" w14:textId="77777777" w:rsidR="00A931B6" w:rsidRDefault="000A2AB6">
      <w:pPr>
        <w:pStyle w:val="121"/>
        <w:spacing w:line="360" w:lineRule="auto"/>
        <w:ind w:firstLineChars="200" w:firstLine="480"/>
        <w:rPr>
          <w:rFonts w:ascii="宋体" w:hAnsi="宋体"/>
          <w:sz w:val="24"/>
        </w:rPr>
      </w:pPr>
      <w:r>
        <w:rPr>
          <w:rFonts w:ascii="宋体" w:hAnsi="宋体"/>
          <w:sz w:val="24"/>
        </w:rPr>
        <w:t>法律法规和监管部门取消或变更上述禁止性规定的，则本基金不受上述相关限制或按照变更后的规定执行。</w:t>
      </w:r>
    </w:p>
    <w:p w14:paraId="4EDC75D3" w14:textId="77777777" w:rsidR="00A931B6" w:rsidRDefault="000A2AB6">
      <w:pPr>
        <w:pStyle w:val="113"/>
      </w:pPr>
      <w:bookmarkStart w:id="103" w:name="_Toc65162015"/>
      <w:bookmarkStart w:id="104" w:name="_Toc125892452"/>
      <w:bookmarkStart w:id="105" w:name="_Toc22454479"/>
      <w:bookmarkStart w:id="106" w:name="_Toc466788867"/>
      <w:bookmarkStart w:id="107" w:name="_Toc523830008"/>
      <w:r>
        <w:t>十六、基金托管协议的变更、终止与基金财产的清算</w:t>
      </w:r>
      <w:bookmarkEnd w:id="103"/>
      <w:bookmarkEnd w:id="104"/>
    </w:p>
    <w:p w14:paraId="7AA1027B" w14:textId="77777777" w:rsidR="00A931B6" w:rsidRDefault="000A2AB6">
      <w:pPr>
        <w:pStyle w:val="121"/>
        <w:tabs>
          <w:tab w:val="left" w:pos="3780"/>
        </w:tabs>
        <w:autoSpaceDE w:val="0"/>
        <w:autoSpaceDN w:val="0"/>
        <w:spacing w:before="156" w:after="156" w:line="360" w:lineRule="auto"/>
        <w:outlineLvl w:val="0"/>
        <w:rPr>
          <w:rFonts w:ascii="宋体"/>
          <w:b/>
          <w:bCs/>
          <w:sz w:val="24"/>
        </w:rPr>
      </w:pPr>
      <w:bookmarkStart w:id="108" w:name="_Toc510842757"/>
      <w:r>
        <w:rPr>
          <w:rFonts w:ascii="宋体" w:hAnsi="宋体"/>
          <w:b/>
          <w:bCs/>
          <w:sz w:val="24"/>
        </w:rPr>
        <w:t>（一）基金托管协议的变更</w:t>
      </w:r>
      <w:bookmarkEnd w:id="108"/>
    </w:p>
    <w:p w14:paraId="0DE918EE" w14:textId="77777777" w:rsidR="00A931B6" w:rsidRDefault="000A2AB6">
      <w:pPr>
        <w:pStyle w:val="121"/>
        <w:pBdr>
          <w:top w:val="none" w:sz="4" w:space="0" w:color="000000"/>
          <w:left w:val="none" w:sz="4" w:space="0" w:color="000000"/>
          <w:bottom w:val="none" w:sz="4" w:space="0" w:color="000000"/>
          <w:right w:val="none" w:sz="4" w:space="0" w:color="000000"/>
        </w:pBdr>
        <w:spacing w:line="360" w:lineRule="auto"/>
        <w:ind w:firstLineChars="200" w:firstLine="480"/>
        <w:rPr>
          <w:rFonts w:ascii="宋体" w:hAnsi="宋体"/>
          <w:sz w:val="24"/>
        </w:rPr>
      </w:pPr>
      <w:r>
        <w:rPr>
          <w:rFonts w:ascii="宋体" w:hAnsi="宋体"/>
          <w:sz w:val="24"/>
        </w:rPr>
        <w:t>本协议双方当事人经协商一致，可以对协议进行修改。修改后的新协议，其内容不得与《基金合同》的规定有任何冲突。基金管理人应根据法律法规的规定履行备案程序或根据中国证监会的要求完成变更程序。</w:t>
      </w:r>
    </w:p>
    <w:p w14:paraId="426E19D5" w14:textId="77777777" w:rsidR="00A931B6" w:rsidRDefault="000A2AB6">
      <w:pPr>
        <w:pStyle w:val="121"/>
        <w:tabs>
          <w:tab w:val="left" w:pos="3780"/>
        </w:tabs>
        <w:autoSpaceDE w:val="0"/>
        <w:autoSpaceDN w:val="0"/>
        <w:spacing w:before="156" w:after="156" w:line="360" w:lineRule="auto"/>
        <w:outlineLvl w:val="0"/>
        <w:rPr>
          <w:rFonts w:ascii="宋体"/>
          <w:b/>
          <w:bCs/>
          <w:sz w:val="24"/>
        </w:rPr>
      </w:pPr>
      <w:r>
        <w:rPr>
          <w:rFonts w:ascii="宋体" w:hAnsi="宋体"/>
          <w:b/>
          <w:bCs/>
          <w:sz w:val="24"/>
        </w:rPr>
        <w:t>（二）基金托管协议的终止</w:t>
      </w:r>
    </w:p>
    <w:p w14:paraId="14E1E323" w14:textId="77777777" w:rsidR="00A931B6" w:rsidRDefault="000A2AB6">
      <w:pPr>
        <w:pStyle w:val="121"/>
        <w:spacing w:line="360" w:lineRule="auto"/>
        <w:ind w:firstLineChars="200" w:firstLine="480"/>
        <w:rPr>
          <w:rFonts w:ascii="宋体"/>
          <w:sz w:val="24"/>
        </w:rPr>
      </w:pPr>
      <w:r>
        <w:rPr>
          <w:rFonts w:ascii="宋体" w:hAnsi="宋体"/>
          <w:sz w:val="24"/>
        </w:rPr>
        <w:t>1.《基金合同》终止；</w:t>
      </w:r>
    </w:p>
    <w:p w14:paraId="38D378A0" w14:textId="77777777" w:rsidR="00A931B6" w:rsidRDefault="000A2AB6">
      <w:pPr>
        <w:pStyle w:val="121"/>
        <w:spacing w:line="360" w:lineRule="auto"/>
        <w:ind w:firstLineChars="200" w:firstLine="480"/>
        <w:rPr>
          <w:rFonts w:ascii="宋体"/>
          <w:sz w:val="24"/>
        </w:rPr>
      </w:pPr>
      <w:r>
        <w:rPr>
          <w:rFonts w:ascii="宋体" w:hAnsi="宋体"/>
          <w:sz w:val="24"/>
        </w:rPr>
        <w:t>2.基金托管人解散、依法被撤销、破产，被依法取消基金托管资格或因其他事由造成其他基金托管人接管基金财产；</w:t>
      </w:r>
    </w:p>
    <w:p w14:paraId="23C773D5" w14:textId="77777777" w:rsidR="00A931B6" w:rsidRDefault="000A2AB6">
      <w:pPr>
        <w:pStyle w:val="121"/>
        <w:spacing w:line="360" w:lineRule="auto"/>
        <w:ind w:firstLineChars="200" w:firstLine="480"/>
        <w:rPr>
          <w:rFonts w:ascii="宋体"/>
          <w:sz w:val="24"/>
        </w:rPr>
      </w:pPr>
      <w:r>
        <w:rPr>
          <w:rFonts w:ascii="宋体" w:hAnsi="宋体"/>
          <w:sz w:val="24"/>
        </w:rPr>
        <w:t>3.基金管理人解散、依法被撤销、破产，被依法取消基金管理资格或因其他事由造成其他基金管理人接管基金管理权；</w:t>
      </w:r>
    </w:p>
    <w:p w14:paraId="35B386D3" w14:textId="77777777" w:rsidR="00A931B6" w:rsidRDefault="000A2AB6">
      <w:pPr>
        <w:pStyle w:val="121"/>
        <w:spacing w:line="360" w:lineRule="auto"/>
        <w:ind w:firstLineChars="200" w:firstLine="480"/>
        <w:rPr>
          <w:rFonts w:ascii="宋体"/>
          <w:sz w:val="24"/>
        </w:rPr>
      </w:pPr>
      <w:r>
        <w:rPr>
          <w:rFonts w:ascii="宋体" w:hAnsi="宋体"/>
          <w:sz w:val="24"/>
        </w:rPr>
        <w:t>4.发生《基金法》、《销售办法》、《运作办法》或其他法律法规规定的终止事项。</w:t>
      </w:r>
    </w:p>
    <w:p w14:paraId="43481B54" w14:textId="77777777" w:rsidR="00A931B6" w:rsidRDefault="000A2AB6">
      <w:pPr>
        <w:pStyle w:val="121"/>
        <w:tabs>
          <w:tab w:val="left" w:pos="3780"/>
        </w:tabs>
        <w:autoSpaceDE w:val="0"/>
        <w:autoSpaceDN w:val="0"/>
        <w:spacing w:before="156" w:after="156" w:line="360" w:lineRule="auto"/>
        <w:outlineLvl w:val="0"/>
        <w:rPr>
          <w:b/>
          <w:sz w:val="24"/>
        </w:rPr>
      </w:pPr>
      <w:r>
        <w:rPr>
          <w:b/>
          <w:sz w:val="24"/>
        </w:rPr>
        <w:t>（三）基金财产的清算</w:t>
      </w:r>
    </w:p>
    <w:p w14:paraId="404D34B7" w14:textId="77777777" w:rsidR="00A931B6" w:rsidRDefault="000A2AB6">
      <w:pPr>
        <w:pStyle w:val="121"/>
        <w:spacing w:line="360" w:lineRule="auto"/>
        <w:ind w:firstLineChars="200" w:firstLine="480"/>
        <w:rPr>
          <w:bCs/>
          <w:sz w:val="24"/>
          <w:szCs w:val="20"/>
        </w:rPr>
      </w:pPr>
      <w:r>
        <w:rPr>
          <w:bCs/>
          <w:sz w:val="24"/>
          <w:szCs w:val="20"/>
        </w:rPr>
        <w:t>1.</w:t>
      </w:r>
      <w:r>
        <w:rPr>
          <w:bCs/>
          <w:sz w:val="24"/>
          <w:szCs w:val="20"/>
        </w:rPr>
        <w:t>基金财产清算小组：自出现《基金合同》终止事由之日起</w:t>
      </w:r>
      <w:r>
        <w:rPr>
          <w:bCs/>
          <w:sz w:val="24"/>
          <w:szCs w:val="20"/>
        </w:rPr>
        <w:t>30</w:t>
      </w:r>
      <w:r>
        <w:rPr>
          <w:bCs/>
          <w:sz w:val="24"/>
          <w:szCs w:val="20"/>
        </w:rPr>
        <w:t>个工作日内成立</w:t>
      </w:r>
      <w:r>
        <w:rPr>
          <w:rFonts w:hint="eastAsia"/>
          <w:bCs/>
          <w:sz w:val="24"/>
          <w:szCs w:val="20"/>
        </w:rPr>
        <w:t>基金财产</w:t>
      </w:r>
      <w:r>
        <w:rPr>
          <w:bCs/>
          <w:sz w:val="24"/>
          <w:szCs w:val="20"/>
        </w:rPr>
        <w:t>清算小组，基金管理人组织基金财产清算小组并在中国证监会的监督下进行基金清算。</w:t>
      </w:r>
    </w:p>
    <w:p w14:paraId="6CEC2A18" w14:textId="77777777" w:rsidR="00A931B6" w:rsidRDefault="000A2AB6">
      <w:pPr>
        <w:pStyle w:val="121"/>
        <w:spacing w:line="360" w:lineRule="auto"/>
        <w:ind w:firstLineChars="200" w:firstLine="480"/>
        <w:rPr>
          <w:bCs/>
          <w:sz w:val="24"/>
          <w:szCs w:val="20"/>
        </w:rPr>
      </w:pPr>
      <w:r>
        <w:rPr>
          <w:bCs/>
          <w:sz w:val="24"/>
          <w:szCs w:val="20"/>
        </w:rPr>
        <w:t>2.</w:t>
      </w:r>
      <w:r>
        <w:rPr>
          <w:rFonts w:hint="eastAsia"/>
        </w:rPr>
        <w:t xml:space="preserve"> </w:t>
      </w:r>
      <w:r>
        <w:rPr>
          <w:rFonts w:hint="eastAsia"/>
          <w:bCs/>
          <w:sz w:val="24"/>
          <w:szCs w:val="20"/>
        </w:rPr>
        <w:t>在基金财产清算小组接管基金财产之前，基金管理人和基金托管人应按照基金合同和托管协议的规定继续履行保护基金财产安全的职责。</w:t>
      </w:r>
    </w:p>
    <w:p w14:paraId="3B17BDD9" w14:textId="77777777" w:rsidR="00A931B6" w:rsidRDefault="000A2AB6">
      <w:pPr>
        <w:pStyle w:val="121"/>
        <w:spacing w:line="360" w:lineRule="auto"/>
        <w:ind w:firstLineChars="200" w:firstLine="480"/>
        <w:rPr>
          <w:bCs/>
          <w:sz w:val="24"/>
          <w:szCs w:val="20"/>
        </w:rPr>
      </w:pPr>
      <w:r>
        <w:rPr>
          <w:bCs/>
          <w:sz w:val="24"/>
          <w:szCs w:val="20"/>
        </w:rPr>
        <w:t>3.</w:t>
      </w:r>
      <w:r>
        <w:rPr>
          <w:bCs/>
          <w:sz w:val="24"/>
          <w:szCs w:val="20"/>
        </w:rPr>
        <w:t>基金财产清算小组组成：基金财产清算小组成员由基金管理人、基金托管人、符合《证券法》规定的注册会计师、律师组成。基金财产清算小组可以聘用必要的工作人员。</w:t>
      </w:r>
    </w:p>
    <w:p w14:paraId="18DB13AA" w14:textId="77777777" w:rsidR="00A931B6" w:rsidRDefault="000A2AB6">
      <w:pPr>
        <w:pStyle w:val="121"/>
        <w:spacing w:line="360" w:lineRule="auto"/>
        <w:ind w:firstLineChars="200" w:firstLine="480"/>
        <w:rPr>
          <w:bCs/>
          <w:sz w:val="24"/>
          <w:szCs w:val="20"/>
        </w:rPr>
      </w:pPr>
      <w:r>
        <w:rPr>
          <w:bCs/>
          <w:sz w:val="24"/>
          <w:szCs w:val="20"/>
        </w:rPr>
        <w:t>4.</w:t>
      </w:r>
      <w:r>
        <w:rPr>
          <w:bCs/>
          <w:sz w:val="24"/>
          <w:szCs w:val="20"/>
        </w:rPr>
        <w:t>基金财产清算小组职责：基金财产清算小组负责基金财产的保管、清理、</w:t>
      </w:r>
      <w:r>
        <w:rPr>
          <w:bCs/>
          <w:sz w:val="24"/>
          <w:szCs w:val="20"/>
        </w:rPr>
        <w:lastRenderedPageBreak/>
        <w:t>估价、变现和分配。基金财产清算小组可以依法进行必要的民事活动。</w:t>
      </w:r>
    </w:p>
    <w:p w14:paraId="278E0E77" w14:textId="77777777" w:rsidR="00A931B6" w:rsidRDefault="000A2AB6">
      <w:pPr>
        <w:pStyle w:val="121"/>
        <w:spacing w:line="360" w:lineRule="auto"/>
        <w:ind w:firstLineChars="200" w:firstLine="480"/>
        <w:rPr>
          <w:bCs/>
          <w:sz w:val="24"/>
          <w:szCs w:val="20"/>
        </w:rPr>
      </w:pPr>
      <w:r>
        <w:rPr>
          <w:bCs/>
          <w:sz w:val="24"/>
          <w:szCs w:val="20"/>
        </w:rPr>
        <w:t>5.</w:t>
      </w:r>
      <w:r>
        <w:rPr>
          <w:bCs/>
          <w:sz w:val="24"/>
          <w:szCs w:val="20"/>
        </w:rPr>
        <w:t>基金财产清算程序：</w:t>
      </w:r>
    </w:p>
    <w:p w14:paraId="0FCDBD6E" w14:textId="77777777" w:rsidR="00A931B6" w:rsidRDefault="000A2AB6">
      <w:pPr>
        <w:pStyle w:val="121"/>
        <w:spacing w:line="360" w:lineRule="auto"/>
        <w:ind w:firstLineChars="200" w:firstLine="480"/>
        <w:rPr>
          <w:bCs/>
          <w:sz w:val="24"/>
          <w:szCs w:val="20"/>
        </w:rPr>
      </w:pPr>
      <w:r>
        <w:rPr>
          <w:bCs/>
          <w:sz w:val="24"/>
          <w:szCs w:val="20"/>
        </w:rPr>
        <w:t>（</w:t>
      </w:r>
      <w:r>
        <w:rPr>
          <w:bCs/>
          <w:sz w:val="24"/>
          <w:szCs w:val="20"/>
        </w:rPr>
        <w:t>1</w:t>
      </w:r>
      <w:r>
        <w:rPr>
          <w:bCs/>
          <w:sz w:val="24"/>
          <w:szCs w:val="20"/>
        </w:rPr>
        <w:t>）</w:t>
      </w:r>
      <w:r>
        <w:rPr>
          <w:bCs/>
          <w:sz w:val="24"/>
        </w:rPr>
        <w:t>基金财产清算小组成立后，</w:t>
      </w:r>
      <w:r>
        <w:rPr>
          <w:bCs/>
          <w:sz w:val="24"/>
          <w:szCs w:val="20"/>
        </w:rPr>
        <w:t>由基金财产清算小组统一接管基金；</w:t>
      </w:r>
    </w:p>
    <w:p w14:paraId="62E8E266" w14:textId="77777777" w:rsidR="00A931B6" w:rsidRDefault="000A2AB6">
      <w:pPr>
        <w:pStyle w:val="121"/>
        <w:spacing w:line="360" w:lineRule="auto"/>
        <w:ind w:firstLineChars="200" w:firstLine="480"/>
        <w:rPr>
          <w:bCs/>
          <w:sz w:val="24"/>
          <w:szCs w:val="20"/>
        </w:rPr>
      </w:pPr>
      <w:r>
        <w:rPr>
          <w:bCs/>
          <w:sz w:val="24"/>
          <w:szCs w:val="20"/>
        </w:rPr>
        <w:t>（</w:t>
      </w:r>
      <w:r>
        <w:rPr>
          <w:bCs/>
          <w:sz w:val="24"/>
          <w:szCs w:val="20"/>
        </w:rPr>
        <w:t>2</w:t>
      </w:r>
      <w:r>
        <w:rPr>
          <w:bCs/>
          <w:sz w:val="24"/>
          <w:szCs w:val="20"/>
        </w:rPr>
        <w:t>）对基金财产和债权债务进行清理和确认；</w:t>
      </w:r>
    </w:p>
    <w:p w14:paraId="1B426129" w14:textId="77777777" w:rsidR="00A931B6" w:rsidRDefault="000A2AB6">
      <w:pPr>
        <w:pStyle w:val="121"/>
        <w:spacing w:line="360" w:lineRule="auto"/>
        <w:ind w:firstLineChars="200" w:firstLine="480"/>
        <w:rPr>
          <w:bCs/>
          <w:sz w:val="24"/>
          <w:szCs w:val="20"/>
        </w:rPr>
      </w:pPr>
      <w:r>
        <w:rPr>
          <w:bCs/>
          <w:sz w:val="24"/>
          <w:szCs w:val="20"/>
        </w:rPr>
        <w:t>（</w:t>
      </w:r>
      <w:r>
        <w:rPr>
          <w:bCs/>
          <w:sz w:val="24"/>
          <w:szCs w:val="20"/>
        </w:rPr>
        <w:t>3</w:t>
      </w:r>
      <w:r>
        <w:rPr>
          <w:bCs/>
          <w:sz w:val="24"/>
          <w:szCs w:val="20"/>
        </w:rPr>
        <w:t>）对基金财产进行估值和变现；</w:t>
      </w:r>
    </w:p>
    <w:p w14:paraId="5C963045" w14:textId="77777777" w:rsidR="00A931B6" w:rsidRDefault="000A2AB6">
      <w:pPr>
        <w:pStyle w:val="121"/>
        <w:spacing w:line="360" w:lineRule="auto"/>
        <w:ind w:firstLineChars="200" w:firstLine="480"/>
        <w:rPr>
          <w:bCs/>
          <w:sz w:val="24"/>
          <w:szCs w:val="20"/>
        </w:rPr>
      </w:pPr>
      <w:r>
        <w:rPr>
          <w:bCs/>
          <w:sz w:val="24"/>
          <w:szCs w:val="20"/>
        </w:rPr>
        <w:t>（</w:t>
      </w:r>
      <w:r>
        <w:rPr>
          <w:bCs/>
          <w:sz w:val="24"/>
          <w:szCs w:val="20"/>
        </w:rPr>
        <w:t>4</w:t>
      </w:r>
      <w:r>
        <w:rPr>
          <w:bCs/>
          <w:sz w:val="24"/>
          <w:szCs w:val="20"/>
        </w:rPr>
        <w:t>）制作清算报告；</w:t>
      </w:r>
    </w:p>
    <w:p w14:paraId="08C6A0C2" w14:textId="77777777" w:rsidR="00A931B6" w:rsidRDefault="000A2AB6">
      <w:pPr>
        <w:pStyle w:val="121"/>
        <w:spacing w:line="360" w:lineRule="auto"/>
        <w:ind w:firstLineChars="200" w:firstLine="480"/>
        <w:rPr>
          <w:bCs/>
          <w:sz w:val="24"/>
          <w:szCs w:val="20"/>
        </w:rPr>
      </w:pPr>
      <w:r>
        <w:rPr>
          <w:bCs/>
          <w:sz w:val="24"/>
          <w:szCs w:val="20"/>
        </w:rPr>
        <w:t>（</w:t>
      </w:r>
      <w:r>
        <w:rPr>
          <w:bCs/>
          <w:sz w:val="24"/>
          <w:szCs w:val="20"/>
        </w:rPr>
        <w:t>5</w:t>
      </w:r>
      <w:r>
        <w:rPr>
          <w:bCs/>
          <w:sz w:val="24"/>
          <w:szCs w:val="20"/>
        </w:rPr>
        <w:t>）聘请会计师事务所对清算报告进行外部审计，聘请律师事务所对清算报告出具法律意见书；</w:t>
      </w:r>
    </w:p>
    <w:p w14:paraId="4711F636" w14:textId="77777777" w:rsidR="00A931B6" w:rsidRDefault="000A2AB6">
      <w:pPr>
        <w:pStyle w:val="121"/>
        <w:spacing w:line="360" w:lineRule="auto"/>
        <w:ind w:firstLineChars="200" w:firstLine="480"/>
        <w:rPr>
          <w:bCs/>
          <w:sz w:val="24"/>
          <w:szCs w:val="20"/>
        </w:rPr>
      </w:pPr>
      <w:r>
        <w:rPr>
          <w:bCs/>
          <w:sz w:val="24"/>
          <w:szCs w:val="20"/>
        </w:rPr>
        <w:t>（</w:t>
      </w:r>
      <w:r>
        <w:rPr>
          <w:bCs/>
          <w:sz w:val="24"/>
          <w:szCs w:val="20"/>
        </w:rPr>
        <w:t>6</w:t>
      </w:r>
      <w:r>
        <w:rPr>
          <w:bCs/>
          <w:sz w:val="24"/>
          <w:szCs w:val="20"/>
        </w:rPr>
        <w:t>）将清算报告报中国证监会备案并公告；</w:t>
      </w:r>
    </w:p>
    <w:p w14:paraId="171F5740" w14:textId="77777777" w:rsidR="00A931B6" w:rsidRDefault="000A2AB6">
      <w:pPr>
        <w:pStyle w:val="121"/>
        <w:spacing w:line="360" w:lineRule="auto"/>
        <w:ind w:firstLineChars="200" w:firstLine="480"/>
        <w:rPr>
          <w:bCs/>
          <w:sz w:val="24"/>
          <w:szCs w:val="20"/>
        </w:rPr>
      </w:pPr>
      <w:r>
        <w:rPr>
          <w:bCs/>
          <w:sz w:val="24"/>
          <w:szCs w:val="20"/>
        </w:rPr>
        <w:t>（</w:t>
      </w:r>
      <w:r>
        <w:rPr>
          <w:bCs/>
          <w:sz w:val="24"/>
          <w:szCs w:val="20"/>
        </w:rPr>
        <w:t>7</w:t>
      </w:r>
      <w:r>
        <w:rPr>
          <w:bCs/>
          <w:sz w:val="24"/>
          <w:szCs w:val="20"/>
        </w:rPr>
        <w:t>）对基金剩余财产进行分配。</w:t>
      </w:r>
    </w:p>
    <w:p w14:paraId="2862FFBA" w14:textId="77777777" w:rsidR="00A931B6" w:rsidRDefault="000A2AB6">
      <w:pPr>
        <w:pStyle w:val="121"/>
        <w:spacing w:line="360" w:lineRule="auto"/>
        <w:ind w:firstLineChars="200" w:firstLine="480"/>
        <w:rPr>
          <w:rFonts w:ascii="宋体" w:hAnsi="宋体"/>
          <w:sz w:val="24"/>
        </w:rPr>
      </w:pPr>
      <w:r>
        <w:rPr>
          <w:bCs/>
          <w:sz w:val="24"/>
          <w:szCs w:val="20"/>
        </w:rPr>
        <w:t>6.</w:t>
      </w:r>
      <w:r>
        <w:rPr>
          <w:bCs/>
          <w:sz w:val="24"/>
          <w:szCs w:val="20"/>
        </w:rPr>
        <w:t>基金财产清算的期限为</w:t>
      </w:r>
      <w:r>
        <w:rPr>
          <w:bCs/>
          <w:sz w:val="24"/>
          <w:szCs w:val="20"/>
        </w:rPr>
        <w:t>6</w:t>
      </w:r>
      <w:r>
        <w:rPr>
          <w:bCs/>
          <w:sz w:val="24"/>
          <w:szCs w:val="20"/>
        </w:rPr>
        <w:t>个月，但因本基金所持证券的流动性受到限制而不能及时变现</w:t>
      </w:r>
      <w:r>
        <w:rPr>
          <w:rFonts w:hint="eastAsia"/>
          <w:bCs/>
          <w:sz w:val="24"/>
          <w:szCs w:val="20"/>
        </w:rPr>
        <w:t>、结算保证金相关规定等客观因素</w:t>
      </w:r>
      <w:r>
        <w:rPr>
          <w:bCs/>
          <w:sz w:val="24"/>
          <w:szCs w:val="20"/>
        </w:rPr>
        <w:t>，清算期限相应顺延。</w:t>
      </w:r>
    </w:p>
    <w:p w14:paraId="78F9555D" w14:textId="77777777" w:rsidR="00A931B6" w:rsidRDefault="000A2AB6">
      <w:pPr>
        <w:pStyle w:val="121"/>
        <w:spacing w:line="360" w:lineRule="auto"/>
        <w:ind w:firstLineChars="200" w:firstLine="480"/>
        <w:rPr>
          <w:rFonts w:ascii="宋体" w:hAnsi="宋体"/>
          <w:sz w:val="24"/>
        </w:rPr>
      </w:pPr>
      <w:r>
        <w:rPr>
          <w:rFonts w:ascii="宋体" w:hAnsi="宋体"/>
          <w:sz w:val="24"/>
        </w:rPr>
        <w:t>7.清算费用</w:t>
      </w:r>
    </w:p>
    <w:p w14:paraId="104CC5FA" w14:textId="77777777" w:rsidR="00A931B6" w:rsidRDefault="000A2AB6">
      <w:pPr>
        <w:pStyle w:val="121"/>
        <w:spacing w:line="360" w:lineRule="auto"/>
        <w:ind w:firstLineChars="200" w:firstLine="480"/>
        <w:rPr>
          <w:rFonts w:ascii="宋体" w:hAnsi="宋体"/>
          <w:sz w:val="24"/>
        </w:rPr>
      </w:pPr>
      <w:r>
        <w:rPr>
          <w:rFonts w:ascii="宋体" w:hAnsi="宋体"/>
          <w:sz w:val="24"/>
        </w:rPr>
        <w:t>清算费用是指基金财产清算小组在进行基金清算过程中发生的所有合理费用，清算费用由基金财产清算小组优先从基金财产中支付。</w:t>
      </w:r>
    </w:p>
    <w:p w14:paraId="6C53BE97" w14:textId="77777777" w:rsidR="00A931B6" w:rsidRDefault="000A2AB6">
      <w:pPr>
        <w:pStyle w:val="121"/>
        <w:spacing w:line="360" w:lineRule="auto"/>
        <w:ind w:firstLineChars="200" w:firstLine="480"/>
        <w:rPr>
          <w:rFonts w:ascii="宋体" w:hAnsi="宋体"/>
          <w:sz w:val="24"/>
        </w:rPr>
      </w:pPr>
      <w:r>
        <w:rPr>
          <w:rFonts w:ascii="宋体" w:hAnsi="宋体"/>
          <w:sz w:val="24"/>
        </w:rPr>
        <w:t>8.基金财产清算剩余资产的分配</w:t>
      </w:r>
    </w:p>
    <w:p w14:paraId="63C39E97" w14:textId="77777777" w:rsidR="00A931B6" w:rsidRDefault="000A2AB6">
      <w:pPr>
        <w:pStyle w:val="121"/>
        <w:spacing w:line="360" w:lineRule="auto"/>
        <w:ind w:firstLineChars="200" w:firstLine="480"/>
        <w:rPr>
          <w:rFonts w:ascii="宋体" w:hAnsi="宋体"/>
          <w:sz w:val="24"/>
        </w:rPr>
      </w:pPr>
      <w:r>
        <w:rPr>
          <w:rFonts w:ascii="宋体" w:hAnsi="宋体"/>
          <w:sz w:val="24"/>
        </w:rPr>
        <w:t>依据基金财产清算的分配方案，将基金财产清算后的全部剩余资产扣除基金财产清算费用、交纳所欠税款并清偿基金债务后，</w:t>
      </w:r>
      <w:r>
        <w:rPr>
          <w:rFonts w:ascii="宋体" w:hAnsi="宋体" w:hint="eastAsia"/>
          <w:sz w:val="24"/>
        </w:rPr>
        <w:t>按各类基金份额资产净值的比例确定剩余财产在各类基金份额中的分配比例，并在各类基金份额可分配的剩余财产范围内按各类别基金份额持有人持有的该类基金份额比例进行分配。同一类别的基金份额持有人对基金财产清算后本类别基金份额的剩余资产具有同等的分配权</w:t>
      </w:r>
      <w:r>
        <w:rPr>
          <w:rFonts w:ascii="宋体" w:hAnsi="宋体"/>
          <w:sz w:val="24"/>
        </w:rPr>
        <w:t>。</w:t>
      </w:r>
    </w:p>
    <w:p w14:paraId="62A7EAE2" w14:textId="77777777" w:rsidR="00A931B6" w:rsidRDefault="000A2AB6">
      <w:pPr>
        <w:pStyle w:val="121"/>
        <w:spacing w:line="360" w:lineRule="auto"/>
        <w:ind w:firstLineChars="200" w:firstLine="480"/>
        <w:rPr>
          <w:rFonts w:ascii="宋体" w:hAnsi="宋体"/>
          <w:sz w:val="24"/>
        </w:rPr>
      </w:pPr>
      <w:r>
        <w:rPr>
          <w:rFonts w:ascii="宋体" w:hAnsi="宋体"/>
          <w:sz w:val="24"/>
        </w:rPr>
        <w:t>9.基金财产清算的公告</w:t>
      </w:r>
    </w:p>
    <w:p w14:paraId="5EEACCBF" w14:textId="77777777" w:rsidR="00A931B6" w:rsidRDefault="000A2AB6">
      <w:pPr>
        <w:pStyle w:val="121"/>
        <w:autoSpaceDE w:val="0"/>
        <w:autoSpaceDN w:val="0"/>
        <w:spacing w:line="360" w:lineRule="auto"/>
        <w:ind w:firstLine="420"/>
        <w:jc w:val="left"/>
        <w:rPr>
          <w:rFonts w:ascii="宋体"/>
          <w:sz w:val="24"/>
        </w:rPr>
      </w:pPr>
      <w:r>
        <w:rPr>
          <w:rFonts w:ascii="宋体" w:hAnsi="宋体"/>
          <w:sz w:val="24"/>
        </w:rPr>
        <w:t>清算过程中的有关重大事项</w:t>
      </w:r>
      <w:r>
        <w:rPr>
          <w:rFonts w:ascii="宋体" w:hAnsi="宋体" w:hint="eastAsia"/>
          <w:sz w:val="24"/>
        </w:rPr>
        <w:t>应</w:t>
      </w:r>
      <w:r>
        <w:rPr>
          <w:rFonts w:ascii="宋体" w:hAnsi="宋体"/>
          <w:sz w:val="24"/>
        </w:rPr>
        <w:t>及时公告。基金财产清算报告经符合《证券法》规定的会计师事务所审计并由律师事务所出具法律意见书后报中国证监会备案并公告。基金财产清算报告报中国证监会备案后5个工作日内由基金财产清算小组进行公告，基金财产清算小组应当将清算报告登载在规定网站上，并将清算报告提示性公告登载在规定报刊上。</w:t>
      </w:r>
    </w:p>
    <w:p w14:paraId="70BDA3C2" w14:textId="77777777" w:rsidR="00A931B6" w:rsidRDefault="000A2AB6">
      <w:pPr>
        <w:pStyle w:val="121"/>
        <w:spacing w:line="360" w:lineRule="auto"/>
        <w:ind w:firstLineChars="200" w:firstLine="480"/>
        <w:rPr>
          <w:rFonts w:ascii="宋体"/>
          <w:sz w:val="24"/>
        </w:rPr>
      </w:pPr>
      <w:r>
        <w:rPr>
          <w:rFonts w:ascii="宋体" w:hAnsi="宋体"/>
          <w:sz w:val="24"/>
        </w:rPr>
        <w:t>10.基金财产清算账册及文件的保存</w:t>
      </w:r>
    </w:p>
    <w:p w14:paraId="36404AA7" w14:textId="77777777" w:rsidR="00A931B6" w:rsidRDefault="000A2AB6">
      <w:pPr>
        <w:pStyle w:val="121"/>
        <w:spacing w:line="360" w:lineRule="auto"/>
        <w:ind w:firstLineChars="200" w:firstLine="480"/>
        <w:rPr>
          <w:rFonts w:ascii="宋体"/>
          <w:sz w:val="24"/>
        </w:rPr>
      </w:pPr>
      <w:r>
        <w:rPr>
          <w:rFonts w:ascii="宋体" w:hAnsi="宋体"/>
          <w:sz w:val="24"/>
        </w:rPr>
        <w:lastRenderedPageBreak/>
        <w:t>基金财产清算账册及有关文件由基金托管人保存，保存</w:t>
      </w:r>
      <w:r>
        <w:rPr>
          <w:rFonts w:ascii="宋体" w:hAnsi="宋体" w:hint="eastAsia"/>
          <w:sz w:val="24"/>
        </w:rPr>
        <w:t>期</w:t>
      </w:r>
      <w:r>
        <w:rPr>
          <w:rFonts w:ascii="宋体" w:hAnsi="宋体"/>
          <w:sz w:val="24"/>
        </w:rPr>
        <w:t>限不低于法律法规规定的最低</w:t>
      </w:r>
      <w:r>
        <w:rPr>
          <w:rFonts w:ascii="宋体" w:hAnsi="宋体" w:hint="eastAsia"/>
          <w:sz w:val="24"/>
        </w:rPr>
        <w:t>年</w:t>
      </w:r>
      <w:r>
        <w:rPr>
          <w:rFonts w:ascii="宋体" w:hAnsi="宋体"/>
          <w:sz w:val="24"/>
        </w:rPr>
        <w:t>限。</w:t>
      </w:r>
      <w:bookmarkStart w:id="109" w:name="_Toc125892453"/>
    </w:p>
    <w:p w14:paraId="5B7CC833" w14:textId="77777777" w:rsidR="00A931B6" w:rsidRDefault="000A2AB6">
      <w:pPr>
        <w:pStyle w:val="113"/>
      </w:pPr>
      <w:bookmarkStart w:id="110" w:name="_Toc65162016"/>
      <w:r>
        <w:t>十七、违约责任</w:t>
      </w:r>
      <w:bookmarkEnd w:id="105"/>
      <w:bookmarkEnd w:id="106"/>
      <w:bookmarkEnd w:id="107"/>
      <w:bookmarkEnd w:id="109"/>
      <w:bookmarkEnd w:id="110"/>
    </w:p>
    <w:p w14:paraId="5D193D11" w14:textId="77777777" w:rsidR="00A931B6" w:rsidRDefault="000A2AB6">
      <w:pPr>
        <w:pStyle w:val="121"/>
        <w:tabs>
          <w:tab w:val="left" w:pos="3780"/>
        </w:tabs>
        <w:autoSpaceDE w:val="0"/>
        <w:autoSpaceDN w:val="0"/>
        <w:spacing w:before="156" w:after="156" w:line="360" w:lineRule="auto"/>
        <w:outlineLvl w:val="0"/>
        <w:rPr>
          <w:b/>
          <w:sz w:val="24"/>
        </w:rPr>
      </w:pPr>
      <w:r>
        <w:rPr>
          <w:b/>
          <w:sz w:val="24"/>
        </w:rPr>
        <w:t>（一）基金管理人或基金托管人不履行本协议或履行本协议不符合约定的，应当承担违约责任。</w:t>
      </w:r>
    </w:p>
    <w:p w14:paraId="2C48AEA3" w14:textId="77777777" w:rsidR="00A931B6" w:rsidRDefault="000A2AB6">
      <w:pPr>
        <w:pStyle w:val="121"/>
        <w:tabs>
          <w:tab w:val="left" w:pos="3780"/>
        </w:tabs>
        <w:autoSpaceDE w:val="0"/>
        <w:autoSpaceDN w:val="0"/>
        <w:spacing w:before="156" w:after="156" w:line="360" w:lineRule="auto"/>
        <w:outlineLvl w:val="0"/>
        <w:rPr>
          <w:b/>
          <w:sz w:val="24"/>
        </w:rPr>
      </w:pPr>
      <w:r>
        <w:rPr>
          <w:b/>
          <w:sz w:val="24"/>
        </w:rPr>
        <w:t>（二）</w:t>
      </w:r>
      <w:bookmarkStart w:id="111" w:name="OLE_LINK3"/>
      <w:r>
        <w:rPr>
          <w:b/>
          <w:sz w:val="24"/>
        </w:rPr>
        <w:t>基金管理人、基金托管人在履行各自职责的过程中，违反《基金法》</w:t>
      </w:r>
      <w:r>
        <w:rPr>
          <w:rFonts w:hint="eastAsia"/>
          <w:b/>
          <w:sz w:val="24"/>
        </w:rPr>
        <w:t>等法律法规的</w:t>
      </w:r>
      <w:r>
        <w:rPr>
          <w:b/>
          <w:sz w:val="24"/>
        </w:rPr>
        <w:t>规定或者</w:t>
      </w:r>
      <w:r>
        <w:rPr>
          <w:rFonts w:hint="eastAsia"/>
          <w:b/>
          <w:sz w:val="24"/>
        </w:rPr>
        <w:t>基金合同、</w:t>
      </w:r>
      <w:r>
        <w:rPr>
          <w:b/>
          <w:sz w:val="24"/>
        </w:rPr>
        <w:t>本托管协议</w:t>
      </w:r>
      <w:r>
        <w:rPr>
          <w:rFonts w:ascii="宋体" w:hAnsi="宋体"/>
          <w:b/>
          <w:bCs/>
          <w:sz w:val="24"/>
        </w:rPr>
        <w:t>约定</w:t>
      </w:r>
      <w:r>
        <w:rPr>
          <w:b/>
          <w:sz w:val="24"/>
        </w:rPr>
        <w:t>，给基金财产或者基金份额持有人造成损害的，应当分别对各自的行为依法承担赔偿责任；因共同行为给基金财产或者基金份额持有人造成损害的，应当承担连带赔偿责任，对损失的赔偿，仅限于直接损失。</w:t>
      </w:r>
      <w:bookmarkEnd w:id="111"/>
      <w:r>
        <w:rPr>
          <w:b/>
          <w:sz w:val="24"/>
        </w:rPr>
        <w:t>但是发生下列情况，</w:t>
      </w:r>
      <w:r>
        <w:rPr>
          <w:rFonts w:hint="eastAsia"/>
          <w:b/>
          <w:sz w:val="24"/>
        </w:rPr>
        <w:t>相应的</w:t>
      </w:r>
      <w:r>
        <w:rPr>
          <w:b/>
          <w:sz w:val="24"/>
        </w:rPr>
        <w:t>当事人应当免责：</w:t>
      </w:r>
    </w:p>
    <w:p w14:paraId="7B60678C" w14:textId="77777777" w:rsidR="00A931B6" w:rsidRDefault="000A2AB6">
      <w:pPr>
        <w:pStyle w:val="121"/>
        <w:spacing w:line="360" w:lineRule="auto"/>
        <w:ind w:firstLineChars="200" w:firstLine="480"/>
        <w:rPr>
          <w:rFonts w:ascii="宋体"/>
          <w:sz w:val="24"/>
        </w:rPr>
      </w:pPr>
      <w:r>
        <w:rPr>
          <w:rFonts w:ascii="宋体" w:hAnsi="宋体"/>
          <w:sz w:val="24"/>
        </w:rPr>
        <w:t>1.基金管理人和/或基金托管人按照</w:t>
      </w:r>
      <w:r>
        <w:rPr>
          <w:rFonts w:hint="eastAsia"/>
          <w:bCs/>
          <w:sz w:val="24"/>
        </w:rPr>
        <w:t>当时有效的法律法规、规章或中国证监会等监管机构</w:t>
      </w:r>
      <w:r>
        <w:rPr>
          <w:rFonts w:ascii="宋体" w:hAnsi="宋体"/>
          <w:sz w:val="24"/>
        </w:rPr>
        <w:t>的规定作为或不作为而造成的损失等；</w:t>
      </w:r>
    </w:p>
    <w:p w14:paraId="3C7158E0" w14:textId="77777777" w:rsidR="00A931B6" w:rsidRDefault="000A2AB6">
      <w:pPr>
        <w:pStyle w:val="121"/>
        <w:spacing w:line="360" w:lineRule="auto"/>
        <w:ind w:firstLineChars="200" w:firstLine="480"/>
        <w:rPr>
          <w:rFonts w:ascii="宋体"/>
          <w:sz w:val="24"/>
        </w:rPr>
      </w:pPr>
      <w:r>
        <w:rPr>
          <w:rFonts w:ascii="宋体" w:hAnsi="宋体"/>
          <w:sz w:val="24"/>
        </w:rPr>
        <w:t>2.基金管理人按照《基金合同》</w:t>
      </w:r>
      <w:r>
        <w:rPr>
          <w:rFonts w:ascii="宋体" w:hAnsi="宋体" w:hint="eastAsia"/>
          <w:sz w:val="24"/>
        </w:rPr>
        <w:t>约</w:t>
      </w:r>
      <w:r>
        <w:rPr>
          <w:rFonts w:ascii="宋体" w:hAnsi="宋体"/>
          <w:sz w:val="24"/>
        </w:rPr>
        <w:t>定的投资原则投资或不投资而造成的损失等；</w:t>
      </w:r>
    </w:p>
    <w:p w14:paraId="636B5C52" w14:textId="77777777" w:rsidR="00A931B6" w:rsidRDefault="000A2AB6">
      <w:pPr>
        <w:pStyle w:val="121"/>
        <w:spacing w:line="360" w:lineRule="auto"/>
        <w:ind w:firstLineChars="200" w:firstLine="480"/>
        <w:rPr>
          <w:rFonts w:ascii="宋体" w:hAnsi="宋体"/>
          <w:sz w:val="24"/>
        </w:rPr>
      </w:pPr>
      <w:r>
        <w:rPr>
          <w:rFonts w:ascii="宋体" w:hAnsi="宋体"/>
          <w:sz w:val="24"/>
        </w:rPr>
        <w:t>3.不可抗力</w:t>
      </w:r>
      <w:r>
        <w:rPr>
          <w:rFonts w:ascii="宋体" w:hAnsi="宋体" w:hint="eastAsia"/>
          <w:sz w:val="24"/>
        </w:rPr>
        <w:t>；</w:t>
      </w:r>
    </w:p>
    <w:p w14:paraId="28C1928D" w14:textId="77777777" w:rsidR="00A931B6" w:rsidRDefault="000A2AB6">
      <w:pPr>
        <w:pStyle w:val="121"/>
        <w:spacing w:line="360" w:lineRule="auto"/>
        <w:ind w:firstLineChars="200" w:firstLine="480"/>
        <w:rPr>
          <w:rFonts w:ascii="宋体" w:hAnsi="宋体"/>
          <w:sz w:val="24"/>
        </w:rPr>
      </w:pPr>
      <w:r>
        <w:rPr>
          <w:rFonts w:ascii="宋体" w:hAnsi="宋体"/>
          <w:sz w:val="24"/>
        </w:rPr>
        <w:t>4.托管人对存放或存管在托管人以外机构的基金资产，或交由期货公司等其他机构负责清算交收的资产（包括但不限于保证金账户内资金等）及其收益，由于该等机构故意、欺诈、疏忽、过失或破产等原因给基金资产造成的损失等</w:t>
      </w:r>
      <w:r>
        <w:rPr>
          <w:rFonts w:ascii="宋体" w:hAnsi="宋体" w:hint="eastAsia"/>
          <w:sz w:val="24"/>
        </w:rPr>
        <w:t>；</w:t>
      </w:r>
    </w:p>
    <w:p w14:paraId="2520001E" w14:textId="77777777" w:rsidR="00A931B6" w:rsidRDefault="000A2AB6">
      <w:pPr>
        <w:pStyle w:val="121"/>
        <w:spacing w:line="360" w:lineRule="auto"/>
        <w:ind w:firstLineChars="200" w:firstLine="480"/>
        <w:rPr>
          <w:rFonts w:ascii="宋体" w:hAnsi="宋体"/>
          <w:b/>
          <w:bCs/>
          <w:sz w:val="24"/>
          <w:szCs w:val="20"/>
        </w:rPr>
      </w:pPr>
      <w:r>
        <w:rPr>
          <w:rFonts w:ascii="宋体" w:hAnsi="宋体"/>
          <w:sz w:val="24"/>
        </w:rPr>
        <w:t>5.托管人由于执行管理人符合法律法规</w:t>
      </w:r>
      <w:r>
        <w:rPr>
          <w:rFonts w:ascii="宋体" w:hAnsi="宋体" w:hint="eastAsia"/>
          <w:sz w:val="24"/>
        </w:rPr>
        <w:t>规定</w:t>
      </w:r>
      <w:r>
        <w:rPr>
          <w:rFonts w:ascii="宋体" w:hAnsi="宋体"/>
          <w:sz w:val="24"/>
        </w:rPr>
        <w:t>及</w:t>
      </w:r>
      <w:r>
        <w:rPr>
          <w:rFonts w:ascii="宋体" w:hAnsi="宋体" w:hint="eastAsia"/>
          <w:sz w:val="24"/>
        </w:rPr>
        <w:t>基金合同、</w:t>
      </w:r>
      <w:r>
        <w:rPr>
          <w:rFonts w:ascii="宋体" w:hAnsi="宋体"/>
          <w:sz w:val="24"/>
        </w:rPr>
        <w:t>本</w:t>
      </w:r>
      <w:r>
        <w:rPr>
          <w:rFonts w:ascii="宋体" w:hAnsi="宋体" w:hint="eastAsia"/>
          <w:sz w:val="24"/>
        </w:rPr>
        <w:t>协议</w:t>
      </w:r>
      <w:r>
        <w:rPr>
          <w:rFonts w:ascii="宋体" w:hAnsi="宋体"/>
          <w:sz w:val="24"/>
        </w:rPr>
        <w:t>约定的指令而造成的损失等</w:t>
      </w:r>
      <w:r>
        <w:rPr>
          <w:rFonts w:ascii="宋体" w:hAnsi="宋体" w:hint="eastAsia"/>
          <w:sz w:val="24"/>
        </w:rPr>
        <w:t>。</w:t>
      </w:r>
    </w:p>
    <w:p w14:paraId="57B15105" w14:textId="77777777" w:rsidR="00A931B6" w:rsidRDefault="000A2AB6">
      <w:pPr>
        <w:pStyle w:val="121"/>
        <w:spacing w:line="360" w:lineRule="auto"/>
        <w:ind w:firstLineChars="200" w:firstLine="480"/>
        <w:rPr>
          <w:rFonts w:ascii="宋体"/>
          <w:sz w:val="24"/>
        </w:rPr>
      </w:pPr>
      <w:r>
        <w:rPr>
          <w:rFonts w:ascii="宋体" w:hAnsi="宋体"/>
          <w:sz w:val="24"/>
        </w:rPr>
        <w:t>如果由于本协议一方当事人（“违约方”）的违约行为给基金资产或基金投资者造成损失，而另一方当事人（“守约方”）赔偿了基金资产或基金投资者的损失，则守约方有权向违约方追索由此遭受的所有直接损失。</w:t>
      </w:r>
    </w:p>
    <w:p w14:paraId="487E09A7" w14:textId="77777777" w:rsidR="00A931B6" w:rsidRDefault="000A2AB6">
      <w:pPr>
        <w:pStyle w:val="121"/>
        <w:spacing w:line="360" w:lineRule="auto"/>
        <w:ind w:firstLineChars="200" w:firstLine="480"/>
        <w:rPr>
          <w:rFonts w:ascii="宋体"/>
          <w:sz w:val="24"/>
        </w:rPr>
      </w:pPr>
      <w:r>
        <w:rPr>
          <w:rFonts w:ascii="宋体" w:hAnsi="宋体"/>
          <w:sz w:val="24"/>
        </w:rPr>
        <w:t>当事人一方违约，另一方在职责范围内有义务及时采取必要的措施，尽力防止损失的扩大。没有采取适当措施致使损失进一步扩大的，不得就扩大的损失要求赔偿。非违约方因防止损失扩大而支出的合理费用由违约方承担。</w:t>
      </w:r>
    </w:p>
    <w:p w14:paraId="26452788" w14:textId="77777777" w:rsidR="00A931B6" w:rsidRDefault="000A2AB6">
      <w:pPr>
        <w:pStyle w:val="121"/>
        <w:spacing w:line="360" w:lineRule="auto"/>
        <w:ind w:firstLineChars="200" w:firstLine="480"/>
        <w:rPr>
          <w:rFonts w:ascii="宋体"/>
          <w:sz w:val="24"/>
        </w:rPr>
      </w:pPr>
      <w:r>
        <w:rPr>
          <w:rFonts w:ascii="宋体" w:hAnsi="宋体"/>
          <w:sz w:val="24"/>
        </w:rPr>
        <w:t>由于</w:t>
      </w:r>
      <w:r>
        <w:rPr>
          <w:rFonts w:ascii="宋体" w:hAnsi="宋体" w:hint="eastAsia"/>
          <w:sz w:val="24"/>
        </w:rPr>
        <w:t>包括但不限于指数编制公司发送的数据不充分、不准确、不及时、不完整等</w:t>
      </w:r>
      <w:r>
        <w:rPr>
          <w:rFonts w:ascii="宋体" w:hAnsi="宋体"/>
          <w:sz w:val="24"/>
        </w:rPr>
        <w:t>基金管理人、基金托管人不可控制的因素导致业务出现差错，基金管理人和</w:t>
      </w:r>
      <w:r>
        <w:rPr>
          <w:rFonts w:ascii="宋体" w:hAnsi="宋体"/>
          <w:sz w:val="24"/>
        </w:rPr>
        <w:lastRenderedPageBreak/>
        <w:t>基金托管人虽然已经采取必要、适当、合理的措施进行检查，</w:t>
      </w:r>
      <w:r>
        <w:rPr>
          <w:rFonts w:ascii="宋体" w:hAnsi="宋体" w:hint="eastAsia"/>
          <w:sz w:val="24"/>
        </w:rPr>
        <w:t>仍</w:t>
      </w:r>
      <w:r>
        <w:rPr>
          <w:rFonts w:ascii="宋体" w:hAnsi="宋体"/>
          <w:sz w:val="24"/>
        </w:rPr>
        <w:t>未能发现错误</w:t>
      </w:r>
      <w:r>
        <w:rPr>
          <w:rFonts w:ascii="宋体" w:hAnsi="宋体" w:hint="eastAsia"/>
          <w:sz w:val="24"/>
        </w:rPr>
        <w:t>或因前述原因未能避免或更正错误</w:t>
      </w:r>
      <w:r>
        <w:rPr>
          <w:rFonts w:ascii="宋体" w:hAnsi="宋体"/>
          <w:sz w:val="24"/>
        </w:rPr>
        <w:t>的，由此造成基金资产或基金投资者损失，基金管理人和基金托管人免除赔偿责任。但基金管理人和基金托管人应当积极采取必要的措施消除或</w:t>
      </w:r>
      <w:r>
        <w:rPr>
          <w:rFonts w:ascii="宋体" w:hAnsi="宋体" w:hint="eastAsia"/>
          <w:sz w:val="24"/>
        </w:rPr>
        <w:t>减轻</w:t>
      </w:r>
      <w:r>
        <w:rPr>
          <w:rFonts w:ascii="宋体" w:hAnsi="宋体"/>
          <w:sz w:val="24"/>
        </w:rPr>
        <w:t>由此造成的影响。</w:t>
      </w:r>
    </w:p>
    <w:p w14:paraId="460A5A68" w14:textId="77777777" w:rsidR="00A931B6" w:rsidRDefault="000A2AB6">
      <w:pPr>
        <w:pStyle w:val="121"/>
        <w:tabs>
          <w:tab w:val="left" w:pos="3780"/>
        </w:tabs>
        <w:autoSpaceDE w:val="0"/>
        <w:autoSpaceDN w:val="0"/>
        <w:spacing w:before="156" w:after="156" w:line="360" w:lineRule="auto"/>
        <w:outlineLvl w:val="0"/>
        <w:rPr>
          <w:b/>
          <w:sz w:val="24"/>
        </w:rPr>
      </w:pPr>
      <w:r>
        <w:rPr>
          <w:b/>
          <w:sz w:val="24"/>
        </w:rPr>
        <w:t>（三）托管</w:t>
      </w:r>
      <w:r>
        <w:rPr>
          <w:rFonts w:ascii="宋体" w:hAnsi="宋体"/>
          <w:b/>
          <w:bCs/>
          <w:sz w:val="24"/>
        </w:rPr>
        <w:t>协议</w:t>
      </w:r>
      <w:r>
        <w:rPr>
          <w:b/>
          <w:sz w:val="24"/>
        </w:rPr>
        <w:t>当事人违反托管协议，给另一方当事人造成损失的，应承担赔偿责任。</w:t>
      </w:r>
    </w:p>
    <w:p w14:paraId="163B24FF" w14:textId="77777777" w:rsidR="00A931B6" w:rsidRDefault="000A2AB6">
      <w:pPr>
        <w:pStyle w:val="121"/>
        <w:tabs>
          <w:tab w:val="left" w:pos="3780"/>
        </w:tabs>
        <w:autoSpaceDE w:val="0"/>
        <w:autoSpaceDN w:val="0"/>
        <w:spacing w:before="156" w:after="156" w:line="360" w:lineRule="auto"/>
        <w:outlineLvl w:val="0"/>
        <w:rPr>
          <w:b/>
          <w:sz w:val="24"/>
        </w:rPr>
      </w:pPr>
      <w:r>
        <w:rPr>
          <w:b/>
          <w:sz w:val="24"/>
        </w:rPr>
        <w:t>（四）违约行为虽已发生，但本托管协议能够继续履行的，在最大限度地保护基金份额持有人</w:t>
      </w:r>
      <w:r>
        <w:rPr>
          <w:rFonts w:ascii="宋体" w:hAnsi="宋体"/>
          <w:b/>
          <w:bCs/>
          <w:sz w:val="24"/>
        </w:rPr>
        <w:t>利益</w:t>
      </w:r>
      <w:r>
        <w:rPr>
          <w:b/>
          <w:sz w:val="24"/>
        </w:rPr>
        <w:t>的前提下，基金管理人和基金托管人应当继续履行本协议。</w:t>
      </w:r>
      <w:bookmarkStart w:id="112" w:name="_Toc22454480"/>
      <w:bookmarkStart w:id="113" w:name="_Toc466788868"/>
      <w:bookmarkStart w:id="114" w:name="_Toc523830010"/>
      <w:bookmarkStart w:id="115" w:name="_Toc125892454"/>
    </w:p>
    <w:p w14:paraId="7606FC9C" w14:textId="77777777" w:rsidR="00A931B6" w:rsidRDefault="000A2AB6">
      <w:pPr>
        <w:pStyle w:val="121"/>
        <w:tabs>
          <w:tab w:val="left" w:pos="3780"/>
        </w:tabs>
        <w:autoSpaceDE w:val="0"/>
        <w:autoSpaceDN w:val="0"/>
        <w:spacing w:before="156" w:after="156" w:line="360" w:lineRule="auto"/>
        <w:outlineLvl w:val="0"/>
        <w:rPr>
          <w:b/>
          <w:sz w:val="24"/>
        </w:rPr>
      </w:pPr>
      <w:r>
        <w:rPr>
          <w:b/>
          <w:sz w:val="24"/>
        </w:rPr>
        <w:t>（五）本协议所指损失均为直接损失。</w:t>
      </w:r>
    </w:p>
    <w:p w14:paraId="0515F2CC" w14:textId="77777777" w:rsidR="00A931B6" w:rsidRDefault="000A2AB6">
      <w:pPr>
        <w:pStyle w:val="113"/>
      </w:pPr>
      <w:bookmarkStart w:id="116" w:name="_Toc65162017"/>
      <w:r>
        <w:t>十八、争议</w:t>
      </w:r>
      <w:bookmarkEnd w:id="112"/>
      <w:bookmarkEnd w:id="113"/>
      <w:bookmarkEnd w:id="114"/>
      <w:r>
        <w:t>解决方式</w:t>
      </w:r>
      <w:bookmarkEnd w:id="115"/>
      <w:bookmarkEnd w:id="116"/>
    </w:p>
    <w:p w14:paraId="361034FB" w14:textId="77777777" w:rsidR="00A931B6" w:rsidRDefault="000A2AB6">
      <w:pPr>
        <w:pStyle w:val="121"/>
        <w:spacing w:line="360" w:lineRule="auto"/>
        <w:ind w:firstLineChars="200" w:firstLine="480"/>
        <w:rPr>
          <w:rFonts w:ascii="宋体"/>
          <w:sz w:val="24"/>
        </w:rPr>
      </w:pPr>
      <w:r>
        <w:rPr>
          <w:rFonts w:ascii="宋体" w:hAnsi="宋体"/>
          <w:sz w:val="24"/>
        </w:rPr>
        <w:t>双方当事人同意，因本协议而产生的或与本协议有关的一切争议，应通过友好协商或者调解解决。托管协议当事人不愿通过协商、调解解决或者协商、调解不成的，</w:t>
      </w:r>
      <w:r>
        <w:rPr>
          <w:rFonts w:ascii="宋体" w:hAnsi="宋体" w:hint="eastAsia"/>
          <w:sz w:val="24"/>
        </w:rPr>
        <w:t>应当</w:t>
      </w:r>
      <w:r>
        <w:rPr>
          <w:rFonts w:ascii="宋体" w:hAnsi="宋体"/>
          <w:sz w:val="24"/>
        </w:rPr>
        <w:t>将争议提交</w:t>
      </w:r>
      <w:r>
        <w:rPr>
          <w:rFonts w:ascii="宋体" w:hAnsi="宋体" w:hint="eastAsia"/>
          <w:sz w:val="24"/>
        </w:rPr>
        <w:t>上海</w:t>
      </w:r>
      <w:r>
        <w:rPr>
          <w:rFonts w:ascii="宋体" w:hAnsi="宋体"/>
          <w:sz w:val="24"/>
        </w:rPr>
        <w:t>国际经济贸易仲裁委员会，根据该会</w:t>
      </w:r>
      <w:r>
        <w:rPr>
          <w:rFonts w:ascii="宋体" w:hAnsi="宋体" w:hint="eastAsia"/>
          <w:sz w:val="24"/>
        </w:rPr>
        <w:t>届</w:t>
      </w:r>
      <w:r>
        <w:rPr>
          <w:rFonts w:ascii="宋体" w:hAnsi="宋体"/>
          <w:sz w:val="24"/>
        </w:rPr>
        <w:t>时有效的仲裁规则进行仲裁，仲裁的地点在</w:t>
      </w:r>
      <w:r>
        <w:rPr>
          <w:rFonts w:ascii="宋体" w:hAnsi="宋体" w:hint="eastAsia"/>
          <w:sz w:val="24"/>
        </w:rPr>
        <w:t>上海</w:t>
      </w:r>
      <w:r>
        <w:rPr>
          <w:rFonts w:ascii="宋体" w:hAnsi="宋体"/>
          <w:sz w:val="24"/>
        </w:rPr>
        <w:t>市，仲裁裁决是终局的，并对相关各方当事人均有约束力。除非仲裁裁决另有决定，仲裁费用由败诉方承担。</w:t>
      </w:r>
    </w:p>
    <w:p w14:paraId="26CD55DB" w14:textId="77777777" w:rsidR="00A931B6" w:rsidRDefault="000A2AB6">
      <w:pPr>
        <w:pStyle w:val="121"/>
        <w:spacing w:line="360" w:lineRule="auto"/>
        <w:ind w:firstLineChars="200" w:firstLine="480"/>
        <w:rPr>
          <w:rFonts w:ascii="宋体"/>
          <w:sz w:val="24"/>
        </w:rPr>
      </w:pPr>
      <w:r>
        <w:rPr>
          <w:rFonts w:ascii="宋体" w:hAnsi="宋体"/>
          <w:sz w:val="24"/>
        </w:rPr>
        <w:t>争议处理期间，双方当事人应恪守基金管理人和基金托管人职责，继续忠实、勤勉、尽责地履行《基金合同》和本协议规定的义务，维护基金份额持有人的合法权益。</w:t>
      </w:r>
    </w:p>
    <w:p w14:paraId="2E636FC7" w14:textId="77777777" w:rsidR="00A931B6" w:rsidRDefault="000A2AB6">
      <w:pPr>
        <w:pStyle w:val="121"/>
        <w:spacing w:line="360" w:lineRule="auto"/>
        <w:ind w:firstLineChars="200" w:firstLine="480"/>
        <w:rPr>
          <w:rFonts w:ascii="宋体"/>
          <w:sz w:val="24"/>
        </w:rPr>
      </w:pPr>
      <w:r>
        <w:rPr>
          <w:rFonts w:ascii="宋体" w:hAnsi="宋体"/>
          <w:sz w:val="24"/>
        </w:rPr>
        <w:t>本协议受中华人民共和国法律（为本协议之目的，在此不包括香港特别行政区、澳门特别行政区和台湾地区法律）管辖。</w:t>
      </w:r>
      <w:bookmarkStart w:id="117" w:name="_Toc523830011"/>
      <w:bookmarkStart w:id="118" w:name="_Toc22454481"/>
      <w:bookmarkStart w:id="119" w:name="_Toc466788869"/>
      <w:bookmarkStart w:id="120" w:name="_Toc125892455"/>
    </w:p>
    <w:p w14:paraId="37C3E821" w14:textId="77777777" w:rsidR="00A931B6" w:rsidRDefault="000A2AB6">
      <w:pPr>
        <w:pStyle w:val="113"/>
      </w:pPr>
      <w:bookmarkStart w:id="121" w:name="_Toc65162018"/>
      <w:r>
        <w:t>十九、基金托管协议的效力</w:t>
      </w:r>
      <w:bookmarkEnd w:id="117"/>
      <w:bookmarkEnd w:id="118"/>
      <w:bookmarkEnd w:id="119"/>
      <w:bookmarkEnd w:id="120"/>
      <w:bookmarkEnd w:id="121"/>
    </w:p>
    <w:p w14:paraId="71AD14B9" w14:textId="77777777" w:rsidR="00A931B6" w:rsidRDefault="000A2AB6">
      <w:pPr>
        <w:pStyle w:val="121"/>
        <w:tabs>
          <w:tab w:val="left" w:pos="3780"/>
        </w:tabs>
        <w:autoSpaceDE w:val="0"/>
        <w:autoSpaceDN w:val="0"/>
        <w:spacing w:before="156" w:after="156" w:line="360" w:lineRule="auto"/>
        <w:outlineLvl w:val="0"/>
        <w:rPr>
          <w:b/>
          <w:sz w:val="24"/>
        </w:rPr>
      </w:pPr>
      <w:r>
        <w:rPr>
          <w:b/>
          <w:sz w:val="24"/>
        </w:rPr>
        <w:t>（一）基金管理人在向中国证监会申请募集注册时提交的基金托管协议草案，应经托管协议当事人双方盖章以及双方法定代表人或授权代表签字或盖章，协议当事人双方根据中国证监会的意见修改托管协议草案。托管协议以报中国证监会注册的文本为正式文本。</w:t>
      </w:r>
    </w:p>
    <w:p w14:paraId="1800FC23" w14:textId="77777777" w:rsidR="00A931B6" w:rsidRDefault="000A2AB6">
      <w:pPr>
        <w:pStyle w:val="121"/>
        <w:tabs>
          <w:tab w:val="left" w:pos="3780"/>
        </w:tabs>
        <w:autoSpaceDE w:val="0"/>
        <w:autoSpaceDN w:val="0"/>
        <w:spacing w:before="156" w:after="156" w:line="360" w:lineRule="auto"/>
        <w:outlineLvl w:val="0"/>
        <w:rPr>
          <w:b/>
          <w:sz w:val="24"/>
        </w:rPr>
      </w:pPr>
      <w:r>
        <w:rPr>
          <w:b/>
          <w:sz w:val="24"/>
        </w:rPr>
        <w:t>（二）基金托管协议自《基金合同》成立之日起成立，自《基金合同》生效之日起生效。基金</w:t>
      </w:r>
      <w:r>
        <w:rPr>
          <w:rFonts w:ascii="宋体" w:hAnsi="宋体"/>
          <w:b/>
          <w:bCs/>
          <w:sz w:val="24"/>
        </w:rPr>
        <w:t>托管</w:t>
      </w:r>
      <w:r>
        <w:rPr>
          <w:b/>
          <w:sz w:val="24"/>
        </w:rPr>
        <w:t>协议的有效期自其生效之日起至基金财产清算结果报中国证</w:t>
      </w:r>
      <w:r>
        <w:rPr>
          <w:b/>
          <w:sz w:val="24"/>
        </w:rPr>
        <w:lastRenderedPageBreak/>
        <w:t>监会备案并公告之日止。</w:t>
      </w:r>
    </w:p>
    <w:p w14:paraId="78D59929" w14:textId="77777777" w:rsidR="00A931B6" w:rsidRDefault="000A2AB6">
      <w:pPr>
        <w:pStyle w:val="121"/>
        <w:tabs>
          <w:tab w:val="left" w:pos="3780"/>
        </w:tabs>
        <w:autoSpaceDE w:val="0"/>
        <w:autoSpaceDN w:val="0"/>
        <w:spacing w:before="156" w:after="156" w:line="360" w:lineRule="auto"/>
        <w:outlineLvl w:val="0"/>
        <w:rPr>
          <w:b/>
          <w:sz w:val="24"/>
        </w:rPr>
      </w:pPr>
      <w:r>
        <w:rPr>
          <w:b/>
          <w:sz w:val="24"/>
        </w:rPr>
        <w:t>（三）基金托管</w:t>
      </w:r>
      <w:r>
        <w:rPr>
          <w:rFonts w:ascii="宋体" w:hAnsi="宋体"/>
          <w:b/>
          <w:bCs/>
          <w:sz w:val="24"/>
        </w:rPr>
        <w:t>协议</w:t>
      </w:r>
      <w:r>
        <w:rPr>
          <w:b/>
          <w:sz w:val="24"/>
        </w:rPr>
        <w:t>自生效之日起对托管协议当事人具有同等的法律约束力。</w:t>
      </w:r>
    </w:p>
    <w:p w14:paraId="3561C0EB" w14:textId="77777777" w:rsidR="00A931B6" w:rsidRDefault="000A2AB6">
      <w:pPr>
        <w:pStyle w:val="121"/>
        <w:tabs>
          <w:tab w:val="left" w:pos="3780"/>
        </w:tabs>
        <w:autoSpaceDE w:val="0"/>
        <w:autoSpaceDN w:val="0"/>
        <w:spacing w:before="156" w:after="156" w:line="360" w:lineRule="auto"/>
        <w:outlineLvl w:val="0"/>
        <w:rPr>
          <w:b/>
          <w:sz w:val="24"/>
        </w:rPr>
      </w:pPr>
      <w:r>
        <w:rPr>
          <w:b/>
          <w:sz w:val="24"/>
        </w:rPr>
        <w:t>（四）基金托管</w:t>
      </w:r>
      <w:r>
        <w:rPr>
          <w:rFonts w:ascii="宋体" w:hAnsi="宋体"/>
          <w:b/>
          <w:bCs/>
          <w:sz w:val="24"/>
        </w:rPr>
        <w:t>协议正本</w:t>
      </w:r>
      <w:r>
        <w:rPr>
          <w:b/>
          <w:sz w:val="24"/>
        </w:rPr>
        <w:t>一式</w:t>
      </w:r>
      <w:r>
        <w:rPr>
          <w:b/>
          <w:sz w:val="24"/>
        </w:rPr>
        <w:t>3</w:t>
      </w:r>
      <w:r>
        <w:rPr>
          <w:b/>
          <w:sz w:val="24"/>
        </w:rPr>
        <w:t>份，除上报有关监管机构一式</w:t>
      </w:r>
      <w:r>
        <w:rPr>
          <w:b/>
          <w:sz w:val="24"/>
        </w:rPr>
        <w:t>1</w:t>
      </w:r>
      <w:r>
        <w:rPr>
          <w:b/>
          <w:sz w:val="24"/>
        </w:rPr>
        <w:t>份外，基金管理人和基金托管人各持有</w:t>
      </w:r>
      <w:r>
        <w:rPr>
          <w:b/>
          <w:sz w:val="24"/>
        </w:rPr>
        <w:t>1</w:t>
      </w:r>
      <w:r>
        <w:rPr>
          <w:b/>
          <w:sz w:val="24"/>
        </w:rPr>
        <w:t>份，每份具有同等的法律效力。</w:t>
      </w:r>
    </w:p>
    <w:p w14:paraId="0232B724" w14:textId="77777777" w:rsidR="00A931B6" w:rsidRDefault="000A2AB6">
      <w:pPr>
        <w:pStyle w:val="113"/>
      </w:pPr>
      <w:bookmarkStart w:id="122" w:name="_Toc65162019"/>
      <w:r>
        <w:t>二十、其他事项</w:t>
      </w:r>
      <w:bookmarkEnd w:id="122"/>
    </w:p>
    <w:p w14:paraId="6EA8834B" w14:textId="77777777" w:rsidR="00A931B6" w:rsidRDefault="000A2AB6">
      <w:pPr>
        <w:pStyle w:val="121"/>
        <w:spacing w:line="360" w:lineRule="auto"/>
        <w:ind w:firstLineChars="200" w:firstLine="480"/>
        <w:rPr>
          <w:rFonts w:ascii="宋体" w:hAnsi="宋体"/>
          <w:sz w:val="24"/>
        </w:rPr>
      </w:pPr>
      <w:r>
        <w:rPr>
          <w:rFonts w:ascii="宋体" w:hAnsi="宋体"/>
          <w:sz w:val="24"/>
        </w:rPr>
        <w:t>本协议未尽事宜，当事人依据基金合同、有关法律法规等规定协商办理。</w:t>
      </w:r>
    </w:p>
    <w:p w14:paraId="51C1BC53" w14:textId="77777777" w:rsidR="00A931B6" w:rsidRDefault="000A2AB6">
      <w:pPr>
        <w:pStyle w:val="113"/>
      </w:pPr>
      <w:bookmarkStart w:id="123" w:name="_Toc65162020"/>
      <w:bookmarkStart w:id="124" w:name="_Toc22454484"/>
      <w:bookmarkStart w:id="125" w:name="_Toc523830014"/>
      <w:r>
        <w:t>二十一、基金托管协议的签订</w:t>
      </w:r>
      <w:bookmarkEnd w:id="123"/>
      <w:bookmarkEnd w:id="124"/>
      <w:bookmarkEnd w:id="125"/>
    </w:p>
    <w:p w14:paraId="10629219" w14:textId="77777777" w:rsidR="00A931B6" w:rsidRDefault="00A931B6">
      <w:pPr>
        <w:pStyle w:val="121"/>
      </w:pPr>
    </w:p>
    <w:p w14:paraId="308B89AC" w14:textId="77777777" w:rsidR="00A931B6" w:rsidRDefault="00A931B6">
      <w:pPr>
        <w:pStyle w:val="121"/>
      </w:pPr>
    </w:p>
    <w:p w14:paraId="742D54FC" w14:textId="77777777" w:rsidR="00A931B6" w:rsidRDefault="00A931B6">
      <w:pPr>
        <w:pStyle w:val="121"/>
      </w:pPr>
    </w:p>
    <w:p w14:paraId="0A224F05" w14:textId="77777777" w:rsidR="00A931B6" w:rsidRDefault="00A931B6">
      <w:pPr>
        <w:pStyle w:val="121"/>
      </w:pPr>
    </w:p>
    <w:p w14:paraId="613E35E0" w14:textId="77777777" w:rsidR="00A931B6" w:rsidRDefault="00A931B6">
      <w:pPr>
        <w:pStyle w:val="121"/>
      </w:pPr>
    </w:p>
    <w:p w14:paraId="2AA5C205" w14:textId="77777777" w:rsidR="00A931B6" w:rsidRDefault="00A931B6">
      <w:pPr>
        <w:pStyle w:val="121"/>
      </w:pPr>
    </w:p>
    <w:p w14:paraId="34110605" w14:textId="77777777" w:rsidR="00A931B6" w:rsidRDefault="00A931B6">
      <w:pPr>
        <w:pStyle w:val="121"/>
      </w:pPr>
    </w:p>
    <w:p w14:paraId="0C20BD3E" w14:textId="77777777" w:rsidR="00A931B6" w:rsidRDefault="00A931B6">
      <w:pPr>
        <w:pStyle w:val="121"/>
      </w:pPr>
    </w:p>
    <w:p w14:paraId="5F08BBAE" w14:textId="77777777" w:rsidR="00A931B6" w:rsidRDefault="00A931B6">
      <w:pPr>
        <w:pStyle w:val="121"/>
      </w:pPr>
    </w:p>
    <w:p w14:paraId="6D14D8FA" w14:textId="77777777" w:rsidR="00A931B6" w:rsidRDefault="00A931B6">
      <w:pPr>
        <w:pStyle w:val="121"/>
      </w:pPr>
    </w:p>
    <w:p w14:paraId="0440C3FE" w14:textId="11EE390A" w:rsidR="00A931B6" w:rsidRDefault="000A2AB6" w:rsidP="00AB059B">
      <w:pPr>
        <w:pStyle w:val="121"/>
        <w:widowControl/>
        <w:jc w:val="left"/>
        <w:rPr>
          <w:sz w:val="24"/>
        </w:rPr>
      </w:pPr>
      <w:r>
        <w:rPr>
          <w:noProof/>
        </w:rPr>
        <mc:AlternateContent>
          <mc:Choice Requires="wps">
            <w:drawing>
              <wp:anchor distT="0" distB="0" distL="114300" distR="114300" simplePos="0" relativeHeight="251659264" behindDoc="0" locked="0" layoutInCell="1" allowOverlap="1" wp14:anchorId="6C3AD5D1" wp14:editId="2829A831">
                <wp:simplePos x="0" y="0"/>
                <wp:positionH relativeFrom="column">
                  <wp:posOffset>2286000</wp:posOffset>
                </wp:positionH>
                <wp:positionV relativeFrom="paragraph">
                  <wp:posOffset>693420</wp:posOffset>
                </wp:positionV>
                <wp:extent cx="800100" cy="495300"/>
                <wp:effectExtent l="0" t="0" r="0" b="0"/>
                <wp:wrapNone/>
                <wp:docPr id="3" name="矩形 1"/>
                <wp:cNvGraphicFramePr/>
                <a:graphic xmlns:a="http://schemas.openxmlformats.org/drawingml/2006/main">
                  <a:graphicData uri="http://schemas.microsoft.com/office/word/2010/wordprocessingShape">
                    <wps:wsp>
                      <wps:cNvSpPr/>
                      <wps:spPr bwMode="auto">
                        <a:xfrm>
                          <a:off x="0" y="0"/>
                          <a:ext cx="800100" cy="495300"/>
                        </a:xfrm>
                        <a:prstGeom prst="rect">
                          <a:avLst/>
                        </a:prstGeom>
                        <a:solidFill>
                          <a:srgbClr val="FFFFFF"/>
                        </a:solidFill>
                        <a:ln>
                          <a:solidFill>
                            <a:srgbClr val="FFFFFF"/>
                          </a:solidFill>
                        </a:ln>
                      </wps:spPr>
                      <wps:txbx>
                        <w:txbxContent>
                          <w:p w14:paraId="129309EA" w14:textId="77777777" w:rsidR="009A42C0" w:rsidRDefault="009A42C0">
                            <w:pPr>
                              <w:pStyle w:val="121"/>
                            </w:pPr>
                          </w:p>
                          <w:p w14:paraId="2DF00BCF" w14:textId="77777777" w:rsidR="009A42C0" w:rsidRDefault="009A42C0">
                            <w:pPr>
                              <w:pStyle w:val="121"/>
                            </w:pPr>
                          </w:p>
                        </w:txbxContent>
                      </wps:txbx>
                      <wps:bodyPr wrap="square" upright="1"/>
                    </wps:wsp>
                  </a:graphicData>
                </a:graphic>
              </wp:anchor>
            </w:drawing>
          </mc:Choice>
          <mc:Fallback>
            <w:pict>
              <v:rect w14:anchorId="6C3AD5D1" id="矩形 1" o:spid="_x0000_s1027" style="position:absolute;left:0;text-align:left;margin-left:180pt;margin-top:54.6pt;width:63pt;height: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nGswEAAGcDAAAOAAAAZHJzL2Uyb0RvYy54bWysU0tu2zAQ3RfoHQjua8pJWySC5SwaOJt+&#10;AiQ5AMWPRIC/DGlLPk2B7nqIHqfoNTqkHfe3C6rFgMOZeTPvDbW6mp0lOwXJBN/R5aKhRHkRpPFD&#10;Rx/uN68uKEmZe8lt8Kqje5Xo1frli9UUW3UWxmClAoIgPrVT7OiYc2wZS2JUjqdFiMpjUAdwPKML&#10;A5PAJ0R3lp01zVs2BZARglAp4e31IUjXFV9rJfInrZPKxHYUZ8vVQrV9sWy94u0API5GHMfgz5jC&#10;ceOx6QnqmmdOtmD+gXJGQEhB54UIjgWtjVCVA7JZNn+xuRt5VJULipPiSab0/2DFx90tECM7ek6J&#10;5w5X9OPz1+/fvpBl0WaKqcWUu3gLRy/hkfTThyAxlW9zqLRnDa7QR0JkruruT+qqOROBlxcNMsQd&#10;CAy9vnxzjmfEZLx9Ko6Q8o0KjpRDRwGXV8H57n3Kh9SnlNIrBWvkxlhbHRj6dxbIjuOiN/U7ov+R&#10;Zv3zKnHKUsqKHkWBgzJ57ueq3UmrPsg96jPhg+poetxyUJRsI5hhREY1rWLgNiv148srz+V3v3b6&#10;9X+sfwIAAP//AwBQSwMEFAAGAAgAAAAhAIEbISLfAAAACwEAAA8AAABkcnMvZG93bnJldi54bWxM&#10;j8FOwzAQRO9I/IO1SNyoQ6hCGuJUUIK49FBKuW/tJYmI7Sh225SvZznBcWdGs2/K5WR7caQxdN4p&#10;uJ0lIMhpbzrXKNi9v9zkIEJEZ7D3jhScKcCyurwosTD+5N7ouI2N4BIXClTQxjgUUgbdksUw8wM5&#10;9j79aDHyOTbSjHjictvLNEkyabFz/KHFgVYt6a/twSrYID5vvl+1fqrP63lNq4+afK/U9dX0+AAi&#10;0hT/wvCLz+hQMdPeH5wJoldwlyW8JbKRLFIQnJjnGSt7VvL7FGRVyv8bqh8AAAD//wMAUEsBAi0A&#10;FAAGAAgAAAAhALaDOJL+AAAA4QEAABMAAAAAAAAAAAAAAAAAAAAAAFtDb250ZW50X1R5cGVzXS54&#10;bWxQSwECLQAUAAYACAAAACEAOP0h/9YAAACUAQAACwAAAAAAAAAAAAAAAAAvAQAAX3JlbHMvLnJl&#10;bHNQSwECLQAUAAYACAAAACEAGAAJxrMBAABnAwAADgAAAAAAAAAAAAAAAAAuAgAAZHJzL2Uyb0Rv&#10;Yy54bWxQSwECLQAUAAYACAAAACEAgRshIt8AAAALAQAADwAAAAAAAAAAAAAAAAANBAAAZHJzL2Rv&#10;d25yZXYueG1sUEsFBgAAAAAEAAQA8wAAABkFAAAAAA==&#10;" strokecolor="white">
                <v:textbox>
                  <w:txbxContent>
                    <w:p w14:paraId="129309EA" w14:textId="77777777" w:rsidR="009A42C0" w:rsidRDefault="009A42C0">
                      <w:pPr>
                        <w:pStyle w:val="121"/>
                      </w:pPr>
                    </w:p>
                    <w:p w14:paraId="2DF00BCF" w14:textId="77777777" w:rsidR="009A42C0" w:rsidRDefault="009A42C0">
                      <w:pPr>
                        <w:pStyle w:val="121"/>
                      </w:pPr>
                    </w:p>
                  </w:txbxContent>
                </v:textbox>
              </v:rect>
            </w:pict>
          </mc:Fallback>
        </mc:AlternateContent>
      </w:r>
    </w:p>
    <w:sectPr w:rsidR="00A931B6" w:rsidSect="005C29F7">
      <w:headerReference w:type="default" r:id="rId11"/>
      <w:footerReference w:type="default" r:id="rId12"/>
      <w:pgSz w:w="11906" w:h="16838"/>
      <w:pgMar w:top="1440" w:right="1797" w:bottom="1440" w:left="1797" w:header="851" w:footer="907" w:gutter="0"/>
      <w:pgNumType w:start="1"/>
      <w:cols w:space="1701"/>
      <w:titlePg/>
      <w:docGrid w:type="linesAndChar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07282E96" w16cex:dateUtc="1970-01-01T00:00:00Z"/>
  <w16cex:commentExtensible w16cex:durableId="4279BA8D" w16cex:dateUtc="1970-01-01T00:00:00Z"/>
  <w16cex:commentExtensible w16cex:durableId="3B1E5BC2" w16cex:dateUtc="2025-10-22T00:59:12Z"/>
  <w16cex:commentExtensible w16cex:durableId="7CB14E96" w16cex:dateUtc="1970-01-01T00:00:00Z"/>
  <w16cex:commentExtensible w16cex:durableId="4DB486F1" w16cex:dateUtc="1970-01-01T00:00:00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07282E96"/>
  <w16cid:commentId w16cid:paraId="00000002" w16cid:durableId="4279BA8D"/>
  <w16cid:commentId w16cid:paraId="00000003" w16cid:durableId="3B1E5BC2"/>
  <w16cid:commentId w16cid:paraId="00000004" w16cid:durableId="7CB14E96"/>
  <w16cid:commentId w16cid:paraId="00000005" w16cid:durableId="4DB486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1F5F0" w14:textId="77777777" w:rsidR="00D23D63" w:rsidRDefault="00D23D63">
      <w:r>
        <w:separator/>
      </w:r>
    </w:p>
  </w:endnote>
  <w:endnote w:type="continuationSeparator" w:id="0">
    <w:p w14:paraId="651E9E54" w14:textId="77777777" w:rsidR="00D23D63" w:rsidRDefault="00D2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9E785" w14:textId="77777777" w:rsidR="009A42C0" w:rsidRDefault="009A42C0">
    <w:pPr>
      <w:pStyle w:val="1c"/>
      <w:snapToGrid/>
      <w:rPr>
        <w:rStyle w:val="1f"/>
      </w:rPr>
    </w:pPr>
    <w:r>
      <w:rPr>
        <w:rStyle w:val="1f"/>
      </w:rPr>
      <w:fldChar w:fldCharType="begin"/>
    </w:r>
    <w:r>
      <w:rPr>
        <w:rStyle w:val="1f"/>
      </w:rPr>
      <w:instrText xml:space="preserve">PAGE  </w:instrText>
    </w:r>
    <w:r>
      <w:rPr>
        <w:rStyle w:val="1f"/>
      </w:rPr>
      <w:fldChar w:fldCharType="end"/>
    </w:r>
  </w:p>
  <w:p w14:paraId="7943ADE8" w14:textId="77777777" w:rsidR="009A42C0" w:rsidRDefault="009A42C0">
    <w:pPr>
      <w:pStyle w:val="1c"/>
      <w:snapToGri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7CAEF" w14:textId="77777777" w:rsidR="009A42C0" w:rsidRDefault="009A42C0">
    <w:pPr>
      <w:pStyle w:val="1c"/>
      <w:snapToGrid/>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B7C57" w14:textId="5B5053FB" w:rsidR="009A42C0" w:rsidRDefault="009A42C0">
    <w:pPr>
      <w:pStyle w:val="1c"/>
      <w:snapToGrid/>
      <w:jc w:val="center"/>
      <w:rPr>
        <w:rStyle w:val="1f"/>
      </w:rPr>
    </w:pPr>
    <w:r>
      <w:rPr>
        <w:rStyle w:val="1f"/>
      </w:rPr>
      <w:fldChar w:fldCharType="begin"/>
    </w:r>
    <w:r>
      <w:rPr>
        <w:rStyle w:val="1f"/>
      </w:rPr>
      <w:instrText xml:space="preserve">PAGE  </w:instrText>
    </w:r>
    <w:r>
      <w:rPr>
        <w:rStyle w:val="1f"/>
      </w:rPr>
      <w:fldChar w:fldCharType="separate"/>
    </w:r>
    <w:r w:rsidR="00926F37">
      <w:rPr>
        <w:rStyle w:val="1f"/>
        <w:noProof/>
      </w:rPr>
      <w:t>7</w:t>
    </w:r>
    <w:r>
      <w:rPr>
        <w:rStyle w:val="1f"/>
      </w:rPr>
      <w:fldChar w:fldCharType="end"/>
    </w:r>
  </w:p>
  <w:p w14:paraId="267DEF26" w14:textId="77777777" w:rsidR="009A42C0" w:rsidRDefault="009A42C0">
    <w:pPr>
      <w:pStyle w:val="1c"/>
      <w:snapToGri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566E5" w14:textId="77777777" w:rsidR="00D23D63" w:rsidRDefault="00D23D63">
      <w:r>
        <w:separator/>
      </w:r>
    </w:p>
  </w:footnote>
  <w:footnote w:type="continuationSeparator" w:id="0">
    <w:p w14:paraId="3688912C" w14:textId="77777777" w:rsidR="00D23D63" w:rsidRDefault="00D2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7EC3E" w14:textId="6BB08AE2" w:rsidR="009A42C0" w:rsidRDefault="009A42C0">
    <w:pPr>
      <w:pStyle w:val="1d"/>
      <w:snapToGrid/>
      <w:jc w:val="left"/>
    </w:pPr>
    <w:r>
      <w:rPr>
        <w:rFonts w:ascii="宋体" w:hAnsi="宋体" w:hint="eastAsia"/>
        <w:szCs w:val="21"/>
      </w:rPr>
      <w:t>嘉实中证800指数增强型</w:t>
    </w:r>
    <w:r>
      <w:rPr>
        <w:rFonts w:ascii="宋体" w:hAnsi="宋体"/>
        <w:szCs w:val="21"/>
      </w:rPr>
      <w:t>证券投资基金</w:t>
    </w:r>
    <w:r>
      <w:t xml:space="preserve">                                        </w:t>
    </w:r>
    <w:r>
      <w:t>托管协议</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3C686" w14:textId="0F1E1E4C" w:rsidR="009A42C0" w:rsidRDefault="009A42C0">
    <w:pPr>
      <w:pStyle w:val="1d"/>
      <w:snapToGrid/>
      <w:jc w:val="left"/>
    </w:pPr>
    <w:r>
      <w:rPr>
        <w:rFonts w:hint="eastAsia"/>
      </w:rPr>
      <w:t>嘉实中证</w:t>
    </w:r>
    <w:r>
      <w:rPr>
        <w:rFonts w:hint="eastAsia"/>
      </w:rPr>
      <w:t>800</w:t>
    </w:r>
    <w:r>
      <w:rPr>
        <w:rFonts w:hint="eastAsia"/>
      </w:rPr>
      <w:t>指数增强型</w:t>
    </w:r>
    <w:r>
      <w:t>证券投资基金</w:t>
    </w:r>
    <w:r>
      <w:t xml:space="preserve">                                         </w:t>
    </w:r>
    <w:r>
      <w:t>托管协议</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20045"/>
    <w:multiLevelType w:val="hybridMultilevel"/>
    <w:tmpl w:val="1FAEC544"/>
    <w:lvl w:ilvl="0" w:tplc="69984704">
      <w:start w:val="1"/>
      <w:numFmt w:val="decimal"/>
      <w:lvlText w:val="%1、"/>
      <w:lvlJc w:val="left"/>
      <w:pPr>
        <w:snapToGrid/>
        <w:ind w:left="360" w:hanging="360"/>
      </w:pPr>
      <w:rPr>
        <w:rFonts w:ascii="Times New Roman" w:hAnsi="Times New Roman" w:hint="default"/>
        <w:sz w:val="20"/>
      </w:rPr>
    </w:lvl>
    <w:lvl w:ilvl="1" w:tplc="E3304FFE">
      <w:start w:val="1"/>
      <w:numFmt w:val="lowerLetter"/>
      <w:lvlText w:val="%2)"/>
      <w:lvlJc w:val="left"/>
      <w:pPr>
        <w:snapToGrid/>
        <w:ind w:left="840" w:hanging="420"/>
      </w:pPr>
    </w:lvl>
    <w:lvl w:ilvl="2" w:tplc="27F437A8">
      <w:start w:val="1"/>
      <w:numFmt w:val="lowerRoman"/>
      <w:lvlText w:val="%3."/>
      <w:lvlJc w:val="right"/>
      <w:pPr>
        <w:snapToGrid/>
        <w:ind w:left="1260" w:hanging="420"/>
      </w:pPr>
    </w:lvl>
    <w:lvl w:ilvl="3" w:tplc="7D46847E">
      <w:start w:val="1"/>
      <w:numFmt w:val="decimal"/>
      <w:lvlText w:val="%4."/>
      <w:lvlJc w:val="left"/>
      <w:pPr>
        <w:snapToGrid/>
        <w:ind w:left="1680" w:hanging="420"/>
      </w:pPr>
    </w:lvl>
    <w:lvl w:ilvl="4" w:tplc="5546F5B8">
      <w:start w:val="1"/>
      <w:numFmt w:val="lowerLetter"/>
      <w:lvlText w:val="%5)"/>
      <w:lvlJc w:val="left"/>
      <w:pPr>
        <w:snapToGrid/>
        <w:ind w:left="2100" w:hanging="420"/>
      </w:pPr>
    </w:lvl>
    <w:lvl w:ilvl="5" w:tplc="5F941FA4">
      <w:start w:val="1"/>
      <w:numFmt w:val="lowerRoman"/>
      <w:lvlText w:val="%6."/>
      <w:lvlJc w:val="right"/>
      <w:pPr>
        <w:snapToGrid/>
        <w:ind w:left="2520" w:hanging="420"/>
      </w:pPr>
    </w:lvl>
    <w:lvl w:ilvl="6" w:tplc="275A13DE">
      <w:start w:val="1"/>
      <w:numFmt w:val="decimal"/>
      <w:lvlText w:val="%7."/>
      <w:lvlJc w:val="left"/>
      <w:pPr>
        <w:snapToGrid/>
        <w:ind w:left="2940" w:hanging="420"/>
      </w:pPr>
    </w:lvl>
    <w:lvl w:ilvl="7" w:tplc="AC6C59BC">
      <w:start w:val="1"/>
      <w:numFmt w:val="lowerLetter"/>
      <w:lvlText w:val="%8)"/>
      <w:lvlJc w:val="left"/>
      <w:pPr>
        <w:snapToGrid/>
        <w:ind w:left="3360" w:hanging="420"/>
      </w:pPr>
    </w:lvl>
    <w:lvl w:ilvl="8" w:tplc="EE56E0E6">
      <w:start w:val="1"/>
      <w:numFmt w:val="lowerRoman"/>
      <w:lvlText w:val="%9."/>
      <w:lvlJc w:val="right"/>
      <w:pPr>
        <w:snapToGrid/>
        <w:ind w:left="3780" w:hanging="420"/>
      </w:pPr>
    </w:lvl>
  </w:abstractNum>
  <w:abstractNum w:abstractNumId="1" w15:restartNumberingAfterBreak="0">
    <w:nsid w:val="35040D49"/>
    <w:multiLevelType w:val="hybridMultilevel"/>
    <w:tmpl w:val="B90CA4D4"/>
    <w:lvl w:ilvl="0" w:tplc="C6AC6984">
      <w:start w:val="1"/>
      <w:numFmt w:val="decimal"/>
      <w:pStyle w:val="UCAlpha2"/>
      <w:lvlText w:val="(%1)"/>
      <w:lvlJc w:val="left"/>
      <w:pPr>
        <w:tabs>
          <w:tab w:val="left" w:pos="1941"/>
        </w:tabs>
        <w:snapToGrid/>
        <w:ind w:left="1941" w:hanging="681"/>
      </w:pPr>
      <w:rPr>
        <w:rFonts w:ascii="Arial" w:hAnsi="Arial"/>
        <w:b w:val="0"/>
        <w:i w:val="0"/>
        <w:sz w:val="20"/>
      </w:rPr>
    </w:lvl>
    <w:lvl w:ilvl="1" w:tplc="8910C658">
      <w:start w:val="1"/>
      <w:numFmt w:val="lowerLetter"/>
      <w:lvlText w:val="%2."/>
      <w:lvlJc w:val="left"/>
      <w:pPr>
        <w:tabs>
          <w:tab w:val="left" w:pos="1620"/>
        </w:tabs>
        <w:snapToGrid/>
        <w:ind w:left="1620" w:hanging="360"/>
      </w:pPr>
    </w:lvl>
    <w:lvl w:ilvl="2" w:tplc="97FAFA12">
      <w:start w:val="1"/>
      <w:numFmt w:val="lowerRoman"/>
      <w:lvlText w:val="%3."/>
      <w:lvlJc w:val="right"/>
      <w:pPr>
        <w:tabs>
          <w:tab w:val="left" w:pos="2340"/>
        </w:tabs>
        <w:snapToGrid/>
        <w:ind w:left="2340" w:hanging="180"/>
      </w:pPr>
    </w:lvl>
    <w:lvl w:ilvl="3" w:tplc="1FCE83A0">
      <w:start w:val="1"/>
      <w:numFmt w:val="decimal"/>
      <w:lvlText w:val="%4."/>
      <w:lvlJc w:val="left"/>
      <w:pPr>
        <w:tabs>
          <w:tab w:val="left" w:pos="3060"/>
        </w:tabs>
        <w:snapToGrid/>
        <w:ind w:left="3060" w:hanging="360"/>
      </w:pPr>
    </w:lvl>
    <w:lvl w:ilvl="4" w:tplc="1AFA4272">
      <w:start w:val="1"/>
      <w:numFmt w:val="lowerLetter"/>
      <w:lvlText w:val="%5."/>
      <w:lvlJc w:val="left"/>
      <w:pPr>
        <w:tabs>
          <w:tab w:val="left" w:pos="3780"/>
        </w:tabs>
        <w:snapToGrid/>
        <w:ind w:left="3780" w:hanging="360"/>
      </w:pPr>
    </w:lvl>
    <w:lvl w:ilvl="5" w:tplc="5A24B0C2">
      <w:start w:val="1"/>
      <w:numFmt w:val="lowerRoman"/>
      <w:lvlText w:val="%6."/>
      <w:lvlJc w:val="right"/>
      <w:pPr>
        <w:tabs>
          <w:tab w:val="left" w:pos="4500"/>
        </w:tabs>
        <w:snapToGrid/>
        <w:ind w:left="4500" w:hanging="180"/>
      </w:pPr>
    </w:lvl>
    <w:lvl w:ilvl="6" w:tplc="B4DCF444">
      <w:start w:val="1"/>
      <w:numFmt w:val="decimal"/>
      <w:lvlText w:val="%7."/>
      <w:lvlJc w:val="left"/>
      <w:pPr>
        <w:tabs>
          <w:tab w:val="left" w:pos="5220"/>
        </w:tabs>
        <w:snapToGrid/>
        <w:ind w:left="5220" w:hanging="360"/>
      </w:pPr>
    </w:lvl>
    <w:lvl w:ilvl="7" w:tplc="9C20E3A0">
      <w:start w:val="1"/>
      <w:numFmt w:val="lowerLetter"/>
      <w:lvlText w:val="%8."/>
      <w:lvlJc w:val="left"/>
      <w:pPr>
        <w:tabs>
          <w:tab w:val="left" w:pos="5940"/>
        </w:tabs>
        <w:snapToGrid/>
        <w:ind w:left="5940" w:hanging="360"/>
      </w:pPr>
    </w:lvl>
    <w:lvl w:ilvl="8" w:tplc="1D1896B2">
      <w:start w:val="1"/>
      <w:numFmt w:val="lowerRoman"/>
      <w:lvlText w:val="%9."/>
      <w:lvlJc w:val="right"/>
      <w:pPr>
        <w:tabs>
          <w:tab w:val="left" w:pos="6660"/>
        </w:tabs>
        <w:snapToGrid/>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defaultTabStop w:val="420"/>
  <w:drawingGridHorizontalSpacing w:val="100"/>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1B6"/>
    <w:rsid w:val="00070D1D"/>
    <w:rsid w:val="000A2AB6"/>
    <w:rsid w:val="000E754A"/>
    <w:rsid w:val="000F6F56"/>
    <w:rsid w:val="002143F2"/>
    <w:rsid w:val="002E224A"/>
    <w:rsid w:val="002E5C25"/>
    <w:rsid w:val="00427E40"/>
    <w:rsid w:val="00484371"/>
    <w:rsid w:val="004B0D04"/>
    <w:rsid w:val="004D5DB8"/>
    <w:rsid w:val="005C29F7"/>
    <w:rsid w:val="006F262A"/>
    <w:rsid w:val="00784467"/>
    <w:rsid w:val="007D6CA1"/>
    <w:rsid w:val="008423B6"/>
    <w:rsid w:val="0088142A"/>
    <w:rsid w:val="008B2EA7"/>
    <w:rsid w:val="008C4BE9"/>
    <w:rsid w:val="00926F37"/>
    <w:rsid w:val="009A42C0"/>
    <w:rsid w:val="00A931B6"/>
    <w:rsid w:val="00AB059B"/>
    <w:rsid w:val="00B942D3"/>
    <w:rsid w:val="00BD5D52"/>
    <w:rsid w:val="00BF4044"/>
    <w:rsid w:val="00BF725D"/>
    <w:rsid w:val="00C52660"/>
    <w:rsid w:val="00C55EA8"/>
    <w:rsid w:val="00D23D63"/>
    <w:rsid w:val="00D568CB"/>
    <w:rsid w:val="00D709AA"/>
    <w:rsid w:val="00E43151"/>
    <w:rsid w:val="00EC5699"/>
    <w:rsid w:val="00F77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70573"/>
  <w15:docId w15:val="{DC48DA31-DD49-4C8C-BFCC-B492710A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style>
  <w:style w:type="paragraph" w:styleId="1">
    <w:name w:val="heading 1"/>
    <w:next w:val="a"/>
    <w:link w:val="10"/>
    <w:uiPriority w:val="9"/>
    <w:qFormat/>
    <w:pPr>
      <w:keepNext/>
      <w:keepLines/>
      <w:spacing w:before="480" w:after="200"/>
      <w:outlineLvl w:val="0"/>
    </w:pPr>
    <w:rPr>
      <w:rFonts w:ascii="Arial" w:hAnsi="Arial" w:cs="Arial"/>
      <w:sz w:val="40"/>
      <w:szCs w:val="40"/>
    </w:rPr>
  </w:style>
  <w:style w:type="paragraph" w:styleId="2">
    <w:name w:val="heading 2"/>
    <w:next w:val="a"/>
    <w:link w:val="20"/>
    <w:uiPriority w:val="9"/>
    <w:unhideWhenUsed/>
    <w:qFormat/>
    <w:pPr>
      <w:keepNext/>
      <w:keepLines/>
      <w:spacing w:before="360" w:after="200"/>
      <w:outlineLvl w:val="1"/>
    </w:pPr>
    <w:rPr>
      <w:rFonts w:ascii="Arial" w:hAnsi="Arial" w:cs="Arial"/>
      <w:sz w:val="34"/>
    </w:rPr>
  </w:style>
  <w:style w:type="paragraph" w:styleId="3">
    <w:name w:val="heading 3"/>
    <w:next w:val="a"/>
    <w:link w:val="30"/>
    <w:uiPriority w:val="9"/>
    <w:unhideWhenUsed/>
    <w:qFormat/>
    <w:pPr>
      <w:keepNext/>
      <w:keepLines/>
      <w:spacing w:before="320" w:after="200"/>
      <w:outlineLvl w:val="2"/>
    </w:pPr>
    <w:rPr>
      <w:rFonts w:ascii="Arial" w:hAnsi="Arial" w:cs="Arial"/>
      <w:sz w:val="30"/>
      <w:szCs w:val="30"/>
    </w:rPr>
  </w:style>
  <w:style w:type="paragraph" w:styleId="4">
    <w:name w:val="heading 4"/>
    <w:next w:val="a"/>
    <w:link w:val="40"/>
    <w:uiPriority w:val="9"/>
    <w:unhideWhenUsed/>
    <w:qFormat/>
    <w:pPr>
      <w:keepNext/>
      <w:keepLines/>
      <w:spacing w:before="320" w:after="200"/>
      <w:outlineLvl w:val="3"/>
    </w:pPr>
    <w:rPr>
      <w:rFonts w:ascii="Arial" w:hAnsi="Arial" w:cs="Arial"/>
      <w:b/>
      <w:bCs/>
      <w:sz w:val="26"/>
      <w:szCs w:val="26"/>
    </w:rPr>
  </w:style>
  <w:style w:type="paragraph" w:styleId="5">
    <w:name w:val="heading 5"/>
    <w:next w:val="a"/>
    <w:link w:val="50"/>
    <w:uiPriority w:val="9"/>
    <w:unhideWhenUsed/>
    <w:qFormat/>
    <w:pPr>
      <w:keepNext/>
      <w:keepLines/>
      <w:spacing w:before="320" w:after="200"/>
      <w:outlineLvl w:val="4"/>
    </w:pPr>
    <w:rPr>
      <w:rFonts w:ascii="Arial" w:hAnsi="Arial" w:cs="Arial"/>
      <w:b/>
      <w:bCs/>
      <w:sz w:val="24"/>
      <w:szCs w:val="24"/>
    </w:rPr>
  </w:style>
  <w:style w:type="paragraph" w:styleId="6">
    <w:name w:val="heading 6"/>
    <w:next w:val="a"/>
    <w:link w:val="60"/>
    <w:uiPriority w:val="9"/>
    <w:unhideWhenUsed/>
    <w:qFormat/>
    <w:pPr>
      <w:keepNext/>
      <w:keepLines/>
      <w:spacing w:before="320" w:after="200"/>
      <w:outlineLvl w:val="5"/>
    </w:pPr>
    <w:rPr>
      <w:rFonts w:ascii="Arial" w:hAnsi="Arial" w:cs="Arial"/>
      <w:b/>
      <w:bCs/>
      <w:sz w:val="22"/>
      <w:szCs w:val="22"/>
    </w:rPr>
  </w:style>
  <w:style w:type="paragraph" w:styleId="7">
    <w:name w:val="heading 7"/>
    <w:next w:val="a"/>
    <w:link w:val="70"/>
    <w:uiPriority w:val="9"/>
    <w:unhideWhenUsed/>
    <w:qFormat/>
    <w:pPr>
      <w:keepNext/>
      <w:keepLines/>
      <w:spacing w:before="320" w:after="200"/>
      <w:outlineLvl w:val="6"/>
    </w:pPr>
    <w:rPr>
      <w:rFonts w:ascii="Arial" w:hAnsi="Arial" w:cs="Arial"/>
      <w:b/>
      <w:bCs/>
      <w:i/>
      <w:iCs/>
      <w:sz w:val="22"/>
      <w:szCs w:val="22"/>
    </w:rPr>
  </w:style>
  <w:style w:type="paragraph" w:styleId="8">
    <w:name w:val="heading 8"/>
    <w:next w:val="a"/>
    <w:link w:val="80"/>
    <w:uiPriority w:val="9"/>
    <w:unhideWhenUsed/>
    <w:qFormat/>
    <w:pPr>
      <w:keepNext/>
      <w:keepLines/>
      <w:spacing w:before="320" w:after="200"/>
      <w:outlineLvl w:val="7"/>
    </w:pPr>
    <w:rPr>
      <w:rFonts w:ascii="Arial" w:hAnsi="Arial" w:cs="Arial"/>
      <w:i/>
      <w:iCs/>
      <w:sz w:val="22"/>
      <w:szCs w:val="22"/>
    </w:rPr>
  </w:style>
  <w:style w:type="paragraph" w:styleId="9">
    <w:name w:val="heading 9"/>
    <w:next w:val="a"/>
    <w:link w:val="90"/>
    <w:uiPriority w:val="9"/>
    <w:unhideWhenUsed/>
    <w:qFormat/>
    <w:pPr>
      <w:keepNext/>
      <w:keepLines/>
      <w:spacing w:before="320" w:after="200"/>
      <w:outlineLvl w:val="8"/>
    </w:pPr>
    <w:rPr>
      <w:rFonts w:ascii="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hAnsi="Arial" w:cs="Arial"/>
      <w:sz w:val="40"/>
      <w:szCs w:val="40"/>
    </w:rPr>
  </w:style>
  <w:style w:type="character" w:customStyle="1" w:styleId="Heading2Char">
    <w:name w:val="Heading 2 Char"/>
    <w:basedOn w:val="a1"/>
    <w:uiPriority w:val="9"/>
    <w:rPr>
      <w:rFonts w:ascii="Arial" w:hAnsi="Arial" w:cs="Arial"/>
      <w:sz w:val="34"/>
    </w:rPr>
  </w:style>
  <w:style w:type="character" w:customStyle="1" w:styleId="Heading3Char">
    <w:name w:val="Heading 3 Char"/>
    <w:basedOn w:val="a1"/>
    <w:uiPriority w:val="9"/>
    <w:rPr>
      <w:rFonts w:ascii="Arial" w:hAnsi="Arial" w:cs="Arial"/>
      <w:sz w:val="30"/>
      <w:szCs w:val="30"/>
    </w:rPr>
  </w:style>
  <w:style w:type="character" w:customStyle="1" w:styleId="Heading4Char">
    <w:name w:val="Heading 4 Char"/>
    <w:basedOn w:val="a1"/>
    <w:uiPriority w:val="9"/>
    <w:rPr>
      <w:rFonts w:ascii="Arial" w:hAnsi="Arial" w:cs="Arial"/>
      <w:b/>
      <w:bCs/>
      <w:sz w:val="26"/>
      <w:szCs w:val="26"/>
    </w:rPr>
  </w:style>
  <w:style w:type="character" w:customStyle="1" w:styleId="Heading5Char">
    <w:name w:val="Heading 5 Char"/>
    <w:basedOn w:val="a1"/>
    <w:uiPriority w:val="9"/>
    <w:rPr>
      <w:rFonts w:ascii="Arial" w:hAnsi="Arial" w:cs="Arial"/>
      <w:b/>
      <w:bCs/>
      <w:sz w:val="24"/>
      <w:szCs w:val="24"/>
    </w:rPr>
  </w:style>
  <w:style w:type="character" w:customStyle="1" w:styleId="Heading6Char">
    <w:name w:val="Heading 6 Char"/>
    <w:basedOn w:val="a1"/>
    <w:uiPriority w:val="9"/>
    <w:rPr>
      <w:rFonts w:ascii="Arial" w:hAnsi="Arial" w:cs="Arial"/>
      <w:b/>
      <w:bCs/>
      <w:sz w:val="22"/>
      <w:szCs w:val="22"/>
    </w:rPr>
  </w:style>
  <w:style w:type="character" w:customStyle="1" w:styleId="Heading7Char">
    <w:name w:val="Heading 7 Char"/>
    <w:basedOn w:val="a1"/>
    <w:uiPriority w:val="9"/>
    <w:rPr>
      <w:rFonts w:ascii="Arial" w:hAnsi="Arial" w:cs="Arial"/>
      <w:b/>
      <w:bCs/>
      <w:i/>
      <w:iCs/>
      <w:sz w:val="22"/>
      <w:szCs w:val="22"/>
    </w:rPr>
  </w:style>
  <w:style w:type="character" w:customStyle="1" w:styleId="Heading8Char">
    <w:name w:val="Heading 8 Char"/>
    <w:basedOn w:val="a1"/>
    <w:uiPriority w:val="9"/>
    <w:rPr>
      <w:rFonts w:ascii="Arial" w:hAnsi="Arial" w:cs="Arial"/>
      <w:i/>
      <w:iCs/>
      <w:sz w:val="22"/>
      <w:szCs w:val="22"/>
    </w:rPr>
  </w:style>
  <w:style w:type="character" w:customStyle="1" w:styleId="Heading9Char">
    <w:name w:val="Heading 9 Char"/>
    <w:basedOn w:val="a1"/>
    <w:uiPriority w:val="9"/>
    <w:rPr>
      <w:rFonts w:ascii="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1"/>
    <w:uiPriority w:val="99"/>
  </w:style>
  <w:style w:type="character" w:customStyle="1" w:styleId="CaptionChar">
    <w:name w:val="Caption Char"/>
    <w:uiPriority w:val="99"/>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2F2F2" w:fill="F2F2F2" w:themeFill="text1" w:themeFillTint="0D"/>
      </w:tcPr>
    </w:tblStylePr>
    <w:tblStylePr w:type="band2Vert">
      <w:pPr>
        <w:snapToGrid/>
      </w:pPr>
    </w:tblStylePr>
    <w:tblStylePr w:type="band1Horz">
      <w:pPr>
        <w:snapToGrid/>
      </w:p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21">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31">
    <w:name w:val="Plain Table 3"/>
    <w:basedOn w:val="a2"/>
    <w:uiPriority w:val="99"/>
    <w:tblPr>
      <w:tblStyleRowBandSize w:val="1"/>
      <w:tblStyleColBandSize w:val="1"/>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41">
    <w:name w:val="Plain Table 4"/>
    <w:basedOn w:val="a2"/>
    <w:uiPriority w:val="99"/>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51">
    <w:name w:val="Plain Table 5"/>
    <w:basedOn w:val="a2"/>
    <w:uiPriority w:val="99"/>
    <w:tblPr>
      <w:tblStyleRowBandSize w:val="1"/>
      <w:tblStyleColBandSize w:val="1"/>
    </w:tblPr>
    <w:tblStylePr w:type="firstRow">
      <w:pPr>
        <w:snapToGrid/>
      </w:pPr>
      <w:rPr>
        <w:i/>
        <w:color w:val="404040"/>
      </w:rPr>
      <w:tblPr/>
      <w:tcPr>
        <w:tcBorders>
          <w:left w:val="none" w:sz="4" w:space="0" w:color="000000"/>
          <w:bottom w:val="single" w:sz="4" w:space="0" w:color="404040"/>
          <w:right w:val="none" w:sz="4" w:space="0" w:color="000000"/>
        </w:tcBorders>
        <w:shd w:val="clear" w:color="FFFFFF"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12">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2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32">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42">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52">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pPr>
        <w:snapToGrid/>
      </w:pPr>
      <w:rPr>
        <w:rFonts w:ascii="Arial" w:hAnsi="Arial"/>
        <w:b/>
        <w:color w:val="FFFFFF"/>
        <w:sz w:val="22"/>
      </w:rPr>
      <w:tblPr/>
      <w:tcPr>
        <w:shd w:val="clear" w:color="000000"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000000" w:fill="000000" w:themeFill="text1"/>
      </w:tcPr>
    </w:tblStylePr>
    <w:tblStylePr w:type="firstCol">
      <w:pPr>
        <w:snapToGrid/>
      </w:pPr>
      <w:rPr>
        <w:rFonts w:ascii="Arial" w:hAnsi="Arial"/>
        <w:b/>
        <w:color w:val="FFFFFF"/>
        <w:sz w:val="22"/>
      </w:rPr>
      <w:tblPr/>
      <w:tcPr>
        <w:shd w:val="clear" w:color="000000" w:fill="000000" w:themeFill="text1"/>
      </w:tcPr>
    </w:tblStylePr>
    <w:tblStylePr w:type="lastCol">
      <w:pPr>
        <w:snapToGrid/>
      </w:pPr>
      <w:rPr>
        <w:rFonts w:ascii="Arial" w:hAnsi="Arial"/>
        <w:b/>
        <w:color w:val="FFFFFF"/>
        <w:sz w:val="22"/>
      </w:rPr>
      <w:tblPr/>
      <w:tcPr>
        <w:shd w:val="clear" w:color="000000" w:fill="000000" w:themeFill="text1"/>
      </w:tcPr>
    </w:tblStylePr>
    <w:tblStylePr w:type="band1Vert">
      <w:pPr>
        <w:snapToGrid/>
      </w:pPr>
      <w:tblPr/>
      <w:tcPr>
        <w:shd w:val="clear" w:color="8A8A8A" w:fill="8A8A8A" w:themeFill="text1" w:themeFillTint="75"/>
      </w:tcPr>
    </w:tblStylePr>
    <w:tblStylePr w:type="band2Vert">
      <w:pPr>
        <w:snapToGrid/>
      </w:pPr>
    </w:tblStylePr>
    <w:tblStylePr w:type="band1Horz">
      <w:pPr>
        <w:snapToGrid/>
      </w:pPr>
      <w:tblPr/>
      <w:tcPr>
        <w:shd w:val="clear" w:color="8A8A8A"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61">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CBCBCB"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CBCBCB"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71">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pPr>
        <w:snapToGrid/>
      </w:pPr>
      <w:tblPr/>
      <w:tcPr>
        <w:shd w:val="clear" w:color="F2F2F2" w:fill="F2F2F2" w:themeFill="text1" w:themeFillTint="0D"/>
      </w:tcPr>
    </w:tblStylePr>
    <w:tblStylePr w:type="band2Vert">
      <w:pPr>
        <w:snapToGrid/>
      </w:pPr>
    </w:tblStylePr>
    <w:tblStylePr w:type="band1Horz">
      <w:pPr>
        <w:snapToGrid/>
      </w:pPr>
      <w:rPr>
        <w:rFonts w:ascii="Arial" w:hAnsi="Arial"/>
        <w:color w:val="7F7F7F" w:themeColor="text1" w:themeTint="80" w:themeShade="95"/>
        <w:sz w:val="22"/>
      </w:rPr>
      <w:tblPr/>
      <w:tcPr>
        <w:shd w:val="clear" w:color="F2F2F2" w:fill="F2F2F2" w:themeFill="text1" w:themeFillTint="0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13">
    <w:name w:val="List Table 1 Light"/>
    <w:basedOn w:val="a2"/>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23">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33">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43">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53">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7F7F7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62">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BFBFB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72">
    <w:name w:val="List Table 7 Colorful"/>
    <w:basedOn w:val="a2"/>
    <w:uiPriority w:val="99"/>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BFBFBF"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TOC">
    <w:name w:val="TOC Heading"/>
    <w:uiPriority w:val="39"/>
    <w:unhideWhenUsed/>
  </w:style>
  <w:style w:type="paragraph" w:styleId="a0">
    <w:name w:val="Body Text"/>
    <w:basedOn w:val="a"/>
    <w:next w:val="a4"/>
    <w:semiHidden/>
    <w:qFormat/>
    <w:pPr>
      <w:spacing w:after="120"/>
    </w:pPr>
  </w:style>
  <w:style w:type="paragraph" w:styleId="a4">
    <w:name w:val="Body Text Indent"/>
    <w:basedOn w:val="a"/>
    <w:qFormat/>
    <w:pPr>
      <w:spacing w:after="120"/>
      <w:ind w:left="420"/>
    </w:pPr>
  </w:style>
  <w:style w:type="paragraph" w:styleId="73">
    <w:name w:val="toc 7"/>
    <w:next w:val="a"/>
    <w:uiPriority w:val="39"/>
    <w:unhideWhenUsed/>
    <w:qFormat/>
    <w:pPr>
      <w:spacing w:after="57"/>
      <w:ind w:left="1701"/>
    </w:pPr>
  </w:style>
  <w:style w:type="paragraph" w:styleId="a5">
    <w:name w:val="caption"/>
    <w:next w:val="a"/>
    <w:uiPriority w:val="35"/>
    <w:semiHidden/>
    <w:unhideWhenUsed/>
    <w:qFormat/>
    <w:pPr>
      <w:spacing w:line="276" w:lineRule="auto"/>
    </w:pPr>
    <w:rPr>
      <w:b/>
      <w:bCs/>
      <w:color w:val="4F81BD" w:themeColor="accent1"/>
      <w:sz w:val="18"/>
      <w:szCs w:val="18"/>
    </w:rPr>
  </w:style>
  <w:style w:type="paragraph" w:styleId="54">
    <w:name w:val="toc 5"/>
    <w:next w:val="a"/>
    <w:uiPriority w:val="39"/>
    <w:unhideWhenUsed/>
    <w:qFormat/>
    <w:pPr>
      <w:spacing w:after="57"/>
      <w:ind w:left="1134"/>
    </w:pPr>
  </w:style>
  <w:style w:type="paragraph" w:styleId="34">
    <w:name w:val="toc 3"/>
    <w:next w:val="a"/>
    <w:uiPriority w:val="39"/>
    <w:unhideWhenUsed/>
    <w:qFormat/>
    <w:pPr>
      <w:spacing w:after="57"/>
      <w:ind w:left="567"/>
    </w:pPr>
  </w:style>
  <w:style w:type="paragraph" w:styleId="81">
    <w:name w:val="toc 8"/>
    <w:next w:val="a"/>
    <w:uiPriority w:val="39"/>
    <w:unhideWhenUsed/>
    <w:qFormat/>
    <w:pPr>
      <w:spacing w:after="57"/>
      <w:ind w:left="1984"/>
    </w:pPr>
  </w:style>
  <w:style w:type="paragraph" w:styleId="a6">
    <w:name w:val="endnote text"/>
    <w:link w:val="a7"/>
    <w:uiPriority w:val="99"/>
    <w:semiHidden/>
    <w:unhideWhenUsed/>
    <w:qFormat/>
  </w:style>
  <w:style w:type="paragraph" w:styleId="a8">
    <w:name w:val="footer"/>
    <w:link w:val="a9"/>
    <w:uiPriority w:val="99"/>
    <w:unhideWhenUsed/>
    <w:qFormat/>
    <w:pPr>
      <w:tabs>
        <w:tab w:val="center" w:pos="7143"/>
        <w:tab w:val="right" w:pos="14287"/>
      </w:tabs>
    </w:pPr>
  </w:style>
  <w:style w:type="paragraph" w:styleId="aa">
    <w:name w:val="header"/>
    <w:link w:val="ab"/>
    <w:uiPriority w:val="99"/>
    <w:unhideWhenUsed/>
    <w:qFormat/>
    <w:pPr>
      <w:tabs>
        <w:tab w:val="center" w:pos="7143"/>
        <w:tab w:val="right" w:pos="14287"/>
      </w:tabs>
    </w:pPr>
  </w:style>
  <w:style w:type="paragraph" w:styleId="14">
    <w:name w:val="toc 1"/>
    <w:next w:val="a"/>
    <w:uiPriority w:val="39"/>
    <w:unhideWhenUsed/>
    <w:qFormat/>
    <w:pPr>
      <w:spacing w:after="57"/>
    </w:pPr>
  </w:style>
  <w:style w:type="paragraph" w:styleId="44">
    <w:name w:val="toc 4"/>
    <w:next w:val="a"/>
    <w:uiPriority w:val="39"/>
    <w:unhideWhenUsed/>
    <w:pPr>
      <w:spacing w:after="57"/>
      <w:ind w:left="850"/>
    </w:pPr>
  </w:style>
  <w:style w:type="paragraph" w:styleId="ac">
    <w:name w:val="Subtitle"/>
    <w:link w:val="ad"/>
    <w:uiPriority w:val="11"/>
    <w:qFormat/>
    <w:pPr>
      <w:spacing w:before="200" w:after="200"/>
    </w:pPr>
    <w:rPr>
      <w:sz w:val="24"/>
      <w:szCs w:val="24"/>
    </w:rPr>
  </w:style>
  <w:style w:type="paragraph" w:styleId="ae">
    <w:name w:val="footnote text"/>
    <w:link w:val="af"/>
    <w:uiPriority w:val="99"/>
    <w:semiHidden/>
    <w:unhideWhenUsed/>
    <w:qFormat/>
    <w:pPr>
      <w:spacing w:after="40"/>
    </w:pPr>
    <w:rPr>
      <w:sz w:val="18"/>
    </w:rPr>
  </w:style>
  <w:style w:type="paragraph" w:styleId="63">
    <w:name w:val="toc 6"/>
    <w:next w:val="a"/>
    <w:uiPriority w:val="39"/>
    <w:unhideWhenUsed/>
    <w:qFormat/>
    <w:pPr>
      <w:spacing w:after="57"/>
      <w:ind w:left="1417"/>
    </w:pPr>
  </w:style>
  <w:style w:type="paragraph" w:styleId="af0">
    <w:name w:val="table of figures"/>
    <w:next w:val="a"/>
    <w:uiPriority w:val="99"/>
    <w:unhideWhenUsed/>
    <w:qFormat/>
  </w:style>
  <w:style w:type="paragraph" w:styleId="24">
    <w:name w:val="toc 2"/>
    <w:next w:val="a"/>
    <w:uiPriority w:val="39"/>
    <w:unhideWhenUsed/>
    <w:qFormat/>
    <w:pPr>
      <w:spacing w:after="57"/>
      <w:ind w:left="283"/>
    </w:pPr>
  </w:style>
  <w:style w:type="paragraph" w:styleId="91">
    <w:name w:val="toc 9"/>
    <w:next w:val="a"/>
    <w:uiPriority w:val="39"/>
    <w:unhideWhenUsed/>
    <w:qFormat/>
    <w:pPr>
      <w:spacing w:after="57"/>
      <w:ind w:left="2268"/>
    </w:pPr>
  </w:style>
  <w:style w:type="paragraph" w:styleId="af1">
    <w:name w:val="Title"/>
    <w:link w:val="af2"/>
    <w:uiPriority w:val="10"/>
    <w:qFormat/>
    <w:pPr>
      <w:spacing w:before="300" w:after="200"/>
      <w:contextualSpacing/>
    </w:pPr>
    <w:rPr>
      <w:sz w:val="48"/>
      <w:szCs w:val="48"/>
    </w:rPr>
  </w:style>
  <w:style w:type="table" w:styleId="af3">
    <w:name w:val="Table Gri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4">
    <w:name w:val="endnote reference"/>
    <w:uiPriority w:val="99"/>
    <w:semiHidden/>
    <w:unhideWhenUsed/>
    <w:qFormat/>
    <w:rPr>
      <w:vertAlign w:val="superscript"/>
    </w:rPr>
  </w:style>
  <w:style w:type="character" w:styleId="af5">
    <w:name w:val="Hyperlink"/>
    <w:uiPriority w:val="99"/>
    <w:unhideWhenUsed/>
    <w:qFormat/>
    <w:rPr>
      <w:color w:val="0000FF" w:themeColor="hyperlink"/>
      <w:u w:val="single"/>
    </w:rPr>
  </w:style>
  <w:style w:type="character" w:styleId="af6">
    <w:name w:val="footnote reference"/>
    <w:uiPriority w:val="99"/>
    <w:unhideWhenUsed/>
    <w:qFormat/>
    <w:rPr>
      <w:vertAlign w:val="superscript"/>
    </w:rPr>
  </w:style>
  <w:style w:type="character" w:customStyle="1" w:styleId="10">
    <w:name w:val="标题 1 字符"/>
    <w:link w:val="1"/>
    <w:uiPriority w:val="9"/>
    <w:qFormat/>
    <w:rPr>
      <w:rFonts w:ascii="Arial" w:hAnsi="Arial" w:cs="Arial"/>
      <w:sz w:val="40"/>
      <w:szCs w:val="40"/>
    </w:rPr>
  </w:style>
  <w:style w:type="character" w:customStyle="1" w:styleId="20">
    <w:name w:val="标题 2 字符"/>
    <w:link w:val="2"/>
    <w:uiPriority w:val="9"/>
    <w:qFormat/>
    <w:rPr>
      <w:rFonts w:ascii="Arial" w:hAnsi="Arial" w:cs="Arial"/>
      <w:sz w:val="34"/>
    </w:rPr>
  </w:style>
  <w:style w:type="character" w:customStyle="1" w:styleId="30">
    <w:name w:val="标题 3 字符"/>
    <w:link w:val="3"/>
    <w:uiPriority w:val="9"/>
    <w:qFormat/>
    <w:rPr>
      <w:rFonts w:ascii="Arial" w:hAnsi="Arial" w:cs="Arial"/>
      <w:sz w:val="30"/>
      <w:szCs w:val="30"/>
    </w:rPr>
  </w:style>
  <w:style w:type="character" w:customStyle="1" w:styleId="40">
    <w:name w:val="标题 4 字符"/>
    <w:link w:val="4"/>
    <w:uiPriority w:val="9"/>
    <w:qFormat/>
    <w:rPr>
      <w:rFonts w:ascii="Arial" w:hAnsi="Arial" w:cs="Arial"/>
      <w:b/>
      <w:bCs/>
      <w:sz w:val="26"/>
      <w:szCs w:val="26"/>
    </w:rPr>
  </w:style>
  <w:style w:type="character" w:customStyle="1" w:styleId="50">
    <w:name w:val="标题 5 字符"/>
    <w:link w:val="5"/>
    <w:uiPriority w:val="9"/>
    <w:qFormat/>
    <w:rPr>
      <w:rFonts w:ascii="Arial" w:hAnsi="Arial" w:cs="Arial"/>
      <w:b/>
      <w:bCs/>
      <w:sz w:val="24"/>
      <w:szCs w:val="24"/>
    </w:rPr>
  </w:style>
  <w:style w:type="character" w:customStyle="1" w:styleId="60">
    <w:name w:val="标题 6 字符"/>
    <w:link w:val="6"/>
    <w:uiPriority w:val="9"/>
    <w:qFormat/>
    <w:rPr>
      <w:rFonts w:ascii="Arial" w:hAnsi="Arial" w:cs="Arial"/>
      <w:b/>
      <w:bCs/>
      <w:sz w:val="22"/>
      <w:szCs w:val="22"/>
    </w:rPr>
  </w:style>
  <w:style w:type="character" w:customStyle="1" w:styleId="70">
    <w:name w:val="标题 7 字符"/>
    <w:link w:val="7"/>
    <w:uiPriority w:val="9"/>
    <w:qFormat/>
    <w:rPr>
      <w:rFonts w:ascii="Arial" w:hAnsi="Arial" w:cs="Arial"/>
      <w:b/>
      <w:bCs/>
      <w:i/>
      <w:iCs/>
      <w:sz w:val="22"/>
      <w:szCs w:val="22"/>
    </w:rPr>
  </w:style>
  <w:style w:type="character" w:customStyle="1" w:styleId="80">
    <w:name w:val="标题 8 字符"/>
    <w:link w:val="8"/>
    <w:uiPriority w:val="9"/>
    <w:qFormat/>
    <w:rPr>
      <w:rFonts w:ascii="Arial" w:hAnsi="Arial" w:cs="Arial"/>
      <w:i/>
      <w:iCs/>
      <w:sz w:val="22"/>
      <w:szCs w:val="22"/>
    </w:rPr>
  </w:style>
  <w:style w:type="character" w:customStyle="1" w:styleId="90">
    <w:name w:val="标题 9 字符"/>
    <w:link w:val="9"/>
    <w:uiPriority w:val="9"/>
    <w:qFormat/>
    <w:rPr>
      <w:rFonts w:ascii="Arial" w:hAnsi="Arial" w:cs="Arial"/>
      <w:i/>
      <w:iCs/>
      <w:sz w:val="21"/>
      <w:szCs w:val="21"/>
    </w:rPr>
  </w:style>
  <w:style w:type="paragraph" w:styleId="af7">
    <w:name w:val="List Paragraph"/>
    <w:uiPriority w:val="34"/>
    <w:qFormat/>
    <w:pPr>
      <w:ind w:left="720"/>
      <w:contextualSpacing/>
    </w:pPr>
  </w:style>
  <w:style w:type="paragraph" w:styleId="af8">
    <w:name w:val="No Spacing"/>
    <w:uiPriority w:val="1"/>
    <w:qFormat/>
  </w:style>
  <w:style w:type="character" w:customStyle="1" w:styleId="af2">
    <w:name w:val="标题 字符"/>
    <w:link w:val="af1"/>
    <w:uiPriority w:val="10"/>
    <w:qFormat/>
    <w:rPr>
      <w:sz w:val="48"/>
      <w:szCs w:val="48"/>
    </w:rPr>
  </w:style>
  <w:style w:type="character" w:customStyle="1" w:styleId="ad">
    <w:name w:val="副标题 字符"/>
    <w:link w:val="ac"/>
    <w:uiPriority w:val="11"/>
    <w:qFormat/>
    <w:rPr>
      <w:sz w:val="24"/>
      <w:szCs w:val="24"/>
    </w:rPr>
  </w:style>
  <w:style w:type="paragraph" w:styleId="af9">
    <w:name w:val="Quote"/>
    <w:link w:val="afa"/>
    <w:uiPriority w:val="29"/>
    <w:qFormat/>
    <w:pPr>
      <w:ind w:left="720" w:right="720"/>
    </w:pPr>
    <w:rPr>
      <w:i/>
    </w:rPr>
  </w:style>
  <w:style w:type="character" w:customStyle="1" w:styleId="afa">
    <w:name w:val="引用 字符"/>
    <w:link w:val="af9"/>
    <w:uiPriority w:val="29"/>
    <w:qFormat/>
    <w:rPr>
      <w:i/>
    </w:rPr>
  </w:style>
  <w:style w:type="paragraph" w:styleId="afb">
    <w:name w:val="Intense Quote"/>
    <w:link w:val="afc"/>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fc">
    <w:name w:val="明显引用 字符"/>
    <w:link w:val="afb"/>
    <w:uiPriority w:val="30"/>
    <w:qFormat/>
    <w:rPr>
      <w:i/>
    </w:rPr>
  </w:style>
  <w:style w:type="character" w:customStyle="1" w:styleId="ab">
    <w:name w:val="页眉 字符"/>
    <w:link w:val="aa"/>
    <w:uiPriority w:val="99"/>
    <w:qFormat/>
  </w:style>
  <w:style w:type="character" w:customStyle="1" w:styleId="FooterChar">
    <w:name w:val="Footer Char"/>
    <w:uiPriority w:val="99"/>
    <w:qFormat/>
  </w:style>
  <w:style w:type="character" w:customStyle="1" w:styleId="a9">
    <w:name w:val="页脚 字符"/>
    <w:link w:val="a8"/>
    <w:uiPriority w:val="99"/>
    <w:qFormat/>
  </w:style>
  <w:style w:type="table" w:customStyle="1" w:styleId="TableGridLight">
    <w:name w:val="Table Grid Light"/>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无格式表格 1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2F2F2" w:fill="F2F2F2" w:themeFill="text1" w:themeFillTint="0D"/>
      </w:tcPr>
    </w:tblStylePr>
    <w:tblStylePr w:type="band2Vert">
      <w:pPr>
        <w:snapToGrid/>
      </w:pPr>
    </w:tblStylePr>
    <w:tblStylePr w:type="band1Horz">
      <w:pPr>
        <w:snapToGrid/>
      </w:p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无格式表格 2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无格式表格 31"/>
    <w:uiPriority w:val="99"/>
    <w:qFormat/>
    <w:tblPr>
      <w:tblCellMar>
        <w:top w:w="0" w:type="dxa"/>
        <w:left w:w="0" w:type="dxa"/>
        <w:bottom w:w="0" w:type="dxa"/>
        <w:right w:w="0" w:type="dxa"/>
      </w:tblCellMar>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无格式表格 41"/>
    <w:uiPriority w:val="99"/>
    <w:qFormat/>
    <w:tblPr>
      <w:tblCellMar>
        <w:top w:w="0" w:type="dxa"/>
        <w:left w:w="0" w:type="dxa"/>
        <w:bottom w:w="0" w:type="dxa"/>
        <w:right w:w="0"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无格式表格 51"/>
    <w:uiPriority w:val="99"/>
    <w:qFormat/>
    <w:tblPr>
      <w:tblCellMar>
        <w:top w:w="0" w:type="dxa"/>
        <w:left w:w="0" w:type="dxa"/>
        <w:bottom w:w="0" w:type="dxa"/>
        <w:right w:w="0" w:type="dxa"/>
      </w:tblCellMar>
    </w:tblPr>
    <w:tblStylePr w:type="firstRow">
      <w:pPr>
        <w:snapToGrid/>
      </w:pPr>
      <w:rPr>
        <w:i/>
        <w:color w:val="404040"/>
      </w:rPr>
      <w:tblPr/>
      <w:tcPr>
        <w:tcBorders>
          <w:left w:val="none" w:sz="4" w:space="0" w:color="000000"/>
          <w:bottom w:val="single" w:sz="4" w:space="0" w:color="404040"/>
          <w:right w:val="none" w:sz="4" w:space="0" w:color="000000"/>
        </w:tcBorders>
        <w:shd w:val="clear" w:color="FFFFFF"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网格表 1 浅色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pPr>
        <w:snapToGrid/>
      </w:pPr>
      <w:rPr>
        <w:b/>
        <w:color w:val="404040"/>
      </w:rPr>
      <w:tblPr/>
      <w:tcPr>
        <w:tcBorders>
          <w:bottom w:val="single" w:sz="12" w:space="0" w:color="97B4D8"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pPr>
        <w:snapToGrid/>
      </w:pPr>
      <w:rPr>
        <w:b/>
        <w:color w:val="404040"/>
      </w:rPr>
      <w:tblPr/>
      <w:tcPr>
        <w:tcBorders>
          <w:bottom w:val="single" w:sz="12" w:space="0" w:color="DA989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pPr>
        <w:snapToGrid/>
      </w:pPr>
      <w:rPr>
        <w:b/>
        <w:color w:val="404040"/>
      </w:rPr>
      <w:tblPr/>
      <w:tcPr>
        <w:tcBorders>
          <w:bottom w:val="single" w:sz="12" w:space="0" w:color="C4D79D"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pPr>
        <w:snapToGrid/>
      </w:pPr>
      <w:rPr>
        <w:b/>
        <w:color w:val="404040"/>
      </w:rPr>
      <w:tblPr/>
      <w:tcPr>
        <w:tcBorders>
          <w:bottom w:val="single" w:sz="12" w:space="0" w:color="B4A4C8"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pPr>
        <w:snapToGrid/>
      </w:pPr>
      <w:rPr>
        <w:b/>
        <w:color w:val="404040"/>
      </w:rPr>
      <w:tblPr/>
      <w:tcPr>
        <w:tcBorders>
          <w:bottom w:val="single" w:sz="12" w:space="0" w:color="95CEDD"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pPr>
        <w:snapToGrid/>
      </w:pPr>
      <w:rPr>
        <w:b/>
        <w:color w:val="404040"/>
      </w:rPr>
      <w:tblPr/>
      <w:tcPr>
        <w:tcBorders>
          <w:bottom w:val="single" w:sz="12" w:space="0" w:color="FAC192"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网格表 2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pPr>
        <w:snapToGrid/>
      </w:pPr>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pPr>
        <w:snapToGrid/>
      </w:pPr>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AE5F1"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DAE5F1"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pPr>
        <w:snapToGrid/>
      </w:pPr>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pPr>
        <w:snapToGrid/>
      </w:pPr>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DCDC"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2DCDC"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pPr>
        <w:snapToGrid/>
      </w:pPr>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pPr>
        <w:snapToGrid/>
      </w:pPr>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AF1DC"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EAF1DC"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pPr>
        <w:snapToGrid/>
      </w:pPr>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pPr>
        <w:snapToGrid/>
      </w:pPr>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5DFEC"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E5DFEC"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uiPriority w:val="99"/>
    <w:qFormat/>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pPr>
        <w:snapToGrid/>
      </w:pPr>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AEEF3"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DAEEF3"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uiPriority w:val="99"/>
    <w:qFormat/>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pPr>
        <w:snapToGrid/>
      </w:pPr>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DE9D8"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DE9D8"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网格表 3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DAE5F1"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DAE5F1"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2DCDC"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2DCDC"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EAF1DC"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EAF1DC"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E5DFEC"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E5DFEC"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uiPriority w:val="99"/>
    <w:qFormat/>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DAEEF3"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DAEEF3"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uiPriority w:val="99"/>
    <w:qFormat/>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DE9D8"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DE9D8"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网格表 4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pPr>
        <w:snapToGrid/>
      </w:pPr>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fill="5D8AC2" w:themeFill="accent1" w:themeFillTint="EA"/>
      </w:tcPr>
    </w:tblStylePr>
    <w:tblStylePr w:type="lastRow">
      <w:pPr>
        <w:snapToGrid/>
      </w:pPr>
      <w:rPr>
        <w:b/>
        <w:color w:val="404040"/>
      </w:rPr>
      <w:tblPr/>
      <w:tcPr>
        <w:tcBorders>
          <w:top w:val="single" w:sz="4" w:space="0" w:color="5D8AC2"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CE6F2" w:fill="DCE6F2" w:themeFill="accent1" w:themeFillTint="32"/>
      </w:tcPr>
    </w:tblStylePr>
    <w:tblStylePr w:type="band2Vert">
      <w:pPr>
        <w:snapToGrid/>
      </w:pPr>
    </w:tblStylePr>
    <w:tblStylePr w:type="band1Horz">
      <w:pPr>
        <w:snapToGrid/>
      </w:pPr>
      <w:rPr>
        <w:rFonts w:ascii="Arial" w:hAnsi="Arial"/>
        <w:color w:val="404040"/>
        <w:sz w:val="22"/>
      </w:rPr>
      <w:tblPr/>
      <w:tcPr>
        <w:shd w:val="clear" w:color="DCE6F2"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pPr>
        <w:snapToGrid/>
      </w:pPr>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fill="D99695" w:themeFill="accent2" w:themeFillTint="97"/>
      </w:tcPr>
    </w:tblStylePr>
    <w:tblStylePr w:type="lastRow">
      <w:pPr>
        <w:snapToGrid/>
      </w:pPr>
      <w:rPr>
        <w:b/>
        <w:color w:val="404040"/>
      </w:rPr>
      <w:tblPr/>
      <w:tcPr>
        <w:tcBorders>
          <w:top w:val="single" w:sz="4" w:space="0" w:color="D99695"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DCDC"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2DCDC"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pPr>
        <w:snapToGrid/>
      </w:pPr>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fill="9ABB59" w:themeFill="accent3" w:themeFillTint="FE"/>
      </w:tcPr>
    </w:tblStylePr>
    <w:tblStylePr w:type="lastRow">
      <w:pPr>
        <w:snapToGrid/>
      </w:pPr>
      <w:rPr>
        <w:b/>
        <w:color w:val="404040"/>
      </w:rPr>
      <w:tblPr/>
      <w:tcPr>
        <w:tcBorders>
          <w:top w:val="single" w:sz="4" w:space="0" w:color="9ABB59"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AF1DC"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EAF1DC"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pPr>
        <w:snapToGrid/>
      </w:pPr>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fill="B2A1C6" w:themeFill="accent4" w:themeFillTint="9A"/>
      </w:tcPr>
    </w:tblStylePr>
    <w:tblStylePr w:type="lastRow">
      <w:pPr>
        <w:snapToGrid/>
      </w:pPr>
      <w:rPr>
        <w:b/>
        <w:color w:val="404040"/>
      </w:rPr>
      <w:tblPr/>
      <w:tcPr>
        <w:tcBorders>
          <w:top w:val="single" w:sz="4" w:space="0" w:color="B2A1C6"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5DFEC"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E5DFEC"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uiPriority w:val="5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pPr>
        <w:snapToGrid/>
      </w:pPr>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pPr>
        <w:snapToGrid/>
      </w:pPr>
      <w:rPr>
        <w:b/>
        <w:color w:val="404040"/>
      </w:rPr>
      <w:tblPr/>
      <w:tcPr>
        <w:tcBorders>
          <w:top w:val="single" w:sz="4" w:space="0" w:color="4BACC6"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AEEF3"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DAEEF3"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pPr>
        <w:snapToGrid/>
      </w:pPr>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pPr>
        <w:snapToGrid/>
      </w:pPr>
      <w:rPr>
        <w:b/>
        <w:color w:val="404040"/>
      </w:rPr>
      <w:tblPr/>
      <w:tcPr>
        <w:tcBorders>
          <w:top w:val="single" w:sz="4" w:space="0" w:color="F79646"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DE9D8"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DE9D8"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网格表 5 深色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000000" w:fill="000000" w:themeFill="text1"/>
      </w:tcPr>
    </w:tblStylePr>
    <w:tblStylePr w:type="firstCol">
      <w:pPr>
        <w:snapToGrid/>
      </w:pPr>
      <w:rPr>
        <w:rFonts w:ascii="Arial" w:hAnsi="Arial"/>
        <w:b/>
        <w:color w:val="FFFFFF"/>
        <w:sz w:val="22"/>
      </w:rPr>
      <w:tblPr/>
      <w:tcPr>
        <w:shd w:val="clear" w:color="000000" w:fill="000000" w:themeFill="text1"/>
      </w:tcPr>
    </w:tblStylePr>
    <w:tblStylePr w:type="lastCol">
      <w:pPr>
        <w:snapToGrid/>
      </w:pPr>
      <w:rPr>
        <w:rFonts w:ascii="Arial" w:hAnsi="Arial"/>
        <w:b/>
        <w:color w:val="FFFFFF"/>
        <w:sz w:val="22"/>
      </w:rPr>
      <w:tblPr/>
      <w:tcPr>
        <w:shd w:val="clear" w:color="000000" w:fill="000000" w:themeFill="text1"/>
      </w:tcPr>
    </w:tblStylePr>
    <w:tblStylePr w:type="band1Vert">
      <w:pPr>
        <w:snapToGrid/>
      </w:pPr>
      <w:tblPr/>
      <w:tcPr>
        <w:shd w:val="clear" w:color="8A8A8A" w:fill="8A8A8A" w:themeFill="text1" w:themeFillTint="75"/>
      </w:tcPr>
    </w:tblStylePr>
    <w:tblStylePr w:type="band2Vert">
      <w:pPr>
        <w:snapToGrid/>
      </w:pPr>
    </w:tblStylePr>
    <w:tblStylePr w:type="band1Horz">
      <w:pPr>
        <w:snapToGrid/>
      </w:pPr>
      <w:tblPr/>
      <w:tcPr>
        <w:shd w:val="clear" w:color="8A8A8A"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pPr>
        <w:snapToGrid/>
      </w:pPr>
      <w:rPr>
        <w:rFonts w:ascii="Arial" w:hAnsi="Arial"/>
        <w:b/>
        <w:color w:val="FFFFFF"/>
        <w:sz w:val="22"/>
      </w:rPr>
      <w:tblPr/>
      <w:tcPr>
        <w:shd w:val="clear" w:color="4F81BD" w:fill="4F81BD" w:themeFill="accent1"/>
      </w:tcPr>
    </w:tblStylePr>
    <w:tblStylePr w:type="lastRow">
      <w:pPr>
        <w:snapToGrid/>
      </w:pPr>
      <w:rPr>
        <w:rFonts w:ascii="Arial" w:hAnsi="Arial"/>
        <w:b/>
        <w:color w:val="FFFFFF"/>
        <w:sz w:val="22"/>
      </w:rPr>
      <w:tblPr/>
      <w:tcPr>
        <w:tcBorders>
          <w:top w:val="single" w:sz="4" w:space="0" w:color="FFFFFF" w:themeColor="light1"/>
        </w:tcBorders>
        <w:shd w:val="clear" w:color="4F81BD" w:fill="4F81BD" w:themeFill="accent1"/>
      </w:tcPr>
    </w:tblStylePr>
    <w:tblStylePr w:type="firstCol">
      <w:pPr>
        <w:snapToGrid/>
      </w:pPr>
      <w:rPr>
        <w:rFonts w:ascii="Arial" w:hAnsi="Arial"/>
        <w:b/>
        <w:color w:val="FFFFFF"/>
        <w:sz w:val="22"/>
      </w:rPr>
      <w:tblPr/>
      <w:tcPr>
        <w:shd w:val="clear" w:color="4F81BD" w:fill="4F81BD" w:themeFill="accent1"/>
      </w:tcPr>
    </w:tblStylePr>
    <w:tblStylePr w:type="lastCol">
      <w:pPr>
        <w:snapToGrid/>
      </w:pPr>
      <w:rPr>
        <w:rFonts w:ascii="Arial" w:hAnsi="Arial"/>
        <w:b/>
        <w:color w:val="FFFFFF"/>
        <w:sz w:val="22"/>
      </w:rPr>
      <w:tblPr/>
      <w:tcPr>
        <w:shd w:val="clear" w:color="4F81BD" w:fill="4F81BD" w:themeFill="accent1"/>
      </w:tcPr>
    </w:tblStylePr>
    <w:tblStylePr w:type="band1Vert">
      <w:pPr>
        <w:snapToGrid/>
      </w:pPr>
      <w:tblPr/>
      <w:tcPr>
        <w:shd w:val="clear" w:color="AEC4E0" w:fill="AEC4E0" w:themeFill="accent1" w:themeFillTint="75"/>
      </w:tcPr>
    </w:tblStylePr>
    <w:tblStylePr w:type="band2Vert">
      <w:pPr>
        <w:snapToGrid/>
      </w:pPr>
    </w:tblStylePr>
    <w:tblStylePr w:type="band1Horz">
      <w:pPr>
        <w:snapToGrid/>
      </w:pPr>
      <w:tblPr/>
      <w:tcPr>
        <w:shd w:val="clear" w:color="AEC4E0" w:fill="AEC4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pPr>
        <w:snapToGrid/>
      </w:pPr>
      <w:rPr>
        <w:rFonts w:ascii="Arial" w:hAnsi="Arial"/>
        <w:b/>
        <w:color w:val="FFFFFF"/>
        <w:sz w:val="22"/>
      </w:rPr>
      <w:tblPr/>
      <w:tcPr>
        <w:shd w:val="clear" w:color="C0504D" w:fill="C0504D" w:themeFill="accent2"/>
      </w:tcPr>
    </w:tblStylePr>
    <w:tblStylePr w:type="lastRow">
      <w:pPr>
        <w:snapToGrid/>
      </w:pPr>
      <w:rPr>
        <w:rFonts w:ascii="Arial" w:hAnsi="Arial"/>
        <w:b/>
        <w:color w:val="FFFFFF"/>
        <w:sz w:val="22"/>
      </w:rPr>
      <w:tblPr/>
      <w:tcPr>
        <w:tcBorders>
          <w:top w:val="single" w:sz="4" w:space="0" w:color="FFFFFF" w:themeColor="light1"/>
        </w:tcBorders>
        <w:shd w:val="clear" w:color="C0504D" w:fill="C0504D" w:themeFill="accent2"/>
      </w:tcPr>
    </w:tblStylePr>
    <w:tblStylePr w:type="firstCol">
      <w:pPr>
        <w:snapToGrid/>
      </w:pPr>
      <w:rPr>
        <w:rFonts w:ascii="Arial" w:hAnsi="Arial"/>
        <w:b/>
        <w:color w:val="FFFFFF"/>
        <w:sz w:val="22"/>
      </w:rPr>
      <w:tblPr/>
      <w:tcPr>
        <w:shd w:val="clear" w:color="C0504D" w:fill="C0504D" w:themeFill="accent2"/>
      </w:tcPr>
    </w:tblStylePr>
    <w:tblStylePr w:type="lastCol">
      <w:pPr>
        <w:snapToGrid/>
      </w:pPr>
      <w:rPr>
        <w:rFonts w:ascii="Arial" w:hAnsi="Arial"/>
        <w:b/>
        <w:color w:val="FFFFFF"/>
        <w:sz w:val="22"/>
      </w:rPr>
      <w:tblPr/>
      <w:tcPr>
        <w:shd w:val="clear" w:color="C0504D" w:fill="C0504D" w:themeFill="accent2"/>
      </w:tcPr>
    </w:tblStylePr>
    <w:tblStylePr w:type="band1Vert">
      <w:pPr>
        <w:snapToGrid/>
      </w:pPr>
      <w:tblPr/>
      <w:tcPr>
        <w:shd w:val="clear" w:color="E2AEAD" w:fill="E2AEAD" w:themeFill="accent2" w:themeFillTint="75"/>
      </w:tcPr>
    </w:tblStylePr>
    <w:tblStylePr w:type="band2Vert">
      <w:pPr>
        <w:snapToGrid/>
      </w:pPr>
    </w:tblStylePr>
    <w:tblStylePr w:type="band1Horz">
      <w:pPr>
        <w:snapToGrid/>
      </w:pPr>
      <w:tblPr/>
      <w:tcPr>
        <w:shd w:val="clear" w:color="E2AEAD"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pPr>
        <w:snapToGrid/>
      </w:pPr>
      <w:rPr>
        <w:rFonts w:ascii="Arial" w:hAnsi="Arial"/>
        <w:b/>
        <w:color w:val="FFFFFF"/>
        <w:sz w:val="22"/>
      </w:rPr>
      <w:tblPr/>
      <w:tcPr>
        <w:shd w:val="clear" w:color="9BBB59" w:fill="9BBB59" w:themeFill="accent3"/>
      </w:tcPr>
    </w:tblStylePr>
    <w:tblStylePr w:type="lastRow">
      <w:pPr>
        <w:snapToGrid/>
      </w:pPr>
      <w:rPr>
        <w:rFonts w:ascii="Arial" w:hAnsi="Arial"/>
        <w:b/>
        <w:color w:val="FFFFFF"/>
        <w:sz w:val="22"/>
      </w:rPr>
      <w:tblPr/>
      <w:tcPr>
        <w:tcBorders>
          <w:top w:val="single" w:sz="4" w:space="0" w:color="FFFFFF" w:themeColor="light1"/>
        </w:tcBorders>
        <w:shd w:val="clear" w:color="9BBB59" w:fill="9BBB59" w:themeFill="accent3"/>
      </w:tcPr>
    </w:tblStylePr>
    <w:tblStylePr w:type="firstCol">
      <w:pPr>
        <w:snapToGrid/>
      </w:pPr>
      <w:rPr>
        <w:rFonts w:ascii="Arial" w:hAnsi="Arial"/>
        <w:b/>
        <w:color w:val="FFFFFF"/>
        <w:sz w:val="22"/>
      </w:rPr>
      <w:tblPr/>
      <w:tcPr>
        <w:shd w:val="clear" w:color="9BBB59" w:fill="9BBB59" w:themeFill="accent3"/>
      </w:tcPr>
    </w:tblStylePr>
    <w:tblStylePr w:type="lastCol">
      <w:pPr>
        <w:snapToGrid/>
      </w:pPr>
      <w:rPr>
        <w:rFonts w:ascii="Arial" w:hAnsi="Arial"/>
        <w:b/>
        <w:color w:val="FFFFFF"/>
        <w:sz w:val="22"/>
      </w:rPr>
      <w:tblPr/>
      <w:tcPr>
        <w:shd w:val="clear" w:color="9BBB59" w:fill="9BBB59" w:themeFill="accent3"/>
      </w:tcPr>
    </w:tblStylePr>
    <w:tblStylePr w:type="band1Vert">
      <w:pPr>
        <w:snapToGrid/>
      </w:pPr>
      <w:tblPr/>
      <w:tcPr>
        <w:shd w:val="clear" w:color="D0DFB2" w:fill="D0DFB2" w:themeFill="accent3" w:themeFillTint="75"/>
      </w:tcPr>
    </w:tblStylePr>
    <w:tblStylePr w:type="band2Vert">
      <w:pPr>
        <w:snapToGrid/>
      </w:pPr>
    </w:tblStylePr>
    <w:tblStylePr w:type="band1Horz">
      <w:pPr>
        <w:snapToGrid/>
      </w:pPr>
      <w:tblPr/>
      <w:tcPr>
        <w:shd w:val="clear" w:color="D0DFB2" w:fill="D0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pPr>
        <w:snapToGrid/>
      </w:pPr>
      <w:rPr>
        <w:rFonts w:ascii="Arial" w:hAnsi="Arial"/>
        <w:b/>
        <w:color w:val="FFFFFF"/>
        <w:sz w:val="22"/>
      </w:rPr>
      <w:tblPr/>
      <w:tcPr>
        <w:shd w:val="clear" w:color="8064A2" w:fill="8064A2" w:themeFill="accent4"/>
      </w:tcPr>
    </w:tblStylePr>
    <w:tblStylePr w:type="lastRow">
      <w:pPr>
        <w:snapToGrid/>
      </w:pPr>
      <w:rPr>
        <w:rFonts w:ascii="Arial" w:hAnsi="Arial"/>
        <w:b/>
        <w:color w:val="FFFFFF"/>
        <w:sz w:val="22"/>
      </w:rPr>
      <w:tblPr/>
      <w:tcPr>
        <w:tcBorders>
          <w:top w:val="single" w:sz="4" w:space="0" w:color="FFFFFF" w:themeColor="light1"/>
        </w:tcBorders>
        <w:shd w:val="clear" w:color="8064A2" w:fill="8064A2" w:themeFill="accent4"/>
      </w:tcPr>
    </w:tblStylePr>
    <w:tblStylePr w:type="firstCol">
      <w:pPr>
        <w:snapToGrid/>
      </w:pPr>
      <w:rPr>
        <w:rFonts w:ascii="Arial" w:hAnsi="Arial"/>
        <w:b/>
        <w:color w:val="FFFFFF"/>
        <w:sz w:val="22"/>
      </w:rPr>
      <w:tblPr/>
      <w:tcPr>
        <w:shd w:val="clear" w:color="8064A2" w:fill="8064A2" w:themeFill="accent4"/>
      </w:tcPr>
    </w:tblStylePr>
    <w:tblStylePr w:type="lastCol">
      <w:pPr>
        <w:snapToGrid/>
      </w:pPr>
      <w:rPr>
        <w:rFonts w:ascii="Arial" w:hAnsi="Arial"/>
        <w:b/>
        <w:color w:val="FFFFFF"/>
        <w:sz w:val="22"/>
      </w:rPr>
      <w:tblPr/>
      <w:tcPr>
        <w:shd w:val="clear" w:color="8064A2" w:fill="8064A2" w:themeFill="accent4"/>
      </w:tcPr>
    </w:tblStylePr>
    <w:tblStylePr w:type="band1Vert">
      <w:pPr>
        <w:snapToGrid/>
      </w:pPr>
      <w:tblPr/>
      <w:tcPr>
        <w:shd w:val="clear" w:color="C4B7D4" w:fill="C4B7D4" w:themeFill="accent4" w:themeFillTint="75"/>
      </w:tcPr>
    </w:tblStylePr>
    <w:tblStylePr w:type="band2Vert">
      <w:pPr>
        <w:snapToGrid/>
      </w:pPr>
    </w:tblStylePr>
    <w:tblStylePr w:type="band1Horz">
      <w:pPr>
        <w:snapToGrid/>
      </w:pPr>
      <w:tblPr/>
      <w:tcPr>
        <w:shd w:val="clear" w:color="C4B7D4"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pPr>
        <w:snapToGrid/>
      </w:pPr>
      <w:rPr>
        <w:rFonts w:ascii="Arial" w:hAnsi="Arial"/>
        <w:b/>
        <w:color w:val="FFFFFF"/>
        <w:sz w:val="22"/>
      </w:rPr>
      <w:tblPr/>
      <w:tcPr>
        <w:shd w:val="clear" w:color="4BACC6" w:fill="4BACC6" w:themeFill="accent5"/>
      </w:tcPr>
    </w:tblStylePr>
    <w:tblStylePr w:type="lastRow">
      <w:pPr>
        <w:snapToGrid/>
      </w:pPr>
      <w:rPr>
        <w:rFonts w:ascii="Arial" w:hAnsi="Arial"/>
        <w:b/>
        <w:color w:val="FFFFFF"/>
        <w:sz w:val="22"/>
      </w:rPr>
      <w:tblPr/>
      <w:tcPr>
        <w:tcBorders>
          <w:top w:val="single" w:sz="4" w:space="0" w:color="FFFFFF" w:themeColor="light1"/>
        </w:tcBorders>
        <w:shd w:val="clear" w:color="4BACC6" w:fill="4BACC6" w:themeFill="accent5"/>
      </w:tcPr>
    </w:tblStylePr>
    <w:tblStylePr w:type="firstCol">
      <w:pPr>
        <w:snapToGrid/>
      </w:pPr>
      <w:rPr>
        <w:rFonts w:ascii="Arial" w:hAnsi="Arial"/>
        <w:b/>
        <w:color w:val="FFFFFF"/>
        <w:sz w:val="22"/>
      </w:rPr>
      <w:tblPr/>
      <w:tcPr>
        <w:shd w:val="clear" w:color="4BACC6" w:fill="4BACC6" w:themeFill="accent5"/>
      </w:tcPr>
    </w:tblStylePr>
    <w:tblStylePr w:type="lastCol">
      <w:pPr>
        <w:snapToGrid/>
      </w:pPr>
      <w:rPr>
        <w:rFonts w:ascii="Arial" w:hAnsi="Arial"/>
        <w:b/>
        <w:color w:val="FFFFFF"/>
        <w:sz w:val="22"/>
      </w:rPr>
      <w:tblPr/>
      <w:tcPr>
        <w:shd w:val="clear" w:color="4BACC6" w:fill="4BACC6" w:themeFill="accent5"/>
      </w:tcPr>
    </w:tblStylePr>
    <w:tblStylePr w:type="band1Vert">
      <w:pPr>
        <w:snapToGrid/>
      </w:pPr>
      <w:tblPr/>
      <w:tcPr>
        <w:shd w:val="clear" w:color="ACD8E4" w:fill="ACD8E4" w:themeFill="accent5" w:themeFillTint="75"/>
      </w:tcPr>
    </w:tblStylePr>
    <w:tblStylePr w:type="band2Vert">
      <w:pPr>
        <w:snapToGrid/>
      </w:pPr>
    </w:tblStylePr>
    <w:tblStylePr w:type="band1Horz">
      <w:pPr>
        <w:snapToGrid/>
      </w:pPr>
      <w:tblPr/>
      <w:tcPr>
        <w:shd w:val="clear" w:color="ACD8E4"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pPr>
        <w:snapToGrid/>
      </w:pPr>
      <w:rPr>
        <w:rFonts w:ascii="Arial" w:hAnsi="Arial"/>
        <w:b/>
        <w:color w:val="FFFFFF"/>
        <w:sz w:val="22"/>
      </w:rPr>
      <w:tblPr/>
      <w:tcPr>
        <w:shd w:val="clear" w:color="F79646" w:fill="F79646" w:themeFill="accent6"/>
      </w:tcPr>
    </w:tblStylePr>
    <w:tblStylePr w:type="lastRow">
      <w:pPr>
        <w:snapToGrid/>
      </w:pPr>
      <w:rPr>
        <w:rFonts w:ascii="Arial" w:hAnsi="Arial"/>
        <w:b/>
        <w:color w:val="FFFFFF"/>
        <w:sz w:val="22"/>
      </w:rPr>
      <w:tblPr/>
      <w:tcPr>
        <w:tcBorders>
          <w:top w:val="single" w:sz="4" w:space="0" w:color="FFFFFF" w:themeColor="light1"/>
        </w:tcBorders>
        <w:shd w:val="clear" w:color="F79646" w:fill="F79646" w:themeFill="accent6"/>
      </w:tcPr>
    </w:tblStylePr>
    <w:tblStylePr w:type="firstCol">
      <w:pPr>
        <w:snapToGrid/>
      </w:pPr>
      <w:rPr>
        <w:rFonts w:ascii="Arial" w:hAnsi="Arial"/>
        <w:b/>
        <w:color w:val="FFFFFF"/>
        <w:sz w:val="22"/>
      </w:rPr>
      <w:tblPr/>
      <w:tcPr>
        <w:shd w:val="clear" w:color="F79646" w:fill="F79646" w:themeFill="accent6"/>
      </w:tcPr>
    </w:tblStylePr>
    <w:tblStylePr w:type="lastCol">
      <w:pPr>
        <w:snapToGrid/>
      </w:pPr>
      <w:rPr>
        <w:rFonts w:ascii="Arial" w:hAnsi="Arial"/>
        <w:b/>
        <w:color w:val="FFFFFF"/>
        <w:sz w:val="22"/>
      </w:rPr>
      <w:tblPr/>
      <w:tcPr>
        <w:shd w:val="clear" w:color="F79646" w:fill="F79646" w:themeFill="accent6"/>
      </w:tcPr>
    </w:tblStylePr>
    <w:tblStylePr w:type="band1Vert">
      <w:pPr>
        <w:snapToGrid/>
      </w:pPr>
      <w:tblPr/>
      <w:tcPr>
        <w:shd w:val="clear" w:color="FBCEAA" w:fill="FBCEAA" w:themeFill="accent6" w:themeFillTint="75"/>
      </w:tcPr>
    </w:tblStylePr>
    <w:tblStylePr w:type="band2Vert">
      <w:pPr>
        <w:snapToGrid/>
      </w:pPr>
    </w:tblStylePr>
    <w:tblStylePr w:type="band1Horz">
      <w:pPr>
        <w:snapToGrid/>
      </w:pPr>
      <w:tblPr/>
      <w:tcPr>
        <w:shd w:val="clear" w:color="FBCEAA"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网格表 6 彩色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CBCBCB"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CBCBCB"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pPr>
        <w:snapToGrid/>
      </w:pPr>
      <w:rPr>
        <w:b/>
        <w:color w:val="A6BFDD" w:themeColor="accent1" w:themeTint="80" w:themeShade="95"/>
      </w:rPr>
      <w:tblPr/>
      <w:tcPr>
        <w:tcBorders>
          <w:bottom w:val="single" w:sz="12" w:space="0" w:color="A6BFDD" w:themeColor="accent1" w:themeTint="80"/>
        </w:tcBorders>
      </w:tcPr>
    </w:tblStylePr>
    <w:tblStylePr w:type="lastRow">
      <w:pPr>
        <w:snapToGrid/>
      </w:pPr>
      <w:rPr>
        <w:b/>
        <w:color w:val="A6BFDD" w:themeColor="accent1" w:themeTint="80" w:themeShade="95"/>
      </w:rPr>
    </w:tblStylePr>
    <w:tblStylePr w:type="firstCol">
      <w:pPr>
        <w:snapToGrid/>
      </w:pPr>
      <w:rPr>
        <w:b/>
        <w:color w:val="A6BFDD" w:themeColor="accent1" w:themeTint="80" w:themeShade="95"/>
      </w:rPr>
    </w:tblStylePr>
    <w:tblStylePr w:type="lastCol">
      <w:pPr>
        <w:snapToGrid/>
      </w:pPr>
      <w:rPr>
        <w:b/>
        <w:color w:val="A6BFDD" w:themeColor="accent1" w:themeTint="80" w:themeShade="95"/>
      </w:rPr>
    </w:tblStylePr>
    <w:tblStylePr w:type="band1Vert">
      <w:pPr>
        <w:snapToGrid/>
      </w:pPr>
      <w:tblPr/>
      <w:tcPr>
        <w:shd w:val="clear" w:color="DAE5F1"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DAE5F1"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pPr>
        <w:snapToGrid/>
      </w:pPr>
      <w:rPr>
        <w:b/>
        <w:color w:val="D99695" w:themeColor="accent2" w:themeTint="97" w:themeShade="95"/>
      </w:rPr>
      <w:tblPr/>
      <w:tcPr>
        <w:tcBorders>
          <w:bottom w:val="single" w:sz="12" w:space="0" w:color="D99695" w:themeColor="accent2" w:themeTint="97"/>
        </w:tcBorders>
      </w:tcPr>
    </w:tblStylePr>
    <w:tblStylePr w:type="lastRow">
      <w:pPr>
        <w:snapToGrid/>
      </w:pPr>
      <w:rPr>
        <w:b/>
        <w:color w:val="D99695" w:themeColor="accent2" w:themeTint="97" w:themeShade="95"/>
      </w:r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F2DCDC"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2DCDC"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pPr>
        <w:snapToGrid/>
      </w:pPr>
      <w:rPr>
        <w:b/>
        <w:color w:val="9ABB59" w:themeColor="accent3" w:themeTint="FE" w:themeShade="95"/>
      </w:rPr>
      <w:tblPr/>
      <w:tcPr>
        <w:tcBorders>
          <w:bottom w:val="single" w:sz="12" w:space="0" w:color="9ABB59" w:themeColor="accent3" w:themeTint="FE"/>
        </w:tcBorders>
      </w:tcPr>
    </w:tblStylePr>
    <w:tblStylePr w:type="lastRow">
      <w:pPr>
        <w:snapToGrid/>
      </w:pPr>
      <w:rPr>
        <w:b/>
        <w:color w:val="9ABB59" w:themeColor="accent3" w:themeTint="FE" w:themeShade="95"/>
      </w:rPr>
    </w:tblStylePr>
    <w:tblStylePr w:type="firstCol">
      <w:pPr>
        <w:snapToGrid/>
      </w:pPr>
      <w:rPr>
        <w:b/>
        <w:color w:val="9ABB59" w:themeColor="accent3" w:themeTint="FE" w:themeShade="95"/>
      </w:rPr>
    </w:tblStylePr>
    <w:tblStylePr w:type="lastCol">
      <w:pPr>
        <w:snapToGrid/>
      </w:pPr>
      <w:rPr>
        <w:b/>
        <w:color w:val="9ABB59" w:themeColor="accent3" w:themeTint="FE" w:themeShade="95"/>
      </w:rPr>
    </w:tblStylePr>
    <w:tblStylePr w:type="band1Vert">
      <w:pPr>
        <w:snapToGrid/>
      </w:pPr>
      <w:tblPr/>
      <w:tcPr>
        <w:shd w:val="clear" w:color="EAF1DC"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EAF1DC"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pPr>
        <w:snapToGrid/>
      </w:pPr>
      <w:rPr>
        <w:b/>
        <w:color w:val="B2A1C6" w:themeColor="accent4" w:themeTint="9A" w:themeShade="95"/>
      </w:rPr>
      <w:tblPr/>
      <w:tcPr>
        <w:tcBorders>
          <w:bottom w:val="single" w:sz="12" w:space="0" w:color="B2A1C6" w:themeColor="accent4" w:themeTint="9A"/>
        </w:tcBorders>
      </w:tcPr>
    </w:tblStylePr>
    <w:tblStylePr w:type="lastRow">
      <w:pPr>
        <w:snapToGrid/>
      </w:pPr>
      <w:rPr>
        <w:b/>
        <w:color w:val="B2A1C6" w:themeColor="accent4" w:themeTint="9A" w:themeShade="95"/>
      </w:r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E5DFEC"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E5DFEC"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pPr>
        <w:snapToGrid/>
      </w:pPr>
      <w:rPr>
        <w:b/>
        <w:color w:val="266779" w:themeColor="accent5" w:themeShade="95"/>
      </w:rPr>
      <w:tblPr/>
      <w:tcPr>
        <w:tcBorders>
          <w:bottom w:val="single" w:sz="12" w:space="0" w:color="4BACC6" w:themeColor="accent5"/>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DAEEF3"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DAEEF3"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pPr>
        <w:snapToGrid/>
      </w:pPr>
      <w:rPr>
        <w:b/>
        <w:color w:val="266779" w:themeColor="accent5" w:themeShade="95"/>
      </w:rPr>
      <w:tblPr/>
      <w:tcPr>
        <w:tcBorders>
          <w:bottom w:val="single" w:sz="12" w:space="0" w:color="F79646" w:themeColor="accent6"/>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FDE9D8" w:fill="FDE9D8" w:themeFill="accent6"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FDE9D8" w:fill="FDE9D8" w:themeFill="accent6"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网格表 7 彩色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pPr>
        <w:snapToGrid/>
      </w:pPr>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pPr>
        <w:snapToGrid/>
      </w:pPr>
      <w:tblPr/>
      <w:tcPr>
        <w:shd w:val="clear" w:color="F2F2F2" w:fill="F2F2F2" w:themeFill="text1" w:themeFillTint="0D"/>
      </w:tcPr>
    </w:tblStylePr>
    <w:tblStylePr w:type="band2Vert">
      <w:pPr>
        <w:snapToGrid/>
      </w:pPr>
    </w:tblStylePr>
    <w:tblStylePr w:type="band1Horz">
      <w:pPr>
        <w:snapToGrid/>
      </w:pPr>
      <w:rPr>
        <w:rFonts w:ascii="Arial" w:hAnsi="Arial"/>
        <w:color w:val="7F7F7F" w:themeColor="text1" w:themeTint="80" w:themeShade="95"/>
        <w:sz w:val="22"/>
      </w:rPr>
      <w:tblPr/>
      <w:tcPr>
        <w:shd w:val="clear" w:color="F2F2F2" w:fill="F2F2F2" w:themeFill="text1" w:themeFillTint="0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pPr>
        <w:snapToGrid/>
      </w:pPr>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pPr>
        <w:snapToGrid/>
      </w:pPr>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pPr>
        <w:snapToGrid/>
      </w:pPr>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pPr>
        <w:snapToGrid/>
      </w:pPr>
      <w:tblPr/>
      <w:tcPr>
        <w:shd w:val="clear" w:color="DAE5F1"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DAE5F1"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pPr>
        <w:snapToGrid/>
      </w:pPr>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pPr>
        <w:snapToGrid/>
      </w:pPr>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pPr>
        <w:snapToGrid/>
      </w:pPr>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pPr>
        <w:snapToGrid/>
      </w:pPr>
      <w:tblPr/>
      <w:tcPr>
        <w:shd w:val="clear" w:color="F2DCDC"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2DCDC"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pPr>
        <w:snapToGrid/>
      </w:pPr>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pPr>
        <w:snapToGrid/>
      </w:pPr>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pPr>
        <w:snapToGrid/>
      </w:pPr>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pPr>
        <w:snapToGrid/>
      </w:pPr>
      <w:tblPr/>
      <w:tcPr>
        <w:shd w:val="clear" w:color="EAF1DC"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EAF1DC"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pPr>
        <w:snapToGrid/>
      </w:pPr>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pPr>
        <w:snapToGrid/>
      </w:pPr>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pPr>
        <w:snapToGrid/>
      </w:pPr>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pPr>
        <w:snapToGrid/>
      </w:pPr>
      <w:tblPr/>
      <w:tcPr>
        <w:shd w:val="clear" w:color="E5DFEC"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E5DFEC"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pPr>
        <w:snapToGrid/>
      </w:pPr>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pPr>
        <w:snapToGrid/>
      </w:pPr>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pPr>
        <w:snapToGrid/>
      </w:pPr>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pPr>
        <w:snapToGrid/>
      </w:pPr>
      <w:tblPr/>
      <w:tcPr>
        <w:shd w:val="clear" w:color="DAEEF3"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DAEEF3"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pPr>
        <w:snapToGrid/>
      </w:pPr>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pPr>
        <w:snapToGrid/>
      </w:pPr>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pPr>
        <w:snapToGrid/>
      </w:pPr>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pPr>
        <w:snapToGrid/>
      </w:pPr>
      <w:tblPr/>
      <w:tcPr>
        <w:shd w:val="clear" w:color="FDE9D8" w:fill="FDE9D8" w:themeFill="accent6" w:themeFillTint="34"/>
      </w:tcPr>
    </w:tblStylePr>
    <w:tblStylePr w:type="band2Vert">
      <w:pPr>
        <w:snapToGrid/>
      </w:pPr>
    </w:tblStylePr>
    <w:tblStylePr w:type="band1Horz">
      <w:pPr>
        <w:snapToGrid/>
      </w:pPr>
      <w:rPr>
        <w:rFonts w:ascii="Arial" w:hAnsi="Arial"/>
        <w:color w:val="B15407" w:themeColor="accent6" w:themeShade="95"/>
        <w:sz w:val="22"/>
      </w:rPr>
      <w:tblPr/>
      <w:tcPr>
        <w:shd w:val="clear" w:color="FDE9D8" w:fill="FDE9D8" w:themeFill="accent6" w:themeFillTint="34"/>
      </w:tcPr>
    </w:tblStylePr>
    <w:tblStylePr w:type="band2Horz">
      <w:pPr>
        <w:snapToGrid/>
      </w:pPr>
      <w:rPr>
        <w:rFonts w:ascii="Arial" w:hAnsi="Arial"/>
        <w:color w:val="B15407"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
    <w:name w:val="清单表 1 浅色1"/>
    <w:uiPriority w:val="99"/>
    <w:qFormat/>
    <w:tblPr>
      <w:tblCellMar>
        <w:top w:w="0" w:type="dxa"/>
        <w:left w:w="0" w:type="dxa"/>
        <w:bottom w:w="0" w:type="dxa"/>
        <w:right w:w="0" w:type="dxa"/>
      </w:tblCellMar>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uiPriority w:val="99"/>
    <w:qFormat/>
    <w:tblPr>
      <w:tblCellMar>
        <w:top w:w="0" w:type="dxa"/>
        <w:left w:w="0" w:type="dxa"/>
        <w:bottom w:w="0" w:type="dxa"/>
        <w:right w:w="0" w:type="dxa"/>
      </w:tblCellMar>
    </w:tblPr>
    <w:tblStylePr w:type="firstRow">
      <w:pPr>
        <w:snapToGrid/>
      </w:pPr>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pPr>
        <w:snapToGrid/>
      </w:pPr>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2DFEE" w:fill="D2DFEE" w:themeFill="accent1" w:themeFillTint="40"/>
      </w:tcPr>
    </w:tblStylePr>
    <w:tblStylePr w:type="band2Vert">
      <w:pPr>
        <w:snapToGrid/>
      </w:pPr>
    </w:tblStylePr>
    <w:tblStylePr w:type="band1Horz">
      <w:pPr>
        <w:snapToGrid/>
      </w:pPr>
      <w:tblPr/>
      <w:tcPr>
        <w:shd w:val="clear" w:color="D2DFEE"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uiPriority w:val="99"/>
    <w:qFormat/>
    <w:tblPr>
      <w:tblCellMar>
        <w:top w:w="0" w:type="dxa"/>
        <w:left w:w="0" w:type="dxa"/>
        <w:bottom w:w="0" w:type="dxa"/>
        <w:right w:w="0" w:type="dxa"/>
      </w:tblCellMar>
    </w:tblPr>
    <w:tblStylePr w:type="firstRow">
      <w:pPr>
        <w:snapToGrid/>
      </w:pPr>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pPr>
        <w:snapToGrid/>
      </w:pPr>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EFD2D2" w:fill="EFD2D2" w:themeFill="accent2" w:themeFillTint="40"/>
      </w:tcPr>
    </w:tblStylePr>
    <w:tblStylePr w:type="band2Vert">
      <w:pPr>
        <w:snapToGrid/>
      </w:pPr>
    </w:tblStylePr>
    <w:tblStylePr w:type="band1Horz">
      <w:pPr>
        <w:snapToGrid/>
      </w:pPr>
      <w:tblPr/>
      <w:tcPr>
        <w:shd w:val="clear" w:color="EFD2D2"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uiPriority w:val="99"/>
    <w:qFormat/>
    <w:tblPr>
      <w:tblCellMar>
        <w:top w:w="0" w:type="dxa"/>
        <w:left w:w="0" w:type="dxa"/>
        <w:bottom w:w="0" w:type="dxa"/>
        <w:right w:w="0" w:type="dxa"/>
      </w:tblCellMar>
    </w:tblPr>
    <w:tblStylePr w:type="firstRow">
      <w:pPr>
        <w:snapToGrid/>
      </w:pPr>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pPr>
        <w:snapToGrid/>
      </w:pPr>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E5EED5" w:fill="E5EED5" w:themeFill="accent3" w:themeFillTint="40"/>
      </w:tcPr>
    </w:tblStylePr>
    <w:tblStylePr w:type="band2Vert">
      <w:pPr>
        <w:snapToGrid/>
      </w:pPr>
    </w:tblStylePr>
    <w:tblStylePr w:type="band1Horz">
      <w:pPr>
        <w:snapToGrid/>
      </w:pPr>
      <w:tblPr/>
      <w:tcPr>
        <w:shd w:val="clear" w:color="E5EED5"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uiPriority w:val="99"/>
    <w:qFormat/>
    <w:tblPr>
      <w:tblCellMar>
        <w:top w:w="0" w:type="dxa"/>
        <w:left w:w="0" w:type="dxa"/>
        <w:bottom w:w="0" w:type="dxa"/>
        <w:right w:w="0" w:type="dxa"/>
      </w:tblCellMar>
    </w:tblPr>
    <w:tblStylePr w:type="firstRow">
      <w:pPr>
        <w:snapToGrid/>
      </w:pPr>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pPr>
        <w:snapToGrid/>
      </w:pPr>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FD8E7" w:fill="DFD8E7" w:themeFill="accent4" w:themeFillTint="40"/>
      </w:tcPr>
    </w:tblStylePr>
    <w:tblStylePr w:type="band2Vert">
      <w:pPr>
        <w:snapToGrid/>
      </w:pPr>
    </w:tblStylePr>
    <w:tblStylePr w:type="band1Horz">
      <w:pPr>
        <w:snapToGrid/>
      </w:pPr>
      <w:tblPr/>
      <w:tcPr>
        <w:shd w:val="clear" w:color="DFD8E7"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uiPriority w:val="99"/>
    <w:qFormat/>
    <w:tblPr>
      <w:tblCellMar>
        <w:top w:w="0" w:type="dxa"/>
        <w:left w:w="0" w:type="dxa"/>
        <w:bottom w:w="0" w:type="dxa"/>
        <w:right w:w="0" w:type="dxa"/>
      </w:tblCellMar>
    </w:tblPr>
    <w:tblStylePr w:type="firstRow">
      <w:pPr>
        <w:snapToGrid/>
      </w:pPr>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1EAF0" w:fill="D1EAF0" w:themeFill="accent5" w:themeFillTint="40"/>
      </w:tcPr>
    </w:tblStylePr>
    <w:tblStylePr w:type="band2Vert">
      <w:pPr>
        <w:snapToGrid/>
      </w:pPr>
    </w:tblStylePr>
    <w:tblStylePr w:type="band1Horz">
      <w:pPr>
        <w:snapToGrid/>
      </w:pPr>
      <w:tblPr/>
      <w:tcPr>
        <w:shd w:val="clear" w:color="D1EAF0"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uiPriority w:val="99"/>
    <w:qFormat/>
    <w:tblPr>
      <w:tblCellMar>
        <w:top w:w="0" w:type="dxa"/>
        <w:left w:w="0" w:type="dxa"/>
        <w:bottom w:w="0" w:type="dxa"/>
        <w:right w:w="0" w:type="dxa"/>
      </w:tblCellMar>
    </w:tblPr>
    <w:tblStylePr w:type="firstRow">
      <w:pPr>
        <w:snapToGrid/>
      </w:pPr>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DE4D0" w:fill="FDE4D0" w:themeFill="accent6" w:themeFillTint="40"/>
      </w:tcPr>
    </w:tblStylePr>
    <w:tblStylePr w:type="band2Vert">
      <w:pPr>
        <w:snapToGrid/>
      </w:pPr>
    </w:tblStylePr>
    <w:tblStylePr w:type="band1Horz">
      <w:pPr>
        <w:snapToGrid/>
      </w:pPr>
      <w:tblPr/>
      <w:tcPr>
        <w:shd w:val="clear" w:color="FDE4D0"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2">
    <w:name w:val="清单表 2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2DFEE"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D2DFEE"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EFD2D2"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EFD2D2"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E5EED5"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E5EED5"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FD8E7"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DFD8E7"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uiPriority w:val="99"/>
    <w:qFormat/>
    <w:tblPr>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1EAF0"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D1EAF0"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uiPriority w:val="99"/>
    <w:qFormat/>
    <w:tblPr>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DE4D0"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DE4D0"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2">
    <w:name w:val="清单表 3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pPr>
        <w:snapToGrid/>
      </w:pPr>
      <w:rPr>
        <w:rFonts w:ascii="Arial" w:hAnsi="Arial"/>
        <w:b/>
        <w:color w:val="FFFFFF"/>
        <w:sz w:val="22"/>
      </w:rPr>
      <w:tblPr/>
      <w:tcPr>
        <w:shd w:val="clear" w:color="4F81BD"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hemeColor="accent1"/>
          <w:right w:val="single" w:sz="4" w:space="0" w:color="4F81BD"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4F81BD" w:themeColor="accent1"/>
          <w:bottom w:val="single" w:sz="4" w:space="0" w:color="4F81BD"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pPr>
        <w:snapToGrid/>
      </w:pPr>
      <w:rPr>
        <w:rFonts w:ascii="Arial" w:hAnsi="Arial"/>
        <w:b/>
        <w:color w:val="FFFFFF"/>
        <w:sz w:val="22"/>
      </w:rPr>
      <w:tblPr/>
      <w:tcPr>
        <w:shd w:val="clear" w:color="D99695" w:fill="D996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D99695" w:themeColor="accent2" w:themeTint="97"/>
          <w:bottom w:val="single" w:sz="4" w:space="0" w:color="D99695"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uiPriority w:val="99"/>
    <w:qFormat/>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pPr>
        <w:snapToGrid/>
      </w:pPr>
      <w:rPr>
        <w:rFonts w:ascii="Arial" w:hAnsi="Arial"/>
        <w:b/>
        <w:color w:val="FFFFFF"/>
        <w:sz w:val="22"/>
      </w:rPr>
      <w:tblPr/>
      <w:tcPr>
        <w:shd w:val="clear" w:color="C3D69B" w:fill="C3D69B"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3D69B" w:themeColor="accent3" w:themeTint="98"/>
          <w:bottom w:val="single" w:sz="4" w:space="0" w:color="C3D69B"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pPr>
        <w:snapToGrid/>
      </w:pPr>
      <w:rPr>
        <w:rFonts w:ascii="Arial" w:hAnsi="Arial"/>
        <w:b/>
        <w:color w:val="FFFFFF"/>
        <w:sz w:val="22"/>
      </w:rPr>
      <w:tblPr/>
      <w:tcPr>
        <w:shd w:val="clear" w:color="B2A1C6"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B2A1C6" w:themeColor="accent4" w:themeTint="9A"/>
          <w:bottom w:val="single" w:sz="4" w:space="0" w:color="B2A1C6"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uiPriority w:val="99"/>
    <w:qFormat/>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pPr>
        <w:snapToGrid/>
      </w:pPr>
      <w:rPr>
        <w:rFonts w:ascii="Arial" w:hAnsi="Arial"/>
        <w:b/>
        <w:color w:val="FFFFFF"/>
        <w:sz w:val="22"/>
      </w:rPr>
      <w:tblPr/>
      <w:tcPr>
        <w:shd w:val="clear" w:color="92CCDC"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92CCDC" w:themeColor="accent5" w:themeTint="9A"/>
          <w:bottom w:val="single" w:sz="4" w:space="0" w:color="92CCDC"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pPr>
        <w:snapToGrid/>
      </w:pPr>
      <w:rPr>
        <w:rFonts w:ascii="Arial" w:hAnsi="Arial"/>
        <w:b/>
        <w:color w:val="FFFFFF"/>
        <w:sz w:val="22"/>
      </w:rPr>
      <w:tblPr/>
      <w:tcPr>
        <w:shd w:val="clear" w:color="FAC090"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FAC090" w:themeColor="accent6" w:themeTint="98"/>
          <w:bottom w:val="single" w:sz="4" w:space="0" w:color="FAC090"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2">
    <w:name w:val="清单表 4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pPr>
        <w:snapToGrid/>
      </w:pPr>
      <w:rPr>
        <w:rFonts w:ascii="Arial" w:hAnsi="Arial"/>
        <w:b/>
        <w:color w:val="FFFFFF"/>
        <w:sz w:val="22"/>
      </w:rPr>
      <w:tblPr/>
      <w:tcPr>
        <w:shd w:val="clear" w:color="4F81BD"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2DFEE"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D2DFEE"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pPr>
        <w:snapToGrid/>
      </w:pPr>
      <w:rPr>
        <w:rFonts w:ascii="Arial" w:hAnsi="Arial"/>
        <w:b/>
        <w:color w:val="FFFFFF"/>
        <w:sz w:val="22"/>
      </w:rPr>
      <w:tblPr/>
      <w:tcPr>
        <w:shd w:val="clear" w:color="C0504D"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FD2D2"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EFD2D2"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pPr>
        <w:snapToGrid/>
      </w:pPr>
      <w:rPr>
        <w:rFonts w:ascii="Arial" w:hAnsi="Arial"/>
        <w:b/>
        <w:color w:val="FFFFFF"/>
        <w:sz w:val="22"/>
      </w:rPr>
      <w:tblPr/>
      <w:tcPr>
        <w:shd w:val="clear" w:color="9BBB59"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5EED5"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E5EED5"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pPr>
        <w:snapToGrid/>
      </w:pPr>
      <w:rPr>
        <w:rFonts w:ascii="Arial" w:hAnsi="Arial"/>
        <w:b/>
        <w:color w:val="FFFFFF"/>
        <w:sz w:val="22"/>
      </w:rPr>
      <w:tblPr/>
      <w:tcPr>
        <w:shd w:val="clear" w:color="8064A2"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FD8E7"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DFD8E7"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pPr>
        <w:snapToGrid/>
      </w:pPr>
      <w:rPr>
        <w:rFonts w:ascii="Arial" w:hAnsi="Arial"/>
        <w:b/>
        <w:color w:val="FFFFFF"/>
        <w:sz w:val="22"/>
      </w:rPr>
      <w:tblPr/>
      <w:tcPr>
        <w:shd w:val="clear" w:color="4BACC6"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1EAF0"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D1EAF0"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pPr>
        <w:snapToGrid/>
      </w:pPr>
      <w:rPr>
        <w:rFonts w:ascii="Arial" w:hAnsi="Arial"/>
        <w:b/>
        <w:color w:val="FFFFFF"/>
        <w:sz w:val="22"/>
      </w:rPr>
      <w:tblPr/>
      <w:tcPr>
        <w:shd w:val="clear" w:color="F79646"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DE4D0"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DE4D0"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2">
    <w:name w:val="清单表 5 深色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7F7F7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pPr>
        <w:snapToGrid/>
      </w:pPr>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4F81BD" w:themeColor="accent1"/>
        </w:tcBorders>
      </w:tcPr>
    </w:tblStylePr>
    <w:tblStylePr w:type="band1Vert">
      <w:pPr>
        <w:snapToGrid/>
      </w:pPr>
      <w:tblPr/>
      <w:tcPr>
        <w:tcBorders>
          <w:left w:val="single" w:sz="4" w:space="0" w:color="FFFFFF" w:themeColor="light1"/>
          <w:right w:val="single" w:sz="4" w:space="0" w:color="FFFFFF" w:themeColor="light1"/>
        </w:tcBorders>
        <w:shd w:val="clear" w:color="4F81BD" w:fill="4F81BD"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4F81BD" w:fill="4F81BD" w:themeFill="accent1"/>
      </w:tcPr>
    </w:tblStylePr>
    <w:tblStylePr w:type="band2Horz">
      <w:pPr>
        <w:snapToGrid/>
      </w:pPr>
      <w:tblPr/>
      <w:tcPr>
        <w:tcBorders>
          <w:top w:val="single" w:sz="4" w:space="0" w:color="FFFFFF" w:themeColor="light1"/>
          <w:bottom w:val="single" w:sz="4" w:space="0" w:color="FFFFFF" w:themeColor="light1"/>
        </w:tcBorders>
        <w:shd w:val="clear" w:color="4F81BD"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pPr>
        <w:snapToGrid/>
      </w:pPr>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fill="D99695"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D99695"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D99695" w:fill="D996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pPr>
        <w:snapToGrid/>
      </w:pPr>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fill="C3D69B"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3D69B"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C3D69B" w:fill="C3D69B"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pPr>
        <w:snapToGrid/>
      </w:pPr>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fill="B2A1C6"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B2A1C6"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B2A1C6"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pPr>
        <w:snapToGrid/>
      </w:pPr>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fill="92CCDC"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92CCDC"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92CCDC"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pPr>
        <w:snapToGrid/>
      </w:pPr>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fill="FAC090"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FAC090"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FAC090"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1">
    <w:name w:val="清单表 6 彩色1"/>
    <w:uiPriority w:val="99"/>
    <w:qFormat/>
    <w:tblPr>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BFBFB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uiPriority w:val="99"/>
    <w:qFormat/>
    <w:tblPr>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pPr>
        <w:snapToGrid/>
      </w:pPr>
      <w:rPr>
        <w:b/>
        <w:color w:val="2A4A71" w:themeColor="accent1" w:themeShade="95"/>
      </w:rPr>
      <w:tblPr/>
      <w:tcPr>
        <w:tcBorders>
          <w:bottom w:val="single" w:sz="4" w:space="0" w:color="4F81BD" w:themeColor="accent1"/>
        </w:tcBorders>
      </w:tcPr>
    </w:tblStylePr>
    <w:tblStylePr w:type="lastRow">
      <w:pPr>
        <w:snapToGrid/>
      </w:pPr>
      <w:rPr>
        <w:b/>
        <w:color w:val="2A4A71" w:themeColor="accent1" w:themeShade="95"/>
      </w:rPr>
      <w:tblPr/>
      <w:tcPr>
        <w:tcBorders>
          <w:top w:val="single" w:sz="4" w:space="0" w:color="4F81BD" w:themeColor="accent1"/>
        </w:tcBorders>
      </w:tcPr>
    </w:tblStylePr>
    <w:tblStylePr w:type="firstCol">
      <w:pPr>
        <w:snapToGrid/>
      </w:pPr>
      <w:rPr>
        <w:b/>
        <w:color w:val="2A4A71" w:themeColor="accent1" w:themeShade="95"/>
      </w:rPr>
    </w:tblStylePr>
    <w:tblStylePr w:type="lastCol">
      <w:pPr>
        <w:snapToGrid/>
      </w:pPr>
      <w:rPr>
        <w:b/>
        <w:color w:val="2A4A71" w:themeColor="accent1" w:themeShade="95"/>
      </w:rPr>
    </w:tblStylePr>
    <w:tblStylePr w:type="band1Vert">
      <w:pPr>
        <w:snapToGrid/>
      </w:pPr>
      <w:tblPr/>
      <w:tcPr>
        <w:shd w:val="clear" w:color="D2DFEE"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D2DFEE"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uiPriority w:val="99"/>
    <w:qFormat/>
    <w:tblPr>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pPr>
        <w:snapToGrid/>
      </w:pPr>
      <w:rPr>
        <w:b/>
        <w:color w:val="D99695" w:themeColor="accent2" w:themeTint="97" w:themeShade="95"/>
      </w:rPr>
      <w:tblPr/>
      <w:tcPr>
        <w:tcBorders>
          <w:bottom w:val="single" w:sz="4" w:space="0" w:color="D99695" w:themeColor="accent2" w:themeTint="97"/>
        </w:tcBorders>
      </w:tcPr>
    </w:tblStylePr>
    <w:tblStylePr w:type="lastRow">
      <w:pPr>
        <w:snapToGrid/>
      </w:pPr>
      <w:rPr>
        <w:b/>
        <w:color w:val="D99695" w:themeColor="accent2" w:themeTint="97" w:themeShade="95"/>
      </w:rPr>
      <w:tblPr/>
      <w:tcPr>
        <w:tcBorders>
          <w:top w:val="single" w:sz="4" w:space="0" w:color="D99695" w:themeColor="accent2" w:themeTint="97"/>
        </w:tcBorders>
      </w:tc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EFD2D2"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EFD2D2"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uiPriority w:val="99"/>
    <w:qFormat/>
    <w:tblPr>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pPr>
        <w:snapToGrid/>
      </w:pPr>
      <w:rPr>
        <w:b/>
        <w:color w:val="C3D69B" w:themeColor="accent3" w:themeTint="98" w:themeShade="95"/>
      </w:rPr>
      <w:tblPr/>
      <w:tcPr>
        <w:tcBorders>
          <w:bottom w:val="single" w:sz="4" w:space="0" w:color="C3D69B" w:themeColor="accent3" w:themeTint="98"/>
        </w:tcBorders>
      </w:tcPr>
    </w:tblStylePr>
    <w:tblStylePr w:type="lastRow">
      <w:pPr>
        <w:snapToGrid/>
      </w:pPr>
      <w:rPr>
        <w:b/>
        <w:color w:val="C3D69B" w:themeColor="accent3" w:themeTint="98" w:themeShade="95"/>
      </w:rPr>
      <w:tblPr/>
      <w:tcPr>
        <w:tcBorders>
          <w:top w:val="single" w:sz="4" w:space="0" w:color="C3D69B" w:themeColor="accent3" w:themeTint="98"/>
        </w:tcBorders>
      </w:tcPr>
    </w:tblStylePr>
    <w:tblStylePr w:type="firstCol">
      <w:pPr>
        <w:snapToGrid/>
      </w:pPr>
      <w:rPr>
        <w:b/>
        <w:color w:val="C3D69B" w:themeColor="accent3" w:themeTint="98" w:themeShade="95"/>
      </w:rPr>
    </w:tblStylePr>
    <w:tblStylePr w:type="lastCol">
      <w:pPr>
        <w:snapToGrid/>
      </w:pPr>
      <w:rPr>
        <w:b/>
        <w:color w:val="C3D69B" w:themeColor="accent3" w:themeTint="98" w:themeShade="95"/>
      </w:rPr>
    </w:tblStylePr>
    <w:tblStylePr w:type="band1Vert">
      <w:pPr>
        <w:snapToGrid/>
      </w:pPr>
      <w:tblPr/>
      <w:tcPr>
        <w:shd w:val="clear" w:color="E5EED5"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E5EED5"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uiPriority w:val="99"/>
    <w:qFormat/>
    <w:tblPr>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pPr>
        <w:snapToGrid/>
      </w:pPr>
      <w:rPr>
        <w:b/>
        <w:color w:val="B2A1C6" w:themeColor="accent4" w:themeTint="9A" w:themeShade="95"/>
      </w:rPr>
      <w:tblPr/>
      <w:tcPr>
        <w:tcBorders>
          <w:bottom w:val="single" w:sz="4" w:space="0" w:color="B2A1C6" w:themeColor="accent4" w:themeTint="9A"/>
        </w:tcBorders>
      </w:tcPr>
    </w:tblStylePr>
    <w:tblStylePr w:type="lastRow">
      <w:pPr>
        <w:snapToGrid/>
      </w:pPr>
      <w:rPr>
        <w:b/>
        <w:color w:val="B2A1C6" w:themeColor="accent4" w:themeTint="9A" w:themeShade="95"/>
      </w:rPr>
      <w:tblPr/>
      <w:tcPr>
        <w:tcBorders>
          <w:top w:val="single" w:sz="4" w:space="0" w:color="B2A1C6" w:themeColor="accent4" w:themeTint="9A"/>
        </w:tcBorders>
      </w:tc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DFD8E7"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DFD8E7"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uiPriority w:val="99"/>
    <w:qFormat/>
    <w:tblPr>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pPr>
        <w:snapToGrid/>
      </w:pPr>
      <w:rPr>
        <w:b/>
        <w:color w:val="92CCDC" w:themeColor="accent5" w:themeTint="9A" w:themeShade="95"/>
      </w:rPr>
      <w:tblPr/>
      <w:tcPr>
        <w:tcBorders>
          <w:bottom w:val="single" w:sz="4" w:space="0" w:color="92CCDC" w:themeColor="accent5" w:themeTint="9A"/>
        </w:tcBorders>
      </w:tcPr>
    </w:tblStylePr>
    <w:tblStylePr w:type="lastRow">
      <w:pPr>
        <w:snapToGrid/>
      </w:pPr>
      <w:rPr>
        <w:b/>
        <w:color w:val="92CCDC" w:themeColor="accent5" w:themeTint="9A" w:themeShade="95"/>
      </w:rPr>
      <w:tblPr/>
      <w:tcPr>
        <w:tcBorders>
          <w:top w:val="single" w:sz="4" w:space="0" w:color="92CCDC" w:themeColor="accent5" w:themeTint="9A"/>
        </w:tcBorders>
      </w:tcPr>
    </w:tblStylePr>
    <w:tblStylePr w:type="firstCol">
      <w:pPr>
        <w:snapToGrid/>
      </w:pPr>
      <w:rPr>
        <w:b/>
        <w:color w:val="92CCDC" w:themeColor="accent5" w:themeTint="9A" w:themeShade="95"/>
      </w:rPr>
    </w:tblStylePr>
    <w:tblStylePr w:type="lastCol">
      <w:pPr>
        <w:snapToGrid/>
      </w:pPr>
      <w:rPr>
        <w:b/>
        <w:color w:val="92CCDC" w:themeColor="accent5" w:themeTint="9A" w:themeShade="95"/>
      </w:rPr>
    </w:tblStylePr>
    <w:tblStylePr w:type="band1Vert">
      <w:pPr>
        <w:snapToGrid/>
      </w:pPr>
      <w:tblPr/>
      <w:tcPr>
        <w:shd w:val="clear" w:color="D1EAF0"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D1EAF0"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uiPriority w:val="99"/>
    <w:qFormat/>
    <w:tblPr>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pPr>
        <w:snapToGrid/>
      </w:pPr>
      <w:rPr>
        <w:b/>
        <w:color w:val="FAC090" w:themeColor="accent6" w:themeTint="98" w:themeShade="95"/>
      </w:rPr>
      <w:tblPr/>
      <w:tcPr>
        <w:tcBorders>
          <w:bottom w:val="single" w:sz="4" w:space="0" w:color="FAC090" w:themeColor="accent6" w:themeTint="98"/>
        </w:tcBorders>
      </w:tcPr>
    </w:tblStylePr>
    <w:tblStylePr w:type="lastRow">
      <w:pPr>
        <w:snapToGrid/>
      </w:pPr>
      <w:rPr>
        <w:b/>
        <w:color w:val="FAC090" w:themeColor="accent6" w:themeTint="98" w:themeShade="95"/>
      </w:rPr>
      <w:tblPr/>
      <w:tcPr>
        <w:tcBorders>
          <w:top w:val="single" w:sz="4" w:space="0" w:color="FAC090" w:themeColor="accent6" w:themeTint="98"/>
        </w:tcBorders>
      </w:tcPr>
    </w:tblStylePr>
    <w:tblStylePr w:type="firstCol">
      <w:pPr>
        <w:snapToGrid/>
      </w:pPr>
      <w:rPr>
        <w:b/>
        <w:color w:val="FAC090" w:themeColor="accent6" w:themeTint="98" w:themeShade="95"/>
      </w:rPr>
    </w:tblStylePr>
    <w:tblStylePr w:type="lastCol">
      <w:pPr>
        <w:snapToGrid/>
      </w:pPr>
      <w:rPr>
        <w:b/>
        <w:color w:val="FAC090" w:themeColor="accent6" w:themeTint="98" w:themeShade="95"/>
      </w:rPr>
    </w:tblStylePr>
    <w:tblStylePr w:type="band1Vert">
      <w:pPr>
        <w:snapToGrid/>
      </w:pPr>
      <w:tblPr/>
      <w:tcPr>
        <w:shd w:val="clear" w:color="FDE4D0"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FDE4D0"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1">
    <w:name w:val="清单表 7 彩色1"/>
    <w:uiPriority w:val="99"/>
    <w:qFormat/>
    <w:tblPr>
      <w:tblBorders>
        <w:right w:val="single" w:sz="4" w:space="0" w:color="7F7F7F" w:themeColor="text1" w:themeTint="80"/>
      </w:tblBorders>
      <w:tblCellMar>
        <w:top w:w="0" w:type="dxa"/>
        <w:left w:w="0" w:type="dxa"/>
        <w:bottom w:w="0" w:type="dxa"/>
        <w:right w:w="0" w:type="dxa"/>
      </w:tblCellMar>
    </w:tblPr>
    <w:tblStylePr w:type="firstRow">
      <w:pPr>
        <w:snapToGrid/>
      </w:pPr>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BFBFBF"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uiPriority w:val="99"/>
    <w:qFormat/>
    <w:tblPr>
      <w:tblBorders>
        <w:right w:val="single" w:sz="4" w:space="0" w:color="4F81BD" w:themeColor="accent1"/>
      </w:tblBorders>
      <w:tblCellMar>
        <w:top w:w="0" w:type="dxa"/>
        <w:left w:w="0" w:type="dxa"/>
        <w:bottom w:w="0" w:type="dxa"/>
        <w:right w:w="0" w:type="dxa"/>
      </w:tblCellMar>
    </w:tblPr>
    <w:tblStylePr w:type="firstRow">
      <w:pPr>
        <w:snapToGrid/>
      </w:pPr>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pPr>
        <w:snapToGrid/>
      </w:pPr>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pPr>
        <w:snapToGrid/>
      </w:pPr>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pPr>
        <w:snapToGrid/>
      </w:pPr>
      <w:tblPr/>
      <w:tcPr>
        <w:shd w:val="clear" w:color="D2DFEE"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D2DFEE"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uiPriority w:val="99"/>
    <w:qFormat/>
    <w:tblPr>
      <w:tblBorders>
        <w:right w:val="single" w:sz="4" w:space="0" w:color="D99695" w:themeColor="accent2" w:themeTint="97"/>
      </w:tblBorders>
      <w:tblCellMar>
        <w:top w:w="0" w:type="dxa"/>
        <w:left w:w="0" w:type="dxa"/>
        <w:bottom w:w="0" w:type="dxa"/>
        <w:right w:w="0" w:type="dxa"/>
      </w:tblCellMar>
    </w:tblPr>
    <w:tblStylePr w:type="firstRow">
      <w:pPr>
        <w:snapToGrid/>
      </w:pPr>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pPr>
        <w:snapToGrid/>
      </w:pPr>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pPr>
        <w:snapToGrid/>
      </w:pPr>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pPr>
        <w:snapToGrid/>
      </w:pPr>
      <w:tblPr/>
      <w:tcPr>
        <w:shd w:val="clear" w:color="EFD2D2"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EFD2D2"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uiPriority w:val="99"/>
    <w:qFormat/>
    <w:tblPr>
      <w:tblBorders>
        <w:right w:val="single" w:sz="4" w:space="0" w:color="C3D69B" w:themeColor="accent3" w:themeTint="98"/>
      </w:tblBorders>
      <w:tblCellMar>
        <w:top w:w="0" w:type="dxa"/>
        <w:left w:w="0" w:type="dxa"/>
        <w:bottom w:w="0" w:type="dxa"/>
        <w:right w:w="0" w:type="dxa"/>
      </w:tblCellMar>
    </w:tblPr>
    <w:tblStylePr w:type="firstRow">
      <w:pPr>
        <w:snapToGrid/>
      </w:pPr>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pPr>
        <w:snapToGrid/>
      </w:pPr>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pPr>
        <w:snapToGrid/>
      </w:pPr>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pPr>
        <w:snapToGrid/>
      </w:pPr>
      <w:tblPr/>
      <w:tcPr>
        <w:shd w:val="clear" w:color="E5EED5"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E5EED5"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uiPriority w:val="99"/>
    <w:qFormat/>
    <w:tblPr>
      <w:tblBorders>
        <w:right w:val="single" w:sz="4" w:space="0" w:color="B2A1C6" w:themeColor="accent4" w:themeTint="9A"/>
      </w:tblBorders>
      <w:tblCellMar>
        <w:top w:w="0" w:type="dxa"/>
        <w:left w:w="0" w:type="dxa"/>
        <w:bottom w:w="0" w:type="dxa"/>
        <w:right w:w="0" w:type="dxa"/>
      </w:tblCellMar>
    </w:tblPr>
    <w:tblStylePr w:type="firstRow">
      <w:pPr>
        <w:snapToGrid/>
      </w:pPr>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pPr>
        <w:snapToGrid/>
      </w:pPr>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pPr>
        <w:snapToGrid/>
      </w:pPr>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pPr>
        <w:snapToGrid/>
      </w:pPr>
      <w:tblPr/>
      <w:tcPr>
        <w:shd w:val="clear" w:color="DFD8E7"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DFD8E7"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uiPriority w:val="99"/>
    <w:qFormat/>
    <w:tblPr>
      <w:tblBorders>
        <w:right w:val="single" w:sz="4" w:space="0" w:color="92CCDC" w:themeColor="accent5" w:themeTint="9A"/>
      </w:tblBorders>
      <w:tblCellMar>
        <w:top w:w="0" w:type="dxa"/>
        <w:left w:w="0" w:type="dxa"/>
        <w:bottom w:w="0" w:type="dxa"/>
        <w:right w:w="0" w:type="dxa"/>
      </w:tblCellMar>
    </w:tblPr>
    <w:tblStylePr w:type="firstRow">
      <w:pPr>
        <w:snapToGrid/>
      </w:pPr>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pPr>
        <w:snapToGrid/>
      </w:pPr>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pPr>
        <w:snapToGrid/>
      </w:pPr>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pPr>
        <w:snapToGrid/>
      </w:pPr>
      <w:tblPr/>
      <w:tcPr>
        <w:shd w:val="clear" w:color="D1EAF0"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D1EAF0"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uiPriority w:val="99"/>
    <w:qFormat/>
    <w:tblPr>
      <w:tblBorders>
        <w:right w:val="single" w:sz="4" w:space="0" w:color="FAC090" w:themeColor="accent6" w:themeTint="98"/>
      </w:tblBorders>
      <w:tblCellMar>
        <w:top w:w="0" w:type="dxa"/>
        <w:left w:w="0" w:type="dxa"/>
        <w:bottom w:w="0" w:type="dxa"/>
        <w:right w:w="0" w:type="dxa"/>
      </w:tblCellMar>
    </w:tblPr>
    <w:tblStylePr w:type="firstRow">
      <w:pPr>
        <w:snapToGrid/>
      </w:pPr>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pPr>
        <w:snapToGrid/>
      </w:pPr>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pPr>
        <w:snapToGrid/>
      </w:pPr>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pPr>
        <w:snapToGrid/>
      </w:pPr>
      <w:tblPr/>
      <w:tcPr>
        <w:shd w:val="clear" w:color="FDE4D0"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FDE4D0"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uiPriority w:val="99"/>
    <w:qFormat/>
    <w:rPr>
      <w:color w:val="404040"/>
    </w:rPr>
    <w:tblPr>
      <w:tblCellMar>
        <w:top w:w="0" w:type="dxa"/>
        <w:left w:w="0" w:type="dxa"/>
        <w:bottom w:w="0" w:type="dxa"/>
        <w:right w:w="0" w:type="dxa"/>
      </w:tblCellMar>
    </w:tblPr>
    <w:tblStylePr w:type="firstRow">
      <w:pPr>
        <w:snapToGrid/>
      </w:pPr>
      <w:rPr>
        <w:rFonts w:ascii="Arial" w:hAnsi="Arial"/>
        <w:color w:val="F2F2F2"/>
        <w:sz w:val="22"/>
      </w:rPr>
      <w:tblPr/>
      <w:tcPr>
        <w:shd w:val="clear" w:color="7F7F7F" w:fill="7F7F7F" w:themeFill="text1" w:themeFillTint="80"/>
      </w:tcPr>
    </w:tblStylePr>
    <w:tblStylePr w:type="lastRow">
      <w:pPr>
        <w:snapToGrid/>
      </w:pPr>
      <w:rPr>
        <w:rFonts w:ascii="Arial" w:hAnsi="Arial"/>
        <w:color w:val="F2F2F2"/>
        <w:sz w:val="22"/>
      </w:rPr>
      <w:tblPr/>
      <w:tcPr>
        <w:shd w:val="clear" w:color="7F7F7F" w:fill="7F7F7F" w:themeFill="text1" w:themeFillTint="80"/>
      </w:tcPr>
    </w:tblStylePr>
    <w:tblStylePr w:type="firstCol">
      <w:pPr>
        <w:snapToGrid/>
      </w:pPr>
      <w:rPr>
        <w:rFonts w:ascii="Arial" w:hAnsi="Arial"/>
        <w:color w:val="F2F2F2"/>
        <w:sz w:val="22"/>
      </w:rPr>
      <w:tblPr/>
      <w:tcPr>
        <w:shd w:val="clear" w:color="7F7F7F" w:fill="7F7F7F" w:themeFill="text1" w:themeFillTint="80"/>
      </w:tcPr>
    </w:tblStylePr>
    <w:tblStylePr w:type="lastCol">
      <w:pPr>
        <w:snapToGrid/>
      </w:pPr>
      <w:rPr>
        <w:rFonts w:ascii="Arial" w:hAnsi="Arial"/>
        <w:color w:val="F2F2F2"/>
        <w:sz w:val="22"/>
      </w:rPr>
      <w:tblPr/>
      <w:tcPr>
        <w:shd w:val="clear" w:color="7F7F7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F2F2"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F2F2"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uiPriority w:val="99"/>
    <w:qFormat/>
    <w:rPr>
      <w:color w:val="404040"/>
    </w:rPr>
    <w:tblPr>
      <w:tblCellMar>
        <w:top w:w="0" w:type="dxa"/>
        <w:left w:w="0" w:type="dxa"/>
        <w:bottom w:w="0" w:type="dxa"/>
        <w:right w:w="0" w:type="dxa"/>
      </w:tblCellMar>
    </w:tblPr>
    <w:tblStylePr w:type="firstRow">
      <w:pPr>
        <w:snapToGrid/>
      </w:pPr>
      <w:rPr>
        <w:rFonts w:ascii="Arial" w:hAnsi="Arial"/>
        <w:color w:val="F2F2F2"/>
        <w:sz w:val="22"/>
      </w:rPr>
      <w:tblPr/>
      <w:tcPr>
        <w:shd w:val="clear" w:color="5D8AC2" w:fill="5D8AC2" w:themeFill="accent1" w:themeFillTint="EA"/>
      </w:tcPr>
    </w:tblStylePr>
    <w:tblStylePr w:type="lastRow">
      <w:pPr>
        <w:snapToGrid/>
      </w:pPr>
      <w:rPr>
        <w:rFonts w:ascii="Arial" w:hAnsi="Arial"/>
        <w:color w:val="F2F2F2"/>
        <w:sz w:val="22"/>
      </w:rPr>
      <w:tblPr/>
      <w:tcPr>
        <w:shd w:val="clear" w:color="5D8AC2" w:fill="5D8AC2" w:themeFill="accent1" w:themeFillTint="EA"/>
      </w:tcPr>
    </w:tblStylePr>
    <w:tblStylePr w:type="firstCol">
      <w:pPr>
        <w:snapToGrid/>
      </w:pPr>
      <w:rPr>
        <w:rFonts w:ascii="Arial" w:hAnsi="Arial"/>
        <w:color w:val="F2F2F2"/>
        <w:sz w:val="22"/>
      </w:rPr>
      <w:tblPr/>
      <w:tcPr>
        <w:shd w:val="clear" w:color="5D8AC2" w:fill="5D8AC2" w:themeFill="accent1" w:themeFillTint="EA"/>
      </w:tcPr>
    </w:tblStylePr>
    <w:tblStylePr w:type="lastCol">
      <w:pPr>
        <w:snapToGrid/>
      </w:pPr>
      <w:rPr>
        <w:rFonts w:ascii="Arial" w:hAnsi="Arial"/>
        <w:color w:val="F2F2F2"/>
        <w:sz w:val="22"/>
      </w:rPr>
      <w:tblPr/>
      <w:tcPr>
        <w:shd w:val="clear" w:color="5D8AC2"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C7D7EA"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C7D7EA"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uiPriority w:val="99"/>
    <w:qFormat/>
    <w:rPr>
      <w:color w:val="404040"/>
    </w:rPr>
    <w:tblPr>
      <w:tblCellMar>
        <w:top w:w="0" w:type="dxa"/>
        <w:left w:w="0" w:type="dxa"/>
        <w:bottom w:w="0" w:type="dxa"/>
        <w:right w:w="0" w:type="dxa"/>
      </w:tblCellMar>
    </w:tblPr>
    <w:tblStylePr w:type="firstRow">
      <w:pPr>
        <w:snapToGrid/>
      </w:pPr>
      <w:rPr>
        <w:rFonts w:ascii="Arial" w:hAnsi="Arial"/>
        <w:color w:val="F2F2F2"/>
        <w:sz w:val="22"/>
      </w:rPr>
      <w:tblPr/>
      <w:tcPr>
        <w:shd w:val="clear" w:color="D99695" w:fill="D99695" w:themeFill="accent2" w:themeFillTint="97"/>
      </w:tcPr>
    </w:tblStylePr>
    <w:tblStylePr w:type="lastRow">
      <w:pPr>
        <w:snapToGrid/>
      </w:pPr>
      <w:rPr>
        <w:rFonts w:ascii="Arial" w:hAnsi="Arial"/>
        <w:color w:val="F2F2F2"/>
        <w:sz w:val="22"/>
      </w:rPr>
      <w:tblPr/>
      <w:tcPr>
        <w:shd w:val="clear" w:color="D99695" w:fill="D99695" w:themeFill="accent2" w:themeFillTint="97"/>
      </w:tcPr>
    </w:tblStylePr>
    <w:tblStylePr w:type="firstCol">
      <w:pPr>
        <w:snapToGrid/>
      </w:pPr>
      <w:rPr>
        <w:rFonts w:ascii="Arial" w:hAnsi="Arial"/>
        <w:color w:val="F2F2F2"/>
        <w:sz w:val="22"/>
      </w:rPr>
      <w:tblPr/>
      <w:tcPr>
        <w:shd w:val="clear" w:color="D99695" w:fill="D99695" w:themeFill="accent2" w:themeFillTint="97"/>
      </w:tcPr>
    </w:tblStylePr>
    <w:tblStylePr w:type="lastCol">
      <w:pPr>
        <w:snapToGrid/>
      </w:pPr>
      <w:rPr>
        <w:rFonts w:ascii="Arial" w:hAnsi="Arial"/>
        <w:color w:val="F2F2F2"/>
        <w:sz w:val="22"/>
      </w:rPr>
      <w:tblPr/>
      <w:tcPr>
        <w:shd w:val="clear" w:color="D99695"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DCDC"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DCDC"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uiPriority w:val="99"/>
    <w:qFormat/>
    <w:rPr>
      <w:color w:val="404040"/>
    </w:rPr>
    <w:tblPr>
      <w:tblCellMar>
        <w:top w:w="0" w:type="dxa"/>
        <w:left w:w="0" w:type="dxa"/>
        <w:bottom w:w="0" w:type="dxa"/>
        <w:right w:w="0" w:type="dxa"/>
      </w:tblCellMar>
    </w:tblPr>
    <w:tblStylePr w:type="firstRow">
      <w:pPr>
        <w:snapToGrid/>
      </w:pPr>
      <w:rPr>
        <w:rFonts w:ascii="Arial" w:hAnsi="Arial"/>
        <w:color w:val="F2F2F2"/>
        <w:sz w:val="22"/>
      </w:rPr>
      <w:tblPr/>
      <w:tcPr>
        <w:shd w:val="clear" w:color="9ABB59" w:fill="9ABB59" w:themeFill="accent3" w:themeFillTint="FE"/>
      </w:tcPr>
    </w:tblStylePr>
    <w:tblStylePr w:type="lastRow">
      <w:pPr>
        <w:snapToGrid/>
      </w:pPr>
      <w:rPr>
        <w:rFonts w:ascii="Arial" w:hAnsi="Arial"/>
        <w:color w:val="F2F2F2"/>
        <w:sz w:val="22"/>
      </w:rPr>
      <w:tblPr/>
      <w:tcPr>
        <w:shd w:val="clear" w:color="9ABB59" w:fill="9ABB59" w:themeFill="accent3" w:themeFillTint="FE"/>
      </w:tcPr>
    </w:tblStylePr>
    <w:tblStylePr w:type="firstCol">
      <w:pPr>
        <w:snapToGrid/>
      </w:pPr>
      <w:rPr>
        <w:rFonts w:ascii="Arial" w:hAnsi="Arial"/>
        <w:color w:val="F2F2F2"/>
        <w:sz w:val="22"/>
      </w:rPr>
      <w:tblPr/>
      <w:tcPr>
        <w:shd w:val="clear" w:color="9ABB59" w:fill="9ABB59" w:themeFill="accent3" w:themeFillTint="FE"/>
      </w:tcPr>
    </w:tblStylePr>
    <w:tblStylePr w:type="lastCol">
      <w:pPr>
        <w:snapToGrid/>
      </w:pPr>
      <w:rPr>
        <w:rFonts w:ascii="Arial" w:hAnsi="Arial"/>
        <w:color w:val="F2F2F2"/>
        <w:sz w:val="22"/>
      </w:rPr>
      <w:tblPr/>
      <w:tcPr>
        <w:shd w:val="clear" w:color="9ABB59"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AF1DC"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AF1DC"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uiPriority w:val="99"/>
    <w:qFormat/>
    <w:rPr>
      <w:color w:val="404040"/>
    </w:rPr>
    <w:tblPr>
      <w:tblCellMar>
        <w:top w:w="0" w:type="dxa"/>
        <w:left w:w="0" w:type="dxa"/>
        <w:bottom w:w="0" w:type="dxa"/>
        <w:right w:w="0" w:type="dxa"/>
      </w:tblCellMar>
    </w:tblPr>
    <w:tblStylePr w:type="firstRow">
      <w:pPr>
        <w:snapToGrid/>
      </w:pPr>
      <w:rPr>
        <w:rFonts w:ascii="Arial" w:hAnsi="Arial"/>
        <w:color w:val="F2F2F2"/>
        <w:sz w:val="22"/>
      </w:rPr>
      <w:tblPr/>
      <w:tcPr>
        <w:shd w:val="clear" w:color="B2A1C6" w:fill="B2A1C6" w:themeFill="accent4" w:themeFillTint="9A"/>
      </w:tcPr>
    </w:tblStylePr>
    <w:tblStylePr w:type="lastRow">
      <w:pPr>
        <w:snapToGrid/>
      </w:pPr>
      <w:rPr>
        <w:rFonts w:ascii="Arial" w:hAnsi="Arial"/>
        <w:color w:val="F2F2F2"/>
        <w:sz w:val="22"/>
      </w:rPr>
      <w:tblPr/>
      <w:tcPr>
        <w:shd w:val="clear" w:color="B2A1C6" w:fill="B2A1C6" w:themeFill="accent4" w:themeFillTint="9A"/>
      </w:tcPr>
    </w:tblStylePr>
    <w:tblStylePr w:type="firstCol">
      <w:pPr>
        <w:snapToGrid/>
      </w:pPr>
      <w:rPr>
        <w:rFonts w:ascii="Arial" w:hAnsi="Arial"/>
        <w:color w:val="F2F2F2"/>
        <w:sz w:val="22"/>
      </w:rPr>
      <w:tblPr/>
      <w:tcPr>
        <w:shd w:val="clear" w:color="B2A1C6" w:fill="B2A1C6" w:themeFill="accent4" w:themeFillTint="9A"/>
      </w:tcPr>
    </w:tblStylePr>
    <w:tblStylePr w:type="lastCol">
      <w:pPr>
        <w:snapToGrid/>
      </w:pPr>
      <w:rPr>
        <w:rFonts w:ascii="Arial" w:hAnsi="Arial"/>
        <w:color w:val="F2F2F2"/>
        <w:sz w:val="22"/>
      </w:rPr>
      <w:tblPr/>
      <w:tcPr>
        <w:shd w:val="clear" w:color="B2A1C6"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5DFEC"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5DFEC"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uiPriority w:val="99"/>
    <w:qFormat/>
    <w:rPr>
      <w:color w:val="404040"/>
    </w:rPr>
    <w:tblPr>
      <w:tblCellMar>
        <w:top w:w="0" w:type="dxa"/>
        <w:left w:w="0" w:type="dxa"/>
        <w:bottom w:w="0" w:type="dxa"/>
        <w:right w:w="0" w:type="dxa"/>
      </w:tblCellMar>
    </w:tblPr>
    <w:tblStylePr w:type="firstRow">
      <w:pPr>
        <w:snapToGrid/>
      </w:pPr>
      <w:rPr>
        <w:rFonts w:ascii="Arial" w:hAnsi="Arial"/>
        <w:color w:val="F2F2F2"/>
        <w:sz w:val="22"/>
      </w:rPr>
      <w:tblPr/>
      <w:tcPr>
        <w:shd w:val="clear" w:color="4BACC6" w:fill="4BACC6" w:themeFill="accent5"/>
      </w:tcPr>
    </w:tblStylePr>
    <w:tblStylePr w:type="lastRow">
      <w:pPr>
        <w:snapToGrid/>
      </w:pPr>
      <w:rPr>
        <w:rFonts w:ascii="Arial" w:hAnsi="Arial"/>
        <w:color w:val="F2F2F2"/>
        <w:sz w:val="22"/>
      </w:rPr>
      <w:tblPr/>
      <w:tcPr>
        <w:shd w:val="clear" w:color="4BACC6" w:fill="4BACC6" w:themeFill="accent5"/>
      </w:tcPr>
    </w:tblStylePr>
    <w:tblStylePr w:type="firstCol">
      <w:pPr>
        <w:snapToGrid/>
      </w:pPr>
      <w:rPr>
        <w:rFonts w:ascii="Arial" w:hAnsi="Arial"/>
        <w:color w:val="F2F2F2"/>
        <w:sz w:val="22"/>
      </w:rPr>
      <w:tblPr/>
      <w:tcPr>
        <w:shd w:val="clear" w:color="4BACC6" w:fill="4BACC6" w:themeFill="accent5"/>
      </w:tcPr>
    </w:tblStylePr>
    <w:tblStylePr w:type="lastCol">
      <w:pPr>
        <w:snapToGrid/>
      </w:pPr>
      <w:rPr>
        <w:rFonts w:ascii="Arial" w:hAnsi="Arial"/>
        <w:color w:val="F2F2F2"/>
        <w:sz w:val="22"/>
      </w:rPr>
      <w:tblPr/>
      <w:tcPr>
        <w:shd w:val="clear" w:color="4BACC6"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DAEEF3"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DAEEF3"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uiPriority w:val="99"/>
    <w:qFormat/>
    <w:rPr>
      <w:color w:val="404040"/>
    </w:rPr>
    <w:tblPr>
      <w:tblCellMar>
        <w:top w:w="0" w:type="dxa"/>
        <w:left w:w="0" w:type="dxa"/>
        <w:bottom w:w="0" w:type="dxa"/>
        <w:right w:w="0" w:type="dxa"/>
      </w:tblCellMar>
    </w:tblPr>
    <w:tblStylePr w:type="firstRow">
      <w:pPr>
        <w:snapToGrid/>
      </w:pPr>
      <w:rPr>
        <w:rFonts w:ascii="Arial" w:hAnsi="Arial"/>
        <w:color w:val="F2F2F2"/>
        <w:sz w:val="22"/>
      </w:rPr>
      <w:tblPr/>
      <w:tcPr>
        <w:shd w:val="clear" w:color="F79646" w:fill="F79646" w:themeFill="accent6"/>
      </w:tcPr>
    </w:tblStylePr>
    <w:tblStylePr w:type="lastRow">
      <w:pPr>
        <w:snapToGrid/>
      </w:pPr>
      <w:rPr>
        <w:rFonts w:ascii="Arial" w:hAnsi="Arial"/>
        <w:color w:val="F2F2F2"/>
        <w:sz w:val="22"/>
      </w:rPr>
      <w:tblPr/>
      <w:tcPr>
        <w:shd w:val="clear" w:color="F79646" w:fill="F79646" w:themeFill="accent6"/>
      </w:tcPr>
    </w:tblStylePr>
    <w:tblStylePr w:type="firstCol">
      <w:pPr>
        <w:snapToGrid/>
      </w:pPr>
      <w:rPr>
        <w:rFonts w:ascii="Arial" w:hAnsi="Arial"/>
        <w:color w:val="F2F2F2"/>
        <w:sz w:val="22"/>
      </w:rPr>
      <w:tblPr/>
      <w:tcPr>
        <w:shd w:val="clear" w:color="F79646" w:fill="F79646" w:themeFill="accent6"/>
      </w:tcPr>
    </w:tblStylePr>
    <w:tblStylePr w:type="lastCol">
      <w:pPr>
        <w:snapToGrid/>
      </w:pPr>
      <w:rPr>
        <w:rFonts w:ascii="Arial" w:hAnsi="Arial"/>
        <w:color w:val="F2F2F2"/>
        <w:sz w:val="22"/>
      </w:rPr>
      <w:tblPr/>
      <w:tcPr>
        <w:shd w:val="clear" w:color="F79646"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DE9D8"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DE9D8"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pPr>
        <w:snapToGrid/>
      </w:pPr>
      <w:rPr>
        <w:rFonts w:ascii="Arial" w:hAnsi="Arial"/>
        <w:color w:val="F2F2F2"/>
        <w:sz w:val="22"/>
      </w:rPr>
      <w:tblPr/>
      <w:tcPr>
        <w:shd w:val="clear" w:color="7F7F7F" w:fill="7F7F7F" w:themeFill="text1" w:themeFillTint="80"/>
      </w:tcPr>
    </w:tblStylePr>
    <w:tblStylePr w:type="lastRow">
      <w:pPr>
        <w:snapToGrid/>
      </w:pPr>
      <w:rPr>
        <w:rFonts w:ascii="Arial" w:hAnsi="Arial"/>
        <w:color w:val="F2F2F2"/>
        <w:sz w:val="22"/>
      </w:rPr>
      <w:tblPr/>
      <w:tcPr>
        <w:shd w:val="clear" w:color="7F7F7F" w:fill="7F7F7F" w:themeFill="text1" w:themeFillTint="80"/>
      </w:tcPr>
    </w:tblStylePr>
    <w:tblStylePr w:type="firstCol">
      <w:pPr>
        <w:snapToGrid/>
      </w:pPr>
      <w:rPr>
        <w:rFonts w:ascii="Arial" w:hAnsi="Arial"/>
        <w:color w:val="F2F2F2"/>
        <w:sz w:val="22"/>
      </w:rPr>
      <w:tblPr/>
      <w:tcPr>
        <w:shd w:val="clear" w:color="7F7F7F" w:fill="7F7F7F" w:themeFill="text1" w:themeFillTint="80"/>
      </w:tcPr>
    </w:tblStylePr>
    <w:tblStylePr w:type="lastCol">
      <w:pPr>
        <w:snapToGrid/>
      </w:pPr>
      <w:rPr>
        <w:rFonts w:ascii="Arial" w:hAnsi="Arial"/>
        <w:color w:val="F2F2F2"/>
        <w:sz w:val="22"/>
      </w:rPr>
      <w:tblPr/>
      <w:tcPr>
        <w:shd w:val="clear" w:color="7F7F7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F2F2"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F2F2"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uiPriority w:val="99"/>
    <w:qFormat/>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pPr>
        <w:snapToGrid/>
      </w:pPr>
      <w:rPr>
        <w:rFonts w:ascii="Arial" w:hAnsi="Arial"/>
        <w:color w:val="F2F2F2"/>
        <w:sz w:val="22"/>
      </w:rPr>
      <w:tblPr/>
      <w:tcPr>
        <w:shd w:val="clear" w:color="5D8AC2" w:fill="5D8AC2" w:themeFill="accent1" w:themeFillTint="EA"/>
      </w:tcPr>
    </w:tblStylePr>
    <w:tblStylePr w:type="lastRow">
      <w:pPr>
        <w:snapToGrid/>
      </w:pPr>
      <w:rPr>
        <w:rFonts w:ascii="Arial" w:hAnsi="Arial"/>
        <w:color w:val="F2F2F2"/>
        <w:sz w:val="22"/>
      </w:rPr>
      <w:tblPr/>
      <w:tcPr>
        <w:shd w:val="clear" w:color="5D8AC2" w:fill="5D8AC2" w:themeFill="accent1" w:themeFillTint="EA"/>
      </w:tcPr>
    </w:tblStylePr>
    <w:tblStylePr w:type="firstCol">
      <w:pPr>
        <w:snapToGrid/>
      </w:pPr>
      <w:rPr>
        <w:rFonts w:ascii="Arial" w:hAnsi="Arial"/>
        <w:color w:val="F2F2F2"/>
        <w:sz w:val="22"/>
      </w:rPr>
      <w:tblPr/>
      <w:tcPr>
        <w:shd w:val="clear" w:color="5D8AC2" w:fill="5D8AC2" w:themeFill="accent1" w:themeFillTint="EA"/>
      </w:tcPr>
    </w:tblStylePr>
    <w:tblStylePr w:type="lastCol">
      <w:pPr>
        <w:snapToGrid/>
      </w:pPr>
      <w:rPr>
        <w:rFonts w:ascii="Arial" w:hAnsi="Arial"/>
        <w:color w:val="F2F2F2"/>
        <w:sz w:val="22"/>
      </w:rPr>
      <w:tblPr/>
      <w:tcPr>
        <w:shd w:val="clear" w:color="5D8AC2"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C7D7EA"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C7D7EA"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uiPriority w:val="99"/>
    <w:qFormat/>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pPr>
        <w:snapToGrid/>
      </w:pPr>
      <w:rPr>
        <w:rFonts w:ascii="Arial" w:hAnsi="Arial"/>
        <w:color w:val="F2F2F2"/>
        <w:sz w:val="22"/>
      </w:rPr>
      <w:tblPr/>
      <w:tcPr>
        <w:shd w:val="clear" w:color="D99695" w:fill="D99695" w:themeFill="accent2" w:themeFillTint="97"/>
      </w:tcPr>
    </w:tblStylePr>
    <w:tblStylePr w:type="lastRow">
      <w:pPr>
        <w:snapToGrid/>
      </w:pPr>
      <w:rPr>
        <w:rFonts w:ascii="Arial" w:hAnsi="Arial"/>
        <w:color w:val="F2F2F2"/>
        <w:sz w:val="22"/>
      </w:rPr>
      <w:tblPr/>
      <w:tcPr>
        <w:shd w:val="clear" w:color="D99695" w:fill="D99695" w:themeFill="accent2" w:themeFillTint="97"/>
      </w:tcPr>
    </w:tblStylePr>
    <w:tblStylePr w:type="firstCol">
      <w:pPr>
        <w:snapToGrid/>
      </w:pPr>
      <w:rPr>
        <w:rFonts w:ascii="Arial" w:hAnsi="Arial"/>
        <w:color w:val="F2F2F2"/>
        <w:sz w:val="22"/>
      </w:rPr>
      <w:tblPr/>
      <w:tcPr>
        <w:shd w:val="clear" w:color="D99695" w:fill="D99695" w:themeFill="accent2" w:themeFillTint="97"/>
      </w:tcPr>
    </w:tblStylePr>
    <w:tblStylePr w:type="lastCol">
      <w:pPr>
        <w:snapToGrid/>
      </w:pPr>
      <w:rPr>
        <w:rFonts w:ascii="Arial" w:hAnsi="Arial"/>
        <w:color w:val="F2F2F2"/>
        <w:sz w:val="22"/>
      </w:rPr>
      <w:tblPr/>
      <w:tcPr>
        <w:shd w:val="clear" w:color="D99695"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DCDC"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DCDC"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uiPriority w:val="99"/>
    <w:qFormat/>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pPr>
        <w:snapToGrid/>
      </w:pPr>
      <w:rPr>
        <w:rFonts w:ascii="Arial" w:hAnsi="Arial"/>
        <w:color w:val="F2F2F2"/>
        <w:sz w:val="22"/>
      </w:rPr>
      <w:tblPr/>
      <w:tcPr>
        <w:shd w:val="clear" w:color="9ABB59" w:fill="9ABB59" w:themeFill="accent3" w:themeFillTint="FE"/>
      </w:tcPr>
    </w:tblStylePr>
    <w:tblStylePr w:type="lastRow">
      <w:pPr>
        <w:snapToGrid/>
      </w:pPr>
      <w:rPr>
        <w:rFonts w:ascii="Arial" w:hAnsi="Arial"/>
        <w:color w:val="F2F2F2"/>
        <w:sz w:val="22"/>
      </w:rPr>
      <w:tblPr/>
      <w:tcPr>
        <w:shd w:val="clear" w:color="9ABB59" w:fill="9ABB59" w:themeFill="accent3" w:themeFillTint="FE"/>
      </w:tcPr>
    </w:tblStylePr>
    <w:tblStylePr w:type="firstCol">
      <w:pPr>
        <w:snapToGrid/>
      </w:pPr>
      <w:rPr>
        <w:rFonts w:ascii="Arial" w:hAnsi="Arial"/>
        <w:color w:val="F2F2F2"/>
        <w:sz w:val="22"/>
      </w:rPr>
      <w:tblPr/>
      <w:tcPr>
        <w:shd w:val="clear" w:color="9ABB59" w:fill="9ABB59" w:themeFill="accent3" w:themeFillTint="FE"/>
      </w:tcPr>
    </w:tblStylePr>
    <w:tblStylePr w:type="lastCol">
      <w:pPr>
        <w:snapToGrid/>
      </w:pPr>
      <w:rPr>
        <w:rFonts w:ascii="Arial" w:hAnsi="Arial"/>
        <w:color w:val="F2F2F2"/>
        <w:sz w:val="22"/>
      </w:rPr>
      <w:tblPr/>
      <w:tcPr>
        <w:shd w:val="clear" w:color="9ABB59"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AF1DC"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AF1DC"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uiPriority w:val="99"/>
    <w:qFormat/>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pPr>
        <w:snapToGrid/>
      </w:pPr>
      <w:rPr>
        <w:rFonts w:ascii="Arial" w:hAnsi="Arial"/>
        <w:color w:val="F2F2F2"/>
        <w:sz w:val="22"/>
      </w:rPr>
      <w:tblPr/>
      <w:tcPr>
        <w:shd w:val="clear" w:color="B2A1C6" w:fill="B2A1C6" w:themeFill="accent4" w:themeFillTint="9A"/>
      </w:tcPr>
    </w:tblStylePr>
    <w:tblStylePr w:type="lastRow">
      <w:pPr>
        <w:snapToGrid/>
      </w:pPr>
      <w:rPr>
        <w:rFonts w:ascii="Arial" w:hAnsi="Arial"/>
        <w:color w:val="F2F2F2"/>
        <w:sz w:val="22"/>
      </w:rPr>
      <w:tblPr/>
      <w:tcPr>
        <w:shd w:val="clear" w:color="B2A1C6" w:fill="B2A1C6" w:themeFill="accent4" w:themeFillTint="9A"/>
      </w:tcPr>
    </w:tblStylePr>
    <w:tblStylePr w:type="firstCol">
      <w:pPr>
        <w:snapToGrid/>
      </w:pPr>
      <w:rPr>
        <w:rFonts w:ascii="Arial" w:hAnsi="Arial"/>
        <w:color w:val="F2F2F2"/>
        <w:sz w:val="22"/>
      </w:rPr>
      <w:tblPr/>
      <w:tcPr>
        <w:shd w:val="clear" w:color="B2A1C6" w:fill="B2A1C6" w:themeFill="accent4" w:themeFillTint="9A"/>
      </w:tcPr>
    </w:tblStylePr>
    <w:tblStylePr w:type="lastCol">
      <w:pPr>
        <w:snapToGrid/>
      </w:pPr>
      <w:rPr>
        <w:rFonts w:ascii="Arial" w:hAnsi="Arial"/>
        <w:color w:val="F2F2F2"/>
        <w:sz w:val="22"/>
      </w:rPr>
      <w:tblPr/>
      <w:tcPr>
        <w:shd w:val="clear" w:color="B2A1C6"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5DFEC"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5DFEC"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uiPriority w:val="99"/>
    <w:qFormat/>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pPr>
        <w:snapToGrid/>
      </w:pPr>
      <w:rPr>
        <w:rFonts w:ascii="Arial" w:hAnsi="Arial"/>
        <w:color w:val="F2F2F2"/>
        <w:sz w:val="22"/>
      </w:rPr>
      <w:tblPr/>
      <w:tcPr>
        <w:shd w:val="clear" w:color="4BACC6" w:fill="4BACC6" w:themeFill="accent5"/>
      </w:tcPr>
    </w:tblStylePr>
    <w:tblStylePr w:type="lastRow">
      <w:pPr>
        <w:snapToGrid/>
      </w:pPr>
      <w:rPr>
        <w:rFonts w:ascii="Arial" w:hAnsi="Arial"/>
        <w:color w:val="F2F2F2"/>
        <w:sz w:val="22"/>
      </w:rPr>
      <w:tblPr/>
      <w:tcPr>
        <w:shd w:val="clear" w:color="4BACC6" w:fill="4BACC6" w:themeFill="accent5"/>
      </w:tcPr>
    </w:tblStylePr>
    <w:tblStylePr w:type="firstCol">
      <w:pPr>
        <w:snapToGrid/>
      </w:pPr>
      <w:rPr>
        <w:rFonts w:ascii="Arial" w:hAnsi="Arial"/>
        <w:color w:val="F2F2F2"/>
        <w:sz w:val="22"/>
      </w:rPr>
      <w:tblPr/>
      <w:tcPr>
        <w:shd w:val="clear" w:color="4BACC6" w:fill="4BACC6" w:themeFill="accent5"/>
      </w:tcPr>
    </w:tblStylePr>
    <w:tblStylePr w:type="lastCol">
      <w:pPr>
        <w:snapToGrid/>
      </w:pPr>
      <w:rPr>
        <w:rFonts w:ascii="Arial" w:hAnsi="Arial"/>
        <w:color w:val="F2F2F2"/>
        <w:sz w:val="22"/>
      </w:rPr>
      <w:tblPr/>
      <w:tcPr>
        <w:shd w:val="clear" w:color="4BACC6"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DAEEF3"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DAEEF3"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uiPriority w:val="99"/>
    <w:qFormat/>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pPr>
        <w:snapToGrid/>
      </w:pPr>
      <w:rPr>
        <w:rFonts w:ascii="Arial" w:hAnsi="Arial"/>
        <w:color w:val="F2F2F2"/>
        <w:sz w:val="22"/>
      </w:rPr>
      <w:tblPr/>
      <w:tcPr>
        <w:shd w:val="clear" w:color="F79646" w:fill="F79646" w:themeFill="accent6"/>
      </w:tcPr>
    </w:tblStylePr>
    <w:tblStylePr w:type="lastRow">
      <w:pPr>
        <w:snapToGrid/>
      </w:pPr>
      <w:rPr>
        <w:rFonts w:ascii="Arial" w:hAnsi="Arial"/>
        <w:color w:val="F2F2F2"/>
        <w:sz w:val="22"/>
      </w:rPr>
      <w:tblPr/>
      <w:tcPr>
        <w:shd w:val="clear" w:color="F79646" w:fill="F79646" w:themeFill="accent6"/>
      </w:tcPr>
    </w:tblStylePr>
    <w:tblStylePr w:type="firstCol">
      <w:pPr>
        <w:snapToGrid/>
      </w:pPr>
      <w:rPr>
        <w:rFonts w:ascii="Arial" w:hAnsi="Arial"/>
        <w:color w:val="F2F2F2"/>
        <w:sz w:val="22"/>
      </w:rPr>
      <w:tblPr/>
      <w:tcPr>
        <w:shd w:val="clear" w:color="F79646" w:fill="F79646" w:themeFill="accent6"/>
      </w:tcPr>
    </w:tblStylePr>
    <w:tblStylePr w:type="lastCol">
      <w:pPr>
        <w:snapToGrid/>
      </w:pPr>
      <w:rPr>
        <w:rFonts w:ascii="Arial" w:hAnsi="Arial"/>
        <w:color w:val="F2F2F2"/>
        <w:sz w:val="22"/>
      </w:rPr>
      <w:tblPr/>
      <w:tcPr>
        <w:shd w:val="clear" w:color="F79646"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DE9D8"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DE9D8"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pPr>
        <w:snapToGrid/>
      </w:pPr>
      <w:rPr>
        <w:rFonts w:ascii="Arial" w:hAnsi="Arial"/>
        <w:color w:val="404040"/>
        <w:sz w:val="22"/>
      </w:rPr>
      <w:tblPr/>
      <w:tcPr>
        <w:tcBorders>
          <w:bottom w:val="single" w:sz="12" w:space="0" w:color="4F81BD" w:themeColor="accent1"/>
        </w:tcBorders>
      </w:tcPr>
    </w:tblStylePr>
    <w:tblStylePr w:type="lastRow">
      <w:pPr>
        <w:snapToGrid/>
      </w:pPr>
      <w:rPr>
        <w:rFonts w:ascii="Arial" w:hAnsi="Arial"/>
        <w:color w:val="404040"/>
        <w:sz w:val="22"/>
      </w:rPr>
      <w:tblPr/>
      <w:tcPr>
        <w:tcBorders>
          <w:top w:val="single" w:sz="12" w:space="0" w:color="4F81BD"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pPr>
        <w:snapToGrid/>
      </w:pPr>
      <w:rPr>
        <w:rFonts w:ascii="Arial" w:hAnsi="Arial"/>
        <w:color w:val="404040"/>
        <w:sz w:val="22"/>
      </w:rPr>
      <w:tblPr/>
      <w:tcPr>
        <w:tcBorders>
          <w:bottom w:val="single" w:sz="12" w:space="0" w:color="D99695" w:themeColor="accent2" w:themeTint="97"/>
        </w:tcBorders>
      </w:tcPr>
    </w:tblStylePr>
    <w:tblStylePr w:type="lastRow">
      <w:pPr>
        <w:snapToGrid/>
      </w:pPr>
      <w:rPr>
        <w:rFonts w:ascii="Arial" w:hAnsi="Arial"/>
        <w:color w:val="404040"/>
        <w:sz w:val="22"/>
      </w:rPr>
      <w:tblPr/>
      <w:tcPr>
        <w:tcBorders>
          <w:top w:val="single" w:sz="12" w:space="0" w:color="D99695"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99695"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pPr>
        <w:snapToGrid/>
      </w:pPr>
      <w:rPr>
        <w:rFonts w:ascii="Arial" w:hAnsi="Arial"/>
        <w:color w:val="404040"/>
        <w:sz w:val="22"/>
      </w:rPr>
      <w:tblPr/>
      <w:tcPr>
        <w:tcBorders>
          <w:bottom w:val="single" w:sz="12" w:space="0" w:color="C3D69B" w:themeColor="accent3" w:themeTint="98"/>
        </w:tcBorders>
      </w:tcPr>
    </w:tblStylePr>
    <w:tblStylePr w:type="lastRow">
      <w:pPr>
        <w:snapToGrid/>
      </w:pPr>
      <w:rPr>
        <w:rFonts w:ascii="Arial" w:hAnsi="Arial"/>
        <w:color w:val="404040"/>
        <w:sz w:val="22"/>
      </w:rPr>
      <w:tblPr/>
      <w:tcPr>
        <w:tcBorders>
          <w:top w:val="single" w:sz="12" w:space="0" w:color="C3D69B"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pPr>
        <w:snapToGrid/>
      </w:pPr>
      <w:rPr>
        <w:rFonts w:ascii="Arial" w:hAnsi="Arial"/>
        <w:color w:val="404040"/>
        <w:sz w:val="22"/>
      </w:rPr>
      <w:tblPr/>
      <w:tcPr>
        <w:tcBorders>
          <w:bottom w:val="single" w:sz="12" w:space="0" w:color="B2A1C6" w:themeColor="accent4" w:themeTint="9A"/>
        </w:tcBorders>
      </w:tcPr>
    </w:tblStylePr>
    <w:tblStylePr w:type="lastRow">
      <w:pPr>
        <w:snapToGrid/>
      </w:pPr>
      <w:rPr>
        <w:rFonts w:ascii="Arial" w:hAnsi="Arial"/>
        <w:color w:val="404040"/>
        <w:sz w:val="22"/>
      </w:rPr>
      <w:tblPr/>
      <w:tcPr>
        <w:tcBorders>
          <w:top w:val="single" w:sz="12" w:space="0" w:color="B2A1C6"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2A1C6"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pPr>
        <w:snapToGrid/>
      </w:pPr>
      <w:rPr>
        <w:rFonts w:ascii="Arial" w:hAnsi="Arial"/>
        <w:color w:val="404040"/>
        <w:sz w:val="22"/>
      </w:rPr>
      <w:tblPr/>
      <w:tcPr>
        <w:tcBorders>
          <w:bottom w:val="single" w:sz="12" w:space="0" w:color="92CCDC" w:themeColor="accent5" w:themeTint="9A"/>
        </w:tcBorders>
      </w:tcPr>
    </w:tblStylePr>
    <w:tblStylePr w:type="lastRow">
      <w:pPr>
        <w:snapToGrid/>
      </w:pPr>
      <w:rPr>
        <w:rFonts w:ascii="Arial" w:hAnsi="Arial"/>
        <w:color w:val="404040"/>
        <w:sz w:val="22"/>
      </w:rPr>
      <w:tblPr/>
      <w:tcPr>
        <w:tcBorders>
          <w:top w:val="single" w:sz="12" w:space="0" w:color="92CCDC"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2CCDC"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pPr>
        <w:snapToGrid/>
      </w:pPr>
      <w:rPr>
        <w:rFonts w:ascii="Arial" w:hAnsi="Arial"/>
        <w:color w:val="404040"/>
        <w:sz w:val="22"/>
      </w:rPr>
      <w:tblPr/>
      <w:tcPr>
        <w:tcBorders>
          <w:bottom w:val="single" w:sz="12" w:space="0" w:color="FAC090" w:themeColor="accent6" w:themeTint="98"/>
        </w:tcBorders>
      </w:tcPr>
    </w:tblStylePr>
    <w:tblStylePr w:type="lastRow">
      <w:pPr>
        <w:snapToGrid/>
      </w:pPr>
      <w:rPr>
        <w:rFonts w:ascii="Arial" w:hAnsi="Arial"/>
        <w:color w:val="404040"/>
        <w:sz w:val="22"/>
      </w:rPr>
      <w:tblPr/>
      <w:tcPr>
        <w:tcBorders>
          <w:top w:val="single" w:sz="12" w:space="0" w:color="FAC090"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af">
    <w:name w:val="脚注文本 字符"/>
    <w:link w:val="ae"/>
    <w:uiPriority w:val="99"/>
    <w:qFormat/>
    <w:rPr>
      <w:sz w:val="18"/>
    </w:rPr>
  </w:style>
  <w:style w:type="character" w:customStyle="1" w:styleId="a7">
    <w:name w:val="尾注文本 字符"/>
    <w:link w:val="a6"/>
    <w:uiPriority w:val="99"/>
    <w:qFormat/>
    <w:rPr>
      <w:sz w:val="20"/>
    </w:rPr>
  </w:style>
  <w:style w:type="paragraph" w:customStyle="1" w:styleId="TOC1">
    <w:name w:val="TOC 标题1"/>
    <w:uiPriority w:val="39"/>
    <w:unhideWhenUsed/>
    <w:qFormat/>
  </w:style>
  <w:style w:type="paragraph" w:customStyle="1" w:styleId="121">
    <w:name w:val="正文121"/>
    <w:link w:val="read"/>
    <w:qFormat/>
    <w:pPr>
      <w:widowControl w:val="0"/>
      <w:jc w:val="both"/>
    </w:pPr>
    <w:rPr>
      <w:sz w:val="21"/>
      <w:szCs w:val="24"/>
    </w:rPr>
  </w:style>
  <w:style w:type="paragraph" w:customStyle="1" w:styleId="113">
    <w:name w:val="标题 11"/>
    <w:basedOn w:val="121"/>
    <w:next w:val="121"/>
    <w:link w:val="1Char"/>
    <w:qFormat/>
    <w:pPr>
      <w:keepNext/>
      <w:keepLines/>
      <w:spacing w:before="120" w:after="120" w:line="360" w:lineRule="auto"/>
      <w:outlineLvl w:val="0"/>
    </w:pPr>
    <w:rPr>
      <w:rFonts w:ascii="宋体"/>
      <w:b/>
      <w:color w:val="000000"/>
      <w:sz w:val="24"/>
      <w:szCs w:val="20"/>
    </w:rPr>
  </w:style>
  <w:style w:type="paragraph" w:customStyle="1" w:styleId="213">
    <w:name w:val="标题 21"/>
    <w:basedOn w:val="121"/>
    <w:next w:val="121"/>
    <w:link w:val="2Char"/>
    <w:qFormat/>
    <w:pPr>
      <w:keepNext/>
      <w:keepLines/>
      <w:spacing w:before="120" w:after="120" w:line="360" w:lineRule="auto"/>
      <w:outlineLvl w:val="1"/>
    </w:pPr>
    <w:rPr>
      <w:rFonts w:ascii="宋体" w:hAnsi="Arial"/>
      <w:b/>
      <w:szCs w:val="20"/>
    </w:rPr>
  </w:style>
  <w:style w:type="character" w:customStyle="1" w:styleId="15">
    <w:name w:val="默认段落字体1"/>
    <w:qFormat/>
  </w:style>
  <w:style w:type="table" w:customStyle="1" w:styleId="16">
    <w:name w:val="普通表格1"/>
    <w:qFormat/>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1Char">
    <w:name w:val="标题 1 Char"/>
    <w:basedOn w:val="15"/>
    <w:link w:val="113"/>
    <w:qFormat/>
    <w:rPr>
      <w:b/>
      <w:bCs/>
      <w:sz w:val="44"/>
      <w:szCs w:val="44"/>
    </w:rPr>
  </w:style>
  <w:style w:type="character" w:customStyle="1" w:styleId="2Char">
    <w:name w:val="标题 2 Char"/>
    <w:basedOn w:val="15"/>
    <w:link w:val="213"/>
    <w:semiHidden/>
    <w:qFormat/>
    <w:rPr>
      <w:rFonts w:ascii="Cambria" w:eastAsia="宋体" w:hAnsi="Cambria"/>
      <w:b/>
      <w:bCs/>
      <w:sz w:val="32"/>
      <w:szCs w:val="32"/>
    </w:rPr>
  </w:style>
  <w:style w:type="paragraph" w:customStyle="1" w:styleId="712">
    <w:name w:val="目录 71"/>
    <w:basedOn w:val="121"/>
    <w:next w:val="121"/>
    <w:semiHidden/>
    <w:qFormat/>
    <w:pPr>
      <w:ind w:leftChars="1200" w:left="2520"/>
    </w:pPr>
  </w:style>
  <w:style w:type="paragraph" w:customStyle="1" w:styleId="17">
    <w:name w:val="文档结构图1"/>
    <w:basedOn w:val="121"/>
    <w:link w:val="Char"/>
    <w:semiHidden/>
    <w:qFormat/>
    <w:pPr>
      <w:shd w:val="clear" w:color="000080" w:fill="000080"/>
    </w:pPr>
  </w:style>
  <w:style w:type="character" w:customStyle="1" w:styleId="Char">
    <w:name w:val="文档结构图 Char"/>
    <w:basedOn w:val="15"/>
    <w:link w:val="17"/>
    <w:semiHidden/>
    <w:qFormat/>
    <w:rPr>
      <w:sz w:val="2"/>
    </w:rPr>
  </w:style>
  <w:style w:type="paragraph" w:customStyle="1" w:styleId="18">
    <w:name w:val="批注文字1"/>
    <w:basedOn w:val="121"/>
    <w:link w:val="Char0"/>
    <w:semiHidden/>
    <w:qFormat/>
    <w:pPr>
      <w:jc w:val="left"/>
    </w:pPr>
  </w:style>
  <w:style w:type="character" w:customStyle="1" w:styleId="Char0">
    <w:name w:val="批注文字 Char"/>
    <w:basedOn w:val="15"/>
    <w:link w:val="18"/>
    <w:uiPriority w:val="99"/>
    <w:qFormat/>
    <w:rPr>
      <w:sz w:val="24"/>
      <w:szCs w:val="24"/>
    </w:rPr>
  </w:style>
  <w:style w:type="paragraph" w:customStyle="1" w:styleId="19">
    <w:name w:val="正文文本1"/>
    <w:basedOn w:val="121"/>
    <w:link w:val="Char1"/>
    <w:qFormat/>
    <w:pPr>
      <w:tabs>
        <w:tab w:val="left" w:pos="3780"/>
      </w:tabs>
      <w:autoSpaceDE w:val="0"/>
      <w:autoSpaceDN w:val="0"/>
      <w:spacing w:line="360" w:lineRule="auto"/>
      <w:outlineLvl w:val="0"/>
    </w:pPr>
    <w:rPr>
      <w:rFonts w:ascii="宋体" w:hAnsi="宋体"/>
      <w:b/>
      <w:bCs/>
      <w:color w:val="FF0000"/>
      <w:sz w:val="24"/>
    </w:rPr>
  </w:style>
  <w:style w:type="character" w:customStyle="1" w:styleId="Char1">
    <w:name w:val="正文文本 Char"/>
    <w:basedOn w:val="15"/>
    <w:link w:val="19"/>
    <w:semiHidden/>
    <w:qFormat/>
    <w:rPr>
      <w:sz w:val="24"/>
      <w:szCs w:val="24"/>
    </w:rPr>
  </w:style>
  <w:style w:type="paragraph" w:customStyle="1" w:styleId="1a">
    <w:name w:val="正文文本缩进1"/>
    <w:basedOn w:val="121"/>
    <w:link w:val="Char2"/>
    <w:qFormat/>
    <w:pPr>
      <w:spacing w:line="360" w:lineRule="auto"/>
      <w:ind w:firstLine="420"/>
    </w:pPr>
    <w:rPr>
      <w:szCs w:val="20"/>
    </w:rPr>
  </w:style>
  <w:style w:type="character" w:customStyle="1" w:styleId="Char2">
    <w:name w:val="正文文本缩进 Char"/>
    <w:basedOn w:val="15"/>
    <w:link w:val="1a"/>
    <w:qFormat/>
    <w:rPr>
      <w:sz w:val="24"/>
      <w:szCs w:val="24"/>
    </w:rPr>
  </w:style>
  <w:style w:type="paragraph" w:customStyle="1" w:styleId="513">
    <w:name w:val="目录 51"/>
    <w:basedOn w:val="121"/>
    <w:next w:val="121"/>
    <w:semiHidden/>
    <w:qFormat/>
    <w:pPr>
      <w:ind w:leftChars="800" w:left="1680"/>
    </w:pPr>
  </w:style>
  <w:style w:type="paragraph" w:customStyle="1" w:styleId="313">
    <w:name w:val="目录 31"/>
    <w:basedOn w:val="121"/>
    <w:next w:val="121"/>
    <w:semiHidden/>
    <w:qFormat/>
    <w:pPr>
      <w:ind w:leftChars="400" w:left="840"/>
    </w:pPr>
  </w:style>
  <w:style w:type="paragraph" w:customStyle="1" w:styleId="810">
    <w:name w:val="目录 81"/>
    <w:basedOn w:val="121"/>
    <w:next w:val="121"/>
    <w:semiHidden/>
    <w:qFormat/>
    <w:pPr>
      <w:ind w:leftChars="1400" w:left="2940"/>
    </w:pPr>
  </w:style>
  <w:style w:type="paragraph" w:customStyle="1" w:styleId="214">
    <w:name w:val="正文文本缩进 21"/>
    <w:basedOn w:val="121"/>
    <w:link w:val="2Char0"/>
    <w:qFormat/>
    <w:pPr>
      <w:tabs>
        <w:tab w:val="left" w:pos="1260"/>
      </w:tabs>
      <w:spacing w:line="360" w:lineRule="auto"/>
      <w:ind w:firstLineChars="200" w:firstLine="480"/>
    </w:pPr>
    <w:rPr>
      <w:rFonts w:ascii="宋体" w:hAnsi="宋体"/>
      <w:sz w:val="24"/>
    </w:rPr>
  </w:style>
  <w:style w:type="character" w:customStyle="1" w:styleId="2Char0">
    <w:name w:val="正文文本缩进 2 Char"/>
    <w:basedOn w:val="15"/>
    <w:link w:val="214"/>
    <w:semiHidden/>
    <w:qFormat/>
    <w:rPr>
      <w:sz w:val="24"/>
      <w:szCs w:val="24"/>
    </w:rPr>
  </w:style>
  <w:style w:type="paragraph" w:customStyle="1" w:styleId="1b">
    <w:name w:val="批注框文本1"/>
    <w:basedOn w:val="121"/>
    <w:link w:val="Char3"/>
    <w:semiHidden/>
    <w:qFormat/>
    <w:rPr>
      <w:sz w:val="18"/>
      <w:szCs w:val="18"/>
    </w:rPr>
  </w:style>
  <w:style w:type="character" w:customStyle="1" w:styleId="Char3">
    <w:name w:val="批注框文本 Char"/>
    <w:basedOn w:val="15"/>
    <w:link w:val="1b"/>
    <w:semiHidden/>
    <w:qFormat/>
    <w:rPr>
      <w:sz w:val="2"/>
    </w:rPr>
  </w:style>
  <w:style w:type="paragraph" w:customStyle="1" w:styleId="1c">
    <w:name w:val="页脚1"/>
    <w:basedOn w:val="121"/>
    <w:link w:val="Char4"/>
    <w:qFormat/>
    <w:pPr>
      <w:tabs>
        <w:tab w:val="center" w:pos="4153"/>
        <w:tab w:val="right" w:pos="8306"/>
      </w:tabs>
      <w:snapToGrid w:val="0"/>
      <w:jc w:val="left"/>
    </w:pPr>
    <w:rPr>
      <w:sz w:val="18"/>
      <w:szCs w:val="18"/>
    </w:rPr>
  </w:style>
  <w:style w:type="character" w:customStyle="1" w:styleId="Char4">
    <w:name w:val="页脚 Char"/>
    <w:basedOn w:val="15"/>
    <w:link w:val="1c"/>
    <w:semiHidden/>
    <w:qFormat/>
    <w:rPr>
      <w:sz w:val="18"/>
      <w:szCs w:val="18"/>
    </w:rPr>
  </w:style>
  <w:style w:type="paragraph" w:customStyle="1" w:styleId="1d">
    <w:name w:val="页眉1"/>
    <w:basedOn w:val="121"/>
    <w:link w:val="Char5"/>
    <w:qFormat/>
    <w:pPr>
      <w:pBdr>
        <w:bottom w:val="single" w:sz="6" w:space="1" w:color="000000"/>
      </w:pBdr>
      <w:tabs>
        <w:tab w:val="center" w:pos="4153"/>
        <w:tab w:val="right" w:pos="8306"/>
      </w:tabs>
      <w:snapToGrid w:val="0"/>
      <w:jc w:val="center"/>
    </w:pPr>
    <w:rPr>
      <w:sz w:val="18"/>
      <w:szCs w:val="18"/>
    </w:rPr>
  </w:style>
  <w:style w:type="character" w:customStyle="1" w:styleId="Char5">
    <w:name w:val="页眉 Char"/>
    <w:basedOn w:val="15"/>
    <w:link w:val="1d"/>
    <w:semiHidden/>
    <w:qFormat/>
    <w:rPr>
      <w:sz w:val="18"/>
      <w:szCs w:val="18"/>
    </w:rPr>
  </w:style>
  <w:style w:type="paragraph" w:customStyle="1" w:styleId="114">
    <w:name w:val="目录 11"/>
    <w:basedOn w:val="121"/>
    <w:next w:val="121"/>
    <w:qFormat/>
    <w:pPr>
      <w:tabs>
        <w:tab w:val="right" w:leader="dot" w:pos="8455"/>
      </w:tabs>
      <w:spacing w:before="120" w:line="360" w:lineRule="auto"/>
      <w:ind w:firstLine="425"/>
      <w:jc w:val="left"/>
    </w:pPr>
    <w:rPr>
      <w:b/>
      <w:caps/>
      <w:sz w:val="20"/>
      <w:szCs w:val="20"/>
    </w:rPr>
  </w:style>
  <w:style w:type="paragraph" w:customStyle="1" w:styleId="413">
    <w:name w:val="目录 41"/>
    <w:basedOn w:val="121"/>
    <w:next w:val="121"/>
    <w:semiHidden/>
    <w:qFormat/>
    <w:pPr>
      <w:ind w:leftChars="600" w:left="1260"/>
    </w:pPr>
  </w:style>
  <w:style w:type="paragraph" w:customStyle="1" w:styleId="612">
    <w:name w:val="目录 61"/>
    <w:basedOn w:val="121"/>
    <w:next w:val="121"/>
    <w:semiHidden/>
    <w:qFormat/>
    <w:pPr>
      <w:ind w:leftChars="1000" w:left="2100"/>
    </w:pPr>
  </w:style>
  <w:style w:type="paragraph" w:customStyle="1" w:styleId="215">
    <w:name w:val="目录 21"/>
    <w:basedOn w:val="121"/>
    <w:next w:val="121"/>
    <w:semiHidden/>
    <w:qFormat/>
    <w:pPr>
      <w:ind w:leftChars="200" w:left="420"/>
    </w:pPr>
  </w:style>
  <w:style w:type="paragraph" w:customStyle="1" w:styleId="910">
    <w:name w:val="目录 91"/>
    <w:basedOn w:val="121"/>
    <w:next w:val="121"/>
    <w:semiHidden/>
    <w:qFormat/>
    <w:pPr>
      <w:ind w:leftChars="1600" w:left="3360"/>
    </w:pPr>
  </w:style>
  <w:style w:type="paragraph" w:customStyle="1" w:styleId="216">
    <w:name w:val="正文文本 21"/>
    <w:basedOn w:val="121"/>
    <w:link w:val="2Char1"/>
    <w:qFormat/>
    <w:pPr>
      <w:tabs>
        <w:tab w:val="left" w:pos="3780"/>
      </w:tabs>
      <w:autoSpaceDE w:val="0"/>
      <w:autoSpaceDN w:val="0"/>
      <w:spacing w:line="300" w:lineRule="auto"/>
      <w:outlineLvl w:val="0"/>
    </w:pPr>
    <w:rPr>
      <w:rFonts w:ascii="宋体" w:hAnsi="宋体"/>
      <w:b/>
      <w:bCs/>
      <w:sz w:val="24"/>
    </w:rPr>
  </w:style>
  <w:style w:type="character" w:customStyle="1" w:styleId="2Char1">
    <w:name w:val="正文文本 2 Char"/>
    <w:basedOn w:val="15"/>
    <w:link w:val="216"/>
    <w:semiHidden/>
    <w:qFormat/>
    <w:rPr>
      <w:sz w:val="24"/>
      <w:szCs w:val="24"/>
    </w:rPr>
  </w:style>
  <w:style w:type="paragraph" w:customStyle="1" w:styleId="1e">
    <w:name w:val="批注主题1"/>
    <w:basedOn w:val="18"/>
    <w:next w:val="18"/>
    <w:link w:val="Char6"/>
    <w:semiHidden/>
    <w:qFormat/>
    <w:rPr>
      <w:b/>
      <w:bCs/>
    </w:rPr>
  </w:style>
  <w:style w:type="character" w:customStyle="1" w:styleId="Char6">
    <w:name w:val="批注主题 Char"/>
    <w:basedOn w:val="Char0"/>
    <w:link w:val="1e"/>
    <w:semiHidden/>
    <w:qFormat/>
    <w:rPr>
      <w:b/>
      <w:bCs/>
      <w:sz w:val="24"/>
      <w:szCs w:val="24"/>
    </w:rPr>
  </w:style>
  <w:style w:type="character" w:customStyle="1" w:styleId="1f">
    <w:name w:val="页码1"/>
    <w:basedOn w:val="15"/>
    <w:qFormat/>
  </w:style>
  <w:style w:type="character" w:customStyle="1" w:styleId="1f0">
    <w:name w:val="超链接1"/>
    <w:basedOn w:val="15"/>
    <w:qFormat/>
    <w:rPr>
      <w:color w:val="0000FF"/>
      <w:u w:val="single"/>
    </w:rPr>
  </w:style>
  <w:style w:type="character" w:customStyle="1" w:styleId="1f1">
    <w:name w:val="批注引用1"/>
    <w:basedOn w:val="15"/>
    <w:semiHidden/>
    <w:qFormat/>
    <w:rPr>
      <w:sz w:val="21"/>
    </w:rPr>
  </w:style>
  <w:style w:type="paragraph" w:customStyle="1" w:styleId="afd">
    <w:name w:val="正文所"/>
    <w:basedOn w:val="121"/>
    <w:qFormat/>
    <w:pPr>
      <w:spacing w:line="360" w:lineRule="auto"/>
      <w:ind w:firstLine="420"/>
    </w:pPr>
  </w:style>
  <w:style w:type="paragraph" w:customStyle="1" w:styleId="2025025">
    <w:name w:val="样式 首行缩进:  2 字符 段前: 0.25 行 段后: 0.25 行"/>
    <w:basedOn w:val="121"/>
    <w:qFormat/>
    <w:pPr>
      <w:spacing w:line="300" w:lineRule="auto"/>
      <w:ind w:firstLineChars="200" w:firstLine="420"/>
    </w:pPr>
    <w:rPr>
      <w:szCs w:val="21"/>
    </w:rPr>
  </w:style>
  <w:style w:type="paragraph" w:customStyle="1" w:styleId="Default">
    <w:name w:val="Default"/>
    <w:qFormat/>
    <w:pPr>
      <w:widowControl w:val="0"/>
      <w:autoSpaceDE w:val="0"/>
      <w:autoSpaceDN w:val="0"/>
    </w:pPr>
    <w:rPr>
      <w:rFonts w:ascii="宋体"/>
      <w:color w:val="000000"/>
      <w:sz w:val="24"/>
      <w:szCs w:val="24"/>
    </w:rPr>
  </w:style>
  <w:style w:type="paragraph" w:customStyle="1" w:styleId="ParaChar">
    <w:name w:val="默认段落字体 Para Char"/>
    <w:basedOn w:val="121"/>
    <w:qFormat/>
  </w:style>
  <w:style w:type="paragraph" w:customStyle="1" w:styleId="Char7">
    <w:name w:val="Char"/>
    <w:basedOn w:val="121"/>
    <w:qFormat/>
  </w:style>
  <w:style w:type="paragraph" w:customStyle="1" w:styleId="UCAlpha2">
    <w:name w:val="UCAlpha 2"/>
    <w:basedOn w:val="121"/>
    <w:qFormat/>
    <w:pPr>
      <w:widowControl/>
      <w:numPr>
        <w:numId w:val="1"/>
      </w:numPr>
      <w:spacing w:after="140" w:line="290" w:lineRule="auto"/>
    </w:pPr>
    <w:rPr>
      <w:rFonts w:ascii="Arial" w:hAnsi="Arial"/>
      <w:sz w:val="20"/>
      <w:lang w:val="en-GB" w:eastAsia="en-US"/>
    </w:rPr>
  </w:style>
  <w:style w:type="paragraph" w:customStyle="1" w:styleId="afe">
    <w:name w:val="合同正文"/>
    <w:basedOn w:val="121"/>
    <w:link w:val="Char8"/>
    <w:qFormat/>
    <w:pPr>
      <w:spacing w:line="360" w:lineRule="auto"/>
      <w:ind w:firstLineChars="200" w:firstLine="200"/>
    </w:pPr>
    <w:rPr>
      <w:bCs/>
      <w:sz w:val="24"/>
      <w:szCs w:val="20"/>
    </w:rPr>
  </w:style>
  <w:style w:type="character" w:customStyle="1" w:styleId="Char8">
    <w:name w:val="合同正文 Char"/>
    <w:link w:val="afe"/>
    <w:qFormat/>
    <w:rPr>
      <w:bCs/>
      <w:sz w:val="24"/>
      <w:szCs w:val="20"/>
    </w:rPr>
  </w:style>
  <w:style w:type="paragraph" w:customStyle="1" w:styleId="1f2">
    <w:name w:val="修订1"/>
    <w:semiHidden/>
    <w:qFormat/>
    <w:rPr>
      <w:sz w:val="21"/>
      <w:szCs w:val="24"/>
    </w:rPr>
  </w:style>
  <w:style w:type="paragraph" w:customStyle="1" w:styleId="1f3">
    <w:name w:val="列出段落1"/>
    <w:basedOn w:val="121"/>
    <w:qFormat/>
    <w:pPr>
      <w:ind w:firstLineChars="200" w:firstLine="420"/>
    </w:pPr>
    <w:rPr>
      <w:rFonts w:ascii="Calibri" w:hAnsi="Calibri"/>
      <w:szCs w:val="22"/>
    </w:rPr>
  </w:style>
  <w:style w:type="paragraph" w:customStyle="1" w:styleId="CharChar">
    <w:name w:val="Char Char"/>
    <w:basedOn w:val="121"/>
    <w:qFormat/>
    <w:rPr>
      <w:szCs w:val="20"/>
    </w:rPr>
  </w:style>
  <w:style w:type="paragraph" w:customStyle="1" w:styleId="CharChar1">
    <w:name w:val="Char Char1"/>
    <w:basedOn w:val="121"/>
    <w:qFormat/>
    <w:rPr>
      <w:szCs w:val="20"/>
    </w:rPr>
  </w:style>
  <w:style w:type="character" w:customStyle="1" w:styleId="read">
    <w:name w:val="read"/>
    <w:basedOn w:val="15"/>
    <w:link w:val="121"/>
    <w:qFormat/>
  </w:style>
  <w:style w:type="paragraph" w:customStyle="1" w:styleId="115">
    <w:name w:val="正文11"/>
    <w:qFormat/>
    <w:pPr>
      <w:widowControl w:val="0"/>
      <w:jc w:val="both"/>
    </w:pPr>
    <w:rPr>
      <w:sz w:val="21"/>
      <w:szCs w:val="24"/>
    </w:rPr>
  </w:style>
  <w:style w:type="paragraph" w:customStyle="1" w:styleId="1f4">
    <w:name w:val="正文1"/>
    <w:qFormat/>
    <w:pPr>
      <w:widowControl w:val="0"/>
      <w:spacing w:after="200" w:line="276" w:lineRule="auto"/>
      <w:jc w:val="both"/>
    </w:pPr>
    <w:rPr>
      <w:rFonts w:ascii="Arial" w:hAnsi="Arial"/>
      <w:sz w:val="21"/>
      <w:szCs w:val="24"/>
    </w:rPr>
  </w:style>
  <w:style w:type="paragraph" w:customStyle="1" w:styleId="120">
    <w:name w:val="正文12"/>
    <w:qFormat/>
    <w:pPr>
      <w:widowControl w:val="0"/>
      <w:jc w:val="both"/>
    </w:pPr>
    <w:rPr>
      <w:sz w:val="21"/>
      <w:szCs w:val="24"/>
    </w:rPr>
  </w:style>
  <w:style w:type="paragraph" w:styleId="aff">
    <w:name w:val="Balloon Text"/>
    <w:basedOn w:val="a"/>
    <w:link w:val="aff0"/>
    <w:uiPriority w:val="99"/>
    <w:semiHidden/>
    <w:unhideWhenUsed/>
    <w:rPr>
      <w:sz w:val="18"/>
      <w:szCs w:val="18"/>
    </w:rPr>
  </w:style>
  <w:style w:type="character" w:customStyle="1" w:styleId="aff0">
    <w:name w:val="批注框文本 字符"/>
    <w:basedOn w:val="a1"/>
    <w:link w:val="aff"/>
    <w:uiPriority w:val="99"/>
    <w:semiHidden/>
    <w:rPr>
      <w:sz w:val="18"/>
      <w:szCs w:val="18"/>
    </w:rPr>
  </w:style>
  <w:style w:type="character" w:styleId="aff1">
    <w:name w:val="annotation reference"/>
    <w:basedOn w:val="a1"/>
    <w:uiPriority w:val="99"/>
    <w:semiHidden/>
    <w:unhideWhenUsed/>
    <w:rPr>
      <w:sz w:val="21"/>
      <w:szCs w:val="21"/>
    </w:rPr>
  </w:style>
  <w:style w:type="paragraph" w:styleId="aff2">
    <w:name w:val="annotation text"/>
    <w:basedOn w:val="a"/>
    <w:link w:val="aff3"/>
    <w:uiPriority w:val="99"/>
    <w:unhideWhenUsed/>
    <w:qFormat/>
  </w:style>
  <w:style w:type="character" w:customStyle="1" w:styleId="aff3">
    <w:name w:val="批注文字 字符"/>
    <w:basedOn w:val="a1"/>
    <w:link w:val="aff2"/>
    <w:uiPriority w:val="99"/>
    <w:semiHidden/>
  </w:style>
  <w:style w:type="paragraph" w:styleId="aff4">
    <w:name w:val="annotation subject"/>
    <w:basedOn w:val="aff2"/>
    <w:next w:val="aff2"/>
    <w:link w:val="aff5"/>
    <w:uiPriority w:val="99"/>
    <w:semiHidden/>
    <w:unhideWhenUsed/>
    <w:rPr>
      <w:b/>
      <w:bCs/>
    </w:rPr>
  </w:style>
  <w:style w:type="character" w:customStyle="1" w:styleId="aff5">
    <w:name w:val="批注主题 字符"/>
    <w:basedOn w:val="aff3"/>
    <w:link w:val="aff4"/>
    <w:uiPriority w:val="99"/>
    <w:semiHidden/>
    <w:rPr>
      <w:b/>
      <w:bCs/>
    </w:rPr>
  </w:style>
  <w:style w:type="paragraph" w:styleId="aff6">
    <w:name w:val="Revision"/>
    <w:hidden/>
    <w:uiPriority w:val="99"/>
    <w:semiHidden/>
  </w:style>
  <w:style w:type="character" w:customStyle="1" w:styleId="1f5">
    <w:name w:val="批注文字 字符1"/>
    <w:basedOn w:val="a1"/>
    <w:qFormat/>
    <w:rPr>
      <w:rFonts w:ascii="Times New Roman" w:eastAsia="宋体" w:hAnsi="Times New Roman" w:cs="Times New Roman"/>
      <w:szCs w:val="20"/>
    </w:rPr>
  </w:style>
  <w:style w:type="paragraph" w:styleId="25">
    <w:name w:val="Body Text Indent 2"/>
    <w:basedOn w:val="a"/>
    <w:link w:val="26"/>
    <w:uiPriority w:val="99"/>
    <w:semiHidden/>
    <w:unhideWhenUsed/>
    <w:pPr>
      <w:spacing w:after="120" w:line="480" w:lineRule="auto"/>
      <w:ind w:leftChars="200" w:left="420"/>
    </w:pPr>
  </w:style>
  <w:style w:type="character" w:customStyle="1" w:styleId="26">
    <w:name w:val="正文文本缩进 2 字符"/>
    <w:basedOn w:val="a1"/>
    <w:link w:val="25"/>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 Id="rId22" Type="http://schemas.microsoft.com/office/2016/09/relationships/commentsIds" Target="commentsId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42</Pages>
  <Words>4798</Words>
  <Characters>27354</Characters>
  <Application>Microsoft Office Word</Application>
  <DocSecurity>0</DocSecurity>
  <Lines>227</Lines>
  <Paragraphs>64</Paragraphs>
  <ScaleCrop>false</ScaleCrop>
  <Company>1</Company>
  <LinksUpToDate>false</LinksUpToDate>
  <CharactersWithSpaces>32088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qgf</dc:creator>
  <cp:lastModifiedBy>wjy</cp:lastModifiedBy>
  <cp:revision>28</cp:revision>
  <dcterms:created xsi:type="dcterms:W3CDTF">2025-10-14T05:33:00Z</dcterms:created>
  <dcterms:modified xsi:type="dcterms:W3CDTF">2026-06-24T03:31:00Z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5F1C165EDF55409AA12E4F69C5C72AA1_13</vt:lpwstr>
  </property>
  <property fmtid="{D5CDD505-2E9C-101B-9397-08002B2CF9AE}" pid="4" name="KSOTemplateDocerSaveRecord">
    <vt:lpwstr>eyJoZGlkIjoiNDhhZmYzZWE2ODUwZDg2NmMzYTE1M2JlMTY5ZTIzMmUiLCJ1c2VySWQiOiIzNTI3MDI4MDMifQ==</vt:lpwstr>
  </property>
</Properties>
</file>