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jc w:val="center"/>
        <w:rPr>
          <w:rFonts w:ascii="宋体" w:hAnsi="方正黑体简体" w:cs="方正黑体简体"/>
          <w:b/>
          <w:bCs/>
          <w:iCs/>
          <w:sz w:val="31"/>
          <w:szCs w:val="36"/>
        </w:rPr>
      </w:pPr>
      <w:r>
        <w:rPr>
          <w:rFonts w:hint="eastAsia" w:ascii="宋体" w:hAnsi="方正黑体简体" w:cs="方正黑体简体"/>
          <w:b/>
          <w:bCs/>
          <w:iCs/>
          <w:sz w:val="31"/>
          <w:szCs w:val="36"/>
        </w:rPr>
        <w:t>南方远航混合型证券投资基金（</w:t>
      </w:r>
      <w:r>
        <w:rPr>
          <w:rFonts w:ascii="宋体" w:hAnsi="方正黑体简体" w:cs="方正黑体简体"/>
          <w:b/>
          <w:bCs/>
          <w:iCs/>
          <w:sz w:val="31"/>
          <w:szCs w:val="36"/>
        </w:rPr>
        <w:t>A类份额）基金产品资料概要</w:t>
      </w:r>
    </w:p>
    <w:p>
      <w:pPr>
        <w:spacing w:line="420" w:lineRule="exact"/>
        <w:jc w:val="center"/>
        <w:rPr>
          <w:rFonts w:ascii="方正黑体简体" w:hAnsi="方正黑体简体" w:eastAsia="方正黑体简体" w:cs="方正黑体简体"/>
          <w:bCs/>
          <w:iCs/>
          <w:sz w:val="36"/>
          <w:szCs w:val="36"/>
        </w:rPr>
      </w:pPr>
    </w:p>
    <w:p>
      <w:pPr>
        <w:pStyle w:val="15"/>
        <w:spacing w:before="62"/>
        <w:ind w:firstLine="480"/>
        <w:jc w:val="right"/>
        <w:rPr>
          <w:rFonts w:ascii="仿宋" w:hAnsi="仿宋"/>
          <w:color w:val="000000" w:themeColor="text1"/>
          <w:sz w:val="24"/>
          <w:szCs w:val="24"/>
          <w14:textFill>
            <w14:solidFill>
              <w14:schemeClr w14:val="tx1"/>
            </w14:solidFill>
          </w14:textFill>
        </w:rPr>
      </w:pPr>
      <w:r>
        <w:rPr>
          <w:rFonts w:hint="eastAsia" w:ascii="仿宋" w:hAnsi="仿宋"/>
          <w:color w:val="000000" w:themeColor="text1"/>
          <w:sz w:val="24"/>
          <w:szCs w:val="24"/>
          <w14:textFill>
            <w14:solidFill>
              <w14:schemeClr w14:val="tx1"/>
            </w14:solidFill>
          </w14:textFill>
        </w:rPr>
        <w:t>编制日期：</w:t>
      </w:r>
      <w:r>
        <w:rPr>
          <w:rFonts w:ascii="仿宋" w:hAnsi="仿宋"/>
          <w:color w:val="000000" w:themeColor="text1"/>
          <w:sz w:val="24"/>
          <w:szCs w:val="24"/>
          <w14:textFill>
            <w14:solidFill>
              <w14:schemeClr w14:val="tx1"/>
            </w14:solidFill>
          </w14:textFill>
        </w:rPr>
        <w:t>2026年6月24日</w:t>
      </w:r>
    </w:p>
    <w:p>
      <w:pPr>
        <w:pStyle w:val="15"/>
        <w:spacing w:before="62"/>
        <w:ind w:firstLine="480"/>
        <w:jc w:val="right"/>
        <w:rPr>
          <w:rFonts w:ascii="仿宋" w:hAnsi="仿宋"/>
          <w:color w:val="000000" w:themeColor="text1"/>
          <w:sz w:val="24"/>
          <w:szCs w:val="24"/>
          <w14:textFill>
            <w14:solidFill>
              <w14:schemeClr w14:val="tx1"/>
            </w14:solidFill>
          </w14:textFill>
        </w:rPr>
      </w:pPr>
      <w:r>
        <w:rPr>
          <w:rFonts w:ascii="仿宋" w:hAnsi="仿宋"/>
          <w:color w:val="000000" w:themeColor="text1"/>
          <w:sz w:val="24"/>
          <w:szCs w:val="24"/>
          <w14:textFill>
            <w14:solidFill>
              <w14:schemeClr w14:val="tx1"/>
            </w14:solidFill>
          </w14:textFill>
        </w:rPr>
        <w:t>送出日期：2026年6月25日</w:t>
      </w:r>
    </w:p>
    <w:p>
      <w:pPr>
        <w:tabs>
          <w:tab w:val="left" w:pos="7770"/>
        </w:tabs>
        <w:spacing w:line="500" w:lineRule="exact"/>
        <w:jc w:val="center"/>
        <w:rPr>
          <w:rFonts w:ascii="宋体" w:hAnsi="方正黑体简体" w:cs="方正黑体简体"/>
          <w:b/>
          <w:bCs/>
          <w:iCs/>
          <w:color w:val="000000" w:themeColor="text1"/>
          <w:sz w:val="31"/>
          <w:szCs w:val="30"/>
          <w14:textFill>
            <w14:solidFill>
              <w14:schemeClr w14:val="tx1"/>
            </w14:solidFill>
          </w14:textFill>
        </w:rPr>
      </w:pPr>
      <w:r>
        <w:rPr>
          <w:rFonts w:hint="eastAsia" w:ascii="宋体" w:hAnsi="方正黑体简体" w:cs="方正黑体简体"/>
          <w:b/>
          <w:bCs/>
          <w:iCs/>
          <w:color w:val="000000" w:themeColor="text1"/>
          <w:sz w:val="31"/>
          <w:szCs w:val="30"/>
          <w14:textFill>
            <w14:solidFill>
              <w14:schemeClr w14:val="tx1"/>
            </w14:solidFill>
          </w14:textFill>
        </w:rPr>
        <w:t>本概要提供本基金的重要信息，是招募说明书的一部分。</w:t>
      </w:r>
    </w:p>
    <w:p>
      <w:pPr>
        <w:jc w:val="center"/>
        <w:rPr>
          <w:rFonts w:ascii="宋体"/>
          <w:b/>
          <w:color w:val="000000" w:themeColor="text1"/>
          <w:sz w:val="31"/>
          <w:szCs w:val="30"/>
          <w14:textFill>
            <w14:solidFill>
              <w14:schemeClr w14:val="tx1"/>
            </w14:solidFill>
          </w14:textFill>
        </w:rPr>
      </w:pPr>
      <w:r>
        <w:rPr>
          <w:rFonts w:hint="eastAsia" w:ascii="宋体"/>
          <w:b/>
          <w:color w:val="000000" w:themeColor="text1"/>
          <w:sz w:val="31"/>
          <w:szCs w:val="30"/>
          <w14:textFill>
            <w14:solidFill>
              <w14:schemeClr w14:val="tx1"/>
            </w14:solidFill>
          </w14:textFill>
        </w:rPr>
        <w:t>作出投资决定前，请阅读完整的招募说明书等销售文件。</w:t>
      </w:r>
    </w:p>
    <w:p>
      <w:pPr>
        <w:pStyle w:val="23"/>
        <w:spacing w:before="156" w:after="156"/>
        <w:rPr>
          <w:rFonts w:hint="eastAsia"/>
        </w:rPr>
      </w:pPr>
      <w:r>
        <w:rPr>
          <w:rFonts w:hint="eastAsia"/>
        </w:rPr>
        <w:t>一、产品概况</w:t>
      </w:r>
    </w:p>
    <w:tbl>
      <w:tblPr>
        <w:tblStyle w:val="36"/>
        <w:tblW w:w="8506" w:type="dxa"/>
        <w:jc w:val="center"/>
        <w:tblBorders>
          <w:top w:val="single" w:color="auto" w:sz="4" w:space="0"/>
          <w:left w:val="none" w:color="auto" w:sz="0" w:space="0"/>
          <w:bottom w:val="single" w:color="auto" w:sz="4" w:space="0"/>
          <w:right w:val="none" w:color="auto" w:sz="0" w:space="0"/>
          <w:insideH w:val="dashed" w:color="auto" w:sz="4" w:space="0"/>
          <w:insideV w:val="none" w:color="auto" w:sz="0" w:space="0"/>
        </w:tblBorders>
        <w:tblLayout w:type="fixed"/>
        <w:tblCellMar>
          <w:top w:w="0" w:type="dxa"/>
          <w:left w:w="108" w:type="dxa"/>
          <w:bottom w:w="0" w:type="dxa"/>
          <w:right w:w="108" w:type="dxa"/>
        </w:tblCellMar>
      </w:tblPr>
      <w:tblGrid>
        <w:gridCol w:w="1843"/>
        <w:gridCol w:w="2410"/>
        <w:gridCol w:w="1843"/>
        <w:gridCol w:w="2410"/>
      </w:tblGrid>
      <w:tr>
        <w:tblPrEx>
          <w:tblBorders>
            <w:top w:val="single" w:color="auto" w:sz="4" w:space="0"/>
            <w:left w:val="none" w:color="auto" w:sz="0" w:space="0"/>
            <w:bottom w:val="single" w:color="auto" w:sz="4" w:space="0"/>
            <w:right w:val="none" w:color="auto" w:sz="0" w:space="0"/>
            <w:insideH w:val="dashed" w:color="auto" w:sz="4" w:space="0"/>
            <w:insideV w:val="none" w:color="auto" w:sz="0" w:space="0"/>
          </w:tblBorders>
          <w:tblCellMar>
            <w:top w:w="0" w:type="dxa"/>
            <w:left w:w="108" w:type="dxa"/>
            <w:bottom w:w="0" w:type="dxa"/>
            <w:right w:w="108" w:type="dxa"/>
          </w:tblCellMar>
        </w:tblPrEx>
        <w:trPr>
          <w:jc w:val="center"/>
        </w:trPr>
        <w:tc>
          <w:tcPr>
            <w:tcW w:w="1843" w:type="dxa"/>
            <w:vAlign w:val="center"/>
          </w:tcPr>
          <w:p>
            <w:pPr>
              <w:spacing w:line="312" w:lineRule="exact"/>
              <w:jc w:val="left"/>
              <w:textAlignment w:val="center"/>
              <w:rPr>
                <w:rFonts w:eastAsia="仿宋"/>
                <w:color w:val="000000" w:themeColor="text1"/>
                <w14:textFill>
                  <w14:solidFill>
                    <w14:schemeClr w14:val="tx1"/>
                  </w14:solidFill>
                </w14:textFill>
              </w:rPr>
            </w:pPr>
            <w:r>
              <w:rPr>
                <w:rFonts w:hint="eastAsia" w:eastAsia="仿宋"/>
                <w:color w:val="000000" w:themeColor="text1"/>
                <w14:textFill>
                  <w14:solidFill>
                    <w14:schemeClr w14:val="tx1"/>
                  </w14:solidFill>
                </w14:textFill>
              </w:rPr>
              <w:t>基金简称</w:t>
            </w:r>
          </w:p>
        </w:tc>
        <w:tc>
          <w:tcPr>
            <w:tcW w:w="2410" w:type="dxa"/>
            <w:vAlign w:val="center"/>
          </w:tcPr>
          <w:p>
            <w:pPr>
              <w:spacing w:line="312" w:lineRule="exact"/>
              <w:jc w:val="left"/>
              <w:textAlignment w:val="center"/>
              <w:rPr>
                <w:rFonts w:eastAsia="仿宋"/>
                <w:color w:val="000000" w:themeColor="text1"/>
                <w14:textFill>
                  <w14:solidFill>
                    <w14:schemeClr w14:val="tx1"/>
                  </w14:solidFill>
                </w14:textFill>
              </w:rPr>
            </w:pPr>
            <w:r>
              <w:rPr>
                <w:rFonts w:hint="eastAsia" w:eastAsia="仿宋"/>
                <w:color w:val="000000" w:themeColor="text1"/>
                <w14:textFill>
                  <w14:solidFill>
                    <w14:schemeClr w14:val="tx1"/>
                  </w14:solidFill>
                </w14:textFill>
              </w:rPr>
              <w:t>南方远航混合A</w:t>
            </w:r>
          </w:p>
        </w:tc>
        <w:tc>
          <w:tcPr>
            <w:tcW w:w="1843" w:type="dxa"/>
            <w:vAlign w:val="center"/>
          </w:tcPr>
          <w:p>
            <w:pPr>
              <w:spacing w:line="312" w:lineRule="exact"/>
              <w:jc w:val="left"/>
              <w:textAlignment w:val="center"/>
              <w:rPr>
                <w:rFonts w:eastAsia="仿宋"/>
                <w:color w:val="000000" w:themeColor="text1"/>
                <w14:textFill>
                  <w14:solidFill>
                    <w14:schemeClr w14:val="tx1"/>
                  </w14:solidFill>
                </w14:textFill>
              </w:rPr>
            </w:pPr>
            <w:r>
              <w:rPr>
                <w:rFonts w:hint="eastAsia" w:eastAsia="仿宋"/>
                <w:color w:val="000000" w:themeColor="text1"/>
                <w14:textFill>
                  <w14:solidFill>
                    <w14:schemeClr w14:val="tx1"/>
                  </w14:solidFill>
                </w14:textFill>
              </w:rPr>
              <w:t>基金代码</w:t>
            </w:r>
          </w:p>
        </w:tc>
        <w:tc>
          <w:tcPr>
            <w:tcW w:w="2410" w:type="dxa"/>
            <w:vAlign w:val="center"/>
          </w:tcPr>
          <w:p>
            <w:pPr>
              <w:spacing w:line="312" w:lineRule="exact"/>
              <w:jc w:val="left"/>
              <w:textAlignment w:val="center"/>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027677</w:t>
            </w:r>
          </w:p>
        </w:tc>
      </w:tr>
      <w:tr>
        <w:tblPrEx>
          <w:tblBorders>
            <w:top w:val="single" w:color="auto" w:sz="4" w:space="0"/>
            <w:left w:val="none" w:color="auto" w:sz="0" w:space="0"/>
            <w:bottom w:val="single" w:color="auto" w:sz="4" w:space="0"/>
            <w:right w:val="none" w:color="auto" w:sz="0" w:space="0"/>
            <w:insideH w:val="dashed" w:color="auto" w:sz="4" w:space="0"/>
            <w:insideV w:val="none" w:color="auto" w:sz="0" w:space="0"/>
          </w:tblBorders>
        </w:tblPrEx>
        <w:trPr>
          <w:jc w:val="center"/>
        </w:trPr>
        <w:tc>
          <w:tcPr>
            <w:tcW w:w="1843" w:type="dxa"/>
            <w:vAlign w:val="center"/>
          </w:tcPr>
          <w:p>
            <w:pPr>
              <w:spacing w:line="312" w:lineRule="exact"/>
              <w:jc w:val="left"/>
              <w:textAlignment w:val="center"/>
              <w:rPr>
                <w:rFonts w:eastAsia="仿宋"/>
                <w:color w:val="000000" w:themeColor="text1"/>
                <w14:textFill>
                  <w14:solidFill>
                    <w14:schemeClr w14:val="tx1"/>
                  </w14:solidFill>
                </w14:textFill>
              </w:rPr>
            </w:pPr>
            <w:r>
              <w:rPr>
                <w:rFonts w:hint="eastAsia" w:eastAsia="仿宋"/>
                <w:color w:val="000000" w:themeColor="text1"/>
                <w14:textFill>
                  <w14:solidFill>
                    <w14:schemeClr w14:val="tx1"/>
                  </w14:solidFill>
                </w14:textFill>
              </w:rPr>
              <w:t>基金管理人</w:t>
            </w:r>
          </w:p>
        </w:tc>
        <w:tc>
          <w:tcPr>
            <w:tcW w:w="2410" w:type="dxa"/>
            <w:vAlign w:val="center"/>
          </w:tcPr>
          <w:p>
            <w:pPr>
              <w:spacing w:line="312" w:lineRule="exact"/>
              <w:jc w:val="left"/>
              <w:textAlignment w:val="center"/>
              <w:rPr>
                <w:rFonts w:eastAsia="仿宋"/>
                <w:color w:val="000000" w:themeColor="text1"/>
                <w14:textFill>
                  <w14:solidFill>
                    <w14:schemeClr w14:val="tx1"/>
                  </w14:solidFill>
                </w14:textFill>
              </w:rPr>
            </w:pPr>
            <w:r>
              <w:rPr>
                <w:rFonts w:hint="eastAsia" w:eastAsia="仿宋"/>
                <w:color w:val="000000" w:themeColor="text1"/>
                <w14:textFill>
                  <w14:solidFill>
                    <w14:schemeClr w14:val="tx1"/>
                  </w14:solidFill>
                </w14:textFill>
              </w:rPr>
              <w:t>南方基金管理股份有限公司</w:t>
            </w:r>
          </w:p>
        </w:tc>
        <w:tc>
          <w:tcPr>
            <w:tcW w:w="1843" w:type="dxa"/>
            <w:vAlign w:val="center"/>
          </w:tcPr>
          <w:p>
            <w:pPr>
              <w:spacing w:line="312" w:lineRule="exact"/>
              <w:jc w:val="left"/>
              <w:textAlignment w:val="center"/>
              <w:rPr>
                <w:rFonts w:eastAsia="仿宋"/>
                <w:color w:val="000000" w:themeColor="text1"/>
                <w14:textFill>
                  <w14:solidFill>
                    <w14:schemeClr w14:val="tx1"/>
                  </w14:solidFill>
                </w14:textFill>
              </w:rPr>
            </w:pPr>
            <w:r>
              <w:rPr>
                <w:rFonts w:hint="eastAsia" w:eastAsia="仿宋"/>
                <w:color w:val="000000" w:themeColor="text1"/>
                <w14:textFill>
                  <w14:solidFill>
                    <w14:schemeClr w14:val="tx1"/>
                  </w14:solidFill>
                </w14:textFill>
              </w:rPr>
              <w:t>基金托管人</w:t>
            </w:r>
          </w:p>
        </w:tc>
        <w:tc>
          <w:tcPr>
            <w:tcW w:w="2410" w:type="dxa"/>
            <w:vAlign w:val="center"/>
          </w:tcPr>
          <w:p>
            <w:pPr>
              <w:spacing w:line="312" w:lineRule="exact"/>
              <w:jc w:val="left"/>
              <w:textAlignment w:val="center"/>
              <w:rPr>
                <w:rFonts w:eastAsia="仿宋"/>
                <w:color w:val="000000" w:themeColor="text1"/>
                <w14:textFill>
                  <w14:solidFill>
                    <w14:schemeClr w14:val="tx1"/>
                  </w14:solidFill>
                </w14:textFill>
              </w:rPr>
            </w:pPr>
            <w:r>
              <w:rPr>
                <w:rFonts w:hint="eastAsia" w:eastAsia="仿宋"/>
                <w:color w:val="000000" w:themeColor="text1"/>
                <w14:textFill>
                  <w14:solidFill>
                    <w14:schemeClr w14:val="tx1"/>
                  </w14:solidFill>
                </w14:textFill>
              </w:rPr>
              <w:t>中国银行股份有限公司</w:t>
            </w:r>
          </w:p>
        </w:tc>
      </w:tr>
      <w:tr>
        <w:tblPrEx>
          <w:tblBorders>
            <w:top w:val="single" w:color="auto" w:sz="4" w:space="0"/>
            <w:left w:val="none" w:color="auto" w:sz="0" w:space="0"/>
            <w:bottom w:val="single" w:color="auto" w:sz="4" w:space="0"/>
            <w:right w:val="none" w:color="auto" w:sz="0" w:space="0"/>
            <w:insideH w:val="dashed" w:color="auto" w:sz="4" w:space="0"/>
            <w:insideV w:val="none" w:color="auto" w:sz="0" w:space="0"/>
          </w:tblBorders>
          <w:tblCellMar>
            <w:top w:w="0" w:type="dxa"/>
            <w:left w:w="108" w:type="dxa"/>
            <w:bottom w:w="0" w:type="dxa"/>
            <w:right w:w="108" w:type="dxa"/>
          </w:tblCellMar>
        </w:tblPrEx>
        <w:trPr>
          <w:jc w:val="center"/>
        </w:trPr>
        <w:tc>
          <w:tcPr>
            <w:tcW w:w="1843" w:type="dxa"/>
            <w:vAlign w:val="center"/>
          </w:tcPr>
          <w:p>
            <w:pPr>
              <w:spacing w:line="312" w:lineRule="exact"/>
              <w:jc w:val="left"/>
              <w:textAlignment w:val="center"/>
              <w:rPr>
                <w:rFonts w:eastAsia="仿宋"/>
                <w:color w:val="000000" w:themeColor="text1"/>
                <w14:textFill>
                  <w14:solidFill>
                    <w14:schemeClr w14:val="tx1"/>
                  </w14:solidFill>
                </w14:textFill>
              </w:rPr>
            </w:pPr>
            <w:r>
              <w:rPr>
                <w:rFonts w:hint="eastAsia" w:eastAsia="仿宋"/>
                <w:color w:val="000000" w:themeColor="text1"/>
                <w14:textFill>
                  <w14:solidFill>
                    <w14:schemeClr w14:val="tx1"/>
                  </w14:solidFill>
                </w14:textFill>
              </w:rPr>
              <w:t>基金合同生效日</w:t>
            </w:r>
          </w:p>
        </w:tc>
        <w:tc>
          <w:tcPr>
            <w:tcW w:w="6663" w:type="dxa"/>
            <w:gridSpan w:val="3"/>
            <w:vAlign w:val="center"/>
          </w:tcPr>
          <w:p>
            <w:pPr>
              <w:spacing w:line="312" w:lineRule="exact"/>
              <w:jc w:val="right"/>
              <w:textAlignment w:val="center"/>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w:t>
            </w:r>
          </w:p>
        </w:tc>
      </w:tr>
      <w:tr>
        <w:tblPrEx>
          <w:tblBorders>
            <w:top w:val="single" w:color="auto" w:sz="4" w:space="0"/>
            <w:left w:val="none" w:color="auto" w:sz="0" w:space="0"/>
            <w:bottom w:val="single" w:color="auto" w:sz="4" w:space="0"/>
            <w:right w:val="none" w:color="auto" w:sz="0" w:space="0"/>
            <w:insideH w:val="dashed" w:color="auto" w:sz="4" w:space="0"/>
            <w:insideV w:val="none" w:color="auto" w:sz="0" w:space="0"/>
          </w:tblBorders>
          <w:tblCellMar>
            <w:top w:w="0" w:type="dxa"/>
            <w:left w:w="108" w:type="dxa"/>
            <w:bottom w:w="0" w:type="dxa"/>
            <w:right w:w="108" w:type="dxa"/>
          </w:tblCellMar>
        </w:tblPrEx>
        <w:trPr>
          <w:jc w:val="center"/>
        </w:trPr>
        <w:tc>
          <w:tcPr>
            <w:tcW w:w="1843" w:type="dxa"/>
            <w:vAlign w:val="center"/>
          </w:tcPr>
          <w:p>
            <w:pPr>
              <w:spacing w:line="312" w:lineRule="exact"/>
              <w:jc w:val="left"/>
              <w:textAlignment w:val="center"/>
              <w:rPr>
                <w:rFonts w:eastAsia="仿宋"/>
                <w:color w:val="000000" w:themeColor="text1"/>
                <w14:textFill>
                  <w14:solidFill>
                    <w14:schemeClr w14:val="tx1"/>
                  </w14:solidFill>
                </w14:textFill>
              </w:rPr>
            </w:pPr>
            <w:r>
              <w:rPr>
                <w:rFonts w:hint="eastAsia" w:eastAsia="仿宋"/>
                <w:color w:val="000000" w:themeColor="text1"/>
                <w14:textFill>
                  <w14:solidFill>
                    <w14:schemeClr w14:val="tx1"/>
                  </w14:solidFill>
                </w14:textFill>
              </w:rPr>
              <w:t>基金类型</w:t>
            </w:r>
          </w:p>
        </w:tc>
        <w:tc>
          <w:tcPr>
            <w:tcW w:w="2410" w:type="dxa"/>
            <w:vAlign w:val="center"/>
          </w:tcPr>
          <w:p>
            <w:pPr>
              <w:spacing w:line="312" w:lineRule="exact"/>
              <w:jc w:val="left"/>
              <w:textAlignment w:val="center"/>
              <w:rPr>
                <w:rFonts w:eastAsia="仿宋"/>
                <w:color w:val="000000" w:themeColor="text1"/>
                <w14:textFill>
                  <w14:solidFill>
                    <w14:schemeClr w14:val="tx1"/>
                  </w14:solidFill>
                </w14:textFill>
              </w:rPr>
            </w:pPr>
            <w:r>
              <w:rPr>
                <w:rFonts w:hint="eastAsia" w:eastAsia="仿宋"/>
                <w:color w:val="000000" w:themeColor="text1"/>
                <w14:textFill>
                  <w14:solidFill>
                    <w14:schemeClr w14:val="tx1"/>
                  </w14:solidFill>
                </w14:textFill>
              </w:rPr>
              <w:t>混合型</w:t>
            </w:r>
          </w:p>
        </w:tc>
        <w:tc>
          <w:tcPr>
            <w:tcW w:w="1843" w:type="dxa"/>
            <w:vAlign w:val="center"/>
          </w:tcPr>
          <w:p>
            <w:pPr>
              <w:spacing w:line="312" w:lineRule="exact"/>
              <w:jc w:val="left"/>
              <w:textAlignment w:val="center"/>
              <w:rPr>
                <w:rFonts w:eastAsia="仿宋"/>
                <w:color w:val="000000" w:themeColor="text1"/>
                <w14:textFill>
                  <w14:solidFill>
                    <w14:schemeClr w14:val="tx1"/>
                  </w14:solidFill>
                </w14:textFill>
              </w:rPr>
            </w:pPr>
            <w:r>
              <w:rPr>
                <w:rFonts w:hint="eastAsia" w:eastAsia="仿宋"/>
                <w:color w:val="000000" w:themeColor="text1"/>
                <w14:textFill>
                  <w14:solidFill>
                    <w14:schemeClr w14:val="tx1"/>
                  </w14:solidFill>
                </w14:textFill>
              </w:rPr>
              <w:t>交易币种</w:t>
            </w:r>
          </w:p>
        </w:tc>
        <w:tc>
          <w:tcPr>
            <w:tcW w:w="2410" w:type="dxa"/>
            <w:vAlign w:val="center"/>
          </w:tcPr>
          <w:p>
            <w:pPr>
              <w:spacing w:line="312" w:lineRule="exact"/>
              <w:jc w:val="left"/>
              <w:textAlignment w:val="center"/>
              <w:rPr>
                <w:rFonts w:eastAsia="仿宋"/>
                <w:color w:val="000000" w:themeColor="text1"/>
                <w14:textFill>
                  <w14:solidFill>
                    <w14:schemeClr w14:val="tx1"/>
                  </w14:solidFill>
                </w14:textFill>
              </w:rPr>
            </w:pPr>
            <w:r>
              <w:rPr>
                <w:rFonts w:hint="eastAsia" w:eastAsia="仿宋"/>
                <w:color w:val="000000" w:themeColor="text1"/>
                <w14:textFill>
                  <w14:solidFill>
                    <w14:schemeClr w14:val="tx1"/>
                  </w14:solidFill>
                </w14:textFill>
              </w:rPr>
              <w:t>人民币</w:t>
            </w:r>
          </w:p>
        </w:tc>
      </w:tr>
      <w:tr>
        <w:tblPrEx>
          <w:tblBorders>
            <w:top w:val="single" w:color="auto" w:sz="4" w:space="0"/>
            <w:left w:val="none" w:color="auto" w:sz="0" w:space="0"/>
            <w:bottom w:val="single" w:color="auto" w:sz="4" w:space="0"/>
            <w:right w:val="none" w:color="auto" w:sz="0" w:space="0"/>
            <w:insideH w:val="dashed" w:color="auto" w:sz="4" w:space="0"/>
            <w:insideV w:val="none" w:color="auto" w:sz="0" w:space="0"/>
          </w:tblBorders>
          <w:tblCellMar>
            <w:top w:w="0" w:type="dxa"/>
            <w:left w:w="108" w:type="dxa"/>
            <w:bottom w:w="0" w:type="dxa"/>
            <w:right w:w="108" w:type="dxa"/>
          </w:tblCellMar>
        </w:tblPrEx>
        <w:trPr>
          <w:jc w:val="center"/>
        </w:trPr>
        <w:tc>
          <w:tcPr>
            <w:tcW w:w="1843" w:type="dxa"/>
            <w:vAlign w:val="center"/>
          </w:tcPr>
          <w:p>
            <w:pPr>
              <w:spacing w:line="312" w:lineRule="exact"/>
              <w:jc w:val="left"/>
              <w:textAlignment w:val="center"/>
              <w:rPr>
                <w:rFonts w:eastAsia="仿宋"/>
                <w:color w:val="000000" w:themeColor="text1"/>
                <w14:textFill>
                  <w14:solidFill>
                    <w14:schemeClr w14:val="tx1"/>
                  </w14:solidFill>
                </w14:textFill>
              </w:rPr>
            </w:pPr>
            <w:r>
              <w:rPr>
                <w:rFonts w:hint="eastAsia" w:eastAsia="仿宋"/>
                <w:color w:val="000000" w:themeColor="text1"/>
                <w14:textFill>
                  <w14:solidFill>
                    <w14:schemeClr w14:val="tx1"/>
                  </w14:solidFill>
                </w14:textFill>
              </w:rPr>
              <w:t>运作方式</w:t>
            </w:r>
          </w:p>
        </w:tc>
        <w:tc>
          <w:tcPr>
            <w:tcW w:w="6663" w:type="dxa"/>
            <w:gridSpan w:val="3"/>
            <w:vAlign w:val="center"/>
          </w:tcPr>
          <w:p>
            <w:pPr>
              <w:spacing w:line="312" w:lineRule="exact"/>
              <w:jc w:val="left"/>
              <w:textAlignment w:val="center"/>
              <w:rPr>
                <w:rFonts w:eastAsia="仿宋"/>
                <w:color w:val="000000" w:themeColor="text1"/>
                <w14:textFill>
                  <w14:solidFill>
                    <w14:schemeClr w14:val="tx1"/>
                  </w14:solidFill>
                </w14:textFill>
              </w:rPr>
            </w:pPr>
            <w:r>
              <w:rPr>
                <w:rFonts w:hint="eastAsia" w:eastAsia="仿宋"/>
                <w:color w:val="000000" w:themeColor="text1"/>
                <w14:textFill>
                  <w14:solidFill>
                    <w14:schemeClr w14:val="tx1"/>
                  </w14:solidFill>
                </w14:textFill>
              </w:rPr>
              <w:t>普通开放式</w:t>
            </w:r>
          </w:p>
        </w:tc>
      </w:tr>
      <w:tr>
        <w:tblPrEx>
          <w:tblBorders>
            <w:top w:val="single" w:color="auto" w:sz="4" w:space="0"/>
            <w:left w:val="none" w:color="auto" w:sz="0" w:space="0"/>
            <w:bottom w:val="single" w:color="auto" w:sz="4" w:space="0"/>
            <w:right w:val="none" w:color="auto" w:sz="0" w:space="0"/>
            <w:insideH w:val="dashed" w:color="auto" w:sz="4" w:space="0"/>
            <w:insideV w:val="none" w:color="auto" w:sz="0" w:space="0"/>
          </w:tblBorders>
          <w:tblCellMar>
            <w:top w:w="0" w:type="dxa"/>
            <w:left w:w="108" w:type="dxa"/>
            <w:bottom w:w="0" w:type="dxa"/>
            <w:right w:w="108" w:type="dxa"/>
          </w:tblCellMar>
        </w:tblPrEx>
        <w:trPr>
          <w:jc w:val="center"/>
        </w:trPr>
        <w:tc>
          <w:tcPr>
            <w:tcW w:w="1843" w:type="dxa"/>
            <w:vAlign w:val="center"/>
          </w:tcPr>
          <w:p>
            <w:pPr>
              <w:spacing w:line="312" w:lineRule="exact"/>
              <w:jc w:val="left"/>
              <w:textAlignment w:val="center"/>
              <w:rPr>
                <w:rFonts w:eastAsia="仿宋"/>
                <w:color w:val="000000" w:themeColor="text1"/>
                <w14:textFill>
                  <w14:solidFill>
                    <w14:schemeClr w14:val="tx1"/>
                  </w14:solidFill>
                </w14:textFill>
              </w:rPr>
            </w:pPr>
            <w:r>
              <w:rPr>
                <w:rFonts w:hint="eastAsia" w:eastAsia="仿宋"/>
                <w:color w:val="000000" w:themeColor="text1"/>
                <w14:textFill>
                  <w14:solidFill>
                    <w14:schemeClr w14:val="tx1"/>
                  </w14:solidFill>
                </w14:textFill>
              </w:rPr>
              <w:t>开放频率</w:t>
            </w:r>
          </w:p>
        </w:tc>
        <w:tc>
          <w:tcPr>
            <w:tcW w:w="6663" w:type="dxa"/>
            <w:gridSpan w:val="3"/>
            <w:vAlign w:val="center"/>
          </w:tcPr>
          <w:p>
            <w:pPr>
              <w:spacing w:line="312" w:lineRule="exact"/>
              <w:jc w:val="left"/>
              <w:textAlignment w:val="center"/>
              <w:rPr>
                <w:rFonts w:eastAsia="仿宋"/>
                <w:color w:val="000000" w:themeColor="text1"/>
                <w14:textFill>
                  <w14:solidFill>
                    <w14:schemeClr w14:val="tx1"/>
                  </w14:solidFill>
                </w14:textFill>
              </w:rPr>
            </w:pPr>
            <w:r>
              <w:rPr>
                <w:rFonts w:hint="eastAsia" w:eastAsia="仿宋"/>
                <w:color w:val="000000" w:themeColor="text1"/>
                <w14:textFill>
                  <w14:solidFill>
                    <w14:schemeClr w14:val="tx1"/>
                  </w14:solidFill>
                </w14:textFill>
              </w:rPr>
              <w:t>每个开放日</w:t>
            </w:r>
          </w:p>
        </w:tc>
      </w:tr>
      <w:tr>
        <w:tblPrEx>
          <w:tblBorders>
            <w:top w:val="single" w:color="auto" w:sz="4" w:space="0"/>
            <w:left w:val="none" w:color="auto" w:sz="0" w:space="0"/>
            <w:bottom w:val="single" w:color="auto" w:sz="4" w:space="0"/>
            <w:right w:val="none" w:color="auto" w:sz="0" w:space="0"/>
            <w:insideH w:val="dashed" w:color="auto" w:sz="4" w:space="0"/>
            <w:insideV w:val="none" w:color="auto" w:sz="0" w:space="0"/>
          </w:tblBorders>
          <w:tblCellMar>
            <w:top w:w="0" w:type="dxa"/>
            <w:left w:w="108" w:type="dxa"/>
            <w:bottom w:w="0" w:type="dxa"/>
            <w:right w:w="108" w:type="dxa"/>
          </w:tblCellMar>
        </w:tblPrEx>
        <w:trPr>
          <w:jc w:val="center"/>
        </w:trPr>
        <w:tc>
          <w:tcPr>
            <w:tcW w:w="1843" w:type="dxa"/>
            <w:vMerge w:val="restart"/>
            <w:vAlign w:val="center"/>
          </w:tcPr>
          <w:p>
            <w:pPr>
              <w:spacing w:line="312" w:lineRule="exact"/>
              <w:jc w:val="left"/>
              <w:textAlignment w:val="center"/>
              <w:rPr>
                <w:rFonts w:eastAsia="仿宋"/>
                <w:color w:val="000000" w:themeColor="text1"/>
                <w14:textFill>
                  <w14:solidFill>
                    <w14:schemeClr w14:val="tx1"/>
                  </w14:solidFill>
                </w14:textFill>
              </w:rPr>
            </w:pPr>
            <w:r>
              <w:rPr>
                <w:rFonts w:hint="eastAsia" w:eastAsia="仿宋"/>
                <w:color w:val="000000" w:themeColor="text1"/>
                <w14:textFill>
                  <w14:solidFill>
                    <w14:schemeClr w14:val="tx1"/>
                  </w14:solidFill>
                </w14:textFill>
              </w:rPr>
              <w:t>基金经理</w:t>
            </w:r>
          </w:p>
        </w:tc>
        <w:tc>
          <w:tcPr>
            <w:tcW w:w="2410" w:type="dxa"/>
            <w:vMerge w:val="restart"/>
            <w:vAlign w:val="center"/>
          </w:tcPr>
          <w:p>
            <w:pPr>
              <w:spacing w:line="312" w:lineRule="exact"/>
              <w:jc w:val="left"/>
              <w:textAlignment w:val="center"/>
              <w:rPr>
                <w:rFonts w:eastAsia="仿宋"/>
                <w:color w:val="000000" w:themeColor="text1"/>
                <w14:textFill>
                  <w14:solidFill>
                    <w14:schemeClr w14:val="tx1"/>
                  </w14:solidFill>
                </w14:textFill>
              </w:rPr>
            </w:pPr>
            <w:r>
              <w:rPr>
                <w:rFonts w:hint="eastAsia" w:eastAsia="仿宋"/>
                <w:color w:val="000000" w:themeColor="text1"/>
                <w14:textFill>
                  <w14:solidFill>
                    <w14:schemeClr w14:val="tx1"/>
                  </w14:solidFill>
                </w14:textFill>
              </w:rPr>
              <w:t>范佳瓅</w:t>
            </w:r>
          </w:p>
        </w:tc>
        <w:tc>
          <w:tcPr>
            <w:tcW w:w="1843" w:type="dxa"/>
            <w:vAlign w:val="center"/>
          </w:tcPr>
          <w:p>
            <w:pPr>
              <w:spacing w:line="312" w:lineRule="exact"/>
              <w:jc w:val="left"/>
              <w:textAlignment w:val="center"/>
              <w:rPr>
                <w:rFonts w:eastAsia="仿宋"/>
                <w:color w:val="000000" w:themeColor="text1"/>
                <w14:textFill>
                  <w14:solidFill>
                    <w14:schemeClr w14:val="tx1"/>
                  </w14:solidFill>
                </w14:textFill>
              </w:rPr>
            </w:pPr>
            <w:r>
              <w:rPr>
                <w:rFonts w:hint="eastAsia" w:eastAsia="仿宋"/>
                <w:color w:val="000000" w:themeColor="text1"/>
                <w14:textFill>
                  <w14:solidFill>
                    <w14:schemeClr w14:val="tx1"/>
                  </w14:solidFill>
                </w14:textFill>
              </w:rPr>
              <w:t>开始担任本基金基金经理的日期</w:t>
            </w:r>
          </w:p>
        </w:tc>
        <w:tc>
          <w:tcPr>
            <w:tcW w:w="2410" w:type="dxa"/>
            <w:vAlign w:val="center"/>
          </w:tcPr>
          <w:p>
            <w:pPr>
              <w:spacing w:line="312" w:lineRule="exact"/>
              <w:jc w:val="left"/>
              <w:textAlignment w:val="center"/>
              <w:rPr>
                <w:rFonts w:eastAsia="仿宋"/>
                <w:color w:val="000000" w:themeColor="text1"/>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dashed" w:color="auto" w:sz="4" w:space="0"/>
            <w:insideV w:val="none" w:color="auto" w:sz="0" w:space="0"/>
          </w:tblBorders>
          <w:tblCellMar>
            <w:top w:w="0" w:type="dxa"/>
            <w:left w:w="108" w:type="dxa"/>
            <w:bottom w:w="0" w:type="dxa"/>
            <w:right w:w="108" w:type="dxa"/>
          </w:tblCellMar>
        </w:tblPrEx>
        <w:trPr>
          <w:jc w:val="center"/>
        </w:trPr>
        <w:tc>
          <w:tcPr>
            <w:tcW w:w="1843" w:type="dxa"/>
            <w:vMerge w:val="continue"/>
            <w:vAlign w:val="center"/>
          </w:tcPr>
          <w:p>
            <w:pPr>
              <w:spacing w:line="312" w:lineRule="exact"/>
              <w:jc w:val="left"/>
              <w:textAlignment w:val="center"/>
              <w:rPr>
                <w:rFonts w:eastAsia="仿宋"/>
                <w:color w:val="000000" w:themeColor="text1"/>
                <w14:textFill>
                  <w14:solidFill>
                    <w14:schemeClr w14:val="tx1"/>
                  </w14:solidFill>
                </w14:textFill>
              </w:rPr>
            </w:pPr>
          </w:p>
        </w:tc>
        <w:tc>
          <w:tcPr>
            <w:tcW w:w="2410" w:type="dxa"/>
            <w:vMerge w:val="continue"/>
            <w:vAlign w:val="center"/>
          </w:tcPr>
          <w:p>
            <w:pPr>
              <w:spacing w:line="312" w:lineRule="exact"/>
              <w:jc w:val="left"/>
              <w:textAlignment w:val="center"/>
              <w:rPr>
                <w:rFonts w:eastAsia="仿宋"/>
                <w:color w:val="000000" w:themeColor="text1"/>
                <w14:textFill>
                  <w14:solidFill>
                    <w14:schemeClr w14:val="tx1"/>
                  </w14:solidFill>
                </w14:textFill>
              </w:rPr>
            </w:pPr>
          </w:p>
        </w:tc>
        <w:tc>
          <w:tcPr>
            <w:tcW w:w="1843" w:type="dxa"/>
            <w:vAlign w:val="center"/>
          </w:tcPr>
          <w:p>
            <w:pPr>
              <w:spacing w:line="312" w:lineRule="exact"/>
              <w:jc w:val="left"/>
              <w:textAlignment w:val="center"/>
              <w:rPr>
                <w:rFonts w:eastAsia="仿宋"/>
                <w:color w:val="000000" w:themeColor="text1"/>
                <w14:textFill>
                  <w14:solidFill>
                    <w14:schemeClr w14:val="tx1"/>
                  </w14:solidFill>
                </w14:textFill>
              </w:rPr>
            </w:pPr>
            <w:r>
              <w:rPr>
                <w:rFonts w:hint="eastAsia" w:eastAsia="仿宋"/>
                <w:color w:val="000000" w:themeColor="text1"/>
                <w14:textFill>
                  <w14:solidFill>
                    <w14:schemeClr w14:val="tx1"/>
                  </w14:solidFill>
                </w14:textFill>
              </w:rPr>
              <w:t>证券从业日期</w:t>
            </w:r>
          </w:p>
        </w:tc>
        <w:tc>
          <w:tcPr>
            <w:tcW w:w="2410" w:type="dxa"/>
            <w:vAlign w:val="center"/>
          </w:tcPr>
          <w:p>
            <w:pPr>
              <w:spacing w:line="312" w:lineRule="exact"/>
              <w:jc w:val="left"/>
              <w:textAlignment w:val="center"/>
              <w:rPr>
                <w:rFonts w:eastAsia="仿宋"/>
                <w:color w:val="000000" w:themeColor="text1"/>
                <w14:textFill>
                  <w14:solidFill>
                    <w14:schemeClr w14:val="tx1"/>
                  </w14:solidFill>
                </w14:textFill>
              </w:rPr>
            </w:pPr>
            <w:r>
              <w:rPr>
                <w:rFonts w:hint="eastAsia" w:eastAsia="仿宋"/>
                <w:color w:val="000000" w:themeColor="text1"/>
                <w14:textFill>
                  <w14:solidFill>
                    <w14:schemeClr w14:val="tx1"/>
                  </w14:solidFill>
                </w14:textFill>
              </w:rPr>
              <w:t>2012年7月9日</w:t>
            </w:r>
          </w:p>
        </w:tc>
      </w:tr>
    </w:tbl>
    <w:p>
      <w:pPr>
        <w:pStyle w:val="37"/>
        <w:ind w:firstLine="420"/>
        <w:rPr>
          <w:rFonts w:hint="eastAsia"/>
        </w:rPr>
      </w:pPr>
      <w:r>
        <w:rPr>
          <w:rFonts w:hint="eastAsia"/>
        </w:rPr>
        <w:t>注：本基金为混合型（偏股混合型）。</w:t>
      </w:r>
    </w:p>
    <w:p>
      <w:pPr>
        <w:pStyle w:val="23"/>
        <w:spacing w:before="156" w:after="156"/>
        <w:rPr>
          <w:rFonts w:hint="eastAsia"/>
        </w:rPr>
      </w:pPr>
      <w:r>
        <w:rPr>
          <w:rFonts w:hint="eastAsia"/>
        </w:rPr>
        <w:t>二、基金投资与净值表现</w:t>
      </w:r>
    </w:p>
    <w:p>
      <w:pPr>
        <w:pStyle w:val="20"/>
        <w:spacing w:before="156" w:after="156"/>
        <w:rPr>
          <w:rFonts w:hint="eastAsia"/>
        </w:rPr>
      </w:pPr>
      <w:r>
        <w:rPr>
          <w:rFonts w:hint="eastAsia"/>
        </w:rPr>
        <w:t>（一） 投资目标与投资策略</w:t>
      </w:r>
    </w:p>
    <w:p>
      <w:pPr>
        <w:pStyle w:val="15"/>
        <w:ind w:firstLine="420"/>
        <w:rPr>
          <w:rFonts w:hint="eastAsia"/>
        </w:rPr>
      </w:pPr>
      <w:r>
        <w:rPr>
          <w:rFonts w:hint="eastAsia"/>
        </w:rPr>
        <w:t>详见《南方远航混合型证券投资基金招募说明书》第九部分“基金的投资”。</w:t>
      </w:r>
    </w:p>
    <w:tbl>
      <w:tblPr>
        <w:tblStyle w:val="36"/>
        <w:tblW w:w="8505" w:type="dxa"/>
        <w:jc w:val="center"/>
        <w:tblBorders>
          <w:top w:val="single" w:color="auto" w:sz="4" w:space="0"/>
          <w:left w:val="none" w:color="auto" w:sz="0" w:space="0"/>
          <w:bottom w:val="single" w:color="auto" w:sz="4" w:space="0"/>
          <w:right w:val="none" w:color="auto" w:sz="0" w:space="0"/>
          <w:insideH w:val="dashed" w:color="auto" w:sz="4" w:space="0"/>
          <w:insideV w:val="none" w:color="auto" w:sz="0" w:space="0"/>
        </w:tblBorders>
        <w:tblLayout w:type="fixed"/>
        <w:tblCellMar>
          <w:top w:w="0" w:type="dxa"/>
          <w:left w:w="108" w:type="dxa"/>
          <w:bottom w:w="0" w:type="dxa"/>
          <w:right w:w="108" w:type="dxa"/>
        </w:tblCellMar>
      </w:tblPr>
      <w:tblGrid>
        <w:gridCol w:w="1701"/>
        <w:gridCol w:w="6804"/>
      </w:tblGrid>
      <w:tr>
        <w:tblPrEx>
          <w:tblBorders>
            <w:top w:val="single" w:color="auto" w:sz="4" w:space="0"/>
            <w:left w:val="none" w:color="auto" w:sz="0" w:space="0"/>
            <w:bottom w:val="single" w:color="auto" w:sz="4" w:space="0"/>
            <w:right w:val="none" w:color="auto" w:sz="0" w:space="0"/>
            <w:insideH w:val="dashed" w:color="auto" w:sz="4" w:space="0"/>
            <w:insideV w:val="none" w:color="auto" w:sz="0" w:space="0"/>
          </w:tblBorders>
          <w:tblCellMar>
            <w:top w:w="0" w:type="dxa"/>
            <w:left w:w="108" w:type="dxa"/>
            <w:bottom w:w="0" w:type="dxa"/>
            <w:right w:w="108" w:type="dxa"/>
          </w:tblCellMar>
        </w:tblPrEx>
        <w:trPr>
          <w:jc w:val="center"/>
        </w:trPr>
        <w:tc>
          <w:tcPr>
            <w:tcW w:w="1701" w:type="dxa"/>
            <w:vAlign w:val="center"/>
          </w:tcPr>
          <w:p>
            <w:pPr>
              <w:spacing w:line="312" w:lineRule="exact"/>
              <w:jc w:val="left"/>
              <w:textAlignment w:val="center"/>
              <w:rPr>
                <w:rFonts w:eastAsia="仿宋"/>
                <w:color w:val="000000" w:themeColor="text1"/>
                <w14:textFill>
                  <w14:solidFill>
                    <w14:schemeClr w14:val="tx1"/>
                  </w14:solidFill>
                </w14:textFill>
              </w:rPr>
            </w:pPr>
            <w:r>
              <w:rPr>
                <w:rFonts w:hint="eastAsia" w:eastAsia="仿宋"/>
                <w:color w:val="000000" w:themeColor="text1"/>
                <w14:textFill>
                  <w14:solidFill>
                    <w14:schemeClr w14:val="tx1"/>
                  </w14:solidFill>
                </w14:textFill>
              </w:rPr>
              <w:t>投资目标</w:t>
            </w:r>
          </w:p>
        </w:tc>
        <w:tc>
          <w:tcPr>
            <w:tcW w:w="6804" w:type="dxa"/>
            <w:vAlign w:val="center"/>
          </w:tcPr>
          <w:p>
            <w:pPr>
              <w:spacing w:line="312" w:lineRule="exact"/>
              <w:jc w:val="left"/>
              <w:textAlignment w:val="center"/>
              <w:rPr>
                <w:rFonts w:eastAsia="仿宋"/>
                <w:color w:val="000000" w:themeColor="text1"/>
                <w14:textFill>
                  <w14:solidFill>
                    <w14:schemeClr w14:val="tx1"/>
                  </w14:solidFill>
                </w14:textFill>
              </w:rPr>
            </w:pPr>
            <w:r>
              <w:rPr>
                <w:rFonts w:hint="eastAsia" w:eastAsia="仿宋"/>
                <w:color w:val="000000" w:themeColor="text1"/>
                <w14:textFill>
                  <w14:solidFill>
                    <w14:schemeClr w14:val="tx1"/>
                  </w14:solidFill>
                </w14:textFill>
              </w:rPr>
              <w:t>在有效控制组合风险并保持良好流动性的前提下，通过专业化研究分析，力争实现基金资产的长期稳定增值。</w:t>
            </w:r>
          </w:p>
        </w:tc>
      </w:tr>
      <w:tr>
        <w:tblPrEx>
          <w:tblBorders>
            <w:top w:val="single" w:color="auto" w:sz="4" w:space="0"/>
            <w:left w:val="none" w:color="auto" w:sz="0" w:space="0"/>
            <w:bottom w:val="single" w:color="auto" w:sz="4" w:space="0"/>
            <w:right w:val="none" w:color="auto" w:sz="0" w:space="0"/>
            <w:insideH w:val="dashed" w:color="auto" w:sz="4" w:space="0"/>
            <w:insideV w:val="none" w:color="auto" w:sz="0" w:space="0"/>
          </w:tblBorders>
          <w:tblCellMar>
            <w:top w:w="0" w:type="dxa"/>
            <w:left w:w="108" w:type="dxa"/>
            <w:bottom w:w="0" w:type="dxa"/>
            <w:right w:w="108" w:type="dxa"/>
          </w:tblCellMar>
        </w:tblPrEx>
        <w:trPr>
          <w:jc w:val="center"/>
        </w:trPr>
        <w:tc>
          <w:tcPr>
            <w:tcW w:w="1701" w:type="dxa"/>
            <w:vAlign w:val="center"/>
          </w:tcPr>
          <w:p>
            <w:pPr>
              <w:spacing w:line="312" w:lineRule="exact"/>
              <w:jc w:val="left"/>
              <w:textAlignment w:val="center"/>
              <w:rPr>
                <w:rFonts w:eastAsia="仿宋"/>
                <w:color w:val="000000" w:themeColor="text1"/>
                <w14:textFill>
                  <w14:solidFill>
                    <w14:schemeClr w14:val="tx1"/>
                  </w14:solidFill>
                </w14:textFill>
              </w:rPr>
            </w:pPr>
            <w:r>
              <w:rPr>
                <w:rFonts w:hint="eastAsia" w:eastAsia="仿宋"/>
                <w:color w:val="000000" w:themeColor="text1"/>
                <w14:textFill>
                  <w14:solidFill>
                    <w14:schemeClr w14:val="tx1"/>
                  </w14:solidFill>
                </w14:textFill>
              </w:rPr>
              <w:t>投资范围</w:t>
            </w:r>
          </w:p>
        </w:tc>
        <w:tc>
          <w:tcPr>
            <w:tcW w:w="6804" w:type="dxa"/>
            <w:vAlign w:val="center"/>
          </w:tcPr>
          <w:p>
            <w:pPr>
              <w:spacing w:line="312" w:lineRule="exact"/>
              <w:textAlignment w:val="center"/>
              <w:rPr>
                <w:rFonts w:hint="eastAsia" w:eastAsia="仿宋"/>
                <w:color w:val="000000" w:themeColor="text1"/>
                <w14:textFill>
                  <w14:solidFill>
                    <w14:schemeClr w14:val="tx1"/>
                  </w14:solidFill>
                </w14:textFill>
              </w:rPr>
            </w:pPr>
            <w:r>
              <w:rPr>
                <w:rFonts w:hint="eastAsia" w:eastAsia="仿宋"/>
                <w:color w:val="000000" w:themeColor="text1"/>
                <w14:textFill>
                  <w14:solidFill>
                    <w14:schemeClr w14:val="tx1"/>
                  </w14:solidFill>
                </w14:textFill>
              </w:rPr>
              <w:t>本基金的投资范围为具有良好流动性的金融工具，包括国内依法发行上市的股票（包括主板、创业板、科创板、北京证券交易所股票及其他经中国证监会核准或注册上市的股票以及存托凭证（下同））、内地与香港股票市场交易互联互通机制允许买卖的规定范围内的香港联合交易所上市的股票（简称“港股通股票”）、债券（包括国内依法发行的国债、央行票据、金融债券、企业债券、公司债券、中期票据、短期融资券、超短期融资券、公开发行的次级债券、政府支持机构债券、政府支持债券、地方政府债券、可转换债券、可交换债券及其他经中国证监会允许投资的债券）、资产支持证券、债券回购、银行存款（包括协议存款、定期存款及其他银行存款）、同业存单、货币市场工具、金融衍生品（包括股指期货、国债期货、股票期权、信用衍生品等）以及经中国证监会允许基金投资的其他金融工具，但需符合中国证监会的相关规定。</w:t>
            </w:r>
          </w:p>
          <w:p>
            <w:pPr>
              <w:spacing w:line="312" w:lineRule="exact"/>
              <w:textAlignment w:val="center"/>
              <w:rPr>
                <w:rFonts w:hint="eastAsia" w:eastAsia="仿宋"/>
                <w:color w:val="000000" w:themeColor="text1"/>
                <w14:textFill>
                  <w14:solidFill>
                    <w14:schemeClr w14:val="tx1"/>
                  </w14:solidFill>
                </w14:textFill>
              </w:rPr>
            </w:pPr>
            <w:r>
              <w:rPr>
                <w:rFonts w:hint="eastAsia" w:eastAsia="仿宋"/>
                <w:color w:val="000000" w:themeColor="text1"/>
                <w14:textFill>
                  <w14:solidFill>
                    <w14:schemeClr w14:val="tx1"/>
                  </w14:solidFill>
                </w14:textFill>
              </w:rPr>
              <w:t>本基金可根据法律法规参与融资业务。</w:t>
            </w:r>
          </w:p>
          <w:p>
            <w:pPr>
              <w:spacing w:line="312" w:lineRule="exact"/>
              <w:textAlignment w:val="center"/>
              <w:rPr>
                <w:rFonts w:hint="eastAsia" w:eastAsia="仿宋"/>
                <w:color w:val="000000" w:themeColor="text1"/>
                <w14:textFill>
                  <w14:solidFill>
                    <w14:schemeClr w14:val="tx1"/>
                  </w14:solidFill>
                </w14:textFill>
              </w:rPr>
            </w:pPr>
            <w:r>
              <w:rPr>
                <w:rFonts w:hint="eastAsia" w:eastAsia="仿宋"/>
                <w:color w:val="000000" w:themeColor="text1"/>
                <w14:textFill>
                  <w14:solidFill>
                    <w14:schemeClr w14:val="tx1"/>
                  </w14:solidFill>
                </w14:textFill>
              </w:rPr>
              <w:t>如法律法规或监管机构以后允许基金投资其他品种，基金管理人在履行适当程序后，可以将其纳入投资范围。</w:t>
            </w:r>
          </w:p>
          <w:p>
            <w:pPr>
              <w:spacing w:line="312" w:lineRule="exact"/>
              <w:textAlignment w:val="center"/>
              <w:rPr>
                <w:rFonts w:hint="eastAsia" w:eastAsia="仿宋"/>
                <w:color w:val="000000" w:themeColor="text1"/>
                <w14:textFill>
                  <w14:solidFill>
                    <w14:schemeClr w14:val="tx1"/>
                  </w14:solidFill>
                </w14:textFill>
              </w:rPr>
            </w:pPr>
            <w:r>
              <w:rPr>
                <w:rFonts w:hint="eastAsia" w:eastAsia="仿宋"/>
                <w:color w:val="000000" w:themeColor="text1"/>
                <w14:textFill>
                  <w14:solidFill>
                    <w14:schemeClr w14:val="tx1"/>
                  </w14:solidFill>
                </w14:textFill>
              </w:rPr>
              <w:t>本基金的投资组合比例如下：本基金股票（含存托凭证）投资占基金资产的比例范围为60%-95%（其中港股通股票投资比例不得超过股票资产的50%）。本基金每个交易日日终在扣除股指期货合约、国债期货合约、股票期权合约需缴纳的交易保证金后，应当保持不低于基金资产净值5%的现金或者到期日在一年以内的政府债券。其中现金不包括结算备付金、存出保证金、应收申购款等。</w:t>
            </w:r>
          </w:p>
          <w:p>
            <w:pPr>
              <w:spacing w:line="312" w:lineRule="exact"/>
              <w:textAlignment w:val="center"/>
              <w:rPr>
                <w:rFonts w:eastAsia="仿宋"/>
                <w:color w:val="000000" w:themeColor="text1"/>
                <w14:textFill>
                  <w14:solidFill>
                    <w14:schemeClr w14:val="tx1"/>
                  </w14:solidFill>
                </w14:textFill>
              </w:rPr>
            </w:pPr>
            <w:r>
              <w:rPr>
                <w:rFonts w:hint="eastAsia" w:eastAsia="仿宋"/>
                <w:color w:val="000000" w:themeColor="text1"/>
                <w14:textFill>
                  <w14:solidFill>
                    <w14:schemeClr w14:val="tx1"/>
                  </w14:solidFill>
                </w14:textFill>
              </w:rPr>
              <w:t>如果法律法规或中国证监会变更投资品种的投资比例限制，基金管理人在履行适当程序后，可以调整上述投资品种的投资比例。</w:t>
            </w:r>
          </w:p>
        </w:tc>
      </w:tr>
      <w:tr>
        <w:tblPrEx>
          <w:tblBorders>
            <w:top w:val="single" w:color="auto" w:sz="4" w:space="0"/>
            <w:left w:val="none" w:color="auto" w:sz="0" w:space="0"/>
            <w:bottom w:val="single" w:color="auto" w:sz="4" w:space="0"/>
            <w:right w:val="none" w:color="auto" w:sz="0" w:space="0"/>
            <w:insideH w:val="dashed" w:color="auto" w:sz="4" w:space="0"/>
            <w:insideV w:val="none" w:color="auto" w:sz="0" w:space="0"/>
          </w:tblBorders>
          <w:tblCellMar>
            <w:top w:w="0" w:type="dxa"/>
            <w:left w:w="108" w:type="dxa"/>
            <w:bottom w:w="0" w:type="dxa"/>
            <w:right w:w="108" w:type="dxa"/>
          </w:tblCellMar>
        </w:tblPrEx>
        <w:trPr>
          <w:jc w:val="center"/>
        </w:trPr>
        <w:tc>
          <w:tcPr>
            <w:tcW w:w="1701" w:type="dxa"/>
            <w:vAlign w:val="center"/>
          </w:tcPr>
          <w:p>
            <w:pPr>
              <w:spacing w:line="312" w:lineRule="exact"/>
              <w:jc w:val="left"/>
              <w:textAlignment w:val="center"/>
              <w:rPr>
                <w:rFonts w:eastAsia="仿宋"/>
                <w:color w:val="000000" w:themeColor="text1"/>
                <w14:textFill>
                  <w14:solidFill>
                    <w14:schemeClr w14:val="tx1"/>
                  </w14:solidFill>
                </w14:textFill>
              </w:rPr>
            </w:pPr>
            <w:r>
              <w:rPr>
                <w:rFonts w:hint="eastAsia" w:eastAsia="仿宋"/>
                <w:color w:val="000000" w:themeColor="text1"/>
                <w14:textFill>
                  <w14:solidFill>
                    <w14:schemeClr w14:val="tx1"/>
                  </w14:solidFill>
                </w14:textFill>
              </w:rPr>
              <w:t>主要投资策略</w:t>
            </w:r>
          </w:p>
        </w:tc>
        <w:tc>
          <w:tcPr>
            <w:tcW w:w="6804" w:type="dxa"/>
            <w:vAlign w:val="center"/>
          </w:tcPr>
          <w:p>
            <w:pPr>
              <w:spacing w:line="312" w:lineRule="exact"/>
              <w:textAlignment w:val="center"/>
              <w:rPr>
                <w:rFonts w:eastAsia="仿宋"/>
                <w:color w:val="000000" w:themeColor="text1"/>
                <w14:textFill>
                  <w14:solidFill>
                    <w14:schemeClr w14:val="tx1"/>
                  </w14:solidFill>
                </w14:textFill>
              </w:rPr>
            </w:pPr>
            <w:r>
              <w:rPr>
                <w:rFonts w:hint="eastAsia" w:eastAsia="仿宋"/>
                <w:color w:val="000000" w:themeColor="text1"/>
                <w14:textFill>
                  <w14:solidFill>
                    <w14:schemeClr w14:val="tx1"/>
                  </w14:solidFill>
                </w14:textFill>
              </w:rPr>
              <w:t>本基金通过定性与定量相结合的方法分析宏观经济和证券市场发展趋势，对证券市场当期的系统性风险以及可预见的未来时期内各大类资产的预期风险和预期收益率进行分析评估，并据此制定本基金在股票、债券、现金等资产之间的配置比例、调整原则和调整范围，在保持总体风险水平相对稳定的基础上，力争投资组合的稳定增值。此外，本基金将持续地进行定期与不定期的资产配置风险监控，适时地做出相应的调整。具体投资策略包括：1、资产配置策略；2、股票投资策略；3、债券投资策略；4、金融衍生品投资策略；5、资产支持证券投资策略；6、融资投资策略；7、存托凭证投资策略。</w:t>
            </w:r>
          </w:p>
        </w:tc>
      </w:tr>
      <w:tr>
        <w:tblPrEx>
          <w:tblBorders>
            <w:top w:val="single" w:color="auto" w:sz="4" w:space="0"/>
            <w:left w:val="none" w:color="auto" w:sz="0" w:space="0"/>
            <w:bottom w:val="single" w:color="auto" w:sz="4" w:space="0"/>
            <w:right w:val="none" w:color="auto" w:sz="0" w:space="0"/>
            <w:insideH w:val="dashed" w:color="auto" w:sz="4" w:space="0"/>
            <w:insideV w:val="none" w:color="auto" w:sz="0" w:space="0"/>
          </w:tblBorders>
          <w:tblCellMar>
            <w:top w:w="0" w:type="dxa"/>
            <w:left w:w="108" w:type="dxa"/>
            <w:bottom w:w="0" w:type="dxa"/>
            <w:right w:w="108" w:type="dxa"/>
          </w:tblCellMar>
        </w:tblPrEx>
        <w:trPr>
          <w:jc w:val="center"/>
        </w:trPr>
        <w:tc>
          <w:tcPr>
            <w:tcW w:w="1701" w:type="dxa"/>
            <w:vAlign w:val="center"/>
          </w:tcPr>
          <w:p>
            <w:pPr>
              <w:spacing w:line="312" w:lineRule="exact"/>
              <w:jc w:val="left"/>
              <w:textAlignment w:val="center"/>
              <w:rPr>
                <w:rFonts w:eastAsia="仿宋"/>
                <w:color w:val="000000" w:themeColor="text1"/>
                <w14:textFill>
                  <w14:solidFill>
                    <w14:schemeClr w14:val="tx1"/>
                  </w14:solidFill>
                </w14:textFill>
              </w:rPr>
            </w:pPr>
            <w:r>
              <w:rPr>
                <w:rFonts w:hint="eastAsia" w:eastAsia="仿宋"/>
                <w:color w:val="000000" w:themeColor="text1"/>
                <w14:textFill>
                  <w14:solidFill>
                    <w14:schemeClr w14:val="tx1"/>
                  </w14:solidFill>
                </w14:textFill>
              </w:rPr>
              <w:t>业绩比较基准</w:t>
            </w:r>
          </w:p>
        </w:tc>
        <w:tc>
          <w:tcPr>
            <w:tcW w:w="6804" w:type="dxa"/>
            <w:vAlign w:val="center"/>
          </w:tcPr>
          <w:p>
            <w:pPr>
              <w:spacing w:line="312" w:lineRule="exact"/>
              <w:jc w:val="left"/>
              <w:textAlignment w:val="center"/>
              <w:rPr>
                <w:rFonts w:eastAsia="仿宋"/>
                <w:color w:val="000000" w:themeColor="text1"/>
                <w14:textFill>
                  <w14:solidFill>
                    <w14:schemeClr w14:val="tx1"/>
                  </w14:solidFill>
                </w14:textFill>
              </w:rPr>
            </w:pPr>
            <w:r>
              <w:rPr>
                <w:rFonts w:hint="eastAsia" w:eastAsia="仿宋"/>
                <w:color w:val="000000" w:themeColor="text1"/>
                <w14:textFill>
                  <w14:solidFill>
                    <w14:schemeClr w14:val="tx1"/>
                  </w14:solidFill>
                </w14:textFill>
              </w:rPr>
              <w:t>沪深300指数收益率×70%+中证港股通综合指数（人民币）收益率×10%+中债-综合财富（1-3年）指数收益率×20%</w:t>
            </w:r>
          </w:p>
        </w:tc>
      </w:tr>
      <w:tr>
        <w:tblPrEx>
          <w:tblBorders>
            <w:top w:val="single" w:color="auto" w:sz="4" w:space="0"/>
            <w:left w:val="none" w:color="auto" w:sz="0" w:space="0"/>
            <w:bottom w:val="single" w:color="auto" w:sz="4" w:space="0"/>
            <w:right w:val="none" w:color="auto" w:sz="0" w:space="0"/>
            <w:insideH w:val="dashed" w:color="auto" w:sz="4" w:space="0"/>
            <w:insideV w:val="none" w:color="auto" w:sz="0" w:space="0"/>
          </w:tblBorders>
          <w:tblCellMar>
            <w:top w:w="0" w:type="dxa"/>
            <w:left w:w="108" w:type="dxa"/>
            <w:bottom w:w="0" w:type="dxa"/>
            <w:right w:w="108" w:type="dxa"/>
          </w:tblCellMar>
        </w:tblPrEx>
        <w:trPr>
          <w:jc w:val="center"/>
        </w:trPr>
        <w:tc>
          <w:tcPr>
            <w:tcW w:w="1701" w:type="dxa"/>
            <w:vAlign w:val="center"/>
          </w:tcPr>
          <w:p>
            <w:pPr>
              <w:spacing w:line="312" w:lineRule="exact"/>
              <w:jc w:val="left"/>
              <w:textAlignment w:val="center"/>
              <w:rPr>
                <w:rFonts w:eastAsia="仿宋"/>
                <w:color w:val="000000" w:themeColor="text1"/>
                <w14:textFill>
                  <w14:solidFill>
                    <w14:schemeClr w14:val="tx1"/>
                  </w14:solidFill>
                </w14:textFill>
              </w:rPr>
            </w:pPr>
            <w:bookmarkStart w:id="0" w:name="_GoBack" w:colFirst="1" w:colLast="1"/>
            <w:r>
              <w:rPr>
                <w:rFonts w:hint="eastAsia" w:eastAsia="仿宋"/>
                <w:color w:val="000000" w:themeColor="text1"/>
                <w14:textFill>
                  <w14:solidFill>
                    <w14:schemeClr w14:val="tx1"/>
                  </w14:solidFill>
                </w14:textFill>
              </w:rPr>
              <w:t>风险收益特征</w:t>
            </w:r>
          </w:p>
        </w:tc>
        <w:tc>
          <w:tcPr>
            <w:tcW w:w="6804" w:type="dxa"/>
            <w:vAlign w:val="center"/>
          </w:tcPr>
          <w:p>
            <w:pPr>
              <w:spacing w:line="312" w:lineRule="exact"/>
              <w:textAlignment w:val="center"/>
              <w:rPr>
                <w:rFonts w:eastAsia="仿宋"/>
                <w:color w:val="000000" w:themeColor="text1"/>
                <w14:textFill>
                  <w14:solidFill>
                    <w14:schemeClr w14:val="tx1"/>
                  </w14:solidFill>
                </w14:textFill>
              </w:rPr>
            </w:pPr>
            <w:r>
              <w:rPr>
                <w:rFonts w:hint="eastAsia" w:eastAsia="仿宋"/>
                <w:color w:val="000000" w:themeColor="text1"/>
                <w14:textFill>
                  <w14:solidFill>
                    <w14:schemeClr w14:val="tx1"/>
                  </w14:solidFill>
                </w14:textFill>
              </w:rPr>
              <w:t>本基金为混合型基金，一般而言，其长期平均风险和预期的收益低于股票型基金，高于债券型基金、货币市场基金。本基金可投资港股通股票，除了需要承担与境内证券投资基金类似的市场波动风险等一般投资风险之外，本基金还面临汇率风险、香港市场风险等境外证券市场投资所面临的特别投资风险。</w:t>
            </w:r>
          </w:p>
        </w:tc>
      </w:tr>
      <w:bookmarkEnd w:id="0"/>
    </w:tbl>
    <w:p>
      <w:pPr>
        <w:pStyle w:val="20"/>
        <w:spacing w:before="156" w:after="156"/>
        <w:rPr>
          <w:rFonts w:hint="eastAsia"/>
        </w:rPr>
      </w:pPr>
      <w:r>
        <w:rPr>
          <w:rFonts w:hint="eastAsia"/>
        </w:rPr>
        <w:t>（二） 投资组合资产配置图表/区域配置图表</w:t>
      </w:r>
    </w:p>
    <w:p>
      <w:pPr>
        <w:pStyle w:val="15"/>
        <w:ind w:firstLine="420"/>
        <w:rPr>
          <w:rFonts w:hint="eastAsia"/>
        </w:rPr>
      </w:pPr>
      <w:r>
        <w:rPr>
          <w:rFonts w:hint="eastAsia"/>
        </w:rPr>
        <w:t>无。</w:t>
      </w:r>
    </w:p>
    <w:p>
      <w:pPr>
        <w:pStyle w:val="20"/>
        <w:spacing w:before="156" w:after="156"/>
        <w:rPr>
          <w:rFonts w:hint="eastAsia"/>
        </w:rPr>
      </w:pPr>
      <w:r>
        <w:rPr>
          <w:rFonts w:hint="eastAsia"/>
        </w:rPr>
        <w:t>（三） 自基金合同生效以来基金每年的净值增长率及与同期业绩比较基准的比较图</w:t>
      </w:r>
    </w:p>
    <w:p>
      <w:pPr>
        <w:pStyle w:val="15"/>
        <w:ind w:firstLine="420"/>
        <w:rPr>
          <w:rFonts w:hint="eastAsia"/>
        </w:rPr>
      </w:pPr>
      <w:r>
        <w:rPr>
          <w:rFonts w:hint="eastAsia"/>
        </w:rPr>
        <w:t>无。</w:t>
      </w:r>
    </w:p>
    <w:p>
      <w:pPr>
        <w:pStyle w:val="23"/>
        <w:spacing w:before="156" w:after="156"/>
        <w:rPr>
          <w:rFonts w:hint="eastAsia"/>
        </w:rPr>
      </w:pPr>
      <w:r>
        <w:rPr>
          <w:rFonts w:hint="eastAsia"/>
        </w:rPr>
        <w:t>三、投资本基金涉及的费用</w:t>
      </w:r>
    </w:p>
    <w:p>
      <w:pPr>
        <w:pStyle w:val="20"/>
        <w:spacing w:before="156" w:after="156"/>
        <w:rPr>
          <w:rFonts w:hint="eastAsia"/>
        </w:rPr>
      </w:pPr>
      <w:r>
        <w:rPr>
          <w:rFonts w:hint="eastAsia"/>
        </w:rPr>
        <w:t>（一） 基金销售相关费用</w:t>
      </w:r>
    </w:p>
    <w:tbl>
      <w:tblPr>
        <w:tblStyle w:val="36"/>
        <w:tblW w:w="8506" w:type="dxa"/>
        <w:jc w:val="center"/>
        <w:tblBorders>
          <w:top w:val="single" w:color="auto" w:sz="4" w:space="0"/>
          <w:left w:val="none" w:color="auto" w:sz="0" w:space="0"/>
          <w:bottom w:val="single" w:color="auto" w:sz="4" w:space="0"/>
          <w:right w:val="none" w:color="auto" w:sz="0" w:space="0"/>
          <w:insideH w:val="dashed" w:color="auto" w:sz="4" w:space="0"/>
          <w:insideV w:val="none" w:color="auto" w:sz="0" w:space="0"/>
        </w:tblBorders>
        <w:tblLayout w:type="fixed"/>
        <w:tblCellMar>
          <w:top w:w="0" w:type="dxa"/>
          <w:left w:w="108" w:type="dxa"/>
          <w:bottom w:w="0" w:type="dxa"/>
          <w:right w:w="108" w:type="dxa"/>
        </w:tblCellMar>
      </w:tblPr>
      <w:tblGrid>
        <w:gridCol w:w="1985"/>
        <w:gridCol w:w="2835"/>
        <w:gridCol w:w="1843"/>
        <w:gridCol w:w="1843"/>
      </w:tblGrid>
      <w:tr>
        <w:tblPrEx>
          <w:tblBorders>
            <w:top w:val="single" w:color="auto" w:sz="4" w:space="0"/>
            <w:left w:val="none" w:color="auto" w:sz="0" w:space="0"/>
            <w:bottom w:val="single" w:color="auto" w:sz="4" w:space="0"/>
            <w:right w:val="none" w:color="auto" w:sz="0" w:space="0"/>
            <w:insideH w:val="dashed" w:color="auto" w:sz="4" w:space="0"/>
            <w:insideV w:val="none" w:color="auto" w:sz="0" w:space="0"/>
          </w:tblBorders>
          <w:tblCellMar>
            <w:top w:w="0" w:type="dxa"/>
            <w:left w:w="108" w:type="dxa"/>
            <w:bottom w:w="0" w:type="dxa"/>
            <w:right w:w="108" w:type="dxa"/>
          </w:tblCellMar>
        </w:tblPrEx>
        <w:trPr>
          <w:jc w:val="center"/>
        </w:trPr>
        <w:tc>
          <w:tcPr>
            <w:tcW w:w="1985" w:type="dxa"/>
            <w:vAlign w:val="center"/>
          </w:tcPr>
          <w:p>
            <w:pPr>
              <w:spacing w:line="312" w:lineRule="exact"/>
              <w:jc w:val="center"/>
              <w:textAlignment w:val="center"/>
              <w:rPr>
                <w:rFonts w:eastAsia="仿宋"/>
                <w:color w:val="000000" w:themeColor="text1"/>
                <w14:textFill>
                  <w14:solidFill>
                    <w14:schemeClr w14:val="tx1"/>
                  </w14:solidFill>
                </w14:textFill>
              </w:rPr>
            </w:pPr>
            <w:r>
              <w:rPr>
                <w:rFonts w:hint="eastAsia" w:eastAsia="仿宋"/>
                <w:color w:val="000000" w:themeColor="text1"/>
                <w14:textFill>
                  <w14:solidFill>
                    <w14:schemeClr w14:val="tx1"/>
                  </w14:solidFill>
                </w14:textFill>
              </w:rPr>
              <w:t>费用类型</w:t>
            </w:r>
          </w:p>
        </w:tc>
        <w:tc>
          <w:tcPr>
            <w:tcW w:w="2835" w:type="dxa"/>
            <w:vAlign w:val="center"/>
          </w:tcPr>
          <w:p>
            <w:pPr>
              <w:spacing w:line="312" w:lineRule="exact"/>
              <w:jc w:val="center"/>
              <w:textAlignment w:val="center"/>
              <w:rPr>
                <w:rFonts w:eastAsia="仿宋"/>
                <w:color w:val="000000" w:themeColor="text1"/>
                <w14:textFill>
                  <w14:solidFill>
                    <w14:schemeClr w14:val="tx1"/>
                  </w14:solidFill>
                </w14:textFill>
              </w:rPr>
            </w:pPr>
            <w:r>
              <w:rPr>
                <w:rFonts w:hint="eastAsia" w:eastAsia="仿宋"/>
                <w:color w:val="000000" w:themeColor="text1"/>
                <w14:textFill>
                  <w14:solidFill>
                    <w14:schemeClr w14:val="tx1"/>
                  </w14:solidFill>
                </w14:textFill>
              </w:rPr>
              <w:t>份额（S）或金额（M）/持有期限（N）</w:t>
            </w:r>
          </w:p>
        </w:tc>
        <w:tc>
          <w:tcPr>
            <w:tcW w:w="1843" w:type="dxa"/>
            <w:vAlign w:val="center"/>
          </w:tcPr>
          <w:p>
            <w:pPr>
              <w:spacing w:line="312" w:lineRule="exact"/>
              <w:jc w:val="center"/>
              <w:textAlignment w:val="center"/>
              <w:rPr>
                <w:rFonts w:eastAsia="仿宋"/>
                <w:color w:val="000000" w:themeColor="text1"/>
                <w14:textFill>
                  <w14:solidFill>
                    <w14:schemeClr w14:val="tx1"/>
                  </w14:solidFill>
                </w14:textFill>
              </w:rPr>
            </w:pPr>
            <w:r>
              <w:rPr>
                <w:rFonts w:hint="eastAsia" w:eastAsia="仿宋"/>
                <w:color w:val="000000" w:themeColor="text1"/>
                <w14:textFill>
                  <w14:solidFill>
                    <w14:schemeClr w14:val="tx1"/>
                  </w14:solidFill>
                </w14:textFill>
              </w:rPr>
              <w:t>收费方式/费率</w:t>
            </w:r>
          </w:p>
        </w:tc>
        <w:tc>
          <w:tcPr>
            <w:tcW w:w="1843" w:type="dxa"/>
            <w:vAlign w:val="center"/>
          </w:tcPr>
          <w:p>
            <w:pPr>
              <w:spacing w:line="312" w:lineRule="exact"/>
              <w:jc w:val="center"/>
              <w:textAlignment w:val="center"/>
              <w:rPr>
                <w:rFonts w:eastAsia="仿宋"/>
                <w:color w:val="000000" w:themeColor="text1"/>
                <w14:textFill>
                  <w14:solidFill>
                    <w14:schemeClr w14:val="tx1"/>
                  </w14:solidFill>
                </w14:textFill>
              </w:rPr>
            </w:pPr>
            <w:r>
              <w:rPr>
                <w:rFonts w:hint="eastAsia" w:eastAsia="仿宋"/>
                <w:color w:val="000000" w:themeColor="text1"/>
                <w14:textFill>
                  <w14:solidFill>
                    <w14:schemeClr w14:val="tx1"/>
                  </w14:solidFill>
                </w14:textFill>
              </w:rPr>
              <w:t>备注</w:t>
            </w:r>
          </w:p>
        </w:tc>
      </w:tr>
      <w:tr>
        <w:tblPrEx>
          <w:tblBorders>
            <w:top w:val="single" w:color="auto" w:sz="4" w:space="0"/>
            <w:left w:val="none" w:color="auto" w:sz="0" w:space="0"/>
            <w:bottom w:val="single" w:color="auto" w:sz="4" w:space="0"/>
            <w:right w:val="none" w:color="auto" w:sz="0" w:space="0"/>
            <w:insideH w:val="dashed" w:color="auto" w:sz="4" w:space="0"/>
            <w:insideV w:val="none" w:color="auto" w:sz="0" w:space="0"/>
          </w:tblBorders>
          <w:tblCellMar>
            <w:top w:w="0" w:type="dxa"/>
            <w:left w:w="108" w:type="dxa"/>
            <w:bottom w:w="0" w:type="dxa"/>
            <w:right w:w="108" w:type="dxa"/>
          </w:tblCellMar>
        </w:tblPrEx>
        <w:trPr>
          <w:jc w:val="center"/>
        </w:trPr>
        <w:tc>
          <w:tcPr>
            <w:tcW w:w="1985" w:type="dxa"/>
            <w:vMerge w:val="restart"/>
            <w:vAlign w:val="center"/>
          </w:tcPr>
          <w:p>
            <w:pPr>
              <w:spacing w:line="312" w:lineRule="exact"/>
              <w:jc w:val="center"/>
              <w:textAlignment w:val="center"/>
              <w:rPr>
                <w:rFonts w:eastAsia="仿宋"/>
                <w:color w:val="000000" w:themeColor="text1"/>
                <w14:textFill>
                  <w14:solidFill>
                    <w14:schemeClr w14:val="tx1"/>
                  </w14:solidFill>
                </w14:textFill>
              </w:rPr>
            </w:pPr>
            <w:r>
              <w:rPr>
                <w:rFonts w:hint="eastAsia" w:eastAsia="仿宋"/>
                <w:color w:val="000000" w:themeColor="text1"/>
                <w14:textFill>
                  <w14:solidFill>
                    <w14:schemeClr w14:val="tx1"/>
                  </w14:solidFill>
                </w14:textFill>
              </w:rPr>
              <w:t>认购费</w:t>
            </w:r>
          </w:p>
        </w:tc>
        <w:tc>
          <w:tcPr>
            <w:tcW w:w="2835" w:type="dxa"/>
            <w:vAlign w:val="center"/>
          </w:tcPr>
          <w:p>
            <w:pPr>
              <w:spacing w:line="312" w:lineRule="exact"/>
              <w:jc w:val="left"/>
              <w:textAlignment w:val="center"/>
              <w:rPr>
                <w:rFonts w:eastAsia="仿宋"/>
                <w:color w:val="000000" w:themeColor="text1"/>
                <w14:textFill>
                  <w14:solidFill>
                    <w14:schemeClr w14:val="tx1"/>
                  </w14:solidFill>
                </w14:textFill>
              </w:rPr>
            </w:pPr>
            <w:r>
              <w:rPr>
                <w:rFonts w:hint="eastAsia" w:eastAsia="仿宋"/>
                <w:color w:val="000000" w:themeColor="text1"/>
                <w14:textFill>
                  <w14:solidFill>
                    <w14:schemeClr w14:val="tx1"/>
                  </w14:solidFill>
                </w14:textFill>
              </w:rPr>
              <w:t>M&lt; 500万元</w:t>
            </w:r>
          </w:p>
        </w:tc>
        <w:tc>
          <w:tcPr>
            <w:tcW w:w="1843" w:type="dxa"/>
            <w:vAlign w:val="center"/>
          </w:tcPr>
          <w:p>
            <w:pPr>
              <w:spacing w:line="312" w:lineRule="exact"/>
              <w:jc w:val="right"/>
              <w:textAlignment w:val="center"/>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0.8%</w:t>
            </w:r>
          </w:p>
        </w:tc>
        <w:tc>
          <w:tcPr>
            <w:tcW w:w="1843" w:type="dxa"/>
            <w:vAlign w:val="center"/>
          </w:tcPr>
          <w:p>
            <w:pPr>
              <w:spacing w:line="312" w:lineRule="exact"/>
              <w:jc w:val="right"/>
              <w:textAlignment w:val="center"/>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w:t>
            </w:r>
          </w:p>
        </w:tc>
      </w:tr>
      <w:tr>
        <w:tblPrEx>
          <w:tblBorders>
            <w:top w:val="single" w:color="auto" w:sz="4" w:space="0"/>
            <w:left w:val="none" w:color="auto" w:sz="0" w:space="0"/>
            <w:bottom w:val="single" w:color="auto" w:sz="4" w:space="0"/>
            <w:right w:val="none" w:color="auto" w:sz="0" w:space="0"/>
            <w:insideH w:val="dashed" w:color="auto" w:sz="4" w:space="0"/>
            <w:insideV w:val="none" w:color="auto" w:sz="0" w:space="0"/>
          </w:tblBorders>
          <w:tblCellMar>
            <w:top w:w="0" w:type="dxa"/>
            <w:left w:w="108" w:type="dxa"/>
            <w:bottom w:w="0" w:type="dxa"/>
            <w:right w:w="108" w:type="dxa"/>
          </w:tblCellMar>
        </w:tblPrEx>
        <w:trPr>
          <w:jc w:val="center"/>
        </w:trPr>
        <w:tc>
          <w:tcPr>
            <w:tcW w:w="1985" w:type="dxa"/>
            <w:vMerge w:val="continue"/>
            <w:vAlign w:val="center"/>
          </w:tcPr>
          <w:p>
            <w:pPr>
              <w:spacing w:line="312" w:lineRule="exact"/>
              <w:jc w:val="left"/>
              <w:textAlignment w:val="center"/>
              <w:rPr>
                <w:rFonts w:eastAsia="仿宋"/>
                <w:color w:val="000000" w:themeColor="text1"/>
                <w14:textFill>
                  <w14:solidFill>
                    <w14:schemeClr w14:val="tx1"/>
                  </w14:solidFill>
                </w14:textFill>
              </w:rPr>
            </w:pPr>
          </w:p>
        </w:tc>
        <w:tc>
          <w:tcPr>
            <w:tcW w:w="2835" w:type="dxa"/>
            <w:vAlign w:val="center"/>
          </w:tcPr>
          <w:p>
            <w:pPr>
              <w:spacing w:line="312" w:lineRule="exact"/>
              <w:jc w:val="left"/>
              <w:textAlignment w:val="center"/>
              <w:rPr>
                <w:rFonts w:eastAsia="仿宋"/>
                <w:color w:val="000000" w:themeColor="text1"/>
                <w14:textFill>
                  <w14:solidFill>
                    <w14:schemeClr w14:val="tx1"/>
                  </w14:solidFill>
                </w14:textFill>
              </w:rPr>
            </w:pPr>
            <w:r>
              <w:rPr>
                <w:rFonts w:hint="eastAsia" w:eastAsia="仿宋"/>
                <w:color w:val="000000" w:themeColor="text1"/>
                <w14:textFill>
                  <w14:solidFill>
                    <w14:schemeClr w14:val="tx1"/>
                  </w14:solidFill>
                </w14:textFill>
              </w:rPr>
              <w:t>500万元≤M</w:t>
            </w:r>
          </w:p>
        </w:tc>
        <w:tc>
          <w:tcPr>
            <w:tcW w:w="1843" w:type="dxa"/>
            <w:vAlign w:val="center"/>
          </w:tcPr>
          <w:p>
            <w:pPr>
              <w:spacing w:line="312" w:lineRule="exact"/>
              <w:jc w:val="left"/>
              <w:textAlignment w:val="center"/>
              <w:rPr>
                <w:rFonts w:eastAsia="仿宋"/>
                <w:color w:val="000000" w:themeColor="text1"/>
                <w14:textFill>
                  <w14:solidFill>
                    <w14:schemeClr w14:val="tx1"/>
                  </w14:solidFill>
                </w14:textFill>
              </w:rPr>
            </w:pPr>
            <w:r>
              <w:rPr>
                <w:rFonts w:hint="eastAsia" w:eastAsia="仿宋"/>
                <w:color w:val="000000" w:themeColor="text1"/>
                <w14:textFill>
                  <w14:solidFill>
                    <w14:schemeClr w14:val="tx1"/>
                  </w14:solidFill>
                </w14:textFill>
              </w:rPr>
              <w:t>每笔1,000元</w:t>
            </w:r>
          </w:p>
        </w:tc>
        <w:tc>
          <w:tcPr>
            <w:tcW w:w="1843" w:type="dxa"/>
            <w:vAlign w:val="center"/>
          </w:tcPr>
          <w:p>
            <w:pPr>
              <w:spacing w:line="312" w:lineRule="exact"/>
              <w:jc w:val="right"/>
              <w:textAlignment w:val="center"/>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w:t>
            </w:r>
          </w:p>
        </w:tc>
      </w:tr>
      <w:tr>
        <w:tblPrEx>
          <w:tblBorders>
            <w:top w:val="single" w:color="auto" w:sz="4" w:space="0"/>
            <w:left w:val="none" w:color="auto" w:sz="0" w:space="0"/>
            <w:bottom w:val="single" w:color="auto" w:sz="4" w:space="0"/>
            <w:right w:val="none" w:color="auto" w:sz="0" w:space="0"/>
            <w:insideH w:val="dashed" w:color="auto" w:sz="4" w:space="0"/>
            <w:insideV w:val="none" w:color="auto" w:sz="0" w:space="0"/>
          </w:tblBorders>
          <w:tblCellMar>
            <w:top w:w="0" w:type="dxa"/>
            <w:left w:w="108" w:type="dxa"/>
            <w:bottom w:w="0" w:type="dxa"/>
            <w:right w:w="108" w:type="dxa"/>
          </w:tblCellMar>
        </w:tblPrEx>
        <w:trPr>
          <w:jc w:val="center"/>
        </w:trPr>
        <w:tc>
          <w:tcPr>
            <w:tcW w:w="1985" w:type="dxa"/>
            <w:vMerge w:val="restart"/>
            <w:vAlign w:val="center"/>
          </w:tcPr>
          <w:p>
            <w:pPr>
              <w:spacing w:line="312" w:lineRule="exact"/>
              <w:jc w:val="center"/>
              <w:textAlignment w:val="center"/>
              <w:rPr>
                <w:rFonts w:eastAsia="仿宋"/>
                <w:color w:val="000000" w:themeColor="text1"/>
                <w14:textFill>
                  <w14:solidFill>
                    <w14:schemeClr w14:val="tx1"/>
                  </w14:solidFill>
                </w14:textFill>
              </w:rPr>
            </w:pPr>
            <w:r>
              <w:rPr>
                <w:rFonts w:hint="eastAsia" w:eastAsia="仿宋"/>
                <w:color w:val="000000" w:themeColor="text1"/>
                <w14:textFill>
                  <w14:solidFill>
                    <w14:schemeClr w14:val="tx1"/>
                  </w14:solidFill>
                </w14:textFill>
              </w:rPr>
              <w:t>申购费（前收费）</w:t>
            </w:r>
          </w:p>
        </w:tc>
        <w:tc>
          <w:tcPr>
            <w:tcW w:w="2835" w:type="dxa"/>
            <w:vAlign w:val="center"/>
          </w:tcPr>
          <w:p>
            <w:pPr>
              <w:spacing w:line="312" w:lineRule="exact"/>
              <w:jc w:val="left"/>
              <w:textAlignment w:val="center"/>
              <w:rPr>
                <w:rFonts w:eastAsia="仿宋"/>
                <w:color w:val="000000" w:themeColor="text1"/>
                <w14:textFill>
                  <w14:solidFill>
                    <w14:schemeClr w14:val="tx1"/>
                  </w14:solidFill>
                </w14:textFill>
              </w:rPr>
            </w:pPr>
            <w:r>
              <w:rPr>
                <w:rFonts w:hint="eastAsia" w:eastAsia="仿宋"/>
                <w:color w:val="000000" w:themeColor="text1"/>
                <w14:textFill>
                  <w14:solidFill>
                    <w14:schemeClr w14:val="tx1"/>
                  </w14:solidFill>
                </w14:textFill>
              </w:rPr>
              <w:t>M&lt; 500万元</w:t>
            </w:r>
          </w:p>
        </w:tc>
        <w:tc>
          <w:tcPr>
            <w:tcW w:w="1843" w:type="dxa"/>
            <w:vAlign w:val="center"/>
          </w:tcPr>
          <w:p>
            <w:pPr>
              <w:spacing w:line="312" w:lineRule="exact"/>
              <w:jc w:val="right"/>
              <w:textAlignment w:val="center"/>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0.8%</w:t>
            </w:r>
          </w:p>
        </w:tc>
        <w:tc>
          <w:tcPr>
            <w:tcW w:w="1843" w:type="dxa"/>
            <w:vAlign w:val="center"/>
          </w:tcPr>
          <w:p>
            <w:pPr>
              <w:spacing w:line="312" w:lineRule="exact"/>
              <w:jc w:val="right"/>
              <w:textAlignment w:val="center"/>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w:t>
            </w:r>
          </w:p>
        </w:tc>
      </w:tr>
      <w:tr>
        <w:tblPrEx>
          <w:tblBorders>
            <w:top w:val="single" w:color="auto" w:sz="4" w:space="0"/>
            <w:left w:val="none" w:color="auto" w:sz="0" w:space="0"/>
            <w:bottom w:val="single" w:color="auto" w:sz="4" w:space="0"/>
            <w:right w:val="none" w:color="auto" w:sz="0" w:space="0"/>
            <w:insideH w:val="dashed" w:color="auto" w:sz="4" w:space="0"/>
            <w:insideV w:val="none" w:color="auto" w:sz="0" w:space="0"/>
          </w:tblBorders>
          <w:tblCellMar>
            <w:top w:w="0" w:type="dxa"/>
            <w:left w:w="108" w:type="dxa"/>
            <w:bottom w:w="0" w:type="dxa"/>
            <w:right w:w="108" w:type="dxa"/>
          </w:tblCellMar>
        </w:tblPrEx>
        <w:trPr>
          <w:jc w:val="center"/>
        </w:trPr>
        <w:tc>
          <w:tcPr>
            <w:tcW w:w="1985" w:type="dxa"/>
            <w:vMerge w:val="continue"/>
            <w:vAlign w:val="center"/>
          </w:tcPr>
          <w:p>
            <w:pPr>
              <w:spacing w:line="312" w:lineRule="exact"/>
              <w:jc w:val="left"/>
              <w:textAlignment w:val="center"/>
              <w:rPr>
                <w:rFonts w:eastAsia="仿宋"/>
                <w:color w:val="000000" w:themeColor="text1"/>
                <w14:textFill>
                  <w14:solidFill>
                    <w14:schemeClr w14:val="tx1"/>
                  </w14:solidFill>
                </w14:textFill>
              </w:rPr>
            </w:pPr>
          </w:p>
        </w:tc>
        <w:tc>
          <w:tcPr>
            <w:tcW w:w="2835" w:type="dxa"/>
            <w:vAlign w:val="center"/>
          </w:tcPr>
          <w:p>
            <w:pPr>
              <w:spacing w:line="312" w:lineRule="exact"/>
              <w:jc w:val="left"/>
              <w:textAlignment w:val="center"/>
              <w:rPr>
                <w:rFonts w:eastAsia="仿宋"/>
                <w:color w:val="000000" w:themeColor="text1"/>
                <w14:textFill>
                  <w14:solidFill>
                    <w14:schemeClr w14:val="tx1"/>
                  </w14:solidFill>
                </w14:textFill>
              </w:rPr>
            </w:pPr>
            <w:r>
              <w:rPr>
                <w:rFonts w:hint="eastAsia" w:eastAsia="仿宋"/>
                <w:color w:val="000000" w:themeColor="text1"/>
                <w14:textFill>
                  <w14:solidFill>
                    <w14:schemeClr w14:val="tx1"/>
                  </w14:solidFill>
                </w14:textFill>
              </w:rPr>
              <w:t>500万元≤M</w:t>
            </w:r>
          </w:p>
        </w:tc>
        <w:tc>
          <w:tcPr>
            <w:tcW w:w="1843" w:type="dxa"/>
            <w:vAlign w:val="center"/>
          </w:tcPr>
          <w:p>
            <w:pPr>
              <w:spacing w:line="312" w:lineRule="exact"/>
              <w:jc w:val="left"/>
              <w:textAlignment w:val="center"/>
              <w:rPr>
                <w:rFonts w:eastAsia="仿宋"/>
                <w:color w:val="000000" w:themeColor="text1"/>
                <w14:textFill>
                  <w14:solidFill>
                    <w14:schemeClr w14:val="tx1"/>
                  </w14:solidFill>
                </w14:textFill>
              </w:rPr>
            </w:pPr>
            <w:r>
              <w:rPr>
                <w:rFonts w:hint="eastAsia" w:eastAsia="仿宋"/>
                <w:color w:val="000000" w:themeColor="text1"/>
                <w14:textFill>
                  <w14:solidFill>
                    <w14:schemeClr w14:val="tx1"/>
                  </w14:solidFill>
                </w14:textFill>
              </w:rPr>
              <w:t>每笔1,000元</w:t>
            </w:r>
          </w:p>
        </w:tc>
        <w:tc>
          <w:tcPr>
            <w:tcW w:w="1843" w:type="dxa"/>
            <w:vAlign w:val="center"/>
          </w:tcPr>
          <w:p>
            <w:pPr>
              <w:spacing w:line="312" w:lineRule="exact"/>
              <w:jc w:val="right"/>
              <w:textAlignment w:val="center"/>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w:t>
            </w:r>
          </w:p>
        </w:tc>
      </w:tr>
      <w:tr>
        <w:tblPrEx>
          <w:tblBorders>
            <w:top w:val="single" w:color="auto" w:sz="4" w:space="0"/>
            <w:left w:val="none" w:color="auto" w:sz="0" w:space="0"/>
            <w:bottom w:val="single" w:color="auto" w:sz="4" w:space="0"/>
            <w:right w:val="none" w:color="auto" w:sz="0" w:space="0"/>
            <w:insideH w:val="dashed" w:color="auto" w:sz="4" w:space="0"/>
            <w:insideV w:val="none" w:color="auto" w:sz="0" w:space="0"/>
          </w:tblBorders>
          <w:tblCellMar>
            <w:top w:w="0" w:type="dxa"/>
            <w:left w:w="108" w:type="dxa"/>
            <w:bottom w:w="0" w:type="dxa"/>
            <w:right w:w="108" w:type="dxa"/>
          </w:tblCellMar>
        </w:tblPrEx>
        <w:trPr>
          <w:jc w:val="center"/>
        </w:trPr>
        <w:tc>
          <w:tcPr>
            <w:tcW w:w="1985" w:type="dxa"/>
            <w:vMerge w:val="restart"/>
            <w:vAlign w:val="center"/>
          </w:tcPr>
          <w:p>
            <w:pPr>
              <w:spacing w:line="312" w:lineRule="exact"/>
              <w:jc w:val="center"/>
              <w:textAlignment w:val="center"/>
              <w:rPr>
                <w:rFonts w:eastAsia="仿宋"/>
                <w:color w:val="000000" w:themeColor="text1"/>
                <w14:textFill>
                  <w14:solidFill>
                    <w14:schemeClr w14:val="tx1"/>
                  </w14:solidFill>
                </w14:textFill>
              </w:rPr>
            </w:pPr>
            <w:r>
              <w:rPr>
                <w:rFonts w:hint="eastAsia" w:eastAsia="仿宋"/>
                <w:color w:val="000000" w:themeColor="text1"/>
                <w14:textFill>
                  <w14:solidFill>
                    <w14:schemeClr w14:val="tx1"/>
                  </w14:solidFill>
                </w14:textFill>
              </w:rPr>
              <w:t>赎回费</w:t>
            </w:r>
          </w:p>
        </w:tc>
        <w:tc>
          <w:tcPr>
            <w:tcW w:w="2835" w:type="dxa"/>
            <w:vAlign w:val="center"/>
          </w:tcPr>
          <w:p>
            <w:pPr>
              <w:spacing w:line="312" w:lineRule="exact"/>
              <w:jc w:val="left"/>
              <w:textAlignment w:val="center"/>
              <w:rPr>
                <w:rFonts w:eastAsia="仿宋"/>
                <w:color w:val="000000" w:themeColor="text1"/>
                <w14:textFill>
                  <w14:solidFill>
                    <w14:schemeClr w14:val="tx1"/>
                  </w14:solidFill>
                </w14:textFill>
              </w:rPr>
            </w:pPr>
            <w:r>
              <w:rPr>
                <w:rFonts w:hint="eastAsia" w:eastAsia="仿宋"/>
                <w:color w:val="000000" w:themeColor="text1"/>
                <w14:textFill>
                  <w14:solidFill>
                    <w14:schemeClr w14:val="tx1"/>
                  </w14:solidFill>
                </w14:textFill>
              </w:rPr>
              <w:t>N&lt; 7天</w:t>
            </w:r>
          </w:p>
        </w:tc>
        <w:tc>
          <w:tcPr>
            <w:tcW w:w="1843" w:type="dxa"/>
            <w:vAlign w:val="center"/>
          </w:tcPr>
          <w:p>
            <w:pPr>
              <w:spacing w:line="312" w:lineRule="exact"/>
              <w:jc w:val="right"/>
              <w:textAlignment w:val="center"/>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1.5%</w:t>
            </w:r>
          </w:p>
        </w:tc>
        <w:tc>
          <w:tcPr>
            <w:tcW w:w="1843" w:type="dxa"/>
            <w:vAlign w:val="center"/>
          </w:tcPr>
          <w:p>
            <w:pPr>
              <w:spacing w:line="312" w:lineRule="exact"/>
              <w:jc w:val="right"/>
              <w:textAlignment w:val="center"/>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w:t>
            </w:r>
          </w:p>
        </w:tc>
      </w:tr>
      <w:tr>
        <w:tblPrEx>
          <w:tblBorders>
            <w:top w:val="single" w:color="auto" w:sz="4" w:space="0"/>
            <w:left w:val="none" w:color="auto" w:sz="0" w:space="0"/>
            <w:bottom w:val="single" w:color="auto" w:sz="4" w:space="0"/>
            <w:right w:val="none" w:color="auto" w:sz="0" w:space="0"/>
            <w:insideH w:val="dashed" w:color="auto" w:sz="4" w:space="0"/>
            <w:insideV w:val="none" w:color="auto" w:sz="0" w:space="0"/>
          </w:tblBorders>
          <w:tblCellMar>
            <w:top w:w="0" w:type="dxa"/>
            <w:left w:w="108" w:type="dxa"/>
            <w:bottom w:w="0" w:type="dxa"/>
            <w:right w:w="108" w:type="dxa"/>
          </w:tblCellMar>
        </w:tblPrEx>
        <w:trPr>
          <w:jc w:val="center"/>
        </w:trPr>
        <w:tc>
          <w:tcPr>
            <w:tcW w:w="1985" w:type="dxa"/>
            <w:vMerge w:val="continue"/>
            <w:vAlign w:val="center"/>
          </w:tcPr>
          <w:p>
            <w:pPr>
              <w:spacing w:line="312" w:lineRule="exact"/>
              <w:jc w:val="left"/>
              <w:textAlignment w:val="center"/>
              <w:rPr>
                <w:rFonts w:eastAsia="仿宋"/>
                <w:color w:val="000000" w:themeColor="text1"/>
                <w14:textFill>
                  <w14:solidFill>
                    <w14:schemeClr w14:val="tx1"/>
                  </w14:solidFill>
                </w14:textFill>
              </w:rPr>
            </w:pPr>
          </w:p>
        </w:tc>
        <w:tc>
          <w:tcPr>
            <w:tcW w:w="2835" w:type="dxa"/>
            <w:vAlign w:val="center"/>
          </w:tcPr>
          <w:p>
            <w:pPr>
              <w:spacing w:line="312" w:lineRule="exact"/>
              <w:jc w:val="left"/>
              <w:textAlignment w:val="center"/>
              <w:rPr>
                <w:rFonts w:eastAsia="仿宋"/>
                <w:color w:val="000000" w:themeColor="text1"/>
                <w14:textFill>
                  <w14:solidFill>
                    <w14:schemeClr w14:val="tx1"/>
                  </w14:solidFill>
                </w14:textFill>
              </w:rPr>
            </w:pPr>
            <w:r>
              <w:rPr>
                <w:rFonts w:hint="eastAsia" w:eastAsia="仿宋"/>
                <w:color w:val="000000" w:themeColor="text1"/>
                <w14:textFill>
                  <w14:solidFill>
                    <w14:schemeClr w14:val="tx1"/>
                  </w14:solidFill>
                </w14:textFill>
              </w:rPr>
              <w:t>7天≤ N&lt; 30天</w:t>
            </w:r>
          </w:p>
        </w:tc>
        <w:tc>
          <w:tcPr>
            <w:tcW w:w="1843" w:type="dxa"/>
            <w:vAlign w:val="center"/>
          </w:tcPr>
          <w:p>
            <w:pPr>
              <w:spacing w:line="312" w:lineRule="exact"/>
              <w:jc w:val="right"/>
              <w:textAlignment w:val="center"/>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1.0%</w:t>
            </w:r>
          </w:p>
        </w:tc>
        <w:tc>
          <w:tcPr>
            <w:tcW w:w="1843" w:type="dxa"/>
            <w:vAlign w:val="center"/>
          </w:tcPr>
          <w:p>
            <w:pPr>
              <w:spacing w:line="312" w:lineRule="exact"/>
              <w:jc w:val="right"/>
              <w:textAlignment w:val="center"/>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w:t>
            </w:r>
          </w:p>
        </w:tc>
      </w:tr>
      <w:tr>
        <w:tblPrEx>
          <w:tblBorders>
            <w:top w:val="single" w:color="auto" w:sz="4" w:space="0"/>
            <w:left w:val="none" w:color="auto" w:sz="0" w:space="0"/>
            <w:bottom w:val="single" w:color="auto" w:sz="4" w:space="0"/>
            <w:right w:val="none" w:color="auto" w:sz="0" w:space="0"/>
            <w:insideH w:val="dashed" w:color="auto" w:sz="4" w:space="0"/>
            <w:insideV w:val="none" w:color="auto" w:sz="0" w:space="0"/>
          </w:tblBorders>
          <w:tblCellMar>
            <w:top w:w="0" w:type="dxa"/>
            <w:left w:w="108" w:type="dxa"/>
            <w:bottom w:w="0" w:type="dxa"/>
            <w:right w:w="108" w:type="dxa"/>
          </w:tblCellMar>
        </w:tblPrEx>
        <w:trPr>
          <w:jc w:val="center"/>
        </w:trPr>
        <w:tc>
          <w:tcPr>
            <w:tcW w:w="1985" w:type="dxa"/>
            <w:vMerge w:val="continue"/>
            <w:vAlign w:val="center"/>
          </w:tcPr>
          <w:p>
            <w:pPr>
              <w:spacing w:line="312" w:lineRule="exact"/>
              <w:jc w:val="left"/>
              <w:textAlignment w:val="center"/>
              <w:rPr>
                <w:rFonts w:eastAsia="仿宋"/>
                <w:color w:val="000000" w:themeColor="text1"/>
                <w14:textFill>
                  <w14:solidFill>
                    <w14:schemeClr w14:val="tx1"/>
                  </w14:solidFill>
                </w14:textFill>
              </w:rPr>
            </w:pPr>
          </w:p>
        </w:tc>
        <w:tc>
          <w:tcPr>
            <w:tcW w:w="2835" w:type="dxa"/>
            <w:vAlign w:val="center"/>
          </w:tcPr>
          <w:p>
            <w:pPr>
              <w:spacing w:line="312" w:lineRule="exact"/>
              <w:jc w:val="left"/>
              <w:textAlignment w:val="center"/>
              <w:rPr>
                <w:rFonts w:eastAsia="仿宋"/>
                <w:color w:val="000000" w:themeColor="text1"/>
                <w14:textFill>
                  <w14:solidFill>
                    <w14:schemeClr w14:val="tx1"/>
                  </w14:solidFill>
                </w14:textFill>
              </w:rPr>
            </w:pPr>
            <w:r>
              <w:rPr>
                <w:rFonts w:hint="eastAsia" w:eastAsia="仿宋"/>
                <w:color w:val="000000" w:themeColor="text1"/>
                <w14:textFill>
                  <w14:solidFill>
                    <w14:schemeClr w14:val="tx1"/>
                  </w14:solidFill>
                </w14:textFill>
              </w:rPr>
              <w:t>30天≤ N&lt; 180天</w:t>
            </w:r>
          </w:p>
        </w:tc>
        <w:tc>
          <w:tcPr>
            <w:tcW w:w="1843" w:type="dxa"/>
            <w:vAlign w:val="center"/>
          </w:tcPr>
          <w:p>
            <w:pPr>
              <w:spacing w:line="312" w:lineRule="exact"/>
              <w:jc w:val="right"/>
              <w:textAlignment w:val="center"/>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0.5%</w:t>
            </w:r>
          </w:p>
        </w:tc>
        <w:tc>
          <w:tcPr>
            <w:tcW w:w="1843" w:type="dxa"/>
            <w:vAlign w:val="center"/>
          </w:tcPr>
          <w:p>
            <w:pPr>
              <w:spacing w:line="312" w:lineRule="exact"/>
              <w:jc w:val="right"/>
              <w:textAlignment w:val="center"/>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w:t>
            </w:r>
          </w:p>
        </w:tc>
      </w:tr>
      <w:tr>
        <w:tblPrEx>
          <w:tblBorders>
            <w:top w:val="single" w:color="auto" w:sz="4" w:space="0"/>
            <w:left w:val="none" w:color="auto" w:sz="0" w:space="0"/>
            <w:bottom w:val="single" w:color="auto" w:sz="4" w:space="0"/>
            <w:right w:val="none" w:color="auto" w:sz="0" w:space="0"/>
            <w:insideH w:val="dashed" w:color="auto" w:sz="4" w:space="0"/>
            <w:insideV w:val="none" w:color="auto" w:sz="0" w:space="0"/>
          </w:tblBorders>
          <w:tblCellMar>
            <w:top w:w="0" w:type="dxa"/>
            <w:left w:w="108" w:type="dxa"/>
            <w:bottom w:w="0" w:type="dxa"/>
            <w:right w:w="108" w:type="dxa"/>
          </w:tblCellMar>
        </w:tblPrEx>
        <w:trPr>
          <w:jc w:val="center"/>
        </w:trPr>
        <w:tc>
          <w:tcPr>
            <w:tcW w:w="1985" w:type="dxa"/>
            <w:vMerge w:val="continue"/>
            <w:vAlign w:val="center"/>
          </w:tcPr>
          <w:p>
            <w:pPr>
              <w:spacing w:line="312" w:lineRule="exact"/>
              <w:jc w:val="left"/>
              <w:textAlignment w:val="center"/>
              <w:rPr>
                <w:rFonts w:eastAsia="仿宋"/>
                <w:color w:val="000000" w:themeColor="text1"/>
                <w14:textFill>
                  <w14:solidFill>
                    <w14:schemeClr w14:val="tx1"/>
                  </w14:solidFill>
                </w14:textFill>
              </w:rPr>
            </w:pPr>
          </w:p>
        </w:tc>
        <w:tc>
          <w:tcPr>
            <w:tcW w:w="2835" w:type="dxa"/>
            <w:vAlign w:val="center"/>
          </w:tcPr>
          <w:p>
            <w:pPr>
              <w:spacing w:line="312" w:lineRule="exact"/>
              <w:jc w:val="left"/>
              <w:textAlignment w:val="center"/>
              <w:rPr>
                <w:rFonts w:eastAsia="仿宋"/>
                <w:color w:val="000000" w:themeColor="text1"/>
                <w14:textFill>
                  <w14:solidFill>
                    <w14:schemeClr w14:val="tx1"/>
                  </w14:solidFill>
                </w14:textFill>
              </w:rPr>
            </w:pPr>
            <w:r>
              <w:rPr>
                <w:rFonts w:hint="eastAsia" w:eastAsia="仿宋"/>
                <w:color w:val="000000" w:themeColor="text1"/>
                <w14:textFill>
                  <w14:solidFill>
                    <w14:schemeClr w14:val="tx1"/>
                  </w14:solidFill>
                </w14:textFill>
              </w:rPr>
              <w:t>180天≤ N</w:t>
            </w:r>
          </w:p>
        </w:tc>
        <w:tc>
          <w:tcPr>
            <w:tcW w:w="1843" w:type="dxa"/>
            <w:vAlign w:val="center"/>
          </w:tcPr>
          <w:p>
            <w:pPr>
              <w:spacing w:line="312" w:lineRule="exact"/>
              <w:jc w:val="right"/>
              <w:textAlignment w:val="center"/>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0%</w:t>
            </w:r>
          </w:p>
        </w:tc>
        <w:tc>
          <w:tcPr>
            <w:tcW w:w="1843" w:type="dxa"/>
            <w:vAlign w:val="center"/>
          </w:tcPr>
          <w:p>
            <w:pPr>
              <w:spacing w:line="312" w:lineRule="exact"/>
              <w:jc w:val="right"/>
              <w:textAlignment w:val="center"/>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w:t>
            </w:r>
          </w:p>
        </w:tc>
      </w:tr>
    </w:tbl>
    <w:p>
      <w:pPr>
        <w:pStyle w:val="37"/>
        <w:ind w:firstLine="420"/>
        <w:rPr>
          <w:rFonts w:hint="eastAsia"/>
        </w:rPr>
      </w:pPr>
      <w:r>
        <w:rPr>
          <w:rFonts w:hint="eastAsia"/>
        </w:rPr>
        <w:t>注：投资人重复认购/申购，须按每次认购/申购所对应的费率档次分别计费。</w:t>
      </w:r>
    </w:p>
    <w:p>
      <w:pPr>
        <w:pStyle w:val="15"/>
        <w:ind w:firstLine="420"/>
        <w:rPr>
          <w:rFonts w:hint="eastAsia"/>
        </w:rPr>
      </w:pPr>
      <w:r>
        <w:rPr>
          <w:rFonts w:hint="eastAsia"/>
        </w:rPr>
        <w:t>通过直销机构认/申购本基金A类基金份额不收取认/申购费。通过其他销售机构认/申购A类基金份额的，认/申购费率如上表所述。</w:t>
      </w:r>
    </w:p>
    <w:p>
      <w:pPr>
        <w:pStyle w:val="15"/>
        <w:ind w:firstLine="420"/>
        <w:rPr>
          <w:rFonts w:hint="eastAsia"/>
        </w:rPr>
      </w:pPr>
      <w:r>
        <w:rPr>
          <w:rFonts w:hint="eastAsia"/>
        </w:rPr>
        <w:t>本基金A类基金份额的认/申购费用由通过其他销售机构认/申购A类基金份额的投资人承担，不列入基金财产，主要用于本基金的市场推广、销售、登记等各项费用。</w:t>
      </w:r>
    </w:p>
    <w:p>
      <w:pPr>
        <w:pStyle w:val="15"/>
        <w:ind w:firstLine="420"/>
        <w:rPr>
          <w:rFonts w:hint="eastAsia"/>
        </w:rPr>
      </w:pPr>
      <w:r>
        <w:rPr>
          <w:rFonts w:hint="eastAsia"/>
        </w:rPr>
        <w:t>赎回费用由赎回基金份额的基金份额持有人承担，在基金份额持有人赎回基金份额时收取。投资者赎回基金份额产生的赎回费，应当全额计入基金财产。</w:t>
      </w:r>
    </w:p>
    <w:p>
      <w:pPr>
        <w:pStyle w:val="20"/>
        <w:spacing w:before="156" w:after="156"/>
        <w:rPr>
          <w:rFonts w:hint="eastAsia"/>
        </w:rPr>
      </w:pPr>
      <w:r>
        <w:rPr>
          <w:rFonts w:hint="eastAsia"/>
        </w:rPr>
        <w:t>（二） 基金运作相关费用</w:t>
      </w:r>
    </w:p>
    <w:p>
      <w:pPr>
        <w:pStyle w:val="15"/>
        <w:ind w:firstLine="420"/>
        <w:rPr>
          <w:rFonts w:hint="eastAsia"/>
        </w:rPr>
      </w:pPr>
      <w:r>
        <w:rPr>
          <w:rFonts w:hint="eastAsia"/>
        </w:rPr>
        <w:t>以下费用将从基金资产中扣除：</w:t>
      </w:r>
    </w:p>
    <w:tbl>
      <w:tblPr>
        <w:tblStyle w:val="36"/>
        <w:tblW w:w="0" w:type="auto"/>
        <w:jc w:val="center"/>
        <w:tblBorders>
          <w:top w:val="single" w:color="auto" w:sz="4" w:space="0"/>
          <w:left w:val="none" w:color="auto" w:sz="0" w:space="0"/>
          <w:bottom w:val="single" w:color="auto" w:sz="4" w:space="0"/>
          <w:right w:val="none" w:color="auto" w:sz="0" w:space="0"/>
          <w:insideH w:val="dashed" w:color="auto" w:sz="4" w:space="0"/>
          <w:insideV w:val="none" w:color="auto" w:sz="0" w:space="0"/>
        </w:tblBorders>
        <w:tblLayout w:type="fixed"/>
        <w:tblCellMar>
          <w:top w:w="0" w:type="dxa"/>
          <w:left w:w="108" w:type="dxa"/>
          <w:bottom w:w="0" w:type="dxa"/>
          <w:right w:w="108" w:type="dxa"/>
        </w:tblCellMar>
      </w:tblPr>
      <w:tblGrid>
        <w:gridCol w:w="2768"/>
        <w:gridCol w:w="2769"/>
        <w:gridCol w:w="2769"/>
      </w:tblGrid>
      <w:tr>
        <w:tblPrEx>
          <w:tblBorders>
            <w:top w:val="single" w:color="auto" w:sz="4" w:space="0"/>
            <w:left w:val="none" w:color="auto" w:sz="0" w:space="0"/>
            <w:bottom w:val="single" w:color="auto" w:sz="4" w:space="0"/>
            <w:right w:val="none" w:color="auto" w:sz="0" w:space="0"/>
            <w:insideH w:val="dashed" w:color="auto" w:sz="4" w:space="0"/>
            <w:insideV w:val="none" w:color="auto" w:sz="0" w:space="0"/>
          </w:tblBorders>
          <w:tblCellMar>
            <w:top w:w="0" w:type="dxa"/>
            <w:left w:w="108" w:type="dxa"/>
            <w:bottom w:w="0" w:type="dxa"/>
            <w:right w:w="108" w:type="dxa"/>
          </w:tblCellMar>
        </w:tblPrEx>
        <w:trPr>
          <w:jc w:val="center"/>
        </w:trPr>
        <w:tc>
          <w:tcPr>
            <w:tcW w:w="2768" w:type="dxa"/>
            <w:vAlign w:val="center"/>
          </w:tcPr>
          <w:p>
            <w:pPr>
              <w:spacing w:line="312" w:lineRule="exact"/>
              <w:jc w:val="left"/>
              <w:textAlignment w:val="center"/>
              <w:rPr>
                <w:rFonts w:eastAsia="仿宋"/>
                <w:color w:val="000000" w:themeColor="text1"/>
                <w14:textFill>
                  <w14:solidFill>
                    <w14:schemeClr w14:val="tx1"/>
                  </w14:solidFill>
                </w14:textFill>
              </w:rPr>
            </w:pPr>
            <w:r>
              <w:rPr>
                <w:rFonts w:hint="eastAsia" w:eastAsia="仿宋"/>
                <w:color w:val="000000" w:themeColor="text1"/>
                <w14:textFill>
                  <w14:solidFill>
                    <w14:schemeClr w14:val="tx1"/>
                  </w14:solidFill>
                </w14:textFill>
              </w:rPr>
              <w:t>费用类别</w:t>
            </w:r>
          </w:p>
        </w:tc>
        <w:tc>
          <w:tcPr>
            <w:tcW w:w="2769" w:type="dxa"/>
            <w:vAlign w:val="center"/>
          </w:tcPr>
          <w:p>
            <w:pPr>
              <w:spacing w:line="312" w:lineRule="exact"/>
              <w:jc w:val="left"/>
              <w:textAlignment w:val="center"/>
              <w:rPr>
                <w:rFonts w:eastAsia="仿宋"/>
                <w:color w:val="000000" w:themeColor="text1"/>
                <w14:textFill>
                  <w14:solidFill>
                    <w14:schemeClr w14:val="tx1"/>
                  </w14:solidFill>
                </w14:textFill>
              </w:rPr>
            </w:pPr>
            <w:r>
              <w:rPr>
                <w:rFonts w:hint="eastAsia" w:eastAsia="仿宋"/>
                <w:color w:val="000000" w:themeColor="text1"/>
                <w14:textFill>
                  <w14:solidFill>
                    <w14:schemeClr w14:val="tx1"/>
                  </w14:solidFill>
                </w14:textFill>
              </w:rPr>
              <w:t>收费方式/年费率或金额</w:t>
            </w:r>
          </w:p>
        </w:tc>
        <w:tc>
          <w:tcPr>
            <w:tcW w:w="2769" w:type="dxa"/>
            <w:vAlign w:val="center"/>
          </w:tcPr>
          <w:p>
            <w:pPr>
              <w:spacing w:line="312" w:lineRule="exact"/>
              <w:jc w:val="left"/>
              <w:textAlignment w:val="center"/>
              <w:rPr>
                <w:rFonts w:eastAsia="仿宋"/>
                <w:color w:val="000000" w:themeColor="text1"/>
                <w14:textFill>
                  <w14:solidFill>
                    <w14:schemeClr w14:val="tx1"/>
                  </w14:solidFill>
                </w14:textFill>
              </w:rPr>
            </w:pPr>
            <w:r>
              <w:rPr>
                <w:rFonts w:hint="eastAsia" w:eastAsia="仿宋"/>
                <w:color w:val="000000" w:themeColor="text1"/>
                <w14:textFill>
                  <w14:solidFill>
                    <w14:schemeClr w14:val="tx1"/>
                  </w14:solidFill>
                </w14:textFill>
              </w:rPr>
              <w:t>收取方</w:t>
            </w:r>
          </w:p>
        </w:tc>
      </w:tr>
      <w:tr>
        <w:tblPrEx>
          <w:tblBorders>
            <w:top w:val="single" w:color="auto" w:sz="4" w:space="0"/>
            <w:left w:val="none" w:color="auto" w:sz="0" w:space="0"/>
            <w:bottom w:val="single" w:color="auto" w:sz="4" w:space="0"/>
            <w:right w:val="none" w:color="auto" w:sz="0" w:space="0"/>
            <w:insideH w:val="dashed" w:color="auto" w:sz="4" w:space="0"/>
            <w:insideV w:val="none" w:color="auto" w:sz="0" w:space="0"/>
          </w:tblBorders>
          <w:tblCellMar>
            <w:top w:w="0" w:type="dxa"/>
            <w:left w:w="108" w:type="dxa"/>
            <w:bottom w:w="0" w:type="dxa"/>
            <w:right w:w="108" w:type="dxa"/>
          </w:tblCellMar>
        </w:tblPrEx>
        <w:trPr>
          <w:jc w:val="center"/>
        </w:trPr>
        <w:tc>
          <w:tcPr>
            <w:tcW w:w="2768" w:type="dxa"/>
            <w:vAlign w:val="center"/>
          </w:tcPr>
          <w:p>
            <w:pPr>
              <w:spacing w:line="312" w:lineRule="exact"/>
              <w:jc w:val="left"/>
              <w:textAlignment w:val="center"/>
              <w:rPr>
                <w:rFonts w:eastAsia="仿宋"/>
                <w:color w:val="000000" w:themeColor="text1"/>
                <w14:textFill>
                  <w14:solidFill>
                    <w14:schemeClr w14:val="tx1"/>
                  </w14:solidFill>
                </w14:textFill>
              </w:rPr>
            </w:pPr>
            <w:r>
              <w:rPr>
                <w:rFonts w:hint="eastAsia" w:eastAsia="仿宋"/>
                <w:color w:val="000000" w:themeColor="text1"/>
                <w14:textFill>
                  <w14:solidFill>
                    <w14:schemeClr w14:val="tx1"/>
                  </w14:solidFill>
                </w14:textFill>
              </w:rPr>
              <w:t>管理费</w:t>
            </w:r>
          </w:p>
        </w:tc>
        <w:tc>
          <w:tcPr>
            <w:tcW w:w="2769" w:type="dxa"/>
            <w:vAlign w:val="center"/>
          </w:tcPr>
          <w:p>
            <w:pPr>
              <w:spacing w:line="312" w:lineRule="exact"/>
              <w:jc w:val="left"/>
              <w:textAlignment w:val="center"/>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1.20%</w:t>
            </w:r>
          </w:p>
        </w:tc>
        <w:tc>
          <w:tcPr>
            <w:tcW w:w="2769" w:type="dxa"/>
            <w:vAlign w:val="center"/>
          </w:tcPr>
          <w:p>
            <w:pPr>
              <w:spacing w:line="312" w:lineRule="exact"/>
              <w:jc w:val="left"/>
              <w:textAlignment w:val="center"/>
              <w:rPr>
                <w:rFonts w:eastAsia="仿宋"/>
                <w:color w:val="000000" w:themeColor="text1"/>
                <w14:textFill>
                  <w14:solidFill>
                    <w14:schemeClr w14:val="tx1"/>
                  </w14:solidFill>
                </w14:textFill>
              </w:rPr>
            </w:pPr>
            <w:r>
              <w:rPr>
                <w:rFonts w:hint="eastAsia" w:eastAsia="仿宋"/>
                <w:color w:val="000000" w:themeColor="text1"/>
                <w14:textFill>
                  <w14:solidFill>
                    <w14:schemeClr w14:val="tx1"/>
                  </w14:solidFill>
                </w14:textFill>
              </w:rPr>
              <w:t>基金管理人和销售机构</w:t>
            </w:r>
          </w:p>
        </w:tc>
      </w:tr>
      <w:tr>
        <w:tblPrEx>
          <w:tblBorders>
            <w:top w:val="single" w:color="auto" w:sz="4" w:space="0"/>
            <w:left w:val="none" w:color="auto" w:sz="0" w:space="0"/>
            <w:bottom w:val="single" w:color="auto" w:sz="4" w:space="0"/>
            <w:right w:val="none" w:color="auto" w:sz="0" w:space="0"/>
            <w:insideH w:val="dashed" w:color="auto" w:sz="4" w:space="0"/>
            <w:insideV w:val="none" w:color="auto" w:sz="0" w:space="0"/>
          </w:tblBorders>
          <w:tblCellMar>
            <w:top w:w="0" w:type="dxa"/>
            <w:left w:w="108" w:type="dxa"/>
            <w:bottom w:w="0" w:type="dxa"/>
            <w:right w:w="108" w:type="dxa"/>
          </w:tblCellMar>
        </w:tblPrEx>
        <w:trPr>
          <w:jc w:val="center"/>
        </w:trPr>
        <w:tc>
          <w:tcPr>
            <w:tcW w:w="2768" w:type="dxa"/>
            <w:vAlign w:val="center"/>
          </w:tcPr>
          <w:p>
            <w:pPr>
              <w:spacing w:line="312" w:lineRule="exact"/>
              <w:jc w:val="left"/>
              <w:textAlignment w:val="center"/>
              <w:rPr>
                <w:rFonts w:eastAsia="仿宋"/>
                <w:color w:val="000000" w:themeColor="text1"/>
                <w14:textFill>
                  <w14:solidFill>
                    <w14:schemeClr w14:val="tx1"/>
                  </w14:solidFill>
                </w14:textFill>
              </w:rPr>
            </w:pPr>
            <w:r>
              <w:rPr>
                <w:rFonts w:hint="eastAsia" w:eastAsia="仿宋"/>
                <w:color w:val="000000" w:themeColor="text1"/>
                <w14:textFill>
                  <w14:solidFill>
                    <w14:schemeClr w14:val="tx1"/>
                  </w14:solidFill>
                </w14:textFill>
              </w:rPr>
              <w:t>托管费</w:t>
            </w:r>
          </w:p>
        </w:tc>
        <w:tc>
          <w:tcPr>
            <w:tcW w:w="2769" w:type="dxa"/>
            <w:vAlign w:val="center"/>
          </w:tcPr>
          <w:p>
            <w:pPr>
              <w:spacing w:line="312" w:lineRule="exact"/>
              <w:jc w:val="left"/>
              <w:textAlignment w:val="center"/>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0.20%</w:t>
            </w:r>
          </w:p>
        </w:tc>
        <w:tc>
          <w:tcPr>
            <w:tcW w:w="2769" w:type="dxa"/>
            <w:vAlign w:val="center"/>
          </w:tcPr>
          <w:p>
            <w:pPr>
              <w:spacing w:line="312" w:lineRule="exact"/>
              <w:jc w:val="left"/>
              <w:textAlignment w:val="center"/>
              <w:rPr>
                <w:rFonts w:eastAsia="仿宋"/>
                <w:color w:val="000000" w:themeColor="text1"/>
                <w14:textFill>
                  <w14:solidFill>
                    <w14:schemeClr w14:val="tx1"/>
                  </w14:solidFill>
                </w14:textFill>
              </w:rPr>
            </w:pPr>
            <w:r>
              <w:rPr>
                <w:rFonts w:hint="eastAsia" w:eastAsia="仿宋"/>
                <w:color w:val="000000" w:themeColor="text1"/>
                <w14:textFill>
                  <w14:solidFill>
                    <w14:schemeClr w14:val="tx1"/>
                  </w14:solidFill>
                </w14:textFill>
              </w:rPr>
              <w:t>基金托管人</w:t>
            </w:r>
          </w:p>
        </w:tc>
      </w:tr>
      <w:tr>
        <w:tblPrEx>
          <w:tblBorders>
            <w:top w:val="single" w:color="auto" w:sz="4" w:space="0"/>
            <w:left w:val="none" w:color="auto" w:sz="0" w:space="0"/>
            <w:bottom w:val="single" w:color="auto" w:sz="4" w:space="0"/>
            <w:right w:val="none" w:color="auto" w:sz="0" w:space="0"/>
            <w:insideH w:val="dashed" w:color="auto" w:sz="4" w:space="0"/>
            <w:insideV w:val="none" w:color="auto" w:sz="0" w:space="0"/>
          </w:tblBorders>
          <w:tblCellMar>
            <w:top w:w="0" w:type="dxa"/>
            <w:left w:w="108" w:type="dxa"/>
            <w:bottom w:w="0" w:type="dxa"/>
            <w:right w:w="108" w:type="dxa"/>
          </w:tblCellMar>
        </w:tblPrEx>
        <w:trPr>
          <w:jc w:val="center"/>
        </w:trPr>
        <w:tc>
          <w:tcPr>
            <w:tcW w:w="2768" w:type="dxa"/>
            <w:vAlign w:val="center"/>
          </w:tcPr>
          <w:p>
            <w:pPr>
              <w:spacing w:line="312" w:lineRule="exact"/>
              <w:jc w:val="left"/>
              <w:textAlignment w:val="center"/>
              <w:rPr>
                <w:rFonts w:eastAsia="仿宋"/>
                <w:color w:val="000000" w:themeColor="text1"/>
                <w14:textFill>
                  <w14:solidFill>
                    <w14:schemeClr w14:val="tx1"/>
                  </w14:solidFill>
                </w14:textFill>
              </w:rPr>
            </w:pPr>
            <w:r>
              <w:rPr>
                <w:rFonts w:hint="eastAsia" w:eastAsia="仿宋"/>
                <w:color w:val="000000" w:themeColor="text1"/>
                <w14:textFill>
                  <w14:solidFill>
                    <w14:schemeClr w14:val="tx1"/>
                  </w14:solidFill>
                </w14:textFill>
              </w:rPr>
              <w:t>销售服务费</w:t>
            </w:r>
          </w:p>
        </w:tc>
        <w:tc>
          <w:tcPr>
            <w:tcW w:w="2769" w:type="dxa"/>
            <w:vAlign w:val="center"/>
          </w:tcPr>
          <w:p>
            <w:pPr>
              <w:spacing w:line="312" w:lineRule="exact"/>
              <w:jc w:val="left"/>
              <w:textAlignment w:val="center"/>
              <w:rPr>
                <w:rFonts w:eastAsia="仿宋"/>
                <w:color w:val="000000" w:themeColor="text1"/>
                <w14:textFill>
                  <w14:solidFill>
                    <w14:schemeClr w14:val="tx1"/>
                  </w14:solidFill>
                </w14:textFill>
              </w:rPr>
            </w:pPr>
            <w:r>
              <w:rPr>
                <w:rFonts w:eastAsia="仿宋"/>
                <w:color w:val="000000" w:themeColor="text1"/>
                <w14:textFill>
                  <w14:solidFill>
                    <w14:schemeClr w14:val="tx1"/>
                  </w14:solidFill>
                </w14:textFill>
              </w:rPr>
              <w:t>-</w:t>
            </w:r>
          </w:p>
        </w:tc>
        <w:tc>
          <w:tcPr>
            <w:tcW w:w="2769" w:type="dxa"/>
            <w:vAlign w:val="center"/>
          </w:tcPr>
          <w:p>
            <w:pPr>
              <w:spacing w:line="312" w:lineRule="exact"/>
              <w:jc w:val="left"/>
              <w:textAlignment w:val="center"/>
              <w:rPr>
                <w:rFonts w:eastAsia="仿宋"/>
                <w:color w:val="000000" w:themeColor="text1"/>
                <w14:textFill>
                  <w14:solidFill>
                    <w14:schemeClr w14:val="tx1"/>
                  </w14:solidFill>
                </w14:textFill>
              </w:rPr>
            </w:pPr>
            <w:r>
              <w:rPr>
                <w:rFonts w:hint="eastAsia" w:eastAsia="仿宋"/>
                <w:color w:val="000000" w:themeColor="text1"/>
                <w14:textFill>
                  <w14:solidFill>
                    <w14:schemeClr w14:val="tx1"/>
                  </w14:solidFill>
                </w14:textFill>
              </w:rPr>
              <w:t>销售机构</w:t>
            </w:r>
          </w:p>
        </w:tc>
      </w:tr>
      <w:tr>
        <w:tblPrEx>
          <w:tblBorders>
            <w:top w:val="single" w:color="auto" w:sz="4" w:space="0"/>
            <w:left w:val="none" w:color="auto" w:sz="0" w:space="0"/>
            <w:bottom w:val="single" w:color="auto" w:sz="4" w:space="0"/>
            <w:right w:val="none" w:color="auto" w:sz="0" w:space="0"/>
            <w:insideH w:val="dashed" w:color="auto" w:sz="4" w:space="0"/>
            <w:insideV w:val="none" w:color="auto" w:sz="0" w:space="0"/>
          </w:tblBorders>
          <w:tblCellMar>
            <w:top w:w="0" w:type="dxa"/>
            <w:left w:w="108" w:type="dxa"/>
            <w:bottom w:w="0" w:type="dxa"/>
            <w:right w:w="108" w:type="dxa"/>
          </w:tblCellMar>
        </w:tblPrEx>
        <w:trPr>
          <w:jc w:val="center"/>
        </w:trPr>
        <w:tc>
          <w:tcPr>
            <w:tcW w:w="2768" w:type="dxa"/>
            <w:vAlign w:val="center"/>
          </w:tcPr>
          <w:p>
            <w:pPr>
              <w:spacing w:line="312" w:lineRule="exact"/>
              <w:jc w:val="left"/>
              <w:textAlignment w:val="center"/>
              <w:rPr>
                <w:rFonts w:eastAsia="仿宋"/>
                <w:color w:val="000000" w:themeColor="text1"/>
                <w14:textFill>
                  <w14:solidFill>
                    <w14:schemeClr w14:val="tx1"/>
                  </w14:solidFill>
                </w14:textFill>
              </w:rPr>
            </w:pPr>
            <w:r>
              <w:rPr>
                <w:rFonts w:hint="eastAsia" w:eastAsia="仿宋"/>
                <w:color w:val="000000" w:themeColor="text1"/>
                <w14:textFill>
                  <w14:solidFill>
                    <w14:schemeClr w14:val="tx1"/>
                  </w14:solidFill>
                </w14:textFill>
              </w:rPr>
              <w:t>其他费用</w:t>
            </w:r>
          </w:p>
        </w:tc>
        <w:tc>
          <w:tcPr>
            <w:tcW w:w="5538" w:type="dxa"/>
            <w:gridSpan w:val="2"/>
            <w:vAlign w:val="center"/>
          </w:tcPr>
          <w:p>
            <w:pPr>
              <w:spacing w:line="312" w:lineRule="exact"/>
              <w:jc w:val="left"/>
              <w:textAlignment w:val="center"/>
              <w:rPr>
                <w:rFonts w:eastAsia="仿宋"/>
                <w:color w:val="000000" w:themeColor="text1"/>
                <w14:textFill>
                  <w14:solidFill>
                    <w14:schemeClr w14:val="tx1"/>
                  </w14:solidFill>
                </w14:textFill>
              </w:rPr>
            </w:pPr>
            <w:r>
              <w:rPr>
                <w:rFonts w:hint="eastAsia" w:eastAsia="仿宋"/>
                <w:color w:val="000000" w:themeColor="text1"/>
                <w14:textFill>
                  <w14:solidFill>
                    <w14:schemeClr w14:val="tx1"/>
                  </w14:solidFill>
                </w14:textFill>
              </w:rPr>
              <w:t>《基金合同》生效后与基金相关的信息披露费用（法律法规、中国证监会另有规定的除外）；《基金合同》生效后与基金相关的会计师费、律师费、公证费、诉讼费和仲裁费；基金份额持有人大会费用；基金的证券/期货/期权/信用衍生品交易费用；基金的银行汇划费用；基金相关账户的开户及维护费用；因投资港股通股票而产生的各项合理费用；因参与融资业务而产生的各项合理费用；按照国家有关规定和《基金合同》约定，可以在基金财产中列支的其他费用。</w:t>
            </w:r>
          </w:p>
        </w:tc>
      </w:tr>
    </w:tbl>
    <w:p>
      <w:pPr>
        <w:pStyle w:val="20"/>
        <w:spacing w:before="156" w:after="156"/>
        <w:rPr>
          <w:rFonts w:hint="eastAsia"/>
        </w:rPr>
      </w:pPr>
      <w:r>
        <w:rPr>
          <w:rFonts w:hint="eastAsia"/>
        </w:rPr>
        <w:t>（三） 基金运作综合费用测算</w:t>
      </w:r>
    </w:p>
    <w:p>
      <w:pPr>
        <w:pStyle w:val="15"/>
        <w:ind w:firstLine="420"/>
      </w:pPr>
      <w:r>
        <w:t>-</w:t>
      </w:r>
    </w:p>
    <w:p>
      <w:pPr>
        <w:pStyle w:val="23"/>
        <w:spacing w:before="156" w:after="156"/>
        <w:rPr>
          <w:rFonts w:hint="eastAsia"/>
        </w:rPr>
      </w:pPr>
      <w:r>
        <w:rPr>
          <w:rFonts w:hint="eastAsia"/>
        </w:rPr>
        <w:t>四、风险揭示与重要提示</w:t>
      </w:r>
    </w:p>
    <w:p>
      <w:pPr>
        <w:pStyle w:val="20"/>
        <w:spacing w:before="156" w:after="156"/>
        <w:rPr>
          <w:rFonts w:hint="eastAsia"/>
        </w:rPr>
      </w:pPr>
      <w:r>
        <w:rPr>
          <w:rFonts w:hint="eastAsia"/>
        </w:rPr>
        <w:t>（一） 风险揭示</w:t>
      </w:r>
    </w:p>
    <w:p>
      <w:pPr>
        <w:pStyle w:val="41"/>
        <w:ind w:firstLine="422"/>
        <w:rPr>
          <w:rFonts w:hint="eastAsia"/>
        </w:rPr>
      </w:pPr>
      <w:r>
        <w:rPr>
          <w:rFonts w:hint="eastAsia"/>
        </w:rPr>
        <w:t>本基金不提供任何保证。投资者可能损失本金。</w:t>
      </w:r>
    </w:p>
    <w:p>
      <w:pPr>
        <w:pStyle w:val="41"/>
        <w:ind w:firstLine="422"/>
        <w:rPr>
          <w:rFonts w:hint="eastAsia"/>
        </w:rPr>
      </w:pPr>
      <w:r>
        <w:rPr>
          <w:rFonts w:hint="eastAsia"/>
        </w:rPr>
        <w:t>投资有风险，投资者购买基金时应认真阅读本基金的《招募说明书》等销售文件。</w:t>
      </w:r>
    </w:p>
    <w:p>
      <w:pPr>
        <w:pStyle w:val="15"/>
        <w:ind w:firstLine="420"/>
        <w:rPr>
          <w:rFonts w:hint="eastAsia"/>
        </w:rPr>
      </w:pPr>
      <w:r>
        <w:rPr>
          <w:rFonts w:hint="eastAsia"/>
        </w:rPr>
        <w:t>1、本基金的特有风险</w:t>
      </w:r>
    </w:p>
    <w:p>
      <w:pPr>
        <w:pStyle w:val="15"/>
        <w:ind w:firstLine="420"/>
        <w:rPr>
          <w:rFonts w:hint="eastAsia"/>
        </w:rPr>
      </w:pPr>
      <w:r>
        <w:rPr>
          <w:rFonts w:hint="eastAsia"/>
        </w:rPr>
        <w:t>（1）本基金为混合型证券投资基金，本基金股票（含存托凭证）投资占基金资产的比例范围为60%-95%（其中港股通股票投资比例不得超过股票资产的50%）。因此，国内和港股通标的股票市场和债券市场的变化均会影响到基金业绩表现，基金净值表现因此可能受到影响。</w:t>
      </w:r>
    </w:p>
    <w:p>
      <w:pPr>
        <w:pStyle w:val="15"/>
        <w:ind w:firstLine="420"/>
        <w:rPr>
          <w:rFonts w:hint="eastAsia"/>
        </w:rPr>
      </w:pPr>
      <w:r>
        <w:rPr>
          <w:rFonts w:hint="eastAsia"/>
        </w:rPr>
        <w:t>本基金为混合型基金，股票（含存托凭证）投资占基金资产的比例范围为60%-95%，本基金可根据市场环境动态调整股票仓位，可能出现股票配置比例较高的情形（如超过80%），由此可能增加本基金净值的波动性。</w:t>
      </w:r>
    </w:p>
    <w:p>
      <w:pPr>
        <w:pStyle w:val="15"/>
        <w:ind w:firstLine="420"/>
        <w:rPr>
          <w:rFonts w:hint="eastAsia"/>
        </w:rPr>
      </w:pPr>
      <w:r>
        <w:rPr>
          <w:rFonts w:hint="eastAsia"/>
        </w:rPr>
        <w:t>（2）投资港股通股票的风险</w:t>
      </w:r>
    </w:p>
    <w:p>
      <w:pPr>
        <w:pStyle w:val="15"/>
        <w:ind w:firstLine="420"/>
        <w:rPr>
          <w:rFonts w:hint="eastAsia"/>
        </w:rPr>
      </w:pPr>
      <w:r>
        <w:rPr>
          <w:rFonts w:hint="eastAsia"/>
        </w:rPr>
        <w:t>本基金投资于法律法规规定范围内的香港联合交易所上市的股票。除了需要承担与境内证券投资基金类似的市场波动风险等一般投资风险之外，本基金还面临汇率风险、香港市场风险、市场制度以及交易规则不同等境外证券市场投资所面临的特有风险，包括但不限于：</w:t>
      </w:r>
    </w:p>
    <w:p>
      <w:pPr>
        <w:pStyle w:val="15"/>
        <w:ind w:firstLine="420"/>
        <w:rPr>
          <w:rFonts w:hint="eastAsia"/>
        </w:rPr>
      </w:pPr>
      <w:r>
        <w:rPr>
          <w:rFonts w:hint="eastAsia"/>
        </w:rPr>
        <w:t>1）汇率风险、2）香港市场风险、3）香港交易市场制度或规则不同带来的风险、4）港股通制度限制或调整带来的风险、5）法律和政治风险、6）会计制度风险、7）税务风险。</w:t>
      </w:r>
    </w:p>
    <w:p>
      <w:pPr>
        <w:pStyle w:val="15"/>
        <w:ind w:firstLine="420"/>
        <w:rPr>
          <w:rFonts w:hint="eastAsia"/>
        </w:rPr>
      </w:pPr>
      <w:r>
        <w:rPr>
          <w:rFonts w:hint="eastAsia"/>
        </w:rPr>
        <w:t>（3）本基金投资范围包括股指期货、国债期货、股票期权等金融衍生品，可能给本基金带来额外风险。投资股指期货、国债期货的风险包括但不限于杠杆风险、保证金风险、期货价格与基金投资品种价格的相关度降低带来的风险等；投资股票期权的风险包括但不限于市场风险、流动性风险、交易对手信用风险、操作风险、保证金风险等；由此可能增加本基金净值的波动性。</w:t>
      </w:r>
    </w:p>
    <w:p>
      <w:pPr>
        <w:pStyle w:val="15"/>
        <w:ind w:firstLine="420"/>
        <w:rPr>
          <w:rFonts w:hint="eastAsia"/>
        </w:rPr>
      </w:pPr>
      <w:r>
        <w:rPr>
          <w:rFonts w:hint="eastAsia"/>
        </w:rPr>
        <w:t>（4）本基金的投资范围包括资产支持证券。资产支持证券存在信用风险、利率风险、流动性风险、提前偿付风险、操作风险和法律风险等。</w:t>
      </w:r>
    </w:p>
    <w:p>
      <w:pPr>
        <w:pStyle w:val="15"/>
        <w:ind w:firstLine="420"/>
        <w:rPr>
          <w:rFonts w:hint="eastAsia"/>
        </w:rPr>
      </w:pPr>
      <w:r>
        <w:rPr>
          <w:rFonts w:hint="eastAsia"/>
        </w:rPr>
        <w:t>（5）本基金投资流通受限证券的风险。本基金可投资于流通受限证券，因此可能面临在一定的价格下无法卖出而要降价卖出的风险，同时由于流通受限证券的非流通特性，在本基金参与投资后将在一定期限内无法流通，在面临基金大规模赎回的情况下有可能因为无法变现造成流动性风险。目前，本基金管理人已建立了健全的内部控制体系，全面监控流动性受限证券的种类、投资比例、内部审批流程、信息披露、日常风险监控等环节，做好危机处理预案，确保流通受限证券投资的合法合规。</w:t>
      </w:r>
    </w:p>
    <w:p>
      <w:pPr>
        <w:pStyle w:val="15"/>
        <w:ind w:firstLine="420"/>
        <w:rPr>
          <w:rFonts w:hint="eastAsia"/>
        </w:rPr>
      </w:pPr>
      <w:r>
        <w:rPr>
          <w:rFonts w:hint="eastAsia"/>
        </w:rPr>
        <w:t>（6）投资于存托凭证的风险。本基金的投资范围包括国内依法发行上市的存托凭证（“中国存托凭证”），除与其他仅投资于沪深市场股票的基金所面临的共同风险外，存托凭证有可能出现股价波动较大的情况，投资者有可能面临中国存托凭证价格大幅波动甚至出现较大亏损的风险，以及与中国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pPr>
        <w:pStyle w:val="15"/>
        <w:ind w:firstLine="420"/>
        <w:rPr>
          <w:rFonts w:hint="eastAsia"/>
        </w:rPr>
      </w:pPr>
      <w:r>
        <w:rPr>
          <w:rFonts w:hint="eastAsia"/>
        </w:rPr>
        <w:t>（7）为对冲信用风险，本基金可能投资于信用衍生品，信用衍生品的投资可能面临流动性风险、偿付风险以及价格波动风险等。流动性风险是信用衍生品在交易转让过程中因为无法找到交易对手或交易对手较少导致难以将其变现的风险。偿付风险是在信用衍生品的存续期内，由于不可控制的市场及环境变化，创设机构可能出现经营状况不佳或创设机构的现金流与预期发生一定的偏差，从而影响信用衍生品结算的风险。价格波动风险是由于创设机构或所受保护债券主体经营情况出现变化，导致信用评级机构调整对创设机构或所保护债券的信用级别，引起信用衍生品交易价格波动，从而影响投资者的利益的风险。</w:t>
      </w:r>
    </w:p>
    <w:p>
      <w:pPr>
        <w:pStyle w:val="15"/>
        <w:ind w:firstLine="420"/>
        <w:rPr>
          <w:rFonts w:hint="eastAsia"/>
        </w:rPr>
      </w:pPr>
      <w:r>
        <w:rPr>
          <w:rFonts w:hint="eastAsia"/>
        </w:rPr>
        <w:t>2、市场风险</w:t>
      </w:r>
    </w:p>
    <w:p>
      <w:pPr>
        <w:pStyle w:val="15"/>
        <w:ind w:firstLine="420"/>
        <w:rPr>
          <w:rFonts w:hint="eastAsia"/>
        </w:rPr>
      </w:pPr>
      <w:r>
        <w:rPr>
          <w:rFonts w:hint="eastAsia"/>
        </w:rPr>
        <w:t>证券市场价格受到经济因素、政治因素、投资心理和交易制度等各种因素的影响，导致基金收益水平变化，产生风险，主要包括：</w:t>
      </w:r>
    </w:p>
    <w:p>
      <w:pPr>
        <w:pStyle w:val="15"/>
        <w:ind w:firstLine="420"/>
        <w:rPr>
          <w:rFonts w:hint="eastAsia"/>
        </w:rPr>
      </w:pPr>
      <w:r>
        <w:rPr>
          <w:rFonts w:hint="eastAsia"/>
        </w:rPr>
        <w:t>（1）政策风险、（2）利率风险、（3）信用风险、（4）购买力风险、（5）债券收益率曲线变动风险、（6）再投资风险、（7）债券回购风险、（8）经济周期风险、（9）上市公司经营风险。</w:t>
      </w:r>
    </w:p>
    <w:p>
      <w:pPr>
        <w:pStyle w:val="15"/>
        <w:ind w:firstLine="420"/>
        <w:rPr>
          <w:rFonts w:hint="eastAsia"/>
        </w:rPr>
      </w:pPr>
      <w:r>
        <w:rPr>
          <w:rFonts w:hint="eastAsia"/>
        </w:rPr>
        <w:t>3、开放式基金共有的风险如管理风险、流动性风险和其他风险。</w:t>
      </w:r>
    </w:p>
    <w:p>
      <w:pPr>
        <w:pStyle w:val="15"/>
        <w:ind w:firstLine="420"/>
        <w:rPr>
          <w:rFonts w:hint="eastAsia"/>
        </w:rPr>
      </w:pPr>
      <w:r>
        <w:rPr>
          <w:rFonts w:hint="eastAsia"/>
        </w:rPr>
        <w:t>4、本基金法律文件风险收益特征表述与销售机构基金风险评价、销售机构之间的基金风险评价可能不一致的风险</w:t>
      </w:r>
    </w:p>
    <w:p>
      <w:pPr>
        <w:pStyle w:val="15"/>
        <w:ind w:firstLine="420"/>
        <w:rPr>
          <w:rFonts w:hint="eastAsia"/>
        </w:rPr>
      </w:pPr>
      <w:r>
        <w:rPr>
          <w:rFonts w:hint="eastAsia"/>
        </w:rPr>
        <w:t>本基金法律文件投资章节有关风险收益特征的表述是基于投资范围、投资比例、证券、期货市场普遍规律等做出的概述性描述，代表了一般市场情况下本基金的长期风险收益特征。销售机构(包括基金管理人直销机构和其他销售机构)根据相关法律法规对本基金进行风险评价，不同的销售机构采用的评价方法可能存在不同，因此销售机构的风险等级评价与基金法律文件中风险收益特征的表述可能存在不同，销售机构之间的风险等级评价也可能存在不同，销售机构基于自身采用的评价方法可能对基金的风险等级进行定期或不定期的调整，但销售机构向投资人推介基金产品时，所依据的基金产品风险等级评价结果不得低于基金管理人作出的风险等级评价结果。投资人在购买本基金时需按照销售机构的要求完成风险承受能力与产品风险之间的匹配检验。</w:t>
      </w:r>
    </w:p>
    <w:p>
      <w:pPr>
        <w:pStyle w:val="15"/>
        <w:ind w:firstLine="420"/>
        <w:rPr>
          <w:rFonts w:hint="eastAsia"/>
        </w:rPr>
      </w:pPr>
      <w:r>
        <w:rPr>
          <w:rFonts w:hint="eastAsia"/>
        </w:rPr>
        <w:t>5、流动性风险评估</w:t>
      </w:r>
    </w:p>
    <w:p>
      <w:pPr>
        <w:pStyle w:val="15"/>
        <w:ind w:firstLine="420"/>
        <w:rPr>
          <w:rFonts w:hint="eastAsia"/>
        </w:rPr>
      </w:pPr>
      <w:r>
        <w:rPr>
          <w:rFonts w:hint="eastAsia"/>
        </w:rPr>
        <w:t>（1）本基金的申购、赎回安排</w:t>
      </w:r>
    </w:p>
    <w:p>
      <w:pPr>
        <w:pStyle w:val="15"/>
        <w:ind w:firstLine="420"/>
        <w:rPr>
          <w:rFonts w:hint="eastAsia"/>
        </w:rPr>
      </w:pPr>
      <w:r>
        <w:rPr>
          <w:rFonts w:hint="eastAsia"/>
        </w:rPr>
        <w:t>（2）投资市场、行业及资产的流动性风险评估</w:t>
      </w:r>
    </w:p>
    <w:p>
      <w:pPr>
        <w:pStyle w:val="15"/>
        <w:ind w:firstLine="420"/>
        <w:rPr>
          <w:rFonts w:hint="eastAsia"/>
        </w:rPr>
      </w:pPr>
      <w:r>
        <w:rPr>
          <w:rFonts w:hint="eastAsia"/>
        </w:rPr>
        <w:t>（3）巨额赎回情形下的流动性风险管理措施</w:t>
      </w:r>
    </w:p>
    <w:p>
      <w:pPr>
        <w:pStyle w:val="15"/>
        <w:ind w:firstLine="420"/>
        <w:rPr>
          <w:rFonts w:hint="eastAsia"/>
        </w:rPr>
      </w:pPr>
      <w:r>
        <w:rPr>
          <w:rFonts w:hint="eastAsia"/>
        </w:rPr>
        <w:t>（4）实施备用的流动性风险管理工具的情形、程序及对投资者的潜在影响</w:t>
      </w:r>
    </w:p>
    <w:p>
      <w:pPr>
        <w:pStyle w:val="15"/>
        <w:ind w:firstLine="420"/>
        <w:rPr>
          <w:rFonts w:hint="eastAsia"/>
        </w:rPr>
      </w:pPr>
      <w:r>
        <w:rPr>
          <w:rFonts w:hint="eastAsia"/>
        </w:rPr>
        <w:t>本基金在面临大规模赎回的情况下有可能因为无法变现造成流动性风险。如果出现流动性风险，基金管理人经与基金托管人协商，在确保投资者得到公平对待的前提下，可实施备用的流动性风险管理工具，作为特定情形下基金管理人流动性风险管理的辅助措施，包括但不限于延期办理巨额赎回申请、暂停接受赎回申请、延缓支付赎回款项、收取短期赎回费、暂停基金估值、摆动定价、实施侧袋机制以及中国证监会认定的其他措施。同时基金管理人应时刻防范可能产生的流动性风险，对流动性风险进行日常监控，保护持有人的利益。当实施备用的流动性风险管理工具时，有可能无法按合同约定的时限支付赎回款项。</w:t>
      </w:r>
    </w:p>
    <w:p>
      <w:pPr>
        <w:pStyle w:val="15"/>
        <w:ind w:firstLine="420"/>
        <w:rPr>
          <w:rFonts w:hint="eastAsia"/>
        </w:rPr>
      </w:pPr>
      <w:r>
        <w:rPr>
          <w:rFonts w:hint="eastAsia"/>
        </w:rPr>
        <w:t>6、基金投资组合收益率与业绩比较基准收益率偏离的风险</w:t>
      </w:r>
    </w:p>
    <w:p>
      <w:pPr>
        <w:pStyle w:val="15"/>
        <w:ind w:firstLine="420"/>
        <w:rPr>
          <w:rFonts w:hint="eastAsia"/>
        </w:rPr>
      </w:pPr>
      <w:r>
        <w:rPr>
          <w:rFonts w:hint="eastAsia"/>
        </w:rPr>
        <w:t>本基金业绩比较基准仅作为考察基金业绩的参考，业绩比较基准的表现并不代表基金实际的收益情况。本基金实际运作中投资的对象及其权重与基准指数的成份股及其权重并非完全一致，可能出现投资组合收益率与业绩比较基准收益率偏离的风险。</w:t>
      </w:r>
    </w:p>
    <w:p>
      <w:pPr>
        <w:pStyle w:val="15"/>
        <w:ind w:firstLine="420"/>
        <w:rPr>
          <w:rFonts w:hint="eastAsia"/>
        </w:rPr>
      </w:pPr>
      <w:r>
        <w:rPr>
          <w:rFonts w:hint="eastAsia"/>
        </w:rPr>
        <w:t>7、实施侧袋机制对投资者的影响</w:t>
      </w:r>
    </w:p>
    <w:p>
      <w:pPr>
        <w:pStyle w:val="15"/>
        <w:ind w:firstLine="420"/>
        <w:rPr>
          <w:rFonts w:hint="eastAsia"/>
        </w:rPr>
      </w:pPr>
      <w:r>
        <w:rPr>
          <w:rFonts w:hint="eastAsia"/>
        </w:rPr>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份额净值，并不得办理申购、赎回和转换，仅主袋账户份额正常开放赎回，因此启用侧袋机制时持有基金份额的持有人将在启用侧袋机制后同时持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pPr>
        <w:pStyle w:val="15"/>
        <w:ind w:firstLine="420"/>
        <w:rPr>
          <w:rFonts w:hint="eastAsia"/>
        </w:rPr>
      </w:pPr>
      <w:r>
        <w:rPr>
          <w:rFonts w:hint="eastAsia"/>
        </w:rPr>
        <w:t>实施侧袋机制期间，因本基金不披露侧袋账户份额的净值，即便基金管理人在基金定期报告中披露报告期末特定资产可变现净值或净值区间的，也不作为特定资产最终变现价格的承诺，因此对于特定资产的公允价值和最终变现价格，基金管理人不承担任何保证和承诺的责任。</w:t>
      </w:r>
    </w:p>
    <w:p>
      <w:pPr>
        <w:pStyle w:val="15"/>
        <w:ind w:firstLine="420"/>
        <w:rPr>
          <w:rFonts w:hint="eastAsia"/>
        </w:rPr>
      </w:pPr>
      <w:r>
        <w:rPr>
          <w:rFonts w:hint="eastAsia"/>
        </w:rPr>
        <w:t>基金管理人将根据主袋账户运作情况合理确定申购政策,因此实施侧袋机制后主袋账户份额存在暂停申购的可能。</w:t>
      </w:r>
    </w:p>
    <w:p>
      <w:pPr>
        <w:pStyle w:val="15"/>
        <w:ind w:firstLine="420"/>
        <w:rPr>
          <w:rFonts w:hint="eastAsia"/>
        </w:rPr>
      </w:pPr>
      <w:r>
        <w:rPr>
          <w:rFonts w:hint="eastAsia"/>
        </w:rPr>
        <w:t>启用侧袋机制后，基金管理人计算各项投资运作指标和基金业绩指标时仅需考虑主袋账户资产，并根据相关规定对分割侧袋账户资产导致的基金净资产减少进行按投资损失处理，因此本基金披露的业绩指标不能反映特定资产的真实价值及变化情况。</w:t>
      </w:r>
    </w:p>
    <w:p>
      <w:pPr>
        <w:pStyle w:val="20"/>
        <w:spacing w:before="156" w:after="156"/>
        <w:rPr>
          <w:rFonts w:hint="eastAsia"/>
        </w:rPr>
      </w:pPr>
      <w:r>
        <w:rPr>
          <w:rFonts w:hint="eastAsia"/>
        </w:rPr>
        <w:t>（二） 重要提示</w:t>
      </w:r>
    </w:p>
    <w:p>
      <w:pPr>
        <w:pStyle w:val="15"/>
        <w:ind w:firstLine="420"/>
        <w:rPr>
          <w:rFonts w:hint="eastAsia"/>
        </w:rPr>
      </w:pPr>
      <w:r>
        <w:rPr>
          <w:rFonts w:hint="eastAsia"/>
        </w:rPr>
        <w:t>南方远航混合型证券投资基金（以下简称“本基金”）经中国证监会2026年4月28日证监许可[2026]1095号文注册募集。中国证监会对本基金募集的注册，并不表明其对本基金的价值和收益作出实质性判断或保证，也不表明投资于本基金没有风险。</w:t>
      </w:r>
    </w:p>
    <w:p>
      <w:pPr>
        <w:pStyle w:val="15"/>
        <w:ind w:firstLine="420"/>
        <w:rPr>
          <w:rFonts w:hint="eastAsia"/>
        </w:rPr>
      </w:pPr>
      <w:r>
        <w:rPr>
          <w:rFonts w:hint="eastAsia"/>
        </w:rPr>
        <w:t>基金管理人依照恪尽职守、诚实信用、谨慎勤勉的原则管理和运用基金财产，但不保证基金一定盈利，也不保证最低收益。</w:t>
      </w:r>
    </w:p>
    <w:p>
      <w:pPr>
        <w:pStyle w:val="15"/>
        <w:ind w:firstLine="420"/>
        <w:rPr>
          <w:rFonts w:hint="eastAsia"/>
        </w:rPr>
      </w:pPr>
      <w:r>
        <w:rPr>
          <w:rFonts w:hint="eastAsia"/>
        </w:rPr>
        <w:t>基金投资者自依基金合同取得基金份额，即成为基金份额持有人和基金合同的当事人。</w:t>
      </w:r>
    </w:p>
    <w:p>
      <w:pPr>
        <w:pStyle w:val="15"/>
        <w:ind w:firstLine="420"/>
        <w:rPr>
          <w:rFonts w:hint="eastAsia"/>
        </w:rPr>
      </w:pPr>
      <w:r>
        <w:rPr>
          <w:rFonts w:hint="eastAsia"/>
        </w:rPr>
        <w:t>与本基金/基金合同相关的争议解决方式为仲裁。因本基金产生的或与基金合同有关的一切争议，如经友好协商未能解决的，任何一方均有权将争议提交深圳国际仲裁院，仲裁地点为深圳市。</w:t>
      </w:r>
    </w:p>
    <w:p>
      <w:pPr>
        <w:pStyle w:val="15"/>
        <w:ind w:firstLine="420"/>
        <w:rPr>
          <w:rFonts w:hint="eastAsia"/>
        </w:rPr>
      </w:pPr>
      <w:r>
        <w:rPr>
          <w:rFonts w:hint="eastAsia"/>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pPr>
        <w:pStyle w:val="15"/>
        <w:ind w:firstLine="420"/>
        <w:rPr>
          <w:rFonts w:hint="eastAsia"/>
        </w:rPr>
      </w:pPr>
      <w:r>
        <w:rPr>
          <w:rFonts w:hint="eastAsia"/>
        </w:rPr>
        <w:t>投资人知悉并同意基金管理人可在符合法律法规的前提下，为投资人提供账户服务通知、交易确认通知、重要公告通知、投保投教、客户关怀等服务，并可自主选择退订，具体的服务说明详见招募说明书“基金份额持有人服务”章节。</w:t>
      </w:r>
    </w:p>
    <w:p>
      <w:pPr>
        <w:pStyle w:val="23"/>
        <w:spacing w:before="156" w:after="156"/>
        <w:rPr>
          <w:rFonts w:hint="eastAsia"/>
        </w:rPr>
      </w:pPr>
      <w:r>
        <w:rPr>
          <w:rFonts w:hint="eastAsia"/>
        </w:rPr>
        <w:t>五、其他资料查询方式</w:t>
      </w:r>
    </w:p>
    <w:p>
      <w:pPr>
        <w:pStyle w:val="15"/>
        <w:ind w:firstLine="420"/>
        <w:rPr>
          <w:rFonts w:hint="eastAsia"/>
        </w:rPr>
      </w:pPr>
      <w:r>
        <w:rPr>
          <w:rFonts w:hint="eastAsia"/>
        </w:rPr>
        <w:t>以下资料详见基金管理人网站[www.nffund.com][客服电话：400-889-8899]</w:t>
      </w:r>
    </w:p>
    <w:p>
      <w:pPr>
        <w:pStyle w:val="15"/>
        <w:ind w:firstLine="420"/>
        <w:rPr>
          <w:rFonts w:hint="eastAsia"/>
        </w:rPr>
      </w:pPr>
      <w:r>
        <w:rPr>
          <w:rFonts w:hint="eastAsia"/>
        </w:rPr>
        <w:t>●《南方远航混合型证券投资基金基金合同》、</w:t>
      </w:r>
    </w:p>
    <w:p>
      <w:pPr>
        <w:pStyle w:val="15"/>
        <w:ind w:firstLine="420"/>
        <w:rPr>
          <w:rFonts w:hint="eastAsia"/>
        </w:rPr>
      </w:pPr>
      <w:r>
        <w:rPr>
          <w:rFonts w:hint="eastAsia"/>
        </w:rPr>
        <w:t>《南方远航混合型证券投资基金托管协议》、</w:t>
      </w:r>
    </w:p>
    <w:p>
      <w:pPr>
        <w:pStyle w:val="15"/>
        <w:ind w:firstLine="420"/>
        <w:rPr>
          <w:rFonts w:hint="eastAsia"/>
        </w:rPr>
      </w:pPr>
      <w:r>
        <w:rPr>
          <w:rFonts w:hint="eastAsia"/>
        </w:rPr>
        <w:t>《南方远航混合型证券投资基金招募说明书》</w:t>
      </w:r>
    </w:p>
    <w:p>
      <w:pPr>
        <w:pStyle w:val="15"/>
        <w:ind w:firstLine="420"/>
        <w:rPr>
          <w:rFonts w:hint="eastAsia"/>
        </w:rPr>
      </w:pPr>
      <w:r>
        <w:rPr>
          <w:rFonts w:hint="eastAsia"/>
        </w:rPr>
        <w:t>●定期报告、包括基金季度报告、中期报告和年度报告</w:t>
      </w:r>
    </w:p>
    <w:p>
      <w:pPr>
        <w:pStyle w:val="15"/>
        <w:ind w:firstLine="420"/>
        <w:rPr>
          <w:rFonts w:hint="eastAsia"/>
        </w:rPr>
      </w:pPr>
      <w:r>
        <w:rPr>
          <w:rFonts w:hint="eastAsia"/>
        </w:rPr>
        <w:t>●基金份额净值</w:t>
      </w:r>
    </w:p>
    <w:p>
      <w:pPr>
        <w:pStyle w:val="15"/>
        <w:ind w:firstLine="420"/>
        <w:rPr>
          <w:rFonts w:hint="eastAsia"/>
        </w:rPr>
      </w:pPr>
      <w:r>
        <w:rPr>
          <w:rFonts w:hint="eastAsia"/>
        </w:rPr>
        <w:t>●基金销售机构及联系方式</w:t>
      </w:r>
    </w:p>
    <w:p>
      <w:pPr>
        <w:pStyle w:val="15"/>
        <w:ind w:firstLine="420"/>
        <w:rPr>
          <w:rFonts w:hint="eastAsia"/>
        </w:rPr>
      </w:pPr>
      <w:r>
        <w:rPr>
          <w:rFonts w:hint="eastAsia"/>
        </w:rPr>
        <w:t>●其他重要资料</w:t>
      </w:r>
    </w:p>
    <w:p>
      <w:pPr>
        <w:pStyle w:val="23"/>
        <w:spacing w:before="156" w:after="156"/>
        <w:rPr>
          <w:rFonts w:hint="eastAsia"/>
        </w:rPr>
      </w:pPr>
      <w:r>
        <w:rPr>
          <w:rFonts w:hint="eastAsia"/>
        </w:rPr>
        <w:t>六、其他情况说明</w:t>
      </w:r>
    </w:p>
    <w:p>
      <w:pPr>
        <w:pStyle w:val="15"/>
        <w:ind w:firstLine="420"/>
        <w:rPr>
          <w:rFonts w:hint="eastAsia"/>
        </w:rPr>
      </w:pPr>
      <w:r>
        <w:rPr>
          <w:rFonts w:hint="eastAsia"/>
        </w:rPr>
        <w:t>暂无。</w:t>
      </w:r>
    </w:p>
    <w:p>
      <w:r>
        <w:t xml:space="preserve"> </w:t>
      </w:r>
    </w:p>
    <w:p>
      <w:pPr>
        <w:pStyle w:val="41"/>
        <w:ind w:firstLine="422"/>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黑体简体">
    <w:altName w:val="黑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fldChar w:fldCharType="begin"/>
    </w:r>
    <w:r>
      <w:instrText xml:space="preserve"> PAGE   \* MERGEFORMAT </w:instrText>
    </w:r>
    <w:r>
      <w:fldChar w:fldCharType="separate"/>
    </w:r>
    <w:r>
      <w:rPr>
        <w:lang w:val="zh-CN"/>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rPr>
        <w:rFonts w:hint="eastAsia"/>
      </w:rPr>
      <w:t>南方远航混合型证券投资基金（A类份额）基金产品资料概要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embedSystemFonts/>
  <w:bordersDoNotSurroundHeader w:val="1"/>
  <w:bordersDoNotSurroundFooter w:val="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AD4"/>
    <w:rsid w:val="0001145D"/>
    <w:rsid w:val="0001706E"/>
    <w:rsid w:val="00045B9C"/>
    <w:rsid w:val="00053A9C"/>
    <w:rsid w:val="000629C7"/>
    <w:rsid w:val="00073A17"/>
    <w:rsid w:val="00100924"/>
    <w:rsid w:val="001064E3"/>
    <w:rsid w:val="001750FE"/>
    <w:rsid w:val="00175E81"/>
    <w:rsid w:val="00181325"/>
    <w:rsid w:val="00187B2C"/>
    <w:rsid w:val="0019575F"/>
    <w:rsid w:val="001B4F59"/>
    <w:rsid w:val="001C46F3"/>
    <w:rsid w:val="002073CE"/>
    <w:rsid w:val="00225A93"/>
    <w:rsid w:val="0023093B"/>
    <w:rsid w:val="00230942"/>
    <w:rsid w:val="0024069D"/>
    <w:rsid w:val="002956D4"/>
    <w:rsid w:val="00296BEC"/>
    <w:rsid w:val="00362863"/>
    <w:rsid w:val="0038669A"/>
    <w:rsid w:val="003A2389"/>
    <w:rsid w:val="003A31A8"/>
    <w:rsid w:val="003D279E"/>
    <w:rsid w:val="00412878"/>
    <w:rsid w:val="00427E43"/>
    <w:rsid w:val="00440E3F"/>
    <w:rsid w:val="00465118"/>
    <w:rsid w:val="00484A2E"/>
    <w:rsid w:val="004B1A87"/>
    <w:rsid w:val="004C06E8"/>
    <w:rsid w:val="004C7B13"/>
    <w:rsid w:val="004E5A28"/>
    <w:rsid w:val="00543191"/>
    <w:rsid w:val="00544E9D"/>
    <w:rsid w:val="00575E4D"/>
    <w:rsid w:val="00577498"/>
    <w:rsid w:val="005C29BB"/>
    <w:rsid w:val="005D15A3"/>
    <w:rsid w:val="006014C5"/>
    <w:rsid w:val="00614557"/>
    <w:rsid w:val="006175A8"/>
    <w:rsid w:val="00624C8B"/>
    <w:rsid w:val="006255DD"/>
    <w:rsid w:val="00665FED"/>
    <w:rsid w:val="00666D53"/>
    <w:rsid w:val="006709BF"/>
    <w:rsid w:val="006B012F"/>
    <w:rsid w:val="006C778B"/>
    <w:rsid w:val="006F182B"/>
    <w:rsid w:val="006F63DB"/>
    <w:rsid w:val="0071135D"/>
    <w:rsid w:val="007379A3"/>
    <w:rsid w:val="007475A0"/>
    <w:rsid w:val="007745B9"/>
    <w:rsid w:val="007B5088"/>
    <w:rsid w:val="007C71B7"/>
    <w:rsid w:val="00800FA0"/>
    <w:rsid w:val="008630EB"/>
    <w:rsid w:val="008730C5"/>
    <w:rsid w:val="008A7263"/>
    <w:rsid w:val="008B15A4"/>
    <w:rsid w:val="008C33E1"/>
    <w:rsid w:val="008C4B46"/>
    <w:rsid w:val="00945B9D"/>
    <w:rsid w:val="00964788"/>
    <w:rsid w:val="0097681E"/>
    <w:rsid w:val="009A69BD"/>
    <w:rsid w:val="009B4E06"/>
    <w:rsid w:val="009C63D0"/>
    <w:rsid w:val="00A150DC"/>
    <w:rsid w:val="00A216D6"/>
    <w:rsid w:val="00A26343"/>
    <w:rsid w:val="00A84177"/>
    <w:rsid w:val="00AD7920"/>
    <w:rsid w:val="00B12045"/>
    <w:rsid w:val="00B3351A"/>
    <w:rsid w:val="00B5016C"/>
    <w:rsid w:val="00B652A8"/>
    <w:rsid w:val="00BA533C"/>
    <w:rsid w:val="00BB4D04"/>
    <w:rsid w:val="00BC2145"/>
    <w:rsid w:val="00BC22E5"/>
    <w:rsid w:val="00BC6F00"/>
    <w:rsid w:val="00C04636"/>
    <w:rsid w:val="00C06F04"/>
    <w:rsid w:val="00C17603"/>
    <w:rsid w:val="00C359DD"/>
    <w:rsid w:val="00C64CE6"/>
    <w:rsid w:val="00C9694E"/>
    <w:rsid w:val="00C975C3"/>
    <w:rsid w:val="00CC4E42"/>
    <w:rsid w:val="00CD5DC8"/>
    <w:rsid w:val="00CE07B7"/>
    <w:rsid w:val="00CE4F75"/>
    <w:rsid w:val="00CE5671"/>
    <w:rsid w:val="00CF0D54"/>
    <w:rsid w:val="00D051CB"/>
    <w:rsid w:val="00D15F45"/>
    <w:rsid w:val="00D928F8"/>
    <w:rsid w:val="00D92B0B"/>
    <w:rsid w:val="00D95BCA"/>
    <w:rsid w:val="00DC7415"/>
    <w:rsid w:val="00DD0E43"/>
    <w:rsid w:val="00E04FA5"/>
    <w:rsid w:val="00E063EF"/>
    <w:rsid w:val="00E15747"/>
    <w:rsid w:val="00E43A74"/>
    <w:rsid w:val="00E46AD4"/>
    <w:rsid w:val="00E67375"/>
    <w:rsid w:val="00EA5DE4"/>
    <w:rsid w:val="00ED7F31"/>
    <w:rsid w:val="00F03A80"/>
    <w:rsid w:val="00F27944"/>
    <w:rsid w:val="00F45ADF"/>
    <w:rsid w:val="00F56A67"/>
    <w:rsid w:val="00F719C8"/>
    <w:rsid w:val="00F73C89"/>
    <w:rsid w:val="00F76D55"/>
    <w:rsid w:val="00FA097D"/>
    <w:rsid w:val="00FA1FAB"/>
    <w:rsid w:val="00FE775E"/>
    <w:rsid w:val="04CA1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lang w:val="zh-CN" w:eastAsia="zh-CN"/>
    </w:rPr>
  </w:style>
  <w:style w:type="paragraph" w:styleId="3">
    <w:name w:val="heading 2"/>
    <w:basedOn w:val="1"/>
    <w:next w:val="1"/>
    <w:link w:val="16"/>
    <w:qFormat/>
    <w:uiPriority w:val="9"/>
    <w:pPr>
      <w:widowControl/>
      <w:spacing w:before="100" w:beforeAutospacing="1" w:after="100" w:afterAutospacing="1"/>
      <w:jc w:val="left"/>
      <w:outlineLvl w:val="1"/>
    </w:pPr>
    <w:rPr>
      <w:rFonts w:ascii="宋体" w:hAnsi="宋体"/>
      <w:b/>
      <w:bCs/>
      <w:kern w:val="0"/>
      <w:sz w:val="18"/>
      <w:szCs w:val="18"/>
      <w:lang w:val="zh-CN" w:eastAsia="zh-CN"/>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Document Map"/>
    <w:basedOn w:val="1"/>
    <w:link w:val="30"/>
    <w:qFormat/>
    <w:uiPriority w:val="0"/>
    <w:rPr>
      <w:rFonts w:ascii="宋体"/>
      <w:sz w:val="18"/>
      <w:szCs w:val="18"/>
      <w:lang w:val="zh-CN" w:eastAsia="zh-CN"/>
    </w:rPr>
  </w:style>
  <w:style w:type="paragraph" w:styleId="5">
    <w:name w:val="footer"/>
    <w:basedOn w:val="1"/>
    <w:link w:val="29"/>
    <w:qFormat/>
    <w:uiPriority w:val="99"/>
    <w:pPr>
      <w:tabs>
        <w:tab w:val="center" w:pos="4153"/>
        <w:tab w:val="right" w:pos="8306"/>
      </w:tabs>
      <w:snapToGrid w:val="0"/>
      <w:jc w:val="left"/>
    </w:pPr>
    <w:rPr>
      <w:sz w:val="18"/>
      <w:szCs w:val="18"/>
      <w:lang w:val="zh-CN" w:eastAsia="zh-CN"/>
    </w:rPr>
  </w:style>
  <w:style w:type="paragraph" w:styleId="6">
    <w:name w:val="header"/>
    <w:basedOn w:val="1"/>
    <w:link w:val="28"/>
    <w:qFormat/>
    <w:uiPriority w:val="99"/>
    <w:pPr>
      <w:pBdr>
        <w:bottom w:val="single" w:color="auto" w:sz="6" w:space="1"/>
      </w:pBdr>
      <w:tabs>
        <w:tab w:val="center" w:pos="4153"/>
        <w:tab w:val="right" w:pos="8306"/>
      </w:tabs>
      <w:snapToGrid w:val="0"/>
      <w:jc w:val="center"/>
    </w:pPr>
    <w:rPr>
      <w:sz w:val="18"/>
      <w:szCs w:val="18"/>
      <w:lang w:val="zh-CN" w:eastAsia="zh-CN"/>
    </w:rPr>
  </w:style>
  <w:style w:type="paragraph" w:styleId="7">
    <w:name w:val="toc 1"/>
    <w:basedOn w:val="1"/>
    <w:next w:val="1"/>
    <w:qFormat/>
    <w:uiPriority w:val="39"/>
  </w:style>
  <w:style w:type="paragraph" w:styleId="8">
    <w:name w:val="toc 2"/>
    <w:basedOn w:val="1"/>
    <w:next w:val="1"/>
    <w:qFormat/>
    <w:uiPriority w:val="39"/>
    <w:pPr>
      <w:ind w:left="420" w:leftChars="200"/>
    </w:pPr>
  </w:style>
  <w:style w:type="paragraph" w:styleId="9">
    <w:name w:val="Normal (Web)"/>
    <w:basedOn w:val="1"/>
    <w:link w:val="17"/>
    <w:unhideWhenUsed/>
    <w:uiPriority w:val="99"/>
    <w:pPr>
      <w:widowControl/>
      <w:spacing w:before="100" w:beforeAutospacing="1" w:after="100" w:afterAutospacing="1"/>
      <w:jc w:val="left"/>
    </w:pPr>
    <w:rPr>
      <w:rFonts w:ascii="宋体" w:hAnsi="宋体"/>
      <w:kern w:val="0"/>
      <w:sz w:val="24"/>
      <w:lang w:val="zh-CN" w:eastAsia="zh-CN"/>
    </w:rPr>
  </w:style>
  <w:style w:type="paragraph" w:styleId="10">
    <w:name w:val="Title"/>
    <w:basedOn w:val="1"/>
    <w:next w:val="1"/>
    <w:link w:val="31"/>
    <w:qFormat/>
    <w:uiPriority w:val="0"/>
    <w:pPr>
      <w:spacing w:before="240" w:after="60"/>
      <w:jc w:val="center"/>
      <w:outlineLvl w:val="0"/>
    </w:pPr>
    <w:rPr>
      <w:rFonts w:ascii="Cambria" w:hAnsi="Cambria"/>
      <w:b/>
      <w:bCs/>
      <w:sz w:val="32"/>
      <w:szCs w:val="32"/>
      <w:lang w:val="zh-CN" w:eastAsia="zh-CN"/>
    </w:rPr>
  </w:style>
  <w:style w:type="table" w:styleId="12">
    <w:name w:val="Table Grid"/>
    <w:basedOn w:val="11"/>
    <w:qFormat/>
    <w:uiPriority w:val="0"/>
    <w:pPr>
      <w:spacing w:line="312" w:lineRule="exact"/>
      <w:jc w:val="center"/>
      <w:textAlignment w:val="center"/>
    </w:pPr>
    <w:rPr>
      <w:rFonts w:eastAsia="仿宋"/>
      <w:color w:val="000000" w:themeColor="text1"/>
      <w:sz w:val="21"/>
      <w14:textFill>
        <w14:solidFill>
          <w14:schemeClr w14:val="tx1"/>
        </w14:solidFill>
      </w14:textFill>
    </w:rPr>
    <w:tblPr>
      <w:jc w:val="center"/>
      <w:tblBorders>
        <w:top w:val="single" w:color="auto" w:sz="4" w:space="0"/>
        <w:bottom w:val="single" w:color="auto" w:sz="4" w:space="0"/>
        <w:insideH w:val="dashed" w:color="auto" w:sz="4" w:space="0"/>
      </w:tblBorders>
    </w:tblPr>
    <w:trPr>
      <w:jc w:val="center"/>
    </w:trPr>
    <w:tcPr>
      <w:vAlign w:val="center"/>
    </w:tcPr>
  </w:style>
  <w:style w:type="character" w:styleId="14">
    <w:name w:val="Hyperlink"/>
    <w:unhideWhenUsed/>
    <w:uiPriority w:val="99"/>
    <w:rPr>
      <w:color w:val="0000FF"/>
      <w:u w:val="single"/>
    </w:rPr>
  </w:style>
  <w:style w:type="paragraph" w:customStyle="1" w:styleId="15">
    <w:name w:val="模板-正文"/>
    <w:basedOn w:val="9"/>
    <w:link w:val="18"/>
    <w:qFormat/>
    <w:uiPriority w:val="0"/>
    <w:pPr>
      <w:shd w:val="clear" w:color="auto" w:fill="FFFFFF"/>
      <w:snapToGrid w:val="0"/>
      <w:spacing w:before="0" w:beforeAutospacing="0" w:after="0" w:afterAutospacing="0" w:line="311" w:lineRule="exact"/>
      <w:ind w:firstLine="200" w:firstLineChars="200"/>
      <w:jc w:val="both"/>
    </w:pPr>
    <w:rPr>
      <w:rFonts w:eastAsia="仿宋"/>
      <w:color w:val="222222"/>
      <w:sz w:val="21"/>
      <w:szCs w:val="21"/>
    </w:rPr>
  </w:style>
  <w:style w:type="character" w:customStyle="1" w:styleId="16">
    <w:name w:val="标题 2 字符"/>
    <w:link w:val="3"/>
    <w:qFormat/>
    <w:uiPriority w:val="9"/>
    <w:rPr>
      <w:rFonts w:ascii="宋体" w:hAnsi="宋体" w:cs="宋体"/>
      <w:b/>
      <w:bCs/>
      <w:sz w:val="18"/>
      <w:szCs w:val="18"/>
    </w:rPr>
  </w:style>
  <w:style w:type="character" w:customStyle="1" w:styleId="17">
    <w:name w:val="普通(网站) 字符"/>
    <w:link w:val="9"/>
    <w:uiPriority w:val="99"/>
    <w:rPr>
      <w:rFonts w:ascii="宋体" w:hAnsi="宋体" w:cs="宋体"/>
      <w:sz w:val="24"/>
      <w:szCs w:val="24"/>
    </w:rPr>
  </w:style>
  <w:style w:type="character" w:customStyle="1" w:styleId="18">
    <w:name w:val="模板-正文 Char"/>
    <w:link w:val="15"/>
    <w:uiPriority w:val="0"/>
    <w:rPr>
      <w:rFonts w:ascii="宋体" w:hAnsi="宋体" w:eastAsia="仿宋"/>
      <w:color w:val="222222"/>
      <w:sz w:val="21"/>
      <w:szCs w:val="21"/>
      <w:shd w:val="clear" w:color="auto" w:fill="FFFFFF"/>
      <w:lang w:val="zh-CN" w:eastAsia="zh-CN"/>
    </w:rPr>
  </w:style>
  <w:style w:type="character" w:customStyle="1" w:styleId="19">
    <w:name w:val="doc_order_no"/>
    <w:uiPriority w:val="0"/>
  </w:style>
  <w:style w:type="paragraph" w:customStyle="1" w:styleId="20">
    <w:name w:val="模板-标题 2"/>
    <w:basedOn w:val="3"/>
    <w:link w:val="21"/>
    <w:qFormat/>
    <w:uiPriority w:val="0"/>
    <w:pPr>
      <w:shd w:val="clear" w:color="auto" w:fill="FFFFFF"/>
      <w:spacing w:before="50" w:beforeLines="50" w:beforeAutospacing="0" w:after="50" w:afterLines="50" w:afterAutospacing="0" w:line="290" w:lineRule="exact"/>
    </w:pPr>
    <w:rPr>
      <w:rFonts w:eastAsia="仿宋"/>
      <w:color w:val="222222"/>
      <w:sz w:val="21"/>
    </w:rPr>
  </w:style>
  <w:style w:type="character" w:customStyle="1" w:styleId="21">
    <w:name w:val="模板-标题 2 Char"/>
    <w:link w:val="20"/>
    <w:qFormat/>
    <w:uiPriority w:val="0"/>
    <w:rPr>
      <w:rFonts w:ascii="宋体" w:hAnsi="宋体" w:eastAsia="仿宋"/>
      <w:b/>
      <w:bCs/>
      <w:color w:val="222222"/>
      <w:sz w:val="21"/>
      <w:szCs w:val="18"/>
      <w:shd w:val="clear" w:color="auto" w:fill="FFFFFF"/>
      <w:lang w:val="zh-CN" w:eastAsia="zh-CN"/>
    </w:rPr>
  </w:style>
  <w:style w:type="character" w:customStyle="1" w:styleId="22">
    <w:name w:val="标题 1 字符"/>
    <w:link w:val="2"/>
    <w:uiPriority w:val="9"/>
    <w:rPr>
      <w:b/>
      <w:bCs/>
      <w:kern w:val="44"/>
      <w:sz w:val="44"/>
      <w:szCs w:val="44"/>
    </w:rPr>
  </w:style>
  <w:style w:type="paragraph" w:customStyle="1" w:styleId="23">
    <w:name w:val="模板-标题 1"/>
    <w:basedOn w:val="2"/>
    <w:link w:val="24"/>
    <w:qFormat/>
    <w:uiPriority w:val="0"/>
    <w:pPr>
      <w:keepNext w:val="0"/>
      <w:keepLines w:val="0"/>
      <w:widowControl/>
      <w:shd w:val="clear" w:color="auto" w:fill="FFFFFF"/>
      <w:spacing w:before="50" w:beforeLines="50" w:after="50" w:afterLines="50" w:line="290" w:lineRule="exact"/>
      <w:jc w:val="left"/>
    </w:pPr>
    <w:rPr>
      <w:rFonts w:ascii="宋体" w:hAnsi="宋体" w:eastAsia="仿宋"/>
      <w:color w:val="222222"/>
      <w:kern w:val="36"/>
      <w:sz w:val="24"/>
      <w:szCs w:val="24"/>
    </w:rPr>
  </w:style>
  <w:style w:type="character" w:customStyle="1" w:styleId="24">
    <w:name w:val="模板-标题 1 Char"/>
    <w:link w:val="23"/>
    <w:qFormat/>
    <w:uiPriority w:val="0"/>
    <w:rPr>
      <w:rFonts w:ascii="宋体" w:hAnsi="宋体" w:eastAsia="仿宋"/>
      <w:b/>
      <w:bCs/>
      <w:color w:val="222222"/>
      <w:kern w:val="36"/>
      <w:sz w:val="24"/>
      <w:szCs w:val="24"/>
      <w:shd w:val="clear" w:color="auto" w:fill="FFFFFF"/>
      <w:lang w:val="zh-CN" w:eastAsia="zh-CN"/>
    </w:rPr>
  </w:style>
  <w:style w:type="paragraph" w:customStyle="1" w:styleId="25">
    <w:name w:val="模板-标题 3"/>
    <w:basedOn w:val="1"/>
    <w:link w:val="26"/>
    <w:qFormat/>
    <w:uiPriority w:val="0"/>
    <w:pPr>
      <w:spacing w:before="50" w:beforeLines="50" w:after="50" w:afterLines="50" w:line="290" w:lineRule="atLeast"/>
    </w:pPr>
    <w:rPr>
      <w:rFonts w:eastAsia="仿宋"/>
      <w:b/>
      <w:color w:val="222222"/>
      <w:szCs w:val="18"/>
      <w:lang w:val="zh-CN" w:eastAsia="zh-CN"/>
    </w:rPr>
  </w:style>
  <w:style w:type="character" w:customStyle="1" w:styleId="26">
    <w:name w:val="模板-标题 3 Char"/>
    <w:link w:val="25"/>
    <w:qFormat/>
    <w:uiPriority w:val="0"/>
    <w:rPr>
      <w:rFonts w:eastAsia="仿宋"/>
      <w:b/>
      <w:color w:val="222222"/>
      <w:kern w:val="2"/>
      <w:sz w:val="21"/>
      <w:szCs w:val="18"/>
      <w:lang w:val="zh-CN" w:eastAsia="zh-CN"/>
    </w:rPr>
  </w:style>
  <w:style w:type="table" w:customStyle="1" w:styleId="27">
    <w:name w:val="模板-表格"/>
    <w:basedOn w:val="11"/>
    <w:qFormat/>
    <w:uiPriority w:val="0"/>
    <w:pPr>
      <w:spacing w:line="312" w:lineRule="exact"/>
      <w:textAlignment w:val="center"/>
    </w:pPr>
    <w:rPr>
      <w:rFonts w:eastAsia="仿宋"/>
      <w:color w:val="000000" w:themeColor="text1"/>
      <w:sz w:val="21"/>
      <w14:textFill>
        <w14:solidFill>
          <w14:schemeClr w14:val="tx1"/>
        </w14:solidFill>
      </w14:textFill>
    </w:rPr>
    <w:tblPr>
      <w:jc w:val="center"/>
      <w:tblBorders>
        <w:top w:val="single" w:color="auto" w:sz="4" w:space="0"/>
        <w:bottom w:val="single" w:color="auto" w:sz="4" w:space="0"/>
        <w:insideH w:val="dashed" w:color="auto" w:sz="4" w:space="0"/>
      </w:tblBorders>
    </w:tblPr>
    <w:trPr>
      <w:jc w:val="center"/>
    </w:trPr>
    <w:tcPr>
      <w:vAlign w:val="center"/>
    </w:tcPr>
  </w:style>
  <w:style w:type="character" w:customStyle="1" w:styleId="28">
    <w:name w:val="页眉 字符"/>
    <w:link w:val="6"/>
    <w:qFormat/>
    <w:uiPriority w:val="99"/>
    <w:rPr>
      <w:kern w:val="2"/>
      <w:sz w:val="18"/>
      <w:szCs w:val="18"/>
    </w:rPr>
  </w:style>
  <w:style w:type="character" w:customStyle="1" w:styleId="29">
    <w:name w:val="页脚 字符"/>
    <w:link w:val="5"/>
    <w:qFormat/>
    <w:uiPriority w:val="99"/>
    <w:rPr>
      <w:kern w:val="2"/>
      <w:sz w:val="18"/>
      <w:szCs w:val="18"/>
    </w:rPr>
  </w:style>
  <w:style w:type="character" w:customStyle="1" w:styleId="30">
    <w:name w:val="文档结构图 字符"/>
    <w:link w:val="4"/>
    <w:qFormat/>
    <w:uiPriority w:val="0"/>
    <w:rPr>
      <w:rFonts w:ascii="宋体"/>
      <w:kern w:val="2"/>
      <w:sz w:val="18"/>
      <w:szCs w:val="18"/>
    </w:rPr>
  </w:style>
  <w:style w:type="character" w:customStyle="1" w:styleId="31">
    <w:name w:val="标题 字符"/>
    <w:link w:val="10"/>
    <w:qFormat/>
    <w:uiPriority w:val="0"/>
    <w:rPr>
      <w:rFonts w:ascii="Cambria" w:hAnsi="Cambria" w:cs="Times New Roman"/>
      <w:b/>
      <w:bCs/>
      <w:kern w:val="2"/>
      <w:sz w:val="32"/>
      <w:szCs w:val="32"/>
    </w:rPr>
  </w:style>
  <w:style w:type="paragraph" w:customStyle="1" w:styleId="32">
    <w:name w:val="模板-标题"/>
    <w:basedOn w:val="10"/>
    <w:qFormat/>
    <w:uiPriority w:val="0"/>
    <w:pPr>
      <w:spacing w:before="0" w:after="100" w:afterLines="100" w:line="290" w:lineRule="exact"/>
      <w:outlineLvl w:val="9"/>
    </w:pPr>
    <w:rPr>
      <w:rFonts w:eastAsia="仿宋"/>
      <w:color w:val="000000" w:themeColor="text1"/>
      <w:sz w:val="24"/>
      <w14:textFill>
        <w14:solidFill>
          <w14:schemeClr w14:val="tx1"/>
        </w14:solidFill>
      </w14:textFill>
    </w:rPr>
  </w:style>
  <w:style w:type="paragraph" w:customStyle="1" w:styleId="33">
    <w:name w:val="模板-标题 4"/>
    <w:basedOn w:val="1"/>
    <w:qFormat/>
    <w:uiPriority w:val="0"/>
    <w:pPr>
      <w:spacing w:line="290" w:lineRule="exact"/>
    </w:pPr>
    <w:rPr>
      <w:rFonts w:eastAsia="仿宋"/>
      <w:b/>
      <w:color w:val="000000" w:themeColor="text1"/>
      <w14:textFill>
        <w14:solidFill>
          <w14:schemeClr w14:val="tx1"/>
        </w14:solidFill>
      </w14:textFill>
    </w:rPr>
  </w:style>
  <w:style w:type="paragraph" w:customStyle="1" w:styleId="34">
    <w:name w:val="模板-标题 5"/>
    <w:basedOn w:val="33"/>
    <w:qFormat/>
    <w:uiPriority w:val="0"/>
  </w:style>
  <w:style w:type="paragraph" w:customStyle="1" w:styleId="35">
    <w:name w:val="模板-标题 6"/>
    <w:basedOn w:val="34"/>
    <w:qFormat/>
    <w:uiPriority w:val="0"/>
  </w:style>
  <w:style w:type="table" w:customStyle="1" w:styleId="36">
    <w:name w:val="模板-表格_noheader"/>
    <w:basedOn w:val="11"/>
    <w:qFormat/>
    <w:uiPriority w:val="0"/>
    <w:pPr>
      <w:spacing w:line="312" w:lineRule="exact"/>
      <w:jc w:val="center"/>
      <w:textAlignment w:val="center"/>
    </w:pPr>
    <w:rPr>
      <w:rFonts w:eastAsia="仿宋"/>
      <w:color w:val="000000" w:themeColor="text1"/>
      <w:sz w:val="21"/>
      <w14:textFill>
        <w14:solidFill>
          <w14:schemeClr w14:val="tx1"/>
        </w14:solidFill>
      </w14:textFill>
    </w:rPr>
    <w:tblPr>
      <w:jc w:val="center"/>
      <w:tblBorders>
        <w:top w:val="single" w:color="auto" w:sz="4" w:space="0"/>
        <w:bottom w:val="single" w:color="auto" w:sz="4" w:space="0"/>
        <w:insideH w:val="dashed" w:color="auto" w:sz="4" w:space="0"/>
      </w:tblBorders>
    </w:tblPr>
    <w:trPr>
      <w:jc w:val="center"/>
    </w:trPr>
    <w:tcPr>
      <w:vAlign w:val="center"/>
    </w:tcPr>
  </w:style>
  <w:style w:type="paragraph" w:customStyle="1" w:styleId="37">
    <w:name w:val="模板-正文无缩进"/>
    <w:basedOn w:val="15"/>
    <w:link w:val="38"/>
    <w:qFormat/>
    <w:uiPriority w:val="0"/>
    <w:pPr>
      <w:spacing w:line="312" w:lineRule="exact"/>
    </w:pPr>
  </w:style>
  <w:style w:type="character" w:customStyle="1" w:styleId="38">
    <w:name w:val="模板-正文无缩进 字符"/>
    <w:basedOn w:val="18"/>
    <w:link w:val="37"/>
    <w:qFormat/>
    <w:uiPriority w:val="0"/>
    <w:rPr>
      <w:rFonts w:ascii="宋体" w:hAnsi="宋体" w:eastAsia="仿宋"/>
      <w:color w:val="222222"/>
      <w:sz w:val="21"/>
      <w:szCs w:val="21"/>
      <w:shd w:val="clear" w:color="auto" w:fill="FFFFFF"/>
      <w:lang w:val="zh-CN" w:eastAsia="zh-CN"/>
    </w:rPr>
  </w:style>
  <w:style w:type="paragraph" w:customStyle="1" w:styleId="39">
    <w:name w:val="模板-正文下划线"/>
    <w:basedOn w:val="15"/>
    <w:link w:val="40"/>
    <w:qFormat/>
    <w:uiPriority w:val="0"/>
    <w:pPr>
      <w:spacing w:line="312" w:lineRule="exact"/>
    </w:pPr>
    <w:rPr>
      <w:u w:val="single"/>
    </w:rPr>
  </w:style>
  <w:style w:type="character" w:customStyle="1" w:styleId="40">
    <w:name w:val="模板-正文下划线 字符"/>
    <w:basedOn w:val="18"/>
    <w:link w:val="39"/>
    <w:qFormat/>
    <w:uiPriority w:val="0"/>
    <w:rPr>
      <w:rFonts w:ascii="宋体" w:hAnsi="宋体" w:eastAsia="仿宋"/>
      <w:color w:val="222222"/>
      <w:sz w:val="21"/>
      <w:szCs w:val="21"/>
      <w:u w:val="single"/>
      <w:shd w:val="clear" w:color="auto" w:fill="FFFFFF"/>
      <w:lang w:val="zh-CN" w:eastAsia="zh-CN"/>
    </w:rPr>
  </w:style>
  <w:style w:type="paragraph" w:customStyle="1" w:styleId="41">
    <w:name w:val="模板-正文加粗"/>
    <w:basedOn w:val="15"/>
    <w:next w:val="15"/>
    <w:link w:val="42"/>
    <w:qFormat/>
    <w:uiPriority w:val="0"/>
    <w:pPr>
      <w:spacing w:line="360" w:lineRule="auto"/>
      <w:jc w:val="left"/>
    </w:pPr>
    <w:rPr>
      <w:b/>
    </w:rPr>
  </w:style>
  <w:style w:type="character" w:customStyle="1" w:styleId="42">
    <w:name w:val="模板-正文加粗 Char"/>
    <w:basedOn w:val="13"/>
    <w:link w:val="41"/>
    <w:qFormat/>
    <w:uiPriority w:val="0"/>
    <w:rPr>
      <w:rFonts w:ascii="宋体" w:hAnsi="宋体" w:eastAsia="仿宋"/>
      <w:b/>
      <w:color w:val="222222"/>
      <w:sz w:val="21"/>
      <w:szCs w:val="21"/>
      <w:shd w:val="clear" w:color="auto" w:fill="FFFFFF"/>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C3D26-C5B0-4B10-96AE-C6D27E9EB935}">
  <ds:schemaRefs/>
</ds:datastoreItem>
</file>

<file path=docProps/app.xml><?xml version="1.0" encoding="utf-8"?>
<Properties xmlns="http://schemas.openxmlformats.org/officeDocument/2006/extended-properties" xmlns:vt="http://schemas.openxmlformats.org/officeDocument/2006/docPropsVTypes">
  <Template>Normal.dotm</Template>
  <Pages>6</Pages>
  <Words>960</Words>
  <Characters>5476</Characters>
  <Lines>45</Lines>
  <Paragraphs>12</Paragraphs>
  <TotalTime>184</TotalTime>
  <ScaleCrop>false</ScaleCrop>
  <LinksUpToDate>false</LinksUpToDate>
  <CharactersWithSpaces>6424</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2026-06-24T07:39:00Z</dcterms:created>
  <dcterms:modified xsi:type="dcterms:W3CDTF">2026-07-02T10:56:18Z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21E27E07E4EA48C99245D5CB832F5BF7</vt:lpwstr>
  </property>
</Properties>
</file>