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广发国证粮食产业交易型开放式指数证券投资基金发起式联接基金（广发国证粮食产业ETF发起式联接A）基金产品资料概要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2026年6月5日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2026年6月11日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广发国证粮食产业ETF发起式联接</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027761</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广发国证粮食产业ETF发起式联接A</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027761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中国银行股份有限公司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股票型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李琛</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2000-07-01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基金合同》生效满三年后继续存续的，连续20个工作日出现基金份额持有人数量不满200人或者基金资产净值低于5,000万元情形的，基金管理人应当在定期报告中予以披露；连续60个工作日出现上述情形的，基金管理人应当在10个工作日内向中国证监会报告并提出解决方案，解决方案包括持续运作、转换运作方式、与其他基金合并或者终止基金合同等，并在6个月内召集基金份额持有人大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法律法规或中国证监会另有规定时，从其规定。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本基金基金合同生效满三年之日，若基金资产净值低于2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tc>
      </w:tr>
    </w:tbl>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本基金通过主要投资于目标ETF，紧密跟踪业绩比较基准，追求跟踪偏离度和跟踪误差最小化。</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以目标ETF基金份额、标的指数成份股及备选成份股（含存托凭证）为主要投资对象。此外，为更好地实现投资目标，本基金可少量投资于非成份股（包括科创板、创业板及其他国内依法发行上市的股票、存托凭证）、债券、债券回购、资产支持证券、银行存款、同业存单、货币市场工具、金融衍生工具（包括股指期货、国债期货、股票期权等）以及法律法规或中国证监会允许本基金投资的其他金融工具（但须符合中国证监会的相关规定）。本基金的目标ETF为广发国证粮食产业交易型开放式指数证券投资基金。本基金可根据相关法律法规的规定参与转融通证券出借及融资业务。如法律法规或监管机构以后允许基金投资于其他品种，基金管理人在履行适当程序后，可以将其纳入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基金的投资组合比例为：投资于目标ETF的比例不低于基金资产净值的90%且不低于非现金基金资产的80%；每个交易日日终在扣除股指期货合约、国债期货合约、股票期权合约需缴纳的交易保证金后，现金及到期日在一年以内的政府债券的比例合计不低于基金资产净值的5%，现金不包括结算备付金、存出保证金、应收申购款等。股指期货、国债期货、股票期权及其他金融工具的投资比例依照法律法规或监管机构的规定执行。如法律法规或中国证监会变更投资品种的投资比例限制，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为ETF联接基金，主要通过投资于目标ETF实现对业绩比较基准的紧密跟踪。本基金力争将本基金净值增长率与业绩比较基准之间的日均跟踪偏离度的绝对值控制在0.35%以内，年化跟踪误差控制在4%以内。具体包括：1、资产配置策略；2、目标ETF投资策略；3、股票投资策略；4、存托凭证投资策略；5、债券投资策略；6、金融衍生品投资策略；7、资产支持证券投资策略；8、参与转融通证券出借业务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国证粮食产业指数收益率×95%+活期存款基准利率×5%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本基金为ETF联接基金，风险与收益高于混合型基金、债券型基金与货币市场基金。本基金为指数型基金，具有与标的指数、以及标的指数所代表的股票市场相似的风险收益特征。</w:t>
            </w:r>
          </w:p>
        </w:tc>
      </w:tr>
    </w:tbl>
    <w:p w:rsidR="00AD3A6F" w:rsidRPr="00E87B8A" w:rsidRDefault="00E660F6">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注：详见《广发国证粮食产业交易型开放式指数证券投资基金发起式联接基金招募说明书》及其更新文件中“基金的投资”。</w:t>
      </w:r>
    </w:p>
    <w:p w:rsidR="00AD3A6F" w:rsidRPr="00E87B8A" w:rsidRDefault="00E660F6">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660F6"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E660F6" gbicc:emptyAbove="2">
      <w:pPr>
        <w:autoSpaceDE w:val="0"/>
        <w:autoSpaceDN w:val="0"/>
        <w:adjustRightInd w:val="0"/>
        <w:spacing w:line="280" w:lineRule="exact"/>
        <w:jc w:val="left"/>
        <w:rPr>
          <w:rFonts w:ascii="仿宋" w:eastAsia="仿宋" w:hAnsi="仿宋"/>
          <w:color w:val="000000" w:themeColor="text1"/>
        </w:rPr>
      </w:pPr>
      <w:r w:rsidR="00A73782"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3"/>
        <w:gridCol w:w="3261"/>
        <w:gridCol w:w="1987"/>
        <w:gridCol w:w="1417"/>
      </w:tblGrid>
      <w:tr w:rsidR="00AD3A6F" w:rsidRPr="00E87B8A" w:rsidTr="00165844">
        <w:trPr>
          <w:trHeight w:val="454"/>
        </w:trPr>
        <w:tc>
          <w:tcPr>
            <w:tcW w:w="1313"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9"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100万元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0.30%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0.20%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100万元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0.30%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0.20%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个人投资者</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个人投资者</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非个人投资者</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非个人投资者</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非个人投资者</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非个人投资者</w:t>
            </w:r>
          </w:p>
        </w:tc>
      </w:tr>
    </w:tbl>
    <w:p w:rsidR="00AD3A6F" w:rsidRPr="00E87B8A" w:rsidRDefault="00E660F6">
      <w:pPr>
        <w:autoSpaceDE w:val="0"/>
        <w:autoSpaceDN w:val="0"/>
        <w:adjustRightInd w:val="0"/>
        <w:spacing w:line="280" w:lineRule="exact"/>
        <w:jc w:val="left"/>
        <w:rPr>
          <w:rFonts w:ascii="仿宋" w:eastAsia="仿宋" w:hAnsi="仿宋" w:cs="方正仿宋简体"/>
          <w:iCs/>
          <w:color w:val="000000" w:themeColor="text1"/>
        </w:rPr>
      </w:pPr>
      <w:r w:rsidR="00A73782" w:rsidRPr="00E87B8A">
        <w:rPr>
          <w:rFonts w:ascii="仿宋" w:eastAsia="仿宋" w:hAnsi="仿宋" w:cs="方正仿宋简体" w:hint="eastAsia"/>
          <w:iCs/>
          <w:color w:val="000000" w:themeColor="text1"/>
        </w:rPr>
        <w:t>注：</w:t>
      </w:r>
      <w:r w:rsidR="00A73782" w:rsidRPr="00E87B8A">
        <w:rPr>
          <w:rFonts w:ascii="仿宋" w:eastAsia="仿宋" w:hAnsi="仿宋" w:cs="方正仿宋简体" w:hint="eastAsia"/>
          <w:iCs/>
          <w:color w:val="000000" w:themeColor="text1"/>
        </w:rPr>
        <w:t>1、本基金的认/申购费用在投资人通过直销机构以外的其他销售机构认/申购基金份额时收取，通过直销机构认/申购的客户不收取认/申购费用。</w:t>
        <w:br/>
        <w:t>2、本基金的认/申购费用由投资者承担，可用于市场推广、销售等各项费用，不列入基金资产；基金销售机构可以对除赎回费外的销售费用实行一定的优惠，具体以实际收取为准。</w:t>
      </w:r>
    </w:p>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660F6">
            <w:pPr>
              <w:spacing w:line="280" w:lineRule="exact"/>
              <w:jc w:val="center"/>
              <w:rPr>
                <w:rFonts w:ascii="仿宋" w:eastAsia="仿宋" w:hAnsi="仿宋" w:cs="方正仿宋简体"/>
                <w:bCs/>
                <w:iCs/>
              </w:rPr>
            </w:pPr>
            <w:r w:rsidR="000D2645" w:rsidRPr="00E87B8A">
              <w:rPr>
                <w:rFonts w:ascii="仿宋" w:eastAsia="仿宋" w:hAnsi="仿宋" w:hint="eastAsia"/>
                <w:color w:val="333399"/>
              </w:rPr>
              <w:t/>
            </w:r>
            <w:r w:rsidR="000D2645" w:rsidRPr="00E87B8A">
              <w:rPr>
                <w:rFonts w:ascii="仿宋" w:eastAsia="仿宋" w:hAnsi="仿宋" w:cs="方正仿宋简体" w:hint="eastAsia"/>
                <w:bCs/>
                <w:iCs/>
              </w:rPr>
              <w:t xml:space="preserve"> </w:t>
            </w:r>
            <w:r w:rsidR="000D2645" w:rsidRPr="00E87B8A">
              <w:rPr>
                <w:rFonts w:ascii="仿宋" w:eastAsia="仿宋" w:hAnsi="仿宋" w:cs="方正仿宋简体" w:hint="eastAsia"/>
                <w:bCs/>
                <w:iCs/>
              </w:rPr>
              <w:t>0.50%</w:t>
            </w:r>
          </w:p>
        </w:tc>
        <w:tc>
          <w:tcPr>
            <w:tcW w:w="1457" w:type="pct"/>
            <w:tcBorders>
              <w:top w:val="dashSmallGap" w:sz="4" w:space="0" w:color="808080" w:themeColor="background1" w:themeShade="80"/>
            </w:tcBorders>
            <w:vAlign w:val="center"/>
          </w:tcPr>
          <w:p w:rsidR="000D2645" w:rsidRPr="00E87B8A" w:rsidRDefault="00E660F6"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0.10%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660F6"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660F6">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1、本基金交易证券、基金等产生的费用和税负，按实际发生额从基金资产扣除。</w:t>
        <w:br/>
        <w:t>2、本基金基金财产中投资于目标ETF的部分不收取管理费和托管费。</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（1）指数投资相关的风险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1）标的指数回报与目标股票市场平均回报偏离的风险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2）标的指数波动的风险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3）基金投资组合回报与标的指数回报偏离的风险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4）成份股权重较大的风险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5）成份股停牌的风险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6）指数成份股发生负面事件面临退市时的应对风险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7）标的指数变更的风险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8）指数编制机构停止服务的风险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9）标的指数值计算出错的风险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（2）ETF联接基金相关投资风险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1）投资于目标ETF的风险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2）跟踪误差控制未达约定目标的风险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3）本基金为目标ETF的联接基金，但不能保证本基金的表现与目标ETF的表现完全一致</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4）目标ETF面临的风险可能直接或间接成为本基金的风险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5）由目标ETF的联接基金变更为直接投资目标ETF标的指数成份股的指数基金的风险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（5）投资资产支持证券的风险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（6）投资存托凭证的风险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（7）参与转融通证券出借业务风险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（8）投资股票期权的风险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（9）参与融资业务风险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（10）本基金基金合同生效满三年之日，若基金资产净值低于2亿元人民币，基金合同自动终止，无需再召开基金份额持有人大会审议决定。投资者将面临触及上述事件导致基金合同终止的风险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（1）市场风险；（2）管理风险；（3）职业道德风险；（4）流动性风险；（5）合规性风险；（6）本基金法律文件风险收益特征表述与销售机构基金风险评价可能不一致的风险等。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（1）《广发国证粮食产业交易型开放式指数证券投资基金发起式联接基金基金合同》</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（2）《广发国证粮食产业交易型开放式指数证券投资基金发起式联接基金托管协议》</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（3）《广发国证粮食产业交易型开放式指数证券投资基金发起式联接基金招募说明书》</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0F6" w:rsidRDefault="00E660F6" w:rsidP="0092395F">
      <w:r>
        <w:separator/>
      </w:r>
    </w:p>
  </w:endnote>
  <w:endnote w:type="continuationSeparator" w:id="0">
    <w:p w:rsidR="00E660F6" w:rsidRDefault="00E660F6"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139E">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139E">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0F6" w:rsidRDefault="00E660F6" w:rsidP="0092395F">
      <w:r>
        <w:separator/>
      </w:r>
    </w:p>
  </w:footnote>
  <w:footnote w:type="continuationSeparator" w:id="0">
    <w:p w:rsidR="00E660F6" w:rsidRDefault="00E660F6"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4EBF"/>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29B0"/>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E"/>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60F6"/>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5FC2"/>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23CB"/>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1BF0"/>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83FE7"/>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0179B"/>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 w:val="00FE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08049F59-2469-4CF2-A19D-994CF890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