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16838" w14:textId="77777777" w:rsidR="00D21308" w:rsidRDefault="00F41C2D">
      <w:pPr>
        <w:tabs>
          <w:tab w:val="left" w:pos="1470"/>
        </w:tabs>
        <w:spacing w:before="960" w:line="320" w:lineRule="exact"/>
        <w:jc w:val="center"/>
        <w:outlineLvl w:val="2"/>
        <w:rPr>
          <w:rFonts w:ascii="宋体" w:hAnsi="宋体"/>
          <w:b/>
          <w:szCs w:val="21"/>
        </w:rPr>
      </w:pPr>
      <w:r>
        <w:rPr>
          <w:rFonts w:ascii="宋体" w:hAnsi="宋体"/>
          <w:b/>
          <w:szCs w:val="21"/>
        </w:rPr>
        <w:t xml:space="preserve"> </w:t>
      </w:r>
    </w:p>
    <w:p w14:paraId="09EA581A" w14:textId="77777777" w:rsidR="00D21308" w:rsidRDefault="00D21308">
      <w:pPr>
        <w:widowControl/>
        <w:spacing w:line="620" w:lineRule="exact"/>
        <w:jc w:val="center"/>
        <w:outlineLvl w:val="2"/>
        <w:rPr>
          <w:rFonts w:asciiTheme="majorEastAsia" w:eastAsiaTheme="majorEastAsia" w:hAnsiTheme="majorEastAsia"/>
          <w:b/>
          <w:sz w:val="44"/>
          <w:lang w:bidi="ar"/>
        </w:rPr>
      </w:pPr>
    </w:p>
    <w:p w14:paraId="309E7468" w14:textId="77777777" w:rsidR="00D21308" w:rsidRDefault="00D21308">
      <w:pPr>
        <w:widowControl/>
        <w:spacing w:line="620" w:lineRule="exact"/>
        <w:jc w:val="center"/>
        <w:outlineLvl w:val="2"/>
        <w:rPr>
          <w:rFonts w:asciiTheme="majorEastAsia" w:eastAsiaTheme="majorEastAsia" w:hAnsiTheme="majorEastAsia"/>
          <w:b/>
          <w:sz w:val="44"/>
          <w:lang w:bidi="ar"/>
        </w:rPr>
      </w:pPr>
    </w:p>
    <w:p w14:paraId="1D647610" w14:textId="77777777" w:rsidR="00D21308" w:rsidRDefault="00D21308">
      <w:pPr>
        <w:widowControl/>
        <w:spacing w:line="620" w:lineRule="exact"/>
        <w:jc w:val="center"/>
        <w:outlineLvl w:val="2"/>
        <w:rPr>
          <w:rFonts w:asciiTheme="majorEastAsia" w:eastAsiaTheme="majorEastAsia" w:hAnsiTheme="majorEastAsia"/>
          <w:b/>
          <w:sz w:val="44"/>
          <w:lang w:bidi="ar"/>
        </w:rPr>
      </w:pPr>
    </w:p>
    <w:p w14:paraId="0E07F3CF" w14:textId="77777777" w:rsidR="00D21308" w:rsidRDefault="00F41C2D">
      <w:pPr>
        <w:widowControl/>
        <w:spacing w:line="620" w:lineRule="exact"/>
        <w:jc w:val="center"/>
        <w:outlineLvl w:val="2"/>
        <w:rPr>
          <w:rFonts w:asciiTheme="majorEastAsia" w:eastAsiaTheme="majorEastAsia" w:hAnsiTheme="majorEastAsia"/>
          <w:b/>
          <w:sz w:val="44"/>
        </w:rPr>
      </w:pPr>
      <w:r>
        <w:rPr>
          <w:rFonts w:asciiTheme="majorEastAsia" w:eastAsiaTheme="majorEastAsia" w:hAnsiTheme="majorEastAsia" w:hint="eastAsia"/>
          <w:b/>
          <w:sz w:val="44"/>
        </w:rPr>
        <w:t>广发国证粮食产业交易型开放式指数</w:t>
      </w:r>
      <w:r>
        <w:rPr>
          <w:rFonts w:asciiTheme="majorEastAsia" w:eastAsiaTheme="majorEastAsia" w:hAnsiTheme="majorEastAsia" w:hint="eastAsia"/>
          <w:b/>
          <w:sz w:val="44"/>
          <w:lang w:bidi="ar"/>
        </w:rPr>
        <w:t>证券投资基金</w:t>
      </w:r>
      <w:r>
        <w:rPr>
          <w:rFonts w:asciiTheme="majorEastAsia" w:eastAsiaTheme="majorEastAsia" w:hAnsiTheme="majorEastAsia" w:hint="eastAsia"/>
          <w:b/>
          <w:sz w:val="44"/>
        </w:rPr>
        <w:t>发起式联接基金</w:t>
      </w:r>
    </w:p>
    <w:p w14:paraId="43D04B75" w14:textId="0FB9FE84" w:rsidR="00D21308" w:rsidRDefault="00F41C2D">
      <w:pPr>
        <w:spacing w:line="620" w:lineRule="exact"/>
        <w:jc w:val="center"/>
        <w:outlineLvl w:val="2"/>
        <w:rPr>
          <w:rFonts w:asciiTheme="majorEastAsia" w:eastAsiaTheme="majorEastAsia" w:hAnsiTheme="majorEastAsia"/>
          <w:b/>
          <w:sz w:val="44"/>
        </w:rPr>
      </w:pPr>
      <w:r>
        <w:rPr>
          <w:rFonts w:asciiTheme="majorEastAsia" w:eastAsiaTheme="majorEastAsia" w:hAnsiTheme="majorEastAsia" w:hint="eastAsia"/>
          <w:b/>
          <w:sz w:val="44"/>
          <w:lang w:bidi="ar"/>
        </w:rPr>
        <w:t>托管协议</w:t>
      </w:r>
    </w:p>
    <w:p w14:paraId="2FEA2EA4" w14:textId="77777777" w:rsidR="00D21308" w:rsidRDefault="00D21308">
      <w:pPr>
        <w:spacing w:before="960" w:line="620" w:lineRule="exact"/>
        <w:jc w:val="center"/>
        <w:outlineLvl w:val="2"/>
        <w:rPr>
          <w:rFonts w:ascii="宋体" w:hAnsi="宋体"/>
          <w:b/>
          <w:sz w:val="32"/>
          <w:szCs w:val="32"/>
        </w:rPr>
      </w:pPr>
    </w:p>
    <w:p w14:paraId="2BB9E75E" w14:textId="77777777" w:rsidR="00D21308" w:rsidRDefault="00D21308">
      <w:pPr>
        <w:spacing w:before="960" w:line="620" w:lineRule="exact"/>
        <w:jc w:val="center"/>
        <w:outlineLvl w:val="2"/>
        <w:rPr>
          <w:rFonts w:ascii="宋体" w:hAnsi="宋体"/>
          <w:b/>
          <w:sz w:val="44"/>
          <w:szCs w:val="44"/>
        </w:rPr>
      </w:pPr>
    </w:p>
    <w:p w14:paraId="51A91A84" w14:textId="77777777" w:rsidR="00D21308" w:rsidRDefault="00D21308">
      <w:pPr>
        <w:spacing w:line="320" w:lineRule="exact"/>
        <w:ind w:left="360" w:right="26"/>
        <w:jc w:val="center"/>
        <w:rPr>
          <w:rFonts w:ascii="宋体" w:hAnsi="宋体"/>
          <w:b/>
          <w:sz w:val="30"/>
          <w:szCs w:val="30"/>
        </w:rPr>
      </w:pPr>
    </w:p>
    <w:p w14:paraId="6B2817AF" w14:textId="77777777" w:rsidR="00D21308" w:rsidRDefault="00D21308">
      <w:pPr>
        <w:spacing w:line="320" w:lineRule="exact"/>
        <w:ind w:left="360" w:right="26"/>
        <w:jc w:val="center"/>
        <w:rPr>
          <w:rFonts w:ascii="宋体" w:hAnsi="宋体"/>
          <w:b/>
          <w:sz w:val="44"/>
        </w:rPr>
      </w:pPr>
    </w:p>
    <w:p w14:paraId="53F6129A" w14:textId="77777777" w:rsidR="00D21308" w:rsidRDefault="00D21308">
      <w:pPr>
        <w:spacing w:line="320" w:lineRule="exact"/>
        <w:ind w:left="360" w:right="26"/>
        <w:jc w:val="center"/>
        <w:rPr>
          <w:rFonts w:ascii="宋体" w:hAnsi="宋体"/>
          <w:b/>
          <w:sz w:val="44"/>
        </w:rPr>
      </w:pPr>
    </w:p>
    <w:p w14:paraId="577C08D4" w14:textId="77777777" w:rsidR="00D21308" w:rsidRDefault="00D21308">
      <w:pPr>
        <w:spacing w:line="320" w:lineRule="exact"/>
        <w:ind w:left="360" w:right="26"/>
        <w:jc w:val="center"/>
        <w:rPr>
          <w:rFonts w:ascii="宋体" w:hAnsi="宋体"/>
          <w:b/>
          <w:sz w:val="44"/>
        </w:rPr>
      </w:pPr>
    </w:p>
    <w:p w14:paraId="7C9E262D" w14:textId="77777777" w:rsidR="00D21308" w:rsidRDefault="00D21308">
      <w:pPr>
        <w:spacing w:line="320" w:lineRule="exact"/>
        <w:ind w:left="360" w:right="26"/>
        <w:jc w:val="center"/>
        <w:rPr>
          <w:rFonts w:ascii="宋体" w:hAnsi="宋体"/>
          <w:b/>
          <w:sz w:val="44"/>
        </w:rPr>
      </w:pPr>
    </w:p>
    <w:p w14:paraId="47203EFA" w14:textId="77777777" w:rsidR="00D21308" w:rsidRDefault="00D21308">
      <w:pPr>
        <w:spacing w:line="320" w:lineRule="exact"/>
        <w:ind w:left="360" w:right="26"/>
        <w:jc w:val="center"/>
        <w:rPr>
          <w:rFonts w:ascii="宋体" w:hAnsi="宋体"/>
          <w:b/>
          <w:sz w:val="30"/>
        </w:rPr>
      </w:pPr>
    </w:p>
    <w:p w14:paraId="7D250268" w14:textId="77777777" w:rsidR="00D21308" w:rsidRDefault="00F41C2D">
      <w:pPr>
        <w:spacing w:line="320" w:lineRule="exact"/>
        <w:ind w:left="479" w:right="26" w:firstLine="1200"/>
        <w:rPr>
          <w:rFonts w:ascii="宋体" w:hAnsi="宋体"/>
          <w:sz w:val="28"/>
          <w:szCs w:val="28"/>
        </w:rPr>
      </w:pPr>
      <w:r>
        <w:rPr>
          <w:rFonts w:ascii="宋体" w:hAnsi="宋体" w:hint="eastAsia"/>
          <w:sz w:val="28"/>
          <w:szCs w:val="28"/>
        </w:rPr>
        <w:t>基金管理人：广发基金管理有限公司</w:t>
      </w:r>
    </w:p>
    <w:p w14:paraId="433B7244" w14:textId="77777777" w:rsidR="00D21308" w:rsidRDefault="00D21308">
      <w:pPr>
        <w:spacing w:line="320" w:lineRule="exact"/>
        <w:ind w:left="359" w:right="26" w:firstLine="1200"/>
        <w:rPr>
          <w:rFonts w:ascii="宋体" w:hAnsi="宋体"/>
          <w:sz w:val="28"/>
          <w:szCs w:val="28"/>
        </w:rPr>
      </w:pPr>
    </w:p>
    <w:p w14:paraId="4BB76783" w14:textId="77777777" w:rsidR="00D21308" w:rsidRDefault="00F41C2D">
      <w:pPr>
        <w:spacing w:line="320" w:lineRule="exact"/>
        <w:ind w:left="479" w:right="26" w:firstLine="1200"/>
        <w:rPr>
          <w:rFonts w:ascii="宋体" w:hAnsi="宋体"/>
          <w:sz w:val="28"/>
          <w:szCs w:val="28"/>
        </w:rPr>
      </w:pPr>
      <w:r>
        <w:rPr>
          <w:rFonts w:ascii="宋体" w:hAnsi="宋体" w:cs="宋体" w:hint="eastAsia"/>
          <w:sz w:val="28"/>
          <w:szCs w:val="28"/>
          <w:lang w:bidi="ar"/>
        </w:rPr>
        <w:t>基金托管人：中国银行股份有限公司</w:t>
      </w:r>
    </w:p>
    <w:p w14:paraId="51204B78" w14:textId="77777777" w:rsidR="00D21308" w:rsidRDefault="00D21308">
      <w:pPr>
        <w:spacing w:line="320" w:lineRule="exact"/>
        <w:ind w:right="26"/>
        <w:rPr>
          <w:rFonts w:ascii="宋体" w:hAnsi="宋体"/>
          <w:sz w:val="28"/>
          <w:szCs w:val="28"/>
        </w:rPr>
      </w:pPr>
    </w:p>
    <w:p w14:paraId="0AD1C8D0" w14:textId="77777777" w:rsidR="00D21308" w:rsidRDefault="00D21308">
      <w:pPr>
        <w:spacing w:line="320" w:lineRule="exact"/>
        <w:ind w:right="26"/>
        <w:rPr>
          <w:rFonts w:ascii="宋体" w:hAnsi="宋体"/>
          <w:sz w:val="28"/>
          <w:szCs w:val="28"/>
        </w:rPr>
      </w:pPr>
    </w:p>
    <w:p w14:paraId="5F50360F" w14:textId="77777777" w:rsidR="00D21308" w:rsidRDefault="00D21308">
      <w:pPr>
        <w:spacing w:line="320" w:lineRule="exact"/>
        <w:ind w:right="26"/>
        <w:jc w:val="center"/>
        <w:rPr>
          <w:rFonts w:ascii="宋体" w:hAnsi="宋体"/>
          <w:sz w:val="28"/>
          <w:szCs w:val="28"/>
        </w:rPr>
      </w:pPr>
    </w:p>
    <w:p w14:paraId="76936E18" w14:textId="77777777" w:rsidR="00D21308" w:rsidRDefault="00D21308">
      <w:pPr>
        <w:spacing w:line="320" w:lineRule="exact"/>
        <w:ind w:right="26"/>
        <w:jc w:val="center"/>
        <w:rPr>
          <w:rFonts w:ascii="宋体" w:hAnsi="宋体"/>
          <w:sz w:val="28"/>
          <w:szCs w:val="28"/>
        </w:rPr>
      </w:pPr>
    </w:p>
    <w:p w14:paraId="37FBC91B" w14:textId="77777777" w:rsidR="00D21308" w:rsidRDefault="00D21308">
      <w:pPr>
        <w:spacing w:line="320" w:lineRule="exact"/>
        <w:ind w:right="26"/>
        <w:jc w:val="center"/>
        <w:rPr>
          <w:rFonts w:ascii="宋体" w:hAnsi="宋体"/>
          <w:sz w:val="28"/>
          <w:szCs w:val="28"/>
        </w:rPr>
      </w:pPr>
    </w:p>
    <w:p w14:paraId="33320302" w14:textId="77777777" w:rsidR="00D21308" w:rsidRDefault="00D21308">
      <w:pPr>
        <w:spacing w:line="320" w:lineRule="exact"/>
        <w:ind w:right="26"/>
        <w:jc w:val="center"/>
        <w:rPr>
          <w:rFonts w:ascii="宋体" w:hAnsi="宋体"/>
          <w:sz w:val="28"/>
          <w:szCs w:val="28"/>
        </w:rPr>
      </w:pPr>
    </w:p>
    <w:p w14:paraId="083FA07E" w14:textId="77777777" w:rsidR="00D21308" w:rsidRDefault="00D21308">
      <w:pPr>
        <w:spacing w:line="320" w:lineRule="exact"/>
        <w:ind w:right="26"/>
        <w:jc w:val="center"/>
        <w:rPr>
          <w:rFonts w:ascii="宋体" w:hAnsi="宋体"/>
          <w:sz w:val="28"/>
          <w:szCs w:val="28"/>
        </w:rPr>
      </w:pPr>
    </w:p>
    <w:p w14:paraId="2221B01C" w14:textId="352FC50A" w:rsidR="00D21308" w:rsidRDefault="00F41C2D">
      <w:pPr>
        <w:spacing w:line="320" w:lineRule="exact"/>
        <w:ind w:right="26"/>
        <w:jc w:val="center"/>
        <w:rPr>
          <w:rFonts w:ascii="宋体" w:hAnsi="宋体"/>
          <w:sz w:val="28"/>
          <w:szCs w:val="28"/>
        </w:rPr>
      </w:pPr>
      <w:r>
        <w:rPr>
          <w:rFonts w:ascii="宋体" w:hAnsi="宋体" w:cs="宋体" w:hint="eastAsia"/>
          <w:sz w:val="28"/>
          <w:szCs w:val="28"/>
          <w:lang w:bidi="ar"/>
        </w:rPr>
        <w:t>二○二六年</w:t>
      </w:r>
      <w:r w:rsidR="00604423">
        <w:rPr>
          <w:rFonts w:ascii="宋体" w:hAnsi="宋体" w:cs="宋体" w:hint="eastAsia"/>
          <w:sz w:val="28"/>
          <w:szCs w:val="28"/>
          <w:lang w:bidi="ar"/>
        </w:rPr>
        <w:t>六</w:t>
      </w:r>
      <w:r>
        <w:rPr>
          <w:rFonts w:ascii="宋体" w:hAnsi="宋体" w:cs="宋体" w:hint="eastAsia"/>
          <w:sz w:val="28"/>
          <w:szCs w:val="28"/>
          <w:lang w:bidi="ar"/>
        </w:rPr>
        <w:t>月</w:t>
      </w:r>
    </w:p>
    <w:p w14:paraId="7CBCCDB9" w14:textId="77777777" w:rsidR="00D21308" w:rsidRDefault="00F41C2D">
      <w:pPr>
        <w:tabs>
          <w:tab w:val="left" w:pos="0"/>
        </w:tabs>
        <w:spacing w:before="100" w:beforeAutospacing="1" w:after="100" w:afterAutospacing="1" w:line="400" w:lineRule="exact"/>
        <w:ind w:right="26" w:firstLineChars="200" w:firstLine="422"/>
        <w:outlineLvl w:val="0"/>
        <w:rPr>
          <w:rFonts w:ascii="宋体" w:hAnsi="宋体"/>
          <w:szCs w:val="21"/>
        </w:rPr>
      </w:pPr>
      <w:r>
        <w:rPr>
          <w:rFonts w:ascii="宋体" w:hAnsi="宋体"/>
          <w:b/>
          <w:szCs w:val="21"/>
          <w:lang w:bidi="ar"/>
        </w:rPr>
        <w:br w:type="page"/>
      </w:r>
      <w:r>
        <w:rPr>
          <w:rFonts w:ascii="宋体" w:hAnsi="宋体" w:cs="宋体" w:hint="eastAsia"/>
          <w:szCs w:val="21"/>
          <w:lang w:bidi="ar"/>
        </w:rPr>
        <w:lastRenderedPageBreak/>
        <w:t>鉴于</w:t>
      </w:r>
      <w:r>
        <w:rPr>
          <w:rFonts w:hAnsi="宋体" w:hint="eastAsia"/>
        </w:rPr>
        <w:t>广发</w:t>
      </w:r>
      <w:r>
        <w:rPr>
          <w:rFonts w:ascii="宋体" w:hAnsi="宋体" w:cs="宋体" w:hint="eastAsia"/>
          <w:szCs w:val="21"/>
          <w:lang w:bidi="ar"/>
        </w:rPr>
        <w:t>基金管理有限公司是一家依照中国法律合法成立并有效存续的有限责任公司，按照相关法律法规的规定具备担任基金管理人的资格和能力；</w:t>
      </w:r>
    </w:p>
    <w:p w14:paraId="348F796D" w14:textId="77777777" w:rsidR="00D21308" w:rsidRDefault="00F41C2D">
      <w:pPr>
        <w:pStyle w:val="a7"/>
        <w:widowControl/>
        <w:spacing w:before="100" w:beforeAutospacing="1" w:after="100" w:afterAutospacing="1" w:line="400" w:lineRule="exact"/>
        <w:ind w:firstLine="549"/>
        <w:rPr>
          <w:rFonts w:hAnsi="宋体" w:hint="default"/>
        </w:rPr>
      </w:pPr>
      <w:r>
        <w:rPr>
          <w:rFonts w:hAnsi="宋体" w:cs="宋体"/>
        </w:rPr>
        <w:t>鉴于中国银行股份有限公司是一家依照中国法律合法成立并有效存续的银行，按照相关法律法规的规定具备担任基金托管人的资格和能力；</w:t>
      </w:r>
    </w:p>
    <w:p w14:paraId="43D68335" w14:textId="77777777" w:rsidR="00D21308" w:rsidRDefault="00F41C2D">
      <w:pPr>
        <w:pStyle w:val="a7"/>
        <w:widowControl/>
        <w:spacing w:before="100" w:beforeAutospacing="1" w:after="100" w:afterAutospacing="1" w:line="400" w:lineRule="exact"/>
        <w:ind w:firstLine="549"/>
        <w:rPr>
          <w:rFonts w:hAnsi="宋体" w:hint="default"/>
        </w:rPr>
      </w:pPr>
      <w:r>
        <w:rPr>
          <w:rFonts w:hAnsi="宋体" w:cs="宋体"/>
        </w:rPr>
        <w:t>鉴于</w:t>
      </w:r>
      <w:r>
        <w:rPr>
          <w:rFonts w:hAnsi="宋体"/>
        </w:rPr>
        <w:t>广发</w:t>
      </w:r>
      <w:r>
        <w:rPr>
          <w:rFonts w:hAnsi="宋体" w:cs="宋体"/>
        </w:rPr>
        <w:t>基金管理有限公司拟担任</w:t>
      </w:r>
      <w:r>
        <w:rPr>
          <w:rFonts w:hAnsi="宋体"/>
        </w:rPr>
        <w:t>广发国证粮食产业交易型开放式指数</w:t>
      </w:r>
      <w:r>
        <w:rPr>
          <w:rFonts w:hAnsi="宋体" w:cs="宋体"/>
        </w:rPr>
        <w:t>证券投资基金</w:t>
      </w:r>
      <w:r>
        <w:rPr>
          <w:rFonts w:hAnsi="宋体"/>
        </w:rPr>
        <w:t>发起式联接基金</w:t>
      </w:r>
      <w:r>
        <w:rPr>
          <w:rFonts w:hAnsi="宋体" w:cs="宋体"/>
        </w:rPr>
        <w:t>的基金管理人，中国银行股份有限公司拟担任</w:t>
      </w:r>
      <w:r>
        <w:rPr>
          <w:rFonts w:hAnsi="宋体"/>
        </w:rPr>
        <w:t>广发国证粮食产业交易型开放式指数证券投资基金发起式联接</w:t>
      </w:r>
      <w:r>
        <w:rPr>
          <w:rFonts w:hAnsi="宋体" w:cs="宋体"/>
        </w:rPr>
        <w:t>基金的基金托管人；</w:t>
      </w:r>
    </w:p>
    <w:p w14:paraId="7DAE4860" w14:textId="77777777" w:rsidR="00D21308" w:rsidRDefault="00F41C2D">
      <w:pPr>
        <w:pStyle w:val="a7"/>
        <w:widowControl/>
        <w:spacing w:before="100" w:beforeAutospacing="1" w:after="100" w:afterAutospacing="1" w:line="400" w:lineRule="exact"/>
        <w:ind w:firstLine="549"/>
        <w:rPr>
          <w:rFonts w:hAnsi="宋体" w:hint="default"/>
        </w:rPr>
      </w:pPr>
      <w:r>
        <w:rPr>
          <w:rFonts w:hAnsi="宋体" w:cs="宋体"/>
        </w:rPr>
        <w:t>为明确</w:t>
      </w:r>
      <w:r>
        <w:rPr>
          <w:rFonts w:hAnsi="宋体"/>
        </w:rPr>
        <w:t>广发国证粮食产业交易型开放式指数</w:t>
      </w:r>
      <w:r>
        <w:rPr>
          <w:rFonts w:hAnsi="宋体" w:cs="宋体"/>
        </w:rPr>
        <w:t>证券投资</w:t>
      </w:r>
      <w:r>
        <w:rPr>
          <w:rFonts w:hAnsi="宋体"/>
        </w:rPr>
        <w:t>基金发起式联接</w:t>
      </w:r>
      <w:r>
        <w:rPr>
          <w:rFonts w:hAnsi="宋体" w:cs="宋体"/>
        </w:rPr>
        <w:t>基金基金管理人和基金托管人之间的权利义务关系，特制订本协议。</w:t>
      </w:r>
      <w:bookmarkStart w:id="0" w:name="_Toc30230313"/>
      <w:bookmarkStart w:id="1" w:name="_GoBack"/>
      <w:bookmarkEnd w:id="0"/>
      <w:bookmarkEnd w:id="1"/>
    </w:p>
    <w:p w14:paraId="5D6BE343" w14:textId="77777777" w:rsidR="00D21308" w:rsidRDefault="00D21308">
      <w:pPr>
        <w:pStyle w:val="a7"/>
        <w:widowControl/>
        <w:spacing w:before="100" w:beforeAutospacing="1" w:after="100" w:afterAutospacing="1" w:line="400" w:lineRule="exact"/>
        <w:ind w:firstLine="549"/>
        <w:rPr>
          <w:rFonts w:hAnsi="宋体" w:hint="default"/>
        </w:rPr>
      </w:pPr>
    </w:p>
    <w:p w14:paraId="55AA1949"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2" w:name="_Toc116900096"/>
      <w:r>
        <w:rPr>
          <w:rFonts w:ascii="宋体" w:hAnsi="宋体" w:cs="宋体" w:hint="eastAsia"/>
          <w:bCs w:val="0"/>
          <w:sz w:val="21"/>
          <w:szCs w:val="21"/>
        </w:rPr>
        <w:t>一、托管协议当事人</w:t>
      </w:r>
      <w:bookmarkEnd w:id="2"/>
    </w:p>
    <w:p w14:paraId="325F16FE" w14:textId="77777777" w:rsidR="00D21308" w:rsidRDefault="00F41C2D">
      <w:pPr>
        <w:pStyle w:val="a7"/>
        <w:widowControl/>
        <w:spacing w:before="100" w:beforeAutospacing="1" w:after="100" w:afterAutospacing="1" w:line="400" w:lineRule="exact"/>
        <w:ind w:firstLine="403"/>
        <w:rPr>
          <w:rFonts w:hAnsi="宋体" w:hint="default"/>
        </w:rPr>
      </w:pPr>
      <w:r>
        <w:rPr>
          <w:rFonts w:hAnsi="宋体" w:cs="宋体"/>
        </w:rPr>
        <w:t>（一）基金管理人（或简称“管理人”）</w:t>
      </w:r>
    </w:p>
    <w:p w14:paraId="1BB87546"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名称：</w:t>
      </w:r>
      <w:r>
        <w:rPr>
          <w:rFonts w:hAnsi="宋体" w:hint="eastAsia"/>
        </w:rPr>
        <w:t>广发</w:t>
      </w:r>
      <w:r>
        <w:rPr>
          <w:rFonts w:ascii="宋体" w:hAnsi="宋体" w:cs="宋体" w:hint="eastAsia"/>
          <w:szCs w:val="21"/>
          <w:lang w:bidi="ar"/>
        </w:rPr>
        <w:t>基金管理有限公司</w:t>
      </w:r>
    </w:p>
    <w:p w14:paraId="03440D4D"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住所：广东省珠海市横琴新区环岛东路</w:t>
      </w:r>
      <w:r>
        <w:rPr>
          <w:rFonts w:ascii="宋体" w:hAnsi="宋体" w:cs="宋体"/>
          <w:szCs w:val="21"/>
          <w:lang w:bidi="ar"/>
        </w:rPr>
        <w:t>3018</w:t>
      </w:r>
      <w:r>
        <w:rPr>
          <w:rFonts w:ascii="宋体" w:hAnsi="宋体" w:cs="宋体"/>
          <w:szCs w:val="21"/>
          <w:lang w:bidi="ar"/>
        </w:rPr>
        <w:t>号</w:t>
      </w:r>
      <w:r>
        <w:rPr>
          <w:rFonts w:ascii="宋体" w:hAnsi="宋体" w:cs="宋体"/>
          <w:szCs w:val="21"/>
          <w:lang w:bidi="ar"/>
        </w:rPr>
        <w:t>2608</w:t>
      </w:r>
      <w:r>
        <w:rPr>
          <w:rFonts w:ascii="宋体" w:hAnsi="宋体" w:cs="宋体"/>
          <w:szCs w:val="21"/>
          <w:lang w:bidi="ar"/>
        </w:rPr>
        <w:t>室</w:t>
      </w:r>
    </w:p>
    <w:p w14:paraId="1106B490"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法定代表人</w:t>
      </w:r>
      <w:r>
        <w:rPr>
          <w:rFonts w:hAnsi="宋体" w:hint="eastAsia"/>
        </w:rPr>
        <w:t>：葛长伟</w:t>
      </w:r>
    </w:p>
    <w:p w14:paraId="6400A2D7"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成立时间：</w:t>
      </w:r>
      <w:r>
        <w:rPr>
          <w:rFonts w:ascii="宋体" w:hAnsi="宋体" w:cs="宋体"/>
          <w:szCs w:val="21"/>
          <w:lang w:bidi="ar"/>
        </w:rPr>
        <w:t>2003</w:t>
      </w:r>
      <w:r>
        <w:rPr>
          <w:rFonts w:ascii="宋体" w:hAnsi="宋体" w:cs="宋体"/>
          <w:szCs w:val="21"/>
          <w:lang w:bidi="ar"/>
        </w:rPr>
        <w:t>年</w:t>
      </w:r>
      <w:r>
        <w:rPr>
          <w:rFonts w:ascii="宋体" w:hAnsi="宋体" w:cs="宋体"/>
          <w:szCs w:val="21"/>
          <w:lang w:bidi="ar"/>
        </w:rPr>
        <w:t>8</w:t>
      </w:r>
      <w:r>
        <w:rPr>
          <w:rFonts w:ascii="宋体" w:hAnsi="宋体" w:cs="宋体"/>
          <w:szCs w:val="21"/>
          <w:lang w:bidi="ar"/>
        </w:rPr>
        <w:t>月</w:t>
      </w:r>
      <w:r>
        <w:rPr>
          <w:rFonts w:ascii="宋体" w:hAnsi="宋体" w:cs="宋体"/>
          <w:szCs w:val="21"/>
          <w:lang w:bidi="ar"/>
        </w:rPr>
        <w:t>5</w:t>
      </w:r>
      <w:r>
        <w:rPr>
          <w:rFonts w:ascii="宋体" w:hAnsi="宋体" w:cs="宋体"/>
          <w:szCs w:val="21"/>
          <w:lang w:bidi="ar"/>
        </w:rPr>
        <w:t>日</w:t>
      </w:r>
    </w:p>
    <w:p w14:paraId="40CF3217"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批准设立机关：</w:t>
      </w:r>
      <w:r>
        <w:rPr>
          <w:rFonts w:hAnsi="宋体" w:hint="eastAsia"/>
        </w:rPr>
        <w:t>中国证券监督管理委员会</w:t>
      </w:r>
    </w:p>
    <w:p w14:paraId="24FE6CDD"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批准设立文号：证监基金字</w:t>
      </w:r>
      <w:r>
        <w:rPr>
          <w:rFonts w:ascii="宋体" w:hAnsi="宋体" w:cs="宋体"/>
          <w:szCs w:val="21"/>
          <w:lang w:bidi="ar"/>
        </w:rPr>
        <w:t>[2003]91</w:t>
      </w:r>
      <w:r>
        <w:rPr>
          <w:rFonts w:ascii="宋体" w:hAnsi="宋体" w:cs="宋体"/>
          <w:szCs w:val="21"/>
          <w:lang w:bidi="ar"/>
        </w:rPr>
        <w:t>号</w:t>
      </w:r>
    </w:p>
    <w:p w14:paraId="417A87CB"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组织形式：有限责任公司</w:t>
      </w:r>
    </w:p>
    <w:p w14:paraId="1D35DCE3"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注册资本：</w:t>
      </w:r>
      <w:r>
        <w:rPr>
          <w:rFonts w:ascii="宋体" w:hAnsi="宋体" w:cs="宋体"/>
          <w:szCs w:val="21"/>
          <w:lang w:bidi="ar"/>
        </w:rPr>
        <w:t>14,097.8</w:t>
      </w:r>
      <w:r>
        <w:rPr>
          <w:rFonts w:ascii="宋体" w:hAnsi="宋体" w:cs="宋体"/>
          <w:szCs w:val="21"/>
          <w:lang w:bidi="ar"/>
        </w:rPr>
        <w:t>万元</w:t>
      </w:r>
      <w:r>
        <w:rPr>
          <w:rFonts w:ascii="宋体" w:hAnsi="宋体" w:cs="宋体" w:hint="eastAsia"/>
          <w:szCs w:val="21"/>
          <w:lang w:bidi="ar"/>
        </w:rPr>
        <w:t>人民币</w:t>
      </w:r>
    </w:p>
    <w:p w14:paraId="782602AA" w14:textId="77777777" w:rsidR="00D21308" w:rsidRDefault="00F41C2D">
      <w:pPr>
        <w:spacing w:before="100" w:beforeAutospacing="1" w:after="100" w:afterAutospacing="1" w:line="400" w:lineRule="exact"/>
        <w:ind w:right="26" w:firstLine="403"/>
        <w:rPr>
          <w:rFonts w:ascii="宋体" w:hAnsi="宋体"/>
          <w:szCs w:val="21"/>
          <w:u w:val="single"/>
        </w:rPr>
      </w:pPr>
      <w:r>
        <w:rPr>
          <w:rFonts w:ascii="宋体" w:hAnsi="宋体" w:cs="宋体" w:hint="eastAsia"/>
          <w:szCs w:val="21"/>
          <w:lang w:bidi="ar"/>
        </w:rPr>
        <w:t>经营范围：基金</w:t>
      </w:r>
      <w:r>
        <w:rPr>
          <w:rFonts w:hAnsi="宋体" w:hint="eastAsia"/>
        </w:rPr>
        <w:t>募集</w:t>
      </w:r>
      <w:r>
        <w:rPr>
          <w:rFonts w:ascii="宋体" w:hAnsi="宋体" w:cs="宋体" w:hint="eastAsia"/>
          <w:szCs w:val="21"/>
          <w:lang w:bidi="ar"/>
        </w:rPr>
        <w:t>、基金</w:t>
      </w:r>
      <w:r>
        <w:rPr>
          <w:rFonts w:hAnsi="宋体" w:hint="eastAsia"/>
        </w:rPr>
        <w:t>销售、资产</w:t>
      </w:r>
      <w:r>
        <w:rPr>
          <w:rFonts w:ascii="宋体" w:hAnsi="宋体" w:cs="宋体" w:hint="eastAsia"/>
          <w:szCs w:val="21"/>
          <w:lang w:bidi="ar"/>
        </w:rPr>
        <w:t>管理</w:t>
      </w:r>
      <w:r>
        <w:rPr>
          <w:rFonts w:hAnsi="宋体" w:hint="eastAsia"/>
        </w:rPr>
        <w:t>、</w:t>
      </w:r>
      <w:r>
        <w:rPr>
          <w:rFonts w:ascii="宋体" w:hAnsi="宋体" w:cs="宋体" w:hint="eastAsia"/>
          <w:szCs w:val="21"/>
          <w:lang w:bidi="ar"/>
        </w:rPr>
        <w:t>中国证监会</w:t>
      </w:r>
      <w:r>
        <w:rPr>
          <w:rFonts w:hAnsi="宋体" w:hint="eastAsia"/>
        </w:rPr>
        <w:t>许可</w:t>
      </w:r>
      <w:r>
        <w:rPr>
          <w:rFonts w:ascii="宋体" w:hAnsi="宋体" w:cs="宋体" w:hint="eastAsia"/>
          <w:szCs w:val="21"/>
          <w:lang w:bidi="ar"/>
        </w:rPr>
        <w:t>的其他业务</w:t>
      </w:r>
    </w:p>
    <w:p w14:paraId="162C0351" w14:textId="77777777" w:rsidR="00D21308" w:rsidRDefault="00F41C2D">
      <w:pPr>
        <w:pStyle w:val="a7"/>
        <w:widowControl/>
        <w:spacing w:before="100" w:beforeAutospacing="1" w:after="100" w:afterAutospacing="1" w:line="400" w:lineRule="exact"/>
        <w:ind w:firstLine="403"/>
        <w:rPr>
          <w:rFonts w:hAnsi="宋体" w:hint="default"/>
        </w:rPr>
      </w:pPr>
      <w:r>
        <w:rPr>
          <w:rFonts w:hAnsi="宋体" w:cs="宋体"/>
        </w:rPr>
        <w:t>存续期间：持续经营</w:t>
      </w:r>
    </w:p>
    <w:p w14:paraId="3E303391" w14:textId="77777777" w:rsidR="00D21308" w:rsidRDefault="00F41C2D">
      <w:pPr>
        <w:pStyle w:val="a7"/>
        <w:widowControl/>
        <w:spacing w:before="100" w:beforeAutospacing="1" w:after="100" w:afterAutospacing="1" w:line="400" w:lineRule="exact"/>
        <w:ind w:firstLine="403"/>
        <w:rPr>
          <w:rFonts w:hAnsi="宋体" w:hint="default"/>
        </w:rPr>
      </w:pPr>
      <w:r>
        <w:rPr>
          <w:rFonts w:hAnsi="宋体" w:cs="宋体"/>
        </w:rPr>
        <w:lastRenderedPageBreak/>
        <w:t>（二）基金托管人（或简称“托管人”）</w:t>
      </w:r>
    </w:p>
    <w:p w14:paraId="12694CBC"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名称：中国银行股份有限公司</w:t>
      </w:r>
    </w:p>
    <w:p w14:paraId="3A998924"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住所：北京市西城区复兴门内大街</w:t>
      </w:r>
      <w:r>
        <w:rPr>
          <w:rFonts w:ascii="宋体" w:hAnsi="宋体" w:cs="宋体"/>
          <w:szCs w:val="21"/>
          <w:lang w:bidi="ar"/>
        </w:rPr>
        <w:t>1</w:t>
      </w:r>
      <w:r>
        <w:rPr>
          <w:rFonts w:ascii="宋体" w:hAnsi="宋体" w:cs="宋体"/>
          <w:szCs w:val="21"/>
          <w:lang w:bidi="ar"/>
        </w:rPr>
        <w:t>号</w:t>
      </w:r>
    </w:p>
    <w:p w14:paraId="754DFA04"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法定代表人</w:t>
      </w:r>
      <w:r>
        <w:rPr>
          <w:rFonts w:ascii="宋体" w:hAnsi="宋体" w:hint="eastAsia"/>
          <w:szCs w:val="21"/>
        </w:rPr>
        <w:t>：</w:t>
      </w:r>
      <w:r>
        <w:rPr>
          <w:rFonts w:ascii="宋体" w:hAnsi="宋体" w:cs="宋体" w:hint="eastAsia"/>
          <w:szCs w:val="21"/>
          <w:lang w:bidi="ar"/>
        </w:rPr>
        <w:t>葛海蛟</w:t>
      </w:r>
    </w:p>
    <w:p w14:paraId="3C16F1F9" w14:textId="77777777" w:rsidR="00D21308" w:rsidRDefault="00F41C2D">
      <w:pPr>
        <w:spacing w:before="100" w:beforeAutospacing="1" w:after="100" w:afterAutospacing="1" w:line="400" w:lineRule="exact"/>
        <w:ind w:firstLine="435"/>
        <w:rPr>
          <w:rFonts w:ascii="宋体" w:hAnsi="宋体"/>
          <w:kern w:val="0"/>
          <w:szCs w:val="21"/>
        </w:rPr>
      </w:pPr>
      <w:r>
        <w:rPr>
          <w:rFonts w:ascii="宋体" w:hAnsi="宋体" w:cs="宋体" w:hint="eastAsia"/>
          <w:szCs w:val="21"/>
          <w:lang w:bidi="ar"/>
        </w:rPr>
        <w:t>成立时间</w:t>
      </w:r>
      <w:r>
        <w:rPr>
          <w:rFonts w:ascii="宋体" w:hAnsi="宋体" w:hint="eastAsia"/>
          <w:szCs w:val="21"/>
        </w:rPr>
        <w:t>：</w:t>
      </w:r>
      <w:r>
        <w:rPr>
          <w:rFonts w:ascii="宋体" w:hAnsi="宋体" w:cs="宋体"/>
          <w:szCs w:val="21"/>
          <w:lang w:bidi="ar"/>
        </w:rPr>
        <w:t>1983</w:t>
      </w:r>
      <w:r>
        <w:rPr>
          <w:rFonts w:ascii="宋体" w:hAnsi="宋体" w:cs="宋体"/>
          <w:szCs w:val="21"/>
          <w:lang w:bidi="ar"/>
        </w:rPr>
        <w:t>年</w:t>
      </w:r>
      <w:r>
        <w:rPr>
          <w:rFonts w:ascii="宋体" w:hAnsi="宋体" w:cs="宋体"/>
          <w:szCs w:val="21"/>
          <w:lang w:bidi="ar"/>
        </w:rPr>
        <w:t>10</w:t>
      </w:r>
      <w:r>
        <w:rPr>
          <w:rFonts w:ascii="宋体" w:hAnsi="宋体" w:cs="宋体"/>
          <w:szCs w:val="21"/>
          <w:lang w:bidi="ar"/>
        </w:rPr>
        <w:t>月</w:t>
      </w:r>
      <w:r>
        <w:rPr>
          <w:rFonts w:ascii="宋体" w:hAnsi="宋体" w:cs="宋体"/>
          <w:szCs w:val="21"/>
          <w:lang w:bidi="ar"/>
        </w:rPr>
        <w:t>31</w:t>
      </w:r>
      <w:r>
        <w:rPr>
          <w:rFonts w:ascii="宋体" w:hAnsi="宋体" w:cs="宋体"/>
          <w:szCs w:val="21"/>
          <w:lang w:bidi="ar"/>
        </w:rPr>
        <w:t>日</w:t>
      </w:r>
    </w:p>
    <w:p w14:paraId="28E82352" w14:textId="77777777" w:rsidR="00D21308" w:rsidRDefault="00F41C2D">
      <w:pPr>
        <w:spacing w:before="100" w:beforeAutospacing="1" w:after="100" w:afterAutospacing="1" w:line="400" w:lineRule="exact"/>
        <w:ind w:firstLine="420"/>
        <w:rPr>
          <w:rFonts w:ascii="宋体" w:hAnsi="宋体"/>
          <w:szCs w:val="21"/>
        </w:rPr>
      </w:pPr>
      <w:r>
        <w:rPr>
          <w:rFonts w:ascii="宋体" w:hAnsi="宋体" w:cs="宋体" w:hint="eastAsia"/>
          <w:kern w:val="0"/>
          <w:szCs w:val="21"/>
          <w:lang w:bidi="ar"/>
        </w:rPr>
        <w:t>基金托管业务批准文号：中国证监会证监基字【</w:t>
      </w:r>
      <w:r>
        <w:rPr>
          <w:rFonts w:ascii="宋体" w:hAnsi="宋体" w:cs="宋体"/>
          <w:kern w:val="0"/>
          <w:szCs w:val="21"/>
          <w:lang w:bidi="ar"/>
        </w:rPr>
        <w:t>1998</w:t>
      </w:r>
      <w:r>
        <w:rPr>
          <w:rFonts w:ascii="宋体" w:hAnsi="宋体" w:cs="宋体"/>
          <w:kern w:val="0"/>
          <w:szCs w:val="21"/>
          <w:lang w:bidi="ar"/>
        </w:rPr>
        <w:t>】</w:t>
      </w:r>
      <w:r>
        <w:rPr>
          <w:rFonts w:ascii="宋体" w:hAnsi="宋体" w:cs="宋体"/>
          <w:kern w:val="0"/>
          <w:szCs w:val="21"/>
          <w:lang w:bidi="ar"/>
        </w:rPr>
        <w:t>24</w:t>
      </w:r>
      <w:r>
        <w:rPr>
          <w:rFonts w:ascii="宋体" w:hAnsi="宋体" w:cs="宋体"/>
          <w:kern w:val="0"/>
          <w:szCs w:val="21"/>
          <w:lang w:bidi="ar"/>
        </w:rPr>
        <w:t>号</w:t>
      </w:r>
    </w:p>
    <w:p w14:paraId="6E4B2730" w14:textId="77777777" w:rsidR="00D21308" w:rsidRDefault="00F41C2D">
      <w:pPr>
        <w:tabs>
          <w:tab w:val="left" w:pos="1110"/>
        </w:tabs>
        <w:spacing w:before="100" w:beforeAutospacing="1" w:after="100" w:afterAutospacing="1" w:line="400" w:lineRule="exact"/>
        <w:ind w:firstLine="420"/>
        <w:rPr>
          <w:rFonts w:ascii="宋体" w:hAnsi="宋体"/>
          <w:szCs w:val="21"/>
        </w:rPr>
      </w:pPr>
      <w:r>
        <w:rPr>
          <w:rFonts w:ascii="宋体" w:hAnsi="宋体" w:cs="宋体" w:hint="eastAsia"/>
          <w:szCs w:val="21"/>
          <w:lang w:bidi="ar"/>
        </w:rPr>
        <w:t>组织形式</w:t>
      </w:r>
      <w:r>
        <w:rPr>
          <w:rFonts w:ascii="宋体" w:hAnsi="宋体" w:hint="eastAsia"/>
          <w:szCs w:val="21"/>
        </w:rPr>
        <w:t>：</w:t>
      </w:r>
      <w:r>
        <w:rPr>
          <w:rFonts w:ascii="宋体" w:hAnsi="宋体" w:cs="宋体" w:hint="eastAsia"/>
          <w:szCs w:val="21"/>
          <w:lang w:bidi="ar"/>
        </w:rPr>
        <w:t>股份有限公司</w:t>
      </w:r>
    </w:p>
    <w:p w14:paraId="040E1750"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注册资本：人民币叁仟贰佰贰拾贰亿壹仟贰佰肆拾壹万壹仟捌佰</w:t>
      </w:r>
      <w:r>
        <w:rPr>
          <w:rFonts w:ascii="宋体" w:hAnsi="宋体" w:cs="宋体" w:hint="eastAsia"/>
          <w:szCs w:val="21"/>
          <w:lang w:bidi="ar"/>
        </w:rPr>
        <w:t>壹拾肆元整</w:t>
      </w:r>
    </w:p>
    <w:p w14:paraId="65756A3E" w14:textId="77777777" w:rsidR="00D21308" w:rsidRDefault="00F41C2D">
      <w:pPr>
        <w:spacing w:before="100" w:beforeAutospacing="1" w:after="100" w:afterAutospacing="1" w:line="400" w:lineRule="exact"/>
        <w:ind w:left="1674" w:right="26"/>
        <w:rPr>
          <w:rFonts w:ascii="宋体" w:hAnsi="宋体"/>
          <w:szCs w:val="21"/>
        </w:rPr>
      </w:pPr>
      <w:r>
        <w:rPr>
          <w:rFonts w:ascii="宋体" w:hAnsi="宋体" w:cs="宋体" w:hint="eastAsia"/>
          <w:szCs w:val="21"/>
          <w:lang w:bidi="ar"/>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w:t>
      </w:r>
      <w:r>
        <w:rPr>
          <w:rFonts w:ascii="宋体" w:hAnsi="宋体" w:cs="宋体" w:hint="eastAsia"/>
          <w:szCs w:val="21"/>
          <w:lang w:bidi="ar"/>
        </w:rPr>
        <w:t>组织或参加银团贷款；国际贵金属买卖；海外分支机构经营与当地法律许可的一切银行业务；在港澳地区的分行依据当地法令可发行或参与代理发行当地货币；经</w:t>
      </w:r>
      <w:r>
        <w:rPr>
          <w:rFonts w:ascii="宋体" w:hAnsi="宋体" w:hint="eastAsia"/>
          <w:szCs w:val="21"/>
        </w:rPr>
        <w:t>金监总局等监管部门</w:t>
      </w:r>
      <w:r>
        <w:rPr>
          <w:rFonts w:ascii="宋体" w:hAnsi="宋体" w:cs="宋体" w:hint="eastAsia"/>
          <w:szCs w:val="21"/>
          <w:lang w:bidi="ar"/>
        </w:rPr>
        <w:t>批准的其他业务。</w:t>
      </w:r>
    </w:p>
    <w:p w14:paraId="69813A38" w14:textId="77777777" w:rsidR="00D21308" w:rsidRDefault="00F41C2D">
      <w:pPr>
        <w:spacing w:before="100" w:beforeAutospacing="1" w:after="100" w:afterAutospacing="1" w:line="400" w:lineRule="exact"/>
        <w:ind w:firstLine="403"/>
        <w:rPr>
          <w:rFonts w:ascii="宋体" w:hAnsi="宋体"/>
          <w:szCs w:val="21"/>
        </w:rPr>
      </w:pPr>
      <w:r>
        <w:rPr>
          <w:rFonts w:ascii="宋体" w:hAnsi="宋体" w:cs="宋体" w:hint="eastAsia"/>
          <w:szCs w:val="21"/>
          <w:lang w:bidi="ar"/>
        </w:rPr>
        <w:t>存续期间：持续经营</w:t>
      </w:r>
    </w:p>
    <w:p w14:paraId="06F6ACE1" w14:textId="77777777" w:rsidR="00D21308" w:rsidRDefault="00D21308">
      <w:pPr>
        <w:spacing w:before="100" w:beforeAutospacing="1" w:after="100" w:afterAutospacing="1" w:line="400" w:lineRule="exact"/>
        <w:ind w:firstLine="403"/>
        <w:rPr>
          <w:rFonts w:ascii="宋体" w:hAnsi="宋体"/>
          <w:szCs w:val="21"/>
        </w:rPr>
      </w:pPr>
    </w:p>
    <w:p w14:paraId="65ED5E97"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3" w:name="_Toc116900097"/>
      <w:r>
        <w:rPr>
          <w:rFonts w:ascii="宋体" w:hAnsi="宋体" w:cs="宋体" w:hint="eastAsia"/>
          <w:bCs w:val="0"/>
          <w:sz w:val="21"/>
          <w:szCs w:val="21"/>
        </w:rPr>
        <w:t>二、托管协议的依据、目的、原则和解释</w:t>
      </w:r>
      <w:bookmarkEnd w:id="3"/>
    </w:p>
    <w:p w14:paraId="4ED68A46" w14:textId="77777777" w:rsidR="00D21308" w:rsidRDefault="00F41C2D">
      <w:pPr>
        <w:spacing w:before="100" w:beforeAutospacing="1" w:after="100" w:afterAutospacing="1" w:line="400" w:lineRule="exact"/>
        <w:ind w:firstLine="403"/>
        <w:rPr>
          <w:rFonts w:ascii="宋体" w:hAnsi="宋体"/>
          <w:szCs w:val="21"/>
        </w:rPr>
      </w:pPr>
      <w:r>
        <w:rPr>
          <w:rFonts w:ascii="宋体" w:hAnsi="宋体" w:cs="宋体" w:hint="eastAsia"/>
          <w:szCs w:val="21"/>
          <w:lang w:bidi="ar"/>
        </w:rPr>
        <w:t>（一）依据</w:t>
      </w:r>
    </w:p>
    <w:p w14:paraId="28058C27"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lastRenderedPageBreak/>
        <w:t>本协议依据《中华人民共和国民法典</w:t>
      </w:r>
      <w:r>
        <w:rPr>
          <w:rFonts w:ascii="宋体" w:eastAsia="宋体"/>
          <w:color w:val="auto"/>
          <w:sz w:val="21"/>
          <w:szCs w:val="21"/>
        </w:rPr>
        <w:t>》、</w:t>
      </w:r>
      <w:r>
        <w:rPr>
          <w:rFonts w:ascii="宋体" w:eastAsia="宋体" w:hint="eastAsia"/>
          <w:color w:val="auto"/>
          <w:sz w:val="21"/>
          <w:szCs w:val="21"/>
        </w:rPr>
        <w:t>《</w:t>
      </w:r>
      <w:r>
        <w:rPr>
          <w:rFonts w:ascii="宋体" w:eastAsia="宋体" w:cs="宋体" w:hint="eastAsia"/>
          <w:sz w:val="21"/>
          <w:szCs w:val="21"/>
        </w:rPr>
        <w:t>中华人民共和国证券法》</w:t>
      </w:r>
      <w:r>
        <w:rPr>
          <w:rFonts w:ascii="宋体" w:eastAsia="宋体"/>
          <w:sz w:val="21"/>
          <w:szCs w:val="21"/>
        </w:rPr>
        <w:t>(</w:t>
      </w:r>
      <w:r>
        <w:rPr>
          <w:rFonts w:ascii="宋体" w:eastAsia="宋体"/>
          <w:sz w:val="21"/>
          <w:szCs w:val="21"/>
        </w:rPr>
        <w:t>以下简称</w:t>
      </w:r>
      <w:r>
        <w:rPr>
          <w:rFonts w:ascii="宋体" w:eastAsia="宋体"/>
          <w:sz w:val="21"/>
          <w:szCs w:val="21"/>
        </w:rPr>
        <w:t>“</w:t>
      </w:r>
      <w:r>
        <w:rPr>
          <w:rFonts w:ascii="宋体" w:eastAsia="宋体"/>
          <w:sz w:val="21"/>
          <w:szCs w:val="21"/>
        </w:rPr>
        <w:t>《</w:t>
      </w:r>
      <w:r>
        <w:rPr>
          <w:rFonts w:ascii="宋体" w:eastAsia="宋体" w:hint="eastAsia"/>
          <w:color w:val="auto"/>
          <w:sz w:val="21"/>
          <w:szCs w:val="21"/>
        </w:rPr>
        <w:t>证券</w:t>
      </w:r>
      <w:r>
        <w:rPr>
          <w:rFonts w:ascii="宋体" w:eastAsia="宋体"/>
          <w:color w:val="auto"/>
          <w:sz w:val="21"/>
          <w:szCs w:val="21"/>
        </w:rPr>
        <w:t>法</w:t>
      </w:r>
      <w:r>
        <w:rPr>
          <w:rFonts w:ascii="宋体" w:eastAsia="宋体" w:cs="宋体" w:hint="eastAsia"/>
          <w:sz w:val="21"/>
          <w:szCs w:val="21"/>
        </w:rPr>
        <w:t>》”</w:t>
      </w:r>
      <w:r>
        <w:rPr>
          <w:rFonts w:ascii="宋体" w:eastAsia="宋体" w:cs="宋体"/>
          <w:sz w:val="21"/>
          <w:szCs w:val="21"/>
        </w:rPr>
        <w:t>)</w:t>
      </w:r>
      <w:r>
        <w:rPr>
          <w:rFonts w:ascii="宋体" w:eastAsia="宋体" w:cs="宋体"/>
          <w:sz w:val="21"/>
          <w:szCs w:val="21"/>
        </w:rPr>
        <w:t>、《中华人民共和国证券投资基金法》（以下简称</w:t>
      </w:r>
      <w:r>
        <w:rPr>
          <w:rFonts w:ascii="宋体" w:eastAsia="宋体" w:cs="宋体"/>
          <w:sz w:val="21"/>
          <w:szCs w:val="21"/>
        </w:rPr>
        <w:t>“</w:t>
      </w:r>
      <w:r>
        <w:rPr>
          <w:rFonts w:ascii="宋体" w:eastAsia="宋体" w:cs="宋体"/>
          <w:sz w:val="21"/>
          <w:szCs w:val="21"/>
        </w:rPr>
        <w:t>《基金法》</w:t>
      </w:r>
      <w:r>
        <w:rPr>
          <w:rFonts w:ascii="宋体" w:eastAsia="宋体" w:cs="宋体"/>
          <w:sz w:val="21"/>
          <w:szCs w:val="21"/>
        </w:rPr>
        <w:t>”</w:t>
      </w:r>
      <w:r>
        <w:rPr>
          <w:rFonts w:ascii="宋体" w:eastAsia="宋体" w:cs="宋体"/>
          <w:sz w:val="21"/>
          <w:szCs w:val="21"/>
        </w:rPr>
        <w:t>）、《公开募集证券投资基金运作管理办法》（以下简称</w:t>
      </w:r>
      <w:r>
        <w:rPr>
          <w:rFonts w:ascii="宋体" w:eastAsia="宋体" w:cs="宋体"/>
          <w:sz w:val="21"/>
          <w:szCs w:val="21"/>
        </w:rPr>
        <w:t>“</w:t>
      </w:r>
      <w:r>
        <w:rPr>
          <w:rFonts w:ascii="宋体" w:eastAsia="宋体" w:cs="宋体"/>
          <w:sz w:val="21"/>
          <w:szCs w:val="21"/>
        </w:rPr>
        <w:t>《运作办法》</w:t>
      </w:r>
      <w:r>
        <w:rPr>
          <w:rFonts w:ascii="宋体" w:eastAsia="宋体" w:cs="宋体"/>
          <w:sz w:val="21"/>
          <w:szCs w:val="21"/>
        </w:rPr>
        <w:t>”</w:t>
      </w:r>
      <w:r>
        <w:rPr>
          <w:rFonts w:ascii="宋体" w:eastAsia="宋体" w:cs="宋体"/>
          <w:sz w:val="21"/>
          <w:szCs w:val="21"/>
        </w:rPr>
        <w:t>）、《证券投资基金托管业务管理办法》、《公开募集证券投资基金信息披露管理办法》（以下简称</w:t>
      </w:r>
      <w:r>
        <w:rPr>
          <w:rFonts w:ascii="宋体" w:eastAsia="宋体" w:cs="宋体"/>
          <w:sz w:val="21"/>
          <w:szCs w:val="21"/>
        </w:rPr>
        <w:t>“</w:t>
      </w:r>
      <w:r>
        <w:rPr>
          <w:rFonts w:ascii="宋体" w:eastAsia="宋体" w:cs="宋体"/>
          <w:sz w:val="21"/>
          <w:szCs w:val="21"/>
        </w:rPr>
        <w:t>《信息披露办法》</w:t>
      </w:r>
      <w:r>
        <w:rPr>
          <w:rFonts w:ascii="宋体" w:eastAsia="宋体" w:cs="宋体"/>
          <w:sz w:val="21"/>
          <w:szCs w:val="21"/>
        </w:rPr>
        <w:t>”</w:t>
      </w:r>
      <w:r>
        <w:rPr>
          <w:rFonts w:ascii="宋体" w:eastAsia="宋体" w:cs="宋体"/>
          <w:sz w:val="21"/>
          <w:szCs w:val="21"/>
        </w:rPr>
        <w:t>）、《</w:t>
      </w:r>
      <w:r>
        <w:rPr>
          <w:rFonts w:ascii="宋体" w:eastAsia="宋体" w:hint="eastAsia"/>
          <w:color w:val="auto"/>
          <w:sz w:val="21"/>
          <w:szCs w:val="21"/>
        </w:rPr>
        <w:t>证券投资基金信息披露内容与格式准则第</w:t>
      </w:r>
      <w:r>
        <w:rPr>
          <w:rFonts w:ascii="宋体" w:eastAsia="宋体"/>
          <w:color w:val="auto"/>
          <w:sz w:val="21"/>
          <w:szCs w:val="21"/>
        </w:rPr>
        <w:t>7</w:t>
      </w:r>
      <w:r>
        <w:rPr>
          <w:rFonts w:ascii="宋体" w:eastAsia="宋体"/>
          <w:color w:val="auto"/>
          <w:sz w:val="21"/>
          <w:szCs w:val="21"/>
        </w:rPr>
        <w:t>号〈托管协议的内容与格式〉》、《</w:t>
      </w:r>
      <w:r>
        <w:rPr>
          <w:rFonts w:ascii="宋体" w:eastAsia="宋体" w:cs="宋体" w:hint="eastAsia"/>
          <w:sz w:val="21"/>
          <w:szCs w:val="21"/>
        </w:rPr>
        <w:t>公开募集开放式证券投资基金流动性风险管理规定》及其他有关法律法规与</w:t>
      </w:r>
      <w:r>
        <w:rPr>
          <w:rFonts w:ascii="宋体" w:eastAsia="宋体" w:hint="eastAsia"/>
          <w:color w:val="auto"/>
          <w:sz w:val="21"/>
          <w:szCs w:val="21"/>
        </w:rPr>
        <w:t>《广发国证粮食产业交易型开放式指数</w:t>
      </w:r>
      <w:r>
        <w:rPr>
          <w:rFonts w:ascii="宋体" w:eastAsia="宋体" w:cs="宋体" w:hint="eastAsia"/>
          <w:sz w:val="21"/>
          <w:szCs w:val="21"/>
        </w:rPr>
        <w:t>证券投资</w:t>
      </w:r>
      <w:r>
        <w:rPr>
          <w:rFonts w:ascii="宋体" w:eastAsia="宋体" w:hint="eastAsia"/>
          <w:color w:val="auto"/>
          <w:sz w:val="21"/>
          <w:szCs w:val="21"/>
        </w:rPr>
        <w:t>基金发起式联接</w:t>
      </w:r>
      <w:r>
        <w:rPr>
          <w:rFonts w:ascii="宋体" w:eastAsia="宋体" w:cs="宋体" w:hint="eastAsia"/>
          <w:sz w:val="21"/>
          <w:szCs w:val="21"/>
        </w:rPr>
        <w:t>基金基金合同》（以下简称“《基金合同》”）订立。</w:t>
      </w:r>
    </w:p>
    <w:p w14:paraId="0D55C6E3"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（二）目的</w:t>
      </w:r>
    </w:p>
    <w:p w14:paraId="2448AB27"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订立本协议的目的是</w:t>
      </w:r>
      <w:r>
        <w:rPr>
          <w:rFonts w:ascii="宋体" w:eastAsia="宋体" w:cs="宋体" w:hint="eastAsia"/>
          <w:sz w:val="21"/>
          <w:szCs w:val="21"/>
        </w:rPr>
        <w:t>明确</w:t>
      </w:r>
      <w:r>
        <w:rPr>
          <w:rFonts w:ascii="宋体" w:eastAsia="宋体" w:hint="eastAsia"/>
          <w:color w:val="auto"/>
          <w:sz w:val="21"/>
          <w:szCs w:val="21"/>
        </w:rPr>
        <w:t>广发国证粮食产业交易型开放式指数</w:t>
      </w:r>
      <w:r>
        <w:rPr>
          <w:rFonts w:ascii="宋体" w:eastAsia="宋体" w:cs="宋体" w:hint="eastAsia"/>
          <w:sz w:val="21"/>
          <w:szCs w:val="21"/>
        </w:rPr>
        <w:t>证券投资</w:t>
      </w:r>
      <w:r>
        <w:rPr>
          <w:rFonts w:ascii="宋体" w:eastAsia="宋体" w:hint="eastAsia"/>
          <w:color w:val="auto"/>
          <w:sz w:val="21"/>
          <w:szCs w:val="21"/>
        </w:rPr>
        <w:t>基金发起式联接</w:t>
      </w:r>
      <w:r>
        <w:rPr>
          <w:rFonts w:ascii="宋体" w:eastAsia="宋体" w:cs="宋体" w:hint="eastAsia"/>
          <w:sz w:val="21"/>
          <w:szCs w:val="21"/>
        </w:rPr>
        <w:t>基金基金托管人和</w:t>
      </w:r>
      <w:r>
        <w:rPr>
          <w:rFonts w:ascii="宋体" w:eastAsia="宋体" w:hint="eastAsia"/>
          <w:color w:val="auto"/>
          <w:sz w:val="21"/>
          <w:szCs w:val="21"/>
        </w:rPr>
        <w:t>广发国证粮食产业交易型开放式指数</w:t>
      </w:r>
      <w:r>
        <w:rPr>
          <w:rFonts w:ascii="宋体" w:eastAsia="宋体" w:cs="宋体" w:hint="eastAsia"/>
          <w:sz w:val="21"/>
          <w:szCs w:val="21"/>
        </w:rPr>
        <w:t>证券投资</w:t>
      </w:r>
      <w:r>
        <w:rPr>
          <w:rFonts w:ascii="宋体" w:eastAsia="宋体" w:hint="eastAsia"/>
          <w:color w:val="auto"/>
          <w:sz w:val="21"/>
          <w:szCs w:val="21"/>
        </w:rPr>
        <w:t>基金发起式联接</w:t>
      </w:r>
      <w:r>
        <w:rPr>
          <w:rFonts w:ascii="宋体" w:eastAsia="宋体" w:cs="宋体" w:hint="eastAsia"/>
          <w:sz w:val="21"/>
          <w:szCs w:val="21"/>
        </w:rPr>
        <w:t>基金基金管理人之间在基金财产的保管、投资运作、净值计算、收益分配、信息披露及相互监督等相关事宜中的权利、义务及职责，确保基金财产的安全，保护基金份额持有人的合法权益。</w:t>
      </w:r>
    </w:p>
    <w:p w14:paraId="4C52F3D1"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（三）原则</w:t>
      </w:r>
    </w:p>
    <w:p w14:paraId="2A92A819"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基金管理人和基金托管人本着平等自愿、诚实信用的原则，经协商一致，签订本协议。</w:t>
      </w:r>
    </w:p>
    <w:p w14:paraId="5C0A9D5B"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（四）解释</w:t>
      </w:r>
    </w:p>
    <w:p w14:paraId="14B3F582"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除非文义另有所指，本协议的所有术语与</w:t>
      </w:r>
      <w:bookmarkStart w:id="4" w:name="OLE_LINK3"/>
      <w:r>
        <w:rPr>
          <w:rFonts w:ascii="宋体" w:eastAsia="宋体" w:cs="宋体" w:hint="eastAsia"/>
          <w:sz w:val="21"/>
          <w:szCs w:val="21"/>
        </w:rPr>
        <w:t>《基金合同》</w:t>
      </w:r>
      <w:bookmarkEnd w:id="4"/>
      <w:r>
        <w:rPr>
          <w:rFonts w:ascii="宋体" w:eastAsia="宋体" w:cs="宋体" w:hint="eastAsia"/>
          <w:sz w:val="21"/>
          <w:szCs w:val="21"/>
        </w:rPr>
        <w:t>的相应术语具有相同含义。</w:t>
      </w:r>
    </w:p>
    <w:p w14:paraId="3F68C5A5" w14:textId="77777777" w:rsidR="00D21308" w:rsidRDefault="00D21308">
      <w:pPr>
        <w:pStyle w:val="a6"/>
        <w:widowControl/>
        <w:spacing w:before="100" w:beforeAutospacing="1" w:after="100" w:afterAutospacing="1"/>
        <w:ind w:firstLine="403"/>
        <w:rPr>
          <w:rFonts w:ascii="宋体" w:eastAsia="宋体"/>
          <w:sz w:val="21"/>
          <w:szCs w:val="21"/>
        </w:rPr>
      </w:pPr>
    </w:p>
    <w:p w14:paraId="5C4F2D18"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5" w:name="_Toc116900098"/>
      <w:r>
        <w:rPr>
          <w:rFonts w:ascii="宋体" w:hAnsi="宋体" w:cs="宋体" w:hint="eastAsia"/>
          <w:bCs w:val="0"/>
          <w:sz w:val="21"/>
          <w:szCs w:val="21"/>
        </w:rPr>
        <w:t>三、基金托管人对基金管理人的业务监督和</w:t>
      </w:r>
      <w:r>
        <w:rPr>
          <w:rFonts w:ascii="宋体" w:hAnsi="宋体" w:cs="宋体" w:hint="eastAsia"/>
          <w:bCs w:val="0"/>
          <w:sz w:val="21"/>
          <w:szCs w:val="21"/>
        </w:rPr>
        <w:t>核查</w:t>
      </w:r>
      <w:bookmarkEnd w:id="5"/>
    </w:p>
    <w:p w14:paraId="186A1921"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宋体" w:hint="eastAsia"/>
          <w:szCs w:val="21"/>
          <w:lang w:bidi="ar"/>
        </w:rPr>
        <w:t>（一）基金托管人根据有关法律法规的规定对基金管理人的下列投资运作进行监督：</w:t>
      </w:r>
    </w:p>
    <w:p w14:paraId="357A7892"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宋体"/>
          <w:szCs w:val="21"/>
          <w:lang w:bidi="ar"/>
        </w:rPr>
        <w:t>1</w:t>
      </w:r>
      <w:r>
        <w:rPr>
          <w:rFonts w:ascii="宋体" w:hAnsi="宋体" w:cs="宋体"/>
          <w:szCs w:val="21"/>
          <w:lang w:bidi="ar"/>
        </w:rPr>
        <w:t>、对基金的投资范围、投资对象</w:t>
      </w:r>
      <w:r>
        <w:rPr>
          <w:rFonts w:ascii="宋体" w:hAnsi="宋体" w:cs="方正仿宋简体" w:hint="eastAsia"/>
          <w:szCs w:val="21"/>
        </w:rPr>
        <w:t>进行监督。</w:t>
      </w:r>
    </w:p>
    <w:p w14:paraId="486DC2D7"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rPr>
        <w:t>本基金以目标</w:t>
      </w:r>
      <w:r>
        <w:rPr>
          <w:rFonts w:ascii="宋体" w:hAnsi="宋体" w:cs="方正仿宋简体"/>
          <w:szCs w:val="21"/>
        </w:rPr>
        <w:t>ETF</w:t>
      </w:r>
      <w:r>
        <w:rPr>
          <w:rFonts w:ascii="宋体" w:hAnsi="宋体" w:cs="方正仿宋简体"/>
          <w:szCs w:val="21"/>
        </w:rPr>
        <w:t>基金份额、标的指数成份股及备选成份股（含存托凭证）为主要</w:t>
      </w:r>
      <w:r>
        <w:rPr>
          <w:rFonts w:ascii="宋体" w:hAnsi="宋体" w:cs="方正仿宋简体" w:hint="eastAsia"/>
          <w:i/>
          <w:szCs w:val="21"/>
        </w:rPr>
        <w:t>投资</w:t>
      </w:r>
      <w:r>
        <w:rPr>
          <w:rFonts w:ascii="宋体" w:hAnsi="宋体" w:cs="方正仿宋简体"/>
          <w:szCs w:val="21"/>
        </w:rPr>
        <w:t>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14:paraId="2A820127"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rPr>
        <w:t>本基金的目标</w:t>
      </w:r>
      <w:r>
        <w:rPr>
          <w:rFonts w:ascii="宋体" w:hAnsi="宋体" w:cs="方正仿宋简体"/>
          <w:szCs w:val="21"/>
        </w:rPr>
        <w:t>ETF</w:t>
      </w:r>
      <w:r>
        <w:rPr>
          <w:rFonts w:ascii="宋体" w:hAnsi="宋体" w:cs="方正仿宋简体"/>
          <w:szCs w:val="21"/>
        </w:rPr>
        <w:t>为广发国证粮食产业交易型开放式指数证券投资</w:t>
      </w:r>
      <w:r>
        <w:rPr>
          <w:rFonts w:ascii="宋体" w:hAnsi="宋体" w:cs="方正仿宋简体" w:hint="eastAsia"/>
          <w:iCs/>
          <w:szCs w:val="21"/>
        </w:rPr>
        <w:t>基金</w:t>
      </w:r>
      <w:r>
        <w:rPr>
          <w:rFonts w:ascii="宋体" w:hAnsi="宋体" w:cs="方正仿宋简体"/>
          <w:szCs w:val="21"/>
        </w:rPr>
        <w:t>。</w:t>
      </w:r>
    </w:p>
    <w:p w14:paraId="43892AE7"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rPr>
        <w:lastRenderedPageBreak/>
        <w:t>本基金可根据相关法律法规的规定参与转融通证券出借及融资业务。</w:t>
      </w:r>
    </w:p>
    <w:p w14:paraId="678A8CC9"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szCs w:val="21"/>
        </w:rPr>
        <w:t>如法律法规或监管机构以后允许基金投资于其他品种，基金管理人在履行适当程序后，可以将其纳入投资范围。</w:t>
      </w:r>
    </w:p>
    <w:p w14:paraId="384CB99D"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方正仿宋简体"/>
          <w:szCs w:val="21"/>
        </w:rPr>
        <w:t>基金的投资组合比例为：投资于目标</w:t>
      </w:r>
      <w:r>
        <w:rPr>
          <w:rFonts w:ascii="宋体" w:hAnsi="宋体" w:cs="方正仿宋简体"/>
          <w:szCs w:val="21"/>
        </w:rPr>
        <w:t>ETF</w:t>
      </w:r>
      <w:r>
        <w:rPr>
          <w:rFonts w:ascii="宋体" w:hAnsi="宋体" w:cs="方正仿宋简体"/>
          <w:szCs w:val="21"/>
        </w:rPr>
        <w:t>的比例不低于基金资产净值的</w:t>
      </w:r>
      <w:r>
        <w:rPr>
          <w:rFonts w:ascii="宋体" w:hAnsi="宋体" w:cs="方正仿宋简体"/>
          <w:szCs w:val="21"/>
        </w:rPr>
        <w:t>90%</w:t>
      </w:r>
      <w:r>
        <w:rPr>
          <w:rFonts w:ascii="宋体" w:hAnsi="宋体" w:cs="方正仿宋简体"/>
          <w:szCs w:val="21"/>
        </w:rPr>
        <w:t>且不低于非现金基金资产的</w:t>
      </w:r>
      <w:r>
        <w:rPr>
          <w:rFonts w:ascii="宋体" w:hAnsi="宋体" w:cs="方正仿宋简体"/>
          <w:szCs w:val="21"/>
        </w:rPr>
        <w:t>80%</w:t>
      </w:r>
      <w:r>
        <w:rPr>
          <w:rFonts w:ascii="宋体" w:hAnsi="宋体" w:cs="方正仿宋简体"/>
          <w:szCs w:val="21"/>
        </w:rPr>
        <w:t>；每个交易日日终在扣除股指期货合约、国债期货合约、股票期权合约需缴纳的交易保证金后，现金及到期日在一年以内的政府债券的比例合计不低于基金资产净值的</w:t>
      </w:r>
      <w:r>
        <w:rPr>
          <w:rFonts w:ascii="宋体" w:hAnsi="宋体" w:cs="方正仿宋简体"/>
          <w:szCs w:val="21"/>
        </w:rPr>
        <w:t>5%</w:t>
      </w:r>
      <w:r>
        <w:rPr>
          <w:rFonts w:ascii="宋体" w:hAnsi="宋体" w:cs="方正仿宋简体"/>
          <w:szCs w:val="21"/>
        </w:rPr>
        <w:t>，现金不包括结算备付金、存出保证金、应收申购款等。</w:t>
      </w:r>
    </w:p>
    <w:p w14:paraId="1242DC53"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i/>
          <w:szCs w:val="21"/>
        </w:rPr>
      </w:pPr>
      <w:r>
        <w:rPr>
          <w:rFonts w:ascii="宋体" w:hAnsi="宋体" w:cs="方正仿宋简体"/>
          <w:szCs w:val="21"/>
        </w:rPr>
        <w:t>如法律法规或中国证监会变更投资品种的</w:t>
      </w:r>
      <w:r>
        <w:rPr>
          <w:rFonts w:ascii="宋体" w:hAnsi="宋体" w:cs="宋体" w:hint="eastAsia"/>
          <w:iCs/>
          <w:szCs w:val="21"/>
          <w:lang w:bidi="ar"/>
        </w:rPr>
        <w:t>投资</w:t>
      </w:r>
      <w:r>
        <w:rPr>
          <w:rFonts w:ascii="宋体" w:hAnsi="宋体" w:cs="方正仿宋简体"/>
          <w:szCs w:val="21"/>
        </w:rPr>
        <w:t>比例限制，</w:t>
      </w:r>
      <w:r>
        <w:rPr>
          <w:rFonts w:ascii="宋体" w:hAnsi="宋体" w:cs="宋体" w:hint="eastAsia"/>
          <w:iCs/>
          <w:szCs w:val="21"/>
          <w:lang w:bidi="ar"/>
        </w:rPr>
        <w:t>基金</w:t>
      </w:r>
      <w:r>
        <w:rPr>
          <w:rFonts w:ascii="宋体" w:hAnsi="宋体" w:cs="方正仿宋简体"/>
          <w:szCs w:val="21"/>
        </w:rPr>
        <w:t>管理人在履行适当程序后，可以做出相应调整。</w:t>
      </w:r>
    </w:p>
    <w:p w14:paraId="4D16D475" w14:textId="77777777" w:rsidR="00D21308" w:rsidRDefault="00F41C2D">
      <w:pPr>
        <w:widowControl/>
        <w:adjustRightInd w:val="0"/>
        <w:snapToGrid w:val="0"/>
        <w:spacing w:before="100" w:beforeAutospacing="1" w:after="100" w:afterAutospacing="1" w:line="400" w:lineRule="exact"/>
        <w:ind w:firstLineChars="200" w:firstLine="420"/>
        <w:jc w:val="left"/>
        <w:rPr>
          <w:rFonts w:ascii="宋体" w:hAnsi="宋体"/>
          <w:szCs w:val="21"/>
        </w:rPr>
      </w:pPr>
      <w:r>
        <w:rPr>
          <w:rFonts w:ascii="宋体" w:hAnsi="宋体" w:cs="宋体" w:hint="eastAsia"/>
          <w:szCs w:val="21"/>
          <w:lang w:bidi="ar"/>
        </w:rPr>
        <w:t>基金管理人应</w:t>
      </w:r>
      <w:r>
        <w:rPr>
          <w:rFonts w:ascii="宋体" w:hAnsi="宋体" w:cs="宋体" w:hint="eastAsia"/>
          <w:szCs w:val="21"/>
          <w:lang w:bidi="ar"/>
        </w:rPr>
        <w:t>将拟投资的</w:t>
      </w:r>
      <w:r>
        <w:rPr>
          <w:rFonts w:ascii="宋体" w:hAnsi="宋体" w:cs="方正仿宋简体" w:hint="eastAsia"/>
          <w:szCs w:val="21"/>
        </w:rPr>
        <w:t>国证粮食产业</w:t>
      </w:r>
      <w:r>
        <w:rPr>
          <w:rFonts w:ascii="宋体" w:hAnsi="宋体" w:cs="宋体" w:hint="eastAsia"/>
          <w:szCs w:val="21"/>
          <w:lang w:bidi="ar"/>
        </w:rPr>
        <w:t>指数股票库等各投资品种的具体范围及时提供给基金托管人。基金</w:t>
      </w:r>
      <w:r>
        <w:rPr>
          <w:rFonts w:ascii="宋体" w:hAnsi="宋体" w:cs="宋体" w:hint="eastAsia"/>
          <w:color w:val="000000"/>
          <w:szCs w:val="21"/>
          <w:lang w:bidi="ar"/>
        </w:rPr>
        <w:t>管理人可以根据实际情况的变化，对各投资品种的具体范围予以更新和调整，并及时通知基金托管人。基金托管人根据上述投资范围对基金的投资进行监督</w:t>
      </w:r>
      <w:r>
        <w:rPr>
          <w:rFonts w:ascii="宋体" w:hAnsi="宋体" w:hint="eastAsia"/>
          <w:szCs w:val="21"/>
        </w:rPr>
        <w:t>。</w:t>
      </w:r>
    </w:p>
    <w:p w14:paraId="12A9FF0D"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szCs w:val="21"/>
          <w:lang w:bidi="ar"/>
        </w:rPr>
        <w:t>2</w:t>
      </w:r>
      <w:r>
        <w:rPr>
          <w:rFonts w:ascii="宋体" w:hAnsi="宋体" w:cs="宋体"/>
          <w:szCs w:val="21"/>
          <w:lang w:bidi="ar"/>
        </w:rPr>
        <w:t>、对基金投融资比例进行监督；</w:t>
      </w:r>
    </w:p>
    <w:p w14:paraId="40072F78"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w:t>
      </w:r>
      <w:r>
        <w:rPr>
          <w:rFonts w:ascii="宋体" w:hAnsi="宋体" w:cs="宋体"/>
          <w:szCs w:val="21"/>
          <w:lang w:bidi="ar"/>
        </w:rPr>
        <w:t>）本基金</w:t>
      </w:r>
      <w:r>
        <w:rPr>
          <w:rFonts w:ascii="宋体" w:hAnsi="宋体" w:cs="宋体" w:hint="eastAsia"/>
          <w:szCs w:val="21"/>
          <w:lang w:bidi="ar"/>
        </w:rPr>
        <w:t>投资于目标</w:t>
      </w:r>
      <w:r>
        <w:rPr>
          <w:rFonts w:ascii="宋体" w:hAnsi="宋体" w:cs="宋体"/>
          <w:szCs w:val="21"/>
          <w:lang w:bidi="ar"/>
        </w:rPr>
        <w:t>ETF</w:t>
      </w:r>
      <w:r>
        <w:rPr>
          <w:rFonts w:ascii="宋体" w:hAnsi="宋体" w:cs="宋体" w:hint="eastAsia"/>
          <w:szCs w:val="21"/>
          <w:lang w:bidi="ar"/>
        </w:rPr>
        <w:t>的比例不低于基金资产净值的</w:t>
      </w:r>
      <w:r>
        <w:rPr>
          <w:rFonts w:ascii="宋体" w:hAnsi="宋体" w:cs="宋体"/>
          <w:szCs w:val="21"/>
          <w:lang w:bidi="ar"/>
        </w:rPr>
        <w:t>90%</w:t>
      </w:r>
      <w:r>
        <w:rPr>
          <w:rFonts w:ascii="宋体" w:hAnsi="宋体" w:cs="宋体" w:hint="eastAsia"/>
          <w:szCs w:val="21"/>
          <w:lang w:bidi="ar"/>
        </w:rPr>
        <w:t>且不低于非现金基金资产的</w:t>
      </w:r>
      <w:r>
        <w:rPr>
          <w:rFonts w:ascii="宋体" w:hAnsi="宋体" w:cs="宋体"/>
          <w:szCs w:val="21"/>
          <w:lang w:bidi="ar"/>
        </w:rPr>
        <w:t>80%</w:t>
      </w:r>
      <w:r>
        <w:rPr>
          <w:rFonts w:ascii="宋体" w:hAnsi="宋体" w:cs="宋体"/>
          <w:szCs w:val="21"/>
          <w:lang w:bidi="ar"/>
        </w:rPr>
        <w:t>；</w:t>
      </w:r>
    </w:p>
    <w:p w14:paraId="1B1EE47F"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2</w:t>
      </w:r>
      <w:r>
        <w:rPr>
          <w:rFonts w:ascii="宋体" w:hAnsi="宋体" w:cs="宋体"/>
          <w:szCs w:val="21"/>
          <w:lang w:bidi="ar"/>
        </w:rPr>
        <w:t>）每个交易日日终在扣除股指期货合约</w:t>
      </w:r>
      <w:r>
        <w:rPr>
          <w:rFonts w:ascii="宋体" w:hAnsi="宋体" w:cs="宋体" w:hint="eastAsia"/>
          <w:szCs w:val="21"/>
          <w:lang w:bidi="ar"/>
        </w:rPr>
        <w:t>、国债期货合约、股票期权合约需缴纳的交易保证金后，保持不低于基金资产净值</w:t>
      </w:r>
      <w:r>
        <w:rPr>
          <w:rFonts w:ascii="宋体" w:hAnsi="宋体" w:cs="宋体"/>
          <w:szCs w:val="21"/>
          <w:lang w:bidi="ar"/>
        </w:rPr>
        <w:t>5%</w:t>
      </w:r>
      <w:r>
        <w:rPr>
          <w:rFonts w:ascii="宋体" w:hAnsi="宋体" w:cs="宋体" w:hint="eastAsia"/>
          <w:szCs w:val="21"/>
          <w:lang w:bidi="ar"/>
        </w:rPr>
        <w:t>的现金或者到期日在一年以内的政府债券，其中现金不包括结算备付金、存出保证金及应收申购款等；</w:t>
      </w:r>
    </w:p>
    <w:p w14:paraId="0CFF8010"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3</w:t>
      </w:r>
      <w:r>
        <w:rPr>
          <w:rFonts w:ascii="宋体" w:hAnsi="宋体" w:cs="宋体"/>
          <w:szCs w:val="21"/>
          <w:lang w:bidi="ar"/>
        </w:rPr>
        <w:t>）本基金</w:t>
      </w:r>
      <w:r>
        <w:rPr>
          <w:rFonts w:ascii="宋体" w:hAnsi="宋体" w:cs="宋体" w:hint="eastAsia"/>
          <w:szCs w:val="21"/>
          <w:lang w:bidi="ar"/>
        </w:rPr>
        <w:t>参与股指期货交易的，应当符合下列投资限制：</w:t>
      </w:r>
    </w:p>
    <w:p w14:paraId="7122E035"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在任何交易日日终，持有的买入股指期货合约价值，不得超过基金资产净值的</w:t>
      </w:r>
      <w:r>
        <w:rPr>
          <w:rFonts w:ascii="宋体" w:hAnsi="宋体" w:cs="宋体"/>
          <w:szCs w:val="21"/>
          <w:lang w:bidi="ar"/>
        </w:rPr>
        <w:t>10%</w:t>
      </w:r>
      <w:r>
        <w:rPr>
          <w:rFonts w:ascii="宋体" w:hAnsi="宋体" w:cs="宋体" w:hint="eastAsia"/>
          <w:szCs w:val="21"/>
          <w:lang w:bidi="ar"/>
        </w:rPr>
        <w:t>；在任何交易日日终，持有的买入股指期货合约、国债期货合约价值与有价证券市值之和，不得超过基金资产净值的</w:t>
      </w:r>
      <w:r>
        <w:rPr>
          <w:rFonts w:ascii="宋体" w:hAnsi="宋体" w:cs="宋体"/>
          <w:szCs w:val="21"/>
          <w:lang w:bidi="ar"/>
        </w:rPr>
        <w:t>100%</w:t>
      </w:r>
      <w:r>
        <w:rPr>
          <w:rFonts w:ascii="宋体" w:hAnsi="宋体" w:cs="宋体"/>
          <w:szCs w:val="21"/>
          <w:lang w:bidi="ar"/>
        </w:rPr>
        <w:t>，其中，有价证券指</w:t>
      </w:r>
      <w:r>
        <w:rPr>
          <w:rFonts w:ascii="宋体" w:hAnsi="宋体" w:cs="宋体" w:hint="eastAsia"/>
          <w:szCs w:val="21"/>
          <w:lang w:bidi="ar"/>
        </w:rPr>
        <w:t>目标</w:t>
      </w:r>
      <w:r>
        <w:rPr>
          <w:rFonts w:ascii="宋体" w:hAnsi="宋体" w:cs="宋体"/>
          <w:szCs w:val="21"/>
          <w:lang w:bidi="ar"/>
        </w:rPr>
        <w:t>ETF</w:t>
      </w:r>
      <w:r>
        <w:rPr>
          <w:rFonts w:ascii="宋体" w:hAnsi="宋体" w:cs="宋体" w:hint="eastAsia"/>
          <w:szCs w:val="21"/>
          <w:lang w:bidi="ar"/>
        </w:rPr>
        <w:t>、股票、债券（不含到期日在一年以内的政府债券）、资产支持证券、买入返售金融资产（不含质押式回购）等；在任何交易日日终，持有的卖出股指期货合约价值不得超过</w:t>
      </w:r>
      <w:r>
        <w:rPr>
          <w:rFonts w:ascii="宋体" w:hAnsi="宋体" w:cs="宋体" w:hint="eastAsia"/>
          <w:szCs w:val="21"/>
          <w:lang w:bidi="ar"/>
        </w:rPr>
        <w:t>基金持有的股票及目标</w:t>
      </w:r>
      <w:r>
        <w:rPr>
          <w:rFonts w:ascii="宋体" w:hAnsi="宋体" w:cs="宋体"/>
          <w:szCs w:val="21"/>
          <w:lang w:bidi="ar"/>
        </w:rPr>
        <w:t>ETF</w:t>
      </w:r>
      <w:r>
        <w:rPr>
          <w:rFonts w:ascii="宋体" w:hAnsi="宋体" w:cs="宋体" w:hint="eastAsia"/>
          <w:szCs w:val="21"/>
          <w:lang w:bidi="ar"/>
        </w:rPr>
        <w:t>总市值的</w:t>
      </w:r>
      <w:r>
        <w:rPr>
          <w:rFonts w:ascii="宋体" w:hAnsi="宋体" w:cs="宋体"/>
          <w:szCs w:val="21"/>
          <w:lang w:bidi="ar"/>
        </w:rPr>
        <w:t>20%</w:t>
      </w:r>
      <w:r>
        <w:rPr>
          <w:rFonts w:ascii="宋体" w:hAnsi="宋体" w:cs="宋体"/>
          <w:szCs w:val="21"/>
          <w:lang w:bidi="ar"/>
        </w:rPr>
        <w:t>；</w:t>
      </w:r>
      <w:r>
        <w:rPr>
          <w:rFonts w:ascii="宋体" w:hAnsi="宋体" w:cs="宋体" w:hint="eastAsia"/>
          <w:szCs w:val="21"/>
          <w:lang w:bidi="ar"/>
        </w:rPr>
        <w:t>在任何交易日内交易（不包括平仓）的股指期货合约的成交金额不得超过上一交易日基金资产净值的</w:t>
      </w:r>
      <w:r>
        <w:rPr>
          <w:rFonts w:ascii="宋体" w:hAnsi="宋体" w:cs="宋体"/>
          <w:szCs w:val="21"/>
          <w:lang w:bidi="ar"/>
        </w:rPr>
        <w:t>20%</w:t>
      </w:r>
      <w:r>
        <w:rPr>
          <w:rFonts w:ascii="宋体" w:hAnsi="宋体" w:cs="宋体"/>
          <w:szCs w:val="21"/>
          <w:lang w:bidi="ar"/>
        </w:rPr>
        <w:t>；</w:t>
      </w:r>
    </w:p>
    <w:p w14:paraId="44D5C88A"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4</w:t>
      </w:r>
      <w:r>
        <w:rPr>
          <w:rFonts w:ascii="宋体" w:hAnsi="宋体" w:cs="宋体" w:hint="eastAsia"/>
          <w:szCs w:val="21"/>
          <w:lang w:bidi="ar"/>
        </w:rPr>
        <w:t>）本基金参与国债期货交易，应当遵守下列要求：在任何交易日日终，本基金持有</w:t>
      </w:r>
      <w:r>
        <w:rPr>
          <w:rFonts w:ascii="宋体" w:hAnsi="宋体" w:cs="宋体" w:hint="eastAsia"/>
          <w:szCs w:val="21"/>
          <w:lang w:bidi="ar"/>
        </w:rPr>
        <w:lastRenderedPageBreak/>
        <w:t>的买入国债期货合约价值，不得超过基金资产净值的</w:t>
      </w:r>
      <w:r>
        <w:rPr>
          <w:rFonts w:ascii="宋体" w:hAnsi="宋体" w:cs="宋体"/>
          <w:szCs w:val="21"/>
          <w:lang w:bidi="ar"/>
        </w:rPr>
        <w:t>15%</w:t>
      </w:r>
      <w:r>
        <w:rPr>
          <w:rFonts w:ascii="宋体" w:hAnsi="宋体" w:cs="宋体" w:hint="eastAsia"/>
          <w:szCs w:val="21"/>
          <w:lang w:bidi="ar"/>
        </w:rPr>
        <w:t>；本基金在任何交易日日终，持有的卖出国债期货合约价值不得超过基金持有的债券总市值的</w:t>
      </w:r>
      <w:r>
        <w:rPr>
          <w:rFonts w:ascii="宋体" w:hAnsi="宋体" w:cs="宋体"/>
          <w:szCs w:val="21"/>
          <w:lang w:bidi="ar"/>
        </w:rPr>
        <w:t xml:space="preserve"> 30%</w:t>
      </w:r>
      <w:r>
        <w:rPr>
          <w:rFonts w:ascii="宋体" w:hAnsi="宋体" w:cs="宋体" w:hint="eastAsia"/>
          <w:szCs w:val="21"/>
          <w:lang w:bidi="ar"/>
        </w:rPr>
        <w:t>；本基金在任何交易日内交易（不包括平仓）的国债期货合约的成交金额不得超过上一交易日基金资产净值的</w:t>
      </w:r>
      <w:r>
        <w:rPr>
          <w:rFonts w:ascii="宋体" w:hAnsi="宋体" w:cs="宋体"/>
          <w:szCs w:val="21"/>
          <w:lang w:bidi="ar"/>
        </w:rPr>
        <w:t>30%</w:t>
      </w:r>
      <w:r>
        <w:rPr>
          <w:rFonts w:ascii="宋体" w:hAnsi="宋体" w:cs="宋体" w:hint="eastAsia"/>
          <w:szCs w:val="21"/>
          <w:lang w:bidi="ar"/>
        </w:rPr>
        <w:t>；</w:t>
      </w:r>
    </w:p>
    <w:p w14:paraId="5FAF5419"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5</w:t>
      </w:r>
      <w:r>
        <w:rPr>
          <w:rFonts w:ascii="宋体" w:hAnsi="宋体" w:cs="宋体" w:hint="eastAsia"/>
          <w:szCs w:val="21"/>
          <w:lang w:bidi="ar"/>
        </w:rPr>
        <w:t>）本基金参与股票期权交易的，应当符合下列风险</w:t>
      </w:r>
      <w:r>
        <w:rPr>
          <w:rFonts w:ascii="宋体" w:hAnsi="宋体" w:cs="宋体" w:hint="eastAsia"/>
          <w:szCs w:val="21"/>
          <w:lang w:bidi="ar"/>
        </w:rPr>
        <w:t>控制指标要求：</w:t>
      </w:r>
    </w:p>
    <w:p w14:paraId="37AF9375"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基金因未平仓的股票期权合约支付和收取的权利金总额不得超过基金资产净值的</w:t>
      </w:r>
      <w:r>
        <w:rPr>
          <w:rFonts w:ascii="宋体" w:hAnsi="宋体" w:cs="宋体"/>
          <w:szCs w:val="21"/>
          <w:lang w:bidi="ar"/>
        </w:rPr>
        <w:t>10%</w:t>
      </w:r>
      <w:r>
        <w:rPr>
          <w:rFonts w:ascii="宋体" w:hAnsi="宋体" w:cs="宋体"/>
          <w:szCs w:val="21"/>
          <w:lang w:bidi="ar"/>
        </w:rPr>
        <w:t>；</w:t>
      </w:r>
      <w:r>
        <w:rPr>
          <w:rFonts w:ascii="宋体" w:hAnsi="宋体" w:cs="宋体" w:hint="eastAsia"/>
          <w:szCs w:val="21"/>
          <w:lang w:bidi="ar"/>
        </w:rPr>
        <w:t>未平仓的股票期权合约面值不得超过基金资产净值的</w:t>
      </w:r>
      <w:r>
        <w:rPr>
          <w:rFonts w:ascii="宋体" w:hAnsi="宋体" w:cs="宋体"/>
          <w:szCs w:val="21"/>
          <w:lang w:bidi="ar"/>
        </w:rPr>
        <w:t>20%</w:t>
      </w:r>
      <w:r>
        <w:rPr>
          <w:rFonts w:ascii="宋体" w:hAnsi="宋体" w:cs="宋体" w:hint="eastAsia"/>
          <w:szCs w:val="21"/>
          <w:lang w:bidi="ar"/>
        </w:rPr>
        <w:t>。其中，合约面值按照行权价乘以合约乘数计算；</w:t>
      </w:r>
    </w:p>
    <w:p w14:paraId="1F8CB8A3"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6</w:t>
      </w:r>
      <w:r>
        <w:rPr>
          <w:rFonts w:ascii="宋体" w:hAnsi="宋体" w:cs="宋体" w:hint="eastAsia"/>
          <w:szCs w:val="21"/>
          <w:lang w:bidi="ar"/>
        </w:rPr>
        <w:t>）本基金参与转融通证券出借业务的，还须符合以下限制：出借证券资产不得超过基金资产净值的</w:t>
      </w:r>
      <w:r>
        <w:rPr>
          <w:rFonts w:ascii="宋体" w:hAnsi="宋体" w:cs="宋体"/>
          <w:szCs w:val="21"/>
          <w:lang w:bidi="ar"/>
        </w:rPr>
        <w:t>30%</w:t>
      </w:r>
      <w:r>
        <w:rPr>
          <w:rFonts w:ascii="宋体" w:hAnsi="宋体" w:cs="宋体" w:hint="eastAsia"/>
          <w:szCs w:val="21"/>
          <w:lang w:bidi="ar"/>
        </w:rPr>
        <w:t>；参与出借业务的单只证券不得超过基金持有该证券总量的</w:t>
      </w:r>
      <w:r>
        <w:rPr>
          <w:rFonts w:ascii="宋体" w:hAnsi="宋体" w:cs="宋体"/>
          <w:szCs w:val="21"/>
          <w:lang w:bidi="ar"/>
        </w:rPr>
        <w:t>50%</w:t>
      </w:r>
      <w:r>
        <w:rPr>
          <w:rFonts w:ascii="宋体" w:hAnsi="宋体" w:cs="宋体" w:hint="eastAsia"/>
          <w:szCs w:val="21"/>
          <w:lang w:bidi="ar"/>
        </w:rPr>
        <w:t>；最近</w:t>
      </w:r>
      <w:r>
        <w:rPr>
          <w:rFonts w:ascii="宋体" w:hAnsi="宋体" w:cs="宋体"/>
          <w:szCs w:val="21"/>
          <w:lang w:bidi="ar"/>
        </w:rPr>
        <w:t>6</w:t>
      </w:r>
      <w:r>
        <w:rPr>
          <w:rFonts w:ascii="宋体" w:hAnsi="宋体" w:cs="宋体" w:hint="eastAsia"/>
          <w:szCs w:val="21"/>
          <w:lang w:bidi="ar"/>
        </w:rPr>
        <w:t>个月内日均基金资产净值不得低于</w:t>
      </w:r>
      <w:r>
        <w:rPr>
          <w:rFonts w:ascii="宋体" w:hAnsi="宋体" w:cs="宋体"/>
          <w:szCs w:val="21"/>
          <w:lang w:bidi="ar"/>
        </w:rPr>
        <w:t>2</w:t>
      </w:r>
      <w:r>
        <w:rPr>
          <w:rFonts w:ascii="宋体" w:hAnsi="宋体" w:cs="宋体" w:hint="eastAsia"/>
          <w:szCs w:val="21"/>
          <w:lang w:bidi="ar"/>
        </w:rPr>
        <w:t>亿元；证券出借的平均剩余期限不得超过</w:t>
      </w:r>
      <w:r>
        <w:rPr>
          <w:rFonts w:ascii="宋体" w:hAnsi="宋体" w:cs="宋体"/>
          <w:szCs w:val="21"/>
          <w:lang w:bidi="ar"/>
        </w:rPr>
        <w:t>30</w:t>
      </w:r>
      <w:r>
        <w:rPr>
          <w:rFonts w:ascii="宋体" w:hAnsi="宋体" w:cs="宋体" w:hint="eastAsia"/>
          <w:szCs w:val="21"/>
          <w:lang w:bidi="ar"/>
        </w:rPr>
        <w:t>天，平均剩余期限按照市值加权平均计算；</w:t>
      </w:r>
    </w:p>
    <w:p w14:paraId="72DADEDE"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7</w:t>
      </w:r>
      <w:r>
        <w:rPr>
          <w:rFonts w:ascii="宋体" w:hAnsi="宋体" w:cs="宋体" w:hint="eastAsia"/>
          <w:szCs w:val="21"/>
          <w:lang w:bidi="ar"/>
        </w:rPr>
        <w:t>）本基金投资于同一原始权益人的各类资产支持</w:t>
      </w:r>
      <w:r>
        <w:rPr>
          <w:rFonts w:ascii="宋体" w:hAnsi="宋体" w:cs="宋体" w:hint="eastAsia"/>
          <w:szCs w:val="21"/>
          <w:lang w:bidi="ar"/>
        </w:rPr>
        <w:t>证券的比例，不得超过基金资产净值的</w:t>
      </w:r>
      <w:r>
        <w:rPr>
          <w:rFonts w:ascii="宋体" w:hAnsi="宋体" w:cs="宋体"/>
          <w:szCs w:val="21"/>
          <w:lang w:bidi="ar"/>
        </w:rPr>
        <w:t>10%</w:t>
      </w:r>
      <w:r>
        <w:rPr>
          <w:rFonts w:ascii="宋体" w:hAnsi="宋体" w:cs="宋体" w:hint="eastAsia"/>
          <w:szCs w:val="21"/>
          <w:lang w:bidi="ar"/>
        </w:rPr>
        <w:t>；</w:t>
      </w:r>
    </w:p>
    <w:p w14:paraId="5FC28FA2"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8</w:t>
      </w:r>
      <w:r>
        <w:rPr>
          <w:rFonts w:ascii="宋体" w:hAnsi="宋体" w:cs="宋体" w:hint="eastAsia"/>
          <w:szCs w:val="21"/>
          <w:lang w:bidi="ar"/>
        </w:rPr>
        <w:t>）本基金持有的全部资产支持证券，其市值不得超过基金资产净值的</w:t>
      </w:r>
      <w:r>
        <w:rPr>
          <w:rFonts w:ascii="宋体" w:hAnsi="宋体" w:cs="宋体"/>
          <w:szCs w:val="21"/>
          <w:lang w:bidi="ar"/>
        </w:rPr>
        <w:t>20%</w:t>
      </w:r>
      <w:r>
        <w:rPr>
          <w:rFonts w:ascii="宋体" w:hAnsi="宋体" w:cs="宋体" w:hint="eastAsia"/>
          <w:szCs w:val="21"/>
          <w:lang w:bidi="ar"/>
        </w:rPr>
        <w:t>；</w:t>
      </w:r>
    </w:p>
    <w:p w14:paraId="50C3CB82"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9</w:t>
      </w:r>
      <w:r>
        <w:rPr>
          <w:rFonts w:ascii="宋体" w:hAnsi="宋体" w:cs="宋体" w:hint="eastAsia"/>
          <w:szCs w:val="21"/>
          <w:lang w:bidi="ar"/>
        </w:rPr>
        <w:t>）本基金持有的同一（指同一信用级别）资产支持证券的比例，不得超过该资产支持证券规模的</w:t>
      </w:r>
      <w:r>
        <w:rPr>
          <w:rFonts w:ascii="宋体" w:hAnsi="宋体" w:cs="宋体"/>
          <w:szCs w:val="21"/>
          <w:lang w:bidi="ar"/>
        </w:rPr>
        <w:t>10%</w:t>
      </w:r>
      <w:r>
        <w:rPr>
          <w:rFonts w:ascii="宋体" w:hAnsi="宋体" w:cs="宋体" w:hint="eastAsia"/>
          <w:szCs w:val="21"/>
          <w:lang w:bidi="ar"/>
        </w:rPr>
        <w:t>；</w:t>
      </w:r>
    </w:p>
    <w:p w14:paraId="1410CBDB"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10</w:t>
      </w:r>
      <w:r>
        <w:rPr>
          <w:rFonts w:ascii="宋体" w:hAnsi="宋体" w:cs="宋体" w:hint="eastAsia"/>
          <w:szCs w:val="21"/>
          <w:lang w:bidi="ar"/>
        </w:rPr>
        <w:t>）本基金管理人管理且由本基金托管人托管的全部基金投资于同一原始权益人的各类资产支持证券，不得超过其各类资产支持证券合计规模的</w:t>
      </w:r>
      <w:r>
        <w:rPr>
          <w:rFonts w:ascii="宋体" w:hAnsi="宋体" w:cs="宋体"/>
          <w:szCs w:val="21"/>
          <w:lang w:bidi="ar"/>
        </w:rPr>
        <w:t>10%</w:t>
      </w:r>
      <w:r>
        <w:rPr>
          <w:rFonts w:ascii="宋体" w:hAnsi="宋体" w:cs="宋体" w:hint="eastAsia"/>
          <w:szCs w:val="21"/>
          <w:lang w:bidi="ar"/>
        </w:rPr>
        <w:t>；</w:t>
      </w:r>
    </w:p>
    <w:p w14:paraId="6D5ABB09"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11</w:t>
      </w:r>
      <w:r>
        <w:rPr>
          <w:rFonts w:ascii="宋体" w:hAnsi="宋体" w:cs="宋体" w:hint="eastAsia"/>
          <w:szCs w:val="21"/>
          <w:lang w:bidi="ar"/>
        </w:rPr>
        <w:t>）本基金应投资于信用级别评级为</w:t>
      </w:r>
      <w:r>
        <w:rPr>
          <w:rFonts w:ascii="宋体" w:hAnsi="宋体" w:cs="宋体"/>
          <w:szCs w:val="21"/>
          <w:lang w:bidi="ar"/>
        </w:rPr>
        <w:t>BBB</w:t>
      </w:r>
      <w:r>
        <w:rPr>
          <w:rFonts w:ascii="宋体" w:hAnsi="宋体" w:cs="宋体" w:hint="eastAsia"/>
          <w:szCs w:val="21"/>
          <w:lang w:bidi="ar"/>
        </w:rPr>
        <w:t>以上（含</w:t>
      </w:r>
      <w:r>
        <w:rPr>
          <w:rFonts w:ascii="宋体" w:hAnsi="宋体" w:cs="宋体"/>
          <w:szCs w:val="21"/>
          <w:lang w:bidi="ar"/>
        </w:rPr>
        <w:t>BBB</w:t>
      </w:r>
      <w:r>
        <w:rPr>
          <w:rFonts w:ascii="宋体" w:hAnsi="宋体" w:cs="宋体" w:hint="eastAsia"/>
          <w:szCs w:val="21"/>
          <w:lang w:bidi="ar"/>
        </w:rPr>
        <w:t>）的资产支持证券。基金持有资产支持证券期间，如果其信用等级下降、不再符合投资标准，应在评级报告发布之日起</w:t>
      </w:r>
      <w:r>
        <w:rPr>
          <w:rFonts w:ascii="宋体" w:hAnsi="宋体" w:cs="宋体"/>
          <w:szCs w:val="21"/>
          <w:lang w:bidi="ar"/>
        </w:rPr>
        <w:t>3</w:t>
      </w:r>
      <w:r>
        <w:rPr>
          <w:rFonts w:ascii="宋体" w:hAnsi="宋体" w:cs="宋体" w:hint="eastAsia"/>
          <w:szCs w:val="21"/>
          <w:lang w:bidi="ar"/>
        </w:rPr>
        <w:t>个月内予以全部卖出；</w:t>
      </w:r>
    </w:p>
    <w:p w14:paraId="4A7D1D0B"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12</w:t>
      </w:r>
      <w:r>
        <w:rPr>
          <w:rFonts w:ascii="宋体" w:hAnsi="宋体" w:cs="宋体" w:hint="eastAsia"/>
          <w:szCs w:val="21"/>
          <w:lang w:bidi="ar"/>
        </w:rPr>
        <w:t>）本基金主动投资于流动性受限资产的市值合计不得超过该基金资产净值的</w:t>
      </w:r>
      <w:r>
        <w:rPr>
          <w:rFonts w:ascii="宋体" w:hAnsi="宋体" w:cs="宋体"/>
          <w:szCs w:val="21"/>
          <w:lang w:bidi="ar"/>
        </w:rPr>
        <w:t xml:space="preserve"> 15%</w:t>
      </w:r>
      <w:r>
        <w:rPr>
          <w:rFonts w:ascii="宋体" w:hAnsi="宋体" w:cs="宋体" w:hint="eastAsia"/>
          <w:szCs w:val="21"/>
          <w:lang w:bidi="ar"/>
        </w:rPr>
        <w:t>。因期货市场波动、证券市场波动、证券停牌、基金规模变动等基金管理人之外的因素致使基金不符合该规定比例限制的，基金管理人不得主动新增流动性受限资产的投资；</w:t>
      </w:r>
    </w:p>
    <w:p w14:paraId="2091F646"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13</w:t>
      </w:r>
      <w:r>
        <w:rPr>
          <w:rFonts w:ascii="宋体" w:hAnsi="宋体" w:cs="宋体" w:hint="eastAsia"/>
          <w:szCs w:val="21"/>
          <w:lang w:bidi="ar"/>
        </w:rPr>
        <w:t>）本基金与私募类证券资管产品及中国证监会认定的其他主体为交易对手开展逆回购交易的，可接受质押品的资质要求应当与基金合同约定的投资范围保持一致；</w:t>
      </w:r>
    </w:p>
    <w:p w14:paraId="10B6D9D8"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14</w:t>
      </w:r>
      <w:r>
        <w:rPr>
          <w:rFonts w:ascii="宋体" w:hAnsi="宋体" w:cs="宋体" w:hint="eastAsia"/>
          <w:szCs w:val="21"/>
          <w:lang w:bidi="ar"/>
        </w:rPr>
        <w:t>）基金资产总值不得超过基金资产净值的</w:t>
      </w:r>
      <w:r>
        <w:rPr>
          <w:rFonts w:ascii="宋体" w:hAnsi="宋体" w:cs="宋体"/>
          <w:szCs w:val="21"/>
          <w:lang w:bidi="ar"/>
        </w:rPr>
        <w:t>140%</w:t>
      </w:r>
      <w:r>
        <w:rPr>
          <w:rFonts w:ascii="宋体" w:hAnsi="宋体" w:cs="宋体" w:hint="eastAsia"/>
          <w:szCs w:val="21"/>
          <w:lang w:bidi="ar"/>
        </w:rPr>
        <w:t>；</w:t>
      </w:r>
    </w:p>
    <w:p w14:paraId="6FB2DEE4"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lastRenderedPageBreak/>
        <w:t>（</w:t>
      </w:r>
      <w:r>
        <w:rPr>
          <w:rFonts w:ascii="宋体" w:hAnsi="宋体" w:cs="宋体"/>
          <w:szCs w:val="21"/>
          <w:lang w:bidi="ar"/>
        </w:rPr>
        <w:t>15</w:t>
      </w:r>
      <w:r>
        <w:rPr>
          <w:rFonts w:ascii="宋体" w:hAnsi="宋体" w:cs="宋体" w:hint="eastAsia"/>
          <w:szCs w:val="21"/>
          <w:lang w:bidi="ar"/>
        </w:rPr>
        <w:t>）本基金投资存托凭证的比例限制依照境内上市交易的股票执行，与境内上市交易的股票合并计算；</w:t>
      </w:r>
    </w:p>
    <w:p w14:paraId="6BEAA943"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16</w:t>
      </w:r>
      <w:r>
        <w:rPr>
          <w:rFonts w:ascii="宋体" w:hAnsi="宋体" w:cs="宋体" w:hint="eastAsia"/>
          <w:szCs w:val="21"/>
          <w:lang w:bidi="ar"/>
        </w:rPr>
        <w:t>）基金财产参与股票发行申购，本基金所申报的金额不超过本基金的总资产，本基金所申报的股票数量不超过拟发行股票公司本次发行股票的总量；</w:t>
      </w:r>
    </w:p>
    <w:p w14:paraId="2B3B16F6"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w:t>
      </w:r>
      <w:r>
        <w:rPr>
          <w:rFonts w:ascii="宋体" w:hAnsi="宋体" w:cs="宋体"/>
          <w:szCs w:val="21"/>
          <w:lang w:bidi="ar"/>
        </w:rPr>
        <w:t>17</w:t>
      </w:r>
      <w:r>
        <w:rPr>
          <w:rFonts w:ascii="宋体" w:hAnsi="宋体" w:cs="宋体" w:hint="eastAsia"/>
          <w:szCs w:val="21"/>
          <w:lang w:bidi="ar"/>
        </w:rPr>
        <w:t>）法律法规及中国证监会规定的其他投资比例限制。</w:t>
      </w:r>
    </w:p>
    <w:p w14:paraId="08267813"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除第（</w:t>
      </w:r>
      <w:r>
        <w:rPr>
          <w:rFonts w:ascii="宋体" w:hAnsi="宋体" w:cs="宋体"/>
          <w:szCs w:val="21"/>
          <w:lang w:bidi="ar"/>
        </w:rPr>
        <w:t>1</w:t>
      </w:r>
      <w:r>
        <w:rPr>
          <w:rFonts w:ascii="宋体" w:hAnsi="宋体" w:cs="宋体" w:hint="eastAsia"/>
          <w:szCs w:val="21"/>
          <w:lang w:bidi="ar"/>
        </w:rPr>
        <w:t>）、（</w:t>
      </w:r>
      <w:r>
        <w:rPr>
          <w:rFonts w:ascii="宋体" w:hAnsi="宋体" w:cs="宋体"/>
          <w:szCs w:val="21"/>
          <w:lang w:bidi="ar"/>
        </w:rPr>
        <w:t>2</w:t>
      </w:r>
      <w:r>
        <w:rPr>
          <w:rFonts w:ascii="宋体" w:hAnsi="宋体" w:cs="宋体" w:hint="eastAsia"/>
          <w:szCs w:val="21"/>
          <w:lang w:bidi="ar"/>
        </w:rPr>
        <w:t>）、（</w:t>
      </w:r>
      <w:r>
        <w:rPr>
          <w:rFonts w:ascii="宋体" w:hAnsi="宋体" w:cs="宋体"/>
          <w:szCs w:val="21"/>
          <w:lang w:bidi="ar"/>
        </w:rPr>
        <w:t>6</w:t>
      </w:r>
      <w:r>
        <w:rPr>
          <w:rFonts w:ascii="宋体" w:hAnsi="宋体" w:cs="宋体" w:hint="eastAsia"/>
          <w:szCs w:val="21"/>
          <w:lang w:bidi="ar"/>
        </w:rPr>
        <w:t>）、（</w:t>
      </w:r>
      <w:r>
        <w:rPr>
          <w:rFonts w:ascii="宋体" w:hAnsi="宋体" w:cs="宋体"/>
          <w:szCs w:val="21"/>
          <w:lang w:bidi="ar"/>
        </w:rPr>
        <w:t>11</w:t>
      </w:r>
      <w:r>
        <w:rPr>
          <w:rFonts w:ascii="宋体" w:hAnsi="宋体" w:cs="宋体" w:hint="eastAsia"/>
          <w:szCs w:val="21"/>
          <w:lang w:bidi="ar"/>
        </w:rPr>
        <w:t>）、（</w:t>
      </w:r>
      <w:r>
        <w:rPr>
          <w:rFonts w:ascii="宋体" w:hAnsi="宋体" w:cs="宋体"/>
          <w:szCs w:val="21"/>
          <w:lang w:bidi="ar"/>
        </w:rPr>
        <w:t>12</w:t>
      </w:r>
      <w:r>
        <w:rPr>
          <w:rFonts w:ascii="宋体" w:hAnsi="宋体" w:cs="宋体" w:hint="eastAsia"/>
          <w:szCs w:val="21"/>
          <w:lang w:bidi="ar"/>
        </w:rPr>
        <w:t>）、（</w:t>
      </w:r>
      <w:r>
        <w:rPr>
          <w:rFonts w:ascii="宋体" w:hAnsi="宋体" w:cs="宋体"/>
          <w:szCs w:val="21"/>
          <w:lang w:bidi="ar"/>
        </w:rPr>
        <w:t>13</w:t>
      </w:r>
      <w:r>
        <w:rPr>
          <w:rFonts w:ascii="宋体" w:hAnsi="宋体" w:cs="宋体" w:hint="eastAsia"/>
          <w:szCs w:val="21"/>
          <w:lang w:bidi="ar"/>
        </w:rPr>
        <w:t>）条规定的情形外，因证券市场波动、期货市场波动、证券发行人合并、基金规模变动、目标</w:t>
      </w:r>
      <w:r>
        <w:rPr>
          <w:rFonts w:ascii="宋体" w:hAnsi="宋体" w:cs="宋体"/>
          <w:szCs w:val="21"/>
          <w:lang w:bidi="ar"/>
        </w:rPr>
        <w:t>ETF</w:t>
      </w:r>
      <w:r>
        <w:rPr>
          <w:rFonts w:ascii="宋体" w:hAnsi="宋体" w:cs="宋体" w:hint="eastAsia"/>
          <w:szCs w:val="21"/>
          <w:lang w:bidi="ar"/>
        </w:rPr>
        <w:t>暂停申购、赎回或二级市场交易</w:t>
      </w:r>
      <w:r>
        <w:rPr>
          <w:rFonts w:ascii="宋体" w:hAnsi="宋体" w:cs="宋体" w:hint="eastAsia"/>
          <w:szCs w:val="21"/>
          <w:lang w:bidi="ar"/>
        </w:rPr>
        <w:t>停牌等基金管理人之外的因素致使基金投资比例不符合上述规定投资比例的，基金管理人应当在</w:t>
      </w:r>
      <w:r>
        <w:rPr>
          <w:rFonts w:ascii="宋体" w:hAnsi="宋体" w:cs="宋体"/>
          <w:szCs w:val="21"/>
          <w:lang w:bidi="ar"/>
        </w:rPr>
        <w:t>10</w:t>
      </w:r>
      <w:r>
        <w:rPr>
          <w:rFonts w:ascii="宋体" w:hAnsi="宋体" w:cs="宋体" w:hint="eastAsia"/>
          <w:szCs w:val="21"/>
          <w:lang w:bidi="ar"/>
        </w:rPr>
        <w:t>个交易日内进行调整，但中国证监会规定的特殊情形除外。</w:t>
      </w:r>
    </w:p>
    <w:p w14:paraId="26F67BE4"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因证券市场波动、期货市场波动、证券发行人合并、基金规模变动、目标</w:t>
      </w:r>
      <w:r>
        <w:rPr>
          <w:rFonts w:ascii="宋体" w:hAnsi="宋体" w:cs="宋体"/>
          <w:szCs w:val="21"/>
          <w:lang w:bidi="ar"/>
        </w:rPr>
        <w:t>ETF</w:t>
      </w:r>
      <w:r>
        <w:rPr>
          <w:rFonts w:ascii="宋体" w:hAnsi="宋体" w:cs="宋体" w:hint="eastAsia"/>
          <w:szCs w:val="21"/>
          <w:lang w:bidi="ar"/>
        </w:rPr>
        <w:t>暂停申购、赎回或二级市场交易停牌等基金管理人之外的因素致使基金投资比例不符合上述第（</w:t>
      </w:r>
      <w:r>
        <w:rPr>
          <w:rFonts w:ascii="宋体" w:hAnsi="宋体" w:cs="宋体"/>
          <w:szCs w:val="21"/>
          <w:lang w:bidi="ar"/>
        </w:rPr>
        <w:t>1</w:t>
      </w:r>
      <w:r>
        <w:rPr>
          <w:rFonts w:ascii="宋体" w:hAnsi="宋体" w:cs="宋体" w:hint="eastAsia"/>
          <w:szCs w:val="21"/>
          <w:lang w:bidi="ar"/>
        </w:rPr>
        <w:t>）项规定的比例的，基金管理人应当在</w:t>
      </w:r>
      <w:r>
        <w:rPr>
          <w:rFonts w:ascii="宋体" w:hAnsi="宋体" w:cs="宋体"/>
          <w:szCs w:val="21"/>
          <w:lang w:bidi="ar"/>
        </w:rPr>
        <w:t>20</w:t>
      </w:r>
      <w:r>
        <w:rPr>
          <w:rFonts w:ascii="宋体" w:hAnsi="宋体" w:cs="宋体" w:hint="eastAsia"/>
          <w:szCs w:val="21"/>
          <w:lang w:bidi="ar"/>
        </w:rPr>
        <w:t>个交易日内进行调整，但中国证监会规定的特殊情形除外。</w:t>
      </w:r>
    </w:p>
    <w:p w14:paraId="68BE0512" w14:textId="77777777" w:rsidR="00D21308" w:rsidRDefault="00F41C2D">
      <w:pPr>
        <w:widowControl/>
        <w:adjustRightInd w:val="0"/>
        <w:snapToGrid w:val="0"/>
        <w:spacing w:before="100" w:beforeAutospacing="1" w:after="100" w:afterAutospacing="1" w:line="400" w:lineRule="exact"/>
        <w:ind w:firstLineChars="200" w:firstLine="420"/>
        <w:jc w:val="left"/>
        <w:rPr>
          <w:rFonts w:ascii="宋体" w:hAnsi="宋体" w:cs="宋体"/>
          <w:szCs w:val="21"/>
          <w:lang w:bidi="ar"/>
        </w:rPr>
      </w:pPr>
      <w:r>
        <w:rPr>
          <w:rFonts w:ascii="宋体" w:hAnsi="宋体" w:cs="宋体" w:hint="eastAsia"/>
          <w:szCs w:val="21"/>
          <w:lang w:bidi="ar"/>
        </w:rPr>
        <w:t>因证券市场波动、证券发行人合并、基金规模变动等基金管理人之外的因素致使基金投资不符合第（</w:t>
      </w:r>
      <w:r>
        <w:rPr>
          <w:rFonts w:ascii="宋体" w:hAnsi="宋体" w:cs="宋体"/>
          <w:szCs w:val="21"/>
          <w:lang w:bidi="ar"/>
        </w:rPr>
        <w:t>6</w:t>
      </w:r>
      <w:r>
        <w:rPr>
          <w:rFonts w:ascii="宋体" w:hAnsi="宋体" w:cs="宋体" w:hint="eastAsia"/>
          <w:szCs w:val="21"/>
          <w:lang w:bidi="ar"/>
        </w:rPr>
        <w:t>）项规定的，基金管理人不得新增出</w:t>
      </w:r>
      <w:r>
        <w:rPr>
          <w:rFonts w:ascii="宋体" w:hAnsi="宋体" w:cs="宋体" w:hint="eastAsia"/>
          <w:szCs w:val="21"/>
          <w:lang w:bidi="ar"/>
        </w:rPr>
        <w:t>借业务。基金参与出借业务不终止确认出借证券。基金持有证券的持有期计算不因出借而受影响，出借证券应纳入基金投资运作指标计算范围。</w:t>
      </w:r>
    </w:p>
    <w:p w14:paraId="34E89E26" w14:textId="77777777" w:rsidR="00D21308" w:rsidRDefault="00F41C2D">
      <w:pPr>
        <w:widowControl/>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kern w:val="0"/>
          <w:szCs w:val="21"/>
          <w:lang w:bidi="ar"/>
        </w:rPr>
        <w:t>基金管理人应当自基金合同生效之日起</w:t>
      </w:r>
      <w:r>
        <w:rPr>
          <w:rFonts w:ascii="宋体" w:hAnsi="宋体" w:cs="宋体"/>
          <w:szCs w:val="21"/>
          <w:lang w:bidi="ar"/>
        </w:rPr>
        <w:t>6</w:t>
      </w:r>
      <w:r>
        <w:rPr>
          <w:rFonts w:ascii="宋体" w:hAnsi="宋体" w:cs="宋体" w:hint="eastAsia"/>
          <w:kern w:val="0"/>
          <w:szCs w:val="21"/>
          <w:lang w:bidi="ar"/>
        </w:rPr>
        <w:t>个月内使基金的投资组合比例符合基金合同的有关约定。在上述期间</w:t>
      </w:r>
      <w:r>
        <w:rPr>
          <w:rFonts w:ascii="宋体" w:hAnsi="宋体" w:cs="宋体" w:hint="eastAsia"/>
          <w:szCs w:val="21"/>
          <w:lang w:bidi="ar"/>
        </w:rPr>
        <w:t>内</w:t>
      </w:r>
      <w:r>
        <w:rPr>
          <w:rFonts w:ascii="宋体" w:hAnsi="宋体" w:cs="宋体" w:hint="eastAsia"/>
          <w:kern w:val="0"/>
          <w:szCs w:val="21"/>
          <w:lang w:bidi="ar"/>
        </w:rPr>
        <w:t>，本基金的投资范围、投资策略应当符合基金合同的约定。基金托管人对基金的投资的监督与检查自基金合同生效之日起开始。</w:t>
      </w:r>
    </w:p>
    <w:p w14:paraId="72AD15E2" w14:textId="77777777" w:rsidR="00D21308" w:rsidRDefault="00F41C2D">
      <w:pPr>
        <w:widowControl/>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hint="eastAsia"/>
          <w:szCs w:val="21"/>
          <w:lang w:bidi="ar"/>
        </w:rPr>
        <w:t>如果法律法规或监管部门对上述投资组合比例限制进行变更的，以变更后的规定为准。法律法规或监管部门取消上述限制，如适用于本基金，基金管理人在履行适当程序后，则本基金投资不再受相</w:t>
      </w:r>
      <w:r>
        <w:rPr>
          <w:rFonts w:ascii="宋体" w:hAnsi="宋体" w:cs="宋体" w:hint="eastAsia"/>
          <w:szCs w:val="21"/>
          <w:lang w:bidi="ar"/>
        </w:rPr>
        <w:t>关限制，自动遵守届时有效的法律法规或监管规定，不需另行召开基金份额持有人大会。</w:t>
      </w:r>
    </w:p>
    <w:p w14:paraId="36743C79" w14:textId="77777777" w:rsidR="00D21308" w:rsidRDefault="00F41C2D">
      <w:pPr>
        <w:widowControl/>
        <w:spacing w:line="360" w:lineRule="auto"/>
        <w:ind w:firstLineChars="200" w:firstLine="420"/>
        <w:contextualSpacing/>
        <w:jc w:val="left"/>
        <w:rPr>
          <w:rFonts w:hAnsi="宋体"/>
          <w:kern w:val="0"/>
          <w:szCs w:val="21"/>
        </w:rPr>
      </w:pPr>
      <w:r>
        <w:rPr>
          <w:rFonts w:hAnsi="宋体"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w:t>
      </w:r>
      <w:r>
        <w:rPr>
          <w:rFonts w:hAnsi="宋体" w:hint="eastAsia"/>
          <w:kern w:val="0"/>
          <w:szCs w:val="21"/>
        </w:rPr>
        <w:lastRenderedPageBreak/>
        <w:t>托管人的同意，并按法律法规予以披露。重大关联交易应提交基金管理人董事会审议，并经过三分之二以上的独立董事通过。基金管</w:t>
      </w:r>
      <w:r>
        <w:rPr>
          <w:rFonts w:hAnsi="宋体" w:hint="eastAsia"/>
          <w:kern w:val="0"/>
          <w:szCs w:val="21"/>
        </w:rPr>
        <w:t>理人董事会应至少每半年对关联交易事项进行审查。</w:t>
      </w:r>
    </w:p>
    <w:p w14:paraId="6F1EB186" w14:textId="77777777" w:rsidR="00D21308" w:rsidRDefault="00F41C2D">
      <w:pPr>
        <w:widowControl/>
        <w:spacing w:line="360" w:lineRule="auto"/>
        <w:ind w:firstLineChars="200" w:firstLine="420"/>
        <w:contextualSpacing/>
        <w:jc w:val="left"/>
        <w:rPr>
          <w:rFonts w:ascii="宋体" w:hAnsi="宋体" w:cs="方正仿宋简体"/>
          <w:szCs w:val="21"/>
        </w:rPr>
      </w:pPr>
      <w:r>
        <w:rPr>
          <w:rFonts w:ascii="宋体" w:hAnsi="宋体" w:cs="宋体" w:hint="eastAsia"/>
          <w:szCs w:val="21"/>
          <w:lang w:bidi="ar"/>
        </w:rPr>
        <w:t>（二）基金托管人应根据有关法律法规的规定及《基金合同》的约定，对基金资产净值计算、基金份额净值计算、应收资金到账、基金费用开支及收入确定、基金收益分配、相关信息披露</w:t>
      </w:r>
      <w:r>
        <w:rPr>
          <w:rFonts w:ascii="宋体" w:hAnsi="宋体" w:cs="方正仿宋简体" w:hint="eastAsia"/>
          <w:szCs w:val="21"/>
        </w:rPr>
        <w:t>及基金宣传推介材料中登载基金业绩表现数据</w:t>
      </w:r>
      <w:r>
        <w:rPr>
          <w:rFonts w:ascii="宋体" w:hAnsi="宋体" w:cs="宋体" w:hint="eastAsia"/>
          <w:szCs w:val="21"/>
          <w:lang w:bidi="ar"/>
        </w:rPr>
        <w:t>等进行复核。</w:t>
      </w:r>
    </w:p>
    <w:p w14:paraId="06006534"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72697E47"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四）基金托管人发现基金管理人的投资指令违反法律法规、本协议的规定，应当拒绝执行，及时提示基金管理人，并依照法律法规的规定及时向中国证监会报告。基金托管人发现基金管理人依据交易程序已经生效的指令</w:t>
      </w:r>
      <w:r>
        <w:rPr>
          <w:rFonts w:ascii="宋体" w:hAnsi="宋体" w:cs="宋体" w:hint="eastAsia"/>
          <w:szCs w:val="21"/>
          <w:lang w:bidi="ar"/>
        </w:rPr>
        <w:t>违反法律法规、本协议规定的，应当及时提示基金管理人，并依照法律法规的规定及时向中国证监会报告。</w:t>
      </w:r>
    </w:p>
    <w:p w14:paraId="4B9913D5"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hint="eastAsia"/>
          <w:szCs w:val="21"/>
          <w:lang w:bidi="ar"/>
        </w:rPr>
        <w:t>（五）基金管理人应积极配合和协助基金托管人的监督和核查，包括但不限于：在规定时间内答复基金托管人并改正，就基金托管人的疑义进行解释或举证，提供相关数据资料和制度等。</w:t>
      </w:r>
    </w:p>
    <w:p w14:paraId="2C6229F6" w14:textId="77777777" w:rsidR="00D21308" w:rsidRDefault="00F41C2D">
      <w:pPr>
        <w:spacing w:beforeAutospacing="1" w:afterAutospacing="1" w:line="400" w:lineRule="exact"/>
        <w:ind w:firstLine="420"/>
        <w:rPr>
          <w:rFonts w:ascii="宋体" w:hAnsi="宋体" w:cs="方正仿宋简体"/>
          <w:szCs w:val="21"/>
        </w:rPr>
      </w:pPr>
      <w:r>
        <w:rPr>
          <w:rFonts w:ascii="宋体" w:hAnsi="宋体" w:cs="宋体" w:hint="eastAsia"/>
          <w:szCs w:val="21"/>
          <w:lang w:bidi="ar"/>
        </w:rPr>
        <w:t>（六）对于需要外部市场公共数据支持才可以实现监督的监控指标，基金托管人不负责外部数据的真实性、准确性与完整性。对于需要基金管理人提供材料支持才可以实现监督的监督指标，基金托管人不负责此部分材料的真实性、准确性与完整性，对因为基金管理人提供材料不真实、</w:t>
      </w:r>
      <w:r>
        <w:rPr>
          <w:rFonts w:ascii="宋体" w:hAnsi="宋体" w:cs="宋体" w:hint="eastAsia"/>
          <w:szCs w:val="21"/>
          <w:lang w:bidi="ar"/>
        </w:rPr>
        <w:t>不准确、不完整或不及时导致基金托管人无法开展有效监督的情形，基金托管人不承担任何责任。</w:t>
      </w:r>
    </w:p>
    <w:p w14:paraId="7BFC1538" w14:textId="77777777" w:rsidR="00D21308" w:rsidRDefault="00F41C2D">
      <w:pPr>
        <w:spacing w:beforeAutospacing="1" w:afterAutospacing="1" w:line="400" w:lineRule="exact"/>
        <w:ind w:firstLine="420"/>
        <w:rPr>
          <w:rFonts w:ascii="宋体" w:hAnsi="宋体" w:cs="方正仿宋简体"/>
          <w:szCs w:val="21"/>
        </w:rPr>
      </w:pPr>
      <w:r>
        <w:rPr>
          <w:rFonts w:ascii="宋体" w:hAnsi="宋体" w:cs="宋体" w:hint="eastAsia"/>
          <w:szCs w:val="21"/>
          <w:lang w:bidi="ar"/>
        </w:rPr>
        <w:t>（七）基金托管人对基金管理人的投资行为</w:t>
      </w:r>
      <w:r>
        <w:rPr>
          <w:rFonts w:ascii="宋体" w:hAnsi="宋体" w:cs="宋体"/>
          <w:szCs w:val="21"/>
          <w:lang w:bidi="ar"/>
        </w:rPr>
        <w:t>(</w:t>
      </w:r>
      <w:r>
        <w:rPr>
          <w:rFonts w:ascii="宋体" w:hAnsi="宋体" w:cs="宋体"/>
          <w:szCs w:val="21"/>
          <w:lang w:bidi="ar"/>
        </w:rPr>
        <w:t>包括但不限于其投资策略及决定</w:t>
      </w:r>
      <w:r>
        <w:rPr>
          <w:rFonts w:ascii="宋体" w:hAnsi="宋体" w:cs="宋体"/>
          <w:szCs w:val="21"/>
          <w:lang w:bidi="ar"/>
        </w:rPr>
        <w:t>)</w:t>
      </w:r>
      <w:r>
        <w:rPr>
          <w:rFonts w:ascii="宋体" w:hAnsi="宋体" w:cs="宋体"/>
          <w:szCs w:val="21"/>
          <w:lang w:bidi="ar"/>
        </w:rPr>
        <w:t>、投资回报以及基金财产的信用风险、市场风险不承担任何责任，对投资项目及交易信息真实性、基金资金来源的合法合规性不作任何担保、暗示或表示并对由此所引起的损失不负任何责任。</w:t>
      </w:r>
    </w:p>
    <w:p w14:paraId="5C56AF55" w14:textId="77777777" w:rsidR="00D21308" w:rsidRDefault="00F41C2D">
      <w:pPr>
        <w:spacing w:beforeAutospacing="1" w:afterAutospacing="1" w:line="400" w:lineRule="exact"/>
        <w:ind w:firstLine="420"/>
        <w:rPr>
          <w:rFonts w:ascii="宋体" w:hAnsi="宋体" w:cs="方正仿宋简体"/>
          <w:szCs w:val="21"/>
        </w:rPr>
      </w:pPr>
      <w:r>
        <w:rPr>
          <w:rFonts w:ascii="宋体" w:hAnsi="宋体" w:cs="宋体" w:hint="eastAsia"/>
          <w:szCs w:val="21"/>
          <w:lang w:bidi="ar"/>
        </w:rPr>
        <w:t>（</w:t>
      </w:r>
      <w:r>
        <w:rPr>
          <w:rFonts w:ascii="宋体" w:hAnsi="宋体" w:cs="宋体"/>
          <w:szCs w:val="21"/>
          <w:lang w:bidi="ar"/>
        </w:rPr>
        <w:t>八</w:t>
      </w:r>
      <w:r>
        <w:rPr>
          <w:rFonts w:ascii="宋体" w:hAnsi="宋体" w:cs="宋体" w:hint="eastAsia"/>
          <w:szCs w:val="21"/>
          <w:lang w:bidi="ar"/>
        </w:rPr>
        <w:t>）基金管理人应配合履行反洗钱和制裁合规义务，在符合当地法律法规、监管规定的前提下，按基金托管人反洗钱和制裁合规尽职调查要求，提供和更新本机构及受益所有人信息，提供有关交易的背景信息等。</w:t>
      </w:r>
    </w:p>
    <w:p w14:paraId="18307E56" w14:textId="77777777" w:rsidR="00D21308" w:rsidRDefault="00F41C2D">
      <w:pPr>
        <w:spacing w:beforeAutospacing="1" w:afterAutospacing="1" w:line="400" w:lineRule="exact"/>
        <w:ind w:firstLine="420"/>
        <w:rPr>
          <w:rFonts w:ascii="宋体" w:hAnsi="宋体" w:cs="方正仿宋简体"/>
          <w:szCs w:val="21"/>
        </w:rPr>
      </w:pPr>
      <w:r>
        <w:rPr>
          <w:rFonts w:ascii="宋体" w:hAnsi="宋体" w:cs="宋体" w:hint="eastAsia"/>
          <w:szCs w:val="21"/>
          <w:lang w:bidi="ar"/>
        </w:rPr>
        <w:lastRenderedPageBreak/>
        <w:t>基金管理人应建立健全客户尽职调查等反洗钱和制裁合规内部控制机制，落实客户身份识别、客户身份资料和交易记录保存、交易监测、大额和可疑交易报告、名单监控等相关监管要求。确保资金使用合法，不涉及洗钱、恐怖融资等违法犯罪活动或制裁违规行为。</w:t>
      </w:r>
    </w:p>
    <w:p w14:paraId="4D178424" w14:textId="77777777" w:rsidR="00D21308" w:rsidRDefault="00F41C2D">
      <w:pPr>
        <w:spacing w:beforeAutospacing="1" w:afterAutospacing="1" w:line="400" w:lineRule="exact"/>
        <w:ind w:firstLine="420"/>
      </w:pPr>
      <w:r>
        <w:rPr>
          <w:rFonts w:ascii="宋体" w:hAnsi="宋体" w:cs="宋体" w:hint="eastAsia"/>
          <w:szCs w:val="21"/>
          <w:lang w:bidi="ar"/>
        </w:rPr>
        <w:t>基金管理人应按照监管要求开展产品尽职调查和受益所有人识别，并向基金托管人提供产品及其受益所有</w:t>
      </w:r>
      <w:r>
        <w:rPr>
          <w:rFonts w:ascii="宋体" w:hAnsi="宋体" w:cs="宋体" w:hint="eastAsia"/>
          <w:szCs w:val="21"/>
          <w:lang w:bidi="ar"/>
        </w:rPr>
        <w:t>人信息。如产品的受益所有人发生变化，基金管理人应及时通知托管人，并提供变更后的产品受益所有人信息。</w:t>
      </w:r>
    </w:p>
    <w:p w14:paraId="59A3F391" w14:textId="77777777" w:rsidR="00D21308" w:rsidRDefault="00F41C2D">
      <w:pPr>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（九）侧袋机制实施期间，本部分约定的投资组合比例、组合限制等约定仅适用于主袋账户。</w:t>
      </w:r>
    </w:p>
    <w:p w14:paraId="0DFAFB8C" w14:textId="77777777" w:rsidR="00D21308" w:rsidRDefault="00D21308">
      <w:pPr>
        <w:pStyle w:val="a0"/>
      </w:pPr>
    </w:p>
    <w:p w14:paraId="62BABABB"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r>
        <w:rPr>
          <w:rFonts w:ascii="宋体" w:hAnsi="宋体" w:cs="宋体" w:hint="eastAsia"/>
          <w:bCs w:val="0"/>
          <w:sz w:val="21"/>
          <w:szCs w:val="21"/>
        </w:rPr>
        <w:t>四、基金管理人对基金托管人的业务核查</w:t>
      </w:r>
    </w:p>
    <w:p w14:paraId="3A423EEE"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szCs w:val="21"/>
          <w:lang w:bidi="ar"/>
        </w:rPr>
        <w:t>1</w:t>
      </w:r>
      <w:r>
        <w:rPr>
          <w:rFonts w:ascii="宋体" w:hAnsi="宋体" w:cs="宋体"/>
          <w:szCs w:val="21"/>
          <w:lang w:bidi="ar"/>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w:t>
      </w:r>
      <w:r>
        <w:rPr>
          <w:rFonts w:ascii="宋体" w:hAnsi="宋体" w:hint="eastAsia"/>
          <w:szCs w:val="21"/>
        </w:rPr>
        <w:t>和</w:t>
      </w:r>
      <w:r>
        <w:rPr>
          <w:rFonts w:ascii="宋体" w:hAnsi="宋体" w:cs="宋体" w:hint="eastAsia"/>
          <w:szCs w:val="21"/>
          <w:lang w:bidi="ar"/>
        </w:rPr>
        <w:t>证券账户、复核基金管理人计算的基金资产净值和基金份</w:t>
      </w:r>
      <w:r>
        <w:rPr>
          <w:rFonts w:ascii="宋体" w:hAnsi="宋体" w:cs="宋体" w:hint="eastAsia"/>
          <w:szCs w:val="21"/>
          <w:lang w:bidi="ar"/>
        </w:rPr>
        <w:t>额净值、根据基金管理人指令办理清算交收、相关信息披露和监督基金投资运作等行为。</w:t>
      </w:r>
    </w:p>
    <w:p w14:paraId="1F475BDB"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szCs w:val="21"/>
          <w:lang w:bidi="ar"/>
        </w:rPr>
        <w:t>2</w:t>
      </w:r>
      <w:r>
        <w:rPr>
          <w:rFonts w:ascii="宋体" w:hAnsi="宋体" w:cs="宋体"/>
          <w:szCs w:val="21"/>
          <w:lang w:bidi="ar"/>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w:t>
      </w:r>
      <w:r>
        <w:rPr>
          <w:rFonts w:ascii="宋体" w:hAnsi="宋体" w:cs="宋体"/>
          <w:szCs w:val="21"/>
          <w:lang w:bidi="ar"/>
        </w:rPr>
        <w:t>律法规的规定报告中国证监会。</w:t>
      </w:r>
    </w:p>
    <w:p w14:paraId="5DB00C9A" w14:textId="77777777" w:rsidR="00D21308" w:rsidRDefault="00F41C2D">
      <w:pPr>
        <w:adjustRightInd w:val="0"/>
        <w:snapToGrid w:val="0"/>
        <w:spacing w:before="100" w:beforeAutospacing="1" w:after="100" w:afterAutospacing="1" w:line="400" w:lineRule="exact"/>
        <w:ind w:firstLineChars="200" w:firstLine="420"/>
        <w:rPr>
          <w:rFonts w:ascii="宋体" w:hAnsi="宋体" w:cs="宋体"/>
          <w:szCs w:val="21"/>
          <w:lang w:bidi="ar"/>
        </w:rPr>
      </w:pPr>
      <w:r>
        <w:rPr>
          <w:rFonts w:ascii="宋体" w:hAnsi="宋体" w:cs="宋体"/>
          <w:szCs w:val="21"/>
          <w:lang w:bidi="ar"/>
        </w:rPr>
        <w:t>3</w:t>
      </w:r>
      <w:r>
        <w:rPr>
          <w:rFonts w:ascii="宋体" w:hAnsi="宋体" w:cs="宋体"/>
          <w:szCs w:val="21"/>
          <w:lang w:bidi="ar"/>
        </w:rPr>
        <w:t>、基金托管人应积极配合基金管理人的核查行为，包括但不限于：提交相关资料以供基金管理人核查托管财产的完整性和真实性，在规定时间内答复基金管理人并改正。</w:t>
      </w:r>
    </w:p>
    <w:p w14:paraId="5B8C3712" w14:textId="77777777" w:rsidR="00D21308" w:rsidRDefault="00D21308">
      <w:pPr>
        <w:pStyle w:val="a0"/>
      </w:pPr>
    </w:p>
    <w:p w14:paraId="48CA644C" w14:textId="77777777" w:rsidR="00D21308" w:rsidRDefault="00F41C2D">
      <w:pPr>
        <w:pStyle w:val="1"/>
        <w:keepNext w:val="0"/>
        <w:keepLines w:val="0"/>
        <w:widowControl/>
        <w:spacing w:before="0" w:beforeAutospacing="1" w:after="0" w:afterAutospacing="1" w:line="400" w:lineRule="exact"/>
        <w:ind w:firstLine="422"/>
        <w:rPr>
          <w:rFonts w:ascii="宋体" w:hAnsi="宋体"/>
          <w:bCs w:val="0"/>
          <w:sz w:val="21"/>
          <w:szCs w:val="21"/>
        </w:rPr>
      </w:pPr>
      <w:r>
        <w:rPr>
          <w:rFonts w:ascii="宋体" w:hAnsi="宋体" w:cs="宋体" w:hint="eastAsia"/>
          <w:bCs w:val="0"/>
          <w:sz w:val="21"/>
          <w:szCs w:val="21"/>
        </w:rPr>
        <w:t>五、基金财产的保管</w:t>
      </w:r>
    </w:p>
    <w:p w14:paraId="7DE57EA1"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（一）基金财产保管的原则</w:t>
      </w:r>
    </w:p>
    <w:p w14:paraId="7D3C6B73" w14:textId="77777777" w:rsidR="00D21308" w:rsidRDefault="00F41C2D">
      <w:pPr>
        <w:adjustRightInd w:val="0"/>
        <w:snapToGrid w:val="0"/>
        <w:spacing w:beforeAutospacing="1" w:afterAutospacing="1" w:line="400" w:lineRule="exact"/>
        <w:ind w:firstLineChars="200" w:firstLine="420"/>
        <w:rPr>
          <w:rFonts w:ascii="宋体" w:hAnsi="宋体"/>
          <w:szCs w:val="21"/>
        </w:rPr>
      </w:pPr>
      <w:r>
        <w:rPr>
          <w:rFonts w:ascii="宋体" w:hAnsi="宋体" w:cs="宋体"/>
          <w:szCs w:val="21"/>
          <w:lang w:bidi="ar"/>
        </w:rPr>
        <w:t>1</w:t>
      </w:r>
      <w:r>
        <w:rPr>
          <w:rFonts w:ascii="宋体" w:hAnsi="宋体" w:cs="宋体"/>
          <w:szCs w:val="21"/>
          <w:lang w:bidi="ar"/>
        </w:rPr>
        <w:t>、基金财产应独立于基金管理人、基金托管人的固有财产。</w:t>
      </w:r>
    </w:p>
    <w:p w14:paraId="0E4204CE" w14:textId="77777777" w:rsidR="00D21308" w:rsidRDefault="00F41C2D">
      <w:pPr>
        <w:adjustRightInd w:val="0"/>
        <w:snapToGrid w:val="0"/>
        <w:spacing w:beforeAutospacing="1" w:afterAutospacing="1" w:line="400" w:lineRule="exact"/>
        <w:ind w:firstLineChars="200" w:firstLine="420"/>
        <w:rPr>
          <w:rFonts w:ascii="宋体" w:hAnsi="宋体"/>
          <w:szCs w:val="21"/>
        </w:rPr>
      </w:pPr>
      <w:r>
        <w:rPr>
          <w:rFonts w:ascii="宋体" w:hAnsi="宋体" w:cs="宋体"/>
          <w:szCs w:val="21"/>
          <w:lang w:bidi="ar"/>
        </w:rPr>
        <w:lastRenderedPageBreak/>
        <w:t>2</w:t>
      </w:r>
      <w:r>
        <w:rPr>
          <w:rFonts w:ascii="宋体" w:hAnsi="宋体" w:cs="宋体"/>
          <w:szCs w:val="21"/>
          <w:lang w:bidi="ar"/>
        </w:rPr>
        <w:t>、基金托管人应安全保管基金财产，未经基金管理人的合法合规指令或法律法规、《基金合同》及本协议另有规定，不得自行运用、处分、分配基金的任何财产。</w:t>
      </w:r>
    </w:p>
    <w:p w14:paraId="610F8892" w14:textId="77777777" w:rsidR="00D21308" w:rsidRDefault="00F41C2D">
      <w:pPr>
        <w:adjustRightInd w:val="0"/>
        <w:snapToGrid w:val="0"/>
        <w:spacing w:beforeAutospacing="1" w:afterAutospacing="1" w:line="400" w:lineRule="exact"/>
        <w:ind w:firstLineChars="200" w:firstLine="420"/>
        <w:rPr>
          <w:rFonts w:ascii="宋体" w:hAnsi="宋体"/>
          <w:color w:val="FF0000"/>
          <w:szCs w:val="21"/>
        </w:rPr>
      </w:pPr>
      <w:r>
        <w:rPr>
          <w:rFonts w:ascii="宋体" w:hAnsi="宋体" w:cs="宋体"/>
          <w:szCs w:val="21"/>
          <w:lang w:bidi="ar"/>
        </w:rPr>
        <w:t>3</w:t>
      </w:r>
      <w:r>
        <w:rPr>
          <w:rFonts w:ascii="宋体" w:hAnsi="宋体" w:cs="宋体"/>
          <w:szCs w:val="21"/>
          <w:lang w:bidi="ar"/>
        </w:rPr>
        <w:t>、基金托管人按照规定开设基金财产的资金账户、证券账户等投资所需账户。</w:t>
      </w:r>
    </w:p>
    <w:p w14:paraId="4A4F8BE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4</w:t>
      </w:r>
      <w:r>
        <w:rPr>
          <w:rFonts w:ascii="宋体" w:hAnsi="宋体" w:cs="宋体"/>
          <w:color w:val="000000"/>
          <w:kern w:val="2"/>
          <w:sz w:val="21"/>
          <w:szCs w:val="21"/>
          <w:lang w:bidi="ar"/>
        </w:rPr>
        <w:t>、基金托管人对所托管的不同基金财产分别设置账户，独立核算，分账管理，确保基金财产的完整与独立。</w:t>
      </w:r>
    </w:p>
    <w:p w14:paraId="69B4AB3B"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5</w:t>
      </w:r>
      <w:r>
        <w:rPr>
          <w:rFonts w:ascii="宋体" w:hAnsi="宋体" w:cs="宋体"/>
          <w:color w:val="000000"/>
          <w:kern w:val="2"/>
          <w:sz w:val="21"/>
          <w:szCs w:val="21"/>
          <w:lang w:bidi="ar"/>
        </w:rPr>
        <w:t>、除依据《基金法》、《运作办法》、《基金合同》及其他有关法律法规规定外，基金托管人不得委托第三人托管基金财产。</w:t>
      </w:r>
    </w:p>
    <w:p w14:paraId="7953F529"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（二）基金合同生效前募集资金的验资和入账</w:t>
      </w:r>
    </w:p>
    <w:p w14:paraId="49CE37F1" w14:textId="72EB73F1"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w:t>
      </w:r>
      <w:r>
        <w:rPr>
          <w:rFonts w:ascii="宋体" w:hAnsi="宋体" w:cs="宋体"/>
          <w:color w:val="000000"/>
          <w:kern w:val="2"/>
          <w:sz w:val="21"/>
          <w:szCs w:val="21"/>
          <w:lang w:bidi="ar"/>
        </w:rPr>
        <w:t>应由参加验资的</w:t>
      </w:r>
      <w:r>
        <w:rPr>
          <w:rFonts w:ascii="宋体" w:hAnsi="宋体" w:cs="宋体"/>
          <w:color w:val="000000"/>
          <w:kern w:val="2"/>
          <w:sz w:val="21"/>
          <w:szCs w:val="21"/>
          <w:lang w:bidi="ar"/>
        </w:rPr>
        <w:t>2</w:t>
      </w:r>
      <w:r>
        <w:rPr>
          <w:rFonts w:ascii="宋体" w:hAnsi="宋体" w:cs="宋体"/>
          <w:color w:val="000000"/>
          <w:kern w:val="2"/>
          <w:sz w:val="21"/>
          <w:szCs w:val="21"/>
          <w:lang w:bidi="ar"/>
        </w:rPr>
        <w:t>名以上（含</w:t>
      </w:r>
      <w:r>
        <w:rPr>
          <w:rFonts w:ascii="宋体" w:hAnsi="宋体" w:cs="宋体"/>
          <w:color w:val="000000"/>
          <w:kern w:val="2"/>
          <w:sz w:val="21"/>
          <w:szCs w:val="21"/>
          <w:lang w:bidi="ar"/>
        </w:rPr>
        <w:t>2</w:t>
      </w:r>
      <w:r>
        <w:rPr>
          <w:rFonts w:ascii="宋体" w:hAnsi="宋体" w:cs="宋体"/>
          <w:color w:val="000000"/>
          <w:kern w:val="2"/>
          <w:sz w:val="21"/>
          <w:szCs w:val="21"/>
          <w:lang w:bidi="ar"/>
        </w:rPr>
        <w:t>名）</w:t>
      </w:r>
      <w:r w:rsidRPr="00604423">
        <w:rPr>
          <w:rFonts w:ascii="宋体" w:hAnsi="宋体" w:cs="宋体" w:hint="eastAsia"/>
          <w:color w:val="000000"/>
          <w:kern w:val="2"/>
          <w:sz w:val="21"/>
          <w:szCs w:val="21"/>
          <w:lang w:bidi="ar"/>
        </w:rPr>
        <w:t>符合《证券法》规定的</w:t>
      </w:r>
      <w:r>
        <w:rPr>
          <w:rFonts w:ascii="宋体" w:hAnsi="宋体" w:cs="宋体"/>
          <w:color w:val="000000"/>
          <w:kern w:val="2"/>
          <w:sz w:val="21"/>
          <w:szCs w:val="21"/>
          <w:lang w:bidi="ar"/>
        </w:rPr>
        <w:t>注册会计师签字方为有效。</w:t>
      </w:r>
    </w:p>
    <w:p w14:paraId="0830F3A0"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2</w:t>
      </w:r>
      <w:r>
        <w:rPr>
          <w:rFonts w:ascii="宋体" w:hAnsi="宋体" w:cs="宋体"/>
          <w:color w:val="000000"/>
          <w:kern w:val="2"/>
          <w:sz w:val="21"/>
          <w:szCs w:val="21"/>
          <w:lang w:bidi="ar"/>
        </w:rPr>
        <w:t>、基金管理人应将属于本基金财产的全部资金划入在基金托管人处为本基金开立的基金托管账户中，并确保划入的资金与验资确认金额相一致。</w:t>
      </w:r>
    </w:p>
    <w:p w14:paraId="7B0C7C6F"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3</w:t>
      </w:r>
      <w:r>
        <w:rPr>
          <w:rFonts w:ascii="宋体" w:hAnsi="宋体" w:cs="宋体"/>
          <w:color w:val="000000"/>
          <w:kern w:val="2"/>
          <w:sz w:val="21"/>
          <w:szCs w:val="21"/>
          <w:lang w:bidi="ar"/>
        </w:rPr>
        <w:t>、若基金募集期限届满，未能达到基金合同生效的条件，</w:t>
      </w:r>
      <w:r>
        <w:rPr>
          <w:rFonts w:ascii="宋体" w:hAnsi="宋体" w:cs="宋体"/>
          <w:color w:val="000000"/>
          <w:kern w:val="2"/>
          <w:sz w:val="21"/>
          <w:szCs w:val="21"/>
          <w:lang w:bidi="ar"/>
        </w:rPr>
        <w:t xml:space="preserve"> </w:t>
      </w:r>
      <w:r>
        <w:rPr>
          <w:rFonts w:ascii="宋体" w:hAnsi="宋体" w:cs="宋体" w:hint="eastAsia"/>
          <w:color w:val="000000"/>
          <w:kern w:val="2"/>
          <w:sz w:val="21"/>
          <w:szCs w:val="21"/>
          <w:lang w:bidi="ar"/>
        </w:rPr>
        <w:t>由基金管理人按规定办理退款等事宜。</w:t>
      </w:r>
    </w:p>
    <w:p w14:paraId="65FECF96"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（三）基金的托管账户的开设和管理</w:t>
      </w:r>
    </w:p>
    <w:p w14:paraId="2C9634FF"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、基金托管人负责办理本基金托管账户开设，基金管理人应当给予必要的配合。</w:t>
      </w:r>
    </w:p>
    <w:p w14:paraId="591C657D"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2</w:t>
      </w:r>
      <w:r>
        <w:rPr>
          <w:rFonts w:ascii="宋体" w:hAnsi="宋体" w:cs="宋体"/>
          <w:color w:val="000000"/>
          <w:kern w:val="2"/>
          <w:sz w:val="21"/>
          <w:szCs w:val="21"/>
          <w:lang w:bidi="ar"/>
        </w:rPr>
        <w:t>、基金托管人以基金名义在基金托管人处开设本基金的托管账户，基金托管账户名称应当包括开户主体和产品名称</w:t>
      </w:r>
      <w:r>
        <w:rPr>
          <w:rFonts w:ascii="宋体" w:hAnsi="宋体" w:cs="宋体"/>
          <w:color w:val="000000"/>
          <w:kern w:val="2"/>
          <w:sz w:val="21"/>
          <w:szCs w:val="21"/>
          <w:lang w:bidi="ar"/>
        </w:rPr>
        <w:t>字样，与基金产品名称相对应。基金托管账户的银行预留印鉴由基金托管人保管和使用。本基金托管账户的一切资金划拨由基金托管人负责依据基金管理人根据本协议约定出具的指令、授权或本协议约定的其他情形进行划拨，基金管理人和基金托管人不得自行划拨。本基金的一切货币收支活动包括但不限于投资、支付净应付款、支付基金收益、收取净应收款，均需通过本基金的托管账户进行。基金托管人对已划出基金托管账户以及处于基金托管人实际控制之外的基金财产不承担保管责任。</w:t>
      </w:r>
    </w:p>
    <w:p w14:paraId="25BE165F"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lastRenderedPageBreak/>
        <w:t>3</w:t>
      </w:r>
      <w:r>
        <w:rPr>
          <w:rFonts w:ascii="宋体" w:hAnsi="宋体" w:cs="宋体"/>
          <w:color w:val="000000"/>
          <w:kern w:val="2"/>
          <w:sz w:val="21"/>
          <w:szCs w:val="21"/>
          <w:lang w:bidi="ar"/>
        </w:rPr>
        <w:t>、本基金托管账户的开立和使用，限于满足开展本基金业务的需要。基金托管人和基</w:t>
      </w:r>
      <w:r>
        <w:rPr>
          <w:rFonts w:ascii="宋体" w:hAnsi="宋体" w:cs="宋体"/>
          <w:color w:val="000000"/>
          <w:kern w:val="2"/>
          <w:sz w:val="21"/>
          <w:szCs w:val="21"/>
          <w:lang w:bidi="ar"/>
        </w:rPr>
        <w:t>金管理人不得假借本基金的名义开立其他任何托管账户；亦不得使用本基金的托管账户进行本基金业务以外的活动。</w:t>
      </w:r>
    </w:p>
    <w:p w14:paraId="2CF07286"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color w:val="000000"/>
          <w:kern w:val="2"/>
          <w:sz w:val="21"/>
          <w:szCs w:val="21"/>
          <w:lang w:bidi="ar"/>
        </w:rPr>
        <w:t>4</w:t>
      </w:r>
      <w:r>
        <w:rPr>
          <w:rFonts w:ascii="宋体" w:hAnsi="宋体" w:cs="宋体"/>
          <w:color w:val="000000"/>
          <w:kern w:val="2"/>
          <w:sz w:val="21"/>
          <w:szCs w:val="21"/>
          <w:lang w:bidi="ar"/>
        </w:rPr>
        <w:t>、基金托管账户的管理应符合法律法规的有关规定。</w:t>
      </w:r>
    </w:p>
    <w:p w14:paraId="6E9F33D7"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（四）基金进行定期存款投资的账户开设和管理</w:t>
      </w:r>
    </w:p>
    <w:p w14:paraId="60F5F4F1"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以基金名义在基金托管人认可的存款银行的指定营业网点开立存款账户，存款账户名称原则上应当与托管账户名称一致，与基金产品名称相对应。基金托管人负责该账户银行预留印鉴的保管和使用。在上述账户开立和账户相关信息变更过程中，基金管理人应提前向基金托管人提供开户或账户变更所需的相关资料。</w:t>
      </w:r>
    </w:p>
    <w:p w14:paraId="4E31881A"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（五）基金证券账户、结算备</w:t>
      </w:r>
      <w:r>
        <w:rPr>
          <w:rFonts w:ascii="宋体" w:hAnsi="宋体" w:cs="宋体" w:hint="eastAsia"/>
          <w:color w:val="000000"/>
          <w:kern w:val="2"/>
          <w:sz w:val="21"/>
          <w:szCs w:val="21"/>
          <w:lang w:bidi="ar"/>
        </w:rPr>
        <w:t>付金账户及其他投资账户的开设和管理</w:t>
      </w:r>
    </w:p>
    <w:p w14:paraId="3AAD71D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、基金托管人应当以本基金的名义在中国证券登记结算有限责任公司（以下简称</w:t>
      </w:r>
      <w:r>
        <w:rPr>
          <w:rFonts w:ascii="宋体" w:hAnsi="宋体" w:cs="宋体"/>
          <w:color w:val="000000"/>
          <w:kern w:val="2"/>
          <w:sz w:val="21"/>
          <w:szCs w:val="21"/>
          <w:lang w:bidi="ar"/>
        </w:rPr>
        <w:t>“</w:t>
      </w:r>
      <w:r>
        <w:rPr>
          <w:rFonts w:ascii="宋体" w:hAnsi="宋体" w:cs="宋体"/>
          <w:color w:val="000000"/>
          <w:kern w:val="2"/>
          <w:sz w:val="21"/>
          <w:szCs w:val="21"/>
          <w:lang w:bidi="ar"/>
        </w:rPr>
        <w:t>中国结算</w:t>
      </w:r>
      <w:r>
        <w:rPr>
          <w:rFonts w:ascii="宋体" w:hAnsi="宋体" w:cs="宋体"/>
          <w:color w:val="000000"/>
          <w:kern w:val="2"/>
          <w:sz w:val="21"/>
          <w:szCs w:val="21"/>
          <w:lang w:bidi="ar"/>
        </w:rPr>
        <w:t>”</w:t>
      </w:r>
      <w:r>
        <w:rPr>
          <w:rFonts w:ascii="宋体" w:hAnsi="宋体" w:cs="宋体"/>
          <w:color w:val="000000"/>
          <w:kern w:val="2"/>
          <w:sz w:val="21"/>
          <w:szCs w:val="21"/>
          <w:lang w:bidi="ar"/>
        </w:rPr>
        <w:t>）开设证券账户，证券账户的开设及管理遵照中国结算相关业务规则执行。</w:t>
      </w:r>
    </w:p>
    <w:p w14:paraId="47B2D72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2</w:t>
      </w:r>
      <w:r>
        <w:rPr>
          <w:rFonts w:ascii="宋体" w:hAnsi="宋体" w:cs="宋体"/>
          <w:color w:val="000000"/>
          <w:kern w:val="2"/>
          <w:sz w:val="21"/>
          <w:szCs w:val="21"/>
          <w:lang w:bidi="ar"/>
        </w:rPr>
        <w:t>、本基金证券账户的开立和使用，限于满足开展本基金业务的需要。基金托管人和基金管理人不得出借或转让本基金的证券账户，亦不得使用本基金的证券账户进行本基金业务以外的活动。</w:t>
      </w:r>
    </w:p>
    <w:p w14:paraId="7055702D"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3</w:t>
      </w:r>
      <w:r>
        <w:rPr>
          <w:rFonts w:ascii="宋体" w:hAnsi="宋体" w:cs="宋体"/>
          <w:color w:val="000000"/>
          <w:kern w:val="2"/>
          <w:sz w:val="21"/>
          <w:szCs w:val="21"/>
          <w:lang w:bidi="ar"/>
        </w:rPr>
        <w:t>、基金托管人以自身法人名义在中国证券登记结算有限责任公司开立结算备付金账户，用于办理基金托管人所托管的包括本基金在内的全部基金在证券交易所进行证券投资所</w:t>
      </w:r>
      <w:r>
        <w:rPr>
          <w:rFonts w:ascii="宋体" w:hAnsi="宋体" w:cs="宋体"/>
          <w:color w:val="000000"/>
          <w:kern w:val="2"/>
          <w:sz w:val="21"/>
          <w:szCs w:val="21"/>
          <w:lang w:bidi="ar"/>
        </w:rPr>
        <w:t>涉及的资金结算业务。结算备付金的收取按照中国证券登记结算有限责任公司的规定执行。</w:t>
      </w:r>
    </w:p>
    <w:p w14:paraId="49541680"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4</w:t>
      </w:r>
      <w:r>
        <w:rPr>
          <w:rFonts w:ascii="宋体" w:hAnsi="宋体" w:cs="宋体"/>
          <w:color w:val="000000"/>
          <w:kern w:val="2"/>
          <w:sz w:val="21"/>
          <w:szCs w:val="21"/>
          <w:lang w:bidi="ar"/>
        </w:rPr>
        <w:t>、在本托管协议生效日之后，本基金被允许从事其他投资品种的投资业务的，涉及相关账户的开设、使用的，若无相关规定，则基金托管人应当比照并遵守上述关于账户开设、使用的规定。</w:t>
      </w:r>
    </w:p>
    <w:p w14:paraId="1134A8BB"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（六）债券托管专户的开设和管理</w:t>
      </w:r>
    </w:p>
    <w:p w14:paraId="4B702008"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w:t>
      </w:r>
      <w:r>
        <w:rPr>
          <w:rFonts w:ascii="宋体" w:hAnsi="宋体" w:cs="宋体" w:hint="eastAsia"/>
          <w:color w:val="000000"/>
          <w:kern w:val="2"/>
          <w:sz w:val="21"/>
          <w:szCs w:val="21"/>
          <w:lang w:bidi="ar"/>
        </w:rPr>
        <w:lastRenderedPageBreak/>
        <w:t>银行间债券市场债券和资金的清算</w:t>
      </w:r>
      <w:r>
        <w:rPr>
          <w:rFonts w:ascii="仿宋_GB2312" w:eastAsia="仿宋_GB2312" w:hAnsi="宋体" w:cs="仿宋_GB2312"/>
          <w:color w:val="000000"/>
          <w:kern w:val="2"/>
          <w:sz w:val="21"/>
          <w:szCs w:val="21"/>
          <w:lang w:bidi="ar"/>
        </w:rPr>
        <w:t>。</w:t>
      </w:r>
      <w:r>
        <w:rPr>
          <w:rFonts w:ascii="宋体" w:hAnsi="宋体" w:cs="宋体" w:hint="eastAsia"/>
          <w:color w:val="000000"/>
          <w:kern w:val="2"/>
          <w:sz w:val="21"/>
          <w:szCs w:val="21"/>
          <w:lang w:bidi="ar"/>
        </w:rPr>
        <w:t>债券账户的开设及管理遵照中国人民银行、中央国债登记结算有限责任公司和银行间市场清算所股份有限公司相关业务规则执行。</w:t>
      </w:r>
    </w:p>
    <w:p w14:paraId="6909221B"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t>（七）期货结算账户的开立和管理</w:t>
      </w:r>
    </w:p>
    <w:p w14:paraId="1D82C457" w14:textId="77777777" w:rsidR="00D21308" w:rsidRDefault="00F41C2D">
      <w:pPr>
        <w:pStyle w:val="aa"/>
        <w:widowControl/>
        <w:spacing w:before="0" w:beforeAutospacing="0" w:after="0" w:afterAutospacing="0" w:line="360" w:lineRule="auto"/>
        <w:ind w:firstLine="420"/>
        <w:rPr>
          <w:rFonts w:ascii="宋体" w:hAnsi="宋体"/>
          <w:kern w:val="2"/>
          <w:sz w:val="21"/>
          <w:szCs w:val="21"/>
        </w:rPr>
      </w:pPr>
      <w:r>
        <w:rPr>
          <w:rFonts w:ascii="宋体" w:hAnsi="宋体" w:cs="宋体" w:hint="eastAsia"/>
          <w:kern w:val="2"/>
          <w:sz w:val="21"/>
          <w:szCs w:val="21"/>
          <w:lang w:bidi="ar"/>
        </w:rPr>
        <w:t>基金管理人应当代</w:t>
      </w:r>
      <w:r>
        <w:rPr>
          <w:rFonts w:ascii="宋体" w:hAnsi="宋体" w:cs="宋体" w:hint="eastAsia"/>
          <w:kern w:val="2"/>
          <w:sz w:val="21"/>
          <w:szCs w:val="21"/>
          <w:lang w:bidi="ar"/>
        </w:rPr>
        <w:t>表本基金，按照相关规定开立期货结算账户，在中国金融期货交易所获取交易编码，在基金托管人指定银行办理银期转账申请业务。期货结算账户名称及交易编码对应名称应按照有关规定设立。</w:t>
      </w:r>
    </w:p>
    <w:p w14:paraId="01B2CBE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（八）基金财产投资的有关有价凭证的保管</w:t>
      </w:r>
    </w:p>
    <w:p w14:paraId="1DAD861A"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基金财产投资的实物证券、银行定期存款存单等有价凭证由基金托管人负责妥善保管。基金托管人对其以外机构实际有效控制的有价凭证不承担责任。</w:t>
      </w:r>
    </w:p>
    <w:p w14:paraId="07AA1BBB"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（九）与基金财产有关的重大合同及有关凭证的保管</w:t>
      </w:r>
    </w:p>
    <w:p w14:paraId="457AF6B0"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基金托管人按照法律法规保管由基金管理人代表基金签署的与基金有关的重大合同及有关凭证。基金管理人代表基金签署有关重大合同后应在收到合同正本后</w:t>
      </w:r>
      <w:r>
        <w:rPr>
          <w:rFonts w:ascii="宋体" w:hAnsi="宋体" w:cs="宋体"/>
          <w:color w:val="000000"/>
          <w:kern w:val="2"/>
          <w:sz w:val="21"/>
          <w:szCs w:val="21"/>
          <w:lang w:bidi="ar"/>
        </w:rPr>
        <w:t>30</w:t>
      </w:r>
      <w:r>
        <w:rPr>
          <w:rFonts w:ascii="宋体" w:hAnsi="宋体" w:cs="宋体"/>
          <w:color w:val="000000"/>
          <w:kern w:val="2"/>
          <w:sz w:val="21"/>
          <w:szCs w:val="21"/>
          <w:lang w:bidi="ar"/>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及有关凭证由基金管理人与基金托管人按规定各自保管不低于法律法规规定的最低期限。</w:t>
      </w:r>
    </w:p>
    <w:p w14:paraId="604BBB3A"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t>对于无法取得二份以上的正本的，基金管理人应向基金托管人提供与合同原件核对一致并加盖公章的合同</w:t>
      </w:r>
      <w:r>
        <w:rPr>
          <w:rFonts w:ascii="宋体" w:hAnsi="宋体" w:cs="宋体" w:hint="eastAsia"/>
          <w:color w:val="000000"/>
          <w:kern w:val="2"/>
          <w:sz w:val="21"/>
          <w:szCs w:val="21"/>
          <w:lang w:bidi="ar"/>
        </w:rPr>
        <w:t>复印件或传真件，未经双方协商一致，合同原件不得转移。</w:t>
      </w:r>
    </w:p>
    <w:p w14:paraId="695D272E" w14:textId="77777777" w:rsidR="00D21308" w:rsidRDefault="00F41C2D">
      <w:pPr>
        <w:pStyle w:val="aa"/>
        <w:widowControl/>
        <w:spacing w:before="0" w:beforeAutospacing="0" w:after="0" w:afterAutospacing="0" w:line="360" w:lineRule="auto"/>
        <w:ind w:leftChars="192" w:left="403"/>
        <w:jc w:val="both"/>
        <w:rPr>
          <w:rFonts w:ascii="宋体" w:hAnsi="宋体" w:cs="宋体"/>
          <w:color w:val="000000"/>
          <w:kern w:val="2"/>
          <w:sz w:val="21"/>
          <w:szCs w:val="21"/>
        </w:rPr>
      </w:pPr>
      <w:r>
        <w:rPr>
          <w:rFonts w:ascii="宋体" w:hAnsi="宋体" w:cs="宋体" w:hint="eastAsia"/>
          <w:color w:val="000000"/>
          <w:kern w:val="2"/>
          <w:sz w:val="21"/>
          <w:szCs w:val="21"/>
          <w:lang w:bidi="ar"/>
        </w:rPr>
        <w:t>（十）基金财产相关账户的注销</w:t>
      </w:r>
    </w:p>
    <w:p w14:paraId="57E0B0B8"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lang w:bidi="ar"/>
        </w:rPr>
      </w:pPr>
      <w:r>
        <w:rPr>
          <w:rFonts w:ascii="宋体" w:hAnsi="宋体" w:cs="宋体" w:hint="eastAsia"/>
          <w:color w:val="000000"/>
          <w:kern w:val="2"/>
          <w:sz w:val="21"/>
          <w:szCs w:val="21"/>
          <w:lang w:bidi="ar"/>
        </w:rPr>
        <w:t>本基金清盘结束、或未运作、或发生其他应销户情形时，基金管理人应按照法律法规要求尽快向基金托管人提交书面销户申请，配合基金托管人完成相关账户的注销。</w:t>
      </w:r>
    </w:p>
    <w:p w14:paraId="247B3D24" w14:textId="77777777" w:rsidR="00D21308" w:rsidRDefault="00D21308">
      <w:pPr>
        <w:pStyle w:val="aa"/>
        <w:widowControl/>
        <w:spacing w:before="0" w:after="0" w:line="400" w:lineRule="exact"/>
        <w:ind w:firstLineChars="192" w:firstLine="403"/>
        <w:jc w:val="both"/>
        <w:rPr>
          <w:rFonts w:ascii="宋体" w:hAnsi="宋体" w:cs="宋体"/>
          <w:color w:val="000000"/>
          <w:kern w:val="2"/>
          <w:sz w:val="21"/>
          <w:szCs w:val="21"/>
          <w:lang w:bidi="ar"/>
        </w:rPr>
      </w:pPr>
    </w:p>
    <w:p w14:paraId="65E46C88" w14:textId="77777777" w:rsidR="00D21308" w:rsidRDefault="00F41C2D">
      <w:pPr>
        <w:pStyle w:val="1"/>
        <w:keepNext w:val="0"/>
        <w:keepLines w:val="0"/>
        <w:widowControl/>
        <w:spacing w:before="0" w:beforeAutospacing="1" w:after="0" w:afterAutospacing="1" w:line="400" w:lineRule="exact"/>
        <w:ind w:firstLine="422"/>
        <w:rPr>
          <w:rFonts w:ascii="宋体" w:hAnsi="宋体"/>
          <w:bCs w:val="0"/>
          <w:sz w:val="21"/>
          <w:szCs w:val="21"/>
        </w:rPr>
      </w:pPr>
      <w:r>
        <w:rPr>
          <w:rFonts w:ascii="宋体" w:hAnsi="宋体" w:cs="宋体" w:hint="eastAsia"/>
          <w:bCs w:val="0"/>
          <w:sz w:val="21"/>
          <w:szCs w:val="21"/>
        </w:rPr>
        <w:t>六、指令的发送、确认及执行</w:t>
      </w:r>
    </w:p>
    <w:p w14:paraId="478380B0" w14:textId="77777777" w:rsidR="00D21308" w:rsidRDefault="00F41C2D">
      <w:pPr>
        <w:widowControl/>
        <w:spacing w:line="400" w:lineRule="exact"/>
        <w:ind w:firstLineChars="200" w:firstLine="420"/>
        <w:rPr>
          <w:rFonts w:ascii="宋体" w:hAnsi="宋体" w:cs="宋体"/>
          <w:color w:val="000000"/>
          <w:szCs w:val="21"/>
          <w:lang w:bidi="ar"/>
        </w:rPr>
      </w:pPr>
      <w:r>
        <w:rPr>
          <w:rFonts w:ascii="宋体" w:eastAsia="仿宋_GB2312" w:hAnsi="宋体" w:cs="宋体"/>
          <w:color w:val="000000"/>
          <w:szCs w:val="21"/>
          <w:lang w:bidi="ar"/>
        </w:rPr>
        <w:t>（一）</w:t>
      </w:r>
      <w:r>
        <w:rPr>
          <w:rFonts w:ascii="宋体" w:hAnsi="宋体" w:cs="宋体" w:hint="eastAsia"/>
          <w:color w:val="000000"/>
          <w:szCs w:val="21"/>
          <w:lang w:bidi="ar"/>
        </w:rPr>
        <w:t>指令的内容</w:t>
      </w:r>
    </w:p>
    <w:p w14:paraId="3B286083"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lastRenderedPageBreak/>
        <w:t>指令是基金管理人在运作基金财产时，向基金托管人发出的资金划拨及投资结算指令。相关登记结算公司向基金托管人发送的结算通知和数据视为基金管理人向基金托管人发出的指令。</w:t>
      </w:r>
    </w:p>
    <w:p w14:paraId="068DEF87" w14:textId="77777777" w:rsidR="00D21308" w:rsidRDefault="00F41C2D">
      <w:pPr>
        <w:ind w:firstLineChars="200" w:firstLine="420"/>
        <w:rPr>
          <w:szCs w:val="21"/>
        </w:rPr>
      </w:pPr>
      <w:r>
        <w:rPr>
          <w:rFonts w:ascii="宋体" w:hAnsi="宋体" w:cs="宋体" w:hint="eastAsia"/>
          <w:szCs w:val="21"/>
          <w:lang w:bidi="ar"/>
        </w:rPr>
        <w:t>（二）指令的形式</w:t>
      </w:r>
    </w:p>
    <w:p w14:paraId="2C1145BE"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基金管理人发送的指令包括电子指令和线下指令。</w:t>
      </w:r>
    </w:p>
    <w:p w14:paraId="138A848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电子指令包括基金管理人发送的电子指令（采用深证通金融数据交换平台发送的电子指令、采用</w:t>
      </w:r>
      <w:r>
        <w:rPr>
          <w:rFonts w:ascii="宋体" w:hAnsi="宋体" w:cs="宋体"/>
          <w:color w:val="000000"/>
          <w:kern w:val="2"/>
          <w:sz w:val="21"/>
          <w:szCs w:val="21"/>
          <w:lang w:bidi="ar"/>
        </w:rPr>
        <w:t>SWIFT</w:t>
      </w:r>
      <w:r>
        <w:rPr>
          <w:rFonts w:ascii="宋体" w:hAnsi="宋体" w:cs="宋体"/>
          <w:color w:val="000000"/>
          <w:kern w:val="2"/>
          <w:sz w:val="21"/>
          <w:szCs w:val="21"/>
          <w:lang w:bidi="ar"/>
        </w:rPr>
        <w:t>电子报文发送的电子指令、通过中国银行托管网银发送的电子指令）、自动生成的电子指令（基金托管人根据基金管理人的授权通过预先设定的业务规则通过系统自动生成的电子指令）。电子指令一经发出即被视为合法有效指令。基金管理人通过深证通金融数据交换平台发送的电子指令，基金托管人根据</w:t>
      </w:r>
      <w:r>
        <w:rPr>
          <w:rFonts w:ascii="宋体" w:hAnsi="宋体" w:cs="宋体"/>
          <w:color w:val="000000"/>
          <w:kern w:val="2"/>
          <w:sz w:val="21"/>
          <w:szCs w:val="21"/>
          <w:lang w:bidi="ar"/>
        </w:rPr>
        <w:t>USER ID</w:t>
      </w:r>
      <w:r>
        <w:rPr>
          <w:rFonts w:ascii="宋体" w:hAnsi="宋体" w:cs="宋体"/>
          <w:color w:val="000000"/>
          <w:kern w:val="2"/>
          <w:sz w:val="21"/>
          <w:szCs w:val="21"/>
          <w:lang w:bidi="ar"/>
        </w:rPr>
        <w:t>和</w:t>
      </w:r>
      <w:r>
        <w:rPr>
          <w:rFonts w:ascii="宋体" w:hAnsi="宋体" w:cs="宋体"/>
          <w:color w:val="000000"/>
          <w:kern w:val="2"/>
          <w:sz w:val="21"/>
          <w:szCs w:val="21"/>
          <w:lang w:bidi="ar"/>
        </w:rPr>
        <w:t>APP ID</w:t>
      </w:r>
      <w:r>
        <w:rPr>
          <w:rFonts w:ascii="宋体" w:hAnsi="宋体" w:cs="宋体"/>
          <w:color w:val="000000"/>
          <w:kern w:val="2"/>
          <w:sz w:val="21"/>
          <w:szCs w:val="21"/>
          <w:lang w:bidi="ar"/>
        </w:rPr>
        <w:t>唯一识别基金管理人身份，基金管理人应妥善保管</w:t>
      </w:r>
      <w:r>
        <w:rPr>
          <w:rFonts w:ascii="宋体" w:hAnsi="宋体" w:cs="宋体"/>
          <w:color w:val="000000"/>
          <w:kern w:val="2"/>
          <w:sz w:val="21"/>
          <w:szCs w:val="21"/>
          <w:lang w:bidi="ar"/>
        </w:rPr>
        <w:t>USER ID</w:t>
      </w:r>
      <w:r>
        <w:rPr>
          <w:rFonts w:ascii="宋体" w:hAnsi="宋体" w:cs="宋体"/>
          <w:color w:val="000000"/>
          <w:kern w:val="2"/>
          <w:sz w:val="21"/>
          <w:szCs w:val="21"/>
          <w:lang w:bidi="ar"/>
        </w:rPr>
        <w:t>和</w:t>
      </w:r>
      <w:r>
        <w:rPr>
          <w:rFonts w:ascii="宋体" w:hAnsi="宋体" w:cs="宋体"/>
          <w:color w:val="000000"/>
          <w:kern w:val="2"/>
          <w:sz w:val="21"/>
          <w:szCs w:val="21"/>
          <w:lang w:bidi="ar"/>
        </w:rPr>
        <w:t>APP ID</w:t>
      </w:r>
      <w:r>
        <w:rPr>
          <w:rFonts w:ascii="宋体" w:hAnsi="宋体" w:cs="宋体"/>
          <w:color w:val="000000"/>
          <w:kern w:val="2"/>
          <w:sz w:val="21"/>
          <w:szCs w:val="21"/>
          <w:lang w:bidi="ar"/>
        </w:rPr>
        <w:t>，基金托管人身份识别后对于执行该电子指令造成的任何</w:t>
      </w:r>
      <w:r>
        <w:rPr>
          <w:rFonts w:ascii="宋体" w:hAnsi="宋体" w:cs="宋体"/>
          <w:color w:val="000000"/>
          <w:kern w:val="2"/>
          <w:sz w:val="21"/>
          <w:szCs w:val="21"/>
          <w:lang w:bidi="ar"/>
        </w:rPr>
        <w:t>损失基金托管人不承担责任。</w:t>
      </w:r>
    </w:p>
    <w:p w14:paraId="5129D548"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线下指令指以传真、邮件等双方认可的方式传送的指令。</w:t>
      </w:r>
    </w:p>
    <w:p w14:paraId="14BD2EC6"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t>（三）线下指令的授权与发送</w:t>
      </w:r>
    </w:p>
    <w:p w14:paraId="42F9C412"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、基金管理人对发送线下指令人员的书面授权</w:t>
      </w:r>
    </w:p>
    <w:p w14:paraId="75786833"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14:paraId="36067DD8"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基金管理人向基金托管人发出的授权通知（含变更授权通知）应加盖公章并由法定代表人或其授权签字人签署，若由授权签字人签署，还应附上法定代</w:t>
      </w:r>
      <w:r>
        <w:rPr>
          <w:rFonts w:ascii="宋体" w:hAnsi="宋体" w:cs="宋体" w:hint="eastAsia"/>
          <w:color w:val="000000"/>
          <w:kern w:val="2"/>
          <w:sz w:val="21"/>
          <w:szCs w:val="21"/>
          <w:lang w:bidi="ar"/>
        </w:rPr>
        <w:t>表人的授权书。基金管理人向基金托管人以传真或邮件的形式发送授权通知（含变更授权通知）后同时电话通知基金托管人。授权通知自基金托管人接到基金管理人的电话确认后于通知载明的生效时间起生效。通知载明的生效时间不得早于电话确认时间。基金管理人在此后</w:t>
      </w:r>
      <w:r>
        <w:rPr>
          <w:rFonts w:ascii="宋体" w:hAnsi="宋体" w:cs="宋体"/>
          <w:color w:val="000000"/>
          <w:kern w:val="2"/>
          <w:sz w:val="21"/>
          <w:szCs w:val="21"/>
          <w:lang w:bidi="ar"/>
        </w:rPr>
        <w:t>3</w:t>
      </w:r>
      <w:r>
        <w:rPr>
          <w:rFonts w:ascii="宋体" w:hAnsi="宋体" w:cs="宋体"/>
          <w:color w:val="000000"/>
          <w:kern w:val="2"/>
          <w:sz w:val="21"/>
          <w:szCs w:val="21"/>
          <w:lang w:bidi="ar"/>
        </w:rPr>
        <w:t>个工作日内将授权通知原件送交基金托管人。</w:t>
      </w:r>
    </w:p>
    <w:p w14:paraId="519B9831"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t>基金管理人和基金托管人对授权通知及其更改负有保密义务，其内容不得向指令发送人员及相关操作人员以外的任何人披露、泄露。</w:t>
      </w:r>
    </w:p>
    <w:p w14:paraId="29F6F828"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color w:val="000000"/>
          <w:kern w:val="2"/>
          <w:sz w:val="21"/>
          <w:szCs w:val="21"/>
          <w:lang w:bidi="ar"/>
        </w:rPr>
        <w:lastRenderedPageBreak/>
        <w:t>2</w:t>
      </w:r>
      <w:r>
        <w:rPr>
          <w:rFonts w:ascii="宋体" w:hAnsi="宋体" w:cs="宋体"/>
          <w:color w:val="000000"/>
          <w:kern w:val="2"/>
          <w:sz w:val="21"/>
          <w:szCs w:val="21"/>
          <w:lang w:bidi="ar"/>
        </w:rPr>
        <w:t>、线下指令的发送由</w:t>
      </w:r>
      <w:r>
        <w:rPr>
          <w:rFonts w:ascii="宋体" w:hAnsi="宋体" w:cs="宋体"/>
          <w:color w:val="000000"/>
          <w:kern w:val="2"/>
          <w:sz w:val="21"/>
          <w:szCs w:val="21"/>
          <w:lang w:bidi="ar"/>
        </w:rPr>
        <w:t>“</w:t>
      </w:r>
      <w:r>
        <w:rPr>
          <w:rFonts w:ascii="宋体" w:hAnsi="宋体" w:cs="宋体"/>
          <w:color w:val="000000"/>
          <w:kern w:val="2"/>
          <w:sz w:val="21"/>
          <w:szCs w:val="21"/>
          <w:lang w:bidi="ar"/>
        </w:rPr>
        <w:t>授权通知</w:t>
      </w:r>
      <w:r>
        <w:rPr>
          <w:rFonts w:ascii="宋体" w:hAnsi="宋体" w:cs="宋体"/>
          <w:color w:val="000000"/>
          <w:kern w:val="2"/>
          <w:sz w:val="21"/>
          <w:szCs w:val="21"/>
          <w:lang w:bidi="ar"/>
        </w:rPr>
        <w:t>”</w:t>
      </w:r>
      <w:r>
        <w:rPr>
          <w:rFonts w:ascii="宋体" w:hAnsi="宋体" w:cs="宋体"/>
          <w:color w:val="000000"/>
          <w:kern w:val="2"/>
          <w:sz w:val="21"/>
          <w:szCs w:val="21"/>
          <w:lang w:bidi="ar"/>
        </w:rPr>
        <w:t>确定的指令发送人员代表基金管理人用传真、邮件或其他双方确认的方式向基金托管人发</w:t>
      </w:r>
      <w:r>
        <w:rPr>
          <w:rFonts w:ascii="宋体" w:hAnsi="宋体" w:cs="宋体"/>
          <w:color w:val="000000"/>
          <w:kern w:val="2"/>
          <w:sz w:val="21"/>
          <w:szCs w:val="21"/>
          <w:lang w:bidi="ar"/>
        </w:rPr>
        <w:t>送。对于指令发送人员发出的指令，基金管理人不得否认其效力。</w:t>
      </w:r>
    </w:p>
    <w:p w14:paraId="47B338EE"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（四）指令的发送、确认和执行</w:t>
      </w:r>
    </w:p>
    <w:p w14:paraId="4BA5F069" w14:textId="77777777" w:rsidR="00D21308" w:rsidRDefault="00F41C2D">
      <w:pPr>
        <w:pStyle w:val="aa"/>
        <w:widowControl/>
        <w:spacing w:before="0" w:after="0" w:line="400" w:lineRule="exact"/>
        <w:ind w:firstLineChars="192" w:firstLine="403"/>
        <w:jc w:val="both"/>
        <w:rPr>
          <w:rFonts w:ascii="宋体" w:hAnsi="宋体" w:cs="宋体"/>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基金管理人应按照《基金法》、《运作办法》、《基金合同》和有关法律法规的规定，在其合法的经营权限和交易权限内，并依据相关业务规则发送指令。指令发出后，基金管理人应及时通过电话或其他双方认可的方式通知基金托管人，确保指令成功传送至基金托管人。因基金管理人未及时通知基金托管人，致使资金未能及时到账所造成的损失不由基金托管人承担。</w:t>
      </w:r>
    </w:p>
    <w:p w14:paraId="4FC45795"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2</w:t>
      </w:r>
      <w:r>
        <w:rPr>
          <w:rFonts w:ascii="宋体" w:hAnsi="宋体" w:cs="宋体"/>
          <w:color w:val="000000"/>
          <w:kern w:val="2"/>
          <w:sz w:val="21"/>
          <w:szCs w:val="21"/>
          <w:lang w:bidi="ar"/>
        </w:rPr>
        <w:t>、基金托管人在接收指令时，应对指令的要素是否齐全、印鉴是否与授权通知相符等进行表面一致性的检查。对合法合规的指令，基金托管人应在规定期限内执行，不得不合理延误。</w:t>
      </w:r>
    </w:p>
    <w:p w14:paraId="10129682"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3</w:t>
      </w:r>
      <w:r>
        <w:rPr>
          <w:rFonts w:ascii="宋体" w:hAnsi="宋体" w:cs="宋体"/>
          <w:color w:val="000000"/>
          <w:kern w:val="2"/>
          <w:sz w:val="21"/>
          <w:szCs w:val="21"/>
          <w:lang w:bidi="ar"/>
        </w:rPr>
        <w:t>、对于银行间业务，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14:paraId="7456FCF0"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4</w:t>
      </w:r>
      <w:r>
        <w:rPr>
          <w:rFonts w:ascii="宋体" w:hAnsi="宋体" w:cs="宋体"/>
          <w:color w:val="000000"/>
          <w:kern w:val="2"/>
          <w:sz w:val="21"/>
          <w:szCs w:val="21"/>
          <w:lang w:bidi="ar"/>
        </w:rPr>
        <w:t>、基金管理人在发送指令时，应为基金托管人留出</w:t>
      </w:r>
      <w:r>
        <w:rPr>
          <w:rFonts w:ascii="宋体" w:hAnsi="宋体" w:cs="宋体"/>
          <w:color w:val="000000"/>
          <w:kern w:val="2"/>
          <w:sz w:val="21"/>
          <w:szCs w:val="21"/>
          <w:lang w:bidi="ar"/>
        </w:rPr>
        <w:t>执行指令时所必需的时间。指令传输不及时或未能留出足够的执行时间，致使指令未能及时执行所造成的损失由基金管理人承担。</w:t>
      </w:r>
    </w:p>
    <w:p w14:paraId="74DED804"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（五）基金管理人发送错误指令的情形和处理程序</w:t>
      </w:r>
    </w:p>
    <w:p w14:paraId="05E863E9"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基金管理人发送错误指令的情形主要包括：指令要素错误、预留印鉴错误及其他本协议约定的情形。</w:t>
      </w:r>
    </w:p>
    <w:p w14:paraId="7A49DF19"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基金托管人发现基金管理人的指令错误时，有权拒绝执行，并及时通知基金管理人改正。对基金管理人更正并重新发送后的指令经基金托管人核对确认后方能执行。</w:t>
      </w:r>
    </w:p>
    <w:p w14:paraId="01562818"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（六）基金托管人依照法律法规拒绝执行指令的情形和处理程序</w:t>
      </w:r>
    </w:p>
    <w:p w14:paraId="41EA7A9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lastRenderedPageBreak/>
        <w:t>基金托管人发现基金管理人的指令违反法律法规规定或者《基金</w:t>
      </w:r>
      <w:r>
        <w:rPr>
          <w:rFonts w:ascii="宋体" w:hAnsi="宋体" w:cs="宋体" w:hint="eastAsia"/>
          <w:color w:val="000000"/>
          <w:kern w:val="2"/>
          <w:sz w:val="21"/>
          <w:szCs w:val="21"/>
          <w:lang w:bidi="ar"/>
        </w:rPr>
        <w:t>合同》约定，应当不予执行，并及时通知基金管理人要求其变更或撤销相关指令，若基金管理人在基金托管人发出上述通知后仍未变更或撤销相关指令，基金托管人应当拒绝执行，并向中国证监会报告。</w:t>
      </w:r>
    </w:p>
    <w:p w14:paraId="12D7A822"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向基金托管人下达指令时，应确保基金的银行存款账户有足够的资金余额，确保基金的证券账户有足够的证券余额。对超头寸的指令，以及超过证券账户证券余额的指令，基金托管人可不予执行，但应及时通知基金管理人，由此造成的损失，由基金管理人承担。</w:t>
      </w:r>
    </w:p>
    <w:p w14:paraId="6E1B2EEC"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（七）基金托管人未按照基金管理人指令执行的处理方法</w:t>
      </w:r>
    </w:p>
    <w:p w14:paraId="44BAD633"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lang w:bidi="ar"/>
        </w:rPr>
      </w:pPr>
      <w:r>
        <w:rPr>
          <w:rFonts w:ascii="宋体" w:hAnsi="宋体" w:cs="宋体" w:hint="eastAsia"/>
          <w:color w:val="000000"/>
          <w:kern w:val="2"/>
          <w:sz w:val="21"/>
          <w:szCs w:val="21"/>
          <w:lang w:bidi="ar"/>
        </w:rPr>
        <w:t>基金托管人因未正确执行基金管理人合法合</w:t>
      </w:r>
      <w:r>
        <w:rPr>
          <w:rFonts w:ascii="宋体" w:hAnsi="宋体" w:cs="宋体" w:hint="eastAsia"/>
          <w:color w:val="000000"/>
          <w:kern w:val="2"/>
          <w:sz w:val="21"/>
          <w:szCs w:val="21"/>
          <w:lang w:bidi="ar"/>
        </w:rPr>
        <w:t>规的指令，致使本基金的利益受到损害，基金托管人应及时采取措施予以补救，并承担相应的责任。除此之外，基金托管人对执行基金管理人的合法合规指令对基金造成的损失不承担任何责任。</w:t>
      </w:r>
    </w:p>
    <w:p w14:paraId="7B56EC25" w14:textId="77777777" w:rsidR="00D21308" w:rsidRDefault="00D21308">
      <w:pPr>
        <w:pStyle w:val="aa"/>
        <w:widowControl/>
        <w:spacing w:before="0" w:after="0" w:line="400" w:lineRule="exact"/>
        <w:ind w:firstLineChars="192" w:firstLine="403"/>
        <w:jc w:val="both"/>
        <w:rPr>
          <w:rFonts w:ascii="宋体" w:hAnsi="宋体" w:cs="宋体"/>
          <w:color w:val="000000"/>
          <w:kern w:val="2"/>
          <w:sz w:val="21"/>
          <w:szCs w:val="21"/>
          <w:lang w:bidi="ar"/>
        </w:rPr>
      </w:pPr>
    </w:p>
    <w:p w14:paraId="59CAA9C6" w14:textId="77777777" w:rsidR="00D21308" w:rsidRDefault="00F41C2D">
      <w:pPr>
        <w:pStyle w:val="1"/>
        <w:keepNext w:val="0"/>
        <w:keepLines w:val="0"/>
        <w:widowControl/>
        <w:spacing w:before="0" w:beforeAutospacing="1" w:after="0" w:afterAutospacing="1" w:line="400" w:lineRule="exact"/>
        <w:ind w:firstLine="422"/>
        <w:rPr>
          <w:rFonts w:ascii="宋体" w:hAnsi="宋体"/>
          <w:bCs w:val="0"/>
          <w:sz w:val="21"/>
          <w:szCs w:val="21"/>
        </w:rPr>
      </w:pPr>
      <w:r>
        <w:rPr>
          <w:rFonts w:ascii="宋体" w:hAnsi="宋体"/>
          <w:kern w:val="2"/>
          <w:sz w:val="21"/>
          <w:szCs w:val="21"/>
        </w:rPr>
        <w:t xml:space="preserve"> </w:t>
      </w:r>
      <w:r>
        <w:rPr>
          <w:rFonts w:ascii="宋体" w:hAnsi="宋体" w:cs="宋体" w:hint="eastAsia"/>
          <w:bCs w:val="0"/>
          <w:sz w:val="21"/>
          <w:szCs w:val="21"/>
        </w:rPr>
        <w:t>七、交易及清算交收安排</w:t>
      </w:r>
    </w:p>
    <w:p w14:paraId="28D30F94" w14:textId="77777777" w:rsidR="00D21308" w:rsidRDefault="00F41C2D">
      <w:pPr>
        <w:pStyle w:val="aa"/>
        <w:widowControl/>
        <w:spacing w:before="0" w:after="0" w:line="400" w:lineRule="exact"/>
        <w:ind w:firstLine="403"/>
        <w:jc w:val="both"/>
        <w:rPr>
          <w:rFonts w:ascii="宋体" w:hAnsi="宋体"/>
          <w:b/>
          <w:kern w:val="2"/>
          <w:sz w:val="21"/>
          <w:szCs w:val="21"/>
        </w:rPr>
      </w:pPr>
      <w:r>
        <w:rPr>
          <w:rFonts w:ascii="宋体" w:hAnsi="宋体" w:cs="宋体" w:hint="eastAsia"/>
          <w:kern w:val="2"/>
          <w:sz w:val="21"/>
          <w:szCs w:val="21"/>
          <w:lang w:bidi="ar"/>
        </w:rPr>
        <w:t>（一）基金管理人负责选择代理本基金证券、期货买卖的证券、期货经纪机构</w:t>
      </w:r>
    </w:p>
    <w:p w14:paraId="728EC695" w14:textId="77777777" w:rsidR="00D21308" w:rsidRDefault="00F41C2D">
      <w:pPr>
        <w:pStyle w:val="aa"/>
        <w:widowControl/>
        <w:spacing w:before="0" w:after="0" w:line="400" w:lineRule="exact"/>
        <w:ind w:firstLineChars="200" w:firstLine="420"/>
        <w:jc w:val="both"/>
        <w:rPr>
          <w:rFonts w:ascii="宋体" w:hAnsi="宋体" w:cs="宋体"/>
          <w:color w:val="000000"/>
          <w:kern w:val="2"/>
          <w:sz w:val="21"/>
          <w:szCs w:val="21"/>
        </w:rPr>
      </w:pPr>
      <w:r>
        <w:rPr>
          <w:rFonts w:ascii="宋体" w:hAnsi="宋体" w:cs="宋体" w:hint="eastAsia"/>
          <w:color w:val="000000"/>
          <w:kern w:val="2"/>
          <w:sz w:val="21"/>
          <w:szCs w:val="21"/>
          <w:lang w:bidi="ar"/>
        </w:rPr>
        <w:t>基金管理人根据相关法律法规规定选择代理本基金证券买卖的证券经营机构，并承担相应责任。基金管理人与被选择的证券经营机构签订委托协议，并按照法律法规的规定向中国证监会报告和信息披露有关内容。</w:t>
      </w:r>
    </w:p>
    <w:p w14:paraId="22259817" w14:textId="77777777" w:rsidR="00D21308" w:rsidRDefault="00F41C2D">
      <w:pPr>
        <w:pStyle w:val="aa"/>
        <w:widowControl/>
        <w:spacing w:before="0" w:after="0" w:line="400" w:lineRule="exact"/>
        <w:ind w:firstLineChars="200" w:firstLine="420"/>
        <w:jc w:val="both"/>
        <w:rPr>
          <w:rFonts w:ascii="宋体" w:hAnsi="宋体" w:cs="宋体"/>
          <w:color w:val="000000"/>
          <w:kern w:val="2"/>
          <w:sz w:val="21"/>
          <w:szCs w:val="21"/>
        </w:rPr>
      </w:pPr>
      <w:r>
        <w:rPr>
          <w:rFonts w:ascii="宋体" w:hAnsi="宋体" w:cs="宋体" w:hint="eastAsia"/>
          <w:color w:val="000000"/>
          <w:kern w:val="2"/>
          <w:sz w:val="21"/>
          <w:szCs w:val="21"/>
          <w:lang w:bidi="ar"/>
        </w:rPr>
        <w:t>基金管理人应将委托协议（或交易单元租用协议）的原件及时送交基金托管人。基金管理人应及时以书面形式通知基金托管人基金专用交易单元的号码、券商名称、佣金费率等基金基本信息以及变更情况，其中交易单元租用应至少在首次进行交易的</w:t>
      </w:r>
      <w:r>
        <w:rPr>
          <w:rFonts w:ascii="宋体" w:hAnsi="宋体" w:cs="宋体"/>
          <w:color w:val="000000"/>
          <w:kern w:val="2"/>
          <w:sz w:val="21"/>
          <w:szCs w:val="21"/>
          <w:lang w:bidi="ar"/>
        </w:rPr>
        <w:t>10</w:t>
      </w:r>
      <w:r>
        <w:rPr>
          <w:rFonts w:ascii="宋体" w:hAnsi="宋体" w:cs="宋体"/>
          <w:color w:val="000000"/>
          <w:kern w:val="2"/>
          <w:sz w:val="21"/>
          <w:szCs w:val="21"/>
          <w:lang w:bidi="ar"/>
        </w:rPr>
        <w:t>个工作日前通知基金托管人，交易单元退租应在次日内通知到基金托管人。</w:t>
      </w:r>
    </w:p>
    <w:p w14:paraId="11B500D1" w14:textId="77777777" w:rsidR="00D21308" w:rsidRDefault="00F41C2D">
      <w:pPr>
        <w:spacing w:line="400" w:lineRule="exact"/>
        <w:ind w:firstLineChars="200" w:firstLine="420"/>
        <w:rPr>
          <w:rFonts w:ascii="宋体" w:hAnsi="宋体" w:cs="宋体"/>
          <w:szCs w:val="21"/>
        </w:rPr>
      </w:pPr>
      <w:r>
        <w:rPr>
          <w:rFonts w:ascii="宋体" w:hAnsi="宋体" w:cs="宋体" w:hint="eastAsia"/>
          <w:szCs w:val="21"/>
          <w:lang w:bidi="ar"/>
        </w:rPr>
        <w:t>基金管理人负责根据法律法规规定选择代理本基金期货交易的期货经纪机构，并与其签订期货经纪合同，其他事宜根据法律法规、《基金合同》的相关规定执行。</w:t>
      </w:r>
    </w:p>
    <w:p w14:paraId="3B48FBCD"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（二）基金清算交收</w:t>
      </w:r>
    </w:p>
    <w:p w14:paraId="1DF46573"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color w:val="000000"/>
          <w:kern w:val="2"/>
          <w:sz w:val="21"/>
          <w:szCs w:val="21"/>
          <w:lang w:bidi="ar"/>
        </w:rPr>
        <w:t>1</w:t>
      </w:r>
      <w:r>
        <w:rPr>
          <w:rFonts w:ascii="宋体" w:hAnsi="宋体" w:cs="宋体"/>
          <w:color w:val="000000"/>
          <w:kern w:val="2"/>
          <w:sz w:val="21"/>
          <w:szCs w:val="21"/>
          <w:lang w:bidi="ar"/>
        </w:rPr>
        <w:t>、因本基金投资于证券发生的所有场内、场外交易的清算交收，</w:t>
      </w:r>
      <w:r>
        <w:rPr>
          <w:rFonts w:ascii="宋体" w:hAnsi="宋体" w:cs="宋体"/>
          <w:color w:val="000000"/>
          <w:kern w:val="2"/>
          <w:sz w:val="21"/>
          <w:szCs w:val="21"/>
          <w:lang w:bidi="ar"/>
        </w:rPr>
        <w:t>由基金托管人负责根据相关登记结算公司的结算规则办理。场外投资本金及收益的划回，由基金管理人负责协调相关资金划拨回资金托管账户事宜。</w:t>
      </w:r>
    </w:p>
    <w:p w14:paraId="1338943F"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lastRenderedPageBreak/>
        <w:t>本基金投资于期货发生的资金交割清算由基金管理人选定的期货经纪公司负责办理，基金托管人对由于期货交易所期货保证金制度和清算交割的需要而存放在期货经纪公司的资金不承担保管职责和交收职责，基金管理人应在期货经纪协议或其它协议中约定由选定的期货经纪公司承担资金安全保管责任和交收责任。</w:t>
      </w:r>
    </w:p>
    <w:p w14:paraId="5E9C086F"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2</w:t>
      </w:r>
      <w:r>
        <w:rPr>
          <w:rFonts w:ascii="宋体" w:hAnsi="宋体" w:cs="宋体"/>
          <w:color w:val="000000"/>
          <w:kern w:val="2"/>
          <w:sz w:val="21"/>
          <w:szCs w:val="21"/>
          <w:lang w:bidi="ar"/>
        </w:rPr>
        <w:t>、由于基金管理人或基金托管人原因导致基金资金透支、超买或超卖等情形的，由责任方承担相应的责任。在发生以上情形时，基金托管人应当及时通知基金管理人，基金管理人应积极采取措施、最大程度控制违约交收风险与相关损失，并同意基金托管人按照中国证券登记结算有限责任公司的有关规定办理。</w:t>
      </w:r>
    </w:p>
    <w:p w14:paraId="1E21EAB7"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3</w:t>
      </w:r>
      <w:r>
        <w:rPr>
          <w:rFonts w:ascii="宋体" w:hAnsi="宋体" w:cs="宋体"/>
          <w:color w:val="000000"/>
          <w:kern w:val="2"/>
          <w:sz w:val="21"/>
          <w:szCs w:val="21"/>
          <w:lang w:bidi="ar"/>
        </w:rPr>
        <w:t>、由于基金管理人或基金托管人原因导致基金无法按时支付清算款时，责任方应对由此给基金财产造成的损失承担相应的赔偿责任。</w:t>
      </w:r>
    </w:p>
    <w:p w14:paraId="0AFC30F4"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4</w:t>
      </w:r>
      <w:r>
        <w:rPr>
          <w:rFonts w:ascii="宋体" w:hAnsi="宋体" w:cs="宋体"/>
          <w:color w:val="000000"/>
          <w:kern w:val="2"/>
          <w:sz w:val="21"/>
          <w:szCs w:val="21"/>
          <w:lang w:bidi="ar"/>
        </w:rPr>
        <w:t>、基金管理人应保证在交收日（</w:t>
      </w:r>
      <w:r>
        <w:rPr>
          <w:rFonts w:ascii="宋体" w:hAnsi="宋体" w:cs="宋体"/>
          <w:color w:val="000000"/>
          <w:kern w:val="2"/>
          <w:sz w:val="21"/>
          <w:szCs w:val="21"/>
          <w:lang w:bidi="ar"/>
        </w:rPr>
        <w:t>T+1</w:t>
      </w:r>
      <w:r>
        <w:rPr>
          <w:rFonts w:ascii="宋体" w:hAnsi="宋体" w:cs="宋体"/>
          <w:color w:val="000000"/>
          <w:kern w:val="2"/>
          <w:sz w:val="21"/>
          <w:szCs w:val="21"/>
          <w:lang w:bidi="ar"/>
        </w:rPr>
        <w:t>日）</w:t>
      </w:r>
      <w:r>
        <w:rPr>
          <w:rFonts w:ascii="宋体" w:hAnsi="宋体" w:cs="宋体"/>
          <w:color w:val="000000"/>
          <w:kern w:val="2"/>
          <w:sz w:val="21"/>
          <w:szCs w:val="21"/>
          <w:lang w:bidi="ar"/>
        </w:rPr>
        <w:t>10</w:t>
      </w:r>
      <w:r>
        <w:rPr>
          <w:rFonts w:ascii="宋体" w:hAnsi="宋体" w:cs="宋体"/>
          <w:color w:val="000000"/>
          <w:kern w:val="2"/>
          <w:sz w:val="21"/>
          <w:szCs w:val="21"/>
          <w:lang w:bidi="ar"/>
        </w:rPr>
        <w:t>：</w:t>
      </w:r>
      <w:r>
        <w:rPr>
          <w:rFonts w:ascii="宋体" w:hAnsi="宋体" w:cs="宋体"/>
          <w:color w:val="000000"/>
          <w:kern w:val="2"/>
          <w:sz w:val="21"/>
          <w:szCs w:val="21"/>
          <w:lang w:bidi="ar"/>
        </w:rPr>
        <w:t>00</w:t>
      </w:r>
      <w:r>
        <w:rPr>
          <w:rFonts w:ascii="宋体" w:hAnsi="宋体" w:cs="宋体"/>
          <w:color w:val="000000"/>
          <w:kern w:val="2"/>
          <w:sz w:val="21"/>
          <w:szCs w:val="21"/>
          <w:lang w:bidi="ar"/>
        </w:rPr>
        <w:t>前基金托管账户有足够的资金用于交易所的证券交易资金清算，如基金的资</w:t>
      </w:r>
      <w:r>
        <w:rPr>
          <w:rFonts w:ascii="宋体" w:hAnsi="宋体" w:cs="宋体"/>
          <w:color w:val="000000"/>
          <w:kern w:val="2"/>
          <w:sz w:val="21"/>
          <w:szCs w:val="21"/>
          <w:lang w:bidi="ar"/>
        </w:rPr>
        <w:t>金头寸不足则基金托管人应按照中国证券登记结算有限责任公司的有关规定办理。</w:t>
      </w:r>
    </w:p>
    <w:p w14:paraId="17241701" w14:textId="77777777" w:rsidR="00D21308" w:rsidRDefault="00F41C2D">
      <w:pPr>
        <w:pStyle w:val="aa"/>
        <w:widowControl/>
        <w:spacing w:before="0" w:after="0" w:line="400" w:lineRule="exact"/>
        <w:ind w:firstLineChars="192" w:firstLine="403"/>
        <w:jc w:val="both"/>
        <w:rPr>
          <w:rFonts w:ascii="宋体" w:hAnsi="宋体" w:cs="宋体"/>
          <w:color w:val="000000"/>
          <w:kern w:val="2"/>
          <w:sz w:val="21"/>
          <w:szCs w:val="21"/>
        </w:rPr>
      </w:pPr>
      <w:r>
        <w:rPr>
          <w:rFonts w:ascii="宋体" w:hAnsi="宋体" w:cs="宋体"/>
          <w:color w:val="000000"/>
          <w:kern w:val="2"/>
          <w:sz w:val="21"/>
          <w:szCs w:val="21"/>
          <w:lang w:bidi="ar"/>
        </w:rPr>
        <w:t>5</w:t>
      </w:r>
      <w:r>
        <w:rPr>
          <w:rFonts w:ascii="宋体" w:hAnsi="宋体" w:cs="宋体"/>
          <w:color w:val="000000"/>
          <w:kern w:val="2"/>
          <w:sz w:val="21"/>
          <w:szCs w:val="21"/>
          <w:lang w:bidi="ar"/>
        </w:rPr>
        <w:t>、基金管理人应保证基金托管人在执行基金管理人发送的划款指令时，基金托管账户或资金交收账户上有充足的资金。基金的资金头寸不足时，基金托管人有权拒绝基金管理人发送的划款指令，由此造成的损失，由基金管理人承担。</w:t>
      </w:r>
    </w:p>
    <w:p w14:paraId="1D0C0A57"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color w:val="000000"/>
          <w:kern w:val="2"/>
          <w:sz w:val="21"/>
          <w:szCs w:val="21"/>
          <w:lang w:bidi="ar"/>
        </w:rPr>
        <w:t>6</w:t>
      </w:r>
      <w:r>
        <w:rPr>
          <w:rFonts w:ascii="宋体" w:hAnsi="宋体" w:cs="宋体"/>
          <w:color w:val="000000"/>
          <w:kern w:val="2"/>
          <w:sz w:val="21"/>
          <w:szCs w:val="21"/>
          <w:lang w:bidi="ar"/>
        </w:rPr>
        <w:t>、基金管理人在发送划款指令时应充分考虑基金托管人的划款处理时间。对于要求当天到账的指令，应在当天</w:t>
      </w:r>
      <w:r>
        <w:rPr>
          <w:rFonts w:ascii="宋体" w:hAnsi="宋体" w:cs="宋体"/>
          <w:color w:val="000000"/>
          <w:kern w:val="2"/>
          <w:sz w:val="21"/>
          <w:szCs w:val="21"/>
          <w:lang w:bidi="ar"/>
        </w:rPr>
        <w:t>15:00</w:t>
      </w:r>
      <w:r>
        <w:rPr>
          <w:rFonts w:ascii="宋体" w:hAnsi="宋体" w:cs="宋体"/>
          <w:color w:val="000000"/>
          <w:kern w:val="2"/>
          <w:sz w:val="21"/>
          <w:szCs w:val="21"/>
          <w:lang w:bidi="ar"/>
        </w:rPr>
        <w:t>前发送；对于要求当天某一时点到账，则指令需提前</w:t>
      </w:r>
      <w:r>
        <w:rPr>
          <w:rFonts w:ascii="宋体" w:hAnsi="宋体" w:cs="宋体"/>
          <w:color w:val="000000"/>
          <w:kern w:val="2"/>
          <w:sz w:val="21"/>
          <w:szCs w:val="21"/>
          <w:lang w:bidi="ar"/>
        </w:rPr>
        <w:t>2</w:t>
      </w:r>
      <w:r>
        <w:rPr>
          <w:rFonts w:ascii="宋体" w:hAnsi="宋体" w:cs="宋体"/>
          <w:color w:val="000000"/>
          <w:kern w:val="2"/>
          <w:sz w:val="21"/>
          <w:szCs w:val="21"/>
          <w:lang w:bidi="ar"/>
        </w:rPr>
        <w:t>个工作小时发送，并保证相关付款条件已经具备。对于新股申购网下公开发行业务，</w:t>
      </w:r>
      <w:r>
        <w:rPr>
          <w:rFonts w:ascii="宋体" w:hAnsi="宋体" w:cs="宋体"/>
          <w:color w:val="000000"/>
          <w:kern w:val="2"/>
          <w:sz w:val="21"/>
          <w:szCs w:val="21"/>
          <w:lang w:bidi="ar"/>
        </w:rPr>
        <w:t>基金管理人应在网下申购缴款日</w:t>
      </w:r>
      <w:r>
        <w:rPr>
          <w:rFonts w:ascii="宋体" w:hAnsi="宋体" w:cs="宋体"/>
          <w:color w:val="000000"/>
          <w:kern w:val="2"/>
          <w:sz w:val="21"/>
          <w:szCs w:val="21"/>
          <w:lang w:bidi="ar"/>
        </w:rPr>
        <w:t>(T</w:t>
      </w:r>
      <w:r>
        <w:rPr>
          <w:rFonts w:ascii="宋体" w:hAnsi="宋体" w:cs="宋体"/>
          <w:color w:val="000000"/>
          <w:kern w:val="2"/>
          <w:sz w:val="21"/>
          <w:szCs w:val="21"/>
          <w:lang w:bidi="ar"/>
        </w:rPr>
        <w:t>日</w:t>
      </w:r>
      <w:r>
        <w:rPr>
          <w:rFonts w:ascii="宋体" w:hAnsi="宋体" w:cs="宋体"/>
          <w:color w:val="000000"/>
          <w:kern w:val="2"/>
          <w:sz w:val="21"/>
          <w:szCs w:val="21"/>
          <w:lang w:bidi="ar"/>
        </w:rPr>
        <w:t>)</w:t>
      </w:r>
      <w:r>
        <w:rPr>
          <w:rFonts w:ascii="宋体" w:hAnsi="宋体" w:cs="宋体"/>
          <w:color w:val="000000"/>
          <w:kern w:val="2"/>
          <w:sz w:val="21"/>
          <w:szCs w:val="21"/>
          <w:lang w:bidi="ar"/>
        </w:rPr>
        <w:t>的前一工作日下班前将新股申购缴款指令发送给基金托管人，最迟不应晚于</w:t>
      </w:r>
      <w:r>
        <w:rPr>
          <w:rFonts w:ascii="宋体" w:hAnsi="宋体" w:cs="宋体"/>
          <w:color w:val="000000"/>
          <w:kern w:val="2"/>
          <w:sz w:val="21"/>
          <w:szCs w:val="21"/>
          <w:lang w:bidi="ar"/>
        </w:rPr>
        <w:t>T</w:t>
      </w:r>
      <w:r>
        <w:rPr>
          <w:rFonts w:ascii="宋体" w:hAnsi="宋体" w:cs="宋体"/>
          <w:color w:val="000000"/>
          <w:kern w:val="2"/>
          <w:sz w:val="21"/>
          <w:szCs w:val="21"/>
          <w:lang w:bidi="ar"/>
        </w:rPr>
        <w:t>日上午</w:t>
      </w:r>
      <w:r>
        <w:rPr>
          <w:rFonts w:ascii="宋体" w:hAnsi="宋体" w:cs="宋体"/>
          <w:color w:val="000000"/>
          <w:kern w:val="2"/>
          <w:sz w:val="21"/>
          <w:szCs w:val="21"/>
          <w:lang w:bidi="ar"/>
        </w:rPr>
        <w:t>10</w:t>
      </w:r>
      <w:r>
        <w:rPr>
          <w:rFonts w:ascii="宋体" w:hAnsi="宋体" w:cs="宋体"/>
          <w:color w:val="000000"/>
          <w:kern w:val="2"/>
          <w:sz w:val="21"/>
          <w:szCs w:val="21"/>
          <w:lang w:bidi="ar"/>
        </w:rPr>
        <w:t>：</w:t>
      </w:r>
      <w:r>
        <w:rPr>
          <w:rFonts w:ascii="宋体" w:hAnsi="宋体" w:cs="宋体"/>
          <w:color w:val="000000"/>
          <w:kern w:val="2"/>
          <w:sz w:val="21"/>
          <w:szCs w:val="21"/>
          <w:lang w:bidi="ar"/>
        </w:rPr>
        <w:t>00</w:t>
      </w:r>
      <w:r>
        <w:rPr>
          <w:rFonts w:ascii="宋体" w:hAnsi="宋体" w:cs="宋体"/>
          <w:color w:val="000000"/>
          <w:kern w:val="2"/>
          <w:sz w:val="21"/>
          <w:szCs w:val="21"/>
          <w:lang w:bidi="ar"/>
        </w:rPr>
        <w:t>时。</w:t>
      </w:r>
    </w:p>
    <w:p w14:paraId="18148B58" w14:textId="77777777" w:rsidR="00D21308" w:rsidRDefault="00F41C2D">
      <w:pPr>
        <w:pStyle w:val="aa"/>
        <w:spacing w:before="0" w:after="0" w:line="400" w:lineRule="exact"/>
        <w:ind w:firstLineChars="192" w:firstLine="403"/>
        <w:jc w:val="both"/>
        <w:rPr>
          <w:rFonts w:ascii="宋体" w:hAnsi="宋体"/>
          <w:kern w:val="2"/>
          <w:sz w:val="21"/>
          <w:szCs w:val="21"/>
        </w:rPr>
      </w:pPr>
      <w:r>
        <w:rPr>
          <w:rFonts w:ascii="宋体" w:hAnsi="宋体" w:cs="宋体" w:hint="eastAsia"/>
          <w:color w:val="000000"/>
          <w:kern w:val="2"/>
          <w:sz w:val="21"/>
          <w:szCs w:val="21"/>
          <w:lang w:bidi="ar"/>
        </w:rPr>
        <w:t>对于</w:t>
      </w:r>
      <w:r>
        <w:rPr>
          <w:rFonts w:ascii="宋体" w:hAnsi="宋体" w:cs="宋体" w:hint="eastAsia"/>
          <w:color w:val="000000"/>
          <w:sz w:val="21"/>
          <w:szCs w:val="21"/>
          <w:lang w:bidi="ar"/>
        </w:rPr>
        <w:t>中国证券登记结算有限责任公司</w:t>
      </w:r>
      <w:r>
        <w:rPr>
          <w:rFonts w:ascii="宋体" w:hAnsi="宋体" w:cs="宋体" w:hint="eastAsia"/>
          <w:color w:val="000000"/>
          <w:kern w:val="2"/>
          <w:sz w:val="21"/>
          <w:szCs w:val="21"/>
          <w:lang w:bidi="ar"/>
        </w:rPr>
        <w:t>实行</w:t>
      </w:r>
      <w:r>
        <w:rPr>
          <w:rFonts w:ascii="宋体" w:hAnsi="宋体" w:cs="宋体"/>
          <w:color w:val="000000"/>
          <w:kern w:val="2"/>
          <w:sz w:val="21"/>
          <w:szCs w:val="21"/>
          <w:lang w:bidi="ar"/>
        </w:rPr>
        <w:t>T+0</w:t>
      </w:r>
      <w:r>
        <w:rPr>
          <w:rFonts w:ascii="宋体" w:hAnsi="宋体" w:cs="宋体"/>
          <w:color w:val="000000"/>
          <w:kern w:val="2"/>
          <w:sz w:val="21"/>
          <w:szCs w:val="21"/>
          <w:lang w:bidi="ar"/>
        </w:rPr>
        <w:t>非担保交收的业务，基金管理人应在交易日</w:t>
      </w:r>
      <w:r>
        <w:rPr>
          <w:rFonts w:ascii="宋体" w:hAnsi="宋体" w:cs="宋体"/>
          <w:color w:val="000000"/>
          <w:kern w:val="2"/>
          <w:sz w:val="21"/>
          <w:szCs w:val="21"/>
          <w:lang w:bidi="ar"/>
        </w:rPr>
        <w:t>14</w:t>
      </w:r>
      <w:r>
        <w:rPr>
          <w:rFonts w:ascii="宋体" w:hAnsi="宋体" w:cs="宋体"/>
          <w:color w:val="000000"/>
          <w:kern w:val="2"/>
          <w:sz w:val="21"/>
          <w:szCs w:val="21"/>
          <w:lang w:bidi="ar"/>
        </w:rPr>
        <w:t>：</w:t>
      </w:r>
      <w:r>
        <w:rPr>
          <w:rFonts w:ascii="宋体" w:hAnsi="宋体" w:cs="宋体"/>
          <w:color w:val="000000"/>
          <w:kern w:val="2"/>
          <w:sz w:val="21"/>
          <w:szCs w:val="21"/>
          <w:lang w:bidi="ar"/>
        </w:rPr>
        <w:t>00</w:t>
      </w:r>
      <w:r>
        <w:rPr>
          <w:rFonts w:ascii="宋体" w:hAnsi="宋体" w:cs="宋体"/>
          <w:color w:val="000000"/>
          <w:kern w:val="2"/>
          <w:sz w:val="21"/>
          <w:szCs w:val="21"/>
          <w:lang w:bidi="ar"/>
        </w:rPr>
        <w:t>前将划款指令发送至托管人</w:t>
      </w:r>
      <w:r>
        <w:rPr>
          <w:rFonts w:ascii="仿宋_GB2312" w:eastAsia="仿宋_GB2312" w:hAnsi="宋体" w:cs="仿宋_GB2312"/>
          <w:color w:val="000000"/>
          <w:kern w:val="2"/>
          <w:sz w:val="21"/>
          <w:szCs w:val="21"/>
          <w:lang w:bidi="ar"/>
        </w:rPr>
        <w:t>，</w:t>
      </w:r>
      <w:r>
        <w:rPr>
          <w:rFonts w:ascii="宋体" w:hAnsi="宋体" w:cs="宋体" w:hint="eastAsia"/>
          <w:color w:val="000000"/>
          <w:kern w:val="2"/>
          <w:sz w:val="21"/>
          <w:szCs w:val="21"/>
          <w:lang w:bidi="ar"/>
        </w:rPr>
        <w:t>或在前期授权托管行依据中登数据自行处理相关业务，并且配合托管人备足托管资产头寸以完成限时</w:t>
      </w:r>
      <w:r>
        <w:rPr>
          <w:rFonts w:ascii="宋体" w:hAnsi="宋体" w:cs="宋体"/>
          <w:color w:val="000000"/>
          <w:kern w:val="2"/>
          <w:sz w:val="21"/>
          <w:szCs w:val="21"/>
          <w:lang w:bidi="ar"/>
        </w:rPr>
        <w:t>T+0</w:t>
      </w:r>
      <w:r>
        <w:rPr>
          <w:rFonts w:ascii="宋体" w:hAnsi="宋体" w:cs="宋体"/>
          <w:color w:val="000000"/>
          <w:kern w:val="2"/>
          <w:sz w:val="21"/>
          <w:szCs w:val="21"/>
          <w:lang w:bidi="ar"/>
        </w:rPr>
        <w:t>业务的交收。若今后结算规则调整，此条款相应调整。</w:t>
      </w:r>
    </w:p>
    <w:p w14:paraId="5B757664"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因基金管理人指令传输不及时或未备足资金头寸，致使资金未能及时划入中国证券登记结算有限责任公司所造成的损失由基金管理人承担，包括</w:t>
      </w:r>
      <w:r>
        <w:rPr>
          <w:rFonts w:ascii="宋体" w:hAnsi="宋体" w:cs="宋体" w:hint="eastAsia"/>
          <w:color w:val="000000"/>
          <w:kern w:val="2"/>
          <w:sz w:val="21"/>
          <w:szCs w:val="21"/>
          <w:lang w:bidi="ar"/>
        </w:rPr>
        <w:t>赔偿由此引起基金托管人其他托管客户场内交易失败、赔偿因占用中国证券登记结算有限责任公司最低备付金带来的利息损</w:t>
      </w:r>
      <w:r>
        <w:rPr>
          <w:rFonts w:ascii="宋体" w:hAnsi="宋体" w:cs="宋体" w:hint="eastAsia"/>
          <w:color w:val="000000"/>
          <w:kern w:val="2"/>
          <w:sz w:val="21"/>
          <w:szCs w:val="21"/>
          <w:lang w:bidi="ar"/>
        </w:rPr>
        <w:lastRenderedPageBreak/>
        <w:t>失。在基金资金头寸充足的情况下，基金托管人对基金管理人符合法律法规、《基金合同》、本协议的指令不得不合理拖延或拒绝执行。</w:t>
      </w:r>
    </w:p>
    <w:p w14:paraId="76679084"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（三）资金、证券账目和交易记录核对</w:t>
      </w:r>
    </w:p>
    <w:p w14:paraId="3A32FE63"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基金管理人和基金托管人应对本基金的资金、证券账目及交易记录每个估值日进行对帐。</w:t>
      </w:r>
    </w:p>
    <w:p w14:paraId="4855F413" w14:textId="77777777" w:rsidR="00D21308" w:rsidRDefault="00F41C2D">
      <w:pPr>
        <w:pStyle w:val="aa"/>
        <w:widowControl/>
        <w:spacing w:before="0" w:after="0" w:line="400" w:lineRule="exact"/>
        <w:ind w:right="26" w:firstLine="403"/>
        <w:jc w:val="both"/>
        <w:rPr>
          <w:rFonts w:ascii="宋体" w:hAnsi="宋体" w:cs="宋体"/>
          <w:kern w:val="2"/>
          <w:sz w:val="21"/>
          <w:szCs w:val="21"/>
        </w:rPr>
      </w:pPr>
      <w:r>
        <w:rPr>
          <w:rFonts w:ascii="宋体" w:hAnsi="宋体" w:cs="宋体" w:hint="eastAsia"/>
          <w:kern w:val="2"/>
          <w:sz w:val="21"/>
          <w:szCs w:val="21"/>
          <w:lang w:bidi="ar"/>
        </w:rPr>
        <w:t>（四）申购、赎回和基金转换的资金清算</w:t>
      </w:r>
    </w:p>
    <w:p w14:paraId="1A5E7D08" w14:textId="77777777" w:rsidR="00D21308" w:rsidRDefault="00F41C2D">
      <w:pPr>
        <w:pStyle w:val="aa"/>
        <w:spacing w:before="0" w:beforeAutospacing="0" w:after="0" w:afterAutospacing="0" w:line="400" w:lineRule="exact"/>
        <w:ind w:firstLineChars="192" w:firstLine="403"/>
        <w:jc w:val="both"/>
        <w:rPr>
          <w:rFonts w:ascii="宋体" w:hAnsi="宋体" w:cs="宋体"/>
          <w:color w:val="000000"/>
          <w:kern w:val="2"/>
          <w:sz w:val="21"/>
          <w:szCs w:val="21"/>
        </w:rPr>
      </w:pPr>
      <w:r>
        <w:rPr>
          <w:rFonts w:ascii="宋体" w:hAnsi="宋体" w:cs="宋体" w:hint="eastAsia"/>
          <w:color w:val="000000"/>
          <w:kern w:val="2"/>
          <w:sz w:val="21"/>
          <w:szCs w:val="21"/>
          <w:lang w:bidi="ar"/>
        </w:rPr>
        <w:t>基金管理人应将每个开放日的申购、赎回、转换开放式基金的数据传送给基金托管人。基金管理人应对传递的申购、赎回、转换开放式基金的数据真实性、准确性和完整性负责。</w:t>
      </w:r>
    </w:p>
    <w:p w14:paraId="0E3564AC" w14:textId="77777777" w:rsidR="00D21308" w:rsidRDefault="00F41C2D">
      <w:pPr>
        <w:pStyle w:val="aa"/>
        <w:spacing w:before="0" w:beforeAutospacing="0" w:after="0" w:afterAutospacing="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基金申购、赎回、转换等款项的资金清算采用轧差交收的结算方式，在基金托管账户与“基金清算账户”间进行资金交收。当存在托管账户净应收额时，基金管理人负责将托管账户净应收额在交收日</w:t>
      </w:r>
      <w:r>
        <w:rPr>
          <w:rFonts w:ascii="宋体" w:hAnsi="宋体" w:cs="宋体"/>
          <w:color w:val="000000"/>
          <w:kern w:val="2"/>
          <w:sz w:val="21"/>
          <w:szCs w:val="21"/>
          <w:lang w:bidi="ar"/>
        </w:rPr>
        <w:t>16:00</w:t>
      </w:r>
      <w:r>
        <w:rPr>
          <w:rFonts w:ascii="宋体" w:hAnsi="宋体" w:cs="宋体"/>
          <w:color w:val="000000"/>
          <w:kern w:val="2"/>
          <w:sz w:val="21"/>
          <w:szCs w:val="21"/>
          <w:lang w:bidi="ar"/>
        </w:rPr>
        <w:t>前从</w:t>
      </w:r>
      <w:r>
        <w:rPr>
          <w:rFonts w:ascii="宋体" w:hAnsi="宋体" w:cs="宋体"/>
          <w:color w:val="000000"/>
          <w:kern w:val="2"/>
          <w:sz w:val="21"/>
          <w:szCs w:val="21"/>
          <w:lang w:bidi="ar"/>
        </w:rPr>
        <w:t>“</w:t>
      </w:r>
      <w:r>
        <w:rPr>
          <w:rFonts w:ascii="宋体" w:hAnsi="宋体" w:cs="宋体"/>
          <w:color w:val="000000"/>
          <w:kern w:val="2"/>
          <w:sz w:val="21"/>
          <w:szCs w:val="21"/>
          <w:lang w:bidi="ar"/>
        </w:rPr>
        <w:t>基金清算账户</w:t>
      </w:r>
      <w:r>
        <w:rPr>
          <w:rFonts w:ascii="宋体" w:hAnsi="宋体" w:cs="宋体"/>
          <w:color w:val="000000"/>
          <w:kern w:val="2"/>
          <w:sz w:val="21"/>
          <w:szCs w:val="21"/>
          <w:lang w:bidi="ar"/>
        </w:rPr>
        <w:t>”</w:t>
      </w:r>
      <w:r>
        <w:rPr>
          <w:rFonts w:ascii="宋体" w:hAnsi="宋体" w:cs="宋体"/>
          <w:color w:val="000000"/>
          <w:kern w:val="2"/>
          <w:sz w:val="21"/>
          <w:szCs w:val="21"/>
          <w:lang w:bidi="ar"/>
        </w:rPr>
        <w:t>划到基金托管账户；当存在托管账户净应付额时，基金托管人按管理人的划款指令将托管账户净应付额在交收日</w:t>
      </w:r>
      <w:r>
        <w:rPr>
          <w:rFonts w:ascii="宋体" w:hAnsi="宋体" w:cs="宋体"/>
          <w:color w:val="000000"/>
          <w:kern w:val="2"/>
          <w:sz w:val="21"/>
          <w:szCs w:val="21"/>
          <w:lang w:bidi="ar"/>
        </w:rPr>
        <w:t>16:00</w:t>
      </w:r>
      <w:r>
        <w:rPr>
          <w:rFonts w:ascii="宋体" w:hAnsi="宋体" w:cs="宋体"/>
          <w:color w:val="000000"/>
          <w:kern w:val="2"/>
          <w:sz w:val="21"/>
          <w:szCs w:val="21"/>
          <w:lang w:bidi="ar"/>
        </w:rPr>
        <w:t>前划到</w:t>
      </w:r>
      <w:r>
        <w:rPr>
          <w:rFonts w:ascii="宋体" w:hAnsi="宋体" w:cs="宋体"/>
          <w:color w:val="000000"/>
          <w:kern w:val="2"/>
          <w:sz w:val="21"/>
          <w:szCs w:val="21"/>
          <w:lang w:bidi="ar"/>
        </w:rPr>
        <w:t>“</w:t>
      </w:r>
      <w:r>
        <w:rPr>
          <w:rFonts w:ascii="宋体" w:hAnsi="宋体" w:cs="宋体"/>
          <w:color w:val="000000"/>
          <w:kern w:val="2"/>
          <w:sz w:val="21"/>
          <w:szCs w:val="21"/>
          <w:lang w:bidi="ar"/>
        </w:rPr>
        <w:t>基金清算账户</w:t>
      </w:r>
      <w:r>
        <w:rPr>
          <w:rFonts w:ascii="宋体" w:hAnsi="宋体" w:cs="宋体"/>
          <w:color w:val="000000"/>
          <w:kern w:val="2"/>
          <w:sz w:val="21"/>
          <w:szCs w:val="21"/>
          <w:lang w:bidi="ar"/>
        </w:rPr>
        <w:t>”</w:t>
      </w:r>
      <w:r>
        <w:rPr>
          <w:rFonts w:ascii="宋体" w:hAnsi="宋体" w:cs="宋体"/>
          <w:color w:val="000000"/>
          <w:kern w:val="2"/>
          <w:sz w:val="21"/>
          <w:szCs w:val="21"/>
          <w:lang w:bidi="ar"/>
        </w:rPr>
        <w:t>。</w:t>
      </w:r>
    </w:p>
    <w:p w14:paraId="6D2BDA0D" w14:textId="77777777" w:rsidR="00D21308" w:rsidRDefault="00F41C2D">
      <w:pPr>
        <w:pStyle w:val="aa"/>
        <w:widowControl/>
        <w:spacing w:before="0" w:after="0" w:line="400" w:lineRule="exact"/>
        <w:ind w:firstLineChars="192" w:firstLine="403"/>
        <w:jc w:val="both"/>
        <w:rPr>
          <w:rFonts w:ascii="宋体" w:hAnsi="宋体"/>
          <w:color w:val="000000"/>
          <w:kern w:val="2"/>
          <w:sz w:val="21"/>
          <w:szCs w:val="21"/>
        </w:rPr>
      </w:pPr>
      <w:r>
        <w:rPr>
          <w:rFonts w:ascii="宋体" w:hAnsi="宋体" w:cs="宋体" w:hint="eastAsia"/>
          <w:color w:val="000000"/>
          <w:kern w:val="2"/>
          <w:sz w:val="21"/>
          <w:szCs w:val="21"/>
          <w:lang w:bidi="ar"/>
        </w:rPr>
        <w:t>基金管理人未能按</w:t>
      </w:r>
      <w:r>
        <w:rPr>
          <w:rFonts w:ascii="宋体" w:hAnsi="宋体" w:cs="宋体" w:hint="eastAsia"/>
          <w:color w:val="000000"/>
          <w:kern w:val="2"/>
          <w:sz w:val="21"/>
          <w:szCs w:val="21"/>
          <w:lang w:bidi="ar"/>
        </w:rPr>
        <w:t>上款约定将托管账户净应收额全额、及时汇至基金托管账户，由此产生的责任应由该基金管理人承担；基金托管人未能按上款约定将托管账户净应付额全额、及时汇至“基金清算账户”，由此产生的责任应由基金托管人承担</w:t>
      </w:r>
      <w:r>
        <w:rPr>
          <w:rFonts w:ascii="宋体" w:hAnsi="宋体" w:cs="宋体"/>
          <w:color w:val="000000"/>
          <w:kern w:val="2"/>
          <w:sz w:val="21"/>
          <w:szCs w:val="21"/>
          <w:lang w:bidi="ar"/>
        </w:rPr>
        <w:t>(</w:t>
      </w:r>
      <w:r>
        <w:rPr>
          <w:rFonts w:ascii="宋体" w:hAnsi="宋体" w:cs="宋体"/>
          <w:color w:val="000000"/>
          <w:kern w:val="2"/>
          <w:sz w:val="21"/>
          <w:szCs w:val="21"/>
          <w:lang w:bidi="ar"/>
        </w:rPr>
        <w:t>不可抗力或基金托管人无过错的情况除外</w:t>
      </w:r>
      <w:r>
        <w:rPr>
          <w:rFonts w:ascii="宋体" w:hAnsi="宋体" w:cs="宋体"/>
          <w:color w:val="000000"/>
          <w:kern w:val="2"/>
          <w:sz w:val="21"/>
          <w:szCs w:val="21"/>
          <w:lang w:bidi="ar"/>
        </w:rPr>
        <w:t>)</w:t>
      </w:r>
      <w:r>
        <w:rPr>
          <w:rFonts w:ascii="宋体" w:hAnsi="宋体" w:cs="宋体"/>
          <w:color w:val="000000"/>
          <w:kern w:val="2"/>
          <w:sz w:val="21"/>
          <w:szCs w:val="21"/>
          <w:lang w:bidi="ar"/>
        </w:rPr>
        <w:t>。</w:t>
      </w:r>
    </w:p>
    <w:p w14:paraId="65CF6C9A" w14:textId="77777777" w:rsidR="00D21308" w:rsidRDefault="00D21308">
      <w:pPr>
        <w:pStyle w:val="a0"/>
      </w:pPr>
    </w:p>
    <w:p w14:paraId="2CB36448"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6" w:name="_Toc116900103"/>
      <w:r>
        <w:rPr>
          <w:rFonts w:ascii="宋体" w:hAnsi="宋体" w:cs="宋体" w:hint="eastAsia"/>
          <w:bCs w:val="0"/>
          <w:sz w:val="21"/>
          <w:szCs w:val="21"/>
        </w:rPr>
        <w:t>八、基金资产净值计算和会计核算</w:t>
      </w:r>
      <w:bookmarkEnd w:id="6"/>
    </w:p>
    <w:p w14:paraId="0F01FD8D" w14:textId="77777777" w:rsidR="00D21308" w:rsidRDefault="00F41C2D">
      <w:pPr>
        <w:spacing w:line="400" w:lineRule="exact"/>
        <w:ind w:right="28" w:firstLineChars="200" w:firstLine="420"/>
        <w:jc w:val="left"/>
        <w:rPr>
          <w:rFonts w:ascii="宋体" w:hAnsi="宋体" w:cs="宋体"/>
          <w:color w:val="000000"/>
          <w:szCs w:val="21"/>
        </w:rPr>
      </w:pPr>
      <w:r>
        <w:rPr>
          <w:rFonts w:ascii="宋体" w:hAnsi="宋体" w:hint="eastAsia"/>
          <w:color w:val="000000"/>
        </w:rPr>
        <w:t>（</w:t>
      </w:r>
      <w:r>
        <w:rPr>
          <w:rFonts w:ascii="宋体" w:hAnsi="宋体" w:cs="宋体" w:hint="eastAsia"/>
          <w:color w:val="000000"/>
          <w:szCs w:val="21"/>
        </w:rPr>
        <w:t>一）基金资产净值的计算</w:t>
      </w:r>
      <w:r>
        <w:rPr>
          <w:rFonts w:ascii="宋体" w:hAnsi="宋体" w:hint="eastAsia"/>
          <w:szCs w:val="21"/>
        </w:rPr>
        <w:t>和</w:t>
      </w:r>
      <w:r>
        <w:rPr>
          <w:rFonts w:ascii="宋体" w:hAnsi="宋体" w:cs="宋体" w:hint="eastAsia"/>
          <w:color w:val="000000"/>
          <w:szCs w:val="21"/>
        </w:rPr>
        <w:t>复核</w:t>
      </w:r>
    </w:p>
    <w:p w14:paraId="15DF1DF2" w14:textId="77777777" w:rsidR="00D21308" w:rsidRDefault="00F41C2D">
      <w:pPr>
        <w:pStyle w:val="Default"/>
        <w:spacing w:line="400" w:lineRule="exact"/>
        <w:ind w:firstLineChars="200" w:firstLine="420"/>
        <w:jc w:val="both"/>
        <w:rPr>
          <w:rFonts w:ascii="宋体" w:eastAsia="宋体" w:hAnsi="宋体" w:cs="宋体"/>
          <w:kern w:val="2"/>
          <w:sz w:val="21"/>
          <w:szCs w:val="21"/>
        </w:rPr>
      </w:pPr>
      <w:r>
        <w:rPr>
          <w:rFonts w:ascii="宋体" w:eastAsia="宋体" w:hAnsi="宋体" w:cs="宋体"/>
          <w:kern w:val="2"/>
          <w:sz w:val="21"/>
          <w:szCs w:val="21"/>
        </w:rPr>
        <w:t>1</w:t>
      </w:r>
      <w:r>
        <w:rPr>
          <w:rFonts w:ascii="宋体" w:eastAsia="宋体" w:hAnsi="宋体" w:cs="宋体"/>
          <w:kern w:val="2"/>
          <w:sz w:val="21"/>
          <w:szCs w:val="21"/>
        </w:rPr>
        <w:t>、基金资产净值是指基金资产总值减去负债后的价值。各类基金份额净值是按照每个估值日闭市后，各类基金份额的基金资产净值除以当日该类基金份额的余额总数计算。</w:t>
      </w:r>
    </w:p>
    <w:p w14:paraId="1A0C379A" w14:textId="77777777" w:rsidR="00D21308" w:rsidRDefault="00F41C2D">
      <w:pPr>
        <w:pStyle w:val="Default"/>
        <w:spacing w:line="400" w:lineRule="exact"/>
        <w:ind w:firstLineChars="200" w:firstLine="420"/>
        <w:jc w:val="both"/>
        <w:rPr>
          <w:rFonts w:ascii="宋体" w:eastAsia="宋体" w:hAnsi="宋体" w:cs="宋体"/>
          <w:kern w:val="2"/>
          <w:sz w:val="21"/>
          <w:szCs w:val="21"/>
        </w:rPr>
      </w:pPr>
      <w:r>
        <w:rPr>
          <w:rFonts w:ascii="宋体" w:eastAsia="宋体" w:hAnsi="宋体" w:cs="宋体"/>
          <w:kern w:val="2"/>
          <w:sz w:val="21"/>
          <w:szCs w:val="21"/>
        </w:rPr>
        <w:t>2</w:t>
      </w:r>
      <w:r>
        <w:rPr>
          <w:rFonts w:ascii="宋体" w:eastAsia="宋体" w:hAnsi="宋体" w:cs="宋体"/>
          <w:kern w:val="2"/>
          <w:sz w:val="21"/>
          <w:szCs w:val="21"/>
        </w:rPr>
        <w:t>、基金管理人应每个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663D9890" w14:textId="77777777" w:rsidR="00D21308" w:rsidRDefault="00F41C2D">
      <w:pPr>
        <w:pStyle w:val="Default"/>
        <w:widowControl/>
        <w:spacing w:line="400" w:lineRule="exact"/>
        <w:ind w:firstLineChars="200" w:firstLine="420"/>
        <w:jc w:val="both"/>
        <w:rPr>
          <w:rFonts w:ascii="宋体" w:eastAsia="宋体" w:hAnsi="宋体"/>
          <w:kern w:val="2"/>
          <w:sz w:val="21"/>
        </w:rPr>
      </w:pPr>
      <w:r>
        <w:rPr>
          <w:rFonts w:ascii="宋体" w:eastAsia="宋体" w:hAnsi="宋体" w:hint="eastAsia"/>
          <w:kern w:val="2"/>
          <w:sz w:val="21"/>
        </w:rPr>
        <w:lastRenderedPageBreak/>
        <w:t>（二</w:t>
      </w:r>
      <w:r>
        <w:rPr>
          <w:rFonts w:ascii="宋体" w:eastAsia="宋体" w:hAnsi="宋体" w:hint="eastAsia"/>
          <w:kern w:val="2"/>
          <w:sz w:val="21"/>
        </w:rPr>
        <w:t>）基金资产估值方法和特殊情形的处理</w:t>
      </w:r>
    </w:p>
    <w:p w14:paraId="66477117" w14:textId="77777777" w:rsidR="00D21308" w:rsidRDefault="00F41C2D">
      <w:pPr>
        <w:pStyle w:val="Default"/>
        <w:widowControl/>
        <w:spacing w:line="400" w:lineRule="exact"/>
        <w:ind w:firstLineChars="200" w:firstLine="420"/>
        <w:jc w:val="both"/>
        <w:rPr>
          <w:rFonts w:ascii="宋体" w:eastAsia="宋体" w:hAnsi="宋体" w:cs="宋体"/>
          <w:kern w:val="2"/>
          <w:sz w:val="21"/>
          <w:szCs w:val="21"/>
        </w:rPr>
      </w:pPr>
      <w:r>
        <w:rPr>
          <w:rFonts w:ascii="宋体" w:eastAsia="宋体" w:hAnsi="宋体" w:cs="宋体"/>
          <w:kern w:val="2"/>
          <w:sz w:val="21"/>
          <w:szCs w:val="21"/>
        </w:rPr>
        <w:t>1</w:t>
      </w:r>
      <w:r>
        <w:rPr>
          <w:rFonts w:ascii="宋体" w:eastAsia="宋体" w:hAnsi="宋体" w:cs="宋体"/>
          <w:kern w:val="2"/>
          <w:sz w:val="21"/>
          <w:szCs w:val="21"/>
        </w:rPr>
        <w:t>、估值对象</w:t>
      </w:r>
    </w:p>
    <w:p w14:paraId="0C973DB6" w14:textId="77777777" w:rsidR="00D21308" w:rsidRDefault="00F41C2D">
      <w:pPr>
        <w:pStyle w:val="Default"/>
        <w:widowControl/>
        <w:spacing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基金所拥有的股票、债券、货币市场工具、资产支持证券、股指期货、国债期货、股票期权、银行存款本息、应收款项、其它投资等资产及负债。</w:t>
      </w:r>
    </w:p>
    <w:p w14:paraId="4388A6BE" w14:textId="77777777" w:rsidR="00D21308" w:rsidRDefault="00F41C2D">
      <w:pPr>
        <w:pStyle w:val="Default"/>
        <w:widowControl/>
        <w:spacing w:line="400" w:lineRule="exact"/>
        <w:ind w:firstLineChars="200" w:firstLine="420"/>
        <w:jc w:val="both"/>
        <w:rPr>
          <w:rFonts w:ascii="宋体" w:eastAsia="宋体" w:hAnsi="宋体" w:cs="宋体"/>
          <w:kern w:val="2"/>
          <w:sz w:val="21"/>
          <w:szCs w:val="21"/>
        </w:rPr>
      </w:pPr>
      <w:r>
        <w:rPr>
          <w:rFonts w:ascii="宋体" w:eastAsia="宋体" w:hAnsi="宋体" w:cs="宋体"/>
          <w:kern w:val="2"/>
          <w:sz w:val="21"/>
          <w:szCs w:val="21"/>
        </w:rPr>
        <w:t>2</w:t>
      </w:r>
      <w:r>
        <w:rPr>
          <w:rFonts w:ascii="宋体" w:eastAsia="宋体" w:hAnsi="宋体" w:cs="宋体"/>
          <w:kern w:val="2"/>
          <w:sz w:val="21"/>
          <w:szCs w:val="21"/>
        </w:rPr>
        <w:t>、估值方法</w:t>
      </w:r>
    </w:p>
    <w:p w14:paraId="04AE209A"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1</w:t>
      </w:r>
      <w:r>
        <w:rPr>
          <w:rFonts w:ascii="宋体" w:eastAsia="宋体" w:hAnsi="宋体" w:cs="宋体" w:hint="eastAsia"/>
          <w:bCs/>
          <w:kern w:val="2"/>
          <w:sz w:val="21"/>
          <w:szCs w:val="21"/>
        </w:rPr>
        <w:t>）目标</w:t>
      </w:r>
      <w:r>
        <w:rPr>
          <w:rFonts w:ascii="宋体" w:eastAsia="宋体" w:hAnsi="宋体" w:cs="宋体"/>
          <w:bCs/>
          <w:kern w:val="2"/>
          <w:sz w:val="21"/>
          <w:szCs w:val="21"/>
        </w:rPr>
        <w:t>ETF</w:t>
      </w:r>
      <w:r>
        <w:rPr>
          <w:rFonts w:ascii="宋体" w:eastAsia="宋体" w:hAnsi="宋体" w:cs="宋体" w:hint="eastAsia"/>
          <w:bCs/>
          <w:kern w:val="2"/>
          <w:sz w:val="21"/>
          <w:szCs w:val="21"/>
        </w:rPr>
        <w:t>份额的估值</w:t>
      </w:r>
    </w:p>
    <w:p w14:paraId="660A7C1B"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本基金投资的目标</w:t>
      </w:r>
      <w:r>
        <w:rPr>
          <w:rFonts w:ascii="宋体" w:eastAsia="宋体" w:hAnsi="宋体" w:cs="宋体"/>
          <w:bCs/>
          <w:kern w:val="2"/>
          <w:sz w:val="21"/>
          <w:szCs w:val="21"/>
        </w:rPr>
        <w:t>ETF</w:t>
      </w:r>
      <w:r>
        <w:rPr>
          <w:rFonts w:ascii="宋体" w:eastAsia="宋体" w:hAnsi="宋体" w:cs="宋体" w:hint="eastAsia"/>
          <w:bCs/>
          <w:kern w:val="2"/>
          <w:sz w:val="21"/>
          <w:szCs w:val="21"/>
        </w:rPr>
        <w:t>份额以目标</w:t>
      </w:r>
      <w:r>
        <w:rPr>
          <w:rFonts w:ascii="宋体" w:eastAsia="宋体" w:hAnsi="宋体" w:cs="宋体"/>
          <w:bCs/>
          <w:kern w:val="2"/>
          <w:sz w:val="21"/>
          <w:szCs w:val="21"/>
        </w:rPr>
        <w:t>ETF</w:t>
      </w:r>
      <w:r>
        <w:rPr>
          <w:rFonts w:ascii="宋体" w:eastAsia="宋体" w:hAnsi="宋体" w:cs="宋体" w:hint="eastAsia"/>
          <w:bCs/>
          <w:kern w:val="2"/>
          <w:sz w:val="21"/>
          <w:szCs w:val="21"/>
        </w:rPr>
        <w:t>估值日基金份额净值估值，若估值日为非交易所营业日，以该基金最近估值日的基金份额净值估值。</w:t>
      </w:r>
      <w:r>
        <w:rPr>
          <w:rFonts w:ascii="宋体" w:eastAsia="宋体" w:hAnsi="宋体" w:cs="宋体"/>
          <w:bCs/>
          <w:kern w:val="2"/>
          <w:sz w:val="21"/>
          <w:szCs w:val="21"/>
        </w:rPr>
        <w:br/>
        <w:t xml:space="preserve">   </w:t>
      </w:r>
      <w:r>
        <w:rPr>
          <w:rFonts w:ascii="宋体" w:eastAsia="宋体" w:hAnsi="宋体" w:cs="宋体" w:hint="eastAsia"/>
          <w:bCs/>
          <w:kern w:val="2"/>
          <w:sz w:val="21"/>
          <w:szCs w:val="21"/>
        </w:rPr>
        <w:t>（</w:t>
      </w:r>
      <w:r>
        <w:rPr>
          <w:rFonts w:ascii="宋体" w:eastAsia="宋体" w:hAnsi="宋体" w:cs="宋体"/>
          <w:bCs/>
          <w:kern w:val="2"/>
          <w:sz w:val="21"/>
          <w:szCs w:val="21"/>
        </w:rPr>
        <w:t>2</w:t>
      </w:r>
      <w:r>
        <w:rPr>
          <w:rFonts w:ascii="宋体" w:eastAsia="宋体" w:hAnsi="宋体" w:cs="宋体" w:hint="eastAsia"/>
          <w:bCs/>
          <w:kern w:val="2"/>
          <w:sz w:val="21"/>
          <w:szCs w:val="21"/>
        </w:rPr>
        <w:t>）证券交易所上市的有价证券（目标</w:t>
      </w:r>
      <w:r>
        <w:rPr>
          <w:rFonts w:ascii="宋体" w:eastAsia="宋体" w:hAnsi="宋体" w:cs="宋体"/>
          <w:bCs/>
          <w:kern w:val="2"/>
          <w:sz w:val="21"/>
          <w:szCs w:val="21"/>
        </w:rPr>
        <w:t>ETF</w:t>
      </w:r>
      <w:r>
        <w:rPr>
          <w:rFonts w:ascii="宋体" w:eastAsia="宋体" w:hAnsi="宋体" w:cs="宋体" w:hint="eastAsia"/>
          <w:bCs/>
          <w:kern w:val="2"/>
          <w:sz w:val="21"/>
          <w:szCs w:val="21"/>
        </w:rPr>
        <w:t>除外）的估值</w:t>
      </w:r>
    </w:p>
    <w:p w14:paraId="5E2C707A"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1</w:t>
      </w:r>
      <w:r>
        <w:rPr>
          <w:rFonts w:ascii="宋体" w:eastAsia="宋体" w:hAnsi="宋体" w:cs="宋体" w:hint="eastAsia"/>
          <w:bCs/>
          <w:kern w:val="2"/>
          <w:sz w:val="21"/>
          <w:szCs w:val="21"/>
        </w:rPr>
        <w:t>）交易所上市的有价证券（包括股票等），以其估值日在证券交易所挂牌的市价（收盘价）估值；估值日无交易</w:t>
      </w:r>
      <w:r>
        <w:rPr>
          <w:rFonts w:ascii="宋体" w:eastAsia="宋体" w:hAnsi="宋体" w:cs="宋体" w:hint="eastAsia"/>
          <w:bCs/>
          <w:kern w:val="2"/>
          <w:sz w:val="21"/>
          <w:szCs w:val="21"/>
        </w:rPr>
        <w:t>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617A5D"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2</w:t>
      </w:r>
      <w:r>
        <w:rPr>
          <w:rFonts w:ascii="宋体" w:eastAsia="宋体" w:hAnsi="宋体" w:cs="宋体" w:hint="eastAsia"/>
          <w:bCs/>
          <w:kern w:val="2"/>
          <w:sz w:val="21"/>
          <w:szCs w:val="21"/>
        </w:rPr>
        <w:t>）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r>
        <w:rPr>
          <w:rFonts w:ascii="宋体" w:eastAsia="宋体" w:hAnsi="宋体" w:cs="宋体" w:hint="eastAsia"/>
          <w:bCs/>
          <w:kern w:val="2"/>
          <w:sz w:val="21"/>
          <w:szCs w:val="21"/>
        </w:rPr>
        <w:t>；</w:t>
      </w:r>
    </w:p>
    <w:p w14:paraId="04BD60B0"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3</w:t>
      </w:r>
      <w:r>
        <w:rPr>
          <w:rFonts w:ascii="宋体" w:eastAsia="宋体" w:hAnsi="宋体" w:cs="宋体" w:hint="eastAsia"/>
          <w:bCs/>
          <w:kern w:val="2"/>
          <w:sz w:val="21"/>
          <w:szCs w:val="21"/>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2130BAF"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4</w:t>
      </w:r>
      <w:r>
        <w:rPr>
          <w:rFonts w:ascii="宋体" w:eastAsia="宋体" w:hAnsi="宋体" w:cs="宋体" w:hint="eastAsia"/>
          <w:bCs/>
          <w:kern w:val="2"/>
          <w:sz w:val="21"/>
          <w:szCs w:val="21"/>
        </w:rPr>
        <w:t>）交易所上市不存在活跃市场的有价证券，采用估值技术确定公允价值。</w:t>
      </w:r>
    </w:p>
    <w:p w14:paraId="21BE5C0C"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3</w:t>
      </w:r>
      <w:r>
        <w:rPr>
          <w:rFonts w:ascii="宋体" w:eastAsia="宋体" w:hAnsi="宋体" w:cs="宋体" w:hint="eastAsia"/>
          <w:bCs/>
          <w:kern w:val="2"/>
          <w:sz w:val="21"/>
          <w:szCs w:val="21"/>
        </w:rPr>
        <w:t>）处于未上市期间或流通受限的有价证券应区分如下情况处理：</w:t>
      </w:r>
    </w:p>
    <w:p w14:paraId="7A887B6B"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1</w:t>
      </w:r>
      <w:r>
        <w:rPr>
          <w:rFonts w:ascii="宋体" w:eastAsia="宋体" w:hAnsi="宋体" w:cs="宋体" w:hint="eastAsia"/>
          <w:bCs/>
          <w:kern w:val="2"/>
          <w:sz w:val="21"/>
          <w:szCs w:val="21"/>
        </w:rPr>
        <w:t>）送股、转增股、配股和公开增发的新股，按估值日在证券交易所挂牌的同一股票的估值方法估值；该日无交易的，以最近一日的市价（收盘价）估值；</w:t>
      </w:r>
      <w:r>
        <w:rPr>
          <w:rFonts w:ascii="宋体" w:eastAsia="宋体" w:hAnsi="宋体" w:cs="宋体"/>
          <w:bCs/>
          <w:kern w:val="2"/>
          <w:sz w:val="21"/>
          <w:szCs w:val="21"/>
        </w:rPr>
        <w:t xml:space="preserve"> </w:t>
      </w:r>
    </w:p>
    <w:p w14:paraId="27947DC4"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2</w:t>
      </w:r>
      <w:r>
        <w:rPr>
          <w:rFonts w:ascii="宋体" w:eastAsia="宋体" w:hAnsi="宋体" w:cs="宋体" w:hint="eastAsia"/>
          <w:bCs/>
          <w:kern w:val="2"/>
          <w:sz w:val="21"/>
          <w:szCs w:val="21"/>
        </w:rPr>
        <w:t>）首次公开发行未上市的股票，采用估值技术确定公允价值；</w:t>
      </w:r>
    </w:p>
    <w:p w14:paraId="40F6598B"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3</w:t>
      </w:r>
      <w:r>
        <w:rPr>
          <w:rFonts w:ascii="宋体" w:eastAsia="宋体" w:hAnsi="宋体" w:cs="宋体" w:hint="eastAsia"/>
          <w:bCs/>
          <w:kern w:val="2"/>
          <w:sz w:val="21"/>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BD47DF1"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bCs/>
          <w:kern w:val="2"/>
          <w:sz w:val="21"/>
          <w:szCs w:val="21"/>
        </w:rPr>
        <w:t>4</w:t>
      </w:r>
      <w:r>
        <w:rPr>
          <w:rFonts w:ascii="宋体" w:eastAsia="宋体" w:hAnsi="宋体" w:cs="宋体" w:hint="eastAsia"/>
          <w:bCs/>
          <w:kern w:val="2"/>
          <w:sz w:val="21"/>
          <w:szCs w:val="21"/>
        </w:rPr>
        <w:t>）交易所未上市或未挂牌转让且不存在活跃市场的固定收益品种，应采用在当前情况下适用并且有足够可利用数据和其他信息支持的估值技术确定其公允价值。</w:t>
      </w:r>
    </w:p>
    <w:p w14:paraId="645DD6B7"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4</w:t>
      </w:r>
      <w:r>
        <w:rPr>
          <w:rFonts w:ascii="宋体" w:eastAsia="宋体" w:hAnsi="宋体" w:cs="宋体" w:hint="eastAsia"/>
          <w:bCs/>
          <w:kern w:val="2"/>
          <w:sz w:val="21"/>
          <w:szCs w:val="21"/>
        </w:rPr>
        <w:t>）对全国银行间市场上不含权的固定收益品种，选取估值日第三方估值</w:t>
      </w:r>
      <w:r>
        <w:rPr>
          <w:rFonts w:ascii="宋体" w:eastAsia="宋体" w:hAnsi="宋体" w:cs="宋体" w:hint="eastAsia"/>
          <w:bCs/>
          <w:kern w:val="2"/>
          <w:sz w:val="21"/>
          <w:szCs w:val="21"/>
        </w:rPr>
        <w:t>基准服务机构提供的相应品种当日的估值全价；对全国银行间市场上含权的固定收益品种，选取估值日第三方估值基准服务机构提供的相应品种当日的唯一估值全价或推荐估值全价。</w:t>
      </w:r>
    </w:p>
    <w:p w14:paraId="0CAB9A76"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lastRenderedPageBreak/>
        <w:t>对全国银行间市场未上市或未挂牌转让且不存在活跃市场的固定收益品种，应采用在当前情况下适用并且有足够可利用数据和其他信息支持的估值技术确定其公允价值。</w:t>
      </w:r>
    </w:p>
    <w:p w14:paraId="440A5B66"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5</w:t>
      </w:r>
      <w:r>
        <w:rPr>
          <w:rFonts w:ascii="宋体" w:eastAsia="宋体" w:hAnsi="宋体" w:cs="宋体" w:hint="eastAsia"/>
          <w:bCs/>
          <w:kern w:val="2"/>
          <w:sz w:val="21"/>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w:t>
      </w:r>
      <w:r>
        <w:rPr>
          <w:rFonts w:ascii="宋体" w:eastAsia="宋体" w:hAnsi="宋体" w:cs="宋体" w:hint="eastAsia"/>
          <w:bCs/>
          <w:kern w:val="2"/>
          <w:sz w:val="21"/>
          <w:szCs w:val="21"/>
        </w:rPr>
        <w:t>待偿期所对应的价格进行估值。</w:t>
      </w:r>
    </w:p>
    <w:p w14:paraId="15EB1540" w14:textId="77777777" w:rsidR="00D21308" w:rsidRDefault="00F41C2D">
      <w:pPr>
        <w:pStyle w:val="Default"/>
        <w:widowControl/>
        <w:spacing w:line="400" w:lineRule="exact"/>
        <w:ind w:firstLineChars="200" w:firstLine="420"/>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6</w:t>
      </w:r>
      <w:r>
        <w:rPr>
          <w:rFonts w:ascii="宋体" w:eastAsia="宋体" w:hAnsi="宋体" w:cs="宋体" w:hint="eastAsia"/>
          <w:bCs/>
          <w:kern w:val="2"/>
          <w:sz w:val="21"/>
          <w:szCs w:val="21"/>
        </w:rPr>
        <w:t>）对于发行人已破产、发行人未能按时足额偿付本金或利息，或者有其它可靠信息表明本金或利息无法按时足额偿付的债券投资品种，第三方估值基准服务机构可在提供推荐</w:t>
      </w:r>
      <w:r>
        <w:rPr>
          <w:rFonts w:ascii="宋体" w:eastAsia="宋体" w:hAnsi="宋体" w:cs="宋体" w:hint="eastAsia"/>
          <w:kern w:val="2"/>
          <w:sz w:val="21"/>
          <w:szCs w:val="21"/>
        </w:rPr>
        <w:t>价格的</w:t>
      </w:r>
      <w:r>
        <w:rPr>
          <w:rFonts w:ascii="宋体" w:eastAsia="宋体" w:hAnsi="宋体" w:cs="宋体" w:hint="eastAsia"/>
          <w:bCs/>
          <w:kern w:val="2"/>
          <w:sz w:val="21"/>
          <w:szCs w:val="21"/>
        </w:rPr>
        <w:t>同时提供价格区间作为公允价值的参考范围以及公允价值存在重大不确定性的相关提示。基金管理人在与托管人协商一致后，可采用价格区间中的数据作为该债券投资品种的公允价值</w:t>
      </w:r>
      <w:r>
        <w:rPr>
          <w:rFonts w:ascii="宋体" w:eastAsia="宋体" w:hAnsi="宋体" w:cs="宋体" w:hint="eastAsia"/>
          <w:kern w:val="2"/>
          <w:sz w:val="21"/>
          <w:szCs w:val="21"/>
        </w:rPr>
        <w:t>。</w:t>
      </w:r>
    </w:p>
    <w:p w14:paraId="63118535" w14:textId="77777777" w:rsidR="00D21308" w:rsidRDefault="00F41C2D">
      <w:pPr>
        <w:pStyle w:val="Default"/>
        <w:widowControl/>
        <w:spacing w:line="400" w:lineRule="exact"/>
        <w:ind w:firstLineChars="200" w:firstLine="420"/>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7</w:t>
      </w:r>
      <w:r>
        <w:rPr>
          <w:rFonts w:ascii="宋体" w:eastAsia="宋体" w:hAnsi="宋体" w:cs="宋体" w:hint="eastAsia"/>
          <w:bCs/>
          <w:kern w:val="2"/>
          <w:sz w:val="21"/>
          <w:szCs w:val="21"/>
        </w:rPr>
        <w:t>）</w:t>
      </w:r>
      <w:r>
        <w:rPr>
          <w:rFonts w:ascii="宋体" w:eastAsia="宋体" w:hAnsi="宋体" w:cs="宋体" w:hint="eastAsia"/>
          <w:kern w:val="2"/>
          <w:sz w:val="21"/>
          <w:szCs w:val="21"/>
        </w:rPr>
        <w:t>同一</w:t>
      </w:r>
      <w:r>
        <w:rPr>
          <w:rFonts w:ascii="宋体" w:eastAsia="宋体" w:hAnsi="宋体" w:cs="宋体" w:hint="eastAsia"/>
          <w:bCs/>
          <w:kern w:val="2"/>
          <w:sz w:val="21"/>
          <w:szCs w:val="21"/>
        </w:rPr>
        <w:t>证券</w:t>
      </w:r>
      <w:r>
        <w:rPr>
          <w:rFonts w:ascii="宋体" w:eastAsia="宋体" w:hAnsi="宋体" w:cs="宋体" w:hint="eastAsia"/>
          <w:kern w:val="2"/>
          <w:sz w:val="21"/>
          <w:szCs w:val="21"/>
        </w:rPr>
        <w:t>同时在两个或两个以上市场交易的，按</w:t>
      </w:r>
      <w:r>
        <w:rPr>
          <w:rFonts w:ascii="宋体" w:eastAsia="宋体" w:hAnsi="宋体" w:cs="宋体" w:hint="eastAsia"/>
          <w:bCs/>
          <w:kern w:val="2"/>
          <w:sz w:val="21"/>
          <w:szCs w:val="21"/>
        </w:rPr>
        <w:t>证券</w:t>
      </w:r>
      <w:r>
        <w:rPr>
          <w:rFonts w:ascii="宋体" w:eastAsia="宋体" w:hAnsi="宋体" w:cs="宋体" w:hint="eastAsia"/>
          <w:kern w:val="2"/>
          <w:sz w:val="21"/>
          <w:szCs w:val="21"/>
        </w:rPr>
        <w:t>所处的市场分别估值。</w:t>
      </w:r>
    </w:p>
    <w:p w14:paraId="73FFD571" w14:textId="77777777" w:rsidR="00D21308" w:rsidRDefault="00F41C2D">
      <w:pPr>
        <w:pStyle w:val="Default"/>
        <w:widowControl/>
        <w:spacing w:line="400" w:lineRule="exact"/>
        <w:ind w:firstLineChars="200" w:firstLine="420"/>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8</w:t>
      </w:r>
      <w:r>
        <w:rPr>
          <w:rFonts w:ascii="宋体" w:eastAsia="宋体" w:hAnsi="宋体" w:cs="宋体" w:hint="eastAsia"/>
          <w:bCs/>
          <w:kern w:val="2"/>
          <w:sz w:val="21"/>
          <w:szCs w:val="21"/>
        </w:rPr>
        <w:t>）</w:t>
      </w:r>
      <w:r>
        <w:rPr>
          <w:rFonts w:ascii="宋体" w:eastAsia="宋体" w:hAnsi="宋体" w:cs="宋体" w:hint="eastAsia"/>
          <w:kern w:val="2"/>
          <w:sz w:val="21"/>
          <w:szCs w:val="21"/>
        </w:rPr>
        <w:t>期货合约以估值当日结算价进行估值，估值当日无结算价的，且最近交易日后经济环境未发生重大变化的，采用最近交易日结算价估值。</w:t>
      </w:r>
    </w:p>
    <w:p w14:paraId="3A17E887" w14:textId="77777777" w:rsidR="00D21308" w:rsidRDefault="00F41C2D">
      <w:pPr>
        <w:pStyle w:val="Default"/>
        <w:widowControl/>
        <w:spacing w:line="400" w:lineRule="exact"/>
        <w:ind w:firstLineChars="200" w:firstLine="420"/>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9</w:t>
      </w:r>
      <w:r>
        <w:rPr>
          <w:rFonts w:ascii="宋体" w:eastAsia="宋体" w:hAnsi="宋体" w:cs="宋体" w:hint="eastAsia"/>
          <w:bCs/>
          <w:kern w:val="2"/>
          <w:sz w:val="21"/>
          <w:szCs w:val="21"/>
        </w:rPr>
        <w:t>）本基金投资股票期权，根据相关法律法规以及监管部门的规定估值。</w:t>
      </w:r>
    </w:p>
    <w:p w14:paraId="30D35510" w14:textId="77777777" w:rsidR="00D21308" w:rsidRDefault="00F41C2D">
      <w:pPr>
        <w:pStyle w:val="Default"/>
        <w:widowControl/>
        <w:spacing w:line="400" w:lineRule="exact"/>
        <w:ind w:firstLineChars="200" w:firstLine="420"/>
        <w:textAlignment w:val="bottom"/>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10</w:t>
      </w:r>
      <w:r>
        <w:rPr>
          <w:rFonts w:ascii="宋体" w:eastAsia="宋体" w:hAnsi="宋体" w:cs="宋体" w:hint="eastAsia"/>
          <w:bCs/>
          <w:kern w:val="2"/>
          <w:sz w:val="21"/>
          <w:szCs w:val="21"/>
        </w:rPr>
        <w:t>）本基金投资存托凭证的估值核算</w:t>
      </w:r>
      <w:r>
        <w:rPr>
          <w:rFonts w:ascii="宋体" w:eastAsia="宋体" w:hAnsi="宋体" w:cs="宋体" w:hint="eastAsia"/>
          <w:kern w:val="2"/>
          <w:sz w:val="21"/>
          <w:szCs w:val="21"/>
        </w:rPr>
        <w:t>，依照</w:t>
      </w:r>
      <w:r>
        <w:rPr>
          <w:rFonts w:ascii="宋体" w:eastAsia="宋体" w:hAnsi="宋体" w:cs="宋体" w:hint="eastAsia"/>
          <w:bCs/>
          <w:kern w:val="2"/>
          <w:sz w:val="21"/>
          <w:szCs w:val="21"/>
        </w:rPr>
        <w:t>境内上市交易的股票执行。</w:t>
      </w:r>
    </w:p>
    <w:p w14:paraId="27ED60D9" w14:textId="77777777" w:rsidR="00D21308" w:rsidRDefault="00F41C2D">
      <w:pPr>
        <w:pStyle w:val="Default"/>
        <w:widowControl/>
        <w:spacing w:line="400" w:lineRule="exact"/>
        <w:ind w:firstLineChars="200" w:firstLine="420"/>
        <w:textAlignment w:val="bottom"/>
        <w:rPr>
          <w:rFonts w:ascii="宋体" w:hAnsi="宋体" w:cs="宋体"/>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11</w:t>
      </w:r>
      <w:r>
        <w:rPr>
          <w:rFonts w:ascii="宋体" w:eastAsia="宋体" w:hAnsi="宋体" w:cs="宋体" w:hint="eastAsia"/>
          <w:bCs/>
          <w:kern w:val="2"/>
          <w:sz w:val="21"/>
          <w:szCs w:val="21"/>
        </w:rPr>
        <w:t>）</w:t>
      </w:r>
      <w:r>
        <w:rPr>
          <w:rFonts w:ascii="宋体" w:eastAsia="宋体" w:hAnsi="宋体" w:cs="宋体" w:hint="eastAsia"/>
          <w:kern w:val="2"/>
          <w:sz w:val="21"/>
          <w:szCs w:val="21"/>
        </w:rPr>
        <w:t>本基金参与融资</w:t>
      </w:r>
      <w:r>
        <w:rPr>
          <w:rFonts w:ascii="宋体" w:eastAsia="宋体" w:hAnsi="宋体" w:cs="宋体" w:hint="eastAsia"/>
          <w:bCs/>
          <w:kern w:val="2"/>
          <w:sz w:val="21"/>
          <w:szCs w:val="21"/>
        </w:rPr>
        <w:t>和</w:t>
      </w:r>
      <w:r>
        <w:rPr>
          <w:rFonts w:ascii="宋体" w:eastAsia="宋体" w:hAnsi="宋体" w:cs="宋体" w:hint="eastAsia"/>
          <w:kern w:val="2"/>
          <w:sz w:val="21"/>
          <w:szCs w:val="21"/>
        </w:rPr>
        <w:t>转融通证券出借业务，按照相关法律法规和行业协会的相关规定进行估值。</w:t>
      </w:r>
    </w:p>
    <w:p w14:paraId="4A7F4D2F"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12</w:t>
      </w:r>
      <w:r>
        <w:rPr>
          <w:rFonts w:ascii="宋体" w:eastAsia="宋体" w:hAnsi="宋体" w:cs="宋体" w:hint="eastAsia"/>
          <w:bCs/>
          <w:kern w:val="2"/>
          <w:sz w:val="21"/>
          <w:szCs w:val="21"/>
        </w:rPr>
        <w:t>）当发生大额申购或赎回情形时，</w:t>
      </w:r>
      <w:r>
        <w:rPr>
          <w:rFonts w:ascii="宋体" w:eastAsia="宋体" w:hAnsi="宋体" w:cs="宋体"/>
          <w:kern w:val="2"/>
          <w:sz w:val="21"/>
          <w:szCs w:val="21"/>
        </w:rPr>
        <w:t>基金</w:t>
      </w:r>
      <w:r>
        <w:rPr>
          <w:rFonts w:ascii="宋体" w:eastAsia="宋体" w:hAnsi="宋体" w:cs="宋体" w:hint="eastAsia"/>
          <w:bCs/>
          <w:kern w:val="2"/>
          <w:sz w:val="21"/>
          <w:szCs w:val="21"/>
        </w:rPr>
        <w:t>管理人可以采用摆动定价机制，以确保基金估值的公平性。</w:t>
      </w:r>
    </w:p>
    <w:p w14:paraId="17419C2C" w14:textId="77777777" w:rsidR="00D21308" w:rsidRDefault="00F41C2D">
      <w:pPr>
        <w:pStyle w:val="Default"/>
        <w:widowControl/>
        <w:spacing w:line="400" w:lineRule="exact"/>
        <w:ind w:firstLineChars="200" w:firstLine="420"/>
        <w:rPr>
          <w:rFonts w:ascii="宋体" w:hAnsi="宋体" w:cs="宋体"/>
          <w:bCs/>
          <w:sz w:val="21"/>
          <w:szCs w:val="21"/>
        </w:rPr>
      </w:pPr>
      <w:r>
        <w:rPr>
          <w:rFonts w:ascii="宋体" w:eastAsia="宋体" w:hAnsi="宋体" w:cs="宋体" w:hint="eastAsia"/>
          <w:bCs/>
          <w:kern w:val="2"/>
          <w:sz w:val="21"/>
          <w:szCs w:val="21"/>
        </w:rPr>
        <w:t>（</w:t>
      </w:r>
      <w:r>
        <w:rPr>
          <w:rFonts w:ascii="宋体" w:eastAsia="宋体" w:hAnsi="宋体" w:cs="宋体"/>
          <w:bCs/>
          <w:kern w:val="2"/>
          <w:sz w:val="21"/>
          <w:szCs w:val="21"/>
        </w:rPr>
        <w:t>13</w:t>
      </w:r>
      <w:r>
        <w:rPr>
          <w:rFonts w:ascii="宋体" w:eastAsia="宋体" w:hAnsi="宋体" w:cs="宋体" w:hint="eastAsia"/>
          <w:bCs/>
          <w:kern w:val="2"/>
          <w:sz w:val="21"/>
          <w:szCs w:val="21"/>
        </w:rPr>
        <w:t>）如有确凿证据表明按上述方法进行估值不能客观反映其公允价值的，基金管理人可根据具体情况与基金托管人商定后，按最能反映公允价值的价格估值。</w:t>
      </w:r>
      <w:r>
        <w:rPr>
          <w:rFonts w:ascii="宋体" w:eastAsia="宋体" w:hAnsi="宋体" w:cs="宋体"/>
          <w:bCs/>
          <w:kern w:val="2"/>
          <w:sz w:val="21"/>
          <w:szCs w:val="21"/>
        </w:rPr>
        <w:t xml:space="preserve"> </w:t>
      </w:r>
    </w:p>
    <w:p w14:paraId="63271329" w14:textId="77777777" w:rsidR="00D21308" w:rsidRDefault="00F41C2D">
      <w:pPr>
        <w:pStyle w:val="Default"/>
        <w:widowControl/>
        <w:spacing w:line="400" w:lineRule="exact"/>
        <w:ind w:firstLineChars="200" w:firstLine="420"/>
        <w:rPr>
          <w:rFonts w:ascii="宋体" w:hAnsi="宋体" w:cs="宋体"/>
          <w:szCs w:val="21"/>
        </w:rPr>
      </w:pPr>
      <w:r>
        <w:rPr>
          <w:rFonts w:ascii="宋体" w:eastAsia="宋体" w:hAnsi="宋体" w:cs="宋体" w:hint="eastAsia"/>
          <w:bCs/>
          <w:kern w:val="2"/>
          <w:sz w:val="21"/>
          <w:szCs w:val="21"/>
        </w:rPr>
        <w:t>（</w:t>
      </w:r>
      <w:r>
        <w:rPr>
          <w:rFonts w:ascii="宋体" w:eastAsia="宋体" w:hAnsi="宋体" w:cs="宋体"/>
          <w:bCs/>
          <w:kern w:val="2"/>
          <w:sz w:val="21"/>
          <w:szCs w:val="21"/>
        </w:rPr>
        <w:t>14</w:t>
      </w:r>
      <w:r>
        <w:rPr>
          <w:rFonts w:ascii="宋体" w:eastAsia="宋体" w:hAnsi="宋体" w:cs="宋体" w:hint="eastAsia"/>
          <w:bCs/>
          <w:kern w:val="2"/>
          <w:sz w:val="21"/>
          <w:szCs w:val="21"/>
        </w:rPr>
        <w:t>）</w:t>
      </w:r>
      <w:r>
        <w:rPr>
          <w:rFonts w:ascii="宋体" w:eastAsia="宋体" w:hAnsi="宋体" w:cs="宋体"/>
          <w:kern w:val="2"/>
          <w:sz w:val="21"/>
          <w:szCs w:val="21"/>
        </w:rPr>
        <w:t>相关法律法规以及监管部门有强制规定的，从其规定。如有新增事项，按国家最新规定估值。</w:t>
      </w:r>
    </w:p>
    <w:p w14:paraId="32DE10DE" w14:textId="77777777" w:rsidR="00D21308" w:rsidRDefault="00F41C2D">
      <w:pPr>
        <w:pStyle w:val="Default"/>
        <w:widowControl/>
        <w:spacing w:line="400" w:lineRule="exact"/>
        <w:ind w:firstLineChars="200" w:firstLine="420"/>
        <w:rPr>
          <w:rFonts w:ascii="宋体" w:hAnsi="宋体" w:cs="宋体"/>
          <w:sz w:val="21"/>
          <w:szCs w:val="21"/>
        </w:rPr>
      </w:pPr>
      <w:r>
        <w:rPr>
          <w:rFonts w:ascii="宋体" w:eastAsia="宋体" w:hAnsi="宋体" w:cs="宋体" w:hint="eastAsia"/>
          <w:kern w:val="2"/>
          <w:sz w:val="21"/>
          <w:szCs w:val="21"/>
        </w:rPr>
        <w:t>若无法从其他渠道获取可靠数据进行会计核算，仅依赖基金管理人提供数据的，托管人不承担因该数据有误而产生的相应责任。</w:t>
      </w:r>
    </w:p>
    <w:p w14:paraId="40F89A5C" w14:textId="77777777" w:rsidR="00D21308" w:rsidRDefault="00F41C2D">
      <w:pPr>
        <w:pStyle w:val="Default"/>
        <w:widowControl/>
        <w:spacing w:line="400" w:lineRule="exact"/>
        <w:ind w:firstLineChars="200" w:firstLine="420"/>
        <w:jc w:val="both"/>
        <w:rPr>
          <w:rStyle w:val="read"/>
          <w:rFonts w:ascii="宋体" w:hAnsi="宋体" w:cs="宋体"/>
          <w:sz w:val="21"/>
          <w:szCs w:val="21"/>
        </w:rPr>
      </w:pPr>
      <w:r>
        <w:rPr>
          <w:rStyle w:val="read"/>
          <w:rFonts w:ascii="宋体" w:eastAsia="宋体" w:hAnsi="宋体" w:cs="宋体" w:hint="eastAsia"/>
          <w:kern w:val="2"/>
          <w:sz w:val="21"/>
          <w:szCs w:val="21"/>
        </w:rPr>
        <w:t>基金管理人、基金托管人发现基金估值违反《基金合同》订明的估值方法、程序以及相关法律法规的规定或者未能充分维护基金份额持有人利益时，双方应及时进行协商和纠正。</w:t>
      </w:r>
    </w:p>
    <w:p w14:paraId="0CE91AA6" w14:textId="77777777" w:rsidR="00D21308" w:rsidRDefault="00F41C2D">
      <w:pPr>
        <w:pStyle w:val="Default"/>
        <w:widowControl/>
        <w:spacing w:line="400" w:lineRule="exact"/>
        <w:ind w:firstLineChars="200" w:firstLine="420"/>
        <w:jc w:val="both"/>
        <w:rPr>
          <w:rFonts w:ascii="宋体" w:hAnsi="宋体" w:cs="宋体"/>
          <w:szCs w:val="21"/>
        </w:rPr>
      </w:pPr>
      <w:r>
        <w:rPr>
          <w:rFonts w:ascii="宋体" w:eastAsia="宋体" w:hAnsi="宋体" w:cs="宋体"/>
          <w:kern w:val="2"/>
          <w:sz w:val="21"/>
          <w:szCs w:val="21"/>
        </w:rPr>
        <w:t>根据有关</w:t>
      </w:r>
      <w:r>
        <w:rPr>
          <w:rFonts w:ascii="宋体" w:eastAsia="宋体" w:hAnsi="宋体" w:cs="宋体"/>
          <w:kern w:val="2"/>
          <w:sz w:val="21"/>
          <w:szCs w:val="21"/>
        </w:rPr>
        <w:t>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eastAsia="宋体" w:hAnsi="宋体" w:cs="宋体" w:hint="eastAsia"/>
          <w:bCs/>
          <w:kern w:val="2"/>
          <w:sz w:val="21"/>
          <w:szCs w:val="21"/>
        </w:rPr>
        <w:t>信息</w:t>
      </w:r>
      <w:r>
        <w:rPr>
          <w:rFonts w:ascii="宋体" w:eastAsia="宋体" w:hAnsi="宋体" w:cs="宋体"/>
          <w:kern w:val="2"/>
          <w:sz w:val="21"/>
          <w:szCs w:val="21"/>
        </w:rPr>
        <w:t>的计算结果对外予以公布</w:t>
      </w:r>
      <w:r>
        <w:rPr>
          <w:rFonts w:ascii="宋体" w:eastAsia="宋体" w:hAnsi="宋体" w:cs="宋体" w:hint="eastAsia"/>
          <w:kern w:val="2"/>
          <w:sz w:val="21"/>
          <w:szCs w:val="21"/>
        </w:rPr>
        <w:t>，基金管理人应按照有关法律法规进行信息披露。对于基金管理人未接受托管行的复核意见进行信息披露的情形，托管人不承担因此产生的相应责任。</w:t>
      </w:r>
    </w:p>
    <w:p w14:paraId="0A28572E" w14:textId="77777777" w:rsidR="00D21308" w:rsidRDefault="00F41C2D">
      <w:pPr>
        <w:pStyle w:val="Default"/>
        <w:widowControl/>
        <w:spacing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（三）</w:t>
      </w:r>
      <w:r>
        <w:rPr>
          <w:rFonts w:ascii="宋体" w:eastAsia="宋体" w:hAnsi="宋体" w:cs="宋体" w:hint="eastAsia"/>
          <w:kern w:val="2"/>
          <w:sz w:val="21"/>
          <w:szCs w:val="21"/>
          <w:lang w:bidi="ar"/>
        </w:rPr>
        <w:t>实施侧袋机制期间的基金资产估值</w:t>
      </w:r>
    </w:p>
    <w:p w14:paraId="789A7B4F" w14:textId="77777777" w:rsidR="00D21308" w:rsidRDefault="00F41C2D">
      <w:pPr>
        <w:pStyle w:val="3"/>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当</w:t>
      </w:r>
      <w:r>
        <w:rPr>
          <w:rFonts w:ascii="宋体" w:eastAsia="宋体" w:hAnsi="宋体" w:cs="方正仿宋简体" w:hint="eastAsia"/>
          <w:sz w:val="21"/>
          <w:szCs w:val="21"/>
        </w:rPr>
        <w:t>相关法律法规或《基金合同》规定的</w:t>
      </w:r>
      <w:r>
        <w:rPr>
          <w:rFonts w:ascii="宋体" w:eastAsia="宋体" w:hAnsi="宋体" w:cs="宋体" w:hint="eastAsia"/>
          <w:sz w:val="21"/>
          <w:szCs w:val="21"/>
        </w:rPr>
        <w:t>估值方法</w:t>
      </w:r>
      <w:r>
        <w:rPr>
          <w:rFonts w:ascii="宋体" w:eastAsia="宋体" w:hAnsi="宋体" w:cs="方正仿宋简体" w:hint="eastAsia"/>
          <w:sz w:val="21"/>
          <w:szCs w:val="21"/>
        </w:rPr>
        <w:t>不能客观反映基金财产公允价值时，</w:t>
      </w:r>
      <w:r>
        <w:rPr>
          <w:rFonts w:ascii="宋体" w:eastAsia="宋体" w:hAnsi="宋体" w:hint="eastAsia"/>
          <w:sz w:val="21"/>
          <w:szCs w:val="21"/>
        </w:rPr>
        <w:t>基</w:t>
      </w:r>
      <w:r>
        <w:rPr>
          <w:rFonts w:ascii="宋体" w:eastAsia="宋体" w:hAnsi="宋体" w:hint="eastAsia"/>
          <w:sz w:val="21"/>
          <w:szCs w:val="21"/>
        </w:rPr>
        <w:lastRenderedPageBreak/>
        <w:t>金管理人可根据具体情况</w:t>
      </w:r>
      <w:r>
        <w:rPr>
          <w:rFonts w:ascii="宋体" w:eastAsia="宋体" w:hAnsi="宋体"/>
          <w:sz w:val="21"/>
          <w:szCs w:val="21"/>
        </w:rPr>
        <w:t>，</w:t>
      </w:r>
      <w:r>
        <w:rPr>
          <w:rFonts w:ascii="宋体" w:eastAsia="宋体" w:hAnsi="宋体" w:hint="eastAsia"/>
          <w:sz w:val="21"/>
          <w:szCs w:val="21"/>
        </w:rPr>
        <w:t>并与基金托管人商定后</w:t>
      </w:r>
      <w:r>
        <w:rPr>
          <w:rFonts w:ascii="宋体" w:eastAsia="宋体" w:hAnsi="宋体"/>
          <w:sz w:val="21"/>
          <w:szCs w:val="21"/>
        </w:rPr>
        <w:t>，</w:t>
      </w:r>
      <w:r>
        <w:rPr>
          <w:rFonts w:ascii="宋体" w:eastAsia="宋体" w:hAnsi="宋体" w:hint="eastAsia"/>
          <w:sz w:val="21"/>
          <w:szCs w:val="21"/>
        </w:rPr>
        <w:t>按最能反映公允价值的价格估值。</w:t>
      </w:r>
      <w:r>
        <w:rPr>
          <w:rFonts w:ascii="宋体" w:eastAsia="宋体" w:hAnsi="宋体" w:cs="方正仿宋简体" w:hint="eastAsia"/>
          <w:sz w:val="21"/>
          <w:szCs w:val="21"/>
        </w:rPr>
        <w:t>本基金实施侧袋机制的，应根据本部分的约定对主袋账户资产</w:t>
      </w:r>
      <w:r>
        <w:rPr>
          <w:rFonts w:ascii="宋体" w:eastAsia="宋体" w:hAnsi="宋体" w:hint="eastAsia"/>
          <w:sz w:val="21"/>
          <w:szCs w:val="21"/>
          <w:lang w:bidi="ar"/>
        </w:rPr>
        <w:t>进行估值</w:t>
      </w:r>
      <w:r>
        <w:rPr>
          <w:rFonts w:ascii="宋体" w:eastAsia="宋体" w:hAnsi="宋体" w:cs="方正仿宋简体" w:hint="eastAsia"/>
          <w:sz w:val="21"/>
          <w:szCs w:val="21"/>
        </w:rPr>
        <w:t>并披露主袋账户的基金净值信息，暂停披露侧袋账户份额净值</w:t>
      </w:r>
      <w:r>
        <w:rPr>
          <w:rFonts w:ascii="宋体" w:eastAsia="宋体" w:hAnsi="宋体" w:hint="eastAsia"/>
          <w:sz w:val="21"/>
          <w:szCs w:val="21"/>
        </w:rPr>
        <w:t>。</w:t>
      </w:r>
    </w:p>
    <w:p w14:paraId="235B2E77" w14:textId="77777777" w:rsidR="00D21308" w:rsidRDefault="00F41C2D">
      <w:pPr>
        <w:pStyle w:val="3"/>
        <w:numPr>
          <w:ilvl w:val="0"/>
          <w:numId w:val="1"/>
        </w:numPr>
        <w:spacing w:before="100" w:beforeAutospacing="1" w:after="100" w:afterAutospacing="1" w:line="400" w:lineRule="exact"/>
        <w:ind w:left="0" w:right="26" w:firstLine="403"/>
        <w:rPr>
          <w:rFonts w:ascii="宋体" w:eastAsia="宋体" w:hAnsi="宋体"/>
          <w:sz w:val="21"/>
          <w:szCs w:val="21"/>
          <w:lang w:bidi="ar"/>
        </w:rPr>
      </w:pPr>
      <w:r>
        <w:rPr>
          <w:rFonts w:ascii="宋体" w:eastAsia="宋体" w:hAnsi="宋体" w:hint="eastAsia"/>
          <w:sz w:val="21"/>
          <w:szCs w:val="21"/>
          <w:lang w:bidi="ar"/>
        </w:rPr>
        <w:t>基金份额净值错误的处理方式</w:t>
      </w:r>
    </w:p>
    <w:p w14:paraId="7296F7A6" w14:textId="77777777" w:rsidR="00D21308" w:rsidRDefault="00F41C2D">
      <w:pPr>
        <w:spacing w:line="360" w:lineRule="auto"/>
        <w:ind w:firstLineChars="200" w:firstLine="420"/>
        <w:rPr>
          <w:rFonts w:ascii="宋体" w:hAnsi="宋体"/>
          <w:szCs w:val="21"/>
          <w:lang w:bidi="ar"/>
        </w:rPr>
      </w:pPr>
      <w:r>
        <w:rPr>
          <w:rFonts w:ascii="宋体" w:hAnsi="宋体" w:cs="宋体" w:hint="eastAsia"/>
          <w:color w:val="000000"/>
          <w:szCs w:val="21"/>
        </w:rPr>
        <w:t>基金管理人及基金托管人应当按照《基金合同》及下述约定处理份额净值错误。</w:t>
      </w:r>
      <w:r>
        <w:rPr>
          <w:rFonts w:ascii="宋体" w:hAnsi="宋体" w:hint="eastAsia"/>
          <w:szCs w:val="21"/>
        </w:rPr>
        <w:t>当基金资产的估值导致基金份额净值小数点后四位内发生差错时，视为基金份额净值估值错误。当基金份额净值出现错误时，基金管理人应当立即予以纠正，并采取合理的措施防止损失进一步扩大；当计价错误达到基金份额净值的</w:t>
      </w:r>
      <w:r>
        <w:rPr>
          <w:rFonts w:ascii="宋体" w:hAnsi="宋体"/>
          <w:szCs w:val="21"/>
        </w:rPr>
        <w:t>0.25%</w:t>
      </w:r>
      <w:r>
        <w:rPr>
          <w:rFonts w:ascii="宋体" w:hAnsi="宋体" w:hint="eastAsia"/>
          <w:szCs w:val="21"/>
        </w:rPr>
        <w:t>时，</w:t>
      </w:r>
      <w:r>
        <w:rPr>
          <w:rFonts w:ascii="宋体" w:hAnsi="宋体" w:hint="eastAsia"/>
          <w:szCs w:val="21"/>
        </w:rPr>
        <w:t>基金管理人应当通知基金托管人并报中国证监会备案；当计价错误达到基金份额净值的</w:t>
      </w:r>
      <w:r>
        <w:rPr>
          <w:rFonts w:ascii="宋体" w:hAnsi="宋体"/>
          <w:szCs w:val="21"/>
        </w:rPr>
        <w:t>0.5%</w:t>
      </w:r>
      <w:r>
        <w:rPr>
          <w:rFonts w:ascii="宋体" w:hAnsi="宋体" w:hint="eastAsia"/>
          <w:szCs w:val="21"/>
        </w:rPr>
        <w:t>时，基金管理人应当通知基金托管人，在报中国证监会备案的同时及时</w:t>
      </w:r>
      <w:r>
        <w:rPr>
          <w:rFonts w:ascii="宋体" w:hAnsi="宋体" w:hint="eastAsia"/>
          <w:szCs w:val="21"/>
          <w:lang w:bidi="ar"/>
        </w:rPr>
        <w:t>进行</w:t>
      </w:r>
      <w:r>
        <w:rPr>
          <w:rFonts w:ascii="宋体" w:hAnsi="宋体" w:hint="eastAsia"/>
          <w:szCs w:val="21"/>
        </w:rPr>
        <w:t>公告。</w:t>
      </w:r>
      <w:r>
        <w:rPr>
          <w:rFonts w:ascii="宋体" w:hAnsi="宋体"/>
          <w:szCs w:val="21"/>
        </w:rPr>
        <w:t>如法律法规或监管机关</w:t>
      </w:r>
      <w:r>
        <w:rPr>
          <w:rFonts w:ascii="宋体" w:hAnsi="宋体" w:hint="eastAsia"/>
          <w:szCs w:val="21"/>
        </w:rPr>
        <w:t>对</w:t>
      </w:r>
      <w:r>
        <w:rPr>
          <w:rFonts w:ascii="宋体" w:hAnsi="宋体"/>
          <w:szCs w:val="21"/>
        </w:rPr>
        <w:t>前述内容另有规定的，按其规定</w:t>
      </w:r>
      <w:r>
        <w:rPr>
          <w:rFonts w:ascii="宋体" w:hAnsi="宋体" w:hint="eastAsia"/>
          <w:szCs w:val="21"/>
          <w:lang w:bidi="ar"/>
        </w:rPr>
        <w:t>处理</w:t>
      </w:r>
      <w:r>
        <w:rPr>
          <w:rFonts w:ascii="宋体" w:hAnsi="宋体"/>
          <w:szCs w:val="21"/>
        </w:rPr>
        <w:t>。</w:t>
      </w:r>
    </w:p>
    <w:p w14:paraId="0A862E2B" w14:textId="77777777" w:rsidR="00D21308" w:rsidRDefault="00F41C2D">
      <w:pPr>
        <w:pStyle w:val="aa"/>
        <w:widowControl/>
        <w:spacing w:before="0" w:after="0" w:line="400" w:lineRule="exact"/>
        <w:ind w:right="26" w:firstLine="403"/>
        <w:jc w:val="both"/>
        <w:rPr>
          <w:rFonts w:ascii="宋体" w:hAnsi="宋体" w:cs="方正仿宋简体"/>
          <w:szCs w:val="21"/>
        </w:rPr>
      </w:pPr>
      <w:r>
        <w:rPr>
          <w:rFonts w:ascii="宋体" w:hAnsi="宋体" w:hint="eastAsia"/>
          <w:sz w:val="21"/>
          <w:szCs w:val="21"/>
        </w:rPr>
        <w:t>由于基金管理人对外公布的任何基金净值数据错误，导致该基金财产或基金份额持有人的实际损失，基金管理人应对此承担责任。若基金托管人计算的净值数据正确且已及时提示相关数据有误，则基金托管人对该损失不承担责任；</w:t>
      </w:r>
      <w:r w:rsidRPr="00604423">
        <w:rPr>
          <w:rFonts w:ascii="宋体" w:hAnsi="宋体" w:cs="宋体" w:hint="eastAsia"/>
          <w:sz w:val="21"/>
          <w:szCs w:val="21"/>
          <w:lang w:bidi="ar"/>
        </w:rPr>
        <w:t>若基金管理人对外公布的基金净值经基金托管人复核同意的，则基金托管人也应承担部分未正确履行复核与提示义务的责任，基金托管人不承担基金管理人未接受基金托管人的复核意见进行信息披露产生的责任；基金托管人对基金管理人提供的原始数据和信息的真实性、准确性和完整性所引起的任何损失不负责任</w:t>
      </w:r>
      <w:r>
        <w:rPr>
          <w:rFonts w:ascii="宋体" w:hAnsi="宋体" w:hint="eastAsia"/>
          <w:sz w:val="21"/>
          <w:szCs w:val="21"/>
        </w:rPr>
        <w:t>。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w:t>
      </w:r>
      <w:r>
        <w:rPr>
          <w:rFonts w:ascii="宋体" w:hAnsi="宋体" w:hint="eastAsia"/>
          <w:sz w:val="21"/>
          <w:szCs w:val="21"/>
          <w:lang w:bidi="ar"/>
        </w:rPr>
        <w:t>按照</w:t>
      </w:r>
      <w:r>
        <w:rPr>
          <w:rFonts w:ascii="宋体" w:hAnsi="宋体" w:hint="eastAsia"/>
          <w:sz w:val="21"/>
          <w:szCs w:val="21"/>
        </w:rPr>
        <w:t>各自赔偿金额的比例对返还金额进行分配。</w:t>
      </w:r>
      <w:r w:rsidRPr="00604423">
        <w:rPr>
          <w:rFonts w:ascii="宋体" w:hAnsi="宋体" w:cs="宋体" w:hint="eastAsia"/>
          <w:sz w:val="21"/>
          <w:szCs w:val="21"/>
          <w:lang w:bidi="ar"/>
        </w:rPr>
        <w:t>如果因上述基金管理人提供的原始数据和信息不真实、不准确或不完整直接造成了基金托管人的损失的，基金托管人有权要求基金管理人承担赔偿责任。</w:t>
      </w:r>
    </w:p>
    <w:p w14:paraId="129AE222" w14:textId="77777777" w:rsidR="00D21308" w:rsidRDefault="00F41C2D">
      <w:pPr>
        <w:spacing w:line="360" w:lineRule="auto"/>
        <w:ind w:firstLineChars="200" w:firstLine="420"/>
        <w:rPr>
          <w:rFonts w:ascii="宋体" w:hAnsi="宋体"/>
          <w:szCs w:val="21"/>
          <w:lang w:bidi="ar"/>
        </w:rPr>
      </w:pPr>
      <w:r>
        <w:rPr>
          <w:rFonts w:ascii="宋体" w:hAnsi="宋体" w:cs="方正仿宋简体"/>
          <w:szCs w:val="21"/>
        </w:rPr>
        <w:t>由于证券交易所、期货交易所、</w:t>
      </w:r>
      <w:r>
        <w:rPr>
          <w:rFonts w:ascii="宋体" w:hAnsi="宋体" w:hint="eastAsia"/>
          <w:szCs w:val="21"/>
          <w:lang w:bidi="ar"/>
        </w:rPr>
        <w:t>登记</w:t>
      </w:r>
      <w:r>
        <w:rPr>
          <w:rFonts w:ascii="宋体" w:hAnsi="宋体" w:cs="方正仿宋简体"/>
          <w:szCs w:val="21"/>
        </w:rPr>
        <w:t>结算公司、</w:t>
      </w:r>
      <w:r>
        <w:rPr>
          <w:rFonts w:ascii="宋体" w:hAnsi="宋体" w:hint="eastAsia"/>
          <w:szCs w:val="21"/>
          <w:lang w:bidi="ar"/>
        </w:rPr>
        <w:t>第三方估值机构</w:t>
      </w:r>
      <w:r>
        <w:rPr>
          <w:rFonts w:ascii="宋体" w:hAnsi="宋体" w:cs="方正仿宋简体"/>
          <w:szCs w:val="21"/>
        </w:rPr>
        <w:t>发送的数据错误，或由于其他不可抗力原因，基金管理人和基金托管人虽然已经采取必要、适当、合理的措施</w:t>
      </w:r>
      <w:r>
        <w:rPr>
          <w:rFonts w:ascii="宋体" w:hAnsi="宋体" w:hint="eastAsia"/>
          <w:szCs w:val="21"/>
          <w:lang w:bidi="ar"/>
        </w:rPr>
        <w:t>进行</w:t>
      </w:r>
      <w:r>
        <w:rPr>
          <w:rFonts w:ascii="宋体" w:hAnsi="宋体" w:cs="方正仿宋简体"/>
          <w:szCs w:val="21"/>
        </w:rPr>
        <w:t>检查，但是未能发现该错误的，由此造成的基金资产估值错误，基金管理人和基金托管人免除赔偿责任。但基金管理人和基金托管人应当积极采取必要的措施减轻或消除由此造成的影响</w:t>
      </w:r>
      <w:r>
        <w:rPr>
          <w:rFonts w:ascii="宋体" w:hAnsi="宋体" w:hint="eastAsia"/>
          <w:szCs w:val="21"/>
          <w:lang w:bidi="ar"/>
        </w:rPr>
        <w:t>。</w:t>
      </w:r>
    </w:p>
    <w:p w14:paraId="225643E6" w14:textId="77777777" w:rsidR="00D21308" w:rsidRDefault="00F41C2D">
      <w:pPr>
        <w:spacing w:line="360" w:lineRule="auto"/>
        <w:ind w:firstLineChars="200" w:firstLine="420"/>
        <w:rPr>
          <w:rFonts w:ascii="宋体" w:hAnsi="宋体"/>
          <w:szCs w:val="21"/>
          <w:lang w:bidi="ar"/>
        </w:rPr>
      </w:pPr>
      <w:r>
        <w:rPr>
          <w:rFonts w:ascii="宋体" w:hAnsi="宋体" w:hint="eastAsia"/>
          <w:szCs w:val="21"/>
        </w:rPr>
        <w:t>如果</w:t>
      </w:r>
      <w:r>
        <w:rPr>
          <w:rFonts w:ascii="宋体" w:hAnsi="宋体" w:hint="eastAsia"/>
          <w:szCs w:val="21"/>
          <w:lang w:bidi="ar"/>
        </w:rPr>
        <w:t>基金</w:t>
      </w:r>
      <w:r>
        <w:rPr>
          <w:rFonts w:ascii="宋体" w:hAnsi="宋体" w:hint="eastAsia"/>
          <w:szCs w:val="21"/>
        </w:rPr>
        <w:t>托管人的</w:t>
      </w:r>
      <w:r>
        <w:rPr>
          <w:rFonts w:ascii="宋体" w:hAnsi="宋体" w:hint="eastAsia"/>
          <w:szCs w:val="21"/>
        </w:rPr>
        <w:t>复核结果与基金管理人的计算结果存在差异，且双方经协商未能达成</w:t>
      </w:r>
      <w:r>
        <w:rPr>
          <w:rFonts w:ascii="宋体" w:hAnsi="宋体" w:hint="eastAsia"/>
          <w:szCs w:val="21"/>
        </w:rPr>
        <w:lastRenderedPageBreak/>
        <w:t>一致，基金管理人</w:t>
      </w:r>
      <w:r>
        <w:rPr>
          <w:rFonts w:ascii="宋体" w:hAnsi="宋体" w:hint="eastAsia"/>
          <w:szCs w:val="21"/>
          <w:lang w:bidi="ar"/>
        </w:rPr>
        <w:t>可以按照</w:t>
      </w:r>
      <w:r>
        <w:rPr>
          <w:rFonts w:ascii="宋体" w:hAnsi="宋体" w:hint="eastAsia"/>
          <w:szCs w:val="21"/>
        </w:rPr>
        <w:t>其对基金份额净值的计算结果对外予以公布，基金托管人可以将相关情况报中国证监会备案。基金托管人不承担基金管理人未接受基金托管人的复核意见进行信息披露的责任</w:t>
      </w:r>
      <w:r>
        <w:rPr>
          <w:rFonts w:ascii="宋体" w:hAnsi="宋体" w:hint="eastAsia"/>
          <w:szCs w:val="21"/>
          <w:lang w:bidi="ar"/>
        </w:rPr>
        <w:t>。</w:t>
      </w:r>
    </w:p>
    <w:p w14:paraId="4E0159B3" w14:textId="77777777" w:rsidR="00D21308" w:rsidRDefault="00F41C2D">
      <w:pPr>
        <w:pStyle w:val="3"/>
        <w:widowControl/>
        <w:spacing w:before="100" w:beforeAutospacing="1" w:after="100" w:afterAutospacing="1" w:line="400" w:lineRule="exact"/>
        <w:ind w:left="0" w:right="26" w:firstLine="403"/>
        <w:rPr>
          <w:rFonts w:ascii="宋体" w:eastAsia="宋体" w:hAnsi="宋体" w:cs="宋体"/>
          <w:kern w:val="0"/>
          <w:sz w:val="21"/>
          <w:szCs w:val="21"/>
        </w:rPr>
      </w:pPr>
      <w:r>
        <w:rPr>
          <w:rFonts w:ascii="宋体" w:eastAsia="宋体" w:hAnsi="宋体" w:cs="宋体" w:hint="eastAsia"/>
          <w:kern w:val="0"/>
          <w:sz w:val="21"/>
          <w:szCs w:val="21"/>
        </w:rPr>
        <w:t>（五）暂停估值与公告基金份额净值的情形</w:t>
      </w:r>
    </w:p>
    <w:p w14:paraId="4FA5FF1D" w14:textId="77777777" w:rsidR="00D21308" w:rsidRDefault="00F41C2D">
      <w:pPr>
        <w:autoSpaceDE w:val="0"/>
        <w:autoSpaceDN w:val="0"/>
        <w:spacing w:line="360" w:lineRule="auto"/>
        <w:ind w:firstLineChars="200" w:firstLine="420"/>
        <w:textAlignment w:val="bottom"/>
        <w:rPr>
          <w:rFonts w:ascii="宋体" w:hAnsi="宋体"/>
          <w:szCs w:val="21"/>
          <w:lang w:bidi="ar"/>
        </w:rPr>
      </w:pPr>
      <w:r>
        <w:rPr>
          <w:rFonts w:ascii="宋体" w:hAnsi="宋体"/>
          <w:szCs w:val="21"/>
          <w:lang w:bidi="ar"/>
        </w:rPr>
        <w:t>1</w:t>
      </w:r>
      <w:r>
        <w:rPr>
          <w:rFonts w:ascii="宋体" w:hAnsi="宋体"/>
          <w:szCs w:val="21"/>
          <w:lang w:bidi="ar"/>
        </w:rPr>
        <w:t>、基金投资所涉及的证券</w:t>
      </w:r>
      <w:r>
        <w:rPr>
          <w:rFonts w:ascii="宋体" w:hAnsi="宋体"/>
          <w:szCs w:val="21"/>
          <w:lang w:bidi="ar"/>
        </w:rPr>
        <w:t>/</w:t>
      </w:r>
      <w:r>
        <w:rPr>
          <w:rFonts w:ascii="宋体" w:hAnsi="宋体"/>
          <w:szCs w:val="21"/>
          <w:lang w:bidi="ar"/>
        </w:rPr>
        <w:t>期货交易市场遇法定节假日或因其他原因暂停营业时；</w:t>
      </w:r>
    </w:p>
    <w:p w14:paraId="2CC1E25A" w14:textId="77777777" w:rsidR="00D21308" w:rsidRDefault="00F41C2D">
      <w:pPr>
        <w:autoSpaceDE w:val="0"/>
        <w:autoSpaceDN w:val="0"/>
        <w:spacing w:line="360" w:lineRule="auto"/>
        <w:ind w:firstLineChars="200" w:firstLine="420"/>
        <w:textAlignment w:val="bottom"/>
        <w:rPr>
          <w:rFonts w:ascii="宋体" w:hAnsi="宋体"/>
          <w:szCs w:val="21"/>
          <w:lang w:bidi="ar"/>
        </w:rPr>
      </w:pPr>
      <w:r>
        <w:rPr>
          <w:rFonts w:ascii="宋体" w:hAnsi="宋体"/>
          <w:szCs w:val="21"/>
          <w:lang w:bidi="ar"/>
        </w:rPr>
        <w:t>2</w:t>
      </w:r>
      <w:r>
        <w:rPr>
          <w:rFonts w:ascii="宋体" w:hAnsi="宋体"/>
          <w:szCs w:val="21"/>
          <w:lang w:bidi="ar"/>
        </w:rPr>
        <w:t>、因不可抗力或其他情形致使基金管理人、基金托管人无法准确评估基金资产价值时；</w:t>
      </w:r>
    </w:p>
    <w:p w14:paraId="29223885" w14:textId="77777777" w:rsidR="00D21308" w:rsidRDefault="00F41C2D">
      <w:pPr>
        <w:autoSpaceDE w:val="0"/>
        <w:autoSpaceDN w:val="0"/>
        <w:spacing w:line="360" w:lineRule="auto"/>
        <w:ind w:firstLineChars="200" w:firstLine="420"/>
        <w:textAlignment w:val="bottom"/>
        <w:rPr>
          <w:rFonts w:ascii="宋体" w:hAnsi="宋体"/>
          <w:szCs w:val="21"/>
          <w:lang w:bidi="ar"/>
        </w:rPr>
      </w:pPr>
      <w:r>
        <w:rPr>
          <w:rFonts w:ascii="宋体" w:hAnsi="宋体"/>
          <w:szCs w:val="21"/>
          <w:lang w:bidi="ar"/>
        </w:rPr>
        <w:t>3</w:t>
      </w:r>
      <w:r>
        <w:rPr>
          <w:rFonts w:ascii="宋体" w:hAnsi="宋体"/>
          <w:szCs w:val="21"/>
          <w:lang w:bidi="ar"/>
        </w:rPr>
        <w:t>、当特定资产占前一估值日基金资产净值</w:t>
      </w:r>
      <w:r>
        <w:rPr>
          <w:rFonts w:ascii="宋体" w:hAnsi="宋体"/>
          <w:szCs w:val="21"/>
          <w:lang w:bidi="ar"/>
        </w:rPr>
        <w:t>50%</w:t>
      </w:r>
      <w:r>
        <w:rPr>
          <w:rFonts w:ascii="宋体" w:hAnsi="宋体"/>
          <w:szCs w:val="21"/>
          <w:lang w:bidi="ar"/>
        </w:rPr>
        <w:t>以上的，经与基金托管人协商确认后</w:t>
      </w:r>
      <w:r>
        <w:rPr>
          <w:rFonts w:ascii="宋体" w:hAnsi="宋体"/>
          <w:szCs w:val="21"/>
          <w:lang w:bidi="ar"/>
        </w:rPr>
        <w:t>，基金管理人应当暂停估值；</w:t>
      </w:r>
    </w:p>
    <w:p w14:paraId="01DBDDCC" w14:textId="77777777" w:rsidR="00D21308" w:rsidRDefault="00F41C2D">
      <w:pPr>
        <w:autoSpaceDE w:val="0"/>
        <w:autoSpaceDN w:val="0"/>
        <w:spacing w:line="360" w:lineRule="auto"/>
        <w:ind w:firstLineChars="200" w:firstLine="420"/>
        <w:textAlignment w:val="bottom"/>
        <w:rPr>
          <w:rFonts w:ascii="宋体" w:hAnsi="宋体"/>
          <w:szCs w:val="21"/>
          <w:lang w:bidi="ar"/>
        </w:rPr>
      </w:pPr>
      <w:r>
        <w:rPr>
          <w:rFonts w:ascii="宋体" w:hAnsi="宋体"/>
          <w:szCs w:val="21"/>
          <w:lang w:bidi="ar"/>
        </w:rPr>
        <w:t>4</w:t>
      </w:r>
      <w:r>
        <w:rPr>
          <w:rFonts w:ascii="宋体" w:hAnsi="宋体"/>
          <w:szCs w:val="21"/>
          <w:lang w:bidi="ar"/>
        </w:rPr>
        <w:t>、法律法规、中国证监会和基金合同认定的其他情形。</w:t>
      </w:r>
    </w:p>
    <w:p w14:paraId="6C220B27" w14:textId="77777777" w:rsidR="00D21308" w:rsidRDefault="00F41C2D">
      <w:pPr>
        <w:pStyle w:val="3"/>
        <w:widowControl/>
        <w:spacing w:before="100" w:beforeAutospacing="1" w:after="100" w:afterAutospacing="1" w:line="400" w:lineRule="exact"/>
        <w:ind w:left="0" w:right="26" w:firstLine="403"/>
        <w:rPr>
          <w:rFonts w:ascii="宋体" w:eastAsia="宋体" w:hAnsi="宋体" w:cs="宋体"/>
          <w:kern w:val="0"/>
          <w:sz w:val="21"/>
          <w:szCs w:val="21"/>
        </w:rPr>
      </w:pPr>
      <w:r>
        <w:rPr>
          <w:rFonts w:ascii="宋体" w:eastAsia="宋体" w:hAnsi="宋体" w:cs="宋体" w:hint="eastAsia"/>
          <w:kern w:val="0"/>
          <w:sz w:val="21"/>
          <w:szCs w:val="21"/>
        </w:rPr>
        <w:t>（六）基金会计制度</w:t>
      </w:r>
    </w:p>
    <w:p w14:paraId="6447413A" w14:textId="77777777" w:rsidR="00D21308" w:rsidRDefault="00F41C2D">
      <w:pPr>
        <w:autoSpaceDE w:val="0"/>
        <w:autoSpaceDN w:val="0"/>
        <w:spacing w:line="360" w:lineRule="auto"/>
        <w:ind w:firstLineChars="200" w:firstLine="420"/>
        <w:textAlignment w:val="bottom"/>
        <w:rPr>
          <w:rFonts w:ascii="Times New Roman" w:hAnsi="Times New Roman"/>
          <w:sz w:val="18"/>
          <w:szCs w:val="18"/>
        </w:rPr>
      </w:pPr>
      <w:r>
        <w:rPr>
          <w:rFonts w:ascii="宋体" w:hAnsi="宋体" w:hint="eastAsia"/>
          <w:szCs w:val="21"/>
          <w:lang w:bidi="ar"/>
        </w:rPr>
        <w:t>按国家有关部门规定的会计制度执行。</w:t>
      </w:r>
    </w:p>
    <w:p w14:paraId="239A964A" w14:textId="77777777" w:rsidR="00D21308" w:rsidRDefault="00F41C2D">
      <w:pPr>
        <w:pStyle w:val="3"/>
        <w:widowControl/>
        <w:spacing w:before="100" w:beforeAutospacing="1" w:after="100" w:afterAutospacing="1" w:line="400" w:lineRule="exact"/>
        <w:ind w:left="0" w:right="26" w:firstLine="403"/>
        <w:rPr>
          <w:rFonts w:ascii="宋体" w:eastAsia="宋体" w:hAnsi="宋体" w:cs="宋体"/>
          <w:kern w:val="0"/>
          <w:sz w:val="21"/>
          <w:szCs w:val="21"/>
        </w:rPr>
      </w:pPr>
      <w:r>
        <w:rPr>
          <w:rFonts w:ascii="宋体" w:eastAsia="宋体" w:hAnsi="宋体" w:cs="宋体" w:hint="eastAsia"/>
          <w:kern w:val="0"/>
          <w:sz w:val="21"/>
          <w:szCs w:val="21"/>
        </w:rPr>
        <w:t>（七）基金账册的建立</w:t>
      </w:r>
    </w:p>
    <w:p w14:paraId="58875E00" w14:textId="77777777" w:rsidR="00D21308" w:rsidRDefault="00F41C2D">
      <w:pPr>
        <w:spacing w:line="360" w:lineRule="auto"/>
        <w:ind w:firstLineChars="200" w:firstLine="420"/>
        <w:rPr>
          <w:rFonts w:ascii="宋体" w:hAnsi="宋体"/>
          <w:szCs w:val="21"/>
          <w:lang w:bidi="ar"/>
        </w:rPr>
      </w:pPr>
      <w:r>
        <w:rPr>
          <w:rFonts w:ascii="宋体" w:hAnsi="宋体" w:hint="eastAsia"/>
          <w:szCs w:val="21"/>
          <w:lang w:bidi="ar"/>
        </w:rPr>
        <w:t>基金管理人</w:t>
      </w:r>
      <w:r>
        <w:rPr>
          <w:rFonts w:ascii="宋体" w:hAnsi="宋体" w:hint="eastAsia"/>
          <w:szCs w:val="21"/>
        </w:rPr>
        <w:t>和</w:t>
      </w:r>
      <w:r>
        <w:rPr>
          <w:rFonts w:ascii="宋体" w:hAnsi="宋体" w:hint="eastAsia"/>
          <w:szCs w:val="21"/>
          <w:lang w:bidi="ar"/>
        </w:rPr>
        <w:t>基金托管人</w:t>
      </w:r>
      <w:r>
        <w:rPr>
          <w:rFonts w:ascii="宋体" w:hAnsi="宋体" w:hint="eastAsia"/>
          <w:szCs w:val="21"/>
        </w:rPr>
        <w:t>在《基金合同》生效后，应按照双方约定的同一记账方法和会计处理原则，分别独立地设置、登记和保管基金的全套账册，对双方各自的账册定期进行核对，互相监督，以保证</w:t>
      </w:r>
      <w:r>
        <w:rPr>
          <w:rFonts w:ascii="宋体" w:hAnsi="宋体" w:hint="eastAsia"/>
          <w:szCs w:val="21"/>
          <w:lang w:bidi="ar"/>
        </w:rPr>
        <w:t>基金</w:t>
      </w:r>
      <w:r>
        <w:rPr>
          <w:rFonts w:ascii="宋体" w:hAnsi="宋体" w:hint="eastAsia"/>
          <w:szCs w:val="21"/>
        </w:rPr>
        <w:t>财产的安全。若双方对会计处理方法存在分歧，应以</w:t>
      </w:r>
      <w:r>
        <w:rPr>
          <w:rFonts w:ascii="宋体" w:hAnsi="宋体" w:hint="eastAsia"/>
          <w:szCs w:val="21"/>
          <w:lang w:bidi="ar"/>
        </w:rPr>
        <w:t>基金</w:t>
      </w:r>
      <w:r>
        <w:rPr>
          <w:rFonts w:ascii="宋体" w:hAnsi="宋体" w:hint="eastAsia"/>
          <w:szCs w:val="21"/>
        </w:rPr>
        <w:t>管理人的处理方法为准</w:t>
      </w:r>
      <w:r>
        <w:rPr>
          <w:rFonts w:ascii="宋体" w:hAnsi="宋体" w:hint="eastAsia"/>
          <w:szCs w:val="21"/>
          <w:lang w:bidi="ar"/>
        </w:rPr>
        <w:t>。</w:t>
      </w:r>
    </w:p>
    <w:p w14:paraId="377EA1BF" w14:textId="77777777" w:rsidR="00D21308" w:rsidRDefault="00F41C2D">
      <w:pPr>
        <w:pStyle w:val="3"/>
        <w:widowControl/>
        <w:spacing w:before="100" w:beforeAutospacing="1" w:after="100" w:afterAutospacing="1" w:line="400" w:lineRule="exact"/>
        <w:ind w:left="0" w:right="26" w:firstLineChars="200" w:firstLine="420"/>
      </w:pPr>
      <w:r>
        <w:rPr>
          <w:rFonts w:ascii="宋体" w:eastAsia="宋体" w:hAnsi="宋体" w:cs="宋体" w:hint="eastAsia"/>
          <w:kern w:val="0"/>
          <w:sz w:val="21"/>
          <w:szCs w:val="21"/>
        </w:rPr>
        <w:t>（八）基金财务报表与报告的编制和复核</w:t>
      </w:r>
    </w:p>
    <w:p w14:paraId="4814265C" w14:textId="77777777" w:rsidR="00D21308" w:rsidRDefault="00F41C2D">
      <w:pPr>
        <w:spacing w:line="360" w:lineRule="auto"/>
        <w:ind w:firstLineChars="200" w:firstLine="420"/>
        <w:rPr>
          <w:rFonts w:ascii="宋体" w:hAnsi="宋体"/>
          <w:szCs w:val="21"/>
          <w:lang w:bidi="ar"/>
        </w:rPr>
      </w:pPr>
      <w:r>
        <w:rPr>
          <w:rFonts w:ascii="宋体" w:hAnsi="宋体" w:hint="eastAsia"/>
          <w:szCs w:val="21"/>
          <w:lang w:bidi="ar"/>
        </w:rPr>
        <w:t>基金财务报表由基金管理人和基金托管人每月分别独立编制。月度报表的编制，应于每月终了后</w:t>
      </w:r>
      <w:r>
        <w:rPr>
          <w:rFonts w:ascii="宋体" w:hAnsi="宋体"/>
          <w:szCs w:val="21"/>
          <w:lang w:bidi="ar"/>
        </w:rPr>
        <w:t>5</w:t>
      </w:r>
      <w:r>
        <w:rPr>
          <w:rFonts w:ascii="宋体" w:hAnsi="宋体"/>
          <w:szCs w:val="21"/>
          <w:lang w:bidi="ar"/>
        </w:rPr>
        <w:t>个工作日内完成；《基金合同》生效后，招募说明书的</w:t>
      </w:r>
      <w:r>
        <w:rPr>
          <w:rFonts w:ascii="宋体" w:hAnsi="宋体" w:hint="eastAsia"/>
          <w:szCs w:val="21"/>
          <w:lang w:bidi="ar"/>
        </w:rPr>
        <w:t>信息</w:t>
      </w:r>
      <w:r>
        <w:rPr>
          <w:rFonts w:ascii="宋体" w:hAnsi="宋体"/>
          <w:szCs w:val="21"/>
          <w:lang w:bidi="ar"/>
        </w:rPr>
        <w:t>发生重大变更的，基金</w:t>
      </w:r>
      <w:r>
        <w:rPr>
          <w:rFonts w:ascii="宋体" w:hAnsi="宋体" w:hint="eastAsia"/>
          <w:szCs w:val="21"/>
          <w:lang w:bidi="ar"/>
        </w:rPr>
        <w:t>管理人应当</w:t>
      </w:r>
      <w:r>
        <w:rPr>
          <w:rFonts w:ascii="宋体" w:hAnsi="宋体"/>
          <w:szCs w:val="21"/>
          <w:lang w:bidi="ar"/>
        </w:rPr>
        <w:t>在三个工作日内，更新招募说明书并登载在规定网站上。招募说明书其他信息发生变更的，基金管理人至少每年更新一次；基金产品资料概要的信息发生重大变更的，</w:t>
      </w:r>
      <w:r>
        <w:rPr>
          <w:rFonts w:ascii="宋体" w:hAnsi="宋体" w:hint="eastAsia"/>
          <w:szCs w:val="21"/>
          <w:lang w:bidi="ar"/>
        </w:rPr>
        <w:t>基金</w:t>
      </w:r>
      <w:r>
        <w:rPr>
          <w:rFonts w:ascii="宋体" w:hAnsi="宋体"/>
          <w:szCs w:val="21"/>
          <w:lang w:bidi="ar"/>
        </w:rPr>
        <w:t>管理人应当在三个工作日内，更新基金产品资料概要并登载在</w:t>
      </w:r>
      <w:r>
        <w:rPr>
          <w:rFonts w:ascii="宋体" w:hAnsi="宋体" w:hint="eastAsia"/>
          <w:szCs w:val="21"/>
          <w:lang w:bidi="ar"/>
        </w:rPr>
        <w:t>规定</w:t>
      </w:r>
      <w:r>
        <w:rPr>
          <w:rFonts w:ascii="宋体" w:hAnsi="宋体"/>
          <w:szCs w:val="21"/>
          <w:lang w:bidi="ar"/>
        </w:rPr>
        <w:t>网站及基金销售机构网站或营业网点。</w:t>
      </w:r>
      <w:r>
        <w:rPr>
          <w:rFonts w:ascii="宋体" w:hAnsi="宋体" w:hint="eastAsia"/>
          <w:szCs w:val="21"/>
          <w:lang w:bidi="ar"/>
        </w:rPr>
        <w:t>基金</w:t>
      </w:r>
      <w:r>
        <w:rPr>
          <w:rFonts w:ascii="宋体" w:hAnsi="宋体"/>
          <w:szCs w:val="21"/>
          <w:lang w:bidi="ar"/>
        </w:rPr>
        <w:t>产品资料概要其他信息发生变更的，基金管理人至少每年更新一次。基金终止运作的，基金管理人不再更新招募</w:t>
      </w:r>
      <w:r>
        <w:rPr>
          <w:rFonts w:ascii="宋体" w:hAnsi="宋体"/>
          <w:szCs w:val="21"/>
          <w:lang w:bidi="ar"/>
        </w:rPr>
        <w:t>说明书和基金</w:t>
      </w:r>
      <w:r>
        <w:rPr>
          <w:rFonts w:ascii="宋体" w:hAnsi="宋体" w:hint="eastAsia"/>
          <w:szCs w:val="21"/>
          <w:lang w:bidi="ar"/>
        </w:rPr>
        <w:t>产品</w:t>
      </w:r>
      <w:r>
        <w:rPr>
          <w:rFonts w:ascii="宋体" w:hAnsi="宋体"/>
          <w:szCs w:val="21"/>
          <w:lang w:bidi="ar"/>
        </w:rPr>
        <w:t>资料概要。基金</w:t>
      </w:r>
      <w:r>
        <w:rPr>
          <w:rFonts w:ascii="宋体" w:hAnsi="宋体" w:hint="eastAsia"/>
          <w:szCs w:val="21"/>
          <w:lang w:bidi="ar"/>
        </w:rPr>
        <w:t>管理人</w:t>
      </w:r>
      <w:r>
        <w:rPr>
          <w:rFonts w:ascii="宋体" w:hAnsi="宋体"/>
          <w:szCs w:val="21"/>
          <w:lang w:bidi="ar"/>
        </w:rPr>
        <w:t>应当在每年结束之日起三个月内，编制完成基金年度报告，将年度报告登载在</w:t>
      </w:r>
      <w:r>
        <w:rPr>
          <w:rFonts w:ascii="宋体" w:hAnsi="宋体" w:hint="eastAsia"/>
          <w:szCs w:val="21"/>
          <w:lang w:bidi="ar"/>
        </w:rPr>
        <w:t>规定</w:t>
      </w:r>
      <w:r>
        <w:rPr>
          <w:rFonts w:ascii="宋体" w:hAnsi="宋体"/>
          <w:szCs w:val="21"/>
          <w:lang w:bidi="ar"/>
        </w:rPr>
        <w:t>网站上，并将年度</w:t>
      </w:r>
      <w:r>
        <w:rPr>
          <w:rFonts w:ascii="宋体" w:hAnsi="宋体"/>
          <w:szCs w:val="21"/>
          <w:lang w:bidi="ar"/>
        </w:rPr>
        <w:lastRenderedPageBreak/>
        <w:t>报告提示性公告登载在</w:t>
      </w:r>
      <w:r>
        <w:rPr>
          <w:rFonts w:ascii="宋体" w:hAnsi="宋体" w:hint="eastAsia"/>
          <w:szCs w:val="21"/>
          <w:lang w:bidi="ar"/>
        </w:rPr>
        <w:t>规定</w:t>
      </w:r>
      <w:r>
        <w:rPr>
          <w:rFonts w:ascii="宋体" w:hAnsi="宋体"/>
          <w:szCs w:val="21"/>
          <w:lang w:bidi="ar"/>
        </w:rPr>
        <w:t>报刊上。基金管理人应当在上半年结束之日起两个月内，编制完成基金中期报告，将中期报告登载在</w:t>
      </w:r>
      <w:r>
        <w:rPr>
          <w:rFonts w:ascii="宋体" w:hAnsi="宋体" w:hint="eastAsia"/>
          <w:szCs w:val="21"/>
          <w:lang w:bidi="ar"/>
        </w:rPr>
        <w:t>规定</w:t>
      </w:r>
      <w:r>
        <w:rPr>
          <w:rFonts w:ascii="宋体" w:hAnsi="宋体"/>
          <w:szCs w:val="21"/>
          <w:lang w:bidi="ar"/>
        </w:rPr>
        <w:t>网站上，并将中期报告提示性公告登载在规定报刊上。</w:t>
      </w:r>
      <w:r>
        <w:rPr>
          <w:rFonts w:ascii="宋体" w:hAnsi="宋体" w:hint="eastAsia"/>
          <w:szCs w:val="21"/>
          <w:lang w:bidi="ar"/>
        </w:rPr>
        <w:t>基金管理人</w:t>
      </w:r>
      <w:r>
        <w:rPr>
          <w:rFonts w:ascii="宋体" w:hAnsi="宋体"/>
          <w:szCs w:val="21"/>
          <w:lang w:bidi="ar"/>
        </w:rPr>
        <w:t>应当在季度结束之日起</w:t>
      </w:r>
      <w:r>
        <w:rPr>
          <w:rFonts w:ascii="宋体" w:hAnsi="宋体"/>
          <w:szCs w:val="21"/>
          <w:lang w:bidi="ar"/>
        </w:rPr>
        <w:t>15</w:t>
      </w:r>
      <w:r>
        <w:rPr>
          <w:rFonts w:ascii="宋体" w:hAnsi="宋体"/>
          <w:szCs w:val="21"/>
          <w:lang w:bidi="ar"/>
        </w:rPr>
        <w:t>个工作日内，编制完成</w:t>
      </w:r>
      <w:r>
        <w:rPr>
          <w:rFonts w:ascii="宋体" w:hAnsi="宋体" w:hint="eastAsia"/>
          <w:szCs w:val="21"/>
          <w:lang w:bidi="ar"/>
        </w:rPr>
        <w:t>基金</w:t>
      </w:r>
      <w:r>
        <w:rPr>
          <w:rFonts w:ascii="宋体" w:hAnsi="宋体"/>
          <w:szCs w:val="21"/>
          <w:lang w:bidi="ar"/>
        </w:rPr>
        <w:t>季度报告，将季度报告登载在规定网站上，并将季度报告提示性公告登载在规定报刊上。《</w:t>
      </w:r>
      <w:r>
        <w:rPr>
          <w:rFonts w:ascii="宋体" w:hAnsi="宋体" w:hint="eastAsia"/>
          <w:szCs w:val="21"/>
          <w:lang w:bidi="ar"/>
        </w:rPr>
        <w:t>基金合同》</w:t>
      </w:r>
      <w:r>
        <w:rPr>
          <w:rFonts w:ascii="宋体" w:hAnsi="宋体" w:hint="eastAsia"/>
          <w:color w:val="000000"/>
          <w:szCs w:val="21"/>
          <w:lang w:bidi="ar"/>
        </w:rPr>
        <w:t>生效不足两个月的，基金管理人可以不编制当期季度报告、中期报告</w:t>
      </w:r>
      <w:r>
        <w:rPr>
          <w:rFonts w:ascii="宋体" w:hAnsi="宋体" w:hint="eastAsia"/>
          <w:szCs w:val="21"/>
          <w:lang w:bidi="ar"/>
        </w:rPr>
        <w:t>或者</w:t>
      </w:r>
      <w:r>
        <w:rPr>
          <w:rFonts w:ascii="宋体" w:hAnsi="宋体" w:hint="eastAsia"/>
          <w:color w:val="000000"/>
          <w:szCs w:val="21"/>
          <w:lang w:bidi="ar"/>
        </w:rPr>
        <w:t>年度报告。</w:t>
      </w:r>
    </w:p>
    <w:p w14:paraId="120C13A9" w14:textId="77777777" w:rsidR="00D21308" w:rsidRDefault="00F41C2D">
      <w:pPr>
        <w:autoSpaceDE w:val="0"/>
        <w:autoSpaceDN w:val="0"/>
        <w:spacing w:line="360" w:lineRule="auto"/>
        <w:ind w:firstLineChars="200" w:firstLine="420"/>
        <w:textAlignment w:val="bottom"/>
        <w:rPr>
          <w:rFonts w:ascii="宋体" w:hAnsi="宋体"/>
          <w:szCs w:val="21"/>
          <w:lang w:bidi="ar"/>
        </w:rPr>
      </w:pPr>
      <w:r>
        <w:rPr>
          <w:rFonts w:ascii="宋体" w:hAnsi="宋体" w:hint="eastAsia"/>
          <w:szCs w:val="21"/>
          <w:lang w:bidi="ar"/>
        </w:rPr>
        <w:t>基金</w:t>
      </w:r>
      <w:r>
        <w:rPr>
          <w:rFonts w:ascii="宋体" w:hAnsi="宋体"/>
          <w:szCs w:val="21"/>
        </w:rPr>
        <w:t>管理人应及时完成报表编制，将</w:t>
      </w:r>
      <w:r>
        <w:rPr>
          <w:rFonts w:ascii="宋体" w:hAnsi="宋体" w:hint="eastAsia"/>
          <w:szCs w:val="21"/>
          <w:lang w:bidi="ar"/>
        </w:rPr>
        <w:t>有关</w:t>
      </w:r>
      <w:r>
        <w:rPr>
          <w:rFonts w:ascii="宋体" w:hAnsi="宋体"/>
          <w:szCs w:val="21"/>
        </w:rPr>
        <w:t>报表提供</w:t>
      </w:r>
      <w:r>
        <w:rPr>
          <w:rFonts w:ascii="宋体" w:hAnsi="宋体" w:hint="eastAsia"/>
          <w:szCs w:val="21"/>
        </w:rPr>
        <w:t>给</w:t>
      </w:r>
      <w:r>
        <w:rPr>
          <w:rFonts w:ascii="宋体" w:hAnsi="宋体"/>
          <w:szCs w:val="21"/>
        </w:rPr>
        <w:t>基金托管人复核</w:t>
      </w:r>
      <w:r>
        <w:rPr>
          <w:rFonts w:ascii="宋体" w:hAnsi="宋体" w:hint="eastAsia"/>
          <w:szCs w:val="21"/>
          <w:lang w:bidi="ar"/>
        </w:rPr>
        <w:t>，基金</w:t>
      </w:r>
      <w:r>
        <w:rPr>
          <w:rFonts w:ascii="宋体" w:hAnsi="宋体" w:hint="eastAsia"/>
          <w:szCs w:val="21"/>
        </w:rPr>
        <w:t>托管人在收到后应及时进行复核，并将复核结果书面通知</w:t>
      </w:r>
      <w:r>
        <w:rPr>
          <w:rFonts w:ascii="宋体" w:hAnsi="宋体" w:hint="eastAsia"/>
          <w:szCs w:val="21"/>
          <w:lang w:bidi="ar"/>
        </w:rPr>
        <w:t>基金</w:t>
      </w:r>
      <w:r>
        <w:rPr>
          <w:rFonts w:ascii="宋体" w:hAnsi="宋体" w:hint="eastAsia"/>
          <w:szCs w:val="21"/>
        </w:rPr>
        <w:t>管理人</w:t>
      </w:r>
      <w:r>
        <w:rPr>
          <w:rFonts w:ascii="宋体" w:hAnsi="宋体"/>
          <w:szCs w:val="21"/>
        </w:rPr>
        <w:t>；基金管理人应留足充分的时间，便于</w:t>
      </w:r>
      <w:r>
        <w:rPr>
          <w:rFonts w:ascii="宋体" w:hAnsi="宋体" w:hint="eastAsia"/>
          <w:szCs w:val="21"/>
          <w:lang w:bidi="ar"/>
        </w:rPr>
        <w:t>基金</w:t>
      </w:r>
      <w:r>
        <w:rPr>
          <w:rFonts w:ascii="宋体" w:hAnsi="宋体"/>
          <w:szCs w:val="21"/>
        </w:rPr>
        <w:t>托管人复核相关报表及报告。</w:t>
      </w:r>
      <w:r>
        <w:rPr>
          <w:rFonts w:ascii="宋体" w:hAnsi="宋体" w:hint="eastAsia"/>
          <w:szCs w:val="21"/>
          <w:lang w:bidi="ar"/>
        </w:rPr>
        <w:t>基金</w:t>
      </w:r>
      <w:r>
        <w:rPr>
          <w:rFonts w:ascii="宋体" w:hAnsi="宋体" w:hint="eastAsia"/>
          <w:szCs w:val="21"/>
        </w:rPr>
        <w:t>托管人在复核过程中，发现双方的报表存在不符时，</w:t>
      </w:r>
      <w:r>
        <w:rPr>
          <w:rFonts w:ascii="宋体" w:hAnsi="宋体" w:hint="eastAsia"/>
          <w:szCs w:val="21"/>
          <w:lang w:bidi="ar"/>
        </w:rPr>
        <w:t>基金管理人</w:t>
      </w:r>
      <w:r>
        <w:rPr>
          <w:rFonts w:ascii="宋体" w:hAnsi="宋体" w:hint="eastAsia"/>
          <w:szCs w:val="21"/>
        </w:rPr>
        <w:t>和</w:t>
      </w:r>
      <w:r>
        <w:rPr>
          <w:rFonts w:ascii="宋体" w:hAnsi="宋体" w:hint="eastAsia"/>
          <w:szCs w:val="21"/>
          <w:lang w:bidi="ar"/>
        </w:rPr>
        <w:t>基金</w:t>
      </w:r>
      <w:r>
        <w:rPr>
          <w:rFonts w:ascii="宋体" w:hAnsi="宋体" w:hint="eastAsia"/>
          <w:szCs w:val="21"/>
        </w:rPr>
        <w:t>托管人应共同查明原因，进行调整，调整以双方认可的账务处理方式为准；若双方</w:t>
      </w:r>
      <w:r>
        <w:rPr>
          <w:rFonts w:ascii="宋体" w:hAnsi="宋体" w:hint="eastAsia"/>
          <w:szCs w:val="21"/>
          <w:lang w:bidi="ar"/>
        </w:rPr>
        <w:t>无法达成一致</w:t>
      </w:r>
      <w:r>
        <w:rPr>
          <w:rFonts w:ascii="宋体" w:hAnsi="宋体" w:hint="eastAsia"/>
          <w:szCs w:val="21"/>
        </w:rPr>
        <w:t>以</w:t>
      </w:r>
      <w:r>
        <w:rPr>
          <w:rFonts w:ascii="宋体" w:hAnsi="宋体" w:hint="eastAsia"/>
          <w:szCs w:val="21"/>
          <w:lang w:bidi="ar"/>
        </w:rPr>
        <w:t>基金管理人</w:t>
      </w:r>
      <w:r>
        <w:rPr>
          <w:rFonts w:ascii="宋体" w:hAnsi="宋体" w:hint="eastAsia"/>
          <w:szCs w:val="21"/>
        </w:rPr>
        <w:t>的账务处理</w:t>
      </w:r>
      <w:r>
        <w:rPr>
          <w:rFonts w:ascii="宋体" w:hAnsi="宋体" w:hint="eastAsia"/>
          <w:szCs w:val="21"/>
          <w:lang w:bidi="ar"/>
        </w:rPr>
        <w:t>为准</w:t>
      </w:r>
      <w:r>
        <w:rPr>
          <w:rFonts w:ascii="宋体" w:hAnsi="宋体" w:hint="eastAsia"/>
          <w:szCs w:val="21"/>
        </w:rPr>
        <w:t>。如果基金管理人与基金托管人不能于应当发布公告之日之前就相关报表达成一致，基金管理人有权按照其编制的报表对外发布公告，基金</w:t>
      </w:r>
      <w:r>
        <w:rPr>
          <w:rFonts w:ascii="宋体" w:hAnsi="宋体" w:hint="eastAsia"/>
          <w:szCs w:val="21"/>
          <w:lang w:bidi="ar"/>
        </w:rPr>
        <w:t>托管人</w:t>
      </w:r>
      <w:r>
        <w:rPr>
          <w:rFonts w:ascii="宋体" w:hAnsi="宋体" w:hint="eastAsia"/>
          <w:szCs w:val="21"/>
        </w:rPr>
        <w:t>有权就相关情况报证</w:t>
      </w:r>
      <w:r>
        <w:rPr>
          <w:rFonts w:ascii="宋体" w:hAnsi="宋体" w:hint="eastAsia"/>
          <w:szCs w:val="21"/>
        </w:rPr>
        <w:t>监会备案</w:t>
      </w:r>
      <w:r>
        <w:rPr>
          <w:rFonts w:ascii="宋体" w:hAnsi="宋体" w:hint="eastAsia"/>
          <w:szCs w:val="21"/>
          <w:lang w:bidi="ar"/>
        </w:rPr>
        <w:t>。</w:t>
      </w:r>
    </w:p>
    <w:p w14:paraId="63E91A0F" w14:textId="77777777" w:rsidR="00D21308" w:rsidRDefault="00D21308">
      <w:pPr>
        <w:jc w:val="left"/>
        <w:rPr>
          <w:rFonts w:ascii="宋体" w:hAnsi="宋体"/>
          <w:szCs w:val="21"/>
          <w:lang w:bidi="ar"/>
        </w:rPr>
      </w:pPr>
    </w:p>
    <w:p w14:paraId="4C45116B"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7" w:name="_Toc116900104"/>
      <w:r>
        <w:rPr>
          <w:rFonts w:ascii="宋体" w:hAnsi="宋体" w:cs="宋体" w:hint="eastAsia"/>
          <w:bCs w:val="0"/>
          <w:sz w:val="21"/>
          <w:szCs w:val="21"/>
        </w:rPr>
        <w:t>九、基金收益分配</w:t>
      </w:r>
      <w:bookmarkEnd w:id="7"/>
    </w:p>
    <w:p w14:paraId="464C1F96"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hint="eastAsia"/>
          <w:sz w:val="21"/>
          <w:szCs w:val="21"/>
        </w:rPr>
        <w:t>（一）基金收益分配的依据</w:t>
      </w:r>
    </w:p>
    <w:p w14:paraId="38267F0F"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1</w:t>
      </w:r>
      <w:r>
        <w:rPr>
          <w:rFonts w:ascii="宋体" w:eastAsia="宋体" w:hAnsi="宋体" w:cs="宋体"/>
          <w:sz w:val="21"/>
          <w:szCs w:val="21"/>
        </w:rPr>
        <w:t>、基金收益分配是指将该基金期末可供分配利润根据持有该基金份额的数量按比例向该基金份额持有人进行分配。期末可供分配利润采用期末资产负债表中未分配利润与未分配利润中已实现部分的孰低数。</w:t>
      </w:r>
    </w:p>
    <w:p w14:paraId="0B06776B"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2</w:t>
      </w:r>
      <w:r>
        <w:rPr>
          <w:rFonts w:ascii="宋体" w:eastAsia="宋体" w:hAnsi="宋体" w:cs="宋体"/>
          <w:sz w:val="21"/>
          <w:szCs w:val="21"/>
        </w:rPr>
        <w:t>、收益分配应该符合《基金合同》关于收益分配原则的规定。</w:t>
      </w:r>
    </w:p>
    <w:p w14:paraId="0DA5F45D"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hint="eastAsia"/>
          <w:sz w:val="21"/>
          <w:szCs w:val="21"/>
        </w:rPr>
        <w:t>（二）基金收益分配的时间和程序</w:t>
      </w:r>
    </w:p>
    <w:p w14:paraId="761C1E1B"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1</w:t>
      </w:r>
      <w:r>
        <w:rPr>
          <w:rFonts w:ascii="宋体" w:eastAsia="宋体" w:hAnsi="宋体" w:cs="宋体"/>
          <w:sz w:val="21"/>
          <w:szCs w:val="21"/>
        </w:rPr>
        <w:t>、基金收益分配方案由基金管理人根据《基金合同》的相关规定制定。</w:t>
      </w:r>
    </w:p>
    <w:p w14:paraId="382E5635"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2</w:t>
      </w:r>
      <w:r>
        <w:rPr>
          <w:rFonts w:ascii="宋体" w:eastAsia="宋体" w:hAnsi="宋体" w:cs="宋体"/>
          <w:sz w:val="21"/>
          <w:szCs w:val="21"/>
        </w:rPr>
        <w:t>、基金管理人应于收益分配日之前将其制定的收益分配方案提交基金托管人复核，基金托管人应于收到收益分配方案后完成对收益分配方案的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1B435518"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lastRenderedPageBreak/>
        <w:t>3</w:t>
      </w:r>
      <w:r>
        <w:rPr>
          <w:rFonts w:ascii="宋体" w:eastAsia="宋体" w:hAnsi="宋体" w:cs="宋体"/>
          <w:sz w:val="21"/>
          <w:szCs w:val="21"/>
        </w:rPr>
        <w:t>、</w:t>
      </w:r>
      <w:r>
        <w:rPr>
          <w:rFonts w:ascii="宋体" w:eastAsia="宋体" w:hAnsi="宋体" w:hint="eastAsia"/>
          <w:sz w:val="21"/>
          <w:szCs w:val="21"/>
        </w:rPr>
        <w:t>本</w:t>
      </w:r>
      <w:r>
        <w:rPr>
          <w:rFonts w:ascii="宋体" w:eastAsia="宋体" w:hAnsi="宋体" w:cs="宋体" w:hint="eastAsia"/>
          <w:sz w:val="21"/>
          <w:szCs w:val="21"/>
        </w:rPr>
        <w:t>基金收益分配</w:t>
      </w:r>
      <w:r>
        <w:rPr>
          <w:rFonts w:ascii="宋体" w:eastAsia="宋体" w:hAnsi="宋体" w:hint="eastAsia"/>
          <w:sz w:val="21"/>
          <w:szCs w:val="21"/>
        </w:rPr>
        <w:t>方式分两种：现金分红与红利再投资，投资者可选择</w:t>
      </w:r>
      <w:r>
        <w:rPr>
          <w:rFonts w:ascii="宋体" w:eastAsia="宋体" w:hAnsi="宋体" w:cs="宋体" w:hint="eastAsia"/>
          <w:sz w:val="21"/>
          <w:szCs w:val="21"/>
        </w:rPr>
        <w:t>现金红利</w:t>
      </w:r>
      <w:r>
        <w:rPr>
          <w:rFonts w:ascii="宋体" w:eastAsia="宋体" w:hAnsi="宋体" w:hint="eastAsia"/>
          <w:sz w:val="21"/>
          <w:szCs w:val="21"/>
        </w:rPr>
        <w:t>或</w:t>
      </w:r>
      <w:r>
        <w:rPr>
          <w:rFonts w:ascii="宋体" w:eastAsia="宋体" w:hAnsi="宋体" w:cs="宋体" w:hint="eastAsia"/>
          <w:sz w:val="21"/>
          <w:szCs w:val="21"/>
        </w:rPr>
        <w:t>将现金红利自动转为</w:t>
      </w:r>
      <w:r>
        <w:rPr>
          <w:rFonts w:ascii="宋体" w:eastAsia="宋体" w:hAnsi="宋体" w:hint="eastAsia"/>
          <w:sz w:val="21"/>
          <w:szCs w:val="21"/>
        </w:rPr>
        <w:t>对应类别的</w:t>
      </w:r>
      <w:r>
        <w:rPr>
          <w:rFonts w:ascii="宋体" w:eastAsia="宋体" w:hAnsi="宋体" w:cs="宋体" w:hint="eastAsia"/>
          <w:sz w:val="21"/>
          <w:szCs w:val="21"/>
        </w:rPr>
        <w:t>基金份额进行再投资</w:t>
      </w:r>
      <w:r>
        <w:rPr>
          <w:rFonts w:ascii="宋体" w:eastAsia="宋体" w:hAnsi="宋体" w:hint="eastAsia"/>
          <w:sz w:val="21"/>
          <w:szCs w:val="21"/>
        </w:rPr>
        <w:t>；若</w:t>
      </w:r>
      <w:r>
        <w:rPr>
          <w:rFonts w:ascii="宋体" w:eastAsia="宋体" w:hAnsi="宋体" w:cs="宋体" w:hint="eastAsia"/>
          <w:sz w:val="21"/>
          <w:szCs w:val="21"/>
        </w:rPr>
        <w:t>投资者</w:t>
      </w:r>
      <w:r>
        <w:rPr>
          <w:rFonts w:ascii="宋体" w:eastAsia="宋体" w:hAnsi="宋体" w:hint="eastAsia"/>
          <w:sz w:val="21"/>
          <w:szCs w:val="21"/>
        </w:rPr>
        <w:t>不</w:t>
      </w:r>
      <w:r>
        <w:rPr>
          <w:rFonts w:ascii="宋体" w:eastAsia="宋体" w:hAnsi="宋体" w:cs="宋体" w:hint="eastAsia"/>
          <w:sz w:val="21"/>
          <w:szCs w:val="21"/>
        </w:rPr>
        <w:t>选择，</w:t>
      </w:r>
      <w:r>
        <w:rPr>
          <w:rFonts w:ascii="宋体" w:eastAsia="宋体" w:hAnsi="宋体" w:hint="eastAsia"/>
          <w:sz w:val="21"/>
          <w:szCs w:val="21"/>
        </w:rPr>
        <w:t>本基金默认的收益分配</w:t>
      </w:r>
      <w:r>
        <w:rPr>
          <w:rFonts w:ascii="宋体" w:eastAsia="宋体" w:hAnsi="宋体" w:cs="宋体" w:hint="eastAsia"/>
          <w:sz w:val="21"/>
          <w:szCs w:val="21"/>
        </w:rPr>
        <w:t>方式</w:t>
      </w:r>
      <w:r>
        <w:rPr>
          <w:rFonts w:ascii="宋体" w:eastAsia="宋体" w:hAnsi="宋体" w:hint="eastAsia"/>
          <w:sz w:val="21"/>
          <w:szCs w:val="21"/>
        </w:rPr>
        <w:t>是现金分红</w:t>
      </w:r>
      <w:r>
        <w:rPr>
          <w:rFonts w:ascii="宋体" w:eastAsia="宋体" w:hAnsi="宋体" w:cs="宋体" w:hint="eastAsia"/>
          <w:sz w:val="21"/>
          <w:szCs w:val="21"/>
        </w:rPr>
        <w:t>。</w:t>
      </w:r>
    </w:p>
    <w:p w14:paraId="3830D244"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4</w:t>
      </w:r>
      <w:r>
        <w:rPr>
          <w:rFonts w:ascii="宋体" w:eastAsia="宋体" w:hAnsi="宋体" w:cs="宋体"/>
          <w:sz w:val="21"/>
          <w:szCs w:val="21"/>
        </w:rPr>
        <w:t>、基金托管人根据基金管理人的收益分配方案和提供的现金红利金额的数据，在红利发放日将分红资金划入基金管理人指定账户。如果投资者选择转购基金份额，基金管理人和基金托管人则应当进行红利再投资的账务处理。</w:t>
      </w:r>
    </w:p>
    <w:p w14:paraId="606EE974" w14:textId="77777777" w:rsidR="00D21308" w:rsidRDefault="00F41C2D">
      <w:pPr>
        <w:pStyle w:val="3"/>
        <w:widowControl/>
        <w:spacing w:before="100" w:beforeAutospacing="1" w:after="100" w:afterAutospacing="1" w:line="400" w:lineRule="exact"/>
        <w:ind w:left="0" w:right="26" w:firstLine="403"/>
        <w:rPr>
          <w:rFonts w:ascii="宋体" w:eastAsia="宋体" w:hAnsi="宋体"/>
          <w:sz w:val="21"/>
          <w:szCs w:val="21"/>
        </w:rPr>
      </w:pPr>
      <w:r>
        <w:rPr>
          <w:rFonts w:ascii="宋体" w:eastAsia="宋体" w:hAnsi="宋体" w:cs="宋体"/>
          <w:sz w:val="21"/>
          <w:szCs w:val="21"/>
        </w:rPr>
        <w:t>5</w:t>
      </w:r>
      <w:r>
        <w:rPr>
          <w:rFonts w:ascii="宋体" w:eastAsia="宋体" w:hAnsi="宋体" w:cs="宋体"/>
          <w:sz w:val="21"/>
          <w:szCs w:val="21"/>
        </w:rPr>
        <w:t>、本基金实施侧袋机制的，侧袋账户不进行收益分配</w:t>
      </w:r>
      <w:r>
        <w:rPr>
          <w:rFonts w:ascii="宋体" w:eastAsia="宋体" w:hAnsi="宋体" w:hint="eastAsia"/>
          <w:sz w:val="21"/>
          <w:szCs w:val="21"/>
        </w:rPr>
        <w:t>。</w:t>
      </w:r>
    </w:p>
    <w:p w14:paraId="1A3597F4" w14:textId="77777777" w:rsidR="00D21308" w:rsidRDefault="00D21308">
      <w:pPr>
        <w:pStyle w:val="3"/>
        <w:widowControl/>
        <w:spacing w:before="100" w:beforeAutospacing="1" w:after="100" w:afterAutospacing="1" w:line="400" w:lineRule="exact"/>
        <w:ind w:left="0" w:right="26" w:firstLine="403"/>
        <w:rPr>
          <w:rFonts w:ascii="宋体" w:eastAsia="宋体" w:hAnsi="宋体"/>
          <w:sz w:val="21"/>
          <w:szCs w:val="21"/>
        </w:rPr>
      </w:pPr>
    </w:p>
    <w:p w14:paraId="5A390D4E"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8" w:name="_Hlt82414846"/>
      <w:bookmarkEnd w:id="8"/>
      <w:r>
        <w:rPr>
          <w:rFonts w:ascii="宋体" w:hAnsi="宋体" w:cs="宋体" w:hint="eastAsia"/>
          <w:bCs w:val="0"/>
          <w:sz w:val="21"/>
          <w:szCs w:val="21"/>
        </w:rPr>
        <w:t>十、基金信息披露</w:t>
      </w:r>
    </w:p>
    <w:p w14:paraId="3D1A6B35"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（一）保密义务</w:t>
      </w:r>
    </w:p>
    <w:p w14:paraId="6EF5D56E"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除按照法律法规中关于基金信息披露的有关规定进行披</w:t>
      </w:r>
      <w:r>
        <w:rPr>
          <w:rFonts w:ascii="宋体" w:eastAsia="宋体" w:cs="宋体" w:hint="eastAsia"/>
          <w:sz w:val="21"/>
          <w:szCs w:val="21"/>
        </w:rPr>
        <w:t>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2E59E006"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1</w:t>
      </w:r>
      <w:r>
        <w:rPr>
          <w:rFonts w:ascii="宋体" w:eastAsia="宋体" w:cs="宋体"/>
          <w:sz w:val="21"/>
          <w:szCs w:val="21"/>
        </w:rPr>
        <w:t>、非因基金管理人和基金托管人的原因导致保密信息被披露、泄露或公开；</w:t>
      </w:r>
    </w:p>
    <w:p w14:paraId="43F2C8EE"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2</w:t>
      </w:r>
      <w:r>
        <w:rPr>
          <w:rFonts w:ascii="宋体" w:eastAsia="宋体" w:cs="宋体"/>
          <w:sz w:val="21"/>
          <w:szCs w:val="21"/>
        </w:rPr>
        <w:t>、基金管理人和基金托管人为遵守和服从法院判决、仲裁裁决或中国证监会等监管机构的命令、决定所做出的信息披露或公开；</w:t>
      </w:r>
    </w:p>
    <w:p w14:paraId="4626E1B4"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3</w:t>
      </w:r>
      <w:r>
        <w:rPr>
          <w:rFonts w:ascii="宋体" w:eastAsia="宋体" w:cs="宋体"/>
          <w:sz w:val="21"/>
          <w:szCs w:val="21"/>
        </w:rPr>
        <w:t>、因审计、法律等专业服务向外部专业顾问提供信息，并要求专业顾问遵守</w:t>
      </w:r>
      <w:r>
        <w:rPr>
          <w:rFonts w:ascii="宋体" w:eastAsia="宋体" w:cs="宋体"/>
          <w:sz w:val="21"/>
          <w:szCs w:val="21"/>
        </w:rPr>
        <w:t>保密义务。</w:t>
      </w:r>
    </w:p>
    <w:p w14:paraId="7C040880"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（二）基金管理人和基金托管人在信息披露中的职责和信息披露程序</w:t>
      </w:r>
    </w:p>
    <w:p w14:paraId="0BA4911A"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1</w:t>
      </w:r>
      <w:r>
        <w:rPr>
          <w:rFonts w:ascii="宋体" w:eastAsia="宋体" w:cs="宋体"/>
          <w:sz w:val="21"/>
          <w:szCs w:val="21"/>
        </w:rPr>
        <w:t>、基金管理人和基金托管人应根据相关法律法规、《基金合同》的规定各自承担相应的信息披露职责。</w:t>
      </w:r>
    </w:p>
    <w:p w14:paraId="76DDC15B"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2</w:t>
      </w:r>
      <w:r>
        <w:rPr>
          <w:rFonts w:ascii="宋体" w:eastAsia="宋体" w:cs="宋体"/>
          <w:sz w:val="21"/>
          <w:szCs w:val="21"/>
        </w:rPr>
        <w:t>、本基金信息披露的所有文件，包括《基金合同》和本协议规定的定期报告、临时报告、基金产品资料概要、基金净值信息及其他必要的公告文件，由基金管理人和基金托管人按照有关法律法规的规定予以公布。</w:t>
      </w:r>
    </w:p>
    <w:p w14:paraId="12FB614C"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olor w:val="auto"/>
          <w:sz w:val="21"/>
          <w:szCs w:val="21"/>
        </w:rPr>
        <w:lastRenderedPageBreak/>
        <w:t>3</w:t>
      </w:r>
      <w:r>
        <w:rPr>
          <w:rFonts w:ascii="宋体" w:eastAsia="宋体" w:cs="宋体" w:hint="eastAsia"/>
          <w:sz w:val="21"/>
          <w:szCs w:val="21"/>
        </w:rPr>
        <w:t>、基金年度报告中的财务会计报告必须经符合《中华人民共和国证券法》规定的会计师事务所审计。</w:t>
      </w:r>
    </w:p>
    <w:p w14:paraId="7C665FB6"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olor w:val="auto"/>
          <w:sz w:val="21"/>
          <w:szCs w:val="21"/>
        </w:rPr>
        <w:t>4</w:t>
      </w:r>
      <w:r>
        <w:rPr>
          <w:rFonts w:ascii="宋体" w:eastAsia="宋体" w:cs="宋体" w:hint="eastAsia"/>
          <w:sz w:val="21"/>
          <w:szCs w:val="21"/>
        </w:rPr>
        <w:t>、本基金的信息披露，应通过中国证监会规定的媒介进行；基金管理人、基金托管人可以根据需要在其他公共媒介披露信息，但是其他公共媒介不得早于规定媒介披露信息，并且在不同媒介上披露同一信息的内容应当一致。</w:t>
      </w:r>
    </w:p>
    <w:p w14:paraId="571659C1"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olor w:val="auto"/>
          <w:sz w:val="21"/>
          <w:szCs w:val="21"/>
        </w:rPr>
        <w:t>5</w:t>
      </w:r>
      <w:r>
        <w:rPr>
          <w:rFonts w:ascii="宋体" w:eastAsia="宋体" w:cs="宋体" w:hint="eastAsia"/>
          <w:sz w:val="21"/>
          <w:szCs w:val="21"/>
        </w:rPr>
        <w:t>、信息文本的存放与备查</w:t>
      </w:r>
    </w:p>
    <w:p w14:paraId="41D9923E"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依法必须披露的信息发布后，基金管理人、基金托管人应当按照相关法律法规规定将信息置备于公司住所，供社会公众查阅、复制。</w:t>
      </w:r>
    </w:p>
    <w:p w14:paraId="20BF21BF"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基金管理人和基金托管人应保证文本的内容与所公告的内容完全一致。</w:t>
      </w:r>
    </w:p>
    <w:p w14:paraId="0FFADDD9"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szCs w:val="21"/>
        </w:rPr>
        <w:t>6</w:t>
      </w:r>
      <w:r>
        <w:rPr>
          <w:rFonts w:ascii="宋体" w:hAnsi="宋体" w:cs="宋体" w:hint="eastAsia"/>
          <w:szCs w:val="21"/>
          <w:lang w:bidi="ar"/>
        </w:rPr>
        <w:t>、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14:paraId="72C3EC87"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方正仿宋简体"/>
          <w:szCs w:val="21"/>
        </w:rPr>
        <w:t>7</w:t>
      </w:r>
      <w:r>
        <w:rPr>
          <w:rFonts w:ascii="宋体" w:hAnsi="宋体" w:cs="宋体" w:hint="eastAsia"/>
          <w:szCs w:val="21"/>
          <w:lang w:bidi="ar"/>
        </w:rPr>
        <w:t>、本基金实施侧袋机制的，相关信息披露义务人应当根据法律法规、基金合同的规定进行信息披露</w:t>
      </w:r>
      <w:r>
        <w:rPr>
          <w:rFonts w:ascii="宋体" w:hAnsi="宋体" w:cs="方正仿宋简体" w:hint="eastAsia"/>
          <w:szCs w:val="21"/>
        </w:rPr>
        <w:t>。</w:t>
      </w:r>
    </w:p>
    <w:p w14:paraId="0D7A3837" w14:textId="77777777" w:rsidR="00D21308" w:rsidRDefault="00F41C2D">
      <w:pPr>
        <w:pStyle w:val="a6"/>
        <w:widowControl/>
        <w:spacing w:before="100" w:beforeAutospacing="1" w:after="100" w:afterAutospacing="1"/>
        <w:ind w:firstLineChars="200" w:firstLine="420"/>
        <w:rPr>
          <w:rFonts w:ascii="宋体" w:eastAsia="宋体" w:cs="方正仿宋简体"/>
          <w:sz w:val="21"/>
          <w:szCs w:val="21"/>
        </w:rPr>
      </w:pPr>
      <w:r>
        <w:rPr>
          <w:rFonts w:ascii="宋体" w:eastAsia="宋体" w:cs="宋体" w:hint="eastAsia"/>
          <w:sz w:val="21"/>
          <w:szCs w:val="21"/>
        </w:rPr>
        <w:t>（三）基金托管人报告</w:t>
      </w:r>
    </w:p>
    <w:p w14:paraId="553FBF67" w14:textId="77777777" w:rsidR="00D21308" w:rsidRDefault="00F41C2D">
      <w:pPr>
        <w:pStyle w:val="a6"/>
        <w:widowControl/>
        <w:spacing w:before="100" w:beforeAutospacing="1" w:after="100" w:afterAutospacing="1"/>
        <w:ind w:firstLineChars="200" w:firstLine="420"/>
        <w:rPr>
          <w:rFonts w:ascii="宋体" w:eastAsia="宋体" w:cs="宋体"/>
          <w:sz w:val="21"/>
          <w:szCs w:val="21"/>
        </w:rPr>
      </w:pPr>
      <w:r>
        <w:rPr>
          <w:rFonts w:ascii="宋体" w:eastAsia="宋体" w:cs="宋体" w:hint="eastAsia"/>
          <w:sz w:val="21"/>
          <w:szCs w:val="21"/>
        </w:rPr>
        <w:t>基金托管人应按《基金法》、《运作办法》、《信息披露办法》和其他有关法律法规的规定于每个上半年度结束后两个月内、每个会计年度结束后三个月内在基金中期报告及年度报告中分别出具托管人报告。</w:t>
      </w:r>
    </w:p>
    <w:p w14:paraId="761C0C39" w14:textId="77777777" w:rsidR="00D21308" w:rsidRDefault="00D21308">
      <w:pPr>
        <w:pStyle w:val="a6"/>
        <w:widowControl/>
        <w:spacing w:before="100" w:beforeAutospacing="1" w:after="100" w:afterAutospacing="1"/>
        <w:ind w:firstLineChars="200" w:firstLine="420"/>
        <w:rPr>
          <w:rFonts w:ascii="宋体" w:eastAsia="宋体"/>
          <w:sz w:val="21"/>
          <w:szCs w:val="21"/>
        </w:rPr>
      </w:pPr>
    </w:p>
    <w:p w14:paraId="1F62EE10"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9" w:name="_Toc116900106"/>
      <w:r>
        <w:rPr>
          <w:rFonts w:ascii="宋体" w:hAnsi="宋体" w:cs="宋体" w:hint="eastAsia"/>
          <w:bCs w:val="0"/>
          <w:sz w:val="21"/>
          <w:szCs w:val="21"/>
        </w:rPr>
        <w:t>十一、基金费用</w:t>
      </w:r>
      <w:bookmarkEnd w:id="9"/>
    </w:p>
    <w:p w14:paraId="257311DC" w14:textId="77777777" w:rsidR="00D21308" w:rsidRDefault="00F41C2D">
      <w:pPr>
        <w:spacing w:before="100" w:beforeAutospacing="1" w:after="100" w:afterAutospacing="1" w:line="400" w:lineRule="exact"/>
        <w:ind w:right="26" w:firstLine="403"/>
        <w:rPr>
          <w:rFonts w:ascii="宋体" w:hAnsi="宋体"/>
          <w:szCs w:val="21"/>
        </w:rPr>
      </w:pPr>
      <w:r>
        <w:rPr>
          <w:rFonts w:ascii="宋体" w:hAnsi="宋体" w:cs="宋体" w:hint="eastAsia"/>
          <w:szCs w:val="21"/>
          <w:lang w:bidi="ar"/>
        </w:rPr>
        <w:t>（一）基金管理人的管理费</w:t>
      </w:r>
    </w:p>
    <w:p w14:paraId="36C39A8D" w14:textId="77777777" w:rsidR="00D21308" w:rsidRDefault="00F41C2D">
      <w:pPr>
        <w:autoSpaceDE w:val="0"/>
        <w:autoSpaceDN w:val="0"/>
        <w:spacing w:before="100" w:beforeAutospacing="1" w:after="100" w:afterAutospacing="1" w:line="400" w:lineRule="exact"/>
        <w:ind w:firstLine="420"/>
        <w:textAlignment w:val="bottom"/>
        <w:rPr>
          <w:rFonts w:ascii="宋体" w:hAnsi="宋体"/>
          <w:szCs w:val="21"/>
        </w:rPr>
      </w:pPr>
      <w:r>
        <w:rPr>
          <w:rFonts w:ascii="宋体" w:hAnsi="宋体" w:hint="eastAsia"/>
          <w:szCs w:val="21"/>
        </w:rPr>
        <w:t>本基金基金财产中投资于目标</w:t>
      </w:r>
      <w:r>
        <w:rPr>
          <w:rFonts w:ascii="宋体" w:hAnsi="宋体"/>
          <w:szCs w:val="21"/>
        </w:rPr>
        <w:t>ETF</w:t>
      </w:r>
      <w:r>
        <w:rPr>
          <w:rFonts w:ascii="宋体" w:hAnsi="宋体"/>
          <w:szCs w:val="21"/>
        </w:rPr>
        <w:t>的部分不收取管理费。本</w:t>
      </w:r>
      <w:r>
        <w:rPr>
          <w:rFonts w:ascii="宋体" w:hAnsi="宋体" w:cs="宋体" w:hint="eastAsia"/>
          <w:szCs w:val="21"/>
          <w:lang w:bidi="ar"/>
        </w:rPr>
        <w:t>基金管理费按前一日基金资产净值</w:t>
      </w:r>
      <w:r>
        <w:rPr>
          <w:rFonts w:ascii="宋体" w:hAnsi="宋体" w:hint="eastAsia"/>
          <w:szCs w:val="21"/>
        </w:rPr>
        <w:t>扣除所持有目标</w:t>
      </w:r>
      <w:r>
        <w:rPr>
          <w:rFonts w:ascii="宋体" w:hAnsi="宋体"/>
          <w:szCs w:val="21"/>
        </w:rPr>
        <w:t>ETF</w:t>
      </w:r>
      <w:r>
        <w:rPr>
          <w:rFonts w:ascii="宋体" w:hAnsi="宋体"/>
          <w:szCs w:val="21"/>
        </w:rPr>
        <w:t>基金份额部分的基金资产净值后的余额（若为负数，则取</w:t>
      </w:r>
      <w:r>
        <w:rPr>
          <w:rFonts w:ascii="宋体" w:hAnsi="宋体"/>
          <w:szCs w:val="21"/>
        </w:rPr>
        <w:t>0</w:t>
      </w:r>
      <w:r>
        <w:rPr>
          <w:rFonts w:ascii="宋体" w:hAnsi="宋体"/>
          <w:szCs w:val="21"/>
        </w:rPr>
        <w:t>）的</w:t>
      </w:r>
      <w:r>
        <w:rPr>
          <w:rFonts w:ascii="宋体" w:hAnsi="宋体"/>
          <w:szCs w:val="21"/>
        </w:rPr>
        <w:t>0.50</w:t>
      </w:r>
      <w:r>
        <w:rPr>
          <w:rFonts w:ascii="宋体" w:hAnsi="宋体" w:cs="宋体"/>
          <w:szCs w:val="21"/>
          <w:lang w:bidi="ar"/>
        </w:rPr>
        <w:t>%</w:t>
      </w:r>
      <w:r>
        <w:rPr>
          <w:rFonts w:ascii="宋体" w:hAnsi="宋体" w:cs="宋体"/>
          <w:szCs w:val="21"/>
          <w:lang w:bidi="ar"/>
        </w:rPr>
        <w:t>年费率计提。</w:t>
      </w:r>
      <w:r>
        <w:rPr>
          <w:rFonts w:ascii="宋体" w:hAnsi="宋体" w:hint="eastAsia"/>
          <w:szCs w:val="21"/>
        </w:rPr>
        <w:t>管理费的</w:t>
      </w:r>
      <w:r>
        <w:rPr>
          <w:rFonts w:ascii="宋体" w:hAnsi="宋体" w:cs="宋体" w:hint="eastAsia"/>
          <w:szCs w:val="21"/>
          <w:lang w:bidi="ar"/>
        </w:rPr>
        <w:t>计算方法如下：</w:t>
      </w:r>
    </w:p>
    <w:p w14:paraId="496DD682" w14:textId="77777777" w:rsidR="00D21308" w:rsidRDefault="00F41C2D">
      <w:pPr>
        <w:autoSpaceDE w:val="0"/>
        <w:autoSpaceDN w:val="0"/>
        <w:spacing w:before="100" w:beforeAutospacing="1" w:after="100" w:afterAutospacing="1" w:line="400" w:lineRule="exact"/>
        <w:ind w:firstLine="420"/>
        <w:textAlignment w:val="bottom"/>
        <w:rPr>
          <w:rFonts w:ascii="宋体" w:hAnsi="宋体" w:cs="宋体"/>
          <w:szCs w:val="21"/>
          <w:lang w:bidi="ar"/>
        </w:rPr>
      </w:pPr>
      <w:r>
        <w:rPr>
          <w:rFonts w:ascii="宋体" w:hAnsi="宋体" w:cs="宋体"/>
          <w:szCs w:val="21"/>
          <w:lang w:bidi="ar"/>
        </w:rPr>
        <w:t>H</w:t>
      </w:r>
      <w:r>
        <w:rPr>
          <w:rFonts w:ascii="宋体" w:hAnsi="宋体" w:cs="宋体" w:hint="eastAsia"/>
          <w:szCs w:val="21"/>
          <w:lang w:bidi="ar"/>
        </w:rPr>
        <w:t>＝</w:t>
      </w:r>
      <w:r>
        <w:rPr>
          <w:rFonts w:ascii="宋体" w:hAnsi="宋体" w:cs="宋体"/>
          <w:szCs w:val="21"/>
          <w:lang w:bidi="ar"/>
        </w:rPr>
        <w:t>E</w:t>
      </w:r>
      <w:r>
        <w:rPr>
          <w:rFonts w:ascii="宋体" w:hAnsi="宋体" w:cs="宋体" w:hint="eastAsia"/>
          <w:szCs w:val="21"/>
          <w:lang w:bidi="ar"/>
        </w:rPr>
        <w:t>×</w:t>
      </w:r>
      <w:r>
        <w:rPr>
          <w:rFonts w:ascii="宋体" w:hAnsi="宋体" w:cs="宋体"/>
          <w:szCs w:val="21"/>
          <w:lang w:bidi="ar"/>
        </w:rPr>
        <w:t>0.50%÷</w:t>
      </w:r>
      <w:r>
        <w:rPr>
          <w:rFonts w:ascii="宋体" w:hAnsi="宋体" w:cs="宋体"/>
          <w:szCs w:val="21"/>
          <w:lang w:bidi="ar"/>
        </w:rPr>
        <w:t>当年天数</w:t>
      </w:r>
    </w:p>
    <w:p w14:paraId="699F5D5C" w14:textId="77777777" w:rsidR="00D21308" w:rsidRDefault="00F41C2D">
      <w:pPr>
        <w:autoSpaceDE w:val="0"/>
        <w:autoSpaceDN w:val="0"/>
        <w:spacing w:before="100" w:beforeAutospacing="1" w:after="100" w:afterAutospacing="1" w:line="400" w:lineRule="exact"/>
        <w:ind w:firstLine="420"/>
        <w:textAlignment w:val="bottom"/>
        <w:rPr>
          <w:rFonts w:ascii="宋体" w:hAnsi="宋体" w:cs="宋体"/>
          <w:szCs w:val="21"/>
          <w:lang w:bidi="ar"/>
        </w:rPr>
      </w:pPr>
      <w:r>
        <w:rPr>
          <w:rFonts w:ascii="宋体" w:hAnsi="宋体" w:cs="宋体"/>
          <w:szCs w:val="21"/>
          <w:lang w:bidi="ar"/>
        </w:rPr>
        <w:lastRenderedPageBreak/>
        <w:t>H</w:t>
      </w:r>
      <w:r>
        <w:rPr>
          <w:rFonts w:ascii="宋体" w:hAnsi="宋体" w:cs="宋体" w:hint="eastAsia"/>
          <w:szCs w:val="21"/>
          <w:lang w:bidi="ar"/>
        </w:rPr>
        <w:t>为每日应计提的基金管理费</w:t>
      </w:r>
    </w:p>
    <w:p w14:paraId="74F2639A" w14:textId="77777777" w:rsidR="00D21308" w:rsidRDefault="00F41C2D">
      <w:pPr>
        <w:autoSpaceDE w:val="0"/>
        <w:autoSpaceDN w:val="0"/>
        <w:spacing w:before="100" w:beforeAutospacing="1" w:after="100" w:afterAutospacing="1" w:line="400" w:lineRule="exact"/>
        <w:ind w:firstLine="420"/>
        <w:textAlignment w:val="bottom"/>
        <w:rPr>
          <w:rFonts w:ascii="宋体" w:hAnsi="宋体" w:cs="宋体"/>
          <w:szCs w:val="21"/>
          <w:lang w:bidi="ar"/>
        </w:rPr>
      </w:pPr>
      <w:r>
        <w:rPr>
          <w:rFonts w:ascii="宋体" w:hAnsi="宋体" w:cs="宋体"/>
          <w:szCs w:val="21"/>
          <w:lang w:bidi="ar"/>
        </w:rPr>
        <w:t>E</w:t>
      </w:r>
      <w:r>
        <w:rPr>
          <w:rFonts w:ascii="宋体" w:hAnsi="宋体" w:cs="宋体" w:hint="eastAsia"/>
          <w:szCs w:val="21"/>
          <w:lang w:bidi="ar"/>
        </w:rPr>
        <w:t>为前一日的基金资产净值－前一日所持有目标</w:t>
      </w:r>
      <w:r>
        <w:rPr>
          <w:rFonts w:ascii="宋体" w:hAnsi="宋体" w:cs="宋体"/>
          <w:szCs w:val="21"/>
          <w:lang w:bidi="ar"/>
        </w:rPr>
        <w:t>ETF</w:t>
      </w:r>
      <w:r>
        <w:rPr>
          <w:rFonts w:ascii="宋体" w:hAnsi="宋体" w:cs="宋体"/>
          <w:szCs w:val="21"/>
          <w:lang w:bidi="ar"/>
        </w:rPr>
        <w:t>基金份额部分的</w:t>
      </w:r>
      <w:r>
        <w:rPr>
          <w:rFonts w:ascii="宋体" w:hAnsi="宋体" w:cs="宋体" w:hint="eastAsia"/>
          <w:szCs w:val="21"/>
          <w:lang w:bidi="ar"/>
        </w:rPr>
        <w:t>基金资产净值，若为负数，则</w:t>
      </w:r>
      <w:r>
        <w:rPr>
          <w:rFonts w:ascii="宋体" w:hAnsi="宋体" w:cs="宋体"/>
          <w:szCs w:val="21"/>
          <w:lang w:bidi="ar"/>
        </w:rPr>
        <w:t>E</w:t>
      </w:r>
      <w:r>
        <w:rPr>
          <w:rFonts w:ascii="宋体" w:hAnsi="宋体" w:cs="宋体"/>
          <w:szCs w:val="21"/>
          <w:lang w:bidi="ar"/>
        </w:rPr>
        <w:t>取</w:t>
      </w:r>
      <w:r>
        <w:rPr>
          <w:rFonts w:ascii="宋体" w:hAnsi="宋体" w:cs="宋体"/>
          <w:szCs w:val="21"/>
          <w:lang w:bidi="ar"/>
        </w:rPr>
        <w:t>0</w:t>
      </w:r>
    </w:p>
    <w:p w14:paraId="655C66D6" w14:textId="77777777" w:rsidR="00D21308" w:rsidRDefault="00F41C2D">
      <w:pPr>
        <w:autoSpaceDE w:val="0"/>
        <w:autoSpaceDN w:val="0"/>
        <w:spacing w:before="100" w:beforeAutospacing="1" w:after="100" w:afterAutospacing="1" w:line="400" w:lineRule="exact"/>
        <w:ind w:firstLine="420"/>
        <w:textAlignment w:val="bottom"/>
        <w:rPr>
          <w:rFonts w:ascii="宋体" w:hAnsi="宋体"/>
          <w:szCs w:val="21"/>
        </w:rPr>
      </w:pPr>
      <w:r>
        <w:rPr>
          <w:rFonts w:ascii="宋体" w:hAnsi="宋体" w:cs="宋体" w:hint="eastAsia"/>
          <w:szCs w:val="21"/>
          <w:lang w:bidi="ar"/>
        </w:rPr>
        <w:t>基金管理费每日计提，逐日累计至</w:t>
      </w:r>
      <w:r>
        <w:rPr>
          <w:rFonts w:ascii="宋体" w:hAnsi="宋体" w:hint="eastAsia"/>
          <w:szCs w:val="21"/>
        </w:rPr>
        <w:t>每月</w:t>
      </w:r>
      <w:r>
        <w:rPr>
          <w:rFonts w:ascii="宋体" w:hAnsi="宋体" w:cs="宋体" w:hint="eastAsia"/>
          <w:szCs w:val="21"/>
          <w:lang w:bidi="ar"/>
        </w:rPr>
        <w:t>月末，按月支付。由基金托管人根据与基金管理人核对一致的财务数据，</w:t>
      </w:r>
      <w:r>
        <w:rPr>
          <w:rFonts w:ascii="宋体" w:hAnsi="宋体" w:hint="eastAsia"/>
          <w:szCs w:val="21"/>
        </w:rPr>
        <w:t>按照与基金管理人协商一致的方式在月初</w:t>
      </w:r>
      <w:r>
        <w:rPr>
          <w:rFonts w:ascii="宋体" w:hAnsi="宋体"/>
          <w:szCs w:val="21"/>
        </w:rPr>
        <w:t>5</w:t>
      </w:r>
      <w:r>
        <w:rPr>
          <w:rFonts w:ascii="宋体" w:hAnsi="宋体" w:cs="宋体" w:hint="eastAsia"/>
          <w:szCs w:val="21"/>
          <w:lang w:bidi="ar"/>
        </w:rPr>
        <w:t>个工作日内、按照指定的账户路径进行资金支付</w:t>
      </w:r>
      <w:r>
        <w:rPr>
          <w:rFonts w:ascii="宋体" w:hAnsi="宋体" w:hint="eastAsia"/>
          <w:szCs w:val="21"/>
        </w:rPr>
        <w:t>。若遇法定节假日、公休日等，支付日期顺延</w:t>
      </w:r>
      <w:r>
        <w:rPr>
          <w:rFonts w:ascii="宋体" w:hAnsi="宋体" w:cs="宋体" w:hint="eastAsia"/>
          <w:szCs w:val="21"/>
          <w:lang w:bidi="ar"/>
        </w:rPr>
        <w:t>。</w:t>
      </w:r>
    </w:p>
    <w:p w14:paraId="63340A42" w14:textId="77777777" w:rsidR="00D21308" w:rsidRDefault="00F41C2D">
      <w:pPr>
        <w:autoSpaceDE w:val="0"/>
        <w:autoSpaceDN w:val="0"/>
        <w:spacing w:before="100" w:beforeAutospacing="1" w:after="100" w:afterAutospacing="1" w:line="400" w:lineRule="exact"/>
        <w:ind w:firstLine="538"/>
        <w:textAlignment w:val="bottom"/>
        <w:rPr>
          <w:rFonts w:ascii="宋体" w:hAnsi="Times New Roman"/>
          <w:szCs w:val="21"/>
        </w:rPr>
      </w:pPr>
      <w:r>
        <w:rPr>
          <w:rFonts w:ascii="宋体" w:hAnsi="宋体" w:cs="宋体" w:hint="eastAsia"/>
          <w:szCs w:val="21"/>
          <w:lang w:bidi="ar"/>
        </w:rPr>
        <w:t>（二）基金托管人的托管费</w:t>
      </w:r>
    </w:p>
    <w:p w14:paraId="0A5609AA"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hint="eastAsia"/>
          <w:szCs w:val="21"/>
          <w:lang w:bidi="ar"/>
        </w:rPr>
        <w:t>本基金基金财产中投资于目标</w:t>
      </w:r>
      <w:r>
        <w:rPr>
          <w:rFonts w:ascii="宋体" w:hAnsi="宋体" w:cs="宋体"/>
          <w:szCs w:val="21"/>
          <w:lang w:bidi="ar"/>
        </w:rPr>
        <w:t>ETF</w:t>
      </w:r>
      <w:r>
        <w:rPr>
          <w:rFonts w:ascii="宋体" w:hAnsi="宋体" w:cs="宋体"/>
          <w:szCs w:val="21"/>
          <w:lang w:bidi="ar"/>
        </w:rPr>
        <w:t>的部分不收取托管费。本基金</w:t>
      </w:r>
      <w:r>
        <w:rPr>
          <w:rFonts w:ascii="宋体" w:hAnsi="宋体" w:cs="宋体" w:hint="eastAsia"/>
          <w:szCs w:val="21"/>
          <w:lang w:bidi="ar"/>
        </w:rPr>
        <w:t>托管费按前一日基金资产净值扣除所持有目标</w:t>
      </w:r>
      <w:r>
        <w:rPr>
          <w:rFonts w:ascii="宋体" w:hAnsi="宋体" w:cs="宋体"/>
          <w:szCs w:val="21"/>
          <w:lang w:bidi="ar"/>
        </w:rPr>
        <w:t>ETF</w:t>
      </w:r>
      <w:r>
        <w:rPr>
          <w:rFonts w:ascii="宋体" w:hAnsi="宋体" w:cs="宋体"/>
          <w:szCs w:val="21"/>
          <w:lang w:bidi="ar"/>
        </w:rPr>
        <w:t>基金份额部分的基金资产净值后的余额（若为负数，则取</w:t>
      </w:r>
      <w:r>
        <w:rPr>
          <w:rFonts w:ascii="宋体" w:hAnsi="宋体" w:cs="宋体"/>
          <w:szCs w:val="21"/>
          <w:lang w:bidi="ar"/>
        </w:rPr>
        <w:t>0</w:t>
      </w:r>
      <w:r>
        <w:rPr>
          <w:rFonts w:ascii="宋体" w:hAnsi="宋体" w:cs="宋体"/>
          <w:szCs w:val="21"/>
          <w:lang w:bidi="ar"/>
        </w:rPr>
        <w:t>）的</w:t>
      </w:r>
      <w:r>
        <w:rPr>
          <w:rFonts w:ascii="宋体" w:hAnsi="宋体" w:cs="宋体"/>
          <w:szCs w:val="21"/>
          <w:lang w:bidi="ar"/>
        </w:rPr>
        <w:t>0.10%</w:t>
      </w:r>
      <w:r>
        <w:rPr>
          <w:rFonts w:ascii="宋体" w:hAnsi="宋体" w:cs="宋体"/>
          <w:szCs w:val="21"/>
          <w:lang w:bidi="ar"/>
        </w:rPr>
        <w:t>的</w:t>
      </w:r>
      <w:r>
        <w:rPr>
          <w:rFonts w:ascii="宋体" w:hAnsi="宋体" w:cs="宋体" w:hint="eastAsia"/>
          <w:szCs w:val="21"/>
          <w:lang w:bidi="ar"/>
        </w:rPr>
        <w:t>年费率计提。托管费的计算方法如下：</w:t>
      </w:r>
    </w:p>
    <w:p w14:paraId="153B4BDE"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H</w:t>
      </w:r>
      <w:r>
        <w:rPr>
          <w:rFonts w:ascii="宋体" w:hAnsi="宋体" w:cs="宋体" w:hint="eastAsia"/>
          <w:szCs w:val="21"/>
          <w:lang w:bidi="ar"/>
        </w:rPr>
        <w:t>＝</w:t>
      </w:r>
      <w:r>
        <w:rPr>
          <w:rFonts w:ascii="宋体" w:hAnsi="宋体" w:cs="宋体"/>
          <w:szCs w:val="21"/>
          <w:lang w:bidi="ar"/>
        </w:rPr>
        <w:t>E×0.10%÷</w:t>
      </w:r>
      <w:r>
        <w:rPr>
          <w:rFonts w:ascii="宋体" w:hAnsi="宋体" w:cs="宋体"/>
          <w:szCs w:val="21"/>
          <w:lang w:bidi="ar"/>
        </w:rPr>
        <w:t>当年天数</w:t>
      </w:r>
    </w:p>
    <w:p w14:paraId="563CDAFB"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H</w:t>
      </w:r>
      <w:r>
        <w:rPr>
          <w:rFonts w:ascii="宋体" w:hAnsi="宋体" w:cs="宋体" w:hint="eastAsia"/>
          <w:szCs w:val="21"/>
          <w:lang w:bidi="ar"/>
        </w:rPr>
        <w:t>为每日应计提的基金托管费</w:t>
      </w:r>
    </w:p>
    <w:p w14:paraId="4768EA81"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E</w:t>
      </w:r>
      <w:r>
        <w:rPr>
          <w:rFonts w:ascii="宋体" w:hAnsi="宋体" w:cs="宋体" w:hint="eastAsia"/>
          <w:szCs w:val="21"/>
          <w:lang w:bidi="ar"/>
        </w:rPr>
        <w:t>为前一日的基金资产净值－前一日所持有目标</w:t>
      </w:r>
      <w:r>
        <w:rPr>
          <w:rFonts w:ascii="宋体" w:hAnsi="宋体" w:cs="宋体"/>
          <w:szCs w:val="21"/>
          <w:lang w:bidi="ar"/>
        </w:rPr>
        <w:t>ETF</w:t>
      </w:r>
      <w:r>
        <w:rPr>
          <w:rFonts w:ascii="宋体" w:hAnsi="宋体" w:cs="宋体"/>
          <w:szCs w:val="21"/>
          <w:lang w:bidi="ar"/>
        </w:rPr>
        <w:t>基金份额部分的基金资产净值，若为负数，则</w:t>
      </w:r>
      <w:r>
        <w:rPr>
          <w:rFonts w:ascii="宋体" w:hAnsi="宋体" w:cs="宋体"/>
          <w:szCs w:val="21"/>
          <w:lang w:bidi="ar"/>
        </w:rPr>
        <w:t>E</w:t>
      </w:r>
      <w:r>
        <w:rPr>
          <w:rFonts w:ascii="宋体" w:hAnsi="宋体" w:cs="宋体"/>
          <w:szCs w:val="21"/>
          <w:lang w:bidi="ar"/>
        </w:rPr>
        <w:t>取</w:t>
      </w:r>
      <w:r>
        <w:rPr>
          <w:rFonts w:ascii="宋体" w:hAnsi="宋体" w:cs="宋体"/>
          <w:szCs w:val="21"/>
          <w:lang w:bidi="ar"/>
        </w:rPr>
        <w:t>0</w:t>
      </w:r>
    </w:p>
    <w:p w14:paraId="670A62D9" w14:textId="77777777" w:rsidR="00D21308" w:rsidRDefault="00F41C2D">
      <w:pPr>
        <w:spacing w:line="360" w:lineRule="auto"/>
        <w:ind w:firstLine="538"/>
        <w:rPr>
          <w:rFonts w:ascii="宋体" w:hAnsi="宋体"/>
          <w:szCs w:val="21"/>
        </w:rPr>
      </w:pPr>
      <w:r>
        <w:rPr>
          <w:rFonts w:ascii="宋体" w:hAnsi="宋体" w:cs="宋体" w:hint="eastAsia"/>
          <w:szCs w:val="21"/>
          <w:lang w:bidi="ar"/>
        </w:rPr>
        <w:t>基金托管费每日计提，逐日累计至</w:t>
      </w:r>
      <w:r>
        <w:rPr>
          <w:rFonts w:ascii="宋体" w:hAnsi="宋体" w:hint="eastAsia"/>
          <w:szCs w:val="21"/>
        </w:rPr>
        <w:t>每月</w:t>
      </w:r>
      <w:r>
        <w:rPr>
          <w:rFonts w:ascii="宋体" w:hAnsi="宋体" w:cs="宋体" w:hint="eastAsia"/>
          <w:szCs w:val="21"/>
          <w:lang w:bidi="ar"/>
        </w:rPr>
        <w:t>月末，按月支付。由基金托管人根据与基金管理人核对一致的财务数据，</w:t>
      </w:r>
      <w:r>
        <w:rPr>
          <w:rFonts w:ascii="宋体" w:hAnsi="宋体" w:hint="eastAsia"/>
          <w:szCs w:val="21"/>
        </w:rPr>
        <w:t>按照与基金管理人协商一致的方式在月初</w:t>
      </w:r>
      <w:r>
        <w:rPr>
          <w:rFonts w:ascii="宋体" w:hAnsi="宋体"/>
          <w:szCs w:val="21"/>
        </w:rPr>
        <w:t>5</w:t>
      </w:r>
      <w:r>
        <w:rPr>
          <w:rFonts w:ascii="宋体" w:hAnsi="宋体" w:cs="宋体" w:hint="eastAsia"/>
          <w:szCs w:val="21"/>
          <w:lang w:bidi="ar"/>
        </w:rPr>
        <w:t>个工作日内、按照指定的账户路径进行资金支付</w:t>
      </w:r>
      <w:r>
        <w:rPr>
          <w:rFonts w:ascii="宋体" w:hAnsi="宋体" w:hint="eastAsia"/>
          <w:szCs w:val="21"/>
        </w:rPr>
        <w:t>。若遇法定节假日、公休日等，支付日期顺延。</w:t>
      </w:r>
    </w:p>
    <w:p w14:paraId="6BA5145A" w14:textId="77777777" w:rsidR="00D21308" w:rsidRDefault="00F41C2D">
      <w:pPr>
        <w:spacing w:line="360" w:lineRule="auto"/>
        <w:ind w:firstLine="420"/>
        <w:rPr>
          <w:rFonts w:ascii="宋体"/>
          <w:szCs w:val="21"/>
        </w:rPr>
      </w:pPr>
      <w:r>
        <w:rPr>
          <w:rFonts w:ascii="宋体" w:hint="eastAsia"/>
          <w:szCs w:val="21"/>
        </w:rPr>
        <w:t>（三）销售服务费</w:t>
      </w:r>
    </w:p>
    <w:p w14:paraId="1EE06481" w14:textId="77777777" w:rsidR="00D21308" w:rsidRDefault="00F41C2D">
      <w:pPr>
        <w:spacing w:line="360" w:lineRule="auto"/>
        <w:ind w:firstLine="420"/>
        <w:rPr>
          <w:rFonts w:ascii="宋体"/>
          <w:szCs w:val="21"/>
        </w:rPr>
      </w:pPr>
      <w:r>
        <w:rPr>
          <w:rFonts w:ascii="宋体" w:hint="eastAsia"/>
          <w:szCs w:val="21"/>
        </w:rPr>
        <w:t>本</w:t>
      </w:r>
      <w:r>
        <w:rPr>
          <w:rFonts w:ascii="宋体" w:hAnsi="宋体" w:cs="宋体" w:hint="eastAsia"/>
          <w:szCs w:val="21"/>
          <w:lang w:bidi="ar"/>
        </w:rPr>
        <w:t>基金</w:t>
      </w:r>
      <w:r>
        <w:rPr>
          <w:rFonts w:ascii="宋体" w:hint="eastAsia"/>
          <w:szCs w:val="21"/>
        </w:rPr>
        <w:t>A</w:t>
      </w:r>
      <w:r>
        <w:rPr>
          <w:rFonts w:ascii="宋体" w:hint="eastAsia"/>
          <w:szCs w:val="21"/>
        </w:rPr>
        <w:t>类基金份额不收取销售服务费，</w:t>
      </w:r>
      <w:r>
        <w:rPr>
          <w:rFonts w:ascii="宋体" w:hint="eastAsia"/>
          <w:szCs w:val="21"/>
        </w:rPr>
        <w:t>C</w:t>
      </w:r>
      <w:r>
        <w:rPr>
          <w:rFonts w:ascii="宋体" w:hint="eastAsia"/>
          <w:szCs w:val="21"/>
        </w:rPr>
        <w:t>类基金份额的销售服务费按前一日</w:t>
      </w:r>
      <w:r>
        <w:rPr>
          <w:rFonts w:ascii="宋体" w:hint="eastAsia"/>
          <w:szCs w:val="21"/>
        </w:rPr>
        <w:t>C</w:t>
      </w:r>
      <w:r>
        <w:rPr>
          <w:rFonts w:ascii="宋体" w:hint="eastAsia"/>
          <w:szCs w:val="21"/>
        </w:rPr>
        <w:t>类基金份额资产净值的</w:t>
      </w:r>
      <w:r>
        <w:rPr>
          <w:rFonts w:ascii="宋体" w:hint="eastAsia"/>
          <w:szCs w:val="21"/>
        </w:rPr>
        <w:t>0.</w:t>
      </w:r>
      <w:r>
        <w:rPr>
          <w:rFonts w:ascii="宋体"/>
          <w:szCs w:val="21"/>
        </w:rPr>
        <w:t>2</w:t>
      </w:r>
      <w:r>
        <w:rPr>
          <w:rFonts w:ascii="宋体" w:hint="eastAsia"/>
          <w:szCs w:val="21"/>
        </w:rPr>
        <w:t>0%</w:t>
      </w:r>
      <w:r>
        <w:rPr>
          <w:rFonts w:ascii="宋体" w:hint="eastAsia"/>
          <w:szCs w:val="21"/>
        </w:rPr>
        <w:t>年费率计提。计算方法如下：</w:t>
      </w:r>
    </w:p>
    <w:p w14:paraId="34C59354"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H</w:t>
      </w:r>
      <w:r>
        <w:rPr>
          <w:rFonts w:ascii="宋体" w:hAnsi="宋体" w:cs="宋体" w:hint="eastAsia"/>
          <w:szCs w:val="21"/>
          <w:lang w:bidi="ar"/>
        </w:rPr>
        <w:t>＝</w:t>
      </w:r>
      <w:r>
        <w:rPr>
          <w:rFonts w:ascii="宋体" w:hAnsi="宋体" w:cs="宋体"/>
          <w:szCs w:val="21"/>
          <w:lang w:bidi="ar"/>
        </w:rPr>
        <w:t>E</w:t>
      </w:r>
      <w:r>
        <w:rPr>
          <w:rFonts w:ascii="宋体" w:hAnsi="宋体" w:cs="宋体" w:hint="eastAsia"/>
          <w:szCs w:val="21"/>
          <w:lang w:bidi="ar"/>
        </w:rPr>
        <w:t>×</w:t>
      </w:r>
      <w:r>
        <w:rPr>
          <w:rFonts w:ascii="宋体" w:hAnsi="宋体" w:cs="宋体"/>
          <w:szCs w:val="21"/>
          <w:lang w:bidi="ar"/>
        </w:rPr>
        <w:t>0.20%</w:t>
      </w:r>
      <w:r>
        <w:rPr>
          <w:rFonts w:ascii="宋体" w:hAnsi="宋体" w:cs="宋体" w:hint="eastAsia"/>
          <w:szCs w:val="21"/>
          <w:lang w:bidi="ar"/>
        </w:rPr>
        <w:t>÷当年天数</w:t>
      </w:r>
    </w:p>
    <w:p w14:paraId="2A5B192A"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H</w:t>
      </w:r>
      <w:r>
        <w:rPr>
          <w:rFonts w:ascii="宋体" w:hAnsi="宋体" w:cs="宋体" w:hint="eastAsia"/>
          <w:szCs w:val="21"/>
          <w:lang w:bidi="ar"/>
        </w:rPr>
        <w:t>为</w:t>
      </w:r>
      <w:r>
        <w:rPr>
          <w:rFonts w:ascii="宋体" w:hAnsi="宋体" w:cs="宋体"/>
          <w:szCs w:val="21"/>
          <w:lang w:bidi="ar"/>
        </w:rPr>
        <w:t>C</w:t>
      </w:r>
      <w:r>
        <w:rPr>
          <w:rFonts w:ascii="宋体" w:hAnsi="宋体" w:cs="宋体" w:hint="eastAsia"/>
          <w:szCs w:val="21"/>
          <w:lang w:bidi="ar"/>
        </w:rPr>
        <w:t>类基金份额每日应计提的销售服务费</w:t>
      </w:r>
    </w:p>
    <w:p w14:paraId="1564AEF2"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szCs w:val="21"/>
          <w:lang w:bidi="ar"/>
        </w:rPr>
        <w:t>E</w:t>
      </w:r>
      <w:r>
        <w:rPr>
          <w:rFonts w:ascii="宋体" w:hAnsi="宋体" w:cs="宋体" w:hint="eastAsia"/>
          <w:szCs w:val="21"/>
          <w:lang w:bidi="ar"/>
        </w:rPr>
        <w:t>为</w:t>
      </w:r>
      <w:r>
        <w:rPr>
          <w:rFonts w:ascii="宋体" w:hAnsi="宋体" w:cs="宋体"/>
          <w:szCs w:val="21"/>
          <w:lang w:bidi="ar"/>
        </w:rPr>
        <w:t>C</w:t>
      </w:r>
      <w:r>
        <w:rPr>
          <w:rFonts w:ascii="宋体" w:hAnsi="宋体" w:cs="宋体" w:hint="eastAsia"/>
          <w:szCs w:val="21"/>
          <w:lang w:bidi="ar"/>
        </w:rPr>
        <w:t>类基金份额前一日基金资产净值</w:t>
      </w:r>
    </w:p>
    <w:p w14:paraId="1F6785DD" w14:textId="77777777" w:rsidR="00D21308" w:rsidRDefault="00F41C2D">
      <w:pPr>
        <w:spacing w:before="100" w:beforeAutospacing="1" w:after="100" w:afterAutospacing="1" w:line="400" w:lineRule="exact"/>
        <w:ind w:firstLine="420"/>
        <w:rPr>
          <w:rFonts w:ascii="宋体" w:hAnsi="宋体" w:cs="宋体"/>
          <w:szCs w:val="21"/>
          <w:lang w:bidi="ar"/>
        </w:rPr>
      </w:pPr>
      <w:r>
        <w:rPr>
          <w:rFonts w:ascii="宋体" w:hAnsi="宋体" w:cs="宋体" w:hint="eastAsia"/>
          <w:szCs w:val="21"/>
          <w:lang w:bidi="ar"/>
        </w:rPr>
        <w:t>销售服务费每日计提。</w:t>
      </w:r>
    </w:p>
    <w:p w14:paraId="1D0B2CFC" w14:textId="77777777" w:rsidR="00D21308" w:rsidRDefault="00F41C2D">
      <w:pPr>
        <w:spacing w:line="360" w:lineRule="auto"/>
        <w:ind w:firstLine="420"/>
        <w:rPr>
          <w:rFonts w:ascii="宋体"/>
          <w:szCs w:val="21"/>
        </w:rPr>
      </w:pPr>
      <w:r>
        <w:rPr>
          <w:rFonts w:ascii="宋体" w:hint="eastAsia"/>
          <w:szCs w:val="21"/>
        </w:rPr>
        <w:lastRenderedPageBreak/>
        <w:t>（</w:t>
      </w:r>
      <w:r>
        <w:rPr>
          <w:rFonts w:ascii="宋体" w:hint="eastAsia"/>
          <w:szCs w:val="21"/>
        </w:rPr>
        <w:t>1</w:t>
      </w:r>
      <w:r>
        <w:rPr>
          <w:rFonts w:ascii="宋体" w:hint="eastAsia"/>
          <w:szCs w:val="21"/>
        </w:rPr>
        <w:t>）直销机构：</w:t>
      </w:r>
    </w:p>
    <w:p w14:paraId="04D782E9" w14:textId="77777777" w:rsidR="00D21308" w:rsidRDefault="00F41C2D">
      <w:pPr>
        <w:spacing w:line="360" w:lineRule="auto"/>
        <w:ind w:firstLine="420"/>
        <w:rPr>
          <w:rFonts w:ascii="宋体"/>
          <w:szCs w:val="21"/>
        </w:rPr>
      </w:pPr>
      <w:r>
        <w:rPr>
          <w:rFonts w:ascii="宋体" w:hint="eastAsia"/>
          <w:szCs w:val="21"/>
        </w:rPr>
        <w:t>对于投资者通过直销机构持有的</w:t>
      </w:r>
      <w:r>
        <w:rPr>
          <w:rFonts w:ascii="宋体" w:hint="eastAsia"/>
          <w:szCs w:val="21"/>
        </w:rPr>
        <w:t>C</w:t>
      </w:r>
      <w:r>
        <w:rPr>
          <w:rFonts w:ascii="宋体" w:hint="eastAsia"/>
          <w:szCs w:val="21"/>
        </w:rPr>
        <w:t>类基金份额计提的销售服务费，在投资者赎回</w:t>
      </w:r>
      <w:r>
        <w:rPr>
          <w:rFonts w:ascii="宋体" w:hint="eastAsia"/>
          <w:szCs w:val="21"/>
        </w:rPr>
        <w:t>C</w:t>
      </w:r>
      <w:r>
        <w:rPr>
          <w:rFonts w:ascii="宋体" w:hint="eastAsia"/>
          <w:szCs w:val="21"/>
        </w:rPr>
        <w:t>类基金份额或基金合同终止时，随赎回款（或清算款）一并返还给投资者。</w:t>
      </w:r>
    </w:p>
    <w:p w14:paraId="356FB21B" w14:textId="77777777" w:rsidR="00D21308" w:rsidRDefault="00F41C2D">
      <w:pPr>
        <w:spacing w:line="360" w:lineRule="auto"/>
        <w:ind w:firstLine="420"/>
        <w:rPr>
          <w:rFonts w:ascii="宋体"/>
          <w:szCs w:val="21"/>
        </w:rPr>
      </w:pPr>
      <w:r>
        <w:rPr>
          <w:rFonts w:ascii="宋体" w:hint="eastAsia"/>
          <w:szCs w:val="21"/>
        </w:rPr>
        <w:t>基金</w:t>
      </w:r>
      <w:r>
        <w:rPr>
          <w:rFonts w:ascii="宋体" w:hAnsi="宋体" w:cs="宋体" w:hint="eastAsia"/>
          <w:szCs w:val="21"/>
          <w:lang w:bidi="ar"/>
        </w:rPr>
        <w:t>管理人</w:t>
      </w:r>
      <w:r>
        <w:rPr>
          <w:rFonts w:ascii="宋体" w:hint="eastAsia"/>
          <w:szCs w:val="21"/>
        </w:rPr>
        <w:t>基金销售子公司销售母公司所管理基金的，按照本条要求执行。</w:t>
      </w:r>
    </w:p>
    <w:p w14:paraId="3B5B496B" w14:textId="77777777" w:rsidR="00D21308" w:rsidRDefault="00F41C2D">
      <w:pPr>
        <w:spacing w:line="360" w:lineRule="auto"/>
        <w:ind w:firstLine="420"/>
        <w:rPr>
          <w:rFonts w:ascii="宋体"/>
          <w:szCs w:val="21"/>
        </w:rPr>
      </w:pPr>
      <w:r>
        <w:rPr>
          <w:rFonts w:ascii="宋体" w:hint="eastAsia"/>
          <w:szCs w:val="21"/>
        </w:rPr>
        <w:t>（</w:t>
      </w:r>
      <w:r>
        <w:rPr>
          <w:rFonts w:ascii="宋体" w:hint="eastAsia"/>
          <w:szCs w:val="21"/>
        </w:rPr>
        <w:t>2</w:t>
      </w:r>
      <w:r>
        <w:rPr>
          <w:rFonts w:ascii="宋体" w:hint="eastAsia"/>
          <w:szCs w:val="21"/>
        </w:rPr>
        <w:t>）直销机构以外的其他销售机构：</w:t>
      </w:r>
    </w:p>
    <w:p w14:paraId="5FF9BFDC" w14:textId="77777777" w:rsidR="00D21308" w:rsidRDefault="00F41C2D">
      <w:pPr>
        <w:spacing w:line="360" w:lineRule="auto"/>
        <w:ind w:firstLine="420"/>
        <w:rPr>
          <w:rFonts w:ascii="宋体"/>
          <w:szCs w:val="21"/>
        </w:rPr>
      </w:pPr>
      <w:r>
        <w:rPr>
          <w:rFonts w:ascii="宋体" w:hint="eastAsia"/>
          <w:szCs w:val="21"/>
        </w:rPr>
        <w:t>对于投资者持续持有期限未超过一年（即</w:t>
      </w:r>
      <w:r>
        <w:rPr>
          <w:rFonts w:ascii="宋体" w:hint="eastAsia"/>
          <w:szCs w:val="21"/>
        </w:rPr>
        <w:t>365</w:t>
      </w:r>
      <w:r>
        <w:rPr>
          <w:rFonts w:ascii="宋体" w:hint="eastAsia"/>
          <w:szCs w:val="21"/>
        </w:rPr>
        <w:t>天，下同）的基金份额收取的销售服务费，逐日累计至每月月末，按月支付，基金托管人按照与基金管理人协商一致的方式于次月首日起</w:t>
      </w:r>
      <w:r>
        <w:rPr>
          <w:rFonts w:ascii="宋体" w:hint="eastAsia"/>
          <w:szCs w:val="21"/>
        </w:rPr>
        <w:t>5</w:t>
      </w:r>
      <w:r>
        <w:rPr>
          <w:rFonts w:ascii="宋体" w:hint="eastAsia"/>
          <w:szCs w:val="21"/>
        </w:rPr>
        <w:t>个工作日内从基金财产中一次性支付。若遇法定节假日、公休日或不可抗力等，支付日期顺延。</w:t>
      </w:r>
    </w:p>
    <w:p w14:paraId="3C117B0A" w14:textId="77777777" w:rsidR="00D21308" w:rsidRDefault="00F41C2D">
      <w:pPr>
        <w:spacing w:line="360" w:lineRule="auto"/>
        <w:ind w:firstLine="420"/>
        <w:rPr>
          <w:rFonts w:ascii="宋体"/>
          <w:szCs w:val="21"/>
        </w:rPr>
      </w:pPr>
      <w:r>
        <w:rPr>
          <w:rFonts w:ascii="宋体" w:hint="eastAsia"/>
          <w:szCs w:val="21"/>
        </w:rPr>
        <w:t>对于持续持有期限</w:t>
      </w:r>
      <w:r>
        <w:rPr>
          <w:rFonts w:ascii="宋体" w:hint="eastAsia"/>
          <w:szCs w:val="21"/>
        </w:rPr>
        <w:t>超过一年的基金份额，持有超过一年后继续计提的销售服务费，在投资者赎回基金份额或基金合同终止时，随赎回款（或清算款）一并返还给投资者。</w:t>
      </w:r>
    </w:p>
    <w:p w14:paraId="4CBD3FA7" w14:textId="77777777" w:rsidR="00D21308" w:rsidRPr="00604423" w:rsidRDefault="00F41C2D" w:rsidP="00604423">
      <w:pPr>
        <w:spacing w:line="360" w:lineRule="auto"/>
        <w:ind w:firstLine="420"/>
        <w:rPr>
          <w:rFonts w:ascii="宋体"/>
          <w:szCs w:val="21"/>
        </w:rPr>
      </w:pPr>
      <w:r w:rsidRPr="00604423">
        <w:rPr>
          <w:rFonts w:ascii="宋体" w:hint="eastAsia"/>
          <w:szCs w:val="21"/>
        </w:rPr>
        <w:t>销售服务费计提后按规定收取或返还投资者的金额以登记机构的计算结果为准，基金托管人无需复核</w:t>
      </w:r>
      <w:r>
        <w:rPr>
          <w:rFonts w:ascii="宋体" w:hint="eastAsia"/>
          <w:szCs w:val="21"/>
        </w:rPr>
        <w:t>。</w:t>
      </w:r>
    </w:p>
    <w:p w14:paraId="58DA8456" w14:textId="77777777" w:rsidR="00D21308" w:rsidRDefault="00F41C2D">
      <w:pPr>
        <w:autoSpaceDE w:val="0"/>
        <w:autoSpaceDN w:val="0"/>
        <w:spacing w:before="100" w:beforeAutospacing="1" w:after="100" w:afterAutospacing="1" w:line="400" w:lineRule="exact"/>
        <w:ind w:firstLine="538"/>
        <w:textAlignment w:val="bottom"/>
        <w:rPr>
          <w:rFonts w:ascii="宋体" w:hAnsi="Times New Roman"/>
          <w:szCs w:val="21"/>
        </w:rPr>
      </w:pPr>
      <w:r>
        <w:rPr>
          <w:rFonts w:ascii="宋体" w:hAnsi="宋体" w:cs="宋体" w:hint="eastAsia"/>
          <w:szCs w:val="21"/>
          <w:lang w:bidi="ar"/>
        </w:rPr>
        <w:t>（</w:t>
      </w:r>
      <w:r>
        <w:rPr>
          <w:rFonts w:ascii="宋体" w:hint="eastAsia"/>
          <w:szCs w:val="21"/>
        </w:rPr>
        <w:t>四</w:t>
      </w:r>
      <w:r>
        <w:rPr>
          <w:rFonts w:ascii="宋体" w:hAnsi="宋体" w:cs="宋体" w:hint="eastAsia"/>
          <w:szCs w:val="21"/>
          <w:lang w:bidi="ar"/>
        </w:rPr>
        <w:t>）从基金财产中列支基金管理人的管理费、基金托管人的托管费</w:t>
      </w:r>
      <w:r>
        <w:rPr>
          <w:rFonts w:ascii="宋体" w:hint="eastAsia"/>
        </w:rPr>
        <w:t>、销售服务费</w:t>
      </w:r>
      <w:r>
        <w:rPr>
          <w:rFonts w:ascii="宋体" w:hAnsi="宋体" w:cs="宋体" w:hint="eastAsia"/>
          <w:szCs w:val="21"/>
          <w:lang w:bidi="ar"/>
        </w:rPr>
        <w:t>之外的其他基金费用，应当依据有关法律法规、《基金合同》的规定执行。本基金实施侧袋机制的，与侧袋账户有关的费用可以从侧袋账户中列支，但应待侧袋账户资产变现后方可列支，有关费用可酌情收取或减免，但不得收取管理费。</w:t>
      </w:r>
    </w:p>
    <w:p w14:paraId="4B9DD7B3"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w:t>
      </w:r>
      <w:r>
        <w:rPr>
          <w:rFonts w:ascii="宋体" w:eastAsia="宋体" w:hint="eastAsia"/>
          <w:color w:val="auto"/>
          <w:sz w:val="21"/>
          <w:szCs w:val="21"/>
        </w:rPr>
        <w:t>五</w:t>
      </w:r>
      <w:r>
        <w:rPr>
          <w:rFonts w:ascii="宋体" w:eastAsia="宋体" w:cs="宋体" w:hint="eastAsia"/>
          <w:sz w:val="21"/>
          <w:szCs w:val="21"/>
        </w:rPr>
        <w:t>）对于违反法律法规、《基金合同》、本协议及其他有关规定（包括基金费用的计提方法、计提标准、支付方式等）的基金费用，不得从任何基金财产中列支。</w:t>
      </w:r>
    </w:p>
    <w:p w14:paraId="238B5462"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hint="eastAsia"/>
          <w:sz w:val="21"/>
          <w:szCs w:val="21"/>
        </w:rPr>
        <w:t>（</w:t>
      </w:r>
      <w:r>
        <w:rPr>
          <w:rFonts w:ascii="宋体" w:eastAsia="宋体" w:hint="eastAsia"/>
          <w:color w:val="auto"/>
          <w:sz w:val="21"/>
          <w:szCs w:val="21"/>
        </w:rPr>
        <w:t>六</w:t>
      </w:r>
      <w:r>
        <w:rPr>
          <w:rFonts w:ascii="宋体" w:eastAsia="宋体" w:cs="宋体" w:hint="eastAsia"/>
          <w:sz w:val="21"/>
          <w:szCs w:val="21"/>
        </w:rPr>
        <w:t>）本基金支付给基金管理人、基金托管人的各项费用均为含税价格，具体税率适用中国税务机关的相关规定。</w:t>
      </w:r>
    </w:p>
    <w:p w14:paraId="44967823" w14:textId="77777777" w:rsidR="00D21308" w:rsidRDefault="00D21308">
      <w:pPr>
        <w:pStyle w:val="a6"/>
        <w:widowControl/>
        <w:spacing w:before="100" w:beforeAutospacing="1" w:after="100" w:afterAutospacing="1"/>
        <w:ind w:firstLine="403"/>
        <w:rPr>
          <w:rFonts w:ascii="宋体" w:eastAsia="宋体" w:cs="宋体"/>
          <w:sz w:val="21"/>
          <w:szCs w:val="21"/>
        </w:rPr>
      </w:pPr>
    </w:p>
    <w:p w14:paraId="2BB898B3" w14:textId="77777777" w:rsidR="00D21308" w:rsidRPr="00604423" w:rsidRDefault="00F41C2D">
      <w:pPr>
        <w:pStyle w:val="1"/>
        <w:widowControl/>
        <w:spacing w:before="100" w:beforeAutospacing="1" w:after="100" w:afterAutospacing="1" w:line="400" w:lineRule="exact"/>
        <w:ind w:firstLine="422"/>
        <w:rPr>
          <w:rFonts w:ascii="宋体" w:hAnsi="宋体"/>
          <w:bCs w:val="0"/>
          <w:sz w:val="21"/>
          <w:szCs w:val="21"/>
        </w:rPr>
      </w:pPr>
      <w:bookmarkStart w:id="10" w:name="_Toc116900107"/>
      <w:bookmarkEnd w:id="10"/>
      <w:r>
        <w:rPr>
          <w:rFonts w:ascii="宋体" w:hAnsi="宋体" w:cs="宋体" w:hint="eastAsia"/>
          <w:bCs w:val="0"/>
          <w:sz w:val="21"/>
          <w:szCs w:val="21"/>
        </w:rPr>
        <w:t>十二、基金份额持有人名册的保管</w:t>
      </w:r>
    </w:p>
    <w:p w14:paraId="0C20AFFC" w14:textId="77777777" w:rsidR="00D21308" w:rsidRDefault="00F41C2D">
      <w:pPr>
        <w:spacing w:before="100" w:beforeAutospacing="1" w:after="100" w:afterAutospacing="1" w:line="400" w:lineRule="exact"/>
        <w:ind w:firstLineChars="200" w:firstLine="420"/>
        <w:rPr>
          <w:rFonts w:ascii="宋体" w:hAnsi="宋体"/>
          <w:color w:val="000000"/>
          <w:szCs w:val="21"/>
        </w:rPr>
      </w:pPr>
      <w:r>
        <w:rPr>
          <w:rFonts w:ascii="宋体" w:hAnsi="宋体" w:cs="宋体" w:hint="eastAsia"/>
          <w:szCs w:val="21"/>
          <w:lang w:bidi="ar"/>
        </w:rPr>
        <w:t>基金份额持有人名册至少应包括基金份额持有人的名称和持有的基金份额。基金份额持有人名册由基金登记机构根据基金管理人的指令编制和保管，基金管理人和基金托管人</w:t>
      </w:r>
      <w:r>
        <w:rPr>
          <w:rFonts w:ascii="宋体" w:hAnsi="宋体" w:cs="宋体" w:hint="eastAsia"/>
          <w:color w:val="000000"/>
          <w:szCs w:val="21"/>
          <w:lang w:bidi="ar"/>
        </w:rPr>
        <w:t>应分别保管基金份额持有人名册，基金登记机构保存期不少于</w:t>
      </w:r>
      <w:r>
        <w:rPr>
          <w:rFonts w:ascii="宋体" w:hAnsi="宋体" w:cs="宋体"/>
          <w:color w:val="000000"/>
          <w:szCs w:val="21"/>
          <w:lang w:bidi="ar"/>
        </w:rPr>
        <w:t>20</w:t>
      </w:r>
      <w:r>
        <w:rPr>
          <w:rFonts w:ascii="宋体" w:hAnsi="宋体" w:cs="宋体"/>
          <w:color w:val="000000"/>
          <w:szCs w:val="21"/>
          <w:lang w:bidi="ar"/>
        </w:rPr>
        <w:t>年，法律法规另有规定或有权机关另有要求的除外。如不能妥善保管，则按相关法规承担责任。</w:t>
      </w:r>
    </w:p>
    <w:p w14:paraId="72E0E331" w14:textId="77777777" w:rsidR="00D21308" w:rsidRDefault="00F41C2D">
      <w:pPr>
        <w:spacing w:before="100" w:beforeAutospacing="1" w:after="100" w:afterAutospacing="1" w:line="400" w:lineRule="exact"/>
        <w:ind w:firstLineChars="200" w:firstLine="420"/>
        <w:rPr>
          <w:rFonts w:ascii="宋体" w:hAnsi="宋体" w:cs="宋体"/>
          <w:color w:val="000000"/>
          <w:szCs w:val="21"/>
          <w:lang w:bidi="ar"/>
        </w:rPr>
      </w:pPr>
      <w:r>
        <w:rPr>
          <w:rFonts w:ascii="宋体" w:hAnsi="宋体" w:cs="宋体" w:hint="eastAsia"/>
          <w:color w:val="000000"/>
          <w:szCs w:val="21"/>
          <w:lang w:bidi="ar"/>
        </w:rPr>
        <w:lastRenderedPageBreak/>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3436FD0F" w14:textId="77777777" w:rsidR="00D21308" w:rsidRDefault="00D21308">
      <w:pPr>
        <w:pStyle w:val="a0"/>
      </w:pPr>
    </w:p>
    <w:p w14:paraId="2115BBA7"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r>
        <w:rPr>
          <w:rFonts w:ascii="宋体" w:hAnsi="宋体" w:cs="宋体" w:hint="eastAsia"/>
          <w:bCs w:val="0"/>
          <w:sz w:val="21"/>
          <w:szCs w:val="21"/>
        </w:rPr>
        <w:t>十三、基金有关文件档案的保存</w:t>
      </w:r>
    </w:p>
    <w:p w14:paraId="09C16CDB"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（一）基金管理人应保存基金财产管理业务活动的记录、账册、报表和其他相关资料，基金托管人应保存基金托管业务活动的记录、账册、报表和其他相关资料，保存期限不少于</w:t>
      </w:r>
      <w:r>
        <w:rPr>
          <w:rFonts w:ascii="宋体" w:eastAsia="宋体" w:cs="宋体" w:hint="eastAsia"/>
          <w:sz w:val="21"/>
          <w:szCs w:val="21"/>
        </w:rPr>
        <w:t>法律法规规定的期限。</w:t>
      </w:r>
    </w:p>
    <w:p w14:paraId="32E407CC"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（二）基金管理人和基金托管人应按本协议第十条的约定对各自保存的文件和档案履行保密义务。</w:t>
      </w:r>
    </w:p>
    <w:p w14:paraId="5A01647E" w14:textId="77777777" w:rsidR="00D21308" w:rsidRDefault="00D21308">
      <w:pPr>
        <w:spacing w:before="100" w:beforeAutospacing="1" w:after="100" w:afterAutospacing="1" w:line="400" w:lineRule="exact"/>
        <w:rPr>
          <w:rFonts w:ascii="宋体" w:hAnsi="宋体"/>
          <w:szCs w:val="21"/>
        </w:rPr>
      </w:pPr>
    </w:p>
    <w:p w14:paraId="768CD0F2"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r>
        <w:rPr>
          <w:rFonts w:ascii="宋体" w:hAnsi="宋体" w:cs="宋体" w:hint="eastAsia"/>
          <w:bCs w:val="0"/>
          <w:sz w:val="21"/>
          <w:szCs w:val="21"/>
        </w:rPr>
        <w:t>十四、</w:t>
      </w:r>
      <w:bookmarkStart w:id="11" w:name="_Toc116900108"/>
      <w:bookmarkEnd w:id="11"/>
      <w:r>
        <w:rPr>
          <w:rFonts w:ascii="宋体" w:hAnsi="宋体" w:cs="宋体" w:hint="eastAsia"/>
          <w:bCs w:val="0"/>
          <w:sz w:val="21"/>
          <w:szCs w:val="21"/>
        </w:rPr>
        <w:t>基金托管人和基金管理人的更换</w:t>
      </w:r>
      <w:r>
        <w:rPr>
          <w:rFonts w:ascii="宋体" w:hAnsi="宋体"/>
          <w:bCs w:val="0"/>
          <w:sz w:val="21"/>
          <w:szCs w:val="21"/>
        </w:rPr>
        <w:t xml:space="preserve"> </w:t>
      </w:r>
    </w:p>
    <w:p w14:paraId="0070CC08" w14:textId="77777777" w:rsidR="00D21308" w:rsidRDefault="00F41C2D">
      <w:pPr>
        <w:spacing w:before="100" w:beforeAutospacing="1" w:after="100" w:afterAutospacing="1" w:line="400" w:lineRule="exact"/>
        <w:ind w:firstLine="420"/>
        <w:rPr>
          <w:rFonts w:ascii="宋体" w:hAnsi="宋体"/>
          <w:kern w:val="0"/>
          <w:szCs w:val="21"/>
        </w:rPr>
      </w:pPr>
      <w:r>
        <w:rPr>
          <w:rFonts w:ascii="宋体" w:hAnsi="宋体" w:cs="宋体" w:hint="eastAsia"/>
          <w:szCs w:val="21"/>
          <w:lang w:bidi="ar"/>
        </w:rPr>
        <w:t>（一）</w:t>
      </w:r>
      <w:r>
        <w:rPr>
          <w:rFonts w:ascii="宋体" w:hAnsi="宋体" w:cs="宋体" w:hint="eastAsia"/>
          <w:kern w:val="0"/>
          <w:szCs w:val="21"/>
          <w:lang w:bidi="ar"/>
        </w:rPr>
        <w:t>基金管理人职责终止后，仍应妥善保管基金管理业务资料，并与新任基金管理人或临时基金管理人及时办理基金管理业务的移交手续。基金托管人应给予积极配合，并与新任基金管理人或临时基金管理人核对基金资产总值和净值。</w:t>
      </w:r>
    </w:p>
    <w:p w14:paraId="4F87094F" w14:textId="77777777" w:rsidR="00D21308" w:rsidRDefault="00F41C2D">
      <w:pPr>
        <w:spacing w:before="100" w:beforeAutospacing="1" w:after="100" w:afterAutospacing="1" w:line="400" w:lineRule="exact"/>
        <w:ind w:firstLine="420"/>
        <w:rPr>
          <w:rFonts w:ascii="宋体" w:hAnsi="宋体"/>
          <w:kern w:val="0"/>
          <w:szCs w:val="21"/>
        </w:rPr>
      </w:pPr>
      <w:r>
        <w:rPr>
          <w:rFonts w:ascii="宋体" w:hAnsi="宋体" w:cs="宋体" w:hint="eastAsia"/>
          <w:szCs w:val="21"/>
          <w:lang w:bidi="ar"/>
        </w:rPr>
        <w:t>（二）</w:t>
      </w:r>
      <w:r>
        <w:rPr>
          <w:rFonts w:ascii="宋体" w:hAnsi="宋体" w:cs="宋体" w:hint="eastAsia"/>
          <w:kern w:val="0"/>
          <w:szCs w:val="21"/>
          <w:lang w:bidi="ar"/>
        </w:rPr>
        <w:t>基金托管人职责终止后，仍应妥善保管基金财产和基金托管业务资料，并与新任基金托管人或临时基金托管人及时办理基金财产和基金托管业务的移交手续。基金管理人应给予积极配合，并与新任基金托管人或临时基金托管人核对基金资产总值和净值。</w:t>
      </w:r>
    </w:p>
    <w:p w14:paraId="10CF6906" w14:textId="77777777" w:rsidR="00D21308" w:rsidRDefault="00F41C2D">
      <w:pPr>
        <w:spacing w:before="100" w:beforeAutospacing="1" w:after="100" w:afterAutospacing="1" w:line="400" w:lineRule="exact"/>
        <w:ind w:firstLineChars="200" w:firstLine="420"/>
        <w:rPr>
          <w:rFonts w:ascii="宋体" w:hAnsi="宋体"/>
          <w:szCs w:val="21"/>
          <w:lang w:bidi="ar"/>
        </w:rPr>
      </w:pPr>
      <w:r>
        <w:rPr>
          <w:rFonts w:ascii="宋体" w:hAnsi="宋体" w:cs="宋体" w:hint="eastAsia"/>
          <w:kern w:val="0"/>
          <w:szCs w:val="21"/>
          <w:lang w:bidi="ar"/>
        </w:rPr>
        <w:t>（三）其他事宜见《基金合同》的相关约定</w:t>
      </w:r>
      <w:r>
        <w:rPr>
          <w:rFonts w:ascii="宋体" w:hAnsi="宋体" w:hint="eastAsia"/>
        </w:rPr>
        <w:t>。</w:t>
      </w:r>
    </w:p>
    <w:p w14:paraId="29BD3864" w14:textId="77777777" w:rsidR="00D21308" w:rsidRDefault="00D21308">
      <w:pPr>
        <w:pStyle w:val="a0"/>
      </w:pPr>
    </w:p>
    <w:p w14:paraId="77B56AC6"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12" w:name="_Toc116900110"/>
      <w:r>
        <w:rPr>
          <w:rFonts w:ascii="宋体" w:hAnsi="宋体" w:cs="宋体" w:hint="eastAsia"/>
          <w:bCs w:val="0"/>
          <w:sz w:val="21"/>
          <w:szCs w:val="21"/>
        </w:rPr>
        <w:t>十五、禁止行为</w:t>
      </w:r>
      <w:bookmarkEnd w:id="12"/>
    </w:p>
    <w:p w14:paraId="28FD2EED"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（一）《基金法》第二十条、第三十八条禁止的行为。</w:t>
      </w:r>
    </w:p>
    <w:p w14:paraId="2370E063"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（二）《基金法》第七十三条禁止的投资或活动。</w:t>
      </w:r>
    </w:p>
    <w:p w14:paraId="628049B1"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（三）除根据基金管理人的指令或《基金合同》、本协议另有规定外，基金托管人不得动用或处分基金财产。</w:t>
      </w:r>
    </w:p>
    <w:p w14:paraId="014624D2"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lastRenderedPageBreak/>
        <w:t>（四）基金管理人、基金托管人的高级管理人员和其他从业人员不得相互兼职。</w:t>
      </w:r>
    </w:p>
    <w:p w14:paraId="01E3D21A"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（五）法律法规、《基金合同》和本协议禁止的其他行为。</w:t>
      </w:r>
    </w:p>
    <w:p w14:paraId="1C66FB9B"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hint="eastAsia"/>
          <w:sz w:val="21"/>
          <w:szCs w:val="21"/>
        </w:rPr>
        <w:t>法律法规或监管部门调整上述限制的，本基金从其规定。</w:t>
      </w:r>
    </w:p>
    <w:p w14:paraId="2AF0093C" w14:textId="77777777" w:rsidR="00D21308" w:rsidRDefault="00D21308">
      <w:pPr>
        <w:pStyle w:val="a6"/>
        <w:widowControl/>
        <w:spacing w:before="100" w:beforeAutospacing="1" w:after="100" w:afterAutospacing="1"/>
        <w:ind w:firstLine="403"/>
        <w:rPr>
          <w:rFonts w:ascii="宋体" w:eastAsia="宋体" w:cs="宋体"/>
          <w:sz w:val="21"/>
          <w:szCs w:val="21"/>
        </w:rPr>
      </w:pPr>
    </w:p>
    <w:p w14:paraId="2ED58E32"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13" w:name="_Toc116900111"/>
      <w:r>
        <w:rPr>
          <w:rFonts w:ascii="宋体" w:hAnsi="宋体" w:cs="宋体" w:hint="eastAsia"/>
          <w:bCs w:val="0"/>
          <w:sz w:val="21"/>
          <w:szCs w:val="21"/>
        </w:rPr>
        <w:t>十六、托管协议的变更、终止与基金财产的清算</w:t>
      </w:r>
      <w:bookmarkEnd w:id="13"/>
    </w:p>
    <w:p w14:paraId="314340F5"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（一）托管协议的变更</w:t>
      </w:r>
    </w:p>
    <w:p w14:paraId="58432D69"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本协议双方当事人经协商一致，可以对协议进行变更。变更后的新协议，其内容不得与《基金合同》的规定有任何冲突。</w:t>
      </w:r>
    </w:p>
    <w:p w14:paraId="3C22CB2B"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（二）托管协议的终止</w:t>
      </w:r>
    </w:p>
    <w:p w14:paraId="4DAA33DA"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发生以下情况，本托管协议应当终止：</w:t>
      </w:r>
    </w:p>
    <w:p w14:paraId="6FD20362"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1</w:t>
      </w:r>
      <w:r>
        <w:rPr>
          <w:rFonts w:ascii="宋体" w:eastAsia="宋体" w:cs="宋体"/>
          <w:sz w:val="21"/>
          <w:szCs w:val="21"/>
        </w:rPr>
        <w:t>、《基金合同》终止；</w:t>
      </w:r>
    </w:p>
    <w:p w14:paraId="6027E3D7"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2</w:t>
      </w:r>
      <w:r>
        <w:rPr>
          <w:rFonts w:ascii="宋体" w:eastAsia="宋体" w:cs="宋体"/>
          <w:sz w:val="21"/>
          <w:szCs w:val="21"/>
        </w:rPr>
        <w:t>、本基金更换基金托管人；</w:t>
      </w:r>
    </w:p>
    <w:p w14:paraId="123E8676"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3</w:t>
      </w:r>
      <w:r>
        <w:rPr>
          <w:rFonts w:ascii="宋体" w:eastAsia="宋体" w:cs="宋体"/>
          <w:sz w:val="21"/>
          <w:szCs w:val="21"/>
        </w:rPr>
        <w:t>、本基金更换基金管理人；</w:t>
      </w:r>
    </w:p>
    <w:p w14:paraId="0634DDDC"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Pr>
          <w:rFonts w:ascii="宋体" w:eastAsia="宋体" w:cs="宋体"/>
          <w:sz w:val="21"/>
          <w:szCs w:val="21"/>
        </w:rPr>
        <w:t>4</w:t>
      </w:r>
      <w:r>
        <w:rPr>
          <w:rFonts w:ascii="宋体" w:eastAsia="宋体" w:cs="宋体"/>
          <w:sz w:val="21"/>
          <w:szCs w:val="21"/>
        </w:rPr>
        <w:t>、</w:t>
      </w:r>
      <w:r w:rsidRPr="00604423">
        <w:rPr>
          <w:rFonts w:ascii="宋体" w:eastAsia="宋体" w:cs="宋体" w:hint="eastAsia"/>
          <w:sz w:val="21"/>
          <w:szCs w:val="21"/>
        </w:rPr>
        <w:t xml:space="preserve"> </w:t>
      </w:r>
      <w:r w:rsidRPr="00604423">
        <w:rPr>
          <w:rFonts w:ascii="宋体" w:eastAsia="宋体" w:cs="宋体" w:hint="eastAsia"/>
          <w:sz w:val="21"/>
          <w:szCs w:val="21"/>
        </w:rPr>
        <w:t>基金管理人、基金销售机构不得借助基金托管人的品牌、声誉开展不当营销宣传。若基金管理人、基金销售机构借助基金托管人的品牌、声誉开展不当营销宣传的，基金托管人有权督促其立即纠正。基金管理人、基金销售机构经基金托管人书面通知后未在</w:t>
      </w:r>
      <w:r w:rsidRPr="00604423">
        <w:rPr>
          <w:rFonts w:ascii="宋体" w:eastAsia="宋体" w:cs="宋体" w:hint="eastAsia"/>
          <w:sz w:val="21"/>
          <w:szCs w:val="21"/>
        </w:rPr>
        <w:t>5</w:t>
      </w:r>
      <w:r w:rsidRPr="00604423">
        <w:rPr>
          <w:rFonts w:ascii="宋体" w:eastAsia="宋体" w:cs="宋体" w:hint="eastAsia"/>
          <w:sz w:val="21"/>
          <w:szCs w:val="21"/>
        </w:rPr>
        <w:t>个工作日内完成整改的，基金托管人有权单方终止业务合作，并由不当营销宣传的基金管理人或基金销售机承担由此产生的一切费用及法律责任。自基金托管人向基金管理人、基金销售机构送达书面终止通知之日起，本协议终止。</w:t>
      </w:r>
    </w:p>
    <w:p w14:paraId="467CC721"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5</w:t>
      </w:r>
      <w:r w:rsidRPr="00604423">
        <w:rPr>
          <w:rFonts w:ascii="宋体" w:eastAsia="宋体" w:cs="宋体" w:hint="eastAsia"/>
          <w:sz w:val="21"/>
          <w:szCs w:val="21"/>
        </w:rPr>
        <w:t>、基金管理人存在违反资产管理目的，不当处分基金财产或存在拒不履行本协议、被依法</w:t>
      </w:r>
      <w:r w:rsidRPr="00604423">
        <w:rPr>
          <w:rFonts w:ascii="宋体" w:eastAsia="宋体" w:cs="宋体" w:hint="eastAsia"/>
          <w:sz w:val="21"/>
          <w:szCs w:val="21"/>
        </w:rPr>
        <w:t>取消业务资格、被依法解散撤销等情形，基金托管人有权终止托管服务。如基金管理人拒不签署终止协议或未落实继任托管人，托管银行有权采用止付措施，或公告解除托管合同，不再履行托管职责。基金托管人终止托管服务的，应当根据规定，采取有关措施保护财产安全，并及时告知相关方。</w:t>
      </w:r>
    </w:p>
    <w:p w14:paraId="18B8427B"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lastRenderedPageBreak/>
        <w:t>6</w:t>
      </w:r>
      <w:r w:rsidRPr="00604423">
        <w:rPr>
          <w:rFonts w:ascii="宋体" w:eastAsia="宋体" w:cs="宋体" w:hint="eastAsia"/>
          <w:sz w:val="21"/>
          <w:szCs w:val="21"/>
        </w:rPr>
        <w:t>、具备以下情形之一的，基金托管人有权采取必要的风险管控措施，包括但不限于拒绝交易、限制交易、中止或终止业务合作、关闭账户、退出客户关系等：</w:t>
      </w:r>
    </w:p>
    <w:p w14:paraId="6FD578A7"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w:t>
      </w:r>
      <w:r w:rsidRPr="00604423">
        <w:rPr>
          <w:rFonts w:ascii="宋体" w:eastAsia="宋体" w:cs="宋体" w:hint="eastAsia"/>
          <w:sz w:val="21"/>
          <w:szCs w:val="21"/>
        </w:rPr>
        <w:t>1</w:t>
      </w:r>
      <w:r w:rsidRPr="00604423">
        <w:rPr>
          <w:rFonts w:ascii="宋体" w:eastAsia="宋体" w:cs="宋体" w:hint="eastAsia"/>
          <w:sz w:val="21"/>
          <w:szCs w:val="21"/>
        </w:rPr>
        <w:t>）基金管理人拒绝配合基金托管人开展尽职调查或提供虚假、不实信息，或未在指定期限内提供信息；</w:t>
      </w:r>
    </w:p>
    <w:p w14:paraId="09417BE8"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w:t>
      </w:r>
      <w:r w:rsidRPr="00604423">
        <w:rPr>
          <w:rFonts w:ascii="宋体" w:eastAsia="宋体" w:cs="宋体" w:hint="eastAsia"/>
          <w:sz w:val="21"/>
          <w:szCs w:val="21"/>
        </w:rPr>
        <w:t>2</w:t>
      </w:r>
      <w:r w:rsidRPr="00604423">
        <w:rPr>
          <w:rFonts w:ascii="宋体" w:eastAsia="宋体" w:cs="宋体" w:hint="eastAsia"/>
          <w:sz w:val="21"/>
          <w:szCs w:val="21"/>
        </w:rPr>
        <w:t>）基金管</w:t>
      </w:r>
      <w:r w:rsidRPr="00604423">
        <w:rPr>
          <w:rFonts w:ascii="宋体" w:eastAsia="宋体" w:cs="宋体" w:hint="eastAsia"/>
          <w:sz w:val="21"/>
          <w:szCs w:val="21"/>
        </w:rPr>
        <w:t>理人或其交易涉嫌洗钱、恐怖融资、核武器扩散、违反制裁规定、其他违法违规行为；</w:t>
      </w:r>
    </w:p>
    <w:p w14:paraId="292F8F1B"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w:t>
      </w:r>
      <w:r w:rsidRPr="00604423">
        <w:rPr>
          <w:rFonts w:ascii="宋体" w:eastAsia="宋体" w:cs="宋体" w:hint="eastAsia"/>
          <w:sz w:val="21"/>
          <w:szCs w:val="21"/>
        </w:rPr>
        <w:t>3</w:t>
      </w:r>
      <w:r w:rsidRPr="00604423">
        <w:rPr>
          <w:rFonts w:ascii="宋体" w:eastAsia="宋体" w:cs="宋体" w:hint="eastAsia"/>
          <w:sz w:val="21"/>
          <w:szCs w:val="21"/>
        </w:rPr>
        <w:t>）基金管理人受到联合国、中国或其他需适用制裁发布主体的制裁；</w:t>
      </w:r>
    </w:p>
    <w:p w14:paraId="12FED8CA"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w:t>
      </w:r>
      <w:r w:rsidRPr="00604423">
        <w:rPr>
          <w:rFonts w:ascii="宋体" w:eastAsia="宋体" w:cs="宋体" w:hint="eastAsia"/>
          <w:sz w:val="21"/>
          <w:szCs w:val="21"/>
        </w:rPr>
        <w:t>4</w:t>
      </w:r>
      <w:r w:rsidRPr="00604423">
        <w:rPr>
          <w:rFonts w:ascii="宋体" w:eastAsia="宋体" w:cs="宋体" w:hint="eastAsia"/>
          <w:sz w:val="21"/>
          <w:szCs w:val="21"/>
        </w:rPr>
        <w:t>）出于执行我国反洗钱法律规定、基于履行反洗钱义务的必要；</w:t>
      </w:r>
    </w:p>
    <w:p w14:paraId="17903269" w14:textId="77777777" w:rsidR="00D21308" w:rsidRPr="00604423" w:rsidRDefault="00F41C2D" w:rsidP="00604423">
      <w:pPr>
        <w:pStyle w:val="a6"/>
        <w:widowControl/>
        <w:spacing w:before="100" w:beforeAutospacing="1" w:after="100" w:afterAutospacing="1"/>
        <w:ind w:firstLine="403"/>
        <w:rPr>
          <w:rFonts w:ascii="宋体" w:eastAsia="宋体" w:cs="宋体" w:hint="eastAsia"/>
          <w:sz w:val="21"/>
          <w:szCs w:val="21"/>
        </w:rPr>
      </w:pPr>
      <w:r w:rsidRPr="00604423">
        <w:rPr>
          <w:rFonts w:ascii="宋体" w:eastAsia="宋体" w:cs="宋体" w:hint="eastAsia"/>
          <w:sz w:val="21"/>
          <w:szCs w:val="21"/>
        </w:rPr>
        <w:t>（</w:t>
      </w:r>
      <w:r w:rsidRPr="00604423">
        <w:rPr>
          <w:rFonts w:ascii="宋体" w:eastAsia="宋体" w:cs="宋体" w:hint="eastAsia"/>
          <w:sz w:val="21"/>
          <w:szCs w:val="21"/>
        </w:rPr>
        <w:t>5</w:t>
      </w:r>
      <w:r w:rsidRPr="00604423">
        <w:rPr>
          <w:rFonts w:ascii="宋体" w:eastAsia="宋体" w:cs="宋体" w:hint="eastAsia"/>
          <w:sz w:val="21"/>
          <w:szCs w:val="21"/>
        </w:rPr>
        <w:t>）其他涉嫌违反中国或其他需适用的法律法规或监管规定的行为。</w:t>
      </w:r>
    </w:p>
    <w:p w14:paraId="2DABE396"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7</w:t>
      </w:r>
      <w:r>
        <w:rPr>
          <w:rFonts w:ascii="宋体" w:eastAsia="宋体" w:cs="宋体"/>
          <w:sz w:val="21"/>
          <w:szCs w:val="21"/>
        </w:rPr>
        <w:t>、发生《基金法》、《运作办法》或其他法律法规规定的终止事项。</w:t>
      </w:r>
    </w:p>
    <w:p w14:paraId="4C580871"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（三）基金财产的清算</w:t>
      </w:r>
    </w:p>
    <w:p w14:paraId="0AB762A1" w14:textId="77777777" w:rsidR="00D21308" w:rsidRDefault="00F41C2D">
      <w:pPr>
        <w:spacing w:before="100" w:beforeAutospacing="1" w:after="100" w:afterAutospacing="1" w:line="400" w:lineRule="exact"/>
        <w:ind w:firstLine="420"/>
        <w:rPr>
          <w:rFonts w:ascii="宋体" w:hAnsi="宋体"/>
          <w:szCs w:val="21"/>
          <w:lang w:bidi="ar"/>
        </w:rPr>
      </w:pPr>
      <w:r>
        <w:rPr>
          <w:rFonts w:ascii="宋体" w:hAnsi="宋体" w:cs="宋体" w:hint="eastAsia"/>
          <w:color w:val="000000"/>
          <w:kern w:val="0"/>
          <w:szCs w:val="21"/>
          <w:lang w:bidi="ar"/>
        </w:rPr>
        <w:t>基金管理人和基金托管人应按照《基金合同》及有关法律法规的规定对本基金的财产进行清算</w:t>
      </w:r>
      <w:r>
        <w:rPr>
          <w:rFonts w:ascii="宋体" w:hAnsi="宋体" w:hint="eastAsia"/>
          <w:color w:val="000000"/>
        </w:rPr>
        <w:t>。</w:t>
      </w:r>
    </w:p>
    <w:p w14:paraId="14D58043" w14:textId="77777777" w:rsidR="00D21308" w:rsidRDefault="00D21308">
      <w:pPr>
        <w:pStyle w:val="a0"/>
      </w:pPr>
    </w:p>
    <w:p w14:paraId="10E43E26"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r>
        <w:rPr>
          <w:rFonts w:ascii="宋体" w:hAnsi="宋体" w:cs="宋体" w:hint="eastAsia"/>
          <w:bCs w:val="0"/>
          <w:sz w:val="21"/>
          <w:szCs w:val="21"/>
        </w:rPr>
        <w:t>十七、违约责任和责任划分</w:t>
      </w:r>
    </w:p>
    <w:p w14:paraId="71CD68F1"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（一）本协议当事人不履行本协议或履行本协议不符合约定的，应当承担违约责任。</w:t>
      </w:r>
    </w:p>
    <w:p w14:paraId="1F4854D2"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宋体" w:hint="eastAsia"/>
          <w:szCs w:val="21"/>
          <w:lang w:bidi="ar"/>
        </w:rPr>
        <w:t>（二）因本协议当事人违约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cs="方正仿宋简体" w:hint="eastAsia"/>
          <w:szCs w:val="21"/>
        </w:rPr>
        <w:t>之一的</w:t>
      </w:r>
      <w:r>
        <w:rPr>
          <w:rFonts w:ascii="宋体" w:hAnsi="宋体" w:cs="宋体" w:hint="eastAsia"/>
          <w:szCs w:val="21"/>
          <w:lang w:bidi="ar"/>
        </w:rPr>
        <w:t>，当事人免责：</w:t>
      </w:r>
    </w:p>
    <w:p w14:paraId="59CFBF12"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宋体"/>
          <w:szCs w:val="21"/>
          <w:lang w:bidi="ar"/>
        </w:rPr>
        <w:t>1</w:t>
      </w:r>
      <w:r>
        <w:rPr>
          <w:rFonts w:ascii="宋体" w:hAnsi="宋体" w:cs="宋体"/>
          <w:szCs w:val="21"/>
          <w:lang w:bidi="ar"/>
        </w:rPr>
        <w:t>、基金管理人及基金托管人按照当时有效的法律法规或中国证监会的规定作为或不作为而造成的损失等；</w:t>
      </w:r>
    </w:p>
    <w:p w14:paraId="5F62A2C3"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宋体"/>
          <w:szCs w:val="21"/>
          <w:lang w:bidi="ar"/>
        </w:rPr>
        <w:t>2</w:t>
      </w:r>
      <w:r>
        <w:rPr>
          <w:rFonts w:ascii="宋体" w:hAnsi="宋体" w:cs="宋体"/>
          <w:szCs w:val="21"/>
          <w:lang w:bidi="ar"/>
        </w:rPr>
        <w:t>、基金管理人由于按照《基金合同》规定的投资原则而行使或不行使其投资权而造成的损失等；</w:t>
      </w:r>
    </w:p>
    <w:p w14:paraId="3DF24005" w14:textId="77777777" w:rsidR="00D21308" w:rsidRDefault="00F41C2D">
      <w:pPr>
        <w:snapToGrid w:val="0"/>
        <w:spacing w:before="100" w:beforeAutospacing="1" w:after="100" w:afterAutospacing="1" w:line="400" w:lineRule="exact"/>
        <w:ind w:firstLine="420"/>
        <w:rPr>
          <w:rFonts w:ascii="宋体" w:hAnsi="宋体" w:cs="方正仿宋简体"/>
          <w:szCs w:val="21"/>
        </w:rPr>
      </w:pPr>
      <w:r>
        <w:rPr>
          <w:rFonts w:ascii="宋体" w:hAnsi="宋体" w:cs="宋体"/>
          <w:szCs w:val="21"/>
          <w:lang w:bidi="ar"/>
        </w:rPr>
        <w:lastRenderedPageBreak/>
        <w:t>3</w:t>
      </w:r>
      <w:r>
        <w:rPr>
          <w:rFonts w:ascii="宋体" w:hAnsi="宋体" w:cs="宋体"/>
          <w:szCs w:val="21"/>
          <w:lang w:bidi="ar"/>
        </w:rPr>
        <w:t>、</w:t>
      </w:r>
      <w:r>
        <w:rPr>
          <w:rFonts w:ascii="宋体" w:hAnsi="宋体" w:cs="方正仿宋简体" w:hint="eastAsia"/>
          <w:szCs w:val="21"/>
        </w:rPr>
        <w:t>不可抗</w:t>
      </w:r>
      <w:r>
        <w:rPr>
          <w:rFonts w:ascii="宋体" w:hAnsi="宋体" w:cs="方正仿宋简体" w:hint="eastAsia"/>
          <w:szCs w:val="21"/>
        </w:rPr>
        <w:t>力；</w:t>
      </w:r>
    </w:p>
    <w:p w14:paraId="5CC314AD"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方正仿宋简体"/>
          <w:szCs w:val="21"/>
        </w:rPr>
        <w:t>4</w:t>
      </w:r>
      <w:r>
        <w:rPr>
          <w:rFonts w:ascii="宋体" w:hAnsi="宋体" w:cs="方正仿宋简体"/>
          <w:szCs w:val="21"/>
        </w:rPr>
        <w:t>、</w:t>
      </w:r>
      <w:r>
        <w:rPr>
          <w:rFonts w:ascii="宋体" w:hAnsi="宋体" w:cs="宋体" w:hint="eastAsia"/>
          <w:szCs w:val="21"/>
          <w:lang w:bidi="ar"/>
        </w:rPr>
        <w:t>基金托管人</w:t>
      </w:r>
      <w:r>
        <w:rPr>
          <w:rFonts w:ascii="宋体" w:hAnsi="宋体" w:cs="方正仿宋简体" w:hint="eastAsia"/>
          <w:szCs w:val="21"/>
        </w:rPr>
        <w:t>对</w:t>
      </w:r>
      <w:r>
        <w:rPr>
          <w:rFonts w:ascii="宋体" w:hAnsi="宋体" w:cs="宋体" w:hint="eastAsia"/>
          <w:szCs w:val="21"/>
          <w:lang w:bidi="ar"/>
        </w:rPr>
        <w:t>存放或存管在基金托管人以外机构的基金资产，或交由证券公司等其他机构负责清算交收的基金资产及其收益不承担任何责任；</w:t>
      </w:r>
    </w:p>
    <w:p w14:paraId="49BEE877" w14:textId="77777777" w:rsidR="00D21308" w:rsidRDefault="00F41C2D">
      <w:pPr>
        <w:adjustRightInd w:val="0"/>
        <w:snapToGrid w:val="0"/>
        <w:spacing w:before="100" w:beforeAutospacing="1" w:after="100" w:afterAutospacing="1" w:line="400" w:lineRule="exact"/>
        <w:ind w:firstLineChars="200" w:firstLine="420"/>
        <w:rPr>
          <w:rFonts w:ascii="宋体" w:hAnsi="宋体" w:cs="方正仿宋简体"/>
          <w:szCs w:val="21"/>
        </w:rPr>
      </w:pPr>
      <w:r>
        <w:rPr>
          <w:rFonts w:ascii="宋体" w:hAnsi="宋体" w:cs="方正仿宋简体"/>
          <w:szCs w:val="21"/>
        </w:rPr>
        <w:t>5</w:t>
      </w:r>
      <w:r>
        <w:rPr>
          <w:rFonts w:ascii="宋体" w:hAnsi="宋体" w:cs="宋体" w:hint="eastAsia"/>
          <w:szCs w:val="21"/>
          <w:lang w:bidi="ar"/>
        </w:rPr>
        <w:t>、计算机系统故障、网络故障、通讯故障、电力故障、计算机病毒攻击及其它非基金管理人、基金托管人过错造成的意外事故。</w:t>
      </w:r>
    </w:p>
    <w:p w14:paraId="0318D4E5"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（三）一方当事人违反本协议，给另一方当事人造成损失的，应承担赔偿责任。</w:t>
      </w:r>
    </w:p>
    <w:p w14:paraId="10B76389"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（四）因不可抗力不能履行本协议的，根据不可抗力的影响，违约方部分或全部免除责任，但法律另有规定的除外。当事人迟延履行后发生不可抗力的，不能免除责任。</w:t>
      </w:r>
    </w:p>
    <w:p w14:paraId="39B24630"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（五）当事人一方违约，另一方在职责范围</w:t>
      </w:r>
      <w:r>
        <w:rPr>
          <w:rFonts w:ascii="宋体" w:eastAsia="宋体" w:cs="宋体" w:hint="eastAsia"/>
          <w:sz w:val="21"/>
          <w:szCs w:val="21"/>
        </w:rPr>
        <w:t>内有义务及时采取必要的措施，尽力防止损失的扩大。</w:t>
      </w:r>
    </w:p>
    <w:p w14:paraId="7443CC88"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（六）违约行为虽已发生，但本协议能够继续履行的，在最大限度地保护基金份额持有人利益的前提下，基金管理人和基金托管人应当继续履行本协议。</w:t>
      </w:r>
    </w:p>
    <w:p w14:paraId="615E1299"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（七）为明确责任，在不影响本协议本条其他规定的普遍适用性的前提下，基金管理人和基金托管人对由于如下行为造成的损失的责任承担问题，明确如下：</w:t>
      </w:r>
    </w:p>
    <w:p w14:paraId="42A53BF0"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1</w:t>
      </w:r>
      <w:r>
        <w:rPr>
          <w:rFonts w:ascii="宋体" w:eastAsia="宋体" w:cs="宋体"/>
          <w:sz w:val="21"/>
          <w:szCs w:val="21"/>
        </w:rPr>
        <w:t>、由于下达违法、违规的指令所导致的责任，由基金管理人承担；</w:t>
      </w:r>
    </w:p>
    <w:p w14:paraId="1F9DB465"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2</w:t>
      </w:r>
      <w:r>
        <w:rPr>
          <w:rFonts w:ascii="宋体" w:eastAsia="宋体" w:cs="宋体"/>
          <w:sz w:val="21"/>
          <w:szCs w:val="21"/>
        </w:rPr>
        <w:t>、指令下达人员在授权通知载明的权限范围内下达的指令所导致的责任，由基金管理人承担，即使该人员下达指令并没有获得基金管理人的实际授权（例如基金管理人在撤销或变更授权权限后未能及时通知基金托管人）；</w:t>
      </w:r>
      <w:r>
        <w:rPr>
          <w:rFonts w:ascii="宋体" w:eastAsia="宋体" w:cs="宋体"/>
          <w:sz w:val="21"/>
          <w:szCs w:val="21"/>
        </w:rPr>
        <w:t xml:space="preserve"> </w:t>
      </w:r>
    </w:p>
    <w:p w14:paraId="6F9185E4"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3</w:t>
      </w:r>
      <w:r>
        <w:rPr>
          <w:rFonts w:ascii="宋体" w:eastAsia="宋体" w:cs="宋体"/>
          <w:sz w:val="21"/>
          <w:szCs w:val="21"/>
        </w:rPr>
        <w:t>、基金托管人未对指令上签名和印鉴与预留签字样本和预留印鉴进行表面一致性审核，导致基金托管人执行了应当无效的指令，基金管理人与基金托管人应根据各自过错程度承担责任；</w:t>
      </w:r>
    </w:p>
    <w:p w14:paraId="38208D73"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4</w:t>
      </w:r>
      <w:r>
        <w:rPr>
          <w:rFonts w:ascii="宋体" w:eastAsia="宋体" w:cs="宋体"/>
          <w:sz w:val="21"/>
          <w:szCs w:val="21"/>
        </w:rPr>
        <w:t>、属于基金托管人实际有效控制下的基金财产（包括实物证券）在基金托管人保管期间的损坏、灭失，由此产生的责任应由该基金托管人承担；</w:t>
      </w:r>
    </w:p>
    <w:p w14:paraId="0C98922B" w14:textId="77777777" w:rsidR="00D21308" w:rsidRPr="00604423" w:rsidRDefault="00F41C2D" w:rsidP="00604423">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5</w:t>
      </w:r>
      <w:r>
        <w:rPr>
          <w:rFonts w:ascii="宋体" w:eastAsia="宋体" w:cs="宋体"/>
          <w:sz w:val="21"/>
          <w:szCs w:val="21"/>
        </w:rPr>
        <w:t>、基金管理人应</w:t>
      </w:r>
      <w:r>
        <w:rPr>
          <w:rFonts w:ascii="宋体" w:eastAsia="宋体" w:cs="宋体"/>
          <w:sz w:val="21"/>
          <w:szCs w:val="21"/>
        </w:rPr>
        <w:t>承担对其应收取的管理费数额计算错误的责任。如果基金托管人复核后同意基金管理人的计算结果，则基金托管人也应承担未正确履行复核义务的相应责任；</w:t>
      </w:r>
      <w:r w:rsidRPr="00604423">
        <w:rPr>
          <w:rFonts w:ascii="宋体" w:eastAsia="宋体" w:cs="宋体" w:hint="eastAsia"/>
          <w:sz w:val="21"/>
          <w:szCs w:val="21"/>
        </w:rPr>
        <w:t>但</w:t>
      </w:r>
      <w:r w:rsidRPr="00604423">
        <w:rPr>
          <w:rFonts w:ascii="宋体" w:eastAsia="宋体" w:cs="宋体" w:hint="eastAsia"/>
          <w:sz w:val="21"/>
          <w:szCs w:val="21"/>
        </w:rPr>
        <w:lastRenderedPageBreak/>
        <w:t>在不存在过错的前提下，基金托管人对基金管理人提供的原始数据和信息的真实性、准确性和完整性所引起的任何损失不负责任；</w:t>
      </w:r>
    </w:p>
    <w:p w14:paraId="32E01135" w14:textId="77777777" w:rsidR="00D21308" w:rsidRPr="00604423" w:rsidRDefault="00F41C2D" w:rsidP="00604423">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6</w:t>
      </w:r>
      <w:r>
        <w:rPr>
          <w:rFonts w:ascii="宋体" w:eastAsia="宋体" w:cs="宋体"/>
          <w:sz w:val="21"/>
          <w:szCs w:val="21"/>
        </w:rPr>
        <w:t>、基金管理人应承担对基金托管人应收取的托管费数额计算错误的责任。如果基金托管人复核后同意基金管理人的计算结果，则基金托管人也应承担未正确履行复核义务的相应责任；</w:t>
      </w:r>
      <w:r w:rsidRPr="00604423">
        <w:rPr>
          <w:rFonts w:ascii="宋体" w:eastAsia="宋体" w:cs="宋体" w:hint="eastAsia"/>
          <w:sz w:val="21"/>
          <w:szCs w:val="21"/>
        </w:rPr>
        <w:t>但在不存在过错的前提下，基金托管人对基金管理人提供的原始数据和信息的真实性、准确性和完整性所引起的任何损失不负责任；</w:t>
      </w:r>
    </w:p>
    <w:p w14:paraId="28F4D787"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sz w:val="21"/>
          <w:szCs w:val="21"/>
        </w:rPr>
        <w:t>7</w:t>
      </w:r>
      <w:r>
        <w:rPr>
          <w:rFonts w:ascii="宋体" w:eastAsia="宋体" w:cs="宋体"/>
          <w:sz w:val="21"/>
          <w:szCs w:val="21"/>
        </w:rPr>
        <w:t>、由于基金管理人或托管人原因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14:paraId="4DE45B57"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sz w:val="21"/>
          <w:szCs w:val="21"/>
        </w:rPr>
        <w:t>8</w:t>
      </w:r>
      <w:r>
        <w:rPr>
          <w:rFonts w:ascii="宋体" w:eastAsia="宋体" w:cs="宋体"/>
          <w:sz w:val="21"/>
          <w:szCs w:val="21"/>
        </w:rPr>
        <w:t>、在资金交收日，基金资金账户资金首先用于除新股申购以外的其他资金交收义务，交收完成后资金</w:t>
      </w:r>
      <w:r>
        <w:rPr>
          <w:rFonts w:ascii="宋体" w:eastAsia="宋体" w:cs="宋体"/>
          <w:sz w:val="21"/>
          <w:szCs w:val="21"/>
        </w:rPr>
        <w:t>余额方可用于新股申购。如果因此资金不足造成新股申购失败或者新股申购不足，基金托管人不承担任何责任。如基金份额持有人因此提出赔偿要求，相关法律责任和损失由基金管理人承担。</w:t>
      </w:r>
    </w:p>
    <w:p w14:paraId="7CA57766"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 xml:space="preserve"> </w:t>
      </w:r>
      <w:r>
        <w:rPr>
          <w:rFonts w:ascii="宋体" w:hAnsi="宋体" w:cs="宋体" w:hint="eastAsia"/>
          <w:color w:val="000000"/>
          <w:kern w:val="2"/>
          <w:sz w:val="21"/>
          <w:szCs w:val="21"/>
          <w:lang w:bidi="ar"/>
        </w:rPr>
        <w:t>（八）基金托管人不承担以下各项职责，且不对因该等职责相关事项所产生的任何损失承担责任：</w:t>
      </w:r>
    </w:p>
    <w:p w14:paraId="66AD3797"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1</w:t>
      </w:r>
      <w:r>
        <w:rPr>
          <w:rFonts w:ascii="宋体" w:hAnsi="宋体"/>
          <w:color w:val="000000"/>
          <w:kern w:val="2"/>
          <w:sz w:val="21"/>
          <w:szCs w:val="21"/>
          <w:lang w:bidi="ar"/>
        </w:rPr>
        <w:t>、承担基金财产的信用风险、市场风险等；</w:t>
      </w:r>
    </w:p>
    <w:p w14:paraId="503875A6"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2</w:t>
      </w:r>
      <w:r>
        <w:rPr>
          <w:rFonts w:ascii="宋体" w:hAnsi="宋体"/>
          <w:color w:val="000000"/>
          <w:kern w:val="2"/>
          <w:sz w:val="21"/>
          <w:szCs w:val="21"/>
          <w:lang w:bidi="ar"/>
        </w:rPr>
        <w:t>、为基金提供直接或间接、显性或隐性担保，包括承诺本金或保证收益；</w:t>
      </w:r>
    </w:p>
    <w:p w14:paraId="7987C27E"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3</w:t>
      </w:r>
      <w:r>
        <w:rPr>
          <w:rFonts w:ascii="宋体" w:hAnsi="宋体"/>
          <w:color w:val="000000"/>
          <w:kern w:val="2"/>
          <w:sz w:val="21"/>
          <w:szCs w:val="21"/>
          <w:lang w:bidi="ar"/>
        </w:rPr>
        <w:t>、为基金垫付资金、提供流动性支持或融资承诺等；</w:t>
      </w:r>
    </w:p>
    <w:p w14:paraId="7A10868F"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4</w:t>
      </w:r>
      <w:r>
        <w:rPr>
          <w:rFonts w:ascii="宋体" w:hAnsi="宋体"/>
          <w:color w:val="000000"/>
          <w:kern w:val="2"/>
          <w:sz w:val="21"/>
          <w:szCs w:val="21"/>
          <w:lang w:bidi="ar"/>
        </w:rPr>
        <w:t>、参与投资者适当性管理；</w:t>
      </w:r>
    </w:p>
    <w:p w14:paraId="0712E4F4"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5</w:t>
      </w:r>
      <w:r>
        <w:rPr>
          <w:rFonts w:ascii="宋体" w:hAnsi="宋体"/>
          <w:color w:val="000000"/>
          <w:kern w:val="2"/>
          <w:sz w:val="21"/>
          <w:szCs w:val="21"/>
          <w:lang w:bidi="ar"/>
        </w:rPr>
        <w:t>、保证投资项目及交易信息真实性；</w:t>
      </w:r>
    </w:p>
    <w:p w14:paraId="20168D94"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6</w:t>
      </w:r>
      <w:r>
        <w:rPr>
          <w:rFonts w:ascii="宋体" w:hAnsi="宋体"/>
          <w:color w:val="000000"/>
          <w:kern w:val="2"/>
          <w:sz w:val="21"/>
          <w:szCs w:val="21"/>
          <w:lang w:bidi="ar"/>
        </w:rPr>
        <w:t>、保证基金资金来源的合法合</w:t>
      </w:r>
      <w:r>
        <w:rPr>
          <w:rFonts w:ascii="宋体" w:hAnsi="宋体"/>
          <w:color w:val="000000"/>
          <w:kern w:val="2"/>
          <w:sz w:val="21"/>
          <w:szCs w:val="21"/>
          <w:lang w:bidi="ar"/>
        </w:rPr>
        <w:t>规性；</w:t>
      </w:r>
    </w:p>
    <w:p w14:paraId="17CE9FA9"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7</w:t>
      </w:r>
      <w:r>
        <w:rPr>
          <w:rFonts w:ascii="宋体" w:hAnsi="宋体"/>
          <w:color w:val="000000"/>
          <w:kern w:val="2"/>
          <w:sz w:val="21"/>
          <w:szCs w:val="21"/>
          <w:lang w:bidi="ar"/>
        </w:rPr>
        <w:t>、对已划出托管账户以及处于基金托管人自身实际控制之外的资产承担保管责任；</w:t>
      </w:r>
    </w:p>
    <w:p w14:paraId="6C015394"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8</w:t>
      </w:r>
      <w:r>
        <w:rPr>
          <w:rFonts w:ascii="宋体" w:hAnsi="宋体"/>
          <w:color w:val="000000"/>
          <w:kern w:val="2"/>
          <w:sz w:val="21"/>
          <w:szCs w:val="21"/>
          <w:lang w:bidi="ar"/>
        </w:rPr>
        <w:t>、参与基金管理人对基金的投资决策；</w:t>
      </w:r>
    </w:p>
    <w:p w14:paraId="312B9E6F"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lastRenderedPageBreak/>
        <w:t>9</w:t>
      </w:r>
      <w:r>
        <w:rPr>
          <w:rFonts w:ascii="宋体" w:hAnsi="宋体"/>
          <w:color w:val="000000"/>
          <w:kern w:val="2"/>
          <w:sz w:val="21"/>
          <w:szCs w:val="21"/>
          <w:lang w:bidi="ar"/>
        </w:rPr>
        <w:t>、违规代替基金管理人向其他机构或者个人进行资产管理计划信息披露或提供相关数据信息；</w:t>
      </w:r>
    </w:p>
    <w:p w14:paraId="074631B8"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10</w:t>
      </w:r>
      <w:r>
        <w:rPr>
          <w:rFonts w:ascii="宋体" w:hAnsi="宋体"/>
          <w:color w:val="000000"/>
          <w:kern w:val="2"/>
          <w:sz w:val="21"/>
          <w:szCs w:val="21"/>
          <w:lang w:bidi="ar"/>
        </w:rPr>
        <w:t>、基金管理人未接受基金托管人的复核意见进行信息披露产生的相应责任；</w:t>
      </w:r>
    </w:p>
    <w:p w14:paraId="6F4B6F73"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11</w:t>
      </w:r>
      <w:r>
        <w:rPr>
          <w:rFonts w:ascii="宋体" w:hAnsi="宋体"/>
          <w:color w:val="000000"/>
          <w:kern w:val="2"/>
          <w:sz w:val="21"/>
          <w:szCs w:val="21"/>
          <w:lang w:bidi="ar"/>
        </w:rPr>
        <w:t>、负责未兑付产品的资金追偿、财产保全、诉讼仲裁、债务重组和破产程序等，法律另有规定的除外；</w:t>
      </w:r>
    </w:p>
    <w:p w14:paraId="3B60BAF1" w14:textId="77777777" w:rsidR="00D21308" w:rsidRDefault="00F41C2D">
      <w:pPr>
        <w:pStyle w:val="aa"/>
        <w:widowControl/>
        <w:spacing w:before="0" w:after="0" w:line="400" w:lineRule="exact"/>
        <w:ind w:firstLineChars="192" w:firstLine="403"/>
        <w:jc w:val="both"/>
        <w:rPr>
          <w:rFonts w:ascii="宋体" w:hAnsi="宋体"/>
          <w:kern w:val="2"/>
          <w:sz w:val="21"/>
          <w:szCs w:val="21"/>
        </w:rPr>
      </w:pPr>
      <w:r>
        <w:rPr>
          <w:rFonts w:ascii="宋体" w:hAnsi="宋体"/>
          <w:color w:val="000000"/>
          <w:kern w:val="2"/>
          <w:sz w:val="21"/>
          <w:szCs w:val="21"/>
          <w:lang w:bidi="ar"/>
        </w:rPr>
        <w:t>12</w:t>
      </w:r>
      <w:r>
        <w:rPr>
          <w:rFonts w:ascii="宋体" w:hAnsi="宋体"/>
          <w:color w:val="000000"/>
          <w:kern w:val="2"/>
          <w:sz w:val="21"/>
          <w:szCs w:val="21"/>
          <w:lang w:bidi="ar"/>
        </w:rPr>
        <w:t>、因非基金托管人履职错误或过失造成的托管资产损失；</w:t>
      </w:r>
    </w:p>
    <w:p w14:paraId="04057634" w14:textId="77777777" w:rsidR="00D21308" w:rsidRDefault="00F41C2D">
      <w:pPr>
        <w:pStyle w:val="aa"/>
        <w:widowControl/>
        <w:spacing w:before="0" w:after="0" w:line="400" w:lineRule="exact"/>
        <w:ind w:firstLineChars="192" w:firstLine="403"/>
        <w:jc w:val="both"/>
        <w:rPr>
          <w:rFonts w:ascii="宋体" w:hAnsi="宋体"/>
          <w:color w:val="000000"/>
          <w:szCs w:val="21"/>
        </w:rPr>
      </w:pPr>
      <w:r>
        <w:rPr>
          <w:rFonts w:ascii="宋体" w:hAnsi="宋体"/>
          <w:color w:val="000000"/>
          <w:kern w:val="2"/>
          <w:sz w:val="21"/>
          <w:szCs w:val="21"/>
          <w:lang w:bidi="ar"/>
        </w:rPr>
        <w:t>13</w:t>
      </w:r>
      <w:r>
        <w:rPr>
          <w:rFonts w:ascii="宋体" w:hAnsi="宋体" w:hint="eastAsia"/>
          <w:color w:val="000000"/>
          <w:kern w:val="2"/>
          <w:sz w:val="21"/>
          <w:szCs w:val="21"/>
          <w:lang w:bidi="ar"/>
        </w:rPr>
        <w:t>、国务院金融监管部门规定的不属于资产托管人托管业务范围的其他职责。</w:t>
      </w:r>
    </w:p>
    <w:p w14:paraId="140DD4EE" w14:textId="77777777" w:rsidR="00D21308" w:rsidRDefault="00D21308">
      <w:pPr>
        <w:pStyle w:val="a6"/>
        <w:widowControl/>
        <w:spacing w:before="100" w:beforeAutospacing="1" w:after="100" w:afterAutospacing="1"/>
        <w:ind w:firstLine="403"/>
        <w:rPr>
          <w:rFonts w:ascii="宋体" w:eastAsia="宋体"/>
          <w:color w:val="auto"/>
          <w:sz w:val="21"/>
          <w:szCs w:val="21"/>
        </w:rPr>
      </w:pPr>
    </w:p>
    <w:p w14:paraId="151A9897"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14" w:name="_Toc116900112"/>
      <w:r>
        <w:rPr>
          <w:rFonts w:ascii="宋体" w:hAnsi="宋体" w:cs="宋体" w:hint="eastAsia"/>
          <w:bCs w:val="0"/>
          <w:sz w:val="21"/>
          <w:szCs w:val="21"/>
        </w:rPr>
        <w:t>十八、适用法律与争议解决</w:t>
      </w:r>
      <w:bookmarkEnd w:id="14"/>
      <w:r>
        <w:rPr>
          <w:rFonts w:ascii="宋体" w:hAnsi="宋体" w:cs="宋体" w:hint="eastAsia"/>
          <w:bCs w:val="0"/>
          <w:sz w:val="21"/>
          <w:szCs w:val="21"/>
        </w:rPr>
        <w:t>方式</w:t>
      </w:r>
    </w:p>
    <w:p w14:paraId="370611FF" w14:textId="77777777" w:rsidR="00D21308" w:rsidRDefault="00F41C2D">
      <w:pPr>
        <w:pStyle w:val="a6"/>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（一）本协议适用中华人民共和国法律（为本协议之目的，不包括香港特别行政区、澳门特别行政区和台湾地区法律）并从其解释。</w:t>
      </w:r>
    </w:p>
    <w:p w14:paraId="75E59BFB"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hint="eastAsia"/>
          <w:color w:val="auto"/>
          <w:sz w:val="21"/>
          <w:szCs w:val="21"/>
        </w:rPr>
        <w:t>（二）基金管理人与基金托管人之间</w:t>
      </w:r>
      <w:r>
        <w:rPr>
          <w:rFonts w:ascii="宋体" w:eastAsia="宋体" w:cs="宋体" w:hint="eastAsia"/>
          <w:sz w:val="21"/>
          <w:szCs w:val="21"/>
        </w:rPr>
        <w:t>因本协议产生的或与本协议有关的争议</w:t>
      </w:r>
      <w:r>
        <w:rPr>
          <w:rFonts w:ascii="宋体" w:eastAsia="宋体" w:hint="eastAsia"/>
          <w:color w:val="auto"/>
          <w:sz w:val="21"/>
          <w:szCs w:val="21"/>
        </w:rPr>
        <w:t>可通过</w:t>
      </w:r>
      <w:r>
        <w:rPr>
          <w:rFonts w:ascii="宋体" w:eastAsia="宋体" w:cs="宋体" w:hint="eastAsia"/>
          <w:sz w:val="21"/>
          <w:szCs w:val="21"/>
        </w:rPr>
        <w:t>友好协商</w:t>
      </w:r>
      <w:r>
        <w:rPr>
          <w:rFonts w:ascii="宋体" w:eastAsia="宋体" w:hint="eastAsia"/>
          <w:color w:val="auto"/>
          <w:sz w:val="21"/>
          <w:szCs w:val="21"/>
        </w:rPr>
        <w:t>解决。但若自一方书面提出协商解决争议之日起</w:t>
      </w:r>
      <w:r>
        <w:rPr>
          <w:rFonts w:ascii="宋体" w:eastAsia="宋体"/>
          <w:color w:val="auto"/>
          <w:sz w:val="21"/>
          <w:szCs w:val="21"/>
        </w:rPr>
        <w:t>60</w:t>
      </w:r>
      <w:r>
        <w:rPr>
          <w:rFonts w:ascii="宋体" w:eastAsia="宋体"/>
          <w:color w:val="auto"/>
          <w:sz w:val="21"/>
          <w:szCs w:val="21"/>
        </w:rPr>
        <w:t>日内争议</w:t>
      </w:r>
      <w:r>
        <w:rPr>
          <w:rFonts w:ascii="宋体" w:eastAsia="宋体" w:cs="宋体" w:hint="eastAsia"/>
          <w:sz w:val="21"/>
          <w:szCs w:val="21"/>
        </w:rPr>
        <w:t>未能</w:t>
      </w:r>
      <w:r>
        <w:rPr>
          <w:rFonts w:ascii="宋体" w:eastAsia="宋体" w:hint="eastAsia"/>
          <w:color w:val="auto"/>
          <w:sz w:val="21"/>
          <w:szCs w:val="21"/>
        </w:rPr>
        <w:t>以协商方式</w:t>
      </w:r>
      <w:r>
        <w:rPr>
          <w:rFonts w:ascii="宋体" w:eastAsia="宋体" w:cs="宋体" w:hint="eastAsia"/>
          <w:sz w:val="21"/>
          <w:szCs w:val="21"/>
        </w:rPr>
        <w:t>解决的，</w:t>
      </w:r>
      <w:r>
        <w:rPr>
          <w:rFonts w:ascii="宋体" w:eastAsia="宋体" w:hint="eastAsia"/>
          <w:color w:val="auto"/>
          <w:sz w:val="21"/>
          <w:szCs w:val="21"/>
        </w:rPr>
        <w:t>则</w:t>
      </w:r>
      <w:r>
        <w:rPr>
          <w:rFonts w:ascii="宋体" w:eastAsia="宋体" w:cs="宋体" w:hint="eastAsia"/>
          <w:sz w:val="21"/>
          <w:szCs w:val="21"/>
        </w:rPr>
        <w:t>任何</w:t>
      </w:r>
      <w:r>
        <w:rPr>
          <w:rFonts w:ascii="宋体" w:eastAsia="宋体" w:hint="eastAsia"/>
          <w:color w:val="auto"/>
          <w:sz w:val="21"/>
          <w:szCs w:val="21"/>
        </w:rPr>
        <w:t>一方有权</w:t>
      </w:r>
      <w:r>
        <w:rPr>
          <w:rFonts w:ascii="宋体" w:eastAsia="宋体" w:cs="宋体" w:hint="eastAsia"/>
          <w:sz w:val="21"/>
          <w:szCs w:val="21"/>
        </w:rPr>
        <w:t>将争议提交</w:t>
      </w:r>
      <w:r>
        <w:rPr>
          <w:rFonts w:ascii="宋体" w:eastAsia="宋体" w:hint="eastAsia"/>
          <w:color w:val="auto"/>
          <w:sz w:val="21"/>
          <w:szCs w:val="21"/>
        </w:rPr>
        <w:t>位于广州的广州</w:t>
      </w:r>
      <w:r>
        <w:rPr>
          <w:rFonts w:ascii="宋体" w:eastAsia="宋体" w:cs="宋体" w:hint="eastAsia"/>
          <w:sz w:val="21"/>
          <w:szCs w:val="21"/>
        </w:rPr>
        <w:t>仲裁委员会</w:t>
      </w:r>
      <w:r>
        <w:rPr>
          <w:rFonts w:ascii="宋体" w:eastAsia="宋体" w:hint="eastAsia"/>
          <w:color w:val="auto"/>
          <w:sz w:val="21"/>
          <w:szCs w:val="21"/>
        </w:rPr>
        <w:t>，并按其时</w:t>
      </w:r>
      <w:r>
        <w:rPr>
          <w:rFonts w:ascii="宋体" w:eastAsia="宋体" w:cs="宋体" w:hint="eastAsia"/>
          <w:sz w:val="21"/>
          <w:szCs w:val="21"/>
        </w:rPr>
        <w:t>有效的仲裁规则进行仲裁。仲裁裁决是终局</w:t>
      </w:r>
      <w:r>
        <w:rPr>
          <w:rFonts w:ascii="宋体" w:eastAsia="宋体" w:hint="eastAsia"/>
          <w:color w:val="auto"/>
          <w:sz w:val="21"/>
          <w:szCs w:val="21"/>
        </w:rPr>
        <w:t>的，对仲裁</w:t>
      </w:r>
      <w:r>
        <w:rPr>
          <w:rFonts w:ascii="宋体" w:eastAsia="宋体" w:cs="宋体" w:hint="eastAsia"/>
          <w:sz w:val="21"/>
          <w:szCs w:val="21"/>
        </w:rPr>
        <w:t>各方当事人</w:t>
      </w:r>
      <w:r>
        <w:rPr>
          <w:rFonts w:ascii="宋体" w:eastAsia="宋体" w:hint="eastAsia"/>
          <w:color w:val="auto"/>
          <w:sz w:val="21"/>
          <w:szCs w:val="21"/>
        </w:rPr>
        <w:t>均</w:t>
      </w:r>
      <w:r>
        <w:rPr>
          <w:rFonts w:ascii="宋体" w:eastAsia="宋体" w:cs="宋体" w:hint="eastAsia"/>
          <w:sz w:val="21"/>
          <w:szCs w:val="21"/>
        </w:rPr>
        <w:t>具有约束力。</w:t>
      </w:r>
    </w:p>
    <w:p w14:paraId="0B506DF9"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w:t>
      </w:r>
      <w:r>
        <w:rPr>
          <w:rFonts w:ascii="宋体" w:eastAsia="宋体" w:hint="eastAsia"/>
          <w:color w:val="auto"/>
          <w:sz w:val="21"/>
          <w:szCs w:val="21"/>
        </w:rPr>
        <w:t>三）除</w:t>
      </w:r>
      <w:r>
        <w:rPr>
          <w:rFonts w:ascii="宋体" w:eastAsia="宋体" w:cs="宋体" w:hint="eastAsia"/>
          <w:sz w:val="21"/>
          <w:szCs w:val="21"/>
        </w:rPr>
        <w:t>争议</w:t>
      </w:r>
      <w:r>
        <w:rPr>
          <w:rFonts w:ascii="宋体" w:eastAsia="宋体" w:hint="eastAsia"/>
          <w:color w:val="auto"/>
          <w:sz w:val="21"/>
          <w:szCs w:val="21"/>
        </w:rPr>
        <w:t>所涉的内容之外，本协议的</w:t>
      </w:r>
      <w:r>
        <w:rPr>
          <w:rFonts w:ascii="宋体" w:eastAsia="宋体" w:cs="宋体" w:hint="eastAsia"/>
          <w:sz w:val="21"/>
          <w:szCs w:val="21"/>
        </w:rPr>
        <w:t>当事人</w:t>
      </w:r>
      <w:r>
        <w:rPr>
          <w:rFonts w:ascii="宋体" w:eastAsia="宋体" w:hint="eastAsia"/>
          <w:color w:val="auto"/>
          <w:sz w:val="21"/>
          <w:szCs w:val="21"/>
        </w:rPr>
        <w:t>仍应履行本协议的其他</w:t>
      </w:r>
      <w:r>
        <w:rPr>
          <w:rFonts w:ascii="宋体" w:eastAsia="宋体" w:cs="宋体" w:hint="eastAsia"/>
          <w:sz w:val="21"/>
          <w:szCs w:val="21"/>
        </w:rPr>
        <w:t>规定</w:t>
      </w:r>
      <w:r>
        <w:rPr>
          <w:rFonts w:ascii="宋体" w:eastAsia="宋体" w:hint="eastAsia"/>
          <w:color w:val="auto"/>
          <w:sz w:val="21"/>
          <w:szCs w:val="21"/>
        </w:rPr>
        <w:t>。</w:t>
      </w:r>
    </w:p>
    <w:p w14:paraId="46DC92D1" w14:textId="77777777" w:rsidR="00D21308" w:rsidRDefault="00D21308">
      <w:pPr>
        <w:pStyle w:val="a6"/>
        <w:widowControl/>
        <w:spacing w:before="100" w:beforeAutospacing="1" w:after="100" w:afterAutospacing="1"/>
        <w:ind w:firstLine="403"/>
        <w:rPr>
          <w:rFonts w:ascii="宋体" w:eastAsia="宋体"/>
          <w:sz w:val="21"/>
          <w:szCs w:val="21"/>
        </w:rPr>
      </w:pPr>
    </w:p>
    <w:p w14:paraId="77CF1C32"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bookmarkStart w:id="15" w:name="_Toc116900113"/>
      <w:r>
        <w:rPr>
          <w:rFonts w:ascii="宋体" w:hAnsi="宋体" w:cs="宋体" w:hint="eastAsia"/>
          <w:bCs w:val="0"/>
          <w:sz w:val="21"/>
          <w:szCs w:val="21"/>
        </w:rPr>
        <w:t>十九</w:t>
      </w:r>
      <w:r>
        <w:rPr>
          <w:rFonts w:ascii="宋体" w:hAnsi="宋体" w:cs="宋体" w:hint="eastAsia"/>
          <w:bCs w:val="0"/>
          <w:sz w:val="21"/>
          <w:szCs w:val="21"/>
        </w:rPr>
        <w:t>、托管协议的效力</w:t>
      </w:r>
      <w:bookmarkEnd w:id="15"/>
    </w:p>
    <w:p w14:paraId="4B60F8AF"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一）基金管理人在向中国证监会申请发售基金份额时提交的基金托管协议草案，应经托管协议双方当事人的法定代表人或授权签字人签字并加盖公章，协议当事人双方根据中国证监会的意见修改托管协议草案。托管协议以中国证监会注册的文本为正式文本。</w:t>
      </w:r>
    </w:p>
    <w:p w14:paraId="0C6F7E83"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（二）本协议自双方</w:t>
      </w:r>
      <w:r>
        <w:rPr>
          <w:rFonts w:ascii="宋体" w:hAnsi="宋体" w:hint="eastAsia"/>
          <w:szCs w:val="21"/>
        </w:rPr>
        <w:t>签署</w:t>
      </w:r>
      <w:r>
        <w:rPr>
          <w:rFonts w:ascii="宋体" w:hAnsi="宋体" w:cs="宋体" w:hint="eastAsia"/>
          <w:szCs w:val="21"/>
          <w:lang w:bidi="ar"/>
        </w:rPr>
        <w:t>之日起成立，自基金合同生效之日起生效。本协议的有效期自其生效之日起至基金财产清算结果报中国证监会备案并公告之日止。</w:t>
      </w:r>
    </w:p>
    <w:p w14:paraId="0DA3DA3C" w14:textId="77777777" w:rsidR="00D21308" w:rsidRDefault="00F41C2D">
      <w:pPr>
        <w:adjustRightInd w:val="0"/>
        <w:snapToGrid w:val="0"/>
        <w:spacing w:before="100" w:beforeAutospacing="1" w:after="100" w:afterAutospacing="1" w:line="400" w:lineRule="exact"/>
        <w:ind w:firstLineChars="200" w:firstLine="420"/>
        <w:rPr>
          <w:rFonts w:ascii="宋体" w:hAnsi="宋体"/>
          <w:szCs w:val="21"/>
        </w:rPr>
      </w:pPr>
      <w:r>
        <w:rPr>
          <w:rFonts w:ascii="宋体" w:hAnsi="宋体" w:cs="宋体" w:hint="eastAsia"/>
          <w:szCs w:val="21"/>
          <w:lang w:bidi="ar"/>
        </w:rPr>
        <w:t>（三）本协议自生效之日起对双方当事人具有同等的法律约束力。</w:t>
      </w:r>
    </w:p>
    <w:p w14:paraId="2B8A87DE" w14:textId="77777777" w:rsidR="00D21308" w:rsidRDefault="00F41C2D">
      <w:pPr>
        <w:pStyle w:val="a6"/>
        <w:widowControl/>
        <w:spacing w:before="100" w:beforeAutospacing="1" w:after="100" w:afterAutospacing="1"/>
        <w:ind w:firstLine="403"/>
        <w:rPr>
          <w:rFonts w:ascii="宋体" w:eastAsia="宋体" w:cs="宋体"/>
          <w:sz w:val="21"/>
          <w:szCs w:val="21"/>
        </w:rPr>
      </w:pPr>
      <w:r>
        <w:rPr>
          <w:rFonts w:ascii="宋体" w:eastAsia="宋体" w:cs="宋体" w:hint="eastAsia"/>
          <w:sz w:val="21"/>
          <w:szCs w:val="21"/>
        </w:rPr>
        <w:lastRenderedPageBreak/>
        <w:t>（四）本协议正本一式</w:t>
      </w:r>
      <w:r>
        <w:rPr>
          <w:rFonts w:ascii="宋体" w:eastAsia="宋体" w:hint="eastAsia"/>
          <w:color w:val="auto"/>
          <w:sz w:val="21"/>
          <w:szCs w:val="21"/>
        </w:rPr>
        <w:t>叁</w:t>
      </w:r>
      <w:r>
        <w:rPr>
          <w:rFonts w:ascii="宋体" w:eastAsia="宋体" w:cs="宋体" w:hint="eastAsia"/>
          <w:sz w:val="21"/>
          <w:szCs w:val="21"/>
        </w:rPr>
        <w:t>份，协议双方各执</w:t>
      </w:r>
      <w:r>
        <w:rPr>
          <w:rFonts w:ascii="宋体" w:eastAsia="宋体" w:hint="eastAsia"/>
          <w:color w:val="auto"/>
          <w:sz w:val="21"/>
          <w:szCs w:val="21"/>
        </w:rPr>
        <w:t>壹</w:t>
      </w:r>
      <w:r>
        <w:rPr>
          <w:rFonts w:ascii="宋体" w:eastAsia="宋体" w:cs="宋体" w:hint="eastAsia"/>
          <w:sz w:val="21"/>
          <w:szCs w:val="21"/>
        </w:rPr>
        <w:t>份，上报</w:t>
      </w:r>
      <w:r>
        <w:rPr>
          <w:rFonts w:ascii="宋体" w:eastAsia="宋体" w:hint="eastAsia"/>
          <w:color w:val="auto"/>
          <w:sz w:val="21"/>
          <w:szCs w:val="21"/>
        </w:rPr>
        <w:t>有关监管机构</w:t>
      </w:r>
      <w:r>
        <w:rPr>
          <w:rFonts w:ascii="宋体" w:eastAsia="宋体" w:cs="宋体" w:hint="eastAsia"/>
          <w:sz w:val="21"/>
          <w:szCs w:val="21"/>
        </w:rPr>
        <w:t>壹份，每份具有同等法律效力。</w:t>
      </w:r>
    </w:p>
    <w:p w14:paraId="2413A344" w14:textId="77777777" w:rsidR="00D21308" w:rsidRDefault="00D21308">
      <w:pPr>
        <w:pStyle w:val="a6"/>
        <w:widowControl/>
        <w:spacing w:before="100" w:beforeAutospacing="1" w:after="100" w:afterAutospacing="1"/>
        <w:ind w:firstLine="403"/>
        <w:rPr>
          <w:rFonts w:ascii="宋体" w:eastAsia="宋体"/>
          <w:sz w:val="21"/>
          <w:szCs w:val="21"/>
        </w:rPr>
      </w:pPr>
    </w:p>
    <w:p w14:paraId="40CE856F" w14:textId="77777777" w:rsidR="00D21308" w:rsidRDefault="00F41C2D">
      <w:pPr>
        <w:pStyle w:val="1"/>
        <w:widowControl/>
        <w:spacing w:before="100" w:beforeAutospacing="1" w:after="100" w:afterAutospacing="1" w:line="400" w:lineRule="exact"/>
        <w:ind w:firstLine="422"/>
        <w:rPr>
          <w:rFonts w:ascii="宋体" w:hAnsi="宋体"/>
          <w:bCs w:val="0"/>
          <w:sz w:val="21"/>
          <w:szCs w:val="21"/>
        </w:rPr>
      </w:pPr>
      <w:r>
        <w:rPr>
          <w:rFonts w:ascii="宋体" w:hAnsi="宋体" w:cs="宋体" w:hint="eastAsia"/>
          <w:bCs w:val="0"/>
          <w:sz w:val="21"/>
          <w:szCs w:val="21"/>
        </w:rPr>
        <w:t>二十、托管协议的签订</w:t>
      </w:r>
    </w:p>
    <w:p w14:paraId="607D58D4" w14:textId="77777777" w:rsidR="00D21308" w:rsidRDefault="00F41C2D">
      <w:pPr>
        <w:pStyle w:val="a6"/>
        <w:widowControl/>
        <w:spacing w:before="100" w:beforeAutospacing="1" w:after="100" w:afterAutospacing="1"/>
        <w:ind w:firstLine="403"/>
        <w:rPr>
          <w:rFonts w:ascii="宋体" w:eastAsia="宋体"/>
          <w:sz w:val="21"/>
          <w:szCs w:val="21"/>
        </w:rPr>
      </w:pPr>
      <w:r>
        <w:rPr>
          <w:rFonts w:ascii="宋体" w:eastAsia="宋体" w:cs="宋体" w:hint="eastAsia"/>
          <w:sz w:val="21"/>
          <w:szCs w:val="21"/>
        </w:rPr>
        <w:t>见签署页。</w:t>
      </w:r>
    </w:p>
    <w:p w14:paraId="22A625CD" w14:textId="77777777" w:rsidR="00D21308" w:rsidRDefault="00D21308">
      <w:pPr>
        <w:pStyle w:val="a6"/>
        <w:spacing w:before="100" w:beforeAutospacing="1" w:after="100" w:afterAutospacing="1"/>
        <w:ind w:firstLine="403"/>
        <w:rPr>
          <w:rFonts w:ascii="宋体" w:eastAsia="宋体"/>
          <w:sz w:val="21"/>
          <w:szCs w:val="21"/>
        </w:rPr>
        <w:sectPr w:rsidR="00D21308">
          <w:headerReference w:type="default" r:id="rId7"/>
          <w:footerReference w:type="even" r:id="rId8"/>
          <w:footerReference w:type="default" r:id="rId9"/>
          <w:headerReference w:type="first" r:id="rId10"/>
          <w:pgSz w:w="11906" w:h="16838"/>
          <w:pgMar w:top="1440" w:right="1800" w:bottom="1440" w:left="1800" w:header="851" w:footer="992" w:gutter="0"/>
          <w:pgNumType w:start="0"/>
          <w:cols w:space="425"/>
          <w:titlePg/>
          <w:docGrid w:type="lines" w:linePitch="312"/>
        </w:sectPr>
      </w:pPr>
    </w:p>
    <w:p w14:paraId="3A1CB556" w14:textId="208123F8" w:rsidR="00D21308" w:rsidRDefault="00F41C2D">
      <w:pPr>
        <w:pStyle w:val="Web"/>
        <w:spacing w:line="400" w:lineRule="exact"/>
        <w:ind w:firstLine="403"/>
        <w:rPr>
          <w:rFonts w:hint="default"/>
          <w:b/>
        </w:rPr>
      </w:pPr>
      <w:r>
        <w:rPr>
          <w:rFonts w:ascii="Calibri" w:hAnsi="Calibri"/>
          <w:sz w:val="21"/>
          <w:szCs w:val="21"/>
        </w:rPr>
        <w:lastRenderedPageBreak/>
        <w:t>（本页为《广发国证粮食产业交易型开放式指数证券投资基金发起式联接基金托管协议</w:t>
      </w:r>
      <w:r>
        <w:rPr>
          <w:rFonts w:ascii="Calibri" w:hAnsi="Calibri"/>
          <w:sz w:val="21"/>
          <w:szCs w:val="21"/>
        </w:rPr>
        <w:t>》签署页，无正文）</w:t>
      </w:r>
    </w:p>
    <w:p w14:paraId="3174470C" w14:textId="77777777" w:rsidR="00D21308" w:rsidRDefault="00D21308">
      <w:pPr>
        <w:pStyle w:val="Web"/>
        <w:spacing w:line="400" w:lineRule="exact"/>
        <w:ind w:firstLine="403"/>
        <w:rPr>
          <w:rFonts w:hint="default"/>
          <w:b/>
        </w:rPr>
      </w:pPr>
    </w:p>
    <w:p w14:paraId="5B380488" w14:textId="77777777" w:rsidR="00D21308" w:rsidRDefault="00D21308">
      <w:pPr>
        <w:pStyle w:val="Web"/>
        <w:spacing w:line="400" w:lineRule="exact"/>
        <w:rPr>
          <w:rFonts w:hint="default"/>
          <w:b/>
        </w:rPr>
      </w:pPr>
    </w:p>
    <w:p w14:paraId="6638E629" w14:textId="77777777" w:rsidR="00D21308" w:rsidRDefault="00F41C2D">
      <w:pPr>
        <w:widowControl/>
        <w:snapToGrid w:val="0"/>
        <w:spacing w:line="360" w:lineRule="auto"/>
        <w:ind w:right="26"/>
        <w:rPr>
          <w:b/>
          <w:szCs w:val="21"/>
        </w:rPr>
      </w:pPr>
      <w:r>
        <w:rPr>
          <w:rFonts w:hint="eastAsia"/>
          <w:szCs w:val="21"/>
        </w:rPr>
        <w:t>基金管理人：广发基金管理有限公司（盖章）</w:t>
      </w:r>
    </w:p>
    <w:p w14:paraId="0B78DF31" w14:textId="77777777" w:rsidR="00D21308" w:rsidRDefault="00D21308">
      <w:pPr>
        <w:pStyle w:val="Web"/>
        <w:spacing w:line="400" w:lineRule="exact"/>
        <w:ind w:firstLine="540"/>
        <w:rPr>
          <w:rFonts w:hint="default"/>
          <w:b/>
        </w:rPr>
      </w:pPr>
    </w:p>
    <w:p w14:paraId="3379A0B8" w14:textId="77777777" w:rsidR="00D21308" w:rsidRDefault="00D21308">
      <w:pPr>
        <w:pStyle w:val="Web"/>
        <w:spacing w:line="400" w:lineRule="exact"/>
        <w:rPr>
          <w:rFonts w:hint="default"/>
          <w:b/>
        </w:rPr>
      </w:pPr>
    </w:p>
    <w:p w14:paraId="541EAA7F" w14:textId="77777777" w:rsidR="00D21308" w:rsidRDefault="00D21308">
      <w:pPr>
        <w:pStyle w:val="Web"/>
        <w:spacing w:line="400" w:lineRule="exact"/>
        <w:rPr>
          <w:rFonts w:hint="default"/>
          <w:b/>
        </w:rPr>
      </w:pPr>
    </w:p>
    <w:p w14:paraId="21EE5617" w14:textId="77777777" w:rsidR="00D21308" w:rsidRDefault="00F41C2D">
      <w:pPr>
        <w:widowControl/>
        <w:snapToGrid w:val="0"/>
        <w:spacing w:line="360" w:lineRule="auto"/>
        <w:ind w:right="26"/>
        <w:rPr>
          <w:b/>
          <w:szCs w:val="21"/>
        </w:rPr>
      </w:pPr>
      <w:r w:rsidRPr="00604423">
        <w:rPr>
          <w:rFonts w:cs="宋体" w:hint="eastAsia"/>
          <w:bCs/>
          <w:szCs w:val="21"/>
        </w:rPr>
        <w:t>法定代表人或授权</w:t>
      </w:r>
      <w:r>
        <w:rPr>
          <w:rFonts w:hint="eastAsia"/>
          <w:szCs w:val="21"/>
        </w:rPr>
        <w:t>代表（签字或签章）：</w:t>
      </w:r>
      <w:r>
        <w:rPr>
          <w:szCs w:val="21"/>
        </w:rPr>
        <w:t xml:space="preserve"> </w:t>
      </w:r>
    </w:p>
    <w:p w14:paraId="60C7C9BB" w14:textId="77777777" w:rsidR="00D21308" w:rsidRDefault="00D21308">
      <w:pPr>
        <w:pStyle w:val="Web"/>
        <w:spacing w:line="400" w:lineRule="exact"/>
        <w:ind w:firstLine="420"/>
        <w:rPr>
          <w:rFonts w:hint="default"/>
          <w:b/>
        </w:rPr>
      </w:pPr>
    </w:p>
    <w:p w14:paraId="6EAB7288" w14:textId="77777777" w:rsidR="00D21308" w:rsidRDefault="00D21308">
      <w:pPr>
        <w:pStyle w:val="Web"/>
        <w:spacing w:line="400" w:lineRule="exact"/>
        <w:ind w:firstLine="420"/>
        <w:rPr>
          <w:rFonts w:hint="default"/>
          <w:b/>
        </w:rPr>
      </w:pPr>
    </w:p>
    <w:p w14:paraId="5713BE74" w14:textId="77777777" w:rsidR="00D21308" w:rsidRDefault="00D21308">
      <w:pPr>
        <w:snapToGrid w:val="0"/>
        <w:spacing w:line="360" w:lineRule="auto"/>
        <w:ind w:right="26"/>
        <w:rPr>
          <w:szCs w:val="21"/>
        </w:rPr>
      </w:pPr>
    </w:p>
    <w:p w14:paraId="4E4B217A" w14:textId="77777777" w:rsidR="00D21308" w:rsidRDefault="00D21308">
      <w:pPr>
        <w:snapToGrid w:val="0"/>
        <w:spacing w:line="360" w:lineRule="auto"/>
        <w:ind w:right="26"/>
        <w:rPr>
          <w:szCs w:val="21"/>
        </w:rPr>
      </w:pPr>
    </w:p>
    <w:p w14:paraId="7ADAF06F" w14:textId="77777777" w:rsidR="00D21308" w:rsidRDefault="00F41C2D">
      <w:pPr>
        <w:snapToGrid w:val="0"/>
        <w:spacing w:line="360" w:lineRule="auto"/>
        <w:ind w:right="26"/>
        <w:rPr>
          <w:szCs w:val="21"/>
        </w:rPr>
      </w:pPr>
      <w:r>
        <w:rPr>
          <w:rFonts w:hint="eastAsia"/>
          <w:szCs w:val="21"/>
        </w:rPr>
        <w:t>基金托管人：中国银行股份有限公司（盖章）</w:t>
      </w:r>
    </w:p>
    <w:p w14:paraId="42D11AD1" w14:textId="77777777" w:rsidR="00D21308" w:rsidRDefault="00D21308">
      <w:pPr>
        <w:snapToGrid w:val="0"/>
        <w:spacing w:line="360" w:lineRule="auto"/>
        <w:ind w:right="26"/>
        <w:rPr>
          <w:szCs w:val="21"/>
        </w:rPr>
      </w:pPr>
    </w:p>
    <w:p w14:paraId="504E04D7" w14:textId="77777777" w:rsidR="00D21308" w:rsidRDefault="00D21308">
      <w:pPr>
        <w:snapToGrid w:val="0"/>
        <w:spacing w:line="360" w:lineRule="auto"/>
        <w:ind w:right="26"/>
        <w:rPr>
          <w:szCs w:val="21"/>
        </w:rPr>
      </w:pPr>
    </w:p>
    <w:p w14:paraId="4F09852F" w14:textId="77777777" w:rsidR="00D21308" w:rsidRDefault="00D21308">
      <w:pPr>
        <w:snapToGrid w:val="0"/>
        <w:spacing w:line="360" w:lineRule="auto"/>
        <w:ind w:right="26"/>
        <w:rPr>
          <w:szCs w:val="21"/>
        </w:rPr>
      </w:pPr>
    </w:p>
    <w:p w14:paraId="4974912D" w14:textId="77777777" w:rsidR="00D21308" w:rsidRDefault="00D21308">
      <w:pPr>
        <w:snapToGrid w:val="0"/>
        <w:spacing w:line="360" w:lineRule="auto"/>
        <w:ind w:right="26"/>
        <w:rPr>
          <w:szCs w:val="21"/>
        </w:rPr>
      </w:pPr>
    </w:p>
    <w:p w14:paraId="11876019" w14:textId="77777777" w:rsidR="00D21308" w:rsidRDefault="00D21308">
      <w:pPr>
        <w:snapToGrid w:val="0"/>
        <w:spacing w:line="360" w:lineRule="auto"/>
        <w:ind w:right="26"/>
        <w:rPr>
          <w:szCs w:val="21"/>
        </w:rPr>
      </w:pPr>
    </w:p>
    <w:p w14:paraId="6FDE442B" w14:textId="77777777" w:rsidR="00D21308" w:rsidRDefault="00F41C2D">
      <w:pPr>
        <w:snapToGrid w:val="0"/>
        <w:spacing w:line="360" w:lineRule="auto"/>
        <w:ind w:right="26"/>
        <w:rPr>
          <w:szCs w:val="21"/>
        </w:rPr>
      </w:pPr>
      <w:r>
        <w:rPr>
          <w:rFonts w:hint="eastAsia"/>
          <w:szCs w:val="21"/>
        </w:rPr>
        <w:t>法定代表人或授权代表（签字或签章）：</w:t>
      </w:r>
      <w:r>
        <w:rPr>
          <w:szCs w:val="21"/>
        </w:rPr>
        <w:t xml:space="preserve"> </w:t>
      </w:r>
    </w:p>
    <w:p w14:paraId="33E4BBE9" w14:textId="77777777" w:rsidR="00D21308" w:rsidRDefault="00D21308">
      <w:pPr>
        <w:snapToGrid w:val="0"/>
        <w:spacing w:line="360" w:lineRule="auto"/>
        <w:ind w:right="26"/>
        <w:rPr>
          <w:szCs w:val="21"/>
        </w:rPr>
      </w:pPr>
    </w:p>
    <w:p w14:paraId="49675445" w14:textId="77777777" w:rsidR="00D21308" w:rsidRDefault="00D21308">
      <w:pPr>
        <w:snapToGrid w:val="0"/>
        <w:spacing w:line="360" w:lineRule="auto"/>
        <w:ind w:right="26"/>
        <w:rPr>
          <w:szCs w:val="21"/>
        </w:rPr>
      </w:pPr>
    </w:p>
    <w:p w14:paraId="78A3B6A1" w14:textId="77777777" w:rsidR="00D21308" w:rsidRDefault="00D21308">
      <w:pPr>
        <w:snapToGrid w:val="0"/>
        <w:spacing w:line="360" w:lineRule="auto"/>
        <w:ind w:right="26"/>
        <w:rPr>
          <w:szCs w:val="21"/>
        </w:rPr>
      </w:pPr>
    </w:p>
    <w:p w14:paraId="696526C8" w14:textId="77777777" w:rsidR="00D21308" w:rsidRDefault="00D21308">
      <w:pPr>
        <w:snapToGrid w:val="0"/>
        <w:spacing w:line="360" w:lineRule="auto"/>
        <w:ind w:right="26"/>
        <w:rPr>
          <w:szCs w:val="21"/>
        </w:rPr>
      </w:pPr>
    </w:p>
    <w:p w14:paraId="05ED1BBC" w14:textId="77777777" w:rsidR="00D21308" w:rsidRDefault="00F41C2D">
      <w:pPr>
        <w:snapToGrid w:val="0"/>
        <w:spacing w:line="360" w:lineRule="auto"/>
        <w:ind w:right="26"/>
        <w:rPr>
          <w:rFonts w:asciiTheme="majorEastAsia" w:eastAsiaTheme="majorEastAsia" w:hAnsiTheme="majorEastAsia"/>
        </w:rPr>
      </w:pPr>
      <w:r>
        <w:rPr>
          <w:rFonts w:asciiTheme="majorEastAsia" w:eastAsiaTheme="majorEastAsia" w:hAnsiTheme="majorEastAsia" w:hint="eastAsia"/>
        </w:rPr>
        <w:t>签订地点：</w:t>
      </w:r>
      <w:r>
        <w:rPr>
          <w:rFonts w:asciiTheme="majorEastAsia" w:eastAsiaTheme="majorEastAsia" w:hAnsiTheme="majorEastAsia"/>
        </w:rPr>
        <w:t xml:space="preserve"> </w:t>
      </w:r>
    </w:p>
    <w:p w14:paraId="7F11A4A9" w14:textId="77777777" w:rsidR="00D21308" w:rsidRDefault="00F41C2D">
      <w:pPr>
        <w:widowControl/>
        <w:autoSpaceDE w:val="0"/>
        <w:autoSpaceDN w:val="0"/>
        <w:adjustRightInd w:val="0"/>
        <w:spacing w:line="360" w:lineRule="auto"/>
        <w:ind w:right="480"/>
        <w:rPr>
          <w:rFonts w:asciiTheme="majorEastAsia" w:eastAsiaTheme="majorEastAsia" w:hAnsiTheme="majorEastAsia"/>
          <w:b/>
          <w:szCs w:val="21"/>
        </w:rPr>
      </w:pPr>
      <w:r>
        <w:rPr>
          <w:rFonts w:asciiTheme="majorEastAsia" w:eastAsiaTheme="majorEastAsia" w:hAnsiTheme="majorEastAsia" w:hint="eastAsia"/>
          <w:szCs w:val="21"/>
        </w:rPr>
        <w:t>签</w:t>
      </w:r>
      <w:r>
        <w:rPr>
          <w:rFonts w:asciiTheme="majorEastAsia" w:eastAsiaTheme="majorEastAsia" w:hAnsiTheme="majorEastAsia"/>
          <w:szCs w:val="21"/>
        </w:rPr>
        <w:t xml:space="preserve"> </w:t>
      </w:r>
      <w:r>
        <w:rPr>
          <w:rFonts w:asciiTheme="majorEastAsia" w:eastAsiaTheme="majorEastAsia" w:hAnsiTheme="majorEastAsia" w:hint="eastAsia"/>
          <w:szCs w:val="21"/>
        </w:rPr>
        <w:t>订</w:t>
      </w:r>
      <w:r>
        <w:rPr>
          <w:rFonts w:asciiTheme="majorEastAsia" w:eastAsiaTheme="majorEastAsia" w:hAnsiTheme="majorEastAsia"/>
          <w:szCs w:val="21"/>
        </w:rPr>
        <w:t xml:space="preserve"> </w:t>
      </w:r>
      <w:r>
        <w:rPr>
          <w:rFonts w:asciiTheme="majorEastAsia" w:eastAsiaTheme="majorEastAsia" w:hAnsiTheme="majorEastAsia" w:hint="eastAsia"/>
          <w:szCs w:val="21"/>
        </w:rPr>
        <w:t>日：</w:t>
      </w:r>
      <w:r>
        <w:rPr>
          <w:rFonts w:asciiTheme="majorEastAsia" w:eastAsiaTheme="majorEastAsia" w:hAnsiTheme="majorEastAsia"/>
          <w:szCs w:val="21"/>
        </w:rPr>
        <w:t xml:space="preserve">    </w:t>
      </w:r>
      <w:r>
        <w:rPr>
          <w:rFonts w:asciiTheme="majorEastAsia" w:eastAsiaTheme="majorEastAsia" w:hAnsiTheme="majorEastAsia" w:hint="eastAsia"/>
          <w:szCs w:val="21"/>
        </w:rPr>
        <w:t>年</w:t>
      </w:r>
      <w:r>
        <w:rPr>
          <w:rFonts w:asciiTheme="majorEastAsia" w:eastAsiaTheme="majorEastAsia" w:hAnsiTheme="majorEastAsia"/>
          <w:szCs w:val="21"/>
        </w:rPr>
        <w:t xml:space="preserve">    </w:t>
      </w:r>
      <w:r>
        <w:rPr>
          <w:rFonts w:asciiTheme="majorEastAsia" w:eastAsiaTheme="majorEastAsia" w:hAnsiTheme="majorEastAsia" w:hint="eastAsia"/>
          <w:szCs w:val="21"/>
        </w:rPr>
        <w:t>月</w:t>
      </w:r>
      <w:r>
        <w:rPr>
          <w:rFonts w:asciiTheme="majorEastAsia" w:eastAsiaTheme="majorEastAsia" w:hAnsiTheme="majorEastAsia"/>
          <w:szCs w:val="21"/>
        </w:rPr>
        <w:t xml:space="preserve">    </w:t>
      </w:r>
      <w:r>
        <w:rPr>
          <w:rFonts w:asciiTheme="majorEastAsia" w:eastAsiaTheme="majorEastAsia" w:hAnsiTheme="majorEastAsia" w:hint="eastAsia"/>
          <w:szCs w:val="21"/>
        </w:rPr>
        <w:t>日</w:t>
      </w:r>
    </w:p>
    <w:p w14:paraId="3673069C" w14:textId="77777777" w:rsidR="00D21308" w:rsidRDefault="00D21308">
      <w:pPr>
        <w:spacing w:line="360" w:lineRule="auto"/>
        <w:ind w:right="28"/>
        <w:rPr>
          <w:szCs w:val="21"/>
        </w:rPr>
      </w:pPr>
    </w:p>
    <w:p w14:paraId="17CE0901" w14:textId="77777777" w:rsidR="00D21308" w:rsidRDefault="00D21308"/>
    <w:sectPr w:rsidR="00D213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BE7B" w14:textId="77777777" w:rsidR="00F41C2D" w:rsidRDefault="00F41C2D">
      <w:r>
        <w:separator/>
      </w:r>
    </w:p>
  </w:endnote>
  <w:endnote w:type="continuationSeparator" w:id="0">
    <w:p w14:paraId="325B82E0" w14:textId="77777777" w:rsidR="00F41C2D" w:rsidRDefault="00F4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长城仿宋">
    <w:altName w:val="仿宋"/>
    <w:charset w:val="00"/>
    <w:family w:val="auto"/>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63C4" w14:textId="77777777" w:rsidR="00D21308" w:rsidRDefault="00F41C2D">
    <w:pPr>
      <w:pStyle w:val="a8"/>
      <w:snapToGrid/>
      <w:rPr>
        <w:rStyle w:val="ad"/>
        <w:sz w:val="21"/>
      </w:rPr>
    </w:pPr>
    <w:r>
      <w:rPr>
        <w:rStyle w:val="ad"/>
      </w:rPr>
      <w:fldChar w:fldCharType="begin"/>
    </w:r>
    <w:r>
      <w:rPr>
        <w:rStyle w:val="ad"/>
      </w:rPr>
      <w:instrText xml:space="preserve">PAGE  </w:instrText>
    </w:r>
    <w:r>
      <w:rPr>
        <w:rStyle w:val="ad"/>
      </w:rPr>
      <w:fldChar w:fldCharType="end"/>
    </w:r>
  </w:p>
  <w:p w14:paraId="1FEA82F6" w14:textId="77777777" w:rsidR="00D21308" w:rsidRDefault="00D21308">
    <w:pPr>
      <w:pStyle w:val="a8"/>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39BD" w14:textId="7CE1EBA5" w:rsidR="00D21308" w:rsidRDefault="00F41C2D">
    <w:pPr>
      <w:pStyle w:val="a8"/>
      <w:jc w:val="center"/>
    </w:pPr>
    <w:r>
      <w:fldChar w:fldCharType="begin"/>
    </w:r>
    <w:r>
      <w:instrText>PAGE   \* MERGEFORMAT</w:instrText>
    </w:r>
    <w:r>
      <w:fldChar w:fldCharType="separate"/>
    </w:r>
    <w:r w:rsidR="00604423" w:rsidRPr="0060442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526DC" w14:textId="77777777" w:rsidR="00F41C2D" w:rsidRDefault="00F41C2D">
      <w:r>
        <w:separator/>
      </w:r>
    </w:p>
  </w:footnote>
  <w:footnote w:type="continuationSeparator" w:id="0">
    <w:p w14:paraId="349AD8D6" w14:textId="77777777" w:rsidR="00F41C2D" w:rsidRDefault="00F4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9F33" w14:textId="154D9C97" w:rsidR="00D21308" w:rsidRDefault="00F41C2D">
    <w:pPr>
      <w:pStyle w:val="a9"/>
      <w:snapToGrid/>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2D9A" w14:textId="5D7D08DF" w:rsidR="00D21308" w:rsidRDefault="00F41C2D">
    <w:pPr>
      <w:pStyle w:val="a9"/>
      <w:jc w:val="right"/>
    </w:pP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C59C1B"/>
    <w:multiLevelType w:val="singleLevel"/>
    <w:tmpl w:val="9EC59C1B"/>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904DB"/>
    <w:rsid w:val="D7FF48BF"/>
    <w:rsid w:val="D97EDFD7"/>
    <w:rsid w:val="D98B75C6"/>
    <w:rsid w:val="DB2B0ABE"/>
    <w:rsid w:val="DBBD84A2"/>
    <w:rsid w:val="DCF35E63"/>
    <w:rsid w:val="DDE776B3"/>
    <w:rsid w:val="DDFEBBAA"/>
    <w:rsid w:val="DF36F915"/>
    <w:rsid w:val="E3557EF4"/>
    <w:rsid w:val="E5BF9C4C"/>
    <w:rsid w:val="E6B38A3D"/>
    <w:rsid w:val="E73BB9A0"/>
    <w:rsid w:val="E978BB0A"/>
    <w:rsid w:val="E9B70328"/>
    <w:rsid w:val="EABF92C7"/>
    <w:rsid w:val="EBFF0FC7"/>
    <w:rsid w:val="EEB78B35"/>
    <w:rsid w:val="EEBF865B"/>
    <w:rsid w:val="EEE73B8E"/>
    <w:rsid w:val="EEFD05C6"/>
    <w:rsid w:val="EEFFC2C0"/>
    <w:rsid w:val="EF5B83AF"/>
    <w:rsid w:val="EFEB2D29"/>
    <w:rsid w:val="EFEFE276"/>
    <w:rsid w:val="EFF65B02"/>
    <w:rsid w:val="F22750C2"/>
    <w:rsid w:val="F3D7CEB1"/>
    <w:rsid w:val="F3EF2B0D"/>
    <w:rsid w:val="F3F285F1"/>
    <w:rsid w:val="F3FFBB23"/>
    <w:rsid w:val="F52DFDB8"/>
    <w:rsid w:val="F5790539"/>
    <w:rsid w:val="F5D72954"/>
    <w:rsid w:val="F677B97D"/>
    <w:rsid w:val="F79F5B6E"/>
    <w:rsid w:val="F7D32413"/>
    <w:rsid w:val="F7F7785B"/>
    <w:rsid w:val="F9DEDAE8"/>
    <w:rsid w:val="FCC161A8"/>
    <w:rsid w:val="FDDB2855"/>
    <w:rsid w:val="FDF977CB"/>
    <w:rsid w:val="FDFDE8A3"/>
    <w:rsid w:val="FE3F0FFE"/>
    <w:rsid w:val="FEF223B5"/>
    <w:rsid w:val="FF5FAE5C"/>
    <w:rsid w:val="FF758DD6"/>
    <w:rsid w:val="FFFBBE1D"/>
    <w:rsid w:val="FFFC810E"/>
    <w:rsid w:val="FFFD98C5"/>
    <w:rsid w:val="FFFF3E89"/>
    <w:rsid w:val="000123F9"/>
    <w:rsid w:val="003A2269"/>
    <w:rsid w:val="00412C18"/>
    <w:rsid w:val="0054073D"/>
    <w:rsid w:val="00604423"/>
    <w:rsid w:val="00652A0D"/>
    <w:rsid w:val="006B6EE9"/>
    <w:rsid w:val="00766433"/>
    <w:rsid w:val="007F39F0"/>
    <w:rsid w:val="00832F12"/>
    <w:rsid w:val="008937EF"/>
    <w:rsid w:val="00977F9A"/>
    <w:rsid w:val="00C0554F"/>
    <w:rsid w:val="00CA29F3"/>
    <w:rsid w:val="00D21308"/>
    <w:rsid w:val="00D55852"/>
    <w:rsid w:val="00DD7331"/>
    <w:rsid w:val="00F05FFC"/>
    <w:rsid w:val="00F41C2D"/>
    <w:rsid w:val="01201D73"/>
    <w:rsid w:val="01945EC5"/>
    <w:rsid w:val="03755768"/>
    <w:rsid w:val="0410021C"/>
    <w:rsid w:val="07514993"/>
    <w:rsid w:val="07FBDDE7"/>
    <w:rsid w:val="0B5A78B0"/>
    <w:rsid w:val="0BF793E6"/>
    <w:rsid w:val="0D805C5B"/>
    <w:rsid w:val="0E8122D9"/>
    <w:rsid w:val="0F195CD1"/>
    <w:rsid w:val="10E61CD2"/>
    <w:rsid w:val="12C94352"/>
    <w:rsid w:val="13630534"/>
    <w:rsid w:val="139F773F"/>
    <w:rsid w:val="13BE4771"/>
    <w:rsid w:val="14FF6193"/>
    <w:rsid w:val="1696521E"/>
    <w:rsid w:val="177DFF76"/>
    <w:rsid w:val="17B941DA"/>
    <w:rsid w:val="17BE0662"/>
    <w:rsid w:val="17EB6190"/>
    <w:rsid w:val="18FB4688"/>
    <w:rsid w:val="19CAA2C4"/>
    <w:rsid w:val="1B4C6A94"/>
    <w:rsid w:val="1CC1153B"/>
    <w:rsid w:val="1DA07D7A"/>
    <w:rsid w:val="1DB765D0"/>
    <w:rsid w:val="1EFFB07D"/>
    <w:rsid w:val="22151078"/>
    <w:rsid w:val="22DB7B3C"/>
    <w:rsid w:val="22E463AC"/>
    <w:rsid w:val="22F7369D"/>
    <w:rsid w:val="23A931A0"/>
    <w:rsid w:val="27072664"/>
    <w:rsid w:val="28063FA1"/>
    <w:rsid w:val="28347384"/>
    <w:rsid w:val="29FFF00F"/>
    <w:rsid w:val="2A1D124B"/>
    <w:rsid w:val="2ABD342A"/>
    <w:rsid w:val="2BBE582F"/>
    <w:rsid w:val="2D002460"/>
    <w:rsid w:val="2D35442C"/>
    <w:rsid w:val="2D5F5CFD"/>
    <w:rsid w:val="2D69660C"/>
    <w:rsid w:val="2FCDD9F6"/>
    <w:rsid w:val="301A6EEE"/>
    <w:rsid w:val="30FDE127"/>
    <w:rsid w:val="33AC3853"/>
    <w:rsid w:val="37471E40"/>
    <w:rsid w:val="37D74271"/>
    <w:rsid w:val="37EB468F"/>
    <w:rsid w:val="3833238D"/>
    <w:rsid w:val="3A724BE4"/>
    <w:rsid w:val="3B081810"/>
    <w:rsid w:val="3B9367A7"/>
    <w:rsid w:val="3BBB6C35"/>
    <w:rsid w:val="3BDBC3B0"/>
    <w:rsid w:val="3BEE0789"/>
    <w:rsid w:val="3C28483A"/>
    <w:rsid w:val="3CD54FDA"/>
    <w:rsid w:val="3DA55DB5"/>
    <w:rsid w:val="3DB7E70F"/>
    <w:rsid w:val="3DCD4004"/>
    <w:rsid w:val="3E2A7B0A"/>
    <w:rsid w:val="3F6EBC0E"/>
    <w:rsid w:val="3F865379"/>
    <w:rsid w:val="3F9E8EE1"/>
    <w:rsid w:val="3FBF37B0"/>
    <w:rsid w:val="3FCB36A3"/>
    <w:rsid w:val="3FF9EED8"/>
    <w:rsid w:val="3FFFA3EC"/>
    <w:rsid w:val="40186E8E"/>
    <w:rsid w:val="41BB7D66"/>
    <w:rsid w:val="43F97579"/>
    <w:rsid w:val="443A54A4"/>
    <w:rsid w:val="45BF33F9"/>
    <w:rsid w:val="46F661E4"/>
    <w:rsid w:val="48431654"/>
    <w:rsid w:val="48573218"/>
    <w:rsid w:val="4A5D5D91"/>
    <w:rsid w:val="4ACA0AA1"/>
    <w:rsid w:val="4B3F6383"/>
    <w:rsid w:val="4BA30626"/>
    <w:rsid w:val="4CD17A13"/>
    <w:rsid w:val="4E4FB5FC"/>
    <w:rsid w:val="4EE7CE2E"/>
    <w:rsid w:val="4FA3997A"/>
    <w:rsid w:val="50FD7AEE"/>
    <w:rsid w:val="52463308"/>
    <w:rsid w:val="53AFFADE"/>
    <w:rsid w:val="53B7A7BE"/>
    <w:rsid w:val="54133250"/>
    <w:rsid w:val="54625C01"/>
    <w:rsid w:val="55093E11"/>
    <w:rsid w:val="57212282"/>
    <w:rsid w:val="576F0DC2"/>
    <w:rsid w:val="5BBE3971"/>
    <w:rsid w:val="5BE5F4CB"/>
    <w:rsid w:val="5DE04096"/>
    <w:rsid w:val="5DFB181D"/>
    <w:rsid w:val="5F0D1806"/>
    <w:rsid w:val="5F1792FF"/>
    <w:rsid w:val="5F9A3865"/>
    <w:rsid w:val="5FFE964F"/>
    <w:rsid w:val="60692C39"/>
    <w:rsid w:val="60D96770"/>
    <w:rsid w:val="60DD2BF7"/>
    <w:rsid w:val="62475A4D"/>
    <w:rsid w:val="6251055B"/>
    <w:rsid w:val="62A25118"/>
    <w:rsid w:val="62FBDB40"/>
    <w:rsid w:val="64AC4EB7"/>
    <w:rsid w:val="651859C9"/>
    <w:rsid w:val="65235DFA"/>
    <w:rsid w:val="652E1C0D"/>
    <w:rsid w:val="65FC5ADD"/>
    <w:rsid w:val="66D013AD"/>
    <w:rsid w:val="67E66902"/>
    <w:rsid w:val="67FFD03C"/>
    <w:rsid w:val="69543B1A"/>
    <w:rsid w:val="6A5247FE"/>
    <w:rsid w:val="6C8E6327"/>
    <w:rsid w:val="6CFB3DBC"/>
    <w:rsid w:val="6D170967"/>
    <w:rsid w:val="6DBFCA95"/>
    <w:rsid w:val="6DD3C278"/>
    <w:rsid w:val="6E3FC27F"/>
    <w:rsid w:val="6E4B87FD"/>
    <w:rsid w:val="6EFDECB8"/>
    <w:rsid w:val="6EFF2BA3"/>
    <w:rsid w:val="6F69AF64"/>
    <w:rsid w:val="6F6D25DC"/>
    <w:rsid w:val="6F7E0D3F"/>
    <w:rsid w:val="6FBA50FB"/>
    <w:rsid w:val="6FE74B44"/>
    <w:rsid w:val="6FFB64AE"/>
    <w:rsid w:val="6FFD50C8"/>
    <w:rsid w:val="70AB1998"/>
    <w:rsid w:val="7111358D"/>
    <w:rsid w:val="712612F0"/>
    <w:rsid w:val="72BB360A"/>
    <w:rsid w:val="739C06B8"/>
    <w:rsid w:val="73FB9855"/>
    <w:rsid w:val="75B77AAE"/>
    <w:rsid w:val="75E79760"/>
    <w:rsid w:val="75F789A2"/>
    <w:rsid w:val="770B67F6"/>
    <w:rsid w:val="777904DB"/>
    <w:rsid w:val="77AD9B9E"/>
    <w:rsid w:val="77FEF48B"/>
    <w:rsid w:val="78A33979"/>
    <w:rsid w:val="790B50E5"/>
    <w:rsid w:val="792F39E5"/>
    <w:rsid w:val="79E9B1DE"/>
    <w:rsid w:val="7A7206F1"/>
    <w:rsid w:val="7AF763CB"/>
    <w:rsid w:val="7B5210D1"/>
    <w:rsid w:val="7B6FCB9C"/>
    <w:rsid w:val="7BCE624E"/>
    <w:rsid w:val="7BDF6F70"/>
    <w:rsid w:val="7C8B8549"/>
    <w:rsid w:val="7CDDB4FA"/>
    <w:rsid w:val="7D46B8CC"/>
    <w:rsid w:val="7DFF1E2F"/>
    <w:rsid w:val="7EBA7D74"/>
    <w:rsid w:val="7ED64182"/>
    <w:rsid w:val="7F7C0624"/>
    <w:rsid w:val="7F7F65ED"/>
    <w:rsid w:val="7FAF957C"/>
    <w:rsid w:val="7FB5882E"/>
    <w:rsid w:val="7FBD88D3"/>
    <w:rsid w:val="7FC8FDA9"/>
    <w:rsid w:val="7FD0C337"/>
    <w:rsid w:val="7FDF84B5"/>
    <w:rsid w:val="7FE7150E"/>
    <w:rsid w:val="7FEE843D"/>
    <w:rsid w:val="7FF727E1"/>
    <w:rsid w:val="8E9255ED"/>
    <w:rsid w:val="8FDAEF34"/>
    <w:rsid w:val="8FEF588A"/>
    <w:rsid w:val="99FE465C"/>
    <w:rsid w:val="9E1F31B3"/>
    <w:rsid w:val="9F7FC59E"/>
    <w:rsid w:val="A6FDA532"/>
    <w:rsid w:val="AC3CC178"/>
    <w:rsid w:val="AE6F9EF1"/>
    <w:rsid w:val="AF1FA3D5"/>
    <w:rsid w:val="AFFE3A7C"/>
    <w:rsid w:val="AFFFD615"/>
    <w:rsid w:val="B6EF6585"/>
    <w:rsid w:val="B7FD3040"/>
    <w:rsid w:val="B9391A76"/>
    <w:rsid w:val="B9F13C7B"/>
    <w:rsid w:val="B9FFD454"/>
    <w:rsid w:val="BB616B87"/>
    <w:rsid w:val="BB6FAF4F"/>
    <w:rsid w:val="BCBB94BB"/>
    <w:rsid w:val="BCFF1C1C"/>
    <w:rsid w:val="BDFE6871"/>
    <w:rsid w:val="BFDD457E"/>
    <w:rsid w:val="BFFB094E"/>
    <w:rsid w:val="BFFEDE01"/>
    <w:rsid w:val="C7958482"/>
    <w:rsid w:val="CBFDAE9B"/>
    <w:rsid w:val="CF775490"/>
    <w:rsid w:val="CFF7F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118D9"/>
  <w15:docId w15:val="{E0531F54-75E8-49E0-B258-46157369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semiHidden/>
    <w:qFormat/>
    <w:rPr>
      <w:sz w:val="18"/>
      <w:szCs w:val="18"/>
    </w:rPr>
  </w:style>
  <w:style w:type="paragraph" w:styleId="a4">
    <w:name w:val="annotation text"/>
    <w:basedOn w:val="a"/>
    <w:link w:val="a5"/>
    <w:qFormat/>
    <w:pPr>
      <w:jc w:val="left"/>
    </w:pPr>
  </w:style>
  <w:style w:type="paragraph" w:styleId="a6">
    <w:name w:val="Body Text Indent"/>
    <w:basedOn w:val="a"/>
    <w:qFormat/>
    <w:pPr>
      <w:spacing w:line="400" w:lineRule="exact"/>
      <w:ind w:firstLineChars="192" w:firstLine="538"/>
    </w:pPr>
    <w:rPr>
      <w:rFonts w:ascii="仿宋_GB2312" w:eastAsia="仿宋_GB2312" w:hAnsi="宋体"/>
      <w:color w:val="000000"/>
      <w:sz w:val="28"/>
      <w:szCs w:val="28"/>
    </w:rPr>
  </w:style>
  <w:style w:type="paragraph" w:styleId="a7">
    <w:name w:val="Plain Text"/>
    <w:basedOn w:val="a"/>
    <w:qFormat/>
    <w:rPr>
      <w:rFonts w:ascii="宋体" w:hAnsi="Courier New" w:hint="eastAsia"/>
      <w:szCs w:val="21"/>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left="360" w:firstLine="540"/>
    </w:pPr>
    <w:rPr>
      <w:rFonts w:ascii="Times New Roman" w:eastAsia="长城仿宋" w:hAnsi="Times New Roman"/>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Normal (Web)"/>
    <w:basedOn w:val="a"/>
    <w:qFormat/>
    <w:pPr>
      <w:spacing w:before="100" w:beforeAutospacing="1" w:after="100" w:afterAutospacing="1"/>
      <w:jc w:val="left"/>
    </w:pPr>
    <w:rPr>
      <w:kern w:val="0"/>
      <w:sz w:val="24"/>
    </w:rPr>
  </w:style>
  <w:style w:type="paragraph" w:styleId="ab">
    <w:name w:val="annotation subject"/>
    <w:basedOn w:val="a4"/>
    <w:next w:val="a4"/>
    <w:link w:val="ac"/>
    <w:qFormat/>
    <w:rPr>
      <w:b/>
      <w:bCs/>
    </w:rPr>
  </w:style>
  <w:style w:type="character" w:styleId="ad">
    <w:name w:val="page number"/>
    <w:basedOn w:val="a1"/>
    <w:qFormat/>
  </w:style>
  <w:style w:type="character" w:styleId="ae">
    <w:name w:val="annotation reference"/>
    <w:qFormat/>
    <w:rPr>
      <w:sz w:val="21"/>
      <w:szCs w:val="21"/>
    </w:rPr>
  </w:style>
  <w:style w:type="paragraph" w:customStyle="1" w:styleId="Web">
    <w:name w:val="普通 (Web)"/>
    <w:basedOn w:val="a"/>
    <w:qFormat/>
    <w:pPr>
      <w:widowControl/>
      <w:spacing w:before="100" w:beforeAutospacing="1" w:after="100" w:afterAutospacing="1"/>
      <w:jc w:val="left"/>
    </w:pPr>
    <w:rPr>
      <w:rFonts w:ascii="宋体" w:hAnsi="宋体" w:hint="eastAsia"/>
      <w:kern w:val="0"/>
      <w:sz w:val="24"/>
    </w:rPr>
  </w:style>
  <w:style w:type="paragraph" w:customStyle="1" w:styleId="Default">
    <w:name w:val="Default"/>
    <w:basedOn w:val="a"/>
    <w:qFormat/>
    <w:pPr>
      <w:autoSpaceDE w:val="0"/>
      <w:autoSpaceDN w:val="0"/>
      <w:adjustRightInd w:val="0"/>
      <w:jc w:val="left"/>
    </w:pPr>
    <w:rPr>
      <w:rFonts w:ascii="仿宋_GB2312" w:eastAsia="仿宋_GB2312"/>
      <w:color w:val="000000"/>
      <w:kern w:val="0"/>
      <w:sz w:val="24"/>
    </w:rPr>
  </w:style>
  <w:style w:type="character" w:customStyle="1" w:styleId="15">
    <w:name w:val="15"/>
    <w:basedOn w:val="a1"/>
    <w:qFormat/>
    <w:rPr>
      <w:rFonts w:ascii="Times New Roman" w:hAnsi="Times New Roman" w:cs="Times New Roman" w:hint="default"/>
    </w:rPr>
  </w:style>
  <w:style w:type="paragraph" w:customStyle="1" w:styleId="10">
    <w:name w:val="列出段落1"/>
    <w:basedOn w:val="a"/>
    <w:qFormat/>
    <w:pPr>
      <w:ind w:firstLineChars="200" w:firstLine="420"/>
    </w:pPr>
    <w:rPr>
      <w:szCs w:val="21"/>
    </w:rPr>
  </w:style>
  <w:style w:type="character" w:customStyle="1" w:styleId="100">
    <w:name w:val="10"/>
    <w:basedOn w:val="a1"/>
    <w:qFormat/>
    <w:rPr>
      <w:rFonts w:ascii="Times New Roman" w:hAnsi="Times New Roman" w:cs="Times New Roman" w:hint="default"/>
    </w:rPr>
  </w:style>
  <w:style w:type="character" w:customStyle="1" w:styleId="read">
    <w:name w:val="read"/>
    <w:basedOn w:val="a1"/>
    <w:qFormat/>
  </w:style>
  <w:style w:type="paragraph" w:customStyle="1" w:styleId="Normal0a6eed05-0d19-45a3-9796-18ddb745b9ff">
    <w:name w:val="Normal_0a6eed05-0d19-45a3-9796-18ddb745b9ff"/>
    <w:qFormat/>
    <w:pPr>
      <w:widowControl w:val="0"/>
      <w:jc w:val="both"/>
    </w:pPr>
    <w:rPr>
      <w:rFonts w:ascii="Calibri" w:hAnsi="Calibri"/>
      <w:kern w:val="2"/>
      <w:sz w:val="21"/>
      <w:szCs w:val="24"/>
    </w:rPr>
  </w:style>
  <w:style w:type="paragraph" w:customStyle="1" w:styleId="11">
    <w:name w:val="修订1"/>
    <w:hidden/>
    <w:uiPriority w:val="99"/>
    <w:semiHidden/>
    <w:qFormat/>
    <w:rPr>
      <w:rFonts w:ascii="Calibri" w:hAnsi="Calibri"/>
      <w:kern w:val="2"/>
      <w:sz w:val="21"/>
      <w:szCs w:val="24"/>
    </w:rPr>
  </w:style>
  <w:style w:type="character" w:customStyle="1" w:styleId="a5">
    <w:name w:val="批注文字 字符"/>
    <w:basedOn w:val="a1"/>
    <w:link w:val="a4"/>
    <w:qFormat/>
    <w:rPr>
      <w:rFonts w:ascii="Calibri" w:hAnsi="Calibri"/>
      <w:kern w:val="2"/>
      <w:sz w:val="21"/>
      <w:szCs w:val="24"/>
    </w:rPr>
  </w:style>
  <w:style w:type="character" w:customStyle="1" w:styleId="ac">
    <w:name w:val="批注主题 字符"/>
    <w:basedOn w:val="a5"/>
    <w:link w:val="ab"/>
    <w:qFormat/>
    <w:rPr>
      <w:rFonts w:ascii="Calibri" w:hAnsi="Calibri"/>
      <w:b/>
      <w:bCs/>
      <w:kern w:val="2"/>
      <w:sz w:val="21"/>
      <w:szCs w:val="24"/>
    </w:rPr>
  </w:style>
  <w:style w:type="paragraph" w:customStyle="1" w:styleId="2">
    <w:name w:val="修订2"/>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34</Pages>
  <Words>3736</Words>
  <Characters>21298</Characters>
  <Application>Microsoft Office Word</Application>
  <DocSecurity>0</DocSecurity>
  <Lines>177</Lines>
  <Paragraphs>49</Paragraphs>
  <ScaleCrop>false</ScaleCrop>
  <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_5093255</dc:creator>
  <cp:lastModifiedBy>晁梦婷</cp:lastModifiedBy>
  <cp:revision>11</cp:revision>
  <dcterms:created xsi:type="dcterms:W3CDTF">2026-01-14T01:52:00Z</dcterms:created>
  <dcterms:modified xsi:type="dcterms:W3CDTF">2026-06-04T06:23:00Z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32BAD75F6466568EED89CB69BA1DD528_43</vt:lpwstr>
  </property>
  <property fmtid="{D5CDD505-2E9C-101B-9397-08002B2CF9AE}" pid="4" name="KSOTemplateDocerSaveRecord">
    <vt:lpwstr>eyJoZGlkIjoiNGY4NGMwMmE0NTBkNDQyNTc4NjBmMzRmYzM3M2U4YjQiLCJ1c2VySWQiOiIxMjIwMDQ3MzA3In0=</vt:lpwstr>
  </property>
</Properties>
</file>