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C1073" w14:textId="77777777" w:rsidR="00810426" w:rsidRDefault="00810426"/>
    <w:p w14:paraId="50CFDC79" w14:textId="77777777" w:rsidR="00810426" w:rsidRDefault="00810426"/>
    <w:p w14:paraId="5149FFD9" w14:textId="77777777" w:rsidR="00810426" w:rsidRDefault="00810426">
      <w:pPr>
        <w:pStyle w:val="Default"/>
      </w:pPr>
    </w:p>
    <w:p w14:paraId="1EE90545" w14:textId="77777777" w:rsidR="00810426" w:rsidRDefault="00B424E5">
      <w:pPr>
        <w:jc w:val="center"/>
        <w:rPr>
          <w:b/>
          <w:sz w:val="44"/>
          <w:szCs w:val="52"/>
        </w:rPr>
      </w:pPr>
      <w:r>
        <w:rPr>
          <w:b/>
          <w:sz w:val="20"/>
        </w:rPr>
        <w:t xml:space="preserve"> </w:t>
      </w:r>
      <w:r>
        <w:rPr>
          <w:rFonts w:hint="eastAsia"/>
          <w:b/>
          <w:sz w:val="44"/>
          <w:szCs w:val="52"/>
        </w:rPr>
        <w:t>广发基金管理有限公司</w:t>
      </w:r>
    </w:p>
    <w:p w14:paraId="6C7BEEF2" w14:textId="77777777" w:rsidR="00810426" w:rsidRDefault="00810426">
      <w:pPr>
        <w:jc w:val="center"/>
        <w:rPr>
          <w:b/>
          <w:sz w:val="44"/>
          <w:szCs w:val="52"/>
        </w:rPr>
      </w:pPr>
    </w:p>
    <w:p w14:paraId="698AB3AC" w14:textId="77777777" w:rsidR="00810426" w:rsidRDefault="00810426">
      <w:pPr>
        <w:jc w:val="center"/>
        <w:rPr>
          <w:b/>
          <w:sz w:val="44"/>
          <w:szCs w:val="44"/>
        </w:rPr>
      </w:pPr>
    </w:p>
    <w:p w14:paraId="091BADC5" w14:textId="77777777" w:rsidR="00810426" w:rsidRDefault="00B424E5" w:rsidP="00B424E5">
      <w:pPr>
        <w:ind w:leftChars="-135" w:rightChars="-135" w:right="-283" w:hangingChars="64" w:hanging="283"/>
        <w:jc w:val="center"/>
        <w:rPr>
          <w:b/>
          <w:sz w:val="44"/>
          <w:szCs w:val="44"/>
        </w:rPr>
      </w:pPr>
      <w:r>
        <w:rPr>
          <w:rFonts w:hAnsi="宋体" w:hint="eastAsia"/>
          <w:b/>
          <w:sz w:val="44"/>
          <w:szCs w:val="44"/>
        </w:rPr>
        <w:t>广发优势企业混合型证券投资基金（</w:t>
      </w:r>
      <w:r>
        <w:rPr>
          <w:rFonts w:hAnsi="宋体"/>
          <w:b/>
          <w:sz w:val="44"/>
          <w:szCs w:val="44"/>
        </w:rPr>
        <w:t>QDII</w:t>
      </w:r>
      <w:r>
        <w:rPr>
          <w:rFonts w:hAnsi="宋体"/>
          <w:b/>
          <w:sz w:val="44"/>
          <w:szCs w:val="44"/>
        </w:rPr>
        <w:t>）</w:t>
      </w:r>
    </w:p>
    <w:p w14:paraId="05E621B5" w14:textId="128291A5" w:rsidR="00810426" w:rsidRDefault="00B424E5">
      <w:pPr>
        <w:jc w:val="center"/>
        <w:rPr>
          <w:b/>
          <w:sz w:val="44"/>
          <w:szCs w:val="44"/>
        </w:rPr>
      </w:pPr>
      <w:r>
        <w:rPr>
          <w:rFonts w:hAnsi="宋体" w:hint="eastAsia"/>
          <w:b/>
          <w:sz w:val="44"/>
          <w:szCs w:val="44"/>
        </w:rPr>
        <w:t>托管协议</w:t>
      </w:r>
    </w:p>
    <w:p w14:paraId="68A7C6A3" w14:textId="77777777" w:rsidR="00810426" w:rsidRDefault="00810426">
      <w:pPr>
        <w:jc w:val="center"/>
      </w:pPr>
    </w:p>
    <w:p w14:paraId="077C49AA" w14:textId="77777777" w:rsidR="00810426" w:rsidRDefault="00810426">
      <w:pPr>
        <w:jc w:val="center"/>
        <w:rPr>
          <w:sz w:val="28"/>
        </w:rPr>
      </w:pPr>
    </w:p>
    <w:p w14:paraId="4622A831" w14:textId="77777777" w:rsidR="00810426" w:rsidRDefault="00810426">
      <w:pPr>
        <w:jc w:val="center"/>
        <w:rPr>
          <w:sz w:val="28"/>
        </w:rPr>
      </w:pPr>
    </w:p>
    <w:p w14:paraId="3A9B4ACD" w14:textId="77777777" w:rsidR="00810426" w:rsidRDefault="00810426">
      <w:pPr>
        <w:jc w:val="center"/>
        <w:rPr>
          <w:sz w:val="28"/>
        </w:rPr>
      </w:pPr>
    </w:p>
    <w:p w14:paraId="72915CA2" w14:textId="77777777" w:rsidR="00810426" w:rsidRDefault="00810426">
      <w:pPr>
        <w:jc w:val="center"/>
        <w:rPr>
          <w:sz w:val="28"/>
        </w:rPr>
      </w:pPr>
    </w:p>
    <w:p w14:paraId="4D9B9B9A" w14:textId="77777777" w:rsidR="00810426" w:rsidRDefault="00810426">
      <w:pPr>
        <w:jc w:val="center"/>
        <w:rPr>
          <w:sz w:val="28"/>
        </w:rPr>
      </w:pPr>
    </w:p>
    <w:p w14:paraId="65AD3A62" w14:textId="77777777" w:rsidR="00810426" w:rsidRDefault="00810426">
      <w:pPr>
        <w:jc w:val="center"/>
        <w:rPr>
          <w:sz w:val="28"/>
        </w:rPr>
      </w:pPr>
    </w:p>
    <w:p w14:paraId="41A5C0D4" w14:textId="77777777" w:rsidR="00810426" w:rsidRDefault="00810426">
      <w:pPr>
        <w:jc w:val="center"/>
        <w:rPr>
          <w:sz w:val="28"/>
        </w:rPr>
      </w:pPr>
    </w:p>
    <w:p w14:paraId="0EE36F31" w14:textId="77777777" w:rsidR="00810426" w:rsidRDefault="00810426">
      <w:pPr>
        <w:jc w:val="center"/>
        <w:rPr>
          <w:sz w:val="28"/>
        </w:rPr>
      </w:pPr>
    </w:p>
    <w:p w14:paraId="462D6D0A" w14:textId="77777777" w:rsidR="00810426" w:rsidRDefault="00810426">
      <w:pPr>
        <w:jc w:val="center"/>
      </w:pPr>
    </w:p>
    <w:p w14:paraId="57BCE1FD" w14:textId="77777777" w:rsidR="00810426" w:rsidRDefault="00B424E5">
      <w:pPr>
        <w:jc w:val="center"/>
        <w:rPr>
          <w:sz w:val="28"/>
        </w:rPr>
      </w:pPr>
      <w:r>
        <w:rPr>
          <w:rFonts w:hAnsi="宋体" w:hint="eastAsia"/>
          <w:sz w:val="28"/>
        </w:rPr>
        <w:t>基金管理人：</w:t>
      </w:r>
      <w:r>
        <w:rPr>
          <w:rFonts w:hAnsi="宋体" w:hint="eastAsia"/>
          <w:sz w:val="30"/>
        </w:rPr>
        <w:t>广发</w:t>
      </w:r>
      <w:r>
        <w:rPr>
          <w:rFonts w:hAnsi="宋体" w:hint="eastAsia"/>
          <w:sz w:val="28"/>
        </w:rPr>
        <w:t>基金管理有限公司</w:t>
      </w:r>
    </w:p>
    <w:p w14:paraId="04367A16" w14:textId="77777777" w:rsidR="00810426" w:rsidRDefault="00B424E5">
      <w:pPr>
        <w:jc w:val="center"/>
        <w:rPr>
          <w:sz w:val="28"/>
        </w:rPr>
      </w:pPr>
      <w:r>
        <w:rPr>
          <w:rFonts w:hAnsi="宋体" w:hint="eastAsia"/>
          <w:sz w:val="28"/>
        </w:rPr>
        <w:t>基金托管人：兴业银行股份有限公司</w:t>
      </w:r>
    </w:p>
    <w:p w14:paraId="38F642EF" w14:textId="77777777" w:rsidR="00810426" w:rsidRDefault="00810426">
      <w:pPr>
        <w:rPr>
          <w:sz w:val="28"/>
        </w:rPr>
      </w:pPr>
    </w:p>
    <w:p w14:paraId="5A72935B" w14:textId="77777777" w:rsidR="00810426" w:rsidRDefault="00810426">
      <w:pPr>
        <w:ind w:firstLine="420"/>
        <w:rPr>
          <w:rFonts w:ascii="宋体"/>
        </w:rPr>
      </w:pPr>
    </w:p>
    <w:p w14:paraId="7DADBC11" w14:textId="77777777" w:rsidR="00810426" w:rsidRDefault="00810426">
      <w:pPr>
        <w:rPr>
          <w:rFonts w:ascii="仿宋_GB2312" w:eastAsia="仿宋_GB2312" w:hAnsi="宋体" w:cs="Arial"/>
          <w:sz w:val="24"/>
        </w:rPr>
        <w:sectPr w:rsidR="00810426">
          <w:footerReference w:type="even" r:id="rId8"/>
          <w:pgSz w:w="11906" w:h="16838"/>
          <w:pgMar w:top="1418" w:right="1701" w:bottom="1418" w:left="1701" w:header="851" w:footer="992" w:gutter="0"/>
          <w:cols w:space="720"/>
          <w:titlePg/>
          <w:docGrid w:type="lines" w:linePitch="312"/>
        </w:sectPr>
      </w:pPr>
    </w:p>
    <w:p w14:paraId="28B5CB9C" w14:textId="77777777" w:rsidR="00810426" w:rsidRDefault="00B424E5">
      <w:pPr>
        <w:spacing w:beforeLines="50" w:before="156" w:afterLines="50" w:after="156" w:line="360" w:lineRule="auto"/>
        <w:jc w:val="center"/>
        <w:rPr>
          <w:b/>
          <w:bCs/>
        </w:rPr>
      </w:pPr>
      <w:r>
        <w:rPr>
          <w:rFonts w:hint="eastAsia"/>
          <w:b/>
          <w:bCs/>
          <w:sz w:val="30"/>
        </w:rPr>
        <w:lastRenderedPageBreak/>
        <w:t>目</w:t>
      </w:r>
      <w:r>
        <w:rPr>
          <w:b/>
          <w:bCs/>
          <w:sz w:val="30"/>
        </w:rPr>
        <w:t xml:space="preserve"> </w:t>
      </w:r>
      <w:r>
        <w:rPr>
          <w:rFonts w:hint="eastAsia"/>
          <w:b/>
          <w:bCs/>
          <w:sz w:val="30"/>
        </w:rPr>
        <w:t>录</w:t>
      </w:r>
    </w:p>
    <w:p w14:paraId="6150E43B" w14:textId="50B42163" w:rsidR="00810426" w:rsidRDefault="00B424E5">
      <w:pPr>
        <w:pStyle w:val="21"/>
        <w:rPr>
          <w:rFonts w:ascii="等线" w:eastAsia="等线" w:hAnsi="等线"/>
          <w:noProof/>
          <w:szCs w:val="22"/>
        </w:rPr>
      </w:pPr>
      <w:r>
        <w:rPr>
          <w:b/>
        </w:rPr>
        <w:fldChar w:fldCharType="begin"/>
      </w:r>
      <w:r>
        <w:rPr>
          <w:b/>
        </w:rPr>
        <w:instrText xml:space="preserve"> TOC \o "1-2" \h \z </w:instrText>
      </w:r>
      <w:r>
        <w:rPr>
          <w:b/>
        </w:rPr>
        <w:fldChar w:fldCharType="separate"/>
      </w:r>
      <w:hyperlink w:anchor="_Toc214361110" w:history="1">
        <w:r>
          <w:rPr>
            <w:rStyle w:val="af7"/>
            <w:noProof/>
          </w:rPr>
          <w:t>一、基金托管协议当事人</w:t>
        </w:r>
        <w:r>
          <w:rPr>
            <w:noProof/>
          </w:rPr>
          <w:tab/>
        </w:r>
        <w:r>
          <w:rPr>
            <w:noProof/>
          </w:rPr>
          <w:fldChar w:fldCharType="begin"/>
        </w:r>
        <w:r>
          <w:rPr>
            <w:noProof/>
          </w:rPr>
          <w:instrText xml:space="preserve"> PAGEREF _Toc214361110 \h </w:instrText>
        </w:r>
        <w:r>
          <w:rPr>
            <w:noProof/>
          </w:rPr>
        </w:r>
        <w:r>
          <w:rPr>
            <w:noProof/>
          </w:rPr>
          <w:fldChar w:fldCharType="separate"/>
        </w:r>
        <w:r w:rsidR="00432BF0">
          <w:rPr>
            <w:noProof/>
          </w:rPr>
          <w:t>2</w:t>
        </w:r>
        <w:r>
          <w:rPr>
            <w:noProof/>
          </w:rPr>
          <w:fldChar w:fldCharType="end"/>
        </w:r>
      </w:hyperlink>
    </w:p>
    <w:p w14:paraId="77508CFD" w14:textId="096987BA" w:rsidR="00810426" w:rsidRDefault="00B424E5">
      <w:pPr>
        <w:pStyle w:val="21"/>
        <w:rPr>
          <w:rFonts w:ascii="等线" w:eastAsia="等线" w:hAnsi="等线"/>
          <w:noProof/>
          <w:szCs w:val="22"/>
        </w:rPr>
      </w:pPr>
      <w:hyperlink w:anchor="_Toc214361111" w:history="1">
        <w:r>
          <w:rPr>
            <w:rStyle w:val="af7"/>
            <w:noProof/>
          </w:rPr>
          <w:t>二、基金托管协议的依据</w:t>
        </w:r>
        <w:bookmarkStart w:id="0" w:name="_Hlt214370912"/>
        <w:bookmarkStart w:id="1" w:name="_Hlt214370913"/>
        <w:r>
          <w:rPr>
            <w:rStyle w:val="af7"/>
            <w:noProof/>
          </w:rPr>
          <w:t>、</w:t>
        </w:r>
        <w:bookmarkEnd w:id="0"/>
        <w:bookmarkEnd w:id="1"/>
        <w:r>
          <w:rPr>
            <w:rStyle w:val="af7"/>
            <w:noProof/>
          </w:rPr>
          <w:t>目的和原则</w:t>
        </w:r>
        <w:r>
          <w:rPr>
            <w:noProof/>
          </w:rPr>
          <w:tab/>
        </w:r>
        <w:r>
          <w:rPr>
            <w:noProof/>
          </w:rPr>
          <w:fldChar w:fldCharType="begin"/>
        </w:r>
        <w:r>
          <w:rPr>
            <w:noProof/>
          </w:rPr>
          <w:instrText xml:space="preserve"> PAGEREF _Toc214361111 \h </w:instrText>
        </w:r>
        <w:r>
          <w:rPr>
            <w:noProof/>
          </w:rPr>
        </w:r>
        <w:r>
          <w:rPr>
            <w:noProof/>
          </w:rPr>
          <w:fldChar w:fldCharType="separate"/>
        </w:r>
        <w:r w:rsidR="00432BF0">
          <w:rPr>
            <w:noProof/>
          </w:rPr>
          <w:t>4</w:t>
        </w:r>
        <w:r>
          <w:rPr>
            <w:noProof/>
          </w:rPr>
          <w:fldChar w:fldCharType="end"/>
        </w:r>
      </w:hyperlink>
    </w:p>
    <w:p w14:paraId="683DB2C7" w14:textId="04382321" w:rsidR="00810426" w:rsidRDefault="00B424E5">
      <w:pPr>
        <w:pStyle w:val="21"/>
        <w:rPr>
          <w:rFonts w:ascii="等线" w:eastAsia="等线" w:hAnsi="等线"/>
          <w:noProof/>
          <w:szCs w:val="22"/>
        </w:rPr>
      </w:pPr>
      <w:hyperlink w:anchor="_Toc214361112" w:history="1">
        <w:r>
          <w:rPr>
            <w:rStyle w:val="af7"/>
            <w:noProof/>
          </w:rPr>
          <w:t>三、基金托管人对基金管理人的业务监督和核查</w:t>
        </w:r>
        <w:r>
          <w:rPr>
            <w:noProof/>
          </w:rPr>
          <w:tab/>
        </w:r>
        <w:r>
          <w:rPr>
            <w:noProof/>
          </w:rPr>
          <w:fldChar w:fldCharType="begin"/>
        </w:r>
        <w:r>
          <w:rPr>
            <w:noProof/>
          </w:rPr>
          <w:instrText xml:space="preserve"> PAGEREF _Toc214361112 \h </w:instrText>
        </w:r>
        <w:r>
          <w:rPr>
            <w:noProof/>
          </w:rPr>
        </w:r>
        <w:r>
          <w:rPr>
            <w:noProof/>
          </w:rPr>
          <w:fldChar w:fldCharType="separate"/>
        </w:r>
        <w:r w:rsidR="00432BF0">
          <w:rPr>
            <w:noProof/>
          </w:rPr>
          <w:t>5</w:t>
        </w:r>
        <w:r>
          <w:rPr>
            <w:noProof/>
          </w:rPr>
          <w:fldChar w:fldCharType="end"/>
        </w:r>
      </w:hyperlink>
    </w:p>
    <w:p w14:paraId="220079A6" w14:textId="6F4BE340" w:rsidR="00810426" w:rsidRDefault="00B424E5">
      <w:pPr>
        <w:pStyle w:val="21"/>
        <w:rPr>
          <w:rFonts w:ascii="等线" w:eastAsia="等线" w:hAnsi="等线"/>
          <w:noProof/>
          <w:szCs w:val="22"/>
        </w:rPr>
      </w:pPr>
      <w:hyperlink w:anchor="_Toc214361113" w:history="1">
        <w:r>
          <w:rPr>
            <w:rStyle w:val="af7"/>
            <w:noProof/>
          </w:rPr>
          <w:t>四、基金管理人对基金托管人的业务核查</w:t>
        </w:r>
        <w:r>
          <w:rPr>
            <w:noProof/>
          </w:rPr>
          <w:tab/>
        </w:r>
        <w:r>
          <w:rPr>
            <w:noProof/>
          </w:rPr>
          <w:fldChar w:fldCharType="begin"/>
        </w:r>
        <w:r>
          <w:rPr>
            <w:noProof/>
          </w:rPr>
          <w:instrText xml:space="preserve"> PAGEREF _Toc214361113 \h </w:instrText>
        </w:r>
        <w:r>
          <w:rPr>
            <w:noProof/>
          </w:rPr>
        </w:r>
        <w:r>
          <w:rPr>
            <w:noProof/>
          </w:rPr>
          <w:fldChar w:fldCharType="separate"/>
        </w:r>
        <w:r w:rsidR="00432BF0">
          <w:rPr>
            <w:noProof/>
          </w:rPr>
          <w:t>13</w:t>
        </w:r>
        <w:r>
          <w:rPr>
            <w:noProof/>
          </w:rPr>
          <w:fldChar w:fldCharType="end"/>
        </w:r>
      </w:hyperlink>
    </w:p>
    <w:p w14:paraId="0747AABA" w14:textId="12DDCA68" w:rsidR="00810426" w:rsidRDefault="00B424E5">
      <w:pPr>
        <w:pStyle w:val="21"/>
        <w:rPr>
          <w:rFonts w:ascii="等线" w:eastAsia="等线" w:hAnsi="等线"/>
          <w:noProof/>
          <w:szCs w:val="22"/>
        </w:rPr>
      </w:pPr>
      <w:hyperlink w:anchor="_Toc214361114" w:history="1">
        <w:r>
          <w:rPr>
            <w:rStyle w:val="af7"/>
            <w:noProof/>
          </w:rPr>
          <w:t>五、基金财产的保管</w:t>
        </w:r>
        <w:r>
          <w:rPr>
            <w:noProof/>
          </w:rPr>
          <w:tab/>
        </w:r>
        <w:r>
          <w:rPr>
            <w:noProof/>
          </w:rPr>
          <w:fldChar w:fldCharType="begin"/>
        </w:r>
        <w:r>
          <w:rPr>
            <w:noProof/>
          </w:rPr>
          <w:instrText xml:space="preserve"> PAGEREF _Toc214361114 \h </w:instrText>
        </w:r>
        <w:r>
          <w:rPr>
            <w:noProof/>
          </w:rPr>
        </w:r>
        <w:r>
          <w:rPr>
            <w:noProof/>
          </w:rPr>
          <w:fldChar w:fldCharType="separate"/>
        </w:r>
        <w:r w:rsidR="00432BF0">
          <w:rPr>
            <w:noProof/>
          </w:rPr>
          <w:t>14</w:t>
        </w:r>
        <w:r>
          <w:rPr>
            <w:noProof/>
          </w:rPr>
          <w:fldChar w:fldCharType="end"/>
        </w:r>
      </w:hyperlink>
    </w:p>
    <w:p w14:paraId="636D57BE" w14:textId="6EEB4CF1" w:rsidR="00810426" w:rsidRDefault="00B424E5">
      <w:pPr>
        <w:pStyle w:val="21"/>
        <w:rPr>
          <w:rFonts w:ascii="等线" w:eastAsia="等线" w:hAnsi="等线"/>
          <w:noProof/>
          <w:szCs w:val="22"/>
        </w:rPr>
      </w:pPr>
      <w:hyperlink w:anchor="_Toc214361115" w:history="1">
        <w:r>
          <w:rPr>
            <w:rStyle w:val="af7"/>
            <w:noProof/>
          </w:rPr>
          <w:t>六、指令的发送、确认及执行</w:t>
        </w:r>
        <w:r>
          <w:rPr>
            <w:noProof/>
          </w:rPr>
          <w:tab/>
        </w:r>
        <w:r>
          <w:rPr>
            <w:noProof/>
          </w:rPr>
          <w:fldChar w:fldCharType="begin"/>
        </w:r>
        <w:r>
          <w:rPr>
            <w:noProof/>
          </w:rPr>
          <w:instrText xml:space="preserve"> PAGEREF _Toc214361115 \h </w:instrText>
        </w:r>
        <w:r>
          <w:rPr>
            <w:noProof/>
          </w:rPr>
        </w:r>
        <w:r>
          <w:rPr>
            <w:noProof/>
          </w:rPr>
          <w:fldChar w:fldCharType="separate"/>
        </w:r>
        <w:r w:rsidR="00432BF0">
          <w:rPr>
            <w:noProof/>
          </w:rPr>
          <w:t>18</w:t>
        </w:r>
        <w:r>
          <w:rPr>
            <w:noProof/>
          </w:rPr>
          <w:fldChar w:fldCharType="end"/>
        </w:r>
      </w:hyperlink>
    </w:p>
    <w:p w14:paraId="74CBFA5F" w14:textId="48385223" w:rsidR="00810426" w:rsidRDefault="00B424E5">
      <w:pPr>
        <w:pStyle w:val="21"/>
        <w:rPr>
          <w:rFonts w:ascii="等线" w:eastAsia="等线" w:hAnsi="等线"/>
          <w:noProof/>
          <w:szCs w:val="22"/>
        </w:rPr>
      </w:pPr>
      <w:hyperlink w:anchor="_Toc214361116" w:history="1">
        <w:r>
          <w:rPr>
            <w:rStyle w:val="af7"/>
            <w:noProof/>
          </w:rPr>
          <w:t>七、交易及清算交收安排</w:t>
        </w:r>
        <w:r>
          <w:rPr>
            <w:noProof/>
          </w:rPr>
          <w:tab/>
        </w:r>
        <w:r>
          <w:rPr>
            <w:noProof/>
          </w:rPr>
          <w:fldChar w:fldCharType="begin"/>
        </w:r>
        <w:r>
          <w:rPr>
            <w:noProof/>
          </w:rPr>
          <w:instrText xml:space="preserve"> PAGEREF _Toc214361116 \h </w:instrText>
        </w:r>
        <w:r>
          <w:rPr>
            <w:noProof/>
          </w:rPr>
        </w:r>
        <w:r>
          <w:rPr>
            <w:noProof/>
          </w:rPr>
          <w:fldChar w:fldCharType="separate"/>
        </w:r>
        <w:r w:rsidR="00432BF0">
          <w:rPr>
            <w:noProof/>
          </w:rPr>
          <w:t>21</w:t>
        </w:r>
        <w:r>
          <w:rPr>
            <w:noProof/>
          </w:rPr>
          <w:fldChar w:fldCharType="end"/>
        </w:r>
      </w:hyperlink>
    </w:p>
    <w:p w14:paraId="5051135C" w14:textId="199F3563" w:rsidR="00810426" w:rsidRDefault="00B424E5">
      <w:pPr>
        <w:pStyle w:val="21"/>
        <w:rPr>
          <w:rFonts w:ascii="等线" w:eastAsia="等线" w:hAnsi="等线"/>
          <w:noProof/>
          <w:szCs w:val="22"/>
        </w:rPr>
      </w:pPr>
      <w:hyperlink w:anchor="_Toc214361117" w:history="1">
        <w:r>
          <w:rPr>
            <w:rStyle w:val="af7"/>
            <w:noProof/>
          </w:rPr>
          <w:t>八、基金资产净值计算和会计核算</w:t>
        </w:r>
        <w:r>
          <w:rPr>
            <w:noProof/>
          </w:rPr>
          <w:tab/>
        </w:r>
        <w:r>
          <w:rPr>
            <w:noProof/>
          </w:rPr>
          <w:fldChar w:fldCharType="begin"/>
        </w:r>
        <w:r>
          <w:rPr>
            <w:noProof/>
          </w:rPr>
          <w:instrText xml:space="preserve"> PAGEREF _Toc214361117 \h </w:instrText>
        </w:r>
        <w:r>
          <w:rPr>
            <w:noProof/>
          </w:rPr>
        </w:r>
        <w:r>
          <w:rPr>
            <w:noProof/>
          </w:rPr>
          <w:fldChar w:fldCharType="separate"/>
        </w:r>
        <w:r w:rsidR="00432BF0">
          <w:rPr>
            <w:noProof/>
          </w:rPr>
          <w:t>27</w:t>
        </w:r>
        <w:r>
          <w:rPr>
            <w:noProof/>
          </w:rPr>
          <w:fldChar w:fldCharType="end"/>
        </w:r>
      </w:hyperlink>
    </w:p>
    <w:p w14:paraId="51608C35" w14:textId="3E95F737" w:rsidR="00810426" w:rsidRDefault="00B424E5">
      <w:pPr>
        <w:pStyle w:val="21"/>
        <w:rPr>
          <w:rFonts w:ascii="等线" w:eastAsia="等线" w:hAnsi="等线"/>
          <w:noProof/>
          <w:szCs w:val="22"/>
        </w:rPr>
      </w:pPr>
      <w:hyperlink w:anchor="_Toc214361118" w:history="1">
        <w:r>
          <w:rPr>
            <w:rStyle w:val="af7"/>
            <w:bCs/>
            <w:noProof/>
          </w:rPr>
          <w:t>九、基金收益分配</w:t>
        </w:r>
        <w:r>
          <w:rPr>
            <w:noProof/>
          </w:rPr>
          <w:tab/>
        </w:r>
        <w:r>
          <w:rPr>
            <w:noProof/>
          </w:rPr>
          <w:fldChar w:fldCharType="begin"/>
        </w:r>
        <w:r>
          <w:rPr>
            <w:noProof/>
          </w:rPr>
          <w:instrText xml:space="preserve"> PAGEREF _Toc214361118 \h </w:instrText>
        </w:r>
        <w:r>
          <w:rPr>
            <w:noProof/>
          </w:rPr>
        </w:r>
        <w:r>
          <w:rPr>
            <w:noProof/>
          </w:rPr>
          <w:fldChar w:fldCharType="separate"/>
        </w:r>
        <w:r w:rsidR="00432BF0">
          <w:rPr>
            <w:noProof/>
          </w:rPr>
          <w:t>34</w:t>
        </w:r>
        <w:r>
          <w:rPr>
            <w:noProof/>
          </w:rPr>
          <w:fldChar w:fldCharType="end"/>
        </w:r>
      </w:hyperlink>
    </w:p>
    <w:p w14:paraId="7FEFBAA5" w14:textId="340F59DB" w:rsidR="00810426" w:rsidRDefault="00B424E5">
      <w:pPr>
        <w:pStyle w:val="21"/>
        <w:rPr>
          <w:rFonts w:ascii="等线" w:eastAsia="等线" w:hAnsi="等线"/>
          <w:noProof/>
          <w:szCs w:val="22"/>
        </w:rPr>
      </w:pPr>
      <w:hyperlink w:anchor="_Toc214361119" w:history="1">
        <w:r>
          <w:rPr>
            <w:rStyle w:val="af7"/>
            <w:bCs/>
            <w:noProof/>
          </w:rPr>
          <w:t>十、基金信息披露</w:t>
        </w:r>
        <w:r>
          <w:rPr>
            <w:noProof/>
          </w:rPr>
          <w:tab/>
        </w:r>
        <w:r>
          <w:rPr>
            <w:noProof/>
          </w:rPr>
          <w:fldChar w:fldCharType="begin"/>
        </w:r>
        <w:r>
          <w:rPr>
            <w:noProof/>
          </w:rPr>
          <w:instrText xml:space="preserve"> PAGEREF _Toc214361119 \h </w:instrText>
        </w:r>
        <w:r>
          <w:rPr>
            <w:noProof/>
          </w:rPr>
        </w:r>
        <w:r>
          <w:rPr>
            <w:noProof/>
          </w:rPr>
          <w:fldChar w:fldCharType="separate"/>
        </w:r>
        <w:r w:rsidR="00432BF0">
          <w:rPr>
            <w:noProof/>
          </w:rPr>
          <w:t>35</w:t>
        </w:r>
        <w:r>
          <w:rPr>
            <w:noProof/>
          </w:rPr>
          <w:fldChar w:fldCharType="end"/>
        </w:r>
      </w:hyperlink>
    </w:p>
    <w:p w14:paraId="2AD853A3" w14:textId="5AC09E4A" w:rsidR="00810426" w:rsidRDefault="00B424E5">
      <w:pPr>
        <w:pStyle w:val="21"/>
        <w:rPr>
          <w:rFonts w:ascii="等线" w:eastAsia="等线" w:hAnsi="等线"/>
          <w:noProof/>
          <w:szCs w:val="22"/>
        </w:rPr>
      </w:pPr>
      <w:hyperlink w:anchor="_Toc214361120" w:history="1">
        <w:r>
          <w:rPr>
            <w:rStyle w:val="af7"/>
            <w:noProof/>
          </w:rPr>
          <w:t>十一、基金费用</w:t>
        </w:r>
        <w:r>
          <w:rPr>
            <w:noProof/>
          </w:rPr>
          <w:tab/>
        </w:r>
        <w:r>
          <w:rPr>
            <w:noProof/>
          </w:rPr>
          <w:fldChar w:fldCharType="begin"/>
        </w:r>
        <w:r>
          <w:rPr>
            <w:noProof/>
          </w:rPr>
          <w:instrText xml:space="preserve"> PAGEREF _Toc214361120 \h </w:instrText>
        </w:r>
        <w:r>
          <w:rPr>
            <w:noProof/>
          </w:rPr>
        </w:r>
        <w:r>
          <w:rPr>
            <w:noProof/>
          </w:rPr>
          <w:fldChar w:fldCharType="separate"/>
        </w:r>
        <w:r w:rsidR="00432BF0">
          <w:rPr>
            <w:noProof/>
          </w:rPr>
          <w:t>37</w:t>
        </w:r>
        <w:r>
          <w:rPr>
            <w:noProof/>
          </w:rPr>
          <w:fldChar w:fldCharType="end"/>
        </w:r>
      </w:hyperlink>
    </w:p>
    <w:p w14:paraId="480D6C41" w14:textId="5B67C5D5" w:rsidR="00810426" w:rsidRDefault="00B424E5">
      <w:pPr>
        <w:pStyle w:val="21"/>
        <w:rPr>
          <w:rFonts w:ascii="等线" w:eastAsia="等线" w:hAnsi="等线"/>
          <w:noProof/>
          <w:szCs w:val="22"/>
        </w:rPr>
      </w:pPr>
      <w:hyperlink w:anchor="_Toc214361121" w:history="1">
        <w:r>
          <w:rPr>
            <w:rStyle w:val="af7"/>
            <w:noProof/>
          </w:rPr>
          <w:t>十二、基金份额持有人名册的保管</w:t>
        </w:r>
        <w:r>
          <w:rPr>
            <w:noProof/>
          </w:rPr>
          <w:tab/>
        </w:r>
        <w:r>
          <w:rPr>
            <w:noProof/>
          </w:rPr>
          <w:fldChar w:fldCharType="begin"/>
        </w:r>
        <w:r>
          <w:rPr>
            <w:noProof/>
          </w:rPr>
          <w:instrText xml:space="preserve"> PAGEREF _Toc214361121 \h </w:instrText>
        </w:r>
        <w:r>
          <w:rPr>
            <w:noProof/>
          </w:rPr>
        </w:r>
        <w:r>
          <w:rPr>
            <w:noProof/>
          </w:rPr>
          <w:fldChar w:fldCharType="separate"/>
        </w:r>
        <w:r w:rsidR="00432BF0">
          <w:rPr>
            <w:noProof/>
          </w:rPr>
          <w:t>38</w:t>
        </w:r>
        <w:r>
          <w:rPr>
            <w:noProof/>
          </w:rPr>
          <w:fldChar w:fldCharType="end"/>
        </w:r>
      </w:hyperlink>
    </w:p>
    <w:p w14:paraId="45FEE3DD" w14:textId="7ACC5C29" w:rsidR="00810426" w:rsidRDefault="00B424E5">
      <w:pPr>
        <w:pStyle w:val="21"/>
        <w:rPr>
          <w:rFonts w:ascii="等线" w:eastAsia="等线" w:hAnsi="等线"/>
          <w:noProof/>
          <w:szCs w:val="22"/>
        </w:rPr>
      </w:pPr>
      <w:hyperlink w:anchor="_Toc214361122" w:history="1">
        <w:r>
          <w:rPr>
            <w:rStyle w:val="af7"/>
            <w:noProof/>
          </w:rPr>
          <w:t>十三、基金有关文件档案的保存</w:t>
        </w:r>
        <w:r>
          <w:rPr>
            <w:noProof/>
          </w:rPr>
          <w:tab/>
        </w:r>
        <w:r>
          <w:rPr>
            <w:noProof/>
          </w:rPr>
          <w:fldChar w:fldCharType="begin"/>
        </w:r>
        <w:r>
          <w:rPr>
            <w:noProof/>
          </w:rPr>
          <w:instrText xml:space="preserve"> PAGEREF _Toc214361122 \h </w:instrText>
        </w:r>
        <w:r>
          <w:rPr>
            <w:noProof/>
          </w:rPr>
        </w:r>
        <w:r>
          <w:rPr>
            <w:noProof/>
          </w:rPr>
          <w:fldChar w:fldCharType="separate"/>
        </w:r>
        <w:r w:rsidR="00432BF0">
          <w:rPr>
            <w:noProof/>
          </w:rPr>
          <w:t>39</w:t>
        </w:r>
        <w:r>
          <w:rPr>
            <w:noProof/>
          </w:rPr>
          <w:fldChar w:fldCharType="end"/>
        </w:r>
      </w:hyperlink>
    </w:p>
    <w:p w14:paraId="5E785E7D" w14:textId="357BEE12" w:rsidR="00810426" w:rsidRDefault="00B424E5">
      <w:pPr>
        <w:pStyle w:val="21"/>
        <w:rPr>
          <w:rFonts w:ascii="等线" w:eastAsia="等线" w:hAnsi="等线"/>
          <w:noProof/>
          <w:szCs w:val="22"/>
        </w:rPr>
      </w:pPr>
      <w:hyperlink w:anchor="_Toc214361123" w:history="1">
        <w:r>
          <w:rPr>
            <w:rStyle w:val="af7"/>
            <w:noProof/>
          </w:rPr>
          <w:t>十四、基金管理人和基金托管人的更换</w:t>
        </w:r>
        <w:r>
          <w:rPr>
            <w:noProof/>
          </w:rPr>
          <w:tab/>
        </w:r>
        <w:r>
          <w:rPr>
            <w:noProof/>
          </w:rPr>
          <w:fldChar w:fldCharType="begin"/>
        </w:r>
        <w:r>
          <w:rPr>
            <w:noProof/>
          </w:rPr>
          <w:instrText xml:space="preserve"> PAGEREF _Toc214361123 \h </w:instrText>
        </w:r>
        <w:r>
          <w:rPr>
            <w:noProof/>
          </w:rPr>
        </w:r>
        <w:r>
          <w:rPr>
            <w:noProof/>
          </w:rPr>
          <w:fldChar w:fldCharType="separate"/>
        </w:r>
        <w:r w:rsidR="00432BF0">
          <w:rPr>
            <w:noProof/>
          </w:rPr>
          <w:t>40</w:t>
        </w:r>
        <w:r>
          <w:rPr>
            <w:noProof/>
          </w:rPr>
          <w:fldChar w:fldCharType="end"/>
        </w:r>
      </w:hyperlink>
    </w:p>
    <w:p w14:paraId="4ACDCD02" w14:textId="4C484386" w:rsidR="00810426" w:rsidRDefault="00B424E5">
      <w:pPr>
        <w:pStyle w:val="21"/>
        <w:rPr>
          <w:rFonts w:ascii="等线" w:eastAsia="等线" w:hAnsi="等线"/>
          <w:noProof/>
          <w:szCs w:val="22"/>
        </w:rPr>
      </w:pPr>
      <w:hyperlink w:anchor="_Toc214361124" w:history="1">
        <w:r>
          <w:rPr>
            <w:rStyle w:val="af7"/>
            <w:noProof/>
          </w:rPr>
          <w:t>十五、禁止行为</w:t>
        </w:r>
        <w:r>
          <w:rPr>
            <w:noProof/>
          </w:rPr>
          <w:tab/>
        </w:r>
        <w:r>
          <w:rPr>
            <w:noProof/>
          </w:rPr>
          <w:fldChar w:fldCharType="begin"/>
        </w:r>
        <w:r>
          <w:rPr>
            <w:noProof/>
          </w:rPr>
          <w:instrText xml:space="preserve"> PAGEREF _Toc214361124 \h </w:instrText>
        </w:r>
        <w:r>
          <w:rPr>
            <w:noProof/>
          </w:rPr>
        </w:r>
        <w:r>
          <w:rPr>
            <w:noProof/>
          </w:rPr>
          <w:fldChar w:fldCharType="separate"/>
        </w:r>
        <w:r w:rsidR="00432BF0">
          <w:rPr>
            <w:noProof/>
          </w:rPr>
          <w:t>43</w:t>
        </w:r>
        <w:r>
          <w:rPr>
            <w:noProof/>
          </w:rPr>
          <w:fldChar w:fldCharType="end"/>
        </w:r>
      </w:hyperlink>
    </w:p>
    <w:p w14:paraId="543E9945" w14:textId="155C8875" w:rsidR="00810426" w:rsidRDefault="00B424E5">
      <w:pPr>
        <w:pStyle w:val="21"/>
        <w:rPr>
          <w:rFonts w:ascii="等线" w:eastAsia="等线" w:hAnsi="等线"/>
          <w:noProof/>
          <w:szCs w:val="22"/>
        </w:rPr>
      </w:pPr>
      <w:hyperlink w:anchor="_Toc214361125" w:history="1">
        <w:r>
          <w:rPr>
            <w:rStyle w:val="af7"/>
            <w:noProof/>
          </w:rPr>
          <w:t>十六、托管协议的修改、终止与基金财产的清算</w:t>
        </w:r>
        <w:r>
          <w:rPr>
            <w:noProof/>
          </w:rPr>
          <w:tab/>
        </w:r>
        <w:r>
          <w:rPr>
            <w:noProof/>
          </w:rPr>
          <w:fldChar w:fldCharType="begin"/>
        </w:r>
        <w:r>
          <w:rPr>
            <w:noProof/>
          </w:rPr>
          <w:instrText xml:space="preserve"> PAGEREF _Toc214361125 \h </w:instrText>
        </w:r>
        <w:r>
          <w:rPr>
            <w:noProof/>
          </w:rPr>
        </w:r>
        <w:r>
          <w:rPr>
            <w:noProof/>
          </w:rPr>
          <w:fldChar w:fldCharType="separate"/>
        </w:r>
        <w:r w:rsidR="00432BF0">
          <w:rPr>
            <w:noProof/>
          </w:rPr>
          <w:t>44</w:t>
        </w:r>
        <w:r>
          <w:rPr>
            <w:noProof/>
          </w:rPr>
          <w:fldChar w:fldCharType="end"/>
        </w:r>
      </w:hyperlink>
    </w:p>
    <w:p w14:paraId="008ADA37" w14:textId="7F692C94" w:rsidR="00810426" w:rsidRDefault="00B424E5">
      <w:pPr>
        <w:pStyle w:val="21"/>
        <w:rPr>
          <w:rFonts w:ascii="等线" w:eastAsia="等线" w:hAnsi="等线"/>
          <w:noProof/>
          <w:szCs w:val="22"/>
        </w:rPr>
      </w:pPr>
      <w:hyperlink w:anchor="_Toc214361126" w:history="1">
        <w:r>
          <w:rPr>
            <w:rStyle w:val="af7"/>
            <w:noProof/>
          </w:rPr>
          <w:t>十七、违约责任</w:t>
        </w:r>
        <w:r>
          <w:rPr>
            <w:noProof/>
          </w:rPr>
          <w:tab/>
        </w:r>
        <w:r>
          <w:rPr>
            <w:noProof/>
          </w:rPr>
          <w:fldChar w:fldCharType="begin"/>
        </w:r>
        <w:r>
          <w:rPr>
            <w:noProof/>
          </w:rPr>
          <w:instrText xml:space="preserve"> PAGEREF _Toc214361126 \h </w:instrText>
        </w:r>
        <w:r>
          <w:rPr>
            <w:noProof/>
          </w:rPr>
        </w:r>
        <w:r>
          <w:rPr>
            <w:noProof/>
          </w:rPr>
          <w:fldChar w:fldCharType="separate"/>
        </w:r>
        <w:r w:rsidR="00432BF0">
          <w:rPr>
            <w:noProof/>
          </w:rPr>
          <w:t>46</w:t>
        </w:r>
        <w:r>
          <w:rPr>
            <w:noProof/>
          </w:rPr>
          <w:fldChar w:fldCharType="end"/>
        </w:r>
      </w:hyperlink>
    </w:p>
    <w:p w14:paraId="69E223E7" w14:textId="30443D09" w:rsidR="00810426" w:rsidRDefault="00B424E5">
      <w:pPr>
        <w:pStyle w:val="21"/>
        <w:rPr>
          <w:rFonts w:ascii="等线" w:eastAsia="等线" w:hAnsi="等线"/>
          <w:noProof/>
          <w:szCs w:val="22"/>
        </w:rPr>
      </w:pPr>
      <w:hyperlink w:anchor="_Toc214361127" w:history="1">
        <w:r>
          <w:rPr>
            <w:rStyle w:val="af7"/>
            <w:noProof/>
          </w:rPr>
          <w:t>十八、争议解决方式</w:t>
        </w:r>
        <w:r>
          <w:rPr>
            <w:noProof/>
          </w:rPr>
          <w:tab/>
        </w:r>
        <w:r>
          <w:rPr>
            <w:noProof/>
          </w:rPr>
          <w:fldChar w:fldCharType="begin"/>
        </w:r>
        <w:r>
          <w:rPr>
            <w:noProof/>
          </w:rPr>
          <w:instrText xml:space="preserve"> PAGEREF _Toc214361127 \h </w:instrText>
        </w:r>
        <w:r>
          <w:rPr>
            <w:noProof/>
          </w:rPr>
        </w:r>
        <w:r>
          <w:rPr>
            <w:noProof/>
          </w:rPr>
          <w:fldChar w:fldCharType="separate"/>
        </w:r>
        <w:r w:rsidR="00432BF0">
          <w:rPr>
            <w:noProof/>
          </w:rPr>
          <w:t>48</w:t>
        </w:r>
        <w:r>
          <w:rPr>
            <w:noProof/>
          </w:rPr>
          <w:fldChar w:fldCharType="end"/>
        </w:r>
      </w:hyperlink>
    </w:p>
    <w:p w14:paraId="23885067" w14:textId="5209F6A2" w:rsidR="00810426" w:rsidRDefault="00B424E5">
      <w:pPr>
        <w:pStyle w:val="21"/>
        <w:rPr>
          <w:rFonts w:ascii="等线" w:eastAsia="等线" w:hAnsi="等线"/>
          <w:noProof/>
          <w:szCs w:val="22"/>
        </w:rPr>
      </w:pPr>
      <w:hyperlink w:anchor="_Toc214361128" w:history="1">
        <w:r>
          <w:rPr>
            <w:rStyle w:val="af7"/>
            <w:noProof/>
          </w:rPr>
          <w:t>十九、托管协议的效力</w:t>
        </w:r>
        <w:r>
          <w:rPr>
            <w:noProof/>
          </w:rPr>
          <w:tab/>
        </w:r>
        <w:r>
          <w:rPr>
            <w:noProof/>
          </w:rPr>
          <w:fldChar w:fldCharType="begin"/>
        </w:r>
        <w:r>
          <w:rPr>
            <w:noProof/>
          </w:rPr>
          <w:instrText xml:space="preserve"> PAGEREF _Toc214361128 \h </w:instrText>
        </w:r>
        <w:r>
          <w:rPr>
            <w:noProof/>
          </w:rPr>
        </w:r>
        <w:r>
          <w:rPr>
            <w:noProof/>
          </w:rPr>
          <w:fldChar w:fldCharType="separate"/>
        </w:r>
        <w:r w:rsidR="00432BF0">
          <w:rPr>
            <w:noProof/>
          </w:rPr>
          <w:t>49</w:t>
        </w:r>
        <w:r>
          <w:rPr>
            <w:noProof/>
          </w:rPr>
          <w:fldChar w:fldCharType="end"/>
        </w:r>
      </w:hyperlink>
    </w:p>
    <w:p w14:paraId="3F814B8C" w14:textId="490ABB84" w:rsidR="00810426" w:rsidRDefault="00B424E5">
      <w:pPr>
        <w:pStyle w:val="21"/>
        <w:rPr>
          <w:rFonts w:ascii="等线" w:eastAsia="等线" w:hAnsi="等线"/>
          <w:noProof/>
          <w:szCs w:val="22"/>
        </w:rPr>
      </w:pPr>
      <w:hyperlink w:anchor="_Toc214361129" w:history="1">
        <w:r>
          <w:rPr>
            <w:rStyle w:val="af7"/>
            <w:noProof/>
          </w:rPr>
          <w:t>二十、其他事项</w:t>
        </w:r>
        <w:r>
          <w:rPr>
            <w:noProof/>
          </w:rPr>
          <w:tab/>
        </w:r>
        <w:r>
          <w:rPr>
            <w:noProof/>
          </w:rPr>
          <w:fldChar w:fldCharType="begin"/>
        </w:r>
        <w:r>
          <w:rPr>
            <w:noProof/>
          </w:rPr>
          <w:instrText xml:space="preserve"> PAGEREF _Toc214361129 \h </w:instrText>
        </w:r>
        <w:r>
          <w:rPr>
            <w:noProof/>
          </w:rPr>
        </w:r>
        <w:r>
          <w:rPr>
            <w:noProof/>
          </w:rPr>
          <w:fldChar w:fldCharType="separate"/>
        </w:r>
        <w:r w:rsidR="00432BF0">
          <w:rPr>
            <w:noProof/>
          </w:rPr>
          <w:t>50</w:t>
        </w:r>
        <w:r>
          <w:rPr>
            <w:noProof/>
          </w:rPr>
          <w:fldChar w:fldCharType="end"/>
        </w:r>
      </w:hyperlink>
    </w:p>
    <w:p w14:paraId="5E3C0250" w14:textId="1819F0EA" w:rsidR="00810426" w:rsidRDefault="00B424E5">
      <w:pPr>
        <w:pStyle w:val="21"/>
        <w:rPr>
          <w:rFonts w:ascii="等线" w:eastAsia="等线" w:hAnsi="等线"/>
          <w:noProof/>
          <w:szCs w:val="22"/>
        </w:rPr>
      </w:pPr>
      <w:hyperlink w:anchor="_Toc214361130" w:history="1">
        <w:r>
          <w:rPr>
            <w:rStyle w:val="af7"/>
            <w:noProof/>
          </w:rPr>
          <w:t>二十一、托管协议的签订</w:t>
        </w:r>
        <w:r>
          <w:rPr>
            <w:noProof/>
          </w:rPr>
          <w:tab/>
        </w:r>
        <w:r>
          <w:rPr>
            <w:noProof/>
          </w:rPr>
          <w:fldChar w:fldCharType="begin"/>
        </w:r>
        <w:r>
          <w:rPr>
            <w:noProof/>
          </w:rPr>
          <w:instrText xml:space="preserve"> PAGEREF _Toc214361130 \h </w:instrText>
        </w:r>
        <w:r>
          <w:rPr>
            <w:noProof/>
          </w:rPr>
        </w:r>
        <w:r>
          <w:rPr>
            <w:noProof/>
          </w:rPr>
          <w:fldChar w:fldCharType="separate"/>
        </w:r>
        <w:r w:rsidR="00432BF0">
          <w:rPr>
            <w:noProof/>
          </w:rPr>
          <w:t>51</w:t>
        </w:r>
        <w:r>
          <w:rPr>
            <w:noProof/>
          </w:rPr>
          <w:fldChar w:fldCharType="end"/>
        </w:r>
      </w:hyperlink>
    </w:p>
    <w:p w14:paraId="5598EC77" w14:textId="77777777" w:rsidR="00810426" w:rsidRDefault="00B424E5">
      <w:pPr>
        <w:rPr>
          <w:sz w:val="28"/>
        </w:rPr>
        <w:sectPr w:rsidR="00810426">
          <w:headerReference w:type="default" r:id="rId9"/>
          <w:pgSz w:w="11906" w:h="16838"/>
          <w:pgMar w:top="1418" w:right="1701" w:bottom="1418" w:left="1701" w:header="851" w:footer="992" w:gutter="0"/>
          <w:cols w:space="720"/>
          <w:docGrid w:type="lines" w:linePitch="312"/>
        </w:sectPr>
      </w:pPr>
      <w:r>
        <w:fldChar w:fldCharType="end"/>
      </w:r>
    </w:p>
    <w:p w14:paraId="73792567" w14:textId="77777777" w:rsidR="00810426" w:rsidRDefault="00B424E5">
      <w:pPr>
        <w:spacing w:line="360" w:lineRule="auto"/>
        <w:ind w:firstLineChars="200" w:firstLine="420"/>
        <w:rPr>
          <w:rFonts w:ascii="宋体"/>
        </w:rPr>
      </w:pPr>
      <w:r>
        <w:rPr>
          <w:rFonts w:ascii="宋体" w:hint="eastAsia"/>
        </w:rPr>
        <w:lastRenderedPageBreak/>
        <w:t>鉴于广发基金管理有限公司系一家依照中国法律合法成立并有效存续的有限责任公司，按照相关法律法规的规定具备担任基金管理人的资格和能力，拟募集发行广发优势企业混合型证券投资基金（QDII）；</w:t>
      </w:r>
    </w:p>
    <w:p w14:paraId="099CC87F" w14:textId="77777777" w:rsidR="00810426" w:rsidRDefault="00B424E5">
      <w:pPr>
        <w:spacing w:line="360" w:lineRule="auto"/>
        <w:ind w:firstLineChars="200" w:firstLine="420"/>
        <w:rPr>
          <w:rFonts w:ascii="宋体"/>
        </w:rPr>
      </w:pPr>
      <w:r>
        <w:rPr>
          <w:rFonts w:ascii="宋体" w:hint="eastAsia"/>
        </w:rPr>
        <w:t>鉴于兴业银行股份有限公司系一家依照中国法律合法成立并有效存续的银行，按照相关法律法规的规定具备担任基金托管人的资格和能力；</w:t>
      </w:r>
    </w:p>
    <w:p w14:paraId="5EC46F26" w14:textId="77777777" w:rsidR="00810426" w:rsidRDefault="00B424E5">
      <w:pPr>
        <w:spacing w:line="360" w:lineRule="auto"/>
        <w:ind w:firstLineChars="200" w:firstLine="420"/>
        <w:rPr>
          <w:rFonts w:ascii="宋体"/>
        </w:rPr>
      </w:pPr>
      <w:r>
        <w:rPr>
          <w:rFonts w:ascii="宋体" w:hint="eastAsia"/>
        </w:rPr>
        <w:t>鉴于广发基金管理有限公司拟担任广发优势企业混合型证券投资基金（QDII）的基金管理人，兴业银行股份有限公司拟担 广发优势企业混合型证券投资基金（QDII）的基金托管人；</w:t>
      </w:r>
    </w:p>
    <w:p w14:paraId="30E8FBCB" w14:textId="77777777" w:rsidR="00810426" w:rsidRDefault="00B424E5">
      <w:pPr>
        <w:spacing w:line="360" w:lineRule="auto"/>
        <w:ind w:firstLineChars="200" w:firstLine="420"/>
        <w:rPr>
          <w:rFonts w:ascii="宋体"/>
        </w:rPr>
      </w:pPr>
      <w:r>
        <w:rPr>
          <w:rFonts w:ascii="宋体" w:hint="eastAsia"/>
        </w:rPr>
        <w:t>为明确广发优势企业混合型证券投资基金（QDII）（以下简称“基金”、“本基金”） 的基金管理人和基金托管人之间的权利义务关系，特制订本托管协议；</w:t>
      </w:r>
    </w:p>
    <w:p w14:paraId="75105F4D" w14:textId="77777777" w:rsidR="00810426" w:rsidRDefault="00B424E5">
      <w:pPr>
        <w:spacing w:line="360" w:lineRule="auto"/>
        <w:ind w:firstLineChars="200" w:firstLine="420"/>
        <w:rPr>
          <w:rFonts w:ascii="宋体"/>
        </w:rPr>
      </w:pPr>
      <w:r>
        <w:rPr>
          <w:rFonts w:ascii="宋体" w:hint="eastAsia"/>
        </w:rPr>
        <w:t>除非另有约定，《广发优势企业混合型证券投资基金（QDII）基金合同》(以下简称“基金合同”)中定义的术语在用于本托管协议时应具有相同的含义；若有抵触应以基金合同为准，并依其条款解释。</w:t>
      </w:r>
    </w:p>
    <w:p w14:paraId="102514E5" w14:textId="77777777" w:rsidR="00810426" w:rsidRDefault="00B424E5">
      <w:pPr>
        <w:spacing w:line="360" w:lineRule="auto"/>
        <w:ind w:firstLineChars="200" w:firstLine="420"/>
        <w:rPr>
          <w:rFonts w:ascii="宋体"/>
        </w:rPr>
      </w:pPr>
      <w:r>
        <w:rPr>
          <w:rFonts w:ascii="宋体" w:hint="eastAsia"/>
        </w:rPr>
        <w:t>若本基金实施侧袋机制的，侧袋机制实施期间的相关安排见基金合同和招募说明书的规定。</w:t>
      </w:r>
    </w:p>
    <w:p w14:paraId="799F5BD8" w14:textId="77777777" w:rsidR="00810426" w:rsidRDefault="00B424E5">
      <w:pPr>
        <w:pStyle w:val="2"/>
        <w:jc w:val="center"/>
        <w:rPr>
          <w:rFonts w:eastAsia="宋体"/>
        </w:rPr>
      </w:pPr>
      <w:bookmarkStart w:id="2" w:name="_GoBack"/>
      <w:bookmarkEnd w:id="2"/>
      <w:r>
        <w:rPr>
          <w:rFonts w:eastAsia="宋体"/>
        </w:rPr>
        <w:br w:type="page"/>
      </w:r>
      <w:bookmarkStart w:id="3" w:name="_Toc289514221"/>
      <w:bookmarkStart w:id="4" w:name="_Toc214361110"/>
      <w:r>
        <w:rPr>
          <w:rFonts w:eastAsia="宋体" w:hint="eastAsia"/>
        </w:rPr>
        <w:lastRenderedPageBreak/>
        <w:t>一、基金托管协议当事人</w:t>
      </w:r>
      <w:bookmarkEnd w:id="3"/>
      <w:bookmarkEnd w:id="4"/>
    </w:p>
    <w:p w14:paraId="719378AF" w14:textId="77777777" w:rsidR="00810426" w:rsidRDefault="00B424E5">
      <w:pPr>
        <w:adjustRightInd w:val="0"/>
        <w:snapToGrid w:val="0"/>
        <w:spacing w:line="360" w:lineRule="auto"/>
        <w:ind w:firstLineChars="200" w:firstLine="420"/>
        <w:rPr>
          <w:rFonts w:hAnsi="宋体"/>
        </w:rPr>
      </w:pPr>
      <w:r>
        <w:rPr>
          <w:rFonts w:hAnsi="宋体" w:cs="Arial" w:hint="eastAsia"/>
          <w:szCs w:val="21"/>
        </w:rPr>
        <w:t>（一）基金管理人</w:t>
      </w:r>
    </w:p>
    <w:p w14:paraId="4189BE4C" w14:textId="77777777" w:rsidR="00810426" w:rsidRDefault="00B424E5">
      <w:pPr>
        <w:adjustRightInd w:val="0"/>
        <w:snapToGrid w:val="0"/>
        <w:spacing w:line="360" w:lineRule="auto"/>
        <w:ind w:firstLineChars="200" w:firstLine="420"/>
        <w:rPr>
          <w:rFonts w:cs="Arial"/>
          <w:szCs w:val="21"/>
        </w:rPr>
      </w:pPr>
      <w:r>
        <w:rPr>
          <w:rFonts w:cs="Arial" w:hint="eastAsia"/>
          <w:szCs w:val="21"/>
        </w:rPr>
        <w:t>名称：广发基金管理有限公司</w:t>
      </w:r>
    </w:p>
    <w:p w14:paraId="5C5632AA" w14:textId="77777777" w:rsidR="00810426" w:rsidRDefault="00B424E5">
      <w:pPr>
        <w:adjustRightInd w:val="0"/>
        <w:snapToGrid w:val="0"/>
        <w:spacing w:line="360" w:lineRule="auto"/>
        <w:ind w:firstLineChars="200" w:firstLine="420"/>
        <w:rPr>
          <w:rFonts w:cs="Arial"/>
          <w:szCs w:val="21"/>
        </w:rPr>
      </w:pPr>
      <w:r>
        <w:rPr>
          <w:rFonts w:cs="Arial" w:hint="eastAsia"/>
          <w:szCs w:val="21"/>
        </w:rPr>
        <w:t>住所：广东省珠海市横琴新区环岛东路</w:t>
      </w:r>
      <w:r>
        <w:rPr>
          <w:rFonts w:cs="Arial" w:hint="eastAsia"/>
          <w:szCs w:val="21"/>
        </w:rPr>
        <w:t>3018</w:t>
      </w:r>
      <w:r>
        <w:rPr>
          <w:rFonts w:cs="Arial" w:hint="eastAsia"/>
          <w:szCs w:val="21"/>
        </w:rPr>
        <w:t>号</w:t>
      </w:r>
      <w:r>
        <w:rPr>
          <w:rFonts w:cs="Arial" w:hint="eastAsia"/>
          <w:szCs w:val="21"/>
        </w:rPr>
        <w:t>2608</w:t>
      </w:r>
      <w:r>
        <w:rPr>
          <w:rFonts w:cs="Arial" w:hint="eastAsia"/>
          <w:szCs w:val="21"/>
        </w:rPr>
        <w:t>室</w:t>
      </w:r>
    </w:p>
    <w:p w14:paraId="71E2816A" w14:textId="77777777" w:rsidR="00810426" w:rsidRDefault="00B424E5">
      <w:pPr>
        <w:adjustRightInd w:val="0"/>
        <w:snapToGrid w:val="0"/>
        <w:spacing w:line="360" w:lineRule="auto"/>
        <w:ind w:firstLineChars="200" w:firstLine="420"/>
        <w:rPr>
          <w:rFonts w:cs="Arial"/>
          <w:szCs w:val="21"/>
        </w:rPr>
      </w:pPr>
      <w:r>
        <w:rPr>
          <w:rFonts w:cs="Arial" w:hint="eastAsia"/>
          <w:szCs w:val="21"/>
        </w:rPr>
        <w:t>办公地址：广东省广州市海珠区琶洲大道</w:t>
      </w:r>
      <w:r>
        <w:rPr>
          <w:rFonts w:cs="Arial" w:hint="eastAsia"/>
          <w:szCs w:val="21"/>
        </w:rPr>
        <w:t>168</w:t>
      </w:r>
      <w:r>
        <w:rPr>
          <w:rFonts w:cs="Arial" w:hint="eastAsia"/>
          <w:szCs w:val="21"/>
        </w:rPr>
        <w:t>号星河湾中心</w:t>
      </w:r>
      <w:r>
        <w:rPr>
          <w:rFonts w:cs="Arial" w:hint="eastAsia"/>
          <w:szCs w:val="21"/>
        </w:rPr>
        <w:t>28-38</w:t>
      </w:r>
      <w:r>
        <w:rPr>
          <w:rFonts w:cs="Arial" w:hint="eastAsia"/>
          <w:szCs w:val="21"/>
        </w:rPr>
        <w:t>层；广东省广州市海珠区琶洲大道东</w:t>
      </w:r>
      <w:r>
        <w:rPr>
          <w:rFonts w:cs="Arial" w:hint="eastAsia"/>
          <w:szCs w:val="21"/>
        </w:rPr>
        <w:t>1</w:t>
      </w:r>
      <w:r>
        <w:rPr>
          <w:rFonts w:cs="Arial" w:hint="eastAsia"/>
          <w:szCs w:val="21"/>
        </w:rPr>
        <w:t>号保利国际广场南塔</w:t>
      </w:r>
      <w:r>
        <w:rPr>
          <w:rFonts w:cs="Arial" w:hint="eastAsia"/>
          <w:szCs w:val="21"/>
        </w:rPr>
        <w:t>31-33</w:t>
      </w:r>
      <w:r>
        <w:rPr>
          <w:rFonts w:cs="Arial" w:hint="eastAsia"/>
          <w:szCs w:val="21"/>
        </w:rPr>
        <w:t>楼；广东省珠海市横琴新区环岛东路</w:t>
      </w:r>
      <w:r>
        <w:rPr>
          <w:rFonts w:cs="Arial" w:hint="eastAsia"/>
          <w:szCs w:val="21"/>
        </w:rPr>
        <w:t>3018</w:t>
      </w:r>
      <w:r>
        <w:rPr>
          <w:rFonts w:cs="Arial" w:hint="eastAsia"/>
          <w:szCs w:val="21"/>
        </w:rPr>
        <w:t>号</w:t>
      </w:r>
      <w:r>
        <w:rPr>
          <w:rFonts w:cs="Arial" w:hint="eastAsia"/>
          <w:szCs w:val="21"/>
        </w:rPr>
        <w:t>2603-2622</w:t>
      </w:r>
      <w:r>
        <w:rPr>
          <w:rFonts w:cs="Arial" w:hint="eastAsia"/>
          <w:szCs w:val="21"/>
        </w:rPr>
        <w:t>室</w:t>
      </w:r>
    </w:p>
    <w:p w14:paraId="198BC1A9" w14:textId="77777777" w:rsidR="00810426" w:rsidRDefault="00B424E5">
      <w:pPr>
        <w:adjustRightInd w:val="0"/>
        <w:snapToGrid w:val="0"/>
        <w:spacing w:line="360" w:lineRule="auto"/>
        <w:ind w:firstLineChars="200" w:firstLine="420"/>
        <w:rPr>
          <w:rFonts w:cs="Arial"/>
          <w:szCs w:val="21"/>
        </w:rPr>
      </w:pPr>
      <w:r>
        <w:rPr>
          <w:rFonts w:cs="Arial" w:hint="eastAsia"/>
          <w:szCs w:val="21"/>
        </w:rPr>
        <w:t>法定代表人：葛长伟</w:t>
      </w:r>
    </w:p>
    <w:p w14:paraId="21913781" w14:textId="77777777" w:rsidR="00810426" w:rsidRDefault="00B424E5">
      <w:pPr>
        <w:adjustRightInd w:val="0"/>
        <w:snapToGrid w:val="0"/>
        <w:spacing w:line="360" w:lineRule="auto"/>
        <w:ind w:firstLineChars="200" w:firstLine="420"/>
        <w:rPr>
          <w:rFonts w:cs="Arial"/>
          <w:szCs w:val="21"/>
        </w:rPr>
      </w:pPr>
      <w:r>
        <w:rPr>
          <w:rFonts w:cs="Arial" w:hint="eastAsia"/>
          <w:szCs w:val="21"/>
        </w:rPr>
        <w:t>成立时间：</w:t>
      </w:r>
      <w:r>
        <w:rPr>
          <w:rFonts w:cs="Arial" w:hint="eastAsia"/>
          <w:szCs w:val="21"/>
        </w:rPr>
        <w:t>2003</w:t>
      </w:r>
      <w:r>
        <w:rPr>
          <w:rFonts w:cs="Arial" w:hint="eastAsia"/>
          <w:szCs w:val="21"/>
        </w:rPr>
        <w:t>年</w:t>
      </w:r>
      <w:r>
        <w:rPr>
          <w:rFonts w:cs="Arial" w:hint="eastAsia"/>
          <w:szCs w:val="21"/>
        </w:rPr>
        <w:t>8</w:t>
      </w:r>
      <w:r>
        <w:rPr>
          <w:rFonts w:cs="Arial" w:hint="eastAsia"/>
          <w:szCs w:val="21"/>
        </w:rPr>
        <w:t>月</w:t>
      </w:r>
      <w:r>
        <w:rPr>
          <w:rFonts w:cs="Arial" w:hint="eastAsia"/>
          <w:szCs w:val="21"/>
        </w:rPr>
        <w:t>5</w:t>
      </w:r>
      <w:r>
        <w:rPr>
          <w:rFonts w:cs="Arial" w:hint="eastAsia"/>
          <w:szCs w:val="21"/>
        </w:rPr>
        <w:t>日</w:t>
      </w:r>
    </w:p>
    <w:p w14:paraId="204C67F2" w14:textId="77777777" w:rsidR="00810426" w:rsidRDefault="00B424E5">
      <w:pPr>
        <w:adjustRightInd w:val="0"/>
        <w:snapToGrid w:val="0"/>
        <w:spacing w:line="360" w:lineRule="auto"/>
        <w:ind w:firstLineChars="200" w:firstLine="420"/>
        <w:rPr>
          <w:rFonts w:cs="Arial"/>
          <w:szCs w:val="21"/>
        </w:rPr>
      </w:pPr>
      <w:r>
        <w:rPr>
          <w:rFonts w:cs="Arial" w:hint="eastAsia"/>
          <w:szCs w:val="21"/>
        </w:rPr>
        <w:t>批准设立机关及批准设立文号：中国证券监督管理委员会，中国证监会证监基金字</w:t>
      </w:r>
      <w:r>
        <w:rPr>
          <w:rFonts w:cs="Arial" w:hint="eastAsia"/>
          <w:szCs w:val="21"/>
        </w:rPr>
        <w:t>[2003]91</w:t>
      </w:r>
      <w:r>
        <w:rPr>
          <w:rFonts w:cs="Arial" w:hint="eastAsia"/>
          <w:szCs w:val="21"/>
        </w:rPr>
        <w:t>号</w:t>
      </w:r>
    </w:p>
    <w:p w14:paraId="6930AAB3" w14:textId="77777777" w:rsidR="00810426" w:rsidRDefault="00B424E5">
      <w:pPr>
        <w:adjustRightInd w:val="0"/>
        <w:snapToGrid w:val="0"/>
        <w:spacing w:line="360" w:lineRule="auto"/>
        <w:ind w:firstLineChars="200" w:firstLine="420"/>
        <w:rPr>
          <w:rFonts w:cs="Arial"/>
          <w:szCs w:val="21"/>
        </w:rPr>
      </w:pPr>
      <w:r>
        <w:rPr>
          <w:rFonts w:cs="Arial" w:hint="eastAsia"/>
          <w:szCs w:val="21"/>
        </w:rPr>
        <w:t>组织形式：有限责任公司</w:t>
      </w:r>
    </w:p>
    <w:p w14:paraId="0B118520" w14:textId="77777777" w:rsidR="00810426" w:rsidRDefault="00B424E5">
      <w:pPr>
        <w:adjustRightInd w:val="0"/>
        <w:snapToGrid w:val="0"/>
        <w:spacing w:line="360" w:lineRule="auto"/>
        <w:ind w:firstLineChars="200" w:firstLine="420"/>
        <w:rPr>
          <w:rFonts w:cs="Arial"/>
          <w:szCs w:val="21"/>
        </w:rPr>
      </w:pPr>
      <w:r>
        <w:rPr>
          <w:rFonts w:cs="Arial" w:hint="eastAsia"/>
          <w:szCs w:val="21"/>
        </w:rPr>
        <w:t>注册资本：</w:t>
      </w:r>
      <w:r>
        <w:rPr>
          <w:rFonts w:cs="Arial" w:hint="eastAsia"/>
          <w:szCs w:val="21"/>
        </w:rPr>
        <w:t>14,097.8</w:t>
      </w:r>
      <w:r>
        <w:rPr>
          <w:rFonts w:cs="Arial" w:hint="eastAsia"/>
          <w:szCs w:val="21"/>
        </w:rPr>
        <w:t>万元人民币</w:t>
      </w:r>
    </w:p>
    <w:p w14:paraId="3A2CC5E9" w14:textId="77777777" w:rsidR="00810426" w:rsidRDefault="00B424E5">
      <w:pPr>
        <w:adjustRightInd w:val="0"/>
        <w:snapToGrid w:val="0"/>
        <w:spacing w:line="360" w:lineRule="auto"/>
        <w:ind w:firstLineChars="200" w:firstLine="420"/>
        <w:rPr>
          <w:rFonts w:cs="Arial"/>
          <w:szCs w:val="21"/>
        </w:rPr>
      </w:pPr>
      <w:r>
        <w:rPr>
          <w:rFonts w:cs="Arial" w:hint="eastAsia"/>
          <w:szCs w:val="21"/>
        </w:rPr>
        <w:t>存续期间：持续经营</w:t>
      </w:r>
    </w:p>
    <w:p w14:paraId="62B158B4" w14:textId="77777777" w:rsidR="00810426" w:rsidRDefault="00B424E5">
      <w:pPr>
        <w:spacing w:line="360" w:lineRule="auto"/>
        <w:ind w:firstLineChars="200" w:firstLine="420"/>
        <w:rPr>
          <w:rFonts w:ascii="宋体"/>
          <w:szCs w:val="21"/>
        </w:rPr>
      </w:pPr>
      <w:r>
        <w:rPr>
          <w:rFonts w:cs="Arial" w:hint="eastAsia"/>
          <w:szCs w:val="21"/>
        </w:rPr>
        <w:t>经营范围：基金募集；基金销售；资产管理以及中国证监会许可的其它业务。</w:t>
      </w:r>
      <w:r>
        <w:rPr>
          <w:rFonts w:ascii="宋体"/>
          <w:szCs w:val="21"/>
        </w:rPr>
        <w:t xml:space="preserve"> </w:t>
      </w:r>
    </w:p>
    <w:p w14:paraId="48A4E228" w14:textId="77777777" w:rsidR="00810426" w:rsidRDefault="00810426">
      <w:pPr>
        <w:spacing w:line="360" w:lineRule="auto"/>
        <w:ind w:firstLineChars="200" w:firstLine="420"/>
        <w:rPr>
          <w:szCs w:val="21"/>
        </w:rPr>
      </w:pPr>
    </w:p>
    <w:p w14:paraId="78850087" w14:textId="77777777" w:rsidR="00810426" w:rsidRDefault="00B424E5">
      <w:pPr>
        <w:spacing w:line="360" w:lineRule="auto"/>
        <w:ind w:firstLineChars="200" w:firstLine="420"/>
        <w:rPr>
          <w:szCs w:val="21"/>
        </w:rPr>
      </w:pPr>
      <w:r>
        <w:rPr>
          <w:rFonts w:hint="eastAsia"/>
          <w:szCs w:val="21"/>
        </w:rPr>
        <w:t>（二）基金托管人</w:t>
      </w:r>
    </w:p>
    <w:p w14:paraId="21723FBE" w14:textId="77777777" w:rsidR="00810426" w:rsidRDefault="00B424E5">
      <w:pPr>
        <w:spacing w:line="360" w:lineRule="auto"/>
        <w:ind w:firstLineChars="200" w:firstLine="420"/>
        <w:rPr>
          <w:rFonts w:ascii="宋体"/>
          <w:szCs w:val="21"/>
        </w:rPr>
      </w:pPr>
      <w:r>
        <w:rPr>
          <w:rFonts w:ascii="宋体" w:hint="eastAsia"/>
          <w:szCs w:val="21"/>
        </w:rPr>
        <w:t>名称：兴业银行股份有限公司</w:t>
      </w:r>
    </w:p>
    <w:p w14:paraId="370429E0" w14:textId="77777777" w:rsidR="00810426" w:rsidRDefault="00B424E5">
      <w:pPr>
        <w:spacing w:line="360" w:lineRule="auto"/>
        <w:ind w:firstLineChars="200" w:firstLine="420"/>
        <w:rPr>
          <w:rFonts w:ascii="宋体"/>
          <w:szCs w:val="21"/>
        </w:rPr>
      </w:pPr>
      <w:r>
        <w:rPr>
          <w:rFonts w:ascii="宋体" w:hint="eastAsia"/>
          <w:szCs w:val="21"/>
        </w:rPr>
        <w:t>注册地址：福建省福州市台江区江滨中大道398号兴业银行大厦</w:t>
      </w:r>
    </w:p>
    <w:p w14:paraId="35C745A6" w14:textId="77777777" w:rsidR="00810426" w:rsidRDefault="00B424E5">
      <w:pPr>
        <w:spacing w:line="360" w:lineRule="auto"/>
        <w:ind w:firstLineChars="200" w:firstLine="420"/>
        <w:rPr>
          <w:rFonts w:ascii="宋体"/>
          <w:szCs w:val="21"/>
        </w:rPr>
      </w:pPr>
      <w:r>
        <w:rPr>
          <w:rFonts w:ascii="宋体" w:hint="eastAsia"/>
          <w:szCs w:val="21"/>
        </w:rPr>
        <w:t>办公地址：上海市银城路167号</w:t>
      </w:r>
    </w:p>
    <w:p w14:paraId="38C7D1E3" w14:textId="77777777" w:rsidR="00810426" w:rsidRDefault="00B424E5">
      <w:pPr>
        <w:spacing w:line="360" w:lineRule="auto"/>
        <w:ind w:firstLineChars="200" w:firstLine="420"/>
        <w:rPr>
          <w:rFonts w:ascii="宋体"/>
          <w:szCs w:val="21"/>
        </w:rPr>
      </w:pPr>
      <w:r>
        <w:rPr>
          <w:rFonts w:ascii="宋体" w:hint="eastAsia"/>
          <w:szCs w:val="21"/>
        </w:rPr>
        <w:t>法定代表人：吕家进</w:t>
      </w:r>
    </w:p>
    <w:p w14:paraId="64CBD079" w14:textId="77777777" w:rsidR="00810426" w:rsidRDefault="00B424E5">
      <w:pPr>
        <w:spacing w:line="360" w:lineRule="auto"/>
        <w:ind w:firstLineChars="200" w:firstLine="420"/>
        <w:rPr>
          <w:rFonts w:ascii="宋体"/>
          <w:szCs w:val="21"/>
        </w:rPr>
      </w:pPr>
      <w:r>
        <w:rPr>
          <w:rFonts w:ascii="宋体" w:hint="eastAsia"/>
          <w:szCs w:val="21"/>
        </w:rPr>
        <w:t>成立日期：</w:t>
      </w:r>
      <w:r>
        <w:rPr>
          <w:rFonts w:ascii="宋体"/>
          <w:szCs w:val="21"/>
        </w:rPr>
        <w:t>1988</w:t>
      </w:r>
      <w:r>
        <w:rPr>
          <w:rFonts w:ascii="宋体" w:hint="eastAsia"/>
          <w:szCs w:val="21"/>
        </w:rPr>
        <w:t>年</w:t>
      </w:r>
      <w:r>
        <w:rPr>
          <w:rFonts w:ascii="宋体"/>
          <w:szCs w:val="21"/>
        </w:rPr>
        <w:t>8</w:t>
      </w:r>
      <w:r>
        <w:rPr>
          <w:rFonts w:ascii="宋体" w:hint="eastAsia"/>
          <w:szCs w:val="21"/>
        </w:rPr>
        <w:t>月</w:t>
      </w:r>
      <w:r>
        <w:rPr>
          <w:rFonts w:ascii="宋体"/>
          <w:szCs w:val="21"/>
        </w:rPr>
        <w:t>22</w:t>
      </w:r>
      <w:r>
        <w:rPr>
          <w:rFonts w:ascii="宋体" w:hint="eastAsia"/>
          <w:szCs w:val="21"/>
        </w:rPr>
        <w:t>日</w:t>
      </w:r>
    </w:p>
    <w:p w14:paraId="7A099815" w14:textId="77777777" w:rsidR="00810426" w:rsidRDefault="00B424E5">
      <w:pPr>
        <w:spacing w:line="360" w:lineRule="auto"/>
        <w:ind w:firstLineChars="200" w:firstLine="420"/>
        <w:rPr>
          <w:rFonts w:ascii="宋体"/>
          <w:szCs w:val="21"/>
        </w:rPr>
      </w:pPr>
      <w:r>
        <w:rPr>
          <w:rFonts w:ascii="宋体" w:hint="eastAsia"/>
          <w:szCs w:val="21"/>
        </w:rPr>
        <w:t>批准设立机关和批准设立文号：中国人民银行总行，银复[1988]347号</w:t>
      </w:r>
    </w:p>
    <w:p w14:paraId="3475508B" w14:textId="5871C966" w:rsidR="00810426" w:rsidRDefault="00B424E5">
      <w:pPr>
        <w:spacing w:line="360" w:lineRule="auto"/>
        <w:ind w:firstLineChars="200" w:firstLine="420"/>
        <w:rPr>
          <w:rFonts w:ascii="宋体"/>
          <w:szCs w:val="21"/>
        </w:rPr>
      </w:pPr>
      <w:r>
        <w:rPr>
          <w:rFonts w:ascii="宋体" w:hint="eastAsia"/>
          <w:szCs w:val="21"/>
        </w:rPr>
        <w:t>基金托管业务批准文号：中国证监会证监基金字[</w:t>
      </w:r>
      <w:r>
        <w:rPr>
          <w:rFonts w:ascii="宋体"/>
          <w:szCs w:val="21"/>
        </w:rPr>
        <w:t>2005</w:t>
      </w:r>
      <w:r>
        <w:rPr>
          <w:rFonts w:ascii="宋体" w:hint="eastAsia"/>
          <w:szCs w:val="21"/>
        </w:rPr>
        <w:t>]</w:t>
      </w:r>
      <w:r>
        <w:rPr>
          <w:rFonts w:ascii="宋体"/>
          <w:szCs w:val="21"/>
        </w:rPr>
        <w:t>74</w:t>
      </w:r>
      <w:r>
        <w:rPr>
          <w:rFonts w:ascii="宋体" w:hint="eastAsia"/>
          <w:szCs w:val="21"/>
        </w:rPr>
        <w:t>号</w:t>
      </w:r>
    </w:p>
    <w:p w14:paraId="139FADEE" w14:textId="77777777" w:rsidR="00810426" w:rsidRDefault="00B424E5">
      <w:pPr>
        <w:spacing w:line="360" w:lineRule="auto"/>
        <w:ind w:firstLineChars="200" w:firstLine="420"/>
        <w:rPr>
          <w:szCs w:val="21"/>
        </w:rPr>
      </w:pPr>
      <w:r>
        <w:rPr>
          <w:rFonts w:hint="eastAsia"/>
          <w:szCs w:val="21"/>
        </w:rPr>
        <w:t>组织形式：股份有限公司</w:t>
      </w:r>
    </w:p>
    <w:p w14:paraId="6FE0373C" w14:textId="77777777" w:rsidR="00810426" w:rsidRDefault="00B424E5">
      <w:pPr>
        <w:spacing w:line="360" w:lineRule="auto"/>
        <w:ind w:firstLineChars="200" w:firstLine="420"/>
        <w:rPr>
          <w:rFonts w:ascii="宋体"/>
          <w:szCs w:val="21"/>
        </w:rPr>
      </w:pPr>
      <w:r>
        <w:rPr>
          <w:rFonts w:ascii="宋体" w:hint="eastAsia"/>
          <w:szCs w:val="21"/>
        </w:rPr>
        <w:t>注册资本：人民币</w:t>
      </w:r>
      <w:r>
        <w:rPr>
          <w:rFonts w:ascii="宋体"/>
          <w:szCs w:val="21"/>
        </w:rPr>
        <w:t>2</w:t>
      </w:r>
      <w:r>
        <w:rPr>
          <w:rFonts w:ascii="宋体" w:hint="eastAsia"/>
          <w:szCs w:val="21"/>
        </w:rPr>
        <w:t>52</w:t>
      </w:r>
      <w:r>
        <w:rPr>
          <w:rFonts w:ascii="宋体"/>
          <w:szCs w:val="21"/>
        </w:rPr>
        <w:t>.</w:t>
      </w:r>
      <w:r>
        <w:rPr>
          <w:rFonts w:ascii="宋体" w:hint="eastAsia"/>
          <w:szCs w:val="21"/>
        </w:rPr>
        <w:t>20亿元</w:t>
      </w:r>
    </w:p>
    <w:p w14:paraId="07B3E659" w14:textId="77777777" w:rsidR="00810426" w:rsidRDefault="00B424E5">
      <w:pPr>
        <w:spacing w:line="360" w:lineRule="auto"/>
        <w:ind w:firstLineChars="200" w:firstLine="420"/>
        <w:rPr>
          <w:rFonts w:ascii="宋体"/>
          <w:szCs w:val="21"/>
        </w:rPr>
      </w:pPr>
      <w:r>
        <w:rPr>
          <w:rFonts w:cs="Arial" w:hint="eastAsia"/>
          <w:szCs w:val="21"/>
        </w:rPr>
        <w:t>存续期间：持续经营</w:t>
      </w:r>
    </w:p>
    <w:p w14:paraId="1B988707" w14:textId="77777777" w:rsidR="00810426" w:rsidRDefault="00B424E5">
      <w:pPr>
        <w:spacing w:line="360" w:lineRule="auto"/>
        <w:ind w:firstLineChars="200" w:firstLine="420"/>
        <w:rPr>
          <w:szCs w:val="21"/>
        </w:rPr>
      </w:pPr>
      <w:r>
        <w:rPr>
          <w:rFonts w:hint="eastAsia"/>
          <w:szCs w:val="21"/>
        </w:rPr>
        <w:t>经营范围：吸收公众存款；发放短期、中期和长期贷款；办理国内外结算；办理票据承兑与贴现；发行金融债券；代理发行、代理兑付；承销政府债券；买卖政府债券、金融债券</w:t>
      </w:r>
      <w:r>
        <w:rPr>
          <w:rFonts w:hint="eastAsia"/>
          <w:szCs w:val="21"/>
        </w:rPr>
        <w:t xml:space="preserve"> </w:t>
      </w:r>
      <w:r>
        <w:rPr>
          <w:rFonts w:hint="eastAsia"/>
          <w:szCs w:val="21"/>
        </w:rPr>
        <w:t>；代理发行股票以外的有价证券；买卖、代理买卖股票以外的有价证券；资产托管业务；从事</w:t>
      </w:r>
      <w:r>
        <w:rPr>
          <w:rFonts w:hint="eastAsia"/>
          <w:szCs w:val="21"/>
        </w:rPr>
        <w:lastRenderedPageBreak/>
        <w:t>同业拆借；买卖、代理买卖外汇；结汇、售汇业务；从事银行卡业务；提供信用证服务及担保；代理收付款项及代理保险业务；提供保管箱服务；财务顾问、资信调查、咨询、见证业务；经中国银行业监督管理机构批准的其他业务</w:t>
      </w:r>
      <w:r>
        <w:rPr>
          <w:rFonts w:hint="eastAsia"/>
          <w:szCs w:val="21"/>
        </w:rPr>
        <w:t xml:space="preserve"> </w:t>
      </w:r>
      <w:r>
        <w:rPr>
          <w:rFonts w:hint="eastAsia"/>
          <w:szCs w:val="21"/>
        </w:rPr>
        <w:t>；保险兼业代理业务；黄金及其制品进出口；公募证券投资基金销售证券投资基金托管（依法需经批准的项目，经相关部门批准后方可开展经营业务，经营项目以相关部门批准文件或许可证件为准）。</w:t>
      </w:r>
    </w:p>
    <w:p w14:paraId="09A0150B" w14:textId="77777777" w:rsidR="00810426" w:rsidRDefault="00810426">
      <w:pPr>
        <w:spacing w:line="360" w:lineRule="auto"/>
        <w:ind w:firstLineChars="200" w:firstLine="420"/>
        <w:rPr>
          <w:rFonts w:ascii="宋体"/>
          <w:szCs w:val="21"/>
        </w:rPr>
      </w:pPr>
    </w:p>
    <w:p w14:paraId="5D53F899" w14:textId="77777777" w:rsidR="00810426" w:rsidRDefault="00B424E5">
      <w:pPr>
        <w:pStyle w:val="2"/>
        <w:jc w:val="center"/>
        <w:rPr>
          <w:rFonts w:eastAsia="宋体"/>
        </w:rPr>
      </w:pPr>
      <w:r>
        <w:rPr>
          <w:szCs w:val="21"/>
        </w:rPr>
        <w:br w:type="page"/>
      </w:r>
      <w:bookmarkStart w:id="5" w:name="_Toc214361111"/>
      <w:bookmarkStart w:id="6" w:name="_Toc289514222"/>
      <w:r>
        <w:rPr>
          <w:rFonts w:eastAsia="宋体" w:hint="eastAsia"/>
        </w:rPr>
        <w:lastRenderedPageBreak/>
        <w:t>二、基金托管协议的依据、目的和原则</w:t>
      </w:r>
      <w:bookmarkEnd w:id="5"/>
      <w:bookmarkEnd w:id="6"/>
    </w:p>
    <w:p w14:paraId="7974E8DC" w14:textId="77777777" w:rsidR="00810426" w:rsidRDefault="00B424E5">
      <w:pPr>
        <w:spacing w:line="360" w:lineRule="auto"/>
        <w:ind w:firstLineChars="200" w:firstLine="420"/>
      </w:pPr>
      <w:r>
        <w:rPr>
          <w:rFonts w:hint="eastAsia"/>
        </w:rPr>
        <w:t>（一）订立托管协议的依据</w:t>
      </w:r>
    </w:p>
    <w:p w14:paraId="0FC6D2E6" w14:textId="77777777" w:rsidR="00810426" w:rsidRDefault="00B424E5">
      <w:pPr>
        <w:spacing w:line="360" w:lineRule="auto"/>
        <w:ind w:firstLineChars="200" w:firstLine="420"/>
        <w:rPr>
          <w:szCs w:val="21"/>
        </w:rPr>
      </w:pPr>
      <w:r>
        <w:rPr>
          <w:rFonts w:hint="eastAsia"/>
          <w:szCs w:val="21"/>
        </w:rPr>
        <w:t>本协议依据《中华人民共和国证券投资基金法》（以下简称“《基金法》”）、《公开募集证券投资基金运作管理办法》（以下简称“《运作办法》”）、《公开募集开放式证券投资基金流动性风险管理规定》（以下简称“《流动性风险管理规定》”）、《公开募集证券投资基金信息披露管理办法》（以下简称“《信息披露办法》”）《合格境内机构投资者境外证券投资管理试行办法》（以下简称“《试行办法》”）、《关于实施〈合格境内机构投资者境外证券投资管理试行办法〉有关问题的通知》（以下简称“《通知》”）及其他有关法律法规与《广发优势企业混合型证券投资基金（</w:t>
      </w:r>
      <w:r>
        <w:rPr>
          <w:rFonts w:hint="eastAsia"/>
          <w:szCs w:val="21"/>
        </w:rPr>
        <w:t>QDII</w:t>
      </w:r>
      <w:r>
        <w:rPr>
          <w:rFonts w:hint="eastAsia"/>
          <w:szCs w:val="21"/>
        </w:rPr>
        <w:t>）基金合同》（以下简称“《基金合同》”）订立。</w:t>
      </w:r>
    </w:p>
    <w:p w14:paraId="554D2A5D" w14:textId="77777777" w:rsidR="00810426" w:rsidRDefault="00B424E5">
      <w:pPr>
        <w:spacing w:line="360" w:lineRule="auto"/>
        <w:ind w:firstLineChars="200" w:firstLine="420"/>
      </w:pPr>
      <w:r>
        <w:rPr>
          <w:rFonts w:hint="eastAsia"/>
        </w:rPr>
        <w:t>（二）订立托管协议的目的</w:t>
      </w:r>
    </w:p>
    <w:p w14:paraId="0C5F0A34" w14:textId="77777777" w:rsidR="00810426" w:rsidRDefault="00B424E5">
      <w:pPr>
        <w:spacing w:line="360" w:lineRule="auto"/>
        <w:ind w:firstLineChars="200" w:firstLine="420"/>
        <w:rPr>
          <w:szCs w:val="21"/>
        </w:rPr>
      </w:pPr>
      <w:r>
        <w:rPr>
          <w:rFonts w:hint="eastAsia"/>
          <w:szCs w:val="21"/>
        </w:rPr>
        <w:t>订立本协议的目的是明确基金的基金管理人与基金托管人之间在基金财产的保管、投资运作、净值计算、收益分配、信息披露及相互监督等相关事宜中的权利义务及职责，确保基金财产的安全，保护基金份额持有人的合法权益。</w:t>
      </w:r>
    </w:p>
    <w:p w14:paraId="35172D41" w14:textId="77777777" w:rsidR="00810426" w:rsidRDefault="00B424E5">
      <w:pPr>
        <w:spacing w:line="360" w:lineRule="auto"/>
        <w:ind w:firstLineChars="200" w:firstLine="420"/>
      </w:pPr>
      <w:r>
        <w:rPr>
          <w:rFonts w:hint="eastAsia"/>
        </w:rPr>
        <w:t>（三）订立托管协议的原则</w:t>
      </w:r>
    </w:p>
    <w:p w14:paraId="552FF193" w14:textId="77777777" w:rsidR="00810426" w:rsidRDefault="00B424E5">
      <w:pPr>
        <w:spacing w:line="360" w:lineRule="auto"/>
        <w:ind w:firstLineChars="200" w:firstLine="420"/>
        <w:rPr>
          <w:rFonts w:ascii="宋体"/>
        </w:rPr>
      </w:pPr>
      <w:r>
        <w:rPr>
          <w:rFonts w:hint="eastAsia"/>
          <w:szCs w:val="21"/>
        </w:rPr>
        <w:t>基金管理人和基金托管人本着平等自愿、诚实信用、充分保护基金</w:t>
      </w:r>
      <w:r>
        <w:rPr>
          <w:rFonts w:hAnsi="宋体" w:cs="Arial" w:hint="eastAsia"/>
          <w:szCs w:val="21"/>
        </w:rPr>
        <w:t>份额持有人</w:t>
      </w:r>
      <w:r>
        <w:rPr>
          <w:rFonts w:hint="eastAsia"/>
          <w:szCs w:val="21"/>
        </w:rPr>
        <w:t>合法权益的原则，经协商一致，签订本协议。</w:t>
      </w:r>
    </w:p>
    <w:p w14:paraId="450C40E8" w14:textId="77777777" w:rsidR="00810426" w:rsidRDefault="00B424E5">
      <w:pPr>
        <w:pStyle w:val="2"/>
        <w:jc w:val="center"/>
        <w:rPr>
          <w:rFonts w:eastAsia="宋体"/>
          <w:sz w:val="30"/>
          <w:szCs w:val="24"/>
        </w:rPr>
      </w:pPr>
      <w:r>
        <w:rPr>
          <w:rFonts w:eastAsia="宋体"/>
          <w:sz w:val="30"/>
        </w:rPr>
        <w:br w:type="page"/>
      </w:r>
      <w:bookmarkStart w:id="7" w:name="_Toc214361112"/>
      <w:bookmarkStart w:id="8" w:name="_Toc289514223"/>
      <w:r>
        <w:rPr>
          <w:rFonts w:eastAsia="宋体" w:hint="eastAsia"/>
          <w:sz w:val="30"/>
        </w:rPr>
        <w:lastRenderedPageBreak/>
        <w:t>三、基金托管人对基金管理人的业务监督和核查</w:t>
      </w:r>
      <w:bookmarkEnd w:id="7"/>
      <w:bookmarkEnd w:id="8"/>
    </w:p>
    <w:p w14:paraId="0222E7F1" w14:textId="77777777" w:rsidR="00810426" w:rsidRDefault="00B424E5">
      <w:pPr>
        <w:spacing w:line="360" w:lineRule="auto"/>
        <w:ind w:firstLineChars="200" w:firstLine="420"/>
        <w:rPr>
          <w:szCs w:val="21"/>
        </w:rPr>
      </w:pPr>
      <w:r>
        <w:rPr>
          <w:rFonts w:hint="eastAsia"/>
          <w:szCs w:val="21"/>
        </w:rPr>
        <w:t>（一）基金托管人对基金管理人的投资行为行使监督权</w:t>
      </w:r>
    </w:p>
    <w:p w14:paraId="1028ABFF" w14:textId="77777777" w:rsidR="00810426" w:rsidRDefault="00B424E5">
      <w:pPr>
        <w:spacing w:line="360" w:lineRule="auto"/>
        <w:ind w:firstLineChars="200" w:firstLine="420"/>
        <w:rPr>
          <w:szCs w:val="21"/>
        </w:rPr>
      </w:pPr>
      <w:r>
        <w:rPr>
          <w:rFonts w:hint="eastAsia"/>
          <w:szCs w:val="21"/>
        </w:rPr>
        <w:t>基金托管人根据有关法律法规的规定及基金合同的约定，对基金投资范围、投资对象进行监督。基金托管人运用相关技术系统，对基金实际投资是否符合基金合同关于证券选择标准的约定进行监督，对存在疑义的事项进行核查。</w:t>
      </w:r>
    </w:p>
    <w:p w14:paraId="55FDEBC5" w14:textId="77777777" w:rsidR="00810426" w:rsidRDefault="00B424E5">
      <w:pPr>
        <w:spacing w:line="360" w:lineRule="auto"/>
        <w:ind w:firstLineChars="200" w:firstLine="420"/>
        <w:rPr>
          <w:rFonts w:ascii="宋体"/>
          <w:szCs w:val="21"/>
        </w:rPr>
      </w:pPr>
      <w:r>
        <w:rPr>
          <w:rFonts w:ascii="宋体" w:hint="eastAsia"/>
          <w:szCs w:val="21"/>
        </w:rPr>
        <w:t>投资范围及投资对象：</w:t>
      </w:r>
    </w:p>
    <w:p w14:paraId="094ACCA5" w14:textId="77777777" w:rsidR="00810426" w:rsidRDefault="00B424E5">
      <w:pPr>
        <w:spacing w:line="360" w:lineRule="auto"/>
        <w:ind w:firstLineChars="200" w:firstLine="420"/>
        <w:rPr>
          <w:rFonts w:ascii="宋体"/>
          <w:szCs w:val="21"/>
        </w:rPr>
      </w:pPr>
      <w:r>
        <w:rPr>
          <w:rFonts w:ascii="宋体" w:hint="eastAsia"/>
          <w:szCs w:val="21"/>
        </w:rPr>
        <w:t>本基金可投资于境外市场和境内市场。其中，香港市场可通过合格境内机构投资者（QDII）境外投资额度、内地与香港股票市场交易互联互通机制或内地与香港债券市场互联互通南向合作机制进行投资。</w:t>
      </w:r>
    </w:p>
    <w:p w14:paraId="159994E2" w14:textId="0793DACE" w:rsidR="00810426" w:rsidRDefault="00B424E5">
      <w:pPr>
        <w:spacing w:line="360" w:lineRule="auto"/>
        <w:ind w:firstLineChars="200" w:firstLine="420"/>
        <w:rPr>
          <w:rFonts w:ascii="宋体"/>
          <w:szCs w:val="21"/>
        </w:rPr>
      </w:pPr>
      <w:r>
        <w:rPr>
          <w:rFonts w:ascii="宋体" w:hint="eastAsia"/>
          <w:szCs w:val="21"/>
        </w:rPr>
        <w:t>境外投资工具包括：在香港证券监管机构登记注册的公募基金（包括开放式基金和交易型开放式基金（ETF））；香港证券市场挂牌交易的普通股、优先股、存托凭证、房地产信托凭证（含港股通标的股票）；政府债券、公司债券、可转换债券、住房按揭支持证券、资产支持证券等以及经中国证监会认可的国际金融组织发行的证券；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本基金还可以进行证券借贷交易、正回购交易、逆回购交易。</w:t>
      </w:r>
    </w:p>
    <w:p w14:paraId="3FF16BC2" w14:textId="77777777" w:rsidR="00810426" w:rsidRDefault="00B424E5">
      <w:pPr>
        <w:spacing w:line="360" w:lineRule="auto"/>
        <w:ind w:firstLineChars="200" w:firstLine="420"/>
        <w:rPr>
          <w:rFonts w:ascii="宋体"/>
          <w:szCs w:val="21"/>
        </w:rPr>
      </w:pPr>
      <w:r>
        <w:rPr>
          <w:rFonts w:ascii="宋体" w:hint="eastAsia"/>
          <w:szCs w:val="21"/>
        </w:rPr>
        <w:t>境内投资工具包括：国内依法发行或上市的股票（包含主板股票、科创板股票、创业板股票、北京证券交易所股票及其他经中国证监会核准或注册上市的股票、存托凭证）、债券（包含国债、央行票据、金融债券、企业债券、公司债券、中期票据、短期融资券、超短期融资券、次级债券、政府支持机构债券、地方政府债券、可转换公司债券、可交换债券及其他经中国证监会允许投资的债券）、资产支持证券、银行存款、债券回购、同业存单、衍生工具（包括股指期货、国债期货、股票期权），以及法律法规或中国证监会允许基金投资的其他金融工具，但须符合中国证监会相关规定。</w:t>
      </w:r>
    </w:p>
    <w:p w14:paraId="2BBFBA29" w14:textId="77777777" w:rsidR="00810426" w:rsidRDefault="00B424E5">
      <w:pPr>
        <w:spacing w:line="360" w:lineRule="auto"/>
        <w:ind w:firstLineChars="200" w:firstLine="420"/>
        <w:rPr>
          <w:rFonts w:ascii="宋体"/>
          <w:szCs w:val="21"/>
        </w:rPr>
      </w:pPr>
      <w:r>
        <w:rPr>
          <w:rFonts w:ascii="宋体" w:hint="eastAsia"/>
          <w:szCs w:val="21"/>
        </w:rPr>
        <w:t>本基金可根据相关法律法规和《基金合同》的约定，参与融资业务。</w:t>
      </w:r>
    </w:p>
    <w:p w14:paraId="755571B6" w14:textId="77777777" w:rsidR="00810426" w:rsidRDefault="00B424E5">
      <w:pPr>
        <w:spacing w:line="360" w:lineRule="auto"/>
        <w:ind w:firstLineChars="200" w:firstLine="420"/>
        <w:rPr>
          <w:rFonts w:ascii="宋体"/>
          <w:szCs w:val="21"/>
        </w:rPr>
      </w:pPr>
      <w:r>
        <w:rPr>
          <w:rFonts w:ascii="宋体" w:hint="eastAsia"/>
          <w:szCs w:val="21"/>
        </w:rPr>
        <w:t>如法律法规或监管机构以后允许基金投资其他品种，基金管理人在履行适当程序后，可以将其纳入投资范围。</w:t>
      </w:r>
    </w:p>
    <w:p w14:paraId="7970FE70" w14:textId="77777777" w:rsidR="00810426" w:rsidRDefault="00B424E5">
      <w:pPr>
        <w:spacing w:line="360" w:lineRule="auto"/>
        <w:ind w:firstLineChars="200" w:firstLine="420"/>
        <w:rPr>
          <w:rFonts w:ascii="宋体"/>
          <w:szCs w:val="21"/>
        </w:rPr>
      </w:pPr>
      <w:r>
        <w:rPr>
          <w:rFonts w:ascii="宋体" w:hint="eastAsia"/>
          <w:szCs w:val="21"/>
        </w:rPr>
        <w:t>上述投资范围，基金托管人对本基金的直接投资进行监督。</w:t>
      </w:r>
    </w:p>
    <w:p w14:paraId="7EDE0B11" w14:textId="77777777" w:rsidR="00810426" w:rsidRDefault="00B424E5">
      <w:pPr>
        <w:spacing w:line="360" w:lineRule="auto"/>
        <w:ind w:firstLineChars="200" w:firstLine="420"/>
        <w:rPr>
          <w:rFonts w:ascii="宋体"/>
          <w:szCs w:val="21"/>
        </w:rPr>
      </w:pPr>
      <w:r>
        <w:rPr>
          <w:rFonts w:ascii="宋体" w:hint="eastAsia"/>
          <w:szCs w:val="21"/>
        </w:rPr>
        <w:lastRenderedPageBreak/>
        <w:t>基金的投资组合比例为：本基金投资组合中股票（含存托凭证、优先股、境外房地产信托凭证等权益类证券，下同）投资占基金资产的比例为60%-95%，其中香港市场挂牌交易的股票投资占股票资产的比例为0-50%。每个交易日日终，在扣除股指期货合约、国债期货合约和股票期权合约需缴纳的交易保证金后，本基金应当保持不低于基金资产净值5%的现金（不包括结算备付金、存出保证金、应收申购款等）或到期日在一年以内的政府债券。</w:t>
      </w:r>
    </w:p>
    <w:p w14:paraId="275B7919" w14:textId="77777777" w:rsidR="00810426" w:rsidRDefault="00B424E5">
      <w:pPr>
        <w:spacing w:line="360" w:lineRule="auto"/>
        <w:ind w:firstLineChars="200" w:firstLine="420"/>
        <w:rPr>
          <w:rFonts w:ascii="宋体"/>
          <w:szCs w:val="21"/>
        </w:rPr>
      </w:pPr>
      <w:r>
        <w:rPr>
          <w:rFonts w:ascii="宋体" w:hint="eastAsia"/>
          <w:szCs w:val="21"/>
        </w:rPr>
        <w:t>如果法律法规对上述比例要求有变更的，在履行适当程序后，以变更后的比例为准，本基金的投资比例会做相应调整。</w:t>
      </w:r>
    </w:p>
    <w:p w14:paraId="7B41798A" w14:textId="77777777" w:rsidR="00810426" w:rsidRDefault="00B424E5">
      <w:pPr>
        <w:spacing w:line="360" w:lineRule="auto"/>
        <w:ind w:firstLineChars="200" w:firstLine="420"/>
        <w:rPr>
          <w:rFonts w:ascii="宋体"/>
          <w:szCs w:val="21"/>
        </w:rPr>
      </w:pPr>
      <w:r>
        <w:rPr>
          <w:rFonts w:ascii="宋体" w:hint="eastAsia"/>
          <w:szCs w:val="21"/>
        </w:rPr>
        <w:t>（二）基金托管人根据有关法律法规的规定及基金合同的约定，对基金投资比</w:t>
      </w:r>
    </w:p>
    <w:p w14:paraId="19E08B96" w14:textId="77777777" w:rsidR="00810426" w:rsidRDefault="00B424E5">
      <w:pPr>
        <w:spacing w:line="360" w:lineRule="auto"/>
        <w:rPr>
          <w:rFonts w:ascii="宋体"/>
          <w:szCs w:val="21"/>
        </w:rPr>
      </w:pPr>
      <w:r>
        <w:rPr>
          <w:rFonts w:ascii="宋体" w:hint="eastAsia"/>
          <w:szCs w:val="21"/>
        </w:rPr>
        <w:t>例进行监督。基金托管人按下述限制和调整期限进行监督：</w:t>
      </w:r>
    </w:p>
    <w:p w14:paraId="5657B50F"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 xml:space="preserve">A、本基金境内外投资均应遵循以下限制： </w:t>
      </w:r>
    </w:p>
    <w:p w14:paraId="7DC9E9CC"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（1）本基金投资组合中股票（含存托凭证、优先股、境外房地产信托凭证等权益类证券，下同）投资占基金资产的比例为60%-95%，其中香港市场挂牌交易的股票投资占股票资产的比例为0-50%；</w:t>
      </w:r>
    </w:p>
    <w:p w14:paraId="461B1FC9"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2）每个交易日日终，在扣除股指期货合约、国债期货合约和股票期权合约需缴纳的交易保证金后，本基金应当保持不低于基金资产净值5%的现金（不包括结算备付金、存出保证金、应收申购款等）或到期日在一年以内的政府债券；</w:t>
      </w:r>
    </w:p>
    <w:p w14:paraId="0B5E08E4"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 xml:space="preserve">（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43D1CD59"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（4）本基金资产总值不超过基金资产净值的140%；</w:t>
      </w:r>
    </w:p>
    <w:p w14:paraId="6EEF0176"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 xml:space="preserve">除上述（2）、（3）以外，因证券市场波动、上市公司合并、基金规模变动等基金管理人之外的因素致使基金投资比例不符合上述规定投资比例的，基金管理人应当30个工作日内进行调整，但中国证监会规定的特殊情形除外。 </w:t>
      </w:r>
    </w:p>
    <w:p w14:paraId="62180D44" w14:textId="77777777" w:rsidR="00810426" w:rsidRDefault="00B424E5">
      <w:pPr>
        <w:spacing w:line="360" w:lineRule="auto"/>
        <w:ind w:firstLineChars="202" w:firstLine="424"/>
        <w:rPr>
          <w:rFonts w:ascii="宋体" w:cs="Arial"/>
          <w:bCs/>
          <w:szCs w:val="21"/>
        </w:rPr>
      </w:pPr>
      <w:r>
        <w:rPr>
          <w:rFonts w:ascii="宋体" w:hAnsi="宋体" w:cs="Arial"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FC1DE37" w14:textId="77777777" w:rsidR="00810426" w:rsidRDefault="00B424E5">
      <w:pPr>
        <w:spacing w:line="360" w:lineRule="auto"/>
        <w:ind w:firstLineChars="202" w:firstLine="424"/>
        <w:rPr>
          <w:rFonts w:ascii="宋体" w:cs="Arial"/>
          <w:bCs/>
          <w:szCs w:val="21"/>
        </w:rPr>
      </w:pPr>
      <w:r>
        <w:rPr>
          <w:rFonts w:ascii="宋体" w:cs="Arial" w:hint="eastAsia"/>
          <w:bCs/>
          <w:szCs w:val="21"/>
        </w:rPr>
        <w:t>B、本基金境外投资应遵循以下限制：</w:t>
      </w:r>
    </w:p>
    <w:p w14:paraId="5B76CF20" w14:textId="77777777" w:rsidR="00810426" w:rsidRDefault="00B424E5">
      <w:pPr>
        <w:spacing w:line="360" w:lineRule="auto"/>
        <w:ind w:firstLineChars="202" w:firstLine="424"/>
        <w:rPr>
          <w:rFonts w:ascii="宋体" w:cs="Arial"/>
          <w:bCs/>
          <w:szCs w:val="21"/>
        </w:rPr>
      </w:pPr>
      <w:r>
        <w:rPr>
          <w:rFonts w:ascii="宋体" w:cs="Arial" w:hint="eastAsia"/>
          <w:bCs/>
          <w:szCs w:val="21"/>
        </w:rPr>
        <w:t>（1）投资比例限制</w:t>
      </w:r>
    </w:p>
    <w:p w14:paraId="77F4F515" w14:textId="77777777" w:rsidR="00810426" w:rsidRDefault="00B424E5">
      <w:pPr>
        <w:spacing w:line="360" w:lineRule="auto"/>
        <w:ind w:firstLineChars="202" w:firstLine="424"/>
        <w:rPr>
          <w:rFonts w:ascii="宋体" w:cs="Arial"/>
          <w:bCs/>
          <w:szCs w:val="21"/>
        </w:rPr>
      </w:pPr>
      <w:r>
        <w:rPr>
          <w:rFonts w:ascii="宋体" w:cs="Arial" w:hint="eastAsia"/>
          <w:bCs/>
          <w:szCs w:val="21"/>
        </w:rPr>
        <w:t>1）本基金持有同一机构（政府、国际金融组织除外）发行的证券市值不超过基金资产净值的10%；</w:t>
      </w:r>
    </w:p>
    <w:p w14:paraId="0B6B2D81" w14:textId="77777777" w:rsidR="00810426" w:rsidRDefault="00B424E5">
      <w:pPr>
        <w:spacing w:line="360" w:lineRule="auto"/>
        <w:ind w:firstLineChars="202" w:firstLine="424"/>
        <w:rPr>
          <w:rFonts w:ascii="宋体" w:cs="Arial"/>
          <w:bCs/>
          <w:szCs w:val="21"/>
        </w:rPr>
      </w:pPr>
      <w:r>
        <w:rPr>
          <w:rFonts w:ascii="宋体" w:cs="Arial" w:hint="eastAsia"/>
          <w:bCs/>
          <w:szCs w:val="21"/>
        </w:rPr>
        <w:lastRenderedPageBreak/>
        <w:t>2）本基金持有同一家银行的存款不得超过基金净值的20%。在基金托管账户的存款可以不受上述限制；</w:t>
      </w:r>
    </w:p>
    <w:p w14:paraId="29BD5F8B" w14:textId="77777777" w:rsidR="00810426" w:rsidRDefault="00B424E5">
      <w:pPr>
        <w:spacing w:line="360" w:lineRule="auto"/>
        <w:ind w:firstLineChars="202" w:firstLine="424"/>
        <w:rPr>
          <w:rFonts w:ascii="宋体" w:cs="Arial"/>
          <w:bCs/>
          <w:szCs w:val="21"/>
        </w:rPr>
      </w:pPr>
      <w:r>
        <w:rPr>
          <w:rFonts w:ascii="宋体" w:cs="Arial" w:hint="eastAsia"/>
          <w:bCs/>
          <w:szCs w:val="21"/>
        </w:rPr>
        <w:t>3）本基金持有与中国证监会签署双边监管合作谅解备忘录国家或地区以外的其他国家或地区的证券市场挂牌交易的证券资产不超过基金资产净值的10%，其中持有任一国家或地区市场的证券资产不超过基金资产净值的3%；</w:t>
      </w:r>
    </w:p>
    <w:p w14:paraId="68B247CE" w14:textId="77777777" w:rsidR="00810426" w:rsidRDefault="00B424E5">
      <w:pPr>
        <w:spacing w:line="360" w:lineRule="auto"/>
        <w:ind w:firstLineChars="202" w:firstLine="424"/>
        <w:rPr>
          <w:rFonts w:ascii="宋体" w:cs="Arial"/>
          <w:bCs/>
          <w:szCs w:val="21"/>
        </w:rPr>
      </w:pPr>
      <w:r>
        <w:rPr>
          <w:rFonts w:ascii="宋体" w:cs="Arial" w:hint="eastAsia"/>
          <w:bCs/>
          <w:szCs w:val="21"/>
        </w:rPr>
        <w:t>前项投资比例限制应当合并计算同一机构境内外上市的总股本，同时应当一并计算全球存托凭证和美国存托凭证所代表的基础证券，并假设对持有的股本权证行使转换；</w:t>
      </w:r>
    </w:p>
    <w:p w14:paraId="1A799570" w14:textId="77777777" w:rsidR="00810426" w:rsidRDefault="00B424E5">
      <w:pPr>
        <w:spacing w:line="360" w:lineRule="auto"/>
        <w:ind w:firstLineChars="202" w:firstLine="424"/>
        <w:rPr>
          <w:rFonts w:ascii="宋体" w:cs="Arial"/>
          <w:bCs/>
          <w:szCs w:val="21"/>
        </w:rPr>
      </w:pPr>
      <w:r>
        <w:rPr>
          <w:rFonts w:ascii="宋体" w:cs="Arial" w:hint="eastAsia"/>
          <w:bCs/>
          <w:szCs w:val="21"/>
        </w:rPr>
        <w:t>5）本基金持有非流动性资产市值不得超过基金净值的10%；其中，非流动性资产是指法律或基金合同规定的流通受限证券以及中国证监会认定的其他资产；</w:t>
      </w:r>
    </w:p>
    <w:p w14:paraId="456696DF" w14:textId="77777777" w:rsidR="00810426" w:rsidRDefault="00B424E5">
      <w:pPr>
        <w:spacing w:line="360" w:lineRule="auto"/>
        <w:ind w:firstLineChars="202" w:firstLine="424"/>
        <w:rPr>
          <w:rFonts w:ascii="宋体" w:cs="Arial"/>
          <w:bCs/>
          <w:szCs w:val="21"/>
        </w:rPr>
      </w:pPr>
      <w:r>
        <w:rPr>
          <w:rFonts w:ascii="宋体" w:cs="Arial" w:hint="eastAsia"/>
          <w:bCs/>
          <w:szCs w:val="21"/>
        </w:rPr>
        <w:t>6）基金持有境外基金的市值合计不得超过基金资产净值的10%；但持有货币市场基金可以不受上述限制；</w:t>
      </w:r>
    </w:p>
    <w:p w14:paraId="488ACC63" w14:textId="77777777" w:rsidR="00810426" w:rsidRDefault="00B424E5">
      <w:pPr>
        <w:spacing w:line="360" w:lineRule="auto"/>
        <w:ind w:firstLineChars="202" w:firstLine="424"/>
        <w:rPr>
          <w:rFonts w:ascii="宋体" w:cs="Arial"/>
          <w:bCs/>
          <w:szCs w:val="21"/>
        </w:rPr>
      </w:pPr>
      <w:r>
        <w:rPr>
          <w:rFonts w:ascii="宋体" w:cs="Arial" w:hint="eastAsia"/>
          <w:bCs/>
          <w:szCs w:val="21"/>
        </w:rPr>
        <w:t xml:space="preserve">（2）金融衍生品投资 </w:t>
      </w:r>
    </w:p>
    <w:p w14:paraId="0FCFD8FF" w14:textId="77777777" w:rsidR="00810426" w:rsidRDefault="00B424E5">
      <w:pPr>
        <w:spacing w:line="360" w:lineRule="auto"/>
        <w:ind w:firstLineChars="202" w:firstLine="424"/>
        <w:rPr>
          <w:rFonts w:ascii="宋体" w:cs="Arial"/>
          <w:bCs/>
          <w:szCs w:val="21"/>
        </w:rPr>
      </w:pPr>
      <w:r>
        <w:rPr>
          <w:rFonts w:ascii="宋体" w:cs="Arial" w:hint="eastAsia"/>
          <w:bCs/>
          <w:szCs w:val="21"/>
        </w:rPr>
        <w:t xml:space="preserve">1）本基金的金融衍生品全部敞口不得高于基金资产净值的100%； </w:t>
      </w:r>
    </w:p>
    <w:p w14:paraId="3DF66397" w14:textId="77777777" w:rsidR="00810426" w:rsidRDefault="00B424E5">
      <w:pPr>
        <w:spacing w:line="360" w:lineRule="auto"/>
        <w:ind w:firstLineChars="200" w:firstLine="420"/>
        <w:rPr>
          <w:rFonts w:ascii="宋体" w:cs="Arial"/>
          <w:bCs/>
          <w:szCs w:val="21"/>
        </w:rPr>
      </w:pPr>
      <w:r>
        <w:rPr>
          <w:rFonts w:ascii="宋体" w:cs="Arial" w:hint="eastAsia"/>
          <w:bCs/>
          <w:szCs w:val="21"/>
        </w:rPr>
        <w:t>C、本基金境内投资应遵循以下限制：</w:t>
      </w:r>
    </w:p>
    <w:p w14:paraId="30575CF1" w14:textId="77777777" w:rsidR="00810426" w:rsidRDefault="00B424E5">
      <w:pPr>
        <w:spacing w:line="360" w:lineRule="auto"/>
        <w:ind w:firstLineChars="200" w:firstLine="420"/>
        <w:rPr>
          <w:rFonts w:ascii="宋体" w:cs="Arial"/>
          <w:bCs/>
          <w:szCs w:val="21"/>
        </w:rPr>
      </w:pPr>
      <w:r>
        <w:rPr>
          <w:rFonts w:ascii="宋体" w:cs="Arial" w:hint="eastAsia"/>
          <w:bCs/>
          <w:szCs w:val="21"/>
        </w:rPr>
        <w:t>（1）本基金持有一家公司发行的证券，其市值（同一家公司在境内和香港同时上市的A+H股合并计算）不超过基金资产净值的10%；</w:t>
      </w:r>
    </w:p>
    <w:p w14:paraId="22954F29" w14:textId="77777777" w:rsidR="00810426" w:rsidRDefault="00B424E5">
      <w:pPr>
        <w:spacing w:line="360" w:lineRule="auto"/>
        <w:ind w:firstLineChars="200" w:firstLine="420"/>
        <w:rPr>
          <w:rFonts w:ascii="宋体" w:cs="Arial"/>
          <w:bCs/>
          <w:szCs w:val="21"/>
        </w:rPr>
      </w:pPr>
      <w:r>
        <w:rPr>
          <w:rFonts w:ascii="宋体" w:cs="Arial" w:hint="eastAsia"/>
          <w:bCs/>
          <w:szCs w:val="21"/>
        </w:rPr>
        <w:t>（2）本基金管理人管理的全部基金持有一家公司发行的证券（同一家公司在境内和香港同时上市的A+H股合并计算），不超过该证券的10%，完全按照有关指数的构成比例进行证券投资的基金品种可以不受此条款规定的比例限制；</w:t>
      </w:r>
    </w:p>
    <w:p w14:paraId="550AA7EB" w14:textId="77777777" w:rsidR="00810426" w:rsidRDefault="00B424E5">
      <w:pPr>
        <w:spacing w:line="360" w:lineRule="auto"/>
        <w:ind w:firstLineChars="200" w:firstLine="420"/>
        <w:rPr>
          <w:rFonts w:ascii="宋体" w:cs="Arial"/>
          <w:bCs/>
          <w:szCs w:val="21"/>
        </w:rPr>
      </w:pPr>
      <w:r>
        <w:rPr>
          <w:rFonts w:ascii="宋体" w:cs="Arial" w:hint="eastAsia"/>
          <w:bCs/>
          <w:szCs w:val="21"/>
        </w:rPr>
        <w:t>（3）本基金投资于同一原始权益人的各类资产支持证券的比例，不得超过基金资产净值的10%；</w:t>
      </w:r>
    </w:p>
    <w:p w14:paraId="14D8BBEA" w14:textId="77777777" w:rsidR="00810426" w:rsidRDefault="00B424E5">
      <w:pPr>
        <w:spacing w:line="360" w:lineRule="auto"/>
        <w:ind w:firstLineChars="200" w:firstLine="420"/>
        <w:rPr>
          <w:rFonts w:ascii="宋体" w:cs="Arial"/>
          <w:bCs/>
          <w:szCs w:val="21"/>
        </w:rPr>
      </w:pPr>
      <w:r>
        <w:rPr>
          <w:rFonts w:ascii="宋体" w:cs="Arial" w:hint="eastAsia"/>
          <w:bCs/>
          <w:szCs w:val="21"/>
        </w:rPr>
        <w:t>（4）本基金持有的全部资产支持证券，其市值不得超过基金资产净值的20%；</w:t>
      </w:r>
    </w:p>
    <w:p w14:paraId="59ADB5CE" w14:textId="77777777" w:rsidR="00810426" w:rsidRDefault="00B424E5">
      <w:pPr>
        <w:spacing w:line="360" w:lineRule="auto"/>
        <w:ind w:firstLineChars="200" w:firstLine="420"/>
        <w:rPr>
          <w:rFonts w:ascii="宋体" w:cs="Arial"/>
          <w:bCs/>
          <w:szCs w:val="21"/>
        </w:rPr>
      </w:pPr>
      <w:r>
        <w:rPr>
          <w:rFonts w:ascii="宋体" w:cs="Arial" w:hint="eastAsia"/>
          <w:bCs/>
          <w:szCs w:val="21"/>
        </w:rPr>
        <w:t>（5）本基金持有的同一(指同一信用级别)资产支持证券的比例，不得超过该资产支持证券规模的10%；</w:t>
      </w:r>
    </w:p>
    <w:p w14:paraId="782489B5" w14:textId="77777777" w:rsidR="00810426" w:rsidRDefault="00B424E5">
      <w:pPr>
        <w:spacing w:line="360" w:lineRule="auto"/>
        <w:ind w:firstLineChars="200" w:firstLine="420"/>
        <w:rPr>
          <w:rFonts w:ascii="宋体" w:cs="Arial"/>
          <w:bCs/>
          <w:szCs w:val="21"/>
        </w:rPr>
      </w:pPr>
      <w:r>
        <w:rPr>
          <w:rFonts w:ascii="宋体" w:cs="Arial" w:hint="eastAsia"/>
          <w:bCs/>
          <w:szCs w:val="21"/>
        </w:rPr>
        <w:t>（6）本基金管理人管理的全部基金投资于同一原始权益人的各类资产支持证券，不得超过其各类资产支持证券合计规模的10%；</w:t>
      </w:r>
    </w:p>
    <w:p w14:paraId="2CC3D7D8" w14:textId="77777777" w:rsidR="00810426" w:rsidRDefault="00B424E5">
      <w:pPr>
        <w:spacing w:line="360" w:lineRule="auto"/>
        <w:ind w:firstLineChars="200" w:firstLine="420"/>
        <w:rPr>
          <w:rFonts w:ascii="宋体" w:cs="Arial"/>
          <w:bCs/>
          <w:szCs w:val="21"/>
        </w:rPr>
      </w:pPr>
      <w:r>
        <w:rPr>
          <w:rFonts w:ascii="宋体" w:cs="Arial" w:hint="eastAsia"/>
          <w:bCs/>
          <w:szCs w:val="21"/>
        </w:rPr>
        <w:t>（7）本基金应投资于信用级别评级为BBB以上(含BBB)的资产支持证券。基金持有资产支持证券期间，如果其信用等级下降、不再符合投资标准，应在评级报告发布之日起3个月内予以全部卖出；</w:t>
      </w:r>
    </w:p>
    <w:p w14:paraId="703C534E" w14:textId="77777777" w:rsidR="00810426" w:rsidRDefault="00B424E5">
      <w:pPr>
        <w:spacing w:line="360" w:lineRule="auto"/>
        <w:ind w:firstLineChars="200" w:firstLine="420"/>
        <w:rPr>
          <w:rFonts w:ascii="宋体" w:cs="Arial"/>
          <w:bCs/>
          <w:szCs w:val="21"/>
        </w:rPr>
      </w:pPr>
      <w:r>
        <w:rPr>
          <w:rFonts w:ascii="宋体" w:cs="Arial" w:hint="eastAsia"/>
          <w:bCs/>
          <w:szCs w:val="21"/>
        </w:rPr>
        <w:t>（8）基金财产参与股票发行申购，本基金所申报的金额不超过本基金的总资产，本基</w:t>
      </w:r>
      <w:r>
        <w:rPr>
          <w:rFonts w:ascii="宋体" w:cs="Arial" w:hint="eastAsia"/>
          <w:bCs/>
          <w:szCs w:val="21"/>
        </w:rPr>
        <w:lastRenderedPageBreak/>
        <w:t>金所申报的股票数量不超过拟发行股票公司本次发行股票的总量；</w:t>
      </w:r>
    </w:p>
    <w:p w14:paraId="5554CF5F" w14:textId="77777777" w:rsidR="00810426" w:rsidRDefault="00B424E5">
      <w:pPr>
        <w:spacing w:line="360" w:lineRule="auto"/>
        <w:ind w:firstLineChars="200" w:firstLine="420"/>
        <w:rPr>
          <w:rFonts w:ascii="宋体" w:cs="Arial"/>
          <w:bCs/>
          <w:szCs w:val="21"/>
        </w:rPr>
      </w:pPr>
      <w:r>
        <w:rPr>
          <w:rFonts w:ascii="宋体" w:cs="Arial" w:hint="eastAsia"/>
          <w:bCs/>
          <w:szCs w:val="21"/>
        </w:rPr>
        <w:t>（9）本基金参与股指期货交易，应当遵守下列要求：本基金在任何交易日日终，持有的买入股指期货合约价值不得超过基金资产净值的10%；在每个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31A4490D" w14:textId="77777777" w:rsidR="00810426" w:rsidRDefault="00B424E5">
      <w:pPr>
        <w:spacing w:line="360" w:lineRule="auto"/>
        <w:ind w:firstLineChars="200" w:firstLine="420"/>
        <w:rPr>
          <w:rFonts w:ascii="宋体" w:cs="Arial"/>
          <w:bCs/>
          <w:szCs w:val="21"/>
        </w:rPr>
      </w:pPr>
      <w:r>
        <w:rPr>
          <w:rFonts w:ascii="宋体" w:cs="Arial" w:hint="eastAsia"/>
          <w:bCs/>
          <w:szCs w:val="21"/>
        </w:rPr>
        <w:t xml:space="preserve">（10）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 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 </w:t>
      </w:r>
    </w:p>
    <w:p w14:paraId="069353E3" w14:textId="77777777" w:rsidR="00810426" w:rsidRDefault="00B424E5">
      <w:pPr>
        <w:spacing w:line="360" w:lineRule="auto"/>
        <w:ind w:firstLineChars="200" w:firstLine="420"/>
        <w:rPr>
          <w:rFonts w:ascii="宋体" w:cs="Arial"/>
          <w:bCs/>
          <w:szCs w:val="21"/>
        </w:rPr>
      </w:pPr>
      <w:r>
        <w:rPr>
          <w:rFonts w:ascii="宋体" w:cs="Arial" w:hint="eastAsia"/>
          <w:bCs/>
          <w:szCs w:val="21"/>
        </w:rPr>
        <w:t>（11）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5D05EEF9" w14:textId="77777777" w:rsidR="00810426" w:rsidRDefault="00B424E5">
      <w:pPr>
        <w:spacing w:line="360" w:lineRule="auto"/>
        <w:ind w:firstLineChars="200" w:firstLine="420"/>
        <w:rPr>
          <w:rFonts w:ascii="宋体" w:cs="Arial"/>
          <w:bCs/>
          <w:szCs w:val="21"/>
        </w:rPr>
      </w:pPr>
      <w:r>
        <w:rPr>
          <w:rFonts w:ascii="宋体" w:cs="Arial" w:hint="eastAsia"/>
          <w:bCs/>
          <w:szCs w:val="21"/>
        </w:rPr>
        <w:t>（12）基金参与融资业务后，在任何交易日日终，持有的融资买入股票与其他有价证券市值之和，不得超过基金资产净值的95%；</w:t>
      </w:r>
    </w:p>
    <w:p w14:paraId="47ADB98C" w14:textId="77777777" w:rsidR="00810426" w:rsidRDefault="00B424E5">
      <w:pPr>
        <w:spacing w:line="360" w:lineRule="auto"/>
        <w:ind w:firstLineChars="200" w:firstLine="420"/>
        <w:rPr>
          <w:rFonts w:ascii="宋体" w:cs="Arial"/>
          <w:bCs/>
          <w:szCs w:val="21"/>
        </w:rPr>
      </w:pPr>
      <w:r>
        <w:rPr>
          <w:rFonts w:ascii="宋体" w:cs="Arial" w:hint="eastAsia"/>
          <w:bCs/>
          <w:szCs w:val="21"/>
        </w:rPr>
        <w:t>（13）法律法规及中国证监会规定的和《基金合同》约定的其他投资限制。</w:t>
      </w:r>
    </w:p>
    <w:p w14:paraId="6EB409B2" w14:textId="77777777" w:rsidR="00810426" w:rsidRDefault="00B424E5">
      <w:pPr>
        <w:spacing w:line="360" w:lineRule="auto"/>
        <w:ind w:firstLineChars="200" w:firstLine="420"/>
        <w:rPr>
          <w:rFonts w:ascii="宋体" w:cs="Arial"/>
          <w:bCs/>
          <w:szCs w:val="21"/>
        </w:rPr>
      </w:pPr>
      <w:r>
        <w:rPr>
          <w:rFonts w:ascii="宋体" w:cs="Arial" w:hint="eastAsia"/>
          <w:bCs/>
          <w:szCs w:val="21"/>
        </w:rPr>
        <w:t>除上述（7）情形之外，因证券市场波动、上市公司合并、基金规模变动等基金管理人之外的因素致使基金投资比例不符合上述规定投资比例的，基金管理人应当在10个交易日内进行调整，但中国证监会规定的特殊情形除外。基金管理人应当自基金合同生效之日起</w:t>
      </w:r>
      <w:r>
        <w:rPr>
          <w:rFonts w:ascii="宋体" w:cs="Arial"/>
          <w:bCs/>
          <w:szCs w:val="21"/>
        </w:rPr>
        <w:t>6</w:t>
      </w:r>
      <w:r>
        <w:rPr>
          <w:rFonts w:ascii="宋体" w:cs="Arial" w:hint="eastAsia"/>
          <w:bCs/>
          <w:szCs w:val="21"/>
        </w:rPr>
        <w:t>个月内使基金的投资组合比例符合基金合同的有关约定。期间，本基金的投资范围、投资策略应当符合基金合同的约定。基金托管人对基金的投资的监督与检查自基金合同生效之日起开始。</w:t>
      </w:r>
    </w:p>
    <w:p w14:paraId="0BE4E9B4" w14:textId="77777777" w:rsidR="00810426" w:rsidRDefault="00B424E5">
      <w:pPr>
        <w:spacing w:line="360" w:lineRule="auto"/>
        <w:ind w:firstLineChars="201" w:firstLine="422"/>
        <w:rPr>
          <w:rFonts w:ascii="宋体"/>
          <w:szCs w:val="21"/>
        </w:rPr>
      </w:pPr>
      <w:r>
        <w:rPr>
          <w:rFonts w:ascii="宋体" w:hint="eastAsia"/>
          <w:szCs w:val="21"/>
        </w:rPr>
        <w:t>如果法律法规及监管政策等对基金合同约定的投资禁止行为和投资组合比例限制进行</w:t>
      </w:r>
      <w:r>
        <w:rPr>
          <w:rFonts w:ascii="宋体" w:hint="eastAsia"/>
          <w:szCs w:val="21"/>
        </w:rPr>
        <w:lastRenderedPageBreak/>
        <w:t>变更的，以变更后的规定为准，本基金可根据法律法规及监管政策要求相应调整禁止行为和投资比例限制规定，不需经基金份额持有人大会审议。法律法规或监管部门取消上述限制，如适用于本基金，基金管理人在履行适当程序后，则本基金投资不再受相关限制，不需要经基金份额持有人大会审议。</w:t>
      </w:r>
    </w:p>
    <w:p w14:paraId="67E65191" w14:textId="77777777" w:rsidR="00810426" w:rsidRDefault="00B424E5">
      <w:pPr>
        <w:spacing w:line="360" w:lineRule="auto"/>
        <w:ind w:firstLineChars="201" w:firstLine="422"/>
        <w:rPr>
          <w:rFonts w:ascii="宋体"/>
          <w:szCs w:val="21"/>
        </w:rPr>
      </w:pPr>
      <w:r>
        <w:rPr>
          <w:rFonts w:ascii="宋体" w:hint="eastAsia"/>
          <w:szCs w:val="21"/>
        </w:rPr>
        <w:t>（三）基金托管人根据有关法律法规的规定及基金合同的约定，对本托管协议项下的基金投资禁止行为进行监督。</w:t>
      </w:r>
    </w:p>
    <w:p w14:paraId="09D403D7" w14:textId="77777777" w:rsidR="00810426" w:rsidRDefault="00B424E5">
      <w:pPr>
        <w:spacing w:line="360" w:lineRule="auto"/>
        <w:ind w:firstLineChars="201" w:firstLine="422"/>
        <w:rPr>
          <w:rFonts w:ascii="宋体"/>
          <w:szCs w:val="21"/>
        </w:rPr>
      </w:pPr>
      <w:r>
        <w:rPr>
          <w:rFonts w:ascii="宋体" w:hint="eastAsia"/>
          <w:szCs w:val="21"/>
        </w:rPr>
        <w:t>（四）基金托管人根据有关法律法规的规定及基金合同的约定，对关联交易进行监督。</w:t>
      </w:r>
    </w:p>
    <w:p w14:paraId="698CE0D9" w14:textId="77777777" w:rsidR="00810426" w:rsidRDefault="00B424E5">
      <w:pPr>
        <w:spacing w:line="360" w:lineRule="auto"/>
        <w:ind w:firstLineChars="202" w:firstLine="424"/>
        <w:rPr>
          <w:rFonts w:ascii="宋体"/>
          <w:szCs w:val="21"/>
        </w:rPr>
      </w:pPr>
      <w:r>
        <w:rPr>
          <w:rFonts w:asci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C9ADC31" w14:textId="77777777" w:rsidR="00810426" w:rsidRDefault="00B424E5">
      <w:pPr>
        <w:spacing w:line="360" w:lineRule="auto"/>
        <w:ind w:firstLineChars="202" w:firstLine="424"/>
        <w:rPr>
          <w:rFonts w:ascii="宋体"/>
          <w:szCs w:val="21"/>
        </w:rPr>
      </w:pPr>
      <w:r>
        <w:rPr>
          <w:rFonts w:ascii="宋体" w:hint="eastAsia"/>
          <w:szCs w:val="21"/>
        </w:rPr>
        <w:t>法律法规或监管部门取消或变更上述限制，如适用于本基金，基金管理人在履行适当程序后，则本基金投资不再受相关限制或以变更后的规定为准。</w:t>
      </w:r>
    </w:p>
    <w:p w14:paraId="3BFE2B34" w14:textId="77777777" w:rsidR="00810426" w:rsidRDefault="00B424E5">
      <w:pPr>
        <w:spacing w:line="360" w:lineRule="auto"/>
        <w:ind w:firstLineChars="202" w:firstLine="424"/>
        <w:rPr>
          <w:rFonts w:ascii="宋体"/>
          <w:szCs w:val="21"/>
        </w:rPr>
      </w:pPr>
      <w:r>
        <w:rPr>
          <w:rFonts w:ascii="宋体" w:hint="eastAsia"/>
          <w:szCs w:val="21"/>
        </w:rPr>
        <w:t>根据法律法规有关基金从事的关联交易的规定，基金管理人和基金托管人应事先相互提供与本机构有控股关系的股东、实际控制人或者与其有其他重大利害关系的公司名单及有关关联方发行的证券名单，基金管理人方名单应加盖公章并书面提交，并确保所提供的关联交易名单的真实性、完整性、全面性；基金托管人方名单以公开市场披露信息为准，不再单独提供。基金管理人及基金托管人有责任保管真实、完整、全面的关联交易名单，并负责及时更新该名单。基金管理人方名单变更后应及时发送基金托管人，基金托管人回函确认已知名单的变更。基金管理人收到基金托管人书面确认后，新的关联交易名单开始生效。基金托管人方名单变更后应及时公开披露，新的关联交易名单于公开披露时开始生效。</w:t>
      </w:r>
    </w:p>
    <w:p w14:paraId="20CC36D8"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（五）基金托管人根据有关法律法规的规定及基金合同的约定，对基金管理人参与银行间债券市场进行监督。</w:t>
      </w:r>
    </w:p>
    <w:p w14:paraId="5560C4D9"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如基金管</w:t>
      </w:r>
      <w:r>
        <w:rPr>
          <w:rFonts w:ascii="宋体" w:hAnsi="宋体" w:cs="Arial" w:hint="eastAsia"/>
          <w:szCs w:val="21"/>
        </w:rPr>
        <w:lastRenderedPageBreak/>
        <w:t>理人在基金投资运作之前未向基金托管人提供银行间债券市场交易对手名单的，视为基金管理人认可全市场交易对手。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w:t>
      </w:r>
    </w:p>
    <w:p w14:paraId="7C6CA480"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基金管理人负责对交易对手的资信控制，按银行间债券市场的交易规则进行交易，并负责解决因交易对手不履行合同而造成的纠纷及损失。若未履约的交易对手在基金托管人与基金管理人确定的时间前仍未承担违约责任及其他相关法律责任的，基金管理人有权向相关交易对手追偿，基金托管人应予以必要的协助与配合。基金托管人根据银行间债券市场成交单对本基金银行间债券交易的交易对手及其结算方式进行监督。如基金托管人事后发现基金管理人没有按照事先约定的交易对手或交易方式进行交易时，基金托管人应及时以书面或以双方认可的其他方式提醒基金管理人，经提醒后仍未改正时造成基金财产损失的，基金托管人不承担由此造成的相应损失和责任。如果基金托管人未能切实履行监督职责，导致基金出现风险或造成基金资产损失的，基金托管人应承担相应责任。</w:t>
      </w:r>
    </w:p>
    <w:p w14:paraId="6EEFC360"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六）基金托管人根据有关法律法规的规定及基金合同的约定，对基金资产净值计算、各类基金份额净值计算、基金份额累计净值计算、应收资金到账、基金费用开支及收入确定、基金收益分配、相关信息披露、基金宣传推介材料中登载基金业绩表现数据等进行监督和核查。</w:t>
      </w:r>
    </w:p>
    <w:p w14:paraId="7F2723E5"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（七）基金托管人对基金投资银行存款进行监督。如基金管理人在基金投资运作之前未向基金托管人提供存款银行名单的，视为基金管理人认可所有银行。</w:t>
      </w:r>
    </w:p>
    <w:p w14:paraId="1B99094C"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本基金投资银行存款应符合如下规定：</w:t>
      </w:r>
    </w:p>
    <w:p w14:paraId="59065AE3"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1、本基金投资银行存款前，应与存款银行签署投资银行存款协议。</w:t>
      </w:r>
    </w:p>
    <w:p w14:paraId="63D98BBB"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2、本基金投资银行存款，必须采用基金管理人和基金托管人认可的方式办理。</w:t>
      </w:r>
    </w:p>
    <w:p w14:paraId="2BD279E6"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3、基金管理人投资银行存款或办理存款支取时，应提前书面通知基金托管人，以便基金托管人有足够的时间履行相应的业务操作程序。</w:t>
      </w:r>
    </w:p>
    <w:p w14:paraId="449B34C9"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4、因投资需要在基金托管人以外的其他银行开立活期账户进行存款或其他投资的，基金管理人、基金托管人和存款行需在投资前另行签署协议，原则上为三方协议。</w:t>
      </w:r>
    </w:p>
    <w:p w14:paraId="1144E0C2"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（八）基金托管人根据有关法律法规的规定及基金合同的约定，对基金投资流通受限证券进行监督。</w:t>
      </w:r>
    </w:p>
    <w:p w14:paraId="1A6F2EDF"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1、基金投资流通受限证券，应遵守《关于基金投资非公开发行股票等流通受限证券有</w:t>
      </w:r>
      <w:r>
        <w:rPr>
          <w:rFonts w:ascii="宋体" w:hAnsi="宋体" w:cs="Arial" w:hint="eastAsia"/>
          <w:szCs w:val="21"/>
        </w:rPr>
        <w:lastRenderedPageBreak/>
        <w:t>关问题的通知》等有关法律法规规定。</w:t>
      </w:r>
    </w:p>
    <w:p w14:paraId="3665E3EC"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7DE5B670"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3、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w:t>
      </w:r>
    </w:p>
    <w:p w14:paraId="7094E17E"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14:paraId="1A9B93E4"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4、相关法律法规对基金投资流通受限证券有新规定的，从其规定。</w:t>
      </w:r>
    </w:p>
    <w:p w14:paraId="5D8541B5"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（九）基金托管人根据有关法律法规的规定及基金合同的约定，对基金投资中期票据进行监督。</w:t>
      </w:r>
    </w:p>
    <w:p w14:paraId="5C369937"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基金管理人严格遵守法律法规和基金合同关于投资中期票据的相关规定，基金托管人按照法律法规和基金合同对基金管理人投资中期票据的额度和比例进行监督。</w:t>
      </w:r>
    </w:p>
    <w:p w14:paraId="35A0B25D"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十）基金托管人发现基金管理人的上述事项及投资指令或实际投资运作违反法律法规、基金合同和本托管协议的规定，应及时以电话提醒或书面提示等双方认可的方式通知基金管理人限期纠正。基金管理人应积极配合和协助基金托管人的监督和核查。基金管理人收到电话提醒或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如果基金托管人未能切实履行监督职责，导致基金出现风险或造成基金资产损失的，基金托管人应承担相应责任。</w:t>
      </w:r>
    </w:p>
    <w:p w14:paraId="70E77C63"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十一）基金管理人有义务配合和协助基金托管人依照法律法规、基金合同和本托管协议对基金业务执行核查。对基金托管人发出的电话提醒或书面提示，基金管理人应在规定时间内答复并改正，或就基金托管人的合理疑义进行解释或举证；对基金托管人按照法律法规、</w:t>
      </w:r>
      <w:r>
        <w:rPr>
          <w:rFonts w:ascii="宋体" w:hAnsi="宋体" w:cs="Arial" w:hint="eastAsia"/>
          <w:szCs w:val="21"/>
        </w:rPr>
        <w:lastRenderedPageBreak/>
        <w:t>基金合同和本托管协议的要求需向中国证监会报送基金监督报告的事项，基金管理人应积极配合提供相关数据资料和制度等。</w:t>
      </w:r>
    </w:p>
    <w:p w14:paraId="7B9BE3AA"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十二）若基金托管人发现基金管理人依据交易程序已经生效的指令违反法律、行政法规和其他有关规定，或者违反基金合同约定的，应当立即以书面或以双方认可的其他方式通知基金管理人，由此造成的相应损失由基金管理人承担。</w:t>
      </w:r>
    </w:p>
    <w:p w14:paraId="2679DAC9"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十三）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BCB0565"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十四）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69ACC42"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侧袋机制实施期间，本基金的投资组合比例、组合限制等约定仅适用于主袋账户。</w:t>
      </w:r>
    </w:p>
    <w:p w14:paraId="1B9ACE47"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侧袋账户的实施条件、实施程序、运作安排、投资安排、特定资产的处置变现和支付等对投资者权益有重大影响的事项详见招募说明书的规定。</w:t>
      </w:r>
    </w:p>
    <w:p w14:paraId="3CB814B9" w14:textId="77777777" w:rsidR="00810426" w:rsidRDefault="00810426">
      <w:pPr>
        <w:spacing w:line="360" w:lineRule="auto"/>
        <w:ind w:firstLineChars="200" w:firstLine="420"/>
        <w:rPr>
          <w:rFonts w:ascii="宋体" w:cs="Arial"/>
          <w:bCs/>
          <w:szCs w:val="21"/>
        </w:rPr>
      </w:pPr>
      <w:bookmarkStart w:id="9" w:name="_Hlt73429199"/>
      <w:bookmarkEnd w:id="9"/>
    </w:p>
    <w:p w14:paraId="7CFFDD1D" w14:textId="77777777" w:rsidR="00810426" w:rsidRDefault="00810426">
      <w:pPr>
        <w:spacing w:line="360" w:lineRule="auto"/>
        <w:ind w:firstLineChars="200" w:firstLine="420"/>
        <w:rPr>
          <w:rFonts w:ascii="宋体" w:cs="Arial"/>
          <w:bCs/>
          <w:szCs w:val="21"/>
        </w:rPr>
      </w:pPr>
    </w:p>
    <w:p w14:paraId="7ED28E8D" w14:textId="77777777" w:rsidR="00810426" w:rsidRDefault="00810426">
      <w:pPr>
        <w:spacing w:line="360" w:lineRule="auto"/>
        <w:ind w:firstLineChars="200" w:firstLine="420"/>
        <w:rPr>
          <w:rFonts w:ascii="宋体"/>
        </w:rPr>
      </w:pPr>
    </w:p>
    <w:p w14:paraId="12148CAE" w14:textId="77777777" w:rsidR="00810426" w:rsidRDefault="00810426">
      <w:pPr>
        <w:spacing w:line="360" w:lineRule="auto"/>
        <w:ind w:firstLine="420"/>
        <w:rPr>
          <w:rFonts w:ascii="宋体"/>
        </w:rPr>
        <w:sectPr w:rsidR="00810426" w:rsidSect="00B424E5">
          <w:footerReference w:type="default" r:id="rId10"/>
          <w:pgSz w:w="11906" w:h="16838"/>
          <w:pgMar w:top="1440" w:right="1800" w:bottom="1440" w:left="1800" w:header="851" w:footer="992" w:gutter="0"/>
          <w:paperSrc w:first="264" w:other="264"/>
          <w:pgNumType w:start="1"/>
          <w:cols w:space="720"/>
          <w:docGrid w:type="lines" w:linePitch="312"/>
        </w:sectPr>
      </w:pPr>
    </w:p>
    <w:p w14:paraId="013A0F35" w14:textId="77777777" w:rsidR="00810426" w:rsidRDefault="00B424E5">
      <w:pPr>
        <w:pStyle w:val="2"/>
        <w:jc w:val="center"/>
        <w:rPr>
          <w:rFonts w:eastAsia="宋体"/>
          <w:sz w:val="30"/>
        </w:rPr>
      </w:pPr>
      <w:bookmarkStart w:id="10" w:name="_Toc118212950"/>
      <w:bookmarkStart w:id="11" w:name="_Toc89163368"/>
      <w:bookmarkStart w:id="12" w:name="_Toc86649722"/>
      <w:bookmarkStart w:id="13" w:name="_Toc86225291"/>
      <w:bookmarkStart w:id="14" w:name="_Toc86223242"/>
      <w:bookmarkStart w:id="15" w:name="_Toc110830492"/>
      <w:bookmarkStart w:id="16" w:name="_Toc118972648"/>
      <w:bookmarkStart w:id="17" w:name="_Toc110765660"/>
      <w:bookmarkStart w:id="18" w:name="_Toc108512358"/>
      <w:bookmarkStart w:id="19" w:name="_Toc86726439"/>
      <w:bookmarkStart w:id="20" w:name="_Toc120435783"/>
      <w:bookmarkStart w:id="21" w:name="_Toc214361113"/>
      <w:bookmarkStart w:id="22" w:name="_Toc86727355"/>
      <w:bookmarkStart w:id="23" w:name="_Toc118774803"/>
      <w:bookmarkStart w:id="24" w:name="_Toc86737929"/>
      <w:bookmarkStart w:id="25" w:name="_Toc110761796"/>
      <w:bookmarkStart w:id="26" w:name="_Toc119402710"/>
      <w:r>
        <w:rPr>
          <w:rFonts w:eastAsia="宋体" w:hint="eastAsia"/>
          <w:sz w:val="30"/>
        </w:rPr>
        <w:lastRenderedPageBreak/>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B662239" w14:textId="77777777" w:rsidR="00810426" w:rsidRDefault="00B424E5">
      <w:pPr>
        <w:spacing w:line="360" w:lineRule="auto"/>
        <w:ind w:firstLineChars="200" w:firstLine="420"/>
        <w:rPr>
          <w:rFonts w:ascii="宋体"/>
          <w:szCs w:val="21"/>
        </w:rPr>
      </w:pPr>
      <w:r>
        <w:rPr>
          <w:rFonts w:ascii="宋体" w:hint="eastAsia"/>
          <w:szCs w:val="21"/>
        </w:rPr>
        <w:t>（一）基金管理人对基金托管人履行托管职责情况进行核查，核查事项包括但不限于基金托管人安全保管基金财产、开设基金财产的资金账户、证券账户及投资所需的其他账户、复核基金管理人计算的基金资产净值和各类基金份额净值、根据基金管理人指令办理清算交收、相关信息披露和监督基金投资运作等行为。</w:t>
      </w:r>
    </w:p>
    <w:p w14:paraId="083BA081" w14:textId="77777777" w:rsidR="00810426" w:rsidRDefault="00B424E5">
      <w:pPr>
        <w:spacing w:line="360" w:lineRule="auto"/>
        <w:ind w:firstLineChars="200" w:firstLine="420"/>
        <w:rPr>
          <w:rFonts w:ascii="宋体"/>
          <w:szCs w:val="21"/>
        </w:rPr>
      </w:pPr>
      <w:r>
        <w:rPr>
          <w:rFonts w:ascii="宋体" w:hint="eastAsia"/>
          <w:szCs w:val="21"/>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基金托管人对基金管理人通知的违规事项未能在限期内纠正或未在合理期限内确认的，基金管理人应报告中国证监会。基金管理人有权要求基金托管人赔偿基金管理人及基金财产因此所遭受的损失。</w:t>
      </w:r>
    </w:p>
    <w:p w14:paraId="72975F16" w14:textId="77777777" w:rsidR="00810426" w:rsidRDefault="00B424E5">
      <w:pPr>
        <w:spacing w:line="360" w:lineRule="auto"/>
        <w:ind w:firstLineChars="200" w:firstLine="420"/>
        <w:rPr>
          <w:rFonts w:ascii="宋体"/>
          <w:szCs w:val="21"/>
        </w:rPr>
      </w:pPr>
      <w:r>
        <w:rPr>
          <w:rFonts w:ascii="宋体"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r>
        <w:rPr>
          <w:rFonts w:ascii="宋体"/>
          <w:szCs w:val="21"/>
        </w:rPr>
        <w:cr/>
      </w:r>
    </w:p>
    <w:p w14:paraId="2152FCA7" w14:textId="77777777" w:rsidR="00810426" w:rsidRDefault="00810426">
      <w:pPr>
        <w:spacing w:line="360" w:lineRule="auto"/>
        <w:ind w:firstLineChars="200" w:firstLine="420"/>
        <w:rPr>
          <w:szCs w:val="21"/>
        </w:rPr>
        <w:sectPr w:rsidR="00810426">
          <w:pgSz w:w="11906" w:h="16838"/>
          <w:pgMar w:top="1418" w:right="1701" w:bottom="1418" w:left="1701" w:header="851" w:footer="992" w:gutter="0"/>
          <w:cols w:space="720"/>
          <w:docGrid w:type="lines" w:linePitch="312"/>
        </w:sectPr>
      </w:pPr>
    </w:p>
    <w:p w14:paraId="72ACAC4B" w14:textId="77777777" w:rsidR="00810426" w:rsidRDefault="00B424E5">
      <w:pPr>
        <w:pStyle w:val="2"/>
        <w:spacing w:before="120" w:after="120" w:line="360" w:lineRule="auto"/>
        <w:jc w:val="center"/>
        <w:rPr>
          <w:rFonts w:eastAsia="宋体"/>
          <w:sz w:val="30"/>
        </w:rPr>
      </w:pPr>
      <w:bookmarkStart w:id="27" w:name="_Toc214361114"/>
      <w:bookmarkStart w:id="28" w:name="_Toc89163369"/>
      <w:bookmarkStart w:id="29" w:name="_Toc110765661"/>
      <w:bookmarkStart w:id="30" w:name="_Toc86225292"/>
      <w:bookmarkStart w:id="31" w:name="_Toc86737930"/>
      <w:bookmarkStart w:id="32" w:name="_Toc110830493"/>
      <w:bookmarkStart w:id="33" w:name="_Toc84234388"/>
      <w:bookmarkStart w:id="34" w:name="_Toc84234435"/>
      <w:bookmarkStart w:id="35" w:name="_Toc86727356"/>
      <w:bookmarkStart w:id="36" w:name="_Toc108512359"/>
      <w:bookmarkStart w:id="37" w:name="_Toc86223243"/>
      <w:bookmarkStart w:id="38" w:name="_Toc118972649"/>
      <w:bookmarkStart w:id="39" w:name="_Toc119402711"/>
      <w:bookmarkStart w:id="40" w:name="_Toc118774804"/>
      <w:bookmarkStart w:id="41" w:name="_Toc84133786"/>
      <w:bookmarkStart w:id="42" w:name="_Toc86649723"/>
      <w:bookmarkStart w:id="43" w:name="_Toc120435784"/>
      <w:bookmarkStart w:id="44" w:name="_Toc110761797"/>
      <w:bookmarkStart w:id="45" w:name="_Toc118212951"/>
      <w:bookmarkStart w:id="46" w:name="_Toc86204789"/>
      <w:bookmarkStart w:id="47" w:name="_Toc86726440"/>
      <w:r>
        <w:rPr>
          <w:rFonts w:eastAsia="宋体" w:hint="eastAsia"/>
          <w:sz w:val="30"/>
        </w:rPr>
        <w:lastRenderedPageBreak/>
        <w:t>五、基金财产的保管</w:t>
      </w:r>
      <w:bookmarkEnd w:id="27"/>
    </w:p>
    <w:p w14:paraId="655AA7FD" w14:textId="77777777" w:rsidR="00810426" w:rsidRDefault="00B424E5">
      <w:pPr>
        <w:spacing w:line="360" w:lineRule="auto"/>
        <w:ind w:firstLineChars="200" w:firstLine="420"/>
        <w:rPr>
          <w:szCs w:val="21"/>
        </w:rPr>
      </w:pPr>
      <w:r>
        <w:rPr>
          <w:rFonts w:hint="eastAsia"/>
          <w:szCs w:val="21"/>
        </w:rPr>
        <w:t>（一）基金财产保管的原则</w:t>
      </w:r>
    </w:p>
    <w:p w14:paraId="61EB80BB" w14:textId="77777777" w:rsidR="00810426" w:rsidRDefault="00B424E5">
      <w:pPr>
        <w:spacing w:line="360" w:lineRule="auto"/>
        <w:ind w:firstLineChars="200" w:firstLine="420"/>
        <w:rPr>
          <w:szCs w:val="21"/>
        </w:rPr>
      </w:pPr>
      <w:r>
        <w:rPr>
          <w:rFonts w:hint="eastAsia"/>
          <w:szCs w:val="21"/>
        </w:rPr>
        <w:t>1</w:t>
      </w:r>
      <w:r>
        <w:rPr>
          <w:rFonts w:hint="eastAsia"/>
          <w:szCs w:val="21"/>
        </w:rPr>
        <w:t>、基金财产应独立于基金管理人、基金托管人、境外托管人的固有财产。</w:t>
      </w:r>
    </w:p>
    <w:p w14:paraId="22B66E63" w14:textId="77777777" w:rsidR="00810426" w:rsidRDefault="00B424E5">
      <w:pPr>
        <w:spacing w:line="360" w:lineRule="auto"/>
        <w:ind w:firstLineChars="200" w:firstLine="420"/>
        <w:rPr>
          <w:szCs w:val="21"/>
        </w:rPr>
      </w:pPr>
      <w:r>
        <w:rPr>
          <w:rFonts w:hint="eastAsia"/>
          <w:szCs w:val="21"/>
        </w:rPr>
        <w:t>2</w:t>
      </w:r>
      <w:r>
        <w:rPr>
          <w:rFonts w:hint="eastAsia"/>
          <w:szCs w:val="21"/>
        </w:rPr>
        <w:t>、基金托管人应安全保管基金财产。</w:t>
      </w:r>
    </w:p>
    <w:p w14:paraId="4BB58762" w14:textId="77777777" w:rsidR="00810426" w:rsidRDefault="00B424E5">
      <w:pPr>
        <w:spacing w:line="360" w:lineRule="auto"/>
        <w:ind w:firstLineChars="200" w:firstLine="420"/>
        <w:rPr>
          <w:szCs w:val="21"/>
        </w:rPr>
      </w:pPr>
      <w:r>
        <w:rPr>
          <w:rFonts w:hint="eastAsia"/>
          <w:szCs w:val="21"/>
        </w:rPr>
        <w:t>3</w:t>
      </w:r>
      <w:r>
        <w:rPr>
          <w:rFonts w:hint="eastAsia"/>
          <w:szCs w:val="21"/>
        </w:rPr>
        <w:t>、基金托管人按照规定在基金托管人、境外托管人处开设基金财产的资金账户、证券账户及投资所需的其他账户。</w:t>
      </w:r>
    </w:p>
    <w:p w14:paraId="0E179604" w14:textId="77777777" w:rsidR="00810426" w:rsidRDefault="00B424E5">
      <w:pPr>
        <w:spacing w:line="360" w:lineRule="auto"/>
        <w:ind w:firstLineChars="200" w:firstLine="420"/>
        <w:rPr>
          <w:szCs w:val="21"/>
        </w:rPr>
      </w:pPr>
      <w:r>
        <w:rPr>
          <w:rFonts w:hint="eastAsia"/>
          <w:szCs w:val="21"/>
        </w:rPr>
        <w:t>4</w:t>
      </w:r>
      <w:r>
        <w:rPr>
          <w:rFonts w:hint="eastAsia"/>
          <w:szCs w:val="21"/>
        </w:rPr>
        <w:t>、基金托管人对所托管的不同基金财产分别设置账户，与基金托管人的其他业务和其他基金的托管业务实行严格的分账管理，独立核算，确保基金财产的完整与独立。</w:t>
      </w:r>
    </w:p>
    <w:p w14:paraId="39E2E202" w14:textId="77777777" w:rsidR="00810426" w:rsidRDefault="00B424E5">
      <w:pPr>
        <w:spacing w:line="360" w:lineRule="auto"/>
        <w:ind w:firstLineChars="200" w:firstLine="420"/>
        <w:rPr>
          <w:szCs w:val="21"/>
        </w:rPr>
      </w:pPr>
      <w:r>
        <w:rPr>
          <w:rFonts w:hint="eastAsia"/>
          <w:szCs w:val="21"/>
        </w:rPr>
        <w:t>5</w:t>
      </w:r>
      <w:r>
        <w:rPr>
          <w:rFonts w:hint="eastAsia"/>
          <w:szCs w:val="21"/>
        </w:rPr>
        <w:t>、基金托管人按照基金合同和本协议的约定保管基金财产，如有特殊情况双方可另行协商解决。基金托管人未经基金管理人的合法合规指令，不得自行运用、处分、分配本基金的任何资产（不包含基金托管人依据中国证券登记结算有限责任公司（以下简称“中登公司”或“中国结算公司”）结算数据完成场内交易交收、基金资产开户银行扣收结算费和账户维护费等费用）。</w:t>
      </w:r>
    </w:p>
    <w:p w14:paraId="5005364D" w14:textId="77777777" w:rsidR="00810426" w:rsidRDefault="00B424E5">
      <w:pPr>
        <w:spacing w:line="360" w:lineRule="auto"/>
        <w:ind w:firstLineChars="200" w:firstLine="420"/>
        <w:rPr>
          <w:szCs w:val="21"/>
        </w:rPr>
      </w:pPr>
      <w:r>
        <w:rPr>
          <w:rFonts w:hint="eastAsia"/>
        </w:rPr>
        <w:t xml:space="preserve"> </w:t>
      </w:r>
      <w:r>
        <w:rPr>
          <w:rFonts w:hint="eastAsia"/>
          <w:szCs w:val="21"/>
        </w:rPr>
        <w:t>6</w:t>
      </w:r>
      <w:r>
        <w:rPr>
          <w:rFonts w:hint="eastAsia"/>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与配合，但对此不承担相应责任。</w:t>
      </w:r>
    </w:p>
    <w:p w14:paraId="7300FE10" w14:textId="77777777" w:rsidR="00810426" w:rsidRDefault="00B424E5">
      <w:pPr>
        <w:spacing w:line="360" w:lineRule="auto"/>
        <w:ind w:firstLineChars="200" w:firstLine="420"/>
        <w:rPr>
          <w:szCs w:val="21"/>
        </w:rPr>
      </w:pPr>
      <w:r>
        <w:rPr>
          <w:rFonts w:hint="eastAsia"/>
          <w:szCs w:val="21"/>
        </w:rPr>
        <w:t>7</w:t>
      </w:r>
      <w:r>
        <w:rPr>
          <w:rFonts w:hint="eastAsia"/>
          <w:szCs w:val="21"/>
        </w:rPr>
        <w:t>、基金托管人在因依法解散、被依法撤销或者被依法宣告清盘或破产等原因进行终止清算时，不得将托管证券及其收益归入其清算财产；境外托管人因上述同样原因进行终止清算时，基金托管人应当要求境外托管人不得将证券、非现金资产及其收益归入其清算财产，但当地的法律、法规和市场惯例不允许托管证券独立于清算财产的情况除外。基金托管人应当确保自身及境外托管人采取商业上的合理行动以保证证券、非现金资产的任何部分不会在其进行清算时，作为可分配财产分配给其债权人。当基金托管人知道托管资产的任何一部份将被视为托管人的清算财产时﹐托管人应尽快通知基金管理人。基金管理人和基金托管人理解现金于存入现金账户时构成境外托管人的等额债务，除非法律法规及撤销或清盘程序明文许可该等现金不归于清算财产外，该等现金归入清算财产并不构成基金托管人违反托管协议的规定。</w:t>
      </w:r>
    </w:p>
    <w:p w14:paraId="081FA0B4" w14:textId="77777777" w:rsidR="00810426" w:rsidRDefault="00B424E5">
      <w:pPr>
        <w:spacing w:line="360" w:lineRule="auto"/>
        <w:ind w:firstLineChars="200" w:firstLine="420"/>
        <w:rPr>
          <w:szCs w:val="21"/>
        </w:rPr>
      </w:pPr>
      <w:r>
        <w:rPr>
          <w:rFonts w:hint="eastAsia"/>
          <w:szCs w:val="21"/>
        </w:rPr>
        <w:t>（二）基金募集期间及募集资金的验资</w:t>
      </w:r>
    </w:p>
    <w:p w14:paraId="4064DAA7" w14:textId="77777777" w:rsidR="00810426" w:rsidRDefault="00B424E5">
      <w:pPr>
        <w:spacing w:line="360" w:lineRule="auto"/>
        <w:ind w:firstLineChars="200" w:firstLine="420"/>
        <w:rPr>
          <w:szCs w:val="21"/>
        </w:rPr>
      </w:pPr>
      <w:r>
        <w:rPr>
          <w:rFonts w:hint="eastAsia"/>
          <w:szCs w:val="21"/>
        </w:rPr>
        <w:t>1</w:t>
      </w:r>
      <w:r>
        <w:rPr>
          <w:rFonts w:hint="eastAsia"/>
          <w:szCs w:val="21"/>
        </w:rPr>
        <w:t>、基金管理人应将基金募集期间募集的资金存入专门账户，在基金募集行为结束前，任何人不得动用。该账户由基金管理人开立并管理。</w:t>
      </w:r>
    </w:p>
    <w:p w14:paraId="78251A85" w14:textId="77777777" w:rsidR="00810426" w:rsidRDefault="00B424E5">
      <w:pPr>
        <w:spacing w:line="360" w:lineRule="auto"/>
        <w:ind w:firstLineChars="200" w:firstLine="420"/>
        <w:rPr>
          <w:szCs w:val="21"/>
        </w:rPr>
      </w:pPr>
      <w:r>
        <w:rPr>
          <w:rFonts w:hint="eastAsia"/>
          <w:szCs w:val="21"/>
        </w:rPr>
        <w:lastRenderedPageBreak/>
        <w:t>2</w:t>
      </w:r>
      <w:r>
        <w:rPr>
          <w:rFonts w:hint="eastAsia"/>
          <w:szCs w:val="21"/>
        </w:rPr>
        <w:t>、基金募集期满或基金提前结束募集时，募集的基金份额总额、基金募集金额、基金份额持有人人数符合《基金法》、《运作办法》、基金合同等有关规定后，基金管理人应将属于基金财产的全部资金划入基金托管人为本基金开立的基金银行账户，同时在规定时间内，聘请符合《中华人民共和国证券法》规定的会计师事务所进行验资，出具验资报告。出具的验资报告由参加验资的</w:t>
      </w:r>
      <w:r>
        <w:rPr>
          <w:rFonts w:hint="eastAsia"/>
          <w:szCs w:val="21"/>
        </w:rPr>
        <w:t>2</w:t>
      </w:r>
      <w:r>
        <w:rPr>
          <w:rFonts w:hint="eastAsia"/>
          <w:szCs w:val="21"/>
        </w:rPr>
        <w:t>名或</w:t>
      </w:r>
      <w:r>
        <w:rPr>
          <w:rFonts w:hint="eastAsia"/>
          <w:szCs w:val="21"/>
        </w:rPr>
        <w:t>2</w:t>
      </w:r>
      <w:r>
        <w:rPr>
          <w:rFonts w:hint="eastAsia"/>
          <w:szCs w:val="21"/>
        </w:rPr>
        <w:t>名以上符合《中华人民共和国证券法》规定的注册会计师签字方为有效。</w:t>
      </w:r>
    </w:p>
    <w:p w14:paraId="42776910" w14:textId="77777777" w:rsidR="00810426" w:rsidRDefault="00B424E5">
      <w:pPr>
        <w:spacing w:line="360" w:lineRule="auto"/>
        <w:ind w:firstLineChars="200" w:firstLine="420"/>
        <w:rPr>
          <w:szCs w:val="21"/>
        </w:rPr>
      </w:pPr>
      <w:r>
        <w:rPr>
          <w:rFonts w:hint="eastAsia"/>
          <w:szCs w:val="21"/>
        </w:rPr>
        <w:t>3</w:t>
      </w:r>
      <w:r>
        <w:rPr>
          <w:rFonts w:hint="eastAsia"/>
          <w:szCs w:val="21"/>
        </w:rPr>
        <w:t>、若基金募集期限届满或基金停止募集时，未能达到基金备案的条件，由基金管理人按规定办理退款等事宜，基金托管人应提供充分协助。</w:t>
      </w:r>
    </w:p>
    <w:p w14:paraId="7A065151" w14:textId="77777777" w:rsidR="00810426" w:rsidRDefault="00B424E5">
      <w:pPr>
        <w:spacing w:line="360" w:lineRule="auto"/>
        <w:ind w:firstLineChars="200" w:firstLine="420"/>
        <w:rPr>
          <w:szCs w:val="21"/>
        </w:rPr>
      </w:pPr>
      <w:r>
        <w:rPr>
          <w:rFonts w:hint="eastAsia"/>
          <w:szCs w:val="21"/>
        </w:rPr>
        <w:t>（三）基金托管资金账户的开立和管理</w:t>
      </w:r>
    </w:p>
    <w:p w14:paraId="5F6A8DB4" w14:textId="72935D53" w:rsidR="00810426" w:rsidRDefault="00B424E5">
      <w:pPr>
        <w:spacing w:line="360" w:lineRule="auto"/>
        <w:ind w:firstLineChars="200" w:firstLine="420"/>
        <w:rPr>
          <w:szCs w:val="21"/>
        </w:rPr>
      </w:pPr>
      <w:r>
        <w:rPr>
          <w:rFonts w:hint="eastAsia"/>
          <w:szCs w:val="21"/>
        </w:rPr>
        <w:t>1</w:t>
      </w:r>
      <w:r>
        <w:rPr>
          <w:rFonts w:hint="eastAsia"/>
          <w:szCs w:val="21"/>
        </w:rPr>
        <w:t>、基金管理人、基金托管人为本基金单独开立托管资金账户。基金托管人可委托境外托管人开立资金账户（境外），境外托管人根据基金托管人的指令办理境外资金收付。托管资金账户的名称应当包含本基金名称，具体名称以实际开立为准。本基金的一切货币收支活动，包括但不限于投资、支付净应付款、支付基金收益、收取净应收款，均需通过该托管资金账户进行。</w:t>
      </w:r>
    </w:p>
    <w:p w14:paraId="15CB2735" w14:textId="77777777" w:rsidR="00810426" w:rsidRDefault="00B424E5">
      <w:pPr>
        <w:spacing w:line="360" w:lineRule="auto"/>
        <w:ind w:firstLineChars="200" w:firstLine="420"/>
        <w:rPr>
          <w:szCs w:val="21"/>
        </w:rPr>
      </w:pPr>
      <w:r>
        <w:rPr>
          <w:rFonts w:hint="eastAsia"/>
          <w:szCs w:val="21"/>
        </w:rPr>
        <w:t>2</w:t>
      </w:r>
      <w:r>
        <w:rPr>
          <w:rFonts w:hint="eastAsia"/>
          <w:szCs w:val="21"/>
        </w:rPr>
        <w:t>、托管资金账户的开立和使用，限于满足开展本基金业务的需要。基金托管人和基金管理人不得假借本基金的名义开立其他任何银行账户；亦不得使用本基金的任何银行账户进行本基金业务以外的活动。</w:t>
      </w:r>
    </w:p>
    <w:p w14:paraId="34529ED6" w14:textId="77777777" w:rsidR="00810426" w:rsidRDefault="00B424E5">
      <w:pPr>
        <w:spacing w:line="360" w:lineRule="auto"/>
        <w:ind w:firstLineChars="200" w:firstLine="420"/>
        <w:rPr>
          <w:szCs w:val="21"/>
        </w:rPr>
      </w:pPr>
      <w:r>
        <w:rPr>
          <w:rFonts w:hint="eastAsia"/>
          <w:szCs w:val="21"/>
        </w:rPr>
        <w:t>3</w:t>
      </w:r>
      <w:r>
        <w:rPr>
          <w:rFonts w:hint="eastAsia"/>
          <w:szCs w:val="21"/>
        </w:rPr>
        <w:t>、托管资金账户的管理理应符合所在国家或地区相关监管机构的有关规定。</w:t>
      </w:r>
      <w:r>
        <w:rPr>
          <w:szCs w:val="21"/>
        </w:rPr>
        <w:cr/>
      </w:r>
      <w:r>
        <w:rPr>
          <w:rFonts w:hint="eastAsia"/>
          <w:szCs w:val="21"/>
        </w:rPr>
        <w:t>（四）基金证券账户、基金托管人证券交易资金结算备付金账户的开立和管理</w:t>
      </w:r>
    </w:p>
    <w:p w14:paraId="60A459BF" w14:textId="77777777" w:rsidR="00810426" w:rsidRDefault="00B424E5">
      <w:pPr>
        <w:spacing w:line="360" w:lineRule="auto"/>
        <w:ind w:firstLineChars="200" w:firstLine="420"/>
        <w:rPr>
          <w:szCs w:val="21"/>
        </w:rPr>
      </w:pPr>
      <w:r>
        <w:rPr>
          <w:rFonts w:hint="eastAsia"/>
          <w:szCs w:val="21"/>
        </w:rPr>
        <w:t>1</w:t>
      </w:r>
      <w:r>
        <w:rPr>
          <w:rFonts w:hint="eastAsia"/>
          <w:szCs w:val="21"/>
        </w:rPr>
        <w:t>、基金托管人按照规定开立基金财产的证券账户。基金管理人应当在开户过程中给予必要的配合，并提供所需资料。证券账户的持有人名称应当符合证券登记结算机构的有关规定。</w:t>
      </w:r>
    </w:p>
    <w:p w14:paraId="1C13E4B5" w14:textId="77777777" w:rsidR="00810426" w:rsidRDefault="00B424E5">
      <w:pPr>
        <w:spacing w:line="360" w:lineRule="auto"/>
        <w:ind w:firstLineChars="200" w:firstLine="420"/>
        <w:rPr>
          <w:szCs w:val="21"/>
        </w:rPr>
      </w:pPr>
      <w:r>
        <w:rPr>
          <w:rFonts w:hint="eastAsia"/>
          <w:szCs w:val="21"/>
        </w:rPr>
        <w:t>2</w:t>
      </w:r>
      <w:r>
        <w:rPr>
          <w:rFonts w:hint="eastAsia"/>
          <w:szCs w:val="21"/>
        </w:rPr>
        <w:t>、证券账户的开立和使用，限于满足开展本基金业务的需要。基金托管人和基金管理人不得出借和未经对方同意擅自转让基金的任何证券账户，亦不得使用基金的任何证券账户进行本基金业务以外的活动。</w:t>
      </w:r>
    </w:p>
    <w:p w14:paraId="4239B1F2" w14:textId="77777777" w:rsidR="00810426" w:rsidRDefault="00B424E5">
      <w:pPr>
        <w:spacing w:line="360" w:lineRule="auto"/>
        <w:ind w:firstLineChars="200" w:firstLine="420"/>
        <w:rPr>
          <w:szCs w:val="21"/>
        </w:rPr>
      </w:pPr>
      <w:r>
        <w:rPr>
          <w:rFonts w:hint="eastAsia"/>
          <w:szCs w:val="21"/>
        </w:rPr>
        <w:t>证券账户的开立和证券账户卡的保管由基金托管人负责，管理和运用由基金管理人负责。</w:t>
      </w:r>
    </w:p>
    <w:p w14:paraId="3A6C619D" w14:textId="77777777" w:rsidR="00810426" w:rsidRDefault="00B424E5">
      <w:pPr>
        <w:spacing w:line="360" w:lineRule="auto"/>
        <w:ind w:firstLineChars="200" w:firstLine="420"/>
        <w:rPr>
          <w:szCs w:val="21"/>
        </w:rPr>
      </w:pPr>
      <w:r>
        <w:rPr>
          <w:rFonts w:hint="eastAsia"/>
          <w:szCs w:val="21"/>
        </w:rPr>
        <w:t>3</w:t>
      </w:r>
      <w:r>
        <w:rPr>
          <w:rFonts w:hint="eastAsia"/>
          <w:szCs w:val="21"/>
        </w:rPr>
        <w:t>、基金托管人以基金托管人的名义在中国证券登记结算有限责任公司上海分公司、深圳分公司开立证券交易资金结算备付金账户（即资金交收账户），用于办理基金托管人所托管的包括本基金财产在内的全部资产在证券交易所进行证券投资所涉及的资金结算业务。</w:t>
      </w:r>
    </w:p>
    <w:p w14:paraId="6AE98F90" w14:textId="77777777" w:rsidR="00810426" w:rsidRDefault="00B424E5">
      <w:pPr>
        <w:spacing w:line="360" w:lineRule="auto"/>
        <w:ind w:firstLineChars="200" w:firstLine="420"/>
        <w:rPr>
          <w:szCs w:val="21"/>
        </w:rPr>
      </w:pPr>
      <w:r>
        <w:rPr>
          <w:rFonts w:hint="eastAsia"/>
          <w:szCs w:val="21"/>
        </w:rPr>
        <w:t>（五）银行间债券市场的相关账户的开立和管理</w:t>
      </w:r>
    </w:p>
    <w:p w14:paraId="1D3564C0" w14:textId="77777777" w:rsidR="00810426" w:rsidRDefault="00B424E5">
      <w:pPr>
        <w:spacing w:line="360" w:lineRule="auto"/>
        <w:ind w:firstLineChars="200" w:firstLine="420"/>
        <w:rPr>
          <w:szCs w:val="21"/>
        </w:rPr>
      </w:pPr>
      <w:r>
        <w:rPr>
          <w:rFonts w:hint="eastAsia"/>
          <w:szCs w:val="21"/>
        </w:rPr>
        <w:t>基金管理人负责以本基金的名义申请并取得全国银行间同业拆借市场的交易资格，并代</w:t>
      </w:r>
      <w:r>
        <w:rPr>
          <w:rFonts w:hint="eastAsia"/>
          <w:szCs w:val="21"/>
        </w:rPr>
        <w:lastRenderedPageBreak/>
        <w:t>表本基金进行交易；基金托管人负责以基金资产的名义在中央国债登记结算有限责任公司和银行间市场清算所股份有限公司开设银行间债券市场债券托管账户，并代表本基金进行债券和资金的清算。基金管理人、基金托管人应互相配合并提供相关资料。</w:t>
      </w:r>
    </w:p>
    <w:p w14:paraId="2466E0B6" w14:textId="77777777" w:rsidR="00810426" w:rsidRDefault="00B424E5">
      <w:pPr>
        <w:spacing w:line="360" w:lineRule="auto"/>
        <w:ind w:firstLineChars="200" w:firstLine="420"/>
        <w:rPr>
          <w:szCs w:val="21"/>
        </w:rPr>
      </w:pPr>
      <w:r>
        <w:t>（六）基金境外证券账户的开立和管理基金托管人委托境外托管人在境外，根据当地市场法律法规规定，开立和管理证券账户。</w:t>
      </w:r>
    </w:p>
    <w:p w14:paraId="19C75A1F" w14:textId="77777777" w:rsidR="00810426" w:rsidRDefault="00B424E5">
      <w:pPr>
        <w:spacing w:line="360" w:lineRule="auto"/>
        <w:ind w:firstLineChars="200" w:firstLine="420"/>
        <w:rPr>
          <w:szCs w:val="21"/>
        </w:rPr>
      </w:pPr>
      <w:r>
        <w:rPr>
          <w:rFonts w:hint="eastAsia"/>
          <w:szCs w:val="21"/>
        </w:rPr>
        <w:t>（七）开放式证券投资基金账户的开立和管理</w:t>
      </w:r>
    </w:p>
    <w:p w14:paraId="0FD90CFD" w14:textId="77777777" w:rsidR="00810426" w:rsidRDefault="00B424E5">
      <w:pPr>
        <w:spacing w:line="360" w:lineRule="auto"/>
        <w:ind w:firstLineChars="200" w:firstLine="420"/>
        <w:rPr>
          <w:szCs w:val="21"/>
        </w:rPr>
      </w:pPr>
      <w:r>
        <w:rPr>
          <w:rFonts w:hint="eastAsia"/>
          <w:szCs w:val="21"/>
        </w:rPr>
        <w:t>1</w:t>
      </w:r>
      <w:r>
        <w:rPr>
          <w:rFonts w:hint="eastAsia"/>
          <w:szCs w:val="21"/>
        </w:rPr>
        <w:t>、基金管理人负责为本基金开立所需的基金账户。</w:t>
      </w:r>
    </w:p>
    <w:p w14:paraId="14D40275" w14:textId="77777777" w:rsidR="00810426" w:rsidRDefault="00B424E5">
      <w:pPr>
        <w:spacing w:line="360" w:lineRule="auto"/>
        <w:ind w:firstLineChars="200" w:firstLine="420"/>
        <w:rPr>
          <w:szCs w:val="21"/>
        </w:rPr>
      </w:pPr>
      <w:r>
        <w:rPr>
          <w:rFonts w:hint="eastAsia"/>
          <w:szCs w:val="21"/>
        </w:rPr>
        <w:t>2</w:t>
      </w:r>
      <w:r>
        <w:rPr>
          <w:rFonts w:hint="eastAsia"/>
          <w:szCs w:val="21"/>
        </w:rPr>
        <w:t>、基金管理人在开立基金账户时应将托管资金账户作为赎回款、分红款指定收款账户。</w:t>
      </w:r>
    </w:p>
    <w:p w14:paraId="246EECFE" w14:textId="77777777" w:rsidR="00810426" w:rsidRDefault="00B424E5">
      <w:pPr>
        <w:spacing w:line="360" w:lineRule="auto"/>
        <w:ind w:firstLineChars="200" w:firstLine="420"/>
        <w:rPr>
          <w:szCs w:val="21"/>
        </w:rPr>
      </w:pPr>
      <w:r>
        <w:rPr>
          <w:rFonts w:hint="eastAsia"/>
          <w:szCs w:val="21"/>
        </w:rPr>
        <w:t>3</w:t>
      </w:r>
      <w:r>
        <w:rPr>
          <w:rFonts w:hint="eastAsia"/>
          <w:szCs w:val="21"/>
        </w:rPr>
        <w:t>、基金管理人需及时将基金账户的基金账户信息加盖经授权的基金管理人业务专用章后交付基金托管人。</w:t>
      </w:r>
    </w:p>
    <w:p w14:paraId="4E867F60" w14:textId="77777777" w:rsidR="00810426" w:rsidRDefault="00B424E5">
      <w:pPr>
        <w:spacing w:line="360" w:lineRule="auto"/>
        <w:ind w:firstLineChars="200" w:firstLine="420"/>
        <w:rPr>
          <w:szCs w:val="21"/>
        </w:rPr>
      </w:pPr>
      <w:r>
        <w:rPr>
          <w:rFonts w:hint="eastAsia"/>
          <w:szCs w:val="21"/>
        </w:rPr>
        <w:t>4</w:t>
      </w:r>
      <w:r>
        <w:rPr>
          <w:rFonts w:hint="eastAsia"/>
          <w:szCs w:val="21"/>
        </w:rPr>
        <w:t>、在基金托管人收到基金账户信息前，基金管理人不得利用该账户进行投资活动。</w:t>
      </w:r>
    </w:p>
    <w:p w14:paraId="18D15B12" w14:textId="77777777" w:rsidR="00810426" w:rsidRDefault="00B424E5">
      <w:pPr>
        <w:spacing w:line="360" w:lineRule="auto"/>
        <w:ind w:firstLineChars="200" w:firstLine="420"/>
        <w:rPr>
          <w:szCs w:val="21"/>
        </w:rPr>
      </w:pPr>
      <w:r>
        <w:rPr>
          <w:rFonts w:hint="eastAsia"/>
          <w:szCs w:val="21"/>
        </w:rPr>
        <w:t>5</w:t>
      </w:r>
      <w:r>
        <w:rPr>
          <w:rFonts w:hint="eastAsia"/>
          <w:szCs w:val="21"/>
        </w:rPr>
        <w:t>、基金托管人有权随时向基金注册登记人查询该账户资料。</w:t>
      </w:r>
    </w:p>
    <w:p w14:paraId="329F892C" w14:textId="77777777" w:rsidR="00810426" w:rsidRDefault="00B424E5">
      <w:pPr>
        <w:spacing w:line="360" w:lineRule="auto"/>
        <w:ind w:firstLineChars="200" w:firstLine="420"/>
        <w:rPr>
          <w:szCs w:val="21"/>
        </w:rPr>
      </w:pPr>
      <w:r>
        <w:rPr>
          <w:rFonts w:hint="eastAsia"/>
          <w:szCs w:val="21"/>
        </w:rPr>
        <w:t>（八）投资定期存款的银行账户的开立和管理</w:t>
      </w:r>
    </w:p>
    <w:p w14:paraId="2D5E2956" w14:textId="77777777" w:rsidR="00810426" w:rsidRDefault="00B424E5">
      <w:pPr>
        <w:spacing w:line="360" w:lineRule="auto"/>
        <w:ind w:firstLineChars="200" w:firstLine="420"/>
        <w:rPr>
          <w:szCs w:val="21"/>
        </w:rPr>
      </w:pPr>
      <w:r>
        <w:rPr>
          <w:rFonts w:hint="eastAsia"/>
          <w:szCs w:val="21"/>
        </w:rPr>
        <w:t>基金财产投资定期存款在存款机构开立的银行账户，包括实体或虚拟账户，其预留印鉴应包含基金托管人指定印章。本着便于基金财产的安全保管和日常监督核查的原则，存款行应尽量选择基金托管人经办行所在地的分支机构。对于任何的定期存款投资，基金管理人都必须和存款机构签订定期存款协议，约定双方的权利和义务，该协议作为划款指令附件。该协议中必须有如下条款或意思表示：“存款证实书不得被质押或以任何方式被抵押，并不得用于转让和背书；本息到期归还或提前支取的所有款项必须划至托管资金账户（明确户名、开户行、账号等），不得划入其他任何账户。”如定期存款协议中未体现前述条款，基金托管人有权拒绝定期存款投资的划款指令。在取得存款证实书后，原则上由基金托管人保管证实书正本。基金管理人应该在合理的时间内进行定期存款的投资和支取事宜，若基金管理人提前支取或部分提前支取定期存款，若产生息差（即基金财产已计提的资金利息和提前支取时收到的资金利息差额），该息差的处理方法由基金管理人和基金托管人双方协商解决。</w:t>
      </w:r>
    </w:p>
    <w:p w14:paraId="1064A59B" w14:textId="77777777" w:rsidR="00810426" w:rsidRDefault="00B424E5">
      <w:pPr>
        <w:spacing w:line="360" w:lineRule="auto"/>
        <w:ind w:firstLineChars="200" w:firstLine="420"/>
        <w:rPr>
          <w:szCs w:val="21"/>
        </w:rPr>
      </w:pPr>
      <w:r>
        <w:rPr>
          <w:rFonts w:hint="eastAsia"/>
          <w:szCs w:val="21"/>
        </w:rPr>
        <w:t>（九）期货投资账户的开立和管理</w:t>
      </w:r>
    </w:p>
    <w:p w14:paraId="0031EB3A" w14:textId="77777777" w:rsidR="00810426" w:rsidRDefault="00B424E5">
      <w:pPr>
        <w:spacing w:line="360" w:lineRule="auto"/>
        <w:ind w:firstLineChars="200" w:firstLine="420"/>
        <w:rPr>
          <w:szCs w:val="21"/>
        </w:rPr>
      </w:pPr>
      <w:r>
        <w:rPr>
          <w:rFonts w:hint="eastAsia"/>
          <w:szCs w:val="21"/>
        </w:rPr>
        <w:t>基金管理人、基金托管人应当按照相关规定开立期货资金账户，在期货交易所获取交易编码。期货资金账户名称及交易编码对应名称应按照有关规定设立。</w:t>
      </w:r>
    </w:p>
    <w:p w14:paraId="1619C13A" w14:textId="77777777" w:rsidR="00810426" w:rsidRDefault="00B424E5">
      <w:pPr>
        <w:spacing w:line="360" w:lineRule="auto"/>
        <w:ind w:firstLineChars="200" w:firstLine="420"/>
        <w:rPr>
          <w:szCs w:val="21"/>
        </w:rPr>
      </w:pPr>
      <w:r>
        <w:rPr>
          <w:rFonts w:hint="eastAsia"/>
          <w:szCs w:val="21"/>
        </w:rPr>
        <w:t>（十）其他账户的开立和管理</w:t>
      </w:r>
    </w:p>
    <w:p w14:paraId="7516878A" w14:textId="77777777" w:rsidR="00810426" w:rsidRDefault="00B424E5">
      <w:pPr>
        <w:spacing w:line="360" w:lineRule="auto"/>
        <w:ind w:firstLineChars="200" w:firstLine="420"/>
        <w:rPr>
          <w:szCs w:val="21"/>
        </w:rPr>
      </w:pPr>
      <w:r>
        <w:rPr>
          <w:rFonts w:hint="eastAsia"/>
          <w:szCs w:val="21"/>
        </w:rPr>
        <w:t>因基金投资需要开立的其他账户应根据有关法律法规的规定开立，新账户按有关规则管理并使用。</w:t>
      </w:r>
    </w:p>
    <w:p w14:paraId="7C5AAD8D" w14:textId="77777777" w:rsidR="00810426" w:rsidRDefault="00B424E5">
      <w:pPr>
        <w:spacing w:line="360" w:lineRule="auto"/>
        <w:ind w:firstLineChars="200" w:firstLine="420"/>
        <w:rPr>
          <w:szCs w:val="21"/>
        </w:rPr>
      </w:pPr>
      <w:r>
        <w:rPr>
          <w:rFonts w:hint="eastAsia"/>
          <w:szCs w:val="21"/>
        </w:rPr>
        <w:lastRenderedPageBreak/>
        <w:t>（十一）基金财产投资的有关有价凭证等的保管</w:t>
      </w:r>
    </w:p>
    <w:p w14:paraId="3DC0E658" w14:textId="77777777" w:rsidR="00810426" w:rsidRDefault="00B424E5">
      <w:pPr>
        <w:spacing w:line="360" w:lineRule="auto"/>
        <w:ind w:firstLineChars="200" w:firstLine="420"/>
        <w:rPr>
          <w:szCs w:val="21"/>
        </w:rPr>
      </w:pPr>
      <w:r>
        <w:rPr>
          <w:rFonts w:hint="eastAsia"/>
          <w:szCs w:val="21"/>
        </w:rPr>
        <w:t>基金财产投资的有关实物证券、银行存款开户证实书等有价凭证由基金托管人存放于基金托管人的保管库，也可存入中央国债登记结算有限责任公司、中登公司上海分公司</w:t>
      </w:r>
      <w:r>
        <w:rPr>
          <w:rFonts w:hint="eastAsia"/>
          <w:szCs w:val="21"/>
        </w:rPr>
        <w:t>/</w:t>
      </w:r>
      <w:r>
        <w:rPr>
          <w:rFonts w:hint="eastAsia"/>
          <w:szCs w:val="21"/>
        </w:rPr>
        <w:t>深圳分公司、银行间市场清算所股份有限公司或票据营业中心的代保管库，保管凭证由基金托管人持有。实物证券、银行存款开户证实书等有价凭证的购买和转让，由基金管理人和基金托管人共同办理。属于基金托管人控制下的实物证券在基金托管人保管期间的损坏、灭失，由此产生的责任应由基金托管人承担。基金托管人对由基金托管人以外机构实际有效控制的资产不承担保管责任。</w:t>
      </w:r>
    </w:p>
    <w:p w14:paraId="2C519C01" w14:textId="77777777" w:rsidR="00810426" w:rsidRDefault="00B424E5">
      <w:pPr>
        <w:spacing w:line="360" w:lineRule="auto"/>
        <w:ind w:firstLineChars="200" w:firstLine="420"/>
        <w:rPr>
          <w:szCs w:val="21"/>
        </w:rPr>
      </w:pPr>
      <w:r>
        <w:t>基金财产投资的境外有关实物证券、银行存款定期存单等有价凭证由基金托管人委托境外托管代理人存放于其保管库。</w:t>
      </w:r>
    </w:p>
    <w:p w14:paraId="51DAAAA1" w14:textId="77777777" w:rsidR="00810426" w:rsidRDefault="00B424E5">
      <w:pPr>
        <w:spacing w:line="360" w:lineRule="auto"/>
        <w:ind w:firstLineChars="200" w:firstLine="420"/>
        <w:rPr>
          <w:szCs w:val="21"/>
        </w:rPr>
      </w:pPr>
      <w:r>
        <w:rPr>
          <w:rFonts w:hint="eastAsia"/>
          <w:szCs w:val="21"/>
        </w:rPr>
        <w:t>（十二）与基金财产有关的重大合同的保管</w:t>
      </w:r>
    </w:p>
    <w:p w14:paraId="4CD0BB47" w14:textId="77777777" w:rsidR="00810426" w:rsidRDefault="00B424E5">
      <w:pPr>
        <w:spacing w:line="360" w:lineRule="auto"/>
        <w:ind w:firstLineChars="200" w:firstLine="420"/>
        <w:rPr>
          <w:szCs w:val="21"/>
        </w:rPr>
      </w:pPr>
      <w:r>
        <w:rPr>
          <w:rFonts w:hint="eastAsia"/>
          <w:szCs w:val="21"/>
        </w:rPr>
        <w:t>与基金财产有关的重大合同的签署，由基金管理人负责。由基金管理人代表基金签署的、与基金财产有关的重大合同分别由基金管理人、基金托管人保管。除本协议另有规定外，基金管理人代表基金签署的与基金财产有关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应符合法律法规的规定。</w:t>
      </w:r>
    </w:p>
    <w:p w14:paraId="7EAD75FF" w14:textId="77777777" w:rsidR="00810426" w:rsidRDefault="00B424E5">
      <w:pPr>
        <w:spacing w:line="360" w:lineRule="auto"/>
        <w:ind w:firstLineChars="200" w:firstLine="420"/>
        <w:rPr>
          <w:szCs w:val="21"/>
        </w:rPr>
      </w:pPr>
      <w:r>
        <w:rPr>
          <w:rFonts w:hint="eastAsia"/>
          <w:szCs w:val="21"/>
        </w:rPr>
        <w:t>对于无法取得二份以上的正本的，基金管理人应向基金托管人提供加盖公章的合同传真件或复印件，未经双方协商一致或未在合同约定范围内，合同原件不得转移，由基金管理人保管。</w:t>
      </w:r>
    </w:p>
    <w:p w14:paraId="5D3ACDFD" w14:textId="77777777" w:rsidR="00810426" w:rsidRDefault="00810426">
      <w:pPr>
        <w:spacing w:line="360" w:lineRule="auto"/>
        <w:ind w:firstLineChars="200" w:firstLine="420"/>
      </w:pP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63083337" w14:textId="77777777" w:rsidR="00810426" w:rsidRDefault="00810426">
      <w:pPr>
        <w:pStyle w:val="2"/>
        <w:spacing w:line="360" w:lineRule="auto"/>
        <w:jc w:val="center"/>
        <w:rPr>
          <w:rFonts w:ascii="宋体"/>
        </w:rPr>
        <w:sectPr w:rsidR="00810426">
          <w:pgSz w:w="11906" w:h="16838"/>
          <w:pgMar w:top="1418" w:right="1701" w:bottom="1418" w:left="1701" w:header="851" w:footer="992" w:gutter="0"/>
          <w:cols w:space="720"/>
          <w:docGrid w:type="lines" w:linePitch="312"/>
        </w:sectPr>
      </w:pPr>
    </w:p>
    <w:p w14:paraId="63A3BE9C" w14:textId="77777777" w:rsidR="00810426" w:rsidRDefault="00B424E5">
      <w:pPr>
        <w:pStyle w:val="2"/>
        <w:jc w:val="center"/>
        <w:rPr>
          <w:rFonts w:eastAsia="宋体"/>
          <w:sz w:val="30"/>
        </w:rPr>
      </w:pPr>
      <w:bookmarkStart w:id="48" w:name="_Toc214361115"/>
      <w:bookmarkStart w:id="49" w:name="_Toc84234436"/>
      <w:bookmarkStart w:id="50" w:name="_Toc118972650"/>
      <w:bookmarkStart w:id="51" w:name="_Toc84234389"/>
      <w:bookmarkStart w:id="52" w:name="_Toc86726441"/>
      <w:bookmarkStart w:id="53" w:name="_Toc89163370"/>
      <w:bookmarkStart w:id="54" w:name="_Toc110830494"/>
      <w:bookmarkStart w:id="55" w:name="_Toc120435785"/>
      <w:bookmarkStart w:id="56" w:name="_Toc110765662"/>
      <w:bookmarkStart w:id="57" w:name="_Toc118774805"/>
      <w:bookmarkStart w:id="58" w:name="_Toc86649724"/>
      <w:bookmarkStart w:id="59" w:name="_Toc86737931"/>
      <w:bookmarkStart w:id="60" w:name="_Toc86223244"/>
      <w:bookmarkStart w:id="61" w:name="_Toc119402712"/>
      <w:bookmarkStart w:id="62" w:name="_Toc86204790"/>
      <w:bookmarkStart w:id="63" w:name="_Toc108512360"/>
      <w:bookmarkStart w:id="64" w:name="_Toc86727357"/>
      <w:bookmarkStart w:id="65" w:name="_Toc86225293"/>
      <w:bookmarkStart w:id="66" w:name="_Toc110761798"/>
      <w:bookmarkStart w:id="67" w:name="_Toc84133787"/>
      <w:bookmarkStart w:id="68" w:name="_Toc118212952"/>
      <w:r>
        <w:rPr>
          <w:rFonts w:eastAsia="宋体" w:hint="eastAsia"/>
          <w:sz w:val="30"/>
        </w:rPr>
        <w:lastRenderedPageBreak/>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BD45113"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14:paraId="3B370511"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（一）基金管理人对发送指令人员的书面授权</w:t>
      </w:r>
    </w:p>
    <w:p w14:paraId="48CA3BBC"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1、基金管理人应指定专人向基金托管人发送指令。</w:t>
      </w:r>
    </w:p>
    <w:p w14:paraId="11627DFB"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2、基金管理人应向基金托管人提供书面授权文件，内容包括被授权人名单、预留印鉴及被授权人签章样本，授权文件应注明被授权人相应的权限。</w:t>
      </w:r>
    </w:p>
    <w:p w14:paraId="0A87C221"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3、基金托管人在收到授权文件传真件并经电话确认后，授权文件即生效，原件于 5 个工作日内送至基金托管人。如果授权文件中载明具体生效时间的，该生效时间不得早于基金托管人收到授权文件并经电话确认的时点。如早于前述时间，则以基金托管人收到授权文件并经电话确认的时点为授权文件的生效时间。</w:t>
      </w:r>
    </w:p>
    <w:p w14:paraId="152F2B75"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4、基金管理人和基金托管人对授权文件负有保密义务，其内容不得向授权人、被授权人及相关操作人员以外的任何人泄露。但法律法规规定或有权机关要求的除外。</w:t>
      </w:r>
    </w:p>
    <w:p w14:paraId="4DA2D536"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5、基金管理人更改或终止被授权人的授权，应提前通知基金托管人并提供新的被授权人名单、预留签章样本。基金托管人应在收到授权文件原件当日银行营业时间结束前将回函传真至基金管理人并电话确认。被授权人变更或终止通知，自基金管理人收到基金托管人以传真形式发出的回函确认时开始生效。</w:t>
      </w:r>
    </w:p>
    <w:p w14:paraId="7ADA4ACF"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6、基金管理人发送的指令，应在基金托管人规定的截止时间发出。指令传输不及时、未能留出足够的划款时间，致使资金未能及时到账所造成的损失由基金管理人承担。</w:t>
      </w:r>
    </w:p>
    <w:p w14:paraId="2374F15E"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（二）指令的内容</w:t>
      </w:r>
    </w:p>
    <w:p w14:paraId="585C7AE3"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1、指令包括付款指令以及其他资金划拨指令等。</w:t>
      </w:r>
    </w:p>
    <w:p w14:paraId="6EE34B33"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2、基金管理人发给基金托管人的指令应写明款项事由、支付时间、到账时间、金额、账户等，加盖预留印鉴并由被授权人签章。</w:t>
      </w:r>
    </w:p>
    <w:p w14:paraId="20C8E395"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（三）指令的发送、确认及执行的时间和程序</w:t>
      </w:r>
    </w:p>
    <w:p w14:paraId="55CF8EF0"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1、指令的发送</w:t>
      </w:r>
    </w:p>
    <w:p w14:paraId="16AB75CA"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基金管理人发送指令应采用 SWIFT、邮件、传真方式或双方协商一致的其他方式。</w:t>
      </w:r>
    </w:p>
    <w:p w14:paraId="4AD28FBD"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14:paraId="0AE118D6"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指令发出后，基金管理人应及时以电话或双方认可方式向基金托管人确认。基金管理人应确保其发送指令、数据的真实、准确、完整。基金管理人应在银行间交易成交后，及时将通知</w:t>
      </w:r>
      <w:r>
        <w:rPr>
          <w:rFonts w:ascii="宋体" w:hAnsi="宋体" w:cs="Arial" w:hint="eastAsia"/>
          <w:szCs w:val="21"/>
        </w:rPr>
        <w:lastRenderedPageBreak/>
        <w:t>单、相关文件及划款指令加盖预留印鉴后发至基金托管人并电话或双方认可方式确认，由基金托管人完成后台交易匹配及资金交收事宜。如果银行间结算系统已经生成的交易需要取消或终止，基金管理人要书面通知基金托管人。</w:t>
      </w:r>
    </w:p>
    <w:p w14:paraId="78826EAE" w14:textId="77777777" w:rsidR="00810426" w:rsidRDefault="00B424E5">
      <w:pPr>
        <w:adjustRightInd w:val="0"/>
        <w:snapToGrid w:val="0"/>
        <w:spacing w:line="360" w:lineRule="auto"/>
        <w:ind w:firstLineChars="200" w:firstLine="420"/>
        <w:rPr>
          <w:rFonts w:ascii="宋体" w:hAnsi="宋体" w:cs="Arial"/>
          <w:szCs w:val="21"/>
        </w:rPr>
      </w:pPr>
      <w:r>
        <w:rPr>
          <w:rFonts w:hint="eastAsia"/>
        </w:rPr>
        <w:t xml:space="preserve"> </w:t>
      </w:r>
      <w:r>
        <w:rPr>
          <w:rFonts w:ascii="宋体" w:hAnsi="宋体" w:cs="Arial" w:hint="eastAsia"/>
          <w:szCs w:val="21"/>
        </w:rPr>
        <w:t>2、指令的确认</w:t>
      </w:r>
    </w:p>
    <w:p w14:paraId="3EDCF81B"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章和印鉴与授权通知进行相符性及权限范围核对，复核无误后应在规定期限内执行，不得延误。如有疑问必须及时通知基金管理人。</w:t>
      </w:r>
    </w:p>
    <w:p w14:paraId="3E26F70E"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3、指令的时间和执行</w:t>
      </w:r>
    </w:p>
    <w:p w14:paraId="77E0A65B"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基金管理人尽量于划款前1个工作日向基金托管人发送指令并确认。对于要求当天到账的指令，必须在当天 15:00 前向基金托管人发送，15:00 之后发送的，基金托管人尽力执行，但不能保证划账成功。如果要求当天某一时点到账的指令，则指令需要提前2个工作小时发送，并相关付款条件已经具备。基金托管人将视付款条件具备时为指令送达时间。跨境资金划汇的截止时间在基金管理人及基金托管人双方签署的《运作备忘录》中另行约定。有效划款指令是指指令要素（包括付款人、付款账号、收款人、收款账号、金额（大、小写）、款项事由、支付时间）准确无误、预留印鉴相符、相关的指令附件齐全且头寸充足的划款指令。对于中国证券登记结算有限责任公司实行 T+0 非担保交收的业务，基金管理人应在交易日14：00前将划款指令发送至基金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005ADBD6"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应当按照收到的基金管理人的指令行事。若基金托管人合理确定基金管理人指令有任何模糊或不完整，其应在收到指令后及时就该等指令向基金管理人寻求澄清或确认，以保证在约定的结算截止时限以前对其境外托管人发送交割指令。在未收到基金管理人澄清或确认的情况下，基金托管人可以本着诚信原则拒绝执行有关指令，基金托管人不对在寻求澄清或确认期间造成的延误所导致的损失负责，由于基金托管人的故意不当行为、欺诈、疏忽或者违约造成的除外。</w:t>
      </w:r>
    </w:p>
    <w:p w14:paraId="38B04E13"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如果没有其他另外的说明，所有的指令在取消或被取代前均是有效的。</w:t>
      </w:r>
    </w:p>
    <w:p w14:paraId="5EB0049F"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由于基金托管人按照法律法规执行基金管理人指令而引起的任何可能发生的损失，均由相关责任方负责，由于基金托管人的故意、疏忽、失职或不诚之举造成的除外。</w:t>
      </w:r>
    </w:p>
    <w:p w14:paraId="21AE2832"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基金管理人在下达指令时，应给基金托管人留出足够、合理的划款时间。</w:t>
      </w:r>
    </w:p>
    <w:p w14:paraId="3148D73D"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由于头寸管理不善导致的透支及相关损失，由基金管理人承担。</w:t>
      </w:r>
    </w:p>
    <w:p w14:paraId="5276072A"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（四）基金管理人发送错误指令的情形和处理程序</w:t>
      </w:r>
    </w:p>
    <w:p w14:paraId="14FDC574" w14:textId="5288E93F"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基金托管人没有调查任何指令是否符合相应法律法规规定或市场惯例的义务，但如果基金托管人有合理理由，认为指令与中国或投资地法律、法规和市场惯例不符，基金托管人可无需按指令行事，基金托管人应当在收到指令后及时通知基金管理人并出具拒绝执行指令的合理证据或理由，并要求基金管理人予以修订或修正。在未收到基金管理人修订或修正的情况下，基金托管人可以本着诚信原则拒绝执行有关指令，直至基金管理人发送经修订或修正的指令为止。</w:t>
      </w:r>
    </w:p>
    <w:p w14:paraId="668CBBE5"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（五）指令截止时间</w:t>
      </w:r>
    </w:p>
    <w:p w14:paraId="40112858"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和基金托管人将另行约定某些指令的接收截止时间。如果非因基金托管人本身原因，基金托管人在截止时间后收到指令，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14:paraId="6D457DE0"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（六）委托第三方发送指令的情形</w:t>
      </w:r>
    </w:p>
    <w:p w14:paraId="1DFAE646"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1、基金管理人可委托第三方发送指令，基金托管人视同为基金管理人发送的有效指令需载明如下内容：</w:t>
      </w:r>
    </w:p>
    <w:p w14:paraId="3D60D47C"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 xml:space="preserve"> （1）SWIFT 指令发报方 BIC（Bank Identifier Code）；</w:t>
      </w:r>
    </w:p>
    <w:p w14:paraId="46C476B5"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 xml:space="preserve"> （2）SWIFT 指令账户栏位中载明境外证券投资托管账户号；</w:t>
      </w:r>
    </w:p>
    <w:p w14:paraId="7A0AD98A"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 xml:space="preserve"> （3）适用的 SWIFT 报文类型和 SWIFT 报文发送时间。</w:t>
      </w:r>
    </w:p>
    <w:p w14:paraId="0D487088"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 xml:space="preserve"> 上述内容由基金管理人提前以书面形式告知基金托管人。</w:t>
      </w:r>
    </w:p>
    <w:p w14:paraId="2F11CC60"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若第三方发送指令存在错误、延误等不当行为，由此给基金资产以及交易对手方、经纪商等相关第三方造成的损失，由相关责任方承担责任；由于第三方发送指令存在错误、延误等不当行为所造成的相应法律后果,基金托管人不承担相应责任。</w:t>
      </w:r>
    </w:p>
    <w:p w14:paraId="40B4252D" w14:textId="77777777" w:rsidR="00810426" w:rsidRDefault="00810426">
      <w:pPr>
        <w:spacing w:line="360" w:lineRule="auto"/>
        <w:ind w:firstLineChars="200" w:firstLine="420"/>
        <w:rPr>
          <w:szCs w:val="21"/>
        </w:rPr>
      </w:pPr>
    </w:p>
    <w:p w14:paraId="4D43B9E5" w14:textId="77777777" w:rsidR="00810426" w:rsidRDefault="00810426">
      <w:pPr>
        <w:spacing w:line="360" w:lineRule="auto"/>
        <w:ind w:firstLine="420"/>
        <w:rPr>
          <w:rFonts w:ascii="宋体"/>
        </w:rPr>
        <w:sectPr w:rsidR="00810426">
          <w:pgSz w:w="11906" w:h="16838"/>
          <w:pgMar w:top="1418" w:right="1701" w:bottom="1418" w:left="1701" w:header="851" w:footer="992" w:gutter="0"/>
          <w:cols w:space="720"/>
          <w:docGrid w:type="lines" w:linePitch="312"/>
        </w:sectPr>
      </w:pPr>
    </w:p>
    <w:p w14:paraId="4286FC78" w14:textId="77777777" w:rsidR="00810426" w:rsidRDefault="00B424E5">
      <w:pPr>
        <w:pStyle w:val="2"/>
        <w:jc w:val="center"/>
        <w:rPr>
          <w:rFonts w:eastAsia="宋体"/>
          <w:sz w:val="30"/>
        </w:rPr>
      </w:pPr>
      <w:bookmarkStart w:id="69" w:name="_Toc110761799"/>
      <w:bookmarkStart w:id="70" w:name="_Toc110830495"/>
      <w:bookmarkStart w:id="71" w:name="_Toc110765663"/>
      <w:bookmarkStart w:id="72" w:name="_Toc86726442"/>
      <w:bookmarkStart w:id="73" w:name="_Toc214361116"/>
      <w:bookmarkStart w:id="74" w:name="_Toc108512361"/>
      <w:bookmarkStart w:id="75" w:name="_Toc86737932"/>
      <w:bookmarkStart w:id="76" w:name="_Toc86649725"/>
      <w:bookmarkStart w:id="77" w:name="_Toc86225294"/>
      <w:bookmarkStart w:id="78" w:name="_Toc84234437"/>
      <w:bookmarkStart w:id="79" w:name="_Toc89163371"/>
      <w:bookmarkStart w:id="80" w:name="_Toc84234390"/>
      <w:bookmarkStart w:id="81" w:name="_Toc118774806"/>
      <w:bookmarkStart w:id="82" w:name="_Toc120435786"/>
      <w:bookmarkStart w:id="83" w:name="_Toc84133788"/>
      <w:bookmarkStart w:id="84" w:name="_Toc118212953"/>
      <w:bookmarkStart w:id="85" w:name="_Toc86223245"/>
      <w:bookmarkStart w:id="86" w:name="_Toc86204791"/>
      <w:bookmarkStart w:id="87" w:name="_Toc86727358"/>
      <w:bookmarkStart w:id="88" w:name="_Toc118972651"/>
      <w:bookmarkStart w:id="89" w:name="_Toc119402713"/>
      <w:r>
        <w:rPr>
          <w:rFonts w:eastAsia="宋体" w:hint="eastAsia"/>
          <w:sz w:val="30"/>
        </w:rPr>
        <w:lastRenderedPageBreak/>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F906DB8"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的交易及清算交收指基金在交易过程、申购赎回过程和基金现金分红过程中的结算交收。基金管理人可以委托第三方机构完成其在交易及清算交收过程中的工作。境外交易及清算交收工作，基金托管人可委托境外托管机构代为完成。</w:t>
      </w:r>
    </w:p>
    <w:p w14:paraId="72CE1BC9"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（一）选择境内证券、期货买卖的证券、期货经营机构</w:t>
      </w:r>
    </w:p>
    <w:p w14:paraId="680CD618"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设计选择证券买卖的证券经营机构的标准和程序。基金管理人负责选择证券经营机构，租用其交易单元作为基金的专用交易单元。基金管理人和被选中的证券经营机构签订交易单元租用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4F7E3C19"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负责选择代理本基金期货交易的期货经纪机构，并与其签订期货经纪合同，其他事宜根据法律法规、基金合同的相关规定执行，若无明确规定的，可参照有关证券买卖、证券经纪机构选择的规则执行。基金管理人所选择的期货公司负责办理委托资产的期货交易的清算交割。</w:t>
      </w:r>
    </w:p>
    <w:p w14:paraId="38D45BB5"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（二）基金投资证券后的清算交收安排</w:t>
      </w:r>
    </w:p>
    <w:p w14:paraId="45CEF350"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1、清算与交割</w:t>
      </w:r>
    </w:p>
    <w:p w14:paraId="2F59259F"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关于托管资产在证券交易所市场达成的符合中国结算公司多边净额结算要求的证券交易以及新股业务：</w:t>
      </w:r>
    </w:p>
    <w:p w14:paraId="0A050B46"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资产托管人、资产管理人应共同遵守双方签署的《托管银行证券资金结算协议》及对该协议不时的更新。</w:t>
      </w:r>
    </w:p>
    <w:p w14:paraId="2F608E00"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（1）境外证券结算指令</w:t>
      </w:r>
    </w:p>
    <w:p w14:paraId="2634505F"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基金托管人可将基金买卖证券的清算交收、资金汇划及交易过户记录获取等职责委托给境外托管人。</w:t>
      </w:r>
    </w:p>
    <w:p w14:paraId="3FFC1318"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在结算指令截止时间（另行约定）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相关责任方承担。对于未成功交割的结算指令以及特殊情况下的延迟交收，基金</w:t>
      </w:r>
      <w:r>
        <w:rPr>
          <w:rFonts w:ascii="宋体" w:hAnsi="宋体" w:cs="Arial" w:hint="eastAsia"/>
          <w:szCs w:val="21"/>
        </w:rPr>
        <w:lastRenderedPageBreak/>
        <w:t>托管人或其委托的境外托管人应及时通知基金管理人，以便于基金管理人和基金托管人共同联系解决。</w:t>
      </w:r>
    </w:p>
    <w:p w14:paraId="44755D9B"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按基金管理人发送的成交回报或清算交割指令进行相应的会计记录，基金托管人及其境外托管人可根据实际交割情况调整按基金管理人发送的指令所作出的会计记录，基金托管人应通知基金管理人。此种调整所发生的任何支出由基金管理人负责协调解决。</w:t>
      </w:r>
    </w:p>
    <w:p w14:paraId="6594CDA3"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因基金管理人对基金资产流动性管理不慎，造成的基金资产损失，由基金管理人承担。</w:t>
      </w:r>
    </w:p>
    <w:p w14:paraId="18A1C740"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（2）期货保证金的划拨</w:t>
      </w:r>
    </w:p>
    <w:p w14:paraId="11659E58"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基金管理人应于 T+1 日 14：00 之前以电邮、传真等方式发送期货经纪商的关于追加保证金等事项的报告（statement）给基金托管人，并同时在与基金托管人确认的截至时间点前发送境外账户划付保证金的指令。基金管理人保证境外账户资金余额足够支付保证金。</w:t>
      </w:r>
    </w:p>
    <w:p w14:paraId="02786360"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如果由于基金托管人的故意或过失而出现影响及时划付保证金的异常情况，由基金托管人承担责任。</w:t>
      </w:r>
    </w:p>
    <w:p w14:paraId="5F88FF56"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应负责基金项下现货、期货、赎回等资金的头寸管理，在资金头寸不足的情况下，由基金托管人尽力通知基金管理人，基金管理人应向基金托管人明示清算顺序，如无基金管理人明示的清算顺序，则由境外托管人按照先现货，后期货的清算顺序进行清算。由于头寸管理不善导致的透支及相关损失，由基金管理人承担。</w:t>
      </w:r>
    </w:p>
    <w:p w14:paraId="25B87F8E"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从保证金账户划出保证金的指令由基金管理人直接发送给期货经纪商，基金管理人负责核对其前台交易数据与期货经纪商数据，确认保证金金额准确，并保证其得到安全划出，并立即通知基金托管人。如果保证金出现任何未能及时到账的异常情况，基金托管人应及时通知基金管理人。</w:t>
      </w:r>
    </w:p>
    <w:p w14:paraId="320237FD"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对非基金托管人过失造成的资金划拨延迟或资金损失，基金托管人不承担责任。</w:t>
      </w:r>
    </w:p>
    <w:p w14:paraId="1A2AB0BD"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基金托管人不对期货保证金进行垫付。对基金托管人过失造成的资金划拨延迟或资金损失，基金托管人承担责任。</w:t>
      </w:r>
    </w:p>
    <w:p w14:paraId="72CB159A"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（3）境内证券结算指令</w:t>
      </w:r>
    </w:p>
    <w:p w14:paraId="7408B811"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关于托管资产在证券交易所市场达成的符合中国证券登记结算有限责任公司多边净额结算要求的证券交易：</w:t>
      </w:r>
    </w:p>
    <w:p w14:paraId="0D8A5F96"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1）基金托管人、基金管理人应共同遵守双方签订的《托管银行证券资金结算协议》。</w:t>
      </w:r>
    </w:p>
    <w:p w14:paraId="1081B744"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托管人遵照中国证券登记结算有限责任公司上海分公司和深圳分公司备付金、保证金管理办法有关规定，确定和调整该基金财产最低结算备付金、证券结算保证金限额，基金管理人应存放于中国证券登记结算有限责任公司的最低备付金、结算保证金日末余额不得低于基金托管人根据中国证券登记结算有限责任公司上海和深圳分公司备付金、保证金管理办法规定的限额。基金托管人根据中国证券登记结算有限责任公司上海和深圳分公司规定向基</w:t>
      </w:r>
      <w:r>
        <w:rPr>
          <w:rFonts w:ascii="宋体" w:hAnsi="宋体" w:cs="Arial" w:hint="eastAsia"/>
          <w:szCs w:val="21"/>
        </w:rPr>
        <w:lastRenderedPageBreak/>
        <w:t>金财产支付利息。</w:t>
      </w:r>
    </w:p>
    <w:p w14:paraId="5B6060E7"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3）根据中国证券登记结算有限责任公司托管行集中清算规则，如基金财产 T日进行了中国证券登记结算有限责任公司深圳分公司 T+1DVP 卖出交易，基金管理人不能将该笔资金作为 T+1 日的可用头寸，即该笔资金在 T+1 日不可用也不可提，该笔资金在 T+2 日才能划拨至基金托管账户。</w:t>
      </w:r>
    </w:p>
    <w:p w14:paraId="1B725669"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4）根据中国证券登记结算有限责任公司的规定，结算备付金账户内的最低备付金、交易保证金账户内的资金按月调整按季结息，因此，基金合同终止时，基金可能有尚存放于中国证券登记结算有限责任公司的最低备付金、交易保证金以及中国证券登记结算有限责任公司尚未支付的利息等款项。对上述款项，基金托管人将于中国证券登记结算有限责任公司支付该等款项时扣除相应银行汇划费用后划付至基金清算报告中指定的收款账户。基金合同终止后，中国证券登记结算有限责任公司根据结算规则，调增计划的结算备付金以及交易保证金，基金管理人应配合基金托管人，向基金托管人及时划付调增款项，以便基金托管人履行交收职责。</w:t>
      </w:r>
    </w:p>
    <w:p w14:paraId="0C69C17B"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5）基金管理人签署本协议，即视为同意基金管理人在构成资金交收违约且未能按时指定相关证券作为交收履约担保物时，基金托管人可自行向中国证券登记结算有限责任公司申请由结算公司协助冻结基金管理人证券账户内相应证券，无需基金管理人另行出具书面确认文件。</w:t>
      </w:r>
    </w:p>
    <w:p w14:paraId="50303C29"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关于托管资产在证券交易所市场达成的符合中国证券登记结算有限责任公司T+0 非担保结算要求的证券交易：</w:t>
      </w:r>
    </w:p>
    <w:p w14:paraId="6580DEBD"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1）对于在沪深交易所交易的采用 T+0 非担保交收的交易品种（如深圳公司债大宗交易、资产支持证券等，根据中登公司业务规则适时调整），基金管理人需在交易当日不晚于 14：00 向基金托管人发送交易应付资金划款指令（对于中登业务规则规定不是必须要勾单的，若基金管理人希望基金托管人进行勾单处理，则需在指令上备注需要基金托管人勾单），同时将相关交易证明文件传真至基金托管人，并与基金托管人进行电话确认，以保证当日交易资金交收的顺利进行。对于基金管理人在 14：00 后出具的划款指令，特别是需要基金托管人进行“勾单”确认的交易，基金托管人本着勤勉尽责的原则积极处理，但不保证支付/勾单成功。</w:t>
      </w:r>
    </w:p>
    <w:p w14:paraId="1BEDDD71"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一旦出现交易后无法履约的情况，应在第一时间通知基金托管人。对于中登公司允许基金托管人指定不履约的交易品种，基金管理人应向基金托管人出具书面的取消交收指令，另，鉴于中登公司对取消交收（指定不履约）申报时间有限，基金托管人有权在电话通知基金管理人后，先行完成取消交收操作，基金管理人承诺日终前补出具书面的取消交收指令。</w:t>
      </w:r>
    </w:p>
    <w:p w14:paraId="0F54F74B"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3）若基金管理人未及时出具交易应付资金划款指令，或基金管理人在托管产品资金托管账户头寸不足的情况下交易，基金托管人在通知管理人后有权在中登公司取消交收截止时点前半小时内主动对该笔交易进行取消交收申报，相应损失由基金管理人承担。</w:t>
      </w:r>
    </w:p>
    <w:p w14:paraId="499FB769"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4）对于根据结算规则不能取消交收的交易品种，如出现前述第 2）、3）项所述情形的，</w:t>
      </w:r>
      <w:r>
        <w:rPr>
          <w:rFonts w:ascii="宋体" w:hAnsi="宋体" w:cs="Arial" w:hint="eastAsia"/>
          <w:szCs w:val="21"/>
        </w:rPr>
        <w:lastRenderedPageBreak/>
        <w:t>基金管理人知悉并同意基金托管人有权（但并非确保）仅根据中登公司的清算交收数据，主动将基金财产托管账户中的资金划入中登公司用以完成当日T+0 非担保交收交易品种的交收，基金管理人承诺在日终前向基金托管人补出具资金划款指令。</w:t>
      </w:r>
    </w:p>
    <w:p w14:paraId="0F4C15B5"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5）发生以下因基金管理人原因所造成的情形，基金管理人应承担相应责任：</w:t>
      </w:r>
    </w:p>
    <w:p w14:paraId="74E97D11"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A．基金管理人管理的托管于基金托管人的产品资金不足导致其自身产品交收失败，由基金管理人承担交易失败的风险，基金托管人无义务为该产品垫付交收款项；</w:t>
      </w:r>
    </w:p>
    <w:p w14:paraId="3C6FFDD8"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B.因基金管理人未在合同约定的时间前向基金托管人提交有效划款指令，导致基金托管人无法及时完成支付结算操作而使其自身产品交收失败的，由基金管理人自行承担交易失败的风险；</w:t>
      </w:r>
    </w:p>
    <w:p w14:paraId="2F6A2D4C"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6）基金管理人已充分了解基金托管人结算模式下可能存在的交收风险。如基金托管人托管的其他基金资金不足或过错，进而导致基金管理人管理的基金交收失败的，则基金托管人将配合基金管理人提供相关数据等信息向其他客户追偿。</w:t>
      </w:r>
    </w:p>
    <w:p w14:paraId="175890AF"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7）对于托管基金采用 T+0 非担保交收下实时结算（RTGS）方式完成实时交收的收款业务，基金管理人可根据需要在交易交收后且不晚于交收当日 14：00 向基金托管人发送交易应收资金收款指令，同时将相关交易证明文件传真至基金托管人，并与基金托管人进行电话确认，以便基金托管人将交收金额提回至托管基金财产托管账户。</w:t>
      </w:r>
    </w:p>
    <w:p w14:paraId="3BB33568"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关于基金资产在证券交易所市场达成的符合中国证券登记结算有限责任公司T+N非担保结算要求的证券交易：</w:t>
      </w:r>
    </w:p>
    <w:p w14:paraId="6514BA95"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知悉并同意基金托管人仅根据中国证券登记结算有限责任公司的清算交收数据主动完成基金资金清算交收。若基金管理人出现交易后无法履约的情况，并且中国证券登记结算有限责任公司的业务规则允许基金托管人对相关交易可以取消交收的，基金管理人应于交收日前一工作日向基金托管人出具书面的取消交收指令，并与基金托管人进行电话确认。</w:t>
      </w:r>
    </w:p>
    <w:p w14:paraId="6746E43B"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应当按照基金管理人的指令及时办理基金投资的清算、交割事宜，基金管理人应保证其有充足的资金（或证券）可用于清算与交割。并对无充足的资金（或证券）用于清算与交割的违约行为承担责任。基金托管人可将基金买卖证券的清算交收、资金汇划及交易过户记录获取等职责委托给境外托管人。</w:t>
      </w:r>
    </w:p>
    <w:p w14:paraId="25AEA02C"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2、交易记录、资金和证券账目核对的时间和方式</w:t>
      </w:r>
    </w:p>
    <w:p w14:paraId="374391AD"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（1）交易记录的核对</w:t>
      </w:r>
    </w:p>
    <w:p w14:paraId="36385D95"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与基金托管人按日进行交易记录的核对。对外披露基金份额净值之前，必须保证所有实际交易记录与基金会计账簿上的交易记录完全一致。如果实际交易记录与会计账簿记录不一致，造成基金会计核算不完整或不真实，由此导致的损失由相关责任方承担。</w:t>
      </w:r>
    </w:p>
    <w:p w14:paraId="2B6AFEC3"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（2）资金账目的核对</w:t>
      </w:r>
    </w:p>
    <w:p w14:paraId="42BC4C51"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资金账目由基金管理人与基金托管人按日核实。</w:t>
      </w:r>
    </w:p>
    <w:p w14:paraId="4CC89239"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（3）证券账目的核对</w:t>
      </w:r>
    </w:p>
    <w:p w14:paraId="459E6388"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基金管理人和基金托管人每个交易日结束后核对基金证券账目，确保双方账目相符。基金管理人和基金托管人、境外托管人每月月末核对实物证券账目。</w:t>
      </w:r>
    </w:p>
    <w:p w14:paraId="685D358A"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（三）基金申购和赎回业务处理的基本规定</w:t>
      </w:r>
    </w:p>
    <w:p w14:paraId="5ADBE6DE"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1、本基金申购、赎回业务根据《基金合同》及/或相关信息披露文件确定的时间开始办理，基金管理人应及时通知基金托管人上述业务的开办时间。</w:t>
      </w:r>
    </w:p>
    <w:p w14:paraId="0FD16414" w14:textId="6968E6CF"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基金管理人和基金托管人应当按照基金合同的约定，在基金申购、赎回的时间、场所、方式、程序、价格、费用、收款或付款等各方面相互配合，积极履行各自的义务，保证基金的申购、赎回工作能够顺利进行。</w:t>
      </w:r>
    </w:p>
    <w:p w14:paraId="03EF3D37"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（四）申赎净额结算</w:t>
      </w:r>
    </w:p>
    <w:p w14:paraId="0C0C2733"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申赎净额结算基金申购、赎回等款项采用轧差交收的结算方式，基金托管账户与基金清算账户间的资金结算遵循“全额清算、净额交收”的原则，每日(T 日：资金交收日，下同)按照托管账户应收资金与应付资金的差额来确定托管账户净应收额或净应付额，以此确定资金交收额。当存在托管账户净应收额时，基金管理人应在 T 日 15:00 之前从基金清算账户划往基金托管账户；当存在托管账户净应付额时，基金托管人按基金管理人的划款指令将托管账户净应付额在 T 日 12:00 之前划往基金清算账户，基金托管人在资金划出后立即通知基金管理人进行账务处理。</w:t>
      </w:r>
    </w:p>
    <w:p w14:paraId="49487631"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如果当日基金为净应收款，基金托管人应及时查收资金是否到账，对于因基金管理人的原因未准时到账的资金，应及时通知基金管理人采取措施进行催收，由此造成基金损失的，基金管理人应负责向有关当事人追偿基金的损失，基金托管人予以必要的配合。</w:t>
      </w:r>
    </w:p>
    <w:p w14:paraId="7BEB0526"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如果当日基金为净应付款，基金托管人应根据基金管理人的指令及时进行划付。对于因基金托管人的原因未准时划付的资金，基金管理人应及时通知基金托管人划付，由此产生的责任应由基金托管人承担。</w:t>
      </w:r>
    </w:p>
    <w:p w14:paraId="02316A5C"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（五）基金转换</w:t>
      </w:r>
    </w:p>
    <w:p w14:paraId="3CCA0019"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1、基金托管人将根据基金管理人传送的基金转换数据进行账务处理，具体资金清算和数据传递的时间、程序及托管协议当事人承担的权责按基金管理人届时的公告执行。</w:t>
      </w:r>
    </w:p>
    <w:p w14:paraId="00BF8626" w14:textId="62FE361D"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2、本基金开展基金转换业务应按相关法律法规规定及《基金合同》的约定进行公告。</w:t>
      </w:r>
    </w:p>
    <w:p w14:paraId="6D0C61A2"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（六）基金现金分红</w:t>
      </w:r>
    </w:p>
    <w:p w14:paraId="0F0A64D0"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1、基金管理人确定分红方案通知基金托管人，双方核定后依照《信息披露办法》的有关规定在中国证监会规定媒介上公告。</w:t>
      </w:r>
    </w:p>
    <w:p w14:paraId="796ABA55"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2、基金托管人和基金管理人对基金分红进行账务处理并核对后，</w:t>
      </w:r>
      <w:r w:rsidRPr="00B424E5">
        <w:rPr>
          <w:rFonts w:ascii="宋体" w:hAnsi="宋体" w:cs="Arial"/>
          <w:szCs w:val="21"/>
        </w:rPr>
        <w:t>基金管理人向基金托管人发送现金红利的划款指令，基金托管人应及时将资金划入指定账户。</w:t>
      </w:r>
    </w:p>
    <w:p w14:paraId="1CCA34D7" w14:textId="5E962C45"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3、</w:t>
      </w:r>
      <w:r w:rsidRPr="00B424E5">
        <w:rPr>
          <w:rFonts w:ascii="宋体" w:hAnsi="宋体" w:cs="Arial" w:hint="eastAsia"/>
          <w:szCs w:val="21"/>
        </w:rPr>
        <w:t>基金管理人在下达指令时，应给基金托管人留出必需的划款时间</w:t>
      </w:r>
      <w:r>
        <w:rPr>
          <w:rFonts w:ascii="宋体" w:hAnsi="宋体" w:cs="Arial" w:hint="eastAsia"/>
          <w:szCs w:val="21"/>
        </w:rPr>
        <w:t>。</w:t>
      </w:r>
    </w:p>
    <w:p w14:paraId="1459D534"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（七）投资银行存款的特别约定</w:t>
      </w:r>
    </w:p>
    <w:p w14:paraId="5554EF1A"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1、本基金投资银行存款前，应与存款银行签署投资银行存款协议。</w:t>
      </w:r>
    </w:p>
    <w:p w14:paraId="36658FAA"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2、本基金投资银行存款，必须采用基金管理人和基金托管人认可的方式办理。</w:t>
      </w:r>
    </w:p>
    <w:p w14:paraId="714530B7"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3、基金管理人投资银行存款或办理存款支取时，应提前书面通知基金托管人，以便基金托管人有足够的时间履行相应的业务操作程序。</w:t>
      </w:r>
    </w:p>
    <w:p w14:paraId="066AD305"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4、因投资需要在基金托管人以外的其他银行开立活期账户进行存款或其他投资的，基金管理人、基金托管人和存款行需在投资前另行签署协议，原则上为三方协议。</w:t>
      </w:r>
    </w:p>
    <w:p w14:paraId="4E6249AE" w14:textId="77777777" w:rsidR="00810426" w:rsidRDefault="00810426">
      <w:pPr>
        <w:spacing w:line="360" w:lineRule="auto"/>
        <w:ind w:firstLine="420"/>
        <w:rPr>
          <w:rFonts w:ascii="宋体"/>
        </w:rPr>
      </w:pPr>
    </w:p>
    <w:p w14:paraId="3D9F36A9" w14:textId="77777777" w:rsidR="00810426" w:rsidRDefault="00810426">
      <w:pPr>
        <w:spacing w:line="360" w:lineRule="auto"/>
        <w:ind w:firstLine="420"/>
        <w:rPr>
          <w:rFonts w:ascii="宋体"/>
        </w:rPr>
        <w:sectPr w:rsidR="00810426">
          <w:pgSz w:w="11906" w:h="16838"/>
          <w:pgMar w:top="1418" w:right="1701" w:bottom="1418" w:left="1701" w:header="851" w:footer="992" w:gutter="0"/>
          <w:cols w:space="720"/>
          <w:docGrid w:type="lines" w:linePitch="312"/>
        </w:sectPr>
      </w:pPr>
    </w:p>
    <w:p w14:paraId="4F7FE4C4" w14:textId="77777777" w:rsidR="00810426" w:rsidRDefault="00B424E5">
      <w:pPr>
        <w:pStyle w:val="2"/>
        <w:jc w:val="center"/>
        <w:rPr>
          <w:rFonts w:eastAsia="宋体"/>
          <w:sz w:val="30"/>
        </w:rPr>
      </w:pPr>
      <w:bookmarkStart w:id="90" w:name="_Toc214361117"/>
      <w:r>
        <w:rPr>
          <w:rFonts w:eastAsia="宋体" w:hint="eastAsia"/>
          <w:sz w:val="30"/>
        </w:rPr>
        <w:lastRenderedPageBreak/>
        <w:t>八、基金资产净值计算和会计核算</w:t>
      </w:r>
      <w:bookmarkEnd w:id="90"/>
    </w:p>
    <w:p w14:paraId="787822FE" w14:textId="77777777" w:rsidR="00810426" w:rsidRDefault="00B424E5">
      <w:pPr>
        <w:pStyle w:val="a0"/>
        <w:spacing w:line="360" w:lineRule="auto"/>
      </w:pPr>
      <w:r>
        <w:rPr>
          <w:rFonts w:hint="eastAsia"/>
        </w:rPr>
        <w:t>（一）基金资产净值的计算、复核与完成的时间及程序</w:t>
      </w:r>
    </w:p>
    <w:p w14:paraId="33E36AC7" w14:textId="77777777" w:rsidR="00810426" w:rsidRDefault="00B424E5">
      <w:pPr>
        <w:pStyle w:val="a0"/>
        <w:spacing w:line="360" w:lineRule="auto"/>
      </w:pPr>
      <w:r>
        <w:rPr>
          <w:rFonts w:hint="eastAsia"/>
        </w:rPr>
        <w:t>1</w:t>
      </w:r>
      <w:r>
        <w:rPr>
          <w:rFonts w:hint="eastAsia"/>
        </w:rPr>
        <w:t>、基金资产净值</w:t>
      </w:r>
    </w:p>
    <w:p w14:paraId="0521C01A" w14:textId="77777777" w:rsidR="00810426" w:rsidRDefault="00B424E5">
      <w:pPr>
        <w:pStyle w:val="a0"/>
        <w:spacing w:line="360" w:lineRule="auto"/>
      </w:pPr>
      <w:r>
        <w:rPr>
          <w:rFonts w:ascii="宋体" w:hAnsi="宋体" w:hint="eastAsia"/>
          <w:szCs w:val="21"/>
        </w:rPr>
        <w:t>基金资产净值是指基金资产总值减去基金负债后的价值。基金份额净值是按照计算日各类基金资产净值除以计算日该类基金份额余额总数计算，各类基金份额净值精确到</w:t>
      </w:r>
      <w:r>
        <w:rPr>
          <w:rFonts w:ascii="宋体" w:hAnsi="宋体"/>
          <w:szCs w:val="21"/>
        </w:rPr>
        <w:t>0.0001</w:t>
      </w:r>
      <w:r>
        <w:rPr>
          <w:rFonts w:ascii="宋体" w:hAnsi="宋体" w:hint="eastAsia"/>
          <w:szCs w:val="21"/>
        </w:rPr>
        <w:t>元，小数点后第</w:t>
      </w:r>
      <w:r>
        <w:rPr>
          <w:rFonts w:ascii="宋体" w:hAnsi="宋体"/>
          <w:szCs w:val="21"/>
        </w:rPr>
        <w:t>5</w:t>
      </w:r>
      <w:r>
        <w:rPr>
          <w:rFonts w:ascii="宋体" w:hAnsi="宋体" w:hint="eastAsia"/>
          <w:szCs w:val="21"/>
        </w:rPr>
        <w:t>位四舍五入。基金管理人可以设立大额赎回情形下的净值精度应急调整机制。国家另有规定的，从其规定。</w:t>
      </w:r>
    </w:p>
    <w:p w14:paraId="37C70343" w14:textId="77777777" w:rsidR="00810426" w:rsidRDefault="00B424E5">
      <w:pPr>
        <w:spacing w:line="360" w:lineRule="auto"/>
        <w:ind w:firstLineChars="200" w:firstLine="420"/>
        <w:rPr>
          <w:rFonts w:ascii="宋体"/>
        </w:rPr>
      </w:pPr>
      <w:r>
        <w:rPr>
          <w:rFonts w:ascii="宋体"/>
          <w:szCs w:val="21"/>
        </w:rPr>
        <w:t>2</w:t>
      </w:r>
      <w:r>
        <w:rPr>
          <w:rFonts w:ascii="宋体" w:hAnsi="宋体" w:hint="eastAsia"/>
          <w:szCs w:val="21"/>
        </w:rPr>
        <w:t>、</w:t>
      </w:r>
      <w:r>
        <w:rPr>
          <w:rFonts w:ascii="宋体" w:hAnsi="宋体" w:hint="eastAsia"/>
        </w:rPr>
        <w:t>复核程序</w:t>
      </w:r>
    </w:p>
    <w:p w14:paraId="68D4EF43" w14:textId="77777777" w:rsidR="00810426" w:rsidRDefault="00B424E5">
      <w:pPr>
        <w:spacing w:line="360" w:lineRule="auto"/>
        <w:ind w:firstLineChars="200" w:firstLine="420"/>
        <w:rPr>
          <w:rFonts w:ascii="宋体" w:hAnsi="宋体"/>
        </w:rPr>
      </w:pPr>
      <w:r>
        <w:rPr>
          <w:rFonts w:ascii="宋体" w:hAnsi="宋体" w:hint="eastAsia"/>
        </w:rPr>
        <w:t>基金管理人应每个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4BEBD9F2" w14:textId="77777777" w:rsidR="00810426" w:rsidRDefault="00B424E5">
      <w:pPr>
        <w:spacing w:line="360" w:lineRule="auto"/>
        <w:ind w:firstLineChars="200" w:firstLine="420"/>
        <w:rPr>
          <w:rFonts w:ascii="宋体" w:hAnsi="宋体"/>
        </w:rPr>
      </w:pPr>
      <w:r>
        <w:rPr>
          <w:rFonts w:ascii="宋体" w:hAnsi="宋体" w:hint="eastAsia"/>
        </w:rPr>
        <w:t>（二）基金资产估值方法和特殊情形的处理</w:t>
      </w:r>
    </w:p>
    <w:p w14:paraId="3214F560" w14:textId="77777777" w:rsidR="00810426" w:rsidRDefault="00B424E5">
      <w:pPr>
        <w:spacing w:line="360" w:lineRule="auto"/>
        <w:ind w:firstLineChars="200" w:firstLine="420"/>
        <w:rPr>
          <w:rFonts w:ascii="宋体" w:hAnsi="宋体"/>
        </w:rPr>
      </w:pPr>
      <w:r>
        <w:rPr>
          <w:rFonts w:ascii="宋体" w:hAnsi="宋体" w:hint="eastAsia"/>
        </w:rPr>
        <w:t>1、估值方法</w:t>
      </w:r>
    </w:p>
    <w:p w14:paraId="69164342" w14:textId="77777777" w:rsidR="00810426" w:rsidRDefault="00B424E5">
      <w:pPr>
        <w:spacing w:line="360" w:lineRule="auto"/>
        <w:ind w:firstLineChars="200" w:firstLine="420"/>
        <w:rPr>
          <w:rFonts w:ascii="宋体" w:hAnsi="宋体"/>
        </w:rPr>
      </w:pPr>
      <w:r>
        <w:rPr>
          <w:rFonts w:ascii="宋体" w:hAnsi="宋体" w:hint="eastAsia"/>
        </w:rPr>
        <w:t>本基金所持有的投资品种，按如下原则进行估值：</w:t>
      </w:r>
    </w:p>
    <w:p w14:paraId="161F1D96" w14:textId="77777777" w:rsidR="00810426" w:rsidRDefault="00B424E5">
      <w:pPr>
        <w:spacing w:line="360" w:lineRule="auto"/>
        <w:ind w:firstLineChars="200" w:firstLine="420"/>
        <w:rPr>
          <w:rFonts w:ascii="宋体" w:hAnsi="宋体"/>
        </w:rPr>
      </w:pPr>
      <w:r>
        <w:rPr>
          <w:rFonts w:ascii="宋体" w:hAnsi="宋体" w:hint="eastAsia"/>
        </w:rPr>
        <w:t>（1）证券交易所上市的有价证券的估值</w:t>
      </w:r>
    </w:p>
    <w:p w14:paraId="42BEB877" w14:textId="77777777" w:rsidR="00810426" w:rsidRDefault="00B424E5">
      <w:pPr>
        <w:spacing w:line="360" w:lineRule="auto"/>
        <w:ind w:firstLineChars="200" w:firstLine="420"/>
        <w:rPr>
          <w:rFonts w:ascii="宋体" w:hAnsi="宋体"/>
        </w:rPr>
      </w:pPr>
      <w:r>
        <w:rPr>
          <w:rFonts w:ascii="宋体" w:hAnsi="宋体" w:hint="eastAsia"/>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9B7972E" w14:textId="77777777" w:rsidR="00810426" w:rsidRDefault="00B424E5">
      <w:pPr>
        <w:spacing w:line="360" w:lineRule="auto"/>
        <w:ind w:firstLineChars="200" w:firstLine="420"/>
        <w:rPr>
          <w:rFonts w:ascii="宋体" w:hAnsi="宋体"/>
        </w:rPr>
      </w:pPr>
      <w:r>
        <w:rPr>
          <w:rFonts w:ascii="宋体" w:hAnsi="宋体" w:hint="eastAsia"/>
        </w:rPr>
        <w:t>2）对在境内交易所上市交易或挂牌转让的不含权固定收益品种，选取估值日第三方估值基准服务机构提供的相应品种当日的估值全价；交易所上市交易或挂牌转让的含权固定收益品种，选取估值日第三方估值基准服务机构提供的相应品种当日的唯一估值全价或推荐估值全价；</w:t>
      </w:r>
    </w:p>
    <w:p w14:paraId="032F9369" w14:textId="77777777" w:rsidR="00810426" w:rsidRDefault="00B424E5">
      <w:pPr>
        <w:spacing w:line="360" w:lineRule="auto"/>
        <w:ind w:firstLineChars="200" w:firstLine="420"/>
        <w:rPr>
          <w:rFonts w:ascii="宋体" w:hAnsi="宋体"/>
        </w:rPr>
      </w:pPr>
      <w:r>
        <w:rPr>
          <w:rFonts w:ascii="宋体" w:hAnsi="宋体" w:hint="eastAsia"/>
        </w:rPr>
        <w:t>3）对于境内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336D280" w14:textId="77777777" w:rsidR="00810426" w:rsidRDefault="00B424E5">
      <w:pPr>
        <w:spacing w:line="360" w:lineRule="auto"/>
        <w:ind w:firstLineChars="200" w:firstLine="420"/>
        <w:rPr>
          <w:rFonts w:ascii="宋体" w:hAnsi="宋体"/>
        </w:rPr>
      </w:pPr>
      <w:r>
        <w:rPr>
          <w:rFonts w:ascii="宋体" w:hAnsi="宋体" w:hint="eastAsia"/>
        </w:rPr>
        <w:t>4）交易所上市不存在活跃市场的有价证券，采用估值技术确定公允价值；</w:t>
      </w:r>
    </w:p>
    <w:p w14:paraId="79364A8C" w14:textId="77777777" w:rsidR="00810426" w:rsidRDefault="00B424E5">
      <w:pPr>
        <w:spacing w:line="360" w:lineRule="auto"/>
        <w:ind w:firstLineChars="200" w:firstLine="420"/>
        <w:rPr>
          <w:rFonts w:ascii="宋体" w:hAnsi="宋体"/>
        </w:rPr>
      </w:pPr>
      <w:r>
        <w:rPr>
          <w:rFonts w:ascii="宋体" w:hAnsi="宋体" w:hint="eastAsia"/>
        </w:rPr>
        <w:lastRenderedPageBreak/>
        <w:t>5）对于境外非上市债券，参照主要做市商或其他权威价格提供机构的报价进行估值。若债券价格无法通过公开信息取得，参照最近一个交易日可取得的主要做市商或其他权威价格提供机构的报价进行估值。</w:t>
      </w:r>
    </w:p>
    <w:p w14:paraId="32D6C9BB" w14:textId="77777777" w:rsidR="00810426" w:rsidRDefault="00B424E5">
      <w:pPr>
        <w:spacing w:line="360" w:lineRule="auto"/>
        <w:ind w:firstLineChars="200" w:firstLine="420"/>
        <w:rPr>
          <w:rFonts w:ascii="宋体" w:hAnsi="宋体"/>
        </w:rPr>
      </w:pPr>
      <w:r>
        <w:rPr>
          <w:rFonts w:ascii="宋体" w:hAnsi="宋体" w:hint="eastAsia"/>
        </w:rPr>
        <w:t>（2）处于未上市期间或流通受限的有价证券应区分如下情况处理：</w:t>
      </w:r>
    </w:p>
    <w:p w14:paraId="7505E1EC" w14:textId="77777777" w:rsidR="00810426" w:rsidRDefault="00B424E5">
      <w:pPr>
        <w:spacing w:line="360" w:lineRule="auto"/>
        <w:ind w:firstLineChars="200" w:firstLine="420"/>
        <w:rPr>
          <w:rFonts w:ascii="宋体" w:hAnsi="宋体"/>
        </w:rPr>
      </w:pPr>
      <w:r>
        <w:rPr>
          <w:rFonts w:ascii="宋体" w:hAnsi="宋体" w:hint="eastAsia"/>
        </w:rPr>
        <w:t xml:space="preserve">1）送股、转增股、配股和公开增发的新股，按估值日在证券交易所挂牌的同一股票的估值方法估值；该日无交易的，以最近一日的市价（收盘价）估值； </w:t>
      </w:r>
    </w:p>
    <w:p w14:paraId="7DB91683" w14:textId="77777777" w:rsidR="00810426" w:rsidRDefault="00B424E5">
      <w:pPr>
        <w:spacing w:line="360" w:lineRule="auto"/>
        <w:ind w:firstLineChars="200" w:firstLine="420"/>
        <w:rPr>
          <w:rFonts w:ascii="宋体" w:hAnsi="宋体"/>
        </w:rPr>
      </w:pPr>
      <w:r>
        <w:rPr>
          <w:rFonts w:ascii="宋体" w:hAnsi="宋体" w:hint="eastAsia"/>
        </w:rPr>
        <w:t xml:space="preserve">2）首次公开发行未上市的股票、债券，采用估值技术确定公允价值； </w:t>
      </w:r>
    </w:p>
    <w:p w14:paraId="40A1A27D" w14:textId="77777777" w:rsidR="00810426" w:rsidRDefault="00B424E5">
      <w:pPr>
        <w:spacing w:line="360" w:lineRule="auto"/>
        <w:ind w:firstLineChars="200" w:firstLine="420"/>
        <w:rPr>
          <w:rFonts w:ascii="宋体" w:hAnsi="宋体"/>
        </w:rPr>
      </w:pPr>
      <w:r>
        <w:rPr>
          <w:rFonts w:ascii="宋体" w:hAnsi="宋体" w:hint="eastAsia"/>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3E37BD7" w14:textId="77777777" w:rsidR="00810426" w:rsidRDefault="00B424E5">
      <w:pPr>
        <w:spacing w:line="360" w:lineRule="auto"/>
        <w:ind w:firstLineChars="200" w:firstLine="420"/>
        <w:rPr>
          <w:rFonts w:ascii="宋体" w:hAnsi="宋体"/>
        </w:rPr>
      </w:pPr>
      <w:r>
        <w:rPr>
          <w:rFonts w:ascii="宋体" w:hAnsi="宋体" w:hint="eastAsia"/>
        </w:rPr>
        <w:t>4）交易所未上市或未挂牌转让且不存在活跃市场的固定收益品种，应采用在当前情况下适用并且有足够可利用数据和其他信息支持的估值技术确定其公允价值。</w:t>
      </w:r>
    </w:p>
    <w:p w14:paraId="1912A633" w14:textId="77777777" w:rsidR="00810426" w:rsidRDefault="00B424E5">
      <w:pPr>
        <w:spacing w:line="360" w:lineRule="auto"/>
        <w:ind w:firstLineChars="200" w:firstLine="420"/>
        <w:rPr>
          <w:rFonts w:ascii="宋体" w:hAnsi="宋体"/>
        </w:rPr>
      </w:pPr>
      <w:r>
        <w:rPr>
          <w:rFonts w:ascii="宋体" w:hAnsi="宋体" w:hint="eastAsia"/>
        </w:rPr>
        <w:t>（3）全国银行间市场交易的固定收益品种的估值</w:t>
      </w:r>
    </w:p>
    <w:p w14:paraId="7B7EA3C0" w14:textId="77777777" w:rsidR="00810426" w:rsidRDefault="00B424E5">
      <w:pPr>
        <w:spacing w:line="360" w:lineRule="auto"/>
        <w:ind w:firstLineChars="200" w:firstLine="420"/>
        <w:rPr>
          <w:rFonts w:ascii="宋体" w:hAnsi="宋体"/>
        </w:rPr>
      </w:pPr>
      <w:r>
        <w:rPr>
          <w:rFonts w:ascii="宋体" w:hAnsi="宋体" w:hint="eastAsia"/>
        </w:rPr>
        <w:t>1）银行间市场交易不含权的固定收益品种，选取第三方估值机构提供的相应品种当日的估值全价进行估值。对银行间市场上含权的固定收益品种，选取第三方估值机构提供的相应品种当日的唯一估值全价或推荐估值全价；</w:t>
      </w:r>
    </w:p>
    <w:p w14:paraId="445D09EA" w14:textId="77777777" w:rsidR="00810426" w:rsidRDefault="00B424E5">
      <w:pPr>
        <w:spacing w:line="360" w:lineRule="auto"/>
        <w:ind w:firstLineChars="200" w:firstLine="420"/>
        <w:rPr>
          <w:rFonts w:ascii="宋体" w:hAnsi="宋体"/>
        </w:rPr>
      </w:pPr>
      <w:r>
        <w:rPr>
          <w:rFonts w:ascii="宋体" w:hAnsi="宋体" w:hint="eastAsia"/>
        </w:rPr>
        <w:t>2）对全国银行间市场未上市或未挂牌转让且不存在活跃市场的固定收益品种，应采用在当前情况下适用并且有足够可利用数据和其他信息支持的估值技术确定其公允价值。</w:t>
      </w:r>
    </w:p>
    <w:p w14:paraId="405237F0" w14:textId="77777777" w:rsidR="00810426" w:rsidRDefault="00B424E5">
      <w:pPr>
        <w:spacing w:line="360" w:lineRule="auto"/>
        <w:ind w:firstLineChars="200" w:firstLine="420"/>
        <w:rPr>
          <w:rFonts w:ascii="宋体" w:hAnsi="宋体"/>
        </w:rPr>
      </w:pPr>
      <w:r>
        <w:rPr>
          <w:rFonts w:ascii="宋体" w:hAnsi="宋体" w:hint="eastAsia"/>
        </w:rPr>
        <w:t>（4）对于境内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D38DB8A" w14:textId="77777777" w:rsidR="00810426" w:rsidRDefault="00B424E5">
      <w:pPr>
        <w:spacing w:line="360" w:lineRule="auto"/>
        <w:ind w:firstLineChars="200" w:firstLine="420"/>
        <w:rPr>
          <w:rFonts w:ascii="宋体" w:hAnsi="宋体"/>
        </w:rPr>
      </w:pPr>
      <w:r>
        <w:rPr>
          <w:rFonts w:ascii="宋体" w:hAnsi="宋体" w:hint="eastAsia"/>
        </w:rPr>
        <w:t>（5）对于境内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794AFF71" w14:textId="77777777" w:rsidR="00810426" w:rsidRDefault="00B424E5">
      <w:pPr>
        <w:spacing w:line="360" w:lineRule="auto"/>
        <w:ind w:firstLineChars="200" w:firstLine="420"/>
        <w:rPr>
          <w:rFonts w:ascii="宋体" w:hAnsi="宋体"/>
        </w:rPr>
      </w:pPr>
      <w:r>
        <w:rPr>
          <w:rFonts w:ascii="宋体" w:hAnsi="宋体" w:hint="eastAsia"/>
        </w:rPr>
        <w:t>（6）同一证券同时在两个或两个以上市场交易的，按证券所处的市场分别估值。</w:t>
      </w:r>
    </w:p>
    <w:p w14:paraId="4D3688BD" w14:textId="77777777" w:rsidR="00810426" w:rsidRDefault="00B424E5">
      <w:pPr>
        <w:spacing w:line="360" w:lineRule="auto"/>
        <w:ind w:firstLineChars="200" w:firstLine="420"/>
        <w:rPr>
          <w:rFonts w:ascii="宋体" w:hAnsi="宋体"/>
        </w:rPr>
      </w:pPr>
      <w:r>
        <w:rPr>
          <w:rFonts w:ascii="宋体" w:hAnsi="宋体" w:hint="eastAsia"/>
        </w:rPr>
        <w:t>（7）衍生工具估值方法</w:t>
      </w:r>
    </w:p>
    <w:p w14:paraId="402889B6" w14:textId="77777777" w:rsidR="00810426" w:rsidRDefault="00B424E5">
      <w:pPr>
        <w:spacing w:line="360" w:lineRule="auto"/>
        <w:ind w:firstLineChars="200" w:firstLine="420"/>
        <w:rPr>
          <w:rFonts w:ascii="宋体" w:hAnsi="宋体"/>
        </w:rPr>
      </w:pPr>
      <w:r>
        <w:rPr>
          <w:rFonts w:ascii="宋体" w:hAnsi="宋体" w:hint="eastAsia"/>
        </w:rPr>
        <w:t>1）上市流通衍生工具按估值日当日其所在证券交易所的市价估值；估值日无交易的，以最近交易日的市价估值；</w:t>
      </w:r>
    </w:p>
    <w:p w14:paraId="6E37D6CB" w14:textId="77777777" w:rsidR="00810426" w:rsidRDefault="00B424E5">
      <w:pPr>
        <w:spacing w:line="360" w:lineRule="auto"/>
        <w:ind w:firstLineChars="200" w:firstLine="420"/>
        <w:rPr>
          <w:rFonts w:ascii="宋体" w:hAnsi="宋体"/>
        </w:rPr>
      </w:pPr>
      <w:r>
        <w:rPr>
          <w:rFonts w:ascii="宋体" w:hAnsi="宋体" w:hint="eastAsia"/>
        </w:rPr>
        <w:lastRenderedPageBreak/>
        <w:t>2）场外衍生品按照第三方估值基准服务机构提供的当日估值价进行估值，但基金管理人依法应当承担的估值责任不因委托而免除。选定的第三方估值基准服务机构未提供估值价格的，依照有关法律法规及企业会计准则要求，采用合理估值技术确定公允价值。</w:t>
      </w:r>
    </w:p>
    <w:p w14:paraId="6F38151E" w14:textId="77777777" w:rsidR="00810426" w:rsidRDefault="00B424E5">
      <w:pPr>
        <w:spacing w:line="360" w:lineRule="auto"/>
        <w:ind w:firstLineChars="200" w:firstLine="420"/>
        <w:rPr>
          <w:rFonts w:ascii="宋体" w:hAnsi="宋体"/>
        </w:rPr>
      </w:pPr>
      <w:r>
        <w:rPr>
          <w:rFonts w:ascii="宋体" w:hAnsi="宋体" w:hint="eastAsia"/>
        </w:rPr>
        <w:t>（8）存托凭证估值方法</w:t>
      </w:r>
    </w:p>
    <w:p w14:paraId="558F04FA" w14:textId="77777777" w:rsidR="00810426" w:rsidRDefault="00B424E5">
      <w:pPr>
        <w:spacing w:line="360" w:lineRule="auto"/>
        <w:ind w:firstLineChars="200" w:firstLine="420"/>
        <w:rPr>
          <w:rFonts w:ascii="宋体" w:hAnsi="宋体"/>
        </w:rPr>
      </w:pPr>
      <w:r>
        <w:rPr>
          <w:rFonts w:ascii="宋体" w:hAnsi="宋体" w:hint="eastAsia"/>
        </w:rPr>
        <w:t>公开挂牌的存托凭证按估值日其所在证券交易所的收盘价估值；估值日无交易的，以最近交易日的收盘价估值。</w:t>
      </w:r>
    </w:p>
    <w:p w14:paraId="6ABEC601" w14:textId="77777777" w:rsidR="00810426" w:rsidRDefault="00B424E5">
      <w:pPr>
        <w:spacing w:line="360" w:lineRule="auto"/>
        <w:ind w:firstLineChars="200" w:firstLine="420"/>
        <w:rPr>
          <w:rFonts w:ascii="宋体" w:hAnsi="宋体"/>
        </w:rPr>
      </w:pPr>
      <w:r>
        <w:rPr>
          <w:rFonts w:ascii="宋体" w:hAnsi="宋体" w:hint="eastAsia"/>
        </w:rPr>
        <w:t>（9）基金估值方法</w:t>
      </w:r>
    </w:p>
    <w:p w14:paraId="33BF16BD" w14:textId="77777777" w:rsidR="00810426" w:rsidRDefault="00B424E5">
      <w:pPr>
        <w:spacing w:line="360" w:lineRule="auto"/>
        <w:ind w:firstLineChars="200" w:firstLine="420"/>
        <w:rPr>
          <w:rFonts w:ascii="宋体" w:hAnsi="宋体"/>
        </w:rPr>
      </w:pPr>
      <w:r>
        <w:rPr>
          <w:rFonts w:ascii="宋体" w:hAnsi="宋体" w:hint="eastAsia"/>
        </w:rPr>
        <w:t>1）上市流通的证券投资基金按估值日其所在证券交易所的收盘价估值；估值日无交易的，以最近一个交易日的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14:paraId="44D82C99" w14:textId="77777777" w:rsidR="00810426" w:rsidRDefault="00B424E5">
      <w:pPr>
        <w:spacing w:line="360" w:lineRule="auto"/>
        <w:ind w:firstLineChars="200" w:firstLine="420"/>
        <w:rPr>
          <w:rFonts w:ascii="宋体" w:hAnsi="宋体"/>
        </w:rPr>
      </w:pPr>
      <w:r>
        <w:rPr>
          <w:rFonts w:ascii="宋体" w:hAnsi="宋体" w:hint="eastAsia"/>
        </w:rPr>
        <w:t>2）开放式基金按照可取得的最近估值日的基金份额净值估值，若基金份额净值无法通过公开渠道获得，则由基金管理人和托管人协商一致，按照最能反映基金公允价值的基金份额净值估值。</w:t>
      </w:r>
    </w:p>
    <w:p w14:paraId="3433BE8D" w14:textId="77777777" w:rsidR="00810426" w:rsidRDefault="00B424E5">
      <w:pPr>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本基金投资的非上市货币市场基金，按所投资基金前一估值日后至估值日期间（含节假日）的万份收益计提估值日基金收益；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7372D5C6" w14:textId="77777777" w:rsidR="00810426" w:rsidRDefault="00B424E5">
      <w:pPr>
        <w:spacing w:line="360" w:lineRule="auto"/>
        <w:ind w:firstLineChars="200" w:firstLine="420"/>
        <w:rPr>
          <w:rFonts w:ascii="宋体" w:hAnsi="宋体"/>
        </w:rPr>
      </w:pPr>
      <w:r>
        <w:rPr>
          <w:rFonts w:ascii="宋体" w:hAnsi="宋体" w:hint="eastAsia"/>
        </w:rPr>
        <w:t>（1</w:t>
      </w:r>
      <w:r>
        <w:rPr>
          <w:rFonts w:ascii="宋体" w:hAnsi="宋体"/>
        </w:rPr>
        <w:t>0</w:t>
      </w:r>
      <w:r>
        <w:rPr>
          <w:rFonts w:ascii="宋体" w:hAnsi="宋体" w:hint="eastAsia"/>
        </w:rPr>
        <w:t>）外汇汇率</w:t>
      </w:r>
    </w:p>
    <w:p w14:paraId="17800F88" w14:textId="77777777" w:rsidR="00810426" w:rsidRDefault="00B424E5">
      <w:pPr>
        <w:spacing w:line="360" w:lineRule="auto"/>
        <w:ind w:firstLineChars="200" w:firstLine="420"/>
        <w:rPr>
          <w:rFonts w:ascii="宋体" w:hAnsi="宋体"/>
        </w:rPr>
      </w:pPr>
      <w:r>
        <w:rPr>
          <w:rFonts w:ascii="宋体" w:hAnsi="宋体" w:hint="eastAsia"/>
        </w:rPr>
        <w:t>估值计算中涉及美元、港币、日元、欧元、英镑等五种主要货币对人民币汇率的，采用当日中国人民银行或其授权机构公布的人民币汇率中间价；涉及其他货币对人民币的汇率，采用指定数据服务商提供的估值日各种货币对美元折算率并采用套算的方法进行折算。</w:t>
      </w:r>
    </w:p>
    <w:p w14:paraId="26E09EF6" w14:textId="77777777" w:rsidR="00810426" w:rsidRDefault="00B424E5">
      <w:pPr>
        <w:spacing w:line="360" w:lineRule="auto"/>
        <w:ind w:firstLineChars="200" w:firstLine="420"/>
        <w:rPr>
          <w:rFonts w:ascii="宋体" w:hAnsi="宋体"/>
        </w:rPr>
      </w:pPr>
      <w:r>
        <w:rPr>
          <w:rFonts w:ascii="宋体" w:hAnsi="宋体" w:hint="eastAsia"/>
        </w:rPr>
        <w:t>（1</w:t>
      </w:r>
      <w:r>
        <w:rPr>
          <w:rFonts w:ascii="宋体" w:hAnsi="宋体"/>
        </w:rPr>
        <w:t>1</w:t>
      </w:r>
      <w:r>
        <w:rPr>
          <w:rFonts w:ascii="宋体" w:hAnsi="宋体" w:hint="eastAsia"/>
        </w:rPr>
        <w:t>）在证券交易所及全国中小企业股份转让系统等市场交易的优先股，其交易量及交易频率足以持续提供定价信息的，估值日有交易，按估值日收盘价估值；估值日无交易，且最近交易日后未发生影响公允价值计量的重大事件的，参考该优先股或类似投资品种最近交易日收盘价确定公允价值。不满足上述条件的，可根据优先股的股息支付条款，采用现金流折现模型等估值模型，或依据第三方估值机构提供的价格数据估值。</w:t>
      </w:r>
    </w:p>
    <w:p w14:paraId="123F12F2" w14:textId="77777777" w:rsidR="00810426" w:rsidRDefault="00B424E5">
      <w:pPr>
        <w:spacing w:line="360" w:lineRule="auto"/>
        <w:ind w:firstLineChars="200" w:firstLine="420"/>
        <w:rPr>
          <w:rFonts w:ascii="宋体" w:hAnsi="宋体"/>
        </w:rPr>
      </w:pPr>
      <w:r>
        <w:rPr>
          <w:rFonts w:ascii="宋体" w:hAnsi="宋体" w:hint="eastAsia"/>
        </w:rPr>
        <w:t>（</w:t>
      </w:r>
      <w:r>
        <w:rPr>
          <w:rFonts w:ascii="宋体" w:hAnsi="宋体"/>
        </w:rPr>
        <w:t>12</w:t>
      </w:r>
      <w:r>
        <w:rPr>
          <w:rFonts w:ascii="宋体" w:hAnsi="宋体" w:hint="eastAsia"/>
        </w:rPr>
        <w:t>）银行存款、回购等固定收益工具按照约定利率在持有期内逐日确认利息收入，在利息到账日以实收利息入账。</w:t>
      </w:r>
    </w:p>
    <w:p w14:paraId="2B891CE4" w14:textId="77777777" w:rsidR="00810426" w:rsidRDefault="00B424E5">
      <w:pPr>
        <w:spacing w:line="360" w:lineRule="auto"/>
        <w:ind w:firstLineChars="200" w:firstLine="420"/>
        <w:rPr>
          <w:rFonts w:ascii="宋体" w:hAnsi="宋体"/>
        </w:rPr>
      </w:pPr>
      <w:r>
        <w:rPr>
          <w:rFonts w:ascii="宋体" w:hAnsi="宋体" w:hint="eastAsia"/>
        </w:rPr>
        <w:lastRenderedPageBreak/>
        <w:t>（</w:t>
      </w:r>
      <w:r>
        <w:rPr>
          <w:rFonts w:ascii="宋体" w:hAnsi="宋体"/>
        </w:rPr>
        <w:t>13</w:t>
      </w:r>
      <w:r>
        <w:rPr>
          <w:rFonts w:ascii="宋体" w:hAnsi="宋体" w:hint="eastAsia"/>
        </w:rPr>
        <w:t>）对于通过债券借贷交易融入的标的债券，产生的借贷费用在借贷期限内逐日计提；对于通过债券借贷交易融出的标的债券，融出期间标的债券按该债券原有估值方法进行估值，产生的借贷收入逐日计提。对于通过债券借贷交易融入的债券且实际卖出的，确认金融负债，按照标准化债权类资产估值方法计量公允价值。</w:t>
      </w:r>
    </w:p>
    <w:p w14:paraId="46261D43" w14:textId="77777777" w:rsidR="00810426" w:rsidRDefault="00B424E5">
      <w:pPr>
        <w:spacing w:line="360" w:lineRule="auto"/>
        <w:ind w:firstLineChars="200" w:firstLine="420"/>
        <w:rPr>
          <w:rFonts w:ascii="宋体" w:hAnsi="宋体"/>
        </w:rPr>
      </w:pPr>
      <w:r>
        <w:rPr>
          <w:rFonts w:ascii="宋体" w:hAnsi="宋体" w:hint="eastAsia"/>
        </w:rPr>
        <w:t>（</w:t>
      </w:r>
      <w:r>
        <w:rPr>
          <w:rFonts w:ascii="宋体" w:hAnsi="宋体"/>
        </w:rPr>
        <w:t>14</w:t>
      </w:r>
      <w:r>
        <w:rPr>
          <w:rFonts w:ascii="宋体" w:hAnsi="宋体" w:hint="eastAsia"/>
        </w:rPr>
        <w:t>）税收</w:t>
      </w:r>
    </w:p>
    <w:p w14:paraId="3F3D634A" w14:textId="77777777" w:rsidR="00810426" w:rsidRDefault="00B424E5">
      <w:pPr>
        <w:spacing w:line="360" w:lineRule="auto"/>
        <w:ind w:firstLineChars="200" w:firstLine="420"/>
        <w:rPr>
          <w:rFonts w:ascii="宋体" w:hAnsi="宋体"/>
        </w:rPr>
      </w:pPr>
      <w:r>
        <w:rPr>
          <w:rFonts w:ascii="宋体" w:hAnsi="宋体" w:hint="eastAsia"/>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实际支付日进行相应的估值调整。</w:t>
      </w:r>
    </w:p>
    <w:p w14:paraId="3116E074" w14:textId="77777777" w:rsidR="00810426" w:rsidRDefault="00B424E5">
      <w:pPr>
        <w:spacing w:line="360" w:lineRule="auto"/>
        <w:ind w:firstLineChars="200" w:firstLine="420"/>
        <w:rPr>
          <w:rFonts w:ascii="宋体" w:hAnsi="宋体"/>
        </w:rPr>
      </w:pPr>
      <w:r>
        <w:rPr>
          <w:rFonts w:ascii="宋体" w:hAnsi="宋体" w:hint="eastAsia"/>
        </w:rPr>
        <w:t>（</w:t>
      </w:r>
      <w:r>
        <w:rPr>
          <w:rFonts w:ascii="宋体" w:hAnsi="宋体"/>
        </w:rPr>
        <w:t>15</w:t>
      </w:r>
      <w:r>
        <w:rPr>
          <w:rFonts w:ascii="宋体" w:hAnsi="宋体" w:hint="eastAsia"/>
        </w:rPr>
        <w:t>）当发生大额申购或赎回情形时，基金管理人可以采用摆动定价机制，以确保基金估值的公平性。</w:t>
      </w:r>
    </w:p>
    <w:p w14:paraId="55ADA26C" w14:textId="77777777" w:rsidR="00810426" w:rsidRDefault="00B424E5">
      <w:pPr>
        <w:spacing w:line="360" w:lineRule="auto"/>
        <w:ind w:firstLineChars="200" w:firstLine="420"/>
        <w:rPr>
          <w:rFonts w:ascii="宋体" w:hAnsi="宋体"/>
        </w:rPr>
      </w:pPr>
      <w:r>
        <w:rPr>
          <w:rFonts w:ascii="宋体" w:hAnsi="宋体" w:hint="eastAsia"/>
        </w:rPr>
        <w:t>（</w:t>
      </w:r>
      <w:r>
        <w:rPr>
          <w:rFonts w:ascii="宋体" w:hAnsi="宋体"/>
        </w:rPr>
        <w:t>16</w:t>
      </w:r>
      <w:r>
        <w:rPr>
          <w:rFonts w:ascii="宋体" w:hAnsi="宋体" w:hint="eastAsia"/>
        </w:rPr>
        <w:t>）如有确凿证据表明按上述方法进行估值不能客观反映其公允价值的，基金管理人可根据具体情况与基金托管人商定后，按最能反映公允价值的价格估值。</w:t>
      </w:r>
    </w:p>
    <w:p w14:paraId="013CF2BD" w14:textId="77777777" w:rsidR="00810426" w:rsidRDefault="00B424E5">
      <w:pPr>
        <w:spacing w:line="360" w:lineRule="auto"/>
        <w:ind w:firstLineChars="200" w:firstLine="420"/>
        <w:rPr>
          <w:rFonts w:ascii="宋体" w:hAnsi="宋体"/>
        </w:rPr>
      </w:pPr>
      <w:r>
        <w:rPr>
          <w:rFonts w:ascii="宋体" w:hAnsi="宋体" w:hint="eastAsia"/>
        </w:rPr>
        <w:t>（</w:t>
      </w:r>
      <w:r>
        <w:rPr>
          <w:rFonts w:ascii="宋体" w:hAnsi="宋体"/>
        </w:rPr>
        <w:t>17</w:t>
      </w:r>
      <w:r>
        <w:rPr>
          <w:rFonts w:ascii="宋体" w:hAnsi="宋体" w:hint="eastAsia"/>
        </w:rPr>
        <w:t>）相关法律法规以及监管部门有强制规定的，从其规定。如有新增事项，按国家最新规定估值。</w:t>
      </w:r>
    </w:p>
    <w:p w14:paraId="1A38E68C" w14:textId="77777777" w:rsidR="00810426" w:rsidRDefault="00B424E5">
      <w:pPr>
        <w:spacing w:line="360" w:lineRule="auto"/>
        <w:ind w:firstLineChars="200" w:firstLine="420"/>
        <w:rPr>
          <w:rFonts w:ascii="宋体" w:hAnsi="宋体"/>
        </w:rPr>
      </w:pPr>
      <w:r>
        <w:rPr>
          <w:rFonts w:ascii="宋体" w:hAnsi="宋体"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13F150F2" w14:textId="77777777" w:rsidR="00810426" w:rsidRDefault="00B424E5">
      <w:pPr>
        <w:spacing w:line="360" w:lineRule="auto"/>
        <w:ind w:firstLineChars="200" w:firstLine="420"/>
        <w:rPr>
          <w:rFonts w:ascii="宋体" w:hAnsi="宋体"/>
        </w:rPr>
      </w:pPr>
      <w:r>
        <w:rPr>
          <w:rFonts w:ascii="宋体" w:hAnsi="宋体"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资产净值的计算结果对外予以公布。</w:t>
      </w:r>
    </w:p>
    <w:p w14:paraId="2BBB08DA" w14:textId="77777777" w:rsidR="00810426" w:rsidRDefault="00B424E5">
      <w:pPr>
        <w:spacing w:line="360" w:lineRule="auto"/>
        <w:ind w:firstLineChars="200" w:firstLine="420"/>
        <w:rPr>
          <w:rFonts w:ascii="宋体" w:hAnsi="宋体"/>
        </w:rPr>
      </w:pPr>
      <w:r>
        <w:rPr>
          <w:rFonts w:ascii="宋体" w:hAnsi="宋体"/>
        </w:rPr>
        <w:t>2</w:t>
      </w:r>
      <w:r>
        <w:rPr>
          <w:rFonts w:ascii="宋体" w:hAnsi="宋体" w:hint="eastAsia"/>
        </w:rPr>
        <w:t>、特殊情形的处理</w:t>
      </w:r>
    </w:p>
    <w:p w14:paraId="414F667A" w14:textId="77777777" w:rsidR="00810426" w:rsidRDefault="00B424E5">
      <w:pPr>
        <w:spacing w:line="360" w:lineRule="auto"/>
        <w:ind w:firstLineChars="200" w:firstLine="420"/>
        <w:rPr>
          <w:rFonts w:ascii="宋体" w:hAnsi="宋体"/>
        </w:rPr>
      </w:pPr>
      <w:r>
        <w:rPr>
          <w:rFonts w:ascii="宋体" w:hAnsi="宋体" w:hint="eastAsia"/>
        </w:rPr>
        <w:t>（1）基金管理人按估值方法的第（</w:t>
      </w:r>
      <w:r>
        <w:rPr>
          <w:rFonts w:ascii="宋体" w:hAnsi="宋体"/>
        </w:rPr>
        <w:t>16</w:t>
      </w:r>
      <w:r>
        <w:rPr>
          <w:rFonts w:ascii="宋体" w:hAnsi="宋体" w:hint="eastAsia"/>
        </w:rPr>
        <w:t>）项进行估值时，所造成的误差不作为基金资产估值错误处理；</w:t>
      </w:r>
    </w:p>
    <w:p w14:paraId="1E1B3F43" w14:textId="77777777" w:rsidR="00810426" w:rsidRDefault="00B424E5">
      <w:pPr>
        <w:spacing w:line="360" w:lineRule="auto"/>
        <w:ind w:firstLineChars="200" w:firstLine="420"/>
        <w:rPr>
          <w:rFonts w:ascii="宋体" w:hAnsi="宋体"/>
        </w:rPr>
      </w:pPr>
      <w:r>
        <w:rPr>
          <w:rFonts w:ascii="宋体" w:hAnsi="宋体" w:hint="eastAsia"/>
        </w:rPr>
        <w:t>（2）对于因税收规定调整或其他原因导致基金实际交纳税金与基金按照权责发生制进行估值的应交税金有差异的，相关估值调整不作为基金资产估值错误处理；</w:t>
      </w:r>
    </w:p>
    <w:p w14:paraId="16569C8C" w14:textId="77777777" w:rsidR="00810426" w:rsidRDefault="00B424E5">
      <w:pPr>
        <w:spacing w:line="360" w:lineRule="auto"/>
        <w:ind w:firstLineChars="200" w:firstLine="420"/>
        <w:rPr>
          <w:rFonts w:ascii="宋体" w:hAnsi="宋体"/>
        </w:rPr>
      </w:pPr>
      <w:r>
        <w:rPr>
          <w:rFonts w:ascii="宋体" w:hAnsi="宋体" w:hint="eastAsia"/>
        </w:rPr>
        <w:t>（3）由于投资涉及不同市场及时区，因时差、通讯或其他非可控的客观原因，在本基金管理人和本基金托管人协商一致的时间点前无法确认的交易，导致的对基金资产净值的影响，不作为基金资产估值错误处理；</w:t>
      </w:r>
    </w:p>
    <w:p w14:paraId="13C06AF9" w14:textId="77777777" w:rsidR="00810426" w:rsidRDefault="00B424E5">
      <w:pPr>
        <w:spacing w:line="360" w:lineRule="auto"/>
        <w:ind w:firstLineChars="200" w:firstLine="420"/>
        <w:rPr>
          <w:rFonts w:ascii="宋体" w:hAnsi="宋体"/>
        </w:rPr>
      </w:pPr>
      <w:r>
        <w:rPr>
          <w:rFonts w:ascii="宋体" w:hAnsi="宋体" w:hint="eastAsia"/>
        </w:rPr>
        <w:t>（4）由于其他不可抗力原因，或由于证券/期货交易所、证券经纪机构、登记结算机构及</w:t>
      </w:r>
      <w:r>
        <w:rPr>
          <w:rFonts w:ascii="宋体" w:hAnsi="宋体" w:hint="eastAsia"/>
        </w:rPr>
        <w:lastRenderedPageBreak/>
        <w:t>其他数据服务机构发送的数据错误等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14:paraId="57D48A34" w14:textId="77777777" w:rsidR="00810426" w:rsidRDefault="00B424E5">
      <w:pPr>
        <w:spacing w:line="360" w:lineRule="auto"/>
        <w:ind w:firstLineChars="200" w:firstLine="420"/>
        <w:rPr>
          <w:rFonts w:ascii="宋体" w:hAnsi="宋体"/>
        </w:rPr>
      </w:pPr>
      <w:r>
        <w:rPr>
          <w:rFonts w:ascii="宋体" w:hAnsi="宋体" w:hint="eastAsia"/>
        </w:rPr>
        <w:t>（三）基金份额净值错误的处理方式</w:t>
      </w:r>
    </w:p>
    <w:p w14:paraId="0FC6CC21"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基金管理人和基金托管人将采取必要、适当、合理的措施确保基金资产估值的准确性、及时性。当基金份额净值小数点后4位以内(含第4位)发生估值错误时，视为基金份额净值错误。</w:t>
      </w:r>
    </w:p>
    <w:p w14:paraId="5891BC4B"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基金合同的当事人应按照以下约定处理：</w:t>
      </w:r>
    </w:p>
    <w:p w14:paraId="69F16CD3"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1、估值错误类型</w:t>
      </w:r>
    </w:p>
    <w:p w14:paraId="6DE8C3D9"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本基金运作过程中，如果由于基金管理人或基金托管人、或登记机构、或销售服务机构、或投资人自身的过错造成估值错误，导致其他当事人遭受损失的，过错的责任人应当对由于该估值错误遭受损失当事人(“受损方”)的直接损失按下述“估值错误处理原则”给予赔偿，承担赔偿责任。</w:t>
      </w:r>
    </w:p>
    <w:p w14:paraId="15AE5CF0"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5D301577"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18B44B80"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2、估值错误处理原则</w:t>
      </w:r>
    </w:p>
    <w:p w14:paraId="57C13C19"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B2B79AE"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（2）估值错误的责任方对有关当事人的直接损失负责，不对间接损失负责，并且仅对估值错误的有关直接当事人负责，不对第三方负责。</w:t>
      </w:r>
    </w:p>
    <w:p w14:paraId="3DE7BF95"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（3）因估值错误而获得不当得利的当事人负有及时返还不当得利的义务。但估值错误责</w:t>
      </w:r>
      <w:r>
        <w:rPr>
          <w:rFonts w:ascii="宋体" w:hAnsi="宋体" w:cs="Arial" w:hint="eastAsia"/>
          <w:szCs w:val="21"/>
        </w:rPr>
        <w:lastRenderedPageBreak/>
        <w:t>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EAD99E2"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（4）估值错误调整采用尽量恢复至假设未发生估值错误的正确情形的方式。</w:t>
      </w:r>
    </w:p>
    <w:p w14:paraId="64F55C60"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3、估值错误处理程序</w:t>
      </w:r>
    </w:p>
    <w:p w14:paraId="33E5B0A8"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估值错误被发现后，有关的当事人应当及时进行处理，处理的程序如下：</w:t>
      </w:r>
    </w:p>
    <w:p w14:paraId="0DB6F872"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（1）查明估值错误发生的原因，列明所有的当事人，并根据估值错误发生的原因确定估值错误的责任方；</w:t>
      </w:r>
    </w:p>
    <w:p w14:paraId="3F65F7F8"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（2）根据估值错误处理原则或当事人协商的方法对因估值错误造成的损失进行评估；</w:t>
      </w:r>
    </w:p>
    <w:p w14:paraId="45E6B4AB"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（3）根据估值错误处理原则或当事人协商的方法由估值错误的责任方进行更正和赔偿损失；</w:t>
      </w:r>
    </w:p>
    <w:p w14:paraId="3EADDA37"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（4）根据估值错误处理的方法，需要修改基金登记机构交易数据的，由基金登记机构进行更正，并就估值错误的更正向有关当事人进行确认。</w:t>
      </w:r>
    </w:p>
    <w:p w14:paraId="2E993E82"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4、基金份额净值估值错误处理的方法如下：</w:t>
      </w:r>
    </w:p>
    <w:p w14:paraId="47FFC27D"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（1）基金份额净值计算出现错误时，基金管理人应当立即予以纠正，通报基金托管人，并采取合理的措施防止损失进一步扩大。</w:t>
      </w:r>
    </w:p>
    <w:p w14:paraId="39D51744"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（2）错误偏差达到基金份额净值的0.25%时，基金管理人应当通报基金托管人并报中国证监会备案；错误偏差达到基金份额净值的0.5%时，基金管理人应当公告，并报中国证监会备案。</w:t>
      </w:r>
    </w:p>
    <w:p w14:paraId="368DBC35" w14:textId="77777777" w:rsidR="00810426" w:rsidRDefault="00B424E5">
      <w:pPr>
        <w:adjustRightInd w:val="0"/>
        <w:snapToGrid w:val="0"/>
        <w:spacing w:line="360" w:lineRule="auto"/>
        <w:ind w:firstLineChars="200" w:firstLine="420"/>
        <w:rPr>
          <w:rFonts w:ascii="宋体" w:hAnsi="宋体"/>
        </w:rPr>
      </w:pPr>
      <w:r>
        <w:rPr>
          <w:rFonts w:ascii="宋体" w:hAnsi="宋体" w:cs="Arial" w:hint="eastAsia"/>
          <w:szCs w:val="21"/>
        </w:rPr>
        <w:t>（</w:t>
      </w:r>
      <w:r>
        <w:rPr>
          <w:rFonts w:ascii="宋体" w:hAnsi="宋体" w:cs="Arial"/>
          <w:szCs w:val="21"/>
        </w:rPr>
        <w:t>3</w:t>
      </w:r>
      <w:r>
        <w:rPr>
          <w:rFonts w:ascii="宋体" w:hAnsi="宋体" w:cs="Arial" w:hint="eastAsia"/>
          <w:szCs w:val="21"/>
        </w:rPr>
        <w:t>）前述内容如法律法规或监管机关另有规定的，从其规定处理。</w:t>
      </w:r>
    </w:p>
    <w:p w14:paraId="767A064E" w14:textId="77777777" w:rsidR="00810426" w:rsidRDefault="00B424E5">
      <w:pPr>
        <w:spacing w:line="360" w:lineRule="auto"/>
        <w:ind w:firstLineChars="200" w:firstLine="420"/>
        <w:rPr>
          <w:rFonts w:ascii="宋体"/>
        </w:rPr>
      </w:pPr>
      <w:r>
        <w:rPr>
          <w:rFonts w:ascii="宋体" w:hint="eastAsia"/>
        </w:rPr>
        <w:t>（四）暂停估值的情形</w:t>
      </w:r>
    </w:p>
    <w:p w14:paraId="4250E25C" w14:textId="77777777" w:rsidR="00810426" w:rsidRDefault="00B424E5">
      <w:pPr>
        <w:spacing w:line="360" w:lineRule="auto"/>
        <w:ind w:firstLineChars="200" w:firstLine="420"/>
        <w:rPr>
          <w:rFonts w:ascii="宋体"/>
        </w:rPr>
      </w:pPr>
      <w:r>
        <w:rPr>
          <w:rFonts w:ascii="宋体" w:hint="eastAsia"/>
        </w:rPr>
        <w:t>1、基金投资所涉及的证券/期货交易市场或外汇市场遇法定节假日或因其他原因暂停营业时；</w:t>
      </w:r>
    </w:p>
    <w:p w14:paraId="3408BF5C" w14:textId="77777777" w:rsidR="00810426" w:rsidRDefault="00B424E5">
      <w:pPr>
        <w:spacing w:line="360" w:lineRule="auto"/>
        <w:ind w:firstLineChars="200" w:firstLine="420"/>
        <w:rPr>
          <w:rFonts w:ascii="宋体"/>
        </w:rPr>
      </w:pPr>
      <w:r>
        <w:rPr>
          <w:rFonts w:ascii="宋体" w:hint="eastAsia"/>
        </w:rPr>
        <w:t>2、因不可抗力致使基金管理人、基金托管人无法准确评估基金资产价值时；</w:t>
      </w:r>
    </w:p>
    <w:p w14:paraId="4EA20164" w14:textId="77777777" w:rsidR="00810426" w:rsidRDefault="00B424E5">
      <w:pPr>
        <w:spacing w:line="360" w:lineRule="auto"/>
        <w:ind w:firstLineChars="200" w:firstLine="420"/>
        <w:rPr>
          <w:rFonts w:ascii="宋体"/>
        </w:rPr>
      </w:pPr>
      <w:r>
        <w:rPr>
          <w:rFonts w:ascii="宋体" w:hint="eastAsia"/>
        </w:rPr>
        <w:t>3、当特定资产占前一估值日基金资产净值50%以上的，经与基金托管人协商确认后，基金管理人应当暂停估值；</w:t>
      </w:r>
    </w:p>
    <w:p w14:paraId="381C326B" w14:textId="77777777" w:rsidR="00810426" w:rsidRDefault="00B424E5">
      <w:pPr>
        <w:spacing w:line="360" w:lineRule="auto"/>
        <w:ind w:firstLineChars="200" w:firstLine="420"/>
        <w:rPr>
          <w:rFonts w:ascii="宋体"/>
        </w:rPr>
      </w:pPr>
      <w:r>
        <w:rPr>
          <w:rFonts w:ascii="宋体" w:hint="eastAsia"/>
        </w:rPr>
        <w:t>4、法律法规、中国证监会和基金合同认定的其它情形。</w:t>
      </w:r>
    </w:p>
    <w:p w14:paraId="2CC70B96" w14:textId="77777777" w:rsidR="00810426" w:rsidRDefault="00B424E5">
      <w:pPr>
        <w:pStyle w:val="a0"/>
        <w:spacing w:line="360" w:lineRule="auto"/>
      </w:pPr>
      <w:r>
        <w:rPr>
          <w:rFonts w:hint="eastAsia"/>
        </w:rPr>
        <w:t>（五）基金会计制度</w:t>
      </w:r>
    </w:p>
    <w:p w14:paraId="6B1455BA" w14:textId="77777777" w:rsidR="00810426" w:rsidRDefault="00B424E5">
      <w:pPr>
        <w:pStyle w:val="a0"/>
        <w:spacing w:line="360" w:lineRule="auto"/>
      </w:pPr>
      <w:r>
        <w:rPr>
          <w:rFonts w:hint="eastAsia"/>
        </w:rPr>
        <w:lastRenderedPageBreak/>
        <w:t>按国家有关部门规定的会计制度执行。</w:t>
      </w:r>
    </w:p>
    <w:p w14:paraId="0629B16B" w14:textId="77777777" w:rsidR="00810426" w:rsidRDefault="00B424E5">
      <w:pPr>
        <w:pStyle w:val="a0"/>
        <w:spacing w:line="360" w:lineRule="auto"/>
      </w:pPr>
      <w:r>
        <w:rPr>
          <w:rFonts w:hint="eastAsia"/>
        </w:rPr>
        <w:t>（六）基金账册的建立</w:t>
      </w:r>
    </w:p>
    <w:p w14:paraId="0887F844" w14:textId="77777777" w:rsidR="00810426" w:rsidRDefault="00B424E5">
      <w:pPr>
        <w:pStyle w:val="a0"/>
        <w:spacing w:line="360" w:lineRule="auto"/>
      </w:pPr>
      <w:r>
        <w:rPr>
          <w:rFonts w:hint="eastAsia"/>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的计算和公告的，以基金管理人的账册为准。</w:t>
      </w:r>
    </w:p>
    <w:p w14:paraId="634C0A7D" w14:textId="77777777" w:rsidR="00810426" w:rsidRDefault="00B424E5">
      <w:pPr>
        <w:pStyle w:val="a0"/>
        <w:spacing w:line="360" w:lineRule="auto"/>
      </w:pPr>
      <w:r>
        <w:rPr>
          <w:rFonts w:hint="eastAsia"/>
        </w:rPr>
        <w:t>（七）基金财务报表与报告的编制和复核</w:t>
      </w:r>
    </w:p>
    <w:p w14:paraId="773B49AE" w14:textId="77777777" w:rsidR="00810426" w:rsidRDefault="00B424E5">
      <w:pPr>
        <w:pStyle w:val="a0"/>
        <w:spacing w:line="360" w:lineRule="auto"/>
      </w:pPr>
      <w:r>
        <w:rPr>
          <w:rFonts w:hint="eastAsia"/>
        </w:rPr>
        <w:t>1</w:t>
      </w:r>
      <w:r>
        <w:rPr>
          <w:rFonts w:hint="eastAsia"/>
        </w:rPr>
        <w:t>、财务报表的编制</w:t>
      </w:r>
    </w:p>
    <w:p w14:paraId="3886841C" w14:textId="77777777" w:rsidR="00810426" w:rsidRDefault="00B424E5">
      <w:pPr>
        <w:pStyle w:val="a0"/>
        <w:spacing w:line="360" w:lineRule="auto"/>
      </w:pPr>
      <w:r>
        <w:rPr>
          <w:rFonts w:hint="eastAsia"/>
        </w:rPr>
        <w:t>基金财务报表由基金管理人编制，基金托管人复核。</w:t>
      </w:r>
    </w:p>
    <w:p w14:paraId="1B86EF3B" w14:textId="77777777" w:rsidR="00810426" w:rsidRDefault="00B424E5">
      <w:pPr>
        <w:pStyle w:val="a0"/>
        <w:spacing w:line="360" w:lineRule="auto"/>
      </w:pPr>
      <w:r>
        <w:t>2</w:t>
      </w:r>
      <w:r>
        <w:rPr>
          <w:rFonts w:hint="eastAsia"/>
        </w:rPr>
        <w:t>、报表复核</w:t>
      </w:r>
    </w:p>
    <w:p w14:paraId="229461BC" w14:textId="77777777" w:rsidR="00810426" w:rsidRDefault="00B424E5">
      <w:pPr>
        <w:pStyle w:val="a0"/>
        <w:spacing w:line="360" w:lineRule="auto"/>
      </w:pPr>
      <w:r>
        <w:rPr>
          <w:rFonts w:hint="eastAsia"/>
        </w:rPr>
        <w:t>基金托管人在收到基金管理人编制的基金财务报表后，进行独立的复核。核对不符时，应及时通知基金管理人共同查出原因，进行调整，直至双方数据完全一致。</w:t>
      </w:r>
    </w:p>
    <w:p w14:paraId="31761EB9" w14:textId="77777777" w:rsidR="00810426" w:rsidRDefault="00B424E5">
      <w:pPr>
        <w:pStyle w:val="a0"/>
        <w:spacing w:line="360" w:lineRule="auto"/>
      </w:pPr>
      <w:r>
        <w:t>3</w:t>
      </w:r>
      <w:r>
        <w:rPr>
          <w:rFonts w:hint="eastAsia"/>
        </w:rPr>
        <w:t>、财务报表的编制与复核时间安排</w:t>
      </w:r>
    </w:p>
    <w:p w14:paraId="1B85663E" w14:textId="77777777" w:rsidR="00810426" w:rsidRDefault="00B424E5">
      <w:pPr>
        <w:pStyle w:val="a0"/>
        <w:spacing w:line="360" w:lineRule="auto"/>
      </w:pPr>
      <w:r>
        <w:rPr>
          <w:rFonts w:hint="eastAsia"/>
        </w:rPr>
        <w:t>（</w:t>
      </w:r>
      <w:r>
        <w:t>1</w:t>
      </w:r>
      <w:r>
        <w:rPr>
          <w:rFonts w:hint="eastAsia"/>
        </w:rPr>
        <w:t>）报表的编制</w:t>
      </w:r>
    </w:p>
    <w:p w14:paraId="67B0137D" w14:textId="77777777" w:rsidR="00810426" w:rsidRDefault="00B424E5">
      <w:pPr>
        <w:pStyle w:val="a0"/>
        <w:spacing w:line="360" w:lineRule="auto"/>
      </w:pPr>
      <w:r>
        <w:rPr>
          <w:rFonts w:hint="eastAsia"/>
        </w:rPr>
        <w:t>基金管理人应当在每月结束后</w:t>
      </w:r>
      <w:r>
        <w:t>5</w:t>
      </w:r>
      <w:r>
        <w:rPr>
          <w:rFonts w:hint="eastAsia"/>
        </w:rPr>
        <w:t>个工作日内完成月度报表的编制；在季度结束之日起</w:t>
      </w:r>
      <w:r>
        <w:rPr>
          <w:rFonts w:hint="eastAsia"/>
        </w:rPr>
        <w:t>15</w:t>
      </w:r>
      <w:r>
        <w:rPr>
          <w:rFonts w:hint="eastAsia"/>
        </w:rPr>
        <w:t>个工作日内完成基金季度报告的编制；在上半年结束之日起两个月内完成基金中期报告的编制；在每年结束之日起三个月内完成基金年度报告的编制。基金年度报告中的财务会计报告应当经过符合《中华人民共和国证券法》规定的会计师事务所审计。基金合同生效不足两个月的，基金管理人可以不编制当期季度报告、中期报告或者年度报告。</w:t>
      </w:r>
    </w:p>
    <w:p w14:paraId="68E8A0BD" w14:textId="77777777" w:rsidR="00810426" w:rsidRDefault="00B424E5">
      <w:pPr>
        <w:pStyle w:val="a0"/>
        <w:spacing w:line="360" w:lineRule="auto"/>
      </w:pPr>
      <w:r>
        <w:rPr>
          <w:rFonts w:hint="eastAsia"/>
        </w:rPr>
        <w:t>（</w:t>
      </w:r>
      <w:r>
        <w:t>2</w:t>
      </w:r>
      <w:r>
        <w:rPr>
          <w:rFonts w:hint="eastAsia"/>
        </w:rPr>
        <w:t>）报表的复核</w:t>
      </w:r>
    </w:p>
    <w:p w14:paraId="3F6B55F1" w14:textId="77777777" w:rsidR="00810426" w:rsidRDefault="00B424E5">
      <w:pPr>
        <w:pStyle w:val="a0"/>
        <w:spacing w:line="360" w:lineRule="auto"/>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3CCCBE1" w14:textId="77777777" w:rsidR="00810426" w:rsidRDefault="00B424E5">
      <w:pPr>
        <w:pStyle w:val="a0"/>
        <w:spacing w:line="360" w:lineRule="auto"/>
      </w:pPr>
      <w:r>
        <w:rPr>
          <w:rFonts w:hint="eastAsia"/>
        </w:rPr>
        <w:t>基金管理人应留足充分的时间，便于基金托管人复核相关报表及报告。</w:t>
      </w:r>
    </w:p>
    <w:p w14:paraId="112671F4" w14:textId="77777777" w:rsidR="00810426" w:rsidRDefault="00B424E5">
      <w:pPr>
        <w:pStyle w:val="a0"/>
        <w:spacing w:line="360" w:lineRule="auto"/>
        <w:sectPr w:rsidR="00810426">
          <w:pgSz w:w="11906" w:h="16838"/>
          <w:pgMar w:top="1418" w:right="1701" w:bottom="1418" w:left="1701" w:header="851" w:footer="992" w:gutter="0"/>
          <w:cols w:space="720"/>
          <w:docGrid w:type="lines" w:linePitch="312"/>
        </w:sectPr>
      </w:pPr>
      <w:r>
        <w:rPr>
          <w:rFonts w:hint="eastAsia"/>
        </w:rPr>
        <w:t>（八）基金管理人应在编制季度报告、中期报告或者年度报告之前及时向基金托管人提供基金业绩比较基准的基础数据和编制结果。</w:t>
      </w:r>
    </w:p>
    <w:p w14:paraId="141933A7" w14:textId="77777777" w:rsidR="00810426" w:rsidRDefault="00B424E5">
      <w:pPr>
        <w:pStyle w:val="2"/>
        <w:jc w:val="center"/>
        <w:rPr>
          <w:rFonts w:eastAsia="宋体"/>
          <w:bCs/>
          <w:sz w:val="30"/>
        </w:rPr>
      </w:pPr>
      <w:bookmarkStart w:id="91" w:name="_Toc214361118"/>
      <w:r>
        <w:rPr>
          <w:rFonts w:eastAsia="宋体" w:hint="eastAsia"/>
          <w:bCs/>
          <w:sz w:val="30"/>
        </w:rPr>
        <w:lastRenderedPageBreak/>
        <w:t>九、基金收益分配</w:t>
      </w:r>
      <w:bookmarkEnd w:id="91"/>
    </w:p>
    <w:p w14:paraId="25DF43B1" w14:textId="77777777" w:rsidR="00810426" w:rsidRDefault="00B424E5">
      <w:pPr>
        <w:widowControl/>
        <w:spacing w:line="360" w:lineRule="auto"/>
        <w:ind w:firstLineChars="200" w:firstLine="420"/>
        <w:jc w:val="left"/>
        <w:rPr>
          <w:szCs w:val="21"/>
        </w:rPr>
      </w:pPr>
      <w:r>
        <w:rPr>
          <w:rFonts w:hint="eastAsia"/>
          <w:szCs w:val="21"/>
        </w:rPr>
        <w:t>基金收益分配是指按规定将基金的可分配收益按基金份额进行比例分配。</w:t>
      </w:r>
    </w:p>
    <w:p w14:paraId="0134B5B8" w14:textId="77777777" w:rsidR="00810426" w:rsidRDefault="00B424E5">
      <w:pPr>
        <w:widowControl/>
        <w:spacing w:line="360" w:lineRule="auto"/>
        <w:ind w:firstLineChars="200" w:firstLine="420"/>
        <w:jc w:val="left"/>
        <w:rPr>
          <w:szCs w:val="21"/>
        </w:rPr>
      </w:pPr>
      <w:r>
        <w:rPr>
          <w:rFonts w:hint="eastAsia"/>
          <w:szCs w:val="21"/>
        </w:rPr>
        <w:t>（一）基金收益分配原则</w:t>
      </w:r>
    </w:p>
    <w:p w14:paraId="5E2C1435" w14:textId="77777777" w:rsidR="00810426" w:rsidRDefault="00B424E5">
      <w:pPr>
        <w:widowControl/>
        <w:spacing w:line="360" w:lineRule="auto"/>
        <w:ind w:firstLineChars="200" w:firstLine="420"/>
        <w:jc w:val="left"/>
        <w:rPr>
          <w:szCs w:val="21"/>
        </w:rPr>
      </w:pPr>
      <w:r>
        <w:rPr>
          <w:rFonts w:hint="eastAsia"/>
          <w:szCs w:val="21"/>
        </w:rPr>
        <w:t>1</w:t>
      </w:r>
      <w:r>
        <w:rPr>
          <w:rFonts w:hint="eastAsia"/>
          <w:szCs w:val="21"/>
        </w:rPr>
        <w:t>、在符合有关基金分红条件的前提下，基金管理人可以根据实际情况进行收益分配，具体分配方案以公告为准。若《基金合同》生效不满</w:t>
      </w:r>
      <w:r>
        <w:rPr>
          <w:rFonts w:hint="eastAsia"/>
          <w:szCs w:val="21"/>
        </w:rPr>
        <w:t>3</w:t>
      </w:r>
      <w:r>
        <w:rPr>
          <w:rFonts w:hint="eastAsia"/>
          <w:szCs w:val="21"/>
        </w:rPr>
        <w:t>个月可不进行收益分配；</w:t>
      </w:r>
    </w:p>
    <w:p w14:paraId="5C101037" w14:textId="77777777" w:rsidR="00810426" w:rsidRDefault="00B424E5">
      <w:pPr>
        <w:widowControl/>
        <w:spacing w:line="360" w:lineRule="auto"/>
        <w:ind w:firstLineChars="200" w:firstLine="420"/>
        <w:jc w:val="left"/>
        <w:rPr>
          <w:szCs w:val="21"/>
        </w:rPr>
      </w:pPr>
      <w:r>
        <w:rPr>
          <w:rFonts w:hint="eastAsia"/>
          <w:szCs w:val="21"/>
        </w:rPr>
        <w:t>2</w:t>
      </w:r>
      <w:r>
        <w:rPr>
          <w:rFonts w:hint="eastAsia"/>
          <w:szCs w:val="21"/>
        </w:rPr>
        <w:t>、本基金收益分配方式分两种：现金分红与红利再投资，投资者可选择现金红利或将现金红利自动转为对应类别的基金份额进行再投资；若投资者不选择，本基金默认的收益分配方式是现金分红；</w:t>
      </w:r>
    </w:p>
    <w:p w14:paraId="6F4B06EA" w14:textId="77777777" w:rsidR="00810426" w:rsidRDefault="00B424E5">
      <w:pPr>
        <w:widowControl/>
        <w:spacing w:line="360" w:lineRule="auto"/>
        <w:ind w:firstLineChars="200" w:firstLine="420"/>
        <w:jc w:val="left"/>
        <w:rPr>
          <w:szCs w:val="21"/>
        </w:rPr>
      </w:pPr>
      <w:r>
        <w:rPr>
          <w:rFonts w:hint="eastAsia"/>
          <w:szCs w:val="21"/>
        </w:rPr>
        <w:t>3</w:t>
      </w:r>
      <w:r>
        <w:rPr>
          <w:rFonts w:hint="eastAsia"/>
          <w:szCs w:val="21"/>
        </w:rPr>
        <w:t>、基金收益分配后各类基金份额净值不能低于面值；即基金收益分配基准日的各类基金份额净值减去每单位该类基金份额收益分配金额后不能低于面值；</w:t>
      </w:r>
      <w:r>
        <w:rPr>
          <w:rFonts w:hint="eastAsia"/>
          <w:szCs w:val="21"/>
        </w:rPr>
        <w:t xml:space="preserve"> </w:t>
      </w:r>
    </w:p>
    <w:p w14:paraId="2C551F4B" w14:textId="52DD3E29" w:rsidR="00810426" w:rsidRDefault="00B424E5">
      <w:pPr>
        <w:widowControl/>
        <w:spacing w:line="360" w:lineRule="auto"/>
        <w:ind w:firstLineChars="200" w:firstLine="420"/>
        <w:jc w:val="left"/>
        <w:rPr>
          <w:szCs w:val="21"/>
        </w:rPr>
      </w:pPr>
      <w:r>
        <w:rPr>
          <w:rFonts w:hint="eastAsia"/>
          <w:szCs w:val="21"/>
        </w:rPr>
        <w:t>4</w:t>
      </w:r>
      <w:r>
        <w:rPr>
          <w:rFonts w:hint="eastAsia"/>
          <w:szCs w:val="21"/>
        </w:rPr>
        <w:t>、由于本基金</w:t>
      </w:r>
      <w:r>
        <w:rPr>
          <w:rFonts w:hint="eastAsia"/>
          <w:szCs w:val="21"/>
        </w:rPr>
        <w:t>A</w:t>
      </w:r>
      <w:r>
        <w:rPr>
          <w:rFonts w:hint="eastAsia"/>
          <w:szCs w:val="21"/>
        </w:rPr>
        <w:t>类基金份额和</w:t>
      </w:r>
      <w:r>
        <w:rPr>
          <w:rFonts w:hint="eastAsia"/>
          <w:szCs w:val="21"/>
        </w:rPr>
        <w:t>C</w:t>
      </w:r>
      <w:r>
        <w:rPr>
          <w:rFonts w:hint="eastAsia"/>
          <w:szCs w:val="21"/>
        </w:rPr>
        <w:t>类基金份额费用收取不同，不同类别基金份额对应的可供分配收益将有所不同，基金管理人可对各类别基金份额分别制定收益分配方案。本基金同一类别的每一基金份额享有同等分配权；</w:t>
      </w:r>
    </w:p>
    <w:p w14:paraId="589E4375" w14:textId="77777777" w:rsidR="00810426" w:rsidRDefault="00B424E5">
      <w:pPr>
        <w:widowControl/>
        <w:spacing w:line="360" w:lineRule="auto"/>
        <w:ind w:firstLineChars="200" w:firstLine="420"/>
        <w:jc w:val="left"/>
        <w:rPr>
          <w:szCs w:val="21"/>
        </w:rPr>
      </w:pPr>
      <w:r>
        <w:rPr>
          <w:rFonts w:hint="eastAsia"/>
          <w:szCs w:val="21"/>
        </w:rPr>
        <w:t>5</w:t>
      </w:r>
      <w:r>
        <w:rPr>
          <w:rFonts w:hint="eastAsia"/>
          <w:szCs w:val="21"/>
        </w:rPr>
        <w:t>、法律法规或监管机关另有规定的，从其规定。</w:t>
      </w:r>
    </w:p>
    <w:p w14:paraId="4A8EB6B8" w14:textId="77777777" w:rsidR="00810426" w:rsidRDefault="00B424E5">
      <w:pPr>
        <w:widowControl/>
        <w:spacing w:line="360" w:lineRule="auto"/>
        <w:ind w:firstLineChars="200" w:firstLine="420"/>
        <w:jc w:val="left"/>
        <w:rPr>
          <w:szCs w:val="21"/>
        </w:rPr>
      </w:pPr>
      <w:r>
        <w:rPr>
          <w:rFonts w:hint="eastAsia"/>
          <w:szCs w:val="21"/>
        </w:rPr>
        <w:t>在符合法律法规及基金合同约定，并对基金份额持有人利益无实质性不利影响的前提下，经与基金托管人协商一致，基金管理人可对基金收益分配原则和支付方式进行调整，不需召开基金份额持有人大会。</w:t>
      </w:r>
    </w:p>
    <w:p w14:paraId="60049B2A" w14:textId="77777777" w:rsidR="00810426" w:rsidRDefault="00B424E5">
      <w:pPr>
        <w:widowControl/>
        <w:spacing w:line="360" w:lineRule="auto"/>
        <w:ind w:firstLineChars="200" w:firstLine="420"/>
        <w:jc w:val="left"/>
        <w:rPr>
          <w:szCs w:val="21"/>
        </w:rPr>
      </w:pPr>
      <w:r>
        <w:rPr>
          <w:rFonts w:hint="eastAsia"/>
          <w:szCs w:val="21"/>
        </w:rPr>
        <w:t>（二）基金收益分配的时间和程序</w:t>
      </w:r>
    </w:p>
    <w:p w14:paraId="2BC190CC" w14:textId="77777777" w:rsidR="00810426" w:rsidRDefault="00B424E5">
      <w:pPr>
        <w:widowControl/>
        <w:spacing w:line="360" w:lineRule="auto"/>
        <w:ind w:firstLineChars="200" w:firstLine="420"/>
        <w:jc w:val="left"/>
        <w:rPr>
          <w:szCs w:val="21"/>
        </w:rPr>
      </w:pPr>
      <w:r>
        <w:rPr>
          <w:rFonts w:hint="eastAsia"/>
          <w:szCs w:val="21"/>
        </w:rPr>
        <w:t>本基金收益分配方案由基金管理人拟定，并由基金托管人复核，依照《信息披露办法》的有关规定在规定媒介公告。</w:t>
      </w:r>
    </w:p>
    <w:p w14:paraId="3BDCA339" w14:textId="77777777" w:rsidR="00810426" w:rsidRDefault="00B424E5">
      <w:pPr>
        <w:widowControl/>
        <w:spacing w:line="360" w:lineRule="auto"/>
        <w:ind w:firstLineChars="200" w:firstLine="420"/>
        <w:jc w:val="left"/>
        <w:rPr>
          <w:szCs w:val="21"/>
        </w:rPr>
      </w:pPr>
      <w:r>
        <w:rPr>
          <w:rFonts w:hint="eastAsia"/>
          <w:szCs w:val="21"/>
        </w:rPr>
        <w:t>法律法规或监管机关另有规定的，从其规定。</w:t>
      </w:r>
    </w:p>
    <w:p w14:paraId="1A6E95A1" w14:textId="77777777" w:rsidR="00810426" w:rsidRDefault="00B424E5">
      <w:pPr>
        <w:widowControl/>
        <w:spacing w:line="360" w:lineRule="auto"/>
        <w:ind w:firstLineChars="200" w:firstLine="420"/>
        <w:jc w:val="left"/>
        <w:rPr>
          <w:szCs w:val="21"/>
        </w:rPr>
      </w:pPr>
      <w:r>
        <w:rPr>
          <w:rFonts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1F6F05C0" w14:textId="77777777" w:rsidR="00810426" w:rsidRDefault="00B424E5">
      <w:pPr>
        <w:widowControl/>
        <w:spacing w:line="360" w:lineRule="auto"/>
        <w:ind w:firstLineChars="200" w:firstLine="420"/>
        <w:jc w:val="left"/>
        <w:rPr>
          <w:rFonts w:ascii="宋体"/>
          <w:kern w:val="0"/>
        </w:rPr>
      </w:pPr>
      <w:r>
        <w:rPr>
          <w:rFonts w:hint="eastAsia"/>
          <w:szCs w:val="21"/>
        </w:rPr>
        <w:t>本基金实施侧袋机制的，侧袋账户不进行收益分配，详见招募说明书的规定。</w:t>
      </w:r>
      <w:bookmarkStart w:id="92" w:name="_Hlt80958353"/>
      <w:bookmarkEnd w:id="92"/>
    </w:p>
    <w:p w14:paraId="013C5C70" w14:textId="77777777" w:rsidR="00810426" w:rsidRDefault="00B424E5">
      <w:pPr>
        <w:pStyle w:val="2"/>
        <w:jc w:val="center"/>
        <w:rPr>
          <w:rFonts w:eastAsia="宋体"/>
          <w:bCs/>
          <w:sz w:val="30"/>
        </w:rPr>
      </w:pPr>
      <w:r>
        <w:rPr>
          <w:rFonts w:eastAsia="宋体"/>
          <w:sz w:val="30"/>
        </w:rPr>
        <w:br w:type="page"/>
      </w:r>
      <w:bookmarkStart w:id="93" w:name="_Toc214361119"/>
      <w:r>
        <w:rPr>
          <w:rFonts w:eastAsia="宋体" w:hint="eastAsia"/>
          <w:bCs/>
          <w:sz w:val="30"/>
        </w:rPr>
        <w:lastRenderedPageBreak/>
        <w:t>十、基金信息披露</w:t>
      </w:r>
      <w:bookmarkEnd w:id="93"/>
    </w:p>
    <w:p w14:paraId="050FBAE1" w14:textId="77777777" w:rsidR="00810426" w:rsidRDefault="00B424E5">
      <w:pPr>
        <w:spacing w:line="360" w:lineRule="auto"/>
        <w:ind w:firstLineChars="200" w:firstLine="420"/>
        <w:rPr>
          <w:rFonts w:ascii="宋体" w:hAnsi="宋体"/>
          <w:szCs w:val="21"/>
        </w:rPr>
      </w:pPr>
      <w:r>
        <w:rPr>
          <w:rFonts w:ascii="宋体" w:hAnsi="宋体" w:hint="eastAsia"/>
          <w:szCs w:val="21"/>
        </w:rPr>
        <w:t>（一）保密义务</w:t>
      </w:r>
    </w:p>
    <w:p w14:paraId="4780EA2F" w14:textId="77777777" w:rsidR="00810426" w:rsidRDefault="00B424E5">
      <w:pPr>
        <w:spacing w:line="360" w:lineRule="auto"/>
        <w:ind w:firstLineChars="200" w:firstLine="420"/>
        <w:rPr>
          <w:rFonts w:ascii="宋体" w:hAnsi="宋体"/>
          <w:szCs w:val="21"/>
        </w:rPr>
      </w:pPr>
      <w:r>
        <w:rPr>
          <w:rFonts w:ascii="宋体" w:hAnsi="宋体"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7A4D980" w14:textId="77777777" w:rsidR="00810426" w:rsidRDefault="00B424E5">
      <w:pPr>
        <w:spacing w:line="360" w:lineRule="auto"/>
        <w:ind w:firstLineChars="200" w:firstLine="420"/>
        <w:rPr>
          <w:rFonts w:ascii="宋体" w:hAnsi="宋体"/>
          <w:szCs w:val="21"/>
        </w:rPr>
      </w:pPr>
      <w:r>
        <w:rPr>
          <w:rFonts w:ascii="宋体" w:hAnsi="宋体" w:hint="eastAsia"/>
          <w:szCs w:val="21"/>
        </w:rPr>
        <w:t>1、非因基金管理人和基金托管人的原因导致保密信息被披露、泄露或公开；</w:t>
      </w:r>
    </w:p>
    <w:p w14:paraId="4A38E7D4" w14:textId="77777777" w:rsidR="00810426" w:rsidRDefault="00B424E5">
      <w:pPr>
        <w:spacing w:line="360" w:lineRule="auto"/>
        <w:ind w:firstLineChars="200" w:firstLine="420"/>
        <w:rPr>
          <w:rFonts w:ascii="宋体" w:hAnsi="宋体"/>
          <w:szCs w:val="21"/>
        </w:rPr>
      </w:pPr>
      <w:r>
        <w:rPr>
          <w:rFonts w:ascii="宋体" w:hAnsi="宋体" w:hint="eastAsia"/>
          <w:szCs w:val="21"/>
        </w:rPr>
        <w:t>2、基金管理人和基金托管人为遵守和服从法院判决或裁定、仲裁裁决或中国证监会等监管机构的命令、决定所做出的信息披露或公开。</w:t>
      </w:r>
    </w:p>
    <w:p w14:paraId="0422922D" w14:textId="77777777" w:rsidR="00810426" w:rsidRDefault="00B424E5">
      <w:pPr>
        <w:spacing w:line="360" w:lineRule="auto"/>
        <w:ind w:firstLineChars="200" w:firstLine="420"/>
        <w:rPr>
          <w:rFonts w:ascii="宋体" w:hAnsi="宋体"/>
          <w:szCs w:val="21"/>
        </w:rPr>
      </w:pPr>
      <w:r>
        <w:rPr>
          <w:rFonts w:ascii="宋体" w:hAnsi="宋体" w:hint="eastAsia"/>
          <w:szCs w:val="21"/>
        </w:rPr>
        <w:t>3、基金管理人或基金托管人在要求保密的前提下对自身聘请的外部法律顾问、财务顾问、审计人员、技术顾问等做出的必要信息披露。</w:t>
      </w:r>
    </w:p>
    <w:p w14:paraId="06A662B1"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hint="eastAsia"/>
        </w:rPr>
        <w:t>（二）</w:t>
      </w:r>
      <w:r>
        <w:rPr>
          <w:rFonts w:ascii="宋体" w:hAnsi="宋体" w:cs="Arial" w:hint="eastAsia"/>
          <w:szCs w:val="21"/>
        </w:rPr>
        <w:t>信息披露的内容</w:t>
      </w:r>
    </w:p>
    <w:p w14:paraId="3824CB63" w14:textId="77777777" w:rsidR="00810426" w:rsidRDefault="00B424E5">
      <w:pPr>
        <w:spacing w:line="360" w:lineRule="auto"/>
        <w:ind w:firstLineChars="200" w:firstLine="420"/>
        <w:rPr>
          <w:rFonts w:ascii="宋体" w:hAnsi="宋体"/>
          <w:szCs w:val="21"/>
        </w:rPr>
      </w:pPr>
      <w:r>
        <w:rPr>
          <w:rFonts w:ascii="宋体" w:hAnsi="宋体" w:hint="eastAsia"/>
          <w:szCs w:val="21"/>
        </w:rPr>
        <w:t>基金的信息披露内容主要包括基金招募说明书、基金合同、托管协议、基金份额发售公告、基金募集情况、基金合同生效公告、基金资产净值、基金份额净值、基金份额累计净值、基金份额申购、赎回价格、基金定期报告（包括基金年度报告、基金中期报告和基金季度报告）、临时报告、澄清公告、基金份额持有人大会决议、实施侧袋机制期间的信息披露、中国证监会规定的其他信息等。基金年度报告需经符合《中华人民共和国证券法》规定的会计师事务所审计后，方可披露。</w:t>
      </w:r>
    </w:p>
    <w:p w14:paraId="769B5972" w14:textId="0CA69F1D" w:rsidR="00810426" w:rsidRDefault="00B424E5">
      <w:pPr>
        <w:spacing w:line="360" w:lineRule="auto"/>
        <w:ind w:firstLineChars="200" w:firstLine="420"/>
        <w:rPr>
          <w:rFonts w:ascii="宋体" w:hAnsi="宋体"/>
          <w:szCs w:val="21"/>
        </w:rPr>
      </w:pPr>
      <w:r>
        <w:rPr>
          <w:rFonts w:ascii="宋体" w:hAnsi="宋体" w:hint="eastAsia"/>
          <w:szCs w:val="21"/>
        </w:rPr>
        <w:t>基金管理人应当在季度报告、中期报告、年度报告等定期报告和招募说明书（更新）等文件中披露股指期货、国债期货、期权交易情况，包括投资政策、持仓情况、损益情况、风险指标等。</w:t>
      </w:r>
    </w:p>
    <w:p w14:paraId="40C36B5E" w14:textId="77777777" w:rsidR="00810426" w:rsidRDefault="00B424E5">
      <w:pPr>
        <w:spacing w:line="360" w:lineRule="auto"/>
        <w:ind w:firstLineChars="202" w:firstLine="424"/>
        <w:rPr>
          <w:rFonts w:ascii="宋体"/>
        </w:rPr>
      </w:pPr>
      <w:r>
        <w:rPr>
          <w:rFonts w:ascii="宋体" w:hint="eastAsia"/>
        </w:rPr>
        <w:t>（三）基金托管人和基金管理人在信息披露中的职责和信息披露程序</w:t>
      </w:r>
    </w:p>
    <w:p w14:paraId="659EEBB4" w14:textId="77777777" w:rsidR="00810426" w:rsidRDefault="00B424E5">
      <w:pPr>
        <w:spacing w:line="360" w:lineRule="auto"/>
        <w:ind w:firstLineChars="202" w:firstLine="424"/>
        <w:rPr>
          <w:rFonts w:ascii="宋体" w:hAnsi="宋体"/>
          <w:szCs w:val="21"/>
        </w:rPr>
      </w:pPr>
      <w:r>
        <w:rPr>
          <w:rFonts w:ascii="宋体" w:hAnsi="宋体"/>
          <w:szCs w:val="21"/>
        </w:rPr>
        <w:t>1</w:t>
      </w:r>
      <w:r>
        <w:rPr>
          <w:rFonts w:ascii="宋体" w:hAnsi="宋体" w:hint="eastAsia"/>
          <w:szCs w:val="21"/>
        </w:rPr>
        <w:t>、职责</w:t>
      </w:r>
    </w:p>
    <w:p w14:paraId="1CC54C9B" w14:textId="77777777" w:rsidR="00810426" w:rsidRDefault="00B424E5">
      <w:pPr>
        <w:spacing w:line="360" w:lineRule="auto"/>
        <w:ind w:firstLineChars="202" w:firstLine="424"/>
        <w:rPr>
          <w:rFonts w:ascii="宋体" w:hAnsi="宋体" w:cs="Arial"/>
          <w:szCs w:val="21"/>
        </w:rPr>
      </w:pPr>
      <w:r>
        <w:rPr>
          <w:rFonts w:ascii="宋体" w:hAnsi="宋体"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中应由基金托管人复核的事项进行复核，基金托管人复核无误后，由基金管理人予以公布。</w:t>
      </w:r>
    </w:p>
    <w:p w14:paraId="5818A595" w14:textId="77777777" w:rsidR="00810426" w:rsidRDefault="00B424E5">
      <w:pPr>
        <w:spacing w:line="360" w:lineRule="auto"/>
        <w:ind w:firstLineChars="202" w:firstLine="424"/>
        <w:rPr>
          <w:rFonts w:ascii="宋体" w:hAnsi="宋体" w:cs="Arial"/>
          <w:szCs w:val="21"/>
        </w:rPr>
      </w:pPr>
      <w:r>
        <w:rPr>
          <w:rFonts w:ascii="宋体" w:hAnsi="宋体" w:cs="Arial" w:hint="eastAsia"/>
          <w:szCs w:val="21"/>
        </w:rPr>
        <w:t>对于不需要基金托管人（或基金管理人）复核的信息，基金管理人（或基金托管人）在公告前应告知基金托管人（或基金管理人）。</w:t>
      </w:r>
    </w:p>
    <w:p w14:paraId="449525B6" w14:textId="77777777" w:rsidR="00810426" w:rsidRDefault="00B424E5">
      <w:pPr>
        <w:spacing w:line="360" w:lineRule="auto"/>
        <w:ind w:firstLineChars="202" w:firstLine="424"/>
        <w:rPr>
          <w:rFonts w:ascii="宋体" w:hAnsi="宋体" w:cs="Arial"/>
          <w:szCs w:val="21"/>
        </w:rPr>
      </w:pPr>
      <w:r>
        <w:rPr>
          <w:rFonts w:ascii="宋体" w:hAnsi="宋体" w:cs="Arial" w:hint="eastAsia"/>
          <w:szCs w:val="21"/>
        </w:rPr>
        <w:lastRenderedPageBreak/>
        <w:t>基金管理人和基金托管人应积极配合、互相监督，保证其履行按照法定方式和限时披露的义务。</w:t>
      </w:r>
    </w:p>
    <w:p w14:paraId="28D49621" w14:textId="77777777" w:rsidR="00810426" w:rsidRDefault="00B424E5">
      <w:pPr>
        <w:spacing w:line="360" w:lineRule="auto"/>
        <w:ind w:firstLineChars="202" w:firstLine="424"/>
        <w:rPr>
          <w:rFonts w:ascii="宋体" w:hAnsi="宋体" w:cs="Arial"/>
          <w:szCs w:val="21"/>
        </w:rPr>
      </w:pPr>
      <w:r>
        <w:rPr>
          <w:rFonts w:ascii="宋体" w:hAnsi="宋体" w:cs="Arial" w:hint="eastAsia"/>
          <w:szCs w:val="21"/>
        </w:rPr>
        <w:t>基金管理人应当在中国证监会规定的时间内，将应予披露的基金信息通过中国证监会规定媒介披露。根据法律法规应由基金托管人公开披露的信息，基金托管人将通过规定媒介公开披露。</w:t>
      </w:r>
    </w:p>
    <w:p w14:paraId="603FD004" w14:textId="77777777" w:rsidR="00810426" w:rsidRDefault="00B424E5">
      <w:pPr>
        <w:spacing w:line="360" w:lineRule="auto"/>
        <w:ind w:firstLineChars="202" w:firstLine="424"/>
        <w:rPr>
          <w:rFonts w:ascii="宋体" w:hAnsi="宋体"/>
        </w:rPr>
      </w:pPr>
      <w:r>
        <w:rPr>
          <w:rFonts w:ascii="宋体" w:hAnsi="宋体" w:cs="Arial" w:hint="eastAsia"/>
          <w:szCs w:val="21"/>
        </w:rPr>
        <w:t>当出现下述情况时，基金管理人和基金托管人可暂停或延迟披露基金相关信息：</w:t>
      </w:r>
      <w:r>
        <w:rPr>
          <w:rFonts w:ascii="宋体" w:hAnsi="宋体" w:cs="Arial"/>
          <w:szCs w:val="21"/>
        </w:rPr>
        <w:cr/>
      </w:r>
      <w:r>
        <w:rPr>
          <w:rFonts w:ascii="宋体" w:hAnsi="宋体" w:cs="Arial" w:hint="eastAsia"/>
          <w:szCs w:val="21"/>
        </w:rPr>
        <w:t>（1）因</w:t>
      </w:r>
      <w:r>
        <w:rPr>
          <w:rFonts w:ascii="宋体" w:hAnsi="宋体" w:hint="eastAsia"/>
        </w:rPr>
        <w:t>不可抗力</w:t>
      </w:r>
      <w:r>
        <w:rPr>
          <w:rFonts w:ascii="宋体" w:hAnsi="宋体" w:cs="Arial" w:hint="eastAsia"/>
          <w:szCs w:val="21"/>
        </w:rPr>
        <w:t>致使基金管理人、基金托管人无法准确评估基金资产价值时；</w:t>
      </w:r>
    </w:p>
    <w:p w14:paraId="0B1C1521"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（2）基金投资所涉及的证券、期货交易市场遇法定节假日或因其他原因暂停营业时；</w:t>
      </w:r>
    </w:p>
    <w:p w14:paraId="4F634723"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（3）占基金相当比例的投资品种的估值出现重大转变，而基金管理人为保障投资人的利益，决定延迟估值；</w:t>
      </w:r>
    </w:p>
    <w:p w14:paraId="2EACF3BD" w14:textId="77777777" w:rsidR="00810426" w:rsidRDefault="00B424E5">
      <w:pPr>
        <w:adjustRightInd w:val="0"/>
        <w:snapToGrid w:val="0"/>
        <w:spacing w:line="360" w:lineRule="auto"/>
        <w:ind w:firstLineChars="200" w:firstLine="420"/>
        <w:rPr>
          <w:rFonts w:hAnsi="宋体" w:cs="Arial"/>
          <w:szCs w:val="21"/>
        </w:rPr>
      </w:pPr>
      <w:r>
        <w:rPr>
          <w:rFonts w:ascii="宋体" w:hAnsi="宋体" w:cs="Arial" w:hint="eastAsia"/>
          <w:szCs w:val="21"/>
        </w:rPr>
        <w:t>（4）</w:t>
      </w:r>
      <w:r>
        <w:rPr>
          <w:rFonts w:hAnsi="宋体" w:cs="Arial" w:hint="eastAsia"/>
          <w:szCs w:val="21"/>
        </w:rPr>
        <w:t>出现基金管理人认为属于会导致基金管理人不能出售或评估基金资产的紧急事故的任何情况；</w:t>
      </w:r>
    </w:p>
    <w:p w14:paraId="3C0F7453" w14:textId="77777777" w:rsidR="00810426" w:rsidRDefault="00B424E5">
      <w:pPr>
        <w:adjustRightInd w:val="0"/>
        <w:snapToGrid w:val="0"/>
        <w:spacing w:line="360" w:lineRule="auto"/>
        <w:ind w:firstLineChars="200" w:firstLine="420"/>
        <w:rPr>
          <w:rFonts w:ascii="宋体" w:hAnsi="宋体"/>
        </w:rPr>
      </w:pPr>
      <w:r>
        <w:rPr>
          <w:rFonts w:hAnsi="宋体" w:cs="Arial" w:hint="eastAsia"/>
          <w:szCs w:val="21"/>
        </w:rPr>
        <w:t>（</w:t>
      </w:r>
      <w:r>
        <w:rPr>
          <w:rFonts w:hAnsi="宋体" w:cs="Arial" w:hint="eastAsia"/>
          <w:szCs w:val="21"/>
        </w:rPr>
        <w:t>5</w:t>
      </w:r>
      <w:r>
        <w:rPr>
          <w:rFonts w:hAnsi="宋体" w:hint="eastAsia"/>
        </w:rPr>
        <w:t>）</w:t>
      </w:r>
      <w:r>
        <w:rPr>
          <w:rFonts w:ascii="宋体" w:hAnsi="宋体" w:hint="eastAsia"/>
        </w:rPr>
        <w:t>法律法规、基金合同或中国证监会规定的情况。</w:t>
      </w:r>
    </w:p>
    <w:p w14:paraId="37EE65C0" w14:textId="77777777" w:rsidR="00810426" w:rsidRDefault="00B424E5">
      <w:pPr>
        <w:adjustRightInd w:val="0"/>
        <w:snapToGrid w:val="0"/>
        <w:spacing w:line="360" w:lineRule="auto"/>
        <w:ind w:firstLineChars="200" w:firstLine="420"/>
        <w:rPr>
          <w:rFonts w:ascii="宋体" w:hAnsi="宋体"/>
        </w:rPr>
      </w:pPr>
      <w:r>
        <w:rPr>
          <w:rFonts w:ascii="宋体" w:hAnsi="宋体" w:hint="eastAsia"/>
        </w:rPr>
        <w:t>2、程序</w:t>
      </w:r>
    </w:p>
    <w:p w14:paraId="4FC2492C" w14:textId="77777777" w:rsidR="00810426" w:rsidRDefault="00B424E5">
      <w:pPr>
        <w:adjustRightInd w:val="0"/>
        <w:snapToGrid w:val="0"/>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按有关规定须经基金托管人复核的信息披露文件，由基金管理人起草、并经基金托管人复核后由基金管理人公告。发生基金合同中规定需要披露的事项时，按基金合同规定公布。</w:t>
      </w:r>
    </w:p>
    <w:p w14:paraId="6B7DEF54" w14:textId="77777777" w:rsidR="00810426" w:rsidRDefault="00B424E5">
      <w:pPr>
        <w:spacing w:line="360" w:lineRule="auto"/>
        <w:ind w:firstLineChars="200" w:firstLine="420"/>
        <w:rPr>
          <w:rFonts w:ascii="宋体"/>
        </w:rPr>
      </w:pPr>
      <w:r>
        <w:rPr>
          <w:rFonts w:ascii="宋体" w:hAnsi="宋体" w:hint="eastAsia"/>
          <w:szCs w:val="21"/>
        </w:rPr>
        <w:t>3、信息文本的存放</w:t>
      </w:r>
    </w:p>
    <w:p w14:paraId="59535B41" w14:textId="77777777" w:rsidR="00810426" w:rsidRDefault="00B424E5">
      <w:pPr>
        <w:spacing w:line="360" w:lineRule="auto"/>
        <w:ind w:firstLineChars="200" w:firstLine="420"/>
        <w:rPr>
          <w:rFonts w:ascii="宋体" w:hAnsi="宋体" w:cs="Arial"/>
          <w:szCs w:val="21"/>
        </w:rPr>
      </w:pPr>
      <w:r>
        <w:rPr>
          <w:rFonts w:ascii="宋体" w:hAnsi="宋体" w:cs="Arial" w:hint="eastAsia"/>
          <w:szCs w:val="21"/>
        </w:rPr>
        <w:t>依法必须披露的信息发布后，基金管理人、基金托管人应当按照相关法律法规规定将信息置备于各自住所，以供社会公众查阅、复制。在支付工本费后可在合理时间获得上述文件的复制件或复印件。基金管理人和基金托管人应保证文本的内容与所公告的内容完全一致。</w:t>
      </w:r>
    </w:p>
    <w:p w14:paraId="6DE0C29F" w14:textId="77777777" w:rsidR="00810426" w:rsidRDefault="00B424E5">
      <w:pPr>
        <w:spacing w:line="360" w:lineRule="auto"/>
        <w:ind w:firstLineChars="200" w:firstLine="420"/>
        <w:rPr>
          <w:rFonts w:ascii="宋体"/>
        </w:rPr>
      </w:pPr>
      <w:r>
        <w:rPr>
          <w:rFonts w:ascii="宋体" w:hint="eastAsia"/>
        </w:rPr>
        <w:t>（四）实施侧袋机制期间的信息披露</w:t>
      </w:r>
    </w:p>
    <w:p w14:paraId="6297512F" w14:textId="77777777" w:rsidR="00810426" w:rsidRDefault="00B424E5">
      <w:pPr>
        <w:spacing w:line="360" w:lineRule="auto"/>
        <w:ind w:firstLineChars="200" w:firstLine="420"/>
        <w:rPr>
          <w:rFonts w:ascii="宋体"/>
        </w:rPr>
      </w:pPr>
      <w:r>
        <w:rPr>
          <w:rFonts w:ascii="宋体" w:hint="eastAsia"/>
        </w:rPr>
        <w:t>本基金实施侧袋机制的，相关信息披露义务人应当根据法律法规、基金合同和招募说明书的规定进行信息披露，详见招募说明书的规定。</w:t>
      </w:r>
    </w:p>
    <w:p w14:paraId="3FBB2584" w14:textId="77777777" w:rsidR="00810426" w:rsidRDefault="00810426">
      <w:pPr>
        <w:spacing w:line="360" w:lineRule="auto"/>
        <w:ind w:firstLineChars="200" w:firstLine="420"/>
        <w:rPr>
          <w:rFonts w:ascii="宋体"/>
        </w:rPr>
        <w:sectPr w:rsidR="00810426">
          <w:pgSz w:w="11906" w:h="16838"/>
          <w:pgMar w:top="1418" w:right="1701" w:bottom="1418" w:left="1701" w:header="851" w:footer="992" w:gutter="0"/>
          <w:cols w:space="720"/>
          <w:docGrid w:type="lines" w:linePitch="312"/>
        </w:sectPr>
      </w:pPr>
    </w:p>
    <w:p w14:paraId="7752A7D8" w14:textId="77777777" w:rsidR="00810426" w:rsidRDefault="00B424E5">
      <w:pPr>
        <w:pStyle w:val="2"/>
        <w:jc w:val="center"/>
        <w:rPr>
          <w:rFonts w:eastAsia="宋体"/>
          <w:sz w:val="30"/>
        </w:rPr>
      </w:pPr>
      <w:bookmarkStart w:id="94" w:name="_Toc214361120"/>
      <w:r>
        <w:rPr>
          <w:rFonts w:eastAsia="宋体" w:hint="eastAsia"/>
          <w:sz w:val="30"/>
        </w:rPr>
        <w:lastRenderedPageBreak/>
        <w:t>十一、基金费用</w:t>
      </w:r>
      <w:bookmarkEnd w:id="94"/>
    </w:p>
    <w:p w14:paraId="043623B4" w14:textId="77777777" w:rsidR="00810426" w:rsidRDefault="00B424E5">
      <w:pPr>
        <w:adjustRightInd w:val="0"/>
        <w:snapToGrid w:val="0"/>
        <w:spacing w:line="360" w:lineRule="auto"/>
        <w:ind w:firstLineChars="200" w:firstLine="420"/>
        <w:rPr>
          <w:rFonts w:ascii="宋体" w:hAnsi="宋体"/>
          <w:szCs w:val="21"/>
        </w:rPr>
      </w:pPr>
      <w:r>
        <w:rPr>
          <w:rFonts w:hint="eastAsia"/>
          <w:szCs w:val="21"/>
        </w:rPr>
        <w:t>（</w:t>
      </w:r>
      <w:r>
        <w:rPr>
          <w:szCs w:val="21"/>
        </w:rPr>
        <w:t>一）</w:t>
      </w:r>
      <w:r>
        <w:rPr>
          <w:rFonts w:ascii="宋体" w:hAnsi="宋体" w:hint="eastAsia"/>
          <w:szCs w:val="21"/>
        </w:rPr>
        <w:t>基金托管费的计提方法、计提标准和支付方式如下：</w:t>
      </w:r>
    </w:p>
    <w:p w14:paraId="2C045242" w14:textId="77777777" w:rsidR="00810426" w:rsidRDefault="00B424E5">
      <w:pPr>
        <w:spacing w:line="360" w:lineRule="auto"/>
        <w:ind w:firstLineChars="200" w:firstLine="420"/>
        <w:rPr>
          <w:rFonts w:ascii="宋体"/>
        </w:rPr>
      </w:pPr>
      <w:r>
        <w:rPr>
          <w:rFonts w:ascii="宋体" w:hint="eastAsia"/>
        </w:rPr>
        <w:t>本基金的托管费按前一日基金资产净值的</w:t>
      </w:r>
      <w:r>
        <w:rPr>
          <w:rFonts w:ascii="宋体"/>
        </w:rPr>
        <w:t>0.20%年费率计提。托管费的计算方法如下：</w:t>
      </w:r>
    </w:p>
    <w:p w14:paraId="3CD48BB6" w14:textId="77777777" w:rsidR="00810426" w:rsidRDefault="00B424E5">
      <w:pPr>
        <w:spacing w:line="360" w:lineRule="auto"/>
        <w:ind w:firstLineChars="200" w:firstLine="420"/>
        <w:rPr>
          <w:rFonts w:ascii="宋体"/>
        </w:rPr>
      </w:pPr>
      <w:r>
        <w:rPr>
          <w:rFonts w:ascii="宋体"/>
        </w:rPr>
        <w:t>H＝E</w:t>
      </w:r>
      <w:r>
        <w:rPr>
          <w:rFonts w:ascii="宋体"/>
        </w:rPr>
        <w:t>×</w:t>
      </w:r>
      <w:r>
        <w:rPr>
          <w:rFonts w:ascii="宋体"/>
        </w:rPr>
        <w:t>0.20%</w:t>
      </w:r>
      <w:r>
        <w:rPr>
          <w:rFonts w:ascii="宋体"/>
        </w:rPr>
        <w:t>÷</w:t>
      </w:r>
      <w:r>
        <w:rPr>
          <w:rFonts w:ascii="宋体"/>
        </w:rPr>
        <w:t>当年天数</w:t>
      </w:r>
    </w:p>
    <w:p w14:paraId="4100A7DF" w14:textId="77777777" w:rsidR="00810426" w:rsidRDefault="00B424E5">
      <w:pPr>
        <w:spacing w:line="360" w:lineRule="auto"/>
        <w:ind w:firstLineChars="200" w:firstLine="420"/>
        <w:rPr>
          <w:rFonts w:ascii="宋体"/>
        </w:rPr>
      </w:pPr>
      <w:r>
        <w:rPr>
          <w:rFonts w:ascii="宋体"/>
        </w:rPr>
        <w:t>H为每日应计提的基金托管费</w:t>
      </w:r>
    </w:p>
    <w:p w14:paraId="5134FF49" w14:textId="77777777" w:rsidR="00810426" w:rsidRDefault="00B424E5">
      <w:pPr>
        <w:spacing w:line="360" w:lineRule="auto"/>
        <w:ind w:firstLineChars="200" w:firstLine="420"/>
        <w:rPr>
          <w:rFonts w:ascii="宋体"/>
        </w:rPr>
      </w:pPr>
      <w:r>
        <w:rPr>
          <w:rFonts w:ascii="宋体"/>
        </w:rPr>
        <w:t>E为前一日的基金资产净值</w:t>
      </w:r>
    </w:p>
    <w:p w14:paraId="7C3E5A70" w14:textId="77777777" w:rsidR="00810426" w:rsidRDefault="00B424E5">
      <w:pPr>
        <w:spacing w:line="360" w:lineRule="auto"/>
        <w:ind w:firstLineChars="200" w:firstLine="420"/>
        <w:rPr>
          <w:rFonts w:ascii="宋体"/>
        </w:rPr>
      </w:pPr>
      <w:r>
        <w:rPr>
          <w:rFonts w:ascii="宋体" w:hint="eastAsia"/>
        </w:rPr>
        <w:t>基金托管费每日计算，逐日累计至每月月末，按月支付，由基金管理人与基金托管人核对一致后，基金托管人按照与基金管理人协商一致的方式于次月首日起</w:t>
      </w:r>
      <w:r>
        <w:rPr>
          <w:rFonts w:ascii="宋体"/>
        </w:rPr>
        <w:t xml:space="preserve">5个工作日内从基金财产中一次性支付给基金托管人。若遇法定节假日、休息日等，支付日期顺延。费用扣划后，基金管理人应进行核对，如发现数据不符，及时联系基金托管人协商解决。 </w:t>
      </w:r>
      <w:bookmarkStart w:id="95" w:name="CTS_608c7338e08f4004a54213593452c4e8"/>
      <w:bookmarkEnd w:id="95"/>
    </w:p>
    <w:p w14:paraId="7F20848D" w14:textId="77777777" w:rsidR="00810426" w:rsidRDefault="00810426">
      <w:pPr>
        <w:adjustRightInd w:val="0"/>
        <w:snapToGrid w:val="0"/>
        <w:spacing w:line="360" w:lineRule="auto"/>
        <w:ind w:firstLineChars="200" w:firstLine="420"/>
        <w:rPr>
          <w:szCs w:val="21"/>
        </w:rPr>
      </w:pPr>
    </w:p>
    <w:p w14:paraId="1D8A1DD2" w14:textId="77777777" w:rsidR="00810426" w:rsidRDefault="00B424E5">
      <w:pPr>
        <w:adjustRightInd w:val="0"/>
        <w:snapToGrid w:val="0"/>
        <w:spacing w:line="360" w:lineRule="auto"/>
        <w:ind w:firstLineChars="200" w:firstLine="420"/>
        <w:rPr>
          <w:rFonts w:ascii="宋体" w:hAnsi="宋体" w:cs="Arial"/>
          <w:szCs w:val="21"/>
        </w:rPr>
      </w:pPr>
      <w:r>
        <w:rPr>
          <w:rFonts w:hint="eastAsia"/>
          <w:szCs w:val="21"/>
        </w:rPr>
        <w:t>（</w:t>
      </w:r>
      <w:r>
        <w:rPr>
          <w:szCs w:val="21"/>
        </w:rPr>
        <w:t>二）</w:t>
      </w:r>
      <w:r>
        <w:rPr>
          <w:rFonts w:hint="eastAsia"/>
          <w:szCs w:val="21"/>
        </w:rPr>
        <w:t>基</w:t>
      </w:r>
      <w:r>
        <w:rPr>
          <w:rFonts w:hAnsi="宋体" w:hint="eastAsia"/>
          <w:szCs w:val="21"/>
        </w:rPr>
        <w:t>金其他费用按照《基金合同》的约定计提和支付</w:t>
      </w:r>
      <w:r>
        <w:rPr>
          <w:rFonts w:ascii="宋体" w:hAnsi="宋体" w:hint="eastAsia"/>
          <w:color w:val="000000"/>
          <w:szCs w:val="21"/>
        </w:rPr>
        <w:t>。</w:t>
      </w:r>
    </w:p>
    <w:p w14:paraId="56A6B9DC" w14:textId="77777777" w:rsidR="00810426" w:rsidRDefault="00810426">
      <w:pPr>
        <w:spacing w:line="360" w:lineRule="auto"/>
        <w:ind w:firstLineChars="200" w:firstLine="420"/>
        <w:rPr>
          <w:rFonts w:ascii="宋体"/>
        </w:rPr>
      </w:pPr>
    </w:p>
    <w:p w14:paraId="3773C032" w14:textId="77777777" w:rsidR="00810426" w:rsidRDefault="00810426">
      <w:pPr>
        <w:adjustRightInd w:val="0"/>
        <w:snapToGrid w:val="0"/>
        <w:rPr>
          <w:rFonts w:ascii="仿宋_GB2312" w:eastAsia="仿宋_GB2312" w:hAnsi="宋体" w:cs="Arial"/>
          <w:sz w:val="24"/>
        </w:rPr>
        <w:sectPr w:rsidR="00810426">
          <w:pgSz w:w="11906" w:h="16838"/>
          <w:pgMar w:top="1418" w:right="1701" w:bottom="1418" w:left="1701" w:header="851" w:footer="992" w:gutter="0"/>
          <w:cols w:space="720"/>
          <w:docGrid w:type="lines" w:linePitch="312"/>
        </w:sectPr>
      </w:pPr>
    </w:p>
    <w:p w14:paraId="6F1D4F54" w14:textId="77777777" w:rsidR="00810426" w:rsidRDefault="00B424E5">
      <w:pPr>
        <w:pStyle w:val="2"/>
        <w:jc w:val="center"/>
        <w:rPr>
          <w:rFonts w:eastAsia="宋体"/>
          <w:sz w:val="30"/>
        </w:rPr>
      </w:pPr>
      <w:bookmarkStart w:id="96" w:name="_Toc214361121"/>
      <w:r>
        <w:rPr>
          <w:rFonts w:eastAsia="宋体" w:hint="eastAsia"/>
          <w:sz w:val="30"/>
        </w:rPr>
        <w:lastRenderedPageBreak/>
        <w:t>十二、基金份额持有人名册的保管</w:t>
      </w:r>
      <w:bookmarkEnd w:id="96"/>
    </w:p>
    <w:p w14:paraId="0E61F3CF"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法律法规规定的最低期限。如不能妥善保管，则按相关法规承担责任。</w:t>
      </w:r>
    </w:p>
    <w:p w14:paraId="5ED30418" w14:textId="77777777" w:rsidR="00810426" w:rsidRDefault="00B424E5">
      <w:pPr>
        <w:adjustRightInd w:val="0"/>
        <w:snapToGrid w:val="0"/>
        <w:spacing w:line="360" w:lineRule="auto"/>
        <w:ind w:firstLineChars="200" w:firstLine="420"/>
        <w:rPr>
          <w:rFonts w:ascii="宋体" w:hAnsi="宋体" w:cs="Arial"/>
          <w:szCs w:val="21"/>
        </w:rPr>
      </w:pPr>
      <w:r>
        <w:rPr>
          <w:rFonts w:ascii="宋体" w:hAnsi="宋体" w:cs="Arial" w:hint="eastAsia"/>
          <w:szCs w:val="21"/>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6050F9E3" w14:textId="77777777" w:rsidR="00810426" w:rsidRDefault="00B424E5">
      <w:pPr>
        <w:spacing w:line="360" w:lineRule="auto"/>
        <w:ind w:firstLineChars="200" w:firstLine="420"/>
        <w:rPr>
          <w:rFonts w:ascii="宋体"/>
        </w:rPr>
      </w:pPr>
      <w:r>
        <w:rPr>
          <w:rFonts w:ascii="宋体" w:hAnsi="宋体" w:hint="eastAsia"/>
          <w:szCs w:val="21"/>
        </w:rPr>
        <w:t xml:space="preserve"> </w:t>
      </w:r>
    </w:p>
    <w:p w14:paraId="0E701461" w14:textId="77777777" w:rsidR="00810426" w:rsidRDefault="00810426">
      <w:pPr>
        <w:spacing w:line="360" w:lineRule="auto"/>
        <w:ind w:firstLineChars="200" w:firstLine="420"/>
        <w:rPr>
          <w:rFonts w:ascii="宋体"/>
        </w:rPr>
        <w:sectPr w:rsidR="00810426">
          <w:pgSz w:w="11906" w:h="16838"/>
          <w:pgMar w:top="1418" w:right="1701" w:bottom="1418" w:left="1701" w:header="851" w:footer="992" w:gutter="0"/>
          <w:cols w:space="720"/>
          <w:docGrid w:type="lines" w:linePitch="312"/>
        </w:sectPr>
      </w:pPr>
    </w:p>
    <w:p w14:paraId="2238DDF2" w14:textId="77777777" w:rsidR="00810426" w:rsidRDefault="00B424E5">
      <w:pPr>
        <w:pStyle w:val="2"/>
        <w:jc w:val="center"/>
        <w:rPr>
          <w:rFonts w:eastAsia="宋体"/>
          <w:sz w:val="30"/>
        </w:rPr>
      </w:pPr>
      <w:bookmarkStart w:id="97" w:name="_Toc214361122"/>
      <w:r>
        <w:rPr>
          <w:rFonts w:eastAsia="宋体" w:hint="eastAsia"/>
          <w:sz w:val="30"/>
        </w:rPr>
        <w:lastRenderedPageBreak/>
        <w:t>十三、基金有关文件档案的保存</w:t>
      </w:r>
      <w:bookmarkEnd w:id="97"/>
    </w:p>
    <w:p w14:paraId="7AA748B4" w14:textId="77777777" w:rsidR="00810426" w:rsidRDefault="00B424E5">
      <w:pPr>
        <w:spacing w:line="360" w:lineRule="auto"/>
        <w:ind w:firstLineChars="200" w:firstLine="420"/>
        <w:rPr>
          <w:rFonts w:ascii="宋体"/>
        </w:rPr>
      </w:pPr>
      <w:r>
        <w:rPr>
          <w:rFonts w:ascii="宋体" w:hAnsi="宋体" w:hint="eastAsia"/>
          <w:szCs w:val="21"/>
        </w:rPr>
        <w:t>（一）档案保存</w:t>
      </w:r>
    </w:p>
    <w:p w14:paraId="7E9D1FA4" w14:textId="77777777" w:rsidR="00810426" w:rsidRDefault="00B424E5">
      <w:pPr>
        <w:spacing w:line="360" w:lineRule="auto"/>
        <w:ind w:firstLineChars="200" w:firstLine="420"/>
        <w:rPr>
          <w:rFonts w:ascii="宋体" w:hAnsi="宋体"/>
          <w:szCs w:val="21"/>
        </w:rPr>
      </w:pPr>
      <w:r>
        <w:rPr>
          <w:rFonts w:ascii="宋体" w:hAnsi="宋体"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不低于法律法规规定的最低期限。</w:t>
      </w:r>
    </w:p>
    <w:p w14:paraId="16454402" w14:textId="77777777" w:rsidR="00810426" w:rsidRDefault="00B424E5">
      <w:pPr>
        <w:spacing w:line="360" w:lineRule="auto"/>
        <w:ind w:firstLineChars="200" w:firstLine="420"/>
        <w:rPr>
          <w:rFonts w:ascii="宋体"/>
        </w:rPr>
      </w:pPr>
      <w:r>
        <w:rPr>
          <w:rFonts w:ascii="宋体" w:hAnsi="宋体" w:hint="eastAsia"/>
          <w:szCs w:val="21"/>
        </w:rPr>
        <w:t>（二）合同档案的建立</w:t>
      </w:r>
    </w:p>
    <w:p w14:paraId="7A4EC821" w14:textId="77777777" w:rsidR="00810426" w:rsidRDefault="00B424E5">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、基金管理人签署重大合同文本后，应及时将合同文本正本送达基金托管人处。</w:t>
      </w:r>
    </w:p>
    <w:p w14:paraId="04A0749F" w14:textId="77777777" w:rsidR="00810426" w:rsidRDefault="00B424E5">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、基金管理人应及时将与本基金账务处理、资金划拨等有关的合同、协议传真基金托管人。</w:t>
      </w:r>
    </w:p>
    <w:p w14:paraId="1AA6B68E" w14:textId="77777777" w:rsidR="00810426" w:rsidRDefault="00B424E5">
      <w:pPr>
        <w:spacing w:line="360" w:lineRule="auto"/>
        <w:ind w:firstLineChars="200" w:firstLine="420"/>
        <w:rPr>
          <w:rFonts w:ascii="宋体"/>
        </w:rPr>
      </w:pPr>
      <w:r>
        <w:rPr>
          <w:rFonts w:ascii="宋体" w:hAnsi="宋体" w:hint="eastAsia"/>
          <w:szCs w:val="21"/>
        </w:rPr>
        <w:t>（三）变更与协助</w:t>
      </w:r>
    </w:p>
    <w:p w14:paraId="4E287E42" w14:textId="77777777" w:rsidR="00810426" w:rsidRDefault="00B424E5">
      <w:pPr>
        <w:spacing w:line="360" w:lineRule="auto"/>
        <w:ind w:firstLineChars="200" w:firstLine="420"/>
        <w:rPr>
          <w:rFonts w:ascii="宋体" w:hAnsi="宋体"/>
          <w:szCs w:val="21"/>
        </w:rPr>
      </w:pPr>
      <w:r>
        <w:rPr>
          <w:rFonts w:ascii="宋体" w:hAnsi="宋体" w:hint="eastAsia"/>
          <w:szCs w:val="21"/>
        </w:rPr>
        <w:t>若基金管理人/基金托管人发生变更，未变更的一方有义务协助变更后的接任人接收相应文件。</w:t>
      </w:r>
      <w:r>
        <w:rPr>
          <w:rFonts w:ascii="宋体" w:hAnsi="宋体"/>
          <w:szCs w:val="21"/>
        </w:rPr>
        <w:cr/>
      </w:r>
      <w:r>
        <w:rPr>
          <w:rFonts w:ascii="宋体" w:hAnsi="宋体" w:hint="eastAsia"/>
          <w:szCs w:val="21"/>
        </w:rPr>
        <w:t>（四）基金管理人和基金托管人应按各自职责完整保存原始凭证、记账凭证、基金账册、交易记录和重要合同等，承担保密义务并保存不低于法律法规规定的最低期限。</w:t>
      </w:r>
    </w:p>
    <w:p w14:paraId="184AAF38" w14:textId="77777777" w:rsidR="00810426" w:rsidRDefault="00810426">
      <w:pPr>
        <w:adjustRightInd w:val="0"/>
        <w:snapToGrid w:val="0"/>
        <w:ind w:firstLineChars="200" w:firstLine="480"/>
        <w:rPr>
          <w:rFonts w:ascii="仿宋_GB2312" w:eastAsia="仿宋_GB2312" w:hAnsi="宋体" w:cs="Arial"/>
          <w:sz w:val="24"/>
        </w:rPr>
      </w:pPr>
    </w:p>
    <w:p w14:paraId="2FE6BAB9" w14:textId="77777777" w:rsidR="00810426" w:rsidRDefault="00810426">
      <w:pPr>
        <w:adjustRightInd w:val="0"/>
        <w:snapToGrid w:val="0"/>
        <w:rPr>
          <w:rFonts w:eastAsia="方正仿宋简体"/>
          <w:sz w:val="30"/>
          <w:szCs w:val="30"/>
        </w:rPr>
        <w:sectPr w:rsidR="00810426">
          <w:pgSz w:w="11906" w:h="16838"/>
          <w:pgMar w:top="1418" w:right="1701" w:bottom="1418" w:left="1701" w:header="851" w:footer="992" w:gutter="0"/>
          <w:cols w:space="720"/>
          <w:docGrid w:type="lines" w:linePitch="312"/>
        </w:sectPr>
      </w:pPr>
    </w:p>
    <w:p w14:paraId="5D29BF87" w14:textId="77777777" w:rsidR="00810426" w:rsidRDefault="00B424E5">
      <w:pPr>
        <w:pStyle w:val="2"/>
        <w:jc w:val="center"/>
        <w:rPr>
          <w:rFonts w:eastAsia="宋体"/>
          <w:sz w:val="30"/>
        </w:rPr>
      </w:pPr>
      <w:bookmarkStart w:id="98" w:name="_Toc214361123"/>
      <w:r>
        <w:rPr>
          <w:rFonts w:eastAsia="宋体" w:hint="eastAsia"/>
          <w:sz w:val="30"/>
        </w:rPr>
        <w:lastRenderedPageBreak/>
        <w:t>十四、基金管理人和基金托管人的更换</w:t>
      </w:r>
      <w:bookmarkEnd w:id="98"/>
    </w:p>
    <w:p w14:paraId="06413FAC" w14:textId="77777777" w:rsidR="00810426" w:rsidRDefault="00B424E5">
      <w:pPr>
        <w:spacing w:line="360" w:lineRule="auto"/>
        <w:ind w:firstLineChars="200" w:firstLine="420"/>
        <w:rPr>
          <w:kern w:val="0"/>
          <w:szCs w:val="21"/>
        </w:rPr>
      </w:pPr>
      <w:r>
        <w:rPr>
          <w:rFonts w:hint="eastAsia"/>
          <w:kern w:val="0"/>
          <w:szCs w:val="21"/>
        </w:rPr>
        <w:t>（一）基金管理人的更换</w:t>
      </w:r>
    </w:p>
    <w:p w14:paraId="10346847" w14:textId="77777777" w:rsidR="00810426" w:rsidRDefault="00B424E5">
      <w:pPr>
        <w:spacing w:line="360" w:lineRule="auto"/>
        <w:ind w:firstLineChars="200" w:firstLine="420"/>
        <w:rPr>
          <w:kern w:val="0"/>
          <w:szCs w:val="21"/>
        </w:rPr>
      </w:pPr>
      <w:r>
        <w:rPr>
          <w:rFonts w:hint="eastAsia"/>
          <w:kern w:val="0"/>
          <w:szCs w:val="21"/>
        </w:rPr>
        <w:t>1</w:t>
      </w:r>
      <w:r>
        <w:rPr>
          <w:rFonts w:hint="eastAsia"/>
          <w:kern w:val="0"/>
          <w:szCs w:val="21"/>
        </w:rPr>
        <w:t>、基金管理人的更换条件</w:t>
      </w:r>
    </w:p>
    <w:p w14:paraId="45912783" w14:textId="77777777" w:rsidR="00810426" w:rsidRDefault="00B424E5">
      <w:pPr>
        <w:spacing w:line="360" w:lineRule="auto"/>
        <w:ind w:firstLineChars="200" w:firstLine="420"/>
        <w:rPr>
          <w:kern w:val="0"/>
          <w:szCs w:val="21"/>
        </w:rPr>
      </w:pPr>
      <w:r>
        <w:rPr>
          <w:rFonts w:hint="eastAsia"/>
          <w:kern w:val="0"/>
          <w:szCs w:val="21"/>
        </w:rPr>
        <w:t>有下列情形之一的，基金管理人职责终止：</w:t>
      </w:r>
    </w:p>
    <w:p w14:paraId="6CA59D83"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1</w:t>
      </w:r>
      <w:r>
        <w:rPr>
          <w:rFonts w:hint="eastAsia"/>
          <w:kern w:val="0"/>
          <w:szCs w:val="21"/>
        </w:rPr>
        <w:t>）被依法取消基金管理资格；</w:t>
      </w:r>
    </w:p>
    <w:p w14:paraId="28988B06"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2</w:t>
      </w:r>
      <w:r>
        <w:rPr>
          <w:rFonts w:hint="eastAsia"/>
          <w:kern w:val="0"/>
          <w:szCs w:val="21"/>
        </w:rPr>
        <w:t>）被基金份额持有人大会解任；</w:t>
      </w:r>
    </w:p>
    <w:p w14:paraId="7F1A3653"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3</w:t>
      </w:r>
      <w:r>
        <w:rPr>
          <w:rFonts w:hint="eastAsia"/>
          <w:kern w:val="0"/>
          <w:szCs w:val="21"/>
        </w:rPr>
        <w:t>）依法解散、被依法撤销或被依法宣告破产；</w:t>
      </w:r>
    </w:p>
    <w:p w14:paraId="2BA3037E"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4</w:t>
      </w:r>
      <w:r>
        <w:rPr>
          <w:rFonts w:hint="eastAsia"/>
          <w:kern w:val="0"/>
          <w:szCs w:val="21"/>
        </w:rPr>
        <w:t>）法律法规及中国证监会规定的和《基金合同》约定的其他情形。</w:t>
      </w:r>
    </w:p>
    <w:p w14:paraId="27C9BDA2" w14:textId="77777777" w:rsidR="00810426" w:rsidRDefault="00B424E5">
      <w:pPr>
        <w:spacing w:line="360" w:lineRule="auto"/>
        <w:ind w:firstLineChars="200" w:firstLine="420"/>
        <w:rPr>
          <w:kern w:val="0"/>
          <w:szCs w:val="21"/>
        </w:rPr>
      </w:pPr>
      <w:r>
        <w:rPr>
          <w:rFonts w:hint="eastAsia"/>
          <w:kern w:val="0"/>
          <w:szCs w:val="21"/>
        </w:rPr>
        <w:t>2</w:t>
      </w:r>
      <w:r>
        <w:rPr>
          <w:rFonts w:hint="eastAsia"/>
          <w:kern w:val="0"/>
          <w:szCs w:val="21"/>
        </w:rPr>
        <w:t>、基金管理人的更换程序</w:t>
      </w:r>
    </w:p>
    <w:p w14:paraId="017CC6EC" w14:textId="77777777" w:rsidR="00810426" w:rsidRDefault="00B424E5">
      <w:pPr>
        <w:spacing w:line="360" w:lineRule="auto"/>
        <w:ind w:firstLineChars="200" w:firstLine="420"/>
        <w:rPr>
          <w:kern w:val="0"/>
          <w:szCs w:val="21"/>
        </w:rPr>
      </w:pPr>
      <w:r>
        <w:rPr>
          <w:rFonts w:hint="eastAsia"/>
          <w:kern w:val="0"/>
          <w:szCs w:val="21"/>
        </w:rPr>
        <w:t>更换基金管理人必须依照如下程序进行：</w:t>
      </w:r>
    </w:p>
    <w:p w14:paraId="2AE801C2"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1</w:t>
      </w:r>
      <w:r>
        <w:rPr>
          <w:rFonts w:hint="eastAsia"/>
          <w:kern w:val="0"/>
          <w:szCs w:val="21"/>
        </w:rPr>
        <w:t>）提名：新任基金管理人由基金托管人或由单独或合计持有</w:t>
      </w:r>
      <w:r>
        <w:rPr>
          <w:rFonts w:hint="eastAsia"/>
          <w:kern w:val="0"/>
          <w:szCs w:val="21"/>
        </w:rPr>
        <w:t xml:space="preserve"> 10%</w:t>
      </w:r>
      <w:r>
        <w:rPr>
          <w:rFonts w:hint="eastAsia"/>
          <w:kern w:val="0"/>
          <w:szCs w:val="21"/>
        </w:rPr>
        <w:t>以上（含</w:t>
      </w:r>
      <w:r>
        <w:rPr>
          <w:rFonts w:hint="eastAsia"/>
          <w:kern w:val="0"/>
          <w:szCs w:val="21"/>
        </w:rPr>
        <w:t>10%</w:t>
      </w:r>
      <w:r>
        <w:rPr>
          <w:rFonts w:hint="eastAsia"/>
          <w:kern w:val="0"/>
          <w:szCs w:val="21"/>
        </w:rPr>
        <w:t>）基金份额的基金份额持有人提名；</w:t>
      </w:r>
    </w:p>
    <w:p w14:paraId="219847E5"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2</w:t>
      </w:r>
      <w:r>
        <w:rPr>
          <w:rFonts w:hint="eastAsia"/>
          <w:kern w:val="0"/>
          <w:szCs w:val="21"/>
        </w:rPr>
        <w:t>）决议：基金份额持有人大会在基金管理人职责终止后</w:t>
      </w:r>
      <w:r>
        <w:rPr>
          <w:rFonts w:hint="eastAsia"/>
          <w:kern w:val="0"/>
          <w:szCs w:val="21"/>
        </w:rPr>
        <w:t xml:space="preserve"> 6 </w:t>
      </w:r>
      <w:r>
        <w:rPr>
          <w:rFonts w:hint="eastAsia"/>
          <w:kern w:val="0"/>
          <w:szCs w:val="21"/>
        </w:rPr>
        <w:t>个月内对被提名的基金管理人形成决议，该决议需经参加大会的基金份额持有人所持表决权的三分之二以上（含三分之二）表决通过，决议自表决通过之日起生效；</w:t>
      </w:r>
    </w:p>
    <w:p w14:paraId="6A0AE80E"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3</w:t>
      </w:r>
      <w:r>
        <w:rPr>
          <w:rFonts w:hint="eastAsia"/>
          <w:kern w:val="0"/>
          <w:szCs w:val="21"/>
        </w:rPr>
        <w:t>）临时基金管理人：新任基金管理人产生之前，由中国证监会指定临时基金管理人；</w:t>
      </w:r>
    </w:p>
    <w:p w14:paraId="3F754AB3"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4</w:t>
      </w:r>
      <w:r>
        <w:rPr>
          <w:rFonts w:hint="eastAsia"/>
          <w:kern w:val="0"/>
          <w:szCs w:val="21"/>
        </w:rPr>
        <w:t>）备案：基金份额持有人大会更换基金管理人的决议须报中国证监会备案；</w:t>
      </w:r>
    </w:p>
    <w:p w14:paraId="11BF7C83"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5</w:t>
      </w:r>
      <w:r>
        <w:rPr>
          <w:rFonts w:hint="eastAsia"/>
          <w:kern w:val="0"/>
          <w:szCs w:val="21"/>
        </w:rPr>
        <w:t>）公告：基金管理人更换后，由基金托管人在更换基金管理人的基金份额持有人大会决议生效后</w:t>
      </w:r>
      <w:r>
        <w:rPr>
          <w:rFonts w:hint="eastAsia"/>
          <w:kern w:val="0"/>
          <w:szCs w:val="21"/>
        </w:rPr>
        <w:t xml:space="preserve"> 2 </w:t>
      </w:r>
      <w:r>
        <w:rPr>
          <w:rFonts w:hint="eastAsia"/>
          <w:kern w:val="0"/>
          <w:szCs w:val="21"/>
        </w:rPr>
        <w:t>日内在规定媒介公告；</w:t>
      </w:r>
    </w:p>
    <w:p w14:paraId="15F447F8" w14:textId="77777777" w:rsidR="00810426" w:rsidRDefault="00B424E5">
      <w:pPr>
        <w:spacing w:line="360" w:lineRule="auto"/>
        <w:ind w:firstLineChars="200" w:firstLine="420"/>
        <w:rPr>
          <w:rFonts w:ascii="宋体"/>
        </w:rPr>
      </w:pPr>
      <w:r>
        <w:rPr>
          <w:rFonts w:hint="eastAsia"/>
          <w:kern w:val="0"/>
          <w:szCs w:val="21"/>
        </w:rPr>
        <w:t>（</w:t>
      </w:r>
      <w:r>
        <w:rPr>
          <w:rFonts w:hint="eastAsia"/>
          <w:kern w:val="0"/>
          <w:szCs w:val="21"/>
        </w:rPr>
        <w:t>6</w:t>
      </w:r>
      <w:r>
        <w:rPr>
          <w:rFonts w:hint="eastAsia"/>
          <w:kern w:val="0"/>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5779B442" w14:textId="77777777" w:rsidR="00810426" w:rsidRDefault="00B424E5">
      <w:pPr>
        <w:spacing w:line="360" w:lineRule="auto"/>
        <w:ind w:firstLineChars="200" w:firstLine="420"/>
        <w:rPr>
          <w:rFonts w:ascii="宋体"/>
        </w:rPr>
      </w:pPr>
      <w:r>
        <w:rPr>
          <w:rFonts w:ascii="宋体" w:hint="eastAsia"/>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14:paraId="73052689" w14:textId="77777777" w:rsidR="00810426" w:rsidRDefault="00B424E5">
      <w:pPr>
        <w:spacing w:line="360" w:lineRule="auto"/>
        <w:ind w:firstLineChars="200" w:firstLine="420"/>
        <w:rPr>
          <w:rFonts w:ascii="宋体"/>
        </w:rPr>
      </w:pPr>
      <w:r>
        <w:rPr>
          <w:rFonts w:ascii="宋体" w:hint="eastAsia"/>
        </w:rPr>
        <w:t>（8）基金名称变更：基金管理人更换后，如果原任或新任基金管理人要求，应按其要求替换或删除基金名称中与原基金管理人有关的名称字样。</w:t>
      </w:r>
    </w:p>
    <w:p w14:paraId="27A43874" w14:textId="77777777" w:rsidR="00810426" w:rsidRDefault="00B424E5">
      <w:pPr>
        <w:spacing w:line="360" w:lineRule="auto"/>
        <w:ind w:firstLineChars="200" w:firstLine="420"/>
        <w:rPr>
          <w:rFonts w:ascii="宋体"/>
        </w:rPr>
      </w:pPr>
      <w:r>
        <w:rPr>
          <w:rFonts w:ascii="宋体" w:hint="eastAsia"/>
        </w:rPr>
        <w:t>（二）基金托管人的更换</w:t>
      </w:r>
    </w:p>
    <w:p w14:paraId="62167628" w14:textId="77777777" w:rsidR="00810426" w:rsidRDefault="00B424E5">
      <w:pPr>
        <w:spacing w:line="360" w:lineRule="auto"/>
        <w:ind w:firstLineChars="200" w:firstLine="420"/>
        <w:rPr>
          <w:rFonts w:ascii="宋体"/>
        </w:rPr>
      </w:pPr>
      <w:r>
        <w:rPr>
          <w:rFonts w:ascii="宋体" w:hint="eastAsia"/>
        </w:rPr>
        <w:lastRenderedPageBreak/>
        <w:t>1、基金托管人的更换条件</w:t>
      </w:r>
    </w:p>
    <w:p w14:paraId="12BFC955" w14:textId="77777777" w:rsidR="00810426" w:rsidRDefault="00B424E5">
      <w:pPr>
        <w:spacing w:line="360" w:lineRule="auto"/>
        <w:ind w:firstLineChars="200" w:firstLine="420"/>
        <w:rPr>
          <w:rFonts w:ascii="宋体"/>
        </w:rPr>
      </w:pPr>
      <w:r>
        <w:rPr>
          <w:rFonts w:ascii="宋体" w:hint="eastAsia"/>
        </w:rPr>
        <w:t>有下列情形之一的，基金托管人职责终止：</w:t>
      </w:r>
    </w:p>
    <w:p w14:paraId="629B6B76" w14:textId="77777777" w:rsidR="00810426" w:rsidRDefault="00B424E5">
      <w:pPr>
        <w:spacing w:line="360" w:lineRule="auto"/>
        <w:ind w:firstLineChars="200" w:firstLine="420"/>
        <w:rPr>
          <w:rFonts w:ascii="宋体"/>
        </w:rPr>
      </w:pPr>
      <w:r>
        <w:rPr>
          <w:rFonts w:ascii="宋体" w:hint="eastAsia"/>
        </w:rPr>
        <w:t>（1）被依法取消基金托管资格；</w:t>
      </w:r>
    </w:p>
    <w:p w14:paraId="7F7686CC" w14:textId="77777777" w:rsidR="00810426" w:rsidRDefault="00B424E5">
      <w:pPr>
        <w:spacing w:line="360" w:lineRule="auto"/>
        <w:ind w:firstLineChars="200" w:firstLine="420"/>
        <w:rPr>
          <w:rFonts w:ascii="宋体"/>
        </w:rPr>
      </w:pPr>
      <w:r>
        <w:rPr>
          <w:rFonts w:ascii="宋体" w:hint="eastAsia"/>
        </w:rPr>
        <w:t>（2）被基金份额持有人大会解任；</w:t>
      </w:r>
    </w:p>
    <w:p w14:paraId="011E46C2" w14:textId="77777777" w:rsidR="00810426" w:rsidRDefault="00B424E5">
      <w:pPr>
        <w:spacing w:line="360" w:lineRule="auto"/>
        <w:ind w:firstLineChars="200" w:firstLine="420"/>
        <w:rPr>
          <w:rFonts w:ascii="宋体"/>
        </w:rPr>
      </w:pPr>
      <w:r>
        <w:rPr>
          <w:rFonts w:ascii="宋体" w:hint="eastAsia"/>
        </w:rPr>
        <w:t>（3）依法解散、被依法撤销或被依法宣告破产；</w:t>
      </w:r>
    </w:p>
    <w:p w14:paraId="018D43B1" w14:textId="77777777" w:rsidR="00810426" w:rsidRDefault="00B424E5">
      <w:pPr>
        <w:spacing w:line="360" w:lineRule="auto"/>
        <w:ind w:firstLineChars="200" w:firstLine="420"/>
        <w:rPr>
          <w:rFonts w:ascii="宋体"/>
        </w:rPr>
      </w:pPr>
      <w:r>
        <w:rPr>
          <w:rFonts w:ascii="宋体" w:hint="eastAsia"/>
        </w:rPr>
        <w:t>（4）法律法规及中国证监会规定的和《基金合同》约定的其他情形。</w:t>
      </w:r>
    </w:p>
    <w:p w14:paraId="236A8E28" w14:textId="77777777" w:rsidR="00810426" w:rsidRDefault="00B424E5">
      <w:pPr>
        <w:spacing w:line="360" w:lineRule="auto"/>
        <w:ind w:firstLineChars="200" w:firstLine="420"/>
        <w:rPr>
          <w:rFonts w:ascii="宋体"/>
        </w:rPr>
      </w:pPr>
      <w:r>
        <w:rPr>
          <w:rFonts w:ascii="宋体" w:hint="eastAsia"/>
        </w:rPr>
        <w:t>2、基金托管人的更换程序</w:t>
      </w:r>
    </w:p>
    <w:p w14:paraId="49DC63FD" w14:textId="77777777" w:rsidR="00810426" w:rsidRDefault="00B424E5">
      <w:pPr>
        <w:spacing w:line="360" w:lineRule="auto"/>
        <w:ind w:firstLineChars="200" w:firstLine="420"/>
        <w:rPr>
          <w:rFonts w:ascii="宋体"/>
        </w:rPr>
      </w:pPr>
      <w:r>
        <w:rPr>
          <w:rFonts w:ascii="宋体" w:hint="eastAsia"/>
        </w:rPr>
        <w:t>（1）提名：新任基金托管人由基金管理人或由单独或合计持有 10%以上（含10%）基金份额的基金份额持有人提名；</w:t>
      </w:r>
    </w:p>
    <w:p w14:paraId="26F4CF18" w14:textId="77777777" w:rsidR="00810426" w:rsidRDefault="00B424E5">
      <w:pPr>
        <w:spacing w:line="360" w:lineRule="auto"/>
        <w:ind w:firstLineChars="200" w:firstLine="420"/>
        <w:rPr>
          <w:rFonts w:ascii="宋体"/>
        </w:rPr>
      </w:pPr>
      <w:r>
        <w:rPr>
          <w:rFonts w:ascii="宋体" w:hint="eastAsia"/>
        </w:rPr>
        <w:t>（2）决议：基金份额持有人大会在基金托管人职责终止后 6 个月内对被提名的基金托管人形成决议，该决议需经参加大会的基金份额持有人所持表决权的三分之二以上（含三分之二）表决通过，决议自表决通过之日起生效；</w:t>
      </w:r>
    </w:p>
    <w:p w14:paraId="18B9965A" w14:textId="77777777" w:rsidR="00810426" w:rsidRDefault="00B424E5">
      <w:pPr>
        <w:spacing w:line="360" w:lineRule="auto"/>
        <w:ind w:firstLineChars="200" w:firstLine="420"/>
        <w:rPr>
          <w:rFonts w:ascii="宋体"/>
        </w:rPr>
      </w:pPr>
      <w:r>
        <w:rPr>
          <w:rFonts w:ascii="宋体" w:hint="eastAsia"/>
        </w:rPr>
        <w:t>（3）临时基金托管人：新任基金托管人产生之前，由中国证监会指定临时基金托管人；</w:t>
      </w:r>
    </w:p>
    <w:p w14:paraId="22C9AAE0" w14:textId="77777777" w:rsidR="00810426" w:rsidRDefault="00B424E5">
      <w:pPr>
        <w:spacing w:line="360" w:lineRule="auto"/>
        <w:ind w:firstLineChars="200" w:firstLine="420"/>
        <w:rPr>
          <w:rFonts w:ascii="宋体"/>
        </w:rPr>
      </w:pPr>
      <w:r>
        <w:rPr>
          <w:rFonts w:ascii="宋体" w:hint="eastAsia"/>
        </w:rPr>
        <w:t>（4）备案：基金份额持有人大会更换基金托管人的决议须报中国证监会备案；</w:t>
      </w:r>
    </w:p>
    <w:p w14:paraId="2DAD2559" w14:textId="77777777" w:rsidR="00810426" w:rsidRDefault="00B424E5">
      <w:pPr>
        <w:spacing w:line="360" w:lineRule="auto"/>
        <w:ind w:firstLineChars="200" w:firstLine="420"/>
        <w:rPr>
          <w:rFonts w:ascii="宋体"/>
        </w:rPr>
      </w:pPr>
      <w:r>
        <w:rPr>
          <w:rFonts w:ascii="宋体" w:hint="eastAsia"/>
        </w:rPr>
        <w:t>（5）公告：基金托管人更换后，由基金管理人在更换基金托管人的基金份额持有人大会决议生效后2日内在规定媒介公告；</w:t>
      </w:r>
    </w:p>
    <w:p w14:paraId="667E963B" w14:textId="77777777" w:rsidR="00810426" w:rsidRDefault="00B424E5">
      <w:pPr>
        <w:spacing w:line="360" w:lineRule="auto"/>
        <w:ind w:firstLineChars="200" w:firstLine="420"/>
        <w:rPr>
          <w:rFonts w:ascii="宋体"/>
        </w:rPr>
      </w:pPr>
      <w:r>
        <w:rPr>
          <w:rFonts w:ascii="宋体" w:hint="eastAsia"/>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2156398A" w14:textId="77777777" w:rsidR="00810426" w:rsidRDefault="00B424E5">
      <w:pPr>
        <w:spacing w:line="360" w:lineRule="auto"/>
        <w:ind w:firstLineChars="200" w:firstLine="420"/>
        <w:rPr>
          <w:rFonts w:ascii="宋体"/>
        </w:rPr>
      </w:pPr>
      <w:r>
        <w:rPr>
          <w:rFonts w:ascii="宋体" w:hint="eastAsia"/>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03EA3063" w14:textId="77777777" w:rsidR="00810426" w:rsidRDefault="00B424E5">
      <w:pPr>
        <w:spacing w:line="360" w:lineRule="auto"/>
        <w:ind w:firstLineChars="200" w:firstLine="420"/>
        <w:rPr>
          <w:rFonts w:ascii="宋体"/>
        </w:rPr>
      </w:pPr>
      <w:r>
        <w:rPr>
          <w:rFonts w:ascii="宋体" w:hint="eastAsia"/>
        </w:rPr>
        <w:t>（三）基金管理人与基金托管人同时更换</w:t>
      </w:r>
    </w:p>
    <w:p w14:paraId="4A4F03DB" w14:textId="77777777" w:rsidR="00810426" w:rsidRDefault="00B424E5">
      <w:pPr>
        <w:spacing w:line="360" w:lineRule="auto"/>
        <w:ind w:firstLineChars="200" w:firstLine="420"/>
        <w:rPr>
          <w:rFonts w:ascii="宋体"/>
        </w:rPr>
      </w:pPr>
      <w:r>
        <w:rPr>
          <w:rFonts w:ascii="宋体" w:hint="eastAsia"/>
        </w:rPr>
        <w:t>1、提名：如果基金管理人和基金托管人同时更换，由单独或合计持有基金总份额 10%以上（含 10%）的基金份额持有人提名新的基金管理人和基金托管人；</w:t>
      </w:r>
    </w:p>
    <w:p w14:paraId="5453C3BF" w14:textId="77777777" w:rsidR="00810426" w:rsidRDefault="00B424E5">
      <w:pPr>
        <w:spacing w:line="360" w:lineRule="auto"/>
        <w:ind w:firstLineChars="200" w:firstLine="420"/>
        <w:rPr>
          <w:rFonts w:ascii="宋体"/>
        </w:rPr>
      </w:pPr>
      <w:r>
        <w:rPr>
          <w:rFonts w:ascii="宋体" w:hint="eastAsia"/>
        </w:rPr>
        <w:t>2、基金管理人和基金托管人的更换分别按上述程序进行；</w:t>
      </w:r>
    </w:p>
    <w:p w14:paraId="2C895266" w14:textId="77777777" w:rsidR="00810426" w:rsidRDefault="00B424E5">
      <w:pPr>
        <w:spacing w:line="360" w:lineRule="auto"/>
        <w:ind w:firstLineChars="200" w:firstLine="420"/>
        <w:rPr>
          <w:rFonts w:ascii="宋体"/>
        </w:rPr>
      </w:pPr>
      <w:r>
        <w:rPr>
          <w:rFonts w:ascii="宋体" w:hint="eastAsia"/>
        </w:rPr>
        <w:t>3、公告：新任基金管理人和新任基金托管人应在更换基金管理人和基金托管人的基金份额持有人大会决议生效后 2 日内在规定媒介上联合公告。</w:t>
      </w:r>
    </w:p>
    <w:p w14:paraId="2B2AEEFE" w14:textId="77777777" w:rsidR="00810426" w:rsidRDefault="00B424E5">
      <w:pPr>
        <w:spacing w:line="360" w:lineRule="auto"/>
        <w:ind w:firstLineChars="200" w:firstLine="420"/>
        <w:rPr>
          <w:rFonts w:ascii="宋体"/>
        </w:rPr>
      </w:pPr>
      <w:r>
        <w:rPr>
          <w:rFonts w:ascii="宋体" w:hint="eastAsia"/>
        </w:rPr>
        <w:t>（四）境外托管人的更换</w:t>
      </w:r>
    </w:p>
    <w:p w14:paraId="291F5B3E" w14:textId="77777777" w:rsidR="00810426" w:rsidRDefault="00B424E5">
      <w:pPr>
        <w:spacing w:line="360" w:lineRule="auto"/>
        <w:ind w:firstLineChars="200" w:firstLine="420"/>
        <w:rPr>
          <w:rFonts w:ascii="宋体"/>
        </w:rPr>
      </w:pPr>
      <w:r>
        <w:rPr>
          <w:rFonts w:ascii="宋体"/>
        </w:rPr>
        <w:t>1</w:t>
      </w:r>
      <w:r>
        <w:rPr>
          <w:rFonts w:ascii="宋体" w:hint="eastAsia"/>
        </w:rPr>
        <w:t>、如果基金托管人更换境外托管人，应在合理的期限内及时书面通知基金管理人。</w:t>
      </w:r>
    </w:p>
    <w:p w14:paraId="32FC329D" w14:textId="77777777" w:rsidR="00810426" w:rsidRDefault="00B424E5">
      <w:pPr>
        <w:spacing w:line="360" w:lineRule="auto"/>
        <w:ind w:firstLineChars="200" w:firstLine="420"/>
        <w:rPr>
          <w:rFonts w:ascii="宋体"/>
        </w:rPr>
      </w:pPr>
      <w:r>
        <w:rPr>
          <w:rFonts w:ascii="宋体"/>
        </w:rPr>
        <w:lastRenderedPageBreak/>
        <w:t>2</w:t>
      </w:r>
      <w:r>
        <w:rPr>
          <w:rFonts w:ascii="宋体" w:hint="eastAsia"/>
        </w:rPr>
        <w:t>、基金托管人和境外托管人根据更换境外托管人通知办理相应的业务交接手续，在办理相应的业务交接手续时，基金托管人和境外托管人应继续遵循诚实信用、勤勉尽责的原则，妥善保管基金财产。</w:t>
      </w:r>
    </w:p>
    <w:p w14:paraId="102E89C1" w14:textId="77777777" w:rsidR="00810426" w:rsidRDefault="00B424E5">
      <w:pPr>
        <w:spacing w:line="360" w:lineRule="auto"/>
        <w:ind w:firstLineChars="200" w:firstLine="420"/>
        <w:rPr>
          <w:rFonts w:ascii="宋体"/>
        </w:rPr>
      </w:pPr>
      <w:r>
        <w:rPr>
          <w:rFonts w:ascii="宋体"/>
        </w:rPr>
        <w:t>3</w:t>
      </w:r>
      <w:r>
        <w:rPr>
          <w:rFonts w:ascii="宋体" w:hint="eastAsia"/>
        </w:rPr>
        <w:t>、基金托管人应要求接任的境外托管人配合和原境外托管人办理业务交接手续。</w:t>
      </w:r>
    </w:p>
    <w:p w14:paraId="646766FC" w14:textId="77777777" w:rsidR="00810426" w:rsidRDefault="00B424E5">
      <w:pPr>
        <w:spacing w:line="360" w:lineRule="auto"/>
        <w:ind w:firstLineChars="200" w:firstLine="420"/>
        <w:rPr>
          <w:rFonts w:ascii="宋体"/>
        </w:rPr>
      </w:pPr>
      <w:r>
        <w:rPr>
          <w:rFonts w:ascii="宋体"/>
        </w:rPr>
        <w:t>4</w:t>
      </w:r>
      <w:r>
        <w:rPr>
          <w:rFonts w:ascii="宋体" w:hint="eastAsia"/>
        </w:rPr>
        <w:t>、在新的境外托管人履行职责前，原境外托管人应继续履行托管协议项下的托管职责，但基金托管人应支付相应的合理托管费用。</w:t>
      </w:r>
    </w:p>
    <w:p w14:paraId="6DE6C263" w14:textId="77777777" w:rsidR="00810426" w:rsidRDefault="00B424E5">
      <w:pPr>
        <w:spacing w:line="360" w:lineRule="auto"/>
        <w:ind w:firstLineChars="200" w:firstLine="420"/>
        <w:rPr>
          <w:rFonts w:ascii="宋体"/>
        </w:rPr>
      </w:pPr>
      <w:r>
        <w:rPr>
          <w:rFonts w:ascii="宋体"/>
        </w:rPr>
        <w:t>5</w:t>
      </w:r>
      <w:r>
        <w:rPr>
          <w:rFonts w:ascii="宋体" w:hint="eastAsia"/>
        </w:rPr>
        <w:t>、因基金托管人的原因更换境外托管人而进行的资产转移所产生的费用可由基金托管人承担。</w:t>
      </w:r>
    </w:p>
    <w:p w14:paraId="48BC3EEF" w14:textId="77777777" w:rsidR="00810426" w:rsidRDefault="00B424E5">
      <w:pPr>
        <w:spacing w:line="360" w:lineRule="auto"/>
        <w:ind w:firstLineChars="200" w:firstLine="420"/>
        <w:rPr>
          <w:rFonts w:ascii="宋体"/>
        </w:rPr>
      </w:pPr>
      <w:r>
        <w:rPr>
          <w:rFonts w:ascii="宋体"/>
        </w:rPr>
        <w:t>6</w:t>
      </w:r>
      <w:r>
        <w:rPr>
          <w:rFonts w:ascii="宋体" w:hint="eastAsia"/>
        </w:rPr>
        <w:t>、变更境外托管人后</w:t>
      </w:r>
      <w:r>
        <w:rPr>
          <w:rFonts w:ascii="宋体"/>
        </w:rPr>
        <w:t>5</w:t>
      </w:r>
      <w:r>
        <w:rPr>
          <w:rFonts w:ascii="宋体" w:hint="eastAsia"/>
        </w:rPr>
        <w:t>个工作日内应向中国证监会备案并依照《信息披露办法》的有关规定在规定媒介上公告。</w:t>
      </w:r>
    </w:p>
    <w:p w14:paraId="4E2F1D6D" w14:textId="77777777" w:rsidR="00810426" w:rsidRDefault="00B424E5">
      <w:pPr>
        <w:spacing w:line="360" w:lineRule="auto"/>
        <w:ind w:firstLineChars="200" w:firstLine="420"/>
        <w:rPr>
          <w:rFonts w:ascii="宋体"/>
        </w:rPr>
      </w:pPr>
      <w:r>
        <w:rPr>
          <w:rFonts w:ascii="宋体" w:hint="eastAsia"/>
        </w:rPr>
        <w:t>（五）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基金合同的规定收取基金管理费或基金托管费。</w:t>
      </w:r>
    </w:p>
    <w:p w14:paraId="5ED5F074" w14:textId="77777777" w:rsidR="00810426" w:rsidRDefault="00B424E5">
      <w:pPr>
        <w:spacing w:line="360" w:lineRule="auto"/>
        <w:ind w:firstLineChars="200" w:firstLine="420"/>
        <w:rPr>
          <w:rFonts w:ascii="宋体"/>
        </w:rPr>
        <w:sectPr w:rsidR="00810426">
          <w:pgSz w:w="11906" w:h="16838"/>
          <w:pgMar w:top="1418" w:right="1701" w:bottom="1418" w:left="1701" w:header="851" w:footer="992" w:gutter="0"/>
          <w:cols w:space="720"/>
          <w:docGrid w:type="lines" w:linePitch="312"/>
        </w:sectPr>
      </w:pPr>
      <w:r>
        <w:rPr>
          <w:rFonts w:ascii="宋体" w:hint="eastAsia"/>
        </w:rPr>
        <w:t>（六）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18353112" w14:textId="77777777" w:rsidR="00810426" w:rsidRDefault="00B424E5">
      <w:pPr>
        <w:pStyle w:val="2"/>
        <w:jc w:val="center"/>
        <w:rPr>
          <w:rFonts w:eastAsia="宋体"/>
          <w:sz w:val="30"/>
        </w:rPr>
      </w:pPr>
      <w:bookmarkStart w:id="99" w:name="_Toc214361124"/>
      <w:r>
        <w:rPr>
          <w:rFonts w:eastAsia="宋体" w:hint="eastAsia"/>
          <w:sz w:val="30"/>
        </w:rPr>
        <w:lastRenderedPageBreak/>
        <w:t>十五、禁止行为</w:t>
      </w:r>
      <w:bookmarkEnd w:id="99"/>
    </w:p>
    <w:p w14:paraId="1D98A591" w14:textId="77777777" w:rsidR="00810426" w:rsidRDefault="00B424E5">
      <w:pPr>
        <w:adjustRightInd w:val="0"/>
        <w:snapToGrid w:val="0"/>
        <w:spacing w:line="360" w:lineRule="auto"/>
        <w:ind w:firstLineChars="200" w:firstLine="420"/>
        <w:rPr>
          <w:rFonts w:ascii="宋体"/>
        </w:rPr>
      </w:pPr>
      <w:r>
        <w:rPr>
          <w:rFonts w:ascii="宋体" w:hint="eastAsia"/>
        </w:rPr>
        <w:t>本协议当事人禁止从事的行为，包括但不限于：</w:t>
      </w:r>
    </w:p>
    <w:p w14:paraId="04147975" w14:textId="77777777" w:rsidR="00810426" w:rsidRDefault="00B424E5">
      <w:pPr>
        <w:adjustRightInd w:val="0"/>
        <w:snapToGrid w:val="0"/>
        <w:spacing w:line="360" w:lineRule="auto"/>
        <w:ind w:firstLineChars="200" w:firstLine="420"/>
        <w:rPr>
          <w:rFonts w:ascii="宋体"/>
        </w:rPr>
      </w:pPr>
      <w:r>
        <w:rPr>
          <w:rFonts w:ascii="宋体" w:hint="eastAsia"/>
        </w:rPr>
        <w:t>（一）基金管理人、基金托管人将其固有财产或者他人财产混同于基金财产从事证券投资。</w:t>
      </w:r>
    </w:p>
    <w:p w14:paraId="20841F73" w14:textId="77777777" w:rsidR="00810426" w:rsidRDefault="00B424E5">
      <w:pPr>
        <w:adjustRightInd w:val="0"/>
        <w:snapToGrid w:val="0"/>
        <w:spacing w:line="360" w:lineRule="auto"/>
        <w:ind w:firstLineChars="200" w:firstLine="420"/>
        <w:rPr>
          <w:rFonts w:ascii="宋体"/>
        </w:rPr>
      </w:pPr>
      <w:r>
        <w:rPr>
          <w:rFonts w:ascii="宋体" w:hint="eastAsia"/>
        </w:rPr>
        <w:t>（二）基金管理人不公平地对待其管理的不同基金财产，基金托管人不公平地对待其托管的不同基金财产。</w:t>
      </w:r>
    </w:p>
    <w:p w14:paraId="07B73D1F" w14:textId="77777777" w:rsidR="00810426" w:rsidRDefault="00B424E5">
      <w:pPr>
        <w:adjustRightInd w:val="0"/>
        <w:snapToGrid w:val="0"/>
        <w:spacing w:line="360" w:lineRule="auto"/>
        <w:ind w:firstLineChars="200" w:firstLine="420"/>
        <w:rPr>
          <w:rFonts w:ascii="宋体"/>
        </w:rPr>
      </w:pPr>
      <w:r>
        <w:rPr>
          <w:rFonts w:ascii="宋体" w:hint="eastAsia"/>
        </w:rPr>
        <w:t>（三）基金管理人、基金托管人利用基金财产或职务之便为基金份额持有人以外的第三人牟取利益。</w:t>
      </w:r>
    </w:p>
    <w:p w14:paraId="1BB08689" w14:textId="77777777" w:rsidR="00810426" w:rsidRDefault="00B424E5">
      <w:pPr>
        <w:adjustRightInd w:val="0"/>
        <w:snapToGrid w:val="0"/>
        <w:spacing w:line="360" w:lineRule="auto"/>
        <w:ind w:firstLineChars="200" w:firstLine="420"/>
        <w:rPr>
          <w:rFonts w:ascii="宋体"/>
        </w:rPr>
      </w:pPr>
      <w:r>
        <w:rPr>
          <w:rFonts w:ascii="宋体" w:hint="eastAsia"/>
        </w:rPr>
        <w:t>（四）基金管理人、基金托管人向基金份额持有人违规承诺收益或者承担损失。</w:t>
      </w:r>
    </w:p>
    <w:p w14:paraId="5E25F90E" w14:textId="77777777" w:rsidR="00810426" w:rsidRDefault="00B424E5">
      <w:pPr>
        <w:adjustRightInd w:val="0"/>
        <w:snapToGrid w:val="0"/>
        <w:spacing w:line="360" w:lineRule="auto"/>
        <w:ind w:firstLineChars="200" w:firstLine="420"/>
        <w:rPr>
          <w:rFonts w:ascii="宋体"/>
        </w:rPr>
      </w:pPr>
      <w:r>
        <w:rPr>
          <w:rFonts w:ascii="宋体" w:hint="eastAsia"/>
        </w:rPr>
        <w:t>（五）基金管理人、基金托管人对他人泄露基金运作和管理过程中任何尚未按法律法规规定的方式公开披露的信息。</w:t>
      </w:r>
    </w:p>
    <w:p w14:paraId="71D06C45" w14:textId="77777777" w:rsidR="00810426" w:rsidRDefault="00B424E5">
      <w:pPr>
        <w:adjustRightInd w:val="0"/>
        <w:snapToGrid w:val="0"/>
        <w:spacing w:line="360" w:lineRule="auto"/>
        <w:ind w:firstLineChars="200" w:firstLine="420"/>
        <w:rPr>
          <w:rFonts w:ascii="宋体"/>
        </w:rPr>
      </w:pPr>
      <w:r>
        <w:rPr>
          <w:rFonts w:ascii="宋体" w:hint="eastAsia"/>
        </w:rPr>
        <w:t>（六）基金管理人在没有充足资金的情况下向基金托管人发出投资指令和赎回、分红资金的划拨指令，或违规向基金托管人发出指令。</w:t>
      </w:r>
    </w:p>
    <w:p w14:paraId="63D67944" w14:textId="77777777" w:rsidR="00810426" w:rsidRDefault="00B424E5">
      <w:pPr>
        <w:adjustRightInd w:val="0"/>
        <w:snapToGrid w:val="0"/>
        <w:spacing w:line="360" w:lineRule="auto"/>
        <w:ind w:firstLineChars="200" w:firstLine="420"/>
        <w:rPr>
          <w:rFonts w:ascii="宋体"/>
        </w:rPr>
      </w:pPr>
      <w:r>
        <w:rPr>
          <w:rFonts w:ascii="宋体" w:hint="eastAsia"/>
        </w:rPr>
        <w:t>（七）基金管理人、基金托管人在行政上、财务上不独立，其高级管理人员和其他从业人员相互兼职。</w:t>
      </w:r>
    </w:p>
    <w:p w14:paraId="35F71C9E" w14:textId="77777777" w:rsidR="00810426" w:rsidRDefault="00B424E5">
      <w:pPr>
        <w:adjustRightInd w:val="0"/>
        <w:snapToGrid w:val="0"/>
        <w:spacing w:line="360" w:lineRule="auto"/>
        <w:ind w:firstLineChars="200" w:firstLine="420"/>
        <w:rPr>
          <w:rFonts w:ascii="宋体"/>
        </w:rPr>
      </w:pPr>
      <w:r>
        <w:rPr>
          <w:rFonts w:ascii="宋体" w:hint="eastAsia"/>
        </w:rPr>
        <w:t>（八）基金托管人私自动用或处分基金财产，根据基金管理人的合法指令、基金合同或托管协议的规定进行处分的除外。</w:t>
      </w:r>
    </w:p>
    <w:p w14:paraId="641196FD" w14:textId="77777777" w:rsidR="00810426" w:rsidRDefault="00B424E5">
      <w:pPr>
        <w:adjustRightInd w:val="0"/>
        <w:snapToGrid w:val="0"/>
        <w:spacing w:line="360" w:lineRule="auto"/>
        <w:ind w:firstLineChars="200" w:firstLine="420"/>
        <w:rPr>
          <w:rFonts w:ascii="宋体"/>
        </w:rPr>
      </w:pPr>
      <w:r>
        <w:rPr>
          <w:rFonts w:ascii="宋体" w:hint="eastAsia"/>
        </w:rPr>
        <w:t>（九）基金财产用于下列投资或者活动：（1）承销证券；（2）违反规定向他人贷款或者提供担保；（3）从事承担无限责任的投资；（4）购买不动产；（5）购买房地产抵押按揭；（6）购买贵重金属或代表贵重金属的凭证；（7）购买实物商品；（8）除应付赎回、交易清算等临时用途以外，借入现金。临时用途借入现金的比例不得超过基金资产净值的10%；（9）利用融资购买证券，但投资金融衍生品除外；（10）参与未持有基础资产的卖空交易；（11）购买证券用于控制或影响发行该证券的机构或其管理层；（12）直接投资与实物商品相关的衍生品；（13）向其基金管理人、基金托管人出资；（14）从事内幕交易、操纵证券交易价格及其他不正当的证券交易活动；（15）依照法律法规有关规定，由中国证监会规定禁止的其他活动。</w:t>
      </w:r>
    </w:p>
    <w:p w14:paraId="11DA4D97" w14:textId="77777777" w:rsidR="00810426" w:rsidRDefault="00B424E5">
      <w:pPr>
        <w:adjustRightInd w:val="0"/>
        <w:snapToGrid w:val="0"/>
        <w:spacing w:line="360" w:lineRule="auto"/>
        <w:ind w:firstLineChars="200" w:firstLine="420"/>
        <w:rPr>
          <w:rFonts w:ascii="宋体"/>
        </w:rPr>
      </w:pPr>
      <w:r>
        <w:rPr>
          <w:rFonts w:ascii="宋体" w:hint="eastAsia"/>
        </w:rPr>
        <w:t>法律法规或监管部门取消上述组合限制、禁止行为规定或从事关联交易的条件和要求，在履行适当程序后本基金可不受相关限制。法律法规或监管部门对上述组合限制、禁止行为规定或从事关联交易的条件和要求进行变更的，本基金可以变更后的规定为准。</w:t>
      </w:r>
    </w:p>
    <w:p w14:paraId="7EDF5FFC" w14:textId="77777777" w:rsidR="00810426" w:rsidRDefault="00B424E5">
      <w:pPr>
        <w:adjustRightInd w:val="0"/>
        <w:snapToGrid w:val="0"/>
        <w:spacing w:line="360" w:lineRule="auto"/>
        <w:ind w:firstLineChars="200" w:firstLine="420"/>
        <w:rPr>
          <w:rFonts w:ascii="宋体"/>
        </w:rPr>
      </w:pPr>
      <w:r>
        <w:rPr>
          <w:rFonts w:ascii="宋体" w:hint="eastAsia"/>
        </w:rPr>
        <w:t>（十）法律法规和基金合同禁止的其他行为，以及法律、行政法规和中国证监会规定禁止基金管理人、基金托管人从事的其他行为。</w:t>
      </w:r>
    </w:p>
    <w:p w14:paraId="5A724759" w14:textId="77777777" w:rsidR="00810426" w:rsidRDefault="00B424E5">
      <w:pPr>
        <w:pStyle w:val="2"/>
        <w:jc w:val="center"/>
        <w:rPr>
          <w:rFonts w:eastAsia="宋体"/>
          <w:sz w:val="30"/>
        </w:rPr>
      </w:pPr>
      <w:r>
        <w:rPr>
          <w:rFonts w:ascii="宋体"/>
        </w:rPr>
        <w:br w:type="page"/>
      </w:r>
      <w:bookmarkStart w:id="100" w:name="_Toc214361125"/>
      <w:r>
        <w:rPr>
          <w:rFonts w:eastAsia="宋体" w:hint="eastAsia"/>
          <w:sz w:val="30"/>
        </w:rPr>
        <w:lastRenderedPageBreak/>
        <w:t>十六、托管协议的修改、终止与基金财产的清算</w:t>
      </w:r>
      <w:bookmarkEnd w:id="100"/>
    </w:p>
    <w:p w14:paraId="6D280476" w14:textId="77777777" w:rsidR="00810426" w:rsidRDefault="00B424E5">
      <w:pPr>
        <w:spacing w:line="360" w:lineRule="auto"/>
        <w:ind w:firstLineChars="200" w:firstLine="420"/>
      </w:pPr>
      <w:r>
        <w:rPr>
          <w:rFonts w:hint="eastAsia"/>
        </w:rPr>
        <w:t>（一）托管协议的修改程序</w:t>
      </w:r>
    </w:p>
    <w:p w14:paraId="3340089F" w14:textId="77777777" w:rsidR="00810426" w:rsidRDefault="00B424E5">
      <w:pPr>
        <w:spacing w:line="360" w:lineRule="auto"/>
        <w:ind w:firstLineChars="200" w:firstLine="420"/>
        <w:rPr>
          <w:rFonts w:ascii="宋体" w:hAnsi="宋体"/>
          <w:szCs w:val="21"/>
        </w:rPr>
      </w:pPr>
      <w:r>
        <w:rPr>
          <w:rFonts w:ascii="宋体" w:hAnsi="宋体" w:hint="eastAsia"/>
          <w:szCs w:val="21"/>
        </w:rPr>
        <w:t>本协议双方当事人经协商一致，可以对协议进行修改。修改后的新协议，其内容不得与基金合同的规定有任何冲突。</w:t>
      </w:r>
    </w:p>
    <w:p w14:paraId="3A978903" w14:textId="77777777" w:rsidR="00810426" w:rsidRDefault="00B424E5">
      <w:pPr>
        <w:spacing w:line="360" w:lineRule="auto"/>
        <w:ind w:firstLineChars="200" w:firstLine="420"/>
      </w:pPr>
      <w:r>
        <w:rPr>
          <w:rFonts w:hint="eastAsia"/>
        </w:rPr>
        <w:t>（二）基金托管协议终止的情形</w:t>
      </w:r>
    </w:p>
    <w:p w14:paraId="62701C58" w14:textId="77777777" w:rsidR="00810426" w:rsidRDefault="00B424E5">
      <w:pPr>
        <w:spacing w:line="360" w:lineRule="auto"/>
        <w:ind w:firstLineChars="200" w:firstLine="420"/>
        <w:rPr>
          <w:rFonts w:ascii="宋体" w:hAnsi="宋体"/>
          <w:szCs w:val="21"/>
        </w:rPr>
      </w:pPr>
      <w:bookmarkStart w:id="101" w:name="_Hlt133147570"/>
      <w:bookmarkStart w:id="102" w:name="_Hlt133151691"/>
      <w:bookmarkEnd w:id="101"/>
      <w:bookmarkEnd w:id="102"/>
      <w:r>
        <w:rPr>
          <w:rFonts w:ascii="宋体" w:hAnsi="宋体"/>
          <w:szCs w:val="21"/>
        </w:rPr>
        <w:t>1</w:t>
      </w:r>
      <w:r>
        <w:rPr>
          <w:rFonts w:ascii="宋体" w:hAnsi="宋体" w:hint="eastAsia"/>
          <w:szCs w:val="21"/>
        </w:rPr>
        <w:t>、基金合同终止；</w:t>
      </w:r>
    </w:p>
    <w:p w14:paraId="01FC3729" w14:textId="77777777" w:rsidR="00810426" w:rsidRDefault="00B424E5">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、基金托管人解散、依法被撤销、破产或由其他基金托管人接管基金托管业务；</w:t>
      </w:r>
    </w:p>
    <w:p w14:paraId="43DCD58B" w14:textId="77777777" w:rsidR="00810426" w:rsidRDefault="00B424E5">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、基金管理人解散、依法被撤销、破产或由其他基金管理人接管基金管理业务；</w:t>
      </w:r>
    </w:p>
    <w:p w14:paraId="62B17A64" w14:textId="77777777" w:rsidR="00810426" w:rsidRDefault="00B424E5">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、发生法律法规或基金合同规定的终止事项。</w:t>
      </w:r>
    </w:p>
    <w:p w14:paraId="4DB12A7D" w14:textId="77777777" w:rsidR="00810426" w:rsidRDefault="00B424E5">
      <w:pPr>
        <w:spacing w:line="360" w:lineRule="auto"/>
        <w:ind w:firstLineChars="200" w:firstLine="420"/>
      </w:pPr>
      <w:r>
        <w:rPr>
          <w:rFonts w:hint="eastAsia"/>
        </w:rPr>
        <w:t>（三）基金财产的清算</w:t>
      </w:r>
    </w:p>
    <w:p w14:paraId="20B7E749" w14:textId="77777777" w:rsidR="00810426" w:rsidRDefault="00B424E5">
      <w:pPr>
        <w:spacing w:line="360" w:lineRule="auto"/>
        <w:ind w:firstLineChars="200" w:firstLine="420"/>
        <w:rPr>
          <w:kern w:val="0"/>
          <w:szCs w:val="21"/>
        </w:rPr>
      </w:pPr>
      <w:r>
        <w:rPr>
          <w:rFonts w:hint="eastAsia"/>
          <w:kern w:val="0"/>
          <w:szCs w:val="21"/>
        </w:rPr>
        <w:t>1</w:t>
      </w:r>
      <w:r>
        <w:rPr>
          <w:rFonts w:hint="eastAsia"/>
          <w:kern w:val="0"/>
          <w:szCs w:val="21"/>
        </w:rPr>
        <w:t>、基金财产清算小组：自出现《基金合同》终止事由之日起</w:t>
      </w:r>
      <w:r>
        <w:rPr>
          <w:rFonts w:hint="eastAsia"/>
          <w:kern w:val="0"/>
          <w:szCs w:val="21"/>
        </w:rPr>
        <w:t>30</w:t>
      </w:r>
      <w:r>
        <w:rPr>
          <w:rFonts w:hint="eastAsia"/>
          <w:kern w:val="0"/>
          <w:szCs w:val="21"/>
        </w:rPr>
        <w:t>个工作日内成立基金财产清算小组，基金管理人组织基金财产清算小组并在中国证监会的监督下进行基金清算。</w:t>
      </w:r>
    </w:p>
    <w:p w14:paraId="4A30A83F" w14:textId="77777777" w:rsidR="00810426" w:rsidRDefault="00B424E5">
      <w:pPr>
        <w:spacing w:line="360" w:lineRule="auto"/>
        <w:ind w:firstLineChars="200" w:firstLine="420"/>
        <w:rPr>
          <w:kern w:val="0"/>
          <w:szCs w:val="21"/>
        </w:rPr>
      </w:pPr>
      <w:r>
        <w:rPr>
          <w:rFonts w:hint="eastAsia"/>
          <w:kern w:val="0"/>
          <w:szCs w:val="21"/>
        </w:rPr>
        <w:t>2</w:t>
      </w:r>
      <w:r>
        <w:rPr>
          <w:rFonts w:hint="eastAsia"/>
          <w:kern w:val="0"/>
          <w:szCs w:val="21"/>
        </w:rPr>
        <w:t>、基金财产清算小组组成：基金财产清算小组成员由基金管理人、基金托管人、符合《证券法》规定的注册会计师、律师以及中国证监会指定的人员组成。基金财产清算小组可以聘用必要的工作人员。</w:t>
      </w:r>
    </w:p>
    <w:p w14:paraId="47B352BA" w14:textId="77777777" w:rsidR="00810426" w:rsidRDefault="00B424E5">
      <w:pPr>
        <w:spacing w:line="360" w:lineRule="auto"/>
        <w:ind w:firstLineChars="200" w:firstLine="420"/>
        <w:rPr>
          <w:kern w:val="0"/>
          <w:szCs w:val="21"/>
        </w:rPr>
      </w:pPr>
      <w:r>
        <w:rPr>
          <w:rFonts w:hint="eastAsia"/>
          <w:kern w:val="0"/>
          <w:szCs w:val="21"/>
        </w:rPr>
        <w:t>3</w:t>
      </w:r>
      <w:r>
        <w:rPr>
          <w:rFonts w:hint="eastAsia"/>
          <w:kern w:val="0"/>
          <w:szCs w:val="21"/>
        </w:rPr>
        <w:t>、基金财产清算小组职责：基金财产清算小组负责基金财产的保管、清理、估价、变现和分配。基金财产清算小组可以依法进行必要的民事活动。</w:t>
      </w:r>
    </w:p>
    <w:p w14:paraId="45797B3E" w14:textId="77777777" w:rsidR="00810426" w:rsidRDefault="00B424E5">
      <w:pPr>
        <w:spacing w:line="360" w:lineRule="auto"/>
        <w:ind w:firstLineChars="200" w:firstLine="420"/>
        <w:rPr>
          <w:kern w:val="0"/>
          <w:szCs w:val="21"/>
        </w:rPr>
      </w:pPr>
      <w:r>
        <w:rPr>
          <w:rFonts w:hint="eastAsia"/>
          <w:kern w:val="0"/>
          <w:szCs w:val="21"/>
        </w:rPr>
        <w:t>4</w:t>
      </w:r>
      <w:r>
        <w:rPr>
          <w:rFonts w:hint="eastAsia"/>
          <w:kern w:val="0"/>
          <w:szCs w:val="21"/>
        </w:rPr>
        <w:t>、基金财产清算程序：</w:t>
      </w:r>
    </w:p>
    <w:p w14:paraId="6079D2E9"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1</w:t>
      </w:r>
      <w:r>
        <w:rPr>
          <w:rFonts w:hint="eastAsia"/>
          <w:kern w:val="0"/>
          <w:szCs w:val="21"/>
        </w:rPr>
        <w:t>）《基金合同》终止情形出现时，由基金财产清算小组统一接管基金；</w:t>
      </w:r>
    </w:p>
    <w:p w14:paraId="3C9D293C"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2</w:t>
      </w:r>
      <w:r>
        <w:rPr>
          <w:rFonts w:hint="eastAsia"/>
          <w:kern w:val="0"/>
          <w:szCs w:val="21"/>
        </w:rPr>
        <w:t>）对基金财产和债权债务进行清理和确认；</w:t>
      </w:r>
    </w:p>
    <w:p w14:paraId="7443AE8C"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3</w:t>
      </w:r>
      <w:r>
        <w:rPr>
          <w:rFonts w:hint="eastAsia"/>
          <w:kern w:val="0"/>
          <w:szCs w:val="21"/>
        </w:rPr>
        <w:t>）对基金财产进行估值和变现；</w:t>
      </w:r>
    </w:p>
    <w:p w14:paraId="638C2333"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4</w:t>
      </w:r>
      <w:r>
        <w:rPr>
          <w:rFonts w:hint="eastAsia"/>
          <w:kern w:val="0"/>
          <w:szCs w:val="21"/>
        </w:rPr>
        <w:t>）制作清算报告；</w:t>
      </w:r>
    </w:p>
    <w:p w14:paraId="122F3C90"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5</w:t>
      </w:r>
      <w:r>
        <w:rPr>
          <w:rFonts w:hint="eastAsia"/>
          <w:kern w:val="0"/>
          <w:szCs w:val="21"/>
        </w:rPr>
        <w:t>）聘请会计师事务所对清算报告进行外部审计，聘请律师事务所对清算报告出具法律意见书；</w:t>
      </w:r>
    </w:p>
    <w:p w14:paraId="39331C68"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6</w:t>
      </w:r>
      <w:r>
        <w:rPr>
          <w:rFonts w:hint="eastAsia"/>
          <w:kern w:val="0"/>
          <w:szCs w:val="21"/>
        </w:rPr>
        <w:t>）将清算报告报中国证监会备案并公告；</w:t>
      </w:r>
    </w:p>
    <w:p w14:paraId="78D58F2E" w14:textId="77777777" w:rsidR="00810426" w:rsidRDefault="00B424E5">
      <w:pPr>
        <w:spacing w:line="360" w:lineRule="auto"/>
        <w:ind w:firstLineChars="200" w:firstLine="420"/>
        <w:rPr>
          <w:kern w:val="0"/>
          <w:szCs w:val="21"/>
        </w:rPr>
      </w:pPr>
      <w:r>
        <w:rPr>
          <w:rFonts w:hint="eastAsia"/>
          <w:kern w:val="0"/>
          <w:szCs w:val="21"/>
        </w:rPr>
        <w:t>（</w:t>
      </w:r>
      <w:r>
        <w:rPr>
          <w:rFonts w:hint="eastAsia"/>
          <w:kern w:val="0"/>
          <w:szCs w:val="21"/>
        </w:rPr>
        <w:t>7</w:t>
      </w:r>
      <w:r>
        <w:rPr>
          <w:rFonts w:hint="eastAsia"/>
          <w:kern w:val="0"/>
          <w:szCs w:val="21"/>
        </w:rPr>
        <w:t>）对基金剩余财产进行分配。</w:t>
      </w:r>
    </w:p>
    <w:p w14:paraId="33E2C9E7" w14:textId="77777777" w:rsidR="00810426" w:rsidRDefault="00B424E5">
      <w:pPr>
        <w:spacing w:line="360" w:lineRule="auto"/>
        <w:ind w:firstLineChars="200" w:firstLine="420"/>
        <w:rPr>
          <w:kern w:val="0"/>
          <w:szCs w:val="21"/>
        </w:rPr>
      </w:pPr>
      <w:r>
        <w:rPr>
          <w:rFonts w:hint="eastAsia"/>
          <w:kern w:val="0"/>
          <w:szCs w:val="21"/>
        </w:rPr>
        <w:t>5</w:t>
      </w:r>
      <w:r>
        <w:rPr>
          <w:rFonts w:hint="eastAsia"/>
          <w:kern w:val="0"/>
          <w:szCs w:val="21"/>
        </w:rPr>
        <w:t>、基金财产清算的期限为</w:t>
      </w:r>
      <w:r>
        <w:rPr>
          <w:rFonts w:hint="eastAsia"/>
          <w:kern w:val="0"/>
          <w:szCs w:val="21"/>
        </w:rPr>
        <w:t>6</w:t>
      </w:r>
      <w:r>
        <w:rPr>
          <w:rFonts w:hint="eastAsia"/>
          <w:kern w:val="0"/>
          <w:szCs w:val="21"/>
        </w:rPr>
        <w:t>个月，但因本基金所持证券的流动性受到限制而不能及时变现的，清算期限相应顺延。</w:t>
      </w:r>
    </w:p>
    <w:p w14:paraId="1E6875DE" w14:textId="77777777" w:rsidR="00810426" w:rsidRDefault="00B424E5">
      <w:pPr>
        <w:spacing w:line="360" w:lineRule="auto"/>
        <w:ind w:firstLineChars="200" w:firstLine="420"/>
        <w:rPr>
          <w:kern w:val="0"/>
          <w:szCs w:val="21"/>
        </w:rPr>
      </w:pPr>
      <w:r>
        <w:rPr>
          <w:rFonts w:hint="eastAsia"/>
          <w:kern w:val="0"/>
          <w:szCs w:val="21"/>
        </w:rPr>
        <w:t>6</w:t>
      </w:r>
      <w:r>
        <w:rPr>
          <w:rFonts w:hint="eastAsia"/>
          <w:kern w:val="0"/>
          <w:szCs w:val="21"/>
        </w:rPr>
        <w:t>、清算费用</w:t>
      </w:r>
    </w:p>
    <w:p w14:paraId="287E7C0C" w14:textId="77777777" w:rsidR="00810426" w:rsidRDefault="00B424E5">
      <w:pPr>
        <w:spacing w:line="360" w:lineRule="auto"/>
        <w:ind w:firstLineChars="200" w:firstLine="420"/>
        <w:rPr>
          <w:kern w:val="0"/>
          <w:szCs w:val="21"/>
        </w:rPr>
      </w:pPr>
      <w:r>
        <w:rPr>
          <w:rFonts w:hint="eastAsia"/>
          <w:kern w:val="0"/>
          <w:szCs w:val="21"/>
        </w:rPr>
        <w:lastRenderedPageBreak/>
        <w:t>清算费用是指基金财产清算小组在进行基金清算过程中发生的所有合理费用，清算费用由基金财产清算小组优先从基金财产中支付。</w:t>
      </w:r>
    </w:p>
    <w:p w14:paraId="1769AD42" w14:textId="77777777" w:rsidR="00810426" w:rsidRDefault="00B424E5">
      <w:pPr>
        <w:spacing w:line="360" w:lineRule="auto"/>
        <w:ind w:firstLineChars="200" w:firstLine="420"/>
        <w:rPr>
          <w:kern w:val="0"/>
          <w:szCs w:val="21"/>
        </w:rPr>
      </w:pPr>
      <w:r>
        <w:rPr>
          <w:rFonts w:hint="eastAsia"/>
          <w:kern w:val="0"/>
          <w:szCs w:val="21"/>
        </w:rPr>
        <w:t>7</w:t>
      </w:r>
      <w:r>
        <w:rPr>
          <w:rFonts w:hint="eastAsia"/>
          <w:kern w:val="0"/>
          <w:szCs w:val="21"/>
        </w:rPr>
        <w:t>、基金财产清算剩余资产的分配</w:t>
      </w:r>
    </w:p>
    <w:p w14:paraId="4C2868BC" w14:textId="77777777" w:rsidR="00810426" w:rsidRDefault="00B424E5">
      <w:pPr>
        <w:spacing w:line="360" w:lineRule="auto"/>
        <w:ind w:firstLineChars="200" w:firstLine="420"/>
        <w:rPr>
          <w:kern w:val="0"/>
          <w:szCs w:val="21"/>
        </w:rPr>
      </w:pPr>
      <w:r>
        <w:rPr>
          <w:rFonts w:hint="eastAsia"/>
          <w:kern w:val="0"/>
          <w:szCs w:val="21"/>
        </w:rPr>
        <w:t>依据基金财产清算的分配方案，将基金财产清算后的全部剩余资产扣除基金财产清算费用、交纳所欠税款并清偿基金债务后，按基金份额持有人持有的基金份额比例进行分配，并加上返还基金份额持有人的销售服务费（如有）。</w:t>
      </w:r>
    </w:p>
    <w:p w14:paraId="4546D122" w14:textId="77777777" w:rsidR="00810426" w:rsidRDefault="00B424E5">
      <w:pPr>
        <w:spacing w:line="360" w:lineRule="auto"/>
        <w:ind w:firstLineChars="200" w:firstLine="420"/>
        <w:rPr>
          <w:kern w:val="0"/>
          <w:szCs w:val="21"/>
        </w:rPr>
      </w:pPr>
      <w:r>
        <w:rPr>
          <w:rFonts w:hint="eastAsia"/>
          <w:kern w:val="0"/>
          <w:szCs w:val="21"/>
        </w:rPr>
        <w:t>8</w:t>
      </w:r>
      <w:r>
        <w:rPr>
          <w:rFonts w:hint="eastAsia"/>
          <w:kern w:val="0"/>
          <w:szCs w:val="21"/>
        </w:rPr>
        <w:t>、基金财产清算的公告</w:t>
      </w:r>
    </w:p>
    <w:p w14:paraId="48D1E137" w14:textId="77777777" w:rsidR="00810426" w:rsidRDefault="00B424E5">
      <w:pPr>
        <w:spacing w:line="360" w:lineRule="auto"/>
        <w:ind w:firstLineChars="200" w:firstLine="420"/>
        <w:rPr>
          <w:kern w:val="0"/>
          <w:szCs w:val="21"/>
        </w:rPr>
      </w:pPr>
      <w:r>
        <w:rPr>
          <w:rFonts w:hint="eastAsia"/>
          <w:kern w:val="0"/>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hint="eastAsia"/>
          <w:kern w:val="0"/>
          <w:szCs w:val="21"/>
        </w:rPr>
        <w:t>5</w:t>
      </w:r>
      <w:r>
        <w:rPr>
          <w:rFonts w:hint="eastAsia"/>
          <w:kern w:val="0"/>
          <w:szCs w:val="21"/>
        </w:rPr>
        <w:t>个工作日内由基金财产清算小组进行公告，基金财产清算小组应当将清算报告登载在规定网站上，并将清算报告提示性公告登载在规定报刊上。</w:t>
      </w:r>
    </w:p>
    <w:p w14:paraId="36B9C8FB" w14:textId="77777777" w:rsidR="00810426" w:rsidRDefault="00B424E5">
      <w:pPr>
        <w:spacing w:line="360" w:lineRule="auto"/>
        <w:ind w:firstLineChars="200" w:firstLine="420"/>
        <w:rPr>
          <w:kern w:val="0"/>
          <w:szCs w:val="21"/>
        </w:rPr>
      </w:pPr>
      <w:r>
        <w:rPr>
          <w:rFonts w:hint="eastAsia"/>
          <w:kern w:val="0"/>
          <w:szCs w:val="21"/>
        </w:rPr>
        <w:t>9</w:t>
      </w:r>
      <w:r>
        <w:rPr>
          <w:rFonts w:hint="eastAsia"/>
          <w:kern w:val="0"/>
          <w:szCs w:val="21"/>
        </w:rPr>
        <w:t>、基金财产清算账册及文件的保存</w:t>
      </w:r>
    </w:p>
    <w:p w14:paraId="10602266" w14:textId="77777777" w:rsidR="00810426" w:rsidRDefault="00B424E5">
      <w:pPr>
        <w:spacing w:before="60" w:after="60" w:line="400" w:lineRule="exact"/>
        <w:ind w:firstLine="420"/>
        <w:rPr>
          <w:kern w:val="0"/>
          <w:szCs w:val="21"/>
        </w:rPr>
      </w:pPr>
      <w:r>
        <w:rPr>
          <w:rFonts w:hint="eastAsia"/>
          <w:kern w:val="0"/>
          <w:szCs w:val="21"/>
        </w:rPr>
        <w:t>基金财产清算账册及有关文件由基金托管人保存不低于法律法规规定的最低期限。</w:t>
      </w:r>
    </w:p>
    <w:p w14:paraId="23FB1FCE" w14:textId="77777777" w:rsidR="00810426" w:rsidRDefault="00810426">
      <w:pPr>
        <w:spacing w:line="360" w:lineRule="auto"/>
        <w:ind w:firstLineChars="200" w:firstLine="420"/>
        <w:rPr>
          <w:rFonts w:ascii="宋体"/>
        </w:rPr>
        <w:sectPr w:rsidR="00810426">
          <w:pgSz w:w="11906" w:h="16838"/>
          <w:pgMar w:top="1440" w:right="1800" w:bottom="1440" w:left="1800" w:header="851" w:footer="992" w:gutter="0"/>
          <w:paperSrc w:first="264" w:other="264"/>
          <w:cols w:space="720"/>
          <w:docGrid w:type="lines" w:linePitch="312"/>
        </w:sectPr>
      </w:pPr>
    </w:p>
    <w:p w14:paraId="4E0EF3AA" w14:textId="77777777" w:rsidR="00810426" w:rsidRDefault="00B424E5">
      <w:pPr>
        <w:pStyle w:val="2"/>
        <w:jc w:val="center"/>
        <w:rPr>
          <w:rFonts w:eastAsia="宋体"/>
          <w:sz w:val="30"/>
        </w:rPr>
      </w:pPr>
      <w:bookmarkStart w:id="103" w:name="_Toc214361126"/>
      <w:r>
        <w:rPr>
          <w:rFonts w:eastAsia="宋体" w:hint="eastAsia"/>
          <w:sz w:val="30"/>
        </w:rPr>
        <w:lastRenderedPageBreak/>
        <w:t>十七、违约责任</w:t>
      </w:r>
      <w:bookmarkEnd w:id="103"/>
    </w:p>
    <w:p w14:paraId="2EA69FD8" w14:textId="77777777" w:rsidR="00810426" w:rsidRDefault="00B424E5">
      <w:pPr>
        <w:spacing w:line="360" w:lineRule="auto"/>
        <w:ind w:firstLineChars="200" w:firstLine="420"/>
        <w:rPr>
          <w:rFonts w:ascii="宋体" w:hAnsi="宋体"/>
          <w:szCs w:val="21"/>
        </w:rPr>
      </w:pPr>
      <w:r>
        <w:rPr>
          <w:rFonts w:ascii="宋体" w:hAnsi="宋体" w:hint="eastAsia"/>
          <w:szCs w:val="21"/>
        </w:rPr>
        <w:t>（一）基金管理人、基金托管人不履行本协议或履行本协议不符合约定的，应当承担违约责任。</w:t>
      </w:r>
    </w:p>
    <w:p w14:paraId="494EE833" w14:textId="77777777" w:rsidR="00810426" w:rsidRDefault="00B424E5">
      <w:pPr>
        <w:spacing w:line="360" w:lineRule="auto"/>
        <w:ind w:firstLineChars="200" w:firstLine="420"/>
        <w:rPr>
          <w:rFonts w:ascii="宋体" w:hAnsi="宋体"/>
          <w:szCs w:val="21"/>
        </w:rPr>
      </w:pPr>
      <w:r>
        <w:rPr>
          <w:rFonts w:ascii="宋体" w:hAnsi="宋体" w:hint="eastAsia"/>
          <w:szCs w:val="21"/>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一方承担连带责任后有权根据另一方过错程度向另一方追偿。</w:t>
      </w:r>
    </w:p>
    <w:p w14:paraId="732ED859" w14:textId="77777777" w:rsidR="00810426" w:rsidRDefault="00B424E5">
      <w:pPr>
        <w:spacing w:line="360" w:lineRule="auto"/>
        <w:ind w:firstLineChars="200" w:firstLine="420"/>
        <w:rPr>
          <w:rFonts w:ascii="宋体" w:hAnsi="宋体"/>
          <w:szCs w:val="21"/>
        </w:rPr>
      </w:pPr>
      <w:r>
        <w:rPr>
          <w:rFonts w:ascii="宋体" w:hAnsi="宋体" w:hint="eastAsia"/>
          <w:szCs w:val="21"/>
        </w:rPr>
        <w:t>（三）一方当事人违约，给另一方当事人造成损失的，应就直接损失进行赔偿；给基金财产造成损失的，应就直接损失进行赔偿，另一方当事人有权利及义务代表基金向违约方追偿。但是如发生下列情况之一的，当事人免责：</w:t>
      </w:r>
    </w:p>
    <w:p w14:paraId="672EB6C8" w14:textId="77777777" w:rsidR="00810426" w:rsidRDefault="00B424E5">
      <w:pPr>
        <w:spacing w:line="360" w:lineRule="auto"/>
        <w:ind w:firstLineChars="200" w:firstLine="420"/>
        <w:rPr>
          <w:rFonts w:ascii="宋体" w:hAnsi="宋体"/>
          <w:szCs w:val="21"/>
        </w:rPr>
      </w:pPr>
      <w:r>
        <w:rPr>
          <w:rFonts w:ascii="宋体" w:hAnsi="宋体" w:hint="eastAsia"/>
          <w:szCs w:val="21"/>
        </w:rPr>
        <w:t>1、基金管理人和/或基金托管人按照届时有效的法律法规或中国证监会等监管机构的规定作为或不作为而造成的损失等；</w:t>
      </w:r>
    </w:p>
    <w:p w14:paraId="0626F897" w14:textId="77777777" w:rsidR="00810426" w:rsidRDefault="00B424E5">
      <w:pPr>
        <w:spacing w:line="360" w:lineRule="auto"/>
        <w:ind w:firstLineChars="200" w:firstLine="420"/>
        <w:rPr>
          <w:rFonts w:ascii="宋体" w:hAnsi="宋体"/>
          <w:szCs w:val="21"/>
        </w:rPr>
      </w:pPr>
      <w:r>
        <w:rPr>
          <w:rFonts w:ascii="宋体" w:hAnsi="宋体" w:hint="eastAsia"/>
          <w:szCs w:val="21"/>
        </w:rPr>
        <w:t>2、基金管理人由于按照基金合同规定的投资原则而行使或不行使其投资权所造成的损失等；</w:t>
      </w:r>
    </w:p>
    <w:p w14:paraId="201B7BD8" w14:textId="77777777" w:rsidR="00810426" w:rsidRDefault="00B424E5">
      <w:pPr>
        <w:spacing w:line="360" w:lineRule="auto"/>
        <w:ind w:firstLineChars="200" w:firstLine="420"/>
        <w:rPr>
          <w:rFonts w:ascii="宋体" w:hAnsi="宋体"/>
          <w:szCs w:val="21"/>
        </w:rPr>
      </w:pPr>
      <w:r>
        <w:rPr>
          <w:rFonts w:ascii="宋体" w:hAnsi="宋体" w:hint="eastAsia"/>
          <w:szCs w:val="21"/>
        </w:rPr>
        <w:t>3、不可抗力。</w:t>
      </w:r>
    </w:p>
    <w:p w14:paraId="596ACFC7" w14:textId="77777777" w:rsidR="00810426" w:rsidRDefault="00B424E5">
      <w:pPr>
        <w:spacing w:line="360" w:lineRule="auto"/>
        <w:ind w:firstLineChars="200" w:firstLine="420"/>
        <w:rPr>
          <w:rFonts w:ascii="宋体" w:hAnsi="宋体"/>
          <w:szCs w:val="21"/>
        </w:rPr>
      </w:pPr>
      <w:r>
        <w:rPr>
          <w:rFonts w:ascii="宋体" w:hAnsi="宋体" w:hint="eastAsia"/>
          <w:szCs w:val="21"/>
        </w:rPr>
        <w:t>（四）一方当事人违约，另一方当事人在职责范围内有义务及时采取必要的措施，尽力防止损失的扩大。没有采取适当措施致使损失扩大的，不得就扩大的损失要求赔偿。非违约方因防止损失扩大而支出的合理费用由违约方承担。</w:t>
      </w:r>
    </w:p>
    <w:p w14:paraId="71B1FBFA" w14:textId="77777777" w:rsidR="00810426" w:rsidRDefault="00B424E5">
      <w:pPr>
        <w:spacing w:line="360" w:lineRule="auto"/>
        <w:ind w:firstLineChars="200" w:firstLine="420"/>
        <w:rPr>
          <w:rFonts w:ascii="宋体" w:hAnsi="宋体"/>
          <w:szCs w:val="21"/>
        </w:rPr>
      </w:pPr>
      <w:r>
        <w:rPr>
          <w:rFonts w:ascii="宋体" w:hAnsi="宋体" w:hint="eastAsia"/>
          <w:szCs w:val="21"/>
        </w:rPr>
        <w:t>（五）违约行为虽已发生，但本托管协议能够继续履行的，在最大限度地保护基金份额持有人利益的前提下，基金管理人和基金托管人应当继续履行本协议。</w:t>
      </w:r>
    </w:p>
    <w:p w14:paraId="541C9B3B" w14:textId="77777777" w:rsidR="00810426" w:rsidRDefault="00B424E5">
      <w:pPr>
        <w:spacing w:line="360" w:lineRule="auto"/>
        <w:ind w:firstLineChars="200" w:firstLine="420"/>
        <w:rPr>
          <w:rFonts w:ascii="宋体" w:hAnsi="宋体"/>
          <w:szCs w:val="21"/>
        </w:rPr>
      </w:pPr>
      <w:r>
        <w:rPr>
          <w:rFonts w:ascii="宋体" w:hAnsi="宋体" w:hint="eastAsia"/>
          <w:szCs w:val="21"/>
        </w:rPr>
        <w:t>（六）由于基金管理人、基金托管人不可控制的因素导致业务出现差错，基金管理人和基金托管人虽然已经采取必要、适当、合理的措施进行检查，但是未能发现错误或虽发现错误但因前述原因无法及时更正的，由此造成基金财产或投资人损失，基金管理人和基金托管人免除赔偿责任。但是基金管理人和基金托管人应积极采取必要的措施消除或减轻由此造成的影响。</w:t>
      </w:r>
    </w:p>
    <w:p w14:paraId="687C188C" w14:textId="77777777" w:rsidR="00810426" w:rsidRDefault="00B424E5">
      <w:pPr>
        <w:spacing w:line="360" w:lineRule="auto"/>
        <w:ind w:firstLineChars="200" w:firstLine="420"/>
        <w:rPr>
          <w:rFonts w:ascii="宋体" w:hAnsi="宋体"/>
          <w:szCs w:val="21"/>
        </w:rPr>
      </w:pPr>
      <w:r>
        <w:rPr>
          <w:rFonts w:ascii="宋体" w:hAnsi="宋体" w:hint="eastAsia"/>
          <w:szCs w:val="21"/>
        </w:rPr>
        <w:t>（七）</w:t>
      </w:r>
      <w:r>
        <w:t>境外托管人是否存在过错、疏忽等不当行为，应根据基金托管人与境外托管人之间的协议适用法律及当地的法律法规、证券市场规则与惯例，依照约定的诉讼或仲裁程序决定。如根据上述适用法律及市场惯例，境外托管人某些导</w:t>
      </w:r>
      <w:r>
        <w:t xml:space="preserve"> </w:t>
      </w:r>
      <w:r>
        <w:t>致本基金资产受损的行为不被视为过错、疏忽行为，则基金管理人和基金托管人免责。在依照约定的诉讼或仲裁程序确定境外托管人存</w:t>
      </w:r>
      <w:r>
        <w:lastRenderedPageBreak/>
        <w:t>在过错、疏忽行为之前，</w:t>
      </w:r>
      <w:r>
        <w:t xml:space="preserve"> </w:t>
      </w:r>
      <w:r>
        <w:t>基金管理人或基金托管人有权拒绝向基金份额持有人承担相关责任。</w:t>
      </w:r>
    </w:p>
    <w:p w14:paraId="7BC6A532" w14:textId="77777777" w:rsidR="00810426" w:rsidRDefault="00B424E5">
      <w:pPr>
        <w:spacing w:line="360" w:lineRule="auto"/>
        <w:ind w:firstLineChars="200" w:firstLine="420"/>
        <w:rPr>
          <w:rFonts w:ascii="宋体" w:hAnsi="宋体"/>
          <w:szCs w:val="21"/>
        </w:rPr>
      </w:pPr>
      <w:r>
        <w:t>（八）</w:t>
      </w:r>
      <w:r>
        <w:rPr>
          <w:rFonts w:ascii="宋体" w:hAnsi="宋体" w:hint="eastAsia"/>
          <w:szCs w:val="21"/>
        </w:rPr>
        <w:t>本协议所指“损失”，限于直接财产损失。</w:t>
      </w:r>
    </w:p>
    <w:p w14:paraId="0EBC766A" w14:textId="77777777" w:rsidR="00810426" w:rsidRDefault="00810426">
      <w:pPr>
        <w:spacing w:line="360" w:lineRule="auto"/>
        <w:ind w:firstLineChars="200" w:firstLine="420"/>
        <w:rPr>
          <w:rFonts w:ascii="宋体" w:hAnsi="宋体"/>
          <w:szCs w:val="21"/>
        </w:rPr>
      </w:pPr>
    </w:p>
    <w:p w14:paraId="3B8368BF" w14:textId="77777777" w:rsidR="00810426" w:rsidRDefault="00810426">
      <w:pPr>
        <w:spacing w:line="360" w:lineRule="auto"/>
        <w:ind w:firstLineChars="200" w:firstLine="480"/>
        <w:rPr>
          <w:rFonts w:ascii="宋体" w:hAnsi="宋体"/>
          <w:sz w:val="24"/>
        </w:rPr>
      </w:pPr>
    </w:p>
    <w:p w14:paraId="6B40B09B" w14:textId="77777777" w:rsidR="00810426" w:rsidRDefault="00810426">
      <w:pPr>
        <w:spacing w:line="360" w:lineRule="auto"/>
        <w:ind w:firstLineChars="200" w:firstLine="420"/>
        <w:rPr>
          <w:rFonts w:ascii="宋体" w:hAnsi="宋体" w:cs="Arial"/>
          <w:szCs w:val="21"/>
        </w:rPr>
        <w:sectPr w:rsidR="00810426">
          <w:pgSz w:w="11906" w:h="16838"/>
          <w:pgMar w:top="1418" w:right="1701" w:bottom="1418" w:left="1701" w:header="851" w:footer="992" w:gutter="0"/>
          <w:cols w:space="720"/>
          <w:docGrid w:type="lines" w:linePitch="312"/>
        </w:sectPr>
      </w:pPr>
    </w:p>
    <w:p w14:paraId="774A9D27" w14:textId="77777777" w:rsidR="00810426" w:rsidRDefault="00B424E5">
      <w:pPr>
        <w:pStyle w:val="2"/>
        <w:jc w:val="center"/>
        <w:rPr>
          <w:rFonts w:eastAsia="宋体"/>
          <w:sz w:val="30"/>
        </w:rPr>
      </w:pPr>
      <w:bookmarkStart w:id="104" w:name="_Toc214361127"/>
      <w:r>
        <w:rPr>
          <w:rFonts w:eastAsia="宋体" w:hint="eastAsia"/>
          <w:sz w:val="30"/>
        </w:rPr>
        <w:lastRenderedPageBreak/>
        <w:t>十八、争议解决方式</w:t>
      </w:r>
      <w:bookmarkEnd w:id="104"/>
    </w:p>
    <w:p w14:paraId="49CC93B8" w14:textId="77777777" w:rsidR="00810426" w:rsidRDefault="00B424E5">
      <w:pPr>
        <w:spacing w:line="360" w:lineRule="auto"/>
        <w:ind w:firstLineChars="200" w:firstLine="420"/>
        <w:rPr>
          <w:rFonts w:ascii="宋体"/>
        </w:rPr>
      </w:pPr>
      <w:r>
        <w:rPr>
          <w:rFonts w:ascii="宋体" w:hint="eastAsia"/>
        </w:rPr>
        <w:t>双方当事人同意，因本托管协议而产生的或与托管协议有关的一切争议，如经友好协商、调解未能解决的，任何一方均有权将争议提交至</w:t>
      </w:r>
      <w:r>
        <w:rPr>
          <w:rFonts w:ascii="宋体" w:hAnsi="宋体" w:hint="eastAsia"/>
          <w:szCs w:val="21"/>
        </w:rPr>
        <w:t>广州仲裁委员会</w:t>
      </w:r>
      <w:r>
        <w:rPr>
          <w:rFonts w:ascii="宋体" w:hint="eastAsia"/>
        </w:rPr>
        <w:t>，仲裁地点为广州，按照该会届时有效的仲裁规则进行仲裁。仲裁裁决是终局的，对双方当事人均有约束力。除非仲裁裁决另有规定，仲裁费由败诉方承担。</w:t>
      </w:r>
    </w:p>
    <w:p w14:paraId="484BDA47" w14:textId="77777777" w:rsidR="00810426" w:rsidRDefault="00B424E5">
      <w:pPr>
        <w:spacing w:line="360" w:lineRule="auto"/>
        <w:ind w:firstLineChars="200" w:firstLine="420"/>
        <w:rPr>
          <w:rFonts w:ascii="宋体"/>
        </w:rPr>
      </w:pPr>
      <w:r>
        <w:rPr>
          <w:rFonts w:ascii="宋体" w:hint="eastAsia"/>
        </w:rPr>
        <w:t>争议处理期间，双方当事人应恪守基金管理人和基金托管人职责，各自继续忠实、勤勉、尽责地履行基金合同和本托管协议规定的义务，维护基金份额持有人的合法权益。</w:t>
      </w:r>
    </w:p>
    <w:p w14:paraId="4DF66E39" w14:textId="77777777" w:rsidR="00810426" w:rsidRDefault="00B424E5">
      <w:pPr>
        <w:spacing w:line="360" w:lineRule="auto"/>
        <w:ind w:firstLineChars="200" w:firstLine="420"/>
        <w:rPr>
          <w:rFonts w:ascii="宋体"/>
        </w:rPr>
        <w:sectPr w:rsidR="00810426">
          <w:pgSz w:w="11906" w:h="16838"/>
          <w:pgMar w:top="1418" w:right="1701" w:bottom="1418" w:left="1701" w:header="851" w:footer="992" w:gutter="0"/>
          <w:cols w:space="720"/>
          <w:docGrid w:type="lines" w:linePitch="312"/>
        </w:sectPr>
      </w:pPr>
      <w:r>
        <w:rPr>
          <w:rFonts w:ascii="宋体" w:hint="eastAsia"/>
        </w:rPr>
        <w:t>本协议受中国法律（为本协议之目的，在此不包括香港、澳门特别行政区和台湾地区法律）管辖并从其解释。</w:t>
      </w:r>
    </w:p>
    <w:p w14:paraId="576B5AA7" w14:textId="77777777" w:rsidR="00810426" w:rsidRDefault="00B424E5">
      <w:pPr>
        <w:pStyle w:val="2"/>
        <w:jc w:val="center"/>
        <w:rPr>
          <w:rFonts w:eastAsia="宋体"/>
          <w:sz w:val="30"/>
        </w:rPr>
      </w:pPr>
      <w:bookmarkStart w:id="105" w:name="_Toc214361128"/>
      <w:r>
        <w:rPr>
          <w:rFonts w:eastAsia="宋体" w:hint="eastAsia"/>
          <w:sz w:val="30"/>
        </w:rPr>
        <w:lastRenderedPageBreak/>
        <w:t>十九、托管协议的效力</w:t>
      </w:r>
      <w:bookmarkEnd w:id="105"/>
    </w:p>
    <w:p w14:paraId="4C81A7DC" w14:textId="77777777" w:rsidR="00810426" w:rsidRDefault="00B424E5">
      <w:pPr>
        <w:spacing w:line="360" w:lineRule="auto"/>
        <w:ind w:firstLineChars="200" w:firstLine="420"/>
        <w:rPr>
          <w:rFonts w:ascii="宋体"/>
        </w:rPr>
      </w:pPr>
      <w:r>
        <w:rPr>
          <w:rFonts w:ascii="宋体" w:hAnsi="宋体" w:hint="eastAsia"/>
          <w:szCs w:val="21"/>
        </w:rPr>
        <w:t>双方对托管协议的效力约定如下：</w:t>
      </w:r>
    </w:p>
    <w:p w14:paraId="091C8BB2" w14:textId="77777777" w:rsidR="00810426" w:rsidRDefault="00B424E5">
      <w:pPr>
        <w:spacing w:line="360" w:lineRule="auto"/>
        <w:ind w:firstLineChars="200" w:firstLine="420"/>
        <w:rPr>
          <w:rFonts w:ascii="宋体"/>
        </w:rPr>
      </w:pPr>
      <w:r>
        <w:rPr>
          <w:rFonts w:ascii="宋体" w:hint="eastAsia"/>
        </w:rPr>
        <w:t>（一）基金管理人在向中国证监会申请注册本基金时提交的托管协议草案，应经托管协议当事人双方盖章以及双方法定代表人或授权代表签章，协议当事人双方根据中国证监会的意见修改托管协议草案。托管协议以中国证监会注册的文本为正式文本。</w:t>
      </w:r>
    </w:p>
    <w:p w14:paraId="2727E2F7" w14:textId="77777777" w:rsidR="00810426" w:rsidRDefault="00B424E5">
      <w:pPr>
        <w:spacing w:line="360" w:lineRule="auto"/>
        <w:ind w:firstLineChars="200" w:firstLine="420"/>
        <w:rPr>
          <w:rFonts w:ascii="宋体"/>
        </w:rPr>
      </w:pPr>
      <w:r>
        <w:rPr>
          <w:rFonts w:ascii="宋体" w:hint="eastAsia"/>
        </w:rPr>
        <w:t>（二）托管协议自基金合同成立之日起成立，自基金合同生效之日起生效。托管协议的有效期自其生效之日起至基金财产清算结果报中国证监会备案并公告之日止。</w:t>
      </w:r>
    </w:p>
    <w:p w14:paraId="403AD328" w14:textId="77777777" w:rsidR="00810426" w:rsidRDefault="00B424E5">
      <w:pPr>
        <w:spacing w:line="360" w:lineRule="auto"/>
        <w:ind w:firstLineChars="200" w:firstLine="420"/>
        <w:rPr>
          <w:rFonts w:ascii="宋体"/>
        </w:rPr>
      </w:pPr>
      <w:r>
        <w:rPr>
          <w:rFonts w:ascii="宋体" w:hint="eastAsia"/>
        </w:rPr>
        <w:t>（三）托管协议自生效之日起对托管协议当事人具有同等的法律约束力。</w:t>
      </w:r>
    </w:p>
    <w:p w14:paraId="4386D1C4" w14:textId="77777777" w:rsidR="00810426" w:rsidRDefault="00B424E5">
      <w:pPr>
        <w:spacing w:line="360" w:lineRule="auto"/>
        <w:ind w:firstLineChars="200" w:firstLine="420"/>
        <w:rPr>
          <w:rFonts w:ascii="宋体"/>
        </w:rPr>
        <w:sectPr w:rsidR="00810426">
          <w:pgSz w:w="11906" w:h="16838"/>
          <w:pgMar w:top="1418" w:right="1701" w:bottom="1418" w:left="1701" w:header="851" w:footer="992" w:gutter="0"/>
          <w:cols w:space="720"/>
          <w:docGrid w:type="lines" w:linePitch="312"/>
        </w:sectPr>
      </w:pPr>
      <w:r>
        <w:rPr>
          <w:rFonts w:ascii="宋体" w:hint="eastAsia"/>
        </w:rPr>
        <w:t>（四）本协议正本一式三份，除上报有关监管机构一式一份外，基金管理人、基金托管人各持有一份，每份具有同等的法律效力。</w:t>
      </w:r>
    </w:p>
    <w:p w14:paraId="0328B1A6" w14:textId="77777777" w:rsidR="00810426" w:rsidRDefault="00B424E5">
      <w:pPr>
        <w:pStyle w:val="2"/>
        <w:jc w:val="center"/>
        <w:rPr>
          <w:rFonts w:eastAsia="宋体"/>
          <w:sz w:val="30"/>
        </w:rPr>
      </w:pPr>
      <w:bookmarkStart w:id="106" w:name="_Toc214361129"/>
      <w:r>
        <w:rPr>
          <w:rFonts w:eastAsia="宋体" w:hint="eastAsia"/>
          <w:sz w:val="30"/>
        </w:rPr>
        <w:lastRenderedPageBreak/>
        <w:t>二十、其他事项</w:t>
      </w:r>
      <w:bookmarkEnd w:id="106"/>
    </w:p>
    <w:p w14:paraId="1FFB4D91" w14:textId="77777777" w:rsidR="00810426" w:rsidRDefault="00B424E5">
      <w:pPr>
        <w:spacing w:line="360" w:lineRule="auto"/>
        <w:ind w:firstLineChars="200" w:firstLine="420"/>
        <w:rPr>
          <w:rFonts w:ascii="宋体" w:hAnsi="宋体"/>
          <w:szCs w:val="21"/>
        </w:rPr>
      </w:pPr>
      <w:r>
        <w:rPr>
          <w:rFonts w:ascii="宋体" w:hAnsi="宋体" w:hint="eastAsia"/>
          <w:szCs w:val="21"/>
        </w:rPr>
        <w:t>如发生有权司法机关依法冻结基金份额持有人的基金份额时，基金管理人应予以配合，承担司法协助义务。</w:t>
      </w:r>
    </w:p>
    <w:p w14:paraId="06DB71A5" w14:textId="77777777" w:rsidR="00810426" w:rsidRDefault="00B424E5">
      <w:pPr>
        <w:spacing w:line="360" w:lineRule="auto"/>
        <w:ind w:firstLineChars="200" w:firstLine="420"/>
        <w:rPr>
          <w:rFonts w:ascii="宋体" w:hAnsi="宋体"/>
          <w:szCs w:val="21"/>
        </w:rPr>
      </w:pPr>
      <w:r>
        <w:rPr>
          <w:rFonts w:ascii="宋体" w:hAnsi="宋体" w:hint="eastAsia"/>
          <w:szCs w:val="21"/>
        </w:rPr>
        <w:t>除本协议有明确定义外，本协议的用语定义适用基金合同的约定。本协议未尽事宜，当事人依据基金合同、有关法律法规等规定协商办理。</w:t>
      </w:r>
    </w:p>
    <w:p w14:paraId="2BA382BC" w14:textId="77777777" w:rsidR="00810426" w:rsidRDefault="00B424E5">
      <w:pPr>
        <w:pStyle w:val="2"/>
        <w:jc w:val="center"/>
        <w:rPr>
          <w:rFonts w:eastAsia="宋体"/>
          <w:sz w:val="30"/>
        </w:rPr>
      </w:pPr>
      <w:r>
        <w:rPr>
          <w:rFonts w:ascii="宋体"/>
        </w:rPr>
        <w:br w:type="page"/>
      </w:r>
      <w:bookmarkStart w:id="107" w:name="_Toc214361130"/>
      <w:r>
        <w:rPr>
          <w:rFonts w:eastAsia="宋体" w:hint="eastAsia"/>
          <w:sz w:val="30"/>
        </w:rPr>
        <w:lastRenderedPageBreak/>
        <w:t>二十一、托管协议的签订</w:t>
      </w:r>
      <w:bookmarkEnd w:id="107"/>
    </w:p>
    <w:p w14:paraId="3ADB3E30" w14:textId="77777777" w:rsidR="00810426" w:rsidRDefault="00B424E5">
      <w:pPr>
        <w:spacing w:line="360" w:lineRule="auto"/>
        <w:ind w:firstLineChars="200" w:firstLine="420"/>
        <w:rPr>
          <w:rFonts w:ascii="宋体"/>
        </w:rPr>
      </w:pPr>
      <w:r>
        <w:rPr>
          <w:rFonts w:ascii="宋体" w:hAnsi="宋体" w:hint="eastAsia"/>
          <w:szCs w:val="21"/>
        </w:rPr>
        <w:t>本协议双方法定代表人或授权代表签章、签订地、签订日。</w:t>
      </w:r>
    </w:p>
    <w:p w14:paraId="4049FE33" w14:textId="77777777" w:rsidR="00810426" w:rsidRDefault="00810426">
      <w:pPr>
        <w:spacing w:line="360" w:lineRule="auto"/>
        <w:rPr>
          <w:rFonts w:ascii="宋体"/>
        </w:rPr>
      </w:pPr>
    </w:p>
    <w:p w14:paraId="7DD73DE9" w14:textId="77777777" w:rsidR="00810426" w:rsidRDefault="00810426">
      <w:pPr>
        <w:adjustRightInd w:val="0"/>
        <w:snapToGrid w:val="0"/>
        <w:rPr>
          <w:rFonts w:ascii="仿宋_GB2312" w:eastAsia="仿宋_GB2312" w:hAnsi="宋体" w:cs="Arial"/>
          <w:sz w:val="24"/>
        </w:rPr>
      </w:pPr>
    </w:p>
    <w:p w14:paraId="456F1785" w14:textId="77777777" w:rsidR="00810426" w:rsidRDefault="00810426">
      <w:pPr>
        <w:adjustRightInd w:val="0"/>
        <w:snapToGrid w:val="0"/>
        <w:rPr>
          <w:rFonts w:eastAsia="方正仿宋简体"/>
          <w:sz w:val="30"/>
          <w:szCs w:val="30"/>
        </w:rPr>
      </w:pPr>
    </w:p>
    <w:p w14:paraId="51E6172B" w14:textId="77777777" w:rsidR="00810426" w:rsidRDefault="00810426">
      <w:pPr>
        <w:adjustRightInd w:val="0"/>
        <w:snapToGrid w:val="0"/>
        <w:rPr>
          <w:rFonts w:eastAsia="方正仿宋简体"/>
          <w:sz w:val="30"/>
          <w:szCs w:val="30"/>
        </w:rPr>
      </w:pPr>
    </w:p>
    <w:p w14:paraId="03139BE6" w14:textId="77777777" w:rsidR="00810426" w:rsidRDefault="00810426">
      <w:pPr>
        <w:adjustRightInd w:val="0"/>
        <w:snapToGrid w:val="0"/>
        <w:rPr>
          <w:rFonts w:eastAsia="方正仿宋简体"/>
          <w:sz w:val="30"/>
          <w:szCs w:val="30"/>
        </w:rPr>
      </w:pPr>
    </w:p>
    <w:p w14:paraId="225080C7" w14:textId="77777777" w:rsidR="00810426" w:rsidRDefault="00810426">
      <w:pPr>
        <w:adjustRightInd w:val="0"/>
        <w:snapToGrid w:val="0"/>
        <w:rPr>
          <w:rFonts w:eastAsia="方正仿宋简体"/>
          <w:sz w:val="30"/>
          <w:szCs w:val="30"/>
        </w:rPr>
      </w:pPr>
    </w:p>
    <w:p w14:paraId="05690AF2" w14:textId="77777777" w:rsidR="00810426" w:rsidRDefault="00810426">
      <w:pPr>
        <w:adjustRightInd w:val="0"/>
        <w:snapToGrid w:val="0"/>
        <w:rPr>
          <w:rFonts w:eastAsia="方正仿宋简体"/>
          <w:sz w:val="30"/>
          <w:szCs w:val="30"/>
        </w:rPr>
      </w:pPr>
    </w:p>
    <w:p w14:paraId="29D59652" w14:textId="77777777" w:rsidR="00810426" w:rsidRDefault="00810426">
      <w:pPr>
        <w:adjustRightInd w:val="0"/>
        <w:snapToGrid w:val="0"/>
        <w:rPr>
          <w:rFonts w:eastAsia="方正仿宋简体"/>
          <w:sz w:val="30"/>
          <w:szCs w:val="30"/>
        </w:rPr>
      </w:pPr>
    </w:p>
    <w:p w14:paraId="01F4884E" w14:textId="77777777" w:rsidR="00810426" w:rsidRDefault="00810426">
      <w:pPr>
        <w:adjustRightInd w:val="0"/>
        <w:snapToGrid w:val="0"/>
        <w:rPr>
          <w:rFonts w:eastAsia="方正仿宋简体"/>
          <w:sz w:val="30"/>
          <w:szCs w:val="30"/>
        </w:rPr>
      </w:pPr>
    </w:p>
    <w:p w14:paraId="08A6CCF9" w14:textId="77777777" w:rsidR="00810426" w:rsidRDefault="00810426">
      <w:pPr>
        <w:adjustRightInd w:val="0"/>
        <w:snapToGrid w:val="0"/>
        <w:rPr>
          <w:rFonts w:eastAsia="方正仿宋简体"/>
          <w:sz w:val="30"/>
          <w:szCs w:val="30"/>
        </w:rPr>
        <w:sectPr w:rsidR="00810426">
          <w:pgSz w:w="11906" w:h="16838"/>
          <w:pgMar w:top="1418" w:right="1701" w:bottom="1418" w:left="1701" w:header="851" w:footer="992" w:gutter="0"/>
          <w:cols w:space="720"/>
          <w:docGrid w:type="lines" w:linePitch="312"/>
        </w:sectPr>
      </w:pPr>
    </w:p>
    <w:p w14:paraId="1D62823F" w14:textId="6F32C472" w:rsidR="00810426" w:rsidRDefault="00B424E5">
      <w:pPr>
        <w:spacing w:line="360" w:lineRule="auto"/>
        <w:rPr>
          <w:rFonts w:ascii="宋体" w:hAnsi="宋体"/>
          <w:szCs w:val="21"/>
        </w:rPr>
      </w:pPr>
      <w:bookmarkStart w:id="108" w:name="_Hlt89590562"/>
      <w:bookmarkStart w:id="109" w:name="_Toc384992712"/>
      <w:bookmarkEnd w:id="108"/>
      <w:r>
        <w:rPr>
          <w:rFonts w:ascii="宋体" w:hAnsi="宋体" w:hint="eastAsia"/>
          <w:szCs w:val="21"/>
        </w:rPr>
        <w:lastRenderedPageBreak/>
        <w:t>本页无正文，为《广发优势企业混合型证券投资基金（</w:t>
      </w:r>
      <w:r>
        <w:rPr>
          <w:rFonts w:ascii="宋体" w:hAnsi="宋体"/>
          <w:szCs w:val="21"/>
        </w:rPr>
        <w:t>QDII</w:t>
      </w:r>
      <w:r>
        <w:rPr>
          <w:rFonts w:ascii="宋体" w:hAnsi="宋体" w:hint="eastAsia"/>
          <w:szCs w:val="21"/>
        </w:rPr>
        <w:t>）托管协议》的签字盖章页。</w:t>
      </w:r>
    </w:p>
    <w:p w14:paraId="672B5E36" w14:textId="77777777" w:rsidR="00810426" w:rsidRDefault="00810426">
      <w:pPr>
        <w:spacing w:line="360" w:lineRule="auto"/>
        <w:rPr>
          <w:rFonts w:ascii="宋体" w:hAnsi="宋体"/>
          <w:szCs w:val="21"/>
        </w:rPr>
      </w:pPr>
    </w:p>
    <w:p w14:paraId="05CA27B8" w14:textId="77777777" w:rsidR="00810426" w:rsidRDefault="00810426">
      <w:pPr>
        <w:spacing w:line="360" w:lineRule="auto"/>
        <w:rPr>
          <w:rFonts w:ascii="宋体" w:hAnsi="宋体"/>
          <w:szCs w:val="21"/>
        </w:rPr>
      </w:pPr>
    </w:p>
    <w:p w14:paraId="3762791D" w14:textId="77777777" w:rsidR="00810426" w:rsidRDefault="00810426">
      <w:pPr>
        <w:spacing w:line="360" w:lineRule="auto"/>
        <w:rPr>
          <w:rFonts w:ascii="宋体" w:hAnsi="宋体"/>
          <w:szCs w:val="21"/>
        </w:rPr>
      </w:pPr>
    </w:p>
    <w:p w14:paraId="57CD1B03" w14:textId="77777777" w:rsidR="00810426" w:rsidRDefault="00810426">
      <w:pPr>
        <w:spacing w:line="360" w:lineRule="auto"/>
        <w:rPr>
          <w:rFonts w:ascii="宋体" w:hAnsi="宋体"/>
          <w:szCs w:val="21"/>
        </w:rPr>
      </w:pPr>
    </w:p>
    <w:p w14:paraId="729214E2" w14:textId="77777777" w:rsidR="00810426" w:rsidRDefault="00B424E5">
      <w:pPr>
        <w:spacing w:line="360" w:lineRule="auto"/>
        <w:rPr>
          <w:rFonts w:ascii="宋体" w:hAnsi="宋体"/>
          <w:szCs w:val="21"/>
        </w:rPr>
      </w:pPr>
      <w:r>
        <w:rPr>
          <w:rFonts w:ascii="宋体" w:hAnsi="宋体" w:hint="eastAsia"/>
          <w:szCs w:val="21"/>
        </w:rPr>
        <w:t>基金管理人：广发基金管理有限公司（公章或合同专用章）</w:t>
      </w:r>
    </w:p>
    <w:p w14:paraId="6938174A" w14:textId="77777777" w:rsidR="00810426" w:rsidRDefault="00810426">
      <w:pPr>
        <w:spacing w:line="360" w:lineRule="auto"/>
        <w:rPr>
          <w:rFonts w:ascii="宋体" w:hAnsi="宋体"/>
          <w:szCs w:val="21"/>
        </w:rPr>
      </w:pPr>
    </w:p>
    <w:p w14:paraId="27E24F05" w14:textId="77777777" w:rsidR="00810426" w:rsidRDefault="00810426">
      <w:pPr>
        <w:spacing w:line="360" w:lineRule="auto"/>
        <w:rPr>
          <w:rFonts w:ascii="宋体" w:hAnsi="宋体"/>
          <w:szCs w:val="21"/>
        </w:rPr>
      </w:pPr>
    </w:p>
    <w:p w14:paraId="2FFE4431" w14:textId="77777777" w:rsidR="00810426" w:rsidRDefault="00810426">
      <w:pPr>
        <w:spacing w:line="360" w:lineRule="auto"/>
        <w:rPr>
          <w:rFonts w:ascii="宋体" w:hAnsi="宋体"/>
          <w:szCs w:val="21"/>
        </w:rPr>
      </w:pPr>
    </w:p>
    <w:p w14:paraId="488AC951" w14:textId="77777777" w:rsidR="00810426" w:rsidRDefault="00810426">
      <w:pPr>
        <w:spacing w:line="360" w:lineRule="auto"/>
        <w:rPr>
          <w:rFonts w:ascii="宋体" w:hAnsi="宋体"/>
          <w:szCs w:val="21"/>
        </w:rPr>
      </w:pPr>
    </w:p>
    <w:p w14:paraId="0F5A0723" w14:textId="77777777" w:rsidR="00810426" w:rsidRDefault="00B424E5">
      <w:pPr>
        <w:spacing w:line="360" w:lineRule="auto"/>
        <w:rPr>
          <w:rFonts w:ascii="宋体" w:hAnsi="宋体"/>
          <w:szCs w:val="21"/>
        </w:rPr>
      </w:pPr>
      <w:r>
        <w:rPr>
          <w:rFonts w:ascii="宋体" w:hAnsi="宋体" w:hint="eastAsia"/>
          <w:szCs w:val="21"/>
        </w:rPr>
        <w:t>法定代表人或授权代表：</w:t>
      </w:r>
    </w:p>
    <w:p w14:paraId="0BD093F9" w14:textId="77777777" w:rsidR="00810426" w:rsidRDefault="00810426">
      <w:pPr>
        <w:spacing w:line="360" w:lineRule="auto"/>
        <w:rPr>
          <w:rFonts w:ascii="宋体" w:hAnsi="宋体"/>
          <w:szCs w:val="21"/>
        </w:rPr>
      </w:pPr>
    </w:p>
    <w:p w14:paraId="5BC96B28" w14:textId="77777777" w:rsidR="00810426" w:rsidRDefault="00810426">
      <w:pPr>
        <w:spacing w:line="360" w:lineRule="auto"/>
        <w:rPr>
          <w:rFonts w:ascii="宋体" w:hAnsi="宋体"/>
          <w:szCs w:val="21"/>
        </w:rPr>
      </w:pPr>
    </w:p>
    <w:p w14:paraId="5920C41B" w14:textId="77777777" w:rsidR="00810426" w:rsidRDefault="00B424E5">
      <w:pPr>
        <w:spacing w:line="360" w:lineRule="auto"/>
        <w:rPr>
          <w:rFonts w:ascii="宋体" w:hAnsi="宋体"/>
          <w:szCs w:val="21"/>
        </w:rPr>
      </w:pPr>
      <w:r>
        <w:rPr>
          <w:rFonts w:ascii="宋体" w:hAnsi="宋体" w:hint="eastAsia"/>
          <w:szCs w:val="21"/>
        </w:rPr>
        <w:t>签订地点：</w:t>
      </w:r>
    </w:p>
    <w:p w14:paraId="59103332" w14:textId="77777777" w:rsidR="00810426" w:rsidRDefault="00B424E5">
      <w:pPr>
        <w:spacing w:line="360" w:lineRule="auto"/>
        <w:rPr>
          <w:rFonts w:ascii="宋体" w:hAnsi="宋体"/>
          <w:szCs w:val="21"/>
        </w:rPr>
      </w:pPr>
      <w:r>
        <w:rPr>
          <w:rFonts w:ascii="宋体" w:hAnsi="宋体" w:hint="eastAsia"/>
          <w:szCs w:val="21"/>
        </w:rPr>
        <w:t>签订日：</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5D88FAE0" w14:textId="77777777" w:rsidR="00810426" w:rsidRDefault="00810426">
      <w:pPr>
        <w:spacing w:line="360" w:lineRule="auto"/>
        <w:rPr>
          <w:rFonts w:ascii="宋体" w:hAnsi="宋体"/>
          <w:szCs w:val="21"/>
        </w:rPr>
      </w:pPr>
    </w:p>
    <w:p w14:paraId="6B0D4AEC" w14:textId="77777777" w:rsidR="00810426" w:rsidRDefault="00810426">
      <w:pPr>
        <w:spacing w:line="360" w:lineRule="auto"/>
        <w:rPr>
          <w:rFonts w:ascii="宋体" w:hAnsi="宋体"/>
          <w:szCs w:val="21"/>
        </w:rPr>
      </w:pPr>
    </w:p>
    <w:p w14:paraId="780040FC" w14:textId="77777777" w:rsidR="00810426" w:rsidRDefault="00810426">
      <w:pPr>
        <w:spacing w:line="360" w:lineRule="auto"/>
        <w:rPr>
          <w:rFonts w:ascii="宋体" w:hAnsi="宋体"/>
          <w:szCs w:val="21"/>
        </w:rPr>
      </w:pPr>
    </w:p>
    <w:p w14:paraId="3CC9EA20" w14:textId="77777777" w:rsidR="00810426" w:rsidRDefault="00810426">
      <w:pPr>
        <w:spacing w:line="360" w:lineRule="auto"/>
        <w:rPr>
          <w:rFonts w:ascii="宋体" w:hAnsi="宋体"/>
          <w:szCs w:val="21"/>
        </w:rPr>
      </w:pPr>
    </w:p>
    <w:p w14:paraId="29279ABA" w14:textId="77777777" w:rsidR="00810426" w:rsidRDefault="00B424E5">
      <w:pPr>
        <w:spacing w:line="360" w:lineRule="auto"/>
        <w:rPr>
          <w:rFonts w:ascii="宋体" w:hAnsi="宋体"/>
          <w:szCs w:val="21"/>
        </w:rPr>
      </w:pPr>
      <w:r>
        <w:rPr>
          <w:rFonts w:ascii="宋体" w:hAnsi="宋体" w:hint="eastAsia"/>
          <w:szCs w:val="21"/>
        </w:rPr>
        <w:t>基金托管人：兴业银行股份有限公司（公章或业务专用章）</w:t>
      </w:r>
    </w:p>
    <w:p w14:paraId="6F67A7E3" w14:textId="77777777" w:rsidR="00810426" w:rsidRDefault="00810426">
      <w:pPr>
        <w:spacing w:line="360" w:lineRule="auto"/>
        <w:rPr>
          <w:rFonts w:ascii="宋体" w:hAnsi="宋体"/>
          <w:szCs w:val="21"/>
        </w:rPr>
      </w:pPr>
    </w:p>
    <w:p w14:paraId="76A092E4" w14:textId="77777777" w:rsidR="00810426" w:rsidRDefault="00810426">
      <w:pPr>
        <w:spacing w:line="360" w:lineRule="auto"/>
        <w:rPr>
          <w:rFonts w:ascii="宋体" w:hAnsi="宋体"/>
          <w:szCs w:val="21"/>
        </w:rPr>
      </w:pPr>
    </w:p>
    <w:p w14:paraId="09303688" w14:textId="77777777" w:rsidR="00810426" w:rsidRDefault="00810426">
      <w:pPr>
        <w:spacing w:line="360" w:lineRule="auto"/>
        <w:rPr>
          <w:rFonts w:ascii="宋体" w:hAnsi="宋体"/>
          <w:szCs w:val="21"/>
        </w:rPr>
      </w:pPr>
    </w:p>
    <w:p w14:paraId="19A8C312" w14:textId="77777777" w:rsidR="00810426" w:rsidRDefault="00810426">
      <w:pPr>
        <w:spacing w:line="360" w:lineRule="auto"/>
        <w:rPr>
          <w:rFonts w:ascii="宋体" w:hAnsi="宋体"/>
          <w:szCs w:val="21"/>
        </w:rPr>
      </w:pPr>
    </w:p>
    <w:p w14:paraId="7A503DD6" w14:textId="77777777" w:rsidR="00810426" w:rsidRDefault="00B424E5">
      <w:pPr>
        <w:spacing w:line="360" w:lineRule="auto"/>
        <w:rPr>
          <w:rFonts w:ascii="宋体" w:hAnsi="宋体"/>
          <w:szCs w:val="21"/>
        </w:rPr>
      </w:pPr>
      <w:r>
        <w:rPr>
          <w:rFonts w:ascii="宋体" w:hAnsi="宋体" w:hint="eastAsia"/>
          <w:szCs w:val="21"/>
        </w:rPr>
        <w:t>法定代表人或授权代表：</w:t>
      </w:r>
    </w:p>
    <w:p w14:paraId="736132B3" w14:textId="77777777" w:rsidR="00810426" w:rsidRDefault="00810426">
      <w:pPr>
        <w:spacing w:line="360" w:lineRule="auto"/>
        <w:rPr>
          <w:rFonts w:ascii="宋体" w:hAnsi="宋体"/>
          <w:szCs w:val="21"/>
        </w:rPr>
      </w:pPr>
    </w:p>
    <w:p w14:paraId="72E2F5E2" w14:textId="77777777" w:rsidR="00810426" w:rsidRDefault="00810426">
      <w:pPr>
        <w:spacing w:line="360" w:lineRule="auto"/>
        <w:rPr>
          <w:rFonts w:ascii="宋体" w:hAnsi="宋体"/>
          <w:szCs w:val="21"/>
        </w:rPr>
      </w:pPr>
    </w:p>
    <w:p w14:paraId="3E6501C6" w14:textId="77777777" w:rsidR="00810426" w:rsidRDefault="00B424E5">
      <w:pPr>
        <w:spacing w:line="360" w:lineRule="auto"/>
        <w:rPr>
          <w:rFonts w:ascii="宋体" w:hAnsi="宋体"/>
          <w:szCs w:val="21"/>
        </w:rPr>
      </w:pPr>
      <w:r>
        <w:rPr>
          <w:rFonts w:ascii="宋体" w:hAnsi="宋体" w:hint="eastAsia"/>
          <w:szCs w:val="21"/>
        </w:rPr>
        <w:t>签订地点：</w:t>
      </w:r>
      <w:bookmarkEnd w:id="109"/>
    </w:p>
    <w:sectPr w:rsidR="00810426">
      <w:headerReference w:type="default" r:id="rId11"/>
      <w:footerReference w:type="default" r:id="rId12"/>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B0AC8" w14:textId="77777777" w:rsidR="009663AE" w:rsidRDefault="009663AE">
      <w:r>
        <w:separator/>
      </w:r>
    </w:p>
  </w:endnote>
  <w:endnote w:type="continuationSeparator" w:id="0">
    <w:p w14:paraId="7D229E65" w14:textId="77777777" w:rsidR="009663AE" w:rsidRDefault="0096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2000000000000000000"/>
    <w:charset w:val="86"/>
    <w:family w:val="auto"/>
    <w:pitch w:val="variable"/>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784E" w14:textId="77777777" w:rsidR="00B424E5" w:rsidRDefault="00B424E5">
    <w:pPr>
      <w:pStyle w:val="ae"/>
      <w:framePr w:wrap="around" w:vAnchor="text" w:hAnchor="margin" w:xAlign="center" w:y="1"/>
      <w:rPr>
        <w:rStyle w:val="af6"/>
      </w:rPr>
    </w:pPr>
    <w:r>
      <w:fldChar w:fldCharType="begin"/>
    </w:r>
    <w:r>
      <w:rPr>
        <w:rStyle w:val="af6"/>
      </w:rPr>
      <w:instrText xml:space="preserve">PAGE  </w:instrText>
    </w:r>
    <w:r>
      <w:fldChar w:fldCharType="end"/>
    </w:r>
  </w:p>
  <w:p w14:paraId="2E201DFB" w14:textId="77777777" w:rsidR="00B424E5" w:rsidRDefault="00B424E5">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133C5" w14:textId="12882AC8" w:rsidR="00B424E5" w:rsidRDefault="00B424E5">
    <w:pPr>
      <w:pStyle w:val="ae"/>
      <w:jc w:val="center"/>
    </w:pPr>
    <w:r>
      <w:fldChar w:fldCharType="begin"/>
    </w:r>
    <w:r>
      <w:instrText xml:space="preserve"> PAGE   \* MERGEFORMAT </w:instrText>
    </w:r>
    <w:r>
      <w:fldChar w:fldCharType="separate"/>
    </w:r>
    <w:r w:rsidR="00432BF0" w:rsidRPr="00432BF0">
      <w:rPr>
        <w:noProof/>
        <w:lang w:val="zh-CN"/>
      </w:rPr>
      <w:t>51</w:t>
    </w:r>
    <w:r>
      <w:fldChar w:fldCharType="end"/>
    </w:r>
  </w:p>
  <w:p w14:paraId="7B6C01E7" w14:textId="77777777" w:rsidR="00B424E5" w:rsidRDefault="00B424E5">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4BDC" w14:textId="77777777" w:rsidR="00B424E5" w:rsidRDefault="00B424E5">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8B293" w14:textId="77777777" w:rsidR="009663AE" w:rsidRDefault="009663AE">
      <w:r>
        <w:separator/>
      </w:r>
    </w:p>
  </w:footnote>
  <w:footnote w:type="continuationSeparator" w:id="0">
    <w:p w14:paraId="1BF3ADEF" w14:textId="77777777" w:rsidR="009663AE" w:rsidRDefault="00966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67155" w14:textId="09A72A00" w:rsidR="00B424E5" w:rsidRDefault="00B424E5">
    <w:pPr>
      <w:pStyle w:val="af0"/>
      <w:tabs>
        <w:tab w:val="center" w:pos="4072"/>
      </w:tabs>
      <w:ind w:right="360"/>
      <w:jc w:val="right"/>
    </w:pPr>
    <w:r>
      <w:rPr>
        <w:rFonts w:hint="eastAsia"/>
      </w:rPr>
      <w:t>托管协议</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0A7A" w14:textId="6D02FAB8" w:rsidR="00B424E5" w:rsidRDefault="00B424E5">
    <w:pPr>
      <w:pStyle w:val="af0"/>
      <w:tabs>
        <w:tab w:val="center" w:pos="4072"/>
      </w:tabs>
      <w:ind w:right="360"/>
      <w:jc w:val="right"/>
    </w:pPr>
    <w:r>
      <w:rPr>
        <w:rFonts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711EC"/>
    <w:multiLevelType w:val="singleLevel"/>
    <w:tmpl w:val="5AF711EC"/>
    <w:lvl w:ilvl="0">
      <w:start w:val="1"/>
      <w:numFmt w:val="lowerRoman"/>
      <w:pStyle w:val="roman1"/>
      <w:lvlText w:val="(%1)"/>
      <w:lvlJc w:val="left"/>
      <w:pPr>
        <w:tabs>
          <w:tab w:val="left" w:pos="680"/>
        </w:tabs>
        <w:ind w:left="680" w:hanging="680"/>
      </w:pPr>
      <w:rPr>
        <w:rFonts w:cs="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noPunctuationKerning/>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yMWYyMjIwYThhN2ZjODE5NWYwMmVmMDczNmYyZDAifQ=="/>
  </w:docVars>
  <w:rsids>
    <w:rsidRoot w:val="00497C73"/>
    <w:rsid w:val="00000738"/>
    <w:rsid w:val="0000216B"/>
    <w:rsid w:val="00004FE7"/>
    <w:rsid w:val="0000514B"/>
    <w:rsid w:val="00006B8A"/>
    <w:rsid w:val="00006F4D"/>
    <w:rsid w:val="00007616"/>
    <w:rsid w:val="0001045F"/>
    <w:rsid w:val="000105CE"/>
    <w:rsid w:val="000120A2"/>
    <w:rsid w:val="00013454"/>
    <w:rsid w:val="000167D5"/>
    <w:rsid w:val="0002311A"/>
    <w:rsid w:val="0002646D"/>
    <w:rsid w:val="000277FD"/>
    <w:rsid w:val="000279E0"/>
    <w:rsid w:val="0003021C"/>
    <w:rsid w:val="00030A0B"/>
    <w:rsid w:val="0003262B"/>
    <w:rsid w:val="000333CD"/>
    <w:rsid w:val="000364A5"/>
    <w:rsid w:val="00037A17"/>
    <w:rsid w:val="00037BA4"/>
    <w:rsid w:val="00046160"/>
    <w:rsid w:val="000527BB"/>
    <w:rsid w:val="00054478"/>
    <w:rsid w:val="0005487F"/>
    <w:rsid w:val="0005509E"/>
    <w:rsid w:val="00056E80"/>
    <w:rsid w:val="0006256E"/>
    <w:rsid w:val="00064207"/>
    <w:rsid w:val="00064725"/>
    <w:rsid w:val="000657DD"/>
    <w:rsid w:val="0006604E"/>
    <w:rsid w:val="00072A12"/>
    <w:rsid w:val="0007315D"/>
    <w:rsid w:val="0007366D"/>
    <w:rsid w:val="00076095"/>
    <w:rsid w:val="000773DF"/>
    <w:rsid w:val="00077E2C"/>
    <w:rsid w:val="00077E97"/>
    <w:rsid w:val="000802D9"/>
    <w:rsid w:val="000803B4"/>
    <w:rsid w:val="000805AC"/>
    <w:rsid w:val="000805FC"/>
    <w:rsid w:val="00080645"/>
    <w:rsid w:val="00083DB3"/>
    <w:rsid w:val="0008757F"/>
    <w:rsid w:val="000875D0"/>
    <w:rsid w:val="00090B69"/>
    <w:rsid w:val="00095823"/>
    <w:rsid w:val="00095CDB"/>
    <w:rsid w:val="00096690"/>
    <w:rsid w:val="0009681F"/>
    <w:rsid w:val="000A07FB"/>
    <w:rsid w:val="000A228B"/>
    <w:rsid w:val="000A51DA"/>
    <w:rsid w:val="000B049E"/>
    <w:rsid w:val="000B1802"/>
    <w:rsid w:val="000B1C57"/>
    <w:rsid w:val="000B2B82"/>
    <w:rsid w:val="000B3839"/>
    <w:rsid w:val="000C22AF"/>
    <w:rsid w:val="000C339D"/>
    <w:rsid w:val="000C3FDF"/>
    <w:rsid w:val="000C48A5"/>
    <w:rsid w:val="000C53A0"/>
    <w:rsid w:val="000C5CC4"/>
    <w:rsid w:val="000C63AC"/>
    <w:rsid w:val="000D01D5"/>
    <w:rsid w:val="000D1536"/>
    <w:rsid w:val="000D1813"/>
    <w:rsid w:val="000D1CA8"/>
    <w:rsid w:val="000D3874"/>
    <w:rsid w:val="000D4FD1"/>
    <w:rsid w:val="000D7A25"/>
    <w:rsid w:val="000E189D"/>
    <w:rsid w:val="000E1E8A"/>
    <w:rsid w:val="000E301B"/>
    <w:rsid w:val="000E398B"/>
    <w:rsid w:val="000E5AD4"/>
    <w:rsid w:val="000E5D46"/>
    <w:rsid w:val="000E75F7"/>
    <w:rsid w:val="000F23BE"/>
    <w:rsid w:val="000F2FEC"/>
    <w:rsid w:val="000F3527"/>
    <w:rsid w:val="000F3A6A"/>
    <w:rsid w:val="000F54DA"/>
    <w:rsid w:val="000F5C0D"/>
    <w:rsid w:val="001018FD"/>
    <w:rsid w:val="00101AC6"/>
    <w:rsid w:val="00103657"/>
    <w:rsid w:val="00103FD5"/>
    <w:rsid w:val="001043FE"/>
    <w:rsid w:val="00106E5A"/>
    <w:rsid w:val="001146FE"/>
    <w:rsid w:val="00114F08"/>
    <w:rsid w:val="00115C60"/>
    <w:rsid w:val="00120946"/>
    <w:rsid w:val="0012643E"/>
    <w:rsid w:val="00132122"/>
    <w:rsid w:val="001328B1"/>
    <w:rsid w:val="00132AF8"/>
    <w:rsid w:val="0013393B"/>
    <w:rsid w:val="00134402"/>
    <w:rsid w:val="00136D86"/>
    <w:rsid w:val="00137038"/>
    <w:rsid w:val="00137C35"/>
    <w:rsid w:val="00140A73"/>
    <w:rsid w:val="00141D4E"/>
    <w:rsid w:val="0014307A"/>
    <w:rsid w:val="0014545C"/>
    <w:rsid w:val="001466D9"/>
    <w:rsid w:val="00147666"/>
    <w:rsid w:val="00152035"/>
    <w:rsid w:val="00152518"/>
    <w:rsid w:val="001551AA"/>
    <w:rsid w:val="00155AAA"/>
    <w:rsid w:val="0015612A"/>
    <w:rsid w:val="00160AE1"/>
    <w:rsid w:val="00161E2A"/>
    <w:rsid w:val="00164338"/>
    <w:rsid w:val="0016460E"/>
    <w:rsid w:val="00165F31"/>
    <w:rsid w:val="00170982"/>
    <w:rsid w:val="00184B4D"/>
    <w:rsid w:val="00186043"/>
    <w:rsid w:val="00187F40"/>
    <w:rsid w:val="00193340"/>
    <w:rsid w:val="0019424E"/>
    <w:rsid w:val="00197ED7"/>
    <w:rsid w:val="001A212A"/>
    <w:rsid w:val="001A2DF5"/>
    <w:rsid w:val="001A743F"/>
    <w:rsid w:val="001B091F"/>
    <w:rsid w:val="001B1A04"/>
    <w:rsid w:val="001B413B"/>
    <w:rsid w:val="001B454F"/>
    <w:rsid w:val="001B5EB8"/>
    <w:rsid w:val="001C01C6"/>
    <w:rsid w:val="001C19FE"/>
    <w:rsid w:val="001C28BC"/>
    <w:rsid w:val="001C2C3F"/>
    <w:rsid w:val="001C431F"/>
    <w:rsid w:val="001C6B8A"/>
    <w:rsid w:val="001D1A0C"/>
    <w:rsid w:val="001D311C"/>
    <w:rsid w:val="001D5C80"/>
    <w:rsid w:val="001D7FB2"/>
    <w:rsid w:val="001E17D7"/>
    <w:rsid w:val="001E1DD5"/>
    <w:rsid w:val="001E2658"/>
    <w:rsid w:val="001E2A6E"/>
    <w:rsid w:val="001E2B38"/>
    <w:rsid w:val="001E3BF9"/>
    <w:rsid w:val="001E5803"/>
    <w:rsid w:val="001E7895"/>
    <w:rsid w:val="001F33F6"/>
    <w:rsid w:val="001F664C"/>
    <w:rsid w:val="002008D7"/>
    <w:rsid w:val="00201949"/>
    <w:rsid w:val="00201DC2"/>
    <w:rsid w:val="00205E4C"/>
    <w:rsid w:val="00205FA7"/>
    <w:rsid w:val="00206104"/>
    <w:rsid w:val="00206263"/>
    <w:rsid w:val="002071E2"/>
    <w:rsid w:val="00207A03"/>
    <w:rsid w:val="0021053C"/>
    <w:rsid w:val="00211AAD"/>
    <w:rsid w:val="00212C07"/>
    <w:rsid w:val="0021473C"/>
    <w:rsid w:val="00220E98"/>
    <w:rsid w:val="00220F4E"/>
    <w:rsid w:val="00223F45"/>
    <w:rsid w:val="00226813"/>
    <w:rsid w:val="00226996"/>
    <w:rsid w:val="002276F8"/>
    <w:rsid w:val="00227866"/>
    <w:rsid w:val="002334C9"/>
    <w:rsid w:val="00233C53"/>
    <w:rsid w:val="00234770"/>
    <w:rsid w:val="002354A1"/>
    <w:rsid w:val="00242FDF"/>
    <w:rsid w:val="00243D34"/>
    <w:rsid w:val="002543F7"/>
    <w:rsid w:val="0025480C"/>
    <w:rsid w:val="002548E4"/>
    <w:rsid w:val="0025492D"/>
    <w:rsid w:val="00255B29"/>
    <w:rsid w:val="00256274"/>
    <w:rsid w:val="00257144"/>
    <w:rsid w:val="00266179"/>
    <w:rsid w:val="00266997"/>
    <w:rsid w:val="00267489"/>
    <w:rsid w:val="00271E87"/>
    <w:rsid w:val="00273255"/>
    <w:rsid w:val="002769AE"/>
    <w:rsid w:val="00277028"/>
    <w:rsid w:val="00284319"/>
    <w:rsid w:val="0028534D"/>
    <w:rsid w:val="0028685B"/>
    <w:rsid w:val="00291497"/>
    <w:rsid w:val="0029173E"/>
    <w:rsid w:val="00292080"/>
    <w:rsid w:val="002928D9"/>
    <w:rsid w:val="00294E36"/>
    <w:rsid w:val="00296467"/>
    <w:rsid w:val="002972C9"/>
    <w:rsid w:val="002A27AD"/>
    <w:rsid w:val="002A39DC"/>
    <w:rsid w:val="002A3F2B"/>
    <w:rsid w:val="002A6093"/>
    <w:rsid w:val="002A64A0"/>
    <w:rsid w:val="002A7AE7"/>
    <w:rsid w:val="002B0635"/>
    <w:rsid w:val="002B6C37"/>
    <w:rsid w:val="002C173E"/>
    <w:rsid w:val="002C3716"/>
    <w:rsid w:val="002C3DE8"/>
    <w:rsid w:val="002C3FD3"/>
    <w:rsid w:val="002C463C"/>
    <w:rsid w:val="002C7D02"/>
    <w:rsid w:val="002D0AB8"/>
    <w:rsid w:val="002D56EC"/>
    <w:rsid w:val="002D74E8"/>
    <w:rsid w:val="002E09F8"/>
    <w:rsid w:val="002E21F1"/>
    <w:rsid w:val="002E221E"/>
    <w:rsid w:val="002E32DE"/>
    <w:rsid w:val="002E5F8A"/>
    <w:rsid w:val="002E7398"/>
    <w:rsid w:val="002E7D2E"/>
    <w:rsid w:val="002F0E40"/>
    <w:rsid w:val="002F354C"/>
    <w:rsid w:val="002F42F3"/>
    <w:rsid w:val="002F607F"/>
    <w:rsid w:val="002F6454"/>
    <w:rsid w:val="002F645C"/>
    <w:rsid w:val="002F7541"/>
    <w:rsid w:val="0030168A"/>
    <w:rsid w:val="00301CE4"/>
    <w:rsid w:val="00302AFE"/>
    <w:rsid w:val="0030577C"/>
    <w:rsid w:val="003066C4"/>
    <w:rsid w:val="003108A6"/>
    <w:rsid w:val="00311232"/>
    <w:rsid w:val="0031337B"/>
    <w:rsid w:val="00314092"/>
    <w:rsid w:val="00314387"/>
    <w:rsid w:val="00314810"/>
    <w:rsid w:val="00316A00"/>
    <w:rsid w:val="003210CE"/>
    <w:rsid w:val="00321EB9"/>
    <w:rsid w:val="0032587B"/>
    <w:rsid w:val="00330A85"/>
    <w:rsid w:val="00331ABF"/>
    <w:rsid w:val="00332EC7"/>
    <w:rsid w:val="00333977"/>
    <w:rsid w:val="00333C8D"/>
    <w:rsid w:val="00333DA5"/>
    <w:rsid w:val="00336572"/>
    <w:rsid w:val="00340DE6"/>
    <w:rsid w:val="00340EF1"/>
    <w:rsid w:val="00342A0A"/>
    <w:rsid w:val="00345655"/>
    <w:rsid w:val="0035116D"/>
    <w:rsid w:val="003522EA"/>
    <w:rsid w:val="0035259D"/>
    <w:rsid w:val="00353496"/>
    <w:rsid w:val="00354403"/>
    <w:rsid w:val="00356D98"/>
    <w:rsid w:val="00362D86"/>
    <w:rsid w:val="00364F47"/>
    <w:rsid w:val="00365099"/>
    <w:rsid w:val="00365B2D"/>
    <w:rsid w:val="00366979"/>
    <w:rsid w:val="003715BB"/>
    <w:rsid w:val="003732FB"/>
    <w:rsid w:val="0037527D"/>
    <w:rsid w:val="0037711F"/>
    <w:rsid w:val="00380E91"/>
    <w:rsid w:val="00382E39"/>
    <w:rsid w:val="00383F05"/>
    <w:rsid w:val="00384454"/>
    <w:rsid w:val="00385653"/>
    <w:rsid w:val="0039122D"/>
    <w:rsid w:val="003944F8"/>
    <w:rsid w:val="00396072"/>
    <w:rsid w:val="0039644A"/>
    <w:rsid w:val="0039648D"/>
    <w:rsid w:val="00396846"/>
    <w:rsid w:val="003970D1"/>
    <w:rsid w:val="003977A1"/>
    <w:rsid w:val="003A00A0"/>
    <w:rsid w:val="003A1A97"/>
    <w:rsid w:val="003A1E1E"/>
    <w:rsid w:val="003A252E"/>
    <w:rsid w:val="003A40BA"/>
    <w:rsid w:val="003A6035"/>
    <w:rsid w:val="003B1640"/>
    <w:rsid w:val="003B1E48"/>
    <w:rsid w:val="003B33F5"/>
    <w:rsid w:val="003B5627"/>
    <w:rsid w:val="003B650E"/>
    <w:rsid w:val="003B68CB"/>
    <w:rsid w:val="003B7617"/>
    <w:rsid w:val="003C2137"/>
    <w:rsid w:val="003D0172"/>
    <w:rsid w:val="003D1E69"/>
    <w:rsid w:val="003E08B5"/>
    <w:rsid w:val="003E0D91"/>
    <w:rsid w:val="003E36BF"/>
    <w:rsid w:val="003E4885"/>
    <w:rsid w:val="003E67D2"/>
    <w:rsid w:val="003E6F27"/>
    <w:rsid w:val="003E797E"/>
    <w:rsid w:val="003F1858"/>
    <w:rsid w:val="003F1F6A"/>
    <w:rsid w:val="003F3467"/>
    <w:rsid w:val="003F382F"/>
    <w:rsid w:val="003F4EA8"/>
    <w:rsid w:val="003F5583"/>
    <w:rsid w:val="003F738A"/>
    <w:rsid w:val="00401F2B"/>
    <w:rsid w:val="00403A8F"/>
    <w:rsid w:val="004054F6"/>
    <w:rsid w:val="00406F73"/>
    <w:rsid w:val="00407005"/>
    <w:rsid w:val="0041138A"/>
    <w:rsid w:val="00412AE4"/>
    <w:rsid w:val="00412B38"/>
    <w:rsid w:val="00412E82"/>
    <w:rsid w:val="00413917"/>
    <w:rsid w:val="0041562F"/>
    <w:rsid w:val="00416B72"/>
    <w:rsid w:val="00416BEC"/>
    <w:rsid w:val="00416F9E"/>
    <w:rsid w:val="0042020D"/>
    <w:rsid w:val="00423A97"/>
    <w:rsid w:val="00424AF5"/>
    <w:rsid w:val="004276BC"/>
    <w:rsid w:val="004306AF"/>
    <w:rsid w:val="0043143A"/>
    <w:rsid w:val="00432BF0"/>
    <w:rsid w:val="004355CA"/>
    <w:rsid w:val="00436A55"/>
    <w:rsid w:val="004379DD"/>
    <w:rsid w:val="004439A2"/>
    <w:rsid w:val="00444468"/>
    <w:rsid w:val="0044451D"/>
    <w:rsid w:val="00447A06"/>
    <w:rsid w:val="004506C7"/>
    <w:rsid w:val="004547DD"/>
    <w:rsid w:val="00454ADD"/>
    <w:rsid w:val="00456DBB"/>
    <w:rsid w:val="00457C2C"/>
    <w:rsid w:val="0046001F"/>
    <w:rsid w:val="004601BF"/>
    <w:rsid w:val="0046077D"/>
    <w:rsid w:val="00462161"/>
    <w:rsid w:val="0046289F"/>
    <w:rsid w:val="00467A9A"/>
    <w:rsid w:val="00467B81"/>
    <w:rsid w:val="00467D7B"/>
    <w:rsid w:val="00472DB7"/>
    <w:rsid w:val="00473A42"/>
    <w:rsid w:val="00474307"/>
    <w:rsid w:val="004743DB"/>
    <w:rsid w:val="00474AB9"/>
    <w:rsid w:val="00475393"/>
    <w:rsid w:val="004755D7"/>
    <w:rsid w:val="00476921"/>
    <w:rsid w:val="00477E3D"/>
    <w:rsid w:val="0048107A"/>
    <w:rsid w:val="00484C43"/>
    <w:rsid w:val="00485020"/>
    <w:rsid w:val="0048715E"/>
    <w:rsid w:val="00490B75"/>
    <w:rsid w:val="004917D9"/>
    <w:rsid w:val="004921A3"/>
    <w:rsid w:val="00496F3D"/>
    <w:rsid w:val="00497C73"/>
    <w:rsid w:val="004A22A5"/>
    <w:rsid w:val="004B1ED8"/>
    <w:rsid w:val="004B43E4"/>
    <w:rsid w:val="004B46B5"/>
    <w:rsid w:val="004B482F"/>
    <w:rsid w:val="004B6EC9"/>
    <w:rsid w:val="004C0701"/>
    <w:rsid w:val="004C1DB1"/>
    <w:rsid w:val="004C4D0E"/>
    <w:rsid w:val="004C54A2"/>
    <w:rsid w:val="004C5AE2"/>
    <w:rsid w:val="004C62AC"/>
    <w:rsid w:val="004C72AD"/>
    <w:rsid w:val="004C79CF"/>
    <w:rsid w:val="004D0765"/>
    <w:rsid w:val="004D363E"/>
    <w:rsid w:val="004D4746"/>
    <w:rsid w:val="004D7B55"/>
    <w:rsid w:val="004E110F"/>
    <w:rsid w:val="004E22EA"/>
    <w:rsid w:val="004E3E8A"/>
    <w:rsid w:val="004E4999"/>
    <w:rsid w:val="004E56B7"/>
    <w:rsid w:val="004F02C3"/>
    <w:rsid w:val="004F0E78"/>
    <w:rsid w:val="004F25F1"/>
    <w:rsid w:val="004F359D"/>
    <w:rsid w:val="004F456E"/>
    <w:rsid w:val="005019E1"/>
    <w:rsid w:val="0050283E"/>
    <w:rsid w:val="00504EB7"/>
    <w:rsid w:val="00512599"/>
    <w:rsid w:val="00514DEC"/>
    <w:rsid w:val="00514EFA"/>
    <w:rsid w:val="00515587"/>
    <w:rsid w:val="005177D1"/>
    <w:rsid w:val="00517B74"/>
    <w:rsid w:val="00517DA4"/>
    <w:rsid w:val="00521701"/>
    <w:rsid w:val="005234B5"/>
    <w:rsid w:val="00530579"/>
    <w:rsid w:val="0053267B"/>
    <w:rsid w:val="005349B2"/>
    <w:rsid w:val="005358BB"/>
    <w:rsid w:val="00537AED"/>
    <w:rsid w:val="00540A49"/>
    <w:rsid w:val="0054123A"/>
    <w:rsid w:val="00541248"/>
    <w:rsid w:val="005438B3"/>
    <w:rsid w:val="00544162"/>
    <w:rsid w:val="0054472F"/>
    <w:rsid w:val="005475B1"/>
    <w:rsid w:val="0055064A"/>
    <w:rsid w:val="00550E7E"/>
    <w:rsid w:val="00552BF1"/>
    <w:rsid w:val="00553785"/>
    <w:rsid w:val="005543D4"/>
    <w:rsid w:val="00560673"/>
    <w:rsid w:val="00562014"/>
    <w:rsid w:val="00563157"/>
    <w:rsid w:val="005652B6"/>
    <w:rsid w:val="00566D02"/>
    <w:rsid w:val="005676F1"/>
    <w:rsid w:val="00570142"/>
    <w:rsid w:val="005707C0"/>
    <w:rsid w:val="0057456F"/>
    <w:rsid w:val="00575EFF"/>
    <w:rsid w:val="00576F2B"/>
    <w:rsid w:val="00576F39"/>
    <w:rsid w:val="00577961"/>
    <w:rsid w:val="00577A7C"/>
    <w:rsid w:val="00582364"/>
    <w:rsid w:val="0058608A"/>
    <w:rsid w:val="00586093"/>
    <w:rsid w:val="00586399"/>
    <w:rsid w:val="00591932"/>
    <w:rsid w:val="0059484E"/>
    <w:rsid w:val="00595001"/>
    <w:rsid w:val="00595988"/>
    <w:rsid w:val="005A0C3D"/>
    <w:rsid w:val="005A15F2"/>
    <w:rsid w:val="005A1B30"/>
    <w:rsid w:val="005A213B"/>
    <w:rsid w:val="005A2276"/>
    <w:rsid w:val="005A3342"/>
    <w:rsid w:val="005A45F3"/>
    <w:rsid w:val="005A5386"/>
    <w:rsid w:val="005A6CDE"/>
    <w:rsid w:val="005A7115"/>
    <w:rsid w:val="005A7C7A"/>
    <w:rsid w:val="005B0F15"/>
    <w:rsid w:val="005B52E4"/>
    <w:rsid w:val="005B54A6"/>
    <w:rsid w:val="005B5E51"/>
    <w:rsid w:val="005B642D"/>
    <w:rsid w:val="005B70F9"/>
    <w:rsid w:val="005B75B8"/>
    <w:rsid w:val="005C0777"/>
    <w:rsid w:val="005C15BC"/>
    <w:rsid w:val="005C1BFA"/>
    <w:rsid w:val="005C5260"/>
    <w:rsid w:val="005D1672"/>
    <w:rsid w:val="005D17E4"/>
    <w:rsid w:val="005D1FAE"/>
    <w:rsid w:val="005D28C1"/>
    <w:rsid w:val="005D3C9A"/>
    <w:rsid w:val="005D5D40"/>
    <w:rsid w:val="005D6BE6"/>
    <w:rsid w:val="005E0892"/>
    <w:rsid w:val="005E0B9C"/>
    <w:rsid w:val="005E30D9"/>
    <w:rsid w:val="005E4CD8"/>
    <w:rsid w:val="005E5598"/>
    <w:rsid w:val="005E643B"/>
    <w:rsid w:val="005E6C0D"/>
    <w:rsid w:val="005F1269"/>
    <w:rsid w:val="005F1A79"/>
    <w:rsid w:val="005F2E55"/>
    <w:rsid w:val="005F4261"/>
    <w:rsid w:val="005F7D5A"/>
    <w:rsid w:val="0060080D"/>
    <w:rsid w:val="00606A18"/>
    <w:rsid w:val="006071E1"/>
    <w:rsid w:val="00607E36"/>
    <w:rsid w:val="00614372"/>
    <w:rsid w:val="006155CF"/>
    <w:rsid w:val="00615D5C"/>
    <w:rsid w:val="00620E92"/>
    <w:rsid w:val="006229C0"/>
    <w:rsid w:val="00622F53"/>
    <w:rsid w:val="00623243"/>
    <w:rsid w:val="00626849"/>
    <w:rsid w:val="00627F85"/>
    <w:rsid w:val="0063070B"/>
    <w:rsid w:val="006335D6"/>
    <w:rsid w:val="0063608A"/>
    <w:rsid w:val="00636549"/>
    <w:rsid w:val="00636CC9"/>
    <w:rsid w:val="00636D1A"/>
    <w:rsid w:val="0064063D"/>
    <w:rsid w:val="0064155B"/>
    <w:rsid w:val="006429E9"/>
    <w:rsid w:val="00643B1C"/>
    <w:rsid w:val="00643E20"/>
    <w:rsid w:val="006468B8"/>
    <w:rsid w:val="00646B62"/>
    <w:rsid w:val="00647D7B"/>
    <w:rsid w:val="00647E08"/>
    <w:rsid w:val="00651FED"/>
    <w:rsid w:val="00653570"/>
    <w:rsid w:val="00661B95"/>
    <w:rsid w:val="006630A7"/>
    <w:rsid w:val="00663267"/>
    <w:rsid w:val="00671D91"/>
    <w:rsid w:val="0067263E"/>
    <w:rsid w:val="00673CFF"/>
    <w:rsid w:val="00673D74"/>
    <w:rsid w:val="00674CF3"/>
    <w:rsid w:val="00680BEE"/>
    <w:rsid w:val="00680DF6"/>
    <w:rsid w:val="00680F85"/>
    <w:rsid w:val="00682B81"/>
    <w:rsid w:val="006833D1"/>
    <w:rsid w:val="006847C7"/>
    <w:rsid w:val="00684AF7"/>
    <w:rsid w:val="006852C7"/>
    <w:rsid w:val="006860B2"/>
    <w:rsid w:val="00686BFE"/>
    <w:rsid w:val="00686C69"/>
    <w:rsid w:val="006875B1"/>
    <w:rsid w:val="00690F77"/>
    <w:rsid w:val="0069245E"/>
    <w:rsid w:val="00692947"/>
    <w:rsid w:val="00692CE4"/>
    <w:rsid w:val="006932DC"/>
    <w:rsid w:val="00695A5D"/>
    <w:rsid w:val="00696EC7"/>
    <w:rsid w:val="006975EA"/>
    <w:rsid w:val="006A3076"/>
    <w:rsid w:val="006A47F3"/>
    <w:rsid w:val="006A4E78"/>
    <w:rsid w:val="006A55A5"/>
    <w:rsid w:val="006A5D0B"/>
    <w:rsid w:val="006A64A0"/>
    <w:rsid w:val="006A79C8"/>
    <w:rsid w:val="006A7CAB"/>
    <w:rsid w:val="006B3F46"/>
    <w:rsid w:val="006B5D2F"/>
    <w:rsid w:val="006B7ADC"/>
    <w:rsid w:val="006C0A26"/>
    <w:rsid w:val="006C1B32"/>
    <w:rsid w:val="006C21F7"/>
    <w:rsid w:val="006C2A4A"/>
    <w:rsid w:val="006D05AB"/>
    <w:rsid w:val="006D0ECF"/>
    <w:rsid w:val="006D308A"/>
    <w:rsid w:val="006D5A4D"/>
    <w:rsid w:val="006D5D70"/>
    <w:rsid w:val="006D62EE"/>
    <w:rsid w:val="006E02BD"/>
    <w:rsid w:val="006E0691"/>
    <w:rsid w:val="006E0A78"/>
    <w:rsid w:val="006E0C53"/>
    <w:rsid w:val="006E102C"/>
    <w:rsid w:val="006E1F1E"/>
    <w:rsid w:val="006E52FF"/>
    <w:rsid w:val="006E5E23"/>
    <w:rsid w:val="006E769F"/>
    <w:rsid w:val="006F0F9F"/>
    <w:rsid w:val="006F1864"/>
    <w:rsid w:val="006F199C"/>
    <w:rsid w:val="006F2D49"/>
    <w:rsid w:val="0070211A"/>
    <w:rsid w:val="0070299D"/>
    <w:rsid w:val="00703E8D"/>
    <w:rsid w:val="0070582A"/>
    <w:rsid w:val="007064C3"/>
    <w:rsid w:val="00706B98"/>
    <w:rsid w:val="00707485"/>
    <w:rsid w:val="007117B7"/>
    <w:rsid w:val="00711ADE"/>
    <w:rsid w:val="00715FB0"/>
    <w:rsid w:val="0071653F"/>
    <w:rsid w:val="007178DD"/>
    <w:rsid w:val="0072033C"/>
    <w:rsid w:val="00720DE6"/>
    <w:rsid w:val="0072229A"/>
    <w:rsid w:val="007226AC"/>
    <w:rsid w:val="0072306B"/>
    <w:rsid w:val="00723190"/>
    <w:rsid w:val="0072503D"/>
    <w:rsid w:val="00725EEE"/>
    <w:rsid w:val="00726B0C"/>
    <w:rsid w:val="00735436"/>
    <w:rsid w:val="0074093F"/>
    <w:rsid w:val="00743F6C"/>
    <w:rsid w:val="00744682"/>
    <w:rsid w:val="00744B71"/>
    <w:rsid w:val="00746291"/>
    <w:rsid w:val="00746723"/>
    <w:rsid w:val="007511C8"/>
    <w:rsid w:val="00752226"/>
    <w:rsid w:val="007525A4"/>
    <w:rsid w:val="00752B65"/>
    <w:rsid w:val="00754C07"/>
    <w:rsid w:val="00756E92"/>
    <w:rsid w:val="0076022B"/>
    <w:rsid w:val="0076178C"/>
    <w:rsid w:val="0076199E"/>
    <w:rsid w:val="00762C8E"/>
    <w:rsid w:val="0076420F"/>
    <w:rsid w:val="00764B50"/>
    <w:rsid w:val="00765431"/>
    <w:rsid w:val="007654C8"/>
    <w:rsid w:val="00766D9C"/>
    <w:rsid w:val="007707E8"/>
    <w:rsid w:val="00770AC5"/>
    <w:rsid w:val="00772673"/>
    <w:rsid w:val="0077311E"/>
    <w:rsid w:val="00774F82"/>
    <w:rsid w:val="00775DF7"/>
    <w:rsid w:val="00775E26"/>
    <w:rsid w:val="00783DFE"/>
    <w:rsid w:val="0078738E"/>
    <w:rsid w:val="0079146D"/>
    <w:rsid w:val="00791ACD"/>
    <w:rsid w:val="00795095"/>
    <w:rsid w:val="00795836"/>
    <w:rsid w:val="007961E1"/>
    <w:rsid w:val="007A07B5"/>
    <w:rsid w:val="007A3936"/>
    <w:rsid w:val="007A45D8"/>
    <w:rsid w:val="007A57DD"/>
    <w:rsid w:val="007A7E32"/>
    <w:rsid w:val="007B0CFD"/>
    <w:rsid w:val="007B193B"/>
    <w:rsid w:val="007B1C24"/>
    <w:rsid w:val="007B567F"/>
    <w:rsid w:val="007B6BEC"/>
    <w:rsid w:val="007C1BB6"/>
    <w:rsid w:val="007C1F05"/>
    <w:rsid w:val="007C2D44"/>
    <w:rsid w:val="007C35B2"/>
    <w:rsid w:val="007C39D8"/>
    <w:rsid w:val="007C5DCE"/>
    <w:rsid w:val="007C622E"/>
    <w:rsid w:val="007C6E1C"/>
    <w:rsid w:val="007D2BFF"/>
    <w:rsid w:val="007D47E3"/>
    <w:rsid w:val="007D4EB5"/>
    <w:rsid w:val="007D552F"/>
    <w:rsid w:val="007D770E"/>
    <w:rsid w:val="007E120B"/>
    <w:rsid w:val="007F036A"/>
    <w:rsid w:val="007F04BA"/>
    <w:rsid w:val="007F1BFA"/>
    <w:rsid w:val="007F55BD"/>
    <w:rsid w:val="007F5896"/>
    <w:rsid w:val="007F58FA"/>
    <w:rsid w:val="007F67CA"/>
    <w:rsid w:val="007F69B3"/>
    <w:rsid w:val="007F7639"/>
    <w:rsid w:val="008039A3"/>
    <w:rsid w:val="0080743D"/>
    <w:rsid w:val="00807B0E"/>
    <w:rsid w:val="00807EEE"/>
    <w:rsid w:val="00810426"/>
    <w:rsid w:val="00810611"/>
    <w:rsid w:val="00812D9F"/>
    <w:rsid w:val="008142EF"/>
    <w:rsid w:val="00814EC8"/>
    <w:rsid w:val="00815FF5"/>
    <w:rsid w:val="008160EA"/>
    <w:rsid w:val="008204E6"/>
    <w:rsid w:val="00820AB0"/>
    <w:rsid w:val="00821123"/>
    <w:rsid w:val="00824633"/>
    <w:rsid w:val="00827EE5"/>
    <w:rsid w:val="00830C64"/>
    <w:rsid w:val="008345F8"/>
    <w:rsid w:val="0083483B"/>
    <w:rsid w:val="008355F8"/>
    <w:rsid w:val="00842B04"/>
    <w:rsid w:val="00843ACB"/>
    <w:rsid w:val="00843BFE"/>
    <w:rsid w:val="00844681"/>
    <w:rsid w:val="00846138"/>
    <w:rsid w:val="00850084"/>
    <w:rsid w:val="008500DF"/>
    <w:rsid w:val="0085090A"/>
    <w:rsid w:val="008531DE"/>
    <w:rsid w:val="00853492"/>
    <w:rsid w:val="008539DA"/>
    <w:rsid w:val="00853BFA"/>
    <w:rsid w:val="00853E68"/>
    <w:rsid w:val="008549E2"/>
    <w:rsid w:val="00860343"/>
    <w:rsid w:val="0086075E"/>
    <w:rsid w:val="008614AF"/>
    <w:rsid w:val="008616CB"/>
    <w:rsid w:val="00861FD1"/>
    <w:rsid w:val="00870763"/>
    <w:rsid w:val="00872015"/>
    <w:rsid w:val="0087207D"/>
    <w:rsid w:val="008736A1"/>
    <w:rsid w:val="008748A4"/>
    <w:rsid w:val="00875CD8"/>
    <w:rsid w:val="008765A5"/>
    <w:rsid w:val="00877966"/>
    <w:rsid w:val="00885BFA"/>
    <w:rsid w:val="00887D18"/>
    <w:rsid w:val="00894D56"/>
    <w:rsid w:val="00895105"/>
    <w:rsid w:val="008956F0"/>
    <w:rsid w:val="0089579B"/>
    <w:rsid w:val="00895C65"/>
    <w:rsid w:val="008A1070"/>
    <w:rsid w:val="008A48B9"/>
    <w:rsid w:val="008A5501"/>
    <w:rsid w:val="008A5800"/>
    <w:rsid w:val="008A7E22"/>
    <w:rsid w:val="008B0F1F"/>
    <w:rsid w:val="008B176B"/>
    <w:rsid w:val="008B1F08"/>
    <w:rsid w:val="008B355F"/>
    <w:rsid w:val="008B4C9C"/>
    <w:rsid w:val="008B5D82"/>
    <w:rsid w:val="008C0BAD"/>
    <w:rsid w:val="008C4679"/>
    <w:rsid w:val="008C56E8"/>
    <w:rsid w:val="008C5A1A"/>
    <w:rsid w:val="008C70B9"/>
    <w:rsid w:val="008D0045"/>
    <w:rsid w:val="008D0364"/>
    <w:rsid w:val="008D111B"/>
    <w:rsid w:val="008D149A"/>
    <w:rsid w:val="008D360C"/>
    <w:rsid w:val="008D6186"/>
    <w:rsid w:val="008D73EA"/>
    <w:rsid w:val="008E07C2"/>
    <w:rsid w:val="008E3114"/>
    <w:rsid w:val="008E4F67"/>
    <w:rsid w:val="008E56FC"/>
    <w:rsid w:val="008E5DFC"/>
    <w:rsid w:val="008E680D"/>
    <w:rsid w:val="008E6D9C"/>
    <w:rsid w:val="008E7058"/>
    <w:rsid w:val="008E76A0"/>
    <w:rsid w:val="008F08D2"/>
    <w:rsid w:val="008F1841"/>
    <w:rsid w:val="008F6B10"/>
    <w:rsid w:val="008F6F11"/>
    <w:rsid w:val="00902710"/>
    <w:rsid w:val="00902C04"/>
    <w:rsid w:val="00902DFC"/>
    <w:rsid w:val="00905672"/>
    <w:rsid w:val="00906516"/>
    <w:rsid w:val="00906FE4"/>
    <w:rsid w:val="009072A9"/>
    <w:rsid w:val="0091574B"/>
    <w:rsid w:val="0091601A"/>
    <w:rsid w:val="00916727"/>
    <w:rsid w:val="00922E11"/>
    <w:rsid w:val="00923241"/>
    <w:rsid w:val="00925292"/>
    <w:rsid w:val="009252C2"/>
    <w:rsid w:val="00926407"/>
    <w:rsid w:val="00926D55"/>
    <w:rsid w:val="00930475"/>
    <w:rsid w:val="00930AE5"/>
    <w:rsid w:val="00937663"/>
    <w:rsid w:val="009400A4"/>
    <w:rsid w:val="00941EEB"/>
    <w:rsid w:val="00943271"/>
    <w:rsid w:val="00945561"/>
    <w:rsid w:val="00947A6D"/>
    <w:rsid w:val="00951C22"/>
    <w:rsid w:val="00953C77"/>
    <w:rsid w:val="00955B68"/>
    <w:rsid w:val="009563B5"/>
    <w:rsid w:val="00957E10"/>
    <w:rsid w:val="00960AB3"/>
    <w:rsid w:val="00963B7C"/>
    <w:rsid w:val="00965293"/>
    <w:rsid w:val="009663AE"/>
    <w:rsid w:val="00971D6B"/>
    <w:rsid w:val="00972CAE"/>
    <w:rsid w:val="00973267"/>
    <w:rsid w:val="00973310"/>
    <w:rsid w:val="00973E7B"/>
    <w:rsid w:val="009742DC"/>
    <w:rsid w:val="00974503"/>
    <w:rsid w:val="0097521A"/>
    <w:rsid w:val="009763DA"/>
    <w:rsid w:val="009805FE"/>
    <w:rsid w:val="00980F3E"/>
    <w:rsid w:val="00983840"/>
    <w:rsid w:val="00983CE6"/>
    <w:rsid w:val="00984541"/>
    <w:rsid w:val="009847F1"/>
    <w:rsid w:val="0098517A"/>
    <w:rsid w:val="0098547F"/>
    <w:rsid w:val="00991AB5"/>
    <w:rsid w:val="009948F7"/>
    <w:rsid w:val="0099693F"/>
    <w:rsid w:val="009970CD"/>
    <w:rsid w:val="00997E70"/>
    <w:rsid w:val="009A0792"/>
    <w:rsid w:val="009A51C6"/>
    <w:rsid w:val="009A7EB1"/>
    <w:rsid w:val="009B4D75"/>
    <w:rsid w:val="009C0BE1"/>
    <w:rsid w:val="009C38AD"/>
    <w:rsid w:val="009C43EC"/>
    <w:rsid w:val="009C5058"/>
    <w:rsid w:val="009C5E9A"/>
    <w:rsid w:val="009C5ED7"/>
    <w:rsid w:val="009C6ABF"/>
    <w:rsid w:val="009D2189"/>
    <w:rsid w:val="009D7090"/>
    <w:rsid w:val="009D73B4"/>
    <w:rsid w:val="009E1040"/>
    <w:rsid w:val="009E23C6"/>
    <w:rsid w:val="009E2B97"/>
    <w:rsid w:val="009E445D"/>
    <w:rsid w:val="009E5080"/>
    <w:rsid w:val="009E6D1F"/>
    <w:rsid w:val="009E7491"/>
    <w:rsid w:val="009F2247"/>
    <w:rsid w:val="009F27D5"/>
    <w:rsid w:val="009F2F3C"/>
    <w:rsid w:val="009F4E15"/>
    <w:rsid w:val="009F4E9A"/>
    <w:rsid w:val="009F64D6"/>
    <w:rsid w:val="009F6A78"/>
    <w:rsid w:val="00A0104A"/>
    <w:rsid w:val="00A01110"/>
    <w:rsid w:val="00A0319F"/>
    <w:rsid w:val="00A03FB7"/>
    <w:rsid w:val="00A046EB"/>
    <w:rsid w:val="00A051C8"/>
    <w:rsid w:val="00A06BFD"/>
    <w:rsid w:val="00A06C7A"/>
    <w:rsid w:val="00A07C33"/>
    <w:rsid w:val="00A12814"/>
    <w:rsid w:val="00A14DD1"/>
    <w:rsid w:val="00A23643"/>
    <w:rsid w:val="00A250AC"/>
    <w:rsid w:val="00A25EB9"/>
    <w:rsid w:val="00A270BD"/>
    <w:rsid w:val="00A27842"/>
    <w:rsid w:val="00A30739"/>
    <w:rsid w:val="00A326EE"/>
    <w:rsid w:val="00A34089"/>
    <w:rsid w:val="00A34F26"/>
    <w:rsid w:val="00A3566F"/>
    <w:rsid w:val="00A367C1"/>
    <w:rsid w:val="00A40389"/>
    <w:rsid w:val="00A40998"/>
    <w:rsid w:val="00A45CCB"/>
    <w:rsid w:val="00A50B51"/>
    <w:rsid w:val="00A51289"/>
    <w:rsid w:val="00A53F80"/>
    <w:rsid w:val="00A55C8A"/>
    <w:rsid w:val="00A55E40"/>
    <w:rsid w:val="00A562AE"/>
    <w:rsid w:val="00A56C5B"/>
    <w:rsid w:val="00A57654"/>
    <w:rsid w:val="00A61592"/>
    <w:rsid w:val="00A62502"/>
    <w:rsid w:val="00A63254"/>
    <w:rsid w:val="00A65B0C"/>
    <w:rsid w:val="00A671A8"/>
    <w:rsid w:val="00A70191"/>
    <w:rsid w:val="00A711C6"/>
    <w:rsid w:val="00A71C6A"/>
    <w:rsid w:val="00A72F4A"/>
    <w:rsid w:val="00A755E9"/>
    <w:rsid w:val="00A764A8"/>
    <w:rsid w:val="00A77181"/>
    <w:rsid w:val="00A80E88"/>
    <w:rsid w:val="00A82C7D"/>
    <w:rsid w:val="00A83418"/>
    <w:rsid w:val="00A83C83"/>
    <w:rsid w:val="00A85207"/>
    <w:rsid w:val="00A86371"/>
    <w:rsid w:val="00A9003E"/>
    <w:rsid w:val="00A9095A"/>
    <w:rsid w:val="00A9148E"/>
    <w:rsid w:val="00A92394"/>
    <w:rsid w:val="00A93DB5"/>
    <w:rsid w:val="00A9404B"/>
    <w:rsid w:val="00A95286"/>
    <w:rsid w:val="00A97167"/>
    <w:rsid w:val="00A97BA0"/>
    <w:rsid w:val="00AA0A75"/>
    <w:rsid w:val="00AA2650"/>
    <w:rsid w:val="00AA62B7"/>
    <w:rsid w:val="00AA64CC"/>
    <w:rsid w:val="00AA76C1"/>
    <w:rsid w:val="00AA7F69"/>
    <w:rsid w:val="00AB2760"/>
    <w:rsid w:val="00AB394A"/>
    <w:rsid w:val="00AB55E4"/>
    <w:rsid w:val="00AB741B"/>
    <w:rsid w:val="00AB7C8B"/>
    <w:rsid w:val="00AC0569"/>
    <w:rsid w:val="00AC0950"/>
    <w:rsid w:val="00AC0D25"/>
    <w:rsid w:val="00AC250E"/>
    <w:rsid w:val="00AC5592"/>
    <w:rsid w:val="00AD2408"/>
    <w:rsid w:val="00AD32D2"/>
    <w:rsid w:val="00AD3D79"/>
    <w:rsid w:val="00AE0928"/>
    <w:rsid w:val="00AE1087"/>
    <w:rsid w:val="00AE2061"/>
    <w:rsid w:val="00AE37A1"/>
    <w:rsid w:val="00AE4F4D"/>
    <w:rsid w:val="00AE672A"/>
    <w:rsid w:val="00AF0107"/>
    <w:rsid w:val="00AF0F08"/>
    <w:rsid w:val="00AF1238"/>
    <w:rsid w:val="00AF3B62"/>
    <w:rsid w:val="00AF3DAE"/>
    <w:rsid w:val="00AF6A18"/>
    <w:rsid w:val="00AF7B08"/>
    <w:rsid w:val="00B008DF"/>
    <w:rsid w:val="00B02A51"/>
    <w:rsid w:val="00B04ACA"/>
    <w:rsid w:val="00B04E2B"/>
    <w:rsid w:val="00B06A01"/>
    <w:rsid w:val="00B075DF"/>
    <w:rsid w:val="00B0763A"/>
    <w:rsid w:val="00B10C65"/>
    <w:rsid w:val="00B122FE"/>
    <w:rsid w:val="00B13F9E"/>
    <w:rsid w:val="00B1629C"/>
    <w:rsid w:val="00B17A4A"/>
    <w:rsid w:val="00B21C9F"/>
    <w:rsid w:val="00B23201"/>
    <w:rsid w:val="00B25730"/>
    <w:rsid w:val="00B302F8"/>
    <w:rsid w:val="00B30BEC"/>
    <w:rsid w:val="00B317EE"/>
    <w:rsid w:val="00B4137A"/>
    <w:rsid w:val="00B41637"/>
    <w:rsid w:val="00B423A0"/>
    <w:rsid w:val="00B424E5"/>
    <w:rsid w:val="00B427BA"/>
    <w:rsid w:val="00B43FFE"/>
    <w:rsid w:val="00B45D93"/>
    <w:rsid w:val="00B4638E"/>
    <w:rsid w:val="00B477A6"/>
    <w:rsid w:val="00B53673"/>
    <w:rsid w:val="00B56179"/>
    <w:rsid w:val="00B5620F"/>
    <w:rsid w:val="00B574D2"/>
    <w:rsid w:val="00B614ED"/>
    <w:rsid w:val="00B6168B"/>
    <w:rsid w:val="00B619DD"/>
    <w:rsid w:val="00B61C99"/>
    <w:rsid w:val="00B622A3"/>
    <w:rsid w:val="00B641E4"/>
    <w:rsid w:val="00B64B61"/>
    <w:rsid w:val="00B6626D"/>
    <w:rsid w:val="00B6650D"/>
    <w:rsid w:val="00B66928"/>
    <w:rsid w:val="00B670AC"/>
    <w:rsid w:val="00B674BC"/>
    <w:rsid w:val="00B70E84"/>
    <w:rsid w:val="00B73515"/>
    <w:rsid w:val="00B73C26"/>
    <w:rsid w:val="00B747DF"/>
    <w:rsid w:val="00B74FF2"/>
    <w:rsid w:val="00B81188"/>
    <w:rsid w:val="00B81FB1"/>
    <w:rsid w:val="00B84292"/>
    <w:rsid w:val="00B84476"/>
    <w:rsid w:val="00B84C3B"/>
    <w:rsid w:val="00B8732C"/>
    <w:rsid w:val="00B912CB"/>
    <w:rsid w:val="00B917FE"/>
    <w:rsid w:val="00B91B13"/>
    <w:rsid w:val="00B942B8"/>
    <w:rsid w:val="00BA041B"/>
    <w:rsid w:val="00BA282C"/>
    <w:rsid w:val="00BA335F"/>
    <w:rsid w:val="00BA45AA"/>
    <w:rsid w:val="00BA6E5A"/>
    <w:rsid w:val="00BA75B9"/>
    <w:rsid w:val="00BB26BE"/>
    <w:rsid w:val="00BB4A9D"/>
    <w:rsid w:val="00BB5ECC"/>
    <w:rsid w:val="00BB6DF1"/>
    <w:rsid w:val="00BC2F30"/>
    <w:rsid w:val="00BC31CF"/>
    <w:rsid w:val="00BC73FD"/>
    <w:rsid w:val="00BC7421"/>
    <w:rsid w:val="00BD0577"/>
    <w:rsid w:val="00BD2831"/>
    <w:rsid w:val="00BD28E2"/>
    <w:rsid w:val="00BD2CA6"/>
    <w:rsid w:val="00BD3ED2"/>
    <w:rsid w:val="00BD576E"/>
    <w:rsid w:val="00BD6894"/>
    <w:rsid w:val="00BE100C"/>
    <w:rsid w:val="00BE1ECB"/>
    <w:rsid w:val="00BE44A0"/>
    <w:rsid w:val="00BE5CFE"/>
    <w:rsid w:val="00BF554E"/>
    <w:rsid w:val="00C011B6"/>
    <w:rsid w:val="00C022E1"/>
    <w:rsid w:val="00C029A9"/>
    <w:rsid w:val="00C040A5"/>
    <w:rsid w:val="00C04340"/>
    <w:rsid w:val="00C04468"/>
    <w:rsid w:val="00C05273"/>
    <w:rsid w:val="00C06B5D"/>
    <w:rsid w:val="00C07DCC"/>
    <w:rsid w:val="00C111BF"/>
    <w:rsid w:val="00C114C1"/>
    <w:rsid w:val="00C1180B"/>
    <w:rsid w:val="00C12C0B"/>
    <w:rsid w:val="00C14474"/>
    <w:rsid w:val="00C162CF"/>
    <w:rsid w:val="00C164CA"/>
    <w:rsid w:val="00C17AF7"/>
    <w:rsid w:val="00C22095"/>
    <w:rsid w:val="00C23872"/>
    <w:rsid w:val="00C25378"/>
    <w:rsid w:val="00C30244"/>
    <w:rsid w:val="00C304EA"/>
    <w:rsid w:val="00C337BD"/>
    <w:rsid w:val="00C36FCC"/>
    <w:rsid w:val="00C40E43"/>
    <w:rsid w:val="00C432D9"/>
    <w:rsid w:val="00C46546"/>
    <w:rsid w:val="00C472B1"/>
    <w:rsid w:val="00C5215F"/>
    <w:rsid w:val="00C52412"/>
    <w:rsid w:val="00C52F49"/>
    <w:rsid w:val="00C530F4"/>
    <w:rsid w:val="00C53B67"/>
    <w:rsid w:val="00C545DD"/>
    <w:rsid w:val="00C546B7"/>
    <w:rsid w:val="00C55B54"/>
    <w:rsid w:val="00C56DCE"/>
    <w:rsid w:val="00C60328"/>
    <w:rsid w:val="00C60960"/>
    <w:rsid w:val="00C60DDC"/>
    <w:rsid w:val="00C61055"/>
    <w:rsid w:val="00C61C61"/>
    <w:rsid w:val="00C634DA"/>
    <w:rsid w:val="00C65024"/>
    <w:rsid w:val="00C660DD"/>
    <w:rsid w:val="00C6662F"/>
    <w:rsid w:val="00C708E7"/>
    <w:rsid w:val="00C710AA"/>
    <w:rsid w:val="00C72867"/>
    <w:rsid w:val="00C74E24"/>
    <w:rsid w:val="00C75F52"/>
    <w:rsid w:val="00C763A5"/>
    <w:rsid w:val="00C76B03"/>
    <w:rsid w:val="00C809F7"/>
    <w:rsid w:val="00C853A0"/>
    <w:rsid w:val="00C8556B"/>
    <w:rsid w:val="00C85CA7"/>
    <w:rsid w:val="00C8639A"/>
    <w:rsid w:val="00C86D41"/>
    <w:rsid w:val="00C87827"/>
    <w:rsid w:val="00C91960"/>
    <w:rsid w:val="00C92C75"/>
    <w:rsid w:val="00C9434D"/>
    <w:rsid w:val="00C94EA4"/>
    <w:rsid w:val="00C95F73"/>
    <w:rsid w:val="00C962CC"/>
    <w:rsid w:val="00C96C93"/>
    <w:rsid w:val="00C97374"/>
    <w:rsid w:val="00C97460"/>
    <w:rsid w:val="00C97EE8"/>
    <w:rsid w:val="00CA0782"/>
    <w:rsid w:val="00CA0C3B"/>
    <w:rsid w:val="00CA189F"/>
    <w:rsid w:val="00CA6C66"/>
    <w:rsid w:val="00CB1B67"/>
    <w:rsid w:val="00CB1F54"/>
    <w:rsid w:val="00CB1FAE"/>
    <w:rsid w:val="00CB2D97"/>
    <w:rsid w:val="00CB35FD"/>
    <w:rsid w:val="00CB56E7"/>
    <w:rsid w:val="00CB666B"/>
    <w:rsid w:val="00CB729F"/>
    <w:rsid w:val="00CC06A6"/>
    <w:rsid w:val="00CC10FE"/>
    <w:rsid w:val="00CC33E7"/>
    <w:rsid w:val="00CC48B5"/>
    <w:rsid w:val="00CC6D54"/>
    <w:rsid w:val="00CD06E4"/>
    <w:rsid w:val="00CD49C8"/>
    <w:rsid w:val="00CD4D2F"/>
    <w:rsid w:val="00CE02A9"/>
    <w:rsid w:val="00CE27D2"/>
    <w:rsid w:val="00CE3DC2"/>
    <w:rsid w:val="00CE3EE9"/>
    <w:rsid w:val="00CE4837"/>
    <w:rsid w:val="00CE4DF9"/>
    <w:rsid w:val="00CE603A"/>
    <w:rsid w:val="00CE75BE"/>
    <w:rsid w:val="00CF2A39"/>
    <w:rsid w:val="00CF4B9F"/>
    <w:rsid w:val="00CF4D92"/>
    <w:rsid w:val="00CF5BAA"/>
    <w:rsid w:val="00D0342F"/>
    <w:rsid w:val="00D047FC"/>
    <w:rsid w:val="00D1166A"/>
    <w:rsid w:val="00D12254"/>
    <w:rsid w:val="00D16BC3"/>
    <w:rsid w:val="00D17949"/>
    <w:rsid w:val="00D201B6"/>
    <w:rsid w:val="00D22D64"/>
    <w:rsid w:val="00D2527B"/>
    <w:rsid w:val="00D27233"/>
    <w:rsid w:val="00D27A74"/>
    <w:rsid w:val="00D31A2A"/>
    <w:rsid w:val="00D32A69"/>
    <w:rsid w:val="00D340F1"/>
    <w:rsid w:val="00D34BCF"/>
    <w:rsid w:val="00D363F2"/>
    <w:rsid w:val="00D3760D"/>
    <w:rsid w:val="00D40DDB"/>
    <w:rsid w:val="00D44C8D"/>
    <w:rsid w:val="00D47B7F"/>
    <w:rsid w:val="00D47DA8"/>
    <w:rsid w:val="00D50E79"/>
    <w:rsid w:val="00D518B1"/>
    <w:rsid w:val="00D52FC2"/>
    <w:rsid w:val="00D5441D"/>
    <w:rsid w:val="00D54738"/>
    <w:rsid w:val="00D5727B"/>
    <w:rsid w:val="00D5729B"/>
    <w:rsid w:val="00D574C3"/>
    <w:rsid w:val="00D60067"/>
    <w:rsid w:val="00D60E54"/>
    <w:rsid w:val="00D61EBB"/>
    <w:rsid w:val="00D6239E"/>
    <w:rsid w:val="00D643A4"/>
    <w:rsid w:val="00D65D0A"/>
    <w:rsid w:val="00D72250"/>
    <w:rsid w:val="00D7288D"/>
    <w:rsid w:val="00D72CCD"/>
    <w:rsid w:val="00D73AF8"/>
    <w:rsid w:val="00D741C0"/>
    <w:rsid w:val="00D743F2"/>
    <w:rsid w:val="00D75516"/>
    <w:rsid w:val="00D75F9A"/>
    <w:rsid w:val="00D77291"/>
    <w:rsid w:val="00D77681"/>
    <w:rsid w:val="00D8157B"/>
    <w:rsid w:val="00D821B2"/>
    <w:rsid w:val="00D83C85"/>
    <w:rsid w:val="00D849F3"/>
    <w:rsid w:val="00D867B2"/>
    <w:rsid w:val="00D86C41"/>
    <w:rsid w:val="00D86C83"/>
    <w:rsid w:val="00D90001"/>
    <w:rsid w:val="00D91DCC"/>
    <w:rsid w:val="00D963F5"/>
    <w:rsid w:val="00DA22B8"/>
    <w:rsid w:val="00DA2B30"/>
    <w:rsid w:val="00DA3F7E"/>
    <w:rsid w:val="00DA793F"/>
    <w:rsid w:val="00DB2712"/>
    <w:rsid w:val="00DB2D74"/>
    <w:rsid w:val="00DB5D6A"/>
    <w:rsid w:val="00DC04B2"/>
    <w:rsid w:val="00DC077D"/>
    <w:rsid w:val="00DC161A"/>
    <w:rsid w:val="00DC18E8"/>
    <w:rsid w:val="00DC30C8"/>
    <w:rsid w:val="00DD0DB5"/>
    <w:rsid w:val="00DD0F1B"/>
    <w:rsid w:val="00DD19CE"/>
    <w:rsid w:val="00DD4DCD"/>
    <w:rsid w:val="00DE3938"/>
    <w:rsid w:val="00DE6590"/>
    <w:rsid w:val="00DE6E35"/>
    <w:rsid w:val="00DE79A3"/>
    <w:rsid w:val="00DE7F2B"/>
    <w:rsid w:val="00DF03E8"/>
    <w:rsid w:val="00DF1480"/>
    <w:rsid w:val="00DF1A4D"/>
    <w:rsid w:val="00DF1D31"/>
    <w:rsid w:val="00DF1F1F"/>
    <w:rsid w:val="00DF381C"/>
    <w:rsid w:val="00DF3A5C"/>
    <w:rsid w:val="00DF758A"/>
    <w:rsid w:val="00E00EA5"/>
    <w:rsid w:val="00E0112E"/>
    <w:rsid w:val="00E0240B"/>
    <w:rsid w:val="00E02AA2"/>
    <w:rsid w:val="00E04E72"/>
    <w:rsid w:val="00E10020"/>
    <w:rsid w:val="00E10378"/>
    <w:rsid w:val="00E10752"/>
    <w:rsid w:val="00E13CB4"/>
    <w:rsid w:val="00E13E59"/>
    <w:rsid w:val="00E1565E"/>
    <w:rsid w:val="00E15B83"/>
    <w:rsid w:val="00E17DC9"/>
    <w:rsid w:val="00E23129"/>
    <w:rsid w:val="00E23205"/>
    <w:rsid w:val="00E23CE4"/>
    <w:rsid w:val="00E2528C"/>
    <w:rsid w:val="00E2565C"/>
    <w:rsid w:val="00E274DD"/>
    <w:rsid w:val="00E27C8A"/>
    <w:rsid w:val="00E30585"/>
    <w:rsid w:val="00E30CE6"/>
    <w:rsid w:val="00E416BC"/>
    <w:rsid w:val="00E417AD"/>
    <w:rsid w:val="00E424FF"/>
    <w:rsid w:val="00E4426C"/>
    <w:rsid w:val="00E4482A"/>
    <w:rsid w:val="00E45270"/>
    <w:rsid w:val="00E52451"/>
    <w:rsid w:val="00E5337F"/>
    <w:rsid w:val="00E53828"/>
    <w:rsid w:val="00E54709"/>
    <w:rsid w:val="00E54A20"/>
    <w:rsid w:val="00E559CA"/>
    <w:rsid w:val="00E55C90"/>
    <w:rsid w:val="00E567FA"/>
    <w:rsid w:val="00E66919"/>
    <w:rsid w:val="00E669C3"/>
    <w:rsid w:val="00E700DD"/>
    <w:rsid w:val="00E71C76"/>
    <w:rsid w:val="00E73522"/>
    <w:rsid w:val="00E7378B"/>
    <w:rsid w:val="00E84798"/>
    <w:rsid w:val="00E860F9"/>
    <w:rsid w:val="00E87180"/>
    <w:rsid w:val="00E878E9"/>
    <w:rsid w:val="00E90051"/>
    <w:rsid w:val="00E908E9"/>
    <w:rsid w:val="00E9472A"/>
    <w:rsid w:val="00E96F6B"/>
    <w:rsid w:val="00EA577F"/>
    <w:rsid w:val="00EA7DAC"/>
    <w:rsid w:val="00EB118D"/>
    <w:rsid w:val="00EB3F8E"/>
    <w:rsid w:val="00EB4D0C"/>
    <w:rsid w:val="00EB679F"/>
    <w:rsid w:val="00EC400F"/>
    <w:rsid w:val="00EC4E67"/>
    <w:rsid w:val="00EC645A"/>
    <w:rsid w:val="00EC7902"/>
    <w:rsid w:val="00ED1352"/>
    <w:rsid w:val="00ED227D"/>
    <w:rsid w:val="00ED29E8"/>
    <w:rsid w:val="00ED474A"/>
    <w:rsid w:val="00ED4FE6"/>
    <w:rsid w:val="00EE07BD"/>
    <w:rsid w:val="00EE116A"/>
    <w:rsid w:val="00EE1299"/>
    <w:rsid w:val="00EE65C9"/>
    <w:rsid w:val="00EF0C4A"/>
    <w:rsid w:val="00EF1A6F"/>
    <w:rsid w:val="00EF2072"/>
    <w:rsid w:val="00EF61D6"/>
    <w:rsid w:val="00F004CF"/>
    <w:rsid w:val="00F02E57"/>
    <w:rsid w:val="00F0390B"/>
    <w:rsid w:val="00F03E48"/>
    <w:rsid w:val="00F042F5"/>
    <w:rsid w:val="00F044BE"/>
    <w:rsid w:val="00F04AB2"/>
    <w:rsid w:val="00F05CF5"/>
    <w:rsid w:val="00F11559"/>
    <w:rsid w:val="00F12F03"/>
    <w:rsid w:val="00F14A0D"/>
    <w:rsid w:val="00F14BC3"/>
    <w:rsid w:val="00F14E8D"/>
    <w:rsid w:val="00F15BAE"/>
    <w:rsid w:val="00F16C35"/>
    <w:rsid w:val="00F22AA3"/>
    <w:rsid w:val="00F239DD"/>
    <w:rsid w:val="00F23B5F"/>
    <w:rsid w:val="00F26200"/>
    <w:rsid w:val="00F26D50"/>
    <w:rsid w:val="00F27964"/>
    <w:rsid w:val="00F32D5B"/>
    <w:rsid w:val="00F33B59"/>
    <w:rsid w:val="00F354C5"/>
    <w:rsid w:val="00F35CAC"/>
    <w:rsid w:val="00F378A5"/>
    <w:rsid w:val="00F41272"/>
    <w:rsid w:val="00F42E12"/>
    <w:rsid w:val="00F434FB"/>
    <w:rsid w:val="00F45486"/>
    <w:rsid w:val="00F46679"/>
    <w:rsid w:val="00F50DCD"/>
    <w:rsid w:val="00F51531"/>
    <w:rsid w:val="00F556C4"/>
    <w:rsid w:val="00F57512"/>
    <w:rsid w:val="00F610B5"/>
    <w:rsid w:val="00F616FA"/>
    <w:rsid w:val="00F61868"/>
    <w:rsid w:val="00F63A21"/>
    <w:rsid w:val="00F63B70"/>
    <w:rsid w:val="00F643D9"/>
    <w:rsid w:val="00F65D95"/>
    <w:rsid w:val="00F6684C"/>
    <w:rsid w:val="00F6688F"/>
    <w:rsid w:val="00F66C4F"/>
    <w:rsid w:val="00F66DAE"/>
    <w:rsid w:val="00F705DE"/>
    <w:rsid w:val="00F74C5A"/>
    <w:rsid w:val="00F76560"/>
    <w:rsid w:val="00F775B3"/>
    <w:rsid w:val="00F80407"/>
    <w:rsid w:val="00F81B30"/>
    <w:rsid w:val="00F81BD4"/>
    <w:rsid w:val="00F85FE9"/>
    <w:rsid w:val="00F869FD"/>
    <w:rsid w:val="00F90582"/>
    <w:rsid w:val="00F90629"/>
    <w:rsid w:val="00F93718"/>
    <w:rsid w:val="00F9613D"/>
    <w:rsid w:val="00FA097E"/>
    <w:rsid w:val="00FA0BC2"/>
    <w:rsid w:val="00FA160E"/>
    <w:rsid w:val="00FA35F9"/>
    <w:rsid w:val="00FA4306"/>
    <w:rsid w:val="00FA4D55"/>
    <w:rsid w:val="00FA5366"/>
    <w:rsid w:val="00FA783D"/>
    <w:rsid w:val="00FA799E"/>
    <w:rsid w:val="00FB05BA"/>
    <w:rsid w:val="00FB072E"/>
    <w:rsid w:val="00FB1F50"/>
    <w:rsid w:val="00FB377C"/>
    <w:rsid w:val="00FC0BE4"/>
    <w:rsid w:val="00FC4697"/>
    <w:rsid w:val="00FC48B8"/>
    <w:rsid w:val="00FC5BB5"/>
    <w:rsid w:val="00FC7C3C"/>
    <w:rsid w:val="00FD08F0"/>
    <w:rsid w:val="00FD253B"/>
    <w:rsid w:val="00FD2C95"/>
    <w:rsid w:val="00FD3D86"/>
    <w:rsid w:val="00FD5169"/>
    <w:rsid w:val="00FD7C02"/>
    <w:rsid w:val="00FE1365"/>
    <w:rsid w:val="00FE18C7"/>
    <w:rsid w:val="00FE2456"/>
    <w:rsid w:val="00FE25EC"/>
    <w:rsid w:val="00FE3188"/>
    <w:rsid w:val="00FE372E"/>
    <w:rsid w:val="00FE439D"/>
    <w:rsid w:val="00FE443E"/>
    <w:rsid w:val="00FE505D"/>
    <w:rsid w:val="00FE558B"/>
    <w:rsid w:val="00FF0BDD"/>
    <w:rsid w:val="00FF0FD0"/>
    <w:rsid w:val="00FF296B"/>
    <w:rsid w:val="00FF4559"/>
    <w:rsid w:val="00FF65F4"/>
    <w:rsid w:val="01332782"/>
    <w:rsid w:val="03CD577A"/>
    <w:rsid w:val="05180FE0"/>
    <w:rsid w:val="05C76ABA"/>
    <w:rsid w:val="067C3DDB"/>
    <w:rsid w:val="07103515"/>
    <w:rsid w:val="09CB6BCF"/>
    <w:rsid w:val="0A3E56D0"/>
    <w:rsid w:val="0A693E9B"/>
    <w:rsid w:val="0E8D54A3"/>
    <w:rsid w:val="0ED63C8A"/>
    <w:rsid w:val="0F186FC2"/>
    <w:rsid w:val="10E95C17"/>
    <w:rsid w:val="128625C7"/>
    <w:rsid w:val="13315509"/>
    <w:rsid w:val="139E2B83"/>
    <w:rsid w:val="14D96E3F"/>
    <w:rsid w:val="186D7F88"/>
    <w:rsid w:val="1AAD2D5E"/>
    <w:rsid w:val="1B7048E5"/>
    <w:rsid w:val="1BF810EC"/>
    <w:rsid w:val="1DE60691"/>
    <w:rsid w:val="1EFB370C"/>
    <w:rsid w:val="1F037402"/>
    <w:rsid w:val="20CF6D47"/>
    <w:rsid w:val="2B8F5A99"/>
    <w:rsid w:val="2C6037D4"/>
    <w:rsid w:val="310442A8"/>
    <w:rsid w:val="3143321D"/>
    <w:rsid w:val="31561C9E"/>
    <w:rsid w:val="3201153C"/>
    <w:rsid w:val="33830F6C"/>
    <w:rsid w:val="34632DD8"/>
    <w:rsid w:val="360515C6"/>
    <w:rsid w:val="37343E7A"/>
    <w:rsid w:val="377A01E3"/>
    <w:rsid w:val="38A24AEC"/>
    <w:rsid w:val="39427FA7"/>
    <w:rsid w:val="39DF7F99"/>
    <w:rsid w:val="3BD869C8"/>
    <w:rsid w:val="3DC111C7"/>
    <w:rsid w:val="3DDA0F3A"/>
    <w:rsid w:val="3E3A69E1"/>
    <w:rsid w:val="411A009B"/>
    <w:rsid w:val="41E20A2A"/>
    <w:rsid w:val="423E3D13"/>
    <w:rsid w:val="42FA74B4"/>
    <w:rsid w:val="48335942"/>
    <w:rsid w:val="525A22F9"/>
    <w:rsid w:val="54CB2EAA"/>
    <w:rsid w:val="55CF0FFF"/>
    <w:rsid w:val="58FA1B08"/>
    <w:rsid w:val="59D72C78"/>
    <w:rsid w:val="604364E6"/>
    <w:rsid w:val="6127492C"/>
    <w:rsid w:val="62E253F3"/>
    <w:rsid w:val="62E507EF"/>
    <w:rsid w:val="63940E62"/>
    <w:rsid w:val="643C3A95"/>
    <w:rsid w:val="67B1150A"/>
    <w:rsid w:val="69696F1A"/>
    <w:rsid w:val="6D1770B5"/>
    <w:rsid w:val="6D2341A6"/>
    <w:rsid w:val="6D58109E"/>
    <w:rsid w:val="6DE13780"/>
    <w:rsid w:val="6EA00285"/>
    <w:rsid w:val="790A46F4"/>
    <w:rsid w:val="792E755D"/>
    <w:rsid w:val="7B7D2D3B"/>
    <w:rsid w:val="7C504C96"/>
    <w:rsid w:val="7C672D60"/>
    <w:rsid w:val="7CB545AE"/>
    <w:rsid w:val="7E117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F91196-A6BF-43D4-ABEC-EC9B43C8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locked/>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260" w:after="260" w:line="416"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Cs w:val="24"/>
    </w:rPr>
  </w:style>
  <w:style w:type="paragraph" w:styleId="7">
    <w:name w:val="toc 7"/>
    <w:basedOn w:val="a"/>
    <w:next w:val="a"/>
    <w:semiHidden/>
    <w:qFormat/>
    <w:pPr>
      <w:ind w:leftChars="1200" w:left="2520"/>
    </w:p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uiPriority w:val="99"/>
    <w:unhideWhenUsed/>
    <w:qFormat/>
    <w:pPr>
      <w:spacing w:after="120"/>
    </w:pPr>
  </w:style>
  <w:style w:type="paragraph" w:styleId="aa">
    <w:name w:val="Body Text Indent"/>
    <w:basedOn w:val="a"/>
    <w:link w:val="ab"/>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ac">
    <w:name w:val="Balloon Text"/>
    <w:basedOn w:val="a"/>
    <w:link w:val="ad"/>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21">
    <w:name w:val="toc 2"/>
    <w:basedOn w:val="a"/>
    <w:next w:val="a"/>
    <w:uiPriority w:val="39"/>
    <w:qFormat/>
    <w:pPr>
      <w:tabs>
        <w:tab w:val="right" w:leader="dot" w:pos="8494"/>
      </w:tabs>
      <w:spacing w:line="360" w:lineRule="auto"/>
      <w:ind w:leftChars="200" w:left="420"/>
    </w:pPr>
    <w:rPr>
      <w:szCs w:val="24"/>
    </w:rPr>
  </w:style>
  <w:style w:type="paragraph" w:styleId="9">
    <w:name w:val="toc 9"/>
    <w:basedOn w:val="a"/>
    <w:next w:val="a"/>
    <w:semiHidden/>
    <w:qFormat/>
    <w:pPr>
      <w:ind w:leftChars="1600" w:left="3360"/>
    </w:pPr>
  </w:style>
  <w:style w:type="paragraph" w:styleId="af2">
    <w:name w:val="Normal (Web)"/>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3">
    <w:name w:val="annotation subject"/>
    <w:basedOn w:val="a6"/>
    <w:next w:val="a6"/>
    <w:link w:val="af4"/>
    <w:semiHidden/>
    <w:qFormat/>
    <w:rPr>
      <w:b/>
      <w:bCs/>
    </w:rPr>
  </w:style>
  <w:style w:type="character" w:styleId="af5">
    <w:name w:val="Strong"/>
    <w:qFormat/>
    <w:locked/>
    <w:rPr>
      <w:b/>
    </w:rPr>
  </w:style>
  <w:style w:type="character" w:styleId="af6">
    <w:name w:val="page number"/>
    <w:qFormat/>
    <w:rPr>
      <w:rFonts w:cs="Times New Roman"/>
    </w:rPr>
  </w:style>
  <w:style w:type="character" w:styleId="af7">
    <w:name w:val="Hyperlink"/>
    <w:uiPriority w:val="99"/>
    <w:qFormat/>
    <w:rPr>
      <w:rFonts w:cs="Times New Roman"/>
      <w:color w:val="0000FF"/>
      <w:u w:val="single"/>
    </w:rPr>
  </w:style>
  <w:style w:type="character" w:styleId="af8">
    <w:name w:val="annotation reference"/>
    <w:qFormat/>
    <w:rPr>
      <w:rFonts w:cs="Times New Roman"/>
      <w:sz w:val="21"/>
      <w:szCs w:val="21"/>
    </w:rPr>
  </w:style>
  <w:style w:type="character" w:customStyle="1" w:styleId="read">
    <w:name w:val="read"/>
    <w:basedOn w:val="a1"/>
    <w:qFormat/>
  </w:style>
  <w:style w:type="character" w:customStyle="1" w:styleId="af">
    <w:name w:val="页脚 字符"/>
    <w:link w:val="ae"/>
    <w:uiPriority w:val="99"/>
    <w:qFormat/>
    <w:locked/>
    <w:rPr>
      <w:rFonts w:cs="Times New Roman"/>
      <w:kern w:val="2"/>
      <w:sz w:val="18"/>
      <w:szCs w:val="18"/>
    </w:rPr>
  </w:style>
  <w:style w:type="character" w:customStyle="1" w:styleId="a9">
    <w:name w:val="正文文本 字符"/>
    <w:link w:val="a8"/>
    <w:uiPriority w:val="99"/>
    <w:semiHidden/>
    <w:qFormat/>
    <w:rPr>
      <w:szCs w:val="20"/>
    </w:rPr>
  </w:style>
  <w:style w:type="character" w:customStyle="1" w:styleId="ab">
    <w:name w:val="正文文本缩进 字符"/>
    <w:link w:val="aa"/>
    <w:uiPriority w:val="99"/>
    <w:semiHidden/>
    <w:qFormat/>
    <w:locked/>
    <w:rPr>
      <w:rFonts w:cs="Times New Roman"/>
      <w:sz w:val="20"/>
      <w:szCs w:val="20"/>
    </w:rPr>
  </w:style>
  <w:style w:type="character" w:customStyle="1" w:styleId="20">
    <w:name w:val="标题 2 字符"/>
    <w:link w:val="2"/>
    <w:uiPriority w:val="99"/>
    <w:semiHidden/>
    <w:qFormat/>
    <w:locked/>
    <w:rPr>
      <w:rFonts w:ascii="Cambria" w:eastAsia="宋体" w:hAnsi="Cambria" w:cs="Times New Roman"/>
      <w:b/>
      <w:bCs/>
      <w:sz w:val="32"/>
      <w:szCs w:val="32"/>
    </w:rPr>
  </w:style>
  <w:style w:type="character" w:customStyle="1" w:styleId="ad">
    <w:name w:val="批注框文本 字符"/>
    <w:link w:val="ac"/>
    <w:uiPriority w:val="99"/>
    <w:semiHidden/>
    <w:qFormat/>
    <w:locked/>
    <w:rPr>
      <w:rFonts w:cs="Times New Roman"/>
      <w:sz w:val="2"/>
    </w:rPr>
  </w:style>
  <w:style w:type="character" w:customStyle="1" w:styleId="a5">
    <w:name w:val="文档结构图 字符"/>
    <w:link w:val="a4"/>
    <w:uiPriority w:val="99"/>
    <w:semiHidden/>
    <w:qFormat/>
    <w:locked/>
    <w:rPr>
      <w:rFonts w:cs="Times New Roman"/>
      <w:sz w:val="2"/>
    </w:rPr>
  </w:style>
  <w:style w:type="character" w:customStyle="1" w:styleId="a7">
    <w:name w:val="批注文字 字符"/>
    <w:link w:val="a6"/>
    <w:qFormat/>
    <w:locked/>
    <w:rPr>
      <w:rFonts w:cs="Times New Roman"/>
      <w:kern w:val="2"/>
      <w:sz w:val="21"/>
    </w:rPr>
  </w:style>
  <w:style w:type="character" w:customStyle="1" w:styleId="af1">
    <w:name w:val="页眉 字符"/>
    <w:link w:val="af0"/>
    <w:uiPriority w:val="99"/>
    <w:semiHidden/>
    <w:qFormat/>
    <w:locked/>
    <w:rPr>
      <w:rFonts w:cs="Times New Roman"/>
      <w:sz w:val="18"/>
      <w:szCs w:val="18"/>
    </w:rPr>
  </w:style>
  <w:style w:type="character" w:customStyle="1" w:styleId="af4">
    <w:name w:val="批注主题 字符"/>
    <w:link w:val="af3"/>
    <w:uiPriority w:val="99"/>
    <w:semiHidden/>
    <w:qFormat/>
    <w:locked/>
    <w:rPr>
      <w:rFonts w:cs="Times New Roman"/>
      <w:b/>
      <w:bCs/>
      <w:kern w:val="2"/>
      <w:sz w:val="20"/>
      <w:szCs w:val="20"/>
    </w:rPr>
  </w:style>
  <w:style w:type="paragraph" w:customStyle="1" w:styleId="Style38">
    <w:name w:val="_Style 38"/>
    <w:uiPriority w:val="99"/>
    <w:semiHidden/>
    <w:qFormat/>
    <w:rPr>
      <w:kern w:val="2"/>
      <w:sz w:val="21"/>
    </w:rPr>
  </w:style>
  <w:style w:type="paragraph" w:customStyle="1" w:styleId="roman1">
    <w:name w:val="roman 1"/>
    <w:basedOn w:val="a"/>
    <w:qFormat/>
    <w:pPr>
      <w:widowControl/>
      <w:numPr>
        <w:numId w:val="1"/>
      </w:numPr>
      <w:spacing w:after="140" w:line="290" w:lineRule="auto"/>
    </w:pPr>
    <w:rPr>
      <w:rFonts w:ascii="Arial" w:hAnsi="Arial"/>
      <w:kern w:val="20"/>
      <w:sz w:val="20"/>
      <w:lang w:val="en-GB" w:eastAsia="en-US"/>
    </w:rPr>
  </w:style>
  <w:style w:type="paragraph" w:customStyle="1" w:styleId="CharCharChar">
    <w:name w:val="Char Char Char"/>
    <w:basedOn w:val="a"/>
    <w:qFormat/>
    <w:rPr>
      <w:szCs w:val="24"/>
    </w:rPr>
  </w:style>
  <w:style w:type="paragraph" w:customStyle="1" w:styleId="CharCharCharCharCharCharCharCharCharChar1CharCharCharCharCharCharCharCharCharCharCharCharCharCharCharCharCharCharCharCharChar">
    <w:name w:val="Char Char Char Char Char Char Char Char Char Char1 Char Char Char Char Char Char Char Char Char Char Char Char Char Char Char Char Char Char Char Char Char"/>
    <w:basedOn w:val="a"/>
    <w:qFormat/>
    <w:pPr>
      <w:spacing w:beforeLines="50" w:afterLines="50" w:line="360" w:lineRule="auto"/>
    </w:pPr>
    <w:rPr>
      <w:szCs w:val="24"/>
    </w:rPr>
  </w:style>
  <w:style w:type="paragraph" w:customStyle="1" w:styleId="CharCharCharChar1CharChar">
    <w:name w:val="Char Char Char Char1 Char Char"/>
    <w:basedOn w:val="a"/>
    <w:qFormat/>
    <w:rPr>
      <w:szCs w:val="24"/>
    </w:rPr>
  </w:style>
  <w:style w:type="paragraph" w:customStyle="1" w:styleId="CharCharCharChar1CharChar1">
    <w:name w:val="Char Char Char Char1 Char Char1"/>
    <w:basedOn w:val="a"/>
    <w:uiPriority w:val="99"/>
    <w:qFormat/>
    <w:rPr>
      <w:szCs w:val="24"/>
    </w:rPr>
  </w:style>
  <w:style w:type="paragraph" w:customStyle="1" w:styleId="CharCharChar1">
    <w:name w:val="Char Char Char1"/>
    <w:basedOn w:val="a"/>
    <w:uiPriority w:val="99"/>
    <w:qFormat/>
    <w:rPr>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4E45-51AA-4B6B-9E8C-03539D98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54</Pages>
  <Words>5912</Words>
  <Characters>33702</Characters>
  <Application>Microsoft Office Word</Application>
  <DocSecurity>0</DocSecurity>
  <Lines>280</Lines>
  <Paragraphs>79</Paragraphs>
  <ScaleCrop>false</ScaleCrop>
  <Company/>
  <LinksUpToDate>false</LinksUpToDate>
  <CharactersWithSpaces>39535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dc:title>
  <dc:creator>boc</dc:creator>
  <cp:lastModifiedBy>晁梦婷</cp:lastModifiedBy>
  <cp:revision>7</cp:revision>
  <cp:lastPrinted>2025-12-11T02:34:00Z</cp:lastPrinted>
  <dcterms:created xsi:type="dcterms:W3CDTF">2025-12-08T08:31:00Z</dcterms:created>
  <dcterms:modified xsi:type="dcterms:W3CDTF">2026-05-12T07:48:00Z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BE766C03CBDA424D938153E536C6D5D7_13</vt:lpwstr>
  </property>
  <property fmtid="{D5CDD505-2E9C-101B-9397-08002B2CF9AE}" pid="4" name="KSOTemplateDocerSaveRecord">
    <vt:lpwstr>eyJoZGlkIjoiNGY4NGMwMmE0NTBkNDQyNTc4NjBmMzRmYzM3M2U4YjQiLCJ1c2VySWQiOiIxMjIwMDQ3MzA3In0=</vt:lpwstr>
  </property>
</Properties>
</file>