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sz w:val="32"/>
        </w:rPr>
      </w:pPr>
      <w:bookmarkStart w:id="0" w:name="OLE_LINK1"/>
      <w:bookmarkStart w:id="1" w:name="OLE_LINK3"/>
      <w:bookmarkStart w:id="2" w:name="OLE_LINK9"/>
      <w:bookmarkStart w:id="3" w:name="OLE_LINK10"/>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ascii="宋体" w:hAnsi="宋体"/>
          <w:b/>
          <w:sz w:val="44"/>
          <w:szCs w:val="44"/>
        </w:rPr>
      </w:pPr>
      <w:bookmarkStart w:id="4" w:name="_Toc109537822"/>
      <w:bookmarkStart w:id="5" w:name="_Toc106960946"/>
      <w:bookmarkStart w:id="6" w:name="_Toc116052780"/>
      <w:bookmarkStart w:id="7" w:name="_Toc109524199"/>
      <w:bookmarkStart w:id="8" w:name="_Toc106791604"/>
      <w:bookmarkStart w:id="9" w:name="_Toc106894672"/>
      <w:bookmarkStart w:id="10" w:name="_Toc109648522"/>
      <w:bookmarkStart w:id="11" w:name="_Toc106862750"/>
      <w:bookmarkStart w:id="12" w:name="_Toc106894870"/>
      <w:bookmarkStart w:id="13" w:name="_Toc116052546"/>
      <w:bookmarkStart w:id="14" w:name="_Toc106961475"/>
      <w:bookmarkStart w:id="15" w:name="_Toc203357146"/>
      <w:bookmarkStart w:id="16" w:name="_Toc106863361"/>
      <w:r>
        <w:rPr>
          <w:rFonts w:hint="eastAsia" w:ascii="宋体" w:hAnsi="宋体"/>
          <w:b/>
          <w:sz w:val="44"/>
          <w:szCs w:val="44"/>
        </w:rPr>
        <w:t>工银瑞信新能源先锋混合型发起式</w:t>
      </w:r>
    </w:p>
    <w:p>
      <w:pPr>
        <w:spacing w:line="360" w:lineRule="auto"/>
        <w:jc w:val="center"/>
        <w:rPr>
          <w:rFonts w:ascii="宋体" w:hAnsi="宋体"/>
          <w:b/>
          <w:sz w:val="44"/>
          <w:szCs w:val="44"/>
        </w:rPr>
      </w:pPr>
      <w:r>
        <w:rPr>
          <w:rFonts w:hint="eastAsia" w:ascii="宋体" w:hAnsi="宋体"/>
          <w:b/>
          <w:sz w:val="44"/>
          <w:szCs w:val="44"/>
        </w:rPr>
        <w:t>证券投资基金</w:t>
      </w:r>
    </w:p>
    <w:p>
      <w:pPr>
        <w:spacing w:line="360" w:lineRule="auto"/>
        <w:jc w:val="center"/>
        <w:rPr>
          <w:rFonts w:ascii="宋体" w:hAnsi="宋体"/>
          <w:b/>
          <w:sz w:val="44"/>
          <w:szCs w:val="44"/>
        </w:rPr>
      </w:pPr>
      <w:r>
        <w:rPr>
          <w:rFonts w:hint="eastAsia" w:ascii="宋体" w:hAnsi="宋体"/>
          <w:b/>
          <w:sz w:val="44"/>
          <w:szCs w:val="44"/>
        </w:rPr>
        <w:t>招募说明书</w:t>
      </w:r>
      <w:bookmarkEnd w:id="4"/>
      <w:bookmarkEnd w:id="5"/>
      <w:bookmarkEnd w:id="6"/>
      <w:bookmarkEnd w:id="7"/>
      <w:bookmarkEnd w:id="8"/>
      <w:bookmarkEnd w:id="9"/>
      <w:bookmarkEnd w:id="10"/>
      <w:bookmarkEnd w:id="11"/>
      <w:bookmarkEnd w:id="12"/>
      <w:bookmarkEnd w:id="13"/>
      <w:bookmarkEnd w:id="14"/>
      <w:bookmarkEnd w:id="15"/>
      <w:bookmarkEnd w:id="16"/>
    </w:p>
    <w:p>
      <w:pPr>
        <w:spacing w:line="360" w:lineRule="auto"/>
        <w:jc w:val="center"/>
        <w:rPr>
          <w:rFonts w:ascii="宋体" w:hAnsi="宋体"/>
          <w:b/>
          <w:sz w:val="44"/>
          <w:szCs w:val="44"/>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ind w:left="1260" w:firstLine="420"/>
        <w:rPr>
          <w:rFonts w:ascii="宋体" w:hAnsi="宋体"/>
          <w:b/>
          <w:sz w:val="32"/>
          <w:szCs w:val="32"/>
        </w:rPr>
      </w:pPr>
      <w:r>
        <w:rPr>
          <w:rFonts w:ascii="宋体" w:hAnsi="宋体"/>
          <w:b/>
          <w:sz w:val="32"/>
          <w:szCs w:val="32"/>
        </w:rPr>
        <w:t>基金管理人：工银瑞信基金管理有限公司</w:t>
      </w:r>
    </w:p>
    <w:p>
      <w:pPr>
        <w:spacing w:line="360" w:lineRule="auto"/>
        <w:ind w:left="1260" w:firstLine="420"/>
        <w:rPr>
          <w:rFonts w:ascii="宋体" w:hAnsi="宋体"/>
          <w:b/>
          <w:sz w:val="32"/>
          <w:szCs w:val="32"/>
        </w:rPr>
      </w:pPr>
      <w:r>
        <w:rPr>
          <w:rFonts w:ascii="宋体" w:hAnsi="宋体"/>
          <w:b/>
          <w:sz w:val="32"/>
          <w:szCs w:val="32"/>
        </w:rPr>
        <w:t>基金托管人：</w:t>
      </w:r>
      <w:r>
        <w:rPr>
          <w:rFonts w:hint="eastAsia" w:ascii="宋体" w:hAnsi="宋体"/>
          <w:b/>
          <w:sz w:val="32"/>
          <w:szCs w:val="32"/>
        </w:rPr>
        <w:t>苏州银行股份有限公司</w:t>
      </w:r>
    </w:p>
    <w:p>
      <w:pPr>
        <w:spacing w:line="360" w:lineRule="auto"/>
        <w:ind w:firstLine="2880"/>
        <w:rPr>
          <w:rFonts w:ascii="宋体" w:hAnsi="宋体"/>
          <w:sz w:val="28"/>
        </w:rPr>
      </w:pPr>
    </w:p>
    <w:p>
      <w:pPr>
        <w:spacing w:line="360" w:lineRule="auto"/>
        <w:ind w:left="2520" w:firstLine="420"/>
        <w:rPr>
          <w:rFonts w:ascii="宋体" w:hAnsi="宋体"/>
          <w:b/>
          <w:sz w:val="30"/>
          <w:szCs w:val="30"/>
        </w:rPr>
      </w:pPr>
    </w:p>
    <w:p>
      <w:pPr>
        <w:spacing w:line="360" w:lineRule="auto"/>
        <w:jc w:val="center"/>
        <w:rPr>
          <w:rFonts w:ascii="宋体" w:hAnsi="宋体"/>
          <w:sz w:val="28"/>
        </w:rPr>
      </w:pPr>
    </w:p>
    <w:p>
      <w:pPr>
        <w:autoSpaceDE w:val="0"/>
        <w:autoSpaceDN w:val="0"/>
        <w:adjustRightInd w:val="0"/>
        <w:spacing w:line="360" w:lineRule="auto"/>
        <w:jc w:val="center"/>
        <w:rPr>
          <w:rFonts w:ascii="宋体" w:hAnsi="宋体"/>
          <w:b/>
          <w:sz w:val="28"/>
        </w:rPr>
        <w:sectPr>
          <w:headerReference r:id="rId5" w:type="first"/>
          <w:headerReference r:id="rId3" w:type="default"/>
          <w:headerReference r:id="rId4" w:type="even"/>
          <w:footerReference r:id="rId6" w:type="even"/>
          <w:type w:val="continuous"/>
          <w:pgSz w:w="11907" w:h="16840"/>
          <w:pgMar w:top="1440" w:right="1797" w:bottom="1440" w:left="1797" w:header="851" w:footer="992" w:gutter="0"/>
          <w:pgNumType w:start="1"/>
          <w:cols w:space="720" w:num="1"/>
          <w:titlePg/>
          <w:docGrid w:type="linesAndChars" w:linePitch="312" w:charSpace="0"/>
        </w:sectPr>
      </w:pPr>
    </w:p>
    <w:p>
      <w:pPr>
        <w:tabs>
          <w:tab w:val="center" w:pos="4153"/>
          <w:tab w:val="right" w:pos="8306"/>
        </w:tabs>
        <w:autoSpaceDE w:val="0"/>
        <w:autoSpaceDN w:val="0"/>
        <w:adjustRightInd w:val="0"/>
        <w:spacing w:line="360" w:lineRule="auto"/>
        <w:jc w:val="center"/>
        <w:rPr>
          <w:rFonts w:ascii="宋体" w:hAnsi="宋体"/>
          <w:b/>
          <w:sz w:val="28"/>
        </w:rPr>
      </w:pPr>
    </w:p>
    <w:p>
      <w:pPr>
        <w:tabs>
          <w:tab w:val="center" w:pos="4153"/>
          <w:tab w:val="right" w:pos="8306"/>
        </w:tabs>
        <w:autoSpaceDE w:val="0"/>
        <w:autoSpaceDN w:val="0"/>
        <w:adjustRightInd w:val="0"/>
        <w:spacing w:line="360" w:lineRule="auto"/>
        <w:jc w:val="center"/>
        <w:rPr>
          <w:rFonts w:ascii="宋体" w:hAnsi="宋体"/>
          <w:b/>
          <w:sz w:val="28"/>
        </w:rPr>
      </w:pPr>
      <w:r>
        <w:rPr>
          <w:rFonts w:hint="eastAsia" w:ascii="宋体" w:hAnsi="宋体"/>
          <w:b/>
          <w:sz w:val="28"/>
        </w:rPr>
        <w:t>重要提示</w:t>
      </w:r>
    </w:p>
    <w:p>
      <w:pPr>
        <w:autoSpaceDE w:val="0"/>
        <w:autoSpaceDN w:val="0"/>
        <w:adjustRightInd w:val="0"/>
        <w:spacing w:line="360" w:lineRule="auto"/>
        <w:ind w:firstLine="420"/>
        <w:rPr>
          <w:rFonts w:ascii="宋体" w:hAnsi="宋体"/>
        </w:rPr>
      </w:pPr>
      <w:r>
        <w:rPr>
          <w:rFonts w:ascii="宋体" w:hAnsi="宋体"/>
        </w:rPr>
        <w:t>本基金经中国证券监督管理委员会202</w:t>
      </w:r>
      <w:r>
        <w:rPr>
          <w:rFonts w:hint="eastAsia" w:ascii="宋体" w:hAnsi="宋体"/>
          <w:lang w:val="en-US" w:eastAsia="zh-CN"/>
        </w:rPr>
        <w:t>6</w:t>
      </w:r>
      <w:r>
        <w:rPr>
          <w:rFonts w:ascii="宋体" w:hAnsi="宋体"/>
        </w:rPr>
        <w:t>年</w:t>
      </w:r>
      <w:r>
        <w:rPr>
          <w:rFonts w:hint="eastAsia" w:ascii="宋体" w:hAnsi="宋体"/>
          <w:lang w:val="en-US" w:eastAsia="zh-CN"/>
        </w:rPr>
        <w:t>4</w:t>
      </w:r>
      <w:r>
        <w:rPr>
          <w:rFonts w:ascii="宋体" w:hAnsi="宋体"/>
        </w:rPr>
        <w:t>月</w:t>
      </w:r>
      <w:r>
        <w:rPr>
          <w:rFonts w:hint="eastAsia" w:ascii="宋体" w:hAnsi="宋体"/>
          <w:lang w:val="en-US" w:eastAsia="zh-CN"/>
        </w:rPr>
        <w:t>20</w:t>
      </w:r>
      <w:r>
        <w:rPr>
          <w:rFonts w:ascii="宋体" w:hAnsi="宋体"/>
        </w:rPr>
        <w:t>日证监</w:t>
      </w:r>
      <w:r>
        <w:rPr>
          <w:rFonts w:hint="eastAsia" w:ascii="宋体" w:hAnsi="宋体"/>
        </w:rPr>
        <w:t>许可【202</w:t>
      </w:r>
      <w:r>
        <w:rPr>
          <w:rFonts w:hint="eastAsia" w:ascii="宋体" w:hAnsi="宋体"/>
          <w:lang w:val="en-US" w:eastAsia="zh-CN"/>
        </w:rPr>
        <w:t>6</w:t>
      </w:r>
      <w:r>
        <w:rPr>
          <w:rFonts w:hint="eastAsia" w:ascii="宋体" w:hAnsi="宋体"/>
        </w:rPr>
        <w:t>】</w:t>
      </w:r>
      <w:r>
        <w:rPr>
          <w:rFonts w:hint="eastAsia" w:ascii="宋体" w:hAnsi="宋体"/>
          <w:lang w:val="en-US" w:eastAsia="zh-CN"/>
        </w:rPr>
        <w:t>907</w:t>
      </w:r>
      <w:r>
        <w:rPr>
          <w:rFonts w:ascii="宋体" w:hAnsi="宋体"/>
        </w:rPr>
        <w:t>号</w:t>
      </w:r>
      <w:r>
        <w:rPr>
          <w:rFonts w:hAnsi="宋体"/>
        </w:rPr>
        <w:t>文</w:t>
      </w:r>
      <w:r>
        <w:rPr>
          <w:rFonts w:hint="eastAsia" w:ascii="宋体" w:hAnsi="宋体"/>
        </w:rPr>
        <w:t>注册</w:t>
      </w:r>
      <w:r>
        <w:rPr>
          <w:rFonts w:ascii="宋体" w:hAnsi="宋体"/>
        </w:rPr>
        <w:t>募集。</w:t>
      </w:r>
    </w:p>
    <w:p>
      <w:pPr>
        <w:autoSpaceDE w:val="0"/>
        <w:autoSpaceDN w:val="0"/>
        <w:adjustRightInd w:val="0"/>
        <w:spacing w:line="360" w:lineRule="auto"/>
        <w:ind w:firstLine="420"/>
        <w:rPr>
          <w:rFonts w:ascii="宋体" w:hAnsi="宋体"/>
        </w:rPr>
      </w:pPr>
      <w:r>
        <w:rPr>
          <w:rFonts w:ascii="宋体" w:hAnsi="宋体"/>
        </w:rPr>
        <w:t>基金管理人保证本招募说明书的内容真实、准确、完整。本招募说明书经中国证监会</w:t>
      </w:r>
      <w:r>
        <w:rPr>
          <w:rFonts w:hint="eastAsia" w:ascii="宋体" w:hAnsi="宋体"/>
        </w:rPr>
        <w:t>注册</w:t>
      </w:r>
      <w:r>
        <w:rPr>
          <w:rFonts w:ascii="宋体" w:hAnsi="宋体"/>
        </w:rPr>
        <w:t>，但中国证监会对本基金募集的</w:t>
      </w:r>
      <w:r>
        <w:rPr>
          <w:rFonts w:hint="eastAsia" w:ascii="宋体" w:hAnsi="宋体"/>
        </w:rPr>
        <w:t>注册</w:t>
      </w:r>
      <w:r>
        <w:rPr>
          <w:rFonts w:ascii="宋体" w:hAnsi="宋体"/>
        </w:rPr>
        <w:t>，并不表明其对本基金的</w:t>
      </w:r>
      <w:r>
        <w:rPr>
          <w:rFonts w:hint="eastAsia" w:ascii="宋体" w:hAnsi="宋体"/>
        </w:rPr>
        <w:t>投资</w:t>
      </w:r>
      <w:r>
        <w:rPr>
          <w:rFonts w:ascii="宋体" w:hAnsi="宋体"/>
        </w:rPr>
        <w:t>价值和</w:t>
      </w:r>
      <w:r>
        <w:rPr>
          <w:rFonts w:hint="eastAsia" w:ascii="宋体" w:hAnsi="宋体"/>
        </w:rPr>
        <w:t>市场前景作</w:t>
      </w:r>
      <w:r>
        <w:rPr>
          <w:rFonts w:ascii="宋体" w:hAnsi="宋体"/>
        </w:rPr>
        <w:t>出实质性判断或保证，也不表明投资于本基金没有风险。</w:t>
      </w:r>
    </w:p>
    <w:p>
      <w:pPr>
        <w:autoSpaceDE w:val="0"/>
        <w:autoSpaceDN w:val="0"/>
        <w:adjustRightInd w:val="0"/>
        <w:spacing w:line="360" w:lineRule="auto"/>
        <w:ind w:firstLine="420"/>
        <w:rPr>
          <w:rFonts w:ascii="宋体" w:hAnsi="宋体"/>
        </w:rPr>
      </w:pPr>
      <w:r>
        <w:rPr>
          <w:rFonts w:hint="eastAsia" w:ascii="宋体" w:hAnsi="宋体"/>
        </w:rPr>
        <w:t>投资有风险，投资者认购（或申购）基金份额时应认真阅读基金合同、本招募说明书和基金产品资料概要等信息披露文件，全面认识本基金产品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w:t>
      </w:r>
    </w:p>
    <w:p>
      <w:pPr>
        <w:autoSpaceDE w:val="0"/>
        <w:autoSpaceDN w:val="0"/>
        <w:adjustRightInd w:val="0"/>
        <w:spacing w:line="360" w:lineRule="auto"/>
        <w:ind w:firstLine="420"/>
        <w:rPr>
          <w:rFonts w:ascii="宋体" w:hAnsi="宋体"/>
        </w:rPr>
      </w:pPr>
      <w:r>
        <w:rPr>
          <w:rFonts w:hint="eastAsia" w:ascii="宋体" w:hAnsi="宋体"/>
        </w:rPr>
        <w:t>本基金单一投资者（基金管理人、基金管理人高级管理人员或基金经理等人员作为发起资金提供方除外）持有基金份额数不得达到或超过基金份额总数的</w:t>
      </w:r>
      <w:r>
        <w:rPr>
          <w:rFonts w:ascii="宋体" w:hAnsi="宋体"/>
        </w:rPr>
        <w:t>50%</w:t>
      </w:r>
      <w:r>
        <w:rPr>
          <w:rFonts w:hint="eastAsia" w:ascii="宋体" w:hAnsi="宋体"/>
        </w:rPr>
        <w:t>，但在基金运作过程中因基金份额赎回等基金管理人无法予以控制的情形导致达到或超过</w:t>
      </w:r>
      <w:r>
        <w:rPr>
          <w:rFonts w:ascii="宋体" w:hAnsi="宋体"/>
        </w:rPr>
        <w:t>50%</w:t>
      </w:r>
      <w:r>
        <w:rPr>
          <w:rFonts w:hint="eastAsia" w:ascii="宋体" w:hAnsi="宋体"/>
        </w:rPr>
        <w:t>的除外。法律法规或监管机构另有规定的，从其规定。</w:t>
      </w:r>
    </w:p>
    <w:p>
      <w:pPr>
        <w:autoSpaceDE w:val="0"/>
        <w:autoSpaceDN w:val="0"/>
        <w:adjustRightInd w:val="0"/>
        <w:spacing w:line="360" w:lineRule="auto"/>
        <w:ind w:firstLine="420"/>
        <w:rPr>
          <w:rFonts w:ascii="宋体" w:hAnsi="宋体"/>
        </w:rPr>
      </w:pPr>
      <w:bookmarkStart w:id="17" w:name="OLE_LINK8"/>
      <w:r>
        <w:rPr>
          <w:rFonts w:hint="eastAsia" w:ascii="宋体" w:hAnsi="宋体"/>
        </w:rPr>
        <w:t>本基金投资于证券市场，基金净值会因为证券市场波动等因素产生波动，投资者在投资本基金前，应全面了解本基金的产品特性，理性判断市场，并承担基金投资中出现的各类风险，包括：投资组合的风险、管理风险、合规性风险、操作风险、本基金特定风险、本基金流动性风险、本基金法律文件风险收益特征表述与销售机构基金风险评价可能不一致的风险以及其他风险。</w:t>
      </w:r>
      <w:bookmarkStart w:id="18" w:name="OLE_LINK22"/>
    </w:p>
    <w:bookmarkEnd w:id="17"/>
    <w:p>
      <w:pPr>
        <w:autoSpaceDE w:val="0"/>
        <w:autoSpaceDN w:val="0"/>
        <w:adjustRightInd w:val="0"/>
        <w:spacing w:line="360" w:lineRule="auto"/>
        <w:ind w:firstLine="420"/>
        <w:rPr>
          <w:rFonts w:ascii="宋体" w:hAnsi="宋体"/>
        </w:rPr>
      </w:pPr>
      <w:r>
        <w:rPr>
          <w:rFonts w:hint="eastAsia" w:ascii="宋体" w:hAnsi="宋体"/>
        </w:rPr>
        <w:t>本基金为混合型基金，一般情况下，预期收益和风险水平低于股票型基金，高于债券型基金与货币市场基金。本基金如果投资港股通投资标的股票，还需承担港股通机制下因投资环境、投资标的、市场制度以及交易规则等差异带来的特有风险。</w:t>
      </w:r>
    </w:p>
    <w:p>
      <w:pPr>
        <w:autoSpaceDE w:val="0"/>
        <w:autoSpaceDN w:val="0"/>
        <w:adjustRightInd w:val="0"/>
        <w:spacing w:line="360" w:lineRule="auto"/>
        <w:ind w:firstLine="420"/>
        <w:rPr>
          <w:rFonts w:ascii="宋体" w:hAnsi="宋体"/>
        </w:rPr>
      </w:pPr>
      <w:r>
        <w:rPr>
          <w:rFonts w:hint="eastAsia" w:ascii="宋体" w:hAnsi="宋体"/>
        </w:rPr>
        <w:t>本基金的投资范围为具有良好流动性的金融工具，包括国内依法发行上市交易的股票（包括主板、创业板、科创板及其他中国证监会允许基金投资的股票、存托凭证）、内地与香港股票市场交易互联互通机制允许买卖的规定范围内的香港联合交易所上市的股票（以下简称“港股通投资标的股票”）、股指期货、债券（包括国债、地方政府债、政府支持机构债券、金融债、企业债、公司债、次级债、可转换债券、分离交易可转债、可交换债券、央行票据、中期票据、短期融资券、超短期融资券）、国债期货、资产支持证券、债券回购、银行存款、同业存单、现金，以及法律法规或监管机构允许基金投资的其他金融工具（但须符合监管机构的相关规定）。</w:t>
      </w:r>
    </w:p>
    <w:p>
      <w:pPr>
        <w:autoSpaceDE w:val="0"/>
        <w:autoSpaceDN w:val="0"/>
        <w:adjustRightInd w:val="0"/>
        <w:spacing w:line="360" w:lineRule="auto"/>
        <w:ind w:firstLine="420"/>
        <w:rPr>
          <w:rFonts w:ascii="宋体" w:hAnsi="宋体"/>
        </w:rPr>
      </w:pPr>
      <w:r>
        <w:rPr>
          <w:rFonts w:hint="eastAsia" w:ascii="宋体" w:hAnsi="宋体"/>
        </w:rPr>
        <w:t>本基金的投资组合比例为：股票资产占基金资产的比例为</w:t>
      </w:r>
      <w:r>
        <w:rPr>
          <w:rFonts w:ascii="宋体" w:hAnsi="宋体"/>
        </w:rPr>
        <w:t>60%</w:t>
      </w:r>
      <w:r>
        <w:rPr>
          <w:rFonts w:hint="eastAsia" w:ascii="宋体" w:hAnsi="宋体"/>
        </w:rPr>
        <w:t>–</w:t>
      </w:r>
      <w:r>
        <w:rPr>
          <w:rFonts w:ascii="宋体" w:hAnsi="宋体"/>
        </w:rPr>
        <w:t>95%</w:t>
      </w:r>
      <w:r>
        <w:rPr>
          <w:rFonts w:hint="eastAsia" w:ascii="宋体" w:hAnsi="宋体"/>
        </w:rPr>
        <w:t>（投资于港股通投资标的股票的比例占基金股票资产的比例为</w:t>
      </w:r>
      <w:r>
        <w:rPr>
          <w:rFonts w:ascii="宋体" w:hAnsi="宋体"/>
        </w:rPr>
        <w:t>0%-50%</w:t>
      </w:r>
      <w:r>
        <w:rPr>
          <w:rFonts w:hint="eastAsia" w:ascii="宋体" w:hAnsi="宋体"/>
        </w:rPr>
        <w:t>），其中投资于本基金界定的新能源主题范围内的股票不低于非现金基金资产的</w:t>
      </w:r>
      <w:r>
        <w:rPr>
          <w:rFonts w:ascii="宋体" w:hAnsi="宋体"/>
        </w:rPr>
        <w:t>80%</w:t>
      </w:r>
      <w:r>
        <w:rPr>
          <w:rFonts w:hint="eastAsia" w:ascii="宋体" w:hAnsi="宋体"/>
        </w:rPr>
        <w:t>；每个交易日日终在扣除股指期货合约、国债期货合约需缴纳的交易保证金后，应当保持不低于基金资产净值的</w:t>
      </w:r>
      <w:r>
        <w:rPr>
          <w:rFonts w:ascii="宋体" w:hAnsi="宋体"/>
        </w:rPr>
        <w:t>5%</w:t>
      </w:r>
      <w:r>
        <w:rPr>
          <w:rFonts w:hint="eastAsia" w:ascii="宋体" w:hAnsi="宋体"/>
        </w:rPr>
        <w:t>的现金或到期日在一年以内的政府债券，其中现金不包括结算备付金、存出保证金、应收申购款等。</w:t>
      </w:r>
    </w:p>
    <w:bookmarkEnd w:id="18"/>
    <w:p>
      <w:pPr>
        <w:autoSpaceDE w:val="0"/>
        <w:autoSpaceDN w:val="0"/>
        <w:adjustRightInd w:val="0"/>
        <w:spacing w:line="360" w:lineRule="auto"/>
        <w:ind w:firstLine="420"/>
        <w:rPr>
          <w:rFonts w:ascii="宋体" w:hAnsi="宋体"/>
        </w:rPr>
      </w:pPr>
      <w:r>
        <w:rPr>
          <w:rFonts w:hint="eastAsia" w:ascii="宋体" w:hAnsi="宋体"/>
        </w:rPr>
        <w:t>本基金发售面值为人民币1.00元。在市场波动因素影响下，本基金净值可能低于发售面值，本基金投资者有可能出现亏损。</w:t>
      </w:r>
    </w:p>
    <w:p>
      <w:pPr>
        <w:autoSpaceDE w:val="0"/>
        <w:autoSpaceDN w:val="0"/>
        <w:adjustRightInd w:val="0"/>
        <w:spacing w:line="360" w:lineRule="auto"/>
        <w:ind w:firstLine="420"/>
        <w:rPr>
          <w:rFonts w:ascii="宋体" w:hAnsi="宋体"/>
        </w:rPr>
      </w:pPr>
      <w:bookmarkStart w:id="19" w:name="OLE_LINK6"/>
      <w:r>
        <w:rPr>
          <w:rFonts w:hint="eastAsia" w:ascii="宋体" w:hAnsi="宋体"/>
        </w:rPr>
        <w:t>本基金参与内地与香港股票市场交易互联互通机制下港股通相关业务，基金资产投资于港股，会面临港股通机制下因投资环境、投资标的、市场制度以及交易规则等差异带来的特有风险，包括港股交易失败风险、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基金的风险揭示”章节的具体内容。本基金可根据投资策略需要或不同配置地的市场环境的变化，选择将部分基金资产投资于港股或选择不将基金资产投资于港股，基金资产并非必然投资港股。</w:t>
      </w:r>
    </w:p>
    <w:p>
      <w:pPr>
        <w:autoSpaceDE w:val="0"/>
        <w:autoSpaceDN w:val="0"/>
        <w:adjustRightInd w:val="0"/>
        <w:spacing w:line="360" w:lineRule="auto"/>
        <w:ind w:firstLine="420"/>
        <w:rPr>
          <w:rFonts w:hAnsi="宋体"/>
          <w:szCs w:val="21"/>
        </w:rPr>
      </w:pPr>
      <w:r>
        <w:rPr>
          <w:rFonts w:hint="eastAsia" w:hAnsi="宋体"/>
          <w:szCs w:val="21"/>
        </w:rPr>
        <w:t>本基金可投资股指期货和国债期货，期货采用保证金交易制度，由于保证金交易具有杠杆性，当出现不利行情时，股价指数微小的变动或者相应期限国债收益率出现不利变动，可能会使投资人权益遭受较大损失。期货投资采用每日无负债结算制度，如果没有在规定的时间内补足保证金，按规定将被强制平仓，可能给投资带来重大损失。</w:t>
      </w:r>
    </w:p>
    <w:p>
      <w:pPr>
        <w:autoSpaceDE w:val="0"/>
        <w:autoSpaceDN w:val="0"/>
        <w:adjustRightInd w:val="0"/>
        <w:spacing w:line="360" w:lineRule="auto"/>
        <w:ind w:firstLine="420" w:firstLineChars="200"/>
        <w:rPr>
          <w:rFonts w:hAnsi="宋体"/>
          <w:szCs w:val="21"/>
        </w:rPr>
      </w:pPr>
      <w:r>
        <w:rPr>
          <w:rFonts w:hint="eastAsia" w:hAnsi="宋体"/>
          <w:szCs w:val="21"/>
        </w:rPr>
        <w:t>本基金可投资资产支持证券，资产支持证券具有一定的价格波动风险、流动性风险、信用风险等风险。价格波动风险指的是市场利率波动会导致资产支持证券的收益率和价格波动。流动性风险指的是受资产支持证券市场规模及交易活跃程度的影响，资产支持证券可能无法在同一价格水平上进行较大数量的买入或卖出，存在一定的流动性风险。信用风险指的基金所投资的资产支持证券之债务人出现违约，或在交易过程中发生交收违约，或由于资产支持证券信用质量降低导致证券价格下降，造成基金财产损失。</w:t>
      </w:r>
    </w:p>
    <w:p>
      <w:pPr>
        <w:autoSpaceDE w:val="0"/>
        <w:autoSpaceDN w:val="0"/>
        <w:adjustRightInd w:val="0"/>
        <w:spacing w:line="360" w:lineRule="auto"/>
        <w:ind w:firstLine="420" w:firstLineChars="200"/>
        <w:rPr>
          <w:rFonts w:hAnsi="宋体"/>
          <w:szCs w:val="21"/>
        </w:rPr>
      </w:pPr>
      <w:r>
        <w:rPr>
          <w:rFonts w:hint="eastAsia" w:hAnsi="宋体"/>
          <w:szCs w:val="21"/>
        </w:rPr>
        <w:t>本基金的投资范围包括存托凭证，若投资可能面临中国存托凭证价格大幅波动甚至出现较大亏损的风险，以及与创新企业、境外发行人、中国存托凭证发行机制以及交易机制等相关的风险。具体风险烦请查阅本基金招募说明书的“基金的风险揭示”章节的具体内容。</w:t>
      </w:r>
    </w:p>
    <w:p>
      <w:pPr>
        <w:autoSpaceDE w:val="0"/>
        <w:autoSpaceDN w:val="0"/>
        <w:adjustRightInd w:val="0"/>
        <w:spacing w:line="360" w:lineRule="auto"/>
        <w:ind w:firstLine="420" w:firstLineChars="200"/>
        <w:rPr>
          <w:rFonts w:hAnsi="宋体"/>
          <w:szCs w:val="21"/>
        </w:rPr>
      </w:pPr>
      <w:r>
        <w:rPr>
          <w:rFonts w:hint="eastAsia" w:hAnsi="宋体"/>
          <w:szCs w:val="21"/>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autoSpaceDE w:val="0"/>
        <w:autoSpaceDN w:val="0"/>
        <w:adjustRightInd w:val="0"/>
        <w:spacing w:line="360" w:lineRule="auto"/>
        <w:ind w:firstLine="420" w:firstLineChars="200"/>
        <w:rPr>
          <w:rFonts w:hAnsi="宋体"/>
          <w:szCs w:val="21"/>
        </w:rPr>
      </w:pPr>
      <w:r>
        <w:rPr>
          <w:rFonts w:hint="eastAsia" w:hAnsi="宋体"/>
          <w:szCs w:val="21"/>
        </w:rPr>
        <w:t>本基金的管理费由固定管理费、或有管理费和超额管理费组成，其中或有管理费和超额管理费取决于每笔基金份额的持有期限和持有期间年化收益率水平（详见基金合同“第十五部分 基金费用与税收”），因此投资者在认购</w:t>
      </w:r>
      <w:r>
        <w:rPr>
          <w:rFonts w:hAnsi="宋体"/>
          <w:szCs w:val="21"/>
        </w:rPr>
        <w:t>/</w:t>
      </w:r>
      <w:r>
        <w:rPr>
          <w:rFonts w:hint="eastAsia" w:hAnsi="宋体"/>
          <w:szCs w:val="21"/>
        </w:rPr>
        <w:t>申购</w:t>
      </w:r>
      <w:r>
        <w:rPr>
          <w:rFonts w:hAnsi="宋体"/>
          <w:szCs w:val="21"/>
        </w:rPr>
        <w:t>/</w:t>
      </w:r>
      <w:r>
        <w:rPr>
          <w:rFonts w:hint="eastAsia" w:hAnsi="宋体"/>
          <w:szCs w:val="21"/>
        </w:rPr>
        <w:t>转换转入本基金时无法预先确定该笔基金份额适用的管理费水平。</w:t>
      </w:r>
    </w:p>
    <w:p>
      <w:pPr>
        <w:autoSpaceDE w:val="0"/>
        <w:autoSpaceDN w:val="0"/>
        <w:adjustRightInd w:val="0"/>
        <w:spacing w:line="360" w:lineRule="auto"/>
        <w:ind w:firstLine="420" w:firstLineChars="200"/>
        <w:rPr>
          <w:rFonts w:hAnsi="宋体"/>
          <w:szCs w:val="21"/>
        </w:rPr>
      </w:pPr>
      <w:r>
        <w:rPr>
          <w:rFonts w:hint="eastAsia" w:hAnsi="宋体"/>
          <w:szCs w:val="21"/>
        </w:rPr>
        <w:t>由于本基金在计算各类基金份额净值时，按前一日基金资产净值的1.20%年费率计算管理费，该费率可能高于或低于不同投资者最终适用的管理费率。在基金份额赎回、转换转出或基金合同终止的情形发生时，基金投资者实际收到的赎回款项或清算款项的金额可能与按披露的该类基金份额净值计算的结果存在差异。投资者的实际赎回金额或清算资金以登记机构确认数据为准。</w:t>
      </w:r>
    </w:p>
    <w:p>
      <w:pPr>
        <w:autoSpaceDE w:val="0"/>
        <w:autoSpaceDN w:val="0"/>
        <w:adjustRightInd w:val="0"/>
        <w:spacing w:line="360" w:lineRule="auto"/>
        <w:ind w:firstLine="420" w:firstLineChars="200"/>
        <w:rPr>
          <w:rFonts w:hAnsi="宋体"/>
          <w:szCs w:val="21"/>
        </w:rPr>
      </w:pPr>
      <w:r>
        <w:rPr>
          <w:rFonts w:hint="eastAsia" w:hAnsi="宋体"/>
          <w:szCs w:val="21"/>
        </w:rPr>
        <w:t>本基金采用浮动管理费的收费模式，不代表基金管理人对基金收益的保证。</w:t>
      </w:r>
    </w:p>
    <w:p>
      <w:pPr>
        <w:autoSpaceDE w:val="0"/>
        <w:autoSpaceDN w:val="0"/>
        <w:adjustRightInd w:val="0"/>
        <w:spacing w:line="360" w:lineRule="auto"/>
        <w:ind w:firstLine="420"/>
      </w:pPr>
      <w:r>
        <w:rPr>
          <w:rFonts w:hint="eastAsia" w:ascii="宋体" w:hAnsi="宋体"/>
        </w:rPr>
        <w:t>本基金对投资者通过直销机构认/申购C类基金份额计提的销售服务费、通过非直销销售机构认/申购的C类基金份额持续持有期限超过一年继续计提的销售服务费采取先收后返的模式，基金投资者实际收到的赎回款项或清算款项的金额可能与按披露的C类基金份额净值计算的结果存在差异。投资者的实际赎回金额和清算资金以登记机构确认数据为准。</w:t>
      </w:r>
    </w:p>
    <w:p>
      <w:pPr>
        <w:autoSpaceDE w:val="0"/>
        <w:autoSpaceDN w:val="0"/>
        <w:adjustRightInd w:val="0"/>
        <w:spacing w:line="360" w:lineRule="auto"/>
        <w:ind w:firstLine="420" w:firstLineChars="200"/>
        <w:rPr>
          <w:rFonts w:hint="eastAsia" w:hAnsi="宋体"/>
          <w:szCs w:val="21"/>
        </w:rPr>
      </w:pPr>
      <w:r>
        <w:rPr>
          <w:rFonts w:hint="eastAsia" w:hAnsi="宋体"/>
          <w:szCs w:val="21"/>
        </w:rPr>
        <w:t>本基金为发起式基金，《基金合同》生效满3年后的对应日，若基金资产净值低于2亿元，《基金合同》将自动终止，且不得通过召开基金份额持有人大会的方式延续。故投资者还将面临基金合同终止的风险。</w:t>
      </w:r>
      <w:bookmarkEnd w:id="19"/>
    </w:p>
    <w:p>
      <w:pPr>
        <w:autoSpaceDE w:val="0"/>
        <w:autoSpaceDN w:val="0"/>
        <w:adjustRightInd w:val="0"/>
        <w:spacing w:line="360" w:lineRule="auto"/>
        <w:ind w:firstLine="420" w:firstLineChars="200"/>
        <w:rPr>
          <w:rFonts w:hint="eastAsia" w:hAnsi="宋体"/>
          <w:szCs w:val="21"/>
        </w:rPr>
      </w:pPr>
      <w:r>
        <w:rPr>
          <w:rFonts w:hint="eastAsia" w:hAnsi="宋体"/>
          <w:szCs w:val="21"/>
        </w:rPr>
        <w:t>本基金场内投资采用证券公司交易和结算模式，即本基金参与证券交易所场内投资部分将通过基金管理人选定的证券经纪机构进行场内交易，并由选定的证券经纪商作为结算参与人代理本基金进行结算，该种交易和结算模式可能增加本基金投资运作过程中的交易指令传输和资金使用效率降低的风险、无法完成当日估值的风险、信息系统风险、操作风险、交易结算风险、基金投资非公开信息泄露的风险等。</w:t>
      </w:r>
    </w:p>
    <w:p>
      <w:pPr>
        <w:spacing w:line="360" w:lineRule="auto"/>
        <w:ind w:firstLine="420"/>
        <w:rPr>
          <w:rFonts w:ascii="宋体" w:hAnsi="宋体"/>
        </w:rPr>
      </w:pPr>
      <w:r>
        <w:rPr>
          <w:rFonts w:hint="eastAsia" w:ascii="宋体" w:hAnsi="宋体"/>
        </w:rPr>
        <w:t>本基金可投资创业板，面临的风险包括但不限于公司风险、股价波动较大的风险、退市风险和境外企业风险。</w:t>
      </w:r>
    </w:p>
    <w:p>
      <w:pPr>
        <w:spacing w:line="360" w:lineRule="auto"/>
        <w:ind w:firstLine="420"/>
        <w:rPr>
          <w:rFonts w:ascii="宋体" w:hAnsi="宋体"/>
        </w:rPr>
      </w:pPr>
      <w:r>
        <w:rPr>
          <w:rFonts w:ascii="宋体" w:hAnsi="宋体"/>
        </w:rPr>
        <w:t>本基金可投资科创板，面临的风险包括但不限于流动性风险、退市风险、投资集中度风险、股价大幅波</w:t>
      </w:r>
      <w:r>
        <w:rPr>
          <w:rFonts w:hint="eastAsia" w:ascii="宋体" w:hAnsi="宋体"/>
        </w:rPr>
        <w:t>动风险和无法盈利甚至较大亏损的风险。</w:t>
      </w:r>
    </w:p>
    <w:p>
      <w:pPr>
        <w:autoSpaceDE w:val="0"/>
        <w:autoSpaceDN w:val="0"/>
        <w:adjustRightInd w:val="0"/>
        <w:spacing w:line="360" w:lineRule="auto"/>
        <w:ind w:firstLine="420"/>
        <w:rPr>
          <w:rFonts w:ascii="宋体" w:hAnsi="宋体"/>
        </w:rPr>
      </w:pPr>
      <w:r>
        <w:rPr>
          <w:rFonts w:hint="eastAsia" w:ascii="宋体" w:hAnsi="宋体"/>
        </w:rPr>
        <w:t>基金的过往业绩并不预示其未来表现。基金管理人管理的其它基金的业绩并不构成对本基金业绩表现的保证。</w:t>
      </w:r>
      <w:r>
        <w:rPr>
          <w:rFonts w:ascii="宋体" w:hAnsi="宋体"/>
        </w:rPr>
        <w:t>基金管理人</w:t>
      </w:r>
      <w:r>
        <w:rPr>
          <w:rFonts w:hint="eastAsia" w:ascii="宋体" w:hAnsi="宋体"/>
        </w:rPr>
        <w:t>依照</w:t>
      </w:r>
      <w:r>
        <w:rPr>
          <w:rFonts w:ascii="宋体" w:hAnsi="宋体"/>
        </w:rPr>
        <w:t>恪尽职守、诚实信用、</w:t>
      </w:r>
      <w:r>
        <w:rPr>
          <w:rFonts w:hint="eastAsia" w:ascii="宋体" w:hAnsi="宋体"/>
        </w:rPr>
        <w:t>谨慎勤勉</w:t>
      </w:r>
      <w:r>
        <w:rPr>
          <w:rFonts w:ascii="宋体" w:hAnsi="宋体"/>
        </w:rPr>
        <w:t>的原则管理和运用基金财产</w:t>
      </w:r>
      <w:r>
        <w:rPr>
          <w:rFonts w:hint="eastAsia" w:ascii="宋体" w:hAnsi="宋体"/>
        </w:rPr>
        <w:t>，但不</w:t>
      </w:r>
      <w:r>
        <w:rPr>
          <w:rFonts w:ascii="宋体" w:hAnsi="宋体"/>
        </w:rPr>
        <w:t>保证基金一定盈利，也不保证最低收益。</w:t>
      </w:r>
    </w:p>
    <w:p>
      <w:pPr>
        <w:pStyle w:val="27"/>
        <w:tabs>
          <w:tab w:val="right" w:leader="dot" w:pos="8456"/>
        </w:tabs>
        <w:spacing w:line="360" w:lineRule="auto"/>
        <w:ind w:firstLine="3220" w:firstLineChars="1150"/>
        <w:rPr>
          <w:rFonts w:ascii="仿宋_GB2312" w:hAnsi="宋体" w:eastAsia="仿宋_GB2312"/>
          <w:b/>
          <w:sz w:val="28"/>
          <w:szCs w:val="28"/>
        </w:rPr>
      </w:pPr>
      <w:bookmarkStart w:id="372" w:name="_GoBack"/>
      <w:bookmarkEnd w:id="372"/>
      <w:bookmarkStart w:id="20" w:name="_Toc106961477"/>
      <w:bookmarkStart w:id="21" w:name="_Toc211420347"/>
      <w:bookmarkStart w:id="22" w:name="_Toc223336162"/>
      <w:bookmarkStart w:id="23" w:name="_Toc203806283"/>
      <w:bookmarkStart w:id="24" w:name="_Toc245031290"/>
      <w:r>
        <w:rPr>
          <w:rFonts w:ascii="仿宋_GB2312" w:hAnsi="宋体" w:eastAsia="仿宋_GB2312"/>
          <w:b/>
          <w:sz w:val="28"/>
          <w:szCs w:val="28"/>
        </w:rPr>
        <w:br w:type="page"/>
      </w:r>
      <w:r>
        <w:rPr>
          <w:rFonts w:hint="eastAsia" w:ascii="仿宋_GB2312" w:hAnsi="宋体" w:eastAsia="仿宋_GB2312"/>
          <w:b/>
          <w:sz w:val="28"/>
          <w:szCs w:val="28"/>
        </w:rPr>
        <w:t xml:space="preserve">目 </w:t>
      </w:r>
      <w:r>
        <w:rPr>
          <w:rFonts w:ascii="仿宋_GB2312" w:hAnsi="宋体" w:eastAsia="仿宋_GB2312"/>
          <w:b/>
          <w:sz w:val="28"/>
          <w:szCs w:val="28"/>
        </w:rPr>
        <w:t xml:space="preserve">   </w:t>
      </w:r>
      <w:r>
        <w:rPr>
          <w:rFonts w:hint="eastAsia" w:ascii="仿宋_GB2312" w:hAnsi="宋体" w:eastAsia="仿宋_GB2312"/>
          <w:b/>
          <w:sz w:val="28"/>
          <w:szCs w:val="28"/>
        </w:rPr>
        <w:t>录</w:t>
      </w:r>
      <w:bookmarkEnd w:id="20"/>
      <w:bookmarkEnd w:id="21"/>
      <w:bookmarkEnd w:id="22"/>
      <w:bookmarkEnd w:id="23"/>
      <w:bookmarkEnd w:id="24"/>
    </w:p>
    <w:p>
      <w:pPr>
        <w:pStyle w:val="27"/>
        <w:tabs>
          <w:tab w:val="right" w:leader="dot" w:pos="8303"/>
        </w:tabs>
        <w:spacing w:line="360" w:lineRule="auto"/>
        <w:ind w:left="0" w:leftChars="0"/>
        <w:rPr>
          <w:rFonts w:hAnsi="宋体"/>
        </w:rPr>
      </w:pPr>
      <w:r>
        <w:rPr>
          <w:rFonts w:hAnsi="宋体"/>
        </w:rPr>
        <w:fldChar w:fldCharType="begin"/>
      </w:r>
      <w:r>
        <w:rPr>
          <w:rFonts w:hAnsi="宋体"/>
        </w:rPr>
        <w:instrText xml:space="preserve"> TOC \o "1-3" \h \z \u </w:instrText>
      </w:r>
      <w:r>
        <w:rPr>
          <w:rFonts w:hAnsi="宋体"/>
        </w:rPr>
        <w:fldChar w:fldCharType="separate"/>
      </w:r>
      <w:r>
        <w:fldChar w:fldCharType="begin"/>
      </w:r>
      <w:r>
        <w:instrText xml:space="preserve"> HYPERLINK \l "_Toc55987057" </w:instrText>
      </w:r>
      <w:r>
        <w:fldChar w:fldCharType="separate"/>
      </w:r>
      <w:r>
        <w:t>一、绪言</w:t>
      </w:r>
      <w:r>
        <w:rPr>
          <w:rFonts w:hAnsi="宋体"/>
        </w:rPr>
        <w:tab/>
      </w:r>
      <w:r>
        <w:rPr>
          <w:rFonts w:hAnsi="宋体"/>
        </w:rPr>
        <w:fldChar w:fldCharType="begin"/>
      </w:r>
      <w:r>
        <w:rPr>
          <w:rFonts w:hAnsi="宋体"/>
        </w:rPr>
        <w:instrText xml:space="preserve"> PAGEREF _Toc55987057 \h </w:instrText>
      </w:r>
      <w:r>
        <w:rPr>
          <w:rFonts w:hAnsi="宋体"/>
        </w:rPr>
        <w:fldChar w:fldCharType="separate"/>
      </w:r>
      <w:r>
        <w:rPr>
          <w:rFonts w:hAnsi="宋体"/>
        </w:rPr>
        <w:t>1</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"_Toc55987058" </w:instrText>
      </w:r>
      <w:r>
        <w:fldChar w:fldCharType="separate"/>
      </w:r>
      <w:r>
        <w:t>二、释义</w:t>
      </w:r>
      <w:r>
        <w:rPr>
          <w:rFonts w:hAnsi="宋体"/>
        </w:rPr>
        <w:tab/>
      </w:r>
      <w:r>
        <w:rPr>
          <w:rFonts w:hAnsi="宋体"/>
        </w:rPr>
        <w:fldChar w:fldCharType="begin"/>
      </w:r>
      <w:r>
        <w:rPr>
          <w:rFonts w:hAnsi="宋体"/>
        </w:rPr>
        <w:instrText xml:space="preserve"> PAGEREF _Toc55987058 \h </w:instrText>
      </w:r>
      <w:r>
        <w:rPr>
          <w:rFonts w:hAnsi="宋体"/>
        </w:rPr>
        <w:fldChar w:fldCharType="separate"/>
      </w:r>
      <w:r>
        <w:rPr>
          <w:rFonts w:hAnsi="宋体"/>
        </w:rPr>
        <w:t>2</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"_Toc55987059" </w:instrText>
      </w:r>
      <w:r>
        <w:fldChar w:fldCharType="separate"/>
      </w:r>
      <w:r>
        <w:t>三、基金管理人</w:t>
      </w:r>
      <w:r>
        <w:rPr>
          <w:rFonts w:hAnsi="宋体"/>
        </w:rPr>
        <w:tab/>
      </w:r>
      <w:r>
        <w:rPr>
          <w:rFonts w:hAnsi="宋体"/>
        </w:rPr>
        <w:fldChar w:fldCharType="begin"/>
      </w:r>
      <w:r>
        <w:rPr>
          <w:rFonts w:hAnsi="宋体"/>
        </w:rPr>
        <w:instrText xml:space="preserve"> PAGEREF _Toc55987059 \h </w:instrText>
      </w:r>
      <w:r>
        <w:rPr>
          <w:rFonts w:hAnsi="宋体"/>
        </w:rPr>
        <w:fldChar w:fldCharType="separate"/>
      </w:r>
      <w:r>
        <w:rPr>
          <w:rFonts w:hAnsi="宋体"/>
        </w:rPr>
        <w:t>7</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"_Toc55987060" </w:instrText>
      </w:r>
      <w:r>
        <w:fldChar w:fldCharType="separate"/>
      </w:r>
      <w:r>
        <w:t>四、基金托管人</w:t>
      </w:r>
      <w:r>
        <w:rPr>
          <w:rFonts w:hAnsi="宋体"/>
        </w:rPr>
        <w:tab/>
      </w:r>
      <w:r>
        <w:rPr>
          <w:rFonts w:hAnsi="宋体"/>
        </w:rPr>
        <w:fldChar w:fldCharType="begin"/>
      </w:r>
      <w:r>
        <w:rPr>
          <w:rFonts w:hAnsi="宋体"/>
        </w:rPr>
        <w:instrText xml:space="preserve"> PAGEREF _Toc55987060 \h </w:instrText>
      </w:r>
      <w:r>
        <w:rPr>
          <w:rFonts w:hAnsi="宋体"/>
        </w:rPr>
        <w:fldChar w:fldCharType="separate"/>
      </w:r>
      <w:r>
        <w:rPr>
          <w:rFonts w:hAnsi="宋体"/>
        </w:rPr>
        <w:t>18</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"_Toc55987061" </w:instrText>
      </w:r>
      <w:r>
        <w:fldChar w:fldCharType="separate"/>
      </w:r>
      <w:r>
        <w:t>五、相关服务机构</w:t>
      </w:r>
      <w:r>
        <w:rPr>
          <w:rFonts w:hAnsi="宋体"/>
        </w:rPr>
        <w:tab/>
      </w:r>
      <w:r>
        <w:rPr>
          <w:rFonts w:hAnsi="宋体"/>
        </w:rPr>
        <w:fldChar w:fldCharType="begin"/>
      </w:r>
      <w:r>
        <w:rPr>
          <w:rFonts w:hAnsi="宋体"/>
        </w:rPr>
        <w:instrText xml:space="preserve"> PAGEREF _Toc55987061 \h </w:instrText>
      </w:r>
      <w:r>
        <w:rPr>
          <w:rFonts w:hAnsi="宋体"/>
        </w:rPr>
        <w:fldChar w:fldCharType="separate"/>
      </w:r>
      <w:r>
        <w:rPr>
          <w:rFonts w:hAnsi="宋体"/>
        </w:rPr>
        <w:t>21</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"_Toc55987062" </w:instrText>
      </w:r>
      <w:r>
        <w:fldChar w:fldCharType="separate"/>
      </w:r>
      <w:r>
        <w:t>六、基金的募集</w:t>
      </w:r>
      <w:r>
        <w:rPr>
          <w:rFonts w:hAnsi="宋体"/>
        </w:rPr>
        <w:tab/>
      </w:r>
      <w:r>
        <w:rPr>
          <w:rFonts w:hAnsi="宋体"/>
        </w:rPr>
        <w:fldChar w:fldCharType="begin"/>
      </w:r>
      <w:r>
        <w:rPr>
          <w:rFonts w:hAnsi="宋体"/>
        </w:rPr>
        <w:instrText xml:space="preserve"> PAGEREF _Toc55987062 \h </w:instrText>
      </w:r>
      <w:r>
        <w:rPr>
          <w:rFonts w:hAnsi="宋体"/>
        </w:rPr>
        <w:fldChar w:fldCharType="separate"/>
      </w:r>
      <w:r>
        <w:rPr>
          <w:rFonts w:hAnsi="宋体"/>
        </w:rPr>
        <w:t>23</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"_Toc55987063" </w:instrText>
      </w:r>
      <w:r>
        <w:fldChar w:fldCharType="separate"/>
      </w:r>
      <w:r>
        <w:t>七、基金合同的生效</w:t>
      </w:r>
      <w:r>
        <w:rPr>
          <w:rFonts w:hAnsi="宋体"/>
        </w:rPr>
        <w:tab/>
      </w:r>
      <w:r>
        <w:rPr>
          <w:rFonts w:hAnsi="宋体"/>
        </w:rPr>
        <w:fldChar w:fldCharType="begin"/>
      </w:r>
      <w:r>
        <w:rPr>
          <w:rFonts w:hAnsi="宋体"/>
        </w:rPr>
        <w:instrText xml:space="preserve"> PAGEREF _Toc55987063 \h </w:instrText>
      </w:r>
      <w:r>
        <w:rPr>
          <w:rFonts w:hAnsi="宋体"/>
        </w:rPr>
        <w:fldChar w:fldCharType="separate"/>
      </w:r>
      <w:r>
        <w:rPr>
          <w:rFonts w:hAnsi="宋体"/>
        </w:rPr>
        <w:t>28</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"_Toc55987064" </w:instrText>
      </w:r>
      <w:r>
        <w:fldChar w:fldCharType="separate"/>
      </w:r>
      <w:r>
        <w:t>八、基金份额的申购、赎回与转换</w:t>
      </w:r>
      <w:r>
        <w:rPr>
          <w:rFonts w:hAnsi="宋体"/>
        </w:rPr>
        <w:tab/>
      </w:r>
      <w:r>
        <w:rPr>
          <w:rFonts w:hAnsi="宋体"/>
        </w:rPr>
        <w:fldChar w:fldCharType="begin"/>
      </w:r>
      <w:r>
        <w:rPr>
          <w:rFonts w:hAnsi="宋体"/>
        </w:rPr>
        <w:instrText xml:space="preserve"> PAGEREF _Toc55987064 \h </w:instrText>
      </w:r>
      <w:r>
        <w:rPr>
          <w:rFonts w:hAnsi="宋体"/>
        </w:rPr>
        <w:fldChar w:fldCharType="separate"/>
      </w:r>
      <w:r>
        <w:rPr>
          <w:rFonts w:hAnsi="宋体"/>
        </w:rPr>
        <w:t>30</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"_Toc55987065" </w:instrText>
      </w:r>
      <w:r>
        <w:fldChar w:fldCharType="separate"/>
      </w:r>
      <w:r>
        <w:t>九、基金的投资</w:t>
      </w:r>
      <w:r>
        <w:rPr>
          <w:rFonts w:hAnsi="宋体"/>
        </w:rPr>
        <w:tab/>
      </w:r>
      <w:r>
        <w:rPr>
          <w:rFonts w:hAnsi="宋体"/>
        </w:rPr>
        <w:fldChar w:fldCharType="begin"/>
      </w:r>
      <w:r>
        <w:rPr>
          <w:rFonts w:hAnsi="宋体"/>
        </w:rPr>
        <w:instrText xml:space="preserve"> PAGEREF _Toc55987065 \h </w:instrText>
      </w:r>
      <w:r>
        <w:rPr>
          <w:rFonts w:hAnsi="宋体"/>
        </w:rPr>
        <w:fldChar w:fldCharType="separate"/>
      </w:r>
      <w:r>
        <w:rPr>
          <w:rFonts w:hAnsi="宋体"/>
        </w:rPr>
        <w:t>42</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"_Toc55987066" </w:instrText>
      </w:r>
      <w:r>
        <w:fldChar w:fldCharType="separate"/>
      </w:r>
      <w:r>
        <w:t>十、基金的财产</w:t>
      </w:r>
      <w:r>
        <w:rPr>
          <w:rFonts w:hAnsi="宋体"/>
        </w:rPr>
        <w:tab/>
      </w:r>
      <w:r>
        <w:rPr>
          <w:rFonts w:hAnsi="宋体"/>
        </w:rPr>
        <w:fldChar w:fldCharType="begin"/>
      </w:r>
      <w:r>
        <w:rPr>
          <w:rFonts w:hAnsi="宋体"/>
        </w:rPr>
        <w:instrText xml:space="preserve"> PAGEREF _Toc55987066 \h </w:instrText>
      </w:r>
      <w:r>
        <w:rPr>
          <w:rFonts w:hAnsi="宋体"/>
        </w:rPr>
        <w:fldChar w:fldCharType="separate"/>
      </w:r>
      <w:r>
        <w:rPr>
          <w:rFonts w:hAnsi="宋体"/>
        </w:rPr>
        <w:t>53</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"_Toc55987067" </w:instrText>
      </w:r>
      <w:r>
        <w:fldChar w:fldCharType="separate"/>
      </w:r>
      <w:r>
        <w:t>十一、基金资产估值</w:t>
      </w:r>
      <w:r>
        <w:rPr>
          <w:rFonts w:hAnsi="宋体"/>
        </w:rPr>
        <w:tab/>
      </w:r>
      <w:r>
        <w:rPr>
          <w:rFonts w:hAnsi="宋体"/>
        </w:rPr>
        <w:fldChar w:fldCharType="begin"/>
      </w:r>
      <w:r>
        <w:rPr>
          <w:rFonts w:hAnsi="宋体"/>
        </w:rPr>
        <w:instrText xml:space="preserve"> PAGEREF _Toc55987067 \h </w:instrText>
      </w:r>
      <w:r>
        <w:rPr>
          <w:rFonts w:hAnsi="宋体"/>
        </w:rPr>
        <w:fldChar w:fldCharType="separate"/>
      </w:r>
      <w:r>
        <w:rPr>
          <w:rFonts w:hAnsi="宋体"/>
        </w:rPr>
        <w:t>54</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"_Toc55987068" </w:instrText>
      </w:r>
      <w:r>
        <w:fldChar w:fldCharType="separate"/>
      </w:r>
      <w:r>
        <w:t>十二、基金的费用与税收</w:t>
      </w:r>
      <w:r>
        <w:rPr>
          <w:rFonts w:hAnsi="宋体"/>
        </w:rPr>
        <w:tab/>
      </w:r>
      <w:r>
        <w:rPr>
          <w:rFonts w:hAnsi="宋体"/>
        </w:rPr>
        <w:fldChar w:fldCharType="begin"/>
      </w:r>
      <w:r>
        <w:rPr>
          <w:rFonts w:hAnsi="宋体"/>
        </w:rPr>
        <w:instrText xml:space="preserve"> PAGEREF _Toc55987068 \h </w:instrText>
      </w:r>
      <w:r>
        <w:rPr>
          <w:rFonts w:hAnsi="宋体"/>
        </w:rPr>
        <w:fldChar w:fldCharType="separate"/>
      </w:r>
      <w:r>
        <w:rPr>
          <w:rFonts w:hAnsi="宋体"/>
        </w:rPr>
        <w:t>61</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"_Toc55987069" </w:instrText>
      </w:r>
      <w:r>
        <w:fldChar w:fldCharType="separate"/>
      </w:r>
      <w:r>
        <w:t>十三、基金的收益与分配</w:t>
      </w:r>
      <w:r>
        <w:rPr>
          <w:rFonts w:hAnsi="宋体"/>
        </w:rPr>
        <w:tab/>
      </w:r>
      <w:r>
        <w:rPr>
          <w:rFonts w:hAnsi="宋体"/>
        </w:rPr>
        <w:fldChar w:fldCharType="begin"/>
      </w:r>
      <w:r>
        <w:rPr>
          <w:rFonts w:hAnsi="宋体"/>
        </w:rPr>
        <w:instrText xml:space="preserve"> PAGEREF _Toc55987069 \h </w:instrText>
      </w:r>
      <w:r>
        <w:rPr>
          <w:rFonts w:hAnsi="宋体"/>
        </w:rPr>
        <w:fldChar w:fldCharType="separate"/>
      </w:r>
      <w:r>
        <w:rPr>
          <w:rFonts w:hAnsi="宋体"/>
        </w:rPr>
        <w:t>67</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"_Toc55987070" </w:instrText>
      </w:r>
      <w:r>
        <w:fldChar w:fldCharType="separate"/>
      </w:r>
      <w:r>
        <w:t>十四、基金的会计与审计</w:t>
      </w:r>
      <w:r>
        <w:rPr>
          <w:rFonts w:hAnsi="宋体"/>
        </w:rPr>
        <w:tab/>
      </w:r>
      <w:r>
        <w:rPr>
          <w:rFonts w:hAnsi="宋体"/>
        </w:rPr>
        <w:fldChar w:fldCharType="begin"/>
      </w:r>
      <w:r>
        <w:rPr>
          <w:rFonts w:hAnsi="宋体"/>
        </w:rPr>
        <w:instrText xml:space="preserve"> PAGEREF _Toc55987070 \h </w:instrText>
      </w:r>
      <w:r>
        <w:rPr>
          <w:rFonts w:hAnsi="宋体"/>
        </w:rPr>
        <w:fldChar w:fldCharType="separate"/>
      </w:r>
      <w:r>
        <w:rPr>
          <w:rFonts w:hAnsi="宋体"/>
        </w:rPr>
        <w:t>69</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"_Toc55987071" </w:instrText>
      </w:r>
      <w:r>
        <w:fldChar w:fldCharType="separate"/>
      </w:r>
      <w:r>
        <w:t>十五、基金的信息披露</w:t>
      </w:r>
      <w:r>
        <w:rPr>
          <w:rFonts w:hAnsi="宋体"/>
        </w:rPr>
        <w:tab/>
      </w:r>
      <w:r>
        <w:rPr>
          <w:rFonts w:hAnsi="宋体"/>
        </w:rPr>
        <w:fldChar w:fldCharType="begin"/>
      </w:r>
      <w:r>
        <w:rPr>
          <w:rFonts w:hAnsi="宋体"/>
        </w:rPr>
        <w:instrText xml:space="preserve"> PAGEREF _Toc55987071 \h </w:instrText>
      </w:r>
      <w:r>
        <w:rPr>
          <w:rFonts w:hAnsi="宋体"/>
        </w:rPr>
        <w:fldChar w:fldCharType="separate"/>
      </w:r>
      <w:r>
        <w:rPr>
          <w:rFonts w:hAnsi="宋体"/>
        </w:rPr>
        <w:t>70</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"_Toc55987072" </w:instrText>
      </w:r>
      <w:r>
        <w:fldChar w:fldCharType="separate"/>
      </w:r>
      <w:r>
        <w:t>十六、侧袋机制</w:t>
      </w:r>
      <w:r>
        <w:rPr>
          <w:rFonts w:hAnsi="宋体"/>
        </w:rPr>
        <w:tab/>
      </w:r>
      <w:r>
        <w:rPr>
          <w:rFonts w:hAnsi="宋体"/>
        </w:rPr>
        <w:fldChar w:fldCharType="begin"/>
      </w:r>
      <w:r>
        <w:rPr>
          <w:rFonts w:hAnsi="宋体"/>
        </w:rPr>
        <w:instrText xml:space="preserve"> PAGEREF _Toc55987072 \h </w:instrText>
      </w:r>
      <w:r>
        <w:rPr>
          <w:rFonts w:hAnsi="宋体"/>
        </w:rPr>
        <w:fldChar w:fldCharType="separate"/>
      </w:r>
      <w:r>
        <w:rPr>
          <w:rFonts w:hAnsi="宋体"/>
        </w:rPr>
        <w:t>77</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"_Toc55987073" </w:instrText>
      </w:r>
      <w:r>
        <w:fldChar w:fldCharType="separate"/>
      </w:r>
      <w:r>
        <w:t>十七、基金的风险揭示</w:t>
      </w:r>
      <w:r>
        <w:rPr>
          <w:rFonts w:hAnsi="宋体"/>
        </w:rPr>
        <w:tab/>
      </w:r>
      <w:r>
        <w:rPr>
          <w:rFonts w:hAnsi="宋体"/>
        </w:rPr>
        <w:fldChar w:fldCharType="begin"/>
      </w:r>
      <w:r>
        <w:rPr>
          <w:rFonts w:hAnsi="宋体"/>
        </w:rPr>
        <w:instrText xml:space="preserve"> PAGEREF _Toc55987073 \h </w:instrText>
      </w:r>
      <w:r>
        <w:rPr>
          <w:rFonts w:hAnsi="宋体"/>
        </w:rPr>
        <w:fldChar w:fldCharType="separate"/>
      </w:r>
      <w:r>
        <w:rPr>
          <w:rFonts w:hAnsi="宋体"/>
        </w:rPr>
        <w:t>80</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"_Toc55987074" </w:instrText>
      </w:r>
      <w:r>
        <w:fldChar w:fldCharType="separate"/>
      </w:r>
      <w:r>
        <w:t>十八、基金合同的变更、终止与基金财产的清算</w:t>
      </w:r>
      <w:r>
        <w:rPr>
          <w:rFonts w:hAnsi="宋体"/>
        </w:rPr>
        <w:tab/>
      </w:r>
      <w:r>
        <w:rPr>
          <w:rFonts w:hAnsi="宋体"/>
        </w:rPr>
        <w:fldChar w:fldCharType="begin"/>
      </w:r>
      <w:r>
        <w:rPr>
          <w:rFonts w:hAnsi="宋体"/>
        </w:rPr>
        <w:instrText xml:space="preserve"> PAGEREF _Toc55987074 \h </w:instrText>
      </w:r>
      <w:r>
        <w:rPr>
          <w:rFonts w:hAnsi="宋体"/>
        </w:rPr>
        <w:fldChar w:fldCharType="separate"/>
      </w:r>
      <w:r>
        <w:rPr>
          <w:rFonts w:hAnsi="宋体"/>
        </w:rPr>
        <w:t>90</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"_Toc55987075" </w:instrText>
      </w:r>
      <w:r>
        <w:fldChar w:fldCharType="separate"/>
      </w:r>
      <w:r>
        <w:t>十九、基金合同的内容摘要</w:t>
      </w:r>
      <w:r>
        <w:rPr>
          <w:rFonts w:hAnsi="宋体"/>
        </w:rPr>
        <w:tab/>
      </w:r>
      <w:r>
        <w:rPr>
          <w:rFonts w:hAnsi="宋体"/>
        </w:rPr>
        <w:fldChar w:fldCharType="begin"/>
      </w:r>
      <w:r>
        <w:rPr>
          <w:rFonts w:hAnsi="宋体"/>
        </w:rPr>
        <w:instrText xml:space="preserve"> PAGEREF _Toc55987075 \h </w:instrText>
      </w:r>
      <w:r>
        <w:rPr>
          <w:rFonts w:hAnsi="宋体"/>
        </w:rPr>
        <w:fldChar w:fldCharType="separate"/>
      </w:r>
      <w:r>
        <w:rPr>
          <w:rFonts w:hAnsi="宋体"/>
        </w:rPr>
        <w:t>92</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"_Toc55987076" </w:instrText>
      </w:r>
      <w:r>
        <w:fldChar w:fldCharType="separate"/>
      </w:r>
      <w:r>
        <w:t>二十、基金托管协议的内容摘要</w:t>
      </w:r>
      <w:r>
        <w:rPr>
          <w:rFonts w:hAnsi="宋体"/>
        </w:rPr>
        <w:tab/>
      </w:r>
      <w:r>
        <w:rPr>
          <w:rFonts w:hAnsi="宋体"/>
        </w:rPr>
        <w:fldChar w:fldCharType="begin"/>
      </w:r>
      <w:r>
        <w:rPr>
          <w:rFonts w:hAnsi="宋体"/>
        </w:rPr>
        <w:instrText xml:space="preserve"> PAGEREF _Toc55987076 \h </w:instrText>
      </w:r>
      <w:r>
        <w:rPr>
          <w:rFonts w:hAnsi="宋体"/>
        </w:rPr>
        <w:fldChar w:fldCharType="separate"/>
      </w:r>
      <w:r>
        <w:rPr>
          <w:rFonts w:hAnsi="宋体"/>
        </w:rPr>
        <w:t>93</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"_Toc55987077" </w:instrText>
      </w:r>
      <w:r>
        <w:fldChar w:fldCharType="separate"/>
      </w:r>
      <w:r>
        <w:t>二十一、对基金份额持有人的服务</w:t>
      </w:r>
      <w:r>
        <w:rPr>
          <w:rFonts w:hAnsi="宋体"/>
        </w:rPr>
        <w:tab/>
      </w:r>
      <w:r>
        <w:rPr>
          <w:rFonts w:hAnsi="宋体"/>
        </w:rPr>
        <w:fldChar w:fldCharType="begin"/>
      </w:r>
      <w:r>
        <w:rPr>
          <w:rFonts w:hAnsi="宋体"/>
        </w:rPr>
        <w:instrText xml:space="preserve"> PAGEREF _Toc55987077 \h </w:instrText>
      </w:r>
      <w:r>
        <w:rPr>
          <w:rFonts w:hAnsi="宋体"/>
        </w:rPr>
        <w:fldChar w:fldCharType="separate"/>
      </w:r>
      <w:r>
        <w:rPr>
          <w:rFonts w:hAnsi="宋体"/>
        </w:rPr>
        <w:t>94</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"_Toc55987078" </w:instrText>
      </w:r>
      <w:r>
        <w:fldChar w:fldCharType="separate"/>
      </w:r>
      <w:r>
        <w:t>二十二、其他应披露事项</w:t>
      </w:r>
      <w:r>
        <w:rPr>
          <w:rFonts w:hAnsi="宋体"/>
        </w:rPr>
        <w:tab/>
      </w:r>
      <w:r>
        <w:rPr>
          <w:rFonts w:hAnsi="宋体"/>
        </w:rPr>
        <w:fldChar w:fldCharType="begin"/>
      </w:r>
      <w:r>
        <w:rPr>
          <w:rFonts w:hAnsi="宋体"/>
        </w:rPr>
        <w:instrText xml:space="preserve"> PAGEREF _Toc55987078 \h </w:instrText>
      </w:r>
      <w:r>
        <w:rPr>
          <w:rFonts w:hAnsi="宋体"/>
        </w:rPr>
        <w:fldChar w:fldCharType="separate"/>
      </w:r>
      <w:r>
        <w:rPr>
          <w:rFonts w:hAnsi="宋体"/>
        </w:rPr>
        <w:t>98</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"_Toc55987079" </w:instrText>
      </w:r>
      <w:r>
        <w:fldChar w:fldCharType="separate"/>
      </w:r>
      <w:r>
        <w:t>二十三、招募说明书存放及查阅方式</w:t>
      </w:r>
      <w:r>
        <w:rPr>
          <w:rFonts w:hAnsi="宋体"/>
        </w:rPr>
        <w:tab/>
      </w:r>
      <w:r>
        <w:rPr>
          <w:rFonts w:hAnsi="宋体"/>
        </w:rPr>
        <w:fldChar w:fldCharType="begin"/>
      </w:r>
      <w:r>
        <w:rPr>
          <w:rFonts w:hAnsi="宋体"/>
        </w:rPr>
        <w:instrText xml:space="preserve"> PAGEREF _Toc55987079 \h </w:instrText>
      </w:r>
      <w:r>
        <w:rPr>
          <w:rFonts w:hAnsi="宋体"/>
        </w:rPr>
        <w:fldChar w:fldCharType="separate"/>
      </w:r>
      <w:r>
        <w:rPr>
          <w:rFonts w:hAnsi="宋体"/>
        </w:rPr>
        <w:t>99</w:t>
      </w:r>
      <w:r>
        <w:rPr>
          <w:rFonts w:hAnsi="宋体"/>
        </w:rPr>
        <w:fldChar w:fldCharType="end"/>
      </w:r>
      <w:r>
        <w:rPr>
          <w:rFonts w:hAnsi="宋体"/>
        </w:rPr>
        <w:fldChar w:fldCharType="end"/>
      </w:r>
    </w:p>
    <w:p>
      <w:pPr>
        <w:pStyle w:val="27"/>
        <w:tabs>
          <w:tab w:val="right" w:leader="dot" w:pos="8303"/>
        </w:tabs>
        <w:spacing w:line="360" w:lineRule="auto"/>
        <w:ind w:left="0" w:leftChars="0"/>
        <w:rPr>
          <w:rFonts w:hAnsi="宋体"/>
        </w:rPr>
      </w:pPr>
      <w:r>
        <w:fldChar w:fldCharType="begin"/>
      </w:r>
      <w:r>
        <w:instrText xml:space="preserve"> HYPERLINK \l "_Toc55987080" </w:instrText>
      </w:r>
      <w:r>
        <w:fldChar w:fldCharType="separate"/>
      </w:r>
      <w:r>
        <w:t>二十四、备查文件</w:t>
      </w:r>
      <w:r>
        <w:rPr>
          <w:rFonts w:hAnsi="宋体"/>
        </w:rPr>
        <w:tab/>
      </w:r>
      <w:r>
        <w:rPr>
          <w:rFonts w:hAnsi="宋体"/>
        </w:rPr>
        <w:fldChar w:fldCharType="begin"/>
      </w:r>
      <w:r>
        <w:rPr>
          <w:rFonts w:hAnsi="宋体"/>
        </w:rPr>
        <w:instrText xml:space="preserve"> PAGEREF _Toc55987080 \h </w:instrText>
      </w:r>
      <w:r>
        <w:rPr>
          <w:rFonts w:hAnsi="宋体"/>
        </w:rPr>
        <w:fldChar w:fldCharType="separate"/>
      </w:r>
      <w:r>
        <w:rPr>
          <w:rFonts w:hAnsi="宋体"/>
        </w:rPr>
        <w:t>100</w:t>
      </w:r>
      <w:r>
        <w:rPr>
          <w:rFonts w:hAnsi="宋体"/>
        </w:rPr>
        <w:fldChar w:fldCharType="end"/>
      </w:r>
      <w:r>
        <w:rPr>
          <w:rFonts w:hAnsi="宋体"/>
        </w:rPr>
        <w:fldChar w:fldCharType="end"/>
      </w:r>
    </w:p>
    <w:p>
      <w:pPr>
        <w:pStyle w:val="27"/>
        <w:tabs>
          <w:tab w:val="right" w:leader="dot" w:pos="8303"/>
        </w:tabs>
        <w:spacing w:line="360" w:lineRule="auto"/>
        <w:ind w:left="0" w:leftChars="0"/>
        <w:rPr>
          <w:rStyle w:val="38"/>
          <w:color w:val="auto"/>
          <w:kern w:val="0"/>
        </w:rPr>
        <w:sectPr>
          <w:headerReference r:id="rId9" w:type="first"/>
          <w:footerReference r:id="rId11" w:type="first"/>
          <w:headerReference r:id="rId7" w:type="default"/>
          <w:headerReference r:id="rId8" w:type="even"/>
          <w:footerReference r:id="rId10" w:type="even"/>
          <w:pgSz w:w="11907" w:h="16840"/>
          <w:pgMar w:top="1440" w:right="1797" w:bottom="1440" w:left="1797" w:header="851" w:footer="992" w:gutter="0"/>
          <w:cols w:space="720" w:num="1"/>
          <w:docGrid w:type="linesAndChars" w:linePitch="312" w:charSpace="0"/>
        </w:sectPr>
      </w:pPr>
      <w:r>
        <w:rPr>
          <w:rFonts w:hAnsi="宋体"/>
        </w:rPr>
        <w:fldChar w:fldCharType="end"/>
      </w:r>
      <w:bookmarkStart w:id="25" w:name="_Toc203806284"/>
      <w:bookmarkStart w:id="26" w:name="_Toc106894674"/>
      <w:bookmarkStart w:id="27" w:name="_Toc106894872"/>
      <w:bookmarkStart w:id="28" w:name="_Toc106961478"/>
      <w:bookmarkStart w:id="29" w:name="_Toc354416534"/>
      <w:bookmarkStart w:id="30" w:name="_Toc203357148"/>
      <w:bookmarkStart w:id="31" w:name="_Toc106863363"/>
      <w:bookmarkStart w:id="32" w:name="_Toc16920818"/>
      <w:bookmarkStart w:id="33" w:name="_Toc116052781"/>
      <w:bookmarkStart w:id="34" w:name="_Toc116052547"/>
      <w:bookmarkStart w:id="35" w:name="_Toc106862752"/>
    </w:p>
    <w:p>
      <w:pPr>
        <w:pStyle w:val="4"/>
        <w:spacing w:before="400" w:after="400"/>
        <w:rPr>
          <w:rFonts w:hAnsi="宋体"/>
          <w:sz w:val="32"/>
        </w:rPr>
      </w:pPr>
      <w:bookmarkStart w:id="36" w:name="_Toc55987057"/>
      <w:r>
        <w:rPr>
          <w:rFonts w:hAnsi="宋体"/>
          <w:sz w:val="32"/>
        </w:rPr>
        <w:t>一、绪言</w:t>
      </w:r>
      <w:bookmarkEnd w:id="25"/>
      <w:bookmarkEnd w:id="26"/>
      <w:bookmarkEnd w:id="27"/>
      <w:bookmarkEnd w:id="28"/>
      <w:bookmarkEnd w:id="29"/>
      <w:bookmarkEnd w:id="30"/>
      <w:bookmarkEnd w:id="31"/>
      <w:bookmarkEnd w:id="32"/>
      <w:bookmarkEnd w:id="33"/>
      <w:bookmarkEnd w:id="34"/>
      <w:bookmarkEnd w:id="35"/>
      <w:bookmarkEnd w:id="36"/>
    </w:p>
    <w:p>
      <w:pPr>
        <w:spacing w:line="360" w:lineRule="auto"/>
        <w:ind w:firstLine="420" w:firstLineChars="200"/>
        <w:rPr>
          <w:rFonts w:ascii="宋体" w:hAnsi="宋体"/>
        </w:rPr>
      </w:pPr>
      <w:bookmarkStart w:id="37" w:name="_Toc16920819"/>
      <w:r>
        <w:rPr>
          <w:rFonts w:ascii="宋体" w:hAnsi="宋体"/>
        </w:rPr>
        <w:t>《</w:t>
      </w:r>
      <w:r>
        <w:rPr>
          <w:rFonts w:hint="eastAsia" w:ascii="宋体" w:hAnsi="宋体"/>
        </w:rPr>
        <w:t>工银瑞信新能源先锋混合型发起式证券投资基金</w:t>
      </w:r>
      <w:r>
        <w:rPr>
          <w:rFonts w:ascii="宋体" w:hAnsi="宋体"/>
        </w:rPr>
        <w:t>招募说明书》（以下简称</w:t>
      </w:r>
      <w:r>
        <w:rPr>
          <w:rFonts w:hint="eastAsia" w:ascii="宋体" w:hAnsi="宋体"/>
        </w:rPr>
        <w:t>“</w:t>
      </w:r>
      <w:r>
        <w:rPr>
          <w:rFonts w:ascii="宋体" w:hAnsi="宋体"/>
        </w:rPr>
        <w:t>本招募说明书</w:t>
      </w:r>
      <w:r>
        <w:rPr>
          <w:rFonts w:hint="eastAsia" w:ascii="宋体" w:hAnsi="宋体"/>
        </w:rPr>
        <w:t>”或“招募说明书”</w:t>
      </w:r>
      <w:r>
        <w:rPr>
          <w:rFonts w:ascii="宋体" w:hAnsi="宋体"/>
        </w:rPr>
        <w:t>）依据《中华人民共和国证券投资基金法》</w:t>
      </w:r>
      <w:r>
        <w:rPr>
          <w:rFonts w:hint="eastAsia" w:ascii="宋体" w:hAnsi="宋体"/>
        </w:rPr>
        <w:t>（</w:t>
      </w:r>
      <w:r>
        <w:rPr>
          <w:rFonts w:ascii="宋体" w:hAnsi="宋体"/>
        </w:rPr>
        <w:t>以下简称</w:t>
      </w:r>
      <w:r>
        <w:rPr>
          <w:rFonts w:hint="eastAsia" w:ascii="宋体" w:hAnsi="宋体"/>
        </w:rPr>
        <w:t>“</w:t>
      </w:r>
      <w:r>
        <w:rPr>
          <w:rFonts w:ascii="宋体" w:hAnsi="宋体"/>
        </w:rPr>
        <w:t>《基金法》</w:t>
      </w:r>
      <w:r>
        <w:rPr>
          <w:rFonts w:hint="eastAsia" w:ascii="宋体" w:hAnsi="宋体"/>
        </w:rPr>
        <w:t>”</w:t>
      </w:r>
      <w:r>
        <w:rPr>
          <w:rFonts w:ascii="宋体" w:hAnsi="宋体"/>
        </w:rPr>
        <w:t>）、《公开募集证券投资基金销售机构监督管理办法》（以下简称</w:t>
      </w:r>
      <w:r>
        <w:rPr>
          <w:rFonts w:hint="eastAsia" w:ascii="宋体" w:hAnsi="宋体"/>
        </w:rPr>
        <w:t>“</w:t>
      </w:r>
      <w:r>
        <w:rPr>
          <w:rFonts w:ascii="宋体" w:hAnsi="宋体"/>
        </w:rPr>
        <w:t>《销售办法》</w:t>
      </w:r>
      <w:r>
        <w:rPr>
          <w:rFonts w:hint="eastAsia" w:ascii="宋体" w:hAnsi="宋体"/>
        </w:rPr>
        <w:t>”</w:t>
      </w:r>
      <w:r>
        <w:rPr>
          <w:rFonts w:ascii="宋体" w:hAnsi="宋体"/>
        </w:rPr>
        <w:t>）、《</w:t>
      </w:r>
      <w:r>
        <w:rPr>
          <w:rFonts w:hint="eastAsia" w:ascii="宋体" w:hAnsi="宋体"/>
        </w:rPr>
        <w:t>公开募集</w:t>
      </w:r>
      <w:r>
        <w:rPr>
          <w:rFonts w:ascii="宋体" w:hAnsi="宋体"/>
        </w:rPr>
        <w:t>证券投资基金运作管理办法》（以下简称</w:t>
      </w:r>
      <w:r>
        <w:rPr>
          <w:rFonts w:hint="eastAsia" w:ascii="宋体" w:hAnsi="宋体"/>
        </w:rPr>
        <w:t>“</w:t>
      </w:r>
      <w:r>
        <w:rPr>
          <w:rFonts w:ascii="宋体" w:hAnsi="宋体"/>
        </w:rPr>
        <w:t>《运作办法》</w:t>
      </w:r>
      <w:r>
        <w:rPr>
          <w:rFonts w:hint="eastAsia" w:ascii="宋体" w:hAnsi="宋体"/>
        </w:rPr>
        <w:t>”</w:t>
      </w:r>
      <w:r>
        <w:rPr>
          <w:rFonts w:ascii="宋体" w:hAnsi="宋体"/>
        </w:rPr>
        <w:t>）、《</w:t>
      </w:r>
      <w:r>
        <w:rPr>
          <w:rFonts w:hint="eastAsia" w:ascii="宋体" w:hAnsi="宋体"/>
        </w:rPr>
        <w:t>公开募集</w:t>
      </w:r>
      <w:r>
        <w:rPr>
          <w:rFonts w:ascii="宋体" w:hAnsi="宋体"/>
        </w:rPr>
        <w:t>证券投资基金信息披露管理办法》（以下简称“《信息披露办法》”）</w:t>
      </w:r>
      <w:r>
        <w:rPr>
          <w:rFonts w:hint="eastAsia" w:ascii="宋体" w:hAnsi="宋体"/>
        </w:rPr>
        <w:t>、《公开募集开放式证券投资基金流动性风险管理规定》（以下简称“《流动性风险管理规定》”）</w:t>
      </w:r>
      <w:r>
        <w:rPr>
          <w:rFonts w:ascii="宋体" w:hAnsi="宋体"/>
        </w:rPr>
        <w:t>及其他有关法律法规以及《</w:t>
      </w:r>
      <w:r>
        <w:rPr>
          <w:rFonts w:hint="eastAsia" w:ascii="宋体" w:hAnsi="宋体"/>
        </w:rPr>
        <w:t>工银瑞信新能源先锋混合型发起式证券投资基金基金</w:t>
      </w:r>
      <w:r>
        <w:rPr>
          <w:rFonts w:ascii="宋体" w:hAnsi="宋体"/>
        </w:rPr>
        <w:t>合同》（以下简称</w:t>
      </w:r>
      <w:r>
        <w:rPr>
          <w:rFonts w:hint="eastAsia" w:ascii="宋体" w:hAnsi="宋体"/>
        </w:rPr>
        <w:t>“</w:t>
      </w:r>
      <w:r>
        <w:rPr>
          <w:rFonts w:ascii="宋体" w:hAnsi="宋体"/>
        </w:rPr>
        <w:t>基金合同</w:t>
      </w:r>
      <w:r>
        <w:rPr>
          <w:rFonts w:hint="eastAsia" w:ascii="宋体" w:hAnsi="宋体"/>
        </w:rPr>
        <w:t>”</w:t>
      </w:r>
      <w:r>
        <w:rPr>
          <w:rFonts w:ascii="宋体" w:hAnsi="宋体"/>
        </w:rPr>
        <w:t>）编写。</w:t>
      </w:r>
    </w:p>
    <w:p>
      <w:pPr>
        <w:spacing w:line="360" w:lineRule="auto"/>
        <w:ind w:firstLine="420" w:firstLineChars="200"/>
        <w:rPr>
          <w:rFonts w:ascii="宋体" w:hAnsi="宋体"/>
        </w:rPr>
      </w:pPr>
      <w:r>
        <w:rPr>
          <w:rFonts w:ascii="宋体" w:hAnsi="宋体"/>
        </w:rPr>
        <w:t>本招募说明书阐述了</w:t>
      </w:r>
      <w:r>
        <w:rPr>
          <w:rFonts w:hint="eastAsia" w:ascii="宋体" w:hAnsi="宋体"/>
        </w:rPr>
        <w:t>工银瑞信新能源先锋混合型发起式证券投资基金</w:t>
      </w:r>
      <w:r>
        <w:rPr>
          <w:rFonts w:ascii="宋体" w:hAnsi="宋体"/>
        </w:rPr>
        <w:t>的投资目标、策略、风险、费率等与投资者投资决策有关的全部必要事项，投资者在作出投资决策前应仔细阅读本招募说明书。</w:t>
      </w:r>
    </w:p>
    <w:p>
      <w:pPr>
        <w:spacing w:line="360" w:lineRule="auto"/>
        <w:ind w:firstLine="420" w:firstLineChars="200"/>
        <w:rPr>
          <w:rFonts w:ascii="宋体" w:hAnsi="宋体"/>
        </w:rPr>
      </w:pPr>
      <w:r>
        <w:rPr>
          <w:rFonts w:ascii="宋体" w:hAnsi="宋体"/>
        </w:rPr>
        <w:t>基金管理人承诺本招募说明书不存在任何虚假记载、误导性陈述或者重大遗漏，并对其真实性、准确性、完整性承担法律责任。</w:t>
      </w:r>
    </w:p>
    <w:p>
      <w:pPr>
        <w:spacing w:line="360" w:lineRule="auto"/>
        <w:ind w:firstLine="420" w:firstLineChars="200"/>
        <w:rPr>
          <w:rFonts w:ascii="宋体" w:hAnsi="宋体"/>
        </w:rPr>
      </w:pPr>
      <w:r>
        <w:rPr>
          <w:rFonts w:ascii="宋体" w:hAnsi="宋体"/>
        </w:rPr>
        <w:t>本基金根据本招募说明书所载明的资料申请募集。本招募说明书由工银瑞信基金管理有限公司解释。本基金管理人没有委托或授权任何其他人提供未在本招募说明书中载明的信息，或对本招募说明书作任何解释或者说明。</w:t>
      </w:r>
    </w:p>
    <w:p>
      <w:pPr>
        <w:spacing w:line="360" w:lineRule="auto"/>
        <w:ind w:firstLine="420" w:firstLineChars="200"/>
        <w:rPr>
          <w:rFonts w:ascii="宋体" w:hAnsi="宋体"/>
        </w:rPr>
      </w:pPr>
      <w:r>
        <w:rPr>
          <w:rFonts w:ascii="宋体" w:hAnsi="宋体"/>
        </w:rPr>
        <w:t>本招募说明书根据本基金的基金合同编写，并经中国证监会</w:t>
      </w:r>
      <w:r>
        <w:rPr>
          <w:rFonts w:hint="eastAsia" w:ascii="宋体" w:hAnsi="宋体"/>
        </w:rPr>
        <w:t>注册</w:t>
      </w:r>
      <w:r>
        <w:rPr>
          <w:rFonts w:ascii="宋体" w:hAnsi="宋体"/>
        </w:rPr>
        <w:t>。基金合同是约定基金</w:t>
      </w:r>
      <w:r>
        <w:rPr>
          <w:rFonts w:hint="eastAsia" w:ascii="宋体" w:hAnsi="宋体"/>
        </w:rPr>
        <w:t>合同</w:t>
      </w:r>
      <w:r>
        <w:rPr>
          <w:rFonts w:ascii="宋体" w:hAnsi="宋体"/>
        </w:rPr>
        <w:t>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pPr>
        <w:pStyle w:val="4"/>
        <w:spacing w:before="400" w:after="400"/>
        <w:rPr>
          <w:rFonts w:hAnsi="宋体"/>
          <w:sz w:val="32"/>
        </w:rPr>
      </w:pPr>
      <w:r>
        <w:rPr>
          <w:rFonts w:hAnsi="宋体"/>
        </w:rPr>
        <w:br w:type="page"/>
      </w:r>
      <w:bookmarkStart w:id="38" w:name="_Hlt78888125"/>
      <w:bookmarkEnd w:id="38"/>
      <w:bookmarkStart w:id="39" w:name="_Toc106961479"/>
      <w:bookmarkStart w:id="40" w:name="_Toc203806285"/>
      <w:bookmarkStart w:id="41" w:name="_Toc106863364"/>
      <w:bookmarkStart w:id="42" w:name="_Toc106862753"/>
      <w:bookmarkStart w:id="43" w:name="_Toc203357149"/>
      <w:bookmarkStart w:id="44" w:name="_Toc106894675"/>
      <w:bookmarkStart w:id="45" w:name="_Toc116052548"/>
      <w:bookmarkStart w:id="46" w:name="_Toc55987058"/>
      <w:bookmarkStart w:id="47" w:name="_Toc106894873"/>
      <w:bookmarkStart w:id="48" w:name="_Toc116052782"/>
      <w:bookmarkStart w:id="49" w:name="_Hlk29763765"/>
      <w:r>
        <w:rPr>
          <w:rFonts w:hAnsi="宋体"/>
          <w:sz w:val="32"/>
        </w:rPr>
        <w:t>二、释义</w:t>
      </w:r>
      <w:bookmarkEnd w:id="37"/>
      <w:bookmarkEnd w:id="39"/>
      <w:bookmarkEnd w:id="40"/>
      <w:bookmarkEnd w:id="41"/>
      <w:bookmarkEnd w:id="42"/>
      <w:bookmarkEnd w:id="43"/>
      <w:bookmarkEnd w:id="44"/>
      <w:bookmarkEnd w:id="45"/>
      <w:bookmarkEnd w:id="46"/>
      <w:bookmarkEnd w:id="47"/>
      <w:bookmarkEnd w:id="48"/>
    </w:p>
    <w:p>
      <w:pPr>
        <w:spacing w:line="360" w:lineRule="auto"/>
        <w:ind w:firstLine="420" w:firstLineChars="200"/>
        <w:rPr>
          <w:rFonts w:ascii="宋体" w:hAnsi="宋体"/>
        </w:rPr>
      </w:pPr>
      <w:r>
        <w:rPr>
          <w:rFonts w:hint="eastAsia" w:ascii="宋体" w:hAnsi="宋体"/>
        </w:rPr>
        <w:t>在本招募说明书中，除非文意另有所指，下列词语或简称具有如下含义：</w:t>
      </w:r>
    </w:p>
    <w:p>
      <w:pPr>
        <w:spacing w:line="360" w:lineRule="auto"/>
        <w:ind w:firstLine="420" w:firstLineChars="200"/>
        <w:rPr>
          <w:rFonts w:ascii="宋体" w:hAnsi="宋体"/>
        </w:rPr>
      </w:pPr>
      <w:bookmarkStart w:id="50" w:name="OLE_LINK7"/>
      <w:r>
        <w:rPr>
          <w:rFonts w:hint="eastAsia" w:ascii="宋体" w:hAnsi="宋体"/>
        </w:rPr>
        <w:t>1、基金或本基金：指工银瑞信新能源先锋混合型发起式证券投资基金</w:t>
      </w:r>
    </w:p>
    <w:p>
      <w:pPr>
        <w:spacing w:line="360" w:lineRule="auto"/>
        <w:ind w:firstLine="420" w:firstLineChars="200"/>
        <w:rPr>
          <w:rFonts w:ascii="宋体" w:hAnsi="宋体"/>
        </w:rPr>
      </w:pPr>
      <w:r>
        <w:rPr>
          <w:rFonts w:hint="eastAsia" w:ascii="宋体" w:hAnsi="宋体"/>
        </w:rPr>
        <w:t>2、基金管理人：指工银瑞信基金管理有限公司</w:t>
      </w:r>
    </w:p>
    <w:p>
      <w:pPr>
        <w:spacing w:line="360" w:lineRule="auto"/>
        <w:ind w:firstLine="420" w:firstLineChars="200"/>
        <w:rPr>
          <w:rFonts w:ascii="宋体" w:hAnsi="宋体"/>
        </w:rPr>
      </w:pPr>
      <w:r>
        <w:rPr>
          <w:rFonts w:hint="eastAsia" w:ascii="宋体" w:hAnsi="宋体"/>
        </w:rPr>
        <w:t>3、基金托管人：指苏州银行股份有限公司</w:t>
      </w:r>
    </w:p>
    <w:p>
      <w:pPr>
        <w:spacing w:line="360" w:lineRule="auto"/>
        <w:ind w:firstLine="420" w:firstLineChars="200"/>
        <w:rPr>
          <w:rFonts w:ascii="宋体" w:hAnsi="宋体"/>
        </w:rPr>
      </w:pPr>
      <w:r>
        <w:rPr>
          <w:rFonts w:hint="eastAsia" w:ascii="宋体" w:hAnsi="宋体"/>
        </w:rPr>
        <w:t>4、基金合同：指《工银瑞信新能源先锋混合型发起式证券投资基金基金合同》及对基金合同的任何有效修订和补充</w:t>
      </w:r>
    </w:p>
    <w:p>
      <w:pPr>
        <w:spacing w:line="360" w:lineRule="auto"/>
        <w:ind w:firstLine="420" w:firstLineChars="200"/>
        <w:rPr>
          <w:rFonts w:ascii="宋体" w:hAnsi="宋体"/>
        </w:rPr>
      </w:pPr>
      <w:r>
        <w:rPr>
          <w:rFonts w:hint="eastAsia" w:ascii="宋体" w:hAnsi="宋体"/>
        </w:rPr>
        <w:t>5、托管协议：指基金管理人与基金托管人就本基金签订之《工银瑞信新能源先锋混合型发起式证券投资基金托管协议》及对该托管协议的任何有效修订和补充</w:t>
      </w:r>
    </w:p>
    <w:p>
      <w:pPr>
        <w:spacing w:line="360" w:lineRule="auto"/>
        <w:ind w:firstLine="420" w:firstLineChars="200"/>
        <w:rPr>
          <w:rFonts w:ascii="宋体" w:hAnsi="宋体"/>
        </w:rPr>
      </w:pPr>
      <w:r>
        <w:rPr>
          <w:rFonts w:hint="eastAsia" w:ascii="宋体" w:hAnsi="宋体"/>
        </w:rPr>
        <w:t>6、招募说明书：指《工银瑞信新能源先锋混合型发起式证券投资基金招募说明书》及其更新</w:t>
      </w:r>
    </w:p>
    <w:p>
      <w:pPr>
        <w:spacing w:line="360" w:lineRule="auto"/>
        <w:ind w:firstLine="420" w:firstLineChars="200"/>
        <w:rPr>
          <w:rFonts w:ascii="宋体" w:hAnsi="宋体"/>
        </w:rPr>
      </w:pPr>
      <w:r>
        <w:rPr>
          <w:rFonts w:hint="eastAsia" w:ascii="宋体" w:hAnsi="宋体"/>
        </w:rPr>
        <w:t>7、基金产品资料概要：指《工银瑞信新能源先锋混合型发起式证券投资基金基金产品资料概要》及其更新</w:t>
      </w:r>
    </w:p>
    <w:p>
      <w:pPr>
        <w:spacing w:line="360" w:lineRule="auto"/>
        <w:ind w:firstLine="420" w:firstLineChars="200"/>
        <w:rPr>
          <w:rFonts w:ascii="宋体" w:hAnsi="宋体"/>
        </w:rPr>
      </w:pPr>
      <w:r>
        <w:rPr>
          <w:rFonts w:hint="eastAsia" w:ascii="宋体" w:hAnsi="宋体"/>
        </w:rPr>
        <w:t>8、基金份额发售公告：指《工银瑞信新能源先锋混合型发起式证券投资基金基金份额发售公告》</w:t>
      </w:r>
    </w:p>
    <w:p>
      <w:pPr>
        <w:spacing w:line="360" w:lineRule="auto"/>
        <w:ind w:firstLine="420" w:firstLineChars="200"/>
        <w:rPr>
          <w:rFonts w:ascii="宋体" w:hAnsi="宋体"/>
        </w:rPr>
      </w:pPr>
      <w:r>
        <w:rPr>
          <w:rFonts w:hint="eastAsia" w:ascii="宋体" w:hAnsi="宋体"/>
        </w:rPr>
        <w:t>9、法律法规：指中国现行有效并公布实施的法律、行政法规、规范性文件、司法解释、行政规章以及其他对基金合同当事人有约束力的决定、决议、通知等</w:t>
      </w:r>
    </w:p>
    <w:p>
      <w:pPr>
        <w:spacing w:line="360" w:lineRule="auto"/>
        <w:ind w:firstLine="420" w:firstLineChars="200"/>
        <w:rPr>
          <w:rFonts w:ascii="宋体" w:hAnsi="宋体"/>
        </w:rPr>
      </w:pPr>
      <w:r>
        <w:rPr>
          <w:rFonts w:hint="eastAsia" w:ascii="宋体" w:hAnsi="宋体"/>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20" w:firstLineChars="200"/>
        <w:rPr>
          <w:rFonts w:ascii="宋体" w:hAnsi="宋体"/>
        </w:rPr>
      </w:pPr>
      <w:r>
        <w:rPr>
          <w:rFonts w:hint="eastAsia" w:ascii="宋体" w:hAnsi="宋体"/>
        </w:rPr>
        <w:t>11、《销售办法》：指中国证监会2020年8月28日颁布、同年10月1日实施的《公开募集证券投资基金销售机构监督管理办法》及颁布机关对其不时做出的修订</w:t>
      </w:r>
    </w:p>
    <w:p>
      <w:pPr>
        <w:spacing w:line="360" w:lineRule="auto"/>
        <w:ind w:firstLine="420" w:firstLineChars="200"/>
        <w:rPr>
          <w:rFonts w:ascii="宋体" w:hAnsi="宋体"/>
        </w:rPr>
      </w:pPr>
      <w:r>
        <w:rPr>
          <w:rFonts w:hint="eastAsia" w:ascii="宋体" w:hAnsi="宋体"/>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20" w:firstLineChars="200"/>
        <w:rPr>
          <w:rFonts w:ascii="宋体" w:hAnsi="宋体"/>
        </w:rPr>
      </w:pPr>
      <w:r>
        <w:rPr>
          <w:rFonts w:hint="eastAsia" w:ascii="宋体" w:hAnsi="宋体"/>
        </w:rPr>
        <w:t>13、《运作办法》：指中国证监会2014年7月7日颁布、同年8月8日实施的《公开募集证券投资基金运作管理办法》及颁布机关对其不时做出的修订</w:t>
      </w:r>
    </w:p>
    <w:p>
      <w:pPr>
        <w:spacing w:line="360" w:lineRule="auto"/>
        <w:ind w:firstLine="420" w:firstLineChars="200"/>
        <w:rPr>
          <w:rFonts w:ascii="宋体" w:hAnsi="宋体"/>
        </w:rPr>
      </w:pPr>
      <w:r>
        <w:rPr>
          <w:rFonts w:hint="eastAsia" w:ascii="宋体" w:hAnsi="宋体"/>
        </w:rPr>
        <w:t>14、《流动性风险管理规定》：指中国证监会2017年8月31日颁布、同年10月1日实施的《公开募集开放式证券投资基金流动性风险管理规定》及颁布机关对其不时做出的修订</w:t>
      </w:r>
    </w:p>
    <w:p>
      <w:pPr>
        <w:spacing w:line="360" w:lineRule="auto"/>
        <w:ind w:firstLine="420" w:firstLineChars="200"/>
        <w:rPr>
          <w:rFonts w:ascii="宋体" w:hAnsi="宋体"/>
        </w:rPr>
      </w:pPr>
      <w:r>
        <w:rPr>
          <w:rFonts w:hint="eastAsia" w:ascii="宋体" w:hAnsi="宋体"/>
        </w:rPr>
        <w:t>15、中国证监会：指中国证券监督管理委员会</w:t>
      </w:r>
    </w:p>
    <w:p>
      <w:pPr>
        <w:spacing w:line="360" w:lineRule="auto"/>
        <w:ind w:firstLine="420" w:firstLineChars="200"/>
        <w:rPr>
          <w:rFonts w:ascii="宋体" w:hAnsi="宋体"/>
        </w:rPr>
      </w:pPr>
      <w:r>
        <w:rPr>
          <w:rFonts w:hint="eastAsia" w:ascii="宋体" w:hAnsi="宋体"/>
        </w:rPr>
        <w:t>16、银行业监督管理机构：指中国人民银行和/或国家金融监督管理总局</w:t>
      </w:r>
    </w:p>
    <w:p>
      <w:pPr>
        <w:spacing w:line="360" w:lineRule="auto"/>
        <w:ind w:firstLine="420" w:firstLineChars="200"/>
        <w:rPr>
          <w:rFonts w:ascii="宋体" w:hAnsi="宋体"/>
        </w:rPr>
      </w:pPr>
      <w:r>
        <w:rPr>
          <w:rFonts w:hint="eastAsia" w:ascii="宋体" w:hAnsi="宋体"/>
        </w:rPr>
        <w:t>17、基金合同当事人：指受基金合同约束，根据基金合同享有权利并承担义务的法律主体，包括基金管理人、基金托管人和基金份额持有人</w:t>
      </w:r>
    </w:p>
    <w:p>
      <w:pPr>
        <w:spacing w:line="360" w:lineRule="auto"/>
        <w:ind w:firstLine="420" w:firstLineChars="200"/>
        <w:rPr>
          <w:rFonts w:ascii="宋体" w:hAnsi="宋体"/>
        </w:rPr>
      </w:pPr>
      <w:r>
        <w:rPr>
          <w:rFonts w:hint="eastAsia" w:ascii="宋体" w:hAnsi="宋体"/>
        </w:rPr>
        <w:t>18、个人投资者：指依据有关法律法规规定可投资于证券投资基金的自然人</w:t>
      </w:r>
    </w:p>
    <w:p>
      <w:pPr>
        <w:spacing w:line="360" w:lineRule="auto"/>
        <w:ind w:firstLine="420" w:firstLineChars="200"/>
        <w:rPr>
          <w:rFonts w:ascii="宋体" w:hAnsi="宋体"/>
        </w:rPr>
      </w:pPr>
      <w:r>
        <w:rPr>
          <w:rFonts w:hint="eastAsia" w:ascii="宋体" w:hAnsi="宋体"/>
        </w:rPr>
        <w:t>19、机构投资者：指依法可以投资证券投资基金的、在中华人民共和国境内合法登记并存续或经有关政府部门批准设立并存续的企业法人、事业法人、社会团体或其他组织</w:t>
      </w:r>
    </w:p>
    <w:p>
      <w:pPr>
        <w:spacing w:line="360" w:lineRule="auto"/>
        <w:ind w:firstLine="420" w:firstLineChars="200"/>
        <w:rPr>
          <w:rFonts w:ascii="宋体" w:hAnsi="宋体"/>
        </w:rPr>
      </w:pPr>
      <w:r>
        <w:rPr>
          <w:rFonts w:hint="eastAsia" w:ascii="宋体" w:hAnsi="宋体"/>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spacing w:line="360" w:lineRule="auto"/>
        <w:ind w:firstLine="420" w:firstLineChars="200"/>
        <w:rPr>
          <w:rFonts w:ascii="宋体" w:hAnsi="宋体"/>
        </w:rPr>
      </w:pPr>
      <w:r>
        <w:rPr>
          <w:rFonts w:hint="eastAsia" w:ascii="宋体" w:hAnsi="宋体"/>
        </w:rPr>
        <w:t>21、投资人、投资者：指个人投资者、机构投资者、合格境外投资者、发起资金提供方以及法律法规或中国证监会允许购买证券投资基金的其他投资人的合称</w:t>
      </w:r>
    </w:p>
    <w:p>
      <w:pPr>
        <w:spacing w:line="360" w:lineRule="auto"/>
        <w:ind w:firstLine="420" w:firstLineChars="200"/>
        <w:rPr>
          <w:rFonts w:ascii="宋体" w:hAnsi="宋体"/>
        </w:rPr>
      </w:pPr>
      <w:r>
        <w:rPr>
          <w:rFonts w:hint="eastAsia" w:ascii="宋体" w:hAnsi="宋体"/>
        </w:rPr>
        <w:t>22、基金份额持有人：指依基金合同和招募说明书合法取得基金份额的投资人</w:t>
      </w:r>
    </w:p>
    <w:p>
      <w:pPr>
        <w:spacing w:line="360" w:lineRule="auto"/>
        <w:ind w:firstLine="420" w:firstLineChars="200"/>
        <w:rPr>
          <w:rFonts w:ascii="宋体" w:hAnsi="宋体"/>
        </w:rPr>
      </w:pPr>
      <w:r>
        <w:rPr>
          <w:rFonts w:hint="eastAsia" w:ascii="宋体" w:hAnsi="宋体"/>
        </w:rPr>
        <w:t>23、基金销售业务：指基金管理人或销售机构宣传推介基金，发售基金份额，办理基金份额的申购、赎回、转换、转托管及定期定额投资等业务</w:t>
      </w:r>
    </w:p>
    <w:p>
      <w:pPr>
        <w:spacing w:line="360" w:lineRule="auto"/>
        <w:ind w:firstLine="420" w:firstLineChars="200"/>
        <w:rPr>
          <w:rFonts w:ascii="宋体" w:hAnsi="宋体"/>
        </w:rPr>
      </w:pPr>
      <w:r>
        <w:rPr>
          <w:rFonts w:hint="eastAsia" w:ascii="宋体" w:hAnsi="宋体"/>
        </w:rPr>
        <w:t>24、销售机构：</w:t>
      </w:r>
      <w:r>
        <w:rPr>
          <w:rFonts w:ascii="宋体" w:hAnsi="宋体"/>
        </w:rPr>
        <w:t>包括直销机构和非直销销售机构，其中直销机构指基金管理人工银瑞信基金管理有限公司；非直销销售机构指符合《销售办法》和中国证监会规定的其他条件，取得基金销售业务资格并与基金管理人签订了基金销售服务协议，办理基金销售业务的机构</w:t>
      </w:r>
    </w:p>
    <w:p>
      <w:pPr>
        <w:spacing w:line="360" w:lineRule="auto"/>
        <w:ind w:firstLine="420" w:firstLineChars="200"/>
        <w:rPr>
          <w:rFonts w:ascii="宋体" w:hAnsi="宋体"/>
        </w:rPr>
      </w:pPr>
      <w:r>
        <w:rPr>
          <w:rFonts w:hint="eastAsia" w:ascii="宋体" w:hAnsi="宋体"/>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20" w:firstLineChars="200"/>
        <w:rPr>
          <w:rFonts w:ascii="宋体" w:hAnsi="宋体"/>
        </w:rPr>
      </w:pPr>
      <w:r>
        <w:rPr>
          <w:rFonts w:hint="eastAsia" w:ascii="宋体" w:hAnsi="宋体"/>
        </w:rPr>
        <w:t>26、登记机构：指办理登记业务的机构。基金的登记机构为工银瑞信基金管理有限公司或接受工银瑞信基金管理有限公司委托代为办理登记业务的机构</w:t>
      </w:r>
    </w:p>
    <w:p>
      <w:pPr>
        <w:spacing w:line="360" w:lineRule="auto"/>
        <w:ind w:firstLine="420" w:firstLineChars="200"/>
        <w:rPr>
          <w:rFonts w:ascii="宋体" w:hAnsi="宋体"/>
        </w:rPr>
      </w:pPr>
      <w:r>
        <w:rPr>
          <w:rFonts w:hint="eastAsia" w:ascii="宋体" w:hAnsi="宋体"/>
        </w:rPr>
        <w:t>27、基金账户：指登记机构为投资人开立的、记录其持有的、基金管理人所管理的基金份额余额及其变动情况的账户</w:t>
      </w:r>
    </w:p>
    <w:p>
      <w:pPr>
        <w:spacing w:line="360" w:lineRule="auto"/>
        <w:ind w:firstLine="420" w:firstLineChars="200"/>
        <w:rPr>
          <w:rFonts w:ascii="宋体" w:hAnsi="宋体"/>
        </w:rPr>
      </w:pPr>
      <w:r>
        <w:rPr>
          <w:rFonts w:hint="eastAsia" w:ascii="宋体" w:hAnsi="宋体"/>
        </w:rPr>
        <w:t>28、基金交易账户：指销售机构为投资人开立的、记录投资人通过该销售机构办理认购、申购、赎回、转换、转托管及定期定额投资等业务而引起的基金份额变动及结余情况的账户</w:t>
      </w:r>
    </w:p>
    <w:p>
      <w:pPr>
        <w:spacing w:line="360" w:lineRule="auto"/>
        <w:ind w:firstLine="420" w:firstLineChars="200"/>
        <w:rPr>
          <w:rFonts w:ascii="宋体" w:hAnsi="宋体"/>
        </w:rPr>
      </w:pPr>
      <w:r>
        <w:rPr>
          <w:rFonts w:hint="eastAsia" w:ascii="宋体" w:hAnsi="宋体"/>
        </w:rPr>
        <w:t>29、基金合同生效日：指基金募集达到法律法规规定及基金合同规定的条件，基金管理人向中国证监会办理基金备案手续完毕，并获得中国证监会书面确认的日期</w:t>
      </w:r>
    </w:p>
    <w:p>
      <w:pPr>
        <w:spacing w:line="360" w:lineRule="auto"/>
        <w:ind w:firstLine="420" w:firstLineChars="200"/>
        <w:rPr>
          <w:rFonts w:ascii="宋体" w:hAnsi="宋体"/>
        </w:rPr>
      </w:pPr>
      <w:r>
        <w:rPr>
          <w:rFonts w:hint="eastAsia" w:ascii="宋体" w:hAnsi="宋体"/>
        </w:rPr>
        <w:t>30、基金合同终止日：指基金合同规定的基金合同终止事由出现后，基金财产清算完毕，清算结果报中国证监会备案并予以公告的日期</w:t>
      </w:r>
    </w:p>
    <w:p>
      <w:pPr>
        <w:spacing w:line="360" w:lineRule="auto"/>
        <w:ind w:firstLine="420" w:firstLineChars="200"/>
        <w:rPr>
          <w:rFonts w:ascii="宋体" w:hAnsi="宋体"/>
        </w:rPr>
      </w:pPr>
      <w:r>
        <w:rPr>
          <w:rFonts w:hint="eastAsia" w:ascii="宋体" w:hAnsi="宋体"/>
        </w:rPr>
        <w:t>31、基金募集期：指自基金份额发售之日起至发售结束之日止的期间，最长不得超过3个月</w:t>
      </w:r>
    </w:p>
    <w:p>
      <w:pPr>
        <w:spacing w:line="360" w:lineRule="auto"/>
        <w:ind w:firstLine="420" w:firstLineChars="200"/>
        <w:rPr>
          <w:rFonts w:ascii="宋体" w:hAnsi="宋体"/>
        </w:rPr>
      </w:pPr>
      <w:r>
        <w:rPr>
          <w:rFonts w:hint="eastAsia" w:ascii="宋体" w:hAnsi="宋体"/>
        </w:rPr>
        <w:t>32、存续期：指基金合同生效至终止之间的不定期期限</w:t>
      </w:r>
    </w:p>
    <w:p>
      <w:pPr>
        <w:spacing w:line="360" w:lineRule="auto"/>
        <w:ind w:firstLine="420" w:firstLineChars="200"/>
        <w:rPr>
          <w:rFonts w:ascii="宋体" w:hAnsi="宋体"/>
        </w:rPr>
      </w:pPr>
      <w:r>
        <w:rPr>
          <w:rFonts w:hint="eastAsia" w:ascii="宋体" w:hAnsi="宋体"/>
        </w:rPr>
        <w:t>33、工作日：指上海证券交易所、深圳证券交易所的正常交易日</w:t>
      </w:r>
    </w:p>
    <w:p>
      <w:pPr>
        <w:spacing w:line="360" w:lineRule="auto"/>
        <w:ind w:firstLine="420" w:firstLineChars="200"/>
        <w:rPr>
          <w:rFonts w:ascii="宋体" w:hAnsi="宋体"/>
        </w:rPr>
      </w:pPr>
      <w:r>
        <w:rPr>
          <w:rFonts w:hint="eastAsia" w:ascii="宋体" w:hAnsi="宋体"/>
        </w:rPr>
        <w:t>34、T日：指销售机构在规定时间受理投资人申购、赎回或其他业务申请的开放日</w:t>
      </w:r>
    </w:p>
    <w:p>
      <w:pPr>
        <w:spacing w:line="360" w:lineRule="auto"/>
        <w:ind w:firstLine="420" w:firstLineChars="200"/>
        <w:rPr>
          <w:rFonts w:ascii="宋体" w:hAnsi="宋体"/>
        </w:rPr>
      </w:pPr>
      <w:r>
        <w:rPr>
          <w:rFonts w:hint="eastAsia" w:ascii="宋体" w:hAnsi="宋体"/>
        </w:rPr>
        <w:t>35、T+n日：指自T日起第n个工作日（不包含T日），n为自然数</w:t>
      </w:r>
    </w:p>
    <w:p>
      <w:pPr>
        <w:spacing w:line="360" w:lineRule="auto"/>
        <w:ind w:firstLine="420" w:firstLineChars="200"/>
        <w:rPr>
          <w:rFonts w:ascii="宋体" w:hAnsi="宋体"/>
        </w:rPr>
      </w:pPr>
      <w:r>
        <w:rPr>
          <w:rFonts w:hint="eastAsia" w:ascii="宋体" w:hAnsi="宋体"/>
        </w:rPr>
        <w:t>36、开放日：指为投资人办理基金份额申购、赎回或其他业务的工作日（若该工作日为非港股通交易日，则本基金不开放）</w:t>
      </w:r>
    </w:p>
    <w:p>
      <w:pPr>
        <w:spacing w:line="360" w:lineRule="auto"/>
        <w:ind w:firstLine="420" w:firstLineChars="200"/>
        <w:rPr>
          <w:rFonts w:ascii="宋体" w:hAnsi="宋体"/>
        </w:rPr>
      </w:pPr>
      <w:r>
        <w:rPr>
          <w:rFonts w:hint="eastAsia" w:ascii="宋体" w:hAnsi="宋体"/>
        </w:rPr>
        <w:t>37、开放时间：指开放日基金接受申购、赎回或其他交易的时间段</w:t>
      </w:r>
    </w:p>
    <w:p>
      <w:pPr>
        <w:spacing w:line="360" w:lineRule="auto"/>
        <w:ind w:firstLine="420" w:firstLineChars="200"/>
        <w:rPr>
          <w:rFonts w:ascii="宋体" w:hAnsi="宋体"/>
        </w:rPr>
      </w:pPr>
      <w:r>
        <w:rPr>
          <w:rFonts w:hint="eastAsia" w:ascii="宋体" w:hAnsi="宋体"/>
        </w:rPr>
        <w:t>38、《业务规则》：指《工银瑞信基金管理有限公司证券投资基金注册登记业务规则》，是规范基金管理人所管理的开放式证券投资基金登记方面的业务规则，由基金管理人和投资人共同遵守</w:t>
      </w:r>
    </w:p>
    <w:p>
      <w:pPr>
        <w:spacing w:line="360" w:lineRule="auto"/>
        <w:ind w:firstLine="420" w:firstLineChars="200"/>
        <w:rPr>
          <w:rFonts w:ascii="宋体" w:hAnsi="宋体"/>
        </w:rPr>
      </w:pPr>
      <w:r>
        <w:rPr>
          <w:rFonts w:hint="eastAsia" w:ascii="宋体" w:hAnsi="宋体"/>
        </w:rPr>
        <w:t>39、认购：指在基金募集期内，投资人根据基金合同和招募说明书的规定申请购买基金份额的行为</w:t>
      </w:r>
    </w:p>
    <w:p>
      <w:pPr>
        <w:spacing w:line="360" w:lineRule="auto"/>
        <w:ind w:firstLine="420" w:firstLineChars="200"/>
        <w:rPr>
          <w:rFonts w:ascii="宋体" w:hAnsi="宋体"/>
        </w:rPr>
      </w:pPr>
      <w:r>
        <w:rPr>
          <w:rFonts w:hint="eastAsia" w:ascii="宋体" w:hAnsi="宋体"/>
        </w:rPr>
        <w:t>40、申购：指基金合同生效后，投资人根据基金合同和招募说明书的规定申请购买基金份额的行为</w:t>
      </w:r>
    </w:p>
    <w:p>
      <w:pPr>
        <w:spacing w:line="360" w:lineRule="auto"/>
        <w:ind w:firstLine="420" w:firstLineChars="200"/>
        <w:rPr>
          <w:rFonts w:ascii="宋体" w:hAnsi="宋体"/>
        </w:rPr>
      </w:pPr>
      <w:r>
        <w:rPr>
          <w:rFonts w:hint="eastAsia" w:ascii="宋体" w:hAnsi="宋体"/>
        </w:rPr>
        <w:t>41、赎回：指基金合同生效后，基金份额持有人按基金合同和招募说明书规定的条件要求将基金份额兑换为现金的行为</w:t>
      </w:r>
    </w:p>
    <w:p>
      <w:pPr>
        <w:spacing w:line="360" w:lineRule="auto"/>
        <w:ind w:firstLine="420" w:firstLineChars="200"/>
        <w:rPr>
          <w:rFonts w:ascii="宋体" w:hAnsi="宋体"/>
        </w:rPr>
      </w:pPr>
      <w:r>
        <w:rPr>
          <w:rFonts w:ascii="宋体" w:hAnsi="宋体"/>
        </w:rPr>
        <w:t>42</w:t>
      </w:r>
      <w:r>
        <w:rPr>
          <w:rFonts w:hint="eastAsia" w:ascii="宋体" w:hAnsi="宋体"/>
        </w:rPr>
        <w:t>、销售服务费：指从基金资产中计提的，用于本基金市场推广、销售以及基金份额持有人服务的费用</w:t>
      </w:r>
    </w:p>
    <w:p>
      <w:pPr>
        <w:spacing w:line="360" w:lineRule="auto"/>
        <w:ind w:firstLine="420" w:firstLineChars="200"/>
        <w:rPr>
          <w:rFonts w:ascii="宋体" w:hAnsi="宋体"/>
        </w:rPr>
      </w:pPr>
      <w:r>
        <w:rPr>
          <w:rFonts w:ascii="宋体" w:hAnsi="宋体"/>
        </w:rPr>
        <w:t>43</w:t>
      </w:r>
      <w:r>
        <w:rPr>
          <w:rFonts w:hint="eastAsia" w:ascii="宋体" w:hAnsi="宋体"/>
        </w:rPr>
        <w:t>、基金份额类别：指本基金根据认购</w:t>
      </w:r>
      <w:r>
        <w:rPr>
          <w:rFonts w:ascii="宋体" w:hAnsi="宋体"/>
        </w:rPr>
        <w:t>/</w:t>
      </w:r>
      <w:r>
        <w:rPr>
          <w:rFonts w:hint="eastAsia" w:ascii="宋体" w:hAnsi="宋体"/>
        </w:rPr>
        <w:t>申购费用、销售服务费收取方式的不同，将基金份额分为不同的类别。在投资人认购</w:t>
      </w:r>
      <w:r>
        <w:rPr>
          <w:rFonts w:ascii="宋体" w:hAnsi="宋体"/>
        </w:rPr>
        <w:t>/</w:t>
      </w:r>
      <w:r>
        <w:rPr>
          <w:rFonts w:hint="eastAsia" w:ascii="宋体" w:hAnsi="宋体"/>
        </w:rPr>
        <w:t>申购时按规定收取认购</w:t>
      </w:r>
      <w:r>
        <w:rPr>
          <w:rFonts w:ascii="宋体" w:hAnsi="宋体"/>
        </w:rPr>
        <w:t>/</w:t>
      </w:r>
      <w:r>
        <w:rPr>
          <w:rFonts w:hint="eastAsia" w:ascii="宋体" w:hAnsi="宋体"/>
        </w:rPr>
        <w:t>申购费用、赎回时收取赎回费用，且不从本类别基金资产中计提销售服务费的，称为</w:t>
      </w:r>
      <w:r>
        <w:rPr>
          <w:rFonts w:ascii="宋体" w:hAnsi="宋体"/>
        </w:rPr>
        <w:t>A</w:t>
      </w:r>
      <w:r>
        <w:rPr>
          <w:rFonts w:hint="eastAsia" w:ascii="宋体" w:hAnsi="宋体"/>
        </w:rPr>
        <w:t>类基金份额；在投资人认购</w:t>
      </w:r>
      <w:r>
        <w:rPr>
          <w:rFonts w:ascii="宋体" w:hAnsi="宋体"/>
        </w:rPr>
        <w:t>/</w:t>
      </w:r>
      <w:r>
        <w:rPr>
          <w:rFonts w:hint="eastAsia" w:ascii="宋体" w:hAnsi="宋体"/>
        </w:rPr>
        <w:t>申购时不收取认购</w:t>
      </w:r>
      <w:r>
        <w:rPr>
          <w:rFonts w:ascii="宋体" w:hAnsi="宋体"/>
        </w:rPr>
        <w:t>/</w:t>
      </w:r>
      <w:r>
        <w:rPr>
          <w:rFonts w:hint="eastAsia" w:ascii="宋体" w:hAnsi="宋体"/>
        </w:rPr>
        <w:t>申购费用、赎回时收取赎回费用，且从本类别基金资产中计提销售服务费</w:t>
      </w:r>
      <w:r>
        <w:rPr>
          <w:rFonts w:hint="eastAsia" w:ascii="宋体" w:hAnsi="宋体"/>
          <w:bCs/>
          <w:szCs w:val="21"/>
        </w:rPr>
        <w:t>并按规定收取或返还</w:t>
      </w:r>
      <w:r>
        <w:rPr>
          <w:rFonts w:hint="eastAsia" w:ascii="宋体" w:hAnsi="宋体"/>
        </w:rPr>
        <w:t>的，称为</w:t>
      </w:r>
      <w:r>
        <w:rPr>
          <w:rFonts w:ascii="宋体" w:hAnsi="宋体"/>
        </w:rPr>
        <w:t>C</w:t>
      </w:r>
      <w:r>
        <w:rPr>
          <w:rFonts w:hint="eastAsia" w:ascii="宋体" w:hAnsi="宋体"/>
        </w:rPr>
        <w:t>类基金份额</w:t>
      </w:r>
    </w:p>
    <w:p>
      <w:pPr>
        <w:spacing w:line="360" w:lineRule="auto"/>
        <w:ind w:firstLine="420" w:firstLineChars="200"/>
        <w:rPr>
          <w:bCs/>
          <w:sz w:val="24"/>
        </w:rPr>
      </w:pPr>
      <w:r>
        <w:rPr>
          <w:rFonts w:ascii="宋体" w:hAnsi="宋体"/>
        </w:rPr>
        <w:t>44</w:t>
      </w:r>
      <w:r>
        <w:rPr>
          <w:rFonts w:hint="eastAsia" w:ascii="宋体" w:hAnsi="宋体"/>
        </w:rPr>
        <w:t>、基金转换：指基金份额持有人按照基金合同和基金管理人届时有效公告规定的条件，申请将其持有基金管理人管理的、某一基金的基金份额转换为基金管理人管理的该基金其他基金份额或其他基金基金份额的行为</w:t>
      </w:r>
    </w:p>
    <w:p>
      <w:pPr>
        <w:spacing w:line="360" w:lineRule="auto"/>
        <w:ind w:firstLine="420" w:firstLineChars="200"/>
        <w:rPr>
          <w:rFonts w:ascii="宋体" w:hAnsi="宋体"/>
        </w:rPr>
      </w:pPr>
      <w:r>
        <w:rPr>
          <w:rFonts w:hint="eastAsia" w:ascii="宋体" w:hAnsi="宋体"/>
        </w:rPr>
        <w:t>4</w:t>
      </w:r>
      <w:r>
        <w:rPr>
          <w:rFonts w:ascii="宋体" w:hAnsi="宋体"/>
        </w:rPr>
        <w:t>5</w:t>
      </w:r>
      <w:r>
        <w:rPr>
          <w:rFonts w:hint="eastAsia" w:ascii="宋体" w:hAnsi="宋体"/>
        </w:rPr>
        <w:t>、转托管：指基金份额持有人在本基金的不同销售机构之间实施的变更所持基金份额销售机构的操作</w:t>
      </w:r>
    </w:p>
    <w:p>
      <w:pPr>
        <w:spacing w:line="360" w:lineRule="auto"/>
        <w:ind w:firstLine="420" w:firstLineChars="200"/>
        <w:rPr>
          <w:rFonts w:ascii="宋体" w:hAnsi="宋体"/>
        </w:rPr>
      </w:pPr>
      <w:r>
        <w:rPr>
          <w:rFonts w:hint="eastAsia" w:ascii="宋体" w:hAnsi="宋体"/>
        </w:rPr>
        <w:t>4</w:t>
      </w:r>
      <w:r>
        <w:rPr>
          <w:rFonts w:ascii="宋体" w:hAnsi="宋体"/>
        </w:rPr>
        <w:t>6</w:t>
      </w:r>
      <w:r>
        <w:rPr>
          <w:rFonts w:hint="eastAsia" w:ascii="宋体" w:hAnsi="宋体"/>
        </w:rPr>
        <w:t>、定期定额投资计划：指投资人通过有关销售机构提出申请，约定每期申购日、扣款金额及扣款方式，由销售机构于每期约定扣款日在投资人指定银行账户内自动完成扣款及受理基金申购申请的一种投资方式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20" w:firstLineChars="200"/>
        <w:rPr>
          <w:rFonts w:ascii="宋体" w:hAnsi="宋体"/>
        </w:rPr>
      </w:pPr>
      <w:r>
        <w:rPr>
          <w:rFonts w:hint="eastAsia" w:ascii="宋体" w:hAnsi="宋体"/>
        </w:rPr>
        <w:t>4</w:t>
      </w:r>
      <w:r>
        <w:rPr>
          <w:rFonts w:ascii="宋体" w:hAnsi="宋体"/>
        </w:rPr>
        <w:t>7</w:t>
      </w:r>
      <w:r>
        <w:rPr>
          <w:rFonts w:hint="eastAsia" w:ascii="宋体" w:hAnsi="宋体"/>
        </w:rPr>
        <w:t>、巨额赎回：指本基金单个开放日，基金净赎回申请(赎回申请份额总数加上基金转换中转出申请份额总数后扣除申购申请份额总数及基金转换中转入申请份额总数后的余额)超过上一开放日基金总份额的10%</w:t>
      </w:r>
    </w:p>
    <w:p>
      <w:pPr>
        <w:spacing w:line="360" w:lineRule="auto"/>
        <w:ind w:firstLine="420" w:firstLineChars="200"/>
        <w:rPr>
          <w:rFonts w:ascii="宋体" w:hAnsi="宋体"/>
        </w:rPr>
      </w:pPr>
      <w:r>
        <w:rPr>
          <w:rFonts w:hint="eastAsia" w:ascii="宋体" w:hAnsi="宋体"/>
        </w:rPr>
        <w:t>4</w:t>
      </w:r>
      <w:r>
        <w:rPr>
          <w:rFonts w:ascii="宋体" w:hAnsi="宋体"/>
        </w:rPr>
        <w:t>8</w:t>
      </w:r>
      <w:r>
        <w:rPr>
          <w:rFonts w:hint="eastAsia" w:ascii="宋体" w:hAnsi="宋体"/>
        </w:rPr>
        <w:t>、元：指人民币元</w:t>
      </w:r>
    </w:p>
    <w:p>
      <w:pPr>
        <w:spacing w:line="360" w:lineRule="auto"/>
        <w:ind w:firstLine="420" w:firstLineChars="200"/>
        <w:rPr>
          <w:rFonts w:ascii="宋体" w:hAnsi="宋体"/>
        </w:rPr>
      </w:pPr>
      <w:r>
        <w:rPr>
          <w:rFonts w:hint="eastAsia" w:ascii="宋体" w:hAnsi="宋体"/>
        </w:rPr>
        <w:t>4</w:t>
      </w:r>
      <w:r>
        <w:rPr>
          <w:rFonts w:ascii="宋体" w:hAnsi="宋体"/>
        </w:rPr>
        <w:t>9</w:t>
      </w:r>
      <w:r>
        <w:rPr>
          <w:rFonts w:hint="eastAsia" w:ascii="宋体" w:hAnsi="宋体"/>
        </w:rPr>
        <w:t>、内地与香港股票市场交易互联互通机制：指内地证券交易所和香港联合交易所有限公司（以下简称“香港联合交易所”）建立技术连接，使内地和香港投资者可以通过当地证券公司或经纪商买卖规定范围内的对方交易所上市的股票</w:t>
      </w:r>
    </w:p>
    <w:p>
      <w:pPr>
        <w:spacing w:line="360" w:lineRule="auto"/>
        <w:ind w:firstLine="420" w:firstLineChars="200"/>
        <w:rPr>
          <w:rFonts w:ascii="宋体" w:hAnsi="宋体"/>
        </w:rPr>
      </w:pPr>
      <w:r>
        <w:rPr>
          <w:rFonts w:ascii="宋体" w:hAnsi="宋体"/>
        </w:rPr>
        <w:t>50</w:t>
      </w:r>
      <w:r>
        <w:rPr>
          <w:rFonts w:hint="eastAsia" w:ascii="宋体" w:hAnsi="宋体"/>
        </w:rPr>
        <w:t>、港股通：指内地投资者委托内地证券公司，经由内地证券交易所设立的证券交易服务公司，向香港联合交易所进行申报，买卖规定范围内的香港联合交易所上市的股票</w:t>
      </w:r>
    </w:p>
    <w:p>
      <w:pPr>
        <w:spacing w:line="360" w:lineRule="auto"/>
        <w:ind w:firstLine="420" w:firstLineChars="200"/>
        <w:rPr>
          <w:rFonts w:ascii="宋体" w:hAnsi="宋体"/>
        </w:rPr>
      </w:pPr>
      <w:r>
        <w:rPr>
          <w:rFonts w:ascii="宋体" w:hAnsi="宋体"/>
        </w:rPr>
        <w:t>51</w:t>
      </w:r>
      <w:r>
        <w:rPr>
          <w:rFonts w:hint="eastAsia" w:ascii="宋体" w:hAnsi="宋体"/>
        </w:rPr>
        <w:t>、基金收益：指基金投资所得红利、股息、债券利息、买卖证券价差、银行存款利息、已实现的其他合法收入及因运用基金财产带来的成本和费用的节约</w:t>
      </w:r>
    </w:p>
    <w:p>
      <w:pPr>
        <w:spacing w:line="360" w:lineRule="auto"/>
        <w:ind w:firstLine="420" w:firstLineChars="200"/>
        <w:rPr>
          <w:rFonts w:ascii="宋体" w:hAnsi="宋体"/>
        </w:rPr>
      </w:pPr>
      <w:r>
        <w:rPr>
          <w:rFonts w:hint="eastAsia" w:ascii="宋体" w:hAnsi="宋体"/>
        </w:rPr>
        <w:t>5</w:t>
      </w:r>
      <w:r>
        <w:rPr>
          <w:rFonts w:ascii="宋体" w:hAnsi="宋体"/>
        </w:rPr>
        <w:t>2</w:t>
      </w:r>
      <w:r>
        <w:rPr>
          <w:rFonts w:hint="eastAsia" w:ascii="宋体" w:hAnsi="宋体"/>
        </w:rPr>
        <w:t>、基金资产总值：指基金拥有的各类有价证券、银行存款本息、基金应收款项及其他资产的价值总和</w:t>
      </w:r>
    </w:p>
    <w:p>
      <w:pPr>
        <w:spacing w:line="360" w:lineRule="auto"/>
        <w:ind w:firstLine="420" w:firstLineChars="200"/>
        <w:rPr>
          <w:rFonts w:ascii="宋体" w:hAnsi="宋体"/>
        </w:rPr>
      </w:pPr>
      <w:r>
        <w:rPr>
          <w:rFonts w:hint="eastAsia" w:ascii="宋体" w:hAnsi="宋体"/>
        </w:rPr>
        <w:t>5</w:t>
      </w:r>
      <w:r>
        <w:rPr>
          <w:rFonts w:ascii="宋体" w:hAnsi="宋体"/>
        </w:rPr>
        <w:t>3</w:t>
      </w:r>
      <w:r>
        <w:rPr>
          <w:rFonts w:hint="eastAsia" w:ascii="宋体" w:hAnsi="宋体"/>
        </w:rPr>
        <w:t>、基金资产净值：指基金资产总值减去基金负债后的价值</w:t>
      </w:r>
    </w:p>
    <w:p>
      <w:pPr>
        <w:spacing w:line="360" w:lineRule="auto"/>
        <w:ind w:firstLine="420" w:firstLineChars="200"/>
        <w:rPr>
          <w:rFonts w:ascii="宋体" w:hAnsi="宋体"/>
        </w:rPr>
      </w:pPr>
      <w:r>
        <w:rPr>
          <w:rFonts w:hint="eastAsia" w:ascii="宋体" w:hAnsi="宋体"/>
        </w:rPr>
        <w:t>5</w:t>
      </w:r>
      <w:r>
        <w:rPr>
          <w:rFonts w:ascii="宋体" w:hAnsi="宋体"/>
        </w:rPr>
        <w:t>4</w:t>
      </w:r>
      <w:r>
        <w:rPr>
          <w:rFonts w:hint="eastAsia" w:ascii="宋体" w:hAnsi="宋体"/>
        </w:rPr>
        <w:t>、基金份额净值：指计算日基金资产净值除以计算日基金份额总数</w:t>
      </w:r>
    </w:p>
    <w:p>
      <w:pPr>
        <w:spacing w:line="360" w:lineRule="auto"/>
        <w:ind w:firstLine="420" w:firstLineChars="200"/>
        <w:rPr>
          <w:rFonts w:ascii="宋体" w:hAnsi="宋体"/>
        </w:rPr>
      </w:pPr>
      <w:r>
        <w:rPr>
          <w:rFonts w:hint="eastAsia" w:ascii="宋体" w:hAnsi="宋体"/>
        </w:rPr>
        <w:t>5</w:t>
      </w:r>
      <w:r>
        <w:rPr>
          <w:rFonts w:ascii="宋体" w:hAnsi="宋体"/>
        </w:rPr>
        <w:t>5</w:t>
      </w:r>
      <w:r>
        <w:rPr>
          <w:rFonts w:hint="eastAsia" w:ascii="宋体" w:hAnsi="宋体"/>
        </w:rPr>
        <w:t>、基金资产估值：指计算评估基金资产和负债的价值，以确定基金资产净值和基金份额净值的过程</w:t>
      </w:r>
    </w:p>
    <w:p>
      <w:pPr>
        <w:spacing w:line="360" w:lineRule="auto"/>
        <w:ind w:firstLine="420" w:firstLineChars="200"/>
        <w:rPr>
          <w:rFonts w:ascii="宋体" w:hAnsi="宋体"/>
        </w:rPr>
      </w:pPr>
      <w:r>
        <w:rPr>
          <w:rFonts w:hint="eastAsia" w:ascii="宋体" w:hAnsi="宋体"/>
        </w:rPr>
        <w:t>5</w:t>
      </w:r>
      <w:r>
        <w:rPr>
          <w:rFonts w:ascii="宋体" w:hAnsi="宋体"/>
        </w:rPr>
        <w:t>6</w:t>
      </w:r>
      <w:r>
        <w:rPr>
          <w:rFonts w:hint="eastAsia" w:ascii="宋体" w:hAnsi="宋体"/>
        </w:rPr>
        <w:t>、规定媒介：指符合中国证监会规定条件的用以进行信息披露的全国性报刊（以下简称“规定报刊”）及《信息披露办法》规定的互联网网站（以下简称“规定网站”，包括基金管理人网站、基金托管人网站、中国证监会基金电子披露网站）等媒介</w:t>
      </w:r>
    </w:p>
    <w:p>
      <w:pPr>
        <w:spacing w:line="360" w:lineRule="auto"/>
        <w:ind w:firstLine="420" w:firstLineChars="200"/>
        <w:rPr>
          <w:rFonts w:ascii="宋体" w:hAnsi="宋体"/>
        </w:rPr>
      </w:pPr>
      <w:r>
        <w:rPr>
          <w:rFonts w:hint="eastAsia" w:ascii="宋体" w:hAnsi="宋体"/>
        </w:rPr>
        <w:t>5</w:t>
      </w:r>
      <w:r>
        <w:rPr>
          <w:rFonts w:ascii="宋体" w:hAnsi="宋体"/>
        </w:rPr>
        <w:t>7</w:t>
      </w:r>
      <w:r>
        <w:rPr>
          <w:rFonts w:hint="eastAsia" w:ascii="宋体" w:hAnsi="宋体"/>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20" w:firstLineChars="200"/>
        <w:rPr>
          <w:rFonts w:ascii="宋体" w:hAnsi="宋体"/>
        </w:rPr>
      </w:pPr>
      <w:r>
        <w:rPr>
          <w:rFonts w:hint="eastAsia" w:ascii="宋体" w:hAnsi="宋体"/>
        </w:rPr>
        <w:t>5</w:t>
      </w:r>
      <w:r>
        <w:rPr>
          <w:rFonts w:ascii="宋体" w:hAnsi="宋体"/>
        </w:rPr>
        <w:t>8</w:t>
      </w:r>
      <w:r>
        <w:rPr>
          <w:rFonts w:hint="eastAsia" w:ascii="宋体" w:hAnsi="宋体"/>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20" w:firstLineChars="200"/>
        <w:rPr>
          <w:rFonts w:ascii="宋体" w:hAnsi="宋体"/>
        </w:rPr>
      </w:pPr>
      <w:r>
        <w:rPr>
          <w:rFonts w:hint="eastAsia" w:ascii="宋体" w:hAnsi="宋体"/>
        </w:rPr>
        <w:t>5</w:t>
      </w:r>
      <w:r>
        <w:rPr>
          <w:rFonts w:ascii="宋体" w:hAnsi="宋体"/>
        </w:rPr>
        <w:t>9</w:t>
      </w:r>
      <w:r>
        <w:rPr>
          <w:rFonts w:hint="eastAsia" w:ascii="宋体" w:hAnsi="宋体"/>
        </w:rPr>
        <w:t>、不可抗力：指基金合同当事人不能预见、不能避免且不能克服的客观事件</w:t>
      </w:r>
    </w:p>
    <w:p>
      <w:pPr>
        <w:spacing w:line="360" w:lineRule="auto"/>
        <w:ind w:firstLine="420" w:firstLineChars="200"/>
        <w:rPr>
          <w:rFonts w:ascii="宋体" w:hAnsi="宋体"/>
        </w:rPr>
      </w:pPr>
      <w:r>
        <w:rPr>
          <w:rFonts w:ascii="宋体" w:hAnsi="宋体"/>
        </w:rPr>
        <w:t>60</w:t>
      </w:r>
      <w:r>
        <w:rPr>
          <w:rFonts w:hint="eastAsia" w:ascii="宋体" w:hAnsi="宋体"/>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20" w:firstLineChars="200"/>
        <w:rPr>
          <w:rFonts w:ascii="宋体" w:hAnsi="宋体"/>
        </w:rPr>
      </w:pPr>
      <w:r>
        <w:rPr>
          <w:rFonts w:ascii="宋体" w:hAnsi="宋体"/>
        </w:rPr>
        <w:t>61</w:t>
      </w:r>
      <w:r>
        <w:rPr>
          <w:rFonts w:hint="eastAsia" w:ascii="宋体" w:hAnsi="宋体"/>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20" w:firstLineChars="200"/>
        <w:rPr>
          <w:rFonts w:ascii="宋体" w:hAnsi="宋体"/>
        </w:rPr>
      </w:pPr>
      <w:r>
        <w:rPr>
          <w:rFonts w:hint="eastAsia" w:ascii="宋体" w:hAnsi="宋体"/>
        </w:rPr>
        <w:t>62、发起式基金：指符合中国证监会有关规定，由基金管理人、基金管理人股东、基金管理人高级管理人员或基金经理（包括基金经理之外的投研人员，下同）等人员承诺认购一定金额并持有一定期限的证券投资基金</w:t>
      </w:r>
    </w:p>
    <w:p>
      <w:pPr>
        <w:spacing w:line="360" w:lineRule="auto"/>
        <w:ind w:firstLine="420" w:firstLineChars="200"/>
        <w:rPr>
          <w:rFonts w:ascii="宋体" w:hAnsi="宋体"/>
        </w:rPr>
      </w:pPr>
      <w:r>
        <w:rPr>
          <w:rFonts w:hint="eastAsia" w:ascii="宋体" w:hAnsi="宋体"/>
        </w:rPr>
        <w:t>63、发起资金：指用于认购发起式基金且来源于基金管理人的股东资金、基金管理人固有资金、基金管理人高级管理人员或基金经理等人员的资金</w:t>
      </w:r>
    </w:p>
    <w:p>
      <w:pPr>
        <w:spacing w:line="360" w:lineRule="auto"/>
        <w:ind w:firstLine="420" w:firstLineChars="200"/>
        <w:rPr>
          <w:rFonts w:ascii="宋体" w:hAnsi="宋体"/>
        </w:rPr>
      </w:pPr>
      <w:r>
        <w:rPr>
          <w:rFonts w:hint="eastAsia" w:ascii="宋体" w:hAnsi="宋体"/>
        </w:rPr>
        <w:t>64、发起资金提供方：指提供用于认购发起式基金资金的机构或人员，包括基金管理人、基金管理人股东、基金管理人高级管理人员或基金经理等人员</w:t>
      </w:r>
    </w:p>
    <w:bookmarkEnd w:id="50"/>
    <w:p>
      <w:pPr>
        <w:spacing w:line="360" w:lineRule="auto"/>
        <w:ind w:firstLine="420" w:firstLineChars="200"/>
        <w:rPr>
          <w:rFonts w:ascii="宋体" w:hAnsi="宋体"/>
        </w:rPr>
      </w:pPr>
    </w:p>
    <w:p>
      <w:pPr>
        <w:pStyle w:val="4"/>
        <w:spacing w:before="400" w:after="400"/>
        <w:rPr>
          <w:rFonts w:hAnsi="宋体"/>
          <w:sz w:val="32"/>
        </w:rPr>
      </w:pPr>
      <w:r>
        <w:rPr>
          <w:rFonts w:hAnsi="宋体"/>
          <w:bCs/>
          <w:szCs w:val="21"/>
        </w:rPr>
        <w:br w:type="page"/>
      </w:r>
      <w:bookmarkEnd w:id="49"/>
      <w:bookmarkStart w:id="51" w:name="_Hlt83724057"/>
      <w:bookmarkEnd w:id="51"/>
      <w:bookmarkStart w:id="52" w:name="_Toc106894676"/>
      <w:bookmarkStart w:id="53" w:name="_Toc55987059"/>
      <w:bookmarkStart w:id="54" w:name="_Toc116052549"/>
      <w:bookmarkStart w:id="55" w:name="_Toc116052783"/>
      <w:bookmarkStart w:id="56" w:name="_Toc203357150"/>
      <w:bookmarkStart w:id="57" w:name="_Toc106862754"/>
      <w:bookmarkStart w:id="58" w:name="_Toc106961480"/>
      <w:bookmarkStart w:id="59" w:name="_Toc203806286"/>
      <w:bookmarkStart w:id="60" w:name="_Toc106894874"/>
      <w:bookmarkStart w:id="61" w:name="_Toc106863365"/>
      <w:r>
        <w:rPr>
          <w:rFonts w:hAnsi="宋体"/>
          <w:sz w:val="32"/>
        </w:rPr>
        <w:t>三、基金管理人</w:t>
      </w:r>
      <w:bookmarkEnd w:id="52"/>
      <w:bookmarkEnd w:id="53"/>
      <w:bookmarkEnd w:id="54"/>
      <w:bookmarkEnd w:id="55"/>
      <w:bookmarkEnd w:id="56"/>
      <w:bookmarkEnd w:id="57"/>
      <w:bookmarkEnd w:id="58"/>
      <w:bookmarkEnd w:id="59"/>
      <w:bookmarkEnd w:id="60"/>
      <w:bookmarkEnd w:id="61"/>
    </w:p>
    <w:p>
      <w:pPr>
        <w:autoSpaceDE w:val="0"/>
        <w:autoSpaceDN w:val="0"/>
        <w:adjustRightInd w:val="0"/>
        <w:spacing w:line="360" w:lineRule="auto"/>
        <w:ind w:firstLine="420"/>
        <w:rPr>
          <w:rFonts w:ascii="宋体" w:hAnsi="宋体"/>
        </w:rPr>
      </w:pPr>
      <w:bookmarkStart w:id="62" w:name="b"/>
      <w:bookmarkEnd w:id="62"/>
      <w:r>
        <w:rPr>
          <w:rFonts w:hint="eastAsia" w:ascii="宋体" w:hAnsi="宋体"/>
        </w:rPr>
        <w:t>（一）基金管理人概况</w:t>
      </w:r>
    </w:p>
    <w:p>
      <w:pPr>
        <w:autoSpaceDE w:val="0"/>
        <w:autoSpaceDN w:val="0"/>
        <w:adjustRightInd w:val="0"/>
        <w:spacing w:line="360" w:lineRule="auto"/>
        <w:ind w:firstLine="420"/>
        <w:rPr>
          <w:rFonts w:ascii="宋体" w:hAnsi="宋体"/>
          <w:kern w:val="0"/>
        </w:rPr>
      </w:pPr>
      <w:r>
        <w:rPr>
          <w:rFonts w:hint="eastAsia" w:ascii="宋体" w:hAnsi="宋体"/>
          <w:kern w:val="0"/>
        </w:rPr>
        <w:t>名称：工银瑞信基金管理有限公司</w:t>
      </w:r>
    </w:p>
    <w:p>
      <w:pPr>
        <w:autoSpaceDE w:val="0"/>
        <w:autoSpaceDN w:val="0"/>
        <w:adjustRightInd w:val="0"/>
        <w:spacing w:line="360" w:lineRule="auto"/>
        <w:ind w:firstLine="420"/>
        <w:rPr>
          <w:rFonts w:ascii="宋体" w:hAnsi="宋体"/>
          <w:kern w:val="0"/>
        </w:rPr>
      </w:pPr>
      <w:r>
        <w:rPr>
          <w:rFonts w:hint="eastAsia" w:ascii="宋体" w:hAnsi="宋体"/>
          <w:kern w:val="0"/>
        </w:rPr>
        <w:t>住所：北京市西城区金融大街5号、甲5号9层甲5号901</w:t>
      </w:r>
    </w:p>
    <w:p>
      <w:pPr>
        <w:autoSpaceDE w:val="0"/>
        <w:autoSpaceDN w:val="0"/>
        <w:adjustRightInd w:val="0"/>
        <w:spacing w:line="360" w:lineRule="auto"/>
        <w:ind w:firstLine="420"/>
        <w:rPr>
          <w:rFonts w:ascii="宋体" w:hAnsi="宋体"/>
          <w:kern w:val="0"/>
        </w:rPr>
      </w:pPr>
      <w:r>
        <w:rPr>
          <w:rFonts w:hint="eastAsia" w:ascii="宋体" w:hAnsi="宋体"/>
          <w:kern w:val="0"/>
        </w:rPr>
        <w:t>办公地址：北京市西城区金融大街5号新盛大厦A座6-9层</w:t>
      </w:r>
    </w:p>
    <w:p>
      <w:pPr>
        <w:autoSpaceDE w:val="0"/>
        <w:autoSpaceDN w:val="0"/>
        <w:adjustRightInd w:val="0"/>
        <w:spacing w:line="360" w:lineRule="auto"/>
        <w:ind w:firstLine="420"/>
        <w:rPr>
          <w:rFonts w:ascii="宋体" w:hAnsi="宋体"/>
          <w:kern w:val="0"/>
        </w:rPr>
      </w:pPr>
      <w:r>
        <w:rPr>
          <w:rFonts w:hint="eastAsia" w:ascii="宋体" w:hAnsi="宋体"/>
          <w:kern w:val="0"/>
        </w:rPr>
        <w:t>邮政编码：100033</w:t>
      </w:r>
    </w:p>
    <w:p>
      <w:pPr>
        <w:autoSpaceDE w:val="0"/>
        <w:autoSpaceDN w:val="0"/>
        <w:adjustRightInd w:val="0"/>
        <w:spacing w:line="360" w:lineRule="auto"/>
        <w:ind w:firstLine="420"/>
        <w:rPr>
          <w:rFonts w:ascii="宋体" w:hAnsi="宋体"/>
          <w:kern w:val="0"/>
        </w:rPr>
      </w:pPr>
      <w:r>
        <w:rPr>
          <w:rFonts w:hint="eastAsia" w:ascii="宋体" w:hAnsi="宋体"/>
          <w:kern w:val="0"/>
        </w:rPr>
        <w:t>法定代表人：赵桂才</w:t>
      </w:r>
    </w:p>
    <w:p>
      <w:pPr>
        <w:autoSpaceDE w:val="0"/>
        <w:autoSpaceDN w:val="0"/>
        <w:adjustRightInd w:val="0"/>
        <w:spacing w:line="360" w:lineRule="auto"/>
        <w:ind w:firstLine="420"/>
        <w:rPr>
          <w:rFonts w:ascii="宋体" w:hAnsi="宋体"/>
          <w:kern w:val="0"/>
        </w:rPr>
      </w:pPr>
      <w:r>
        <w:rPr>
          <w:rFonts w:hint="eastAsia" w:ascii="宋体" w:hAnsi="宋体"/>
          <w:kern w:val="0"/>
        </w:rPr>
        <w:t>成立日期：2005年6月21日</w:t>
      </w:r>
    </w:p>
    <w:p>
      <w:pPr>
        <w:autoSpaceDE w:val="0"/>
        <w:autoSpaceDN w:val="0"/>
        <w:adjustRightInd w:val="0"/>
        <w:spacing w:line="360" w:lineRule="auto"/>
        <w:ind w:firstLine="420"/>
        <w:rPr>
          <w:rFonts w:ascii="宋体" w:hAnsi="宋体"/>
          <w:kern w:val="0"/>
        </w:rPr>
      </w:pPr>
      <w:r>
        <w:rPr>
          <w:rFonts w:hint="eastAsia" w:ascii="宋体" w:hAnsi="宋体"/>
          <w:kern w:val="0"/>
        </w:rPr>
        <w:t>批准设立机关：中国证监会</w:t>
      </w:r>
    </w:p>
    <w:p>
      <w:pPr>
        <w:autoSpaceDE w:val="0"/>
        <w:autoSpaceDN w:val="0"/>
        <w:adjustRightInd w:val="0"/>
        <w:spacing w:line="360" w:lineRule="auto"/>
        <w:ind w:firstLine="420"/>
        <w:rPr>
          <w:rFonts w:ascii="宋体" w:hAnsi="宋体"/>
          <w:kern w:val="0"/>
        </w:rPr>
      </w:pPr>
      <w:r>
        <w:rPr>
          <w:rFonts w:hint="eastAsia" w:ascii="宋体" w:hAnsi="宋体"/>
          <w:kern w:val="0"/>
        </w:rPr>
        <w:t>批准设立文号：中国证监会证监基金字[2005]93号</w:t>
      </w:r>
    </w:p>
    <w:p>
      <w:pPr>
        <w:autoSpaceDE w:val="0"/>
        <w:autoSpaceDN w:val="0"/>
        <w:adjustRightInd w:val="0"/>
        <w:spacing w:line="360" w:lineRule="auto"/>
        <w:ind w:firstLine="420"/>
        <w:rPr>
          <w:rFonts w:ascii="宋体" w:hAnsi="宋体"/>
          <w:kern w:val="0"/>
        </w:rPr>
      </w:pPr>
      <w:r>
        <w:rPr>
          <w:rFonts w:hint="eastAsia" w:ascii="宋体" w:hAnsi="宋体"/>
          <w:kern w:val="0"/>
        </w:rPr>
        <w:t>经营范围：基金募集、基金销售、资产管理及中国证监会许可的其他业务</w:t>
      </w:r>
    </w:p>
    <w:p>
      <w:pPr>
        <w:autoSpaceDE w:val="0"/>
        <w:autoSpaceDN w:val="0"/>
        <w:adjustRightInd w:val="0"/>
        <w:spacing w:line="360" w:lineRule="auto"/>
        <w:ind w:firstLine="420"/>
        <w:rPr>
          <w:rFonts w:ascii="宋体" w:hAnsi="宋体"/>
          <w:kern w:val="0"/>
        </w:rPr>
      </w:pPr>
      <w:r>
        <w:rPr>
          <w:rFonts w:hint="eastAsia" w:ascii="宋体" w:hAnsi="宋体"/>
          <w:kern w:val="0"/>
        </w:rPr>
        <w:t>组织形式：有限责任公司</w:t>
      </w:r>
    </w:p>
    <w:p>
      <w:pPr>
        <w:autoSpaceDE w:val="0"/>
        <w:autoSpaceDN w:val="0"/>
        <w:adjustRightInd w:val="0"/>
        <w:spacing w:line="360" w:lineRule="auto"/>
        <w:ind w:firstLine="420"/>
        <w:rPr>
          <w:rFonts w:ascii="宋体" w:hAnsi="宋体"/>
          <w:kern w:val="0"/>
        </w:rPr>
      </w:pPr>
      <w:r>
        <w:rPr>
          <w:rFonts w:hint="eastAsia" w:ascii="宋体" w:hAnsi="宋体"/>
          <w:kern w:val="0"/>
        </w:rPr>
        <w:t>注册资本：贰亿元人民币</w:t>
      </w:r>
    </w:p>
    <w:p>
      <w:pPr>
        <w:autoSpaceDE w:val="0"/>
        <w:autoSpaceDN w:val="0"/>
        <w:adjustRightInd w:val="0"/>
        <w:spacing w:line="360" w:lineRule="auto"/>
        <w:ind w:firstLine="420"/>
        <w:rPr>
          <w:rFonts w:ascii="宋体" w:hAnsi="宋体"/>
          <w:kern w:val="0"/>
        </w:rPr>
      </w:pPr>
      <w:r>
        <w:rPr>
          <w:rFonts w:hint="eastAsia" w:ascii="宋体" w:hAnsi="宋体"/>
          <w:kern w:val="0"/>
        </w:rPr>
        <w:t>联系人：</w:t>
      </w:r>
      <w:r>
        <w:rPr>
          <w:rFonts w:hint="eastAsia" w:ascii="宋体" w:hAnsi="宋体"/>
          <w:kern w:val="0"/>
          <w:lang w:val="en-US" w:eastAsia="zh-CN"/>
        </w:rPr>
        <w:t>郝炜</w:t>
      </w:r>
    </w:p>
    <w:p>
      <w:pPr>
        <w:autoSpaceDE w:val="0"/>
        <w:autoSpaceDN w:val="0"/>
        <w:adjustRightInd w:val="0"/>
        <w:spacing w:line="360" w:lineRule="auto"/>
        <w:ind w:firstLine="420"/>
        <w:rPr>
          <w:rFonts w:ascii="宋体" w:hAnsi="宋体"/>
          <w:kern w:val="0"/>
        </w:rPr>
      </w:pPr>
      <w:r>
        <w:rPr>
          <w:rFonts w:hint="eastAsia" w:ascii="宋体" w:hAnsi="宋体"/>
          <w:kern w:val="0"/>
        </w:rPr>
        <w:t>联系电话：400-811-9999</w:t>
      </w:r>
    </w:p>
    <w:p>
      <w:pPr>
        <w:autoSpaceDE w:val="0"/>
        <w:autoSpaceDN w:val="0"/>
        <w:adjustRightInd w:val="0"/>
        <w:spacing w:line="360" w:lineRule="auto"/>
        <w:ind w:firstLine="420"/>
        <w:rPr>
          <w:rFonts w:ascii="宋体" w:hAnsi="宋体"/>
          <w:kern w:val="0"/>
        </w:rPr>
      </w:pPr>
      <w:r>
        <w:rPr>
          <w:rFonts w:hint="eastAsia" w:ascii="宋体" w:hAnsi="宋体"/>
          <w:kern w:val="0"/>
        </w:rPr>
        <w:t>股权结构：中国工商银行股份有限公司占公司注册资本的80%；瑞士银行有限公司占公司注册资本的20%。</w:t>
      </w:r>
    </w:p>
    <w:p>
      <w:pPr>
        <w:spacing w:line="360" w:lineRule="auto"/>
        <w:ind w:firstLine="420"/>
        <w:rPr>
          <w:rFonts w:ascii="宋体" w:hAnsi="宋体"/>
          <w:kern w:val="0"/>
        </w:rPr>
      </w:pPr>
      <w:r>
        <w:rPr>
          <w:rFonts w:hint="eastAsia" w:ascii="宋体" w:hAnsi="宋体"/>
          <w:kern w:val="0"/>
        </w:rPr>
        <w:t>存续期间：持续经营</w:t>
      </w:r>
    </w:p>
    <w:p>
      <w:pPr>
        <w:spacing w:line="360" w:lineRule="auto"/>
        <w:ind w:firstLine="420"/>
        <w:rPr>
          <w:rFonts w:ascii="宋体" w:hAnsi="宋体"/>
          <w:kern w:val="0"/>
        </w:rPr>
      </w:pPr>
      <w:r>
        <w:rPr>
          <w:rFonts w:hint="eastAsia" w:ascii="宋体" w:hAnsi="宋体"/>
          <w:kern w:val="0"/>
        </w:rPr>
        <w:t>（二）主要人员情况</w:t>
      </w:r>
    </w:p>
    <w:p>
      <w:pPr>
        <w:spacing w:line="360" w:lineRule="auto"/>
        <w:ind w:firstLine="420"/>
        <w:rPr>
          <w:rFonts w:ascii="宋体" w:hAnsi="宋体"/>
          <w:kern w:val="0"/>
        </w:rPr>
      </w:pPr>
      <w:r>
        <w:rPr>
          <w:rFonts w:hint="eastAsia" w:ascii="宋体" w:hAnsi="宋体"/>
          <w:kern w:val="0"/>
        </w:rPr>
        <w:t>1、董事会成员</w:t>
      </w:r>
    </w:p>
    <w:p>
      <w:pPr>
        <w:spacing w:line="360" w:lineRule="auto"/>
        <w:ind w:firstLine="420" w:firstLineChars="200"/>
        <w:rPr>
          <w:rFonts w:ascii="宋体" w:hAnsi="宋体"/>
        </w:rPr>
      </w:pPr>
      <w:r>
        <w:rPr>
          <w:rFonts w:hint="eastAsia" w:ascii="宋体" w:hAnsi="宋体"/>
        </w:rPr>
        <w:t>赵桂才先生，硕士，高级经济师，现任工银瑞信基金管理有限公司党委书记、董事长、法定代表人。1990年7月加入中国工商银行，先后在中国工商银行商业信贷部、营业部和公司业务二部工作，先后任副处长、处长、副总经理。2013年1月至2016年1月，任工银巴西执行董事、总经理；2016年1月至2020年12月，任工银租赁党委书记、执行董事、总裁。2020年加入工银瑞信基金管理有限公司。</w:t>
      </w:r>
    </w:p>
    <w:p>
      <w:pPr>
        <w:spacing w:line="360" w:lineRule="auto"/>
        <w:ind w:firstLine="420" w:firstLineChars="200"/>
        <w:rPr>
          <w:rFonts w:ascii="宋体" w:hAnsi="宋体"/>
        </w:rPr>
      </w:pPr>
      <w:r>
        <w:rPr>
          <w:rFonts w:hint="eastAsia" w:ascii="宋体" w:hAnsi="宋体"/>
        </w:rPr>
        <w:t>杨帆先生，董事，硕士，现任工银瑞信基金管理有限公司党委副书记、总经理。2005年6月加入中国工商银行，历任总行金融市场部副处长、处长，工银亚洲联席主管、主管。2017年12月至2025年9月，历任工行总行资产管理部副总经理兼工银资管（全球）总经理，工行深圳分行党委委员、副行长。2025年加入工银瑞信基金管理有限公司。</w:t>
      </w:r>
    </w:p>
    <w:p>
      <w:pPr>
        <w:spacing w:line="360" w:lineRule="auto"/>
        <w:ind w:firstLine="420" w:firstLineChars="200"/>
        <w:rPr>
          <w:rFonts w:ascii="宋体" w:hAnsi="宋体"/>
        </w:rPr>
      </w:pPr>
      <w:r>
        <w:rPr>
          <w:rFonts w:hint="eastAsia" w:ascii="宋体" w:hAnsi="宋体"/>
        </w:rPr>
        <w:t>洪贵路先生，董事，中国工商银行战略管理与投资者关系部高级专家、专职董事。历任农行监事会副处长、处长，中国工商银行监事会办公室处长、监事会办公室尽职监督处处长。曾赴美国乔治华盛顿大学学习。</w:t>
      </w:r>
    </w:p>
    <w:p>
      <w:pPr>
        <w:spacing w:line="360" w:lineRule="auto"/>
        <w:ind w:firstLine="420" w:firstLineChars="200"/>
        <w:rPr>
          <w:rFonts w:ascii="宋体" w:hAnsi="宋体"/>
        </w:rPr>
      </w:pPr>
      <w:r>
        <w:rPr>
          <w:rFonts w:hint="eastAsia" w:ascii="宋体" w:hAnsi="宋体"/>
        </w:rPr>
        <w:t>林清胜先生，董事，高级经济师，中国人民大学经济学博士，中国工商银行战略管理与投资者关系部</w:t>
      </w:r>
      <w:r>
        <w:rPr>
          <w:rFonts w:hint="eastAsia" w:ascii="宋体" w:hAnsi="宋体"/>
          <w:lang w:val="en-US" w:eastAsia="zh-CN"/>
        </w:rPr>
        <w:t>高级</w:t>
      </w:r>
      <w:r>
        <w:rPr>
          <w:rFonts w:hint="eastAsia" w:ascii="宋体" w:hAnsi="宋体"/>
        </w:rPr>
        <w:t>专家、专职董事。历任工行厦门同安支行行长、工行厦门分行国际业务部总经理、总行国际结算单证中心副总经理、工行厦门分行专家。</w:t>
      </w:r>
    </w:p>
    <w:p>
      <w:pPr>
        <w:spacing w:line="360" w:lineRule="auto"/>
        <w:ind w:firstLine="420" w:firstLineChars="200"/>
        <w:rPr>
          <w:rFonts w:ascii="宋体" w:hAnsi="宋体"/>
        </w:rPr>
      </w:pPr>
      <w:r>
        <w:rPr>
          <w:rFonts w:hint="eastAsia" w:ascii="宋体" w:hAnsi="宋体"/>
        </w:rPr>
        <w:t>胡知鸷女士，董事，瑞银集团中国区总裁、瑞银证券有限责任公司董事长、瑞银全球投资银行中国区主席。毕业于英国剑桥大学，在瑞士信贷及瑞士银行等金融机构工作逾二十年，曾担任瑞士信贷（香港）有限公司亚太区投资银行部副主席、中国区副主席、中国区首席执行官，瑞信证券（中国）有限公司董事、董事长。</w:t>
      </w:r>
    </w:p>
    <w:p>
      <w:pPr>
        <w:spacing w:line="360" w:lineRule="auto"/>
        <w:ind w:firstLine="420" w:firstLineChars="200"/>
        <w:rPr>
          <w:rFonts w:ascii="宋体" w:hAnsi="宋体"/>
        </w:rPr>
      </w:pPr>
      <w:r>
        <w:rPr>
          <w:rFonts w:hint="eastAsia" w:ascii="宋体" w:hAnsi="宋体"/>
        </w:rPr>
        <w:t>陈忠阳先生，独立董事，中国人民大学金融学博士，现任中国人民大学财政金融学院应用金融系教授，金融风险管理工作室主任，中国国家风险管理标准化技术委员会委员、中国银行业从业人员资格认证考试专家，曾任中国人民大学国际学院副院长。主要研究领域为金融风险管理、金融监管。</w:t>
      </w:r>
    </w:p>
    <w:p>
      <w:pPr>
        <w:spacing w:line="360" w:lineRule="auto"/>
        <w:ind w:firstLine="420" w:firstLineChars="200"/>
        <w:rPr>
          <w:rFonts w:ascii="宋体" w:hAnsi="宋体"/>
        </w:rPr>
      </w:pPr>
      <w:r>
        <w:rPr>
          <w:rFonts w:hint="eastAsia" w:ascii="宋体" w:hAnsi="宋体"/>
        </w:rPr>
        <w:t>伏军先生，独立董事，北京大学法学博士，现任对外经济贸易大学法学院教授、博士生导师、国际法学系主任、国际法学教工党支部书记，北京金融法院专家咨询委员会委员、最高人民法院仲裁与司法研究基地（对外经贸大学）执行主任、中国法学会国际经济法学研究会副秘书长、中国法学会国际金融法专业委员会副主任、中国法学会银行法学研究会理事。</w:t>
      </w:r>
    </w:p>
    <w:p>
      <w:pPr>
        <w:spacing w:line="360" w:lineRule="auto"/>
        <w:ind w:firstLine="420"/>
        <w:rPr>
          <w:rFonts w:hint="eastAsia" w:ascii="宋体" w:hAnsi="宋体"/>
        </w:rPr>
      </w:pPr>
      <w:r>
        <w:rPr>
          <w:rFonts w:hint="eastAsia" w:ascii="宋体" w:hAnsi="宋体"/>
        </w:rPr>
        <w:t>刘晓峰先生，独立董事，英国剑桥大学经济学博士，历任洛希尔(罗斯柴尔德)父子有限公司（香港）董事局董事及中国投行业务主管，摩根大通亚洲投行部副总裁，星展亚洲融资有限公司董事总经理及中国业务主管、华润金融控股有限公司董事总经理。</w:t>
      </w:r>
    </w:p>
    <w:p>
      <w:pPr>
        <w:spacing w:line="360" w:lineRule="auto"/>
        <w:ind w:firstLine="420"/>
        <w:rPr>
          <w:rFonts w:ascii="宋体" w:hAnsi="宋体"/>
          <w:kern w:val="0"/>
        </w:rPr>
      </w:pPr>
      <w:r>
        <w:rPr>
          <w:rFonts w:hint="eastAsia" w:ascii="宋体" w:hAnsi="宋体"/>
          <w:kern w:val="0"/>
          <w:lang w:val="en-US" w:eastAsia="zh-CN"/>
        </w:rPr>
        <w:t>2</w:t>
      </w:r>
      <w:r>
        <w:rPr>
          <w:rFonts w:hint="eastAsia" w:ascii="宋体" w:hAnsi="宋体"/>
          <w:kern w:val="0"/>
        </w:rPr>
        <w:t>、高级管理人员</w:t>
      </w:r>
    </w:p>
    <w:p>
      <w:pPr>
        <w:spacing w:line="360" w:lineRule="auto"/>
        <w:ind w:firstLine="420" w:firstLineChars="200"/>
        <w:rPr>
          <w:rFonts w:hint="eastAsia" w:ascii="宋体" w:hAnsi="宋体"/>
        </w:rPr>
      </w:pPr>
      <w:r>
        <w:rPr>
          <w:rFonts w:hint="eastAsia" w:ascii="宋体" w:hAnsi="宋体"/>
        </w:rPr>
        <w:t>赵桂才先生，董事长，简历同上。</w:t>
      </w:r>
    </w:p>
    <w:p>
      <w:pPr>
        <w:spacing w:line="360" w:lineRule="auto"/>
        <w:ind w:firstLine="420" w:firstLineChars="200"/>
        <w:rPr>
          <w:rFonts w:hint="eastAsia" w:ascii="宋体" w:hAnsi="宋体"/>
        </w:rPr>
      </w:pPr>
      <w:r>
        <w:rPr>
          <w:rFonts w:hint="eastAsia" w:ascii="宋体" w:hAnsi="宋体"/>
        </w:rPr>
        <w:t>杨帆先生，总经理，简历同上。</w:t>
      </w:r>
    </w:p>
    <w:p>
      <w:pPr>
        <w:spacing w:line="360" w:lineRule="auto"/>
        <w:ind w:firstLine="420" w:firstLineChars="200"/>
        <w:rPr>
          <w:rFonts w:hint="eastAsia" w:ascii="宋体" w:hAnsi="宋体"/>
        </w:rPr>
      </w:pPr>
      <w:r>
        <w:rPr>
          <w:rFonts w:hint="eastAsia" w:ascii="宋体" w:hAnsi="宋体"/>
        </w:rPr>
        <w:t>梅迎春女士，博士，现任工银瑞信基金管理有限公司党委副书记（总行总经理级）、副总经理。曾在财政部任职工作。2021年2月调任中国工商银行，任总行部室主要负责人。2025年加入工银瑞信基金管理有限公司。</w:t>
      </w:r>
    </w:p>
    <w:p>
      <w:pPr>
        <w:spacing w:line="360" w:lineRule="auto"/>
        <w:ind w:firstLine="420" w:firstLineChars="200"/>
        <w:rPr>
          <w:rFonts w:hint="eastAsia" w:ascii="宋体" w:hAnsi="宋体"/>
        </w:rPr>
      </w:pPr>
      <w:r>
        <w:rPr>
          <w:rFonts w:hint="eastAsia" w:ascii="宋体" w:hAnsi="宋体"/>
        </w:rPr>
        <w:t>郝炜先生，硕士，现任工银瑞信基金管理有限公司党委委员、督察长、风险官。2001年4月至2005年6月，任职于中国工商银行资产托管部。2005年加入工银瑞信基金管理有限公司。</w:t>
      </w:r>
    </w:p>
    <w:p>
      <w:pPr>
        <w:spacing w:line="360" w:lineRule="auto"/>
        <w:ind w:firstLine="420" w:firstLineChars="200"/>
        <w:rPr>
          <w:rFonts w:hint="eastAsia" w:ascii="宋体" w:hAnsi="宋体"/>
        </w:rPr>
      </w:pPr>
      <w:r>
        <w:rPr>
          <w:rFonts w:hint="eastAsia" w:ascii="宋体" w:hAnsi="宋体"/>
        </w:rPr>
        <w:t>许长勇先生，硕士，高级经济师，金融风险管理师（FRM），现任工银瑞信基金管理有限公司党委委员、副总经理。2005年6月加入中国工商银行，先后在总行信贷管理部、授信业务部、公司金融业务部工作，先后担任副处长、处长。2017年加入工银瑞信基金管理有限公司，兼任工银瑞信投资管理有限公司董事长。</w:t>
      </w:r>
    </w:p>
    <w:p>
      <w:pPr>
        <w:spacing w:line="360" w:lineRule="auto"/>
        <w:ind w:firstLine="420" w:firstLineChars="200"/>
        <w:rPr>
          <w:rFonts w:hint="eastAsia" w:ascii="宋体" w:hAnsi="宋体"/>
        </w:rPr>
      </w:pPr>
      <w:r>
        <w:rPr>
          <w:rFonts w:hint="eastAsia" w:ascii="宋体" w:hAnsi="宋体"/>
        </w:rPr>
        <w:t>张桦女士，硕士，高级经济师，现任工银瑞信基金管理有限公司党委委员、副总经理。2005年5月加入中国工商银行，历任总行金融市场部副处长、处长。2018年1月至2025年7月，历任工行总行金融市场部总经理助理、副总经理。2025年加入工银瑞信基金管理有限公司。</w:t>
      </w:r>
    </w:p>
    <w:p>
      <w:pPr>
        <w:spacing w:line="360" w:lineRule="auto"/>
        <w:ind w:firstLine="420" w:firstLineChars="200"/>
        <w:rPr>
          <w:rFonts w:hint="eastAsia" w:ascii="宋体" w:hAnsi="宋体"/>
        </w:rPr>
      </w:pPr>
      <w:r>
        <w:rPr>
          <w:rFonts w:hint="eastAsia" w:ascii="宋体" w:hAnsi="宋体"/>
        </w:rPr>
        <w:t>王建先生，硕士，高级工程师，现任工银瑞信基金管理有限公司首席信息官。1996年7月进入中国工商银行山东分行计算中心工作；2002年5月至2011年11月，历任中国工商银行山东分行开发运行中心副主任、信息科技部副总经理、资深技术经理；2011年11月至2016年8月，任中国工商银行山东分行信息科技部总经理；2016年8月至2022年6月，任职于中国工商银行总行，先后任产品创新管理部总经理助理、产品创新管理部产品专家、金融科技部产品专家。2022年加入工银瑞信基金管理有限公司。</w:t>
      </w:r>
    </w:p>
    <w:p>
      <w:pPr>
        <w:spacing w:line="360" w:lineRule="auto"/>
        <w:ind w:firstLine="420" w:firstLineChars="200"/>
        <w:rPr>
          <w:rFonts w:hint="eastAsia" w:ascii="宋体" w:hAnsi="宋体"/>
        </w:rPr>
      </w:pPr>
      <w:r>
        <w:rPr>
          <w:rFonts w:hint="eastAsia" w:ascii="宋体" w:hAnsi="宋体"/>
        </w:rPr>
        <w:t>李剑峰先生，硕士，现任工银瑞信基金管理有限公司首席投资官。2003年7月至2008年4月，任中央国债登记结算有限责任公司高级副经理。2008年加入工银瑞信基金管理有限公司。</w:t>
      </w:r>
    </w:p>
    <w:p>
      <w:pPr>
        <w:spacing w:line="360" w:lineRule="auto"/>
        <w:ind w:firstLine="420" w:firstLineChars="200"/>
        <w:rPr>
          <w:rFonts w:hint="eastAsia" w:ascii="宋体" w:hAnsi="宋体"/>
        </w:rPr>
      </w:pPr>
      <w:r>
        <w:rPr>
          <w:rFonts w:hint="eastAsia" w:ascii="宋体" w:hAnsi="宋体"/>
        </w:rPr>
        <w:t>张波先生，双学士学位，现任工银瑞信基金管理有限公司首席营销官。1998年7月至2001年7月，任职于中国建设银行大连分行；2001年8月至2004年7月，任华夏基金市场部高级经理；2004年8月至2005年6月，任天弘基金市场拓展部总经理助理。2005年加入工银瑞信基金管理有限公司，兼任工银瑞信资产管理（国际）有限公司董事长、工银瑞信投资管理有限公司董事。</w:t>
      </w:r>
    </w:p>
    <w:p>
      <w:pPr>
        <w:spacing w:line="360" w:lineRule="auto"/>
        <w:ind w:firstLine="420"/>
        <w:rPr>
          <w:rFonts w:hint="eastAsia" w:ascii="宋体" w:hAnsi="宋体"/>
        </w:rPr>
      </w:pPr>
      <w:r>
        <w:rPr>
          <w:rFonts w:hint="eastAsia" w:ascii="宋体" w:hAnsi="宋体"/>
        </w:rPr>
        <w:t>欧阳凯先生，硕士，现任工银瑞信基金管理有限公司首席固收投资官。2002年7月至2006年5月，历任国泰君安证券股份有限公司固定收益证券研究部业务经理、固定收益证券投资部业务董事；2006年5月至2010年3月，任中海基金管理有限公司基金经理。2010年加入工银瑞信基金管理有限公司。</w:t>
      </w:r>
    </w:p>
    <w:p>
      <w:pPr>
        <w:spacing w:line="360" w:lineRule="auto"/>
        <w:ind w:firstLine="420"/>
        <w:rPr>
          <w:rFonts w:ascii="宋体" w:hAnsi="宋体"/>
          <w:kern w:val="0"/>
        </w:rPr>
      </w:pPr>
      <w:r>
        <w:rPr>
          <w:rFonts w:hint="eastAsia" w:ascii="宋体" w:hAnsi="宋体"/>
          <w:kern w:val="0"/>
          <w:lang w:val="en-US" w:eastAsia="zh-CN"/>
        </w:rPr>
        <w:t>3</w:t>
      </w:r>
      <w:r>
        <w:rPr>
          <w:rFonts w:hint="eastAsia" w:ascii="宋体" w:hAnsi="宋体"/>
          <w:kern w:val="0"/>
        </w:rPr>
        <w:t>、本基金拟任基金经理</w:t>
      </w:r>
    </w:p>
    <w:p>
      <w:pPr>
        <w:spacing w:line="360" w:lineRule="auto"/>
        <w:ind w:firstLine="420"/>
        <w:rPr>
          <w:rFonts w:ascii="宋体" w:hAnsi="宋体"/>
          <w:kern w:val="0"/>
        </w:rPr>
      </w:pPr>
      <w:r>
        <w:rPr>
          <w:rFonts w:hint="eastAsia" w:ascii="宋体" w:hAnsi="宋体"/>
          <w:kern w:val="0"/>
          <w:lang w:val="en-US" w:eastAsia="zh-CN"/>
        </w:rPr>
        <w:t>高京霞女士，硕士研究生，8年证券从业经验；2017年加入工银瑞信基金管理有限公司，现担任研究部基金经理。2024年12月27日至今，担任工银瑞信产业升级股票型证券投资基金基金经理；2025年9月24日至今，担任工银瑞信新能源汽车主题混合型证券投资基金基金经理。</w:t>
      </w:r>
    </w:p>
    <w:p>
      <w:pPr>
        <w:spacing w:line="360" w:lineRule="auto"/>
        <w:ind w:firstLine="420"/>
        <w:rPr>
          <w:kern w:val="0"/>
        </w:rPr>
      </w:pPr>
      <w:r>
        <w:rPr>
          <w:rFonts w:hint="eastAsia"/>
          <w:kern w:val="0"/>
          <w:lang w:val="en-US" w:eastAsia="zh-CN"/>
        </w:rPr>
        <w:t>4</w:t>
      </w:r>
      <w:r>
        <w:rPr>
          <w:rFonts w:hint="eastAsia"/>
          <w:kern w:val="0"/>
        </w:rPr>
        <w:t>、投资决策委员会成员</w:t>
      </w:r>
    </w:p>
    <w:p>
      <w:pPr>
        <w:spacing w:line="360" w:lineRule="auto"/>
        <w:ind w:firstLine="420" w:firstLineChars="200"/>
        <w:rPr>
          <w:rFonts w:hint="eastAsia" w:ascii="宋体" w:hAnsi="宋体"/>
        </w:rPr>
      </w:pPr>
      <w:r>
        <w:rPr>
          <w:rFonts w:hint="eastAsia" w:ascii="宋体" w:hAnsi="宋体"/>
        </w:rPr>
        <w:t>杨帆先生，投资决策委员会主任，简历同上。</w:t>
      </w:r>
    </w:p>
    <w:p>
      <w:pPr>
        <w:spacing w:line="360" w:lineRule="auto"/>
        <w:ind w:firstLine="420" w:firstLineChars="200"/>
        <w:rPr>
          <w:rFonts w:hint="eastAsia" w:ascii="宋体" w:hAnsi="宋体"/>
        </w:rPr>
      </w:pPr>
      <w:r>
        <w:rPr>
          <w:rFonts w:hint="eastAsia" w:ascii="宋体" w:hAnsi="宋体"/>
        </w:rPr>
        <w:t>张桦女士，简历同上。</w:t>
      </w:r>
    </w:p>
    <w:p>
      <w:pPr>
        <w:spacing w:line="360" w:lineRule="auto"/>
        <w:ind w:firstLine="420" w:firstLineChars="200"/>
        <w:rPr>
          <w:rFonts w:hint="eastAsia" w:ascii="宋体" w:hAnsi="宋体"/>
        </w:rPr>
      </w:pPr>
      <w:r>
        <w:rPr>
          <w:rFonts w:hint="eastAsia" w:ascii="宋体" w:hAnsi="宋体"/>
        </w:rPr>
        <w:t>李剑峰先生，简历同上。</w:t>
      </w:r>
    </w:p>
    <w:p>
      <w:pPr>
        <w:spacing w:line="360" w:lineRule="auto"/>
        <w:ind w:firstLine="420" w:firstLineChars="200"/>
        <w:rPr>
          <w:rFonts w:hint="eastAsia" w:ascii="宋体" w:hAnsi="宋体"/>
        </w:rPr>
      </w:pPr>
      <w:r>
        <w:rPr>
          <w:rFonts w:hint="eastAsia" w:ascii="宋体" w:hAnsi="宋体"/>
        </w:rPr>
        <w:t>欧阳凯先生，简历同上。</w:t>
      </w:r>
    </w:p>
    <w:p>
      <w:pPr>
        <w:spacing w:line="360" w:lineRule="auto"/>
        <w:ind w:firstLine="420" w:firstLineChars="200"/>
        <w:rPr>
          <w:rFonts w:hint="eastAsia" w:ascii="宋体" w:hAnsi="宋体"/>
        </w:rPr>
      </w:pPr>
      <w:r>
        <w:rPr>
          <w:rFonts w:hint="eastAsia" w:ascii="宋体" w:hAnsi="宋体"/>
        </w:rPr>
        <w:t>修世宇先生，18年证券从业经验；博士；曾任民生人寿保险分析师。2012年加入工银瑞信，现任研究部总经理、牵头权益投资部工作、 基金经理。2014年10月22日至2018年2月27日，担任工银瑞信高端制造行业股票型证券投资基金基金经理；2017年6月16日至2018年12月17日，担任工银瑞信工业4.0股票型证券投资基金基金经理；2022年8月22日至今，担任工银瑞信高端制造行业股票型证券投资基金基金经理；2022年9月9日至今，担任工银瑞信稳健成长混合型证券投资基金基金经理；2022年11月18日至今，担任工银瑞信文体产业股票型证券投资基金基金经理。</w:t>
      </w:r>
    </w:p>
    <w:p>
      <w:pPr>
        <w:spacing w:line="360" w:lineRule="auto"/>
        <w:ind w:firstLine="420" w:firstLineChars="200"/>
        <w:rPr>
          <w:rFonts w:hint="eastAsia" w:ascii="宋体" w:hAnsi="宋体"/>
        </w:rPr>
      </w:pPr>
      <w:r>
        <w:rPr>
          <w:rFonts w:hint="eastAsia" w:ascii="宋体" w:hAnsi="宋体"/>
        </w:rPr>
        <w:t>林念先生，12年证券从业经验；博士；曾任光大证券宏观分析师。2014年加入工银瑞信，现任专户投资部副总经理、基金经理。2016年9月27日至今，担任工银瑞信红利混合型证券投资基金基金经理；2020年12月21日至今，担任工银瑞信全球精选股票型证券投资基金基金经理；2022年3月4日至2023年9月22日，担任工银瑞信聚享混合型证券投资基金基金经理；2022年8月1日至今，担任工银瑞信主题策略混合型证券投资基金基金经理；2022年11月11日至2026年4月20日，担任工银瑞信丰盈回报灵活配置混合型证券投资基金基金经理；2023年1月17日至2024年7月10日，担任工银瑞信恒嘉一年持有期混合型证券投资基金基金经理；2025年1月24日至今，担任工银瑞信中国机会全球配置股票型证券投资基金基金经理。</w:t>
      </w:r>
    </w:p>
    <w:p>
      <w:pPr>
        <w:spacing w:line="360" w:lineRule="auto"/>
        <w:ind w:firstLine="420" w:firstLineChars="200"/>
        <w:rPr>
          <w:rFonts w:hint="eastAsia" w:ascii="宋体" w:hAnsi="宋体"/>
        </w:rPr>
      </w:pPr>
      <w:r>
        <w:rPr>
          <w:rFonts w:hint="eastAsia" w:ascii="宋体" w:hAnsi="宋体"/>
        </w:rPr>
        <w:t>焦文龙先生，17年证券从业经验，曾任鹏华基金执行总经理，基金经理。2021年加入工银瑞信，现任指数及量化投资部总经理、基金经理。2022年11月25日至今，担任工银瑞信新机遇灵活配置混合型证券投资基金基金经理；2022年11月25日至今，担任工银瑞信新价值灵活配置混合型证券投资基金基金经理；2022年11月25日至今，担任工银瑞信新机遇灵活配置混合型证券投资基金基金经理；2023年9月22日至今，担任工银瑞信聚享混合型证券投资基金基金经理；2024年11月8日至今，担任工银瑞信双债增强债券型证券投资基金（LOF）基金经理；2024年11月19日至今，担任工银瑞信中证A500交易型开放式指数证券投资基金基金经理；2024年11月26日至2026年2月5日，担任工银瑞信中证A500指数证券投资基金（自2024年12月10日起，变更为工银瑞信中证A500交易型开放式指数证券投资基金联接基金）基金经理；2025年4月10日至今，担任工银瑞信国证港股通创新药交易型开放式指数证券投资基金基金经理；2025年6月20日至今，担任工银瑞信中证A500增强策略交易型开放式指数证券投资基金基金经理；2026年2月5日至今，担任工银瑞信国证港股通科技交易型开放式指数证券投资基金基金经理；2026年2月5日至今，担任工银瑞信中证港股通高股息精选交易型开放式指数证券投资基金基金经理。</w:t>
      </w:r>
    </w:p>
    <w:p>
      <w:pPr>
        <w:spacing w:line="360" w:lineRule="auto"/>
        <w:ind w:firstLine="420" w:firstLineChars="200"/>
        <w:rPr>
          <w:rFonts w:hint="eastAsia" w:ascii="宋体" w:hAnsi="宋体"/>
        </w:rPr>
      </w:pPr>
      <w:r>
        <w:rPr>
          <w:rFonts w:hint="eastAsia" w:ascii="宋体" w:hAnsi="宋体"/>
        </w:rPr>
        <w:t>赵志源先生，16年证券从业经验；博士；曾任中国人寿保险股份有限公司精算部主管。2010年加入工银瑞信，现任FOF投资部总经理、基金经理。2025年4月1日至今，担任工银瑞信价值稳健6个月持有期混合型基金中基金（FOF）基金经理；2026年1月30日至今，担任工银瑞信盈泰稳健6个月持有期混合型基金中基金（FOF）基金经理。</w:t>
      </w:r>
    </w:p>
    <w:p>
      <w:pPr>
        <w:spacing w:line="360" w:lineRule="auto"/>
        <w:ind w:firstLine="420" w:firstLineChars="200"/>
        <w:rPr>
          <w:rFonts w:hint="eastAsia" w:ascii="宋体" w:hAnsi="宋体"/>
        </w:rPr>
      </w:pPr>
      <w:r>
        <w:rPr>
          <w:rFonts w:hint="eastAsia" w:ascii="宋体" w:hAnsi="宋体"/>
        </w:rPr>
        <w:t>谷衡先生，20年证券从业经验，曾任华夏银行总行交易员，中信银行总行交易员。2012年加入工银瑞信，现任固定收益部总经理、基金经理。2012年11月13日至2023年6月2日，担任工银瑞信14天理财债券型发起式证券投资基金基金经理；2013年1月28日至今，担任工银瑞信60天理财债券型证券投资基金（自2020年7月20日起，变更为工银瑞信尊益中短债债券型证券投资基金）基金经理；2013年3月28日至2014年12月18日，担任工银瑞信安心增利场内实时申赎货币市场基金基金经理；2014年9月30日至2023年3月29日，担任工银瑞信货币市场基金基金经理；2015年7月10日至2018年2月28日，担任工银瑞信财富快线货币市场基金基金经理；2015年12月14日至2018年8月28日，担任工银瑞信添福债券型证券投资基金基金经理；2016年4月26日至2018年4月9日，担任工银瑞信安盈货币市场基金基金经理；2016年12月7日至2018年3月28日，担任工银瑞信丰益一年定期开放债券型证券投资基金基金经理；2017年2月28日至2019年1月24日，担任工银瑞信丰淳半年定期开放债券型证券投资基金（自2017年9月23日起，变更为工银瑞信丰淳半年定期开放债券型发起式证券投资基金）基金经理；2017年6月12日至2018年11月30日，担任工银瑞信丰实三年定期开放债券型证券投资基金基金经理；2017年12月26日至今，担任工银瑞信纯债债券型证券投资基金基金经理；2018年2月28日至今，担任工银瑞信信用添利债券型证券投资基金基金经理；2018年6月15日至2019年8月14日，担任工银瑞信瑞祥定期开放债券型发起式证券投资基金基金经理；2018年11月7日至2020年1月9日，担任工银瑞信恒享纯债债券型证券投资基金基金经理。</w:t>
      </w:r>
    </w:p>
    <w:p>
      <w:pPr>
        <w:spacing w:line="360" w:lineRule="auto"/>
        <w:ind w:firstLine="420" w:firstLineChars="200"/>
        <w:rPr>
          <w:rFonts w:hint="eastAsia" w:ascii="宋体" w:hAnsi="宋体"/>
        </w:rPr>
      </w:pPr>
      <w:r>
        <w:rPr>
          <w:rFonts w:hint="eastAsia" w:ascii="宋体" w:hAnsi="宋体"/>
        </w:rPr>
        <w:t>杜洋先生，15年证券从业经验；2010年加入工银瑞信，现任研究部副总经理、基金经理。2015年2月16日至今，担任工银瑞信战略转型主题股票型证券投资基金基金经理；2016年11月2日至2018年10月12日，担任工银瑞信瑞盈18个月定期开放债券型证券投资基金基金经理；2017年1月25日至2018年6月11日，担任工银瑞信瑞盈半年定期开放债券型证券投资基金基金经理；2018年3月22日至2024年4月23日，担任工银瑞信稳健成长混合型证券投资基金基金经理；2018年11月14日至2021年1月18日，担任工银瑞信新能源汽车主题混合型证券投资基金基金经理；2019年4月24日至2023年8月15日，担任工银瑞信战略新兴产业混合型证券投资基金基金经理；2019年12月25日至2020年12月31日，担任工银瑞信产业升级股票型证券投资基金基金经理；2021年4月2日至2023年8月15日，担任工银瑞信创业板两年定期开放混合型证券投资基金基金经理；2021年4月26日至今，担任工银瑞信战略远见混合型证券投资基金基金经理；2022年1月13日至2024年12月6日，担任工银瑞信新能源汽车主题混合型证券投资基金基金经理；2022年11月18日至今，担任工银瑞信圆丰三年持有期混合型证券投资基金基金经理；2023年6月13日至今，担任工银瑞信领航三年持有期混合型证券投资基金基金经理；2024年12月6日至今，担任工银瑞信产业升级股票型证券投资基金基金经理。</w:t>
      </w:r>
    </w:p>
    <w:p>
      <w:pPr>
        <w:spacing w:line="360" w:lineRule="auto"/>
        <w:ind w:firstLine="420" w:firstLineChars="200"/>
        <w:rPr>
          <w:rFonts w:hint="eastAsia" w:ascii="宋体" w:hAnsi="宋体"/>
        </w:rPr>
      </w:pPr>
      <w:r>
        <w:rPr>
          <w:rFonts w:hint="eastAsia" w:ascii="宋体" w:hAnsi="宋体"/>
        </w:rPr>
        <w:t>赵蓓女士，17年证券从业经验，曾任中再资产管理股份有限公司投资经理助理。2010年加入工银瑞信，现任研究部联席总经理、基金经理兼任投资经理。2014年11月18日至今，担任工银瑞信医疗保健行业股票型证券投资基金基金经理；2015年4月28日至今，担任工银瑞信养老产业股票型证券投资基金基金经理；2016年2月3日至今，担任工银瑞信前沿医疗股票型证券投资基金基金经理；2018年7月30日至2019年12月23日，担任工银瑞信医药健康行业股票型证券投资基金基金经理；2020年5月20日至2022年6月14日，担任工银瑞信科技创新6个月定期开放混合型证券投资基金基金经理；2021年3月25日至今，担任工银瑞信成长精选混合型证券投资基金基金经理；2025年4月9日至今，担任工银瑞信新经济灵活配置混合型证券投资基金（QDII）基金经理。</w:t>
      </w:r>
    </w:p>
    <w:p>
      <w:pPr>
        <w:spacing w:line="360" w:lineRule="auto"/>
        <w:ind w:firstLine="420"/>
        <w:rPr>
          <w:rFonts w:ascii="宋体" w:hAnsi="宋体"/>
          <w:kern w:val="0"/>
        </w:rPr>
      </w:pPr>
      <w:r>
        <w:rPr>
          <w:rFonts w:hint="eastAsia"/>
          <w:kern w:val="0"/>
          <w:lang w:val="en-US" w:eastAsia="zh-CN"/>
        </w:rPr>
        <w:t>5</w:t>
      </w:r>
      <w:r>
        <w:rPr>
          <w:rFonts w:hint="eastAsia"/>
          <w:kern w:val="0"/>
        </w:rPr>
        <w:t>、上述人员之间均不存在近亲属关系。</w:t>
      </w:r>
    </w:p>
    <w:p>
      <w:pPr>
        <w:spacing w:line="360" w:lineRule="auto"/>
        <w:ind w:firstLine="420" w:firstLineChars="200"/>
        <w:rPr>
          <w:rFonts w:ascii="宋体" w:hAnsi="宋体"/>
          <w:kern w:val="0"/>
        </w:rPr>
      </w:pPr>
      <w:r>
        <w:rPr>
          <w:rFonts w:ascii="宋体" w:hAnsi="宋体"/>
          <w:kern w:val="0"/>
        </w:rPr>
        <w:t>（三）基金管理人的职责</w:t>
      </w:r>
    </w:p>
    <w:p>
      <w:pPr>
        <w:spacing w:line="360" w:lineRule="auto"/>
        <w:ind w:firstLine="420" w:firstLineChars="200"/>
        <w:rPr>
          <w:rFonts w:ascii="宋体" w:hAnsi="宋体"/>
          <w:kern w:val="0"/>
        </w:rPr>
      </w:pPr>
      <w:r>
        <w:rPr>
          <w:rFonts w:hint="eastAsia" w:ascii="宋体" w:hAnsi="宋体"/>
          <w:kern w:val="0"/>
        </w:rPr>
        <w:t>根据《基金法》、《运作办法》及其他有关规定，基金管理人的义务包括但不限于：</w:t>
      </w:r>
    </w:p>
    <w:p>
      <w:pPr>
        <w:spacing w:line="360" w:lineRule="auto"/>
        <w:ind w:firstLine="420" w:firstLineChars="200"/>
        <w:rPr>
          <w:rFonts w:ascii="宋体" w:hAnsi="宋体"/>
          <w:kern w:val="0"/>
        </w:rPr>
      </w:pPr>
      <w:r>
        <w:rPr>
          <w:rFonts w:hint="eastAsia" w:ascii="宋体" w:hAnsi="宋体"/>
          <w:kern w:val="0"/>
        </w:rPr>
        <w:t>1</w:t>
      </w:r>
      <w:r>
        <w:rPr>
          <w:rFonts w:hint="eastAsia" w:ascii="宋体" w:hAnsi="宋体"/>
          <w:kern w:val="0"/>
          <w:lang w:eastAsia="zh-CN"/>
        </w:rPr>
        <w:t>、</w:t>
      </w:r>
      <w:r>
        <w:rPr>
          <w:rFonts w:hint="eastAsia" w:ascii="宋体" w:hAnsi="宋体"/>
          <w:kern w:val="0"/>
        </w:rPr>
        <w:t>依法募集资金，办理或者委托经中国证监会认定的其他机构代为办理基金份额的发售、申购、赎回和登记事宜；</w:t>
      </w:r>
    </w:p>
    <w:p>
      <w:pPr>
        <w:spacing w:line="360" w:lineRule="auto"/>
        <w:ind w:firstLine="420" w:firstLineChars="200"/>
        <w:rPr>
          <w:rFonts w:ascii="宋体" w:hAnsi="宋体"/>
          <w:kern w:val="0"/>
        </w:rPr>
      </w:pPr>
      <w:r>
        <w:rPr>
          <w:rFonts w:hint="eastAsia" w:ascii="宋体" w:hAnsi="宋体"/>
          <w:kern w:val="0"/>
        </w:rPr>
        <w:t>2</w:t>
      </w:r>
      <w:r>
        <w:rPr>
          <w:rFonts w:hint="eastAsia" w:ascii="宋体" w:hAnsi="宋体"/>
          <w:kern w:val="0"/>
          <w:lang w:eastAsia="zh-CN"/>
        </w:rPr>
        <w:t>、</w:t>
      </w:r>
      <w:r>
        <w:rPr>
          <w:rFonts w:hint="eastAsia" w:ascii="宋体" w:hAnsi="宋体"/>
          <w:kern w:val="0"/>
        </w:rPr>
        <w:t>办理基金备案手续；</w:t>
      </w:r>
    </w:p>
    <w:p>
      <w:pPr>
        <w:spacing w:line="360" w:lineRule="auto"/>
        <w:ind w:firstLine="420" w:firstLineChars="200"/>
        <w:rPr>
          <w:rFonts w:ascii="宋体" w:hAnsi="宋体"/>
          <w:kern w:val="0"/>
        </w:rPr>
      </w:pPr>
      <w:r>
        <w:rPr>
          <w:rFonts w:hint="eastAsia" w:ascii="宋体" w:hAnsi="宋体"/>
          <w:kern w:val="0"/>
        </w:rPr>
        <w:t>3</w:t>
      </w:r>
      <w:r>
        <w:rPr>
          <w:rFonts w:hint="eastAsia" w:ascii="宋体" w:hAnsi="宋体"/>
          <w:kern w:val="0"/>
          <w:lang w:eastAsia="zh-CN"/>
        </w:rPr>
        <w:t>、</w:t>
      </w:r>
      <w:r>
        <w:rPr>
          <w:rFonts w:hint="eastAsia" w:ascii="宋体" w:hAnsi="宋体"/>
          <w:kern w:val="0"/>
        </w:rPr>
        <w:t>自《基金合同》生效之日起，以诚实信用、谨慎勤勉的原则管理和运用基金财产；</w:t>
      </w:r>
    </w:p>
    <w:p>
      <w:pPr>
        <w:spacing w:line="360" w:lineRule="auto"/>
        <w:ind w:firstLine="420" w:firstLineChars="200"/>
        <w:rPr>
          <w:rFonts w:ascii="宋体" w:hAnsi="宋体"/>
          <w:kern w:val="0"/>
        </w:rPr>
      </w:pPr>
      <w:r>
        <w:rPr>
          <w:rFonts w:hint="eastAsia" w:ascii="宋体" w:hAnsi="宋体"/>
          <w:kern w:val="0"/>
        </w:rPr>
        <w:t>4</w:t>
      </w:r>
      <w:r>
        <w:rPr>
          <w:rFonts w:hint="eastAsia" w:ascii="宋体" w:hAnsi="宋体"/>
          <w:kern w:val="0"/>
          <w:lang w:eastAsia="zh-CN"/>
        </w:rPr>
        <w:t>、</w:t>
      </w:r>
      <w:r>
        <w:rPr>
          <w:rFonts w:hint="eastAsia" w:ascii="宋体" w:hAnsi="宋体"/>
          <w:kern w:val="0"/>
        </w:rPr>
        <w:t>配备足够的具有专业资格的人员进行基金投资分析、决策，以专业化的经营方式管理和运作基金财产；</w:t>
      </w:r>
    </w:p>
    <w:p>
      <w:pPr>
        <w:spacing w:line="360" w:lineRule="auto"/>
        <w:ind w:firstLine="420" w:firstLineChars="200"/>
        <w:rPr>
          <w:rFonts w:ascii="宋体" w:hAnsi="宋体"/>
          <w:kern w:val="0"/>
        </w:rPr>
      </w:pPr>
      <w:r>
        <w:rPr>
          <w:rFonts w:hint="eastAsia" w:ascii="宋体" w:hAnsi="宋体"/>
          <w:kern w:val="0"/>
        </w:rPr>
        <w:t>5</w:t>
      </w:r>
      <w:r>
        <w:rPr>
          <w:rFonts w:hint="eastAsia" w:ascii="宋体" w:hAnsi="宋体"/>
          <w:kern w:val="0"/>
          <w:lang w:eastAsia="zh-CN"/>
        </w:rPr>
        <w:t>、</w:t>
      </w:r>
      <w:r>
        <w:rPr>
          <w:rFonts w:hint="eastAsia" w:ascii="宋体" w:hAnsi="宋体"/>
          <w:kern w:val="0"/>
        </w:rPr>
        <w:t>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20" w:firstLineChars="200"/>
        <w:rPr>
          <w:rFonts w:ascii="宋体" w:hAnsi="宋体"/>
          <w:kern w:val="0"/>
        </w:rPr>
      </w:pPr>
      <w:r>
        <w:rPr>
          <w:rFonts w:hint="eastAsia" w:ascii="宋体" w:hAnsi="宋体"/>
          <w:kern w:val="0"/>
        </w:rPr>
        <w:t>6</w:t>
      </w:r>
      <w:r>
        <w:rPr>
          <w:rFonts w:hint="eastAsia" w:ascii="宋体" w:hAnsi="宋体"/>
          <w:kern w:val="0"/>
          <w:lang w:eastAsia="zh-CN"/>
        </w:rPr>
        <w:t>、</w:t>
      </w:r>
      <w:r>
        <w:rPr>
          <w:rFonts w:hint="eastAsia" w:ascii="宋体" w:hAnsi="宋体"/>
          <w:kern w:val="0"/>
        </w:rPr>
        <w:t>除依据《基金法》、《基金合同》及其他有关规定外，不得利用基金财产为自己及任何第三人谋取利益，不得委托第三人运作基金财产；</w:t>
      </w:r>
    </w:p>
    <w:p>
      <w:pPr>
        <w:spacing w:line="360" w:lineRule="auto"/>
        <w:ind w:firstLine="420" w:firstLineChars="200"/>
        <w:rPr>
          <w:rFonts w:ascii="宋体" w:hAnsi="宋体"/>
          <w:kern w:val="0"/>
        </w:rPr>
      </w:pPr>
      <w:r>
        <w:rPr>
          <w:rFonts w:hint="eastAsia" w:ascii="宋体" w:hAnsi="宋体"/>
          <w:kern w:val="0"/>
        </w:rPr>
        <w:t>7</w:t>
      </w:r>
      <w:r>
        <w:rPr>
          <w:rFonts w:hint="eastAsia" w:ascii="宋体" w:hAnsi="宋体"/>
          <w:kern w:val="0"/>
          <w:lang w:eastAsia="zh-CN"/>
        </w:rPr>
        <w:t>、</w:t>
      </w:r>
      <w:r>
        <w:rPr>
          <w:rFonts w:hint="eastAsia" w:ascii="宋体" w:hAnsi="宋体"/>
          <w:kern w:val="0"/>
        </w:rPr>
        <w:t>依法接受基金托管人的监督；</w:t>
      </w:r>
    </w:p>
    <w:p>
      <w:pPr>
        <w:spacing w:line="360" w:lineRule="auto"/>
        <w:ind w:firstLine="420" w:firstLineChars="200"/>
        <w:rPr>
          <w:rFonts w:ascii="宋体" w:hAnsi="宋体"/>
          <w:kern w:val="0"/>
        </w:rPr>
      </w:pPr>
      <w:r>
        <w:rPr>
          <w:rFonts w:hint="eastAsia" w:ascii="宋体" w:hAnsi="宋体"/>
          <w:kern w:val="0"/>
        </w:rPr>
        <w:t>8</w:t>
      </w:r>
      <w:r>
        <w:rPr>
          <w:rFonts w:hint="eastAsia" w:ascii="宋体" w:hAnsi="宋体"/>
          <w:kern w:val="0"/>
          <w:lang w:eastAsia="zh-CN"/>
        </w:rPr>
        <w:t>、</w:t>
      </w:r>
      <w:r>
        <w:rPr>
          <w:rFonts w:hint="eastAsia" w:ascii="宋体" w:hAnsi="宋体"/>
          <w:kern w:val="0"/>
        </w:rPr>
        <w:t>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20" w:firstLineChars="200"/>
        <w:rPr>
          <w:rFonts w:ascii="宋体" w:hAnsi="宋体"/>
          <w:kern w:val="0"/>
        </w:rPr>
      </w:pPr>
      <w:r>
        <w:rPr>
          <w:rFonts w:hint="eastAsia" w:ascii="宋体" w:hAnsi="宋体"/>
          <w:kern w:val="0"/>
        </w:rPr>
        <w:t>9</w:t>
      </w:r>
      <w:r>
        <w:rPr>
          <w:rFonts w:hint="eastAsia" w:ascii="宋体" w:hAnsi="宋体"/>
          <w:kern w:val="0"/>
          <w:lang w:eastAsia="zh-CN"/>
        </w:rPr>
        <w:t>、</w:t>
      </w:r>
      <w:r>
        <w:rPr>
          <w:rFonts w:hint="eastAsia" w:ascii="宋体" w:hAnsi="宋体"/>
          <w:kern w:val="0"/>
        </w:rPr>
        <w:t>进行基金会计核算并编制基金财务会计报告；</w:t>
      </w:r>
    </w:p>
    <w:p>
      <w:pPr>
        <w:spacing w:line="360" w:lineRule="auto"/>
        <w:ind w:firstLine="420" w:firstLineChars="200"/>
        <w:rPr>
          <w:rFonts w:ascii="宋体" w:hAnsi="宋体"/>
          <w:kern w:val="0"/>
        </w:rPr>
      </w:pPr>
      <w:r>
        <w:rPr>
          <w:rFonts w:hint="eastAsia" w:ascii="宋体" w:hAnsi="宋体"/>
          <w:kern w:val="0"/>
        </w:rPr>
        <w:t>10</w:t>
      </w:r>
      <w:r>
        <w:rPr>
          <w:rFonts w:hint="eastAsia" w:ascii="宋体" w:hAnsi="宋体"/>
          <w:kern w:val="0"/>
          <w:lang w:eastAsia="zh-CN"/>
        </w:rPr>
        <w:t>、</w:t>
      </w:r>
      <w:r>
        <w:rPr>
          <w:rFonts w:hint="eastAsia" w:ascii="宋体" w:hAnsi="宋体"/>
          <w:kern w:val="0"/>
        </w:rPr>
        <w:t>编制季度报告、中期报告和年度报告；</w:t>
      </w:r>
    </w:p>
    <w:p>
      <w:pPr>
        <w:spacing w:line="360" w:lineRule="auto"/>
        <w:ind w:firstLine="420" w:firstLineChars="200"/>
        <w:rPr>
          <w:rFonts w:ascii="宋体" w:hAnsi="宋体"/>
          <w:kern w:val="0"/>
        </w:rPr>
      </w:pPr>
      <w:r>
        <w:rPr>
          <w:rFonts w:hint="eastAsia" w:ascii="宋体" w:hAnsi="宋体"/>
          <w:kern w:val="0"/>
        </w:rPr>
        <w:t>11</w:t>
      </w:r>
      <w:r>
        <w:rPr>
          <w:rFonts w:hint="eastAsia" w:ascii="宋体" w:hAnsi="宋体"/>
          <w:kern w:val="0"/>
          <w:lang w:eastAsia="zh-CN"/>
        </w:rPr>
        <w:t>、</w:t>
      </w:r>
      <w:r>
        <w:rPr>
          <w:rFonts w:hint="eastAsia" w:ascii="宋体" w:hAnsi="宋体"/>
          <w:kern w:val="0"/>
        </w:rPr>
        <w:t>严格按照《基金法》、《基金合同》及其他有关规定，履行信息披露及报告义务；</w:t>
      </w:r>
    </w:p>
    <w:p>
      <w:pPr>
        <w:spacing w:line="360" w:lineRule="auto"/>
        <w:ind w:firstLine="420" w:firstLineChars="200"/>
        <w:rPr>
          <w:rFonts w:ascii="宋体" w:hAnsi="宋体"/>
          <w:kern w:val="0"/>
        </w:rPr>
      </w:pPr>
      <w:r>
        <w:rPr>
          <w:rFonts w:hint="eastAsia" w:ascii="宋体" w:hAnsi="宋体"/>
          <w:kern w:val="0"/>
        </w:rPr>
        <w:t>12</w:t>
      </w:r>
      <w:r>
        <w:rPr>
          <w:rFonts w:hint="eastAsia" w:ascii="宋体" w:hAnsi="宋体"/>
          <w:kern w:val="0"/>
          <w:lang w:eastAsia="zh-CN"/>
        </w:rPr>
        <w:t>、</w:t>
      </w:r>
      <w:r>
        <w:rPr>
          <w:rFonts w:hint="eastAsia" w:ascii="宋体" w:hAnsi="宋体"/>
          <w:kern w:val="0"/>
        </w:rPr>
        <w:t>保守基金商业秘密，不泄露基金投资计划、投资意向等。除《基金法》、《基金合同》及其他有关规定另有规定外，在基金信息公开披露前应予保密，不向他人泄露，但根据监管机构、司法机关等有权机关的要求，或因审计、法律等外部专业顾问提供服务而向其提供的情况除外；</w:t>
      </w:r>
    </w:p>
    <w:p>
      <w:pPr>
        <w:spacing w:line="360" w:lineRule="auto"/>
        <w:ind w:firstLine="420" w:firstLineChars="200"/>
        <w:rPr>
          <w:rFonts w:ascii="宋体" w:hAnsi="宋体"/>
          <w:kern w:val="0"/>
        </w:rPr>
      </w:pPr>
      <w:r>
        <w:rPr>
          <w:rFonts w:hint="eastAsia" w:ascii="宋体" w:hAnsi="宋体"/>
          <w:kern w:val="0"/>
        </w:rPr>
        <w:t>13</w:t>
      </w:r>
      <w:r>
        <w:rPr>
          <w:rFonts w:hint="eastAsia" w:ascii="宋体" w:hAnsi="宋体"/>
          <w:kern w:val="0"/>
          <w:lang w:eastAsia="zh-CN"/>
        </w:rPr>
        <w:t>、</w:t>
      </w:r>
      <w:r>
        <w:rPr>
          <w:rFonts w:hint="eastAsia" w:ascii="宋体" w:hAnsi="宋体"/>
          <w:kern w:val="0"/>
        </w:rPr>
        <w:t>按《基金合同》的约定确定基金收益分配方案，及时向基金份额持有人分配基金收益；</w:t>
      </w:r>
    </w:p>
    <w:p>
      <w:pPr>
        <w:spacing w:line="360" w:lineRule="auto"/>
        <w:ind w:firstLine="420" w:firstLineChars="200"/>
        <w:rPr>
          <w:rFonts w:ascii="宋体" w:hAnsi="宋体"/>
          <w:kern w:val="0"/>
        </w:rPr>
      </w:pPr>
      <w:r>
        <w:rPr>
          <w:rFonts w:hint="eastAsia" w:ascii="宋体" w:hAnsi="宋体"/>
          <w:kern w:val="0"/>
        </w:rPr>
        <w:t>14</w:t>
      </w:r>
      <w:r>
        <w:rPr>
          <w:rFonts w:hint="eastAsia" w:ascii="宋体" w:hAnsi="宋体"/>
          <w:kern w:val="0"/>
          <w:lang w:eastAsia="zh-CN"/>
        </w:rPr>
        <w:t>、</w:t>
      </w:r>
      <w:r>
        <w:rPr>
          <w:rFonts w:hint="eastAsia" w:ascii="宋体" w:hAnsi="宋体"/>
          <w:kern w:val="0"/>
        </w:rPr>
        <w:t>按规定受理申购与赎回申请，及时、足额支付赎回款项；</w:t>
      </w:r>
    </w:p>
    <w:p>
      <w:pPr>
        <w:spacing w:line="360" w:lineRule="auto"/>
        <w:ind w:firstLine="420" w:firstLineChars="200"/>
        <w:rPr>
          <w:rFonts w:ascii="宋体" w:hAnsi="宋体"/>
          <w:kern w:val="0"/>
        </w:rPr>
      </w:pPr>
      <w:r>
        <w:rPr>
          <w:rFonts w:hint="eastAsia" w:ascii="宋体" w:hAnsi="宋体"/>
          <w:kern w:val="0"/>
        </w:rPr>
        <w:t>15</w:t>
      </w:r>
      <w:r>
        <w:rPr>
          <w:rFonts w:hint="eastAsia" w:ascii="宋体" w:hAnsi="宋体"/>
          <w:kern w:val="0"/>
          <w:lang w:eastAsia="zh-CN"/>
        </w:rPr>
        <w:t>、</w:t>
      </w:r>
      <w:r>
        <w:rPr>
          <w:rFonts w:hint="eastAsia" w:ascii="宋体" w:hAnsi="宋体"/>
          <w:kern w:val="0"/>
        </w:rPr>
        <w:t>依据《基金法》、《基金合同》及其他有关规定召集基金份额持有人大会或配合基金托管人、基金份额持有人依法召集基金份额持有人大会；</w:t>
      </w:r>
    </w:p>
    <w:p>
      <w:pPr>
        <w:spacing w:line="360" w:lineRule="auto"/>
        <w:ind w:firstLine="420" w:firstLineChars="200"/>
        <w:rPr>
          <w:rFonts w:ascii="宋体" w:hAnsi="宋体"/>
          <w:kern w:val="0"/>
        </w:rPr>
      </w:pPr>
      <w:r>
        <w:rPr>
          <w:rFonts w:hint="eastAsia" w:ascii="宋体" w:hAnsi="宋体"/>
          <w:kern w:val="0"/>
        </w:rPr>
        <w:t>16</w:t>
      </w:r>
      <w:r>
        <w:rPr>
          <w:rFonts w:hint="eastAsia" w:ascii="宋体" w:hAnsi="宋体"/>
          <w:kern w:val="0"/>
          <w:lang w:eastAsia="zh-CN"/>
        </w:rPr>
        <w:t>、</w:t>
      </w:r>
      <w:r>
        <w:rPr>
          <w:rFonts w:hint="eastAsia" w:ascii="宋体" w:hAnsi="宋体"/>
          <w:kern w:val="0"/>
        </w:rPr>
        <w:t>按规定保存基金财产管理业务活动的会计账册、报表、记录和其他相关资料</w:t>
      </w:r>
      <w:r>
        <w:rPr>
          <w:rFonts w:hint="eastAsia" w:ascii="宋体" w:hAnsi="宋体"/>
          <w:kern w:val="0"/>
          <w:lang w:eastAsia="zh-CN"/>
        </w:rPr>
        <w:t>，</w:t>
      </w:r>
      <w:r>
        <w:rPr>
          <w:rFonts w:hint="eastAsia" w:ascii="宋体" w:hAnsi="宋体"/>
          <w:kern w:val="0"/>
          <w:lang w:val="en-US" w:eastAsia="zh-CN"/>
        </w:rPr>
        <w:t>保存期限不低于</w:t>
      </w:r>
      <w:r>
        <w:rPr>
          <w:rFonts w:hint="eastAsia" w:ascii="宋体" w:hAnsi="宋体"/>
          <w:kern w:val="0"/>
        </w:rPr>
        <w:t>法定最低期限；</w:t>
      </w:r>
    </w:p>
    <w:p>
      <w:pPr>
        <w:spacing w:line="360" w:lineRule="auto"/>
        <w:ind w:firstLine="420" w:firstLineChars="200"/>
        <w:rPr>
          <w:rFonts w:ascii="宋体" w:hAnsi="宋体"/>
          <w:kern w:val="0"/>
        </w:rPr>
      </w:pPr>
      <w:r>
        <w:rPr>
          <w:rFonts w:hint="eastAsia" w:ascii="宋体" w:hAnsi="宋体"/>
          <w:kern w:val="0"/>
        </w:rPr>
        <w:t>17</w:t>
      </w:r>
      <w:r>
        <w:rPr>
          <w:rFonts w:hint="eastAsia" w:ascii="宋体" w:hAnsi="宋体"/>
          <w:kern w:val="0"/>
          <w:lang w:eastAsia="zh-CN"/>
        </w:rPr>
        <w:t>、</w:t>
      </w:r>
      <w:r>
        <w:rPr>
          <w:rFonts w:hint="eastAsia" w:ascii="宋体" w:hAnsi="宋体"/>
          <w:kern w:val="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20" w:firstLineChars="200"/>
        <w:rPr>
          <w:rFonts w:ascii="宋体" w:hAnsi="宋体"/>
          <w:kern w:val="0"/>
        </w:rPr>
      </w:pPr>
      <w:r>
        <w:rPr>
          <w:rFonts w:hint="eastAsia" w:ascii="宋体" w:hAnsi="宋体"/>
          <w:kern w:val="0"/>
        </w:rPr>
        <w:t>18</w:t>
      </w:r>
      <w:r>
        <w:rPr>
          <w:rFonts w:hint="eastAsia" w:ascii="宋体" w:hAnsi="宋体"/>
          <w:kern w:val="0"/>
          <w:lang w:eastAsia="zh-CN"/>
        </w:rPr>
        <w:t>、</w:t>
      </w:r>
      <w:r>
        <w:rPr>
          <w:rFonts w:hint="eastAsia" w:ascii="宋体" w:hAnsi="宋体"/>
          <w:kern w:val="0"/>
        </w:rPr>
        <w:t>组织并参加基金财产清算小组，参与基金财产的保管、清理、估价、变现和分配；</w:t>
      </w:r>
    </w:p>
    <w:p>
      <w:pPr>
        <w:spacing w:line="360" w:lineRule="auto"/>
        <w:ind w:firstLine="420" w:firstLineChars="200"/>
        <w:rPr>
          <w:rFonts w:ascii="宋体" w:hAnsi="宋体"/>
          <w:kern w:val="0"/>
        </w:rPr>
      </w:pPr>
      <w:r>
        <w:rPr>
          <w:rFonts w:hint="eastAsia" w:ascii="宋体" w:hAnsi="宋体"/>
          <w:kern w:val="0"/>
        </w:rPr>
        <w:t>19</w:t>
      </w:r>
      <w:r>
        <w:rPr>
          <w:rFonts w:hint="eastAsia" w:ascii="宋体" w:hAnsi="宋体"/>
          <w:kern w:val="0"/>
          <w:lang w:eastAsia="zh-CN"/>
        </w:rPr>
        <w:t>、</w:t>
      </w:r>
      <w:r>
        <w:rPr>
          <w:rFonts w:hint="eastAsia" w:ascii="宋体" w:hAnsi="宋体"/>
          <w:kern w:val="0"/>
        </w:rPr>
        <w:t>面临解散、依法被撤销或者被依法宣告破产时，及时报告中国证监会并通知基金托管人；</w:t>
      </w:r>
    </w:p>
    <w:p>
      <w:pPr>
        <w:spacing w:line="360" w:lineRule="auto"/>
        <w:ind w:firstLine="420" w:firstLineChars="200"/>
        <w:rPr>
          <w:rFonts w:ascii="宋体" w:hAnsi="宋体"/>
          <w:kern w:val="0"/>
        </w:rPr>
      </w:pPr>
      <w:r>
        <w:rPr>
          <w:rFonts w:hint="eastAsia" w:ascii="宋体" w:hAnsi="宋体"/>
          <w:kern w:val="0"/>
        </w:rPr>
        <w:t>20</w:t>
      </w:r>
      <w:r>
        <w:rPr>
          <w:rFonts w:hint="eastAsia" w:ascii="宋体" w:hAnsi="宋体"/>
          <w:kern w:val="0"/>
          <w:lang w:eastAsia="zh-CN"/>
        </w:rPr>
        <w:t>、</w:t>
      </w:r>
      <w:r>
        <w:rPr>
          <w:rFonts w:hint="eastAsia" w:ascii="宋体" w:hAnsi="宋体"/>
          <w:kern w:val="0"/>
        </w:rPr>
        <w:t>因违反《基金合同》导致基金财产的损失或损害基金份额持有人合法权益时，应当承担赔偿责任，其赔偿责任不因其退任而免除；</w:t>
      </w:r>
    </w:p>
    <w:p>
      <w:pPr>
        <w:spacing w:line="360" w:lineRule="auto"/>
        <w:ind w:firstLine="420" w:firstLineChars="200"/>
        <w:rPr>
          <w:rFonts w:ascii="宋体" w:hAnsi="宋体"/>
          <w:kern w:val="0"/>
        </w:rPr>
      </w:pPr>
      <w:r>
        <w:rPr>
          <w:rFonts w:hint="eastAsia" w:ascii="宋体" w:hAnsi="宋体"/>
          <w:kern w:val="0"/>
        </w:rPr>
        <w:t>21</w:t>
      </w:r>
      <w:r>
        <w:rPr>
          <w:rFonts w:hint="eastAsia" w:ascii="宋体" w:hAnsi="宋体"/>
          <w:kern w:val="0"/>
          <w:lang w:eastAsia="zh-CN"/>
        </w:rPr>
        <w:t>、</w:t>
      </w:r>
      <w:r>
        <w:rPr>
          <w:rFonts w:hint="eastAsia" w:ascii="宋体" w:hAnsi="宋体"/>
          <w:kern w:val="0"/>
        </w:rPr>
        <w:t>监督基金托管人按法律法规和《基金合同》规定履行自己的义务，基金托管人违反《基金合同》造成基金财产损失时，基金管理人应为基金份额持有人利益向基金托管人追偿；</w:t>
      </w:r>
    </w:p>
    <w:p>
      <w:pPr>
        <w:spacing w:line="360" w:lineRule="auto"/>
        <w:ind w:firstLine="420" w:firstLineChars="200"/>
        <w:rPr>
          <w:rFonts w:ascii="宋体" w:hAnsi="宋体"/>
          <w:kern w:val="0"/>
        </w:rPr>
      </w:pPr>
      <w:r>
        <w:rPr>
          <w:rFonts w:hint="eastAsia" w:ascii="宋体" w:hAnsi="宋体"/>
          <w:kern w:val="0"/>
        </w:rPr>
        <w:t>22</w:t>
      </w:r>
      <w:r>
        <w:rPr>
          <w:rFonts w:hint="eastAsia" w:ascii="宋体" w:hAnsi="宋体"/>
          <w:kern w:val="0"/>
          <w:lang w:eastAsia="zh-CN"/>
        </w:rPr>
        <w:t>、</w:t>
      </w:r>
      <w:r>
        <w:rPr>
          <w:rFonts w:hint="eastAsia" w:ascii="宋体" w:hAnsi="宋体"/>
          <w:kern w:val="0"/>
        </w:rPr>
        <w:t>当基金管理人将其义务委托第三方处理时，应当对第三方处理有关基金事务的行为承担责任；</w:t>
      </w:r>
    </w:p>
    <w:p>
      <w:pPr>
        <w:spacing w:line="360" w:lineRule="auto"/>
        <w:ind w:firstLine="420" w:firstLineChars="200"/>
        <w:rPr>
          <w:rFonts w:ascii="宋体" w:hAnsi="宋体"/>
          <w:kern w:val="0"/>
        </w:rPr>
      </w:pPr>
      <w:r>
        <w:rPr>
          <w:rFonts w:hint="eastAsia" w:ascii="宋体" w:hAnsi="宋体"/>
          <w:kern w:val="0"/>
        </w:rPr>
        <w:t>23</w:t>
      </w:r>
      <w:r>
        <w:rPr>
          <w:rFonts w:hint="eastAsia" w:ascii="宋体" w:hAnsi="宋体"/>
          <w:kern w:val="0"/>
          <w:lang w:eastAsia="zh-CN"/>
        </w:rPr>
        <w:t>、</w:t>
      </w:r>
      <w:r>
        <w:rPr>
          <w:rFonts w:hint="eastAsia" w:ascii="宋体" w:hAnsi="宋体"/>
          <w:kern w:val="0"/>
        </w:rPr>
        <w:t>以基金管理人名义，代表基金份额持有人利益行使诉讼权利或实施其他法律行为；</w:t>
      </w:r>
    </w:p>
    <w:p>
      <w:pPr>
        <w:spacing w:line="360" w:lineRule="auto"/>
        <w:ind w:firstLine="420" w:firstLineChars="200"/>
        <w:rPr>
          <w:rFonts w:ascii="宋体" w:hAnsi="宋体"/>
          <w:kern w:val="0"/>
        </w:rPr>
      </w:pPr>
      <w:r>
        <w:rPr>
          <w:rFonts w:hint="eastAsia" w:ascii="宋体" w:hAnsi="宋体"/>
          <w:kern w:val="0"/>
        </w:rPr>
        <w:t>24</w:t>
      </w:r>
      <w:r>
        <w:rPr>
          <w:rFonts w:hint="eastAsia" w:ascii="宋体" w:hAnsi="宋体"/>
          <w:kern w:val="0"/>
          <w:lang w:eastAsia="zh-CN"/>
        </w:rPr>
        <w:t>、</w:t>
      </w:r>
      <w:r>
        <w:rPr>
          <w:rFonts w:hint="eastAsia" w:ascii="宋体" w:hAnsi="宋体"/>
          <w:kern w:val="0"/>
        </w:rPr>
        <w:t>基金管理人在募集期间未能达到基金的备案条件，《基金合同》不能生效，基金管理人承担全部募集费用，将已募集资金并加计银行同期活期存款利息在基金募集期结束后30日内退还基金认购人；</w:t>
      </w:r>
    </w:p>
    <w:p>
      <w:pPr>
        <w:spacing w:line="360" w:lineRule="auto"/>
        <w:ind w:firstLine="420" w:firstLineChars="200"/>
        <w:rPr>
          <w:rFonts w:ascii="宋体" w:hAnsi="宋体"/>
          <w:kern w:val="0"/>
        </w:rPr>
      </w:pPr>
      <w:r>
        <w:rPr>
          <w:rFonts w:hint="eastAsia" w:ascii="宋体" w:hAnsi="宋体"/>
          <w:kern w:val="0"/>
        </w:rPr>
        <w:t>25</w:t>
      </w:r>
      <w:r>
        <w:rPr>
          <w:rFonts w:hint="eastAsia" w:ascii="宋体" w:hAnsi="宋体"/>
          <w:kern w:val="0"/>
          <w:lang w:eastAsia="zh-CN"/>
        </w:rPr>
        <w:t>、</w:t>
      </w:r>
      <w:r>
        <w:rPr>
          <w:rFonts w:hint="eastAsia" w:ascii="宋体" w:hAnsi="宋体"/>
          <w:kern w:val="0"/>
        </w:rPr>
        <w:t>执行生效的基金份额持有人大会的决议；</w:t>
      </w:r>
    </w:p>
    <w:p>
      <w:pPr>
        <w:spacing w:line="360" w:lineRule="auto"/>
        <w:ind w:firstLine="420" w:firstLineChars="200"/>
        <w:rPr>
          <w:rFonts w:ascii="宋体" w:hAnsi="宋体"/>
          <w:kern w:val="0"/>
        </w:rPr>
      </w:pPr>
      <w:r>
        <w:rPr>
          <w:rFonts w:hint="eastAsia" w:ascii="宋体" w:hAnsi="宋体"/>
          <w:kern w:val="0"/>
        </w:rPr>
        <w:t>26</w:t>
      </w:r>
      <w:r>
        <w:rPr>
          <w:rFonts w:hint="eastAsia" w:ascii="宋体" w:hAnsi="宋体"/>
          <w:kern w:val="0"/>
          <w:lang w:eastAsia="zh-CN"/>
        </w:rPr>
        <w:t>、</w:t>
      </w:r>
      <w:r>
        <w:rPr>
          <w:rFonts w:hint="eastAsia" w:ascii="宋体" w:hAnsi="宋体"/>
          <w:kern w:val="0"/>
        </w:rPr>
        <w:t>建立并保存基金份额持有人名册；</w:t>
      </w:r>
    </w:p>
    <w:p>
      <w:pPr>
        <w:spacing w:line="360" w:lineRule="auto"/>
        <w:ind w:firstLine="420" w:firstLineChars="200"/>
        <w:rPr>
          <w:rFonts w:ascii="宋体" w:hAnsi="宋体"/>
          <w:kern w:val="0"/>
        </w:rPr>
      </w:pPr>
      <w:r>
        <w:rPr>
          <w:rFonts w:hint="eastAsia" w:ascii="宋体" w:hAnsi="宋体"/>
          <w:kern w:val="0"/>
        </w:rPr>
        <w:t>27</w:t>
      </w:r>
      <w:r>
        <w:rPr>
          <w:rFonts w:hint="eastAsia" w:ascii="宋体" w:hAnsi="宋体"/>
          <w:kern w:val="0"/>
          <w:lang w:eastAsia="zh-CN"/>
        </w:rPr>
        <w:t>、</w:t>
      </w:r>
      <w:r>
        <w:rPr>
          <w:rFonts w:hint="eastAsia" w:ascii="宋体" w:hAnsi="宋体"/>
          <w:kern w:val="0"/>
        </w:rPr>
        <w:t>法律法规及中国证监会规定的和《基金合同》约定的其他义务。</w:t>
      </w:r>
    </w:p>
    <w:p>
      <w:pPr>
        <w:spacing w:line="360" w:lineRule="auto"/>
        <w:ind w:firstLine="420" w:firstLineChars="200"/>
        <w:rPr>
          <w:rFonts w:ascii="宋体" w:hAnsi="宋体"/>
          <w:kern w:val="0"/>
        </w:rPr>
      </w:pPr>
      <w:r>
        <w:rPr>
          <w:rFonts w:ascii="宋体" w:hAnsi="宋体"/>
          <w:kern w:val="0"/>
        </w:rPr>
        <w:t>（四）基金管理人承诺</w:t>
      </w:r>
    </w:p>
    <w:p>
      <w:pPr>
        <w:spacing w:line="360" w:lineRule="auto"/>
        <w:ind w:firstLine="420" w:firstLineChars="200"/>
        <w:rPr>
          <w:rFonts w:ascii="宋体" w:hAnsi="宋体"/>
          <w:kern w:val="0"/>
        </w:rPr>
      </w:pPr>
      <w:r>
        <w:rPr>
          <w:rFonts w:hint="eastAsia" w:ascii="宋体" w:hAnsi="宋体"/>
          <w:kern w:val="0"/>
        </w:rPr>
        <w:t>1、本基金管理人将根据基金合同的规定，按照招募说明书列明的投资目标、策略及限制等全权处理本基金的投资。</w:t>
      </w:r>
    </w:p>
    <w:p>
      <w:pPr>
        <w:spacing w:line="360" w:lineRule="auto"/>
        <w:ind w:firstLine="420" w:firstLineChars="200"/>
        <w:rPr>
          <w:rFonts w:ascii="宋体" w:hAnsi="宋体"/>
          <w:kern w:val="0"/>
        </w:rPr>
      </w:pPr>
      <w:r>
        <w:rPr>
          <w:rFonts w:hint="eastAsia" w:ascii="宋体" w:hAnsi="宋体"/>
          <w:kern w:val="0"/>
        </w:rPr>
        <w:t>2、本基金管理人不从事违反《</w:t>
      </w:r>
      <w:r>
        <w:rPr>
          <w:rFonts w:hint="eastAsia" w:ascii="宋体" w:hAnsi="宋体"/>
          <w:kern w:val="0"/>
          <w:lang w:val="en-US" w:eastAsia="zh-CN"/>
        </w:rPr>
        <w:t>中华人民共和国</w:t>
      </w:r>
      <w:r>
        <w:rPr>
          <w:rFonts w:hint="eastAsia" w:ascii="宋体" w:hAnsi="宋体"/>
          <w:kern w:val="0"/>
        </w:rPr>
        <w:t>证券法》的行为，并建立健全内部控制制度，采取有效措施，防止违反《</w:t>
      </w:r>
      <w:r>
        <w:rPr>
          <w:rFonts w:hint="eastAsia" w:ascii="宋体" w:hAnsi="宋体"/>
          <w:kern w:val="0"/>
          <w:lang w:val="en-US" w:eastAsia="zh-CN"/>
        </w:rPr>
        <w:t>中华人民共和国</w:t>
      </w:r>
      <w:r>
        <w:rPr>
          <w:rFonts w:hint="eastAsia" w:ascii="宋体" w:hAnsi="宋体"/>
          <w:kern w:val="0"/>
        </w:rPr>
        <w:t>证券法》行为的发生。</w:t>
      </w:r>
    </w:p>
    <w:p>
      <w:pPr>
        <w:spacing w:line="360" w:lineRule="auto"/>
        <w:ind w:firstLine="420" w:firstLineChars="200"/>
        <w:rPr>
          <w:rFonts w:ascii="宋体" w:hAnsi="宋体"/>
          <w:kern w:val="0"/>
        </w:rPr>
      </w:pPr>
      <w:r>
        <w:rPr>
          <w:rFonts w:hint="eastAsia" w:ascii="宋体" w:hAnsi="宋体"/>
          <w:kern w:val="0"/>
        </w:rPr>
        <w:t>3、本基金管理人不从事违反《基金法》的行为，并建立健全内部控制制度，采取有效措施，保证基金财产不用于下列投资或者活动：</w:t>
      </w:r>
    </w:p>
    <w:p>
      <w:pPr>
        <w:spacing w:line="360" w:lineRule="auto"/>
        <w:ind w:firstLine="420" w:firstLineChars="200"/>
        <w:rPr>
          <w:rFonts w:ascii="宋体" w:hAnsi="宋体"/>
          <w:kern w:val="0"/>
        </w:rPr>
      </w:pPr>
      <w:r>
        <w:rPr>
          <w:rFonts w:hint="eastAsia" w:ascii="宋体" w:hAnsi="宋体"/>
          <w:kern w:val="0"/>
        </w:rPr>
        <w:t>（1）承销证券；</w:t>
      </w:r>
    </w:p>
    <w:p>
      <w:pPr>
        <w:spacing w:line="360" w:lineRule="auto"/>
        <w:ind w:firstLine="420" w:firstLineChars="200"/>
        <w:rPr>
          <w:rFonts w:ascii="宋体" w:hAnsi="宋体"/>
          <w:kern w:val="0"/>
        </w:rPr>
      </w:pPr>
      <w:r>
        <w:rPr>
          <w:rFonts w:hint="eastAsia" w:ascii="宋体" w:hAnsi="宋体"/>
          <w:kern w:val="0"/>
        </w:rPr>
        <w:t>（2）违反规定向他人贷款或者提供担保；</w:t>
      </w:r>
    </w:p>
    <w:p>
      <w:pPr>
        <w:spacing w:line="360" w:lineRule="auto"/>
        <w:ind w:firstLine="420" w:firstLineChars="200"/>
        <w:rPr>
          <w:rFonts w:ascii="宋体" w:hAnsi="宋体"/>
          <w:kern w:val="0"/>
        </w:rPr>
      </w:pPr>
      <w:r>
        <w:rPr>
          <w:rFonts w:hint="eastAsia" w:ascii="宋体" w:hAnsi="宋体"/>
          <w:kern w:val="0"/>
        </w:rPr>
        <w:t>（3）从事承担无限责任的投资；</w:t>
      </w:r>
    </w:p>
    <w:p>
      <w:pPr>
        <w:spacing w:line="360" w:lineRule="auto"/>
        <w:ind w:firstLine="420" w:firstLineChars="200"/>
        <w:rPr>
          <w:rFonts w:ascii="宋体" w:hAnsi="宋体"/>
          <w:kern w:val="0"/>
        </w:rPr>
      </w:pPr>
      <w:r>
        <w:rPr>
          <w:rFonts w:hint="eastAsia" w:ascii="宋体" w:hAnsi="宋体"/>
          <w:kern w:val="0"/>
        </w:rPr>
        <w:t>（4）买卖其他基金份额，但是中国证监会另有规定的除外；</w:t>
      </w:r>
    </w:p>
    <w:p>
      <w:pPr>
        <w:spacing w:line="360" w:lineRule="auto"/>
        <w:ind w:firstLine="420" w:firstLineChars="200"/>
        <w:rPr>
          <w:rFonts w:ascii="宋体" w:hAnsi="宋体"/>
          <w:kern w:val="0"/>
        </w:rPr>
      </w:pPr>
      <w:r>
        <w:rPr>
          <w:rFonts w:hint="eastAsia" w:ascii="宋体" w:hAnsi="宋体"/>
          <w:kern w:val="0"/>
        </w:rPr>
        <w:t>（5）向其基金管理人、基金托管人出资；</w:t>
      </w:r>
    </w:p>
    <w:p>
      <w:pPr>
        <w:spacing w:line="360" w:lineRule="auto"/>
        <w:ind w:firstLine="420" w:firstLineChars="200"/>
        <w:rPr>
          <w:rFonts w:ascii="宋体" w:hAnsi="宋体"/>
          <w:kern w:val="0"/>
        </w:rPr>
      </w:pPr>
      <w:r>
        <w:rPr>
          <w:rFonts w:hint="eastAsia" w:ascii="宋体" w:hAnsi="宋体"/>
          <w:kern w:val="0"/>
        </w:rPr>
        <w:t>（6）从事内幕交易、操纵证券交易价格及其他不正当的证券交易活动；</w:t>
      </w:r>
    </w:p>
    <w:p>
      <w:pPr>
        <w:spacing w:line="360" w:lineRule="auto"/>
        <w:ind w:firstLine="420" w:firstLineChars="200"/>
        <w:rPr>
          <w:rFonts w:ascii="宋体" w:hAnsi="宋体"/>
          <w:kern w:val="0"/>
        </w:rPr>
      </w:pPr>
      <w:r>
        <w:rPr>
          <w:rFonts w:hint="eastAsia" w:ascii="宋体" w:hAnsi="宋体"/>
          <w:kern w:val="0"/>
        </w:rPr>
        <w:t>（7）法律、行政法规和中国证监会规定禁止的其他活动。</w:t>
      </w:r>
    </w:p>
    <w:p>
      <w:pPr>
        <w:spacing w:line="360" w:lineRule="auto"/>
        <w:ind w:firstLine="420" w:firstLineChars="200"/>
        <w:rPr>
          <w:rFonts w:ascii="宋体" w:hAnsi="宋体"/>
          <w:kern w:val="0"/>
        </w:rPr>
      </w:pPr>
      <w:r>
        <w:rPr>
          <w:rFonts w:hint="eastAsia" w:ascii="宋体" w:hAnsi="宋体"/>
          <w:kern w:val="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0" w:firstLineChars="200"/>
        <w:rPr>
          <w:rFonts w:ascii="宋体" w:hAnsi="宋体"/>
          <w:kern w:val="0"/>
        </w:rPr>
      </w:pPr>
      <w:r>
        <w:rPr>
          <w:rFonts w:hint="eastAsia" w:ascii="宋体" w:hAnsi="宋体"/>
          <w:kern w:val="0"/>
        </w:rPr>
        <w:t>4、本基金管理人将加强人员管理，强化职业操守，督促和约束员工遵守国家有关法律、法规及行业规范，诚实信用、勤勉尽责，不从事以下行为：</w:t>
      </w:r>
    </w:p>
    <w:p>
      <w:pPr>
        <w:spacing w:line="360" w:lineRule="auto"/>
        <w:ind w:firstLine="420" w:firstLineChars="200"/>
        <w:rPr>
          <w:rFonts w:ascii="宋体" w:hAnsi="宋体"/>
          <w:kern w:val="0"/>
        </w:rPr>
      </w:pPr>
      <w:r>
        <w:rPr>
          <w:rFonts w:hint="eastAsia" w:ascii="宋体" w:hAnsi="宋体"/>
          <w:kern w:val="0"/>
        </w:rPr>
        <w:t>（1）将其固有财产或者他人财产混同于基金财产从事证券投资；</w:t>
      </w:r>
    </w:p>
    <w:p>
      <w:pPr>
        <w:spacing w:line="360" w:lineRule="auto"/>
        <w:ind w:firstLine="420" w:firstLineChars="200"/>
        <w:rPr>
          <w:rFonts w:ascii="宋体" w:hAnsi="宋体"/>
          <w:kern w:val="0"/>
        </w:rPr>
      </w:pPr>
      <w:r>
        <w:rPr>
          <w:rFonts w:hint="eastAsia" w:ascii="宋体" w:hAnsi="宋体"/>
          <w:kern w:val="0"/>
        </w:rPr>
        <w:t>（2）不公平地对待其管理的不同基金财产；</w:t>
      </w:r>
    </w:p>
    <w:p>
      <w:pPr>
        <w:spacing w:line="360" w:lineRule="auto"/>
        <w:ind w:firstLine="420" w:firstLineChars="200"/>
        <w:rPr>
          <w:rFonts w:ascii="宋体" w:hAnsi="宋体"/>
          <w:kern w:val="0"/>
        </w:rPr>
      </w:pPr>
      <w:r>
        <w:rPr>
          <w:rFonts w:hint="eastAsia" w:ascii="宋体" w:hAnsi="宋体"/>
          <w:kern w:val="0"/>
        </w:rPr>
        <w:t>（3）利用基金财产或职务之便为基金份额持有人以外的第三人牟取利益；</w:t>
      </w:r>
    </w:p>
    <w:p>
      <w:pPr>
        <w:spacing w:line="360" w:lineRule="auto"/>
        <w:ind w:firstLine="420" w:firstLineChars="200"/>
        <w:rPr>
          <w:rFonts w:ascii="宋体" w:hAnsi="宋体"/>
          <w:kern w:val="0"/>
        </w:rPr>
      </w:pPr>
      <w:r>
        <w:rPr>
          <w:rFonts w:hint="eastAsia" w:ascii="宋体" w:hAnsi="宋体"/>
          <w:kern w:val="0"/>
        </w:rPr>
        <w:t>（4）向基金份额持有人违规承诺收益或者承担损失；</w:t>
      </w:r>
    </w:p>
    <w:p>
      <w:pPr>
        <w:spacing w:line="360" w:lineRule="auto"/>
        <w:ind w:firstLine="420" w:firstLineChars="200"/>
        <w:rPr>
          <w:rFonts w:ascii="宋体" w:hAnsi="宋体"/>
          <w:kern w:val="0"/>
        </w:rPr>
      </w:pPr>
      <w:r>
        <w:rPr>
          <w:rFonts w:hint="eastAsia" w:ascii="宋体" w:hAnsi="宋体"/>
          <w:kern w:val="0"/>
        </w:rPr>
        <w:t>（5）侵占、挪用基金财产；</w:t>
      </w:r>
    </w:p>
    <w:p>
      <w:pPr>
        <w:spacing w:line="360" w:lineRule="auto"/>
        <w:ind w:firstLine="420" w:firstLineChars="200"/>
        <w:rPr>
          <w:rFonts w:ascii="宋体" w:hAnsi="宋体"/>
          <w:kern w:val="0"/>
        </w:rPr>
      </w:pPr>
      <w:r>
        <w:rPr>
          <w:rFonts w:hint="eastAsia" w:ascii="宋体" w:hAnsi="宋体"/>
          <w:kern w:val="0"/>
        </w:rPr>
        <w:t>（6）泄露因职务便利获取的未公开信息、利用该信息从事或者明示、暗示他人从事相关的交易活动；</w:t>
      </w:r>
    </w:p>
    <w:p>
      <w:pPr>
        <w:spacing w:line="360" w:lineRule="auto"/>
        <w:ind w:firstLine="420" w:firstLineChars="200"/>
        <w:rPr>
          <w:rFonts w:ascii="宋体" w:hAnsi="宋体"/>
          <w:kern w:val="0"/>
        </w:rPr>
      </w:pPr>
      <w:r>
        <w:rPr>
          <w:rFonts w:hint="eastAsia" w:ascii="宋体" w:hAnsi="宋体"/>
          <w:kern w:val="0"/>
        </w:rPr>
        <w:t>（7）玩忽职守，不按照规定履行职责；</w:t>
      </w:r>
    </w:p>
    <w:p>
      <w:pPr>
        <w:spacing w:line="360" w:lineRule="auto"/>
        <w:ind w:firstLine="420" w:firstLineChars="200"/>
        <w:rPr>
          <w:rFonts w:ascii="宋体" w:hAnsi="宋体"/>
          <w:kern w:val="0"/>
        </w:rPr>
      </w:pPr>
      <w:r>
        <w:rPr>
          <w:rFonts w:hint="eastAsia" w:ascii="宋体" w:hAnsi="宋体"/>
          <w:kern w:val="0"/>
        </w:rPr>
        <w:t>（8）其它法律法规以及国务院证券监督管理机构禁止的行为。</w:t>
      </w:r>
    </w:p>
    <w:p>
      <w:pPr>
        <w:spacing w:line="360" w:lineRule="auto"/>
        <w:ind w:firstLine="420" w:firstLineChars="200"/>
        <w:rPr>
          <w:rFonts w:ascii="宋体" w:hAnsi="宋体"/>
          <w:kern w:val="0"/>
        </w:rPr>
      </w:pPr>
      <w:r>
        <w:rPr>
          <w:rFonts w:hint="eastAsia" w:ascii="宋体" w:hAnsi="宋体"/>
          <w:kern w:val="0"/>
        </w:rPr>
        <w:t>5、基金经理承诺</w:t>
      </w:r>
    </w:p>
    <w:p>
      <w:pPr>
        <w:spacing w:line="360" w:lineRule="auto"/>
        <w:ind w:firstLine="420" w:firstLineChars="200"/>
        <w:rPr>
          <w:rFonts w:ascii="宋体" w:hAnsi="宋体"/>
          <w:kern w:val="0"/>
        </w:rPr>
      </w:pPr>
      <w:r>
        <w:rPr>
          <w:rFonts w:hint="eastAsia" w:ascii="宋体" w:hAnsi="宋体"/>
          <w:kern w:val="0"/>
        </w:rPr>
        <w:t>（1）依照有关法律、法规和基金合同的规定，本着谨慎的原则为基金份额持有人谋取利益。</w:t>
      </w:r>
    </w:p>
    <w:p>
      <w:pPr>
        <w:spacing w:line="360" w:lineRule="auto"/>
        <w:ind w:firstLine="420" w:firstLineChars="200"/>
        <w:rPr>
          <w:rFonts w:ascii="宋体" w:hAnsi="宋体"/>
          <w:kern w:val="0"/>
        </w:rPr>
      </w:pPr>
      <w:r>
        <w:rPr>
          <w:rFonts w:hint="eastAsia" w:ascii="宋体" w:hAnsi="宋体"/>
          <w:kern w:val="0"/>
        </w:rPr>
        <w:t>（2）不利用职务之便为自己、被代理人、被代表人、受雇人或任何其他第三人谋取不当利益。</w:t>
      </w:r>
    </w:p>
    <w:p>
      <w:pPr>
        <w:spacing w:line="360" w:lineRule="auto"/>
        <w:ind w:firstLine="420" w:firstLineChars="200"/>
        <w:rPr>
          <w:rFonts w:ascii="宋体" w:hAnsi="宋体"/>
          <w:kern w:val="0"/>
        </w:rPr>
      </w:pPr>
      <w:r>
        <w:rPr>
          <w:rFonts w:hint="eastAsia" w:ascii="宋体" w:hAnsi="宋体"/>
          <w:kern w:val="0"/>
        </w:rPr>
        <w:t>（3）不泄露在任职期间知悉的有关证券、基金的商业秘密以及尚未依法公开的基金投资内容、基金投资计划等信息。</w:t>
      </w:r>
    </w:p>
    <w:p>
      <w:pPr>
        <w:spacing w:line="360" w:lineRule="auto"/>
        <w:ind w:firstLine="420" w:firstLineChars="200"/>
        <w:rPr>
          <w:rFonts w:ascii="宋体" w:hAnsi="宋体"/>
          <w:kern w:val="0"/>
        </w:rPr>
      </w:pPr>
      <w:r>
        <w:rPr>
          <w:rFonts w:hint="eastAsia" w:ascii="宋体" w:hAnsi="宋体"/>
          <w:kern w:val="0"/>
        </w:rPr>
        <w:t>（4）不以任何形式为除基金管理人以外的其他组织或个人进行证券交易。</w:t>
      </w:r>
    </w:p>
    <w:p>
      <w:pPr>
        <w:spacing w:line="360" w:lineRule="auto"/>
        <w:ind w:firstLine="420" w:firstLineChars="200"/>
        <w:rPr>
          <w:rFonts w:ascii="宋体" w:hAnsi="宋体"/>
          <w:kern w:val="0"/>
        </w:rPr>
      </w:pPr>
      <w:r>
        <w:rPr>
          <w:rFonts w:hint="eastAsia" w:ascii="宋体" w:hAnsi="宋体"/>
          <w:kern w:val="0"/>
        </w:rPr>
        <w:t>（五）基金管理人的内部控制制度</w:t>
      </w:r>
    </w:p>
    <w:p>
      <w:pPr>
        <w:spacing w:line="360" w:lineRule="auto"/>
        <w:ind w:firstLine="420" w:firstLineChars="200"/>
        <w:rPr>
          <w:rFonts w:ascii="宋体" w:hAnsi="宋体"/>
          <w:kern w:val="0"/>
        </w:rPr>
      </w:pPr>
      <w:r>
        <w:rPr>
          <w:rFonts w:hint="eastAsia" w:ascii="宋体" w:hAnsi="宋体"/>
          <w:kern w:val="0"/>
        </w:rPr>
        <w:t>1、内部控制的原则</w:t>
      </w:r>
    </w:p>
    <w:p>
      <w:pPr>
        <w:spacing w:line="360" w:lineRule="auto"/>
        <w:ind w:firstLine="420" w:firstLineChars="200"/>
        <w:rPr>
          <w:rFonts w:ascii="宋体" w:hAnsi="宋体"/>
          <w:kern w:val="0"/>
        </w:rPr>
      </w:pPr>
      <w:r>
        <w:rPr>
          <w:rFonts w:hint="eastAsia" w:ascii="宋体" w:hAnsi="宋体"/>
          <w:kern w:val="0"/>
        </w:rPr>
        <w:t>（1）健全性原则。内部控制应当包括公司的各项业务、各个部门或机构和各级人员，并涵盖到决策、执行、监督、反馈等各个环节。</w:t>
      </w:r>
    </w:p>
    <w:p>
      <w:pPr>
        <w:spacing w:line="360" w:lineRule="auto"/>
        <w:ind w:firstLine="420" w:firstLineChars="200"/>
        <w:rPr>
          <w:rFonts w:ascii="宋体" w:hAnsi="宋体"/>
          <w:kern w:val="0"/>
        </w:rPr>
      </w:pPr>
      <w:r>
        <w:rPr>
          <w:rFonts w:hint="eastAsia" w:ascii="宋体" w:hAnsi="宋体"/>
          <w:kern w:val="0"/>
        </w:rPr>
        <w:t>（2）有效性原则。通过科学的内控手段和方法，建立合理的内控程序，维护内控制度的有效执行。</w:t>
      </w:r>
    </w:p>
    <w:p>
      <w:pPr>
        <w:spacing w:line="360" w:lineRule="auto"/>
        <w:ind w:firstLine="420" w:firstLineChars="200"/>
        <w:rPr>
          <w:rFonts w:ascii="宋体" w:hAnsi="宋体"/>
          <w:kern w:val="0"/>
        </w:rPr>
      </w:pPr>
      <w:r>
        <w:rPr>
          <w:rFonts w:hint="eastAsia" w:ascii="宋体" w:hAnsi="宋体"/>
          <w:kern w:val="0"/>
        </w:rPr>
        <w:t>（3）独立性原则。基金管理人各机构、部门和岗位职责应当保持相对独立，基金管理人基金资产、自有资产、其他资产的运作应当分离。</w:t>
      </w:r>
    </w:p>
    <w:p>
      <w:pPr>
        <w:spacing w:line="360" w:lineRule="auto"/>
        <w:ind w:firstLine="420" w:firstLineChars="200"/>
        <w:rPr>
          <w:rFonts w:ascii="宋体" w:hAnsi="宋体"/>
          <w:kern w:val="0"/>
        </w:rPr>
      </w:pPr>
      <w:r>
        <w:rPr>
          <w:rFonts w:hint="eastAsia" w:ascii="宋体" w:hAnsi="宋体"/>
          <w:kern w:val="0"/>
        </w:rPr>
        <w:t>（4）相互制约原则。基金管理人内部部门和岗位的设置应当权责分明、相互制衡。</w:t>
      </w:r>
    </w:p>
    <w:p>
      <w:pPr>
        <w:spacing w:line="360" w:lineRule="auto"/>
        <w:ind w:firstLine="420" w:firstLineChars="200"/>
        <w:rPr>
          <w:rFonts w:ascii="宋体" w:hAnsi="宋体"/>
          <w:kern w:val="0"/>
        </w:rPr>
      </w:pPr>
      <w:r>
        <w:rPr>
          <w:rFonts w:hint="eastAsia" w:ascii="宋体" w:hAnsi="宋体"/>
          <w:kern w:val="0"/>
        </w:rPr>
        <w:t>（5）成本效益原则。基金管理人运用科学化的经营管理方法降低运作成本，提高经济效益，以合理的控制成本达到最佳的内部控制效果。</w:t>
      </w:r>
    </w:p>
    <w:p>
      <w:pPr>
        <w:spacing w:line="360" w:lineRule="auto"/>
        <w:ind w:firstLine="420" w:firstLineChars="200"/>
        <w:rPr>
          <w:rFonts w:ascii="宋体" w:hAnsi="宋体"/>
          <w:kern w:val="0"/>
        </w:rPr>
      </w:pPr>
      <w:r>
        <w:rPr>
          <w:rFonts w:hint="eastAsia" w:ascii="宋体" w:hAnsi="宋体"/>
          <w:kern w:val="0"/>
        </w:rPr>
        <w:t>2、内部控制的主要内容</w:t>
      </w:r>
    </w:p>
    <w:p>
      <w:pPr>
        <w:spacing w:line="360" w:lineRule="auto"/>
        <w:ind w:firstLine="420" w:firstLineChars="200"/>
        <w:rPr>
          <w:rFonts w:ascii="宋体" w:hAnsi="宋体"/>
        </w:rPr>
      </w:pPr>
      <w:r>
        <w:rPr>
          <w:rFonts w:hint="eastAsia" w:ascii="宋体" w:hAnsi="宋体"/>
        </w:rPr>
        <w:t>（1）控制环境</w:t>
      </w:r>
    </w:p>
    <w:p>
      <w:pPr>
        <w:spacing w:line="360" w:lineRule="auto"/>
        <w:ind w:firstLine="420" w:firstLineChars="200"/>
        <w:rPr>
          <w:rFonts w:ascii="宋体" w:hAnsi="宋体"/>
        </w:rPr>
      </w:pPr>
      <w:r>
        <w:rPr>
          <w:rFonts w:hint="eastAsia" w:ascii="宋体" w:hAnsi="宋体"/>
        </w:rPr>
        <w:t>公司董事会决定公司发展战略，监督管理层履行职责及经营运作的合法合规情况；董事会下设风险管理委员会、资格审查及薪酬委员会、战略与可持续发展委员会、审计委员会等专门委员会，按照法律法规、公司章程的规定和董事会的授权行使职责。</w:t>
      </w:r>
    </w:p>
    <w:p>
      <w:pPr>
        <w:spacing w:line="360" w:lineRule="auto"/>
        <w:ind w:firstLine="420" w:firstLineChars="200"/>
        <w:rPr>
          <w:rFonts w:ascii="宋体" w:hAnsi="宋体"/>
        </w:rPr>
      </w:pPr>
      <w:r>
        <w:rPr>
          <w:rFonts w:hint="eastAsia" w:ascii="宋体" w:hAnsi="宋体"/>
        </w:rPr>
        <w:t>公司设执行委员会，负责公司日常经营管理活动中的重要决策，组织实施董事会决议。执行委员会下设的投资决策委员会和风险管理与内部控制委员会，就基金投资、风险与内控管理等发表专业意见及建议，投资决策委员会是基金的最高投资决策机构。</w:t>
      </w:r>
    </w:p>
    <w:p>
      <w:pPr>
        <w:spacing w:line="360" w:lineRule="auto"/>
        <w:ind w:firstLine="420" w:firstLineChars="200"/>
        <w:rPr>
          <w:rFonts w:ascii="宋体" w:hAnsi="宋体"/>
        </w:rPr>
      </w:pPr>
      <w:r>
        <w:rPr>
          <w:rFonts w:hint="eastAsia" w:ascii="宋体" w:hAnsi="宋体"/>
        </w:rPr>
        <w:t>公司设立督察长，对董事会负责，负责审查、监督检查公司及其工作人员的经营管理和执业行为合法合规情况及公司内部风险控制情况。督察长发现基金及公司存在重大经营风险或者隐患时，提出处理意见并督促整改，同时督促公司及时向中国证监会报告；公司未及时报告的，直接向中国证监会报告。</w:t>
      </w:r>
    </w:p>
    <w:p>
      <w:pPr>
        <w:spacing w:line="360" w:lineRule="auto"/>
        <w:ind w:firstLine="420" w:firstLineChars="200"/>
        <w:rPr>
          <w:rFonts w:ascii="宋体" w:hAnsi="宋体"/>
        </w:rPr>
      </w:pPr>
      <w:r>
        <w:rPr>
          <w:rFonts w:hint="eastAsia" w:ascii="宋体" w:hAnsi="宋体"/>
        </w:rPr>
        <w:t>（2）风险评估</w:t>
      </w:r>
    </w:p>
    <w:p>
      <w:pPr>
        <w:spacing w:line="360" w:lineRule="auto"/>
        <w:ind w:firstLine="420" w:firstLineChars="200"/>
        <w:rPr>
          <w:rFonts w:ascii="宋体" w:hAnsi="宋体"/>
        </w:rPr>
      </w:pPr>
      <w:r>
        <w:rPr>
          <w:rFonts w:hint="eastAsia" w:ascii="宋体" w:hAnsi="宋体"/>
        </w:rPr>
        <w:t>a）董事会下设的风险管理委员会和督察长对公司内外部风险进行评估；</w:t>
      </w:r>
    </w:p>
    <w:p>
      <w:pPr>
        <w:spacing w:line="360" w:lineRule="auto"/>
        <w:ind w:firstLine="420" w:firstLineChars="200"/>
        <w:rPr>
          <w:rFonts w:ascii="宋体" w:hAnsi="宋体"/>
        </w:rPr>
      </w:pPr>
      <w:r>
        <w:rPr>
          <w:rFonts w:hint="eastAsia" w:ascii="宋体" w:hAnsi="宋体"/>
        </w:rPr>
        <w:t>b）执行委员会下属的风险管理与内部控制委员会负责对公司经营管理中的重大突发性事件和重大危机情况进行评估，制定危机处理方案并监督实施；负责对基金投资和运作中的重大问题和重大事项进行风险评估；</w:t>
      </w:r>
    </w:p>
    <w:p>
      <w:pPr>
        <w:spacing w:line="360" w:lineRule="auto"/>
        <w:ind w:firstLine="420" w:firstLineChars="200"/>
        <w:rPr>
          <w:rFonts w:ascii="宋体" w:hAnsi="宋体"/>
        </w:rPr>
      </w:pPr>
      <w:r>
        <w:rPr>
          <w:rFonts w:hint="eastAsia" w:ascii="宋体" w:hAnsi="宋体"/>
        </w:rPr>
        <w:t>c）各级部门负责对职责范围内的业务所面临的风险进行识别和评估。</w:t>
      </w:r>
    </w:p>
    <w:p>
      <w:pPr>
        <w:spacing w:line="360" w:lineRule="auto"/>
        <w:ind w:firstLine="420" w:firstLineChars="200"/>
        <w:rPr>
          <w:rFonts w:ascii="宋体" w:hAnsi="宋体"/>
        </w:rPr>
      </w:pPr>
      <w:r>
        <w:rPr>
          <w:rFonts w:hint="eastAsia" w:ascii="宋体" w:hAnsi="宋体"/>
        </w:rPr>
        <w:t>（3）控制活动</w:t>
      </w:r>
    </w:p>
    <w:p>
      <w:pPr>
        <w:spacing w:line="360" w:lineRule="auto"/>
        <w:ind w:firstLine="420" w:firstLineChars="200"/>
        <w:rPr>
          <w:rFonts w:ascii="宋体" w:hAnsi="宋体"/>
        </w:rPr>
      </w:pPr>
      <w:r>
        <w:rPr>
          <w:rFonts w:hint="eastAsia" w:ascii="宋体" w:hAnsi="宋体"/>
        </w:rPr>
        <w:t>控制活动包括自我控制、职责分离、监察稽核、实物控制、业绩评价、严格授权、资产分离等政策、程序或措施。</w:t>
      </w:r>
    </w:p>
    <w:p>
      <w:pPr>
        <w:spacing w:line="360" w:lineRule="auto"/>
        <w:ind w:firstLine="420" w:firstLineChars="200"/>
        <w:rPr>
          <w:rFonts w:ascii="宋体" w:hAnsi="宋体"/>
        </w:rPr>
      </w:pPr>
      <w:r>
        <w:rPr>
          <w:rFonts w:hint="eastAsia" w:ascii="宋体" w:hAnsi="宋体"/>
        </w:rPr>
        <w:t>控制活动体现为：自我控制以各岗位的目标责任制为基础，是内部控制的第一道防线，在公司内部建立科学、严格的岗位分离制度、授权制度、资产分离制度等，在相关部门和相关岗位之间建立重要业务处理凭据传递和信息沟通制度；风险管理、内控合规以及支持职能部门为内部控制的第二道防线，对一道防线负有监督责任；稽核审计部门是内部控制的第三道防线，通过专项稽核审计、内部控制有效性评价等工作，对第一道、第二道防线履职情况进行独立客观的监督、评价。</w:t>
      </w:r>
    </w:p>
    <w:p>
      <w:pPr>
        <w:spacing w:line="360" w:lineRule="auto"/>
        <w:ind w:firstLine="420" w:firstLineChars="200"/>
        <w:rPr>
          <w:rFonts w:ascii="宋体" w:hAnsi="宋体"/>
        </w:rPr>
      </w:pPr>
      <w:r>
        <w:rPr>
          <w:rFonts w:hint="eastAsia" w:ascii="宋体" w:hAnsi="宋体"/>
        </w:rPr>
        <w:t>（4）信息与沟通</w:t>
      </w:r>
    </w:p>
    <w:p>
      <w:pPr>
        <w:spacing w:line="360" w:lineRule="auto"/>
        <w:ind w:firstLine="420" w:firstLineChars="200"/>
        <w:rPr>
          <w:rFonts w:ascii="宋体" w:hAnsi="宋体"/>
        </w:rPr>
      </w:pPr>
      <w:r>
        <w:rPr>
          <w:rFonts w:hint="eastAsia" w:ascii="宋体" w:hAnsi="宋体"/>
        </w:rPr>
        <w:t>公司建立双向的信息交流途径，形成了自上而下的信息传播渠道和自下而上的信息呈报渠道。通过建立有效的信息交流渠道，保证了公司员工及各级管理人员可以充分了解与其职责相关的信息，并及时送达适当的人员进行处理。公司根据组织架构和授权制度，建立了清晰的业务报告系统。</w:t>
      </w:r>
    </w:p>
    <w:p>
      <w:pPr>
        <w:spacing w:line="360" w:lineRule="auto"/>
        <w:ind w:firstLine="420" w:firstLineChars="200"/>
        <w:rPr>
          <w:rFonts w:ascii="宋体" w:hAnsi="宋体"/>
        </w:rPr>
      </w:pPr>
      <w:r>
        <w:rPr>
          <w:rFonts w:hint="eastAsia" w:ascii="宋体" w:hAnsi="宋体"/>
        </w:rPr>
        <w:t>（5）内部监控</w:t>
      </w:r>
    </w:p>
    <w:p>
      <w:pPr>
        <w:spacing w:line="360" w:lineRule="auto"/>
        <w:ind w:firstLine="420" w:firstLineChars="200"/>
        <w:rPr>
          <w:rFonts w:ascii="宋体" w:hAnsi="宋体"/>
        </w:rPr>
      </w:pPr>
      <w:r>
        <w:rPr>
          <w:rFonts w:hint="eastAsia" w:ascii="宋体" w:hAnsi="宋体"/>
        </w:rPr>
        <w:t>内部监控由风险管理委员会、督察长、内控稽核部门在各自的职权范围内开展，检查、评价公司内部控制制度合理性、完备性和有效性，监督内部控制制度的执行情况，揭示公司内部管理及基金运作中的风险，及时提出改进意见，促进公司内部管理制度有效地执行。</w:t>
      </w:r>
    </w:p>
    <w:p>
      <w:pPr>
        <w:spacing w:line="360" w:lineRule="auto"/>
        <w:ind w:firstLine="420" w:firstLineChars="200"/>
        <w:rPr>
          <w:rFonts w:ascii="宋体" w:hAnsi="宋体"/>
        </w:rPr>
      </w:pPr>
      <w:r>
        <w:rPr>
          <w:rFonts w:hint="eastAsia" w:ascii="宋体" w:hAnsi="宋体"/>
        </w:rPr>
        <w:t>3、基金管理人关于内部控制的声明</w:t>
      </w:r>
    </w:p>
    <w:p>
      <w:pPr>
        <w:spacing w:line="360" w:lineRule="auto"/>
        <w:ind w:firstLine="420" w:firstLineChars="200"/>
        <w:rPr>
          <w:rFonts w:ascii="宋体" w:hAnsi="宋体"/>
        </w:rPr>
      </w:pPr>
      <w:r>
        <w:rPr>
          <w:rFonts w:hint="eastAsia" w:ascii="宋体" w:hAnsi="宋体"/>
        </w:rPr>
        <w:t>（1）基金管理人确知建立、实施和维持内部控制制度是本公司董事会及管理层的责任；</w:t>
      </w:r>
    </w:p>
    <w:p>
      <w:pPr>
        <w:spacing w:line="360" w:lineRule="auto"/>
        <w:ind w:firstLine="420" w:firstLineChars="200"/>
        <w:rPr>
          <w:rFonts w:ascii="宋体" w:hAnsi="宋体"/>
        </w:rPr>
      </w:pPr>
      <w:r>
        <w:rPr>
          <w:rFonts w:hint="eastAsia" w:ascii="宋体" w:hAnsi="宋体"/>
        </w:rPr>
        <w:t>（2）上述关于内部控制的披露真实、准确；</w:t>
      </w:r>
    </w:p>
    <w:p>
      <w:pPr>
        <w:spacing w:line="360" w:lineRule="auto"/>
        <w:ind w:firstLine="420" w:firstLineChars="200"/>
        <w:rPr>
          <w:rFonts w:ascii="宋体" w:hAnsi="宋体"/>
        </w:rPr>
      </w:pPr>
      <w:r>
        <w:rPr>
          <w:rFonts w:hint="eastAsia" w:ascii="宋体" w:hAnsi="宋体"/>
        </w:rPr>
        <w:t>（3）本公司承诺将根据市场环境的变化及公司的发展不断完善内部控制制度。</w:t>
      </w:r>
    </w:p>
    <w:p>
      <w:pPr>
        <w:pStyle w:val="4"/>
        <w:spacing w:before="400" w:after="400"/>
        <w:rPr>
          <w:rFonts w:hAnsi="宋体"/>
          <w:sz w:val="32"/>
        </w:rPr>
      </w:pPr>
      <w:r>
        <w:rPr>
          <w:rFonts w:hAnsi="宋体"/>
        </w:rPr>
        <w:br w:type="page"/>
      </w:r>
      <w:bookmarkStart w:id="63" w:name="c"/>
      <w:bookmarkEnd w:id="63"/>
      <w:bookmarkStart w:id="64" w:name="_Toc116052784"/>
      <w:bookmarkStart w:id="65" w:name="_Toc106863366"/>
      <w:bookmarkStart w:id="66" w:name="_Toc106894677"/>
      <w:bookmarkStart w:id="67" w:name="_Toc203357151"/>
      <w:bookmarkStart w:id="68" w:name="_Toc106894875"/>
      <w:bookmarkStart w:id="69" w:name="_Toc55987060"/>
      <w:bookmarkStart w:id="70" w:name="_Toc203806287"/>
      <w:bookmarkStart w:id="71" w:name="_Toc106862755"/>
      <w:bookmarkStart w:id="72" w:name="_Toc116052550"/>
      <w:bookmarkStart w:id="73" w:name="_Toc106961481"/>
      <w:bookmarkStart w:id="74" w:name="_Toc525454754"/>
      <w:bookmarkStart w:id="75" w:name="_Toc63171745"/>
      <w:bookmarkStart w:id="76" w:name="_Toc530223179"/>
      <w:r>
        <w:rPr>
          <w:rFonts w:hAnsi="宋体"/>
          <w:sz w:val="32"/>
        </w:rPr>
        <w:t>四、基金托管人</w:t>
      </w:r>
      <w:bookmarkEnd w:id="64"/>
      <w:bookmarkEnd w:id="65"/>
      <w:bookmarkEnd w:id="66"/>
      <w:bookmarkEnd w:id="67"/>
      <w:bookmarkEnd w:id="68"/>
      <w:bookmarkEnd w:id="69"/>
      <w:bookmarkEnd w:id="70"/>
      <w:bookmarkEnd w:id="71"/>
      <w:bookmarkEnd w:id="72"/>
      <w:bookmarkEnd w:id="73"/>
    </w:p>
    <w:p>
      <w:pPr>
        <w:spacing w:line="360" w:lineRule="auto"/>
        <w:ind w:firstLine="420" w:firstLineChars="200"/>
        <w:rPr>
          <w:rFonts w:hint="eastAsia" w:ascii="宋体" w:hAnsi="宋体"/>
        </w:rPr>
      </w:pPr>
      <w:bookmarkStart w:id="77" w:name="_Toc116971120"/>
      <w:bookmarkStart w:id="78" w:name="_Toc116970834"/>
      <w:bookmarkStart w:id="79" w:name="_Toc116971000"/>
      <w:r>
        <w:rPr>
          <w:rFonts w:hint="eastAsia" w:ascii="宋体" w:hAnsi="宋体"/>
        </w:rPr>
        <w:t>（一）基金托管人情况</w:t>
      </w:r>
    </w:p>
    <w:p>
      <w:pPr>
        <w:spacing w:line="360" w:lineRule="auto"/>
        <w:ind w:firstLine="420" w:firstLineChars="200"/>
        <w:rPr>
          <w:rFonts w:hint="eastAsia" w:ascii="宋体" w:hAnsi="宋体"/>
        </w:rPr>
      </w:pPr>
      <w:r>
        <w:rPr>
          <w:rFonts w:hint="eastAsia" w:ascii="宋体" w:hAnsi="宋体"/>
        </w:rPr>
        <w:t>1、基本情况</w:t>
      </w:r>
    </w:p>
    <w:p>
      <w:pPr>
        <w:spacing w:line="360" w:lineRule="auto"/>
        <w:ind w:firstLine="420" w:firstLineChars="200"/>
        <w:rPr>
          <w:rFonts w:hint="eastAsia" w:ascii="宋体" w:hAnsi="宋体"/>
        </w:rPr>
      </w:pPr>
      <w:r>
        <w:rPr>
          <w:rFonts w:hint="eastAsia" w:ascii="宋体" w:hAnsi="宋体"/>
        </w:rPr>
        <w:t>名称：苏州银行股份有限公司（简称“苏州银行”）</w:t>
      </w:r>
    </w:p>
    <w:p>
      <w:pPr>
        <w:spacing w:line="360" w:lineRule="auto"/>
        <w:ind w:firstLine="420" w:firstLineChars="200"/>
        <w:rPr>
          <w:rFonts w:hint="eastAsia" w:ascii="宋体" w:hAnsi="宋体"/>
        </w:rPr>
      </w:pPr>
      <w:r>
        <w:rPr>
          <w:rFonts w:hint="eastAsia" w:ascii="宋体" w:hAnsi="宋体"/>
        </w:rPr>
        <w:t>注册地址：中国（江苏）自由贸易试验区苏州片区苏州工业园区钟园路728号</w:t>
      </w:r>
    </w:p>
    <w:p>
      <w:pPr>
        <w:spacing w:line="360" w:lineRule="auto"/>
        <w:ind w:firstLine="420" w:firstLineChars="200"/>
        <w:rPr>
          <w:rFonts w:hint="eastAsia" w:ascii="宋体" w:hAnsi="宋体"/>
        </w:rPr>
      </w:pPr>
      <w:r>
        <w:rPr>
          <w:rFonts w:hint="eastAsia" w:ascii="宋体" w:hAnsi="宋体"/>
        </w:rPr>
        <w:t>办公地址：中国（江苏）自由贸易试验区苏州片区苏州工业园区钟园路728号</w:t>
      </w:r>
    </w:p>
    <w:p>
      <w:pPr>
        <w:spacing w:line="360" w:lineRule="auto"/>
        <w:ind w:firstLine="420" w:firstLineChars="200"/>
        <w:rPr>
          <w:rFonts w:hint="eastAsia" w:ascii="宋体" w:hAnsi="宋体"/>
        </w:rPr>
      </w:pPr>
      <w:r>
        <w:rPr>
          <w:rFonts w:hint="eastAsia" w:ascii="宋体" w:hAnsi="宋体"/>
        </w:rPr>
        <w:t xml:space="preserve">法定代表人：崔庆军  </w:t>
      </w:r>
    </w:p>
    <w:p>
      <w:pPr>
        <w:spacing w:line="360" w:lineRule="auto"/>
        <w:ind w:firstLine="420" w:firstLineChars="200"/>
        <w:rPr>
          <w:rFonts w:hint="eastAsia" w:ascii="宋体" w:hAnsi="宋体"/>
        </w:rPr>
      </w:pPr>
      <w:r>
        <w:rPr>
          <w:rFonts w:hint="eastAsia" w:ascii="宋体" w:hAnsi="宋体"/>
        </w:rPr>
        <w:t>成立日期：2004年12月24日</w:t>
      </w:r>
    </w:p>
    <w:p>
      <w:pPr>
        <w:spacing w:line="360" w:lineRule="auto"/>
        <w:ind w:firstLine="420" w:firstLineChars="200"/>
        <w:rPr>
          <w:rFonts w:hint="eastAsia" w:ascii="宋体" w:hAnsi="宋体"/>
        </w:rPr>
      </w:pPr>
      <w:r>
        <w:rPr>
          <w:rFonts w:hint="eastAsia" w:ascii="宋体" w:hAnsi="宋体"/>
        </w:rPr>
        <w:t>批准设立机关和批准设立文号：中国银监会银监复[2010]440号</w:t>
      </w:r>
    </w:p>
    <w:p>
      <w:pPr>
        <w:spacing w:line="360" w:lineRule="auto"/>
        <w:ind w:firstLine="420" w:firstLineChars="200"/>
        <w:rPr>
          <w:rFonts w:hint="eastAsia" w:ascii="宋体" w:hAnsi="宋体"/>
        </w:rPr>
      </w:pPr>
      <w:r>
        <w:rPr>
          <w:rFonts w:hint="eastAsia" w:ascii="宋体" w:hAnsi="宋体"/>
        </w:rPr>
        <w:t>基金托管业务批准文号：中国证监会证监许可[2022]545号</w:t>
      </w:r>
    </w:p>
    <w:p>
      <w:pPr>
        <w:spacing w:line="360" w:lineRule="auto"/>
        <w:ind w:firstLine="420" w:firstLineChars="200"/>
        <w:rPr>
          <w:rFonts w:hint="eastAsia" w:ascii="宋体" w:hAnsi="宋体"/>
        </w:rPr>
      </w:pPr>
      <w:r>
        <w:rPr>
          <w:rFonts w:hint="eastAsia" w:ascii="宋体" w:hAnsi="宋体"/>
        </w:rPr>
        <w:t>组织形式：股份有限公司</w:t>
      </w:r>
    </w:p>
    <w:p>
      <w:pPr>
        <w:spacing w:line="360" w:lineRule="auto"/>
        <w:ind w:firstLine="420" w:firstLineChars="200"/>
        <w:rPr>
          <w:rFonts w:hint="eastAsia" w:ascii="宋体" w:hAnsi="宋体"/>
        </w:rPr>
      </w:pPr>
      <w:r>
        <w:rPr>
          <w:rFonts w:hint="eastAsia" w:ascii="宋体" w:hAnsi="宋体"/>
        </w:rPr>
        <w:t>注册资本：366672.4356万元人民币</w:t>
      </w:r>
    </w:p>
    <w:p>
      <w:pPr>
        <w:spacing w:line="360" w:lineRule="auto"/>
        <w:ind w:firstLine="420" w:firstLineChars="200"/>
        <w:rPr>
          <w:rFonts w:hint="eastAsia" w:ascii="宋体" w:hAnsi="宋体"/>
        </w:rPr>
      </w:pPr>
      <w:r>
        <w:rPr>
          <w:rFonts w:hint="eastAsia" w:ascii="宋体" w:hAnsi="宋体"/>
        </w:rPr>
        <w:t>存续期间：持续经营</w:t>
      </w:r>
    </w:p>
    <w:p>
      <w:pPr>
        <w:spacing w:line="360" w:lineRule="auto"/>
        <w:ind w:firstLine="420" w:firstLineChars="200"/>
        <w:rPr>
          <w:rFonts w:hint="eastAsia" w:ascii="宋体" w:hAnsi="宋体"/>
        </w:rPr>
      </w:pPr>
      <w:r>
        <w:rPr>
          <w:rFonts w:hint="eastAsia" w:ascii="宋体" w:hAnsi="宋体"/>
        </w:rPr>
        <w:t>联系人：张旭东</w:t>
      </w:r>
    </w:p>
    <w:p>
      <w:pPr>
        <w:spacing w:line="360" w:lineRule="auto"/>
        <w:ind w:firstLine="420" w:firstLineChars="200"/>
        <w:rPr>
          <w:rFonts w:hint="eastAsia" w:ascii="宋体" w:hAnsi="宋体"/>
        </w:rPr>
      </w:pPr>
      <w:r>
        <w:rPr>
          <w:rFonts w:hint="eastAsia" w:ascii="宋体" w:hAnsi="宋体"/>
        </w:rPr>
        <w:t>联系电话：0512-69868888-91013</w:t>
      </w:r>
    </w:p>
    <w:p>
      <w:pPr>
        <w:spacing w:line="360" w:lineRule="auto"/>
        <w:ind w:firstLine="420" w:firstLineChars="200"/>
        <w:rPr>
          <w:rFonts w:hint="eastAsia" w:ascii="宋体" w:hAnsi="宋体"/>
        </w:rPr>
      </w:pPr>
      <w:r>
        <w:rPr>
          <w:rFonts w:hint="eastAsia" w:ascii="宋体" w:hAnsi="宋体"/>
        </w:rPr>
        <w:t>2、主要人员情况</w:t>
      </w:r>
    </w:p>
    <w:p>
      <w:pPr>
        <w:spacing w:line="360" w:lineRule="auto"/>
        <w:ind w:firstLine="420" w:firstLineChars="200"/>
        <w:rPr>
          <w:rFonts w:hint="eastAsia" w:ascii="宋体" w:hAnsi="宋体"/>
        </w:rPr>
      </w:pPr>
      <w:r>
        <w:rPr>
          <w:rFonts w:hint="eastAsia" w:ascii="宋体" w:hAnsi="宋体"/>
        </w:rPr>
        <w:t>苏州银行资产托管部现有员工32名，其中高级管理人员3名，均具有基金从业资格，通过证券投资基金行业高级管理人员证券投资法律知识考试，符合高级管理人员的任职法定条件。部门运营人员均取得基金从业资格，从事基金清算、核算、投资监督、信息披露、内部稽核监控等业务的执业人员超过10人，其中，核算、监督等核心岗位人员具有2年以上证券投资基金托管业务从业经验。</w:t>
      </w:r>
    </w:p>
    <w:p>
      <w:pPr>
        <w:spacing w:line="360" w:lineRule="auto"/>
        <w:ind w:firstLine="420" w:firstLineChars="200"/>
        <w:rPr>
          <w:rFonts w:hint="eastAsia" w:ascii="宋体" w:hAnsi="宋体"/>
        </w:rPr>
      </w:pPr>
      <w:r>
        <w:rPr>
          <w:rFonts w:hint="eastAsia" w:ascii="宋体" w:hAnsi="宋体"/>
        </w:rPr>
        <w:t>3、基金托管业务经营情况</w:t>
      </w:r>
    </w:p>
    <w:p>
      <w:pPr>
        <w:spacing w:line="360" w:lineRule="auto"/>
        <w:ind w:firstLine="420" w:firstLineChars="200"/>
        <w:rPr>
          <w:rFonts w:hint="eastAsia" w:ascii="宋体" w:hAnsi="宋体"/>
        </w:rPr>
      </w:pPr>
      <w:r>
        <w:rPr>
          <w:rFonts w:hint="eastAsia" w:ascii="宋体" w:hAnsi="宋体"/>
        </w:rPr>
        <w:t>苏州银行于2022年3月14日收到中国证监会出具的《关于核准苏州银行股份有限公司证券投资基金托管资格的批复》（证监许可〔2022〕545号），核准苏州银行证券投资基金托管业务资格，2022年11月底获颁《经营证券期货业务许可证》，可正式开展证券投资基金托管业务。苏州银行拥有较为严密科学的风控体系、规范的管理模式、先进的运营系统和专业的服务团队，能严格履行基金托管人的职责，为广大投资者、金融资产管理机构和企业客户提供安全、高效、专业的托管服务。</w:t>
      </w:r>
    </w:p>
    <w:p>
      <w:pPr>
        <w:spacing w:line="360" w:lineRule="auto"/>
        <w:ind w:firstLine="420" w:firstLineChars="200"/>
        <w:rPr>
          <w:rFonts w:hint="eastAsia" w:ascii="宋体" w:hAnsi="宋体"/>
        </w:rPr>
      </w:pPr>
      <w:r>
        <w:rPr>
          <w:rFonts w:hint="eastAsia" w:ascii="宋体" w:hAnsi="宋体"/>
          <w:lang w:eastAsia="zh-CN"/>
        </w:rPr>
        <w:t>（</w:t>
      </w:r>
      <w:r>
        <w:rPr>
          <w:rFonts w:hint="eastAsia" w:ascii="宋体" w:hAnsi="宋体"/>
        </w:rPr>
        <w:t>二</w:t>
      </w:r>
      <w:r>
        <w:rPr>
          <w:rFonts w:hint="eastAsia" w:ascii="宋体" w:hAnsi="宋体"/>
          <w:lang w:eastAsia="zh-CN"/>
        </w:rPr>
        <w:t>）</w:t>
      </w:r>
      <w:r>
        <w:rPr>
          <w:rFonts w:hint="eastAsia" w:ascii="宋体" w:hAnsi="宋体"/>
        </w:rPr>
        <w:t>基金托管人的内部控制制度</w:t>
      </w:r>
    </w:p>
    <w:p>
      <w:pPr>
        <w:spacing w:line="360" w:lineRule="auto"/>
        <w:ind w:firstLine="420" w:firstLineChars="200"/>
        <w:rPr>
          <w:rFonts w:hint="eastAsia" w:ascii="宋体" w:hAnsi="宋体"/>
        </w:rPr>
      </w:pPr>
      <w:r>
        <w:rPr>
          <w:rFonts w:hint="eastAsia" w:ascii="宋体" w:hAnsi="宋体"/>
        </w:rPr>
        <w:t>1、制订全面的托管业务管理制度</w:t>
      </w:r>
    </w:p>
    <w:p>
      <w:pPr>
        <w:spacing w:line="360" w:lineRule="auto"/>
        <w:ind w:firstLine="420" w:firstLineChars="200"/>
        <w:rPr>
          <w:rFonts w:hint="eastAsia" w:ascii="宋体" w:hAnsi="宋体"/>
        </w:rPr>
      </w:pPr>
      <w:r>
        <w:rPr>
          <w:rFonts w:hint="eastAsia" w:ascii="宋体" w:hAnsi="宋体"/>
        </w:rPr>
        <w:t>依据法律法规，结合行业成熟经验和自身实际情况，苏州银行制定了《苏州银行证券投资基金托管业务管理办法》、《苏州银行基金托管业务风险管理办法》、《苏州银行基金托管业务内部控制管理办法》、《苏州银行基金托管业务突发事件应急管理办法》、《苏州银行基金托管业务重大可疑情况报告操作规程》、《苏州银行资产托管业务信息管理办法》、《苏州银行基金托管业务信息披露管理办法》、《苏州银行基金托管业务档案管理办法》、《苏州银行基金托管业务保密管理办法》、《苏州银行基金托管业务准入管理办法》、《苏州银行基金托管业务从业人员管理办法》等基础制度，以及《苏州银行资产托管账户管理办法》、《苏州银行基金托管业务资金清算管理办法》、《苏州银行基金托管业务估值核算管理办法》、《苏州银行基金托管业务投资监督管理办法》等具体业务流程管理制度。</w:t>
      </w:r>
    </w:p>
    <w:p>
      <w:pPr>
        <w:spacing w:line="360" w:lineRule="auto"/>
        <w:ind w:firstLine="420" w:firstLineChars="200"/>
        <w:rPr>
          <w:rFonts w:hint="eastAsia" w:ascii="宋体" w:hAnsi="宋体"/>
        </w:rPr>
      </w:pPr>
      <w:r>
        <w:rPr>
          <w:rFonts w:hint="eastAsia" w:ascii="宋体" w:hAnsi="宋体"/>
        </w:rPr>
        <w:t>上述制度规程，覆盖了苏州银行作为基金托管人，为基金投资人提供托管财产保管服务所涉及的各项业务环节，明确了从事托管财产保管工作的相关岗位人员的行为规范、基本职责、操作要求，确保托管财产项下现金资产、证券资产、实物资产等各类托管财产保管工作的合规、有序开展。</w:t>
      </w:r>
    </w:p>
    <w:p>
      <w:pPr>
        <w:spacing w:line="360" w:lineRule="auto"/>
        <w:ind w:firstLine="420" w:firstLineChars="200"/>
        <w:rPr>
          <w:rFonts w:hint="eastAsia" w:ascii="宋体" w:hAnsi="宋体"/>
        </w:rPr>
      </w:pPr>
      <w:r>
        <w:rPr>
          <w:rFonts w:hint="eastAsia" w:ascii="宋体" w:hAnsi="宋体"/>
        </w:rPr>
        <w:t>2、建立了多层次的内部控制机制</w:t>
      </w:r>
    </w:p>
    <w:p>
      <w:pPr>
        <w:spacing w:line="360" w:lineRule="auto"/>
        <w:ind w:firstLine="420" w:firstLineChars="200"/>
        <w:rPr>
          <w:rFonts w:hint="eastAsia" w:ascii="宋体" w:hAnsi="宋体"/>
        </w:rPr>
      </w:pPr>
      <w:r>
        <w:rPr>
          <w:rFonts w:hint="eastAsia" w:ascii="宋体" w:hAnsi="宋体"/>
        </w:rPr>
        <w:t>董事会是苏州银行基金托管业务的最高决策机构，负责审议和授权开展基金托管业务。高级管理层为基金托管业务最高管理机构，负责根据董事会决议落实基金托管业务的各项工作。包括但不限于：确定基金托管业务的发展目标、经营模式、部门设置及职责，审定基金托管业务发展规划，以及董事会授权的其他事项。资产托管部独立开展基金托管业务，资产托管部总经理为资产托管业务内部控制的全面负责人。资产托管部内设内控稽核中心，配备专职内控稽核人员，依照法律法规及规章制度，对内部控制独立行使稽核监察职权，并直接向资产托管部总经理汇报内控工作情况。全体员工是内部控制的执行人和直接责任人，对各自职责范围内工作承担直接责任。</w:t>
      </w:r>
    </w:p>
    <w:p>
      <w:pPr>
        <w:spacing w:line="360" w:lineRule="auto"/>
        <w:ind w:firstLine="420" w:firstLineChars="200"/>
        <w:rPr>
          <w:rFonts w:hint="eastAsia" w:ascii="宋体" w:hAnsi="宋体"/>
        </w:rPr>
      </w:pPr>
      <w:r>
        <w:rPr>
          <w:rFonts w:hint="eastAsia" w:ascii="宋体" w:hAnsi="宋体"/>
        </w:rPr>
        <w:t>苏州银行持续推进内部控制制度建设，践行标准化要求。在建立健全管理制度的基础上，对制度的执行情况也保持高度关注，不断强化制度执行力度。总行风险管理部负责按照监管要求指导基金托管业务市场风险、操作风险、科技信息风险等各类风险工作的管理工作、相关业务风险指标的制定、以及监测和评估基金托管业务的风险管理水平。总行法律合规部负责对基金托管业务所涉及各业务环节的相关制度、流程及托管协议进行合规审查，负责对基金托管业务的合规性进行监督。总行稽核审计部负责对基金托管业务的制度建设和执行情况进行审计评价。苏州银行制定了《苏州银行基金托管业务内部稽核监控管理办法》，保证基金托管业务合法、合规，保证内部控制制度健全，并监督其执行有效，揭示、控制基金托管业务风险，维护基金财产安全和有效经营。</w:t>
      </w:r>
    </w:p>
    <w:p>
      <w:pPr>
        <w:spacing w:line="360" w:lineRule="auto"/>
        <w:ind w:firstLine="420" w:firstLineChars="200"/>
        <w:rPr>
          <w:rFonts w:hint="eastAsia" w:ascii="宋体" w:hAnsi="宋体"/>
        </w:rPr>
      </w:pPr>
      <w:r>
        <w:rPr>
          <w:rFonts w:hint="eastAsia" w:ascii="宋体" w:hAnsi="宋体"/>
        </w:rPr>
        <w:t>3、建立了严格的内部隔离墙机制</w:t>
      </w:r>
    </w:p>
    <w:p>
      <w:pPr>
        <w:spacing w:line="360" w:lineRule="auto"/>
        <w:ind w:firstLine="420" w:firstLineChars="200"/>
        <w:rPr>
          <w:rFonts w:hint="eastAsia" w:ascii="宋体" w:hAnsi="宋体"/>
        </w:rPr>
      </w:pPr>
      <w:r>
        <w:rPr>
          <w:rFonts w:hint="eastAsia" w:ascii="宋体" w:hAnsi="宋体"/>
        </w:rPr>
        <w:t>基金托管业务与苏州银行现有的资产管理、财富管理、投资银行等现有其他业务保持独立。资产托管部作为苏州银行新设立的总行一级部门，专门负责独立开展基金托管业务运营活动，在经营场所、岗位人员、信息系统、资金账户等方面，实现严格分开、独立运营。</w:t>
      </w:r>
    </w:p>
    <w:p>
      <w:pPr>
        <w:spacing w:line="360" w:lineRule="auto"/>
        <w:ind w:firstLine="420" w:firstLineChars="200"/>
        <w:rPr>
          <w:rFonts w:hint="eastAsia" w:ascii="宋体" w:hAnsi="宋体"/>
        </w:rPr>
      </w:pPr>
      <w:r>
        <w:rPr>
          <w:rFonts w:hint="eastAsia" w:ascii="宋体" w:hAnsi="宋体"/>
          <w:lang w:eastAsia="zh-CN"/>
        </w:rPr>
        <w:t>（</w:t>
      </w:r>
      <w:r>
        <w:rPr>
          <w:rFonts w:hint="eastAsia" w:ascii="宋体" w:hAnsi="宋体"/>
        </w:rPr>
        <w:t>三</w:t>
      </w:r>
      <w:r>
        <w:rPr>
          <w:rFonts w:hint="eastAsia" w:ascii="宋体" w:hAnsi="宋体"/>
          <w:lang w:eastAsia="zh-CN"/>
        </w:rPr>
        <w:t>）</w:t>
      </w:r>
      <w:r>
        <w:rPr>
          <w:rFonts w:hint="eastAsia" w:ascii="宋体" w:hAnsi="宋体"/>
        </w:rPr>
        <w:t>基金托管人对基金管理人运作基金进行监督的方法和程序</w:t>
      </w:r>
    </w:p>
    <w:p>
      <w:pPr>
        <w:spacing w:line="360" w:lineRule="auto"/>
        <w:ind w:firstLine="420" w:firstLineChars="200"/>
        <w:rPr>
          <w:rFonts w:hint="eastAsia" w:ascii="宋体" w:hAnsi="宋体"/>
        </w:rPr>
      </w:pPr>
      <w:r>
        <w:rPr>
          <w:rFonts w:hint="eastAsia" w:ascii="宋体" w:hAnsi="宋体"/>
        </w:rPr>
        <w:t>根据《基金法》、基金合同、托管协议和有关法律法规的规定，基金托管人通过监控系统指标设置对投资范围、投资比例、投资限制等进行事后监督，通过审核管理人的投资指令对管理人的事中投资行为进行监督和核查。</w:t>
      </w:r>
      <w:r>
        <w:rPr>
          <w:rFonts w:hint="eastAsia" w:ascii="宋体" w:hAnsi="宋体"/>
        </w:rPr>
        <w:br w:type="textWrapping"/>
      </w:r>
      <w:r>
        <w:rPr>
          <w:rFonts w:hint="eastAsia" w:ascii="宋体" w:hAnsi="宋体"/>
        </w:rPr>
        <w:t xml:space="preserve">    基金托管人发现基金管理人违反《基金法》、基金合同、托管协议或有关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r>
        <w:rPr>
          <w:rFonts w:hint="eastAsia" w:ascii="宋体" w:hAnsi="宋体"/>
        </w:rPr>
        <w:br w:type="textWrapping"/>
      </w:r>
      <w:r>
        <w:rPr>
          <w:rFonts w:hint="eastAsia" w:ascii="宋体" w:hAnsi="宋体"/>
        </w:rPr>
        <w:t xml:space="preserve">    基金托管人发现基金管理人有重大违规行为，应立即报告中国证监会，同时通知基金管理人限期纠正。</w:t>
      </w:r>
    </w:p>
    <w:p>
      <w:pPr>
        <w:pStyle w:val="2"/>
      </w:pPr>
    </w:p>
    <w:bookmarkEnd w:id="77"/>
    <w:bookmarkEnd w:id="78"/>
    <w:bookmarkEnd w:id="79"/>
    <w:p>
      <w:pPr>
        <w:pStyle w:val="4"/>
        <w:spacing w:before="400" w:after="400"/>
        <w:rPr>
          <w:rFonts w:hAnsi="宋体"/>
          <w:sz w:val="32"/>
        </w:rPr>
      </w:pPr>
      <w:bookmarkStart w:id="80" w:name="_Hlt140627910"/>
      <w:bookmarkEnd w:id="80"/>
      <w:bookmarkStart w:id="81" w:name="_Hlt88821694"/>
      <w:bookmarkEnd w:id="81"/>
      <w:r>
        <w:rPr>
          <w:rFonts w:hAnsi="宋体"/>
        </w:rPr>
        <w:br w:type="page"/>
      </w:r>
      <w:bookmarkStart w:id="82" w:name="_Toc203357152"/>
      <w:bookmarkStart w:id="83" w:name="_Toc106961482"/>
      <w:bookmarkStart w:id="84" w:name="_Toc116052785"/>
      <w:bookmarkStart w:id="85" w:name="_Toc106863367"/>
      <w:bookmarkStart w:id="86" w:name="_Toc106862756"/>
      <w:bookmarkStart w:id="87" w:name="_Toc203806288"/>
      <w:bookmarkStart w:id="88" w:name="_Toc106894876"/>
      <w:bookmarkStart w:id="89" w:name="_Toc106894678"/>
      <w:bookmarkStart w:id="90" w:name="_Toc55987061"/>
      <w:bookmarkStart w:id="91" w:name="_Toc116052551"/>
      <w:r>
        <w:rPr>
          <w:rFonts w:hAnsi="宋体"/>
          <w:sz w:val="32"/>
        </w:rPr>
        <w:t>五、相关服务机构</w:t>
      </w:r>
      <w:bookmarkEnd w:id="74"/>
      <w:bookmarkEnd w:id="75"/>
      <w:bookmarkEnd w:id="76"/>
      <w:bookmarkEnd w:id="82"/>
      <w:bookmarkEnd w:id="83"/>
      <w:bookmarkEnd w:id="84"/>
      <w:bookmarkEnd w:id="85"/>
      <w:bookmarkEnd w:id="86"/>
      <w:bookmarkEnd w:id="87"/>
      <w:bookmarkEnd w:id="88"/>
      <w:bookmarkEnd w:id="89"/>
      <w:bookmarkEnd w:id="90"/>
      <w:bookmarkEnd w:id="91"/>
    </w:p>
    <w:p>
      <w:pPr>
        <w:spacing w:line="360" w:lineRule="auto"/>
        <w:ind w:firstLine="420" w:firstLineChars="200"/>
        <w:rPr>
          <w:rFonts w:ascii="宋体" w:hAnsi="宋体"/>
        </w:rPr>
      </w:pPr>
      <w:r>
        <w:rPr>
          <w:rFonts w:ascii="宋体" w:hAnsi="宋体"/>
        </w:rPr>
        <w:t>（一）基金份额</w:t>
      </w:r>
      <w:r>
        <w:rPr>
          <w:rFonts w:hint="eastAsia" w:ascii="宋体" w:hAnsi="宋体"/>
        </w:rPr>
        <w:t>销</w:t>
      </w:r>
      <w:r>
        <w:rPr>
          <w:rFonts w:ascii="宋体" w:hAnsi="宋体"/>
        </w:rPr>
        <w:t>售机构</w:t>
      </w:r>
    </w:p>
    <w:p>
      <w:pPr>
        <w:spacing w:line="360" w:lineRule="auto"/>
        <w:ind w:firstLine="420" w:firstLineChars="200"/>
        <w:rPr>
          <w:rFonts w:ascii="宋体" w:hAnsi="宋体"/>
        </w:rPr>
      </w:pPr>
      <w:r>
        <w:rPr>
          <w:rFonts w:ascii="宋体" w:hAnsi="宋体"/>
        </w:rPr>
        <w:t>1</w:t>
      </w:r>
      <w:r>
        <w:rPr>
          <w:rFonts w:hint="eastAsia" w:ascii="宋体" w:hAnsi="宋体"/>
        </w:rPr>
        <w:t>、</w:t>
      </w:r>
      <w:r>
        <w:rPr>
          <w:rFonts w:ascii="宋体" w:hAnsi="宋体"/>
        </w:rPr>
        <w:t>直销</w:t>
      </w:r>
      <w:r>
        <w:rPr>
          <w:rFonts w:hint="eastAsia" w:ascii="宋体" w:hAnsi="宋体"/>
        </w:rPr>
        <w:t>柜台</w:t>
      </w:r>
    </w:p>
    <w:p>
      <w:pPr>
        <w:spacing w:line="360" w:lineRule="auto"/>
        <w:ind w:firstLine="420" w:firstLineChars="200"/>
        <w:rPr>
          <w:rFonts w:ascii="宋体" w:hAnsi="宋体"/>
        </w:rPr>
      </w:pPr>
      <w:r>
        <w:rPr>
          <w:rFonts w:ascii="宋体" w:hAnsi="宋体"/>
        </w:rPr>
        <w:t>名    称：工银瑞信基金管理有限公司</w:t>
      </w:r>
    </w:p>
    <w:p>
      <w:pPr>
        <w:spacing w:line="360" w:lineRule="auto"/>
        <w:ind w:firstLine="420" w:firstLineChars="200"/>
        <w:rPr>
          <w:rFonts w:ascii="宋体" w:hAnsi="宋体"/>
        </w:rPr>
      </w:pPr>
      <w:r>
        <w:rPr>
          <w:rFonts w:ascii="宋体" w:hAnsi="宋体"/>
        </w:rPr>
        <w:t>注册地址：</w:t>
      </w:r>
      <w:r>
        <w:rPr>
          <w:rFonts w:hint="eastAsia" w:ascii="宋体" w:hAnsi="宋体"/>
        </w:rPr>
        <w:t>北京市西城区金融大街5号、甲5号9层甲5号901</w:t>
      </w:r>
    </w:p>
    <w:p>
      <w:pPr>
        <w:spacing w:line="360" w:lineRule="auto"/>
        <w:ind w:firstLine="420" w:firstLineChars="200"/>
        <w:rPr>
          <w:rFonts w:ascii="宋体" w:hAnsi="宋体"/>
        </w:rPr>
      </w:pPr>
      <w:r>
        <w:rPr>
          <w:rFonts w:hint="eastAsia" w:ascii="宋体" w:hAnsi="宋体"/>
        </w:rPr>
        <w:t>办公地址：北京市西城区金融大街</w:t>
      </w:r>
      <w:r>
        <w:rPr>
          <w:rFonts w:ascii="宋体" w:hAnsi="宋体"/>
        </w:rPr>
        <w:t>5号新盛大厦A座6-9层</w:t>
      </w:r>
    </w:p>
    <w:p>
      <w:pPr>
        <w:spacing w:line="360" w:lineRule="auto"/>
        <w:ind w:firstLine="420" w:firstLineChars="200"/>
        <w:rPr>
          <w:rFonts w:ascii="宋体" w:hAnsi="宋体"/>
        </w:rPr>
      </w:pPr>
      <w:r>
        <w:rPr>
          <w:rFonts w:ascii="宋体" w:hAnsi="宋体"/>
        </w:rPr>
        <w:t>法定代表人：</w:t>
      </w:r>
      <w:r>
        <w:rPr>
          <w:rFonts w:hint="eastAsia" w:ascii="宋体" w:hAnsi="宋体"/>
        </w:rPr>
        <w:t>赵桂才</w:t>
      </w:r>
    </w:p>
    <w:p>
      <w:pPr>
        <w:spacing w:line="360" w:lineRule="auto"/>
        <w:ind w:firstLine="420" w:firstLineChars="200"/>
        <w:rPr>
          <w:rFonts w:ascii="宋体" w:hAnsi="宋体"/>
        </w:rPr>
      </w:pPr>
      <w:r>
        <w:rPr>
          <w:rFonts w:hint="eastAsia" w:ascii="宋体" w:hAnsi="宋体"/>
        </w:rPr>
        <w:t>全国统一客户服务电话：400-811-9999</w:t>
      </w:r>
    </w:p>
    <w:p>
      <w:pPr>
        <w:spacing w:line="360" w:lineRule="auto"/>
        <w:ind w:firstLine="420" w:firstLineChars="200"/>
        <w:rPr>
          <w:rFonts w:ascii="宋体" w:hAnsi="宋体"/>
        </w:rPr>
      </w:pPr>
      <w:r>
        <w:rPr>
          <w:rFonts w:ascii="宋体" w:hAnsi="宋体"/>
        </w:rPr>
        <w:t>传真：010-</w:t>
      </w:r>
      <w:r>
        <w:rPr>
          <w:rFonts w:hint="eastAsia" w:ascii="宋体" w:hAnsi="宋体"/>
        </w:rPr>
        <w:t>81042588、010-81042599</w:t>
      </w:r>
    </w:p>
    <w:p>
      <w:pPr>
        <w:spacing w:line="360" w:lineRule="auto"/>
        <w:ind w:firstLine="420" w:firstLineChars="200"/>
        <w:rPr>
          <w:rFonts w:ascii="宋体" w:hAnsi="宋体"/>
        </w:rPr>
      </w:pPr>
      <w:r>
        <w:rPr>
          <w:rFonts w:hint="eastAsia" w:ascii="宋体" w:hAnsi="宋体"/>
        </w:rPr>
        <w:t>联系人：王海瑞</w:t>
      </w:r>
    </w:p>
    <w:p>
      <w:pPr>
        <w:spacing w:line="360" w:lineRule="auto"/>
        <w:ind w:firstLine="420" w:firstLineChars="200"/>
        <w:rPr>
          <w:rFonts w:ascii="宋体" w:hAnsi="宋体"/>
        </w:rPr>
      </w:pPr>
      <w:r>
        <w:rPr>
          <w:rFonts w:ascii="宋体" w:hAnsi="宋体"/>
        </w:rPr>
        <w:t>公司网站：www.icbcubs.com.cn</w:t>
      </w:r>
    </w:p>
    <w:p>
      <w:pPr>
        <w:spacing w:line="360" w:lineRule="auto"/>
        <w:ind w:firstLine="420" w:firstLineChars="200"/>
        <w:rPr>
          <w:rFonts w:ascii="宋体" w:hAnsi="宋体"/>
        </w:rPr>
      </w:pPr>
      <w:r>
        <w:rPr>
          <w:rFonts w:hint="eastAsia" w:ascii="宋体" w:hAnsi="宋体"/>
        </w:rPr>
        <w:t>投资者还可通过本公司电子自助交易系统认购本基金。</w:t>
      </w:r>
    </w:p>
    <w:p>
      <w:pPr>
        <w:spacing w:line="360" w:lineRule="auto"/>
        <w:ind w:firstLine="420" w:firstLineChars="200"/>
        <w:rPr>
          <w:rFonts w:ascii="宋体" w:hAnsi="宋体"/>
        </w:rPr>
      </w:pPr>
      <w:r>
        <w:rPr>
          <w:rFonts w:ascii="宋体" w:hAnsi="宋体"/>
        </w:rPr>
        <w:t>2</w:t>
      </w:r>
      <w:r>
        <w:rPr>
          <w:rFonts w:hint="eastAsia" w:ascii="宋体" w:hAnsi="宋体"/>
        </w:rPr>
        <w:t>、非直销销售</w:t>
      </w:r>
      <w:r>
        <w:rPr>
          <w:rFonts w:ascii="宋体" w:hAnsi="宋体"/>
        </w:rPr>
        <w:t>机构</w:t>
      </w:r>
      <w:r>
        <w:rPr>
          <w:rFonts w:hint="eastAsia" w:ascii="宋体" w:hAnsi="宋体"/>
        </w:rPr>
        <w:t>详见本基金的基金份额发售公告。</w:t>
      </w:r>
    </w:p>
    <w:p>
      <w:pPr>
        <w:spacing w:line="360" w:lineRule="auto"/>
        <w:ind w:firstLine="420" w:firstLineChars="200"/>
        <w:rPr>
          <w:rFonts w:ascii="宋体" w:hAnsi="宋体"/>
        </w:rPr>
      </w:pPr>
      <w:r>
        <w:rPr>
          <w:rFonts w:hint="eastAsia" w:ascii="宋体" w:hAnsi="宋体"/>
        </w:rPr>
        <w:t>基金管理人可根据《基金法》、《运作办法》、《销售办法》和本基金基金合同等的规定，选择其他符合要求的机构销售本基金，并及时在基金管理人网站公示。</w:t>
      </w:r>
      <w:bookmarkStart w:id="92" w:name="f"/>
      <w:bookmarkEnd w:id="92"/>
    </w:p>
    <w:p>
      <w:pPr>
        <w:spacing w:line="360" w:lineRule="auto"/>
        <w:ind w:firstLine="420" w:firstLineChars="200"/>
        <w:rPr>
          <w:rFonts w:ascii="宋体" w:hAnsi="宋体"/>
        </w:rPr>
      </w:pPr>
      <w:r>
        <w:rPr>
          <w:rFonts w:ascii="宋体" w:hAnsi="宋体"/>
        </w:rPr>
        <w:t>（二）</w:t>
      </w:r>
      <w:r>
        <w:rPr>
          <w:rFonts w:hint="eastAsia" w:ascii="宋体" w:hAnsi="宋体"/>
        </w:rPr>
        <w:t>基金登记</w:t>
      </w:r>
      <w:r>
        <w:rPr>
          <w:rFonts w:ascii="宋体" w:hAnsi="宋体"/>
        </w:rPr>
        <w:t>机构</w:t>
      </w:r>
    </w:p>
    <w:p>
      <w:pPr>
        <w:spacing w:line="360" w:lineRule="auto"/>
        <w:ind w:firstLine="420" w:firstLineChars="200"/>
        <w:rPr>
          <w:rFonts w:ascii="宋体" w:hAnsi="宋体"/>
        </w:rPr>
      </w:pPr>
      <w:r>
        <w:rPr>
          <w:rFonts w:ascii="宋体" w:hAnsi="宋体"/>
        </w:rPr>
        <w:t>名</w:t>
      </w:r>
      <w:r>
        <w:rPr>
          <w:rFonts w:hint="eastAsia" w:ascii="宋体" w:hAnsi="宋体"/>
        </w:rPr>
        <w:t xml:space="preserve">  </w:t>
      </w:r>
      <w:r>
        <w:rPr>
          <w:rFonts w:ascii="宋体" w:hAnsi="宋体"/>
        </w:rPr>
        <w:t xml:space="preserve">  称：工银瑞信基金管理有限公司</w:t>
      </w:r>
    </w:p>
    <w:p>
      <w:pPr>
        <w:spacing w:line="360" w:lineRule="auto"/>
        <w:ind w:firstLine="420" w:firstLineChars="200"/>
        <w:rPr>
          <w:rFonts w:ascii="宋体" w:hAnsi="宋体"/>
        </w:rPr>
      </w:pPr>
      <w:r>
        <w:rPr>
          <w:rFonts w:hint="eastAsia" w:ascii="宋体" w:hAnsi="宋体"/>
        </w:rPr>
        <w:t>注册地址</w:t>
      </w:r>
      <w:r>
        <w:rPr>
          <w:rFonts w:ascii="宋体" w:hAnsi="宋体"/>
        </w:rPr>
        <w:t>：</w:t>
      </w:r>
      <w:r>
        <w:rPr>
          <w:rFonts w:hint="eastAsia" w:ascii="宋体" w:hAnsi="宋体"/>
        </w:rPr>
        <w:t>北京市西城区金融大街5号、甲5号9层甲5号901</w:t>
      </w:r>
    </w:p>
    <w:p>
      <w:pPr>
        <w:spacing w:line="360" w:lineRule="auto"/>
        <w:ind w:firstLine="420" w:firstLineChars="200"/>
        <w:rPr>
          <w:rFonts w:ascii="宋体" w:hAnsi="宋体"/>
        </w:rPr>
      </w:pPr>
      <w:r>
        <w:rPr>
          <w:rFonts w:hint="eastAsia" w:ascii="宋体" w:hAnsi="宋体"/>
        </w:rPr>
        <w:t>注册登记业务</w:t>
      </w:r>
      <w:r>
        <w:rPr>
          <w:rFonts w:ascii="宋体" w:hAnsi="宋体"/>
        </w:rPr>
        <w:t>办公地址：北京市</w:t>
      </w:r>
      <w:r>
        <w:rPr>
          <w:rFonts w:hint="eastAsia" w:ascii="宋体" w:hAnsi="宋体"/>
        </w:rPr>
        <w:t>西城区金融大街5号新盛大厦A座6层</w:t>
      </w:r>
    </w:p>
    <w:p>
      <w:pPr>
        <w:spacing w:line="360" w:lineRule="auto"/>
        <w:ind w:firstLine="420" w:firstLineChars="200"/>
        <w:rPr>
          <w:rFonts w:ascii="宋体" w:hAnsi="宋体"/>
        </w:rPr>
      </w:pPr>
      <w:r>
        <w:rPr>
          <w:rFonts w:ascii="宋体" w:hAnsi="宋体"/>
        </w:rPr>
        <w:t>法定代表人：</w:t>
      </w:r>
      <w:r>
        <w:rPr>
          <w:rFonts w:hint="eastAsia" w:ascii="宋体" w:hAnsi="宋体"/>
        </w:rPr>
        <w:t>赵桂才</w:t>
      </w:r>
    </w:p>
    <w:p>
      <w:pPr>
        <w:spacing w:line="360" w:lineRule="auto"/>
        <w:ind w:firstLine="420" w:firstLineChars="200"/>
        <w:rPr>
          <w:rFonts w:ascii="宋体" w:hAnsi="宋体"/>
        </w:rPr>
      </w:pPr>
      <w:r>
        <w:rPr>
          <w:rFonts w:hint="eastAsia" w:ascii="宋体" w:hAnsi="宋体"/>
        </w:rPr>
        <w:t>全国统一客户服务电话：400-811-9999</w:t>
      </w:r>
    </w:p>
    <w:p>
      <w:pPr>
        <w:spacing w:line="360" w:lineRule="auto"/>
        <w:ind w:firstLine="420" w:firstLineChars="200"/>
        <w:rPr>
          <w:rFonts w:ascii="宋体" w:hAnsi="宋体"/>
        </w:rPr>
      </w:pPr>
      <w:r>
        <w:rPr>
          <w:rFonts w:hint="eastAsia" w:ascii="宋体" w:hAnsi="宋体"/>
        </w:rPr>
        <w:t>传  真：010-66583100</w:t>
      </w:r>
    </w:p>
    <w:p>
      <w:pPr>
        <w:spacing w:line="360" w:lineRule="auto"/>
        <w:ind w:firstLine="420" w:firstLineChars="200"/>
        <w:rPr>
          <w:rFonts w:hint="default" w:ascii="宋体" w:hAnsi="宋体" w:eastAsia="宋体"/>
          <w:lang w:val="en-US" w:eastAsia="zh-CN"/>
        </w:rPr>
      </w:pPr>
      <w:r>
        <w:rPr>
          <w:rFonts w:ascii="宋体" w:hAnsi="宋体"/>
        </w:rPr>
        <w:t>联系人：</w:t>
      </w:r>
      <w:r>
        <w:rPr>
          <w:rFonts w:hint="eastAsia" w:ascii="宋体" w:hAnsi="宋体"/>
          <w:lang w:val="en-US" w:eastAsia="zh-CN"/>
        </w:rPr>
        <w:t>关亚君</w:t>
      </w:r>
    </w:p>
    <w:p>
      <w:pPr>
        <w:spacing w:line="360" w:lineRule="auto"/>
        <w:ind w:firstLine="420" w:firstLineChars="200"/>
        <w:rPr>
          <w:rFonts w:ascii="宋体" w:hAnsi="宋体"/>
        </w:rPr>
      </w:pPr>
      <w:r>
        <w:rPr>
          <w:rFonts w:ascii="宋体" w:hAnsi="宋体"/>
        </w:rPr>
        <w:t>（三）律师事务所及经办律师</w:t>
      </w:r>
    </w:p>
    <w:p>
      <w:pPr>
        <w:spacing w:line="360" w:lineRule="auto"/>
        <w:ind w:firstLine="482"/>
        <w:rPr>
          <w:rFonts w:ascii="宋体" w:hAnsi="宋体"/>
        </w:rPr>
      </w:pPr>
      <w:r>
        <w:rPr>
          <w:rFonts w:hint="eastAsia" w:ascii="宋体" w:hAnsi="宋体"/>
        </w:rPr>
        <w:t>名 称：上海源泰律师事务所</w:t>
      </w:r>
    </w:p>
    <w:p>
      <w:pPr>
        <w:spacing w:line="360" w:lineRule="auto"/>
        <w:ind w:firstLine="482"/>
        <w:rPr>
          <w:rFonts w:ascii="宋体" w:hAnsi="宋体"/>
        </w:rPr>
      </w:pPr>
      <w:r>
        <w:rPr>
          <w:rFonts w:hint="eastAsia" w:ascii="宋体" w:hAnsi="宋体"/>
        </w:rPr>
        <w:t>住 所：上海市浦东南路256号华夏银行大厦14楼</w:t>
      </w:r>
    </w:p>
    <w:p>
      <w:pPr>
        <w:spacing w:line="360" w:lineRule="auto"/>
        <w:ind w:firstLine="482"/>
        <w:rPr>
          <w:rFonts w:ascii="宋体" w:hAnsi="宋体"/>
        </w:rPr>
      </w:pPr>
      <w:r>
        <w:rPr>
          <w:rFonts w:hint="eastAsia" w:ascii="宋体" w:hAnsi="宋体"/>
        </w:rPr>
        <w:t>办公地址：上海市浦东南路256号华夏银行大厦14楼</w:t>
      </w:r>
    </w:p>
    <w:p>
      <w:pPr>
        <w:spacing w:line="360" w:lineRule="auto"/>
        <w:ind w:firstLine="482"/>
        <w:rPr>
          <w:rFonts w:ascii="宋体" w:hAnsi="宋体"/>
        </w:rPr>
      </w:pPr>
      <w:r>
        <w:rPr>
          <w:rFonts w:hint="eastAsia" w:ascii="宋体" w:hAnsi="宋体"/>
        </w:rPr>
        <w:t>负责人：廖海</w:t>
      </w:r>
    </w:p>
    <w:p>
      <w:pPr>
        <w:spacing w:line="360" w:lineRule="auto"/>
        <w:ind w:firstLine="482"/>
        <w:rPr>
          <w:rFonts w:ascii="宋体" w:hAnsi="宋体"/>
        </w:rPr>
      </w:pPr>
      <w:r>
        <w:rPr>
          <w:rFonts w:hint="eastAsia" w:ascii="宋体" w:hAnsi="宋体"/>
        </w:rPr>
        <w:t>电 话：021-51150298</w:t>
      </w:r>
    </w:p>
    <w:p>
      <w:pPr>
        <w:spacing w:line="360" w:lineRule="auto"/>
        <w:ind w:firstLine="482"/>
        <w:rPr>
          <w:rFonts w:ascii="宋体" w:hAnsi="宋体"/>
        </w:rPr>
      </w:pPr>
      <w:r>
        <w:rPr>
          <w:rFonts w:hint="eastAsia" w:ascii="宋体" w:hAnsi="宋体"/>
        </w:rPr>
        <w:t>传 真：021-51150398</w:t>
      </w:r>
    </w:p>
    <w:p>
      <w:pPr>
        <w:spacing w:line="360" w:lineRule="auto"/>
        <w:ind w:firstLine="420" w:firstLineChars="200"/>
        <w:rPr>
          <w:rFonts w:ascii="宋体" w:hAnsi="宋体"/>
        </w:rPr>
      </w:pPr>
      <w:r>
        <w:rPr>
          <w:rFonts w:hint="eastAsia" w:ascii="宋体" w:hAnsi="宋体"/>
        </w:rPr>
        <w:t>经办律师：刘佳、李筱筱</w:t>
      </w:r>
    </w:p>
    <w:p>
      <w:pPr>
        <w:spacing w:line="360" w:lineRule="auto"/>
        <w:ind w:firstLine="420" w:firstLineChars="200"/>
        <w:rPr>
          <w:rFonts w:ascii="宋体" w:hAnsi="宋体"/>
        </w:rPr>
      </w:pPr>
      <w:r>
        <w:rPr>
          <w:rFonts w:ascii="宋体" w:hAnsi="宋体"/>
        </w:rPr>
        <w:t>（四）会计师事务所及经办注册会计师</w:t>
      </w:r>
    </w:p>
    <w:p>
      <w:pPr>
        <w:spacing w:line="360" w:lineRule="auto"/>
        <w:ind w:firstLine="420" w:firstLineChars="200"/>
        <w:rPr>
          <w:rFonts w:ascii="宋体" w:hAnsi="宋体"/>
        </w:rPr>
      </w:pPr>
      <w:r>
        <w:rPr>
          <w:rFonts w:hint="eastAsia" w:ascii="宋体" w:hAnsi="宋体"/>
        </w:rPr>
        <w:t>本公司聘请的法定验资机构为安永华明会计师事务所（特殊普通合伙）</w:t>
      </w:r>
    </w:p>
    <w:p>
      <w:pPr>
        <w:spacing w:line="360" w:lineRule="auto"/>
        <w:ind w:firstLine="420" w:firstLineChars="200"/>
        <w:rPr>
          <w:rFonts w:ascii="宋体" w:hAnsi="宋体"/>
        </w:rPr>
      </w:pPr>
      <w:r>
        <w:rPr>
          <w:rFonts w:hint="eastAsia" w:ascii="宋体" w:hAnsi="宋体"/>
        </w:rPr>
        <w:t>事务所全称：安永华明会计师事务所（特殊普通合伙）</w:t>
      </w:r>
    </w:p>
    <w:p>
      <w:pPr>
        <w:spacing w:line="360" w:lineRule="auto"/>
        <w:ind w:firstLine="420" w:firstLineChars="200"/>
        <w:rPr>
          <w:rFonts w:ascii="宋体" w:hAnsi="宋体"/>
        </w:rPr>
      </w:pPr>
      <w:r>
        <w:rPr>
          <w:rFonts w:hint="eastAsia" w:ascii="宋体" w:hAnsi="宋体"/>
        </w:rPr>
        <w:t>名称：安永华明会计师事务所(特殊普通合伙)</w:t>
      </w:r>
    </w:p>
    <w:p>
      <w:pPr>
        <w:spacing w:line="360" w:lineRule="auto"/>
        <w:ind w:firstLine="420" w:firstLineChars="200"/>
        <w:rPr>
          <w:rFonts w:ascii="宋体" w:hAnsi="宋体"/>
        </w:rPr>
      </w:pPr>
      <w:r>
        <w:rPr>
          <w:rFonts w:hint="eastAsia" w:ascii="宋体" w:hAnsi="宋体"/>
        </w:rPr>
        <w:t>住所：北京市东长安街1号东方广场安永大楼17层</w:t>
      </w:r>
    </w:p>
    <w:p>
      <w:pPr>
        <w:spacing w:line="360" w:lineRule="auto"/>
        <w:ind w:firstLine="420" w:firstLineChars="200"/>
        <w:rPr>
          <w:rFonts w:ascii="宋体" w:hAnsi="宋体"/>
        </w:rPr>
      </w:pPr>
      <w:r>
        <w:rPr>
          <w:rFonts w:hint="eastAsia" w:ascii="宋体" w:hAnsi="宋体"/>
        </w:rPr>
        <w:t>办公地址：北京市东长安街1号东方广场安永大楼17层</w:t>
      </w:r>
    </w:p>
    <w:p>
      <w:pPr>
        <w:spacing w:line="360" w:lineRule="auto"/>
        <w:ind w:firstLine="420" w:firstLineChars="200"/>
        <w:rPr>
          <w:rFonts w:ascii="宋体" w:hAnsi="宋体"/>
        </w:rPr>
      </w:pPr>
      <w:r>
        <w:rPr>
          <w:rFonts w:hint="eastAsia" w:ascii="宋体" w:hAnsi="宋体"/>
        </w:rPr>
        <w:t>执行事务合伙人：毛鞍宁</w:t>
      </w:r>
    </w:p>
    <w:p>
      <w:pPr>
        <w:spacing w:line="360" w:lineRule="auto"/>
        <w:ind w:firstLine="420" w:firstLineChars="200"/>
        <w:rPr>
          <w:rFonts w:ascii="宋体" w:hAnsi="宋体"/>
        </w:rPr>
      </w:pPr>
      <w:r>
        <w:rPr>
          <w:rFonts w:hint="eastAsia" w:ascii="宋体" w:hAnsi="宋体"/>
        </w:rPr>
        <w:t>经办注册会计师：贺耀、王蕊</w:t>
      </w:r>
    </w:p>
    <w:p>
      <w:pPr>
        <w:spacing w:line="360" w:lineRule="auto"/>
        <w:ind w:firstLine="420" w:firstLineChars="200"/>
        <w:rPr>
          <w:rFonts w:ascii="宋体" w:hAnsi="宋体"/>
        </w:rPr>
      </w:pPr>
      <w:r>
        <w:rPr>
          <w:rFonts w:hint="eastAsia" w:ascii="宋体" w:hAnsi="宋体"/>
        </w:rPr>
        <w:t>联系电话：（010）58153000</w:t>
      </w:r>
    </w:p>
    <w:p>
      <w:pPr>
        <w:spacing w:line="360" w:lineRule="auto"/>
        <w:ind w:firstLine="420" w:firstLineChars="200"/>
        <w:rPr>
          <w:rFonts w:ascii="宋体" w:hAnsi="宋体"/>
        </w:rPr>
      </w:pPr>
      <w:r>
        <w:rPr>
          <w:rFonts w:hint="eastAsia" w:ascii="宋体" w:hAnsi="宋体"/>
        </w:rPr>
        <w:t>传真：（010）85188298</w:t>
      </w:r>
    </w:p>
    <w:p>
      <w:pPr>
        <w:spacing w:line="360" w:lineRule="auto"/>
        <w:ind w:firstLine="420" w:firstLineChars="200"/>
        <w:rPr>
          <w:rFonts w:ascii="宋体" w:hAnsi="宋体"/>
        </w:rPr>
      </w:pPr>
      <w:r>
        <w:rPr>
          <w:rFonts w:hint="eastAsia" w:ascii="宋体" w:hAnsi="宋体"/>
        </w:rPr>
        <w:t>联系人：王蕊</w:t>
      </w:r>
    </w:p>
    <w:p>
      <w:pPr>
        <w:pStyle w:val="4"/>
        <w:spacing w:before="400" w:after="400"/>
        <w:rPr>
          <w:rFonts w:hAnsi="宋体"/>
          <w:sz w:val="32"/>
        </w:rPr>
      </w:pPr>
      <w:r>
        <w:rPr>
          <w:rFonts w:hAnsi="宋体"/>
          <w:kern w:val="0"/>
        </w:rPr>
        <w:br w:type="page"/>
      </w:r>
      <w:bookmarkStart w:id="93" w:name="_Toc55987062"/>
      <w:bookmarkStart w:id="94" w:name="_Toc203806289"/>
      <w:bookmarkStart w:id="95" w:name="_Toc106894679"/>
      <w:bookmarkStart w:id="96" w:name="_Toc116052786"/>
      <w:bookmarkStart w:id="97" w:name="_Toc106894877"/>
      <w:bookmarkStart w:id="98" w:name="_Toc203357153"/>
      <w:bookmarkStart w:id="99" w:name="_Toc106863368"/>
      <w:bookmarkStart w:id="100" w:name="_Toc116052552"/>
      <w:bookmarkStart w:id="101" w:name="_Toc106961483"/>
      <w:bookmarkStart w:id="102" w:name="_Toc16920828"/>
      <w:bookmarkStart w:id="103" w:name="_Toc106862757"/>
      <w:r>
        <w:rPr>
          <w:rFonts w:hAnsi="宋体"/>
          <w:sz w:val="32"/>
        </w:rPr>
        <w:t>六、基金的募集</w:t>
      </w:r>
      <w:bookmarkEnd w:id="93"/>
      <w:bookmarkEnd w:id="94"/>
      <w:bookmarkEnd w:id="95"/>
      <w:bookmarkEnd w:id="96"/>
      <w:bookmarkEnd w:id="97"/>
      <w:bookmarkEnd w:id="98"/>
      <w:bookmarkEnd w:id="99"/>
      <w:bookmarkEnd w:id="100"/>
      <w:bookmarkEnd w:id="101"/>
      <w:bookmarkEnd w:id="102"/>
      <w:bookmarkEnd w:id="103"/>
      <w:bookmarkStart w:id="104" w:name="_Hlt83724055"/>
      <w:bookmarkEnd w:id="104"/>
    </w:p>
    <w:p>
      <w:pPr>
        <w:spacing w:line="360" w:lineRule="auto"/>
        <w:ind w:firstLine="420" w:firstLineChars="200"/>
        <w:rPr>
          <w:rFonts w:ascii="宋体" w:hAnsi="宋体"/>
        </w:rPr>
      </w:pPr>
      <w:r>
        <w:rPr>
          <w:rFonts w:ascii="宋体" w:hAnsi="宋体"/>
        </w:rPr>
        <w:t>（一）基金募集的依据</w:t>
      </w:r>
    </w:p>
    <w:p>
      <w:pPr>
        <w:spacing w:line="360" w:lineRule="auto"/>
        <w:ind w:firstLine="420" w:firstLineChars="200"/>
        <w:rPr>
          <w:rFonts w:ascii="宋体" w:hAnsi="宋体"/>
        </w:rPr>
      </w:pPr>
      <w:r>
        <w:rPr>
          <w:rFonts w:ascii="宋体" w:hAnsi="宋体"/>
        </w:rPr>
        <w:t>本基金由基金管理人依照《基金法》、《运作办法》、《销售办法》、基金合同及其他法律法规的有关规定募集。本基金募集申请已经中国证监会202</w:t>
      </w:r>
      <w:r>
        <w:rPr>
          <w:rFonts w:hint="eastAsia" w:ascii="宋体" w:hAnsi="宋体"/>
          <w:lang w:val="en-US" w:eastAsia="zh-CN"/>
        </w:rPr>
        <w:t>6</w:t>
      </w:r>
      <w:r>
        <w:rPr>
          <w:rFonts w:ascii="宋体" w:hAnsi="宋体"/>
        </w:rPr>
        <w:t>年</w:t>
      </w:r>
      <w:r>
        <w:rPr>
          <w:rFonts w:hint="eastAsia" w:ascii="宋体" w:hAnsi="宋体"/>
          <w:lang w:val="en-US" w:eastAsia="zh-CN"/>
        </w:rPr>
        <w:t>4</w:t>
      </w:r>
      <w:r>
        <w:rPr>
          <w:rFonts w:ascii="宋体" w:hAnsi="宋体"/>
        </w:rPr>
        <w:t>月</w:t>
      </w:r>
      <w:r>
        <w:rPr>
          <w:rFonts w:hint="eastAsia" w:ascii="宋体" w:hAnsi="宋体"/>
          <w:lang w:val="en-US" w:eastAsia="zh-CN"/>
        </w:rPr>
        <w:t>20</w:t>
      </w:r>
      <w:r>
        <w:rPr>
          <w:rFonts w:ascii="宋体" w:hAnsi="宋体"/>
        </w:rPr>
        <w:t>日证监</w:t>
      </w:r>
      <w:r>
        <w:rPr>
          <w:rFonts w:hint="eastAsia" w:ascii="宋体" w:hAnsi="宋体"/>
        </w:rPr>
        <w:t>许可【202</w:t>
      </w:r>
      <w:r>
        <w:rPr>
          <w:rFonts w:hint="eastAsia" w:ascii="宋体" w:hAnsi="宋体"/>
          <w:lang w:val="en-US" w:eastAsia="zh-CN"/>
        </w:rPr>
        <w:t>6</w:t>
      </w:r>
      <w:r>
        <w:rPr>
          <w:rFonts w:hint="eastAsia" w:ascii="宋体" w:hAnsi="宋体"/>
        </w:rPr>
        <w:t>】</w:t>
      </w:r>
      <w:r>
        <w:rPr>
          <w:rFonts w:hint="eastAsia" w:ascii="宋体" w:hAnsi="宋体"/>
          <w:lang w:val="en-US" w:eastAsia="zh-CN"/>
        </w:rPr>
        <w:t>907</w:t>
      </w:r>
      <w:r>
        <w:rPr>
          <w:rFonts w:ascii="宋体" w:hAnsi="宋体"/>
        </w:rPr>
        <w:t>号文</w:t>
      </w:r>
      <w:r>
        <w:rPr>
          <w:rFonts w:hint="eastAsia" w:ascii="宋体" w:hAnsi="宋体"/>
        </w:rPr>
        <w:t>予以注册</w:t>
      </w:r>
      <w:r>
        <w:rPr>
          <w:rFonts w:ascii="宋体" w:hAnsi="宋体"/>
        </w:rPr>
        <w:t>。</w:t>
      </w:r>
    </w:p>
    <w:p>
      <w:pPr>
        <w:spacing w:line="360" w:lineRule="auto"/>
        <w:ind w:firstLine="420" w:firstLineChars="200"/>
        <w:rPr>
          <w:rFonts w:ascii="宋体" w:hAnsi="宋体"/>
        </w:rPr>
      </w:pPr>
      <w:r>
        <w:rPr>
          <w:rFonts w:ascii="宋体" w:hAnsi="宋体"/>
        </w:rPr>
        <w:t>（二）基金</w:t>
      </w:r>
      <w:r>
        <w:rPr>
          <w:rFonts w:hint="eastAsia" w:ascii="宋体" w:hAnsi="宋体"/>
        </w:rPr>
        <w:t>的类别</w:t>
      </w:r>
    </w:p>
    <w:p>
      <w:pPr>
        <w:spacing w:line="360" w:lineRule="auto"/>
        <w:ind w:firstLine="420" w:firstLineChars="200"/>
        <w:rPr>
          <w:rFonts w:ascii="宋体" w:hAnsi="宋体"/>
        </w:rPr>
      </w:pPr>
      <w:r>
        <w:rPr>
          <w:rFonts w:hint="eastAsia" w:ascii="宋体" w:hAnsi="宋体"/>
        </w:rPr>
        <w:t>混合型证券投资基金、发起式基金。</w:t>
      </w:r>
    </w:p>
    <w:p>
      <w:pPr>
        <w:spacing w:line="360" w:lineRule="auto"/>
        <w:ind w:firstLine="420" w:firstLineChars="200"/>
        <w:rPr>
          <w:rFonts w:ascii="宋体" w:hAnsi="宋体"/>
        </w:rPr>
      </w:pPr>
      <w:r>
        <w:rPr>
          <w:rFonts w:ascii="宋体" w:hAnsi="宋体"/>
        </w:rPr>
        <w:t>（三）基金的运作方式</w:t>
      </w:r>
    </w:p>
    <w:p>
      <w:pPr>
        <w:spacing w:line="360" w:lineRule="auto"/>
        <w:ind w:firstLine="420" w:firstLineChars="200"/>
        <w:rPr>
          <w:rFonts w:ascii="宋体" w:hAnsi="宋体"/>
        </w:rPr>
      </w:pPr>
      <w:r>
        <w:rPr>
          <w:rFonts w:ascii="宋体" w:hAnsi="宋体"/>
        </w:rPr>
        <w:t>契约型开放式</w:t>
      </w:r>
      <w:r>
        <w:rPr>
          <w:rFonts w:hint="eastAsia" w:ascii="宋体" w:hAnsi="宋体"/>
        </w:rPr>
        <w:t>。</w:t>
      </w:r>
    </w:p>
    <w:p>
      <w:pPr>
        <w:spacing w:line="360" w:lineRule="auto"/>
        <w:ind w:firstLine="420" w:firstLineChars="200"/>
        <w:rPr>
          <w:rFonts w:ascii="宋体" w:hAnsi="宋体"/>
        </w:rPr>
      </w:pPr>
      <w:r>
        <w:rPr>
          <w:rFonts w:hint="eastAsia" w:ascii="宋体" w:hAnsi="宋体"/>
        </w:rPr>
        <w:t>（四）</w:t>
      </w:r>
      <w:r>
        <w:rPr>
          <w:rFonts w:ascii="宋体" w:hAnsi="宋体"/>
        </w:rPr>
        <w:t>基金存续期</w:t>
      </w:r>
      <w:r>
        <w:rPr>
          <w:rFonts w:hint="eastAsia" w:ascii="宋体" w:hAnsi="宋体"/>
        </w:rPr>
        <w:t>限</w:t>
      </w:r>
    </w:p>
    <w:p>
      <w:pPr>
        <w:spacing w:line="360" w:lineRule="auto"/>
        <w:ind w:firstLine="420" w:firstLineChars="200"/>
        <w:rPr>
          <w:rFonts w:ascii="宋体" w:hAnsi="宋体"/>
        </w:rPr>
      </w:pPr>
      <w:r>
        <w:rPr>
          <w:rFonts w:ascii="宋体" w:hAnsi="宋体"/>
        </w:rPr>
        <w:t>不定期</w:t>
      </w:r>
      <w:r>
        <w:rPr>
          <w:rFonts w:hint="eastAsia" w:ascii="宋体" w:hAnsi="宋体"/>
        </w:rPr>
        <w:t>。</w:t>
      </w:r>
    </w:p>
    <w:p>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）基金</w:t>
      </w:r>
      <w:r>
        <w:rPr>
          <w:rFonts w:hint="eastAsia" w:ascii="宋体" w:hAnsi="宋体"/>
        </w:rPr>
        <w:t>份额发售</w:t>
      </w:r>
      <w:r>
        <w:rPr>
          <w:rFonts w:ascii="宋体" w:hAnsi="宋体"/>
        </w:rPr>
        <w:t>面值</w:t>
      </w:r>
    </w:p>
    <w:p>
      <w:pPr>
        <w:spacing w:line="360" w:lineRule="auto"/>
        <w:ind w:firstLine="420" w:firstLineChars="200"/>
        <w:rPr>
          <w:rFonts w:ascii="宋体" w:hAnsi="宋体"/>
        </w:rPr>
      </w:pPr>
      <w:r>
        <w:rPr>
          <w:rFonts w:ascii="宋体" w:hAnsi="宋体"/>
        </w:rPr>
        <w:t>本基金基金份额</w:t>
      </w:r>
      <w:r>
        <w:rPr>
          <w:rFonts w:hint="eastAsia" w:ascii="宋体" w:hAnsi="宋体"/>
        </w:rPr>
        <w:t>发售</w:t>
      </w:r>
      <w:r>
        <w:rPr>
          <w:rFonts w:ascii="宋体" w:hAnsi="宋体"/>
        </w:rPr>
        <w:t>面值为人民币1.00元。</w:t>
      </w:r>
    </w:p>
    <w:p>
      <w:pPr>
        <w:spacing w:line="360" w:lineRule="auto"/>
        <w:ind w:firstLine="420" w:firstLineChars="200"/>
        <w:rPr>
          <w:rFonts w:ascii="宋体" w:hAnsi="宋体"/>
        </w:rPr>
      </w:pPr>
      <w:r>
        <w:rPr>
          <w:rFonts w:hint="eastAsia" w:ascii="宋体" w:hAnsi="宋体"/>
        </w:rPr>
        <w:t>（六）基金的最低募集份额总额及金额</w:t>
      </w:r>
    </w:p>
    <w:p>
      <w:pPr>
        <w:spacing w:line="360" w:lineRule="auto"/>
        <w:ind w:firstLine="420" w:firstLineChars="200"/>
        <w:rPr>
          <w:rFonts w:ascii="宋体" w:hAnsi="宋体"/>
        </w:rPr>
      </w:pPr>
      <w:r>
        <w:rPr>
          <w:rFonts w:hint="eastAsia" w:ascii="宋体" w:hAnsi="宋体"/>
        </w:rPr>
        <w:t>本基金的最低募集份额总额为</w:t>
      </w:r>
      <w:r>
        <w:rPr>
          <w:rFonts w:ascii="宋体" w:hAnsi="宋体"/>
        </w:rPr>
        <w:t>1000</w:t>
      </w:r>
      <w:r>
        <w:rPr>
          <w:rFonts w:hint="eastAsia" w:ascii="宋体" w:hAnsi="宋体"/>
        </w:rPr>
        <w:t>万份，最低募集金额为</w:t>
      </w:r>
      <w:r>
        <w:rPr>
          <w:rFonts w:ascii="宋体" w:hAnsi="宋体"/>
        </w:rPr>
        <w:t>1000</w:t>
      </w:r>
      <w:r>
        <w:rPr>
          <w:rFonts w:hint="eastAsia" w:ascii="宋体" w:hAnsi="宋体"/>
        </w:rPr>
        <w:t>万元。</w:t>
      </w:r>
    </w:p>
    <w:p>
      <w:pPr>
        <w:spacing w:line="360" w:lineRule="auto"/>
        <w:ind w:firstLine="420" w:firstLineChars="200"/>
        <w:rPr>
          <w:rFonts w:ascii="宋体" w:hAnsi="宋体"/>
        </w:rPr>
      </w:pPr>
      <w:r>
        <w:rPr>
          <w:rFonts w:hint="eastAsia" w:ascii="宋体" w:hAnsi="宋体"/>
        </w:rPr>
        <w:t>（七）发起资金的认购金额下限、持有期限下限</w:t>
      </w:r>
    </w:p>
    <w:p>
      <w:pPr>
        <w:spacing w:line="360" w:lineRule="auto"/>
        <w:ind w:firstLine="420" w:firstLineChars="200"/>
        <w:rPr>
          <w:rFonts w:ascii="宋体" w:hAnsi="宋体"/>
        </w:rPr>
      </w:pPr>
      <w:r>
        <w:rPr>
          <w:rFonts w:hint="eastAsia" w:ascii="宋体" w:hAnsi="宋体"/>
        </w:rPr>
        <w:t>由基金管理人股东资金、基金管理人固有资金、基金管理人高级管理人员或者基金经理等人员认购的发起资金不少于1000万元人民币，且发起资金认购的基金份额持有期限不少于3年，法律法规或中国证监会另有规定的除外。</w:t>
      </w:r>
    </w:p>
    <w:p>
      <w:pPr>
        <w:spacing w:line="360" w:lineRule="auto"/>
        <w:ind w:firstLine="420" w:firstLineChars="200"/>
        <w:rPr>
          <w:rFonts w:ascii="宋体" w:hAnsi="宋体"/>
        </w:rPr>
      </w:pPr>
      <w:r>
        <w:rPr>
          <w:rFonts w:ascii="宋体" w:hAnsi="宋体"/>
        </w:rPr>
        <w:t>（</w:t>
      </w:r>
      <w:r>
        <w:rPr>
          <w:rFonts w:hint="eastAsia" w:ascii="宋体" w:hAnsi="宋体"/>
        </w:rPr>
        <w:t>八</w:t>
      </w:r>
      <w:r>
        <w:rPr>
          <w:rFonts w:ascii="宋体" w:hAnsi="宋体"/>
        </w:rPr>
        <w:t>）募集方式</w:t>
      </w:r>
    </w:p>
    <w:p>
      <w:pPr>
        <w:spacing w:line="360" w:lineRule="auto"/>
        <w:ind w:firstLine="420" w:firstLineChars="200"/>
        <w:rPr>
          <w:rFonts w:ascii="宋体" w:hAnsi="宋体"/>
        </w:rPr>
      </w:pPr>
      <w:r>
        <w:rPr>
          <w:rFonts w:hint="eastAsia" w:ascii="宋体" w:hAnsi="宋体"/>
        </w:rPr>
        <w:t>通过各销售机构的基金销售网点</w:t>
      </w:r>
      <w:r>
        <w:rPr>
          <w:rFonts w:ascii="宋体" w:hAnsi="宋体"/>
        </w:rPr>
        <w:t>公开发售</w:t>
      </w:r>
      <w:r>
        <w:rPr>
          <w:rFonts w:hint="eastAsia" w:ascii="宋体" w:hAnsi="宋体"/>
        </w:rPr>
        <w:t>，各销售机构的具体名单见基金份额发售公告以及基金管理人网站上更新的基金销售机构名录。</w:t>
      </w:r>
    </w:p>
    <w:p>
      <w:pPr>
        <w:spacing w:line="360" w:lineRule="auto"/>
        <w:ind w:firstLine="420" w:firstLineChars="200"/>
        <w:rPr>
          <w:rFonts w:ascii="宋体" w:hAnsi="宋体"/>
        </w:rPr>
      </w:pPr>
      <w:r>
        <w:rPr>
          <w:rFonts w:ascii="宋体" w:hAnsi="宋体"/>
        </w:rPr>
        <w:t>（</w:t>
      </w:r>
      <w:r>
        <w:rPr>
          <w:rFonts w:hint="eastAsia" w:ascii="宋体" w:hAnsi="宋体"/>
        </w:rPr>
        <w:t>九</w:t>
      </w:r>
      <w:r>
        <w:rPr>
          <w:rFonts w:ascii="宋体" w:hAnsi="宋体"/>
        </w:rPr>
        <w:t>）募集期限</w:t>
      </w:r>
    </w:p>
    <w:p>
      <w:pPr>
        <w:spacing w:line="360" w:lineRule="auto"/>
        <w:ind w:firstLine="420" w:firstLineChars="200"/>
        <w:rPr>
          <w:rFonts w:ascii="宋体" w:hAnsi="宋体"/>
        </w:rPr>
      </w:pPr>
      <w:r>
        <w:rPr>
          <w:rFonts w:ascii="宋体" w:hAnsi="宋体"/>
        </w:rPr>
        <w:t>本基金募集期限自基金份额发售之日起不超过</w:t>
      </w:r>
      <w:r>
        <w:rPr>
          <w:rFonts w:hint="eastAsia" w:ascii="宋体" w:hAnsi="宋体"/>
        </w:rPr>
        <w:t>3</w:t>
      </w:r>
      <w:r>
        <w:rPr>
          <w:rFonts w:ascii="宋体" w:hAnsi="宋体"/>
        </w:rPr>
        <w:t>个月。</w:t>
      </w:r>
    </w:p>
    <w:p>
      <w:pPr>
        <w:spacing w:line="360" w:lineRule="auto"/>
        <w:ind w:firstLine="420" w:firstLineChars="200"/>
        <w:rPr>
          <w:rFonts w:ascii="宋体" w:hAnsi="宋体"/>
        </w:rPr>
      </w:pPr>
      <w:r>
        <w:rPr>
          <w:rFonts w:ascii="宋体" w:hAnsi="宋体"/>
        </w:rPr>
        <w:t>本基金自202</w:t>
      </w:r>
      <w:r>
        <w:rPr>
          <w:rFonts w:hint="eastAsia" w:ascii="宋体" w:hAnsi="宋体"/>
          <w:lang w:val="en-US" w:eastAsia="zh-CN"/>
        </w:rPr>
        <w:t>6</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8</w:t>
      </w:r>
      <w:r>
        <w:rPr>
          <w:rFonts w:hint="eastAsia" w:ascii="宋体" w:hAnsi="宋体"/>
        </w:rPr>
        <w:t>日至</w:t>
      </w:r>
      <w:r>
        <w:rPr>
          <w:rFonts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18</w:t>
      </w:r>
      <w:r>
        <w:rPr>
          <w:rFonts w:hint="eastAsia" w:ascii="宋体" w:hAnsi="宋体"/>
        </w:rPr>
        <w:t>日</w:t>
      </w:r>
      <w:r>
        <w:rPr>
          <w:rFonts w:ascii="宋体" w:hAnsi="宋体"/>
        </w:rPr>
        <w:t>进行发售。如果在此期间届满时未达到本招募说明书第七章第（一）条规定的基金备案条件，基金可在募集期限内继续销售。基金管理人也可根据基金销售情况在募集期限内适当延长或缩短基金发售时间，并及时公告。</w:t>
      </w:r>
    </w:p>
    <w:p>
      <w:pPr>
        <w:spacing w:line="360" w:lineRule="auto"/>
        <w:ind w:firstLine="420" w:firstLineChars="200"/>
        <w:rPr>
          <w:rFonts w:ascii="宋体" w:hAnsi="宋体"/>
        </w:rPr>
      </w:pPr>
      <w:r>
        <w:rPr>
          <w:rFonts w:ascii="宋体" w:hAnsi="宋体"/>
        </w:rPr>
        <w:t>（</w:t>
      </w:r>
      <w:r>
        <w:rPr>
          <w:rFonts w:hint="eastAsia" w:ascii="宋体" w:hAnsi="宋体"/>
        </w:rPr>
        <w:t>十</w:t>
      </w:r>
      <w:r>
        <w:rPr>
          <w:rFonts w:ascii="宋体" w:hAnsi="宋体"/>
        </w:rPr>
        <w:t>）募集对象</w:t>
      </w:r>
    </w:p>
    <w:p>
      <w:pPr>
        <w:spacing w:line="360" w:lineRule="auto"/>
        <w:ind w:firstLine="420" w:firstLineChars="200"/>
        <w:rPr>
          <w:rFonts w:ascii="宋体" w:hAnsi="宋体"/>
        </w:rPr>
      </w:pPr>
      <w:r>
        <w:rPr>
          <w:rFonts w:hint="eastAsia" w:ascii="宋体" w:hAnsi="宋体"/>
        </w:rPr>
        <w:t>符合法律法规规定的可投资于证券投资基金的个人投资者、机构投资者、合格境外投资者、发起资金提供方以及法律法规或中国证监会允许购买证券投资基金的其他投资人。</w:t>
      </w:r>
    </w:p>
    <w:p>
      <w:pPr>
        <w:spacing w:line="360" w:lineRule="auto"/>
        <w:ind w:firstLine="420" w:firstLineChars="200"/>
        <w:rPr>
          <w:rFonts w:ascii="宋体" w:hAnsi="宋体"/>
        </w:rPr>
      </w:pPr>
      <w:r>
        <w:rPr>
          <w:rFonts w:ascii="宋体" w:hAnsi="宋体"/>
        </w:rPr>
        <w:t>（</w:t>
      </w:r>
      <w:r>
        <w:rPr>
          <w:rFonts w:hint="eastAsia" w:ascii="宋体" w:hAnsi="宋体"/>
        </w:rPr>
        <w:t>十一</w:t>
      </w:r>
      <w:r>
        <w:rPr>
          <w:rFonts w:ascii="宋体" w:hAnsi="宋体"/>
        </w:rPr>
        <w:t>）募集场所</w:t>
      </w:r>
    </w:p>
    <w:p>
      <w:pPr>
        <w:spacing w:line="360" w:lineRule="auto"/>
        <w:ind w:firstLine="420" w:firstLineChars="200"/>
        <w:rPr>
          <w:rFonts w:ascii="宋体" w:hAnsi="宋体"/>
        </w:rPr>
      </w:pPr>
      <w:r>
        <w:rPr>
          <w:rFonts w:ascii="宋体" w:hAnsi="宋体"/>
        </w:rPr>
        <w:t>本基金通过</w:t>
      </w:r>
      <w:r>
        <w:rPr>
          <w:rFonts w:hint="eastAsia" w:ascii="宋体" w:hAnsi="宋体"/>
        </w:rPr>
        <w:t>基金</w:t>
      </w:r>
      <w:r>
        <w:rPr>
          <w:rFonts w:ascii="宋体" w:hAnsi="宋体"/>
        </w:rPr>
        <w:t>销售机构办理基金销售业务的网点向投资者公开发售。</w:t>
      </w:r>
    </w:p>
    <w:p>
      <w:pPr>
        <w:spacing w:line="360" w:lineRule="auto"/>
        <w:ind w:firstLine="420" w:firstLineChars="200"/>
        <w:rPr>
          <w:rFonts w:ascii="宋体" w:hAnsi="宋体"/>
        </w:rPr>
      </w:pPr>
      <w:r>
        <w:rPr>
          <w:rFonts w:ascii="宋体" w:hAnsi="宋体"/>
        </w:rPr>
        <w:t>详见基金份额发售公告</w:t>
      </w:r>
      <w:r>
        <w:rPr>
          <w:rFonts w:hint="eastAsia" w:ascii="宋体" w:hAnsi="宋体"/>
        </w:rPr>
        <w:t>以及基金管理人网站上更新的基金销售机构名录</w:t>
      </w:r>
      <w:r>
        <w:rPr>
          <w:rFonts w:ascii="宋体" w:hAnsi="宋体"/>
        </w:rPr>
        <w:t>。基金管理人可以根据情况</w:t>
      </w:r>
      <w:r>
        <w:rPr>
          <w:rFonts w:hint="eastAsia" w:ascii="宋体" w:hAnsi="宋体"/>
        </w:rPr>
        <w:t>调整销售</w:t>
      </w:r>
      <w:r>
        <w:rPr>
          <w:rFonts w:ascii="宋体" w:hAnsi="宋体"/>
        </w:rPr>
        <w:t>机构，并</w:t>
      </w:r>
      <w:r>
        <w:rPr>
          <w:rFonts w:hint="eastAsia" w:ascii="宋体" w:hAnsi="宋体"/>
        </w:rPr>
        <w:t>在基金管理人网站公示</w:t>
      </w:r>
      <w:r>
        <w:rPr>
          <w:rFonts w:ascii="宋体" w:hAnsi="宋体"/>
        </w:rPr>
        <w:t>。</w:t>
      </w:r>
    </w:p>
    <w:p>
      <w:pPr>
        <w:spacing w:line="360" w:lineRule="auto"/>
        <w:ind w:firstLine="420" w:firstLineChars="200"/>
        <w:rPr>
          <w:rFonts w:ascii="宋体" w:hAnsi="宋体"/>
        </w:rPr>
      </w:pPr>
      <w:r>
        <w:rPr>
          <w:rFonts w:hint="eastAsia" w:ascii="宋体" w:hAnsi="宋体"/>
        </w:rPr>
        <w:t>（十二）认购安排</w:t>
      </w:r>
    </w:p>
    <w:p>
      <w:pPr>
        <w:spacing w:line="360" w:lineRule="auto"/>
        <w:ind w:firstLine="420" w:firstLineChars="200"/>
        <w:rPr>
          <w:rFonts w:ascii="宋体" w:hAnsi="宋体"/>
        </w:rPr>
      </w:pPr>
      <w:r>
        <w:rPr>
          <w:rFonts w:hint="eastAsia" w:ascii="宋体" w:hAnsi="宋体"/>
        </w:rPr>
        <w:t>1、</w:t>
      </w:r>
      <w:r>
        <w:rPr>
          <w:rFonts w:ascii="宋体" w:hAnsi="宋体"/>
        </w:rPr>
        <w:t>认购时间：本基金具体发售时间由基金管理人根据相关法律法规及本基金基金合同，在基金份额发售公告中确定并披露。</w:t>
      </w:r>
    </w:p>
    <w:p>
      <w:pPr>
        <w:spacing w:line="360" w:lineRule="auto"/>
        <w:ind w:firstLine="420" w:firstLineChars="200"/>
        <w:rPr>
          <w:rFonts w:ascii="宋体" w:hAnsi="宋体"/>
        </w:rPr>
      </w:pPr>
      <w:bookmarkStart w:id="105" w:name="_Toc96850311"/>
      <w:bookmarkStart w:id="106" w:name="_Toc96913113"/>
      <w:r>
        <w:rPr>
          <w:rFonts w:hint="eastAsia" w:ascii="宋体" w:hAnsi="宋体"/>
        </w:rPr>
        <w:t>2、</w:t>
      </w:r>
      <w:r>
        <w:rPr>
          <w:rFonts w:ascii="宋体" w:hAnsi="宋体"/>
        </w:rPr>
        <w:t>投资者认购应提交的文件和办理的手续</w:t>
      </w:r>
      <w:bookmarkEnd w:id="105"/>
      <w:bookmarkEnd w:id="106"/>
    </w:p>
    <w:p>
      <w:pPr>
        <w:spacing w:line="360" w:lineRule="auto"/>
        <w:ind w:firstLine="420" w:firstLineChars="200"/>
        <w:rPr>
          <w:rFonts w:ascii="宋体" w:hAnsi="宋体"/>
        </w:rPr>
      </w:pPr>
      <w:r>
        <w:rPr>
          <w:rFonts w:ascii="宋体" w:hAnsi="宋体"/>
        </w:rPr>
        <w:t>详见基金份额发售公告。</w:t>
      </w:r>
    </w:p>
    <w:p>
      <w:pPr>
        <w:spacing w:line="360" w:lineRule="auto"/>
        <w:ind w:firstLine="420" w:firstLineChars="200"/>
        <w:rPr>
          <w:rFonts w:ascii="宋体" w:hAnsi="宋体"/>
        </w:rPr>
      </w:pPr>
      <w:r>
        <w:rPr>
          <w:rFonts w:hint="eastAsia" w:ascii="宋体" w:hAnsi="宋体"/>
        </w:rPr>
        <w:t>3、募集规模上限</w:t>
      </w:r>
    </w:p>
    <w:p>
      <w:pPr>
        <w:spacing w:line="360" w:lineRule="auto"/>
        <w:ind w:firstLine="420" w:firstLineChars="200"/>
        <w:rPr>
          <w:rFonts w:ascii="宋体" w:hAnsi="宋体"/>
        </w:rPr>
      </w:pPr>
      <w:r>
        <w:rPr>
          <w:rFonts w:hint="eastAsia" w:ascii="宋体" w:hAnsi="宋体"/>
        </w:rPr>
        <w:t>本基金可设置首次募集规模上限，具体募集规模上限及规模控制的方案详见基金份额发售公告或其他公告。若本基金设置首次募集规模上限，基金合同生效后不受此募集规模的限制。</w:t>
      </w:r>
    </w:p>
    <w:p>
      <w:pPr>
        <w:spacing w:line="360" w:lineRule="auto"/>
        <w:ind w:firstLine="420" w:firstLineChars="200"/>
        <w:rPr>
          <w:rFonts w:ascii="宋体" w:hAnsi="宋体"/>
        </w:rPr>
      </w:pPr>
      <w:r>
        <w:rPr>
          <w:rFonts w:hint="eastAsia" w:ascii="宋体" w:hAnsi="宋体"/>
        </w:rPr>
        <w:t>4、</w:t>
      </w:r>
      <w:r>
        <w:rPr>
          <w:rFonts w:ascii="宋体" w:hAnsi="宋体"/>
        </w:rPr>
        <w:t>认购原则和认购限额</w:t>
      </w:r>
    </w:p>
    <w:p>
      <w:pPr>
        <w:spacing w:line="360" w:lineRule="auto"/>
        <w:ind w:firstLine="420" w:firstLineChars="200"/>
        <w:rPr>
          <w:rFonts w:ascii="宋体" w:hAnsi="宋体"/>
        </w:rPr>
      </w:pPr>
      <w:r>
        <w:rPr>
          <w:rFonts w:hint="eastAsia" w:ascii="宋体" w:hAnsi="宋体"/>
        </w:rPr>
        <w:t>（1）本基金认购采用金额认购方式。</w:t>
      </w:r>
    </w:p>
    <w:p>
      <w:pPr>
        <w:spacing w:line="360" w:lineRule="auto"/>
        <w:ind w:firstLine="420" w:firstLineChars="200"/>
        <w:rPr>
          <w:rFonts w:ascii="宋体" w:hAnsi="宋体"/>
        </w:rPr>
      </w:pPr>
      <w:r>
        <w:rPr>
          <w:rFonts w:hint="eastAsia" w:ascii="宋体" w:hAnsi="宋体"/>
        </w:rPr>
        <w:t>（2）投资者认购时，需按销售机构规定的方式全额缴款。</w:t>
      </w:r>
    </w:p>
    <w:p>
      <w:pPr>
        <w:spacing w:line="360" w:lineRule="auto"/>
        <w:ind w:firstLine="420" w:firstLineChars="200"/>
        <w:rPr>
          <w:rFonts w:ascii="宋体" w:hAnsi="宋体"/>
        </w:rPr>
      </w:pPr>
      <w:r>
        <w:rPr>
          <w:rFonts w:hint="eastAsia" w:ascii="宋体" w:hAnsi="宋体"/>
        </w:rPr>
        <w:t>（3）投资人在募集期内可以多次认购基金份额，但已受理的认购申请不得撤销。通过非直销销售机构认购A类基金份额的认购费按每笔A类基金份额的认购申请单独计算。</w:t>
      </w:r>
    </w:p>
    <w:p>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）投资者</w:t>
      </w:r>
      <w:r>
        <w:rPr>
          <w:rFonts w:hint="eastAsia" w:ascii="宋体" w:cs="宋体"/>
          <w:color w:val="000000"/>
          <w:kern w:val="0"/>
          <w:szCs w:val="21"/>
        </w:rPr>
        <w:t>通过直销机构认购本基金的，不收取认购费，单个基金账户每笔最低认购金额为1元人民币，追加认购每笔最低金额为1元人民币。投资者通过非直销销售机构认购本基金的，</w:t>
      </w:r>
      <w:r>
        <w:rPr>
          <w:rFonts w:hint="eastAsia" w:ascii="宋体" w:hAnsi="宋体"/>
        </w:rPr>
        <w:t>单个基金账户每笔最低认购金额为1元人民币（含认购费），追加认购每笔最低金额为1元人民币（含认购费）。实际操作中，以各销售机构的具体规定为准。</w:t>
      </w:r>
    </w:p>
    <w:p>
      <w:pPr>
        <w:spacing w:line="360" w:lineRule="auto"/>
        <w:ind w:firstLine="420" w:firstLineChars="200"/>
        <w:rPr>
          <w:rFonts w:ascii="宋体" w:hAnsi="宋体"/>
        </w:rPr>
      </w:pPr>
      <w:r>
        <w:rPr>
          <w:rFonts w:hint="eastAsia" w:ascii="宋体" w:hAnsi="宋体"/>
        </w:rPr>
        <w:t>（5）基金募集期间，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pPr>
        <w:spacing w:line="360" w:lineRule="auto"/>
        <w:ind w:firstLine="420" w:firstLineChars="200"/>
        <w:rPr>
          <w:rFonts w:ascii="宋体" w:hAnsi="宋体"/>
        </w:rPr>
      </w:pPr>
      <w:r>
        <w:rPr>
          <w:rFonts w:hint="eastAsia" w:ascii="宋体" w:hAnsi="宋体"/>
        </w:rPr>
        <w:t>（6）</w:t>
      </w:r>
      <w:r>
        <w:rPr>
          <w:rFonts w:ascii="宋体" w:hAnsi="宋体"/>
        </w:rPr>
        <w:t>投资者可以在基金合同生效后</w:t>
      </w:r>
      <w:r>
        <w:rPr>
          <w:rFonts w:hint="eastAsia" w:ascii="宋体" w:hAnsi="宋体"/>
        </w:rPr>
        <w:t>的第二个工作日起</w:t>
      </w:r>
      <w:r>
        <w:rPr>
          <w:rFonts w:ascii="宋体" w:hAnsi="宋体"/>
        </w:rPr>
        <w:t>到原认购网点打印认购成交确认凭证或查询认购成交确认信息</w:t>
      </w:r>
      <w:r>
        <w:rPr>
          <w:rFonts w:hint="eastAsia" w:ascii="宋体" w:hAnsi="宋体"/>
        </w:rPr>
        <w:t>。</w:t>
      </w:r>
    </w:p>
    <w:p>
      <w:pPr>
        <w:spacing w:line="360" w:lineRule="auto"/>
        <w:ind w:firstLine="420" w:firstLineChars="200"/>
        <w:rPr>
          <w:rFonts w:ascii="宋体" w:hAnsi="宋体"/>
        </w:rPr>
      </w:pPr>
      <w:r>
        <w:rPr>
          <w:rFonts w:ascii="宋体" w:hAnsi="宋体"/>
        </w:rPr>
        <w:t>5</w:t>
      </w:r>
      <w:r>
        <w:rPr>
          <w:rFonts w:hint="eastAsia" w:ascii="宋体" w:hAnsi="宋体"/>
        </w:rPr>
        <w:t>、基金份额类别</w:t>
      </w:r>
    </w:p>
    <w:p>
      <w:pPr>
        <w:spacing w:line="360" w:lineRule="auto"/>
        <w:ind w:firstLine="420" w:firstLineChars="200"/>
        <w:rPr>
          <w:rFonts w:ascii="宋体" w:hAnsi="宋体"/>
        </w:rPr>
      </w:pPr>
      <w:r>
        <w:rPr>
          <w:rFonts w:hint="eastAsia" w:ascii="宋体" w:hAnsi="宋体"/>
        </w:rPr>
        <w:t>本基金根据认购</w:t>
      </w:r>
      <w:r>
        <w:rPr>
          <w:rFonts w:ascii="宋体" w:hAnsi="宋体"/>
        </w:rPr>
        <w:t>/</w:t>
      </w:r>
      <w:r>
        <w:rPr>
          <w:rFonts w:hint="eastAsia" w:ascii="宋体" w:hAnsi="宋体"/>
        </w:rPr>
        <w:t>申购费用、销售服务费收取方式的不同，将基金份额分为不同的类别。在投资人认购</w:t>
      </w:r>
      <w:r>
        <w:rPr>
          <w:rFonts w:ascii="宋体" w:hAnsi="宋体"/>
        </w:rPr>
        <w:t>/</w:t>
      </w:r>
      <w:r>
        <w:rPr>
          <w:rFonts w:hint="eastAsia" w:ascii="宋体" w:hAnsi="宋体"/>
        </w:rPr>
        <w:t>申购时按规定收取认购</w:t>
      </w:r>
      <w:r>
        <w:rPr>
          <w:rFonts w:ascii="宋体" w:hAnsi="宋体"/>
        </w:rPr>
        <w:t>/</w:t>
      </w:r>
      <w:r>
        <w:rPr>
          <w:rFonts w:hint="eastAsia" w:ascii="宋体" w:hAnsi="宋体"/>
        </w:rPr>
        <w:t>申购费用、赎回时收取赎回费用，且不从本类别基金资产中计提销售服务费的，称为</w:t>
      </w:r>
      <w:r>
        <w:rPr>
          <w:rFonts w:ascii="宋体" w:hAnsi="宋体"/>
        </w:rPr>
        <w:t>A</w:t>
      </w:r>
      <w:r>
        <w:rPr>
          <w:rFonts w:hint="eastAsia" w:ascii="宋体" w:hAnsi="宋体"/>
        </w:rPr>
        <w:t>类基金份额；在投资人认购</w:t>
      </w:r>
      <w:r>
        <w:rPr>
          <w:rFonts w:ascii="宋体" w:hAnsi="宋体"/>
        </w:rPr>
        <w:t>/</w:t>
      </w:r>
      <w:r>
        <w:rPr>
          <w:rFonts w:hint="eastAsia" w:ascii="宋体" w:hAnsi="宋体"/>
        </w:rPr>
        <w:t>申购时不收取认购</w:t>
      </w:r>
      <w:r>
        <w:rPr>
          <w:rFonts w:ascii="宋体" w:hAnsi="宋体"/>
        </w:rPr>
        <w:t>/</w:t>
      </w:r>
      <w:r>
        <w:rPr>
          <w:rFonts w:hint="eastAsia" w:ascii="宋体" w:hAnsi="宋体"/>
        </w:rPr>
        <w:t>申购费用、赎回时收取赎回费用，且从本类别基金资产中计提销售服务费</w:t>
      </w:r>
      <w:r>
        <w:rPr>
          <w:rFonts w:hint="eastAsia" w:ascii="宋体" w:hAnsi="宋体"/>
          <w:bCs/>
          <w:szCs w:val="21"/>
        </w:rPr>
        <w:t>并按规定收取或返还</w:t>
      </w:r>
      <w:r>
        <w:rPr>
          <w:rFonts w:hint="eastAsia" w:ascii="宋体" w:hAnsi="宋体"/>
        </w:rPr>
        <w:t>的，称为</w:t>
      </w:r>
      <w:r>
        <w:rPr>
          <w:rFonts w:ascii="宋体" w:hAnsi="宋体"/>
        </w:rPr>
        <w:t>C</w:t>
      </w:r>
      <w:r>
        <w:rPr>
          <w:rFonts w:hint="eastAsia" w:ascii="宋体" w:hAnsi="宋体"/>
        </w:rPr>
        <w:t>类基金份额。</w:t>
      </w:r>
    </w:p>
    <w:p>
      <w:pPr>
        <w:spacing w:line="360" w:lineRule="auto"/>
        <w:ind w:firstLine="420" w:firstLineChars="200"/>
        <w:rPr>
          <w:rFonts w:ascii="宋体" w:hAnsi="宋体"/>
        </w:rPr>
      </w:pPr>
      <w:r>
        <w:rPr>
          <w:rFonts w:hint="eastAsia" w:ascii="宋体" w:hAnsi="宋体"/>
        </w:rPr>
        <w:t>本基金</w:t>
      </w:r>
      <w:r>
        <w:rPr>
          <w:rFonts w:ascii="宋体" w:hAnsi="宋体"/>
        </w:rPr>
        <w:t>A</w:t>
      </w:r>
      <w:r>
        <w:rPr>
          <w:rFonts w:hint="eastAsia" w:ascii="宋体" w:hAnsi="宋体"/>
        </w:rPr>
        <w:t>类基金份额和</w:t>
      </w:r>
      <w:r>
        <w:rPr>
          <w:rFonts w:ascii="宋体" w:hAnsi="宋体"/>
        </w:rPr>
        <w:t>C</w:t>
      </w:r>
      <w:r>
        <w:rPr>
          <w:rFonts w:hint="eastAsia" w:ascii="宋体" w:hAnsi="宋体"/>
        </w:rPr>
        <w:t>类基金份额分别设置基金代码。由于基金费用的不同，本基金</w:t>
      </w:r>
      <w:r>
        <w:rPr>
          <w:rFonts w:ascii="宋体" w:hAnsi="宋体"/>
        </w:rPr>
        <w:t>A</w:t>
      </w:r>
      <w:r>
        <w:rPr>
          <w:rFonts w:hint="eastAsia" w:ascii="宋体" w:hAnsi="宋体"/>
        </w:rPr>
        <w:t>类基金份额和</w:t>
      </w:r>
      <w:r>
        <w:rPr>
          <w:rFonts w:ascii="宋体" w:hAnsi="宋体"/>
        </w:rPr>
        <w:t>C</w:t>
      </w:r>
      <w:r>
        <w:rPr>
          <w:rFonts w:hint="eastAsia" w:ascii="宋体" w:hAnsi="宋体"/>
        </w:rPr>
        <w:t>类基金份额将分别计算基金份额净值并单独公告。</w:t>
      </w:r>
    </w:p>
    <w:p>
      <w:pPr>
        <w:spacing w:line="360" w:lineRule="auto"/>
        <w:ind w:firstLine="420" w:firstLineChars="200"/>
        <w:rPr>
          <w:rFonts w:ascii="宋体" w:hAnsi="宋体"/>
        </w:rPr>
      </w:pPr>
      <w:r>
        <w:rPr>
          <w:rFonts w:hint="eastAsia" w:ascii="宋体" w:hAnsi="宋体"/>
        </w:rPr>
        <w:t>投资人可自行选择认购</w:t>
      </w:r>
      <w:r>
        <w:rPr>
          <w:rFonts w:ascii="宋体" w:hAnsi="宋体"/>
        </w:rPr>
        <w:t>/</w:t>
      </w:r>
      <w:r>
        <w:rPr>
          <w:rFonts w:hint="eastAsia" w:ascii="宋体" w:hAnsi="宋体"/>
        </w:rPr>
        <w:t>申购的基金份额类别。</w:t>
      </w:r>
    </w:p>
    <w:p>
      <w:pPr>
        <w:spacing w:line="360" w:lineRule="auto"/>
        <w:ind w:firstLine="420" w:firstLineChars="200"/>
        <w:rPr>
          <w:rFonts w:ascii="宋体" w:hAnsi="宋体"/>
        </w:rPr>
      </w:pPr>
      <w:r>
        <w:rPr>
          <w:rFonts w:hint="eastAsia" w:ascii="宋体" w:hAnsi="宋体"/>
        </w:rPr>
        <w:t>在不违反法律法规规定且对基金份额持有人利益无实质性不利影响的前提下，基金管理人与基金托管人协商一致后可根据基金发展需要，为本基金增设、减少或调整基金份额类别设置、对基金份额分类办法及规则进行调整并公告，而无需召开基金份额持有人大会。</w:t>
      </w:r>
    </w:p>
    <w:p>
      <w:pPr>
        <w:spacing w:line="360" w:lineRule="auto"/>
        <w:ind w:firstLine="420" w:firstLineChars="200"/>
        <w:rPr>
          <w:rFonts w:ascii="宋体" w:hAnsi="宋体"/>
        </w:rPr>
      </w:pPr>
      <w:r>
        <w:rPr>
          <w:rFonts w:hint="eastAsia" w:ascii="宋体" w:hAnsi="宋体"/>
        </w:rPr>
        <w:t>6、</w:t>
      </w:r>
      <w:r>
        <w:rPr>
          <w:rFonts w:ascii="宋体" w:hAnsi="宋体"/>
        </w:rPr>
        <w:t>认购费用</w:t>
      </w:r>
    </w:p>
    <w:p>
      <w:pPr>
        <w:spacing w:line="360" w:lineRule="auto"/>
        <w:ind w:firstLine="420" w:firstLineChars="200"/>
        <w:rPr>
          <w:rFonts w:ascii="宋体" w:hAnsi="宋体"/>
        </w:rPr>
      </w:pPr>
      <w:r>
        <w:rPr>
          <w:rFonts w:hint="eastAsia" w:ascii="宋体" w:hAnsi="宋体"/>
        </w:rPr>
        <w:t>投资人通过直销机构认购本基金A类基金份额不收取认购费，通过非直销销售机构认购本基金A类基金份额时支付认购费用。本基金C类基金份额不收取认购费用。</w:t>
      </w:r>
    </w:p>
    <w:p>
      <w:pPr>
        <w:spacing w:line="360" w:lineRule="auto"/>
        <w:ind w:firstLine="420" w:firstLineChars="200"/>
        <w:rPr>
          <w:rFonts w:ascii="宋体" w:hAnsi="宋体"/>
        </w:rPr>
      </w:pPr>
      <w:r>
        <w:rPr>
          <w:rFonts w:hint="eastAsia" w:ascii="宋体" w:hAnsi="宋体"/>
        </w:rPr>
        <w:t>通过非直销销售机构认购本基金A类基金份额的认购费率如下：</w:t>
      </w:r>
    </w:p>
    <w:tbl>
      <w:tblPr>
        <w:tblStyle w:val="33"/>
        <w:tblW w:w="6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694"/>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5" w:type="dxa"/>
            <w:vMerge w:val="restart"/>
            <w:vAlign w:val="center"/>
          </w:tcPr>
          <w:p>
            <w:pPr>
              <w:spacing w:line="240" w:lineRule="atLeast"/>
              <w:jc w:val="center"/>
              <w:rPr>
                <w:rFonts w:ascii="宋体" w:hAnsi="宋体"/>
                <w:color w:val="000000"/>
                <w:kern w:val="0"/>
                <w:szCs w:val="21"/>
              </w:rPr>
            </w:pPr>
            <w:r>
              <w:rPr>
                <w:rFonts w:hint="eastAsia" w:ascii="宋体" w:hAnsi="宋体"/>
                <w:color w:val="000000"/>
                <w:kern w:val="0"/>
                <w:szCs w:val="21"/>
              </w:rPr>
              <w:t>费用种类</w:t>
            </w:r>
          </w:p>
        </w:tc>
        <w:tc>
          <w:tcPr>
            <w:tcW w:w="5219" w:type="dxa"/>
            <w:gridSpan w:val="2"/>
            <w:vAlign w:val="center"/>
          </w:tcPr>
          <w:p>
            <w:pPr>
              <w:spacing w:line="240" w:lineRule="atLeast"/>
              <w:jc w:val="center"/>
              <w:rPr>
                <w:rFonts w:ascii="宋体" w:hAnsi="宋体"/>
                <w:color w:val="000000"/>
                <w:kern w:val="0"/>
                <w:szCs w:val="21"/>
              </w:rPr>
            </w:pPr>
            <w:r>
              <w:rPr>
                <w:rFonts w:hint="eastAsia" w:ascii="宋体" w:hAnsi="宋体"/>
                <w:color w:val="000000"/>
                <w:kern w:val="0"/>
                <w:szCs w:val="21"/>
              </w:rPr>
              <w:t>A类基金份额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5" w:type="dxa"/>
            <w:vMerge w:val="continue"/>
            <w:vAlign w:val="center"/>
          </w:tcPr>
          <w:p>
            <w:pPr>
              <w:widowControl/>
              <w:spacing w:line="240" w:lineRule="atLeast"/>
              <w:jc w:val="center"/>
              <w:rPr>
                <w:rFonts w:ascii="宋体" w:hAnsi="宋体"/>
                <w:color w:val="000000"/>
                <w:kern w:val="0"/>
                <w:szCs w:val="21"/>
              </w:rPr>
            </w:pPr>
          </w:p>
        </w:tc>
        <w:tc>
          <w:tcPr>
            <w:tcW w:w="2694" w:type="dxa"/>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情形</w:t>
            </w:r>
          </w:p>
        </w:tc>
        <w:tc>
          <w:tcPr>
            <w:tcW w:w="2525" w:type="dxa"/>
            <w:vAlign w:val="center"/>
          </w:tcPr>
          <w:p>
            <w:pPr>
              <w:spacing w:line="240" w:lineRule="atLeast"/>
              <w:jc w:val="center"/>
              <w:rPr>
                <w:rFonts w:ascii="宋体" w:hAnsi="宋体"/>
                <w:color w:val="000000"/>
                <w:kern w:val="0"/>
                <w:szCs w:val="21"/>
              </w:rPr>
            </w:pPr>
            <w:r>
              <w:rPr>
                <w:rFonts w:hint="eastAsia" w:ascii="宋体" w:hAnsi="宋体"/>
                <w:color w:val="000000"/>
                <w:kern w:val="0"/>
                <w:szCs w:val="21"/>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5" w:type="dxa"/>
            <w:vMerge w:val="restart"/>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认购费率</w:t>
            </w:r>
          </w:p>
        </w:tc>
        <w:tc>
          <w:tcPr>
            <w:tcW w:w="2694" w:type="dxa"/>
            <w:vAlign w:val="center"/>
          </w:tcPr>
          <w:p>
            <w:pPr>
              <w:widowControl/>
              <w:spacing w:line="240" w:lineRule="atLeast"/>
              <w:jc w:val="center"/>
              <w:rPr>
                <w:rFonts w:ascii="宋体" w:hAnsi="宋体"/>
                <w:color w:val="000000"/>
                <w:kern w:val="0"/>
                <w:szCs w:val="21"/>
              </w:rPr>
            </w:pPr>
            <w:r>
              <w:rPr>
                <w:kern w:val="0"/>
                <w:szCs w:val="21"/>
              </w:rPr>
              <w:t>M＜500万</w:t>
            </w:r>
          </w:p>
        </w:tc>
        <w:tc>
          <w:tcPr>
            <w:tcW w:w="2525" w:type="dxa"/>
            <w:vAlign w:val="center"/>
          </w:tcPr>
          <w:p>
            <w:pPr>
              <w:widowControl/>
              <w:spacing w:line="240" w:lineRule="atLeast"/>
              <w:jc w:val="center"/>
              <w:rPr>
                <w:rFonts w:ascii="宋体" w:hAnsi="宋体"/>
                <w:color w:val="000000"/>
                <w:kern w:val="0"/>
                <w:szCs w:val="21"/>
              </w:rPr>
            </w:pPr>
            <w:r>
              <w:rPr>
                <w:kern w:val="0"/>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5" w:type="dxa"/>
            <w:vMerge w:val="continue"/>
            <w:vAlign w:val="center"/>
          </w:tcPr>
          <w:p>
            <w:pPr>
              <w:widowControl/>
              <w:spacing w:line="240" w:lineRule="atLeast"/>
              <w:jc w:val="center"/>
              <w:rPr>
                <w:rFonts w:ascii="宋体" w:hAnsi="宋体"/>
                <w:color w:val="000000"/>
                <w:kern w:val="0"/>
                <w:szCs w:val="21"/>
              </w:rPr>
            </w:pPr>
          </w:p>
        </w:tc>
        <w:tc>
          <w:tcPr>
            <w:tcW w:w="2694" w:type="dxa"/>
            <w:vAlign w:val="center"/>
          </w:tcPr>
          <w:p>
            <w:pPr>
              <w:spacing w:line="240" w:lineRule="atLeast"/>
              <w:jc w:val="center"/>
              <w:rPr>
                <w:rFonts w:ascii="宋体" w:hAnsi="宋体"/>
                <w:color w:val="000000"/>
                <w:kern w:val="0"/>
                <w:szCs w:val="21"/>
              </w:rPr>
            </w:pPr>
            <w:r>
              <w:rPr>
                <w:kern w:val="0"/>
                <w:szCs w:val="21"/>
              </w:rPr>
              <w:t>M</w:t>
            </w:r>
            <w:r>
              <w:rPr>
                <w:rFonts w:hint="eastAsia"/>
                <w:kern w:val="0"/>
                <w:szCs w:val="21"/>
              </w:rPr>
              <w:t>≥5</w:t>
            </w:r>
            <w:r>
              <w:rPr>
                <w:kern w:val="0"/>
                <w:szCs w:val="21"/>
              </w:rPr>
              <w:t>00万</w:t>
            </w:r>
          </w:p>
        </w:tc>
        <w:tc>
          <w:tcPr>
            <w:tcW w:w="2525" w:type="dxa"/>
            <w:vAlign w:val="center"/>
          </w:tcPr>
          <w:p>
            <w:pPr>
              <w:spacing w:line="240" w:lineRule="atLeast"/>
              <w:jc w:val="center"/>
              <w:rPr>
                <w:rFonts w:ascii="宋体" w:hAnsi="宋体"/>
                <w:color w:val="000000"/>
                <w:kern w:val="0"/>
                <w:szCs w:val="21"/>
              </w:rPr>
            </w:pPr>
            <w:r>
              <w:rPr>
                <w:kern w:val="0"/>
                <w:szCs w:val="21"/>
              </w:rPr>
              <w:t>按笔收取，1,000元/笔</w:t>
            </w:r>
          </w:p>
        </w:tc>
      </w:tr>
    </w:tbl>
    <w:p>
      <w:pPr>
        <w:tabs>
          <w:tab w:val="left" w:pos="6521"/>
        </w:tabs>
        <w:spacing w:line="360" w:lineRule="auto"/>
        <w:jc w:val="left"/>
        <w:rPr>
          <w:rFonts w:ascii="宋体" w:hAnsi="宋体"/>
          <w:sz w:val="18"/>
        </w:rPr>
      </w:pPr>
      <w:r>
        <w:rPr>
          <w:rFonts w:hint="eastAsia" w:ascii="宋体" w:hAnsi="宋体"/>
          <w:sz w:val="18"/>
        </w:rPr>
        <w:t>注：M为认购金额，单位为元。</w:t>
      </w:r>
    </w:p>
    <w:p>
      <w:pPr>
        <w:spacing w:line="360" w:lineRule="auto"/>
        <w:ind w:firstLine="420" w:firstLineChars="200"/>
        <w:rPr>
          <w:rFonts w:ascii="宋体" w:hAnsi="宋体"/>
        </w:rPr>
      </w:pPr>
      <w:r>
        <w:rPr>
          <w:rFonts w:hint="eastAsia" w:ascii="宋体" w:hAnsi="宋体"/>
        </w:rPr>
        <w:t>本基金A类基金份额的认购费由通过非直销销售机构认购A类基金份额的投资人承担，不列入基金财产，主要用于本基金的市场推广、销售等募集期间发生的各项费用。</w:t>
      </w:r>
    </w:p>
    <w:p>
      <w:pPr>
        <w:spacing w:line="360" w:lineRule="auto"/>
        <w:ind w:firstLine="420" w:firstLineChars="200"/>
        <w:rPr>
          <w:rFonts w:ascii="宋体" w:hAnsi="宋体"/>
        </w:rPr>
      </w:pPr>
      <w:r>
        <w:rPr>
          <w:rFonts w:ascii="宋体" w:hAnsi="宋体"/>
        </w:rPr>
        <w:t>7</w:t>
      </w:r>
      <w:r>
        <w:rPr>
          <w:rFonts w:hint="eastAsia" w:ascii="宋体" w:hAnsi="宋体"/>
        </w:rPr>
        <w:t>、认购价格及认购份额的计算</w:t>
      </w:r>
    </w:p>
    <w:p>
      <w:pPr>
        <w:spacing w:line="360" w:lineRule="auto"/>
        <w:ind w:firstLine="420" w:firstLineChars="200"/>
        <w:rPr>
          <w:rFonts w:ascii="宋体" w:hAnsi="宋体"/>
        </w:rPr>
      </w:pPr>
      <w:r>
        <w:rPr>
          <w:rFonts w:hint="eastAsia" w:ascii="宋体" w:hAnsi="宋体"/>
        </w:rPr>
        <w:t>本基金的认购价格为每份基金份额人民币1.00元。</w:t>
      </w:r>
    </w:p>
    <w:p>
      <w:pPr>
        <w:spacing w:line="360" w:lineRule="auto"/>
        <w:ind w:firstLine="420" w:firstLineChars="200"/>
        <w:rPr>
          <w:rFonts w:ascii="宋体" w:hAnsi="宋体"/>
        </w:rPr>
      </w:pPr>
      <w:r>
        <w:rPr>
          <w:rFonts w:hint="eastAsia" w:ascii="宋体" w:hAnsi="宋体"/>
        </w:rPr>
        <w:t>（1）A类基金份额的认购份额计算方法</w:t>
      </w:r>
    </w:p>
    <w:p>
      <w:pPr>
        <w:spacing w:line="360" w:lineRule="auto"/>
        <w:ind w:firstLine="420" w:firstLineChars="200"/>
        <w:rPr>
          <w:rFonts w:ascii="宋体" w:hAnsi="宋体"/>
        </w:rPr>
      </w:pPr>
      <w:r>
        <w:rPr>
          <w:rFonts w:hint="eastAsia" w:ascii="宋体" w:hAnsi="宋体"/>
        </w:rPr>
        <w:t>1）若投资者通过直销机构认购A类基金份额，不收取认购费，认购份额计算方式如下：</w:t>
      </w:r>
    </w:p>
    <w:p>
      <w:pPr>
        <w:spacing w:line="360" w:lineRule="auto"/>
        <w:ind w:firstLine="420" w:firstLineChars="200"/>
        <w:rPr>
          <w:rFonts w:ascii="宋体" w:hAnsi="宋体"/>
        </w:rPr>
      </w:pPr>
      <w:r>
        <w:rPr>
          <w:rFonts w:hint="eastAsia" w:ascii="宋体" w:hAnsi="宋体"/>
        </w:rPr>
        <w:t>认购份额＝（认购金额＋认购利息）/认购价格</w:t>
      </w:r>
    </w:p>
    <w:p>
      <w:pPr>
        <w:spacing w:line="360" w:lineRule="auto"/>
        <w:ind w:firstLine="420" w:firstLineChars="200"/>
        <w:rPr>
          <w:rFonts w:ascii="宋体" w:hAnsi="宋体"/>
        </w:rPr>
      </w:pPr>
      <w:r>
        <w:rPr>
          <w:rFonts w:hint="eastAsia" w:ascii="宋体" w:hAnsi="宋体"/>
        </w:rPr>
        <w:t>2）若投资者通过非直销销售机构认购A类基金份额，认购费用采用前端收费模式（即认购基金时缴纳认购费），投资人的认购金额包括认购费用和净认购金额</w:t>
      </w:r>
      <w:r>
        <w:rPr>
          <w:rFonts w:ascii="宋体" w:hAnsi="宋体"/>
        </w:rPr>
        <w:t>。</w:t>
      </w:r>
    </w:p>
    <w:p>
      <w:pPr>
        <w:spacing w:line="360" w:lineRule="auto"/>
        <w:ind w:firstLine="420" w:firstLineChars="200"/>
        <w:rPr>
          <w:rFonts w:ascii="宋体" w:hAnsi="宋体"/>
        </w:rPr>
      </w:pPr>
      <w:r>
        <w:rPr>
          <w:rFonts w:hint="eastAsia" w:ascii="宋体" w:hAnsi="宋体"/>
        </w:rPr>
        <w:t>当认购费用为比例费率时，认购份额的计算方式如下：</w:t>
      </w:r>
    </w:p>
    <w:p>
      <w:pPr>
        <w:spacing w:line="360" w:lineRule="auto"/>
        <w:ind w:firstLine="420" w:firstLineChars="200"/>
        <w:rPr>
          <w:rFonts w:ascii="宋体" w:hAnsi="宋体"/>
        </w:rPr>
      </w:pPr>
      <w:r>
        <w:rPr>
          <w:rFonts w:hint="eastAsia" w:ascii="宋体" w:hAnsi="宋体"/>
        </w:rPr>
        <w:t>净认购金额＝认购金额/（1＋认购费率）</w:t>
      </w:r>
    </w:p>
    <w:p>
      <w:pPr>
        <w:spacing w:line="360" w:lineRule="auto"/>
        <w:ind w:firstLine="420" w:firstLineChars="200"/>
        <w:rPr>
          <w:rFonts w:ascii="宋体" w:hAnsi="宋体"/>
        </w:rPr>
      </w:pPr>
      <w:r>
        <w:rPr>
          <w:rFonts w:hint="eastAsia" w:ascii="宋体" w:hAnsi="宋体"/>
        </w:rPr>
        <w:t>认购费用＝认购金额－净认购金额</w:t>
      </w:r>
    </w:p>
    <w:p>
      <w:pPr>
        <w:spacing w:line="360" w:lineRule="auto"/>
        <w:ind w:firstLine="420" w:firstLineChars="200"/>
        <w:rPr>
          <w:rFonts w:ascii="宋体" w:hAnsi="宋体"/>
        </w:rPr>
      </w:pPr>
      <w:r>
        <w:rPr>
          <w:rFonts w:hint="eastAsia" w:ascii="宋体" w:hAnsi="宋体"/>
        </w:rPr>
        <w:t>认购份额＝（净认购金额＋认购利息）/认购价格</w:t>
      </w:r>
    </w:p>
    <w:p>
      <w:pPr>
        <w:spacing w:line="360" w:lineRule="auto"/>
        <w:ind w:firstLine="420" w:firstLineChars="200"/>
        <w:rPr>
          <w:rFonts w:ascii="宋体" w:hAnsi="宋体"/>
        </w:rPr>
      </w:pPr>
      <w:r>
        <w:rPr>
          <w:rFonts w:hint="eastAsia" w:ascii="宋体" w:hAnsi="宋体"/>
        </w:rPr>
        <w:t>当认购费用为固定金额时，认购份额的计算方式如下：</w:t>
      </w:r>
    </w:p>
    <w:p>
      <w:pPr>
        <w:spacing w:line="360" w:lineRule="auto"/>
        <w:ind w:firstLine="420" w:firstLineChars="200"/>
        <w:rPr>
          <w:rFonts w:ascii="宋体" w:hAnsi="宋体"/>
        </w:rPr>
      </w:pPr>
      <w:r>
        <w:rPr>
          <w:rFonts w:hint="eastAsia" w:ascii="宋体" w:hAnsi="宋体"/>
        </w:rPr>
        <w:t>认购费用=固定金额</w:t>
      </w:r>
    </w:p>
    <w:p>
      <w:pPr>
        <w:spacing w:line="360" w:lineRule="auto"/>
        <w:ind w:firstLine="420" w:firstLineChars="200"/>
        <w:rPr>
          <w:rFonts w:ascii="宋体" w:hAnsi="宋体"/>
        </w:rPr>
      </w:pPr>
      <w:r>
        <w:rPr>
          <w:rFonts w:hint="eastAsia" w:ascii="宋体" w:hAnsi="宋体"/>
        </w:rPr>
        <w:t>净认购金额=认购金额-认购费用</w:t>
      </w:r>
    </w:p>
    <w:p>
      <w:pPr>
        <w:spacing w:line="360" w:lineRule="auto"/>
        <w:ind w:firstLine="420" w:firstLineChars="200"/>
        <w:rPr>
          <w:rFonts w:ascii="宋体" w:hAnsi="宋体"/>
        </w:rPr>
      </w:pPr>
      <w:r>
        <w:rPr>
          <w:rFonts w:hint="eastAsia" w:ascii="宋体" w:hAnsi="宋体"/>
        </w:rPr>
        <w:t>认购份额=（净认购金额＋认购利息）/认购价格</w:t>
      </w:r>
    </w:p>
    <w:p>
      <w:pPr>
        <w:spacing w:line="360" w:lineRule="auto"/>
        <w:ind w:firstLine="420" w:firstLineChars="200"/>
        <w:rPr>
          <w:rFonts w:ascii="宋体" w:hAnsi="宋体"/>
        </w:rPr>
      </w:pPr>
      <w:r>
        <w:rPr>
          <w:rFonts w:hint="eastAsia" w:ascii="宋体" w:hAnsi="宋体"/>
        </w:rPr>
        <w:t>3）认购份额（含利息折算的份额）的计算保留到小数点后2位，小数点2位以后的部分四舍五入，由此误差产生的收益或损失由基金财产承担。</w:t>
      </w:r>
    </w:p>
    <w:p>
      <w:pPr>
        <w:spacing w:line="360" w:lineRule="auto"/>
        <w:ind w:firstLine="420" w:firstLineChars="200"/>
        <w:rPr>
          <w:rFonts w:ascii="宋体" w:hAnsi="宋体"/>
        </w:rPr>
      </w:pPr>
      <w:r>
        <w:rPr>
          <w:rFonts w:hint="eastAsia" w:ascii="宋体" w:hAnsi="宋体"/>
        </w:rPr>
        <w:t>例1：某投资人通过直销机构投资10,000元认购本基金的A类基金份额，如果认购期内认购资金获得的利息为5元，则其可得到的A类基金份额计算如下：</w:t>
      </w:r>
    </w:p>
    <w:p>
      <w:pPr>
        <w:spacing w:line="360" w:lineRule="auto"/>
        <w:ind w:firstLine="420" w:firstLineChars="200"/>
        <w:rPr>
          <w:rFonts w:ascii="宋体" w:hAnsi="宋体"/>
        </w:rPr>
      </w:pPr>
      <w:r>
        <w:rPr>
          <w:rFonts w:hint="eastAsia" w:ascii="宋体" w:hAnsi="宋体"/>
        </w:rPr>
        <w:t>认购份额＝（10,000＋5）/1.00＝10,005.00份</w:t>
      </w:r>
    </w:p>
    <w:p>
      <w:pPr>
        <w:spacing w:line="360" w:lineRule="auto"/>
        <w:ind w:firstLine="420" w:firstLineChars="200"/>
        <w:rPr>
          <w:rFonts w:ascii="宋体" w:hAnsi="宋体"/>
        </w:rPr>
      </w:pPr>
      <w:r>
        <w:rPr>
          <w:rFonts w:hint="eastAsia" w:ascii="宋体" w:hAnsi="宋体"/>
        </w:rPr>
        <w:t>即投资人通过直销机构投资10,000元认购本基金的A类基金份额，加上认购资金在认购期内获得的利息，可得到10,005.00份A类基金份额。</w:t>
      </w:r>
    </w:p>
    <w:p>
      <w:pPr>
        <w:spacing w:line="360" w:lineRule="auto"/>
        <w:ind w:firstLine="420" w:firstLineChars="200"/>
        <w:rPr>
          <w:rFonts w:ascii="宋体" w:hAnsi="宋体"/>
        </w:rPr>
      </w:pPr>
      <w:r>
        <w:rPr>
          <w:rFonts w:hint="eastAsia" w:ascii="宋体" w:hAnsi="宋体"/>
        </w:rPr>
        <w:t>例2：某投资人通过非直销销售机构投资10,000元认购本基金的A类基金份额，如果认购期内认购资金获得的利息为5元，则其可得到的A类基金份额计算如下：</w:t>
      </w:r>
    </w:p>
    <w:p>
      <w:pPr>
        <w:spacing w:line="360" w:lineRule="auto"/>
        <w:ind w:firstLine="420" w:firstLineChars="200"/>
        <w:rPr>
          <w:rFonts w:ascii="宋体" w:hAnsi="宋体"/>
        </w:rPr>
      </w:pPr>
      <w:r>
        <w:rPr>
          <w:rFonts w:hint="eastAsia" w:ascii="宋体" w:hAnsi="宋体"/>
        </w:rPr>
        <w:t>净认购金额＝10,000/（1+0.80%）＝9,920.63元</w:t>
      </w:r>
    </w:p>
    <w:p>
      <w:pPr>
        <w:spacing w:line="360" w:lineRule="auto"/>
        <w:ind w:firstLine="420" w:firstLineChars="200"/>
        <w:rPr>
          <w:rFonts w:ascii="宋体" w:hAnsi="宋体"/>
        </w:rPr>
      </w:pPr>
      <w:r>
        <w:rPr>
          <w:rFonts w:hint="eastAsia" w:ascii="宋体" w:hAnsi="宋体"/>
        </w:rPr>
        <w:t>认购费用＝10,000－9,920.63＝79.37元</w:t>
      </w:r>
    </w:p>
    <w:p>
      <w:pPr>
        <w:spacing w:line="360" w:lineRule="auto"/>
        <w:ind w:firstLine="420" w:firstLineChars="200"/>
        <w:rPr>
          <w:rFonts w:ascii="宋体" w:hAnsi="宋体"/>
        </w:rPr>
      </w:pPr>
      <w:r>
        <w:rPr>
          <w:rFonts w:hint="eastAsia" w:ascii="宋体" w:hAnsi="宋体"/>
        </w:rPr>
        <w:t>认购份额＝（9,920.63＋5）/1.00＝9,925.63份</w:t>
      </w:r>
    </w:p>
    <w:p>
      <w:pPr>
        <w:spacing w:line="360" w:lineRule="auto"/>
        <w:ind w:firstLine="420" w:firstLineChars="200"/>
        <w:rPr>
          <w:rFonts w:ascii="宋体" w:hAnsi="宋体"/>
        </w:rPr>
      </w:pPr>
      <w:r>
        <w:rPr>
          <w:rFonts w:hint="eastAsia" w:ascii="宋体" w:hAnsi="宋体"/>
        </w:rPr>
        <w:t>即投资人通过非直销销售机构投资10,000元认购本基金的A类基金份额，加上认购资金在认购期内获得的利息，可得到</w:t>
      </w:r>
      <w:r>
        <w:rPr>
          <w:rFonts w:ascii="宋体" w:hAnsi="宋体"/>
        </w:rPr>
        <w:t>9,925.63</w:t>
      </w:r>
      <w:r>
        <w:rPr>
          <w:rFonts w:hint="eastAsia" w:ascii="宋体" w:hAnsi="宋体"/>
        </w:rPr>
        <w:t>份A类基金份额。</w:t>
      </w:r>
    </w:p>
    <w:p>
      <w:pPr>
        <w:spacing w:line="360" w:lineRule="auto"/>
        <w:ind w:firstLine="420" w:firstLineChars="200"/>
        <w:rPr>
          <w:rFonts w:ascii="宋体" w:hAnsi="宋体"/>
        </w:rPr>
      </w:pPr>
      <w:r>
        <w:rPr>
          <w:rFonts w:hint="eastAsia" w:ascii="宋体" w:hAnsi="宋体"/>
        </w:rPr>
        <w:t>（2）C类基金份额的认购份额计算方法</w:t>
      </w:r>
    </w:p>
    <w:p>
      <w:pPr>
        <w:spacing w:line="360" w:lineRule="auto"/>
        <w:ind w:firstLine="420" w:firstLineChars="200"/>
        <w:rPr>
          <w:rFonts w:ascii="宋体" w:hAnsi="宋体"/>
        </w:rPr>
      </w:pPr>
      <w:r>
        <w:rPr>
          <w:rFonts w:hint="eastAsia" w:ascii="宋体" w:hAnsi="宋体"/>
        </w:rPr>
        <w:t>投资者认购C类基金份额，认购份额的计算方式如下：</w:t>
      </w:r>
    </w:p>
    <w:p>
      <w:pPr>
        <w:spacing w:line="360" w:lineRule="auto"/>
        <w:ind w:firstLine="420" w:firstLineChars="200"/>
        <w:rPr>
          <w:rFonts w:ascii="宋体" w:hAnsi="宋体"/>
        </w:rPr>
      </w:pPr>
      <w:r>
        <w:rPr>
          <w:rFonts w:hint="eastAsia" w:ascii="宋体" w:hAnsi="宋体"/>
        </w:rPr>
        <w:t>认购份额＝（认购金额＋认购利息）/认购价格</w:t>
      </w:r>
    </w:p>
    <w:p>
      <w:pPr>
        <w:spacing w:line="360" w:lineRule="auto"/>
        <w:ind w:firstLine="420" w:firstLineChars="200"/>
        <w:rPr>
          <w:rFonts w:ascii="宋体" w:hAnsi="宋体"/>
        </w:rPr>
      </w:pPr>
      <w:r>
        <w:rPr>
          <w:rFonts w:hint="eastAsia" w:ascii="宋体" w:hAnsi="宋体"/>
        </w:rPr>
        <w:t>认购份额（含利息折算的份额）的计算保留到小数点后2位，小数点2位以后的部分四舍五入，由此误差产生的收益或损失由基金财产承担。</w:t>
      </w:r>
    </w:p>
    <w:p>
      <w:pPr>
        <w:spacing w:line="360" w:lineRule="auto"/>
        <w:ind w:firstLine="420" w:firstLineChars="200"/>
        <w:rPr>
          <w:rFonts w:ascii="宋体" w:hAnsi="宋体"/>
        </w:rPr>
      </w:pPr>
      <w:r>
        <w:rPr>
          <w:rFonts w:hint="eastAsia" w:ascii="宋体" w:hAnsi="宋体"/>
        </w:rPr>
        <w:t>例：某投资人投资10,000元认购本基金的C类基金份额，如果认购期内认购资金获得的利息为5元，则其可得到的C类基金份额计算如下：</w:t>
      </w:r>
    </w:p>
    <w:p>
      <w:pPr>
        <w:spacing w:line="360" w:lineRule="auto"/>
        <w:ind w:firstLine="420" w:firstLineChars="200"/>
        <w:rPr>
          <w:rFonts w:ascii="宋体" w:hAnsi="宋体"/>
        </w:rPr>
      </w:pPr>
      <w:r>
        <w:rPr>
          <w:rFonts w:hint="eastAsia" w:ascii="宋体" w:hAnsi="宋体"/>
        </w:rPr>
        <w:t>认购份额=（10,000＋5）/1.00=10,005.00份</w:t>
      </w:r>
    </w:p>
    <w:p>
      <w:pPr>
        <w:spacing w:line="360" w:lineRule="auto"/>
        <w:ind w:firstLine="420" w:firstLineChars="200"/>
      </w:pPr>
      <w:r>
        <w:rPr>
          <w:rFonts w:hint="eastAsia" w:ascii="宋体" w:hAnsi="宋体"/>
        </w:rPr>
        <w:t>即投资人投资10,000元认购本基金的C类基金份额，加上认购资金在认购期内获得的利息，可得到10,005.00份C类基金份额。</w:t>
      </w:r>
    </w:p>
    <w:p>
      <w:pPr>
        <w:spacing w:line="360" w:lineRule="auto"/>
        <w:ind w:firstLine="420" w:firstLineChars="200"/>
        <w:rPr>
          <w:rFonts w:ascii="宋体" w:hAnsi="宋体"/>
        </w:rPr>
      </w:pPr>
      <w:r>
        <w:rPr>
          <w:rFonts w:ascii="宋体" w:hAnsi="宋体"/>
        </w:rPr>
        <w:t>8</w:t>
      </w:r>
      <w:r>
        <w:rPr>
          <w:rFonts w:hint="eastAsia" w:ascii="宋体" w:hAnsi="宋体"/>
        </w:rPr>
        <w:t>、</w:t>
      </w:r>
      <w:r>
        <w:rPr>
          <w:rFonts w:ascii="宋体" w:hAnsi="宋体"/>
        </w:rPr>
        <w:t>认购的方法与确认</w:t>
      </w:r>
    </w:p>
    <w:p>
      <w:pPr>
        <w:spacing w:line="360" w:lineRule="auto"/>
        <w:ind w:firstLine="420" w:firstLineChars="200"/>
        <w:rPr>
          <w:rFonts w:ascii="宋体" w:hAnsi="宋体"/>
        </w:rPr>
      </w:pPr>
      <w:r>
        <w:rPr>
          <w:rFonts w:hint="eastAsia" w:ascii="宋体" w:hAnsi="宋体"/>
        </w:rPr>
        <w:t>（1）</w:t>
      </w:r>
      <w:r>
        <w:rPr>
          <w:rFonts w:ascii="宋体" w:hAnsi="宋体"/>
        </w:rPr>
        <w:t>认购方法</w:t>
      </w:r>
    </w:p>
    <w:p>
      <w:pPr>
        <w:spacing w:line="360" w:lineRule="auto"/>
        <w:ind w:firstLine="420" w:firstLineChars="200"/>
        <w:rPr>
          <w:rFonts w:ascii="宋体" w:hAnsi="宋体"/>
        </w:rPr>
      </w:pPr>
      <w:r>
        <w:rPr>
          <w:rFonts w:ascii="宋体" w:hAnsi="宋体"/>
        </w:rPr>
        <w:t>投资者认购时间安排、投资者认购应提交的文件和办理的手续，由基金管理人根据相关法律法规及本基金基金合同，在基金份额发售公告中确定并披露。</w:t>
      </w:r>
    </w:p>
    <w:p>
      <w:pPr>
        <w:spacing w:line="360" w:lineRule="auto"/>
        <w:ind w:firstLine="420" w:firstLineChars="200"/>
        <w:rPr>
          <w:rFonts w:ascii="宋体" w:hAnsi="宋体"/>
        </w:rPr>
      </w:pPr>
      <w:r>
        <w:rPr>
          <w:rFonts w:hint="eastAsia" w:ascii="宋体" w:hAnsi="宋体"/>
        </w:rPr>
        <w:t>（2）</w:t>
      </w:r>
      <w:r>
        <w:rPr>
          <w:rFonts w:ascii="宋体" w:hAnsi="宋体"/>
        </w:rPr>
        <w:t>认购确认</w:t>
      </w:r>
    </w:p>
    <w:p>
      <w:pPr>
        <w:spacing w:line="360" w:lineRule="auto"/>
        <w:ind w:firstLine="420" w:firstLineChars="200"/>
        <w:rPr>
          <w:rFonts w:ascii="宋体" w:hAnsi="宋体"/>
        </w:rPr>
      </w:pPr>
      <w:r>
        <w:rPr>
          <w:rFonts w:ascii="宋体" w:hAnsi="宋体"/>
        </w:rPr>
        <w:t>销售</w:t>
      </w:r>
      <w:r>
        <w:rPr>
          <w:rFonts w:hint="eastAsia" w:ascii="宋体" w:hAnsi="宋体"/>
        </w:rPr>
        <w:t>机构</w:t>
      </w:r>
      <w:r>
        <w:rPr>
          <w:rFonts w:ascii="宋体" w:hAnsi="宋体"/>
        </w:rPr>
        <w:t>（包括</w:t>
      </w:r>
      <w:r>
        <w:rPr>
          <w:rFonts w:hint="eastAsia" w:ascii="宋体" w:hAnsi="宋体"/>
        </w:rPr>
        <w:t>基金管理人的直销柜台、基金管理人电子自助交易系统</w:t>
      </w:r>
      <w:r>
        <w:rPr>
          <w:rFonts w:ascii="宋体" w:hAnsi="宋体"/>
        </w:rPr>
        <w:t>和</w:t>
      </w:r>
      <w:r>
        <w:rPr>
          <w:rFonts w:hint="eastAsia" w:ascii="宋体" w:hAnsi="宋体"/>
        </w:rPr>
        <w:t>非直销销售机构</w:t>
      </w:r>
      <w:r>
        <w:rPr>
          <w:rFonts w:ascii="宋体" w:hAnsi="宋体"/>
        </w:rPr>
        <w:t>）</w:t>
      </w:r>
      <w:r>
        <w:rPr>
          <w:rFonts w:hint="eastAsia" w:ascii="宋体" w:hAnsi="宋体"/>
        </w:rPr>
        <w:t>对认购申请的受理并不代表该申请一定成功，而仅代表销售机构确实接收到认购申请。认购的确认以登记机构的确认结果为准。</w:t>
      </w:r>
      <w:r>
        <w:rPr>
          <w:rFonts w:ascii="宋体" w:hAnsi="宋体"/>
        </w:rPr>
        <w:t>对于认购申请及认购份额的确认情况，</w:t>
      </w:r>
      <w:r>
        <w:rPr>
          <w:rFonts w:hint="eastAsia" w:ascii="宋体" w:hAnsi="宋体"/>
        </w:rPr>
        <w:t>投资人应及时查询并妥善行使合法权利。否则，由此产生的任何损失由投资人自行承担。</w:t>
      </w:r>
    </w:p>
    <w:p>
      <w:pPr>
        <w:spacing w:line="360" w:lineRule="auto"/>
        <w:ind w:firstLine="420" w:firstLineChars="200"/>
        <w:rPr>
          <w:rFonts w:ascii="宋体" w:hAnsi="宋体"/>
        </w:rPr>
      </w:pPr>
      <w:r>
        <w:rPr>
          <w:rFonts w:ascii="宋体" w:hAnsi="宋体"/>
        </w:rPr>
        <w:t>9</w:t>
      </w:r>
      <w:r>
        <w:rPr>
          <w:rFonts w:hint="eastAsia" w:ascii="宋体" w:hAnsi="宋体"/>
        </w:rPr>
        <w:t>、发起资金的认购</w:t>
      </w:r>
    </w:p>
    <w:p>
      <w:pPr>
        <w:spacing w:line="360" w:lineRule="auto"/>
        <w:ind w:firstLine="420" w:firstLineChars="200"/>
        <w:rPr>
          <w:rFonts w:ascii="宋体" w:hAnsi="宋体"/>
        </w:rPr>
      </w:pPr>
      <w:r>
        <w:rPr>
          <w:rFonts w:hint="eastAsia" w:ascii="宋体" w:hAnsi="宋体"/>
        </w:rPr>
        <w:t>本基金发起资金认购的金额不少于1000万元，且发起资金认购的基金份额持有期限不少于3年，法律法规或中国证监会另有规定的除外</w:t>
      </w:r>
      <w:r>
        <w:rPr>
          <w:rFonts w:ascii="宋体" w:hAnsi="宋体"/>
        </w:rPr>
        <w:t>。</w:t>
      </w:r>
    </w:p>
    <w:p>
      <w:pPr>
        <w:spacing w:line="360" w:lineRule="auto"/>
        <w:ind w:firstLine="420" w:firstLineChars="200"/>
        <w:rPr>
          <w:rFonts w:ascii="宋体" w:hAnsi="宋体"/>
        </w:rPr>
      </w:pPr>
      <w:r>
        <w:rPr>
          <w:rFonts w:hint="eastAsia" w:ascii="宋体" w:hAnsi="宋体"/>
        </w:rPr>
        <w:t>10、募集期间认购资金利息的处理方式</w:t>
      </w:r>
    </w:p>
    <w:p>
      <w:pPr>
        <w:spacing w:line="360" w:lineRule="auto"/>
        <w:ind w:firstLine="420" w:firstLineChars="200"/>
        <w:rPr>
          <w:rFonts w:ascii="宋体" w:hAnsi="宋体"/>
        </w:rPr>
      </w:pPr>
      <w:r>
        <w:rPr>
          <w:rFonts w:ascii="宋体" w:hAnsi="宋体"/>
        </w:rPr>
        <w:t>有效认购款项在募集期间产生的利息将折算为基金份额归基金份额持有人所有，其中利息转份额</w:t>
      </w:r>
      <w:r>
        <w:rPr>
          <w:rFonts w:hint="eastAsia" w:ascii="宋体" w:hAnsi="宋体"/>
        </w:rPr>
        <w:t>的具体数额</w:t>
      </w:r>
      <w:r>
        <w:rPr>
          <w:rFonts w:ascii="宋体" w:hAnsi="宋体"/>
        </w:rPr>
        <w:t>以登记机构的记录为准。</w:t>
      </w:r>
    </w:p>
    <w:p>
      <w:pPr>
        <w:spacing w:line="360" w:lineRule="auto"/>
        <w:ind w:firstLine="420" w:firstLineChars="200"/>
        <w:rPr>
          <w:rFonts w:ascii="宋体" w:hAnsi="宋体"/>
        </w:rPr>
      </w:pPr>
      <w:r>
        <w:rPr>
          <w:rFonts w:ascii="宋体" w:hAnsi="宋体"/>
        </w:rPr>
        <w:t>（</w:t>
      </w:r>
      <w:r>
        <w:rPr>
          <w:rFonts w:hint="eastAsia" w:ascii="宋体" w:hAnsi="宋体"/>
        </w:rPr>
        <w:t>十三</w:t>
      </w:r>
      <w:r>
        <w:rPr>
          <w:rFonts w:ascii="宋体" w:hAnsi="宋体"/>
        </w:rPr>
        <w:t>）募集资金</w:t>
      </w:r>
    </w:p>
    <w:p>
      <w:pPr>
        <w:spacing w:line="360" w:lineRule="auto"/>
        <w:ind w:firstLine="420" w:firstLineChars="200"/>
        <w:rPr>
          <w:rFonts w:ascii="宋体" w:hAnsi="宋体"/>
        </w:rPr>
      </w:pPr>
      <w:r>
        <w:rPr>
          <w:rFonts w:ascii="宋体" w:hAnsi="宋体"/>
        </w:rPr>
        <w:t>基金募集期间募集的资金存入专门账户，在基金募集结束前任何人不得动用。</w:t>
      </w:r>
    </w:p>
    <w:p>
      <w:pPr>
        <w:spacing w:line="360" w:lineRule="auto"/>
        <w:ind w:firstLine="420" w:firstLineChars="200"/>
        <w:rPr>
          <w:rFonts w:ascii="宋体" w:hAnsi="宋体"/>
        </w:rPr>
      </w:pPr>
      <w:r>
        <w:rPr>
          <w:rFonts w:hint="eastAsia" w:ascii="宋体" w:hAnsi="宋体"/>
        </w:rPr>
        <w:t>基金合同生效前所发生的信息披露费、律师费和会计师费以及其他费用不从基金财产中支付。</w:t>
      </w:r>
    </w:p>
    <w:p>
      <w:pPr>
        <w:pStyle w:val="4"/>
        <w:spacing w:before="400" w:after="400"/>
        <w:rPr>
          <w:rFonts w:hAnsi="宋体"/>
          <w:sz w:val="32"/>
        </w:rPr>
      </w:pPr>
      <w:r>
        <w:rPr>
          <w:rFonts w:hAnsi="宋体"/>
        </w:rPr>
        <w:br w:type="page"/>
      </w:r>
      <w:bookmarkStart w:id="107" w:name="_Toc203806290"/>
      <w:bookmarkStart w:id="108" w:name="_Toc203357154"/>
      <w:bookmarkStart w:id="109" w:name="_Toc106863369"/>
      <w:bookmarkStart w:id="110" w:name="_Toc106894878"/>
      <w:bookmarkStart w:id="111" w:name="_Toc55987063"/>
      <w:bookmarkStart w:id="112" w:name="_Toc106961484"/>
      <w:bookmarkStart w:id="113" w:name="_Toc106862758"/>
      <w:bookmarkStart w:id="114" w:name="_Toc116052553"/>
      <w:bookmarkStart w:id="115" w:name="_Toc106894680"/>
      <w:bookmarkStart w:id="116" w:name="_Toc16920829"/>
      <w:bookmarkStart w:id="117" w:name="_Toc116052787"/>
      <w:bookmarkStart w:id="118" w:name="_Hlk196831283"/>
      <w:bookmarkStart w:id="119" w:name="_Hlk29763802"/>
      <w:r>
        <w:rPr>
          <w:rFonts w:hAnsi="宋体"/>
          <w:sz w:val="32"/>
        </w:rPr>
        <w:t>七、基金合同的生效</w:t>
      </w:r>
      <w:bookmarkEnd w:id="107"/>
      <w:bookmarkEnd w:id="108"/>
      <w:bookmarkEnd w:id="109"/>
      <w:bookmarkEnd w:id="110"/>
      <w:bookmarkEnd w:id="111"/>
      <w:bookmarkEnd w:id="112"/>
      <w:bookmarkEnd w:id="113"/>
      <w:bookmarkEnd w:id="114"/>
      <w:bookmarkEnd w:id="115"/>
      <w:bookmarkEnd w:id="116"/>
      <w:bookmarkEnd w:id="117"/>
    </w:p>
    <w:p>
      <w:pPr>
        <w:spacing w:line="360" w:lineRule="auto"/>
        <w:ind w:firstLine="420" w:firstLineChars="200"/>
        <w:rPr>
          <w:rFonts w:ascii="宋体" w:hAnsi="宋体"/>
        </w:rPr>
      </w:pPr>
      <w:bookmarkStart w:id="120" w:name="OLE_LINK12"/>
      <w:bookmarkStart w:id="121" w:name="_Toc16920830"/>
      <w:r>
        <w:rPr>
          <w:rFonts w:ascii="宋体" w:hAnsi="宋体"/>
        </w:rPr>
        <w:t>（</w:t>
      </w:r>
      <w:r>
        <w:rPr>
          <w:rFonts w:hint="eastAsia" w:ascii="宋体" w:hAnsi="宋体"/>
        </w:rPr>
        <w:t>一</w:t>
      </w:r>
      <w:r>
        <w:rPr>
          <w:rFonts w:ascii="宋体" w:hAnsi="宋体"/>
        </w:rPr>
        <w:t>）</w:t>
      </w:r>
      <w:r>
        <w:rPr>
          <w:rFonts w:hint="eastAsia" w:ascii="宋体" w:hAnsi="宋体"/>
        </w:rPr>
        <w:t>基金备案</w:t>
      </w:r>
    </w:p>
    <w:p>
      <w:pPr>
        <w:spacing w:line="360" w:lineRule="auto"/>
        <w:ind w:firstLine="420" w:firstLineChars="200"/>
        <w:rPr>
          <w:rFonts w:ascii="宋体" w:hAnsi="宋体"/>
        </w:rPr>
      </w:pPr>
      <w:r>
        <w:rPr>
          <w:rFonts w:hint="eastAsia" w:ascii="宋体" w:hAnsi="宋体"/>
        </w:rPr>
        <w:t>本基金</w:t>
      </w:r>
      <w:r>
        <w:rPr>
          <w:rFonts w:ascii="宋体" w:hAnsi="宋体"/>
        </w:rPr>
        <w:t>自基金份额发售之日起</w:t>
      </w:r>
      <w:r>
        <w:rPr>
          <w:rFonts w:hint="eastAsia" w:ascii="宋体" w:hAnsi="宋体"/>
        </w:rPr>
        <w:t>3</w:t>
      </w:r>
      <w:r>
        <w:rPr>
          <w:rFonts w:ascii="宋体" w:hAnsi="宋体"/>
        </w:rPr>
        <w:t>个月内</w:t>
      </w:r>
      <w:r>
        <w:rPr>
          <w:rFonts w:hint="eastAsia" w:ascii="宋体" w:hAnsi="宋体"/>
        </w:rPr>
        <w:t>，在基金募集份额总额不少于1000万份，基金募集金额不少于1000万元人民币，</w:t>
      </w:r>
      <w:r>
        <w:rPr>
          <w:rFonts w:hint="eastAsia" w:ascii="宋体" w:hAnsi="宋体"/>
          <w:lang w:bidi="ar"/>
        </w:rPr>
        <w:t>且发起资金提供方认购本基金的金额不少于1000万元，发起资金提供方承诺持有期限不少于3年的</w:t>
      </w:r>
      <w:r>
        <w:rPr>
          <w:rFonts w:hint="eastAsia" w:ascii="宋体" w:hAnsi="宋体"/>
        </w:rPr>
        <w:t>条件下，基金募集期届满或基金管理人依据法律法规及招募说明书可以决定停止基金发售，并在</w:t>
      </w:r>
      <w:r>
        <w:rPr>
          <w:rFonts w:ascii="宋体" w:hAnsi="宋体"/>
        </w:rPr>
        <w:t>10</w:t>
      </w:r>
      <w:r>
        <w:rPr>
          <w:rFonts w:hint="eastAsia" w:ascii="宋体" w:hAnsi="宋体"/>
        </w:rPr>
        <w:t>日内聘请法定验资机构验资，</w:t>
      </w:r>
      <w:r>
        <w:rPr>
          <w:rFonts w:hint="eastAsia" w:ascii="宋体" w:hAnsi="宋体"/>
          <w:lang w:bidi="ar"/>
        </w:rPr>
        <w:t>验资报告需对发起资金提供方及其持有份额进行专门说明。基金管理人</w:t>
      </w:r>
      <w:r>
        <w:rPr>
          <w:rFonts w:hint="eastAsia" w:ascii="宋体" w:hAnsi="宋体"/>
        </w:rPr>
        <w:t>自收到验资报告之日起</w:t>
      </w:r>
      <w:r>
        <w:rPr>
          <w:rFonts w:ascii="宋体" w:hAnsi="宋体"/>
        </w:rPr>
        <w:t>10</w:t>
      </w:r>
      <w:r>
        <w:rPr>
          <w:rFonts w:hint="eastAsia" w:ascii="宋体" w:hAnsi="宋体"/>
        </w:rPr>
        <w:t>日内，向中国证监会办理基金备案手续。</w:t>
      </w:r>
    </w:p>
    <w:p>
      <w:pPr>
        <w:spacing w:line="360" w:lineRule="auto"/>
        <w:ind w:firstLine="420" w:firstLineChars="200"/>
        <w:rPr>
          <w:rFonts w:ascii="宋体" w:hAnsi="宋体"/>
        </w:rPr>
      </w:pPr>
      <w:r>
        <w:rPr>
          <w:rFonts w:hint="eastAsia" w:ascii="宋体" w:hAnsi="宋体"/>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基金合同不能生效时募集资金的处理方式</w:t>
      </w:r>
    </w:p>
    <w:p>
      <w:pPr>
        <w:spacing w:line="360" w:lineRule="auto"/>
        <w:ind w:firstLine="480"/>
        <w:rPr>
          <w:rFonts w:ascii="宋体" w:hAnsi="宋体"/>
        </w:rPr>
      </w:pPr>
      <w:r>
        <w:rPr>
          <w:rFonts w:hint="eastAsia" w:ascii="宋体" w:hAnsi="宋体"/>
        </w:rPr>
        <w:t>如果本基金募集期限届满，未满足基金备案条件，基金管理人应当承担下列责任：</w:t>
      </w:r>
    </w:p>
    <w:p>
      <w:pPr>
        <w:spacing w:line="360" w:lineRule="auto"/>
        <w:ind w:firstLine="480"/>
        <w:rPr>
          <w:rFonts w:ascii="宋体" w:hAnsi="宋体"/>
        </w:rPr>
      </w:pPr>
      <w:r>
        <w:rPr>
          <w:rFonts w:hint="eastAsia" w:ascii="宋体" w:hAnsi="宋体"/>
        </w:rPr>
        <w:t>1、以其固有财产承担因募集行为而产生的债务和费用；</w:t>
      </w:r>
    </w:p>
    <w:p>
      <w:pPr>
        <w:spacing w:line="360" w:lineRule="auto"/>
        <w:ind w:firstLine="480"/>
        <w:rPr>
          <w:rFonts w:ascii="宋体" w:hAnsi="宋体"/>
        </w:rPr>
      </w:pPr>
      <w:r>
        <w:rPr>
          <w:rFonts w:hint="eastAsia" w:ascii="宋体" w:hAnsi="宋体"/>
        </w:rPr>
        <w:t>2、在基金募集期限届满后30日内返还投资者已交纳的款项，并加计银行同期活期存款利息；</w:t>
      </w:r>
    </w:p>
    <w:p>
      <w:pPr>
        <w:spacing w:line="360" w:lineRule="auto"/>
        <w:ind w:firstLine="480"/>
        <w:rPr>
          <w:rFonts w:ascii="宋体" w:hAnsi="宋体"/>
        </w:rPr>
      </w:pPr>
      <w:r>
        <w:rPr>
          <w:rFonts w:hint="eastAsia" w:ascii="宋体" w:hAnsi="宋体"/>
        </w:rPr>
        <w:t>3、</w:t>
      </w:r>
      <w:r>
        <w:rPr>
          <w:rFonts w:ascii="宋体" w:hAnsi="宋体"/>
        </w:rPr>
        <w:t>如基金募集失败，</w:t>
      </w:r>
      <w:r>
        <w:rPr>
          <w:rFonts w:hint="eastAsia" w:ascii="宋体" w:hAnsi="宋体"/>
        </w:rPr>
        <w:t>基金管理人、基金托管人及销售机构不得请求报酬。基金管理人、基金托管人和销售机构为基金募集支付之一切费用应由各方各自承担。</w:t>
      </w:r>
    </w:p>
    <w:p>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基金存续期内的基金份额持有人数量和资产规模</w:t>
      </w:r>
    </w:p>
    <w:p>
      <w:pPr>
        <w:spacing w:line="360" w:lineRule="auto"/>
        <w:ind w:firstLine="480"/>
        <w:rPr>
          <w:rFonts w:ascii="宋体" w:hAnsi="宋体"/>
        </w:rPr>
      </w:pPr>
      <w:r>
        <w:rPr>
          <w:rFonts w:hint="eastAsia" w:ascii="宋体" w:hAnsi="宋体"/>
        </w:rPr>
        <w:t>《基金合同》生效满3年后的对应日，若基金资产净值低于2亿元，《基金合同》应当终止，且不得通过召开基金份额持有人大会的方式延续。若届时的法律法规或中国证监会规定发生变化，上述终止规定被取消、更改或补充时，则本基金可以参照届时有效的法律法规或中国证监会规定执行。</w:t>
      </w:r>
    </w:p>
    <w:p>
      <w:pPr>
        <w:spacing w:line="360" w:lineRule="auto"/>
        <w:ind w:firstLine="480"/>
        <w:rPr>
          <w:rFonts w:ascii="宋体" w:hAnsi="宋体"/>
        </w:rPr>
      </w:pPr>
      <w:r>
        <w:rPr>
          <w:rFonts w:hint="eastAsia" w:ascii="宋体" w:hAnsi="宋体"/>
        </w:rPr>
        <w:t>《基金合同》生效满3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进行表决。</w:t>
      </w:r>
    </w:p>
    <w:p>
      <w:pPr>
        <w:spacing w:line="360" w:lineRule="auto"/>
        <w:ind w:firstLine="480"/>
        <w:rPr>
          <w:rFonts w:ascii="宋体" w:hAnsi="宋体"/>
        </w:rPr>
      </w:pPr>
      <w:r>
        <w:rPr>
          <w:rFonts w:hint="eastAsia" w:ascii="宋体" w:hAnsi="宋体"/>
        </w:rPr>
        <w:t>法律法规或中国证监会另有规定时，从其规定。</w:t>
      </w:r>
    </w:p>
    <w:bookmarkEnd w:id="120"/>
    <w:p>
      <w:pPr>
        <w:pStyle w:val="4"/>
        <w:spacing w:before="400" w:after="400"/>
        <w:rPr>
          <w:rFonts w:hAnsi="宋体"/>
          <w:sz w:val="32"/>
        </w:rPr>
      </w:pPr>
      <w:r>
        <w:rPr>
          <w:rFonts w:hAnsi="宋体"/>
        </w:rPr>
        <w:br w:type="page"/>
      </w:r>
      <w:bookmarkStart w:id="122" w:name="_Toc203806291"/>
      <w:bookmarkStart w:id="123" w:name="_Toc106961485"/>
      <w:bookmarkStart w:id="124" w:name="_Toc76969591"/>
      <w:bookmarkStart w:id="125" w:name="_Toc106894681"/>
      <w:bookmarkStart w:id="126" w:name="_Toc106862759"/>
      <w:bookmarkStart w:id="127" w:name="_Toc106863370"/>
      <w:bookmarkStart w:id="128" w:name="_Toc106894879"/>
      <w:bookmarkStart w:id="129" w:name="_Toc116052788"/>
      <w:bookmarkStart w:id="130" w:name="_Toc55987064"/>
      <w:bookmarkStart w:id="131" w:name="_Toc203357155"/>
      <w:bookmarkStart w:id="132" w:name="_Toc116052554"/>
      <w:r>
        <w:rPr>
          <w:rFonts w:hAnsi="宋体"/>
          <w:sz w:val="32"/>
        </w:rPr>
        <w:t>八、</w:t>
      </w:r>
      <w:bookmarkEnd w:id="122"/>
      <w:bookmarkStart w:id="133" w:name="_Toc203806292"/>
      <w:r>
        <w:rPr>
          <w:rFonts w:hAnsi="宋体"/>
          <w:sz w:val="32"/>
        </w:rPr>
        <w:t>基金份额的申购、赎回</w:t>
      </w:r>
      <w:bookmarkEnd w:id="123"/>
      <w:bookmarkEnd w:id="124"/>
      <w:bookmarkEnd w:id="125"/>
      <w:bookmarkEnd w:id="126"/>
      <w:bookmarkEnd w:id="127"/>
      <w:bookmarkEnd w:id="128"/>
      <w:r>
        <w:rPr>
          <w:rFonts w:hAnsi="宋体"/>
          <w:sz w:val="32"/>
        </w:rPr>
        <w:t>与转换</w:t>
      </w:r>
      <w:bookmarkEnd w:id="129"/>
      <w:bookmarkEnd w:id="130"/>
      <w:bookmarkEnd w:id="131"/>
      <w:bookmarkEnd w:id="132"/>
      <w:bookmarkEnd w:id="133"/>
    </w:p>
    <w:p>
      <w:pPr>
        <w:spacing w:line="360" w:lineRule="auto"/>
        <w:ind w:firstLine="420" w:firstLineChars="200"/>
        <w:rPr>
          <w:rFonts w:ascii="宋体" w:hAnsi="宋体"/>
        </w:rPr>
      </w:pPr>
      <w:bookmarkStart w:id="134" w:name="OLE_LINK13"/>
      <w:r>
        <w:rPr>
          <w:rFonts w:ascii="宋体" w:hAnsi="宋体"/>
        </w:rPr>
        <w:t>（一）申购</w:t>
      </w:r>
      <w:r>
        <w:rPr>
          <w:rFonts w:hint="eastAsia" w:ascii="宋体" w:hAnsi="宋体"/>
        </w:rPr>
        <w:t>和</w:t>
      </w:r>
      <w:r>
        <w:rPr>
          <w:rFonts w:ascii="宋体" w:hAnsi="宋体"/>
        </w:rPr>
        <w:t>赎回场所</w:t>
      </w:r>
    </w:p>
    <w:p>
      <w:pPr>
        <w:spacing w:line="360" w:lineRule="auto"/>
        <w:ind w:firstLine="420" w:firstLineChars="200"/>
        <w:rPr>
          <w:rFonts w:ascii="宋体" w:hAnsi="宋体"/>
        </w:rPr>
      </w:pPr>
      <w:r>
        <w:rPr>
          <w:rFonts w:hint="eastAsia" w:ascii="宋体" w:hAnsi="宋体"/>
        </w:rPr>
        <w:t>本基金的申购与赎回将通过销售机构进行。具体的销售机构将由基金管理人在招募说明书或基金管理人网站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20" w:firstLineChars="200"/>
        <w:rPr>
          <w:rFonts w:ascii="宋体" w:hAnsi="宋体"/>
        </w:rPr>
      </w:pPr>
      <w:r>
        <w:rPr>
          <w:rFonts w:ascii="宋体" w:hAnsi="宋体"/>
        </w:rPr>
        <w:t>（二）申购</w:t>
      </w:r>
      <w:r>
        <w:rPr>
          <w:rFonts w:hint="eastAsia" w:ascii="宋体" w:hAnsi="宋体"/>
        </w:rPr>
        <w:t>和</w:t>
      </w:r>
      <w:r>
        <w:rPr>
          <w:rFonts w:ascii="宋体" w:hAnsi="宋体"/>
        </w:rPr>
        <w:t>赎回的开放日及时间</w:t>
      </w:r>
    </w:p>
    <w:p>
      <w:pPr>
        <w:spacing w:line="360" w:lineRule="auto"/>
        <w:ind w:firstLine="420" w:firstLineChars="200"/>
        <w:rPr>
          <w:rFonts w:ascii="宋体" w:hAnsi="宋体"/>
        </w:rPr>
      </w:pPr>
      <w:r>
        <w:rPr>
          <w:rFonts w:hint="eastAsia" w:ascii="宋体" w:hAnsi="宋体"/>
        </w:rPr>
        <w:t>1、开放日及开放时间</w:t>
      </w:r>
    </w:p>
    <w:p>
      <w:pPr>
        <w:spacing w:line="360" w:lineRule="auto"/>
        <w:ind w:firstLine="420" w:firstLineChars="200"/>
        <w:rPr>
          <w:rFonts w:ascii="宋体" w:hAnsi="宋体"/>
        </w:rPr>
      </w:pPr>
      <w:r>
        <w:rPr>
          <w:rFonts w:hint="eastAsia" w:ascii="宋体" w:hAnsi="宋体"/>
        </w:rPr>
        <w:t>投资人在开放日办理基金份额的申购和赎回，具体办理时间为上海证券交易所、深圳证券交易所的正常交易日的交易时间（若该交易日为非港股通交易日，则本基金不开放），但基金管理人根据法律法规、中国证监会的要求或基金合同的规定公告暂停申购、赎回时除外。</w:t>
      </w:r>
    </w:p>
    <w:p>
      <w:pPr>
        <w:widowControl/>
        <w:spacing w:line="360" w:lineRule="auto"/>
        <w:ind w:firstLine="420" w:firstLineChars="200"/>
        <w:jc w:val="left"/>
        <w:rPr>
          <w:rFonts w:ascii="宋体" w:hAnsi="宋体"/>
        </w:rPr>
      </w:pPr>
      <w:r>
        <w:rPr>
          <w:rFonts w:hint="eastAsia" w:ascii="宋体" w:hAnsi="宋体"/>
          <w:lang w:bidi="ar"/>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pPr>
        <w:spacing w:line="360" w:lineRule="auto"/>
        <w:ind w:firstLine="420" w:firstLineChars="200"/>
        <w:rPr>
          <w:rFonts w:ascii="宋体" w:hAnsi="宋体"/>
        </w:rPr>
      </w:pPr>
      <w:r>
        <w:rPr>
          <w:rFonts w:hint="eastAsia" w:ascii="宋体" w:hAnsi="宋体"/>
        </w:rPr>
        <w:t>2、申购、赎回开始日及业务办理时间</w:t>
      </w:r>
    </w:p>
    <w:p>
      <w:pPr>
        <w:spacing w:line="360" w:lineRule="auto"/>
        <w:ind w:firstLine="420" w:firstLineChars="200"/>
        <w:rPr>
          <w:rFonts w:ascii="宋体" w:hAnsi="宋体"/>
        </w:rPr>
      </w:pPr>
      <w:r>
        <w:rPr>
          <w:rFonts w:hint="eastAsia" w:ascii="宋体" w:hAnsi="宋体"/>
        </w:rPr>
        <w:t>基金管理人自基金合同生效之日起不超过3个月开始办理申购，具体业务办理时间在申购开始公告中规定。</w:t>
      </w:r>
    </w:p>
    <w:p>
      <w:pPr>
        <w:spacing w:line="360" w:lineRule="auto"/>
        <w:ind w:firstLine="420" w:firstLineChars="200"/>
        <w:rPr>
          <w:rFonts w:ascii="宋体" w:hAnsi="宋体"/>
        </w:rPr>
      </w:pPr>
      <w:r>
        <w:rPr>
          <w:rFonts w:hint="eastAsia" w:ascii="宋体" w:hAnsi="宋体"/>
        </w:rPr>
        <w:t>基金管理人自基金合同生效之日起不超过3个月开始办理赎回，具体业务办理时间在赎回开始公告中规定。</w:t>
      </w:r>
    </w:p>
    <w:p>
      <w:pPr>
        <w:spacing w:line="360" w:lineRule="auto"/>
        <w:ind w:firstLine="420" w:firstLineChars="200"/>
        <w:rPr>
          <w:rFonts w:ascii="宋体" w:hAnsi="宋体"/>
        </w:rPr>
      </w:pPr>
      <w:r>
        <w:rPr>
          <w:rFonts w:hint="eastAsia" w:ascii="宋体" w:hAnsi="宋体"/>
        </w:rPr>
        <w:t>在确定申购开始与赎回开始时间后，基金管理人应在申购、赎回开放日前依照《信息披露办法》的有关规定在规定媒介上公告申购与赎回的开始时间。</w:t>
      </w:r>
    </w:p>
    <w:p>
      <w:pPr>
        <w:spacing w:line="360" w:lineRule="auto"/>
        <w:ind w:firstLine="420" w:firstLineChars="200"/>
        <w:rPr>
          <w:rFonts w:ascii="宋体" w:hAnsi="宋体"/>
        </w:rPr>
      </w:pPr>
      <w:r>
        <w:rPr>
          <w:rFonts w:hint="eastAsia" w:ascii="宋体" w:hAnsi="宋体"/>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pPr>
        <w:spacing w:line="360" w:lineRule="auto"/>
        <w:ind w:firstLine="420" w:firstLineChars="200"/>
        <w:rPr>
          <w:rFonts w:ascii="宋体" w:hAnsi="宋体"/>
        </w:rPr>
      </w:pPr>
      <w:r>
        <w:rPr>
          <w:rFonts w:hint="eastAsia" w:ascii="宋体" w:hAnsi="宋体"/>
        </w:rPr>
        <w:t>（三）申购与赎回的原则</w:t>
      </w:r>
    </w:p>
    <w:p>
      <w:pPr>
        <w:spacing w:line="360" w:lineRule="auto"/>
        <w:ind w:firstLine="420" w:firstLineChars="200"/>
        <w:rPr>
          <w:rFonts w:ascii="宋体" w:hAnsi="宋体"/>
        </w:rPr>
      </w:pPr>
      <w:r>
        <w:rPr>
          <w:rFonts w:hint="eastAsia" w:ascii="宋体" w:hAnsi="宋体"/>
        </w:rPr>
        <w:t>1、“未知价”原则，即申购、赎回价格以申请当日收市后计算的该类基金份额净值为基准进行计算；</w:t>
      </w:r>
    </w:p>
    <w:p>
      <w:pPr>
        <w:spacing w:line="360" w:lineRule="auto"/>
        <w:ind w:firstLine="420" w:firstLineChars="200"/>
        <w:rPr>
          <w:rFonts w:ascii="宋体" w:hAnsi="宋体"/>
        </w:rPr>
      </w:pPr>
      <w:r>
        <w:rPr>
          <w:rFonts w:hint="eastAsia" w:ascii="宋体" w:hAnsi="宋体"/>
        </w:rPr>
        <w:t>2、“金额申购、份额赎回”原则，即申购以金额申请，赎回以份额申请；</w:t>
      </w:r>
    </w:p>
    <w:p>
      <w:pPr>
        <w:spacing w:line="360" w:lineRule="auto"/>
        <w:ind w:firstLine="420" w:firstLineChars="200"/>
        <w:rPr>
          <w:rFonts w:ascii="宋体" w:hAnsi="宋体"/>
        </w:rPr>
      </w:pPr>
      <w:r>
        <w:rPr>
          <w:rFonts w:hint="eastAsia" w:ascii="宋体" w:hAnsi="宋体"/>
        </w:rPr>
        <w:t>3、当日的申购与赎回申请可以在基金管理人规定的时间以内撤销；</w:t>
      </w:r>
    </w:p>
    <w:p>
      <w:pPr>
        <w:spacing w:line="360" w:lineRule="auto"/>
        <w:ind w:firstLine="420" w:firstLineChars="200"/>
        <w:rPr>
          <w:rFonts w:ascii="宋体" w:hAnsi="宋体"/>
        </w:rPr>
      </w:pPr>
      <w:r>
        <w:rPr>
          <w:rFonts w:hint="eastAsia" w:ascii="宋体" w:hAnsi="宋体"/>
        </w:rPr>
        <w:t>4、赎回遵循“先进先出”原则，即按照投资人认购、申购的先后次序进行顺序赎回；</w:t>
      </w:r>
    </w:p>
    <w:p>
      <w:pPr>
        <w:spacing w:line="360" w:lineRule="auto"/>
        <w:ind w:firstLine="420" w:firstLineChars="200"/>
        <w:rPr>
          <w:rFonts w:ascii="宋体" w:hAnsi="宋体"/>
        </w:rPr>
      </w:pPr>
      <w:r>
        <w:rPr>
          <w:rFonts w:hint="eastAsia" w:ascii="宋体" w:hAnsi="宋体"/>
        </w:rPr>
        <w:t>5、办理申购、赎回业务时，应当遵循基金份额持有人利益优先原则，确保投资者的合法权益不受损害并得到公平对待。</w:t>
      </w:r>
    </w:p>
    <w:p>
      <w:pPr>
        <w:spacing w:line="360" w:lineRule="auto"/>
        <w:ind w:firstLine="420" w:firstLineChars="200"/>
        <w:rPr>
          <w:rFonts w:ascii="宋体" w:hAnsi="宋体"/>
        </w:rPr>
      </w:pPr>
      <w:r>
        <w:rPr>
          <w:rFonts w:hint="eastAsia" w:ascii="宋体" w:hAnsi="宋体"/>
        </w:rPr>
        <w:t>基金管理人可在法律法规允许的情况下，对上述原则进行调整。基金管理人必须在新规则开始实施前依照《信息披露办法》的有关规定在规定媒介上公告。</w:t>
      </w:r>
    </w:p>
    <w:p>
      <w:pPr>
        <w:spacing w:line="360" w:lineRule="auto"/>
        <w:ind w:firstLine="420" w:firstLineChars="200"/>
        <w:rPr>
          <w:rFonts w:ascii="宋体" w:hAnsi="宋体"/>
        </w:rPr>
      </w:pPr>
      <w:r>
        <w:rPr>
          <w:rFonts w:hint="eastAsia" w:ascii="宋体" w:hAnsi="宋体"/>
        </w:rPr>
        <w:t>投资者办理申购、赎回等业务时应提交的文件和办理手续、办理时间、处理规则等在遵守基金合同和招募说明书规定的前提下，以各销售机构的具体规定为准。</w:t>
      </w:r>
    </w:p>
    <w:p>
      <w:pPr>
        <w:spacing w:line="360" w:lineRule="auto"/>
        <w:ind w:firstLine="420" w:firstLineChars="200"/>
        <w:rPr>
          <w:rFonts w:ascii="宋体" w:hAnsi="宋体"/>
        </w:rPr>
      </w:pPr>
      <w:r>
        <w:rPr>
          <w:rFonts w:hint="eastAsia" w:ascii="宋体" w:hAnsi="宋体"/>
        </w:rPr>
        <w:t>（四）申购与赎回的程序</w:t>
      </w:r>
    </w:p>
    <w:p>
      <w:pPr>
        <w:spacing w:line="360" w:lineRule="auto"/>
        <w:ind w:firstLine="420" w:firstLineChars="200"/>
        <w:rPr>
          <w:rFonts w:ascii="宋体" w:hAnsi="宋体"/>
        </w:rPr>
      </w:pPr>
      <w:r>
        <w:rPr>
          <w:rFonts w:hint="eastAsia" w:ascii="宋体" w:hAnsi="宋体"/>
        </w:rPr>
        <w:t>1、申购和赎回的申请方式</w:t>
      </w:r>
    </w:p>
    <w:p>
      <w:pPr>
        <w:spacing w:line="360" w:lineRule="auto"/>
        <w:ind w:firstLine="420" w:firstLineChars="200"/>
        <w:rPr>
          <w:rFonts w:ascii="宋体" w:hAnsi="宋体"/>
        </w:rPr>
      </w:pPr>
      <w:r>
        <w:rPr>
          <w:rFonts w:hint="eastAsia" w:ascii="宋体" w:hAnsi="宋体"/>
        </w:rPr>
        <w:t>投资人必须根据销售机构规定的程序，在开放日的具体业务办理时间内提出申购或赎回的申请。</w:t>
      </w:r>
    </w:p>
    <w:p>
      <w:pPr>
        <w:spacing w:line="360" w:lineRule="auto"/>
        <w:ind w:firstLine="420" w:firstLineChars="200"/>
        <w:rPr>
          <w:rFonts w:ascii="宋体" w:hAnsi="宋体"/>
        </w:rPr>
      </w:pPr>
      <w:r>
        <w:rPr>
          <w:rFonts w:hint="eastAsia" w:ascii="宋体" w:hAnsi="宋体"/>
        </w:rPr>
        <w:t>2、申购和赎回的款项支付</w:t>
      </w:r>
    </w:p>
    <w:p>
      <w:pPr>
        <w:spacing w:line="360" w:lineRule="auto"/>
        <w:ind w:firstLine="420" w:firstLineChars="200"/>
        <w:rPr>
          <w:rFonts w:ascii="宋体" w:hAnsi="宋体"/>
        </w:rPr>
      </w:pPr>
      <w:r>
        <w:rPr>
          <w:rFonts w:hint="eastAsia" w:ascii="宋体" w:hAnsi="宋体"/>
        </w:rPr>
        <w:t>投资人申购基金份额时，必须全额交付申购款项，投资人全额交付申购款项，申购成立；基金份额登记机构确认基金份额时，申购生效。</w:t>
      </w:r>
    </w:p>
    <w:p>
      <w:pPr>
        <w:spacing w:line="360" w:lineRule="auto"/>
        <w:ind w:firstLine="420" w:firstLineChars="200"/>
        <w:rPr>
          <w:rFonts w:ascii="宋体" w:hAnsi="宋体"/>
        </w:rPr>
      </w:pPr>
      <w:r>
        <w:rPr>
          <w:rFonts w:hint="eastAsia" w:ascii="宋体" w:hAnsi="宋体"/>
        </w:rPr>
        <w:t>基金份额持有人递交赎回申请，赎回成立；基金份额登记机构确认赎回时，赎回生效。投资者赎回申请生效后，基金管理人将在T＋7日(包括该日)内支付赎回款项。遇证券、期货交易所或交易市场数据传输延迟、通讯系统故障、银行数据交换系统故障、港股通交易系统故障或港股通资金交收规则限制或其它非基金管理人及基金托管人所能控制的因素影响业务处理流程时，赎回款项顺延至下一个工作日划出。在发生巨额赎回或基金合同载明的其他暂停赎回或延缓支付赎回款项的情形时，款项的支付办法参照基金合同有关条款处理。</w:t>
      </w:r>
    </w:p>
    <w:p>
      <w:pPr>
        <w:spacing w:line="360" w:lineRule="auto"/>
        <w:ind w:firstLine="420" w:firstLineChars="200"/>
        <w:rPr>
          <w:rFonts w:ascii="宋体" w:hAnsi="宋体"/>
        </w:rPr>
      </w:pPr>
      <w:r>
        <w:rPr>
          <w:rFonts w:hint="eastAsia" w:ascii="宋体" w:hAnsi="宋体"/>
        </w:rPr>
        <w:t>3、申购和赎回申请的确认</w:t>
      </w:r>
    </w:p>
    <w:p>
      <w:pPr>
        <w:spacing w:line="360" w:lineRule="auto"/>
        <w:ind w:firstLine="420" w:firstLineChars="200"/>
        <w:rPr>
          <w:rFonts w:ascii="宋体" w:hAnsi="宋体"/>
        </w:rPr>
      </w:pPr>
      <w:r>
        <w:rPr>
          <w:rFonts w:hint="eastAsia" w:ascii="宋体" w:hAnsi="宋体"/>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本金退还给投资人。</w:t>
      </w:r>
    </w:p>
    <w:p>
      <w:pPr>
        <w:spacing w:line="360" w:lineRule="auto"/>
        <w:ind w:firstLine="420" w:firstLineChars="200"/>
        <w:rPr>
          <w:rFonts w:ascii="宋体" w:hAnsi="宋体"/>
        </w:rPr>
      </w:pPr>
      <w:r>
        <w:rPr>
          <w:rFonts w:hint="eastAsia" w:ascii="宋体" w:hAnsi="宋体"/>
        </w:rPr>
        <w:t>基金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p>
    <w:p>
      <w:pPr>
        <w:spacing w:line="360" w:lineRule="auto"/>
        <w:ind w:firstLine="420" w:firstLineChars="200"/>
        <w:rPr>
          <w:rFonts w:ascii="宋体" w:hAnsi="宋体"/>
        </w:rPr>
      </w:pPr>
      <w:r>
        <w:rPr>
          <w:rFonts w:hint="eastAsia" w:ascii="宋体" w:hAnsi="宋体"/>
        </w:rPr>
        <w:t>4、在法律法规允许的范围内，本基金登记机构可根据相关业务规则，对上述业务办理时间进行调整，本基金管理人将在调整实施前按照《信息披露办法》的有关规定在规定媒介上公告。</w:t>
      </w:r>
    </w:p>
    <w:bookmarkEnd w:id="118"/>
    <w:p>
      <w:pPr>
        <w:spacing w:line="360" w:lineRule="auto"/>
        <w:ind w:firstLine="420" w:firstLineChars="200"/>
        <w:rPr>
          <w:rFonts w:ascii="宋体" w:hAnsi="宋体"/>
        </w:rPr>
      </w:pPr>
      <w:r>
        <w:rPr>
          <w:rFonts w:hint="eastAsia" w:ascii="宋体" w:hAnsi="宋体"/>
        </w:rPr>
        <w:t>（五）申购和赎回的数量限制</w:t>
      </w:r>
    </w:p>
    <w:p>
      <w:pPr>
        <w:spacing w:line="360" w:lineRule="auto"/>
        <w:ind w:firstLine="420" w:firstLineChars="200"/>
        <w:rPr>
          <w:rFonts w:ascii="宋体" w:hAnsi="宋体"/>
        </w:rPr>
      </w:pPr>
      <w:bookmarkStart w:id="135" w:name="_Toc510842720"/>
      <w:r>
        <w:rPr>
          <w:rFonts w:hint="eastAsia" w:ascii="宋体" w:hAnsi="宋体"/>
        </w:rPr>
        <w:t>1、投资者通过直销机构申购本基金的，不收取申购费，单个基金账户每笔最低申购金额为1元人民币，追加申购每笔最低金额为1元人民币。投资者通过非直销销售机构申购本基金的，单个基金账户每笔最低申购金额为</w:t>
      </w:r>
      <w:r>
        <w:rPr>
          <w:rFonts w:ascii="宋体" w:hAnsi="宋体"/>
        </w:rPr>
        <w:t>1</w:t>
      </w:r>
      <w:r>
        <w:rPr>
          <w:rFonts w:hint="eastAsia" w:ascii="宋体" w:hAnsi="宋体"/>
        </w:rPr>
        <w:t>元人民币（含申购费），追加申购每笔最低金额为</w:t>
      </w:r>
      <w:r>
        <w:rPr>
          <w:rFonts w:ascii="宋体" w:hAnsi="宋体"/>
        </w:rPr>
        <w:t>1</w:t>
      </w:r>
      <w:r>
        <w:rPr>
          <w:rFonts w:hint="eastAsia" w:ascii="宋体" w:hAnsi="宋体"/>
        </w:rPr>
        <w:t>元人民币（含申购费）。实际操作中，以各销售机构的具体规定为准。</w:t>
      </w:r>
    </w:p>
    <w:p>
      <w:pPr>
        <w:spacing w:line="360" w:lineRule="auto"/>
        <w:ind w:firstLine="420" w:firstLineChars="200"/>
        <w:rPr>
          <w:rFonts w:ascii="宋体" w:hAnsi="宋体"/>
        </w:rPr>
      </w:pPr>
      <w:r>
        <w:rPr>
          <w:rFonts w:ascii="宋体" w:hAnsi="宋体"/>
        </w:rPr>
        <w:t>2</w:t>
      </w:r>
      <w:r>
        <w:rPr>
          <w:rFonts w:hint="eastAsia" w:ascii="宋体" w:hAnsi="宋体"/>
        </w:rPr>
        <w:t>、每次赎回基金份额不得低于1份，基金份额持有人赎回时或赎回后在销售机构（网点）保留的基金份额余额不足1份的，在赎回时需一次全部赎回。实际操作中，以各销售机构的具体规定为准。</w:t>
      </w:r>
    </w:p>
    <w:p>
      <w:pPr>
        <w:spacing w:line="360" w:lineRule="auto"/>
        <w:ind w:firstLine="420" w:firstLineChars="200"/>
        <w:rPr>
          <w:rFonts w:ascii="宋体" w:hAnsi="宋体"/>
        </w:rPr>
      </w:pPr>
      <w:r>
        <w:rPr>
          <w:rFonts w:hint="eastAsia" w:ascii="宋体" w:hAnsi="宋体"/>
        </w:rPr>
        <w:t>如遇巨额赎回等情况发生而导致延期赎回时，赎回办理和款项支付的办法将参照基金合同有关巨额赎回或连续巨额赎回的条款处理。</w:t>
      </w:r>
    </w:p>
    <w:p>
      <w:pPr>
        <w:spacing w:line="360" w:lineRule="auto"/>
        <w:ind w:firstLine="420" w:firstLineChars="200"/>
        <w:rPr>
          <w:rFonts w:ascii="宋体" w:hAnsi="宋体"/>
        </w:rPr>
      </w:pPr>
      <w:r>
        <w:rPr>
          <w:rFonts w:hint="eastAsia" w:ascii="宋体" w:hAnsi="宋体"/>
        </w:rPr>
        <w:t>3、基金管理人暂不设单个投资人累计持有的基金份额上限，但单一投资者（基金管理人、基金管理人高级管理人员或基金经理等人员作为发起资金提供方除外）持有基金份额数不得达到或超过基金份额总数的50%（在基金运作过程中因基金份额赎回等基金管理人无法予以控制的情形导致被动达到或超过50%的除外）。法律法规、监管机构另有规定的，从其规定。</w:t>
      </w:r>
    </w:p>
    <w:p>
      <w:pPr>
        <w:spacing w:line="360" w:lineRule="auto"/>
        <w:ind w:firstLine="420" w:firstLineChars="200"/>
        <w:rPr>
          <w:rFonts w:ascii="宋体" w:hAnsi="宋体"/>
        </w:rPr>
      </w:pPr>
      <w:r>
        <w:rPr>
          <w:rFonts w:hint="eastAsia" w:ascii="宋体" w:hAnsi="宋体"/>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rPr>
        <w:t>基金管理人基于投资运作与风险控制的需要，可采取上述措施对基金规模予以控制。具体见基金管理人相关公告。</w:t>
      </w:r>
    </w:p>
    <w:p>
      <w:pPr>
        <w:spacing w:line="360" w:lineRule="auto"/>
        <w:ind w:firstLine="420" w:firstLineChars="200"/>
        <w:rPr>
          <w:rFonts w:ascii="宋体" w:hAnsi="宋体"/>
        </w:rPr>
      </w:pPr>
      <w:r>
        <w:rPr>
          <w:rFonts w:hint="eastAsia" w:ascii="宋体" w:hAnsi="宋体"/>
        </w:rPr>
        <w:t>5、</w:t>
      </w:r>
      <w:r>
        <w:rPr>
          <w:rFonts w:ascii="宋体" w:hAnsi="宋体"/>
        </w:rPr>
        <w:t>基金管理人可在法律法规允许的情况下，调整上述规定申购金额和赎回份额的数量限制</w:t>
      </w:r>
      <w:r>
        <w:rPr>
          <w:rFonts w:hint="eastAsia" w:ascii="宋体" w:hAnsi="宋体"/>
        </w:rPr>
        <w:t>或新增基金规模控制措施</w:t>
      </w:r>
      <w:r>
        <w:rPr>
          <w:rFonts w:ascii="宋体" w:hAnsi="宋体"/>
        </w:rPr>
        <w:t>。基金管理人必须在调整</w:t>
      </w:r>
      <w:r>
        <w:rPr>
          <w:rFonts w:hint="eastAsia" w:ascii="宋体" w:hAnsi="宋体"/>
        </w:rPr>
        <w:t>实施</w:t>
      </w:r>
      <w:r>
        <w:rPr>
          <w:rFonts w:ascii="宋体" w:hAnsi="宋体"/>
        </w:rPr>
        <w:t>前依照《信息披露办法》的有关规定在规定媒介上公告。</w:t>
      </w:r>
    </w:p>
    <w:bookmarkEnd w:id="134"/>
    <w:p>
      <w:pPr>
        <w:spacing w:line="360" w:lineRule="auto"/>
        <w:ind w:firstLine="420" w:firstLineChars="200"/>
        <w:rPr>
          <w:rFonts w:ascii="宋体" w:hAnsi="宋体"/>
        </w:rPr>
      </w:pPr>
      <w:r>
        <w:rPr>
          <w:rFonts w:ascii="宋体" w:hAnsi="宋体"/>
        </w:rPr>
        <w:t>（六）</w:t>
      </w:r>
      <w:r>
        <w:rPr>
          <w:rFonts w:hint="eastAsia" w:ascii="宋体" w:hAnsi="宋体"/>
        </w:rPr>
        <w:t>申购和赎回的价格、费用及其用途</w:t>
      </w:r>
    </w:p>
    <w:p>
      <w:pPr>
        <w:spacing w:line="360" w:lineRule="auto"/>
        <w:ind w:firstLine="420" w:firstLineChars="200"/>
        <w:rPr>
          <w:rFonts w:ascii="宋体" w:hAnsi="宋体"/>
        </w:rPr>
      </w:pPr>
      <w:r>
        <w:rPr>
          <w:rFonts w:ascii="宋体" w:hAnsi="宋体"/>
        </w:rPr>
        <w:t>1</w:t>
      </w:r>
      <w:r>
        <w:rPr>
          <w:rFonts w:hint="eastAsia" w:ascii="宋体" w:hAnsi="宋体"/>
        </w:rPr>
        <w:t>、申购费</w:t>
      </w:r>
    </w:p>
    <w:p>
      <w:pPr>
        <w:spacing w:line="360" w:lineRule="auto"/>
        <w:ind w:firstLine="420" w:firstLineChars="200"/>
        <w:rPr>
          <w:rFonts w:ascii="宋体" w:hAnsi="宋体"/>
        </w:rPr>
      </w:pPr>
      <w:r>
        <w:rPr>
          <w:rFonts w:hint="eastAsia" w:ascii="宋体" w:hAnsi="宋体"/>
        </w:rPr>
        <w:t>本基金基金份额分为A类和C类基金份额。投资人通过直销机构申购本基金A类基金份额不收取申购费用，通过非直销销售机构申购本基金A类基金份额</w:t>
      </w:r>
      <w:r>
        <w:rPr>
          <w:rFonts w:ascii="宋体" w:hAnsi="宋体"/>
        </w:rPr>
        <w:t>时</w:t>
      </w:r>
      <w:r>
        <w:rPr>
          <w:rFonts w:hint="eastAsia" w:ascii="宋体" w:hAnsi="宋体"/>
        </w:rPr>
        <w:t>支付申购费用。本基金C类基金份额不收取申购费用。</w:t>
      </w:r>
    </w:p>
    <w:p>
      <w:pPr>
        <w:spacing w:line="360" w:lineRule="auto"/>
        <w:ind w:firstLine="420" w:firstLineChars="200"/>
        <w:rPr>
          <w:rFonts w:ascii="宋体" w:hAnsi="宋体"/>
          <w:szCs w:val="21"/>
        </w:rPr>
      </w:pPr>
      <w:r>
        <w:rPr>
          <w:rFonts w:hint="eastAsia" w:ascii="宋体" w:hAnsi="宋体"/>
        </w:rPr>
        <w:t>本基金对通过非直销销售机构申购的A类基金份额设置级差费率，投资者在一天之内如有多笔申购，适用费率按单笔分别计算。通过非直销销售机构申购本基金A类基金份额的，申购费率如下表所示：</w:t>
      </w:r>
    </w:p>
    <w:tbl>
      <w:tblPr>
        <w:tblStyle w:val="33"/>
        <w:tblW w:w="6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667"/>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费用种类</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Cs w:val="21"/>
              </w:rPr>
            </w:pPr>
            <w:r>
              <w:rPr>
                <w:rFonts w:hint="eastAsia" w:ascii="宋体" w:hAnsi="宋体"/>
                <w:kern w:val="0"/>
                <w:szCs w:val="21"/>
              </w:rPr>
              <w:t>A类基金份额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82" w:type="dxa"/>
            <w:vMerge w:val="restart"/>
            <w:vAlign w:val="center"/>
          </w:tcPr>
          <w:p>
            <w:pPr>
              <w:spacing w:line="240" w:lineRule="atLeast"/>
              <w:jc w:val="center"/>
              <w:rPr>
                <w:rFonts w:ascii="宋体" w:hAnsi="宋体"/>
                <w:color w:val="000000"/>
                <w:kern w:val="0"/>
                <w:szCs w:val="21"/>
              </w:rPr>
            </w:pPr>
            <w:r>
              <w:rPr>
                <w:rFonts w:hint="eastAsia" w:ascii="宋体" w:hAnsi="宋体"/>
                <w:color w:val="000000"/>
                <w:kern w:val="0"/>
                <w:szCs w:val="21"/>
              </w:rPr>
              <w:t>申购费率</w:t>
            </w:r>
          </w:p>
        </w:tc>
        <w:tc>
          <w:tcPr>
            <w:tcW w:w="2667" w:type="dxa"/>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情形</w:t>
            </w:r>
          </w:p>
        </w:tc>
        <w:tc>
          <w:tcPr>
            <w:tcW w:w="2294" w:type="dxa"/>
            <w:vAlign w:val="center"/>
          </w:tcPr>
          <w:p>
            <w:pPr>
              <w:spacing w:line="240" w:lineRule="atLeast"/>
              <w:jc w:val="center"/>
              <w:rPr>
                <w:rFonts w:ascii="宋体" w:hAnsi="宋体"/>
                <w:color w:val="000000"/>
                <w:kern w:val="0"/>
                <w:szCs w:val="21"/>
              </w:rPr>
            </w:pPr>
            <w:r>
              <w:rPr>
                <w:rFonts w:hint="eastAsia" w:ascii="宋体" w:hAnsi="宋体"/>
                <w:color w:val="000000"/>
                <w:kern w:val="0"/>
                <w:szCs w:val="21"/>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82" w:type="dxa"/>
            <w:vMerge w:val="continue"/>
            <w:vAlign w:val="center"/>
          </w:tcPr>
          <w:p>
            <w:pPr>
              <w:widowControl/>
              <w:spacing w:line="240" w:lineRule="atLeast"/>
              <w:jc w:val="center"/>
              <w:rPr>
                <w:rFonts w:ascii="宋体" w:hAnsi="宋体"/>
                <w:color w:val="000000"/>
                <w:kern w:val="0"/>
                <w:szCs w:val="21"/>
              </w:rPr>
            </w:pPr>
          </w:p>
        </w:tc>
        <w:tc>
          <w:tcPr>
            <w:tcW w:w="2667" w:type="dxa"/>
            <w:vAlign w:val="center"/>
          </w:tcPr>
          <w:p>
            <w:pPr>
              <w:widowControl/>
              <w:spacing w:line="240" w:lineRule="atLeast"/>
              <w:jc w:val="center"/>
              <w:rPr>
                <w:kern w:val="0"/>
                <w:szCs w:val="21"/>
              </w:rPr>
            </w:pPr>
            <w:r>
              <w:rPr>
                <w:kern w:val="0"/>
                <w:szCs w:val="21"/>
              </w:rPr>
              <w:t>M＜500万</w:t>
            </w:r>
          </w:p>
        </w:tc>
        <w:tc>
          <w:tcPr>
            <w:tcW w:w="2294" w:type="dxa"/>
            <w:vAlign w:val="center"/>
          </w:tcPr>
          <w:p>
            <w:pPr>
              <w:widowControl/>
              <w:spacing w:line="240" w:lineRule="atLeast"/>
              <w:jc w:val="center"/>
              <w:rPr>
                <w:rFonts w:ascii="宋体" w:hAnsi="宋体"/>
                <w:color w:val="000000"/>
                <w:kern w:val="0"/>
                <w:szCs w:val="21"/>
              </w:rPr>
            </w:pPr>
            <w:r>
              <w:rPr>
                <w:kern w:val="0"/>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82" w:type="dxa"/>
            <w:vMerge w:val="continue"/>
            <w:vAlign w:val="center"/>
          </w:tcPr>
          <w:p>
            <w:pPr>
              <w:widowControl/>
              <w:spacing w:line="240" w:lineRule="atLeast"/>
              <w:jc w:val="center"/>
              <w:rPr>
                <w:rFonts w:ascii="宋体" w:hAnsi="宋体"/>
                <w:color w:val="000000"/>
                <w:kern w:val="0"/>
                <w:szCs w:val="21"/>
              </w:rPr>
            </w:pPr>
          </w:p>
        </w:tc>
        <w:tc>
          <w:tcPr>
            <w:tcW w:w="2667" w:type="dxa"/>
            <w:vAlign w:val="center"/>
          </w:tcPr>
          <w:p>
            <w:pPr>
              <w:spacing w:line="240" w:lineRule="atLeast"/>
              <w:jc w:val="center"/>
              <w:rPr>
                <w:rFonts w:ascii="宋体" w:hAnsi="宋体"/>
                <w:color w:val="000000"/>
                <w:kern w:val="0"/>
                <w:szCs w:val="21"/>
              </w:rPr>
            </w:pPr>
            <w:r>
              <w:rPr>
                <w:kern w:val="0"/>
                <w:szCs w:val="21"/>
              </w:rPr>
              <w:t>M</w:t>
            </w:r>
            <w:r>
              <w:rPr>
                <w:rFonts w:hint="eastAsia"/>
                <w:kern w:val="0"/>
                <w:szCs w:val="21"/>
              </w:rPr>
              <w:t>≥5</w:t>
            </w:r>
            <w:r>
              <w:rPr>
                <w:kern w:val="0"/>
                <w:szCs w:val="21"/>
              </w:rPr>
              <w:t>00万</w:t>
            </w:r>
          </w:p>
        </w:tc>
        <w:tc>
          <w:tcPr>
            <w:tcW w:w="2294" w:type="dxa"/>
            <w:vAlign w:val="center"/>
          </w:tcPr>
          <w:p>
            <w:pPr>
              <w:spacing w:line="240" w:lineRule="atLeast"/>
              <w:jc w:val="center"/>
              <w:rPr>
                <w:rFonts w:ascii="宋体" w:hAnsi="宋体"/>
                <w:color w:val="000000"/>
                <w:kern w:val="0"/>
                <w:szCs w:val="21"/>
              </w:rPr>
            </w:pPr>
            <w:r>
              <w:rPr>
                <w:kern w:val="0"/>
                <w:szCs w:val="21"/>
              </w:rPr>
              <w:t>按笔收取，1,000元/笔</w:t>
            </w:r>
          </w:p>
        </w:tc>
      </w:tr>
    </w:tbl>
    <w:p>
      <w:pPr>
        <w:spacing w:line="360" w:lineRule="auto"/>
        <w:ind w:firstLine="400" w:firstLineChars="200"/>
        <w:rPr>
          <w:rFonts w:ascii="宋体" w:hAnsi="宋体"/>
          <w:sz w:val="20"/>
        </w:rPr>
      </w:pPr>
      <w:r>
        <w:rPr>
          <w:rFonts w:hint="eastAsia" w:ascii="宋体" w:hAnsi="宋体"/>
          <w:sz w:val="20"/>
        </w:rPr>
        <w:t>注：</w:t>
      </w:r>
      <w:r>
        <w:rPr>
          <w:rFonts w:ascii="宋体" w:hAnsi="宋体"/>
          <w:sz w:val="20"/>
        </w:rPr>
        <w:t>M为申购金额</w:t>
      </w:r>
      <w:r>
        <w:rPr>
          <w:rFonts w:hint="eastAsia" w:ascii="宋体" w:hAnsi="宋体"/>
          <w:sz w:val="20"/>
        </w:rPr>
        <w:t>，单位为元</w:t>
      </w:r>
      <w:r>
        <w:rPr>
          <w:rFonts w:ascii="宋体" w:hAnsi="宋体"/>
          <w:sz w:val="20"/>
        </w:rPr>
        <w:t>。</w:t>
      </w:r>
    </w:p>
    <w:p>
      <w:pPr>
        <w:spacing w:line="360" w:lineRule="auto"/>
        <w:ind w:firstLine="420" w:firstLineChars="200"/>
        <w:rPr>
          <w:rFonts w:ascii="宋体" w:hAnsi="宋体"/>
        </w:rPr>
      </w:pPr>
      <w:r>
        <w:rPr>
          <w:rFonts w:hint="eastAsia" w:ascii="宋体" w:hAnsi="宋体"/>
        </w:rPr>
        <w:t>本基金A类基金份额的申购费用由通过非直销销售机构申购A类基金份额的投资人承担，主要用于本基金的市场推广、销售等各项费用，不列入基金财产。</w:t>
      </w:r>
    </w:p>
    <w:p>
      <w:pPr>
        <w:spacing w:line="360" w:lineRule="auto"/>
        <w:ind w:firstLine="420" w:firstLineChars="200"/>
        <w:rPr>
          <w:rFonts w:ascii="宋体" w:hAnsi="宋体"/>
        </w:rPr>
      </w:pPr>
      <w:r>
        <w:rPr>
          <w:rFonts w:ascii="宋体" w:hAnsi="宋体"/>
        </w:rPr>
        <w:t>2</w:t>
      </w:r>
      <w:r>
        <w:rPr>
          <w:rFonts w:hint="eastAsia" w:ascii="宋体" w:hAnsi="宋体"/>
        </w:rPr>
        <w:t>、</w:t>
      </w:r>
      <w:r>
        <w:rPr>
          <w:rFonts w:ascii="宋体" w:hAnsi="宋体"/>
        </w:rPr>
        <w:t>赎回费</w:t>
      </w:r>
    </w:p>
    <w:p>
      <w:pPr>
        <w:spacing w:line="360" w:lineRule="auto"/>
        <w:ind w:firstLine="420" w:firstLineChars="200"/>
        <w:rPr>
          <w:rFonts w:ascii="宋体" w:hAnsi="宋体"/>
          <w:szCs w:val="21"/>
        </w:rPr>
      </w:pPr>
      <w:r>
        <w:rPr>
          <w:rFonts w:hint="eastAsia" w:ascii="宋体" w:hAnsi="宋体"/>
        </w:rPr>
        <w:t>赎回费用由赎回相应类别基金份额的基金份额持有人承担，在基金份额持有人赎回各类基金份额时收取。赎回费用全额计入基金财产。认购/申购的基金份额持有期限自注册登记系统确认之日起开始计算，至该部分基金份额赎回确认日止，且基金份额赎回确认日不计入持有期限。本基金A类基金份额和C类基金份额适用相同的赎回费率，赎回费率随赎回基金份额持有期限的增加而递减，具体费率如下：</w:t>
      </w:r>
    </w:p>
    <w:tbl>
      <w:tblPr>
        <w:tblStyle w:val="33"/>
        <w:tblW w:w="4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84"/>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1155" w:type="dxa"/>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费用种类</w:t>
            </w:r>
          </w:p>
        </w:tc>
        <w:tc>
          <w:tcPr>
            <w:tcW w:w="1984" w:type="dxa"/>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情形</w:t>
            </w:r>
          </w:p>
        </w:tc>
        <w:tc>
          <w:tcPr>
            <w:tcW w:w="1736" w:type="dxa"/>
            <w:vAlign w:val="center"/>
          </w:tcPr>
          <w:p>
            <w:pPr>
              <w:spacing w:line="240" w:lineRule="atLeast"/>
              <w:jc w:val="center"/>
              <w:rPr>
                <w:rFonts w:ascii="宋体" w:hAnsi="宋体"/>
                <w:color w:val="000000"/>
                <w:kern w:val="0"/>
                <w:szCs w:val="21"/>
              </w:rPr>
            </w:pPr>
            <w:r>
              <w:rPr>
                <w:rFonts w:hint="eastAsia" w:ascii="宋体" w:hAnsi="宋体"/>
                <w:color w:val="000000"/>
                <w:kern w:val="0"/>
                <w:szCs w:val="21"/>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55" w:type="dxa"/>
            <w:vMerge w:val="restart"/>
            <w:vAlign w:val="center"/>
          </w:tcPr>
          <w:p>
            <w:pPr>
              <w:widowControl/>
              <w:spacing w:line="240" w:lineRule="atLeast"/>
              <w:jc w:val="center"/>
              <w:rPr>
                <w:rFonts w:ascii="宋体" w:hAnsi="宋体"/>
                <w:color w:val="000000"/>
                <w:kern w:val="0"/>
                <w:szCs w:val="21"/>
              </w:rPr>
            </w:pPr>
            <w:r>
              <w:rPr>
                <w:rFonts w:hint="eastAsia" w:ascii="宋体" w:hAnsi="宋体"/>
                <w:color w:val="000000"/>
                <w:kern w:val="0"/>
                <w:szCs w:val="21"/>
              </w:rPr>
              <w:t>赎回费率</w:t>
            </w:r>
          </w:p>
        </w:tc>
        <w:tc>
          <w:tcPr>
            <w:tcW w:w="1984" w:type="dxa"/>
            <w:vAlign w:val="center"/>
          </w:tcPr>
          <w:p>
            <w:pPr>
              <w:widowControl/>
              <w:spacing w:line="240" w:lineRule="atLeast"/>
              <w:jc w:val="center"/>
              <w:rPr>
                <w:kern w:val="0"/>
                <w:szCs w:val="21"/>
              </w:rPr>
            </w:pPr>
            <w:r>
              <w:rPr>
                <w:rFonts w:hint="eastAsia"/>
                <w:kern w:val="0"/>
                <w:szCs w:val="21"/>
              </w:rPr>
              <w:t>持有期限</w:t>
            </w:r>
          </w:p>
        </w:tc>
        <w:tc>
          <w:tcPr>
            <w:tcW w:w="1736" w:type="dxa"/>
            <w:vAlign w:val="center"/>
          </w:tcPr>
          <w:p>
            <w:pPr>
              <w:widowControl/>
              <w:spacing w:line="240" w:lineRule="atLeast"/>
              <w:jc w:val="center"/>
              <w:rPr>
                <w:kern w:val="0"/>
                <w:szCs w:val="21"/>
              </w:rPr>
            </w:pPr>
            <w:r>
              <w:rPr>
                <w:rFonts w:hint="eastAsia"/>
                <w:kern w:val="0"/>
                <w:szCs w:val="21"/>
              </w:rPr>
              <w:t>赎回费率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55" w:type="dxa"/>
            <w:vMerge w:val="continue"/>
            <w:vAlign w:val="center"/>
          </w:tcPr>
          <w:p>
            <w:pPr>
              <w:widowControl/>
              <w:spacing w:line="240" w:lineRule="atLeast"/>
              <w:jc w:val="center"/>
              <w:rPr>
                <w:rFonts w:ascii="宋体" w:hAnsi="宋体"/>
                <w:color w:val="000000"/>
                <w:kern w:val="0"/>
                <w:szCs w:val="21"/>
              </w:rPr>
            </w:pPr>
          </w:p>
        </w:tc>
        <w:tc>
          <w:tcPr>
            <w:tcW w:w="1984" w:type="dxa"/>
            <w:vAlign w:val="center"/>
          </w:tcPr>
          <w:p>
            <w:pPr>
              <w:widowControl/>
              <w:spacing w:line="240" w:lineRule="atLeast"/>
              <w:jc w:val="center"/>
              <w:rPr>
                <w:kern w:val="0"/>
                <w:szCs w:val="21"/>
              </w:rPr>
            </w:pPr>
            <w:r>
              <w:rPr>
                <w:kern w:val="0"/>
                <w:szCs w:val="21"/>
              </w:rPr>
              <w:t>Y</w:t>
            </w:r>
            <w:r>
              <w:rPr>
                <w:rFonts w:hint="eastAsia"/>
                <w:kern w:val="0"/>
                <w:szCs w:val="21"/>
              </w:rPr>
              <w:t>＜7天</w:t>
            </w:r>
          </w:p>
        </w:tc>
        <w:tc>
          <w:tcPr>
            <w:tcW w:w="1736" w:type="dxa"/>
            <w:vAlign w:val="center"/>
          </w:tcPr>
          <w:p>
            <w:pPr>
              <w:widowControl/>
              <w:spacing w:line="240" w:lineRule="atLeast"/>
              <w:jc w:val="center"/>
              <w:rPr>
                <w:kern w:val="0"/>
                <w:szCs w:val="21"/>
              </w:rPr>
            </w:pPr>
            <w:r>
              <w:rPr>
                <w:rFonts w:hint="eastAsia"/>
                <w:kern w:val="0"/>
                <w:szCs w:val="21"/>
              </w:rPr>
              <w:t>1.5</w:t>
            </w: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55" w:type="dxa"/>
            <w:vMerge w:val="continue"/>
            <w:vAlign w:val="center"/>
          </w:tcPr>
          <w:p>
            <w:pPr>
              <w:widowControl/>
              <w:spacing w:line="240" w:lineRule="atLeast"/>
              <w:jc w:val="center"/>
              <w:rPr>
                <w:rFonts w:ascii="宋体" w:hAnsi="宋体"/>
                <w:color w:val="000000"/>
                <w:kern w:val="0"/>
                <w:szCs w:val="21"/>
              </w:rPr>
            </w:pPr>
          </w:p>
        </w:tc>
        <w:tc>
          <w:tcPr>
            <w:tcW w:w="1984" w:type="dxa"/>
            <w:vAlign w:val="center"/>
          </w:tcPr>
          <w:p>
            <w:pPr>
              <w:widowControl/>
              <w:spacing w:line="240" w:lineRule="atLeast"/>
              <w:jc w:val="center"/>
              <w:rPr>
                <w:kern w:val="0"/>
                <w:szCs w:val="21"/>
              </w:rPr>
            </w:pPr>
            <w:r>
              <w:rPr>
                <w:rFonts w:hint="eastAsia"/>
                <w:kern w:val="0"/>
                <w:szCs w:val="21"/>
              </w:rPr>
              <w:t>7天≤</w:t>
            </w:r>
            <w:r>
              <w:rPr>
                <w:kern w:val="0"/>
                <w:szCs w:val="21"/>
              </w:rPr>
              <w:t>Y</w:t>
            </w:r>
            <w:r>
              <w:rPr>
                <w:rFonts w:hint="eastAsia"/>
                <w:kern w:val="0"/>
                <w:szCs w:val="21"/>
              </w:rPr>
              <w:t>＜30天</w:t>
            </w:r>
          </w:p>
        </w:tc>
        <w:tc>
          <w:tcPr>
            <w:tcW w:w="1736" w:type="dxa"/>
            <w:vAlign w:val="center"/>
          </w:tcPr>
          <w:p>
            <w:pPr>
              <w:widowControl/>
              <w:spacing w:line="240" w:lineRule="atLeast"/>
              <w:jc w:val="center"/>
              <w:rPr>
                <w:kern w:val="0"/>
                <w:szCs w:val="21"/>
              </w:rPr>
            </w:pPr>
            <w:r>
              <w:rPr>
                <w:kern w:val="0"/>
                <w:szCs w:val="21"/>
              </w:rPr>
              <w:t>1.00</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55" w:type="dxa"/>
            <w:vMerge w:val="continue"/>
            <w:vAlign w:val="center"/>
          </w:tcPr>
          <w:p>
            <w:pPr>
              <w:widowControl/>
              <w:spacing w:line="240" w:lineRule="atLeast"/>
              <w:jc w:val="center"/>
              <w:rPr>
                <w:rFonts w:ascii="宋体" w:hAnsi="宋体"/>
                <w:color w:val="000000"/>
                <w:kern w:val="0"/>
                <w:szCs w:val="21"/>
              </w:rPr>
            </w:pPr>
          </w:p>
        </w:tc>
        <w:tc>
          <w:tcPr>
            <w:tcW w:w="1984" w:type="dxa"/>
            <w:vAlign w:val="center"/>
          </w:tcPr>
          <w:p>
            <w:pPr>
              <w:widowControl/>
              <w:spacing w:line="240" w:lineRule="atLeast"/>
              <w:jc w:val="center"/>
              <w:rPr>
                <w:kern w:val="0"/>
                <w:szCs w:val="21"/>
              </w:rPr>
            </w:pPr>
            <w:r>
              <w:rPr>
                <w:kern w:val="0"/>
                <w:szCs w:val="21"/>
              </w:rPr>
              <w:t>30</w:t>
            </w:r>
            <w:r>
              <w:rPr>
                <w:rFonts w:hint="eastAsia"/>
                <w:kern w:val="0"/>
                <w:szCs w:val="21"/>
              </w:rPr>
              <w:t>天≤</w:t>
            </w:r>
            <w:r>
              <w:rPr>
                <w:kern w:val="0"/>
                <w:szCs w:val="21"/>
              </w:rPr>
              <w:t>Y</w:t>
            </w:r>
            <w:r>
              <w:rPr>
                <w:rFonts w:hint="eastAsia"/>
                <w:kern w:val="0"/>
                <w:szCs w:val="21"/>
              </w:rPr>
              <w:t>＜</w:t>
            </w:r>
            <w:r>
              <w:rPr>
                <w:kern w:val="0"/>
                <w:szCs w:val="21"/>
              </w:rPr>
              <w:t>180</w:t>
            </w:r>
            <w:r>
              <w:rPr>
                <w:rFonts w:hint="eastAsia"/>
                <w:kern w:val="0"/>
                <w:szCs w:val="21"/>
              </w:rPr>
              <w:t>天</w:t>
            </w:r>
          </w:p>
        </w:tc>
        <w:tc>
          <w:tcPr>
            <w:tcW w:w="1736" w:type="dxa"/>
            <w:vAlign w:val="center"/>
          </w:tcPr>
          <w:p>
            <w:pPr>
              <w:widowControl/>
              <w:spacing w:line="240" w:lineRule="atLeast"/>
              <w:jc w:val="center"/>
              <w:rPr>
                <w:kern w:val="0"/>
                <w:szCs w:val="21"/>
              </w:rPr>
            </w:pPr>
            <w:r>
              <w:rPr>
                <w:rFonts w:hint="eastAsia"/>
                <w:kern w:val="0"/>
                <w:szCs w:val="21"/>
              </w:rPr>
              <w:t>0.50</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55" w:type="dxa"/>
            <w:vMerge w:val="continue"/>
            <w:vAlign w:val="center"/>
          </w:tcPr>
          <w:p>
            <w:pPr>
              <w:widowControl/>
              <w:spacing w:line="240" w:lineRule="atLeast"/>
              <w:jc w:val="center"/>
              <w:rPr>
                <w:rFonts w:ascii="宋体" w:hAnsi="宋体"/>
                <w:color w:val="000000"/>
                <w:kern w:val="0"/>
                <w:szCs w:val="21"/>
              </w:rPr>
            </w:pPr>
          </w:p>
        </w:tc>
        <w:tc>
          <w:tcPr>
            <w:tcW w:w="1984" w:type="dxa"/>
            <w:vAlign w:val="center"/>
          </w:tcPr>
          <w:p>
            <w:pPr>
              <w:widowControl/>
              <w:spacing w:line="240" w:lineRule="atLeast"/>
              <w:jc w:val="center"/>
              <w:rPr>
                <w:kern w:val="0"/>
                <w:szCs w:val="21"/>
              </w:rPr>
            </w:pPr>
            <w:r>
              <w:rPr>
                <w:kern w:val="0"/>
                <w:szCs w:val="21"/>
              </w:rPr>
              <w:t>Y</w:t>
            </w:r>
            <w:r>
              <w:rPr>
                <w:rFonts w:hint="eastAsia"/>
                <w:kern w:val="0"/>
                <w:szCs w:val="21"/>
              </w:rPr>
              <w:t>≥</w:t>
            </w:r>
            <w:r>
              <w:rPr>
                <w:kern w:val="0"/>
                <w:szCs w:val="21"/>
              </w:rPr>
              <w:t>180</w:t>
            </w:r>
            <w:r>
              <w:rPr>
                <w:rFonts w:hint="eastAsia"/>
                <w:kern w:val="0"/>
                <w:szCs w:val="21"/>
              </w:rPr>
              <w:t>天</w:t>
            </w:r>
          </w:p>
        </w:tc>
        <w:tc>
          <w:tcPr>
            <w:tcW w:w="1736" w:type="dxa"/>
            <w:vAlign w:val="center"/>
          </w:tcPr>
          <w:p>
            <w:pPr>
              <w:widowControl/>
              <w:spacing w:line="240" w:lineRule="atLeast"/>
              <w:jc w:val="center"/>
              <w:rPr>
                <w:kern w:val="0"/>
                <w:szCs w:val="21"/>
              </w:rPr>
            </w:pPr>
            <w:r>
              <w:rPr>
                <w:kern w:val="0"/>
                <w:szCs w:val="21"/>
              </w:rPr>
              <w:t>0%</w:t>
            </w:r>
          </w:p>
        </w:tc>
      </w:tr>
    </w:tbl>
    <w:p>
      <w:pPr>
        <w:spacing w:line="360" w:lineRule="auto"/>
        <w:ind w:firstLine="400" w:firstLineChars="200"/>
        <w:rPr>
          <w:rFonts w:ascii="宋体" w:hAnsi="宋体"/>
          <w:sz w:val="20"/>
        </w:rPr>
      </w:pPr>
      <w:r>
        <w:rPr>
          <w:rFonts w:hint="eastAsia" w:ascii="宋体" w:hAnsi="宋体"/>
          <w:sz w:val="20"/>
        </w:rPr>
        <w:t>注：Y为持有期限。</w:t>
      </w:r>
    </w:p>
    <w:p>
      <w:pPr>
        <w:spacing w:line="360" w:lineRule="auto"/>
        <w:ind w:firstLine="400" w:firstLineChars="200"/>
        <w:rPr>
          <w:rFonts w:ascii="宋体" w:hAnsi="宋体"/>
        </w:rPr>
      </w:pPr>
      <w:r>
        <w:rPr>
          <w:rFonts w:ascii="宋体" w:hAnsi="宋体"/>
          <w:sz w:val="20"/>
        </w:rPr>
        <w:t>3</w:t>
      </w:r>
      <w:r>
        <w:rPr>
          <w:rFonts w:hint="eastAsia" w:ascii="宋体" w:hAnsi="宋体"/>
        </w:rPr>
        <w:t>、基金管理人可以在基金合同约定的范围内调整费率或收费方式，并最迟应于新的费率或收费方式实施日前依照《信息披露办法》的有关规定在规定媒介上公告。</w:t>
      </w:r>
    </w:p>
    <w:p>
      <w:pPr>
        <w:spacing w:line="360" w:lineRule="auto"/>
        <w:ind w:firstLine="420" w:firstLineChars="200"/>
        <w:rPr>
          <w:rFonts w:ascii="宋体" w:hAnsi="宋体"/>
        </w:rPr>
      </w:pPr>
      <w:r>
        <w:rPr>
          <w:rFonts w:ascii="宋体" w:hAnsi="宋体"/>
        </w:rPr>
        <w:t>4</w:t>
      </w:r>
      <w:r>
        <w:rPr>
          <w:rFonts w:hint="eastAsia" w:ascii="宋体" w:hAnsi="宋体"/>
        </w:rPr>
        <w:t>、当本基金发生大额申购或赎回情形时，基金管理人可以采用摆动定价机制，以确保基金估值的公平性。具体处理原则与操作规范遵循相关法律法规以及监管部门、自律规则的规定。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20" w:firstLineChars="200"/>
      </w:pPr>
      <w:r>
        <w:rPr>
          <w:rFonts w:ascii="宋体" w:hAnsi="宋体"/>
        </w:rPr>
        <w:t>5</w:t>
      </w:r>
      <w:r>
        <w:rPr>
          <w:rFonts w:hint="eastAsia" w:ascii="宋体" w:hAnsi="宋体"/>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销售费率。</w:t>
      </w:r>
    </w:p>
    <w:p>
      <w:pPr>
        <w:spacing w:line="360" w:lineRule="auto"/>
        <w:ind w:firstLine="420" w:firstLineChars="200"/>
        <w:rPr>
          <w:rFonts w:ascii="宋体" w:hAnsi="宋体"/>
        </w:rPr>
      </w:pPr>
      <w:r>
        <w:rPr>
          <w:rFonts w:ascii="宋体" w:hAnsi="宋体"/>
        </w:rPr>
        <w:t>（七）申购份</w:t>
      </w:r>
      <w:r>
        <w:rPr>
          <w:rFonts w:hint="eastAsia" w:ascii="宋体" w:hAnsi="宋体"/>
        </w:rPr>
        <w:t>额</w:t>
      </w:r>
      <w:r>
        <w:rPr>
          <w:rFonts w:ascii="宋体" w:hAnsi="宋体"/>
        </w:rPr>
        <w:t>与赎回金额的计算方式</w:t>
      </w:r>
    </w:p>
    <w:p>
      <w:pPr>
        <w:spacing w:line="360" w:lineRule="auto"/>
        <w:ind w:firstLine="420" w:firstLineChars="200"/>
        <w:rPr>
          <w:rFonts w:ascii="宋体" w:hAnsi="宋体"/>
        </w:rPr>
      </w:pPr>
      <w:bookmarkStart w:id="136" w:name="OLE_LINK18"/>
      <w:r>
        <w:rPr>
          <w:rFonts w:hint="eastAsia" w:ascii="宋体" w:hAnsi="宋体"/>
        </w:rPr>
        <w:t>1、申购份额的计算方式：申购的有效份额为按实际确认</w:t>
      </w:r>
      <w:r>
        <w:rPr>
          <w:rFonts w:hint="eastAsia" w:ascii="宋体" w:hAnsi="宋体"/>
          <w:szCs w:val="21"/>
        </w:rPr>
        <w:t>的</w:t>
      </w:r>
      <w:r>
        <w:rPr>
          <w:rFonts w:hint="eastAsia" w:ascii="宋体" w:hAnsi="宋体"/>
        </w:rPr>
        <w:t>申购金额在扣除申购费用后，以申请当日该类基金份额净值为基准计算，有效份额单位为份，各计算结果均按照四舍五入方法，保留小数点后两位，由此产生的收益或损失由基金财产承担。</w:t>
      </w:r>
    </w:p>
    <w:bookmarkEnd w:id="136"/>
    <w:p>
      <w:pPr>
        <w:spacing w:line="360" w:lineRule="auto"/>
        <w:ind w:firstLine="420" w:firstLineChars="200"/>
        <w:rPr>
          <w:rFonts w:ascii="宋体" w:hAnsi="宋体"/>
        </w:rPr>
      </w:pPr>
      <w:r>
        <w:rPr>
          <w:rFonts w:hint="eastAsia" w:ascii="宋体" w:hAnsi="宋体"/>
        </w:rPr>
        <w:t>（1）A类基金份额的申购</w:t>
      </w:r>
    </w:p>
    <w:p>
      <w:pPr>
        <w:spacing w:line="360" w:lineRule="auto"/>
        <w:ind w:firstLine="420" w:firstLineChars="200"/>
        <w:rPr>
          <w:rFonts w:ascii="宋体" w:hAnsi="宋体"/>
        </w:rPr>
      </w:pPr>
      <w:r>
        <w:rPr>
          <w:rFonts w:hint="eastAsia" w:ascii="宋体" w:hAnsi="宋体"/>
        </w:rPr>
        <w:t>1)通过直销机构申购本基金A类基金份额的，不收取申购费。申购A类基金份额的计算方式如下：</w:t>
      </w:r>
    </w:p>
    <w:p>
      <w:pPr>
        <w:spacing w:line="360" w:lineRule="auto"/>
        <w:ind w:firstLine="420" w:firstLineChars="200"/>
        <w:rPr>
          <w:rFonts w:ascii="宋体" w:hAnsi="宋体"/>
        </w:rPr>
      </w:pPr>
      <w:r>
        <w:rPr>
          <w:rFonts w:hint="eastAsia" w:ascii="宋体" w:hAnsi="宋体"/>
        </w:rPr>
        <w:t>申购份额=申购金额/T日A类基金份额净值</w:t>
      </w:r>
    </w:p>
    <w:p>
      <w:pPr>
        <w:spacing w:line="360" w:lineRule="auto"/>
        <w:ind w:firstLine="420" w:firstLineChars="200"/>
        <w:rPr>
          <w:rFonts w:ascii="宋体" w:hAnsi="宋体"/>
        </w:rPr>
      </w:pPr>
      <w:r>
        <w:rPr>
          <w:rFonts w:hint="eastAsia" w:ascii="宋体" w:hAnsi="宋体"/>
        </w:rPr>
        <w:t>例：某投资者通过直销机构投资5万元申购本基金的A类基金份额，假设申购当日A类基金份额净值为1.0500元，则可得到的申购份额为：</w:t>
      </w:r>
    </w:p>
    <w:p>
      <w:pPr>
        <w:spacing w:line="360" w:lineRule="auto"/>
        <w:ind w:firstLine="420" w:firstLineChars="200"/>
        <w:rPr>
          <w:rFonts w:ascii="宋体" w:hAnsi="宋体"/>
        </w:rPr>
      </w:pPr>
      <w:r>
        <w:rPr>
          <w:rFonts w:hint="eastAsia" w:ascii="宋体" w:hAnsi="宋体"/>
        </w:rPr>
        <w:t>申购份额=50,000/1.0500=47,619.05份</w:t>
      </w:r>
    </w:p>
    <w:p>
      <w:pPr>
        <w:spacing w:line="360" w:lineRule="auto"/>
        <w:ind w:firstLine="420" w:firstLineChars="200"/>
        <w:rPr>
          <w:rFonts w:ascii="宋体" w:hAnsi="宋体"/>
        </w:rPr>
      </w:pPr>
      <w:r>
        <w:rPr>
          <w:rFonts w:hint="eastAsia" w:ascii="宋体" w:hAnsi="宋体"/>
        </w:rPr>
        <w:t>即：投资者通过直销机构投资5万元申购本基金的A类基金份额，假设申购当日A类基金份额净值为1.0500元，则其可得到47,619.05份A类基金份额。</w:t>
      </w:r>
    </w:p>
    <w:p>
      <w:pPr>
        <w:spacing w:line="360" w:lineRule="auto"/>
        <w:ind w:firstLine="420" w:firstLineChars="200"/>
        <w:rPr>
          <w:rFonts w:ascii="宋体" w:hAnsi="宋体"/>
        </w:rPr>
      </w:pPr>
      <w:r>
        <w:rPr>
          <w:rFonts w:ascii="宋体" w:hAnsi="宋体"/>
        </w:rPr>
        <w:t>2</w:t>
      </w:r>
      <w:r>
        <w:rPr>
          <w:rFonts w:hint="eastAsia" w:ascii="宋体" w:hAnsi="宋体"/>
        </w:rPr>
        <w:t>)通过非直销销售机构申购本基金A类基金份额的，申购费用采用前端收费模式（即申购基金时缴纳申购费），投资人的申购金额包括申购费用和净申购金额。申购A类基金份额的计算方式如下：</w:t>
      </w:r>
    </w:p>
    <w:p>
      <w:pPr>
        <w:spacing w:line="360" w:lineRule="auto"/>
        <w:ind w:firstLine="420" w:firstLineChars="200"/>
        <w:rPr>
          <w:rFonts w:ascii="宋体" w:hAnsi="宋体"/>
        </w:rPr>
      </w:pPr>
      <w:r>
        <w:rPr>
          <w:rFonts w:hint="eastAsia" w:ascii="宋体" w:hAnsi="宋体"/>
        </w:rPr>
        <w:t>净申购金额=申购金额/（1＋申购费率）</w:t>
      </w:r>
    </w:p>
    <w:p>
      <w:pPr>
        <w:spacing w:line="360" w:lineRule="auto"/>
        <w:ind w:firstLine="420" w:firstLineChars="200"/>
        <w:rPr>
          <w:rFonts w:ascii="宋体" w:hAnsi="宋体"/>
        </w:rPr>
      </w:pPr>
      <w:r>
        <w:rPr>
          <w:rFonts w:hint="eastAsia" w:ascii="宋体" w:hAnsi="宋体"/>
        </w:rPr>
        <w:t>（注：对于适用固定金额申购费用的申购，净申购金额＝申购金额－固定申购费用金额）</w:t>
      </w:r>
    </w:p>
    <w:p>
      <w:pPr>
        <w:spacing w:line="360" w:lineRule="auto"/>
        <w:ind w:firstLine="420" w:firstLineChars="200"/>
        <w:rPr>
          <w:rFonts w:ascii="宋体" w:hAnsi="宋体"/>
        </w:rPr>
      </w:pPr>
      <w:r>
        <w:rPr>
          <w:rFonts w:hint="eastAsia" w:ascii="宋体" w:hAnsi="宋体"/>
        </w:rPr>
        <w:t>申购费用=申购金额-净申购金额</w:t>
      </w:r>
    </w:p>
    <w:p>
      <w:pPr>
        <w:spacing w:line="360" w:lineRule="auto"/>
        <w:ind w:firstLine="420" w:firstLineChars="200"/>
        <w:rPr>
          <w:rFonts w:ascii="宋体" w:hAnsi="宋体"/>
        </w:rPr>
      </w:pPr>
      <w:r>
        <w:rPr>
          <w:rFonts w:hint="eastAsia" w:ascii="宋体" w:hAnsi="宋体"/>
        </w:rPr>
        <w:t>（注：对于适用固定金额申购费用的申购，申购费用＝固定申购费用金额）</w:t>
      </w:r>
    </w:p>
    <w:p>
      <w:pPr>
        <w:spacing w:line="360" w:lineRule="auto"/>
        <w:ind w:firstLine="420" w:firstLineChars="200"/>
        <w:rPr>
          <w:rFonts w:ascii="宋体" w:hAnsi="宋体"/>
        </w:rPr>
      </w:pPr>
      <w:r>
        <w:rPr>
          <w:rFonts w:hint="eastAsia" w:ascii="宋体" w:hAnsi="宋体"/>
        </w:rPr>
        <w:t>申购份额=净申购金额/T日A类基金份额净值</w:t>
      </w:r>
    </w:p>
    <w:p>
      <w:pPr>
        <w:spacing w:line="360" w:lineRule="auto"/>
        <w:ind w:firstLine="420" w:firstLineChars="200"/>
        <w:rPr>
          <w:rFonts w:ascii="宋体" w:hAnsi="宋体"/>
        </w:rPr>
      </w:pPr>
      <w:r>
        <w:rPr>
          <w:rFonts w:hint="eastAsia" w:ascii="宋体" w:hAnsi="宋体"/>
        </w:rPr>
        <w:t>例：某投资者通过非直销销售机构投资5万元申购本基金的A类基金份额，假设申购当日A类基金份额净值为1.0500元，则可得到的申购份额为：</w:t>
      </w:r>
    </w:p>
    <w:p>
      <w:pPr>
        <w:spacing w:line="360" w:lineRule="auto"/>
        <w:ind w:firstLine="420" w:firstLineChars="200"/>
        <w:rPr>
          <w:rFonts w:ascii="宋体" w:hAnsi="宋体"/>
        </w:rPr>
      </w:pPr>
      <w:r>
        <w:rPr>
          <w:rFonts w:hint="eastAsia" w:ascii="宋体" w:hAnsi="宋体"/>
        </w:rPr>
        <w:t>净申购金额＝50,000/（1＋</w:t>
      </w:r>
      <w:r>
        <w:rPr>
          <w:rFonts w:ascii="宋体" w:hAnsi="宋体"/>
        </w:rPr>
        <w:t>0.8</w:t>
      </w:r>
      <w:r>
        <w:rPr>
          <w:rFonts w:hint="eastAsia" w:ascii="宋体" w:hAnsi="宋体"/>
        </w:rPr>
        <w:t>0%）＝49,</w:t>
      </w:r>
      <w:r>
        <w:rPr>
          <w:rFonts w:ascii="宋体" w:hAnsi="宋体"/>
        </w:rPr>
        <w:t>603.17</w:t>
      </w:r>
      <w:r>
        <w:rPr>
          <w:rFonts w:hint="eastAsia" w:ascii="宋体" w:hAnsi="宋体"/>
        </w:rPr>
        <w:t>元</w:t>
      </w:r>
    </w:p>
    <w:p>
      <w:pPr>
        <w:spacing w:line="360" w:lineRule="auto"/>
        <w:ind w:firstLine="420" w:firstLineChars="200"/>
        <w:rPr>
          <w:rFonts w:ascii="宋体" w:hAnsi="宋体"/>
        </w:rPr>
      </w:pPr>
      <w:r>
        <w:rPr>
          <w:rFonts w:hint="eastAsia" w:ascii="宋体" w:hAnsi="宋体"/>
        </w:rPr>
        <w:t>申购费用＝50,000－49,</w:t>
      </w:r>
      <w:r>
        <w:rPr>
          <w:rFonts w:ascii="宋体" w:hAnsi="宋体"/>
        </w:rPr>
        <w:t>603.17</w:t>
      </w:r>
      <w:r>
        <w:rPr>
          <w:rFonts w:hint="eastAsia" w:ascii="宋体" w:hAnsi="宋体"/>
        </w:rPr>
        <w:t>＝</w:t>
      </w:r>
      <w:r>
        <w:rPr>
          <w:rFonts w:ascii="宋体" w:hAnsi="宋体"/>
        </w:rPr>
        <w:t>396.83</w:t>
      </w:r>
      <w:r>
        <w:rPr>
          <w:rFonts w:hint="eastAsia" w:ascii="宋体" w:hAnsi="宋体"/>
        </w:rPr>
        <w:t>元</w:t>
      </w:r>
    </w:p>
    <w:p>
      <w:pPr>
        <w:spacing w:line="360" w:lineRule="auto"/>
        <w:ind w:firstLine="420" w:firstLineChars="200"/>
        <w:rPr>
          <w:rFonts w:ascii="宋体" w:hAnsi="宋体"/>
        </w:rPr>
      </w:pPr>
      <w:r>
        <w:rPr>
          <w:rFonts w:hint="eastAsia" w:ascii="宋体" w:hAnsi="宋体"/>
        </w:rPr>
        <w:t>申购份额＝49,</w:t>
      </w:r>
      <w:r>
        <w:rPr>
          <w:rFonts w:ascii="宋体" w:hAnsi="宋体"/>
        </w:rPr>
        <w:t>603.17</w:t>
      </w:r>
      <w:r>
        <w:rPr>
          <w:rFonts w:hint="eastAsia" w:ascii="宋体" w:hAnsi="宋体"/>
        </w:rPr>
        <w:t>/1.0500＝</w:t>
      </w:r>
      <w:r>
        <w:rPr>
          <w:rFonts w:ascii="宋体" w:hAnsi="宋体"/>
        </w:rPr>
        <w:t>47,241.11</w:t>
      </w:r>
      <w:r>
        <w:rPr>
          <w:rFonts w:hint="eastAsia" w:ascii="宋体" w:hAnsi="宋体"/>
        </w:rPr>
        <w:t>份</w:t>
      </w:r>
    </w:p>
    <w:p>
      <w:pPr>
        <w:spacing w:line="360" w:lineRule="auto"/>
        <w:ind w:firstLine="420" w:firstLineChars="200"/>
        <w:rPr>
          <w:rFonts w:ascii="宋体" w:hAnsi="宋体"/>
        </w:rPr>
      </w:pPr>
      <w:r>
        <w:rPr>
          <w:rFonts w:hint="eastAsia" w:ascii="宋体" w:hAnsi="宋体"/>
        </w:rPr>
        <w:t>即：投资者通过非直销销售机构投资5万元申购本基金的A类基金份额，假设申购当日A类基金份额净值为1.0500元，则其可得到</w:t>
      </w:r>
      <w:r>
        <w:rPr>
          <w:rFonts w:ascii="宋体" w:hAnsi="宋体"/>
        </w:rPr>
        <w:t>47,241.11</w:t>
      </w:r>
      <w:r>
        <w:rPr>
          <w:rFonts w:hint="eastAsia" w:ascii="宋体" w:hAnsi="宋体"/>
        </w:rPr>
        <w:t>份A类基金份额。</w:t>
      </w:r>
    </w:p>
    <w:p>
      <w:pPr>
        <w:spacing w:line="360" w:lineRule="auto"/>
        <w:ind w:firstLine="420" w:firstLineChars="200"/>
        <w:rPr>
          <w:rFonts w:ascii="宋体" w:hAnsi="宋体"/>
        </w:rPr>
      </w:pPr>
      <w:r>
        <w:rPr>
          <w:rFonts w:hint="eastAsia" w:ascii="宋体" w:hAnsi="宋体"/>
        </w:rPr>
        <w:t>（2）C类基金份额的申购</w:t>
      </w:r>
    </w:p>
    <w:p>
      <w:pPr>
        <w:spacing w:line="360" w:lineRule="auto"/>
        <w:ind w:firstLine="420" w:firstLineChars="200"/>
        <w:rPr>
          <w:rFonts w:ascii="宋体" w:hAnsi="宋体"/>
        </w:rPr>
      </w:pPr>
      <w:r>
        <w:rPr>
          <w:rFonts w:hint="eastAsia" w:ascii="宋体" w:hAnsi="宋体"/>
        </w:rPr>
        <w:t>申购C类基金份额的计算方式如下：</w:t>
      </w:r>
    </w:p>
    <w:p>
      <w:pPr>
        <w:spacing w:line="360" w:lineRule="auto"/>
        <w:ind w:firstLine="420" w:firstLineChars="200"/>
        <w:rPr>
          <w:rFonts w:ascii="宋体" w:hAnsi="宋体"/>
        </w:rPr>
      </w:pPr>
      <w:r>
        <w:rPr>
          <w:rFonts w:hint="eastAsia" w:ascii="宋体" w:hAnsi="宋体"/>
        </w:rPr>
        <w:t>申购份额=申购金额/T日C类基金份额净值</w:t>
      </w:r>
    </w:p>
    <w:p>
      <w:pPr>
        <w:spacing w:line="360" w:lineRule="auto"/>
        <w:ind w:firstLine="420" w:firstLineChars="200"/>
        <w:rPr>
          <w:rFonts w:ascii="宋体" w:hAnsi="宋体"/>
        </w:rPr>
      </w:pPr>
      <w:r>
        <w:rPr>
          <w:rFonts w:hint="eastAsia" w:ascii="宋体" w:hAnsi="宋体"/>
        </w:rPr>
        <w:t>例：某投资者投资5万元申购本基金的C类基金份额，假设申购当日C类基金份额净值为1.0500元，则可得到的申购份额为：</w:t>
      </w:r>
    </w:p>
    <w:p>
      <w:pPr>
        <w:spacing w:line="360" w:lineRule="auto"/>
        <w:ind w:firstLine="420" w:firstLineChars="200"/>
        <w:rPr>
          <w:rFonts w:ascii="宋体" w:hAnsi="宋体"/>
        </w:rPr>
      </w:pPr>
      <w:r>
        <w:rPr>
          <w:rFonts w:hint="eastAsia" w:ascii="宋体" w:hAnsi="宋体"/>
        </w:rPr>
        <w:t>申购份额=50,000/1.0500=47,619.05份</w:t>
      </w:r>
    </w:p>
    <w:p>
      <w:pPr>
        <w:spacing w:line="360" w:lineRule="auto"/>
        <w:ind w:firstLine="420" w:firstLineChars="200"/>
        <w:rPr>
          <w:rFonts w:ascii="宋体" w:hAnsi="宋体"/>
        </w:rPr>
      </w:pPr>
      <w:r>
        <w:rPr>
          <w:rFonts w:hint="eastAsia" w:ascii="宋体" w:hAnsi="宋体"/>
        </w:rPr>
        <w:t>即：投资人投资5万元申购本基金的C类基金份额，假设申购当日C类基金份额净值为1.0500元，则其可得到47,619.05份C类基金份额。</w:t>
      </w:r>
    </w:p>
    <w:p>
      <w:pPr>
        <w:spacing w:line="360" w:lineRule="auto"/>
        <w:ind w:firstLine="420" w:firstLineChars="200"/>
        <w:rPr>
          <w:rFonts w:ascii="宋体" w:hAnsi="宋体"/>
        </w:rPr>
      </w:pPr>
      <w:r>
        <w:rPr>
          <w:rFonts w:hint="eastAsia" w:ascii="宋体" w:hAnsi="宋体"/>
        </w:rPr>
        <w:t>2、赎回金额的计算方式：赎回金额为按实际确认的有效赎回份额乘以当日该类基金份额净值的金额，净赎回金额为赎回金额扣除相应的费用（如有）、加上返还相应的或有管理费（如有）或扣除相应的超额管理费（如有），以及加上返还的销售服务费（如有），</w:t>
      </w:r>
      <w:r>
        <w:rPr>
          <w:rFonts w:ascii="宋体" w:hAnsi="宋体"/>
        </w:rPr>
        <w:t>赎回金额单位为元。</w:t>
      </w:r>
      <w:r>
        <w:rPr>
          <w:rFonts w:hint="eastAsia" w:ascii="宋体" w:hAnsi="宋体"/>
        </w:rPr>
        <w:t>计算结果按照四舍五入方法，保留小数点后两位，由此产生的收益或损失由基金财产承担。</w:t>
      </w:r>
    </w:p>
    <w:p>
      <w:pPr>
        <w:spacing w:line="360" w:lineRule="auto"/>
        <w:ind w:firstLine="420" w:firstLineChars="200"/>
        <w:rPr>
          <w:rFonts w:ascii="宋体" w:hAnsi="宋体"/>
        </w:rPr>
      </w:pPr>
      <w:r>
        <w:rPr>
          <w:rFonts w:hint="eastAsia" w:ascii="宋体" w:hAnsi="宋体"/>
        </w:rPr>
        <w:t>如果投资人赎回基金份额，则赎回金额的计算方法如下：</w:t>
      </w:r>
    </w:p>
    <w:p>
      <w:pPr>
        <w:spacing w:line="360" w:lineRule="auto"/>
        <w:ind w:firstLine="420" w:firstLineChars="200"/>
        <w:rPr>
          <w:rFonts w:ascii="宋体" w:hAnsi="宋体"/>
        </w:rPr>
      </w:pPr>
      <w:r>
        <w:rPr>
          <w:rFonts w:hint="eastAsia" w:ascii="宋体" w:hAnsi="宋体"/>
        </w:rPr>
        <w:t>赎回金额=赎回份额×T日该类基金份额净值</w:t>
      </w:r>
    </w:p>
    <w:p>
      <w:pPr>
        <w:spacing w:line="360" w:lineRule="auto"/>
        <w:ind w:firstLine="420" w:firstLineChars="200"/>
        <w:rPr>
          <w:rFonts w:ascii="宋体" w:hAnsi="宋体"/>
        </w:rPr>
      </w:pPr>
      <w:r>
        <w:rPr>
          <w:rFonts w:hint="eastAsia" w:ascii="宋体" w:hAnsi="宋体"/>
        </w:rPr>
        <w:t>赎回费用=赎回金额×赎回费率</w:t>
      </w:r>
    </w:p>
    <w:p>
      <w:pPr>
        <w:spacing w:line="360" w:lineRule="auto"/>
        <w:ind w:firstLine="420" w:firstLineChars="200"/>
        <w:rPr>
          <w:rFonts w:ascii="宋体" w:hAnsi="宋体"/>
        </w:rPr>
      </w:pPr>
      <w:r>
        <w:rPr>
          <w:rFonts w:hint="eastAsia" w:ascii="宋体" w:hAnsi="宋体"/>
        </w:rPr>
        <w:t>净赎回金额=赎回金额－赎回费用+应返还至投资人的或有管理费（如有）-基金管理人应收取的超额管理费（如有）+返还投资人的销售服务费（如有）</w:t>
      </w:r>
    </w:p>
    <w:p>
      <w:pPr>
        <w:spacing w:line="360" w:lineRule="auto"/>
        <w:ind w:firstLine="420" w:firstLineChars="200"/>
        <w:rPr>
          <w:rFonts w:ascii="宋体" w:hAnsi="宋体"/>
        </w:rPr>
      </w:pPr>
      <w:r>
        <w:rPr>
          <w:rFonts w:hint="eastAsia" w:ascii="宋体" w:hAnsi="宋体"/>
        </w:rPr>
        <w:t>该笔赎回是否涉及返还或有管理费、扣除超额管理费或返还销售服务费的具体条件及计算方法等具体安排详见本招募说明书“十二、基金的费用与税收”部分。</w:t>
      </w:r>
    </w:p>
    <w:p>
      <w:pPr>
        <w:spacing w:line="360" w:lineRule="auto"/>
        <w:ind w:firstLine="420" w:firstLineChars="200"/>
        <w:rPr>
          <w:rFonts w:ascii="宋体" w:hAnsi="宋体"/>
        </w:rPr>
      </w:pPr>
      <w:r>
        <w:rPr>
          <w:rFonts w:hint="eastAsia" w:ascii="宋体" w:hAnsi="宋体"/>
        </w:rPr>
        <w:t>例1：某投资者赎回本基金1万份A类基金份额，持有期限为1</w:t>
      </w:r>
      <w:r>
        <w:rPr>
          <w:rFonts w:ascii="宋体" w:hAnsi="宋体"/>
        </w:rPr>
        <w:t>50</w:t>
      </w:r>
      <w:r>
        <w:rPr>
          <w:rFonts w:hint="eastAsia" w:ascii="宋体" w:hAnsi="宋体"/>
        </w:rPr>
        <w:t>天，对应的赎回费率为0</w:t>
      </w:r>
      <w:r>
        <w:rPr>
          <w:rFonts w:ascii="宋体" w:hAnsi="宋体"/>
        </w:rPr>
        <w:t>.50</w:t>
      </w:r>
      <w:r>
        <w:rPr>
          <w:rFonts w:hint="eastAsia" w:ascii="宋体" w:hAnsi="宋体"/>
        </w:rPr>
        <w:t>%，由于持有期限不足一年（即3</w:t>
      </w:r>
      <w:r>
        <w:rPr>
          <w:rFonts w:ascii="宋体" w:hAnsi="宋体"/>
        </w:rPr>
        <w:t>65</w:t>
      </w:r>
      <w:r>
        <w:rPr>
          <w:rFonts w:hint="eastAsia" w:ascii="宋体" w:hAnsi="宋体"/>
        </w:rPr>
        <w:t>天），该笔基金份额按1</w:t>
      </w:r>
      <w:r>
        <w:rPr>
          <w:rFonts w:ascii="宋体" w:hAnsi="宋体"/>
        </w:rPr>
        <w:t>.2</w:t>
      </w:r>
      <w:r>
        <w:rPr>
          <w:rFonts w:hint="eastAsia" w:ascii="宋体" w:hAnsi="宋体"/>
        </w:rPr>
        <w:t>%年费率收取管理费，即该笔基金份额持有期限内计提的或有管理费不返还至投资者的赎回款，且基金管理人不收取超额管理费。假设赎回当日A类基金份额净值是1.2500元，则其可得到的净赎回金额为：</w:t>
      </w:r>
    </w:p>
    <w:p>
      <w:pPr>
        <w:spacing w:line="360" w:lineRule="auto"/>
        <w:ind w:firstLine="420" w:firstLineChars="200"/>
        <w:rPr>
          <w:rFonts w:ascii="宋体" w:hAnsi="宋体"/>
        </w:rPr>
      </w:pPr>
      <w:r>
        <w:rPr>
          <w:rFonts w:hint="eastAsia" w:ascii="宋体" w:hAnsi="宋体"/>
        </w:rPr>
        <w:t>赎回金额＝10,000×1.2500=12,500.00元</w:t>
      </w:r>
    </w:p>
    <w:p>
      <w:pPr>
        <w:spacing w:line="360" w:lineRule="auto"/>
        <w:ind w:firstLine="420" w:firstLineChars="200"/>
        <w:rPr>
          <w:rFonts w:ascii="宋体" w:hAnsi="宋体"/>
        </w:rPr>
      </w:pPr>
      <w:r>
        <w:rPr>
          <w:rFonts w:hint="eastAsia" w:ascii="宋体" w:hAnsi="宋体"/>
        </w:rPr>
        <w:t>赎回费用＝12,500.00×0</w:t>
      </w:r>
      <w:r>
        <w:rPr>
          <w:rFonts w:ascii="宋体" w:hAnsi="宋体"/>
        </w:rPr>
        <w:t>.50</w:t>
      </w:r>
      <w:r>
        <w:rPr>
          <w:rFonts w:hint="eastAsia" w:ascii="宋体" w:hAnsi="宋体"/>
        </w:rPr>
        <w:t>%=</w:t>
      </w:r>
      <w:r>
        <w:rPr>
          <w:rFonts w:ascii="宋体" w:hAnsi="宋体"/>
        </w:rPr>
        <w:t>62</w:t>
      </w:r>
      <w:r>
        <w:rPr>
          <w:rFonts w:hint="eastAsia" w:ascii="宋体" w:hAnsi="宋体"/>
        </w:rPr>
        <w:t>.</w:t>
      </w:r>
      <w:r>
        <w:rPr>
          <w:rFonts w:ascii="宋体" w:hAnsi="宋体"/>
        </w:rPr>
        <w:t>5</w:t>
      </w:r>
      <w:r>
        <w:rPr>
          <w:rFonts w:hint="eastAsia" w:ascii="宋体" w:hAnsi="宋体"/>
        </w:rPr>
        <w:t>0元</w:t>
      </w:r>
    </w:p>
    <w:p>
      <w:pPr>
        <w:spacing w:line="360" w:lineRule="auto"/>
        <w:ind w:firstLine="420" w:firstLineChars="200"/>
        <w:rPr>
          <w:rFonts w:ascii="宋体" w:hAnsi="宋体"/>
        </w:rPr>
      </w:pPr>
      <w:r>
        <w:rPr>
          <w:rFonts w:hint="eastAsia" w:ascii="宋体" w:hAnsi="宋体"/>
        </w:rPr>
        <w:t>应返还至投资者的或有管理费=</w:t>
      </w:r>
      <w:r>
        <w:rPr>
          <w:rFonts w:ascii="宋体" w:hAnsi="宋体"/>
        </w:rPr>
        <w:t>0</w:t>
      </w:r>
      <w:r>
        <w:rPr>
          <w:rFonts w:hint="eastAsia" w:ascii="宋体" w:hAnsi="宋体"/>
        </w:rPr>
        <w:t>.</w:t>
      </w:r>
      <w:r>
        <w:rPr>
          <w:rFonts w:ascii="宋体" w:hAnsi="宋体"/>
        </w:rPr>
        <w:t>00</w:t>
      </w:r>
      <w:r>
        <w:rPr>
          <w:rFonts w:hint="eastAsia" w:ascii="宋体" w:hAnsi="宋体"/>
        </w:rPr>
        <w:t>元</w:t>
      </w:r>
    </w:p>
    <w:p>
      <w:pPr>
        <w:spacing w:line="360" w:lineRule="auto"/>
        <w:ind w:firstLine="420" w:firstLineChars="200"/>
        <w:rPr>
          <w:rFonts w:ascii="宋体" w:hAnsi="宋体"/>
        </w:rPr>
      </w:pPr>
      <w:r>
        <w:rPr>
          <w:rFonts w:hint="eastAsia" w:ascii="宋体" w:hAnsi="宋体"/>
        </w:rPr>
        <w:t>基金管理人应收取的超额管理费=</w:t>
      </w:r>
      <w:r>
        <w:rPr>
          <w:rFonts w:ascii="宋体" w:hAnsi="宋体"/>
        </w:rPr>
        <w:t>0.00</w:t>
      </w:r>
      <w:r>
        <w:rPr>
          <w:rFonts w:hint="eastAsia" w:ascii="宋体" w:hAnsi="宋体"/>
        </w:rPr>
        <w:t>元</w:t>
      </w:r>
    </w:p>
    <w:p>
      <w:pPr>
        <w:spacing w:line="360" w:lineRule="auto"/>
        <w:ind w:firstLine="420" w:firstLineChars="200"/>
        <w:rPr>
          <w:rFonts w:ascii="宋体" w:hAnsi="宋体"/>
        </w:rPr>
      </w:pPr>
      <w:r>
        <w:rPr>
          <w:rFonts w:hint="eastAsia" w:ascii="宋体" w:hAnsi="宋体"/>
        </w:rPr>
        <w:t>净赎回金额＝12,500.00-</w:t>
      </w:r>
      <w:r>
        <w:rPr>
          <w:rFonts w:ascii="宋体" w:hAnsi="宋体"/>
        </w:rPr>
        <w:t>62</w:t>
      </w:r>
      <w:r>
        <w:rPr>
          <w:rFonts w:hint="eastAsia" w:ascii="宋体" w:hAnsi="宋体"/>
        </w:rPr>
        <w:t>.</w:t>
      </w:r>
      <w:r>
        <w:rPr>
          <w:rFonts w:ascii="宋体" w:hAnsi="宋体"/>
        </w:rPr>
        <w:t>5</w:t>
      </w:r>
      <w:r>
        <w:rPr>
          <w:rFonts w:hint="eastAsia" w:ascii="宋体" w:hAnsi="宋体"/>
        </w:rPr>
        <w:t>0+</w:t>
      </w:r>
      <w:r>
        <w:rPr>
          <w:rFonts w:ascii="宋体" w:hAnsi="宋体"/>
        </w:rPr>
        <w:t>0.00</w:t>
      </w:r>
      <w:r>
        <w:rPr>
          <w:rFonts w:hint="eastAsia" w:ascii="宋体" w:hAnsi="宋体"/>
        </w:rPr>
        <w:t>-</w:t>
      </w:r>
      <w:r>
        <w:rPr>
          <w:rFonts w:ascii="宋体" w:hAnsi="宋体"/>
        </w:rPr>
        <w:t>0.00</w:t>
      </w:r>
      <w:r>
        <w:rPr>
          <w:rFonts w:hint="eastAsia" w:ascii="宋体" w:hAnsi="宋体"/>
        </w:rPr>
        <w:t>=12,</w:t>
      </w:r>
      <w:r>
        <w:rPr>
          <w:rFonts w:ascii="宋体" w:hAnsi="宋体"/>
        </w:rPr>
        <w:t>437</w:t>
      </w:r>
      <w:r>
        <w:rPr>
          <w:rFonts w:hint="eastAsia" w:ascii="宋体" w:hAnsi="宋体"/>
        </w:rPr>
        <w:t>.</w:t>
      </w:r>
      <w:r>
        <w:rPr>
          <w:rFonts w:ascii="宋体" w:hAnsi="宋体"/>
        </w:rPr>
        <w:t>5</w:t>
      </w:r>
      <w:r>
        <w:rPr>
          <w:rFonts w:hint="eastAsia" w:ascii="宋体" w:hAnsi="宋体"/>
        </w:rPr>
        <w:t>0元</w:t>
      </w:r>
    </w:p>
    <w:p>
      <w:pPr>
        <w:spacing w:line="360" w:lineRule="auto"/>
        <w:ind w:firstLine="420" w:firstLineChars="200"/>
        <w:rPr>
          <w:rFonts w:ascii="宋体" w:hAnsi="宋体"/>
        </w:rPr>
      </w:pPr>
      <w:r>
        <w:rPr>
          <w:rFonts w:hint="eastAsia" w:ascii="宋体" w:hAnsi="宋体"/>
        </w:rPr>
        <w:t>即：投资者赎回本基金1万份A类基金份额，持有期限为1</w:t>
      </w:r>
      <w:r>
        <w:rPr>
          <w:rFonts w:ascii="宋体" w:hAnsi="宋体"/>
        </w:rPr>
        <w:t>50</w:t>
      </w:r>
      <w:r>
        <w:rPr>
          <w:rFonts w:hint="eastAsia" w:ascii="宋体" w:hAnsi="宋体"/>
        </w:rPr>
        <w:t>天，假设赎回当日A类基金份额净值是1.2500元，则其可得到的净赎回金额为12,</w:t>
      </w:r>
      <w:r>
        <w:rPr>
          <w:rFonts w:ascii="宋体" w:hAnsi="宋体"/>
        </w:rPr>
        <w:t>437</w:t>
      </w:r>
      <w:r>
        <w:rPr>
          <w:rFonts w:hint="eastAsia" w:ascii="宋体" w:hAnsi="宋体"/>
        </w:rPr>
        <w:t>.</w:t>
      </w:r>
      <w:r>
        <w:rPr>
          <w:rFonts w:ascii="宋体" w:hAnsi="宋体"/>
        </w:rPr>
        <w:t>5</w:t>
      </w:r>
      <w:r>
        <w:rPr>
          <w:rFonts w:hint="eastAsia" w:ascii="宋体" w:hAnsi="宋体"/>
        </w:rPr>
        <w:t>0元。</w:t>
      </w:r>
    </w:p>
    <w:p>
      <w:pPr>
        <w:spacing w:line="360" w:lineRule="auto"/>
        <w:ind w:firstLine="420" w:firstLineChars="200"/>
        <w:rPr>
          <w:rFonts w:ascii="宋体" w:hAnsi="宋体"/>
        </w:rPr>
      </w:pPr>
      <w:r>
        <w:rPr>
          <w:rFonts w:hint="eastAsia" w:ascii="宋体" w:hAnsi="宋体"/>
        </w:rPr>
        <w:t>例2：某投资者赎回本基金1万份A类基金份额，持有期限为两年六个月，对应的赎回费率为0%；该笔基金份额持有期间的年化超额收益率小于-</w:t>
      </w:r>
      <w:r>
        <w:rPr>
          <w:rFonts w:ascii="宋体" w:hAnsi="宋体"/>
        </w:rPr>
        <w:t>3</w:t>
      </w:r>
      <w:r>
        <w:rPr>
          <w:rFonts w:hint="eastAsia" w:ascii="宋体" w:hAnsi="宋体"/>
        </w:rPr>
        <w:t>%，该笔基金份额持有期限内计提的或有管理费应返还至投资者的赎回款，且基金管理人不收取超额管理费。假设赎回当日A类基金份额净值是1.2500元，该笔基金份额持有期限内计提的或有管理费是</w:t>
      </w:r>
      <w:r>
        <w:rPr>
          <w:rFonts w:ascii="宋体" w:hAnsi="宋体"/>
        </w:rPr>
        <w:t>160</w:t>
      </w:r>
      <w:r>
        <w:rPr>
          <w:rFonts w:hint="eastAsia" w:ascii="宋体" w:hAnsi="宋体"/>
        </w:rPr>
        <w:t>元，则其可得到的净赎回金额为：</w:t>
      </w:r>
    </w:p>
    <w:p>
      <w:pPr>
        <w:spacing w:line="360" w:lineRule="auto"/>
        <w:ind w:firstLine="420" w:firstLineChars="200"/>
        <w:rPr>
          <w:rFonts w:ascii="宋体" w:hAnsi="宋体"/>
        </w:rPr>
      </w:pPr>
      <w:r>
        <w:rPr>
          <w:rFonts w:hint="eastAsia" w:ascii="宋体" w:hAnsi="宋体"/>
        </w:rPr>
        <w:t>赎回金额＝10,000×1.2500=12,500.00元</w:t>
      </w:r>
    </w:p>
    <w:p>
      <w:pPr>
        <w:spacing w:line="360" w:lineRule="auto"/>
        <w:ind w:firstLine="420" w:firstLineChars="200"/>
        <w:rPr>
          <w:rFonts w:ascii="宋体" w:hAnsi="宋体"/>
        </w:rPr>
      </w:pPr>
      <w:r>
        <w:rPr>
          <w:rFonts w:hint="eastAsia" w:ascii="宋体" w:hAnsi="宋体"/>
        </w:rPr>
        <w:t>赎回费用＝12,500.00×0%=0.00元</w:t>
      </w:r>
    </w:p>
    <w:p>
      <w:pPr>
        <w:spacing w:line="360" w:lineRule="auto"/>
        <w:ind w:firstLine="420" w:firstLineChars="200"/>
        <w:rPr>
          <w:rFonts w:ascii="宋体" w:hAnsi="宋体"/>
        </w:rPr>
      </w:pPr>
      <w:r>
        <w:rPr>
          <w:rFonts w:hint="eastAsia" w:ascii="宋体" w:hAnsi="宋体"/>
        </w:rPr>
        <w:t>应返还至投资者的或有管理费=</w:t>
      </w:r>
      <w:r>
        <w:rPr>
          <w:rFonts w:ascii="宋体" w:hAnsi="宋体"/>
        </w:rPr>
        <w:t>160</w:t>
      </w:r>
      <w:r>
        <w:rPr>
          <w:rFonts w:hint="eastAsia" w:ascii="宋体" w:hAnsi="宋体"/>
        </w:rPr>
        <w:t>.00元</w:t>
      </w:r>
    </w:p>
    <w:p>
      <w:pPr>
        <w:spacing w:line="360" w:lineRule="auto"/>
        <w:ind w:firstLine="420" w:firstLineChars="200"/>
        <w:rPr>
          <w:rFonts w:ascii="宋体" w:hAnsi="宋体"/>
        </w:rPr>
      </w:pPr>
      <w:r>
        <w:rPr>
          <w:rFonts w:hint="eastAsia" w:ascii="宋体" w:hAnsi="宋体"/>
        </w:rPr>
        <w:t>基金管理人应收取的超额管理费=0.00元</w:t>
      </w:r>
    </w:p>
    <w:p>
      <w:pPr>
        <w:spacing w:line="360" w:lineRule="auto"/>
        <w:ind w:firstLine="420" w:firstLineChars="200"/>
        <w:rPr>
          <w:rFonts w:ascii="宋体" w:hAnsi="宋体"/>
        </w:rPr>
      </w:pPr>
      <w:r>
        <w:rPr>
          <w:rFonts w:hint="eastAsia" w:ascii="宋体" w:hAnsi="宋体"/>
        </w:rPr>
        <w:t>净赎回金额＝12,500.00-0.00+</w:t>
      </w:r>
      <w:r>
        <w:rPr>
          <w:rFonts w:ascii="宋体" w:hAnsi="宋体"/>
        </w:rPr>
        <w:t>160</w:t>
      </w:r>
      <w:r>
        <w:rPr>
          <w:rFonts w:hint="eastAsia" w:ascii="宋体" w:hAnsi="宋体"/>
        </w:rPr>
        <w:t>.00-0.00=12,</w:t>
      </w:r>
      <w:r>
        <w:rPr>
          <w:rFonts w:ascii="宋体" w:hAnsi="宋体"/>
        </w:rPr>
        <w:t>66</w:t>
      </w:r>
      <w:r>
        <w:rPr>
          <w:rFonts w:hint="eastAsia" w:ascii="宋体" w:hAnsi="宋体"/>
        </w:rPr>
        <w:t>0.00元</w:t>
      </w:r>
    </w:p>
    <w:p>
      <w:pPr>
        <w:spacing w:line="360" w:lineRule="auto"/>
        <w:ind w:firstLine="420" w:firstLineChars="200"/>
        <w:rPr>
          <w:rFonts w:ascii="宋体" w:hAnsi="宋体"/>
        </w:rPr>
      </w:pPr>
      <w:r>
        <w:rPr>
          <w:rFonts w:hint="eastAsia" w:ascii="宋体" w:hAnsi="宋体"/>
        </w:rPr>
        <w:t>即：投资者赎回本基金1万份A类基金份额，持有期限为两年六个月，假设该笔基金份额持有期间的年化超额收益率小于-</w:t>
      </w:r>
      <w:r>
        <w:rPr>
          <w:rFonts w:ascii="宋体" w:hAnsi="宋体"/>
        </w:rPr>
        <w:t>3</w:t>
      </w:r>
      <w:r>
        <w:rPr>
          <w:rFonts w:hint="eastAsia" w:ascii="宋体" w:hAnsi="宋体"/>
        </w:rPr>
        <w:t>%，且赎回当日A类基金份额净值是1.2500元，则其可得到的净赎回金额为12,</w:t>
      </w:r>
      <w:r>
        <w:rPr>
          <w:rFonts w:ascii="宋体" w:hAnsi="宋体"/>
        </w:rPr>
        <w:t>66</w:t>
      </w:r>
      <w:r>
        <w:rPr>
          <w:rFonts w:hint="eastAsia" w:ascii="宋体" w:hAnsi="宋体"/>
        </w:rPr>
        <w:t>0.00元。</w:t>
      </w:r>
    </w:p>
    <w:p>
      <w:pPr>
        <w:spacing w:line="360" w:lineRule="auto"/>
        <w:ind w:firstLine="420" w:firstLineChars="200"/>
        <w:rPr>
          <w:rFonts w:ascii="宋体" w:hAnsi="宋体"/>
        </w:rPr>
      </w:pPr>
      <w:r>
        <w:rPr>
          <w:rFonts w:hint="eastAsia" w:ascii="宋体" w:hAnsi="宋体"/>
        </w:rPr>
        <w:t>例</w:t>
      </w:r>
      <w:r>
        <w:rPr>
          <w:rFonts w:ascii="宋体" w:hAnsi="宋体"/>
        </w:rPr>
        <w:t>3</w:t>
      </w:r>
      <w:r>
        <w:rPr>
          <w:rFonts w:hint="eastAsia" w:ascii="宋体" w:hAnsi="宋体"/>
        </w:rPr>
        <w:t>：某投资者赎回本基金1万份A类基金份额，持有期限为两年六个月，对应的赎回费率为0%；该笔基金份额持有期间的年化超额收益率（扣除超额管理费后）大于</w:t>
      </w:r>
      <w:r>
        <w:rPr>
          <w:rFonts w:ascii="宋体" w:hAnsi="宋体"/>
        </w:rPr>
        <w:t>6</w:t>
      </w:r>
      <w:r>
        <w:rPr>
          <w:rFonts w:hint="eastAsia" w:ascii="宋体" w:hAnsi="宋体"/>
        </w:rPr>
        <w:t>%且年化收益率（扣除超额管理费后）为正，基金管理人将按照0</w:t>
      </w:r>
      <w:r>
        <w:rPr>
          <w:rFonts w:ascii="宋体" w:hAnsi="宋体"/>
        </w:rPr>
        <w:t>.30</w:t>
      </w:r>
      <w:r>
        <w:rPr>
          <w:rFonts w:hint="eastAsia" w:ascii="宋体" w:hAnsi="宋体"/>
        </w:rPr>
        <w:t>%年费率收取超额管理费。假设赎回当日A类基金份额净值是1.2500元，该笔基金份额持有期限内预估计算的超额管理费是</w:t>
      </w:r>
      <w:r>
        <w:rPr>
          <w:rFonts w:ascii="宋体" w:hAnsi="宋体"/>
        </w:rPr>
        <w:t>90</w:t>
      </w:r>
      <w:r>
        <w:rPr>
          <w:rFonts w:hint="eastAsia" w:ascii="宋体" w:hAnsi="宋体"/>
        </w:rPr>
        <w:t>元，则其可得到的净赎回金额为：</w:t>
      </w:r>
    </w:p>
    <w:p>
      <w:pPr>
        <w:spacing w:line="360" w:lineRule="auto"/>
        <w:ind w:firstLine="420" w:firstLineChars="200"/>
        <w:rPr>
          <w:rFonts w:ascii="宋体" w:hAnsi="宋体"/>
        </w:rPr>
      </w:pPr>
      <w:r>
        <w:rPr>
          <w:rFonts w:hint="eastAsia" w:ascii="宋体" w:hAnsi="宋体"/>
        </w:rPr>
        <w:t>赎回金额＝10,000×1.2500=12,500.00元</w:t>
      </w:r>
    </w:p>
    <w:p>
      <w:pPr>
        <w:spacing w:line="360" w:lineRule="auto"/>
        <w:ind w:firstLine="420" w:firstLineChars="200"/>
        <w:rPr>
          <w:rFonts w:ascii="宋体" w:hAnsi="宋体"/>
        </w:rPr>
      </w:pPr>
      <w:r>
        <w:rPr>
          <w:rFonts w:hint="eastAsia" w:ascii="宋体" w:hAnsi="宋体"/>
        </w:rPr>
        <w:t>赎回费用＝12,500.00×0%=0.00元</w:t>
      </w:r>
    </w:p>
    <w:p>
      <w:pPr>
        <w:spacing w:line="360" w:lineRule="auto"/>
        <w:ind w:firstLine="420" w:firstLineChars="200"/>
        <w:rPr>
          <w:rFonts w:ascii="宋体" w:hAnsi="宋体"/>
        </w:rPr>
      </w:pPr>
      <w:r>
        <w:rPr>
          <w:rFonts w:hint="eastAsia" w:ascii="宋体" w:hAnsi="宋体"/>
        </w:rPr>
        <w:t>应返还至投资者的或有管理费=0.00元</w:t>
      </w:r>
    </w:p>
    <w:p>
      <w:pPr>
        <w:spacing w:line="360" w:lineRule="auto"/>
        <w:ind w:firstLine="420" w:firstLineChars="200"/>
        <w:rPr>
          <w:rFonts w:ascii="宋体" w:hAnsi="宋体"/>
        </w:rPr>
      </w:pPr>
      <w:r>
        <w:rPr>
          <w:rFonts w:hint="eastAsia" w:ascii="宋体" w:hAnsi="宋体"/>
        </w:rPr>
        <w:t>基金管理人应收取的超额管理费=</w:t>
      </w:r>
      <w:r>
        <w:rPr>
          <w:rFonts w:ascii="宋体" w:hAnsi="宋体"/>
        </w:rPr>
        <w:t>90</w:t>
      </w:r>
      <w:r>
        <w:rPr>
          <w:rFonts w:hint="eastAsia" w:ascii="宋体" w:hAnsi="宋体"/>
        </w:rPr>
        <w:t>.00元</w:t>
      </w:r>
    </w:p>
    <w:p>
      <w:pPr>
        <w:spacing w:line="360" w:lineRule="auto"/>
        <w:ind w:firstLine="420" w:firstLineChars="200"/>
        <w:rPr>
          <w:rFonts w:ascii="宋体" w:hAnsi="宋体"/>
        </w:rPr>
      </w:pPr>
      <w:r>
        <w:rPr>
          <w:rFonts w:hint="eastAsia" w:ascii="宋体" w:hAnsi="宋体"/>
        </w:rPr>
        <w:t>净赎回金额＝12,500.00-0.00+</w:t>
      </w:r>
      <w:r>
        <w:rPr>
          <w:rFonts w:ascii="宋体" w:hAnsi="宋体"/>
        </w:rPr>
        <w:t>0</w:t>
      </w:r>
      <w:r>
        <w:rPr>
          <w:rFonts w:hint="eastAsia" w:ascii="宋体" w:hAnsi="宋体"/>
        </w:rPr>
        <w:t>.00-</w:t>
      </w:r>
      <w:r>
        <w:rPr>
          <w:rFonts w:ascii="宋体" w:hAnsi="宋体"/>
        </w:rPr>
        <w:t>90</w:t>
      </w:r>
      <w:r>
        <w:rPr>
          <w:rFonts w:hint="eastAsia" w:ascii="宋体" w:hAnsi="宋体"/>
        </w:rPr>
        <w:t>.00=12,</w:t>
      </w:r>
      <w:r>
        <w:rPr>
          <w:rFonts w:ascii="宋体" w:hAnsi="宋体"/>
        </w:rPr>
        <w:t>41</w:t>
      </w:r>
      <w:r>
        <w:rPr>
          <w:rFonts w:hint="eastAsia" w:ascii="宋体" w:hAnsi="宋体"/>
        </w:rPr>
        <w:t>0.00元</w:t>
      </w:r>
    </w:p>
    <w:p>
      <w:pPr>
        <w:spacing w:line="360" w:lineRule="auto"/>
        <w:ind w:firstLine="420" w:firstLineChars="200"/>
        <w:rPr>
          <w:rFonts w:ascii="宋体" w:hAnsi="宋体"/>
        </w:rPr>
      </w:pPr>
      <w:r>
        <w:rPr>
          <w:rFonts w:hint="eastAsia" w:ascii="宋体" w:hAnsi="宋体"/>
        </w:rPr>
        <w:t>即：投资者赎回本基金1万份A类基金份额，持有期限为两年六个月，假设该笔基金份额持有期间的年化超额收益率（扣除超额管理费后）大于</w:t>
      </w:r>
      <w:r>
        <w:rPr>
          <w:rFonts w:ascii="宋体" w:hAnsi="宋体"/>
        </w:rPr>
        <w:t>6</w:t>
      </w:r>
      <w:r>
        <w:rPr>
          <w:rFonts w:hint="eastAsia" w:ascii="宋体" w:hAnsi="宋体"/>
        </w:rPr>
        <w:t>%且年化收益率（扣除超额管理费后）为正，赎回当日A类基金份额净值是1.2500元，则其可得到的净赎回金额为12,</w:t>
      </w:r>
      <w:r>
        <w:rPr>
          <w:rFonts w:ascii="宋体" w:hAnsi="宋体"/>
        </w:rPr>
        <w:t>41</w:t>
      </w:r>
      <w:r>
        <w:rPr>
          <w:rFonts w:hint="eastAsia" w:ascii="宋体" w:hAnsi="宋体"/>
        </w:rPr>
        <w:t>0.00元。</w:t>
      </w:r>
    </w:p>
    <w:p>
      <w:pPr>
        <w:spacing w:line="360" w:lineRule="auto"/>
        <w:ind w:firstLine="420" w:firstLineChars="200"/>
        <w:rPr>
          <w:rFonts w:ascii="宋体" w:hAnsi="宋体"/>
        </w:rPr>
      </w:pPr>
      <w:r>
        <w:rPr>
          <w:rFonts w:hint="eastAsia" w:ascii="宋体" w:hAnsi="宋体"/>
        </w:rPr>
        <w:t>3、基金份额净值计算</w:t>
      </w:r>
    </w:p>
    <w:p>
      <w:pPr>
        <w:spacing w:line="360" w:lineRule="auto"/>
        <w:ind w:firstLine="420" w:firstLineChars="200"/>
        <w:rPr>
          <w:rFonts w:ascii="宋体" w:hAnsi="宋体"/>
        </w:rPr>
      </w:pPr>
      <w:r>
        <w:rPr>
          <w:rFonts w:hint="eastAsia" w:ascii="宋体" w:hAnsi="宋体"/>
        </w:rPr>
        <w:t>各类基金份额净值的计算公式为计算日该类基金资产净值除以计算日登记在册该类基金份额余额所得的单位基金份额的价值。</w:t>
      </w:r>
    </w:p>
    <w:p>
      <w:pPr>
        <w:spacing w:line="360" w:lineRule="auto"/>
        <w:ind w:firstLine="420" w:firstLineChars="200"/>
        <w:rPr>
          <w:rFonts w:ascii="宋体" w:hAnsi="宋体"/>
        </w:rPr>
      </w:pPr>
      <w:r>
        <w:rPr>
          <w:rFonts w:hint="eastAsia" w:ascii="宋体" w:hAnsi="宋体"/>
        </w:rPr>
        <w:t>T日该类基金份额净值＝T日该类基金资产净值/T日登记在册该类基金份额余额。</w:t>
      </w:r>
    </w:p>
    <w:p>
      <w:pPr>
        <w:spacing w:line="360" w:lineRule="auto"/>
        <w:ind w:firstLine="420" w:firstLineChars="200"/>
        <w:rPr>
          <w:rFonts w:ascii="宋体" w:hAnsi="宋体"/>
        </w:rPr>
      </w:pPr>
      <w:r>
        <w:rPr>
          <w:rFonts w:hint="eastAsia" w:ascii="宋体" w:hAnsi="宋体"/>
        </w:rPr>
        <w:t>本基金各类基金份额净值的计算，均保留到小数点后4位，小数点后第5位四舍五入，由此产生的收益或损失由基金财产承担。T日的各类基金份额净值在当天收市后计算，并</w:t>
      </w:r>
      <w:r>
        <w:rPr>
          <w:rFonts w:hint="eastAsia" w:ascii="宋体" w:hAnsi="宋体"/>
          <w:lang w:bidi="ar"/>
        </w:rPr>
        <w:t>根据《基金合同》的约定进行</w:t>
      </w:r>
      <w:r>
        <w:rPr>
          <w:rFonts w:hint="eastAsia" w:ascii="宋体" w:hAnsi="宋体"/>
        </w:rPr>
        <w:t>公告。遇特殊情况，经履行适当程序，可以适当延迟计算或公告。</w:t>
      </w:r>
    </w:p>
    <w:p>
      <w:pPr>
        <w:spacing w:line="360" w:lineRule="auto"/>
        <w:ind w:firstLine="420" w:firstLineChars="200"/>
        <w:rPr>
          <w:rFonts w:ascii="宋体" w:hAnsi="宋体"/>
        </w:rPr>
      </w:pPr>
      <w:r>
        <w:rPr>
          <w:rFonts w:hint="eastAsia" w:ascii="宋体" w:hAnsi="宋体"/>
        </w:rPr>
        <w:t>由于本基金在计算各类基金份额净值时，按前一日基金资产净值的1.20%年费率计算管理费，该费率可能高于或低于不同投资者最终适用的管理费率。在基金份额赎回、转换转出或基金合同终止的情形发生时，基金投资者实际收到的赎回款项或清算款项的金额可能与按披露的该类基金份额净值计算的结果存在差异。投资者的实际赎回金额或清算资金以登记机构确认数据为准。</w:t>
      </w:r>
    </w:p>
    <w:p>
      <w:pPr>
        <w:spacing w:line="360" w:lineRule="auto"/>
        <w:ind w:firstLine="420" w:firstLineChars="200"/>
        <w:rPr>
          <w:rFonts w:ascii="宋体" w:hAnsi="宋体"/>
        </w:rPr>
      </w:pPr>
      <w:bookmarkStart w:id="137" w:name="OLE_LINK21"/>
      <w:r>
        <w:rPr>
          <w:rFonts w:hint="eastAsia" w:ascii="宋体" w:hAnsi="宋体"/>
        </w:rPr>
        <w:t>本基金对投资者通过直销机构认/申购C类基金份额计提的销售服务费、通过非直销销售机构认/申购的C类基金份额持续持有期限超过一年继续计提的销售服务费采取先收后返的模式，基金投资者实际收到的赎回款项或清算款项的金额可能与按披露的C类基金份额净值计算的结果存在差异。投资者的实际赎回金额和清算资金以登记机构确认数据为准。</w:t>
      </w:r>
    </w:p>
    <w:p>
      <w:pPr>
        <w:spacing w:line="360" w:lineRule="auto"/>
        <w:ind w:firstLine="420" w:firstLineChars="200"/>
        <w:rPr>
          <w:rFonts w:ascii="宋体" w:hAnsi="宋体"/>
        </w:rPr>
      </w:pPr>
      <w:r>
        <w:rPr>
          <w:rFonts w:hint="eastAsia" w:ascii="宋体" w:hAnsi="宋体"/>
        </w:rPr>
        <w:t>（八）</w:t>
      </w:r>
      <w:r>
        <w:rPr>
          <w:rFonts w:ascii="宋体" w:hAnsi="宋体"/>
        </w:rPr>
        <w:t>拒绝或暂停申购的情形</w:t>
      </w:r>
    </w:p>
    <w:p>
      <w:pPr>
        <w:spacing w:line="360" w:lineRule="auto"/>
        <w:ind w:firstLine="420" w:firstLineChars="200"/>
        <w:rPr>
          <w:rFonts w:ascii="宋体" w:hAnsi="宋体"/>
        </w:rPr>
      </w:pPr>
      <w:r>
        <w:rPr>
          <w:rFonts w:hint="eastAsia" w:ascii="宋体" w:hAnsi="宋体"/>
        </w:rPr>
        <w:t>发生下列情况时，基金管理人可拒绝或暂停接受投资人的申购申请：</w:t>
      </w:r>
    </w:p>
    <w:p>
      <w:pPr>
        <w:spacing w:line="360" w:lineRule="auto"/>
        <w:ind w:firstLine="420" w:firstLineChars="200"/>
        <w:rPr>
          <w:rFonts w:ascii="宋体" w:hAnsi="宋体"/>
        </w:rPr>
      </w:pPr>
      <w:r>
        <w:rPr>
          <w:rFonts w:hint="eastAsia" w:ascii="宋体" w:hAnsi="宋体"/>
        </w:rPr>
        <w:t>1、因不可抗力导致基金无法正常运作。</w:t>
      </w:r>
    </w:p>
    <w:p>
      <w:pPr>
        <w:spacing w:line="360" w:lineRule="auto"/>
        <w:ind w:firstLine="420" w:firstLineChars="200"/>
        <w:rPr>
          <w:rFonts w:ascii="宋体" w:hAnsi="宋体"/>
        </w:rPr>
      </w:pPr>
      <w:r>
        <w:rPr>
          <w:rFonts w:hint="eastAsia" w:ascii="宋体" w:hAnsi="宋体"/>
        </w:rPr>
        <w:t>2、发生基金合同规定的暂停基金资产估值情况时，基金管理人可暂停接受投资人的申购申请。</w:t>
      </w:r>
    </w:p>
    <w:p>
      <w:pPr>
        <w:spacing w:line="360" w:lineRule="auto"/>
        <w:ind w:firstLine="420" w:firstLineChars="200"/>
        <w:rPr>
          <w:rFonts w:ascii="宋体" w:hAnsi="宋体"/>
        </w:rPr>
      </w:pPr>
      <w:r>
        <w:rPr>
          <w:rFonts w:hint="eastAsia" w:ascii="宋体" w:hAnsi="宋体"/>
        </w:rPr>
        <w:t>3、证券、期货交易所或外汇市场交易时间非正常停市，导致基金管理人无法计算当日基金资产净值。</w:t>
      </w:r>
    </w:p>
    <w:p>
      <w:pPr>
        <w:spacing w:line="360" w:lineRule="auto"/>
        <w:ind w:firstLine="420" w:firstLineChars="200"/>
        <w:rPr>
          <w:rFonts w:ascii="宋体" w:hAnsi="宋体"/>
        </w:rPr>
      </w:pPr>
      <w:r>
        <w:rPr>
          <w:rFonts w:hint="eastAsia" w:ascii="宋体" w:hAnsi="宋体"/>
        </w:rPr>
        <w:t>4、接受某笔或某些申购申请可能会影响或损害现有基金份额持有人利益时。</w:t>
      </w:r>
    </w:p>
    <w:p>
      <w:pPr>
        <w:spacing w:line="360" w:lineRule="auto"/>
        <w:ind w:firstLine="420" w:firstLineChars="200"/>
        <w:rPr>
          <w:rFonts w:ascii="宋体" w:hAnsi="宋体"/>
        </w:rPr>
      </w:pPr>
      <w:r>
        <w:rPr>
          <w:rFonts w:hint="eastAsia" w:ascii="宋体" w:hAnsi="宋体"/>
        </w:rPr>
        <w:t>5、基金资产规模过大，使基金管理人无法找到合适的投资品种，或其他可能对基金业绩产生负面影响，或发生其他损害现有基金份额持有人利益的情形。</w:t>
      </w:r>
    </w:p>
    <w:p>
      <w:pPr>
        <w:spacing w:line="360" w:lineRule="auto"/>
        <w:ind w:firstLine="420" w:firstLineChars="200"/>
        <w:rPr>
          <w:rFonts w:ascii="宋体" w:hAnsi="宋体"/>
        </w:rPr>
      </w:pPr>
      <w:r>
        <w:rPr>
          <w:rFonts w:hint="eastAsia" w:ascii="宋体" w:hAnsi="宋体"/>
        </w:rPr>
        <w:t>6、某笔或某些申购申请超过基金管理人设定的单日净申购比例上限、单一投资者单日或单笔申购金额上限的。</w:t>
      </w:r>
    </w:p>
    <w:p>
      <w:pPr>
        <w:spacing w:line="360" w:lineRule="auto"/>
        <w:ind w:firstLine="420" w:firstLineChars="200"/>
        <w:rPr>
          <w:rFonts w:ascii="宋体" w:hAnsi="宋体"/>
        </w:rPr>
      </w:pPr>
      <w:r>
        <w:rPr>
          <w:rFonts w:hint="eastAsia" w:ascii="宋体" w:hAnsi="宋体"/>
        </w:rPr>
        <w:t>7、当特定资产占前一估值日基金资产净值50%以上的，经与基金托管人协商确认后，基金管理人应当暂停接受基金申购申请。</w:t>
      </w:r>
    </w:p>
    <w:p>
      <w:pPr>
        <w:spacing w:line="360" w:lineRule="auto"/>
        <w:ind w:firstLine="420" w:firstLineChars="200"/>
        <w:rPr>
          <w:rFonts w:ascii="宋体" w:hAnsi="宋体"/>
        </w:rPr>
      </w:pPr>
      <w:r>
        <w:rPr>
          <w:rFonts w:hint="eastAsia" w:ascii="宋体" w:hAnsi="宋体"/>
        </w:rPr>
        <w:t>8、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pPr>
        <w:spacing w:line="360" w:lineRule="auto"/>
        <w:ind w:firstLine="420" w:firstLineChars="200"/>
        <w:rPr>
          <w:rFonts w:ascii="宋体" w:hAnsi="宋体"/>
        </w:rPr>
      </w:pPr>
      <w:r>
        <w:rPr>
          <w:rFonts w:hint="eastAsia" w:ascii="宋体" w:hAnsi="宋体"/>
        </w:rPr>
        <w:t>9、本基金参与港股通交易且港股通交易额度不足。</w:t>
      </w:r>
    </w:p>
    <w:p>
      <w:pPr>
        <w:spacing w:line="360" w:lineRule="auto"/>
        <w:ind w:firstLine="420" w:firstLineChars="200"/>
        <w:rPr>
          <w:rFonts w:ascii="宋体" w:hAnsi="宋体"/>
        </w:rPr>
      </w:pPr>
      <w:r>
        <w:rPr>
          <w:rFonts w:ascii="宋体" w:hAnsi="宋体"/>
        </w:rPr>
        <w:t>10</w:t>
      </w:r>
      <w:r>
        <w:rPr>
          <w:rFonts w:hint="eastAsia" w:ascii="宋体" w:hAnsi="宋体"/>
        </w:rPr>
        <w:t>、法律法规规定或中国证监会认定的其他情形。</w:t>
      </w:r>
    </w:p>
    <w:p>
      <w:pPr>
        <w:spacing w:line="360" w:lineRule="auto"/>
        <w:ind w:firstLine="420" w:firstLineChars="200"/>
        <w:rPr>
          <w:rFonts w:ascii="宋体" w:hAnsi="宋体"/>
        </w:rPr>
      </w:pPr>
      <w:r>
        <w:rPr>
          <w:rFonts w:hint="eastAsia" w:ascii="宋体" w:hAnsi="宋体"/>
        </w:rPr>
        <w:t>发生上述第1、2、3、5、7、9、1</w:t>
      </w:r>
      <w:r>
        <w:rPr>
          <w:rFonts w:ascii="宋体" w:hAnsi="宋体"/>
        </w:rPr>
        <w:t>0</w:t>
      </w:r>
      <w:r>
        <w:rPr>
          <w:rFonts w:hint="eastAsia" w:ascii="宋体" w:hAnsi="宋体"/>
        </w:rPr>
        <w:t>项暂停申购情形之一且基金管理人决定暂停接受投资人的申购申请时，基金管理人应当根据有关规定在规定媒介上刊登暂停申购公告。如果投资人的申购申请被全部或部分拒绝的，被拒绝的申购款项本金将退还给投资人。在暂停申购的情况消除时，基金管理人应及时恢复申购业务的办理。</w:t>
      </w:r>
    </w:p>
    <w:bookmarkEnd w:id="135"/>
    <w:p>
      <w:pPr>
        <w:spacing w:line="360" w:lineRule="auto"/>
        <w:ind w:firstLine="420" w:firstLineChars="200"/>
        <w:rPr>
          <w:rFonts w:ascii="宋体" w:hAnsi="宋体"/>
        </w:rPr>
      </w:pPr>
      <w:r>
        <w:rPr>
          <w:rFonts w:hint="eastAsia" w:ascii="宋体" w:hAnsi="宋体"/>
        </w:rPr>
        <w:t>（九）</w:t>
      </w:r>
      <w:r>
        <w:rPr>
          <w:rFonts w:ascii="宋体" w:hAnsi="宋体"/>
        </w:rPr>
        <w:t>暂停赎回或延缓支付赎回款项的情形</w:t>
      </w:r>
    </w:p>
    <w:p>
      <w:pPr>
        <w:spacing w:line="360" w:lineRule="auto"/>
        <w:ind w:firstLine="420" w:firstLineChars="200"/>
        <w:rPr>
          <w:rFonts w:ascii="宋体" w:hAnsi="宋体"/>
        </w:rPr>
      </w:pPr>
      <w:r>
        <w:rPr>
          <w:rFonts w:hint="eastAsia" w:ascii="宋体" w:hAnsi="宋体"/>
        </w:rPr>
        <w:t>发生下列情形时，基金管理人可暂停接受投资人的赎回申请或延缓支付赎回款项：</w:t>
      </w:r>
    </w:p>
    <w:p>
      <w:pPr>
        <w:spacing w:line="360" w:lineRule="auto"/>
        <w:ind w:firstLine="420" w:firstLineChars="200"/>
        <w:rPr>
          <w:rFonts w:ascii="宋体" w:hAnsi="宋体"/>
        </w:rPr>
      </w:pPr>
      <w:r>
        <w:rPr>
          <w:rFonts w:hint="eastAsia" w:ascii="宋体" w:hAnsi="宋体"/>
        </w:rPr>
        <w:t>1、因不可抗力导致基金管理人不能支付赎回款项。</w:t>
      </w:r>
    </w:p>
    <w:p>
      <w:pPr>
        <w:spacing w:line="360" w:lineRule="auto"/>
        <w:ind w:firstLine="420" w:firstLineChars="200"/>
        <w:rPr>
          <w:rFonts w:ascii="宋体" w:hAnsi="宋体"/>
        </w:rPr>
      </w:pPr>
      <w:r>
        <w:rPr>
          <w:rFonts w:hint="eastAsia" w:ascii="宋体" w:hAnsi="宋体"/>
        </w:rPr>
        <w:t>2、发生基金合同规定的暂停基金资产估值情况时，基金管理人可暂停接受投资人的赎回申请或延缓支付赎回款项。</w:t>
      </w:r>
    </w:p>
    <w:p>
      <w:pPr>
        <w:spacing w:line="360" w:lineRule="auto"/>
        <w:ind w:firstLine="420" w:firstLineChars="200"/>
        <w:rPr>
          <w:rFonts w:ascii="宋体" w:hAnsi="宋体"/>
        </w:rPr>
      </w:pPr>
      <w:r>
        <w:rPr>
          <w:rFonts w:hint="eastAsia" w:ascii="宋体" w:hAnsi="宋体"/>
        </w:rPr>
        <w:t>3、证券、期货交易所或外汇市场交易时间非正常停市，导致基金管理人无法计算当日基金资产净值。</w:t>
      </w:r>
    </w:p>
    <w:p>
      <w:pPr>
        <w:spacing w:line="360" w:lineRule="auto"/>
        <w:ind w:firstLine="420" w:firstLineChars="200"/>
        <w:rPr>
          <w:rFonts w:ascii="宋体" w:hAnsi="宋体"/>
        </w:rPr>
      </w:pPr>
      <w:r>
        <w:rPr>
          <w:rFonts w:hint="eastAsia" w:ascii="宋体" w:hAnsi="宋体"/>
        </w:rPr>
        <w:t>4、连续两个或两个以上开放日发生巨额赎回。</w:t>
      </w:r>
    </w:p>
    <w:p>
      <w:pPr>
        <w:spacing w:line="360" w:lineRule="auto"/>
        <w:ind w:firstLine="420" w:firstLineChars="200"/>
        <w:rPr>
          <w:rFonts w:ascii="宋体" w:hAnsi="宋体"/>
        </w:rPr>
      </w:pPr>
      <w:r>
        <w:rPr>
          <w:rFonts w:hint="eastAsia" w:ascii="宋体" w:hAnsi="宋体"/>
        </w:rPr>
        <w:t>5、发生继续接受赎回申请将损害现有基金份额持有人利益的情形时，基金管理人可暂停接受基金份额持有人的赎回申请。</w:t>
      </w:r>
    </w:p>
    <w:p>
      <w:pPr>
        <w:spacing w:line="360" w:lineRule="auto"/>
        <w:ind w:firstLine="420" w:firstLineChars="200"/>
        <w:rPr>
          <w:rFonts w:ascii="宋体" w:hAnsi="宋体"/>
        </w:rPr>
      </w:pPr>
      <w:r>
        <w:rPr>
          <w:rFonts w:hint="eastAsia" w:ascii="宋体" w:hAnsi="宋体"/>
        </w:rPr>
        <w:t>6、当特定资产占前一估值日基金资产净值50%以上的，经与基金托管人协商确认后，基金管理人应当延缓支付赎回款项或暂停接受基金赎回申请。</w:t>
      </w:r>
    </w:p>
    <w:p>
      <w:pPr>
        <w:spacing w:line="360" w:lineRule="auto"/>
        <w:ind w:firstLine="420" w:firstLineChars="200"/>
        <w:rPr>
          <w:rFonts w:ascii="宋体" w:hAnsi="宋体"/>
        </w:rPr>
      </w:pPr>
      <w:r>
        <w:rPr>
          <w:rFonts w:hint="eastAsia" w:ascii="宋体" w:hAnsi="宋体"/>
        </w:rPr>
        <w:t>7、法律法规规定或中国证监会认定的其他情形。</w:t>
      </w:r>
    </w:p>
    <w:p>
      <w:pPr>
        <w:spacing w:line="360" w:lineRule="auto"/>
        <w:ind w:firstLine="420" w:firstLineChars="200"/>
        <w:rPr>
          <w:rFonts w:ascii="宋体" w:hAnsi="宋体"/>
        </w:rPr>
      </w:pPr>
      <w:r>
        <w:rPr>
          <w:rFonts w:hint="eastAsia" w:ascii="宋体" w:hAnsi="宋体"/>
        </w:rPr>
        <w:t>发生上述情形之一且基金管理人决定暂停赎回或延缓支付赎回款项时，基金管理人应根据有关规定在规定媒介上刊登暂停赎回公告，并按规定报中国证监会备案，已确认的赎回申请，基金管理人应足额支付；如暂时不能足额支付，应将可支付部分按单个账户申请量占申请总量的比例分配给赎回申请人，未支付部分可延期支付，且该部分按照赎回申请日的该类基金份额净值为基础进行计算。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20" w:firstLineChars="200"/>
        <w:rPr>
          <w:rFonts w:ascii="宋体" w:hAnsi="宋体"/>
        </w:rPr>
      </w:pPr>
      <w:r>
        <w:rPr>
          <w:rFonts w:hint="eastAsia" w:ascii="宋体" w:hAnsi="宋体"/>
        </w:rPr>
        <w:t>（十）</w:t>
      </w:r>
      <w:r>
        <w:rPr>
          <w:rFonts w:ascii="宋体" w:hAnsi="宋体"/>
        </w:rPr>
        <w:t>巨额赎回的情形及处理方式</w:t>
      </w:r>
    </w:p>
    <w:p>
      <w:pPr>
        <w:spacing w:line="360" w:lineRule="auto"/>
        <w:ind w:firstLine="420" w:firstLineChars="200"/>
        <w:rPr>
          <w:rFonts w:ascii="宋体" w:hAnsi="宋体"/>
        </w:rPr>
      </w:pPr>
      <w:r>
        <w:rPr>
          <w:rFonts w:hint="eastAsia" w:ascii="宋体" w:hAnsi="宋体"/>
        </w:rPr>
        <w:t>1、巨额赎回的认定</w:t>
      </w:r>
    </w:p>
    <w:p>
      <w:pPr>
        <w:spacing w:line="360" w:lineRule="auto"/>
        <w:ind w:firstLine="420" w:firstLineChars="200"/>
        <w:rPr>
          <w:rFonts w:ascii="宋体" w:hAnsi="宋体"/>
        </w:rPr>
      </w:pPr>
      <w:r>
        <w:rPr>
          <w:rFonts w:hint="eastAsia" w:ascii="宋体" w:hAnsi="宋体"/>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20" w:firstLineChars="200"/>
        <w:rPr>
          <w:rFonts w:ascii="宋体" w:hAnsi="宋体"/>
        </w:rPr>
      </w:pPr>
      <w:r>
        <w:rPr>
          <w:rFonts w:hint="eastAsia" w:ascii="宋体" w:hAnsi="宋体"/>
        </w:rPr>
        <w:t>2、巨额赎回的处理方式</w:t>
      </w:r>
    </w:p>
    <w:p>
      <w:pPr>
        <w:spacing w:line="360" w:lineRule="auto"/>
        <w:ind w:firstLine="420" w:firstLineChars="200"/>
        <w:rPr>
          <w:rFonts w:ascii="宋体" w:hAnsi="宋体"/>
        </w:rPr>
      </w:pPr>
      <w:r>
        <w:rPr>
          <w:rFonts w:hint="eastAsia" w:ascii="宋体" w:hAnsi="宋体"/>
        </w:rPr>
        <w:t>当本基金出现巨额赎回时，基金管理人可以根据基金当时的资产组合状况或巨额赎回份额占比情况决定全额赎回或部分延期赎回。</w:t>
      </w:r>
    </w:p>
    <w:p>
      <w:pPr>
        <w:spacing w:line="360" w:lineRule="auto"/>
        <w:ind w:firstLine="420" w:firstLineChars="200"/>
        <w:rPr>
          <w:rFonts w:ascii="宋体" w:hAnsi="宋体"/>
        </w:rPr>
      </w:pPr>
      <w:r>
        <w:rPr>
          <w:rFonts w:hint="eastAsia" w:ascii="宋体" w:hAnsi="宋体"/>
        </w:rPr>
        <w:t>（1）全额赎回：当基金管理人认为有能力支付投资人的全部赎回申请时，按正常赎回程序执行。</w:t>
      </w:r>
    </w:p>
    <w:p>
      <w:pPr>
        <w:spacing w:line="360" w:lineRule="auto"/>
        <w:ind w:firstLine="420" w:firstLineChars="200"/>
        <w:rPr>
          <w:rFonts w:ascii="宋体" w:hAnsi="宋体"/>
        </w:rPr>
      </w:pPr>
      <w:r>
        <w:rPr>
          <w:rFonts w:hint="eastAsia" w:ascii="宋体" w:hAnsi="宋体"/>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pPr>
        <w:spacing w:line="360" w:lineRule="auto"/>
        <w:ind w:firstLine="420" w:firstLineChars="200"/>
        <w:rPr>
          <w:rFonts w:ascii="宋体" w:hAnsi="宋体"/>
        </w:rPr>
      </w:pPr>
      <w:r>
        <w:rPr>
          <w:rFonts w:hint="eastAsia" w:ascii="宋体" w:hAnsi="宋体"/>
        </w:rPr>
        <w:t>（3）若本基金发生巨额赎回且单个开放日内单个基金份额持有人的赎回申请超过上一开放日基金总份额的10%，基金管理人可以先行对该单个基金份额持有人超出10%的赎回申请实施延期办理，而对该单个基金份额持有人10%以内（含10%）的赎回申请与其他基金份额持有人的赎回申请，基金管理人可以根据基金当时的资产组合状况或巨额赎回份额占比情况决定全额赎回或部分延期赎回。所有延期的赎回申请与下一开放日赎回申请一并处理，无优先权并以下一开放日的该类基金份额净值为基础计算赎回金额，以此类推，直到全部赎回为止。具体见相关公告。</w:t>
      </w:r>
    </w:p>
    <w:p>
      <w:pPr>
        <w:spacing w:line="360" w:lineRule="auto"/>
        <w:ind w:firstLine="420" w:firstLineChars="200"/>
        <w:rPr>
          <w:rFonts w:ascii="宋体" w:hAnsi="宋体"/>
        </w:rPr>
      </w:pPr>
      <w:r>
        <w:rPr>
          <w:rFonts w:hint="eastAsia" w:ascii="宋体" w:hAnsi="宋体"/>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spacing w:line="360" w:lineRule="auto"/>
        <w:ind w:firstLine="420" w:firstLineChars="200"/>
        <w:rPr>
          <w:rFonts w:ascii="宋体" w:hAnsi="宋体"/>
        </w:rPr>
      </w:pPr>
      <w:r>
        <w:rPr>
          <w:rFonts w:hint="eastAsia" w:ascii="宋体" w:hAnsi="宋体"/>
        </w:rPr>
        <w:t>3、巨额赎回的公告</w:t>
      </w:r>
    </w:p>
    <w:p>
      <w:pPr>
        <w:spacing w:line="360" w:lineRule="auto"/>
        <w:ind w:firstLine="420" w:firstLineChars="200"/>
        <w:rPr>
          <w:rFonts w:ascii="宋体" w:hAnsi="宋体"/>
        </w:rPr>
      </w:pPr>
      <w:r>
        <w:rPr>
          <w:rFonts w:hint="eastAsia" w:ascii="宋体" w:hAnsi="宋体"/>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20" w:firstLineChars="200"/>
        <w:rPr>
          <w:rFonts w:ascii="宋体" w:hAnsi="宋体"/>
        </w:rPr>
      </w:pPr>
      <w:r>
        <w:rPr>
          <w:rFonts w:hint="eastAsia" w:ascii="宋体" w:hAnsi="宋体"/>
        </w:rPr>
        <w:t>（十一）</w:t>
      </w:r>
      <w:r>
        <w:rPr>
          <w:rFonts w:ascii="宋体" w:hAnsi="宋体"/>
        </w:rPr>
        <w:t>暂停申购或赎回的公告和重新开放申购或赎回的公告</w:t>
      </w:r>
    </w:p>
    <w:p>
      <w:pPr>
        <w:widowControl/>
        <w:spacing w:line="360" w:lineRule="auto"/>
        <w:ind w:firstLine="420" w:firstLineChars="200"/>
        <w:jc w:val="left"/>
        <w:rPr>
          <w:rFonts w:ascii="宋体" w:hAnsi="宋体"/>
        </w:rPr>
      </w:pPr>
      <w:r>
        <w:rPr>
          <w:rFonts w:ascii="宋体" w:hAnsi="宋体"/>
          <w:lang w:bidi="ar"/>
        </w:rPr>
        <w:t>1</w:t>
      </w:r>
      <w:r>
        <w:rPr>
          <w:rFonts w:hint="eastAsia" w:ascii="宋体" w:hAnsi="宋体"/>
          <w:lang w:bidi="ar"/>
        </w:rPr>
        <w:t>、发生上述暂停申购或赎回情况的，基金管理人应在规定期限内在规定媒介上刊登暂停公告。</w:t>
      </w:r>
    </w:p>
    <w:p>
      <w:pPr>
        <w:widowControl/>
        <w:spacing w:line="360" w:lineRule="auto"/>
        <w:ind w:firstLine="420" w:firstLineChars="200"/>
        <w:jc w:val="left"/>
        <w:rPr>
          <w:rFonts w:ascii="宋体" w:hAnsi="宋体"/>
        </w:rPr>
      </w:pPr>
      <w:r>
        <w:rPr>
          <w:rFonts w:ascii="宋体" w:hAnsi="宋体"/>
          <w:lang w:bidi="ar"/>
        </w:rPr>
        <w:t>2</w:t>
      </w:r>
      <w:r>
        <w:rPr>
          <w:rFonts w:hint="eastAsia" w:ascii="宋体" w:hAnsi="宋体"/>
          <w:lang w:bidi="ar"/>
        </w:rPr>
        <w:t>、上述暂停申购或赎回情况消除的，基金管理人应于重新开放日公布最近</w:t>
      </w:r>
      <w:r>
        <w:rPr>
          <w:rFonts w:ascii="宋体" w:hAnsi="宋体"/>
          <w:lang w:bidi="ar"/>
        </w:rPr>
        <w:t>1</w:t>
      </w:r>
      <w:r>
        <w:rPr>
          <w:rFonts w:hint="eastAsia" w:ascii="宋体" w:hAnsi="宋体"/>
          <w:lang w:bidi="ar"/>
        </w:rPr>
        <w:t>个开放日的各类基金份额净值。</w:t>
      </w:r>
    </w:p>
    <w:p>
      <w:pPr>
        <w:widowControl/>
        <w:spacing w:line="360" w:lineRule="auto"/>
        <w:ind w:firstLine="420" w:firstLineChars="200"/>
        <w:jc w:val="left"/>
        <w:rPr>
          <w:rFonts w:ascii="宋体" w:hAnsi="宋体"/>
        </w:rPr>
      </w:pPr>
      <w:r>
        <w:rPr>
          <w:rFonts w:ascii="宋体" w:hAnsi="宋体"/>
          <w:lang w:bidi="ar"/>
        </w:rPr>
        <w:t>3</w:t>
      </w:r>
      <w:r>
        <w:rPr>
          <w:rFonts w:hint="eastAsia" w:ascii="宋体" w:hAnsi="宋体"/>
          <w:lang w:bidi="ar"/>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可不再另行发布重新开放的公告。</w:t>
      </w:r>
    </w:p>
    <w:p>
      <w:pPr>
        <w:spacing w:line="360" w:lineRule="auto"/>
        <w:ind w:firstLine="420" w:firstLineChars="200"/>
        <w:rPr>
          <w:rFonts w:ascii="宋体" w:hAnsi="宋体"/>
        </w:rPr>
      </w:pPr>
      <w:bookmarkStart w:id="138" w:name="_Hlt70481650"/>
      <w:bookmarkEnd w:id="138"/>
      <w:r>
        <w:rPr>
          <w:rFonts w:ascii="宋体" w:hAnsi="宋体"/>
        </w:rPr>
        <w:t>（十</w:t>
      </w:r>
      <w:r>
        <w:rPr>
          <w:rFonts w:hint="eastAsia" w:ascii="宋体" w:hAnsi="宋体"/>
        </w:rPr>
        <w:t>二</w:t>
      </w:r>
      <w:r>
        <w:rPr>
          <w:rFonts w:ascii="宋体" w:hAnsi="宋体"/>
        </w:rPr>
        <w:t>）基金转换</w:t>
      </w:r>
    </w:p>
    <w:p>
      <w:pPr>
        <w:spacing w:line="360" w:lineRule="auto"/>
        <w:ind w:firstLine="420" w:firstLineChars="200"/>
        <w:rPr>
          <w:rFonts w:ascii="宋体" w:hAnsi="宋体"/>
        </w:rPr>
      </w:pPr>
      <w:r>
        <w:rPr>
          <w:rFonts w:hint="eastAsia" w:ascii="宋体" w:hAnsi="宋体"/>
        </w:rPr>
        <w:t>基金管理人可以根据相关法律法规以及基金合同的规定决定开通本基金的基金份额与基金管理人管理的本基金其他基金份额或其他基金基金份额之间的转换业务，基金转换可以收取一定的转换费，相关规则由基金管理人届时根据相关法律法规及基金合同的规定制定并公告，并提前告知基金托管人与相关机构。</w:t>
      </w:r>
    </w:p>
    <w:p>
      <w:pPr>
        <w:spacing w:line="360" w:lineRule="auto"/>
        <w:ind w:firstLine="420" w:firstLineChars="200"/>
        <w:rPr>
          <w:rFonts w:ascii="宋体" w:hAnsi="宋体"/>
        </w:rPr>
      </w:pPr>
      <w:r>
        <w:rPr>
          <w:rFonts w:hint="eastAsia" w:ascii="宋体" w:hAnsi="宋体"/>
        </w:rPr>
        <w:t>如本基金开通转换业务的，转入的基金份额持有期限自注册登记系统确认之日起开始计算，自该部分基金份额赎回或转出确认日止，且基金份额赎回或转出确认日不计入持有期限。</w:t>
      </w:r>
    </w:p>
    <w:p>
      <w:pPr>
        <w:spacing w:line="360" w:lineRule="auto"/>
        <w:ind w:firstLine="420" w:firstLineChars="200"/>
        <w:rPr>
          <w:rFonts w:ascii="宋体" w:hAnsi="宋体"/>
        </w:rPr>
      </w:pPr>
      <w:r>
        <w:rPr>
          <w:rFonts w:hint="eastAsia" w:ascii="宋体" w:hAnsi="宋体"/>
        </w:rPr>
        <w:t>（十三）基金的非交易过户</w:t>
      </w:r>
    </w:p>
    <w:p>
      <w:pPr>
        <w:spacing w:line="360" w:lineRule="auto"/>
        <w:ind w:firstLine="420" w:firstLineChars="200"/>
        <w:rPr>
          <w:rFonts w:ascii="宋体" w:hAnsi="宋体"/>
        </w:rPr>
      </w:pPr>
      <w:r>
        <w:rPr>
          <w:rFonts w:hint="eastAsia" w:ascii="宋体" w:hAnsi="宋体"/>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spacing w:line="360" w:lineRule="auto"/>
        <w:ind w:firstLine="420" w:firstLineChars="200"/>
        <w:rPr>
          <w:rFonts w:ascii="宋体" w:hAnsi="宋体"/>
        </w:rPr>
      </w:pPr>
      <w:r>
        <w:rPr>
          <w:rFonts w:hint="eastAsia" w:ascii="宋体" w:hAnsi="宋体"/>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20" w:firstLineChars="200"/>
        <w:rPr>
          <w:rFonts w:ascii="宋体" w:hAnsi="宋体"/>
        </w:rPr>
      </w:pPr>
      <w:bookmarkStart w:id="139" w:name="_Toc354416542"/>
      <w:bookmarkStart w:id="140" w:name="_Toc319419145"/>
      <w:r>
        <w:rPr>
          <w:rFonts w:hint="eastAsia" w:ascii="宋体" w:hAnsi="宋体"/>
        </w:rPr>
        <w:t>（十四）基金的转托管</w:t>
      </w:r>
      <w:bookmarkEnd w:id="139"/>
      <w:bookmarkEnd w:id="140"/>
    </w:p>
    <w:p>
      <w:pPr>
        <w:spacing w:line="360" w:lineRule="auto"/>
        <w:ind w:firstLine="420" w:firstLineChars="200"/>
        <w:rPr>
          <w:rFonts w:ascii="宋体" w:hAnsi="宋体"/>
        </w:rPr>
      </w:pPr>
      <w:r>
        <w:rPr>
          <w:rFonts w:hint="eastAsia" w:ascii="宋体" w:hAnsi="宋体"/>
        </w:rPr>
        <w:t>基金份额持有人可办理已持有基金份额在不同销售机构之间的转托管，基金销售机构可以按照规定的标准收取转托管费。</w:t>
      </w:r>
    </w:p>
    <w:p>
      <w:pPr>
        <w:spacing w:line="360" w:lineRule="auto"/>
        <w:ind w:firstLine="420" w:firstLineChars="200"/>
        <w:rPr>
          <w:rFonts w:ascii="宋体" w:hAnsi="宋体"/>
        </w:rPr>
      </w:pPr>
      <w:r>
        <w:rPr>
          <w:rFonts w:hint="eastAsia" w:ascii="宋体" w:hAnsi="宋体"/>
        </w:rPr>
        <w:t>（十五）定期定额投资计划</w:t>
      </w:r>
    </w:p>
    <w:p>
      <w:pPr>
        <w:spacing w:line="360" w:lineRule="auto"/>
        <w:ind w:firstLine="420" w:firstLineChars="200"/>
        <w:rPr>
          <w:rFonts w:ascii="宋体" w:hAnsi="宋体"/>
        </w:rPr>
      </w:pPr>
      <w:r>
        <w:rPr>
          <w:rFonts w:hint="eastAsia" w:ascii="宋体" w:hAnsi="宋体"/>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20" w:firstLineChars="200"/>
        <w:rPr>
          <w:rFonts w:ascii="宋体" w:hAnsi="宋体"/>
        </w:rPr>
      </w:pPr>
      <w:r>
        <w:rPr>
          <w:rFonts w:hint="eastAsia" w:ascii="宋体" w:hAnsi="宋体"/>
        </w:rPr>
        <w:t>（十六）基金份额的冻结、解冻和质押</w:t>
      </w:r>
    </w:p>
    <w:p>
      <w:pPr>
        <w:spacing w:line="360" w:lineRule="auto"/>
        <w:ind w:firstLine="420" w:firstLineChars="200"/>
        <w:rPr>
          <w:rFonts w:ascii="宋体" w:hAnsi="宋体"/>
        </w:rPr>
      </w:pPr>
      <w:r>
        <w:rPr>
          <w:rFonts w:hint="eastAsia" w:ascii="宋体" w:hAnsi="宋体"/>
        </w:rPr>
        <w:t>基金登记机构只受理国家有权机关依法要求的基金份额的冻结与解冻，以及登记机构认可、符合法律法规的其他情况下的冻结与解冻。</w:t>
      </w:r>
    </w:p>
    <w:p>
      <w:pPr>
        <w:spacing w:line="360" w:lineRule="auto"/>
        <w:ind w:firstLine="420" w:firstLineChars="200"/>
        <w:rPr>
          <w:rFonts w:ascii="宋体" w:hAnsi="宋体"/>
        </w:rPr>
      </w:pPr>
      <w:r>
        <w:rPr>
          <w:rFonts w:hint="eastAsia" w:ascii="宋体" w:hAnsi="宋体"/>
        </w:rPr>
        <w:t>基金份额被冻结的，被冻结部分产生的权益一并冻结，被冻结部分份额仍然参与收益分配。法律法规或监管部门另有规定的除外。</w:t>
      </w:r>
    </w:p>
    <w:p>
      <w:pPr>
        <w:spacing w:line="360" w:lineRule="auto"/>
        <w:ind w:firstLine="420" w:firstLineChars="200"/>
        <w:rPr>
          <w:rFonts w:ascii="宋体" w:hAnsi="宋体"/>
        </w:rPr>
      </w:pPr>
      <w:r>
        <w:rPr>
          <w:rFonts w:hint="eastAsia" w:ascii="宋体" w:hAnsi="宋体"/>
        </w:rPr>
        <w:t>如相关法律法规允许基金管理人办理基金份额的质押业务或其他基金业务，基金管理人将制定和实施相应的业务规则。</w:t>
      </w:r>
    </w:p>
    <w:p>
      <w:pPr>
        <w:spacing w:line="360" w:lineRule="auto"/>
        <w:ind w:firstLine="420" w:firstLineChars="200"/>
        <w:rPr>
          <w:rFonts w:ascii="宋体" w:hAnsi="宋体"/>
        </w:rPr>
      </w:pPr>
      <w:r>
        <w:rPr>
          <w:rFonts w:hint="eastAsia" w:ascii="宋体" w:hAnsi="宋体"/>
        </w:rPr>
        <w:t>（十七）基金份额的转让</w:t>
      </w:r>
    </w:p>
    <w:p>
      <w:pPr>
        <w:spacing w:line="360" w:lineRule="auto"/>
        <w:ind w:firstLine="420" w:firstLineChars="200"/>
        <w:rPr>
          <w:rFonts w:ascii="宋体" w:hAnsi="宋体"/>
        </w:rPr>
      </w:pPr>
      <w:r>
        <w:rPr>
          <w:rFonts w:hint="eastAsia" w:ascii="宋体" w:hAnsi="宋体"/>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20" w:firstLineChars="200"/>
        <w:rPr>
          <w:rFonts w:ascii="宋体" w:hAnsi="宋体"/>
        </w:rPr>
      </w:pPr>
      <w:r>
        <w:rPr>
          <w:rFonts w:hint="eastAsia" w:ascii="宋体" w:hAnsi="宋体"/>
        </w:rPr>
        <w:t>（十八）实施侧袋机制期间本基金的申购与赎回</w:t>
      </w:r>
    </w:p>
    <w:p>
      <w:pPr>
        <w:spacing w:line="360" w:lineRule="auto"/>
        <w:ind w:firstLine="420" w:firstLineChars="200"/>
        <w:rPr>
          <w:rFonts w:ascii="宋体" w:hAnsi="宋体"/>
          <w:kern w:val="0"/>
          <w:szCs w:val="21"/>
        </w:rPr>
      </w:pPr>
      <w:r>
        <w:rPr>
          <w:rFonts w:hint="eastAsia" w:ascii="宋体" w:hAnsi="宋体"/>
        </w:rPr>
        <w:t>本基金实施侧袋机制的，本基金的申购和赎回安排详见招募说明书“侧袋机制”部分或相关公告的规定。</w:t>
      </w:r>
    </w:p>
    <w:bookmarkEnd w:id="137"/>
    <w:p>
      <w:pPr>
        <w:pStyle w:val="4"/>
        <w:spacing w:before="400" w:after="400"/>
        <w:rPr>
          <w:rFonts w:hAnsi="宋体"/>
          <w:sz w:val="32"/>
        </w:rPr>
      </w:pPr>
      <w:r>
        <w:rPr>
          <w:rFonts w:hAnsi="宋体"/>
          <w:kern w:val="0"/>
          <w:szCs w:val="21"/>
        </w:rPr>
        <w:br w:type="page"/>
      </w:r>
      <w:bookmarkStart w:id="141" w:name="_Toc203806295"/>
      <w:bookmarkStart w:id="142" w:name="_Toc106894682"/>
      <w:bookmarkStart w:id="143" w:name="_Toc106862760"/>
      <w:bookmarkStart w:id="144" w:name="_Toc116052789"/>
      <w:bookmarkStart w:id="145" w:name="_Toc55987065"/>
      <w:bookmarkStart w:id="146" w:name="_Toc203357158"/>
      <w:bookmarkStart w:id="147" w:name="_Toc116052555"/>
      <w:bookmarkStart w:id="148" w:name="_Toc106961486"/>
      <w:bookmarkStart w:id="149" w:name="_Toc106894880"/>
      <w:bookmarkStart w:id="150" w:name="_Toc106863371"/>
      <w:r>
        <w:rPr>
          <w:rFonts w:hint="eastAsia" w:hAnsi="宋体"/>
          <w:sz w:val="32"/>
        </w:rPr>
        <w:t>九、</w:t>
      </w:r>
      <w:r>
        <w:rPr>
          <w:rFonts w:hAnsi="宋体"/>
          <w:sz w:val="32"/>
        </w:rPr>
        <w:t>基金的投资</w:t>
      </w:r>
      <w:bookmarkEnd w:id="141"/>
      <w:bookmarkEnd w:id="142"/>
      <w:bookmarkEnd w:id="143"/>
      <w:bookmarkEnd w:id="144"/>
      <w:bookmarkEnd w:id="145"/>
      <w:bookmarkEnd w:id="146"/>
      <w:bookmarkEnd w:id="147"/>
      <w:bookmarkEnd w:id="148"/>
      <w:bookmarkEnd w:id="149"/>
      <w:bookmarkEnd w:id="150"/>
    </w:p>
    <w:p>
      <w:pPr>
        <w:spacing w:line="360" w:lineRule="auto"/>
        <w:ind w:firstLine="420" w:firstLineChars="200"/>
        <w:rPr>
          <w:rFonts w:ascii="宋体" w:hAnsi="宋体"/>
        </w:rPr>
      </w:pPr>
      <w:bookmarkStart w:id="151" w:name="OLE_LINK23"/>
      <w:r>
        <w:rPr>
          <w:rFonts w:hint="eastAsia" w:ascii="宋体" w:hAnsi="宋体"/>
        </w:rPr>
        <w:t>（一）投资目标</w:t>
      </w:r>
    </w:p>
    <w:p>
      <w:pPr>
        <w:spacing w:line="360" w:lineRule="auto"/>
        <w:ind w:firstLine="420" w:firstLineChars="200"/>
        <w:rPr>
          <w:rFonts w:ascii="宋体" w:hAnsi="宋体"/>
          <w:bCs/>
        </w:rPr>
      </w:pPr>
      <w:bookmarkStart w:id="152" w:name="OLE_LINK2"/>
      <w:bookmarkStart w:id="153" w:name="OLE_LINK14"/>
      <w:r>
        <w:rPr>
          <w:rFonts w:hint="eastAsia" w:ascii="宋体" w:hAnsi="宋体"/>
          <w:bCs/>
        </w:rPr>
        <w:t>把握新时代新能源高质量发展所带来的投资机会，深入挖掘本基金所界定的新能源主题范围内的优质上市公司进行投资，在风险可控的前提下力争获取超越业绩比较基准的收益。</w:t>
      </w:r>
    </w:p>
    <w:bookmarkEnd w:id="152"/>
    <w:bookmarkEnd w:id="153"/>
    <w:p>
      <w:pPr>
        <w:spacing w:line="360" w:lineRule="auto"/>
        <w:ind w:firstLine="420" w:firstLineChars="200"/>
        <w:rPr>
          <w:rFonts w:ascii="宋体" w:hAnsi="宋体"/>
          <w:bCs/>
        </w:rPr>
      </w:pPr>
      <w:r>
        <w:rPr>
          <w:rFonts w:hint="eastAsia" w:ascii="宋体" w:hAnsi="宋体"/>
          <w:bCs/>
        </w:rPr>
        <w:t>（二）投资范围</w:t>
      </w:r>
    </w:p>
    <w:p>
      <w:pPr>
        <w:spacing w:line="360" w:lineRule="auto"/>
        <w:ind w:firstLine="420" w:firstLineChars="200"/>
        <w:rPr>
          <w:rFonts w:ascii="宋体" w:hAnsi="宋体"/>
          <w:bCs/>
        </w:rPr>
      </w:pPr>
      <w:r>
        <w:rPr>
          <w:rFonts w:hint="eastAsia" w:ascii="宋体" w:hAnsi="宋体"/>
          <w:bCs/>
        </w:rPr>
        <w:t>本基金的投资范围为具有良好流动性的金融工具，包括国内依法发行上市交易的股票（包括主板、创业板、</w:t>
      </w:r>
      <w:bookmarkStart w:id="154" w:name="OLE_LINK4"/>
      <w:bookmarkStart w:id="155" w:name="OLE_LINK5"/>
      <w:r>
        <w:rPr>
          <w:rFonts w:hint="eastAsia" w:ascii="宋体" w:hAnsi="宋体"/>
          <w:bCs/>
        </w:rPr>
        <w:t>科创板</w:t>
      </w:r>
      <w:bookmarkEnd w:id="154"/>
      <w:bookmarkEnd w:id="155"/>
      <w:r>
        <w:rPr>
          <w:rFonts w:hint="eastAsia" w:ascii="宋体" w:hAnsi="宋体"/>
          <w:bCs/>
        </w:rPr>
        <w:t>及其他中国证监会允许基金投资的股票、存托凭证）、内地与香港股票市场交易互联互通机制允许买卖的规定范围内的香港联合交易所上市的股票（以下简称“港股通投资标的股票”）、股指期货、债券（包括国债、地方政府债、政府支持机构债券、金融债、企业债、公司债、次级债、可转换债券、分离交易可转债、可交换债券、央行票据、中期票据、短期融资券、超短期融资券）、国债期货、资产支持证券、债券回购、银行存款、同业存单、现金，以及法律法规或监管机构允许基金投资的其他金融工具（但须符合监管机构的相关规定）。</w:t>
      </w:r>
    </w:p>
    <w:p>
      <w:pPr>
        <w:spacing w:line="360" w:lineRule="auto"/>
        <w:ind w:firstLine="420" w:firstLineChars="200"/>
        <w:rPr>
          <w:rFonts w:ascii="宋体" w:hAnsi="宋体"/>
          <w:bCs/>
        </w:rPr>
      </w:pPr>
      <w:r>
        <w:rPr>
          <w:rFonts w:hint="eastAsia" w:ascii="宋体" w:hAnsi="宋体"/>
          <w:bCs/>
        </w:rPr>
        <w:t>如法律法规或监管机构以后允许基金投资其他品种，基金管理人在履行适当程序后，可以将其纳入投资范围。</w:t>
      </w:r>
    </w:p>
    <w:p>
      <w:pPr>
        <w:spacing w:line="360" w:lineRule="auto"/>
        <w:ind w:firstLine="420" w:firstLineChars="200"/>
        <w:rPr>
          <w:rFonts w:ascii="宋体" w:hAnsi="宋体"/>
          <w:bCs/>
        </w:rPr>
      </w:pPr>
      <w:r>
        <w:rPr>
          <w:rFonts w:hint="eastAsia" w:ascii="宋体" w:hAnsi="宋体"/>
          <w:bCs/>
        </w:rPr>
        <w:t>本基金的投资组合比例为：股票资产占基金资产的比例为</w:t>
      </w:r>
      <w:r>
        <w:rPr>
          <w:rFonts w:ascii="宋体" w:hAnsi="宋体"/>
          <w:bCs/>
        </w:rPr>
        <w:t>60%</w:t>
      </w:r>
      <w:r>
        <w:rPr>
          <w:rFonts w:hint="eastAsia" w:ascii="宋体" w:hAnsi="宋体"/>
          <w:bCs/>
        </w:rPr>
        <w:t>–</w:t>
      </w:r>
      <w:r>
        <w:rPr>
          <w:rFonts w:ascii="宋体" w:hAnsi="宋体"/>
          <w:bCs/>
        </w:rPr>
        <w:t>95%</w:t>
      </w:r>
      <w:r>
        <w:rPr>
          <w:rFonts w:hint="eastAsia" w:ascii="宋体" w:hAnsi="宋体"/>
          <w:bCs/>
        </w:rPr>
        <w:t>（投资于港股通投资标的股票的比例占基金股票资产的比例为</w:t>
      </w:r>
      <w:r>
        <w:rPr>
          <w:rFonts w:ascii="宋体" w:hAnsi="宋体"/>
          <w:bCs/>
        </w:rPr>
        <w:t>0%-50%</w:t>
      </w:r>
      <w:r>
        <w:rPr>
          <w:rFonts w:hint="eastAsia" w:ascii="宋体" w:hAnsi="宋体"/>
          <w:bCs/>
        </w:rPr>
        <w:t>），其中投资于本基金界定的新能源主题范围内的股票不低于非现金基金资产的</w:t>
      </w:r>
      <w:r>
        <w:rPr>
          <w:rFonts w:ascii="宋体" w:hAnsi="宋体"/>
          <w:bCs/>
        </w:rPr>
        <w:t>80%</w:t>
      </w:r>
      <w:r>
        <w:rPr>
          <w:rFonts w:hint="eastAsia" w:ascii="宋体" w:hAnsi="宋体"/>
          <w:bCs/>
        </w:rPr>
        <w:t>；每个交易日日终在扣除股指期货合约、国债期货合约需缴纳的交易保证金后，应当保持不低于基金资产净值的</w:t>
      </w:r>
      <w:r>
        <w:rPr>
          <w:rFonts w:ascii="宋体" w:hAnsi="宋体"/>
          <w:bCs/>
        </w:rPr>
        <w:t>5%</w:t>
      </w:r>
      <w:r>
        <w:rPr>
          <w:rFonts w:hint="eastAsia" w:ascii="宋体" w:hAnsi="宋体"/>
          <w:bCs/>
        </w:rPr>
        <w:t>的现金或到期日在一年以内的政府债券，其中现金不包括结算备付金、存出保证金、应收申购款等。</w:t>
      </w:r>
    </w:p>
    <w:p>
      <w:pPr>
        <w:spacing w:line="360" w:lineRule="auto"/>
        <w:ind w:firstLine="420" w:firstLineChars="200"/>
        <w:rPr>
          <w:rFonts w:ascii="宋体" w:hAnsi="宋体"/>
          <w:bCs/>
        </w:rPr>
      </w:pPr>
      <w:r>
        <w:rPr>
          <w:rFonts w:hint="eastAsia" w:ascii="宋体" w:hAnsi="宋体"/>
          <w:bCs/>
          <w:lang w:bidi="ar"/>
        </w:rPr>
        <w:t>如法律法规或监管机构允许，基金管理人在履行适当程序后，可以调整上述投资品种的投资比例。</w:t>
      </w:r>
      <w:r>
        <w:rPr>
          <w:rFonts w:ascii="宋体" w:hAnsi="宋体"/>
          <w:bCs/>
        </w:rPr>
        <w:t xml:space="preserve"> </w:t>
      </w:r>
    </w:p>
    <w:p>
      <w:pPr>
        <w:spacing w:line="360" w:lineRule="auto"/>
        <w:ind w:firstLine="420" w:firstLineChars="200"/>
        <w:rPr>
          <w:rFonts w:ascii="宋体" w:hAnsi="宋体"/>
        </w:rPr>
      </w:pPr>
      <w:r>
        <w:rPr>
          <w:rFonts w:hint="eastAsia" w:ascii="宋体" w:hAnsi="宋体"/>
          <w:szCs w:val="21"/>
        </w:rPr>
        <w:t>（三）投资策略</w:t>
      </w:r>
    </w:p>
    <w:p>
      <w:pPr>
        <w:spacing w:line="360" w:lineRule="auto"/>
        <w:ind w:firstLine="420" w:firstLineChars="200"/>
        <w:rPr>
          <w:rFonts w:ascii="宋体" w:hAnsi="宋体"/>
        </w:rPr>
      </w:pPr>
      <w:bookmarkStart w:id="156" w:name="_Toc103348627"/>
      <w:bookmarkStart w:id="157" w:name="_Toc239149645"/>
      <w:bookmarkStart w:id="158" w:name="_Toc239149643"/>
      <w:bookmarkStart w:id="159" w:name="_Toc375148281"/>
      <w:r>
        <w:rPr>
          <w:rFonts w:hint="eastAsia" w:ascii="宋体" w:hAnsi="宋体"/>
        </w:rPr>
        <w:t>1、资产配置策略</w:t>
      </w:r>
    </w:p>
    <w:p>
      <w:pPr>
        <w:spacing w:line="360" w:lineRule="auto"/>
        <w:ind w:firstLine="420" w:firstLineChars="200"/>
        <w:rPr>
          <w:rFonts w:ascii="宋体" w:hAnsi="宋体"/>
        </w:rPr>
      </w:pPr>
      <w:r>
        <w:rPr>
          <w:rFonts w:hint="eastAsia" w:ascii="宋体" w:hAnsi="宋体"/>
          <w:bCs/>
        </w:rPr>
        <w:t>本基金将由投资研究团队及时跟踪市场环境变化，根据宏观经济运行态势、宏观经济政策变化、证券市场运行状况、国际市场变化情况等因素的深入研究，判断国内及香港证券市场的发展趋势，结合行业状况、公司价值性和成长性分析，综合评价各类资产的风险收益水平。在充足的宏观形势判断和策略分析的基础上，采用动态调整策略，在市场上涨阶段中，适当增加权益类资产配置比例，在市场下行周期中，适当降低权益类资产配置比例。</w:t>
      </w:r>
    </w:p>
    <w:p>
      <w:pPr>
        <w:spacing w:line="360" w:lineRule="auto"/>
        <w:ind w:firstLine="420" w:firstLineChars="200"/>
        <w:rPr>
          <w:rFonts w:ascii="宋体" w:hAnsi="宋体"/>
        </w:rPr>
      </w:pPr>
      <w:r>
        <w:rPr>
          <w:rFonts w:hint="eastAsia" w:ascii="宋体" w:hAnsi="宋体"/>
        </w:rPr>
        <w:t>2、股票选择策略</w:t>
      </w:r>
    </w:p>
    <w:p>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）新能源主题界定</w:t>
      </w:r>
    </w:p>
    <w:p>
      <w:pPr>
        <w:spacing w:line="360" w:lineRule="auto"/>
        <w:ind w:firstLine="420" w:firstLineChars="200"/>
        <w:rPr>
          <w:rFonts w:ascii="宋体" w:hAnsi="宋体"/>
        </w:rPr>
      </w:pPr>
      <w:r>
        <w:rPr>
          <w:rFonts w:hint="eastAsia" w:ascii="宋体" w:hAnsi="宋体"/>
        </w:rPr>
        <w:t>本基金界定的新能源主题主要涉及以下行业的上市公司：</w:t>
      </w:r>
    </w:p>
    <w:p>
      <w:pPr>
        <w:spacing w:line="360" w:lineRule="auto"/>
        <w:ind w:firstLine="420" w:firstLineChars="200"/>
        <w:rPr>
          <w:rFonts w:ascii="宋体" w:hAnsi="宋体"/>
        </w:rPr>
      </w:pPr>
      <w:r>
        <w:rPr>
          <w:rFonts w:hint="eastAsia" w:ascii="宋体" w:hAnsi="宋体"/>
        </w:rPr>
        <w:t>1）上游原材料相关行业：主要包括动力电池、光伏设备、风电设备和储能设备生产制造过程之中所需的矿产资源等原材料的开发、生产和制造；</w:t>
      </w:r>
    </w:p>
    <w:p>
      <w:pPr>
        <w:spacing w:line="360" w:lineRule="auto"/>
        <w:ind w:firstLine="420" w:firstLineChars="200"/>
        <w:rPr>
          <w:rFonts w:ascii="宋体" w:hAnsi="宋体"/>
        </w:rPr>
      </w:pPr>
      <w:r>
        <w:rPr>
          <w:rFonts w:hint="eastAsia" w:ascii="宋体" w:hAnsi="宋体"/>
        </w:rPr>
        <w:t>2）中游生产相关行业：主要包括核能、风能、太阳能、氢能、页岩气、生物质能、地热能和潮汐能的生产和利用；</w:t>
      </w:r>
    </w:p>
    <w:p>
      <w:pPr>
        <w:spacing w:line="360" w:lineRule="auto"/>
        <w:ind w:firstLine="420" w:firstLineChars="200"/>
        <w:rPr>
          <w:rFonts w:ascii="宋体" w:hAnsi="宋体"/>
        </w:rPr>
      </w:pPr>
      <w:r>
        <w:rPr>
          <w:rFonts w:hint="eastAsia" w:ascii="宋体" w:hAnsi="宋体"/>
        </w:rPr>
        <w:t>3）下游应用相关行业：主要包括固态电池、锂电池、燃料电池、充电桩、超级电容等能源存储及交互设备的生产与制造，新能源汽车、电动飞机等出行电动化产业链相关行业；</w:t>
      </w:r>
    </w:p>
    <w:p>
      <w:pPr>
        <w:spacing w:line="360" w:lineRule="auto"/>
        <w:ind w:firstLine="420" w:firstLineChars="200"/>
        <w:rPr>
          <w:rFonts w:ascii="宋体" w:hAnsi="宋体"/>
        </w:rPr>
      </w:pPr>
      <w:r>
        <w:rPr>
          <w:rFonts w:hint="eastAsia" w:ascii="宋体" w:hAnsi="宋体"/>
        </w:rPr>
        <w:t>4）其他与新能源开发和利用相关的领域：主要包括绿色照明、天然气发电、垃圾发电、建筑节能等。</w:t>
      </w:r>
    </w:p>
    <w:p>
      <w:pPr>
        <w:spacing w:line="360" w:lineRule="auto"/>
        <w:ind w:firstLine="420" w:firstLineChars="200"/>
        <w:rPr>
          <w:rFonts w:ascii="宋体" w:hAnsi="宋体"/>
        </w:rPr>
      </w:pPr>
      <w:r>
        <w:rPr>
          <w:rFonts w:hint="eastAsia" w:ascii="宋体" w:hAnsi="宋体"/>
        </w:rPr>
        <w:t>未来随着市场环境、技术变革或政策变化等因素导致本基金对新能源主题的界定范围发生变动，本基金在审慎研究的基础上，并履行适当必要的程序后，可根据实际情况调整新能源主题的界定标准。</w:t>
      </w:r>
    </w:p>
    <w:p>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）个股投资策略</w:t>
      </w:r>
    </w:p>
    <w:p>
      <w:pPr>
        <w:spacing w:line="360" w:lineRule="auto"/>
        <w:ind w:firstLine="420" w:firstLineChars="200"/>
        <w:rPr>
          <w:rFonts w:ascii="宋体" w:hAnsi="宋体"/>
        </w:rPr>
      </w:pPr>
      <w:r>
        <w:rPr>
          <w:rFonts w:hint="eastAsia" w:ascii="宋体" w:hAnsi="宋体"/>
        </w:rPr>
        <w:t>本基金将通过定性分析和定量分析相结合的办法，自上而下考察市场估值以及行业基本面，自下而上通过对细分行业的变化、价格及技术的最新进展、个股的竞争力等方面的考察决定组合配置。重点关注基本面良好、盈利能力强、具有核心竞争优势、估值相对合理或价值被低估的股票进行重点投资并长期持有。</w:t>
      </w:r>
    </w:p>
    <w:p>
      <w:pPr>
        <w:spacing w:line="360" w:lineRule="auto"/>
        <w:ind w:firstLine="420" w:firstLineChars="200"/>
        <w:rPr>
          <w:rFonts w:ascii="宋体" w:hAnsi="宋体"/>
        </w:rPr>
      </w:pPr>
      <w:r>
        <w:rPr>
          <w:rFonts w:ascii="宋体" w:hAnsi="宋体"/>
        </w:rPr>
        <w:t>1</w:t>
      </w:r>
      <w:r>
        <w:rPr>
          <w:rFonts w:hint="eastAsia" w:ascii="宋体" w:hAnsi="宋体"/>
        </w:rPr>
        <w:t>）定性分析</w:t>
      </w:r>
    </w:p>
    <w:p>
      <w:pPr>
        <w:spacing w:line="360" w:lineRule="auto"/>
        <w:ind w:firstLine="420" w:firstLineChars="200"/>
        <w:rPr>
          <w:rFonts w:ascii="宋体" w:hAnsi="宋体"/>
        </w:rPr>
      </w:pPr>
      <w:r>
        <w:rPr>
          <w:rFonts w:hint="eastAsia" w:ascii="宋体" w:hAnsi="宋体"/>
        </w:rPr>
        <w:t>本基金将通过分析上市公司的经营模式、研发能力、公司治理等多方面的运营管理能力，判断公司的盈利能力和成长能力，选择具有良好经营状况的上市公司股票。具体而言，主要包括以下几个方面：</w:t>
      </w:r>
    </w:p>
    <w:p>
      <w:pPr>
        <w:spacing w:line="360" w:lineRule="auto"/>
        <w:ind w:firstLine="420" w:firstLineChars="200"/>
        <w:rPr>
          <w:rFonts w:ascii="宋体" w:hAnsi="宋体"/>
        </w:rPr>
      </w:pPr>
      <w:r>
        <w:rPr>
          <w:rFonts w:hint="eastAsia" w:ascii="宋体" w:hAnsi="宋体"/>
        </w:rPr>
        <w:t>①根据公司的市场竞争能力、技术领先程度、产业链受益程度等标准选择相关的优质上市公司；</w:t>
      </w:r>
    </w:p>
    <w:p>
      <w:pPr>
        <w:spacing w:line="360" w:lineRule="auto"/>
        <w:ind w:firstLine="420" w:firstLineChars="200"/>
        <w:rPr>
          <w:rFonts w:ascii="宋体" w:hAnsi="宋体"/>
        </w:rPr>
      </w:pPr>
      <w:r>
        <w:rPr>
          <w:rFonts w:hint="eastAsia" w:ascii="宋体" w:hAnsi="宋体"/>
        </w:rPr>
        <w:t>②根据公司的自主创新能力、商业模式构建能力、行业拓展能力选择相关的优质上市公司；</w:t>
      </w:r>
    </w:p>
    <w:p>
      <w:pPr>
        <w:spacing w:line="360" w:lineRule="auto"/>
        <w:ind w:firstLine="420" w:firstLineChars="200"/>
        <w:rPr>
          <w:rFonts w:ascii="宋体" w:hAnsi="宋体"/>
        </w:rPr>
      </w:pPr>
      <w:r>
        <w:rPr>
          <w:rFonts w:hint="eastAsia" w:ascii="宋体" w:hAnsi="宋体"/>
        </w:rPr>
        <w:t>③公司的竞争优势：重点考察公司在细分市场是否占据领先位置，是否具有品牌号召力或较高的行业知名度等；</w:t>
      </w:r>
    </w:p>
    <w:p>
      <w:pPr>
        <w:spacing w:line="360" w:lineRule="auto"/>
        <w:ind w:firstLine="420" w:firstLineChars="200"/>
        <w:rPr>
          <w:rFonts w:ascii="宋体" w:hAnsi="宋体"/>
        </w:rPr>
      </w:pPr>
      <w:r>
        <w:rPr>
          <w:rFonts w:hint="eastAsia" w:ascii="宋体" w:hAnsi="宋体"/>
        </w:rPr>
        <w:t>④公司的资源优势，包括是否拥有独特优势的物质或非物质资源，比如市场资源、专利技术等；产品优势，包括是否拥有对产品的定价能力以及其他优势；</w:t>
      </w:r>
    </w:p>
    <w:p>
      <w:pPr>
        <w:spacing w:line="360" w:lineRule="auto"/>
        <w:ind w:firstLine="420" w:firstLineChars="200"/>
        <w:rPr>
          <w:rFonts w:ascii="宋体" w:hAnsi="宋体"/>
        </w:rPr>
      </w:pPr>
      <w:r>
        <w:rPr>
          <w:rFonts w:hint="eastAsia" w:ascii="宋体" w:hAnsi="宋体"/>
        </w:rPr>
        <w:t>⑤公司治理评估：具有良好公司治理机制的公司应具有以下特征：</w:t>
      </w:r>
    </w:p>
    <w:p>
      <w:pPr>
        <w:spacing w:line="360" w:lineRule="auto"/>
        <w:ind w:firstLine="420" w:firstLineChars="200"/>
        <w:rPr>
          <w:rFonts w:ascii="宋体" w:hAnsi="宋体"/>
        </w:rPr>
      </w:pPr>
      <w:r>
        <w:rPr>
          <w:rFonts w:hint="eastAsia" w:ascii="宋体" w:hAnsi="宋体"/>
        </w:rPr>
        <w:t>i．公司治理框架保护并便于行使股东权利，公平对待所有股东；</w:t>
      </w:r>
    </w:p>
    <w:p>
      <w:pPr>
        <w:spacing w:line="360" w:lineRule="auto"/>
        <w:ind w:firstLine="420" w:firstLineChars="200"/>
        <w:rPr>
          <w:rFonts w:ascii="宋体" w:hAnsi="宋体"/>
        </w:rPr>
      </w:pPr>
      <w:r>
        <w:rPr>
          <w:rFonts w:hint="eastAsia" w:ascii="宋体" w:hAnsi="宋体"/>
        </w:rPr>
        <w:t>ii．尊重公司相关利益者的权利；</w:t>
      </w:r>
    </w:p>
    <w:p>
      <w:pPr>
        <w:spacing w:line="360" w:lineRule="auto"/>
        <w:ind w:firstLine="420" w:firstLineChars="200"/>
        <w:rPr>
          <w:rFonts w:ascii="宋体" w:hAnsi="宋体"/>
        </w:rPr>
      </w:pPr>
      <w:r>
        <w:rPr>
          <w:rFonts w:hint="eastAsia" w:ascii="宋体" w:hAnsi="宋体"/>
        </w:rPr>
        <w:t>iii．公司信息披露及时、准确、完整；</w:t>
      </w:r>
    </w:p>
    <w:p>
      <w:pPr>
        <w:spacing w:line="360" w:lineRule="auto"/>
        <w:ind w:firstLine="420" w:firstLineChars="200"/>
        <w:rPr>
          <w:rFonts w:ascii="宋体" w:hAnsi="宋体"/>
        </w:rPr>
      </w:pPr>
      <w:r>
        <w:rPr>
          <w:rFonts w:hint="eastAsia" w:ascii="宋体" w:hAnsi="宋体"/>
        </w:rPr>
        <w:t>iv．公司董事会勤勉、尽责，运作透明；</w:t>
      </w:r>
    </w:p>
    <w:p>
      <w:pPr>
        <w:spacing w:line="360" w:lineRule="auto"/>
        <w:ind w:firstLine="420" w:firstLineChars="200"/>
        <w:rPr>
          <w:rFonts w:ascii="宋体" w:hAnsi="宋体"/>
        </w:rPr>
      </w:pPr>
      <w:r>
        <w:rPr>
          <w:rFonts w:hint="eastAsia" w:ascii="宋体" w:hAnsi="宋体"/>
        </w:rPr>
        <w:t>v．公司股东能够对董事会成员施加有效的监督，公司能够保证外部审计机构独立、客观地履行审计职责。不符合上述治理准则的公司，本基金将给予其较低的评级；</w:t>
      </w:r>
    </w:p>
    <w:p>
      <w:pPr>
        <w:spacing w:line="360" w:lineRule="auto"/>
        <w:ind w:firstLine="420" w:firstLineChars="200"/>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6 \* GB3</w:instrText>
      </w:r>
      <w:r>
        <w:rPr>
          <w:rFonts w:ascii="宋体" w:hAnsi="宋体"/>
        </w:rPr>
        <w:instrText xml:space="preserve"> </w:instrText>
      </w:r>
      <w:r>
        <w:rPr>
          <w:rFonts w:ascii="宋体" w:hAnsi="宋体"/>
        </w:rPr>
        <w:fldChar w:fldCharType="separate"/>
      </w:r>
      <w:r>
        <w:rPr>
          <w:rFonts w:hint="eastAsia" w:ascii="宋体" w:hAnsi="宋体"/>
        </w:rPr>
        <w:t>⑥</w:t>
      </w:r>
      <w:r>
        <w:rPr>
          <w:rFonts w:ascii="宋体" w:hAnsi="宋体"/>
        </w:rPr>
        <w:fldChar w:fldCharType="end"/>
      </w:r>
      <w:r>
        <w:rPr>
          <w:rFonts w:hint="eastAsia" w:ascii="宋体" w:hAnsi="宋体"/>
        </w:rPr>
        <w:t>公司的盈利模式：对企业盈利模式的考察重点关注企业盈利模式的属性以及成熟程度，考察核心竞争力的不可复制性、可持续性、稳定性。</w:t>
      </w:r>
    </w:p>
    <w:p>
      <w:pPr>
        <w:spacing w:line="360" w:lineRule="auto"/>
        <w:ind w:firstLine="420" w:firstLineChars="200"/>
        <w:rPr>
          <w:rFonts w:ascii="宋体" w:hAnsi="宋体"/>
        </w:rPr>
      </w:pPr>
      <w:r>
        <w:rPr>
          <w:rFonts w:ascii="宋体" w:hAnsi="宋体"/>
        </w:rPr>
        <w:t>2</w:t>
      </w:r>
      <w:r>
        <w:rPr>
          <w:rFonts w:hint="eastAsia" w:ascii="宋体" w:hAnsi="宋体"/>
        </w:rPr>
        <w:t>）定量分析</w:t>
      </w:r>
    </w:p>
    <w:p>
      <w:pPr>
        <w:spacing w:line="360" w:lineRule="auto"/>
        <w:ind w:firstLine="420" w:firstLineChars="200"/>
        <w:rPr>
          <w:rFonts w:ascii="宋体" w:hAnsi="宋体"/>
        </w:rPr>
      </w:pPr>
      <w:r>
        <w:rPr>
          <w:rFonts w:hint="eastAsia" w:ascii="宋体" w:hAnsi="宋体"/>
        </w:rPr>
        <w:t>在定量分析方面，本基金将通过对相对价值指标（如市盈率（P/E）、市净率（P/B）、市现率（P/CF）、企业价值倍数（EV/EBITDA））、绝对估值指标（如贴现现金流（DCF））以及成长性指标（如预期主营业务收入增长率、净利润增长率、市盈率相对盈利增长比率（PEG））的定量评判，筛选出具有长期投资价值的股票。</w:t>
      </w:r>
    </w:p>
    <w:p>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）港股通投资标的股票投资策略</w:t>
      </w:r>
    </w:p>
    <w:p>
      <w:pPr>
        <w:spacing w:line="360" w:lineRule="auto"/>
        <w:ind w:firstLine="420" w:firstLineChars="200"/>
        <w:rPr>
          <w:rFonts w:ascii="宋体" w:hAnsi="宋体"/>
        </w:rPr>
      </w:pPr>
      <w:r>
        <w:rPr>
          <w:rFonts w:hint="eastAsia" w:ascii="宋体" w:hAnsi="宋体"/>
        </w:rPr>
        <w:t>本基金将仅通过内地与香港股票市场交易互联互通机制投资于香港股票市场，不使用合格境内机构投资者(QDII)境外投资额度进行境外投资。</w:t>
      </w:r>
    </w:p>
    <w:p>
      <w:pPr>
        <w:spacing w:line="360" w:lineRule="auto"/>
        <w:ind w:firstLine="420" w:firstLineChars="200"/>
        <w:rPr>
          <w:rFonts w:ascii="宋体" w:hAnsi="宋体"/>
        </w:rPr>
      </w:pPr>
      <w:r>
        <w:rPr>
          <w:rFonts w:hint="eastAsia" w:ascii="宋体" w:hAnsi="宋体"/>
        </w:rPr>
        <w:t>本基金所投资港股通投资标的股票除适用上述个股投资策略外，本基金投资港股通投资标的股票还需关注：</w:t>
      </w:r>
    </w:p>
    <w:p>
      <w:pPr>
        <w:spacing w:line="360" w:lineRule="auto"/>
        <w:ind w:firstLine="420" w:firstLineChars="200"/>
        <w:rPr>
          <w:rFonts w:ascii="宋体" w:hAnsi="宋体"/>
        </w:rPr>
      </w:pPr>
      <w:r>
        <w:rPr>
          <w:rFonts w:hint="eastAsia" w:ascii="宋体" w:hAnsi="宋体"/>
        </w:rPr>
        <w:t>1）香港股票市场制度与内地股票市场存在的差异对股票投资价值的影响，比如行业分布、交易制度、市场流动性、投资者结构、市场波动性、涨跌停限制、估值与盈利回报等方面；</w:t>
      </w:r>
    </w:p>
    <w:p>
      <w:pPr>
        <w:spacing w:line="360" w:lineRule="auto"/>
        <w:ind w:firstLine="420" w:firstLineChars="200"/>
        <w:rPr>
          <w:rFonts w:ascii="宋体" w:hAnsi="宋体"/>
        </w:rPr>
      </w:pPr>
      <w:r>
        <w:rPr>
          <w:rFonts w:hint="eastAsia" w:ascii="宋体" w:hAnsi="宋体"/>
        </w:rPr>
        <w:t>2）港股通每日额度应用情况；</w:t>
      </w:r>
    </w:p>
    <w:p>
      <w:pPr>
        <w:spacing w:line="360" w:lineRule="auto"/>
        <w:ind w:firstLine="420" w:firstLineChars="200"/>
        <w:rPr>
          <w:rFonts w:ascii="宋体" w:hAnsi="宋体"/>
        </w:rPr>
      </w:pPr>
      <w:r>
        <w:rPr>
          <w:rFonts w:hint="eastAsia" w:ascii="宋体" w:hAnsi="宋体"/>
        </w:rPr>
        <w:t>3）人民币与港币间的汇兑比率变化。</w:t>
      </w:r>
    </w:p>
    <w:p>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）存托凭证投资策略</w:t>
      </w:r>
    </w:p>
    <w:p>
      <w:pPr>
        <w:spacing w:line="360" w:lineRule="auto"/>
        <w:ind w:firstLine="420" w:firstLineChars="200"/>
        <w:rPr>
          <w:rFonts w:ascii="宋体" w:hAnsi="宋体"/>
        </w:rPr>
      </w:pPr>
      <w:r>
        <w:rPr>
          <w:rFonts w:hint="eastAsia" w:ascii="宋体" w:hAnsi="宋体"/>
        </w:rPr>
        <w:t>本基金可投资存托凭证，本基金将结合对宏观经济状况、行业景气度、公司竞争优势、公司治理结构、估值水平等因素的分析判断，选择投资价值高的存托凭证进行投资。</w:t>
      </w:r>
    </w:p>
    <w:p>
      <w:pPr>
        <w:spacing w:line="360" w:lineRule="auto"/>
        <w:ind w:firstLine="420" w:firstLineChars="200"/>
        <w:rPr>
          <w:rFonts w:ascii="宋体" w:hAnsi="宋体"/>
        </w:rPr>
      </w:pPr>
      <w:r>
        <w:rPr>
          <w:rFonts w:hint="eastAsia" w:ascii="宋体" w:hAnsi="宋体"/>
        </w:rPr>
        <w:t>3、债券投资策略</w:t>
      </w:r>
    </w:p>
    <w:p>
      <w:pPr>
        <w:spacing w:line="360" w:lineRule="auto"/>
        <w:ind w:firstLine="420" w:firstLineChars="200"/>
        <w:rPr>
          <w:rFonts w:ascii="宋体" w:hAnsi="宋体"/>
        </w:rPr>
      </w:pPr>
      <w:r>
        <w:rPr>
          <w:rFonts w:hint="eastAsia" w:ascii="宋体" w:hAnsi="宋体"/>
        </w:rPr>
        <w:t>本基金在固定收益证券投资与研究方面，实行投资策略研究专业化分工制度，专业研究人员分别从利率、债券信用风险等角度，提出独立的投资策略建议，经固定收益投资团队讨论，并经投资决策委员会批准后形成固定收益证券指导性投资策略。</w:t>
      </w:r>
    </w:p>
    <w:p>
      <w:pPr>
        <w:spacing w:line="360" w:lineRule="auto"/>
        <w:ind w:firstLine="420" w:firstLineChars="200"/>
        <w:rPr>
          <w:rFonts w:ascii="宋体" w:hAnsi="宋体"/>
        </w:rPr>
      </w:pPr>
      <w:r>
        <w:rPr>
          <w:rFonts w:hint="eastAsia" w:ascii="宋体" w:hAnsi="宋体"/>
        </w:rPr>
        <w:t>（1）利率策略</w:t>
      </w:r>
    </w:p>
    <w:p>
      <w:pPr>
        <w:spacing w:line="360" w:lineRule="auto"/>
        <w:ind w:firstLine="420" w:firstLineChars="200"/>
        <w:rPr>
          <w:rFonts w:ascii="宋体" w:hAnsi="宋体"/>
        </w:rPr>
      </w:pPr>
      <w:r>
        <w:rPr>
          <w:rFonts w:hint="eastAsia" w:ascii="宋体" w:hAnsi="宋体"/>
        </w:rPr>
        <w:t>研究GDP、物价、就业、国际收支等国民经济运行状况，分析宏观经济运行的可能情景，预测财政政策、货币政策等政府宏观经济政策取向，分析金融市场资金供求状况变化趋势及结构，在此基础上预测金融市场利率水平变动趋势，以及金融市场收益率曲线斜度变化趋势。</w:t>
      </w:r>
    </w:p>
    <w:p>
      <w:pPr>
        <w:spacing w:line="360" w:lineRule="auto"/>
        <w:ind w:firstLine="420" w:firstLineChars="200"/>
        <w:rPr>
          <w:rFonts w:ascii="宋体" w:hAnsi="宋体"/>
        </w:rPr>
      </w:pPr>
      <w:r>
        <w:rPr>
          <w:rFonts w:hint="eastAsia" w:ascii="宋体" w:hAnsi="宋体"/>
        </w:rPr>
        <w:t>组合久期是反映利率风险最重要的指标，根据对市场利率水平的变化趋势的预期，综合宏观经济状况和货币政策等因素的分析判断，可以制定出组合的目标久期，预期市场利率水平将上升时，降低组合的久期，以期规避债券价格下降的风险和资本损失，力求获得较高的再投资收益；预期市场利率将下降时，提高组合的久期，以期在市场利率实际下降时获得债券价格上升的收益，力求获得较高利息收入。</w:t>
      </w:r>
    </w:p>
    <w:p>
      <w:pPr>
        <w:spacing w:line="360" w:lineRule="auto"/>
        <w:ind w:firstLine="420" w:firstLineChars="200"/>
        <w:rPr>
          <w:rFonts w:ascii="宋体" w:hAnsi="宋体"/>
        </w:rPr>
      </w:pPr>
      <w:r>
        <w:rPr>
          <w:rFonts w:hint="eastAsia" w:ascii="宋体" w:hAnsi="宋体"/>
        </w:rPr>
        <w:t>（2）信用策略</w:t>
      </w:r>
    </w:p>
    <w:p>
      <w:pPr>
        <w:spacing w:line="360" w:lineRule="auto"/>
        <w:ind w:firstLine="420" w:firstLineChars="200"/>
        <w:rPr>
          <w:rFonts w:ascii="宋体" w:hAnsi="宋体"/>
        </w:rPr>
      </w:pPr>
      <w:r>
        <w:rPr>
          <w:rFonts w:hint="eastAsia" w:ascii="宋体" w:hAnsi="宋体"/>
        </w:rPr>
        <w:t>根据国民经济运行周期阶段，分析债券发行人所处行业发展前景，发行人业务发展状况，企业市场地位，财务状况，管理水平，债务水平等因素，评价债券发行人的信用风险，并根据特定债券的发行契约，评价债券的信用级别，确定债券的信用风险利差与投资价值。</w:t>
      </w:r>
    </w:p>
    <w:p>
      <w:pPr>
        <w:spacing w:line="360" w:lineRule="auto"/>
        <w:ind w:firstLine="420" w:firstLineChars="200"/>
        <w:rPr>
          <w:rFonts w:ascii="宋体" w:hAnsi="宋体"/>
        </w:rPr>
      </w:pPr>
      <w:r>
        <w:rPr>
          <w:rFonts w:hint="eastAsia" w:ascii="宋体" w:hAnsi="宋体"/>
        </w:rPr>
        <w:t>（3）债券选择与组合优化</w:t>
      </w:r>
    </w:p>
    <w:p>
      <w:pPr>
        <w:spacing w:line="360" w:lineRule="auto"/>
        <w:ind w:firstLine="420" w:firstLineChars="200"/>
        <w:rPr>
          <w:rFonts w:ascii="宋体" w:hAnsi="宋体"/>
        </w:rPr>
      </w:pPr>
      <w:r>
        <w:rPr>
          <w:rFonts w:hint="eastAsia" w:ascii="宋体" w:hAnsi="宋体"/>
        </w:rPr>
        <w:t>本基金将根据债券市场情况，基于利率期限结构及债券的信用级别，在综合考虑流动性、市场分割、息票率、税赋特点、提前偿还和赎回等因素的基础上，评估债券投资价值，选择定价合理或者价值被低估的债券构建投资组合，并根据市场变化情况对组合进行优化。</w:t>
      </w:r>
    </w:p>
    <w:p>
      <w:pPr>
        <w:spacing w:line="360" w:lineRule="auto"/>
        <w:ind w:firstLine="420" w:firstLineChars="200"/>
        <w:rPr>
          <w:rFonts w:ascii="宋体" w:hAnsi="宋体"/>
        </w:rPr>
      </w:pPr>
      <w:r>
        <w:rPr>
          <w:rFonts w:hint="eastAsia" w:ascii="宋体" w:hAnsi="宋体"/>
        </w:rPr>
        <w:t>（4）可转换债券、可交换债券投资策略</w:t>
      </w:r>
    </w:p>
    <w:p>
      <w:pPr>
        <w:spacing w:line="360" w:lineRule="auto"/>
        <w:ind w:firstLine="420" w:firstLineChars="200"/>
        <w:rPr>
          <w:rFonts w:ascii="宋体" w:hAnsi="宋体"/>
        </w:rPr>
      </w:pPr>
      <w:r>
        <w:rPr>
          <w:rFonts w:hint="eastAsia" w:ascii="宋体" w:hAnsi="宋体"/>
        </w:rPr>
        <w:t>可转换债券、可交换债券兼具权益类证券与固定收益类证券的特性，具有抵御下行风险、分享股票价格上涨收益的特点，是本基金的重要投资对象之一。本基金将选择公司基本素质优良、其对应的基础证券有着较高上涨潜力的可转换债券、可交换债券进行投资，并采用期权定价模型等数量化估值工具评定其投资价值，以合理价格买入并持有。</w:t>
      </w:r>
    </w:p>
    <w:p>
      <w:pPr>
        <w:spacing w:line="360" w:lineRule="auto"/>
        <w:ind w:firstLine="420" w:firstLineChars="200"/>
        <w:rPr>
          <w:rFonts w:ascii="宋体" w:hAnsi="宋体"/>
        </w:rPr>
      </w:pPr>
      <w:r>
        <w:rPr>
          <w:rFonts w:hint="eastAsia" w:ascii="宋体" w:hAnsi="宋体"/>
        </w:rPr>
        <w:t>4、资产支持证券投资策略</w:t>
      </w:r>
    </w:p>
    <w:p>
      <w:pPr>
        <w:spacing w:line="360" w:lineRule="auto"/>
        <w:ind w:firstLine="420" w:firstLineChars="200"/>
        <w:rPr>
          <w:rFonts w:ascii="宋体" w:hAnsi="宋体"/>
        </w:rPr>
      </w:pPr>
      <w:r>
        <w:rPr>
          <w:rFonts w:hint="eastAsia" w:ascii="宋体" w:hAnsi="宋体"/>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pPr>
        <w:spacing w:line="360" w:lineRule="auto"/>
        <w:ind w:firstLine="420" w:firstLineChars="200"/>
        <w:rPr>
          <w:rFonts w:ascii="宋体" w:hAnsi="宋体"/>
        </w:rPr>
      </w:pPr>
      <w:r>
        <w:rPr>
          <w:rFonts w:hint="eastAsia" w:ascii="宋体" w:hAnsi="宋体"/>
        </w:rPr>
        <w:t>5、衍生品投资策略</w:t>
      </w:r>
    </w:p>
    <w:p>
      <w:pPr>
        <w:spacing w:line="360" w:lineRule="auto"/>
        <w:ind w:firstLine="420" w:firstLineChars="200"/>
        <w:rPr>
          <w:rFonts w:ascii="宋体" w:hAnsi="宋体"/>
        </w:rPr>
      </w:pPr>
      <w:r>
        <w:rPr>
          <w:rFonts w:hint="eastAsia" w:ascii="宋体" w:hAnsi="宋体"/>
        </w:rPr>
        <w:t>（1）股指期货投资策略</w:t>
      </w:r>
    </w:p>
    <w:p>
      <w:pPr>
        <w:spacing w:line="360" w:lineRule="auto"/>
        <w:ind w:firstLine="420" w:firstLineChars="200"/>
        <w:rPr>
          <w:rFonts w:ascii="宋体" w:hAnsi="宋体"/>
        </w:rPr>
      </w:pPr>
      <w:r>
        <w:rPr>
          <w:rFonts w:hint="eastAsia" w:ascii="宋体" w:hAnsi="宋体"/>
        </w:rPr>
        <w:t>本基金为提高投资效率，更好地达到本基金的投资目标，在风险可控的前提下，根据风险管理原则，以套期保值为目的，本着谨慎原则，参与股指期货投资。</w:t>
      </w:r>
    </w:p>
    <w:p>
      <w:pPr>
        <w:spacing w:line="360" w:lineRule="auto"/>
        <w:ind w:firstLine="420" w:firstLineChars="200"/>
        <w:rPr>
          <w:rFonts w:ascii="宋体" w:hAnsi="宋体"/>
        </w:rPr>
      </w:pPr>
      <w:r>
        <w:rPr>
          <w:rFonts w:hint="eastAsia" w:ascii="宋体" w:hAnsi="宋体"/>
        </w:rPr>
        <w:t>（2）国债期货投资策略</w:t>
      </w:r>
    </w:p>
    <w:p>
      <w:pPr>
        <w:spacing w:line="360" w:lineRule="auto"/>
        <w:ind w:firstLine="420" w:firstLineChars="200"/>
        <w:rPr>
          <w:rFonts w:ascii="宋体" w:hAnsi="宋体"/>
        </w:rPr>
      </w:pPr>
      <w:r>
        <w:rPr>
          <w:rFonts w:hint="eastAsia" w:ascii="宋体" w:hAnsi="宋体"/>
        </w:rPr>
        <w:t>本基金为提高对利率风险管理能力，在风险可控的前提下，根据风险管理原则，以套期保值为目的，本着谨慎原则参与国债期货投资。</w:t>
      </w:r>
    </w:p>
    <w:p>
      <w:pPr>
        <w:spacing w:line="360" w:lineRule="auto"/>
        <w:ind w:firstLine="420" w:firstLineChars="200"/>
        <w:rPr>
          <w:rFonts w:ascii="宋体" w:hAnsi="宋体"/>
        </w:rPr>
      </w:pPr>
      <w:r>
        <w:rPr>
          <w:rFonts w:hint="eastAsia" w:ascii="宋体" w:hAnsi="宋体"/>
        </w:rPr>
        <w:t>（四）投资限制</w:t>
      </w:r>
    </w:p>
    <w:p>
      <w:pPr>
        <w:spacing w:line="360" w:lineRule="auto"/>
        <w:ind w:firstLine="420" w:firstLineChars="200"/>
        <w:rPr>
          <w:rFonts w:ascii="宋体" w:hAnsi="宋体"/>
        </w:rPr>
      </w:pPr>
      <w:r>
        <w:rPr>
          <w:rFonts w:hint="eastAsia" w:ascii="宋体" w:hAnsi="宋体"/>
        </w:rPr>
        <w:t>1、组合限制</w:t>
      </w:r>
    </w:p>
    <w:p>
      <w:pPr>
        <w:spacing w:line="360" w:lineRule="auto"/>
        <w:ind w:firstLine="420" w:firstLineChars="200"/>
        <w:rPr>
          <w:rFonts w:ascii="宋体" w:hAnsi="宋体"/>
          <w:bCs/>
        </w:rPr>
      </w:pPr>
      <w:r>
        <w:rPr>
          <w:rFonts w:hint="eastAsia" w:ascii="宋体" w:hAnsi="宋体"/>
        </w:rPr>
        <w:t>基金的投资组合应遵循以下限制：</w:t>
      </w:r>
    </w:p>
    <w:p>
      <w:pPr>
        <w:spacing w:line="360" w:lineRule="auto"/>
        <w:ind w:firstLine="420" w:firstLineChars="200"/>
        <w:rPr>
          <w:rFonts w:ascii="宋体" w:hAnsi="宋体"/>
          <w:bCs/>
        </w:rPr>
      </w:pPr>
      <w:r>
        <w:rPr>
          <w:rFonts w:hint="eastAsia" w:ascii="宋体" w:hAnsi="宋体"/>
          <w:bCs/>
        </w:rPr>
        <w:t>（1）股票资产占基金资产的比例为</w:t>
      </w:r>
      <w:r>
        <w:rPr>
          <w:rFonts w:ascii="宋体" w:hAnsi="宋体"/>
          <w:bCs/>
        </w:rPr>
        <w:t>60%</w:t>
      </w:r>
      <w:r>
        <w:rPr>
          <w:rFonts w:hint="eastAsia" w:ascii="宋体" w:hAnsi="宋体"/>
          <w:bCs/>
        </w:rPr>
        <w:t>–</w:t>
      </w:r>
      <w:r>
        <w:rPr>
          <w:rFonts w:ascii="宋体" w:hAnsi="宋体"/>
          <w:bCs/>
        </w:rPr>
        <w:t>95%</w:t>
      </w:r>
      <w:r>
        <w:rPr>
          <w:rFonts w:hint="eastAsia" w:ascii="宋体" w:hAnsi="宋体"/>
          <w:bCs/>
        </w:rPr>
        <w:t>（投资于港股通投资标的股票的比例占基金股票资产的比例为</w:t>
      </w:r>
      <w:r>
        <w:rPr>
          <w:rFonts w:ascii="宋体" w:hAnsi="宋体"/>
          <w:bCs/>
        </w:rPr>
        <w:t>0%-50%</w:t>
      </w:r>
      <w:r>
        <w:rPr>
          <w:rFonts w:hint="eastAsia" w:ascii="宋体" w:hAnsi="宋体"/>
          <w:bCs/>
        </w:rPr>
        <w:t>），其中投资于本基金界定的新能源主题范围内的股票不低于非现金基金资产的</w:t>
      </w:r>
      <w:r>
        <w:rPr>
          <w:rFonts w:ascii="宋体" w:hAnsi="宋体"/>
          <w:bCs/>
        </w:rPr>
        <w:t>80%</w:t>
      </w:r>
      <w:r>
        <w:rPr>
          <w:rFonts w:hint="eastAsia" w:ascii="宋体" w:hAnsi="宋体"/>
          <w:bCs/>
        </w:rPr>
        <w:t>；</w:t>
      </w:r>
    </w:p>
    <w:p>
      <w:pPr>
        <w:spacing w:line="360" w:lineRule="auto"/>
        <w:ind w:firstLine="420" w:firstLineChars="200"/>
        <w:rPr>
          <w:rFonts w:ascii="宋体" w:hAnsi="宋体"/>
          <w:bCs/>
        </w:rPr>
      </w:pPr>
      <w:r>
        <w:rPr>
          <w:rFonts w:hint="eastAsia" w:ascii="宋体" w:hAnsi="宋体"/>
          <w:bCs/>
        </w:rPr>
        <w:t>（2）本基金每个交易日日终在扣除股指期货合约、国债期货合约需缴纳的交易保证金后，保持不低于基金资产净值5％的现金或者到期日在一年以内的政府债券，其中现金不包括结算备付金、存出保证金和应收申购款等；</w:t>
      </w:r>
    </w:p>
    <w:p>
      <w:pPr>
        <w:spacing w:line="360" w:lineRule="auto"/>
        <w:ind w:firstLine="420" w:firstLineChars="200"/>
        <w:rPr>
          <w:rFonts w:ascii="宋体" w:hAnsi="宋体"/>
          <w:bCs/>
        </w:rPr>
      </w:pPr>
      <w:r>
        <w:rPr>
          <w:rFonts w:hint="eastAsia" w:ascii="宋体" w:hAnsi="宋体"/>
          <w:bCs/>
        </w:rPr>
        <w:t>（3）本基金持有一家公司发行的证券，其市值（同一家公司在境内和香港市场同时上市的A+H股合并计算）不超过基金资产净值的10％；</w:t>
      </w:r>
    </w:p>
    <w:p>
      <w:pPr>
        <w:spacing w:line="360" w:lineRule="auto"/>
        <w:ind w:firstLine="420" w:firstLineChars="200"/>
        <w:rPr>
          <w:rFonts w:ascii="宋体" w:hAnsi="宋体"/>
          <w:bCs/>
        </w:rPr>
      </w:pPr>
      <w:r>
        <w:rPr>
          <w:rFonts w:hint="eastAsia" w:ascii="宋体" w:hAnsi="宋体"/>
          <w:bCs/>
        </w:rPr>
        <w:t>（4）本基金管理人管理的全部基金持有一家公司发行的证券（同一家公司在境内和香港市场同时上市的A+H股合并计算），不超过该证券的10％，完全按照有关指数的构成比例进行证券投资的基金品种可以不受此条款规定的比例限制；</w:t>
      </w:r>
    </w:p>
    <w:p>
      <w:pPr>
        <w:spacing w:line="360" w:lineRule="auto"/>
        <w:ind w:firstLine="420" w:firstLineChars="200"/>
        <w:rPr>
          <w:rFonts w:ascii="宋体" w:hAnsi="宋体"/>
          <w:bCs/>
        </w:rPr>
      </w:pPr>
      <w:r>
        <w:rPr>
          <w:rFonts w:hint="eastAsia" w:ascii="宋体" w:hAnsi="宋体"/>
          <w:bCs/>
        </w:rPr>
        <w:t>（5）本基金投资于同一原始权益人的各类资产支持证券的比例，不得超过基金资产净值的10％；</w:t>
      </w:r>
    </w:p>
    <w:p>
      <w:pPr>
        <w:spacing w:line="360" w:lineRule="auto"/>
        <w:ind w:firstLine="420" w:firstLineChars="200"/>
        <w:rPr>
          <w:rFonts w:ascii="宋体" w:hAnsi="宋体"/>
          <w:bCs/>
        </w:rPr>
      </w:pPr>
      <w:r>
        <w:rPr>
          <w:rFonts w:hint="eastAsia" w:ascii="宋体" w:hAnsi="宋体"/>
          <w:bCs/>
        </w:rPr>
        <w:t>（6）本基金持有的全部资产支持证券，其市值不得超过基金资产净值的20％；</w:t>
      </w:r>
    </w:p>
    <w:p>
      <w:pPr>
        <w:spacing w:line="360" w:lineRule="auto"/>
        <w:ind w:firstLine="420" w:firstLineChars="200"/>
        <w:rPr>
          <w:rFonts w:ascii="宋体" w:hAnsi="宋体"/>
          <w:bCs/>
        </w:rPr>
      </w:pPr>
      <w:r>
        <w:rPr>
          <w:rFonts w:hint="eastAsia" w:ascii="宋体" w:hAnsi="宋体"/>
          <w:bCs/>
        </w:rPr>
        <w:t>（7）本基金持有的同一(指同一信用级别)资产支持证券的比例，不得超过该资产支持证券规模的10％；</w:t>
      </w:r>
    </w:p>
    <w:p>
      <w:pPr>
        <w:spacing w:line="360" w:lineRule="auto"/>
        <w:ind w:firstLine="420" w:firstLineChars="200"/>
        <w:rPr>
          <w:rFonts w:ascii="宋体" w:hAnsi="宋体"/>
          <w:bCs/>
        </w:rPr>
      </w:pPr>
      <w:r>
        <w:rPr>
          <w:rFonts w:hint="eastAsia" w:ascii="宋体" w:hAnsi="宋体"/>
          <w:bCs/>
        </w:rPr>
        <w:t>（8）本基金管理人管理的全部基金投资于同一原始权益人的各类资产支持证券，不得超过其各类资产支持证券合计规模的10％；</w:t>
      </w:r>
    </w:p>
    <w:p>
      <w:pPr>
        <w:spacing w:line="360" w:lineRule="auto"/>
        <w:ind w:firstLine="420" w:firstLineChars="200"/>
        <w:rPr>
          <w:rFonts w:ascii="宋体" w:hAnsi="宋体"/>
          <w:bCs/>
        </w:rPr>
      </w:pPr>
      <w:r>
        <w:rPr>
          <w:rFonts w:hint="eastAsia" w:ascii="宋体" w:hAnsi="宋体"/>
          <w:bCs/>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20" w:firstLineChars="200"/>
        <w:rPr>
          <w:rFonts w:ascii="宋体" w:hAnsi="宋体"/>
          <w:bCs/>
        </w:rPr>
      </w:pPr>
      <w:r>
        <w:rPr>
          <w:rFonts w:hint="eastAsia" w:ascii="宋体" w:hAnsi="宋体"/>
          <w:bCs/>
        </w:rPr>
        <w:t>（10）基金财产参与股票发行申购，本基金所申报的金额不超过本基金的总资产，本基金所申报的股票数量不超过拟发行股票公司本次发行股票的总量；</w:t>
      </w:r>
    </w:p>
    <w:p>
      <w:pPr>
        <w:spacing w:line="360" w:lineRule="auto"/>
        <w:ind w:firstLine="420" w:firstLineChars="200"/>
        <w:rPr>
          <w:rFonts w:ascii="宋体" w:hAnsi="宋体"/>
          <w:bCs/>
        </w:rPr>
      </w:pPr>
      <w:r>
        <w:rPr>
          <w:rFonts w:hint="eastAsia" w:ascii="宋体" w:hAnsi="宋体"/>
          <w:bCs/>
        </w:rPr>
        <w:t>（11）本基金总资产不得超过基金净资产的140%；</w:t>
      </w:r>
    </w:p>
    <w:p>
      <w:pPr>
        <w:spacing w:line="360" w:lineRule="auto"/>
        <w:ind w:firstLine="420" w:firstLineChars="200"/>
        <w:rPr>
          <w:rFonts w:ascii="宋体" w:hAnsi="宋体"/>
          <w:bCs/>
        </w:rPr>
      </w:pPr>
      <w:r>
        <w:rPr>
          <w:rFonts w:hint="eastAsia" w:ascii="宋体" w:hAnsi="宋体"/>
          <w:bCs/>
        </w:rPr>
        <w:t>（1</w:t>
      </w:r>
      <w:r>
        <w:rPr>
          <w:rFonts w:ascii="宋体" w:hAnsi="宋体"/>
          <w:bCs/>
        </w:rPr>
        <w:t>2</w:t>
      </w:r>
      <w:r>
        <w:rPr>
          <w:rFonts w:hint="eastAsia" w:ascii="宋体" w:hAnsi="宋体"/>
          <w:bCs/>
        </w:rPr>
        <w:t>）本基金参与股指期货、国债期货交易，在任何交易日日终，本基金持有的买入股指期货合约和国债期货合约价值与有价证券市值之和，不得超过基金资产净值的95%，其中，有价证券指股票、债券（不含到期日在一年以内的政府债券）、资产支持证券、买入返售金融资产（不含质押式回购）等；若本基金不投资股指期货、国债期货，则不受上述限制；</w:t>
      </w:r>
    </w:p>
    <w:p>
      <w:pPr>
        <w:spacing w:line="360" w:lineRule="auto"/>
        <w:ind w:firstLine="420" w:firstLineChars="200"/>
        <w:rPr>
          <w:rFonts w:ascii="宋体" w:hAnsi="宋体"/>
          <w:bCs/>
        </w:rPr>
      </w:pPr>
      <w:r>
        <w:rPr>
          <w:rFonts w:hint="eastAsia" w:ascii="宋体" w:hAnsi="宋体"/>
          <w:bCs/>
        </w:rPr>
        <w:t>（1</w:t>
      </w:r>
      <w:r>
        <w:rPr>
          <w:rFonts w:ascii="宋体" w:hAnsi="宋体"/>
          <w:bCs/>
        </w:rPr>
        <w:t>3</w:t>
      </w:r>
      <w:r>
        <w:rPr>
          <w:rFonts w:hint="eastAsia" w:ascii="宋体" w:hAnsi="宋体"/>
          <w:bCs/>
        </w:rPr>
        <w:t>）本基金参与股指期货交易，应当遵守下列投资比例的限制：</w:t>
      </w:r>
    </w:p>
    <w:p>
      <w:pPr>
        <w:spacing w:line="360" w:lineRule="auto"/>
        <w:ind w:firstLine="420" w:firstLineChars="200"/>
        <w:rPr>
          <w:rFonts w:ascii="宋体" w:hAnsi="宋体"/>
          <w:bCs/>
        </w:rPr>
      </w:pPr>
      <w:r>
        <w:rPr>
          <w:rFonts w:hint="eastAsia" w:ascii="宋体" w:hAnsi="宋体"/>
          <w:bCs/>
        </w:rPr>
        <w:t>1）在任何交易日日终，持有的买入股指期货合约价值，不得超过基金资产净值的10%；</w:t>
      </w:r>
    </w:p>
    <w:p>
      <w:pPr>
        <w:spacing w:line="360" w:lineRule="auto"/>
        <w:ind w:firstLine="420" w:firstLineChars="200"/>
        <w:rPr>
          <w:rFonts w:ascii="宋体" w:hAnsi="宋体"/>
          <w:bCs/>
        </w:rPr>
      </w:pPr>
      <w:r>
        <w:rPr>
          <w:rFonts w:hint="eastAsia" w:ascii="宋体" w:hAnsi="宋体"/>
          <w:bCs/>
        </w:rPr>
        <w:t>2）在任何交易日日终，持有的卖出股指期货合约价值不得超过基金持有的股票总市值的20%；</w:t>
      </w:r>
    </w:p>
    <w:p>
      <w:pPr>
        <w:spacing w:line="360" w:lineRule="auto"/>
        <w:ind w:firstLine="420" w:firstLineChars="200"/>
        <w:rPr>
          <w:rFonts w:ascii="宋体" w:hAnsi="宋体"/>
          <w:bCs/>
        </w:rPr>
      </w:pPr>
      <w:r>
        <w:rPr>
          <w:rFonts w:hint="eastAsia" w:ascii="宋体" w:hAnsi="宋体"/>
          <w:bCs/>
        </w:rPr>
        <w:t>3）在任何交易日内交易（不包括平仓）的股指期货合约的成交金额不得超过上一个交易日基金资产净值的20%；</w:t>
      </w:r>
    </w:p>
    <w:p>
      <w:pPr>
        <w:spacing w:line="360" w:lineRule="auto"/>
        <w:ind w:firstLine="420" w:firstLineChars="200"/>
        <w:rPr>
          <w:rFonts w:ascii="宋体" w:hAnsi="宋体"/>
          <w:bCs/>
        </w:rPr>
      </w:pPr>
      <w:r>
        <w:rPr>
          <w:rFonts w:hint="eastAsia" w:ascii="宋体" w:hAnsi="宋体"/>
          <w:bCs/>
        </w:rPr>
        <w:t>4）本基金所持有的股票市值和买入、卖出股指期货合约价值，合计（轧差计算）应当符合基金合同中关于股票投资比例的有关约定；</w:t>
      </w:r>
    </w:p>
    <w:p>
      <w:pPr>
        <w:spacing w:line="360" w:lineRule="auto"/>
        <w:ind w:firstLine="420" w:firstLineChars="200"/>
        <w:rPr>
          <w:rFonts w:ascii="宋体" w:hAnsi="宋体"/>
          <w:bCs/>
        </w:rPr>
      </w:pPr>
      <w:r>
        <w:rPr>
          <w:rFonts w:hint="eastAsia" w:ascii="宋体" w:hAnsi="宋体"/>
          <w:bCs/>
        </w:rPr>
        <w:t>（1</w:t>
      </w:r>
      <w:r>
        <w:rPr>
          <w:rFonts w:ascii="宋体" w:hAnsi="宋体"/>
          <w:bCs/>
        </w:rPr>
        <w:t>4</w:t>
      </w:r>
      <w:r>
        <w:rPr>
          <w:rFonts w:hint="eastAsia" w:ascii="宋体" w:hAnsi="宋体"/>
          <w:bCs/>
        </w:rPr>
        <w:t>）本基金参与国债期货交易，应当遵守下列投资比例的限制：</w:t>
      </w:r>
    </w:p>
    <w:p>
      <w:pPr>
        <w:spacing w:line="360" w:lineRule="auto"/>
        <w:ind w:firstLine="420" w:firstLineChars="200"/>
        <w:rPr>
          <w:rFonts w:ascii="宋体" w:hAnsi="宋体"/>
          <w:bCs/>
        </w:rPr>
      </w:pPr>
      <w:r>
        <w:rPr>
          <w:rFonts w:hint="eastAsia" w:ascii="宋体" w:hAnsi="宋体"/>
          <w:bCs/>
        </w:rPr>
        <w:t>1）在任何交易日日终，持有的买入国债期货合约价值，不得超过基金资产净值的15%；</w:t>
      </w:r>
    </w:p>
    <w:p>
      <w:pPr>
        <w:spacing w:line="360" w:lineRule="auto"/>
        <w:ind w:firstLine="420" w:firstLineChars="200"/>
        <w:rPr>
          <w:rFonts w:ascii="宋体" w:hAnsi="宋体"/>
          <w:bCs/>
        </w:rPr>
      </w:pPr>
      <w:r>
        <w:rPr>
          <w:rFonts w:hint="eastAsia" w:ascii="宋体" w:hAnsi="宋体"/>
          <w:bCs/>
        </w:rPr>
        <w:t>2）在任何交易日日终，持有的卖出国债期货合约价值不得超过基金持有的债券总市值的30%；</w:t>
      </w:r>
    </w:p>
    <w:p>
      <w:pPr>
        <w:spacing w:line="360" w:lineRule="auto"/>
        <w:ind w:firstLine="420" w:firstLineChars="200"/>
        <w:rPr>
          <w:rFonts w:ascii="宋体" w:hAnsi="宋体"/>
          <w:bCs/>
        </w:rPr>
      </w:pPr>
      <w:r>
        <w:rPr>
          <w:rFonts w:hint="eastAsia" w:ascii="宋体" w:hAnsi="宋体"/>
          <w:bCs/>
        </w:rPr>
        <w:t>3）在任何交易日内交易（不包括平仓）的国债期货合约的成交金额不得超过上一个交易日基金资产净值的30%；</w:t>
      </w:r>
    </w:p>
    <w:p>
      <w:pPr>
        <w:spacing w:line="360" w:lineRule="auto"/>
        <w:ind w:firstLine="420" w:firstLineChars="200"/>
        <w:rPr>
          <w:rFonts w:ascii="宋体" w:hAnsi="宋体"/>
          <w:bCs/>
        </w:rPr>
      </w:pPr>
      <w:r>
        <w:rPr>
          <w:rFonts w:hint="eastAsia" w:ascii="宋体" w:hAnsi="宋体"/>
          <w:bCs/>
        </w:rPr>
        <w:t>4）本基金所持有的债券（不含到期日在一年以内的政府债券）市值和买入、卖出国债期货合约价值，合计（轧差计算）应当符合基金合同中关于债券投资比例的有关约定；</w:t>
      </w:r>
    </w:p>
    <w:p>
      <w:pPr>
        <w:spacing w:line="360" w:lineRule="auto"/>
        <w:ind w:firstLine="420" w:firstLineChars="200"/>
        <w:rPr>
          <w:rFonts w:ascii="宋体" w:hAnsi="宋体"/>
          <w:bCs/>
        </w:rPr>
      </w:pPr>
      <w:r>
        <w:rPr>
          <w:rFonts w:hint="eastAsia" w:ascii="宋体" w:hAnsi="宋体"/>
          <w:bCs/>
        </w:rPr>
        <w:t>（1</w:t>
      </w:r>
      <w:r>
        <w:rPr>
          <w:rFonts w:ascii="宋体" w:hAnsi="宋体"/>
          <w:bCs/>
        </w:rPr>
        <w:t>5</w:t>
      </w:r>
      <w:r>
        <w:rPr>
          <w:rFonts w:hint="eastAsia" w:ascii="宋体" w:hAnsi="宋体"/>
          <w:bCs/>
        </w:rPr>
        <w:t>）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pPr>
        <w:spacing w:line="360" w:lineRule="auto"/>
        <w:ind w:firstLine="420" w:firstLineChars="200"/>
        <w:rPr>
          <w:rFonts w:ascii="宋体" w:hAnsi="宋体"/>
          <w:bCs/>
        </w:rPr>
      </w:pPr>
      <w:r>
        <w:rPr>
          <w:rFonts w:hint="eastAsia" w:ascii="宋体" w:hAnsi="宋体"/>
          <w:bCs/>
        </w:rPr>
        <w:t>（1</w:t>
      </w:r>
      <w:r>
        <w:rPr>
          <w:rFonts w:ascii="宋体" w:hAnsi="宋体"/>
          <w:bCs/>
        </w:rPr>
        <w:t>6</w:t>
      </w:r>
      <w:r>
        <w:rPr>
          <w:rFonts w:hint="eastAsia" w:ascii="宋体" w:hAnsi="宋体"/>
          <w:bCs/>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20" w:firstLineChars="200"/>
        <w:rPr>
          <w:rFonts w:ascii="宋体" w:hAnsi="宋体"/>
          <w:bCs/>
        </w:rPr>
      </w:pPr>
      <w:r>
        <w:rPr>
          <w:rFonts w:hint="eastAsia" w:ascii="宋体" w:hAnsi="宋体"/>
          <w:bCs/>
        </w:rPr>
        <w:t>（1</w:t>
      </w:r>
      <w:r>
        <w:rPr>
          <w:rFonts w:ascii="宋体" w:hAnsi="宋体"/>
          <w:bCs/>
        </w:rPr>
        <w:t>7</w:t>
      </w:r>
      <w:r>
        <w:rPr>
          <w:rFonts w:hint="eastAsia" w:ascii="宋体" w:hAnsi="宋体"/>
          <w:bCs/>
        </w:rPr>
        <w:t>）本基金与私募类证券资管产品及中国证监会认定的其他主体为交易对手开展逆回购交易的，可接受质押品的资质要求应当与基金合同约定的投资范围保持一致；</w:t>
      </w:r>
    </w:p>
    <w:p>
      <w:pPr>
        <w:spacing w:line="360" w:lineRule="auto"/>
        <w:ind w:firstLine="420" w:firstLineChars="200"/>
        <w:rPr>
          <w:rFonts w:ascii="宋体" w:hAnsi="宋体"/>
          <w:bCs/>
        </w:rPr>
      </w:pPr>
      <w:r>
        <w:rPr>
          <w:rFonts w:hint="eastAsia" w:ascii="宋体" w:hAnsi="宋体"/>
          <w:bCs/>
        </w:rPr>
        <w:t>（1</w:t>
      </w:r>
      <w:r>
        <w:rPr>
          <w:rFonts w:ascii="宋体" w:hAnsi="宋体"/>
          <w:bCs/>
        </w:rPr>
        <w:t>8</w:t>
      </w:r>
      <w:r>
        <w:rPr>
          <w:rFonts w:hint="eastAsia" w:ascii="宋体" w:hAnsi="宋体"/>
          <w:bCs/>
        </w:rPr>
        <w:t>）本基金投资存托凭证的比例限制依照境内上市交易的股票执行，与境内上市交易的股票合并计算；</w:t>
      </w:r>
    </w:p>
    <w:p>
      <w:pPr>
        <w:spacing w:line="360" w:lineRule="auto"/>
        <w:ind w:firstLine="420" w:firstLineChars="200"/>
        <w:rPr>
          <w:rFonts w:ascii="宋体" w:hAnsi="宋体"/>
          <w:bCs/>
        </w:rPr>
      </w:pPr>
      <w:r>
        <w:rPr>
          <w:rFonts w:hint="eastAsia" w:ascii="宋体" w:hAnsi="宋体"/>
          <w:bCs/>
        </w:rPr>
        <w:t>（</w:t>
      </w:r>
      <w:r>
        <w:rPr>
          <w:rFonts w:ascii="宋体" w:hAnsi="宋体"/>
          <w:bCs/>
        </w:rPr>
        <w:t>19</w:t>
      </w:r>
      <w:r>
        <w:rPr>
          <w:rFonts w:hint="eastAsia" w:ascii="宋体" w:hAnsi="宋体"/>
          <w:bCs/>
        </w:rPr>
        <w:t>）法律法规及中国证监会规定的和《基金合同》约定的其他投资限制。</w:t>
      </w:r>
    </w:p>
    <w:p>
      <w:pPr>
        <w:spacing w:line="360" w:lineRule="auto"/>
        <w:ind w:firstLine="420" w:firstLineChars="200"/>
        <w:rPr>
          <w:rFonts w:ascii="宋体" w:hAnsi="宋体"/>
          <w:bCs/>
        </w:rPr>
      </w:pPr>
      <w:r>
        <w:rPr>
          <w:rFonts w:hint="eastAsia" w:ascii="宋体" w:hAnsi="宋体"/>
          <w:bCs/>
        </w:rPr>
        <w:t>除上述第（2）、（9）、（1</w:t>
      </w:r>
      <w:r>
        <w:rPr>
          <w:rFonts w:ascii="宋体" w:hAnsi="宋体"/>
          <w:bCs/>
        </w:rPr>
        <w:t>5</w:t>
      </w:r>
      <w:r>
        <w:rPr>
          <w:rFonts w:hint="eastAsia" w:ascii="宋体" w:hAnsi="宋体"/>
          <w:bCs/>
        </w:rPr>
        <w:t>）、（1</w:t>
      </w:r>
      <w:r>
        <w:rPr>
          <w:rFonts w:ascii="宋体" w:hAnsi="宋体"/>
          <w:bCs/>
        </w:rPr>
        <w:t>7</w:t>
      </w:r>
      <w:r>
        <w:rPr>
          <w:rFonts w:hint="eastAsia" w:ascii="宋体" w:hAnsi="宋体"/>
          <w:bCs/>
        </w:rPr>
        <w:t>）项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20" w:firstLineChars="200"/>
        <w:rPr>
          <w:rFonts w:ascii="宋体" w:hAnsi="宋体"/>
        </w:rPr>
      </w:pPr>
      <w:r>
        <w:rPr>
          <w:rFonts w:hint="eastAsia" w:ascii="宋体" w:hAnsi="宋体"/>
          <w:bCs/>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r>
        <w:rPr>
          <w:rFonts w:hint="eastAsia" w:ascii="宋体" w:hAnsi="宋体"/>
        </w:rPr>
        <w:t>。</w:t>
      </w:r>
    </w:p>
    <w:p>
      <w:pPr>
        <w:spacing w:line="360" w:lineRule="auto"/>
        <w:ind w:firstLine="420" w:firstLineChars="200"/>
        <w:rPr>
          <w:rFonts w:ascii="宋体" w:hAnsi="宋体"/>
        </w:rPr>
      </w:pPr>
      <w:r>
        <w:rPr>
          <w:rFonts w:hint="eastAsia" w:ascii="宋体" w:hAnsi="宋体"/>
        </w:rPr>
        <w:t>2、禁止行为</w:t>
      </w:r>
    </w:p>
    <w:p>
      <w:pPr>
        <w:spacing w:line="360" w:lineRule="auto"/>
        <w:ind w:firstLine="420" w:firstLineChars="200"/>
        <w:rPr>
          <w:rFonts w:ascii="宋体" w:hAnsi="宋体"/>
        </w:rPr>
      </w:pPr>
      <w:r>
        <w:rPr>
          <w:rFonts w:hint="eastAsia" w:ascii="宋体" w:hAnsi="宋体"/>
        </w:rPr>
        <w:t>为维护基金份额持有人的合法权益，基金财产不得用于下列投资或者活动：</w:t>
      </w:r>
    </w:p>
    <w:p>
      <w:pPr>
        <w:spacing w:line="360" w:lineRule="auto"/>
        <w:ind w:firstLine="420" w:firstLineChars="200"/>
        <w:rPr>
          <w:rFonts w:ascii="宋体" w:hAnsi="宋体"/>
        </w:rPr>
      </w:pPr>
      <w:r>
        <w:rPr>
          <w:rFonts w:hint="eastAsia" w:ascii="宋体" w:hAnsi="宋体"/>
        </w:rPr>
        <w:t>（1）承销证券；</w:t>
      </w:r>
    </w:p>
    <w:p>
      <w:pPr>
        <w:spacing w:line="360" w:lineRule="auto"/>
        <w:ind w:firstLine="420" w:firstLineChars="200"/>
        <w:rPr>
          <w:rFonts w:ascii="宋体" w:hAnsi="宋体"/>
        </w:rPr>
      </w:pPr>
      <w:r>
        <w:rPr>
          <w:rFonts w:hint="eastAsia" w:ascii="宋体" w:hAnsi="宋体"/>
        </w:rPr>
        <w:t>（2）违反规定向他人贷款或者提供担保；</w:t>
      </w:r>
    </w:p>
    <w:p>
      <w:pPr>
        <w:spacing w:line="360" w:lineRule="auto"/>
        <w:ind w:firstLine="420" w:firstLineChars="200"/>
        <w:rPr>
          <w:rFonts w:ascii="宋体" w:hAnsi="宋体"/>
        </w:rPr>
      </w:pPr>
      <w:r>
        <w:rPr>
          <w:rFonts w:hint="eastAsia" w:ascii="宋体" w:hAnsi="宋体"/>
        </w:rPr>
        <w:t>（3）从事承担无限责任的投资；</w:t>
      </w:r>
    </w:p>
    <w:p>
      <w:pPr>
        <w:spacing w:line="360" w:lineRule="auto"/>
        <w:ind w:firstLine="420" w:firstLineChars="200"/>
        <w:rPr>
          <w:rFonts w:ascii="宋体" w:hAnsi="宋体"/>
        </w:rPr>
      </w:pPr>
      <w:r>
        <w:rPr>
          <w:rFonts w:hint="eastAsia" w:ascii="宋体" w:hAnsi="宋体"/>
        </w:rPr>
        <w:t>（4）买卖其他基金份额，但是中国证监会另有规定的除外；</w:t>
      </w:r>
    </w:p>
    <w:p>
      <w:pPr>
        <w:spacing w:line="360" w:lineRule="auto"/>
        <w:ind w:firstLine="420" w:firstLineChars="200"/>
        <w:rPr>
          <w:rFonts w:ascii="宋体" w:hAnsi="宋体"/>
        </w:rPr>
      </w:pPr>
      <w:r>
        <w:rPr>
          <w:rFonts w:hint="eastAsia" w:ascii="宋体" w:hAnsi="宋体"/>
        </w:rPr>
        <w:t>（5）向其基金管理人、基金托管人出资；</w:t>
      </w:r>
    </w:p>
    <w:p>
      <w:pPr>
        <w:spacing w:line="360" w:lineRule="auto"/>
        <w:ind w:firstLine="420" w:firstLineChars="200"/>
        <w:rPr>
          <w:rFonts w:ascii="宋体" w:hAnsi="宋体"/>
        </w:rPr>
      </w:pPr>
      <w:r>
        <w:rPr>
          <w:rFonts w:hint="eastAsia" w:ascii="宋体" w:hAnsi="宋体"/>
        </w:rPr>
        <w:t>（6）从事内幕交易、操纵证券交易价格及其他不正当的证券交易活动；</w:t>
      </w:r>
    </w:p>
    <w:p>
      <w:pPr>
        <w:spacing w:line="360" w:lineRule="auto"/>
        <w:ind w:firstLine="420" w:firstLineChars="200"/>
        <w:rPr>
          <w:rFonts w:ascii="宋体" w:hAnsi="宋体"/>
        </w:rPr>
      </w:pPr>
      <w:r>
        <w:rPr>
          <w:rFonts w:hint="eastAsia" w:ascii="宋体" w:hAnsi="宋体"/>
        </w:rPr>
        <w:t>（7）法律、行政法规和中国证监会规定禁止的其他活动。</w:t>
      </w:r>
    </w:p>
    <w:p>
      <w:pPr>
        <w:spacing w:line="360" w:lineRule="auto"/>
        <w:ind w:firstLine="420" w:firstLineChars="200"/>
        <w:rPr>
          <w:rFonts w:ascii="宋体" w:hAnsi="宋体"/>
        </w:rPr>
      </w:pPr>
      <w:r>
        <w:rPr>
          <w:rFonts w:hint="eastAsia" w:ascii="宋体" w:hAnsi="宋体"/>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0" w:firstLineChars="200"/>
        <w:rPr>
          <w:rFonts w:ascii="宋体" w:hAnsi="宋体"/>
        </w:rPr>
      </w:pPr>
      <w:r>
        <w:rPr>
          <w:rFonts w:hint="eastAsia" w:ascii="宋体" w:hAnsi="宋体"/>
        </w:rPr>
        <w:t>3、法律法规或监管部门对上述投资限制、投资禁止行为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w:t>
      </w:r>
    </w:p>
    <w:p>
      <w:pPr>
        <w:spacing w:line="360" w:lineRule="auto"/>
        <w:ind w:firstLine="420" w:firstLineChars="200"/>
        <w:rPr>
          <w:rFonts w:ascii="宋体" w:hAnsi="宋体"/>
          <w:bCs/>
        </w:rPr>
      </w:pPr>
      <w:r>
        <w:rPr>
          <w:rFonts w:hint="eastAsia" w:ascii="宋体" w:hAnsi="宋体"/>
        </w:rPr>
        <w:t>（五</w:t>
      </w:r>
      <w:r>
        <w:rPr>
          <w:rFonts w:hint="eastAsia" w:ascii="宋体" w:hAnsi="宋体"/>
          <w:bCs/>
        </w:rPr>
        <w:t>）业绩比较基准</w:t>
      </w:r>
    </w:p>
    <w:p>
      <w:pPr>
        <w:spacing w:line="360" w:lineRule="auto"/>
        <w:ind w:firstLine="420" w:firstLineChars="200"/>
        <w:rPr>
          <w:rFonts w:ascii="宋体" w:hAnsi="宋体"/>
          <w:bCs w:val="0"/>
          <w:sz w:val="21"/>
        </w:rPr>
      </w:pPr>
      <w:r>
        <w:rPr>
          <w:rFonts w:hint="eastAsia" w:ascii="宋体" w:hAnsi="宋体"/>
        </w:rPr>
        <w:t>本基金的业绩比较基准为：</w:t>
      </w:r>
      <w:r>
        <w:rPr>
          <w:rFonts w:hint="eastAsia" w:ascii="宋体" w:hAnsi="宋体"/>
          <w:bCs w:val="0"/>
          <w:sz w:val="21"/>
        </w:rPr>
        <w:t>中证新能源指数收益率</w:t>
      </w:r>
      <w:r>
        <w:rPr>
          <w:rFonts w:ascii="宋体" w:hAnsi="宋体"/>
          <w:bCs w:val="0"/>
          <w:sz w:val="21"/>
        </w:rPr>
        <w:t>*75%+</w:t>
      </w:r>
      <w:r>
        <w:rPr>
          <w:rFonts w:hint="eastAsia" w:ascii="宋体" w:hAnsi="宋体"/>
          <w:bCs w:val="0"/>
          <w:sz w:val="21"/>
        </w:rPr>
        <w:t>国证港股通新能源指数（港元）收益率*5%+中债-综合全价（1-3年）指数收益率*1</w:t>
      </w:r>
      <w:r>
        <w:rPr>
          <w:rFonts w:hint="eastAsia" w:ascii="宋体" w:hAnsi="宋体"/>
          <w:bCs w:val="0"/>
          <w:sz w:val="21"/>
          <w:lang w:val="en-US" w:eastAsia="zh-CN"/>
        </w:rPr>
        <w:t>5</w:t>
      </w:r>
      <w:r>
        <w:rPr>
          <w:rFonts w:hint="eastAsia" w:ascii="宋体" w:hAnsi="宋体"/>
          <w:bCs w:val="0"/>
          <w:sz w:val="21"/>
        </w:rPr>
        <w:t>%+活期存款基准利率</w:t>
      </w:r>
      <w:r>
        <w:rPr>
          <w:rFonts w:ascii="宋体" w:hAnsi="宋体"/>
          <w:bCs w:val="0"/>
          <w:sz w:val="21"/>
        </w:rPr>
        <w:t>*</w:t>
      </w:r>
      <w:r>
        <w:rPr>
          <w:rFonts w:hint="eastAsia" w:ascii="宋体" w:hAnsi="宋体"/>
          <w:bCs w:val="0"/>
          <w:sz w:val="21"/>
          <w:lang w:val="en-US" w:eastAsia="zh-CN"/>
        </w:rPr>
        <w:t>5</w:t>
      </w:r>
      <w:r>
        <w:rPr>
          <w:rFonts w:ascii="宋体" w:hAnsi="宋体"/>
          <w:bCs w:val="0"/>
          <w:sz w:val="21"/>
        </w:rPr>
        <w:t>%</w:t>
      </w:r>
      <w:r>
        <w:rPr>
          <w:rFonts w:hint="eastAsia" w:ascii="宋体" w:hAnsi="宋体"/>
          <w:bCs w:val="0"/>
          <w:sz w:val="21"/>
        </w:rPr>
        <w:t>。</w:t>
      </w:r>
    </w:p>
    <w:p>
      <w:pPr>
        <w:spacing w:line="360" w:lineRule="auto"/>
        <w:ind w:firstLine="420" w:firstLineChars="200"/>
        <w:rPr>
          <w:rFonts w:ascii="宋体" w:hAnsi="宋体"/>
          <w:bCs w:val="0"/>
          <w:sz w:val="21"/>
        </w:rPr>
      </w:pPr>
      <w:r>
        <w:rPr>
          <w:rFonts w:hint="eastAsia" w:ascii="宋体" w:hAnsi="宋体"/>
          <w:bCs w:val="0"/>
          <w:sz w:val="21"/>
        </w:rPr>
        <w:t>1、业绩比较基准设定的原因</w:t>
      </w:r>
    </w:p>
    <w:p>
      <w:pPr>
        <w:spacing w:line="360" w:lineRule="auto"/>
        <w:ind w:firstLine="420" w:firstLineChars="200"/>
        <w:rPr>
          <w:rFonts w:ascii="宋体" w:hAnsi="宋体"/>
          <w:bCs w:val="0"/>
          <w:sz w:val="21"/>
        </w:rPr>
      </w:pPr>
      <w:r>
        <w:rPr>
          <w:rFonts w:hint="eastAsia" w:ascii="宋体" w:hAnsi="宋体"/>
          <w:bCs w:val="0"/>
          <w:sz w:val="21"/>
        </w:rPr>
        <w:t>（1）基于基金投资范围以及预期投资的主要资产类别，本基金主要投资于A股股票、港股通投资标的股票、债券等资产，相应选取与之匹配的A股指数、港股通指数与债券指数作为基准要素；同时基于基金投资股票资产占基金资产的比例为60%-95%（其中港股通投资标的股票不超过股票资产的50%）、投资于新能源主题范围内的股票不低于非现金基金资产的80%等投资比例限制，以及预期的资产配置比例，本基金将股票资产、债券资产和现金资产所对应的基准要素权重分别设置为</w:t>
      </w:r>
      <w:r>
        <w:rPr>
          <w:rFonts w:ascii="宋体" w:hAnsi="宋体"/>
          <w:bCs w:val="0"/>
          <w:sz w:val="21"/>
        </w:rPr>
        <w:t>80</w:t>
      </w:r>
      <w:r>
        <w:rPr>
          <w:rFonts w:hint="eastAsia" w:ascii="宋体" w:hAnsi="宋体"/>
          <w:bCs w:val="0"/>
          <w:sz w:val="21"/>
        </w:rPr>
        <w:t>%、</w:t>
      </w:r>
      <w:r>
        <w:rPr>
          <w:rFonts w:ascii="宋体" w:hAnsi="宋体"/>
          <w:bCs w:val="0"/>
          <w:sz w:val="21"/>
        </w:rPr>
        <w:t>1</w:t>
      </w:r>
      <w:r>
        <w:rPr>
          <w:rFonts w:hint="eastAsia" w:ascii="宋体" w:hAnsi="宋体"/>
          <w:bCs w:val="0"/>
          <w:sz w:val="21"/>
          <w:lang w:val="en-US" w:eastAsia="zh-CN"/>
        </w:rPr>
        <w:t>5</w:t>
      </w:r>
      <w:r>
        <w:rPr>
          <w:rFonts w:hint="eastAsia" w:ascii="宋体" w:hAnsi="宋体"/>
          <w:bCs w:val="0"/>
          <w:sz w:val="21"/>
        </w:rPr>
        <w:t>%和</w:t>
      </w:r>
      <w:r>
        <w:rPr>
          <w:rFonts w:hint="eastAsia" w:ascii="宋体" w:hAnsi="宋体"/>
          <w:bCs w:val="0"/>
          <w:sz w:val="21"/>
          <w:lang w:val="en-US" w:eastAsia="zh-CN"/>
        </w:rPr>
        <w:t>5</w:t>
      </w:r>
      <w:r>
        <w:rPr>
          <w:rFonts w:hint="eastAsia" w:ascii="宋体" w:hAnsi="宋体"/>
          <w:bCs w:val="0"/>
          <w:sz w:val="21"/>
        </w:rPr>
        <w:t>%，其中将股票资产中的A股股票与港股通投资标的股票所对应的基准要素权重分别设置为</w:t>
      </w:r>
      <w:r>
        <w:rPr>
          <w:rFonts w:ascii="宋体" w:hAnsi="宋体"/>
          <w:bCs w:val="0"/>
          <w:sz w:val="21"/>
        </w:rPr>
        <w:t>75</w:t>
      </w:r>
      <w:r>
        <w:rPr>
          <w:rFonts w:hint="eastAsia" w:ascii="宋体" w:hAnsi="宋体"/>
          <w:bCs w:val="0"/>
          <w:sz w:val="21"/>
        </w:rPr>
        <w:t>%与5%。</w:t>
      </w:r>
    </w:p>
    <w:p>
      <w:pPr>
        <w:spacing w:line="360" w:lineRule="auto"/>
        <w:ind w:firstLine="420" w:firstLineChars="200"/>
        <w:rPr>
          <w:rFonts w:ascii="宋体" w:hAnsi="宋体"/>
          <w:bCs w:val="0"/>
          <w:sz w:val="21"/>
        </w:rPr>
      </w:pPr>
      <w:r>
        <w:rPr>
          <w:rFonts w:hint="eastAsia" w:ascii="宋体" w:hAnsi="宋体"/>
          <w:bCs w:val="0"/>
          <w:sz w:val="21"/>
        </w:rPr>
        <w:t>（2）基于基金投资目标、投资范围和投资策略，本基金的股票资产主要投资新能源主题的上市公司股票，把握新时代新能源高质量发展所带来的投资机会，深入挖掘本基金所界定的新能源主题范围内的优质上市公司进行投资，在风险可控的前提下力争获取超越业绩比较基准的收益。综合考虑基准指数与产品定位、投资风格与主题库的匹配度，同时兼顾考虑基准指数的表征性、认可度，以及指数主题界定、市值覆盖、行业与个股分布等，本基金选取中证新能源指数和国证港股通新能源指数（港元）分别作为A股和港股通投资标的股票部分的基准要素，具体情况如下：</w:t>
      </w:r>
    </w:p>
    <w:p>
      <w:pPr>
        <w:spacing w:line="360" w:lineRule="auto"/>
        <w:ind w:firstLine="420" w:firstLineChars="200"/>
        <w:rPr>
          <w:rFonts w:ascii="宋体" w:hAnsi="宋体"/>
          <w:bCs w:val="0"/>
          <w:sz w:val="21"/>
        </w:rPr>
      </w:pPr>
      <w:r>
        <w:rPr>
          <w:rFonts w:hint="eastAsia" w:ascii="宋体" w:hAnsi="宋体"/>
          <w:bCs w:val="0"/>
          <w:sz w:val="21"/>
        </w:rPr>
        <w:t>中证新能源指数选取涉及可再生能源生产、新能源应用、新能源存储以及新能源交互设备等业务的上市公司证券作为指数样本，以反映新能源产业相关上市公司证券的整体表现，适合作为本基金A股股票部分的业绩比较基准要素。</w:t>
      </w:r>
    </w:p>
    <w:p>
      <w:pPr>
        <w:spacing w:line="360" w:lineRule="auto"/>
        <w:ind w:firstLine="420" w:firstLineChars="200"/>
        <w:rPr>
          <w:rFonts w:ascii="宋体" w:hAnsi="宋体"/>
          <w:bCs w:val="0"/>
          <w:sz w:val="21"/>
        </w:rPr>
      </w:pPr>
      <w:r>
        <w:rPr>
          <w:rFonts w:hint="eastAsia" w:ascii="宋体" w:hAnsi="宋体"/>
          <w:bCs w:val="0"/>
          <w:sz w:val="21"/>
        </w:rPr>
        <w:t>国证港股通新能源指数</w:t>
      </w:r>
      <w:r>
        <w:rPr>
          <w:rFonts w:hint="eastAsia" w:ascii="宋体" w:hAnsi="宋体"/>
        </w:rPr>
        <w:t>（港元）</w:t>
      </w:r>
      <w:r>
        <w:rPr>
          <w:rFonts w:hint="eastAsia" w:ascii="宋体" w:hAnsi="宋体"/>
          <w:bCs w:val="0"/>
          <w:sz w:val="21"/>
        </w:rPr>
        <w:t>选取符合港股通资格的公司业务涉及新能源及新能源整车相关领域的上市公司证券作为样本，以反映港股通</w:t>
      </w:r>
      <w:r>
        <w:rPr>
          <w:rFonts w:hint="eastAsia" w:ascii="宋体" w:hAnsi="宋体"/>
        </w:rPr>
        <w:t>范围内</w:t>
      </w:r>
      <w:r>
        <w:rPr>
          <w:rFonts w:hint="eastAsia" w:ascii="宋体" w:hAnsi="宋体"/>
          <w:bCs w:val="0"/>
          <w:sz w:val="21"/>
        </w:rPr>
        <w:t>新能源领域</w:t>
      </w:r>
      <w:r>
        <w:rPr>
          <w:rFonts w:hint="eastAsia" w:ascii="宋体" w:hAnsi="宋体"/>
        </w:rPr>
        <w:t>相关</w:t>
      </w:r>
      <w:r>
        <w:rPr>
          <w:rFonts w:hint="eastAsia" w:ascii="宋体" w:hAnsi="宋体"/>
          <w:bCs w:val="0"/>
          <w:sz w:val="21"/>
        </w:rPr>
        <w:t>上市公司的运行特征，适合作为本基金港股通投资标的股票部分的业绩比较基准要素。</w:t>
      </w:r>
    </w:p>
    <w:p>
      <w:pPr>
        <w:spacing w:line="360" w:lineRule="auto"/>
        <w:ind w:firstLine="420" w:firstLineChars="200"/>
        <w:rPr>
          <w:rFonts w:ascii="宋体" w:hAnsi="宋体"/>
          <w:bCs w:val="0"/>
          <w:sz w:val="21"/>
        </w:rPr>
      </w:pPr>
      <w:r>
        <w:rPr>
          <w:rFonts w:hint="eastAsia" w:ascii="宋体" w:hAnsi="宋体"/>
          <w:bCs w:val="0"/>
          <w:sz w:val="21"/>
        </w:rPr>
        <w:t>（3）基于基金投资目标、投资范围和投资策略，本基金的债券资产采用全市场策略，主要通过类属配置与券种选择进行投资管理，预期组合久期整体偏向于中短久期。综合考虑基准指数与产品定位和投资风格的匹配度，同时兼顾考虑基准指数的表征性、认可度，以及基准指数券种、久期、信用等级分布特征等，选取中债-综合全价（1-3年）指数作为债券部分的业绩比较基准要素。</w:t>
      </w:r>
    </w:p>
    <w:p>
      <w:pPr>
        <w:spacing w:line="360" w:lineRule="auto"/>
        <w:ind w:firstLine="420" w:firstLineChars="200"/>
        <w:rPr>
          <w:rFonts w:ascii="宋体" w:hAnsi="宋体"/>
          <w:bCs w:val="0"/>
          <w:sz w:val="21"/>
        </w:rPr>
      </w:pPr>
      <w:r>
        <w:rPr>
          <w:rFonts w:hint="eastAsia" w:ascii="宋体" w:hAnsi="宋体"/>
          <w:bCs w:val="0"/>
          <w:sz w:val="21"/>
        </w:rPr>
        <w:t>中债-综合全价（1-3年）指数旨在综合反映中短期债券的整体价格和投资回报情况，具有广泛的市场代表性，适合作为本基金债券部分的业绩比较基准要素。</w:t>
      </w:r>
    </w:p>
    <w:p>
      <w:pPr>
        <w:spacing w:line="360" w:lineRule="auto"/>
        <w:ind w:firstLine="420" w:firstLineChars="200"/>
        <w:rPr>
          <w:rFonts w:ascii="宋体" w:hAnsi="宋体"/>
          <w:bCs w:val="0"/>
          <w:sz w:val="21"/>
        </w:rPr>
      </w:pPr>
      <w:r>
        <w:rPr>
          <w:rFonts w:hint="eastAsia" w:ascii="宋体" w:hAnsi="宋体"/>
          <w:bCs w:val="0"/>
          <w:sz w:val="21"/>
        </w:rPr>
        <w:t>（4）活期存款基准利率具有较强的权威性和市场影响力，适合作为本基金流动性管理部分的业绩比较基准。如果活期存款利率或利息税发生调整，则新的业绩比较基准将从调整当日起开始生效。</w:t>
      </w:r>
    </w:p>
    <w:p>
      <w:pPr>
        <w:spacing w:line="360" w:lineRule="auto"/>
        <w:ind w:firstLine="420" w:firstLineChars="200"/>
        <w:rPr>
          <w:rFonts w:ascii="宋体" w:hAnsi="宋体"/>
          <w:bCs w:val="0"/>
          <w:sz w:val="21"/>
        </w:rPr>
      </w:pPr>
      <w:r>
        <w:rPr>
          <w:rFonts w:hint="eastAsia" w:ascii="宋体" w:hAnsi="宋体"/>
          <w:bCs w:val="0"/>
          <w:sz w:val="21"/>
        </w:rPr>
        <w:t>综上，本基金选取的业绩比较基准与基金投资目标、投资范围、投资策略、投资比例限制相匹配。</w:t>
      </w:r>
    </w:p>
    <w:p>
      <w:pPr>
        <w:spacing w:line="360" w:lineRule="auto"/>
        <w:ind w:firstLine="420" w:firstLineChars="200"/>
        <w:rPr>
          <w:rFonts w:ascii="宋体" w:hAnsi="宋体"/>
          <w:bCs w:val="0"/>
          <w:sz w:val="21"/>
        </w:rPr>
      </w:pPr>
      <w:r>
        <w:rPr>
          <w:rFonts w:hint="eastAsia" w:ascii="宋体" w:hAnsi="宋体"/>
          <w:bCs w:val="0"/>
          <w:sz w:val="21"/>
        </w:rPr>
        <w:t>2、业绩比较基准要素的基本信息</w:t>
      </w:r>
    </w:p>
    <w:p>
      <w:pPr>
        <w:spacing w:line="360" w:lineRule="auto"/>
        <w:ind w:firstLine="420" w:firstLineChars="200"/>
        <w:rPr>
          <w:rFonts w:ascii="宋体" w:hAnsi="宋体"/>
          <w:bCs w:val="0"/>
          <w:sz w:val="21"/>
        </w:rPr>
      </w:pPr>
      <w:r>
        <w:rPr>
          <w:rFonts w:hint="eastAsia" w:ascii="宋体" w:hAnsi="宋体"/>
          <w:bCs w:val="0"/>
          <w:sz w:val="21"/>
        </w:rPr>
        <w:t>中证新能源指数由中证指数有限公司编制发布，指数代码为</w:t>
      </w:r>
      <w:r>
        <w:rPr>
          <w:rFonts w:ascii="宋体" w:hAnsi="宋体"/>
          <w:bCs w:val="0"/>
          <w:sz w:val="21"/>
        </w:rPr>
        <w:t>399808</w:t>
      </w:r>
      <w:r>
        <w:rPr>
          <w:rFonts w:hint="eastAsia" w:ascii="宋体" w:hAnsi="宋体"/>
          <w:bCs w:val="0"/>
          <w:sz w:val="21"/>
        </w:rPr>
        <w:t>，指数具体信息详见中证指数有限公司网站，网址：www.csindex.com.cn。</w:t>
      </w:r>
    </w:p>
    <w:p>
      <w:pPr>
        <w:spacing w:line="360" w:lineRule="auto"/>
        <w:ind w:firstLine="420" w:firstLineChars="200"/>
        <w:rPr>
          <w:rFonts w:ascii="宋体" w:hAnsi="宋体"/>
          <w:bCs w:val="0"/>
          <w:sz w:val="21"/>
        </w:rPr>
      </w:pPr>
      <w:r>
        <w:rPr>
          <w:rFonts w:hint="eastAsia" w:ascii="宋体" w:hAnsi="宋体"/>
          <w:bCs w:val="0"/>
          <w:sz w:val="21"/>
        </w:rPr>
        <w:t>国证港股通新能源指数（港元）由深圳证券信息有限公司编制发布，指数代码为9</w:t>
      </w:r>
      <w:r>
        <w:rPr>
          <w:rFonts w:ascii="宋体" w:hAnsi="宋体"/>
          <w:bCs w:val="0"/>
          <w:sz w:val="21"/>
        </w:rPr>
        <w:t>87026</w:t>
      </w:r>
      <w:r>
        <w:rPr>
          <w:rFonts w:hint="eastAsia" w:ascii="宋体" w:hAnsi="宋体"/>
          <w:bCs w:val="0"/>
          <w:sz w:val="21"/>
        </w:rPr>
        <w:t>，指数具体信息详见中证指数有限公司网站，网址：www.szsi.cn。</w:t>
      </w:r>
    </w:p>
    <w:p>
      <w:pPr>
        <w:spacing w:line="360" w:lineRule="auto"/>
        <w:ind w:firstLine="420" w:firstLineChars="200"/>
        <w:rPr>
          <w:rFonts w:ascii="宋体" w:hAnsi="宋体"/>
          <w:bCs w:val="0"/>
          <w:sz w:val="21"/>
        </w:rPr>
      </w:pPr>
      <w:r>
        <w:rPr>
          <w:rFonts w:hint="eastAsia" w:ascii="宋体" w:hAnsi="宋体"/>
          <w:bCs w:val="0"/>
          <w:sz w:val="21"/>
        </w:rPr>
        <w:t>中债-综合全价（1-3年）指数由中债金融估值中心有限公司编制发布，指数代码为CBA00223，指数具体信息详见中国债券信息网，网址：www.chinabond.com.cn。</w:t>
      </w:r>
    </w:p>
    <w:p>
      <w:pPr>
        <w:spacing w:line="360" w:lineRule="auto"/>
        <w:ind w:firstLine="420" w:firstLineChars="200"/>
        <w:rPr>
          <w:rFonts w:ascii="宋体" w:hAnsi="宋体"/>
          <w:bCs w:val="0"/>
          <w:sz w:val="21"/>
        </w:rPr>
      </w:pPr>
      <w:r>
        <w:rPr>
          <w:rFonts w:hint="eastAsia" w:ascii="宋体" w:hAnsi="宋体"/>
          <w:bCs w:val="0"/>
          <w:sz w:val="21"/>
        </w:rPr>
        <w:t>活期存款基准利率由中国人民银行发布，具体信息详见中国人民银行网站，网址：www.pbc.gov.cn。</w:t>
      </w:r>
    </w:p>
    <w:p>
      <w:pPr>
        <w:spacing w:line="360" w:lineRule="auto"/>
        <w:ind w:firstLine="420" w:firstLineChars="200"/>
        <w:rPr>
          <w:rFonts w:ascii="宋体" w:hAnsi="宋体"/>
          <w:bCs w:val="0"/>
          <w:sz w:val="21"/>
        </w:rPr>
      </w:pPr>
      <w:r>
        <w:rPr>
          <w:rFonts w:hint="eastAsia" w:ascii="宋体" w:hAnsi="宋体"/>
          <w:bCs w:val="0"/>
          <w:sz w:val="21"/>
        </w:rPr>
        <w:t>3、业绩比较基准的计算方法</w:t>
      </w:r>
    </w:p>
    <w:p>
      <w:pPr>
        <w:spacing w:line="360" w:lineRule="auto"/>
        <w:ind w:firstLine="420" w:firstLineChars="200"/>
        <w:rPr>
          <w:rFonts w:ascii="宋体" w:hAnsi="宋体"/>
          <w:bCs w:val="0"/>
          <w:sz w:val="21"/>
        </w:rPr>
      </w:pPr>
      <w:r>
        <w:rPr>
          <w:rFonts w:hint="eastAsia" w:ascii="宋体" w:hAnsi="宋体"/>
          <w:bCs w:val="0"/>
          <w:sz w:val="21"/>
        </w:rPr>
        <w:t>本基金业绩比较基准收益率的计算方法以每日收益率为基础，以时间加权为计算原则。本基金先分别计算业绩比较基准中中证新能源指数、国证港股通新能源指数（港元）、中债-综合全价（1-3年）指数和活期存款基准利率的每日收益率，再按照预设权重比例计算当日组合要素基准的日收益率，并连乘每日收益率。其中，国证港股通新能源指数（港元）收益率采用估值汇率进行调整，由港元计价折算为人民币计价后，再纳入计算。</w:t>
      </w:r>
    </w:p>
    <w:p>
      <w:pPr>
        <w:spacing w:line="360" w:lineRule="auto"/>
        <w:ind w:firstLine="420" w:firstLineChars="200"/>
        <w:rPr>
          <w:rFonts w:ascii="宋体" w:hAnsi="宋体"/>
          <w:bCs w:val="0"/>
          <w:sz w:val="21"/>
        </w:rPr>
      </w:pPr>
      <w:r>
        <w:rPr>
          <w:rFonts w:hint="eastAsia" w:ascii="宋体" w:hAnsi="宋体"/>
          <w:bCs w:val="0"/>
          <w:sz w:val="21"/>
        </w:rPr>
        <w:t>4、管理投资偏离业绩比较基准的定性或定量方法</w:t>
      </w:r>
    </w:p>
    <w:p>
      <w:pPr>
        <w:spacing w:line="360" w:lineRule="auto"/>
        <w:ind w:firstLine="420" w:firstLineChars="200"/>
        <w:rPr>
          <w:rFonts w:ascii="宋体" w:hAnsi="宋体"/>
          <w:bCs w:val="0"/>
          <w:sz w:val="21"/>
        </w:rPr>
      </w:pPr>
      <w:r>
        <w:rPr>
          <w:rFonts w:hint="eastAsia" w:ascii="宋体" w:hAnsi="宋体"/>
          <w:bCs w:val="0"/>
          <w:sz w:val="21"/>
        </w:rPr>
        <w:t>本基金管理人对基金实际投资与业绩比较基准的偏离情况进行动态跟踪与监测评估，监测指标主要包括超额收益率、信息比率、卡玛比率、最大回撤、股票仓位偏离、行业偏离、基准成份券覆盖率等，以更好管理基金实际投资与业绩比较基准的偏离情况，保持主要配置新能源主题的上市公司，从而在控制风险的基础上追求超越业绩比较基准的投资回报。</w:t>
      </w:r>
    </w:p>
    <w:p>
      <w:pPr>
        <w:spacing w:line="360" w:lineRule="auto"/>
        <w:ind w:firstLine="420" w:firstLineChars="200"/>
        <w:rPr>
          <w:rFonts w:ascii="宋体" w:hAnsi="宋体"/>
          <w:bCs w:val="0"/>
          <w:sz w:val="21"/>
        </w:rPr>
      </w:pPr>
      <w:r>
        <w:rPr>
          <w:rFonts w:hint="eastAsia" w:ascii="宋体" w:hAnsi="宋体"/>
          <w:bCs w:val="0"/>
          <w:sz w:val="21"/>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偏离较小时，投资组合的风险收益特征与业绩比较基准较为贴近；偏离较大时，组合在行业、个股上存在明显超配或低配，旨在争取超额收益，同时相对业绩比较基准的波动可能加大。</w:t>
      </w:r>
    </w:p>
    <w:p>
      <w:pPr>
        <w:spacing w:line="360" w:lineRule="auto"/>
        <w:ind w:firstLine="420" w:firstLineChars="200"/>
        <w:rPr>
          <w:rFonts w:ascii="宋体" w:hAnsi="宋体"/>
          <w:bCs w:val="0"/>
          <w:sz w:val="21"/>
        </w:rPr>
      </w:pPr>
      <w:r>
        <w:rPr>
          <w:rFonts w:hint="eastAsia" w:ascii="宋体" w:hAnsi="宋体"/>
          <w:bCs w:val="0"/>
          <w:sz w:val="21"/>
        </w:rPr>
        <w:t>5、未来可能变更业绩比较基准的情况和程序</w:t>
      </w:r>
    </w:p>
    <w:p>
      <w:pPr>
        <w:spacing w:line="360" w:lineRule="auto"/>
        <w:ind w:firstLine="420" w:firstLineChars="200"/>
        <w:rPr>
          <w:rFonts w:ascii="宋体" w:hAnsi="宋体"/>
          <w:bCs w:val="0"/>
          <w:sz w:val="21"/>
        </w:rPr>
      </w:pPr>
      <w:r>
        <w:rPr>
          <w:rFonts w:hint="eastAsia" w:ascii="宋体" w:hAnsi="宋体"/>
          <w:bCs w:val="0"/>
          <w:sz w:val="21"/>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spacing w:line="360" w:lineRule="auto"/>
        <w:ind w:firstLine="420" w:firstLineChars="200"/>
        <w:rPr>
          <w:rFonts w:ascii="宋体" w:hAnsi="宋体"/>
          <w:bCs w:val="0"/>
          <w:sz w:val="21"/>
        </w:rPr>
      </w:pPr>
      <w:r>
        <w:rPr>
          <w:rFonts w:hint="eastAsia" w:ascii="宋体" w:hAnsi="宋体"/>
          <w:bCs w:val="0"/>
          <w:sz w:val="21"/>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spacing w:line="360" w:lineRule="auto"/>
        <w:ind w:firstLine="420" w:firstLineChars="200"/>
        <w:rPr>
          <w:rFonts w:ascii="宋体" w:hAnsi="宋体"/>
          <w:bCs w:val="0"/>
          <w:sz w:val="21"/>
        </w:rPr>
      </w:pPr>
      <w:r>
        <w:rPr>
          <w:rFonts w:hint="eastAsia" w:ascii="宋体" w:hAnsi="宋体"/>
          <w:bCs w:val="0"/>
          <w:sz w:val="21"/>
        </w:rPr>
        <w:t>（2）调整业绩比较基准的要素权重、更换相同或相近特征的要素等，使新业绩比较基准代表性更强，且符合相关法律法规规定的；</w:t>
      </w:r>
    </w:p>
    <w:p>
      <w:pPr>
        <w:spacing w:line="360" w:lineRule="auto"/>
        <w:ind w:firstLine="420" w:firstLineChars="200"/>
        <w:rPr>
          <w:rFonts w:ascii="宋体" w:hAnsi="宋体"/>
          <w:bCs w:val="0"/>
          <w:sz w:val="21"/>
        </w:rPr>
      </w:pPr>
      <w:r>
        <w:rPr>
          <w:rFonts w:hint="eastAsia" w:ascii="宋体" w:hAnsi="宋体"/>
          <w:bCs w:val="0"/>
          <w:sz w:val="21"/>
        </w:rPr>
        <w:t>（3）中国证监会认可的其他情形。</w:t>
      </w:r>
    </w:p>
    <w:p>
      <w:pPr>
        <w:spacing w:line="360" w:lineRule="auto"/>
        <w:ind w:firstLine="420" w:firstLineChars="200"/>
        <w:rPr>
          <w:rFonts w:ascii="宋体" w:hAnsi="宋体"/>
          <w:bCs w:val="0"/>
          <w:sz w:val="21"/>
        </w:rPr>
      </w:pPr>
      <w:r>
        <w:rPr>
          <w:rFonts w:hint="eastAsia" w:ascii="宋体" w:hAnsi="宋体"/>
          <w:bCs w:val="0"/>
          <w:sz w:val="21"/>
        </w:rPr>
        <w:t>业绩比较基准变更涉及以下情形的，基金管理人应当按照规定履行变更注册、召开基金份额持有人大会等程序，法律法规、中国证监会另有规定的除外：</w:t>
      </w:r>
    </w:p>
    <w:p>
      <w:pPr>
        <w:spacing w:line="360" w:lineRule="auto"/>
        <w:ind w:firstLine="420" w:firstLineChars="200"/>
        <w:rPr>
          <w:rFonts w:ascii="宋体" w:hAnsi="宋体"/>
          <w:bCs w:val="0"/>
          <w:sz w:val="21"/>
        </w:rPr>
      </w:pPr>
      <w:r>
        <w:rPr>
          <w:rFonts w:hint="eastAsia" w:ascii="宋体" w:hAnsi="宋体"/>
          <w:bCs w:val="0"/>
          <w:sz w:val="21"/>
        </w:rPr>
        <w:t>（1）基金投资目标、投资范围、投资策略、投资比例等拟进行重大调整，并变更业绩比较基准的；</w:t>
      </w:r>
    </w:p>
    <w:p>
      <w:pPr>
        <w:spacing w:line="360" w:lineRule="auto"/>
        <w:ind w:firstLine="420" w:firstLineChars="200"/>
        <w:rPr>
          <w:rFonts w:ascii="宋体" w:hAnsi="宋体"/>
        </w:rPr>
      </w:pPr>
      <w:r>
        <w:rPr>
          <w:rFonts w:hint="eastAsia" w:ascii="宋体" w:hAnsi="宋体"/>
          <w:bCs w:val="0"/>
          <w:sz w:val="21"/>
        </w:rPr>
        <w:t>（2）其他对基金份额持有人利益产生重大实质性影响的情形。</w:t>
      </w:r>
    </w:p>
    <w:p>
      <w:pPr>
        <w:spacing w:line="360" w:lineRule="auto"/>
        <w:ind w:firstLine="420" w:firstLineChars="200"/>
        <w:rPr>
          <w:rFonts w:ascii="宋体" w:hAnsi="宋体"/>
        </w:rPr>
      </w:pPr>
      <w:r>
        <w:rPr>
          <w:rFonts w:hint="eastAsia" w:ascii="宋体" w:hAnsi="宋体"/>
        </w:rPr>
        <w:t>（六）风险收益特征</w:t>
      </w:r>
    </w:p>
    <w:p>
      <w:pPr>
        <w:spacing w:line="360" w:lineRule="auto"/>
        <w:ind w:firstLine="420" w:firstLineChars="200"/>
        <w:rPr>
          <w:rFonts w:ascii="宋体" w:hAnsi="宋体"/>
        </w:rPr>
      </w:pPr>
      <w:r>
        <w:rPr>
          <w:rFonts w:hint="eastAsia" w:ascii="宋体" w:hAnsi="宋体"/>
        </w:rPr>
        <w:t>本基金为混合型基金，一般情况下，预期收益和风险水平低于股票型基金，高于债券型基金与货币市场基金。</w:t>
      </w:r>
    </w:p>
    <w:p>
      <w:pPr>
        <w:spacing w:line="360" w:lineRule="auto"/>
        <w:ind w:firstLine="420" w:firstLineChars="200"/>
        <w:rPr>
          <w:rFonts w:ascii="宋体" w:hAnsi="宋体"/>
        </w:rPr>
      </w:pPr>
      <w:r>
        <w:rPr>
          <w:rFonts w:hint="eastAsia" w:ascii="宋体" w:hAnsi="宋体"/>
        </w:rPr>
        <w:t>本基金如果投资港股通投资标的股票，还需承担港股通机制下因投资环境、投资标的、市场制度以及交易规则等差异带来的特有风险。</w:t>
      </w:r>
    </w:p>
    <w:p>
      <w:pPr>
        <w:spacing w:line="360" w:lineRule="auto"/>
        <w:ind w:firstLine="420" w:firstLineChars="200"/>
        <w:rPr>
          <w:rFonts w:ascii="宋体" w:hAnsi="宋体"/>
        </w:rPr>
      </w:pPr>
      <w:r>
        <w:rPr>
          <w:rFonts w:hint="eastAsia" w:ascii="宋体" w:hAnsi="宋体"/>
        </w:rPr>
        <w:t>根据2017年7月1日实施的《证券期货投资者适当性管理办法》，基金管理人和销售机构按照新的风险等级分类标准对基金重新进行风险评级，本基金的具体风险评级结果应以基金管理人和销售机构提供的评级结果为准。</w:t>
      </w:r>
    </w:p>
    <w:p>
      <w:pPr>
        <w:spacing w:line="360" w:lineRule="auto"/>
        <w:ind w:firstLine="420" w:firstLineChars="200"/>
        <w:rPr>
          <w:rFonts w:ascii="宋体" w:hAnsi="宋体"/>
        </w:rPr>
      </w:pPr>
      <w:r>
        <w:rPr>
          <w:rFonts w:hint="eastAsia" w:ascii="宋体" w:hAnsi="宋体"/>
        </w:rPr>
        <w:t>（七）</w:t>
      </w:r>
      <w:r>
        <w:rPr>
          <w:rFonts w:ascii="宋体" w:hAnsi="宋体"/>
        </w:rPr>
        <w:t>基金管理人代表基金行使股东或债权人权利的处理原则及方法</w:t>
      </w:r>
    </w:p>
    <w:p>
      <w:pPr>
        <w:spacing w:line="360" w:lineRule="auto"/>
        <w:ind w:firstLine="420" w:firstLineChars="200"/>
        <w:rPr>
          <w:rFonts w:ascii="宋体" w:hAnsi="宋体"/>
        </w:rPr>
      </w:pPr>
      <w:r>
        <w:rPr>
          <w:rFonts w:hint="eastAsia" w:ascii="宋体" w:hAnsi="宋体"/>
        </w:rPr>
        <w:t>1、有利于基金资产的安全与增值；</w:t>
      </w:r>
    </w:p>
    <w:p>
      <w:pPr>
        <w:spacing w:line="360" w:lineRule="auto"/>
        <w:ind w:firstLine="420" w:firstLineChars="200"/>
        <w:rPr>
          <w:rFonts w:ascii="宋体" w:hAnsi="宋体"/>
        </w:rPr>
      </w:pPr>
      <w:r>
        <w:rPr>
          <w:rFonts w:hint="eastAsia" w:ascii="宋体" w:hAnsi="宋体"/>
        </w:rPr>
        <w:t>2、基金管理人按照国家有关规定代表基金独立行使股东或债权人权利，保护基金份额持有人的利益；</w:t>
      </w:r>
    </w:p>
    <w:p>
      <w:pPr>
        <w:spacing w:line="360" w:lineRule="auto"/>
        <w:ind w:firstLine="420" w:firstLineChars="200"/>
        <w:rPr>
          <w:rFonts w:ascii="宋体" w:hAnsi="宋体"/>
        </w:rPr>
      </w:pPr>
      <w:r>
        <w:rPr>
          <w:rFonts w:hint="eastAsia" w:ascii="宋体" w:hAnsi="宋体"/>
        </w:rPr>
        <w:t>3、不谋求对上市公司的控股；</w:t>
      </w:r>
    </w:p>
    <w:p>
      <w:pPr>
        <w:spacing w:line="360" w:lineRule="auto"/>
        <w:ind w:firstLine="420" w:firstLineChars="200"/>
        <w:rPr>
          <w:rFonts w:ascii="宋体" w:hAnsi="宋体"/>
        </w:rPr>
      </w:pPr>
      <w:r>
        <w:rPr>
          <w:rFonts w:hint="eastAsia" w:ascii="宋体" w:hAnsi="宋体"/>
        </w:rPr>
        <w:t>4、不通过关联交易为自身、雇员、授权代理人或任何存在利害关系的第三人牟取任何不当利益。</w:t>
      </w:r>
      <w:bookmarkEnd w:id="156"/>
      <w:bookmarkEnd w:id="157"/>
      <w:bookmarkEnd w:id="158"/>
      <w:bookmarkEnd w:id="159"/>
      <w:bookmarkStart w:id="160" w:name="_Hlt70058259"/>
      <w:bookmarkEnd w:id="160"/>
    </w:p>
    <w:p>
      <w:pPr>
        <w:spacing w:line="360" w:lineRule="auto"/>
        <w:ind w:firstLine="420" w:firstLineChars="200"/>
        <w:rPr>
          <w:rFonts w:ascii="宋体" w:hAnsi="宋体"/>
        </w:rPr>
      </w:pPr>
      <w:r>
        <w:rPr>
          <w:rFonts w:hint="eastAsia" w:ascii="宋体" w:hAnsi="宋体"/>
        </w:rPr>
        <w:t>（八）侧袋机制的实施和投资运作安排</w:t>
      </w:r>
    </w:p>
    <w:p>
      <w:pPr>
        <w:spacing w:line="360" w:lineRule="auto"/>
        <w:ind w:firstLine="420" w:firstLineChars="200"/>
        <w:rPr>
          <w:rFonts w:ascii="宋体" w:hAnsi="宋体"/>
        </w:rPr>
      </w:pPr>
      <w:r>
        <w:rPr>
          <w:rFonts w:hint="eastAsia" w:ascii="宋体" w:hAnsi="宋体"/>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pPr>
        <w:spacing w:line="360" w:lineRule="auto"/>
        <w:ind w:firstLine="420" w:firstLineChars="200"/>
        <w:rPr>
          <w:rFonts w:ascii="宋体" w:hAnsi="宋体"/>
        </w:rPr>
      </w:pPr>
      <w:r>
        <w:rPr>
          <w:rFonts w:hint="eastAsia" w:ascii="宋体" w:hAnsi="宋体"/>
        </w:rPr>
        <w:t>侧袋机制实施期间，本部分约定的投资组合比例、投资策略、组合限制、业绩比较基准、风险收益特征等约定仅适用于主袋账户。</w:t>
      </w:r>
    </w:p>
    <w:p>
      <w:pPr>
        <w:spacing w:line="360" w:lineRule="auto"/>
        <w:ind w:firstLine="420" w:firstLineChars="200"/>
        <w:rPr>
          <w:rFonts w:ascii="宋体" w:hAnsi="宋体"/>
          <w:szCs w:val="21"/>
        </w:rPr>
      </w:pPr>
      <w:r>
        <w:rPr>
          <w:rFonts w:hint="eastAsia" w:ascii="宋体" w:hAnsi="宋体"/>
        </w:rPr>
        <w:t>侧袋账户的实施条件、实施程序、运作安排、投资安排、特定资产的处置变现和支付等对投资者权益有重大影响的事项详见招募说明书“侧袋机制”部分的规定。</w:t>
      </w:r>
    </w:p>
    <w:bookmarkEnd w:id="151"/>
    <w:p>
      <w:pPr>
        <w:pStyle w:val="4"/>
        <w:spacing w:before="400" w:after="400"/>
        <w:rPr>
          <w:rFonts w:hAnsi="宋体"/>
          <w:sz w:val="32"/>
        </w:rPr>
      </w:pPr>
      <w:r>
        <w:rPr>
          <w:rFonts w:hAnsi="宋体"/>
          <w:kern w:val="0"/>
          <w:szCs w:val="21"/>
        </w:rPr>
        <w:br w:type="page"/>
      </w:r>
      <w:bookmarkStart w:id="161" w:name="_Toc116052556"/>
      <w:bookmarkStart w:id="162" w:name="_Toc116052790"/>
      <w:bookmarkStart w:id="163" w:name="_Toc203806296"/>
      <w:bookmarkStart w:id="164" w:name="_Toc55987066"/>
      <w:bookmarkStart w:id="165" w:name="_Toc203357161"/>
      <w:r>
        <w:rPr>
          <w:rFonts w:hAnsi="宋体"/>
          <w:sz w:val="32"/>
        </w:rPr>
        <w:t>十、基金的财产</w:t>
      </w:r>
      <w:bookmarkEnd w:id="161"/>
      <w:bookmarkEnd w:id="162"/>
      <w:bookmarkEnd w:id="163"/>
      <w:bookmarkEnd w:id="164"/>
      <w:bookmarkEnd w:id="165"/>
    </w:p>
    <w:p>
      <w:pPr>
        <w:spacing w:line="360" w:lineRule="auto"/>
        <w:ind w:firstLine="420" w:firstLineChars="200"/>
        <w:rPr>
          <w:rFonts w:ascii="宋体" w:hAnsi="宋体"/>
        </w:rPr>
      </w:pPr>
      <w:bookmarkStart w:id="166" w:name="OLE_LINK24"/>
      <w:r>
        <w:rPr>
          <w:rFonts w:hint="eastAsia" w:ascii="宋体" w:hAnsi="宋体"/>
        </w:rPr>
        <w:t>（一）基金资产总值</w:t>
      </w:r>
    </w:p>
    <w:p>
      <w:pPr>
        <w:spacing w:line="360" w:lineRule="auto"/>
        <w:ind w:firstLine="420" w:firstLineChars="200"/>
        <w:rPr>
          <w:rFonts w:ascii="宋体" w:hAnsi="宋体"/>
        </w:rPr>
      </w:pPr>
      <w:r>
        <w:rPr>
          <w:rFonts w:hint="eastAsia" w:ascii="宋体" w:hAnsi="宋体"/>
        </w:rPr>
        <w:t>基金资产总值是指基金拥有的各类有价证券、银行存款本息和基金应收款项以及其他资产的价值总和。</w:t>
      </w:r>
    </w:p>
    <w:p>
      <w:pPr>
        <w:spacing w:line="360" w:lineRule="auto"/>
        <w:ind w:firstLine="420" w:firstLineChars="200"/>
        <w:rPr>
          <w:rFonts w:ascii="宋体" w:hAnsi="宋体"/>
        </w:rPr>
      </w:pPr>
      <w:r>
        <w:rPr>
          <w:rFonts w:hint="eastAsia" w:ascii="宋体" w:hAnsi="宋体"/>
        </w:rPr>
        <w:t>（二）基金资产净值</w:t>
      </w:r>
    </w:p>
    <w:p>
      <w:pPr>
        <w:spacing w:line="360" w:lineRule="auto"/>
        <w:ind w:firstLine="420" w:firstLineChars="200"/>
        <w:rPr>
          <w:rFonts w:ascii="宋体" w:hAnsi="宋体"/>
        </w:rPr>
      </w:pPr>
      <w:r>
        <w:rPr>
          <w:rFonts w:hint="eastAsia" w:ascii="宋体" w:hAnsi="宋体"/>
        </w:rPr>
        <w:t>基金资产净值是指基金资产总值减去基金负债后的价值。</w:t>
      </w:r>
    </w:p>
    <w:p>
      <w:pPr>
        <w:spacing w:line="360" w:lineRule="auto"/>
        <w:ind w:firstLine="420" w:firstLineChars="200"/>
        <w:rPr>
          <w:rFonts w:ascii="宋体" w:hAnsi="宋体"/>
        </w:rPr>
      </w:pPr>
      <w:r>
        <w:rPr>
          <w:rFonts w:hint="eastAsia" w:ascii="宋体" w:hAnsi="宋体"/>
        </w:rPr>
        <w:t>（三）基金财产的账户</w:t>
      </w:r>
    </w:p>
    <w:p>
      <w:pPr>
        <w:spacing w:line="360" w:lineRule="auto"/>
        <w:ind w:firstLine="420" w:firstLineChars="200"/>
        <w:rPr>
          <w:rFonts w:ascii="宋体" w:hAnsi="宋体"/>
        </w:rPr>
      </w:pPr>
      <w:r>
        <w:rPr>
          <w:rFonts w:hint="eastAsia" w:ascii="宋体" w:hAnsi="宋体"/>
        </w:rPr>
        <w:t>基金托管人或基金管理人根据相关法律法规、规范性文件为本基金开立资金账户和证券账户以及投资所需的其他专用账户。开立的基金专用账户与基金管理人、基金托管人、基金销售机构和基金登记机构自有的财产账户以及其他基金财产账户相独立。</w:t>
      </w:r>
    </w:p>
    <w:p>
      <w:pPr>
        <w:spacing w:line="360" w:lineRule="auto"/>
        <w:ind w:firstLine="420" w:firstLineChars="200"/>
        <w:rPr>
          <w:rFonts w:ascii="宋体" w:hAnsi="宋体"/>
        </w:rPr>
      </w:pPr>
      <w:bookmarkStart w:id="167" w:name="_Hlt88841837"/>
      <w:bookmarkEnd w:id="167"/>
      <w:r>
        <w:rPr>
          <w:rFonts w:hint="eastAsia" w:ascii="宋体" w:hAnsi="宋体"/>
        </w:rPr>
        <w:t>（四）基金财产的保管和处分</w:t>
      </w:r>
    </w:p>
    <w:p>
      <w:pPr>
        <w:spacing w:line="360" w:lineRule="auto"/>
        <w:ind w:firstLine="420" w:firstLineChars="200"/>
        <w:rPr>
          <w:rFonts w:ascii="宋体" w:hAnsi="宋体"/>
        </w:rPr>
      </w:pPr>
      <w:r>
        <w:rPr>
          <w:rFonts w:hint="eastAsia" w:ascii="宋体" w:hAnsi="宋体"/>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20" w:firstLineChars="200"/>
        <w:rPr>
          <w:rFonts w:ascii="宋体" w:hAnsi="宋体"/>
        </w:rPr>
      </w:pPr>
      <w:r>
        <w:rPr>
          <w:rFonts w:hint="eastAsia" w:ascii="宋体" w:hAnsi="宋体"/>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4"/>
        <w:spacing w:before="400" w:after="400"/>
        <w:rPr>
          <w:rFonts w:hAnsi="宋体"/>
          <w:sz w:val="32"/>
        </w:rPr>
      </w:pPr>
      <w:r>
        <w:rPr>
          <w:rFonts w:hAnsi="宋体" w:cs="宋体"/>
          <w:kern w:val="0"/>
          <w:szCs w:val="21"/>
        </w:rPr>
        <w:br w:type="page"/>
      </w:r>
      <w:bookmarkStart w:id="168" w:name="_Toc116052557"/>
      <w:bookmarkStart w:id="169" w:name="_Toc116052791"/>
      <w:bookmarkStart w:id="170" w:name="_Toc203357162"/>
      <w:bookmarkStart w:id="171" w:name="_Toc55987067"/>
      <w:bookmarkStart w:id="172" w:name="_Toc203806297"/>
      <w:r>
        <w:rPr>
          <w:rFonts w:hAnsi="宋体"/>
          <w:sz w:val="32"/>
        </w:rPr>
        <w:t>十</w:t>
      </w:r>
      <w:r>
        <w:rPr>
          <w:rFonts w:hint="eastAsia" w:hAnsi="宋体"/>
          <w:sz w:val="32"/>
        </w:rPr>
        <w:t>一</w:t>
      </w:r>
      <w:r>
        <w:rPr>
          <w:rFonts w:hAnsi="宋体"/>
          <w:sz w:val="32"/>
        </w:rPr>
        <w:t>、基金</w:t>
      </w:r>
      <w:r>
        <w:rPr>
          <w:rFonts w:hint="eastAsia" w:hAnsi="宋体"/>
          <w:sz w:val="32"/>
        </w:rPr>
        <w:t>资产</w:t>
      </w:r>
      <w:r>
        <w:rPr>
          <w:rFonts w:hAnsi="宋体"/>
          <w:sz w:val="32"/>
        </w:rPr>
        <w:t>估值</w:t>
      </w:r>
      <w:bookmarkEnd w:id="168"/>
      <w:bookmarkEnd w:id="169"/>
      <w:bookmarkEnd w:id="170"/>
      <w:bookmarkEnd w:id="171"/>
      <w:bookmarkEnd w:id="172"/>
    </w:p>
    <w:p>
      <w:pPr>
        <w:spacing w:line="360" w:lineRule="auto"/>
        <w:ind w:firstLine="420" w:firstLineChars="200"/>
        <w:rPr>
          <w:rFonts w:ascii="宋体" w:hAnsi="宋体"/>
        </w:rPr>
      </w:pPr>
      <w:r>
        <w:rPr>
          <w:rFonts w:hint="eastAsia" w:ascii="宋体" w:hAnsi="宋体"/>
        </w:rPr>
        <w:t>（一）</w:t>
      </w:r>
      <w:r>
        <w:rPr>
          <w:rFonts w:ascii="宋体" w:hAnsi="宋体"/>
        </w:rPr>
        <w:t>估值日</w:t>
      </w:r>
    </w:p>
    <w:p>
      <w:pPr>
        <w:spacing w:line="360" w:lineRule="auto"/>
        <w:ind w:firstLine="420" w:firstLineChars="200"/>
        <w:rPr>
          <w:rFonts w:ascii="宋体" w:hAnsi="宋体"/>
        </w:rPr>
      </w:pPr>
      <w:r>
        <w:rPr>
          <w:rFonts w:hint="eastAsia" w:ascii="宋体" w:hAnsi="宋体"/>
        </w:rPr>
        <w:t>本基金的估值日为本基金的开放日和主要证券、期货交易场所正常交易的非开放日，以及国家法律法规规定需要对外披露基金净值的非开放日。</w:t>
      </w:r>
    </w:p>
    <w:p>
      <w:pPr>
        <w:spacing w:line="360" w:lineRule="auto"/>
        <w:ind w:firstLine="420" w:firstLineChars="200"/>
        <w:rPr>
          <w:rFonts w:ascii="宋体" w:hAnsi="宋体"/>
        </w:rPr>
      </w:pPr>
      <w:r>
        <w:rPr>
          <w:rFonts w:hint="eastAsia" w:ascii="宋体" w:hAnsi="宋体"/>
        </w:rPr>
        <w:t>（二）估值对象</w:t>
      </w:r>
    </w:p>
    <w:p>
      <w:pPr>
        <w:spacing w:line="360" w:lineRule="auto"/>
        <w:ind w:firstLine="420" w:firstLineChars="200"/>
        <w:rPr>
          <w:rFonts w:ascii="宋体" w:hAnsi="宋体"/>
        </w:rPr>
      </w:pPr>
      <w:r>
        <w:rPr>
          <w:rFonts w:hint="eastAsia" w:ascii="宋体" w:hAnsi="宋体"/>
        </w:rPr>
        <w:t>基金所拥有的股票、股指期货合约、债券、国债期货合约、同业存单和银行存款本息、应收款项、资产支持证券、其它投资等资产及负债。</w:t>
      </w:r>
    </w:p>
    <w:p>
      <w:pPr>
        <w:spacing w:line="360" w:lineRule="auto"/>
        <w:ind w:firstLine="420" w:firstLineChars="200"/>
        <w:rPr>
          <w:rFonts w:ascii="宋体" w:hAnsi="宋体"/>
        </w:rPr>
      </w:pPr>
      <w:r>
        <w:rPr>
          <w:rFonts w:hint="eastAsia" w:ascii="宋体" w:hAnsi="宋体"/>
        </w:rPr>
        <w:t>（三）估值原则</w:t>
      </w:r>
    </w:p>
    <w:p>
      <w:pPr>
        <w:spacing w:line="360" w:lineRule="auto"/>
        <w:ind w:firstLine="420" w:firstLineChars="200"/>
        <w:rPr>
          <w:rFonts w:ascii="宋体" w:hAnsi="宋体"/>
        </w:rPr>
      </w:pPr>
      <w:r>
        <w:rPr>
          <w:rFonts w:hint="eastAsia" w:ascii="宋体" w:hAnsi="宋体"/>
        </w:rPr>
        <w:t>基金管理人在确定相关金融资产和金融负债的公允价值时，应符合《企业会计准则》、监管部门有关规定。</w:t>
      </w:r>
    </w:p>
    <w:p>
      <w:pPr>
        <w:spacing w:line="360" w:lineRule="auto"/>
        <w:ind w:firstLine="420" w:firstLineChars="200"/>
        <w:rPr>
          <w:rFonts w:ascii="宋体" w:hAnsi="宋体"/>
        </w:rPr>
      </w:pPr>
      <w:r>
        <w:rPr>
          <w:rFonts w:hint="eastAsia" w:ascii="宋体" w:hAnsi="宋体"/>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20" w:firstLineChars="200"/>
        <w:rPr>
          <w:rFonts w:ascii="宋体" w:hAnsi="宋体"/>
        </w:rPr>
      </w:pPr>
      <w:r>
        <w:rPr>
          <w:rFonts w:hint="eastAsia" w:ascii="宋体" w:hAnsi="宋体"/>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20" w:firstLineChars="200"/>
        <w:rPr>
          <w:rFonts w:ascii="宋体" w:hAnsi="宋体"/>
        </w:rPr>
      </w:pPr>
      <w:r>
        <w:rPr>
          <w:rFonts w:hint="eastAsia" w:ascii="宋体" w:hAnsi="宋体"/>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20" w:firstLineChars="200"/>
        <w:rPr>
          <w:rFonts w:ascii="宋体" w:hAnsi="宋体"/>
        </w:rPr>
      </w:pPr>
      <w:r>
        <w:rPr>
          <w:rFonts w:hint="eastAsia" w:ascii="宋体" w:hAnsi="宋体"/>
        </w:rPr>
        <w:t>3、如经济环境发生重大变化或证券发行人发生影响证券价格的重大事件，使潜在估值调整对前一估值日的基金资产净值的影响在0.25%以上的，应对估值进行调整并确定公允价值。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20" w:firstLineChars="200"/>
        <w:rPr>
          <w:rFonts w:ascii="宋体" w:hAnsi="宋体"/>
        </w:rPr>
      </w:pPr>
      <w:r>
        <w:rPr>
          <w:rFonts w:hint="eastAsia" w:ascii="宋体" w:hAnsi="宋体"/>
        </w:rPr>
        <w:t>（四）估值方法</w:t>
      </w:r>
    </w:p>
    <w:p>
      <w:pPr>
        <w:spacing w:line="360" w:lineRule="auto"/>
        <w:ind w:firstLine="420" w:firstLineChars="200"/>
        <w:rPr>
          <w:rFonts w:ascii="宋体" w:hAnsi="宋体"/>
        </w:rPr>
      </w:pPr>
      <w:r>
        <w:rPr>
          <w:rFonts w:ascii="宋体" w:hAnsi="宋体"/>
        </w:rPr>
        <w:t>1</w:t>
      </w:r>
      <w:r>
        <w:rPr>
          <w:rFonts w:hint="eastAsia" w:ascii="宋体" w:hAnsi="宋体"/>
        </w:rPr>
        <w:t>、证券交易所上市的有价证券的估值</w:t>
      </w:r>
    </w:p>
    <w:p>
      <w:pPr>
        <w:spacing w:line="360" w:lineRule="auto"/>
        <w:ind w:firstLine="420" w:firstLineChars="200"/>
        <w:rPr>
          <w:rFonts w:ascii="宋体" w:hAnsi="宋体"/>
        </w:rPr>
      </w:pPr>
      <w:r>
        <w:rPr>
          <w:rFonts w:hint="eastAsia" w:ascii="宋体" w:hAnsi="宋体"/>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widowControl/>
        <w:spacing w:line="360" w:lineRule="auto"/>
        <w:ind w:firstLine="420" w:firstLineChars="200"/>
        <w:jc w:val="left"/>
        <w:rPr>
          <w:rFonts w:ascii="宋体" w:hAnsi="宋体"/>
        </w:rPr>
      </w:pPr>
      <w:r>
        <w:rPr>
          <w:rFonts w:hint="eastAsia" w:ascii="宋体" w:hAnsi="宋体"/>
          <w:lang w:bidi="ar"/>
        </w:rPr>
        <w:t>（</w:t>
      </w:r>
      <w:r>
        <w:rPr>
          <w:rFonts w:ascii="宋体" w:hAnsi="宋体"/>
          <w:lang w:bidi="ar"/>
        </w:rPr>
        <w:t>2</w:t>
      </w:r>
      <w:r>
        <w:rPr>
          <w:rFonts w:hint="eastAsia" w:ascii="宋体" w:hAnsi="宋体"/>
          <w:lang w:bidi="ar"/>
        </w:rPr>
        <w:t>）交易所上市交易或挂牌转让的不含权固定收益品种（另有规定的除外），选取估值日第三方估值基准服务机构提供的相应品种当日的估值全价进行估值；</w:t>
      </w:r>
    </w:p>
    <w:p>
      <w:pPr>
        <w:widowControl/>
        <w:spacing w:line="360" w:lineRule="auto"/>
        <w:ind w:firstLine="420" w:firstLineChars="200"/>
        <w:jc w:val="left"/>
        <w:rPr>
          <w:rFonts w:ascii="宋体" w:hAnsi="宋体"/>
        </w:rPr>
      </w:pPr>
      <w:r>
        <w:rPr>
          <w:rFonts w:hint="eastAsia" w:ascii="宋体" w:hAnsi="宋体"/>
          <w:lang w:bidi="ar"/>
        </w:rPr>
        <w:t>（</w:t>
      </w:r>
      <w:r>
        <w:rPr>
          <w:rFonts w:ascii="宋体" w:hAnsi="宋体"/>
          <w:lang w:bidi="ar"/>
        </w:rPr>
        <w:t>3</w:t>
      </w:r>
      <w:r>
        <w:rPr>
          <w:rFonts w:hint="eastAsia" w:ascii="宋体" w:hAnsi="宋体"/>
          <w:lang w:bidi="ar"/>
        </w:rPr>
        <w:t>）交易所上市交易或挂牌转让的含权固定收益品种（另有规定的除外），选取估值日第三方估值基准服务机构提供的相应品种当日的唯一估值全价或推荐估值全价进行估值；</w:t>
      </w:r>
    </w:p>
    <w:p>
      <w:pPr>
        <w:widowControl/>
        <w:spacing w:line="360" w:lineRule="auto"/>
        <w:ind w:firstLine="420" w:firstLineChars="200"/>
        <w:jc w:val="left"/>
        <w:rPr>
          <w:rFonts w:ascii="宋体" w:hAnsi="宋体"/>
        </w:rPr>
      </w:pPr>
      <w:r>
        <w:rPr>
          <w:rFonts w:hint="eastAsia" w:ascii="宋体" w:hAnsi="宋体"/>
          <w:lang w:bidi="ar"/>
        </w:rPr>
        <w:t>（</w:t>
      </w:r>
      <w:r>
        <w:rPr>
          <w:rFonts w:ascii="宋体" w:hAnsi="宋体"/>
          <w:lang w:bidi="ar"/>
        </w:rPr>
        <w:t>4</w:t>
      </w:r>
      <w:r>
        <w:rPr>
          <w:rFonts w:hint="eastAsia" w:ascii="宋体" w:hAnsi="宋体"/>
          <w:lang w:bidi="ar"/>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20" w:firstLineChars="200"/>
        <w:rPr>
          <w:rFonts w:ascii="宋体" w:hAnsi="宋体"/>
        </w:rPr>
      </w:pPr>
      <w:r>
        <w:rPr>
          <w:rFonts w:hint="eastAsia" w:ascii="宋体" w:hAnsi="宋体"/>
        </w:rPr>
        <w:t>（5）交易所上市不存在活跃市场的有价证券，采用估值技术确定公允价值。交易所市场挂牌转让的资产支持证券，采用估值技术确定公允价值；</w:t>
      </w:r>
    </w:p>
    <w:p>
      <w:pPr>
        <w:spacing w:line="360" w:lineRule="auto"/>
        <w:ind w:firstLine="420" w:firstLineChars="200"/>
        <w:rPr>
          <w:rFonts w:ascii="宋体" w:hAnsi="宋体"/>
        </w:rPr>
      </w:pPr>
      <w:r>
        <w:rPr>
          <w:rFonts w:hint="eastAsia" w:ascii="宋体" w:hAnsi="宋体"/>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spacing w:line="360" w:lineRule="auto"/>
        <w:ind w:firstLine="420" w:firstLineChars="200"/>
        <w:rPr>
          <w:rFonts w:ascii="宋体" w:hAnsi="宋体"/>
        </w:rPr>
      </w:pPr>
      <w:r>
        <w:rPr>
          <w:rFonts w:hint="eastAsia" w:ascii="宋体" w:hAnsi="宋体"/>
        </w:rPr>
        <w:t>2、处于未上市期间的有价证券应区分如下情况处理：</w:t>
      </w:r>
    </w:p>
    <w:p>
      <w:pPr>
        <w:spacing w:line="360" w:lineRule="auto"/>
        <w:ind w:firstLine="420" w:firstLineChars="200"/>
        <w:rPr>
          <w:rFonts w:ascii="宋体" w:hAnsi="宋体"/>
        </w:rPr>
      </w:pPr>
      <w:r>
        <w:rPr>
          <w:rFonts w:hint="eastAsia" w:ascii="宋体" w:hAnsi="宋体"/>
        </w:rPr>
        <w:t>（1）送股、转增股、配股和公开增发的新股，按估值日在证券交易所挂牌的同一股票的估值方法估值；该日无交易的，以最近一日的市价（收盘价）估值；</w:t>
      </w:r>
    </w:p>
    <w:p>
      <w:pPr>
        <w:spacing w:line="360" w:lineRule="auto"/>
        <w:ind w:firstLine="420" w:firstLineChars="200"/>
        <w:rPr>
          <w:rFonts w:ascii="宋体" w:hAnsi="宋体"/>
        </w:rPr>
      </w:pPr>
      <w:r>
        <w:rPr>
          <w:rFonts w:hint="eastAsia" w:ascii="宋体" w:hAnsi="宋体"/>
        </w:rPr>
        <w:t>（2）首次公开发行未上市的股票、债券，采用估值技术确定公允价值；</w:t>
      </w:r>
    </w:p>
    <w:p>
      <w:pPr>
        <w:spacing w:line="360" w:lineRule="auto"/>
        <w:ind w:firstLine="420" w:firstLineChars="200"/>
        <w:rPr>
          <w:rFonts w:ascii="宋体" w:hAnsi="宋体"/>
        </w:rPr>
      </w:pPr>
      <w:r>
        <w:rPr>
          <w:rFonts w:hint="eastAsia" w:ascii="宋体" w:hAnsi="宋体"/>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widowControl/>
        <w:spacing w:line="360" w:lineRule="auto"/>
        <w:ind w:firstLine="420" w:firstLineChars="200"/>
        <w:jc w:val="left"/>
        <w:rPr>
          <w:rFonts w:ascii="宋体" w:hAnsi="宋体"/>
        </w:rPr>
      </w:pPr>
      <w:r>
        <w:rPr>
          <w:rFonts w:ascii="宋体" w:hAnsi="宋体"/>
          <w:lang w:bidi="ar"/>
        </w:rPr>
        <w:t>3</w:t>
      </w:r>
      <w:r>
        <w:rPr>
          <w:rFonts w:hint="eastAsia" w:ascii="宋体" w:hAnsi="宋体"/>
          <w:lang w:bidi="ar"/>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未上市或未挂牌转让且不存在活跃市场的固定收益品种，采用估值技术确定其公允价值。</w:t>
      </w:r>
    </w:p>
    <w:p>
      <w:pPr>
        <w:widowControl/>
        <w:spacing w:line="360" w:lineRule="auto"/>
        <w:ind w:firstLine="420" w:firstLineChars="200"/>
        <w:jc w:val="left"/>
        <w:rPr>
          <w:rFonts w:ascii="宋体" w:hAnsi="宋体"/>
        </w:rPr>
      </w:pPr>
      <w:r>
        <w:rPr>
          <w:rFonts w:ascii="宋体" w:hAnsi="宋体"/>
          <w:lang w:bidi="ar"/>
        </w:rPr>
        <w:t>4</w:t>
      </w:r>
      <w:r>
        <w:rPr>
          <w:rFonts w:hint="eastAsia" w:ascii="宋体" w:hAnsi="宋体"/>
          <w:lang w:bidi="ar"/>
        </w:rPr>
        <w:t>、对于含投资者回售权的固定收益品种，行使回售权的，在回售登记日至实际收款日期间选取第三方估值基准服务机构提供的相应品种的唯一估值全价或推荐估值全价估值。回售登记期截止日（含当日）后未行使回售权的按照长待偿期所对应的价格进行估值。</w:t>
      </w:r>
    </w:p>
    <w:p>
      <w:pPr>
        <w:widowControl/>
        <w:spacing w:line="360" w:lineRule="auto"/>
        <w:ind w:firstLine="420" w:firstLineChars="200"/>
        <w:jc w:val="left"/>
        <w:rPr>
          <w:rFonts w:ascii="宋体" w:hAnsi="宋体"/>
        </w:rPr>
      </w:pPr>
      <w:r>
        <w:rPr>
          <w:rFonts w:ascii="宋体" w:hAnsi="宋体"/>
          <w:lang w:bidi="ar"/>
        </w:rPr>
        <w:t>5</w:t>
      </w:r>
      <w:r>
        <w:rPr>
          <w:rFonts w:hint="eastAsia" w:ascii="宋体" w:hAnsi="宋体"/>
          <w:lang w:bidi="ar"/>
        </w:rPr>
        <w:t>、同一证券同时在两个或两个以上市场交易的，按证券所处的市场分别估值。</w:t>
      </w:r>
    </w:p>
    <w:p>
      <w:pPr>
        <w:widowControl/>
        <w:spacing w:line="360" w:lineRule="auto"/>
        <w:ind w:firstLine="420" w:firstLineChars="200"/>
        <w:jc w:val="left"/>
        <w:rPr>
          <w:rFonts w:ascii="宋体" w:hAnsi="宋体"/>
        </w:rPr>
      </w:pPr>
      <w:r>
        <w:rPr>
          <w:rFonts w:ascii="宋体" w:hAnsi="宋体"/>
          <w:lang w:bidi="ar"/>
        </w:rPr>
        <w:t>6</w:t>
      </w:r>
      <w:r>
        <w:rPr>
          <w:rFonts w:hint="eastAsia" w:ascii="宋体" w:hAnsi="宋体"/>
          <w:lang w:bidi="ar"/>
        </w:rPr>
        <w:t>、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pPr>
        <w:widowControl/>
        <w:spacing w:line="360" w:lineRule="auto"/>
        <w:ind w:firstLine="420" w:firstLineChars="200"/>
        <w:jc w:val="left"/>
        <w:rPr>
          <w:rFonts w:ascii="宋体" w:hAnsi="宋体"/>
        </w:rPr>
      </w:pPr>
      <w:r>
        <w:rPr>
          <w:rFonts w:ascii="宋体" w:hAnsi="宋体"/>
          <w:lang w:bidi="ar"/>
        </w:rPr>
        <w:t>7</w:t>
      </w:r>
      <w:r>
        <w:rPr>
          <w:rFonts w:hint="eastAsia" w:ascii="宋体" w:hAnsi="宋体"/>
          <w:lang w:bidi="ar"/>
        </w:rPr>
        <w:t>、本基金投资国债期货合约，一般以估值当日结算价进行估值，估值日无结算价的，且最近交易日后经济环境未发生重大变化的，采用最近交易日结算价估值。</w:t>
      </w:r>
    </w:p>
    <w:p>
      <w:pPr>
        <w:widowControl/>
        <w:spacing w:line="360" w:lineRule="auto"/>
        <w:ind w:firstLine="420" w:firstLineChars="200"/>
        <w:jc w:val="left"/>
        <w:rPr>
          <w:rFonts w:ascii="宋体" w:hAnsi="宋体"/>
        </w:rPr>
      </w:pPr>
      <w:r>
        <w:rPr>
          <w:rFonts w:ascii="宋体" w:hAnsi="宋体"/>
          <w:lang w:bidi="ar"/>
        </w:rPr>
        <w:t>8</w:t>
      </w:r>
      <w:r>
        <w:rPr>
          <w:rFonts w:hint="eastAsia" w:ascii="宋体" w:hAnsi="宋体"/>
          <w:lang w:bidi="ar"/>
        </w:rPr>
        <w:t>、港股通投资持有外币证券资产估值涉及到的主要货币对人民币汇率，以估值日中国人民银行或其授权机构公布的人民币汇率中间价或其他能反映公允价值的汇率为准。</w:t>
      </w:r>
    </w:p>
    <w:p>
      <w:pPr>
        <w:widowControl/>
        <w:spacing w:line="360" w:lineRule="auto"/>
        <w:ind w:firstLine="420" w:firstLineChars="200"/>
        <w:jc w:val="left"/>
        <w:rPr>
          <w:rFonts w:ascii="宋体" w:hAnsi="宋体"/>
        </w:rPr>
      </w:pPr>
      <w:r>
        <w:rPr>
          <w:rFonts w:ascii="宋体" w:hAnsi="宋体"/>
          <w:lang w:bidi="ar"/>
        </w:rPr>
        <w:t>9</w:t>
      </w:r>
      <w:r>
        <w:rPr>
          <w:rFonts w:hint="eastAsia" w:ascii="宋体" w:hAnsi="宋体"/>
          <w:lang w:bidi="ar"/>
        </w:rPr>
        <w:t>、本基金投资存托凭证的估值核算，依照境内上市交易的股票进行。</w:t>
      </w:r>
    </w:p>
    <w:p>
      <w:pPr>
        <w:widowControl/>
        <w:spacing w:line="360" w:lineRule="auto"/>
        <w:ind w:firstLine="420" w:firstLineChars="200"/>
        <w:jc w:val="left"/>
        <w:rPr>
          <w:rFonts w:hint="eastAsia" w:ascii="宋体" w:hAnsi="宋体"/>
          <w:bCs w:val="0"/>
          <w:sz w:val="21"/>
          <w:lang w:bidi="ar"/>
        </w:rPr>
      </w:pPr>
      <w:r>
        <w:rPr>
          <w:rFonts w:ascii="宋体" w:hAnsi="宋体"/>
          <w:lang w:bidi="ar"/>
        </w:rPr>
        <w:t>10</w:t>
      </w:r>
      <w:r>
        <w:rPr>
          <w:rFonts w:hint="eastAsia" w:ascii="宋体" w:hAnsi="宋体"/>
          <w:lang w:bidi="ar"/>
        </w:rPr>
        <w:t>、</w:t>
      </w:r>
      <w:r>
        <w:rPr>
          <w:rFonts w:hint="eastAsia" w:ascii="宋体" w:hAnsi="宋体"/>
          <w:bCs w:val="0"/>
          <w:sz w:val="21"/>
          <w:lang w:bidi="ar"/>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widowControl/>
        <w:spacing w:line="360" w:lineRule="auto"/>
        <w:ind w:firstLine="420" w:firstLineChars="200"/>
        <w:jc w:val="left"/>
        <w:rPr>
          <w:rFonts w:ascii="宋体" w:hAnsi="宋体"/>
        </w:rPr>
      </w:pPr>
      <w:r>
        <w:rPr>
          <w:rFonts w:hint="eastAsia" w:ascii="宋体" w:hAnsi="宋体"/>
          <w:bCs w:val="0"/>
          <w:sz w:val="21"/>
          <w:lang w:val="en-US" w:eastAsia="zh-CN" w:bidi="ar"/>
        </w:rPr>
        <w:t>11、</w:t>
      </w:r>
      <w:r>
        <w:rPr>
          <w:rFonts w:hint="eastAsia" w:ascii="宋体" w:hAnsi="宋体"/>
          <w:lang w:bidi="ar"/>
        </w:rPr>
        <w:t>其他资产按法律法规或监管机构有关规定进行估值。</w:t>
      </w:r>
    </w:p>
    <w:p>
      <w:pPr>
        <w:widowControl/>
        <w:spacing w:line="360" w:lineRule="auto"/>
        <w:ind w:firstLine="420" w:firstLineChars="200"/>
        <w:jc w:val="left"/>
        <w:rPr>
          <w:rFonts w:ascii="宋体" w:hAnsi="宋体"/>
        </w:rPr>
      </w:pPr>
      <w:r>
        <w:rPr>
          <w:rFonts w:ascii="宋体" w:hAnsi="宋体"/>
          <w:lang w:bidi="ar"/>
        </w:rPr>
        <w:t>1</w:t>
      </w:r>
      <w:r>
        <w:rPr>
          <w:rFonts w:hint="eastAsia" w:ascii="宋体" w:hAnsi="宋体"/>
          <w:lang w:val="en-US" w:eastAsia="zh-CN" w:bidi="ar"/>
        </w:rPr>
        <w:t>2</w:t>
      </w:r>
      <w:r>
        <w:rPr>
          <w:rFonts w:hint="eastAsia" w:ascii="宋体" w:hAnsi="宋体"/>
          <w:lang w:bidi="ar"/>
        </w:rPr>
        <w:t>、如有确凿证据表明按上述方法进行估值不能客观反映其公允价值的，基金管理人可根据具体情况与基金托管人商定后，按最能反映公允价值的价格估值。</w:t>
      </w:r>
    </w:p>
    <w:p>
      <w:pPr>
        <w:widowControl/>
        <w:spacing w:line="360" w:lineRule="auto"/>
        <w:ind w:firstLine="420" w:firstLineChars="200"/>
        <w:jc w:val="left"/>
        <w:rPr>
          <w:rFonts w:ascii="宋体" w:hAnsi="宋体"/>
        </w:rPr>
      </w:pPr>
      <w:r>
        <w:rPr>
          <w:rFonts w:ascii="宋体" w:hAnsi="宋体"/>
          <w:lang w:bidi="ar"/>
        </w:rPr>
        <w:t>1</w:t>
      </w:r>
      <w:r>
        <w:rPr>
          <w:rFonts w:hint="eastAsia" w:ascii="宋体" w:hAnsi="宋体"/>
          <w:lang w:val="en-US" w:eastAsia="zh-CN" w:bidi="ar"/>
        </w:rPr>
        <w:t>3</w:t>
      </w:r>
      <w:r>
        <w:rPr>
          <w:rFonts w:hint="eastAsia" w:ascii="宋体" w:hAnsi="宋体"/>
          <w:lang w:bidi="ar"/>
        </w:rPr>
        <w:t>、当发生大额申购或赎回情形时，基金管理人可以采用摆动定价机制，以确保基金估值的公平性，具体处理原则与操作规范遵循相关法律法规以及监管部门、自律规则的规定。</w:t>
      </w:r>
    </w:p>
    <w:p>
      <w:pPr>
        <w:spacing w:line="360" w:lineRule="auto"/>
        <w:ind w:firstLine="420" w:firstLineChars="200"/>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、相关法律法规以及监管部门有强制规定的，从其规定。如有新增事项，按国家最新规定估值。</w:t>
      </w:r>
    </w:p>
    <w:p>
      <w:pPr>
        <w:spacing w:line="360" w:lineRule="auto"/>
        <w:ind w:firstLine="420" w:firstLineChars="200"/>
        <w:rPr>
          <w:rFonts w:ascii="宋体" w:hAnsi="宋体"/>
        </w:rPr>
      </w:pPr>
      <w:r>
        <w:rPr>
          <w:rFonts w:hint="eastAsia" w:ascii="宋体" w:hAnsi="宋体"/>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20" w:firstLineChars="200"/>
        <w:rPr>
          <w:rFonts w:ascii="宋体" w:hAnsi="宋体"/>
        </w:rPr>
      </w:pPr>
      <w:r>
        <w:rPr>
          <w:rFonts w:hint="eastAsia" w:ascii="宋体" w:hAnsi="宋体"/>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spacing w:line="360" w:lineRule="auto"/>
        <w:ind w:firstLine="420" w:firstLineChars="200"/>
        <w:rPr>
          <w:rFonts w:ascii="宋体" w:hAnsi="宋体"/>
        </w:rPr>
      </w:pPr>
      <w:r>
        <w:rPr>
          <w:rFonts w:hint="eastAsia" w:ascii="宋体" w:hAnsi="宋体"/>
        </w:rPr>
        <w:t>（五）估值程序</w:t>
      </w:r>
    </w:p>
    <w:p>
      <w:pPr>
        <w:spacing w:line="360" w:lineRule="auto"/>
        <w:ind w:firstLine="420" w:firstLineChars="200"/>
        <w:rPr>
          <w:rFonts w:ascii="宋体" w:hAnsi="宋体"/>
        </w:rPr>
      </w:pPr>
      <w:r>
        <w:rPr>
          <w:rFonts w:ascii="宋体" w:hAnsi="宋体"/>
        </w:rPr>
        <w:t>1</w:t>
      </w:r>
      <w:r>
        <w:rPr>
          <w:rFonts w:hint="eastAsia" w:ascii="宋体" w:hAnsi="宋体"/>
        </w:rPr>
        <w:t>、各类基金份额净值是按照每个工作日闭市后，各类基金资产净值除以当日相应类别基金份额的余额数量计算，均精确到</w:t>
      </w:r>
      <w:r>
        <w:rPr>
          <w:rFonts w:ascii="宋体" w:hAnsi="宋体"/>
        </w:rPr>
        <w:t>0.0001</w:t>
      </w:r>
      <w:r>
        <w:rPr>
          <w:rFonts w:hint="eastAsia" w:ascii="宋体" w:hAnsi="宋体"/>
        </w:rPr>
        <w:t>元，小数点后第</w:t>
      </w:r>
      <w:r>
        <w:rPr>
          <w:rFonts w:ascii="宋体" w:hAnsi="宋体"/>
        </w:rPr>
        <w:t>5</w:t>
      </w:r>
      <w:r>
        <w:rPr>
          <w:rFonts w:hint="eastAsia" w:ascii="宋体" w:hAnsi="宋体"/>
        </w:rPr>
        <w:t>位四舍五入，由此产生的误差计入基金财产。基金管理人可以设立大额赎回情形下的净值精度应急调整机制。国家另有规定的，从其规定。</w:t>
      </w:r>
    </w:p>
    <w:p>
      <w:pPr>
        <w:spacing w:line="360" w:lineRule="auto"/>
        <w:ind w:firstLine="420" w:firstLineChars="200"/>
        <w:rPr>
          <w:rFonts w:ascii="宋体" w:hAnsi="宋体"/>
        </w:rPr>
      </w:pPr>
      <w:r>
        <w:rPr>
          <w:rFonts w:hint="eastAsia" w:ascii="宋体" w:hAnsi="宋体"/>
        </w:rPr>
        <w:t>基金管理人每个工作日计算基金资产净值及各类基金份额净值，并按规定公告。</w:t>
      </w:r>
    </w:p>
    <w:p>
      <w:pPr>
        <w:spacing w:line="360" w:lineRule="auto"/>
        <w:ind w:firstLine="420" w:firstLineChars="200"/>
        <w:rPr>
          <w:rFonts w:ascii="宋体" w:hAnsi="宋体"/>
        </w:rPr>
      </w:pPr>
      <w:r>
        <w:rPr>
          <w:rFonts w:ascii="宋体" w:hAnsi="宋体"/>
        </w:rPr>
        <w:t>2</w:t>
      </w:r>
      <w:r>
        <w:rPr>
          <w:rFonts w:hint="eastAsia" w:ascii="宋体" w:hAnsi="宋体"/>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pPr>
        <w:spacing w:line="360" w:lineRule="auto"/>
        <w:ind w:firstLine="420" w:firstLineChars="200"/>
        <w:rPr>
          <w:rFonts w:ascii="宋体" w:hAnsi="宋体"/>
        </w:rPr>
      </w:pPr>
      <w:r>
        <w:rPr>
          <w:rFonts w:hint="eastAsia" w:ascii="宋体" w:hAnsi="宋体"/>
        </w:rPr>
        <w:t>（六）估值错误的处理</w:t>
      </w:r>
    </w:p>
    <w:p>
      <w:pPr>
        <w:spacing w:line="360" w:lineRule="auto"/>
        <w:ind w:firstLine="420" w:firstLineChars="200"/>
        <w:rPr>
          <w:rFonts w:ascii="宋体" w:hAnsi="宋体"/>
        </w:rPr>
      </w:pPr>
      <w:r>
        <w:rPr>
          <w:rFonts w:hint="eastAsia" w:ascii="宋体" w:hAnsi="宋体"/>
        </w:rPr>
        <w:t>基金管理人和基金托管人将采取必要、适当、合理的措施确保基金资产估值的准确性、及时性。当任一类基金份额净值小数点后4位以内(含第4位)发生估值错误时，视为该类基金份额净值错误。</w:t>
      </w:r>
    </w:p>
    <w:p>
      <w:pPr>
        <w:spacing w:line="360" w:lineRule="auto"/>
        <w:ind w:firstLine="420" w:firstLineChars="200"/>
        <w:rPr>
          <w:rFonts w:ascii="宋体" w:hAnsi="宋体"/>
        </w:rPr>
      </w:pPr>
      <w:r>
        <w:rPr>
          <w:rFonts w:hint="eastAsia" w:ascii="宋体" w:hAnsi="宋体"/>
        </w:rPr>
        <w:t>基金合同的当事人应按照以下约定处理：</w:t>
      </w:r>
    </w:p>
    <w:p>
      <w:pPr>
        <w:spacing w:line="360" w:lineRule="auto"/>
        <w:ind w:firstLine="420" w:firstLineChars="200"/>
        <w:rPr>
          <w:rFonts w:ascii="宋体" w:hAnsi="宋体"/>
        </w:rPr>
      </w:pPr>
      <w:r>
        <w:rPr>
          <w:rFonts w:hint="eastAsia" w:ascii="宋体" w:hAnsi="宋体"/>
        </w:rPr>
        <w:t>1、估值错误类型</w:t>
      </w:r>
    </w:p>
    <w:p>
      <w:pPr>
        <w:spacing w:line="360" w:lineRule="auto"/>
        <w:ind w:firstLine="420" w:firstLineChars="200"/>
        <w:rPr>
          <w:rFonts w:ascii="宋体" w:hAnsi="宋体"/>
        </w:rPr>
      </w:pPr>
      <w:r>
        <w:rPr>
          <w:rFonts w:hint="eastAsia" w:ascii="宋体" w:hAnsi="宋体"/>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20" w:firstLineChars="200"/>
        <w:rPr>
          <w:rFonts w:ascii="宋体" w:hAnsi="宋体"/>
        </w:rPr>
      </w:pPr>
      <w:r>
        <w:rPr>
          <w:rFonts w:hint="eastAsia" w:ascii="宋体" w:hAnsi="宋体"/>
        </w:rPr>
        <w:t>上述估值错误的主要类型包括但不限于：资料申报差错、数据传输差错、数据计算差错、系统故障差错、下达指令差错等。</w:t>
      </w:r>
    </w:p>
    <w:p>
      <w:pPr>
        <w:spacing w:line="360" w:lineRule="auto"/>
        <w:ind w:firstLine="420" w:firstLineChars="200"/>
        <w:rPr>
          <w:rFonts w:ascii="宋体" w:hAnsi="宋体"/>
        </w:rPr>
      </w:pPr>
      <w:r>
        <w:rPr>
          <w:rFonts w:hint="eastAsia" w:ascii="宋体" w:hAnsi="宋体"/>
        </w:rPr>
        <w:t>2、估值错误处理原则</w:t>
      </w:r>
    </w:p>
    <w:p>
      <w:pPr>
        <w:spacing w:line="360" w:lineRule="auto"/>
        <w:ind w:firstLine="420" w:firstLineChars="200"/>
        <w:rPr>
          <w:rFonts w:ascii="宋体" w:hAnsi="宋体"/>
        </w:rPr>
      </w:pPr>
      <w:r>
        <w:rPr>
          <w:rFonts w:hint="eastAsia" w:ascii="宋体" w:hAnsi="宋体"/>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20" w:firstLineChars="200"/>
        <w:rPr>
          <w:rFonts w:ascii="宋体" w:hAnsi="宋体"/>
        </w:rPr>
      </w:pPr>
      <w:r>
        <w:rPr>
          <w:rFonts w:hint="eastAsia" w:ascii="宋体" w:hAnsi="宋体"/>
        </w:rPr>
        <w:t>（2）估值错误的责任方对有关当事人的直接损失负责，不对间接损失负责，并且仅对估值错误的有关直接当事人负责，不对第三方负责。</w:t>
      </w:r>
    </w:p>
    <w:p>
      <w:pPr>
        <w:spacing w:line="360" w:lineRule="auto"/>
        <w:ind w:firstLine="420" w:firstLineChars="200"/>
        <w:rPr>
          <w:rFonts w:ascii="宋体" w:hAnsi="宋体"/>
        </w:rPr>
      </w:pPr>
      <w:r>
        <w:rPr>
          <w:rFonts w:hint="eastAsia" w:ascii="宋体" w:hAnsi="宋体"/>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20" w:firstLineChars="200"/>
        <w:rPr>
          <w:rFonts w:ascii="宋体" w:hAnsi="宋体"/>
        </w:rPr>
      </w:pPr>
      <w:r>
        <w:rPr>
          <w:rFonts w:hint="eastAsia" w:ascii="宋体" w:hAnsi="宋体"/>
        </w:rPr>
        <w:t>（4）估值错误调整采用尽量恢复至假设未发生估值错误的正确情形的方式。</w:t>
      </w:r>
    </w:p>
    <w:p>
      <w:pPr>
        <w:spacing w:line="360" w:lineRule="auto"/>
        <w:ind w:firstLine="420" w:firstLineChars="200"/>
        <w:rPr>
          <w:rFonts w:ascii="宋体" w:hAnsi="宋体"/>
        </w:rPr>
      </w:pPr>
      <w:r>
        <w:rPr>
          <w:rFonts w:hint="eastAsia" w:ascii="宋体" w:hAnsi="宋体"/>
        </w:rPr>
        <w:t>3、估值错误处理程序</w:t>
      </w:r>
    </w:p>
    <w:p>
      <w:pPr>
        <w:spacing w:line="360" w:lineRule="auto"/>
        <w:ind w:firstLine="420" w:firstLineChars="200"/>
        <w:rPr>
          <w:rFonts w:ascii="宋体" w:hAnsi="宋体"/>
        </w:rPr>
      </w:pPr>
      <w:r>
        <w:rPr>
          <w:rFonts w:hint="eastAsia" w:ascii="宋体" w:hAnsi="宋体"/>
        </w:rPr>
        <w:t>估值错误被发现后，有关的当事人应当及时进行处理，处理的程序如下：</w:t>
      </w:r>
    </w:p>
    <w:p>
      <w:pPr>
        <w:spacing w:line="360" w:lineRule="auto"/>
        <w:ind w:firstLine="420" w:firstLineChars="200"/>
        <w:rPr>
          <w:rFonts w:ascii="宋体" w:hAnsi="宋体"/>
        </w:rPr>
      </w:pPr>
      <w:r>
        <w:rPr>
          <w:rFonts w:hint="eastAsia" w:ascii="宋体" w:hAnsi="宋体"/>
        </w:rPr>
        <w:t>（1）查明估值错误发生的原因，列明所有的当事人，并根据估值错误发生的原因确定估值错误的责任方；</w:t>
      </w:r>
    </w:p>
    <w:p>
      <w:pPr>
        <w:spacing w:line="360" w:lineRule="auto"/>
        <w:ind w:firstLine="420" w:firstLineChars="200"/>
        <w:rPr>
          <w:rFonts w:ascii="宋体" w:hAnsi="宋体"/>
        </w:rPr>
      </w:pPr>
      <w:r>
        <w:rPr>
          <w:rFonts w:hint="eastAsia" w:ascii="宋体" w:hAnsi="宋体"/>
        </w:rPr>
        <w:t>（2）根据估值错误处理原则或当事人协商的方法对因估值错误造成的损失进行评估；</w:t>
      </w:r>
    </w:p>
    <w:p>
      <w:pPr>
        <w:spacing w:line="360" w:lineRule="auto"/>
        <w:ind w:firstLine="420" w:firstLineChars="200"/>
        <w:rPr>
          <w:rFonts w:ascii="宋体" w:hAnsi="宋体"/>
        </w:rPr>
      </w:pPr>
      <w:r>
        <w:rPr>
          <w:rFonts w:hint="eastAsia" w:ascii="宋体" w:hAnsi="宋体"/>
        </w:rPr>
        <w:t>（3）根据估值错误处理原则或当事人协商的方法由估值错误的责任方进行更正和赔偿损失；</w:t>
      </w:r>
    </w:p>
    <w:p>
      <w:pPr>
        <w:spacing w:line="360" w:lineRule="auto"/>
        <w:ind w:firstLine="420" w:firstLineChars="200"/>
        <w:rPr>
          <w:rFonts w:ascii="宋体" w:hAnsi="宋体"/>
        </w:rPr>
      </w:pPr>
      <w:r>
        <w:rPr>
          <w:rFonts w:hint="eastAsia" w:ascii="宋体" w:hAnsi="宋体"/>
        </w:rPr>
        <w:t>（4）根据估值错误处理的方法，需要修改基金登记机构交易数据的，由基金登记机构进行更正，并就估值错误的更正向有关当事人进行确认。</w:t>
      </w:r>
    </w:p>
    <w:p>
      <w:pPr>
        <w:spacing w:line="360" w:lineRule="auto"/>
        <w:ind w:firstLine="420" w:firstLineChars="200"/>
        <w:rPr>
          <w:rFonts w:ascii="宋体" w:hAnsi="宋体"/>
        </w:rPr>
      </w:pPr>
      <w:r>
        <w:rPr>
          <w:rFonts w:hint="eastAsia" w:ascii="宋体" w:hAnsi="宋体"/>
        </w:rPr>
        <w:t>4、基金份额净值估值错误处理的方法如下：</w:t>
      </w:r>
    </w:p>
    <w:p>
      <w:pPr>
        <w:spacing w:line="360" w:lineRule="auto"/>
        <w:ind w:firstLine="420" w:firstLineChars="200"/>
        <w:rPr>
          <w:rFonts w:ascii="宋体" w:hAnsi="宋体"/>
        </w:rPr>
      </w:pPr>
      <w:r>
        <w:rPr>
          <w:rFonts w:hint="eastAsia" w:ascii="宋体" w:hAnsi="宋体"/>
        </w:rPr>
        <w:t>（1）任一类基金份额净值计算出现错误时，基金管理人应当立即予以纠正，通报基金托管人，并采取合理的措施防止损失进一步扩大。</w:t>
      </w:r>
    </w:p>
    <w:p>
      <w:pPr>
        <w:spacing w:line="360" w:lineRule="auto"/>
        <w:ind w:firstLine="420" w:firstLineChars="200"/>
        <w:rPr>
          <w:rFonts w:ascii="宋体" w:hAnsi="宋体"/>
        </w:rPr>
      </w:pPr>
      <w:r>
        <w:rPr>
          <w:rFonts w:hint="eastAsia" w:ascii="宋体" w:hAnsi="宋体"/>
        </w:rPr>
        <w:t>（2）错误偏差达到该类基金份额净值的0.25%时，基金管理人应当通报基金托管人并报中国证监会备案；错误偏差达到该类基金份额净值的0.5%时，基金管理人应当公告、通报基金托管人并报中国证监会备案。</w:t>
      </w:r>
    </w:p>
    <w:p>
      <w:pPr>
        <w:spacing w:line="360" w:lineRule="auto"/>
        <w:ind w:firstLine="420" w:firstLineChars="200"/>
        <w:rPr>
          <w:rFonts w:ascii="宋体" w:hAnsi="宋体"/>
        </w:rPr>
      </w:pPr>
      <w:r>
        <w:rPr>
          <w:rFonts w:hint="eastAsia" w:ascii="宋体" w:hAnsi="宋体"/>
        </w:rPr>
        <w:t>（3）当基金份额净值计算差错给基金和基金份额持有人造成损失需要进行赔偿时，基金管理人和基金托管人应根据实际情况界定双方承担的责任，经确认后按以下条款进行赔偿：</w:t>
      </w:r>
    </w:p>
    <w:p>
      <w:pPr>
        <w:spacing w:line="360" w:lineRule="auto"/>
        <w:ind w:firstLine="420" w:firstLineChars="200"/>
        <w:rPr>
          <w:rFonts w:ascii="宋体" w:hAnsi="宋体"/>
        </w:rPr>
      </w:pPr>
      <w:r>
        <w:rPr>
          <w:rFonts w:hint="eastAsia" w:ascii="宋体" w:hAnsi="宋体"/>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spacing w:line="360" w:lineRule="auto"/>
        <w:ind w:firstLine="420" w:firstLineChars="200"/>
        <w:rPr>
          <w:rFonts w:ascii="宋体" w:hAnsi="宋体"/>
        </w:rPr>
      </w:pPr>
      <w:r>
        <w:rPr>
          <w:rFonts w:hint="eastAsia" w:ascii="宋体" w:hAnsi="宋体"/>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pPr>
        <w:spacing w:line="360" w:lineRule="auto"/>
        <w:ind w:firstLine="420" w:firstLineChars="200"/>
        <w:rPr>
          <w:rFonts w:ascii="宋体" w:hAnsi="宋体"/>
        </w:rPr>
      </w:pPr>
      <w:r>
        <w:rPr>
          <w:rFonts w:hint="eastAsia" w:ascii="宋体" w:hAnsi="宋体"/>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以及因该交易日基金资产净值计算顺延错误而引起的损失，由基金管理人负责赔付。</w:t>
      </w:r>
    </w:p>
    <w:p>
      <w:pPr>
        <w:spacing w:line="360" w:lineRule="auto"/>
        <w:ind w:firstLine="420" w:firstLineChars="200"/>
        <w:rPr>
          <w:rFonts w:ascii="宋体" w:hAnsi="宋体"/>
        </w:rPr>
      </w:pPr>
      <w:r>
        <w:rPr>
          <w:rFonts w:hint="eastAsia" w:ascii="宋体" w:hAnsi="宋体"/>
        </w:rPr>
        <w:t>④由于基金管理人提供的信息错误（包括但不限于基金申购或赎回金额等），基金托管人在履行正常复核程序后仍不能发现该错误，进而导致基金份额净值计算错误而引起的基金份额持有人和基金财产的损失，由基金管理人负责赔付。</w:t>
      </w:r>
    </w:p>
    <w:p>
      <w:pPr>
        <w:spacing w:line="360" w:lineRule="auto"/>
        <w:ind w:firstLine="420" w:firstLineChars="200"/>
        <w:rPr>
          <w:rFonts w:ascii="宋体" w:hAnsi="宋体"/>
        </w:rPr>
      </w:pPr>
      <w:r>
        <w:rPr>
          <w:rFonts w:hint="eastAsia" w:ascii="宋体" w:hAnsi="宋体"/>
        </w:rPr>
        <w:t>（4）前述内容如法律法规或监管机关另有规定的，从其规定处理。如果行业有通行做法，在不违反法律法规且不损害投资者利益的前提下，基金管理人和基金托管人应本着平等和保护基金份额持有人利益的原则重新协商确定处理原则。</w:t>
      </w:r>
    </w:p>
    <w:p>
      <w:pPr>
        <w:spacing w:line="360" w:lineRule="auto"/>
        <w:ind w:firstLine="420" w:firstLineChars="200"/>
        <w:rPr>
          <w:rFonts w:ascii="宋体" w:hAnsi="宋体"/>
        </w:rPr>
      </w:pPr>
      <w:r>
        <w:rPr>
          <w:rFonts w:hint="eastAsia" w:ascii="宋体" w:hAnsi="宋体"/>
        </w:rPr>
        <w:t>（七）暂停估值的情形</w:t>
      </w:r>
    </w:p>
    <w:p>
      <w:pPr>
        <w:spacing w:line="360" w:lineRule="auto"/>
        <w:ind w:firstLine="420" w:firstLineChars="200"/>
        <w:rPr>
          <w:rFonts w:ascii="宋体" w:hAnsi="宋体"/>
        </w:rPr>
      </w:pPr>
      <w:r>
        <w:rPr>
          <w:rFonts w:hint="eastAsia" w:ascii="宋体" w:hAnsi="宋体"/>
        </w:rPr>
        <w:t>1、基金投资所涉及的证券交易市场、期货交易市场或外汇市场遇法定节假日或因其他原因暂停营业时；</w:t>
      </w:r>
    </w:p>
    <w:p>
      <w:pPr>
        <w:spacing w:line="360" w:lineRule="auto"/>
        <w:ind w:firstLine="420" w:firstLineChars="200"/>
        <w:rPr>
          <w:rFonts w:ascii="宋体" w:hAnsi="宋体"/>
        </w:rPr>
      </w:pPr>
      <w:r>
        <w:rPr>
          <w:rFonts w:hint="eastAsia" w:ascii="宋体" w:hAnsi="宋体"/>
        </w:rPr>
        <w:t>2、因不可抗力致使基金管理人、基金托管人无法准确评估基金资产价值时；</w:t>
      </w:r>
    </w:p>
    <w:p>
      <w:pPr>
        <w:spacing w:line="360" w:lineRule="auto"/>
        <w:ind w:firstLine="420" w:firstLineChars="200"/>
        <w:rPr>
          <w:rFonts w:ascii="宋体" w:hAnsi="宋体"/>
        </w:rPr>
      </w:pPr>
      <w:r>
        <w:rPr>
          <w:rFonts w:hint="eastAsia" w:ascii="宋体" w:hAnsi="宋体"/>
        </w:rPr>
        <w:t>3、当特定资产占前一估值日基金资产净值50%以上的，经与基金托管人协商确认后，基金管理人应当暂停估值；</w:t>
      </w:r>
    </w:p>
    <w:p>
      <w:pPr>
        <w:spacing w:line="360" w:lineRule="auto"/>
        <w:ind w:firstLine="420" w:firstLineChars="200"/>
        <w:rPr>
          <w:rFonts w:ascii="宋体" w:hAnsi="宋体"/>
        </w:rPr>
      </w:pPr>
      <w:r>
        <w:rPr>
          <w:rFonts w:hint="eastAsia" w:ascii="宋体" w:hAnsi="宋体"/>
        </w:rPr>
        <w:t>4、法律法规规定、中国证监会和基金合同认定的其它情形。</w:t>
      </w:r>
    </w:p>
    <w:p>
      <w:pPr>
        <w:spacing w:line="360" w:lineRule="auto"/>
        <w:ind w:firstLine="420" w:firstLineChars="200"/>
        <w:rPr>
          <w:rFonts w:ascii="宋体" w:hAnsi="宋体"/>
        </w:rPr>
      </w:pPr>
      <w:r>
        <w:rPr>
          <w:rFonts w:hint="eastAsia" w:ascii="宋体" w:hAnsi="宋体"/>
        </w:rPr>
        <w:t>（八）基金净值的确认</w:t>
      </w:r>
    </w:p>
    <w:p>
      <w:pPr>
        <w:spacing w:line="360" w:lineRule="auto"/>
        <w:ind w:firstLine="420" w:firstLineChars="200"/>
        <w:rPr>
          <w:rFonts w:ascii="宋体" w:hAnsi="宋体"/>
        </w:rPr>
      </w:pPr>
      <w:r>
        <w:rPr>
          <w:rFonts w:hint="eastAsia" w:ascii="宋体" w:hAnsi="宋体"/>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规定对基金净值予以公布。</w:t>
      </w:r>
    </w:p>
    <w:p>
      <w:pPr>
        <w:spacing w:line="360" w:lineRule="auto"/>
        <w:ind w:firstLine="420" w:firstLineChars="200"/>
        <w:rPr>
          <w:rFonts w:ascii="宋体" w:hAnsi="宋体"/>
        </w:rPr>
      </w:pPr>
      <w:r>
        <w:rPr>
          <w:rFonts w:hint="eastAsia" w:ascii="宋体" w:hAnsi="宋体"/>
        </w:rPr>
        <w:t>本基金在每个工作日计算基金资产净值及各类基金份额净值时，将统一按前一日基金资产净值的1.20%的年费率计算管理费，投资者实际承担的管理费将依据基金合同“第十五部分 基金费用与税收”的约定计算和收取。</w:t>
      </w:r>
    </w:p>
    <w:p>
      <w:pPr>
        <w:spacing w:line="360" w:lineRule="auto"/>
        <w:ind w:firstLine="420" w:firstLineChars="200"/>
        <w:rPr>
          <w:rFonts w:ascii="宋体" w:hAnsi="宋体"/>
        </w:rPr>
      </w:pPr>
      <w:r>
        <w:rPr>
          <w:rFonts w:hint="eastAsia" w:ascii="宋体" w:hAnsi="宋体"/>
        </w:rPr>
        <w:t>（九）特殊情况的处理</w:t>
      </w:r>
    </w:p>
    <w:p>
      <w:pPr>
        <w:spacing w:line="360" w:lineRule="auto"/>
        <w:ind w:firstLine="420" w:firstLineChars="200"/>
        <w:rPr>
          <w:rFonts w:ascii="宋体" w:hAnsi="宋体" w:cs="宋体"/>
          <w:kern w:val="0"/>
          <w:szCs w:val="21"/>
        </w:rPr>
      </w:pPr>
      <w:r>
        <w:rPr>
          <w:rFonts w:hint="eastAsia" w:ascii="宋体" w:hAnsi="宋体" w:cs="宋体"/>
          <w:kern w:val="0"/>
          <w:szCs w:val="21"/>
        </w:rPr>
        <w:t>1、基金管理人或基金托管人按估值方法的第1</w:t>
      </w:r>
      <w:r>
        <w:rPr>
          <w:rFonts w:hint="eastAsia" w:ascii="宋体" w:hAnsi="宋体" w:cs="宋体"/>
          <w:kern w:val="0"/>
          <w:szCs w:val="21"/>
          <w:lang w:val="en-US" w:eastAsia="zh-CN"/>
        </w:rPr>
        <w:t>2</w:t>
      </w:r>
      <w:r>
        <w:rPr>
          <w:rFonts w:hint="eastAsia" w:ascii="宋体" w:hAnsi="宋体" w:cs="宋体"/>
          <w:kern w:val="0"/>
          <w:szCs w:val="21"/>
        </w:rPr>
        <w:t>项进行估值时，所造成的误差不作为基金资产估值错误处理。</w:t>
      </w:r>
    </w:p>
    <w:p>
      <w:pPr>
        <w:spacing w:line="360" w:lineRule="auto"/>
        <w:ind w:firstLine="420" w:firstLineChars="200"/>
        <w:rPr>
          <w:rFonts w:ascii="宋体" w:hAnsi="宋体" w:cs="宋体"/>
          <w:kern w:val="0"/>
          <w:szCs w:val="21"/>
        </w:rPr>
      </w:pPr>
      <w:r>
        <w:rPr>
          <w:rFonts w:hint="eastAsia" w:ascii="宋体" w:hAnsi="宋体" w:cs="宋体"/>
          <w:kern w:val="0"/>
          <w:szCs w:val="21"/>
        </w:rPr>
        <w:t>2、由于不可抗力原因，或由于证券、期货交易所及期货公司、证券经纪机构等第三方机构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pPr>
        <w:spacing w:line="360" w:lineRule="auto"/>
        <w:ind w:firstLine="420" w:firstLineChars="200"/>
        <w:rPr>
          <w:rFonts w:ascii="宋体" w:hAnsi="宋体" w:cs="宋体"/>
          <w:kern w:val="0"/>
          <w:szCs w:val="21"/>
        </w:rPr>
      </w:pPr>
      <w:r>
        <w:rPr>
          <w:rFonts w:hint="eastAsia" w:ascii="宋体" w:hAnsi="宋体" w:cs="宋体"/>
          <w:kern w:val="0"/>
          <w:szCs w:val="21"/>
        </w:rPr>
        <w:t>（十）实施侧袋机制期间的基金资产估值</w:t>
      </w:r>
    </w:p>
    <w:p>
      <w:pPr>
        <w:spacing w:line="360" w:lineRule="auto"/>
        <w:ind w:firstLine="420" w:firstLineChars="200"/>
        <w:rPr>
          <w:rFonts w:ascii="宋体" w:hAnsi="宋体" w:cs="宋体"/>
          <w:kern w:val="0"/>
          <w:szCs w:val="21"/>
        </w:rPr>
      </w:pPr>
      <w:r>
        <w:rPr>
          <w:rFonts w:hint="eastAsia" w:ascii="宋体" w:hAnsi="宋体" w:cs="宋体"/>
          <w:kern w:val="0"/>
          <w:szCs w:val="21"/>
        </w:rPr>
        <w:t>本基金实施侧袋机制的，应根据本部分的约定对主袋账户资产进行估值并披露主袋账户的基金净值信息，暂停披露侧袋账户的基金净值信息。</w:t>
      </w:r>
    </w:p>
    <w:bookmarkEnd w:id="166"/>
    <w:p>
      <w:pPr>
        <w:pStyle w:val="4"/>
        <w:spacing w:before="400" w:after="400"/>
        <w:rPr>
          <w:rFonts w:hAnsi="宋体"/>
          <w:sz w:val="32"/>
        </w:rPr>
      </w:pPr>
      <w:r>
        <w:br w:type="page"/>
      </w:r>
      <w:bookmarkStart w:id="173" w:name="_Toc203806298"/>
      <w:bookmarkStart w:id="174" w:name="_Toc116052558"/>
      <w:bookmarkStart w:id="175" w:name="_Toc55987068"/>
      <w:bookmarkStart w:id="176" w:name="_Toc116052792"/>
      <w:bookmarkStart w:id="177" w:name="_Toc203357163"/>
      <w:r>
        <w:rPr>
          <w:rFonts w:hAnsi="宋体"/>
          <w:sz w:val="32"/>
        </w:rPr>
        <w:t>十</w:t>
      </w:r>
      <w:r>
        <w:rPr>
          <w:rFonts w:hint="eastAsia" w:hAnsi="宋体"/>
          <w:sz w:val="32"/>
        </w:rPr>
        <w:t>二</w:t>
      </w:r>
      <w:r>
        <w:rPr>
          <w:rFonts w:hAnsi="宋体"/>
          <w:sz w:val="32"/>
        </w:rPr>
        <w:t>、基金的</w:t>
      </w:r>
      <w:r>
        <w:rPr>
          <w:rFonts w:hint="eastAsia" w:hAnsi="宋体"/>
          <w:sz w:val="32"/>
        </w:rPr>
        <w:t>费用</w:t>
      </w:r>
      <w:r>
        <w:rPr>
          <w:rFonts w:hAnsi="宋体"/>
          <w:sz w:val="32"/>
        </w:rPr>
        <w:t>与</w:t>
      </w:r>
      <w:r>
        <w:rPr>
          <w:rFonts w:hint="eastAsia" w:hAnsi="宋体"/>
          <w:sz w:val="32"/>
        </w:rPr>
        <w:t>税收</w:t>
      </w:r>
      <w:bookmarkEnd w:id="173"/>
      <w:bookmarkEnd w:id="174"/>
      <w:bookmarkEnd w:id="175"/>
      <w:bookmarkEnd w:id="176"/>
      <w:bookmarkEnd w:id="177"/>
    </w:p>
    <w:p>
      <w:pPr>
        <w:spacing w:line="360" w:lineRule="auto"/>
        <w:ind w:firstLine="420" w:firstLineChars="200"/>
        <w:rPr>
          <w:rFonts w:ascii="宋体" w:hAnsi="宋体" w:cs="宋体"/>
          <w:kern w:val="0"/>
          <w:szCs w:val="21"/>
        </w:rPr>
      </w:pPr>
      <w:bookmarkStart w:id="178" w:name="OLE_LINK26"/>
      <w:bookmarkStart w:id="179" w:name="_Toc88037854"/>
      <w:bookmarkStart w:id="180" w:name="_Toc91924167"/>
      <w:r>
        <w:rPr>
          <w:rFonts w:hint="eastAsia" w:ascii="宋体" w:hAnsi="宋体" w:cs="宋体"/>
          <w:kern w:val="0"/>
          <w:szCs w:val="21"/>
        </w:rPr>
        <w:t>（一）基金费用的种类</w:t>
      </w:r>
    </w:p>
    <w:p>
      <w:pPr>
        <w:spacing w:line="360" w:lineRule="auto"/>
        <w:ind w:firstLine="420" w:firstLineChars="200"/>
        <w:rPr>
          <w:rFonts w:ascii="宋体" w:hAnsi="宋体" w:cs="宋体"/>
          <w:kern w:val="0"/>
          <w:szCs w:val="21"/>
        </w:rPr>
      </w:pPr>
      <w:r>
        <w:rPr>
          <w:rFonts w:hint="eastAsia" w:ascii="宋体" w:hAnsi="宋体" w:cs="宋体"/>
          <w:kern w:val="0"/>
          <w:szCs w:val="21"/>
        </w:rPr>
        <w:t>1、基金管理人的管理费（包括固定管理费、或有管理费和超额管理费）；</w:t>
      </w:r>
    </w:p>
    <w:p>
      <w:pPr>
        <w:spacing w:line="360" w:lineRule="auto"/>
        <w:ind w:firstLine="420" w:firstLineChars="200"/>
        <w:rPr>
          <w:rFonts w:ascii="宋体" w:hAnsi="宋体" w:cs="宋体"/>
          <w:kern w:val="0"/>
          <w:szCs w:val="21"/>
        </w:rPr>
      </w:pPr>
      <w:r>
        <w:rPr>
          <w:rFonts w:hint="eastAsia" w:ascii="宋体" w:hAnsi="宋体" w:cs="宋体"/>
          <w:kern w:val="0"/>
          <w:szCs w:val="21"/>
        </w:rPr>
        <w:t>2、基金托管人的托管费；</w:t>
      </w:r>
    </w:p>
    <w:p>
      <w:pPr>
        <w:spacing w:line="360" w:lineRule="auto"/>
        <w:ind w:firstLine="420" w:firstLineChars="200"/>
        <w:rPr>
          <w:rFonts w:ascii="宋体" w:hAnsi="宋体" w:cs="宋体"/>
          <w:kern w:val="0"/>
          <w:szCs w:val="21"/>
        </w:rPr>
      </w:pPr>
      <w:r>
        <w:rPr>
          <w:rFonts w:hint="eastAsia" w:ascii="宋体" w:hAnsi="宋体" w:cs="宋体"/>
          <w:kern w:val="0"/>
          <w:szCs w:val="21"/>
        </w:rPr>
        <w:t>3、销售服务费；</w:t>
      </w:r>
    </w:p>
    <w:p>
      <w:pPr>
        <w:spacing w:line="360" w:lineRule="auto"/>
        <w:ind w:firstLine="420" w:firstLineChars="200"/>
        <w:rPr>
          <w:rFonts w:ascii="宋体" w:hAnsi="宋体" w:cs="宋体"/>
          <w:kern w:val="0"/>
          <w:szCs w:val="21"/>
        </w:rPr>
      </w:pPr>
      <w:r>
        <w:rPr>
          <w:rFonts w:ascii="宋体" w:hAnsi="宋体" w:cs="宋体"/>
          <w:kern w:val="0"/>
          <w:szCs w:val="21"/>
        </w:rPr>
        <w:t>4</w:t>
      </w:r>
      <w:r>
        <w:rPr>
          <w:rFonts w:hint="eastAsia" w:ascii="宋体" w:hAnsi="宋体" w:cs="宋体"/>
          <w:kern w:val="0"/>
          <w:szCs w:val="21"/>
        </w:rPr>
        <w:t>、除法律法规、中国证监会另有规定外，《基金合同》生效后与基金相关的信息披露费用；</w:t>
      </w:r>
    </w:p>
    <w:p>
      <w:pPr>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、《基金合同》生效后与基金相关的会计师费、公证费、律师费、仲裁费和诉讼费；</w:t>
      </w:r>
    </w:p>
    <w:p>
      <w:pPr>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、基金份额持有人大会费用；</w:t>
      </w:r>
    </w:p>
    <w:p>
      <w:pPr>
        <w:spacing w:line="360" w:lineRule="auto"/>
        <w:ind w:firstLine="420" w:firstLineChars="200"/>
        <w:rPr>
          <w:rFonts w:ascii="宋体" w:hAnsi="宋体" w:cs="宋体"/>
          <w:kern w:val="0"/>
          <w:szCs w:val="21"/>
        </w:rPr>
      </w:pPr>
      <w:r>
        <w:rPr>
          <w:rFonts w:ascii="宋体" w:hAnsi="宋体" w:cs="宋体"/>
          <w:kern w:val="0"/>
          <w:szCs w:val="21"/>
        </w:rPr>
        <w:t>7</w:t>
      </w:r>
      <w:r>
        <w:rPr>
          <w:rFonts w:hint="eastAsia" w:ascii="宋体" w:hAnsi="宋体" w:cs="宋体"/>
          <w:kern w:val="0"/>
          <w:szCs w:val="21"/>
        </w:rPr>
        <w:t>、基金的证券、期货交易等费用；</w:t>
      </w:r>
    </w:p>
    <w:p>
      <w:pPr>
        <w:spacing w:line="360" w:lineRule="auto"/>
        <w:ind w:firstLine="420" w:firstLineChars="200"/>
        <w:rPr>
          <w:rFonts w:ascii="宋体" w:hAnsi="宋体" w:cs="宋体"/>
          <w:kern w:val="0"/>
          <w:szCs w:val="21"/>
        </w:rPr>
      </w:pPr>
      <w:r>
        <w:rPr>
          <w:rFonts w:ascii="宋体" w:hAnsi="宋体" w:cs="宋体"/>
          <w:kern w:val="0"/>
          <w:szCs w:val="21"/>
        </w:rPr>
        <w:t>8</w:t>
      </w:r>
      <w:r>
        <w:rPr>
          <w:rFonts w:hint="eastAsia" w:ascii="宋体" w:hAnsi="宋体" w:cs="宋体"/>
          <w:kern w:val="0"/>
          <w:szCs w:val="21"/>
        </w:rPr>
        <w:t>、基金的银行汇划费用；</w:t>
      </w:r>
    </w:p>
    <w:p>
      <w:pPr>
        <w:spacing w:line="360" w:lineRule="auto"/>
        <w:ind w:firstLine="420" w:firstLineChars="200"/>
        <w:rPr>
          <w:rFonts w:ascii="宋体" w:hAnsi="宋体" w:cs="宋体"/>
          <w:kern w:val="0"/>
          <w:szCs w:val="21"/>
        </w:rPr>
      </w:pPr>
      <w:r>
        <w:rPr>
          <w:rFonts w:ascii="宋体" w:hAnsi="宋体" w:cs="宋体"/>
          <w:kern w:val="0"/>
          <w:szCs w:val="21"/>
        </w:rPr>
        <w:t>9</w:t>
      </w:r>
      <w:r>
        <w:rPr>
          <w:rFonts w:hint="eastAsia" w:ascii="宋体" w:hAnsi="宋体" w:cs="宋体"/>
          <w:kern w:val="0"/>
          <w:szCs w:val="21"/>
        </w:rPr>
        <w:t>、基金的开户费用、账户维护费用；</w:t>
      </w:r>
    </w:p>
    <w:p>
      <w:pPr>
        <w:spacing w:line="360" w:lineRule="auto"/>
        <w:ind w:firstLine="420" w:firstLineChars="200"/>
        <w:rPr>
          <w:rFonts w:ascii="宋体" w:hAnsi="宋体" w:cs="宋体"/>
          <w:kern w:val="0"/>
          <w:szCs w:val="21"/>
        </w:rPr>
      </w:pPr>
      <w:r>
        <w:rPr>
          <w:rFonts w:ascii="宋体" w:hAnsi="宋体" w:cs="宋体"/>
          <w:kern w:val="0"/>
          <w:szCs w:val="21"/>
        </w:rPr>
        <w:t>10</w:t>
      </w:r>
      <w:r>
        <w:rPr>
          <w:rFonts w:hint="eastAsia" w:ascii="宋体" w:hAnsi="宋体" w:cs="宋体"/>
          <w:kern w:val="0"/>
          <w:szCs w:val="21"/>
        </w:rPr>
        <w:t>、因投资港股通投资标的股票而产生的各项合理费用；</w:t>
      </w:r>
    </w:p>
    <w:p>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、按照国家有关规定和《基金合同》约定，可以在基金财产中列支的其他费用。</w:t>
      </w:r>
    </w:p>
    <w:p>
      <w:pPr>
        <w:spacing w:line="360" w:lineRule="auto"/>
        <w:ind w:firstLine="420" w:firstLineChars="200"/>
        <w:rPr>
          <w:rFonts w:ascii="宋体" w:hAnsi="宋体" w:cs="宋体"/>
          <w:kern w:val="0"/>
          <w:szCs w:val="21"/>
        </w:rPr>
      </w:pPr>
      <w:r>
        <w:rPr>
          <w:rFonts w:hint="eastAsia" w:ascii="宋体" w:hAnsi="宋体" w:cs="宋体"/>
          <w:kern w:val="0"/>
          <w:szCs w:val="21"/>
        </w:rPr>
        <w:t>（二）基金费用计提方法、计提标准和支付方式</w:t>
      </w:r>
    </w:p>
    <w:p>
      <w:pPr>
        <w:spacing w:line="360" w:lineRule="auto"/>
        <w:ind w:firstLine="420" w:firstLineChars="200"/>
        <w:rPr>
          <w:rFonts w:ascii="宋体" w:hAnsi="宋体" w:cs="宋体"/>
          <w:kern w:val="0"/>
          <w:szCs w:val="21"/>
        </w:rPr>
      </w:pPr>
      <w:r>
        <w:rPr>
          <w:rFonts w:hint="eastAsia" w:ascii="宋体" w:hAnsi="宋体" w:cs="宋体"/>
          <w:kern w:val="0"/>
          <w:szCs w:val="21"/>
        </w:rPr>
        <w:t>1、基金管理人的管理费</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本基金根据每笔基金份额的持有期限与持有期间年化收益率，在赎回</w:t>
      </w:r>
      <w:bookmarkStart w:id="181" w:name="_Hlk195865221"/>
      <w:r>
        <w:rPr>
          <w:rFonts w:hint="eastAsia" w:ascii="宋体" w:hAnsi="宋体"/>
          <w:bCs/>
          <w:szCs w:val="21"/>
          <w14:ligatures w14:val="standardContextual"/>
        </w:rPr>
        <w:t>、转换转出</w:t>
      </w:r>
      <w:bookmarkEnd w:id="181"/>
      <w:r>
        <w:rPr>
          <w:rFonts w:hint="eastAsia" w:ascii="宋体" w:hAnsi="宋体"/>
          <w:bCs/>
          <w:szCs w:val="21"/>
          <w14:ligatures w14:val="standardContextual"/>
        </w:rPr>
        <w:t>基金份额</w:t>
      </w:r>
      <w:bookmarkStart w:id="182" w:name="_Hlk195865226"/>
      <w:r>
        <w:rPr>
          <w:rFonts w:hint="eastAsia" w:ascii="宋体" w:hAnsi="宋体"/>
          <w:bCs/>
          <w:szCs w:val="21"/>
          <w14:ligatures w14:val="standardContextual"/>
        </w:rPr>
        <w:t>或基金合同终止的情形发生</w:t>
      </w:r>
      <w:bookmarkEnd w:id="182"/>
      <w:r>
        <w:rPr>
          <w:rFonts w:hint="eastAsia" w:ascii="宋体" w:hAnsi="宋体"/>
          <w:bCs/>
          <w:szCs w:val="21"/>
          <w14:ligatures w14:val="standardContextual"/>
        </w:rPr>
        <w:t>时确定该笔基金份额对应的管理费。当投资者赎回</w:t>
      </w:r>
      <w:bookmarkStart w:id="183" w:name="_Hlk195865234"/>
      <w:r>
        <w:rPr>
          <w:rFonts w:hint="eastAsia" w:ascii="宋体" w:hAnsi="宋体"/>
          <w:bCs/>
          <w:szCs w:val="21"/>
          <w14:ligatures w14:val="standardContextual"/>
        </w:rPr>
        <w:t>、转换转出基金份额或基金合同终止的情形发生</w:t>
      </w:r>
      <w:bookmarkEnd w:id="183"/>
      <w:r>
        <w:rPr>
          <w:rFonts w:hint="eastAsia" w:ascii="宋体" w:hAnsi="宋体"/>
          <w:bCs/>
          <w:szCs w:val="21"/>
          <w14:ligatures w14:val="standardContextual"/>
        </w:rPr>
        <w:t>时，持有期限不足一年（即365天，下同），则按1.20%年费率收取管理费；持有期限达到一年及以上，则根据持有期间年化收益率分为以下三种情况，分别确定对应的管理费率档位：</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若持有期间相对业绩比较基准的年化超额收益率（扣除超额管理费后）超过6%且年化收益率（扣除超额管理费后）为正，按1.50%年费率确认管理费；若持有期间的年化超额收益率在-3%及以下，按0.60%年费率确认管理费；其他情形按1.20%年费率确认管理费。</w:t>
      </w:r>
    </w:p>
    <w:tbl>
      <w:tblPr>
        <w:tblStyle w:val="93"/>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pPr>
              <w:spacing w:line="276" w:lineRule="auto"/>
              <w:jc w:val="center"/>
              <w:rPr>
                <w:rFonts w:ascii="宋体" w:hAnsi="宋体"/>
                <w:b/>
                <w:szCs w:val="21"/>
                <w14:ligatures w14:val="standardContextual"/>
              </w:rPr>
            </w:pPr>
            <w:r>
              <w:rPr>
                <w:rFonts w:hint="eastAsia" w:ascii="宋体" w:hAnsi="宋体"/>
                <w:b/>
                <w:szCs w:val="21"/>
                <w14:ligatures w14:val="standardContextual"/>
              </w:rPr>
              <w:t>持有期间年化收益率（R）</w:t>
            </w:r>
          </w:p>
        </w:tc>
        <w:tc>
          <w:tcPr>
            <w:tcW w:w="2831" w:type="dxa"/>
            <w:vAlign w:val="center"/>
          </w:tcPr>
          <w:p>
            <w:pPr>
              <w:spacing w:line="276" w:lineRule="auto"/>
              <w:jc w:val="center"/>
              <w:rPr>
                <w:rFonts w:ascii="宋体" w:hAnsi="宋体"/>
                <w:b/>
                <w:szCs w:val="21"/>
                <w14:ligatures w14:val="standardContextual"/>
              </w:rPr>
            </w:pPr>
            <w:r>
              <w:rPr>
                <w:rFonts w:hint="eastAsia" w:ascii="宋体" w:hAnsi="宋体"/>
                <w:b/>
                <w:szCs w:val="21"/>
                <w14:ligatures w14:val="standardContextual"/>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827" w:type="dxa"/>
            <w:vAlign w:val="center"/>
          </w:tcPr>
          <w:p>
            <w:pPr>
              <w:spacing w:line="276" w:lineRule="auto"/>
              <w:jc w:val="center"/>
              <w:rPr>
                <w:rFonts w:ascii="宋体" w:hAnsi="宋体"/>
                <w:b/>
                <w:szCs w:val="21"/>
                <w14:ligatures w14:val="standardContextual"/>
              </w:rPr>
            </w:pPr>
            <w:r>
              <w:rPr>
                <w:rFonts w:ascii="宋体" w:hAnsi="宋体"/>
                <w:bCs/>
                <w:szCs w:val="21"/>
              </w:rPr>
              <w:t>R＞R</w:t>
            </w:r>
            <w:r>
              <w:rPr>
                <w:rFonts w:ascii="宋体" w:hAnsi="宋体"/>
                <w:spacing w:val="-2"/>
                <w:szCs w:val="21"/>
                <w:vertAlign w:val="subscript"/>
              </w:rPr>
              <w:t>b</w:t>
            </w:r>
            <w:r>
              <w:rPr>
                <w:rFonts w:ascii="宋体" w:hAnsi="宋体"/>
                <w:bCs/>
                <w:szCs w:val="21"/>
              </w:rPr>
              <w:t>+6%，R＞0</w:t>
            </w:r>
          </w:p>
        </w:tc>
        <w:tc>
          <w:tcPr>
            <w:tcW w:w="2831" w:type="dxa"/>
            <w:vAlign w:val="center"/>
          </w:tcPr>
          <w:p>
            <w:pPr>
              <w:spacing w:line="276" w:lineRule="auto"/>
              <w:jc w:val="center"/>
              <w:rPr>
                <w:rFonts w:ascii="宋体" w:hAnsi="宋体"/>
                <w:kern w:val="0"/>
                <w:szCs w:val="21"/>
                <w14:ligatures w14:val="standardContextual"/>
              </w:rPr>
            </w:pPr>
            <w:r>
              <w:rPr>
                <w:rFonts w:ascii="宋体" w:hAnsi="宋体"/>
                <w:kern w:val="0"/>
                <w:szCs w:val="21"/>
                <w14:ligatures w14:val="standardContextual"/>
              </w:rPr>
              <w:t>1.50%/</w:t>
            </w:r>
            <w:r>
              <w:rPr>
                <w:rFonts w:ascii="宋体" w:hAnsi="宋体"/>
                <w:bCs/>
                <w:kern w:val="0"/>
                <w:szCs w:val="21"/>
                <w14:ligatures w14:val="standardContextu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pPr>
              <w:spacing w:line="276" w:lineRule="auto"/>
              <w:jc w:val="center"/>
              <w:rPr>
                <w:rFonts w:ascii="宋体" w:hAnsi="宋体"/>
                <w:bCs/>
                <w:szCs w:val="21"/>
                <w14:ligatures w14:val="standardContextual"/>
              </w:rPr>
            </w:pPr>
            <w:r>
              <w:rPr>
                <w:rFonts w:ascii="宋体" w:hAnsi="宋体"/>
                <w:bCs/>
                <w:szCs w:val="21"/>
              </w:rPr>
              <w:t>R≤R</w:t>
            </w:r>
            <w:r>
              <w:rPr>
                <w:rFonts w:ascii="宋体" w:hAnsi="宋体"/>
                <w:spacing w:val="-2"/>
                <w:szCs w:val="21"/>
                <w:vertAlign w:val="subscript"/>
              </w:rPr>
              <w:t>b</w:t>
            </w:r>
            <w:r>
              <w:rPr>
                <w:rFonts w:ascii="宋体" w:hAnsi="宋体"/>
                <w:bCs/>
                <w:szCs w:val="21"/>
              </w:rPr>
              <w:t>-3%</w:t>
            </w:r>
          </w:p>
        </w:tc>
        <w:tc>
          <w:tcPr>
            <w:tcW w:w="2831" w:type="dxa"/>
            <w:vAlign w:val="center"/>
          </w:tcPr>
          <w:p>
            <w:pPr>
              <w:spacing w:line="276" w:lineRule="auto"/>
              <w:jc w:val="center"/>
              <w:rPr>
                <w:rFonts w:ascii="宋体" w:hAnsi="宋体"/>
                <w:kern w:val="0"/>
                <w:szCs w:val="21"/>
                <w14:ligatures w14:val="standardContextual"/>
              </w:rPr>
            </w:pPr>
            <w:r>
              <w:rPr>
                <w:rFonts w:ascii="宋体" w:hAnsi="宋体"/>
                <w:kern w:val="0"/>
                <w:szCs w:val="21"/>
                <w14:ligatures w14:val="standardContextual"/>
              </w:rPr>
              <w:t>0.60%/</w:t>
            </w:r>
            <w:r>
              <w:rPr>
                <w:rFonts w:ascii="宋体" w:hAnsi="宋体"/>
                <w:bCs/>
                <w:kern w:val="0"/>
                <w:szCs w:val="21"/>
                <w14:ligatures w14:val="standardContextu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pPr>
              <w:spacing w:line="276" w:lineRule="auto"/>
              <w:jc w:val="center"/>
              <w:rPr>
                <w:rFonts w:ascii="宋体" w:hAnsi="宋体"/>
                <w:bCs/>
                <w:szCs w:val="21"/>
                <w14:ligatures w14:val="standardContextual"/>
              </w:rPr>
            </w:pPr>
            <w:r>
              <w:rPr>
                <w:rFonts w:ascii="宋体" w:hAnsi="宋体"/>
                <w:bCs/>
                <w:szCs w:val="21"/>
                <w14:ligatures w14:val="standardContextual"/>
              </w:rPr>
              <w:t>其他情形</w:t>
            </w:r>
          </w:p>
        </w:tc>
        <w:tc>
          <w:tcPr>
            <w:tcW w:w="2831" w:type="dxa"/>
            <w:vAlign w:val="center"/>
          </w:tcPr>
          <w:p>
            <w:pPr>
              <w:spacing w:line="276" w:lineRule="auto"/>
              <w:jc w:val="center"/>
              <w:rPr>
                <w:rFonts w:ascii="宋体" w:hAnsi="宋体"/>
                <w:kern w:val="0"/>
                <w:szCs w:val="21"/>
                <w14:ligatures w14:val="standardContextual"/>
              </w:rPr>
            </w:pPr>
            <w:r>
              <w:rPr>
                <w:rFonts w:ascii="宋体" w:hAnsi="宋体"/>
                <w:kern w:val="0"/>
                <w:szCs w:val="21"/>
                <w14:ligatures w14:val="standardContextual"/>
              </w:rPr>
              <w:t>1.20%/</w:t>
            </w:r>
            <w:r>
              <w:rPr>
                <w:rFonts w:ascii="宋体" w:hAnsi="宋体"/>
                <w:bCs/>
                <w:kern w:val="0"/>
                <w:szCs w:val="21"/>
                <w14:ligatures w14:val="standardContextual"/>
              </w:rPr>
              <w:t>年</w:t>
            </w:r>
          </w:p>
        </w:tc>
      </w:tr>
    </w:tbl>
    <w:p>
      <w:pPr>
        <w:spacing w:line="360" w:lineRule="auto"/>
        <w:rPr>
          <w:rFonts w:ascii="宋体" w:hAnsi="宋体"/>
          <w:bCs/>
          <w:szCs w:val="21"/>
          <w14:ligatures w14:val="standardContextual"/>
        </w:rPr>
      </w:pPr>
      <w:r>
        <w:rPr>
          <w:rFonts w:hint="eastAsia" w:ascii="宋体" w:hAnsi="宋体"/>
          <w:bCs/>
          <w:szCs w:val="21"/>
          <w14:ligatures w14:val="standardContextual"/>
        </w:rPr>
        <w:t>注：①</w:t>
      </w:r>
      <w:r>
        <w:rPr>
          <w:rFonts w:ascii="宋体" w:hAnsi="宋体"/>
          <w:bCs/>
          <w:szCs w:val="21"/>
          <w14:ligatures w14:val="standardContextual"/>
        </w:rPr>
        <w:t>R</w:t>
      </w:r>
      <w:r>
        <w:rPr>
          <w:rFonts w:hint="eastAsia" w:ascii="宋体" w:hAnsi="宋体"/>
          <w:bCs/>
          <w:szCs w:val="21"/>
          <w14:ligatures w14:val="standardContextual"/>
        </w:rPr>
        <w:t>为该笔基金份额持有期间的年化收益率，</w:t>
      </w:r>
      <w:r>
        <w:rPr>
          <w:rFonts w:ascii="宋体" w:hAnsi="宋体"/>
          <w:bCs/>
          <w:szCs w:val="21"/>
          <w14:ligatures w14:val="standardContextual"/>
        </w:rPr>
        <w:t>R</w:t>
      </w:r>
      <w:r>
        <w:rPr>
          <w:rFonts w:ascii="宋体" w:hAnsi="宋体"/>
          <w:bCs/>
          <w:szCs w:val="21"/>
          <w:vertAlign w:val="subscript"/>
          <w14:ligatures w14:val="standardContextual"/>
        </w:rPr>
        <w:t>b</w:t>
      </w:r>
      <w:r>
        <w:rPr>
          <w:rFonts w:hint="eastAsia" w:ascii="宋体" w:hAnsi="宋体"/>
          <w:bCs/>
          <w:szCs w:val="21"/>
          <w14:ligatures w14:val="standardContextual"/>
        </w:rPr>
        <w:t>为本基金业绩比较基准同期年化收益率。</w:t>
      </w:r>
    </w:p>
    <w:p>
      <w:pPr>
        <w:spacing w:line="360" w:lineRule="auto"/>
        <w:rPr>
          <w:rFonts w:ascii="宋体" w:hAnsi="宋体"/>
          <w:bCs/>
          <w:szCs w:val="21"/>
          <w14:ligatures w14:val="standardContextual"/>
        </w:rPr>
      </w:pPr>
      <w:r>
        <w:rPr>
          <w:rFonts w:hint="eastAsia" w:ascii="宋体" w:hAnsi="宋体"/>
          <w:bCs/>
          <w:szCs w:val="21"/>
          <w14:ligatures w14:val="standardContextual"/>
        </w:rPr>
        <w:t>②特别的，当持有期限达到一年及以上，</w:t>
      </w:r>
      <w:r>
        <w:rPr>
          <w:rFonts w:ascii="宋体" w:hAnsi="宋体"/>
          <w:bCs/>
          <w:szCs w:val="21"/>
          <w14:ligatures w14:val="standardContextual"/>
        </w:rPr>
        <w:t>R＞R</w:t>
      </w:r>
      <w:r>
        <w:rPr>
          <w:rFonts w:ascii="宋体" w:hAnsi="宋体"/>
          <w:bCs/>
          <w:szCs w:val="21"/>
          <w:vertAlign w:val="subscript"/>
          <w14:ligatures w14:val="standardContextual"/>
        </w:rPr>
        <w:t>b</w:t>
      </w:r>
      <w:r>
        <w:rPr>
          <w:rFonts w:ascii="宋体" w:hAnsi="宋体"/>
          <w:bCs/>
          <w:szCs w:val="21"/>
          <w14:ligatures w14:val="standardContextual"/>
        </w:rPr>
        <w:t>+6%</w:t>
      </w:r>
      <w:r>
        <w:rPr>
          <w:rFonts w:hint="eastAsia" w:ascii="宋体" w:hAnsi="宋体"/>
          <w:bCs/>
          <w:szCs w:val="21"/>
          <w14:ligatures w14:val="standardContextual"/>
        </w:rPr>
        <w:t>且</w:t>
      </w:r>
      <w:r>
        <w:rPr>
          <w:rFonts w:ascii="宋体" w:hAnsi="宋体"/>
          <w:bCs/>
          <w:szCs w:val="21"/>
          <w14:ligatures w14:val="standardContextual"/>
        </w:rPr>
        <w:t>R＞0</w:t>
      </w:r>
      <w:r>
        <w:rPr>
          <w:rFonts w:hint="eastAsia" w:ascii="宋体" w:hAnsi="宋体"/>
          <w:bCs/>
          <w:szCs w:val="21"/>
          <w14:ligatures w14:val="standardContextual"/>
        </w:rPr>
        <w:t>的情形下，若拟扣除超额管理费后的年化收益率小于等于</w:t>
      </w:r>
      <w:r>
        <w:rPr>
          <w:rFonts w:ascii="宋体" w:hAnsi="宋体"/>
          <w:bCs/>
          <w:szCs w:val="21"/>
          <w14:ligatures w14:val="standardContextual"/>
        </w:rPr>
        <w:t>R</w:t>
      </w:r>
      <w:r>
        <w:rPr>
          <w:rFonts w:ascii="宋体" w:hAnsi="宋体"/>
          <w:bCs/>
          <w:szCs w:val="21"/>
          <w:vertAlign w:val="subscript"/>
          <w14:ligatures w14:val="standardContextual"/>
        </w:rPr>
        <w:t>b</w:t>
      </w:r>
      <w:r>
        <w:rPr>
          <w:rFonts w:ascii="宋体" w:hAnsi="宋体"/>
          <w:bCs/>
          <w:szCs w:val="21"/>
          <w14:ligatures w14:val="standardContextual"/>
        </w:rPr>
        <w:t>+6%</w:t>
      </w:r>
      <w:r>
        <w:rPr>
          <w:rFonts w:hint="eastAsia" w:ascii="宋体" w:hAnsi="宋体"/>
          <w:bCs/>
          <w:szCs w:val="21"/>
          <w14:ligatures w14:val="standardContextual"/>
        </w:rPr>
        <w:t>，或小于等于0时，仍按1.20%年费率收取该笔基金份额的管理费，以使得该笔基金份额在扣除超额管理费后的年化收益率仍满足本基金收取超额管理费的标准。</w:t>
      </w:r>
    </w:p>
    <w:p>
      <w:pPr>
        <w:spacing w:line="360" w:lineRule="auto"/>
        <w:rPr>
          <w:rFonts w:ascii="宋体" w:hAnsi="宋体"/>
          <w:bCs/>
          <w:szCs w:val="21"/>
          <w14:ligatures w14:val="standardContextual"/>
        </w:rPr>
      </w:pP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具体而言，本基金的管理费包含固定管理费、或有管理费和超额管理费，按以下方式计算和确认。</w:t>
      </w:r>
    </w:p>
    <w:p>
      <w:pPr>
        <w:adjustRightInd w:val="0"/>
        <w:snapToGrid w:val="0"/>
        <w:spacing w:line="360" w:lineRule="auto"/>
        <w:ind w:left="60" w:firstLine="420"/>
        <w:rPr>
          <w:rFonts w:ascii="宋体" w:hAnsi="宋体"/>
          <w:szCs w:val="21"/>
        </w:rPr>
      </w:pPr>
      <w:r>
        <w:rPr>
          <w:rFonts w:hint="eastAsia" w:ascii="宋体" w:hAnsi="宋体"/>
          <w:szCs w:val="21"/>
        </w:rPr>
        <w:t>（1）固定管理费</w:t>
      </w:r>
    </w:p>
    <w:p>
      <w:pPr>
        <w:adjustRightInd w:val="0"/>
        <w:snapToGrid w:val="0"/>
        <w:spacing w:line="360" w:lineRule="auto"/>
        <w:ind w:left="60" w:firstLine="420"/>
        <w:rPr>
          <w:rFonts w:ascii="宋体" w:hAnsi="宋体"/>
          <w:szCs w:val="21"/>
        </w:rPr>
      </w:pPr>
      <w:r>
        <w:rPr>
          <w:rFonts w:hint="eastAsia" w:ascii="宋体" w:hAnsi="宋体"/>
          <w:szCs w:val="21"/>
        </w:rPr>
        <w:t>固定管理费按前一日基金资产净值的0.60%年费率每日计提。固定管理费的计算方法如下：</w:t>
      </w:r>
    </w:p>
    <w:p>
      <w:pPr>
        <w:adjustRightInd w:val="0"/>
        <w:snapToGrid w:val="0"/>
        <w:spacing w:line="360" w:lineRule="auto"/>
        <w:ind w:left="60" w:firstLine="420"/>
        <w:rPr>
          <w:rFonts w:ascii="宋体" w:hAnsi="宋体"/>
          <w:szCs w:val="21"/>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1</w:t>
      </w:r>
      <w:r>
        <w:rPr>
          <w:rFonts w:hint="eastAsia" w:ascii="宋体" w:hAnsi="宋体"/>
          <w:szCs w:val="21"/>
        </w:rPr>
        <w:t>＝E×0.60%÷当年天数</w:t>
      </w:r>
    </w:p>
    <w:p>
      <w:pPr>
        <w:adjustRightInd w:val="0"/>
        <w:snapToGrid w:val="0"/>
        <w:spacing w:line="360" w:lineRule="auto"/>
        <w:ind w:left="60" w:firstLine="420"/>
        <w:rPr>
          <w:rFonts w:ascii="宋体" w:hAnsi="宋体"/>
          <w:szCs w:val="21"/>
        </w:rPr>
      </w:pPr>
      <w:r>
        <w:rPr>
          <w:rFonts w:ascii="宋体" w:hAnsi="宋体"/>
          <w:szCs w:val="21"/>
        </w:rPr>
        <w:t>H1为每日应计提的固定管理费</w:t>
      </w:r>
    </w:p>
    <w:p>
      <w:pPr>
        <w:adjustRightInd w:val="0"/>
        <w:snapToGrid w:val="0"/>
        <w:spacing w:line="360" w:lineRule="auto"/>
        <w:ind w:left="60" w:firstLine="420"/>
        <w:rPr>
          <w:rFonts w:ascii="宋体" w:hAnsi="宋体"/>
          <w:szCs w:val="21"/>
        </w:rPr>
      </w:pPr>
      <w:r>
        <w:rPr>
          <w:rFonts w:hint="eastAsia" w:ascii="宋体" w:hAnsi="宋体"/>
          <w:szCs w:val="21"/>
        </w:rPr>
        <w:t>E为前一日的基金资产净值</w:t>
      </w:r>
    </w:p>
    <w:p>
      <w:pPr>
        <w:adjustRightInd w:val="0"/>
        <w:snapToGrid w:val="0"/>
        <w:spacing w:line="360" w:lineRule="auto"/>
        <w:ind w:left="60" w:firstLine="420"/>
        <w:rPr>
          <w:rFonts w:ascii="宋体" w:hAnsi="宋体"/>
          <w:szCs w:val="21"/>
        </w:rPr>
      </w:pPr>
      <w:r>
        <w:rPr>
          <w:rFonts w:hint="eastAsia" w:ascii="宋体" w:hAnsi="宋体"/>
          <w:szCs w:val="21"/>
        </w:rPr>
        <w:t>固定管理费每日计提，逐日累计至每个月月末，按月支付。经基金管理人与基金托管人双方核对无误后，基金托管人按照与基金管理人协商一致的方式于次月前</w:t>
      </w:r>
      <w:r>
        <w:rPr>
          <w:rFonts w:ascii="宋体" w:hAnsi="宋体"/>
          <w:szCs w:val="21"/>
        </w:rPr>
        <w:t>5</w:t>
      </w:r>
      <w:r>
        <w:rPr>
          <w:rFonts w:hint="eastAsia" w:ascii="宋体" w:hAnsi="宋体"/>
          <w:szCs w:val="21"/>
        </w:rPr>
        <w:t>个工作日内从基金财产中一次性支付给基金管理人。若遇法定节假日、公休假或不可抗力等，支付日期顺延。</w:t>
      </w:r>
    </w:p>
    <w:p>
      <w:pPr>
        <w:adjustRightInd w:val="0"/>
        <w:snapToGrid w:val="0"/>
        <w:spacing w:line="360" w:lineRule="auto"/>
        <w:ind w:left="60" w:firstLine="420"/>
        <w:rPr>
          <w:rFonts w:ascii="宋体" w:hAnsi="宋体"/>
          <w:szCs w:val="21"/>
        </w:rPr>
      </w:pPr>
      <w:r>
        <w:rPr>
          <w:rFonts w:hint="eastAsia" w:ascii="宋体" w:hAnsi="宋体"/>
          <w:szCs w:val="21"/>
        </w:rPr>
        <w:t>（2）或有管理费</w:t>
      </w:r>
      <w:r>
        <w:rPr>
          <w:rFonts w:ascii="宋体" w:hAnsi="宋体"/>
          <w:szCs w:val="21"/>
        </w:rPr>
        <w:t>和超额管理费</w:t>
      </w:r>
    </w:p>
    <w:p>
      <w:pPr>
        <w:adjustRightInd w:val="0"/>
        <w:snapToGrid w:val="0"/>
        <w:spacing w:line="360" w:lineRule="auto"/>
        <w:ind w:left="60" w:firstLine="420"/>
        <w:rPr>
          <w:rFonts w:ascii="宋体" w:hAnsi="宋体"/>
          <w:szCs w:val="21"/>
        </w:rPr>
      </w:pPr>
      <w:r>
        <w:rPr>
          <w:rFonts w:hint="eastAsia" w:ascii="宋体" w:hAnsi="宋体"/>
          <w:szCs w:val="21"/>
        </w:rPr>
        <w:t>或有管理费按前一日基金资产净值的0.60%年费率每日计提。</w:t>
      </w:r>
      <w:r>
        <w:rPr>
          <w:rFonts w:hint="eastAsia" w:ascii="宋体" w:hAnsi="宋体"/>
          <w:bCs/>
          <w:szCs w:val="21"/>
          <w14:ligatures w14:val="standardContextual"/>
        </w:rPr>
        <w:t>或有管理费的</w:t>
      </w:r>
      <w:r>
        <w:rPr>
          <w:rFonts w:hint="eastAsia" w:ascii="宋体" w:hAnsi="宋体"/>
          <w:szCs w:val="21"/>
        </w:rPr>
        <w:t>计算方法如下：</w:t>
      </w:r>
    </w:p>
    <w:p>
      <w:pPr>
        <w:adjustRightInd w:val="0"/>
        <w:snapToGrid w:val="0"/>
        <w:spacing w:line="360" w:lineRule="auto"/>
        <w:ind w:left="60" w:firstLine="420"/>
        <w:rPr>
          <w:rFonts w:ascii="宋体" w:hAnsi="宋体"/>
          <w:szCs w:val="21"/>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2</w:t>
      </w:r>
      <w:r>
        <w:rPr>
          <w:rFonts w:hint="eastAsia" w:ascii="宋体" w:hAnsi="宋体"/>
          <w:szCs w:val="21"/>
        </w:rPr>
        <w:t>＝E×0.60%÷当年天数</w:t>
      </w:r>
    </w:p>
    <w:p>
      <w:pPr>
        <w:adjustRightInd w:val="0"/>
        <w:snapToGrid w:val="0"/>
        <w:spacing w:line="360" w:lineRule="auto"/>
        <w:ind w:left="60" w:firstLine="420"/>
        <w:rPr>
          <w:rFonts w:ascii="宋体" w:hAnsi="宋体"/>
          <w:szCs w:val="21"/>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2</w:t>
      </w:r>
      <w:r>
        <w:rPr>
          <w:rFonts w:hint="eastAsia" w:ascii="宋体" w:hAnsi="宋体"/>
          <w:szCs w:val="21"/>
        </w:rPr>
        <w:t>为每日应计提的或有管理费</w:t>
      </w:r>
    </w:p>
    <w:p>
      <w:pPr>
        <w:adjustRightInd w:val="0"/>
        <w:snapToGrid w:val="0"/>
        <w:spacing w:line="360" w:lineRule="auto"/>
        <w:ind w:left="60" w:firstLine="420"/>
        <w:rPr>
          <w:rFonts w:ascii="宋体" w:hAnsi="宋体"/>
          <w:szCs w:val="21"/>
        </w:rPr>
      </w:pPr>
      <w:r>
        <w:rPr>
          <w:rFonts w:hint="eastAsia" w:ascii="宋体" w:hAnsi="宋体"/>
          <w:szCs w:val="21"/>
        </w:rPr>
        <w:t>E为前一日的基金资产净值</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投资者赎回、转换转出基金份额或基金合同终止的情形发生时，若该笔基金份额持有天数达到或超过365天，且该笔基金份额持有期间的年化收益率（R）符合下表“情形一”的收取情形时，或有管理费为0，则该笔基金份额持有期限内计提的或有管理费将全额返还至投资者的赎回款（或清算款）；在其他情形下，该笔基金份额持有期限内计提的或有管理费应确认为应由基金管理人收取的管理费。</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本基金每日预估计算并记录每笔基金份额的超额管理费，基金超额管理费的预估计算方法如下：</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3</w:t>
      </w:r>
      <w:r>
        <w:rPr>
          <w:rFonts w:hint="eastAsia" w:ascii="宋体" w:hAnsi="宋体"/>
          <w:bCs/>
          <w:szCs w:val="21"/>
          <w14:ligatures w14:val="standardContextual"/>
        </w:rPr>
        <w:t>＝E×0.30%÷当年天数</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H</w:t>
      </w:r>
      <w:r>
        <w:rPr>
          <w:rFonts w:hint="eastAsia" w:ascii="宋体" w:hAnsi="宋体"/>
          <w:bCs/>
          <w:szCs w:val="21"/>
          <w:vertAlign w:val="subscript"/>
          <w14:ligatures w14:val="standardContextual"/>
        </w:rPr>
        <w:t>3</w:t>
      </w:r>
      <w:r>
        <w:rPr>
          <w:rFonts w:hint="eastAsia" w:ascii="宋体" w:hAnsi="宋体"/>
          <w:bCs/>
          <w:szCs w:val="21"/>
          <w14:ligatures w14:val="standardContextual"/>
        </w:rPr>
        <w:t>为每日预估计算的基金超额管理费</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E为前一日的基金资产净值</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每笔基金份额的超额管理费每日预估计算，但不从基金资产中实际计提，逐日累计。投资者赎回、转换转出基金份额或基金合同终止的情形发生时，当且仅当该笔基金份额持有天数达到或超过365天，且该笔基金份额持有期间的年化收益率（R）符合下表“情形三”的收取情形时，将从该笔基金份额的赎回款（或清算款）中扣除0.30%年费率的超额管理费，并随已计提的或有管理费一同确认为应由基金管理人收取的管理费。</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当投资者赎回、转换转出基金份额或基金合同终止的情形发生时，本基金根据以下三种情形确认应实际收取的或有管理费和超额管理费：</w:t>
      </w:r>
    </w:p>
    <w:tbl>
      <w:tblPr>
        <w:tblStyle w:val="94"/>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jc w:val="center"/>
              <w:rPr>
                <w:rFonts w:ascii="宋体" w:hAnsi="宋体"/>
                <w:b/>
                <w:bCs/>
                <w:kern w:val="0"/>
                <w:szCs w:val="21"/>
                <w14:ligatures w14:val="standardContextual"/>
              </w:rPr>
            </w:pPr>
            <w:bookmarkStart w:id="184" w:name="_Hlk195865040"/>
            <w:r>
              <w:rPr>
                <w:rFonts w:hint="eastAsia" w:ascii="宋体" w:hAnsi="宋体"/>
                <w:b/>
                <w:bCs/>
                <w:kern w:val="0"/>
                <w:szCs w:val="21"/>
                <w14:ligatures w14:val="standardContextual"/>
              </w:rPr>
              <w:t>收取情形</w:t>
            </w:r>
          </w:p>
        </w:tc>
        <w:tc>
          <w:tcPr>
            <w:tcW w:w="2933" w:type="dxa"/>
            <w:vAlign w:val="center"/>
          </w:tcPr>
          <w:p>
            <w:pPr>
              <w:jc w:val="center"/>
              <w:rPr>
                <w:rFonts w:ascii="宋体" w:hAnsi="宋体"/>
                <w:b/>
                <w:bCs/>
                <w:kern w:val="0"/>
                <w:szCs w:val="21"/>
                <w14:ligatures w14:val="standardContextual"/>
              </w:rPr>
            </w:pPr>
            <w:r>
              <w:rPr>
                <w:rFonts w:hint="eastAsia" w:ascii="宋体" w:hAnsi="宋体"/>
                <w:b/>
                <w:bCs/>
                <w:kern w:val="0"/>
                <w:szCs w:val="21"/>
                <w14:ligatures w14:val="standardContextual"/>
              </w:rPr>
              <w:t>持有期间年化收益率（</w:t>
            </w:r>
            <w:r>
              <w:rPr>
                <w:rFonts w:ascii="宋体" w:hAnsi="宋体"/>
                <w:b/>
                <w:bCs/>
                <w:kern w:val="0"/>
                <w:szCs w:val="21"/>
                <w14:ligatures w14:val="standardContextual"/>
              </w:rPr>
              <w:t>R</w:t>
            </w:r>
            <w:r>
              <w:rPr>
                <w:rFonts w:hint="eastAsia" w:ascii="宋体" w:hAnsi="宋体"/>
                <w:b/>
                <w:bCs/>
                <w:kern w:val="0"/>
                <w:szCs w:val="21"/>
                <w14:ligatures w14:val="standardContextual"/>
              </w:rPr>
              <w:t>）</w:t>
            </w:r>
          </w:p>
        </w:tc>
        <w:tc>
          <w:tcPr>
            <w:tcW w:w="1701" w:type="dxa"/>
            <w:vAlign w:val="center"/>
          </w:tcPr>
          <w:p>
            <w:pPr>
              <w:jc w:val="center"/>
              <w:rPr>
                <w:rFonts w:ascii="宋体" w:hAnsi="宋体"/>
                <w:b/>
                <w:bCs/>
                <w:kern w:val="0"/>
                <w:szCs w:val="21"/>
                <w14:ligatures w14:val="standardContextual"/>
              </w:rPr>
            </w:pPr>
            <w:r>
              <w:rPr>
                <w:rFonts w:hint="eastAsia" w:ascii="宋体" w:hAnsi="宋体"/>
                <w:b/>
                <w:bCs/>
                <w:kern w:val="0"/>
                <w:szCs w:val="21"/>
                <w14:ligatures w14:val="standardContextual"/>
              </w:rPr>
              <w:t>或有管理费</w:t>
            </w:r>
          </w:p>
          <w:p>
            <w:pPr>
              <w:jc w:val="center"/>
              <w:rPr>
                <w:rFonts w:ascii="宋体" w:hAnsi="宋体"/>
                <w:b/>
                <w:bCs/>
                <w:kern w:val="0"/>
                <w:szCs w:val="21"/>
                <w14:ligatures w14:val="standardContextual"/>
              </w:rPr>
            </w:pPr>
            <w:r>
              <w:rPr>
                <w:rFonts w:hint="eastAsia" w:ascii="宋体" w:hAnsi="宋体"/>
                <w:b/>
                <w:bCs/>
                <w:kern w:val="0"/>
                <w:szCs w:val="21"/>
                <w14:ligatures w14:val="standardContextual"/>
              </w:rPr>
              <w:t>（年费率）</w:t>
            </w:r>
          </w:p>
        </w:tc>
        <w:tc>
          <w:tcPr>
            <w:tcW w:w="1701" w:type="dxa"/>
            <w:vAlign w:val="center"/>
          </w:tcPr>
          <w:p>
            <w:pPr>
              <w:jc w:val="center"/>
              <w:rPr>
                <w:rFonts w:ascii="宋体" w:hAnsi="宋体"/>
                <w:b/>
                <w:bCs/>
                <w:kern w:val="0"/>
                <w:szCs w:val="21"/>
                <w14:ligatures w14:val="standardContextual"/>
              </w:rPr>
            </w:pPr>
            <w:r>
              <w:rPr>
                <w:rFonts w:hint="eastAsia" w:ascii="宋体" w:hAnsi="宋体"/>
                <w:b/>
                <w:bCs/>
                <w:kern w:val="0"/>
                <w:szCs w:val="21"/>
                <w14:ligatures w14:val="standardContextual"/>
              </w:rPr>
              <w:t>超额管理费</w:t>
            </w:r>
          </w:p>
          <w:p>
            <w:pPr>
              <w:jc w:val="center"/>
              <w:rPr>
                <w:rFonts w:ascii="宋体" w:hAnsi="宋体"/>
                <w:b/>
                <w:bCs/>
                <w:kern w:val="0"/>
                <w:szCs w:val="21"/>
                <w14:ligatures w14:val="standardContextual"/>
              </w:rPr>
            </w:pPr>
            <w:r>
              <w:rPr>
                <w:rFonts w:hint="eastAsia" w:ascii="宋体" w:hAnsi="宋体"/>
                <w:b/>
                <w:bCs/>
                <w:kern w:val="0"/>
                <w:szCs w:val="21"/>
                <w14:ligatures w14:val="standardContextual"/>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jc w:val="center"/>
              <w:rPr>
                <w:rFonts w:ascii="宋体" w:hAnsi="宋体"/>
                <w:kern w:val="0"/>
                <w:szCs w:val="21"/>
                <w14:ligatures w14:val="standardContextual"/>
              </w:rPr>
            </w:pPr>
            <w:r>
              <w:rPr>
                <w:rFonts w:hint="eastAsia" w:ascii="宋体" w:hAnsi="宋体"/>
                <w:bCs/>
                <w:kern w:val="0"/>
                <w:szCs w:val="21"/>
                <w14:ligatures w14:val="standardContextual"/>
              </w:rPr>
              <w:t>情形</w:t>
            </w:r>
            <w:r>
              <w:rPr>
                <w:rFonts w:hint="eastAsia" w:ascii="宋体" w:hAnsi="宋体"/>
                <w:kern w:val="0"/>
                <w:szCs w:val="21"/>
                <w14:ligatures w14:val="standardContextual"/>
              </w:rPr>
              <w:t>一</w:t>
            </w:r>
          </w:p>
        </w:tc>
        <w:tc>
          <w:tcPr>
            <w:tcW w:w="2933" w:type="dxa"/>
            <w:vAlign w:val="center"/>
          </w:tcPr>
          <w:p>
            <w:pPr>
              <w:jc w:val="center"/>
              <w:rPr>
                <w:rFonts w:ascii="宋体" w:hAnsi="宋体"/>
                <w:i/>
                <w:kern w:val="0"/>
                <w:szCs w:val="21"/>
                <w14:ligatures w14:val="standardContextual"/>
              </w:rPr>
            </w:pPr>
            <w:r>
              <w:rPr>
                <w:rFonts w:ascii="宋体" w:hAnsi="宋体"/>
                <w:kern w:val="0"/>
                <w:szCs w:val="21"/>
                <w14:ligatures w14:val="standardContextual"/>
              </w:rPr>
              <w:t>R</w:t>
            </w:r>
            <w:r>
              <w:rPr>
                <w:rFonts w:hint="eastAsia" w:ascii="宋体" w:hAnsi="宋体"/>
                <w:kern w:val="0"/>
                <w:szCs w:val="21"/>
                <w14:ligatures w14:val="standardContextual"/>
              </w:rPr>
              <w:t>≤</w:t>
            </w:r>
            <w:r>
              <w:rPr>
                <w:rFonts w:ascii="宋体" w:hAnsi="宋体"/>
                <w:kern w:val="0"/>
                <w:szCs w:val="21"/>
                <w14:ligatures w14:val="standardContextual"/>
              </w:rPr>
              <w:t>R</w:t>
            </w:r>
            <w:r>
              <w:rPr>
                <w:rFonts w:ascii="宋体" w:hAnsi="宋体"/>
                <w:kern w:val="0"/>
                <w:szCs w:val="21"/>
                <w:vertAlign w:val="subscript"/>
                <w14:ligatures w14:val="standardContextual"/>
              </w:rPr>
              <w:t>b</w:t>
            </w:r>
            <w:r>
              <w:rPr>
                <w:rFonts w:hint="eastAsia" w:ascii="宋体" w:hAnsi="宋体"/>
                <w:kern w:val="0"/>
                <w:szCs w:val="21"/>
                <w14:ligatures w14:val="standardContextual"/>
              </w:rPr>
              <w:t>-3%</w:t>
            </w:r>
          </w:p>
        </w:tc>
        <w:tc>
          <w:tcPr>
            <w:tcW w:w="1701" w:type="dxa"/>
            <w:vAlign w:val="center"/>
          </w:tcPr>
          <w:p>
            <w:pPr>
              <w:jc w:val="center"/>
              <w:rPr>
                <w:rFonts w:ascii="宋体" w:hAnsi="宋体"/>
                <w:kern w:val="0"/>
                <w:szCs w:val="21"/>
                <w14:ligatures w14:val="standardContextual"/>
              </w:rPr>
            </w:pPr>
            <w:r>
              <w:rPr>
                <w:rFonts w:hint="eastAsia" w:ascii="宋体" w:hAnsi="宋体"/>
                <w:kern w:val="0"/>
                <w:szCs w:val="21"/>
                <w14:ligatures w14:val="standardContextual"/>
              </w:rPr>
              <w:t>0</w:t>
            </w:r>
          </w:p>
        </w:tc>
        <w:tc>
          <w:tcPr>
            <w:tcW w:w="1701" w:type="dxa"/>
            <w:vAlign w:val="center"/>
          </w:tcPr>
          <w:p>
            <w:pPr>
              <w:jc w:val="center"/>
              <w:rPr>
                <w:rFonts w:ascii="宋体" w:hAnsi="宋体"/>
                <w:kern w:val="0"/>
                <w:szCs w:val="21"/>
                <w14:ligatures w14:val="standardContextual"/>
              </w:rPr>
            </w:pPr>
            <w:r>
              <w:rPr>
                <w:rFonts w:hint="eastAsia" w:ascii="宋体" w:hAnsi="宋体"/>
                <w:kern w:val="0"/>
                <w:szCs w:val="21"/>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jc w:val="center"/>
              <w:rPr>
                <w:rFonts w:ascii="宋体" w:hAnsi="宋体"/>
                <w:kern w:val="0"/>
                <w:szCs w:val="21"/>
                <w14:ligatures w14:val="standardContextual"/>
              </w:rPr>
            </w:pPr>
            <w:r>
              <w:rPr>
                <w:rFonts w:hint="eastAsia" w:ascii="宋体" w:hAnsi="宋体"/>
                <w:bCs/>
                <w:kern w:val="0"/>
                <w:szCs w:val="21"/>
                <w14:ligatures w14:val="standardContextual"/>
              </w:rPr>
              <w:t>情形</w:t>
            </w:r>
            <w:r>
              <w:rPr>
                <w:rFonts w:hint="eastAsia" w:ascii="宋体" w:hAnsi="宋体"/>
                <w:kern w:val="0"/>
                <w:szCs w:val="21"/>
                <w14:ligatures w14:val="standardContextual"/>
              </w:rPr>
              <w:t>二</w:t>
            </w:r>
          </w:p>
        </w:tc>
        <w:tc>
          <w:tcPr>
            <w:tcW w:w="2933" w:type="dxa"/>
            <w:vAlign w:val="center"/>
          </w:tcPr>
          <w:p>
            <w:pPr>
              <w:jc w:val="center"/>
              <w:rPr>
                <w:rFonts w:ascii="宋体" w:hAnsi="宋体"/>
                <w:kern w:val="0"/>
                <w:szCs w:val="21"/>
                <w14:ligatures w14:val="standardContextual"/>
              </w:rPr>
            </w:pPr>
            <w:r>
              <w:rPr>
                <w:rFonts w:ascii="宋体" w:hAnsi="宋体"/>
                <w:bCs/>
                <w:kern w:val="0"/>
                <w:szCs w:val="21"/>
                <w14:ligatures w14:val="standardContextual"/>
              </w:rPr>
              <w:t>其他情形</w:t>
            </w:r>
          </w:p>
        </w:tc>
        <w:tc>
          <w:tcPr>
            <w:tcW w:w="1701" w:type="dxa"/>
            <w:vAlign w:val="center"/>
          </w:tcPr>
          <w:p>
            <w:pPr>
              <w:jc w:val="center"/>
              <w:rPr>
                <w:rFonts w:ascii="宋体" w:hAnsi="宋体"/>
                <w:kern w:val="0"/>
                <w:szCs w:val="21"/>
                <w14:ligatures w14:val="standardContextual"/>
              </w:rPr>
            </w:pPr>
            <w:r>
              <w:rPr>
                <w:rFonts w:hint="eastAsia" w:ascii="宋体" w:hAnsi="宋体"/>
                <w:kern w:val="0"/>
                <w:szCs w:val="21"/>
                <w14:ligatures w14:val="standardContextual"/>
              </w:rPr>
              <w:t>0.60%</w:t>
            </w:r>
          </w:p>
        </w:tc>
        <w:tc>
          <w:tcPr>
            <w:tcW w:w="1701" w:type="dxa"/>
            <w:vAlign w:val="center"/>
          </w:tcPr>
          <w:p>
            <w:pPr>
              <w:jc w:val="center"/>
              <w:rPr>
                <w:rFonts w:ascii="宋体" w:hAnsi="宋体"/>
                <w:kern w:val="0"/>
                <w:szCs w:val="21"/>
                <w14:ligatures w14:val="standardContextual"/>
              </w:rPr>
            </w:pPr>
            <w:r>
              <w:rPr>
                <w:rFonts w:hint="eastAsia" w:ascii="宋体" w:hAnsi="宋体"/>
                <w:kern w:val="0"/>
                <w:szCs w:val="21"/>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jc w:val="center"/>
              <w:rPr>
                <w:rFonts w:ascii="宋体" w:hAnsi="宋体"/>
                <w:kern w:val="0"/>
                <w:szCs w:val="21"/>
                <w14:ligatures w14:val="standardContextual"/>
              </w:rPr>
            </w:pPr>
            <w:r>
              <w:rPr>
                <w:rFonts w:hint="eastAsia" w:ascii="宋体" w:hAnsi="宋体"/>
                <w:kern w:val="0"/>
                <w:szCs w:val="21"/>
                <w14:ligatures w14:val="standardContextual"/>
              </w:rPr>
              <w:t>情形三</w:t>
            </w:r>
          </w:p>
        </w:tc>
        <w:tc>
          <w:tcPr>
            <w:tcW w:w="2933" w:type="dxa"/>
            <w:vAlign w:val="center"/>
          </w:tcPr>
          <w:p>
            <w:pPr>
              <w:spacing w:line="276" w:lineRule="auto"/>
              <w:jc w:val="center"/>
              <w:rPr>
                <w:rFonts w:ascii="宋体" w:hAnsi="宋体"/>
                <w:b/>
                <w:bCs/>
                <w:kern w:val="0"/>
                <w:szCs w:val="21"/>
                <w14:ligatures w14:val="standardContextual"/>
              </w:rPr>
            </w:pPr>
            <w:r>
              <w:rPr>
                <w:rFonts w:ascii="宋体" w:hAnsi="宋体"/>
                <w:bCs/>
                <w:szCs w:val="21"/>
                <w14:ligatures w14:val="standardContextual"/>
              </w:rPr>
              <w:t>R</w:t>
            </w:r>
            <w:r>
              <w:rPr>
                <w:rFonts w:hint="eastAsia" w:ascii="宋体" w:hAnsi="宋体"/>
                <w:bCs/>
                <w:szCs w:val="21"/>
                <w14:ligatures w14:val="standardContextual"/>
              </w:rPr>
              <w:t>＞</w:t>
            </w:r>
            <w:r>
              <w:rPr>
                <w:rFonts w:ascii="宋体" w:hAnsi="宋体"/>
                <w:bCs/>
                <w:szCs w:val="21"/>
                <w14:ligatures w14:val="standardContextual"/>
              </w:rPr>
              <w:t>R</w:t>
            </w:r>
            <w:r>
              <w:rPr>
                <w:rFonts w:ascii="宋体" w:hAnsi="宋体"/>
                <w:spacing w:val="-2"/>
                <w:szCs w:val="21"/>
                <w:vertAlign w:val="subscript"/>
                <w14:ligatures w14:val="standardContextual"/>
              </w:rPr>
              <w:t>b</w:t>
            </w:r>
            <w:r>
              <w:rPr>
                <w:rFonts w:ascii="宋体" w:hAnsi="宋体"/>
                <w:bCs/>
                <w:szCs w:val="21"/>
                <w14:ligatures w14:val="standardContextual"/>
              </w:rPr>
              <w:t>+6%，R</w:t>
            </w:r>
            <w:r>
              <w:rPr>
                <w:rFonts w:hint="eastAsia" w:ascii="宋体" w:hAnsi="宋体"/>
                <w:bCs/>
                <w:szCs w:val="21"/>
                <w14:ligatures w14:val="standardContextual"/>
              </w:rPr>
              <w:t>＞</w:t>
            </w:r>
            <w:r>
              <w:rPr>
                <w:rFonts w:ascii="宋体" w:hAnsi="宋体"/>
                <w:bCs/>
                <w:szCs w:val="21"/>
                <w14:ligatures w14:val="standardContextual"/>
              </w:rPr>
              <w:t>0</w:t>
            </w:r>
          </w:p>
        </w:tc>
        <w:tc>
          <w:tcPr>
            <w:tcW w:w="1701" w:type="dxa"/>
            <w:vAlign w:val="center"/>
          </w:tcPr>
          <w:p>
            <w:pPr>
              <w:jc w:val="center"/>
              <w:rPr>
                <w:rFonts w:ascii="宋体" w:hAnsi="宋体"/>
                <w:kern w:val="0"/>
                <w:szCs w:val="21"/>
                <w14:ligatures w14:val="standardContextual"/>
              </w:rPr>
            </w:pPr>
            <w:r>
              <w:rPr>
                <w:rFonts w:hint="eastAsia" w:ascii="宋体" w:hAnsi="宋体"/>
                <w:kern w:val="0"/>
                <w:szCs w:val="21"/>
                <w14:ligatures w14:val="standardContextual"/>
              </w:rPr>
              <w:t>0.60%</w:t>
            </w:r>
          </w:p>
        </w:tc>
        <w:tc>
          <w:tcPr>
            <w:tcW w:w="1701" w:type="dxa"/>
            <w:vAlign w:val="center"/>
          </w:tcPr>
          <w:p>
            <w:pPr>
              <w:jc w:val="center"/>
              <w:rPr>
                <w:rFonts w:ascii="宋体" w:hAnsi="宋体"/>
                <w:kern w:val="0"/>
                <w:szCs w:val="21"/>
                <w14:ligatures w14:val="standardContextual"/>
              </w:rPr>
            </w:pPr>
            <w:r>
              <w:rPr>
                <w:rFonts w:hint="eastAsia" w:ascii="宋体" w:hAnsi="宋体"/>
                <w:kern w:val="0"/>
                <w:szCs w:val="21"/>
                <w14:ligatures w14:val="standardContextual"/>
              </w:rPr>
              <w:t>0.30%</w:t>
            </w:r>
          </w:p>
        </w:tc>
      </w:tr>
      <w:bookmarkEnd w:id="184"/>
    </w:tbl>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对于“情形三”，若拟扣除超额管理费后的年化收益率小于等于</w:t>
      </w:r>
      <w:r>
        <w:rPr>
          <w:rFonts w:ascii="宋体" w:hAnsi="宋体"/>
          <w:bCs/>
          <w:szCs w:val="21"/>
          <w14:ligatures w14:val="standardContextual"/>
        </w:rPr>
        <w:t>R</w:t>
      </w:r>
      <w:r>
        <w:rPr>
          <w:rFonts w:ascii="宋体" w:hAnsi="宋体"/>
          <w:bCs/>
          <w:szCs w:val="21"/>
          <w:vertAlign w:val="subscript"/>
          <w14:ligatures w14:val="standardContextual"/>
        </w:rPr>
        <w:t>b</w:t>
      </w:r>
      <w:r>
        <w:rPr>
          <w:rFonts w:ascii="宋体" w:hAnsi="宋体"/>
          <w:bCs/>
          <w:szCs w:val="21"/>
          <w14:ligatures w14:val="standardContextual"/>
        </w:rPr>
        <w:t>+6%</w:t>
      </w:r>
      <w:r>
        <w:rPr>
          <w:rFonts w:hint="eastAsia" w:ascii="宋体" w:hAnsi="宋体"/>
          <w:bCs/>
          <w:szCs w:val="21"/>
          <w14:ligatures w14:val="standardContextual"/>
        </w:rPr>
        <w:t>，或小于等于0时，仍按1.20%年费率收取该笔基金份额的管理费，以使得该笔基金份额在扣除超额管理费后的年化收益率仍满足本基金收取超额管理费的标准。</w:t>
      </w:r>
    </w:p>
    <w:p>
      <w:pPr>
        <w:adjustRightInd w:val="0"/>
        <w:snapToGrid w:val="0"/>
        <w:spacing w:line="360" w:lineRule="auto"/>
        <w:ind w:firstLine="371" w:firstLineChars="177"/>
        <w:rPr>
          <w:rFonts w:ascii="宋体" w:hAnsi="宋体"/>
          <w:szCs w:val="21"/>
        </w:rPr>
      </w:pPr>
      <w:r>
        <w:rPr>
          <w:rFonts w:hint="eastAsia" w:ascii="宋体" w:hAnsi="宋体"/>
          <w:szCs w:val="21"/>
        </w:rPr>
        <w:t>每笔基金份额在持有期间的年化收益率（R）计算方法如下：</w:t>
      </w:r>
    </w:p>
    <w:p>
      <w:pPr>
        <w:adjustRightInd w:val="0"/>
        <w:snapToGrid w:val="0"/>
        <w:spacing w:line="360" w:lineRule="auto"/>
        <w:ind w:firstLine="371" w:firstLineChars="177"/>
        <w:rPr>
          <w:rFonts w:ascii="宋体" w:hAnsi="宋体"/>
          <w:szCs w:val="21"/>
        </w:rPr>
      </w:pPr>
      <m:oMathPara>
        <m:oMath>
          <m:r>
            <m:rPr>
              <m:sty m:val="p"/>
            </m:rPr>
            <w:rPr>
              <w:rFonts w:ascii="Cambria Math" w:hAnsi="Cambria Math" w:eastAsia="仿宋" w:cs="TimesNewRomanPSMT"/>
              <w:szCs w:val="21"/>
              <w14:ligatures w14:val="standardContextual"/>
            </w:rPr>
            <m:t>R=</m:t>
          </m:r>
          <m:f>
            <m:fPr>
              <m:ctrlPr>
                <w:rPr>
                  <w:rFonts w:ascii="Cambria Math" w:hAnsi="Cambria Math" w:eastAsia="仿宋" w:cs="TimesNewRomanPSMT"/>
                  <w:szCs w:val="21"/>
                  <w14:ligatures w14:val="standardContextual"/>
                </w:rPr>
              </m:ctrlPr>
            </m:fPr>
            <m:num>
              <m:r>
                <m:rPr/>
                <w:rPr>
                  <w:rFonts w:ascii="Cambria Math" w:hAnsi="Cambria Math" w:eastAsia="仿宋" w:cs="TimesNewRomanPSMT"/>
                  <w:szCs w:val="21"/>
                  <w14:ligatures w14:val="standardContextual"/>
                </w:rPr>
                <m:t>A−B</m:t>
              </m:r>
              <m:ctrlPr>
                <w:rPr>
                  <w:rFonts w:ascii="Cambria Math" w:hAnsi="Cambria Math" w:eastAsia="仿宋" w:cs="TimesNewRomanPSMT"/>
                  <w:szCs w:val="21"/>
                  <w14:ligatures w14:val="standardContextual"/>
                </w:rPr>
              </m:ctrlPr>
            </m:num>
            <m:den>
              <m:r>
                <m:rPr/>
                <w:rPr>
                  <w:rFonts w:ascii="Cambria Math" w:hAnsi="Cambria Math" w:eastAsia="仿宋" w:cs="TimesNewRomanPSMT"/>
                  <w:szCs w:val="21"/>
                  <w14:ligatures w14:val="standardContextual"/>
                </w:rPr>
                <m:t>C</m:t>
              </m:r>
              <m:ctrlPr>
                <w:rPr>
                  <w:rFonts w:ascii="Cambria Math" w:hAnsi="Cambria Math" w:eastAsia="仿宋" w:cs="TimesNewRomanPSMT"/>
                  <w:szCs w:val="21"/>
                  <w14:ligatures w14:val="standardContextual"/>
                </w:rPr>
              </m:ctrlPr>
            </m:den>
          </m:f>
          <m:r>
            <m:rPr/>
            <w:rPr>
              <w:rFonts w:ascii="Cambria Math" w:hAnsi="Cambria Math" w:eastAsia="仿宋" w:cs="TimesNewRomanPSMT"/>
              <w:szCs w:val="21"/>
              <w14:ligatures w14:val="standardContextual"/>
            </w:rPr>
            <m:t>×</m:t>
          </m:r>
          <m:f>
            <m:fPr>
              <m:ctrlPr>
                <w:rPr>
                  <w:rFonts w:ascii="Cambria Math" w:hAnsi="Cambria Math" w:eastAsia="仿宋" w:cs="TimesNewRomanPSMT"/>
                  <w:i/>
                  <w:szCs w:val="21"/>
                  <w14:ligatures w14:val="standardContextual"/>
                </w:rPr>
              </m:ctrlPr>
            </m:fPr>
            <m:num>
              <m:r>
                <m:rPr/>
                <w:rPr>
                  <w:rFonts w:ascii="Cambria Math" w:hAnsi="Cambria Math" w:eastAsia="仿宋" w:cs="TimesNewRomanPSMT"/>
                  <w:szCs w:val="21"/>
                  <w14:ligatures w14:val="standardContextual"/>
                </w:rPr>
                <m:t>365</m:t>
              </m:r>
              <m:ctrlPr>
                <w:rPr>
                  <w:rFonts w:ascii="Cambria Math" w:hAnsi="Cambria Math" w:eastAsia="仿宋" w:cs="TimesNewRomanPSMT"/>
                  <w:i/>
                  <w:szCs w:val="21"/>
                  <w14:ligatures w14:val="standardContextual"/>
                </w:rPr>
              </m:ctrlPr>
            </m:num>
            <m:den>
              <m:r>
                <m:rPr/>
                <w:rPr>
                  <w:rFonts w:ascii="Cambria Math" w:hAnsi="Cambria Math" w:eastAsia="仿宋" w:cs="TimesNewRomanPSMT"/>
                  <w:szCs w:val="21"/>
                  <w14:ligatures w14:val="standardContextual"/>
                </w:rPr>
                <m:t>D</m:t>
              </m:r>
              <m:ctrlPr>
                <w:rPr>
                  <w:rFonts w:ascii="Cambria Math" w:hAnsi="Cambria Math" w:eastAsia="仿宋" w:cs="TimesNewRomanPSMT"/>
                  <w:i/>
                  <w:szCs w:val="21"/>
                  <w14:ligatures w14:val="standardContextual"/>
                </w:rPr>
              </m:ctrlPr>
            </m:den>
          </m:f>
          <m:r>
            <m:rPr/>
            <w:rPr>
              <w:rFonts w:ascii="Cambria Math" w:hAnsi="Cambria Math" w:eastAsia="仿宋" w:cs="TimesNewRomanPSMT"/>
              <w:szCs w:val="21"/>
              <w14:ligatures w14:val="standardContextual"/>
            </w:rPr>
            <m:t>×100%</m:t>
          </m:r>
        </m:oMath>
      </m:oMathPara>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拟扣除超额管理费后的年化收益率（R*）的计算方法如下：</w:t>
      </w:r>
    </w:p>
    <w:p>
      <w:pPr>
        <w:spacing w:line="360" w:lineRule="auto"/>
        <w:ind w:firstLine="420" w:firstLineChars="200"/>
        <w:jc w:val="center"/>
        <w:rPr>
          <w:rFonts w:ascii="宋体" w:hAnsi="宋体"/>
          <w:bCs/>
          <w:szCs w:val="21"/>
          <w14:ligatures w14:val="standardContextual"/>
        </w:rPr>
      </w:pPr>
      <m:oMathPara>
        <m:oMath>
          <m:r>
            <m:rPr>
              <m:sty m:val="p"/>
            </m:rPr>
            <w:rPr>
              <w:rFonts w:hint="eastAsia" w:ascii="Cambria Math" w:hAnsi="Cambria Math"/>
              <w:szCs w:val="21"/>
              <w14:ligatures w14:val="standardContextual"/>
            </w:rPr>
            <m:t>R</m:t>
          </m:r>
          <m:r>
            <m:rPr>
              <m:sty m:val="p"/>
            </m:rPr>
            <w:rPr>
              <w:rFonts w:ascii="Cambria Math" w:hAnsi="Cambria Math" w:cs="MS Gothic"/>
              <w:szCs w:val="21"/>
              <w14:ligatures w14:val="standardContextual"/>
            </w:rPr>
            <m:t>∗</m:t>
          </m:r>
          <m:r>
            <m:rPr/>
            <w:rPr>
              <w:rFonts w:ascii="Cambria Math" w:hAnsi="Cambria Math"/>
              <w:szCs w:val="21"/>
              <w14:ligatures w14:val="standardContextual"/>
            </w:rPr>
            <m:t>=</m:t>
          </m:r>
          <m:f>
            <m:fPr>
              <m:ctrlPr>
                <w:rPr>
                  <w:rFonts w:ascii="Cambria Math" w:hAnsi="Cambria Math"/>
                  <w:bCs/>
                  <w:i/>
                  <w:szCs w:val="21"/>
                  <w14:ligatures w14:val="standardContextual"/>
                </w:rPr>
              </m:ctrlPr>
            </m:fPr>
            <m:num>
              <m:r>
                <m:rPr/>
                <w:rPr>
                  <w:rFonts w:ascii="Cambria Math" w:hAnsi="Cambria Math"/>
                  <w:szCs w:val="21"/>
                  <w14:ligatures w14:val="standardContextual"/>
                </w:rPr>
                <m:t>F×</m:t>
              </m:r>
              <m:d>
                <m:dPr>
                  <m:ctrlPr>
                    <w:rPr>
                      <w:rFonts w:ascii="Cambria Math" w:hAnsi="Cambria Math"/>
                      <w:bCs/>
                      <w:i/>
                      <w:szCs w:val="21"/>
                      <w14:ligatures w14:val="standardContextual"/>
                    </w:rPr>
                  </m:ctrlPr>
                </m:dPr>
                <m:e>
                  <m:r>
                    <m:rPr/>
                    <w:rPr>
                      <w:rFonts w:ascii="Cambria Math" w:hAnsi="Cambria Math"/>
                      <w:szCs w:val="21"/>
                      <w14:ligatures w14:val="standardContextual"/>
                    </w:rPr>
                    <m:t>A−B</m:t>
                  </m:r>
                  <m:ctrlPr>
                    <w:rPr>
                      <w:rFonts w:ascii="Cambria Math" w:hAnsi="Cambria Math"/>
                      <w:bCs/>
                      <w:i/>
                      <w:szCs w:val="21"/>
                      <w14:ligatures w14:val="standardContextual"/>
                    </w:rPr>
                  </m:ctrlPr>
                </m:e>
              </m:d>
              <m:r>
                <m:rPr/>
                <w:rPr>
                  <w:rFonts w:ascii="Cambria Math" w:hAnsi="Cambria Math"/>
                  <w:szCs w:val="21"/>
                  <w14:ligatures w14:val="standardContextual"/>
                </w:rPr>
                <m:t>−</m:t>
              </m:r>
              <m:sSub>
                <m:sSubPr>
                  <m:ctrlPr>
                    <w:rPr>
                      <w:rFonts w:ascii="Cambria Math" w:hAnsi="Cambria Math"/>
                      <w:bCs/>
                      <w:i/>
                      <w:szCs w:val="21"/>
                      <w14:ligatures w14:val="standardContextual"/>
                    </w:rPr>
                  </m:ctrlPr>
                </m:sSubPr>
                <m:e>
                  <m:r>
                    <m:rPr/>
                    <w:rPr>
                      <w:rFonts w:ascii="Cambria Math" w:hAnsi="Cambria Math"/>
                      <w:szCs w:val="21"/>
                      <w14:ligatures w14:val="standardContextual"/>
                    </w:rPr>
                    <m:t>M</m:t>
                  </m:r>
                  <m:ctrlPr>
                    <w:rPr>
                      <w:rFonts w:ascii="Cambria Math" w:hAnsi="Cambria Math"/>
                      <w:bCs/>
                      <w:i/>
                      <w:szCs w:val="21"/>
                      <w14:ligatures w14:val="standardContextual"/>
                    </w:rPr>
                  </m:ctrlPr>
                </m:e>
                <m:sub>
                  <m:r>
                    <m:rPr/>
                    <w:rPr>
                      <w:rFonts w:ascii="Cambria Math" w:hAnsi="Cambria Math"/>
                      <w:szCs w:val="21"/>
                      <w14:ligatures w14:val="standardContextual"/>
                    </w:rPr>
                    <m:t>C</m:t>
                  </m:r>
                  <m:ctrlPr>
                    <w:rPr>
                      <w:rFonts w:ascii="Cambria Math" w:hAnsi="Cambria Math"/>
                      <w:bCs/>
                      <w:i/>
                      <w:szCs w:val="21"/>
                      <w14:ligatures w14:val="standardContextual"/>
                    </w:rPr>
                  </m:ctrlPr>
                </m:sub>
              </m:sSub>
              <m:ctrlPr>
                <w:rPr>
                  <w:rFonts w:ascii="Cambria Math" w:hAnsi="Cambria Math"/>
                  <w:bCs/>
                  <w:i/>
                  <w:szCs w:val="21"/>
                  <w14:ligatures w14:val="standardContextual"/>
                </w:rPr>
              </m:ctrlPr>
            </m:num>
            <m:den>
              <m:r>
                <m:rPr/>
                <w:rPr>
                  <w:rFonts w:ascii="Cambria Math" w:hAnsi="Cambria Math"/>
                  <w:szCs w:val="21"/>
                  <w14:ligatures w14:val="standardContextual"/>
                </w:rPr>
                <m:t>F×C</m:t>
              </m:r>
              <m:ctrlPr>
                <w:rPr>
                  <w:rFonts w:ascii="Cambria Math" w:hAnsi="Cambria Math"/>
                  <w:bCs/>
                  <w:i/>
                  <w:szCs w:val="21"/>
                  <w14:ligatures w14:val="standardContextual"/>
                </w:rPr>
              </m:ctrlPr>
            </m:den>
          </m:f>
          <m:r>
            <m:rPr/>
            <w:rPr>
              <w:rFonts w:ascii="Cambria Math" w:hAnsi="Cambria Math"/>
              <w:szCs w:val="21"/>
              <w14:ligatures w14:val="standardContextual"/>
            </w:rPr>
            <m:t>×</m:t>
          </m:r>
          <m:f>
            <m:fPr>
              <m:ctrlPr>
                <w:rPr>
                  <w:rFonts w:ascii="Cambria Math" w:hAnsi="Cambria Math"/>
                  <w:bCs/>
                  <w:i/>
                  <w:szCs w:val="21"/>
                  <w14:ligatures w14:val="standardContextual"/>
                </w:rPr>
              </m:ctrlPr>
            </m:fPr>
            <m:num>
              <m:r>
                <m:rPr/>
                <w:rPr>
                  <w:rFonts w:ascii="Cambria Math" w:hAnsi="Cambria Math"/>
                  <w:szCs w:val="21"/>
                  <w14:ligatures w14:val="standardContextual"/>
                </w:rPr>
                <m:t>365</m:t>
              </m:r>
              <m:ctrlPr>
                <w:rPr>
                  <w:rFonts w:ascii="Cambria Math" w:hAnsi="Cambria Math"/>
                  <w:bCs/>
                  <w:i/>
                  <w:szCs w:val="21"/>
                  <w14:ligatures w14:val="standardContextual"/>
                </w:rPr>
              </m:ctrlPr>
            </m:num>
            <m:den>
              <m:r>
                <m:rPr/>
                <w:rPr>
                  <w:rFonts w:ascii="Cambria Math" w:hAnsi="Cambria Math"/>
                  <w:szCs w:val="21"/>
                  <w14:ligatures w14:val="standardContextual"/>
                </w:rPr>
                <m:t>D</m:t>
              </m:r>
              <m:ctrlPr>
                <w:rPr>
                  <w:rFonts w:ascii="Cambria Math" w:hAnsi="Cambria Math"/>
                  <w:bCs/>
                  <w:i/>
                  <w:szCs w:val="21"/>
                  <w14:ligatures w14:val="standardContextual"/>
                </w:rPr>
              </m:ctrlPr>
            </m:den>
          </m:f>
          <m:r>
            <m:rPr/>
            <w:rPr>
              <w:rFonts w:ascii="Cambria Math" w:hAnsi="Cambria Math" w:cs="TimesNewRomanPSMT"/>
              <w:szCs w:val="21"/>
              <w14:ligatures w14:val="standardContextual"/>
            </w:rPr>
            <m:t>×100%</m:t>
          </m:r>
        </m:oMath>
      </m:oMathPara>
    </w:p>
    <w:p>
      <w:pPr>
        <w:adjustRightInd w:val="0"/>
        <w:snapToGrid w:val="0"/>
        <w:spacing w:line="360" w:lineRule="auto"/>
        <w:ind w:left="60" w:firstLine="420"/>
        <w:rPr>
          <w:rFonts w:ascii="宋体" w:hAnsi="宋体"/>
          <w:szCs w:val="21"/>
        </w:rPr>
      </w:pPr>
      <w:r>
        <w:rPr>
          <w:rFonts w:hint="eastAsia" w:ascii="宋体" w:hAnsi="宋体"/>
          <w:szCs w:val="21"/>
        </w:rPr>
        <w:t>R为该笔基金份额持有期间的年化收益率；</w:t>
      </w:r>
      <w:r>
        <w:rPr>
          <w:rFonts w:ascii="宋体" w:hAnsi="宋体"/>
          <w:bCs/>
          <w:szCs w:val="21"/>
          <w14:ligatures w14:val="standardContextual"/>
        </w:rPr>
        <w:t>R</w:t>
      </w:r>
      <w:r>
        <w:rPr>
          <w:rFonts w:ascii="宋体" w:hAnsi="宋体"/>
          <w:bCs/>
          <w:szCs w:val="21"/>
          <w:vertAlign w:val="subscript"/>
          <w14:ligatures w14:val="standardContextual"/>
        </w:rPr>
        <w:t>b</w:t>
      </w:r>
      <w:r>
        <w:rPr>
          <w:rFonts w:hint="eastAsia" w:ascii="宋体" w:hAnsi="宋体"/>
          <w:szCs w:val="21"/>
        </w:rPr>
        <w:t>为本基金业绩比较基准同期年化收益率；</w:t>
      </w:r>
    </w:p>
    <w:p>
      <w:pPr>
        <w:adjustRightInd w:val="0"/>
        <w:snapToGrid w:val="0"/>
        <w:spacing w:line="360" w:lineRule="auto"/>
        <w:ind w:left="60" w:firstLine="420"/>
        <w:rPr>
          <w:rFonts w:ascii="宋体" w:hAnsi="宋体"/>
          <w:szCs w:val="21"/>
        </w:rPr>
      </w:pPr>
      <w:r>
        <w:rPr>
          <w:rFonts w:hint="eastAsia" w:ascii="宋体" w:hAnsi="宋体"/>
          <w:szCs w:val="21"/>
        </w:rPr>
        <w:t>A为该笔基金份额赎回日、转换转出日或基金合同终止情形发生日的基金份额累计净值；</w:t>
      </w:r>
    </w:p>
    <w:p>
      <w:pPr>
        <w:adjustRightInd w:val="0"/>
        <w:snapToGrid w:val="0"/>
        <w:spacing w:line="360" w:lineRule="auto"/>
        <w:ind w:left="60" w:firstLine="420"/>
        <w:rPr>
          <w:rFonts w:ascii="宋体" w:hAnsi="宋体"/>
          <w:szCs w:val="21"/>
        </w:rPr>
      </w:pPr>
      <w:r>
        <w:rPr>
          <w:rFonts w:hint="eastAsia" w:ascii="宋体" w:hAnsi="宋体"/>
          <w:szCs w:val="21"/>
        </w:rPr>
        <w:t>B为该笔基金份额认/申购/转换转入日的基金份额累计净值，其中份额认购日的基金份额（累计）净值为1.00元；</w:t>
      </w:r>
    </w:p>
    <w:p>
      <w:pPr>
        <w:adjustRightInd w:val="0"/>
        <w:snapToGrid w:val="0"/>
        <w:spacing w:line="360" w:lineRule="auto"/>
        <w:ind w:left="60" w:firstLine="420"/>
        <w:rPr>
          <w:rFonts w:ascii="宋体" w:hAnsi="宋体"/>
          <w:szCs w:val="21"/>
        </w:rPr>
      </w:pPr>
      <w:r>
        <w:rPr>
          <w:rFonts w:hint="eastAsia" w:ascii="宋体" w:hAnsi="宋体"/>
          <w:szCs w:val="21"/>
        </w:rPr>
        <w:t>C为该笔基金份额认/申购/转换转入日的基金份额净值，</w:t>
      </w:r>
      <w:r>
        <w:rPr>
          <w:rFonts w:hint="eastAsia" w:ascii="宋体" w:hAnsi="宋体"/>
          <w:bCs/>
          <w:szCs w:val="21"/>
          <w14:ligatures w14:val="standardContextual"/>
        </w:rPr>
        <w:t>其中</w:t>
      </w:r>
      <w:r>
        <w:rPr>
          <w:rFonts w:ascii="宋体" w:hAnsi="宋体"/>
          <w:bCs/>
          <w:szCs w:val="21"/>
          <w14:ligatures w14:val="standardContextual"/>
        </w:rPr>
        <w:t>份额认购日的基金份额净值为</w:t>
      </w:r>
      <w:r>
        <w:rPr>
          <w:rFonts w:hint="eastAsia" w:ascii="宋体" w:hAnsi="宋体"/>
          <w:bCs/>
          <w:szCs w:val="21"/>
          <w14:ligatures w14:val="standardContextual"/>
        </w:rPr>
        <w:t>1</w:t>
      </w:r>
      <w:r>
        <w:rPr>
          <w:rFonts w:ascii="宋体" w:hAnsi="宋体"/>
          <w:bCs/>
          <w:szCs w:val="21"/>
          <w14:ligatures w14:val="standardContextual"/>
        </w:rPr>
        <w:t>.00元</w:t>
      </w:r>
      <w:r>
        <w:rPr>
          <w:rFonts w:hint="eastAsia" w:ascii="宋体" w:hAnsi="宋体"/>
          <w:szCs w:val="21"/>
        </w:rPr>
        <w:t>；</w:t>
      </w:r>
    </w:p>
    <w:p>
      <w:pPr>
        <w:adjustRightInd w:val="0"/>
        <w:snapToGrid w:val="0"/>
        <w:spacing w:line="360" w:lineRule="auto"/>
        <w:ind w:left="60" w:firstLine="420"/>
        <w:rPr>
          <w:rFonts w:ascii="宋体" w:hAnsi="宋体"/>
          <w:szCs w:val="21"/>
        </w:rPr>
      </w:pPr>
      <w:r>
        <w:rPr>
          <w:rFonts w:hint="eastAsia" w:ascii="宋体" w:hAnsi="宋体"/>
          <w:szCs w:val="21"/>
        </w:rPr>
        <w:t>D为基金合同生效日（针对募集期内认购的基金份额）或该笔基金份额申购/转换转入确认日与赎回/转换转出确认日或基金合同终止情形发生日下一工作日的间隔天数；</w:t>
      </w:r>
    </w:p>
    <w:p>
      <w:pPr>
        <w:adjustRightInd w:val="0"/>
        <w:snapToGrid w:val="0"/>
        <w:spacing w:line="360" w:lineRule="auto"/>
        <w:ind w:left="60" w:firstLine="420"/>
        <w:rPr>
          <w:rFonts w:ascii="宋体" w:hAnsi="宋体"/>
          <w:bCs/>
          <w:szCs w:val="21"/>
          <w14:ligatures w14:val="standardContextual"/>
        </w:rPr>
      </w:pPr>
      <w:r>
        <w:rPr>
          <w:rFonts w:hint="eastAsia" w:ascii="宋体" w:hAnsi="宋体"/>
          <w:bCs/>
          <w:szCs w:val="21"/>
          <w14:ligatures w14:val="standardContextual"/>
        </w:rPr>
        <w:t>F为该笔基金份额的份额数；</w:t>
      </w:r>
    </w:p>
    <w:p>
      <w:pPr>
        <w:spacing w:line="360" w:lineRule="auto"/>
        <w:ind w:firstLine="420" w:firstLineChars="200"/>
        <w:rPr>
          <w:rFonts w:ascii="宋体" w:hAnsi="宋体"/>
          <w:bCs/>
          <w:szCs w:val="21"/>
          <w14:ligatures w14:val="standardContextual"/>
        </w:rPr>
      </w:pPr>
      <w:r>
        <w:rPr>
          <w:rFonts w:ascii="Cambria Math" w:hAnsi="Cambria Math" w:cs="Cambria Math"/>
          <w:bCs/>
          <w:szCs w:val="21"/>
          <w14:ligatures w14:val="standardContextual"/>
        </w:rPr>
        <w:t>𝑀𝑐</w:t>
      </w:r>
      <w:r>
        <w:rPr>
          <w:rFonts w:hint="eastAsia" w:ascii="宋体" w:hAnsi="宋体"/>
          <w:bCs/>
          <w:szCs w:val="21"/>
          <w14:ligatures w14:val="standardContextual"/>
        </w:rPr>
        <w:t>为该笔基金份额持有期限内累计计算的超额管理费。</w:t>
      </w:r>
    </w:p>
    <w:p>
      <w:pPr>
        <w:spacing w:line="360" w:lineRule="auto"/>
        <w:ind w:firstLine="420" w:firstLineChars="200"/>
        <w:rPr>
          <w:rFonts w:ascii="宋体" w:hAnsi="宋体"/>
          <w:bCs/>
          <w:szCs w:val="21"/>
          <w14:ligatures w14:val="standardContextual"/>
        </w:rPr>
      </w:pPr>
      <w:r>
        <w:rPr>
          <w:rFonts w:hint="eastAsia" w:ascii="宋体" w:hAnsi="宋体"/>
          <w:bCs/>
          <w:szCs w:val="21"/>
          <w14:ligatures w14:val="standardContextual"/>
        </w:rPr>
        <w:t>对于已经确认为基金管理人收入的</w:t>
      </w:r>
      <w:r>
        <w:rPr>
          <w:rFonts w:hint="eastAsia" w:ascii="宋体" w:hAnsi="宋体"/>
          <w:bCs/>
          <w:szCs w:val="21"/>
        </w:rPr>
        <w:t>或有管理费和超额管理费，经基金管理人与基金托管人双方核对无误后，基金托管人按照与基金管理人协商一致的方式于次月前</w:t>
      </w:r>
      <w:r>
        <w:rPr>
          <w:rFonts w:ascii="宋体" w:hAnsi="宋体"/>
          <w:bCs/>
          <w:szCs w:val="21"/>
        </w:rPr>
        <w:t>5</w:t>
      </w:r>
      <w:r>
        <w:rPr>
          <w:rFonts w:hint="eastAsia" w:ascii="宋体" w:hAnsi="宋体"/>
          <w:bCs/>
          <w:szCs w:val="21"/>
        </w:rPr>
        <w:t>个工作日内从基金财产中一次性支付给基金管理人。若遇法定节假日、公休假或不可抗力等，支付日期顺延。</w:t>
      </w:r>
    </w:p>
    <w:p>
      <w:pPr>
        <w:spacing w:line="360" w:lineRule="auto"/>
        <w:ind w:firstLine="420" w:firstLineChars="200"/>
        <w:rPr>
          <w:rFonts w:ascii="宋体" w:hAnsi="宋体"/>
          <w:bCs/>
          <w:szCs w:val="21"/>
        </w:rPr>
      </w:pPr>
      <w:r>
        <w:rPr>
          <w:rFonts w:hint="eastAsia" w:ascii="宋体" w:hAnsi="宋体"/>
          <w:bCs/>
          <w:szCs w:val="21"/>
        </w:rPr>
        <w:t>（3）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spacing w:line="360" w:lineRule="auto"/>
        <w:ind w:firstLine="420" w:firstLineChars="200"/>
        <w:rPr>
          <w:rFonts w:ascii="宋体" w:hAnsi="宋体" w:cs="宋体"/>
          <w:kern w:val="0"/>
          <w:szCs w:val="21"/>
        </w:rPr>
      </w:pPr>
      <w:r>
        <w:rPr>
          <w:rFonts w:hint="eastAsia" w:ascii="宋体" w:hAnsi="宋体" w:cs="宋体"/>
          <w:kern w:val="0"/>
          <w:szCs w:val="21"/>
        </w:rPr>
        <w:t>2、基金托管人的托管费</w:t>
      </w:r>
    </w:p>
    <w:p>
      <w:pPr>
        <w:spacing w:line="360" w:lineRule="auto"/>
        <w:ind w:firstLine="420" w:firstLineChars="200"/>
        <w:rPr>
          <w:rFonts w:ascii="宋体" w:hAnsi="宋体" w:cs="宋体"/>
          <w:kern w:val="0"/>
          <w:szCs w:val="21"/>
        </w:rPr>
      </w:pPr>
      <w:r>
        <w:rPr>
          <w:rFonts w:hint="eastAsia" w:ascii="宋体" w:hAnsi="宋体" w:cs="宋体"/>
          <w:kern w:val="0"/>
          <w:szCs w:val="21"/>
        </w:rPr>
        <w:t>本基金的托管费按前一日基金资产净值的0.20%年费率计提。托管费的计算方法如下：</w:t>
      </w:r>
    </w:p>
    <w:p>
      <w:pPr>
        <w:spacing w:line="360" w:lineRule="auto"/>
        <w:ind w:firstLine="420" w:firstLineChars="200"/>
        <w:rPr>
          <w:rFonts w:ascii="宋体" w:hAnsi="宋体" w:cs="宋体"/>
          <w:kern w:val="0"/>
          <w:szCs w:val="21"/>
        </w:rPr>
      </w:pPr>
      <w:r>
        <w:rPr>
          <w:rFonts w:hint="eastAsia" w:ascii="宋体" w:hAnsi="宋体" w:cs="宋体"/>
          <w:kern w:val="0"/>
          <w:szCs w:val="21"/>
        </w:rPr>
        <w:t>H＝E×0.20%÷当年天数</w:t>
      </w:r>
    </w:p>
    <w:p>
      <w:pPr>
        <w:spacing w:line="360" w:lineRule="auto"/>
        <w:ind w:firstLine="420" w:firstLineChars="200"/>
        <w:rPr>
          <w:rFonts w:ascii="宋体" w:hAnsi="宋体" w:cs="宋体"/>
          <w:kern w:val="0"/>
          <w:szCs w:val="21"/>
        </w:rPr>
      </w:pPr>
      <w:r>
        <w:rPr>
          <w:rFonts w:hint="eastAsia" w:ascii="宋体" w:hAnsi="宋体" w:cs="宋体"/>
          <w:kern w:val="0"/>
          <w:szCs w:val="21"/>
        </w:rPr>
        <w:t>H为每日应计提的基金托管费</w:t>
      </w:r>
    </w:p>
    <w:p>
      <w:pPr>
        <w:spacing w:line="360" w:lineRule="auto"/>
        <w:ind w:firstLine="420" w:firstLineChars="200"/>
        <w:rPr>
          <w:rFonts w:ascii="宋体" w:hAnsi="宋体" w:cs="宋体"/>
          <w:kern w:val="0"/>
          <w:szCs w:val="21"/>
        </w:rPr>
      </w:pPr>
      <w:r>
        <w:rPr>
          <w:rFonts w:hint="eastAsia" w:ascii="宋体" w:hAnsi="宋体" w:cs="宋体"/>
          <w:kern w:val="0"/>
          <w:szCs w:val="21"/>
        </w:rPr>
        <w:t>E为前一日的基金资产净值</w:t>
      </w:r>
    </w:p>
    <w:p>
      <w:pPr>
        <w:spacing w:line="360" w:lineRule="auto"/>
        <w:ind w:firstLine="420" w:firstLineChars="200"/>
        <w:rPr>
          <w:rFonts w:ascii="宋体" w:hAnsi="宋体" w:cs="宋体"/>
          <w:kern w:val="0"/>
          <w:szCs w:val="21"/>
        </w:rPr>
      </w:pPr>
      <w:r>
        <w:rPr>
          <w:rFonts w:hint="eastAsia" w:ascii="宋体" w:hAnsi="宋体" w:cs="宋体"/>
          <w:kern w:val="0"/>
          <w:szCs w:val="21"/>
        </w:rPr>
        <w:t>基金托管费每日计提，逐日累计至每个月月末，按月支付。经基金管理人与基金托管人双方核对无误后，基金托管人按照与基金管理人协商一致的方式于次月前</w:t>
      </w:r>
      <w:r>
        <w:rPr>
          <w:rFonts w:ascii="宋体" w:hAnsi="宋体" w:cs="宋体"/>
          <w:kern w:val="0"/>
          <w:szCs w:val="21"/>
        </w:rPr>
        <w:t>5</w:t>
      </w:r>
      <w:r>
        <w:rPr>
          <w:rFonts w:hint="eastAsia" w:ascii="宋体" w:hAnsi="宋体" w:cs="宋体"/>
          <w:kern w:val="0"/>
          <w:szCs w:val="21"/>
        </w:rPr>
        <w:t>个工作日内从基金财产中一次性支取。若遇法定节假日、公休假或不可抗力等，支付日期顺延。</w:t>
      </w:r>
    </w:p>
    <w:p>
      <w:pPr>
        <w:spacing w:line="348"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、销售服务费</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rPr>
        <w:t>本基金A类基金份额不收取销售服务费。</w:t>
      </w:r>
      <w:r>
        <w:rPr>
          <w:rFonts w:hint="eastAsia" w:ascii="宋体" w:hAnsi="宋体" w:cs="宋体"/>
          <w:kern w:val="0"/>
          <w:sz w:val="21"/>
          <w:szCs w:val="21"/>
          <w:lang w:bidi="en-US"/>
        </w:rPr>
        <w:t>通过直销机构认购</w:t>
      </w:r>
      <w:r>
        <w:rPr>
          <w:rFonts w:ascii="宋体" w:hAnsi="宋体" w:cs="宋体"/>
          <w:kern w:val="0"/>
          <w:sz w:val="21"/>
          <w:szCs w:val="21"/>
          <w:lang w:bidi="en-US"/>
        </w:rPr>
        <w:t>/申购本基金C类基金份额不收取销售服务费</w:t>
      </w:r>
      <w:r>
        <w:rPr>
          <w:rFonts w:hint="eastAsia" w:ascii="宋体" w:hAnsi="宋体" w:cs="宋体"/>
          <w:kern w:val="0"/>
          <w:sz w:val="21"/>
          <w:szCs w:val="21"/>
        </w:rPr>
        <w:t>；</w:t>
      </w:r>
      <w:r>
        <w:rPr>
          <w:rFonts w:hint="eastAsia" w:ascii="宋体" w:hAnsi="宋体" w:cs="宋体"/>
          <w:kern w:val="0"/>
          <w:sz w:val="21"/>
          <w:szCs w:val="21"/>
          <w:lang w:bidi="en-US"/>
        </w:rPr>
        <w:t>通过非直销销售机构认购</w:t>
      </w:r>
      <w:r>
        <w:rPr>
          <w:rFonts w:ascii="宋体" w:hAnsi="宋体" w:cs="宋体"/>
          <w:kern w:val="0"/>
          <w:sz w:val="21"/>
          <w:szCs w:val="21"/>
          <w:lang w:bidi="en-US"/>
        </w:rPr>
        <w:t>/申购本基金</w:t>
      </w:r>
      <w:r>
        <w:rPr>
          <w:rFonts w:ascii="宋体" w:hAnsi="宋体" w:cs="宋体"/>
          <w:kern w:val="0"/>
          <w:sz w:val="21"/>
          <w:szCs w:val="21"/>
        </w:rPr>
        <w:t>C类基金份额</w:t>
      </w:r>
      <w:bookmarkStart w:id="185" w:name="_Hlk218433597"/>
      <w:bookmarkStart w:id="186" w:name="_Hlk218539002"/>
      <w:r>
        <w:rPr>
          <w:rFonts w:hint="eastAsia" w:ascii="宋体" w:hAnsi="宋体" w:cs="宋体"/>
          <w:kern w:val="0"/>
          <w:sz w:val="21"/>
          <w:szCs w:val="21"/>
          <w:lang w:bidi="en-US"/>
        </w:rPr>
        <w:t>且持续持有期限未超过一年的，收取销售服务费</w:t>
      </w:r>
      <w:bookmarkEnd w:id="185"/>
      <w:r>
        <w:rPr>
          <w:rFonts w:hint="eastAsia" w:ascii="宋体" w:hAnsi="宋体" w:cs="宋体"/>
          <w:kern w:val="0"/>
          <w:sz w:val="21"/>
          <w:szCs w:val="21"/>
          <w:lang w:bidi="en-US"/>
        </w:rPr>
        <w:t>。</w:t>
      </w:r>
      <w:bookmarkStart w:id="187" w:name="_Hlk218433623"/>
      <w:r>
        <w:rPr>
          <w:rFonts w:ascii="宋体" w:hAnsi="宋体" w:cs="宋体"/>
          <w:kern w:val="0"/>
          <w:sz w:val="21"/>
          <w:szCs w:val="21"/>
          <w:lang w:bidi="en-US"/>
        </w:rPr>
        <w:t>本基金C类基金份额</w:t>
      </w:r>
      <w:bookmarkEnd w:id="186"/>
      <w:bookmarkEnd w:id="187"/>
      <w:r>
        <w:rPr>
          <w:rFonts w:ascii="宋体" w:hAnsi="宋体" w:cs="宋体"/>
          <w:kern w:val="0"/>
          <w:sz w:val="21"/>
          <w:szCs w:val="21"/>
        </w:rPr>
        <w:t>的销售服务费按前一日C类基金份额的基金资产净值的0.40%年费率计提</w:t>
      </w:r>
      <w:r>
        <w:rPr>
          <w:rFonts w:hint="eastAsia" w:ascii="宋体" w:hAnsi="宋体" w:cs="宋体"/>
          <w:bCs w:val="0"/>
          <w:kern w:val="0"/>
          <w:sz w:val="21"/>
          <w:szCs w:val="21"/>
        </w:rPr>
        <w:t>。销售服务费的计算方法如下：</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rPr>
        <w:t>H＝E×</w:t>
      </w:r>
      <w:r>
        <w:rPr>
          <w:rFonts w:ascii="宋体" w:hAnsi="宋体" w:cs="宋体"/>
          <w:bCs w:val="0"/>
          <w:kern w:val="0"/>
          <w:sz w:val="21"/>
          <w:szCs w:val="21"/>
        </w:rPr>
        <w:t>0.40</w:t>
      </w:r>
      <w:r>
        <w:rPr>
          <w:rFonts w:hint="eastAsia" w:ascii="宋体" w:hAnsi="宋体" w:cs="宋体"/>
          <w:bCs w:val="0"/>
          <w:kern w:val="0"/>
          <w:sz w:val="21"/>
          <w:szCs w:val="21"/>
        </w:rPr>
        <w:t>%÷当年天数</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rPr>
        <w:t>H为C类基金份额每日应计提的销售服务费</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rPr>
        <w:t>E为C类基金份额前一日的基金资产净值</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rPr>
        <w:t>销售服务费每日计提。</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rPr>
        <w:t>（1）直销机构渠道：</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lang w:bidi="en-US"/>
        </w:rPr>
        <w:t>对于投资者通过直销机构认购/申购的本基金C类基金份额计提的销售服务费将在投资者赎回相应基金份额或基金合同终止时随赎回款或清算款一并返还给投资者。</w:t>
      </w:r>
      <w:r>
        <w:rPr>
          <w:rFonts w:hint="eastAsia" w:ascii="宋体" w:hAnsi="宋体" w:cs="宋体"/>
          <w:bCs w:val="0"/>
          <w:kern w:val="0"/>
          <w:sz w:val="21"/>
          <w:szCs w:val="21"/>
        </w:rPr>
        <w:t>若遇法定节假日、公休日或不可抗力等，支付日期顺延。</w:t>
      </w:r>
    </w:p>
    <w:p>
      <w:pPr>
        <w:spacing w:line="348" w:lineRule="auto"/>
        <w:ind w:firstLine="420" w:firstLineChars="200"/>
        <w:rPr>
          <w:rFonts w:ascii="宋体" w:hAnsi="宋体" w:cs="宋体"/>
          <w:bCs w:val="0"/>
          <w:kern w:val="0"/>
          <w:sz w:val="21"/>
          <w:szCs w:val="21"/>
        </w:rPr>
      </w:pPr>
      <w:r>
        <w:rPr>
          <w:rFonts w:hint="eastAsia" w:ascii="宋体" w:hAnsi="宋体" w:cs="宋体"/>
          <w:bCs w:val="0"/>
          <w:kern w:val="0"/>
          <w:sz w:val="21"/>
          <w:szCs w:val="21"/>
        </w:rPr>
        <w:t>（2）非直销销售机构渠道：</w:t>
      </w:r>
    </w:p>
    <w:p>
      <w:pPr>
        <w:spacing w:line="348" w:lineRule="auto"/>
        <w:ind w:firstLine="420" w:firstLineChars="200"/>
        <w:rPr>
          <w:rFonts w:ascii="宋体" w:hAnsi="宋体" w:cs="宋体"/>
          <w:bCs w:val="0"/>
          <w:kern w:val="0"/>
          <w:sz w:val="21"/>
          <w:szCs w:val="21"/>
          <w:lang w:bidi="en-US"/>
        </w:rPr>
      </w:pPr>
      <w:r>
        <w:rPr>
          <w:rFonts w:hint="eastAsia" w:ascii="宋体" w:hAnsi="宋体" w:cs="宋体"/>
          <w:bCs w:val="0"/>
          <w:kern w:val="0"/>
          <w:sz w:val="21"/>
          <w:szCs w:val="21"/>
          <w:lang w:bidi="en-US"/>
        </w:rPr>
        <w:t>对于投资者通过非直销销售机构认购/申购且持续持有期限未超过1年的C类基金份额收取的销售服务费</w:t>
      </w:r>
      <w:r>
        <w:rPr>
          <w:rFonts w:hint="eastAsia" w:ascii="宋体" w:hAnsi="宋体" w:cs="宋体"/>
          <w:bCs w:val="0"/>
          <w:kern w:val="0"/>
          <w:sz w:val="21"/>
          <w:szCs w:val="21"/>
        </w:rPr>
        <w:t>逐日累计至每个月月末，按月支付，基金托管人</w:t>
      </w:r>
      <w:r>
        <w:rPr>
          <w:rFonts w:hint="eastAsia" w:ascii="宋体" w:hAnsi="宋体" w:cs="宋体"/>
          <w:bCs w:val="0"/>
          <w:kern w:val="0"/>
          <w:sz w:val="21"/>
          <w:szCs w:val="21"/>
          <w:lang w:val="en-US" w:eastAsia="zh-CN"/>
        </w:rPr>
        <w:t>根据基金管理人发送的划款指令或</w:t>
      </w:r>
      <w:r>
        <w:rPr>
          <w:rFonts w:hint="eastAsia" w:ascii="宋体" w:hAnsi="宋体" w:cs="宋体"/>
          <w:bCs w:val="0"/>
          <w:kern w:val="0"/>
          <w:sz w:val="21"/>
          <w:szCs w:val="21"/>
        </w:rPr>
        <w:t>与基金管理人协商一致的方式</w:t>
      </w:r>
      <w:r>
        <w:rPr>
          <w:rFonts w:hint="eastAsia" w:ascii="宋体" w:hAnsi="宋体" w:cs="宋体"/>
          <w:bCs w:val="0"/>
          <w:kern w:val="0"/>
          <w:sz w:val="21"/>
          <w:szCs w:val="21"/>
          <w:lang w:eastAsia="zh-CN"/>
        </w:rPr>
        <w:t>，</w:t>
      </w:r>
      <w:r>
        <w:rPr>
          <w:rFonts w:hint="eastAsia" w:ascii="宋体" w:hAnsi="宋体" w:cs="宋体"/>
          <w:bCs w:val="0"/>
          <w:kern w:val="0"/>
          <w:sz w:val="21"/>
          <w:szCs w:val="21"/>
        </w:rPr>
        <w:t>于次月前</w:t>
      </w:r>
      <w:r>
        <w:rPr>
          <w:rFonts w:ascii="宋体" w:hAnsi="宋体" w:cs="宋体"/>
          <w:bCs w:val="0"/>
          <w:kern w:val="0"/>
          <w:sz w:val="21"/>
          <w:szCs w:val="21"/>
        </w:rPr>
        <w:t>5</w:t>
      </w:r>
      <w:r>
        <w:rPr>
          <w:rFonts w:hint="eastAsia" w:ascii="宋体" w:hAnsi="宋体" w:cs="宋体"/>
          <w:bCs w:val="0"/>
          <w:kern w:val="0"/>
          <w:sz w:val="21"/>
          <w:szCs w:val="21"/>
        </w:rPr>
        <w:t>个工作日内从基金财产中一次性支付给基金管理人，由基金管理人代付给销售机构。若遇法定节假日、公休假或不可抗力等，支付日期顺延。</w:t>
      </w:r>
    </w:p>
    <w:p>
      <w:pPr>
        <w:spacing w:line="348" w:lineRule="auto"/>
        <w:ind w:firstLine="420" w:firstLineChars="200"/>
        <w:rPr>
          <w:rFonts w:ascii="宋体" w:hAnsi="宋体" w:cs="宋体"/>
          <w:bCs w:val="0"/>
          <w:kern w:val="0"/>
          <w:sz w:val="21"/>
          <w:szCs w:val="21"/>
          <w:lang w:bidi="en-US"/>
        </w:rPr>
      </w:pPr>
      <w:r>
        <w:rPr>
          <w:rFonts w:hint="eastAsia" w:ascii="宋体" w:hAnsi="宋体" w:cs="宋体"/>
          <w:bCs w:val="0"/>
          <w:kern w:val="0"/>
          <w:sz w:val="21"/>
          <w:szCs w:val="21"/>
          <w:lang w:bidi="en-US"/>
        </w:rPr>
        <w:t>对于投资者通过非直销销售机构认购/申购本基金C类基金份额且持续持有期限超过一年继续计提的销售服务费将在投资者赎回相应基金份额或基金合同终止时随赎回款或清算款一并返还给投资者。</w:t>
      </w:r>
      <w:r>
        <w:rPr>
          <w:rFonts w:hint="eastAsia" w:ascii="宋体" w:hAnsi="宋体" w:cs="宋体"/>
          <w:bCs w:val="0"/>
          <w:kern w:val="0"/>
          <w:sz w:val="21"/>
          <w:szCs w:val="21"/>
        </w:rPr>
        <w:t>若遇法定节假日、公休日或不可抗力等，支付日期顺延。</w:t>
      </w:r>
    </w:p>
    <w:p>
      <w:pPr>
        <w:spacing w:line="348" w:lineRule="auto"/>
        <w:ind w:firstLine="420" w:firstLineChars="200"/>
        <w:rPr>
          <w:rFonts w:ascii="宋体" w:hAnsi="宋体" w:cs="宋体"/>
          <w:kern w:val="0"/>
          <w:szCs w:val="21"/>
        </w:rPr>
      </w:pPr>
      <w:r>
        <w:rPr>
          <w:rFonts w:hint="eastAsia" w:ascii="宋体" w:hAnsi="宋体" w:cs="宋体"/>
          <w:bCs w:val="0"/>
          <w:kern w:val="0"/>
          <w:sz w:val="21"/>
          <w:szCs w:val="21"/>
          <w:lang w:bidi="en-US"/>
        </w:rPr>
        <w:t>上述持续持有期限为基金合同生效日（针对募集期内认购的基金份额）或该笔份额申购确认日与赎回确认日或基金合同终止情形发生日下一工作日的间隔天数。</w:t>
      </w:r>
    </w:p>
    <w:p>
      <w:pPr>
        <w:spacing w:line="360" w:lineRule="auto"/>
        <w:ind w:firstLine="420" w:firstLineChars="200"/>
        <w:rPr>
          <w:rFonts w:ascii="宋体" w:hAnsi="宋体" w:cs="宋体"/>
          <w:kern w:val="0"/>
          <w:szCs w:val="21"/>
        </w:rPr>
      </w:pPr>
      <w:r>
        <w:rPr>
          <w:rFonts w:hint="eastAsia" w:ascii="宋体" w:hAnsi="宋体" w:cs="宋体"/>
          <w:kern w:val="0"/>
          <w:szCs w:val="21"/>
        </w:rPr>
        <w:t>4、上述“（一）基金费用的种类”中第</w:t>
      </w:r>
      <w:r>
        <w:rPr>
          <w:rFonts w:ascii="宋体" w:hAnsi="宋体" w:cs="宋体"/>
          <w:kern w:val="0"/>
          <w:szCs w:val="21"/>
        </w:rPr>
        <w:t>4</w:t>
      </w: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项费用，根据有关法规及相应协议规定，按费用实际支出金额列入当期费用，由基金托管人从基金财产中支付。</w:t>
      </w:r>
    </w:p>
    <w:p>
      <w:pPr>
        <w:spacing w:line="360" w:lineRule="auto"/>
        <w:ind w:firstLine="420" w:firstLineChars="200"/>
        <w:rPr>
          <w:rFonts w:ascii="宋体" w:hAnsi="宋体" w:cs="宋体"/>
          <w:kern w:val="0"/>
          <w:szCs w:val="21"/>
        </w:rPr>
      </w:pPr>
      <w:r>
        <w:rPr>
          <w:rFonts w:hint="eastAsia" w:ascii="宋体" w:hAnsi="宋体" w:cs="宋体"/>
          <w:kern w:val="0"/>
          <w:szCs w:val="21"/>
        </w:rPr>
        <w:t>（三）不列入基金费用的项目</w:t>
      </w:r>
    </w:p>
    <w:p>
      <w:pPr>
        <w:spacing w:line="360" w:lineRule="auto"/>
        <w:ind w:firstLine="420" w:firstLineChars="200"/>
        <w:rPr>
          <w:rFonts w:ascii="宋体" w:hAnsi="宋体" w:cs="宋体"/>
          <w:kern w:val="0"/>
          <w:szCs w:val="21"/>
        </w:rPr>
      </w:pPr>
      <w:r>
        <w:rPr>
          <w:rFonts w:hint="eastAsia" w:ascii="宋体" w:hAnsi="宋体" w:cs="宋体"/>
          <w:kern w:val="0"/>
          <w:szCs w:val="21"/>
        </w:rPr>
        <w:t>下列费用不列入基金费用：</w:t>
      </w:r>
    </w:p>
    <w:p>
      <w:pPr>
        <w:spacing w:line="360" w:lineRule="auto"/>
        <w:ind w:firstLine="420" w:firstLineChars="200"/>
        <w:rPr>
          <w:rFonts w:ascii="宋体" w:hAnsi="宋体" w:cs="宋体"/>
          <w:kern w:val="0"/>
          <w:szCs w:val="21"/>
        </w:rPr>
      </w:pPr>
      <w:r>
        <w:rPr>
          <w:rFonts w:hint="eastAsia" w:ascii="宋体" w:hAnsi="宋体" w:cs="宋体"/>
          <w:kern w:val="0"/>
          <w:szCs w:val="21"/>
        </w:rPr>
        <w:t>1、基金管理人和基金托管人因未履行或未完全履行义务导致的费用支出或基金财产的损失；</w:t>
      </w:r>
    </w:p>
    <w:p>
      <w:pPr>
        <w:spacing w:line="360" w:lineRule="auto"/>
        <w:ind w:firstLine="420" w:firstLineChars="200"/>
        <w:rPr>
          <w:rFonts w:ascii="宋体" w:hAnsi="宋体" w:cs="宋体"/>
          <w:kern w:val="0"/>
          <w:szCs w:val="21"/>
        </w:rPr>
      </w:pPr>
      <w:r>
        <w:rPr>
          <w:rFonts w:hint="eastAsia" w:ascii="宋体" w:hAnsi="宋体" w:cs="宋体"/>
          <w:kern w:val="0"/>
          <w:szCs w:val="21"/>
        </w:rPr>
        <w:t>2、基金管理人和基金托管人处理与基金运作无关的事项发生的费用；</w:t>
      </w:r>
    </w:p>
    <w:p>
      <w:pPr>
        <w:spacing w:line="360" w:lineRule="auto"/>
        <w:ind w:firstLine="420" w:firstLineChars="200"/>
        <w:rPr>
          <w:rFonts w:ascii="宋体" w:hAnsi="宋体" w:cs="宋体"/>
          <w:kern w:val="0"/>
          <w:szCs w:val="21"/>
        </w:rPr>
      </w:pPr>
      <w:r>
        <w:rPr>
          <w:rFonts w:hint="eastAsia" w:ascii="宋体" w:hAnsi="宋体" w:cs="宋体"/>
          <w:kern w:val="0"/>
          <w:szCs w:val="21"/>
        </w:rPr>
        <w:t>3、《基金合同》生效前的相关费用；</w:t>
      </w:r>
    </w:p>
    <w:p>
      <w:pPr>
        <w:spacing w:line="360" w:lineRule="auto"/>
        <w:ind w:firstLine="420" w:firstLineChars="200"/>
        <w:rPr>
          <w:rFonts w:ascii="宋体" w:hAnsi="宋体" w:cs="宋体"/>
          <w:kern w:val="0"/>
          <w:szCs w:val="21"/>
        </w:rPr>
      </w:pPr>
      <w:r>
        <w:rPr>
          <w:rFonts w:hint="eastAsia" w:ascii="宋体" w:hAnsi="宋体" w:cs="宋体"/>
          <w:kern w:val="0"/>
          <w:szCs w:val="21"/>
        </w:rPr>
        <w:t>4、其他根据相关法律法规及中国证监会的有关规定不得列入基金费用的项目。</w:t>
      </w:r>
    </w:p>
    <w:p>
      <w:pPr>
        <w:spacing w:line="360" w:lineRule="auto"/>
        <w:ind w:firstLine="420" w:firstLineChars="200"/>
        <w:rPr>
          <w:rFonts w:ascii="宋体" w:hAnsi="宋体" w:cs="宋体"/>
          <w:kern w:val="0"/>
          <w:szCs w:val="21"/>
        </w:rPr>
      </w:pPr>
      <w:r>
        <w:rPr>
          <w:rFonts w:hint="eastAsia" w:ascii="宋体" w:hAnsi="宋体" w:cs="宋体"/>
          <w:kern w:val="0"/>
          <w:szCs w:val="21"/>
        </w:rPr>
        <w:t>（四）实施侧袋机制期间的基金费用</w:t>
      </w:r>
    </w:p>
    <w:p>
      <w:pPr>
        <w:spacing w:line="360" w:lineRule="auto"/>
        <w:ind w:firstLine="420" w:firstLineChars="200"/>
        <w:rPr>
          <w:rFonts w:ascii="宋体" w:hAnsi="宋体" w:cs="宋体"/>
          <w:kern w:val="0"/>
          <w:szCs w:val="21"/>
        </w:rPr>
      </w:pPr>
      <w:r>
        <w:rPr>
          <w:rFonts w:hint="eastAsia" w:ascii="宋体" w:hAnsi="宋体" w:cs="宋体"/>
          <w:kern w:val="0"/>
          <w:szCs w:val="21"/>
        </w:rPr>
        <w:t>本基金实施侧袋机制的，与侧袋账户有关的费用可以从侧袋账户中列支，但应待侧袋账户资产变现后方可列支，有关费用可酌情收取或减免，但不得收取管理费（包括固定管理费、或有管理费和超额管理费），其他费用详见招募说明书“侧袋机制”部分或相关公告的规定。</w:t>
      </w:r>
    </w:p>
    <w:p>
      <w:pPr>
        <w:spacing w:line="360" w:lineRule="auto"/>
        <w:ind w:firstLine="420" w:firstLineChars="200"/>
        <w:rPr>
          <w:rFonts w:ascii="宋体" w:hAnsi="宋体" w:cs="宋体"/>
          <w:kern w:val="0"/>
          <w:szCs w:val="21"/>
        </w:rPr>
      </w:pPr>
      <w:r>
        <w:rPr>
          <w:rFonts w:hint="eastAsia" w:ascii="宋体" w:hAnsi="宋体" w:cs="宋体"/>
          <w:kern w:val="0"/>
          <w:szCs w:val="21"/>
        </w:rPr>
        <w:t>（五）基金税收</w:t>
      </w:r>
    </w:p>
    <w:p>
      <w:pPr>
        <w:spacing w:line="360" w:lineRule="auto"/>
        <w:ind w:firstLine="420" w:firstLineChars="200"/>
        <w:rPr>
          <w:rFonts w:ascii="宋体" w:hAnsi="宋体" w:cs="宋体"/>
          <w:kern w:val="0"/>
          <w:szCs w:val="21"/>
        </w:rPr>
      </w:pPr>
      <w:r>
        <w:rPr>
          <w:rFonts w:hint="eastAsia" w:ascii="宋体" w:hAnsi="宋体" w:cs="宋体"/>
          <w:kern w:val="0"/>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178"/>
    <w:p>
      <w:pPr>
        <w:pStyle w:val="4"/>
        <w:spacing w:before="400" w:after="400"/>
        <w:rPr>
          <w:rFonts w:hAnsi="宋体"/>
          <w:sz w:val="32"/>
        </w:rPr>
      </w:pPr>
      <w:r>
        <w:rPr>
          <w:rFonts w:hAnsi="宋体"/>
          <w:kern w:val="0"/>
          <w:szCs w:val="21"/>
        </w:rPr>
        <w:br w:type="page"/>
      </w:r>
      <w:bookmarkStart w:id="188" w:name="_Toc116052559"/>
      <w:bookmarkStart w:id="189" w:name="_Toc203806299"/>
      <w:bookmarkStart w:id="190" w:name="_Toc116052793"/>
      <w:bookmarkStart w:id="191" w:name="_Toc203357164"/>
      <w:bookmarkStart w:id="192" w:name="_Toc55987069"/>
      <w:r>
        <w:rPr>
          <w:rFonts w:hAnsi="宋体"/>
          <w:sz w:val="32"/>
        </w:rPr>
        <w:t>十</w:t>
      </w:r>
      <w:r>
        <w:rPr>
          <w:rFonts w:hint="eastAsia" w:hAnsi="宋体"/>
          <w:sz w:val="32"/>
        </w:rPr>
        <w:t>三</w:t>
      </w:r>
      <w:r>
        <w:rPr>
          <w:rFonts w:hAnsi="宋体"/>
          <w:sz w:val="32"/>
        </w:rPr>
        <w:t>、基金的</w:t>
      </w:r>
      <w:r>
        <w:rPr>
          <w:rFonts w:hint="eastAsia" w:hAnsi="宋体"/>
          <w:sz w:val="32"/>
        </w:rPr>
        <w:t>收益</w:t>
      </w:r>
      <w:r>
        <w:rPr>
          <w:rFonts w:hAnsi="宋体"/>
          <w:sz w:val="32"/>
        </w:rPr>
        <w:t>与</w:t>
      </w:r>
      <w:bookmarkEnd w:id="188"/>
      <w:bookmarkEnd w:id="189"/>
      <w:bookmarkEnd w:id="190"/>
      <w:bookmarkEnd w:id="191"/>
      <w:r>
        <w:rPr>
          <w:rFonts w:hint="eastAsia" w:hAnsi="宋体"/>
          <w:sz w:val="32"/>
        </w:rPr>
        <w:t>分配</w:t>
      </w:r>
      <w:bookmarkEnd w:id="192"/>
    </w:p>
    <w:bookmarkEnd w:id="179"/>
    <w:bookmarkEnd w:id="180"/>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一</w:t>
      </w:r>
      <w:r>
        <w:rPr>
          <w:rFonts w:hint="eastAsia" w:ascii="宋体" w:hAnsi="宋体" w:cs="宋体"/>
          <w:kern w:val="0"/>
          <w:szCs w:val="21"/>
        </w:rPr>
        <w:t>）基金利润的构成</w:t>
      </w:r>
    </w:p>
    <w:p>
      <w:pPr>
        <w:spacing w:line="360" w:lineRule="auto"/>
        <w:ind w:firstLine="420" w:firstLineChars="200"/>
        <w:rPr>
          <w:rFonts w:ascii="宋体" w:hAnsi="宋体" w:cs="宋体"/>
          <w:kern w:val="0"/>
          <w:szCs w:val="21"/>
        </w:rPr>
      </w:pPr>
      <w:r>
        <w:rPr>
          <w:rFonts w:hint="eastAsia" w:ascii="宋体" w:hAnsi="宋体" w:cs="宋体"/>
          <w:kern w:val="0"/>
          <w:szCs w:val="21"/>
        </w:rPr>
        <w:t>基金利润指基金利息收入、投资收益、公允价值变动收益和其他收入扣除相关费用后的余额，基金已实现收益指基金利润减去公允价值变动收益后的余额。</w:t>
      </w:r>
    </w:p>
    <w:p>
      <w:pPr>
        <w:spacing w:line="360" w:lineRule="auto"/>
        <w:ind w:firstLine="420" w:firstLineChars="200"/>
        <w:rPr>
          <w:rFonts w:ascii="宋体" w:hAnsi="宋体" w:cs="宋体"/>
          <w:kern w:val="0"/>
          <w:szCs w:val="21"/>
        </w:rPr>
      </w:pPr>
      <w:r>
        <w:rPr>
          <w:rFonts w:hint="eastAsia" w:ascii="宋体" w:hAnsi="宋体" w:cs="宋体"/>
          <w:kern w:val="0"/>
          <w:szCs w:val="21"/>
        </w:rPr>
        <w:t>（二）基金可供分配利润</w:t>
      </w:r>
    </w:p>
    <w:p>
      <w:pPr>
        <w:spacing w:line="360" w:lineRule="auto"/>
        <w:ind w:firstLine="420" w:firstLineChars="200"/>
        <w:rPr>
          <w:rFonts w:ascii="宋体" w:hAnsi="宋体" w:cs="宋体"/>
          <w:kern w:val="0"/>
          <w:szCs w:val="21"/>
        </w:rPr>
      </w:pPr>
      <w:r>
        <w:rPr>
          <w:rFonts w:hint="eastAsia" w:ascii="宋体" w:hAnsi="宋体" w:cs="宋体"/>
          <w:kern w:val="0"/>
          <w:szCs w:val="21"/>
        </w:rPr>
        <w:t>基金可供分配利润指截至收益分配基准日基金未分配利润与未分配利润中已实现收益的孰低数。</w:t>
      </w:r>
    </w:p>
    <w:p>
      <w:pPr>
        <w:spacing w:line="360" w:lineRule="auto"/>
        <w:ind w:firstLine="420" w:firstLineChars="200"/>
        <w:rPr>
          <w:rFonts w:ascii="宋体" w:hAnsi="宋体" w:cs="宋体"/>
          <w:kern w:val="0"/>
          <w:szCs w:val="21"/>
        </w:rPr>
      </w:pPr>
      <w:r>
        <w:rPr>
          <w:rFonts w:hint="eastAsia" w:ascii="宋体" w:hAnsi="宋体" w:cs="宋体"/>
          <w:kern w:val="0"/>
          <w:szCs w:val="21"/>
        </w:rPr>
        <w:t>（三）基金收益分配原则</w:t>
      </w:r>
    </w:p>
    <w:p>
      <w:pPr>
        <w:spacing w:line="360" w:lineRule="auto"/>
        <w:ind w:firstLine="472" w:firstLineChars="225"/>
        <w:rPr>
          <w:rFonts w:ascii="宋体" w:hAnsi="宋体" w:cs="宋体"/>
          <w:kern w:val="0"/>
          <w:szCs w:val="21"/>
          <w:lang w:bidi="ar"/>
        </w:rPr>
      </w:pPr>
      <w:r>
        <w:rPr>
          <w:rFonts w:ascii="宋体" w:hAnsi="宋体" w:cs="宋体"/>
          <w:kern w:val="0"/>
          <w:szCs w:val="21"/>
          <w:lang w:bidi="ar"/>
        </w:rPr>
        <w:t>1</w:t>
      </w:r>
      <w:r>
        <w:rPr>
          <w:rFonts w:hint="eastAsia" w:ascii="宋体" w:hAnsi="宋体" w:cs="宋体"/>
          <w:kern w:val="0"/>
          <w:szCs w:val="21"/>
          <w:lang w:bidi="ar"/>
        </w:rPr>
        <w:t>、由于基金费用的不同，各基金份额类别对应的可供分配利润将有所不同，具体收益分配安排详见基金管理人届时公告；</w:t>
      </w:r>
    </w:p>
    <w:p>
      <w:pPr>
        <w:spacing w:line="360" w:lineRule="auto"/>
        <w:ind w:firstLine="472" w:firstLineChars="225"/>
        <w:rPr>
          <w:rFonts w:ascii="宋体" w:hAnsi="宋体" w:cs="宋体"/>
          <w:kern w:val="0"/>
          <w:szCs w:val="21"/>
          <w:lang w:bidi="ar"/>
        </w:rPr>
      </w:pPr>
      <w:r>
        <w:rPr>
          <w:rFonts w:ascii="宋体" w:hAnsi="宋体" w:cs="宋体"/>
          <w:kern w:val="0"/>
          <w:szCs w:val="21"/>
          <w:lang w:bidi="ar"/>
        </w:rPr>
        <w:t>2</w:t>
      </w:r>
      <w:r>
        <w:rPr>
          <w:rFonts w:hint="eastAsia" w:ascii="宋体" w:hAnsi="宋体" w:cs="宋体"/>
          <w:kern w:val="0"/>
          <w:szCs w:val="21"/>
          <w:lang w:bidi="ar"/>
        </w:rPr>
        <w:t>、在符合有关基金分红条件的前提下，基金管理人可以根据实际情况进行收益分配，具体分配方案以公告为准，若《基金合同》生效不满</w:t>
      </w:r>
      <w:r>
        <w:rPr>
          <w:rFonts w:ascii="宋体" w:hAnsi="宋体" w:cs="宋体"/>
          <w:kern w:val="0"/>
          <w:szCs w:val="21"/>
          <w:lang w:bidi="ar"/>
        </w:rPr>
        <w:t>3</w:t>
      </w:r>
      <w:r>
        <w:rPr>
          <w:rFonts w:hint="eastAsia" w:ascii="宋体" w:hAnsi="宋体" w:cs="宋体"/>
          <w:kern w:val="0"/>
          <w:szCs w:val="21"/>
          <w:lang w:bidi="ar"/>
        </w:rPr>
        <w:t>个月可不进行收益分配；</w:t>
      </w:r>
    </w:p>
    <w:p>
      <w:pPr>
        <w:spacing w:line="360" w:lineRule="auto"/>
        <w:ind w:firstLine="472" w:firstLineChars="225"/>
        <w:rPr>
          <w:rFonts w:ascii="宋体" w:hAnsi="宋体" w:cs="宋体"/>
          <w:kern w:val="0"/>
          <w:szCs w:val="21"/>
          <w:lang w:bidi="ar"/>
        </w:rPr>
      </w:pPr>
      <w:r>
        <w:rPr>
          <w:rFonts w:ascii="宋体" w:hAnsi="宋体" w:cs="宋体"/>
          <w:kern w:val="0"/>
          <w:szCs w:val="21"/>
          <w:lang w:bidi="ar"/>
        </w:rPr>
        <w:t>3</w:t>
      </w:r>
      <w:r>
        <w:rPr>
          <w:rFonts w:hint="eastAsia" w:ascii="宋体" w:hAnsi="宋体" w:cs="宋体"/>
          <w:kern w:val="0"/>
          <w:szCs w:val="21"/>
          <w:lang w:bidi="ar"/>
        </w:rPr>
        <w:t>、本基金收益分配仅有现金分红一种方式；</w:t>
      </w:r>
    </w:p>
    <w:p>
      <w:pPr>
        <w:spacing w:line="360" w:lineRule="auto"/>
        <w:ind w:firstLine="472" w:firstLineChars="225"/>
        <w:rPr>
          <w:rFonts w:ascii="宋体" w:hAnsi="宋体" w:cs="宋体"/>
          <w:kern w:val="0"/>
          <w:szCs w:val="21"/>
          <w:lang w:bidi="ar"/>
        </w:rPr>
      </w:pPr>
      <w:r>
        <w:rPr>
          <w:rFonts w:ascii="宋体" w:hAnsi="宋体" w:cs="宋体"/>
          <w:kern w:val="0"/>
          <w:szCs w:val="21"/>
          <w:lang w:bidi="ar"/>
        </w:rPr>
        <w:t>4</w:t>
      </w:r>
      <w:r>
        <w:rPr>
          <w:rFonts w:hint="eastAsia" w:ascii="宋体" w:hAnsi="宋体" w:cs="宋体"/>
          <w:kern w:val="0"/>
          <w:szCs w:val="21"/>
          <w:lang w:bidi="ar"/>
        </w:rPr>
        <w:t>、同一类别每一基金份额享有同等分配权；</w:t>
      </w:r>
    </w:p>
    <w:p>
      <w:pPr>
        <w:widowControl/>
        <w:spacing w:line="360" w:lineRule="auto"/>
        <w:ind w:firstLine="420" w:firstLineChars="200"/>
        <w:jc w:val="left"/>
        <w:rPr>
          <w:rFonts w:ascii="宋体" w:hAnsi="宋体" w:cs="宋体"/>
          <w:kern w:val="0"/>
          <w:szCs w:val="21"/>
        </w:rPr>
      </w:pPr>
      <w:r>
        <w:rPr>
          <w:rFonts w:ascii="宋体" w:hAnsi="宋体" w:cs="宋体"/>
          <w:kern w:val="0"/>
          <w:szCs w:val="21"/>
          <w:lang w:bidi="ar"/>
        </w:rPr>
        <w:t>5</w:t>
      </w:r>
      <w:r>
        <w:rPr>
          <w:rFonts w:hint="eastAsia" w:ascii="宋体" w:hAnsi="宋体" w:cs="宋体"/>
          <w:kern w:val="0"/>
          <w:szCs w:val="21"/>
          <w:lang w:bidi="ar"/>
        </w:rPr>
        <w:t>、法律法规或监管机关另有规定的，从其规定。</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lang w:bidi="ar"/>
        </w:rPr>
        <w:t>在对基金份额持有人利益无实质性不利影响的情况下，基金管理人可在法律法规允许的前提下经与基金托管人协商一致并按照监管部门要求履行适当程序后酌情调整以上基金收益分配原则，此项调整不需要召开基金份额持有人大会，但应于变更实施日前在规定媒介公告。</w:t>
      </w:r>
    </w:p>
    <w:p>
      <w:pPr>
        <w:spacing w:line="360" w:lineRule="auto"/>
        <w:ind w:firstLine="420" w:firstLineChars="200"/>
        <w:rPr>
          <w:rFonts w:ascii="宋体" w:hAnsi="宋体" w:cs="宋体"/>
          <w:kern w:val="0"/>
          <w:szCs w:val="21"/>
        </w:rPr>
      </w:pPr>
      <w:r>
        <w:rPr>
          <w:rFonts w:hint="eastAsia" w:ascii="宋体" w:hAnsi="宋体" w:cs="宋体"/>
          <w:kern w:val="0"/>
          <w:szCs w:val="21"/>
        </w:rPr>
        <w:t>（四）收益分配方案</w:t>
      </w:r>
    </w:p>
    <w:p>
      <w:pPr>
        <w:spacing w:line="360" w:lineRule="auto"/>
        <w:ind w:firstLine="420" w:firstLineChars="200"/>
        <w:rPr>
          <w:rFonts w:ascii="宋体" w:hAnsi="宋体" w:cs="宋体"/>
          <w:kern w:val="0"/>
          <w:szCs w:val="21"/>
        </w:rPr>
      </w:pPr>
      <w:r>
        <w:rPr>
          <w:rFonts w:hint="eastAsia" w:ascii="宋体" w:hAnsi="宋体" w:cs="宋体"/>
          <w:kern w:val="0"/>
          <w:szCs w:val="21"/>
        </w:rPr>
        <w:t>基金收益分配方案中应载明截至收益分配基准日的可供分配利润、基金收益分配对象、分配时间、分配数额及比例、分配方式等内容。</w:t>
      </w:r>
    </w:p>
    <w:p>
      <w:pPr>
        <w:spacing w:line="360" w:lineRule="auto"/>
        <w:ind w:firstLine="420" w:firstLineChars="200"/>
        <w:rPr>
          <w:rFonts w:ascii="宋体" w:hAnsi="宋体" w:cs="宋体"/>
          <w:kern w:val="0"/>
          <w:szCs w:val="21"/>
        </w:rPr>
      </w:pPr>
      <w:r>
        <w:rPr>
          <w:rFonts w:hint="eastAsia" w:ascii="宋体" w:hAnsi="宋体" w:cs="宋体"/>
          <w:kern w:val="0"/>
          <w:szCs w:val="21"/>
        </w:rPr>
        <w:t>（五）收益分配方案的确定、公告与实施</w:t>
      </w:r>
    </w:p>
    <w:p>
      <w:pPr>
        <w:spacing w:line="360" w:lineRule="auto"/>
        <w:ind w:firstLine="420" w:firstLineChars="200"/>
        <w:rPr>
          <w:rFonts w:ascii="宋体" w:hAnsi="宋体" w:cs="宋体"/>
          <w:kern w:val="0"/>
          <w:szCs w:val="21"/>
        </w:rPr>
      </w:pPr>
      <w:r>
        <w:rPr>
          <w:rFonts w:hint="eastAsia" w:ascii="宋体" w:hAnsi="宋体" w:cs="宋体"/>
          <w:kern w:val="0"/>
          <w:szCs w:val="21"/>
        </w:rPr>
        <w:t>本基金收益分配方案由基金管理人拟定，并由基金托管人复核，依照《信息披露办法》的有关规定在规定媒介公告。</w:t>
      </w:r>
    </w:p>
    <w:p>
      <w:pPr>
        <w:spacing w:line="360" w:lineRule="auto"/>
        <w:ind w:firstLine="420" w:firstLineChars="200"/>
        <w:rPr>
          <w:rFonts w:ascii="宋体" w:hAnsi="宋体" w:cs="宋体"/>
          <w:kern w:val="0"/>
          <w:szCs w:val="21"/>
        </w:rPr>
      </w:pPr>
      <w:r>
        <w:rPr>
          <w:rFonts w:hint="eastAsia" w:ascii="宋体" w:hAnsi="宋体" w:cs="宋体"/>
          <w:kern w:val="0"/>
          <w:szCs w:val="21"/>
        </w:rPr>
        <w:t>（六）基金收益分配中发生的费用</w:t>
      </w:r>
    </w:p>
    <w:p>
      <w:pPr>
        <w:spacing w:line="360" w:lineRule="auto"/>
        <w:ind w:firstLine="420" w:firstLineChars="200"/>
        <w:rPr>
          <w:rFonts w:ascii="宋体" w:hAnsi="宋体" w:cs="宋体"/>
          <w:kern w:val="0"/>
          <w:szCs w:val="21"/>
        </w:rPr>
      </w:pPr>
      <w:r>
        <w:rPr>
          <w:rFonts w:hint="eastAsia" w:ascii="宋体" w:hAnsi="宋体" w:cs="宋体"/>
          <w:kern w:val="0"/>
          <w:szCs w:val="21"/>
        </w:rPr>
        <w:t>基金收益分配时所发生的银行转账或其他手续费用由投资者自行承担。</w:t>
      </w:r>
    </w:p>
    <w:p>
      <w:pPr>
        <w:spacing w:line="360" w:lineRule="auto"/>
        <w:ind w:firstLine="420" w:firstLineChars="200"/>
        <w:rPr>
          <w:rFonts w:ascii="宋体" w:hAnsi="宋体" w:cs="宋体"/>
          <w:kern w:val="0"/>
          <w:szCs w:val="21"/>
        </w:rPr>
      </w:pPr>
      <w:r>
        <w:rPr>
          <w:rFonts w:hint="eastAsia" w:ascii="宋体" w:hAnsi="宋体" w:cs="宋体"/>
          <w:kern w:val="0"/>
          <w:szCs w:val="21"/>
        </w:rPr>
        <w:t>（七）实施侧袋机制期间的收益分配</w:t>
      </w:r>
    </w:p>
    <w:p>
      <w:pPr>
        <w:spacing w:line="360" w:lineRule="auto"/>
        <w:ind w:firstLine="420" w:firstLineChars="200"/>
        <w:rPr>
          <w:rFonts w:ascii="宋体" w:hAnsi="宋体" w:cs="宋体"/>
          <w:kern w:val="0"/>
          <w:szCs w:val="21"/>
        </w:rPr>
      </w:pPr>
      <w:r>
        <w:rPr>
          <w:rFonts w:hint="eastAsia" w:ascii="宋体" w:hAnsi="宋体" w:cs="宋体"/>
          <w:kern w:val="0"/>
          <w:szCs w:val="21"/>
        </w:rPr>
        <w:t>本基金实施侧袋机制的，侧袋账户不进行收益分配，详见招募说明书“侧袋机制”部分的规定。</w:t>
      </w:r>
    </w:p>
    <w:p>
      <w:pPr>
        <w:pStyle w:val="4"/>
        <w:spacing w:before="400" w:after="400"/>
        <w:rPr>
          <w:rFonts w:hAnsi="宋体"/>
          <w:sz w:val="32"/>
        </w:rPr>
      </w:pPr>
      <w:r>
        <w:rPr>
          <w:rFonts w:hAnsi="宋体" w:cs="宋体"/>
          <w:kern w:val="0"/>
          <w:szCs w:val="21"/>
        </w:rPr>
        <w:br w:type="page"/>
      </w:r>
      <w:bookmarkStart w:id="193" w:name="_Toc203806300"/>
      <w:bookmarkStart w:id="194" w:name="_Toc203357165"/>
      <w:bookmarkStart w:id="195" w:name="_Toc116052794"/>
      <w:bookmarkStart w:id="196" w:name="_Toc55987070"/>
      <w:bookmarkStart w:id="197" w:name="_Toc116052560"/>
      <w:r>
        <w:rPr>
          <w:rFonts w:hAnsi="宋体"/>
          <w:sz w:val="32"/>
        </w:rPr>
        <w:t>十</w:t>
      </w:r>
      <w:r>
        <w:rPr>
          <w:rFonts w:hint="eastAsia" w:hAnsi="宋体"/>
          <w:sz w:val="32"/>
        </w:rPr>
        <w:t>四</w:t>
      </w:r>
      <w:r>
        <w:rPr>
          <w:rFonts w:hAnsi="宋体"/>
          <w:sz w:val="32"/>
        </w:rPr>
        <w:t>、基金的会计与审计</w:t>
      </w:r>
      <w:bookmarkEnd w:id="193"/>
      <w:bookmarkEnd w:id="194"/>
      <w:bookmarkEnd w:id="195"/>
      <w:bookmarkEnd w:id="196"/>
      <w:bookmarkEnd w:id="197"/>
    </w:p>
    <w:p>
      <w:pPr>
        <w:spacing w:line="360" w:lineRule="auto"/>
        <w:ind w:firstLine="420" w:firstLineChars="200"/>
        <w:rPr>
          <w:rFonts w:ascii="宋体" w:hAnsi="宋体" w:cs="宋体"/>
          <w:kern w:val="0"/>
          <w:szCs w:val="21"/>
        </w:rPr>
      </w:pPr>
      <w:bookmarkStart w:id="198" w:name="OLE_LINK29"/>
      <w:r>
        <w:rPr>
          <w:rFonts w:hint="eastAsia" w:ascii="宋体" w:hAnsi="宋体" w:cs="宋体"/>
          <w:kern w:val="0"/>
          <w:szCs w:val="21"/>
        </w:rPr>
        <w:t>（</w:t>
      </w:r>
      <w:r>
        <w:rPr>
          <w:rFonts w:ascii="宋体" w:hAnsi="宋体" w:cs="宋体"/>
          <w:kern w:val="0"/>
          <w:szCs w:val="21"/>
        </w:rPr>
        <w:t>一</w:t>
      </w:r>
      <w:r>
        <w:rPr>
          <w:rFonts w:hint="eastAsia" w:ascii="宋体" w:hAnsi="宋体" w:cs="宋体"/>
          <w:kern w:val="0"/>
          <w:szCs w:val="21"/>
        </w:rPr>
        <w:t>）</w:t>
      </w:r>
      <w:r>
        <w:rPr>
          <w:rFonts w:ascii="宋体" w:hAnsi="宋体" w:cs="宋体"/>
          <w:kern w:val="0"/>
          <w:szCs w:val="21"/>
        </w:rPr>
        <w:t>基金会计政策</w:t>
      </w:r>
    </w:p>
    <w:p>
      <w:pPr>
        <w:spacing w:line="360" w:lineRule="auto"/>
        <w:ind w:firstLine="420" w:firstLineChars="200"/>
        <w:rPr>
          <w:rFonts w:ascii="宋体" w:hAnsi="宋体" w:cs="宋体"/>
          <w:kern w:val="0"/>
          <w:szCs w:val="21"/>
        </w:rPr>
      </w:pPr>
      <w:r>
        <w:rPr>
          <w:rFonts w:hint="eastAsia" w:ascii="宋体" w:hAnsi="宋体" w:cs="宋体"/>
          <w:kern w:val="0"/>
          <w:szCs w:val="21"/>
        </w:rPr>
        <w:t>1、基金管理人为本基金的基金会计责任方；</w:t>
      </w:r>
    </w:p>
    <w:p>
      <w:pPr>
        <w:spacing w:line="360" w:lineRule="auto"/>
        <w:ind w:firstLine="420" w:firstLineChars="200"/>
        <w:rPr>
          <w:rFonts w:ascii="宋体" w:hAnsi="宋体" w:cs="宋体"/>
          <w:kern w:val="0"/>
          <w:szCs w:val="21"/>
        </w:rPr>
      </w:pPr>
      <w:r>
        <w:rPr>
          <w:rFonts w:hint="eastAsia" w:ascii="宋体" w:hAnsi="宋体" w:cs="宋体"/>
          <w:kern w:val="0"/>
          <w:szCs w:val="21"/>
        </w:rPr>
        <w:t>2、基金的会计年度为公历年度的1月1日至12月31日；基金首次募集的会计年度按如下原则：如果《基金合同》生效少于2个月，可以并入下一个会计年度披露；</w:t>
      </w:r>
    </w:p>
    <w:p>
      <w:pPr>
        <w:spacing w:line="360" w:lineRule="auto"/>
        <w:ind w:firstLine="420" w:firstLineChars="200"/>
        <w:rPr>
          <w:rFonts w:ascii="宋体" w:hAnsi="宋体" w:cs="宋体"/>
          <w:kern w:val="0"/>
          <w:szCs w:val="21"/>
        </w:rPr>
      </w:pPr>
      <w:r>
        <w:rPr>
          <w:rFonts w:hint="eastAsia" w:ascii="宋体" w:hAnsi="宋体" w:cs="宋体"/>
          <w:kern w:val="0"/>
          <w:szCs w:val="21"/>
        </w:rPr>
        <w:t>3、基金核算以人民币为记账本位币，以人民币元为记账单位；</w:t>
      </w:r>
    </w:p>
    <w:p>
      <w:pPr>
        <w:spacing w:line="360" w:lineRule="auto"/>
        <w:ind w:firstLine="420" w:firstLineChars="200"/>
        <w:rPr>
          <w:rFonts w:ascii="宋体" w:hAnsi="宋体" w:cs="宋体"/>
          <w:kern w:val="0"/>
          <w:szCs w:val="21"/>
        </w:rPr>
      </w:pPr>
      <w:r>
        <w:rPr>
          <w:rFonts w:hint="eastAsia" w:ascii="宋体" w:hAnsi="宋体" w:cs="宋体"/>
          <w:kern w:val="0"/>
          <w:szCs w:val="21"/>
        </w:rPr>
        <w:t>4、会计制度执行国家有关会计制度；</w:t>
      </w:r>
    </w:p>
    <w:p>
      <w:pPr>
        <w:spacing w:line="360" w:lineRule="auto"/>
        <w:ind w:firstLine="420" w:firstLineChars="200"/>
        <w:rPr>
          <w:rFonts w:ascii="宋体" w:hAnsi="宋体" w:cs="宋体"/>
          <w:kern w:val="0"/>
          <w:szCs w:val="21"/>
        </w:rPr>
      </w:pPr>
      <w:r>
        <w:rPr>
          <w:rFonts w:hint="eastAsia" w:ascii="宋体" w:hAnsi="宋体" w:cs="宋体"/>
          <w:kern w:val="0"/>
          <w:szCs w:val="21"/>
        </w:rPr>
        <w:t>5、本基金独立建账、独立核算；</w:t>
      </w:r>
    </w:p>
    <w:p>
      <w:pPr>
        <w:spacing w:line="360" w:lineRule="auto"/>
        <w:ind w:firstLine="420" w:firstLineChars="200"/>
        <w:rPr>
          <w:rFonts w:ascii="宋体" w:hAnsi="宋体" w:cs="宋体"/>
          <w:kern w:val="0"/>
          <w:szCs w:val="21"/>
        </w:rPr>
      </w:pPr>
      <w:r>
        <w:rPr>
          <w:rFonts w:hint="eastAsia" w:ascii="宋体" w:hAnsi="宋体" w:cs="宋体"/>
          <w:kern w:val="0"/>
          <w:szCs w:val="21"/>
        </w:rPr>
        <w:t>6、基金管理人及基金托管人各自保留完整的会计账目、凭证并进行日常的会计核算，按照有关规定编制基金会计报表；</w:t>
      </w:r>
    </w:p>
    <w:p>
      <w:pPr>
        <w:spacing w:line="360" w:lineRule="auto"/>
        <w:ind w:firstLine="420" w:firstLineChars="200"/>
        <w:rPr>
          <w:rFonts w:ascii="宋体" w:hAnsi="宋体" w:cs="宋体"/>
          <w:kern w:val="0"/>
          <w:szCs w:val="21"/>
        </w:rPr>
      </w:pPr>
      <w:r>
        <w:rPr>
          <w:rFonts w:hint="eastAsia" w:ascii="宋体" w:hAnsi="宋体" w:cs="宋体"/>
          <w:kern w:val="0"/>
          <w:szCs w:val="21"/>
        </w:rPr>
        <w:t>7、基金托管人每月与基金管理人就基金的会计核算、报表编制等进行核对并以书面或双方约定的其他方式确认。</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二</w:t>
      </w:r>
      <w:r>
        <w:rPr>
          <w:rFonts w:hint="eastAsia" w:ascii="宋体" w:hAnsi="宋体" w:cs="宋体"/>
          <w:kern w:val="0"/>
          <w:szCs w:val="21"/>
        </w:rPr>
        <w:t>）</w:t>
      </w:r>
      <w:r>
        <w:rPr>
          <w:rFonts w:ascii="宋体" w:hAnsi="宋体" w:cs="宋体"/>
          <w:kern w:val="0"/>
          <w:szCs w:val="21"/>
        </w:rPr>
        <w:t>基金的年度审计</w:t>
      </w:r>
    </w:p>
    <w:p>
      <w:pPr>
        <w:spacing w:line="360" w:lineRule="auto"/>
        <w:ind w:firstLine="420" w:firstLineChars="200"/>
        <w:rPr>
          <w:rFonts w:ascii="宋体" w:hAnsi="宋体" w:cs="宋体"/>
          <w:kern w:val="0"/>
          <w:szCs w:val="21"/>
        </w:rPr>
      </w:pPr>
      <w:r>
        <w:rPr>
          <w:rFonts w:hint="eastAsia" w:ascii="宋体" w:hAnsi="宋体" w:cs="宋体"/>
          <w:kern w:val="0"/>
          <w:szCs w:val="21"/>
        </w:rPr>
        <w:t>1、基金管理人聘请与基金管理人、基金托管人相互独立的符合《中华人民共和国证券法》规定的会计师事务所及其注册会计师对本基金的年度财务报表进行审计。</w:t>
      </w:r>
    </w:p>
    <w:p>
      <w:pPr>
        <w:spacing w:line="360" w:lineRule="auto"/>
        <w:ind w:firstLine="420" w:firstLineChars="200"/>
        <w:rPr>
          <w:rFonts w:ascii="宋体" w:hAnsi="宋体" w:cs="宋体"/>
          <w:kern w:val="0"/>
          <w:szCs w:val="21"/>
        </w:rPr>
      </w:pPr>
      <w:r>
        <w:rPr>
          <w:rFonts w:hint="eastAsia" w:ascii="宋体" w:hAnsi="宋体" w:cs="宋体"/>
          <w:kern w:val="0"/>
          <w:szCs w:val="21"/>
        </w:rPr>
        <w:t>2、会计师事务所更换经办注册会计师，应事先征得基金管理人同意。</w:t>
      </w:r>
    </w:p>
    <w:p>
      <w:pPr>
        <w:spacing w:line="360" w:lineRule="auto"/>
        <w:ind w:firstLine="420" w:firstLineChars="200"/>
        <w:rPr>
          <w:rFonts w:ascii="宋体" w:hAnsi="宋体" w:cs="宋体"/>
          <w:kern w:val="0"/>
          <w:szCs w:val="21"/>
        </w:rPr>
      </w:pPr>
      <w:r>
        <w:rPr>
          <w:rFonts w:hint="eastAsia" w:ascii="宋体" w:hAnsi="宋体" w:cs="宋体"/>
          <w:kern w:val="0"/>
          <w:szCs w:val="21"/>
        </w:rPr>
        <w:t>3、基金管理人认为有充足理由更换会计师事务所，须通报基金托管人。更换会计师事务所需按照《信息披露办法》的有关规定在规定媒介公告。</w:t>
      </w:r>
    </w:p>
    <w:p>
      <w:pPr>
        <w:pStyle w:val="4"/>
        <w:spacing w:before="400" w:after="400"/>
        <w:rPr>
          <w:rFonts w:hAnsi="宋体"/>
          <w:sz w:val="32"/>
        </w:rPr>
      </w:pPr>
      <w:r>
        <w:rPr>
          <w:rFonts w:hAnsi="宋体"/>
          <w:kern w:val="0"/>
          <w:szCs w:val="21"/>
        </w:rPr>
        <w:br w:type="page"/>
      </w:r>
      <w:bookmarkStart w:id="199" w:name="_Toc116052561"/>
      <w:bookmarkStart w:id="200" w:name="_Toc116052795"/>
      <w:bookmarkStart w:id="201" w:name="_Toc203357166"/>
      <w:bookmarkStart w:id="202" w:name="_Toc55987071"/>
      <w:bookmarkStart w:id="203" w:name="_Toc203806301"/>
      <w:r>
        <w:rPr>
          <w:rFonts w:hint="eastAsia" w:hAnsi="宋体"/>
          <w:sz w:val="32"/>
        </w:rPr>
        <w:t>十五、基金的信息披露</w:t>
      </w:r>
      <w:bookmarkEnd w:id="199"/>
      <w:bookmarkEnd w:id="200"/>
      <w:bookmarkEnd w:id="201"/>
      <w:bookmarkEnd w:id="202"/>
      <w:bookmarkEnd w:id="203"/>
    </w:p>
    <w:p>
      <w:pPr>
        <w:spacing w:line="360" w:lineRule="auto"/>
        <w:ind w:firstLine="420" w:firstLineChars="200"/>
        <w:rPr>
          <w:rFonts w:ascii="宋体" w:hAnsi="宋体" w:cs="宋体"/>
          <w:kern w:val="0"/>
          <w:szCs w:val="21"/>
        </w:rPr>
      </w:pPr>
      <w:r>
        <w:rPr>
          <w:rFonts w:hint="eastAsia" w:ascii="宋体" w:hAnsi="宋体" w:cs="宋体"/>
          <w:kern w:val="0"/>
          <w:szCs w:val="21"/>
        </w:rPr>
        <w:t>（一）本基金的信息披露应符合《基金法》、《运作办法》、《信息披露办法》、《流动性风险管理规定》、《基金合同》及其他有关规定。相关法律法规关于信息披露的规定发生变化时，本基金从其最新规定。</w:t>
      </w:r>
    </w:p>
    <w:p>
      <w:pPr>
        <w:spacing w:line="360" w:lineRule="auto"/>
        <w:ind w:firstLine="420" w:firstLineChars="200"/>
        <w:rPr>
          <w:rFonts w:ascii="宋体" w:hAnsi="宋体" w:cs="宋体"/>
          <w:kern w:val="0"/>
          <w:szCs w:val="21"/>
        </w:rPr>
      </w:pPr>
      <w:r>
        <w:rPr>
          <w:rFonts w:hint="eastAsia" w:ascii="宋体" w:hAnsi="宋体" w:cs="宋体"/>
          <w:kern w:val="0"/>
          <w:szCs w:val="21"/>
        </w:rPr>
        <w:t>（二）</w:t>
      </w:r>
      <w:r>
        <w:rPr>
          <w:rFonts w:ascii="宋体" w:hAnsi="宋体" w:cs="宋体"/>
          <w:kern w:val="0"/>
          <w:szCs w:val="21"/>
        </w:rPr>
        <w:t>信息披露义务人</w:t>
      </w:r>
    </w:p>
    <w:p>
      <w:pPr>
        <w:spacing w:line="360" w:lineRule="auto"/>
        <w:ind w:firstLine="420" w:firstLineChars="200"/>
        <w:rPr>
          <w:rFonts w:ascii="宋体" w:hAnsi="宋体" w:cs="宋体"/>
          <w:kern w:val="0"/>
          <w:szCs w:val="21"/>
        </w:rPr>
      </w:pPr>
      <w:r>
        <w:rPr>
          <w:rFonts w:hint="eastAsia" w:ascii="宋体" w:hAnsi="宋体" w:cs="宋体"/>
          <w:kern w:val="0"/>
          <w:szCs w:val="21"/>
        </w:rPr>
        <w:t>本基金信息披露义务人包括基金管理人、基金托管人、召集基金份额持有人大会的基金份额持有人等法律、行政法规和中国证监会规定的自然人、法人和非法人组织。</w:t>
      </w:r>
    </w:p>
    <w:p>
      <w:pPr>
        <w:spacing w:line="360" w:lineRule="auto"/>
        <w:ind w:firstLine="420" w:firstLineChars="200"/>
        <w:rPr>
          <w:rFonts w:ascii="宋体" w:hAnsi="宋体" w:cs="宋体"/>
          <w:kern w:val="0"/>
          <w:szCs w:val="21"/>
        </w:rPr>
      </w:pPr>
      <w:r>
        <w:rPr>
          <w:rFonts w:hint="eastAsia" w:ascii="宋体" w:hAnsi="宋体" w:cs="宋体"/>
          <w:kern w:val="0"/>
          <w:szCs w:val="21"/>
        </w:rPr>
        <w:t>本基金信息披露义务人以保护基金份额持有人利益为根本出发点，按照法律法规和中国证监会的规定披露基金信息，并保证所披露信息的真实性、准确性、完整性、及时性、简明性和易得性。</w:t>
      </w:r>
    </w:p>
    <w:p>
      <w:pPr>
        <w:spacing w:line="360" w:lineRule="auto"/>
        <w:ind w:firstLine="420" w:firstLineChars="200"/>
        <w:rPr>
          <w:rFonts w:ascii="宋体" w:hAnsi="宋体" w:cs="宋体"/>
          <w:bCs/>
          <w:kern w:val="0"/>
          <w:szCs w:val="21"/>
        </w:rPr>
      </w:pPr>
      <w:r>
        <w:rPr>
          <w:rFonts w:hint="eastAsia" w:ascii="宋体" w:hAnsi="宋体" w:cs="宋体"/>
          <w:kern w:val="0"/>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pPr>
        <w:spacing w:line="360" w:lineRule="auto"/>
        <w:ind w:firstLine="420" w:firstLineChars="200"/>
        <w:rPr>
          <w:rFonts w:ascii="宋体" w:hAnsi="宋体" w:cs="宋体"/>
          <w:kern w:val="0"/>
          <w:szCs w:val="21"/>
        </w:rPr>
      </w:pPr>
      <w:r>
        <w:rPr>
          <w:rFonts w:hint="eastAsia" w:ascii="宋体" w:hAnsi="宋体" w:cs="宋体"/>
          <w:kern w:val="0"/>
          <w:szCs w:val="21"/>
        </w:rPr>
        <w:t>（三）</w:t>
      </w:r>
      <w:r>
        <w:rPr>
          <w:rFonts w:ascii="宋体" w:hAnsi="宋体" w:cs="宋体"/>
          <w:kern w:val="0"/>
          <w:szCs w:val="21"/>
        </w:rPr>
        <w:t>本基金信息披露义务人承诺公开披露的基金信息，不得有下列行为：</w:t>
      </w:r>
    </w:p>
    <w:p>
      <w:pPr>
        <w:spacing w:line="360" w:lineRule="auto"/>
        <w:ind w:firstLine="420" w:firstLineChars="200"/>
        <w:rPr>
          <w:rFonts w:ascii="宋体" w:hAnsi="宋体" w:cs="宋体"/>
          <w:kern w:val="0"/>
          <w:szCs w:val="21"/>
        </w:rPr>
      </w:pPr>
      <w:r>
        <w:rPr>
          <w:rFonts w:hint="eastAsia" w:ascii="宋体" w:hAnsi="宋体" w:cs="宋体"/>
          <w:kern w:val="0"/>
          <w:szCs w:val="21"/>
        </w:rPr>
        <w:t>1、虚假记载、误导性陈述或者重大遗漏；</w:t>
      </w:r>
    </w:p>
    <w:p>
      <w:pPr>
        <w:spacing w:line="360" w:lineRule="auto"/>
        <w:ind w:firstLine="420" w:firstLineChars="200"/>
        <w:rPr>
          <w:rFonts w:ascii="宋体" w:hAnsi="宋体" w:cs="宋体"/>
          <w:kern w:val="0"/>
          <w:szCs w:val="21"/>
        </w:rPr>
      </w:pPr>
      <w:r>
        <w:rPr>
          <w:rFonts w:hint="eastAsia" w:ascii="宋体" w:hAnsi="宋体" w:cs="宋体"/>
          <w:kern w:val="0"/>
          <w:szCs w:val="21"/>
        </w:rPr>
        <w:t>2、对证券投资业绩进行预测；</w:t>
      </w:r>
    </w:p>
    <w:p>
      <w:pPr>
        <w:spacing w:line="360" w:lineRule="auto"/>
        <w:ind w:firstLine="420" w:firstLineChars="200"/>
        <w:rPr>
          <w:rFonts w:ascii="宋体" w:hAnsi="宋体" w:cs="宋体"/>
          <w:kern w:val="0"/>
          <w:szCs w:val="21"/>
        </w:rPr>
      </w:pPr>
      <w:r>
        <w:rPr>
          <w:rFonts w:hint="eastAsia" w:ascii="宋体" w:hAnsi="宋体" w:cs="宋体"/>
          <w:kern w:val="0"/>
          <w:szCs w:val="21"/>
        </w:rPr>
        <w:t>3、违规承诺收益或者承担损失；</w:t>
      </w:r>
    </w:p>
    <w:p>
      <w:pPr>
        <w:spacing w:line="360" w:lineRule="auto"/>
        <w:ind w:firstLine="420" w:firstLineChars="200"/>
        <w:rPr>
          <w:rFonts w:ascii="宋体" w:hAnsi="宋体" w:cs="宋体"/>
          <w:kern w:val="0"/>
          <w:szCs w:val="21"/>
        </w:rPr>
      </w:pPr>
      <w:r>
        <w:rPr>
          <w:rFonts w:hint="eastAsia" w:ascii="宋体" w:hAnsi="宋体" w:cs="宋体"/>
          <w:kern w:val="0"/>
          <w:szCs w:val="21"/>
        </w:rPr>
        <w:t>4、诋毁其他基金管理人、基金托管人或者基金销售机构；</w:t>
      </w:r>
    </w:p>
    <w:p>
      <w:pPr>
        <w:spacing w:line="360" w:lineRule="auto"/>
        <w:ind w:firstLine="420" w:firstLineChars="200"/>
        <w:rPr>
          <w:rFonts w:ascii="宋体" w:hAnsi="宋体" w:cs="宋体"/>
          <w:kern w:val="0"/>
          <w:szCs w:val="21"/>
        </w:rPr>
      </w:pPr>
      <w:r>
        <w:rPr>
          <w:rFonts w:hint="eastAsia" w:ascii="宋体" w:hAnsi="宋体" w:cs="宋体"/>
          <w:kern w:val="0"/>
          <w:szCs w:val="21"/>
        </w:rPr>
        <w:t>5、登载任何自然人、法人和非法人组织的祝贺性、恭维性或推荐性的文字；</w:t>
      </w:r>
    </w:p>
    <w:p>
      <w:pPr>
        <w:spacing w:line="360" w:lineRule="auto"/>
        <w:ind w:firstLine="420" w:firstLineChars="200"/>
        <w:rPr>
          <w:rFonts w:ascii="宋体" w:hAnsi="宋体" w:cs="宋体"/>
          <w:kern w:val="0"/>
          <w:szCs w:val="21"/>
        </w:rPr>
      </w:pPr>
      <w:r>
        <w:rPr>
          <w:rFonts w:hint="eastAsia" w:ascii="宋体" w:hAnsi="宋体" w:cs="宋体"/>
          <w:kern w:val="0"/>
          <w:szCs w:val="21"/>
        </w:rPr>
        <w:t>6、中国证监会禁止的其他行为。</w:t>
      </w:r>
    </w:p>
    <w:p>
      <w:pPr>
        <w:spacing w:line="360" w:lineRule="auto"/>
        <w:ind w:firstLine="420" w:firstLineChars="200"/>
        <w:rPr>
          <w:rFonts w:ascii="宋体" w:hAnsi="宋体" w:cs="宋体"/>
          <w:kern w:val="0"/>
          <w:szCs w:val="21"/>
        </w:rPr>
      </w:pPr>
      <w:r>
        <w:rPr>
          <w:rFonts w:hint="eastAsia" w:ascii="宋体" w:hAnsi="宋体" w:cs="宋体"/>
          <w:kern w:val="0"/>
          <w:szCs w:val="21"/>
        </w:rPr>
        <w:t>（四）本基金公开披露的信息应采用中文文本。同时采用外文文本的，基金信息披露义务人应保证不同文本的内容一致。不同文本之间发生歧义的，以中文文本为准。</w:t>
      </w:r>
    </w:p>
    <w:p>
      <w:pPr>
        <w:spacing w:line="360" w:lineRule="auto"/>
        <w:ind w:firstLine="420" w:firstLineChars="200"/>
        <w:rPr>
          <w:rFonts w:ascii="宋体" w:hAnsi="宋体" w:cs="宋体"/>
          <w:kern w:val="0"/>
          <w:szCs w:val="21"/>
        </w:rPr>
      </w:pPr>
      <w:r>
        <w:rPr>
          <w:rFonts w:hint="eastAsia" w:ascii="宋体" w:hAnsi="宋体" w:cs="宋体"/>
          <w:kern w:val="0"/>
          <w:szCs w:val="21"/>
        </w:rPr>
        <w:t>本基金公开披露的信息采用阿拉伯数字；除特别说明外，货币单位为人民币元。</w:t>
      </w:r>
    </w:p>
    <w:p>
      <w:pPr>
        <w:spacing w:line="360" w:lineRule="auto"/>
        <w:ind w:firstLine="420" w:firstLineChars="200"/>
        <w:rPr>
          <w:rFonts w:ascii="宋体" w:hAnsi="宋体" w:cs="宋体"/>
          <w:kern w:val="0"/>
          <w:szCs w:val="21"/>
        </w:rPr>
      </w:pPr>
      <w:r>
        <w:rPr>
          <w:rFonts w:hint="eastAsia" w:ascii="宋体" w:hAnsi="宋体" w:cs="宋体"/>
          <w:kern w:val="0"/>
          <w:szCs w:val="21"/>
        </w:rPr>
        <w:t>（五）</w:t>
      </w:r>
      <w:r>
        <w:rPr>
          <w:rFonts w:ascii="宋体" w:hAnsi="宋体" w:cs="宋体"/>
          <w:kern w:val="0"/>
          <w:szCs w:val="21"/>
        </w:rPr>
        <w:t>公开披露的基金信息</w:t>
      </w:r>
    </w:p>
    <w:p>
      <w:pPr>
        <w:spacing w:line="360" w:lineRule="auto"/>
        <w:ind w:firstLine="420" w:firstLineChars="200"/>
        <w:rPr>
          <w:rFonts w:ascii="宋体" w:hAnsi="宋体" w:cs="宋体"/>
          <w:kern w:val="0"/>
          <w:szCs w:val="21"/>
        </w:rPr>
      </w:pPr>
      <w:r>
        <w:rPr>
          <w:rFonts w:ascii="宋体" w:hAnsi="宋体" w:cs="宋体"/>
          <w:kern w:val="0"/>
          <w:szCs w:val="21"/>
        </w:rPr>
        <w:t>公开披露的基金信息包括：</w:t>
      </w:r>
    </w:p>
    <w:p>
      <w:pPr>
        <w:spacing w:line="360" w:lineRule="auto"/>
        <w:ind w:firstLine="420" w:firstLineChars="200"/>
        <w:rPr>
          <w:rFonts w:ascii="宋体" w:hAnsi="宋体" w:cs="宋体"/>
          <w:kern w:val="0"/>
          <w:szCs w:val="21"/>
        </w:rPr>
      </w:pPr>
      <w:r>
        <w:rPr>
          <w:rFonts w:hint="eastAsia" w:ascii="宋体" w:hAnsi="宋体" w:cs="宋体"/>
          <w:kern w:val="0"/>
          <w:szCs w:val="21"/>
        </w:rPr>
        <w:t>1、基金招募说明书、《基金合同》、基金托管协议、基</w:t>
      </w:r>
      <w:r>
        <w:rPr>
          <w:rFonts w:hint="eastAsia" w:ascii="宋体" w:hAnsi="宋体" w:cs="宋体"/>
          <w:bCs/>
          <w:kern w:val="0"/>
          <w:szCs w:val="21"/>
        </w:rPr>
        <w:t>金产</w:t>
      </w:r>
      <w:r>
        <w:rPr>
          <w:rFonts w:hint="eastAsia" w:ascii="宋体" w:hAnsi="宋体" w:cs="宋体"/>
          <w:kern w:val="0"/>
          <w:szCs w:val="21"/>
        </w:rPr>
        <w:t>品资料概要</w:t>
      </w:r>
    </w:p>
    <w:p>
      <w:pPr>
        <w:spacing w:line="360" w:lineRule="auto"/>
        <w:ind w:firstLine="420" w:firstLineChars="200"/>
        <w:rPr>
          <w:rFonts w:ascii="宋体" w:hAnsi="宋体" w:cs="宋体"/>
          <w:kern w:val="0"/>
          <w:szCs w:val="21"/>
        </w:rPr>
      </w:pPr>
      <w:r>
        <w:rPr>
          <w:rFonts w:hint="eastAsia" w:ascii="宋体" w:hAnsi="宋体" w:cs="宋体"/>
          <w:kern w:val="0"/>
          <w:szCs w:val="21"/>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20" w:firstLineChars="200"/>
        <w:rPr>
          <w:rFonts w:ascii="宋体" w:hAnsi="宋体" w:cs="宋体"/>
          <w:kern w:val="0"/>
          <w:szCs w:val="21"/>
        </w:rPr>
      </w:pPr>
      <w:r>
        <w:rPr>
          <w:rFonts w:hint="eastAsia" w:ascii="宋体" w:hAnsi="宋体" w:cs="宋体"/>
          <w:kern w:val="0"/>
          <w:szCs w:val="21"/>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20" w:firstLineChars="200"/>
        <w:rPr>
          <w:rFonts w:ascii="宋体" w:hAnsi="宋体" w:cs="宋体"/>
          <w:kern w:val="0"/>
          <w:szCs w:val="21"/>
        </w:rPr>
      </w:pPr>
      <w:r>
        <w:rPr>
          <w:rFonts w:hint="eastAsia" w:ascii="宋体" w:hAnsi="宋体" w:cs="宋体"/>
          <w:kern w:val="0"/>
          <w:szCs w:val="21"/>
        </w:rPr>
        <w:t>（3）基金托管协议是界定基金托管人和基金管理人在基金财产保管及基金运作监督等活动中的权利、义务关系的法律文件。</w:t>
      </w:r>
    </w:p>
    <w:p>
      <w:pPr>
        <w:spacing w:line="360" w:lineRule="auto"/>
        <w:ind w:firstLine="420" w:firstLineChars="200"/>
        <w:rPr>
          <w:rFonts w:ascii="宋体" w:hAnsi="宋体" w:cs="宋体"/>
          <w:kern w:val="0"/>
          <w:szCs w:val="21"/>
        </w:rPr>
      </w:pPr>
      <w:r>
        <w:rPr>
          <w:rFonts w:hint="eastAsia" w:ascii="宋体" w:hAnsi="宋体" w:cs="宋体"/>
          <w:kern w:val="0"/>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20" w:firstLineChars="200"/>
        <w:rPr>
          <w:rFonts w:ascii="宋体" w:hAnsi="宋体" w:cs="宋体"/>
          <w:kern w:val="0"/>
          <w:szCs w:val="21"/>
        </w:rPr>
      </w:pPr>
      <w:r>
        <w:rPr>
          <w:rFonts w:hint="eastAsia" w:ascii="宋体" w:hAnsi="宋体" w:cs="宋体"/>
          <w:kern w:val="0"/>
          <w:szCs w:val="21"/>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pPr>
        <w:spacing w:line="360" w:lineRule="auto"/>
        <w:ind w:firstLine="420" w:firstLineChars="200"/>
        <w:rPr>
          <w:rFonts w:ascii="宋体" w:hAnsi="宋体" w:cs="宋体"/>
          <w:kern w:val="0"/>
          <w:szCs w:val="21"/>
        </w:rPr>
      </w:pPr>
      <w:r>
        <w:rPr>
          <w:rFonts w:hint="eastAsia" w:ascii="宋体" w:hAnsi="宋体" w:cs="宋体"/>
          <w:kern w:val="0"/>
          <w:szCs w:val="21"/>
        </w:rPr>
        <w:t>2、基金份额发售公告</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基金管理人应当就基金份额发售的具体事宜编制基金份额发售公告，并在披露招募说明书的当日登载于规定媒介上。</w:t>
      </w:r>
    </w:p>
    <w:p>
      <w:pPr>
        <w:spacing w:line="360" w:lineRule="auto"/>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《基金合同》生效公告</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基金管理人应当在收到中国证监会确认文件的次日在规定媒介上登载《基金合同》生效公告。</w:t>
      </w:r>
    </w:p>
    <w:p>
      <w:pPr>
        <w:spacing w:line="360" w:lineRule="auto"/>
        <w:ind w:firstLine="420" w:firstLineChars="200"/>
        <w:rPr>
          <w:rFonts w:ascii="宋体" w:hAnsi="宋体" w:cs="宋体"/>
          <w:kern w:val="0"/>
          <w:szCs w:val="21"/>
        </w:rPr>
      </w:pPr>
      <w:r>
        <w:rPr>
          <w:rFonts w:hint="eastAsia" w:ascii="宋体" w:hAnsi="宋体" w:cs="宋体"/>
          <w:kern w:val="0"/>
          <w:szCs w:val="21"/>
        </w:rPr>
        <w:t>基金合同生效公告中应说明基金募集情况及基金管理人固有资金、基金管理人股东、基金管理人高级管理人员或基金经理等人员持有的基金份额、承诺持有的期限等情况。</w:t>
      </w:r>
    </w:p>
    <w:p>
      <w:pPr>
        <w:spacing w:line="360" w:lineRule="auto"/>
        <w:ind w:firstLine="420" w:firstLineChars="200"/>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基金</w:t>
      </w:r>
      <w:r>
        <w:rPr>
          <w:rFonts w:hint="eastAsia" w:ascii="宋体" w:hAnsi="宋体" w:cs="宋体"/>
          <w:kern w:val="0"/>
          <w:szCs w:val="21"/>
        </w:rPr>
        <w:t>净值信息</w:t>
      </w:r>
    </w:p>
    <w:p>
      <w:pPr>
        <w:spacing w:line="360" w:lineRule="auto"/>
        <w:ind w:firstLine="420" w:firstLineChars="200"/>
        <w:rPr>
          <w:rFonts w:ascii="宋体" w:hAnsi="宋体" w:cs="宋体"/>
          <w:kern w:val="0"/>
          <w:szCs w:val="21"/>
        </w:rPr>
      </w:pPr>
      <w:r>
        <w:rPr>
          <w:rFonts w:hint="eastAsia" w:ascii="宋体" w:hAnsi="宋体" w:cs="宋体"/>
          <w:kern w:val="0"/>
          <w:szCs w:val="21"/>
        </w:rPr>
        <w:t>《基金合同》生效后，在开始办理基金份额申购或者赎回前，基金管理人应当至少每周在规定网站披露一次各类基金份额的基金份额净值和基金份额累计净值。</w:t>
      </w:r>
    </w:p>
    <w:p>
      <w:pPr>
        <w:spacing w:line="360" w:lineRule="auto"/>
        <w:ind w:firstLine="420" w:firstLineChars="200"/>
        <w:rPr>
          <w:rFonts w:ascii="宋体" w:hAnsi="宋体" w:cs="宋体"/>
          <w:kern w:val="0"/>
          <w:szCs w:val="21"/>
        </w:rPr>
      </w:pPr>
      <w:r>
        <w:rPr>
          <w:rFonts w:hint="eastAsia" w:ascii="宋体" w:hAnsi="宋体" w:cs="宋体"/>
          <w:kern w:val="0"/>
          <w:szCs w:val="21"/>
        </w:rPr>
        <w:t>在开始办理基金份额申购或者赎回后，基金管理人应当在不晚于每个开放日的次日，通过规定网站、基金销售机构网站或者营业网点披露开放日的各类基金份额的基金份额净值和基金份额累计净值。</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基金管理人应当在不晚于半年度和年度最后一日的次日，在规定网站披露半年度和年度最后一日的各类基金份额的基金份额净值和基金份额累计净值。</w:t>
      </w:r>
    </w:p>
    <w:p>
      <w:pPr>
        <w:spacing w:line="360" w:lineRule="auto"/>
        <w:ind w:firstLine="420" w:firstLineChars="200"/>
        <w:rPr>
          <w:bCs/>
          <w:sz w:val="24"/>
        </w:rPr>
      </w:pPr>
      <w:r>
        <w:rPr>
          <w:rFonts w:hint="eastAsia" w:ascii="宋体" w:hAnsi="宋体" w:cs="宋体"/>
          <w:kern w:val="0"/>
          <w:szCs w:val="21"/>
        </w:rPr>
        <w:t>本基金对外披露的各类基金份额净值均为未扣除基金管理人超额管理费（如有）前的该类基金份额净值。</w:t>
      </w:r>
    </w:p>
    <w:p>
      <w:pPr>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w:t>
      </w:r>
      <w:r>
        <w:rPr>
          <w:rFonts w:ascii="宋体" w:hAnsi="宋体" w:cs="宋体"/>
          <w:kern w:val="0"/>
          <w:szCs w:val="21"/>
        </w:rPr>
        <w:t>基金份额申购、赎回价格</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基金定期报告，包括基金年度报告、基金</w:t>
      </w:r>
      <w:r>
        <w:rPr>
          <w:rFonts w:hint="eastAsia" w:ascii="宋体" w:hAnsi="宋体" w:cs="宋体"/>
          <w:kern w:val="0"/>
          <w:szCs w:val="21"/>
        </w:rPr>
        <w:t>中期</w:t>
      </w:r>
      <w:r>
        <w:rPr>
          <w:rFonts w:ascii="宋体" w:hAnsi="宋体" w:cs="宋体"/>
          <w:kern w:val="0"/>
          <w:szCs w:val="21"/>
        </w:rPr>
        <w:t>报告和基金季度报告</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基金管理人应当在上半年结束之日起两个月内，编制完成基金中期报告，将中期报告登载在规定网站上，并将中期报告提示性公告登载在规定报刊上。</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基金管理人应当在季度结束之日起15个工作日内，编制完成基金季度报告，将季度报告登载在规定网站上，并将季度报告提示性公告登载在规定报刊上。</w:t>
      </w:r>
    </w:p>
    <w:p>
      <w:pPr>
        <w:spacing w:line="360" w:lineRule="auto"/>
        <w:ind w:firstLine="420" w:firstLineChars="200"/>
        <w:rPr>
          <w:rFonts w:ascii="宋体" w:hAnsi="宋体" w:cs="宋体"/>
          <w:kern w:val="0"/>
          <w:szCs w:val="21"/>
        </w:rPr>
      </w:pPr>
      <w:r>
        <w:rPr>
          <w:rFonts w:hint="eastAsia" w:ascii="宋体" w:hAnsi="宋体" w:cs="宋体"/>
          <w:kern w:val="0"/>
          <w:szCs w:val="21"/>
        </w:rPr>
        <w:t>《基金合同》生效不足2个月的，基金管理人可以不编制当期季度报告、中期报告或者年度报告。</w:t>
      </w:r>
    </w:p>
    <w:p>
      <w:pPr>
        <w:spacing w:line="360" w:lineRule="auto"/>
        <w:ind w:firstLine="420" w:firstLineChars="200"/>
        <w:rPr>
          <w:rFonts w:ascii="宋体" w:hAnsi="宋体" w:cs="宋体"/>
          <w:kern w:val="0"/>
          <w:szCs w:val="21"/>
        </w:rPr>
      </w:pPr>
      <w:r>
        <w:rPr>
          <w:rFonts w:hint="eastAsia" w:ascii="宋体" w:hAnsi="宋体" w:cs="宋体"/>
          <w:kern w:val="0"/>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基金管理人应当在基金年度报告和中期报告中披露固定管理费、或有管理费和超额管理费收取情况、基金组合资产情况及其流动性风险分析等。</w:t>
      </w:r>
    </w:p>
    <w:p>
      <w:pPr>
        <w:spacing w:line="360" w:lineRule="auto"/>
        <w:ind w:firstLine="420" w:firstLineChars="200"/>
        <w:rPr>
          <w:rFonts w:ascii="宋体" w:hAnsi="宋体" w:cs="宋体"/>
          <w:kern w:val="0"/>
          <w:szCs w:val="21"/>
        </w:rPr>
      </w:pPr>
      <w:r>
        <w:rPr>
          <w:rFonts w:ascii="宋体" w:hAnsi="宋体" w:cs="宋体"/>
          <w:kern w:val="0"/>
          <w:szCs w:val="21"/>
        </w:rPr>
        <w:t>7</w:t>
      </w:r>
      <w:r>
        <w:rPr>
          <w:rFonts w:hint="eastAsia" w:ascii="宋体" w:hAnsi="宋体" w:cs="宋体"/>
          <w:kern w:val="0"/>
          <w:szCs w:val="21"/>
        </w:rPr>
        <w:t>、</w:t>
      </w:r>
      <w:r>
        <w:rPr>
          <w:rFonts w:ascii="宋体" w:hAnsi="宋体" w:cs="宋体"/>
          <w:kern w:val="0"/>
          <w:szCs w:val="21"/>
        </w:rPr>
        <w:t>临时报告</w:t>
      </w:r>
    </w:p>
    <w:p>
      <w:pPr>
        <w:spacing w:line="360" w:lineRule="auto"/>
        <w:ind w:firstLine="420" w:firstLineChars="200"/>
        <w:rPr>
          <w:rFonts w:ascii="宋体" w:hAnsi="宋体" w:cs="宋体"/>
          <w:kern w:val="0"/>
          <w:szCs w:val="21"/>
        </w:rPr>
      </w:pPr>
      <w:r>
        <w:rPr>
          <w:rFonts w:hint="eastAsia" w:ascii="宋体" w:hAnsi="宋体" w:cs="宋体"/>
          <w:kern w:val="0"/>
          <w:szCs w:val="21"/>
        </w:rPr>
        <w:t>本基金发生重大事件，有关信息披露义务人应当在2日内编制临时报告书，并登载在规定报刊和规定网站上。</w:t>
      </w:r>
    </w:p>
    <w:p>
      <w:pPr>
        <w:spacing w:line="360" w:lineRule="auto"/>
        <w:ind w:firstLine="420" w:firstLineChars="200"/>
        <w:rPr>
          <w:rFonts w:ascii="宋体" w:hAnsi="宋体" w:cs="宋体"/>
          <w:kern w:val="0"/>
          <w:szCs w:val="21"/>
        </w:rPr>
      </w:pPr>
      <w:r>
        <w:rPr>
          <w:rFonts w:hint="eastAsia" w:ascii="宋体" w:hAnsi="宋体" w:cs="宋体"/>
          <w:kern w:val="0"/>
          <w:szCs w:val="21"/>
        </w:rPr>
        <w:t>前款所称重大事件，是指可能对基金份额持有人权益或者基金份额的价格产生重大影响的下列事件：</w:t>
      </w:r>
    </w:p>
    <w:p>
      <w:pPr>
        <w:spacing w:line="360" w:lineRule="auto"/>
        <w:ind w:firstLine="420" w:firstLineChars="200"/>
        <w:rPr>
          <w:rFonts w:ascii="宋体" w:hAnsi="宋体" w:cs="宋体"/>
          <w:kern w:val="0"/>
          <w:szCs w:val="21"/>
        </w:rPr>
      </w:pPr>
      <w:r>
        <w:rPr>
          <w:rFonts w:hint="eastAsia" w:ascii="宋体" w:hAnsi="宋体" w:cs="宋体"/>
          <w:kern w:val="0"/>
          <w:szCs w:val="21"/>
        </w:rPr>
        <w:t>（1）基金份额持有人大会的召开及决定的事项；</w:t>
      </w:r>
    </w:p>
    <w:p>
      <w:pPr>
        <w:spacing w:line="360" w:lineRule="auto"/>
        <w:ind w:firstLine="420" w:firstLineChars="200"/>
        <w:rPr>
          <w:rFonts w:ascii="宋体" w:hAnsi="宋体" w:cs="宋体"/>
          <w:kern w:val="0"/>
          <w:szCs w:val="21"/>
        </w:rPr>
      </w:pPr>
      <w:r>
        <w:rPr>
          <w:rFonts w:hint="eastAsia" w:ascii="宋体" w:hAnsi="宋体" w:cs="宋体"/>
          <w:kern w:val="0"/>
          <w:szCs w:val="21"/>
        </w:rPr>
        <w:t>（2）《基金合同》终止、基金清算；</w:t>
      </w:r>
    </w:p>
    <w:p>
      <w:pPr>
        <w:spacing w:line="360" w:lineRule="auto"/>
        <w:ind w:firstLine="420" w:firstLineChars="200"/>
        <w:rPr>
          <w:rFonts w:ascii="宋体" w:hAnsi="宋体" w:cs="宋体"/>
          <w:kern w:val="0"/>
          <w:szCs w:val="21"/>
        </w:rPr>
      </w:pPr>
      <w:r>
        <w:rPr>
          <w:rFonts w:hint="eastAsia" w:ascii="宋体" w:hAnsi="宋体" w:cs="宋体"/>
          <w:kern w:val="0"/>
          <w:szCs w:val="21"/>
        </w:rPr>
        <w:t>（3）转换基金运作方式、基金合并；</w:t>
      </w:r>
    </w:p>
    <w:p>
      <w:pPr>
        <w:spacing w:line="360" w:lineRule="auto"/>
        <w:ind w:firstLine="420" w:firstLineChars="200"/>
        <w:rPr>
          <w:rFonts w:ascii="宋体" w:hAnsi="宋体" w:cs="宋体"/>
          <w:kern w:val="0"/>
          <w:szCs w:val="21"/>
        </w:rPr>
      </w:pPr>
      <w:r>
        <w:rPr>
          <w:rFonts w:hint="eastAsia" w:ascii="宋体" w:hAnsi="宋体" w:cs="宋体"/>
          <w:kern w:val="0"/>
          <w:szCs w:val="21"/>
        </w:rPr>
        <w:t>（4）更换基金管理人、基金托管人、基金份额登记机构，基金改聘会计师事务所；</w:t>
      </w:r>
    </w:p>
    <w:p>
      <w:pPr>
        <w:spacing w:line="360" w:lineRule="auto"/>
        <w:ind w:firstLine="420" w:firstLineChars="200"/>
        <w:rPr>
          <w:rFonts w:ascii="宋体" w:hAnsi="宋体" w:cs="宋体"/>
          <w:kern w:val="0"/>
          <w:szCs w:val="21"/>
        </w:rPr>
      </w:pPr>
      <w:r>
        <w:rPr>
          <w:rFonts w:hint="eastAsia" w:ascii="宋体" w:hAnsi="宋体" w:cs="宋体"/>
          <w:kern w:val="0"/>
          <w:szCs w:val="21"/>
        </w:rPr>
        <w:t>（5）基金管理人委托基金服务机构代为办理基金的份额登记、核算、估值等事项，基金托管人委托基金服务机构代为办理基金的核算、估值、复核等事项；</w:t>
      </w:r>
    </w:p>
    <w:p>
      <w:pPr>
        <w:spacing w:line="360" w:lineRule="auto"/>
        <w:ind w:firstLine="420" w:firstLineChars="200"/>
        <w:rPr>
          <w:rFonts w:ascii="宋体" w:hAnsi="宋体" w:cs="宋体"/>
          <w:kern w:val="0"/>
          <w:szCs w:val="21"/>
        </w:rPr>
      </w:pPr>
      <w:r>
        <w:rPr>
          <w:rFonts w:hint="eastAsia" w:ascii="宋体" w:hAnsi="宋体" w:cs="宋体"/>
          <w:kern w:val="0"/>
          <w:szCs w:val="21"/>
        </w:rPr>
        <w:t>（6）基金管理人、基金托管人的法定名称、住所发生变更；</w:t>
      </w:r>
    </w:p>
    <w:p>
      <w:pPr>
        <w:spacing w:line="360" w:lineRule="auto"/>
        <w:ind w:firstLine="420" w:firstLineChars="200"/>
        <w:rPr>
          <w:rFonts w:ascii="宋体" w:hAnsi="宋体" w:cs="宋体"/>
          <w:kern w:val="0"/>
          <w:szCs w:val="21"/>
        </w:rPr>
      </w:pPr>
      <w:r>
        <w:rPr>
          <w:rFonts w:hint="eastAsia" w:ascii="宋体" w:hAnsi="宋体" w:cs="宋体"/>
          <w:kern w:val="0"/>
          <w:szCs w:val="21"/>
        </w:rPr>
        <w:t>（7）基金管理人变更持有百分之五以上股权的股东、基金管理人的实际控制人变更；</w:t>
      </w:r>
    </w:p>
    <w:p>
      <w:pPr>
        <w:spacing w:line="360" w:lineRule="auto"/>
        <w:ind w:firstLine="420" w:firstLineChars="200"/>
        <w:rPr>
          <w:rFonts w:ascii="宋体" w:hAnsi="宋体" w:cs="宋体"/>
          <w:kern w:val="0"/>
          <w:szCs w:val="21"/>
        </w:rPr>
      </w:pPr>
      <w:r>
        <w:rPr>
          <w:rFonts w:hint="eastAsia" w:ascii="宋体" w:hAnsi="宋体" w:cs="宋体"/>
          <w:kern w:val="0"/>
          <w:szCs w:val="21"/>
        </w:rPr>
        <w:t>（8）基金募集期延长或提前结束募集；</w:t>
      </w:r>
    </w:p>
    <w:p>
      <w:pPr>
        <w:spacing w:line="360" w:lineRule="auto"/>
        <w:ind w:firstLine="420" w:firstLineChars="200"/>
        <w:rPr>
          <w:rFonts w:ascii="宋体" w:hAnsi="宋体" w:cs="宋体"/>
          <w:kern w:val="0"/>
          <w:szCs w:val="21"/>
        </w:rPr>
      </w:pPr>
      <w:r>
        <w:rPr>
          <w:rFonts w:hint="eastAsia" w:ascii="宋体" w:hAnsi="宋体" w:cs="宋体"/>
          <w:kern w:val="0"/>
          <w:szCs w:val="21"/>
        </w:rPr>
        <w:t>（9）基金管理人的高级管理人员、基金经理和基金托管人专门基金托管部门负责人发生变动；</w:t>
      </w:r>
    </w:p>
    <w:p>
      <w:pPr>
        <w:spacing w:line="360" w:lineRule="auto"/>
        <w:ind w:firstLine="420" w:firstLineChars="200"/>
        <w:rPr>
          <w:rFonts w:ascii="宋体" w:hAnsi="宋体" w:cs="宋体"/>
          <w:kern w:val="0"/>
          <w:szCs w:val="21"/>
        </w:rPr>
      </w:pPr>
      <w:r>
        <w:rPr>
          <w:rFonts w:hint="eastAsia" w:ascii="宋体" w:hAnsi="宋体" w:cs="宋体"/>
          <w:kern w:val="0"/>
          <w:szCs w:val="21"/>
        </w:rPr>
        <w:t>（10）基金管理人的董事在最近12个月内变更超过百分之五十，基金管理人、基金托管人专门基金托管部门的主要业务人员在最近12个月内变动超过百分之三十；</w:t>
      </w:r>
    </w:p>
    <w:p>
      <w:pPr>
        <w:spacing w:line="360" w:lineRule="auto"/>
        <w:ind w:firstLine="420" w:firstLineChars="200"/>
        <w:rPr>
          <w:rFonts w:ascii="宋体" w:hAnsi="宋体" w:cs="宋体"/>
          <w:kern w:val="0"/>
          <w:szCs w:val="21"/>
        </w:rPr>
      </w:pPr>
      <w:r>
        <w:rPr>
          <w:rFonts w:hint="eastAsia" w:ascii="宋体" w:hAnsi="宋体" w:cs="宋体"/>
          <w:kern w:val="0"/>
          <w:szCs w:val="21"/>
        </w:rPr>
        <w:t>（11）涉及基金财产、基金管理业务、基金托管业务的诉讼或仲裁；</w:t>
      </w:r>
    </w:p>
    <w:p>
      <w:pPr>
        <w:spacing w:line="360" w:lineRule="auto"/>
        <w:ind w:firstLine="420" w:firstLineChars="200"/>
        <w:rPr>
          <w:rFonts w:ascii="宋体" w:hAnsi="宋体" w:cs="宋体"/>
          <w:kern w:val="0"/>
          <w:szCs w:val="21"/>
        </w:rPr>
      </w:pPr>
      <w:r>
        <w:rPr>
          <w:rFonts w:hint="eastAsia" w:ascii="宋体" w:hAnsi="宋体" w:cs="宋体"/>
          <w:kern w:val="0"/>
          <w:szCs w:val="21"/>
        </w:rPr>
        <w:t>（12）基金管理人或其高级管理人员、基金经理因基金管理业务相关行为受到重大行政处罚、刑事处罚，基金托管人或其专门基金托管部门负责人因基金托管业务相关行为受到重大行政处罚、刑事处罚；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20" w:firstLineChars="200"/>
        <w:rPr>
          <w:rFonts w:ascii="宋体" w:hAnsi="宋体" w:cs="宋体"/>
          <w:kern w:val="0"/>
          <w:szCs w:val="21"/>
        </w:rPr>
      </w:pPr>
      <w:r>
        <w:rPr>
          <w:rFonts w:hint="eastAsia" w:ascii="宋体" w:hAnsi="宋体" w:cs="宋体"/>
          <w:kern w:val="0"/>
          <w:szCs w:val="21"/>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spacing w:line="360" w:lineRule="auto"/>
        <w:ind w:firstLine="420" w:firstLineChars="200"/>
        <w:rPr>
          <w:rFonts w:ascii="宋体" w:hAnsi="宋体" w:cs="宋体"/>
          <w:kern w:val="0"/>
          <w:szCs w:val="21"/>
        </w:rPr>
      </w:pPr>
      <w:r>
        <w:rPr>
          <w:rFonts w:hint="eastAsia" w:ascii="宋体" w:hAnsi="宋体" w:cs="宋体"/>
          <w:kern w:val="0"/>
          <w:szCs w:val="21"/>
        </w:rPr>
        <w:t>（14）基金收益分配事项；</w:t>
      </w:r>
    </w:p>
    <w:p>
      <w:pPr>
        <w:spacing w:line="360" w:lineRule="auto"/>
        <w:ind w:firstLine="420" w:firstLineChars="200"/>
        <w:rPr>
          <w:rFonts w:ascii="宋体" w:hAnsi="宋体" w:cs="宋体"/>
          <w:kern w:val="0"/>
          <w:szCs w:val="21"/>
        </w:rPr>
      </w:pPr>
      <w:r>
        <w:rPr>
          <w:rFonts w:hint="eastAsia" w:ascii="宋体" w:hAnsi="宋体" w:cs="宋体"/>
          <w:kern w:val="0"/>
          <w:szCs w:val="21"/>
        </w:rPr>
        <w:t>（15）管理费（包括固定管理费、或有管理费和超额管理费）、托管费、销售服务费、申购费、赎回费等费用计提标准、计提方式和费率发生变更；</w:t>
      </w:r>
    </w:p>
    <w:p>
      <w:pPr>
        <w:spacing w:line="360" w:lineRule="auto"/>
        <w:ind w:firstLine="420" w:firstLineChars="200"/>
        <w:rPr>
          <w:rFonts w:ascii="宋体" w:hAnsi="宋体" w:cs="宋体"/>
          <w:kern w:val="0"/>
          <w:szCs w:val="21"/>
        </w:rPr>
      </w:pPr>
      <w:r>
        <w:rPr>
          <w:rFonts w:hint="eastAsia" w:ascii="宋体" w:hAnsi="宋体" w:cs="宋体"/>
          <w:kern w:val="0"/>
          <w:szCs w:val="21"/>
        </w:rPr>
        <w:t>（16）任一类基金份额净值估值错误达该类基金份额净值百分之零点五；</w:t>
      </w:r>
    </w:p>
    <w:p>
      <w:pPr>
        <w:spacing w:line="360" w:lineRule="auto"/>
        <w:ind w:firstLine="420" w:firstLineChars="200"/>
        <w:rPr>
          <w:rFonts w:ascii="宋体" w:hAnsi="宋体" w:cs="宋体"/>
          <w:kern w:val="0"/>
          <w:szCs w:val="21"/>
        </w:rPr>
      </w:pPr>
      <w:r>
        <w:rPr>
          <w:rFonts w:hint="eastAsia" w:ascii="宋体" w:hAnsi="宋体" w:cs="宋体"/>
          <w:kern w:val="0"/>
          <w:szCs w:val="21"/>
        </w:rPr>
        <w:t>（17）本基金开始办理申购、赎回；</w:t>
      </w:r>
    </w:p>
    <w:p>
      <w:pPr>
        <w:spacing w:line="360" w:lineRule="auto"/>
        <w:ind w:firstLine="420" w:firstLineChars="200"/>
        <w:rPr>
          <w:rFonts w:ascii="宋体" w:hAnsi="宋体" w:cs="宋体"/>
          <w:kern w:val="0"/>
          <w:szCs w:val="21"/>
        </w:rPr>
      </w:pPr>
      <w:r>
        <w:rPr>
          <w:rFonts w:hint="eastAsia" w:ascii="宋体" w:hAnsi="宋体" w:cs="宋体"/>
          <w:kern w:val="0"/>
          <w:szCs w:val="21"/>
        </w:rPr>
        <w:t>（18）本基金发生巨额赎回并延期办理；</w:t>
      </w:r>
    </w:p>
    <w:p>
      <w:pPr>
        <w:spacing w:line="360" w:lineRule="auto"/>
        <w:ind w:firstLine="420" w:firstLineChars="200"/>
        <w:rPr>
          <w:rFonts w:ascii="宋体" w:hAnsi="宋体" w:cs="宋体"/>
          <w:kern w:val="0"/>
          <w:szCs w:val="21"/>
        </w:rPr>
      </w:pPr>
      <w:r>
        <w:rPr>
          <w:rFonts w:hint="eastAsia" w:ascii="宋体" w:hAnsi="宋体" w:cs="宋体"/>
          <w:kern w:val="0"/>
          <w:szCs w:val="21"/>
        </w:rPr>
        <w:t>（19）本基金连续发生巨额赎回并暂停接受赎回申请或延缓支付赎回款项；</w:t>
      </w:r>
    </w:p>
    <w:p>
      <w:pPr>
        <w:spacing w:line="360" w:lineRule="auto"/>
        <w:ind w:firstLine="420" w:firstLineChars="200"/>
        <w:rPr>
          <w:rFonts w:ascii="宋体" w:hAnsi="宋体" w:cs="宋体"/>
          <w:kern w:val="0"/>
          <w:szCs w:val="21"/>
        </w:rPr>
      </w:pPr>
      <w:r>
        <w:rPr>
          <w:rFonts w:hint="eastAsia" w:ascii="宋体" w:hAnsi="宋体" w:cs="宋体"/>
          <w:kern w:val="0"/>
          <w:szCs w:val="21"/>
        </w:rPr>
        <w:t>（20）本基金暂停接受申购、赎回申请或重新接受申购、赎回申请；</w:t>
      </w:r>
    </w:p>
    <w:p>
      <w:pPr>
        <w:spacing w:line="360" w:lineRule="auto"/>
        <w:ind w:firstLine="420" w:firstLineChars="200"/>
        <w:rPr>
          <w:rFonts w:ascii="宋体" w:hAnsi="宋体" w:cs="宋体"/>
          <w:kern w:val="0"/>
          <w:szCs w:val="21"/>
        </w:rPr>
      </w:pPr>
      <w:r>
        <w:rPr>
          <w:rFonts w:hint="eastAsia" w:ascii="宋体" w:hAnsi="宋体" w:cs="宋体"/>
          <w:kern w:val="0"/>
          <w:szCs w:val="21"/>
        </w:rPr>
        <w:t>（21）本基金推出新业务或服务；</w:t>
      </w:r>
    </w:p>
    <w:p>
      <w:pPr>
        <w:spacing w:line="360" w:lineRule="auto"/>
        <w:ind w:firstLine="420" w:firstLineChars="200"/>
        <w:rPr>
          <w:rFonts w:ascii="宋体" w:hAnsi="宋体" w:cs="宋体"/>
          <w:kern w:val="0"/>
          <w:szCs w:val="21"/>
        </w:rPr>
      </w:pPr>
      <w:r>
        <w:rPr>
          <w:rFonts w:hint="eastAsia" w:ascii="宋体" w:hAnsi="宋体" w:cs="宋体"/>
          <w:kern w:val="0"/>
          <w:szCs w:val="21"/>
        </w:rPr>
        <w:t>（22）调整基金份额类别；</w:t>
      </w:r>
    </w:p>
    <w:p>
      <w:pPr>
        <w:spacing w:line="360" w:lineRule="auto"/>
        <w:ind w:firstLine="420" w:firstLineChars="200"/>
        <w:rPr>
          <w:rFonts w:ascii="宋体" w:hAnsi="宋体" w:cs="宋体"/>
          <w:kern w:val="0"/>
          <w:szCs w:val="21"/>
        </w:rPr>
      </w:pPr>
      <w:r>
        <w:rPr>
          <w:rFonts w:hint="eastAsia" w:ascii="宋体" w:hAnsi="宋体" w:cs="宋体"/>
          <w:kern w:val="0"/>
          <w:szCs w:val="21"/>
        </w:rPr>
        <w:t>（23）发生涉及基金申购、赎回事项调整或潜在影响投资者赎回等重大事项时；</w:t>
      </w:r>
    </w:p>
    <w:p>
      <w:pPr>
        <w:spacing w:line="360" w:lineRule="auto"/>
        <w:ind w:firstLine="420" w:firstLineChars="200"/>
        <w:rPr>
          <w:rFonts w:ascii="宋体" w:hAnsi="宋体" w:cs="宋体"/>
          <w:kern w:val="0"/>
          <w:szCs w:val="21"/>
        </w:rPr>
      </w:pPr>
      <w:r>
        <w:rPr>
          <w:rFonts w:hint="eastAsia" w:ascii="宋体" w:hAnsi="宋体" w:cs="宋体"/>
          <w:kern w:val="0"/>
          <w:szCs w:val="21"/>
        </w:rPr>
        <w:t>（24）基金管理人采用摆动定价机制进行估值；</w:t>
      </w:r>
    </w:p>
    <w:p>
      <w:pPr>
        <w:spacing w:line="360" w:lineRule="auto"/>
        <w:ind w:firstLine="420" w:firstLineChars="200"/>
        <w:rPr>
          <w:rFonts w:ascii="宋体" w:hAnsi="宋体" w:cs="宋体"/>
          <w:kern w:val="0"/>
          <w:szCs w:val="21"/>
        </w:rPr>
      </w:pPr>
      <w:r>
        <w:rPr>
          <w:rFonts w:hint="eastAsia" w:ascii="宋体" w:hAnsi="宋体" w:cs="宋体"/>
          <w:kern w:val="0"/>
          <w:szCs w:val="21"/>
        </w:rPr>
        <w:t>（25）浮动管理费收费模式的调整；</w:t>
      </w:r>
    </w:p>
    <w:p>
      <w:pPr>
        <w:spacing w:line="360" w:lineRule="auto"/>
        <w:ind w:firstLine="420" w:firstLineChars="200"/>
        <w:rPr>
          <w:rFonts w:ascii="宋体" w:hAnsi="宋体" w:cs="宋体"/>
          <w:kern w:val="0"/>
          <w:szCs w:val="21"/>
        </w:rPr>
      </w:pPr>
      <w:r>
        <w:rPr>
          <w:rFonts w:hint="eastAsia" w:ascii="宋体" w:hAnsi="宋体" w:cs="宋体"/>
          <w:kern w:val="0"/>
          <w:szCs w:val="21"/>
        </w:rPr>
        <w:t>（2</w:t>
      </w:r>
      <w:r>
        <w:rPr>
          <w:rFonts w:ascii="宋体" w:hAnsi="宋体" w:cs="宋体"/>
          <w:kern w:val="0"/>
          <w:szCs w:val="21"/>
        </w:rPr>
        <w:t>6</w:t>
      </w:r>
      <w:r>
        <w:rPr>
          <w:rFonts w:hint="eastAsia" w:ascii="宋体" w:hAnsi="宋体" w:cs="宋体"/>
          <w:kern w:val="0"/>
          <w:szCs w:val="21"/>
        </w:rPr>
        <w:t>）基金信息披露义务人认为可能对基金份额持有人权益或者基金份额的价格产生重大影响的其他事项或中国证监会规定的其他事项。</w:t>
      </w:r>
    </w:p>
    <w:p>
      <w:pPr>
        <w:spacing w:line="360" w:lineRule="auto"/>
        <w:ind w:firstLine="420" w:firstLineChars="200"/>
        <w:rPr>
          <w:rFonts w:ascii="宋体" w:hAnsi="宋体" w:cs="宋体"/>
          <w:kern w:val="0"/>
          <w:szCs w:val="21"/>
        </w:rPr>
      </w:pP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澄清公告</w:t>
      </w:r>
    </w:p>
    <w:p>
      <w:pPr>
        <w:spacing w:line="360" w:lineRule="auto"/>
        <w:ind w:firstLine="420" w:firstLineChars="200"/>
        <w:rPr>
          <w:rFonts w:ascii="宋体" w:hAnsi="宋体" w:cs="宋体"/>
          <w:kern w:val="0"/>
          <w:szCs w:val="21"/>
        </w:rPr>
      </w:pPr>
      <w:r>
        <w:rPr>
          <w:rFonts w:hint="eastAsia" w:ascii="宋体" w:hAnsi="宋体" w:cs="宋体"/>
          <w:kern w:val="0"/>
          <w:szCs w:val="21"/>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spacing w:line="360" w:lineRule="auto"/>
        <w:ind w:firstLine="420" w:firstLineChars="200"/>
        <w:rPr>
          <w:rFonts w:ascii="宋体" w:hAnsi="宋体" w:cs="宋体"/>
          <w:kern w:val="0"/>
          <w:szCs w:val="21"/>
        </w:rPr>
      </w:pPr>
      <w:r>
        <w:rPr>
          <w:rFonts w:hint="eastAsia" w:ascii="宋体" w:hAnsi="宋体" w:cs="宋体"/>
          <w:kern w:val="0"/>
          <w:szCs w:val="21"/>
        </w:rPr>
        <w:t>9、基金份额持有人大会决议</w:t>
      </w:r>
    </w:p>
    <w:p>
      <w:pPr>
        <w:spacing w:line="360" w:lineRule="auto"/>
        <w:ind w:firstLine="420" w:firstLineChars="200"/>
        <w:rPr>
          <w:rFonts w:ascii="宋体" w:hAnsi="宋体" w:cs="宋体"/>
          <w:kern w:val="0"/>
          <w:szCs w:val="21"/>
        </w:rPr>
      </w:pPr>
      <w:r>
        <w:rPr>
          <w:rFonts w:hint="eastAsia" w:ascii="宋体" w:hAnsi="宋体" w:cs="宋体"/>
          <w:kern w:val="0"/>
          <w:szCs w:val="21"/>
        </w:rPr>
        <w:t>基金份额持有人大会决定的事项，应当依法报中国证监会备案，并予以公告。</w:t>
      </w:r>
    </w:p>
    <w:p>
      <w:pPr>
        <w:spacing w:line="360" w:lineRule="auto"/>
        <w:ind w:firstLine="420" w:firstLineChars="200"/>
        <w:rPr>
          <w:rFonts w:ascii="宋体" w:hAnsi="宋体" w:cs="宋体"/>
          <w:kern w:val="0"/>
          <w:szCs w:val="21"/>
        </w:rPr>
      </w:pPr>
      <w:r>
        <w:rPr>
          <w:rFonts w:hint="eastAsia" w:ascii="宋体" w:hAnsi="宋体" w:cs="宋体"/>
          <w:kern w:val="0"/>
          <w:szCs w:val="21"/>
        </w:rPr>
        <w:t>10、清算报告</w:t>
      </w:r>
    </w:p>
    <w:p>
      <w:pPr>
        <w:spacing w:line="360" w:lineRule="auto"/>
        <w:ind w:firstLine="420" w:firstLineChars="200"/>
        <w:rPr>
          <w:rFonts w:ascii="宋体" w:hAnsi="宋体" w:cs="宋体"/>
          <w:kern w:val="0"/>
          <w:szCs w:val="21"/>
        </w:rPr>
      </w:pPr>
      <w:r>
        <w:rPr>
          <w:rFonts w:hint="eastAsia" w:ascii="宋体" w:hAnsi="宋体" w:cs="宋体"/>
          <w:kern w:val="0"/>
          <w:szCs w:val="21"/>
        </w:rPr>
        <w:t>基金合同终止情形出现时，基金管理人应当依法组织基金财产清算小组对基金财产进行清算并制作清算报告。基金财产清算小组应当将清算报告登载在规定网站上，并将清算报告提示性公告登载在规定报刊上。</w:t>
      </w:r>
    </w:p>
    <w:p>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、投资股指期货的信息披露</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pPr>
        <w:spacing w:line="360" w:lineRule="auto"/>
        <w:ind w:firstLine="420" w:firstLineChars="200"/>
        <w:rPr>
          <w:rFonts w:ascii="宋体" w:hAnsi="宋体" w:cs="宋体"/>
          <w:kern w:val="0"/>
          <w:szCs w:val="21"/>
        </w:rPr>
      </w:pPr>
      <w:r>
        <w:rPr>
          <w:rFonts w:hint="eastAsia" w:ascii="宋体" w:hAnsi="宋体" w:cs="宋体"/>
          <w:kern w:val="0"/>
          <w:szCs w:val="21"/>
        </w:rPr>
        <w:t>12、投资国债期货的信息披露</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pPr>
        <w:spacing w:line="360" w:lineRule="auto"/>
        <w:ind w:firstLine="420" w:firstLineChars="200"/>
        <w:rPr>
          <w:rFonts w:ascii="宋体" w:hAnsi="宋体" w:cs="宋体"/>
          <w:kern w:val="0"/>
          <w:szCs w:val="21"/>
        </w:rPr>
      </w:pPr>
      <w:r>
        <w:rPr>
          <w:rFonts w:hint="eastAsia" w:ascii="宋体" w:hAnsi="宋体" w:cs="宋体"/>
          <w:kern w:val="0"/>
          <w:szCs w:val="21"/>
        </w:rPr>
        <w:t>13、投资资产支持证券的信息披露</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20" w:firstLineChars="200"/>
        <w:rPr>
          <w:rFonts w:ascii="宋体" w:hAnsi="宋体" w:cs="宋体"/>
          <w:kern w:val="0"/>
          <w:szCs w:val="21"/>
        </w:rPr>
      </w:pPr>
      <w:r>
        <w:rPr>
          <w:rFonts w:hint="eastAsia" w:ascii="宋体" w:hAnsi="宋体" w:cs="宋体"/>
          <w:kern w:val="0"/>
          <w:szCs w:val="21"/>
        </w:rPr>
        <w:t>14、投资港股通投资标的股票的信息披露</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季度报告、中期报告、年度报告等定期报告和招募说明书（更新）等文件中披露港股通投资标的股票的投资情况，包括报告期末本基金在香港地区证券市场的权益投资分布情况及按相关法律法规及中国证监会要求披露港股通投资标的股票的投资明细等内容。</w:t>
      </w:r>
    </w:p>
    <w:p>
      <w:pPr>
        <w:spacing w:line="360" w:lineRule="auto"/>
        <w:ind w:firstLine="420" w:firstLineChars="200"/>
        <w:rPr>
          <w:rFonts w:ascii="宋体" w:hAnsi="宋体" w:cs="宋体"/>
          <w:kern w:val="0"/>
          <w:szCs w:val="21"/>
        </w:rPr>
      </w:pPr>
      <w:r>
        <w:rPr>
          <w:rFonts w:hint="eastAsia" w:ascii="宋体" w:hAnsi="宋体" w:cs="宋体"/>
          <w:kern w:val="0"/>
          <w:szCs w:val="21"/>
        </w:rPr>
        <w:t>15、有关发起资金认购基金份额的信息披露</w:t>
      </w:r>
    </w:p>
    <w:p>
      <w:pPr>
        <w:spacing w:line="360" w:lineRule="auto"/>
        <w:ind w:firstLine="420" w:firstLineChars="200"/>
      </w:pPr>
      <w:r>
        <w:rPr>
          <w:rFonts w:hint="eastAsia" w:ascii="宋体" w:hAnsi="宋体" w:cs="宋体"/>
          <w:kern w:val="0"/>
          <w:szCs w:val="21"/>
        </w:rPr>
        <w:t>基金管理人应当按照相关法律法规的规定和监管机构的要求，在基金年度报告、中期报告、季度报告中分别披露基金管理人固有资金、基金管理人股东、基金管理人高级管理人员或基金经理等人员持有基金的份额、期限及期间的变动情况。</w:t>
      </w:r>
    </w:p>
    <w:p>
      <w:pPr>
        <w:spacing w:line="360" w:lineRule="auto"/>
        <w:ind w:firstLine="420" w:firstLineChars="200"/>
        <w:rPr>
          <w:rFonts w:ascii="宋体" w:hAnsi="宋体" w:cs="宋体"/>
          <w:kern w:val="0"/>
          <w:szCs w:val="21"/>
        </w:rPr>
      </w:pPr>
      <w:r>
        <w:rPr>
          <w:rFonts w:hint="eastAsia" w:ascii="宋体" w:hAnsi="宋体" w:cs="宋体"/>
          <w:kern w:val="0"/>
          <w:szCs w:val="21"/>
        </w:rPr>
        <w:t>16、实施侧袋机制期间的信息披露</w:t>
      </w:r>
    </w:p>
    <w:p>
      <w:pPr>
        <w:spacing w:line="360" w:lineRule="auto"/>
        <w:ind w:firstLine="420" w:firstLineChars="200"/>
        <w:rPr>
          <w:rFonts w:ascii="宋体" w:hAnsi="宋体" w:cs="宋体"/>
          <w:kern w:val="0"/>
          <w:szCs w:val="21"/>
        </w:rPr>
      </w:pPr>
      <w:r>
        <w:rPr>
          <w:rFonts w:hint="eastAsia" w:ascii="宋体" w:hAnsi="宋体" w:cs="宋体"/>
          <w:kern w:val="0"/>
          <w:szCs w:val="21"/>
        </w:rPr>
        <w:t>本基金实施侧袋机制的，相关信息披露义务人应当根据法律法规、基金合同和招募说明书的规定进行信息披露，详见招募说明书“侧袋机制”部分的规定。</w:t>
      </w:r>
    </w:p>
    <w:p>
      <w:pPr>
        <w:spacing w:line="360" w:lineRule="auto"/>
        <w:ind w:firstLine="420" w:firstLineChars="200"/>
        <w:rPr>
          <w:rFonts w:ascii="宋体" w:hAnsi="宋体" w:cs="宋体"/>
          <w:kern w:val="0"/>
          <w:szCs w:val="21"/>
        </w:rPr>
      </w:pPr>
      <w:r>
        <w:rPr>
          <w:rFonts w:hint="eastAsia" w:ascii="宋体" w:hAnsi="宋体" w:cs="宋体"/>
          <w:kern w:val="0"/>
          <w:szCs w:val="21"/>
        </w:rPr>
        <w:t>17、中国证监会规定的其他信息</w:t>
      </w:r>
    </w:p>
    <w:p>
      <w:pPr>
        <w:spacing w:line="360" w:lineRule="auto"/>
        <w:ind w:firstLine="420" w:firstLineChars="200"/>
        <w:rPr>
          <w:rFonts w:ascii="宋体" w:hAnsi="宋体" w:cs="宋体"/>
          <w:kern w:val="0"/>
          <w:szCs w:val="21"/>
        </w:rPr>
      </w:pPr>
      <w:r>
        <w:rPr>
          <w:rFonts w:hint="eastAsia" w:ascii="宋体" w:hAnsi="宋体" w:cs="宋体"/>
          <w:kern w:val="0"/>
          <w:szCs w:val="21"/>
        </w:rPr>
        <w:t>（六）</w:t>
      </w:r>
      <w:r>
        <w:rPr>
          <w:rFonts w:ascii="宋体" w:hAnsi="宋体" w:cs="宋体"/>
          <w:kern w:val="0"/>
          <w:szCs w:val="21"/>
        </w:rPr>
        <w:t>信息披露事务管理</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基金管理人、基金托管人应当建立健全信息披露管理制度，指定专门部门及高级管理人员负责管理信息披露事务。</w:t>
      </w:r>
    </w:p>
    <w:p>
      <w:pPr>
        <w:spacing w:line="360" w:lineRule="auto"/>
        <w:ind w:firstLine="420" w:firstLineChars="200"/>
        <w:rPr>
          <w:rFonts w:ascii="宋体" w:hAnsi="宋体" w:cs="宋体"/>
          <w:kern w:val="0"/>
          <w:szCs w:val="21"/>
        </w:rPr>
      </w:pPr>
      <w:r>
        <w:rPr>
          <w:rFonts w:hint="eastAsia" w:ascii="宋体" w:hAnsi="宋体" w:cs="宋体"/>
          <w:kern w:val="0"/>
          <w:szCs w:val="21"/>
        </w:rPr>
        <w:t>基金信息披露义务人公开披露基金信息，应当符合中国证监会相关基金信息披露内容与格式准则等法律法规规定。</w:t>
      </w:r>
    </w:p>
    <w:p>
      <w:pPr>
        <w:spacing w:line="360" w:lineRule="auto"/>
        <w:ind w:firstLine="420" w:firstLineChars="200"/>
        <w:rPr>
          <w:rFonts w:ascii="宋体" w:hAnsi="宋体" w:cs="宋体"/>
          <w:kern w:val="0"/>
          <w:szCs w:val="21"/>
        </w:rPr>
      </w:pPr>
      <w:r>
        <w:rPr>
          <w:rFonts w:hint="eastAsia" w:ascii="宋体" w:hAnsi="宋体" w:cs="宋体"/>
          <w:kern w:val="0"/>
          <w:szCs w:val="21"/>
        </w:rPr>
        <w:t>基金托管人应当按照相关法律法规、中国证监会的规定和《基金合同》的约定，对基金管理人编制的基金净值信息、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20" w:firstLineChars="200"/>
        <w:rPr>
          <w:rFonts w:ascii="宋体" w:hAnsi="宋体" w:cs="宋体"/>
          <w:kern w:val="0"/>
          <w:szCs w:val="21"/>
        </w:rPr>
      </w:pPr>
      <w:r>
        <w:rPr>
          <w:rFonts w:hint="eastAsia" w:ascii="宋体" w:hAnsi="宋体" w:cs="宋体"/>
          <w:kern w:val="0"/>
          <w:szCs w:val="21"/>
        </w:rPr>
        <w:t>为基金信息披露义务人公开披露的基金信息出具审计报告、法律意见书的专业机构，应当制作工作底稿，并将相关档案至少保存到《基金合同》终止后10年。</w:t>
      </w:r>
    </w:p>
    <w:p>
      <w:pPr>
        <w:spacing w:line="360" w:lineRule="auto"/>
        <w:ind w:firstLine="420" w:firstLineChars="200"/>
        <w:rPr>
          <w:rFonts w:ascii="宋体" w:hAnsi="宋体" w:cs="宋体"/>
          <w:bCs/>
          <w:kern w:val="0"/>
          <w:szCs w:val="21"/>
        </w:rPr>
      </w:pPr>
      <w:r>
        <w:rPr>
          <w:rFonts w:hint="eastAsia" w:ascii="宋体" w:hAnsi="宋体" w:cs="宋体"/>
          <w:kern w:val="0"/>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20" w:firstLineChars="200"/>
        <w:rPr>
          <w:rFonts w:ascii="宋体" w:hAnsi="宋体" w:cs="宋体"/>
          <w:kern w:val="0"/>
          <w:szCs w:val="21"/>
        </w:rPr>
      </w:pPr>
      <w:r>
        <w:rPr>
          <w:rFonts w:hint="eastAsia" w:ascii="宋体" w:hAnsi="宋体" w:cs="宋体"/>
          <w:kern w:val="0"/>
          <w:szCs w:val="21"/>
        </w:rPr>
        <w:t>（七）</w:t>
      </w:r>
      <w:r>
        <w:rPr>
          <w:rFonts w:ascii="宋体" w:hAnsi="宋体" w:cs="宋体"/>
          <w:kern w:val="0"/>
          <w:szCs w:val="21"/>
        </w:rPr>
        <w:t>信息披露文件的存放与查阅</w:t>
      </w:r>
    </w:p>
    <w:p>
      <w:pPr>
        <w:spacing w:line="360" w:lineRule="auto"/>
        <w:ind w:firstLine="420" w:firstLineChars="200"/>
        <w:rPr>
          <w:rFonts w:ascii="宋体" w:hAnsi="宋体" w:cs="宋体"/>
          <w:kern w:val="0"/>
          <w:szCs w:val="21"/>
        </w:rPr>
      </w:pPr>
      <w:r>
        <w:rPr>
          <w:rFonts w:hint="eastAsia" w:ascii="宋体" w:hAnsi="宋体" w:cs="宋体"/>
          <w:kern w:val="0"/>
          <w:szCs w:val="21"/>
        </w:rPr>
        <w:t>依法必须披露的信息发布后，基金管理人、基金托管人应当按照相关法律法规规定将信息置备于各自住所，供社会公众查阅、复制。</w:t>
      </w:r>
    </w:p>
    <w:p>
      <w:pPr>
        <w:spacing w:line="360" w:lineRule="auto"/>
        <w:ind w:firstLine="420" w:firstLineChars="200"/>
        <w:rPr>
          <w:rFonts w:ascii="宋体" w:hAnsi="宋体" w:cs="宋体"/>
          <w:kern w:val="0"/>
          <w:szCs w:val="21"/>
        </w:rPr>
      </w:pPr>
      <w:r>
        <w:rPr>
          <w:rFonts w:hint="eastAsia" w:ascii="宋体" w:hAnsi="宋体" w:cs="宋体"/>
          <w:kern w:val="0"/>
          <w:szCs w:val="21"/>
        </w:rPr>
        <w:t>（八）暂停或延迟信息披露的情形</w:t>
      </w:r>
    </w:p>
    <w:p>
      <w:pPr>
        <w:spacing w:line="360" w:lineRule="auto"/>
        <w:ind w:firstLine="420" w:firstLineChars="200"/>
        <w:rPr>
          <w:rFonts w:ascii="宋体" w:hAnsi="宋体" w:cs="宋体"/>
          <w:kern w:val="0"/>
          <w:szCs w:val="21"/>
        </w:rPr>
      </w:pPr>
      <w:r>
        <w:rPr>
          <w:rFonts w:hint="eastAsia" w:ascii="宋体" w:hAnsi="宋体" w:cs="宋体"/>
          <w:kern w:val="0"/>
          <w:szCs w:val="21"/>
        </w:rPr>
        <w:t>当出现下述情况时，基金管理人和基金托管人可暂停或延迟披露基金相关信息：</w:t>
      </w:r>
    </w:p>
    <w:p>
      <w:pPr>
        <w:spacing w:line="360" w:lineRule="auto"/>
        <w:ind w:firstLine="420" w:firstLineChars="200"/>
        <w:rPr>
          <w:rFonts w:ascii="宋体" w:hAnsi="宋体" w:cs="宋体"/>
          <w:kern w:val="0"/>
          <w:szCs w:val="21"/>
        </w:rPr>
      </w:pPr>
      <w:r>
        <w:rPr>
          <w:rFonts w:hint="eastAsia" w:ascii="宋体" w:hAnsi="宋体" w:cs="宋体"/>
          <w:kern w:val="0"/>
          <w:szCs w:val="21"/>
        </w:rPr>
        <w:t>1、不可抗力；</w:t>
      </w:r>
    </w:p>
    <w:p>
      <w:pPr>
        <w:spacing w:line="360" w:lineRule="auto"/>
        <w:ind w:firstLine="420" w:firstLineChars="200"/>
        <w:rPr>
          <w:rFonts w:ascii="宋体" w:hAnsi="宋体" w:cs="宋体"/>
          <w:kern w:val="0"/>
          <w:szCs w:val="21"/>
        </w:rPr>
      </w:pPr>
      <w:r>
        <w:rPr>
          <w:rFonts w:hint="eastAsia" w:ascii="宋体" w:hAnsi="宋体" w:cs="宋体"/>
          <w:kern w:val="0"/>
          <w:szCs w:val="21"/>
        </w:rPr>
        <w:t>2、基金投资所涉及的证券、期货交易市场或外汇市场遇法定节假日或因其他原因暂停营业时；</w:t>
      </w:r>
    </w:p>
    <w:p>
      <w:pPr>
        <w:spacing w:line="360" w:lineRule="auto"/>
        <w:ind w:firstLine="420" w:firstLineChars="200"/>
        <w:rPr>
          <w:rFonts w:ascii="宋体" w:hAnsi="宋体" w:cs="宋体"/>
          <w:kern w:val="0"/>
          <w:szCs w:val="21"/>
        </w:rPr>
      </w:pPr>
      <w:r>
        <w:rPr>
          <w:rFonts w:hint="eastAsia" w:ascii="宋体" w:hAnsi="宋体" w:cs="宋体"/>
          <w:kern w:val="0"/>
          <w:szCs w:val="21"/>
        </w:rPr>
        <w:t>3、发生基金合同约定的暂停估值的情形；</w:t>
      </w:r>
    </w:p>
    <w:p>
      <w:pPr>
        <w:spacing w:line="360" w:lineRule="auto"/>
        <w:ind w:firstLine="420" w:firstLineChars="200"/>
        <w:rPr>
          <w:rFonts w:ascii="宋体" w:hAnsi="宋体" w:cs="宋体"/>
          <w:bCs/>
          <w:kern w:val="0"/>
          <w:szCs w:val="21"/>
        </w:rPr>
      </w:pPr>
      <w:r>
        <w:rPr>
          <w:rFonts w:hint="eastAsia" w:ascii="宋体" w:hAnsi="宋体" w:cs="宋体"/>
          <w:kern w:val="0"/>
          <w:szCs w:val="21"/>
        </w:rPr>
        <w:t>4、法律法规、基金合同或中国证监会规定的其他情况。</w:t>
      </w:r>
    </w:p>
    <w:bookmarkEnd w:id="198"/>
    <w:p>
      <w:pPr>
        <w:pStyle w:val="4"/>
        <w:spacing w:before="400" w:after="400"/>
        <w:rPr>
          <w:rFonts w:hAnsi="宋体"/>
          <w:b w:val="0"/>
          <w:sz w:val="32"/>
        </w:rPr>
      </w:pPr>
      <w:r>
        <w:rPr>
          <w:rFonts w:hAnsi="宋体" w:cs="宋体"/>
          <w:bCs/>
          <w:kern w:val="0"/>
          <w:szCs w:val="21"/>
        </w:rPr>
        <w:br w:type="page"/>
      </w:r>
      <w:bookmarkEnd w:id="119"/>
      <w:bookmarkStart w:id="204" w:name="_Toc55987072"/>
      <w:bookmarkStart w:id="205" w:name="_Toc50744255"/>
      <w:bookmarkStart w:id="206" w:name="_Toc48062665"/>
      <w:bookmarkStart w:id="207" w:name="_Toc203357167"/>
      <w:bookmarkStart w:id="208" w:name="_Toc116052796"/>
      <w:bookmarkStart w:id="209" w:name="_Toc203806302"/>
      <w:bookmarkStart w:id="210" w:name="_Toc116052562"/>
      <w:r>
        <w:rPr>
          <w:rFonts w:hint="eastAsia" w:hAnsi="宋体"/>
          <w:sz w:val="32"/>
        </w:rPr>
        <w:t>十六、侧袋机制</w:t>
      </w:r>
      <w:bookmarkEnd w:id="204"/>
      <w:bookmarkEnd w:id="205"/>
      <w:bookmarkEnd w:id="206"/>
    </w:p>
    <w:p>
      <w:pPr>
        <w:spacing w:line="360" w:lineRule="auto"/>
        <w:ind w:firstLine="420" w:firstLineChars="200"/>
        <w:rPr>
          <w:rFonts w:ascii="宋体" w:hAnsi="宋体" w:cs="宋体"/>
          <w:kern w:val="0"/>
          <w:szCs w:val="21"/>
        </w:rPr>
      </w:pPr>
      <w:r>
        <w:rPr>
          <w:rFonts w:hint="eastAsia" w:ascii="宋体" w:hAnsi="宋体" w:cs="宋体"/>
          <w:kern w:val="0"/>
          <w:szCs w:val="21"/>
        </w:rPr>
        <w:t>（一）侧袋机制的实施条件和实施程序</w:t>
      </w:r>
    </w:p>
    <w:p>
      <w:pPr>
        <w:spacing w:line="360" w:lineRule="auto"/>
        <w:ind w:firstLine="420" w:firstLineChars="200"/>
        <w:rPr>
          <w:rFonts w:ascii="宋体" w:hAnsi="宋体" w:cs="宋体"/>
          <w:kern w:val="0"/>
          <w:szCs w:val="21"/>
        </w:rPr>
      </w:pPr>
      <w:bookmarkStart w:id="211" w:name="_Hlk47632789"/>
      <w:r>
        <w:rPr>
          <w:rFonts w:hint="eastAsia" w:ascii="宋体" w:hAnsi="宋体" w:cs="宋体"/>
          <w:kern w:val="0"/>
          <w:szCs w:val="21"/>
        </w:rPr>
        <w:t>当本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基金管理人应当在启用侧袋机制当日报中国证监会及基金管理人所在地中国证监会派出机构备案。</w:t>
      </w:r>
    </w:p>
    <w:bookmarkEnd w:id="211"/>
    <w:p>
      <w:pPr>
        <w:spacing w:line="360" w:lineRule="auto"/>
        <w:ind w:firstLine="420" w:firstLineChars="200"/>
        <w:rPr>
          <w:rFonts w:ascii="宋体" w:hAnsi="宋体" w:cs="宋体"/>
          <w:kern w:val="0"/>
          <w:szCs w:val="21"/>
        </w:rPr>
      </w:pPr>
      <w:r>
        <w:rPr>
          <w:rFonts w:hint="eastAsia" w:ascii="宋体" w:hAnsi="宋体" w:cs="宋体"/>
          <w:kern w:val="0"/>
          <w:szCs w:val="21"/>
        </w:rPr>
        <w:t>启用侧袋机制当日，基金管理人和基金服务机构应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spacing w:line="360" w:lineRule="auto"/>
        <w:ind w:firstLine="420" w:firstLineChars="200"/>
        <w:rPr>
          <w:rFonts w:ascii="宋体" w:hAnsi="宋体" w:cs="宋体"/>
          <w:kern w:val="0"/>
          <w:szCs w:val="21"/>
        </w:rPr>
      </w:pPr>
      <w:r>
        <w:rPr>
          <w:rFonts w:hint="eastAsia" w:ascii="宋体" w:hAnsi="宋体" w:cs="宋体"/>
          <w:kern w:val="0"/>
          <w:szCs w:val="21"/>
        </w:rPr>
        <w:t>（二）侧袋机制实施期间的基金运作安排</w:t>
      </w:r>
    </w:p>
    <w:p>
      <w:pPr>
        <w:spacing w:line="360" w:lineRule="auto"/>
        <w:ind w:firstLine="420" w:firstLineChars="200"/>
        <w:rPr>
          <w:rFonts w:ascii="宋体" w:hAnsi="宋体" w:cs="宋体"/>
          <w:kern w:val="0"/>
          <w:szCs w:val="21"/>
        </w:rPr>
      </w:pPr>
      <w:r>
        <w:rPr>
          <w:rFonts w:hint="eastAsia" w:ascii="宋体" w:hAnsi="宋体" w:cs="宋体"/>
          <w:kern w:val="0"/>
          <w:szCs w:val="21"/>
        </w:rPr>
        <w:t>1、基金份额的申购与赎回</w:t>
      </w:r>
    </w:p>
    <w:p>
      <w:pPr>
        <w:spacing w:line="360" w:lineRule="auto"/>
        <w:ind w:firstLine="420" w:firstLineChars="200"/>
        <w:rPr>
          <w:rFonts w:ascii="宋体" w:hAnsi="宋体" w:cs="宋体"/>
          <w:kern w:val="0"/>
          <w:szCs w:val="21"/>
        </w:rPr>
      </w:pPr>
      <w:r>
        <w:rPr>
          <w:rFonts w:hint="eastAsia" w:ascii="宋体" w:hAnsi="宋体" w:cs="宋体"/>
          <w:kern w:val="0"/>
          <w:szCs w:val="21"/>
        </w:rPr>
        <w:t>（1）侧袋账户</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侧袋机制实施期间，基金管理人不办理侧袋账户的申购、赎回和转换。基金份额持有人申请申购、赎回或转换侧袋账户基金份额的，该申购、赎回或转换申请将被拒绝。 </w:t>
      </w:r>
    </w:p>
    <w:p>
      <w:pPr>
        <w:spacing w:line="360" w:lineRule="auto"/>
        <w:ind w:firstLine="420" w:firstLineChars="200"/>
        <w:rPr>
          <w:rFonts w:ascii="宋体" w:hAnsi="宋体" w:cs="宋体"/>
          <w:kern w:val="0"/>
          <w:szCs w:val="21"/>
        </w:rPr>
      </w:pPr>
      <w:r>
        <w:rPr>
          <w:rFonts w:hint="eastAsia" w:ascii="宋体" w:hAnsi="宋体" w:cs="宋体"/>
          <w:kern w:val="0"/>
          <w:szCs w:val="21"/>
        </w:rPr>
        <w:t>（2）主袋账户</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基金管理人将依法保障主袋账户份额持有人享有基金合同约定的赎回权利，并根据主袋账户运作情况合理确定申购事项</w:t>
      </w:r>
      <w:r>
        <w:rPr>
          <w:rFonts w:hint="eastAsia" w:hAnsi="宋体"/>
          <w:szCs w:val="21"/>
        </w:rPr>
        <w:t>，</w:t>
      </w:r>
      <w:r>
        <w:rPr>
          <w:rFonts w:hint="eastAsia" w:ascii="宋体" w:hAnsi="宋体" w:cs="宋体"/>
          <w:kern w:val="0"/>
          <w:szCs w:val="21"/>
        </w:rPr>
        <w:t xml:space="preserve">具体事项届时将由基金管理人在相关公告中规定。 </w:t>
      </w:r>
    </w:p>
    <w:p>
      <w:pPr>
        <w:spacing w:line="360" w:lineRule="auto"/>
        <w:ind w:firstLine="420" w:firstLineChars="200"/>
        <w:rPr>
          <w:rFonts w:ascii="宋体" w:hAnsi="宋体" w:cs="宋体"/>
          <w:kern w:val="0"/>
          <w:szCs w:val="21"/>
        </w:rPr>
      </w:pPr>
      <w:r>
        <w:rPr>
          <w:rFonts w:hint="eastAsia" w:ascii="宋体" w:hAnsi="宋体" w:cs="宋体"/>
          <w:kern w:val="0"/>
          <w:szCs w:val="21"/>
        </w:rPr>
        <w:t>当特定资产占前一估值日基金资产净值50%以上的，经与基金托管人协商确认后，基金管理人应当暂停基金估值，并暂停接受基金申购赎回申请或延缓支付赎回款项。</w:t>
      </w:r>
    </w:p>
    <w:p>
      <w:pPr>
        <w:spacing w:line="360" w:lineRule="auto"/>
        <w:ind w:firstLine="420" w:firstLineChars="200"/>
        <w:rPr>
          <w:rFonts w:ascii="宋体" w:hAnsi="宋体" w:cs="宋体"/>
          <w:kern w:val="0"/>
          <w:szCs w:val="21"/>
        </w:rPr>
      </w:pPr>
      <w:r>
        <w:rPr>
          <w:rFonts w:hint="eastAsia" w:ascii="宋体" w:hAnsi="宋体" w:cs="宋体"/>
          <w:kern w:val="0"/>
          <w:szCs w:val="21"/>
        </w:rPr>
        <w:t>本招募说明书“基金份额的申购、赎回与转换”部分的申购、赎回规定适用于主袋账户份额。巨额赎回按照单个开放日内主袋账户份额净赎回申请超过上一开放日主袋账户总份额的10%认定。</w:t>
      </w:r>
    </w:p>
    <w:p>
      <w:pPr>
        <w:spacing w:line="360" w:lineRule="auto"/>
        <w:ind w:firstLine="420" w:firstLineChars="200"/>
        <w:rPr>
          <w:rFonts w:ascii="宋体" w:hAnsi="宋体" w:cs="宋体"/>
          <w:kern w:val="0"/>
          <w:szCs w:val="21"/>
        </w:rPr>
      </w:pPr>
      <w:r>
        <w:rPr>
          <w:rFonts w:hint="eastAsia" w:ascii="宋体" w:hAnsi="宋体" w:cs="宋体"/>
          <w:kern w:val="0"/>
          <w:szCs w:val="21"/>
        </w:rPr>
        <w:t>（3）基金份额的登记</w:t>
      </w:r>
    </w:p>
    <w:p>
      <w:pPr>
        <w:spacing w:line="360" w:lineRule="auto"/>
        <w:ind w:firstLine="420" w:firstLineChars="200"/>
        <w:rPr>
          <w:rFonts w:ascii="宋体" w:hAnsi="宋体" w:cs="宋体"/>
          <w:kern w:val="0"/>
          <w:szCs w:val="21"/>
        </w:rPr>
      </w:pPr>
      <w:r>
        <w:rPr>
          <w:rFonts w:hint="eastAsia" w:ascii="宋体" w:hAnsi="宋体" w:cs="宋体"/>
          <w:kern w:val="0"/>
          <w:szCs w:val="21"/>
        </w:rPr>
        <w:t>侧袋机制实施期间，基金管理人应对侧袋账户份额实行独立管理，主袋账户沿用原基金代码，侧袋账户使用独立的基金代码。</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2、基金的投资及业绩 </w:t>
      </w:r>
    </w:p>
    <w:p>
      <w:pPr>
        <w:spacing w:line="360" w:lineRule="auto"/>
        <w:ind w:firstLine="420" w:firstLineChars="200"/>
        <w:rPr>
          <w:rFonts w:ascii="宋体" w:hAnsi="宋体" w:cs="宋体"/>
          <w:kern w:val="0"/>
          <w:szCs w:val="21"/>
        </w:rPr>
      </w:pPr>
      <w:r>
        <w:rPr>
          <w:rFonts w:hint="eastAsia" w:ascii="宋体" w:hAnsi="宋体" w:cs="宋体"/>
          <w:kern w:val="0"/>
          <w:szCs w:val="21"/>
        </w:rPr>
        <w:t>侧袋机制实施期间，招募说明书“基金的投资”部分约定的投资组合比例、投资策略、组合限制、业绩比较基准、风险收益特征等约定仅适用于主袋账户；且本基金的各项投资运作指标和基金业绩指标应当以主袋账户资产为基准。</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基金管理人原则上应当在侧袋机制启用后20个交易日内完成对主袋账户投资组合的调整，但因资产流动性受限等中国证监会规定的情形除外。</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基金管理人不得在侧袋账户中进行除特定资产处置变现以外的其他投资操作。</w:t>
      </w:r>
    </w:p>
    <w:p>
      <w:pPr>
        <w:spacing w:line="360" w:lineRule="auto"/>
        <w:ind w:firstLine="420" w:firstLineChars="200"/>
        <w:rPr>
          <w:rFonts w:ascii="宋体" w:hAnsi="宋体" w:cs="宋体"/>
          <w:kern w:val="0"/>
          <w:szCs w:val="21"/>
        </w:rPr>
      </w:pPr>
      <w:r>
        <w:rPr>
          <w:rFonts w:hint="eastAsia" w:ascii="宋体" w:hAnsi="宋体" w:cs="宋体"/>
          <w:kern w:val="0"/>
          <w:szCs w:val="21"/>
        </w:rPr>
        <w:t>侧袋机制实施期间，基金管理人、基金服务机构在计算基金业绩相关指标时仅考虑主袋账户资产，分割侧袋账户资产导致的基金净资产减少在计算基金业绩相关指标时按投资损失处理。基金管理人、基金服务机构在展示基金业绩时，应当就前述情况进行充分的解释说明，避免引起投资者误解。</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3、基金的费用 </w:t>
      </w:r>
    </w:p>
    <w:p>
      <w:pPr>
        <w:spacing w:line="360" w:lineRule="auto"/>
        <w:ind w:firstLine="420" w:firstLineChars="200"/>
        <w:rPr>
          <w:rFonts w:ascii="宋体" w:hAnsi="宋体" w:cs="宋体"/>
          <w:kern w:val="0"/>
          <w:szCs w:val="21"/>
        </w:rPr>
      </w:pPr>
      <w:r>
        <w:rPr>
          <w:rFonts w:hint="eastAsia" w:ascii="宋体" w:hAnsi="宋体" w:cs="宋体"/>
          <w:kern w:val="0"/>
          <w:szCs w:val="21"/>
        </w:rPr>
        <w:t>本基金实施侧袋机制的，与侧袋账户有关的费用可以从侧袋账户中列支，但应待侧袋账户资产变现后方可列支，有关费用可酌情收取或减免，但不得收取管理费（包括固定管理费、或有管理费和超额管理费），其他费用详见届时发布的相关公告。因启用侧袋机制产生的咨询、审计费用等由基金管理人承担。</w:t>
      </w:r>
    </w:p>
    <w:p>
      <w:pPr>
        <w:spacing w:line="360" w:lineRule="auto"/>
        <w:ind w:firstLine="420" w:firstLineChars="200"/>
        <w:rPr>
          <w:rFonts w:ascii="宋体" w:hAnsi="宋体" w:cs="宋体"/>
          <w:kern w:val="0"/>
          <w:szCs w:val="21"/>
        </w:rPr>
      </w:pPr>
      <w:r>
        <w:rPr>
          <w:rFonts w:hint="eastAsia" w:ascii="宋体" w:hAnsi="宋体" w:cs="宋体"/>
          <w:kern w:val="0"/>
          <w:szCs w:val="21"/>
        </w:rPr>
        <w:t>主袋账户的管理费和托管费仍按主袋账户基金资产净值作为基数计提。主袋账户的C类基金份额的销售服务费仍按主袋账户C类基金份额的基金资产净值作为基数计提。</w:t>
      </w:r>
    </w:p>
    <w:p>
      <w:pPr>
        <w:spacing w:line="360" w:lineRule="auto"/>
        <w:ind w:firstLine="420" w:firstLineChars="200"/>
        <w:rPr>
          <w:rFonts w:ascii="宋体" w:hAnsi="宋体" w:cs="宋体"/>
          <w:kern w:val="0"/>
          <w:szCs w:val="21"/>
        </w:rPr>
      </w:pPr>
      <w:r>
        <w:rPr>
          <w:rFonts w:hint="eastAsia" w:ascii="宋体" w:hAnsi="宋体" w:cs="宋体"/>
          <w:kern w:val="0"/>
          <w:szCs w:val="21"/>
        </w:rPr>
        <w:t>4、基金的收益分配</w:t>
      </w:r>
    </w:p>
    <w:p>
      <w:pPr>
        <w:spacing w:line="360" w:lineRule="auto"/>
        <w:ind w:firstLine="420" w:firstLineChars="200"/>
        <w:rPr>
          <w:rFonts w:ascii="宋体" w:hAnsi="宋体" w:cs="宋体"/>
          <w:kern w:val="0"/>
          <w:szCs w:val="21"/>
        </w:rPr>
      </w:pPr>
      <w:r>
        <w:rPr>
          <w:rFonts w:hint="eastAsia" w:ascii="宋体" w:hAnsi="宋体" w:cs="宋体"/>
          <w:kern w:val="0"/>
          <w:szCs w:val="21"/>
        </w:rPr>
        <w:t>侧袋机制实施期间，在主袋账户份额满足基金合同收益分配条件的情形下，基金管理人可对主袋账户份额进行收益分配。侧袋账户不进行收益分配。</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5、基金的信息披露 </w:t>
      </w:r>
    </w:p>
    <w:p>
      <w:pPr>
        <w:spacing w:line="360" w:lineRule="auto"/>
        <w:ind w:firstLine="420" w:firstLineChars="200"/>
        <w:rPr>
          <w:rFonts w:ascii="宋体" w:hAnsi="宋体" w:cs="宋体"/>
          <w:kern w:val="0"/>
          <w:szCs w:val="21"/>
        </w:rPr>
      </w:pPr>
      <w:r>
        <w:rPr>
          <w:rFonts w:hint="eastAsia" w:ascii="宋体" w:hAnsi="宋体" w:cs="宋体"/>
          <w:kern w:val="0"/>
          <w:szCs w:val="21"/>
        </w:rPr>
        <w:t>（1）基金净值信息</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基金管理人应按照招募说明书“基金的信息披露”部分规定的基金净值信息披露方式和频率披露主袋账户份额的基金净值信息。侧袋机制实施期间，基金管理人应当暂停披露侧袋账户的基金净值信息。</w:t>
      </w:r>
    </w:p>
    <w:p>
      <w:pPr>
        <w:spacing w:line="360" w:lineRule="auto"/>
        <w:ind w:firstLine="420" w:firstLineChars="200"/>
        <w:rPr>
          <w:rFonts w:ascii="宋体" w:hAnsi="宋体" w:cs="宋体"/>
          <w:kern w:val="0"/>
          <w:szCs w:val="21"/>
        </w:rPr>
      </w:pPr>
      <w:r>
        <w:rPr>
          <w:rFonts w:hint="eastAsia" w:ascii="宋体" w:hAnsi="宋体" w:cs="宋体"/>
          <w:kern w:val="0"/>
          <w:szCs w:val="21"/>
        </w:rPr>
        <w:t>（2）定期报告</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基金管理人应当按照法律法规的规定在基金定期报告中披露报告期内特定资产处置进展情况。披露报告期末特定资产可变现净值或净值区间的，该净值或净值区间并不代表特定资产最终的变现价格，不作为基金管理人对特定资产最终变现价格的承诺。 </w:t>
      </w:r>
    </w:p>
    <w:p>
      <w:pPr>
        <w:spacing w:line="360" w:lineRule="auto"/>
        <w:ind w:firstLine="420" w:firstLineChars="200"/>
        <w:rPr>
          <w:rFonts w:ascii="宋体" w:hAnsi="宋体" w:cs="宋体"/>
          <w:kern w:val="0"/>
          <w:szCs w:val="21"/>
        </w:rPr>
      </w:pPr>
      <w:r>
        <w:rPr>
          <w:rFonts w:hint="eastAsia" w:ascii="宋体" w:hAnsi="宋体" w:cs="宋体"/>
          <w:kern w:val="0"/>
          <w:szCs w:val="21"/>
        </w:rPr>
        <w:t>侧袋机制实施期间，基金定期报告中的基金会计报表仅需针对主袋账户进行编制。侧袋账户相关信息在定期报告中单独进行披露。会计师事务所对基金年度报告进行审计时，应对报告期内基金侧袋机制运行相关的会计核算和年度报告披露，执行适当程序并发表审计意见。</w:t>
      </w:r>
    </w:p>
    <w:p>
      <w:pPr>
        <w:spacing w:line="360" w:lineRule="auto"/>
        <w:ind w:firstLine="420" w:firstLineChars="200"/>
        <w:rPr>
          <w:rFonts w:ascii="宋体" w:hAnsi="宋体" w:cs="宋体"/>
          <w:kern w:val="0"/>
          <w:szCs w:val="21"/>
        </w:rPr>
      </w:pPr>
      <w:r>
        <w:rPr>
          <w:rFonts w:hint="eastAsia" w:ascii="宋体" w:hAnsi="宋体" w:cs="宋体"/>
          <w:kern w:val="0"/>
          <w:szCs w:val="21"/>
        </w:rPr>
        <w:t>（3）临时报告</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在启用侧袋机制、处置特定资产、终止侧袋机制以及发生其他可能对投资者利益产生重大影响的事项后应及时发布临时公告。侧袋机制实施期间，若侧袋账户资产无法一次性完成处置变现，基金管理人在每次处置变现后均应按照相关法律法规要求及时发布临时公告。</w:t>
      </w:r>
    </w:p>
    <w:p>
      <w:pPr>
        <w:spacing w:line="360" w:lineRule="auto"/>
        <w:ind w:firstLine="420" w:firstLineChars="200"/>
        <w:rPr>
          <w:rFonts w:ascii="宋体" w:hAnsi="宋体" w:cs="宋体"/>
          <w:kern w:val="0"/>
          <w:szCs w:val="21"/>
        </w:rPr>
      </w:pPr>
      <w:r>
        <w:rPr>
          <w:rFonts w:hint="eastAsia" w:ascii="宋体" w:hAnsi="宋体" w:cs="宋体"/>
          <w:kern w:val="0"/>
          <w:szCs w:val="21"/>
        </w:rPr>
        <w:t>启用侧袋机制的临时公告内容应当包括启用原因及程序、特定资产流动性和估值情况、对投资者申购赎回的影响、风险提示等重要信息。</w:t>
      </w:r>
    </w:p>
    <w:p>
      <w:pPr>
        <w:spacing w:line="360" w:lineRule="auto"/>
        <w:ind w:firstLine="420" w:firstLineChars="200"/>
        <w:rPr>
          <w:rFonts w:ascii="宋体" w:hAnsi="宋体" w:cs="宋体"/>
          <w:kern w:val="0"/>
          <w:szCs w:val="21"/>
        </w:rPr>
      </w:pPr>
      <w:r>
        <w:rPr>
          <w:rFonts w:hint="eastAsia" w:ascii="宋体" w:hAnsi="宋体" w:cs="宋体"/>
          <w:kern w:val="0"/>
          <w:szCs w:val="21"/>
        </w:rPr>
        <w:t>处置特定资产的临时公告内容应当包括特定资产处置价格和时间、向侧袋账户份额持有人支付的款项、相关费用发生情况等重要信息。</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6、特定资产的处置清算 </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将按照基金份额持有人利益最大化原则，采取将特定资产予以处置变现等方式，及时向侧袋账户份额持有人支付对应款项。无论侧袋账户资产是否全部完成变现，基金管理人都将及时向侧袋账户份额持有人支付已变现部分对应的款项。</w:t>
      </w:r>
    </w:p>
    <w:p>
      <w:pPr>
        <w:spacing w:line="360" w:lineRule="auto"/>
        <w:ind w:firstLine="420" w:firstLineChars="200"/>
        <w:rPr>
          <w:rFonts w:ascii="宋体" w:hAnsi="宋体" w:cs="宋体"/>
          <w:kern w:val="0"/>
          <w:szCs w:val="21"/>
        </w:rPr>
      </w:pPr>
      <w:r>
        <w:rPr>
          <w:rFonts w:hint="eastAsia" w:ascii="宋体" w:hAnsi="宋体" w:cs="宋体"/>
          <w:kern w:val="0"/>
          <w:szCs w:val="21"/>
        </w:rPr>
        <w:t>侧袋账户资产完全清算后，基金管理人应注销侧袋账户。</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7、侧袋的审计 </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基金管理人应当在启用侧袋机制和终止侧袋机制后，及时聘请符合《中华人民共和国证券法》规定的会计师事务所进行审计并披露专项审计意见。</w:t>
      </w:r>
    </w:p>
    <w:p>
      <w:pPr>
        <w:spacing w:line="360" w:lineRule="auto"/>
        <w:ind w:firstLine="420" w:firstLineChars="200"/>
        <w:rPr>
          <w:rFonts w:hAnsi="宋体"/>
          <w:szCs w:val="21"/>
        </w:rPr>
      </w:pPr>
      <w:r>
        <w:rPr>
          <w:rFonts w:hint="eastAsia" w:ascii="宋体" w:hAnsi="宋体" w:cs="宋体"/>
          <w:kern w:val="0"/>
          <w:szCs w:val="21"/>
        </w:rPr>
        <w:t>（三）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可直接对本部分内容进行修改和调整，无需召开基金份额持有人大会审议。</w:t>
      </w:r>
    </w:p>
    <w:p>
      <w:pPr>
        <w:widowControl/>
        <w:jc w:val="left"/>
        <w:rPr>
          <w:rFonts w:ascii="宋体" w:hAnsi="宋体" w:cs="宋体"/>
          <w:b/>
          <w:bCs/>
          <w:kern w:val="0"/>
          <w:szCs w:val="21"/>
        </w:rPr>
      </w:pPr>
      <w:r>
        <w:rPr>
          <w:rFonts w:hAnsi="宋体" w:cs="宋体"/>
          <w:bCs/>
          <w:kern w:val="0"/>
          <w:szCs w:val="21"/>
        </w:rPr>
        <w:br w:type="page"/>
      </w:r>
    </w:p>
    <w:p>
      <w:pPr>
        <w:pStyle w:val="4"/>
        <w:spacing w:before="400" w:after="400"/>
        <w:rPr>
          <w:rFonts w:hAnsi="宋体"/>
          <w:sz w:val="32"/>
        </w:rPr>
      </w:pPr>
      <w:bookmarkStart w:id="212" w:name="_Toc55987073"/>
      <w:r>
        <w:rPr>
          <w:rFonts w:hAnsi="宋体"/>
          <w:sz w:val="32"/>
        </w:rPr>
        <w:t>十</w:t>
      </w:r>
      <w:r>
        <w:rPr>
          <w:rFonts w:hint="eastAsia" w:hAnsi="宋体"/>
          <w:sz w:val="32"/>
        </w:rPr>
        <w:t>七</w:t>
      </w:r>
      <w:r>
        <w:rPr>
          <w:rFonts w:hAnsi="宋体"/>
          <w:sz w:val="32"/>
        </w:rPr>
        <w:t>、基金的风险揭示</w:t>
      </w:r>
      <w:bookmarkEnd w:id="207"/>
      <w:bookmarkEnd w:id="208"/>
      <w:bookmarkEnd w:id="209"/>
      <w:bookmarkEnd w:id="210"/>
      <w:bookmarkEnd w:id="212"/>
    </w:p>
    <w:p>
      <w:pPr>
        <w:spacing w:line="360" w:lineRule="auto"/>
        <w:ind w:firstLine="420" w:firstLineChars="200"/>
        <w:rPr>
          <w:rFonts w:ascii="宋体" w:hAnsi="宋体" w:cs="宋体"/>
          <w:kern w:val="0"/>
          <w:szCs w:val="21"/>
        </w:rPr>
      </w:pPr>
      <w:r>
        <w:rPr>
          <w:rFonts w:hint="eastAsia" w:ascii="宋体" w:hAnsi="宋体" w:cs="宋体"/>
          <w:kern w:val="0"/>
          <w:szCs w:val="21"/>
        </w:rPr>
        <w:t>本基金的投资风险包括投资组合的风险、管理风险、合规性风险、操作风险、本基金特定风险、本基金主要的流动性风险、本基金法律文件风险收益特征表述与销售机构基金风险评价可能不一致的风险以及其他风险。</w:t>
      </w:r>
    </w:p>
    <w:p>
      <w:pPr>
        <w:spacing w:line="360" w:lineRule="auto"/>
        <w:ind w:firstLine="420" w:firstLineChars="200"/>
        <w:rPr>
          <w:rFonts w:ascii="宋体" w:hAnsi="宋体" w:cs="宋体"/>
          <w:kern w:val="0"/>
          <w:szCs w:val="21"/>
        </w:rPr>
      </w:pPr>
      <w:r>
        <w:rPr>
          <w:rFonts w:hint="eastAsia" w:ascii="宋体" w:hAnsi="宋体" w:cs="宋体"/>
          <w:kern w:val="0"/>
          <w:szCs w:val="21"/>
        </w:rPr>
        <w:t>（一）投资组合的风险</w:t>
      </w:r>
    </w:p>
    <w:p>
      <w:pPr>
        <w:spacing w:line="360" w:lineRule="auto"/>
        <w:ind w:firstLine="420" w:firstLineChars="200"/>
        <w:rPr>
          <w:rFonts w:ascii="宋体" w:hAnsi="宋体" w:cs="宋体"/>
          <w:kern w:val="0"/>
          <w:szCs w:val="21"/>
        </w:rPr>
      </w:pPr>
      <w:r>
        <w:rPr>
          <w:rFonts w:hint="eastAsia" w:ascii="宋体" w:hAnsi="宋体" w:cs="宋体"/>
          <w:kern w:val="0"/>
          <w:szCs w:val="21"/>
        </w:rPr>
        <w:t>1、市场风险</w:t>
      </w:r>
    </w:p>
    <w:p>
      <w:pPr>
        <w:spacing w:line="360" w:lineRule="auto"/>
        <w:ind w:firstLine="420" w:firstLineChars="200"/>
        <w:rPr>
          <w:rFonts w:ascii="宋体" w:hAnsi="宋体" w:cs="宋体"/>
          <w:kern w:val="0"/>
          <w:szCs w:val="21"/>
        </w:rPr>
      </w:pPr>
      <w:r>
        <w:rPr>
          <w:rFonts w:hint="eastAsia" w:ascii="宋体" w:hAnsi="宋体" w:cs="宋体"/>
          <w:kern w:val="0"/>
          <w:szCs w:val="21"/>
        </w:rPr>
        <w:t>证券市场价格因受各种因素的影响而引起的波动，将使本基金资产面临潜在的风险，本基金的市场风险来源于基金股票资产与债券资产市场价格的波动。影响股票与债券市场价格波动的风险包括但不限于以下多种风险因素：</w:t>
      </w:r>
    </w:p>
    <w:p>
      <w:pPr>
        <w:spacing w:line="360" w:lineRule="auto"/>
        <w:ind w:firstLine="420" w:firstLineChars="200"/>
        <w:rPr>
          <w:rFonts w:ascii="宋体" w:hAnsi="宋体" w:cs="宋体"/>
          <w:kern w:val="0"/>
          <w:szCs w:val="21"/>
        </w:rPr>
      </w:pPr>
      <w:r>
        <w:rPr>
          <w:rFonts w:hint="eastAsia" w:ascii="宋体" w:hAnsi="宋体" w:cs="宋体"/>
          <w:kern w:val="0"/>
          <w:szCs w:val="21"/>
        </w:rPr>
        <w:t>（1）政策风险</w:t>
      </w:r>
    </w:p>
    <w:p>
      <w:pPr>
        <w:spacing w:line="360" w:lineRule="auto"/>
        <w:ind w:firstLine="420" w:firstLineChars="200"/>
        <w:rPr>
          <w:rFonts w:ascii="宋体" w:hAnsi="宋体" w:cs="宋体"/>
          <w:kern w:val="0"/>
          <w:szCs w:val="21"/>
        </w:rPr>
      </w:pPr>
      <w:r>
        <w:rPr>
          <w:rFonts w:hint="eastAsia" w:ascii="宋体" w:hAnsi="宋体" w:cs="宋体"/>
          <w:kern w:val="0"/>
          <w:szCs w:val="21"/>
        </w:rPr>
        <w:t>货币政策、财政政策、产业政策等国家宏观经济政策的变化导致证券市场价格波动，影响基金收益而产生风险。</w:t>
      </w:r>
    </w:p>
    <w:p>
      <w:pPr>
        <w:spacing w:line="360" w:lineRule="auto"/>
        <w:ind w:firstLine="420" w:firstLineChars="200"/>
        <w:rPr>
          <w:rFonts w:ascii="宋体" w:hAnsi="宋体" w:cs="宋体"/>
          <w:kern w:val="0"/>
          <w:szCs w:val="21"/>
        </w:rPr>
      </w:pPr>
      <w:r>
        <w:rPr>
          <w:rFonts w:hint="eastAsia" w:ascii="宋体" w:hAnsi="宋体" w:cs="宋体"/>
          <w:kern w:val="0"/>
          <w:szCs w:val="21"/>
        </w:rPr>
        <w:t>（2）经济周期风险</w:t>
      </w:r>
    </w:p>
    <w:p>
      <w:pPr>
        <w:spacing w:line="360" w:lineRule="auto"/>
        <w:ind w:firstLine="420" w:firstLineChars="200"/>
        <w:rPr>
          <w:rFonts w:ascii="宋体" w:hAnsi="宋体" w:cs="宋体"/>
          <w:kern w:val="0"/>
          <w:szCs w:val="21"/>
        </w:rPr>
      </w:pPr>
      <w:r>
        <w:rPr>
          <w:rFonts w:hint="eastAsia" w:ascii="宋体" w:hAnsi="宋体" w:cs="宋体"/>
          <w:kern w:val="0"/>
          <w:szCs w:val="21"/>
        </w:rPr>
        <w:t>经济运行具有周期性的特点，证券市场的收益水平受到宏观经济运行状况的影响，也呈现周期性变化，基金投资于债券与上市公司的股票，其收益水平也会随之发生变化，从而产生风险。</w:t>
      </w:r>
    </w:p>
    <w:p>
      <w:pPr>
        <w:spacing w:line="360" w:lineRule="auto"/>
        <w:ind w:firstLine="420" w:firstLineChars="200"/>
        <w:rPr>
          <w:rFonts w:ascii="宋体" w:hAnsi="宋体" w:cs="宋体"/>
          <w:kern w:val="0"/>
          <w:szCs w:val="21"/>
        </w:rPr>
      </w:pPr>
      <w:r>
        <w:rPr>
          <w:rFonts w:hint="eastAsia" w:ascii="宋体" w:hAnsi="宋体" w:cs="宋体"/>
          <w:kern w:val="0"/>
          <w:szCs w:val="21"/>
        </w:rPr>
        <w:t>（3）利率风险</w:t>
      </w:r>
    </w:p>
    <w:p>
      <w:pPr>
        <w:spacing w:line="360" w:lineRule="auto"/>
        <w:ind w:firstLine="420" w:firstLineChars="200"/>
        <w:rPr>
          <w:rFonts w:ascii="宋体" w:hAnsi="宋体" w:cs="宋体"/>
          <w:kern w:val="0"/>
          <w:szCs w:val="21"/>
        </w:rPr>
      </w:pPr>
      <w:r>
        <w:rPr>
          <w:rFonts w:hint="eastAsia" w:ascii="宋体" w:hAnsi="宋体" w:cs="宋体"/>
          <w:kern w:val="0"/>
          <w:szCs w:val="21"/>
        </w:rPr>
        <w:t>金融市场利率的波动会导致股票市场及债券市场的价格和收益率的变动，同时直接影响企业的融资成本和利润水平。基金投资于股票和债券，其收益水平会受到利率变化的影响，从而产生风险。</w:t>
      </w:r>
    </w:p>
    <w:p>
      <w:pPr>
        <w:spacing w:line="360" w:lineRule="auto"/>
        <w:ind w:firstLine="420" w:firstLineChars="200"/>
        <w:rPr>
          <w:rFonts w:ascii="宋体" w:hAnsi="宋体" w:cs="宋体"/>
          <w:kern w:val="0"/>
          <w:szCs w:val="21"/>
        </w:rPr>
      </w:pPr>
      <w:r>
        <w:rPr>
          <w:rFonts w:hint="eastAsia" w:ascii="宋体" w:hAnsi="宋体" w:cs="宋体"/>
          <w:kern w:val="0"/>
          <w:szCs w:val="21"/>
        </w:rPr>
        <w:t>（4）通货膨胀风险</w:t>
      </w:r>
    </w:p>
    <w:p>
      <w:pPr>
        <w:spacing w:line="360" w:lineRule="auto"/>
        <w:ind w:firstLine="420" w:firstLineChars="200"/>
        <w:rPr>
          <w:rFonts w:ascii="宋体" w:hAnsi="宋体" w:cs="宋体"/>
          <w:kern w:val="0"/>
          <w:szCs w:val="21"/>
        </w:rPr>
      </w:pPr>
      <w:r>
        <w:rPr>
          <w:rFonts w:hint="eastAsia" w:ascii="宋体" w:hAnsi="宋体" w:cs="宋体"/>
          <w:kern w:val="0"/>
          <w:szCs w:val="21"/>
        </w:rPr>
        <w:t>基金份额持有人的收益将主要通过现金形式来分配，如果发生通货膨胀，现金的购买力会下降，从而影响基金的实际收益。</w:t>
      </w:r>
    </w:p>
    <w:p>
      <w:pPr>
        <w:spacing w:line="360" w:lineRule="auto"/>
        <w:ind w:firstLine="420" w:firstLineChars="200"/>
        <w:rPr>
          <w:rFonts w:ascii="宋体" w:hAnsi="宋体" w:cs="宋体"/>
          <w:kern w:val="0"/>
          <w:szCs w:val="21"/>
        </w:rPr>
      </w:pPr>
      <w:r>
        <w:rPr>
          <w:rFonts w:hint="eastAsia" w:ascii="宋体" w:hAnsi="宋体" w:cs="宋体"/>
          <w:kern w:val="0"/>
          <w:szCs w:val="21"/>
        </w:rPr>
        <w:t>（5）上市公司经营风险</w:t>
      </w:r>
    </w:p>
    <w:p>
      <w:pPr>
        <w:spacing w:line="360" w:lineRule="auto"/>
        <w:ind w:firstLine="420" w:firstLineChars="200"/>
        <w:rPr>
          <w:rFonts w:ascii="宋体" w:hAnsi="宋体" w:cs="宋体"/>
          <w:kern w:val="0"/>
          <w:szCs w:val="21"/>
        </w:rPr>
      </w:pPr>
      <w:r>
        <w:rPr>
          <w:rFonts w:hint="eastAsia" w:ascii="宋体" w:hAnsi="宋体" w:cs="宋体"/>
          <w:kern w:val="0"/>
          <w:szCs w:val="21"/>
        </w:rPr>
        <w:t>上市公司的经营受多种因素影响。如果基金所投资的上市公司经营不善，其股票价格可能下跌，或者能够用于分配的利润减少，使基金投资收益下降。虽然本基金可通过分散化投资减少这种非系统性风险，但并不能完全消除该种风险。</w:t>
      </w:r>
    </w:p>
    <w:p>
      <w:pPr>
        <w:spacing w:line="360" w:lineRule="auto"/>
        <w:ind w:firstLine="420" w:firstLineChars="200"/>
        <w:rPr>
          <w:rFonts w:ascii="宋体" w:hAnsi="宋体" w:cs="宋体"/>
          <w:kern w:val="0"/>
          <w:szCs w:val="21"/>
        </w:rPr>
      </w:pPr>
      <w:r>
        <w:rPr>
          <w:rFonts w:hint="eastAsia" w:ascii="宋体" w:hAnsi="宋体" w:cs="宋体"/>
          <w:kern w:val="0"/>
          <w:szCs w:val="21"/>
        </w:rPr>
        <w:t>（6）债券收益率曲线变动的风险</w:t>
      </w:r>
    </w:p>
    <w:p>
      <w:pPr>
        <w:spacing w:line="360" w:lineRule="auto"/>
        <w:ind w:firstLine="420" w:firstLineChars="200"/>
        <w:rPr>
          <w:rFonts w:ascii="宋体" w:hAnsi="宋体" w:cs="宋体"/>
          <w:kern w:val="0"/>
          <w:szCs w:val="21"/>
        </w:rPr>
      </w:pPr>
      <w:r>
        <w:rPr>
          <w:rFonts w:hint="eastAsia" w:ascii="宋体" w:hAnsi="宋体" w:cs="宋体"/>
          <w:kern w:val="0"/>
          <w:szCs w:val="21"/>
        </w:rPr>
        <w:t>债券收益率曲线变动风险是指与收益率曲线非平行移动有关的风险，单一的久期指标并不能充分反映这一风险的存在。</w:t>
      </w:r>
    </w:p>
    <w:p>
      <w:pPr>
        <w:spacing w:line="360" w:lineRule="auto"/>
        <w:ind w:firstLine="420" w:firstLineChars="200"/>
        <w:rPr>
          <w:rFonts w:ascii="宋体" w:hAnsi="宋体" w:cs="宋体"/>
          <w:kern w:val="0"/>
          <w:szCs w:val="21"/>
        </w:rPr>
      </w:pPr>
      <w:r>
        <w:rPr>
          <w:rFonts w:hint="eastAsia" w:ascii="宋体" w:hAnsi="宋体" w:cs="宋体"/>
          <w:kern w:val="0"/>
          <w:szCs w:val="21"/>
        </w:rPr>
        <w:t>（7）再投资风险</w:t>
      </w:r>
    </w:p>
    <w:p>
      <w:pPr>
        <w:spacing w:line="360" w:lineRule="auto"/>
        <w:ind w:firstLine="420" w:firstLineChars="200"/>
        <w:rPr>
          <w:rFonts w:ascii="宋体" w:hAnsi="宋体" w:cs="宋体"/>
          <w:kern w:val="0"/>
          <w:szCs w:val="21"/>
        </w:rPr>
      </w:pPr>
      <w:r>
        <w:rPr>
          <w:rFonts w:hint="eastAsia" w:ascii="宋体" w:hAnsi="宋体" w:cs="宋体"/>
          <w:kern w:val="0"/>
          <w:szCs w:val="21"/>
        </w:rPr>
        <w:t>市场利率下降将影响固定收益类证券利息收入的再投资收益率，这与利率上升所带来的价格风险互为消长。</w:t>
      </w:r>
    </w:p>
    <w:p>
      <w:pPr>
        <w:spacing w:line="360" w:lineRule="auto"/>
        <w:ind w:firstLine="420" w:firstLineChars="200"/>
        <w:rPr>
          <w:rFonts w:ascii="宋体" w:hAnsi="宋体" w:cs="宋体"/>
          <w:kern w:val="0"/>
          <w:szCs w:val="21"/>
        </w:rPr>
      </w:pPr>
      <w:r>
        <w:rPr>
          <w:rFonts w:hint="eastAsia" w:ascii="宋体" w:hAnsi="宋体" w:cs="宋体"/>
          <w:kern w:val="0"/>
          <w:szCs w:val="21"/>
        </w:rPr>
        <w:t>2、信用风险</w:t>
      </w:r>
    </w:p>
    <w:p>
      <w:pPr>
        <w:spacing w:line="360" w:lineRule="auto"/>
        <w:ind w:firstLine="420" w:firstLineChars="200"/>
        <w:rPr>
          <w:rFonts w:ascii="宋体" w:hAnsi="宋体" w:cs="宋体"/>
          <w:kern w:val="0"/>
          <w:szCs w:val="21"/>
        </w:rPr>
      </w:pPr>
      <w:r>
        <w:rPr>
          <w:rFonts w:hint="eastAsia" w:ascii="宋体" w:hAnsi="宋体" w:cs="宋体"/>
          <w:kern w:val="0"/>
          <w:szCs w:val="21"/>
        </w:rPr>
        <w:t>债券发行人出现违约、拒绝支付到期本息，或由于债券发行人信用质量降低导致债券价格下降的风险，信用风险也包括证券交易对手因违约而产生的证券交割风险。</w:t>
      </w:r>
    </w:p>
    <w:p>
      <w:pPr>
        <w:spacing w:line="360" w:lineRule="auto"/>
        <w:ind w:firstLine="420" w:firstLineChars="200"/>
        <w:rPr>
          <w:rFonts w:ascii="宋体" w:hAnsi="宋体" w:cs="宋体"/>
          <w:kern w:val="0"/>
          <w:szCs w:val="21"/>
        </w:rPr>
      </w:pPr>
      <w:r>
        <w:rPr>
          <w:rFonts w:hint="eastAsia" w:ascii="宋体" w:hAnsi="宋体" w:cs="宋体"/>
          <w:kern w:val="0"/>
          <w:szCs w:val="21"/>
        </w:rPr>
        <w:t>3、流动性风险</w:t>
      </w:r>
    </w:p>
    <w:p>
      <w:pPr>
        <w:spacing w:line="360" w:lineRule="auto"/>
        <w:ind w:firstLine="420" w:firstLineChars="200"/>
        <w:rPr>
          <w:rFonts w:ascii="宋体" w:hAnsi="宋体" w:cs="宋体"/>
          <w:kern w:val="0"/>
          <w:szCs w:val="21"/>
        </w:rPr>
      </w:pPr>
      <w:r>
        <w:rPr>
          <w:rFonts w:hint="eastAsia" w:ascii="宋体" w:hAnsi="宋体" w:cs="宋体"/>
          <w:kern w:val="0"/>
          <w:szCs w:val="21"/>
        </w:rPr>
        <w:t>因市场交易量不足，导致证券不能迅速、低成本地转变为现金的风险。流动性风险还包括由于本基金出现投资者大额赎回，致使本基金没有足够的现金应付基金赎回支付的要求所引致的风险。</w:t>
      </w:r>
    </w:p>
    <w:p>
      <w:pPr>
        <w:spacing w:line="360" w:lineRule="auto"/>
        <w:ind w:firstLine="420" w:firstLineChars="200"/>
        <w:rPr>
          <w:rFonts w:ascii="宋体" w:hAnsi="宋体" w:cs="宋体"/>
          <w:kern w:val="0"/>
          <w:szCs w:val="21"/>
        </w:rPr>
      </w:pPr>
      <w:r>
        <w:rPr>
          <w:rFonts w:hint="eastAsia" w:ascii="宋体" w:hAnsi="宋体" w:cs="宋体"/>
          <w:kern w:val="0"/>
          <w:szCs w:val="21"/>
        </w:rPr>
        <w:t>（二）管理风险</w:t>
      </w:r>
    </w:p>
    <w:p>
      <w:pPr>
        <w:spacing w:line="360" w:lineRule="auto"/>
        <w:ind w:firstLine="420" w:firstLineChars="200"/>
        <w:rPr>
          <w:rFonts w:ascii="宋体" w:hAnsi="宋体" w:cs="宋体"/>
          <w:kern w:val="0"/>
          <w:szCs w:val="21"/>
        </w:rPr>
      </w:pPr>
      <w:r>
        <w:rPr>
          <w:rFonts w:hint="eastAsia" w:ascii="宋体" w:hAnsi="宋体" w:cs="宋体"/>
          <w:kern w:val="0"/>
          <w:szCs w:val="21"/>
        </w:rPr>
        <w:t>在基金管理运作过程中，基金管理人的研究水平、投资管理水平直接影响基金收益水平，如果基金管理人对经济形势和证券市场判断不准确、获取的信息不全、投资操作出现失误，都会影响基金的收益水平。</w:t>
      </w:r>
    </w:p>
    <w:p>
      <w:pPr>
        <w:spacing w:line="360" w:lineRule="auto"/>
        <w:ind w:firstLine="420" w:firstLineChars="200"/>
        <w:rPr>
          <w:rFonts w:ascii="宋体" w:hAnsi="宋体" w:cs="宋体"/>
          <w:kern w:val="0"/>
          <w:szCs w:val="21"/>
        </w:rPr>
      </w:pPr>
      <w:r>
        <w:rPr>
          <w:rFonts w:hint="eastAsia" w:ascii="宋体" w:hAnsi="宋体" w:cs="宋体"/>
          <w:kern w:val="0"/>
          <w:szCs w:val="21"/>
        </w:rPr>
        <w:t>（三）合规性风险</w:t>
      </w:r>
    </w:p>
    <w:p>
      <w:pPr>
        <w:spacing w:line="360" w:lineRule="auto"/>
        <w:ind w:firstLine="420" w:firstLineChars="200"/>
        <w:rPr>
          <w:rFonts w:ascii="宋体" w:hAnsi="宋体" w:cs="宋体"/>
          <w:kern w:val="0"/>
          <w:szCs w:val="21"/>
        </w:rPr>
      </w:pPr>
      <w:r>
        <w:rPr>
          <w:rFonts w:hint="eastAsia" w:ascii="宋体" w:hAnsi="宋体" w:cs="宋体"/>
          <w:kern w:val="0"/>
          <w:szCs w:val="21"/>
        </w:rPr>
        <w:t>是指本基金的投资运作不符合相关法律、法规的规定和基金合同的要求而带来的风险。</w:t>
      </w:r>
    </w:p>
    <w:p>
      <w:pPr>
        <w:spacing w:line="360" w:lineRule="auto"/>
        <w:ind w:firstLine="420" w:firstLineChars="200"/>
        <w:rPr>
          <w:rFonts w:ascii="宋体" w:hAnsi="宋体" w:cs="宋体"/>
          <w:kern w:val="0"/>
          <w:szCs w:val="21"/>
        </w:rPr>
      </w:pPr>
      <w:r>
        <w:rPr>
          <w:rFonts w:hint="eastAsia" w:ascii="宋体" w:hAnsi="宋体" w:cs="宋体"/>
          <w:kern w:val="0"/>
          <w:szCs w:val="21"/>
        </w:rPr>
        <w:t>（四）操作风险</w:t>
      </w:r>
    </w:p>
    <w:p>
      <w:pPr>
        <w:spacing w:line="360" w:lineRule="auto"/>
        <w:ind w:firstLine="420" w:firstLineChars="200"/>
        <w:rPr>
          <w:rFonts w:ascii="宋体" w:hAnsi="宋体" w:cs="宋体"/>
          <w:kern w:val="0"/>
          <w:szCs w:val="21"/>
        </w:rPr>
      </w:pPr>
      <w:r>
        <w:rPr>
          <w:rFonts w:hint="eastAsia" w:ascii="宋体" w:hAnsi="宋体" w:cs="宋体"/>
          <w:kern w:val="0"/>
          <w:szCs w:val="21"/>
        </w:rPr>
        <w:t>基金运作过程中，因内部控制存在缺陷或者人为因素造成操作失误或违反操作规程等引致的风险，例如，越权违规交易、会计部门欺诈、交易错误、IT系统故障等风险。</w:t>
      </w:r>
    </w:p>
    <w:p>
      <w:pPr>
        <w:spacing w:line="360" w:lineRule="auto"/>
        <w:ind w:firstLine="420" w:firstLineChars="200"/>
        <w:rPr>
          <w:rFonts w:ascii="宋体" w:hAnsi="宋体" w:cs="宋体"/>
          <w:kern w:val="0"/>
          <w:szCs w:val="21"/>
        </w:rPr>
      </w:pPr>
      <w:r>
        <w:rPr>
          <w:rFonts w:hint="eastAsia" w:ascii="宋体" w:hAnsi="宋体" w:cs="宋体"/>
          <w:kern w:val="0"/>
          <w:szCs w:val="21"/>
        </w:rPr>
        <w:t>（五）本基金特定风险</w:t>
      </w:r>
    </w:p>
    <w:p>
      <w:pPr>
        <w:spacing w:line="360" w:lineRule="auto"/>
        <w:ind w:firstLine="420" w:firstLineChars="200"/>
        <w:rPr>
          <w:rFonts w:ascii="宋体" w:hAnsi="宋体" w:cs="宋体"/>
          <w:kern w:val="0"/>
          <w:szCs w:val="21"/>
        </w:rPr>
      </w:pPr>
      <w:r>
        <w:rPr>
          <w:rFonts w:hint="eastAsia" w:ascii="宋体" w:hAnsi="宋体" w:cs="宋体"/>
          <w:kern w:val="0"/>
          <w:szCs w:val="21"/>
        </w:rPr>
        <w:t>1、本基金是混合型基金，股票资产占基金资产的比例为</w:t>
      </w:r>
      <w:r>
        <w:rPr>
          <w:rFonts w:ascii="宋体" w:hAnsi="宋体" w:cs="宋体"/>
          <w:kern w:val="0"/>
          <w:szCs w:val="21"/>
        </w:rPr>
        <w:t>60%</w:t>
      </w:r>
      <w:r>
        <w:rPr>
          <w:rFonts w:hint="eastAsia" w:ascii="宋体" w:hAnsi="宋体" w:cs="宋体"/>
          <w:kern w:val="0"/>
          <w:szCs w:val="21"/>
        </w:rPr>
        <w:t>–</w:t>
      </w:r>
      <w:r>
        <w:rPr>
          <w:rFonts w:ascii="宋体" w:hAnsi="宋体" w:cs="宋体"/>
          <w:kern w:val="0"/>
          <w:szCs w:val="21"/>
        </w:rPr>
        <w:t>95%</w:t>
      </w:r>
      <w:r>
        <w:rPr>
          <w:rFonts w:hint="eastAsia" w:ascii="宋体" w:hAnsi="宋体" w:cs="宋体"/>
          <w:kern w:val="0"/>
          <w:szCs w:val="21"/>
        </w:rPr>
        <w:t>（投资于港股通投资标的股票的比例占基金股票资产的比例为</w:t>
      </w:r>
      <w:r>
        <w:rPr>
          <w:rFonts w:ascii="宋体" w:hAnsi="宋体" w:cs="宋体"/>
          <w:kern w:val="0"/>
          <w:szCs w:val="21"/>
        </w:rPr>
        <w:t>0%-50%</w:t>
      </w:r>
      <w:r>
        <w:rPr>
          <w:rFonts w:hint="eastAsia" w:ascii="宋体" w:hAnsi="宋体" w:cs="宋体"/>
          <w:kern w:val="0"/>
          <w:szCs w:val="21"/>
        </w:rPr>
        <w:t>），其中投资于本基金界定的新能源主题范围内的股票不低于非现金基金资产的</w:t>
      </w:r>
      <w:r>
        <w:rPr>
          <w:rFonts w:ascii="宋体" w:hAnsi="宋体" w:cs="宋体"/>
          <w:kern w:val="0"/>
          <w:szCs w:val="21"/>
        </w:rPr>
        <w:t>80%</w:t>
      </w:r>
      <w:r>
        <w:rPr>
          <w:rFonts w:hint="eastAsia" w:ascii="宋体" w:hAnsi="宋体" w:cs="宋体"/>
          <w:kern w:val="0"/>
          <w:szCs w:val="21"/>
        </w:rPr>
        <w:t>。每个交易日日终在扣除股指期货合约、国债期货合约需缴纳的交易保证金后，应当保持不低于基金资产净值的5%的现金或到期</w:t>
      </w:r>
      <w:r>
        <w:rPr>
          <w:rFonts w:hint="eastAsia" w:ascii="宋体" w:hAnsi="宋体"/>
          <w:szCs w:val="21"/>
        </w:rPr>
        <w:t>日在</w:t>
      </w:r>
      <w:r>
        <w:rPr>
          <w:rFonts w:hint="eastAsia" w:ascii="宋体" w:hAnsi="宋体" w:cs="宋体"/>
          <w:kern w:val="0"/>
          <w:szCs w:val="21"/>
        </w:rPr>
        <w:t>一年以内的政府债券，其中现金不包括结算备付金、存出保证金、应收申购款等。本基金管理人将发挥专业研究优势，加强对市场、上市公司基本面和固定收益类产品的深入研究，持续优化组合配置，以控制特定风险。</w:t>
      </w:r>
    </w:p>
    <w:p>
      <w:pPr>
        <w:spacing w:line="360" w:lineRule="auto"/>
        <w:ind w:firstLine="420" w:firstLineChars="200"/>
        <w:rPr>
          <w:rFonts w:ascii="宋体" w:hAnsi="宋体" w:cs="宋体"/>
          <w:kern w:val="0"/>
          <w:szCs w:val="21"/>
        </w:rPr>
      </w:pPr>
      <w:r>
        <w:rPr>
          <w:rFonts w:hint="eastAsia" w:ascii="宋体" w:hAnsi="宋体" w:cs="宋体"/>
          <w:kern w:val="0"/>
          <w:szCs w:val="21"/>
        </w:rPr>
        <w:t>2、港股通投资标的股票的投资风险</w:t>
      </w:r>
    </w:p>
    <w:p>
      <w:pPr>
        <w:spacing w:line="360" w:lineRule="auto"/>
        <w:ind w:firstLine="420" w:firstLineChars="200"/>
        <w:rPr>
          <w:rFonts w:ascii="宋体" w:hAnsi="宋体" w:cs="宋体"/>
          <w:kern w:val="0"/>
          <w:szCs w:val="21"/>
        </w:rPr>
      </w:pPr>
      <w:bookmarkStart w:id="213" w:name="OLE_LINK55"/>
      <w:r>
        <w:rPr>
          <w:rFonts w:hint="eastAsia" w:ascii="宋体" w:hAnsi="宋体" w:cs="宋体"/>
          <w:kern w:val="0"/>
          <w:szCs w:val="21"/>
        </w:rPr>
        <w:t>本基金可投资于港股通投资标的股票，会面临港股通机制下因投资环境、投资标的、市场制度以及交易规则等差异带来的特有风险。</w:t>
      </w:r>
      <w:bookmarkEnd w:id="213"/>
      <w:r>
        <w:rPr>
          <w:rFonts w:hint="eastAsia" w:ascii="宋体" w:hAnsi="宋体" w:cs="宋体"/>
          <w:kern w:val="0"/>
          <w:szCs w:val="21"/>
        </w:rPr>
        <w:t>包括但不限于以下风险：</w:t>
      </w:r>
    </w:p>
    <w:p>
      <w:pPr>
        <w:spacing w:line="360" w:lineRule="auto"/>
        <w:ind w:firstLine="420" w:firstLineChars="200"/>
        <w:rPr>
          <w:rFonts w:ascii="宋体" w:hAnsi="宋体" w:cs="宋体"/>
          <w:kern w:val="0"/>
          <w:szCs w:val="21"/>
        </w:rPr>
      </w:pPr>
      <w:r>
        <w:rPr>
          <w:rFonts w:hint="eastAsia" w:ascii="宋体" w:hAnsi="宋体" w:cs="宋体"/>
          <w:kern w:val="0"/>
          <w:szCs w:val="21"/>
        </w:rPr>
        <w:t>（1）港股交易失败风险</w:t>
      </w:r>
    </w:p>
    <w:p>
      <w:pPr>
        <w:spacing w:line="360" w:lineRule="auto"/>
        <w:ind w:firstLine="420" w:firstLineChars="200"/>
        <w:rPr>
          <w:rFonts w:ascii="宋体" w:hAnsi="宋体" w:cs="宋体"/>
          <w:kern w:val="0"/>
          <w:szCs w:val="21"/>
        </w:rPr>
      </w:pPr>
      <w:r>
        <w:rPr>
          <w:rFonts w:hint="eastAsia" w:ascii="宋体" w:hAnsi="宋体" w:cs="宋体"/>
          <w:kern w:val="0"/>
          <w:szCs w:val="21"/>
        </w:rPr>
        <w:t>港股通业务存在每日额度。在香港联合交易所有限公司开始前阶段，当每日额度使用完毕的，新增的买单申报将面临失败的风险；在联交所连续交易时段，当日额度使用完毕的，当日本基金将面临不能通过港股通进行买入交易的风险。</w:t>
      </w:r>
    </w:p>
    <w:p>
      <w:pPr>
        <w:spacing w:line="360" w:lineRule="auto"/>
        <w:ind w:firstLine="420" w:firstLineChars="200"/>
        <w:rPr>
          <w:rFonts w:ascii="宋体" w:hAnsi="宋体" w:cs="宋体"/>
          <w:kern w:val="0"/>
          <w:szCs w:val="21"/>
        </w:rPr>
      </w:pPr>
      <w:r>
        <w:rPr>
          <w:rFonts w:hint="eastAsia" w:ascii="宋体" w:hAnsi="宋体" w:cs="宋体"/>
          <w:kern w:val="0"/>
          <w:szCs w:val="21"/>
        </w:rPr>
        <w:t>（2）港股市场股价波动较大的风险</w:t>
      </w:r>
    </w:p>
    <w:p>
      <w:pPr>
        <w:spacing w:line="360" w:lineRule="auto"/>
        <w:ind w:firstLine="420" w:firstLineChars="200"/>
        <w:rPr>
          <w:rFonts w:ascii="宋体" w:hAnsi="宋体" w:cs="宋体"/>
          <w:kern w:val="0"/>
          <w:szCs w:val="21"/>
        </w:rPr>
      </w:pPr>
      <w:r>
        <w:rPr>
          <w:rFonts w:hint="eastAsia" w:ascii="宋体" w:hAnsi="宋体" w:cs="宋体"/>
          <w:kern w:val="0"/>
          <w:szCs w:val="21"/>
        </w:rPr>
        <w:t>港股市场实行T+0回转交易，且对个股不设涨跌幅限制，因此每日涨跌幅空间相对较大，港股股价可能表现出比A股更为剧烈的股价波动，使基金面临较大的投资风险。</w:t>
      </w:r>
    </w:p>
    <w:p>
      <w:pPr>
        <w:spacing w:line="360" w:lineRule="auto"/>
        <w:ind w:firstLine="420" w:firstLineChars="200"/>
        <w:rPr>
          <w:rFonts w:ascii="宋体" w:hAnsi="宋体" w:cs="宋体"/>
          <w:kern w:val="0"/>
          <w:szCs w:val="21"/>
        </w:rPr>
      </w:pPr>
      <w:r>
        <w:rPr>
          <w:rFonts w:hint="eastAsia" w:ascii="宋体" w:hAnsi="宋体" w:cs="宋体"/>
          <w:kern w:val="0"/>
          <w:szCs w:val="21"/>
        </w:rPr>
        <w:t>（3）汇率风险</w:t>
      </w:r>
    </w:p>
    <w:p>
      <w:pPr>
        <w:spacing w:line="360" w:lineRule="auto"/>
        <w:ind w:firstLine="420" w:firstLineChars="200"/>
        <w:rPr>
          <w:rFonts w:ascii="宋体" w:hAnsi="宋体" w:cs="宋体"/>
          <w:kern w:val="0"/>
          <w:szCs w:val="21"/>
        </w:rPr>
      </w:pPr>
      <w:r>
        <w:rPr>
          <w:rFonts w:hint="eastAsia" w:ascii="宋体" w:hAnsi="宋体" w:cs="宋体"/>
          <w:kern w:val="0"/>
          <w:szCs w:val="21"/>
        </w:rPr>
        <w:t>当本基金通过港股通投资香港市场股票的，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汇率波动可能对基金的投资收益造成损失，故本基金投资面临汇率风险。</w:t>
      </w:r>
    </w:p>
    <w:p>
      <w:pPr>
        <w:spacing w:line="360" w:lineRule="auto"/>
        <w:ind w:firstLine="420" w:firstLineChars="200"/>
        <w:rPr>
          <w:rFonts w:ascii="宋体" w:hAnsi="宋体" w:cs="宋体"/>
          <w:kern w:val="0"/>
          <w:szCs w:val="21"/>
        </w:rPr>
      </w:pPr>
      <w:r>
        <w:rPr>
          <w:rFonts w:hint="eastAsia" w:ascii="宋体" w:hAnsi="宋体" w:cs="宋体"/>
          <w:kern w:val="0"/>
          <w:szCs w:val="21"/>
        </w:rPr>
        <w:t>（4）港股通机制下交易日不连贯可能带来的风险</w:t>
      </w:r>
    </w:p>
    <w:p>
      <w:pPr>
        <w:spacing w:line="360" w:lineRule="auto"/>
        <w:ind w:firstLine="420" w:firstLineChars="200"/>
        <w:rPr>
          <w:rFonts w:ascii="宋体" w:hAnsi="宋体" w:cs="宋体"/>
          <w:kern w:val="0"/>
          <w:szCs w:val="21"/>
        </w:rPr>
      </w:pPr>
      <w:r>
        <w:rPr>
          <w:rFonts w:hint="eastAsia" w:ascii="宋体" w:hAnsi="宋体" w:cs="宋体"/>
          <w:kern w:val="0"/>
          <w:szCs w:val="21"/>
        </w:rPr>
        <w:t>只有内地和香港两地均为交易日方可进行港股通交易，在内地开市香港休市的情形下，港股通不能正常交易，港股不能及时卖出，可能带来一定的流动性风险。</w:t>
      </w:r>
    </w:p>
    <w:p>
      <w:pPr>
        <w:spacing w:line="360" w:lineRule="auto"/>
        <w:ind w:firstLine="420" w:firstLineChars="200"/>
        <w:rPr>
          <w:rFonts w:ascii="宋体" w:hAnsi="宋体" w:cs="宋体"/>
          <w:kern w:val="0"/>
          <w:szCs w:val="21"/>
        </w:rPr>
      </w:pPr>
      <w:r>
        <w:rPr>
          <w:rFonts w:hint="eastAsia" w:ascii="宋体" w:hAnsi="宋体" w:cs="宋体"/>
          <w:kern w:val="0"/>
          <w:szCs w:val="21"/>
        </w:rPr>
        <w:t>（5）境外市场的风险</w:t>
      </w:r>
    </w:p>
    <w:p>
      <w:pPr>
        <w:spacing w:line="360" w:lineRule="auto"/>
        <w:ind w:firstLine="420" w:firstLineChars="200"/>
        <w:rPr>
          <w:rFonts w:ascii="宋体" w:hAnsi="宋体" w:cs="宋体"/>
          <w:kern w:val="0"/>
          <w:szCs w:val="21"/>
        </w:rPr>
      </w:pPr>
      <w:r>
        <w:rPr>
          <w:rFonts w:hint="eastAsia" w:ascii="宋体" w:hAnsi="宋体" w:cs="宋体"/>
          <w:kern w:val="0"/>
          <w:szCs w:val="21"/>
        </w:rPr>
        <w:t>1）市场风险</w:t>
      </w:r>
    </w:p>
    <w:p>
      <w:pPr>
        <w:spacing w:line="360" w:lineRule="auto"/>
        <w:ind w:firstLine="420" w:firstLineChars="200"/>
        <w:rPr>
          <w:rFonts w:ascii="宋体" w:hAnsi="宋体" w:cs="宋体"/>
          <w:kern w:val="0"/>
          <w:szCs w:val="21"/>
        </w:rPr>
      </w:pPr>
      <w:r>
        <w:rPr>
          <w:rFonts w:hint="eastAsia" w:ascii="宋体" w:hAnsi="宋体" w:cs="宋体"/>
          <w:kern w:val="0"/>
          <w:szCs w:val="21"/>
        </w:rPr>
        <w:t>本基金通过港股通投资于香港市场，受香港市场宏观经济运行情况、货币政策、财政政策、产业政策、交易规则、结算、托管以及其他运作风险等多种因素的影响，上述因素的波动和变化可能会使基金资产收益以及正常的申购赎回会面临一定风险。</w:t>
      </w:r>
    </w:p>
    <w:p>
      <w:pPr>
        <w:spacing w:line="360" w:lineRule="auto"/>
        <w:ind w:firstLine="420" w:firstLineChars="200"/>
        <w:rPr>
          <w:rFonts w:ascii="宋体" w:hAnsi="宋体" w:cs="宋体"/>
          <w:kern w:val="0"/>
          <w:szCs w:val="21"/>
        </w:rPr>
      </w:pPr>
      <w:r>
        <w:rPr>
          <w:rFonts w:hint="eastAsia" w:ascii="宋体" w:hAnsi="宋体" w:cs="宋体"/>
          <w:kern w:val="0"/>
          <w:szCs w:val="21"/>
        </w:rPr>
        <w:t>2）法律和政治风险</w:t>
      </w:r>
    </w:p>
    <w:p>
      <w:pPr>
        <w:spacing w:line="360" w:lineRule="auto"/>
        <w:ind w:firstLine="420" w:firstLineChars="200"/>
        <w:rPr>
          <w:rFonts w:ascii="宋体" w:hAnsi="宋体" w:cs="宋体"/>
          <w:kern w:val="0"/>
          <w:szCs w:val="21"/>
        </w:rPr>
      </w:pPr>
      <w:r>
        <w:rPr>
          <w:rFonts w:hint="eastAsia" w:ascii="宋体" w:hAnsi="宋体" w:cs="宋体"/>
          <w:kern w:val="0"/>
          <w:szCs w:val="21"/>
        </w:rPr>
        <w:t>由于香港市场适用不同法律法规的原因，可能导致本基金通过港股通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pPr>
        <w:spacing w:line="360" w:lineRule="auto"/>
        <w:ind w:firstLine="420" w:firstLineChars="200"/>
        <w:rPr>
          <w:rFonts w:ascii="宋体" w:hAnsi="宋体" w:cs="宋体"/>
          <w:kern w:val="0"/>
          <w:szCs w:val="21"/>
        </w:rPr>
      </w:pPr>
      <w:r>
        <w:rPr>
          <w:rFonts w:hint="eastAsia" w:ascii="宋体" w:hAnsi="宋体" w:cs="宋体"/>
          <w:kern w:val="0"/>
          <w:szCs w:val="21"/>
        </w:rPr>
        <w:t>3）会计制度风险</w:t>
      </w:r>
    </w:p>
    <w:p>
      <w:pPr>
        <w:spacing w:line="360" w:lineRule="auto"/>
        <w:ind w:firstLine="420" w:firstLineChars="200"/>
        <w:rPr>
          <w:rFonts w:ascii="宋体" w:hAnsi="宋体" w:cs="宋体"/>
          <w:kern w:val="0"/>
          <w:szCs w:val="21"/>
        </w:rPr>
      </w:pPr>
      <w:r>
        <w:rPr>
          <w:rFonts w:hint="eastAsia" w:ascii="宋体" w:hAnsi="宋体" w:cs="宋体"/>
          <w:kern w:val="0"/>
          <w:szCs w:val="21"/>
        </w:rPr>
        <w:t>香港市场对上市公司日常经营活动的会计处理、财务报表披露等会计核算标准的规定可能与境内存在一定差异，可能导致基金经理对港股通标的公司盈利能力、投资价值的判断产生偏差，从而给本基金投资带来潜在风险。</w:t>
      </w:r>
    </w:p>
    <w:p>
      <w:pPr>
        <w:spacing w:line="360" w:lineRule="auto"/>
        <w:ind w:firstLine="420" w:firstLineChars="200"/>
        <w:rPr>
          <w:rFonts w:ascii="宋体" w:hAnsi="宋体" w:cs="宋体"/>
          <w:kern w:val="0"/>
          <w:szCs w:val="21"/>
        </w:rPr>
      </w:pPr>
      <w:r>
        <w:rPr>
          <w:rFonts w:hint="eastAsia" w:ascii="宋体" w:hAnsi="宋体" w:cs="宋体"/>
          <w:kern w:val="0"/>
          <w:szCs w:val="21"/>
        </w:rPr>
        <w:t>4）税务风险</w:t>
      </w:r>
    </w:p>
    <w:p>
      <w:pPr>
        <w:spacing w:line="360" w:lineRule="auto"/>
        <w:ind w:firstLine="420" w:firstLineChars="200"/>
        <w:rPr>
          <w:rFonts w:ascii="宋体" w:hAnsi="宋体" w:cs="宋体"/>
          <w:kern w:val="0"/>
          <w:szCs w:val="21"/>
        </w:rPr>
      </w:pPr>
      <w:r>
        <w:rPr>
          <w:rFonts w:hint="eastAsia" w:ascii="宋体" w:hAnsi="宋体" w:cs="宋体"/>
          <w:kern w:val="0"/>
          <w:szCs w:val="21"/>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pPr>
        <w:spacing w:line="360" w:lineRule="auto"/>
        <w:ind w:firstLine="420" w:firstLineChars="200"/>
        <w:rPr>
          <w:rFonts w:ascii="宋体" w:hAnsi="宋体" w:cs="宋体"/>
          <w:kern w:val="0"/>
          <w:szCs w:val="21"/>
        </w:rPr>
      </w:pPr>
      <w:r>
        <w:rPr>
          <w:rFonts w:hint="eastAsia" w:ascii="宋体" w:hAnsi="宋体" w:cs="宋体"/>
          <w:kern w:val="0"/>
          <w:szCs w:val="21"/>
        </w:rPr>
        <w:t>5）其他风险</w:t>
      </w:r>
    </w:p>
    <w:p>
      <w:pPr>
        <w:spacing w:line="360" w:lineRule="auto"/>
        <w:ind w:firstLine="420" w:firstLineChars="200"/>
        <w:rPr>
          <w:rFonts w:ascii="宋体" w:hAnsi="宋体" w:cs="宋体"/>
          <w:kern w:val="0"/>
          <w:szCs w:val="21"/>
        </w:rPr>
      </w:pPr>
      <w:r>
        <w:rPr>
          <w:rFonts w:hint="eastAsia" w:ascii="宋体" w:hAnsi="宋体" w:cs="宋体"/>
          <w:kern w:val="0"/>
          <w:szCs w:val="21"/>
        </w:rPr>
        <w:t>当出现特殊情形时，联交所将可能停市，投资者将面临在停市期间无法进行港股通交易的风险；出现上交所或深交所证券交易服务公司认定的交易异常情况时，上交所或深交所证券交易服务公司将可能暂停提供部分或者全部港股通服务，投资者将面临在暂停服务期间无法进行港股通交易的风险。</w:t>
      </w:r>
    </w:p>
    <w:p>
      <w:pPr>
        <w:spacing w:line="360" w:lineRule="auto"/>
        <w:ind w:firstLine="420" w:firstLineChars="200"/>
        <w:rPr>
          <w:rFonts w:ascii="宋体" w:hAnsi="宋体" w:cs="宋体"/>
          <w:kern w:val="0"/>
          <w:szCs w:val="21"/>
        </w:rPr>
      </w:pPr>
      <w:r>
        <w:rPr>
          <w:rFonts w:hint="eastAsia" w:ascii="宋体" w:hAnsi="宋体" w:cs="宋体"/>
          <w:kern w:val="0"/>
          <w:szCs w:val="21"/>
        </w:rPr>
        <w:t>（6）本基金可根据投资策略需要或不同配置地的市场环境的变化，选择将部分基金资产投资于港股或选择不将基金资产投资于港股，基金资产并非必然投资港股。</w:t>
      </w:r>
    </w:p>
    <w:p>
      <w:pPr>
        <w:spacing w:line="360" w:lineRule="auto"/>
        <w:ind w:firstLine="420" w:firstLineChars="200"/>
        <w:rPr>
          <w:rFonts w:ascii="宋体" w:hAnsi="宋体" w:cs="宋体"/>
          <w:kern w:val="0"/>
          <w:szCs w:val="21"/>
        </w:rPr>
      </w:pPr>
      <w:r>
        <w:rPr>
          <w:rFonts w:hint="eastAsia" w:ascii="宋体" w:hAnsi="宋体" w:cs="宋体"/>
          <w:kern w:val="0"/>
          <w:szCs w:val="21"/>
        </w:rPr>
        <w:t>3、本基金可参与股票申购，由于股票发行政策、发行机制等影响新股发行的因素变动，将影响本基金的资产配置，从而影响本基金的风险收益水平。另外，发行股票的配售比例、中签率的不确定性，或其他发售方式的不确定性，也可能使本基金面临更多的不确定因素。</w:t>
      </w:r>
    </w:p>
    <w:p>
      <w:pPr>
        <w:spacing w:line="360" w:lineRule="auto"/>
        <w:ind w:firstLine="420" w:firstLineChars="200"/>
        <w:rPr>
          <w:rFonts w:ascii="宋体" w:hAnsi="宋体" w:cs="宋体"/>
          <w:kern w:val="0"/>
          <w:szCs w:val="21"/>
        </w:rPr>
      </w:pPr>
      <w:r>
        <w:rPr>
          <w:rFonts w:hint="eastAsia" w:ascii="宋体" w:hAnsi="宋体" w:cs="宋体"/>
          <w:kern w:val="0"/>
          <w:szCs w:val="21"/>
        </w:rPr>
        <w:t>4、本基金可投资股指期货，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pPr>
        <w:spacing w:line="360" w:lineRule="auto"/>
        <w:ind w:firstLine="420" w:firstLineChars="200"/>
        <w:rPr>
          <w:rFonts w:ascii="宋体" w:hAnsi="宋体" w:cs="宋体"/>
          <w:kern w:val="0"/>
          <w:szCs w:val="21"/>
        </w:rPr>
      </w:pPr>
      <w:r>
        <w:rPr>
          <w:rFonts w:hint="eastAsia" w:ascii="宋体" w:hAnsi="宋体" w:cs="宋体"/>
          <w:kern w:val="0"/>
          <w:szCs w:val="21"/>
        </w:rPr>
        <w:t>5、本基金可投资国债期货，国债期货采用保证金交易制度，由于保证金交易具有杠杆性，当相应期限国债收益率出现不利变动时，可能会导致投资人权益遭受较大损失。国债期货采用每日无负债结算制度，如果没有在规定的时间内补足保证金，按规定将被强制平仓，可能给投资带来重大损失。</w:t>
      </w:r>
    </w:p>
    <w:p>
      <w:pPr>
        <w:spacing w:line="360" w:lineRule="auto"/>
        <w:ind w:firstLine="420" w:firstLineChars="200"/>
        <w:rPr>
          <w:rFonts w:ascii="宋体" w:hAnsi="宋体" w:cs="宋体"/>
          <w:kern w:val="0"/>
          <w:szCs w:val="21"/>
        </w:rPr>
      </w:pPr>
      <w:r>
        <w:rPr>
          <w:rFonts w:hint="eastAsia" w:ascii="宋体" w:hAnsi="宋体" w:cs="宋体"/>
          <w:kern w:val="0"/>
          <w:szCs w:val="21"/>
        </w:rPr>
        <w:t>6、资产支持证券的投资风险</w:t>
      </w:r>
    </w:p>
    <w:p>
      <w:pPr>
        <w:spacing w:line="360" w:lineRule="auto"/>
        <w:ind w:firstLine="420" w:firstLineChars="200"/>
        <w:rPr>
          <w:rFonts w:ascii="宋体" w:hAnsi="宋体" w:cs="宋体"/>
          <w:kern w:val="0"/>
          <w:szCs w:val="21"/>
        </w:rPr>
      </w:pPr>
      <w:r>
        <w:rPr>
          <w:rFonts w:hint="eastAsia" w:ascii="宋体" w:hAnsi="宋体" w:cs="宋体"/>
          <w:kern w:val="0"/>
          <w:szCs w:val="21"/>
        </w:rPr>
        <w:t>本基金可投资资产支持证券，资产支持证券具有一定的价格波动风险、流动性风险、信用风险等风险。价格波动风险指的是市场利率波动会导致资产支持证券的收益率和价格波动。流动性风险指的是受资产支持证券市场规模及交易活跃程度的影响，资产支持证券可能无法在同一价格水平上进行较大数量的买入或卖出，存在一定的流动性风险。信用风险指的基金所投资的资产支持证券之债务人出现违约，或在交易过程中发生交收违约，或由于资产支持证券信用质量降低导致证券价格下降，造成基金财产损失。</w:t>
      </w:r>
    </w:p>
    <w:p>
      <w:pPr>
        <w:spacing w:line="360" w:lineRule="auto"/>
        <w:ind w:firstLine="420" w:firstLineChars="200"/>
        <w:rPr>
          <w:rFonts w:ascii="宋体" w:hAnsi="宋体" w:cs="宋体"/>
          <w:kern w:val="0"/>
          <w:szCs w:val="21"/>
        </w:rPr>
      </w:pPr>
      <w:r>
        <w:rPr>
          <w:rFonts w:hint="eastAsia" w:ascii="宋体" w:hAnsi="宋体" w:cs="宋体"/>
          <w:kern w:val="0"/>
          <w:szCs w:val="21"/>
        </w:rPr>
        <w:t>7、基金合同自动终止的风险</w:t>
      </w:r>
    </w:p>
    <w:p>
      <w:pPr>
        <w:spacing w:line="360" w:lineRule="auto"/>
        <w:ind w:firstLine="420" w:firstLineChars="200"/>
      </w:pPr>
      <w:r>
        <w:rPr>
          <w:rFonts w:hint="eastAsia" w:hAnsi="宋体"/>
          <w:szCs w:val="21"/>
        </w:rPr>
        <w:t>本基金为发起式基金，《基金合同》生效满3年后的对应日，若基金资产净值低于2亿元，《基金合同》将自动终止，且不得通过召开基金份额持有人大会的方式延续。故投资者还将面临基金合同终止的风险。</w:t>
      </w:r>
    </w:p>
    <w:p>
      <w:pPr>
        <w:spacing w:line="360" w:lineRule="auto"/>
        <w:ind w:firstLine="420" w:firstLineChars="200"/>
        <w:rPr>
          <w:rFonts w:ascii="宋体" w:hAnsi="宋体" w:cs="宋体"/>
          <w:kern w:val="0"/>
          <w:szCs w:val="21"/>
        </w:rPr>
      </w:pPr>
      <w:r>
        <w:rPr>
          <w:rFonts w:hint="eastAsia" w:ascii="宋体" w:hAnsi="宋体" w:cs="宋体"/>
          <w:kern w:val="0"/>
          <w:szCs w:val="21"/>
        </w:rPr>
        <w:t>8、存托凭证的投资风险</w:t>
      </w:r>
    </w:p>
    <w:p>
      <w:pPr>
        <w:spacing w:line="360" w:lineRule="auto"/>
        <w:ind w:firstLine="420" w:firstLineChars="200"/>
        <w:rPr>
          <w:rFonts w:ascii="宋体" w:hAnsi="宋体" w:cs="宋体"/>
          <w:kern w:val="0"/>
          <w:szCs w:val="21"/>
        </w:rPr>
      </w:pPr>
      <w:r>
        <w:rPr>
          <w:rFonts w:hint="eastAsia" w:ascii="宋体" w:hAnsi="宋体" w:cs="宋体"/>
          <w:kern w:val="0"/>
          <w:szCs w:val="21"/>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托协议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w:t>
      </w:r>
    </w:p>
    <w:p>
      <w:pPr>
        <w:spacing w:line="360" w:lineRule="auto"/>
        <w:ind w:firstLine="420" w:firstLineChars="200"/>
        <w:rPr>
          <w:rFonts w:ascii="宋体" w:hAnsi="宋体" w:cs="宋体"/>
          <w:kern w:val="0"/>
          <w:szCs w:val="21"/>
        </w:rPr>
      </w:pPr>
      <w:r>
        <w:rPr>
          <w:rFonts w:hint="eastAsia" w:ascii="宋体" w:hAnsi="宋体" w:cs="宋体"/>
          <w:kern w:val="0"/>
          <w:szCs w:val="21"/>
        </w:rPr>
        <w:t>9、基金财产投资运营过程中的增值税</w:t>
      </w:r>
    </w:p>
    <w:p>
      <w:pPr>
        <w:spacing w:line="360" w:lineRule="auto"/>
        <w:ind w:firstLine="420" w:firstLineChars="200"/>
        <w:rPr>
          <w:rFonts w:ascii="宋体" w:hAnsi="宋体" w:cs="宋体"/>
          <w:kern w:val="0"/>
          <w:szCs w:val="21"/>
        </w:rPr>
      </w:pPr>
      <w:r>
        <w:rPr>
          <w:rFonts w:hint="eastAsia" w:ascii="宋体" w:hAnsi="宋体" w:cs="宋体"/>
          <w:kern w:val="0"/>
          <w:szCs w:val="21"/>
        </w:rPr>
        <w:t>鉴于基金管理人为本基金的利益投资、运用基金财产过程中，可能因法律法规、税收政策的要求而成为纳税义务人，就归属于基金的投资收益、投资回报和/或本金承担纳税义务。因此，本基金运营过程中由于上述原因发生的增值税等税负，仍由本基金财产承担。</w:t>
      </w:r>
    </w:p>
    <w:p>
      <w:pPr>
        <w:spacing w:line="360" w:lineRule="auto"/>
        <w:ind w:firstLine="420" w:firstLineChars="200"/>
        <w:rPr>
          <w:rFonts w:ascii="宋体" w:hAnsi="宋体" w:cs="宋体"/>
          <w:kern w:val="0"/>
          <w:szCs w:val="21"/>
        </w:rPr>
      </w:pPr>
      <w:r>
        <w:rPr>
          <w:rFonts w:hint="eastAsia" w:ascii="宋体" w:hAnsi="宋体" w:cs="宋体"/>
          <w:kern w:val="0"/>
          <w:szCs w:val="21"/>
        </w:rPr>
        <w:t>10、浮动管理费相关风险</w:t>
      </w:r>
    </w:p>
    <w:p>
      <w:pPr>
        <w:spacing w:line="360" w:lineRule="auto"/>
        <w:ind w:firstLine="420" w:firstLineChars="200"/>
        <w:rPr>
          <w:rFonts w:ascii="宋体" w:hAnsi="宋体" w:cs="宋体"/>
          <w:kern w:val="0"/>
          <w:szCs w:val="21"/>
        </w:rPr>
      </w:pPr>
      <w:r>
        <w:rPr>
          <w:rFonts w:hint="eastAsia" w:ascii="宋体" w:hAnsi="宋体" w:cs="宋体"/>
          <w:kern w:val="0"/>
          <w:szCs w:val="21"/>
        </w:rPr>
        <w:t>本基金的管理费由固定管理费、或有管理费和超额管理费组成，其中或有管理费和超额管理费取决于每笔基金份额的持有期限和持有期间年化收益率水平（详见基金合同“第十五部分 基金费用与税收”），</w:t>
      </w:r>
      <w:r>
        <w:rPr>
          <w:rFonts w:hint="eastAsia" w:hAnsi="宋体"/>
          <w:szCs w:val="21"/>
        </w:rPr>
        <w:t>因此投资者在认购</w:t>
      </w:r>
      <w:r>
        <w:rPr>
          <w:rFonts w:hAnsi="宋体"/>
          <w:szCs w:val="21"/>
        </w:rPr>
        <w:t>/</w:t>
      </w:r>
      <w:r>
        <w:rPr>
          <w:rFonts w:hint="eastAsia" w:hAnsi="宋体"/>
          <w:szCs w:val="21"/>
        </w:rPr>
        <w:t>申购</w:t>
      </w:r>
      <w:r>
        <w:rPr>
          <w:rFonts w:hAnsi="宋体"/>
          <w:szCs w:val="21"/>
        </w:rPr>
        <w:t>/</w:t>
      </w:r>
      <w:r>
        <w:rPr>
          <w:rFonts w:hint="eastAsia" w:hAnsi="宋体"/>
          <w:szCs w:val="21"/>
        </w:rPr>
        <w:t>转换转入本基金时无法预先确定该笔基金份额适用的管理费水平</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由于本基金在计算各类基金份额净值时，按前一日基金资产净值的1.20%年费率计算管理费，该费率可能高于或低于不同投资者最终适用的管理费率。在基金份额赎回、转换转出或基金合同终止的情形发生时，基金投资者实际收到的赎回款项或清算款项的金额可能与按披露的该类基金份额净值计算的结果存在差异。投资者的实际赎回金额或清算资金以登记机构确认数据为准。</w:t>
      </w:r>
    </w:p>
    <w:p>
      <w:pPr>
        <w:spacing w:line="360" w:lineRule="auto"/>
        <w:ind w:firstLine="420" w:firstLineChars="200"/>
        <w:rPr>
          <w:rFonts w:ascii="宋体" w:hAnsi="宋体" w:cs="宋体"/>
          <w:kern w:val="0"/>
          <w:szCs w:val="21"/>
        </w:rPr>
      </w:pPr>
      <w:r>
        <w:rPr>
          <w:rFonts w:hint="eastAsia" w:ascii="宋体" w:hAnsi="宋体" w:cs="宋体"/>
          <w:kern w:val="0"/>
          <w:szCs w:val="21"/>
        </w:rPr>
        <w:t>本基金采用浮动管理费的收费模式，不代表基金管理人对基金收益的保证。</w:t>
      </w:r>
    </w:p>
    <w:p>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创业板投资风险</w:t>
      </w:r>
    </w:p>
    <w:p>
      <w:pPr>
        <w:spacing w:line="360" w:lineRule="auto"/>
        <w:ind w:firstLine="420" w:firstLineChars="200"/>
        <w:rPr>
          <w:rFonts w:ascii="宋体" w:hAnsi="宋体" w:cs="宋体"/>
          <w:kern w:val="0"/>
          <w:szCs w:val="21"/>
        </w:rPr>
      </w:pPr>
      <w:r>
        <w:rPr>
          <w:rFonts w:hint="eastAsia" w:ascii="宋体" w:hAnsi="宋体" w:cs="宋体"/>
          <w:kern w:val="0"/>
          <w:szCs w:val="21"/>
        </w:rPr>
        <w:t>（1）公司风险：创业板上市公司往往高度依赖新技术、新模式、新业态，且多为轻资产结构，具有技术迭代快、产业升级快、模式易复制、业绩波动大等特点，公司上市后的持续创新能力、盈利能力和抗风险能力具有较大的不确定性；</w:t>
      </w:r>
    </w:p>
    <w:p>
      <w:pPr>
        <w:spacing w:line="360" w:lineRule="auto"/>
        <w:ind w:firstLine="420" w:firstLineChars="200"/>
        <w:rPr>
          <w:rFonts w:ascii="宋体" w:hAnsi="宋体" w:cs="宋体"/>
          <w:kern w:val="0"/>
          <w:szCs w:val="21"/>
        </w:rPr>
      </w:pPr>
      <w:r>
        <w:rPr>
          <w:rFonts w:hint="eastAsia" w:ascii="宋体" w:hAnsi="宋体" w:cs="宋体"/>
          <w:kern w:val="0"/>
          <w:szCs w:val="21"/>
        </w:rPr>
        <w:t>（2）股价波动较大的风险：改革后的创业板新股上市后的前5个交易日不设涨跌幅限制，其后涨跌幅限制为20%，故可能表现出更为剧烈的股价波动；</w:t>
      </w:r>
    </w:p>
    <w:p>
      <w:pPr>
        <w:spacing w:line="360" w:lineRule="auto"/>
        <w:ind w:firstLine="420" w:firstLineChars="200"/>
        <w:rPr>
          <w:rFonts w:ascii="宋体" w:hAnsi="宋体" w:cs="宋体"/>
          <w:kern w:val="0"/>
          <w:szCs w:val="21"/>
        </w:rPr>
      </w:pPr>
      <w:r>
        <w:rPr>
          <w:rFonts w:hint="eastAsia" w:ascii="宋体" w:hAnsi="宋体" w:cs="宋体"/>
          <w:kern w:val="0"/>
          <w:szCs w:val="21"/>
        </w:rPr>
        <w:t>（3）退市风险：改革后，创业板退市制度更为严格，触发退市的情形更多，执行标准更严；如果所持有的创业板股票退市，将面临流动性风险；</w:t>
      </w:r>
    </w:p>
    <w:p>
      <w:pPr>
        <w:spacing w:line="360" w:lineRule="auto"/>
        <w:ind w:firstLine="420" w:firstLineChars="200"/>
        <w:rPr>
          <w:rFonts w:ascii="宋体" w:hAnsi="宋体" w:cs="宋体"/>
          <w:kern w:val="0"/>
          <w:szCs w:val="21"/>
        </w:rPr>
      </w:pPr>
      <w:r>
        <w:rPr>
          <w:rFonts w:hint="eastAsia" w:ascii="宋体" w:hAnsi="宋体" w:cs="宋体"/>
          <w:kern w:val="0"/>
          <w:szCs w:val="21"/>
        </w:rPr>
        <w:t>（4）境外企业风险：符合相关规定的红筹企业可以在创业板上市，由于红筹企业在境外注册，可能在信息披露、分红派息等方面可能与境内注册的上市公司存在差异。</w:t>
      </w:r>
    </w:p>
    <w:p>
      <w:pPr>
        <w:spacing w:line="360" w:lineRule="auto"/>
        <w:ind w:firstLine="420" w:firstLineChars="200"/>
        <w:rPr>
          <w:rFonts w:ascii="宋体" w:hAnsi="宋体" w:cs="宋体"/>
          <w:kern w:val="0"/>
          <w:szCs w:val="21"/>
        </w:rPr>
      </w:pPr>
      <w:r>
        <w:rPr>
          <w:rFonts w:ascii="宋体" w:hAnsi="宋体" w:cs="宋体"/>
          <w:kern w:val="0"/>
          <w:szCs w:val="21"/>
        </w:rPr>
        <w:t>12</w:t>
      </w:r>
      <w:r>
        <w:rPr>
          <w:rFonts w:hint="eastAsia" w:ascii="宋体" w:hAnsi="宋体" w:cs="宋体"/>
          <w:kern w:val="0"/>
          <w:szCs w:val="21"/>
        </w:rPr>
        <w:t>、科创板投资风险</w:t>
      </w:r>
    </w:p>
    <w:p>
      <w:pPr>
        <w:spacing w:line="360" w:lineRule="auto"/>
        <w:ind w:firstLine="420" w:firstLineChars="200"/>
        <w:rPr>
          <w:rFonts w:ascii="宋体" w:hAnsi="宋体" w:cs="宋体"/>
          <w:kern w:val="0"/>
          <w:szCs w:val="21"/>
        </w:rPr>
      </w:pPr>
      <w:r>
        <w:rPr>
          <w:rFonts w:hint="eastAsia" w:ascii="宋体" w:hAnsi="宋体" w:cs="宋体"/>
          <w:kern w:val="0"/>
          <w:szCs w:val="21"/>
        </w:rPr>
        <w:t>（1）流动性风险：科创板投资者门槛较高，流动性可能弱于A股其他板块，且机构投资者可能在特定阶段对科创板个股形成一致性预期，存在基金持有股票无法正常成交的风险。</w:t>
      </w:r>
    </w:p>
    <w:p>
      <w:pPr>
        <w:spacing w:line="360" w:lineRule="auto"/>
        <w:ind w:firstLine="420" w:firstLineChars="200"/>
        <w:rPr>
          <w:rFonts w:ascii="宋体" w:hAnsi="宋体" w:cs="宋体"/>
          <w:kern w:val="0"/>
          <w:szCs w:val="21"/>
        </w:rPr>
      </w:pPr>
      <w:r>
        <w:rPr>
          <w:rFonts w:hint="eastAsia" w:ascii="宋体" w:hAnsi="宋体" w:cs="宋体"/>
          <w:kern w:val="0"/>
          <w:szCs w:val="21"/>
        </w:rPr>
        <w:t>（2）退市风险：科创板执行比A股其他板块更为严格的退市标准，且不再设置暂停上市、恢复上市和重新上市环节，上市公司退市风险可能给基金净值带来不利影响。</w:t>
      </w:r>
    </w:p>
    <w:p>
      <w:pPr>
        <w:spacing w:line="360" w:lineRule="auto"/>
        <w:ind w:firstLine="420" w:firstLineChars="200"/>
        <w:rPr>
          <w:rFonts w:ascii="宋体" w:hAnsi="宋体" w:cs="宋体"/>
          <w:kern w:val="0"/>
          <w:szCs w:val="21"/>
        </w:rPr>
      </w:pPr>
      <w:r>
        <w:rPr>
          <w:rFonts w:hint="eastAsia" w:ascii="宋体" w:hAnsi="宋体" w:cs="宋体"/>
          <w:kern w:val="0"/>
          <w:szCs w:val="21"/>
        </w:rPr>
        <w:t>（3）投资集中度风险：因科创板均为科技创新成长型公司，且商业模式、盈利风险、业绩波动等特征较为相似，基金难以通过分散投资降低投资风险，若股票价格同向波动将引起基金净值波动。</w:t>
      </w:r>
    </w:p>
    <w:p>
      <w:pPr>
        <w:spacing w:line="360" w:lineRule="auto"/>
        <w:ind w:firstLine="420" w:firstLineChars="200"/>
        <w:rPr>
          <w:rFonts w:ascii="宋体" w:hAnsi="宋体" w:cs="宋体"/>
          <w:kern w:val="0"/>
          <w:szCs w:val="21"/>
        </w:rPr>
      </w:pPr>
      <w:r>
        <w:rPr>
          <w:rFonts w:hint="eastAsia" w:ascii="宋体" w:hAnsi="宋体" w:cs="宋体"/>
          <w:kern w:val="0"/>
          <w:szCs w:val="21"/>
        </w:rPr>
        <w:t>（4）股价大幅波动风险：科创板股票竞价交易设置较宽的涨跌幅限制，上市后的前5个交易日不设涨跌幅限制，其后涨跌幅限制为20%，因此本基金可能面临股票价格大幅波动的风险。</w:t>
      </w:r>
    </w:p>
    <w:p>
      <w:pPr>
        <w:spacing w:line="360" w:lineRule="auto"/>
        <w:ind w:firstLine="420" w:firstLineChars="200"/>
        <w:rPr>
          <w:rFonts w:ascii="宋体" w:hAnsi="宋体" w:cs="宋体"/>
          <w:kern w:val="0"/>
          <w:szCs w:val="21"/>
        </w:rPr>
      </w:pPr>
      <w:r>
        <w:rPr>
          <w:rFonts w:hint="eastAsia" w:ascii="宋体" w:hAnsi="宋体" w:cs="宋体"/>
          <w:kern w:val="0"/>
          <w:szCs w:val="21"/>
        </w:rPr>
        <w:t>（5）无法盈利甚至较大亏损的风险：科创板上市企业不一定盈利，可能面临较大的投资风险。一方面，科创板上市企业相对集中于高新技术和战略新兴产业领域，往往具有科技投入大、迭代快、风险高、易被颠覆等特点，存在因重大技术、产品、经营模式、相关政策变化而出现经营失败的风险；另一方面，部分科创板上市企业可能尚处于初步发展阶段，企业持续创新能力、主营业务发展可持续性、公司收入、现金流及盈利水平等具有较大不确定性。因此，本基金可能面临科创板企业无法盈利甚至产生较大亏损的风险。</w:t>
      </w:r>
    </w:p>
    <w:p>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场内投资采用证券公司交易和结算模式的风险</w:t>
      </w:r>
    </w:p>
    <w:p>
      <w:pPr>
        <w:spacing w:line="360" w:lineRule="auto"/>
        <w:ind w:firstLine="420" w:firstLineChars="200"/>
        <w:rPr>
          <w:rFonts w:ascii="宋体" w:hAnsi="宋体" w:cs="宋体"/>
          <w:kern w:val="0"/>
          <w:szCs w:val="21"/>
        </w:rPr>
      </w:pPr>
      <w:r>
        <w:rPr>
          <w:rFonts w:hint="eastAsia" w:ascii="宋体" w:hAnsi="宋体" w:cs="宋体"/>
          <w:kern w:val="0"/>
          <w:szCs w:val="21"/>
        </w:rPr>
        <w:t>本基金场内投资采用证券公司交易和结算模式，即本基金参与证券交易所场内投资部分将通过基金管理人选定的证券经纪机构进行场内交易，并由选定的证券经纪商作为结算参与人代理本基金进行结算，该种交易和结算模式可能增加本基金投资运作过程中的交易指令传输和资金使用效率降低的风险、无法完成当日估值的风险、信息系统风险、操作风险、交易结算风险、基金投资非公开信息泄露的风险等。</w:t>
      </w:r>
    </w:p>
    <w:p>
      <w:pPr>
        <w:spacing w:line="360" w:lineRule="auto"/>
        <w:ind w:firstLine="420" w:firstLineChars="200"/>
        <w:rPr>
          <w:rFonts w:ascii="宋体" w:hAnsi="宋体" w:cs="宋体"/>
          <w:kern w:val="0"/>
          <w:szCs w:val="21"/>
        </w:rPr>
      </w:pPr>
      <w:r>
        <w:rPr>
          <w:rFonts w:ascii="宋体" w:hAnsi="宋体" w:cs="宋体"/>
          <w:kern w:val="0"/>
          <w:szCs w:val="21"/>
        </w:rPr>
        <w:t>14</w:t>
      </w:r>
      <w:r>
        <w:rPr>
          <w:rFonts w:hint="eastAsia" w:ascii="宋体" w:hAnsi="宋体" w:cs="宋体"/>
          <w:kern w:val="0"/>
          <w:szCs w:val="21"/>
        </w:rPr>
        <w:t>、由于销售服务费的收取与返还机制导致的风险</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对于投资者通过直销机构认</w:t>
      </w:r>
      <w:r>
        <w:rPr>
          <w:rFonts w:ascii="宋体" w:hAnsi="宋体" w:cs="宋体"/>
          <w:kern w:val="0"/>
          <w:szCs w:val="21"/>
        </w:rPr>
        <w:t>/申购C类基金份额计提的销售服务费、通过非直销销售机构认/申购的C类基金份额持续持有期限超过一年继续计提的销售服务费采取先收后返的模式，基金投资者实际收到的赎回款项或清算款项的金额可能与按披露的C类基金份额净值计算的结果存在差异。投资者的实际赎回金额和清算资金以登记机构确认数据为准。</w:t>
      </w:r>
    </w:p>
    <w:p>
      <w:pPr>
        <w:spacing w:line="360" w:lineRule="auto"/>
        <w:ind w:firstLine="420" w:firstLineChars="200"/>
        <w:rPr>
          <w:rFonts w:ascii="宋体" w:hAnsi="宋体" w:cs="宋体"/>
          <w:kern w:val="0"/>
          <w:szCs w:val="21"/>
        </w:rPr>
      </w:pPr>
      <w:r>
        <w:rPr>
          <w:rFonts w:hint="eastAsia" w:ascii="宋体" w:hAnsi="宋体" w:cs="宋体"/>
          <w:kern w:val="0"/>
          <w:szCs w:val="21"/>
        </w:rPr>
        <w:t>（六）本基金主要的流动性风险及风险管理方法说明</w:t>
      </w:r>
    </w:p>
    <w:p>
      <w:pPr>
        <w:spacing w:line="360" w:lineRule="auto"/>
        <w:ind w:firstLine="420" w:firstLineChars="200"/>
        <w:rPr>
          <w:rFonts w:ascii="宋体" w:hAnsi="宋体" w:cs="宋体"/>
          <w:kern w:val="0"/>
          <w:szCs w:val="21"/>
        </w:rPr>
      </w:pPr>
      <w:r>
        <w:rPr>
          <w:rFonts w:hint="eastAsia" w:ascii="宋体" w:hAnsi="宋体" w:cs="宋体"/>
          <w:kern w:val="0"/>
          <w:szCs w:val="21"/>
        </w:rPr>
        <w:t>1、基金申购、赎回安排</w:t>
      </w:r>
    </w:p>
    <w:p>
      <w:pPr>
        <w:spacing w:line="360" w:lineRule="auto"/>
        <w:ind w:firstLine="420" w:firstLineChars="200"/>
        <w:rPr>
          <w:rFonts w:ascii="宋体" w:hAnsi="宋体" w:cs="宋体"/>
          <w:kern w:val="0"/>
          <w:szCs w:val="21"/>
        </w:rPr>
      </w:pPr>
      <w:r>
        <w:rPr>
          <w:rFonts w:hint="eastAsia" w:ascii="宋体" w:hAnsi="宋体" w:cs="宋体"/>
          <w:kern w:val="0"/>
          <w:szCs w:val="21"/>
        </w:rPr>
        <w:t>本基金将加强对开放式基金申购环节的管理，合理控制基金份额持有人集中度，审慎确认大额申购申请，在当接受申购申请对存量基金份额持有人利益构成潜在重大不利影响时，基金管理人将采取设定单一投资者申购金额上限或基金单日净申购比例上限、拒绝大额申购、暂停基金申购等措施对基金规模予以控制，切实保护存量基金份额持有人的合法权益。具体内容详见本招募说明书第八章。</w:t>
      </w:r>
    </w:p>
    <w:p>
      <w:pPr>
        <w:spacing w:line="360" w:lineRule="auto"/>
        <w:ind w:firstLine="420" w:firstLineChars="200"/>
        <w:rPr>
          <w:rFonts w:ascii="宋体" w:hAnsi="宋体" w:cs="宋体"/>
          <w:kern w:val="0"/>
          <w:szCs w:val="21"/>
        </w:rPr>
      </w:pPr>
      <w:r>
        <w:rPr>
          <w:rFonts w:hint="eastAsia" w:ascii="宋体" w:hAnsi="宋体" w:cs="宋体"/>
          <w:kern w:val="0"/>
          <w:szCs w:val="21"/>
        </w:rPr>
        <w:t>2、拟投资市场及资产的流动性风险评估</w:t>
      </w:r>
    </w:p>
    <w:p>
      <w:pPr>
        <w:spacing w:line="360" w:lineRule="auto"/>
        <w:ind w:firstLine="420" w:firstLineChars="200"/>
        <w:rPr>
          <w:rFonts w:ascii="宋体" w:hAnsi="宋体" w:cs="宋体"/>
          <w:kern w:val="0"/>
          <w:szCs w:val="21"/>
        </w:rPr>
      </w:pPr>
      <w:r>
        <w:rPr>
          <w:rFonts w:hint="eastAsia" w:ascii="宋体" w:hAnsi="宋体" w:cs="宋体"/>
          <w:kern w:val="0"/>
          <w:szCs w:val="21"/>
        </w:rPr>
        <w:t>本基金主要于境内</w:t>
      </w:r>
      <w:r>
        <w:rPr>
          <w:rFonts w:ascii="宋体" w:hAnsi="宋体" w:cs="宋体"/>
          <w:kern w:val="0"/>
          <w:szCs w:val="21"/>
        </w:rPr>
        <w:t>A</w:t>
      </w:r>
      <w:r>
        <w:rPr>
          <w:rFonts w:hint="eastAsia" w:ascii="宋体" w:hAnsi="宋体" w:cs="宋体"/>
          <w:kern w:val="0"/>
          <w:szCs w:val="21"/>
        </w:rPr>
        <w:t>股市场和香港股票市场与新能源相关的资产。总体而言，新能源相关股票流通市值大、大量股票成交活跃，可以支持本基金的投资和应对日常申赎的需要。极端市场情况下，可能出现流动性不足，导致基金资产无法变现，从而影响投资者按时收到赎回款项。当遇到极端市场情况时，基金管理人会按照基金合同及相关法律法规要求，及时启动流动性风险应对措施，保护基金投资者的合法权益。</w:t>
      </w:r>
    </w:p>
    <w:p>
      <w:pPr>
        <w:spacing w:line="360" w:lineRule="auto"/>
        <w:ind w:firstLine="420" w:firstLineChars="200"/>
        <w:rPr>
          <w:rFonts w:ascii="宋体" w:hAnsi="宋体" w:cs="宋体"/>
          <w:kern w:val="0"/>
          <w:szCs w:val="21"/>
        </w:rPr>
      </w:pPr>
      <w:r>
        <w:rPr>
          <w:rFonts w:hint="eastAsia" w:ascii="宋体" w:hAnsi="宋体" w:cs="宋体"/>
          <w:kern w:val="0"/>
          <w:szCs w:val="21"/>
        </w:rPr>
        <w:t>3、巨额赎回情形下的流动性风险管理措施</w:t>
      </w:r>
    </w:p>
    <w:p>
      <w:pPr>
        <w:spacing w:line="360" w:lineRule="auto"/>
        <w:ind w:firstLine="420" w:firstLineChars="200"/>
        <w:rPr>
          <w:rFonts w:ascii="宋体" w:hAnsi="宋体" w:cs="宋体"/>
          <w:kern w:val="0"/>
          <w:szCs w:val="21"/>
        </w:rPr>
      </w:pPr>
      <w:r>
        <w:rPr>
          <w:rFonts w:hint="eastAsia" w:ascii="宋体" w:hAnsi="宋体" w:cs="宋体"/>
          <w:kern w:val="0"/>
          <w:szCs w:val="21"/>
        </w:rPr>
        <w:t>在本基金出现巨额赎回情形下，基金管理人可以根据基金当时的资产组合状况或巨额赎回份额占比情况决定全额赎回或部分延期赎回。同时，如本基金发生巨额赎回且单个基金份额持有人在单个开放日申请赎回基金份额超过基金总份额一定比例的，基金管理人可以对其采取延期办理赎回申请的措施。具体内容详见本招募说明书第八章。</w:t>
      </w:r>
    </w:p>
    <w:p>
      <w:pPr>
        <w:spacing w:line="360" w:lineRule="auto"/>
        <w:ind w:firstLine="420" w:firstLineChars="200"/>
        <w:rPr>
          <w:rFonts w:ascii="宋体" w:hAnsi="宋体" w:cs="宋体"/>
          <w:kern w:val="0"/>
          <w:szCs w:val="21"/>
        </w:rPr>
      </w:pPr>
      <w:r>
        <w:rPr>
          <w:rFonts w:hint="eastAsia" w:ascii="宋体" w:hAnsi="宋体" w:cs="宋体"/>
          <w:kern w:val="0"/>
          <w:szCs w:val="21"/>
        </w:rPr>
        <w:t>4、实施备用的流动性风险管理工具的情形、程序及对投资者的潜在影响</w:t>
      </w:r>
    </w:p>
    <w:p>
      <w:pPr>
        <w:spacing w:line="360" w:lineRule="auto"/>
        <w:ind w:firstLine="420" w:firstLineChars="200"/>
        <w:rPr>
          <w:rFonts w:ascii="宋体" w:hAnsi="宋体" w:cs="宋体"/>
          <w:kern w:val="0"/>
          <w:szCs w:val="21"/>
        </w:rPr>
      </w:pPr>
      <w:r>
        <w:rPr>
          <w:rFonts w:hint="eastAsia" w:ascii="宋体" w:hAnsi="宋体" w:cs="宋体"/>
          <w:kern w:val="0"/>
          <w:szCs w:val="21"/>
        </w:rPr>
        <w:t>本基金可能实施备用的流动性风险管理工具，以更好地应对流动性风险。基金管理人经与基金托管人协商，在确保投资者得到公平对待的前提下，可依照法律法规及基金合同的约定，综合运用各类流动性风险管理工具，对赎回申请等进行适度调整，作为特定情形下基金管理人流动性风险管理的辅助措施，包括但不限于：</w:t>
      </w:r>
    </w:p>
    <w:p>
      <w:pPr>
        <w:spacing w:line="360" w:lineRule="auto"/>
        <w:ind w:firstLine="420" w:firstLineChars="200"/>
        <w:rPr>
          <w:rFonts w:ascii="宋体" w:hAnsi="宋体" w:cs="宋体"/>
          <w:kern w:val="0"/>
          <w:szCs w:val="21"/>
        </w:rPr>
      </w:pPr>
      <w:r>
        <w:rPr>
          <w:rFonts w:hint="eastAsia" w:ascii="宋体" w:hAnsi="宋体" w:cs="宋体"/>
          <w:kern w:val="0"/>
          <w:szCs w:val="21"/>
        </w:rPr>
        <w:t>（1）延期办理巨额赎回申请</w:t>
      </w:r>
    </w:p>
    <w:p>
      <w:pPr>
        <w:spacing w:line="360" w:lineRule="auto"/>
        <w:ind w:firstLine="420" w:firstLineChars="200"/>
        <w:rPr>
          <w:rFonts w:ascii="宋体" w:hAnsi="宋体" w:cs="宋体"/>
          <w:kern w:val="0"/>
          <w:szCs w:val="21"/>
        </w:rPr>
      </w:pPr>
      <w:r>
        <w:rPr>
          <w:rFonts w:ascii="宋体" w:hAnsi="宋体" w:cs="宋体"/>
          <w:kern w:val="0"/>
          <w:szCs w:val="21"/>
        </w:rPr>
        <w:t>投资人具体请参见</w:t>
      </w:r>
      <w:r>
        <w:rPr>
          <w:rFonts w:hint="eastAsia" w:ascii="宋体" w:hAnsi="宋体" w:cs="宋体"/>
          <w:kern w:val="0"/>
          <w:szCs w:val="21"/>
        </w:rPr>
        <w:t>本招募说明书</w:t>
      </w:r>
      <w:r>
        <w:rPr>
          <w:rFonts w:ascii="宋体" w:hAnsi="宋体" w:cs="宋体"/>
          <w:kern w:val="0"/>
          <w:szCs w:val="21"/>
        </w:rPr>
        <w:t>“</w:t>
      </w:r>
      <w:r>
        <w:rPr>
          <w:rFonts w:hint="eastAsia" w:ascii="宋体" w:hAnsi="宋体" w:cs="宋体"/>
          <w:kern w:val="0"/>
          <w:szCs w:val="21"/>
        </w:rPr>
        <w:t>八</w:t>
      </w:r>
      <w:r>
        <w:rPr>
          <w:rFonts w:ascii="宋体" w:hAnsi="宋体" w:cs="宋体"/>
          <w:kern w:val="0"/>
          <w:szCs w:val="21"/>
        </w:rPr>
        <w:t>、基金份额的申购、赎回与转换”中的“</w:t>
      </w:r>
      <w:r>
        <w:rPr>
          <w:rFonts w:hint="eastAsia" w:ascii="宋体" w:hAnsi="宋体" w:cs="宋体"/>
          <w:kern w:val="0"/>
          <w:szCs w:val="21"/>
        </w:rPr>
        <w:t>（十）</w:t>
      </w:r>
      <w:r>
        <w:rPr>
          <w:rFonts w:ascii="宋体" w:hAnsi="宋体" w:cs="宋体"/>
          <w:kern w:val="0"/>
          <w:szCs w:val="21"/>
        </w:rPr>
        <w:t>巨额赎回的情形及处理方式”，详细了解本基金延期办理</w:t>
      </w:r>
      <w:r>
        <w:rPr>
          <w:rFonts w:hint="eastAsia" w:ascii="宋体" w:hAnsi="宋体" w:cs="宋体"/>
          <w:kern w:val="0"/>
          <w:szCs w:val="21"/>
        </w:rPr>
        <w:t>巨额</w:t>
      </w:r>
      <w:r>
        <w:rPr>
          <w:rFonts w:ascii="宋体" w:hAnsi="宋体" w:cs="宋体"/>
          <w:kern w:val="0"/>
          <w:szCs w:val="21"/>
        </w:rPr>
        <w:t>赎回申请的情形及程序。在上述情形下，投资者部分赎回申请可能将被延期办理</w:t>
      </w:r>
      <w:r>
        <w:rPr>
          <w:rFonts w:hint="eastAsia" w:ascii="宋体" w:hAnsi="宋体" w:cs="宋体"/>
          <w:kern w:val="0"/>
          <w:szCs w:val="21"/>
        </w:rPr>
        <w:t>，同时投资人完成基金赎回时的基金份额净值可能与其提交赎回申请时的基金份额净值不同</w:t>
      </w:r>
      <w:r>
        <w:rPr>
          <w:rFonts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（2）暂停接受赎回申请</w:t>
      </w:r>
    </w:p>
    <w:p>
      <w:pPr>
        <w:spacing w:line="360" w:lineRule="auto"/>
        <w:ind w:firstLine="420" w:firstLineChars="200"/>
        <w:rPr>
          <w:rFonts w:ascii="宋体" w:hAnsi="宋体" w:cs="宋体"/>
          <w:kern w:val="0"/>
          <w:szCs w:val="21"/>
        </w:rPr>
      </w:pPr>
      <w:r>
        <w:rPr>
          <w:rFonts w:ascii="宋体" w:hAnsi="宋体" w:cs="宋体"/>
          <w:kern w:val="0"/>
          <w:szCs w:val="21"/>
        </w:rPr>
        <w:t>投资人具体请参见</w:t>
      </w:r>
      <w:r>
        <w:rPr>
          <w:rFonts w:hint="eastAsia" w:ascii="宋体" w:hAnsi="宋体" w:cs="宋体"/>
          <w:kern w:val="0"/>
          <w:szCs w:val="21"/>
        </w:rPr>
        <w:t>本招募说明书</w:t>
      </w:r>
      <w:r>
        <w:rPr>
          <w:rFonts w:ascii="宋体" w:hAnsi="宋体" w:cs="宋体"/>
          <w:kern w:val="0"/>
          <w:szCs w:val="21"/>
        </w:rPr>
        <w:t>“</w:t>
      </w:r>
      <w:r>
        <w:rPr>
          <w:rFonts w:hint="eastAsia" w:ascii="宋体" w:hAnsi="宋体" w:cs="宋体"/>
          <w:kern w:val="0"/>
          <w:szCs w:val="21"/>
        </w:rPr>
        <w:t>八</w:t>
      </w:r>
      <w:r>
        <w:rPr>
          <w:rFonts w:ascii="宋体" w:hAnsi="宋体" w:cs="宋体"/>
          <w:kern w:val="0"/>
          <w:szCs w:val="21"/>
        </w:rPr>
        <w:t>、基金份额的申购、赎回与转换”中的“</w:t>
      </w:r>
      <w:r>
        <w:rPr>
          <w:rFonts w:hint="eastAsia" w:ascii="宋体" w:hAnsi="宋体" w:cs="宋体"/>
          <w:kern w:val="0"/>
          <w:szCs w:val="21"/>
        </w:rPr>
        <w:t>（九）</w:t>
      </w:r>
      <w:r>
        <w:rPr>
          <w:rFonts w:ascii="宋体" w:hAnsi="宋体" w:cs="宋体"/>
          <w:kern w:val="0"/>
          <w:szCs w:val="21"/>
        </w:rPr>
        <w:t>暂停赎回或延缓支付赎回款项的情形”，详细了解本基金暂停接受赎回申请的情形及程序。在此情形下，投资人的部分或全部赎回申请可能被拒绝。</w:t>
      </w:r>
    </w:p>
    <w:p>
      <w:pPr>
        <w:spacing w:line="360" w:lineRule="auto"/>
        <w:ind w:firstLine="420" w:firstLineChars="200"/>
        <w:rPr>
          <w:rFonts w:ascii="宋体" w:hAnsi="宋体" w:cs="宋体"/>
          <w:kern w:val="0"/>
          <w:szCs w:val="21"/>
        </w:rPr>
      </w:pPr>
      <w:r>
        <w:rPr>
          <w:rFonts w:hint="eastAsia" w:ascii="宋体" w:hAnsi="宋体" w:cs="宋体"/>
          <w:kern w:val="0"/>
          <w:szCs w:val="21"/>
        </w:rPr>
        <w:t>（3）延缓支付赎回款项</w:t>
      </w:r>
    </w:p>
    <w:p>
      <w:pPr>
        <w:spacing w:line="360" w:lineRule="auto"/>
        <w:ind w:firstLine="420" w:firstLineChars="200"/>
        <w:rPr>
          <w:rFonts w:ascii="宋体" w:hAnsi="宋体" w:cs="宋体"/>
          <w:kern w:val="0"/>
          <w:szCs w:val="21"/>
        </w:rPr>
      </w:pPr>
      <w:r>
        <w:rPr>
          <w:rFonts w:ascii="宋体" w:hAnsi="宋体" w:cs="宋体"/>
          <w:kern w:val="0"/>
          <w:szCs w:val="21"/>
        </w:rPr>
        <w:t>投资人具体请参见</w:t>
      </w:r>
      <w:r>
        <w:rPr>
          <w:rFonts w:hint="eastAsia" w:ascii="宋体" w:hAnsi="宋体" w:cs="宋体"/>
          <w:kern w:val="0"/>
          <w:szCs w:val="21"/>
        </w:rPr>
        <w:t>本招募说明书</w:t>
      </w:r>
      <w:r>
        <w:rPr>
          <w:rFonts w:ascii="宋体" w:hAnsi="宋体" w:cs="宋体"/>
          <w:kern w:val="0"/>
          <w:szCs w:val="21"/>
        </w:rPr>
        <w:t>“</w:t>
      </w:r>
      <w:r>
        <w:rPr>
          <w:rFonts w:hint="eastAsia" w:ascii="宋体" w:hAnsi="宋体" w:cs="宋体"/>
          <w:kern w:val="0"/>
          <w:szCs w:val="21"/>
        </w:rPr>
        <w:t>八</w:t>
      </w:r>
      <w:r>
        <w:rPr>
          <w:rFonts w:ascii="宋体" w:hAnsi="宋体" w:cs="宋体"/>
          <w:kern w:val="0"/>
          <w:szCs w:val="21"/>
        </w:rPr>
        <w:t>、基金份额的申购、赎回与转换”中的“</w:t>
      </w:r>
      <w:r>
        <w:rPr>
          <w:rFonts w:hint="eastAsia" w:ascii="宋体" w:hAnsi="宋体" w:cs="宋体"/>
          <w:kern w:val="0"/>
          <w:szCs w:val="21"/>
        </w:rPr>
        <w:t>（九）</w:t>
      </w:r>
      <w:r>
        <w:rPr>
          <w:rFonts w:ascii="宋体" w:hAnsi="宋体" w:cs="宋体"/>
          <w:kern w:val="0"/>
          <w:szCs w:val="21"/>
        </w:rPr>
        <w:t>暂停赎回或延缓支付赎回款项的情形”，详细了解本基金延缓支付赎回款项的情形及程序。在此情形下，投资人接收赎回款项的时间将可能比一般正常情形下有所延迟。</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）暂停基金估值</w:t>
      </w:r>
    </w:p>
    <w:p>
      <w:pPr>
        <w:spacing w:line="360" w:lineRule="auto"/>
        <w:ind w:firstLine="420" w:firstLineChars="200"/>
        <w:rPr>
          <w:rFonts w:ascii="宋体" w:hAnsi="宋体" w:cs="宋体"/>
          <w:kern w:val="0"/>
          <w:szCs w:val="21"/>
        </w:rPr>
      </w:pPr>
      <w:bookmarkStart w:id="214" w:name="OLE_LINK32"/>
      <w:r>
        <w:rPr>
          <w:rFonts w:hint="eastAsia" w:ascii="宋体" w:hAnsi="宋体" w:cs="宋体"/>
          <w:kern w:val="0"/>
          <w:szCs w:val="21"/>
        </w:rPr>
        <w:t>当特定资产占前一估值日基金资产净值50%以上的</w:t>
      </w:r>
      <w:bookmarkEnd w:id="214"/>
      <w:r>
        <w:rPr>
          <w:rFonts w:hint="eastAsia" w:ascii="宋体" w:hAnsi="宋体" w:cs="宋体"/>
          <w:kern w:val="0"/>
          <w:szCs w:val="21"/>
        </w:rPr>
        <w:t>，经与基金托管人协商一致，本基金应当暂停基金估值。</w:t>
      </w:r>
      <w:r>
        <w:rPr>
          <w:rFonts w:ascii="宋体" w:hAnsi="宋体" w:cs="宋体"/>
          <w:kern w:val="0"/>
          <w:szCs w:val="21"/>
        </w:rPr>
        <w:t>在此情形下，投资人没有可供参考的基金份额净值，基金申购赎回申请或被暂停，或被延缓支付赎回款项。</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）收取短期赎回费</w:t>
      </w:r>
    </w:p>
    <w:p>
      <w:pPr>
        <w:spacing w:line="360" w:lineRule="auto"/>
        <w:ind w:firstLine="420" w:firstLineChars="200"/>
        <w:rPr>
          <w:rFonts w:ascii="宋体" w:hAnsi="宋体" w:cs="宋体"/>
          <w:kern w:val="0"/>
          <w:szCs w:val="21"/>
        </w:rPr>
      </w:pPr>
      <w:r>
        <w:rPr>
          <w:rFonts w:hint="eastAsia" w:ascii="宋体" w:hAnsi="宋体" w:cs="宋体"/>
          <w:kern w:val="0"/>
          <w:szCs w:val="21"/>
        </w:rPr>
        <w:t>本基金对持续持有期少于7日的投资者收取不低于1.5%的赎回费，并将上述赎回费全额计入基金财产。</w:t>
      </w:r>
    </w:p>
    <w:p>
      <w:pPr>
        <w:spacing w:line="360" w:lineRule="auto"/>
        <w:ind w:firstLine="420" w:firstLineChars="200"/>
        <w:rPr>
          <w:rFonts w:ascii="宋体" w:hAnsi="宋体" w:cs="宋体"/>
          <w:kern w:val="0"/>
          <w:szCs w:val="21"/>
        </w:rPr>
      </w:pPr>
      <w:r>
        <w:rPr>
          <w:rFonts w:hint="eastAsia" w:ascii="宋体" w:hAnsi="宋体" w:cs="宋体"/>
          <w:kern w:val="0"/>
          <w:szCs w:val="21"/>
        </w:rPr>
        <w:t>（6）摆动定价</w:t>
      </w:r>
    </w:p>
    <w:p>
      <w:pPr>
        <w:spacing w:line="360" w:lineRule="auto"/>
        <w:ind w:firstLine="420" w:firstLineChars="200"/>
        <w:rPr>
          <w:rFonts w:ascii="宋体" w:hAnsi="宋体" w:cs="宋体"/>
          <w:kern w:val="0"/>
          <w:szCs w:val="21"/>
        </w:rPr>
      </w:pPr>
      <w:r>
        <w:rPr>
          <w:rFonts w:hint="eastAsia" w:ascii="宋体" w:hAnsi="宋体" w:cs="宋体"/>
          <w:kern w:val="0"/>
          <w:szCs w:val="21"/>
        </w:rPr>
        <w:t>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20" w:firstLineChars="200"/>
        <w:rPr>
          <w:rFonts w:ascii="宋体" w:hAnsi="宋体" w:cs="宋体"/>
          <w:kern w:val="0"/>
          <w:szCs w:val="21"/>
        </w:rPr>
      </w:pPr>
      <w:r>
        <w:rPr>
          <w:rFonts w:hint="eastAsia" w:ascii="宋体" w:hAnsi="宋体" w:cs="宋体"/>
          <w:kern w:val="0"/>
          <w:szCs w:val="21"/>
        </w:rPr>
        <w:t>（7）实施侧袋机制</w:t>
      </w:r>
    </w:p>
    <w:p>
      <w:pPr>
        <w:spacing w:line="360" w:lineRule="auto"/>
        <w:ind w:firstLine="420" w:firstLineChars="200"/>
        <w:rPr>
          <w:rFonts w:ascii="宋体" w:hAnsi="宋体" w:cs="宋体"/>
          <w:kern w:val="0"/>
          <w:szCs w:val="21"/>
        </w:rPr>
      </w:pPr>
      <w:r>
        <w:rPr>
          <w:rFonts w:ascii="宋体" w:hAnsi="宋体" w:cs="宋体"/>
          <w:kern w:val="0"/>
          <w:szCs w:val="21"/>
        </w:rPr>
        <w:t>投资人具体请参见</w:t>
      </w:r>
      <w:r>
        <w:rPr>
          <w:rFonts w:hint="eastAsia" w:ascii="宋体" w:hAnsi="宋体" w:cs="宋体"/>
          <w:kern w:val="0"/>
          <w:szCs w:val="21"/>
        </w:rPr>
        <w:t>本招募说明书</w:t>
      </w:r>
      <w:r>
        <w:rPr>
          <w:rFonts w:ascii="宋体" w:hAnsi="宋体" w:cs="宋体"/>
          <w:kern w:val="0"/>
          <w:szCs w:val="21"/>
        </w:rPr>
        <w:t>“</w:t>
      </w:r>
      <w:r>
        <w:rPr>
          <w:rFonts w:hint="eastAsia" w:ascii="宋体" w:hAnsi="宋体" w:cs="宋体"/>
          <w:kern w:val="0"/>
          <w:szCs w:val="21"/>
        </w:rPr>
        <w:t>十六、侧袋机制</w:t>
      </w:r>
      <w:r>
        <w:rPr>
          <w:rFonts w:ascii="宋体" w:hAnsi="宋体" w:cs="宋体"/>
          <w:kern w:val="0"/>
          <w:szCs w:val="21"/>
        </w:rPr>
        <w:t>”，详细了解本基金</w:t>
      </w:r>
      <w:r>
        <w:rPr>
          <w:rFonts w:hint="eastAsia" w:ascii="宋体" w:hAnsi="宋体" w:cs="宋体"/>
          <w:kern w:val="0"/>
          <w:szCs w:val="21"/>
        </w:rPr>
        <w:t>实施侧袋机制</w:t>
      </w:r>
      <w:r>
        <w:rPr>
          <w:rFonts w:ascii="宋体" w:hAnsi="宋体" w:cs="宋体"/>
          <w:kern w:val="0"/>
          <w:szCs w:val="21"/>
        </w:rPr>
        <w:t>的情形及程序。</w:t>
      </w:r>
    </w:p>
    <w:p>
      <w:pPr>
        <w:spacing w:line="360" w:lineRule="auto"/>
        <w:ind w:firstLine="420" w:firstLineChars="200"/>
        <w:rPr>
          <w:rFonts w:ascii="宋体" w:hAnsi="宋体" w:cs="宋体"/>
          <w:kern w:val="0"/>
          <w:szCs w:val="21"/>
        </w:rPr>
      </w:pPr>
      <w:r>
        <w:rPr>
          <w:rFonts w:hint="eastAsia" w:ascii="宋体" w:hAnsi="宋体" w:cs="宋体"/>
          <w:kern w:val="0"/>
          <w:szCs w:val="21"/>
        </w:rPr>
        <w:t>当基金管理人实施流动性风险管理工具时，可能对投资者具有一定的潜在影响，包括但不限于不能申购本基金、赎回申请不能确认或者赎回款项延迟到账、如持有期限少于7日会产生较高的赎回费造成收益损失等、采用摆动定价时还将产生更高的申购赎回成本。提示投资者了解自身的流动性偏好、合理做好投资安排。</w:t>
      </w:r>
    </w:p>
    <w:p>
      <w:pPr>
        <w:spacing w:line="360" w:lineRule="auto"/>
        <w:ind w:firstLine="420" w:firstLineChars="200"/>
        <w:rPr>
          <w:rFonts w:ascii="宋体" w:hAnsi="宋体" w:cs="宋体"/>
          <w:kern w:val="0"/>
          <w:szCs w:val="21"/>
        </w:rPr>
      </w:pPr>
      <w:r>
        <w:rPr>
          <w:rFonts w:hint="eastAsia" w:ascii="宋体" w:hAnsi="宋体" w:cs="宋体"/>
          <w:kern w:val="0"/>
          <w:szCs w:val="21"/>
        </w:rPr>
        <w:t>5、启用侧袋机制的风险</w:t>
      </w:r>
    </w:p>
    <w:p>
      <w:pPr>
        <w:spacing w:line="360" w:lineRule="auto"/>
        <w:ind w:firstLine="420" w:firstLineChars="200"/>
        <w:rPr>
          <w:rFonts w:ascii="宋体" w:hAnsi="宋体" w:cs="宋体"/>
          <w:kern w:val="0"/>
          <w:szCs w:val="21"/>
        </w:rPr>
      </w:pPr>
      <w:r>
        <w:rPr>
          <w:rFonts w:hint="eastAsia" w:ascii="宋体" w:hAnsi="宋体" w:cs="宋体"/>
          <w:kern w:val="0"/>
          <w:szCs w:val="21"/>
        </w:rPr>
        <w:t>当本基金持有特定资产且存在或潜在大额赎回申请时，基金管理人经与基金托管人协商一致，并咨询会计师事务所意见后，可以依照法律法规及基金合同的约定启用侧袋机制。侧袋机制实施期间，侧袋账户份额将停止披露基金净值信息，并不得办理申购、赎回和转换，基金份额持有人可能面临无法及时获得侧袋账户对应部分的资金的流动性风险。基金管理人将按照基金份额持有人利益最大化原则，采取将特定资产予以处置变现等方式，及时向侧袋账户份额持有人支付对应款项，但因特定资产的变现时间具有不确定性，最终变现价格也具有不确定性并且有可能大幅低于启用侧袋机制时的特定资产的估值，基金份额持有人可能因此面临损失。</w:t>
      </w:r>
    </w:p>
    <w:p>
      <w:pPr>
        <w:spacing w:line="360" w:lineRule="auto"/>
        <w:ind w:firstLine="420" w:firstLineChars="200"/>
        <w:rPr>
          <w:rFonts w:ascii="宋体" w:hAnsi="宋体" w:cs="宋体"/>
          <w:kern w:val="0"/>
          <w:szCs w:val="21"/>
        </w:rPr>
      </w:pPr>
      <w:r>
        <w:rPr>
          <w:rFonts w:hint="eastAsia" w:ascii="宋体" w:hAnsi="宋体" w:cs="宋体"/>
          <w:kern w:val="0"/>
          <w:szCs w:val="21"/>
        </w:rPr>
        <w:t>实施侧袋机制期间，因</w:t>
      </w:r>
      <w:r>
        <w:rPr>
          <w:rFonts w:hint="eastAsia" w:ascii="宋体" w:hAnsi="宋体"/>
          <w:bCs/>
        </w:rPr>
        <w:t>本</w:t>
      </w:r>
      <w:r>
        <w:rPr>
          <w:rFonts w:hint="eastAsia" w:ascii="宋体" w:hAnsi="宋体" w:cs="宋体"/>
          <w:kern w:val="0"/>
          <w:szCs w:val="21"/>
        </w:rPr>
        <w:t>基金不披露侧袋账户的基金净值信息，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基金管理人将根据主袋账户运作情况合理确定申购政策，因此实施侧袋机制后主袋账户份额存在暂停申购的可能。</w:t>
      </w:r>
    </w:p>
    <w:p>
      <w:pPr>
        <w:spacing w:line="360" w:lineRule="auto"/>
        <w:ind w:firstLine="420" w:firstLineChars="200"/>
        <w:rPr>
          <w:rFonts w:ascii="宋体" w:hAnsi="宋体" w:cs="宋体"/>
          <w:kern w:val="0"/>
          <w:szCs w:val="21"/>
        </w:rPr>
      </w:pPr>
      <w:r>
        <w:rPr>
          <w:rFonts w:hint="eastAsia" w:ascii="宋体" w:hAnsi="宋体" w:cs="宋体"/>
          <w:kern w:val="0"/>
          <w:szCs w:val="21"/>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pPr>
        <w:spacing w:line="360" w:lineRule="auto"/>
        <w:ind w:firstLine="420" w:firstLineChars="200"/>
        <w:rPr>
          <w:rFonts w:ascii="宋体" w:hAnsi="宋体" w:cs="宋体"/>
          <w:kern w:val="0"/>
          <w:szCs w:val="21"/>
        </w:rPr>
      </w:pPr>
      <w:r>
        <w:rPr>
          <w:rFonts w:hint="eastAsia" w:ascii="宋体" w:hAnsi="宋体" w:cs="宋体"/>
          <w:kern w:val="0"/>
          <w:szCs w:val="21"/>
        </w:rPr>
        <w:t>（七）本基金法律文件风险收益特征表述与销售机构基金风险评价可能不一致的风险</w:t>
      </w:r>
    </w:p>
    <w:p>
      <w:pPr>
        <w:spacing w:line="360" w:lineRule="auto"/>
        <w:ind w:firstLine="420" w:firstLineChars="200"/>
        <w:rPr>
          <w:rFonts w:ascii="宋体" w:hAnsi="宋体" w:cs="宋体"/>
          <w:kern w:val="0"/>
          <w:szCs w:val="21"/>
        </w:rPr>
      </w:pPr>
      <w:r>
        <w:rPr>
          <w:rFonts w:hint="eastAsia" w:ascii="宋体" w:hAnsi="宋体" w:cs="宋体"/>
          <w:kern w:val="0"/>
          <w:szCs w:val="21"/>
        </w:rPr>
        <w:t>本基金法律文件投资章节有关风险收益特征的表述是基于投资范围、投资比例、证券期货市场普遍规律等做出的概述性描述，代表了一般市场情况下本基金的长期风险收益特征。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pPr>
        <w:spacing w:line="360" w:lineRule="auto"/>
        <w:ind w:firstLine="420" w:firstLineChars="200"/>
        <w:rPr>
          <w:rFonts w:ascii="宋体" w:hAnsi="宋体" w:cs="宋体"/>
          <w:kern w:val="0"/>
          <w:szCs w:val="21"/>
        </w:rPr>
      </w:pPr>
      <w:r>
        <w:rPr>
          <w:rFonts w:hint="eastAsia" w:ascii="宋体" w:hAnsi="宋体" w:cs="宋体"/>
          <w:kern w:val="0"/>
          <w:szCs w:val="21"/>
        </w:rPr>
        <w:t>（八）其他风险</w:t>
      </w:r>
    </w:p>
    <w:p>
      <w:pPr>
        <w:spacing w:line="360" w:lineRule="auto"/>
        <w:ind w:firstLine="420" w:firstLineChars="200"/>
        <w:rPr>
          <w:rFonts w:hAnsi="宋体"/>
          <w:szCs w:val="21"/>
        </w:rPr>
      </w:pPr>
      <w:r>
        <w:rPr>
          <w:rFonts w:hint="eastAsia" w:ascii="宋体" w:hAnsi="宋体" w:cs="宋体"/>
          <w:kern w:val="0"/>
          <w:szCs w:val="21"/>
        </w:rPr>
        <w:t>战争、自然灾害等不可抗力因素的出现，将会严重影响证券市场的运行，可能导致基金资产的损失。金融市场危机、行业竞争、代理商违约等超出基金管理人自身直接控制能力之外的风险，可能导致基金或者基金份额持有人利益受损。</w:t>
      </w:r>
    </w:p>
    <w:p>
      <w:pPr>
        <w:pStyle w:val="4"/>
        <w:spacing w:before="400" w:after="400"/>
        <w:rPr>
          <w:rFonts w:hAnsi="宋体"/>
          <w:kern w:val="0"/>
          <w:sz w:val="32"/>
        </w:rPr>
      </w:pPr>
      <w:r>
        <w:rPr>
          <w:rFonts w:hAnsi="宋体"/>
          <w:szCs w:val="21"/>
        </w:rPr>
        <w:br w:type="page"/>
      </w:r>
      <w:bookmarkStart w:id="215" w:name="_Toc203357168"/>
      <w:bookmarkStart w:id="216" w:name="_Toc203806303"/>
      <w:bookmarkStart w:id="217" w:name="_Toc116052797"/>
      <w:bookmarkStart w:id="218" w:name="_Toc55987074"/>
      <w:bookmarkStart w:id="219" w:name="_Toc116052563"/>
      <w:bookmarkStart w:id="220" w:name="_Hlk29763812"/>
      <w:r>
        <w:rPr>
          <w:rFonts w:hint="eastAsia" w:hAnsi="宋体"/>
          <w:kern w:val="0"/>
          <w:sz w:val="32"/>
        </w:rPr>
        <w:t>十八</w:t>
      </w:r>
      <w:r>
        <w:rPr>
          <w:rFonts w:hAnsi="宋体"/>
          <w:kern w:val="0"/>
          <w:sz w:val="32"/>
        </w:rPr>
        <w:t>、基金合同的变更、终止与基金财产的清算</w:t>
      </w:r>
      <w:bookmarkEnd w:id="215"/>
      <w:bookmarkEnd w:id="216"/>
      <w:bookmarkEnd w:id="217"/>
      <w:bookmarkEnd w:id="218"/>
      <w:bookmarkEnd w:id="219"/>
    </w:p>
    <w:p>
      <w:pPr>
        <w:spacing w:line="360" w:lineRule="auto"/>
        <w:ind w:firstLine="420" w:firstLineChars="200"/>
        <w:rPr>
          <w:rFonts w:ascii="宋体" w:hAnsi="宋体" w:cs="宋体"/>
          <w:kern w:val="0"/>
          <w:szCs w:val="21"/>
        </w:rPr>
      </w:pPr>
      <w:bookmarkStart w:id="221" w:name="_Hlt130184353"/>
      <w:bookmarkEnd w:id="221"/>
      <w:bookmarkStart w:id="222" w:name="_Toc79392639"/>
      <w:bookmarkStart w:id="223" w:name="_Toc63171764"/>
      <w:bookmarkStart w:id="224" w:name="_Toc530223198"/>
      <w:r>
        <w:rPr>
          <w:rFonts w:hint="eastAsia" w:ascii="宋体" w:hAnsi="宋体" w:cs="宋体"/>
          <w:kern w:val="0"/>
          <w:szCs w:val="21"/>
        </w:rPr>
        <w:t>（一）</w:t>
      </w:r>
      <w:r>
        <w:rPr>
          <w:rFonts w:ascii="宋体" w:hAnsi="宋体" w:cs="宋体"/>
          <w:kern w:val="0"/>
          <w:szCs w:val="21"/>
        </w:rPr>
        <w:t>《基金合同》的变更</w:t>
      </w:r>
      <w:bookmarkEnd w:id="222"/>
    </w:p>
    <w:p>
      <w:pPr>
        <w:spacing w:line="360" w:lineRule="auto"/>
        <w:ind w:firstLine="420" w:firstLineChars="200"/>
        <w:rPr>
          <w:rFonts w:ascii="宋体" w:hAnsi="宋体" w:cs="宋体"/>
          <w:kern w:val="0"/>
          <w:szCs w:val="21"/>
        </w:rPr>
      </w:pPr>
      <w:r>
        <w:rPr>
          <w:rFonts w:hint="eastAsia" w:ascii="宋体" w:hAnsi="宋体" w:cs="宋体"/>
          <w:kern w:val="0"/>
          <w:szCs w:val="21"/>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20" w:firstLineChars="200"/>
        <w:rPr>
          <w:rFonts w:ascii="宋体" w:hAnsi="宋体" w:cs="宋体"/>
          <w:kern w:val="0"/>
          <w:szCs w:val="21"/>
        </w:rPr>
      </w:pPr>
      <w:r>
        <w:rPr>
          <w:rFonts w:hint="eastAsia" w:ascii="宋体" w:hAnsi="宋体" w:cs="宋体"/>
          <w:kern w:val="0"/>
          <w:szCs w:val="21"/>
        </w:rPr>
        <w:t>2、关于《基金合同》变更的基金份额持有人大会决议自生效后方可执行，自决议生效后依照《信息披露办法》的有关规定在规定媒介公告。</w:t>
      </w:r>
    </w:p>
    <w:p>
      <w:pPr>
        <w:spacing w:line="360" w:lineRule="auto"/>
        <w:ind w:firstLine="420" w:firstLineChars="200"/>
        <w:rPr>
          <w:rFonts w:ascii="宋体" w:hAnsi="宋体" w:cs="宋体"/>
          <w:kern w:val="0"/>
          <w:szCs w:val="21"/>
        </w:rPr>
      </w:pPr>
      <w:r>
        <w:rPr>
          <w:rFonts w:hint="eastAsia" w:ascii="宋体" w:hAnsi="宋体" w:cs="宋体"/>
          <w:kern w:val="0"/>
          <w:szCs w:val="21"/>
        </w:rPr>
        <w:t>（二）</w:t>
      </w:r>
      <w:r>
        <w:rPr>
          <w:rFonts w:ascii="宋体" w:hAnsi="宋体" w:cs="宋体"/>
          <w:kern w:val="0"/>
          <w:szCs w:val="21"/>
        </w:rPr>
        <w:t>《基金合同》的终止事由</w:t>
      </w:r>
    </w:p>
    <w:p>
      <w:pPr>
        <w:spacing w:line="360" w:lineRule="auto"/>
        <w:ind w:firstLine="420" w:firstLineChars="200"/>
        <w:rPr>
          <w:rFonts w:ascii="宋体" w:hAnsi="宋体" w:cs="宋体"/>
          <w:kern w:val="0"/>
          <w:szCs w:val="21"/>
        </w:rPr>
      </w:pPr>
      <w:r>
        <w:rPr>
          <w:rFonts w:hint="eastAsia" w:ascii="宋体" w:hAnsi="宋体" w:cs="宋体"/>
          <w:kern w:val="0"/>
          <w:szCs w:val="21"/>
        </w:rPr>
        <w:t>有下列情形之一的，经履行相关程序后，《基金合同》应当终止：</w:t>
      </w:r>
    </w:p>
    <w:p>
      <w:pPr>
        <w:spacing w:line="360" w:lineRule="auto"/>
        <w:ind w:firstLine="420" w:firstLineChars="200"/>
        <w:rPr>
          <w:rFonts w:ascii="宋体" w:hAnsi="宋体" w:cs="宋体"/>
          <w:kern w:val="0"/>
          <w:szCs w:val="21"/>
        </w:rPr>
      </w:pPr>
      <w:r>
        <w:rPr>
          <w:rFonts w:hint="eastAsia" w:ascii="宋体" w:hAnsi="宋体" w:cs="宋体"/>
          <w:kern w:val="0"/>
          <w:szCs w:val="21"/>
        </w:rPr>
        <w:t>1、基金份额持有人大会决定终止的；</w:t>
      </w:r>
    </w:p>
    <w:p>
      <w:pPr>
        <w:spacing w:line="360" w:lineRule="auto"/>
        <w:ind w:firstLine="420" w:firstLineChars="200"/>
        <w:rPr>
          <w:rFonts w:ascii="宋体" w:hAnsi="宋体" w:cs="宋体"/>
          <w:kern w:val="0"/>
          <w:szCs w:val="21"/>
        </w:rPr>
      </w:pPr>
      <w:r>
        <w:rPr>
          <w:rFonts w:hint="eastAsia" w:ascii="宋体" w:hAnsi="宋体" w:cs="宋体"/>
          <w:kern w:val="0"/>
          <w:szCs w:val="21"/>
        </w:rPr>
        <w:t>2、基金管理人、基金托管人职责终止，在6个月内没有新基金管理人、新基金托管人承接的；</w:t>
      </w:r>
    </w:p>
    <w:p>
      <w:pPr>
        <w:spacing w:line="360" w:lineRule="auto"/>
        <w:ind w:firstLine="420" w:firstLineChars="200"/>
        <w:rPr>
          <w:rFonts w:ascii="宋体" w:hAnsi="宋体" w:cs="宋体"/>
          <w:kern w:val="0"/>
          <w:szCs w:val="21"/>
        </w:rPr>
      </w:pPr>
      <w:r>
        <w:rPr>
          <w:rFonts w:hint="eastAsia" w:ascii="宋体" w:hAnsi="宋体" w:cs="宋体"/>
          <w:kern w:val="0"/>
          <w:szCs w:val="21"/>
        </w:rPr>
        <w:t>3、《基金合同》约定的其他情形；</w:t>
      </w:r>
    </w:p>
    <w:p>
      <w:pPr>
        <w:spacing w:line="360" w:lineRule="auto"/>
        <w:ind w:firstLine="420" w:firstLineChars="200"/>
        <w:rPr>
          <w:rFonts w:ascii="宋体" w:hAnsi="宋体" w:cs="宋体"/>
          <w:kern w:val="0"/>
          <w:szCs w:val="21"/>
        </w:rPr>
      </w:pPr>
      <w:r>
        <w:rPr>
          <w:rFonts w:hint="eastAsia" w:ascii="宋体" w:hAnsi="宋体" w:cs="宋体"/>
          <w:kern w:val="0"/>
          <w:szCs w:val="21"/>
        </w:rPr>
        <w:t>4、相关法律法规和中国证监会规定的其他情况。</w:t>
      </w:r>
    </w:p>
    <w:p>
      <w:pPr>
        <w:spacing w:line="360" w:lineRule="auto"/>
        <w:ind w:firstLine="420" w:firstLineChars="200"/>
        <w:rPr>
          <w:rFonts w:ascii="宋体" w:hAnsi="宋体" w:cs="宋体"/>
          <w:kern w:val="0"/>
          <w:szCs w:val="21"/>
        </w:rPr>
      </w:pPr>
      <w:r>
        <w:rPr>
          <w:rFonts w:hint="eastAsia" w:ascii="宋体" w:hAnsi="宋体" w:cs="宋体"/>
          <w:kern w:val="0"/>
          <w:szCs w:val="21"/>
        </w:rPr>
        <w:t>（三）</w:t>
      </w:r>
      <w:r>
        <w:rPr>
          <w:rFonts w:ascii="宋体" w:hAnsi="宋体" w:cs="宋体"/>
          <w:kern w:val="0"/>
          <w:szCs w:val="21"/>
        </w:rPr>
        <w:t>基金财产的清算</w:t>
      </w:r>
    </w:p>
    <w:p>
      <w:pPr>
        <w:spacing w:line="360" w:lineRule="auto"/>
        <w:ind w:firstLine="420" w:firstLineChars="200"/>
        <w:rPr>
          <w:rFonts w:ascii="宋体" w:hAnsi="宋体" w:cs="宋体"/>
          <w:kern w:val="0"/>
          <w:szCs w:val="21"/>
        </w:rPr>
      </w:pPr>
      <w:r>
        <w:rPr>
          <w:rFonts w:hint="eastAsia" w:ascii="宋体" w:hAnsi="宋体" w:cs="宋体"/>
          <w:kern w:val="0"/>
          <w:szCs w:val="21"/>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20" w:firstLineChars="200"/>
        <w:rPr>
          <w:rFonts w:ascii="宋体" w:hAnsi="宋体" w:cs="宋体"/>
          <w:kern w:val="0"/>
          <w:szCs w:val="21"/>
        </w:rPr>
      </w:pPr>
      <w:r>
        <w:rPr>
          <w:rFonts w:hint="eastAsia" w:ascii="宋体" w:hAnsi="宋体" w:cs="宋体"/>
          <w:kern w:val="0"/>
          <w:szCs w:val="21"/>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20" w:firstLineChars="200"/>
        <w:rPr>
          <w:rFonts w:ascii="宋体" w:hAnsi="宋体" w:cs="宋体"/>
          <w:kern w:val="0"/>
          <w:szCs w:val="21"/>
        </w:rPr>
      </w:pPr>
      <w:r>
        <w:rPr>
          <w:rFonts w:hint="eastAsia" w:ascii="宋体" w:hAnsi="宋体" w:cs="宋体"/>
          <w:kern w:val="0"/>
          <w:szCs w:val="21"/>
        </w:rPr>
        <w:t>3、在基金财产清算过程中，基金管理人和基金托管人应各自履行职责，继续忠实、勤勉、尽责地履行基金合同和托管协议规定的义务，维护基金份额持有人的合法权益。</w:t>
      </w:r>
    </w:p>
    <w:p>
      <w:pPr>
        <w:spacing w:line="360" w:lineRule="auto"/>
        <w:ind w:firstLine="420" w:firstLineChars="200"/>
        <w:rPr>
          <w:rFonts w:ascii="宋体" w:hAnsi="宋体" w:cs="宋体"/>
          <w:kern w:val="0"/>
          <w:szCs w:val="21"/>
        </w:rPr>
      </w:pPr>
      <w:r>
        <w:rPr>
          <w:rFonts w:hint="eastAsia" w:ascii="宋体" w:hAnsi="宋体" w:cs="宋体"/>
          <w:kern w:val="0"/>
          <w:szCs w:val="21"/>
        </w:rPr>
        <w:t>4、基金财产清算小组职责：基金财产清算小组负责基金财产的保管、清理、估价、变现和分配。基金财产清算小组可以依法进行必要的民事活动。</w:t>
      </w:r>
    </w:p>
    <w:p>
      <w:pPr>
        <w:spacing w:line="360" w:lineRule="auto"/>
        <w:ind w:firstLine="420" w:firstLineChars="200"/>
        <w:rPr>
          <w:rFonts w:ascii="宋体" w:hAnsi="宋体" w:cs="宋体"/>
          <w:kern w:val="0"/>
          <w:szCs w:val="21"/>
        </w:rPr>
      </w:pPr>
      <w:r>
        <w:rPr>
          <w:rFonts w:hint="eastAsia" w:ascii="宋体" w:hAnsi="宋体" w:cs="宋体"/>
          <w:kern w:val="0"/>
          <w:szCs w:val="21"/>
        </w:rPr>
        <w:t>5、基金财产清算程序：</w:t>
      </w:r>
    </w:p>
    <w:p>
      <w:pPr>
        <w:spacing w:line="360" w:lineRule="auto"/>
        <w:ind w:firstLine="420" w:firstLineChars="200"/>
        <w:rPr>
          <w:rFonts w:ascii="宋体" w:hAnsi="宋体" w:cs="宋体"/>
          <w:kern w:val="0"/>
          <w:szCs w:val="21"/>
        </w:rPr>
      </w:pPr>
      <w:r>
        <w:rPr>
          <w:rFonts w:hint="eastAsia" w:ascii="宋体" w:hAnsi="宋体" w:cs="宋体"/>
          <w:kern w:val="0"/>
          <w:szCs w:val="21"/>
        </w:rPr>
        <w:t>（1）《基金合同》终止情形出现时，由基金财产清算小组统一接管基金；</w:t>
      </w:r>
    </w:p>
    <w:p>
      <w:pPr>
        <w:spacing w:line="360" w:lineRule="auto"/>
        <w:ind w:firstLine="420" w:firstLineChars="200"/>
        <w:rPr>
          <w:rFonts w:ascii="宋体" w:hAnsi="宋体" w:cs="宋体"/>
          <w:kern w:val="0"/>
          <w:szCs w:val="21"/>
        </w:rPr>
      </w:pPr>
      <w:r>
        <w:rPr>
          <w:rFonts w:hint="eastAsia" w:ascii="宋体" w:hAnsi="宋体" w:cs="宋体"/>
          <w:kern w:val="0"/>
          <w:szCs w:val="21"/>
        </w:rPr>
        <w:t>（2）对基金财产和债权债务进行清理和确认；</w:t>
      </w:r>
    </w:p>
    <w:p>
      <w:pPr>
        <w:spacing w:line="360" w:lineRule="auto"/>
        <w:ind w:firstLine="420" w:firstLineChars="200"/>
        <w:rPr>
          <w:rFonts w:ascii="宋体" w:hAnsi="宋体" w:cs="宋体"/>
          <w:kern w:val="0"/>
          <w:szCs w:val="21"/>
        </w:rPr>
      </w:pPr>
      <w:r>
        <w:rPr>
          <w:rFonts w:hint="eastAsia" w:ascii="宋体" w:hAnsi="宋体" w:cs="宋体"/>
          <w:kern w:val="0"/>
          <w:szCs w:val="21"/>
        </w:rPr>
        <w:t>（3）对基金财产进行估值和变现；</w:t>
      </w:r>
    </w:p>
    <w:p>
      <w:pPr>
        <w:spacing w:line="360" w:lineRule="auto"/>
        <w:ind w:firstLine="420" w:firstLineChars="200"/>
        <w:rPr>
          <w:rFonts w:ascii="宋体" w:hAnsi="宋体" w:cs="宋体"/>
          <w:kern w:val="0"/>
          <w:szCs w:val="21"/>
        </w:rPr>
      </w:pPr>
      <w:r>
        <w:rPr>
          <w:rFonts w:hint="eastAsia" w:ascii="宋体" w:hAnsi="宋体" w:cs="宋体"/>
          <w:kern w:val="0"/>
          <w:szCs w:val="21"/>
        </w:rPr>
        <w:t>（4）制作清算报告；</w:t>
      </w:r>
    </w:p>
    <w:p>
      <w:pPr>
        <w:spacing w:line="360" w:lineRule="auto"/>
        <w:ind w:firstLine="420" w:firstLineChars="200"/>
        <w:rPr>
          <w:rFonts w:ascii="宋体" w:hAnsi="宋体" w:cs="宋体"/>
          <w:kern w:val="0"/>
          <w:szCs w:val="21"/>
        </w:rPr>
      </w:pPr>
      <w:r>
        <w:rPr>
          <w:rFonts w:hint="eastAsia" w:ascii="宋体" w:hAnsi="宋体" w:cs="宋体"/>
          <w:kern w:val="0"/>
          <w:szCs w:val="21"/>
        </w:rPr>
        <w:t>（5）聘请会计师事务所对清算报告进行外部审计，聘请律师事务所对清算报告出具法律意见书；</w:t>
      </w:r>
    </w:p>
    <w:p>
      <w:pPr>
        <w:spacing w:line="360" w:lineRule="auto"/>
        <w:ind w:firstLine="420" w:firstLineChars="200"/>
        <w:rPr>
          <w:rFonts w:ascii="宋体" w:hAnsi="宋体" w:cs="宋体"/>
          <w:kern w:val="0"/>
          <w:szCs w:val="21"/>
        </w:rPr>
      </w:pPr>
      <w:r>
        <w:rPr>
          <w:rFonts w:hint="eastAsia" w:ascii="宋体" w:hAnsi="宋体" w:cs="宋体"/>
          <w:kern w:val="0"/>
          <w:szCs w:val="21"/>
        </w:rPr>
        <w:t>（6）将清算报告报中国证监会备案并公告；</w:t>
      </w:r>
    </w:p>
    <w:p>
      <w:pPr>
        <w:spacing w:line="360" w:lineRule="auto"/>
        <w:ind w:firstLine="420" w:firstLineChars="200"/>
        <w:rPr>
          <w:rFonts w:ascii="宋体" w:hAnsi="宋体" w:cs="宋体"/>
          <w:kern w:val="0"/>
          <w:szCs w:val="21"/>
        </w:rPr>
      </w:pPr>
      <w:r>
        <w:rPr>
          <w:rFonts w:hint="eastAsia" w:ascii="宋体" w:hAnsi="宋体" w:cs="宋体"/>
          <w:kern w:val="0"/>
          <w:szCs w:val="21"/>
        </w:rPr>
        <w:t>（7）对基金剩余财产进行分配。</w:t>
      </w:r>
    </w:p>
    <w:p>
      <w:pPr>
        <w:spacing w:line="360" w:lineRule="auto"/>
        <w:ind w:firstLine="420" w:firstLineChars="200"/>
        <w:rPr>
          <w:rFonts w:ascii="宋体" w:hAnsi="宋体" w:cs="宋体"/>
          <w:kern w:val="0"/>
          <w:szCs w:val="21"/>
        </w:rPr>
      </w:pPr>
      <w:r>
        <w:rPr>
          <w:rFonts w:hint="eastAsia" w:ascii="宋体" w:hAnsi="宋体" w:cs="宋体"/>
          <w:kern w:val="0"/>
          <w:szCs w:val="21"/>
        </w:rPr>
        <w:t>6、基金财产清算的期限为6个月，但因本基金所持证券的流动性受到限制而不能及时变现的，清算期限相应顺延。</w:t>
      </w:r>
    </w:p>
    <w:p>
      <w:pPr>
        <w:spacing w:line="360" w:lineRule="auto"/>
        <w:ind w:firstLine="420" w:firstLineChars="200"/>
        <w:rPr>
          <w:rFonts w:ascii="宋体" w:hAnsi="宋体" w:cs="宋体"/>
          <w:kern w:val="0"/>
          <w:szCs w:val="21"/>
        </w:rPr>
      </w:pPr>
      <w:r>
        <w:rPr>
          <w:rFonts w:hint="eastAsia" w:ascii="宋体" w:hAnsi="宋体" w:cs="宋体"/>
          <w:kern w:val="0"/>
          <w:szCs w:val="21"/>
        </w:rPr>
        <w:t>（四）</w:t>
      </w:r>
      <w:r>
        <w:rPr>
          <w:rFonts w:ascii="宋体" w:hAnsi="宋体" w:cs="宋体"/>
          <w:kern w:val="0"/>
          <w:szCs w:val="21"/>
        </w:rPr>
        <w:t>清算费用</w:t>
      </w:r>
    </w:p>
    <w:p>
      <w:pPr>
        <w:spacing w:line="360" w:lineRule="auto"/>
        <w:ind w:firstLine="420" w:firstLineChars="200"/>
        <w:rPr>
          <w:rFonts w:ascii="宋体" w:hAnsi="宋体" w:cs="宋体"/>
          <w:kern w:val="0"/>
          <w:szCs w:val="21"/>
        </w:rPr>
      </w:pPr>
      <w:r>
        <w:rPr>
          <w:rFonts w:hint="eastAsia" w:ascii="宋体" w:hAnsi="宋体" w:cs="宋体"/>
          <w:kern w:val="0"/>
          <w:szCs w:val="21"/>
        </w:rPr>
        <w:t>清算费用是指基金财产清算小组在进行基金财产清算过程中发生的所有合理费用，清算费用由基金财产清算小组优先从基金剩余财产中支付。</w:t>
      </w:r>
    </w:p>
    <w:p>
      <w:pPr>
        <w:spacing w:line="360" w:lineRule="auto"/>
        <w:ind w:firstLine="420" w:firstLineChars="200"/>
        <w:rPr>
          <w:rFonts w:ascii="宋体" w:hAnsi="宋体" w:cs="宋体"/>
          <w:kern w:val="0"/>
          <w:szCs w:val="21"/>
        </w:rPr>
      </w:pPr>
      <w:r>
        <w:rPr>
          <w:rFonts w:hint="eastAsia" w:ascii="宋体" w:hAnsi="宋体" w:cs="宋体"/>
          <w:kern w:val="0"/>
          <w:szCs w:val="21"/>
        </w:rPr>
        <w:t>（五）</w:t>
      </w:r>
      <w:r>
        <w:rPr>
          <w:rFonts w:ascii="宋体" w:hAnsi="宋体" w:cs="宋体"/>
          <w:kern w:val="0"/>
          <w:szCs w:val="21"/>
        </w:rPr>
        <w:t>基金财产清算剩余资产的分配</w:t>
      </w:r>
    </w:p>
    <w:p>
      <w:pPr>
        <w:spacing w:line="360" w:lineRule="auto"/>
        <w:ind w:firstLine="420" w:firstLineChars="200"/>
        <w:rPr>
          <w:rFonts w:ascii="宋体" w:hAnsi="宋体" w:cs="宋体"/>
          <w:kern w:val="0"/>
          <w:szCs w:val="21"/>
        </w:rPr>
      </w:pPr>
      <w:r>
        <w:rPr>
          <w:rFonts w:hint="eastAsia" w:ascii="宋体" w:hAnsi="宋体" w:cs="宋体"/>
          <w:kern w:val="0"/>
          <w:szCs w:val="21"/>
        </w:rPr>
        <w:t>依据基金财产清算的分配方案，将基金财产清算后的全部剩余资产扣除基金财产清算费用、交纳所欠税款并清偿基金债务后，按基金份额持有人持有的基金份额比例进行分配，并返还相应的或有管理费（如有）或扣除相应的超额管理费（如有）</w:t>
      </w:r>
      <w:r>
        <w:rPr>
          <w:rFonts w:hint="eastAsia" w:ascii="宋体" w:hAnsi="宋体" w:cs="宋体"/>
          <w:bCs w:val="0"/>
          <w:kern w:val="0"/>
          <w:sz w:val="21"/>
          <w:szCs w:val="21"/>
        </w:rPr>
        <w:t>，以及加上返还基金份额持有人的销售服务费（如有）</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（六）</w:t>
      </w:r>
      <w:r>
        <w:rPr>
          <w:rFonts w:ascii="宋体" w:hAnsi="宋体" w:cs="宋体"/>
          <w:kern w:val="0"/>
          <w:szCs w:val="21"/>
        </w:rPr>
        <w:t>基金财产清算的公告</w:t>
      </w:r>
    </w:p>
    <w:p>
      <w:pPr>
        <w:spacing w:line="360" w:lineRule="auto"/>
        <w:ind w:firstLine="420" w:firstLineChars="200"/>
        <w:rPr>
          <w:rFonts w:ascii="宋体" w:hAnsi="宋体" w:cs="宋体"/>
          <w:kern w:val="0"/>
          <w:szCs w:val="21"/>
        </w:rPr>
      </w:pPr>
      <w:r>
        <w:rPr>
          <w:rFonts w:hint="eastAsia" w:ascii="宋体" w:hAnsi="宋体" w:cs="宋体"/>
          <w:kern w:val="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20" w:firstLineChars="200"/>
        <w:rPr>
          <w:rFonts w:ascii="宋体" w:hAnsi="宋体" w:cs="宋体"/>
          <w:kern w:val="0"/>
          <w:szCs w:val="21"/>
        </w:rPr>
      </w:pPr>
      <w:r>
        <w:rPr>
          <w:rFonts w:hint="eastAsia" w:ascii="宋体" w:hAnsi="宋体" w:cs="宋体"/>
          <w:kern w:val="0"/>
          <w:szCs w:val="21"/>
        </w:rPr>
        <w:t>（七）</w:t>
      </w:r>
      <w:r>
        <w:rPr>
          <w:rFonts w:ascii="宋体" w:hAnsi="宋体" w:cs="宋体"/>
          <w:kern w:val="0"/>
          <w:szCs w:val="21"/>
        </w:rPr>
        <w:t>基金财产清算账册及文件的保存</w:t>
      </w:r>
    </w:p>
    <w:p>
      <w:pPr>
        <w:spacing w:line="360" w:lineRule="auto"/>
        <w:ind w:firstLine="420" w:firstLineChars="200"/>
        <w:rPr>
          <w:rFonts w:ascii="宋体" w:hAnsi="宋体"/>
          <w:kern w:val="0"/>
        </w:rPr>
      </w:pPr>
      <w:r>
        <w:rPr>
          <w:rFonts w:hint="eastAsia" w:ascii="宋体" w:hAnsi="宋体" w:cs="宋体"/>
          <w:kern w:val="0"/>
          <w:szCs w:val="21"/>
        </w:rPr>
        <w:t>基金财产清算账册及有关文件由基金托管人保存，保存期限不低于法定最低期限。</w:t>
      </w:r>
    </w:p>
    <w:p>
      <w:pPr>
        <w:pStyle w:val="4"/>
        <w:spacing w:before="400" w:after="400"/>
        <w:rPr>
          <w:rFonts w:hAnsi="宋体"/>
          <w:kern w:val="0"/>
          <w:sz w:val="32"/>
        </w:rPr>
      </w:pPr>
      <w:r>
        <w:rPr>
          <w:rFonts w:hAnsi="宋体"/>
          <w:kern w:val="0"/>
        </w:rPr>
        <w:br w:type="page"/>
      </w:r>
      <w:bookmarkEnd w:id="220"/>
      <w:bookmarkStart w:id="225" w:name="_Toc203357169"/>
      <w:bookmarkStart w:id="226" w:name="_Toc55987075"/>
      <w:bookmarkStart w:id="227" w:name="_Toc203806304"/>
      <w:bookmarkStart w:id="228" w:name="_Toc116052564"/>
      <w:bookmarkStart w:id="229" w:name="_Toc116052798"/>
      <w:r>
        <w:rPr>
          <w:rFonts w:hint="eastAsia" w:hAnsi="宋体"/>
          <w:kern w:val="0"/>
          <w:sz w:val="32"/>
        </w:rPr>
        <w:t>十九、基金合同的内容摘要</w:t>
      </w:r>
      <w:bookmarkEnd w:id="225"/>
      <w:bookmarkEnd w:id="226"/>
      <w:bookmarkEnd w:id="227"/>
      <w:bookmarkEnd w:id="228"/>
      <w:bookmarkEnd w:id="229"/>
    </w:p>
    <w:p>
      <w:pPr>
        <w:spacing w:line="360" w:lineRule="auto"/>
        <w:ind w:firstLine="420" w:firstLineChars="200"/>
        <w:rPr>
          <w:rFonts w:ascii="宋体" w:hAnsi="宋体" w:cs="宋体"/>
          <w:kern w:val="0"/>
          <w:szCs w:val="21"/>
        </w:rPr>
      </w:pPr>
      <w:r>
        <w:rPr>
          <w:rFonts w:ascii="宋体" w:hAnsi="宋体" w:cs="宋体"/>
          <w:kern w:val="0"/>
          <w:szCs w:val="21"/>
        </w:rPr>
        <w:t>基金合同的内容摘要见附件一。</w:t>
      </w:r>
    </w:p>
    <w:p>
      <w:pPr>
        <w:spacing w:line="360" w:lineRule="auto"/>
        <w:ind w:firstLine="420" w:firstLineChars="200"/>
        <w:rPr>
          <w:rFonts w:ascii="宋体" w:hAnsi="宋体" w:cs="宋体"/>
          <w:kern w:val="0"/>
          <w:szCs w:val="21"/>
        </w:rPr>
      </w:pPr>
    </w:p>
    <w:p>
      <w:pPr>
        <w:widowControl/>
        <w:jc w:val="left"/>
        <w:rPr>
          <w:rFonts w:ascii="宋体" w:hAnsi="宋体" w:cs="宋体"/>
          <w:kern w:val="0"/>
          <w:szCs w:val="21"/>
        </w:rPr>
      </w:pPr>
      <w:r>
        <w:rPr>
          <w:rFonts w:ascii="宋体" w:hAnsi="宋体" w:cs="宋体"/>
          <w:kern w:val="0"/>
          <w:szCs w:val="21"/>
        </w:rPr>
        <w:br w:type="page"/>
      </w:r>
    </w:p>
    <w:p>
      <w:pPr>
        <w:pStyle w:val="4"/>
        <w:spacing w:before="400" w:after="400"/>
        <w:rPr>
          <w:rFonts w:hAnsi="宋体"/>
          <w:kern w:val="0"/>
          <w:sz w:val="32"/>
        </w:rPr>
      </w:pPr>
      <w:bookmarkStart w:id="230" w:name="_Toc203357170"/>
      <w:bookmarkStart w:id="231" w:name="_Toc55987076"/>
      <w:bookmarkStart w:id="232" w:name="_Toc203806305"/>
      <w:bookmarkStart w:id="233" w:name="_Toc116052799"/>
      <w:bookmarkStart w:id="234" w:name="_Toc116052565"/>
      <w:r>
        <w:rPr>
          <w:rFonts w:hint="eastAsia" w:hAnsi="宋体"/>
          <w:kern w:val="0"/>
          <w:sz w:val="32"/>
        </w:rPr>
        <w:t>二十</w:t>
      </w:r>
      <w:r>
        <w:rPr>
          <w:rFonts w:hAnsi="宋体"/>
          <w:kern w:val="0"/>
          <w:sz w:val="32"/>
        </w:rPr>
        <w:t>、基金托管协议的内容摘要</w:t>
      </w:r>
      <w:bookmarkEnd w:id="230"/>
      <w:bookmarkEnd w:id="231"/>
      <w:bookmarkEnd w:id="232"/>
      <w:bookmarkEnd w:id="233"/>
      <w:bookmarkEnd w:id="234"/>
    </w:p>
    <w:p>
      <w:pPr>
        <w:spacing w:line="360" w:lineRule="auto"/>
        <w:ind w:firstLine="420" w:firstLineChars="200"/>
        <w:rPr>
          <w:rFonts w:ascii="宋体" w:hAnsi="宋体" w:cs="宋体"/>
          <w:kern w:val="0"/>
          <w:szCs w:val="21"/>
        </w:rPr>
      </w:pPr>
      <w:r>
        <w:rPr>
          <w:rFonts w:ascii="宋体" w:hAnsi="宋体" w:cs="宋体"/>
          <w:kern w:val="0"/>
          <w:szCs w:val="21"/>
        </w:rPr>
        <w:t>基金托管协议的内容摘要见附件二。</w:t>
      </w:r>
    </w:p>
    <w:p>
      <w:pPr>
        <w:tabs>
          <w:tab w:val="left" w:pos="3780"/>
        </w:tabs>
        <w:autoSpaceDE w:val="0"/>
        <w:autoSpaceDN w:val="0"/>
        <w:adjustRightInd w:val="0"/>
        <w:spacing w:line="360" w:lineRule="auto"/>
        <w:ind w:firstLine="420"/>
        <w:rPr>
          <w:rFonts w:ascii="宋体" w:hAnsi="宋体"/>
        </w:rPr>
      </w:pPr>
    </w:p>
    <w:p>
      <w:pPr>
        <w:pStyle w:val="4"/>
        <w:spacing w:before="400" w:after="400"/>
        <w:rPr>
          <w:rFonts w:hAnsi="宋体"/>
          <w:kern w:val="0"/>
          <w:sz w:val="32"/>
        </w:rPr>
      </w:pPr>
      <w:r>
        <w:rPr>
          <w:rFonts w:hAnsi="宋体"/>
        </w:rPr>
        <w:br w:type="page"/>
      </w:r>
      <w:bookmarkStart w:id="235" w:name="_Toc203357171"/>
      <w:bookmarkStart w:id="236" w:name="_Toc203806306"/>
      <w:bookmarkStart w:id="237" w:name="_Toc116052566"/>
      <w:bookmarkStart w:id="238" w:name="_Toc116052800"/>
      <w:bookmarkStart w:id="239" w:name="_Toc55987077"/>
      <w:r>
        <w:rPr>
          <w:rFonts w:hAnsi="宋体"/>
          <w:kern w:val="0"/>
          <w:sz w:val="32"/>
        </w:rPr>
        <w:t>二十</w:t>
      </w:r>
      <w:r>
        <w:rPr>
          <w:rFonts w:hint="eastAsia" w:hAnsi="宋体"/>
          <w:kern w:val="0"/>
          <w:sz w:val="32"/>
        </w:rPr>
        <w:t>一</w:t>
      </w:r>
      <w:r>
        <w:rPr>
          <w:rFonts w:hAnsi="宋体"/>
          <w:kern w:val="0"/>
          <w:sz w:val="32"/>
        </w:rPr>
        <w:t>、对基金份额持有人的服务</w:t>
      </w:r>
      <w:bookmarkEnd w:id="235"/>
      <w:bookmarkEnd w:id="236"/>
      <w:bookmarkEnd w:id="237"/>
      <w:bookmarkEnd w:id="238"/>
      <w:bookmarkEnd w:id="239"/>
    </w:p>
    <w:bookmarkEnd w:id="223"/>
    <w:bookmarkEnd w:id="224"/>
    <w:p>
      <w:pPr>
        <w:autoSpaceDE w:val="0"/>
        <w:autoSpaceDN w:val="0"/>
        <w:adjustRightInd w:val="0"/>
        <w:spacing w:line="360" w:lineRule="auto"/>
        <w:ind w:firstLine="420" w:firstLineChars="200"/>
        <w:jc w:val="left"/>
        <w:rPr>
          <w:rFonts w:ascii="宋体" w:hAnsi="宋体"/>
        </w:rPr>
      </w:pPr>
      <w:bookmarkStart w:id="240" w:name="_Toc106961500"/>
      <w:bookmarkStart w:id="241" w:name="_Toc530223199"/>
      <w:bookmarkStart w:id="242" w:name="_Toc106862774"/>
      <w:bookmarkStart w:id="243" w:name="_Toc63171765"/>
      <w:bookmarkStart w:id="244" w:name="_Toc106863385"/>
      <w:bookmarkStart w:id="245" w:name="_Toc106894894"/>
      <w:bookmarkStart w:id="246" w:name="_Toc106894701"/>
      <w:r>
        <w:rPr>
          <w:rFonts w:hint="eastAsia" w:ascii="宋体" w:hAnsi="宋体"/>
        </w:rPr>
        <w:t>基金管理人承诺为本基金的份额持有人提供一系列的服务，并根据基金份额持有人的需要和市场的变化，增加或变更服务项目。主要服务内容如下：</w:t>
      </w:r>
    </w:p>
    <w:p>
      <w:pPr>
        <w:autoSpaceDE w:val="0"/>
        <w:autoSpaceDN w:val="0"/>
        <w:adjustRightInd w:val="0"/>
        <w:spacing w:line="360" w:lineRule="auto"/>
        <w:ind w:firstLine="420" w:firstLineChars="200"/>
        <w:jc w:val="left"/>
        <w:rPr>
          <w:rFonts w:ascii="宋体" w:hAnsi="宋体"/>
        </w:rPr>
      </w:pPr>
      <w:r>
        <w:rPr>
          <w:rFonts w:hint="eastAsia" w:ascii="宋体" w:hAnsi="宋体"/>
        </w:rPr>
        <w:t>（一）关于对账单服务</w:t>
      </w:r>
    </w:p>
    <w:p>
      <w:pPr>
        <w:autoSpaceDE w:val="0"/>
        <w:autoSpaceDN w:val="0"/>
        <w:adjustRightInd w:val="0"/>
        <w:spacing w:line="360" w:lineRule="auto"/>
        <w:ind w:firstLine="420" w:firstLineChars="200"/>
        <w:jc w:val="left"/>
        <w:rPr>
          <w:rFonts w:ascii="宋体" w:hAnsi="宋体"/>
        </w:rPr>
      </w:pPr>
      <w:r>
        <w:rPr>
          <w:rFonts w:hint="eastAsia" w:ascii="宋体" w:hAnsi="宋体"/>
        </w:rPr>
        <w:t>1、公司的</w:t>
      </w:r>
      <w:r>
        <w:rPr>
          <w:rFonts w:hint="eastAsia" w:ascii="宋体" w:hAnsi="宋体"/>
          <w:lang w:eastAsia="zh-Hans"/>
        </w:rPr>
        <w:t>官方</w:t>
      </w:r>
      <w:r>
        <w:rPr>
          <w:rFonts w:hint="eastAsia" w:ascii="宋体" w:hAnsi="宋体"/>
        </w:rPr>
        <w:t>网站</w:t>
      </w:r>
      <w:r>
        <w:rPr>
          <w:rFonts w:hint="eastAsia" w:ascii="宋体" w:hAnsi="宋体"/>
          <w:lang w:eastAsia="zh-Hans"/>
        </w:rPr>
        <w:t>和</w:t>
      </w:r>
      <w:r>
        <w:rPr>
          <w:rFonts w:hint="eastAsia" w:ascii="宋体" w:hAnsi="宋体"/>
        </w:rPr>
        <w:t>热线电话提供对账单自助查询、下载或传真服务。</w:t>
      </w:r>
    </w:p>
    <w:p>
      <w:pPr>
        <w:autoSpaceDE w:val="0"/>
        <w:autoSpaceDN w:val="0"/>
        <w:adjustRightInd w:val="0"/>
        <w:spacing w:line="360" w:lineRule="auto"/>
        <w:ind w:firstLine="420" w:firstLineChars="200"/>
        <w:jc w:val="left"/>
        <w:rPr>
          <w:rFonts w:ascii="宋体" w:hAnsi="宋体"/>
        </w:rPr>
      </w:pPr>
      <w:r>
        <w:rPr>
          <w:rFonts w:hint="eastAsia" w:ascii="宋体" w:hAnsi="宋体"/>
        </w:rPr>
        <w:t>（1）基金份额持有人可登录公司</w:t>
      </w:r>
      <w:r>
        <w:rPr>
          <w:rFonts w:hint="eastAsia" w:ascii="宋体" w:hAnsi="宋体"/>
          <w:lang w:eastAsia="zh-Hans"/>
        </w:rPr>
        <w:t>官方</w:t>
      </w:r>
      <w:r>
        <w:rPr>
          <w:rFonts w:hint="eastAsia" w:ascii="宋体" w:hAnsi="宋体"/>
        </w:rPr>
        <w:t>网站（www.icbcubs.com.cn ）进入“网上交易”栏目，输入开户证件号码或基金账号，自助查询或下载对账单。</w:t>
      </w:r>
    </w:p>
    <w:p>
      <w:pPr>
        <w:autoSpaceDE w:val="0"/>
        <w:autoSpaceDN w:val="0"/>
        <w:adjustRightInd w:val="0"/>
        <w:spacing w:line="360" w:lineRule="auto"/>
        <w:ind w:firstLine="420" w:firstLineChars="200"/>
        <w:jc w:val="left"/>
        <w:rPr>
          <w:rFonts w:ascii="宋体" w:hAnsi="宋体"/>
        </w:rPr>
      </w:pPr>
      <w:r>
        <w:rPr>
          <w:rFonts w:hint="eastAsia" w:ascii="宋体" w:hAnsi="宋体"/>
        </w:rPr>
        <w:t>（2）基金份额持有人用带有传真机的电话，拨打公司客户服务热线电话（4008119999），选择自助服务后，</w:t>
      </w:r>
      <w:r>
        <w:rPr>
          <w:rFonts w:hint="eastAsia" w:ascii="宋体" w:hAnsi="宋体"/>
          <w:lang w:eastAsia="zh-Hans"/>
        </w:rPr>
        <w:t>根据语音提示</w:t>
      </w:r>
      <w:r>
        <w:rPr>
          <w:rFonts w:hint="eastAsia" w:ascii="宋体" w:hAnsi="宋体"/>
        </w:rPr>
        <w:t>按指定键，输入需要下载的对账单日期，进行对账单自助传真。</w:t>
      </w:r>
    </w:p>
    <w:p>
      <w:pPr>
        <w:autoSpaceDE w:val="0"/>
        <w:autoSpaceDN w:val="0"/>
        <w:adjustRightInd w:val="0"/>
        <w:spacing w:line="360" w:lineRule="auto"/>
        <w:ind w:firstLine="420" w:firstLineChars="200"/>
        <w:jc w:val="left"/>
        <w:rPr>
          <w:rFonts w:ascii="宋体" w:hAnsi="宋体"/>
        </w:rPr>
      </w:pPr>
      <w:r>
        <w:rPr>
          <w:rFonts w:hint="eastAsia" w:ascii="宋体" w:hAnsi="宋体"/>
        </w:rPr>
        <w:t>2、公司为基金份额持有人提供电子邮件账单、短信账单、纸质账单等多种形式对账单服务。</w:t>
      </w:r>
    </w:p>
    <w:p>
      <w:pPr>
        <w:autoSpaceDE w:val="0"/>
        <w:autoSpaceDN w:val="0"/>
        <w:adjustRightInd w:val="0"/>
        <w:spacing w:line="360" w:lineRule="auto"/>
        <w:ind w:firstLine="420" w:firstLineChars="200"/>
        <w:jc w:val="left"/>
        <w:rPr>
          <w:rFonts w:ascii="宋体" w:hAnsi="宋体"/>
        </w:rPr>
      </w:pPr>
      <w:r>
        <w:rPr>
          <w:rFonts w:hint="eastAsia" w:ascii="宋体" w:hAnsi="宋体"/>
        </w:rPr>
        <w:t>（1）电子邮件对账单：电子邮件对账单是通过基金份额持有人</w:t>
      </w:r>
      <w:r>
        <w:rPr>
          <w:rFonts w:hint="eastAsia" w:ascii="宋体" w:hAnsi="宋体"/>
          <w:lang w:eastAsia="zh-Hans"/>
        </w:rPr>
        <w:t>预留的</w:t>
      </w:r>
      <w:r>
        <w:rPr>
          <w:rFonts w:hint="eastAsia" w:ascii="宋体" w:hAnsi="宋体"/>
        </w:rPr>
        <w:t>电子邮</w:t>
      </w:r>
      <w:r>
        <w:rPr>
          <w:rFonts w:hint="eastAsia" w:ascii="宋体" w:hAnsi="宋体"/>
          <w:lang w:eastAsia="zh-Hans"/>
        </w:rPr>
        <w:t>箱</w:t>
      </w:r>
      <w:r>
        <w:rPr>
          <w:rFonts w:hint="eastAsia" w:ascii="宋体" w:hAnsi="宋体"/>
        </w:rPr>
        <w:t>向</w:t>
      </w:r>
      <w:r>
        <w:rPr>
          <w:rFonts w:hint="eastAsia" w:ascii="宋体" w:hAnsi="宋体"/>
          <w:lang w:eastAsia="zh-Hans"/>
        </w:rPr>
        <w:t>其</w:t>
      </w:r>
      <w:r>
        <w:rPr>
          <w:rFonts w:hint="eastAsia" w:ascii="宋体" w:hAnsi="宋体"/>
        </w:rPr>
        <w:t>提供份额及交易对账的一种电子化的账单形式。电子对账单的内容包括但不限于：期末基金份额余额、期末资产净值、期间交易明细等。公司向定制电子邮件对账单且在对应期间内有交易或最后一个交易日仍持有份额的投资人发送月度、季度和年度电子对账单，发送时间为每月、季、年度结束后15个工作日内。</w:t>
      </w:r>
    </w:p>
    <w:p>
      <w:pPr>
        <w:autoSpaceDE w:val="0"/>
        <w:autoSpaceDN w:val="0"/>
        <w:adjustRightInd w:val="0"/>
        <w:spacing w:line="360" w:lineRule="auto"/>
        <w:ind w:firstLine="420" w:firstLineChars="200"/>
        <w:jc w:val="left"/>
        <w:rPr>
          <w:rFonts w:ascii="宋体" w:hAnsi="宋体"/>
        </w:rPr>
      </w:pPr>
      <w:r>
        <w:rPr>
          <w:rFonts w:hint="eastAsia" w:ascii="宋体" w:hAnsi="宋体"/>
        </w:rPr>
        <w:t>（2）手机短信对账单：短信对账单是通过手机短信向基金份额持有人</w:t>
      </w:r>
      <w:r>
        <w:rPr>
          <w:rFonts w:hint="eastAsia" w:ascii="宋体" w:hAnsi="宋体"/>
          <w:lang w:eastAsia="zh-Hans"/>
        </w:rPr>
        <w:t>预留的</w:t>
      </w:r>
      <w:r>
        <w:rPr>
          <w:rFonts w:hint="eastAsia" w:ascii="宋体" w:hAnsi="宋体"/>
        </w:rPr>
        <w:t>手机号码提供份额对账的一种电子化的账单形式。短信对账单的内容包括但不限于：期末基金份额余额、期末资产净值等。公司向定制手机短信对账单且最后一个交易日仍持有份额的投资者发送季度手机短信账单，发送时间为每季度结束后15个工作日内。</w:t>
      </w:r>
    </w:p>
    <w:p>
      <w:pPr>
        <w:autoSpaceDE w:val="0"/>
        <w:autoSpaceDN w:val="0"/>
        <w:adjustRightInd w:val="0"/>
        <w:spacing w:line="360" w:lineRule="auto"/>
        <w:ind w:firstLine="420" w:firstLineChars="200"/>
        <w:jc w:val="left"/>
        <w:rPr>
          <w:rFonts w:ascii="宋体" w:hAnsi="宋体"/>
        </w:rPr>
      </w:pPr>
      <w:r>
        <w:rPr>
          <w:rFonts w:hint="eastAsia" w:ascii="宋体" w:hAnsi="宋体"/>
        </w:rPr>
        <w:t>（3）纸质对账单：纸质对账单是通过纸质信件向基金份额持有人提供份额及交易对账的一种书面化的账单形式。公司在每年度结束后向定制年度纸质对账单且在年度内有交易的投资人寄送年度对账单，寄出时间为每年度结束后的15个工作日内。</w:t>
      </w:r>
    </w:p>
    <w:p>
      <w:pPr>
        <w:autoSpaceDE w:val="0"/>
        <w:autoSpaceDN w:val="0"/>
        <w:adjustRightInd w:val="0"/>
        <w:spacing w:line="360" w:lineRule="auto"/>
        <w:ind w:firstLine="420" w:firstLineChars="200"/>
        <w:jc w:val="left"/>
        <w:rPr>
          <w:rFonts w:ascii="宋体" w:hAnsi="宋体" w:cs="宋体"/>
          <w:kern w:val="0"/>
        </w:rPr>
      </w:pPr>
      <w:r>
        <w:rPr>
          <w:rFonts w:hint="eastAsia" w:ascii="宋体" w:hAnsi="宋体" w:cs="宋体"/>
          <w:kern w:val="0"/>
        </w:rPr>
        <w:t>（4）公司至少每年度以电子邮件、短信或其他形式主动向通过工银瑞信直销系统持有本公司基金份额的投资人提供基金保有情况信息。</w:t>
      </w:r>
    </w:p>
    <w:p>
      <w:pPr>
        <w:autoSpaceDE w:val="0"/>
        <w:autoSpaceDN w:val="0"/>
        <w:adjustRightInd w:val="0"/>
        <w:spacing w:line="360" w:lineRule="auto"/>
        <w:ind w:firstLine="420" w:firstLineChars="200"/>
        <w:jc w:val="left"/>
        <w:rPr>
          <w:rFonts w:ascii="宋体" w:hAnsi="宋体" w:cs="宋体"/>
          <w:kern w:val="0"/>
        </w:rPr>
      </w:pPr>
      <w:r>
        <w:rPr>
          <w:rFonts w:hint="eastAsia" w:ascii="宋体" w:hAnsi="宋体" w:cs="宋体"/>
        </w:rPr>
        <w:t>本公司提供的对账单服务为基金份额持有人场外交易的对账单，不提供基金份额持有人的场内交易（本基金是否支持场内交易，请以基金合同和招募说明书相关条款为准）对账单服务，基金份额持有人可到销售机构交易网点打印或通过交易网点提供的自助、电话、网上服务等渠道查询。</w:t>
      </w:r>
    </w:p>
    <w:p>
      <w:pPr>
        <w:autoSpaceDE w:val="0"/>
        <w:autoSpaceDN w:val="0"/>
        <w:adjustRightInd w:val="0"/>
        <w:spacing w:line="360" w:lineRule="auto"/>
        <w:ind w:firstLine="420" w:firstLineChars="200"/>
        <w:jc w:val="left"/>
        <w:rPr>
          <w:rFonts w:ascii="宋体" w:hAnsi="宋体"/>
        </w:rPr>
      </w:pPr>
      <w:r>
        <w:rPr>
          <w:rFonts w:hint="eastAsia" w:ascii="宋体" w:hAnsi="宋体"/>
        </w:rPr>
        <w:t>3、温馨提示：（1）</w:t>
      </w:r>
      <w:r>
        <w:rPr>
          <w:rFonts w:hint="eastAsia" w:ascii="宋体" w:hAnsi="宋体"/>
          <w:lang w:eastAsia="zh-Hans"/>
        </w:rPr>
        <w:t>因</w:t>
      </w:r>
      <w:r>
        <w:rPr>
          <w:rFonts w:hint="eastAsia" w:ascii="宋体" w:hAnsi="宋体"/>
        </w:rPr>
        <w:t>基金份额持有人提供的邮寄地址、手机号码、电子邮箱不详、错误、未及时变更</w:t>
      </w:r>
      <w:r>
        <w:rPr>
          <w:rFonts w:hint="eastAsia" w:ascii="宋体" w:hAnsi="宋体"/>
          <w:lang w:eastAsia="zh-Hans"/>
        </w:rPr>
        <w:t>等原因</w:t>
      </w:r>
      <w:r>
        <w:rPr>
          <w:rFonts w:hint="eastAsia" w:ascii="宋体" w:hAnsi="宋体"/>
        </w:rPr>
        <w:t>或因邮局投递差错、通讯故障、延误等原因，造成对账单无法按时准确送达，请及时到原基金销售网点或致电本公司客服中心办理相关信息变更。如需补发对账单，敬请拨打公司客户服务热线电话。（2）因交易对账单记录信息属于个人隐私，如基金份额持有人选择邮寄方式，请务必预留正确的通讯地址及联系方式，并及时进行更新。</w:t>
      </w:r>
      <w:r>
        <w:rPr>
          <w:rFonts w:hint="eastAsia" w:ascii="宋体" w:hAnsi="宋体"/>
          <w:lang w:eastAsia="zh-Hans"/>
        </w:rPr>
        <w:t>因基金份额持有人个人原因导致无法送达或送达错误，公司不承担任何责任。</w:t>
      </w:r>
      <w:r>
        <w:rPr>
          <w:rFonts w:hint="eastAsia" w:ascii="宋体" w:hAnsi="宋体"/>
        </w:rPr>
        <w:t>（3）本基金管理人提供的资料邮寄服务原则上采用邮政平信邮寄方式，由公司委托具有邮政业务服务资质的第三方进行处理，公司采取必要安全防护措施，但并不对邮寄资料的送达做出承诺和保证。</w:t>
      </w:r>
    </w:p>
    <w:p>
      <w:pPr>
        <w:autoSpaceDE w:val="0"/>
        <w:autoSpaceDN w:val="0"/>
        <w:adjustRightInd w:val="0"/>
        <w:spacing w:line="360" w:lineRule="auto"/>
        <w:ind w:firstLine="420" w:firstLineChars="200"/>
        <w:jc w:val="left"/>
        <w:rPr>
          <w:rFonts w:ascii="宋体" w:hAnsi="宋体"/>
        </w:rPr>
      </w:pPr>
      <w:r>
        <w:rPr>
          <w:rFonts w:hint="eastAsia" w:ascii="宋体" w:hAnsi="宋体"/>
        </w:rPr>
        <w:t>（二）关于短信及电子邮件服务</w:t>
      </w:r>
    </w:p>
    <w:p>
      <w:pPr>
        <w:spacing w:line="360" w:lineRule="auto"/>
        <w:ind w:firstLine="420" w:firstLineChars="200"/>
        <w:jc w:val="left"/>
        <w:rPr>
          <w:rFonts w:ascii="宋体" w:hAnsi="宋体"/>
        </w:rPr>
      </w:pPr>
      <w:r>
        <w:rPr>
          <w:rFonts w:hint="eastAsia" w:ascii="宋体" w:hAnsi="宋体"/>
        </w:rPr>
        <w:t>基金份额持有人可以通过公司官方网站、客户服务热线电话申请定制信息服务，基金管理人通过短信、电子邮件等方式发送基金份额持有人定制的信息。可定制的内容包括：产品信息、基金净值、市场资讯、公司最新公告等。公司还将根据业务发展的实际需要，适时调整定制信息的内容、条件和方式。</w:t>
      </w:r>
    </w:p>
    <w:p>
      <w:pPr>
        <w:spacing w:line="360" w:lineRule="auto"/>
        <w:ind w:firstLine="420" w:firstLineChars="200"/>
        <w:jc w:val="left"/>
        <w:rPr>
          <w:rFonts w:ascii="宋体" w:hAnsi="宋体"/>
        </w:rPr>
      </w:pPr>
      <w:r>
        <w:rPr>
          <w:rFonts w:hint="eastAsia" w:ascii="宋体" w:hAnsi="宋体"/>
        </w:rPr>
        <w:t>除了发送基金份额持有人定制的各类信息外，基金公司也会定期或不定期向预留有效手机号码及电子邮箱地址的基金份额持有人发送基金分红、投资者教育信息、节日问候、产品推广及其他与产品、服务相关的通知等信息。如基金份额持有人不希望接收到该类信息，可以通过公司客户服务热线电话取消相关服务。</w:t>
      </w:r>
    </w:p>
    <w:p>
      <w:pPr>
        <w:autoSpaceDE w:val="0"/>
        <w:autoSpaceDN w:val="0"/>
        <w:adjustRightInd w:val="0"/>
        <w:spacing w:line="360" w:lineRule="auto"/>
        <w:ind w:firstLine="420" w:firstLineChars="200"/>
        <w:jc w:val="left"/>
        <w:rPr>
          <w:rFonts w:ascii="宋体" w:hAnsi="宋体"/>
        </w:rPr>
      </w:pPr>
      <w:r>
        <w:rPr>
          <w:rFonts w:hint="eastAsia" w:ascii="宋体" w:hAnsi="宋体"/>
        </w:rPr>
        <w:t>（三）关于资讯服务</w:t>
      </w:r>
    </w:p>
    <w:p>
      <w:pPr>
        <w:autoSpaceDE w:val="0"/>
        <w:autoSpaceDN w:val="0"/>
        <w:adjustRightInd w:val="0"/>
        <w:spacing w:line="360" w:lineRule="auto"/>
        <w:ind w:firstLine="420" w:firstLineChars="200"/>
        <w:jc w:val="left"/>
        <w:rPr>
          <w:rFonts w:ascii="宋体" w:hAnsi="宋体"/>
        </w:rPr>
      </w:pPr>
      <w:r>
        <w:rPr>
          <w:rFonts w:hint="eastAsia" w:ascii="宋体" w:hAnsi="宋体"/>
        </w:rPr>
        <w:t>公司为基金份额持有人提供本基金产品信息、基金投资报告、宏观形势分析、基金净值等多种资讯（电子版）。如需通过手机或电子邮件获得相关资讯，基金份额持有人可通过公司官方网站或客户服务热线电话定制。</w:t>
      </w:r>
    </w:p>
    <w:p>
      <w:pPr>
        <w:autoSpaceDE w:val="0"/>
        <w:autoSpaceDN w:val="0"/>
        <w:adjustRightInd w:val="0"/>
        <w:spacing w:line="360" w:lineRule="auto"/>
        <w:ind w:firstLine="420" w:firstLineChars="200"/>
        <w:jc w:val="left"/>
      </w:pPr>
      <w:r>
        <w:rPr>
          <w:rFonts w:hint="eastAsia"/>
        </w:rPr>
        <w:t>基金份额持有人知悉并同意基金管理人可根据基金份额持有人</w:t>
      </w:r>
      <w:r>
        <w:rPr>
          <w:rFonts w:hint="eastAsia"/>
          <w:lang w:eastAsia="zh-Hans"/>
        </w:rPr>
        <w:t>预留</w:t>
      </w:r>
      <w:r>
        <w:rPr>
          <w:rFonts w:hint="eastAsia"/>
        </w:rPr>
        <w:t>的个人信息不定期通过电话、短信、邮件、微信、网站、</w:t>
      </w:r>
      <w:r>
        <w:t>APP</w:t>
      </w:r>
      <w:r>
        <w:rPr>
          <w:rFonts w:hint="eastAsia"/>
        </w:rPr>
        <w:t>等任一或多种方式或渠道为基金份额持有人提供与基金份额持有人相关的账户服务通知、交易确认通知、重要公告通知、活动消息、营销信息、基金份额持有人关怀等资讯及增值服务，购买本基金前请详阅工银瑞信基金官网服务介绍和隐私政策。如需取消相应资讯服务，可通过</w:t>
      </w:r>
      <w:r>
        <w:rPr>
          <w:rFonts w:hint="eastAsia"/>
          <w:lang w:eastAsia="zh-Hans"/>
        </w:rPr>
        <w:t>公司</w:t>
      </w:r>
      <w:r>
        <w:rPr>
          <w:rFonts w:hint="eastAsia"/>
        </w:rPr>
        <w:t>客户服务热线电话、在线客服等人工服务方式退订。</w:t>
      </w:r>
    </w:p>
    <w:p>
      <w:pPr>
        <w:autoSpaceDE w:val="0"/>
        <w:autoSpaceDN w:val="0"/>
        <w:adjustRightInd w:val="0"/>
        <w:spacing w:line="360" w:lineRule="auto"/>
        <w:ind w:firstLine="420" w:firstLineChars="200"/>
        <w:jc w:val="left"/>
        <w:rPr>
          <w:rFonts w:ascii="宋体" w:hAnsi="宋体"/>
        </w:rPr>
      </w:pPr>
      <w:r>
        <w:rPr>
          <w:rFonts w:hint="eastAsia" w:ascii="宋体" w:hAnsi="宋体"/>
        </w:rPr>
        <w:t>（四）关于联络方式</w:t>
      </w:r>
    </w:p>
    <w:p>
      <w:pPr>
        <w:autoSpaceDE w:val="0"/>
        <w:autoSpaceDN w:val="0"/>
        <w:adjustRightInd w:val="0"/>
        <w:spacing w:line="360" w:lineRule="auto"/>
        <w:ind w:firstLine="420" w:firstLineChars="200"/>
        <w:jc w:val="left"/>
        <w:rPr>
          <w:rFonts w:ascii="宋体" w:hAnsi="宋体"/>
        </w:rPr>
      </w:pPr>
      <w:r>
        <w:rPr>
          <w:rFonts w:hint="eastAsia" w:ascii="宋体" w:hAnsi="宋体"/>
        </w:rPr>
        <w:t>公司提供多种联络方式，供基金份额持有人与公司及时沟通，主要包括：</w:t>
      </w:r>
    </w:p>
    <w:p>
      <w:pPr>
        <w:autoSpaceDE w:val="0"/>
        <w:autoSpaceDN w:val="0"/>
        <w:adjustRightInd w:val="0"/>
        <w:spacing w:line="360" w:lineRule="auto"/>
        <w:ind w:firstLine="420" w:firstLineChars="200"/>
        <w:jc w:val="left"/>
        <w:rPr>
          <w:rFonts w:ascii="宋体" w:hAnsi="宋体"/>
        </w:rPr>
      </w:pPr>
      <w:r>
        <w:rPr>
          <w:rFonts w:hint="eastAsia" w:ascii="宋体" w:hAnsi="宋体"/>
        </w:rPr>
        <w:t>1、热线电话服务：4008119999（免长途电话费），服务传真：010-81042598。</w:t>
      </w:r>
    </w:p>
    <w:p>
      <w:pPr>
        <w:autoSpaceDE w:val="0"/>
        <w:autoSpaceDN w:val="0"/>
        <w:adjustRightInd w:val="0"/>
        <w:spacing w:line="360" w:lineRule="auto"/>
        <w:ind w:firstLine="420" w:firstLineChars="200"/>
        <w:jc w:val="left"/>
        <w:rPr>
          <w:rFonts w:ascii="宋体" w:hAnsi="宋体"/>
        </w:rPr>
      </w:pPr>
      <w:r>
        <w:rPr>
          <w:rFonts w:hint="eastAsia" w:ascii="宋体" w:hAnsi="宋体"/>
        </w:rPr>
        <w:t>（1）人工电话服务：我公司为基金份额持有人提供每天24小时人工服务，内容包括：账户信息查询、基金产品咨询、业务规则解答及直销电子自助交易（含APP、网上交易、微信自助交易）咨询等服务。</w:t>
      </w:r>
    </w:p>
    <w:p>
      <w:pPr>
        <w:autoSpaceDE w:val="0"/>
        <w:autoSpaceDN w:val="0"/>
        <w:adjustRightInd w:val="0"/>
        <w:spacing w:line="360" w:lineRule="auto"/>
        <w:ind w:firstLine="420" w:firstLineChars="200"/>
        <w:jc w:val="left"/>
        <w:rPr>
          <w:rFonts w:ascii="宋体" w:hAnsi="宋体"/>
        </w:rPr>
      </w:pPr>
      <w:r>
        <w:rPr>
          <w:rFonts w:hint="eastAsia" w:ascii="宋体" w:hAnsi="宋体"/>
        </w:rPr>
        <w:t>（2）自助电话服务：公司提供每天24小时自助语音服务，基金份额持有人可通过热线电话自助查询基金交易、基金份额、基金净值等信息，以及进行自助传真对账单等操作。</w:t>
      </w:r>
    </w:p>
    <w:p>
      <w:pPr>
        <w:autoSpaceDE w:val="0"/>
        <w:autoSpaceDN w:val="0"/>
        <w:adjustRightInd w:val="0"/>
        <w:spacing w:line="360" w:lineRule="auto"/>
        <w:ind w:firstLine="420" w:firstLineChars="200"/>
        <w:jc w:val="left"/>
        <w:rPr>
          <w:rFonts w:ascii="宋体" w:hAnsi="宋体"/>
        </w:rPr>
      </w:pPr>
      <w:r>
        <w:rPr>
          <w:rFonts w:hint="eastAsia" w:ascii="宋体" w:hAnsi="宋体"/>
        </w:rPr>
        <w:t>（3）电话留言服务：基金份额持有人可通过公司客户服务热线电话（4008119999按指定键）进行语音留言，将有关疑问、建议及联系方式告知公司，基金管理人在接收基金份额持有人服务需求后将在一个工作日内给予回复。</w:t>
      </w:r>
    </w:p>
    <w:p>
      <w:pPr>
        <w:autoSpaceDE w:val="0"/>
        <w:autoSpaceDN w:val="0"/>
        <w:adjustRightInd w:val="0"/>
        <w:spacing w:line="360" w:lineRule="auto"/>
        <w:ind w:firstLine="420" w:firstLineChars="200"/>
        <w:jc w:val="left"/>
        <w:rPr>
          <w:rFonts w:ascii="宋体" w:hAnsi="宋体"/>
        </w:rPr>
      </w:pPr>
      <w:r>
        <w:rPr>
          <w:rFonts w:hint="eastAsia" w:ascii="宋体" w:hAnsi="宋体"/>
        </w:rPr>
        <w:t>2、网络在线服务</w:t>
      </w:r>
    </w:p>
    <w:p>
      <w:pPr>
        <w:autoSpaceDE w:val="0"/>
        <w:autoSpaceDN w:val="0"/>
        <w:adjustRightInd w:val="0"/>
        <w:spacing w:line="360" w:lineRule="auto"/>
        <w:ind w:firstLine="420" w:firstLineChars="200"/>
        <w:jc w:val="left"/>
        <w:rPr>
          <w:rFonts w:ascii="宋体" w:hAnsi="宋体"/>
        </w:rPr>
      </w:pPr>
      <w:r>
        <w:rPr>
          <w:rFonts w:hint="eastAsia" w:ascii="宋体" w:hAnsi="宋体"/>
        </w:rPr>
        <w:t>公司官方网站、手机APP和微信服务平台设置了“在线客服”栏目，基金份额持有人可登录公司官方网站首页、手机APP或关注公司微信公众号，点击“在线客服”图标，通过网络在线方式进行相关业务咨询。</w:t>
      </w:r>
    </w:p>
    <w:p>
      <w:pPr>
        <w:autoSpaceDE w:val="0"/>
        <w:autoSpaceDN w:val="0"/>
        <w:adjustRightInd w:val="0"/>
        <w:spacing w:line="360" w:lineRule="auto"/>
        <w:ind w:firstLine="420" w:firstLineChars="200"/>
        <w:jc w:val="left"/>
        <w:rPr>
          <w:rFonts w:ascii="宋体" w:hAnsi="宋体"/>
        </w:rPr>
      </w:pPr>
      <w:r>
        <w:rPr>
          <w:rFonts w:hint="eastAsia" w:ascii="宋体" w:hAnsi="宋体"/>
        </w:rPr>
        <w:t>（1）人工服务：在线人工服务时间为每天24小时，内容包括：基金产品咨询、业务规则解答及直销电子自助交易（含APP、网上交易、微信自助交易）咨询等服务。</w:t>
      </w:r>
    </w:p>
    <w:p>
      <w:pPr>
        <w:autoSpaceDE w:val="0"/>
        <w:autoSpaceDN w:val="0"/>
        <w:adjustRightInd w:val="0"/>
        <w:spacing w:line="360" w:lineRule="auto"/>
        <w:ind w:firstLine="420" w:firstLineChars="200"/>
        <w:jc w:val="left"/>
        <w:rPr>
          <w:rFonts w:ascii="宋体" w:hAnsi="宋体"/>
        </w:rPr>
      </w:pPr>
      <w:r>
        <w:rPr>
          <w:rFonts w:hint="eastAsia" w:ascii="宋体" w:hAnsi="宋体"/>
        </w:rPr>
        <w:t>（2）智能客服：公司提供每天24小时自助咨询服务，基金份额持有人可通过在线客服机器人对基金产品、业务规则等方面内容进行自助咨询。</w:t>
      </w:r>
    </w:p>
    <w:p>
      <w:pPr>
        <w:autoSpaceDE w:val="0"/>
        <w:autoSpaceDN w:val="0"/>
        <w:adjustRightInd w:val="0"/>
        <w:spacing w:line="360" w:lineRule="auto"/>
        <w:ind w:firstLine="420" w:firstLineChars="200"/>
        <w:jc w:val="left"/>
        <w:rPr>
          <w:rFonts w:ascii="宋体" w:hAnsi="宋体"/>
        </w:rPr>
      </w:pPr>
      <w:r>
        <w:rPr>
          <w:rFonts w:hint="eastAsia" w:ascii="宋体" w:hAnsi="宋体"/>
        </w:rPr>
        <w:t>3、电子信箱服务</w:t>
      </w:r>
    </w:p>
    <w:p>
      <w:pPr>
        <w:autoSpaceDE w:val="0"/>
        <w:autoSpaceDN w:val="0"/>
        <w:adjustRightInd w:val="0"/>
        <w:spacing w:line="360" w:lineRule="auto"/>
        <w:ind w:firstLine="420" w:firstLineChars="200"/>
        <w:jc w:val="left"/>
        <w:rPr>
          <w:rFonts w:ascii="宋体" w:hAnsi="宋体"/>
        </w:rPr>
      </w:pPr>
      <w:r>
        <w:rPr>
          <w:rFonts w:hint="eastAsia" w:ascii="宋体" w:hAnsi="宋体"/>
        </w:rPr>
        <w:t>基金份额持有人可向公司</w:t>
      </w:r>
      <w:r>
        <w:rPr>
          <w:rFonts w:hint="eastAsia" w:ascii="宋体" w:hAnsi="宋体"/>
          <w:lang w:eastAsia="zh-Hans"/>
        </w:rPr>
        <w:t>客户</w:t>
      </w:r>
      <w:r>
        <w:rPr>
          <w:rFonts w:hint="eastAsia" w:ascii="宋体" w:hAnsi="宋体"/>
        </w:rPr>
        <w:t>服务电子邮箱（customerservice@icbcubs.com.cn）发送邮件，将有关疑问、建议及联系方式告知公司，基金管理人在接收基金份额持有人服务需求后将在一个工作日内给予回复。</w:t>
      </w:r>
    </w:p>
    <w:p>
      <w:pPr>
        <w:autoSpaceDE w:val="0"/>
        <w:autoSpaceDN w:val="0"/>
        <w:adjustRightInd w:val="0"/>
        <w:spacing w:line="360" w:lineRule="auto"/>
        <w:ind w:firstLine="420" w:firstLineChars="200"/>
        <w:jc w:val="left"/>
        <w:rPr>
          <w:rFonts w:ascii="宋体" w:hAnsi="宋体"/>
        </w:rPr>
      </w:pPr>
      <w:r>
        <w:rPr>
          <w:rFonts w:hint="eastAsia" w:ascii="宋体" w:hAnsi="宋体"/>
        </w:rPr>
        <w:t>（五）关于电子化交易</w:t>
      </w:r>
    </w:p>
    <w:p>
      <w:pPr>
        <w:autoSpaceDE w:val="0"/>
        <w:autoSpaceDN w:val="0"/>
        <w:adjustRightInd w:val="0"/>
        <w:spacing w:line="360" w:lineRule="auto"/>
        <w:ind w:firstLine="420" w:firstLineChars="200"/>
        <w:jc w:val="left"/>
        <w:rPr>
          <w:rFonts w:ascii="宋体" w:hAnsi="宋体"/>
        </w:rPr>
      </w:pPr>
      <w:r>
        <w:rPr>
          <w:rFonts w:hint="eastAsia" w:ascii="宋体" w:hAnsi="宋体"/>
        </w:rPr>
        <w:t>基金份额持有人可以通过本公司电子自助交易系统（7*24小时服务）办理基金交易业务，包括：基金认购、申购、定期定额申购、赎回、转换、撤单、分红方式变更及查询等业务。电子化交易方式有：</w:t>
      </w:r>
    </w:p>
    <w:p>
      <w:pPr>
        <w:autoSpaceDE w:val="0"/>
        <w:autoSpaceDN w:val="0"/>
        <w:adjustRightInd w:val="0"/>
        <w:spacing w:line="360" w:lineRule="auto"/>
        <w:ind w:firstLine="420" w:firstLineChars="200"/>
        <w:jc w:val="left"/>
        <w:rPr>
          <w:rFonts w:ascii="宋体" w:hAnsi="宋体"/>
        </w:rPr>
      </w:pPr>
      <w:r>
        <w:rPr>
          <w:rFonts w:hint="eastAsia" w:ascii="宋体" w:hAnsi="宋体"/>
        </w:rPr>
        <w:t>网上交易：基金份额持有人可以使用多家银行的银行卡通过网上交易系统自助办理基金交易业务。</w:t>
      </w:r>
    </w:p>
    <w:p>
      <w:pPr>
        <w:autoSpaceDE w:val="0"/>
        <w:autoSpaceDN w:val="0"/>
        <w:adjustRightInd w:val="0"/>
        <w:spacing w:line="360" w:lineRule="auto"/>
        <w:ind w:firstLine="420" w:firstLineChars="200"/>
        <w:jc w:val="left"/>
        <w:rPr>
          <w:rFonts w:ascii="宋体" w:hAnsi="宋体"/>
        </w:rPr>
      </w:pPr>
      <w:r>
        <w:rPr>
          <w:rFonts w:hint="eastAsia" w:ascii="宋体" w:hAnsi="宋体"/>
        </w:rPr>
        <w:t>网址：https://etrade.icbcubs.com.cn/webTrading/view/html/login/login.html。</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 xml:space="preserve">手机APP：操作简单、应用灵活，基金份额持有人可随时随地通过手机APP办理业务。下载方式：基金份额持有人可以通过在本公司官网下载，也可以通过App Store、华为应用市场、腾讯应用宝、小米应用市场等应用市场搜索下载。 </w:t>
      </w:r>
    </w:p>
    <w:p>
      <w:pPr>
        <w:autoSpaceDE w:val="0"/>
        <w:autoSpaceDN w:val="0"/>
        <w:adjustRightInd w:val="0"/>
        <w:spacing w:line="360" w:lineRule="auto"/>
        <w:ind w:firstLine="420" w:firstLineChars="200"/>
        <w:jc w:val="left"/>
        <w:rPr>
          <w:rFonts w:ascii="宋体" w:hAnsi="宋体"/>
        </w:rPr>
      </w:pPr>
      <w:r>
        <w:rPr>
          <w:rFonts w:hint="eastAsia" w:ascii="宋体" w:hAnsi="宋体"/>
          <w:kern w:val="0"/>
        </w:rPr>
        <w:t>微信交易：基金份额持有人可通过关注“工银微财富或工银瑞信基金”微信公众号办理基金交易业务。</w:t>
      </w:r>
    </w:p>
    <w:p>
      <w:pPr>
        <w:pStyle w:val="91"/>
        <w:ind w:firstLine="420"/>
        <w:jc w:val="left"/>
      </w:pPr>
      <w:r>
        <w:rPr>
          <w:rFonts w:hint="eastAsia"/>
        </w:rPr>
        <w:t>有关基金管理人直销电子自助交易具体规则请参考公司官方网站相关公告和业务规则。</w:t>
      </w:r>
    </w:p>
    <w:p>
      <w:pPr>
        <w:autoSpaceDE w:val="0"/>
        <w:autoSpaceDN w:val="0"/>
        <w:adjustRightInd w:val="0"/>
        <w:spacing w:line="360" w:lineRule="auto"/>
        <w:ind w:firstLine="420" w:firstLineChars="200"/>
        <w:jc w:val="left"/>
        <w:rPr>
          <w:rFonts w:ascii="宋体" w:hAnsi="宋体"/>
        </w:rPr>
      </w:pPr>
      <w:r>
        <w:rPr>
          <w:rFonts w:hint="eastAsia" w:ascii="宋体" w:hAnsi="宋体"/>
        </w:rPr>
        <w:t>（六）关于网站服务</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公司官方网站为基金份额持有人提供账户信息、交易信息、产品信息、公告信息、基金资讯等查询服务，以及基金申购/转换/定期定额查询理财工具、财富俱乐部积分兑换、客户活动参与和交流等服务。</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（七）关于微信服务</w:t>
      </w:r>
    </w:p>
    <w:p>
      <w:pPr>
        <w:autoSpaceDE w:val="0"/>
        <w:spacing w:line="360" w:lineRule="auto"/>
        <w:ind w:firstLine="420" w:firstLineChars="200"/>
        <w:jc w:val="left"/>
        <w:rPr>
          <w:rFonts w:ascii="宋体" w:hAnsi="宋体"/>
          <w:kern w:val="0"/>
        </w:rPr>
      </w:pPr>
      <w:r>
        <w:rPr>
          <w:rFonts w:hint="eastAsia" w:ascii="宋体" w:hAnsi="宋体"/>
          <w:kern w:val="0"/>
        </w:rPr>
        <w:t>公司通过官方微信等即时通讯服务平台为投资者提供理财资讯、基金信息查询及投资者教育等服务。投资者可在微信中搜索并关注 “工银瑞信基金” （gyrx_20050621） 订阅号、 “工银微财富” (gyrx_wcf) 服务号、“工银瑞信投教研习社”（gyrxtjyxs-2020）投教号，已开立工银瑞信基金账户的投资者，将微信账号与基金账户绑定后可通过微信“工银瑞信基金”订阅号、 “工银微财富”服务号查询基金份额等信息。</w:t>
      </w:r>
    </w:p>
    <w:p>
      <w:pPr>
        <w:autoSpaceDE w:val="0"/>
        <w:autoSpaceDN w:val="0"/>
        <w:adjustRightInd w:val="0"/>
        <w:spacing w:line="360" w:lineRule="auto"/>
        <w:ind w:firstLine="420" w:firstLineChars="200"/>
        <w:jc w:val="left"/>
        <w:rPr>
          <w:rFonts w:ascii="宋体" w:hAnsi="宋体"/>
        </w:rPr>
      </w:pPr>
      <w:r>
        <w:rPr>
          <w:rFonts w:hint="eastAsia" w:ascii="宋体" w:hAnsi="宋体"/>
        </w:rPr>
        <w:t>（八）基金份额持有人意见、建议或投诉受理</w:t>
      </w:r>
    </w:p>
    <w:p>
      <w:pPr>
        <w:autoSpaceDE w:val="0"/>
        <w:autoSpaceDN w:val="0"/>
        <w:adjustRightInd w:val="0"/>
        <w:spacing w:line="360" w:lineRule="auto"/>
        <w:ind w:firstLine="420" w:firstLineChars="200"/>
        <w:jc w:val="left"/>
        <w:rPr>
          <w:rFonts w:ascii="宋体" w:hAnsi="宋体"/>
        </w:rPr>
      </w:pPr>
      <w:r>
        <w:rPr>
          <w:rFonts w:hint="eastAsia" w:ascii="宋体" w:hAnsi="宋体"/>
        </w:rPr>
        <w:t>基金份额持有人可以通过本公司客户服务热线电话、在线客服、电子邮箱、信函传真等渠道或方式对基金管理人和销售机构提出意见、建议或投诉。</w:t>
      </w:r>
    </w:p>
    <w:p>
      <w:pPr>
        <w:spacing w:line="360" w:lineRule="auto"/>
        <w:ind w:firstLine="420" w:firstLineChars="200"/>
        <w:rPr>
          <w:rFonts w:ascii="宋体" w:hAnsi="宋体"/>
        </w:rPr>
      </w:pPr>
      <w:r>
        <w:rPr>
          <w:rFonts w:hint="eastAsia" w:ascii="宋体" w:hAnsi="宋体"/>
        </w:rPr>
        <w:t>（九）如本招募说明书存在任何您/贵机构无法理解的内容，请联系本公司客户服务热线电话。请确保投资前，您/贵机构已经全面理解了本招募说明书。</w:t>
      </w:r>
      <w:bookmarkEnd w:id="240"/>
      <w:bookmarkEnd w:id="241"/>
      <w:bookmarkEnd w:id="242"/>
      <w:bookmarkEnd w:id="243"/>
      <w:bookmarkEnd w:id="244"/>
      <w:bookmarkEnd w:id="245"/>
      <w:bookmarkEnd w:id="246"/>
    </w:p>
    <w:p>
      <w:pPr>
        <w:pStyle w:val="4"/>
        <w:spacing w:before="400" w:after="400"/>
        <w:rPr>
          <w:rFonts w:hAnsi="宋体"/>
          <w:kern w:val="0"/>
          <w:sz w:val="32"/>
        </w:rPr>
      </w:pPr>
      <w:r>
        <w:rPr>
          <w:rFonts w:hAnsi="宋体"/>
        </w:rPr>
        <w:br w:type="page"/>
      </w:r>
      <w:bookmarkStart w:id="247" w:name="_Toc55987078"/>
      <w:bookmarkStart w:id="248" w:name="_Toc116052568"/>
      <w:bookmarkStart w:id="249" w:name="_Toc116052802"/>
      <w:bookmarkStart w:id="250" w:name="_Toc203806308"/>
      <w:bookmarkStart w:id="251" w:name="_Toc203357173"/>
      <w:r>
        <w:rPr>
          <w:rFonts w:hint="eastAsia" w:hAnsi="宋体"/>
          <w:kern w:val="0"/>
          <w:sz w:val="32"/>
        </w:rPr>
        <w:t>二十二、其他应披露事项</w:t>
      </w:r>
      <w:bookmarkEnd w:id="247"/>
    </w:p>
    <w:p>
      <w:pPr>
        <w:spacing w:line="360" w:lineRule="auto"/>
        <w:ind w:firstLine="420" w:firstLineChars="200"/>
        <w:rPr>
          <w:rFonts w:ascii="宋体" w:hAnsi="宋体" w:cs="宋体"/>
          <w:kern w:val="0"/>
          <w:szCs w:val="21"/>
        </w:rPr>
      </w:pPr>
      <w:r>
        <w:rPr>
          <w:rFonts w:hint="eastAsia" w:ascii="宋体" w:hAnsi="宋体" w:cs="宋体"/>
          <w:kern w:val="0"/>
          <w:szCs w:val="21"/>
        </w:rPr>
        <w:t>暂无。</w:t>
      </w:r>
    </w:p>
    <w:p>
      <w:pPr>
        <w:spacing w:line="360" w:lineRule="auto"/>
        <w:ind w:firstLine="420" w:firstLineChars="200"/>
        <w:rPr>
          <w:rFonts w:ascii="宋体" w:hAnsi="宋体" w:cs="宋体"/>
          <w:kern w:val="0"/>
          <w:szCs w:val="21"/>
        </w:rPr>
      </w:pPr>
    </w:p>
    <w:p>
      <w:pPr>
        <w:widowControl/>
        <w:jc w:val="left"/>
        <w:rPr>
          <w:rFonts w:ascii="宋体" w:hAnsi="宋体" w:cs="宋体"/>
          <w:kern w:val="0"/>
          <w:szCs w:val="21"/>
        </w:rPr>
      </w:pPr>
      <w:r>
        <w:rPr>
          <w:rFonts w:ascii="宋体" w:hAnsi="宋体" w:cs="宋体"/>
          <w:kern w:val="0"/>
          <w:szCs w:val="21"/>
        </w:rPr>
        <w:br w:type="page"/>
      </w:r>
    </w:p>
    <w:p>
      <w:pPr>
        <w:pStyle w:val="4"/>
        <w:spacing w:before="400" w:after="400"/>
        <w:rPr>
          <w:rFonts w:hAnsi="宋体"/>
          <w:kern w:val="0"/>
          <w:sz w:val="32"/>
        </w:rPr>
      </w:pPr>
      <w:bookmarkStart w:id="252" w:name="_Toc55987079"/>
      <w:r>
        <w:rPr>
          <w:rFonts w:hAnsi="宋体"/>
          <w:kern w:val="0"/>
          <w:sz w:val="32"/>
        </w:rPr>
        <w:t>二十</w:t>
      </w:r>
      <w:r>
        <w:rPr>
          <w:rFonts w:hint="eastAsia" w:hAnsi="宋体"/>
          <w:kern w:val="0"/>
          <w:sz w:val="32"/>
        </w:rPr>
        <w:t>三</w:t>
      </w:r>
      <w:r>
        <w:rPr>
          <w:rFonts w:hAnsi="宋体"/>
          <w:kern w:val="0"/>
          <w:sz w:val="32"/>
        </w:rPr>
        <w:t>、招募说明书存放及查阅方式</w:t>
      </w:r>
      <w:bookmarkEnd w:id="248"/>
      <w:bookmarkEnd w:id="249"/>
      <w:bookmarkEnd w:id="250"/>
      <w:bookmarkEnd w:id="251"/>
      <w:bookmarkEnd w:id="252"/>
    </w:p>
    <w:p>
      <w:pPr>
        <w:spacing w:line="360" w:lineRule="auto"/>
        <w:ind w:firstLine="420" w:firstLineChars="200"/>
        <w:rPr>
          <w:rFonts w:ascii="宋体" w:hAnsi="宋体" w:cs="宋体"/>
          <w:kern w:val="0"/>
          <w:szCs w:val="21"/>
        </w:rPr>
      </w:pPr>
      <w:r>
        <w:rPr>
          <w:rFonts w:ascii="宋体" w:hAnsi="宋体" w:cs="宋体"/>
          <w:kern w:val="0"/>
          <w:szCs w:val="21"/>
        </w:rPr>
        <w:t>本基金招募说明书存放在基金管理人的办公场所和营业场所，投资者可免费查阅。在支付工本费后，可在合理时间内取得上述文件的复制件或复印件。</w:t>
      </w:r>
    </w:p>
    <w:p>
      <w:pPr>
        <w:spacing w:line="360" w:lineRule="auto"/>
        <w:ind w:firstLine="420" w:firstLineChars="200"/>
        <w:rPr>
          <w:rFonts w:ascii="宋体" w:hAnsi="宋体" w:cs="宋体"/>
          <w:kern w:val="0"/>
          <w:szCs w:val="21"/>
        </w:rPr>
      </w:pPr>
      <w:r>
        <w:rPr>
          <w:rFonts w:ascii="宋体" w:hAnsi="宋体" w:cs="宋体"/>
          <w:kern w:val="0"/>
          <w:szCs w:val="21"/>
        </w:rPr>
        <w:t>基金管理人保证文本的内容与公告的内容完全一致。</w:t>
      </w:r>
    </w:p>
    <w:p>
      <w:pPr>
        <w:pStyle w:val="4"/>
        <w:spacing w:before="400" w:after="400"/>
        <w:rPr>
          <w:rFonts w:hAnsi="宋体"/>
          <w:kern w:val="0"/>
          <w:sz w:val="32"/>
        </w:rPr>
      </w:pPr>
      <w:r>
        <w:rPr>
          <w:rFonts w:hAnsi="宋体"/>
        </w:rPr>
        <w:br w:type="page"/>
      </w:r>
      <w:bookmarkStart w:id="253" w:name="_Toc116052569"/>
      <w:bookmarkStart w:id="254" w:name="_Toc203806309"/>
      <w:bookmarkStart w:id="255" w:name="_Toc203357174"/>
      <w:bookmarkStart w:id="256" w:name="_Toc116052803"/>
      <w:bookmarkStart w:id="257" w:name="_Toc55987080"/>
      <w:r>
        <w:rPr>
          <w:rFonts w:hAnsi="宋体"/>
          <w:kern w:val="0"/>
          <w:sz w:val="32"/>
        </w:rPr>
        <w:t>二十</w:t>
      </w:r>
      <w:r>
        <w:rPr>
          <w:rFonts w:hint="eastAsia" w:hAnsi="宋体"/>
          <w:kern w:val="0"/>
          <w:sz w:val="32"/>
        </w:rPr>
        <w:t>四</w:t>
      </w:r>
      <w:r>
        <w:rPr>
          <w:rFonts w:hAnsi="宋体"/>
          <w:kern w:val="0"/>
          <w:sz w:val="32"/>
        </w:rPr>
        <w:t>、备查文件</w:t>
      </w:r>
      <w:bookmarkEnd w:id="253"/>
      <w:bookmarkEnd w:id="254"/>
      <w:bookmarkEnd w:id="255"/>
      <w:bookmarkEnd w:id="256"/>
      <w:bookmarkEnd w:id="257"/>
    </w:p>
    <w:p>
      <w:pPr>
        <w:spacing w:line="360" w:lineRule="auto"/>
        <w:ind w:firstLine="420" w:firstLineChars="200"/>
        <w:rPr>
          <w:rFonts w:ascii="宋体" w:hAnsi="宋体" w:cs="宋体"/>
          <w:kern w:val="0"/>
          <w:szCs w:val="21"/>
        </w:rPr>
      </w:pPr>
      <w:r>
        <w:rPr>
          <w:rFonts w:ascii="宋体" w:hAnsi="宋体" w:cs="宋体"/>
          <w:kern w:val="0"/>
          <w:szCs w:val="21"/>
        </w:rPr>
        <w:t>（一）中国证监会</w:t>
      </w:r>
      <w:r>
        <w:rPr>
          <w:rFonts w:hint="eastAsia" w:ascii="宋体" w:hAnsi="宋体" w:cs="宋体"/>
          <w:kern w:val="0"/>
          <w:szCs w:val="21"/>
        </w:rPr>
        <w:t>准予工银瑞信新能源先锋混合型发起式证券投资基金注册的文件</w:t>
      </w:r>
    </w:p>
    <w:p>
      <w:pPr>
        <w:spacing w:line="360" w:lineRule="auto"/>
        <w:ind w:firstLine="420" w:firstLineChars="200"/>
        <w:rPr>
          <w:rFonts w:ascii="宋体" w:hAnsi="宋体" w:cs="宋体"/>
          <w:kern w:val="0"/>
          <w:szCs w:val="21"/>
        </w:rPr>
      </w:pPr>
      <w:r>
        <w:rPr>
          <w:rFonts w:ascii="宋体" w:hAnsi="宋体" w:cs="宋体"/>
          <w:kern w:val="0"/>
          <w:szCs w:val="21"/>
        </w:rPr>
        <w:t>（二）《</w:t>
      </w:r>
      <w:bookmarkStart w:id="258" w:name="_Toc84749001"/>
      <w:bookmarkStart w:id="259" w:name="_Toc83720748"/>
      <w:r>
        <w:rPr>
          <w:rFonts w:hint="eastAsia" w:ascii="宋体" w:hAnsi="宋体" w:cs="宋体"/>
          <w:kern w:val="0"/>
          <w:szCs w:val="21"/>
        </w:rPr>
        <w:t>工银瑞信新能源先锋混合型发起式证券投资基金基金</w:t>
      </w:r>
      <w:r>
        <w:rPr>
          <w:rFonts w:ascii="宋体" w:hAnsi="宋体" w:cs="宋体"/>
          <w:kern w:val="0"/>
          <w:szCs w:val="21"/>
        </w:rPr>
        <w:t>合同》</w:t>
      </w:r>
    </w:p>
    <w:p>
      <w:pPr>
        <w:spacing w:line="360" w:lineRule="auto"/>
        <w:ind w:firstLine="420" w:firstLineChars="200"/>
        <w:rPr>
          <w:rFonts w:ascii="宋体" w:hAnsi="宋体" w:cs="宋体"/>
          <w:kern w:val="0"/>
          <w:szCs w:val="21"/>
        </w:rPr>
      </w:pPr>
      <w:r>
        <w:rPr>
          <w:rFonts w:ascii="宋体" w:hAnsi="宋体" w:cs="宋体"/>
          <w:kern w:val="0"/>
          <w:szCs w:val="21"/>
        </w:rPr>
        <w:t>（三）《</w:t>
      </w:r>
      <w:r>
        <w:rPr>
          <w:rFonts w:hint="eastAsia" w:ascii="宋体" w:hAnsi="宋体" w:cs="宋体"/>
          <w:kern w:val="0"/>
          <w:szCs w:val="21"/>
        </w:rPr>
        <w:t>工银瑞信新能源先锋混合型发起式证券投资基金</w:t>
      </w:r>
      <w:r>
        <w:rPr>
          <w:rFonts w:ascii="宋体" w:hAnsi="宋体" w:cs="宋体"/>
          <w:kern w:val="0"/>
          <w:szCs w:val="21"/>
        </w:rPr>
        <w:t>托管协议》</w:t>
      </w:r>
    </w:p>
    <w:p>
      <w:pPr>
        <w:spacing w:line="360" w:lineRule="auto"/>
        <w:ind w:firstLine="420" w:firstLineChars="200"/>
        <w:rPr>
          <w:rFonts w:ascii="宋体" w:hAnsi="宋体" w:cs="宋体"/>
          <w:kern w:val="0"/>
          <w:szCs w:val="21"/>
        </w:rPr>
      </w:pPr>
      <w:r>
        <w:rPr>
          <w:rFonts w:hint="eastAsia" w:ascii="宋体" w:hAnsi="宋体" w:cs="宋体"/>
          <w:kern w:val="0"/>
          <w:szCs w:val="21"/>
        </w:rPr>
        <w:t>（四）</w:t>
      </w:r>
      <w:r>
        <w:rPr>
          <w:rFonts w:ascii="宋体" w:hAnsi="宋体" w:cs="宋体"/>
          <w:kern w:val="0"/>
          <w:szCs w:val="21"/>
        </w:rPr>
        <w:t>法律意见书</w:t>
      </w:r>
    </w:p>
    <w:p>
      <w:pPr>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五</w:t>
      </w:r>
      <w:r>
        <w:rPr>
          <w:rFonts w:ascii="宋体" w:hAnsi="宋体" w:cs="宋体"/>
          <w:kern w:val="0"/>
          <w:szCs w:val="21"/>
        </w:rPr>
        <w:t>）基金管理人业务资格批件、营业执照</w:t>
      </w:r>
    </w:p>
    <w:p>
      <w:pPr>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六</w:t>
      </w:r>
      <w:r>
        <w:rPr>
          <w:rFonts w:ascii="宋体" w:hAnsi="宋体" w:cs="宋体"/>
          <w:kern w:val="0"/>
          <w:szCs w:val="21"/>
        </w:rPr>
        <w:t>）基金托管人业务资格批件、营业执照</w:t>
      </w:r>
    </w:p>
    <w:p>
      <w:pPr>
        <w:spacing w:line="360" w:lineRule="auto"/>
        <w:ind w:firstLine="420" w:firstLineChars="200"/>
        <w:rPr>
          <w:rFonts w:ascii="宋体" w:hAnsi="宋体" w:cs="宋体"/>
          <w:kern w:val="0"/>
          <w:szCs w:val="21"/>
        </w:rPr>
      </w:pPr>
      <w:r>
        <w:rPr>
          <w:rFonts w:ascii="宋体" w:hAnsi="宋体" w:cs="宋体"/>
          <w:kern w:val="0"/>
          <w:szCs w:val="21"/>
        </w:rPr>
        <w:t>以上第（一）至（</w:t>
      </w:r>
      <w:r>
        <w:rPr>
          <w:rFonts w:hint="eastAsia" w:ascii="宋体" w:hAnsi="宋体" w:cs="宋体"/>
          <w:kern w:val="0"/>
          <w:szCs w:val="21"/>
        </w:rPr>
        <w:t>五</w:t>
      </w:r>
      <w:r>
        <w:rPr>
          <w:rFonts w:ascii="宋体" w:hAnsi="宋体" w:cs="宋体"/>
          <w:kern w:val="0"/>
          <w:szCs w:val="21"/>
        </w:rPr>
        <w:t>）项备查文件存放在基金管理人办公场所、营业场所，第（</w:t>
      </w:r>
      <w:r>
        <w:rPr>
          <w:rFonts w:hint="eastAsia" w:ascii="宋体" w:hAnsi="宋体" w:cs="宋体"/>
          <w:kern w:val="0"/>
          <w:szCs w:val="21"/>
        </w:rPr>
        <w:t>六</w:t>
      </w:r>
      <w:r>
        <w:rPr>
          <w:rFonts w:ascii="宋体" w:hAnsi="宋体" w:cs="宋体"/>
          <w:kern w:val="0"/>
          <w:szCs w:val="21"/>
        </w:rPr>
        <w:t>）项文件存放于基金托管人的办公场所。基金投资者在营业时间可免费查阅，在支付工本费后，可在合理时间内取得上述文件的复制件或复印件。</w:t>
      </w:r>
    </w:p>
    <w:p>
      <w:pPr>
        <w:spacing w:line="360" w:lineRule="auto"/>
        <w:ind w:firstLine="420" w:firstLineChars="200"/>
        <w:rPr>
          <w:rFonts w:ascii="宋体" w:hAnsi="宋体" w:cs="宋体"/>
          <w:kern w:val="0"/>
          <w:szCs w:val="21"/>
        </w:rPr>
      </w:pPr>
    </w:p>
    <w:p>
      <w:pPr>
        <w:spacing w:line="360" w:lineRule="auto"/>
        <w:ind w:right="231" w:rightChars="110" w:firstLine="420" w:firstLineChars="200"/>
        <w:jc w:val="right"/>
        <w:rPr>
          <w:rFonts w:ascii="宋体" w:hAnsi="宋体" w:cs="宋体"/>
          <w:kern w:val="0"/>
          <w:szCs w:val="21"/>
        </w:rPr>
      </w:pPr>
      <w:r>
        <w:rPr>
          <w:rFonts w:ascii="宋体" w:hAnsi="宋体" w:cs="宋体"/>
          <w:kern w:val="0"/>
          <w:szCs w:val="21"/>
        </w:rPr>
        <w:t>工银瑞信基金管理有限公司</w:t>
      </w:r>
    </w:p>
    <w:p>
      <w:pPr>
        <w:spacing w:line="360" w:lineRule="auto"/>
        <w:ind w:right="514" w:rightChars="245" w:firstLine="420" w:firstLineChars="200"/>
        <w:jc w:val="right"/>
        <w:rPr>
          <w:rFonts w:ascii="宋体" w:hAnsi="宋体" w:cs="宋体"/>
          <w:kern w:val="0"/>
          <w:szCs w:val="21"/>
        </w:rPr>
      </w:pPr>
      <w:r>
        <w:rPr>
          <w:rFonts w:hint="eastAsia" w:ascii="宋体" w:hAnsi="宋体" w:cs="宋体"/>
          <w:kern w:val="0"/>
          <w:szCs w:val="21"/>
        </w:rPr>
        <w:t>二○二</w:t>
      </w:r>
      <w:r>
        <w:rPr>
          <w:rFonts w:hint="eastAsia" w:ascii="宋体" w:hAnsi="宋体" w:cs="宋体"/>
          <w:kern w:val="0"/>
          <w:szCs w:val="21"/>
          <w:lang w:val="en-US" w:eastAsia="zh-CN"/>
        </w:rPr>
        <w:t>六</w:t>
      </w:r>
      <w:r>
        <w:rPr>
          <w:rFonts w:hint="eastAsia" w:ascii="宋体" w:hAnsi="宋体" w:cs="宋体"/>
          <w:kern w:val="0"/>
          <w:szCs w:val="21"/>
        </w:rPr>
        <w:t>年</w:t>
      </w:r>
      <w:r>
        <w:rPr>
          <w:rFonts w:hint="eastAsia" w:ascii="宋体" w:hAnsi="宋体" w:cs="宋体"/>
          <w:kern w:val="0"/>
          <w:szCs w:val="21"/>
          <w:lang w:val="en-US" w:eastAsia="zh-CN"/>
        </w:rPr>
        <w:t>五</w:t>
      </w:r>
      <w:r>
        <w:rPr>
          <w:rFonts w:hint="eastAsia" w:ascii="宋体" w:hAnsi="宋体" w:cs="宋体"/>
          <w:kern w:val="0"/>
          <w:szCs w:val="21"/>
        </w:rPr>
        <w:t>月</w:t>
      </w:r>
      <w:r>
        <w:rPr>
          <w:rFonts w:hint="eastAsia" w:ascii="宋体" w:hAnsi="宋体" w:cs="宋体"/>
          <w:kern w:val="0"/>
          <w:szCs w:val="21"/>
          <w:lang w:val="en-US" w:eastAsia="zh-CN"/>
        </w:rPr>
        <w:t>十八</w:t>
      </w:r>
      <w:r>
        <w:rPr>
          <w:rFonts w:hint="eastAsia" w:ascii="宋体" w:hAnsi="宋体" w:cs="宋体"/>
          <w:kern w:val="0"/>
          <w:szCs w:val="21"/>
        </w:rPr>
        <w:t>日</w:t>
      </w:r>
    </w:p>
    <w:p>
      <w:pPr>
        <w:spacing w:line="360" w:lineRule="auto"/>
        <w:ind w:firstLine="420" w:firstLineChars="200"/>
        <w:rPr>
          <w:rFonts w:ascii="宋体" w:hAnsi="宋体"/>
        </w:rPr>
      </w:pPr>
    </w:p>
    <w:p>
      <w:pPr>
        <w:pStyle w:val="5"/>
        <w:spacing w:before="0" w:after="0"/>
        <w:jc w:val="both"/>
        <w:rPr>
          <w:rFonts w:hAnsi="宋体"/>
        </w:rPr>
        <w:sectPr>
          <w:footerReference r:id="rId12" w:type="default"/>
          <w:pgSz w:w="11907" w:h="16840"/>
          <w:pgMar w:top="1440" w:right="1797" w:bottom="1440" w:left="1797" w:header="851" w:footer="992" w:gutter="0"/>
          <w:pgNumType w:start="1"/>
          <w:cols w:space="720" w:num="1"/>
          <w:docGrid w:type="linesAndChars" w:linePitch="312" w:charSpace="0"/>
        </w:sectPr>
      </w:pPr>
    </w:p>
    <w:p>
      <w:pPr>
        <w:pStyle w:val="5"/>
        <w:spacing w:before="0" w:after="0"/>
        <w:jc w:val="both"/>
        <w:rPr>
          <w:rFonts w:hAnsi="宋体"/>
        </w:rPr>
      </w:pPr>
      <w:bookmarkStart w:id="260" w:name="_Toc55987081"/>
      <w:bookmarkStart w:id="261" w:name="_Toc55833213"/>
      <w:bookmarkStart w:id="262" w:name="_Toc116052804"/>
      <w:bookmarkStart w:id="263" w:name="_Toc203357175"/>
      <w:bookmarkStart w:id="264" w:name="_Toc404006456"/>
      <w:bookmarkStart w:id="265" w:name="_Toc203806310"/>
      <w:bookmarkStart w:id="266" w:name="_Toc354416557"/>
      <w:bookmarkStart w:id="267" w:name="_Toc116052570"/>
      <w:bookmarkStart w:id="268" w:name="_Hlk29764724"/>
      <w:r>
        <w:rPr>
          <w:rFonts w:hAnsi="宋体"/>
        </w:rPr>
        <w:t>附件一</w:t>
      </w:r>
      <w:bookmarkEnd w:id="260"/>
      <w:bookmarkEnd w:id="261"/>
      <w:bookmarkEnd w:id="262"/>
      <w:bookmarkEnd w:id="263"/>
      <w:bookmarkEnd w:id="264"/>
      <w:bookmarkEnd w:id="265"/>
      <w:bookmarkEnd w:id="266"/>
      <w:bookmarkEnd w:id="267"/>
    </w:p>
    <w:p>
      <w:pPr>
        <w:autoSpaceDE w:val="0"/>
        <w:autoSpaceDN w:val="0"/>
        <w:adjustRightInd w:val="0"/>
        <w:spacing w:line="360" w:lineRule="auto"/>
        <w:ind w:right="480" w:firstLine="482"/>
        <w:jc w:val="center"/>
        <w:rPr>
          <w:rFonts w:ascii="宋体" w:hAnsi="宋体"/>
          <w:b/>
          <w:sz w:val="28"/>
          <w:szCs w:val="28"/>
          <w:shd w:val="pct10" w:color="auto" w:fill="FFFFFF"/>
        </w:rPr>
      </w:pPr>
      <w:bookmarkStart w:id="269" w:name="_Toc223336188"/>
      <w:bookmarkStart w:id="270" w:name="_Toc245031316"/>
      <w:r>
        <w:rPr>
          <w:rFonts w:hint="eastAsia" w:ascii="宋体" w:hAnsi="宋体"/>
          <w:b/>
          <w:sz w:val="28"/>
          <w:szCs w:val="28"/>
        </w:rPr>
        <w:t>基金合同内容摘要</w:t>
      </w:r>
    </w:p>
    <w:p>
      <w:pPr>
        <w:autoSpaceDE w:val="0"/>
        <w:autoSpaceDN w:val="0"/>
        <w:adjustRightInd w:val="0"/>
        <w:spacing w:line="360" w:lineRule="auto"/>
        <w:ind w:right="480" w:firstLine="482"/>
        <w:rPr>
          <w:rFonts w:ascii="宋体" w:hAnsi="宋体"/>
          <w:b/>
        </w:rPr>
      </w:pPr>
      <w:r>
        <w:rPr>
          <w:rFonts w:hint="eastAsia" w:ascii="宋体" w:hAnsi="宋体"/>
          <w:b/>
        </w:rPr>
        <w:t>（一）基金份额持有人、基金管理人和基金托管人的权利、义务</w:t>
      </w:r>
    </w:p>
    <w:p>
      <w:pPr>
        <w:autoSpaceDE w:val="0"/>
        <w:autoSpaceDN w:val="0"/>
        <w:adjustRightInd w:val="0"/>
        <w:spacing w:line="360" w:lineRule="auto"/>
        <w:ind w:firstLine="420" w:firstLineChars="200"/>
        <w:jc w:val="left"/>
        <w:rPr>
          <w:rFonts w:ascii="宋体" w:hAnsi="宋体"/>
          <w:bCs/>
        </w:rPr>
      </w:pPr>
      <w:r>
        <w:rPr>
          <w:rFonts w:hint="eastAsia" w:ascii="宋体" w:hAnsi="宋体"/>
          <w:bCs/>
        </w:rPr>
        <w:t>1、基金份额持有人的权利与义务</w:t>
      </w:r>
    </w:p>
    <w:p>
      <w:pPr>
        <w:spacing w:line="360" w:lineRule="auto"/>
        <w:ind w:firstLine="420" w:firstLineChars="200"/>
        <w:rPr>
          <w:rFonts w:ascii="宋体" w:hAnsi="宋体"/>
          <w:bCs/>
        </w:rPr>
      </w:pPr>
      <w:r>
        <w:rPr>
          <w:rFonts w:hint="eastAsia" w:ascii="宋体" w:hAnsi="宋体"/>
          <w:bCs/>
        </w:rPr>
        <w:t>（1）根据《基金法》、《运作办法》及其他有关规定，基金份额持有人的权利包括但不限于：</w:t>
      </w:r>
    </w:p>
    <w:p>
      <w:pPr>
        <w:spacing w:line="360" w:lineRule="auto"/>
        <w:ind w:firstLine="420" w:firstLineChars="200"/>
        <w:rPr>
          <w:rFonts w:ascii="宋体" w:hAnsi="宋体"/>
          <w:bCs/>
        </w:rPr>
      </w:pPr>
      <w:r>
        <w:rPr>
          <w:rFonts w:ascii="宋体" w:hAnsi="宋体"/>
          <w:bCs/>
        </w:rPr>
        <w:t>1</w:t>
      </w:r>
      <w:r>
        <w:rPr>
          <w:rFonts w:hint="eastAsia" w:ascii="宋体" w:hAnsi="宋体"/>
          <w:bCs/>
        </w:rPr>
        <w:t>）分享基金财产收益；</w:t>
      </w:r>
    </w:p>
    <w:p>
      <w:pPr>
        <w:spacing w:line="360" w:lineRule="auto"/>
        <w:ind w:firstLine="420" w:firstLineChars="200"/>
        <w:rPr>
          <w:rFonts w:ascii="宋体" w:hAnsi="宋体"/>
          <w:bCs/>
        </w:rPr>
      </w:pPr>
      <w:r>
        <w:rPr>
          <w:rFonts w:ascii="宋体" w:hAnsi="宋体"/>
          <w:bCs/>
        </w:rPr>
        <w:t>2</w:t>
      </w:r>
      <w:r>
        <w:rPr>
          <w:rFonts w:hint="eastAsia" w:ascii="宋体" w:hAnsi="宋体"/>
          <w:bCs/>
        </w:rPr>
        <w:t>）参与分配清算后的剩余基金财产；</w:t>
      </w:r>
    </w:p>
    <w:p>
      <w:pPr>
        <w:spacing w:line="360" w:lineRule="auto"/>
        <w:ind w:firstLine="420" w:firstLineChars="200"/>
        <w:rPr>
          <w:rFonts w:ascii="宋体" w:hAnsi="宋体"/>
          <w:bCs/>
        </w:rPr>
      </w:pPr>
      <w:r>
        <w:rPr>
          <w:rFonts w:ascii="宋体" w:hAnsi="宋体"/>
          <w:bCs/>
        </w:rPr>
        <w:t>3</w:t>
      </w:r>
      <w:r>
        <w:rPr>
          <w:rFonts w:hint="eastAsia" w:ascii="宋体" w:hAnsi="宋体"/>
          <w:bCs/>
        </w:rPr>
        <w:t>）根据基金合同的约定，依法申请赎回或转让其持有的基金份额；</w:t>
      </w:r>
    </w:p>
    <w:p>
      <w:pPr>
        <w:spacing w:line="360" w:lineRule="auto"/>
        <w:ind w:firstLine="420" w:firstLineChars="200"/>
        <w:rPr>
          <w:rFonts w:ascii="宋体" w:hAnsi="宋体"/>
          <w:bCs/>
        </w:rPr>
      </w:pPr>
      <w:r>
        <w:rPr>
          <w:rFonts w:ascii="宋体" w:hAnsi="宋体"/>
          <w:bCs/>
        </w:rPr>
        <w:t>4</w:t>
      </w:r>
      <w:r>
        <w:rPr>
          <w:rFonts w:hint="eastAsia" w:ascii="宋体" w:hAnsi="宋体"/>
          <w:bCs/>
        </w:rPr>
        <w:t>）按照规定要求召开基金份额持有人大会或者召集基金份额持有人大会；</w:t>
      </w:r>
    </w:p>
    <w:p>
      <w:pPr>
        <w:spacing w:line="360" w:lineRule="auto"/>
        <w:ind w:firstLine="420" w:firstLineChars="200"/>
        <w:rPr>
          <w:rFonts w:ascii="宋体" w:hAnsi="宋体"/>
          <w:bCs/>
        </w:rPr>
      </w:pPr>
      <w:r>
        <w:rPr>
          <w:rFonts w:ascii="宋体" w:hAnsi="宋体"/>
          <w:bCs/>
        </w:rPr>
        <w:t>5</w:t>
      </w:r>
      <w:r>
        <w:rPr>
          <w:rFonts w:hint="eastAsia" w:ascii="宋体" w:hAnsi="宋体"/>
          <w:bCs/>
        </w:rPr>
        <w:t>）出席或者委派代表出席基金份额持有人大会，对基金份额持有人大会审议事项行使表决权；</w:t>
      </w:r>
    </w:p>
    <w:p>
      <w:pPr>
        <w:spacing w:line="360" w:lineRule="auto"/>
        <w:ind w:firstLine="420" w:firstLineChars="200"/>
        <w:rPr>
          <w:rFonts w:ascii="宋体" w:hAnsi="宋体"/>
          <w:bCs/>
        </w:rPr>
      </w:pPr>
      <w:r>
        <w:rPr>
          <w:rFonts w:ascii="宋体" w:hAnsi="宋体"/>
          <w:bCs/>
        </w:rPr>
        <w:t>6</w:t>
      </w:r>
      <w:r>
        <w:rPr>
          <w:rFonts w:hint="eastAsia" w:ascii="宋体" w:hAnsi="宋体"/>
          <w:bCs/>
        </w:rPr>
        <w:t>）查阅或者复制公开披露的基金信息资料；</w:t>
      </w:r>
    </w:p>
    <w:p>
      <w:pPr>
        <w:spacing w:line="360" w:lineRule="auto"/>
        <w:ind w:firstLine="420" w:firstLineChars="200"/>
        <w:rPr>
          <w:rFonts w:ascii="宋体" w:hAnsi="宋体"/>
          <w:bCs/>
        </w:rPr>
      </w:pPr>
      <w:r>
        <w:rPr>
          <w:rFonts w:ascii="宋体" w:hAnsi="宋体"/>
          <w:bCs/>
        </w:rPr>
        <w:t>7</w:t>
      </w:r>
      <w:r>
        <w:rPr>
          <w:rFonts w:hint="eastAsia" w:ascii="宋体" w:hAnsi="宋体"/>
          <w:bCs/>
        </w:rPr>
        <w:t>）监督基金管理人的投资运作；</w:t>
      </w:r>
    </w:p>
    <w:p>
      <w:pPr>
        <w:spacing w:line="360" w:lineRule="auto"/>
        <w:ind w:firstLine="420" w:firstLineChars="200"/>
        <w:rPr>
          <w:rFonts w:ascii="宋体" w:hAnsi="宋体"/>
          <w:bCs/>
        </w:rPr>
      </w:pPr>
      <w:r>
        <w:rPr>
          <w:rFonts w:ascii="宋体" w:hAnsi="宋体"/>
          <w:bCs/>
        </w:rPr>
        <w:t>8</w:t>
      </w:r>
      <w:r>
        <w:rPr>
          <w:rFonts w:hint="eastAsia" w:ascii="宋体" w:hAnsi="宋体"/>
          <w:bCs/>
        </w:rPr>
        <w:t>）对基金管理人、基金托管人、基金服务机构损害其合法权益的行为依法提起诉讼或仲裁；</w:t>
      </w:r>
    </w:p>
    <w:p>
      <w:pPr>
        <w:spacing w:line="360" w:lineRule="auto"/>
        <w:ind w:firstLine="420" w:firstLineChars="200"/>
        <w:rPr>
          <w:rFonts w:ascii="宋体" w:hAnsi="宋体"/>
          <w:bCs/>
        </w:rPr>
      </w:pPr>
      <w:r>
        <w:rPr>
          <w:rFonts w:ascii="宋体" w:hAnsi="宋体"/>
          <w:bCs/>
        </w:rPr>
        <w:t>9</w:t>
      </w:r>
      <w:r>
        <w:rPr>
          <w:rFonts w:hint="eastAsia" w:ascii="宋体" w:hAnsi="宋体"/>
          <w:bCs/>
        </w:rPr>
        <w:t>）法律法规及中国证监会规定的和《基金合同》约定的其他权利。</w:t>
      </w:r>
    </w:p>
    <w:p>
      <w:pPr>
        <w:spacing w:line="360" w:lineRule="auto"/>
        <w:ind w:firstLine="420" w:firstLineChars="200"/>
        <w:rPr>
          <w:rFonts w:ascii="宋体" w:hAnsi="宋体"/>
          <w:bCs/>
        </w:rPr>
      </w:pPr>
      <w:r>
        <w:rPr>
          <w:rFonts w:hint="eastAsia" w:ascii="宋体" w:hAnsi="宋体"/>
          <w:bCs/>
        </w:rPr>
        <w:t>（2）根据《基金法》、《运作办法》及其他有关规定，基金份额持有人的义务包括但不限于：</w:t>
      </w:r>
    </w:p>
    <w:p>
      <w:pPr>
        <w:spacing w:line="360" w:lineRule="auto"/>
        <w:ind w:firstLine="420" w:firstLineChars="200"/>
        <w:rPr>
          <w:rFonts w:ascii="宋体" w:hAnsi="宋体"/>
          <w:bCs/>
        </w:rPr>
      </w:pPr>
      <w:r>
        <w:rPr>
          <w:rFonts w:ascii="宋体" w:hAnsi="宋体"/>
          <w:bCs/>
        </w:rPr>
        <w:t>1</w:t>
      </w:r>
      <w:r>
        <w:rPr>
          <w:rFonts w:hint="eastAsia" w:ascii="宋体" w:hAnsi="宋体"/>
          <w:bCs/>
        </w:rPr>
        <w:t>）认真阅读并遵守《基金合同》、招募说明书等信息披露文件；</w:t>
      </w:r>
    </w:p>
    <w:p>
      <w:pPr>
        <w:spacing w:line="360" w:lineRule="auto"/>
        <w:ind w:firstLine="420" w:firstLineChars="200"/>
        <w:rPr>
          <w:rFonts w:ascii="宋体" w:hAnsi="宋体"/>
          <w:bCs/>
        </w:rPr>
      </w:pPr>
      <w:r>
        <w:rPr>
          <w:rFonts w:ascii="宋体" w:hAnsi="宋体"/>
          <w:bCs/>
        </w:rPr>
        <w:t>2</w:t>
      </w:r>
      <w:r>
        <w:rPr>
          <w:rFonts w:hint="eastAsia" w:ascii="宋体" w:hAnsi="宋体"/>
          <w:bCs/>
        </w:rPr>
        <w:t>）了解所投资基金产品，了解自身风险承受能力，自主判断基金的投资价值，自主做出投资决策，自行承担投资风险；</w:t>
      </w:r>
    </w:p>
    <w:p>
      <w:pPr>
        <w:spacing w:line="360" w:lineRule="auto"/>
        <w:ind w:firstLine="420" w:firstLineChars="200"/>
        <w:rPr>
          <w:rFonts w:ascii="宋体" w:hAnsi="宋体"/>
          <w:bCs/>
        </w:rPr>
      </w:pPr>
      <w:r>
        <w:rPr>
          <w:rFonts w:ascii="宋体" w:hAnsi="宋体"/>
          <w:bCs/>
        </w:rPr>
        <w:t>3</w:t>
      </w:r>
      <w:r>
        <w:rPr>
          <w:rFonts w:hint="eastAsia" w:ascii="宋体" w:hAnsi="宋体"/>
          <w:bCs/>
        </w:rPr>
        <w:t>）关注基金信息披露，及时行使权利和履行义务；</w:t>
      </w:r>
    </w:p>
    <w:p>
      <w:pPr>
        <w:spacing w:line="360" w:lineRule="auto"/>
        <w:ind w:firstLine="420" w:firstLineChars="200"/>
        <w:rPr>
          <w:rFonts w:ascii="宋体" w:hAnsi="宋体"/>
          <w:bCs/>
        </w:rPr>
      </w:pPr>
      <w:r>
        <w:rPr>
          <w:rFonts w:ascii="宋体" w:hAnsi="宋体"/>
          <w:bCs/>
        </w:rPr>
        <w:t>4</w:t>
      </w:r>
      <w:r>
        <w:rPr>
          <w:rFonts w:hint="eastAsia" w:ascii="宋体" w:hAnsi="宋体"/>
          <w:bCs/>
        </w:rPr>
        <w:t>）交纳基金认购、申购或转换款项及法律法规和《基金合同》所规定的费用；</w:t>
      </w:r>
    </w:p>
    <w:p>
      <w:pPr>
        <w:spacing w:line="360" w:lineRule="auto"/>
        <w:ind w:firstLine="420" w:firstLineChars="200"/>
        <w:rPr>
          <w:rFonts w:ascii="宋体" w:hAnsi="宋体"/>
          <w:bCs/>
        </w:rPr>
      </w:pPr>
      <w:r>
        <w:rPr>
          <w:rFonts w:ascii="宋体" w:hAnsi="宋体"/>
          <w:bCs/>
        </w:rPr>
        <w:t>5</w:t>
      </w:r>
      <w:r>
        <w:rPr>
          <w:rFonts w:hint="eastAsia" w:ascii="宋体" w:hAnsi="宋体"/>
          <w:bCs/>
        </w:rPr>
        <w:t>）在其持有的基金份额范围内，承担基金亏损或者《基金合同》终止的有限责任；</w:t>
      </w:r>
    </w:p>
    <w:p>
      <w:pPr>
        <w:spacing w:line="360" w:lineRule="auto"/>
        <w:ind w:firstLine="420" w:firstLineChars="200"/>
        <w:rPr>
          <w:rFonts w:ascii="宋体" w:hAnsi="宋体"/>
          <w:bCs/>
        </w:rPr>
      </w:pPr>
      <w:r>
        <w:rPr>
          <w:rFonts w:ascii="宋体" w:hAnsi="宋体"/>
          <w:bCs/>
        </w:rPr>
        <w:t>6</w:t>
      </w:r>
      <w:r>
        <w:rPr>
          <w:rFonts w:hint="eastAsia" w:ascii="宋体" w:hAnsi="宋体"/>
          <w:bCs/>
        </w:rPr>
        <w:t>）不从事任何有损基金及其他《基金合同》当事人合法权益的活动；</w:t>
      </w:r>
    </w:p>
    <w:p>
      <w:pPr>
        <w:spacing w:line="360" w:lineRule="auto"/>
        <w:ind w:firstLine="420" w:firstLineChars="200"/>
        <w:rPr>
          <w:rFonts w:ascii="宋体" w:hAnsi="宋体"/>
          <w:bCs/>
        </w:rPr>
      </w:pPr>
      <w:r>
        <w:rPr>
          <w:rFonts w:ascii="宋体" w:hAnsi="宋体"/>
          <w:bCs/>
        </w:rPr>
        <w:t>7</w:t>
      </w:r>
      <w:r>
        <w:rPr>
          <w:rFonts w:hint="eastAsia" w:ascii="宋体" w:hAnsi="宋体"/>
          <w:bCs/>
        </w:rPr>
        <w:t>）执行生效的基金份额持有人大会的决议；</w:t>
      </w:r>
    </w:p>
    <w:p>
      <w:pPr>
        <w:spacing w:line="360" w:lineRule="auto"/>
        <w:ind w:firstLine="420" w:firstLineChars="200"/>
        <w:rPr>
          <w:rFonts w:ascii="宋体" w:hAnsi="宋体"/>
          <w:bCs/>
        </w:rPr>
      </w:pPr>
      <w:r>
        <w:rPr>
          <w:rFonts w:ascii="宋体" w:hAnsi="宋体"/>
          <w:bCs/>
        </w:rPr>
        <w:t>8</w:t>
      </w:r>
      <w:r>
        <w:rPr>
          <w:rFonts w:hint="eastAsia" w:ascii="宋体" w:hAnsi="宋体"/>
          <w:bCs/>
        </w:rPr>
        <w:t>）返还在基金交易过程中因任何原因获得的不当得利；</w:t>
      </w:r>
    </w:p>
    <w:p>
      <w:pPr>
        <w:spacing w:line="360" w:lineRule="auto"/>
        <w:ind w:firstLine="420" w:firstLineChars="200"/>
        <w:rPr>
          <w:rFonts w:ascii="宋体" w:hAnsi="宋体"/>
          <w:bCs/>
        </w:rPr>
      </w:pPr>
      <w:r>
        <w:rPr>
          <w:rFonts w:ascii="宋体" w:hAnsi="宋体"/>
          <w:bCs/>
        </w:rPr>
        <w:t>9</w:t>
      </w:r>
      <w:r>
        <w:rPr>
          <w:rFonts w:hint="eastAsia" w:ascii="宋体" w:hAnsi="宋体"/>
          <w:bCs/>
        </w:rPr>
        <w:t>）发起资金提供方持有发起资金认购的基金份额不少于3年；</w:t>
      </w:r>
    </w:p>
    <w:p>
      <w:pPr>
        <w:spacing w:line="360" w:lineRule="auto"/>
        <w:ind w:firstLine="420" w:firstLineChars="200"/>
        <w:rPr>
          <w:rFonts w:ascii="宋体" w:hAnsi="宋体"/>
          <w:bCs/>
        </w:rPr>
      </w:pPr>
      <w:r>
        <w:rPr>
          <w:rFonts w:hint="eastAsia" w:ascii="宋体" w:hAnsi="宋体"/>
          <w:bCs/>
        </w:rPr>
        <w:t>10）法律法规及中国证监会规定的和《基金合同》约定的其他义务。</w:t>
      </w:r>
    </w:p>
    <w:p>
      <w:pPr>
        <w:spacing w:line="360" w:lineRule="auto"/>
        <w:ind w:firstLine="420" w:firstLineChars="200"/>
        <w:rPr>
          <w:rFonts w:ascii="宋体" w:hAnsi="宋体" w:cs="宋体"/>
          <w:kern w:val="0"/>
          <w:szCs w:val="21"/>
        </w:rPr>
      </w:pPr>
      <w:r>
        <w:rPr>
          <w:rFonts w:ascii="宋体" w:hAnsi="宋体" w:cs="宋体"/>
          <w:kern w:val="0"/>
          <w:szCs w:val="21"/>
        </w:rPr>
        <w:t>2、基金管理人的权利与义务</w:t>
      </w:r>
    </w:p>
    <w:p>
      <w:pPr>
        <w:spacing w:line="360" w:lineRule="auto"/>
        <w:ind w:firstLine="420" w:firstLineChars="200"/>
        <w:rPr>
          <w:rFonts w:ascii="宋体" w:hAnsi="宋体" w:cs="宋体"/>
          <w:kern w:val="0"/>
          <w:szCs w:val="21"/>
        </w:rPr>
      </w:pPr>
      <w:r>
        <w:rPr>
          <w:rFonts w:hint="eastAsia" w:ascii="宋体" w:hAnsi="宋体" w:cs="宋体"/>
          <w:kern w:val="0"/>
          <w:szCs w:val="21"/>
        </w:rPr>
        <w:t>（1）根据《基金法》、《运作办法》及其他有关规定，基金管理人的权利包括但不限于：</w:t>
      </w:r>
    </w:p>
    <w:p>
      <w:pPr>
        <w:spacing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）依法募集资金；</w:t>
      </w:r>
    </w:p>
    <w:p>
      <w:pPr>
        <w:spacing w:line="360" w:lineRule="auto"/>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）自《基金合同》生效之日起，根据法律法规和《基金合同》独立运用并管理基金财产；</w:t>
      </w:r>
    </w:p>
    <w:p>
      <w:pPr>
        <w:spacing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）依照《基金合同》收取基金管理费（包括固定管理费、或有管理费和超额管理费）以及法律法规规定或中国证监会批准的其他费用；</w:t>
      </w:r>
    </w:p>
    <w:p>
      <w:pPr>
        <w:spacing w:line="360" w:lineRule="auto"/>
        <w:ind w:firstLine="420" w:firstLineChars="200"/>
        <w:rPr>
          <w:rFonts w:ascii="宋体" w:hAnsi="宋体" w:cs="宋体"/>
          <w:kern w:val="0"/>
          <w:szCs w:val="21"/>
        </w:rPr>
      </w:pPr>
      <w:r>
        <w:rPr>
          <w:rFonts w:ascii="宋体" w:hAnsi="宋体" w:cs="宋体"/>
          <w:kern w:val="0"/>
          <w:szCs w:val="21"/>
        </w:rPr>
        <w:t>4</w:t>
      </w:r>
      <w:r>
        <w:rPr>
          <w:rFonts w:hint="eastAsia" w:ascii="宋体" w:hAnsi="宋体" w:cs="宋体"/>
          <w:kern w:val="0"/>
          <w:szCs w:val="21"/>
        </w:rPr>
        <w:t>）销售基金份额；</w:t>
      </w:r>
    </w:p>
    <w:p>
      <w:pPr>
        <w:spacing w:line="360" w:lineRule="auto"/>
        <w:ind w:firstLine="420" w:firstLineChars="200"/>
        <w:rPr>
          <w:rFonts w:ascii="宋体" w:hAnsi="宋体" w:cs="宋体"/>
          <w:kern w:val="0"/>
          <w:szCs w:val="21"/>
        </w:rPr>
      </w:pPr>
      <w:r>
        <w:rPr>
          <w:rFonts w:hint="eastAsia" w:ascii="宋体" w:hAnsi="宋体" w:cs="宋体"/>
          <w:kern w:val="0"/>
          <w:szCs w:val="21"/>
        </w:rPr>
        <w:t>5）</w:t>
      </w:r>
      <w:bookmarkStart w:id="271" w:name="_Hlt88896155"/>
      <w:r>
        <w:rPr>
          <w:rFonts w:hint="eastAsia" w:ascii="宋体" w:hAnsi="宋体" w:cs="宋体"/>
          <w:kern w:val="0"/>
          <w:szCs w:val="21"/>
        </w:rPr>
        <w:t>按照规定召集</w:t>
      </w:r>
      <w:bookmarkEnd w:id="271"/>
      <w:r>
        <w:rPr>
          <w:rFonts w:hint="eastAsia" w:ascii="宋体" w:hAnsi="宋体" w:cs="宋体"/>
          <w:kern w:val="0"/>
          <w:szCs w:val="21"/>
        </w:rPr>
        <w:t>基金份额持有人大会；</w:t>
      </w:r>
    </w:p>
    <w:p>
      <w:pPr>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20" w:firstLineChars="200"/>
        <w:rPr>
          <w:rFonts w:ascii="宋体" w:hAnsi="宋体" w:cs="宋体"/>
          <w:kern w:val="0"/>
          <w:szCs w:val="21"/>
        </w:rPr>
      </w:pPr>
      <w:r>
        <w:rPr>
          <w:rFonts w:ascii="宋体" w:hAnsi="宋体" w:cs="宋体"/>
          <w:kern w:val="0"/>
          <w:szCs w:val="21"/>
        </w:rPr>
        <w:t>7</w:t>
      </w:r>
      <w:r>
        <w:rPr>
          <w:rFonts w:hint="eastAsia" w:ascii="宋体" w:hAnsi="宋体" w:cs="宋体"/>
          <w:kern w:val="0"/>
          <w:szCs w:val="21"/>
        </w:rPr>
        <w:t>）在基金托管人更换时，提名新的基金托管人；</w:t>
      </w:r>
    </w:p>
    <w:p>
      <w:pPr>
        <w:spacing w:line="360" w:lineRule="auto"/>
        <w:ind w:firstLine="420" w:firstLineChars="200"/>
        <w:rPr>
          <w:rFonts w:ascii="宋体" w:hAnsi="宋体" w:cs="宋体"/>
          <w:kern w:val="0"/>
          <w:szCs w:val="21"/>
        </w:rPr>
      </w:pPr>
      <w:r>
        <w:rPr>
          <w:rFonts w:ascii="宋体" w:hAnsi="宋体" w:cs="宋体"/>
          <w:kern w:val="0"/>
          <w:szCs w:val="21"/>
        </w:rPr>
        <w:t>8</w:t>
      </w:r>
      <w:r>
        <w:rPr>
          <w:rFonts w:hint="eastAsia" w:ascii="宋体" w:hAnsi="宋体" w:cs="宋体"/>
          <w:kern w:val="0"/>
          <w:szCs w:val="21"/>
        </w:rPr>
        <w:t>）选择、更换基金销售机构，对基金销售机构的相关行为进行监督和处理；</w:t>
      </w:r>
    </w:p>
    <w:p>
      <w:pPr>
        <w:spacing w:line="360" w:lineRule="auto"/>
        <w:ind w:firstLine="420" w:firstLineChars="200"/>
        <w:rPr>
          <w:rFonts w:ascii="宋体" w:hAnsi="宋体" w:cs="宋体"/>
          <w:kern w:val="0"/>
          <w:szCs w:val="21"/>
        </w:rPr>
      </w:pPr>
      <w:r>
        <w:rPr>
          <w:rFonts w:ascii="宋体" w:hAnsi="宋体" w:cs="宋体"/>
          <w:kern w:val="0"/>
          <w:szCs w:val="21"/>
        </w:rPr>
        <w:t>9</w:t>
      </w:r>
      <w:r>
        <w:rPr>
          <w:rFonts w:hint="eastAsia" w:ascii="宋体" w:hAnsi="宋体" w:cs="宋体"/>
          <w:kern w:val="0"/>
          <w:szCs w:val="21"/>
        </w:rPr>
        <w:t>）担任或委托其他符合条件的机构担任基金登记机构办理基金登记业务并获得《基金合同》规定的费用；</w:t>
      </w:r>
    </w:p>
    <w:p>
      <w:pPr>
        <w:spacing w:line="360" w:lineRule="auto"/>
        <w:ind w:firstLine="420" w:firstLineChars="200"/>
        <w:rPr>
          <w:rFonts w:ascii="宋体" w:hAnsi="宋体" w:cs="宋体"/>
          <w:kern w:val="0"/>
          <w:szCs w:val="21"/>
        </w:rPr>
      </w:pPr>
      <w:r>
        <w:rPr>
          <w:rFonts w:ascii="宋体" w:hAnsi="宋体" w:cs="宋体"/>
          <w:kern w:val="0"/>
          <w:szCs w:val="21"/>
        </w:rPr>
        <w:t>10</w:t>
      </w:r>
      <w:r>
        <w:rPr>
          <w:rFonts w:hint="eastAsia" w:ascii="宋体" w:hAnsi="宋体" w:cs="宋体"/>
          <w:kern w:val="0"/>
          <w:szCs w:val="21"/>
        </w:rPr>
        <w:t>）依据《基金合同》及有关法律规定决定基金收益的分配方案；</w:t>
      </w:r>
    </w:p>
    <w:p>
      <w:pPr>
        <w:spacing w:line="360" w:lineRule="auto"/>
        <w:ind w:firstLine="420" w:firstLineChars="200"/>
        <w:rPr>
          <w:rFonts w:ascii="宋体" w:hAnsi="宋体" w:cs="宋体"/>
          <w:kern w:val="0"/>
          <w:szCs w:val="21"/>
        </w:rPr>
      </w:pPr>
      <w:r>
        <w:rPr>
          <w:rFonts w:ascii="宋体" w:hAnsi="宋体" w:cs="宋体"/>
          <w:kern w:val="0"/>
          <w:szCs w:val="21"/>
        </w:rPr>
        <w:t>11</w:t>
      </w:r>
      <w:r>
        <w:rPr>
          <w:rFonts w:hint="eastAsia" w:ascii="宋体" w:hAnsi="宋体" w:cs="宋体"/>
          <w:kern w:val="0"/>
          <w:szCs w:val="21"/>
        </w:rPr>
        <w:t>）在《基金合同》约定的范围内，拒绝或暂停受理申购、赎回或转换申请；</w:t>
      </w:r>
    </w:p>
    <w:p>
      <w:pPr>
        <w:spacing w:line="360" w:lineRule="auto"/>
        <w:ind w:firstLine="420" w:firstLineChars="200"/>
        <w:rPr>
          <w:rFonts w:ascii="宋体" w:hAnsi="宋体" w:cs="宋体"/>
          <w:kern w:val="0"/>
          <w:szCs w:val="21"/>
        </w:rPr>
      </w:pPr>
      <w:r>
        <w:rPr>
          <w:rFonts w:ascii="宋体" w:hAnsi="宋体" w:cs="宋体"/>
          <w:kern w:val="0"/>
          <w:szCs w:val="21"/>
        </w:rPr>
        <w:t>12</w:t>
      </w:r>
      <w:r>
        <w:rPr>
          <w:rFonts w:hint="eastAsia" w:ascii="宋体" w:hAnsi="宋体" w:cs="宋体"/>
          <w:kern w:val="0"/>
          <w:szCs w:val="21"/>
        </w:rPr>
        <w:t>）依照法律法规为基金的利益对被投资公司行使股东权利，为基金的利益行使因基金财产投资于证券所产生的权利；</w:t>
      </w:r>
    </w:p>
    <w:p>
      <w:pPr>
        <w:spacing w:line="360" w:lineRule="auto"/>
        <w:ind w:firstLine="420" w:firstLineChars="200"/>
        <w:rPr>
          <w:rFonts w:ascii="宋体" w:hAnsi="宋体" w:cs="宋体"/>
          <w:kern w:val="0"/>
          <w:szCs w:val="21"/>
        </w:rPr>
      </w:pPr>
      <w:r>
        <w:rPr>
          <w:rFonts w:ascii="宋体" w:hAnsi="宋体" w:cs="宋体"/>
          <w:kern w:val="0"/>
          <w:szCs w:val="21"/>
        </w:rPr>
        <w:t>13</w:t>
      </w:r>
      <w:r>
        <w:rPr>
          <w:rFonts w:hint="eastAsia" w:ascii="宋体" w:hAnsi="宋体" w:cs="宋体"/>
          <w:kern w:val="0"/>
          <w:szCs w:val="21"/>
        </w:rPr>
        <w:t>）在法律法规允许的前提下，为基金的利益依法为基金进行融资；</w:t>
      </w:r>
    </w:p>
    <w:p>
      <w:pPr>
        <w:spacing w:line="360" w:lineRule="auto"/>
        <w:ind w:firstLine="420" w:firstLineChars="200"/>
        <w:rPr>
          <w:rFonts w:ascii="宋体" w:hAnsi="宋体" w:cs="宋体"/>
          <w:kern w:val="0"/>
          <w:szCs w:val="21"/>
        </w:rPr>
      </w:pPr>
      <w:r>
        <w:rPr>
          <w:rFonts w:ascii="宋体" w:hAnsi="宋体" w:cs="宋体"/>
          <w:kern w:val="0"/>
          <w:szCs w:val="21"/>
        </w:rPr>
        <w:t>14</w:t>
      </w:r>
      <w:r>
        <w:rPr>
          <w:rFonts w:hint="eastAsia" w:ascii="宋体" w:hAnsi="宋体" w:cs="宋体"/>
          <w:kern w:val="0"/>
          <w:szCs w:val="21"/>
        </w:rPr>
        <w:t>）以基金管理人的名义，代表基金份额持有人的利益行使诉讼权利或者实施其他法律行为；</w:t>
      </w:r>
    </w:p>
    <w:p>
      <w:pPr>
        <w:spacing w:line="360" w:lineRule="auto"/>
        <w:ind w:firstLine="420" w:firstLineChars="200"/>
        <w:rPr>
          <w:rFonts w:ascii="宋体" w:hAnsi="宋体" w:cs="宋体"/>
          <w:kern w:val="0"/>
          <w:szCs w:val="21"/>
        </w:rPr>
      </w:pPr>
      <w:r>
        <w:rPr>
          <w:rFonts w:ascii="宋体" w:hAnsi="宋体" w:cs="宋体"/>
          <w:kern w:val="0"/>
          <w:szCs w:val="21"/>
        </w:rPr>
        <w:t>15</w:t>
      </w:r>
      <w:r>
        <w:rPr>
          <w:rFonts w:hint="eastAsia" w:ascii="宋体" w:hAnsi="宋体" w:cs="宋体"/>
          <w:kern w:val="0"/>
          <w:szCs w:val="21"/>
        </w:rPr>
        <w:t>）选择、更换律师事务所、会计师事务所、证券</w:t>
      </w:r>
      <w:r>
        <w:rPr>
          <w:rFonts w:ascii="宋体" w:hAnsi="宋体" w:cs="宋体"/>
          <w:kern w:val="0"/>
          <w:szCs w:val="21"/>
        </w:rPr>
        <w:t>/</w:t>
      </w:r>
      <w:r>
        <w:rPr>
          <w:rFonts w:hint="eastAsia" w:ascii="宋体" w:hAnsi="宋体" w:cs="宋体"/>
          <w:kern w:val="0"/>
          <w:szCs w:val="21"/>
        </w:rPr>
        <w:t>期货经纪商或其他为基金提供服务的外部机构；若本基金采用证券经纪机构交易结算模式，基金管理人有权选择代表本基金进行场内交易、作为结算参与人代理本基金进行结算的证券经纪机构，并签订证券经纪服务协议；本基金管理人在法律法规等允许的前提下亦有权决定本基金证券交易模式的转换；</w:t>
      </w:r>
    </w:p>
    <w:p>
      <w:pPr>
        <w:spacing w:line="360" w:lineRule="auto"/>
        <w:ind w:firstLine="420" w:firstLineChars="200"/>
        <w:rPr>
          <w:rFonts w:ascii="宋体" w:hAnsi="宋体" w:cs="宋体"/>
          <w:kern w:val="0"/>
          <w:szCs w:val="21"/>
        </w:rPr>
      </w:pPr>
      <w:r>
        <w:rPr>
          <w:rFonts w:ascii="宋体" w:hAnsi="宋体" w:cs="宋体"/>
          <w:kern w:val="0"/>
          <w:szCs w:val="21"/>
        </w:rPr>
        <w:t>16</w:t>
      </w:r>
      <w:r>
        <w:rPr>
          <w:rFonts w:hint="eastAsia" w:ascii="宋体" w:hAnsi="宋体" w:cs="宋体"/>
          <w:kern w:val="0"/>
          <w:szCs w:val="21"/>
        </w:rPr>
        <w:t>）在符合有关法律、法规的前提下，制订和调整有关基金认购、申购、赎回、转换、非交易过户、转托管和收益分配等的业务规则；</w:t>
      </w:r>
    </w:p>
    <w:p>
      <w:pPr>
        <w:spacing w:line="360" w:lineRule="auto"/>
        <w:ind w:firstLine="420" w:firstLineChars="200"/>
        <w:rPr>
          <w:rFonts w:ascii="宋体" w:hAnsi="宋体" w:cs="宋体"/>
          <w:kern w:val="0"/>
          <w:szCs w:val="21"/>
        </w:rPr>
      </w:pPr>
      <w:r>
        <w:rPr>
          <w:rFonts w:ascii="宋体" w:hAnsi="宋体" w:cs="宋体"/>
          <w:kern w:val="0"/>
          <w:szCs w:val="21"/>
        </w:rPr>
        <w:t>17</w:t>
      </w:r>
      <w:r>
        <w:rPr>
          <w:rFonts w:hint="eastAsia" w:ascii="宋体" w:hAnsi="宋体" w:cs="宋体"/>
          <w:kern w:val="0"/>
          <w:szCs w:val="21"/>
        </w:rPr>
        <w:t>）法律法规及中国证监会规定的和《基金合同》约定的其他权利。</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）根据《基金法》、《运作办法》及其他有关规定，基金管理人的义务包括但不限于：</w:t>
      </w:r>
    </w:p>
    <w:p>
      <w:pPr>
        <w:spacing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）依法募集资金，办理或者委托经中国证监会认定的其他机构代为办理基金份额的发售、申购、赎回和登记事宜；</w:t>
      </w:r>
    </w:p>
    <w:p>
      <w:pPr>
        <w:spacing w:line="360" w:lineRule="auto"/>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）办理基金备案手续；</w:t>
      </w:r>
    </w:p>
    <w:p>
      <w:pPr>
        <w:spacing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）自《基金合同》生效之日起，以诚实信用、谨慎勤勉的原则管理和运用基金财产；</w:t>
      </w:r>
    </w:p>
    <w:p>
      <w:pPr>
        <w:spacing w:line="360" w:lineRule="auto"/>
        <w:ind w:firstLine="420" w:firstLineChars="200"/>
        <w:rPr>
          <w:rFonts w:ascii="宋体" w:hAnsi="宋体" w:cs="宋体"/>
          <w:kern w:val="0"/>
          <w:szCs w:val="21"/>
        </w:rPr>
      </w:pPr>
      <w:r>
        <w:rPr>
          <w:rFonts w:ascii="宋体" w:hAnsi="宋体" w:cs="宋体"/>
          <w:kern w:val="0"/>
          <w:szCs w:val="21"/>
        </w:rPr>
        <w:t>4</w:t>
      </w:r>
      <w:r>
        <w:rPr>
          <w:rFonts w:hint="eastAsia" w:ascii="宋体" w:hAnsi="宋体" w:cs="宋体"/>
          <w:kern w:val="0"/>
          <w:szCs w:val="21"/>
        </w:rPr>
        <w:t>）配备足够的具有专业资格的人员进行基金投资分析、决策，以专业化的经营方式管理和运作基金财产；</w:t>
      </w:r>
    </w:p>
    <w:p>
      <w:pPr>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）除依据《基金法》、《基金合同》及其他有关规定外，不得利用基金财产为自己及任何第三人谋取利益，不得委托第三人运作基金财产；</w:t>
      </w:r>
    </w:p>
    <w:p>
      <w:pPr>
        <w:spacing w:line="360" w:lineRule="auto"/>
        <w:ind w:firstLine="420" w:firstLineChars="200"/>
        <w:rPr>
          <w:rFonts w:ascii="宋体" w:hAnsi="宋体" w:cs="宋体"/>
          <w:kern w:val="0"/>
          <w:szCs w:val="21"/>
        </w:rPr>
      </w:pPr>
      <w:r>
        <w:rPr>
          <w:rFonts w:ascii="宋体" w:hAnsi="宋体" w:cs="宋体"/>
          <w:kern w:val="0"/>
          <w:szCs w:val="21"/>
        </w:rPr>
        <w:t>7</w:t>
      </w:r>
      <w:r>
        <w:rPr>
          <w:rFonts w:hint="eastAsia" w:ascii="宋体" w:hAnsi="宋体" w:cs="宋体"/>
          <w:kern w:val="0"/>
          <w:szCs w:val="21"/>
        </w:rPr>
        <w:t>）依法接受基金托管人的监督；</w:t>
      </w:r>
    </w:p>
    <w:p>
      <w:pPr>
        <w:spacing w:line="360" w:lineRule="auto"/>
        <w:ind w:firstLine="420" w:firstLineChars="200"/>
        <w:rPr>
          <w:rFonts w:ascii="宋体" w:hAnsi="宋体" w:cs="宋体"/>
          <w:kern w:val="0"/>
          <w:szCs w:val="21"/>
        </w:rPr>
      </w:pPr>
      <w:r>
        <w:rPr>
          <w:rFonts w:ascii="宋体" w:hAnsi="宋体" w:cs="宋体"/>
          <w:kern w:val="0"/>
          <w:szCs w:val="21"/>
        </w:rPr>
        <w:t>8</w:t>
      </w:r>
      <w:r>
        <w:rPr>
          <w:rFonts w:hint="eastAsia" w:ascii="宋体" w:hAnsi="宋体" w:cs="宋体"/>
          <w:kern w:val="0"/>
          <w:szCs w:val="21"/>
        </w:rPr>
        <w:t>）采取适当合理的措施使计算基金份额认购、申购、赎回和注销价格的方法符合《基金合同》等法律文件的规定，按有关规定计算并公告基金净值信息，确定基金份额申购、赎回的价格；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20" w:firstLineChars="200"/>
        <w:rPr>
          <w:rFonts w:ascii="宋体" w:hAnsi="宋体" w:cs="宋体"/>
          <w:kern w:val="0"/>
          <w:szCs w:val="21"/>
        </w:rPr>
      </w:pPr>
      <w:r>
        <w:rPr>
          <w:rFonts w:ascii="宋体" w:hAnsi="宋体" w:cs="宋体"/>
          <w:kern w:val="0"/>
          <w:szCs w:val="21"/>
        </w:rPr>
        <w:t>9</w:t>
      </w:r>
      <w:r>
        <w:rPr>
          <w:rFonts w:hint="eastAsia" w:ascii="宋体" w:hAnsi="宋体" w:cs="宋体"/>
          <w:kern w:val="0"/>
          <w:szCs w:val="21"/>
        </w:rPr>
        <w:t>）进行基金会计核算并编制基金财务会计报告；</w:t>
      </w:r>
    </w:p>
    <w:p>
      <w:pPr>
        <w:spacing w:line="360" w:lineRule="auto"/>
        <w:ind w:firstLine="420" w:firstLineChars="200"/>
        <w:rPr>
          <w:rFonts w:ascii="宋体" w:hAnsi="宋体" w:cs="宋体"/>
          <w:kern w:val="0"/>
          <w:szCs w:val="21"/>
        </w:rPr>
      </w:pPr>
      <w:r>
        <w:rPr>
          <w:rFonts w:ascii="宋体" w:hAnsi="宋体" w:cs="宋体"/>
          <w:kern w:val="0"/>
          <w:szCs w:val="21"/>
        </w:rPr>
        <w:t>10</w:t>
      </w:r>
      <w:r>
        <w:rPr>
          <w:rFonts w:hint="eastAsia" w:ascii="宋体" w:hAnsi="宋体" w:cs="宋体"/>
          <w:kern w:val="0"/>
          <w:szCs w:val="21"/>
        </w:rPr>
        <w:t>）编制季度报告、中期报告和年度报告；</w:t>
      </w:r>
    </w:p>
    <w:p>
      <w:pPr>
        <w:spacing w:line="360" w:lineRule="auto"/>
        <w:ind w:firstLine="420" w:firstLineChars="200"/>
        <w:rPr>
          <w:rFonts w:ascii="宋体" w:hAnsi="宋体" w:cs="宋体"/>
          <w:kern w:val="0"/>
          <w:szCs w:val="21"/>
        </w:rPr>
      </w:pPr>
      <w:r>
        <w:rPr>
          <w:rFonts w:ascii="宋体" w:hAnsi="宋体" w:cs="宋体"/>
          <w:kern w:val="0"/>
          <w:szCs w:val="21"/>
        </w:rPr>
        <w:t>11</w:t>
      </w:r>
      <w:r>
        <w:rPr>
          <w:rFonts w:hint="eastAsia" w:ascii="宋体" w:hAnsi="宋体" w:cs="宋体"/>
          <w:kern w:val="0"/>
          <w:szCs w:val="21"/>
        </w:rPr>
        <w:t>）严格按照《基金法》、《基金合同》及其他有关规定，履行信息披露及报告义务；</w:t>
      </w:r>
    </w:p>
    <w:p>
      <w:pPr>
        <w:spacing w:line="360" w:lineRule="auto"/>
        <w:ind w:firstLine="420" w:firstLineChars="200"/>
        <w:rPr>
          <w:rFonts w:ascii="宋体" w:hAnsi="宋体" w:cs="宋体"/>
          <w:kern w:val="0"/>
          <w:szCs w:val="21"/>
        </w:rPr>
      </w:pPr>
      <w:r>
        <w:rPr>
          <w:rFonts w:ascii="宋体" w:hAnsi="宋体" w:cs="宋体"/>
          <w:kern w:val="0"/>
          <w:szCs w:val="21"/>
        </w:rPr>
        <w:t>12</w:t>
      </w:r>
      <w:r>
        <w:rPr>
          <w:rFonts w:hint="eastAsia" w:ascii="宋体" w:hAnsi="宋体" w:cs="宋体"/>
          <w:kern w:val="0"/>
          <w:szCs w:val="21"/>
        </w:rPr>
        <w:t>）保守基金商业秘密，不泄露基金投资计划、投资意向等。除《基金法》、《基金合同》及其他有关规定另有规定外，在基金信息公开披露前应予保密，不向他人泄露，但根据监管机构、司法机关等有权机关的要求，或因审计、法律等外部专业顾问提供服务而向其提供的情况除外；</w:t>
      </w:r>
    </w:p>
    <w:p>
      <w:pPr>
        <w:spacing w:line="360" w:lineRule="auto"/>
        <w:ind w:firstLine="420" w:firstLineChars="200"/>
        <w:rPr>
          <w:rFonts w:ascii="宋体" w:hAnsi="宋体" w:cs="宋体"/>
          <w:kern w:val="0"/>
          <w:szCs w:val="21"/>
        </w:rPr>
      </w:pPr>
      <w:r>
        <w:rPr>
          <w:rFonts w:ascii="宋体" w:hAnsi="宋体" w:cs="宋体"/>
          <w:kern w:val="0"/>
          <w:szCs w:val="21"/>
        </w:rPr>
        <w:t>13</w:t>
      </w:r>
      <w:r>
        <w:rPr>
          <w:rFonts w:hint="eastAsia" w:ascii="宋体" w:hAnsi="宋体" w:cs="宋体"/>
          <w:kern w:val="0"/>
          <w:szCs w:val="21"/>
        </w:rPr>
        <w:t>）按《基金合同》的约定确定基金收益分配方案，及时向基金份额持有人分配基金收益；</w:t>
      </w:r>
    </w:p>
    <w:p>
      <w:pPr>
        <w:spacing w:line="360" w:lineRule="auto"/>
        <w:ind w:firstLine="420" w:firstLineChars="200"/>
        <w:rPr>
          <w:rFonts w:ascii="宋体" w:hAnsi="宋体" w:cs="宋体"/>
          <w:kern w:val="0"/>
          <w:szCs w:val="21"/>
        </w:rPr>
      </w:pPr>
      <w:r>
        <w:rPr>
          <w:rFonts w:ascii="宋体" w:hAnsi="宋体" w:cs="宋体"/>
          <w:kern w:val="0"/>
          <w:szCs w:val="21"/>
        </w:rPr>
        <w:t>14</w:t>
      </w:r>
      <w:r>
        <w:rPr>
          <w:rFonts w:hint="eastAsia" w:ascii="宋体" w:hAnsi="宋体" w:cs="宋体"/>
          <w:kern w:val="0"/>
          <w:szCs w:val="21"/>
        </w:rPr>
        <w:t>）按规定受理申购与赎回申请，及时、足额支付赎回款项；</w:t>
      </w:r>
    </w:p>
    <w:p>
      <w:pPr>
        <w:spacing w:line="360" w:lineRule="auto"/>
        <w:ind w:firstLine="420" w:firstLineChars="200"/>
        <w:rPr>
          <w:rFonts w:ascii="宋体" w:hAnsi="宋体" w:cs="宋体"/>
          <w:kern w:val="0"/>
          <w:szCs w:val="21"/>
        </w:rPr>
      </w:pPr>
      <w:r>
        <w:rPr>
          <w:rFonts w:ascii="宋体" w:hAnsi="宋体" w:cs="宋体"/>
          <w:kern w:val="0"/>
          <w:szCs w:val="21"/>
        </w:rPr>
        <w:t>15</w:t>
      </w:r>
      <w:r>
        <w:rPr>
          <w:rFonts w:hint="eastAsia" w:ascii="宋体" w:hAnsi="宋体" w:cs="宋体"/>
          <w:kern w:val="0"/>
          <w:szCs w:val="21"/>
        </w:rPr>
        <w:t>）依据《基金法》、《基金合同》及其他有关规定召集基金份额持有人大会或配合基金托管人、基金份额持有人依法召集基金份额持有人大会；</w:t>
      </w:r>
    </w:p>
    <w:p>
      <w:pPr>
        <w:spacing w:line="360" w:lineRule="auto"/>
        <w:ind w:firstLine="420" w:firstLineChars="200"/>
        <w:rPr>
          <w:rFonts w:ascii="宋体" w:hAnsi="宋体" w:cs="宋体"/>
          <w:kern w:val="0"/>
          <w:szCs w:val="21"/>
        </w:rPr>
      </w:pPr>
      <w:r>
        <w:rPr>
          <w:rFonts w:ascii="宋体" w:hAnsi="宋体" w:cs="宋体"/>
          <w:kern w:val="0"/>
          <w:szCs w:val="21"/>
        </w:rPr>
        <w:t>16</w:t>
      </w:r>
      <w:r>
        <w:rPr>
          <w:rFonts w:hint="eastAsia" w:ascii="宋体" w:hAnsi="宋体" w:cs="宋体"/>
          <w:kern w:val="0"/>
          <w:szCs w:val="21"/>
        </w:rPr>
        <w:t>）按规定保存基金财产管理业务活动的会计账册、报表、记录和其他相关资料，保存期限不低于法定最低期限；</w:t>
      </w:r>
    </w:p>
    <w:p>
      <w:pPr>
        <w:spacing w:line="360" w:lineRule="auto"/>
        <w:ind w:firstLine="420" w:firstLineChars="200"/>
        <w:rPr>
          <w:rFonts w:ascii="宋体" w:hAnsi="宋体" w:cs="宋体"/>
          <w:kern w:val="0"/>
          <w:szCs w:val="21"/>
        </w:rPr>
      </w:pPr>
      <w:r>
        <w:rPr>
          <w:rFonts w:ascii="宋体" w:hAnsi="宋体" w:cs="宋体"/>
          <w:kern w:val="0"/>
          <w:szCs w:val="21"/>
        </w:rPr>
        <w:t>17</w:t>
      </w:r>
      <w:r>
        <w:rPr>
          <w:rFonts w:hint="eastAsia" w:ascii="宋体" w:hAnsi="宋体" w:cs="宋体"/>
          <w:kern w:val="0"/>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20" w:firstLineChars="200"/>
        <w:rPr>
          <w:rFonts w:ascii="宋体" w:hAnsi="宋体" w:cs="宋体"/>
          <w:kern w:val="0"/>
          <w:szCs w:val="21"/>
        </w:rPr>
      </w:pPr>
      <w:r>
        <w:rPr>
          <w:rFonts w:ascii="宋体" w:hAnsi="宋体" w:cs="宋体"/>
          <w:kern w:val="0"/>
          <w:szCs w:val="21"/>
        </w:rPr>
        <w:t>18</w:t>
      </w:r>
      <w:r>
        <w:rPr>
          <w:rFonts w:hint="eastAsia" w:ascii="宋体" w:hAnsi="宋体" w:cs="宋体"/>
          <w:kern w:val="0"/>
          <w:szCs w:val="21"/>
        </w:rPr>
        <w:t>）组织并参加基金财产清算小组，参与基金财产的保管、清理、估价、变现和分配；</w:t>
      </w:r>
    </w:p>
    <w:p>
      <w:pPr>
        <w:spacing w:line="360" w:lineRule="auto"/>
        <w:ind w:firstLine="420" w:firstLineChars="200"/>
        <w:rPr>
          <w:rFonts w:ascii="宋体" w:hAnsi="宋体" w:cs="宋体"/>
          <w:kern w:val="0"/>
          <w:szCs w:val="21"/>
        </w:rPr>
      </w:pPr>
      <w:r>
        <w:rPr>
          <w:rFonts w:ascii="宋体" w:hAnsi="宋体" w:cs="宋体"/>
          <w:kern w:val="0"/>
          <w:szCs w:val="21"/>
        </w:rPr>
        <w:t>19</w:t>
      </w:r>
      <w:r>
        <w:rPr>
          <w:rFonts w:hint="eastAsia" w:ascii="宋体" w:hAnsi="宋体" w:cs="宋体"/>
          <w:kern w:val="0"/>
          <w:szCs w:val="21"/>
        </w:rPr>
        <w:t>）面临解散、依法被撤销或者被依法宣告破产时，及时报告中国证监会并通知基金托管人；</w:t>
      </w:r>
    </w:p>
    <w:p>
      <w:pPr>
        <w:spacing w:line="360" w:lineRule="auto"/>
        <w:ind w:firstLine="420" w:firstLineChars="200"/>
        <w:rPr>
          <w:rFonts w:ascii="宋体" w:hAnsi="宋体" w:cs="宋体"/>
          <w:kern w:val="0"/>
          <w:szCs w:val="21"/>
        </w:rPr>
      </w:pPr>
      <w:r>
        <w:rPr>
          <w:rFonts w:ascii="宋体" w:hAnsi="宋体" w:cs="宋体"/>
          <w:kern w:val="0"/>
          <w:szCs w:val="21"/>
        </w:rPr>
        <w:t>20</w:t>
      </w:r>
      <w:r>
        <w:rPr>
          <w:rFonts w:hint="eastAsia" w:ascii="宋体" w:hAnsi="宋体" w:cs="宋体"/>
          <w:kern w:val="0"/>
          <w:szCs w:val="21"/>
        </w:rPr>
        <w:t>）因违反《基金合同》导致基金财产的损失或损害基金份额持有人合法权益时，应当承担赔偿责任，其赔偿责任不因其退任而免除；</w:t>
      </w:r>
    </w:p>
    <w:p>
      <w:pPr>
        <w:spacing w:line="360" w:lineRule="auto"/>
        <w:ind w:firstLine="420" w:firstLineChars="200"/>
        <w:rPr>
          <w:rFonts w:ascii="宋体" w:hAnsi="宋体" w:cs="宋体"/>
          <w:kern w:val="0"/>
          <w:szCs w:val="21"/>
        </w:rPr>
      </w:pPr>
      <w:r>
        <w:rPr>
          <w:rFonts w:ascii="宋体" w:hAnsi="宋体" w:cs="宋体"/>
          <w:kern w:val="0"/>
          <w:szCs w:val="21"/>
        </w:rPr>
        <w:t>21</w:t>
      </w:r>
      <w:r>
        <w:rPr>
          <w:rFonts w:hint="eastAsia" w:ascii="宋体" w:hAnsi="宋体" w:cs="宋体"/>
          <w:kern w:val="0"/>
          <w:szCs w:val="21"/>
        </w:rPr>
        <w:t>）监督基金托管人按法律法规和《基金合同》规定履行自己的义务，基金托管人违反《基金合同》造成基金财产损失时，基金管理人应为基金份额持有人利益向基金托管人追偿；</w:t>
      </w:r>
    </w:p>
    <w:p>
      <w:pPr>
        <w:spacing w:line="360" w:lineRule="auto"/>
        <w:ind w:firstLine="420" w:firstLineChars="200"/>
        <w:rPr>
          <w:rFonts w:ascii="宋体" w:hAnsi="宋体" w:cs="宋体"/>
          <w:kern w:val="0"/>
          <w:szCs w:val="21"/>
        </w:rPr>
      </w:pPr>
      <w:r>
        <w:rPr>
          <w:rFonts w:ascii="宋体" w:hAnsi="宋体" w:cs="宋体"/>
          <w:kern w:val="0"/>
          <w:szCs w:val="21"/>
        </w:rPr>
        <w:t>22</w:t>
      </w:r>
      <w:r>
        <w:rPr>
          <w:rFonts w:hint="eastAsia" w:ascii="宋体" w:hAnsi="宋体" w:cs="宋体"/>
          <w:kern w:val="0"/>
          <w:szCs w:val="21"/>
        </w:rPr>
        <w:t>）当基金管理人将其义务委托第三方处理时，应当对第三方处理有关基金事务的行为承担责任；</w:t>
      </w:r>
    </w:p>
    <w:p>
      <w:pPr>
        <w:spacing w:line="360" w:lineRule="auto"/>
        <w:ind w:firstLine="420" w:firstLineChars="200"/>
        <w:rPr>
          <w:rFonts w:ascii="宋体" w:hAnsi="宋体" w:cs="宋体"/>
          <w:kern w:val="0"/>
          <w:szCs w:val="21"/>
        </w:rPr>
      </w:pPr>
      <w:r>
        <w:rPr>
          <w:rFonts w:ascii="宋体" w:hAnsi="宋体" w:cs="宋体"/>
          <w:kern w:val="0"/>
          <w:szCs w:val="21"/>
        </w:rPr>
        <w:t>23</w:t>
      </w:r>
      <w:r>
        <w:rPr>
          <w:rFonts w:hint="eastAsia" w:ascii="宋体" w:hAnsi="宋体" w:cs="宋体"/>
          <w:kern w:val="0"/>
          <w:szCs w:val="21"/>
        </w:rPr>
        <w:t>）以基金管理人名义，代表基金份额持有人利益行使诉讼权利或实施其他法律行为；</w:t>
      </w:r>
    </w:p>
    <w:p>
      <w:pPr>
        <w:spacing w:line="360" w:lineRule="auto"/>
        <w:ind w:firstLine="420" w:firstLineChars="200"/>
        <w:rPr>
          <w:rFonts w:ascii="宋体" w:hAnsi="宋体" w:cs="宋体"/>
          <w:kern w:val="0"/>
          <w:szCs w:val="21"/>
        </w:rPr>
      </w:pPr>
      <w:r>
        <w:rPr>
          <w:rFonts w:hint="eastAsia" w:ascii="宋体" w:hAnsi="宋体" w:cs="宋体"/>
          <w:kern w:val="0"/>
          <w:szCs w:val="21"/>
        </w:rPr>
        <w:t>24）基金管理人在募集期间未能达到基金</w:t>
      </w:r>
      <w:bookmarkStart w:id="272" w:name="_Hlt88823209"/>
      <w:bookmarkEnd w:id="272"/>
      <w:r>
        <w:rPr>
          <w:rFonts w:hint="eastAsia" w:ascii="宋体" w:hAnsi="宋体" w:cs="宋体"/>
          <w:kern w:val="0"/>
          <w:szCs w:val="21"/>
        </w:rPr>
        <w:t>的备案条件，《基金合同》不能生效，基金管理人承担全部募集费用，将已募集资金并加计银行同期活期存款利息在基金募集期结束后</w:t>
      </w:r>
      <w:r>
        <w:rPr>
          <w:rFonts w:ascii="宋体" w:hAnsi="宋体" w:cs="宋体"/>
          <w:kern w:val="0"/>
          <w:szCs w:val="21"/>
        </w:rPr>
        <w:t>30</w:t>
      </w:r>
      <w:r>
        <w:rPr>
          <w:rFonts w:hint="eastAsia" w:ascii="宋体" w:hAnsi="宋体" w:cs="宋体"/>
          <w:kern w:val="0"/>
          <w:szCs w:val="21"/>
        </w:rPr>
        <w:t>日内退还基金认购人；</w:t>
      </w:r>
    </w:p>
    <w:p>
      <w:pPr>
        <w:spacing w:line="360" w:lineRule="auto"/>
        <w:ind w:firstLine="420" w:firstLineChars="200"/>
        <w:rPr>
          <w:rFonts w:ascii="宋体" w:hAnsi="宋体" w:cs="宋体"/>
          <w:kern w:val="0"/>
          <w:szCs w:val="21"/>
        </w:rPr>
      </w:pPr>
      <w:r>
        <w:rPr>
          <w:rFonts w:ascii="宋体" w:hAnsi="宋体" w:cs="宋体"/>
          <w:kern w:val="0"/>
          <w:szCs w:val="21"/>
        </w:rPr>
        <w:t>25</w:t>
      </w:r>
      <w:r>
        <w:rPr>
          <w:rFonts w:hint="eastAsia" w:ascii="宋体" w:hAnsi="宋体" w:cs="宋体"/>
          <w:kern w:val="0"/>
          <w:szCs w:val="21"/>
        </w:rPr>
        <w:t>）执行生效的基金份额持有人大会的决议；</w:t>
      </w:r>
    </w:p>
    <w:p>
      <w:pPr>
        <w:spacing w:line="360" w:lineRule="auto"/>
        <w:ind w:firstLine="420" w:firstLineChars="200"/>
        <w:rPr>
          <w:rFonts w:ascii="宋体" w:hAnsi="宋体" w:cs="宋体"/>
          <w:kern w:val="0"/>
          <w:szCs w:val="21"/>
        </w:rPr>
      </w:pPr>
      <w:r>
        <w:rPr>
          <w:rFonts w:ascii="宋体" w:hAnsi="宋体" w:cs="宋体"/>
          <w:kern w:val="0"/>
          <w:szCs w:val="21"/>
        </w:rPr>
        <w:t>26</w:t>
      </w:r>
      <w:r>
        <w:rPr>
          <w:rFonts w:hint="eastAsia" w:ascii="宋体" w:hAnsi="宋体" w:cs="宋体"/>
          <w:kern w:val="0"/>
          <w:szCs w:val="21"/>
        </w:rPr>
        <w:t>）建立并保存基金份额持有人名册；</w:t>
      </w:r>
    </w:p>
    <w:p>
      <w:pPr>
        <w:spacing w:line="360" w:lineRule="auto"/>
        <w:ind w:firstLine="420" w:firstLineChars="200"/>
        <w:rPr>
          <w:rFonts w:ascii="宋体" w:hAnsi="宋体" w:cs="宋体"/>
          <w:kern w:val="0"/>
          <w:szCs w:val="21"/>
        </w:rPr>
      </w:pPr>
      <w:r>
        <w:rPr>
          <w:rFonts w:ascii="宋体" w:hAnsi="宋体" w:cs="宋体"/>
          <w:kern w:val="0"/>
          <w:szCs w:val="21"/>
        </w:rPr>
        <w:t>27</w:t>
      </w:r>
      <w:r>
        <w:rPr>
          <w:rFonts w:hint="eastAsia" w:ascii="宋体" w:hAnsi="宋体" w:cs="宋体"/>
          <w:kern w:val="0"/>
          <w:szCs w:val="21"/>
        </w:rPr>
        <w:t>）法律法规及中国证监会规定的和《基金合同》约定的其他义务。</w:t>
      </w:r>
    </w:p>
    <w:p>
      <w:pPr>
        <w:spacing w:line="360" w:lineRule="auto"/>
        <w:ind w:firstLine="420" w:firstLineChars="200"/>
        <w:rPr>
          <w:rFonts w:ascii="宋体" w:hAnsi="宋体" w:cs="宋体"/>
          <w:kern w:val="0"/>
          <w:szCs w:val="21"/>
        </w:rPr>
      </w:pPr>
      <w:r>
        <w:rPr>
          <w:rFonts w:ascii="宋体" w:hAnsi="宋体" w:cs="宋体"/>
          <w:kern w:val="0"/>
          <w:szCs w:val="21"/>
        </w:rPr>
        <w:t>3、基金托管人的权利与义务</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）根据《基金法》、《运作办法》及其他有关规定，基金托管人的权利包括但不限于：</w:t>
      </w:r>
    </w:p>
    <w:p>
      <w:pPr>
        <w:spacing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）自《基金合同》生效之日起，依法律法规和《基金合同》的规定安全保管基金财产；</w:t>
      </w:r>
    </w:p>
    <w:p>
      <w:pPr>
        <w:spacing w:line="360" w:lineRule="auto"/>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）依《基金合同》约定获得基金托管费以及法律法规规定或监管部门批准的其他费用；</w:t>
      </w:r>
    </w:p>
    <w:p>
      <w:pPr>
        <w:spacing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20" w:firstLineChars="200"/>
        <w:rPr>
          <w:rFonts w:ascii="宋体" w:hAnsi="宋体" w:cs="宋体"/>
          <w:kern w:val="0"/>
          <w:szCs w:val="21"/>
        </w:rPr>
      </w:pPr>
      <w:r>
        <w:rPr>
          <w:rFonts w:ascii="宋体" w:hAnsi="宋体" w:cs="宋体"/>
          <w:kern w:val="0"/>
          <w:szCs w:val="21"/>
        </w:rPr>
        <w:t>4</w:t>
      </w:r>
      <w:r>
        <w:rPr>
          <w:rFonts w:hint="eastAsia" w:ascii="宋体" w:hAnsi="宋体" w:cs="宋体"/>
          <w:kern w:val="0"/>
          <w:szCs w:val="21"/>
        </w:rPr>
        <w:t>）根据相关市场规则，为基金开设资金账户、证券账户等投资所需账户，为基金办理证券交易等资金清算；</w:t>
      </w:r>
    </w:p>
    <w:p>
      <w:pPr>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）提议召开或召集基金份额持有人大会；</w:t>
      </w:r>
    </w:p>
    <w:p>
      <w:pPr>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）在基金管理人更换时，提名新的基金管理人；</w:t>
      </w:r>
    </w:p>
    <w:p>
      <w:pPr>
        <w:spacing w:line="360" w:lineRule="auto"/>
        <w:ind w:firstLine="420" w:firstLineChars="200"/>
        <w:rPr>
          <w:rFonts w:ascii="宋体" w:hAnsi="宋体" w:cs="宋体"/>
          <w:kern w:val="0"/>
          <w:szCs w:val="21"/>
        </w:rPr>
      </w:pPr>
      <w:r>
        <w:rPr>
          <w:rFonts w:ascii="宋体" w:hAnsi="宋体" w:cs="宋体"/>
          <w:kern w:val="0"/>
          <w:szCs w:val="21"/>
        </w:rPr>
        <w:t>7</w:t>
      </w:r>
      <w:r>
        <w:rPr>
          <w:rFonts w:hint="eastAsia" w:ascii="宋体" w:hAnsi="宋体" w:cs="宋体"/>
          <w:kern w:val="0"/>
          <w:szCs w:val="21"/>
        </w:rPr>
        <w:t>）法律法规及中国证监会规定的和《基金合同》约定的其他权利。</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）根据《基金法》、《运作办法》及其他有关规定，基金托管人的义务包括但不限于：</w:t>
      </w:r>
    </w:p>
    <w:p>
      <w:pPr>
        <w:spacing w:line="360" w:lineRule="auto"/>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）以诚实信用、勤勉尽责的原则持有并安全保管基金财产；</w:t>
      </w:r>
    </w:p>
    <w:p>
      <w:pPr>
        <w:spacing w:line="360" w:lineRule="auto"/>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）设立专门的基金托管部门，具有符合要求的营业场所，配备足够的、合格的熟悉基金托管业务的专职人员，负责基金财产托管事宜；</w:t>
      </w:r>
    </w:p>
    <w:p>
      <w:pPr>
        <w:spacing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20" w:firstLineChars="200"/>
        <w:rPr>
          <w:rFonts w:ascii="宋体" w:hAnsi="宋体" w:cs="宋体"/>
          <w:kern w:val="0"/>
          <w:szCs w:val="21"/>
        </w:rPr>
      </w:pPr>
      <w:r>
        <w:rPr>
          <w:rFonts w:ascii="宋体" w:hAnsi="宋体" w:cs="宋体"/>
          <w:kern w:val="0"/>
          <w:szCs w:val="21"/>
        </w:rPr>
        <w:t>4</w:t>
      </w:r>
      <w:r>
        <w:rPr>
          <w:rFonts w:hint="eastAsia" w:ascii="宋体" w:hAnsi="宋体" w:cs="宋体"/>
          <w:kern w:val="0"/>
          <w:szCs w:val="21"/>
        </w:rPr>
        <w:t>）除依据《基金法》、《基金合同》及其他有关规定外，不得利用基金财产为自己及任何第三人谋取利益，不得委托第三人托管基金财产；</w:t>
      </w:r>
    </w:p>
    <w:p>
      <w:pPr>
        <w:spacing w:line="360" w:lineRule="auto"/>
        <w:ind w:firstLine="420" w:firstLineChars="200"/>
        <w:rPr>
          <w:rFonts w:ascii="宋体" w:hAnsi="宋体" w:cs="宋体"/>
          <w:kern w:val="0"/>
          <w:szCs w:val="21"/>
        </w:rPr>
      </w:pPr>
      <w:r>
        <w:rPr>
          <w:rFonts w:ascii="宋体" w:hAnsi="宋体" w:cs="宋体"/>
          <w:kern w:val="0"/>
          <w:szCs w:val="21"/>
        </w:rPr>
        <w:t>5</w:t>
      </w:r>
      <w:r>
        <w:rPr>
          <w:rFonts w:hint="eastAsia" w:ascii="宋体" w:hAnsi="宋体" w:cs="宋体"/>
          <w:kern w:val="0"/>
          <w:szCs w:val="21"/>
        </w:rPr>
        <w:t>）保管由基金管理人代表基金签订的与基金有关的重大合同及有关凭证；</w:t>
      </w:r>
    </w:p>
    <w:p>
      <w:pPr>
        <w:spacing w:line="360" w:lineRule="auto"/>
        <w:ind w:firstLine="420" w:firstLineChars="200"/>
        <w:rPr>
          <w:rFonts w:ascii="宋体" w:hAnsi="宋体" w:cs="宋体"/>
          <w:kern w:val="0"/>
          <w:szCs w:val="21"/>
        </w:rPr>
      </w:pPr>
      <w:r>
        <w:rPr>
          <w:rFonts w:ascii="宋体" w:hAnsi="宋体" w:cs="宋体"/>
          <w:kern w:val="0"/>
          <w:szCs w:val="21"/>
        </w:rPr>
        <w:t>6</w:t>
      </w:r>
      <w:r>
        <w:rPr>
          <w:rFonts w:hint="eastAsia" w:ascii="宋体" w:hAnsi="宋体" w:cs="宋体"/>
          <w:kern w:val="0"/>
          <w:szCs w:val="21"/>
        </w:rPr>
        <w:t>）按规定开设基金财产的资金账户、证券账户等投资所需账户，按照《基金合同》的约定，根据基金管理人的投资指令，及时办理清算、交割事宜；</w:t>
      </w:r>
    </w:p>
    <w:p>
      <w:pPr>
        <w:spacing w:line="360" w:lineRule="auto"/>
        <w:ind w:firstLine="420" w:firstLineChars="200"/>
        <w:rPr>
          <w:rFonts w:ascii="宋体" w:hAnsi="宋体" w:cs="宋体"/>
          <w:kern w:val="0"/>
          <w:szCs w:val="21"/>
        </w:rPr>
      </w:pPr>
      <w:r>
        <w:rPr>
          <w:rFonts w:ascii="宋体" w:hAnsi="宋体" w:cs="宋体"/>
          <w:kern w:val="0"/>
          <w:szCs w:val="21"/>
        </w:rPr>
        <w:t>7</w:t>
      </w:r>
      <w:r>
        <w:rPr>
          <w:rFonts w:hint="eastAsia" w:ascii="宋体" w:hAnsi="宋体" w:cs="宋体"/>
          <w:kern w:val="0"/>
          <w:szCs w:val="21"/>
        </w:rPr>
        <w:t>）保守基金商业秘密，除《基金法》、《基金合同》及其他有关规定另有规定外，在基金信息公开披露前予以保密，不得向他人泄露，但根据监管机构、司法机关等有权机关的要求，或因审计、法律等外部专业顾问提供服务而向其提供的情况除外；</w:t>
      </w:r>
    </w:p>
    <w:p>
      <w:pPr>
        <w:spacing w:line="360" w:lineRule="auto"/>
        <w:ind w:firstLine="420" w:firstLineChars="200"/>
        <w:rPr>
          <w:rFonts w:ascii="宋体" w:hAnsi="宋体" w:cs="宋体"/>
          <w:kern w:val="0"/>
          <w:szCs w:val="21"/>
        </w:rPr>
      </w:pPr>
      <w:r>
        <w:rPr>
          <w:rFonts w:ascii="宋体" w:hAnsi="宋体" w:cs="宋体"/>
          <w:kern w:val="0"/>
          <w:szCs w:val="21"/>
        </w:rPr>
        <w:t>8</w:t>
      </w:r>
      <w:r>
        <w:rPr>
          <w:rFonts w:hint="eastAsia" w:ascii="宋体" w:hAnsi="宋体" w:cs="宋体"/>
          <w:kern w:val="0"/>
          <w:szCs w:val="21"/>
        </w:rPr>
        <w:t>）复核、审查基金管理人计算的基金资产净值、基金份额净值、基金份额申购、赎回价格；</w:t>
      </w:r>
    </w:p>
    <w:p>
      <w:pPr>
        <w:spacing w:line="360" w:lineRule="auto"/>
        <w:ind w:firstLine="420" w:firstLineChars="200"/>
        <w:rPr>
          <w:rFonts w:ascii="宋体" w:hAnsi="宋体" w:cs="宋体"/>
          <w:kern w:val="0"/>
          <w:szCs w:val="21"/>
        </w:rPr>
      </w:pPr>
      <w:r>
        <w:rPr>
          <w:rFonts w:ascii="宋体" w:hAnsi="宋体" w:cs="宋体"/>
          <w:kern w:val="0"/>
          <w:szCs w:val="21"/>
        </w:rPr>
        <w:t>9</w:t>
      </w:r>
      <w:r>
        <w:rPr>
          <w:rFonts w:hint="eastAsia" w:ascii="宋体" w:hAnsi="宋体" w:cs="宋体"/>
          <w:kern w:val="0"/>
          <w:szCs w:val="21"/>
        </w:rPr>
        <w:t>）办理与基金托管业务活动有关的信息披露事项；</w:t>
      </w:r>
    </w:p>
    <w:p>
      <w:pPr>
        <w:spacing w:line="360" w:lineRule="auto"/>
        <w:ind w:firstLine="420" w:firstLineChars="200"/>
        <w:rPr>
          <w:rFonts w:ascii="宋体" w:hAnsi="宋体" w:cs="宋体"/>
          <w:kern w:val="0"/>
          <w:szCs w:val="21"/>
        </w:rPr>
      </w:pPr>
      <w:r>
        <w:rPr>
          <w:rFonts w:ascii="宋体" w:hAnsi="宋体" w:cs="宋体"/>
          <w:kern w:val="0"/>
          <w:szCs w:val="21"/>
        </w:rPr>
        <w:t>10</w:t>
      </w:r>
      <w:r>
        <w:rPr>
          <w:rFonts w:hint="eastAsia" w:ascii="宋体" w:hAnsi="宋体" w:cs="宋体"/>
          <w:kern w:val="0"/>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20" w:firstLineChars="200"/>
        <w:rPr>
          <w:rFonts w:ascii="宋体" w:hAnsi="宋体" w:cs="宋体"/>
          <w:kern w:val="0"/>
          <w:szCs w:val="21"/>
        </w:rPr>
      </w:pPr>
      <w:r>
        <w:rPr>
          <w:rFonts w:ascii="宋体" w:hAnsi="宋体" w:cs="宋体"/>
          <w:kern w:val="0"/>
          <w:szCs w:val="21"/>
        </w:rPr>
        <w:t>11</w:t>
      </w:r>
      <w:r>
        <w:rPr>
          <w:rFonts w:hint="eastAsia" w:ascii="宋体" w:hAnsi="宋体" w:cs="宋体"/>
          <w:kern w:val="0"/>
          <w:szCs w:val="21"/>
        </w:rPr>
        <w:t>）保存基金托管业务活动的记录、账册、报表和其他相关资料，保存期限不低于法定最低期限；</w:t>
      </w:r>
    </w:p>
    <w:p>
      <w:pPr>
        <w:spacing w:line="360" w:lineRule="auto"/>
        <w:ind w:firstLine="420" w:firstLineChars="200"/>
        <w:rPr>
          <w:rFonts w:ascii="宋体" w:hAnsi="宋体" w:cs="宋体"/>
          <w:kern w:val="0"/>
          <w:szCs w:val="21"/>
        </w:rPr>
      </w:pPr>
      <w:r>
        <w:rPr>
          <w:rFonts w:ascii="宋体" w:hAnsi="宋体" w:cs="宋体"/>
          <w:kern w:val="0"/>
          <w:szCs w:val="21"/>
        </w:rPr>
        <w:t>12</w:t>
      </w:r>
      <w:r>
        <w:rPr>
          <w:rFonts w:hint="eastAsia" w:ascii="宋体" w:hAnsi="宋体" w:cs="宋体"/>
          <w:kern w:val="0"/>
          <w:szCs w:val="21"/>
        </w:rPr>
        <w:t>）从基金管理人或其委托的登记机构处接收并保存基金份额持有人名册；</w:t>
      </w:r>
    </w:p>
    <w:p>
      <w:pPr>
        <w:spacing w:line="360" w:lineRule="auto"/>
        <w:ind w:firstLine="420" w:firstLineChars="200"/>
        <w:rPr>
          <w:rFonts w:ascii="宋体" w:hAnsi="宋体" w:cs="宋体"/>
          <w:kern w:val="0"/>
          <w:szCs w:val="21"/>
        </w:rPr>
      </w:pPr>
      <w:r>
        <w:rPr>
          <w:rFonts w:ascii="宋体" w:hAnsi="宋体" w:cs="宋体"/>
          <w:kern w:val="0"/>
          <w:szCs w:val="21"/>
        </w:rPr>
        <w:t>13</w:t>
      </w:r>
      <w:r>
        <w:rPr>
          <w:rFonts w:hint="eastAsia" w:ascii="宋体" w:hAnsi="宋体" w:cs="宋体"/>
          <w:kern w:val="0"/>
          <w:szCs w:val="21"/>
        </w:rPr>
        <w:t>）按规定制作相关账册并与基金管理人核对；</w:t>
      </w:r>
    </w:p>
    <w:p>
      <w:pPr>
        <w:spacing w:line="360" w:lineRule="auto"/>
        <w:ind w:firstLine="420" w:firstLineChars="200"/>
        <w:rPr>
          <w:rFonts w:ascii="宋体" w:hAnsi="宋体" w:cs="宋体"/>
          <w:kern w:val="0"/>
          <w:szCs w:val="21"/>
        </w:rPr>
      </w:pPr>
      <w:r>
        <w:rPr>
          <w:rFonts w:ascii="宋体" w:hAnsi="宋体" w:cs="宋体"/>
          <w:kern w:val="0"/>
          <w:szCs w:val="21"/>
        </w:rPr>
        <w:t>14</w:t>
      </w:r>
      <w:r>
        <w:rPr>
          <w:rFonts w:hint="eastAsia" w:ascii="宋体" w:hAnsi="宋体" w:cs="宋体"/>
          <w:kern w:val="0"/>
          <w:szCs w:val="21"/>
        </w:rPr>
        <w:t>）依据基金管理人的指令或有关规定向基金份额持有人支付基金收益和赎回款项；</w:t>
      </w:r>
    </w:p>
    <w:p>
      <w:pPr>
        <w:spacing w:line="360" w:lineRule="auto"/>
        <w:ind w:firstLine="420" w:firstLineChars="200"/>
        <w:rPr>
          <w:rFonts w:ascii="宋体" w:hAnsi="宋体" w:cs="宋体"/>
          <w:kern w:val="0"/>
          <w:szCs w:val="21"/>
        </w:rPr>
      </w:pPr>
      <w:r>
        <w:rPr>
          <w:rFonts w:ascii="宋体" w:hAnsi="宋体" w:cs="宋体"/>
          <w:kern w:val="0"/>
          <w:szCs w:val="21"/>
        </w:rPr>
        <w:t>15</w:t>
      </w:r>
      <w:r>
        <w:rPr>
          <w:rFonts w:hint="eastAsia" w:ascii="宋体" w:hAnsi="宋体" w:cs="宋体"/>
          <w:kern w:val="0"/>
          <w:szCs w:val="21"/>
        </w:rPr>
        <w:t>）依据《基金法》、《基金合同》及其他有关规定，召集基金份额持有人大会或配合基金管理人、基金份额持有人依法召集基金份额持有人大会；</w:t>
      </w:r>
    </w:p>
    <w:p>
      <w:pPr>
        <w:spacing w:line="360" w:lineRule="auto"/>
        <w:ind w:firstLine="420" w:firstLineChars="200"/>
        <w:rPr>
          <w:rFonts w:ascii="宋体" w:hAnsi="宋体" w:cs="宋体"/>
          <w:kern w:val="0"/>
          <w:szCs w:val="21"/>
        </w:rPr>
      </w:pPr>
      <w:r>
        <w:rPr>
          <w:rFonts w:ascii="宋体" w:hAnsi="宋体" w:cs="宋体"/>
          <w:kern w:val="0"/>
          <w:szCs w:val="21"/>
        </w:rPr>
        <w:t>16</w:t>
      </w:r>
      <w:r>
        <w:rPr>
          <w:rFonts w:hint="eastAsia" w:ascii="宋体" w:hAnsi="宋体" w:cs="宋体"/>
          <w:kern w:val="0"/>
          <w:szCs w:val="21"/>
        </w:rPr>
        <w:t>）按照法律法规和《基金合同》的规定监督基金管理人的投资运作；</w:t>
      </w:r>
    </w:p>
    <w:p>
      <w:pPr>
        <w:spacing w:line="360" w:lineRule="auto"/>
        <w:ind w:firstLine="420" w:firstLineChars="200"/>
        <w:rPr>
          <w:rFonts w:ascii="宋体" w:hAnsi="宋体" w:cs="宋体"/>
          <w:kern w:val="0"/>
          <w:szCs w:val="21"/>
        </w:rPr>
      </w:pPr>
      <w:r>
        <w:rPr>
          <w:rFonts w:ascii="宋体" w:hAnsi="宋体" w:cs="宋体"/>
          <w:kern w:val="0"/>
          <w:szCs w:val="21"/>
        </w:rPr>
        <w:t>17</w:t>
      </w:r>
      <w:r>
        <w:rPr>
          <w:rFonts w:hint="eastAsia" w:ascii="宋体" w:hAnsi="宋体" w:cs="宋体"/>
          <w:kern w:val="0"/>
          <w:szCs w:val="21"/>
        </w:rPr>
        <w:t>）参加基金财产清算小组，参与基金财产的保管、清理、估价、变现和分配；</w:t>
      </w:r>
    </w:p>
    <w:p>
      <w:pPr>
        <w:spacing w:line="360" w:lineRule="auto"/>
        <w:ind w:firstLine="420" w:firstLineChars="200"/>
        <w:rPr>
          <w:rFonts w:ascii="宋体" w:hAnsi="宋体" w:cs="宋体"/>
          <w:kern w:val="0"/>
          <w:szCs w:val="21"/>
        </w:rPr>
      </w:pPr>
      <w:r>
        <w:rPr>
          <w:rFonts w:ascii="宋体" w:hAnsi="宋体" w:cs="宋体"/>
          <w:kern w:val="0"/>
          <w:szCs w:val="21"/>
        </w:rPr>
        <w:t>18</w:t>
      </w:r>
      <w:r>
        <w:rPr>
          <w:rFonts w:hint="eastAsia" w:ascii="宋体" w:hAnsi="宋体" w:cs="宋体"/>
          <w:kern w:val="0"/>
          <w:szCs w:val="21"/>
        </w:rPr>
        <w:t>）面临解散、依法被撤销或者被依法宣告破产时，及时报告中国证监会和银行业监督管理机构，并通知基金管理人；</w:t>
      </w:r>
    </w:p>
    <w:p>
      <w:pPr>
        <w:spacing w:line="360" w:lineRule="auto"/>
        <w:ind w:firstLine="420" w:firstLineChars="200"/>
        <w:rPr>
          <w:rFonts w:ascii="宋体" w:hAnsi="宋体" w:cs="宋体"/>
          <w:kern w:val="0"/>
          <w:szCs w:val="21"/>
        </w:rPr>
      </w:pPr>
      <w:r>
        <w:rPr>
          <w:rFonts w:ascii="宋体" w:hAnsi="宋体" w:cs="宋体"/>
          <w:kern w:val="0"/>
          <w:szCs w:val="21"/>
        </w:rPr>
        <w:t>19</w:t>
      </w:r>
      <w:r>
        <w:rPr>
          <w:rFonts w:hint="eastAsia" w:ascii="宋体" w:hAnsi="宋体" w:cs="宋体"/>
          <w:kern w:val="0"/>
          <w:szCs w:val="21"/>
        </w:rPr>
        <w:t>）因违反《基金合同》导致基金财产损失时，应承担赔偿责任，其赔偿责任不因其退任而免除；</w:t>
      </w:r>
    </w:p>
    <w:p>
      <w:pPr>
        <w:spacing w:line="360" w:lineRule="auto"/>
        <w:ind w:firstLine="420" w:firstLineChars="200"/>
        <w:rPr>
          <w:rFonts w:ascii="宋体" w:hAnsi="宋体" w:cs="宋体"/>
          <w:kern w:val="0"/>
          <w:szCs w:val="21"/>
        </w:rPr>
      </w:pPr>
      <w:r>
        <w:rPr>
          <w:rFonts w:ascii="宋体" w:hAnsi="宋体" w:cs="宋体"/>
          <w:kern w:val="0"/>
          <w:szCs w:val="21"/>
        </w:rPr>
        <w:t>20</w:t>
      </w:r>
      <w:r>
        <w:rPr>
          <w:rFonts w:hint="eastAsia" w:ascii="宋体" w:hAnsi="宋体" w:cs="宋体"/>
          <w:kern w:val="0"/>
          <w:szCs w:val="21"/>
        </w:rPr>
        <w:t>）按规定监督基金管理人按法律法规和《基金合同》规定履行自己的义务，基金管理人因违反《基金合同》造成基金财产损失时，应为基金份额持有人利益向基金管理人追偿</w:t>
      </w:r>
      <w:bookmarkStart w:id="273" w:name="_Hlt88825668"/>
      <w:bookmarkEnd w:id="273"/>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ascii="宋体" w:hAnsi="宋体" w:cs="宋体"/>
          <w:kern w:val="0"/>
          <w:szCs w:val="21"/>
        </w:rPr>
        <w:t>21</w:t>
      </w:r>
      <w:r>
        <w:rPr>
          <w:rFonts w:hint="eastAsia" w:ascii="宋体" w:hAnsi="宋体" w:cs="宋体"/>
          <w:kern w:val="0"/>
          <w:szCs w:val="21"/>
        </w:rPr>
        <w:t>）执行生效的基金份额持有人大会的决议；</w:t>
      </w:r>
    </w:p>
    <w:p>
      <w:pPr>
        <w:spacing w:line="360" w:lineRule="auto"/>
        <w:ind w:firstLine="420" w:firstLineChars="200"/>
        <w:rPr>
          <w:rFonts w:ascii="宋体" w:hAnsi="宋体" w:cs="宋体"/>
          <w:kern w:val="0"/>
          <w:szCs w:val="21"/>
        </w:rPr>
      </w:pPr>
      <w:r>
        <w:rPr>
          <w:rFonts w:ascii="宋体" w:hAnsi="宋体" w:cs="宋体"/>
          <w:kern w:val="0"/>
          <w:szCs w:val="21"/>
        </w:rPr>
        <w:t>22</w:t>
      </w:r>
      <w:r>
        <w:rPr>
          <w:rFonts w:hint="eastAsia" w:ascii="宋体" w:hAnsi="宋体" w:cs="宋体"/>
          <w:kern w:val="0"/>
          <w:szCs w:val="21"/>
        </w:rPr>
        <w:t>）法律法规及中国证监会规定的和《基金合同》约定的其他义务。</w:t>
      </w:r>
    </w:p>
    <w:p>
      <w:pPr>
        <w:autoSpaceDE w:val="0"/>
        <w:autoSpaceDN w:val="0"/>
        <w:adjustRightInd w:val="0"/>
        <w:spacing w:line="360" w:lineRule="auto"/>
        <w:ind w:firstLine="420" w:firstLineChars="200"/>
        <w:jc w:val="left"/>
        <w:rPr>
          <w:rFonts w:ascii="宋体" w:hAnsi="宋体"/>
          <w:b/>
          <w:bCs/>
        </w:rPr>
      </w:pPr>
      <w:bookmarkStart w:id="274" w:name="_Hlt88825574"/>
      <w:bookmarkEnd w:id="274"/>
      <w:bookmarkStart w:id="275" w:name="_Hlt88897298"/>
      <w:bookmarkEnd w:id="275"/>
      <w:bookmarkStart w:id="276" w:name="_Hlk5634611"/>
      <w:r>
        <w:rPr>
          <w:rFonts w:hint="eastAsia" w:ascii="宋体" w:hAnsi="宋体"/>
          <w:b/>
          <w:bCs/>
        </w:rPr>
        <w:t>（二）基金份额持有人大会召集、议事及表决的程序和规则</w:t>
      </w:r>
    </w:p>
    <w:bookmarkEnd w:id="276"/>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本基金基金份额持有人大会不设立日常机构。</w:t>
      </w:r>
    </w:p>
    <w:p>
      <w:pPr>
        <w:autoSpaceDE w:val="0"/>
        <w:autoSpaceDN w:val="0"/>
        <w:adjustRightInd w:val="0"/>
        <w:spacing w:line="360" w:lineRule="auto"/>
        <w:ind w:firstLine="420" w:firstLineChars="200"/>
        <w:jc w:val="left"/>
        <w:rPr>
          <w:rFonts w:ascii="宋体" w:hAnsi="宋体" w:cs="宋体"/>
          <w:kern w:val="0"/>
          <w:szCs w:val="21"/>
        </w:rPr>
      </w:pPr>
      <w:bookmarkStart w:id="277" w:name="_Toc79392584"/>
      <w:bookmarkStart w:id="278" w:name="_Toc15641220"/>
      <w:bookmarkStart w:id="279" w:name="_Toc57530243"/>
      <w:r>
        <w:rPr>
          <w:rFonts w:ascii="宋体" w:hAnsi="宋体" w:cs="宋体"/>
          <w:kern w:val="0"/>
          <w:szCs w:val="21"/>
        </w:rPr>
        <w:t>1</w:t>
      </w:r>
      <w:r>
        <w:rPr>
          <w:rFonts w:hint="eastAsia" w:ascii="宋体" w:hAnsi="宋体" w:cs="宋体"/>
          <w:kern w:val="0"/>
          <w:szCs w:val="21"/>
        </w:rPr>
        <w:t>、召开事由</w:t>
      </w:r>
      <w:bookmarkEnd w:id="277"/>
      <w:bookmarkEnd w:id="278"/>
      <w:bookmarkEnd w:id="279"/>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（1）除法律法规、中国证监会另有规定或基金合同另有约定的以外，当出现或需要决定下列事由之一的，应当召开基金份额持有人大会：</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）终止《基金合同》；</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）更换基金管理人；</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）更换基金托管人；</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）转换基金运作方式；</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）调整基金管理人、基金托管人的报酬标准或提高销售服务费率；</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）变更基金类别；</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）本基金与其他基金的合并；</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）变更基金投资目标、范围或策略；</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9</w:t>
      </w:r>
      <w:r>
        <w:rPr>
          <w:rFonts w:hint="eastAsia" w:ascii="宋体" w:hAnsi="宋体" w:cs="宋体"/>
          <w:kern w:val="0"/>
          <w:szCs w:val="21"/>
        </w:rPr>
        <w:t>）变更基金份额持有人大会程序；</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10</w:t>
      </w:r>
      <w:r>
        <w:rPr>
          <w:rFonts w:hint="eastAsia" w:ascii="宋体" w:hAnsi="宋体" w:cs="宋体"/>
          <w:kern w:val="0"/>
          <w:szCs w:val="21"/>
        </w:rPr>
        <w:t>）基金管理人或基金托管人要求召开基金份额持有人大会；</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11</w:t>
      </w:r>
      <w:r>
        <w:rPr>
          <w:rFonts w:hint="eastAsia" w:ascii="宋体" w:hAnsi="宋体" w:cs="宋体"/>
          <w:kern w:val="0"/>
          <w:szCs w:val="21"/>
        </w:rPr>
        <w:t>）单独或合计持有本基金总份额</w:t>
      </w:r>
      <w:r>
        <w:rPr>
          <w:rFonts w:ascii="宋体" w:hAnsi="宋体" w:cs="宋体"/>
          <w:kern w:val="0"/>
          <w:szCs w:val="21"/>
        </w:rPr>
        <w:t>10%</w:t>
      </w:r>
      <w:r>
        <w:rPr>
          <w:rFonts w:hint="eastAsia" w:ascii="宋体" w:hAnsi="宋体" w:cs="宋体"/>
          <w:kern w:val="0"/>
          <w:szCs w:val="21"/>
        </w:rPr>
        <w:t>以上（含10%）基金份额的基金份额持有人（以基金管理人收到提议当日的基金份额计算，下同）就同一事项书面要求召开基金份额持有人大会；</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12</w:t>
      </w:r>
      <w:r>
        <w:rPr>
          <w:rFonts w:hint="eastAsia" w:ascii="宋体" w:hAnsi="宋体" w:cs="宋体"/>
          <w:kern w:val="0"/>
          <w:szCs w:val="21"/>
        </w:rPr>
        <w:t>）对基金合同当事人权利和义务产生重大影响的其他事项；</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13</w:t>
      </w:r>
      <w:r>
        <w:rPr>
          <w:rFonts w:hint="eastAsia" w:ascii="宋体" w:hAnsi="宋体" w:cs="宋体"/>
          <w:kern w:val="0"/>
          <w:szCs w:val="21"/>
        </w:rPr>
        <w:t>）法律法规、《基金合同》或中国证监会规定的其他应当召开基金份额持有人大会的事项。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）在法律法规规定和《基金合同》约定的范围内且对基金份额持有人利益无实质性不利影响的前提下，以下情况可由基金管理人和基金托管人协商后修改，不需召开基金份额持有人大会：</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）法律法规要求增加的基金费用的收取；</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）调整本基金的申购费率、调低销售服务费率或变更收费方式；</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）因相应的法律法规发生变动而应当对《基金合同》进行修改；</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）对《基金合同》的修改对基金份额持有人利益无实质性不利影响或修改不涉及《基金合同》当事人权利义务关系发生重大变化；</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）增加、取消或调整基金份额类别设置；</w:t>
      </w:r>
    </w:p>
    <w:p>
      <w:pPr>
        <w:autoSpaceDE w:val="0"/>
        <w:autoSpaceDN w:val="0"/>
        <w:adjustRightInd w:val="0"/>
        <w:spacing w:line="360" w:lineRule="auto"/>
        <w:ind w:firstLine="420" w:firstLineChars="200"/>
        <w:jc w:val="left"/>
        <w:rPr>
          <w:rFonts w:ascii="宋体" w:hAnsi="宋体" w:cs="宋体"/>
          <w:kern w:val="0"/>
          <w:szCs w:val="21"/>
          <w:lang w:bidi="ar"/>
        </w:rPr>
      </w:pPr>
      <w:r>
        <w:rPr>
          <w:rFonts w:ascii="宋体" w:hAnsi="宋体" w:cs="宋体"/>
          <w:kern w:val="0"/>
          <w:szCs w:val="21"/>
        </w:rPr>
        <w:t>6</w:t>
      </w:r>
      <w:r>
        <w:rPr>
          <w:rFonts w:hint="eastAsia" w:ascii="宋体" w:hAnsi="宋体" w:cs="宋体"/>
          <w:kern w:val="0"/>
          <w:szCs w:val="21"/>
        </w:rPr>
        <w:t>）基金管理人、销售机构、</w:t>
      </w:r>
      <w:r>
        <w:rPr>
          <w:rFonts w:hint="eastAsia" w:ascii="宋体" w:hAnsi="宋体" w:cs="宋体"/>
          <w:kern w:val="0"/>
          <w:szCs w:val="21"/>
          <w:lang w:bidi="ar"/>
        </w:rPr>
        <w:t>登记机构调整有关基金认购、申购、赎回、转换、非交易过户、转托管等业务的规则；</w:t>
      </w:r>
    </w:p>
    <w:p>
      <w:pPr>
        <w:autoSpaceDE w:val="0"/>
        <w:autoSpaceDN w:val="0"/>
        <w:adjustRightInd w:val="0"/>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7）在履行适当程序后，推出新业务或服务；</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lang w:bidi="ar"/>
        </w:rPr>
        <w:t>8</w:t>
      </w:r>
      <w:r>
        <w:rPr>
          <w:rFonts w:hint="eastAsia" w:ascii="宋体" w:hAnsi="宋体" w:cs="宋体"/>
          <w:kern w:val="0"/>
          <w:szCs w:val="21"/>
        </w:rPr>
        <w:t>）按照法律法规和《基金合同》规定不需召开基金份额持有人大会的其他情形。</w:t>
      </w:r>
    </w:p>
    <w:p>
      <w:pPr>
        <w:autoSpaceDE w:val="0"/>
        <w:autoSpaceDN w:val="0"/>
        <w:adjustRightInd w:val="0"/>
        <w:spacing w:line="360" w:lineRule="auto"/>
        <w:ind w:firstLine="420" w:firstLineChars="200"/>
        <w:jc w:val="left"/>
        <w:rPr>
          <w:rFonts w:ascii="宋体" w:hAnsi="宋体" w:cs="宋体"/>
          <w:kern w:val="0"/>
          <w:szCs w:val="21"/>
        </w:rPr>
      </w:pPr>
      <w:bookmarkStart w:id="280" w:name="_Toc57530244"/>
      <w:bookmarkStart w:id="281" w:name="_Toc79392585"/>
      <w:bookmarkStart w:id="282" w:name="_Toc15641221"/>
      <w:r>
        <w:rPr>
          <w:rFonts w:ascii="宋体" w:hAnsi="宋体" w:cs="宋体"/>
          <w:kern w:val="0"/>
          <w:szCs w:val="21"/>
        </w:rPr>
        <w:t>2</w:t>
      </w:r>
      <w:r>
        <w:rPr>
          <w:rFonts w:hint="eastAsia" w:ascii="宋体" w:hAnsi="宋体" w:cs="宋体"/>
          <w:kern w:val="0"/>
          <w:szCs w:val="21"/>
        </w:rPr>
        <w:t>、会议召集人及召集方式</w:t>
      </w:r>
      <w:bookmarkEnd w:id="280"/>
      <w:bookmarkEnd w:id="281"/>
      <w:bookmarkEnd w:id="282"/>
    </w:p>
    <w:p>
      <w:pPr>
        <w:autoSpaceDE w:val="0"/>
        <w:autoSpaceDN w:val="0"/>
        <w:adjustRightInd w:val="0"/>
        <w:spacing w:line="360" w:lineRule="auto"/>
        <w:ind w:firstLine="420" w:firstLineChars="200"/>
        <w:jc w:val="left"/>
        <w:rPr>
          <w:rFonts w:ascii="宋体" w:hAnsi="宋体" w:cs="宋体"/>
          <w:kern w:val="0"/>
          <w:szCs w:val="21"/>
        </w:rPr>
      </w:pPr>
      <w:bookmarkStart w:id="283" w:name="_Toc57530245"/>
      <w:bookmarkStart w:id="284" w:name="_Toc15641222"/>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）除法律法规规定或《基金合同》另有约定外，基金份额持有人大会由基金管理人召集。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（2）基金管理人未按规定召集或不能召集时，由基金托管人召集。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（3）基金托管人认为有必要召开基金份额持有人大会的，应当向基金管理人提出书面提议。基金管理人应当自收到书面提议之日起</w:t>
      </w:r>
      <w:r>
        <w:rPr>
          <w:rFonts w:ascii="宋体" w:hAnsi="宋体" w:cs="宋体"/>
          <w:kern w:val="0"/>
          <w:szCs w:val="21"/>
        </w:rPr>
        <w:t>10</w:t>
      </w:r>
      <w:r>
        <w:rPr>
          <w:rFonts w:hint="eastAsia" w:ascii="宋体" w:hAnsi="宋体" w:cs="宋体"/>
          <w:kern w:val="0"/>
          <w:szCs w:val="21"/>
        </w:rPr>
        <w:t>日内决定是否召集，并书面告知基金托管人。基金管理人决定召集的，应当自出具书面决定之日起</w:t>
      </w:r>
      <w:r>
        <w:rPr>
          <w:rFonts w:ascii="宋体" w:hAnsi="宋体" w:cs="宋体"/>
          <w:kern w:val="0"/>
          <w:szCs w:val="21"/>
        </w:rPr>
        <w:t>60</w:t>
      </w:r>
      <w:r>
        <w:rPr>
          <w:rFonts w:hint="eastAsia" w:ascii="宋体" w:hAnsi="宋体" w:cs="宋体"/>
          <w:kern w:val="0"/>
          <w:szCs w:val="21"/>
        </w:rPr>
        <w:t>日内召开；基金管理人决定不召集，基金托管人仍认为有必要召开的，应当由基金托管人自行召集，并自出具书面决定之日起</w:t>
      </w:r>
      <w:r>
        <w:rPr>
          <w:rFonts w:ascii="宋体" w:hAnsi="宋体" w:cs="宋体"/>
          <w:kern w:val="0"/>
          <w:szCs w:val="21"/>
        </w:rPr>
        <w:t>60</w:t>
      </w:r>
      <w:r>
        <w:rPr>
          <w:rFonts w:hint="eastAsia" w:ascii="宋体" w:hAnsi="宋体" w:cs="宋体"/>
          <w:kern w:val="0"/>
          <w:szCs w:val="21"/>
        </w:rPr>
        <w:t>日内召开并告知基金管理人，基金管理人应当配合。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（4）代表基金份额</w:t>
      </w:r>
      <w:r>
        <w:rPr>
          <w:rFonts w:ascii="宋体" w:hAnsi="宋体" w:cs="宋体"/>
          <w:kern w:val="0"/>
          <w:szCs w:val="21"/>
        </w:rPr>
        <w:t>10%</w:t>
      </w:r>
      <w:r>
        <w:rPr>
          <w:rFonts w:hint="eastAsia" w:ascii="宋体" w:hAnsi="宋体" w:cs="宋体"/>
          <w:kern w:val="0"/>
          <w:szCs w:val="21"/>
        </w:rPr>
        <w:t>以上（含</w:t>
      </w:r>
      <w:r>
        <w:rPr>
          <w:rFonts w:ascii="宋体" w:hAnsi="宋体" w:cs="宋体"/>
          <w:kern w:val="0"/>
          <w:szCs w:val="21"/>
        </w:rPr>
        <w:t>10%</w:t>
      </w:r>
      <w:r>
        <w:rPr>
          <w:rFonts w:hint="eastAsia" w:ascii="宋体" w:hAnsi="宋体" w:cs="宋体"/>
          <w:kern w:val="0"/>
          <w:szCs w:val="21"/>
        </w:rPr>
        <w:t>）的基金份额持有人就同一事项书面要求召开基金份额持有人大会，应当向基金管理人提出书面提议。基金管理人应当自收到书面提议之日起</w:t>
      </w:r>
      <w:r>
        <w:rPr>
          <w:rFonts w:ascii="宋体" w:hAnsi="宋体" w:cs="宋体"/>
          <w:kern w:val="0"/>
          <w:szCs w:val="21"/>
        </w:rPr>
        <w:t>10</w:t>
      </w:r>
      <w:r>
        <w:rPr>
          <w:rFonts w:hint="eastAsia" w:ascii="宋体" w:hAnsi="宋体" w:cs="宋体"/>
          <w:kern w:val="0"/>
          <w:szCs w:val="21"/>
        </w:rPr>
        <w:t>日内决定是否召集，并书面告知提出提议的基金份额持有人代表和基金托管人。基金管理人决定召集的，应当自出具书面决定之日起</w:t>
      </w:r>
      <w:r>
        <w:rPr>
          <w:rFonts w:ascii="宋体" w:hAnsi="宋体" w:cs="宋体"/>
          <w:kern w:val="0"/>
          <w:szCs w:val="21"/>
        </w:rPr>
        <w:t>60</w:t>
      </w:r>
      <w:r>
        <w:rPr>
          <w:rFonts w:hint="eastAsia" w:ascii="宋体" w:hAnsi="宋体" w:cs="宋体"/>
          <w:kern w:val="0"/>
          <w:szCs w:val="21"/>
        </w:rPr>
        <w:t>日内召开；基金管理人决定不召集，代表基金份额</w:t>
      </w:r>
      <w:r>
        <w:rPr>
          <w:rFonts w:ascii="宋体" w:hAnsi="宋体" w:cs="宋体"/>
          <w:kern w:val="0"/>
          <w:szCs w:val="21"/>
        </w:rPr>
        <w:t>10%</w:t>
      </w:r>
      <w:r>
        <w:rPr>
          <w:rFonts w:hint="eastAsia" w:ascii="宋体" w:hAnsi="宋体" w:cs="宋体"/>
          <w:kern w:val="0"/>
          <w:szCs w:val="21"/>
        </w:rPr>
        <w:t>以上（含</w:t>
      </w:r>
      <w:r>
        <w:rPr>
          <w:rFonts w:ascii="宋体" w:hAnsi="宋体" w:cs="宋体"/>
          <w:kern w:val="0"/>
          <w:szCs w:val="21"/>
        </w:rPr>
        <w:t>10%</w:t>
      </w:r>
      <w:r>
        <w:rPr>
          <w:rFonts w:hint="eastAsia" w:ascii="宋体" w:hAnsi="宋体" w:cs="宋体"/>
          <w:kern w:val="0"/>
          <w:szCs w:val="21"/>
        </w:rPr>
        <w:t>）的基金份额持有人仍认为有必要召开的，应当向基金托管人提出书面提议。基金托管人应当自收到书面提议之日起</w:t>
      </w:r>
      <w:r>
        <w:rPr>
          <w:rFonts w:ascii="宋体" w:hAnsi="宋体" w:cs="宋体"/>
          <w:kern w:val="0"/>
          <w:szCs w:val="21"/>
        </w:rPr>
        <w:t>10</w:t>
      </w:r>
      <w:r>
        <w:rPr>
          <w:rFonts w:hint="eastAsia" w:ascii="宋体" w:hAnsi="宋体" w:cs="宋体"/>
          <w:kern w:val="0"/>
          <w:szCs w:val="21"/>
        </w:rPr>
        <w:t>日内决定是否召集，并书面告知提出提议的基金份额持有人代表和基金管理人；基金托管人决定召集的，应当自出具书面决定之日起</w:t>
      </w:r>
      <w:r>
        <w:rPr>
          <w:rFonts w:ascii="宋体" w:hAnsi="宋体" w:cs="宋体"/>
          <w:kern w:val="0"/>
          <w:szCs w:val="21"/>
        </w:rPr>
        <w:t>60</w:t>
      </w:r>
      <w:r>
        <w:rPr>
          <w:rFonts w:hint="eastAsia" w:ascii="宋体" w:hAnsi="宋体" w:cs="宋体"/>
          <w:kern w:val="0"/>
          <w:szCs w:val="21"/>
        </w:rPr>
        <w:t>日内召开并告知基金管理人，基金管理人应当配合。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（5）代表基金份额</w:t>
      </w:r>
      <w:r>
        <w:rPr>
          <w:rFonts w:ascii="宋体" w:hAnsi="宋体" w:cs="宋体"/>
          <w:kern w:val="0"/>
          <w:szCs w:val="21"/>
        </w:rPr>
        <w:t>10%</w:t>
      </w:r>
      <w:r>
        <w:rPr>
          <w:rFonts w:hint="eastAsia" w:ascii="宋体" w:hAnsi="宋体" w:cs="宋体"/>
          <w:kern w:val="0"/>
          <w:szCs w:val="21"/>
        </w:rPr>
        <w:t>以上（含</w:t>
      </w:r>
      <w:r>
        <w:rPr>
          <w:rFonts w:ascii="宋体" w:hAnsi="宋体" w:cs="宋体"/>
          <w:kern w:val="0"/>
          <w:szCs w:val="21"/>
        </w:rPr>
        <w:t>10%</w:t>
      </w:r>
      <w:r>
        <w:rPr>
          <w:rFonts w:hint="eastAsia" w:ascii="宋体" w:hAnsi="宋体" w:cs="宋体"/>
          <w:kern w:val="0"/>
          <w:szCs w:val="21"/>
        </w:rPr>
        <w:t>）的基金份额持有人就同一事项要求召开基金份额持有人大会，而基金管理人、基金托管人都不召集的，单独或合计代表基金份额</w:t>
      </w:r>
      <w:r>
        <w:rPr>
          <w:rFonts w:ascii="宋体" w:hAnsi="宋体" w:cs="宋体"/>
          <w:kern w:val="0"/>
          <w:szCs w:val="21"/>
        </w:rPr>
        <w:t>10%</w:t>
      </w:r>
      <w:r>
        <w:rPr>
          <w:rFonts w:hint="eastAsia" w:ascii="宋体" w:hAnsi="宋体" w:cs="宋体"/>
          <w:kern w:val="0"/>
          <w:szCs w:val="21"/>
        </w:rPr>
        <w:t>以上（含</w:t>
      </w:r>
      <w:r>
        <w:rPr>
          <w:rFonts w:ascii="宋体" w:hAnsi="宋体" w:cs="宋体"/>
          <w:kern w:val="0"/>
          <w:szCs w:val="21"/>
        </w:rPr>
        <w:t>10%</w:t>
      </w:r>
      <w:r>
        <w:rPr>
          <w:rFonts w:hint="eastAsia" w:ascii="宋体" w:hAnsi="宋体" w:cs="宋体"/>
          <w:kern w:val="0"/>
          <w:szCs w:val="21"/>
        </w:rPr>
        <w:t>）的基金份额持有人有权自行召集，并至少提前</w:t>
      </w:r>
      <w:r>
        <w:rPr>
          <w:rFonts w:ascii="宋体" w:hAnsi="宋体" w:cs="宋体"/>
          <w:kern w:val="0"/>
          <w:szCs w:val="21"/>
        </w:rPr>
        <w:t>30</w:t>
      </w:r>
      <w:r>
        <w:rPr>
          <w:rFonts w:hint="eastAsia" w:ascii="宋体" w:hAnsi="宋体" w:cs="宋体"/>
          <w:kern w:val="0"/>
          <w:szCs w:val="21"/>
        </w:rPr>
        <w:t>日报中国证监会备案。基金份额持有人依法自行召集基金份额持有人大会的，基金管理人、基金托管人应当配合，不得阻碍、干扰。</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）基金份额持有人会议的召集人负责选择确定开会时间、地点、方式和权益登记日。</w:t>
      </w:r>
    </w:p>
    <w:p>
      <w:pPr>
        <w:autoSpaceDE w:val="0"/>
        <w:autoSpaceDN w:val="0"/>
        <w:adjustRightInd w:val="0"/>
        <w:spacing w:line="360" w:lineRule="auto"/>
        <w:ind w:firstLine="420" w:firstLineChars="200"/>
        <w:jc w:val="left"/>
        <w:rPr>
          <w:rFonts w:ascii="宋体" w:hAnsi="宋体" w:cs="宋体"/>
          <w:kern w:val="0"/>
          <w:szCs w:val="21"/>
        </w:rPr>
      </w:pPr>
      <w:bookmarkStart w:id="285" w:name="_Toc79392586"/>
      <w:r>
        <w:rPr>
          <w:rFonts w:ascii="宋体" w:hAnsi="宋体" w:cs="宋体"/>
          <w:kern w:val="0"/>
          <w:szCs w:val="21"/>
        </w:rPr>
        <w:t>3</w:t>
      </w:r>
      <w:r>
        <w:rPr>
          <w:rFonts w:hint="eastAsia" w:ascii="宋体" w:hAnsi="宋体" w:cs="宋体"/>
          <w:kern w:val="0"/>
          <w:szCs w:val="21"/>
        </w:rPr>
        <w:t>、召开基金份额持有人大会的通知时间、通知内容、通知方式</w:t>
      </w:r>
      <w:bookmarkEnd w:id="283"/>
      <w:bookmarkEnd w:id="284"/>
      <w:bookmarkEnd w:id="285"/>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）召开基金份额持有人大会，召集人应于会议召开前</w:t>
      </w:r>
      <w:r>
        <w:rPr>
          <w:rFonts w:ascii="宋体" w:hAnsi="宋体" w:cs="宋体"/>
          <w:kern w:val="0"/>
          <w:szCs w:val="21"/>
        </w:rPr>
        <w:t>30</w:t>
      </w:r>
      <w:r>
        <w:rPr>
          <w:rFonts w:hint="eastAsia" w:ascii="宋体" w:hAnsi="宋体" w:cs="宋体"/>
          <w:kern w:val="0"/>
          <w:szCs w:val="21"/>
        </w:rPr>
        <w:t>日，在规定媒介公告。基金份额持有人大会通知应至少载明以下内容：</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）会议召开的时间、地点和会议形式；</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）会议拟审议的事项、议事程序和表决方式；</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）有权出席基金份额持有人大会的基金份额持有人的权益登记日；</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）授权委托证明的内容要求（包括但不限于代理人身份，代理权限和代理有效期限等）、送达时间和地点；</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）会务常设联系人姓名及联系电话；</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）出席会议者必须准备的文件和必须履行的手续；</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）召集人需要通知的其他事项。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utoSpaceDE w:val="0"/>
        <w:autoSpaceDN w:val="0"/>
        <w:adjustRightInd w:val="0"/>
        <w:spacing w:line="360" w:lineRule="auto"/>
        <w:ind w:firstLine="420" w:firstLineChars="200"/>
        <w:jc w:val="left"/>
        <w:rPr>
          <w:rFonts w:ascii="宋体" w:hAnsi="宋体" w:cs="宋体"/>
          <w:kern w:val="0"/>
          <w:szCs w:val="21"/>
        </w:rPr>
      </w:pPr>
      <w:bookmarkStart w:id="286" w:name="_Toc15641223"/>
      <w:bookmarkStart w:id="287" w:name="_Toc57530246"/>
      <w:bookmarkStart w:id="288" w:name="_Toc79392587"/>
      <w:r>
        <w:rPr>
          <w:rFonts w:ascii="宋体" w:hAnsi="宋体" w:cs="宋体"/>
          <w:kern w:val="0"/>
          <w:szCs w:val="21"/>
        </w:rPr>
        <w:t>4</w:t>
      </w:r>
      <w:r>
        <w:rPr>
          <w:rFonts w:hint="eastAsia" w:ascii="宋体" w:hAnsi="宋体" w:cs="宋体"/>
          <w:kern w:val="0"/>
          <w:szCs w:val="21"/>
        </w:rPr>
        <w:t>、基金份额持有人出席会议的方式</w:t>
      </w:r>
      <w:bookmarkEnd w:id="286"/>
      <w:bookmarkEnd w:id="287"/>
      <w:bookmarkEnd w:id="288"/>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基金份额持有人大会可通过现场开会方式、通讯开会方式或法律法规或监管机构允许以及基金合同约定的其他方式召开，会议的召开方式由会议召集人确定。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cs="宋体"/>
          <w:kern w:val="0"/>
          <w:szCs w:val="21"/>
        </w:rPr>
        <w:t>3</w:t>
      </w:r>
      <w:r>
        <w:rPr>
          <w:rFonts w:hint="eastAsia" w:ascii="宋体" w:hAnsi="宋体" w:cs="宋体"/>
          <w:kern w:val="0"/>
          <w:szCs w:val="21"/>
        </w:rPr>
        <w:t>个月以后、</w:t>
      </w:r>
      <w:r>
        <w:rPr>
          <w:rFonts w:ascii="宋体" w:hAnsi="宋体" w:cs="宋体"/>
          <w:kern w:val="0"/>
          <w:szCs w:val="21"/>
        </w:rPr>
        <w:t>6</w:t>
      </w:r>
      <w:r>
        <w:rPr>
          <w:rFonts w:hint="eastAsia" w:ascii="宋体" w:hAnsi="宋体" w:cs="宋体"/>
          <w:kern w:val="0"/>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在同时符合以下条件时，通讯开会的方式视为有效：</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）会议召集人按《基金合同》约定公布会议通知后，在</w:t>
      </w:r>
      <w:r>
        <w:rPr>
          <w:rFonts w:ascii="宋体" w:hAnsi="宋体" w:cs="宋体"/>
          <w:kern w:val="0"/>
          <w:szCs w:val="21"/>
        </w:rPr>
        <w:t>2</w:t>
      </w:r>
      <w:r>
        <w:rPr>
          <w:rFonts w:hint="eastAsia" w:ascii="宋体" w:hAnsi="宋体" w:cs="宋体"/>
          <w:kern w:val="0"/>
          <w:szCs w:val="21"/>
        </w:rPr>
        <w:t>个工作日内连续公布相关提示性公告；</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ascii="宋体" w:hAnsi="宋体" w:cs="宋体"/>
          <w:kern w:val="0"/>
          <w:szCs w:val="21"/>
        </w:rPr>
        <w:t>3</w:t>
      </w:r>
      <w:r>
        <w:rPr>
          <w:rFonts w:hint="eastAsia" w:ascii="宋体" w:hAnsi="宋体" w:cs="宋体"/>
          <w:kern w:val="0"/>
          <w:szCs w:val="21"/>
        </w:rPr>
        <w:t>个月以后、</w:t>
      </w:r>
      <w:r>
        <w:rPr>
          <w:rFonts w:ascii="宋体" w:hAnsi="宋体" w:cs="宋体"/>
          <w:kern w:val="0"/>
          <w:szCs w:val="21"/>
        </w:rPr>
        <w:t>6</w:t>
      </w:r>
      <w:r>
        <w:rPr>
          <w:rFonts w:hint="eastAsia" w:ascii="宋体" w:hAnsi="宋体" w:cs="宋体"/>
          <w:kern w:val="0"/>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）上述第</w:t>
      </w:r>
      <w:r>
        <w:rPr>
          <w:rFonts w:ascii="宋体" w:hAnsi="宋体" w:cs="宋体"/>
          <w:kern w:val="0"/>
          <w:szCs w:val="21"/>
        </w:rPr>
        <w:t>3</w:t>
      </w:r>
      <w:r>
        <w:rPr>
          <w:rFonts w:hint="eastAsia" w:ascii="宋体" w:hAnsi="宋体" w:cs="宋体"/>
          <w:kern w:val="0"/>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bidi="ar"/>
        </w:rPr>
        <w:t>在法律法规和监管机关允许的情况下，本基金的基金份额持有人亦可采用其他非书面方式授权其代理人出席基金份额持有人大会并行使表决权；在会议召开方式上，本基金亦可采用其他非现场方式或者以现场方式与非现场方式相结合的方式召开基金份额持有人大会，会议程序比照现场开会和通讯方式开会的程序进行。基金份额持有人可以采用纸质、网络、电话、短信或其他方式进行表决，具体方式由会议召集人确定并在会议通知中列明。</w:t>
      </w:r>
      <w:r>
        <w:rPr>
          <w:rFonts w:ascii="宋体" w:hAnsi="宋体" w:cs="宋体"/>
          <w:kern w:val="0"/>
          <w:szCs w:val="21"/>
        </w:rPr>
        <w:t xml:space="preserve"> </w:t>
      </w:r>
    </w:p>
    <w:p>
      <w:pPr>
        <w:autoSpaceDE w:val="0"/>
        <w:autoSpaceDN w:val="0"/>
        <w:adjustRightInd w:val="0"/>
        <w:spacing w:line="360" w:lineRule="auto"/>
        <w:ind w:firstLine="420" w:firstLineChars="200"/>
        <w:jc w:val="left"/>
        <w:rPr>
          <w:rFonts w:ascii="宋体" w:hAnsi="宋体" w:cs="宋体"/>
          <w:kern w:val="0"/>
          <w:szCs w:val="21"/>
        </w:rPr>
      </w:pPr>
      <w:bookmarkStart w:id="289" w:name="_Toc79392588"/>
      <w:bookmarkStart w:id="290" w:name="_Toc57530247"/>
      <w:bookmarkStart w:id="291" w:name="_Toc15641224"/>
      <w:r>
        <w:rPr>
          <w:rFonts w:ascii="宋体" w:hAnsi="宋体" w:cs="宋体"/>
          <w:kern w:val="0"/>
          <w:szCs w:val="21"/>
        </w:rPr>
        <w:t>5</w:t>
      </w:r>
      <w:r>
        <w:rPr>
          <w:rFonts w:hint="eastAsia" w:ascii="宋体" w:hAnsi="宋体" w:cs="宋体"/>
          <w:kern w:val="0"/>
          <w:szCs w:val="21"/>
        </w:rPr>
        <w:t>、议事内容与程序</w:t>
      </w:r>
      <w:bookmarkEnd w:id="289"/>
      <w:bookmarkEnd w:id="290"/>
      <w:bookmarkEnd w:id="291"/>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（1）议事内容及提案权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基金份额持有人大会的召集人发出召集会议的通知后，对原有提案的修改应当在基金份额持有人大会召开前及时公告。</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基金份额持有人大会不得对未事先公告的议事内容进行表决。</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（2）议事程序</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）现场开会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会议召集人应当制作出席会议人员的签名册。签名册载明参加会议人员姓名（或单位名称）、身份证明文件号码、持有或代表有表决权的基金份额、委托人姓名（或单位名称）和联系方式等事项。</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）通讯开会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在通讯开会的情况下，首先由召集人提前</w:t>
      </w:r>
      <w:r>
        <w:rPr>
          <w:rFonts w:ascii="宋体" w:hAnsi="宋体" w:cs="宋体"/>
          <w:kern w:val="0"/>
          <w:szCs w:val="21"/>
        </w:rPr>
        <w:t>30</w:t>
      </w:r>
      <w:r>
        <w:rPr>
          <w:rFonts w:hint="eastAsia" w:ascii="宋体" w:hAnsi="宋体" w:cs="宋体"/>
          <w:kern w:val="0"/>
          <w:szCs w:val="21"/>
        </w:rPr>
        <w:t>日公布提案，在所通知的表决截止日期后</w:t>
      </w:r>
      <w:r>
        <w:rPr>
          <w:rFonts w:ascii="宋体" w:hAnsi="宋体" w:cs="宋体"/>
          <w:kern w:val="0"/>
          <w:szCs w:val="21"/>
        </w:rPr>
        <w:t>2</w:t>
      </w:r>
      <w:r>
        <w:rPr>
          <w:rFonts w:hint="eastAsia" w:ascii="宋体" w:hAnsi="宋体" w:cs="宋体"/>
          <w:kern w:val="0"/>
          <w:szCs w:val="21"/>
        </w:rPr>
        <w:t>个工作日内在公证机关监督下由召集人统计全部有效表决，在公证机关监督下形成决议。</w:t>
      </w:r>
    </w:p>
    <w:p>
      <w:pPr>
        <w:autoSpaceDE w:val="0"/>
        <w:autoSpaceDN w:val="0"/>
        <w:adjustRightInd w:val="0"/>
        <w:spacing w:line="360" w:lineRule="auto"/>
        <w:ind w:firstLine="420" w:firstLineChars="200"/>
        <w:jc w:val="left"/>
        <w:rPr>
          <w:rFonts w:ascii="宋体" w:hAnsi="宋体" w:cs="宋体"/>
          <w:kern w:val="0"/>
          <w:szCs w:val="21"/>
        </w:rPr>
      </w:pPr>
      <w:bookmarkStart w:id="292" w:name="_Toc15641225"/>
      <w:bookmarkStart w:id="293" w:name="_Toc79392589"/>
      <w:bookmarkStart w:id="294" w:name="_Toc57530248"/>
      <w:r>
        <w:rPr>
          <w:rFonts w:hint="eastAsia" w:ascii="宋体" w:hAnsi="宋体" w:cs="宋体"/>
          <w:kern w:val="0"/>
          <w:szCs w:val="21"/>
        </w:rPr>
        <w:t>6、表决</w:t>
      </w:r>
      <w:bookmarkEnd w:id="292"/>
      <w:bookmarkEnd w:id="293"/>
      <w:bookmarkEnd w:id="294"/>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基金份额持有人所持每份基金份额有一票表决权。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基金份额持有人大会决议分为一般决议和特别决议：</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（1）一般决议，一般决议须经参加大会的基金份额持有人或其代理人所持表决权的二分之一以上（含二分之一）通过方为有效；除下列第（</w:t>
      </w:r>
      <w:r>
        <w:rPr>
          <w:rFonts w:ascii="宋体" w:hAnsi="宋体" w:cs="宋体"/>
          <w:kern w:val="0"/>
          <w:szCs w:val="21"/>
        </w:rPr>
        <w:t>2</w:t>
      </w:r>
      <w:r>
        <w:rPr>
          <w:rFonts w:hint="eastAsia" w:ascii="宋体" w:hAnsi="宋体" w:cs="宋体"/>
          <w:kern w:val="0"/>
          <w:szCs w:val="21"/>
        </w:rPr>
        <w:t>）项所规定的须以特别决议通过事项以外的其他事项均以一般决议的方式通过。</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本基金与其他基金合并以特别决议通过方为有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基金份额持有人大会采取记名方式进行投票表决。</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基金份额持有人大会的各项提案或同一项提案内并列的各项议题应当分开审议、逐项表决。</w:t>
      </w:r>
    </w:p>
    <w:p>
      <w:pPr>
        <w:autoSpaceDE w:val="0"/>
        <w:autoSpaceDN w:val="0"/>
        <w:adjustRightInd w:val="0"/>
        <w:spacing w:line="360" w:lineRule="auto"/>
        <w:ind w:firstLine="420" w:firstLineChars="200"/>
        <w:jc w:val="left"/>
        <w:rPr>
          <w:rFonts w:ascii="宋体" w:hAnsi="宋体" w:cs="宋体"/>
          <w:kern w:val="0"/>
          <w:szCs w:val="21"/>
        </w:rPr>
      </w:pPr>
      <w:bookmarkStart w:id="295" w:name="_Toc15641226"/>
      <w:bookmarkStart w:id="296" w:name="_Toc79392590"/>
      <w:bookmarkStart w:id="297" w:name="_Toc57530249"/>
      <w:r>
        <w:rPr>
          <w:rFonts w:ascii="宋体" w:hAnsi="宋体" w:cs="宋体"/>
          <w:kern w:val="0"/>
          <w:szCs w:val="21"/>
        </w:rPr>
        <w:t>7</w:t>
      </w:r>
      <w:r>
        <w:rPr>
          <w:rFonts w:hint="eastAsia" w:ascii="宋体" w:hAnsi="宋体" w:cs="宋体"/>
          <w:kern w:val="0"/>
          <w:szCs w:val="21"/>
        </w:rPr>
        <w:t>、计票</w:t>
      </w:r>
      <w:bookmarkEnd w:id="295"/>
      <w:bookmarkEnd w:id="296"/>
      <w:bookmarkEnd w:id="297"/>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（1）现场开会</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）监票人应当在基金份额持有人表决后立即进行清点并由大会主持人当场公布计票结果。</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）计票过程应由公证机关予以公证，基金管理人或基金托管人拒不出席大会的，不影响计票的效力。</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（2）通讯开会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98" w:name="_Toc57530250"/>
      <w:bookmarkStart w:id="299" w:name="_Toc15641227"/>
      <w:bookmarkStart w:id="300" w:name="_Toc79392591"/>
      <w:r>
        <w:rPr>
          <w:rFonts w:hint="eastAsia" w:ascii="宋体" w:hAnsi="宋体" w:cs="宋体"/>
          <w:kern w:val="0"/>
          <w:szCs w:val="21"/>
        </w:rPr>
        <w:t>。基金管理人或基金托管人拒派代表对表决意见的计票进行监督的，不影响计票和表决结果。</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、生效与公告</w:t>
      </w:r>
      <w:bookmarkEnd w:id="298"/>
      <w:bookmarkEnd w:id="299"/>
      <w:bookmarkEnd w:id="300"/>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基金份额持有人大会的决议，召集人应当自通过之日起</w:t>
      </w:r>
      <w:r>
        <w:rPr>
          <w:rFonts w:ascii="宋体" w:hAnsi="宋体" w:cs="宋体"/>
          <w:kern w:val="0"/>
          <w:szCs w:val="21"/>
        </w:rPr>
        <w:t>5</w:t>
      </w:r>
      <w:r>
        <w:rPr>
          <w:rFonts w:hint="eastAsia" w:ascii="宋体" w:hAnsi="宋体" w:cs="宋体"/>
          <w:kern w:val="0"/>
          <w:szCs w:val="21"/>
        </w:rPr>
        <w:t>日内报中国证监会备案。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基金份额持有人大会的决议自表决通过之日起生效。</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基金份额持有人大会决议自生效之日起依照《信息披露办法》的有关规定在规定媒介上公告。</w:t>
      </w:r>
      <w:bookmarkStart w:id="301" w:name="_Hlt88820702"/>
      <w:bookmarkEnd w:id="301"/>
      <w:r>
        <w:rPr>
          <w:rFonts w:hint="eastAsia" w:ascii="宋体" w:hAnsi="宋体" w:cs="宋体"/>
          <w:kern w:val="0"/>
          <w:szCs w:val="21"/>
        </w:rPr>
        <w:t>如果采用通讯方式进行表决，在公告基金份额持有人大会决议时，必须将公证书全文、公证机构、公证员姓名等一同公告。</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基金管理人、基金托管人和基金份额持有人应当执行生效的基金份额持有人大会的决议。生效的基金份额持有人大会决议对全体基金份额持有人、基金管理人、基金托管人均有约束力。</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9</w:t>
      </w:r>
      <w:r>
        <w:rPr>
          <w:rFonts w:hint="eastAsia" w:ascii="宋体" w:hAnsi="宋体" w:cs="宋体"/>
          <w:kern w:val="0"/>
          <w:szCs w:val="21"/>
        </w:rPr>
        <w:t>、实施侧袋机制期间基金份额持有人大会的特殊约定</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（1）基金份额持有人行使提议权、召集权、提名权所需单独或合计代表相关基金份额</w:t>
      </w:r>
      <w:r>
        <w:rPr>
          <w:rFonts w:ascii="宋体" w:hAnsi="宋体" w:cs="宋体"/>
          <w:kern w:val="0"/>
          <w:szCs w:val="21"/>
        </w:rPr>
        <w:t>10%</w:t>
      </w:r>
      <w:r>
        <w:rPr>
          <w:rFonts w:hint="eastAsia" w:ascii="宋体" w:hAnsi="宋体" w:cs="宋体"/>
          <w:kern w:val="0"/>
          <w:szCs w:val="21"/>
        </w:rPr>
        <w:t>以上（含</w:t>
      </w:r>
      <w:r>
        <w:rPr>
          <w:rFonts w:ascii="宋体" w:hAnsi="宋体" w:cs="宋体"/>
          <w:kern w:val="0"/>
          <w:szCs w:val="21"/>
        </w:rPr>
        <w:t>10%</w:t>
      </w:r>
      <w:r>
        <w:rPr>
          <w:rFonts w:hint="eastAsia" w:ascii="宋体" w:hAnsi="宋体" w:cs="宋体"/>
          <w:kern w:val="0"/>
          <w:szCs w:val="21"/>
        </w:rPr>
        <w:t>）；</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）现场开会的到会者在权益登记日代表的基金份额不少于本基金在权益登记日相关基金份额的二分之一（含二分之一）；</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（3）通讯开会的直接出具表决意见或授权他人代表出具表决意见的基金份额持有人所持有的基金份额不小于在权益登记日相关基金份额的二分之一（含二分之一）；</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（4）若参与基金份额持有人大会投票的基金份额持有人所持有的基金份额小于在权益登记日相关基金份额的二分之一，召集人在原公告的基金份额持有人大会召开时间的</w:t>
      </w:r>
      <w:r>
        <w:rPr>
          <w:rFonts w:ascii="宋体" w:hAnsi="宋体" w:cs="宋体"/>
          <w:kern w:val="0"/>
          <w:szCs w:val="21"/>
        </w:rPr>
        <w:t>3</w:t>
      </w:r>
      <w:r>
        <w:rPr>
          <w:rFonts w:hint="eastAsia" w:ascii="宋体" w:hAnsi="宋体" w:cs="宋体"/>
          <w:kern w:val="0"/>
          <w:szCs w:val="21"/>
        </w:rPr>
        <w:t>个月以后、</w:t>
      </w:r>
      <w:r>
        <w:rPr>
          <w:rFonts w:ascii="宋体" w:hAnsi="宋体" w:cs="宋体"/>
          <w:kern w:val="0"/>
          <w:szCs w:val="21"/>
        </w:rPr>
        <w:t>6</w:t>
      </w:r>
      <w:r>
        <w:rPr>
          <w:rFonts w:hint="eastAsia" w:ascii="宋体" w:hAnsi="宋体" w:cs="宋体"/>
          <w:kern w:val="0"/>
          <w:szCs w:val="21"/>
        </w:rPr>
        <w:t>个月以内就原定审议事项重新召集的基金份额持有人大会应当有代表三分之一以上（含三分之一）相关基金份额的持有人参与或授权他人参与基金份额持有人大会投票；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（5）现场开会由出席大会的基金份额持有人和代理人所持表决权的二分之一以上（含二分之一）选举产生一名基金份额持有人作为该次基金份额持有人大会的主持人；</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（6）一般决议须经参加大会的基金份额持有人或其代理人所持表决权的二分之一以上（含二分之一）通过；</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（7）特别决议应当经参加大会的基金份额持有人或其代理人所持表决权的三分之二以上（含三分之二）通过。</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侧袋机制实施期间，关于基金份额持有人大会的相关规定以本节特殊约定内容为准，本节没有规定的适用本部分的相关规定。</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10</w:t>
      </w:r>
      <w:r>
        <w:rPr>
          <w:rFonts w:hint="eastAsia" w:ascii="宋体" w:hAnsi="宋体" w:cs="宋体"/>
          <w:kern w:val="0"/>
          <w:szCs w:val="21"/>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pPr>
        <w:spacing w:line="360" w:lineRule="auto"/>
        <w:ind w:firstLine="420"/>
        <w:jc w:val="left"/>
        <w:rPr>
          <w:rFonts w:ascii="宋体" w:hAnsi="宋体"/>
          <w:b/>
        </w:rPr>
      </w:pPr>
      <w:bookmarkStart w:id="302" w:name="_Hlk5634950"/>
      <w:r>
        <w:rPr>
          <w:rFonts w:hint="eastAsia" w:ascii="宋体" w:hAnsi="宋体"/>
          <w:b/>
        </w:rPr>
        <w:t>（三）基金合同解除和终止的事由、程序以及基金财产的清算方式</w:t>
      </w:r>
      <w:bookmarkEnd w:id="302"/>
    </w:p>
    <w:p>
      <w:pPr>
        <w:spacing w:line="360" w:lineRule="auto"/>
        <w:ind w:firstLine="420" w:firstLineChars="200"/>
        <w:rPr>
          <w:rFonts w:ascii="宋体" w:hAnsi="宋体" w:cs="宋体"/>
          <w:kern w:val="0"/>
          <w:szCs w:val="21"/>
        </w:rPr>
      </w:pPr>
      <w:r>
        <w:rPr>
          <w:rFonts w:hint="eastAsia" w:ascii="宋体" w:hAnsi="宋体" w:cs="宋体"/>
          <w:kern w:val="0"/>
          <w:szCs w:val="21"/>
        </w:rPr>
        <w:t>1、《基金合同》的变更</w:t>
      </w:r>
    </w:p>
    <w:p>
      <w:pPr>
        <w:spacing w:line="360" w:lineRule="auto"/>
        <w:ind w:firstLine="420" w:firstLineChars="200"/>
        <w:rPr>
          <w:rFonts w:ascii="宋体" w:hAnsi="宋体" w:cs="宋体"/>
          <w:kern w:val="0"/>
          <w:szCs w:val="21"/>
        </w:rPr>
      </w:pPr>
      <w:r>
        <w:rPr>
          <w:rFonts w:hint="eastAsia" w:ascii="宋体" w:hAnsi="宋体" w:cs="宋体"/>
          <w:kern w:val="0"/>
          <w:szCs w:val="21"/>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20" w:firstLineChars="200"/>
        <w:rPr>
          <w:rFonts w:ascii="宋体" w:hAnsi="宋体" w:cs="宋体"/>
          <w:kern w:val="0"/>
          <w:szCs w:val="21"/>
        </w:rPr>
      </w:pPr>
      <w:r>
        <w:rPr>
          <w:rFonts w:hint="eastAsia" w:ascii="宋体" w:hAnsi="宋体" w:cs="宋体"/>
          <w:kern w:val="0"/>
          <w:szCs w:val="21"/>
        </w:rPr>
        <w:t>（2）关于《基金合同》变更的基金份额持有人大会决议自生效后方可执行，自决议生效后依照《信息披露办法》的有关规定在规定媒介公告。</w:t>
      </w:r>
    </w:p>
    <w:p>
      <w:pPr>
        <w:spacing w:line="360" w:lineRule="auto"/>
        <w:ind w:firstLine="420" w:firstLineChars="200"/>
        <w:rPr>
          <w:rFonts w:ascii="宋体" w:hAnsi="宋体" w:cs="宋体"/>
          <w:kern w:val="0"/>
          <w:szCs w:val="21"/>
        </w:rPr>
      </w:pPr>
      <w:r>
        <w:rPr>
          <w:rFonts w:hint="eastAsia" w:ascii="宋体" w:hAnsi="宋体" w:cs="宋体"/>
          <w:kern w:val="0"/>
          <w:szCs w:val="21"/>
        </w:rPr>
        <w:t>2、《基金合同》的终止事由</w:t>
      </w:r>
    </w:p>
    <w:p>
      <w:pPr>
        <w:spacing w:line="360" w:lineRule="auto"/>
        <w:ind w:firstLine="420" w:firstLineChars="200"/>
        <w:rPr>
          <w:rFonts w:ascii="宋体" w:hAnsi="宋体" w:cs="宋体"/>
          <w:kern w:val="0"/>
          <w:szCs w:val="21"/>
        </w:rPr>
      </w:pPr>
      <w:r>
        <w:rPr>
          <w:rFonts w:hint="eastAsia" w:ascii="宋体" w:hAnsi="宋体" w:cs="宋体"/>
          <w:kern w:val="0"/>
          <w:szCs w:val="21"/>
        </w:rPr>
        <w:t>有下列情形之一的，经履行相关程序后，《基金合同》应当终止：</w:t>
      </w:r>
    </w:p>
    <w:p>
      <w:pPr>
        <w:spacing w:line="360" w:lineRule="auto"/>
        <w:ind w:firstLine="420" w:firstLineChars="200"/>
        <w:rPr>
          <w:rFonts w:ascii="宋体" w:hAnsi="宋体" w:cs="宋体"/>
          <w:kern w:val="0"/>
          <w:szCs w:val="21"/>
        </w:rPr>
      </w:pPr>
      <w:r>
        <w:rPr>
          <w:rFonts w:hint="eastAsia" w:ascii="宋体" w:hAnsi="宋体" w:cs="宋体"/>
          <w:kern w:val="0"/>
          <w:szCs w:val="21"/>
        </w:rPr>
        <w:t>（1）基金份额持有人大会决定终止的；</w:t>
      </w:r>
    </w:p>
    <w:p>
      <w:pPr>
        <w:spacing w:line="360" w:lineRule="auto"/>
        <w:ind w:firstLine="420" w:firstLineChars="200"/>
        <w:rPr>
          <w:rFonts w:ascii="宋体" w:hAnsi="宋体" w:cs="宋体"/>
          <w:kern w:val="0"/>
          <w:szCs w:val="21"/>
        </w:rPr>
      </w:pPr>
      <w:r>
        <w:rPr>
          <w:rFonts w:hint="eastAsia" w:ascii="宋体" w:hAnsi="宋体" w:cs="宋体"/>
          <w:kern w:val="0"/>
          <w:szCs w:val="21"/>
        </w:rPr>
        <w:t>（2）基金管理人、基金托管人职责终止，在6个月内没有新基金管理人、新基金托管人承接的；</w:t>
      </w:r>
    </w:p>
    <w:p>
      <w:pPr>
        <w:spacing w:line="360" w:lineRule="auto"/>
        <w:ind w:firstLine="420" w:firstLineChars="200"/>
        <w:rPr>
          <w:rFonts w:ascii="宋体" w:hAnsi="宋体" w:cs="宋体"/>
          <w:kern w:val="0"/>
          <w:szCs w:val="21"/>
        </w:rPr>
      </w:pPr>
      <w:r>
        <w:rPr>
          <w:rFonts w:hint="eastAsia" w:ascii="宋体" w:hAnsi="宋体" w:cs="宋体"/>
          <w:kern w:val="0"/>
          <w:szCs w:val="21"/>
        </w:rPr>
        <w:t>（3）《基金合同》约定的其他情形；</w:t>
      </w:r>
    </w:p>
    <w:p>
      <w:pPr>
        <w:spacing w:line="360" w:lineRule="auto"/>
        <w:ind w:firstLine="420" w:firstLineChars="200"/>
        <w:rPr>
          <w:rFonts w:ascii="宋体" w:hAnsi="宋体" w:cs="宋体"/>
          <w:kern w:val="0"/>
          <w:szCs w:val="21"/>
        </w:rPr>
      </w:pPr>
      <w:r>
        <w:rPr>
          <w:rFonts w:hint="eastAsia" w:ascii="宋体" w:hAnsi="宋体" w:cs="宋体"/>
          <w:kern w:val="0"/>
          <w:szCs w:val="21"/>
        </w:rPr>
        <w:t>（4）相关法律法规和中国证监会规定的其他情况。</w:t>
      </w:r>
    </w:p>
    <w:p>
      <w:pPr>
        <w:spacing w:line="360" w:lineRule="auto"/>
        <w:ind w:firstLine="420" w:firstLineChars="200"/>
        <w:rPr>
          <w:rFonts w:ascii="宋体" w:hAnsi="宋体" w:cs="宋体"/>
          <w:kern w:val="0"/>
          <w:szCs w:val="21"/>
        </w:rPr>
      </w:pPr>
      <w:r>
        <w:rPr>
          <w:rFonts w:hint="eastAsia" w:ascii="宋体" w:hAnsi="宋体" w:cs="宋体"/>
          <w:kern w:val="0"/>
          <w:szCs w:val="21"/>
        </w:rPr>
        <w:t>3、基金财产的清算</w:t>
      </w:r>
    </w:p>
    <w:p>
      <w:pPr>
        <w:spacing w:line="360" w:lineRule="auto"/>
        <w:ind w:firstLine="420" w:firstLineChars="200"/>
        <w:rPr>
          <w:rFonts w:ascii="宋体" w:hAnsi="宋体" w:cs="宋体"/>
          <w:kern w:val="0"/>
          <w:szCs w:val="21"/>
        </w:rPr>
      </w:pPr>
      <w:r>
        <w:rPr>
          <w:rFonts w:hint="eastAsia" w:ascii="宋体" w:hAnsi="宋体" w:cs="宋体"/>
          <w:kern w:val="0"/>
          <w:szCs w:val="21"/>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20" w:firstLineChars="200"/>
        <w:rPr>
          <w:rFonts w:ascii="宋体" w:hAnsi="宋体" w:cs="宋体"/>
          <w:kern w:val="0"/>
          <w:szCs w:val="21"/>
        </w:rPr>
      </w:pPr>
      <w:r>
        <w:rPr>
          <w:rFonts w:hint="eastAsia" w:ascii="宋体" w:hAnsi="宋体" w:cs="宋体"/>
          <w:kern w:val="0"/>
          <w:szCs w:val="21"/>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20" w:firstLineChars="200"/>
        <w:rPr>
          <w:rFonts w:ascii="宋体" w:hAnsi="宋体" w:cs="宋体"/>
          <w:kern w:val="0"/>
          <w:szCs w:val="21"/>
        </w:rPr>
      </w:pPr>
      <w:r>
        <w:rPr>
          <w:rFonts w:hint="eastAsia" w:ascii="宋体" w:hAnsi="宋体" w:cs="宋体"/>
          <w:kern w:val="0"/>
          <w:szCs w:val="21"/>
        </w:rPr>
        <w:t>（3）在基金财产清算过程中，基金管理人和基金托管人应各自履行职责，继续忠实、勤勉、尽责地履行本基金合同和托管协议规定的义务，维护基金份额持有人的合法权益。</w:t>
      </w:r>
    </w:p>
    <w:p>
      <w:pPr>
        <w:spacing w:line="360" w:lineRule="auto"/>
        <w:ind w:firstLine="420" w:firstLineChars="200"/>
        <w:rPr>
          <w:rFonts w:ascii="宋体" w:hAnsi="宋体" w:cs="宋体"/>
          <w:kern w:val="0"/>
          <w:szCs w:val="21"/>
        </w:rPr>
      </w:pPr>
      <w:r>
        <w:rPr>
          <w:rFonts w:hint="eastAsia" w:ascii="宋体" w:hAnsi="宋体" w:cs="宋体"/>
          <w:kern w:val="0"/>
          <w:szCs w:val="21"/>
        </w:rPr>
        <w:t>（4）基金财产清算小组职责：基金财产清算小组负责基金财产的保管、清理、估价、变现和分配。基金财产清算小组可以依法进行必要的民事活动。</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）基金财产清算程序：</w:t>
      </w:r>
    </w:p>
    <w:p>
      <w:pPr>
        <w:spacing w:line="360" w:lineRule="auto"/>
        <w:ind w:firstLine="420" w:firstLineChars="200"/>
        <w:rPr>
          <w:rFonts w:ascii="宋体" w:hAnsi="宋体" w:cs="宋体"/>
          <w:kern w:val="0"/>
          <w:szCs w:val="21"/>
        </w:rPr>
      </w:pPr>
      <w:r>
        <w:rPr>
          <w:rFonts w:hint="eastAsia" w:ascii="宋体" w:hAnsi="宋体" w:cs="宋体"/>
          <w:kern w:val="0"/>
          <w:szCs w:val="21"/>
        </w:rPr>
        <w:t>1）《基金合同》终止情形出现时，由基金财产清算小组统一接管基金；</w:t>
      </w:r>
    </w:p>
    <w:p>
      <w:pPr>
        <w:spacing w:line="360" w:lineRule="auto"/>
        <w:ind w:firstLine="420" w:firstLineChars="200"/>
        <w:rPr>
          <w:rFonts w:ascii="宋体" w:hAnsi="宋体" w:cs="宋体"/>
          <w:kern w:val="0"/>
          <w:szCs w:val="21"/>
        </w:rPr>
      </w:pPr>
      <w:r>
        <w:rPr>
          <w:rFonts w:hint="eastAsia" w:ascii="宋体" w:hAnsi="宋体" w:cs="宋体"/>
          <w:kern w:val="0"/>
          <w:szCs w:val="21"/>
        </w:rPr>
        <w:t>2）对基金财产和债权债务进行清理和确认；</w:t>
      </w:r>
    </w:p>
    <w:p>
      <w:pPr>
        <w:spacing w:line="360" w:lineRule="auto"/>
        <w:ind w:firstLine="420" w:firstLineChars="200"/>
        <w:rPr>
          <w:rFonts w:ascii="宋体" w:hAnsi="宋体" w:cs="宋体"/>
          <w:kern w:val="0"/>
          <w:szCs w:val="21"/>
        </w:rPr>
      </w:pPr>
      <w:r>
        <w:rPr>
          <w:rFonts w:hint="eastAsia" w:ascii="宋体" w:hAnsi="宋体" w:cs="宋体"/>
          <w:kern w:val="0"/>
          <w:szCs w:val="21"/>
        </w:rPr>
        <w:t>3）对基金财产进行估值和变现；</w:t>
      </w:r>
    </w:p>
    <w:p>
      <w:pPr>
        <w:spacing w:line="360" w:lineRule="auto"/>
        <w:ind w:firstLine="420" w:firstLineChars="200"/>
        <w:rPr>
          <w:rFonts w:ascii="宋体" w:hAnsi="宋体" w:cs="宋体"/>
          <w:kern w:val="0"/>
          <w:szCs w:val="21"/>
        </w:rPr>
      </w:pPr>
      <w:r>
        <w:rPr>
          <w:rFonts w:hint="eastAsia" w:ascii="宋体" w:hAnsi="宋体" w:cs="宋体"/>
          <w:kern w:val="0"/>
          <w:szCs w:val="21"/>
        </w:rPr>
        <w:t>4）制作清算报告；</w:t>
      </w:r>
    </w:p>
    <w:p>
      <w:pPr>
        <w:spacing w:line="360" w:lineRule="auto"/>
        <w:ind w:firstLine="420" w:firstLineChars="200"/>
        <w:rPr>
          <w:rFonts w:ascii="宋体" w:hAnsi="宋体" w:cs="宋体"/>
          <w:kern w:val="0"/>
          <w:szCs w:val="21"/>
        </w:rPr>
      </w:pPr>
      <w:r>
        <w:rPr>
          <w:rFonts w:hint="eastAsia" w:ascii="宋体" w:hAnsi="宋体" w:cs="宋体"/>
          <w:kern w:val="0"/>
          <w:szCs w:val="21"/>
        </w:rPr>
        <w:t>5）聘请会计师事务所对清算报告进行外部审计，聘请律师事务所对清算报告出具法律意见书；</w:t>
      </w:r>
    </w:p>
    <w:p>
      <w:pPr>
        <w:spacing w:line="360" w:lineRule="auto"/>
        <w:ind w:firstLine="420" w:firstLineChars="200"/>
        <w:rPr>
          <w:rFonts w:ascii="宋体" w:hAnsi="宋体" w:cs="宋体"/>
          <w:kern w:val="0"/>
          <w:szCs w:val="21"/>
        </w:rPr>
      </w:pPr>
      <w:r>
        <w:rPr>
          <w:rFonts w:hint="eastAsia" w:ascii="宋体" w:hAnsi="宋体" w:cs="宋体"/>
          <w:kern w:val="0"/>
          <w:szCs w:val="21"/>
        </w:rPr>
        <w:t>6）将清算报告报中国证监会备案并公告；</w:t>
      </w:r>
    </w:p>
    <w:p>
      <w:pPr>
        <w:spacing w:line="360" w:lineRule="auto"/>
        <w:ind w:firstLine="420" w:firstLineChars="200"/>
        <w:rPr>
          <w:rFonts w:ascii="宋体" w:hAnsi="宋体" w:cs="宋体"/>
          <w:kern w:val="0"/>
          <w:szCs w:val="21"/>
        </w:rPr>
      </w:pPr>
      <w:r>
        <w:rPr>
          <w:rFonts w:hint="eastAsia" w:ascii="宋体" w:hAnsi="宋体" w:cs="宋体"/>
          <w:kern w:val="0"/>
          <w:szCs w:val="21"/>
        </w:rPr>
        <w:t>7）对基金剩余财产进行分配。</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）基金财产清算的期限为6个月，但因本基金所持证券的流动性受到限制而不能及时变现的，清算期限相应顺延。</w:t>
      </w:r>
    </w:p>
    <w:p>
      <w:pPr>
        <w:spacing w:line="360" w:lineRule="auto"/>
        <w:ind w:firstLine="420" w:firstLineChars="200"/>
        <w:rPr>
          <w:rFonts w:ascii="宋体" w:hAnsi="宋体" w:cs="宋体"/>
          <w:kern w:val="0"/>
          <w:szCs w:val="21"/>
        </w:rPr>
      </w:pPr>
      <w:r>
        <w:rPr>
          <w:rFonts w:hint="eastAsia" w:ascii="宋体" w:hAnsi="宋体" w:cs="宋体"/>
          <w:kern w:val="0"/>
          <w:szCs w:val="21"/>
        </w:rPr>
        <w:t>4、清算费用</w:t>
      </w:r>
    </w:p>
    <w:p>
      <w:pPr>
        <w:spacing w:line="360" w:lineRule="auto"/>
        <w:ind w:firstLine="420" w:firstLineChars="200"/>
        <w:rPr>
          <w:rFonts w:ascii="宋体" w:hAnsi="宋体" w:cs="宋体"/>
          <w:kern w:val="0"/>
          <w:szCs w:val="21"/>
        </w:rPr>
      </w:pPr>
      <w:r>
        <w:rPr>
          <w:rFonts w:hint="eastAsia" w:ascii="宋体" w:hAnsi="宋体" w:cs="宋体"/>
          <w:kern w:val="0"/>
          <w:szCs w:val="21"/>
        </w:rPr>
        <w:t>清算费用是指基金财产清算小组在进行基金财产清算过程中发生的所有合理费用，清算费用由基金财产清算小组优先从基金剩余财产中支付。</w:t>
      </w:r>
    </w:p>
    <w:p>
      <w:pPr>
        <w:spacing w:line="360" w:lineRule="auto"/>
        <w:ind w:firstLine="420" w:firstLineChars="200"/>
        <w:rPr>
          <w:rFonts w:ascii="宋体" w:hAnsi="宋体" w:cs="宋体"/>
          <w:kern w:val="0"/>
          <w:szCs w:val="21"/>
        </w:rPr>
      </w:pPr>
      <w:r>
        <w:rPr>
          <w:rFonts w:hint="eastAsia" w:ascii="宋体" w:hAnsi="宋体" w:cs="宋体"/>
          <w:kern w:val="0"/>
          <w:szCs w:val="21"/>
        </w:rPr>
        <w:t>5、基金财产清算剩余资产的分配</w:t>
      </w:r>
    </w:p>
    <w:p>
      <w:pPr>
        <w:spacing w:line="360" w:lineRule="auto"/>
        <w:ind w:firstLine="420" w:firstLineChars="200"/>
        <w:rPr>
          <w:rFonts w:ascii="宋体" w:hAnsi="宋体" w:cs="宋体"/>
          <w:kern w:val="0"/>
          <w:szCs w:val="21"/>
        </w:rPr>
      </w:pPr>
      <w:r>
        <w:rPr>
          <w:rFonts w:hint="eastAsia" w:ascii="宋体" w:hAnsi="宋体" w:cs="宋体"/>
          <w:kern w:val="0"/>
          <w:szCs w:val="21"/>
        </w:rPr>
        <w:t>依据基金财产清算的分配方案，将基金财产清算后的全部剩余资产扣除基金财产清算费用、交纳所欠税款并清偿基金债务后，按基金份额持有人持有的基金份额比例进行分配，并返还相应的或有管理费（如有）或扣除相应的超额管理费（如有）</w:t>
      </w:r>
      <w:r>
        <w:rPr>
          <w:rFonts w:hint="eastAsia" w:ascii="宋体" w:hAnsi="宋体" w:cs="宋体"/>
          <w:bCs w:val="0"/>
          <w:kern w:val="0"/>
          <w:sz w:val="21"/>
          <w:szCs w:val="21"/>
        </w:rPr>
        <w:t>，以及加上返还基金份额持有人的销售服务费（如有）</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6、基金财产清算的公告</w:t>
      </w:r>
    </w:p>
    <w:p>
      <w:pPr>
        <w:spacing w:line="360" w:lineRule="auto"/>
        <w:ind w:firstLine="420" w:firstLineChars="200"/>
        <w:rPr>
          <w:rFonts w:ascii="宋体" w:hAnsi="宋体" w:cs="宋体"/>
          <w:kern w:val="0"/>
          <w:szCs w:val="21"/>
        </w:rPr>
      </w:pPr>
      <w:r>
        <w:rPr>
          <w:rFonts w:hint="eastAsia" w:ascii="宋体" w:hAnsi="宋体" w:cs="宋体"/>
          <w:kern w:val="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20" w:firstLineChars="200"/>
        <w:rPr>
          <w:rFonts w:ascii="宋体" w:hAnsi="宋体" w:cs="宋体"/>
          <w:kern w:val="0"/>
          <w:szCs w:val="21"/>
        </w:rPr>
      </w:pPr>
      <w:r>
        <w:rPr>
          <w:rFonts w:hint="eastAsia" w:ascii="宋体" w:hAnsi="宋体" w:cs="宋体"/>
          <w:kern w:val="0"/>
          <w:szCs w:val="21"/>
        </w:rPr>
        <w:t>7、基金财产清算账册及文件的保存</w:t>
      </w:r>
    </w:p>
    <w:p>
      <w:pPr>
        <w:spacing w:line="360" w:lineRule="auto"/>
        <w:ind w:firstLine="420" w:firstLineChars="200"/>
        <w:rPr>
          <w:rFonts w:ascii="宋体" w:hAnsi="宋体"/>
        </w:rPr>
      </w:pPr>
      <w:r>
        <w:rPr>
          <w:rFonts w:hint="eastAsia" w:ascii="宋体" w:hAnsi="宋体" w:cs="宋体"/>
          <w:kern w:val="0"/>
          <w:szCs w:val="21"/>
        </w:rPr>
        <w:t>基金财产清算账册及有关文件由基金托管人保存，保存期限不低于法定最低期限。</w:t>
      </w:r>
    </w:p>
    <w:p>
      <w:pPr>
        <w:spacing w:line="360" w:lineRule="auto"/>
        <w:ind w:firstLine="420"/>
        <w:jc w:val="left"/>
        <w:rPr>
          <w:rFonts w:ascii="宋体" w:hAnsi="宋体"/>
          <w:b/>
        </w:rPr>
      </w:pPr>
      <w:bookmarkStart w:id="303" w:name="_Hlk5635057"/>
      <w:r>
        <w:rPr>
          <w:rFonts w:hint="eastAsia" w:ascii="宋体" w:hAnsi="宋体"/>
          <w:b/>
        </w:rPr>
        <w:t>（四）争议的处理</w:t>
      </w:r>
      <w:bookmarkEnd w:id="303"/>
    </w:p>
    <w:p>
      <w:pPr>
        <w:spacing w:line="360" w:lineRule="auto"/>
        <w:ind w:firstLine="420"/>
        <w:jc w:val="left"/>
        <w:rPr>
          <w:rFonts w:ascii="宋体" w:hAnsi="宋体" w:cs="宋体"/>
          <w:kern w:val="0"/>
          <w:szCs w:val="21"/>
        </w:rPr>
      </w:pPr>
      <w:r>
        <w:rPr>
          <w:rFonts w:hint="eastAsia" w:ascii="宋体" w:hAnsi="宋体" w:cs="宋体"/>
          <w:kern w:val="0"/>
          <w:szCs w:val="21"/>
        </w:rPr>
        <w:t>各方当事人同意，因《基金合同》而产生的或与《基金合同》有关的一切争议，如经友好协商、调解未能解决的，应提交中国国际经济贸易仲裁委员会，根据该会届时有效的仲裁规则进行仲裁，仲裁地点为北京市，仲裁裁决是终局性的并对各方当事人具有约束力。除非仲裁裁决另有规定，仲裁费由败诉方承担。</w:t>
      </w:r>
    </w:p>
    <w:p>
      <w:pPr>
        <w:spacing w:line="360" w:lineRule="auto"/>
        <w:ind w:firstLine="420"/>
        <w:jc w:val="left"/>
        <w:rPr>
          <w:rFonts w:ascii="宋体" w:hAnsi="宋体" w:cs="宋体"/>
          <w:kern w:val="0"/>
          <w:szCs w:val="21"/>
        </w:rPr>
      </w:pPr>
      <w:r>
        <w:rPr>
          <w:rFonts w:hint="eastAsia" w:ascii="宋体" w:hAnsi="宋体" w:cs="宋体"/>
          <w:kern w:val="0"/>
          <w:szCs w:val="21"/>
        </w:rPr>
        <w:t>争议处理期间，基金合同当事人应恪守各自的职责，继续忠实、勤勉、尽责地履行基金合同规定的义务，维护基金份额持有人的合法权益。</w:t>
      </w:r>
    </w:p>
    <w:p>
      <w:pPr>
        <w:spacing w:line="360" w:lineRule="auto"/>
        <w:ind w:firstLine="420" w:firstLineChars="200"/>
        <w:rPr>
          <w:rFonts w:ascii="宋体" w:hAnsi="宋体"/>
        </w:rPr>
      </w:pPr>
      <w:r>
        <w:rPr>
          <w:rFonts w:hint="eastAsia" w:ascii="宋体" w:hAnsi="宋体" w:cs="宋体"/>
          <w:kern w:val="0"/>
          <w:szCs w:val="21"/>
        </w:rPr>
        <w:t>《基金合同》受中国法律（为本基金合同之目的，在此不包括香港、澳门特别行政区和台湾地区的有关规定）管辖并从其解释。</w:t>
      </w:r>
    </w:p>
    <w:p>
      <w:pPr>
        <w:spacing w:line="360" w:lineRule="auto"/>
        <w:ind w:firstLine="420"/>
        <w:jc w:val="left"/>
        <w:rPr>
          <w:rFonts w:ascii="宋体" w:hAnsi="宋体"/>
          <w:b/>
        </w:rPr>
      </w:pPr>
      <w:bookmarkStart w:id="304" w:name="_Hlk5635081"/>
      <w:r>
        <w:rPr>
          <w:rFonts w:hint="eastAsia" w:ascii="宋体" w:hAnsi="宋体"/>
          <w:b/>
        </w:rPr>
        <w:t>（五）基金合同存放地和投资者取得合同的方式</w:t>
      </w:r>
    </w:p>
    <w:bookmarkEnd w:id="304"/>
    <w:p>
      <w:pPr>
        <w:spacing w:line="360" w:lineRule="auto"/>
        <w:ind w:firstLine="420" w:firstLineChars="200"/>
        <w:rPr>
          <w:rFonts w:ascii="宋体" w:hAnsi="宋体"/>
        </w:rPr>
      </w:pPr>
      <w:r>
        <w:rPr>
          <w:rFonts w:hint="eastAsia" w:ascii="宋体" w:hAnsi="宋体" w:cs="宋体"/>
          <w:kern w:val="0"/>
          <w:szCs w:val="21"/>
        </w:rPr>
        <w:t>《基金合同》可印制成册，供投资者在基金管理人、基金托管人、销售机构的办公场所和营业场所查阅。</w:t>
      </w:r>
    </w:p>
    <w:bookmarkEnd w:id="121"/>
    <w:bookmarkEnd w:id="258"/>
    <w:bookmarkEnd w:id="259"/>
    <w:bookmarkEnd w:id="269"/>
    <w:bookmarkEnd w:id="270"/>
    <w:p>
      <w:pPr>
        <w:pStyle w:val="5"/>
        <w:spacing w:before="0" w:after="0"/>
        <w:jc w:val="both"/>
        <w:rPr>
          <w:rFonts w:hAnsi="宋体"/>
        </w:rPr>
        <w:sectPr>
          <w:footerReference r:id="rId13" w:type="default"/>
          <w:pgSz w:w="11907" w:h="16840"/>
          <w:pgMar w:top="1440" w:right="1797" w:bottom="1440" w:left="1797" w:header="851" w:footer="992" w:gutter="0"/>
          <w:cols w:space="720" w:num="1"/>
          <w:docGrid w:type="linesAndChars" w:linePitch="312" w:charSpace="0"/>
        </w:sectPr>
      </w:pPr>
      <w:bookmarkStart w:id="305" w:name="_Hlt152480049"/>
      <w:bookmarkEnd w:id="305"/>
      <w:bookmarkStart w:id="306" w:name="_Hlt70479195"/>
      <w:bookmarkEnd w:id="306"/>
      <w:bookmarkStart w:id="307" w:name="_Toc203357176"/>
      <w:bookmarkStart w:id="308" w:name="_Toc116052805"/>
      <w:bookmarkStart w:id="309" w:name="_Toc116052571"/>
      <w:bookmarkStart w:id="310" w:name="_Toc203806311"/>
      <w:bookmarkStart w:id="311" w:name="_Toc354416558"/>
    </w:p>
    <w:bookmarkEnd w:id="268"/>
    <w:p>
      <w:pPr>
        <w:pStyle w:val="5"/>
        <w:spacing w:before="0" w:after="0"/>
        <w:jc w:val="both"/>
        <w:rPr>
          <w:rFonts w:hAnsi="宋体"/>
        </w:rPr>
      </w:pPr>
      <w:bookmarkStart w:id="312" w:name="_Toc404006457"/>
      <w:bookmarkStart w:id="313" w:name="_Toc55833214"/>
      <w:bookmarkStart w:id="314" w:name="_Toc55987082"/>
      <w:r>
        <w:rPr>
          <w:rFonts w:hAnsi="宋体"/>
        </w:rPr>
        <w:t>附件二</w:t>
      </w:r>
      <w:bookmarkEnd w:id="307"/>
      <w:bookmarkEnd w:id="308"/>
      <w:bookmarkEnd w:id="309"/>
      <w:bookmarkEnd w:id="310"/>
      <w:bookmarkEnd w:id="311"/>
      <w:bookmarkEnd w:id="312"/>
      <w:bookmarkEnd w:id="313"/>
      <w:bookmarkEnd w:id="314"/>
    </w:p>
    <w:p>
      <w:pPr>
        <w:jc w:val="center"/>
        <w:rPr>
          <w:rFonts w:hAnsi="宋体"/>
          <w:b/>
          <w:sz w:val="32"/>
          <w:szCs w:val="28"/>
          <w:shd w:val="pct10" w:color="auto" w:fill="FFFFFF"/>
        </w:rPr>
      </w:pPr>
      <w:bookmarkStart w:id="315" w:name="_Toc55833215"/>
      <w:bookmarkStart w:id="316" w:name="_Toc223336190"/>
      <w:bookmarkStart w:id="317" w:name="_Toc404006458"/>
      <w:bookmarkStart w:id="318" w:name="_Toc245031318"/>
      <w:bookmarkStart w:id="319" w:name="_Toc354416559"/>
      <w:r>
        <w:rPr>
          <w:rFonts w:hAnsi="宋体"/>
          <w:b/>
          <w:sz w:val="32"/>
          <w:szCs w:val="28"/>
        </w:rPr>
        <w:t>基金托管协议</w:t>
      </w:r>
      <w:r>
        <w:rPr>
          <w:rFonts w:hint="eastAsia" w:hAnsi="宋体"/>
          <w:b/>
          <w:sz w:val="32"/>
          <w:szCs w:val="28"/>
        </w:rPr>
        <w:t>内容</w:t>
      </w:r>
      <w:r>
        <w:rPr>
          <w:rFonts w:hAnsi="宋体"/>
          <w:b/>
          <w:sz w:val="32"/>
          <w:szCs w:val="28"/>
        </w:rPr>
        <w:t>摘要</w:t>
      </w:r>
      <w:bookmarkEnd w:id="315"/>
      <w:bookmarkEnd w:id="316"/>
      <w:bookmarkEnd w:id="317"/>
      <w:bookmarkEnd w:id="318"/>
      <w:bookmarkEnd w:id="319"/>
    </w:p>
    <w:p>
      <w:pPr>
        <w:spacing w:before="156" w:beforeLines="50" w:after="156" w:afterLines="50" w:line="360" w:lineRule="auto"/>
        <w:rPr>
          <w:rFonts w:ascii="宋体" w:hAnsi="宋体"/>
          <w:b/>
        </w:rPr>
      </w:pPr>
      <w:bookmarkStart w:id="320" w:name="_Toc131682141"/>
      <w:bookmarkStart w:id="321" w:name="_Toc124325887"/>
      <w:bookmarkStart w:id="322" w:name="_Toc86217875"/>
      <w:bookmarkStart w:id="323" w:name="_Hlk29765426"/>
      <w:r>
        <w:rPr>
          <w:rFonts w:hint="eastAsia" w:ascii="宋体" w:hAnsi="宋体"/>
          <w:b/>
        </w:rPr>
        <w:t>一、基金托管协议</w:t>
      </w:r>
      <w:bookmarkEnd w:id="320"/>
      <w:r>
        <w:rPr>
          <w:rFonts w:hint="eastAsia" w:ascii="宋体" w:hAnsi="宋体"/>
          <w:b/>
        </w:rPr>
        <w:t>当事人</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w:t>
      </w:r>
      <w:bookmarkStart w:id="324" w:name="_Toc15118236"/>
      <w:r>
        <w:rPr>
          <w:rFonts w:hint="eastAsia" w:ascii="宋体" w:hAnsi="宋体" w:cs="宋体"/>
          <w:kern w:val="0"/>
          <w:szCs w:val="21"/>
        </w:rPr>
        <w:t>工银瑞信基金管理有限公司</w:t>
      </w:r>
    </w:p>
    <w:p>
      <w:pPr>
        <w:spacing w:line="360" w:lineRule="auto"/>
        <w:ind w:firstLine="420" w:firstLineChars="200"/>
        <w:rPr>
          <w:rFonts w:ascii="宋体" w:hAnsi="宋体" w:cs="宋体"/>
          <w:kern w:val="0"/>
          <w:szCs w:val="21"/>
        </w:rPr>
      </w:pPr>
      <w:r>
        <w:rPr>
          <w:rFonts w:hint="eastAsia" w:ascii="宋体" w:hAnsi="宋体" w:cs="宋体"/>
          <w:kern w:val="0"/>
          <w:szCs w:val="21"/>
        </w:rPr>
        <w:t>住所：北京市西城区金融大街5号、甲5号9层甲5号901</w:t>
      </w:r>
    </w:p>
    <w:p>
      <w:pPr>
        <w:spacing w:line="360" w:lineRule="auto"/>
        <w:ind w:firstLine="420" w:firstLineChars="200"/>
        <w:rPr>
          <w:rFonts w:ascii="宋体" w:hAnsi="宋体" w:cs="宋体"/>
          <w:kern w:val="0"/>
          <w:szCs w:val="21"/>
        </w:rPr>
      </w:pPr>
      <w:r>
        <w:rPr>
          <w:rFonts w:hint="eastAsia" w:ascii="宋体" w:hAnsi="宋体" w:cs="宋体"/>
          <w:kern w:val="0"/>
          <w:szCs w:val="21"/>
        </w:rPr>
        <w:t>法定代表人：赵桂才</w:t>
      </w:r>
    </w:p>
    <w:p>
      <w:pPr>
        <w:spacing w:line="360" w:lineRule="auto"/>
        <w:ind w:firstLine="420" w:firstLineChars="200"/>
        <w:rPr>
          <w:rFonts w:ascii="宋体" w:hAnsi="宋体" w:cs="宋体"/>
          <w:kern w:val="0"/>
          <w:szCs w:val="21"/>
        </w:rPr>
      </w:pPr>
      <w:r>
        <w:rPr>
          <w:rFonts w:hint="eastAsia" w:ascii="宋体" w:hAnsi="宋体" w:cs="宋体"/>
          <w:kern w:val="0"/>
          <w:szCs w:val="21"/>
        </w:rPr>
        <w:t>设立日期：2005年6月21日</w:t>
      </w:r>
    </w:p>
    <w:p>
      <w:pPr>
        <w:spacing w:line="360" w:lineRule="auto"/>
        <w:ind w:firstLine="420" w:firstLineChars="200"/>
        <w:rPr>
          <w:rFonts w:ascii="宋体" w:hAnsi="宋体" w:cs="宋体"/>
          <w:kern w:val="0"/>
          <w:szCs w:val="21"/>
        </w:rPr>
      </w:pPr>
      <w:r>
        <w:rPr>
          <w:rFonts w:hint="eastAsia" w:ascii="宋体" w:hAnsi="宋体" w:cs="宋体"/>
          <w:kern w:val="0"/>
          <w:szCs w:val="21"/>
        </w:rPr>
        <w:t>批准设立机关及批准设立文号：中国证监会证监基金字【2005】93号</w:t>
      </w:r>
    </w:p>
    <w:p>
      <w:pPr>
        <w:spacing w:line="360" w:lineRule="auto"/>
        <w:ind w:firstLine="420" w:firstLineChars="200"/>
        <w:rPr>
          <w:rFonts w:ascii="宋体" w:hAnsi="宋体" w:cs="宋体"/>
          <w:kern w:val="0"/>
          <w:szCs w:val="21"/>
        </w:rPr>
      </w:pPr>
      <w:r>
        <w:rPr>
          <w:rFonts w:hint="eastAsia" w:ascii="宋体" w:hAnsi="宋体" w:cs="宋体"/>
          <w:kern w:val="0"/>
          <w:szCs w:val="21"/>
        </w:rPr>
        <w:t>组织形式：有限责任公司</w:t>
      </w:r>
    </w:p>
    <w:p>
      <w:pPr>
        <w:spacing w:line="360" w:lineRule="auto"/>
        <w:ind w:firstLine="420" w:firstLineChars="200"/>
        <w:rPr>
          <w:rFonts w:ascii="宋体" w:hAnsi="宋体" w:cs="宋体"/>
          <w:kern w:val="0"/>
          <w:szCs w:val="21"/>
        </w:rPr>
      </w:pPr>
      <w:r>
        <w:rPr>
          <w:rFonts w:hint="eastAsia" w:ascii="宋体" w:hAnsi="宋体" w:cs="宋体"/>
          <w:kern w:val="0"/>
          <w:szCs w:val="21"/>
        </w:rPr>
        <w:t>注册资本：贰亿元人民币</w:t>
      </w:r>
    </w:p>
    <w:p>
      <w:pPr>
        <w:spacing w:line="360" w:lineRule="auto"/>
        <w:ind w:firstLine="420" w:firstLineChars="200"/>
        <w:rPr>
          <w:rFonts w:ascii="宋体" w:hAnsi="宋体" w:cs="宋体"/>
          <w:kern w:val="0"/>
          <w:szCs w:val="21"/>
        </w:rPr>
      </w:pPr>
      <w:r>
        <w:rPr>
          <w:rFonts w:hint="eastAsia" w:ascii="宋体" w:hAnsi="宋体" w:cs="宋体"/>
          <w:kern w:val="0"/>
          <w:szCs w:val="21"/>
        </w:rPr>
        <w:t>存续期限：持续经营</w:t>
      </w:r>
    </w:p>
    <w:bookmarkEnd w:id="324"/>
    <w:p>
      <w:pPr>
        <w:snapToGrid w:val="0"/>
        <w:spacing w:line="360" w:lineRule="auto"/>
        <w:ind w:firstLine="420" w:firstLineChars="200"/>
        <w:rPr>
          <w:rFonts w:ascii="宋体" w:hAnsi="宋体"/>
          <w:szCs w:val="21"/>
        </w:rPr>
      </w:pPr>
    </w:p>
    <w:p>
      <w:pPr>
        <w:spacing w:line="360" w:lineRule="auto"/>
        <w:ind w:firstLine="420" w:firstLineChars="200"/>
        <w:rPr>
          <w:rFonts w:ascii="宋体" w:hAnsi="宋体" w:cs="宋体"/>
          <w:kern w:val="0"/>
          <w:szCs w:val="21"/>
        </w:rPr>
      </w:pPr>
      <w:bookmarkStart w:id="325" w:name="_Toc382819070"/>
      <w:r>
        <w:rPr>
          <w:rFonts w:hint="eastAsia" w:ascii="宋体" w:hAnsi="宋体" w:cs="宋体"/>
          <w:kern w:val="0"/>
          <w:szCs w:val="21"/>
        </w:rPr>
        <w:t>基金托管人：苏州银行股份有限公司</w:t>
      </w:r>
      <w:bookmarkEnd w:id="325"/>
    </w:p>
    <w:p>
      <w:pPr>
        <w:spacing w:line="360" w:lineRule="auto"/>
        <w:ind w:firstLine="420" w:firstLineChars="200"/>
        <w:rPr>
          <w:rFonts w:ascii="宋体" w:hAnsi="宋体" w:cs="宋体"/>
          <w:kern w:val="0"/>
          <w:szCs w:val="21"/>
        </w:rPr>
      </w:pPr>
      <w:r>
        <w:rPr>
          <w:rFonts w:hint="eastAsia" w:ascii="宋体" w:hAnsi="宋体" w:cs="宋体"/>
          <w:kern w:val="0"/>
          <w:szCs w:val="21"/>
        </w:rPr>
        <w:t>住所：中国（江苏）自由贸易试验区苏州片区苏州工业园区钟园路728号</w:t>
      </w:r>
    </w:p>
    <w:p>
      <w:pPr>
        <w:spacing w:line="360" w:lineRule="auto"/>
        <w:ind w:firstLine="420" w:firstLineChars="200"/>
        <w:rPr>
          <w:rFonts w:ascii="宋体" w:hAnsi="宋体" w:cs="宋体"/>
          <w:kern w:val="0"/>
          <w:szCs w:val="21"/>
        </w:rPr>
      </w:pPr>
      <w:r>
        <w:rPr>
          <w:rFonts w:hint="eastAsia" w:ascii="宋体" w:hAnsi="宋体" w:cs="宋体"/>
          <w:kern w:val="0"/>
          <w:szCs w:val="21"/>
        </w:rPr>
        <w:t>法定代表人：崔庆军</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成立日期：2004年12月24日</w:t>
      </w:r>
    </w:p>
    <w:p>
      <w:pPr>
        <w:spacing w:line="360" w:lineRule="auto"/>
        <w:ind w:firstLine="420" w:firstLineChars="200"/>
        <w:rPr>
          <w:rFonts w:ascii="宋体" w:hAnsi="宋体" w:cs="宋体"/>
          <w:kern w:val="0"/>
          <w:szCs w:val="21"/>
        </w:rPr>
      </w:pPr>
      <w:r>
        <w:rPr>
          <w:rFonts w:hint="eastAsia" w:ascii="宋体" w:hAnsi="宋体" w:cs="宋体"/>
          <w:kern w:val="0"/>
          <w:szCs w:val="21"/>
        </w:rPr>
        <w:t>批准设立机关和批准设立文号：中国银监会银监复[2010]440号</w:t>
      </w:r>
    </w:p>
    <w:p>
      <w:pPr>
        <w:spacing w:line="360" w:lineRule="auto"/>
        <w:ind w:firstLine="420" w:firstLineChars="200"/>
        <w:rPr>
          <w:rFonts w:ascii="宋体" w:hAnsi="宋体" w:cs="宋体"/>
          <w:kern w:val="0"/>
          <w:szCs w:val="21"/>
        </w:rPr>
      </w:pPr>
      <w:r>
        <w:rPr>
          <w:rFonts w:hint="eastAsia" w:ascii="宋体" w:hAnsi="宋体" w:cs="宋体"/>
          <w:kern w:val="0"/>
          <w:szCs w:val="21"/>
        </w:rPr>
        <w:t>基金托管资格批文及文号：中国证监会证监许可[2022]545号</w:t>
      </w:r>
    </w:p>
    <w:p>
      <w:pPr>
        <w:spacing w:line="360" w:lineRule="auto"/>
        <w:ind w:firstLine="420" w:firstLineChars="200"/>
        <w:rPr>
          <w:rFonts w:ascii="宋体" w:hAnsi="宋体" w:cs="宋体"/>
          <w:kern w:val="0"/>
          <w:szCs w:val="21"/>
        </w:rPr>
      </w:pPr>
      <w:r>
        <w:rPr>
          <w:rFonts w:hint="eastAsia" w:ascii="宋体" w:hAnsi="宋体" w:cs="宋体"/>
          <w:kern w:val="0"/>
          <w:szCs w:val="21"/>
        </w:rPr>
        <w:t>组织形式：股份有限公司</w:t>
      </w:r>
    </w:p>
    <w:p>
      <w:pPr>
        <w:spacing w:line="360" w:lineRule="auto"/>
        <w:ind w:firstLine="420" w:firstLineChars="200"/>
        <w:rPr>
          <w:rFonts w:ascii="宋体" w:hAnsi="宋体" w:cs="宋体"/>
          <w:kern w:val="0"/>
          <w:szCs w:val="21"/>
        </w:rPr>
      </w:pPr>
      <w:r>
        <w:rPr>
          <w:rFonts w:hint="eastAsia" w:ascii="宋体" w:hAnsi="宋体" w:cs="宋体"/>
          <w:kern w:val="0"/>
          <w:szCs w:val="21"/>
        </w:rPr>
        <w:t>注册资本：366672.4356万元人民币</w:t>
      </w:r>
    </w:p>
    <w:p>
      <w:pPr>
        <w:spacing w:line="360" w:lineRule="auto"/>
        <w:ind w:firstLine="420" w:firstLineChars="200"/>
        <w:rPr>
          <w:rFonts w:ascii="宋体" w:hAnsi="宋体" w:cs="宋体"/>
          <w:kern w:val="0"/>
          <w:szCs w:val="21"/>
        </w:rPr>
      </w:pPr>
      <w:r>
        <w:rPr>
          <w:rFonts w:hint="eastAsia" w:ascii="宋体" w:hAnsi="宋体" w:cs="宋体"/>
          <w:kern w:val="0"/>
          <w:szCs w:val="21"/>
        </w:rPr>
        <w:t>存续期限：持续经营</w:t>
      </w:r>
    </w:p>
    <w:p>
      <w:pPr>
        <w:pStyle w:val="2"/>
        <w:rPr>
          <w:bCs/>
          <w:szCs w:val="21"/>
        </w:rPr>
      </w:pPr>
    </w:p>
    <w:p>
      <w:pPr>
        <w:spacing w:before="156" w:beforeLines="50" w:after="156" w:afterLines="50" w:line="360" w:lineRule="auto"/>
        <w:rPr>
          <w:rFonts w:ascii="宋体" w:hAnsi="宋体"/>
          <w:b/>
        </w:rPr>
      </w:pPr>
      <w:r>
        <w:rPr>
          <w:rFonts w:ascii="宋体" w:hAnsi="宋体"/>
          <w:b/>
        </w:rPr>
        <w:t>二、基金托管人对基金管理人的业务监督和核查</w:t>
      </w:r>
      <w:bookmarkEnd w:id="321"/>
    </w:p>
    <w:p>
      <w:pPr>
        <w:spacing w:line="360" w:lineRule="auto"/>
        <w:ind w:firstLine="420" w:firstLineChars="200"/>
        <w:rPr>
          <w:rFonts w:ascii="宋体" w:hAnsi="宋体" w:cs="宋体"/>
          <w:kern w:val="0"/>
          <w:szCs w:val="21"/>
        </w:rPr>
      </w:pPr>
      <w:bookmarkStart w:id="326" w:name="_Toc89163368"/>
      <w:bookmarkStart w:id="327" w:name="_Toc86225291"/>
      <w:bookmarkStart w:id="328" w:name="_Toc118212950"/>
      <w:bookmarkStart w:id="329" w:name="_Toc86726439"/>
      <w:bookmarkStart w:id="330" w:name="_Toc110761796"/>
      <w:bookmarkStart w:id="331" w:name="_Toc86737929"/>
      <w:bookmarkStart w:id="332" w:name="_Toc119402710"/>
      <w:bookmarkStart w:id="333" w:name="_Toc86223242"/>
      <w:bookmarkStart w:id="334" w:name="_Toc110765660"/>
      <w:bookmarkStart w:id="335" w:name="_Toc118972648"/>
      <w:bookmarkStart w:id="336" w:name="_Toc108512358"/>
      <w:bookmarkStart w:id="337" w:name="_Toc86727355"/>
      <w:bookmarkStart w:id="338" w:name="_Toc120435783"/>
      <w:bookmarkStart w:id="339" w:name="_Toc86649722"/>
      <w:bookmarkStart w:id="340" w:name="_Toc118774803"/>
      <w:bookmarkStart w:id="341" w:name="_Toc124325888"/>
      <w:bookmarkStart w:id="342" w:name="_Toc110830492"/>
      <w:r>
        <w:rPr>
          <w:rFonts w:hint="eastAsia" w:ascii="宋体" w:hAnsi="宋体" w:cs="宋体"/>
          <w:kern w:val="0"/>
          <w:szCs w:val="21"/>
        </w:rPr>
        <w:t>（一）基金托管人对基金管理人的投资行为行使监督权</w:t>
      </w:r>
    </w:p>
    <w:p>
      <w:pPr>
        <w:spacing w:line="360" w:lineRule="auto"/>
        <w:ind w:firstLine="420" w:firstLineChars="200"/>
        <w:rPr>
          <w:rFonts w:ascii="宋体" w:hAnsi="宋体" w:cs="宋体"/>
          <w:kern w:val="0"/>
          <w:szCs w:val="21"/>
        </w:rPr>
      </w:pPr>
      <w:r>
        <w:rPr>
          <w:rFonts w:hint="eastAsia" w:ascii="宋体" w:hAnsi="宋体" w:cs="宋体"/>
          <w:kern w:val="0"/>
          <w:szCs w:val="21"/>
        </w:rPr>
        <w:t>1、基金托管人根据有关法律法规的规定和《基金合同》的约定，对下述基金投资范围进行监督。</w:t>
      </w:r>
    </w:p>
    <w:p>
      <w:pPr>
        <w:spacing w:line="360" w:lineRule="auto"/>
        <w:ind w:firstLine="420" w:firstLineChars="200"/>
        <w:rPr>
          <w:rFonts w:ascii="宋体" w:hAnsi="宋体" w:cs="宋体"/>
          <w:kern w:val="0"/>
          <w:szCs w:val="21"/>
        </w:rPr>
      </w:pPr>
      <w:r>
        <w:rPr>
          <w:rFonts w:hint="eastAsia" w:ascii="宋体" w:hAnsi="宋体" w:cs="宋体"/>
          <w:kern w:val="0"/>
          <w:szCs w:val="21"/>
        </w:rPr>
        <w:t>本基金的投资范围为具有良好流动性的金融工具，包括国内依法发行上市交易的股票（包括主板、创业板、科创板及其他中国证监会允许基金投资的股票、存托凭证）、内地与香港股票市场交易互联互通机制允许买卖的规定范围内的香港联合交易所上市的股票（以下简称“港股通投资标的股票”）、股指期货、债券（包括国债、地方政府债、政府支持机构债券、金融债、企业债、公司债、次级债、可转换债券、分离交易可转债、可交换债券、央行票据、中期票据、短期融资券、超短期融资券）、国债期货、资产支持证券、债券回购、银行存款、同业存单、现金，以及法律法规或监管机构允许基金投资的其他金融工具（但须符合监管机构的相关规定）。</w:t>
      </w:r>
    </w:p>
    <w:p>
      <w:pPr>
        <w:spacing w:line="360" w:lineRule="auto"/>
        <w:ind w:firstLine="420" w:firstLineChars="200"/>
        <w:rPr>
          <w:rFonts w:ascii="宋体" w:hAnsi="宋体" w:cs="宋体"/>
          <w:kern w:val="0"/>
          <w:szCs w:val="21"/>
        </w:rPr>
      </w:pPr>
      <w:r>
        <w:rPr>
          <w:rFonts w:hint="eastAsia" w:ascii="宋体" w:hAnsi="宋体" w:cs="宋体"/>
          <w:kern w:val="0"/>
          <w:szCs w:val="21"/>
        </w:rPr>
        <w:t>如法律法规或监管机构以后允许基金投资其他品种，基金管理人在履行适当程序后，可以将其纳入投资范围。</w:t>
      </w:r>
    </w:p>
    <w:p>
      <w:pPr>
        <w:spacing w:line="360" w:lineRule="auto"/>
        <w:ind w:firstLine="420" w:firstLineChars="200"/>
        <w:rPr>
          <w:rFonts w:ascii="宋体" w:hAnsi="宋体" w:cs="宋体"/>
          <w:kern w:val="0"/>
          <w:szCs w:val="21"/>
        </w:rPr>
      </w:pPr>
      <w:r>
        <w:rPr>
          <w:rFonts w:hint="eastAsia" w:ascii="宋体" w:hAnsi="宋体" w:cs="宋体"/>
          <w:kern w:val="0"/>
          <w:szCs w:val="21"/>
        </w:rPr>
        <w:t>2、基金托管人根据有关法律法规的规定和《基金合同》的约定，对下述基金投资比例进行监督：</w:t>
      </w:r>
    </w:p>
    <w:p>
      <w:pPr>
        <w:spacing w:line="360" w:lineRule="auto"/>
        <w:ind w:firstLine="420" w:firstLineChars="200"/>
        <w:rPr>
          <w:rFonts w:ascii="宋体" w:hAnsi="宋体" w:cs="宋体"/>
          <w:kern w:val="0"/>
          <w:szCs w:val="21"/>
        </w:rPr>
      </w:pPr>
      <w:r>
        <w:rPr>
          <w:rFonts w:hint="eastAsia" w:ascii="宋体" w:hAnsi="宋体" w:cs="宋体"/>
          <w:kern w:val="0"/>
          <w:szCs w:val="21"/>
        </w:rPr>
        <w:t>（1）按法律法规的规定和《基金合同》的约定，本基金的投资资产配置比例为：</w:t>
      </w:r>
    </w:p>
    <w:p>
      <w:pPr>
        <w:spacing w:line="360" w:lineRule="auto"/>
        <w:ind w:firstLine="420" w:firstLineChars="200"/>
        <w:rPr>
          <w:rFonts w:ascii="宋体" w:hAnsi="宋体" w:cs="宋体"/>
          <w:kern w:val="0"/>
          <w:szCs w:val="21"/>
        </w:rPr>
      </w:pPr>
      <w:r>
        <w:rPr>
          <w:rFonts w:hint="eastAsia" w:ascii="宋体" w:hAnsi="宋体" w:cs="宋体"/>
          <w:kern w:val="0"/>
          <w:szCs w:val="21"/>
        </w:rPr>
        <w:t>本基金的投资组合比例为：股票资产占基金资产的比例为60%–95%（投资于港股通投资标的股票的比例占基金股票资产的比例为0%-50%），其中投资于本基金界定的新能源主题范围内的股票不低于非现金基金资产的80%；每个交易日日终在扣除股指期货合约、国债期货合约需缴纳的交易保证金后，应当保持不低于基金资产净值的5%的现金或到期日在一年以内的政府债券，其中现金不包括结算备付金、存出保证金、应收申购款等。</w:t>
      </w:r>
    </w:p>
    <w:p>
      <w:pPr>
        <w:spacing w:line="360" w:lineRule="auto"/>
        <w:ind w:firstLine="420" w:firstLineChars="200"/>
        <w:rPr>
          <w:rFonts w:ascii="宋体" w:hAnsi="宋体" w:cs="宋体"/>
          <w:kern w:val="0"/>
          <w:szCs w:val="21"/>
        </w:rPr>
      </w:pPr>
      <w:r>
        <w:rPr>
          <w:rFonts w:hint="eastAsia" w:ascii="宋体" w:hAnsi="宋体" w:cs="宋体"/>
          <w:kern w:val="0"/>
          <w:szCs w:val="21"/>
        </w:rPr>
        <w:t>如法律法规或监管机构允许，基金管理人在履行适当程序后，可以调整上述投资品种的投资比例。</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（2）根据法律法规的规定和《基金合同》的约定，本基金投资组合遵循以下投资限制： </w:t>
      </w:r>
    </w:p>
    <w:p>
      <w:pPr>
        <w:spacing w:line="360" w:lineRule="auto"/>
        <w:ind w:firstLine="420" w:firstLineChars="200"/>
        <w:rPr>
          <w:rFonts w:ascii="宋体" w:hAnsi="宋体" w:cs="宋体"/>
          <w:kern w:val="0"/>
          <w:szCs w:val="21"/>
        </w:rPr>
      </w:pPr>
      <w:r>
        <w:rPr>
          <w:rFonts w:hint="eastAsia" w:ascii="宋体" w:hAnsi="宋体" w:cs="宋体"/>
          <w:kern w:val="0"/>
          <w:szCs w:val="21"/>
        </w:rPr>
        <w:t>1）股票资产占基金资产的比例为60%–95%（投资于港股通投资标的股票的比例占基金股票资产的比例为0%-50%），其中投资于本基金界定的新能源主题范围内的股票不低于非现金基金资产的80%；</w:t>
      </w:r>
    </w:p>
    <w:p>
      <w:pPr>
        <w:spacing w:line="360" w:lineRule="auto"/>
        <w:ind w:firstLine="420" w:firstLineChars="200"/>
        <w:rPr>
          <w:rFonts w:ascii="宋体" w:hAnsi="宋体" w:cs="宋体"/>
          <w:kern w:val="0"/>
          <w:szCs w:val="21"/>
        </w:rPr>
      </w:pPr>
      <w:r>
        <w:rPr>
          <w:rFonts w:hint="eastAsia" w:ascii="宋体" w:hAnsi="宋体" w:cs="宋体"/>
          <w:kern w:val="0"/>
          <w:szCs w:val="21"/>
        </w:rPr>
        <w:t>2）本基金每个交易日日终在扣除股指期货合约、国债期货合约需缴纳的交易保证金后，保持不低于基金资产净值5％的现金或者到期日在一年以内的政府债券，其中现金不包括结算备付金、存出保证金和应收申购款等；</w:t>
      </w:r>
    </w:p>
    <w:p>
      <w:pPr>
        <w:spacing w:line="360" w:lineRule="auto"/>
        <w:ind w:firstLine="420" w:firstLineChars="200"/>
        <w:rPr>
          <w:rFonts w:ascii="宋体" w:hAnsi="宋体" w:cs="宋体"/>
          <w:kern w:val="0"/>
          <w:szCs w:val="21"/>
        </w:rPr>
      </w:pPr>
      <w:r>
        <w:rPr>
          <w:rFonts w:hint="eastAsia" w:ascii="宋体" w:hAnsi="宋体" w:cs="宋体"/>
          <w:kern w:val="0"/>
          <w:szCs w:val="21"/>
        </w:rPr>
        <w:t>3）本基金持有一家公司发行的证券，其市值（同一家公司在境内和香港市场同时上市的A+H股合并计算）不超过基金资产净值的10％；</w:t>
      </w:r>
    </w:p>
    <w:p>
      <w:pPr>
        <w:spacing w:line="360" w:lineRule="auto"/>
        <w:ind w:firstLine="420" w:firstLineChars="200"/>
        <w:rPr>
          <w:rFonts w:ascii="宋体" w:hAnsi="宋体" w:cs="宋体"/>
          <w:kern w:val="0"/>
          <w:szCs w:val="21"/>
        </w:rPr>
      </w:pPr>
      <w:r>
        <w:rPr>
          <w:rFonts w:hint="eastAsia" w:ascii="宋体" w:hAnsi="宋体" w:cs="宋体"/>
          <w:kern w:val="0"/>
          <w:szCs w:val="21"/>
        </w:rPr>
        <w:t>4）本基金管理人管理的全部基金持有一家公司发行的证券（同一家公司在境内和香港市场同时上市的A+H股合并计算），不超过该证券的10％，完全按照有关指数的构成比例进行证券投资的基金品种可以不受此条款规定的比例限制；</w:t>
      </w:r>
    </w:p>
    <w:p>
      <w:pPr>
        <w:spacing w:line="360" w:lineRule="auto"/>
        <w:ind w:firstLine="420" w:firstLineChars="200"/>
        <w:rPr>
          <w:rFonts w:ascii="宋体" w:hAnsi="宋体" w:cs="宋体"/>
          <w:kern w:val="0"/>
          <w:szCs w:val="21"/>
        </w:rPr>
      </w:pPr>
      <w:r>
        <w:rPr>
          <w:rFonts w:hint="eastAsia" w:ascii="宋体" w:hAnsi="宋体" w:cs="宋体"/>
          <w:kern w:val="0"/>
          <w:szCs w:val="21"/>
        </w:rPr>
        <w:t>5）本基金投资于同一原始权益人的各类资产支持证券的比例，不得超过基金资产净值的10％；</w:t>
      </w:r>
    </w:p>
    <w:p>
      <w:pPr>
        <w:spacing w:line="360" w:lineRule="auto"/>
        <w:ind w:firstLine="420" w:firstLineChars="200"/>
        <w:rPr>
          <w:rFonts w:ascii="宋体" w:hAnsi="宋体" w:cs="宋体"/>
          <w:kern w:val="0"/>
          <w:szCs w:val="21"/>
        </w:rPr>
      </w:pPr>
      <w:r>
        <w:rPr>
          <w:rFonts w:hint="eastAsia" w:ascii="宋体" w:hAnsi="宋体" w:cs="宋体"/>
          <w:kern w:val="0"/>
          <w:szCs w:val="21"/>
        </w:rPr>
        <w:t>6）本基金持有的全部资产支持证券，其市值不得超过基金资产净值的20％；</w:t>
      </w:r>
    </w:p>
    <w:p>
      <w:pPr>
        <w:spacing w:line="360" w:lineRule="auto"/>
        <w:ind w:firstLine="420" w:firstLineChars="200"/>
        <w:rPr>
          <w:rFonts w:ascii="宋体" w:hAnsi="宋体" w:cs="宋体"/>
          <w:kern w:val="0"/>
          <w:szCs w:val="21"/>
        </w:rPr>
      </w:pPr>
      <w:r>
        <w:rPr>
          <w:rFonts w:hint="eastAsia" w:ascii="宋体" w:hAnsi="宋体" w:cs="宋体"/>
          <w:kern w:val="0"/>
          <w:szCs w:val="21"/>
        </w:rPr>
        <w:t>7）本基金持有的同一(指同一信用级别)资产支持证券的比例，不得超过该资产支持证券规模的10％；</w:t>
      </w:r>
    </w:p>
    <w:p>
      <w:pPr>
        <w:spacing w:line="360" w:lineRule="auto"/>
        <w:ind w:firstLine="420" w:firstLineChars="200"/>
        <w:rPr>
          <w:rFonts w:ascii="宋体" w:hAnsi="宋体" w:cs="宋体"/>
          <w:kern w:val="0"/>
          <w:szCs w:val="21"/>
        </w:rPr>
      </w:pPr>
      <w:r>
        <w:rPr>
          <w:rFonts w:hint="eastAsia" w:ascii="宋体" w:hAnsi="宋体" w:cs="宋体"/>
          <w:kern w:val="0"/>
          <w:szCs w:val="21"/>
        </w:rPr>
        <w:t>8）本基金管理人管理的全部基金投资于同一原始权益人的各类资产支持证券，不得超过其各类资产支持证券合计规模的10％；</w:t>
      </w:r>
    </w:p>
    <w:p>
      <w:pPr>
        <w:spacing w:line="360" w:lineRule="auto"/>
        <w:ind w:firstLine="420" w:firstLineChars="200"/>
        <w:rPr>
          <w:rFonts w:ascii="宋体" w:hAnsi="宋体" w:cs="宋体"/>
          <w:kern w:val="0"/>
          <w:szCs w:val="21"/>
        </w:rPr>
      </w:pPr>
      <w:r>
        <w:rPr>
          <w:rFonts w:hint="eastAsia" w:ascii="宋体" w:hAnsi="宋体" w:cs="宋体"/>
          <w:kern w:val="0"/>
          <w:szCs w:val="21"/>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20" w:firstLineChars="200"/>
        <w:rPr>
          <w:rFonts w:ascii="宋体" w:hAnsi="宋体" w:cs="宋体"/>
          <w:kern w:val="0"/>
          <w:szCs w:val="21"/>
        </w:rPr>
      </w:pPr>
      <w:r>
        <w:rPr>
          <w:rFonts w:hint="eastAsia" w:ascii="宋体" w:hAnsi="宋体" w:cs="宋体"/>
          <w:kern w:val="0"/>
          <w:szCs w:val="21"/>
        </w:rPr>
        <w:t>10）基金财产参与股票发行申购，本基金所申报的金额不超过本基金的总资产，本基金所申报的股票数量不超过拟发行股票公司本次发行股票的总量；</w:t>
      </w:r>
    </w:p>
    <w:p>
      <w:pPr>
        <w:spacing w:line="360" w:lineRule="auto"/>
        <w:ind w:firstLine="420" w:firstLineChars="200"/>
        <w:rPr>
          <w:rFonts w:ascii="宋体" w:hAnsi="宋体" w:cs="宋体"/>
          <w:kern w:val="0"/>
          <w:szCs w:val="21"/>
        </w:rPr>
      </w:pPr>
      <w:r>
        <w:rPr>
          <w:rFonts w:hint="eastAsia" w:ascii="宋体" w:hAnsi="宋体" w:cs="宋体"/>
          <w:kern w:val="0"/>
          <w:szCs w:val="21"/>
        </w:rPr>
        <w:t>11）本基金总资产不得超过基金净资产的140%；</w:t>
      </w:r>
    </w:p>
    <w:p>
      <w:pPr>
        <w:spacing w:line="360" w:lineRule="auto"/>
        <w:ind w:firstLine="420" w:firstLineChars="200"/>
        <w:rPr>
          <w:rFonts w:ascii="宋体" w:hAnsi="宋体" w:cs="宋体"/>
          <w:kern w:val="0"/>
          <w:szCs w:val="21"/>
        </w:rPr>
      </w:pPr>
      <w:r>
        <w:rPr>
          <w:rFonts w:hint="eastAsia" w:ascii="宋体" w:hAnsi="宋体" w:cs="宋体"/>
          <w:kern w:val="0"/>
          <w:szCs w:val="21"/>
        </w:rPr>
        <w:t>12）本基金参与股指期货、国债期货交易，在任何交易日日终，本基金持有的买入股指期货合约和国债期货合约价值与有价证券市值之和，不得超过基金资产净值的95%，其中，有价证券指股票、债券（不含到期日在一年以内的政府债券）、资产支持证券、买入返售金融资产（不含质押式回购）等；若本基金不投资股指期货、国债期货，则不受上述限制；</w:t>
      </w:r>
    </w:p>
    <w:p>
      <w:pPr>
        <w:spacing w:line="360" w:lineRule="auto"/>
        <w:ind w:firstLine="420" w:firstLineChars="200"/>
        <w:rPr>
          <w:rFonts w:ascii="宋体" w:hAnsi="宋体" w:cs="宋体"/>
          <w:kern w:val="0"/>
          <w:szCs w:val="21"/>
        </w:rPr>
      </w:pPr>
      <w:r>
        <w:rPr>
          <w:rFonts w:hint="eastAsia" w:ascii="宋体" w:hAnsi="宋体" w:cs="宋体"/>
          <w:kern w:val="0"/>
          <w:szCs w:val="21"/>
        </w:rPr>
        <w:t>13）本基金参与股指期货交易，应当遵守下列投资比例的限制：</w:t>
      </w:r>
    </w:p>
    <w:p>
      <w:pPr>
        <w:spacing w:line="360" w:lineRule="auto"/>
        <w:ind w:firstLine="420" w:firstLineChars="200"/>
        <w:rPr>
          <w:rFonts w:ascii="宋体" w:hAnsi="宋体" w:cs="宋体"/>
          <w:kern w:val="0"/>
          <w:szCs w:val="21"/>
        </w:rPr>
      </w:pPr>
      <w:r>
        <w:rPr>
          <w:rFonts w:hint="eastAsia" w:ascii="宋体" w:hAnsi="宋体" w:cs="宋体"/>
          <w:kern w:val="0"/>
          <w:szCs w:val="21"/>
        </w:rPr>
        <w:t>i.在任何交易日日终，持有的买入股指期货合约价值，不得超过基金资产净值的10%；</w:t>
      </w:r>
    </w:p>
    <w:p>
      <w:pPr>
        <w:spacing w:line="360" w:lineRule="auto"/>
        <w:ind w:firstLine="420" w:firstLineChars="200"/>
        <w:rPr>
          <w:rFonts w:ascii="宋体" w:hAnsi="宋体" w:cs="宋体"/>
          <w:kern w:val="0"/>
          <w:szCs w:val="21"/>
        </w:rPr>
      </w:pPr>
      <w:r>
        <w:rPr>
          <w:rFonts w:hint="eastAsia" w:ascii="宋体" w:hAnsi="宋体" w:cs="宋体"/>
          <w:kern w:val="0"/>
          <w:szCs w:val="21"/>
        </w:rPr>
        <w:t>ii.在任何交易日日终，持有的卖出股指期货合约价值不得超过基金持有的股票总市值的20%；</w:t>
      </w:r>
    </w:p>
    <w:p>
      <w:pPr>
        <w:spacing w:line="360" w:lineRule="auto"/>
        <w:ind w:firstLine="420" w:firstLineChars="200"/>
        <w:rPr>
          <w:rFonts w:ascii="宋体" w:hAnsi="宋体" w:cs="宋体"/>
          <w:kern w:val="0"/>
          <w:szCs w:val="21"/>
        </w:rPr>
      </w:pPr>
      <w:r>
        <w:rPr>
          <w:rFonts w:hint="eastAsia" w:ascii="宋体" w:hAnsi="宋体" w:cs="宋体"/>
          <w:kern w:val="0"/>
          <w:szCs w:val="21"/>
        </w:rPr>
        <w:t>iii.在任何交易日内交易（不包括平仓）的股指期货合约的成交金额不得超过上一个交易日基金资产净值的20%；</w:t>
      </w:r>
    </w:p>
    <w:p>
      <w:pPr>
        <w:spacing w:line="360" w:lineRule="auto"/>
        <w:ind w:firstLine="420" w:firstLineChars="200"/>
        <w:rPr>
          <w:rFonts w:ascii="宋体" w:hAnsi="宋体" w:cs="宋体"/>
          <w:kern w:val="0"/>
          <w:szCs w:val="21"/>
        </w:rPr>
      </w:pPr>
      <w:r>
        <w:rPr>
          <w:rFonts w:hint="eastAsia" w:ascii="宋体" w:hAnsi="宋体" w:cs="宋体"/>
          <w:kern w:val="0"/>
          <w:szCs w:val="21"/>
        </w:rPr>
        <w:t>iv.本基金所持有的股票市值和买入、卖出股指期货合约价值，合计（轧差计算）应当符合基金合同中关于股票投资比例的有关约定；</w:t>
      </w:r>
    </w:p>
    <w:p>
      <w:pPr>
        <w:spacing w:line="360" w:lineRule="auto"/>
        <w:ind w:firstLine="420" w:firstLineChars="200"/>
        <w:rPr>
          <w:rFonts w:ascii="宋体" w:hAnsi="宋体" w:cs="宋体"/>
          <w:kern w:val="0"/>
          <w:szCs w:val="21"/>
        </w:rPr>
      </w:pPr>
      <w:r>
        <w:rPr>
          <w:rFonts w:hint="eastAsia" w:ascii="宋体" w:hAnsi="宋体" w:cs="宋体"/>
          <w:kern w:val="0"/>
          <w:szCs w:val="21"/>
        </w:rPr>
        <w:t>14）本基金参与国债期货交易，应当遵守下列投资比例的限制：</w:t>
      </w:r>
    </w:p>
    <w:p>
      <w:pPr>
        <w:spacing w:line="360" w:lineRule="auto"/>
        <w:ind w:firstLine="420" w:firstLineChars="200"/>
        <w:rPr>
          <w:rFonts w:ascii="宋体" w:hAnsi="宋体" w:cs="宋体"/>
          <w:kern w:val="0"/>
          <w:szCs w:val="21"/>
        </w:rPr>
      </w:pPr>
      <w:r>
        <w:rPr>
          <w:rFonts w:hint="eastAsia" w:ascii="宋体" w:hAnsi="宋体" w:cs="宋体"/>
          <w:kern w:val="0"/>
          <w:szCs w:val="21"/>
        </w:rPr>
        <w:t>i.在任何交易日日终，持有的买入国债期货合约价值，不得超过基金资产净值的15%；</w:t>
      </w:r>
    </w:p>
    <w:p>
      <w:pPr>
        <w:spacing w:line="360" w:lineRule="auto"/>
        <w:ind w:firstLine="420" w:firstLineChars="200"/>
        <w:rPr>
          <w:rFonts w:ascii="宋体" w:hAnsi="宋体" w:cs="宋体"/>
          <w:kern w:val="0"/>
          <w:szCs w:val="21"/>
        </w:rPr>
      </w:pPr>
      <w:r>
        <w:rPr>
          <w:rFonts w:hint="eastAsia" w:ascii="宋体" w:hAnsi="宋体" w:cs="宋体"/>
          <w:kern w:val="0"/>
          <w:szCs w:val="21"/>
        </w:rPr>
        <w:t>ii.在任何交易日日终，持有的卖出国债期货合约价值不得超过基金持有的债券总市值的30%；</w:t>
      </w:r>
    </w:p>
    <w:p>
      <w:pPr>
        <w:spacing w:line="360" w:lineRule="auto"/>
        <w:ind w:firstLine="420" w:firstLineChars="200"/>
        <w:rPr>
          <w:rFonts w:ascii="宋体" w:hAnsi="宋体" w:cs="宋体"/>
          <w:kern w:val="0"/>
          <w:szCs w:val="21"/>
        </w:rPr>
      </w:pPr>
      <w:r>
        <w:rPr>
          <w:rFonts w:hint="eastAsia" w:ascii="宋体" w:hAnsi="宋体" w:cs="宋体"/>
          <w:kern w:val="0"/>
          <w:szCs w:val="21"/>
        </w:rPr>
        <w:t>iii.在任何交易日内交易（不包括平仓）的国债期货合约的成交金额不得超过上一个交易日基金资产净值的30%；</w:t>
      </w:r>
    </w:p>
    <w:p>
      <w:pPr>
        <w:spacing w:line="360" w:lineRule="auto"/>
        <w:ind w:firstLine="420" w:firstLineChars="200"/>
        <w:rPr>
          <w:rFonts w:ascii="宋体" w:hAnsi="宋体" w:cs="宋体"/>
          <w:kern w:val="0"/>
          <w:szCs w:val="21"/>
        </w:rPr>
      </w:pPr>
      <w:r>
        <w:rPr>
          <w:rFonts w:hint="eastAsia" w:ascii="宋体" w:hAnsi="宋体" w:cs="宋体"/>
          <w:kern w:val="0"/>
          <w:szCs w:val="21"/>
        </w:rPr>
        <w:t>iv.本基金所持有的债券（不含到期日在一年以内的政府债券）市值和买入、卖出国债期货合约价值，合计（轧差计算）应当符合基金合同中关于债券投资比例的有关约定；</w:t>
      </w:r>
    </w:p>
    <w:p>
      <w:pPr>
        <w:spacing w:line="360" w:lineRule="auto"/>
        <w:ind w:firstLine="420" w:firstLineChars="200"/>
        <w:rPr>
          <w:rFonts w:ascii="宋体" w:hAnsi="宋体" w:cs="宋体"/>
          <w:kern w:val="0"/>
          <w:szCs w:val="21"/>
        </w:rPr>
      </w:pPr>
      <w:r>
        <w:rPr>
          <w:rFonts w:hint="eastAsia" w:ascii="宋体" w:hAnsi="宋体" w:cs="宋体"/>
          <w:kern w:val="0"/>
          <w:szCs w:val="21"/>
        </w:rPr>
        <w:t>15）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pPr>
        <w:spacing w:line="360" w:lineRule="auto"/>
        <w:ind w:firstLine="420" w:firstLineChars="200"/>
        <w:rPr>
          <w:rFonts w:ascii="宋体" w:hAnsi="宋体" w:cs="宋体"/>
          <w:kern w:val="0"/>
          <w:szCs w:val="21"/>
        </w:rPr>
      </w:pPr>
      <w:r>
        <w:rPr>
          <w:rFonts w:hint="eastAsia" w:ascii="宋体" w:hAnsi="宋体" w:cs="宋体"/>
          <w:kern w:val="0"/>
          <w:szCs w:val="21"/>
        </w:rPr>
        <w:t>16）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20" w:firstLineChars="200"/>
        <w:rPr>
          <w:rFonts w:ascii="宋体" w:hAnsi="宋体" w:cs="宋体"/>
          <w:kern w:val="0"/>
          <w:szCs w:val="21"/>
        </w:rPr>
      </w:pPr>
      <w:r>
        <w:rPr>
          <w:rFonts w:hint="eastAsia" w:ascii="宋体" w:hAnsi="宋体" w:cs="宋体"/>
          <w:kern w:val="0"/>
          <w:szCs w:val="21"/>
        </w:rPr>
        <w:t>17）本基金与私募类证券资管产品及中国证监会认定的其他主体为交易对手开展逆回购交易的，可接受质押品的资质要求应当与基金合同约定的投资范围保持一致；</w:t>
      </w:r>
    </w:p>
    <w:p>
      <w:pPr>
        <w:spacing w:line="360" w:lineRule="auto"/>
        <w:ind w:firstLine="420" w:firstLineChars="200"/>
        <w:rPr>
          <w:rFonts w:ascii="宋体" w:hAnsi="宋体" w:cs="宋体"/>
          <w:kern w:val="0"/>
          <w:szCs w:val="21"/>
        </w:rPr>
      </w:pPr>
      <w:r>
        <w:rPr>
          <w:rFonts w:hint="eastAsia" w:ascii="宋体" w:hAnsi="宋体" w:cs="宋体"/>
          <w:kern w:val="0"/>
          <w:szCs w:val="21"/>
        </w:rPr>
        <w:t>18）本基金投资存托凭证的比例限制依照境内上市交易的股票执行，与境内上市交易的股票合并计算；</w:t>
      </w:r>
    </w:p>
    <w:p>
      <w:pPr>
        <w:spacing w:line="360" w:lineRule="auto"/>
        <w:ind w:firstLine="420" w:firstLineChars="200"/>
        <w:rPr>
          <w:rFonts w:ascii="宋体" w:hAnsi="宋体" w:cs="宋体"/>
          <w:kern w:val="0"/>
          <w:szCs w:val="21"/>
        </w:rPr>
      </w:pPr>
      <w:r>
        <w:rPr>
          <w:rFonts w:hint="eastAsia" w:ascii="宋体" w:hAnsi="宋体" w:cs="宋体"/>
          <w:kern w:val="0"/>
          <w:szCs w:val="21"/>
        </w:rPr>
        <w:t>19）法律法规及中国证监会规定的和《基金合同》约定的其他投资限制。</w:t>
      </w:r>
    </w:p>
    <w:p>
      <w:pPr>
        <w:spacing w:line="360" w:lineRule="auto"/>
        <w:ind w:firstLine="420" w:firstLineChars="200"/>
        <w:rPr>
          <w:rFonts w:ascii="宋体" w:hAnsi="宋体" w:cs="宋体"/>
          <w:kern w:val="0"/>
          <w:szCs w:val="21"/>
        </w:rPr>
      </w:pPr>
      <w:r>
        <w:rPr>
          <w:rFonts w:hint="eastAsia" w:ascii="宋体" w:hAnsi="宋体" w:cs="宋体"/>
          <w:kern w:val="0"/>
          <w:szCs w:val="21"/>
        </w:rPr>
        <w:t>除上述第2）、9）、15）、17）项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3、基金托管人根据有关法律法规的规定和《基金合同》的约定，对下述基金投资禁止行为通过事后监督方式进行监督： </w:t>
      </w:r>
    </w:p>
    <w:p>
      <w:pPr>
        <w:spacing w:line="360" w:lineRule="auto"/>
        <w:ind w:firstLine="420" w:firstLineChars="200"/>
        <w:rPr>
          <w:rFonts w:ascii="宋体" w:hAnsi="宋体" w:cs="宋体"/>
          <w:kern w:val="0"/>
          <w:szCs w:val="21"/>
        </w:rPr>
      </w:pPr>
      <w:r>
        <w:rPr>
          <w:rFonts w:hint="eastAsia" w:ascii="宋体" w:hAnsi="宋体" w:cs="宋体"/>
          <w:kern w:val="0"/>
          <w:szCs w:val="21"/>
        </w:rPr>
        <w:t>根据法律法规的规定和《基金合同》的约定，本基金禁止从事下列行为：</w:t>
      </w:r>
    </w:p>
    <w:p>
      <w:pPr>
        <w:spacing w:line="360" w:lineRule="auto"/>
        <w:ind w:firstLine="420" w:firstLineChars="200"/>
        <w:rPr>
          <w:rFonts w:ascii="宋体" w:hAnsi="宋体" w:cs="宋体"/>
          <w:kern w:val="0"/>
          <w:szCs w:val="21"/>
        </w:rPr>
      </w:pPr>
      <w:r>
        <w:rPr>
          <w:rFonts w:hint="eastAsia" w:ascii="宋体" w:hAnsi="宋体" w:cs="宋体"/>
          <w:kern w:val="0"/>
          <w:szCs w:val="21"/>
        </w:rPr>
        <w:t>（1）承销证券；</w:t>
      </w:r>
    </w:p>
    <w:p>
      <w:pPr>
        <w:spacing w:line="360" w:lineRule="auto"/>
        <w:ind w:firstLine="420" w:firstLineChars="200"/>
        <w:rPr>
          <w:rFonts w:ascii="宋体" w:hAnsi="宋体" w:cs="宋体"/>
          <w:kern w:val="0"/>
          <w:szCs w:val="21"/>
        </w:rPr>
      </w:pPr>
      <w:r>
        <w:rPr>
          <w:rFonts w:hint="eastAsia" w:ascii="宋体" w:hAnsi="宋体" w:cs="宋体"/>
          <w:kern w:val="0"/>
          <w:szCs w:val="21"/>
        </w:rPr>
        <w:t>（2）违反规定向他人贷款或者提供担保；</w:t>
      </w:r>
    </w:p>
    <w:p>
      <w:pPr>
        <w:spacing w:line="360" w:lineRule="auto"/>
        <w:ind w:firstLine="420" w:firstLineChars="200"/>
        <w:rPr>
          <w:rFonts w:ascii="宋体" w:hAnsi="宋体" w:cs="宋体"/>
          <w:kern w:val="0"/>
          <w:szCs w:val="21"/>
        </w:rPr>
      </w:pPr>
      <w:r>
        <w:rPr>
          <w:rFonts w:hint="eastAsia" w:ascii="宋体" w:hAnsi="宋体" w:cs="宋体"/>
          <w:kern w:val="0"/>
          <w:szCs w:val="21"/>
        </w:rPr>
        <w:t>（3）从事承担无限责任的投资；</w:t>
      </w:r>
    </w:p>
    <w:p>
      <w:pPr>
        <w:spacing w:line="360" w:lineRule="auto"/>
        <w:ind w:firstLine="420" w:firstLineChars="200"/>
        <w:rPr>
          <w:rFonts w:ascii="宋体" w:hAnsi="宋体" w:cs="宋体"/>
          <w:kern w:val="0"/>
          <w:szCs w:val="21"/>
        </w:rPr>
      </w:pPr>
      <w:r>
        <w:rPr>
          <w:rFonts w:hint="eastAsia" w:ascii="宋体" w:hAnsi="宋体" w:cs="宋体"/>
          <w:kern w:val="0"/>
          <w:szCs w:val="21"/>
        </w:rPr>
        <w:t>（4）买卖其他基金份额，但是中国证监会另有规定的除外；</w:t>
      </w:r>
    </w:p>
    <w:p>
      <w:pPr>
        <w:spacing w:line="360" w:lineRule="auto"/>
        <w:ind w:firstLine="420" w:firstLineChars="200"/>
        <w:rPr>
          <w:rFonts w:ascii="宋体" w:hAnsi="宋体" w:cs="宋体"/>
          <w:kern w:val="0"/>
          <w:szCs w:val="21"/>
        </w:rPr>
      </w:pPr>
      <w:r>
        <w:rPr>
          <w:rFonts w:hint="eastAsia" w:ascii="宋体" w:hAnsi="宋体" w:cs="宋体"/>
          <w:kern w:val="0"/>
          <w:szCs w:val="21"/>
        </w:rPr>
        <w:t>（5）向其基金管理人、基金托管人出资；</w:t>
      </w:r>
    </w:p>
    <w:p>
      <w:pPr>
        <w:spacing w:line="360" w:lineRule="auto"/>
        <w:ind w:firstLine="420" w:firstLineChars="200"/>
        <w:rPr>
          <w:rFonts w:ascii="宋体" w:hAnsi="宋体" w:cs="宋体"/>
          <w:kern w:val="0"/>
          <w:szCs w:val="21"/>
        </w:rPr>
      </w:pPr>
      <w:r>
        <w:rPr>
          <w:rFonts w:hint="eastAsia" w:ascii="宋体" w:hAnsi="宋体" w:cs="宋体"/>
          <w:kern w:val="0"/>
          <w:szCs w:val="21"/>
        </w:rPr>
        <w:t>（6）从事内幕交易、操纵证券交易价格及其他不正当的证券交易活动；</w:t>
      </w:r>
    </w:p>
    <w:p>
      <w:pPr>
        <w:spacing w:line="360" w:lineRule="auto"/>
        <w:ind w:firstLine="420" w:firstLineChars="200"/>
        <w:rPr>
          <w:rFonts w:ascii="宋体" w:hAnsi="宋体" w:cs="宋体"/>
          <w:kern w:val="0"/>
          <w:szCs w:val="21"/>
        </w:rPr>
      </w:pPr>
      <w:r>
        <w:rPr>
          <w:rFonts w:hint="eastAsia" w:ascii="宋体" w:hAnsi="宋体" w:cs="宋体"/>
          <w:kern w:val="0"/>
          <w:szCs w:val="21"/>
        </w:rPr>
        <w:t>（7）法律、行政法规和中国证监会规定禁止的其他活动。</w:t>
      </w:r>
    </w:p>
    <w:p>
      <w:pPr>
        <w:spacing w:line="360" w:lineRule="auto"/>
        <w:ind w:firstLine="420" w:firstLineChars="200"/>
        <w:rPr>
          <w:rFonts w:ascii="宋体" w:hAnsi="宋体" w:cs="宋体"/>
          <w:kern w:val="0"/>
          <w:szCs w:val="21"/>
        </w:rPr>
      </w:pPr>
      <w:r>
        <w:rPr>
          <w:rFonts w:hint="eastAsia" w:ascii="宋体" w:hAnsi="宋体" w:cs="宋体"/>
          <w:kern w:val="0"/>
          <w:szCs w:val="21"/>
        </w:rPr>
        <w:t>4、基金托管人依据有关法律法规的规定和《基金合同》的约定，对于基金关联投资限制进行监督。</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20" w:firstLineChars="200"/>
        <w:rPr>
          <w:rFonts w:ascii="宋体" w:hAnsi="宋体" w:cs="宋体"/>
          <w:kern w:val="0"/>
          <w:szCs w:val="21"/>
        </w:rPr>
      </w:pPr>
      <w:r>
        <w:rPr>
          <w:rFonts w:hint="eastAsia" w:ascii="宋体" w:hAnsi="宋体" w:cs="宋体"/>
          <w:kern w:val="0"/>
          <w:szCs w:val="21"/>
        </w:rPr>
        <w:t>5、法律法规或监管部门对上述投资限制、投资禁止行为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w:t>
      </w:r>
    </w:p>
    <w:p>
      <w:pPr>
        <w:spacing w:line="360" w:lineRule="auto"/>
        <w:ind w:firstLine="420" w:firstLineChars="200"/>
        <w:rPr>
          <w:rFonts w:ascii="宋体" w:hAnsi="宋体" w:cs="宋体"/>
          <w:kern w:val="0"/>
          <w:szCs w:val="21"/>
        </w:rPr>
      </w:pPr>
      <w:r>
        <w:rPr>
          <w:rFonts w:hint="eastAsia" w:ascii="宋体" w:hAnsi="宋体" w:cs="宋体"/>
          <w:kern w:val="0"/>
          <w:szCs w:val="21"/>
        </w:rPr>
        <w:t>6、基金托管人依据有关法律法规的规定和《基金合同》的约定对基金管理人参与银行间债券市场进行监督。</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如基金管理人未向基金托管人提供银行间债券市场交易对手名单的，视为基金管理人认可全市场交易对手。</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基金管理人有责任控制交易对手的资信风险，由于交易对手的资信风险引起的损失，基金管理人应当负责向相关责任人追偿。基金托管人不承担由此引发的责任及损失，但应给予必要的协助和配合。</w:t>
      </w:r>
    </w:p>
    <w:p>
      <w:pPr>
        <w:spacing w:line="360" w:lineRule="auto"/>
        <w:ind w:firstLine="420" w:firstLineChars="200"/>
        <w:rPr>
          <w:rFonts w:ascii="宋体" w:hAnsi="宋体" w:cs="宋体"/>
          <w:kern w:val="0"/>
          <w:szCs w:val="21"/>
        </w:rPr>
      </w:pPr>
      <w:r>
        <w:rPr>
          <w:rFonts w:hint="eastAsia" w:ascii="宋体" w:hAnsi="宋体" w:cs="宋体"/>
          <w:kern w:val="0"/>
          <w:szCs w:val="21"/>
        </w:rPr>
        <w:t>7、基金托管人依据有关法律法规的规定和《基金合同》的约定，对基金银行存款业务进行监督。</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应当加强对基金投资银行存款风险的评估与研究，对于基金投资的银行存款，由于存款银行发生信用风险事件而造成损失时，由基金管理人负责向相关责任人进行追偿。如果基金托管人在运作过程中遵循有关法律法规的规定和《基金合同》的约定监督流程，则对于由于存款银行信用风险引起的损失，不承担赔偿责任。</w:t>
      </w:r>
    </w:p>
    <w:p>
      <w:pPr>
        <w:spacing w:line="360" w:lineRule="auto"/>
        <w:ind w:firstLine="420" w:firstLineChars="200"/>
        <w:rPr>
          <w:rFonts w:ascii="宋体" w:hAnsi="宋体" w:cs="宋体"/>
          <w:kern w:val="0"/>
          <w:szCs w:val="21"/>
        </w:rPr>
      </w:pPr>
      <w:r>
        <w:rPr>
          <w:rFonts w:hint="eastAsia" w:ascii="宋体" w:hAnsi="宋体" w:cs="宋体"/>
          <w:kern w:val="0"/>
          <w:szCs w:val="21"/>
        </w:rPr>
        <w:t>8、基金托管人根据有关法律法规的规定及《基金合同》的约定，对基金管理人投资流通受限证券进行监督。</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基金管理人投资流通受限证券，应事先根据中国证监会相关规定，制订严格的投资决策流程和风险控制制度，防范流动性风险、法律风险和操作风险等各种风险。</w:t>
      </w:r>
    </w:p>
    <w:p>
      <w:pPr>
        <w:spacing w:line="360" w:lineRule="auto"/>
        <w:ind w:firstLine="420" w:firstLineChars="200"/>
        <w:rPr>
          <w:rFonts w:ascii="宋体" w:hAnsi="宋体" w:cs="宋体"/>
          <w:kern w:val="0"/>
          <w:szCs w:val="21"/>
        </w:rPr>
      </w:pPr>
      <w:r>
        <w:rPr>
          <w:rFonts w:hint="eastAsia" w:ascii="宋体" w:hAnsi="宋体" w:cs="宋体"/>
          <w:kern w:val="0"/>
          <w:szCs w:val="21"/>
        </w:rPr>
        <w:t>（1）本基金投资的流通受限证券与上文所述的流动性受限资产并不完全一致，包括由法律法规规定或中国证监会认定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pacing w:line="360" w:lineRule="auto"/>
        <w:ind w:firstLine="420" w:firstLineChars="200"/>
        <w:rPr>
          <w:rFonts w:ascii="宋体" w:hAnsi="宋体" w:cs="宋体"/>
          <w:kern w:val="0"/>
          <w:szCs w:val="21"/>
        </w:rPr>
      </w:pPr>
      <w:r>
        <w:rPr>
          <w:rFonts w:hint="eastAsia" w:ascii="宋体" w:hAnsi="宋体" w:cs="宋体"/>
          <w:kern w:val="0"/>
          <w:szCs w:val="21"/>
        </w:rPr>
        <w:t>本基金投资的流通受限证券限于可由中国证券登记结算有限责任公司或中央国债登记结算有限责任公司负责登记和存管，并可在证券交易所或全国银行间债券市场交易的证券。</w:t>
      </w:r>
    </w:p>
    <w:p>
      <w:pPr>
        <w:spacing w:line="360" w:lineRule="auto"/>
        <w:ind w:firstLine="420" w:firstLineChars="200"/>
        <w:rPr>
          <w:rFonts w:ascii="宋体" w:hAnsi="宋体" w:cs="宋体"/>
          <w:kern w:val="0"/>
          <w:szCs w:val="21"/>
        </w:rPr>
      </w:pPr>
      <w:r>
        <w:rPr>
          <w:rFonts w:hint="eastAsia" w:ascii="宋体" w:hAnsi="宋体" w:cs="宋体"/>
          <w:kern w:val="0"/>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spacing w:line="360" w:lineRule="auto"/>
        <w:ind w:firstLine="420" w:firstLineChars="200"/>
        <w:rPr>
          <w:rFonts w:ascii="宋体" w:hAnsi="宋体" w:cs="宋体"/>
          <w:kern w:val="0"/>
          <w:szCs w:val="21"/>
        </w:rPr>
      </w:pPr>
      <w:r>
        <w:rPr>
          <w:rFonts w:hint="eastAsia" w:ascii="宋体" w:hAnsi="宋体" w:cs="宋体"/>
          <w:kern w:val="0"/>
          <w:szCs w:val="21"/>
        </w:rPr>
        <w:t>（2）基金管理人投资非公开发行股票，应制订流动性风险处置预案并经其董事会批准。</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确保基金的支付结算。对本基金因投资流通受限证券导致的流动性风险，基金托管人已切实履行监督职责的，不承担相应责任。如因基金管理人过错导致本基金出现损失致使基金托管人承担连带赔偿责任的，基金管理人应赔偿基金托管人由此遭受的损失。</w:t>
      </w:r>
    </w:p>
    <w:p>
      <w:pPr>
        <w:spacing w:line="360" w:lineRule="auto"/>
        <w:ind w:firstLine="420" w:firstLineChars="200"/>
        <w:rPr>
          <w:rFonts w:ascii="宋体" w:hAnsi="宋体" w:cs="宋体"/>
          <w:kern w:val="0"/>
          <w:szCs w:val="21"/>
        </w:rPr>
      </w:pPr>
      <w:r>
        <w:rPr>
          <w:rFonts w:hint="eastAsia" w:ascii="宋体" w:hAnsi="宋体" w:cs="宋体"/>
          <w:kern w:val="0"/>
          <w:szCs w:val="21"/>
        </w:rPr>
        <w:t>（3）本基金投资非公开发行股票，基金管理人应于投资前向基金托管人提交有关书面资料，并保证向基金托管人提供的有关资料真实、准确、完整。有关资料如有调整，基金管理人应及时提供调整后的资料。上述书面资料包括但不限于：中国证监会批准或注册发行非公开发行股票的文件；非公开发行股票有关发行数量、发行价格、锁定期等发行资料；基金拟认购的数量、价格、总成本、账面价值。</w:t>
      </w:r>
    </w:p>
    <w:p>
      <w:pPr>
        <w:spacing w:line="360" w:lineRule="auto"/>
        <w:ind w:firstLine="420" w:firstLineChars="200"/>
        <w:rPr>
          <w:rFonts w:ascii="宋体" w:hAnsi="宋体" w:cs="宋体"/>
          <w:kern w:val="0"/>
          <w:szCs w:val="21"/>
        </w:rPr>
      </w:pPr>
      <w:r>
        <w:rPr>
          <w:rFonts w:hint="eastAsia" w:ascii="宋体" w:hAnsi="宋体" w:cs="宋体"/>
          <w:kern w:val="0"/>
          <w:szCs w:val="21"/>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20" w:firstLineChars="200"/>
        <w:rPr>
          <w:rFonts w:ascii="宋体" w:hAnsi="宋体" w:cs="宋体"/>
          <w:kern w:val="0"/>
          <w:szCs w:val="21"/>
        </w:rPr>
      </w:pPr>
      <w:r>
        <w:rPr>
          <w:rFonts w:hint="eastAsia" w:ascii="宋体" w:hAnsi="宋体" w:cs="宋体"/>
          <w:kern w:val="0"/>
          <w:szCs w:val="21"/>
        </w:rPr>
        <w:t>（5）相关法律法规对基金投资流通受限证券有新规定的，从其规定。</w:t>
      </w:r>
    </w:p>
    <w:p>
      <w:pPr>
        <w:spacing w:line="360" w:lineRule="auto"/>
        <w:ind w:firstLine="420" w:firstLineChars="200"/>
        <w:rPr>
          <w:rFonts w:ascii="宋体" w:hAnsi="宋体" w:cs="宋体"/>
          <w:kern w:val="0"/>
          <w:szCs w:val="21"/>
        </w:rPr>
      </w:pPr>
      <w:bookmarkStart w:id="343" w:name="_Toc382819074"/>
      <w:r>
        <w:rPr>
          <w:rFonts w:hint="eastAsia" w:ascii="宋体" w:hAnsi="宋体" w:cs="宋体"/>
          <w:kern w:val="0"/>
          <w:szCs w:val="21"/>
        </w:rPr>
        <w:t>（二）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343"/>
    </w:p>
    <w:p>
      <w:pPr>
        <w:spacing w:line="360" w:lineRule="auto"/>
        <w:ind w:firstLine="420" w:firstLineChars="200"/>
        <w:rPr>
          <w:rFonts w:ascii="宋体" w:hAnsi="宋体" w:cs="宋体"/>
          <w:kern w:val="0"/>
          <w:szCs w:val="21"/>
        </w:rPr>
      </w:pPr>
      <w:bookmarkStart w:id="344" w:name="_Toc382819075"/>
      <w:r>
        <w:rPr>
          <w:rFonts w:hint="eastAsia" w:ascii="宋体" w:hAnsi="宋体" w:cs="宋体"/>
          <w:kern w:val="0"/>
          <w:szCs w:val="21"/>
        </w:rPr>
        <w:t>（三）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344"/>
    </w:p>
    <w:p>
      <w:pPr>
        <w:spacing w:line="360" w:lineRule="auto"/>
        <w:ind w:firstLine="420" w:firstLineChars="200"/>
        <w:rPr>
          <w:rFonts w:ascii="宋体" w:hAnsi="宋体" w:cs="宋体"/>
          <w:kern w:val="0"/>
          <w:szCs w:val="21"/>
        </w:rPr>
      </w:pPr>
      <w:r>
        <w:rPr>
          <w:rFonts w:hint="eastAsia" w:ascii="宋体" w:hAnsi="宋体" w:cs="宋体"/>
          <w:kern w:val="0"/>
          <w:szCs w:val="21"/>
        </w:rPr>
        <w:t>1、在限期内，基金托管人有权随时对通知事项进行复查，督促基金管理人改正。基金管理人对基金托管人通知的违规事项未能在限期内纠正的，基金托管人应报告中国证监会。</w:t>
      </w:r>
    </w:p>
    <w:p>
      <w:pPr>
        <w:spacing w:line="360" w:lineRule="auto"/>
        <w:ind w:firstLine="420" w:firstLineChars="200"/>
        <w:rPr>
          <w:rFonts w:ascii="宋体" w:hAnsi="宋体" w:cs="宋体"/>
          <w:kern w:val="0"/>
          <w:szCs w:val="21"/>
        </w:rPr>
      </w:pPr>
      <w:r>
        <w:rPr>
          <w:rFonts w:hint="eastAsia" w:ascii="宋体" w:hAnsi="宋体" w:cs="宋体"/>
          <w:kern w:val="0"/>
          <w:szCs w:val="21"/>
        </w:rPr>
        <w:t>2、基金管理人应积极配合和协助基金托管人依照法律法规、《基金合同》和本托管协议对基金业务的监督和核查，对基金托管人发出的书面提示，应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pPr>
        <w:spacing w:line="360" w:lineRule="auto"/>
        <w:ind w:firstLine="420" w:firstLineChars="200"/>
        <w:rPr>
          <w:rFonts w:ascii="宋体" w:hAnsi="宋体" w:cs="宋体"/>
          <w:kern w:val="0"/>
          <w:szCs w:val="21"/>
        </w:rPr>
      </w:pPr>
      <w:r>
        <w:rPr>
          <w:rFonts w:hint="eastAsia" w:ascii="宋体" w:hAnsi="宋体" w:cs="宋体"/>
          <w:kern w:val="0"/>
          <w:szCs w:val="21"/>
        </w:rPr>
        <w:t>3、若基金托管人发现基金管理人发出但未执行的投资指令或依据交易程序已经生效的投资指令违反法律、行政法规和其他有关规定，或者违反《基金合同》约定的，应当立即通知基金管理人。</w:t>
      </w:r>
    </w:p>
    <w:p>
      <w:pPr>
        <w:spacing w:line="360" w:lineRule="auto"/>
        <w:ind w:firstLine="420" w:firstLineChars="200"/>
        <w:rPr>
          <w:rFonts w:ascii="宋体" w:hAnsi="宋体" w:cs="宋体"/>
          <w:kern w:val="0"/>
          <w:szCs w:val="21"/>
        </w:rPr>
      </w:pPr>
      <w:r>
        <w:rPr>
          <w:rFonts w:hint="eastAsia" w:ascii="宋体" w:hAnsi="宋体" w:cs="宋体"/>
          <w:kern w:val="0"/>
          <w:szCs w:val="21"/>
        </w:rPr>
        <w:t>4、对于必须于估值完成后方可获知的监控指标或依据交易程序已经成交的投资指令，基金托管人发现该投资指令违反法律法规或者违反《基金合同》约定的，应当立即通知基金管理人，并报告中国证监会。</w:t>
      </w:r>
    </w:p>
    <w:p>
      <w:pPr>
        <w:spacing w:line="360" w:lineRule="auto"/>
        <w:ind w:firstLine="420" w:firstLineChars="200"/>
        <w:rPr>
          <w:rFonts w:ascii="宋体" w:hAnsi="宋体" w:cs="宋体"/>
          <w:kern w:val="0"/>
          <w:szCs w:val="21"/>
        </w:rPr>
      </w:pPr>
      <w:r>
        <w:rPr>
          <w:rFonts w:hint="eastAsia" w:ascii="宋体" w:hAnsi="宋体" w:cs="宋体"/>
          <w:kern w:val="0"/>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pPr>
        <w:spacing w:line="360" w:lineRule="auto"/>
        <w:ind w:firstLine="420" w:firstLineChars="200"/>
        <w:rPr>
          <w:rFonts w:ascii="宋体" w:hAnsi="宋体" w:cs="宋体"/>
          <w:kern w:val="0"/>
          <w:szCs w:val="21"/>
        </w:rPr>
      </w:pPr>
      <w:r>
        <w:rPr>
          <w:rFonts w:hint="eastAsia" w:ascii="宋体" w:hAnsi="宋体" w:cs="宋体"/>
          <w:kern w:val="0"/>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pPr>
        <w:tabs>
          <w:tab w:val="left" w:pos="3780"/>
        </w:tabs>
        <w:autoSpaceDE w:val="0"/>
        <w:autoSpaceDN w:val="0"/>
        <w:adjustRightInd w:val="0"/>
        <w:spacing w:line="360" w:lineRule="auto"/>
        <w:rPr>
          <w:rFonts w:ascii="宋体" w:hAnsi="宋体"/>
          <w:b/>
        </w:rPr>
      </w:pPr>
    </w:p>
    <w:p>
      <w:pPr>
        <w:tabs>
          <w:tab w:val="left" w:pos="3780"/>
        </w:tabs>
        <w:autoSpaceDE w:val="0"/>
        <w:autoSpaceDN w:val="0"/>
        <w:adjustRightInd w:val="0"/>
        <w:spacing w:line="360" w:lineRule="auto"/>
        <w:rPr>
          <w:rFonts w:ascii="宋体" w:hAnsi="宋体"/>
          <w:b/>
        </w:rPr>
      </w:pPr>
      <w:r>
        <w:rPr>
          <w:rFonts w:ascii="宋体" w:hAnsi="宋体"/>
          <w:b/>
        </w:rPr>
        <w:t>三、基金管理人对基金托管人的业务核查</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line="360" w:lineRule="auto"/>
        <w:ind w:firstLine="420" w:firstLineChars="200"/>
        <w:rPr>
          <w:rFonts w:ascii="宋体" w:hAnsi="宋体" w:cs="宋体"/>
          <w:kern w:val="0"/>
          <w:szCs w:val="21"/>
        </w:rPr>
      </w:pPr>
      <w:r>
        <w:rPr>
          <w:rFonts w:hint="eastAsia" w:ascii="宋体" w:hAnsi="宋体" w:cs="宋体"/>
          <w:kern w:val="0"/>
          <w:szCs w:val="21"/>
        </w:rPr>
        <w:t>（一）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pPr>
        <w:spacing w:line="360" w:lineRule="auto"/>
        <w:ind w:firstLine="420" w:firstLineChars="200"/>
        <w:rPr>
          <w:rFonts w:ascii="宋体" w:hAnsi="宋体" w:cs="宋体"/>
          <w:kern w:val="0"/>
          <w:szCs w:val="21"/>
        </w:rPr>
      </w:pPr>
      <w:r>
        <w:rPr>
          <w:rFonts w:hint="eastAsia" w:ascii="宋体" w:hAnsi="宋体" w:cs="宋体"/>
          <w:kern w:val="0"/>
          <w:szCs w:val="21"/>
        </w:rPr>
        <w:t>（二）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pPr>
        <w:spacing w:line="360" w:lineRule="auto"/>
        <w:ind w:firstLine="420" w:firstLineChars="200"/>
        <w:rPr>
          <w:rFonts w:ascii="宋体" w:hAnsi="宋体" w:cs="宋体"/>
          <w:kern w:val="0"/>
          <w:szCs w:val="21"/>
        </w:rPr>
      </w:pPr>
      <w:r>
        <w:rPr>
          <w:rFonts w:hint="eastAsia" w:ascii="宋体" w:hAnsi="宋体" w:cs="宋体"/>
          <w:kern w:val="0"/>
          <w:szCs w:val="21"/>
        </w:rPr>
        <w:t>（三）基金托管人应积极配合基金管理人的核查行为，包括但不限于：提交相关资料以供基金管理人核查托管财产的完整性和真实性，在规定时间内答复基金管理人并改正。</w:t>
      </w:r>
    </w:p>
    <w:p>
      <w:pPr>
        <w:spacing w:line="360" w:lineRule="auto"/>
        <w:ind w:firstLine="420" w:firstLineChars="200"/>
        <w:rPr>
          <w:rFonts w:ascii="宋体" w:hAnsi="宋体" w:cs="宋体"/>
          <w:kern w:val="0"/>
          <w:szCs w:val="21"/>
        </w:rPr>
      </w:pPr>
      <w:bookmarkStart w:id="345" w:name="_Toc382819077"/>
      <w:bookmarkStart w:id="346" w:name="_Toc382818598"/>
      <w:r>
        <w:rPr>
          <w:rFonts w:hint="eastAsia" w:ascii="宋体" w:hAnsi="宋体" w:cs="宋体"/>
          <w:kern w:val="0"/>
          <w:szCs w:val="21"/>
        </w:rPr>
        <w:t>（四）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345"/>
      <w:bookmarkEnd w:id="346"/>
    </w:p>
    <w:p>
      <w:pPr>
        <w:tabs>
          <w:tab w:val="left" w:pos="3570"/>
        </w:tabs>
        <w:spacing w:before="156" w:beforeLines="50" w:after="156" w:afterLines="50" w:line="360" w:lineRule="auto"/>
        <w:jc w:val="left"/>
        <w:rPr>
          <w:rFonts w:ascii="宋体" w:hAnsi="宋体"/>
          <w:b/>
        </w:rPr>
      </w:pPr>
      <w:r>
        <w:rPr>
          <w:rFonts w:ascii="宋体" w:hAnsi="宋体"/>
          <w:b/>
        </w:rPr>
        <w:t>四、基金财产的保管</w:t>
      </w:r>
    </w:p>
    <w:bookmarkEnd w:id="322"/>
    <w:p>
      <w:pPr>
        <w:spacing w:line="360" w:lineRule="auto"/>
        <w:ind w:firstLine="420" w:firstLineChars="200"/>
        <w:rPr>
          <w:rFonts w:ascii="宋体" w:hAnsi="宋体" w:cs="宋体"/>
          <w:kern w:val="0"/>
          <w:szCs w:val="21"/>
        </w:rPr>
      </w:pPr>
      <w:bookmarkStart w:id="347" w:name="_Toc124325892"/>
      <w:r>
        <w:rPr>
          <w:rFonts w:hint="eastAsia" w:ascii="宋体" w:hAnsi="宋体" w:cs="宋体"/>
          <w:kern w:val="0"/>
          <w:szCs w:val="21"/>
        </w:rPr>
        <w:t>（一）基金财产保管的原则</w:t>
      </w:r>
    </w:p>
    <w:p>
      <w:pPr>
        <w:spacing w:line="360" w:lineRule="auto"/>
        <w:ind w:firstLine="420" w:firstLineChars="200"/>
        <w:rPr>
          <w:rFonts w:ascii="宋体" w:hAnsi="宋体" w:cs="宋体"/>
          <w:kern w:val="0"/>
          <w:szCs w:val="21"/>
        </w:rPr>
      </w:pPr>
      <w:r>
        <w:rPr>
          <w:rFonts w:hint="eastAsia" w:ascii="宋体" w:hAnsi="宋体" w:cs="宋体"/>
          <w:kern w:val="0"/>
          <w:szCs w:val="21"/>
        </w:rPr>
        <w:t>1、基金财产应独立于基金管理人、基金托管人、证券经纪机构的固有财产。</w:t>
      </w:r>
    </w:p>
    <w:p>
      <w:pPr>
        <w:spacing w:line="360" w:lineRule="auto"/>
        <w:ind w:firstLine="420" w:firstLineChars="200"/>
        <w:rPr>
          <w:rFonts w:ascii="宋体" w:hAnsi="宋体" w:cs="宋体"/>
          <w:kern w:val="0"/>
          <w:szCs w:val="21"/>
        </w:rPr>
      </w:pPr>
      <w:r>
        <w:rPr>
          <w:rFonts w:hint="eastAsia" w:ascii="宋体" w:hAnsi="宋体" w:cs="宋体"/>
          <w:kern w:val="0"/>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pPr>
        <w:spacing w:line="360" w:lineRule="auto"/>
        <w:ind w:firstLine="420" w:firstLineChars="200"/>
        <w:rPr>
          <w:rFonts w:ascii="宋体" w:hAnsi="宋体" w:cs="宋体"/>
          <w:kern w:val="0"/>
          <w:szCs w:val="21"/>
        </w:rPr>
      </w:pPr>
      <w:r>
        <w:rPr>
          <w:rFonts w:hint="eastAsia" w:ascii="宋体" w:hAnsi="宋体" w:cs="宋体"/>
          <w:kern w:val="0"/>
          <w:szCs w:val="21"/>
        </w:rPr>
        <w:t>3、基金托管人按照规定，应管理人的要求，为托管的基金财产开设证券账户及投资所需其他账户。</w:t>
      </w:r>
    </w:p>
    <w:p>
      <w:pPr>
        <w:spacing w:line="360" w:lineRule="auto"/>
        <w:ind w:firstLine="420" w:firstLineChars="200"/>
        <w:rPr>
          <w:rFonts w:ascii="宋体" w:hAnsi="宋体" w:cs="宋体"/>
          <w:kern w:val="0"/>
          <w:szCs w:val="21"/>
        </w:rPr>
      </w:pPr>
      <w:r>
        <w:rPr>
          <w:rFonts w:hint="eastAsia" w:ascii="宋体" w:hAnsi="宋体" w:cs="宋体"/>
          <w:kern w:val="0"/>
          <w:szCs w:val="21"/>
        </w:rPr>
        <w:t>4、基金托管人对所托管的不同基金财产分别设置账户，与基金托管人的其他业务和其他基金的托管业务实行严格的分账管理，确保基金财产的完整与独立。</w:t>
      </w:r>
    </w:p>
    <w:p>
      <w:pPr>
        <w:spacing w:line="360" w:lineRule="auto"/>
        <w:ind w:firstLine="420" w:firstLineChars="200"/>
        <w:rPr>
          <w:rFonts w:ascii="宋体" w:hAnsi="宋体" w:cs="宋体"/>
          <w:kern w:val="0"/>
          <w:szCs w:val="21"/>
        </w:rPr>
      </w:pPr>
      <w:r>
        <w:rPr>
          <w:rFonts w:hint="eastAsia" w:ascii="宋体" w:hAnsi="宋体" w:cs="宋体"/>
          <w:kern w:val="0"/>
          <w:szCs w:val="21"/>
        </w:rPr>
        <w:t>5、对于因基金认（申）购、基金投资过程中产生的应收财产，应由基金管理人负责与有关当事人确定到账日期，到账日基金财产没有到达基金托管人处的，基金管理人应及时采取措施进行催收。由此给基金造成损失的，基金管理人应负责向有关当事人追偿基金的损失，基金托管人对基金管理人的追偿行为应予以必要的协助与配合，但对基金财产的损失不承担责任。</w:t>
      </w:r>
    </w:p>
    <w:p>
      <w:pPr>
        <w:spacing w:line="360" w:lineRule="auto"/>
        <w:ind w:firstLine="420" w:firstLineChars="200"/>
        <w:rPr>
          <w:rFonts w:ascii="宋体" w:hAnsi="宋体" w:cs="宋体"/>
          <w:kern w:val="0"/>
          <w:szCs w:val="21"/>
        </w:rPr>
      </w:pPr>
      <w:bookmarkStart w:id="348" w:name="_Toc382819080"/>
      <w:r>
        <w:rPr>
          <w:rFonts w:hint="eastAsia" w:ascii="宋体" w:hAnsi="宋体" w:cs="宋体"/>
          <w:kern w:val="0"/>
          <w:szCs w:val="21"/>
        </w:rPr>
        <w:t>（二）募集资金的验证</w:t>
      </w:r>
      <w:bookmarkEnd w:id="348"/>
    </w:p>
    <w:p>
      <w:pPr>
        <w:spacing w:line="360" w:lineRule="auto"/>
        <w:ind w:firstLine="420" w:firstLineChars="200"/>
        <w:rPr>
          <w:rFonts w:ascii="宋体" w:hAnsi="宋体" w:cs="宋体"/>
          <w:kern w:val="0"/>
          <w:szCs w:val="21"/>
        </w:rPr>
      </w:pPr>
      <w:r>
        <w:rPr>
          <w:rFonts w:hint="eastAsia" w:ascii="宋体" w:hAnsi="宋体" w:cs="宋体"/>
          <w:kern w:val="0"/>
          <w:szCs w:val="21"/>
        </w:rPr>
        <w:t>募集期内销售机构按销售与服务代理协议的约定，将认购资金划入基金管理人开设的基金认购专户。该账户由基金管理人开立并管理。基金募集期满或基金管理人宣布停止募集时，发起资金认购金额及发起资金提供方承诺持有期限符合《基金法》、《运作办法》等有关规定后，基金管理人应将募集的属于本基金财产的全部资金划入基金托管人为基金开立的资产托管专户中，由基金管理人聘请符合《中华人民共和国证券法》规定的会计师事务所进行验资，出具验资报告，验资报告需对发起资金提供方及其持有份额进行专门说明。出具的验资报告应由参加验资的2名以上（含2名）中国注册会计师签字方为有效。基金托管人可应基金管理人要求，在收到有效认购资金当日以书面形式确认资金到账情况，并及时将资金到账凭证邮件发送给基金管理人，双方进行账务处理。</w:t>
      </w:r>
    </w:p>
    <w:p>
      <w:pPr>
        <w:spacing w:line="360" w:lineRule="auto"/>
        <w:ind w:firstLine="420" w:firstLineChars="200"/>
        <w:rPr>
          <w:rFonts w:ascii="宋体" w:hAnsi="宋体" w:cs="宋体"/>
          <w:kern w:val="0"/>
          <w:szCs w:val="21"/>
        </w:rPr>
      </w:pPr>
      <w:r>
        <w:rPr>
          <w:rFonts w:hint="eastAsia" w:ascii="宋体" w:hAnsi="宋体" w:cs="宋体"/>
          <w:kern w:val="0"/>
          <w:szCs w:val="21"/>
        </w:rPr>
        <w:t>若基金募集期限届满，未能达到基金备案的条件，由基金管理人按规定办理退款事宜，基金托管人应予以必要的协助和配合。</w:t>
      </w:r>
    </w:p>
    <w:p>
      <w:pPr>
        <w:spacing w:line="360" w:lineRule="auto"/>
        <w:ind w:firstLine="420" w:firstLineChars="200"/>
        <w:rPr>
          <w:rFonts w:ascii="宋体" w:hAnsi="宋体" w:cs="宋体"/>
          <w:kern w:val="0"/>
          <w:szCs w:val="21"/>
        </w:rPr>
      </w:pPr>
      <w:bookmarkStart w:id="349" w:name="_Toc382819081"/>
      <w:r>
        <w:rPr>
          <w:rFonts w:hint="eastAsia" w:ascii="宋体" w:hAnsi="宋体" w:cs="宋体"/>
          <w:kern w:val="0"/>
          <w:szCs w:val="21"/>
        </w:rPr>
        <w:t>（三）基金资产托管专户的开立和管理</w:t>
      </w:r>
      <w:bookmarkEnd w:id="349"/>
    </w:p>
    <w:p>
      <w:pPr>
        <w:spacing w:line="360" w:lineRule="auto"/>
        <w:ind w:firstLine="420" w:firstLineChars="200"/>
        <w:rPr>
          <w:rFonts w:ascii="宋体" w:hAnsi="宋体" w:cs="宋体"/>
          <w:kern w:val="0"/>
          <w:szCs w:val="21"/>
        </w:rPr>
      </w:pPr>
      <w:r>
        <w:rPr>
          <w:rFonts w:hint="eastAsia" w:ascii="宋体" w:hAnsi="宋体" w:cs="宋体"/>
          <w:kern w:val="0"/>
          <w:szCs w:val="21"/>
        </w:rPr>
        <w:t>1、基金托管人以基金的名义在其营业机构开设资产托管专户，并根据基金管理人合法合规的有效指令办理资金收付。基金管理人应根据法律法规及基金托管人的相关要求，提供开户所需的资料并提供其他必要协助。</w:t>
      </w:r>
    </w:p>
    <w:p>
      <w:pPr>
        <w:spacing w:line="360" w:lineRule="auto"/>
        <w:ind w:firstLine="420" w:firstLineChars="200"/>
        <w:rPr>
          <w:rFonts w:ascii="宋体" w:hAnsi="宋体" w:cs="宋体"/>
          <w:kern w:val="0"/>
          <w:szCs w:val="21"/>
        </w:rPr>
      </w:pPr>
      <w:r>
        <w:rPr>
          <w:rFonts w:hint="eastAsia" w:ascii="宋体" w:hAnsi="宋体" w:cs="宋体"/>
          <w:kern w:val="0"/>
          <w:szCs w:val="21"/>
        </w:rPr>
        <w:t>2、本基金除证券交易所场内交易的一切货币收支活动，均需通过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pPr>
        <w:spacing w:line="360" w:lineRule="auto"/>
        <w:ind w:firstLine="420" w:firstLineChars="200"/>
        <w:rPr>
          <w:rFonts w:ascii="宋体" w:hAnsi="宋体" w:cs="宋体"/>
          <w:kern w:val="0"/>
          <w:szCs w:val="21"/>
        </w:rPr>
      </w:pPr>
      <w:r>
        <w:rPr>
          <w:rFonts w:hint="eastAsia" w:ascii="宋体" w:hAnsi="宋体" w:cs="宋体"/>
          <w:kern w:val="0"/>
          <w:szCs w:val="21"/>
        </w:rPr>
        <w:t>3、资产托管专户的管理应符合《人民币银行结算账户管理办法》、《人民币利率管理规定》、《利率管理暂行规定》、《支付结算办法》以及银行业监督管理机构的其他有关规定。</w:t>
      </w:r>
    </w:p>
    <w:p>
      <w:pPr>
        <w:spacing w:line="360" w:lineRule="auto"/>
        <w:ind w:firstLine="420" w:firstLineChars="200"/>
        <w:rPr>
          <w:rFonts w:ascii="宋体" w:hAnsi="宋体" w:cs="宋体"/>
          <w:kern w:val="0"/>
          <w:szCs w:val="21"/>
        </w:rPr>
      </w:pPr>
      <w:bookmarkStart w:id="350" w:name="_Toc382819082"/>
      <w:r>
        <w:rPr>
          <w:rFonts w:hint="eastAsia" w:ascii="宋体" w:hAnsi="宋体" w:cs="宋体"/>
          <w:kern w:val="0"/>
          <w:szCs w:val="21"/>
        </w:rPr>
        <w:t>（四）基金证券账户与证券交易资金账户的开设和管理</w:t>
      </w:r>
      <w:bookmarkEnd w:id="350"/>
    </w:p>
    <w:p>
      <w:pPr>
        <w:spacing w:line="360" w:lineRule="auto"/>
        <w:ind w:firstLine="420" w:firstLineChars="200"/>
        <w:rPr>
          <w:rFonts w:ascii="宋体" w:hAnsi="宋体" w:cs="宋体"/>
          <w:kern w:val="0"/>
          <w:szCs w:val="21"/>
        </w:rPr>
      </w:pPr>
      <w:r>
        <w:rPr>
          <w:rFonts w:hint="eastAsia" w:ascii="宋体" w:hAnsi="宋体" w:cs="宋体"/>
          <w:kern w:val="0"/>
          <w:szCs w:val="21"/>
        </w:rPr>
        <w:t>1、基金托管人以基金托管人和本基金联名的方式在中国证券登记结算有限责任公司开立专门的证券账户。</w:t>
      </w:r>
    </w:p>
    <w:p>
      <w:pPr>
        <w:spacing w:line="360" w:lineRule="auto"/>
        <w:ind w:firstLine="420" w:firstLineChars="200"/>
        <w:rPr>
          <w:rFonts w:ascii="宋体" w:hAnsi="宋体" w:cs="宋体"/>
          <w:kern w:val="0"/>
          <w:szCs w:val="21"/>
        </w:rPr>
      </w:pPr>
      <w:r>
        <w:rPr>
          <w:rFonts w:hint="eastAsia" w:ascii="宋体" w:hAnsi="宋体" w:cs="宋体"/>
          <w:kern w:val="0"/>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pPr>
        <w:spacing w:line="360" w:lineRule="auto"/>
        <w:ind w:firstLine="420" w:firstLineChars="200"/>
        <w:rPr>
          <w:rFonts w:ascii="宋体" w:hAnsi="宋体" w:cs="宋体"/>
          <w:kern w:val="0"/>
          <w:szCs w:val="21"/>
        </w:rPr>
      </w:pPr>
      <w:r>
        <w:rPr>
          <w:rFonts w:hint="eastAsia" w:ascii="宋体" w:hAnsi="宋体" w:cs="宋体"/>
          <w:kern w:val="0"/>
          <w:szCs w:val="21"/>
        </w:rPr>
        <w:t>3、基金证券账户的开立由基金托管人负责，账户资产的管理和运用由基金管理人负责。</w:t>
      </w:r>
    </w:p>
    <w:p>
      <w:pPr>
        <w:spacing w:line="360" w:lineRule="auto"/>
        <w:ind w:firstLine="420" w:firstLineChars="200"/>
        <w:rPr>
          <w:rFonts w:ascii="宋体" w:hAnsi="宋体" w:cs="宋体"/>
          <w:kern w:val="0"/>
          <w:szCs w:val="21"/>
        </w:rPr>
      </w:pPr>
      <w:r>
        <w:rPr>
          <w:rFonts w:hint="eastAsia" w:ascii="宋体" w:hAnsi="宋体" w:cs="宋体"/>
          <w:kern w:val="0"/>
          <w:szCs w:val="21"/>
        </w:rPr>
        <w:t>4、基金管理人为基金财产在证券经纪机构开立证券交易资金账户，用于基金财产证券交易结算资金的存管、记载交易结算资金的变动明细以及场内证券交易清算，并与基金托管人指定的第三方存管银行建立第三方存管关系。</w:t>
      </w:r>
    </w:p>
    <w:p>
      <w:pPr>
        <w:spacing w:line="360" w:lineRule="auto"/>
        <w:ind w:firstLine="420" w:firstLineChars="200"/>
        <w:rPr>
          <w:rFonts w:ascii="宋体" w:hAnsi="宋体" w:cs="宋体"/>
          <w:kern w:val="0"/>
          <w:szCs w:val="21"/>
        </w:rPr>
      </w:pPr>
      <w:r>
        <w:rPr>
          <w:rFonts w:hint="eastAsia" w:ascii="宋体" w:hAnsi="宋体" w:cs="宋体"/>
          <w:kern w:val="0"/>
          <w:szCs w:val="21"/>
        </w:rPr>
        <w:t>5、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pPr>
        <w:spacing w:line="360" w:lineRule="auto"/>
        <w:ind w:firstLine="420" w:firstLineChars="200"/>
        <w:rPr>
          <w:rFonts w:ascii="宋体" w:hAnsi="宋体" w:cs="宋体"/>
          <w:kern w:val="0"/>
          <w:szCs w:val="21"/>
        </w:rPr>
      </w:pPr>
      <w:bookmarkStart w:id="351" w:name="_Toc382819083"/>
      <w:r>
        <w:rPr>
          <w:rFonts w:hint="eastAsia" w:ascii="宋体" w:hAnsi="宋体" w:cs="宋体"/>
          <w:kern w:val="0"/>
          <w:szCs w:val="21"/>
        </w:rPr>
        <w:t>（五）银行间市场债券托管账户和资金结算专户的开立和管理及市场准入备案</w:t>
      </w:r>
      <w:bookmarkEnd w:id="351"/>
    </w:p>
    <w:p>
      <w:pPr>
        <w:spacing w:line="360" w:lineRule="auto"/>
        <w:ind w:firstLine="420" w:firstLineChars="200"/>
        <w:rPr>
          <w:rFonts w:ascii="宋体" w:hAnsi="宋体" w:cs="宋体"/>
          <w:kern w:val="0"/>
          <w:szCs w:val="21"/>
        </w:rPr>
      </w:pPr>
      <w:bookmarkStart w:id="352" w:name="_Toc382819084"/>
      <w:r>
        <w:rPr>
          <w:rFonts w:hint="eastAsia" w:ascii="宋体" w:hAnsi="宋体" w:cs="宋体"/>
          <w:kern w:val="0"/>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352"/>
    </w:p>
    <w:p>
      <w:pPr>
        <w:spacing w:line="360" w:lineRule="auto"/>
        <w:ind w:firstLine="420" w:firstLineChars="200"/>
        <w:rPr>
          <w:rFonts w:ascii="宋体" w:hAnsi="宋体" w:cs="宋体"/>
          <w:kern w:val="0"/>
          <w:szCs w:val="21"/>
        </w:rPr>
      </w:pPr>
      <w:bookmarkStart w:id="353" w:name="_Toc382819085"/>
      <w:r>
        <w:rPr>
          <w:rFonts w:hint="eastAsia" w:ascii="宋体" w:hAnsi="宋体" w:cs="宋体"/>
          <w:kern w:val="0"/>
          <w:szCs w:val="21"/>
        </w:rPr>
        <w:t>（六）基金投资银行存款账户的开立和管理</w:t>
      </w:r>
      <w:bookmarkEnd w:id="353"/>
    </w:p>
    <w:p>
      <w:pPr>
        <w:spacing w:line="360" w:lineRule="auto"/>
        <w:ind w:firstLine="420" w:firstLineChars="200"/>
        <w:rPr>
          <w:rFonts w:ascii="宋体" w:hAnsi="宋体" w:cs="宋体"/>
          <w:kern w:val="0"/>
          <w:szCs w:val="21"/>
        </w:rPr>
      </w:pPr>
      <w:r>
        <w:rPr>
          <w:rFonts w:hint="eastAsia" w:ascii="宋体" w:hAnsi="宋体" w:cs="宋体"/>
          <w:kern w:val="0"/>
          <w:szCs w:val="21"/>
        </w:rPr>
        <w:t>1、基金投资银行定期存款，基金管理人与基金托管人应比照相关规定，就本基金投资银行存款业务签订书面协议。</w:t>
      </w:r>
    </w:p>
    <w:p>
      <w:pPr>
        <w:spacing w:line="360" w:lineRule="auto"/>
        <w:ind w:firstLine="420" w:firstLineChars="200"/>
        <w:rPr>
          <w:rFonts w:ascii="宋体" w:hAnsi="宋体" w:cs="宋体"/>
          <w:kern w:val="0"/>
          <w:szCs w:val="21"/>
        </w:rPr>
      </w:pPr>
      <w:r>
        <w:rPr>
          <w:rFonts w:hint="eastAsia" w:ascii="宋体" w:hAnsi="宋体" w:cs="宋体"/>
          <w:kern w:val="0"/>
          <w:szCs w:val="21"/>
        </w:rPr>
        <w:t>2、基金投资银行定期存款应由基金管理人与存款银行总行或其授权分行签订总体合作协议，并将资金存放于存款银行总行或其授权分行指定的分支机构。</w:t>
      </w:r>
    </w:p>
    <w:p>
      <w:pPr>
        <w:spacing w:line="360" w:lineRule="auto"/>
        <w:ind w:firstLine="420" w:firstLineChars="200"/>
        <w:rPr>
          <w:rFonts w:ascii="宋体" w:hAnsi="宋体" w:cs="宋体"/>
          <w:kern w:val="0"/>
          <w:szCs w:val="21"/>
        </w:rPr>
      </w:pPr>
      <w:r>
        <w:rPr>
          <w:rFonts w:hint="eastAsia" w:ascii="宋体" w:hAnsi="宋体" w:cs="宋体"/>
          <w:kern w:val="0"/>
          <w:szCs w:val="21"/>
        </w:rPr>
        <w:t>3、存款账户必须以基金名义开立，账户名称为基金名称（以实际开立为准），存款账户开户文件上加盖基金托管人预留印鉴及基金管理人公章。</w:t>
      </w:r>
    </w:p>
    <w:p>
      <w:pPr>
        <w:spacing w:line="360" w:lineRule="auto"/>
        <w:ind w:firstLine="420" w:firstLineChars="200"/>
        <w:rPr>
          <w:rFonts w:ascii="宋体" w:hAnsi="宋体" w:cs="宋体"/>
          <w:kern w:val="0"/>
          <w:szCs w:val="21"/>
        </w:rPr>
      </w:pPr>
      <w:r>
        <w:rPr>
          <w:rFonts w:hint="eastAsia" w:ascii="宋体" w:hAnsi="宋体" w:cs="宋体"/>
          <w:kern w:val="0"/>
          <w:szCs w:val="21"/>
        </w:rPr>
        <w:t>4、本基金投资银行存款时，基金管理人应当与存款银行签订具体存款协议，明确存款的类型、期限、利率、金额、账号、对账方式、支取方式、账户管理等细则。基金管理人与存款银行签订存款协议前，应与基金托管人就定期存款协议中涉及基金托管人履职的具体事项，如预留印鉴加盖、存款证实书交接保管等内容进行沟通确认。</w:t>
      </w:r>
    </w:p>
    <w:p>
      <w:pPr>
        <w:spacing w:line="360" w:lineRule="auto"/>
        <w:ind w:firstLine="420" w:firstLineChars="200"/>
        <w:rPr>
          <w:rFonts w:ascii="宋体" w:hAnsi="宋体" w:cs="宋体"/>
          <w:kern w:val="0"/>
          <w:szCs w:val="21"/>
        </w:rPr>
      </w:pPr>
      <w:r>
        <w:rPr>
          <w:rFonts w:hint="eastAsia" w:ascii="宋体" w:hAnsi="宋体" w:cs="宋体"/>
          <w:kern w:val="0"/>
          <w:szCs w:val="21"/>
        </w:rPr>
        <w:t>5、为防范特殊情况下的流动性风险，定期存款协议中应当约定提前支取条款。</w:t>
      </w:r>
    </w:p>
    <w:p>
      <w:pPr>
        <w:spacing w:line="360" w:lineRule="auto"/>
        <w:ind w:firstLine="420" w:firstLineChars="200"/>
        <w:rPr>
          <w:rFonts w:ascii="宋体" w:hAnsi="宋体" w:cs="宋体"/>
          <w:kern w:val="0"/>
          <w:szCs w:val="21"/>
        </w:rPr>
      </w:pPr>
      <w:bookmarkStart w:id="354" w:name="_Toc382819086"/>
      <w:r>
        <w:rPr>
          <w:rFonts w:hint="eastAsia" w:ascii="宋体" w:hAnsi="宋体" w:cs="宋体"/>
          <w:kern w:val="0"/>
          <w:szCs w:val="21"/>
        </w:rPr>
        <w:t>6、基金所投资定期存款存续期间，基金管理人、基金托管人应当与存款银行建立定期对账机制，确保基金银行存款业务账目及核对的真实、准确。</w:t>
      </w:r>
      <w:bookmarkEnd w:id="354"/>
    </w:p>
    <w:p>
      <w:pPr>
        <w:spacing w:line="360" w:lineRule="auto"/>
        <w:ind w:firstLine="420" w:firstLineChars="200"/>
        <w:rPr>
          <w:rFonts w:ascii="宋体" w:hAnsi="宋体" w:cs="宋体"/>
          <w:kern w:val="0"/>
          <w:szCs w:val="21"/>
        </w:rPr>
      </w:pPr>
      <w:r>
        <w:rPr>
          <w:rFonts w:hint="eastAsia" w:ascii="宋体" w:hAnsi="宋体" w:cs="宋体"/>
          <w:kern w:val="0"/>
          <w:szCs w:val="21"/>
        </w:rPr>
        <w:t>（七）其他账户的开设和管理</w:t>
      </w:r>
    </w:p>
    <w:p>
      <w:pPr>
        <w:spacing w:line="360" w:lineRule="auto"/>
        <w:ind w:firstLine="420" w:firstLineChars="200"/>
        <w:rPr>
          <w:rFonts w:ascii="宋体" w:hAnsi="宋体" w:cs="宋体"/>
          <w:kern w:val="0"/>
          <w:szCs w:val="21"/>
        </w:rPr>
      </w:pPr>
      <w:r>
        <w:rPr>
          <w:rFonts w:hint="eastAsia" w:ascii="宋体" w:hAnsi="宋体" w:cs="宋体"/>
          <w:kern w:val="0"/>
          <w:szCs w:val="21"/>
        </w:rPr>
        <w:t>1.因业务发展而需要开立的其它账户，可以根据《基金合同》或有关法律法规的规定，经基金管理人和基金托管人协商一致后，按照开户机构的要求为基金开立。</w:t>
      </w:r>
    </w:p>
    <w:p>
      <w:pPr>
        <w:spacing w:line="360" w:lineRule="auto"/>
        <w:ind w:firstLine="420" w:firstLineChars="200"/>
        <w:rPr>
          <w:rFonts w:ascii="宋体" w:hAnsi="宋体" w:cs="宋体"/>
          <w:kern w:val="0"/>
          <w:szCs w:val="21"/>
        </w:rPr>
      </w:pPr>
      <w:r>
        <w:rPr>
          <w:rFonts w:hint="eastAsia" w:ascii="宋体" w:hAnsi="宋体" w:cs="宋体"/>
          <w:kern w:val="0"/>
          <w:szCs w:val="21"/>
        </w:rPr>
        <w:t>2.法律、法规等有关规定对相关账户的开立和管理另有规定的，从其规定办理。</w:t>
      </w:r>
    </w:p>
    <w:p>
      <w:pPr>
        <w:spacing w:line="360" w:lineRule="auto"/>
        <w:ind w:firstLine="420" w:firstLineChars="200"/>
        <w:rPr>
          <w:rFonts w:ascii="宋体" w:hAnsi="宋体" w:cs="宋体"/>
          <w:kern w:val="0"/>
          <w:szCs w:val="21"/>
        </w:rPr>
      </w:pPr>
      <w:bookmarkStart w:id="355" w:name="_Toc382819087"/>
      <w:r>
        <w:rPr>
          <w:rFonts w:hint="eastAsia" w:ascii="宋体" w:hAnsi="宋体" w:cs="宋体"/>
          <w:kern w:val="0"/>
          <w:szCs w:val="21"/>
        </w:rPr>
        <w:t>（八）基金财产投资的有关实物证券、银行定期存款存单等有价凭证的保管</w:t>
      </w:r>
      <w:bookmarkEnd w:id="355"/>
    </w:p>
    <w:p>
      <w:pPr>
        <w:spacing w:line="360" w:lineRule="auto"/>
        <w:ind w:firstLine="420" w:firstLineChars="200"/>
        <w:rPr>
          <w:rFonts w:ascii="宋体" w:hAnsi="宋体" w:cs="宋体"/>
          <w:kern w:val="0"/>
          <w:szCs w:val="21"/>
        </w:rPr>
      </w:pPr>
      <w:r>
        <w:rPr>
          <w:rFonts w:hint="eastAsia" w:ascii="宋体" w:hAnsi="宋体" w:cs="宋体"/>
          <w:kern w:val="0"/>
          <w:szCs w:val="21"/>
        </w:rPr>
        <w:t>基金财产投资的有关实物证券、银行定期存款存单等有价凭证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等有价凭证对应的财产不承担保管责任。</w:t>
      </w:r>
    </w:p>
    <w:p>
      <w:pPr>
        <w:spacing w:line="360" w:lineRule="auto"/>
        <w:ind w:firstLine="420" w:firstLineChars="200"/>
        <w:rPr>
          <w:rFonts w:ascii="宋体" w:hAnsi="宋体" w:cs="宋体"/>
          <w:kern w:val="0"/>
          <w:szCs w:val="21"/>
        </w:rPr>
      </w:pPr>
      <w:r>
        <w:rPr>
          <w:rFonts w:hint="eastAsia" w:ascii="宋体" w:hAnsi="宋体" w:cs="宋体"/>
          <w:kern w:val="0"/>
          <w:szCs w:val="21"/>
        </w:rPr>
        <w:t>（九）与基金财产有关的重大合同的保管</w:t>
      </w:r>
    </w:p>
    <w:p>
      <w:pPr>
        <w:spacing w:line="360" w:lineRule="auto"/>
        <w:ind w:firstLine="420" w:firstLineChars="200"/>
        <w:rPr>
          <w:rFonts w:ascii="宋体" w:hAnsi="宋体" w:cs="宋体"/>
          <w:kern w:val="0"/>
          <w:szCs w:val="21"/>
        </w:rPr>
      </w:pPr>
      <w:r>
        <w:rPr>
          <w:rFonts w:hint="eastAsia" w:ascii="宋体" w:hAnsi="宋体" w:cs="宋体"/>
          <w:kern w:val="0"/>
          <w:szCs w:val="21"/>
        </w:rPr>
        <w:t>由基金管理人代表基金签署的与基金有关且签订方有基金托管人参与的重大合同的原件分别应由基金托管人、基金管理人保管。除本协议另有规定外，上述重大合同应尽量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w:t>
      </w:r>
    </w:p>
    <w:p>
      <w:pPr>
        <w:spacing w:line="360" w:lineRule="auto"/>
        <w:ind w:firstLine="420" w:firstLineChars="200"/>
        <w:rPr>
          <w:rFonts w:ascii="宋体" w:hAnsi="宋体" w:cs="宋体"/>
          <w:kern w:val="0"/>
          <w:szCs w:val="21"/>
        </w:rPr>
      </w:pPr>
      <w:r>
        <w:rPr>
          <w:rFonts w:hint="eastAsia" w:ascii="宋体" w:hAnsi="宋体" w:cs="宋体"/>
          <w:kern w:val="0"/>
          <w:szCs w:val="21"/>
        </w:rPr>
        <w:t>对于无法取得二份以上的正本的，基金管理人应向基金托管人提供与合同原件核对一致的并加盖基金管理人公章的复印件，未经双方协商一致，合同原件不得转移。</w:t>
      </w:r>
    </w:p>
    <w:p>
      <w:pPr>
        <w:spacing w:before="156" w:beforeLines="50" w:after="156" w:afterLines="50" w:line="360" w:lineRule="auto"/>
        <w:jc w:val="left"/>
        <w:rPr>
          <w:rFonts w:ascii="宋体" w:hAnsi="宋体"/>
          <w:b/>
        </w:rPr>
      </w:pPr>
      <w:r>
        <w:rPr>
          <w:rFonts w:ascii="宋体" w:hAnsi="宋体"/>
          <w:b/>
        </w:rPr>
        <w:t>五、</w:t>
      </w:r>
      <w:r>
        <w:rPr>
          <w:rFonts w:hint="eastAsia" w:ascii="宋体" w:hAnsi="宋体"/>
          <w:b/>
        </w:rPr>
        <w:t>基金资产净值计算和会计核算</w:t>
      </w:r>
      <w:bookmarkEnd w:id="347"/>
    </w:p>
    <w:p>
      <w:pPr>
        <w:spacing w:line="360" w:lineRule="auto"/>
        <w:ind w:firstLine="420" w:firstLineChars="200"/>
        <w:rPr>
          <w:rFonts w:ascii="宋体" w:hAnsi="宋体" w:cs="宋体"/>
          <w:kern w:val="0"/>
          <w:szCs w:val="21"/>
        </w:rPr>
      </w:pPr>
      <w:r>
        <w:rPr>
          <w:rFonts w:hint="eastAsia" w:ascii="宋体" w:hAnsi="宋体" w:cs="宋体"/>
          <w:kern w:val="0"/>
          <w:szCs w:val="21"/>
        </w:rPr>
        <w:t>（一）基金资产净值的计算、复核的时间和程序</w:t>
      </w:r>
    </w:p>
    <w:p>
      <w:pPr>
        <w:spacing w:line="360" w:lineRule="auto"/>
        <w:ind w:firstLine="420" w:firstLineChars="200"/>
        <w:rPr>
          <w:rFonts w:ascii="宋体" w:hAnsi="宋体" w:cs="宋体"/>
          <w:kern w:val="0"/>
          <w:szCs w:val="21"/>
        </w:rPr>
      </w:pPr>
      <w:r>
        <w:rPr>
          <w:rFonts w:hint="eastAsia" w:ascii="宋体" w:hAnsi="宋体" w:cs="宋体"/>
          <w:kern w:val="0"/>
          <w:szCs w:val="21"/>
        </w:rPr>
        <w:t>1、基金资产净值是指基金资产总值减去基金负债后的价值。各类基金份额净值是按照每个工作日闭市后，各类基金资产净值除以当日相应类别基金份额的余额数量计算，均精确到0.0001元，小数点后第5位四舍五入，由此产生的误差计入基金财产。基金管理人可以设立大额赎回情形下的净值精度应急调整机制。国家另有规定的，从其规定。</w:t>
      </w:r>
    </w:p>
    <w:p>
      <w:pPr>
        <w:spacing w:line="360" w:lineRule="auto"/>
        <w:ind w:firstLine="420" w:firstLineChars="200"/>
        <w:rPr>
          <w:rFonts w:ascii="宋体" w:hAnsi="宋体" w:cs="宋体"/>
          <w:kern w:val="0"/>
          <w:szCs w:val="21"/>
        </w:rPr>
      </w:pPr>
      <w:r>
        <w:rPr>
          <w:rFonts w:hint="eastAsia" w:ascii="宋体" w:hAnsi="宋体" w:cs="宋体"/>
          <w:kern w:val="0"/>
          <w:szCs w:val="21"/>
        </w:rPr>
        <w:t>2、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pPr>
        <w:spacing w:line="360" w:lineRule="auto"/>
        <w:ind w:firstLine="420" w:firstLineChars="200"/>
        <w:rPr>
          <w:rFonts w:ascii="宋体" w:hAnsi="宋体" w:cs="宋体"/>
          <w:kern w:val="0"/>
          <w:szCs w:val="21"/>
        </w:rPr>
      </w:pPr>
      <w:r>
        <w:rPr>
          <w:rFonts w:hint="eastAsia" w:ascii="宋体" w:hAnsi="宋体" w:cs="宋体"/>
          <w:kern w:val="0"/>
          <w:szCs w:val="21"/>
        </w:rPr>
        <w:t>法律法规以及监管部门有强制规定的，从其规定。如有新增事项，按国家最新规定估值。</w:t>
      </w:r>
    </w:p>
    <w:p>
      <w:pPr>
        <w:spacing w:line="360" w:lineRule="auto"/>
        <w:ind w:firstLine="420" w:firstLineChars="200"/>
        <w:rPr>
          <w:rFonts w:ascii="宋体" w:hAnsi="宋体" w:cs="宋体"/>
          <w:kern w:val="0"/>
          <w:szCs w:val="21"/>
        </w:rPr>
      </w:pPr>
      <w:bookmarkStart w:id="356" w:name="_Toc382819105"/>
      <w:r>
        <w:rPr>
          <w:rFonts w:hint="eastAsia" w:ascii="宋体" w:hAnsi="宋体" w:cs="宋体"/>
          <w:kern w:val="0"/>
          <w:szCs w:val="21"/>
        </w:rPr>
        <w:t>（二）基金资产估值</w:t>
      </w:r>
      <w:bookmarkEnd w:id="356"/>
    </w:p>
    <w:p>
      <w:pPr>
        <w:spacing w:line="360" w:lineRule="auto"/>
        <w:ind w:firstLine="420" w:firstLineChars="200"/>
        <w:rPr>
          <w:rFonts w:ascii="宋体" w:hAnsi="宋体" w:cs="宋体"/>
          <w:kern w:val="0"/>
          <w:szCs w:val="21"/>
        </w:rPr>
      </w:pPr>
      <w:r>
        <w:rPr>
          <w:rFonts w:hint="eastAsia" w:ascii="宋体" w:hAnsi="宋体" w:cs="宋体"/>
          <w:kern w:val="0"/>
          <w:szCs w:val="21"/>
        </w:rPr>
        <w:t>估值原则和估值方法应符合《基金合同》、《证券投资基金会计核算业务指引》及其他法律法规的规定的约定。</w:t>
      </w:r>
    </w:p>
    <w:p>
      <w:pPr>
        <w:spacing w:line="360" w:lineRule="auto"/>
        <w:ind w:firstLine="420" w:firstLineChars="200"/>
        <w:rPr>
          <w:rFonts w:ascii="宋体" w:hAnsi="宋体" w:cs="宋体"/>
          <w:kern w:val="0"/>
          <w:szCs w:val="21"/>
        </w:rPr>
      </w:pPr>
      <w:r>
        <w:rPr>
          <w:rFonts w:hint="eastAsia" w:ascii="宋体" w:hAnsi="宋体" w:cs="宋体"/>
          <w:kern w:val="0"/>
          <w:szCs w:val="21"/>
        </w:rPr>
        <w:t>当相关法律法规或《基金合同》规定的估值方法不能客观反映基金财产公允价值时，基金管理人可根据具体情况，并与基金托管人商定后，按最能反映公允价值的价格估值。</w:t>
      </w:r>
    </w:p>
    <w:p>
      <w:pPr>
        <w:spacing w:line="360" w:lineRule="auto"/>
        <w:ind w:firstLine="420" w:firstLineChars="200"/>
        <w:rPr>
          <w:rFonts w:ascii="宋体" w:hAnsi="宋体" w:cs="宋体"/>
          <w:kern w:val="0"/>
          <w:szCs w:val="21"/>
        </w:rPr>
      </w:pPr>
      <w:bookmarkStart w:id="357" w:name="_Toc382819106"/>
      <w:r>
        <w:rPr>
          <w:rFonts w:hint="eastAsia" w:ascii="宋体" w:hAnsi="宋体" w:cs="宋体"/>
          <w:kern w:val="0"/>
          <w:szCs w:val="21"/>
        </w:rPr>
        <w:t>（三）估值错误处理</w:t>
      </w:r>
      <w:bookmarkEnd w:id="357"/>
    </w:p>
    <w:p>
      <w:pPr>
        <w:spacing w:line="360" w:lineRule="auto"/>
        <w:ind w:firstLine="420" w:firstLineChars="200"/>
        <w:rPr>
          <w:rFonts w:ascii="宋体" w:hAnsi="宋体" w:cs="宋体"/>
          <w:kern w:val="0"/>
          <w:szCs w:val="21"/>
        </w:rPr>
      </w:pPr>
      <w:bookmarkStart w:id="358" w:name="_Toc382819107"/>
      <w:r>
        <w:rPr>
          <w:rFonts w:hint="eastAsia" w:ascii="宋体" w:hAnsi="宋体" w:cs="宋体"/>
          <w:kern w:val="0"/>
          <w:szCs w:val="21"/>
        </w:rPr>
        <w:t>基金管理人及基金托管人应当按照《基金合同》的约定处理估值差错。</w:t>
      </w:r>
    </w:p>
    <w:bookmarkEnd w:id="358"/>
    <w:p>
      <w:pPr>
        <w:spacing w:line="360" w:lineRule="auto"/>
        <w:ind w:firstLine="420" w:firstLineChars="200"/>
        <w:rPr>
          <w:rFonts w:ascii="宋体" w:hAnsi="宋体" w:cs="宋体"/>
          <w:kern w:val="0"/>
          <w:szCs w:val="21"/>
        </w:rPr>
      </w:pPr>
      <w:bookmarkStart w:id="359" w:name="_Toc382819113"/>
      <w:r>
        <w:rPr>
          <w:rFonts w:hint="eastAsia" w:ascii="宋体" w:hAnsi="宋体" w:cs="宋体"/>
          <w:kern w:val="0"/>
          <w:szCs w:val="21"/>
        </w:rPr>
        <w:t>（四）暂停估值的情形</w:t>
      </w:r>
      <w:bookmarkEnd w:id="359"/>
      <w:bookmarkStart w:id="360" w:name="_Toc382819114"/>
    </w:p>
    <w:p>
      <w:pPr>
        <w:spacing w:line="360" w:lineRule="auto"/>
        <w:ind w:firstLine="420" w:firstLineChars="200"/>
        <w:rPr>
          <w:rFonts w:ascii="宋体" w:hAnsi="宋体" w:cs="宋体"/>
          <w:kern w:val="0"/>
          <w:szCs w:val="21"/>
        </w:rPr>
      </w:pPr>
      <w:r>
        <w:rPr>
          <w:rFonts w:hint="eastAsia" w:ascii="宋体" w:hAnsi="宋体" w:cs="宋体"/>
          <w:kern w:val="0"/>
          <w:szCs w:val="21"/>
        </w:rPr>
        <w:t>1、基金投资所涉及的证券交易市场、期货交易市场或外汇市场遇法定节假日或因其他原因暂停营业时；</w:t>
      </w:r>
    </w:p>
    <w:p>
      <w:pPr>
        <w:spacing w:line="360" w:lineRule="auto"/>
        <w:ind w:firstLine="420" w:firstLineChars="200"/>
        <w:rPr>
          <w:rFonts w:ascii="宋体" w:hAnsi="宋体" w:cs="宋体"/>
          <w:kern w:val="0"/>
          <w:szCs w:val="21"/>
        </w:rPr>
      </w:pPr>
      <w:r>
        <w:rPr>
          <w:rFonts w:hint="eastAsia" w:ascii="宋体" w:hAnsi="宋体" w:cs="宋体"/>
          <w:kern w:val="0"/>
          <w:szCs w:val="21"/>
        </w:rPr>
        <w:t>2、因不可抗力致使基金管理人、基金托管人无法准确评估基金资产价值时；</w:t>
      </w:r>
    </w:p>
    <w:p>
      <w:pPr>
        <w:spacing w:line="360" w:lineRule="auto"/>
        <w:ind w:firstLine="420" w:firstLineChars="200"/>
        <w:rPr>
          <w:rFonts w:ascii="宋体" w:hAnsi="宋体" w:cs="宋体"/>
          <w:kern w:val="0"/>
          <w:szCs w:val="21"/>
        </w:rPr>
      </w:pPr>
      <w:r>
        <w:rPr>
          <w:rFonts w:hint="eastAsia" w:ascii="宋体" w:hAnsi="宋体" w:cs="宋体"/>
          <w:kern w:val="0"/>
          <w:szCs w:val="21"/>
        </w:rPr>
        <w:t>3、当特定资产占前一估值日基金资产净值50%以上的，经与基金托管人协商确认后，基金管理人应当暂停估值；</w:t>
      </w:r>
    </w:p>
    <w:p>
      <w:pPr>
        <w:spacing w:line="360" w:lineRule="auto"/>
        <w:ind w:firstLine="420" w:firstLineChars="200"/>
        <w:rPr>
          <w:rFonts w:ascii="宋体" w:hAnsi="宋体" w:cs="宋体"/>
          <w:kern w:val="0"/>
          <w:szCs w:val="21"/>
        </w:rPr>
      </w:pPr>
      <w:r>
        <w:rPr>
          <w:rFonts w:hint="eastAsia" w:ascii="宋体" w:hAnsi="宋体" w:cs="宋体"/>
          <w:kern w:val="0"/>
          <w:szCs w:val="21"/>
        </w:rPr>
        <w:t>4、法律法规规定、中国证监会和基金合同认定的其它情形。</w:t>
      </w:r>
    </w:p>
    <w:bookmarkEnd w:id="360"/>
    <w:p>
      <w:pPr>
        <w:spacing w:line="360" w:lineRule="auto"/>
        <w:ind w:firstLine="420" w:firstLineChars="200"/>
        <w:rPr>
          <w:rFonts w:ascii="宋体" w:hAnsi="宋体" w:cs="宋体"/>
          <w:kern w:val="0"/>
          <w:szCs w:val="21"/>
        </w:rPr>
      </w:pPr>
      <w:bookmarkStart w:id="361" w:name="_Toc382819116"/>
      <w:r>
        <w:rPr>
          <w:rFonts w:hint="eastAsia" w:ascii="宋体" w:hAnsi="宋体" w:cs="宋体"/>
          <w:kern w:val="0"/>
          <w:szCs w:val="21"/>
        </w:rPr>
        <w:t>（五）基金账册的建立</w:t>
      </w:r>
      <w:bookmarkEnd w:id="361"/>
    </w:p>
    <w:p>
      <w:pPr>
        <w:spacing w:line="360" w:lineRule="auto"/>
        <w:ind w:firstLine="420" w:firstLineChars="200"/>
        <w:rPr>
          <w:rFonts w:ascii="宋体" w:hAnsi="宋体" w:cs="宋体"/>
          <w:kern w:val="0"/>
          <w:szCs w:val="21"/>
        </w:rPr>
      </w:pPr>
      <w:r>
        <w:rPr>
          <w:rFonts w:hint="eastAsia" w:ascii="宋体" w:hAnsi="宋体" w:cs="宋体"/>
          <w:kern w:val="0"/>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spacing w:line="360" w:lineRule="auto"/>
        <w:ind w:firstLine="420" w:firstLineChars="200"/>
        <w:rPr>
          <w:rFonts w:ascii="宋体" w:hAnsi="宋体" w:cs="宋体"/>
          <w:kern w:val="0"/>
          <w:szCs w:val="21"/>
        </w:rPr>
      </w:pPr>
      <w:r>
        <w:rPr>
          <w:rFonts w:hint="eastAsia" w:ascii="宋体" w:hAnsi="宋体" w:cs="宋体"/>
          <w:kern w:val="0"/>
          <w:szCs w:val="21"/>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spacing w:line="360" w:lineRule="auto"/>
        <w:ind w:firstLine="420" w:firstLineChars="200"/>
        <w:rPr>
          <w:rFonts w:ascii="宋体" w:hAnsi="宋体" w:cs="宋体"/>
          <w:kern w:val="0"/>
          <w:szCs w:val="21"/>
        </w:rPr>
      </w:pPr>
      <w:bookmarkStart w:id="362" w:name="_Toc382819117"/>
      <w:r>
        <w:rPr>
          <w:rFonts w:hint="eastAsia" w:ascii="宋体" w:hAnsi="宋体" w:cs="宋体"/>
          <w:kern w:val="0"/>
          <w:szCs w:val="21"/>
        </w:rPr>
        <w:t>（六）基金定期报告的编制和复核</w:t>
      </w:r>
      <w:bookmarkEnd w:id="362"/>
    </w:p>
    <w:p>
      <w:pPr>
        <w:spacing w:line="360" w:lineRule="auto"/>
        <w:ind w:firstLine="420" w:firstLineChars="200"/>
        <w:rPr>
          <w:rFonts w:ascii="宋体" w:hAnsi="宋体" w:cs="宋体"/>
          <w:kern w:val="0"/>
          <w:szCs w:val="21"/>
        </w:rPr>
      </w:pPr>
      <w:r>
        <w:rPr>
          <w:rFonts w:hint="eastAsia" w:ascii="宋体" w:hAnsi="宋体" w:cs="宋体"/>
          <w:kern w:val="0"/>
          <w:szCs w:val="21"/>
        </w:rPr>
        <w:t>1、基金财务报表由基金管理人和基金托管人每月分别独立编制。月度报表的编制，应于每月终了后5个工作日内完成。</w:t>
      </w:r>
    </w:p>
    <w:p>
      <w:pPr>
        <w:spacing w:line="360" w:lineRule="auto"/>
        <w:ind w:firstLine="420" w:firstLineChars="200"/>
        <w:rPr>
          <w:rFonts w:ascii="宋体" w:hAnsi="宋体" w:cs="宋体"/>
          <w:kern w:val="0"/>
          <w:szCs w:val="21"/>
        </w:rPr>
      </w:pPr>
      <w:r>
        <w:rPr>
          <w:rFonts w:hint="eastAsia" w:ascii="宋体" w:hAnsi="宋体" w:cs="宋体"/>
          <w:kern w:val="0"/>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基金合同生效不足两个月的，基金管理人可以不编制当期季度报告、中期报告或者年度报告。</w:t>
      </w:r>
    </w:p>
    <w:p>
      <w:pPr>
        <w:spacing w:line="360" w:lineRule="auto"/>
        <w:ind w:firstLine="420" w:firstLineChars="200"/>
        <w:rPr>
          <w:rFonts w:ascii="宋体" w:hAnsi="宋体" w:cs="宋体"/>
          <w:kern w:val="0"/>
          <w:szCs w:val="21"/>
        </w:rPr>
      </w:pPr>
      <w:r>
        <w:rPr>
          <w:rFonts w:hint="eastAsia" w:ascii="宋体" w:hAnsi="宋体" w:cs="宋体"/>
          <w:kern w:val="0"/>
          <w:szCs w:val="21"/>
        </w:rPr>
        <w:t>3、基金管理人在月度报表完成当日，以电子邮件方式及其他双方认可的方式将有关报告提供基金托管人复核，基金托管人在3个工作日内进行复核，并将复核结果及时书面通知基金管理人或进行电子确认。基金管理人在季度报告完成当日，将有关报告提供基金托管人复核，基金托管人在收到后7个工作日内进行复核，并将复核结果书面通知基金管理人或进行电子确认。基金管理人在中期报告完成当日，将有关报告提供基金托管人复核，基金托管人在收到后30日内进行复核，并将复核结果书面通知基金管理人或进行电子确认。基金管理人在年度报告完成当日，将有关报告提供基金托管人复核，基金托管人在收到后45日内复核，并将复核结果书面通知基金管理人或进行电子确认。</w:t>
      </w:r>
    </w:p>
    <w:p>
      <w:pPr>
        <w:spacing w:line="360" w:lineRule="auto"/>
        <w:ind w:firstLine="420" w:firstLineChars="200"/>
        <w:rPr>
          <w:rFonts w:ascii="宋体" w:hAnsi="宋体" w:cs="宋体"/>
          <w:kern w:val="0"/>
          <w:szCs w:val="21"/>
        </w:rPr>
      </w:pPr>
      <w:r>
        <w:rPr>
          <w:rFonts w:hint="eastAsia" w:ascii="宋体" w:hAnsi="宋体" w:cs="宋体"/>
          <w:kern w:val="0"/>
          <w:szCs w:val="21"/>
        </w:rPr>
        <w:t>4、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或进行电子确认，复核意见书由相关各方各自留存一份。如果基金管理人与基金托管人不能于应当发布公告之日之前就相关报表达成一致，基金管理人有权按照其编制的报表对外发布公告，基金托管人有权就相关情况报中国证监会备案。</w:t>
      </w:r>
    </w:p>
    <w:p>
      <w:pPr>
        <w:spacing w:line="360" w:lineRule="auto"/>
        <w:ind w:firstLine="420" w:firstLineChars="200"/>
        <w:rPr>
          <w:rFonts w:ascii="宋体" w:hAnsi="宋体" w:cs="宋体"/>
          <w:kern w:val="0"/>
          <w:szCs w:val="21"/>
        </w:rPr>
      </w:pPr>
      <w:r>
        <w:rPr>
          <w:rFonts w:hint="eastAsia" w:ascii="宋体" w:hAnsi="宋体" w:cs="宋体"/>
          <w:kern w:val="0"/>
          <w:szCs w:val="21"/>
        </w:rPr>
        <w:t>5、基金托管人在对财务会计报告、季度报告、中期报告或年度报告复核完毕后，需向基金管理人进行书面或电子确认，以备有权机构对相关文件审核时提示。</w:t>
      </w:r>
    </w:p>
    <w:p>
      <w:pPr>
        <w:spacing w:line="360" w:lineRule="auto"/>
        <w:ind w:firstLine="422" w:firstLineChars="200"/>
        <w:rPr>
          <w:rFonts w:ascii="宋体" w:hAnsi="宋体"/>
          <w:b/>
        </w:rPr>
      </w:pPr>
      <w:r>
        <w:rPr>
          <w:rFonts w:ascii="宋体" w:hAnsi="宋体"/>
          <w:b/>
        </w:rPr>
        <w:t>六、</w:t>
      </w:r>
      <w:r>
        <w:rPr>
          <w:rFonts w:hint="eastAsia" w:ascii="宋体" w:hAnsi="宋体"/>
          <w:b/>
        </w:rPr>
        <w:t>基金份额持有人名册的保管</w:t>
      </w:r>
      <w:bookmarkStart w:id="363" w:name="_Toc86217885"/>
    </w:p>
    <w:bookmarkEnd w:id="363"/>
    <w:p>
      <w:pPr>
        <w:spacing w:line="360" w:lineRule="auto"/>
        <w:ind w:firstLine="420" w:firstLineChars="200"/>
        <w:rPr>
          <w:rFonts w:ascii="宋体" w:hAnsi="宋体" w:cs="宋体"/>
          <w:kern w:val="0"/>
          <w:szCs w:val="21"/>
        </w:rPr>
      </w:pPr>
      <w:r>
        <w:rPr>
          <w:rFonts w:hint="eastAsia" w:ascii="宋体" w:hAnsi="宋体" w:cs="宋体"/>
          <w:kern w:val="0"/>
          <w:szCs w:val="21"/>
        </w:rPr>
        <w:t xml:space="preserve">基金管理人妥善保管的基金份额持有人名册，基金份额持有人名册的内容必须包括基金份额持有人的名称和持有的基金份额。 </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基金份额持有人名册由基金的基金登记机构根据基金管理人的指令编制和保管，基金管理人应按照目前相关规则保管基金份额持有人名册。保管方式可以采用电子或文档的形式。保管期限不低于法律法规规定的最低期限。 </w:t>
      </w:r>
    </w:p>
    <w:p>
      <w:pPr>
        <w:spacing w:line="360" w:lineRule="auto"/>
        <w:ind w:firstLine="420" w:firstLineChars="200"/>
        <w:rPr>
          <w:rFonts w:ascii="宋体" w:hAnsi="宋体" w:cs="宋体"/>
          <w:kern w:val="0"/>
          <w:szCs w:val="21"/>
        </w:rPr>
      </w:pPr>
      <w:r>
        <w:rPr>
          <w:rFonts w:hint="eastAsia" w:ascii="宋体" w:hAnsi="宋体" w:cs="宋体"/>
          <w:kern w:val="0"/>
          <w:szCs w:val="21"/>
        </w:rPr>
        <w:t>在基金托管人需要时，基金管理人应将基金持有人名册送交基金托管人，文件方式可以采用电子或文档的形式并且保证其的真实、准确、完整。基金托管人应妥善保管，不得将持有人名册用于基金托管业务以外的其他用途。</w:t>
      </w:r>
    </w:p>
    <w:p>
      <w:pPr>
        <w:spacing w:line="360" w:lineRule="auto"/>
        <w:ind w:firstLine="422" w:firstLineChars="200"/>
        <w:rPr>
          <w:rFonts w:ascii="宋体" w:hAnsi="宋体"/>
          <w:b/>
        </w:rPr>
      </w:pPr>
      <w:r>
        <w:rPr>
          <w:rFonts w:ascii="宋体" w:hAnsi="宋体"/>
          <w:b/>
        </w:rPr>
        <w:t>七、</w:t>
      </w:r>
      <w:r>
        <w:rPr>
          <w:rFonts w:hint="eastAsia" w:ascii="宋体" w:hAnsi="宋体"/>
          <w:b/>
        </w:rPr>
        <w:t>适用法律及</w:t>
      </w:r>
      <w:r>
        <w:rPr>
          <w:rFonts w:ascii="宋体" w:hAnsi="宋体"/>
          <w:b/>
        </w:rPr>
        <w:t>争议解决方式</w:t>
      </w:r>
    </w:p>
    <w:p>
      <w:pPr>
        <w:spacing w:line="360" w:lineRule="auto"/>
        <w:ind w:firstLine="420" w:firstLineChars="200"/>
        <w:rPr>
          <w:rFonts w:ascii="宋体" w:hAnsi="宋体" w:cs="宋体"/>
          <w:kern w:val="0"/>
          <w:szCs w:val="21"/>
          <w:lang w:val="zh-CN"/>
        </w:rPr>
      </w:pPr>
      <w:bookmarkStart w:id="364" w:name="_Toc354416574"/>
      <w:r>
        <w:rPr>
          <w:rFonts w:hint="eastAsia" w:ascii="宋体" w:hAnsi="宋体" w:cs="宋体"/>
          <w:kern w:val="0"/>
          <w:szCs w:val="21"/>
          <w:lang w:val="zh-CN"/>
        </w:rPr>
        <w:t>（一）</w:t>
      </w:r>
      <w:r>
        <w:rPr>
          <w:rFonts w:hint="eastAsia" w:ascii="宋体" w:hAnsi="宋体" w:cs="宋体"/>
          <w:kern w:val="0"/>
          <w:szCs w:val="21"/>
        </w:rPr>
        <w:t>本协议适用中华人民共和国法律（为本协议之目的，在此不包括香港、澳门特别行政区和台湾地区法律），并从其解释。</w:t>
      </w:r>
    </w:p>
    <w:p>
      <w:pPr>
        <w:spacing w:line="360" w:lineRule="auto"/>
        <w:ind w:firstLine="420" w:firstLineChars="200"/>
        <w:rPr>
          <w:rFonts w:ascii="宋体" w:hAnsi="宋体" w:cs="宋体"/>
          <w:kern w:val="0"/>
          <w:szCs w:val="21"/>
        </w:rPr>
      </w:pPr>
      <w:r>
        <w:rPr>
          <w:rFonts w:hint="eastAsia" w:ascii="宋体" w:hAnsi="宋体" w:cs="宋体"/>
          <w:kern w:val="0"/>
          <w:szCs w:val="21"/>
        </w:rPr>
        <w:t>（二）双方当事人同意，因本协议而产生的或与本协议有关的一切争议，除经友好协商、调解可以解决的，应提交中国国际经济贸易仲裁委员会，根据该会届时有效的仲裁规则进行仲裁，仲裁地点为北京市，仲裁裁决是终局性的并对各方当事人具有约束力。除非仲裁裁决另有规定，仲裁费由败诉方承担。</w:t>
      </w:r>
    </w:p>
    <w:p>
      <w:pPr>
        <w:spacing w:line="360" w:lineRule="auto"/>
        <w:ind w:firstLine="420" w:firstLineChars="200"/>
        <w:rPr>
          <w:rFonts w:ascii="宋体" w:hAnsi="宋体" w:cs="宋体"/>
          <w:kern w:val="0"/>
          <w:szCs w:val="21"/>
        </w:rPr>
      </w:pPr>
      <w:r>
        <w:rPr>
          <w:rFonts w:hint="eastAsia" w:ascii="宋体" w:hAnsi="宋体" w:cs="宋体"/>
          <w:kern w:val="0"/>
          <w:szCs w:val="21"/>
        </w:rPr>
        <w:t>争议处理期间，双方当事人应恪守基金管理人和基金托管人职责，继续忠实、勤勉、尽责地履行《基金合同》和本托管协议规定的义务，维护基金份额持有人的合法权益。</w:t>
      </w:r>
    </w:p>
    <w:bookmarkEnd w:id="364"/>
    <w:p>
      <w:pPr>
        <w:spacing w:before="156" w:beforeLines="50" w:after="156" w:afterLines="50" w:line="360" w:lineRule="auto"/>
        <w:ind w:firstLine="422" w:firstLineChars="200"/>
        <w:jc w:val="left"/>
        <w:rPr>
          <w:rFonts w:ascii="宋体" w:hAnsi="宋体"/>
          <w:b/>
        </w:rPr>
      </w:pPr>
      <w:r>
        <w:rPr>
          <w:rFonts w:ascii="宋体" w:hAnsi="宋体"/>
          <w:b/>
        </w:rPr>
        <w:t>八、</w:t>
      </w:r>
      <w:r>
        <w:rPr>
          <w:rFonts w:hint="eastAsia" w:ascii="宋体" w:hAnsi="宋体"/>
          <w:b/>
        </w:rPr>
        <w:t>基金</w:t>
      </w:r>
      <w:r>
        <w:rPr>
          <w:rFonts w:ascii="宋体" w:hAnsi="宋体"/>
          <w:b/>
        </w:rPr>
        <w:t>托</w:t>
      </w:r>
      <w:r>
        <w:rPr>
          <w:rFonts w:hint="eastAsia" w:ascii="宋体" w:hAnsi="宋体"/>
          <w:b/>
        </w:rPr>
        <w:t>管协议的变更、终止与基金财产的清算</w:t>
      </w:r>
    </w:p>
    <w:bookmarkEnd w:id="323"/>
    <w:p>
      <w:pPr>
        <w:spacing w:line="360" w:lineRule="auto"/>
        <w:ind w:firstLine="420" w:firstLineChars="200"/>
        <w:rPr>
          <w:rFonts w:ascii="宋体" w:hAnsi="宋体" w:cs="宋体"/>
          <w:kern w:val="0"/>
          <w:szCs w:val="21"/>
        </w:rPr>
      </w:pPr>
      <w:r>
        <w:rPr>
          <w:rFonts w:hint="eastAsia" w:ascii="宋体" w:hAnsi="宋体" w:cs="宋体"/>
          <w:kern w:val="0"/>
          <w:szCs w:val="21"/>
        </w:rPr>
        <w:t>（一）托管协议的变更与终止</w:t>
      </w:r>
    </w:p>
    <w:p>
      <w:pPr>
        <w:spacing w:line="360" w:lineRule="auto"/>
        <w:ind w:firstLine="420" w:firstLineChars="200"/>
        <w:rPr>
          <w:rFonts w:ascii="宋体" w:hAnsi="宋体" w:cs="宋体"/>
          <w:kern w:val="0"/>
          <w:szCs w:val="21"/>
        </w:rPr>
      </w:pPr>
      <w:r>
        <w:rPr>
          <w:rFonts w:hint="eastAsia" w:ascii="宋体" w:hAnsi="宋体" w:cs="宋体"/>
          <w:kern w:val="0"/>
          <w:szCs w:val="21"/>
        </w:rPr>
        <w:t>1、托管协议的变更程序</w:t>
      </w:r>
    </w:p>
    <w:p>
      <w:pPr>
        <w:spacing w:line="360" w:lineRule="auto"/>
        <w:ind w:firstLine="420" w:firstLineChars="200"/>
        <w:rPr>
          <w:rFonts w:ascii="宋体" w:hAnsi="宋体" w:cs="宋体"/>
          <w:kern w:val="0"/>
          <w:szCs w:val="21"/>
        </w:rPr>
      </w:pPr>
      <w:r>
        <w:rPr>
          <w:rFonts w:hint="eastAsia" w:ascii="宋体" w:hAnsi="宋体" w:cs="宋体"/>
          <w:kern w:val="0"/>
          <w:szCs w:val="21"/>
        </w:rPr>
        <w:t>本协议双方当事人经书面协商一致，可以对协议的内容进行变更。变更后的托管协议，其内容不得与《基金合同》的规定有任何冲突。</w:t>
      </w:r>
    </w:p>
    <w:p>
      <w:pPr>
        <w:spacing w:line="360" w:lineRule="auto"/>
        <w:ind w:firstLine="420" w:firstLineChars="200"/>
        <w:rPr>
          <w:rFonts w:ascii="宋体" w:hAnsi="宋体" w:cs="宋体"/>
          <w:kern w:val="0"/>
          <w:szCs w:val="21"/>
        </w:rPr>
      </w:pPr>
      <w:r>
        <w:rPr>
          <w:rFonts w:hint="eastAsia" w:ascii="宋体" w:hAnsi="宋体" w:cs="宋体"/>
          <w:kern w:val="0"/>
          <w:szCs w:val="21"/>
        </w:rPr>
        <w:t>2、基金托管协议终止的情形</w:t>
      </w:r>
    </w:p>
    <w:p>
      <w:pPr>
        <w:spacing w:line="360" w:lineRule="auto"/>
        <w:ind w:firstLine="420" w:firstLineChars="200"/>
        <w:rPr>
          <w:rFonts w:ascii="宋体" w:hAnsi="宋体" w:cs="宋体"/>
          <w:kern w:val="0"/>
          <w:szCs w:val="21"/>
        </w:rPr>
      </w:pPr>
      <w:r>
        <w:rPr>
          <w:rFonts w:hint="eastAsia" w:ascii="宋体" w:hAnsi="宋体" w:cs="宋体"/>
          <w:kern w:val="0"/>
          <w:szCs w:val="21"/>
        </w:rPr>
        <w:t>发生以下情况，在履行相关程序后，本托管协议终止：</w:t>
      </w:r>
    </w:p>
    <w:p>
      <w:pPr>
        <w:spacing w:line="360" w:lineRule="auto"/>
        <w:ind w:firstLine="420" w:firstLineChars="200"/>
        <w:rPr>
          <w:rFonts w:ascii="宋体" w:hAnsi="宋体" w:cs="宋体"/>
          <w:kern w:val="0"/>
          <w:szCs w:val="21"/>
        </w:rPr>
      </w:pPr>
      <w:r>
        <w:rPr>
          <w:rFonts w:hint="eastAsia" w:ascii="宋体" w:hAnsi="宋体" w:cs="宋体"/>
          <w:kern w:val="0"/>
          <w:szCs w:val="21"/>
        </w:rPr>
        <w:t>（1）《基金合同》终止；</w:t>
      </w:r>
    </w:p>
    <w:p>
      <w:pPr>
        <w:spacing w:line="360" w:lineRule="auto"/>
        <w:ind w:firstLine="420" w:firstLineChars="200"/>
        <w:rPr>
          <w:rFonts w:ascii="宋体" w:hAnsi="宋体" w:cs="宋体"/>
          <w:kern w:val="0"/>
          <w:szCs w:val="21"/>
        </w:rPr>
      </w:pPr>
      <w:r>
        <w:rPr>
          <w:rFonts w:hint="eastAsia" w:ascii="宋体" w:hAnsi="宋体" w:cs="宋体"/>
          <w:kern w:val="0"/>
          <w:szCs w:val="21"/>
        </w:rPr>
        <w:t>（2）基金托管人解散、依法被撤销、破产或有其他基金托管人接管基金资产；</w:t>
      </w:r>
    </w:p>
    <w:p>
      <w:pPr>
        <w:spacing w:line="360" w:lineRule="auto"/>
        <w:ind w:firstLine="420" w:firstLineChars="200"/>
        <w:rPr>
          <w:rFonts w:ascii="宋体" w:hAnsi="宋体" w:cs="宋体"/>
          <w:kern w:val="0"/>
          <w:szCs w:val="21"/>
        </w:rPr>
      </w:pPr>
      <w:r>
        <w:rPr>
          <w:rFonts w:hint="eastAsia" w:ascii="宋体" w:hAnsi="宋体" w:cs="宋体"/>
          <w:kern w:val="0"/>
          <w:szCs w:val="21"/>
        </w:rPr>
        <w:t>（3）基金管理人解散、依法被撤销、破产或有其他基金管理人接管基金管理权；</w:t>
      </w:r>
    </w:p>
    <w:p>
      <w:pPr>
        <w:spacing w:line="360" w:lineRule="auto"/>
        <w:ind w:firstLine="420" w:firstLineChars="200"/>
        <w:rPr>
          <w:rFonts w:ascii="宋体" w:hAnsi="宋体" w:cs="宋体"/>
          <w:kern w:val="0"/>
          <w:szCs w:val="21"/>
        </w:rPr>
      </w:pPr>
      <w:r>
        <w:rPr>
          <w:rFonts w:hint="eastAsia" w:ascii="宋体" w:hAnsi="宋体" w:cs="宋体"/>
          <w:kern w:val="0"/>
          <w:szCs w:val="21"/>
        </w:rPr>
        <w:t>（4）发生法律法规或《基金合同》规定的终止事项。</w:t>
      </w:r>
    </w:p>
    <w:p>
      <w:pPr>
        <w:spacing w:line="360" w:lineRule="auto"/>
        <w:ind w:firstLine="420" w:firstLineChars="200"/>
        <w:rPr>
          <w:rFonts w:ascii="宋体" w:hAnsi="宋体" w:cs="宋体"/>
          <w:kern w:val="0"/>
          <w:szCs w:val="21"/>
        </w:rPr>
      </w:pPr>
      <w:r>
        <w:rPr>
          <w:rFonts w:hint="eastAsia" w:ascii="宋体" w:hAnsi="宋体" w:cs="宋体"/>
          <w:kern w:val="0"/>
          <w:szCs w:val="21"/>
        </w:rPr>
        <w:t>（二）基金财产的清算</w:t>
      </w:r>
    </w:p>
    <w:p>
      <w:pPr>
        <w:spacing w:line="360" w:lineRule="auto"/>
        <w:ind w:firstLine="420" w:firstLineChars="200"/>
      </w:pPr>
      <w:r>
        <w:rPr>
          <w:rFonts w:hint="eastAsia" w:ascii="宋体" w:hAnsi="宋体" w:cs="宋体"/>
          <w:kern w:val="0"/>
          <w:szCs w:val="21"/>
        </w:rPr>
        <w:t>基金管理人与基金托管人按照《基金合同》的约定处理基金财产的清算。</w:t>
      </w:r>
      <w:bookmarkEnd w:id="0"/>
      <w:bookmarkEnd w:id="1"/>
      <w:bookmarkEnd w:id="2"/>
      <w:bookmarkEnd w:id="3"/>
      <w:bookmarkStart w:id="365" w:name="_Toc435538201"/>
      <w:bookmarkEnd w:id="365"/>
      <w:bookmarkStart w:id="366" w:name="_Toc435537894"/>
      <w:bookmarkEnd w:id="366"/>
      <w:bookmarkStart w:id="367" w:name="_Toc436040501"/>
      <w:bookmarkEnd w:id="367"/>
      <w:bookmarkStart w:id="368" w:name="_Toc510201001"/>
      <w:bookmarkEnd w:id="368"/>
      <w:bookmarkStart w:id="369" w:name="_Toc435538034"/>
      <w:bookmarkEnd w:id="369"/>
      <w:bookmarkStart w:id="370" w:name="_Toc435537850"/>
      <w:bookmarkEnd w:id="370"/>
      <w:bookmarkStart w:id="371" w:name="_Toc435716465"/>
      <w:bookmarkEnd w:id="371"/>
    </w:p>
    <w:sectPr>
      <w:footerReference r:id="rId16" w:type="first"/>
      <w:headerReference r:id="rId14" w:type="default"/>
      <w:footerReference r:id="rId15" w:type="default"/>
      <w:pgSz w:w="11907" w:h="16839"/>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fldChar w:fldCharType="begin"/>
    </w:r>
    <w:r>
      <w:rPr>
        <w:rStyle w:val="37"/>
      </w:rPr>
      <w:instrText xml:space="preserve">PAGE  </w:instrText>
    </w:r>
    <w:r>
      <w:fldChar w:fldCharType="end"/>
    </w:r>
  </w:p>
  <w:p>
    <w:r>
      <w:rPr>
        <w:rFonts w:hint="eastAsia" w:ascii="宋体" w:hAnsi="宋体"/>
      </w:rPr>
      <w:t>.基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fldChar w:fldCharType="begin"/>
    </w:r>
    <w:r>
      <w:rPr>
        <w:rStyle w:val="37"/>
      </w:rPr>
      <w:instrText xml:space="preserve">PAGE  </w:instrText>
    </w:r>
    <w: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94</w:t>
    </w:r>
    <w:r>
      <w:rPr>
        <w:lang w:val="zh-CN"/>
      </w:rP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129</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spacing w:line="360" w:lineRule="auto"/>
      <w:ind w:firstLine="420" w:firstLineChars="200"/>
      <w:jc w:val="center"/>
    </w:pPr>
  </w:p>
  <w:p>
    <w:r>
      <w:rPr>
        <w:rFonts w:hint="eastAsia" w:ascii="宋体" w:hAnsi="宋体"/>
      </w:rPr>
      <w:t>生以</w:t>
    </w:r>
  </w:p>
  <w:p/>
  <w:p>
    <w:r>
      <w:rPr>
        <w:rFonts w:hint="eastAsia" w:ascii="宋体" w:hAnsi="宋体"/>
      </w:rPr>
      <w:t>下情况</w:t>
    </w:r>
  </w:p>
  <w:p/>
  <w:p/>
  <w:p/>
  <w:p>
    <w:r>
      <w:rPr>
        <w:rFonts w:hint="eastAsia" w:ascii="宋体" w:hAnsi="宋体"/>
      </w:rPr>
      <w:t>，本托</w:t>
    </w:r>
  </w:p>
  <w:p/>
  <w:p>
    <w:r>
      <w:rPr>
        <w:rFonts w:hint="eastAsia" w:ascii="宋体" w:hAnsi="宋体"/>
      </w:rPr>
      <w:t>管协议</w:t>
    </w:r>
  </w:p>
  <w:p/>
  <w:p/>
  <w:p/>
  <w:p/>
  <w:p/>
  <w:p>
    <w:pPr>
      <w:adjustRightInd w:val="0"/>
      <w:snapToGrid w:val="0"/>
      <w:spacing w:line="360" w:lineRule="auto"/>
      <w:ind w:firstLine="420" w:firstLineChars="200"/>
      <w:rPr>
        <w:rFonts w:ascii="宋体" w:hAnsi="宋体"/>
      </w:rPr>
    </w:pPr>
    <w:r>
      <w:rPr>
        <w:rFonts w:hint="eastAsia" w:ascii="宋体" w:hAnsi="宋体"/>
      </w:rPr>
      <w:t>终止：</w:t>
    </w:r>
  </w:p>
  <w:p>
    <w:pPr>
      <w:adjustRightInd w:val="0"/>
      <w:snapToGrid w:val="0"/>
      <w:spacing w:line="360" w:lineRule="auto"/>
      <w:ind w:firstLine="420" w:firstLineChars="200"/>
      <w:rPr>
        <w:rFonts w:ascii="宋体" w:hAnsi="宋体"/>
      </w:rPr>
    </w:pPr>
    <w:r>
      <w:rPr>
        <w:rFonts w:hint="eastAsia" w:ascii="宋体" w:hAnsi="宋体"/>
      </w:rPr>
      <w:t>1.基金合同终止；</w:t>
    </w:r>
  </w:p>
  <w:p>
    <w:pPr>
      <w:adjustRightInd w:val="0"/>
      <w:snapToGrid w:val="0"/>
      <w:spacing w:line="360" w:lineRule="auto"/>
      <w:ind w:firstLine="420" w:firstLineChars="200"/>
      <w:rPr>
        <w:rFonts w:ascii="宋体" w:hAnsi="宋体"/>
      </w:rPr>
    </w:pPr>
    <w:r>
      <w:rPr>
        <w:rFonts w:hint="eastAsia" w:ascii="宋体" w:hAnsi="宋体"/>
      </w:rPr>
      <w:t>2.基金托管人解散、依法被撤销、破产或由其他基金托管人接管基金资产；</w:t>
    </w:r>
  </w:p>
  <w:p>
    <w:r>
      <w:rPr>
        <w:rFonts w:hint="eastAsia" w:ascii="宋体" w:hAnsi="宋体"/>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color w:val="FFFFFF"/>
      </w:rPr>
    </w:pPr>
    <w:r>
      <w:rPr>
        <w:rFonts w:hint="eastAsia"/>
        <w:b/>
        <w:color w:val="FFFFFF"/>
      </w:rPr>
      <w:t>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工银瑞信新能源先锋混合型发起式证券投资基金</w:t>
    </w:r>
    <w:r>
      <w:t xml:space="preserve">                                   </w:t>
    </w:r>
    <w:r>
      <w:rPr>
        <w:rFonts w:hint="eastAsia"/>
        <w:lang w:val="en-US" w:eastAsia="zh-CN"/>
      </w:rPr>
      <w:t xml:space="preserve">     </w:t>
    </w:r>
    <w:r>
      <w:rPr>
        <w:rFonts w:hint="eastAsia"/>
      </w:rPr>
      <w:t>招募说明书</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期债</w:t>
    </w: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工银瑞信新能源先锋混合型</w:t>
    </w:r>
    <w:r>
      <w:rPr>
        <w:rFonts w:hint="eastAsia"/>
        <w:lang w:val="en-US" w:eastAsia="zh-CN"/>
      </w:rPr>
      <w:t>发起式</w:t>
    </w:r>
    <w:r>
      <w:rPr>
        <w:rFonts w:hint="eastAsia"/>
      </w:rPr>
      <w:t>证券投资基金</w:t>
    </w:r>
    <w:r>
      <w:rPr>
        <w:rFonts w:hint="eastAsia"/>
        <w:lang w:val="en-US" w:eastAsia="zh-CN"/>
      </w:rPr>
      <w:t xml:space="preserve">                                                        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chineseCountingThousand"/>
      <w:pStyle w:val="97"/>
      <w:lvlText w:val="%1、"/>
      <w:lvlJc w:val="left"/>
      <w:pPr>
        <w:ind w:left="425" w:hanging="425"/>
      </w:pPr>
      <w:rPr>
        <w:sz w:val="21"/>
        <w:szCs w:val="21"/>
      </w:rPr>
    </w:lvl>
    <w:lvl w:ilvl="1" w:tentative="0">
      <w:start w:val="1"/>
      <w:numFmt w:val="chineseCountingThousand"/>
      <w:pStyle w:val="98"/>
      <w:lvlText w:val="(%2)"/>
      <w:lvlJc w:val="left"/>
      <w:pPr>
        <w:ind w:left="454" w:hanging="454"/>
      </w:pPr>
      <w:rPr>
        <w:sz w:val="21"/>
      </w:rPr>
    </w:lvl>
    <w:lvl w:ilvl="2" w:tentative="0">
      <w:start w:val="1"/>
      <w:numFmt w:val="decimal"/>
      <w:suff w:val="space"/>
      <w:lvlText w:val="%1.%2.%3"/>
      <w:lvlJc w:val="left"/>
      <w:pPr>
        <w:ind w:left="1050" w:hanging="624"/>
      </w:pPr>
      <w:rPr>
        <w:sz w:val="24"/>
        <w:szCs w:val="24"/>
      </w:rPr>
    </w:lvl>
    <w:lvl w:ilvl="3" w:tentative="0">
      <w:start w:val="1"/>
      <w:numFmt w:val="decimal"/>
      <w:suff w:val="space"/>
      <w:lvlText w:val="%1.%2.%3.%4"/>
      <w:lvlJc w:val="left"/>
      <w:pPr>
        <w:ind w:left="794" w:hanging="794"/>
      </w:pPr>
    </w:lvl>
    <w:lvl w:ilvl="4" w:tentative="0">
      <w:start w:val="1"/>
      <w:numFmt w:val="decimal"/>
      <w:suff w:val="space"/>
      <w:lvlText w:val="%1.%2.%3.%4.%5"/>
      <w:lvlJc w:val="left"/>
      <w:pPr>
        <w:ind w:left="1021" w:hanging="1021"/>
      </w:pPr>
    </w:lvl>
    <w:lvl w:ilvl="5" w:tentative="0">
      <w:start w:val="1"/>
      <w:numFmt w:val="decimal"/>
      <w:suff w:val="space"/>
      <w:lvlText w:val="%1.%2.%3.%4.%5.%6"/>
      <w:lvlJc w:val="left"/>
      <w:pPr>
        <w:ind w:left="1021" w:hanging="1021"/>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NDU3MWY0YWY5OTA0OTBkN2FmZmM5ZjJiYTk5ZTQifQ=="/>
  </w:docVars>
  <w:rsids>
    <w:rsidRoot w:val="00172A27"/>
    <w:rsid w:val="00001397"/>
    <w:rsid w:val="000015E7"/>
    <w:rsid w:val="0000294C"/>
    <w:rsid w:val="000041DD"/>
    <w:rsid w:val="00004336"/>
    <w:rsid w:val="0000460B"/>
    <w:rsid w:val="00004DEE"/>
    <w:rsid w:val="000053C6"/>
    <w:rsid w:val="000074A0"/>
    <w:rsid w:val="00007D5F"/>
    <w:rsid w:val="00007E89"/>
    <w:rsid w:val="00011293"/>
    <w:rsid w:val="00012150"/>
    <w:rsid w:val="000129D6"/>
    <w:rsid w:val="000134E7"/>
    <w:rsid w:val="00017E7B"/>
    <w:rsid w:val="0002070F"/>
    <w:rsid w:val="00021894"/>
    <w:rsid w:val="00022C30"/>
    <w:rsid w:val="0002309B"/>
    <w:rsid w:val="0002422A"/>
    <w:rsid w:val="000243BE"/>
    <w:rsid w:val="00024EEB"/>
    <w:rsid w:val="000269AC"/>
    <w:rsid w:val="00026A78"/>
    <w:rsid w:val="00027021"/>
    <w:rsid w:val="000279A5"/>
    <w:rsid w:val="000304AA"/>
    <w:rsid w:val="00031F45"/>
    <w:rsid w:val="00031FAD"/>
    <w:rsid w:val="00032560"/>
    <w:rsid w:val="0003395A"/>
    <w:rsid w:val="00036299"/>
    <w:rsid w:val="00036499"/>
    <w:rsid w:val="00042F89"/>
    <w:rsid w:val="000438D4"/>
    <w:rsid w:val="00044BEA"/>
    <w:rsid w:val="00045921"/>
    <w:rsid w:val="00047365"/>
    <w:rsid w:val="00047E03"/>
    <w:rsid w:val="0005004F"/>
    <w:rsid w:val="00053B60"/>
    <w:rsid w:val="0005447A"/>
    <w:rsid w:val="000552D6"/>
    <w:rsid w:val="000561B5"/>
    <w:rsid w:val="0005653B"/>
    <w:rsid w:val="0006023F"/>
    <w:rsid w:val="000617F4"/>
    <w:rsid w:val="00061D10"/>
    <w:rsid w:val="00063C33"/>
    <w:rsid w:val="00065984"/>
    <w:rsid w:val="00066188"/>
    <w:rsid w:val="00066F5D"/>
    <w:rsid w:val="00067234"/>
    <w:rsid w:val="0007029C"/>
    <w:rsid w:val="0007084B"/>
    <w:rsid w:val="0007165F"/>
    <w:rsid w:val="000721E6"/>
    <w:rsid w:val="00072492"/>
    <w:rsid w:val="00073591"/>
    <w:rsid w:val="00076514"/>
    <w:rsid w:val="00076C15"/>
    <w:rsid w:val="00077B2B"/>
    <w:rsid w:val="000809E3"/>
    <w:rsid w:val="00081325"/>
    <w:rsid w:val="000815D3"/>
    <w:rsid w:val="00085F07"/>
    <w:rsid w:val="00086233"/>
    <w:rsid w:val="00086381"/>
    <w:rsid w:val="00086CC3"/>
    <w:rsid w:val="00087D53"/>
    <w:rsid w:val="00091845"/>
    <w:rsid w:val="00091EF2"/>
    <w:rsid w:val="0009217A"/>
    <w:rsid w:val="000921E9"/>
    <w:rsid w:val="00093811"/>
    <w:rsid w:val="00093E60"/>
    <w:rsid w:val="00097C91"/>
    <w:rsid w:val="000A0704"/>
    <w:rsid w:val="000A086C"/>
    <w:rsid w:val="000A1779"/>
    <w:rsid w:val="000A1C86"/>
    <w:rsid w:val="000A1F05"/>
    <w:rsid w:val="000A1F44"/>
    <w:rsid w:val="000A202A"/>
    <w:rsid w:val="000A4381"/>
    <w:rsid w:val="000A45F3"/>
    <w:rsid w:val="000A4E9F"/>
    <w:rsid w:val="000A578C"/>
    <w:rsid w:val="000A6584"/>
    <w:rsid w:val="000A6F5C"/>
    <w:rsid w:val="000A7786"/>
    <w:rsid w:val="000A7CE6"/>
    <w:rsid w:val="000B1340"/>
    <w:rsid w:val="000B1DA5"/>
    <w:rsid w:val="000B22FD"/>
    <w:rsid w:val="000B2333"/>
    <w:rsid w:val="000B4064"/>
    <w:rsid w:val="000B44DC"/>
    <w:rsid w:val="000B469D"/>
    <w:rsid w:val="000B4DE8"/>
    <w:rsid w:val="000B5875"/>
    <w:rsid w:val="000B67F1"/>
    <w:rsid w:val="000B6902"/>
    <w:rsid w:val="000B6C75"/>
    <w:rsid w:val="000C1EC3"/>
    <w:rsid w:val="000C2636"/>
    <w:rsid w:val="000C2A2D"/>
    <w:rsid w:val="000C2B3C"/>
    <w:rsid w:val="000C458C"/>
    <w:rsid w:val="000C4ABA"/>
    <w:rsid w:val="000C508C"/>
    <w:rsid w:val="000C5AD5"/>
    <w:rsid w:val="000C667C"/>
    <w:rsid w:val="000C7BC1"/>
    <w:rsid w:val="000C7CEF"/>
    <w:rsid w:val="000C7DD8"/>
    <w:rsid w:val="000D0479"/>
    <w:rsid w:val="000D12E0"/>
    <w:rsid w:val="000D1A89"/>
    <w:rsid w:val="000D1F6F"/>
    <w:rsid w:val="000D29C6"/>
    <w:rsid w:val="000D3DF6"/>
    <w:rsid w:val="000D5380"/>
    <w:rsid w:val="000D594A"/>
    <w:rsid w:val="000D70F6"/>
    <w:rsid w:val="000E00BB"/>
    <w:rsid w:val="000E105D"/>
    <w:rsid w:val="000E12D1"/>
    <w:rsid w:val="000E133B"/>
    <w:rsid w:val="000E163B"/>
    <w:rsid w:val="000E1D7A"/>
    <w:rsid w:val="000E22FD"/>
    <w:rsid w:val="000E319D"/>
    <w:rsid w:val="000E4331"/>
    <w:rsid w:val="000E5AD9"/>
    <w:rsid w:val="000E610C"/>
    <w:rsid w:val="000E7026"/>
    <w:rsid w:val="000E70E8"/>
    <w:rsid w:val="000F0099"/>
    <w:rsid w:val="000F27F9"/>
    <w:rsid w:val="000F2A5F"/>
    <w:rsid w:val="000F3220"/>
    <w:rsid w:val="000F54A7"/>
    <w:rsid w:val="000F6437"/>
    <w:rsid w:val="000F7A93"/>
    <w:rsid w:val="000F7F3B"/>
    <w:rsid w:val="001000B9"/>
    <w:rsid w:val="001010CC"/>
    <w:rsid w:val="00103C18"/>
    <w:rsid w:val="00110BD9"/>
    <w:rsid w:val="00112B15"/>
    <w:rsid w:val="00112CE0"/>
    <w:rsid w:val="00113252"/>
    <w:rsid w:val="001135A8"/>
    <w:rsid w:val="001151A1"/>
    <w:rsid w:val="0011530C"/>
    <w:rsid w:val="001168E5"/>
    <w:rsid w:val="00117854"/>
    <w:rsid w:val="00117DAB"/>
    <w:rsid w:val="00117DC1"/>
    <w:rsid w:val="00120E13"/>
    <w:rsid w:val="001211B6"/>
    <w:rsid w:val="0012238F"/>
    <w:rsid w:val="00122AB5"/>
    <w:rsid w:val="001232F9"/>
    <w:rsid w:val="001249E6"/>
    <w:rsid w:val="0012505A"/>
    <w:rsid w:val="001254BC"/>
    <w:rsid w:val="00125D83"/>
    <w:rsid w:val="00130366"/>
    <w:rsid w:val="00130CAD"/>
    <w:rsid w:val="00132830"/>
    <w:rsid w:val="00133CAF"/>
    <w:rsid w:val="00133CD0"/>
    <w:rsid w:val="001357E3"/>
    <w:rsid w:val="00135DC6"/>
    <w:rsid w:val="001368A1"/>
    <w:rsid w:val="00137214"/>
    <w:rsid w:val="001376C9"/>
    <w:rsid w:val="00140F88"/>
    <w:rsid w:val="00141B80"/>
    <w:rsid w:val="00141EE4"/>
    <w:rsid w:val="00143019"/>
    <w:rsid w:val="00144C78"/>
    <w:rsid w:val="001524A1"/>
    <w:rsid w:val="00152CFC"/>
    <w:rsid w:val="001536E0"/>
    <w:rsid w:val="00155C1D"/>
    <w:rsid w:val="0015677A"/>
    <w:rsid w:val="001568BB"/>
    <w:rsid w:val="0015746C"/>
    <w:rsid w:val="00160E76"/>
    <w:rsid w:val="0016160E"/>
    <w:rsid w:val="00161771"/>
    <w:rsid w:val="001621F6"/>
    <w:rsid w:val="00162841"/>
    <w:rsid w:val="00163F50"/>
    <w:rsid w:val="001651F3"/>
    <w:rsid w:val="00165434"/>
    <w:rsid w:val="001654AF"/>
    <w:rsid w:val="00166959"/>
    <w:rsid w:val="00170F0A"/>
    <w:rsid w:val="001712EA"/>
    <w:rsid w:val="001719D4"/>
    <w:rsid w:val="00171AE1"/>
    <w:rsid w:val="00172A27"/>
    <w:rsid w:val="00173CAA"/>
    <w:rsid w:val="00175FBF"/>
    <w:rsid w:val="001777FA"/>
    <w:rsid w:val="00177CF6"/>
    <w:rsid w:val="00180D3A"/>
    <w:rsid w:val="00181296"/>
    <w:rsid w:val="00181DE3"/>
    <w:rsid w:val="001820D6"/>
    <w:rsid w:val="00183649"/>
    <w:rsid w:val="0018385D"/>
    <w:rsid w:val="00183932"/>
    <w:rsid w:val="00184D21"/>
    <w:rsid w:val="00185A62"/>
    <w:rsid w:val="0018631F"/>
    <w:rsid w:val="001871EC"/>
    <w:rsid w:val="001876A1"/>
    <w:rsid w:val="00187B75"/>
    <w:rsid w:val="001903E4"/>
    <w:rsid w:val="00192716"/>
    <w:rsid w:val="001939A2"/>
    <w:rsid w:val="00195AE9"/>
    <w:rsid w:val="001A0000"/>
    <w:rsid w:val="001A0A11"/>
    <w:rsid w:val="001A0E42"/>
    <w:rsid w:val="001A2130"/>
    <w:rsid w:val="001A2424"/>
    <w:rsid w:val="001A26F7"/>
    <w:rsid w:val="001A3C95"/>
    <w:rsid w:val="001A521E"/>
    <w:rsid w:val="001A69CF"/>
    <w:rsid w:val="001B0590"/>
    <w:rsid w:val="001B0F36"/>
    <w:rsid w:val="001B11EF"/>
    <w:rsid w:val="001B133A"/>
    <w:rsid w:val="001B2A1A"/>
    <w:rsid w:val="001B2CF5"/>
    <w:rsid w:val="001B3CEE"/>
    <w:rsid w:val="001B725D"/>
    <w:rsid w:val="001C0033"/>
    <w:rsid w:val="001C0726"/>
    <w:rsid w:val="001C1588"/>
    <w:rsid w:val="001C17E9"/>
    <w:rsid w:val="001C2309"/>
    <w:rsid w:val="001C2828"/>
    <w:rsid w:val="001C33C9"/>
    <w:rsid w:val="001C3B64"/>
    <w:rsid w:val="001C3C9C"/>
    <w:rsid w:val="001C403B"/>
    <w:rsid w:val="001C4BF8"/>
    <w:rsid w:val="001C57D6"/>
    <w:rsid w:val="001C584C"/>
    <w:rsid w:val="001C5E56"/>
    <w:rsid w:val="001C6099"/>
    <w:rsid w:val="001C679F"/>
    <w:rsid w:val="001C7556"/>
    <w:rsid w:val="001D061A"/>
    <w:rsid w:val="001D07A5"/>
    <w:rsid w:val="001D279E"/>
    <w:rsid w:val="001D76AF"/>
    <w:rsid w:val="001E0742"/>
    <w:rsid w:val="001E0D2D"/>
    <w:rsid w:val="001E1424"/>
    <w:rsid w:val="001E4C36"/>
    <w:rsid w:val="001E5AFF"/>
    <w:rsid w:val="001E5FF1"/>
    <w:rsid w:val="001E6BB2"/>
    <w:rsid w:val="001E756B"/>
    <w:rsid w:val="001F02A9"/>
    <w:rsid w:val="001F129F"/>
    <w:rsid w:val="001F2051"/>
    <w:rsid w:val="001F2D7C"/>
    <w:rsid w:val="001F504E"/>
    <w:rsid w:val="001F552B"/>
    <w:rsid w:val="001F56A9"/>
    <w:rsid w:val="001F6DA8"/>
    <w:rsid w:val="002006D3"/>
    <w:rsid w:val="002011E0"/>
    <w:rsid w:val="00202941"/>
    <w:rsid w:val="002051EA"/>
    <w:rsid w:val="00205CB8"/>
    <w:rsid w:val="00205D63"/>
    <w:rsid w:val="00206F3F"/>
    <w:rsid w:val="00207ED8"/>
    <w:rsid w:val="00210295"/>
    <w:rsid w:val="00211184"/>
    <w:rsid w:val="00211971"/>
    <w:rsid w:val="0021225B"/>
    <w:rsid w:val="002127A0"/>
    <w:rsid w:val="002134BB"/>
    <w:rsid w:val="00213AE4"/>
    <w:rsid w:val="00213AF3"/>
    <w:rsid w:val="002140D9"/>
    <w:rsid w:val="00214117"/>
    <w:rsid w:val="00214D09"/>
    <w:rsid w:val="00216B11"/>
    <w:rsid w:val="002173CE"/>
    <w:rsid w:val="00217A7D"/>
    <w:rsid w:val="00217A90"/>
    <w:rsid w:val="00220C10"/>
    <w:rsid w:val="0022102C"/>
    <w:rsid w:val="00221FD3"/>
    <w:rsid w:val="00222EF7"/>
    <w:rsid w:val="002231A8"/>
    <w:rsid w:val="002248F4"/>
    <w:rsid w:val="00225C52"/>
    <w:rsid w:val="0022740E"/>
    <w:rsid w:val="002274C1"/>
    <w:rsid w:val="00232041"/>
    <w:rsid w:val="00232C11"/>
    <w:rsid w:val="00234434"/>
    <w:rsid w:val="002347B6"/>
    <w:rsid w:val="00237A26"/>
    <w:rsid w:val="0024146E"/>
    <w:rsid w:val="00242280"/>
    <w:rsid w:val="00242403"/>
    <w:rsid w:val="00244C43"/>
    <w:rsid w:val="00245D8F"/>
    <w:rsid w:val="00246134"/>
    <w:rsid w:val="0024739F"/>
    <w:rsid w:val="002507C8"/>
    <w:rsid w:val="002519ED"/>
    <w:rsid w:val="002525A6"/>
    <w:rsid w:val="002542E1"/>
    <w:rsid w:val="00255E2F"/>
    <w:rsid w:val="00255F44"/>
    <w:rsid w:val="0025671F"/>
    <w:rsid w:val="00257E54"/>
    <w:rsid w:val="0026060F"/>
    <w:rsid w:val="00260FF1"/>
    <w:rsid w:val="002616C0"/>
    <w:rsid w:val="00261D03"/>
    <w:rsid w:val="00262A40"/>
    <w:rsid w:val="00263601"/>
    <w:rsid w:val="00264163"/>
    <w:rsid w:val="00265858"/>
    <w:rsid w:val="00265AC7"/>
    <w:rsid w:val="00267499"/>
    <w:rsid w:val="002677CE"/>
    <w:rsid w:val="002703F7"/>
    <w:rsid w:val="00271A2D"/>
    <w:rsid w:val="00272624"/>
    <w:rsid w:val="00272EF9"/>
    <w:rsid w:val="00274A8A"/>
    <w:rsid w:val="00274E16"/>
    <w:rsid w:val="002756DF"/>
    <w:rsid w:val="00275E11"/>
    <w:rsid w:val="0027612F"/>
    <w:rsid w:val="00276826"/>
    <w:rsid w:val="00276A2D"/>
    <w:rsid w:val="00276AD0"/>
    <w:rsid w:val="00277938"/>
    <w:rsid w:val="002827A5"/>
    <w:rsid w:val="0028284D"/>
    <w:rsid w:val="00283EDD"/>
    <w:rsid w:val="0028445F"/>
    <w:rsid w:val="00284C79"/>
    <w:rsid w:val="00286940"/>
    <w:rsid w:val="00286AB3"/>
    <w:rsid w:val="0028709A"/>
    <w:rsid w:val="00287158"/>
    <w:rsid w:val="002872FA"/>
    <w:rsid w:val="00287481"/>
    <w:rsid w:val="0028790F"/>
    <w:rsid w:val="002907D5"/>
    <w:rsid w:val="00290D6D"/>
    <w:rsid w:val="00291129"/>
    <w:rsid w:val="00293A2B"/>
    <w:rsid w:val="0029403C"/>
    <w:rsid w:val="0029493B"/>
    <w:rsid w:val="002953A1"/>
    <w:rsid w:val="0029590B"/>
    <w:rsid w:val="002967E8"/>
    <w:rsid w:val="002A0F66"/>
    <w:rsid w:val="002A164D"/>
    <w:rsid w:val="002A2239"/>
    <w:rsid w:val="002A2DFB"/>
    <w:rsid w:val="002A2FC2"/>
    <w:rsid w:val="002A35BF"/>
    <w:rsid w:val="002A4624"/>
    <w:rsid w:val="002A6335"/>
    <w:rsid w:val="002A6B10"/>
    <w:rsid w:val="002B1195"/>
    <w:rsid w:val="002B14F4"/>
    <w:rsid w:val="002B1868"/>
    <w:rsid w:val="002B28A4"/>
    <w:rsid w:val="002B2CA7"/>
    <w:rsid w:val="002B3970"/>
    <w:rsid w:val="002B4889"/>
    <w:rsid w:val="002B7E5D"/>
    <w:rsid w:val="002C0A64"/>
    <w:rsid w:val="002C1263"/>
    <w:rsid w:val="002C4E51"/>
    <w:rsid w:val="002C5B20"/>
    <w:rsid w:val="002C61DC"/>
    <w:rsid w:val="002C6834"/>
    <w:rsid w:val="002C69F5"/>
    <w:rsid w:val="002C752C"/>
    <w:rsid w:val="002C7B21"/>
    <w:rsid w:val="002C7C2E"/>
    <w:rsid w:val="002D015F"/>
    <w:rsid w:val="002D0D0E"/>
    <w:rsid w:val="002D0DEF"/>
    <w:rsid w:val="002D2980"/>
    <w:rsid w:val="002D3985"/>
    <w:rsid w:val="002D4E14"/>
    <w:rsid w:val="002D5500"/>
    <w:rsid w:val="002D5811"/>
    <w:rsid w:val="002D5868"/>
    <w:rsid w:val="002D5FBB"/>
    <w:rsid w:val="002E12F7"/>
    <w:rsid w:val="002E131D"/>
    <w:rsid w:val="002E4A85"/>
    <w:rsid w:val="002E56CF"/>
    <w:rsid w:val="002E6135"/>
    <w:rsid w:val="002E636D"/>
    <w:rsid w:val="002E704B"/>
    <w:rsid w:val="002E7C9D"/>
    <w:rsid w:val="002E7D8F"/>
    <w:rsid w:val="002F1BF9"/>
    <w:rsid w:val="002F2B27"/>
    <w:rsid w:val="002F2C78"/>
    <w:rsid w:val="002F2D07"/>
    <w:rsid w:val="002F4472"/>
    <w:rsid w:val="002F52F9"/>
    <w:rsid w:val="002F75A7"/>
    <w:rsid w:val="00300E72"/>
    <w:rsid w:val="00303977"/>
    <w:rsid w:val="003055D5"/>
    <w:rsid w:val="0030622C"/>
    <w:rsid w:val="003068FF"/>
    <w:rsid w:val="003074D6"/>
    <w:rsid w:val="0031184F"/>
    <w:rsid w:val="00311EF7"/>
    <w:rsid w:val="00312458"/>
    <w:rsid w:val="0031326C"/>
    <w:rsid w:val="003172AF"/>
    <w:rsid w:val="00317CB5"/>
    <w:rsid w:val="00317D77"/>
    <w:rsid w:val="00323790"/>
    <w:rsid w:val="00323D1E"/>
    <w:rsid w:val="00323D35"/>
    <w:rsid w:val="00324740"/>
    <w:rsid w:val="003247DB"/>
    <w:rsid w:val="00325458"/>
    <w:rsid w:val="00325569"/>
    <w:rsid w:val="00326EAE"/>
    <w:rsid w:val="0033056F"/>
    <w:rsid w:val="00331246"/>
    <w:rsid w:val="003316C1"/>
    <w:rsid w:val="00332829"/>
    <w:rsid w:val="00332D30"/>
    <w:rsid w:val="003335DF"/>
    <w:rsid w:val="00333F95"/>
    <w:rsid w:val="00334CB8"/>
    <w:rsid w:val="003351A4"/>
    <w:rsid w:val="0033536A"/>
    <w:rsid w:val="00335D5A"/>
    <w:rsid w:val="00337C81"/>
    <w:rsid w:val="00340798"/>
    <w:rsid w:val="00342134"/>
    <w:rsid w:val="003427A3"/>
    <w:rsid w:val="003428B2"/>
    <w:rsid w:val="00343A1D"/>
    <w:rsid w:val="00343E8D"/>
    <w:rsid w:val="003458CE"/>
    <w:rsid w:val="00345BA8"/>
    <w:rsid w:val="00346ABA"/>
    <w:rsid w:val="003522FC"/>
    <w:rsid w:val="003524D2"/>
    <w:rsid w:val="003527F4"/>
    <w:rsid w:val="00353B02"/>
    <w:rsid w:val="00353D9F"/>
    <w:rsid w:val="00354D41"/>
    <w:rsid w:val="003550EE"/>
    <w:rsid w:val="00356C01"/>
    <w:rsid w:val="00360324"/>
    <w:rsid w:val="003620F8"/>
    <w:rsid w:val="00365209"/>
    <w:rsid w:val="00365590"/>
    <w:rsid w:val="0036577B"/>
    <w:rsid w:val="003666E6"/>
    <w:rsid w:val="003669A7"/>
    <w:rsid w:val="00366E28"/>
    <w:rsid w:val="00367DF4"/>
    <w:rsid w:val="00370B30"/>
    <w:rsid w:val="00371DCA"/>
    <w:rsid w:val="00372383"/>
    <w:rsid w:val="00375532"/>
    <w:rsid w:val="003766CC"/>
    <w:rsid w:val="003770CB"/>
    <w:rsid w:val="00380239"/>
    <w:rsid w:val="00380F9F"/>
    <w:rsid w:val="0038113B"/>
    <w:rsid w:val="00381FF3"/>
    <w:rsid w:val="00382323"/>
    <w:rsid w:val="00382407"/>
    <w:rsid w:val="003846D3"/>
    <w:rsid w:val="00390D88"/>
    <w:rsid w:val="003947F4"/>
    <w:rsid w:val="003949AE"/>
    <w:rsid w:val="003957EB"/>
    <w:rsid w:val="00395D2C"/>
    <w:rsid w:val="003973C4"/>
    <w:rsid w:val="003979D8"/>
    <w:rsid w:val="003A03D7"/>
    <w:rsid w:val="003A29CB"/>
    <w:rsid w:val="003A2D69"/>
    <w:rsid w:val="003A364A"/>
    <w:rsid w:val="003A45E8"/>
    <w:rsid w:val="003A4C4C"/>
    <w:rsid w:val="003A4CBC"/>
    <w:rsid w:val="003A4EAB"/>
    <w:rsid w:val="003A7386"/>
    <w:rsid w:val="003A789D"/>
    <w:rsid w:val="003A7E1C"/>
    <w:rsid w:val="003B08DE"/>
    <w:rsid w:val="003B114F"/>
    <w:rsid w:val="003B174F"/>
    <w:rsid w:val="003B3257"/>
    <w:rsid w:val="003B3E59"/>
    <w:rsid w:val="003B40F3"/>
    <w:rsid w:val="003B468F"/>
    <w:rsid w:val="003B4859"/>
    <w:rsid w:val="003B4DF4"/>
    <w:rsid w:val="003B5923"/>
    <w:rsid w:val="003B640F"/>
    <w:rsid w:val="003B642F"/>
    <w:rsid w:val="003B6D71"/>
    <w:rsid w:val="003B7A11"/>
    <w:rsid w:val="003C070B"/>
    <w:rsid w:val="003C20E1"/>
    <w:rsid w:val="003C226C"/>
    <w:rsid w:val="003C2680"/>
    <w:rsid w:val="003C384A"/>
    <w:rsid w:val="003C5125"/>
    <w:rsid w:val="003C597B"/>
    <w:rsid w:val="003C6715"/>
    <w:rsid w:val="003C7DF4"/>
    <w:rsid w:val="003D168B"/>
    <w:rsid w:val="003D29F4"/>
    <w:rsid w:val="003D2DD2"/>
    <w:rsid w:val="003D3A52"/>
    <w:rsid w:val="003D5F8B"/>
    <w:rsid w:val="003D6FAD"/>
    <w:rsid w:val="003D70CE"/>
    <w:rsid w:val="003E0E58"/>
    <w:rsid w:val="003E1934"/>
    <w:rsid w:val="003E3A0C"/>
    <w:rsid w:val="003E4337"/>
    <w:rsid w:val="003E4C7E"/>
    <w:rsid w:val="003E67CD"/>
    <w:rsid w:val="003E7919"/>
    <w:rsid w:val="003F0377"/>
    <w:rsid w:val="003F0D61"/>
    <w:rsid w:val="003F1141"/>
    <w:rsid w:val="003F2416"/>
    <w:rsid w:val="003F541B"/>
    <w:rsid w:val="003F5CD7"/>
    <w:rsid w:val="003F6522"/>
    <w:rsid w:val="004008A6"/>
    <w:rsid w:val="004032FB"/>
    <w:rsid w:val="00403DD0"/>
    <w:rsid w:val="00404BDD"/>
    <w:rsid w:val="00404F79"/>
    <w:rsid w:val="0040547F"/>
    <w:rsid w:val="00405A35"/>
    <w:rsid w:val="00405CEE"/>
    <w:rsid w:val="00405F35"/>
    <w:rsid w:val="00406230"/>
    <w:rsid w:val="00411C24"/>
    <w:rsid w:val="00420F0C"/>
    <w:rsid w:val="00421F4C"/>
    <w:rsid w:val="00423128"/>
    <w:rsid w:val="0042359C"/>
    <w:rsid w:val="00423696"/>
    <w:rsid w:val="00424346"/>
    <w:rsid w:val="00424CCB"/>
    <w:rsid w:val="004258AE"/>
    <w:rsid w:val="004258B1"/>
    <w:rsid w:val="004272ED"/>
    <w:rsid w:val="00430DE4"/>
    <w:rsid w:val="0043118C"/>
    <w:rsid w:val="00431278"/>
    <w:rsid w:val="00431A51"/>
    <w:rsid w:val="00432BCA"/>
    <w:rsid w:val="004334E4"/>
    <w:rsid w:val="004344F9"/>
    <w:rsid w:val="004352D2"/>
    <w:rsid w:val="00435716"/>
    <w:rsid w:val="00436325"/>
    <w:rsid w:val="00436EE1"/>
    <w:rsid w:val="004422EC"/>
    <w:rsid w:val="00442DD8"/>
    <w:rsid w:val="00442FD6"/>
    <w:rsid w:val="00443662"/>
    <w:rsid w:val="0044471D"/>
    <w:rsid w:val="0044526B"/>
    <w:rsid w:val="00445CCB"/>
    <w:rsid w:val="00445CD4"/>
    <w:rsid w:val="004460FD"/>
    <w:rsid w:val="004473CA"/>
    <w:rsid w:val="004505C2"/>
    <w:rsid w:val="00453461"/>
    <w:rsid w:val="00453D9D"/>
    <w:rsid w:val="00454EED"/>
    <w:rsid w:val="004617A5"/>
    <w:rsid w:val="0046331C"/>
    <w:rsid w:val="00464F1A"/>
    <w:rsid w:val="0046532F"/>
    <w:rsid w:val="00466B58"/>
    <w:rsid w:val="00466E72"/>
    <w:rsid w:val="00466F1C"/>
    <w:rsid w:val="0046744D"/>
    <w:rsid w:val="00470B38"/>
    <w:rsid w:val="00470D23"/>
    <w:rsid w:val="00470DAE"/>
    <w:rsid w:val="00471464"/>
    <w:rsid w:val="0047200E"/>
    <w:rsid w:val="0047373F"/>
    <w:rsid w:val="00473DAB"/>
    <w:rsid w:val="00475020"/>
    <w:rsid w:val="00475536"/>
    <w:rsid w:val="004770BB"/>
    <w:rsid w:val="00477DA3"/>
    <w:rsid w:val="0048148F"/>
    <w:rsid w:val="00482C89"/>
    <w:rsid w:val="00482FA3"/>
    <w:rsid w:val="00483328"/>
    <w:rsid w:val="0048392F"/>
    <w:rsid w:val="00483A52"/>
    <w:rsid w:val="0048417D"/>
    <w:rsid w:val="00487509"/>
    <w:rsid w:val="00490352"/>
    <w:rsid w:val="00490814"/>
    <w:rsid w:val="004927EE"/>
    <w:rsid w:val="00492CF0"/>
    <w:rsid w:val="00494FD6"/>
    <w:rsid w:val="00495DF2"/>
    <w:rsid w:val="00496732"/>
    <w:rsid w:val="00497806"/>
    <w:rsid w:val="00497AEF"/>
    <w:rsid w:val="004A0C8D"/>
    <w:rsid w:val="004A1DEB"/>
    <w:rsid w:val="004A1E0C"/>
    <w:rsid w:val="004A2F5A"/>
    <w:rsid w:val="004A2F8F"/>
    <w:rsid w:val="004A375D"/>
    <w:rsid w:val="004A378A"/>
    <w:rsid w:val="004A7953"/>
    <w:rsid w:val="004B15C1"/>
    <w:rsid w:val="004B39FC"/>
    <w:rsid w:val="004B41F1"/>
    <w:rsid w:val="004B560C"/>
    <w:rsid w:val="004B60EA"/>
    <w:rsid w:val="004B7758"/>
    <w:rsid w:val="004B7C05"/>
    <w:rsid w:val="004B7FC8"/>
    <w:rsid w:val="004C075D"/>
    <w:rsid w:val="004C1BEA"/>
    <w:rsid w:val="004C1DEE"/>
    <w:rsid w:val="004C24FE"/>
    <w:rsid w:val="004C2D9A"/>
    <w:rsid w:val="004C3AF1"/>
    <w:rsid w:val="004C3B82"/>
    <w:rsid w:val="004C767F"/>
    <w:rsid w:val="004C7A25"/>
    <w:rsid w:val="004D0276"/>
    <w:rsid w:val="004D0467"/>
    <w:rsid w:val="004D0EF8"/>
    <w:rsid w:val="004D31A3"/>
    <w:rsid w:val="004D330E"/>
    <w:rsid w:val="004D4749"/>
    <w:rsid w:val="004D522C"/>
    <w:rsid w:val="004D66CF"/>
    <w:rsid w:val="004E11C2"/>
    <w:rsid w:val="004E165D"/>
    <w:rsid w:val="004E1995"/>
    <w:rsid w:val="004E19B6"/>
    <w:rsid w:val="004E1D69"/>
    <w:rsid w:val="004E2B5A"/>
    <w:rsid w:val="004E5C6F"/>
    <w:rsid w:val="004E7C46"/>
    <w:rsid w:val="004F0648"/>
    <w:rsid w:val="004F07C0"/>
    <w:rsid w:val="004F08BE"/>
    <w:rsid w:val="004F2239"/>
    <w:rsid w:val="004F2335"/>
    <w:rsid w:val="004F2813"/>
    <w:rsid w:val="004F3255"/>
    <w:rsid w:val="004F38E2"/>
    <w:rsid w:val="004F599A"/>
    <w:rsid w:val="004F5E9A"/>
    <w:rsid w:val="004F65C6"/>
    <w:rsid w:val="004F6842"/>
    <w:rsid w:val="004F6871"/>
    <w:rsid w:val="004F68CF"/>
    <w:rsid w:val="004F6E08"/>
    <w:rsid w:val="004F79E4"/>
    <w:rsid w:val="004F7E68"/>
    <w:rsid w:val="005001BF"/>
    <w:rsid w:val="00500346"/>
    <w:rsid w:val="00501AC5"/>
    <w:rsid w:val="00501E07"/>
    <w:rsid w:val="005023DB"/>
    <w:rsid w:val="00502822"/>
    <w:rsid w:val="00503C73"/>
    <w:rsid w:val="0050625A"/>
    <w:rsid w:val="0050673A"/>
    <w:rsid w:val="00507518"/>
    <w:rsid w:val="005119C6"/>
    <w:rsid w:val="00511A64"/>
    <w:rsid w:val="00513F23"/>
    <w:rsid w:val="00514793"/>
    <w:rsid w:val="00515207"/>
    <w:rsid w:val="0051576F"/>
    <w:rsid w:val="005166BC"/>
    <w:rsid w:val="0051688F"/>
    <w:rsid w:val="00517262"/>
    <w:rsid w:val="00520BE8"/>
    <w:rsid w:val="00521223"/>
    <w:rsid w:val="00522A45"/>
    <w:rsid w:val="00522F19"/>
    <w:rsid w:val="00523F2D"/>
    <w:rsid w:val="00524ADF"/>
    <w:rsid w:val="005254FC"/>
    <w:rsid w:val="00526CA1"/>
    <w:rsid w:val="0052799D"/>
    <w:rsid w:val="00532D89"/>
    <w:rsid w:val="005333CE"/>
    <w:rsid w:val="00534F44"/>
    <w:rsid w:val="0053575A"/>
    <w:rsid w:val="00537F6D"/>
    <w:rsid w:val="00540895"/>
    <w:rsid w:val="005411E6"/>
    <w:rsid w:val="00541677"/>
    <w:rsid w:val="00542553"/>
    <w:rsid w:val="00542DDF"/>
    <w:rsid w:val="0054340F"/>
    <w:rsid w:val="00543900"/>
    <w:rsid w:val="00544435"/>
    <w:rsid w:val="00545841"/>
    <w:rsid w:val="00546581"/>
    <w:rsid w:val="005470AC"/>
    <w:rsid w:val="00547F88"/>
    <w:rsid w:val="00550141"/>
    <w:rsid w:val="005502C7"/>
    <w:rsid w:val="00551D4C"/>
    <w:rsid w:val="00553582"/>
    <w:rsid w:val="00554437"/>
    <w:rsid w:val="00554E05"/>
    <w:rsid w:val="00555F7D"/>
    <w:rsid w:val="00556CF7"/>
    <w:rsid w:val="00557DBA"/>
    <w:rsid w:val="00557F6E"/>
    <w:rsid w:val="005603D9"/>
    <w:rsid w:val="00560EBF"/>
    <w:rsid w:val="005617A1"/>
    <w:rsid w:val="0056181C"/>
    <w:rsid w:val="0056216D"/>
    <w:rsid w:val="005621AF"/>
    <w:rsid w:val="00562688"/>
    <w:rsid w:val="005669A5"/>
    <w:rsid w:val="00567703"/>
    <w:rsid w:val="00567D2A"/>
    <w:rsid w:val="00570A02"/>
    <w:rsid w:val="005715A8"/>
    <w:rsid w:val="00571791"/>
    <w:rsid w:val="005722AE"/>
    <w:rsid w:val="0057239E"/>
    <w:rsid w:val="005726C2"/>
    <w:rsid w:val="00572816"/>
    <w:rsid w:val="00572C14"/>
    <w:rsid w:val="005735CB"/>
    <w:rsid w:val="00573865"/>
    <w:rsid w:val="00573D30"/>
    <w:rsid w:val="005746C6"/>
    <w:rsid w:val="00575570"/>
    <w:rsid w:val="00576327"/>
    <w:rsid w:val="005816CA"/>
    <w:rsid w:val="00581BAD"/>
    <w:rsid w:val="00581D99"/>
    <w:rsid w:val="00583B43"/>
    <w:rsid w:val="00585C4A"/>
    <w:rsid w:val="00586EAB"/>
    <w:rsid w:val="0059026E"/>
    <w:rsid w:val="005903A7"/>
    <w:rsid w:val="005905D6"/>
    <w:rsid w:val="0059297D"/>
    <w:rsid w:val="005943A0"/>
    <w:rsid w:val="00594851"/>
    <w:rsid w:val="00594BEE"/>
    <w:rsid w:val="00595162"/>
    <w:rsid w:val="00595806"/>
    <w:rsid w:val="00596125"/>
    <w:rsid w:val="0059765F"/>
    <w:rsid w:val="00597F5E"/>
    <w:rsid w:val="005A11DC"/>
    <w:rsid w:val="005A1E6E"/>
    <w:rsid w:val="005A1EAB"/>
    <w:rsid w:val="005A2259"/>
    <w:rsid w:val="005A3F7D"/>
    <w:rsid w:val="005A4098"/>
    <w:rsid w:val="005A4A4F"/>
    <w:rsid w:val="005A5787"/>
    <w:rsid w:val="005A7DE4"/>
    <w:rsid w:val="005A7DE9"/>
    <w:rsid w:val="005B0429"/>
    <w:rsid w:val="005B1C1E"/>
    <w:rsid w:val="005B2E3A"/>
    <w:rsid w:val="005B3855"/>
    <w:rsid w:val="005B47DE"/>
    <w:rsid w:val="005B4DE9"/>
    <w:rsid w:val="005B4F58"/>
    <w:rsid w:val="005B644D"/>
    <w:rsid w:val="005B6AAE"/>
    <w:rsid w:val="005C0251"/>
    <w:rsid w:val="005C0486"/>
    <w:rsid w:val="005C0D1C"/>
    <w:rsid w:val="005C0D7C"/>
    <w:rsid w:val="005C347B"/>
    <w:rsid w:val="005C553B"/>
    <w:rsid w:val="005C572D"/>
    <w:rsid w:val="005C6241"/>
    <w:rsid w:val="005C656C"/>
    <w:rsid w:val="005C697C"/>
    <w:rsid w:val="005C6F8C"/>
    <w:rsid w:val="005D0E8C"/>
    <w:rsid w:val="005D178E"/>
    <w:rsid w:val="005D22A3"/>
    <w:rsid w:val="005D286D"/>
    <w:rsid w:val="005D2A1B"/>
    <w:rsid w:val="005D2A4B"/>
    <w:rsid w:val="005D47F2"/>
    <w:rsid w:val="005D5C3F"/>
    <w:rsid w:val="005D5E34"/>
    <w:rsid w:val="005D5EAA"/>
    <w:rsid w:val="005D6A01"/>
    <w:rsid w:val="005E06FA"/>
    <w:rsid w:val="005E3D3D"/>
    <w:rsid w:val="005E556E"/>
    <w:rsid w:val="005E797C"/>
    <w:rsid w:val="005E7E29"/>
    <w:rsid w:val="005F0B63"/>
    <w:rsid w:val="005F3CF4"/>
    <w:rsid w:val="005F47F3"/>
    <w:rsid w:val="005F5067"/>
    <w:rsid w:val="005F509C"/>
    <w:rsid w:val="005F5AF2"/>
    <w:rsid w:val="005F618C"/>
    <w:rsid w:val="0060237C"/>
    <w:rsid w:val="006023B2"/>
    <w:rsid w:val="00602C44"/>
    <w:rsid w:val="006049EF"/>
    <w:rsid w:val="00604F74"/>
    <w:rsid w:val="00606CFE"/>
    <w:rsid w:val="00610627"/>
    <w:rsid w:val="006111E5"/>
    <w:rsid w:val="0061190D"/>
    <w:rsid w:val="00612B77"/>
    <w:rsid w:val="00614234"/>
    <w:rsid w:val="0061482D"/>
    <w:rsid w:val="00615195"/>
    <w:rsid w:val="006165B4"/>
    <w:rsid w:val="00617F25"/>
    <w:rsid w:val="0062152E"/>
    <w:rsid w:val="00622118"/>
    <w:rsid w:val="00622767"/>
    <w:rsid w:val="00622DA9"/>
    <w:rsid w:val="006259AC"/>
    <w:rsid w:val="00626208"/>
    <w:rsid w:val="006263C6"/>
    <w:rsid w:val="006267DF"/>
    <w:rsid w:val="00626872"/>
    <w:rsid w:val="00626C17"/>
    <w:rsid w:val="00627122"/>
    <w:rsid w:val="00631DCB"/>
    <w:rsid w:val="00632057"/>
    <w:rsid w:val="00632CC8"/>
    <w:rsid w:val="006334D2"/>
    <w:rsid w:val="0063357B"/>
    <w:rsid w:val="00634F3E"/>
    <w:rsid w:val="00635021"/>
    <w:rsid w:val="006357F6"/>
    <w:rsid w:val="00635BCF"/>
    <w:rsid w:val="00635C68"/>
    <w:rsid w:val="00636711"/>
    <w:rsid w:val="00636857"/>
    <w:rsid w:val="00636C06"/>
    <w:rsid w:val="00637E45"/>
    <w:rsid w:val="00640E1B"/>
    <w:rsid w:val="006412EF"/>
    <w:rsid w:val="00641982"/>
    <w:rsid w:val="00642BB1"/>
    <w:rsid w:val="00643AB2"/>
    <w:rsid w:val="00643AD4"/>
    <w:rsid w:val="0064695E"/>
    <w:rsid w:val="00647583"/>
    <w:rsid w:val="006477A3"/>
    <w:rsid w:val="00650291"/>
    <w:rsid w:val="0065117D"/>
    <w:rsid w:val="00652307"/>
    <w:rsid w:val="00652452"/>
    <w:rsid w:val="00652D59"/>
    <w:rsid w:val="00653916"/>
    <w:rsid w:val="0065419D"/>
    <w:rsid w:val="006556FB"/>
    <w:rsid w:val="00655EEA"/>
    <w:rsid w:val="00656A7F"/>
    <w:rsid w:val="00656C61"/>
    <w:rsid w:val="00660D73"/>
    <w:rsid w:val="0066121E"/>
    <w:rsid w:val="0066176F"/>
    <w:rsid w:val="0066200E"/>
    <w:rsid w:val="00662077"/>
    <w:rsid w:val="00662171"/>
    <w:rsid w:val="00662937"/>
    <w:rsid w:val="00663233"/>
    <w:rsid w:val="006632A9"/>
    <w:rsid w:val="006639DD"/>
    <w:rsid w:val="0066442D"/>
    <w:rsid w:val="006648B2"/>
    <w:rsid w:val="00664F2C"/>
    <w:rsid w:val="00665609"/>
    <w:rsid w:val="0067197A"/>
    <w:rsid w:val="00671A7F"/>
    <w:rsid w:val="00671D66"/>
    <w:rsid w:val="0067217C"/>
    <w:rsid w:val="00672635"/>
    <w:rsid w:val="00675238"/>
    <w:rsid w:val="00675CDB"/>
    <w:rsid w:val="00676E86"/>
    <w:rsid w:val="00677804"/>
    <w:rsid w:val="006808CE"/>
    <w:rsid w:val="0068098A"/>
    <w:rsid w:val="00682127"/>
    <w:rsid w:val="006868F1"/>
    <w:rsid w:val="00687117"/>
    <w:rsid w:val="00687743"/>
    <w:rsid w:val="006879C1"/>
    <w:rsid w:val="00690D32"/>
    <w:rsid w:val="006915CE"/>
    <w:rsid w:val="006916E7"/>
    <w:rsid w:val="006928D6"/>
    <w:rsid w:val="00694B0E"/>
    <w:rsid w:val="006951E5"/>
    <w:rsid w:val="0069599E"/>
    <w:rsid w:val="00695FFE"/>
    <w:rsid w:val="00696D41"/>
    <w:rsid w:val="00697D05"/>
    <w:rsid w:val="00697D3B"/>
    <w:rsid w:val="006A0132"/>
    <w:rsid w:val="006A08DD"/>
    <w:rsid w:val="006A1832"/>
    <w:rsid w:val="006A2811"/>
    <w:rsid w:val="006A3EC9"/>
    <w:rsid w:val="006A4978"/>
    <w:rsid w:val="006A5558"/>
    <w:rsid w:val="006A73F1"/>
    <w:rsid w:val="006B0B18"/>
    <w:rsid w:val="006B1CF1"/>
    <w:rsid w:val="006B1D58"/>
    <w:rsid w:val="006B213F"/>
    <w:rsid w:val="006B45E2"/>
    <w:rsid w:val="006B54E4"/>
    <w:rsid w:val="006B5D55"/>
    <w:rsid w:val="006B5ED7"/>
    <w:rsid w:val="006B70FC"/>
    <w:rsid w:val="006B7634"/>
    <w:rsid w:val="006B7CD0"/>
    <w:rsid w:val="006C15B2"/>
    <w:rsid w:val="006C29CF"/>
    <w:rsid w:val="006C2A8B"/>
    <w:rsid w:val="006C3009"/>
    <w:rsid w:val="006C4F5B"/>
    <w:rsid w:val="006C53DE"/>
    <w:rsid w:val="006C58B3"/>
    <w:rsid w:val="006C7FDC"/>
    <w:rsid w:val="006D0BD6"/>
    <w:rsid w:val="006D2549"/>
    <w:rsid w:val="006D4275"/>
    <w:rsid w:val="006D42FD"/>
    <w:rsid w:val="006D516B"/>
    <w:rsid w:val="006D5BD2"/>
    <w:rsid w:val="006E2BB3"/>
    <w:rsid w:val="006E30F7"/>
    <w:rsid w:val="006E4359"/>
    <w:rsid w:val="006E484D"/>
    <w:rsid w:val="006E507B"/>
    <w:rsid w:val="006E7928"/>
    <w:rsid w:val="006F0BDD"/>
    <w:rsid w:val="006F1BFC"/>
    <w:rsid w:val="006F343F"/>
    <w:rsid w:val="006F3B62"/>
    <w:rsid w:val="006F3C70"/>
    <w:rsid w:val="006F3DF6"/>
    <w:rsid w:val="006F4E8F"/>
    <w:rsid w:val="006F57D2"/>
    <w:rsid w:val="006F6BA1"/>
    <w:rsid w:val="0070020E"/>
    <w:rsid w:val="00700488"/>
    <w:rsid w:val="00700ADF"/>
    <w:rsid w:val="00700F87"/>
    <w:rsid w:val="00701556"/>
    <w:rsid w:val="00701FAB"/>
    <w:rsid w:val="00703AFF"/>
    <w:rsid w:val="007048FD"/>
    <w:rsid w:val="00704F42"/>
    <w:rsid w:val="00706CD0"/>
    <w:rsid w:val="00706F8D"/>
    <w:rsid w:val="0070792E"/>
    <w:rsid w:val="0070799F"/>
    <w:rsid w:val="00710D2A"/>
    <w:rsid w:val="0071311D"/>
    <w:rsid w:val="007134B0"/>
    <w:rsid w:val="00713FA7"/>
    <w:rsid w:val="007155C2"/>
    <w:rsid w:val="00715BBB"/>
    <w:rsid w:val="00715D7F"/>
    <w:rsid w:val="00716AC0"/>
    <w:rsid w:val="00721293"/>
    <w:rsid w:val="00721FF9"/>
    <w:rsid w:val="00724213"/>
    <w:rsid w:val="00724337"/>
    <w:rsid w:val="0072452D"/>
    <w:rsid w:val="007278FD"/>
    <w:rsid w:val="00727BC9"/>
    <w:rsid w:val="007304C8"/>
    <w:rsid w:val="007305F1"/>
    <w:rsid w:val="00731E29"/>
    <w:rsid w:val="0073212C"/>
    <w:rsid w:val="00732A9B"/>
    <w:rsid w:val="007330BA"/>
    <w:rsid w:val="00735364"/>
    <w:rsid w:val="007359A9"/>
    <w:rsid w:val="00736BEB"/>
    <w:rsid w:val="00737A47"/>
    <w:rsid w:val="00737D75"/>
    <w:rsid w:val="007412DA"/>
    <w:rsid w:val="00741E6A"/>
    <w:rsid w:val="00743061"/>
    <w:rsid w:val="007431E1"/>
    <w:rsid w:val="0074620A"/>
    <w:rsid w:val="007465B1"/>
    <w:rsid w:val="0074724D"/>
    <w:rsid w:val="00750078"/>
    <w:rsid w:val="007514F0"/>
    <w:rsid w:val="007516DF"/>
    <w:rsid w:val="007517C7"/>
    <w:rsid w:val="00751BB2"/>
    <w:rsid w:val="00751BD4"/>
    <w:rsid w:val="0075254E"/>
    <w:rsid w:val="0075264B"/>
    <w:rsid w:val="00753160"/>
    <w:rsid w:val="007531EA"/>
    <w:rsid w:val="00753562"/>
    <w:rsid w:val="00753CB4"/>
    <w:rsid w:val="00754B5F"/>
    <w:rsid w:val="007550B4"/>
    <w:rsid w:val="00755940"/>
    <w:rsid w:val="00756099"/>
    <w:rsid w:val="00756757"/>
    <w:rsid w:val="00756B22"/>
    <w:rsid w:val="00757633"/>
    <w:rsid w:val="00757B18"/>
    <w:rsid w:val="00757E8A"/>
    <w:rsid w:val="00757F7A"/>
    <w:rsid w:val="00761283"/>
    <w:rsid w:val="0076145A"/>
    <w:rsid w:val="00765DC8"/>
    <w:rsid w:val="00767D98"/>
    <w:rsid w:val="00772306"/>
    <w:rsid w:val="00772430"/>
    <w:rsid w:val="007737A6"/>
    <w:rsid w:val="007740DA"/>
    <w:rsid w:val="00774537"/>
    <w:rsid w:val="00774704"/>
    <w:rsid w:val="00774E0A"/>
    <w:rsid w:val="0077586C"/>
    <w:rsid w:val="00775FDA"/>
    <w:rsid w:val="0077711A"/>
    <w:rsid w:val="0077711B"/>
    <w:rsid w:val="00777DC9"/>
    <w:rsid w:val="0078044F"/>
    <w:rsid w:val="00780B80"/>
    <w:rsid w:val="00780E8A"/>
    <w:rsid w:val="00782272"/>
    <w:rsid w:val="0078394C"/>
    <w:rsid w:val="007839C7"/>
    <w:rsid w:val="00783CFA"/>
    <w:rsid w:val="007842BF"/>
    <w:rsid w:val="00784323"/>
    <w:rsid w:val="007861DE"/>
    <w:rsid w:val="00790A2F"/>
    <w:rsid w:val="00790B59"/>
    <w:rsid w:val="0079178C"/>
    <w:rsid w:val="00792D72"/>
    <w:rsid w:val="00792EC3"/>
    <w:rsid w:val="0079357B"/>
    <w:rsid w:val="00793A7F"/>
    <w:rsid w:val="00793DDC"/>
    <w:rsid w:val="0079519F"/>
    <w:rsid w:val="00795D75"/>
    <w:rsid w:val="0079654A"/>
    <w:rsid w:val="007966CC"/>
    <w:rsid w:val="007A03A1"/>
    <w:rsid w:val="007A0FA0"/>
    <w:rsid w:val="007A1655"/>
    <w:rsid w:val="007A1EF0"/>
    <w:rsid w:val="007A2BCD"/>
    <w:rsid w:val="007A2FD1"/>
    <w:rsid w:val="007A4071"/>
    <w:rsid w:val="007A4120"/>
    <w:rsid w:val="007A47AF"/>
    <w:rsid w:val="007A47E3"/>
    <w:rsid w:val="007A484E"/>
    <w:rsid w:val="007A49E5"/>
    <w:rsid w:val="007A556B"/>
    <w:rsid w:val="007A57D8"/>
    <w:rsid w:val="007A5ACC"/>
    <w:rsid w:val="007A5F24"/>
    <w:rsid w:val="007A60A5"/>
    <w:rsid w:val="007A6510"/>
    <w:rsid w:val="007A6967"/>
    <w:rsid w:val="007B06B7"/>
    <w:rsid w:val="007B2271"/>
    <w:rsid w:val="007B228E"/>
    <w:rsid w:val="007B3410"/>
    <w:rsid w:val="007B5EFF"/>
    <w:rsid w:val="007B6923"/>
    <w:rsid w:val="007B7AC8"/>
    <w:rsid w:val="007B7B12"/>
    <w:rsid w:val="007B7CA6"/>
    <w:rsid w:val="007B7E5B"/>
    <w:rsid w:val="007C0051"/>
    <w:rsid w:val="007C1389"/>
    <w:rsid w:val="007C28D6"/>
    <w:rsid w:val="007C2A12"/>
    <w:rsid w:val="007C2E66"/>
    <w:rsid w:val="007C48D3"/>
    <w:rsid w:val="007C4B5C"/>
    <w:rsid w:val="007C4E70"/>
    <w:rsid w:val="007C5C39"/>
    <w:rsid w:val="007C604D"/>
    <w:rsid w:val="007C75AA"/>
    <w:rsid w:val="007D237C"/>
    <w:rsid w:val="007D2D3A"/>
    <w:rsid w:val="007D30B2"/>
    <w:rsid w:val="007D3AC4"/>
    <w:rsid w:val="007D47D4"/>
    <w:rsid w:val="007D581B"/>
    <w:rsid w:val="007E08B9"/>
    <w:rsid w:val="007E126A"/>
    <w:rsid w:val="007E181E"/>
    <w:rsid w:val="007E3849"/>
    <w:rsid w:val="007E48E2"/>
    <w:rsid w:val="007E61B2"/>
    <w:rsid w:val="007E7306"/>
    <w:rsid w:val="007F2B75"/>
    <w:rsid w:val="007F572E"/>
    <w:rsid w:val="007F6895"/>
    <w:rsid w:val="008017AF"/>
    <w:rsid w:val="008019FA"/>
    <w:rsid w:val="00801BA9"/>
    <w:rsid w:val="00802260"/>
    <w:rsid w:val="008026CE"/>
    <w:rsid w:val="0080271A"/>
    <w:rsid w:val="00803EED"/>
    <w:rsid w:val="008118E2"/>
    <w:rsid w:val="008121BF"/>
    <w:rsid w:val="0081324E"/>
    <w:rsid w:val="008140B8"/>
    <w:rsid w:val="008146CD"/>
    <w:rsid w:val="00814B32"/>
    <w:rsid w:val="00814B62"/>
    <w:rsid w:val="00814B9D"/>
    <w:rsid w:val="00814C82"/>
    <w:rsid w:val="00815D2F"/>
    <w:rsid w:val="0081646B"/>
    <w:rsid w:val="00816BFA"/>
    <w:rsid w:val="008205F6"/>
    <w:rsid w:val="00820FAC"/>
    <w:rsid w:val="00821467"/>
    <w:rsid w:val="008234F4"/>
    <w:rsid w:val="008240F6"/>
    <w:rsid w:val="00824604"/>
    <w:rsid w:val="00824B50"/>
    <w:rsid w:val="00824DFA"/>
    <w:rsid w:val="008255FF"/>
    <w:rsid w:val="008258C8"/>
    <w:rsid w:val="00825D87"/>
    <w:rsid w:val="00826352"/>
    <w:rsid w:val="0083090B"/>
    <w:rsid w:val="00830B97"/>
    <w:rsid w:val="0083114B"/>
    <w:rsid w:val="00831EAA"/>
    <w:rsid w:val="00832962"/>
    <w:rsid w:val="008330E0"/>
    <w:rsid w:val="00833432"/>
    <w:rsid w:val="008337BA"/>
    <w:rsid w:val="00834262"/>
    <w:rsid w:val="00834D78"/>
    <w:rsid w:val="008357F2"/>
    <w:rsid w:val="00835ED7"/>
    <w:rsid w:val="00835F54"/>
    <w:rsid w:val="008362C6"/>
    <w:rsid w:val="0083778F"/>
    <w:rsid w:val="00837BC1"/>
    <w:rsid w:val="00837C1B"/>
    <w:rsid w:val="00840082"/>
    <w:rsid w:val="00840BB4"/>
    <w:rsid w:val="00840D6C"/>
    <w:rsid w:val="00841125"/>
    <w:rsid w:val="00841F8B"/>
    <w:rsid w:val="008427FF"/>
    <w:rsid w:val="0084379E"/>
    <w:rsid w:val="00843E56"/>
    <w:rsid w:val="00844676"/>
    <w:rsid w:val="008466CD"/>
    <w:rsid w:val="008469A8"/>
    <w:rsid w:val="00846A8F"/>
    <w:rsid w:val="008475A5"/>
    <w:rsid w:val="00847628"/>
    <w:rsid w:val="00850D38"/>
    <w:rsid w:val="0085103F"/>
    <w:rsid w:val="00852FCC"/>
    <w:rsid w:val="00854A5B"/>
    <w:rsid w:val="0085520A"/>
    <w:rsid w:val="00856A49"/>
    <w:rsid w:val="00856E0B"/>
    <w:rsid w:val="00856EB2"/>
    <w:rsid w:val="00857647"/>
    <w:rsid w:val="00857CD5"/>
    <w:rsid w:val="00857FDE"/>
    <w:rsid w:val="008615A0"/>
    <w:rsid w:val="00861F58"/>
    <w:rsid w:val="00862C4A"/>
    <w:rsid w:val="00866980"/>
    <w:rsid w:val="00866BE6"/>
    <w:rsid w:val="00867746"/>
    <w:rsid w:val="00871F9B"/>
    <w:rsid w:val="0087200B"/>
    <w:rsid w:val="00873069"/>
    <w:rsid w:val="00873533"/>
    <w:rsid w:val="00873F38"/>
    <w:rsid w:val="00874315"/>
    <w:rsid w:val="0087465A"/>
    <w:rsid w:val="00874B32"/>
    <w:rsid w:val="00874C88"/>
    <w:rsid w:val="008750A2"/>
    <w:rsid w:val="00875CE8"/>
    <w:rsid w:val="008766F2"/>
    <w:rsid w:val="0087717C"/>
    <w:rsid w:val="00877647"/>
    <w:rsid w:val="0087789F"/>
    <w:rsid w:val="008804B8"/>
    <w:rsid w:val="00881676"/>
    <w:rsid w:val="00881CB3"/>
    <w:rsid w:val="00882746"/>
    <w:rsid w:val="00882FB8"/>
    <w:rsid w:val="00885425"/>
    <w:rsid w:val="008854A8"/>
    <w:rsid w:val="008855AB"/>
    <w:rsid w:val="00885EED"/>
    <w:rsid w:val="00885F1C"/>
    <w:rsid w:val="00887CD8"/>
    <w:rsid w:val="008904CF"/>
    <w:rsid w:val="00891D66"/>
    <w:rsid w:val="00892040"/>
    <w:rsid w:val="00892BF4"/>
    <w:rsid w:val="00893C27"/>
    <w:rsid w:val="00894966"/>
    <w:rsid w:val="00894C9B"/>
    <w:rsid w:val="00894E86"/>
    <w:rsid w:val="00894EFC"/>
    <w:rsid w:val="00896017"/>
    <w:rsid w:val="00896F4A"/>
    <w:rsid w:val="008A0F89"/>
    <w:rsid w:val="008A12F4"/>
    <w:rsid w:val="008A38A7"/>
    <w:rsid w:val="008A5642"/>
    <w:rsid w:val="008A57D3"/>
    <w:rsid w:val="008A6231"/>
    <w:rsid w:val="008A693A"/>
    <w:rsid w:val="008A69C2"/>
    <w:rsid w:val="008A71DC"/>
    <w:rsid w:val="008B1425"/>
    <w:rsid w:val="008B14DB"/>
    <w:rsid w:val="008B1D7C"/>
    <w:rsid w:val="008B1D96"/>
    <w:rsid w:val="008B2716"/>
    <w:rsid w:val="008B3EF9"/>
    <w:rsid w:val="008B43B0"/>
    <w:rsid w:val="008B5AAE"/>
    <w:rsid w:val="008C01CE"/>
    <w:rsid w:val="008C12F3"/>
    <w:rsid w:val="008C2513"/>
    <w:rsid w:val="008C3EB9"/>
    <w:rsid w:val="008C4533"/>
    <w:rsid w:val="008C5169"/>
    <w:rsid w:val="008C6871"/>
    <w:rsid w:val="008C701F"/>
    <w:rsid w:val="008C75BA"/>
    <w:rsid w:val="008C7699"/>
    <w:rsid w:val="008D02F5"/>
    <w:rsid w:val="008D0521"/>
    <w:rsid w:val="008D1739"/>
    <w:rsid w:val="008D24BB"/>
    <w:rsid w:val="008D25B1"/>
    <w:rsid w:val="008D3155"/>
    <w:rsid w:val="008D3F6A"/>
    <w:rsid w:val="008D56A4"/>
    <w:rsid w:val="008E0035"/>
    <w:rsid w:val="008E2ED2"/>
    <w:rsid w:val="008E3639"/>
    <w:rsid w:val="008E496A"/>
    <w:rsid w:val="008E4A2F"/>
    <w:rsid w:val="008E4AD1"/>
    <w:rsid w:val="008E5882"/>
    <w:rsid w:val="008E5FFF"/>
    <w:rsid w:val="008E6289"/>
    <w:rsid w:val="008E679A"/>
    <w:rsid w:val="008E6A9B"/>
    <w:rsid w:val="008E6E6B"/>
    <w:rsid w:val="008E7CBD"/>
    <w:rsid w:val="008F1883"/>
    <w:rsid w:val="008F1AAE"/>
    <w:rsid w:val="008F31CF"/>
    <w:rsid w:val="008F55B7"/>
    <w:rsid w:val="008F6050"/>
    <w:rsid w:val="00900770"/>
    <w:rsid w:val="00900B2B"/>
    <w:rsid w:val="009010A0"/>
    <w:rsid w:val="009014C4"/>
    <w:rsid w:val="00901D06"/>
    <w:rsid w:val="00904B89"/>
    <w:rsid w:val="009052E3"/>
    <w:rsid w:val="00905865"/>
    <w:rsid w:val="00910C66"/>
    <w:rsid w:val="00911030"/>
    <w:rsid w:val="0091349A"/>
    <w:rsid w:val="00913723"/>
    <w:rsid w:val="009142C5"/>
    <w:rsid w:val="00914DEB"/>
    <w:rsid w:val="0092154A"/>
    <w:rsid w:val="00921755"/>
    <w:rsid w:val="00922C3D"/>
    <w:rsid w:val="00922D74"/>
    <w:rsid w:val="00923687"/>
    <w:rsid w:val="0092398C"/>
    <w:rsid w:val="009258AA"/>
    <w:rsid w:val="00925B2A"/>
    <w:rsid w:val="00927C1C"/>
    <w:rsid w:val="009310F4"/>
    <w:rsid w:val="009314F3"/>
    <w:rsid w:val="00933229"/>
    <w:rsid w:val="009362E5"/>
    <w:rsid w:val="00936C9F"/>
    <w:rsid w:val="00936EEB"/>
    <w:rsid w:val="00937E47"/>
    <w:rsid w:val="009419C3"/>
    <w:rsid w:val="00941C1E"/>
    <w:rsid w:val="00944E5B"/>
    <w:rsid w:val="00945043"/>
    <w:rsid w:val="0094572D"/>
    <w:rsid w:val="009458C1"/>
    <w:rsid w:val="00945A1B"/>
    <w:rsid w:val="00952A97"/>
    <w:rsid w:val="00952AC4"/>
    <w:rsid w:val="00952C10"/>
    <w:rsid w:val="00952CA2"/>
    <w:rsid w:val="009540BC"/>
    <w:rsid w:val="00954228"/>
    <w:rsid w:val="00954C3E"/>
    <w:rsid w:val="00955876"/>
    <w:rsid w:val="00956C99"/>
    <w:rsid w:val="00961FA9"/>
    <w:rsid w:val="00962F67"/>
    <w:rsid w:val="00965F13"/>
    <w:rsid w:val="00966D43"/>
    <w:rsid w:val="0096798D"/>
    <w:rsid w:val="00967A95"/>
    <w:rsid w:val="0097096C"/>
    <w:rsid w:val="00971080"/>
    <w:rsid w:val="00972E50"/>
    <w:rsid w:val="00973B17"/>
    <w:rsid w:val="009742EA"/>
    <w:rsid w:val="00975151"/>
    <w:rsid w:val="009754D7"/>
    <w:rsid w:val="0097554A"/>
    <w:rsid w:val="00975671"/>
    <w:rsid w:val="00976070"/>
    <w:rsid w:val="009771CC"/>
    <w:rsid w:val="009779E7"/>
    <w:rsid w:val="00980907"/>
    <w:rsid w:val="00981264"/>
    <w:rsid w:val="0098203E"/>
    <w:rsid w:val="0098247B"/>
    <w:rsid w:val="009827AF"/>
    <w:rsid w:val="00982B71"/>
    <w:rsid w:val="009869DE"/>
    <w:rsid w:val="00990ECF"/>
    <w:rsid w:val="00991D70"/>
    <w:rsid w:val="00991F96"/>
    <w:rsid w:val="00992E1C"/>
    <w:rsid w:val="00992E8C"/>
    <w:rsid w:val="00994C1C"/>
    <w:rsid w:val="009960A7"/>
    <w:rsid w:val="00996C36"/>
    <w:rsid w:val="00997814"/>
    <w:rsid w:val="009A0631"/>
    <w:rsid w:val="009A0B4D"/>
    <w:rsid w:val="009A1EE1"/>
    <w:rsid w:val="009A20F5"/>
    <w:rsid w:val="009A23DE"/>
    <w:rsid w:val="009A2BC3"/>
    <w:rsid w:val="009A3C52"/>
    <w:rsid w:val="009A4307"/>
    <w:rsid w:val="009A451F"/>
    <w:rsid w:val="009A5909"/>
    <w:rsid w:val="009A5967"/>
    <w:rsid w:val="009A6C6E"/>
    <w:rsid w:val="009A731D"/>
    <w:rsid w:val="009A74CA"/>
    <w:rsid w:val="009A7B89"/>
    <w:rsid w:val="009B09FB"/>
    <w:rsid w:val="009B35CF"/>
    <w:rsid w:val="009B4E76"/>
    <w:rsid w:val="009B6BF2"/>
    <w:rsid w:val="009B6E53"/>
    <w:rsid w:val="009B77CA"/>
    <w:rsid w:val="009C3919"/>
    <w:rsid w:val="009C3B1D"/>
    <w:rsid w:val="009C5E35"/>
    <w:rsid w:val="009C5EC1"/>
    <w:rsid w:val="009C6FF7"/>
    <w:rsid w:val="009C7347"/>
    <w:rsid w:val="009D0B5C"/>
    <w:rsid w:val="009D2D66"/>
    <w:rsid w:val="009D3200"/>
    <w:rsid w:val="009D3224"/>
    <w:rsid w:val="009D36BD"/>
    <w:rsid w:val="009D3A80"/>
    <w:rsid w:val="009D3B1E"/>
    <w:rsid w:val="009D3EFA"/>
    <w:rsid w:val="009D3F5E"/>
    <w:rsid w:val="009D5B02"/>
    <w:rsid w:val="009D6278"/>
    <w:rsid w:val="009D7171"/>
    <w:rsid w:val="009D7733"/>
    <w:rsid w:val="009D7CE8"/>
    <w:rsid w:val="009D7EE8"/>
    <w:rsid w:val="009E1BDB"/>
    <w:rsid w:val="009E1CFB"/>
    <w:rsid w:val="009E21F7"/>
    <w:rsid w:val="009E2B1B"/>
    <w:rsid w:val="009E2D58"/>
    <w:rsid w:val="009E30DE"/>
    <w:rsid w:val="009E35DF"/>
    <w:rsid w:val="009E4A41"/>
    <w:rsid w:val="009E53E1"/>
    <w:rsid w:val="009E63D8"/>
    <w:rsid w:val="009E6439"/>
    <w:rsid w:val="009E6874"/>
    <w:rsid w:val="009E6BC7"/>
    <w:rsid w:val="009E6EA9"/>
    <w:rsid w:val="009E7860"/>
    <w:rsid w:val="009F04D6"/>
    <w:rsid w:val="009F08C9"/>
    <w:rsid w:val="009F103F"/>
    <w:rsid w:val="009F190C"/>
    <w:rsid w:val="009F1A37"/>
    <w:rsid w:val="009F37F3"/>
    <w:rsid w:val="009F3AF6"/>
    <w:rsid w:val="009F55F5"/>
    <w:rsid w:val="009F621C"/>
    <w:rsid w:val="009F711E"/>
    <w:rsid w:val="009F7E38"/>
    <w:rsid w:val="00A0059B"/>
    <w:rsid w:val="00A00F6B"/>
    <w:rsid w:val="00A04E13"/>
    <w:rsid w:val="00A0527B"/>
    <w:rsid w:val="00A061D1"/>
    <w:rsid w:val="00A06590"/>
    <w:rsid w:val="00A06A13"/>
    <w:rsid w:val="00A0730A"/>
    <w:rsid w:val="00A075B4"/>
    <w:rsid w:val="00A1137E"/>
    <w:rsid w:val="00A119C1"/>
    <w:rsid w:val="00A12992"/>
    <w:rsid w:val="00A172A5"/>
    <w:rsid w:val="00A22193"/>
    <w:rsid w:val="00A225B8"/>
    <w:rsid w:val="00A22CE2"/>
    <w:rsid w:val="00A24430"/>
    <w:rsid w:val="00A249F8"/>
    <w:rsid w:val="00A2549C"/>
    <w:rsid w:val="00A25DB7"/>
    <w:rsid w:val="00A26681"/>
    <w:rsid w:val="00A266D6"/>
    <w:rsid w:val="00A30FDF"/>
    <w:rsid w:val="00A311F4"/>
    <w:rsid w:val="00A33A1C"/>
    <w:rsid w:val="00A33E1B"/>
    <w:rsid w:val="00A33E65"/>
    <w:rsid w:val="00A33F6C"/>
    <w:rsid w:val="00A34B54"/>
    <w:rsid w:val="00A3503F"/>
    <w:rsid w:val="00A36339"/>
    <w:rsid w:val="00A36C1D"/>
    <w:rsid w:val="00A37EA6"/>
    <w:rsid w:val="00A40495"/>
    <w:rsid w:val="00A41EC5"/>
    <w:rsid w:val="00A46237"/>
    <w:rsid w:val="00A46253"/>
    <w:rsid w:val="00A471AC"/>
    <w:rsid w:val="00A47BEC"/>
    <w:rsid w:val="00A47C6A"/>
    <w:rsid w:val="00A513C6"/>
    <w:rsid w:val="00A51831"/>
    <w:rsid w:val="00A51E03"/>
    <w:rsid w:val="00A522B8"/>
    <w:rsid w:val="00A53175"/>
    <w:rsid w:val="00A5494F"/>
    <w:rsid w:val="00A550CC"/>
    <w:rsid w:val="00A55391"/>
    <w:rsid w:val="00A55AF5"/>
    <w:rsid w:val="00A56058"/>
    <w:rsid w:val="00A56329"/>
    <w:rsid w:val="00A604CB"/>
    <w:rsid w:val="00A637CC"/>
    <w:rsid w:val="00A63D3E"/>
    <w:rsid w:val="00A63FCA"/>
    <w:rsid w:val="00A650E3"/>
    <w:rsid w:val="00A66BC1"/>
    <w:rsid w:val="00A67328"/>
    <w:rsid w:val="00A67613"/>
    <w:rsid w:val="00A676A1"/>
    <w:rsid w:val="00A6787A"/>
    <w:rsid w:val="00A67A55"/>
    <w:rsid w:val="00A67BC2"/>
    <w:rsid w:val="00A7138F"/>
    <w:rsid w:val="00A71511"/>
    <w:rsid w:val="00A72608"/>
    <w:rsid w:val="00A7266E"/>
    <w:rsid w:val="00A729A9"/>
    <w:rsid w:val="00A739E1"/>
    <w:rsid w:val="00A73CEC"/>
    <w:rsid w:val="00A754C1"/>
    <w:rsid w:val="00A762D0"/>
    <w:rsid w:val="00A77002"/>
    <w:rsid w:val="00A8102C"/>
    <w:rsid w:val="00A85993"/>
    <w:rsid w:val="00A85D01"/>
    <w:rsid w:val="00A86256"/>
    <w:rsid w:val="00A90BE7"/>
    <w:rsid w:val="00A912D0"/>
    <w:rsid w:val="00A91F06"/>
    <w:rsid w:val="00A9238F"/>
    <w:rsid w:val="00A92569"/>
    <w:rsid w:val="00A92BD1"/>
    <w:rsid w:val="00A93CC8"/>
    <w:rsid w:val="00A94277"/>
    <w:rsid w:val="00A9486A"/>
    <w:rsid w:val="00A94897"/>
    <w:rsid w:val="00A962E4"/>
    <w:rsid w:val="00A963BA"/>
    <w:rsid w:val="00A96AEB"/>
    <w:rsid w:val="00A96F0C"/>
    <w:rsid w:val="00A97754"/>
    <w:rsid w:val="00AA032A"/>
    <w:rsid w:val="00AA08B0"/>
    <w:rsid w:val="00AA15D8"/>
    <w:rsid w:val="00AA3A2B"/>
    <w:rsid w:val="00AA3CCC"/>
    <w:rsid w:val="00AA4AA5"/>
    <w:rsid w:val="00AA5EAB"/>
    <w:rsid w:val="00AA5F82"/>
    <w:rsid w:val="00AA633D"/>
    <w:rsid w:val="00AA690E"/>
    <w:rsid w:val="00AB0017"/>
    <w:rsid w:val="00AB0931"/>
    <w:rsid w:val="00AB1445"/>
    <w:rsid w:val="00AB2042"/>
    <w:rsid w:val="00AB4102"/>
    <w:rsid w:val="00AB5B74"/>
    <w:rsid w:val="00AB7127"/>
    <w:rsid w:val="00AB7502"/>
    <w:rsid w:val="00AC065D"/>
    <w:rsid w:val="00AC3A3C"/>
    <w:rsid w:val="00AC4834"/>
    <w:rsid w:val="00AC5544"/>
    <w:rsid w:val="00AC7E31"/>
    <w:rsid w:val="00AD01F7"/>
    <w:rsid w:val="00AD0344"/>
    <w:rsid w:val="00AD0BA1"/>
    <w:rsid w:val="00AD127D"/>
    <w:rsid w:val="00AD1893"/>
    <w:rsid w:val="00AD2CEF"/>
    <w:rsid w:val="00AD41A1"/>
    <w:rsid w:val="00AD41B9"/>
    <w:rsid w:val="00AD4C4E"/>
    <w:rsid w:val="00AD4DB7"/>
    <w:rsid w:val="00AD5B76"/>
    <w:rsid w:val="00AD5C70"/>
    <w:rsid w:val="00AD6A00"/>
    <w:rsid w:val="00AD6D5A"/>
    <w:rsid w:val="00AE0DB1"/>
    <w:rsid w:val="00AE141D"/>
    <w:rsid w:val="00AE1725"/>
    <w:rsid w:val="00AE173D"/>
    <w:rsid w:val="00AE180E"/>
    <w:rsid w:val="00AE1EBD"/>
    <w:rsid w:val="00AE26E6"/>
    <w:rsid w:val="00AE30EC"/>
    <w:rsid w:val="00AE3578"/>
    <w:rsid w:val="00AE39E3"/>
    <w:rsid w:val="00AE3EC7"/>
    <w:rsid w:val="00AE460C"/>
    <w:rsid w:val="00AE4683"/>
    <w:rsid w:val="00AE4F98"/>
    <w:rsid w:val="00AE54F3"/>
    <w:rsid w:val="00AE7E87"/>
    <w:rsid w:val="00AE7FF2"/>
    <w:rsid w:val="00AF1311"/>
    <w:rsid w:val="00AF3D0A"/>
    <w:rsid w:val="00AF496B"/>
    <w:rsid w:val="00AF4B50"/>
    <w:rsid w:val="00AF4E09"/>
    <w:rsid w:val="00AF5946"/>
    <w:rsid w:val="00AF5EE8"/>
    <w:rsid w:val="00AF7179"/>
    <w:rsid w:val="00AF71CB"/>
    <w:rsid w:val="00AF7B33"/>
    <w:rsid w:val="00B001A8"/>
    <w:rsid w:val="00B0034E"/>
    <w:rsid w:val="00B00E07"/>
    <w:rsid w:val="00B01986"/>
    <w:rsid w:val="00B02B1B"/>
    <w:rsid w:val="00B03AF7"/>
    <w:rsid w:val="00B03D00"/>
    <w:rsid w:val="00B03E31"/>
    <w:rsid w:val="00B040BB"/>
    <w:rsid w:val="00B043A4"/>
    <w:rsid w:val="00B04D73"/>
    <w:rsid w:val="00B05C5B"/>
    <w:rsid w:val="00B07922"/>
    <w:rsid w:val="00B104DE"/>
    <w:rsid w:val="00B1102F"/>
    <w:rsid w:val="00B11287"/>
    <w:rsid w:val="00B11A37"/>
    <w:rsid w:val="00B11F1D"/>
    <w:rsid w:val="00B130D1"/>
    <w:rsid w:val="00B1367A"/>
    <w:rsid w:val="00B1394E"/>
    <w:rsid w:val="00B13EA9"/>
    <w:rsid w:val="00B14CA5"/>
    <w:rsid w:val="00B167C3"/>
    <w:rsid w:val="00B17B12"/>
    <w:rsid w:val="00B17C87"/>
    <w:rsid w:val="00B23208"/>
    <w:rsid w:val="00B260FF"/>
    <w:rsid w:val="00B2629D"/>
    <w:rsid w:val="00B26745"/>
    <w:rsid w:val="00B26D69"/>
    <w:rsid w:val="00B3127C"/>
    <w:rsid w:val="00B31B7C"/>
    <w:rsid w:val="00B31BE7"/>
    <w:rsid w:val="00B31F7E"/>
    <w:rsid w:val="00B32217"/>
    <w:rsid w:val="00B32440"/>
    <w:rsid w:val="00B33280"/>
    <w:rsid w:val="00B34C70"/>
    <w:rsid w:val="00B3501A"/>
    <w:rsid w:val="00B35308"/>
    <w:rsid w:val="00B364B3"/>
    <w:rsid w:val="00B4123D"/>
    <w:rsid w:val="00B413A1"/>
    <w:rsid w:val="00B41DF1"/>
    <w:rsid w:val="00B42F12"/>
    <w:rsid w:val="00B4638D"/>
    <w:rsid w:val="00B465EB"/>
    <w:rsid w:val="00B46E05"/>
    <w:rsid w:val="00B50848"/>
    <w:rsid w:val="00B5087C"/>
    <w:rsid w:val="00B53C08"/>
    <w:rsid w:val="00B53D1D"/>
    <w:rsid w:val="00B541F2"/>
    <w:rsid w:val="00B54676"/>
    <w:rsid w:val="00B546E0"/>
    <w:rsid w:val="00B54736"/>
    <w:rsid w:val="00B55281"/>
    <w:rsid w:val="00B5618A"/>
    <w:rsid w:val="00B579B4"/>
    <w:rsid w:val="00B601B4"/>
    <w:rsid w:val="00B6040B"/>
    <w:rsid w:val="00B6118E"/>
    <w:rsid w:val="00B6156A"/>
    <w:rsid w:val="00B61C19"/>
    <w:rsid w:val="00B61FFF"/>
    <w:rsid w:val="00B62070"/>
    <w:rsid w:val="00B6216C"/>
    <w:rsid w:val="00B62427"/>
    <w:rsid w:val="00B629AC"/>
    <w:rsid w:val="00B62F12"/>
    <w:rsid w:val="00B63A88"/>
    <w:rsid w:val="00B6403B"/>
    <w:rsid w:val="00B64186"/>
    <w:rsid w:val="00B655C4"/>
    <w:rsid w:val="00B65692"/>
    <w:rsid w:val="00B65C41"/>
    <w:rsid w:val="00B6636C"/>
    <w:rsid w:val="00B665C8"/>
    <w:rsid w:val="00B666FA"/>
    <w:rsid w:val="00B67BCD"/>
    <w:rsid w:val="00B67C03"/>
    <w:rsid w:val="00B67EA8"/>
    <w:rsid w:val="00B71BEE"/>
    <w:rsid w:val="00B730CF"/>
    <w:rsid w:val="00B73759"/>
    <w:rsid w:val="00B73974"/>
    <w:rsid w:val="00B74BDC"/>
    <w:rsid w:val="00B759D6"/>
    <w:rsid w:val="00B77EDD"/>
    <w:rsid w:val="00B8172F"/>
    <w:rsid w:val="00B8273C"/>
    <w:rsid w:val="00B8305E"/>
    <w:rsid w:val="00B832EF"/>
    <w:rsid w:val="00B836D5"/>
    <w:rsid w:val="00B86A94"/>
    <w:rsid w:val="00B87DAA"/>
    <w:rsid w:val="00B87E4E"/>
    <w:rsid w:val="00B90FE8"/>
    <w:rsid w:val="00B9140B"/>
    <w:rsid w:val="00B91BB9"/>
    <w:rsid w:val="00B91FE6"/>
    <w:rsid w:val="00B9322A"/>
    <w:rsid w:val="00B9467D"/>
    <w:rsid w:val="00B956D7"/>
    <w:rsid w:val="00B965EB"/>
    <w:rsid w:val="00BA01A5"/>
    <w:rsid w:val="00BA1521"/>
    <w:rsid w:val="00BA16DC"/>
    <w:rsid w:val="00BA2DF4"/>
    <w:rsid w:val="00BA39BC"/>
    <w:rsid w:val="00BA452C"/>
    <w:rsid w:val="00BA60E0"/>
    <w:rsid w:val="00BA697F"/>
    <w:rsid w:val="00BA6D3A"/>
    <w:rsid w:val="00BA6D7A"/>
    <w:rsid w:val="00BA7316"/>
    <w:rsid w:val="00BA74BF"/>
    <w:rsid w:val="00BA7C94"/>
    <w:rsid w:val="00BB022D"/>
    <w:rsid w:val="00BB0391"/>
    <w:rsid w:val="00BB274C"/>
    <w:rsid w:val="00BB394B"/>
    <w:rsid w:val="00BB3981"/>
    <w:rsid w:val="00BB3D60"/>
    <w:rsid w:val="00BB3D93"/>
    <w:rsid w:val="00BB4377"/>
    <w:rsid w:val="00BB4E79"/>
    <w:rsid w:val="00BB6427"/>
    <w:rsid w:val="00BB6DA3"/>
    <w:rsid w:val="00BC05F5"/>
    <w:rsid w:val="00BC0EEE"/>
    <w:rsid w:val="00BC1944"/>
    <w:rsid w:val="00BC1F19"/>
    <w:rsid w:val="00BC20F8"/>
    <w:rsid w:val="00BC433D"/>
    <w:rsid w:val="00BC5221"/>
    <w:rsid w:val="00BC578F"/>
    <w:rsid w:val="00BC5DE7"/>
    <w:rsid w:val="00BC5F61"/>
    <w:rsid w:val="00BC6321"/>
    <w:rsid w:val="00BC6638"/>
    <w:rsid w:val="00BC6AC8"/>
    <w:rsid w:val="00BC704B"/>
    <w:rsid w:val="00BD114C"/>
    <w:rsid w:val="00BD2FD3"/>
    <w:rsid w:val="00BD4177"/>
    <w:rsid w:val="00BD5330"/>
    <w:rsid w:val="00BD5E51"/>
    <w:rsid w:val="00BE14BD"/>
    <w:rsid w:val="00BE1A84"/>
    <w:rsid w:val="00BE2079"/>
    <w:rsid w:val="00BE3A13"/>
    <w:rsid w:val="00BE40BE"/>
    <w:rsid w:val="00BE4CD3"/>
    <w:rsid w:val="00BE59E1"/>
    <w:rsid w:val="00BE6C47"/>
    <w:rsid w:val="00BF07AF"/>
    <w:rsid w:val="00BF2186"/>
    <w:rsid w:val="00BF3F68"/>
    <w:rsid w:val="00BF42EA"/>
    <w:rsid w:val="00BF4F5B"/>
    <w:rsid w:val="00BF7749"/>
    <w:rsid w:val="00BF7B39"/>
    <w:rsid w:val="00C00212"/>
    <w:rsid w:val="00C01C38"/>
    <w:rsid w:val="00C02C53"/>
    <w:rsid w:val="00C043E4"/>
    <w:rsid w:val="00C10901"/>
    <w:rsid w:val="00C11159"/>
    <w:rsid w:val="00C11557"/>
    <w:rsid w:val="00C12A69"/>
    <w:rsid w:val="00C13857"/>
    <w:rsid w:val="00C14BA6"/>
    <w:rsid w:val="00C156A6"/>
    <w:rsid w:val="00C15B03"/>
    <w:rsid w:val="00C166B0"/>
    <w:rsid w:val="00C17B13"/>
    <w:rsid w:val="00C2172F"/>
    <w:rsid w:val="00C22079"/>
    <w:rsid w:val="00C22766"/>
    <w:rsid w:val="00C22DC7"/>
    <w:rsid w:val="00C256EA"/>
    <w:rsid w:val="00C25E0E"/>
    <w:rsid w:val="00C26D3E"/>
    <w:rsid w:val="00C27430"/>
    <w:rsid w:val="00C27898"/>
    <w:rsid w:val="00C30282"/>
    <w:rsid w:val="00C30B0B"/>
    <w:rsid w:val="00C30CB9"/>
    <w:rsid w:val="00C31A4B"/>
    <w:rsid w:val="00C3200A"/>
    <w:rsid w:val="00C32650"/>
    <w:rsid w:val="00C333E5"/>
    <w:rsid w:val="00C33C9A"/>
    <w:rsid w:val="00C33D66"/>
    <w:rsid w:val="00C340C9"/>
    <w:rsid w:val="00C340F9"/>
    <w:rsid w:val="00C35E80"/>
    <w:rsid w:val="00C373AF"/>
    <w:rsid w:val="00C376B9"/>
    <w:rsid w:val="00C377AD"/>
    <w:rsid w:val="00C4069E"/>
    <w:rsid w:val="00C40C41"/>
    <w:rsid w:val="00C41399"/>
    <w:rsid w:val="00C41448"/>
    <w:rsid w:val="00C418D7"/>
    <w:rsid w:val="00C43325"/>
    <w:rsid w:val="00C434A3"/>
    <w:rsid w:val="00C43DFB"/>
    <w:rsid w:val="00C45CB7"/>
    <w:rsid w:val="00C46430"/>
    <w:rsid w:val="00C50C75"/>
    <w:rsid w:val="00C50C82"/>
    <w:rsid w:val="00C52807"/>
    <w:rsid w:val="00C52858"/>
    <w:rsid w:val="00C5311B"/>
    <w:rsid w:val="00C53F97"/>
    <w:rsid w:val="00C55D08"/>
    <w:rsid w:val="00C563BA"/>
    <w:rsid w:val="00C56C8C"/>
    <w:rsid w:val="00C57C7B"/>
    <w:rsid w:val="00C605E9"/>
    <w:rsid w:val="00C61F70"/>
    <w:rsid w:val="00C625CC"/>
    <w:rsid w:val="00C62AD8"/>
    <w:rsid w:val="00C63116"/>
    <w:rsid w:val="00C63B6F"/>
    <w:rsid w:val="00C668D6"/>
    <w:rsid w:val="00C67A48"/>
    <w:rsid w:val="00C67F7B"/>
    <w:rsid w:val="00C705C9"/>
    <w:rsid w:val="00C71B2C"/>
    <w:rsid w:val="00C71DAA"/>
    <w:rsid w:val="00C71EBF"/>
    <w:rsid w:val="00C72AD6"/>
    <w:rsid w:val="00C731A8"/>
    <w:rsid w:val="00C732FA"/>
    <w:rsid w:val="00C73BD5"/>
    <w:rsid w:val="00C73EB2"/>
    <w:rsid w:val="00C74C29"/>
    <w:rsid w:val="00C74C4C"/>
    <w:rsid w:val="00C7583B"/>
    <w:rsid w:val="00C8009D"/>
    <w:rsid w:val="00C826F5"/>
    <w:rsid w:val="00C82ACD"/>
    <w:rsid w:val="00C84243"/>
    <w:rsid w:val="00C851BD"/>
    <w:rsid w:val="00C874D0"/>
    <w:rsid w:val="00C8787D"/>
    <w:rsid w:val="00C87B7D"/>
    <w:rsid w:val="00C90CD6"/>
    <w:rsid w:val="00C91DC6"/>
    <w:rsid w:val="00C93C85"/>
    <w:rsid w:val="00C94733"/>
    <w:rsid w:val="00C94839"/>
    <w:rsid w:val="00C95B47"/>
    <w:rsid w:val="00C965BE"/>
    <w:rsid w:val="00C97D84"/>
    <w:rsid w:val="00C97ECB"/>
    <w:rsid w:val="00CA1DD0"/>
    <w:rsid w:val="00CA2564"/>
    <w:rsid w:val="00CA2954"/>
    <w:rsid w:val="00CA2BCA"/>
    <w:rsid w:val="00CA2EA1"/>
    <w:rsid w:val="00CA3FF2"/>
    <w:rsid w:val="00CA41BC"/>
    <w:rsid w:val="00CA4916"/>
    <w:rsid w:val="00CA4A7B"/>
    <w:rsid w:val="00CA4DB6"/>
    <w:rsid w:val="00CA4E43"/>
    <w:rsid w:val="00CA5D73"/>
    <w:rsid w:val="00CA5DED"/>
    <w:rsid w:val="00CA61AB"/>
    <w:rsid w:val="00CA63BA"/>
    <w:rsid w:val="00CA64F0"/>
    <w:rsid w:val="00CA6D5D"/>
    <w:rsid w:val="00CA7C56"/>
    <w:rsid w:val="00CB0A2F"/>
    <w:rsid w:val="00CB14CB"/>
    <w:rsid w:val="00CB2B93"/>
    <w:rsid w:val="00CB336C"/>
    <w:rsid w:val="00CB407B"/>
    <w:rsid w:val="00CB47D0"/>
    <w:rsid w:val="00CB5691"/>
    <w:rsid w:val="00CB68A9"/>
    <w:rsid w:val="00CB7157"/>
    <w:rsid w:val="00CB7837"/>
    <w:rsid w:val="00CB7F25"/>
    <w:rsid w:val="00CC0CCD"/>
    <w:rsid w:val="00CC1093"/>
    <w:rsid w:val="00CC17E2"/>
    <w:rsid w:val="00CC1959"/>
    <w:rsid w:val="00CC3578"/>
    <w:rsid w:val="00CC4856"/>
    <w:rsid w:val="00CC4FF3"/>
    <w:rsid w:val="00CC60A4"/>
    <w:rsid w:val="00CC68A9"/>
    <w:rsid w:val="00CD11DD"/>
    <w:rsid w:val="00CD153E"/>
    <w:rsid w:val="00CD24C0"/>
    <w:rsid w:val="00CD3F89"/>
    <w:rsid w:val="00CD4EAB"/>
    <w:rsid w:val="00CD574C"/>
    <w:rsid w:val="00CD6F5F"/>
    <w:rsid w:val="00CD78E1"/>
    <w:rsid w:val="00CE0811"/>
    <w:rsid w:val="00CE0996"/>
    <w:rsid w:val="00CE34D0"/>
    <w:rsid w:val="00CE3D09"/>
    <w:rsid w:val="00CE41B0"/>
    <w:rsid w:val="00CE4DDC"/>
    <w:rsid w:val="00CE57B2"/>
    <w:rsid w:val="00CE5F4A"/>
    <w:rsid w:val="00CE66B6"/>
    <w:rsid w:val="00CF12E9"/>
    <w:rsid w:val="00CF1C5E"/>
    <w:rsid w:val="00CF23F8"/>
    <w:rsid w:val="00CF2A38"/>
    <w:rsid w:val="00CF58AE"/>
    <w:rsid w:val="00CF5A47"/>
    <w:rsid w:val="00CF5E9D"/>
    <w:rsid w:val="00CF75F2"/>
    <w:rsid w:val="00D0026C"/>
    <w:rsid w:val="00D00B01"/>
    <w:rsid w:val="00D02104"/>
    <w:rsid w:val="00D029AA"/>
    <w:rsid w:val="00D038F3"/>
    <w:rsid w:val="00D0453C"/>
    <w:rsid w:val="00D05AB4"/>
    <w:rsid w:val="00D068AA"/>
    <w:rsid w:val="00D12498"/>
    <w:rsid w:val="00D13E12"/>
    <w:rsid w:val="00D15E08"/>
    <w:rsid w:val="00D17C26"/>
    <w:rsid w:val="00D231B3"/>
    <w:rsid w:val="00D23C90"/>
    <w:rsid w:val="00D24255"/>
    <w:rsid w:val="00D2487E"/>
    <w:rsid w:val="00D248AE"/>
    <w:rsid w:val="00D25A97"/>
    <w:rsid w:val="00D2663B"/>
    <w:rsid w:val="00D266D9"/>
    <w:rsid w:val="00D30780"/>
    <w:rsid w:val="00D30A38"/>
    <w:rsid w:val="00D312E8"/>
    <w:rsid w:val="00D318EA"/>
    <w:rsid w:val="00D318F6"/>
    <w:rsid w:val="00D31D22"/>
    <w:rsid w:val="00D32ACC"/>
    <w:rsid w:val="00D33837"/>
    <w:rsid w:val="00D35182"/>
    <w:rsid w:val="00D36CE7"/>
    <w:rsid w:val="00D373CA"/>
    <w:rsid w:val="00D37414"/>
    <w:rsid w:val="00D37ED2"/>
    <w:rsid w:val="00D40147"/>
    <w:rsid w:val="00D40785"/>
    <w:rsid w:val="00D41764"/>
    <w:rsid w:val="00D41C59"/>
    <w:rsid w:val="00D42167"/>
    <w:rsid w:val="00D42A2F"/>
    <w:rsid w:val="00D42DFD"/>
    <w:rsid w:val="00D42EC2"/>
    <w:rsid w:val="00D42F9B"/>
    <w:rsid w:val="00D430EF"/>
    <w:rsid w:val="00D43595"/>
    <w:rsid w:val="00D43E81"/>
    <w:rsid w:val="00D443D9"/>
    <w:rsid w:val="00D445BF"/>
    <w:rsid w:val="00D447E3"/>
    <w:rsid w:val="00D45029"/>
    <w:rsid w:val="00D517AC"/>
    <w:rsid w:val="00D51BE2"/>
    <w:rsid w:val="00D51F34"/>
    <w:rsid w:val="00D52220"/>
    <w:rsid w:val="00D5258B"/>
    <w:rsid w:val="00D5462D"/>
    <w:rsid w:val="00D546BF"/>
    <w:rsid w:val="00D55CB9"/>
    <w:rsid w:val="00D55CEC"/>
    <w:rsid w:val="00D55F43"/>
    <w:rsid w:val="00D56152"/>
    <w:rsid w:val="00D57438"/>
    <w:rsid w:val="00D57D07"/>
    <w:rsid w:val="00D6162E"/>
    <w:rsid w:val="00D64FDA"/>
    <w:rsid w:val="00D65ABA"/>
    <w:rsid w:val="00D660A7"/>
    <w:rsid w:val="00D67377"/>
    <w:rsid w:val="00D715EE"/>
    <w:rsid w:val="00D73CDD"/>
    <w:rsid w:val="00D756BA"/>
    <w:rsid w:val="00D75BF8"/>
    <w:rsid w:val="00D76A79"/>
    <w:rsid w:val="00D80636"/>
    <w:rsid w:val="00D80A88"/>
    <w:rsid w:val="00D8216E"/>
    <w:rsid w:val="00D83001"/>
    <w:rsid w:val="00D84925"/>
    <w:rsid w:val="00D84CE0"/>
    <w:rsid w:val="00D9049B"/>
    <w:rsid w:val="00D9337F"/>
    <w:rsid w:val="00D93745"/>
    <w:rsid w:val="00D93A43"/>
    <w:rsid w:val="00D94242"/>
    <w:rsid w:val="00D95562"/>
    <w:rsid w:val="00D9683E"/>
    <w:rsid w:val="00D97890"/>
    <w:rsid w:val="00DA108E"/>
    <w:rsid w:val="00DA19CC"/>
    <w:rsid w:val="00DA3006"/>
    <w:rsid w:val="00DA389C"/>
    <w:rsid w:val="00DA558A"/>
    <w:rsid w:val="00DA606E"/>
    <w:rsid w:val="00DA7433"/>
    <w:rsid w:val="00DB0FFA"/>
    <w:rsid w:val="00DB216E"/>
    <w:rsid w:val="00DB3D74"/>
    <w:rsid w:val="00DB772B"/>
    <w:rsid w:val="00DB7781"/>
    <w:rsid w:val="00DC0B9F"/>
    <w:rsid w:val="00DC252B"/>
    <w:rsid w:val="00DC3143"/>
    <w:rsid w:val="00DC40C3"/>
    <w:rsid w:val="00DC5032"/>
    <w:rsid w:val="00DC503E"/>
    <w:rsid w:val="00DC5D11"/>
    <w:rsid w:val="00DC7D06"/>
    <w:rsid w:val="00DD1BA2"/>
    <w:rsid w:val="00DD2753"/>
    <w:rsid w:val="00DD391E"/>
    <w:rsid w:val="00DD3D65"/>
    <w:rsid w:val="00DD4028"/>
    <w:rsid w:val="00DD514C"/>
    <w:rsid w:val="00DD62F0"/>
    <w:rsid w:val="00DE03DB"/>
    <w:rsid w:val="00DE3820"/>
    <w:rsid w:val="00DE3C9F"/>
    <w:rsid w:val="00DF020D"/>
    <w:rsid w:val="00DF066A"/>
    <w:rsid w:val="00DF1090"/>
    <w:rsid w:val="00DF1852"/>
    <w:rsid w:val="00DF196E"/>
    <w:rsid w:val="00DF1FF4"/>
    <w:rsid w:val="00DF2185"/>
    <w:rsid w:val="00DF3E8E"/>
    <w:rsid w:val="00DF3F03"/>
    <w:rsid w:val="00DF5EA8"/>
    <w:rsid w:val="00DF7E5D"/>
    <w:rsid w:val="00DF7FFA"/>
    <w:rsid w:val="00E00B91"/>
    <w:rsid w:val="00E00D4D"/>
    <w:rsid w:val="00E0108D"/>
    <w:rsid w:val="00E03257"/>
    <w:rsid w:val="00E05382"/>
    <w:rsid w:val="00E06245"/>
    <w:rsid w:val="00E07034"/>
    <w:rsid w:val="00E07CF4"/>
    <w:rsid w:val="00E10141"/>
    <w:rsid w:val="00E10F75"/>
    <w:rsid w:val="00E1196E"/>
    <w:rsid w:val="00E1220C"/>
    <w:rsid w:val="00E12309"/>
    <w:rsid w:val="00E1453A"/>
    <w:rsid w:val="00E15257"/>
    <w:rsid w:val="00E164F2"/>
    <w:rsid w:val="00E168CE"/>
    <w:rsid w:val="00E16D4A"/>
    <w:rsid w:val="00E16F74"/>
    <w:rsid w:val="00E1774F"/>
    <w:rsid w:val="00E20017"/>
    <w:rsid w:val="00E20273"/>
    <w:rsid w:val="00E2125F"/>
    <w:rsid w:val="00E223E2"/>
    <w:rsid w:val="00E225C2"/>
    <w:rsid w:val="00E23703"/>
    <w:rsid w:val="00E237E9"/>
    <w:rsid w:val="00E24DA0"/>
    <w:rsid w:val="00E256F1"/>
    <w:rsid w:val="00E25D35"/>
    <w:rsid w:val="00E261F3"/>
    <w:rsid w:val="00E26BE2"/>
    <w:rsid w:val="00E27679"/>
    <w:rsid w:val="00E27EA8"/>
    <w:rsid w:val="00E302BD"/>
    <w:rsid w:val="00E31326"/>
    <w:rsid w:val="00E3142F"/>
    <w:rsid w:val="00E31BB1"/>
    <w:rsid w:val="00E331EC"/>
    <w:rsid w:val="00E34AFA"/>
    <w:rsid w:val="00E357B8"/>
    <w:rsid w:val="00E36457"/>
    <w:rsid w:val="00E36C09"/>
    <w:rsid w:val="00E40D3A"/>
    <w:rsid w:val="00E42281"/>
    <w:rsid w:val="00E4310E"/>
    <w:rsid w:val="00E44320"/>
    <w:rsid w:val="00E45313"/>
    <w:rsid w:val="00E46348"/>
    <w:rsid w:val="00E46C5B"/>
    <w:rsid w:val="00E46E02"/>
    <w:rsid w:val="00E50766"/>
    <w:rsid w:val="00E5234C"/>
    <w:rsid w:val="00E52897"/>
    <w:rsid w:val="00E53494"/>
    <w:rsid w:val="00E53889"/>
    <w:rsid w:val="00E54A51"/>
    <w:rsid w:val="00E5799C"/>
    <w:rsid w:val="00E57BB6"/>
    <w:rsid w:val="00E600DA"/>
    <w:rsid w:val="00E607AC"/>
    <w:rsid w:val="00E60B40"/>
    <w:rsid w:val="00E610F1"/>
    <w:rsid w:val="00E6225D"/>
    <w:rsid w:val="00E62B6B"/>
    <w:rsid w:val="00E63CA9"/>
    <w:rsid w:val="00E64555"/>
    <w:rsid w:val="00E672AA"/>
    <w:rsid w:val="00E71606"/>
    <w:rsid w:val="00E7191B"/>
    <w:rsid w:val="00E7332B"/>
    <w:rsid w:val="00E7370B"/>
    <w:rsid w:val="00E7457C"/>
    <w:rsid w:val="00E75A0F"/>
    <w:rsid w:val="00E75BA5"/>
    <w:rsid w:val="00E76A82"/>
    <w:rsid w:val="00E77104"/>
    <w:rsid w:val="00E81482"/>
    <w:rsid w:val="00E81822"/>
    <w:rsid w:val="00E823BC"/>
    <w:rsid w:val="00E82640"/>
    <w:rsid w:val="00E843DD"/>
    <w:rsid w:val="00E85B9D"/>
    <w:rsid w:val="00E86194"/>
    <w:rsid w:val="00E86986"/>
    <w:rsid w:val="00E87B50"/>
    <w:rsid w:val="00E87B62"/>
    <w:rsid w:val="00E90041"/>
    <w:rsid w:val="00E911CE"/>
    <w:rsid w:val="00E91921"/>
    <w:rsid w:val="00E92AC6"/>
    <w:rsid w:val="00E94353"/>
    <w:rsid w:val="00E96219"/>
    <w:rsid w:val="00E96AE1"/>
    <w:rsid w:val="00EA0412"/>
    <w:rsid w:val="00EA3255"/>
    <w:rsid w:val="00EA343F"/>
    <w:rsid w:val="00EA3910"/>
    <w:rsid w:val="00EA3FED"/>
    <w:rsid w:val="00EA433C"/>
    <w:rsid w:val="00EA4F32"/>
    <w:rsid w:val="00EA5BB8"/>
    <w:rsid w:val="00EA6A5F"/>
    <w:rsid w:val="00EA6FA8"/>
    <w:rsid w:val="00EA6FC1"/>
    <w:rsid w:val="00EA7060"/>
    <w:rsid w:val="00EA7B36"/>
    <w:rsid w:val="00EB0C57"/>
    <w:rsid w:val="00EB195F"/>
    <w:rsid w:val="00EB2F5B"/>
    <w:rsid w:val="00EB5140"/>
    <w:rsid w:val="00EB707C"/>
    <w:rsid w:val="00EB7C1A"/>
    <w:rsid w:val="00EC0FBF"/>
    <w:rsid w:val="00EC1B7A"/>
    <w:rsid w:val="00EC2BA5"/>
    <w:rsid w:val="00EC3A36"/>
    <w:rsid w:val="00EC69ED"/>
    <w:rsid w:val="00EC6EFB"/>
    <w:rsid w:val="00EC7B78"/>
    <w:rsid w:val="00ED22BD"/>
    <w:rsid w:val="00ED25AE"/>
    <w:rsid w:val="00ED4245"/>
    <w:rsid w:val="00ED42E5"/>
    <w:rsid w:val="00ED6692"/>
    <w:rsid w:val="00EE1CCD"/>
    <w:rsid w:val="00EE2495"/>
    <w:rsid w:val="00EE2881"/>
    <w:rsid w:val="00EE3B45"/>
    <w:rsid w:val="00EE3CA5"/>
    <w:rsid w:val="00EE4C97"/>
    <w:rsid w:val="00EE4F05"/>
    <w:rsid w:val="00EE532D"/>
    <w:rsid w:val="00EE5868"/>
    <w:rsid w:val="00EE7728"/>
    <w:rsid w:val="00EF04A2"/>
    <w:rsid w:val="00EF167E"/>
    <w:rsid w:val="00EF16AB"/>
    <w:rsid w:val="00EF16ED"/>
    <w:rsid w:val="00EF2CC8"/>
    <w:rsid w:val="00EF5376"/>
    <w:rsid w:val="00EF5422"/>
    <w:rsid w:val="00EF5CC3"/>
    <w:rsid w:val="00EF7471"/>
    <w:rsid w:val="00F0132C"/>
    <w:rsid w:val="00F026C6"/>
    <w:rsid w:val="00F032AE"/>
    <w:rsid w:val="00F04150"/>
    <w:rsid w:val="00F042B1"/>
    <w:rsid w:val="00F05DD2"/>
    <w:rsid w:val="00F068BD"/>
    <w:rsid w:val="00F0732B"/>
    <w:rsid w:val="00F07672"/>
    <w:rsid w:val="00F11985"/>
    <w:rsid w:val="00F1253B"/>
    <w:rsid w:val="00F1406E"/>
    <w:rsid w:val="00F14E64"/>
    <w:rsid w:val="00F16B3D"/>
    <w:rsid w:val="00F17B41"/>
    <w:rsid w:val="00F17DF7"/>
    <w:rsid w:val="00F207E6"/>
    <w:rsid w:val="00F21510"/>
    <w:rsid w:val="00F21AC4"/>
    <w:rsid w:val="00F2439A"/>
    <w:rsid w:val="00F244B5"/>
    <w:rsid w:val="00F24C10"/>
    <w:rsid w:val="00F24E7F"/>
    <w:rsid w:val="00F252E8"/>
    <w:rsid w:val="00F25BD6"/>
    <w:rsid w:val="00F25CE7"/>
    <w:rsid w:val="00F26515"/>
    <w:rsid w:val="00F26CF2"/>
    <w:rsid w:val="00F27AE9"/>
    <w:rsid w:val="00F30B2D"/>
    <w:rsid w:val="00F30BA7"/>
    <w:rsid w:val="00F311E4"/>
    <w:rsid w:val="00F31AC8"/>
    <w:rsid w:val="00F322F4"/>
    <w:rsid w:val="00F32A42"/>
    <w:rsid w:val="00F32A43"/>
    <w:rsid w:val="00F335D8"/>
    <w:rsid w:val="00F33658"/>
    <w:rsid w:val="00F33EA9"/>
    <w:rsid w:val="00F349A4"/>
    <w:rsid w:val="00F34F10"/>
    <w:rsid w:val="00F35429"/>
    <w:rsid w:val="00F35BD5"/>
    <w:rsid w:val="00F3607D"/>
    <w:rsid w:val="00F3624A"/>
    <w:rsid w:val="00F36B69"/>
    <w:rsid w:val="00F36DFA"/>
    <w:rsid w:val="00F42743"/>
    <w:rsid w:val="00F4306E"/>
    <w:rsid w:val="00F441E6"/>
    <w:rsid w:val="00F47BF1"/>
    <w:rsid w:val="00F50049"/>
    <w:rsid w:val="00F51BAD"/>
    <w:rsid w:val="00F51BAE"/>
    <w:rsid w:val="00F51BB5"/>
    <w:rsid w:val="00F52D2A"/>
    <w:rsid w:val="00F52FDE"/>
    <w:rsid w:val="00F54EEB"/>
    <w:rsid w:val="00F550C7"/>
    <w:rsid w:val="00F552DC"/>
    <w:rsid w:val="00F5713C"/>
    <w:rsid w:val="00F612D9"/>
    <w:rsid w:val="00F616DD"/>
    <w:rsid w:val="00F61E39"/>
    <w:rsid w:val="00F62424"/>
    <w:rsid w:val="00F625DF"/>
    <w:rsid w:val="00F631A3"/>
    <w:rsid w:val="00F639C9"/>
    <w:rsid w:val="00F65E7F"/>
    <w:rsid w:val="00F66103"/>
    <w:rsid w:val="00F670F6"/>
    <w:rsid w:val="00F67BDB"/>
    <w:rsid w:val="00F716EA"/>
    <w:rsid w:val="00F72298"/>
    <w:rsid w:val="00F73091"/>
    <w:rsid w:val="00F7448A"/>
    <w:rsid w:val="00F74D92"/>
    <w:rsid w:val="00F76ADB"/>
    <w:rsid w:val="00F81C8E"/>
    <w:rsid w:val="00F834C6"/>
    <w:rsid w:val="00F85030"/>
    <w:rsid w:val="00F86F0A"/>
    <w:rsid w:val="00F8711C"/>
    <w:rsid w:val="00F873B4"/>
    <w:rsid w:val="00F8757E"/>
    <w:rsid w:val="00F907BC"/>
    <w:rsid w:val="00F90C93"/>
    <w:rsid w:val="00F91A23"/>
    <w:rsid w:val="00F9377D"/>
    <w:rsid w:val="00F93F2F"/>
    <w:rsid w:val="00F94454"/>
    <w:rsid w:val="00F96805"/>
    <w:rsid w:val="00F974EA"/>
    <w:rsid w:val="00F97A52"/>
    <w:rsid w:val="00FA0C15"/>
    <w:rsid w:val="00FA1AAC"/>
    <w:rsid w:val="00FA1D5E"/>
    <w:rsid w:val="00FA36E8"/>
    <w:rsid w:val="00FA4872"/>
    <w:rsid w:val="00FA555B"/>
    <w:rsid w:val="00FA59BF"/>
    <w:rsid w:val="00FA6EE2"/>
    <w:rsid w:val="00FB05B2"/>
    <w:rsid w:val="00FB10B1"/>
    <w:rsid w:val="00FB1329"/>
    <w:rsid w:val="00FB157D"/>
    <w:rsid w:val="00FB218A"/>
    <w:rsid w:val="00FB2B48"/>
    <w:rsid w:val="00FB3E0E"/>
    <w:rsid w:val="00FB7D89"/>
    <w:rsid w:val="00FC1EAC"/>
    <w:rsid w:val="00FC39C7"/>
    <w:rsid w:val="00FC46FC"/>
    <w:rsid w:val="00FC5CC6"/>
    <w:rsid w:val="00FC5E42"/>
    <w:rsid w:val="00FD192C"/>
    <w:rsid w:val="00FD2A43"/>
    <w:rsid w:val="00FD2AC1"/>
    <w:rsid w:val="00FD34D9"/>
    <w:rsid w:val="00FD527D"/>
    <w:rsid w:val="00FD6EAD"/>
    <w:rsid w:val="00FD78D7"/>
    <w:rsid w:val="00FE0933"/>
    <w:rsid w:val="00FE159D"/>
    <w:rsid w:val="00FE232C"/>
    <w:rsid w:val="00FE2673"/>
    <w:rsid w:val="00FE272A"/>
    <w:rsid w:val="00FE3F6A"/>
    <w:rsid w:val="00FE433E"/>
    <w:rsid w:val="00FE5B6E"/>
    <w:rsid w:val="00FE61BF"/>
    <w:rsid w:val="00FE70AA"/>
    <w:rsid w:val="00FF153E"/>
    <w:rsid w:val="00FF16DF"/>
    <w:rsid w:val="00FF1CC9"/>
    <w:rsid w:val="00FF2D87"/>
    <w:rsid w:val="00FF39B7"/>
    <w:rsid w:val="00FF6107"/>
    <w:rsid w:val="00FF630F"/>
    <w:rsid w:val="00FF637C"/>
    <w:rsid w:val="0165187B"/>
    <w:rsid w:val="016B694D"/>
    <w:rsid w:val="01A273D3"/>
    <w:rsid w:val="01B31A37"/>
    <w:rsid w:val="01E61A5A"/>
    <w:rsid w:val="01FB622B"/>
    <w:rsid w:val="022C09FA"/>
    <w:rsid w:val="02875E98"/>
    <w:rsid w:val="028769D2"/>
    <w:rsid w:val="02906A4A"/>
    <w:rsid w:val="02AB0274"/>
    <w:rsid w:val="03057465"/>
    <w:rsid w:val="033632CC"/>
    <w:rsid w:val="036D4046"/>
    <w:rsid w:val="03D10E10"/>
    <w:rsid w:val="03F7648C"/>
    <w:rsid w:val="04211CE8"/>
    <w:rsid w:val="042E2D97"/>
    <w:rsid w:val="04722178"/>
    <w:rsid w:val="04C75F38"/>
    <w:rsid w:val="04CB16A6"/>
    <w:rsid w:val="04F14B3B"/>
    <w:rsid w:val="052D0EB9"/>
    <w:rsid w:val="05C64802"/>
    <w:rsid w:val="05D06D63"/>
    <w:rsid w:val="05F16899"/>
    <w:rsid w:val="061D653F"/>
    <w:rsid w:val="06384736"/>
    <w:rsid w:val="06492CDA"/>
    <w:rsid w:val="06846C95"/>
    <w:rsid w:val="069E01DD"/>
    <w:rsid w:val="06AD3356"/>
    <w:rsid w:val="06CD2B05"/>
    <w:rsid w:val="06E152BB"/>
    <w:rsid w:val="06F65632"/>
    <w:rsid w:val="07665CB6"/>
    <w:rsid w:val="07802644"/>
    <w:rsid w:val="078B085C"/>
    <w:rsid w:val="07BE55BD"/>
    <w:rsid w:val="08083C08"/>
    <w:rsid w:val="082E4BE6"/>
    <w:rsid w:val="085D4557"/>
    <w:rsid w:val="0887052E"/>
    <w:rsid w:val="08B10A11"/>
    <w:rsid w:val="08B64D85"/>
    <w:rsid w:val="08DB521D"/>
    <w:rsid w:val="08FC114E"/>
    <w:rsid w:val="099E18EC"/>
    <w:rsid w:val="09C205A6"/>
    <w:rsid w:val="09EB6A4A"/>
    <w:rsid w:val="0A314A3C"/>
    <w:rsid w:val="0A3F255A"/>
    <w:rsid w:val="0A4F6D81"/>
    <w:rsid w:val="0A563893"/>
    <w:rsid w:val="0AB07E17"/>
    <w:rsid w:val="0ABC3B0F"/>
    <w:rsid w:val="0B594BF0"/>
    <w:rsid w:val="0B76162B"/>
    <w:rsid w:val="0B7E6640"/>
    <w:rsid w:val="0B9759CB"/>
    <w:rsid w:val="0B9F298B"/>
    <w:rsid w:val="0BA17801"/>
    <w:rsid w:val="0BBD0B4B"/>
    <w:rsid w:val="0C46715B"/>
    <w:rsid w:val="0C5A3BE8"/>
    <w:rsid w:val="0C954ACE"/>
    <w:rsid w:val="0CE32FEC"/>
    <w:rsid w:val="0D007FE8"/>
    <w:rsid w:val="0D121E2E"/>
    <w:rsid w:val="0D207105"/>
    <w:rsid w:val="0D374572"/>
    <w:rsid w:val="0D554739"/>
    <w:rsid w:val="0D651BCA"/>
    <w:rsid w:val="0D6E3106"/>
    <w:rsid w:val="0D7F35C8"/>
    <w:rsid w:val="0DAA166A"/>
    <w:rsid w:val="0DCA3641"/>
    <w:rsid w:val="0DF01028"/>
    <w:rsid w:val="0E2B2010"/>
    <w:rsid w:val="0E6B5243"/>
    <w:rsid w:val="0E9A6BD7"/>
    <w:rsid w:val="0ECB2F21"/>
    <w:rsid w:val="0EE93940"/>
    <w:rsid w:val="0F204052"/>
    <w:rsid w:val="0F4027A6"/>
    <w:rsid w:val="0F8D5D51"/>
    <w:rsid w:val="0FCD7248"/>
    <w:rsid w:val="0FDA544F"/>
    <w:rsid w:val="0FF05D87"/>
    <w:rsid w:val="109516E1"/>
    <w:rsid w:val="10E274A2"/>
    <w:rsid w:val="11486407"/>
    <w:rsid w:val="11983CB8"/>
    <w:rsid w:val="11EA5E99"/>
    <w:rsid w:val="11EC7DB0"/>
    <w:rsid w:val="11F76E95"/>
    <w:rsid w:val="12005FB4"/>
    <w:rsid w:val="12C44B14"/>
    <w:rsid w:val="133D5955"/>
    <w:rsid w:val="13AD4C49"/>
    <w:rsid w:val="14310518"/>
    <w:rsid w:val="144F7168"/>
    <w:rsid w:val="14A362E8"/>
    <w:rsid w:val="15497505"/>
    <w:rsid w:val="15597252"/>
    <w:rsid w:val="15D2790A"/>
    <w:rsid w:val="15EF4B50"/>
    <w:rsid w:val="16366837"/>
    <w:rsid w:val="16CC082C"/>
    <w:rsid w:val="17233261"/>
    <w:rsid w:val="172D4395"/>
    <w:rsid w:val="174A24AA"/>
    <w:rsid w:val="175A60BB"/>
    <w:rsid w:val="177C22F4"/>
    <w:rsid w:val="17B0799A"/>
    <w:rsid w:val="17EA4513"/>
    <w:rsid w:val="183F146A"/>
    <w:rsid w:val="18D147F4"/>
    <w:rsid w:val="194A1248"/>
    <w:rsid w:val="199F4380"/>
    <w:rsid w:val="1A171B1B"/>
    <w:rsid w:val="1A5E3BAF"/>
    <w:rsid w:val="1A784B5F"/>
    <w:rsid w:val="1B0911B7"/>
    <w:rsid w:val="1B132AFE"/>
    <w:rsid w:val="1B32481D"/>
    <w:rsid w:val="1B586C38"/>
    <w:rsid w:val="1B727AE2"/>
    <w:rsid w:val="1BAA22A9"/>
    <w:rsid w:val="1BB459C4"/>
    <w:rsid w:val="1C007A08"/>
    <w:rsid w:val="1C801B8C"/>
    <w:rsid w:val="1C922676"/>
    <w:rsid w:val="1C9D0464"/>
    <w:rsid w:val="1CA44DA5"/>
    <w:rsid w:val="1CB32F60"/>
    <w:rsid w:val="1CBA048A"/>
    <w:rsid w:val="1CD81476"/>
    <w:rsid w:val="1D080E61"/>
    <w:rsid w:val="1D261C6B"/>
    <w:rsid w:val="1D4E5DC0"/>
    <w:rsid w:val="1D586945"/>
    <w:rsid w:val="1DA87F01"/>
    <w:rsid w:val="1DF63560"/>
    <w:rsid w:val="1EA63CBC"/>
    <w:rsid w:val="1EA80AE9"/>
    <w:rsid w:val="1F1D2140"/>
    <w:rsid w:val="1FD7480F"/>
    <w:rsid w:val="205F2B37"/>
    <w:rsid w:val="20A96F45"/>
    <w:rsid w:val="211A05D8"/>
    <w:rsid w:val="214E5A3C"/>
    <w:rsid w:val="21585B21"/>
    <w:rsid w:val="215D001D"/>
    <w:rsid w:val="21AF1851"/>
    <w:rsid w:val="21CE23E3"/>
    <w:rsid w:val="22046F89"/>
    <w:rsid w:val="22635D15"/>
    <w:rsid w:val="22703D10"/>
    <w:rsid w:val="23392471"/>
    <w:rsid w:val="23C47F78"/>
    <w:rsid w:val="24027151"/>
    <w:rsid w:val="246D013F"/>
    <w:rsid w:val="24764417"/>
    <w:rsid w:val="24773C1E"/>
    <w:rsid w:val="2489110A"/>
    <w:rsid w:val="24934644"/>
    <w:rsid w:val="24966D85"/>
    <w:rsid w:val="24B659F3"/>
    <w:rsid w:val="24CB3AE4"/>
    <w:rsid w:val="259114AC"/>
    <w:rsid w:val="25B507C2"/>
    <w:rsid w:val="26A14E0E"/>
    <w:rsid w:val="26C47D87"/>
    <w:rsid w:val="26DE3E63"/>
    <w:rsid w:val="27404559"/>
    <w:rsid w:val="27714D08"/>
    <w:rsid w:val="27CA71C1"/>
    <w:rsid w:val="281878E4"/>
    <w:rsid w:val="28685504"/>
    <w:rsid w:val="28996705"/>
    <w:rsid w:val="28BD18FF"/>
    <w:rsid w:val="2951429C"/>
    <w:rsid w:val="29C34B3B"/>
    <w:rsid w:val="29C61DDE"/>
    <w:rsid w:val="2A37716E"/>
    <w:rsid w:val="2A425636"/>
    <w:rsid w:val="2AAB7E66"/>
    <w:rsid w:val="2AD875EC"/>
    <w:rsid w:val="2B620025"/>
    <w:rsid w:val="2B780BB4"/>
    <w:rsid w:val="2B7E0AE6"/>
    <w:rsid w:val="2BB46F0D"/>
    <w:rsid w:val="2BC25C6F"/>
    <w:rsid w:val="2BE16C2E"/>
    <w:rsid w:val="2CE97147"/>
    <w:rsid w:val="2CFE53D4"/>
    <w:rsid w:val="2D1020C0"/>
    <w:rsid w:val="2D2D12A6"/>
    <w:rsid w:val="2D4765F7"/>
    <w:rsid w:val="2DDA7AC0"/>
    <w:rsid w:val="2E62665E"/>
    <w:rsid w:val="2F0D3A2B"/>
    <w:rsid w:val="2FB036AB"/>
    <w:rsid w:val="2FE43862"/>
    <w:rsid w:val="30244A98"/>
    <w:rsid w:val="30566B53"/>
    <w:rsid w:val="305F4C32"/>
    <w:rsid w:val="306F10FA"/>
    <w:rsid w:val="306F212B"/>
    <w:rsid w:val="308A32E6"/>
    <w:rsid w:val="30925129"/>
    <w:rsid w:val="30C93BD6"/>
    <w:rsid w:val="322407E0"/>
    <w:rsid w:val="32456EF4"/>
    <w:rsid w:val="325840FC"/>
    <w:rsid w:val="326A4E8C"/>
    <w:rsid w:val="350805F4"/>
    <w:rsid w:val="353D5303"/>
    <w:rsid w:val="35487ACD"/>
    <w:rsid w:val="35561C4B"/>
    <w:rsid w:val="357A3903"/>
    <w:rsid w:val="35A223A0"/>
    <w:rsid w:val="35A76A10"/>
    <w:rsid w:val="35AA4D5C"/>
    <w:rsid w:val="35B40CCE"/>
    <w:rsid w:val="35BC6CB0"/>
    <w:rsid w:val="35D60399"/>
    <w:rsid w:val="35E24297"/>
    <w:rsid w:val="35FD7D6D"/>
    <w:rsid w:val="36040F45"/>
    <w:rsid w:val="363329DA"/>
    <w:rsid w:val="366E7296"/>
    <w:rsid w:val="37003A82"/>
    <w:rsid w:val="37111C17"/>
    <w:rsid w:val="37287E36"/>
    <w:rsid w:val="37407971"/>
    <w:rsid w:val="37936A38"/>
    <w:rsid w:val="37A33749"/>
    <w:rsid w:val="38570169"/>
    <w:rsid w:val="394242FB"/>
    <w:rsid w:val="39F64D77"/>
    <w:rsid w:val="3A1A20FB"/>
    <w:rsid w:val="3A1F3DD2"/>
    <w:rsid w:val="3A20766B"/>
    <w:rsid w:val="3A415504"/>
    <w:rsid w:val="3B1E46B6"/>
    <w:rsid w:val="3B4B7622"/>
    <w:rsid w:val="3B504C5E"/>
    <w:rsid w:val="3BBB2F2D"/>
    <w:rsid w:val="3BC01394"/>
    <w:rsid w:val="3BFA7E6C"/>
    <w:rsid w:val="3C3A3C32"/>
    <w:rsid w:val="3C4F123C"/>
    <w:rsid w:val="3C4F4A25"/>
    <w:rsid w:val="3C7C4735"/>
    <w:rsid w:val="3C9D316B"/>
    <w:rsid w:val="3D096FFA"/>
    <w:rsid w:val="3D0A42A3"/>
    <w:rsid w:val="3D991C50"/>
    <w:rsid w:val="3E323086"/>
    <w:rsid w:val="3E941535"/>
    <w:rsid w:val="3EF6285D"/>
    <w:rsid w:val="3F0F18D7"/>
    <w:rsid w:val="3F5352C9"/>
    <w:rsid w:val="3F7A3BDB"/>
    <w:rsid w:val="3F8F153F"/>
    <w:rsid w:val="3FA344F6"/>
    <w:rsid w:val="401648AC"/>
    <w:rsid w:val="40262AA4"/>
    <w:rsid w:val="40406B90"/>
    <w:rsid w:val="407A4F87"/>
    <w:rsid w:val="4191152D"/>
    <w:rsid w:val="41D16C7F"/>
    <w:rsid w:val="41E009DF"/>
    <w:rsid w:val="420D382F"/>
    <w:rsid w:val="425E0835"/>
    <w:rsid w:val="427B3E34"/>
    <w:rsid w:val="431B6C97"/>
    <w:rsid w:val="43484058"/>
    <w:rsid w:val="43973543"/>
    <w:rsid w:val="43A71623"/>
    <w:rsid w:val="43B7169C"/>
    <w:rsid w:val="43C96B81"/>
    <w:rsid w:val="43CA3EB7"/>
    <w:rsid w:val="43E57168"/>
    <w:rsid w:val="43FB7058"/>
    <w:rsid w:val="440A3F9A"/>
    <w:rsid w:val="448E390A"/>
    <w:rsid w:val="44CF0595"/>
    <w:rsid w:val="44E67394"/>
    <w:rsid w:val="453117E0"/>
    <w:rsid w:val="45857F9A"/>
    <w:rsid w:val="45FE4302"/>
    <w:rsid w:val="4611180C"/>
    <w:rsid w:val="461A1909"/>
    <w:rsid w:val="464900AD"/>
    <w:rsid w:val="46565D56"/>
    <w:rsid w:val="4668729D"/>
    <w:rsid w:val="46F36D89"/>
    <w:rsid w:val="47246CEE"/>
    <w:rsid w:val="47530610"/>
    <w:rsid w:val="475931C4"/>
    <w:rsid w:val="477E595E"/>
    <w:rsid w:val="48320B10"/>
    <w:rsid w:val="492402D2"/>
    <w:rsid w:val="499816AF"/>
    <w:rsid w:val="4A0E0B6F"/>
    <w:rsid w:val="4A0E1C6D"/>
    <w:rsid w:val="4A443923"/>
    <w:rsid w:val="4A652CFF"/>
    <w:rsid w:val="4A782A70"/>
    <w:rsid w:val="4AAD135E"/>
    <w:rsid w:val="4AAE5EC8"/>
    <w:rsid w:val="4AE9238A"/>
    <w:rsid w:val="4B2343DF"/>
    <w:rsid w:val="4B247459"/>
    <w:rsid w:val="4B557DB4"/>
    <w:rsid w:val="4BA771D1"/>
    <w:rsid w:val="4BF60FE4"/>
    <w:rsid w:val="4C7243DC"/>
    <w:rsid w:val="4CB0223C"/>
    <w:rsid w:val="4CE6082A"/>
    <w:rsid w:val="4D3876FA"/>
    <w:rsid w:val="4D6A63D3"/>
    <w:rsid w:val="4D8A10EC"/>
    <w:rsid w:val="4DA23118"/>
    <w:rsid w:val="4DAB05D8"/>
    <w:rsid w:val="4DC02B69"/>
    <w:rsid w:val="4DDA31B5"/>
    <w:rsid w:val="4E7A0D51"/>
    <w:rsid w:val="4E846CDB"/>
    <w:rsid w:val="4EBC2675"/>
    <w:rsid w:val="4EE93361"/>
    <w:rsid w:val="4F117F66"/>
    <w:rsid w:val="4F1C2435"/>
    <w:rsid w:val="5021478F"/>
    <w:rsid w:val="502260E6"/>
    <w:rsid w:val="5044191C"/>
    <w:rsid w:val="51567BB4"/>
    <w:rsid w:val="51CA1B00"/>
    <w:rsid w:val="51E86D02"/>
    <w:rsid w:val="52423EA5"/>
    <w:rsid w:val="52805D3C"/>
    <w:rsid w:val="52866BA0"/>
    <w:rsid w:val="530D54DA"/>
    <w:rsid w:val="53113240"/>
    <w:rsid w:val="53183CFC"/>
    <w:rsid w:val="53412744"/>
    <w:rsid w:val="53C42298"/>
    <w:rsid w:val="53DF3B7D"/>
    <w:rsid w:val="54031307"/>
    <w:rsid w:val="540920EA"/>
    <w:rsid w:val="540E1367"/>
    <w:rsid w:val="54396799"/>
    <w:rsid w:val="54890361"/>
    <w:rsid w:val="548C2DB7"/>
    <w:rsid w:val="54C232CC"/>
    <w:rsid w:val="551127AF"/>
    <w:rsid w:val="55423C54"/>
    <w:rsid w:val="55B06FF2"/>
    <w:rsid w:val="55CA3047"/>
    <w:rsid w:val="55F2609C"/>
    <w:rsid w:val="5627232B"/>
    <w:rsid w:val="562975D3"/>
    <w:rsid w:val="56367AB7"/>
    <w:rsid w:val="56711034"/>
    <w:rsid w:val="569E7520"/>
    <w:rsid w:val="57067CDC"/>
    <w:rsid w:val="57075AB6"/>
    <w:rsid w:val="571F0C56"/>
    <w:rsid w:val="580B7FF8"/>
    <w:rsid w:val="58475BE2"/>
    <w:rsid w:val="58612C0E"/>
    <w:rsid w:val="590410BC"/>
    <w:rsid w:val="590917D4"/>
    <w:rsid w:val="5913170F"/>
    <w:rsid w:val="59142FA2"/>
    <w:rsid w:val="59422965"/>
    <w:rsid w:val="59847F3F"/>
    <w:rsid w:val="59DA6D5B"/>
    <w:rsid w:val="5A101298"/>
    <w:rsid w:val="5A4D770A"/>
    <w:rsid w:val="5A4E655C"/>
    <w:rsid w:val="5A547691"/>
    <w:rsid w:val="5A7D462B"/>
    <w:rsid w:val="5ACB7B80"/>
    <w:rsid w:val="5AD15A9F"/>
    <w:rsid w:val="5AE3441F"/>
    <w:rsid w:val="5AF1590C"/>
    <w:rsid w:val="5B036E93"/>
    <w:rsid w:val="5B0A3564"/>
    <w:rsid w:val="5B12387B"/>
    <w:rsid w:val="5B351C9F"/>
    <w:rsid w:val="5B5A4F3F"/>
    <w:rsid w:val="5BAF20F8"/>
    <w:rsid w:val="5BB71401"/>
    <w:rsid w:val="5BD569AC"/>
    <w:rsid w:val="5BE63CB0"/>
    <w:rsid w:val="5C8973EC"/>
    <w:rsid w:val="5C8E6A9B"/>
    <w:rsid w:val="5CB03280"/>
    <w:rsid w:val="5CC85A41"/>
    <w:rsid w:val="5D1537FC"/>
    <w:rsid w:val="5D8B3B8B"/>
    <w:rsid w:val="5D8D7888"/>
    <w:rsid w:val="5D925F14"/>
    <w:rsid w:val="5E146FA0"/>
    <w:rsid w:val="5E1C2EDE"/>
    <w:rsid w:val="5E7F70A4"/>
    <w:rsid w:val="5ED4793E"/>
    <w:rsid w:val="5F3326D0"/>
    <w:rsid w:val="5F3B393A"/>
    <w:rsid w:val="5F6B6001"/>
    <w:rsid w:val="5FA169E9"/>
    <w:rsid w:val="5FED7C93"/>
    <w:rsid w:val="600B0AF4"/>
    <w:rsid w:val="60174650"/>
    <w:rsid w:val="604638DA"/>
    <w:rsid w:val="605F3AB2"/>
    <w:rsid w:val="60B56111"/>
    <w:rsid w:val="60F83949"/>
    <w:rsid w:val="61352AF2"/>
    <w:rsid w:val="618662CC"/>
    <w:rsid w:val="61A63835"/>
    <w:rsid w:val="61B265B7"/>
    <w:rsid w:val="61C45BA7"/>
    <w:rsid w:val="61EF3F45"/>
    <w:rsid w:val="6250618F"/>
    <w:rsid w:val="62715CD1"/>
    <w:rsid w:val="628271A8"/>
    <w:rsid w:val="62884C95"/>
    <w:rsid w:val="62B27A12"/>
    <w:rsid w:val="6340472D"/>
    <w:rsid w:val="634C09B0"/>
    <w:rsid w:val="636D70AC"/>
    <w:rsid w:val="64547A0A"/>
    <w:rsid w:val="64921BCD"/>
    <w:rsid w:val="64996242"/>
    <w:rsid w:val="649D51A4"/>
    <w:rsid w:val="64D42085"/>
    <w:rsid w:val="64F27B41"/>
    <w:rsid w:val="650A62CB"/>
    <w:rsid w:val="65AD4BC7"/>
    <w:rsid w:val="65B71776"/>
    <w:rsid w:val="65C51536"/>
    <w:rsid w:val="65D72825"/>
    <w:rsid w:val="666E3C00"/>
    <w:rsid w:val="667603A9"/>
    <w:rsid w:val="66D3649C"/>
    <w:rsid w:val="6762309D"/>
    <w:rsid w:val="677B66A2"/>
    <w:rsid w:val="677D22B5"/>
    <w:rsid w:val="679F3880"/>
    <w:rsid w:val="68282881"/>
    <w:rsid w:val="687C52E8"/>
    <w:rsid w:val="689C5728"/>
    <w:rsid w:val="68F67B08"/>
    <w:rsid w:val="69130314"/>
    <w:rsid w:val="692B5A7A"/>
    <w:rsid w:val="69400437"/>
    <w:rsid w:val="69634B21"/>
    <w:rsid w:val="69AB3A2F"/>
    <w:rsid w:val="6A162F7B"/>
    <w:rsid w:val="6A932E12"/>
    <w:rsid w:val="6AB22D9B"/>
    <w:rsid w:val="6AB6305B"/>
    <w:rsid w:val="6AB90199"/>
    <w:rsid w:val="6AEE746E"/>
    <w:rsid w:val="6B3769FA"/>
    <w:rsid w:val="6B602E43"/>
    <w:rsid w:val="6BC71428"/>
    <w:rsid w:val="6BE31CDF"/>
    <w:rsid w:val="6BEC76BE"/>
    <w:rsid w:val="6C455DFE"/>
    <w:rsid w:val="6C862BE4"/>
    <w:rsid w:val="6CD05983"/>
    <w:rsid w:val="6D4F34C2"/>
    <w:rsid w:val="6DEF6043"/>
    <w:rsid w:val="6DFD2C4F"/>
    <w:rsid w:val="6DFD40F9"/>
    <w:rsid w:val="6E0F358A"/>
    <w:rsid w:val="6E2476C2"/>
    <w:rsid w:val="6E3146F2"/>
    <w:rsid w:val="6EA75C93"/>
    <w:rsid w:val="6EC26602"/>
    <w:rsid w:val="6FC62C1A"/>
    <w:rsid w:val="6FDC5BDB"/>
    <w:rsid w:val="70960357"/>
    <w:rsid w:val="70E71580"/>
    <w:rsid w:val="70E97E84"/>
    <w:rsid w:val="719C225C"/>
    <w:rsid w:val="71B730D7"/>
    <w:rsid w:val="72214573"/>
    <w:rsid w:val="723E02F0"/>
    <w:rsid w:val="726D176D"/>
    <w:rsid w:val="727453F4"/>
    <w:rsid w:val="728F2015"/>
    <w:rsid w:val="72AE2A32"/>
    <w:rsid w:val="72D15088"/>
    <w:rsid w:val="72E423BA"/>
    <w:rsid w:val="73285213"/>
    <w:rsid w:val="7361521A"/>
    <w:rsid w:val="73BA5CA4"/>
    <w:rsid w:val="73F67641"/>
    <w:rsid w:val="74CD67FE"/>
    <w:rsid w:val="74D134F3"/>
    <w:rsid w:val="74DA3AD2"/>
    <w:rsid w:val="74F945A3"/>
    <w:rsid w:val="75CE689C"/>
    <w:rsid w:val="76246845"/>
    <w:rsid w:val="76812109"/>
    <w:rsid w:val="76ED3980"/>
    <w:rsid w:val="77005D56"/>
    <w:rsid w:val="770305D0"/>
    <w:rsid w:val="775558CE"/>
    <w:rsid w:val="77744AD3"/>
    <w:rsid w:val="777659A5"/>
    <w:rsid w:val="778D0F5B"/>
    <w:rsid w:val="77E82B0F"/>
    <w:rsid w:val="78607495"/>
    <w:rsid w:val="788D1E5C"/>
    <w:rsid w:val="789E1EE6"/>
    <w:rsid w:val="78A76A21"/>
    <w:rsid w:val="78ED6D81"/>
    <w:rsid w:val="78EE405F"/>
    <w:rsid w:val="791204BC"/>
    <w:rsid w:val="794E7543"/>
    <w:rsid w:val="7A215A2F"/>
    <w:rsid w:val="7A384025"/>
    <w:rsid w:val="7A802587"/>
    <w:rsid w:val="7AF653C2"/>
    <w:rsid w:val="7B1A1661"/>
    <w:rsid w:val="7B2639FA"/>
    <w:rsid w:val="7B9659ED"/>
    <w:rsid w:val="7BD46F84"/>
    <w:rsid w:val="7BED0F85"/>
    <w:rsid w:val="7C05225B"/>
    <w:rsid w:val="7CD16F56"/>
    <w:rsid w:val="7D7A534C"/>
    <w:rsid w:val="7DA26705"/>
    <w:rsid w:val="7DE0540A"/>
    <w:rsid w:val="7E3B5C2B"/>
    <w:rsid w:val="7EA34F31"/>
    <w:rsid w:val="7EB0515C"/>
    <w:rsid w:val="7ECC0073"/>
    <w:rsid w:val="7ED30EE2"/>
    <w:rsid w:val="7EF03508"/>
    <w:rsid w:val="7F6147DF"/>
    <w:rsid w:val="7F717E7F"/>
    <w:rsid w:val="7F9F166F"/>
    <w:rsid w:val="7FC366CD"/>
    <w:rsid w:val="7FC707AA"/>
    <w:rsid w:val="7FF0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4">
    <w:name w:val="heading 2"/>
    <w:basedOn w:val="1"/>
    <w:next w:val="1"/>
    <w:qFormat/>
    <w:uiPriority w:val="0"/>
    <w:pPr>
      <w:keepNext/>
      <w:keepLines/>
      <w:spacing w:before="260" w:after="260" w:line="360" w:lineRule="auto"/>
      <w:jc w:val="center"/>
      <w:outlineLvl w:val="1"/>
    </w:pPr>
    <w:rPr>
      <w:rFonts w:ascii="宋体" w:hAnsi="Arial"/>
      <w:b/>
    </w:rPr>
  </w:style>
  <w:style w:type="paragraph" w:styleId="5">
    <w:name w:val="heading 3"/>
    <w:basedOn w:val="1"/>
    <w:next w:val="1"/>
    <w:qFormat/>
    <w:uiPriority w:val="0"/>
    <w:pPr>
      <w:keepNext/>
      <w:keepLines/>
      <w:spacing w:before="260" w:after="260" w:line="360" w:lineRule="auto"/>
      <w:jc w:val="center"/>
      <w:outlineLvl w:val="2"/>
    </w:pPr>
    <w:rPr>
      <w:rFonts w:ascii="宋体"/>
      <w:b/>
    </w:rPr>
  </w:style>
  <w:style w:type="paragraph" w:styleId="6">
    <w:name w:val="heading 4"/>
    <w:basedOn w:val="1"/>
    <w:next w:val="1"/>
    <w:qFormat/>
    <w:uiPriority w:val="0"/>
    <w:pPr>
      <w:keepNext/>
      <w:keepLines/>
      <w:spacing w:before="240" w:after="290" w:line="372" w:lineRule="auto"/>
      <w:outlineLvl w:val="3"/>
    </w:pPr>
    <w:rPr>
      <w:rFonts w:ascii="Cambria" w:hAnsi="Cambria"/>
      <w:b/>
      <w:bCs/>
      <w:kern w:val="0"/>
      <w:sz w:val="24"/>
      <w:szCs w:val="24"/>
      <w:lang w:val="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2"/>
    <w:qFormat/>
    <w:uiPriority w:val="0"/>
    <w:rPr>
      <w:sz w:val="18"/>
    </w:rPr>
  </w:style>
  <w:style w:type="paragraph" w:styleId="7">
    <w:name w:val="toc 7"/>
    <w:basedOn w:val="1"/>
    <w:next w:val="1"/>
    <w:qFormat/>
    <w:uiPriority w:val="0"/>
    <w:pPr>
      <w:ind w:left="2520" w:leftChars="1200"/>
    </w:pPr>
  </w:style>
  <w:style w:type="paragraph" w:styleId="8">
    <w:name w:val="Normal Indent"/>
    <w:basedOn w:val="1"/>
    <w:qFormat/>
    <w:uiPriority w:val="0"/>
    <w:pPr>
      <w:snapToGrid w:val="0"/>
      <w:spacing w:line="360" w:lineRule="auto"/>
      <w:ind w:firstLine="420"/>
    </w:pPr>
    <w:rPr>
      <w:sz w:val="28"/>
    </w:rPr>
  </w:style>
  <w:style w:type="paragraph" w:styleId="9">
    <w:name w:val="Document Map"/>
    <w:basedOn w:val="1"/>
    <w:qFormat/>
    <w:uiPriority w:val="0"/>
    <w:pPr>
      <w:shd w:val="clear" w:color="auto" w:fill="000080"/>
    </w:pPr>
  </w:style>
  <w:style w:type="paragraph" w:styleId="10">
    <w:name w:val="annotation text"/>
    <w:basedOn w:val="1"/>
    <w:link w:val="51"/>
    <w:qFormat/>
    <w:uiPriority w:val="0"/>
    <w:pPr>
      <w:jc w:val="left"/>
    </w:pPr>
    <w:rPr>
      <w:lang w:val="zh-CN"/>
    </w:rPr>
  </w:style>
  <w:style w:type="paragraph" w:styleId="11">
    <w:name w:val="Body Text"/>
    <w:basedOn w:val="1"/>
    <w:qFormat/>
    <w:uiPriority w:val="0"/>
    <w:pPr>
      <w:autoSpaceDE w:val="0"/>
      <w:autoSpaceDN w:val="0"/>
      <w:adjustRightInd w:val="0"/>
      <w:spacing w:line="360" w:lineRule="auto"/>
      <w:jc w:val="left"/>
    </w:pPr>
    <w:rPr>
      <w:rFonts w:ascii="宋体"/>
      <w:kern w:val="0"/>
    </w:rPr>
  </w:style>
  <w:style w:type="paragraph" w:styleId="12">
    <w:name w:val="Body Text Indent"/>
    <w:basedOn w:val="1"/>
    <w:qFormat/>
    <w:uiPriority w:val="0"/>
    <w:pPr>
      <w:ind w:firstLine="540"/>
    </w:pPr>
    <w:rPr>
      <w:sz w:val="24"/>
    </w:rPr>
  </w:style>
  <w:style w:type="paragraph" w:styleId="13">
    <w:name w:val="toc 5"/>
    <w:basedOn w:val="1"/>
    <w:next w:val="1"/>
    <w:qFormat/>
    <w:uiPriority w:val="0"/>
    <w:pPr>
      <w:ind w:left="1680" w:leftChars="800"/>
    </w:pPr>
  </w:style>
  <w:style w:type="paragraph" w:styleId="14">
    <w:name w:val="toc 3"/>
    <w:basedOn w:val="1"/>
    <w:next w:val="1"/>
    <w:qFormat/>
    <w:uiPriority w:val="39"/>
    <w:pPr>
      <w:tabs>
        <w:tab w:val="right" w:leader="dot" w:pos="8456"/>
      </w:tabs>
      <w:ind w:left="420"/>
      <w:jc w:val="center"/>
    </w:pPr>
    <w:rPr>
      <w:b/>
      <w:sz w:val="32"/>
    </w:rPr>
  </w:style>
  <w:style w:type="paragraph" w:styleId="15">
    <w:name w:val="Plain Text"/>
    <w:basedOn w:val="1"/>
    <w:qFormat/>
    <w:uiPriority w:val="0"/>
    <w:rPr>
      <w:rFonts w:ascii="宋体" w:hAnsi="Courier New"/>
    </w:rPr>
  </w:style>
  <w:style w:type="paragraph" w:styleId="16">
    <w:name w:val="toc 8"/>
    <w:basedOn w:val="1"/>
    <w:next w:val="1"/>
    <w:qFormat/>
    <w:uiPriority w:val="0"/>
    <w:pPr>
      <w:ind w:left="2940" w:leftChars="1400"/>
    </w:pPr>
  </w:style>
  <w:style w:type="paragraph" w:styleId="17">
    <w:name w:val="Date"/>
    <w:basedOn w:val="1"/>
    <w:next w:val="1"/>
    <w:qFormat/>
    <w:uiPriority w:val="0"/>
    <w:rPr>
      <w:sz w:val="28"/>
    </w:rPr>
  </w:style>
  <w:style w:type="paragraph" w:styleId="18">
    <w:name w:val="Body Text Indent 2"/>
    <w:basedOn w:val="1"/>
    <w:qFormat/>
    <w:uiPriority w:val="0"/>
    <w:pPr>
      <w:spacing w:line="360" w:lineRule="auto"/>
      <w:ind w:firstLine="425"/>
    </w:pPr>
    <w:rPr>
      <w:rFonts w:ascii="仿宋_GB2312" w:eastAsia="仿宋_GB2312"/>
      <w:sz w:val="28"/>
    </w:rPr>
  </w:style>
  <w:style w:type="paragraph" w:styleId="19">
    <w:name w:val="footer"/>
    <w:basedOn w:val="1"/>
    <w:link w:val="49"/>
    <w:qFormat/>
    <w:uiPriority w:val="99"/>
    <w:pPr>
      <w:tabs>
        <w:tab w:val="center" w:pos="4320"/>
        <w:tab w:val="right" w:pos="8640"/>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spacing w:line="360" w:lineRule="auto"/>
      <w:jc w:val="left"/>
    </w:pPr>
    <w:rPr>
      <w:b/>
    </w:rPr>
  </w:style>
  <w:style w:type="paragraph" w:styleId="22">
    <w:name w:val="toc 4"/>
    <w:basedOn w:val="1"/>
    <w:next w:val="1"/>
    <w:qFormat/>
    <w:uiPriority w:val="0"/>
    <w:pPr>
      <w:ind w:left="1260" w:leftChars="600"/>
    </w:pPr>
  </w:style>
  <w:style w:type="paragraph" w:styleId="23">
    <w:name w:val="Subtitle"/>
    <w:basedOn w:val="4"/>
    <w:next w:val="5"/>
    <w:qFormat/>
    <w:uiPriority w:val="0"/>
    <w:pPr>
      <w:spacing w:before="240" w:after="60" w:line="312" w:lineRule="auto"/>
      <w:jc w:val="left"/>
    </w:pPr>
    <w:rPr>
      <w:kern w:val="24"/>
      <w:sz w:val="24"/>
    </w:rPr>
  </w:style>
  <w:style w:type="paragraph" w:styleId="24">
    <w:name w:val="footnote text"/>
    <w:basedOn w:val="1"/>
    <w:qFormat/>
    <w:uiPriority w:val="0"/>
    <w:pPr>
      <w:snapToGrid w:val="0"/>
      <w:jc w:val="left"/>
    </w:pPr>
    <w:rPr>
      <w:sz w:val="18"/>
    </w:rPr>
  </w:style>
  <w:style w:type="paragraph" w:styleId="25">
    <w:name w:val="toc 6"/>
    <w:basedOn w:val="1"/>
    <w:next w:val="1"/>
    <w:qFormat/>
    <w:uiPriority w:val="0"/>
    <w:pPr>
      <w:ind w:left="2100" w:leftChars="1000"/>
    </w:pPr>
  </w:style>
  <w:style w:type="paragraph" w:styleId="26">
    <w:name w:val="Body Text Indent 3"/>
    <w:basedOn w:val="1"/>
    <w:qFormat/>
    <w:uiPriority w:val="0"/>
    <w:pPr>
      <w:autoSpaceDE w:val="0"/>
      <w:autoSpaceDN w:val="0"/>
      <w:adjustRightInd w:val="0"/>
      <w:spacing w:line="360" w:lineRule="auto"/>
      <w:ind w:left="420" w:firstLine="435"/>
    </w:pPr>
    <w:rPr>
      <w:color w:val="0000FF"/>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Body Text 2"/>
    <w:basedOn w:val="1"/>
    <w:qFormat/>
    <w:uiPriority w:val="0"/>
    <w:pPr>
      <w:tabs>
        <w:tab w:val="left" w:pos="1080"/>
      </w:tabs>
    </w:pPr>
    <w:rPr>
      <w:rFonts w:ascii="宋体"/>
      <w:color w:val="FF0000"/>
    </w:rPr>
  </w:style>
  <w:style w:type="paragraph" w:styleId="30">
    <w:name w:val="Normal (Web)"/>
    <w:basedOn w:val="1"/>
    <w:qFormat/>
    <w:uiPriority w:val="0"/>
    <w:pPr>
      <w:widowControl/>
      <w:spacing w:before="60" w:after="60"/>
      <w:ind w:left="15" w:right="15"/>
      <w:jc w:val="left"/>
    </w:pPr>
    <w:rPr>
      <w:rFonts w:ascii="宋体" w:hAnsi="宋体"/>
      <w:color w:val="000000"/>
      <w:kern w:val="0"/>
      <w:sz w:val="24"/>
    </w:rPr>
  </w:style>
  <w:style w:type="paragraph" w:styleId="31">
    <w:name w:val="Title"/>
    <w:basedOn w:val="1"/>
    <w:qFormat/>
    <w:uiPriority w:val="0"/>
    <w:pPr>
      <w:spacing w:before="240" w:after="60"/>
      <w:jc w:val="center"/>
      <w:outlineLvl w:val="0"/>
    </w:pPr>
    <w:rPr>
      <w:rFonts w:ascii="Arial" w:hAnsi="Arial"/>
      <w:b/>
      <w:sz w:val="32"/>
    </w:rPr>
  </w:style>
  <w:style w:type="paragraph" w:styleId="32">
    <w:name w:val="annotation subject"/>
    <w:basedOn w:val="10"/>
    <w:next w:val="10"/>
    <w:qFormat/>
    <w:uiPriority w:val="0"/>
    <w:rPr>
      <w:b/>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basedOn w:val="35"/>
    <w:qFormat/>
    <w:uiPriority w:val="0"/>
    <w:rPr>
      <w:sz w:val="21"/>
    </w:rPr>
  </w:style>
  <w:style w:type="character" w:styleId="40">
    <w:name w:val="footnote reference"/>
    <w:qFormat/>
    <w:uiPriority w:val="0"/>
    <w:rPr>
      <w:vertAlign w:val="superscript"/>
    </w:rPr>
  </w:style>
  <w:style w:type="character" w:customStyle="1" w:styleId="41">
    <w:name w:val="sm1"/>
    <w:basedOn w:val="35"/>
    <w:qFormat/>
    <w:uiPriority w:val="0"/>
  </w:style>
  <w:style w:type="character" w:customStyle="1" w:styleId="42">
    <w:name w:val="apple-converted-space"/>
    <w:basedOn w:val="35"/>
    <w:qFormat/>
    <w:uiPriority w:val="0"/>
  </w:style>
  <w:style w:type="character" w:customStyle="1" w:styleId="43">
    <w:name w:val="日期1"/>
    <w:basedOn w:val="35"/>
    <w:qFormat/>
    <w:uiPriority w:val="0"/>
  </w:style>
  <w:style w:type="character" w:customStyle="1" w:styleId="44">
    <w:name w:val="read"/>
    <w:basedOn w:val="35"/>
    <w:qFormat/>
    <w:uiPriority w:val="0"/>
  </w:style>
  <w:style w:type="character" w:customStyle="1" w:styleId="45">
    <w:name w:val="已访问的超链接1"/>
    <w:qFormat/>
    <w:uiPriority w:val="0"/>
    <w:rPr>
      <w:color w:val="800080"/>
      <w:u w:val="single"/>
    </w:rPr>
  </w:style>
  <w:style w:type="character" w:customStyle="1" w:styleId="46">
    <w:name w:val="tt11"/>
    <w:qFormat/>
    <w:uiPriority w:val="0"/>
    <w:rPr>
      <w:sz w:val="22"/>
    </w:rPr>
  </w:style>
  <w:style w:type="character" w:customStyle="1" w:styleId="47">
    <w:name w:val="unnamed11"/>
    <w:qFormat/>
    <w:uiPriority w:val="0"/>
    <w:rPr>
      <w:rFonts w:hint="eastAsia" w:ascii="宋体" w:hAnsi="宋体" w:eastAsia="宋体"/>
      <w:sz w:val="18"/>
    </w:rPr>
  </w:style>
  <w:style w:type="character" w:customStyle="1" w:styleId="48">
    <w:name w:val="apple-style-span"/>
    <w:basedOn w:val="35"/>
    <w:qFormat/>
    <w:uiPriority w:val="0"/>
  </w:style>
  <w:style w:type="character" w:customStyle="1" w:styleId="49">
    <w:name w:val="页脚 Char"/>
    <w:link w:val="19"/>
    <w:qFormat/>
    <w:uiPriority w:val="99"/>
    <w:rPr>
      <w:rFonts w:eastAsia="宋体"/>
      <w:kern w:val="2"/>
      <w:sz w:val="18"/>
      <w:lang w:val="en-US" w:eastAsia="zh-CN"/>
    </w:rPr>
  </w:style>
  <w:style w:type="character" w:customStyle="1" w:styleId="50">
    <w:name w:val="heigh1801"/>
    <w:basedOn w:val="35"/>
    <w:qFormat/>
    <w:uiPriority w:val="0"/>
  </w:style>
  <w:style w:type="character" w:customStyle="1" w:styleId="51">
    <w:name w:val="批注文字 Char"/>
    <w:link w:val="10"/>
    <w:qFormat/>
    <w:uiPriority w:val="0"/>
    <w:rPr>
      <w:kern w:val="2"/>
      <w:sz w:val="21"/>
    </w:rPr>
  </w:style>
  <w:style w:type="paragraph" w:customStyle="1" w:styleId="52">
    <w:name w:val="列表2"/>
    <w:basedOn w:val="1"/>
    <w:next w:val="31"/>
    <w:qFormat/>
    <w:uiPriority w:val="0"/>
    <w:pPr>
      <w:tabs>
        <w:tab w:val="left" w:pos="600"/>
      </w:tabs>
      <w:spacing w:line="360" w:lineRule="auto"/>
      <w:ind w:left="600" w:hanging="600"/>
    </w:pPr>
    <w:rPr>
      <w:rFonts w:ascii="宋体"/>
    </w:rPr>
  </w:style>
  <w:style w:type="paragraph" w:customStyle="1" w:styleId="53">
    <w:name w:val="Char1 Char Char Char Char Char Char Char Char Char Char Char Char1 Char Char Char Char Char Char1"/>
    <w:basedOn w:val="1"/>
    <w:qFormat/>
    <w:uiPriority w:val="0"/>
  </w:style>
  <w:style w:type="paragraph" w:customStyle="1" w:styleId="54">
    <w:name w:val="Char Char Char1"/>
    <w:basedOn w:val="1"/>
    <w:qFormat/>
    <w:uiPriority w:val="0"/>
  </w:style>
  <w:style w:type="paragraph" w:customStyle="1" w:styleId="55">
    <w:name w:val="样式 标题 1 + 宋体"/>
    <w:basedOn w:val="3"/>
    <w:qFormat/>
    <w:uiPriority w:val="0"/>
    <w:pPr>
      <w:spacing w:before="0" w:after="0"/>
    </w:pPr>
    <w:rPr>
      <w:rFonts w:hAnsi="宋体"/>
      <w:color w:val="auto"/>
      <w:kern w:val="44"/>
      <w:sz w:val="21"/>
    </w:rPr>
  </w:style>
  <w:style w:type="paragraph" w:customStyle="1" w:styleId="56">
    <w:name w:val="Char1 Char Char Char Char Char Char Char Char Char Char Char Char1 Char Char"/>
    <w:basedOn w:val="1"/>
    <w:qFormat/>
    <w:uiPriority w:val="0"/>
  </w:style>
  <w:style w:type="paragraph" w:customStyle="1" w:styleId="57">
    <w:name w:val="InfoBlue"/>
    <w:basedOn w:val="1"/>
    <w:next w:val="11"/>
    <w:qFormat/>
    <w:uiPriority w:val="0"/>
    <w:pPr>
      <w:tabs>
        <w:tab w:val="left" w:pos="420"/>
      </w:tabs>
      <w:spacing w:after="120" w:line="240" w:lineRule="atLeast"/>
      <w:ind w:left="420" w:hanging="420"/>
      <w:jc w:val="left"/>
    </w:pPr>
    <w:rPr>
      <w:rFonts w:ascii="宋体" w:hAnsi="宋体"/>
    </w:rPr>
  </w:style>
  <w:style w:type="paragraph" w:customStyle="1" w:styleId="58">
    <w:name w:val="Char1 Char Char Char"/>
    <w:basedOn w:val="1"/>
    <w:qFormat/>
    <w:uiPriority w:val="0"/>
  </w:style>
  <w:style w:type="paragraph" w:customStyle="1" w:styleId="5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所"/>
    <w:basedOn w:val="1"/>
    <w:qFormat/>
    <w:uiPriority w:val="0"/>
    <w:pPr>
      <w:spacing w:line="360" w:lineRule="auto"/>
      <w:ind w:firstLine="420" w:firstLineChars="200"/>
    </w:pPr>
    <w:rPr>
      <w:rFonts w:ascii="宋体"/>
    </w:rPr>
  </w:style>
  <w:style w:type="paragraph" w:customStyle="1" w:styleId="61">
    <w:name w:val="Char Char Char Char Char Char Char"/>
    <w:basedOn w:val="1"/>
    <w:qFormat/>
    <w:uiPriority w:val="0"/>
  </w:style>
  <w:style w:type="paragraph" w:customStyle="1" w:styleId="62">
    <w:name w:val="修订1"/>
    <w:unhideWhenUsed/>
    <w:qFormat/>
    <w:uiPriority w:val="99"/>
    <w:rPr>
      <w:rFonts w:ascii="Times New Roman" w:hAnsi="Times New Roman" w:eastAsia="宋体" w:cs="Times New Roman"/>
      <w:kern w:val="2"/>
      <w:sz w:val="21"/>
      <w:lang w:val="en-US" w:eastAsia="zh-CN" w:bidi="ar-SA"/>
    </w:rPr>
  </w:style>
  <w:style w:type="paragraph" w:customStyle="1" w:styleId="63">
    <w:name w:val="List_bullet"/>
    <w:basedOn w:val="1"/>
    <w:qFormat/>
    <w:uiPriority w:val="0"/>
    <w:pPr>
      <w:widowControl/>
      <w:tabs>
        <w:tab w:val="left" w:pos="360"/>
      </w:tabs>
      <w:ind w:left="360" w:hanging="360"/>
      <w:jc w:val="left"/>
    </w:pPr>
    <w:rPr>
      <w:kern w:val="0"/>
      <w:sz w:val="24"/>
    </w:rPr>
  </w:style>
  <w:style w:type="paragraph" w:customStyle="1" w:styleId="64">
    <w:name w:val="Char1 Char Char Char Char Char Char Char Char Char Char Char Char1 Char Char Char"/>
    <w:basedOn w:val="1"/>
    <w:qFormat/>
    <w:uiPriority w:val="0"/>
  </w:style>
  <w:style w:type="paragraph" w:customStyle="1" w:styleId="65">
    <w:name w:val="默认段落字体 Para Char Char Char Char Char Char Char Char Char Char Char Char Char"/>
    <w:basedOn w:val="1"/>
    <w:qFormat/>
    <w:uiPriority w:val="0"/>
    <w:rPr>
      <w:szCs w:val="24"/>
    </w:rPr>
  </w:style>
  <w:style w:type="paragraph" w:customStyle="1" w:styleId="66">
    <w:name w:val="Char1 Char Char Char Char Char Char Char Char Char Char Char Char"/>
    <w:basedOn w:val="1"/>
    <w:qFormat/>
    <w:uiPriority w:val="0"/>
  </w:style>
  <w:style w:type="paragraph" w:customStyle="1" w:styleId="67">
    <w:name w:val="Char1 Char Char Char Char Char Char Char Char Char Char Char Char1 Char Char Char Char Char Char"/>
    <w:basedOn w:val="1"/>
    <w:qFormat/>
    <w:uiPriority w:val="0"/>
  </w:style>
  <w:style w:type="paragraph" w:customStyle="1" w:styleId="68">
    <w:name w:val="Char Char Char Char Char Char Char1 Char Char Char"/>
    <w:basedOn w:val="1"/>
    <w:qFormat/>
    <w:uiPriority w:val="0"/>
  </w:style>
  <w:style w:type="paragraph" w:customStyle="1" w:styleId="69">
    <w:name w:val="Char1"/>
    <w:basedOn w:val="1"/>
    <w:qFormat/>
    <w:uiPriority w:val="0"/>
  </w:style>
  <w:style w:type="paragraph" w:customStyle="1" w:styleId="70">
    <w:name w:val="4"/>
    <w:basedOn w:val="1"/>
    <w:qFormat/>
    <w:uiPriority w:val="0"/>
    <w:rPr>
      <w:szCs w:val="24"/>
    </w:rPr>
  </w:style>
  <w:style w:type="paragraph" w:customStyle="1" w:styleId="71">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72">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73">
    <w:name w:val="表标题"/>
    <w:basedOn w:val="8"/>
    <w:qFormat/>
    <w:uiPriority w:val="0"/>
    <w:pPr>
      <w:tabs>
        <w:tab w:val="left" w:pos="720"/>
      </w:tabs>
      <w:snapToGrid/>
      <w:spacing w:before="120" w:after="60" w:line="288" w:lineRule="auto"/>
      <w:ind w:left="425" w:hanging="425"/>
    </w:pPr>
  </w:style>
  <w:style w:type="paragraph" w:customStyle="1" w:styleId="74">
    <w:name w:val="修订11"/>
    <w:semiHidden/>
    <w:qFormat/>
    <w:uiPriority w:val="99"/>
    <w:rPr>
      <w:rFonts w:ascii="Times New Roman" w:hAnsi="Times New Roman" w:eastAsia="宋体" w:cs="Times New Roman"/>
      <w:kern w:val="2"/>
      <w:sz w:val="21"/>
      <w:lang w:val="en-US" w:eastAsia="zh-CN" w:bidi="ar-SA"/>
    </w:rPr>
  </w:style>
  <w:style w:type="paragraph" w:customStyle="1" w:styleId="75">
    <w:name w:val="Char Char Char Char Char Char Char1"/>
    <w:basedOn w:val="1"/>
    <w:qFormat/>
    <w:uiPriority w:val="0"/>
  </w:style>
  <w:style w:type="paragraph" w:customStyle="1" w:styleId="76">
    <w:name w:val="Char Char Char"/>
    <w:basedOn w:val="1"/>
    <w:qFormat/>
    <w:uiPriority w:val="0"/>
  </w:style>
  <w:style w:type="paragraph" w:customStyle="1" w:styleId="77">
    <w:name w:val="Char22"/>
    <w:basedOn w:val="1"/>
    <w:qFormat/>
    <w:uiPriority w:val="0"/>
    <w:rPr>
      <w:szCs w:val="24"/>
    </w:rPr>
  </w:style>
  <w:style w:type="paragraph" w:customStyle="1" w:styleId="78">
    <w:name w:val="Char2"/>
    <w:basedOn w:val="1"/>
    <w:qFormat/>
    <w:uiPriority w:val="0"/>
  </w:style>
  <w:style w:type="paragraph" w:customStyle="1" w:styleId="79">
    <w:name w:val="Char21"/>
    <w:basedOn w:val="1"/>
    <w:qFormat/>
    <w:uiPriority w:val="99"/>
    <w:rPr>
      <w:szCs w:val="24"/>
    </w:rPr>
  </w:style>
  <w:style w:type="paragraph" w:customStyle="1" w:styleId="80">
    <w:name w:val="Char1 Char Char Char Char Char Char Char Char Char Char Char Char1 Char Char Char Char Char Char2"/>
    <w:basedOn w:val="1"/>
    <w:qFormat/>
    <w:uiPriority w:val="0"/>
  </w:style>
  <w:style w:type="paragraph" w:customStyle="1" w:styleId="81">
    <w:name w:val="Char"/>
    <w:basedOn w:val="1"/>
    <w:qFormat/>
    <w:uiPriority w:val="0"/>
    <w:rPr>
      <w:sz w:val="18"/>
    </w:rPr>
  </w:style>
  <w:style w:type="paragraph" w:customStyle="1" w:styleId="82">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83">
    <w:name w:val="Char1 Char Char Char Char Char Char Char Char Char"/>
    <w:basedOn w:val="1"/>
    <w:qFormat/>
    <w:uiPriority w:val="0"/>
  </w:style>
  <w:style w:type="paragraph" w:customStyle="1" w:styleId="84">
    <w:name w:val="特点"/>
    <w:basedOn w:val="1"/>
    <w:next w:val="8"/>
    <w:qFormat/>
    <w:uiPriority w:val="0"/>
    <w:pPr>
      <w:ind w:firstLine="420"/>
    </w:pPr>
  </w:style>
  <w:style w:type="paragraph" w:customStyle="1" w:styleId="85">
    <w:name w:val="Char1 Char Char Char Char Char Char"/>
    <w:basedOn w:val="1"/>
    <w:qFormat/>
    <w:uiPriority w:val="0"/>
  </w:style>
  <w:style w:type="paragraph" w:customStyle="1" w:styleId="86">
    <w:name w:val="Char3"/>
    <w:basedOn w:val="1"/>
    <w:qFormat/>
    <w:uiPriority w:val="0"/>
  </w:style>
  <w:style w:type="paragraph" w:customStyle="1" w:styleId="87">
    <w:name w:val="Char Char Char11"/>
    <w:basedOn w:val="1"/>
    <w:qFormat/>
    <w:uiPriority w:val="0"/>
  </w:style>
  <w:style w:type="paragraph" w:customStyle="1" w:styleId="88">
    <w:name w:val="修订2"/>
    <w:hidden/>
    <w:semiHidden/>
    <w:qFormat/>
    <w:uiPriority w:val="99"/>
    <w:rPr>
      <w:rFonts w:ascii="Times New Roman" w:hAnsi="Times New Roman" w:eastAsia="宋体" w:cs="Times New Roman"/>
      <w:kern w:val="2"/>
      <w:sz w:val="21"/>
      <w:lang w:val="en-US" w:eastAsia="zh-CN" w:bidi="ar-SA"/>
    </w:rPr>
  </w:style>
  <w:style w:type="paragraph" w:customStyle="1" w:styleId="89">
    <w:name w:val="修订3"/>
    <w:hidden/>
    <w:semiHidden/>
    <w:qFormat/>
    <w:uiPriority w:val="99"/>
    <w:rPr>
      <w:rFonts w:ascii="Times New Roman" w:hAnsi="Times New Roman" w:eastAsia="宋体" w:cs="Times New Roman"/>
      <w:kern w:val="2"/>
      <w:sz w:val="21"/>
      <w:lang w:val="en-US" w:eastAsia="zh-CN" w:bidi="ar-SA"/>
    </w:rPr>
  </w:style>
  <w:style w:type="character" w:customStyle="1" w:styleId="90">
    <w:name w:val="模板-正文 Char"/>
    <w:link w:val="91"/>
    <w:semiHidden/>
    <w:qFormat/>
    <w:locked/>
    <w:uiPriority w:val="0"/>
    <w:rPr>
      <w:rFonts w:ascii="宋体" w:hAnsi="宋体"/>
      <w:color w:val="222222"/>
      <w:sz w:val="21"/>
      <w:szCs w:val="21"/>
      <w:shd w:val="clear" w:color="auto" w:fill="FFFFFF"/>
      <w:lang w:val="zh-CN"/>
    </w:rPr>
  </w:style>
  <w:style w:type="paragraph" w:customStyle="1" w:styleId="91">
    <w:name w:val="模板-正文"/>
    <w:basedOn w:val="30"/>
    <w:link w:val="90"/>
    <w:semiHidden/>
    <w:qFormat/>
    <w:uiPriority w:val="0"/>
    <w:pPr>
      <w:shd w:val="clear" w:color="auto" w:fill="FFFFFF"/>
      <w:snapToGrid w:val="0"/>
      <w:spacing w:before="0" w:after="0" w:line="360" w:lineRule="auto"/>
      <w:ind w:left="0" w:right="0" w:firstLine="200" w:firstLineChars="200"/>
      <w:jc w:val="both"/>
    </w:pPr>
    <w:rPr>
      <w:color w:val="222222"/>
      <w:sz w:val="21"/>
      <w:szCs w:val="21"/>
      <w:lang w:val="zh-CN"/>
    </w:rPr>
  </w:style>
  <w:style w:type="character" w:customStyle="1" w:styleId="92">
    <w:name w:val="批注框文本 Char"/>
    <w:basedOn w:val="35"/>
    <w:link w:val="2"/>
    <w:qFormat/>
    <w:uiPriority w:val="0"/>
    <w:rPr>
      <w:kern w:val="2"/>
      <w:sz w:val="18"/>
      <w:szCs w:val="18"/>
    </w:rPr>
  </w:style>
  <w:style w:type="table" w:customStyle="1" w:styleId="93">
    <w:name w:val="网格型5"/>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13"/>
    <w:basedOn w:val="3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修订4"/>
    <w:hidden/>
    <w:semiHidden/>
    <w:qFormat/>
    <w:uiPriority w:val="99"/>
    <w:rPr>
      <w:rFonts w:ascii="Times New Roman" w:hAnsi="Times New Roman" w:eastAsia="宋体" w:cs="Times New Roman"/>
      <w:kern w:val="2"/>
      <w:sz w:val="21"/>
      <w:lang w:val="en-US" w:eastAsia="zh-CN" w:bidi="ar-SA"/>
    </w:rPr>
  </w:style>
  <w:style w:type="paragraph" w:customStyle="1" w:styleId="96">
    <w:name w:val="修订5"/>
    <w:hidden/>
    <w:semiHidden/>
    <w:qFormat/>
    <w:uiPriority w:val="99"/>
    <w:rPr>
      <w:rFonts w:ascii="Times New Roman" w:hAnsi="Times New Roman" w:eastAsia="宋体" w:cs="Times New Roman"/>
      <w:kern w:val="2"/>
      <w:sz w:val="21"/>
      <w:lang w:val="en-US" w:eastAsia="zh-CN" w:bidi="ar-SA"/>
    </w:rPr>
  </w:style>
  <w:style w:type="paragraph" w:customStyle="1" w:styleId="97">
    <w:name w:val="XBRLTitle1"/>
    <w:basedOn w:val="3"/>
    <w:next w:val="4"/>
    <w:qFormat/>
    <w:uiPriority w:val="0"/>
    <w:pPr>
      <w:keepNext w:val="0"/>
      <w:keepLines w:val="0"/>
      <w:numPr>
        <w:ilvl w:val="0"/>
        <w:numId w:val="1"/>
      </w:numPr>
      <w:spacing w:before="0" w:beforeLines="50" w:after="0" w:line="240" w:lineRule="auto"/>
      <w:jc w:val="left"/>
    </w:pPr>
    <w:rPr>
      <w:rFonts w:hAnsi="Cambria"/>
      <w:sz w:val="21"/>
      <w:szCs w:val="32"/>
    </w:rPr>
  </w:style>
  <w:style w:type="paragraph" w:customStyle="1" w:styleId="98">
    <w:name w:val="XBRLTitle2"/>
    <w:basedOn w:val="23"/>
    <w:next w:val="6"/>
    <w:qFormat/>
    <w:uiPriority w:val="0"/>
    <w:pPr>
      <w:keepNext w:val="0"/>
      <w:keepLines w:val="0"/>
      <w:numPr>
        <w:ilvl w:val="1"/>
        <w:numId w:val="1"/>
      </w:numPr>
      <w:spacing w:before="0" w:beforeLines="50" w:after="0" w:line="240" w:lineRule="auto"/>
    </w:pPr>
    <w:rPr>
      <w:bCs/>
    </w:rPr>
  </w:style>
  <w:style w:type="paragraph" w:customStyle="1" w:styleId="99">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71637-3213-490F-8AA4-C3CA6284D213}">
  <ds:schemaRefs/>
</ds:datastoreItem>
</file>

<file path=docProps/app.xml><?xml version="1.0" encoding="utf-8"?>
<Properties xmlns="http://schemas.openxmlformats.org/officeDocument/2006/extended-properties" xmlns:vt="http://schemas.openxmlformats.org/officeDocument/2006/docPropsVTypes">
  <Template>Normal</Template>
  <Company>工银瑞信</Company>
  <Pages>144</Pages>
  <Words>17391</Words>
  <Characters>99134</Characters>
  <Lines>826</Lines>
  <Paragraphs>232</Paragraphs>
  <TotalTime>1</TotalTime>
  <ScaleCrop>false</ScaleCrop>
  <LinksUpToDate>false</LinksUpToDate>
  <CharactersWithSpaces>116293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2026-04-13T09:53:00Z</dcterms:created>
  <dc:creator>周圆</dc:creator>
  <cp:lastModifiedBy>李恒</cp:lastModifiedBy>
  <cp:lastPrinted>2026-04-14T05:32:00Z</cp:lastPrinted>
  <dcterms:modified xsi:type="dcterms:W3CDTF">2026-05-15T09:06:11Z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35FF2D1DACA04E0CBB5A798A9619D194</vt:lpwstr>
  </property>
</Properties>
</file>