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bookmarkStart w:id="0" w:name="OLE_LINK1"/>
      <w:bookmarkStart w:id="1" w:name="OLE_LINK4"/>
    </w:p>
    <w:p>
      <w:pPr>
        <w:ind w:right="-17" w:rightChars="-8"/>
        <w:rPr>
          <w:rFonts w:eastAsia="黑体"/>
          <w:sz w:val="32"/>
          <w:szCs w:val="32"/>
        </w:rPr>
      </w:pPr>
    </w:p>
    <w:p>
      <w:pPr>
        <w:rPr>
          <w:rFonts w:eastAsia="黑体"/>
          <w:sz w:val="52"/>
          <w:szCs w:val="52"/>
        </w:rPr>
      </w:pPr>
    </w:p>
    <w:p>
      <w:pPr>
        <w:tabs>
          <w:tab w:val="left" w:pos="3495"/>
        </w:tabs>
        <w:rPr>
          <w:rFonts w:eastAsia="黑体"/>
          <w:sz w:val="52"/>
          <w:szCs w:val="52"/>
        </w:rPr>
      </w:pPr>
    </w:p>
    <w:p>
      <w:pPr>
        <w:tabs>
          <w:tab w:val="center" w:pos="4164"/>
          <w:tab w:val="left" w:pos="5455"/>
        </w:tabs>
        <w:ind w:right="-17" w:rightChars="-8"/>
        <w:jc w:val="center"/>
        <w:rPr>
          <w:rFonts w:eastAsia="黑体"/>
          <w:sz w:val="52"/>
          <w:szCs w:val="52"/>
        </w:rPr>
      </w:pPr>
    </w:p>
    <w:p>
      <w:pPr>
        <w:tabs>
          <w:tab w:val="center" w:pos="4164"/>
          <w:tab w:val="left" w:pos="5455"/>
        </w:tabs>
        <w:ind w:right="-17" w:rightChars="-8"/>
        <w:jc w:val="center"/>
        <w:rPr>
          <w:rFonts w:eastAsia="黑体"/>
          <w:sz w:val="52"/>
          <w:szCs w:val="52"/>
        </w:rPr>
      </w:pPr>
    </w:p>
    <w:p>
      <w:pPr>
        <w:jc w:val="center"/>
        <w:rPr>
          <w:rFonts w:ascii="宋体" w:hAnsi="宋体"/>
          <w:sz w:val="24"/>
        </w:rPr>
      </w:pPr>
    </w:p>
    <w:p>
      <w:pPr>
        <w:jc w:val="center"/>
        <w:rPr>
          <w:b/>
          <w:sz w:val="48"/>
        </w:rPr>
      </w:pPr>
      <w:r>
        <w:rPr>
          <w:rFonts w:hint="eastAsia"/>
          <w:b/>
          <w:sz w:val="48"/>
        </w:rPr>
        <w:t>工银瑞信新能源先锋混合型</w:t>
      </w:r>
    </w:p>
    <w:p>
      <w:pPr>
        <w:jc w:val="center"/>
        <w:rPr>
          <w:b/>
          <w:sz w:val="48"/>
        </w:rPr>
      </w:pPr>
      <w:r>
        <w:rPr>
          <w:rFonts w:hint="eastAsia"/>
          <w:b/>
          <w:sz w:val="48"/>
        </w:rPr>
        <w:t>发起式证券投资基金</w:t>
      </w:r>
    </w:p>
    <w:p>
      <w:pPr>
        <w:jc w:val="center"/>
        <w:rPr>
          <w:b/>
          <w:sz w:val="48"/>
        </w:rPr>
      </w:pPr>
      <w:r>
        <w:rPr>
          <w:rFonts w:hint="eastAsia"/>
          <w:b/>
          <w:sz w:val="48"/>
        </w:rPr>
        <w:t>托管协议</w:t>
      </w: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rPr>
          <w:rFonts w:ascii="宋体"/>
          <w:sz w:val="30"/>
        </w:rPr>
      </w:pPr>
    </w:p>
    <w:p>
      <w:pPr>
        <w:ind w:left="1135" w:leftChars="540" w:hanging="1"/>
        <w:jc w:val="left"/>
        <w:rPr>
          <w:sz w:val="32"/>
          <w:szCs w:val="32"/>
        </w:rPr>
      </w:pPr>
      <w:bookmarkStart w:id="2" w:name="_Toc382819065"/>
      <w:bookmarkStart w:id="3" w:name="_Toc382818591"/>
      <w:r>
        <w:rPr>
          <w:rFonts w:hint="eastAsia"/>
          <w:sz w:val="32"/>
          <w:szCs w:val="32"/>
        </w:rPr>
        <w:t>基金管理人：</w:t>
      </w:r>
      <w:bookmarkEnd w:id="2"/>
      <w:bookmarkEnd w:id="3"/>
      <w:r>
        <w:rPr>
          <w:rFonts w:hint="eastAsia"/>
          <w:sz w:val="32"/>
          <w:szCs w:val="32"/>
        </w:rPr>
        <w:t xml:space="preserve">工银瑞信基金管理有限公司                        </w:t>
      </w:r>
    </w:p>
    <w:p>
      <w:pPr>
        <w:ind w:left="1135" w:leftChars="540" w:hanging="1"/>
        <w:jc w:val="left"/>
        <w:rPr>
          <w:sz w:val="32"/>
          <w:szCs w:val="32"/>
        </w:rPr>
      </w:pPr>
      <w:bookmarkStart w:id="4" w:name="_Toc382818592"/>
      <w:bookmarkStart w:id="5" w:name="_Toc382819066"/>
      <w:r>
        <w:rPr>
          <w:rFonts w:hint="eastAsia"/>
          <w:sz w:val="32"/>
          <w:szCs w:val="32"/>
        </w:rPr>
        <w:t>基金托管人：苏州银行股份有限公司</w:t>
      </w:r>
      <w:bookmarkEnd w:id="4"/>
      <w:bookmarkEnd w:id="5"/>
    </w:p>
    <w:p>
      <w:pPr>
        <w:ind w:left="1135" w:leftChars="540" w:hanging="1"/>
        <w:jc w:val="left"/>
        <w:rPr>
          <w:sz w:val="32"/>
          <w:szCs w:val="32"/>
        </w:rPr>
      </w:pPr>
    </w:p>
    <w:p>
      <w:pPr>
        <w:ind w:left="1135" w:leftChars="540" w:hanging="1"/>
        <w:jc w:val="left"/>
        <w:rPr>
          <w:sz w:val="32"/>
          <w:szCs w:val="32"/>
        </w:rPr>
      </w:pPr>
    </w:p>
    <w:p>
      <w:pPr>
        <w:spacing w:line="500" w:lineRule="atLeast"/>
        <w:jc w:val="center"/>
        <w:outlineLvl w:val="0"/>
        <w:rPr>
          <w:rFonts w:ascii="黑体" w:hAnsi="宋体" w:eastAsia="黑体"/>
          <w:b/>
          <w:sz w:val="28"/>
          <w:szCs w:val="28"/>
        </w:rPr>
        <w:sectPr>
          <w:footerReference r:id="rId3" w:type="default"/>
          <w:pgSz w:w="11906" w:h="16838"/>
          <w:pgMar w:top="1440" w:right="1800" w:bottom="1440" w:left="1800" w:header="851" w:footer="992" w:gutter="0"/>
          <w:pgNumType w:start="1"/>
          <w:cols w:space="720" w:num="1"/>
          <w:docGrid w:type="lines" w:linePitch="312" w:charSpace="0"/>
        </w:sectPr>
      </w:pPr>
    </w:p>
    <w:p>
      <w:pPr>
        <w:spacing w:line="500" w:lineRule="atLeast"/>
        <w:jc w:val="center"/>
        <w:outlineLvl w:val="0"/>
        <w:rPr>
          <w:rFonts w:ascii="宋体" w:hAnsi="宋体"/>
          <w:b/>
          <w:sz w:val="36"/>
          <w:szCs w:val="28"/>
        </w:rPr>
      </w:pPr>
      <w:bookmarkStart w:id="6" w:name="_Toc382818593"/>
      <w:bookmarkStart w:id="7" w:name="_Toc131682140"/>
      <w:bookmarkStart w:id="8" w:name="_Toc382819067"/>
      <w:r>
        <w:rPr>
          <w:rFonts w:hint="eastAsia" w:ascii="宋体" w:hAnsi="宋体"/>
          <w:b/>
          <w:sz w:val="32"/>
          <w:szCs w:val="28"/>
        </w:rPr>
        <w:t>目 录</w:t>
      </w:r>
      <w:bookmarkEnd w:id="6"/>
      <w:bookmarkEnd w:id="7"/>
      <w:bookmarkEnd w:id="8"/>
    </w:p>
    <w:p>
      <w:pPr>
        <w:pStyle w:val="16"/>
        <w:tabs>
          <w:tab w:val="right" w:leader="dot" w:pos="8296"/>
        </w:tabs>
        <w:spacing w:line="360" w:lineRule="auto"/>
        <w:rPr>
          <w:rFonts w:asciiTheme="minorHAnsi" w:hAnsiTheme="minorHAnsi" w:eastAsiaTheme="minorEastAsia" w:cstheme="minorBidi"/>
          <w:szCs w:val="22"/>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TOC \o "1-3" \h \z \u</w:instrText>
      </w:r>
      <w:r>
        <w:rPr>
          <w:rFonts w:ascii="宋体" w:hAnsi="宋体"/>
          <w:szCs w:val="21"/>
        </w:rPr>
        <w:instrText xml:space="preserve"> </w:instrText>
      </w:r>
      <w:r>
        <w:rPr>
          <w:rFonts w:ascii="宋体" w:hAnsi="宋体"/>
          <w:szCs w:val="21"/>
        </w:rPr>
        <w:fldChar w:fldCharType="separate"/>
      </w:r>
    </w:p>
    <w:p>
      <w:pPr>
        <w:pStyle w:val="16"/>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"_Toc131682141" </w:instrText>
      </w:r>
      <w:r>
        <w:fldChar w:fldCharType="separate"/>
      </w:r>
      <w:r>
        <w:rPr>
          <w:rStyle w:val="22"/>
          <w:rFonts w:hint="eastAsia" w:ascii="宋体" w:hAnsi="宋体"/>
          <w:b/>
        </w:rPr>
        <w:t>一、基金托管协议的依据、目的、原则和解释</w:t>
      </w:r>
      <w:r>
        <w:tab/>
      </w:r>
      <w:r>
        <w:fldChar w:fldCharType="begin"/>
      </w:r>
      <w:r>
        <w:instrText xml:space="preserve"> PAGEREF _Toc131682141 \h </w:instrText>
      </w:r>
      <w:r>
        <w:fldChar w:fldCharType="separate"/>
      </w:r>
      <w:r>
        <w:t>2</w:t>
      </w:r>
      <w:r>
        <w:fldChar w:fldCharType="end"/>
      </w:r>
      <w:r>
        <w:fldChar w:fldCharType="end"/>
      </w:r>
    </w:p>
    <w:p>
      <w:pPr>
        <w:pStyle w:val="16"/>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"_Toc131682142" </w:instrText>
      </w:r>
      <w:r>
        <w:fldChar w:fldCharType="separate"/>
      </w:r>
      <w:r>
        <w:rPr>
          <w:rStyle w:val="22"/>
          <w:rFonts w:hint="eastAsia" w:ascii="宋体" w:hAnsi="宋体"/>
          <w:b/>
        </w:rPr>
        <w:t>二、基金托管人对基金管理人的业务监督和核查</w:t>
      </w:r>
      <w:bookmarkStart w:id="61" w:name="_GoBack"/>
      <w:bookmarkEnd w:id="61"/>
      <w:r>
        <w:tab/>
      </w:r>
      <w:r>
        <w:fldChar w:fldCharType="begin"/>
      </w:r>
      <w:r>
        <w:instrText xml:space="preserve"> PAGEREF _Toc131682142 \h </w:instrText>
      </w:r>
      <w:r>
        <w:fldChar w:fldCharType="separate"/>
      </w:r>
      <w:r>
        <w:t>2</w:t>
      </w:r>
      <w:r>
        <w:fldChar w:fldCharType="end"/>
      </w:r>
      <w:r>
        <w:fldChar w:fldCharType="end"/>
      </w:r>
    </w:p>
    <w:p>
      <w:pPr>
        <w:pStyle w:val="16"/>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"_Toc131682143" </w:instrText>
      </w:r>
      <w:r>
        <w:fldChar w:fldCharType="separate"/>
      </w:r>
      <w:r>
        <w:rPr>
          <w:rStyle w:val="22"/>
          <w:rFonts w:hint="eastAsia" w:ascii="宋体" w:hAnsi="宋体"/>
          <w:b/>
        </w:rPr>
        <w:t>三、基金管理人对基金托管人的业务核查</w:t>
      </w:r>
      <w:r>
        <w:tab/>
      </w:r>
      <w:r>
        <w:fldChar w:fldCharType="begin"/>
      </w:r>
      <w:r>
        <w:instrText xml:space="preserve"> PAGEREF _Toc131682143 \h </w:instrText>
      </w:r>
      <w:r>
        <w:fldChar w:fldCharType="separate"/>
      </w:r>
      <w:r>
        <w:t>8</w:t>
      </w:r>
      <w:r>
        <w:fldChar w:fldCharType="end"/>
      </w:r>
      <w:r>
        <w:fldChar w:fldCharType="end"/>
      </w:r>
    </w:p>
    <w:p>
      <w:pPr>
        <w:pStyle w:val="16"/>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"_Toc131682144" </w:instrText>
      </w:r>
      <w:r>
        <w:fldChar w:fldCharType="separate"/>
      </w:r>
      <w:r>
        <w:rPr>
          <w:rStyle w:val="22"/>
          <w:rFonts w:hint="eastAsia" w:ascii="宋体" w:hAnsi="宋体"/>
          <w:b/>
        </w:rPr>
        <w:t>四、基金财产保管</w:t>
      </w:r>
      <w:r>
        <w:tab/>
      </w:r>
      <w:r>
        <w:fldChar w:fldCharType="begin"/>
      </w:r>
      <w:r>
        <w:instrText xml:space="preserve"> PAGEREF _Toc131682144 \h </w:instrText>
      </w:r>
      <w:r>
        <w:fldChar w:fldCharType="separate"/>
      </w:r>
      <w:r>
        <w:t>8</w:t>
      </w:r>
      <w:r>
        <w:fldChar w:fldCharType="end"/>
      </w:r>
      <w:r>
        <w:fldChar w:fldCharType="end"/>
      </w:r>
    </w:p>
    <w:p>
      <w:pPr>
        <w:pStyle w:val="16"/>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"_Toc131682145" </w:instrText>
      </w:r>
      <w:r>
        <w:fldChar w:fldCharType="separate"/>
      </w:r>
      <w:r>
        <w:rPr>
          <w:rStyle w:val="22"/>
          <w:rFonts w:hint="eastAsia" w:ascii="宋体" w:hAnsi="宋体"/>
          <w:b/>
        </w:rPr>
        <w:t>五、指令的发送、确认和执行</w:t>
      </w:r>
      <w:r>
        <w:tab/>
      </w:r>
      <w:r>
        <w:fldChar w:fldCharType="begin"/>
      </w:r>
      <w:r>
        <w:instrText xml:space="preserve"> PAGEREF _Toc131682145 \h </w:instrText>
      </w:r>
      <w:r>
        <w:fldChar w:fldCharType="separate"/>
      </w:r>
      <w:r>
        <w:t>11</w:t>
      </w:r>
      <w:r>
        <w:fldChar w:fldCharType="end"/>
      </w:r>
      <w:r>
        <w:fldChar w:fldCharType="end"/>
      </w:r>
    </w:p>
    <w:p>
      <w:pPr>
        <w:pStyle w:val="16"/>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"_Toc131682146" </w:instrText>
      </w:r>
      <w:r>
        <w:fldChar w:fldCharType="separate"/>
      </w:r>
      <w:r>
        <w:rPr>
          <w:rStyle w:val="22"/>
          <w:rFonts w:hint="eastAsia" w:ascii="宋体" w:hAnsi="宋体"/>
          <w:b/>
        </w:rPr>
        <w:t>六、交易及清算交收安排</w:t>
      </w:r>
      <w:r>
        <w:tab/>
      </w:r>
      <w:r>
        <w:fldChar w:fldCharType="begin"/>
      </w:r>
      <w:r>
        <w:instrText xml:space="preserve"> PAGEREF _Toc131682146 \h </w:instrText>
      </w:r>
      <w:r>
        <w:fldChar w:fldCharType="separate"/>
      </w:r>
      <w:r>
        <w:t>14</w:t>
      </w:r>
      <w:r>
        <w:fldChar w:fldCharType="end"/>
      </w:r>
      <w:r>
        <w:fldChar w:fldCharType="end"/>
      </w:r>
    </w:p>
    <w:p>
      <w:pPr>
        <w:pStyle w:val="16"/>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"_Toc131682147" </w:instrText>
      </w:r>
      <w:r>
        <w:fldChar w:fldCharType="separate"/>
      </w:r>
      <w:r>
        <w:rPr>
          <w:rStyle w:val="22"/>
          <w:rFonts w:hint="eastAsia" w:ascii="宋体" w:hAnsi="宋体"/>
          <w:b/>
        </w:rPr>
        <w:t>七、基金资产净值计算和会计核算</w:t>
      </w:r>
      <w:r>
        <w:tab/>
      </w:r>
      <w:r>
        <w:fldChar w:fldCharType="begin"/>
      </w:r>
      <w:r>
        <w:instrText xml:space="preserve"> PAGEREF _Toc131682147 \h </w:instrText>
      </w:r>
      <w:r>
        <w:fldChar w:fldCharType="separate"/>
      </w:r>
      <w:r>
        <w:t>18</w:t>
      </w:r>
      <w:r>
        <w:fldChar w:fldCharType="end"/>
      </w:r>
      <w:r>
        <w:fldChar w:fldCharType="end"/>
      </w:r>
    </w:p>
    <w:p>
      <w:pPr>
        <w:pStyle w:val="16"/>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"_Toc131682148" </w:instrText>
      </w:r>
      <w:r>
        <w:fldChar w:fldCharType="separate"/>
      </w:r>
      <w:r>
        <w:rPr>
          <w:rStyle w:val="22"/>
          <w:rFonts w:hint="eastAsia" w:ascii="宋体" w:hAnsi="宋体"/>
          <w:b/>
        </w:rPr>
        <w:t>八、基金收益分配</w:t>
      </w:r>
      <w:r>
        <w:tab/>
      </w:r>
      <w:r>
        <w:fldChar w:fldCharType="begin"/>
      </w:r>
      <w:r>
        <w:instrText xml:space="preserve"> PAGEREF _Toc131682148 \h </w:instrText>
      </w:r>
      <w:r>
        <w:fldChar w:fldCharType="separate"/>
      </w:r>
      <w:r>
        <w:t>20</w:t>
      </w:r>
      <w:r>
        <w:fldChar w:fldCharType="end"/>
      </w:r>
      <w:r>
        <w:fldChar w:fldCharType="end"/>
      </w:r>
    </w:p>
    <w:p>
      <w:pPr>
        <w:pStyle w:val="16"/>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"_Toc131682149" </w:instrText>
      </w:r>
      <w:r>
        <w:fldChar w:fldCharType="separate"/>
      </w:r>
      <w:r>
        <w:rPr>
          <w:rStyle w:val="22"/>
          <w:rFonts w:hint="eastAsia" w:ascii="宋体" w:hAnsi="宋体"/>
          <w:b/>
        </w:rPr>
        <w:t>九、信息披露</w:t>
      </w:r>
      <w:r>
        <w:tab/>
      </w:r>
      <w:r>
        <w:fldChar w:fldCharType="begin"/>
      </w:r>
      <w:r>
        <w:instrText xml:space="preserve"> PAGEREF _Toc131682149 \h </w:instrText>
      </w:r>
      <w:r>
        <w:fldChar w:fldCharType="separate"/>
      </w:r>
      <w:r>
        <w:t>20</w:t>
      </w:r>
      <w:r>
        <w:fldChar w:fldCharType="end"/>
      </w:r>
      <w:r>
        <w:fldChar w:fldCharType="end"/>
      </w:r>
    </w:p>
    <w:p>
      <w:pPr>
        <w:pStyle w:val="16"/>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"_Toc131682150" </w:instrText>
      </w:r>
      <w:r>
        <w:fldChar w:fldCharType="separate"/>
      </w:r>
      <w:r>
        <w:rPr>
          <w:rStyle w:val="22"/>
          <w:rFonts w:hint="eastAsia" w:ascii="宋体" w:hAnsi="宋体"/>
          <w:b/>
        </w:rPr>
        <w:t>十、基金费用</w:t>
      </w:r>
      <w:r>
        <w:tab/>
      </w:r>
      <w:r>
        <w:fldChar w:fldCharType="begin"/>
      </w:r>
      <w:r>
        <w:instrText xml:space="preserve"> PAGEREF _Toc131682150 \h </w:instrText>
      </w:r>
      <w:r>
        <w:fldChar w:fldCharType="separate"/>
      </w:r>
      <w:r>
        <w:t>22</w:t>
      </w:r>
      <w:r>
        <w:fldChar w:fldCharType="end"/>
      </w:r>
      <w:r>
        <w:fldChar w:fldCharType="end"/>
      </w:r>
    </w:p>
    <w:p>
      <w:pPr>
        <w:pStyle w:val="16"/>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"_Toc131682151" </w:instrText>
      </w:r>
      <w:r>
        <w:fldChar w:fldCharType="separate"/>
      </w:r>
      <w:r>
        <w:rPr>
          <w:rStyle w:val="22"/>
          <w:rFonts w:hint="eastAsia" w:ascii="宋体" w:hAnsi="宋体"/>
          <w:b/>
        </w:rPr>
        <w:t>十一、基金份额持有人名册的保管</w:t>
      </w:r>
      <w:r>
        <w:tab/>
      </w:r>
      <w:r>
        <w:fldChar w:fldCharType="begin"/>
      </w:r>
      <w:r>
        <w:instrText xml:space="preserve"> PAGEREF _Toc131682151 \h </w:instrText>
      </w:r>
      <w:r>
        <w:fldChar w:fldCharType="separate"/>
      </w:r>
      <w:r>
        <w:t>22</w:t>
      </w:r>
      <w:r>
        <w:fldChar w:fldCharType="end"/>
      </w:r>
      <w:r>
        <w:fldChar w:fldCharType="end"/>
      </w:r>
    </w:p>
    <w:p>
      <w:pPr>
        <w:pStyle w:val="16"/>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"_Toc131682152" </w:instrText>
      </w:r>
      <w:r>
        <w:fldChar w:fldCharType="separate"/>
      </w:r>
      <w:r>
        <w:rPr>
          <w:rStyle w:val="22"/>
          <w:rFonts w:hint="eastAsia" w:ascii="宋体" w:hAnsi="宋体"/>
          <w:b/>
        </w:rPr>
        <w:t>十二、基金有关文件和档案的保存</w:t>
      </w:r>
      <w:r>
        <w:tab/>
      </w:r>
      <w:r>
        <w:fldChar w:fldCharType="begin"/>
      </w:r>
      <w:r>
        <w:instrText xml:space="preserve"> PAGEREF _Toc131682152 \h </w:instrText>
      </w:r>
      <w:r>
        <w:fldChar w:fldCharType="separate"/>
      </w:r>
      <w:r>
        <w:t>22</w:t>
      </w:r>
      <w:r>
        <w:fldChar w:fldCharType="end"/>
      </w:r>
      <w:r>
        <w:fldChar w:fldCharType="end"/>
      </w:r>
    </w:p>
    <w:p>
      <w:pPr>
        <w:pStyle w:val="16"/>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"_Toc131682153" </w:instrText>
      </w:r>
      <w:r>
        <w:fldChar w:fldCharType="separate"/>
      </w:r>
      <w:r>
        <w:rPr>
          <w:rStyle w:val="22"/>
          <w:rFonts w:hint="eastAsia" w:ascii="宋体" w:hAnsi="宋体"/>
          <w:b/>
        </w:rPr>
        <w:t>十三、基金管理人和基金托管人的更换</w:t>
      </w:r>
      <w:r>
        <w:tab/>
      </w:r>
      <w:r>
        <w:fldChar w:fldCharType="begin"/>
      </w:r>
      <w:r>
        <w:instrText xml:space="preserve"> PAGEREF _Toc131682153 \h </w:instrText>
      </w:r>
      <w:r>
        <w:fldChar w:fldCharType="separate"/>
      </w:r>
      <w:r>
        <w:t>23</w:t>
      </w:r>
      <w:r>
        <w:fldChar w:fldCharType="end"/>
      </w:r>
      <w:r>
        <w:fldChar w:fldCharType="end"/>
      </w:r>
    </w:p>
    <w:p>
      <w:pPr>
        <w:pStyle w:val="16"/>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"_Toc131682154" </w:instrText>
      </w:r>
      <w:r>
        <w:fldChar w:fldCharType="separate"/>
      </w:r>
      <w:r>
        <w:rPr>
          <w:rStyle w:val="22"/>
          <w:rFonts w:hint="eastAsia" w:ascii="宋体" w:hAnsi="宋体"/>
          <w:b/>
        </w:rPr>
        <w:t>十四、禁止行为</w:t>
      </w:r>
      <w:r>
        <w:tab/>
      </w:r>
      <w:r>
        <w:fldChar w:fldCharType="begin"/>
      </w:r>
      <w:r>
        <w:instrText xml:space="preserve"> PAGEREF _Toc131682154 \h </w:instrText>
      </w:r>
      <w:r>
        <w:fldChar w:fldCharType="separate"/>
      </w:r>
      <w:r>
        <w:t>23</w:t>
      </w:r>
      <w:r>
        <w:fldChar w:fldCharType="end"/>
      </w:r>
      <w:r>
        <w:fldChar w:fldCharType="end"/>
      </w:r>
    </w:p>
    <w:p>
      <w:pPr>
        <w:pStyle w:val="16"/>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"_Toc131682155" </w:instrText>
      </w:r>
      <w:r>
        <w:fldChar w:fldCharType="separate"/>
      </w:r>
      <w:r>
        <w:rPr>
          <w:rStyle w:val="22"/>
          <w:rFonts w:hint="eastAsia" w:ascii="宋体" w:hAnsi="宋体"/>
          <w:b/>
        </w:rPr>
        <w:t>十五、基金托管协议的变更、终止与基金财产的清算</w:t>
      </w:r>
      <w:r>
        <w:tab/>
      </w:r>
      <w:r>
        <w:fldChar w:fldCharType="begin"/>
      </w:r>
      <w:r>
        <w:instrText xml:space="preserve"> PAGEREF _Toc131682155 \h </w:instrText>
      </w:r>
      <w:r>
        <w:fldChar w:fldCharType="separate"/>
      </w:r>
      <w:r>
        <w:t>24</w:t>
      </w:r>
      <w:r>
        <w:fldChar w:fldCharType="end"/>
      </w:r>
      <w:r>
        <w:fldChar w:fldCharType="end"/>
      </w:r>
    </w:p>
    <w:p>
      <w:pPr>
        <w:pStyle w:val="16"/>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"_Toc131682156" </w:instrText>
      </w:r>
      <w:r>
        <w:fldChar w:fldCharType="separate"/>
      </w:r>
      <w:r>
        <w:rPr>
          <w:rStyle w:val="22"/>
          <w:rFonts w:hint="eastAsia" w:ascii="宋体" w:hAnsi="宋体"/>
          <w:b/>
        </w:rPr>
        <w:t>十六、违约责任</w:t>
      </w:r>
      <w:r>
        <w:tab/>
      </w:r>
      <w:r>
        <w:fldChar w:fldCharType="begin"/>
      </w:r>
      <w:r>
        <w:instrText xml:space="preserve"> PAGEREF _Toc131682156 \h </w:instrText>
      </w:r>
      <w:r>
        <w:fldChar w:fldCharType="separate"/>
      </w:r>
      <w:r>
        <w:t>24</w:t>
      </w:r>
      <w:r>
        <w:fldChar w:fldCharType="end"/>
      </w:r>
      <w:r>
        <w:fldChar w:fldCharType="end"/>
      </w:r>
    </w:p>
    <w:p>
      <w:pPr>
        <w:pStyle w:val="16"/>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"_Toc131682157" </w:instrText>
      </w:r>
      <w:r>
        <w:fldChar w:fldCharType="separate"/>
      </w:r>
      <w:r>
        <w:rPr>
          <w:rStyle w:val="22"/>
          <w:rFonts w:hint="eastAsia" w:ascii="宋体" w:hAnsi="宋体"/>
          <w:b/>
        </w:rPr>
        <w:t>十七、适用法律及争议解决方式</w:t>
      </w:r>
      <w:r>
        <w:tab/>
      </w:r>
      <w:r>
        <w:fldChar w:fldCharType="begin"/>
      </w:r>
      <w:r>
        <w:instrText xml:space="preserve"> PAGEREF _Toc131682157 \h </w:instrText>
      </w:r>
      <w:r>
        <w:fldChar w:fldCharType="separate"/>
      </w:r>
      <w:r>
        <w:t>25</w:t>
      </w:r>
      <w:r>
        <w:fldChar w:fldCharType="end"/>
      </w:r>
      <w:r>
        <w:fldChar w:fldCharType="end"/>
      </w:r>
    </w:p>
    <w:p>
      <w:pPr>
        <w:pStyle w:val="16"/>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"_Toc131682158" </w:instrText>
      </w:r>
      <w:r>
        <w:fldChar w:fldCharType="separate"/>
      </w:r>
      <w:r>
        <w:rPr>
          <w:rStyle w:val="22"/>
          <w:rFonts w:hint="eastAsia" w:ascii="宋体" w:hAnsi="宋体"/>
          <w:b/>
        </w:rPr>
        <w:t>十八、基金托管协议的效力和文本</w:t>
      </w:r>
      <w:r>
        <w:tab/>
      </w:r>
      <w:r>
        <w:fldChar w:fldCharType="begin"/>
      </w:r>
      <w:r>
        <w:instrText xml:space="preserve"> PAGEREF _Toc131682158 \h </w:instrText>
      </w:r>
      <w:r>
        <w:fldChar w:fldCharType="separate"/>
      </w:r>
      <w:r>
        <w:t>25</w:t>
      </w:r>
      <w:r>
        <w:fldChar w:fldCharType="end"/>
      </w:r>
      <w:r>
        <w:fldChar w:fldCharType="end"/>
      </w:r>
    </w:p>
    <w:p>
      <w:pPr>
        <w:pStyle w:val="16"/>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"_Toc131682159" </w:instrText>
      </w:r>
      <w:r>
        <w:fldChar w:fldCharType="separate"/>
      </w:r>
      <w:r>
        <w:rPr>
          <w:rStyle w:val="22"/>
          <w:rFonts w:hint="eastAsia" w:ascii="宋体" w:hAnsi="宋体"/>
          <w:b/>
        </w:rPr>
        <w:t>十九、其他事项</w:t>
      </w:r>
      <w:r>
        <w:tab/>
      </w:r>
      <w:r>
        <w:fldChar w:fldCharType="begin"/>
      </w:r>
      <w:r>
        <w:instrText xml:space="preserve"> PAGEREF _Toc131682159 \h </w:instrText>
      </w:r>
      <w:r>
        <w:fldChar w:fldCharType="separate"/>
      </w:r>
      <w:r>
        <w:t>26</w:t>
      </w:r>
      <w:r>
        <w:fldChar w:fldCharType="end"/>
      </w:r>
      <w:r>
        <w:fldChar w:fldCharType="end"/>
      </w:r>
    </w:p>
    <w:p>
      <w:pPr>
        <w:spacing w:line="360" w:lineRule="auto"/>
        <w:rPr>
          <w:rFonts w:ascii="仿宋_GB2312" w:eastAsia="仿宋_GB2312"/>
          <w:szCs w:val="21"/>
        </w:rPr>
      </w:pPr>
      <w:r>
        <w:rPr>
          <w:rFonts w:ascii="宋体" w:hAnsi="宋体"/>
          <w:szCs w:val="21"/>
        </w:rPr>
        <w:fldChar w:fldCharType="end"/>
      </w:r>
    </w:p>
    <w:p>
      <w:pPr>
        <w:widowControl/>
        <w:jc w:val="left"/>
        <w:rPr>
          <w:rFonts w:ascii="仿宋_GB2312" w:eastAsia="仿宋_GB2312"/>
          <w:sz w:val="24"/>
        </w:rPr>
        <w:sectPr>
          <w:headerReference r:id="rId4" w:type="default"/>
          <w:pgSz w:w="11906" w:h="16838"/>
          <w:pgMar w:top="1440" w:right="1800" w:bottom="1440" w:left="1800" w:header="851" w:footer="992" w:gutter="0"/>
          <w:pgNumType w:start="1"/>
          <w:cols w:space="720" w:num="1"/>
          <w:docGrid w:type="lines" w:linePitch="312" w:charSpace="0"/>
        </w:sectPr>
      </w:pPr>
    </w:p>
    <w:p>
      <w:pPr>
        <w:jc w:val="center"/>
        <w:rPr>
          <w:rFonts w:ascii="黑体" w:hAnsi="黑体" w:eastAsia="黑体"/>
          <w:sz w:val="32"/>
          <w:szCs w:val="32"/>
        </w:rPr>
      </w:pPr>
      <w:bookmarkStart w:id="9" w:name="_Toc382819068"/>
      <w:bookmarkStart w:id="10" w:name="_Toc382818594"/>
      <w:r>
        <w:rPr>
          <w:rFonts w:hint="eastAsia" w:ascii="黑体" w:hAnsi="黑体" w:eastAsia="黑体"/>
          <w:sz w:val="32"/>
          <w:szCs w:val="32"/>
        </w:rPr>
        <w:t>公开募集证券投资基金托管协议</w:t>
      </w:r>
      <w:bookmarkEnd w:id="9"/>
      <w:bookmarkEnd w:id="10"/>
    </w:p>
    <w:p>
      <w:pPr>
        <w:rPr>
          <w:lang w:val="zh-CN"/>
        </w:rPr>
      </w:pPr>
    </w:p>
    <w:p>
      <w:pPr>
        <w:rPr>
          <w:lang w:val="zh-CN"/>
        </w:rPr>
      </w:pPr>
    </w:p>
    <w:p>
      <w:pPr>
        <w:spacing w:line="360" w:lineRule="auto"/>
        <w:ind w:firstLine="422" w:firstLineChars="200"/>
        <w:rPr>
          <w:b/>
          <w:bCs/>
          <w:szCs w:val="21"/>
        </w:rPr>
      </w:pPr>
      <w:bookmarkStart w:id="11" w:name="_Toc382819069"/>
      <w:r>
        <w:rPr>
          <w:rFonts w:hint="eastAsia" w:ascii="宋体" w:hAnsi="宋体"/>
          <w:b/>
          <w:szCs w:val="21"/>
        </w:rPr>
        <w:t>基金管理人：</w:t>
      </w:r>
      <w:bookmarkEnd w:id="11"/>
      <w:bookmarkStart w:id="12" w:name="_Toc15118236"/>
      <w:r>
        <w:rPr>
          <w:rFonts w:hint="eastAsia"/>
          <w:b/>
          <w:bCs/>
          <w:szCs w:val="21"/>
        </w:rPr>
        <w:t>工银瑞信基金管理有限公司</w:t>
      </w:r>
    </w:p>
    <w:p>
      <w:pPr>
        <w:snapToGrid w:val="0"/>
        <w:spacing w:line="360" w:lineRule="auto"/>
        <w:ind w:firstLine="420" w:firstLineChars="200"/>
        <w:rPr>
          <w:bCs/>
          <w:szCs w:val="21"/>
        </w:rPr>
      </w:pPr>
      <w:r>
        <w:rPr>
          <w:rFonts w:hint="eastAsia"/>
          <w:bCs/>
          <w:szCs w:val="21"/>
        </w:rPr>
        <w:t>住所：北京市西城区金融大街5号、甲5号9层甲5号901</w:t>
      </w:r>
    </w:p>
    <w:p>
      <w:pPr>
        <w:snapToGrid w:val="0"/>
        <w:spacing w:line="360" w:lineRule="auto"/>
        <w:ind w:firstLine="420" w:firstLineChars="200"/>
        <w:rPr>
          <w:bCs/>
          <w:szCs w:val="21"/>
        </w:rPr>
      </w:pPr>
      <w:r>
        <w:rPr>
          <w:rFonts w:hint="eastAsia"/>
          <w:bCs/>
          <w:szCs w:val="21"/>
        </w:rPr>
        <w:t>法定代表人：赵桂才</w:t>
      </w:r>
    </w:p>
    <w:p>
      <w:pPr>
        <w:snapToGrid w:val="0"/>
        <w:spacing w:line="360" w:lineRule="auto"/>
        <w:ind w:firstLine="420" w:firstLineChars="200"/>
        <w:rPr>
          <w:bCs/>
          <w:szCs w:val="21"/>
        </w:rPr>
      </w:pPr>
      <w:r>
        <w:rPr>
          <w:rFonts w:hint="eastAsia"/>
          <w:bCs/>
          <w:szCs w:val="21"/>
        </w:rPr>
        <w:t>设立日期：2005年6月21日</w:t>
      </w:r>
    </w:p>
    <w:p>
      <w:pPr>
        <w:snapToGrid w:val="0"/>
        <w:spacing w:line="360" w:lineRule="auto"/>
        <w:ind w:firstLine="420" w:firstLineChars="200"/>
        <w:rPr>
          <w:bCs/>
          <w:szCs w:val="21"/>
        </w:rPr>
      </w:pPr>
      <w:r>
        <w:rPr>
          <w:rFonts w:hint="eastAsia"/>
          <w:bCs/>
          <w:szCs w:val="21"/>
        </w:rPr>
        <w:t>批准设立机关及批准设立文号：中国证监会证监基金字【2005】93号</w:t>
      </w:r>
    </w:p>
    <w:p>
      <w:pPr>
        <w:snapToGrid w:val="0"/>
        <w:spacing w:line="360" w:lineRule="auto"/>
        <w:ind w:firstLine="420" w:firstLineChars="200"/>
        <w:rPr>
          <w:bCs/>
          <w:szCs w:val="21"/>
        </w:rPr>
      </w:pPr>
      <w:r>
        <w:rPr>
          <w:rFonts w:hint="eastAsia"/>
          <w:bCs/>
          <w:szCs w:val="21"/>
        </w:rPr>
        <w:t>组织形式：有限责任公司</w:t>
      </w:r>
    </w:p>
    <w:p>
      <w:pPr>
        <w:snapToGrid w:val="0"/>
        <w:spacing w:line="360" w:lineRule="auto"/>
        <w:ind w:firstLine="420" w:firstLineChars="200"/>
        <w:rPr>
          <w:bCs/>
          <w:szCs w:val="21"/>
        </w:rPr>
      </w:pPr>
      <w:r>
        <w:rPr>
          <w:rFonts w:hint="eastAsia"/>
          <w:bCs/>
          <w:szCs w:val="21"/>
        </w:rPr>
        <w:t>注册资本：贰亿元人民币</w:t>
      </w:r>
    </w:p>
    <w:p>
      <w:pPr>
        <w:snapToGrid w:val="0"/>
        <w:spacing w:line="360" w:lineRule="auto"/>
        <w:ind w:firstLine="420" w:firstLineChars="200"/>
        <w:rPr>
          <w:bCs/>
          <w:szCs w:val="21"/>
        </w:rPr>
      </w:pPr>
      <w:r>
        <w:rPr>
          <w:rFonts w:hint="eastAsia"/>
          <w:bCs/>
          <w:szCs w:val="21"/>
        </w:rPr>
        <w:t>存续期限：持续经营</w:t>
      </w:r>
    </w:p>
    <w:bookmarkEnd w:id="12"/>
    <w:p>
      <w:pPr>
        <w:snapToGrid w:val="0"/>
        <w:spacing w:line="360" w:lineRule="auto"/>
        <w:ind w:firstLine="420" w:firstLineChars="200"/>
        <w:rPr>
          <w:rFonts w:ascii="宋体" w:hAnsi="宋体"/>
          <w:szCs w:val="21"/>
        </w:rPr>
      </w:pPr>
    </w:p>
    <w:p>
      <w:pPr>
        <w:spacing w:line="360" w:lineRule="auto"/>
        <w:ind w:firstLine="422" w:firstLineChars="200"/>
        <w:rPr>
          <w:rFonts w:ascii="宋体" w:hAnsi="宋体"/>
          <w:b/>
          <w:szCs w:val="21"/>
        </w:rPr>
      </w:pPr>
      <w:bookmarkStart w:id="13" w:name="_Toc382819070"/>
      <w:r>
        <w:rPr>
          <w:rFonts w:hint="eastAsia" w:ascii="宋体" w:hAnsi="宋体"/>
          <w:b/>
          <w:szCs w:val="21"/>
        </w:rPr>
        <w:t>基金托管人：</w:t>
      </w:r>
      <w:r>
        <w:rPr>
          <w:rFonts w:hint="eastAsia"/>
          <w:b/>
          <w:bCs/>
          <w:szCs w:val="21"/>
        </w:rPr>
        <w:t>苏州银行股份有限公司</w:t>
      </w:r>
      <w:bookmarkEnd w:id="13"/>
    </w:p>
    <w:p>
      <w:pPr>
        <w:snapToGrid w:val="0"/>
        <w:spacing w:line="360" w:lineRule="auto"/>
        <w:ind w:firstLine="420" w:firstLineChars="200"/>
        <w:rPr>
          <w:bCs/>
          <w:szCs w:val="21"/>
        </w:rPr>
      </w:pPr>
      <w:r>
        <w:rPr>
          <w:bCs/>
          <w:szCs w:val="21"/>
        </w:rPr>
        <w:t>住所</w:t>
      </w:r>
      <w:r>
        <w:rPr>
          <w:rFonts w:hint="eastAsia"/>
          <w:bCs/>
          <w:szCs w:val="21"/>
        </w:rPr>
        <w:t>：中国（江苏）自由贸易试验区苏州片区苏州工业园区钟园路</w:t>
      </w:r>
      <w:r>
        <w:rPr>
          <w:bCs/>
          <w:szCs w:val="21"/>
        </w:rPr>
        <w:t>728</w:t>
      </w:r>
      <w:r>
        <w:rPr>
          <w:rFonts w:hint="eastAsia"/>
          <w:bCs/>
          <w:szCs w:val="21"/>
        </w:rPr>
        <w:t>号</w:t>
      </w:r>
    </w:p>
    <w:p>
      <w:pPr>
        <w:snapToGrid w:val="0"/>
        <w:spacing w:line="360" w:lineRule="auto"/>
        <w:ind w:firstLine="420" w:firstLineChars="200"/>
        <w:rPr>
          <w:bCs/>
          <w:szCs w:val="21"/>
        </w:rPr>
      </w:pPr>
      <w:r>
        <w:rPr>
          <w:rFonts w:hint="eastAsia"/>
          <w:bCs/>
          <w:szCs w:val="21"/>
        </w:rPr>
        <w:t>法定代表人：崔庆军</w:t>
      </w:r>
    </w:p>
    <w:p>
      <w:pPr>
        <w:snapToGrid w:val="0"/>
        <w:spacing w:line="360" w:lineRule="auto"/>
        <w:ind w:firstLine="420" w:firstLineChars="200"/>
        <w:rPr>
          <w:bCs/>
          <w:szCs w:val="21"/>
        </w:rPr>
      </w:pPr>
      <w:r>
        <w:rPr>
          <w:rFonts w:hint="eastAsia"/>
          <w:bCs/>
          <w:szCs w:val="21"/>
        </w:rPr>
        <w:t>成立日期：</w:t>
      </w:r>
      <w:r>
        <w:rPr>
          <w:bCs/>
          <w:szCs w:val="21"/>
        </w:rPr>
        <w:t>2004</w:t>
      </w:r>
      <w:r>
        <w:rPr>
          <w:rFonts w:hint="eastAsia"/>
          <w:bCs/>
          <w:szCs w:val="21"/>
        </w:rPr>
        <w:t>年</w:t>
      </w:r>
      <w:r>
        <w:rPr>
          <w:bCs/>
          <w:szCs w:val="21"/>
        </w:rPr>
        <w:t>12</w:t>
      </w:r>
      <w:r>
        <w:rPr>
          <w:rFonts w:hint="eastAsia"/>
          <w:bCs/>
          <w:szCs w:val="21"/>
        </w:rPr>
        <w:t>月</w:t>
      </w:r>
      <w:r>
        <w:rPr>
          <w:bCs/>
          <w:szCs w:val="21"/>
        </w:rPr>
        <w:t>24</w:t>
      </w:r>
      <w:r>
        <w:rPr>
          <w:rFonts w:hint="eastAsia"/>
          <w:bCs/>
          <w:szCs w:val="21"/>
        </w:rPr>
        <w:t>日</w:t>
      </w:r>
    </w:p>
    <w:p>
      <w:pPr>
        <w:snapToGrid w:val="0"/>
        <w:spacing w:line="360" w:lineRule="auto"/>
        <w:ind w:firstLine="420" w:firstLineChars="200"/>
        <w:rPr>
          <w:bCs/>
          <w:szCs w:val="21"/>
        </w:rPr>
      </w:pPr>
      <w:r>
        <w:rPr>
          <w:rFonts w:hint="eastAsia"/>
          <w:bCs/>
          <w:szCs w:val="21"/>
        </w:rPr>
        <w:t>批准设立机关和批准设立文号：中国银监会银监复[2010]440号</w:t>
      </w:r>
    </w:p>
    <w:p>
      <w:pPr>
        <w:snapToGrid w:val="0"/>
        <w:spacing w:line="360" w:lineRule="auto"/>
        <w:ind w:firstLine="420" w:firstLineChars="200"/>
        <w:rPr>
          <w:bCs/>
          <w:szCs w:val="21"/>
        </w:rPr>
      </w:pPr>
      <w:r>
        <w:rPr>
          <w:rFonts w:hint="eastAsia"/>
          <w:bCs/>
          <w:szCs w:val="21"/>
        </w:rPr>
        <w:t>基金托管资格批文及文号：中国证监会证监许可[2022]545号</w:t>
      </w:r>
    </w:p>
    <w:p>
      <w:pPr>
        <w:snapToGrid w:val="0"/>
        <w:spacing w:line="360" w:lineRule="auto"/>
        <w:ind w:firstLine="420" w:firstLineChars="200"/>
        <w:rPr>
          <w:bCs/>
          <w:szCs w:val="21"/>
        </w:rPr>
      </w:pPr>
      <w:r>
        <w:rPr>
          <w:rFonts w:hint="eastAsia"/>
          <w:bCs/>
          <w:szCs w:val="21"/>
        </w:rPr>
        <w:t>组织形式：股份有限公司</w:t>
      </w:r>
    </w:p>
    <w:p>
      <w:pPr>
        <w:snapToGrid w:val="0"/>
        <w:spacing w:line="360" w:lineRule="auto"/>
        <w:ind w:firstLine="420" w:firstLineChars="200"/>
        <w:rPr>
          <w:bCs/>
          <w:szCs w:val="21"/>
        </w:rPr>
      </w:pPr>
      <w:r>
        <w:rPr>
          <w:rFonts w:hint="eastAsia"/>
          <w:bCs/>
          <w:szCs w:val="21"/>
        </w:rPr>
        <w:t>注册资本：</w:t>
      </w:r>
      <w:r>
        <w:rPr>
          <w:bCs/>
          <w:szCs w:val="21"/>
        </w:rPr>
        <w:t>366672.4356</w:t>
      </w:r>
      <w:r>
        <w:rPr>
          <w:rFonts w:hint="eastAsia"/>
          <w:bCs/>
          <w:szCs w:val="21"/>
        </w:rPr>
        <w:t>万元人民币</w:t>
      </w:r>
    </w:p>
    <w:p>
      <w:pPr>
        <w:snapToGrid w:val="0"/>
        <w:spacing w:line="360" w:lineRule="auto"/>
        <w:ind w:firstLine="420" w:firstLineChars="200"/>
        <w:rPr>
          <w:bCs/>
          <w:szCs w:val="21"/>
        </w:rPr>
      </w:pPr>
      <w:r>
        <w:rPr>
          <w:rFonts w:hint="eastAsia"/>
          <w:bCs/>
          <w:szCs w:val="21"/>
        </w:rPr>
        <w:t>存续期限：持续经营</w:t>
      </w:r>
    </w:p>
    <w:p>
      <w:pPr>
        <w:spacing w:line="360" w:lineRule="auto"/>
        <w:ind w:firstLine="420" w:firstLineChars="200"/>
        <w:rPr>
          <w:rFonts w:ascii="宋体" w:hAnsi="宋体"/>
          <w:szCs w:val="21"/>
        </w:rPr>
      </w:pPr>
    </w:p>
    <w:p>
      <w:pPr>
        <w:spacing w:line="360" w:lineRule="auto"/>
        <w:rPr>
          <w:rFonts w:ascii="宋体" w:hAnsi="宋体"/>
          <w:sz w:val="24"/>
        </w:rPr>
      </w:pPr>
    </w:p>
    <w:p>
      <w:pPr>
        <w:spacing w:line="360" w:lineRule="auto"/>
        <w:ind w:firstLine="480" w:firstLineChars="200"/>
        <w:rPr>
          <w:rFonts w:ascii="宋体" w:hAnsi="宋体"/>
          <w:sz w:val="24"/>
        </w:rPr>
      </w:pPr>
    </w:p>
    <w:p>
      <w:pPr>
        <w:spacing w:before="312" w:beforeLines="100" w:after="312" w:afterLines="100" w:line="240" w:lineRule="atLeast"/>
        <w:jc w:val="center"/>
        <w:outlineLvl w:val="0"/>
        <w:rPr>
          <w:rFonts w:ascii="宋体" w:hAnsi="宋体"/>
          <w:b/>
          <w:sz w:val="24"/>
        </w:rPr>
      </w:pPr>
      <w:r>
        <w:rPr>
          <w:rFonts w:ascii="宋体" w:hAnsi="宋体"/>
          <w:b/>
          <w:sz w:val="24"/>
        </w:rPr>
        <w:br w:type="page"/>
      </w:r>
    </w:p>
    <w:p>
      <w:pPr>
        <w:spacing w:before="312" w:beforeLines="100" w:after="156" w:afterLines="50" w:line="240" w:lineRule="atLeast"/>
        <w:jc w:val="center"/>
        <w:outlineLvl w:val="0"/>
        <w:rPr>
          <w:rFonts w:ascii="宋体" w:hAnsi="宋体"/>
          <w:b/>
          <w:sz w:val="24"/>
        </w:rPr>
      </w:pPr>
      <w:bookmarkStart w:id="14" w:name="_Toc131682141"/>
      <w:r>
        <w:rPr>
          <w:rFonts w:hint="eastAsia" w:ascii="宋体" w:hAnsi="宋体"/>
          <w:b/>
          <w:sz w:val="24"/>
        </w:rPr>
        <w:t>一、基金托管协议的依据、目的、原则和解释</w:t>
      </w:r>
      <w:bookmarkEnd w:id="14"/>
    </w:p>
    <w:p>
      <w:pPr>
        <w:snapToGrid w:val="0"/>
        <w:spacing w:line="360" w:lineRule="auto"/>
        <w:ind w:firstLine="420" w:firstLineChars="200"/>
        <w:rPr>
          <w:rFonts w:ascii="宋体" w:hAnsi="宋体"/>
          <w:szCs w:val="21"/>
        </w:rPr>
      </w:pPr>
      <w:r>
        <w:rPr>
          <w:rFonts w:hint="eastAsia" w:ascii="宋体" w:hAnsi="宋体"/>
          <w:szCs w:val="21"/>
        </w:rPr>
        <w:t>（一）依据</w:t>
      </w:r>
    </w:p>
    <w:p>
      <w:pPr>
        <w:snapToGrid w:val="0"/>
        <w:spacing w:line="360" w:lineRule="auto"/>
        <w:ind w:firstLine="420" w:firstLineChars="200"/>
        <w:rPr>
          <w:rFonts w:ascii="宋体" w:hAnsi="宋体"/>
          <w:szCs w:val="21"/>
        </w:rPr>
      </w:pPr>
      <w:r>
        <w:rPr>
          <w:rFonts w:hint="eastAsia" w:ascii="宋体" w:hAnsi="宋体"/>
          <w:szCs w:val="21"/>
        </w:rPr>
        <w:t>本协议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证券投资基金信息披露内容与格式准则第7号〈托管协议的内容与格式〉》、《工银瑞信新能源先锋混合型发起式证券投资基金基金合同》（以下简称《基金合同》）及其他有关法律、法规制定。</w:t>
      </w:r>
    </w:p>
    <w:p>
      <w:pPr>
        <w:snapToGrid w:val="0"/>
        <w:spacing w:line="360" w:lineRule="auto"/>
        <w:ind w:firstLine="420" w:firstLineChars="200"/>
        <w:rPr>
          <w:rFonts w:ascii="宋体" w:hAnsi="宋体"/>
          <w:szCs w:val="21"/>
        </w:rPr>
      </w:pPr>
      <w:r>
        <w:rPr>
          <w:rFonts w:hint="eastAsia" w:ascii="宋体" w:hAnsi="宋体"/>
          <w:szCs w:val="21"/>
        </w:rPr>
        <w:t>（二）目的</w:t>
      </w:r>
    </w:p>
    <w:p>
      <w:pPr>
        <w:snapToGrid w:val="0"/>
        <w:spacing w:line="360" w:lineRule="auto"/>
        <w:ind w:firstLine="420" w:firstLineChars="200"/>
        <w:rPr>
          <w:rFonts w:ascii="宋体" w:hAnsi="宋体"/>
          <w:szCs w:val="21"/>
        </w:rPr>
      </w:pPr>
      <w:r>
        <w:rPr>
          <w:rFonts w:hint="eastAsia" w:ascii="宋体" w:hAnsi="宋体"/>
          <w:szCs w:val="21"/>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pPr>
        <w:snapToGrid w:val="0"/>
        <w:spacing w:line="360" w:lineRule="auto"/>
        <w:ind w:firstLine="420" w:firstLineChars="200"/>
        <w:rPr>
          <w:rFonts w:ascii="宋体" w:hAnsi="宋体"/>
          <w:szCs w:val="21"/>
        </w:rPr>
      </w:pPr>
      <w:r>
        <w:rPr>
          <w:rFonts w:hint="eastAsia" w:ascii="宋体" w:hAnsi="宋体"/>
          <w:szCs w:val="21"/>
        </w:rPr>
        <w:t>（三）原则</w:t>
      </w:r>
    </w:p>
    <w:p>
      <w:pPr>
        <w:snapToGrid w:val="0"/>
        <w:spacing w:line="360" w:lineRule="auto"/>
        <w:ind w:firstLine="420" w:firstLineChars="200"/>
        <w:rPr>
          <w:rFonts w:ascii="宋体" w:hAnsi="宋体"/>
          <w:szCs w:val="21"/>
        </w:rPr>
      </w:pPr>
      <w:r>
        <w:rPr>
          <w:rFonts w:hint="eastAsia" w:ascii="宋体" w:hAnsi="宋体"/>
          <w:szCs w:val="21"/>
        </w:rPr>
        <w:t>基金管理人和基金托管人本着平等自愿、诚实信用、充分保护基金份额持有人合法权益的原则，经协商一致，签订本协议。</w:t>
      </w:r>
    </w:p>
    <w:p>
      <w:pPr>
        <w:snapToGrid w:val="0"/>
        <w:spacing w:line="360" w:lineRule="auto"/>
        <w:ind w:firstLine="420" w:firstLineChars="200"/>
        <w:rPr>
          <w:rFonts w:ascii="宋体" w:hAnsi="宋体"/>
          <w:szCs w:val="21"/>
        </w:rPr>
      </w:pPr>
      <w:r>
        <w:rPr>
          <w:rFonts w:hint="eastAsia" w:ascii="宋体" w:hAnsi="宋体"/>
          <w:szCs w:val="21"/>
        </w:rPr>
        <w:t>（四）解释</w:t>
      </w:r>
    </w:p>
    <w:p>
      <w:pPr>
        <w:snapToGrid w:val="0"/>
        <w:spacing w:line="360" w:lineRule="auto"/>
        <w:ind w:firstLine="420" w:firstLineChars="200"/>
        <w:rPr>
          <w:rFonts w:ascii="宋体" w:hAnsi="宋体"/>
          <w:szCs w:val="21"/>
        </w:rPr>
      </w:pPr>
      <w:r>
        <w:rPr>
          <w:rFonts w:hint="eastAsia" w:ascii="宋体" w:hAnsi="宋体"/>
          <w:szCs w:val="21"/>
        </w:rPr>
        <w:t>除非本协议另有约定，本协议所有术语与《基金合同》的相应术语具有相同含义；若有抵触应以《基金合同》为准，并依其条款解释。</w:t>
      </w:r>
    </w:p>
    <w:p>
      <w:pPr>
        <w:snapToGrid w:val="0"/>
        <w:spacing w:line="360" w:lineRule="auto"/>
        <w:ind w:firstLine="420" w:firstLineChars="200"/>
        <w:rPr>
          <w:rFonts w:ascii="宋体" w:hAnsi="宋体"/>
          <w:szCs w:val="21"/>
        </w:rPr>
      </w:pPr>
      <w:r>
        <w:rPr>
          <w:rFonts w:hint="eastAsia" w:ascii="宋体" w:hAnsi="宋体"/>
          <w:szCs w:val="21"/>
        </w:rPr>
        <w:t>（五）若本基金实施侧袋机制的，侧袋机制实施期间的相关安排见基金合同和招募说明书的规定。</w:t>
      </w:r>
    </w:p>
    <w:p>
      <w:pPr>
        <w:spacing w:before="312" w:beforeLines="100" w:after="156" w:afterLines="50" w:line="240" w:lineRule="atLeast"/>
        <w:jc w:val="center"/>
        <w:outlineLvl w:val="0"/>
        <w:rPr>
          <w:rFonts w:ascii="宋体" w:hAnsi="宋体"/>
          <w:b/>
          <w:sz w:val="24"/>
        </w:rPr>
      </w:pPr>
      <w:bookmarkStart w:id="15" w:name="_Toc131682142"/>
      <w:bookmarkStart w:id="16" w:name="_Toc382819073"/>
      <w:r>
        <w:rPr>
          <w:rFonts w:hint="eastAsia" w:ascii="宋体" w:hAnsi="宋体"/>
          <w:b/>
          <w:sz w:val="24"/>
        </w:rPr>
        <w:t>二、基金托管人对基金管理人的业务监督和核查</w:t>
      </w:r>
      <w:bookmarkEnd w:id="15"/>
    </w:p>
    <w:p>
      <w:pPr>
        <w:widowControl/>
        <w:snapToGrid w:val="0"/>
        <w:spacing w:line="360" w:lineRule="auto"/>
        <w:ind w:firstLine="420" w:firstLineChars="200"/>
        <w:jc w:val="left"/>
        <w:rPr>
          <w:rFonts w:ascii="宋体" w:hAnsi="宋体"/>
          <w:szCs w:val="21"/>
        </w:rPr>
      </w:pPr>
      <w:r>
        <w:rPr>
          <w:rFonts w:hint="eastAsia" w:ascii="宋体" w:hAnsi="宋体"/>
          <w:szCs w:val="21"/>
        </w:rPr>
        <w:t>（一）基金托管人对基金管理人的投资行为行使监督权</w:t>
      </w:r>
      <w:bookmarkEnd w:id="16"/>
    </w:p>
    <w:p>
      <w:pPr>
        <w:widowControl/>
        <w:snapToGrid w:val="0"/>
        <w:spacing w:line="360" w:lineRule="auto"/>
        <w:ind w:firstLine="420" w:firstLineChars="200"/>
        <w:jc w:val="left"/>
        <w:rPr>
          <w:rFonts w:ascii="宋体" w:hAnsi="宋体"/>
          <w:szCs w:val="21"/>
        </w:rPr>
      </w:pPr>
      <w:r>
        <w:rPr>
          <w:rFonts w:hint="eastAsia" w:ascii="宋体" w:hAnsi="宋体"/>
          <w:szCs w:val="21"/>
        </w:rPr>
        <w:t>1、基金托管人根据有关法律法规的规定和《基金合同》的约定，对下述基金投资范围进行监督。</w:t>
      </w:r>
    </w:p>
    <w:p>
      <w:pPr>
        <w:snapToGrid w:val="0"/>
        <w:spacing w:line="360" w:lineRule="auto"/>
        <w:ind w:firstLine="420" w:firstLineChars="200"/>
        <w:rPr>
          <w:rFonts w:ascii="宋体" w:hAnsi="宋体"/>
          <w:szCs w:val="21"/>
        </w:rPr>
      </w:pPr>
      <w:r>
        <w:rPr>
          <w:rFonts w:hint="eastAsia" w:ascii="宋体" w:hAnsi="宋体"/>
          <w:szCs w:val="21"/>
        </w:rPr>
        <w:t>本基金的投资范围为具有良好流动性的金融工具，包括国内依法发行上市交易的股票（包括主板、创业板、科创板及其他中国证监会允许基金投资的股票、存托凭证）、内地与香港股票市场交易互联互通机制允许买卖的规定范围内的香港联合交易所上市的股票（以下简称“港股通投资标的股票”）、股指期货、债券（包括国债、地方政府债、政府支持机构债券、金融债、企业债、公司债、次级债、可转换债券、分离交易可转债、可交换债券、央行票据、中期票据、短期融资券、超短期融资券）、国债期货、资产支持证券、债券回购、银行存款、同业存单、现金，以及法律法规或监管机构允许基金投资的其他金融工具（但须符合监管机构的相关规定）。</w:t>
      </w:r>
    </w:p>
    <w:p>
      <w:pPr>
        <w:snapToGrid w:val="0"/>
        <w:spacing w:line="360" w:lineRule="auto"/>
        <w:ind w:firstLine="420" w:firstLineChars="200"/>
        <w:rPr>
          <w:rFonts w:ascii="宋体" w:hAnsi="宋体"/>
          <w:szCs w:val="21"/>
        </w:rPr>
      </w:pPr>
      <w:r>
        <w:rPr>
          <w:rFonts w:hint="eastAsia" w:ascii="宋体" w:hAnsi="宋体"/>
          <w:szCs w:val="21"/>
        </w:rPr>
        <w:t>如法律法规或监管机构以后允许基金投资其他品种，基金管理人在履行适当程序后，可以将其纳入投资范围。</w:t>
      </w:r>
    </w:p>
    <w:p>
      <w:pPr>
        <w:snapToGrid w:val="0"/>
        <w:spacing w:line="360" w:lineRule="auto"/>
        <w:ind w:firstLine="420" w:firstLineChars="200"/>
        <w:rPr>
          <w:rFonts w:ascii="宋体" w:hAnsi="宋体"/>
          <w:szCs w:val="21"/>
        </w:rPr>
      </w:pPr>
      <w:r>
        <w:rPr>
          <w:rFonts w:hint="eastAsia" w:ascii="宋体" w:hAnsi="宋体"/>
          <w:szCs w:val="21"/>
        </w:rPr>
        <w:t>2、基金托管人根据有关法律法规的规定和《基金合同》的约定，对下述基金投资比例进行监督：</w:t>
      </w:r>
    </w:p>
    <w:p>
      <w:pPr>
        <w:snapToGrid w:val="0"/>
        <w:spacing w:line="360" w:lineRule="auto"/>
        <w:ind w:firstLine="480"/>
        <w:rPr>
          <w:rFonts w:ascii="宋体" w:hAnsi="宋体"/>
          <w:szCs w:val="21"/>
        </w:rPr>
      </w:pPr>
      <w:r>
        <w:rPr>
          <w:rFonts w:hint="eastAsia" w:ascii="宋体" w:hAnsi="宋体"/>
          <w:szCs w:val="21"/>
        </w:rPr>
        <w:t>（1）按法律法规的规定和《基金合同》的约定，本基金的投资资产配置比例为：</w:t>
      </w:r>
    </w:p>
    <w:p>
      <w:pPr>
        <w:snapToGrid w:val="0"/>
        <w:spacing w:line="360" w:lineRule="auto"/>
        <w:ind w:firstLine="420" w:firstLineChars="200"/>
        <w:rPr>
          <w:rFonts w:ascii="宋体" w:hAnsi="宋体"/>
          <w:szCs w:val="21"/>
        </w:rPr>
      </w:pPr>
      <w:r>
        <w:rPr>
          <w:rFonts w:hint="eastAsia" w:ascii="宋体" w:hAnsi="宋体"/>
          <w:szCs w:val="21"/>
        </w:rPr>
        <w:t>本基金的投资组合比例为：股票资产占基金资产的比例为60%–95%（投资于港股通投资标的股票的比例占基金股票资产的比例为0%-50%），其中投资于本基金界定的新能源主题范围内的股票不低于非现金基金资产的80%；每个交易日日终在扣除股指期货合约、国债期货合约需缴纳的交易保证金后，应当保持不低于基金资产净值的5%的现金或到期日在一年以内的政府债券，其中现金不包括结算备付金、存出保证金、应收申购款等。</w:t>
      </w:r>
    </w:p>
    <w:p>
      <w:pPr>
        <w:snapToGrid w:val="0"/>
        <w:spacing w:line="360" w:lineRule="auto"/>
        <w:ind w:firstLine="420" w:firstLineChars="200"/>
        <w:rPr>
          <w:rFonts w:ascii="宋体" w:hAnsi="宋体"/>
          <w:szCs w:val="21"/>
        </w:rPr>
      </w:pPr>
      <w:r>
        <w:rPr>
          <w:rFonts w:hint="eastAsia" w:ascii="宋体" w:hAnsi="宋体"/>
          <w:szCs w:val="21"/>
        </w:rPr>
        <w:t>如法律法规或监管机构允许，基金管理人在履行适当程序后，可以调整上述投资品种的投资比例。</w:t>
      </w:r>
    </w:p>
    <w:p>
      <w:pPr>
        <w:snapToGrid w:val="0"/>
        <w:spacing w:line="360" w:lineRule="auto"/>
        <w:ind w:firstLine="480"/>
        <w:rPr>
          <w:rFonts w:ascii="宋体" w:hAnsi="宋体"/>
          <w:szCs w:val="21"/>
        </w:rPr>
      </w:pPr>
      <w:r>
        <w:rPr>
          <w:rFonts w:hint="eastAsia" w:ascii="宋体" w:hAnsi="宋体"/>
          <w:szCs w:val="21"/>
        </w:rPr>
        <w:t xml:space="preserve">（2）根据法律法规的规定和《基金合同》的约定，本基金投资组合遵循以下投资限制： </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1）股票资产占基金资产的比例为60%–95%（投资于港股通投资标的股票的比例占基金股票资产的比例为0%-50%），其中投资于本基金界定的新能源主题范围内的股票不低于非现金基金资产的80%；</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2）本基金每个交易日日终在扣除股指期货合约、国债期货合约需缴纳的交易保证金后，保持不低于基金资产净值5％的现金或者到期日在一年以内的政府债券，其中现金不包括结算备付金、存出保证金和应收申购款等；</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3）本基金持有一家公司发行的证券，其市值（同一家公司在境内和香港市场同时上市的A+H股合并计算）不超过基金资产净值的10％；</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4）本基金管理人管理的全部基金持有一家公司发行的证券（同一家公司在境内和香港市场同时上市的A+H股合并计算），不超过该证券的10％，完全按照有关指数的构成比例进行证券投资的基金品种可以不受此条款规定的比例限制；</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5）本基金投资于同一原始权益人的各类资产支持证券的比例，不得超过基金资产净值的10％；</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6）本基金持有的全部资产支持证券，其市值不得超过基金资产净值的20％；</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7）本基金持有的同一(指同一信用级别)资产支持证券的比例，不得超过该资产支持证券规模的10％；</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8）本基金管理人管理的全部基金投资于同一原始权益人的各类资产支持证券，不得超过其各类资产支持证券合计规模的10％；</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9）本基金应投资于信用级别评级为BBB以上(含BBB)的资产支持证券。基金持有资产支持证券期间，如果其信用等级下降、不再符合投资标准，应在评级报告发布之日起3个月内予以全部卖出；</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10）基金财产参与股票发行申购，本基金所申报的金额不超过本基金的总资产，本基金所申报的股票数量不超过拟发行股票公司本次发行股票的总量；</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11）本基金总资产不得超过基金净资产的140%；</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12）本基金参与股指期货、国债期货交易，在任何交易日日终，本基金持有的买入股指期货合约和国债期货合约价值与有价证券市值之和，不得超过基金资产净值的95%，其中，有价证券指股票、债券（不含到期日在一年以内的政府债券）、资产支持证券、买入返售金融资产（不含质押式回购）等；若本基金不投资股指期货、国债期货，则不受上述限制；</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13）本基金参与股指期货交易，应当遵守下列投资比例的限制：</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i.在任何交易日日终，持有的买入股指期货合约价值，不得超过基金资产净值的10%；</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ii.在任何交易日日终，持有的卖出股指期货合约价值不得超过基金持有的股票总市值的20%；</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iii.在任何交易日内交易（不包括平仓）的股指期货合约的成交金额不得超过上一个交易日基金资产净值的20%；</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iv.本基金所持有的股票市值和买入、卖出股指期货合约价值，合计（轧差计算）应当符合基金合同中关于股票投资比例的有关约定；</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14）本基金参与国债期货交易，应当遵守下列投资比例的限制：</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i.在任何交易日日终，持有的买入国债期货合约价值，不得超过基金资产净值的15%；</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ii.在任何交易日日终，持有的卖出国债期货合约价值不得超过基金持有的债券总市值的30%；</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iii.在任何交易日内交易（不包括平仓）的国债期货合约的成交金额不得超过上一个交易日基金资产净值的30%；</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iv.本基金所持有的债券（不含到期日在一年以内的政府债券）市值和买入、卖出国债期货合约价值，合计（轧差计算）应当符合基金合同中关于债券投资比例的有关约定；</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15）本基金主动投资于流动性受限资产的市值合计不得超过基金资产净值的15%；因证券市场波动、上市公司股票停牌、基金规模变动等基金管理人之外的因素致使基金不符合前款所规定比例限制的，基金管理人不得主动新增流动性受限资产的投资；</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16）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17）本基金与私募类证券资管产品及中国证监会认定的其他主体为交易对手开展逆回购交易的，可接受质押品的资质要求应当与基金合同约定的投资范围保持一致；</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18）本基金投资存托凭证的比例限制依照境内上市交易的股票执行，与境内上市交易的股票合并计算；</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19）法律法规及中国证监会规定的和《基金合同》约定的其他投资限制。</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除上述第2）、9）、15）、17）项外，因证券、期货市场波动、证券发行人合并、基金规模变动等基金管理人之外的因素致使基金投资比例不符合上述规定投资比例的，基金管理人应当在10个交易日内进行调整，但中国证监会规定的特殊情形除外。</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pPr>
        <w:snapToGrid w:val="0"/>
        <w:spacing w:line="360" w:lineRule="auto"/>
        <w:ind w:firstLine="420" w:firstLineChars="200"/>
        <w:rPr>
          <w:rFonts w:ascii="宋体" w:hAnsi="宋体"/>
          <w:szCs w:val="21"/>
        </w:rPr>
      </w:pPr>
      <w:r>
        <w:rPr>
          <w:rFonts w:hint="eastAsia" w:ascii="宋体" w:hAnsi="宋体"/>
          <w:szCs w:val="21"/>
        </w:rPr>
        <w:t xml:space="preserve">3、基金托管人根据有关法律法规的规定和《基金合同》的约定，对下述基金投资禁止行为通过事后监督方式进行监督： </w:t>
      </w:r>
    </w:p>
    <w:p>
      <w:pPr>
        <w:snapToGrid w:val="0"/>
        <w:spacing w:line="360" w:lineRule="auto"/>
        <w:ind w:left="1" w:firstLine="472" w:firstLineChars="225"/>
        <w:rPr>
          <w:rFonts w:ascii="宋体" w:hAnsi="宋体"/>
          <w:szCs w:val="21"/>
        </w:rPr>
      </w:pPr>
      <w:r>
        <w:rPr>
          <w:rFonts w:hint="eastAsia" w:ascii="宋体" w:hAnsi="宋体"/>
          <w:szCs w:val="21"/>
        </w:rPr>
        <w:t>根据法律法规的规定和《基金合同》的约定，本基金禁止从事下列行为：</w:t>
      </w:r>
    </w:p>
    <w:p>
      <w:pPr>
        <w:snapToGrid w:val="0"/>
        <w:spacing w:line="360" w:lineRule="auto"/>
        <w:ind w:firstLine="420" w:firstLineChars="200"/>
        <w:rPr>
          <w:rFonts w:ascii="宋体" w:hAnsi="宋体"/>
          <w:szCs w:val="21"/>
        </w:rPr>
      </w:pPr>
      <w:r>
        <w:rPr>
          <w:rFonts w:hint="eastAsia" w:ascii="宋体" w:hAnsi="宋体"/>
          <w:szCs w:val="21"/>
        </w:rPr>
        <w:t>（1）承销证券；</w:t>
      </w:r>
    </w:p>
    <w:p>
      <w:pPr>
        <w:snapToGrid w:val="0"/>
        <w:spacing w:line="360" w:lineRule="auto"/>
        <w:ind w:firstLine="420" w:firstLineChars="200"/>
        <w:rPr>
          <w:rFonts w:ascii="宋体" w:hAnsi="宋体"/>
          <w:szCs w:val="21"/>
        </w:rPr>
      </w:pPr>
      <w:r>
        <w:rPr>
          <w:rFonts w:hint="eastAsia" w:ascii="宋体" w:hAnsi="宋体"/>
          <w:szCs w:val="21"/>
        </w:rPr>
        <w:t>（2）违反规定向他人贷款或者提供担保；</w:t>
      </w:r>
    </w:p>
    <w:p>
      <w:pPr>
        <w:snapToGrid w:val="0"/>
        <w:spacing w:line="360" w:lineRule="auto"/>
        <w:ind w:firstLine="420" w:firstLineChars="200"/>
        <w:rPr>
          <w:rFonts w:ascii="宋体" w:hAnsi="宋体"/>
          <w:szCs w:val="21"/>
        </w:rPr>
      </w:pPr>
      <w:r>
        <w:rPr>
          <w:rFonts w:hint="eastAsia" w:ascii="宋体" w:hAnsi="宋体"/>
          <w:szCs w:val="21"/>
        </w:rPr>
        <w:t>（3）从事承担无限责任的投资；</w:t>
      </w:r>
    </w:p>
    <w:p>
      <w:pPr>
        <w:snapToGrid w:val="0"/>
        <w:spacing w:line="360" w:lineRule="auto"/>
        <w:ind w:firstLine="420" w:firstLineChars="200"/>
        <w:rPr>
          <w:rFonts w:ascii="宋体" w:hAnsi="宋体"/>
          <w:szCs w:val="21"/>
        </w:rPr>
      </w:pPr>
      <w:r>
        <w:rPr>
          <w:rFonts w:hint="eastAsia" w:ascii="宋体" w:hAnsi="宋体"/>
          <w:szCs w:val="21"/>
        </w:rPr>
        <w:t>（4）买卖其他基金份额，但是中国证监会另有规定的除外；</w:t>
      </w:r>
    </w:p>
    <w:p>
      <w:pPr>
        <w:snapToGrid w:val="0"/>
        <w:spacing w:line="360" w:lineRule="auto"/>
        <w:ind w:firstLine="420" w:firstLineChars="200"/>
        <w:rPr>
          <w:rFonts w:ascii="宋体" w:hAnsi="宋体"/>
          <w:szCs w:val="21"/>
        </w:rPr>
      </w:pPr>
      <w:r>
        <w:rPr>
          <w:rFonts w:hint="eastAsia" w:ascii="宋体" w:hAnsi="宋体"/>
          <w:szCs w:val="21"/>
        </w:rPr>
        <w:t>（5）向其基金管理人、基金托管人出资；</w:t>
      </w:r>
    </w:p>
    <w:p>
      <w:pPr>
        <w:snapToGrid w:val="0"/>
        <w:spacing w:line="360" w:lineRule="auto"/>
        <w:ind w:firstLine="420" w:firstLineChars="200"/>
        <w:rPr>
          <w:rFonts w:ascii="宋体" w:hAnsi="宋体"/>
          <w:szCs w:val="21"/>
        </w:rPr>
      </w:pPr>
      <w:r>
        <w:rPr>
          <w:rFonts w:hint="eastAsia" w:ascii="宋体" w:hAnsi="宋体"/>
          <w:szCs w:val="21"/>
        </w:rPr>
        <w:t>（6）从事内幕交易、操纵证券交易价格及其他不正当的证券交易活动；</w:t>
      </w:r>
    </w:p>
    <w:p>
      <w:pPr>
        <w:snapToGrid w:val="0"/>
        <w:spacing w:line="360" w:lineRule="auto"/>
        <w:ind w:firstLine="420" w:firstLineChars="200"/>
        <w:rPr>
          <w:rFonts w:ascii="宋体" w:hAnsi="宋体"/>
          <w:szCs w:val="21"/>
        </w:rPr>
      </w:pPr>
      <w:r>
        <w:rPr>
          <w:rFonts w:hint="eastAsia" w:ascii="宋体" w:hAnsi="宋体"/>
          <w:szCs w:val="21"/>
        </w:rPr>
        <w:t>（7）法律、行政法规和中国证监会规定禁止的其他活动。</w:t>
      </w:r>
    </w:p>
    <w:p>
      <w:pPr>
        <w:snapToGrid w:val="0"/>
        <w:spacing w:line="360" w:lineRule="auto"/>
        <w:ind w:firstLine="397"/>
        <w:rPr>
          <w:rFonts w:ascii="宋体" w:hAnsi="宋体"/>
          <w:szCs w:val="21"/>
        </w:rPr>
      </w:pPr>
      <w:r>
        <w:rPr>
          <w:rFonts w:hint="eastAsia" w:ascii="宋体" w:hAnsi="宋体" w:cs="宋体"/>
          <w:kern w:val="0"/>
          <w:szCs w:val="21"/>
        </w:rPr>
        <w:t>4、基金托管人依据有关法律法规的规定和《基金合同》的约定，对于基金关联投资限制进行监督。</w:t>
      </w:r>
    </w:p>
    <w:p>
      <w:pPr>
        <w:snapToGrid w:val="0"/>
        <w:spacing w:line="360" w:lineRule="auto"/>
        <w:ind w:firstLine="397"/>
        <w:rPr>
          <w:rFonts w:ascii="宋体" w:hAnsi="宋体" w:cs="宋体"/>
          <w:kern w:val="0"/>
          <w:szCs w:val="21"/>
        </w:rPr>
      </w:pPr>
      <w:r>
        <w:rPr>
          <w:rFonts w:hint="eastAsia" w:ascii="宋体" w:hAnsi="宋体" w:cs="宋体"/>
          <w:kern w:val="0"/>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5、法律法规或监管部门对上述投资限制、投资禁止行为等作出强制性调整的，本基金应当按照法律法规或监管部门的规定执行；如法律法规或监管部门修改或调整上述投资限制、投资禁止性规定，且该等调整或修改属于非强制性的，基金管理人有权在履行适当程序后按照法律法规或监管部门调整或修改后的规定执行，并应向投资者履行信息披露义务。</w:t>
      </w:r>
    </w:p>
    <w:p>
      <w:pPr>
        <w:snapToGrid w:val="0"/>
        <w:spacing w:line="360" w:lineRule="auto"/>
        <w:ind w:firstLine="420" w:firstLineChars="200"/>
        <w:rPr>
          <w:rFonts w:ascii="宋体" w:hAnsi="宋体"/>
          <w:szCs w:val="21"/>
        </w:rPr>
      </w:pPr>
      <w:r>
        <w:rPr>
          <w:rFonts w:hint="eastAsia" w:ascii="宋体" w:hAnsi="宋体"/>
          <w:szCs w:val="21"/>
        </w:rPr>
        <w:t>6、基金托管人</w:t>
      </w:r>
      <w:r>
        <w:rPr>
          <w:rFonts w:hint="eastAsia" w:ascii="宋体" w:hAnsi="宋体" w:cs="宋体"/>
          <w:kern w:val="0"/>
          <w:szCs w:val="21"/>
        </w:rPr>
        <w:t>依据有关法律法规的规定和《基金合同》的约定</w:t>
      </w:r>
      <w:r>
        <w:rPr>
          <w:rFonts w:hint="eastAsia" w:ascii="宋体" w:hAnsi="宋体"/>
          <w:szCs w:val="21"/>
        </w:rPr>
        <w:t>对基金管理人参与银行间债券市场进行监督。</w:t>
      </w:r>
    </w:p>
    <w:p>
      <w:pPr>
        <w:snapToGrid w:val="0"/>
        <w:spacing w:line="360" w:lineRule="auto"/>
        <w:ind w:firstLine="420" w:firstLineChars="200"/>
        <w:rPr>
          <w:rFonts w:ascii="宋体" w:hAnsi="宋体"/>
          <w:szCs w:val="21"/>
        </w:rPr>
      </w:pPr>
      <w:r>
        <w:rPr>
          <w:rFonts w:hint="eastAsia" w:ascii="宋体" w:hAnsi="宋体"/>
          <w:szCs w:val="21"/>
        </w:rPr>
        <w:t>基金管理人应在基金投资运作之前向基金托管人提供符合法律法规及行业标准的、经慎重选择的、本基金适用的银行间债券市场交易对手名单，并约定各交易对手所适用的交易结算方式。基金托管人根据基金管理人提供的银行间债券市场交易对手名单进行监督。基金管理人可以定期对银行间债券市场交易对手名单及结算方式进行更新，新名单确定前已与本次剔除的交易对手所进行但尚未结算的交易，仍应按照协议进行结算。如基金管理人未向基金托管人提供银行间债券市场交易对手名单的，视为基金管理人认可全市场交易对手。</w:t>
      </w:r>
    </w:p>
    <w:p>
      <w:pPr>
        <w:snapToGrid w:val="0"/>
        <w:spacing w:line="360" w:lineRule="auto"/>
        <w:ind w:firstLine="420" w:firstLineChars="200"/>
        <w:rPr>
          <w:rFonts w:ascii="宋体" w:hAnsi="宋体"/>
          <w:szCs w:val="21"/>
        </w:rPr>
      </w:pPr>
      <w:r>
        <w:rPr>
          <w:rFonts w:hint="eastAsia" w:ascii="宋体" w:hAnsi="宋体"/>
          <w:szCs w:val="21"/>
        </w:rPr>
        <w:t>基金管理人有责任控制交易对手的资信风险，由于交易对手的资信风险引起的损失，基金管理人应当负责向相关责任人追偿。基金托管人不承担由此引发的责任及损失，但应给予必要的协助和配合。</w:t>
      </w:r>
    </w:p>
    <w:p>
      <w:pPr>
        <w:snapToGrid w:val="0"/>
        <w:spacing w:line="360" w:lineRule="auto"/>
        <w:ind w:firstLine="420" w:firstLineChars="200"/>
        <w:rPr>
          <w:rFonts w:ascii="宋体" w:hAnsi="宋体"/>
          <w:szCs w:val="21"/>
        </w:rPr>
      </w:pPr>
      <w:r>
        <w:rPr>
          <w:rFonts w:hint="eastAsia" w:ascii="宋体" w:hAnsi="宋体"/>
          <w:szCs w:val="21"/>
        </w:rPr>
        <w:t>7、基金托管人依据有关法律法规的规定和《基金合同》的约定，对基金银行存款业务进行监督。</w:t>
      </w:r>
    </w:p>
    <w:p>
      <w:pPr>
        <w:snapToGrid w:val="0"/>
        <w:spacing w:line="360" w:lineRule="auto"/>
        <w:ind w:firstLine="420" w:firstLineChars="200"/>
        <w:rPr>
          <w:rFonts w:ascii="宋体" w:hAnsi="宋体"/>
          <w:szCs w:val="21"/>
        </w:rPr>
      </w:pPr>
      <w:r>
        <w:rPr>
          <w:rFonts w:hint="eastAsia" w:ascii="宋体" w:hAnsi="宋体"/>
          <w:szCs w:val="21"/>
        </w:rPr>
        <w:t>基金管理人应当加强对基金投资银行存款风险的评估与研究，对于基金投资的银行存款，由于存款银行发生信用风险事件而造成损失时，由基金管理人负责向相关责任人进行追偿。如果基金托管人在运作过程中遵循有关法律法规的规定和《基金合同》的约定监督流程，则对于由于存款银行信用风险引起的损失，不承担赔偿责任。</w:t>
      </w:r>
    </w:p>
    <w:p>
      <w:pPr>
        <w:snapToGrid w:val="0"/>
        <w:spacing w:line="360" w:lineRule="auto"/>
        <w:ind w:firstLine="420" w:firstLineChars="200"/>
        <w:rPr>
          <w:rFonts w:ascii="宋体" w:hAnsi="宋体"/>
          <w:szCs w:val="21"/>
        </w:rPr>
      </w:pPr>
      <w:r>
        <w:rPr>
          <w:rFonts w:hint="eastAsia" w:ascii="宋体" w:hAnsi="宋体"/>
          <w:szCs w:val="21"/>
        </w:rPr>
        <w:t>8、基金托管人根据有关法律法规的规定及《基金合同》的约定，对基金管理人投资流通受限证券进行监督。</w:t>
      </w:r>
    </w:p>
    <w:p>
      <w:pPr>
        <w:snapToGrid w:val="0"/>
        <w:spacing w:line="360" w:lineRule="auto"/>
        <w:ind w:firstLine="420" w:firstLineChars="200"/>
        <w:rPr>
          <w:rFonts w:ascii="宋体" w:hAnsi="宋体"/>
          <w:szCs w:val="21"/>
        </w:rPr>
      </w:pPr>
      <w:r>
        <w:rPr>
          <w:rFonts w:hint="eastAsia" w:ascii="宋体" w:hAnsi="宋体"/>
          <w:szCs w:val="21"/>
        </w:rPr>
        <w:t>基金管理人投资流通受限证券，应事先根据中国证监会相关规定，制订严格的投资决策流程和风险控制制度，防范流动性风险、法律风险和操作风险等各种风险。</w:t>
      </w:r>
    </w:p>
    <w:p>
      <w:pPr>
        <w:snapToGrid w:val="0"/>
        <w:spacing w:line="360" w:lineRule="auto"/>
        <w:ind w:firstLine="420" w:firstLineChars="200"/>
        <w:rPr>
          <w:rFonts w:ascii="宋体" w:hAnsi="宋体"/>
          <w:szCs w:val="21"/>
        </w:rPr>
      </w:pPr>
      <w:r>
        <w:rPr>
          <w:rFonts w:hint="eastAsia" w:ascii="宋体" w:hAnsi="宋体"/>
          <w:szCs w:val="21"/>
        </w:rPr>
        <w:t>（1）本基金投资的流通受限证券与上文所述的流动性受限资产并不完全一致，包括由法律法规规定或中国证监会认定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pPr>
        <w:snapToGrid w:val="0"/>
        <w:spacing w:line="360" w:lineRule="auto"/>
        <w:ind w:firstLine="420" w:firstLineChars="200"/>
        <w:rPr>
          <w:rFonts w:ascii="宋体" w:hAnsi="宋体"/>
          <w:szCs w:val="21"/>
        </w:rPr>
      </w:pPr>
      <w:r>
        <w:rPr>
          <w:rFonts w:hint="eastAsia" w:ascii="宋体" w:hAnsi="宋体"/>
          <w:szCs w:val="21"/>
        </w:rPr>
        <w:t>本基金投资的流通受限证券限于可由中国证券登记结算有限责任公司或中央国债登记结算有限责任公司负责登记和存管，并可在证券交易所或全国银行间债券市场交易的证券。</w:t>
      </w:r>
    </w:p>
    <w:p>
      <w:pPr>
        <w:snapToGrid w:val="0"/>
        <w:spacing w:line="360" w:lineRule="auto"/>
        <w:ind w:firstLine="420" w:firstLineChars="200"/>
        <w:rPr>
          <w:rFonts w:ascii="宋体" w:hAnsi="宋体"/>
          <w:szCs w:val="21"/>
        </w:rPr>
      </w:pPr>
      <w:r>
        <w:rPr>
          <w:rFonts w:hint="eastAsia" w:ascii="宋体" w:hAnsi="宋体"/>
          <w:szCs w:val="21"/>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pPr>
        <w:snapToGrid w:val="0"/>
        <w:spacing w:line="360" w:lineRule="auto"/>
        <w:ind w:firstLine="420" w:firstLineChars="200"/>
        <w:rPr>
          <w:rFonts w:ascii="宋体" w:hAnsi="宋体"/>
          <w:szCs w:val="21"/>
        </w:rPr>
      </w:pPr>
      <w:r>
        <w:rPr>
          <w:rFonts w:hint="eastAsia" w:ascii="宋体" w:hAnsi="宋体"/>
          <w:szCs w:val="21"/>
        </w:rPr>
        <w:t>（2）基金管理人投资非公开发行股票，应制订流动性风险处置预案并经其董事会批准。</w:t>
      </w:r>
    </w:p>
    <w:p>
      <w:pPr>
        <w:snapToGrid w:val="0"/>
        <w:spacing w:line="360" w:lineRule="auto"/>
        <w:ind w:firstLine="420" w:firstLineChars="200"/>
        <w:rPr>
          <w:rFonts w:ascii="宋体" w:hAnsi="宋体"/>
          <w:szCs w:val="21"/>
        </w:rPr>
      </w:pPr>
      <w:r>
        <w:rPr>
          <w:rFonts w:hint="eastAsia" w:ascii="宋体" w:hAnsi="宋体"/>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确保基金的支付结算。对本基金因投资流通受限证券导致的流动性风险，基金托管人已切实履行监督职责的，不承担相应责任。如因基金管理人过错导致本基金出现损失致使基金托管人承担连带赔偿责任的，基金管理人应赔偿基金托管人由此遭受的损失。</w:t>
      </w:r>
    </w:p>
    <w:p>
      <w:pPr>
        <w:snapToGrid w:val="0"/>
        <w:spacing w:line="360" w:lineRule="auto"/>
        <w:ind w:firstLine="420" w:firstLineChars="200"/>
        <w:rPr>
          <w:rFonts w:ascii="宋体" w:hAnsi="宋体"/>
          <w:szCs w:val="21"/>
        </w:rPr>
      </w:pPr>
      <w:r>
        <w:rPr>
          <w:rFonts w:hint="eastAsia" w:ascii="宋体" w:hAnsi="宋体"/>
          <w:szCs w:val="21"/>
        </w:rPr>
        <w:t>（3）本基金投资非公开发行股票，基金管理人应于投资前向基金托管人提交有关书面资料，并保证向基金托管人提供的有关资料真实、准确、完整。有关资料如有调整，基金管理人应及时提供调整后的资料。上述书面资料包括但不限于：中国证监会批准或注册发行非公开发行股票的文件；非公开发行股票有关发行数量、发行价格、锁定期等发行资料；基金拟认购的数量、价格、总成本、账面价值。</w:t>
      </w:r>
    </w:p>
    <w:p>
      <w:pPr>
        <w:snapToGrid w:val="0"/>
        <w:spacing w:line="360" w:lineRule="auto"/>
        <w:ind w:firstLine="420" w:firstLineChars="200"/>
        <w:rPr>
          <w:rFonts w:ascii="宋体" w:hAnsi="宋体"/>
          <w:szCs w:val="21"/>
        </w:rPr>
      </w:pPr>
      <w:r>
        <w:rPr>
          <w:rFonts w:hint="eastAsia" w:ascii="宋体" w:hAnsi="宋体"/>
          <w:szCs w:val="21"/>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pPr>
        <w:snapToGrid w:val="0"/>
        <w:spacing w:line="360" w:lineRule="auto"/>
        <w:ind w:firstLine="420" w:firstLineChars="200"/>
        <w:rPr>
          <w:rFonts w:ascii="宋体" w:hAnsi="宋体"/>
          <w:szCs w:val="21"/>
        </w:rPr>
      </w:pPr>
      <w:r>
        <w:rPr>
          <w:rFonts w:hint="eastAsia" w:ascii="宋体" w:hAnsi="宋体"/>
          <w:szCs w:val="21"/>
        </w:rPr>
        <w:t>（5）相关法律法规对基金投资流通受限证券有新规定的，从其规定。</w:t>
      </w:r>
    </w:p>
    <w:p>
      <w:pPr>
        <w:snapToGrid w:val="0"/>
        <w:spacing w:line="360" w:lineRule="auto"/>
        <w:ind w:firstLine="420" w:firstLineChars="200"/>
        <w:rPr>
          <w:rFonts w:ascii="宋体" w:hAnsi="宋体"/>
          <w:szCs w:val="21"/>
        </w:rPr>
      </w:pPr>
      <w:bookmarkStart w:id="17" w:name="_Toc382819074"/>
      <w:r>
        <w:rPr>
          <w:rFonts w:hint="eastAsia" w:ascii="宋体" w:hAnsi="宋体"/>
          <w:szCs w:val="21"/>
        </w:rPr>
        <w:t>（二）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bookmarkEnd w:id="17"/>
    </w:p>
    <w:p>
      <w:pPr>
        <w:snapToGrid w:val="0"/>
        <w:spacing w:line="360" w:lineRule="auto"/>
        <w:ind w:firstLine="420" w:firstLineChars="200"/>
        <w:rPr>
          <w:rFonts w:ascii="宋体" w:hAnsi="宋体"/>
          <w:szCs w:val="21"/>
        </w:rPr>
      </w:pPr>
      <w:bookmarkStart w:id="18" w:name="_Toc382819075"/>
      <w:r>
        <w:rPr>
          <w:rFonts w:hint="eastAsia" w:ascii="宋体" w:hAnsi="宋体"/>
          <w:szCs w:val="21"/>
        </w:rPr>
        <w:t>（三）基金托管人发现基金管理人的投资运作及其他运作违反《基金法》、《基金合同》、基金托管协议等有关规定时，应及时以书面形式通知基金管理人限期纠正，基金管理人收到通知后应及时核对，并以书面形式向基金托管人发出回函，进行解释或举证。</w:t>
      </w:r>
      <w:bookmarkEnd w:id="18"/>
    </w:p>
    <w:p>
      <w:pPr>
        <w:snapToGrid w:val="0"/>
        <w:spacing w:line="360" w:lineRule="auto"/>
        <w:ind w:firstLine="420" w:firstLineChars="200"/>
        <w:rPr>
          <w:rFonts w:ascii="宋体" w:hAnsi="宋体"/>
          <w:szCs w:val="21"/>
        </w:rPr>
      </w:pPr>
      <w:r>
        <w:rPr>
          <w:rFonts w:hint="eastAsia" w:ascii="宋体" w:hAnsi="宋体"/>
          <w:szCs w:val="21"/>
        </w:rPr>
        <w:t>1、在限期内，基金托管人有权随时对通知事项进行复查，督促基金管理人改正。基金管理人对基金托管人通知的违规事项未能在限期内纠正的，基金托管人应报告中国证监会。</w:t>
      </w:r>
    </w:p>
    <w:p>
      <w:pPr>
        <w:snapToGrid w:val="0"/>
        <w:spacing w:line="360" w:lineRule="auto"/>
        <w:ind w:firstLine="420" w:firstLineChars="200"/>
        <w:rPr>
          <w:rFonts w:ascii="宋体" w:hAnsi="宋体"/>
          <w:szCs w:val="21"/>
        </w:rPr>
      </w:pPr>
      <w:r>
        <w:rPr>
          <w:rFonts w:hint="eastAsia" w:ascii="宋体" w:hAnsi="宋体"/>
          <w:szCs w:val="21"/>
        </w:rPr>
        <w:t>2、基金管理人应积极配合和协助基金托管人依照法律法规、《基金合同》和本托管协议对基金业务的监督和核查，对基金托管人发出的书面提示，应在规定时间内答复基金托管人并改正，或就基金托管人的合理疑义进行解释或举证，对基金托管人按照法律法规、《基金合同》和本托管协议的要求需向中国证监会报送基金监督报告的，基金管理人应积极配合提供相关数据资料和制度等。</w:t>
      </w:r>
    </w:p>
    <w:p>
      <w:pPr>
        <w:snapToGrid w:val="0"/>
        <w:spacing w:line="360" w:lineRule="auto"/>
        <w:ind w:firstLine="420" w:firstLineChars="200"/>
        <w:rPr>
          <w:rFonts w:ascii="宋体" w:hAnsi="宋体"/>
          <w:szCs w:val="21"/>
        </w:rPr>
      </w:pPr>
      <w:r>
        <w:rPr>
          <w:rFonts w:hint="eastAsia" w:ascii="宋体" w:hAnsi="宋体"/>
          <w:szCs w:val="21"/>
        </w:rPr>
        <w:t>3、若基金托管人发现基金管理人发出但未执行的投资指令或依据交易程序已经生效的投资指令违反法律、行政法规和其他有关规定，或者违反《基金合同》约定的，应当立即通知基金管理人。</w:t>
      </w:r>
    </w:p>
    <w:p>
      <w:pPr>
        <w:snapToGrid w:val="0"/>
        <w:spacing w:line="360" w:lineRule="auto"/>
        <w:ind w:firstLine="420" w:firstLineChars="200"/>
        <w:rPr>
          <w:rFonts w:ascii="宋体" w:hAnsi="宋体"/>
          <w:szCs w:val="21"/>
        </w:rPr>
      </w:pPr>
      <w:r>
        <w:rPr>
          <w:rFonts w:hint="eastAsia" w:ascii="宋体" w:hAnsi="宋体"/>
          <w:szCs w:val="21"/>
        </w:rPr>
        <w:t>4、对于必须于估值完成后方可获知的监控指标或依据交易程序已经成交的投资指令，基金托管人发现该投资指令违反法律法规或者违反《基金合同》约定的，应当立即通知基金管理人，并报告中国证监会。</w:t>
      </w:r>
    </w:p>
    <w:p>
      <w:pPr>
        <w:snapToGrid w:val="0"/>
        <w:spacing w:line="360" w:lineRule="auto"/>
        <w:ind w:firstLine="420" w:firstLineChars="200"/>
        <w:rPr>
          <w:rFonts w:ascii="宋体" w:hAnsi="宋体"/>
          <w:szCs w:val="21"/>
        </w:rPr>
      </w:pPr>
      <w:r>
        <w:rPr>
          <w:rFonts w:hint="eastAsia" w:ascii="宋体" w:hAnsi="宋体"/>
          <w:szCs w:val="21"/>
        </w:rPr>
        <w:t>5、基金托管人发现基金管理人有重大违规行为，应立即报告中国证监会，同时通知基金管理人限期纠正。基金管理人的上述违规失信行为给基金财产或基金份额持有人造成的损失，由基金管理人承担。</w:t>
      </w:r>
    </w:p>
    <w:p>
      <w:pPr>
        <w:snapToGrid w:val="0"/>
        <w:spacing w:line="360" w:lineRule="auto"/>
        <w:ind w:firstLine="420" w:firstLineChars="200"/>
        <w:rPr>
          <w:rFonts w:ascii="宋体" w:hAnsi="宋体"/>
          <w:szCs w:val="21"/>
        </w:rPr>
      </w:pPr>
      <w:r>
        <w:rPr>
          <w:rFonts w:hint="eastAsia" w:ascii="宋体" w:hAnsi="宋体"/>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pPr>
        <w:spacing w:before="312" w:beforeLines="100" w:after="156" w:afterLines="50" w:line="240" w:lineRule="atLeast"/>
        <w:jc w:val="center"/>
        <w:outlineLvl w:val="0"/>
        <w:rPr>
          <w:rFonts w:ascii="宋体" w:hAnsi="宋体"/>
          <w:b/>
          <w:sz w:val="24"/>
        </w:rPr>
      </w:pPr>
      <w:bookmarkStart w:id="19" w:name="_Toc131682143"/>
      <w:r>
        <w:rPr>
          <w:rFonts w:hint="eastAsia" w:ascii="宋体" w:hAnsi="宋体"/>
          <w:b/>
          <w:sz w:val="24"/>
        </w:rPr>
        <w:t>三、基金管理人对基金托管人的业务核查</w:t>
      </w:r>
      <w:bookmarkEnd w:id="19"/>
    </w:p>
    <w:p>
      <w:pPr>
        <w:snapToGrid w:val="0"/>
        <w:spacing w:line="360" w:lineRule="auto"/>
        <w:ind w:firstLine="420" w:firstLineChars="200"/>
        <w:rPr>
          <w:rFonts w:ascii="宋体" w:hAnsi="宋体"/>
          <w:szCs w:val="21"/>
        </w:rPr>
      </w:pPr>
      <w:r>
        <w:rPr>
          <w:rFonts w:hint="eastAsia" w:ascii="宋体" w:hAnsi="宋体"/>
          <w:szCs w:val="21"/>
        </w:rPr>
        <w:t>（一）基金管理人对基金托管人履行托管职责情况进行核查，核查事项包括但不限于基金托管人是否安全保管基金财产、是否分别开设基金财产的资金账户和证券账户及投资所需其他账户、是否复核基金管理人计算的基金资产净值和各类基金份额净值、是否根据基金管理人指令办理清算交收、进行相关信息披露和监督基金投资运作等行为。</w:t>
      </w:r>
    </w:p>
    <w:p>
      <w:pPr>
        <w:snapToGrid w:val="0"/>
        <w:spacing w:line="360" w:lineRule="auto"/>
        <w:ind w:firstLine="420" w:firstLineChars="200"/>
        <w:rPr>
          <w:rFonts w:ascii="宋体" w:hAnsi="宋体"/>
          <w:szCs w:val="21"/>
        </w:rPr>
      </w:pPr>
      <w:r>
        <w:rPr>
          <w:rFonts w:hint="eastAsia" w:ascii="宋体" w:hAnsi="宋体"/>
          <w:szCs w:val="21"/>
        </w:rPr>
        <w:t>（二）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pPr>
        <w:snapToGrid w:val="0"/>
        <w:spacing w:line="360" w:lineRule="auto"/>
        <w:ind w:firstLine="420" w:firstLineChars="200"/>
        <w:rPr>
          <w:rFonts w:ascii="宋体" w:hAnsi="宋体"/>
          <w:szCs w:val="21"/>
        </w:rPr>
      </w:pPr>
      <w:r>
        <w:rPr>
          <w:rFonts w:hint="eastAsia" w:ascii="宋体" w:hAnsi="宋体"/>
          <w:szCs w:val="21"/>
        </w:rPr>
        <w:t>（三）基金托管人应积极配合基金管理人的核查行为，包括但不限于：提交相关资料以供基金管理人核查托管财产的完整性和真实性，在规定时间内答复基金管理人并改正。</w:t>
      </w:r>
    </w:p>
    <w:p>
      <w:pPr>
        <w:snapToGrid w:val="0"/>
        <w:spacing w:line="360" w:lineRule="auto"/>
        <w:ind w:firstLine="420" w:firstLineChars="200"/>
        <w:rPr>
          <w:rFonts w:ascii="宋体" w:hAnsi="宋体"/>
          <w:szCs w:val="21"/>
        </w:rPr>
      </w:pPr>
      <w:bookmarkStart w:id="20" w:name="_Toc382819077"/>
      <w:bookmarkStart w:id="21" w:name="_Toc382818598"/>
      <w:r>
        <w:rPr>
          <w:rFonts w:hint="eastAsia" w:ascii="宋体" w:hAnsi="宋体"/>
          <w:szCs w:val="21"/>
        </w:rPr>
        <w:t>（四）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20"/>
      <w:bookmarkEnd w:id="21"/>
    </w:p>
    <w:p>
      <w:pPr>
        <w:spacing w:before="312" w:beforeLines="100" w:after="156" w:afterLines="50" w:line="240" w:lineRule="atLeast"/>
        <w:jc w:val="center"/>
        <w:outlineLvl w:val="0"/>
        <w:rPr>
          <w:rFonts w:ascii="宋体" w:hAnsi="宋体"/>
          <w:b/>
          <w:sz w:val="24"/>
        </w:rPr>
      </w:pPr>
      <w:bookmarkStart w:id="22" w:name="_Toc131682144"/>
      <w:bookmarkStart w:id="23" w:name="_Toc382819079"/>
      <w:r>
        <w:rPr>
          <w:rFonts w:hint="eastAsia" w:ascii="宋体" w:hAnsi="宋体"/>
          <w:b/>
          <w:sz w:val="24"/>
        </w:rPr>
        <w:t>四、基金财产保管</w:t>
      </w:r>
      <w:bookmarkEnd w:id="22"/>
    </w:p>
    <w:p>
      <w:pPr>
        <w:snapToGrid w:val="0"/>
        <w:spacing w:line="360" w:lineRule="auto"/>
        <w:ind w:firstLine="420" w:firstLineChars="200"/>
        <w:rPr>
          <w:rFonts w:ascii="宋体" w:hAnsi="宋体"/>
          <w:szCs w:val="21"/>
        </w:rPr>
      </w:pPr>
      <w:r>
        <w:rPr>
          <w:rFonts w:hint="eastAsia" w:ascii="宋体" w:hAnsi="宋体"/>
          <w:bCs/>
          <w:szCs w:val="21"/>
        </w:rPr>
        <w:t>（一）基金财产保管的原则</w:t>
      </w:r>
      <w:bookmarkEnd w:id="23"/>
    </w:p>
    <w:p>
      <w:pPr>
        <w:snapToGrid w:val="0"/>
        <w:spacing w:line="360" w:lineRule="auto"/>
        <w:ind w:firstLine="420" w:firstLineChars="200"/>
        <w:rPr>
          <w:rFonts w:ascii="宋体" w:hAnsi="宋体"/>
          <w:szCs w:val="21"/>
        </w:rPr>
      </w:pPr>
      <w:r>
        <w:rPr>
          <w:rFonts w:hint="eastAsia" w:ascii="宋体" w:hAnsi="宋体"/>
          <w:szCs w:val="21"/>
        </w:rPr>
        <w:t>1、基金财产应独立于基金管理人、基金托管人、证券经纪机构的固有财产。</w:t>
      </w:r>
    </w:p>
    <w:p>
      <w:pPr>
        <w:snapToGrid w:val="0"/>
        <w:spacing w:line="360" w:lineRule="auto"/>
        <w:ind w:firstLine="420" w:firstLineChars="200"/>
        <w:rPr>
          <w:rFonts w:ascii="宋体" w:hAnsi="宋体"/>
          <w:szCs w:val="21"/>
        </w:rPr>
      </w:pPr>
      <w:r>
        <w:rPr>
          <w:rFonts w:hint="eastAsia" w:ascii="宋体" w:hAnsi="宋体"/>
          <w:szCs w:val="21"/>
        </w:rPr>
        <w:t>2、基金托管人应按本协议规定安全保管托管财产。未经基金管理人的指令，不得自行运用、处分、分配基金的任何财产（基金托管人主动扣收的汇划费及依据本协议扣划的托管费等费用除外）。基金托管人不对处于自身实际控制之外的账户及财产承担责任。</w:t>
      </w:r>
    </w:p>
    <w:p>
      <w:pPr>
        <w:snapToGrid w:val="0"/>
        <w:spacing w:line="360" w:lineRule="auto"/>
        <w:ind w:firstLine="420" w:firstLineChars="200"/>
        <w:rPr>
          <w:rFonts w:ascii="宋体" w:hAnsi="宋体"/>
          <w:szCs w:val="21"/>
        </w:rPr>
      </w:pPr>
      <w:r>
        <w:rPr>
          <w:rFonts w:hint="eastAsia" w:ascii="宋体" w:hAnsi="宋体"/>
          <w:szCs w:val="21"/>
        </w:rPr>
        <w:t>3、基金托管人按照规定，应管理人的要求，为托管的基金财产开设证券账户及投资所需其他账户。</w:t>
      </w:r>
    </w:p>
    <w:p>
      <w:pPr>
        <w:snapToGrid w:val="0"/>
        <w:spacing w:line="360" w:lineRule="auto"/>
        <w:ind w:firstLine="420" w:firstLineChars="200"/>
        <w:rPr>
          <w:rFonts w:ascii="宋体" w:hAnsi="宋体"/>
          <w:szCs w:val="21"/>
        </w:rPr>
      </w:pPr>
      <w:r>
        <w:rPr>
          <w:rFonts w:hint="eastAsia" w:ascii="宋体" w:hAnsi="宋体"/>
          <w:szCs w:val="21"/>
        </w:rPr>
        <w:t>4、基金托管人对所托管的不同基金财产分别设置账户，与基金托管人的其他业务和其他基金的托管业务实行严格的分账管理，确保基金财产的完整与独立。</w:t>
      </w:r>
    </w:p>
    <w:p>
      <w:pPr>
        <w:snapToGrid w:val="0"/>
        <w:spacing w:line="360" w:lineRule="auto"/>
        <w:ind w:firstLine="420" w:firstLineChars="200"/>
        <w:rPr>
          <w:rFonts w:ascii="宋体" w:hAnsi="宋体"/>
          <w:szCs w:val="21"/>
        </w:rPr>
      </w:pPr>
      <w:r>
        <w:rPr>
          <w:rFonts w:hint="eastAsia" w:ascii="宋体" w:hAnsi="宋体"/>
          <w:szCs w:val="21"/>
        </w:rPr>
        <w:t>5、对于因基金认（申）购、基金投资过程中产生的应收财产，应由基金管理人负责与有关当事人确定到账日期，到账日基金财产没有到达基金托管人处的，基金管理人应及时采取措施进行催收。由此给基金造成损失的，基金管理人应负责向有关当事人追偿基金的损失，基金托管人对基金管理人的追偿行为应予以必要的协助与配合，但对基金财产的损失不承担责任。</w:t>
      </w:r>
    </w:p>
    <w:p>
      <w:pPr>
        <w:snapToGrid w:val="0"/>
        <w:spacing w:line="360" w:lineRule="auto"/>
        <w:ind w:firstLine="420" w:firstLineChars="200"/>
        <w:rPr>
          <w:rFonts w:ascii="宋体" w:hAnsi="宋体"/>
          <w:bCs/>
          <w:szCs w:val="21"/>
        </w:rPr>
      </w:pPr>
      <w:bookmarkStart w:id="24" w:name="_Toc382819080"/>
      <w:r>
        <w:rPr>
          <w:rFonts w:hint="eastAsia" w:ascii="宋体" w:hAnsi="宋体"/>
          <w:bCs/>
          <w:szCs w:val="21"/>
        </w:rPr>
        <w:t>（二）募集资金的验证</w:t>
      </w:r>
      <w:bookmarkEnd w:id="24"/>
    </w:p>
    <w:p>
      <w:pPr>
        <w:snapToGrid w:val="0"/>
        <w:spacing w:line="360" w:lineRule="auto"/>
        <w:ind w:firstLine="420" w:firstLineChars="200"/>
        <w:rPr>
          <w:rFonts w:ascii="宋体" w:hAnsi="宋体"/>
          <w:szCs w:val="21"/>
        </w:rPr>
      </w:pPr>
      <w:r>
        <w:rPr>
          <w:rFonts w:hint="eastAsia" w:ascii="宋体" w:hAnsi="宋体"/>
          <w:szCs w:val="21"/>
        </w:rPr>
        <w:t>募集期内销售机构按销售与服务代理协议的约定，将认购资金划入基金管理人开设的基金认购专户。该账户由基金管理人开立并管理。基金募集期满或基金管理人宣布停止募集时，发起资金认购金额及发起资金提供方承诺持有期限符合《基金法》、《运作办法》等有关规定后，基金管理人应将募集的属于本基金财产的全部资金划入基金托管人为基金开立的资产托管专户中，由基金管理人聘请符合《中华人民共和国证券法》规定的会计师事务所进行验资，出具验资报告，</w:t>
      </w:r>
      <w:r>
        <w:rPr>
          <w:rFonts w:hint="eastAsia" w:ascii="宋体" w:hAnsi="Calibri" w:cs="宋体"/>
          <w:color w:val="000000" w:themeColor="text1"/>
          <w:kern w:val="0"/>
          <w:szCs w:val="21"/>
          <w14:textFill>
            <w14:solidFill>
              <w14:schemeClr w14:val="tx1"/>
            </w14:solidFill>
          </w14:textFill>
        </w:rPr>
        <w:t>验资报告需对发起资金提供方及其持有份额进行专门说明。</w:t>
      </w:r>
      <w:r>
        <w:rPr>
          <w:rFonts w:hint="eastAsia" w:ascii="宋体" w:hAnsi="宋体"/>
          <w:szCs w:val="21"/>
        </w:rPr>
        <w:t>出具的验资报告应由参加验资的2名以上（含2名）中国注册会计师签字方为有效。基金托管人可应基金管理人要求，在收到有效认购资金当日以书面形式确认资金到账情况，并及时将资金到账凭证邮件发送给基金管理人，双方进行账务处理。</w:t>
      </w:r>
    </w:p>
    <w:p>
      <w:pPr>
        <w:snapToGrid w:val="0"/>
        <w:spacing w:line="360" w:lineRule="auto"/>
        <w:ind w:firstLine="420" w:firstLineChars="200"/>
        <w:rPr>
          <w:rFonts w:ascii="宋体" w:hAnsi="宋体" w:cs="Arial"/>
          <w:szCs w:val="21"/>
        </w:rPr>
      </w:pPr>
      <w:r>
        <w:rPr>
          <w:rFonts w:hint="eastAsia" w:ascii="宋体" w:hAnsi="宋体" w:cs="Arial"/>
          <w:szCs w:val="21"/>
        </w:rPr>
        <w:t>若基金募集期限届满，未能达到基金备案的条件，由基金管理人按规定办理退款事宜，基金托管人应予以必要的协助和配合。</w:t>
      </w:r>
    </w:p>
    <w:p>
      <w:pPr>
        <w:snapToGrid w:val="0"/>
        <w:spacing w:line="360" w:lineRule="auto"/>
        <w:ind w:firstLine="420" w:firstLineChars="200"/>
        <w:rPr>
          <w:rFonts w:ascii="宋体" w:hAnsi="宋体"/>
          <w:szCs w:val="21"/>
        </w:rPr>
      </w:pPr>
      <w:bookmarkStart w:id="25" w:name="_Toc382819081"/>
      <w:r>
        <w:rPr>
          <w:rFonts w:hint="eastAsia" w:ascii="宋体" w:hAnsi="宋体"/>
          <w:bCs/>
          <w:szCs w:val="21"/>
        </w:rPr>
        <w:t>（三）基金资产托管专户的开立和管理</w:t>
      </w:r>
      <w:bookmarkEnd w:id="25"/>
    </w:p>
    <w:p>
      <w:pPr>
        <w:snapToGrid w:val="0"/>
        <w:spacing w:line="360" w:lineRule="auto"/>
        <w:ind w:firstLine="420" w:firstLineChars="200"/>
        <w:rPr>
          <w:rFonts w:ascii="宋体" w:hAnsi="宋体"/>
          <w:szCs w:val="21"/>
        </w:rPr>
      </w:pPr>
      <w:r>
        <w:rPr>
          <w:rFonts w:hint="eastAsia" w:ascii="宋体" w:hAnsi="宋体"/>
          <w:szCs w:val="21"/>
        </w:rPr>
        <w:t>1、基金托管人以基金的名义在其营业机构开设资产托管专户，并根据基金管理人合法合规的有效指令办理资金收付。基金管理人应根据法律法规及基金托管人的相关要求，提供开户所需的资料并提供其他必要协助。</w:t>
      </w:r>
    </w:p>
    <w:p>
      <w:pPr>
        <w:snapToGrid w:val="0"/>
        <w:spacing w:line="360" w:lineRule="auto"/>
        <w:ind w:firstLine="420" w:firstLineChars="200"/>
        <w:rPr>
          <w:rFonts w:ascii="宋体" w:hAnsi="宋体"/>
          <w:szCs w:val="21"/>
        </w:rPr>
      </w:pPr>
      <w:r>
        <w:rPr>
          <w:rFonts w:hint="eastAsia" w:ascii="宋体" w:hAnsi="宋体"/>
          <w:szCs w:val="21"/>
        </w:rPr>
        <w:t>2、本基金除证券交易所场内交易的一切货币收支活动，均需通过基金的资产托管专户进行。基金的资产托管专户的开立和使用，限于满足开展本基金业务的需要。资产托管专户不得用于存取现金或开立网银转账等功能。除因本基金业务需要，基金托管人和基金管理人不得假借本基金的名义开立其他任何银行账户；亦不得使用以基金名义开立的银行账户进行本基金业务以外的活动。</w:t>
      </w:r>
    </w:p>
    <w:p>
      <w:pPr>
        <w:snapToGrid w:val="0"/>
        <w:spacing w:line="360" w:lineRule="auto"/>
        <w:ind w:firstLine="420" w:firstLineChars="200"/>
        <w:rPr>
          <w:rFonts w:ascii="宋体" w:hAnsi="宋体"/>
          <w:szCs w:val="21"/>
        </w:rPr>
      </w:pPr>
      <w:r>
        <w:rPr>
          <w:rFonts w:hint="eastAsia" w:ascii="宋体" w:hAnsi="宋体"/>
          <w:szCs w:val="21"/>
        </w:rPr>
        <w:t>3、资产托管专户的管理应符合《人民币银行结算账户管理办法》、《人民币利率管理规定》、《利率管理暂行规定》、《支付结算办法》以及银行业监督管理机构的其他有关规定。</w:t>
      </w:r>
    </w:p>
    <w:p>
      <w:pPr>
        <w:snapToGrid w:val="0"/>
        <w:spacing w:line="360" w:lineRule="auto"/>
        <w:ind w:firstLine="420" w:firstLineChars="200"/>
        <w:rPr>
          <w:rFonts w:ascii="宋体" w:hAnsi="宋体"/>
          <w:szCs w:val="21"/>
        </w:rPr>
      </w:pPr>
      <w:bookmarkStart w:id="26" w:name="_Toc382819082"/>
      <w:r>
        <w:rPr>
          <w:rFonts w:hint="eastAsia" w:ascii="宋体" w:hAnsi="宋体"/>
          <w:bCs/>
          <w:szCs w:val="21"/>
        </w:rPr>
        <w:t>（四）基金证券账户与证券交易资金账户的开设和管理</w:t>
      </w:r>
      <w:bookmarkEnd w:id="26"/>
    </w:p>
    <w:p>
      <w:pPr>
        <w:tabs>
          <w:tab w:val="left" w:pos="4680"/>
        </w:tabs>
        <w:snapToGrid w:val="0"/>
        <w:spacing w:line="360" w:lineRule="auto"/>
        <w:ind w:firstLine="420" w:firstLineChars="200"/>
        <w:rPr>
          <w:rFonts w:ascii="宋体" w:hAnsi="宋体"/>
          <w:szCs w:val="21"/>
        </w:rPr>
      </w:pPr>
      <w:r>
        <w:rPr>
          <w:rFonts w:hint="eastAsia" w:ascii="宋体" w:hAnsi="宋体"/>
          <w:szCs w:val="21"/>
        </w:rPr>
        <w:t>1、基金托管人以基金托管人和本基金联名的方式在中国证券登记结算有限责任公司开立专门的证券账户。</w:t>
      </w:r>
    </w:p>
    <w:p>
      <w:pPr>
        <w:snapToGrid w:val="0"/>
        <w:spacing w:line="360" w:lineRule="auto"/>
        <w:ind w:firstLine="420" w:firstLineChars="200"/>
        <w:rPr>
          <w:rFonts w:ascii="宋体" w:hAnsi="宋体"/>
          <w:szCs w:val="21"/>
        </w:rPr>
      </w:pPr>
      <w:r>
        <w:rPr>
          <w:rFonts w:hint="eastAsia" w:ascii="宋体" w:hAnsi="宋体"/>
          <w:szCs w:val="21"/>
        </w:rPr>
        <w:t>2、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pPr>
        <w:snapToGrid w:val="0"/>
        <w:spacing w:line="360" w:lineRule="auto"/>
        <w:ind w:firstLine="420" w:firstLineChars="200"/>
        <w:rPr>
          <w:rFonts w:ascii="宋体" w:hAnsi="宋体"/>
          <w:szCs w:val="21"/>
        </w:rPr>
      </w:pPr>
      <w:r>
        <w:rPr>
          <w:rFonts w:hint="eastAsia" w:ascii="宋体" w:hAnsi="宋体"/>
          <w:szCs w:val="21"/>
        </w:rPr>
        <w:t>3、基金证券账户的开立由基金托管人负责，账户资产的管理和运用由基金管理人负责。</w:t>
      </w:r>
    </w:p>
    <w:p>
      <w:pPr>
        <w:snapToGrid w:val="0"/>
        <w:spacing w:line="360" w:lineRule="auto"/>
        <w:ind w:firstLine="420" w:firstLineChars="200"/>
        <w:rPr>
          <w:rFonts w:ascii="宋体" w:hAnsi="宋体"/>
          <w:szCs w:val="21"/>
        </w:rPr>
      </w:pPr>
      <w:r>
        <w:rPr>
          <w:rFonts w:hint="eastAsia" w:ascii="宋体" w:hAnsi="宋体"/>
          <w:szCs w:val="21"/>
        </w:rPr>
        <w:t>4、基金管理人为基金财产在证券经纪机构开立证券交易资金账户，用于基金财产证券交易结算资金的存管、记载交易结算资金的变动明细以及场内证券交易清算，并与基金托管人指定</w:t>
      </w:r>
      <w:r>
        <w:rPr>
          <w:rFonts w:ascii="宋体" w:hAnsi="宋体"/>
          <w:szCs w:val="21"/>
        </w:rPr>
        <w:t>的第三方</w:t>
      </w:r>
      <w:r>
        <w:rPr>
          <w:rFonts w:hint="eastAsia" w:ascii="宋体" w:hAnsi="宋体"/>
          <w:szCs w:val="21"/>
        </w:rPr>
        <w:t>存管</w:t>
      </w:r>
      <w:r>
        <w:rPr>
          <w:rFonts w:ascii="宋体" w:hAnsi="宋体"/>
          <w:szCs w:val="21"/>
        </w:rPr>
        <w:t>银行</w:t>
      </w:r>
      <w:r>
        <w:rPr>
          <w:rFonts w:hint="eastAsia" w:ascii="宋体" w:hAnsi="宋体"/>
          <w:szCs w:val="21"/>
        </w:rPr>
        <w:t>建立第三方存管关系。</w:t>
      </w:r>
    </w:p>
    <w:p>
      <w:pPr>
        <w:snapToGrid w:val="0"/>
        <w:spacing w:line="360" w:lineRule="auto"/>
        <w:ind w:firstLine="420" w:firstLineChars="200"/>
        <w:rPr>
          <w:rFonts w:ascii="宋体" w:hAnsi="宋体"/>
          <w:szCs w:val="21"/>
        </w:rPr>
      </w:pPr>
      <w:r>
        <w:rPr>
          <w:rFonts w:hint="eastAsia" w:ascii="宋体" w:hAnsi="宋体"/>
          <w:szCs w:val="21"/>
        </w:rPr>
        <w:t>5、基金托管人和基金管理人不得出借或转让证券账户、证券交易资金账户，亦不得使用证券账户或证券交易资金账户进行本基金业务以外的活动。本基金通过证券经纪机构进行的交易由证券经纪机构作为结算参与人代理本基金进行结算。</w:t>
      </w:r>
    </w:p>
    <w:p>
      <w:pPr>
        <w:snapToGrid w:val="0"/>
        <w:spacing w:line="360" w:lineRule="auto"/>
        <w:ind w:firstLine="420" w:firstLineChars="200"/>
        <w:rPr>
          <w:rFonts w:ascii="宋体" w:hAnsi="宋体"/>
          <w:szCs w:val="21"/>
        </w:rPr>
      </w:pPr>
      <w:bookmarkStart w:id="27" w:name="_Toc382819083"/>
      <w:r>
        <w:rPr>
          <w:rFonts w:hint="eastAsia" w:ascii="宋体" w:hAnsi="宋体"/>
          <w:bCs/>
          <w:szCs w:val="21"/>
        </w:rPr>
        <w:t>（五）银行间市场债券托管账户和资金结算专户的开立和管理及市场准入备案</w:t>
      </w:r>
      <w:bookmarkEnd w:id="27"/>
    </w:p>
    <w:p>
      <w:pPr>
        <w:snapToGrid w:val="0"/>
        <w:spacing w:line="360" w:lineRule="auto"/>
        <w:ind w:firstLine="420" w:firstLineChars="200"/>
        <w:rPr>
          <w:rFonts w:ascii="宋体" w:hAnsi="宋体"/>
          <w:szCs w:val="21"/>
        </w:rPr>
      </w:pPr>
      <w:bookmarkStart w:id="28" w:name="_Toc382819084"/>
      <w:r>
        <w:rPr>
          <w:rFonts w:hint="eastAsia" w:ascii="宋体" w:hAnsi="宋体"/>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28"/>
    </w:p>
    <w:p>
      <w:pPr>
        <w:snapToGrid w:val="0"/>
        <w:spacing w:line="360" w:lineRule="auto"/>
        <w:ind w:firstLine="420" w:firstLineChars="200"/>
        <w:rPr>
          <w:rFonts w:ascii="宋体" w:hAnsi="宋体"/>
          <w:szCs w:val="21"/>
        </w:rPr>
      </w:pPr>
      <w:bookmarkStart w:id="29" w:name="_Toc382819085"/>
      <w:r>
        <w:rPr>
          <w:rFonts w:hint="eastAsia" w:ascii="宋体" w:hAnsi="宋体"/>
          <w:bCs/>
          <w:szCs w:val="21"/>
        </w:rPr>
        <w:t>（六）基金投资银行存款账户的开立和管理</w:t>
      </w:r>
      <w:bookmarkEnd w:id="29"/>
    </w:p>
    <w:p>
      <w:pPr>
        <w:tabs>
          <w:tab w:val="left" w:pos="4680"/>
        </w:tabs>
        <w:snapToGrid w:val="0"/>
        <w:spacing w:line="360" w:lineRule="auto"/>
        <w:ind w:firstLine="420" w:firstLineChars="200"/>
        <w:rPr>
          <w:rFonts w:ascii="宋体" w:hAnsi="宋体"/>
          <w:szCs w:val="21"/>
        </w:rPr>
      </w:pPr>
      <w:r>
        <w:rPr>
          <w:rFonts w:hint="eastAsia" w:ascii="宋体" w:hAnsi="宋体"/>
          <w:szCs w:val="21"/>
        </w:rPr>
        <w:t>1、基金投资银行定期存款，基金管理人与基金托管人应比照相关规定，就本基金投资银行存款业务签订书面协议。</w:t>
      </w:r>
    </w:p>
    <w:p>
      <w:pPr>
        <w:tabs>
          <w:tab w:val="left" w:pos="4680"/>
        </w:tabs>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、基金投资银行定期存款应由基金管理人与存款银行总行或其授权分行签订总体合作协议，并将资金存放于存款银行总行或其授权分行指定的分支机构。</w:t>
      </w:r>
    </w:p>
    <w:p>
      <w:pPr>
        <w:tabs>
          <w:tab w:val="left" w:pos="4680"/>
        </w:tabs>
        <w:snapToGrid w:val="0"/>
        <w:spacing w:line="360" w:lineRule="auto"/>
        <w:ind w:firstLine="420" w:firstLineChars="200"/>
        <w:rPr>
          <w:rFonts w:ascii="宋体" w:hAnsi="宋体"/>
          <w:szCs w:val="21"/>
        </w:rPr>
      </w:pPr>
      <w:r>
        <w:rPr>
          <w:rFonts w:ascii="宋体" w:hAnsi="宋体"/>
          <w:szCs w:val="21"/>
        </w:rPr>
        <w:t>3</w:t>
      </w:r>
      <w:r>
        <w:rPr>
          <w:rFonts w:hint="eastAsia" w:ascii="宋体" w:hAnsi="宋体"/>
          <w:szCs w:val="21"/>
        </w:rPr>
        <w:t>、存款账户必须以基金名义开立，账户名称为基金名称（以实际开立为准），存款账户开户文件上加盖基金托管人预留印鉴及基金管理人公章。</w:t>
      </w:r>
    </w:p>
    <w:p>
      <w:pPr>
        <w:tabs>
          <w:tab w:val="left" w:pos="4680"/>
        </w:tabs>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、本基金投资银行存款时，基金管理人应当与存款银行签订具体存款协议，明确存款的类型、期限、利率、金额、账号、对账方式、支取方式、账户管理等细则。基金</w:t>
      </w:r>
      <w:r>
        <w:rPr>
          <w:rFonts w:ascii="宋体" w:hAnsi="宋体"/>
          <w:szCs w:val="21"/>
        </w:rPr>
        <w:t>管理人与存款银行签订存款协议前</w:t>
      </w:r>
      <w:r>
        <w:rPr>
          <w:rFonts w:hint="eastAsia" w:ascii="宋体" w:hAnsi="宋体"/>
          <w:szCs w:val="21"/>
        </w:rPr>
        <w:t>，</w:t>
      </w:r>
      <w:r>
        <w:rPr>
          <w:rFonts w:ascii="宋体" w:hAnsi="宋体"/>
          <w:szCs w:val="21"/>
        </w:rPr>
        <w:t>应</w:t>
      </w:r>
      <w:r>
        <w:rPr>
          <w:rFonts w:hint="eastAsia" w:ascii="宋体" w:hAnsi="宋体"/>
          <w:szCs w:val="21"/>
        </w:rPr>
        <w:t>与</w:t>
      </w:r>
      <w:r>
        <w:rPr>
          <w:rFonts w:ascii="宋体" w:hAnsi="宋体"/>
          <w:szCs w:val="21"/>
        </w:rPr>
        <w:t>基金托管人就</w:t>
      </w:r>
      <w:r>
        <w:rPr>
          <w:rFonts w:hint="eastAsia" w:ascii="宋体" w:hAnsi="宋体"/>
          <w:szCs w:val="21"/>
        </w:rPr>
        <w:t>定期</w:t>
      </w:r>
      <w:r>
        <w:rPr>
          <w:rFonts w:ascii="宋体" w:hAnsi="宋体"/>
          <w:szCs w:val="21"/>
        </w:rPr>
        <w:t>存款协议中涉及基金托管人履职的具体事项</w:t>
      </w:r>
      <w:r>
        <w:rPr>
          <w:rFonts w:hint="eastAsia" w:ascii="宋体" w:hAnsi="宋体"/>
          <w:szCs w:val="21"/>
        </w:rPr>
        <w:t>，</w:t>
      </w:r>
      <w:r>
        <w:rPr>
          <w:rFonts w:ascii="宋体" w:hAnsi="宋体"/>
          <w:szCs w:val="21"/>
        </w:rPr>
        <w:t>如</w:t>
      </w:r>
      <w:r>
        <w:rPr>
          <w:rFonts w:hint="eastAsia" w:ascii="宋体" w:hAnsi="宋体"/>
          <w:szCs w:val="21"/>
        </w:rPr>
        <w:t>预留印鉴</w:t>
      </w:r>
      <w:r>
        <w:rPr>
          <w:rFonts w:ascii="宋体" w:hAnsi="宋体"/>
          <w:szCs w:val="21"/>
        </w:rPr>
        <w:t>加盖、存款</w:t>
      </w:r>
      <w:r>
        <w:rPr>
          <w:rFonts w:hint="eastAsia" w:ascii="宋体" w:hAnsi="宋体"/>
          <w:szCs w:val="21"/>
        </w:rPr>
        <w:t>证实</w:t>
      </w:r>
      <w:r>
        <w:rPr>
          <w:rFonts w:ascii="宋体" w:hAnsi="宋体"/>
          <w:szCs w:val="21"/>
        </w:rPr>
        <w:t>书</w:t>
      </w:r>
      <w:r>
        <w:rPr>
          <w:rFonts w:hint="eastAsia" w:ascii="宋体" w:hAnsi="宋体"/>
          <w:szCs w:val="21"/>
        </w:rPr>
        <w:t>交接</w:t>
      </w:r>
      <w:r>
        <w:rPr>
          <w:rFonts w:ascii="宋体" w:hAnsi="宋体"/>
          <w:szCs w:val="21"/>
        </w:rPr>
        <w:t>保管等内容</w:t>
      </w:r>
      <w:r>
        <w:rPr>
          <w:rFonts w:hint="eastAsia" w:ascii="宋体" w:hAnsi="宋体"/>
          <w:szCs w:val="21"/>
        </w:rPr>
        <w:t>进行</w:t>
      </w:r>
      <w:r>
        <w:rPr>
          <w:rFonts w:ascii="宋体" w:hAnsi="宋体"/>
          <w:szCs w:val="21"/>
        </w:rPr>
        <w:t>沟通确认。</w:t>
      </w:r>
    </w:p>
    <w:p>
      <w:pPr>
        <w:tabs>
          <w:tab w:val="left" w:pos="4680"/>
        </w:tabs>
        <w:snapToGrid w:val="0"/>
        <w:spacing w:line="360" w:lineRule="auto"/>
        <w:ind w:firstLine="420" w:firstLineChars="200"/>
        <w:rPr>
          <w:rFonts w:ascii="宋体" w:hAnsi="宋体"/>
          <w:szCs w:val="21"/>
        </w:rPr>
      </w:pPr>
      <w:r>
        <w:rPr>
          <w:rFonts w:ascii="宋体" w:hAnsi="宋体"/>
          <w:szCs w:val="21"/>
        </w:rPr>
        <w:t>5</w:t>
      </w:r>
      <w:r>
        <w:rPr>
          <w:rFonts w:hint="eastAsia" w:ascii="宋体" w:hAnsi="宋体"/>
          <w:szCs w:val="21"/>
        </w:rPr>
        <w:t>、为防范特殊情况下的流动性风险，定期存款协议中应当约定提前支取条款。</w:t>
      </w:r>
    </w:p>
    <w:p>
      <w:pPr>
        <w:tabs>
          <w:tab w:val="left" w:pos="4680"/>
        </w:tabs>
        <w:snapToGrid w:val="0"/>
        <w:spacing w:line="360" w:lineRule="auto"/>
        <w:ind w:firstLine="420" w:firstLineChars="200"/>
        <w:rPr>
          <w:rFonts w:ascii="宋体" w:hAnsi="宋体"/>
          <w:szCs w:val="21"/>
        </w:rPr>
      </w:pPr>
      <w:bookmarkStart w:id="30" w:name="_Toc382819086"/>
      <w:r>
        <w:rPr>
          <w:rFonts w:ascii="宋体" w:hAnsi="宋体"/>
          <w:szCs w:val="21"/>
        </w:rPr>
        <w:t>6</w:t>
      </w:r>
      <w:r>
        <w:rPr>
          <w:rFonts w:hint="eastAsia" w:ascii="宋体" w:hAnsi="宋体"/>
          <w:szCs w:val="21"/>
        </w:rPr>
        <w:t>、基金所投资定期存款存续期间，基金管理人、基金托管人应当与存款银行建立定期对账机制，确保基金银行存款业务账目及核对的真实、准确。</w:t>
      </w:r>
      <w:bookmarkEnd w:id="30"/>
    </w:p>
    <w:p>
      <w:pPr>
        <w:snapToGrid w:val="0"/>
        <w:spacing w:line="360" w:lineRule="auto"/>
        <w:ind w:firstLine="420" w:firstLineChars="200"/>
        <w:rPr>
          <w:rFonts w:ascii="宋体" w:hAnsi="宋体"/>
          <w:szCs w:val="21"/>
        </w:rPr>
      </w:pPr>
      <w:r>
        <w:rPr>
          <w:rFonts w:hint="eastAsia" w:ascii="宋体" w:hAnsi="宋体"/>
          <w:bCs/>
          <w:szCs w:val="21"/>
        </w:rPr>
        <w:t>（七）其他账户的开设和管理</w:t>
      </w:r>
    </w:p>
    <w:p>
      <w:pPr>
        <w:tabs>
          <w:tab w:val="left" w:pos="4680"/>
        </w:tabs>
        <w:snapToGrid w:val="0"/>
        <w:spacing w:line="360" w:lineRule="auto"/>
        <w:ind w:firstLine="420" w:firstLineChars="200"/>
        <w:rPr>
          <w:rFonts w:ascii="宋体" w:hAnsi="宋体"/>
          <w:szCs w:val="21"/>
        </w:rPr>
      </w:pPr>
      <w:r>
        <w:rPr>
          <w:rFonts w:hint="eastAsia" w:ascii="宋体" w:hAnsi="宋体"/>
          <w:szCs w:val="21"/>
        </w:rPr>
        <w:t>1.因业务发展而需要开立的其它账户，可以根据《基金合同》或有关法律法规的规定，经基金管理人和基金托管人协商一致后，按照开户机构的要求为基金开立。</w:t>
      </w:r>
    </w:p>
    <w:p>
      <w:pPr>
        <w:tabs>
          <w:tab w:val="left" w:pos="4680"/>
        </w:tabs>
        <w:snapToGrid w:val="0"/>
        <w:spacing w:line="360" w:lineRule="auto"/>
        <w:ind w:firstLine="420" w:firstLineChars="200"/>
        <w:rPr>
          <w:rFonts w:ascii="宋体" w:hAnsi="宋体"/>
          <w:szCs w:val="21"/>
        </w:rPr>
      </w:pPr>
      <w:r>
        <w:rPr>
          <w:rFonts w:hint="eastAsia" w:ascii="宋体" w:hAnsi="宋体"/>
          <w:szCs w:val="21"/>
        </w:rPr>
        <w:t>2.法律、法规等有关规定对相关账户的开立和管理另有规定的，从其规定办理。</w:t>
      </w:r>
    </w:p>
    <w:p>
      <w:pPr>
        <w:snapToGrid w:val="0"/>
        <w:spacing w:line="360" w:lineRule="auto"/>
        <w:ind w:firstLine="420" w:firstLineChars="200"/>
        <w:rPr>
          <w:rFonts w:ascii="宋体" w:hAnsi="宋体"/>
          <w:szCs w:val="21"/>
        </w:rPr>
      </w:pPr>
      <w:bookmarkStart w:id="31" w:name="_Toc382819087"/>
      <w:r>
        <w:rPr>
          <w:rFonts w:hint="eastAsia" w:ascii="宋体" w:hAnsi="宋体"/>
          <w:bCs/>
          <w:szCs w:val="21"/>
        </w:rPr>
        <w:t>（八）基金财产投资的有关实物证券、银行定期存款存单等有价凭证的保管</w:t>
      </w:r>
      <w:bookmarkEnd w:id="31"/>
    </w:p>
    <w:p>
      <w:pPr>
        <w:snapToGrid w:val="0"/>
        <w:spacing w:line="360" w:lineRule="auto"/>
        <w:ind w:firstLine="420" w:firstLineChars="200"/>
        <w:rPr>
          <w:rFonts w:ascii="宋体" w:hAnsi="宋体"/>
          <w:szCs w:val="21"/>
        </w:rPr>
      </w:pPr>
      <w:r>
        <w:rPr>
          <w:rFonts w:hint="eastAsia" w:ascii="宋体" w:hAnsi="宋体"/>
          <w:szCs w:val="21"/>
        </w:rPr>
        <w:t>基金财产投资的有关实物证券</w:t>
      </w:r>
      <w:r>
        <w:rPr>
          <w:rFonts w:hint="eastAsia" w:ascii="宋体" w:hAnsi="宋体"/>
          <w:bCs/>
          <w:szCs w:val="21"/>
        </w:rPr>
        <w:t>、银行定期存款存单等有价凭证</w:t>
      </w:r>
      <w:r>
        <w:rPr>
          <w:rFonts w:hint="eastAsia" w:ascii="宋体" w:hAnsi="宋体"/>
          <w:szCs w:val="21"/>
        </w:rPr>
        <w:t>由基金托管人存放于基金托管人的保管库；其中实物证券也可存入中央国债登记结算有限责任公司、中国证券登记结算有限责任公司、银行间市场清算所股份有限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w:t>
      </w:r>
      <w:r>
        <w:rPr>
          <w:rFonts w:hint="eastAsia" w:ascii="宋体" w:hAnsi="宋体"/>
          <w:bCs/>
          <w:szCs w:val="21"/>
        </w:rPr>
        <w:t>等有价凭证</w:t>
      </w:r>
      <w:r>
        <w:rPr>
          <w:rFonts w:hint="eastAsia" w:ascii="宋体" w:hAnsi="宋体"/>
          <w:szCs w:val="21"/>
        </w:rPr>
        <w:t>对应的财产不承担保管责任。</w:t>
      </w:r>
    </w:p>
    <w:p>
      <w:pPr>
        <w:snapToGrid w:val="0"/>
        <w:spacing w:line="360" w:lineRule="auto"/>
        <w:ind w:firstLine="420" w:firstLineChars="200"/>
        <w:rPr>
          <w:rFonts w:ascii="宋体" w:hAnsi="宋体"/>
          <w:szCs w:val="21"/>
        </w:rPr>
      </w:pPr>
      <w:r>
        <w:rPr>
          <w:rFonts w:hint="eastAsia" w:ascii="宋体" w:hAnsi="宋体"/>
          <w:bCs/>
          <w:szCs w:val="21"/>
        </w:rPr>
        <w:t>（九）与基金财产有关的重大合同的保管</w:t>
      </w:r>
    </w:p>
    <w:p>
      <w:pPr>
        <w:snapToGrid w:val="0"/>
        <w:spacing w:line="360" w:lineRule="auto"/>
        <w:ind w:firstLine="420" w:firstLineChars="200"/>
        <w:rPr>
          <w:rFonts w:ascii="宋体" w:hAnsi="宋体"/>
          <w:szCs w:val="21"/>
        </w:rPr>
      </w:pPr>
      <w:r>
        <w:rPr>
          <w:rFonts w:hint="eastAsia" w:ascii="宋体" w:hAnsi="宋体"/>
          <w:szCs w:val="21"/>
        </w:rPr>
        <w:t>由基金管理人代表基金签署的与基金有关且签订方有基金托管人参与的重大合同的原件分别应由基金托管人、基金管理人保管。除本协议另有规定外，上述重大合同应尽量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不低于法律法规规定的最低年限。</w:t>
      </w:r>
    </w:p>
    <w:p>
      <w:pPr>
        <w:snapToGrid w:val="0"/>
        <w:spacing w:line="360" w:lineRule="auto"/>
        <w:ind w:firstLine="420" w:firstLineChars="200"/>
        <w:rPr>
          <w:rFonts w:ascii="宋体" w:hAnsi="宋体"/>
          <w:szCs w:val="21"/>
        </w:rPr>
      </w:pPr>
      <w:r>
        <w:rPr>
          <w:rFonts w:hint="eastAsia" w:ascii="宋体" w:hAnsi="宋体"/>
          <w:szCs w:val="21"/>
        </w:rPr>
        <w:t>对于无法取得二份以上的正本的，基金管理人应向基金托管人提供与合同原件核对一致的并加盖基金管理人公章的复印件，未经双方协商一致，合同原件不得转移。</w:t>
      </w:r>
    </w:p>
    <w:p>
      <w:pPr>
        <w:spacing w:before="312" w:beforeLines="100" w:after="312" w:afterLines="100" w:line="240" w:lineRule="atLeast"/>
        <w:jc w:val="center"/>
        <w:outlineLvl w:val="0"/>
        <w:rPr>
          <w:rFonts w:ascii="宋体" w:hAnsi="宋体"/>
          <w:b/>
          <w:sz w:val="24"/>
        </w:rPr>
      </w:pPr>
      <w:bookmarkStart w:id="32" w:name="_Toc131682145"/>
      <w:bookmarkStart w:id="33" w:name="_Toc382819089"/>
      <w:r>
        <w:rPr>
          <w:rFonts w:hint="eastAsia" w:ascii="宋体" w:hAnsi="宋体"/>
          <w:b/>
          <w:sz w:val="24"/>
        </w:rPr>
        <w:t>五、指令的发送、确认和执行</w:t>
      </w:r>
      <w:bookmarkEnd w:id="32"/>
    </w:p>
    <w:p>
      <w:pPr>
        <w:snapToGrid w:val="0"/>
        <w:spacing w:line="360" w:lineRule="auto"/>
        <w:ind w:firstLine="420" w:firstLineChars="200"/>
        <w:rPr>
          <w:rFonts w:ascii="宋体" w:hAnsi="宋体"/>
          <w:szCs w:val="21"/>
        </w:rPr>
      </w:pPr>
      <w:r>
        <w:rPr>
          <w:rFonts w:hint="eastAsia" w:ascii="宋体" w:hAnsi="宋体"/>
          <w:szCs w:val="21"/>
        </w:rPr>
        <w:t>基金管理人在运用基金财产时向基金托管人发送资金划拨及其他款项付款指令，基金托管人负责执行基金管理人的指令、办理本基金名下的资金往来等有关事项。</w:t>
      </w:r>
    </w:p>
    <w:p>
      <w:pPr>
        <w:snapToGrid w:val="0"/>
        <w:spacing w:line="360" w:lineRule="auto"/>
        <w:ind w:firstLine="420" w:firstLineChars="200"/>
        <w:rPr>
          <w:rFonts w:ascii="宋体" w:hAnsi="宋体"/>
          <w:szCs w:val="21"/>
        </w:rPr>
      </w:pPr>
      <w:r>
        <w:rPr>
          <w:rFonts w:hint="eastAsia" w:ascii="宋体" w:hAnsi="宋体"/>
          <w:szCs w:val="21"/>
        </w:rPr>
        <w:t>（一）基金管理人可向基金托管人发送的指令包括电子指令和纸质指令</w:t>
      </w:r>
    </w:p>
    <w:p>
      <w:pPr>
        <w:snapToGrid w:val="0"/>
        <w:spacing w:line="360" w:lineRule="auto"/>
        <w:ind w:firstLine="420" w:firstLineChars="200"/>
        <w:rPr>
          <w:rFonts w:ascii="宋体" w:hAnsi="宋体"/>
          <w:szCs w:val="21"/>
        </w:rPr>
      </w:pPr>
      <w:r>
        <w:rPr>
          <w:rFonts w:hint="eastAsia" w:ascii="宋体" w:hAnsi="宋体"/>
          <w:szCs w:val="21"/>
        </w:rPr>
        <w:t>电子指令包括基金管理人发送的电子指令（含采用电子报文传送的电子指令、通过苏州银行资产托管服务平台录入的电子指令）、自动产生的电子指令（基金托管人根据基金管理人免指令授权函自动产生的电子指令）。纸质指令包括基金管理人通过授权邮箱或其他基金管理人与基金托管人协商一致的形式发送的指令。</w:t>
      </w:r>
    </w:p>
    <w:p>
      <w:pPr>
        <w:snapToGrid w:val="0"/>
        <w:spacing w:line="360" w:lineRule="auto"/>
        <w:ind w:firstLine="420" w:firstLineChars="200"/>
        <w:rPr>
          <w:rFonts w:ascii="宋体" w:hAnsi="宋体"/>
          <w:szCs w:val="21"/>
        </w:rPr>
      </w:pPr>
      <w:r>
        <w:rPr>
          <w:rFonts w:hint="eastAsia" w:ascii="宋体" w:hAnsi="宋体"/>
          <w:szCs w:val="21"/>
        </w:rPr>
        <w:t>（二）基金管理人对发送指令人员的书面授权</w:t>
      </w:r>
    </w:p>
    <w:p>
      <w:pPr>
        <w:snapToGrid w:val="0"/>
        <w:spacing w:line="360" w:lineRule="auto"/>
        <w:ind w:firstLine="420" w:firstLineChars="200"/>
        <w:rPr>
          <w:rFonts w:ascii="宋体" w:hAnsi="宋体"/>
          <w:szCs w:val="21"/>
        </w:rPr>
      </w:pPr>
      <w:r>
        <w:rPr>
          <w:rFonts w:hint="eastAsia" w:ascii="宋体" w:hAnsi="宋体"/>
          <w:szCs w:val="21"/>
        </w:rPr>
        <w:t>基金管理人应事先在本基金成立前向基金托管人提供书面划款指令授权通知书（下称“授权通知书”），指定指令的被授权人及被授权印鉴。授权通知书的内容包括被授权人名单、签章样本、权限和预留印鉴等。授权通知书应加盖基金管理人公章和法定代表人（或被授权人）签章；若由授权代表签署，还应附上法定代表人的授权书。</w:t>
      </w:r>
    </w:p>
    <w:p>
      <w:pPr>
        <w:snapToGrid w:val="0"/>
        <w:spacing w:line="360" w:lineRule="auto"/>
        <w:ind w:firstLine="420" w:firstLineChars="200"/>
        <w:rPr>
          <w:rFonts w:ascii="宋体" w:hAnsi="宋体"/>
          <w:szCs w:val="21"/>
        </w:rPr>
      </w:pPr>
      <w:r>
        <w:rPr>
          <w:rFonts w:hint="eastAsia" w:ascii="宋体" w:hAnsi="宋体"/>
          <w:szCs w:val="21"/>
        </w:rPr>
        <w:t>授权通知书经基金管理人、基金托管人双方以电话方式或其他基金管理人、基金托管人双方认可的方式确认后，由基金管理人使用授权邮箱将授权通知书原件扫描件发送至基金托管人，并以授权通知书载明的生效时间与基金托管人收到时间两者较晚时间生效。基金管理人保留授权通知书的原件正本，基金托管人保留授权通知书原件扫描件，授权通知书原件正本内容与基金托管人收到的原件扫描件不一致的，以基金托管人收到的原件扫描件为准。</w:t>
      </w:r>
    </w:p>
    <w:p>
      <w:pPr>
        <w:snapToGrid w:val="0"/>
        <w:spacing w:line="360" w:lineRule="auto"/>
        <w:ind w:firstLine="420" w:firstLineChars="200"/>
        <w:rPr>
          <w:rFonts w:ascii="宋体" w:hAnsi="宋体"/>
          <w:szCs w:val="21"/>
        </w:rPr>
      </w:pPr>
      <w:r>
        <w:rPr>
          <w:rFonts w:hint="eastAsia" w:ascii="宋体" w:hAnsi="宋体"/>
          <w:szCs w:val="21"/>
        </w:rPr>
        <w:t>（三）指令的内容</w:t>
      </w:r>
    </w:p>
    <w:p>
      <w:pPr>
        <w:snapToGrid w:val="0"/>
        <w:spacing w:line="360" w:lineRule="auto"/>
        <w:ind w:firstLine="420" w:firstLineChars="200"/>
        <w:rPr>
          <w:rFonts w:ascii="宋体" w:hAnsi="宋体"/>
          <w:szCs w:val="21"/>
        </w:rPr>
      </w:pPr>
      <w:r>
        <w:rPr>
          <w:rFonts w:hint="eastAsia" w:ascii="宋体" w:hAnsi="宋体"/>
          <w:szCs w:val="21"/>
        </w:rPr>
        <w:t>指令是在管理本基金时，基金管理人向基金托管人发出的交易成交单、交易指令及资金划拨类指令。纸质指令应加盖预留印鉴并由被授权人签章，并至少包含以下要素：支付日期、付款方户名、付款方账号、付款方开户行、收款方户名、收款方账号、收款方开户行、金额（大小写）、划款摘要等。</w:t>
      </w:r>
    </w:p>
    <w:p>
      <w:pPr>
        <w:snapToGrid w:val="0"/>
        <w:spacing w:line="360" w:lineRule="auto"/>
        <w:ind w:firstLine="420" w:firstLineChars="200"/>
        <w:rPr>
          <w:rFonts w:ascii="宋体" w:hAnsi="宋体"/>
          <w:szCs w:val="21"/>
        </w:rPr>
      </w:pPr>
      <w:r>
        <w:rPr>
          <w:rFonts w:hint="eastAsia" w:ascii="宋体" w:hAnsi="宋体"/>
          <w:szCs w:val="21"/>
        </w:rPr>
        <w:t>（四）指令的发送、确认及执行的时间和程序</w:t>
      </w:r>
    </w:p>
    <w:p>
      <w:pPr>
        <w:snapToGrid w:val="0"/>
        <w:spacing w:line="360" w:lineRule="auto"/>
        <w:ind w:firstLine="420" w:firstLineChars="200"/>
        <w:rPr>
          <w:rFonts w:ascii="宋体" w:hAnsi="宋体"/>
          <w:szCs w:val="21"/>
        </w:rPr>
      </w:pPr>
      <w:r>
        <w:rPr>
          <w:rFonts w:hint="eastAsia" w:ascii="宋体" w:hAnsi="宋体"/>
          <w:szCs w:val="21"/>
        </w:rPr>
        <w:t>1.指令发送的方式</w:t>
      </w:r>
    </w:p>
    <w:p>
      <w:pPr>
        <w:snapToGrid w:val="0"/>
        <w:spacing w:line="360" w:lineRule="auto"/>
        <w:ind w:firstLine="420" w:firstLineChars="200"/>
        <w:rPr>
          <w:rFonts w:ascii="宋体" w:hAnsi="宋体"/>
          <w:szCs w:val="21"/>
        </w:rPr>
      </w:pPr>
      <w:r>
        <w:rPr>
          <w:rFonts w:hint="eastAsia" w:ascii="宋体" w:hAnsi="宋体"/>
          <w:szCs w:val="21"/>
        </w:rPr>
        <w:t xml:space="preserve">基金托管人支持基金管理人通过以下任一方式发送指令： </w:t>
      </w:r>
    </w:p>
    <w:p>
      <w:pPr>
        <w:snapToGrid w:val="0"/>
        <w:spacing w:line="360" w:lineRule="auto"/>
        <w:ind w:firstLine="420" w:firstLineChars="200"/>
        <w:rPr>
          <w:rFonts w:ascii="宋体" w:hAnsi="宋体"/>
          <w:szCs w:val="21"/>
        </w:rPr>
      </w:pPr>
      <w:r>
        <w:rPr>
          <w:rFonts w:hint="eastAsia" w:ascii="宋体" w:hAnsi="宋体"/>
          <w:szCs w:val="21"/>
        </w:rPr>
        <w:t>基金管理人通过深证通电子直连对接方式，向基金托管人发送电子划款指令。基金管理人通过深证通电子直连对接方式发送电子指令的，基金管理人应在启用该方式前一工作日，通过基金管理人、基金托管人双方认可的方式告知基金托管人本基金的资产代码等信息。</w:t>
      </w:r>
    </w:p>
    <w:p>
      <w:pPr>
        <w:snapToGrid w:val="0"/>
        <w:spacing w:line="360" w:lineRule="auto"/>
        <w:ind w:firstLine="420" w:firstLineChars="200"/>
        <w:rPr>
          <w:rFonts w:ascii="宋体" w:hAnsi="宋体"/>
          <w:szCs w:val="21"/>
        </w:rPr>
      </w:pPr>
      <w:r>
        <w:rPr>
          <w:rFonts w:hint="eastAsia" w:ascii="宋体" w:hAnsi="宋体"/>
          <w:szCs w:val="21"/>
        </w:rPr>
        <w:t>基金管理人通过苏州银行资产托管服务平台录入方式，向基金托管人发送电子划款指令。苏州银行资产托管服务平台是指基金托管人向基金管理人提供的托管客户软件终端，实现基金管理人与基金托管人之间指令处理、数据传输、业务查询、资料传递和信息服务等直通式处理。在启用该方式前，基金管理人、基金托管人双方须另行签订服务协议，具体事宜以《苏州银行资产托管服务平台系统服务协议》的约定为准。对于基金管理人通过上述电子方式发送指令的，在应急情况下，基金管理人可通过授权邮箱发送划款指令。</w:t>
      </w:r>
    </w:p>
    <w:p>
      <w:pPr>
        <w:snapToGrid w:val="0"/>
        <w:spacing w:line="360" w:lineRule="auto"/>
        <w:ind w:firstLine="420" w:firstLineChars="200"/>
        <w:rPr>
          <w:rFonts w:ascii="宋体" w:hAnsi="宋体"/>
          <w:szCs w:val="21"/>
        </w:rPr>
      </w:pPr>
      <w:r>
        <w:rPr>
          <w:rFonts w:hint="eastAsia" w:ascii="宋体" w:hAnsi="宋体"/>
          <w:szCs w:val="21"/>
        </w:rPr>
        <w:t>基金管理人通过邮箱或基金管理人与基金托管人协商一致的其他方式发送纸质指令的，纸质划款指令须经基金管理人指定的授权邮箱等发出方为有效。当出现特殊情况，基金管理人无法使用授权邮箱等发送指令时，基金管理人可通过其他方式应急发送指令，并通过授权电话通知基金托管人，基金托管人不承担因基金管理人未及时通知基金托管人接收邮箱指令造成的损失。</w:t>
      </w:r>
    </w:p>
    <w:p>
      <w:pPr>
        <w:snapToGrid w:val="0"/>
        <w:spacing w:line="360" w:lineRule="auto"/>
        <w:ind w:firstLine="420" w:firstLineChars="200"/>
        <w:rPr>
          <w:rFonts w:ascii="宋体" w:hAnsi="宋体"/>
          <w:szCs w:val="21"/>
        </w:rPr>
      </w:pPr>
      <w:r>
        <w:rPr>
          <w:rFonts w:hint="eastAsia" w:ascii="宋体" w:hAnsi="宋体"/>
          <w:szCs w:val="21"/>
        </w:rPr>
        <w:t>2.指令附件的发送</w:t>
      </w:r>
    </w:p>
    <w:p>
      <w:pPr>
        <w:snapToGrid w:val="0"/>
        <w:spacing w:line="360" w:lineRule="auto"/>
        <w:ind w:firstLine="420" w:firstLineChars="200"/>
        <w:rPr>
          <w:rFonts w:ascii="宋体" w:hAnsi="宋体"/>
          <w:szCs w:val="21"/>
        </w:rPr>
      </w:pPr>
      <w:r>
        <w:rPr>
          <w:rFonts w:hint="eastAsia" w:ascii="宋体" w:hAnsi="宋体"/>
          <w:szCs w:val="21"/>
        </w:rPr>
        <w:t>基金管理人向基金托管人发送指令的同时，应及时提供相关合同、交易凭证或其他证明材料（如需）。基金管理人对该等资料的真实性、有效性、完整性和合法合规性负责。如基金管理人未及时提供符合基金托管人要求的指令附件，基金托管人有权暂不执行该指令直至基金管理人提交符合基金托管人要求的指令附件。</w:t>
      </w:r>
    </w:p>
    <w:p>
      <w:pPr>
        <w:snapToGrid w:val="0"/>
        <w:spacing w:line="360" w:lineRule="auto"/>
        <w:ind w:firstLine="420" w:firstLineChars="200"/>
        <w:rPr>
          <w:rFonts w:ascii="宋体" w:hAnsi="宋体"/>
          <w:szCs w:val="21"/>
        </w:rPr>
      </w:pPr>
      <w:r>
        <w:rPr>
          <w:rFonts w:hint="eastAsia" w:ascii="宋体" w:hAnsi="宋体"/>
          <w:szCs w:val="21"/>
        </w:rPr>
        <w:t>3.指令发送的时间</w:t>
      </w:r>
    </w:p>
    <w:p>
      <w:pPr>
        <w:snapToGrid w:val="0"/>
        <w:spacing w:line="360" w:lineRule="auto"/>
        <w:ind w:firstLine="420" w:firstLineChars="200"/>
        <w:rPr>
          <w:rFonts w:ascii="宋体" w:hAnsi="宋体"/>
          <w:szCs w:val="21"/>
        </w:rPr>
      </w:pPr>
      <w:r>
        <w:rPr>
          <w:rFonts w:hint="eastAsia" w:ascii="宋体" w:hAnsi="宋体"/>
          <w:szCs w:val="21"/>
        </w:rPr>
        <w:t>对于新债申购等网下公开发行业务，基金管理人应于网下申购缴款日的10:00前将指令发送给基金托管人。</w:t>
      </w:r>
    </w:p>
    <w:p>
      <w:pPr>
        <w:snapToGrid w:val="0"/>
        <w:spacing w:line="360" w:lineRule="auto"/>
        <w:ind w:firstLine="420" w:firstLineChars="200"/>
        <w:rPr>
          <w:rFonts w:ascii="宋体" w:hAnsi="宋体"/>
          <w:szCs w:val="21"/>
        </w:rPr>
      </w:pPr>
      <w:r>
        <w:rPr>
          <w:rFonts w:hint="eastAsia" w:ascii="宋体" w:hAnsi="宋体"/>
          <w:szCs w:val="21"/>
        </w:rPr>
        <w:t>对于银证转账、银期转账业务，基金管理人应于交易所交易截止时间前2小时将指令发送至基金托管人，由基金托管人依据基金管理人发出的划款指令进行出入金操作。当第三方存管系统出现故障等其他紧急情况时，基金管理人可以使用非银期转账进行手工出入金。</w:t>
      </w:r>
    </w:p>
    <w:p>
      <w:pPr>
        <w:snapToGrid w:val="0"/>
        <w:spacing w:line="360" w:lineRule="auto"/>
        <w:ind w:firstLine="420" w:firstLineChars="200"/>
        <w:rPr>
          <w:rFonts w:ascii="宋体" w:hAnsi="宋体"/>
          <w:szCs w:val="21"/>
        </w:rPr>
      </w:pPr>
      <w:r>
        <w:rPr>
          <w:rFonts w:hint="eastAsia" w:ascii="宋体" w:hAnsi="宋体"/>
          <w:szCs w:val="21"/>
        </w:rPr>
        <w:t>对于银行间市场债券业务，基金管理人应与基金托管人确认基金托管人已完成证书和权限设置后方可进行本基金的银行间交易。基金管理人应最晚于交易日16:30前将银行间成交单（基金托管人豁免发送成交单的除外）及相关划款指令发送至基金托管人，并给基金托管人预留充足且合理的操作时间。</w:t>
      </w:r>
    </w:p>
    <w:p>
      <w:pPr>
        <w:snapToGrid w:val="0"/>
        <w:spacing w:line="360" w:lineRule="auto"/>
        <w:ind w:firstLine="420" w:firstLineChars="200"/>
        <w:rPr>
          <w:rFonts w:ascii="宋体" w:hAnsi="宋体"/>
          <w:szCs w:val="21"/>
        </w:rPr>
      </w:pPr>
      <w:r>
        <w:rPr>
          <w:rFonts w:hint="eastAsia" w:ascii="宋体" w:hAnsi="宋体"/>
          <w:szCs w:val="21"/>
        </w:rPr>
        <w:t>对于除上述业务以外的其他划款指令及附件，基金管理人应提前2小时向基金托管人发送，且不晚于工作日基金托管人接收指令截止时间(17:15前)。如基金管理人需基金托管人配合执行工作日17:15后发送的划款指令，基金管理人应至少于工作日17:15前通过授权电话或其他双方认可的方式告知基金托管人。基金管理人未通过电话或其他双方认可的方式告知基金托管人的，基金托管人不承担划款指令当日未执行而造成的损失。</w:t>
      </w:r>
    </w:p>
    <w:p>
      <w:pPr>
        <w:snapToGrid w:val="0"/>
        <w:spacing w:line="360" w:lineRule="auto"/>
        <w:ind w:firstLine="420" w:firstLineChars="200"/>
        <w:rPr>
          <w:rFonts w:ascii="宋体" w:hAnsi="宋体"/>
          <w:szCs w:val="21"/>
        </w:rPr>
      </w:pPr>
      <w:r>
        <w:rPr>
          <w:rFonts w:hint="eastAsia" w:ascii="宋体" w:hAnsi="宋体"/>
          <w:szCs w:val="21"/>
        </w:rPr>
        <w:t>4.指令的确认</w:t>
      </w:r>
    </w:p>
    <w:p>
      <w:pPr>
        <w:snapToGrid w:val="0"/>
        <w:spacing w:line="360" w:lineRule="auto"/>
        <w:ind w:firstLine="420" w:firstLineChars="200"/>
        <w:rPr>
          <w:rFonts w:ascii="宋体" w:hAnsi="宋体"/>
          <w:szCs w:val="21"/>
        </w:rPr>
      </w:pPr>
      <w:r>
        <w:rPr>
          <w:rFonts w:hint="eastAsia" w:ascii="宋体" w:hAnsi="宋体"/>
          <w:szCs w:val="21"/>
        </w:rPr>
        <w:t>基金管理人有义务在发送指令后使用授权电话与基金托管人进行确认，如因基金管理人未及时通知基金托管人接收邮箱等指令造成的损失，基金托管人不承担责任。对于依照授权通知书发出的指令，基金管理人不得否认其效力。</w:t>
      </w:r>
    </w:p>
    <w:p>
      <w:pPr>
        <w:snapToGrid w:val="0"/>
        <w:spacing w:line="360" w:lineRule="auto"/>
        <w:ind w:firstLine="420" w:firstLineChars="200"/>
        <w:rPr>
          <w:rFonts w:ascii="宋体" w:hAnsi="宋体"/>
          <w:szCs w:val="21"/>
        </w:rPr>
      </w:pPr>
      <w:r>
        <w:rPr>
          <w:rFonts w:hint="eastAsia" w:ascii="宋体" w:hAnsi="宋体"/>
          <w:szCs w:val="21"/>
        </w:rPr>
        <w:t>5.指令的执行</w:t>
      </w:r>
    </w:p>
    <w:p>
      <w:pPr>
        <w:snapToGrid w:val="0"/>
        <w:spacing w:line="360" w:lineRule="auto"/>
        <w:ind w:firstLine="420" w:firstLineChars="200"/>
        <w:rPr>
          <w:rFonts w:ascii="宋体" w:hAnsi="宋体"/>
          <w:szCs w:val="21"/>
        </w:rPr>
      </w:pPr>
      <w:r>
        <w:rPr>
          <w:rFonts w:hint="eastAsia" w:ascii="宋体" w:hAnsi="宋体"/>
          <w:szCs w:val="21"/>
        </w:rPr>
        <w:t>基金管理人在发送指令时，应确保出款账户有足够的资金余额、文件资料齐全，并为基金托管人留出执行指令所必需的时间。</w:t>
      </w:r>
      <w:r>
        <w:rPr>
          <w:rFonts w:hint="eastAsia"/>
          <w:color w:val="1E1E1E"/>
          <w:szCs w:val="21"/>
          <w:shd w:val="clear" w:color="auto" w:fill="FFFFFF"/>
        </w:rPr>
        <w:t>对在没有充足资金的情况下发出的指令，基金托管人有权不予执行，并立即通知基金管理人，基金托管人不承担因为不执行该指令而造成损失的相应责任。</w:t>
      </w:r>
    </w:p>
    <w:p>
      <w:pPr>
        <w:snapToGrid w:val="0"/>
        <w:spacing w:line="360" w:lineRule="auto"/>
        <w:ind w:firstLine="420" w:firstLineChars="200"/>
        <w:rPr>
          <w:rFonts w:ascii="宋体" w:hAnsi="宋体"/>
          <w:szCs w:val="21"/>
        </w:rPr>
      </w:pPr>
      <w:r>
        <w:rPr>
          <w:rFonts w:hint="eastAsia" w:ascii="宋体" w:hAnsi="宋体"/>
          <w:szCs w:val="21"/>
        </w:rPr>
        <w:t>基金托管人确认收到基金管理人发送的指令后，对基金管理人提交的指令按照本托管协议约定进行表面一致性审查，不负责审查基金管理人发送指令及其他文件资料的真实性，基金管理人应保证上述文件资料真实。对于因扫描引起的印章、签字等变形、扭曲，基金托管人不承担审查义务。基金托管人不承担因基金管理人提供的上述文件不真实而造成的损失。</w:t>
      </w:r>
    </w:p>
    <w:p>
      <w:pPr>
        <w:snapToGrid w:val="0"/>
        <w:spacing w:line="360" w:lineRule="auto"/>
        <w:ind w:firstLine="420" w:firstLineChars="200"/>
        <w:rPr>
          <w:rFonts w:ascii="宋体" w:hAnsi="宋体"/>
          <w:szCs w:val="21"/>
        </w:rPr>
      </w:pPr>
      <w:r>
        <w:rPr>
          <w:rFonts w:hint="eastAsia" w:ascii="宋体" w:hAnsi="宋体"/>
          <w:szCs w:val="21"/>
        </w:rPr>
        <w:t>6.指令的撤销</w:t>
      </w:r>
    </w:p>
    <w:p>
      <w:pPr>
        <w:snapToGrid w:val="0"/>
        <w:spacing w:line="360" w:lineRule="auto"/>
        <w:ind w:firstLine="420" w:firstLineChars="200"/>
        <w:rPr>
          <w:rFonts w:ascii="宋体" w:hAnsi="宋体"/>
          <w:szCs w:val="21"/>
        </w:rPr>
      </w:pPr>
      <w:r>
        <w:rPr>
          <w:rFonts w:hint="eastAsia" w:ascii="宋体" w:hAnsi="宋体"/>
          <w:szCs w:val="21"/>
        </w:rPr>
        <w:t xml:space="preserve">在指令未执行的前提下，若撤销邮件指令，基金管理人应在原指令上注明“作废”、“废”、“取消”等字样并加盖预留印鉴及被授权人签章，或以其他双方认可的作废方式，通过授权邮箱等发送给基金托管人，并通过授权电话及时通知基金托管人。若撤销电子指令，基金管理人应通过相关系统撤销，系统功能不支持撤销的，应参照撤销邮件指令方式撤销电子指令。 </w:t>
      </w:r>
    </w:p>
    <w:p>
      <w:pPr>
        <w:snapToGrid w:val="0"/>
        <w:spacing w:line="360" w:lineRule="auto"/>
        <w:ind w:firstLine="420" w:firstLineChars="200"/>
        <w:rPr>
          <w:rFonts w:ascii="宋体" w:hAnsi="宋体"/>
          <w:szCs w:val="21"/>
        </w:rPr>
      </w:pPr>
      <w:r>
        <w:rPr>
          <w:rFonts w:hint="eastAsia" w:ascii="宋体" w:hAnsi="宋体"/>
          <w:szCs w:val="21"/>
        </w:rPr>
        <w:t>（五）基金管理人发送错误指令的情形和处理程序</w:t>
      </w:r>
    </w:p>
    <w:p>
      <w:pPr>
        <w:snapToGrid w:val="0"/>
        <w:spacing w:line="360" w:lineRule="auto"/>
        <w:ind w:firstLine="420" w:firstLineChars="200"/>
        <w:rPr>
          <w:rFonts w:ascii="宋体" w:hAnsi="宋体"/>
          <w:szCs w:val="21"/>
        </w:rPr>
      </w:pPr>
      <w:r>
        <w:rPr>
          <w:rFonts w:hint="eastAsia" w:ascii="宋体" w:hAnsi="宋体"/>
          <w:szCs w:val="21"/>
        </w:rPr>
        <w:t>基金管理人发送错误指令的情形包括指令发送人员无权或超越权限发送指令、重复发送指令，指令不能辨识或要素不全导致无法执行等情形。</w:t>
      </w:r>
    </w:p>
    <w:p>
      <w:pPr>
        <w:snapToGrid w:val="0"/>
        <w:spacing w:line="360" w:lineRule="auto"/>
        <w:ind w:firstLine="420" w:firstLineChars="200"/>
        <w:rPr>
          <w:rFonts w:ascii="宋体" w:hAnsi="宋体"/>
          <w:szCs w:val="21"/>
        </w:rPr>
      </w:pPr>
      <w:r>
        <w:rPr>
          <w:rFonts w:hint="eastAsia" w:ascii="宋体" w:hAnsi="宋体"/>
          <w:szCs w:val="21"/>
        </w:rPr>
        <w:t>当基金托管人认为所接收指令为错误指令时，应及时与基金管理人进行电话确认，并暂停指令的执行，由基金管理人撤销指令或撤销后再重新发送指令。</w:t>
      </w:r>
    </w:p>
    <w:p>
      <w:pPr>
        <w:snapToGrid w:val="0"/>
        <w:spacing w:line="360" w:lineRule="auto"/>
        <w:ind w:firstLine="420" w:firstLineChars="200"/>
        <w:rPr>
          <w:rFonts w:ascii="宋体" w:hAnsi="宋体"/>
          <w:szCs w:val="21"/>
        </w:rPr>
      </w:pPr>
      <w:r>
        <w:rPr>
          <w:rFonts w:hint="eastAsia" w:ascii="宋体" w:hAnsi="宋体"/>
          <w:szCs w:val="21"/>
        </w:rPr>
        <w:t>（六）基金托管人依照法律法规暂缓、拒绝执行指令的情形和处理程序</w:t>
      </w:r>
    </w:p>
    <w:p>
      <w:pPr>
        <w:snapToGrid w:val="0"/>
        <w:spacing w:line="360" w:lineRule="auto"/>
        <w:ind w:firstLine="420" w:firstLineChars="200"/>
        <w:rPr>
          <w:rFonts w:ascii="宋体" w:hAnsi="宋体"/>
          <w:szCs w:val="21"/>
        </w:rPr>
      </w:pPr>
      <w:r>
        <w:rPr>
          <w:rFonts w:hint="eastAsia" w:ascii="宋体" w:hAnsi="宋体"/>
          <w:szCs w:val="21"/>
        </w:rPr>
        <w:t>基金托管人发现基金管理人发送的指令有可能违反有关法律法规的规定、本托管协议约定，应暂缓执行指令，并及时通知基金管理人，基金管理人收到通知后应及时核对并纠正；如相关交易已生效，则应通知基金管理人在规定期限内及时纠正；对于此类基金托管人事前无法监督并拒绝执行的交易行为，基金托管人在履行了对基金管理人的通知义务后，即视为完全履行了其投资监督职责。</w:t>
      </w:r>
    </w:p>
    <w:p>
      <w:pPr>
        <w:snapToGrid w:val="0"/>
        <w:spacing w:line="360" w:lineRule="auto"/>
        <w:ind w:firstLine="420" w:firstLineChars="200"/>
        <w:rPr>
          <w:rFonts w:ascii="宋体" w:hAnsi="宋体"/>
          <w:szCs w:val="21"/>
        </w:rPr>
      </w:pPr>
      <w:r>
        <w:rPr>
          <w:rFonts w:hint="eastAsia" w:ascii="宋体" w:hAnsi="宋体"/>
          <w:szCs w:val="21"/>
        </w:rPr>
        <w:t>（七）基金托管人未按照基金管理人指令执行的处理方法</w:t>
      </w:r>
    </w:p>
    <w:p>
      <w:pPr>
        <w:snapToGrid w:val="0"/>
        <w:spacing w:line="360" w:lineRule="auto"/>
        <w:ind w:firstLine="420" w:firstLineChars="200"/>
        <w:rPr>
          <w:rFonts w:ascii="宋体" w:hAnsi="宋体"/>
          <w:szCs w:val="21"/>
        </w:rPr>
      </w:pPr>
      <w:r>
        <w:rPr>
          <w:rFonts w:hint="eastAsia" w:ascii="宋体" w:hAnsi="宋体"/>
          <w:szCs w:val="21"/>
        </w:rPr>
        <w:t>除因基金托管人过错致使基金财产受到损害而负赔偿责任外，基金托管人对执行基金管理人的合法有效指令对基金财产造成的损失不承担赔偿责任。</w:t>
      </w:r>
    </w:p>
    <w:p>
      <w:pPr>
        <w:snapToGrid w:val="0"/>
        <w:spacing w:line="360" w:lineRule="auto"/>
        <w:ind w:firstLine="420" w:firstLineChars="200"/>
        <w:rPr>
          <w:rFonts w:ascii="宋体" w:hAnsi="宋体"/>
          <w:szCs w:val="21"/>
        </w:rPr>
      </w:pPr>
      <w:r>
        <w:rPr>
          <w:rFonts w:hint="eastAsia" w:ascii="宋体" w:hAnsi="宋体"/>
          <w:szCs w:val="21"/>
        </w:rPr>
        <w:t>（八）授权通知书信息变更的程序</w:t>
      </w:r>
    </w:p>
    <w:p>
      <w:pPr>
        <w:snapToGrid w:val="0"/>
        <w:spacing w:line="360" w:lineRule="auto"/>
        <w:ind w:firstLine="420" w:firstLineChars="200"/>
        <w:rPr>
          <w:rFonts w:ascii="宋体" w:hAnsi="宋体"/>
          <w:szCs w:val="21"/>
        </w:rPr>
      </w:pPr>
      <w:r>
        <w:rPr>
          <w:rFonts w:hint="eastAsia" w:ascii="宋体" w:hAnsi="宋体"/>
          <w:szCs w:val="21"/>
        </w:rPr>
        <w:t>基金管理人撤换被授权人等信息应提前至少一个工作日，使用授权邮箱重新向基金托管人发出加盖基金管理人公章和法定代表人（或被授权人）签章的授权通知书，同时电话通知基金托管人。经基金管理人与基金托管人以电话方式或其他基金管理人、基金托管人双方认可的方式确认后，授权通知书于其载明的生效时间与基金托管人收到时间两者较晚时间生效，同时原授权通知书失效。授权通知书原件正本内容与基金托管人收到的邮件扫描件不一致的，以基金托管人收到的邮件扫描件为准。</w:t>
      </w:r>
    </w:p>
    <w:p>
      <w:pPr>
        <w:snapToGrid w:val="0"/>
        <w:spacing w:line="360" w:lineRule="auto"/>
        <w:ind w:firstLine="420" w:firstLineChars="200"/>
        <w:rPr>
          <w:rFonts w:ascii="宋体" w:hAnsi="宋体"/>
          <w:szCs w:val="21"/>
        </w:rPr>
      </w:pPr>
      <w:r>
        <w:rPr>
          <w:rFonts w:hint="eastAsia" w:ascii="宋体" w:hAnsi="宋体"/>
          <w:szCs w:val="21"/>
        </w:rPr>
        <w:t>（九）纸质指令及纸质指令附件的保管</w:t>
      </w:r>
    </w:p>
    <w:p>
      <w:pPr>
        <w:snapToGrid w:val="0"/>
        <w:spacing w:line="360" w:lineRule="auto"/>
        <w:ind w:firstLine="420" w:firstLineChars="200"/>
        <w:rPr>
          <w:rFonts w:ascii="宋体" w:hAnsi="宋体"/>
          <w:szCs w:val="21"/>
        </w:rPr>
      </w:pPr>
      <w:r>
        <w:rPr>
          <w:rFonts w:hint="eastAsia" w:ascii="宋体" w:hAnsi="宋体"/>
          <w:szCs w:val="21"/>
        </w:rPr>
        <w:t>纸质指令及纸质指令附件由基金管理人保管原件正本，基金托管人保管其扫描件。当两者不一致时，以基金托管人收到的扫描件为准。</w:t>
      </w:r>
    </w:p>
    <w:bookmarkEnd w:id="33"/>
    <w:p>
      <w:pPr>
        <w:snapToGrid w:val="0"/>
        <w:spacing w:line="360" w:lineRule="auto"/>
        <w:ind w:firstLine="420" w:firstLineChars="200"/>
        <w:rPr>
          <w:rFonts w:ascii="宋体" w:hAnsi="宋体"/>
          <w:szCs w:val="21"/>
        </w:rPr>
      </w:pPr>
    </w:p>
    <w:p>
      <w:pPr>
        <w:spacing w:before="312" w:beforeLines="100" w:after="312" w:afterLines="100" w:line="240" w:lineRule="atLeast"/>
        <w:jc w:val="center"/>
        <w:outlineLvl w:val="0"/>
        <w:rPr>
          <w:rFonts w:ascii="宋体" w:hAnsi="宋体"/>
          <w:b/>
          <w:sz w:val="24"/>
        </w:rPr>
      </w:pPr>
      <w:bookmarkStart w:id="34" w:name="_Toc131682146"/>
      <w:bookmarkStart w:id="35" w:name="_Toc382819098"/>
      <w:r>
        <w:rPr>
          <w:rFonts w:hint="eastAsia" w:ascii="宋体" w:hAnsi="宋体"/>
          <w:b/>
          <w:sz w:val="24"/>
        </w:rPr>
        <w:t>六、交易及清算交收安排</w:t>
      </w:r>
      <w:bookmarkEnd w:id="34"/>
    </w:p>
    <w:bookmarkEnd w:id="35"/>
    <w:p>
      <w:pPr>
        <w:snapToGrid w:val="0"/>
        <w:spacing w:line="360" w:lineRule="auto"/>
        <w:ind w:firstLine="420" w:firstLineChars="200"/>
        <w:rPr>
          <w:rFonts w:ascii="宋体" w:hAnsi="宋体"/>
          <w:bCs/>
          <w:szCs w:val="21"/>
        </w:rPr>
      </w:pPr>
      <w:r>
        <w:rPr>
          <w:rFonts w:hint="eastAsia" w:ascii="宋体" w:hAnsi="宋体"/>
          <w:bCs/>
          <w:szCs w:val="21"/>
        </w:rPr>
        <w:t>（一）选择代理证券、期货买卖的证券、期货经纪机构的程序</w:t>
      </w:r>
    </w:p>
    <w:p>
      <w:pPr>
        <w:snapToGrid w:val="0"/>
        <w:spacing w:line="360" w:lineRule="auto"/>
        <w:ind w:firstLine="420" w:firstLineChars="200"/>
        <w:rPr>
          <w:rFonts w:ascii="宋体" w:hAnsi="宋体"/>
          <w:bCs/>
          <w:szCs w:val="21"/>
        </w:rPr>
      </w:pPr>
      <w:r>
        <w:rPr>
          <w:rFonts w:hint="eastAsia" w:ascii="宋体" w:hAnsi="宋体"/>
          <w:bCs/>
          <w:szCs w:val="21"/>
        </w:rPr>
        <w:t>基金管理人负责选择代理本基金财产进行证券买卖的证券经纪机构。基金管理人、基金托管人和证券经纪机构可另行签订证券经纪服务协议，载明本基金在证券交易所交易的交易席位号、佣金费率，交易数据、结算数据、对账单的传送，以及差错处理和违约责任等具体事项的安排。如证券经纪服务协议有效期内，交易席位号、佣金费率等信息发生变动，应于生效前一个交易日书面告知基金托管人。</w:t>
      </w:r>
    </w:p>
    <w:p>
      <w:pPr>
        <w:snapToGrid w:val="0"/>
        <w:spacing w:line="360" w:lineRule="auto"/>
        <w:ind w:firstLine="420" w:firstLineChars="200"/>
        <w:rPr>
          <w:rFonts w:ascii="宋体" w:hAnsi="宋体"/>
          <w:bCs/>
          <w:szCs w:val="21"/>
        </w:rPr>
      </w:pPr>
      <w:r>
        <w:rPr>
          <w:rFonts w:hint="eastAsia" w:ascii="宋体" w:hAnsi="宋体"/>
          <w:bCs/>
          <w:szCs w:val="21"/>
        </w:rPr>
        <w:t>基金管理人负责选择代理本基金财产进行期货交易的期货经纪机构。基金管理人、基金托管人和期货经纪机构可另行签订期货操作备忘录，载明本基金在期货交易所交易的交易数据、结算数据、对账单的传送，以及差错处理和违约责任等具体事项的安排。在期货操作备忘录有效期内，佣金费率等信息发生变动的，应于生效前一个交易日书面告知基金托管人。</w:t>
      </w:r>
    </w:p>
    <w:p>
      <w:pPr>
        <w:snapToGrid w:val="0"/>
        <w:spacing w:line="360" w:lineRule="auto"/>
        <w:ind w:firstLine="420" w:firstLineChars="200"/>
        <w:rPr>
          <w:rFonts w:ascii="宋体" w:hAnsi="宋体"/>
          <w:szCs w:val="21"/>
        </w:rPr>
      </w:pPr>
      <w:r>
        <w:rPr>
          <w:rFonts w:hint="eastAsia" w:ascii="宋体" w:hAnsi="宋体"/>
          <w:szCs w:val="21"/>
        </w:rPr>
        <w:t>（二）本基金投资证券、期货的清算交收</w:t>
      </w:r>
    </w:p>
    <w:p>
      <w:pPr>
        <w:snapToGrid w:val="0"/>
        <w:spacing w:line="360" w:lineRule="auto"/>
        <w:ind w:firstLine="420" w:firstLineChars="200"/>
        <w:rPr>
          <w:rFonts w:ascii="宋体" w:hAnsi="宋体"/>
          <w:szCs w:val="21"/>
        </w:rPr>
      </w:pPr>
      <w:r>
        <w:rPr>
          <w:rFonts w:hint="eastAsia" w:ascii="宋体" w:hAnsi="宋体"/>
          <w:szCs w:val="21"/>
        </w:rPr>
        <w:t>基金管理人通过证券经纪机构、期货经纪机构进行本基金的证券、期货交易的，由证券经纪机构、期货经纪机构作为结算参与人代理本基金进行结算，并负责证券资金账户、期货保证金账户项下的财产保管。本基金其它证券交易由托管人或相关机构负责结算。</w:t>
      </w:r>
    </w:p>
    <w:p>
      <w:pPr>
        <w:snapToGrid w:val="0"/>
        <w:spacing w:line="360" w:lineRule="auto"/>
        <w:ind w:firstLine="420" w:firstLineChars="200"/>
        <w:rPr>
          <w:rFonts w:ascii="宋体" w:hAnsi="宋体"/>
          <w:szCs w:val="21"/>
        </w:rPr>
      </w:pPr>
      <w:r>
        <w:rPr>
          <w:rFonts w:hint="eastAsia" w:ascii="宋体" w:hAnsi="宋体"/>
          <w:szCs w:val="21"/>
        </w:rPr>
        <w:t>本基金进行证券买卖、期货交易的资金交收违约事件，由相关各方及时协商解决。相关过错方在清算上造成本基金财产的损失，由过错方承担。</w:t>
      </w:r>
    </w:p>
    <w:p>
      <w:pPr>
        <w:snapToGrid w:val="0"/>
        <w:spacing w:line="360" w:lineRule="auto"/>
        <w:ind w:firstLine="420" w:firstLineChars="200"/>
        <w:rPr>
          <w:rFonts w:ascii="宋体" w:hAnsi="宋体"/>
          <w:szCs w:val="21"/>
        </w:rPr>
      </w:pPr>
      <w:r>
        <w:rPr>
          <w:rFonts w:hint="eastAsia" w:ascii="宋体" w:hAnsi="宋体"/>
          <w:szCs w:val="21"/>
        </w:rPr>
        <w:t>对证券资金账户、期货保证金账户，资金、证券、期货账目，由基金管理人、基金托管人双方定期与证券经纪机构、期货经纪机构进行对账，确保基金管理人、基金托管人双方账实相符。</w:t>
      </w:r>
    </w:p>
    <w:p>
      <w:pPr>
        <w:snapToGrid w:val="0"/>
        <w:spacing w:line="360" w:lineRule="auto"/>
        <w:ind w:firstLine="420" w:firstLineChars="200"/>
        <w:rPr>
          <w:rFonts w:ascii="宋体" w:hAnsi="宋体"/>
          <w:szCs w:val="21"/>
        </w:rPr>
      </w:pPr>
      <w:r>
        <w:rPr>
          <w:rFonts w:hint="eastAsia" w:ascii="宋体" w:hAnsi="宋体"/>
          <w:szCs w:val="21"/>
        </w:rPr>
        <w:t>（三）本基金投资银行间债券的清算交收</w:t>
      </w:r>
    </w:p>
    <w:p>
      <w:pPr>
        <w:snapToGrid w:val="0"/>
        <w:spacing w:line="360" w:lineRule="auto"/>
        <w:ind w:firstLine="420" w:firstLineChars="200"/>
        <w:rPr>
          <w:rFonts w:ascii="宋体" w:hAnsi="宋体"/>
          <w:szCs w:val="21"/>
        </w:rPr>
      </w:pPr>
      <w:r>
        <w:rPr>
          <w:rFonts w:hint="eastAsia" w:ascii="宋体" w:hAnsi="宋体"/>
          <w:szCs w:val="21"/>
        </w:rPr>
        <w:t>基金管理人负责对交易对手方的资信控制，按银行间债券市场的交易规则进行交易，并负责处理因交易对手不履行合同或未及时履行合同而造成的纠纷及损失，由此造成的任何法律责任及损失，由责任方承担。</w:t>
      </w:r>
    </w:p>
    <w:p>
      <w:pPr>
        <w:snapToGrid w:val="0"/>
        <w:spacing w:line="360" w:lineRule="auto"/>
        <w:ind w:firstLine="420" w:firstLineChars="200"/>
        <w:rPr>
          <w:rFonts w:ascii="宋体" w:hAnsi="宋体"/>
          <w:szCs w:val="21"/>
        </w:rPr>
      </w:pPr>
      <w:r>
        <w:rPr>
          <w:rFonts w:hint="eastAsia" w:ascii="宋体" w:hAnsi="宋体"/>
          <w:szCs w:val="21"/>
        </w:rPr>
        <w:t>银行间债券交易资金的结算由基金托管人根据基金管理人出具划款指令执行。</w:t>
      </w:r>
    </w:p>
    <w:p>
      <w:pPr>
        <w:snapToGrid w:val="0"/>
        <w:spacing w:line="360" w:lineRule="auto"/>
        <w:ind w:firstLine="420" w:firstLineChars="200"/>
        <w:rPr>
          <w:rFonts w:ascii="宋体" w:hAnsi="宋体"/>
          <w:szCs w:val="21"/>
        </w:rPr>
      </w:pPr>
      <w:r>
        <w:rPr>
          <w:rFonts w:hint="eastAsia" w:ascii="宋体" w:hAnsi="宋体"/>
          <w:szCs w:val="21"/>
        </w:rPr>
        <w:t>（四）基金管理人在发送投资指令时，应为基金托管人执行投资指令留出执行指令所必需的时间。如划款指令中给予基金托管人的划拨时间小于2个工作小时或晚于前述指令截止时间的，基金托管人应尽力在指定时间内完成资金划拨,但不承担因时间不足导致执行失败的责任。</w:t>
      </w:r>
    </w:p>
    <w:p>
      <w:pPr>
        <w:snapToGrid w:val="0"/>
        <w:spacing w:line="360" w:lineRule="auto"/>
        <w:ind w:firstLine="420" w:firstLineChars="200"/>
        <w:rPr>
          <w:rFonts w:ascii="宋体" w:hAnsi="宋体"/>
          <w:szCs w:val="21"/>
        </w:rPr>
      </w:pPr>
      <w:r>
        <w:rPr>
          <w:rFonts w:hint="eastAsia" w:ascii="宋体" w:hAnsi="宋体"/>
          <w:szCs w:val="21"/>
        </w:rPr>
        <w:t>（五）定期存款投资</w:t>
      </w:r>
    </w:p>
    <w:p>
      <w:pPr>
        <w:snapToGrid w:val="0"/>
        <w:spacing w:line="360" w:lineRule="auto"/>
        <w:ind w:firstLine="420" w:firstLineChars="200"/>
        <w:rPr>
          <w:rFonts w:ascii="宋体" w:hAnsi="宋体"/>
          <w:szCs w:val="21"/>
        </w:rPr>
      </w:pPr>
      <w:r>
        <w:rPr>
          <w:rFonts w:hint="eastAsia" w:ascii="宋体" w:hAnsi="宋体"/>
          <w:szCs w:val="21"/>
        </w:rPr>
        <w:t>基金管理人与存款行签订的存款协议条款格式应在定期存款起息日前发送给基金托管人，协议</w:t>
      </w:r>
      <w:r>
        <w:rPr>
          <w:rFonts w:hint="eastAsia" w:asciiTheme="minorEastAsia" w:hAnsiTheme="minorEastAsia" w:eastAsiaTheme="minorEastAsia"/>
          <w:szCs w:val="21"/>
        </w:rPr>
        <w:t>签订的内容由基金管理人和基金托管人一致认可后方可执行。具体条款以实际存款协议为准。</w:t>
      </w:r>
      <w:r>
        <w:rPr>
          <w:rFonts w:hint="eastAsia" w:ascii="宋体" w:hAnsi="宋体" w:cs="Arial"/>
          <w:color w:val="000000"/>
          <w:szCs w:val="21"/>
        </w:rPr>
        <w:t>基金管理人应将</w:t>
      </w:r>
      <w:r>
        <w:rPr>
          <w:rFonts w:hint="eastAsia" w:ascii="宋体" w:hAnsi="宋体"/>
          <w:szCs w:val="21"/>
        </w:rPr>
        <w:t>定期存款的划款指令及存款协议盖章版（扫描件）按法律法规、基金合同及托管协议的规定提交基金托管人，指令发出后，基金管理人应及时以电话方式向基金托管人确认。对于基金管理人依约定程序发出的指令，基金管理人不得否认其效力。</w:t>
      </w:r>
    </w:p>
    <w:p>
      <w:pPr>
        <w:snapToGrid w:val="0"/>
        <w:spacing w:line="360" w:lineRule="auto"/>
        <w:ind w:firstLine="420" w:firstLineChars="200"/>
        <w:rPr>
          <w:rFonts w:ascii="宋体" w:hAnsi="宋体"/>
          <w:szCs w:val="21"/>
        </w:rPr>
      </w:pPr>
      <w:r>
        <w:rPr>
          <w:rFonts w:hint="eastAsia" w:ascii="宋体" w:hAnsi="宋体"/>
          <w:szCs w:val="21"/>
        </w:rPr>
        <w:t>存款银行无法在存入当日17点前向基金托管人送达存款证实书的，基金管理人应敦促存款银行将存款证实扫描件发送至基金托管人。存款证实书送达基金托管人后，基金托管人负责保管存款证实书原件。基金托管人仅对存款证实书进行形式审核，形式审核内容为账户名称、起息日、到期日、金额、利率。基金托管人不对存款证实书真实性承担审核职责。</w:t>
      </w:r>
    </w:p>
    <w:p>
      <w:pPr>
        <w:snapToGrid w:val="0"/>
        <w:spacing w:line="360" w:lineRule="auto"/>
        <w:ind w:firstLine="420" w:firstLineChars="200"/>
        <w:rPr>
          <w:rFonts w:ascii="宋体" w:hAnsi="宋体"/>
          <w:szCs w:val="21"/>
        </w:rPr>
      </w:pPr>
      <w:r>
        <w:rPr>
          <w:rFonts w:hint="eastAsia" w:ascii="宋体" w:hAnsi="宋体"/>
          <w:szCs w:val="21"/>
        </w:rPr>
        <w:t>基金管理人与存款银行签订的存款协议，应包括：</w:t>
      </w:r>
    </w:p>
    <w:p>
      <w:pPr>
        <w:snapToGrid w:val="0"/>
        <w:spacing w:line="360" w:lineRule="auto"/>
        <w:ind w:firstLine="420" w:firstLineChars="200"/>
        <w:rPr>
          <w:rFonts w:ascii="宋体" w:hAnsi="宋体"/>
          <w:szCs w:val="21"/>
        </w:rPr>
      </w:pPr>
      <w:r>
        <w:rPr>
          <w:rFonts w:hint="eastAsia" w:ascii="宋体" w:hAnsi="宋体"/>
          <w:szCs w:val="21"/>
        </w:rPr>
        <w:t>1、存款银行为托管资产办理定期存款业务的存款账户开立、资金存入和支取提供必要的支持和高效的结算服务；</w:t>
      </w:r>
    </w:p>
    <w:p>
      <w:pPr>
        <w:snapToGrid w:val="0"/>
        <w:spacing w:line="360" w:lineRule="auto"/>
        <w:ind w:firstLine="420" w:firstLineChars="200"/>
        <w:rPr>
          <w:rFonts w:ascii="宋体" w:hAnsi="宋体"/>
          <w:szCs w:val="21"/>
        </w:rPr>
      </w:pPr>
      <w:r>
        <w:rPr>
          <w:rFonts w:hint="eastAsia" w:ascii="宋体" w:hAnsi="宋体"/>
          <w:szCs w:val="21"/>
        </w:rPr>
        <w:t>2、存款银行为托管资产所投资的定期存款的存款证明文件提供上门或邮寄服务，即：定期存款资金到账当日，存款银行派授权代理人将“存款证实书”（以下简称“证实书”）妥善送至或邮寄至托管人处。“证实书”移交给基金托管人之前，因“证实书”丢失、损毁而造成的一切损失由存款银行承担。</w:t>
      </w:r>
    </w:p>
    <w:p>
      <w:pPr>
        <w:snapToGrid w:val="0"/>
        <w:spacing w:line="360" w:lineRule="auto"/>
        <w:ind w:firstLine="420" w:firstLineChars="200"/>
        <w:rPr>
          <w:rFonts w:ascii="宋体" w:hAnsi="宋体"/>
          <w:szCs w:val="21"/>
        </w:rPr>
      </w:pPr>
      <w:r>
        <w:rPr>
          <w:rFonts w:hint="eastAsia" w:ascii="宋体" w:hAnsi="宋体"/>
          <w:szCs w:val="21"/>
        </w:rPr>
        <w:t>3、定期存款到期日当日或提前支取日当日，存款银行应派授权代理人前往基金托管人处提取“证实书”或由基金托管人邮寄“证实书”至存款行。“证实书”移交给存款行授权代理人之后，因“证实书”丢失、损毁而造成的一切损失由存款银行承担。</w:t>
      </w:r>
    </w:p>
    <w:p>
      <w:pPr>
        <w:snapToGrid w:val="0"/>
        <w:spacing w:line="360" w:lineRule="auto"/>
        <w:ind w:firstLine="420" w:firstLineChars="200"/>
        <w:rPr>
          <w:rFonts w:ascii="宋体" w:hAnsi="宋体"/>
          <w:szCs w:val="21"/>
        </w:rPr>
      </w:pPr>
      <w:r>
        <w:rPr>
          <w:rFonts w:hint="eastAsia" w:ascii="宋体" w:hAnsi="宋体"/>
          <w:szCs w:val="21"/>
        </w:rPr>
        <w:t>存款银行应至少提前一个工作日向基金托管人提供对前述授权代理人办理相关事务的书面授权书。授权代理人提供上门服务时，应出示有效身份证或工作证。</w:t>
      </w:r>
    </w:p>
    <w:p>
      <w:pPr>
        <w:snapToGrid w:val="0"/>
        <w:spacing w:line="360" w:lineRule="auto"/>
        <w:ind w:firstLine="420" w:firstLineChars="200"/>
        <w:rPr>
          <w:rFonts w:ascii="宋体" w:hAnsi="宋体"/>
          <w:szCs w:val="21"/>
        </w:rPr>
      </w:pPr>
      <w:r>
        <w:rPr>
          <w:rFonts w:hint="eastAsia" w:ascii="宋体" w:hAnsi="宋体"/>
          <w:szCs w:val="21"/>
        </w:rPr>
        <w:t>4、存款银行应保证及时支付存款本金和利息，于支取当日将本息划付至本基金开立在基金托管人处的托管账户，并列明账户的开户行、账号、户名、大额支付号。存款银行应确认，定期存款的本息只能划入开立在基金托管人的相应托管账户或经托管人确认的指定账户。上述指定收款账户信息如需变更，必须经基金托管人书面同意。</w:t>
      </w:r>
    </w:p>
    <w:p>
      <w:pPr>
        <w:snapToGrid w:val="0"/>
        <w:spacing w:line="360" w:lineRule="auto"/>
        <w:ind w:firstLine="420" w:firstLineChars="200"/>
        <w:rPr>
          <w:rFonts w:ascii="宋体" w:hAnsi="宋体"/>
          <w:szCs w:val="21"/>
        </w:rPr>
      </w:pPr>
      <w:r>
        <w:rPr>
          <w:rFonts w:hint="eastAsia" w:ascii="宋体" w:hAnsi="宋体"/>
          <w:szCs w:val="21"/>
        </w:rPr>
        <w:t>5、存款银行应为定期存款业务提供定期对账服务。首次对账应不晚于存款资金存入后的一个自然月。除首次对账外，对账频率不少于每半年一次。存款银行应配合基金托管人对“证实书”的书面征询或其他形式的对账和查询。</w:t>
      </w:r>
    </w:p>
    <w:p>
      <w:pPr>
        <w:snapToGrid w:val="0"/>
        <w:spacing w:line="360" w:lineRule="auto"/>
        <w:ind w:firstLine="420" w:firstLineChars="200"/>
        <w:rPr>
          <w:rFonts w:ascii="宋体" w:hAnsi="宋体"/>
          <w:szCs w:val="21"/>
        </w:rPr>
      </w:pPr>
      <w:r>
        <w:rPr>
          <w:rFonts w:hint="eastAsia" w:ascii="宋体" w:hAnsi="宋体"/>
          <w:szCs w:val="21"/>
        </w:rPr>
        <w:t>6、在存款存续期内，“证实书”的预留印鉴发生变更的，存款银行应配合办理变更手续。</w:t>
      </w:r>
    </w:p>
    <w:p>
      <w:pPr>
        <w:snapToGrid w:val="0"/>
        <w:spacing w:line="360" w:lineRule="auto"/>
        <w:ind w:firstLine="420" w:firstLineChars="200"/>
        <w:rPr>
          <w:rFonts w:ascii="宋体" w:hAnsi="宋体"/>
          <w:szCs w:val="21"/>
        </w:rPr>
      </w:pPr>
      <w:r>
        <w:rPr>
          <w:rFonts w:hint="eastAsia" w:ascii="宋体" w:hAnsi="宋体"/>
          <w:szCs w:val="21"/>
        </w:rPr>
        <w:t>7、存款不得被质押，相应存款证明文件不得用于背书和转让。</w:t>
      </w:r>
    </w:p>
    <w:p>
      <w:pPr>
        <w:snapToGrid w:val="0"/>
        <w:spacing w:line="360" w:lineRule="auto"/>
        <w:ind w:firstLine="420" w:firstLineChars="200"/>
        <w:rPr>
          <w:rFonts w:ascii="宋体" w:hAnsi="宋体"/>
          <w:bCs/>
          <w:szCs w:val="21"/>
        </w:rPr>
      </w:pPr>
      <w:bookmarkStart w:id="36" w:name="_Toc382819102"/>
      <w:r>
        <w:rPr>
          <w:rFonts w:hint="eastAsia" w:ascii="宋体" w:hAnsi="宋体"/>
          <w:bCs/>
          <w:szCs w:val="21"/>
        </w:rPr>
        <w:t>（六）可用资金余额的确认</w:t>
      </w:r>
      <w:bookmarkEnd w:id="36"/>
    </w:p>
    <w:p>
      <w:pPr>
        <w:snapToGrid w:val="0"/>
        <w:spacing w:line="360" w:lineRule="auto"/>
        <w:ind w:firstLine="420" w:firstLineChars="200"/>
      </w:pPr>
      <w:r>
        <w:rPr>
          <w:rFonts w:hint="eastAsia" w:ascii="宋体" w:hAnsi="宋体"/>
          <w:szCs w:val="21"/>
        </w:rPr>
        <w:t>基金托管人可应基金管理人要求，通过发送资金调节表等双方认可的方式，将托管账户的可用资金余额提供给基金管理人，基金管理人亦可开通苏州银行资产托管服务平台查询托管账户可用余额。</w:t>
      </w:r>
    </w:p>
    <w:p>
      <w:pPr>
        <w:snapToGrid w:val="0"/>
        <w:spacing w:line="360" w:lineRule="auto"/>
        <w:ind w:firstLine="420" w:firstLineChars="200"/>
        <w:rPr>
          <w:rFonts w:ascii="宋体" w:hAnsi="宋体"/>
          <w:szCs w:val="21"/>
        </w:rPr>
      </w:pPr>
      <w:r>
        <w:rPr>
          <w:rFonts w:hint="eastAsia" w:ascii="宋体" w:hAnsi="宋体"/>
          <w:bCs/>
          <w:szCs w:val="21"/>
        </w:rPr>
        <w:t>（七）交易记录、资金、证券账目的核对</w:t>
      </w:r>
    </w:p>
    <w:p>
      <w:pPr>
        <w:tabs>
          <w:tab w:val="left" w:pos="4680"/>
        </w:tabs>
        <w:snapToGrid w:val="0"/>
        <w:spacing w:line="360" w:lineRule="auto"/>
        <w:ind w:firstLine="420" w:firstLineChars="200"/>
        <w:jc w:val="left"/>
        <w:rPr>
          <w:rFonts w:ascii="宋体" w:hAnsi="宋体"/>
          <w:szCs w:val="21"/>
        </w:rPr>
      </w:pPr>
      <w:r>
        <w:rPr>
          <w:rFonts w:hint="eastAsia" w:ascii="宋体" w:hAnsi="宋体"/>
          <w:szCs w:val="21"/>
        </w:rPr>
        <w:t>1、交易记录的核对</w:t>
      </w:r>
    </w:p>
    <w:p>
      <w:pPr>
        <w:tabs>
          <w:tab w:val="left" w:pos="4680"/>
        </w:tabs>
        <w:snapToGrid w:val="0"/>
        <w:spacing w:line="360" w:lineRule="auto"/>
        <w:ind w:firstLine="420" w:firstLineChars="200"/>
        <w:jc w:val="left"/>
        <w:rPr>
          <w:rFonts w:ascii="宋体" w:hAnsi="宋体"/>
          <w:szCs w:val="21"/>
        </w:rPr>
      </w:pPr>
      <w:r>
        <w:rPr>
          <w:rFonts w:hint="eastAsia" w:ascii="宋体" w:hAnsi="宋体"/>
          <w:szCs w:val="21"/>
        </w:rPr>
        <w:t>基金管理人和基金托管人按日进行交易记录的核对。对外披露净值之前，必须保证当天所有实际交易记录与基金会计账簿上的交易记录一致。</w:t>
      </w:r>
    </w:p>
    <w:p>
      <w:pPr>
        <w:tabs>
          <w:tab w:val="left" w:pos="4680"/>
        </w:tabs>
        <w:snapToGrid w:val="0"/>
        <w:spacing w:line="360" w:lineRule="auto"/>
        <w:ind w:firstLine="420" w:firstLineChars="200"/>
        <w:jc w:val="left"/>
        <w:rPr>
          <w:rFonts w:ascii="宋体" w:hAnsi="宋体"/>
          <w:szCs w:val="21"/>
        </w:rPr>
      </w:pPr>
      <w:r>
        <w:rPr>
          <w:rFonts w:hint="eastAsia" w:ascii="宋体" w:hAnsi="宋体"/>
          <w:szCs w:val="21"/>
        </w:rPr>
        <w:t>2、资金账目的核对</w:t>
      </w:r>
    </w:p>
    <w:p>
      <w:pPr>
        <w:tabs>
          <w:tab w:val="left" w:pos="4680"/>
        </w:tabs>
        <w:snapToGrid w:val="0"/>
        <w:spacing w:line="360" w:lineRule="auto"/>
        <w:ind w:firstLine="420" w:firstLineChars="200"/>
        <w:jc w:val="left"/>
        <w:rPr>
          <w:rFonts w:ascii="宋体" w:hAnsi="宋体"/>
          <w:szCs w:val="21"/>
        </w:rPr>
      </w:pPr>
      <w:r>
        <w:rPr>
          <w:rFonts w:hint="eastAsia" w:ascii="宋体" w:hAnsi="宋体"/>
          <w:szCs w:val="21"/>
        </w:rPr>
        <w:t>资金账目包括基金的银行存款等会计资料。资金账目由基金托管人每日进行账实核对，基金管理人复核托管人提供的可用头寸表/资金调节表核对资金余额。银行存款账户每日核对，做到账账相符、账实相符。</w:t>
      </w:r>
    </w:p>
    <w:p>
      <w:pPr>
        <w:tabs>
          <w:tab w:val="left" w:pos="4680"/>
        </w:tabs>
        <w:snapToGrid w:val="0"/>
        <w:spacing w:line="360" w:lineRule="auto"/>
        <w:ind w:firstLine="420" w:firstLineChars="200"/>
        <w:jc w:val="left"/>
        <w:rPr>
          <w:rFonts w:ascii="宋体" w:hAnsi="宋体"/>
          <w:szCs w:val="21"/>
        </w:rPr>
      </w:pPr>
      <w:r>
        <w:rPr>
          <w:rFonts w:hint="eastAsia" w:ascii="宋体" w:hAnsi="宋体"/>
          <w:szCs w:val="21"/>
        </w:rPr>
        <w:t>3、证券账目的核对</w:t>
      </w:r>
    </w:p>
    <w:p>
      <w:pPr>
        <w:tabs>
          <w:tab w:val="left" w:pos="4680"/>
        </w:tabs>
        <w:snapToGrid w:val="0"/>
        <w:spacing w:line="360" w:lineRule="auto"/>
        <w:ind w:firstLine="420" w:firstLineChars="200"/>
        <w:jc w:val="left"/>
        <w:rPr>
          <w:rFonts w:ascii="宋体" w:hAnsi="宋体"/>
          <w:szCs w:val="21"/>
        </w:rPr>
      </w:pPr>
      <w:r>
        <w:rPr>
          <w:rFonts w:hint="eastAsia" w:ascii="宋体" w:hAnsi="宋体"/>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pPr>
        <w:snapToGrid w:val="0"/>
        <w:spacing w:line="360" w:lineRule="auto"/>
        <w:ind w:firstLine="420" w:firstLineChars="200"/>
        <w:rPr>
          <w:rFonts w:ascii="宋体" w:hAnsi="宋体"/>
          <w:szCs w:val="21"/>
        </w:rPr>
      </w:pPr>
      <w:r>
        <w:rPr>
          <w:rFonts w:hint="eastAsia" w:ascii="宋体" w:hAnsi="宋体"/>
          <w:bCs/>
          <w:szCs w:val="21"/>
        </w:rPr>
        <w:t>（八）基金申购、赎回、转换业务处理的基本规定</w:t>
      </w:r>
    </w:p>
    <w:p>
      <w:pPr>
        <w:tabs>
          <w:tab w:val="left" w:pos="4680"/>
        </w:tabs>
        <w:snapToGrid w:val="0"/>
        <w:spacing w:line="360" w:lineRule="auto"/>
        <w:ind w:firstLine="420" w:firstLineChars="200"/>
        <w:jc w:val="left"/>
        <w:rPr>
          <w:rFonts w:ascii="宋体" w:hAnsi="宋体"/>
          <w:szCs w:val="21"/>
        </w:rPr>
      </w:pPr>
      <w:r>
        <w:rPr>
          <w:rFonts w:hint="eastAsia" w:ascii="宋体" w:hAnsi="宋体"/>
          <w:szCs w:val="21"/>
        </w:rPr>
        <w:t>1、基金份额申购、赎回的确认、清算由基金管理人或其委托的登记机构负责。</w:t>
      </w:r>
    </w:p>
    <w:p>
      <w:pPr>
        <w:tabs>
          <w:tab w:val="left" w:pos="4680"/>
        </w:tabs>
        <w:snapToGrid w:val="0"/>
        <w:spacing w:line="360" w:lineRule="auto"/>
        <w:ind w:firstLine="420" w:firstLineChars="200"/>
        <w:jc w:val="left"/>
        <w:rPr>
          <w:rFonts w:ascii="宋体" w:hAnsi="宋体"/>
          <w:szCs w:val="21"/>
        </w:rPr>
      </w:pPr>
      <w:r>
        <w:rPr>
          <w:rFonts w:hint="eastAsia" w:ascii="宋体" w:hAnsi="宋体"/>
          <w:szCs w:val="21"/>
        </w:rPr>
        <w:t>2、基金管理人应在每个交易日按本协议相关规定向基金托管人发送基金管理人确认的申购、赎回和转换开放式基金的有关数据，并对上述数据的真实、准确、完整性负责。基金托管人应及时查收申购及转入资金的到账情况并根据基金管理人指令及时划付赎回及转出款项。基金管理人应保证本基金（或本基金管理人委托）的登记机构每个工作日10:00前向基金托管人发送前一开放日的上述有关数据，并保证相关数据的准确、完整。</w:t>
      </w:r>
    </w:p>
    <w:p>
      <w:pPr>
        <w:tabs>
          <w:tab w:val="left" w:pos="4680"/>
        </w:tabs>
        <w:snapToGrid w:val="0"/>
        <w:spacing w:line="360" w:lineRule="auto"/>
        <w:ind w:firstLine="420" w:firstLineChars="200"/>
        <w:jc w:val="left"/>
        <w:rPr>
          <w:rFonts w:ascii="宋体" w:hAnsi="宋体"/>
          <w:szCs w:val="21"/>
        </w:rPr>
      </w:pPr>
      <w:r>
        <w:rPr>
          <w:rFonts w:hint="eastAsia" w:ascii="宋体" w:hAnsi="宋体"/>
          <w:szCs w:val="21"/>
        </w:rPr>
        <w:t>3、基金管理人通过与基金托管人建立的共同约定的数据传送系统发送申购赎回等有关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pPr>
        <w:tabs>
          <w:tab w:val="left" w:pos="4680"/>
        </w:tabs>
        <w:snapToGrid w:val="0"/>
        <w:spacing w:line="360" w:lineRule="auto"/>
        <w:ind w:firstLine="420" w:firstLineChars="200"/>
        <w:jc w:val="left"/>
        <w:rPr>
          <w:rFonts w:ascii="宋体" w:hAnsi="宋体"/>
          <w:szCs w:val="21"/>
        </w:rPr>
      </w:pPr>
      <w:r>
        <w:rPr>
          <w:rFonts w:hint="eastAsia" w:ascii="宋体" w:hAnsi="宋体"/>
          <w:szCs w:val="21"/>
        </w:rPr>
        <w:t>4、基金管理人应保证其发送的注册登记数据的接口规范与基金托管人的接口规范保持一致。</w:t>
      </w:r>
    </w:p>
    <w:p>
      <w:pPr>
        <w:tabs>
          <w:tab w:val="left" w:pos="4680"/>
        </w:tabs>
        <w:snapToGrid w:val="0"/>
        <w:spacing w:line="360" w:lineRule="auto"/>
        <w:ind w:firstLine="420" w:firstLineChars="200"/>
        <w:jc w:val="left"/>
        <w:rPr>
          <w:rFonts w:ascii="宋体" w:hAnsi="宋体"/>
          <w:szCs w:val="21"/>
        </w:rPr>
      </w:pPr>
      <w:r>
        <w:rPr>
          <w:rFonts w:hint="eastAsia" w:ascii="宋体" w:hAnsi="宋体"/>
          <w:szCs w:val="21"/>
        </w:rPr>
        <w:t>5、基金注册登记清算专用账户的开立和管理</w:t>
      </w:r>
    </w:p>
    <w:p>
      <w:pPr>
        <w:tabs>
          <w:tab w:val="left" w:pos="4680"/>
        </w:tabs>
        <w:snapToGrid w:val="0"/>
        <w:spacing w:line="360" w:lineRule="auto"/>
        <w:ind w:firstLine="420" w:firstLineChars="200"/>
        <w:jc w:val="left"/>
        <w:rPr>
          <w:rFonts w:ascii="宋体" w:hAnsi="宋体"/>
          <w:szCs w:val="21"/>
        </w:rPr>
      </w:pPr>
      <w:r>
        <w:rPr>
          <w:rFonts w:hint="eastAsia" w:ascii="宋体" w:hAnsi="宋体"/>
          <w:szCs w:val="21"/>
        </w:rPr>
        <w:t>为满足申购、赎回等资金汇划的需要，基金管理人应开立用于基金申购、赎回等资金清算的基金注册登记清算专用账户。</w:t>
      </w:r>
    </w:p>
    <w:p>
      <w:pPr>
        <w:tabs>
          <w:tab w:val="left" w:pos="4680"/>
        </w:tabs>
        <w:snapToGrid w:val="0"/>
        <w:spacing w:line="360" w:lineRule="auto"/>
        <w:ind w:firstLine="420" w:firstLineChars="200"/>
        <w:jc w:val="left"/>
        <w:rPr>
          <w:rFonts w:ascii="宋体" w:hAnsi="宋体"/>
          <w:kern w:val="21"/>
          <w:szCs w:val="21"/>
        </w:rPr>
      </w:pPr>
      <w:r>
        <w:rPr>
          <w:rFonts w:hint="eastAsia" w:ascii="宋体" w:hAnsi="宋体"/>
          <w:szCs w:val="21"/>
        </w:rPr>
        <w:t>6、</w:t>
      </w:r>
      <w:r>
        <w:rPr>
          <w:rFonts w:hint="eastAsia" w:ascii="宋体" w:hAnsi="宋体"/>
          <w:kern w:val="21"/>
          <w:szCs w:val="21"/>
        </w:rPr>
        <w:t>对于基金申购过程中产生的应收资产，应由基金管理人负责与有关当事人确定到账日期，到账日基金资产没有到达基金托管人处的，基金管理人</w:t>
      </w:r>
      <w:r>
        <w:rPr>
          <w:rFonts w:hint="eastAsia" w:ascii="宋体" w:hAnsi="宋体"/>
          <w:szCs w:val="21"/>
        </w:rPr>
        <w:t>应及时</w:t>
      </w:r>
      <w:r>
        <w:rPr>
          <w:rFonts w:hint="eastAsia" w:ascii="宋体" w:hAnsi="宋体"/>
          <w:kern w:val="21"/>
          <w:szCs w:val="21"/>
        </w:rPr>
        <w:t>采取措施进行催收，由此给基金造成损失的，基金管理人应负责向有关当事人追偿基金的损失，</w:t>
      </w:r>
      <w:r>
        <w:rPr>
          <w:rFonts w:hint="eastAsia" w:ascii="宋体" w:hAnsi="宋体"/>
          <w:szCs w:val="21"/>
        </w:rPr>
        <w:t>基金托管人不承担相应责任，但应给予必要的协助</w:t>
      </w:r>
      <w:r>
        <w:rPr>
          <w:rFonts w:hint="eastAsia" w:ascii="宋体" w:hAnsi="宋体"/>
          <w:kern w:val="21"/>
          <w:szCs w:val="21"/>
        </w:rPr>
        <w:t>。</w:t>
      </w:r>
    </w:p>
    <w:p>
      <w:pPr>
        <w:tabs>
          <w:tab w:val="left" w:pos="4680"/>
        </w:tabs>
        <w:snapToGrid w:val="0"/>
        <w:spacing w:line="360" w:lineRule="auto"/>
        <w:ind w:firstLine="420" w:firstLineChars="200"/>
        <w:jc w:val="left"/>
        <w:rPr>
          <w:rFonts w:ascii="宋体" w:hAnsi="宋体"/>
          <w:szCs w:val="21"/>
        </w:rPr>
      </w:pPr>
      <w:r>
        <w:rPr>
          <w:rFonts w:hint="eastAsia" w:ascii="宋体" w:hAnsi="宋体"/>
          <w:szCs w:val="21"/>
        </w:rPr>
        <w:t>7、赎回资金的支付</w:t>
      </w:r>
    </w:p>
    <w:p>
      <w:pPr>
        <w:tabs>
          <w:tab w:val="left" w:pos="4680"/>
        </w:tabs>
        <w:snapToGrid w:val="0"/>
        <w:spacing w:line="360" w:lineRule="auto"/>
        <w:ind w:firstLine="420" w:firstLineChars="200"/>
        <w:jc w:val="left"/>
        <w:rPr>
          <w:rFonts w:ascii="宋体" w:hAnsi="宋体"/>
          <w:szCs w:val="21"/>
        </w:rPr>
      </w:pPr>
      <w:r>
        <w:rPr>
          <w:rFonts w:hint="eastAsia" w:ascii="宋体" w:hAnsi="宋体"/>
          <w:szCs w:val="21"/>
        </w:rPr>
        <w:t>基金托管人在根据基金管理人指令支付赎回款时，如托管专户中本基金有足够的资金，基金托管人应按《基金合同》和本协议的规定支付；如托管专户中本基金有足额的资金且基金托管人有足够合理的时间进行划款，而基金托管人未及时执行合法合规的指令的，责任由基金托管人承担，但不可抗力导致的情形除外。因托管专户中本基金没有足够的资金，导致基金托管人不能按时支付，基金托管人应及时通知基金管理人。如是基金管理人的原因造成，责任由基金管理人承担，基金托管人不承担垫款义务；如是除基金管理人、基金托管人外的第三方原因造成的，责任由第三方承担，基金托管人不承担垫款义务，若给基金份额持有人造成损失的，基金托管人负有配合基金管理人向第三方追偿的义务。</w:t>
      </w:r>
    </w:p>
    <w:p>
      <w:pPr>
        <w:tabs>
          <w:tab w:val="left" w:pos="4680"/>
        </w:tabs>
        <w:snapToGrid w:val="0"/>
        <w:spacing w:line="360" w:lineRule="auto"/>
        <w:ind w:firstLine="420" w:firstLineChars="200"/>
        <w:jc w:val="left"/>
        <w:rPr>
          <w:rFonts w:ascii="宋体" w:hAnsi="宋体"/>
          <w:szCs w:val="21"/>
        </w:rPr>
      </w:pPr>
      <w:r>
        <w:rPr>
          <w:rFonts w:hint="eastAsia" w:ascii="宋体" w:hAnsi="宋体"/>
          <w:szCs w:val="21"/>
        </w:rPr>
        <w:t>8、资金支付执行和责任界定</w:t>
      </w:r>
    </w:p>
    <w:p>
      <w:pPr>
        <w:tabs>
          <w:tab w:val="left" w:pos="4680"/>
        </w:tabs>
        <w:snapToGrid w:val="0"/>
        <w:spacing w:line="360" w:lineRule="auto"/>
        <w:ind w:firstLine="420" w:firstLineChars="200"/>
        <w:rPr>
          <w:rFonts w:ascii="宋体" w:hAnsi="宋体"/>
          <w:szCs w:val="21"/>
        </w:rPr>
      </w:pPr>
      <w:r>
        <w:rPr>
          <w:rFonts w:hint="eastAsia" w:ascii="宋体" w:hAnsi="宋体"/>
          <w:szCs w:val="21"/>
        </w:rPr>
        <w:t>除申购款项到达基金托管人处的基金账户需双方按约定方式对账外，净额划出、赎回资金支付时，应按照本协议相关规定执行。若本协议没有规定的按双方协商一致内容执行。</w:t>
      </w:r>
    </w:p>
    <w:p>
      <w:pPr>
        <w:tabs>
          <w:tab w:val="left" w:pos="4680"/>
        </w:tabs>
        <w:snapToGrid w:val="0"/>
        <w:spacing w:line="360" w:lineRule="auto"/>
        <w:ind w:firstLine="420" w:firstLineChars="200"/>
        <w:jc w:val="left"/>
        <w:rPr>
          <w:rFonts w:ascii="宋体" w:hAnsi="宋体"/>
          <w:szCs w:val="21"/>
        </w:rPr>
      </w:pPr>
      <w:r>
        <w:rPr>
          <w:rFonts w:hint="eastAsia" w:ascii="宋体" w:hAnsi="宋体"/>
          <w:szCs w:val="21"/>
        </w:rPr>
        <w:t>基金管理人和基金托管人应采取所有必要措施确保申购和赎回等资金在本协议相关规定的时间内划到指定账户。但由于基金管理人和基金托管人之外的第三方原因、不可抗力原因导致资金不能按时到账的，基金管理人和基金托管人不承担由此产生的责任。如因此给基金造成损失的，基金管理人应负责向第三方追偿，基金托管人有义务协助追偿。</w:t>
      </w:r>
    </w:p>
    <w:p>
      <w:pPr>
        <w:tabs>
          <w:tab w:val="left" w:pos="4680"/>
        </w:tabs>
        <w:snapToGrid w:val="0"/>
        <w:spacing w:line="360" w:lineRule="auto"/>
        <w:ind w:firstLine="420" w:firstLineChars="200"/>
        <w:jc w:val="left"/>
        <w:rPr>
          <w:rFonts w:ascii="宋体" w:hAnsi="宋体"/>
          <w:szCs w:val="21"/>
        </w:rPr>
      </w:pPr>
      <w:r>
        <w:rPr>
          <w:rFonts w:hint="eastAsia" w:ascii="宋体" w:hAnsi="宋体"/>
          <w:szCs w:val="21"/>
        </w:rPr>
        <w:t>9、暂停赎回和巨额赎回处理</w:t>
      </w:r>
    </w:p>
    <w:p>
      <w:pPr>
        <w:tabs>
          <w:tab w:val="left" w:pos="4680"/>
        </w:tabs>
        <w:snapToGrid w:val="0"/>
        <w:spacing w:line="360" w:lineRule="auto"/>
        <w:ind w:firstLine="420" w:firstLineChars="200"/>
        <w:jc w:val="left"/>
        <w:rPr>
          <w:rFonts w:ascii="宋体" w:hAnsi="宋体"/>
          <w:szCs w:val="21"/>
        </w:rPr>
      </w:pPr>
      <w:r>
        <w:rPr>
          <w:rFonts w:hint="eastAsia" w:ascii="宋体" w:hAnsi="宋体"/>
          <w:szCs w:val="21"/>
        </w:rPr>
        <w:t>基金管理人应严格按照相关法律法规以及《基金合同》的规定，对暂停赎回的情形进行相应处理，并在发生暂停赎回的当日及时以双方认可的形式通知基金托管人。基金管理人应严格按照相关法律法规以及《基金合同》的规定，对巨额赎回的情形进行相应处理，并在决定部分延期赎回的当日及时以双方认可的形式通知基金托管人。</w:t>
      </w:r>
    </w:p>
    <w:p>
      <w:pPr>
        <w:snapToGrid w:val="0"/>
        <w:spacing w:line="360" w:lineRule="auto"/>
        <w:ind w:firstLine="420" w:firstLineChars="200"/>
        <w:rPr>
          <w:rFonts w:ascii="宋体" w:hAnsi="宋体"/>
          <w:szCs w:val="21"/>
        </w:rPr>
      </w:pPr>
      <w:r>
        <w:rPr>
          <w:rFonts w:hint="eastAsia" w:ascii="宋体" w:hAnsi="宋体"/>
          <w:bCs/>
          <w:szCs w:val="21"/>
        </w:rPr>
        <w:t>（九）申购赎回资金结算</w:t>
      </w:r>
    </w:p>
    <w:p>
      <w:pPr>
        <w:tabs>
          <w:tab w:val="left" w:pos="4680"/>
        </w:tabs>
        <w:snapToGrid w:val="0"/>
        <w:spacing w:line="360" w:lineRule="auto"/>
        <w:ind w:firstLine="420" w:firstLineChars="200"/>
        <w:rPr>
          <w:rFonts w:ascii="宋体" w:hAnsi="宋体"/>
          <w:szCs w:val="21"/>
        </w:rPr>
      </w:pPr>
      <w:r>
        <w:rPr>
          <w:rFonts w:hint="eastAsia" w:ascii="宋体" w:hAnsi="宋体"/>
          <w:szCs w:val="21"/>
        </w:rPr>
        <w:t>T+1日前（含T＋1日，T日为申请日），基金管理人负责根据T日投资人申购、赎回基金的确认数据汇总传输给基金托管人。基金管理人和基金托管人据此进行申购的基金会计处理。</w:t>
      </w:r>
    </w:p>
    <w:p>
      <w:pPr>
        <w:tabs>
          <w:tab w:val="left" w:pos="4680"/>
        </w:tabs>
        <w:snapToGrid w:val="0"/>
        <w:spacing w:line="360" w:lineRule="auto"/>
        <w:ind w:firstLine="420" w:firstLineChars="200"/>
        <w:rPr>
          <w:rFonts w:ascii="宋体" w:hAnsi="宋体"/>
          <w:szCs w:val="21"/>
        </w:rPr>
      </w:pPr>
      <w:r>
        <w:rPr>
          <w:rFonts w:hint="eastAsia" w:ascii="宋体" w:hAnsi="宋体"/>
          <w:szCs w:val="21"/>
        </w:rPr>
        <w:t>基金托管账户与“基金清算账户”间的资金结算遵循“全额清算、净额交收”的原则，每日按照托管账户应收资金与应付资金的差额来确定当日托管账户净应收额或净应付额，以此确定资金交收额。如果当日基金为净应收款，基金管理人最晚不迟于款项交收日当日15：00前将资金划往资产托管专户。基金托管人应及时查收资金是否到账，对于未准时到账的资金，应及时通知基金管理人划付。如果当日基金为净应付款，基金托管人应根据基金管理人的指令及时进行划付。在发生巨额赎回或基金合同载明的其他暂停赎回或延缓支付赎回款项的情形时，款项的支付办法按照基金合同的有关条款处理。当存在托管账户净应付额时，如基金银行账户有足够的资金，基金托管人应按时拨付；因基金银行账户没有足够的资金，导致基金托管人不能按时拨付，基金托管人应及时通知基金管理人，如系基金管理人的原因造成，责任由基金管理人承担，基金托管人不承担垫款义务。</w:t>
      </w:r>
    </w:p>
    <w:p>
      <w:pPr>
        <w:snapToGrid w:val="0"/>
        <w:spacing w:line="360" w:lineRule="auto"/>
        <w:ind w:firstLine="420" w:firstLineChars="200"/>
        <w:rPr>
          <w:rFonts w:ascii="宋体" w:hAnsi="宋体"/>
          <w:szCs w:val="21"/>
        </w:rPr>
      </w:pPr>
      <w:r>
        <w:rPr>
          <w:rFonts w:hint="eastAsia" w:ascii="宋体" w:hAnsi="宋体"/>
          <w:bCs/>
          <w:szCs w:val="21"/>
        </w:rPr>
        <w:t>（十）基金转换</w:t>
      </w:r>
    </w:p>
    <w:p>
      <w:pPr>
        <w:tabs>
          <w:tab w:val="left" w:pos="4680"/>
        </w:tabs>
        <w:snapToGrid w:val="0"/>
        <w:spacing w:line="360" w:lineRule="auto"/>
        <w:ind w:firstLine="420" w:firstLineChars="200"/>
        <w:rPr>
          <w:rFonts w:ascii="宋体" w:hAnsi="宋体"/>
          <w:szCs w:val="21"/>
        </w:rPr>
      </w:pPr>
      <w:r>
        <w:rPr>
          <w:rFonts w:hint="eastAsia" w:ascii="宋体" w:hAnsi="宋体"/>
          <w:szCs w:val="21"/>
        </w:rPr>
        <w:t>基金管理人与基金托管人按照相关法律法规、《基金合同》以及本协议的规定办理基金转换。</w:t>
      </w:r>
    </w:p>
    <w:p>
      <w:pPr>
        <w:spacing w:before="312" w:beforeLines="100" w:after="156" w:afterLines="50" w:line="240" w:lineRule="atLeast"/>
        <w:jc w:val="center"/>
        <w:outlineLvl w:val="0"/>
        <w:rPr>
          <w:rFonts w:ascii="宋体" w:hAnsi="宋体"/>
          <w:b/>
          <w:sz w:val="24"/>
        </w:rPr>
      </w:pPr>
      <w:bookmarkStart w:id="37" w:name="_Toc131682147"/>
      <w:bookmarkStart w:id="38" w:name="_Toc382819104"/>
      <w:r>
        <w:rPr>
          <w:rFonts w:hint="eastAsia" w:ascii="宋体" w:hAnsi="宋体"/>
          <w:b/>
          <w:sz w:val="24"/>
        </w:rPr>
        <w:t>七、基金资产净值计算和会计核算</w:t>
      </w:r>
      <w:bookmarkEnd w:id="37"/>
    </w:p>
    <w:p>
      <w:pPr>
        <w:snapToGrid w:val="0"/>
        <w:spacing w:line="360" w:lineRule="auto"/>
        <w:ind w:firstLine="420" w:firstLineChars="200"/>
        <w:rPr>
          <w:rFonts w:ascii="宋体" w:hAnsi="宋体"/>
          <w:szCs w:val="21"/>
        </w:rPr>
      </w:pPr>
      <w:r>
        <w:rPr>
          <w:rFonts w:hint="eastAsia" w:ascii="宋体" w:hAnsi="宋体"/>
          <w:bCs/>
          <w:szCs w:val="21"/>
        </w:rPr>
        <w:t>（一）基金资产净值的计算</w:t>
      </w:r>
      <w:r>
        <w:rPr>
          <w:rFonts w:hint="eastAsia" w:ascii="宋体" w:hAnsi="宋体"/>
          <w:szCs w:val="21"/>
        </w:rPr>
        <w:t>、</w:t>
      </w:r>
      <w:r>
        <w:rPr>
          <w:rFonts w:hint="eastAsia" w:ascii="宋体" w:hAnsi="宋体"/>
          <w:bCs/>
          <w:szCs w:val="21"/>
        </w:rPr>
        <w:t>复核的时间和程序</w:t>
      </w:r>
      <w:bookmarkEnd w:id="38"/>
    </w:p>
    <w:p>
      <w:pPr>
        <w:snapToGrid w:val="0"/>
        <w:spacing w:line="360" w:lineRule="auto"/>
        <w:ind w:right="28" w:firstLine="420" w:firstLineChars="200"/>
        <w:rPr>
          <w:rFonts w:ascii="宋体" w:hAnsi="宋体"/>
          <w:szCs w:val="21"/>
        </w:rPr>
      </w:pPr>
      <w:r>
        <w:rPr>
          <w:rFonts w:hint="eastAsia" w:ascii="宋体" w:hAnsi="宋体"/>
          <w:szCs w:val="21"/>
        </w:rPr>
        <w:t>1、</w:t>
      </w:r>
      <w:r>
        <w:rPr>
          <w:rFonts w:hint="eastAsia"/>
          <w:bCs/>
          <w:szCs w:val="21"/>
        </w:rPr>
        <w:t>基金资产净值是指基金资产总值减去基金负债后的价值</w:t>
      </w:r>
      <w:r>
        <w:rPr>
          <w:rFonts w:hint="eastAsia" w:ascii="宋体" w:hAnsi="宋体"/>
          <w:szCs w:val="21"/>
        </w:rPr>
        <w:t>。</w:t>
      </w:r>
      <w:r>
        <w:rPr>
          <w:rFonts w:hint="eastAsia"/>
          <w:bCs/>
          <w:szCs w:val="21"/>
        </w:rPr>
        <w:t>各类基金份额净值是按照每个工作日闭市后，各类基金资产净值除以当日相应类别基金份额的余额数量计算，均精确到</w:t>
      </w:r>
      <w:r>
        <w:rPr>
          <w:bCs/>
          <w:szCs w:val="21"/>
        </w:rPr>
        <w:t>0.0001</w:t>
      </w:r>
      <w:r>
        <w:rPr>
          <w:rFonts w:hint="eastAsia"/>
          <w:bCs/>
          <w:szCs w:val="21"/>
        </w:rPr>
        <w:t>元，小数点后第</w:t>
      </w:r>
      <w:r>
        <w:rPr>
          <w:bCs/>
          <w:szCs w:val="21"/>
        </w:rPr>
        <w:t>5</w:t>
      </w:r>
      <w:r>
        <w:rPr>
          <w:rFonts w:hint="eastAsia"/>
          <w:bCs/>
          <w:szCs w:val="21"/>
        </w:rPr>
        <w:t>位四舍五入，由此产生的误差计入基金财产。基金管理人可以设立大额赎回情形下的净值精度应急调整机制。国家另有规定的，从其规定。</w:t>
      </w:r>
    </w:p>
    <w:p>
      <w:pPr>
        <w:snapToGrid w:val="0"/>
        <w:spacing w:line="360" w:lineRule="auto"/>
        <w:ind w:right="28" w:firstLine="420" w:firstLineChars="200"/>
      </w:pPr>
      <w:r>
        <w:rPr>
          <w:rFonts w:hint="eastAsia" w:ascii="宋体" w:hAnsi="宋体"/>
          <w:szCs w:val="21"/>
        </w:rPr>
        <w:t>2、</w:t>
      </w:r>
      <w:r>
        <w:t>根据有关法律法规，基金</w:t>
      </w:r>
      <w:r>
        <w:rPr>
          <w:rFonts w:hint="eastAsia"/>
        </w:rPr>
        <w:t>资产净值</w:t>
      </w:r>
      <w:r>
        <w:t>计算和基金会计核算的义务由基金管理人承担。本基金的基金会计责任方由基金管理人担任，基金托管人承担复核责任，因此，就与本基金有关的会计问题，如经相关各方在平等基础上充分讨论后，仍无法达成一致意见的，按照基金管理人对基金净值信息的计算结果对外予以公布。基金管理人应每个</w:t>
      </w:r>
      <w:r>
        <w:rPr>
          <w:rFonts w:hint="eastAsia"/>
        </w:rPr>
        <w:t>工作</w:t>
      </w:r>
      <w:r>
        <w:t>日对基金资产估值</w:t>
      </w:r>
      <w:r>
        <w:rPr>
          <w:rFonts w:hint="eastAsia"/>
        </w:rPr>
        <w:t>，</w:t>
      </w:r>
      <w:r>
        <w:t>但基金管理人根据法律法规或基金合同的规定暂停估值时除外。基金管理人每个</w:t>
      </w:r>
      <w:r>
        <w:rPr>
          <w:rFonts w:hint="eastAsia"/>
        </w:rPr>
        <w:t>工作</w:t>
      </w:r>
      <w:r>
        <w:t>日对基金资产估值后，将</w:t>
      </w:r>
      <w:r>
        <w:rPr>
          <w:rFonts w:hint="eastAsia"/>
        </w:rPr>
        <w:t>各类</w:t>
      </w:r>
      <w:r>
        <w:t>基金份额净值结果发送基金托管人，经基金托管人复核无误后，由基金管理人按规定对外公布。</w:t>
      </w:r>
    </w:p>
    <w:p>
      <w:pPr>
        <w:tabs>
          <w:tab w:val="left" w:pos="900"/>
        </w:tabs>
        <w:snapToGrid w:val="0"/>
        <w:spacing w:line="360" w:lineRule="auto"/>
        <w:ind w:right="28" w:firstLine="420" w:firstLineChars="200"/>
        <w:rPr>
          <w:rFonts w:ascii="宋体" w:hAnsi="宋体"/>
          <w:szCs w:val="21"/>
        </w:rPr>
      </w:pPr>
      <w:r>
        <w:rPr>
          <w:rFonts w:hint="eastAsia" w:ascii="宋体" w:hAnsi="宋体"/>
          <w:szCs w:val="21"/>
        </w:rPr>
        <w:t>法律法规以及监管部门有强制规定的，从其规定。如有新增事项，按国家最新规定估值。</w:t>
      </w:r>
    </w:p>
    <w:p>
      <w:pPr>
        <w:snapToGrid w:val="0"/>
        <w:spacing w:line="360" w:lineRule="auto"/>
        <w:ind w:firstLine="420" w:firstLineChars="200"/>
        <w:rPr>
          <w:rFonts w:ascii="宋体" w:hAnsi="宋体"/>
          <w:szCs w:val="21"/>
        </w:rPr>
      </w:pPr>
      <w:bookmarkStart w:id="39" w:name="_Toc382819105"/>
      <w:r>
        <w:rPr>
          <w:rFonts w:hint="eastAsia" w:ascii="宋体" w:hAnsi="宋体"/>
          <w:bCs/>
          <w:szCs w:val="21"/>
        </w:rPr>
        <w:t>（二）基金资产估值</w:t>
      </w:r>
      <w:bookmarkEnd w:id="39"/>
    </w:p>
    <w:p>
      <w:pPr>
        <w:snapToGrid w:val="0"/>
        <w:spacing w:line="360" w:lineRule="auto"/>
        <w:ind w:right="28" w:firstLine="420" w:firstLineChars="200"/>
        <w:rPr>
          <w:rFonts w:ascii="宋体" w:hAnsi="宋体"/>
          <w:szCs w:val="21"/>
        </w:rPr>
      </w:pPr>
      <w:r>
        <w:rPr>
          <w:rFonts w:hint="eastAsia" w:ascii="宋体" w:hAnsi="宋体"/>
          <w:szCs w:val="21"/>
        </w:rPr>
        <w:t>估值原则和估值方法应符合《基金合同》、《证券投资基金会计核算业务指引》及其他法律法规的规定的约定。</w:t>
      </w:r>
    </w:p>
    <w:p>
      <w:pPr>
        <w:snapToGrid w:val="0"/>
        <w:spacing w:line="360" w:lineRule="auto"/>
        <w:ind w:right="28" w:firstLine="420" w:firstLineChars="200"/>
        <w:rPr>
          <w:rFonts w:ascii="宋体" w:hAnsi="宋体"/>
          <w:szCs w:val="21"/>
        </w:rPr>
      </w:pPr>
      <w:r>
        <w:rPr>
          <w:rFonts w:hint="eastAsia" w:ascii="宋体" w:hAnsi="宋体"/>
          <w:szCs w:val="21"/>
        </w:rPr>
        <w:t>当相关法律法规或《基金合同》规定的估值方法不能客观反映基金财产公允价值时，基金管理人可根据具体情况，并与基金托管人商定后，按最能反映公允价值的价格估值。</w:t>
      </w:r>
    </w:p>
    <w:p>
      <w:pPr>
        <w:snapToGrid w:val="0"/>
        <w:spacing w:line="360" w:lineRule="auto"/>
        <w:ind w:firstLine="420" w:firstLineChars="200"/>
        <w:rPr>
          <w:rFonts w:ascii="宋体" w:hAnsi="宋体"/>
          <w:bCs/>
          <w:szCs w:val="21"/>
        </w:rPr>
      </w:pPr>
      <w:bookmarkStart w:id="40" w:name="_Toc382819106"/>
      <w:r>
        <w:rPr>
          <w:rFonts w:hint="eastAsia" w:ascii="宋体" w:hAnsi="宋体"/>
          <w:bCs/>
          <w:szCs w:val="21"/>
        </w:rPr>
        <w:t>（三）估值错误处理</w:t>
      </w:r>
      <w:bookmarkEnd w:id="40"/>
    </w:p>
    <w:p>
      <w:pPr>
        <w:snapToGrid w:val="0"/>
        <w:spacing w:line="360" w:lineRule="auto"/>
        <w:ind w:firstLine="420" w:firstLineChars="200"/>
        <w:rPr>
          <w:rFonts w:ascii="宋体" w:hAnsi="宋体"/>
          <w:bCs/>
          <w:szCs w:val="21"/>
        </w:rPr>
      </w:pPr>
      <w:bookmarkStart w:id="41" w:name="_Toc382819107"/>
      <w:r>
        <w:rPr>
          <w:rFonts w:hint="eastAsia"/>
          <w:szCs w:val="21"/>
        </w:rPr>
        <w:t>基金管理人及基金托管人应当按照《基金合同》的约定处理</w:t>
      </w:r>
      <w:r>
        <w:rPr>
          <w:rFonts w:hint="eastAsia" w:ascii="宋体" w:hAnsi="宋体"/>
          <w:bCs/>
          <w:szCs w:val="21"/>
        </w:rPr>
        <w:t>估值差错</w:t>
      </w:r>
      <w:r>
        <w:rPr>
          <w:rFonts w:hint="eastAsia"/>
          <w:szCs w:val="21"/>
        </w:rPr>
        <w:t>。</w:t>
      </w:r>
    </w:p>
    <w:bookmarkEnd w:id="41"/>
    <w:p>
      <w:pPr>
        <w:snapToGrid w:val="0"/>
        <w:spacing w:line="360" w:lineRule="auto"/>
        <w:ind w:firstLine="420" w:firstLineChars="200"/>
        <w:rPr>
          <w:rFonts w:ascii="宋体" w:hAnsi="宋体"/>
          <w:b/>
          <w:bCs/>
          <w:szCs w:val="21"/>
        </w:rPr>
      </w:pPr>
      <w:bookmarkStart w:id="42" w:name="_Toc382819113"/>
      <w:r>
        <w:rPr>
          <w:rFonts w:hint="eastAsia" w:ascii="宋体" w:hAnsi="宋体"/>
          <w:bCs/>
          <w:szCs w:val="21"/>
        </w:rPr>
        <w:t>（四）暂停估值的情形</w:t>
      </w:r>
      <w:bookmarkEnd w:id="42"/>
      <w:bookmarkStart w:id="43" w:name="_Toc382819114"/>
    </w:p>
    <w:p>
      <w:pPr>
        <w:snapToGrid w:val="0"/>
        <w:spacing w:line="360" w:lineRule="auto"/>
        <w:ind w:firstLine="420" w:firstLineChars="200"/>
        <w:rPr>
          <w:rFonts w:ascii="宋体" w:hAnsi="宋体"/>
          <w:bCs/>
          <w:szCs w:val="21"/>
        </w:rPr>
      </w:pPr>
      <w:r>
        <w:rPr>
          <w:rFonts w:hint="eastAsia" w:ascii="宋体" w:hAnsi="宋体"/>
          <w:bCs/>
          <w:szCs w:val="21"/>
        </w:rPr>
        <w:t>1、基金投资所涉及的证券交易市场、期货交易市场或外汇市场遇法定节假日或因其他原因暂停营业时；</w:t>
      </w:r>
    </w:p>
    <w:p>
      <w:pPr>
        <w:snapToGrid w:val="0"/>
        <w:spacing w:line="360" w:lineRule="auto"/>
        <w:ind w:firstLine="420" w:firstLineChars="200"/>
        <w:rPr>
          <w:rFonts w:ascii="宋体" w:hAnsi="宋体"/>
          <w:bCs/>
          <w:szCs w:val="21"/>
        </w:rPr>
      </w:pPr>
      <w:r>
        <w:rPr>
          <w:rFonts w:hint="eastAsia" w:ascii="宋体" w:hAnsi="宋体"/>
          <w:bCs/>
          <w:szCs w:val="21"/>
        </w:rPr>
        <w:t>2、因不可抗力致使基金管理人、基金托管人无法准确评估基金资产价值时；</w:t>
      </w:r>
    </w:p>
    <w:p>
      <w:pPr>
        <w:snapToGrid w:val="0"/>
        <w:spacing w:line="360" w:lineRule="auto"/>
        <w:ind w:firstLine="420" w:firstLineChars="200"/>
        <w:rPr>
          <w:rFonts w:ascii="宋体" w:hAnsi="宋体"/>
          <w:bCs/>
          <w:szCs w:val="21"/>
        </w:rPr>
      </w:pPr>
      <w:r>
        <w:rPr>
          <w:rFonts w:hint="eastAsia" w:ascii="宋体" w:hAnsi="宋体"/>
          <w:bCs/>
          <w:szCs w:val="21"/>
        </w:rPr>
        <w:t>3、当特定资产占前一估值日基金资产净值50%以上的，经与基金托管人协商确认后，基金管理人应当暂停估值；</w:t>
      </w:r>
    </w:p>
    <w:p>
      <w:pPr>
        <w:snapToGrid w:val="0"/>
        <w:spacing w:line="360" w:lineRule="auto"/>
        <w:ind w:firstLine="420" w:firstLineChars="200"/>
        <w:rPr>
          <w:rFonts w:ascii="宋体" w:hAnsi="宋体"/>
          <w:bCs/>
          <w:szCs w:val="21"/>
        </w:rPr>
      </w:pPr>
      <w:r>
        <w:rPr>
          <w:rFonts w:hint="eastAsia" w:ascii="宋体" w:hAnsi="宋体"/>
          <w:bCs/>
          <w:szCs w:val="21"/>
        </w:rPr>
        <w:t>4、法律法规规定、中国证监会和基金合同认定的其它情形。</w:t>
      </w:r>
    </w:p>
    <w:bookmarkEnd w:id="43"/>
    <w:p>
      <w:pPr>
        <w:snapToGrid w:val="0"/>
        <w:spacing w:line="360" w:lineRule="auto"/>
        <w:ind w:firstLine="420" w:firstLineChars="200"/>
        <w:rPr>
          <w:rFonts w:ascii="宋体" w:hAnsi="宋体"/>
          <w:bCs/>
          <w:szCs w:val="21"/>
        </w:rPr>
      </w:pPr>
      <w:bookmarkStart w:id="44" w:name="_Toc382819116"/>
      <w:r>
        <w:rPr>
          <w:rFonts w:hint="eastAsia" w:ascii="宋体" w:hAnsi="宋体"/>
          <w:bCs/>
          <w:szCs w:val="21"/>
        </w:rPr>
        <w:t>（五）基金账册的建立</w:t>
      </w:r>
      <w:bookmarkEnd w:id="44"/>
    </w:p>
    <w:p>
      <w:pPr>
        <w:snapToGrid w:val="0"/>
        <w:spacing w:line="360" w:lineRule="auto"/>
        <w:ind w:firstLine="420" w:firstLineChars="200"/>
        <w:rPr>
          <w:rFonts w:ascii="宋体" w:hAnsi="宋体"/>
          <w:szCs w:val="21"/>
        </w:rPr>
      </w:pPr>
      <w:r>
        <w:rPr>
          <w:rFonts w:hint="eastAsia" w:ascii="宋体" w:hAnsi="宋体"/>
          <w:szCs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pPr>
        <w:snapToGrid w:val="0"/>
        <w:spacing w:line="360" w:lineRule="auto"/>
        <w:ind w:firstLine="420" w:firstLineChars="200"/>
        <w:rPr>
          <w:rFonts w:ascii="宋体" w:hAnsi="宋体"/>
          <w:szCs w:val="21"/>
        </w:rPr>
      </w:pPr>
      <w:r>
        <w:rPr>
          <w:rFonts w:hint="eastAsia" w:ascii="宋体" w:hAnsi="宋体"/>
          <w:szCs w:val="21"/>
        </w:rPr>
        <w:t>经对账发现相关各方的账目存在不符的，基金管理人和基金托管人必须及时查明原因并纠正，保证相关各方平行登录的账册记录完全相符。若当日核对不符，暂时无法查找到错账的原因而影响到基金净值信息的计算和公告的，以基金管理人的账册为准。</w:t>
      </w:r>
    </w:p>
    <w:p>
      <w:pPr>
        <w:snapToGrid w:val="0"/>
        <w:spacing w:line="360" w:lineRule="auto"/>
        <w:ind w:firstLine="420" w:firstLineChars="200"/>
        <w:rPr>
          <w:rFonts w:ascii="宋体" w:hAnsi="宋体"/>
          <w:szCs w:val="21"/>
        </w:rPr>
      </w:pPr>
      <w:bookmarkStart w:id="45" w:name="_Toc382819117"/>
      <w:r>
        <w:rPr>
          <w:rFonts w:hint="eastAsia" w:ascii="宋体" w:hAnsi="宋体"/>
          <w:bCs/>
          <w:szCs w:val="21"/>
        </w:rPr>
        <w:t>（六）基金定期报告的编制和复核</w:t>
      </w:r>
      <w:bookmarkEnd w:id="45"/>
    </w:p>
    <w:p>
      <w:pPr>
        <w:snapToGrid w:val="0"/>
        <w:spacing w:line="360" w:lineRule="auto"/>
        <w:ind w:firstLine="420" w:firstLineChars="200"/>
        <w:rPr>
          <w:rFonts w:ascii="宋体" w:hAnsi="宋体"/>
          <w:szCs w:val="21"/>
        </w:rPr>
      </w:pPr>
      <w:r>
        <w:rPr>
          <w:rFonts w:hint="eastAsia" w:ascii="宋体" w:hAnsi="宋体"/>
          <w:szCs w:val="21"/>
        </w:rPr>
        <w:t>1、基金财务报表由基金管理人和基金托管人每月分别独立编制。月度报表的编制，应于每月终了后5个工作日内完成。</w:t>
      </w:r>
    </w:p>
    <w:p>
      <w:pPr>
        <w:snapToGrid w:val="0"/>
        <w:spacing w:line="360" w:lineRule="auto"/>
        <w:ind w:firstLine="420" w:firstLineChars="200"/>
        <w:rPr>
          <w:rFonts w:ascii="宋体" w:hAnsi="宋体"/>
          <w:szCs w:val="21"/>
        </w:rPr>
      </w:pPr>
      <w:r>
        <w:rPr>
          <w:rFonts w:hint="eastAsia" w:ascii="宋体" w:hAnsi="宋体"/>
          <w:szCs w:val="21"/>
        </w:rPr>
        <w:t>2、</w:t>
      </w:r>
      <w:r>
        <w:rPr>
          <w:bCs/>
          <w:szCs w:val="21"/>
        </w:rPr>
        <w:t>《基金合同》生效后，</w:t>
      </w:r>
      <w:r>
        <w:rPr>
          <w:rFonts w:hint="eastAsia"/>
          <w:bCs/>
          <w:szCs w:val="21"/>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Pr>
          <w:rFonts w:hint="eastAsia" w:ascii="宋体" w:hAnsi="宋体" w:cs="Arial"/>
          <w:szCs w:val="21"/>
        </w:rPr>
        <w:t>基金管理人在季度结束之日起15个工作日内完成季度报告编制并公告；</w:t>
      </w:r>
      <w:r>
        <w:rPr>
          <w:rFonts w:hint="eastAsia"/>
          <w:bCs/>
          <w:szCs w:val="21"/>
        </w:rPr>
        <w:t>在上半年结束之日起两个月内</w:t>
      </w:r>
      <w:r>
        <w:rPr>
          <w:rFonts w:hint="eastAsia" w:ascii="宋体" w:hAnsi="宋体" w:cs="Arial"/>
          <w:szCs w:val="21"/>
        </w:rPr>
        <w:t>完成中期报告编制并公告；</w:t>
      </w:r>
      <w:r>
        <w:rPr>
          <w:rFonts w:hint="eastAsia"/>
          <w:bCs/>
          <w:szCs w:val="21"/>
        </w:rPr>
        <w:t>在每年结束之日起三个月内</w:t>
      </w:r>
      <w:r>
        <w:rPr>
          <w:rFonts w:hint="eastAsia" w:ascii="宋体" w:hAnsi="宋体" w:cs="Arial"/>
          <w:szCs w:val="21"/>
        </w:rPr>
        <w:t>完成年度报告编制并公告。</w:t>
      </w:r>
      <w:r>
        <w:rPr>
          <w:rFonts w:hint="eastAsia" w:ascii="宋体" w:hAnsi="宋体"/>
          <w:szCs w:val="21"/>
        </w:rPr>
        <w:t>基金合同生效不足两个月的，基金管理人可以不编制当期季度报告、中期报告或者年度报告。</w:t>
      </w:r>
    </w:p>
    <w:p>
      <w:pPr>
        <w:snapToGrid w:val="0"/>
        <w:spacing w:line="360" w:lineRule="auto"/>
        <w:ind w:firstLine="420" w:firstLineChars="200"/>
        <w:rPr>
          <w:rFonts w:ascii="宋体" w:hAnsi="宋体"/>
          <w:szCs w:val="21"/>
        </w:rPr>
      </w:pPr>
      <w:r>
        <w:rPr>
          <w:rFonts w:hint="eastAsia" w:ascii="宋体" w:hAnsi="宋体"/>
          <w:szCs w:val="21"/>
        </w:rPr>
        <w:t>3、基金管理人在月度报表完成当日，以电子邮件方式及其他双方认可的方式将有关报告提供基金托管人复核，基金托管人在3个工作日内进行复核，并将复核结果及时书面通知基金管理人或进行电子确认。基金管理人在季度报告完成当日，将有关报告提供基金托管人复核，基金托管人在收到后7个工作日内进行复核，并将复核结果书面通知基金管理人或进行电子确认。基金管理人在中期报告完成当日，将有关报告提供基金托管人复核，基金托管人在收到后30日内进行复核，并将复核结果书面通知基金管理人或进行电子确认。基金管理人在年度报告完成当日，将有关报告提供基金托管人复核，基金托管人在收到后45日内复核，并将复核结果书面通知基金管理人或进行电子确认。</w:t>
      </w:r>
    </w:p>
    <w:p>
      <w:pPr>
        <w:snapToGrid w:val="0"/>
        <w:spacing w:line="360" w:lineRule="auto"/>
        <w:ind w:firstLine="420" w:firstLineChars="200"/>
        <w:rPr>
          <w:rFonts w:ascii="宋体" w:hAnsi="宋体"/>
          <w:kern w:val="44"/>
          <w:szCs w:val="21"/>
        </w:rPr>
      </w:pPr>
      <w:r>
        <w:rPr>
          <w:rFonts w:hint="eastAsia" w:ascii="宋体" w:hAnsi="宋体"/>
          <w:szCs w:val="21"/>
        </w:rPr>
        <w:t>4、基金托管人在复核过程中，发现相关各方的报表存在不符时，基金管理人和基金托管人应共同查明原因，进行调整，调整以相关各方认可的账务处理方式为准。核对无误后，基金托管人在基金管理人提供的报告上加盖印鉴或者出具加盖托管业务部门业务章的复核意见书或进行电子确认，复核意见书由相关各方各自留存一份。</w:t>
      </w:r>
      <w:r>
        <w:rPr>
          <w:rFonts w:hint="eastAsia" w:ascii="宋体" w:hAnsi="宋体"/>
          <w:kern w:val="44"/>
          <w:szCs w:val="21"/>
        </w:rPr>
        <w:t>如果基金管理人与基金托管人不能于应当发布公告之日之前就相关报表达成一致，基金管理人有权按照其编制的报表对外发布公告，基金托管人有权就相关情况报中国证监会备案。</w:t>
      </w:r>
    </w:p>
    <w:p>
      <w:pPr>
        <w:snapToGrid w:val="0"/>
        <w:spacing w:line="360" w:lineRule="auto"/>
        <w:ind w:firstLine="420" w:firstLineChars="200"/>
        <w:rPr>
          <w:rFonts w:ascii="宋体" w:hAnsi="宋体"/>
          <w:szCs w:val="21"/>
        </w:rPr>
      </w:pPr>
      <w:r>
        <w:rPr>
          <w:rFonts w:hint="eastAsia" w:ascii="宋体" w:hAnsi="宋体"/>
          <w:szCs w:val="21"/>
        </w:rPr>
        <w:t>5、基金托管人在对财务会计报告、季度报告、中期报告或年度报告复核完毕后，需向基金管理人进行书面或电子确认，以备有权机构对相关文件审核时提示。</w:t>
      </w:r>
    </w:p>
    <w:p>
      <w:pPr>
        <w:spacing w:before="156" w:beforeLines="50" w:after="156" w:afterLines="50" w:line="500" w:lineRule="atLeast"/>
        <w:jc w:val="center"/>
        <w:outlineLvl w:val="0"/>
        <w:rPr>
          <w:rFonts w:ascii="宋体" w:hAnsi="宋体"/>
          <w:b/>
          <w:sz w:val="24"/>
        </w:rPr>
      </w:pPr>
      <w:bookmarkStart w:id="46" w:name="_Toc131682148"/>
      <w:r>
        <w:rPr>
          <w:rFonts w:hint="eastAsia" w:ascii="宋体" w:hAnsi="宋体"/>
          <w:b/>
          <w:sz w:val="24"/>
        </w:rPr>
        <w:t>八、基金收益分配</w:t>
      </w:r>
      <w:bookmarkEnd w:id="46"/>
    </w:p>
    <w:p>
      <w:pPr>
        <w:spacing w:line="360" w:lineRule="auto"/>
        <w:ind w:firstLine="472" w:firstLineChars="225"/>
        <w:rPr>
          <w:rFonts w:ascii="宋体" w:hAnsi="宋体"/>
          <w:szCs w:val="21"/>
        </w:rPr>
      </w:pPr>
      <w:r>
        <w:rPr>
          <w:rFonts w:hint="eastAsia" w:ascii="宋体" w:hAnsi="宋体"/>
          <w:szCs w:val="21"/>
        </w:rPr>
        <w:t>收益分配应该符合《基金合同》关于收益分配原则的规定。</w:t>
      </w:r>
      <w:bookmarkStart w:id="47" w:name="_Toc382819120"/>
    </w:p>
    <w:bookmarkEnd w:id="47"/>
    <w:p>
      <w:pPr>
        <w:spacing w:before="156" w:beforeLines="50" w:after="156" w:afterLines="50" w:line="500" w:lineRule="atLeast"/>
        <w:jc w:val="center"/>
        <w:outlineLvl w:val="0"/>
        <w:rPr>
          <w:rFonts w:ascii="宋体" w:hAnsi="宋体"/>
          <w:b/>
          <w:sz w:val="24"/>
        </w:rPr>
      </w:pPr>
      <w:bookmarkStart w:id="48" w:name="_Toc131682149"/>
      <w:bookmarkStart w:id="49" w:name="_Toc382819122"/>
      <w:r>
        <w:rPr>
          <w:rFonts w:hint="eastAsia" w:ascii="宋体" w:hAnsi="宋体"/>
          <w:b/>
          <w:sz w:val="24"/>
        </w:rPr>
        <w:t>九、信息披露</w:t>
      </w:r>
      <w:bookmarkEnd w:id="48"/>
    </w:p>
    <w:p>
      <w:pPr>
        <w:snapToGrid w:val="0"/>
        <w:spacing w:line="360" w:lineRule="auto"/>
        <w:ind w:firstLine="420" w:firstLineChars="200"/>
        <w:rPr>
          <w:rFonts w:ascii="宋体" w:hAnsi="宋体" w:cs="Arial"/>
          <w:kern w:val="0"/>
          <w:szCs w:val="21"/>
        </w:rPr>
      </w:pPr>
      <w:r>
        <w:rPr>
          <w:rFonts w:hint="eastAsia" w:ascii="宋体" w:hAnsi="宋体"/>
          <w:szCs w:val="21"/>
        </w:rPr>
        <w:t>（一）</w:t>
      </w:r>
      <w:r>
        <w:rPr>
          <w:rFonts w:hint="eastAsia" w:ascii="宋体" w:hAnsi="宋体" w:cs="Arial"/>
          <w:kern w:val="0"/>
          <w:szCs w:val="21"/>
        </w:rPr>
        <w:t>保密义务</w:t>
      </w:r>
    </w:p>
    <w:p>
      <w:pPr>
        <w:snapToGrid w:val="0"/>
        <w:spacing w:line="360" w:lineRule="auto"/>
        <w:ind w:right="28" w:firstLine="420" w:firstLineChars="200"/>
        <w:rPr>
          <w:rFonts w:ascii="宋体" w:hAnsi="宋体"/>
          <w:szCs w:val="21"/>
        </w:rPr>
      </w:pPr>
      <w:r>
        <w:rPr>
          <w:rFonts w:hint="eastAsia" w:ascii="宋体" w:hAnsi="宋体"/>
          <w:szCs w:val="21"/>
        </w:rPr>
        <w:t>除按照《基金法》、《信息披露办法》、《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pPr>
        <w:pStyle w:val="12"/>
        <w:snapToGrid w:val="0"/>
        <w:ind w:firstLine="420" w:firstLineChars="200"/>
        <w:rPr>
          <w:rFonts w:ascii="宋体" w:hAnsi="宋体"/>
          <w:szCs w:val="21"/>
        </w:rPr>
      </w:pPr>
      <w:r>
        <w:rPr>
          <w:rFonts w:hint="eastAsia" w:ascii="宋体" w:hAnsi="宋体"/>
          <w:szCs w:val="21"/>
        </w:rPr>
        <w:t>1、非因基金管理人和基金托管人的原因导致保密信息被披露、泄露或公开；</w:t>
      </w:r>
    </w:p>
    <w:p>
      <w:pPr>
        <w:snapToGrid w:val="0"/>
        <w:spacing w:line="360" w:lineRule="auto"/>
        <w:ind w:firstLine="420" w:firstLineChars="200"/>
        <w:rPr>
          <w:rFonts w:ascii="宋体" w:hAnsi="宋体"/>
          <w:szCs w:val="21"/>
        </w:rPr>
      </w:pPr>
      <w:r>
        <w:rPr>
          <w:rFonts w:hint="eastAsia" w:ascii="宋体" w:hAnsi="宋体"/>
          <w:szCs w:val="21"/>
        </w:rPr>
        <w:t>2、基金管理人和基金托管人为遵守和服从法院判决或裁定、仲裁裁决或中国证监会等监管机构的命令、决定所做出的信息披露或公开；</w:t>
      </w:r>
    </w:p>
    <w:p>
      <w:pPr>
        <w:snapToGrid w:val="0"/>
        <w:spacing w:line="360" w:lineRule="auto"/>
        <w:ind w:firstLine="420" w:firstLineChars="200"/>
        <w:rPr>
          <w:rFonts w:ascii="宋体" w:hAnsi="宋体"/>
          <w:szCs w:val="21"/>
        </w:rPr>
      </w:pPr>
      <w:r>
        <w:rPr>
          <w:rFonts w:hint="eastAsia" w:ascii="宋体" w:hAnsi="宋体"/>
          <w:szCs w:val="21"/>
        </w:rPr>
        <w:t>3、因司法机关等有权机关的要求，或因审计、法律等外部专业顾问提供服务需要而向其提供的情况；</w:t>
      </w:r>
    </w:p>
    <w:p>
      <w:pPr>
        <w:snapToGrid w:val="0"/>
        <w:spacing w:line="360" w:lineRule="auto"/>
        <w:ind w:firstLine="420" w:firstLineChars="200"/>
        <w:rPr>
          <w:rFonts w:ascii="宋体" w:hAnsi="宋体"/>
          <w:szCs w:val="21"/>
        </w:rPr>
      </w:pPr>
      <w:r>
        <w:rPr>
          <w:rFonts w:hint="eastAsia" w:ascii="宋体" w:hAnsi="宋体"/>
          <w:szCs w:val="21"/>
        </w:rPr>
        <w:t>4、监管机关要求披露的；</w:t>
      </w:r>
    </w:p>
    <w:p>
      <w:pPr>
        <w:snapToGrid w:val="0"/>
        <w:spacing w:line="360" w:lineRule="auto"/>
        <w:ind w:firstLine="420" w:firstLineChars="200"/>
        <w:rPr>
          <w:rFonts w:ascii="宋体" w:hAnsi="宋体"/>
          <w:szCs w:val="21"/>
        </w:rPr>
      </w:pPr>
      <w:r>
        <w:rPr>
          <w:rFonts w:ascii="宋体" w:hAnsi="宋体"/>
          <w:szCs w:val="21"/>
        </w:rPr>
        <w:t>5</w:t>
      </w:r>
      <w:r>
        <w:rPr>
          <w:rFonts w:hint="eastAsia" w:ascii="宋体" w:hAnsi="宋体"/>
          <w:szCs w:val="21"/>
        </w:rPr>
        <w:t>、因不可抗力发生信息披露或公开的。</w:t>
      </w:r>
    </w:p>
    <w:p>
      <w:pPr>
        <w:tabs>
          <w:tab w:val="left" w:pos="4680"/>
        </w:tabs>
        <w:snapToGrid w:val="0"/>
        <w:spacing w:line="360" w:lineRule="auto"/>
        <w:ind w:firstLine="420" w:firstLineChars="200"/>
        <w:rPr>
          <w:rFonts w:ascii="宋体" w:hAnsi="宋体"/>
          <w:szCs w:val="21"/>
        </w:rPr>
      </w:pPr>
      <w:r>
        <w:rPr>
          <w:rFonts w:hint="eastAsia" w:ascii="宋体" w:hAnsi="宋体"/>
          <w:szCs w:val="21"/>
        </w:rPr>
        <w:t>（二）信息披露的内容</w:t>
      </w:r>
    </w:p>
    <w:p>
      <w:pPr>
        <w:tabs>
          <w:tab w:val="left" w:pos="4680"/>
        </w:tabs>
        <w:snapToGrid w:val="0"/>
        <w:spacing w:line="360" w:lineRule="auto"/>
        <w:ind w:firstLine="420" w:firstLineChars="200"/>
        <w:rPr>
          <w:rFonts w:ascii="宋体" w:hAnsi="宋体"/>
          <w:szCs w:val="21"/>
        </w:rPr>
      </w:pPr>
      <w:r>
        <w:rPr>
          <w:rFonts w:hint="eastAsia" w:ascii="宋体" w:hAnsi="宋体"/>
          <w:szCs w:val="21"/>
        </w:rPr>
        <w:t>1、基金管理人和基金托管人应根据相关法律法规、《基金合同》的规定各自承担相应的信息披露职责。基金管理人和基金托管人负有积极配合、互相督促、彼此监督、保证其履行按照法定方式和时限披露的义务。</w:t>
      </w:r>
    </w:p>
    <w:p>
      <w:pPr>
        <w:tabs>
          <w:tab w:val="left" w:pos="4680"/>
        </w:tabs>
        <w:snapToGrid w:val="0"/>
        <w:spacing w:line="360" w:lineRule="auto"/>
        <w:ind w:firstLine="420" w:firstLineChars="200"/>
        <w:rPr>
          <w:rFonts w:ascii="宋体" w:hAnsi="宋体"/>
          <w:szCs w:val="21"/>
        </w:rPr>
      </w:pPr>
      <w:r>
        <w:rPr>
          <w:rFonts w:hint="eastAsia" w:ascii="宋体" w:hAnsi="宋体"/>
          <w:szCs w:val="21"/>
        </w:rPr>
        <w:t>2、</w:t>
      </w:r>
      <w:r>
        <w:t>本基金的信息披露主要包括基金招募说明书、《基金合同》、基金托管协议、基金产品资料概要、基金份额发售公告、《基金合同》生效公告、基金净值信息、</w:t>
      </w:r>
      <w:r>
        <w:rPr>
          <w:rFonts w:hint="eastAsia"/>
        </w:rPr>
        <w:t>基金份额申购、赎回价格、</w:t>
      </w:r>
      <w:r>
        <w:t>基金定期报告（包括</w:t>
      </w:r>
      <w:r>
        <w:rPr>
          <w:rFonts w:hint="eastAsia"/>
        </w:rPr>
        <w:t>年度报告、中期报告和季度报告</w:t>
      </w:r>
      <w:r>
        <w:t>）、临时报告、澄清公告、清算报告、基金份额持有人大会决议、</w:t>
      </w:r>
      <w:r>
        <w:rPr>
          <w:rFonts w:hint="eastAsia"/>
        </w:rPr>
        <w:t>投资股指期货的信息披露、投资国债期货的信息披露、投资资产支持证券的信息披露、投资港股通投资标的股票的信息披露、有关发起资金认购基金份额的信息披露、实施侧袋机制期间的信息披露以及</w:t>
      </w:r>
      <w:r>
        <w:t>中国证监会规定的其他信息等其他必要的公告文件，由基金管理人拟定并负责公布。</w:t>
      </w:r>
    </w:p>
    <w:p>
      <w:pPr>
        <w:tabs>
          <w:tab w:val="left" w:pos="4680"/>
        </w:tabs>
        <w:snapToGrid w:val="0"/>
        <w:spacing w:line="360" w:lineRule="auto"/>
        <w:ind w:firstLine="420" w:firstLineChars="200"/>
      </w:pPr>
      <w:r>
        <w:rPr>
          <w:rFonts w:hint="eastAsia" w:ascii="宋体" w:hAnsi="宋体"/>
          <w:szCs w:val="21"/>
        </w:rPr>
        <w:t>3、</w:t>
      </w:r>
      <w:r>
        <w:t>基金管理人与基金托管人应严格遵守《基金合同》所规定的信息披露要求。基金资产净值、</w:t>
      </w:r>
      <w:r>
        <w:rPr>
          <w:rFonts w:hint="eastAsia"/>
        </w:rPr>
        <w:t>各类</w:t>
      </w:r>
      <w:r>
        <w:t>基金份额净值、基金定期报告、更新的招募说明书、基金产品资料概要、基金清算报告等公开披露的相关基金信息按有关规定需经基金托管人复核的，须由基金托管人进行复核、审查，并向基金管理人进行书面或电子确认。相关信息经基金托管人复核无误后方可公布。其他不需经基金托管人复核的信息披露内容，应及时告知基金托管人。年度报告中的财务会计报告部分，需经符合《</w:t>
      </w:r>
      <w:r>
        <w:rPr>
          <w:rFonts w:hint="eastAsia"/>
        </w:rPr>
        <w:t>中华人民共和国</w:t>
      </w:r>
      <w:r>
        <w:t>证券法》规定的会计师事务所审计后，方可披露。</w:t>
      </w:r>
    </w:p>
    <w:p>
      <w:pPr>
        <w:tabs>
          <w:tab w:val="left" w:pos="4680"/>
        </w:tabs>
        <w:snapToGrid w:val="0"/>
        <w:spacing w:line="360" w:lineRule="auto"/>
        <w:ind w:firstLine="420" w:firstLineChars="200"/>
        <w:rPr>
          <w:rFonts w:ascii="宋体" w:hAnsi="宋体"/>
          <w:szCs w:val="21"/>
        </w:rPr>
      </w:pPr>
      <w:r>
        <w:rPr>
          <w:rFonts w:hint="eastAsia"/>
        </w:rPr>
        <w:t>4、</w:t>
      </w:r>
      <w:r>
        <w:t>基金管理人应当在中国证监会规定的时间内，将应予披露的基金信息通过符合中国证监会规定条件的全国性报刊和《信息披露办法》规定的互联网网站等规定媒介披露。根据法律法规应由基金托管人公开披露的信息，基金托管人将通过规定媒介公开披露。</w:t>
      </w:r>
    </w:p>
    <w:p>
      <w:pPr>
        <w:tabs>
          <w:tab w:val="left" w:pos="4680"/>
        </w:tabs>
        <w:snapToGrid w:val="0"/>
        <w:spacing w:line="360" w:lineRule="auto"/>
        <w:ind w:firstLine="420" w:firstLineChars="200"/>
        <w:rPr>
          <w:rFonts w:ascii="宋体" w:hAnsi="宋体"/>
          <w:szCs w:val="21"/>
        </w:rPr>
      </w:pPr>
      <w:r>
        <w:rPr>
          <w:rFonts w:hint="eastAsia" w:ascii="宋体" w:hAnsi="宋体"/>
          <w:szCs w:val="21"/>
        </w:rPr>
        <w:t>（三）基金管理人和基金托管人在信息披露中的职责和信息披露程序</w:t>
      </w:r>
    </w:p>
    <w:p>
      <w:pPr>
        <w:tabs>
          <w:tab w:val="left" w:pos="4680"/>
        </w:tabs>
        <w:snapToGrid w:val="0"/>
        <w:spacing w:line="360" w:lineRule="auto"/>
        <w:ind w:firstLine="420" w:firstLineChars="200"/>
        <w:rPr>
          <w:rFonts w:ascii="宋体" w:hAnsi="宋体"/>
          <w:szCs w:val="21"/>
        </w:rPr>
      </w:pPr>
      <w:r>
        <w:rPr>
          <w:rFonts w:hint="eastAsia" w:ascii="宋体" w:hAnsi="宋体"/>
          <w:szCs w:val="21"/>
        </w:rPr>
        <w:t>1、职责</w:t>
      </w:r>
    </w:p>
    <w:p>
      <w:pPr>
        <w:tabs>
          <w:tab w:val="left" w:pos="4680"/>
        </w:tabs>
        <w:snapToGrid w:val="0"/>
        <w:spacing w:line="360" w:lineRule="auto"/>
        <w:ind w:firstLine="420" w:firstLineChars="200"/>
        <w:rPr>
          <w:rFonts w:ascii="宋体" w:hAnsi="宋体"/>
          <w:szCs w:val="21"/>
        </w:rPr>
      </w:pPr>
      <w:r>
        <w:rPr>
          <w:rFonts w:hint="eastAsia" w:ascii="宋体" w:hAnsi="宋体"/>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或电子确认。</w:t>
      </w:r>
    </w:p>
    <w:p>
      <w:pPr>
        <w:tabs>
          <w:tab w:val="left" w:pos="4680"/>
        </w:tabs>
        <w:snapToGrid w:val="0"/>
        <w:spacing w:line="360" w:lineRule="auto"/>
        <w:ind w:firstLine="420" w:firstLineChars="200"/>
        <w:rPr>
          <w:rFonts w:ascii="宋体" w:hAnsi="宋体"/>
          <w:szCs w:val="21"/>
        </w:rPr>
      </w:pPr>
      <w:r>
        <w:rPr>
          <w:rFonts w:hint="eastAsia" w:ascii="宋体" w:hAnsi="宋体"/>
          <w:szCs w:val="21"/>
        </w:rPr>
        <w:t>2、程序</w:t>
      </w:r>
    </w:p>
    <w:p>
      <w:pPr>
        <w:tabs>
          <w:tab w:val="left" w:pos="4680"/>
        </w:tabs>
        <w:snapToGrid w:val="0"/>
        <w:spacing w:line="360" w:lineRule="auto"/>
        <w:ind w:firstLine="420" w:firstLineChars="200"/>
        <w:rPr>
          <w:rFonts w:ascii="宋体" w:hAnsi="宋体"/>
          <w:szCs w:val="21"/>
        </w:rPr>
      </w:pPr>
      <w:r>
        <w:rPr>
          <w:rFonts w:hint="eastAsia" w:ascii="宋体" w:hAnsi="宋体"/>
          <w:szCs w:val="21"/>
        </w:rPr>
        <w:t>按有关规定须经基金托管人复核的信息披露文件，由基金管理人起草，并经基金托管人复核后由基金管理人公告。</w:t>
      </w:r>
    </w:p>
    <w:p>
      <w:pPr>
        <w:tabs>
          <w:tab w:val="left" w:pos="4680"/>
        </w:tabs>
        <w:snapToGrid w:val="0"/>
        <w:spacing w:line="360" w:lineRule="auto"/>
        <w:ind w:firstLine="420" w:firstLineChars="200"/>
        <w:rPr>
          <w:rFonts w:ascii="宋体" w:hAnsi="宋体"/>
          <w:szCs w:val="21"/>
        </w:rPr>
      </w:pPr>
      <w:r>
        <w:rPr>
          <w:rFonts w:hint="eastAsia" w:ascii="宋体" w:hAnsi="宋体"/>
          <w:szCs w:val="21"/>
        </w:rPr>
        <w:t>发生《基金合同》中规定需要披露的事项时，按《基金合同》规定公告。</w:t>
      </w:r>
    </w:p>
    <w:p>
      <w:pPr>
        <w:tabs>
          <w:tab w:val="left" w:pos="4680"/>
        </w:tabs>
        <w:snapToGrid w:val="0"/>
        <w:spacing w:line="360" w:lineRule="auto"/>
        <w:ind w:firstLine="420" w:firstLineChars="200"/>
        <w:rPr>
          <w:rFonts w:ascii="宋体" w:hAnsi="宋体"/>
          <w:szCs w:val="21"/>
        </w:rPr>
      </w:pPr>
      <w:r>
        <w:rPr>
          <w:rFonts w:hint="eastAsia" w:ascii="宋体" w:hAnsi="宋体"/>
          <w:szCs w:val="21"/>
        </w:rPr>
        <w:t>3、信息文本的存放</w:t>
      </w:r>
    </w:p>
    <w:p>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依法必须披露的信息发布后，基金管理人、基金托管人应当按照相关法律法规规定将信息置备于各自住所，供社会公众查阅、复制。投资者在支付工本费后可以获得上述文件的复制件或复印件。</w:t>
      </w:r>
    </w:p>
    <w:p>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基金管理人和基金托管人应保证文本的内容与所公告的内容完全一致。</w:t>
      </w:r>
    </w:p>
    <w:p>
      <w:pPr>
        <w:snapToGrid w:val="0"/>
        <w:spacing w:line="360" w:lineRule="auto"/>
        <w:ind w:firstLine="420" w:firstLineChars="200"/>
        <w:rPr>
          <w:rFonts w:ascii="宋体" w:hAnsi="宋体"/>
          <w:szCs w:val="21"/>
        </w:rPr>
      </w:pPr>
      <w:r>
        <w:rPr>
          <w:rFonts w:hint="eastAsia" w:ascii="宋体" w:hAnsi="宋体"/>
          <w:szCs w:val="21"/>
        </w:rPr>
        <w:t>4、暂停</w:t>
      </w:r>
      <w:r>
        <w:rPr>
          <w:rFonts w:hint="eastAsia" w:ascii="宋体" w:hAnsi="宋体" w:cs="Arial"/>
          <w:szCs w:val="21"/>
        </w:rPr>
        <w:t>或延迟披露基金相关信息</w:t>
      </w:r>
      <w:r>
        <w:rPr>
          <w:rFonts w:hint="eastAsia" w:ascii="宋体" w:hAnsi="宋体"/>
          <w:szCs w:val="21"/>
        </w:rPr>
        <w:t>的情形</w:t>
      </w:r>
    </w:p>
    <w:p>
      <w:pPr>
        <w:snapToGrid w:val="0"/>
        <w:spacing w:line="360" w:lineRule="auto"/>
        <w:ind w:firstLine="420" w:firstLineChars="200"/>
      </w:pPr>
      <w:r>
        <w:t>（1）</w:t>
      </w:r>
      <w:r>
        <w:rPr>
          <w:rFonts w:hint="eastAsia"/>
        </w:rPr>
        <w:t>不可抗力；</w:t>
      </w:r>
    </w:p>
    <w:p>
      <w:pPr>
        <w:snapToGrid w:val="0"/>
        <w:spacing w:line="360" w:lineRule="auto"/>
        <w:ind w:firstLine="420" w:firstLineChars="200"/>
      </w:pPr>
      <w:r>
        <w:rPr>
          <w:rFonts w:hint="eastAsia"/>
        </w:rPr>
        <w:t>（2）基金投资所涉及的证券、期货交易市场或外汇市场遇法定节假日或因其他原因暂停营业时；</w:t>
      </w:r>
    </w:p>
    <w:p>
      <w:pPr>
        <w:snapToGrid w:val="0"/>
        <w:spacing w:line="360" w:lineRule="auto"/>
        <w:ind w:firstLine="420" w:firstLineChars="200"/>
      </w:pPr>
      <w:r>
        <w:rPr>
          <w:rFonts w:hint="eastAsia"/>
        </w:rPr>
        <w:t>（3）发生基金合同约定的暂停估值的情形；</w:t>
      </w:r>
    </w:p>
    <w:p>
      <w:pPr>
        <w:snapToGrid w:val="0"/>
        <w:spacing w:line="360" w:lineRule="auto"/>
        <w:ind w:firstLine="420" w:firstLineChars="200"/>
      </w:pPr>
      <w:r>
        <w:rPr>
          <w:rFonts w:hint="eastAsia"/>
        </w:rPr>
        <w:t>（4）法律法规、基金合同或中国证监会规定的其他情况。</w:t>
      </w:r>
      <w:bookmarkEnd w:id="49"/>
      <w:bookmarkStart w:id="50" w:name="_Toc131682150"/>
    </w:p>
    <w:p>
      <w:pPr>
        <w:snapToGrid/>
        <w:spacing w:before="156" w:beforeLines="50" w:after="156" w:afterLines="50" w:line="500" w:lineRule="atLeast"/>
        <w:ind w:firstLine="0" w:firstLineChars="0"/>
        <w:jc w:val="center"/>
        <w:outlineLvl w:val="0"/>
        <w:rPr>
          <w:rFonts w:ascii="宋体" w:hAnsi="宋体"/>
          <w:b/>
          <w:sz w:val="24"/>
        </w:rPr>
      </w:pPr>
      <w:r>
        <w:rPr>
          <w:rFonts w:hint="eastAsia" w:ascii="宋体" w:hAnsi="宋体"/>
          <w:b/>
          <w:sz w:val="24"/>
        </w:rPr>
        <w:t>十、基金费用</w:t>
      </w:r>
      <w:bookmarkEnd w:id="50"/>
    </w:p>
    <w:p>
      <w:pPr>
        <w:snapToGrid w:val="0"/>
        <w:spacing w:line="360" w:lineRule="auto"/>
        <w:ind w:firstLine="420" w:firstLineChars="200"/>
        <w:rPr>
          <w:bCs/>
          <w:szCs w:val="21"/>
        </w:rPr>
      </w:pPr>
      <w:r>
        <w:rPr>
          <w:bCs/>
          <w:szCs w:val="21"/>
        </w:rPr>
        <w:t>1</w:t>
      </w:r>
      <w:r>
        <w:rPr>
          <w:rFonts w:hint="eastAsia"/>
          <w:bCs/>
          <w:szCs w:val="21"/>
        </w:rPr>
        <w:t>、基金托管人的托管费</w:t>
      </w:r>
    </w:p>
    <w:p>
      <w:pPr>
        <w:snapToGrid w:val="0"/>
        <w:spacing w:line="360" w:lineRule="auto"/>
        <w:ind w:firstLine="420" w:firstLineChars="200"/>
        <w:rPr>
          <w:bCs/>
          <w:szCs w:val="21"/>
        </w:rPr>
      </w:pPr>
      <w:r>
        <w:rPr>
          <w:rFonts w:hint="eastAsia"/>
          <w:bCs/>
          <w:szCs w:val="21"/>
        </w:rPr>
        <w:t>本基金的托管费按前一日基金资产净值的</w:t>
      </w:r>
      <w:r>
        <w:rPr>
          <w:bCs/>
          <w:szCs w:val="21"/>
        </w:rPr>
        <w:t>0.</w:t>
      </w:r>
      <w:r>
        <w:rPr>
          <w:rFonts w:hint="eastAsia"/>
          <w:bCs/>
          <w:szCs w:val="21"/>
        </w:rPr>
        <w:t>20</w:t>
      </w:r>
      <w:r>
        <w:rPr>
          <w:bCs/>
          <w:szCs w:val="21"/>
        </w:rPr>
        <w:t>%</w:t>
      </w:r>
      <w:r>
        <w:rPr>
          <w:rFonts w:hint="eastAsia"/>
          <w:bCs/>
          <w:szCs w:val="21"/>
        </w:rPr>
        <w:t>年费率计提。托管费的计算方法如下：</w:t>
      </w:r>
    </w:p>
    <w:p>
      <w:pPr>
        <w:snapToGrid w:val="0"/>
        <w:spacing w:line="360" w:lineRule="auto"/>
        <w:ind w:firstLine="420" w:firstLineChars="200"/>
        <w:rPr>
          <w:bCs/>
          <w:szCs w:val="21"/>
        </w:rPr>
      </w:pPr>
      <w:r>
        <w:rPr>
          <w:bCs/>
          <w:szCs w:val="21"/>
        </w:rPr>
        <w:t>H</w:t>
      </w:r>
      <w:r>
        <w:rPr>
          <w:rFonts w:hint="eastAsia"/>
          <w:bCs/>
          <w:szCs w:val="21"/>
        </w:rPr>
        <w:t>＝</w:t>
      </w:r>
      <w:r>
        <w:rPr>
          <w:bCs/>
          <w:szCs w:val="21"/>
        </w:rPr>
        <w:t>E×0.</w:t>
      </w:r>
      <w:r>
        <w:rPr>
          <w:rFonts w:hint="eastAsia"/>
          <w:bCs/>
          <w:szCs w:val="21"/>
        </w:rPr>
        <w:t>20</w:t>
      </w:r>
      <w:r>
        <w:rPr>
          <w:bCs/>
          <w:szCs w:val="21"/>
        </w:rPr>
        <w:t>%÷</w:t>
      </w:r>
      <w:r>
        <w:rPr>
          <w:rFonts w:hint="eastAsia"/>
          <w:bCs/>
          <w:szCs w:val="21"/>
        </w:rPr>
        <w:t>当年天数</w:t>
      </w:r>
    </w:p>
    <w:p>
      <w:pPr>
        <w:snapToGrid w:val="0"/>
        <w:spacing w:line="360" w:lineRule="auto"/>
        <w:ind w:firstLine="420" w:firstLineChars="200"/>
        <w:rPr>
          <w:bCs/>
          <w:szCs w:val="21"/>
        </w:rPr>
      </w:pPr>
      <w:r>
        <w:rPr>
          <w:bCs/>
          <w:szCs w:val="21"/>
        </w:rPr>
        <w:t>H</w:t>
      </w:r>
      <w:r>
        <w:rPr>
          <w:rFonts w:hint="eastAsia"/>
          <w:bCs/>
          <w:szCs w:val="21"/>
        </w:rPr>
        <w:t>为每日应计提的基金托管费</w:t>
      </w:r>
    </w:p>
    <w:p>
      <w:pPr>
        <w:snapToGrid w:val="0"/>
        <w:spacing w:line="360" w:lineRule="auto"/>
        <w:ind w:firstLine="420" w:firstLineChars="200"/>
        <w:rPr>
          <w:bCs/>
          <w:szCs w:val="21"/>
        </w:rPr>
      </w:pPr>
      <w:r>
        <w:rPr>
          <w:bCs/>
          <w:szCs w:val="21"/>
        </w:rPr>
        <w:t>E</w:t>
      </w:r>
      <w:r>
        <w:rPr>
          <w:rFonts w:hint="eastAsia"/>
          <w:bCs/>
          <w:szCs w:val="21"/>
        </w:rPr>
        <w:t>为前一日的基金资产净值</w:t>
      </w:r>
    </w:p>
    <w:p>
      <w:pPr>
        <w:pStyle w:val="10"/>
        <w:adjustRightInd w:val="0"/>
        <w:snapToGrid w:val="0"/>
        <w:spacing w:line="360" w:lineRule="auto"/>
        <w:rPr>
          <w:rFonts w:ascii="宋体" w:hAnsi="宋体" w:cs="Arial"/>
          <w:szCs w:val="21"/>
        </w:rPr>
      </w:pPr>
      <w:r>
        <w:rPr>
          <w:rFonts w:hint="eastAsia" w:ascii="宋体" w:hAnsi="宋体" w:cs="Arial"/>
          <w:szCs w:val="21"/>
        </w:rPr>
        <w:t>基金托管费每日计提，逐日累计至每个月月末，按月支付。经基金管理人与基金托管人双方核对无误后，基金托管人按照与基金管理人协商一致的方式于次月前5个工作日内从基金财产中一次性支取。若遇法定节假日、公休假或不可抗力等，支付日期顺延。</w:t>
      </w:r>
    </w:p>
    <w:p>
      <w:pPr>
        <w:pStyle w:val="10"/>
        <w:adjustRightInd w:val="0"/>
        <w:snapToGrid w:val="0"/>
        <w:spacing w:line="360" w:lineRule="auto"/>
        <w:rPr>
          <w:rFonts w:ascii="宋体" w:hAnsi="宋体" w:cs="Arial"/>
          <w:szCs w:val="21"/>
        </w:rPr>
      </w:pPr>
      <w:r>
        <w:rPr>
          <w:rFonts w:asciiTheme="majorEastAsia" w:hAnsiTheme="majorEastAsia" w:eastAsiaTheme="majorEastAsia"/>
          <w:szCs w:val="21"/>
        </w:rPr>
        <w:t>2</w:t>
      </w:r>
      <w:r>
        <w:rPr>
          <w:rFonts w:hint="eastAsia" w:asciiTheme="majorEastAsia" w:hAnsiTheme="majorEastAsia" w:eastAsiaTheme="majorEastAsia"/>
          <w:szCs w:val="21"/>
        </w:rPr>
        <w:t>、</w:t>
      </w:r>
      <w:r>
        <w:rPr>
          <w:rFonts w:hint="eastAsia" w:ascii="宋体" w:hAnsi="宋体" w:cs="Arial"/>
          <w:szCs w:val="21"/>
        </w:rPr>
        <w:t>基金其他费用按照《基金合同》的约定计提和支付。</w:t>
      </w:r>
    </w:p>
    <w:p>
      <w:pPr>
        <w:adjustRightInd w:val="0"/>
        <w:snapToGrid w:val="0"/>
        <w:spacing w:line="360" w:lineRule="auto"/>
        <w:ind w:firstLine="420" w:firstLineChars="200"/>
        <w:rPr>
          <w:rFonts w:ascii="宋体" w:hAnsi="宋体" w:cs="Arial"/>
          <w:szCs w:val="21"/>
        </w:rPr>
      </w:pPr>
      <w:r>
        <w:rPr>
          <w:rFonts w:hint="eastAsia" w:ascii="宋体" w:hAnsi="宋体" w:cs="Arial"/>
          <w:szCs w:val="21"/>
        </w:rPr>
        <w:t>3、如果基金托管人发现基金管理人违反有关法律法规的有关规定和《基金合同》、本协议的约定，从基金财产中列支费用，有权要求基金管理人做出书面解释，如果基金托管人认为基金管理人无正当或合理的理由，可以拒绝支付并及时告知基金管理人。</w:t>
      </w:r>
    </w:p>
    <w:p>
      <w:pPr>
        <w:spacing w:before="156" w:beforeLines="50" w:after="156" w:afterLines="50" w:line="500" w:lineRule="atLeast"/>
        <w:jc w:val="center"/>
        <w:outlineLvl w:val="0"/>
        <w:rPr>
          <w:rFonts w:ascii="宋体" w:hAnsi="宋体"/>
          <w:b/>
          <w:sz w:val="24"/>
        </w:rPr>
      </w:pPr>
      <w:bookmarkStart w:id="51" w:name="_Toc131682151"/>
      <w:r>
        <w:rPr>
          <w:rFonts w:hint="eastAsia" w:ascii="宋体" w:hAnsi="宋体"/>
          <w:b/>
          <w:sz w:val="24"/>
        </w:rPr>
        <w:t>十一、基金份额持有人名册的保管</w:t>
      </w:r>
      <w:bookmarkEnd w:id="51"/>
    </w:p>
    <w:p>
      <w:pPr>
        <w:snapToGrid w:val="0"/>
        <w:spacing w:line="360" w:lineRule="auto"/>
        <w:ind w:firstLine="420" w:firstLineChars="200"/>
      </w:pPr>
      <w:r>
        <w:t xml:space="preserve">基金管理人妥善保管的基金份额持有人名册，基金份额持有人名册的内容必须包括基金份额持有人的名称和持有的基金份额。 </w:t>
      </w:r>
    </w:p>
    <w:p>
      <w:pPr>
        <w:snapToGrid w:val="0"/>
        <w:spacing w:line="360" w:lineRule="auto"/>
        <w:ind w:firstLine="420" w:firstLineChars="200"/>
      </w:pPr>
      <w:r>
        <w:t xml:space="preserve">基金份额持有人名册由基金的基金登记机构根据基金管理人的指令编制和保管，基金管理人应按照目前相关规则保管基金份额持有人名册。保管方式可以采用电子或文档的形式。保管期限不低于法律法规规定的最低期限。 </w:t>
      </w:r>
    </w:p>
    <w:p>
      <w:pPr>
        <w:snapToGrid w:val="0"/>
        <w:spacing w:line="360" w:lineRule="auto"/>
        <w:ind w:firstLine="420" w:firstLineChars="200"/>
        <w:rPr>
          <w:rFonts w:ascii="宋体" w:hAnsi="宋体" w:cs="Arial"/>
          <w:szCs w:val="21"/>
        </w:rPr>
      </w:pPr>
      <w:r>
        <w:t>在基金托管人需要时，基金管理人应将基金持有人名册送交基金托管人，文件方式可以采用电子或文档的形式并且保证其的真实、准确、完整。基金托管人应妥善保管，不得将持有人名册用于基金托管业务以外的其他用途。</w:t>
      </w:r>
    </w:p>
    <w:p>
      <w:pPr>
        <w:spacing w:before="156" w:beforeLines="50" w:after="156" w:afterLines="50" w:line="500" w:lineRule="atLeast"/>
        <w:jc w:val="center"/>
        <w:outlineLvl w:val="0"/>
        <w:rPr>
          <w:rFonts w:ascii="宋体" w:hAnsi="宋体"/>
          <w:b/>
          <w:sz w:val="24"/>
        </w:rPr>
      </w:pPr>
      <w:bookmarkStart w:id="52" w:name="_Toc131682152"/>
      <w:r>
        <w:rPr>
          <w:rFonts w:hint="eastAsia" w:ascii="宋体" w:hAnsi="宋体"/>
          <w:b/>
          <w:sz w:val="24"/>
        </w:rPr>
        <w:t>十二、基金有关文件和档案的保存</w:t>
      </w:r>
      <w:bookmarkEnd w:id="52"/>
    </w:p>
    <w:p>
      <w:pPr>
        <w:snapToGrid w:val="0"/>
        <w:spacing w:line="360" w:lineRule="auto"/>
        <w:ind w:firstLine="420" w:firstLineChars="200"/>
        <w:rPr>
          <w:rFonts w:ascii="宋体" w:hAnsi="宋体" w:cs="Arial"/>
          <w:szCs w:val="21"/>
        </w:rPr>
      </w:pPr>
      <w:r>
        <w:rPr>
          <w:rFonts w:hint="eastAsia" w:ascii="宋体" w:hAnsi="宋体" w:cs="Arial"/>
          <w:szCs w:val="21"/>
        </w:rPr>
        <w:t>（一）档案保存</w:t>
      </w:r>
    </w:p>
    <w:p>
      <w:pPr>
        <w:snapToGrid w:val="0"/>
        <w:spacing w:line="360" w:lineRule="auto"/>
        <w:ind w:firstLine="420" w:firstLineChars="200"/>
      </w:pPr>
      <w: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保存期限不低于法律法规规定的期限。</w:t>
      </w:r>
    </w:p>
    <w:p>
      <w:pPr>
        <w:snapToGrid w:val="0"/>
        <w:spacing w:line="360" w:lineRule="auto"/>
        <w:ind w:firstLine="420" w:firstLineChars="200"/>
      </w:pPr>
      <w:r>
        <w:t xml:space="preserve">（二）合同档案的建立 </w:t>
      </w:r>
    </w:p>
    <w:p>
      <w:pPr>
        <w:snapToGrid w:val="0"/>
        <w:spacing w:line="360" w:lineRule="auto"/>
        <w:ind w:firstLine="420" w:firstLineChars="200"/>
      </w:pPr>
      <w:r>
        <w:t xml:space="preserve">1、基金管理人或基金托管人在签署与本基金有关的合同文本后，应及时按相关法律法规及本协议的规定将合同正本或副本提交对方。 </w:t>
      </w:r>
    </w:p>
    <w:p>
      <w:pPr>
        <w:snapToGrid w:val="0"/>
        <w:spacing w:line="360" w:lineRule="auto"/>
        <w:ind w:left="420" w:leftChars="200"/>
      </w:pPr>
      <w:r>
        <w:t xml:space="preserve">2、基金管理人和基金托管人应按各自职责保管就基金资产对外签署的全部合同的正本。 （三）变更与协助 </w:t>
      </w:r>
    </w:p>
    <w:p>
      <w:pPr>
        <w:snapToGrid w:val="0"/>
        <w:spacing w:line="360" w:lineRule="auto"/>
        <w:ind w:firstLine="420" w:firstLineChars="200"/>
        <w:rPr>
          <w:rFonts w:ascii="宋体" w:hAnsi="宋体"/>
          <w:szCs w:val="21"/>
        </w:rPr>
      </w:pPr>
      <w:r>
        <w:t>若基金管理人和基金托管人发生变更，未变更的一方有义务协助变更后的接任人接收相 应文件。</w:t>
      </w:r>
    </w:p>
    <w:p>
      <w:pPr>
        <w:spacing w:before="156" w:beforeLines="50" w:after="156" w:afterLines="50" w:line="500" w:lineRule="atLeast"/>
        <w:jc w:val="center"/>
        <w:outlineLvl w:val="0"/>
        <w:rPr>
          <w:rFonts w:ascii="宋体" w:hAnsi="宋体"/>
          <w:b/>
          <w:sz w:val="24"/>
        </w:rPr>
      </w:pPr>
      <w:bookmarkStart w:id="53" w:name="_Toc131682153"/>
      <w:bookmarkStart w:id="54" w:name="_Toc382819129"/>
      <w:r>
        <w:rPr>
          <w:rFonts w:hint="eastAsia" w:ascii="宋体" w:hAnsi="宋体"/>
          <w:b/>
          <w:sz w:val="24"/>
        </w:rPr>
        <w:t>十三、基金管理人和基金托管人的更换</w:t>
      </w:r>
      <w:bookmarkEnd w:id="53"/>
    </w:p>
    <w:p>
      <w:pPr>
        <w:widowControl/>
        <w:shd w:val="clear" w:color="auto" w:fill="FFFFFF"/>
        <w:snapToGrid w:val="0"/>
        <w:spacing w:line="360" w:lineRule="auto"/>
        <w:ind w:firstLine="420" w:firstLineChars="200"/>
        <w:jc w:val="left"/>
        <w:rPr>
          <w:rFonts w:ascii="宋体" w:hAnsi="宋体" w:cs="Arial"/>
          <w:szCs w:val="21"/>
        </w:rPr>
      </w:pPr>
      <w:r>
        <w:rPr>
          <w:rFonts w:hint="eastAsia" w:ascii="宋体" w:hAnsi="宋体" w:cs="Arial"/>
          <w:szCs w:val="21"/>
        </w:rPr>
        <w:t>（一）基金管理人职责终止后，仍应妥善保管基金管理业务资料，保证不做出对基金份额持有人的利益造成损害的行为，并与新任基金管理人或临时基金管理人及时办理基金管理业务的移交手续。基金托管人应给予积极配合，并与新任基金管理人或临时基金管理人核对基金资产总值和净值。</w:t>
      </w:r>
    </w:p>
    <w:p>
      <w:pPr>
        <w:widowControl/>
        <w:shd w:val="clear" w:color="auto" w:fill="FFFFFF"/>
        <w:snapToGrid w:val="0"/>
        <w:spacing w:line="360" w:lineRule="auto"/>
        <w:ind w:firstLine="420" w:firstLineChars="200"/>
        <w:jc w:val="left"/>
        <w:rPr>
          <w:rFonts w:ascii="宋体" w:hAnsi="宋体" w:cs="Arial"/>
          <w:szCs w:val="21"/>
        </w:rPr>
      </w:pPr>
      <w:r>
        <w:rPr>
          <w:rFonts w:hint="eastAsia" w:ascii="宋体" w:hAnsi="宋体" w:cs="Arial"/>
          <w:szCs w:val="21"/>
        </w:rPr>
        <w:t>（二）基金托管人职责终止后，仍应妥善保管基金财产和基金托管业务资料，保证不做出对基金份额持有人的利益造成损害的行为，并与新任基金托管人或临时基金托管人及时办理基金财产和基金托管业务的移交手续。基金管理人应给予积极配合，并与新任基金托管人或临时基金托管人核对基金资产总值和净值。</w:t>
      </w:r>
    </w:p>
    <w:p>
      <w:pPr>
        <w:widowControl/>
        <w:shd w:val="clear" w:color="auto" w:fill="FFFFFF"/>
        <w:snapToGrid w:val="0"/>
        <w:spacing w:line="360" w:lineRule="auto"/>
        <w:ind w:firstLine="420" w:firstLineChars="200"/>
        <w:jc w:val="left"/>
        <w:rPr>
          <w:rFonts w:ascii="宋体" w:hAnsi="宋体" w:cs="Arial"/>
          <w:szCs w:val="21"/>
        </w:rPr>
      </w:pPr>
      <w:r>
        <w:rPr>
          <w:rFonts w:hint="eastAsia" w:ascii="宋体" w:hAnsi="宋体" w:cs="Arial"/>
          <w:szCs w:val="21"/>
        </w:rPr>
        <w:t>（三）其他事宜见基金合同的相关约定。</w:t>
      </w:r>
    </w:p>
    <w:bookmarkEnd w:id="54"/>
    <w:p>
      <w:pPr>
        <w:spacing w:before="156" w:beforeLines="50" w:after="156" w:afterLines="50" w:line="500" w:lineRule="atLeast"/>
        <w:jc w:val="center"/>
        <w:outlineLvl w:val="0"/>
        <w:rPr>
          <w:rFonts w:ascii="宋体" w:hAnsi="宋体"/>
          <w:b/>
          <w:sz w:val="24"/>
        </w:rPr>
      </w:pPr>
      <w:bookmarkStart w:id="55" w:name="_Toc131682154"/>
      <w:r>
        <w:rPr>
          <w:rFonts w:hint="eastAsia" w:ascii="宋体" w:hAnsi="宋体"/>
          <w:b/>
          <w:sz w:val="24"/>
        </w:rPr>
        <w:t>十四、禁止行为</w:t>
      </w:r>
      <w:bookmarkEnd w:id="55"/>
    </w:p>
    <w:p>
      <w:pPr>
        <w:snapToGrid w:val="0"/>
        <w:spacing w:line="360" w:lineRule="auto"/>
        <w:ind w:firstLine="472" w:firstLineChars="225"/>
        <w:rPr>
          <w:rFonts w:ascii="宋体" w:hAnsi="宋体"/>
          <w:szCs w:val="21"/>
        </w:rPr>
      </w:pPr>
      <w:r>
        <w:rPr>
          <w:rFonts w:hint="eastAsia" w:ascii="宋体" w:hAnsi="宋体"/>
          <w:szCs w:val="21"/>
        </w:rPr>
        <w:t>托管协议当事人禁止从事的行为，包括但不限于：</w:t>
      </w:r>
    </w:p>
    <w:p>
      <w:pPr>
        <w:snapToGrid w:val="0"/>
        <w:spacing w:line="360" w:lineRule="auto"/>
        <w:ind w:firstLine="472" w:firstLineChars="225"/>
      </w:pPr>
      <w:r>
        <w:t xml:space="preserve">（一）基金管理人、基金托管人将其固有财产或者他人财产混同于基金财产从事证券投资。 </w:t>
      </w:r>
    </w:p>
    <w:p>
      <w:pPr>
        <w:snapToGrid w:val="0"/>
        <w:spacing w:line="360" w:lineRule="auto"/>
        <w:ind w:firstLine="472" w:firstLineChars="225"/>
      </w:pPr>
      <w:r>
        <w:t xml:space="preserve">（二）基金管理人、基金托管人不公平地对待其管理或托管的不同基金财产。 </w:t>
      </w:r>
    </w:p>
    <w:p>
      <w:pPr>
        <w:snapToGrid w:val="0"/>
        <w:spacing w:line="360" w:lineRule="auto"/>
        <w:ind w:firstLine="472" w:firstLineChars="225"/>
      </w:pPr>
      <w:r>
        <w:t xml:space="preserve">（三）基金管理人、基金托管人利用基金财产或职务之便为基金份额持有人以外的第三人牟取利益。 </w:t>
      </w:r>
    </w:p>
    <w:p>
      <w:pPr>
        <w:snapToGrid w:val="0"/>
        <w:spacing w:line="360" w:lineRule="auto"/>
        <w:ind w:firstLine="472" w:firstLineChars="225"/>
      </w:pPr>
      <w:r>
        <w:t xml:space="preserve">（四）基金管理人、基金托管人向基金份额持有人违规承诺收益或者承担损失。 </w:t>
      </w:r>
    </w:p>
    <w:p>
      <w:pPr>
        <w:snapToGrid w:val="0"/>
        <w:spacing w:line="360" w:lineRule="auto"/>
        <w:ind w:firstLine="472" w:firstLineChars="225"/>
      </w:pPr>
      <w:r>
        <w:t>（五）基金管理人、基金托管人对他人泄</w:t>
      </w:r>
      <w:r>
        <w:rPr>
          <w:rFonts w:hint="eastAsia"/>
        </w:rPr>
        <w:t>露</w:t>
      </w:r>
      <w:r>
        <w:t xml:space="preserve">基金经营过程中任何尚未按法律法规规定的 方式公开披露的信息。 </w:t>
      </w:r>
    </w:p>
    <w:p>
      <w:pPr>
        <w:snapToGrid w:val="0"/>
        <w:spacing w:line="360" w:lineRule="auto"/>
        <w:ind w:firstLine="472" w:firstLineChars="225"/>
      </w:pPr>
      <w:r>
        <w:t xml:space="preserve">（六）基金管理人在没有充足资金的情况下向基金托管人发出投资指令和赎回、分红资 金的划拨指令，或违规向基金托管人发出指令。 </w:t>
      </w:r>
    </w:p>
    <w:p>
      <w:pPr>
        <w:snapToGrid w:val="0"/>
        <w:spacing w:line="360" w:lineRule="auto"/>
        <w:ind w:firstLine="472" w:firstLineChars="225"/>
      </w:pPr>
      <w:r>
        <w:t xml:space="preserve">（七）基金托管人对基金管理人的符合本协议约定的有效指令拖延或拒绝执行。 </w:t>
      </w:r>
    </w:p>
    <w:p>
      <w:pPr>
        <w:snapToGrid w:val="0"/>
        <w:spacing w:line="360" w:lineRule="auto"/>
        <w:ind w:firstLine="472" w:firstLineChars="225"/>
      </w:pPr>
      <w:r>
        <w:t>（八）基金管理人、基金托管人在行政上、财务上不独立，其</w:t>
      </w:r>
      <w:r>
        <w:rPr>
          <w:rFonts w:hint="eastAsia"/>
        </w:rPr>
        <w:t>董事、监事、</w:t>
      </w:r>
      <w:r>
        <w:t>高级基金管理人员</w:t>
      </w:r>
      <w:r>
        <w:rPr>
          <w:rFonts w:hint="eastAsia"/>
        </w:rPr>
        <w:t>或其他从业人员</w:t>
      </w:r>
      <w:r>
        <w:t xml:space="preserve">相互兼职。 </w:t>
      </w:r>
    </w:p>
    <w:p>
      <w:pPr>
        <w:snapToGrid w:val="0"/>
        <w:spacing w:line="360" w:lineRule="auto"/>
        <w:ind w:firstLine="472" w:firstLineChars="225"/>
      </w:pPr>
      <w:r>
        <w:t>（九）基金托管人私自动用或处分基金资产，根据基金管理人的合法指令、</w:t>
      </w:r>
      <w:r>
        <w:rPr>
          <w:rFonts w:hint="eastAsia"/>
        </w:rPr>
        <w:t>《</w:t>
      </w:r>
      <w:r>
        <w:t>基金合同</w:t>
      </w:r>
      <w:r>
        <w:rPr>
          <w:rFonts w:hint="eastAsia"/>
        </w:rPr>
        <w:t>》</w:t>
      </w:r>
      <w:r>
        <w:t xml:space="preserve">或托管协议的规定进行处分的除外。 </w:t>
      </w:r>
    </w:p>
    <w:p>
      <w:pPr>
        <w:snapToGrid w:val="0"/>
        <w:spacing w:line="360" w:lineRule="auto"/>
        <w:ind w:firstLine="472" w:firstLineChars="225"/>
      </w:pPr>
      <w:r>
        <w:t>（十）基金管理人、基金托管人不得利用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w:t>
      </w:r>
      <w:r>
        <w:rPr>
          <w:rFonts w:hint="eastAsia"/>
        </w:rPr>
        <w:t>法律、行政法规和中国证监会规定禁止的其他活动</w:t>
      </w:r>
      <w:r>
        <w:t xml:space="preserve">。 </w:t>
      </w:r>
    </w:p>
    <w:p>
      <w:pPr>
        <w:snapToGrid w:val="0"/>
        <w:spacing w:line="360" w:lineRule="auto"/>
        <w:ind w:firstLine="472" w:firstLineChars="225"/>
      </w:pPr>
      <w:r>
        <w:t xml:space="preserve">（十一）法律法规和基金合同禁止的其他行为，以及依照法律法规有关规定，由中国证监会规定禁止基金管理人、基金托管人从事的其他行为。 </w:t>
      </w:r>
    </w:p>
    <w:p>
      <w:pPr>
        <w:snapToGrid w:val="0"/>
        <w:spacing w:line="360" w:lineRule="auto"/>
        <w:ind w:firstLine="472" w:firstLineChars="225"/>
      </w:pPr>
      <w:r>
        <w:t>（十二）</w:t>
      </w:r>
      <w:r>
        <w:rPr>
          <w:rFonts w:hint="eastAsia"/>
        </w:rPr>
        <w:t>法律法规或监管部门对上述投资禁止行为等作出强制性调整的，本基金应当按照法律法规或监管部门的规定执行；如法律法规或监管部门修改或调整上述投资禁止性规定，且该等调整或修改属于非强制性的，基金管理人有权在履行适当程序后按照法律法规或监管部门调整或修改后的规定执行，并应向投资者履行信息披露义务。</w:t>
      </w:r>
    </w:p>
    <w:p>
      <w:pPr>
        <w:spacing w:before="156" w:beforeLines="50" w:after="156" w:afterLines="50" w:line="500" w:lineRule="atLeast"/>
        <w:jc w:val="center"/>
        <w:outlineLvl w:val="0"/>
        <w:rPr>
          <w:rFonts w:ascii="宋体" w:hAnsi="宋体"/>
          <w:b/>
          <w:sz w:val="24"/>
        </w:rPr>
      </w:pPr>
      <w:bookmarkStart w:id="56" w:name="_Toc131682155"/>
      <w:r>
        <w:rPr>
          <w:rFonts w:hint="eastAsia" w:ascii="宋体" w:hAnsi="宋体"/>
          <w:b/>
          <w:sz w:val="24"/>
        </w:rPr>
        <w:t>十五、基金托管协议的变更、终止与基金财产的清算</w:t>
      </w:r>
      <w:bookmarkEnd w:id="56"/>
    </w:p>
    <w:p>
      <w:pPr>
        <w:spacing w:line="360" w:lineRule="auto"/>
        <w:ind w:firstLine="420" w:firstLineChars="200"/>
        <w:rPr>
          <w:rFonts w:ascii="宋体" w:hAnsi="宋体"/>
          <w:szCs w:val="21"/>
        </w:rPr>
      </w:pPr>
      <w:r>
        <w:rPr>
          <w:rFonts w:hint="eastAsia" w:ascii="宋体" w:hAnsi="宋体"/>
          <w:szCs w:val="21"/>
        </w:rPr>
        <w:t>（一）托管协议的变更与终止</w:t>
      </w:r>
    </w:p>
    <w:p>
      <w:pPr>
        <w:adjustRightInd w:val="0"/>
        <w:snapToGrid w:val="0"/>
        <w:spacing w:line="360" w:lineRule="auto"/>
        <w:ind w:firstLine="472" w:firstLineChars="225"/>
        <w:rPr>
          <w:rFonts w:ascii="宋体" w:hAnsi="宋体" w:cs="Arial"/>
          <w:szCs w:val="21"/>
        </w:rPr>
      </w:pPr>
      <w:r>
        <w:rPr>
          <w:rFonts w:hint="eastAsia" w:ascii="宋体" w:hAnsi="宋体" w:cs="Arial"/>
          <w:szCs w:val="21"/>
        </w:rPr>
        <w:t>1、托管协议的变更程序</w:t>
      </w:r>
    </w:p>
    <w:p>
      <w:pPr>
        <w:adjustRightInd w:val="0"/>
        <w:snapToGrid w:val="0"/>
        <w:spacing w:line="360" w:lineRule="auto"/>
        <w:ind w:firstLine="472" w:firstLineChars="225"/>
        <w:rPr>
          <w:rFonts w:ascii="宋体" w:hAnsi="宋体" w:cs="Arial"/>
          <w:szCs w:val="21"/>
        </w:rPr>
      </w:pPr>
      <w:r>
        <w:rPr>
          <w:rFonts w:hint="eastAsia" w:ascii="宋体" w:hAnsi="宋体" w:cs="Arial"/>
          <w:szCs w:val="21"/>
        </w:rPr>
        <w:t>本协议双方当事人经书面协商一致，可以对协议的内容进行变更。变更后的托管协议，其内容不得与《基金合同》的规定有任何冲突。</w:t>
      </w:r>
    </w:p>
    <w:p>
      <w:pPr>
        <w:adjustRightInd w:val="0"/>
        <w:snapToGrid w:val="0"/>
        <w:spacing w:line="360" w:lineRule="auto"/>
        <w:ind w:firstLine="472" w:firstLineChars="225"/>
        <w:rPr>
          <w:rFonts w:ascii="宋体" w:hAnsi="宋体" w:cs="Arial"/>
          <w:szCs w:val="21"/>
        </w:rPr>
      </w:pPr>
      <w:r>
        <w:rPr>
          <w:rFonts w:hint="eastAsia" w:ascii="宋体" w:hAnsi="宋体" w:cs="Arial"/>
          <w:szCs w:val="21"/>
        </w:rPr>
        <w:t>2、基金托管协议终止的情形</w:t>
      </w:r>
    </w:p>
    <w:p>
      <w:pPr>
        <w:adjustRightInd w:val="0"/>
        <w:snapToGrid w:val="0"/>
        <w:spacing w:line="360" w:lineRule="auto"/>
        <w:ind w:firstLine="472" w:firstLineChars="225"/>
        <w:rPr>
          <w:rFonts w:ascii="宋体" w:hAnsi="宋体" w:cs="Arial"/>
          <w:szCs w:val="21"/>
        </w:rPr>
      </w:pPr>
      <w:r>
        <w:rPr>
          <w:rFonts w:hint="eastAsia" w:ascii="宋体" w:hAnsi="宋体" w:cs="Arial"/>
          <w:szCs w:val="21"/>
        </w:rPr>
        <w:t>发生以下情况，在履行相关程序后，本托管协议终止：</w:t>
      </w:r>
    </w:p>
    <w:p>
      <w:pPr>
        <w:adjustRightInd w:val="0"/>
        <w:snapToGrid w:val="0"/>
        <w:spacing w:line="360" w:lineRule="auto"/>
        <w:ind w:firstLine="472" w:firstLineChars="225"/>
        <w:rPr>
          <w:rFonts w:ascii="宋体" w:hAnsi="宋体" w:cs="Arial"/>
          <w:szCs w:val="21"/>
        </w:rPr>
      </w:pPr>
      <w:r>
        <w:rPr>
          <w:rFonts w:hint="eastAsia" w:ascii="宋体" w:hAnsi="宋体" w:cs="Arial"/>
          <w:szCs w:val="21"/>
        </w:rPr>
        <w:t>（1）《基金合同》终止；</w:t>
      </w:r>
    </w:p>
    <w:p>
      <w:pPr>
        <w:adjustRightInd w:val="0"/>
        <w:snapToGrid w:val="0"/>
        <w:spacing w:line="360" w:lineRule="auto"/>
        <w:ind w:firstLine="472" w:firstLineChars="225"/>
        <w:rPr>
          <w:rFonts w:ascii="宋体" w:hAnsi="宋体" w:cs="Arial"/>
          <w:szCs w:val="21"/>
        </w:rPr>
      </w:pPr>
      <w:r>
        <w:rPr>
          <w:rFonts w:hint="eastAsia" w:ascii="宋体" w:hAnsi="宋体" w:cs="Arial"/>
          <w:szCs w:val="21"/>
        </w:rPr>
        <w:t>（2）基金托管人解散、依法被撤销、破产或有其他基金托管人接管基金资产；</w:t>
      </w:r>
    </w:p>
    <w:p>
      <w:pPr>
        <w:adjustRightInd w:val="0"/>
        <w:snapToGrid w:val="0"/>
        <w:spacing w:line="360" w:lineRule="auto"/>
        <w:ind w:firstLine="472" w:firstLineChars="225"/>
        <w:rPr>
          <w:rFonts w:ascii="宋体" w:hAnsi="宋体" w:cs="Arial"/>
          <w:szCs w:val="21"/>
        </w:rPr>
      </w:pPr>
      <w:r>
        <w:rPr>
          <w:rFonts w:hint="eastAsia" w:ascii="宋体" w:hAnsi="宋体" w:cs="Arial"/>
          <w:szCs w:val="21"/>
        </w:rPr>
        <w:t>（3）基金管理人解散、依法被撤销、破产或有其他基金管理人接管基金管理权；</w:t>
      </w:r>
    </w:p>
    <w:p>
      <w:pPr>
        <w:adjustRightInd w:val="0"/>
        <w:snapToGrid w:val="0"/>
        <w:spacing w:line="360" w:lineRule="auto"/>
        <w:ind w:firstLine="472" w:firstLineChars="225"/>
        <w:rPr>
          <w:rFonts w:ascii="宋体" w:hAnsi="宋体" w:cs="Arial"/>
          <w:szCs w:val="21"/>
        </w:rPr>
      </w:pPr>
      <w:r>
        <w:rPr>
          <w:rFonts w:hint="eastAsia" w:ascii="宋体" w:hAnsi="宋体" w:cs="Arial"/>
          <w:szCs w:val="21"/>
        </w:rPr>
        <w:t>（4）发生法律法规或《基金合同》规定的终止事项。</w:t>
      </w:r>
    </w:p>
    <w:p>
      <w:pPr>
        <w:adjustRightInd w:val="0"/>
        <w:snapToGrid w:val="0"/>
        <w:spacing w:line="360" w:lineRule="auto"/>
        <w:ind w:firstLine="472" w:firstLineChars="225"/>
        <w:rPr>
          <w:rFonts w:ascii="宋体" w:hAnsi="宋体" w:cs="Arial"/>
          <w:szCs w:val="21"/>
        </w:rPr>
      </w:pPr>
      <w:r>
        <w:rPr>
          <w:rFonts w:hint="eastAsia" w:ascii="宋体" w:hAnsi="宋体" w:cs="Arial"/>
          <w:szCs w:val="21"/>
        </w:rPr>
        <w:t>（二）基金财产的清算</w:t>
      </w:r>
    </w:p>
    <w:p>
      <w:pPr>
        <w:snapToGrid w:val="0"/>
        <w:spacing w:line="360" w:lineRule="auto"/>
        <w:ind w:firstLine="630" w:firstLineChars="300"/>
        <w:rPr>
          <w:szCs w:val="21"/>
        </w:rPr>
      </w:pPr>
      <w:r>
        <w:rPr>
          <w:rFonts w:hint="eastAsia"/>
          <w:szCs w:val="21"/>
        </w:rPr>
        <w:t>基金管理人与基金托管人按照《基金合同》的约定处理基金财产的清算。</w:t>
      </w:r>
    </w:p>
    <w:p>
      <w:pPr>
        <w:spacing w:before="156" w:beforeLines="50" w:after="156" w:afterLines="50" w:line="500" w:lineRule="atLeast"/>
        <w:jc w:val="center"/>
        <w:outlineLvl w:val="0"/>
        <w:rPr>
          <w:rFonts w:ascii="宋体" w:hAnsi="宋体"/>
          <w:b/>
          <w:sz w:val="24"/>
        </w:rPr>
      </w:pPr>
      <w:bookmarkStart w:id="57" w:name="_Toc131682156"/>
      <w:r>
        <w:rPr>
          <w:rFonts w:hint="eastAsia" w:ascii="宋体" w:hAnsi="宋体"/>
          <w:b/>
          <w:sz w:val="24"/>
        </w:rPr>
        <w:t>十六、违约责任</w:t>
      </w:r>
      <w:bookmarkEnd w:id="57"/>
    </w:p>
    <w:p>
      <w:pPr>
        <w:snapToGrid w:val="0"/>
        <w:spacing w:line="360" w:lineRule="auto"/>
        <w:ind w:firstLine="420" w:firstLineChars="200"/>
        <w:rPr>
          <w:bCs/>
          <w:szCs w:val="21"/>
        </w:rPr>
      </w:pPr>
      <w:r>
        <w:rPr>
          <w:rFonts w:hint="eastAsia" w:ascii="宋体" w:hAnsi="宋体"/>
          <w:szCs w:val="21"/>
        </w:rPr>
        <w:t>（一）如果由于基金管理人或基金托管人的过错，不履行本协议或者违反本协议约定的，有过错的一方应当承担违约责任，给另一方当事人造成损失的，应就直接损失进行赔偿。如果由于双方的过错，不履行本协议或者违反本协议约定的，应根据实际情况，由双方分别承担各自应负的违约责任</w:t>
      </w:r>
      <w:r>
        <w:rPr>
          <w:rFonts w:hint="eastAsia"/>
          <w:bCs/>
          <w:szCs w:val="21"/>
        </w:rPr>
        <w:t>，给基金财产或者基金份额持有人造成损害的，应当分别对各自的行为依法承担赔偿责任；因共同行为给基金财产或者基金份额持有人造成损害的，应当承担连带赔偿责任。</w:t>
      </w:r>
      <w:r>
        <w:rPr>
          <w:rFonts w:hint="eastAsia" w:ascii="宋体" w:hAnsi="宋体"/>
          <w:szCs w:val="21"/>
        </w:rPr>
        <w:t>一方承担连带责任后有权根据另一方过错程度向另一方追偿。</w:t>
      </w:r>
      <w:r>
        <w:rPr>
          <w:rFonts w:hint="eastAsia"/>
          <w:bCs/>
          <w:szCs w:val="21"/>
        </w:rPr>
        <w:t>对损失的赔偿，仅限于直接损失。但是发生下列情况，当事人免责：</w:t>
      </w:r>
    </w:p>
    <w:p>
      <w:pPr>
        <w:adjustRightInd w:val="0"/>
        <w:snapToGrid w:val="0"/>
        <w:spacing w:line="360" w:lineRule="auto"/>
        <w:ind w:firstLine="420" w:firstLineChars="200"/>
        <w:rPr>
          <w:bCs/>
          <w:szCs w:val="21"/>
        </w:rPr>
      </w:pPr>
      <w:r>
        <w:rPr>
          <w:bCs/>
          <w:szCs w:val="21"/>
        </w:rPr>
        <w:t>1</w:t>
      </w:r>
      <w:r>
        <w:rPr>
          <w:rFonts w:hint="eastAsia"/>
          <w:bCs/>
          <w:szCs w:val="21"/>
        </w:rPr>
        <w:t>、不可抗力；</w:t>
      </w:r>
    </w:p>
    <w:p>
      <w:pPr>
        <w:adjustRightInd w:val="0"/>
        <w:snapToGrid w:val="0"/>
        <w:spacing w:line="360" w:lineRule="auto"/>
        <w:ind w:firstLine="420" w:firstLineChars="200"/>
        <w:rPr>
          <w:bCs/>
          <w:szCs w:val="21"/>
        </w:rPr>
      </w:pPr>
      <w:r>
        <w:rPr>
          <w:bCs/>
          <w:szCs w:val="21"/>
        </w:rPr>
        <w:t>2</w:t>
      </w:r>
      <w:r>
        <w:rPr>
          <w:rFonts w:hint="eastAsia"/>
          <w:bCs/>
          <w:szCs w:val="21"/>
        </w:rPr>
        <w:t>、基金管理人和/或基金托管人按照当时有效的法律法规或中国证监会等监管机构的规定作为或不作为而造成的损失等；</w:t>
      </w:r>
    </w:p>
    <w:p>
      <w:pPr>
        <w:adjustRightInd w:val="0"/>
        <w:snapToGrid w:val="0"/>
        <w:spacing w:line="360" w:lineRule="auto"/>
        <w:ind w:firstLine="420" w:firstLineChars="200"/>
        <w:rPr>
          <w:bCs/>
          <w:szCs w:val="21"/>
        </w:rPr>
      </w:pPr>
      <w:r>
        <w:rPr>
          <w:bCs/>
          <w:szCs w:val="21"/>
        </w:rPr>
        <w:t>3</w:t>
      </w:r>
      <w:r>
        <w:rPr>
          <w:rFonts w:hint="eastAsia"/>
          <w:bCs/>
          <w:szCs w:val="21"/>
        </w:rPr>
        <w:t>、基金管理人由于按照《基金合同》规定的投资原则投资或不投资造成的直接损失等。</w:t>
      </w:r>
    </w:p>
    <w:p>
      <w:pPr>
        <w:snapToGrid w:val="0"/>
        <w:spacing w:line="360" w:lineRule="auto"/>
        <w:ind w:firstLine="420" w:firstLineChars="200"/>
        <w:rPr>
          <w:bCs/>
          <w:szCs w:val="21"/>
        </w:rPr>
      </w:pPr>
      <w:r>
        <w:rPr>
          <w:rFonts w:hint="eastAsia" w:ascii="宋体" w:hAnsi="宋体"/>
          <w:szCs w:val="21"/>
        </w:rPr>
        <w:t>（二）</w:t>
      </w:r>
      <w:r>
        <w:rPr>
          <w:rFonts w:hint="eastAsia"/>
          <w:bCs/>
          <w:szCs w:val="21"/>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pPr>
        <w:snapToGrid w:val="0"/>
        <w:spacing w:line="360" w:lineRule="auto"/>
        <w:ind w:firstLine="420" w:firstLineChars="200"/>
        <w:rPr>
          <w:rFonts w:ascii="宋体" w:hAnsi="宋体"/>
          <w:szCs w:val="21"/>
          <w:lang w:val="zh-CN"/>
        </w:rPr>
      </w:pPr>
      <w:r>
        <w:rPr>
          <w:rFonts w:hint="eastAsia" w:ascii="宋体" w:hAnsi="宋体"/>
          <w:szCs w:val="21"/>
          <w:lang w:val="zh-CN"/>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pPr>
        <w:spacing w:before="156" w:beforeLines="50" w:after="156" w:afterLines="50" w:line="500" w:lineRule="atLeast"/>
        <w:jc w:val="center"/>
        <w:outlineLvl w:val="0"/>
        <w:rPr>
          <w:rFonts w:ascii="宋体" w:hAnsi="宋体"/>
          <w:b/>
          <w:sz w:val="24"/>
        </w:rPr>
      </w:pPr>
      <w:bookmarkStart w:id="58" w:name="_Toc131682157"/>
      <w:r>
        <w:rPr>
          <w:rFonts w:hint="eastAsia" w:ascii="宋体" w:hAnsi="宋体"/>
          <w:b/>
          <w:sz w:val="24"/>
        </w:rPr>
        <w:t>十七、适用法律及争议解决方式</w:t>
      </w:r>
      <w:bookmarkEnd w:id="58"/>
    </w:p>
    <w:p>
      <w:pPr>
        <w:snapToGrid w:val="0"/>
        <w:spacing w:line="360" w:lineRule="auto"/>
        <w:ind w:firstLine="420" w:firstLineChars="200"/>
        <w:rPr>
          <w:rFonts w:ascii="宋体" w:hAnsi="宋体"/>
          <w:szCs w:val="21"/>
          <w:lang w:val="zh-CN"/>
        </w:rPr>
      </w:pPr>
      <w:r>
        <w:rPr>
          <w:rFonts w:hint="eastAsia" w:ascii="宋体" w:hAnsi="宋体"/>
          <w:szCs w:val="21"/>
          <w:lang w:val="zh-CN"/>
        </w:rPr>
        <w:t>（一）</w:t>
      </w:r>
      <w:r>
        <w:rPr>
          <w:rFonts w:hint="eastAsia" w:ascii="宋体" w:hAnsi="宋体"/>
          <w:szCs w:val="21"/>
        </w:rPr>
        <w:t>本协议适用中华人民共和国法律（为本协议之目的，在此不包括香港、澳门特别行政区和台湾地区法律），并从其解释。</w:t>
      </w:r>
    </w:p>
    <w:p>
      <w:pPr>
        <w:snapToGrid w:val="0"/>
        <w:spacing w:line="360" w:lineRule="auto"/>
        <w:ind w:firstLine="420" w:firstLineChars="200"/>
        <w:rPr>
          <w:rFonts w:ascii="宋体" w:hAnsi="宋体"/>
          <w:szCs w:val="21"/>
        </w:rPr>
      </w:pPr>
      <w:r>
        <w:rPr>
          <w:rFonts w:hint="eastAsia" w:ascii="宋体" w:hAnsi="宋体"/>
          <w:szCs w:val="21"/>
        </w:rPr>
        <w:t>（二）双方当事人同意，因本协议而产生的或与本协议有关的一切争议，除经友好协商、调解可以解决的，应提交中国国际经济贸易仲裁委员会，根据该会届时有效的仲裁规则进行仲裁，仲裁地点为北京市，仲裁裁决是终局性的并对各方当事人具有约束力。除非仲裁裁决另有规定，仲裁费由败诉方承担。</w:t>
      </w:r>
    </w:p>
    <w:p>
      <w:pPr>
        <w:snapToGrid w:val="0"/>
        <w:spacing w:line="360" w:lineRule="auto"/>
        <w:ind w:firstLine="420" w:firstLineChars="200"/>
        <w:rPr>
          <w:rFonts w:ascii="宋体" w:hAnsi="宋体"/>
          <w:szCs w:val="21"/>
        </w:rPr>
      </w:pPr>
      <w:r>
        <w:rPr>
          <w:rFonts w:hint="eastAsia" w:ascii="宋体" w:hAnsi="宋体"/>
          <w:szCs w:val="21"/>
        </w:rPr>
        <w:t>争议处理期间，双方当事人应恪守基金管理人和基金托管人职责，继续忠实、勤勉、尽责地履行《基金合同》和本托管协议规定的义务，维护基金份额持有人的合法权益。</w:t>
      </w:r>
    </w:p>
    <w:p>
      <w:pPr>
        <w:spacing w:before="156" w:beforeLines="50" w:after="156" w:afterLines="50" w:line="500" w:lineRule="atLeast"/>
        <w:jc w:val="center"/>
        <w:outlineLvl w:val="0"/>
        <w:rPr>
          <w:rFonts w:ascii="宋体" w:hAnsi="宋体"/>
          <w:b/>
          <w:sz w:val="24"/>
        </w:rPr>
      </w:pPr>
      <w:bookmarkStart w:id="59" w:name="_Toc131682158"/>
      <w:r>
        <w:rPr>
          <w:rFonts w:hint="eastAsia" w:ascii="宋体" w:hAnsi="宋体"/>
          <w:b/>
          <w:sz w:val="24"/>
        </w:rPr>
        <w:t>十八、基金托管协议的效力和文本</w:t>
      </w:r>
      <w:bookmarkEnd w:id="59"/>
    </w:p>
    <w:p>
      <w:pPr>
        <w:pStyle w:val="12"/>
        <w:snapToGrid w:val="0"/>
        <w:rPr>
          <w:rFonts w:ascii="宋体" w:hAnsi="宋体"/>
          <w:szCs w:val="21"/>
        </w:rPr>
      </w:pPr>
      <w:r>
        <w:rPr>
          <w:rFonts w:hint="eastAsia" w:ascii="宋体" w:hAnsi="宋体"/>
          <w:szCs w:val="21"/>
        </w:rPr>
        <w:t>（一）</w:t>
      </w:r>
      <w:r>
        <w:rPr>
          <w:rFonts w:hint="eastAsia" w:ascii="宋体" w:hAnsi="宋体" w:cs="Arial"/>
          <w:kern w:val="44"/>
          <w:szCs w:val="21"/>
        </w:rPr>
        <w:t>本协议经基金管理人、基金托管人双方加盖公章或合同专用章以及双方法定代表人或授权代表签字或盖章后成立</w:t>
      </w:r>
      <w:r>
        <w:rPr>
          <w:rFonts w:hint="eastAsia" w:ascii="宋体" w:hAnsi="宋体"/>
          <w:szCs w:val="21"/>
        </w:rPr>
        <w:t>。本协议以中国证监会注册的文本为正式文本。</w:t>
      </w:r>
    </w:p>
    <w:p>
      <w:pPr>
        <w:pStyle w:val="12"/>
        <w:snapToGrid w:val="0"/>
        <w:rPr>
          <w:rFonts w:ascii="宋体" w:hAnsi="宋体"/>
          <w:szCs w:val="21"/>
        </w:rPr>
      </w:pPr>
      <w:r>
        <w:rPr>
          <w:rFonts w:hint="eastAsia" w:ascii="宋体" w:hAnsi="宋体"/>
          <w:szCs w:val="21"/>
        </w:rPr>
        <w:t>（二）本协议自《基金合同》生效之日起生效，有效期自其生效之日起至该基金财产清算报告报中国证监会备案并公告之日止。</w:t>
      </w:r>
    </w:p>
    <w:p>
      <w:pPr>
        <w:snapToGrid w:val="0"/>
        <w:spacing w:line="360" w:lineRule="auto"/>
        <w:ind w:firstLine="420" w:firstLineChars="200"/>
        <w:rPr>
          <w:rFonts w:ascii="宋体" w:hAnsi="宋体"/>
          <w:szCs w:val="21"/>
        </w:rPr>
      </w:pPr>
      <w:r>
        <w:rPr>
          <w:rFonts w:hint="eastAsia" w:ascii="宋体" w:hAnsi="宋体"/>
          <w:szCs w:val="21"/>
        </w:rPr>
        <w:t>（三）本协议自生效之日起对各当事人具有同等的法律约束力。</w:t>
      </w:r>
    </w:p>
    <w:p>
      <w:pPr>
        <w:snapToGrid w:val="0"/>
        <w:spacing w:line="360" w:lineRule="auto"/>
        <w:ind w:firstLine="420" w:firstLineChars="200"/>
        <w:rPr>
          <w:rFonts w:ascii="宋体" w:hAnsi="宋体"/>
          <w:szCs w:val="21"/>
        </w:rPr>
      </w:pPr>
      <w:r>
        <w:rPr>
          <w:rFonts w:hint="eastAsia" w:ascii="宋体" w:hAnsi="宋体"/>
          <w:szCs w:val="21"/>
        </w:rPr>
        <w:t>（四）本协议一式三份，除上报有关监管机构一份外，基金管理人和基金托管人分别持一份，每份具有同等的法律效力。</w:t>
      </w:r>
    </w:p>
    <w:p>
      <w:pPr>
        <w:spacing w:before="156" w:beforeLines="50" w:after="156" w:afterLines="50" w:line="500" w:lineRule="atLeast"/>
        <w:jc w:val="center"/>
        <w:outlineLvl w:val="0"/>
        <w:rPr>
          <w:rFonts w:ascii="宋体" w:hAnsi="宋体"/>
          <w:b/>
          <w:sz w:val="24"/>
        </w:rPr>
      </w:pPr>
      <w:bookmarkStart w:id="60" w:name="_Toc131682159"/>
      <w:r>
        <w:rPr>
          <w:rFonts w:hint="eastAsia" w:ascii="宋体" w:hAnsi="宋体"/>
          <w:b/>
          <w:sz w:val="24"/>
        </w:rPr>
        <w:t>十九、其他事项</w:t>
      </w:r>
      <w:bookmarkEnd w:id="60"/>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t>除本协议有明确定义外，本协议的用语定义适用基金合同的约定。本协议未尽事宜，当事人依据基金合同、有关法律法规等规定协商办理。</w:t>
      </w:r>
    </w:p>
    <w:p>
      <w:pPr>
        <w:pStyle w:val="12"/>
        <w:ind w:firstLine="0" w:firstLineChars="0"/>
        <w:rPr>
          <w:rFonts w:ascii="宋体" w:hAnsi="宋体"/>
          <w:szCs w:val="21"/>
        </w:rPr>
      </w:pPr>
      <w:r>
        <w:rPr>
          <w:rFonts w:hint="eastAsia" w:ascii="宋体" w:hAnsi="宋体"/>
          <w:szCs w:val="21"/>
        </w:rPr>
        <w:t>（本页以下无正文）</w:t>
      </w:r>
    </w:p>
    <w:p>
      <w:pPr>
        <w:pStyle w:val="12"/>
        <w:ind w:firstLine="0" w:firstLineChars="0"/>
        <w:rPr>
          <w:rFonts w:ascii="宋体" w:hAnsi="宋体"/>
          <w:szCs w:val="21"/>
        </w:rPr>
      </w:pPr>
    </w:p>
    <w:p>
      <w:pPr>
        <w:pStyle w:val="12"/>
        <w:ind w:firstLine="0" w:firstLineChars="0"/>
        <w:rPr>
          <w:rFonts w:ascii="宋体" w:hAnsi="宋体"/>
          <w:szCs w:val="21"/>
        </w:rPr>
        <w:sectPr>
          <w:footerReference r:id="rId5" w:type="default"/>
          <w:pgSz w:w="11906" w:h="16838"/>
          <w:pgMar w:top="1440" w:right="1800" w:bottom="1440" w:left="1800" w:header="851" w:footer="992" w:gutter="0"/>
          <w:pgNumType w:start="1"/>
          <w:cols w:space="425" w:num="1"/>
          <w:docGrid w:type="lines" w:linePitch="312" w:charSpace="0"/>
        </w:sectPr>
      </w:pPr>
    </w:p>
    <w:p>
      <w:pPr>
        <w:pStyle w:val="12"/>
        <w:ind w:firstLine="0" w:firstLineChars="0"/>
        <w:rPr>
          <w:rFonts w:ascii="宋体" w:hAnsi="宋体"/>
          <w:szCs w:val="21"/>
        </w:rPr>
      </w:pPr>
      <w:r>
        <w:rPr>
          <w:rFonts w:hint="eastAsia" w:ascii="宋体" w:hAnsi="宋体"/>
          <w:szCs w:val="21"/>
        </w:rPr>
        <w:t>（本页为《</w:t>
      </w:r>
      <w:r>
        <w:rPr>
          <w:rFonts w:hint="eastAsia"/>
          <w:color w:val="000000"/>
        </w:rPr>
        <w:t>工银瑞信新能源先锋混合型发起式证券投资基金</w:t>
      </w:r>
      <w:r>
        <w:rPr>
          <w:rFonts w:hint="eastAsia" w:ascii="宋体" w:hAnsi="宋体"/>
          <w:szCs w:val="21"/>
        </w:rPr>
        <w:t>托管协议》签署页，无正文）</w:t>
      </w:r>
    </w:p>
    <w:p>
      <w:pPr>
        <w:spacing w:line="360" w:lineRule="auto"/>
        <w:ind w:right="26"/>
        <w:rPr>
          <w:rFonts w:ascii="宋体" w:hAnsi="宋体"/>
          <w:b/>
          <w:bCs/>
          <w:szCs w:val="21"/>
        </w:rPr>
      </w:pPr>
    </w:p>
    <w:p>
      <w:pPr>
        <w:spacing w:line="360" w:lineRule="auto"/>
        <w:ind w:right="26"/>
        <w:rPr>
          <w:rFonts w:ascii="宋体" w:hAnsi="宋体"/>
          <w:b/>
          <w:szCs w:val="21"/>
        </w:rPr>
      </w:pPr>
      <w:r>
        <w:rPr>
          <w:rFonts w:hint="eastAsia" w:ascii="宋体" w:hAnsi="宋体"/>
          <w:b/>
          <w:bCs/>
          <w:szCs w:val="21"/>
        </w:rPr>
        <w:t xml:space="preserve">    </w:t>
      </w:r>
      <w:r>
        <w:rPr>
          <w:rFonts w:hint="eastAsia" w:ascii="宋体" w:hAnsi="宋体"/>
          <w:b/>
          <w:szCs w:val="21"/>
        </w:rPr>
        <w:t>本协议由下述双方于__________年______月______日签署。双方确认，在签署本协议时，双方已就全部条款进行了详细地说明和讨论，双方对协议的全部条款均无疑义，并对本协议中当事人有关权利义务和责任限制或免除条款的法律含义有准确无误的理解。</w:t>
      </w:r>
    </w:p>
    <w:p>
      <w:pPr>
        <w:spacing w:line="360" w:lineRule="auto"/>
        <w:ind w:right="26"/>
        <w:rPr>
          <w:rFonts w:ascii="宋体" w:hAnsi="宋体"/>
          <w:szCs w:val="21"/>
        </w:rPr>
      </w:pPr>
    </w:p>
    <w:p>
      <w:pPr>
        <w:spacing w:line="360" w:lineRule="auto"/>
        <w:ind w:right="26"/>
        <w:rPr>
          <w:rFonts w:ascii="宋体" w:hAnsi="宋体"/>
          <w:szCs w:val="21"/>
        </w:rPr>
      </w:pPr>
    </w:p>
    <w:tbl>
      <w:tblPr>
        <w:tblStyle w:val="20"/>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shd w:val="clear" w:color="auto" w:fill="auto"/>
          </w:tcPr>
          <w:p>
            <w:pPr>
              <w:spacing w:line="360" w:lineRule="auto"/>
              <w:ind w:right="26"/>
              <w:rPr>
                <w:rFonts w:ascii="宋体" w:hAnsi="宋体"/>
                <w:b/>
                <w:bCs/>
                <w:szCs w:val="21"/>
              </w:rPr>
            </w:pPr>
            <w:r>
              <w:rPr>
                <w:rFonts w:hint="eastAsia" w:ascii="宋体" w:hAnsi="宋体"/>
                <w:b/>
                <w:szCs w:val="21"/>
              </w:rPr>
              <w:t>基金管理人</w:t>
            </w:r>
            <w:r>
              <w:rPr>
                <w:rFonts w:hint="eastAsia" w:ascii="宋体" w:hAnsi="宋体"/>
                <w:b/>
                <w:bCs/>
                <w:szCs w:val="21"/>
              </w:rPr>
              <w:t>：</w:t>
            </w:r>
          </w:p>
          <w:p>
            <w:pPr>
              <w:spacing w:line="360" w:lineRule="auto"/>
              <w:ind w:right="26"/>
              <w:rPr>
                <w:rFonts w:ascii="宋体" w:hAnsi="宋体"/>
                <w:szCs w:val="21"/>
              </w:rPr>
            </w:pPr>
            <w:r>
              <w:rPr>
                <w:rFonts w:hint="eastAsia" w:ascii="宋体" w:hAnsi="宋体"/>
                <w:b/>
                <w:szCs w:val="21"/>
              </w:rPr>
              <w:t>工银瑞信</w:t>
            </w:r>
            <w:r>
              <w:rPr>
                <w:rFonts w:ascii="宋体" w:hAnsi="宋体"/>
                <w:b/>
                <w:szCs w:val="21"/>
              </w:rPr>
              <w:t>基金管理有限公司</w:t>
            </w:r>
          </w:p>
        </w:tc>
        <w:tc>
          <w:tcPr>
            <w:tcW w:w="4261" w:type="dxa"/>
            <w:shd w:val="clear" w:color="auto" w:fill="auto"/>
          </w:tcPr>
          <w:p>
            <w:pPr>
              <w:spacing w:line="360" w:lineRule="auto"/>
              <w:ind w:right="26"/>
              <w:rPr>
                <w:rFonts w:ascii="宋体" w:hAnsi="宋体"/>
                <w:b/>
                <w:szCs w:val="21"/>
              </w:rPr>
            </w:pPr>
            <w:r>
              <w:rPr>
                <w:rFonts w:hint="eastAsia" w:ascii="宋体" w:hAnsi="宋体"/>
                <w:b/>
                <w:szCs w:val="21"/>
              </w:rPr>
              <w:t>基金托管人：</w:t>
            </w:r>
          </w:p>
          <w:p>
            <w:pPr>
              <w:spacing w:line="360" w:lineRule="auto"/>
              <w:ind w:right="26"/>
              <w:rPr>
                <w:rFonts w:ascii="宋体" w:hAnsi="宋体"/>
                <w:szCs w:val="21"/>
              </w:rPr>
            </w:pPr>
            <w:r>
              <w:rPr>
                <w:rFonts w:hint="eastAsia"/>
                <w:b/>
                <w:bCs/>
                <w:szCs w:val="21"/>
              </w:rPr>
              <w:t>苏州银行股份有限公司</w:t>
            </w:r>
          </w:p>
        </w:tc>
      </w:tr>
      <w:tr>
        <w:tblPrEx>
          <w:tblCellMar>
            <w:top w:w="0" w:type="dxa"/>
            <w:left w:w="108" w:type="dxa"/>
            <w:bottom w:w="0" w:type="dxa"/>
            <w:right w:w="108" w:type="dxa"/>
          </w:tblCellMar>
        </w:tblPrEx>
        <w:tc>
          <w:tcPr>
            <w:tcW w:w="4261" w:type="dxa"/>
            <w:shd w:val="clear" w:color="auto" w:fill="auto"/>
          </w:tcPr>
          <w:p>
            <w:pPr>
              <w:spacing w:line="360" w:lineRule="auto"/>
              <w:ind w:right="26"/>
              <w:rPr>
                <w:rFonts w:ascii="宋体" w:hAnsi="宋体"/>
                <w:b/>
                <w:szCs w:val="21"/>
              </w:rPr>
            </w:pPr>
            <w:r>
              <w:rPr>
                <w:rFonts w:hint="eastAsia" w:ascii="宋体" w:hAnsi="宋体"/>
                <w:b/>
                <w:szCs w:val="21"/>
              </w:rPr>
              <w:t>（公章或合同专用章）</w:t>
            </w:r>
          </w:p>
          <w:p>
            <w:pPr>
              <w:spacing w:line="360" w:lineRule="auto"/>
              <w:ind w:right="26"/>
              <w:rPr>
                <w:rFonts w:ascii="宋体" w:hAnsi="宋体"/>
                <w:szCs w:val="21"/>
              </w:rPr>
            </w:pPr>
          </w:p>
          <w:p>
            <w:pPr>
              <w:spacing w:line="360" w:lineRule="auto"/>
              <w:ind w:right="26"/>
              <w:rPr>
                <w:rFonts w:ascii="宋体" w:hAnsi="宋体"/>
                <w:szCs w:val="21"/>
              </w:rPr>
            </w:pPr>
          </w:p>
        </w:tc>
        <w:tc>
          <w:tcPr>
            <w:tcW w:w="4261" w:type="dxa"/>
            <w:shd w:val="clear" w:color="auto" w:fill="auto"/>
          </w:tcPr>
          <w:p>
            <w:pPr>
              <w:spacing w:line="360" w:lineRule="auto"/>
              <w:ind w:right="26"/>
              <w:rPr>
                <w:rFonts w:ascii="宋体" w:hAnsi="宋体"/>
                <w:b/>
                <w:szCs w:val="21"/>
              </w:rPr>
            </w:pPr>
            <w:r>
              <w:rPr>
                <w:rFonts w:hint="eastAsia" w:ascii="宋体" w:hAnsi="宋体"/>
                <w:b/>
                <w:szCs w:val="21"/>
              </w:rPr>
              <w:t>（公章或合同专用章）</w:t>
            </w:r>
          </w:p>
          <w:p>
            <w:pPr>
              <w:spacing w:line="360" w:lineRule="auto"/>
              <w:ind w:right="26"/>
              <w:rPr>
                <w:rFonts w:ascii="宋体" w:hAnsi="宋体"/>
                <w:szCs w:val="21"/>
              </w:rPr>
            </w:pPr>
          </w:p>
          <w:p>
            <w:pPr>
              <w:spacing w:line="360" w:lineRule="auto"/>
              <w:ind w:right="26"/>
              <w:rPr>
                <w:rFonts w:ascii="宋体" w:hAnsi="宋体"/>
                <w:szCs w:val="21"/>
              </w:rPr>
            </w:pPr>
          </w:p>
        </w:tc>
      </w:tr>
      <w:tr>
        <w:tblPrEx>
          <w:tblCellMar>
            <w:top w:w="0" w:type="dxa"/>
            <w:left w:w="108" w:type="dxa"/>
            <w:bottom w:w="0" w:type="dxa"/>
            <w:right w:w="108" w:type="dxa"/>
          </w:tblCellMar>
        </w:tblPrEx>
        <w:tc>
          <w:tcPr>
            <w:tcW w:w="4261" w:type="dxa"/>
            <w:shd w:val="clear" w:color="auto" w:fill="auto"/>
          </w:tcPr>
          <w:p>
            <w:pPr>
              <w:spacing w:line="360" w:lineRule="auto"/>
              <w:ind w:right="26"/>
              <w:rPr>
                <w:rFonts w:ascii="宋体" w:hAnsi="宋体"/>
                <w:szCs w:val="21"/>
              </w:rPr>
            </w:pPr>
            <w:r>
              <w:rPr>
                <w:rFonts w:hint="eastAsia" w:ascii="宋体" w:hAnsi="宋体"/>
                <w:b/>
                <w:szCs w:val="21"/>
              </w:rPr>
              <w:t>法定代表人或授权代表：</w:t>
            </w:r>
          </w:p>
        </w:tc>
        <w:tc>
          <w:tcPr>
            <w:tcW w:w="4261" w:type="dxa"/>
            <w:shd w:val="clear" w:color="auto" w:fill="auto"/>
          </w:tcPr>
          <w:p>
            <w:pPr>
              <w:spacing w:line="360" w:lineRule="auto"/>
              <w:ind w:right="26"/>
              <w:rPr>
                <w:rFonts w:ascii="宋体" w:hAnsi="宋体"/>
                <w:szCs w:val="21"/>
              </w:rPr>
            </w:pPr>
            <w:r>
              <w:rPr>
                <w:rFonts w:hint="eastAsia" w:ascii="宋体" w:hAnsi="宋体"/>
                <w:b/>
                <w:szCs w:val="21"/>
              </w:rPr>
              <w:t>法定代表人或授权代表：</w:t>
            </w:r>
          </w:p>
        </w:tc>
      </w:tr>
      <w:tr>
        <w:tblPrEx>
          <w:tblCellMar>
            <w:top w:w="0" w:type="dxa"/>
            <w:left w:w="108" w:type="dxa"/>
            <w:bottom w:w="0" w:type="dxa"/>
            <w:right w:w="108" w:type="dxa"/>
          </w:tblCellMar>
        </w:tblPrEx>
        <w:tc>
          <w:tcPr>
            <w:tcW w:w="4261" w:type="dxa"/>
            <w:shd w:val="clear" w:color="auto" w:fill="auto"/>
          </w:tcPr>
          <w:p>
            <w:pPr>
              <w:spacing w:line="360" w:lineRule="auto"/>
              <w:ind w:right="26"/>
              <w:rPr>
                <w:rFonts w:ascii="宋体" w:hAnsi="宋体"/>
                <w:b/>
                <w:szCs w:val="21"/>
              </w:rPr>
            </w:pPr>
            <w:r>
              <w:rPr>
                <w:rFonts w:hint="eastAsia" w:ascii="宋体" w:hAnsi="宋体"/>
                <w:b/>
                <w:szCs w:val="21"/>
              </w:rPr>
              <w:t>（签字或盖章）</w:t>
            </w:r>
          </w:p>
          <w:p>
            <w:pPr>
              <w:spacing w:line="360" w:lineRule="auto"/>
              <w:ind w:right="26"/>
              <w:rPr>
                <w:rFonts w:ascii="宋体" w:hAnsi="宋体"/>
                <w:szCs w:val="21"/>
              </w:rPr>
            </w:pPr>
          </w:p>
        </w:tc>
        <w:tc>
          <w:tcPr>
            <w:tcW w:w="4261" w:type="dxa"/>
            <w:shd w:val="clear" w:color="auto" w:fill="auto"/>
          </w:tcPr>
          <w:p>
            <w:pPr>
              <w:spacing w:line="360" w:lineRule="auto"/>
              <w:ind w:right="26"/>
              <w:rPr>
                <w:rFonts w:ascii="宋体" w:hAnsi="宋体"/>
                <w:b/>
                <w:szCs w:val="21"/>
              </w:rPr>
            </w:pPr>
            <w:r>
              <w:rPr>
                <w:rFonts w:hint="eastAsia" w:ascii="宋体" w:hAnsi="宋体"/>
                <w:b/>
                <w:szCs w:val="21"/>
              </w:rPr>
              <w:t>（签字或盖章）</w:t>
            </w:r>
          </w:p>
          <w:p>
            <w:pPr>
              <w:spacing w:line="360" w:lineRule="auto"/>
              <w:ind w:right="26"/>
              <w:rPr>
                <w:rFonts w:ascii="宋体" w:hAnsi="宋体"/>
                <w:szCs w:val="21"/>
              </w:rPr>
            </w:pPr>
          </w:p>
        </w:tc>
      </w:tr>
      <w:tr>
        <w:tblPrEx>
          <w:tblCellMar>
            <w:top w:w="0" w:type="dxa"/>
            <w:left w:w="108" w:type="dxa"/>
            <w:bottom w:w="0" w:type="dxa"/>
            <w:right w:w="108" w:type="dxa"/>
          </w:tblCellMar>
        </w:tblPrEx>
        <w:tc>
          <w:tcPr>
            <w:tcW w:w="4261" w:type="dxa"/>
            <w:shd w:val="clear" w:color="auto" w:fill="auto"/>
          </w:tcPr>
          <w:p>
            <w:pPr>
              <w:spacing w:line="360" w:lineRule="auto"/>
              <w:ind w:right="26"/>
              <w:rPr>
                <w:rFonts w:ascii="宋体" w:hAnsi="宋体"/>
                <w:szCs w:val="21"/>
              </w:rPr>
            </w:pPr>
          </w:p>
        </w:tc>
        <w:tc>
          <w:tcPr>
            <w:tcW w:w="4261" w:type="dxa"/>
            <w:shd w:val="clear" w:color="auto" w:fill="auto"/>
          </w:tcPr>
          <w:p>
            <w:pPr>
              <w:spacing w:line="360" w:lineRule="auto"/>
              <w:ind w:right="26"/>
              <w:rPr>
                <w:rFonts w:ascii="宋体" w:hAnsi="宋体"/>
                <w:szCs w:val="21"/>
              </w:rPr>
            </w:pPr>
          </w:p>
        </w:tc>
      </w:tr>
    </w:tbl>
    <w:p>
      <w:pPr>
        <w:spacing w:line="360" w:lineRule="auto"/>
        <w:ind w:right="26"/>
        <w:rPr>
          <w:rFonts w:ascii="宋体" w:hAnsi="宋体"/>
          <w:szCs w:val="21"/>
        </w:rPr>
      </w:pPr>
    </w:p>
    <w:p>
      <w:pPr>
        <w:spacing w:line="360" w:lineRule="auto"/>
        <w:ind w:right="26"/>
        <w:rPr>
          <w:rFonts w:ascii="宋体" w:hAnsi="宋体"/>
          <w:szCs w:val="21"/>
        </w:rPr>
      </w:pPr>
    </w:p>
    <w:bookmarkEnd w:id="0"/>
    <w:bookmarkEnd w:id="1"/>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26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6" w:space="0"/>
      </w:pBdr>
      <w:ind w:right="720"/>
      <w:jc w:val="both"/>
    </w:pPr>
    <w:r>
      <w:rPr>
        <w:rFonts w:hint="eastAsia"/>
      </w:rPr>
      <w:t xml:space="preserve">工银瑞信新能源先锋混合型发起式证券投资基金       </w:t>
    </w:r>
    <w:r>
      <w:t xml:space="preserve">                      </w:t>
    </w:r>
    <w:r>
      <w:rPr>
        <w:rFonts w:hint="eastAsia"/>
        <w:lang w:val="en-US" w:eastAsia="zh-CN"/>
      </w:rPr>
      <w:t xml:space="preserve">     </w:t>
    </w:r>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538E2"/>
    <w:multiLevelType w:val="multilevel"/>
    <w:tmpl w:val="266538E2"/>
    <w:lvl w:ilvl="0" w:tentative="0">
      <w:start w:val="1"/>
      <w:numFmt w:val="chineseCountingThousand"/>
      <w:pStyle w:val="3"/>
      <w:lvlText w:val="第%1章  "/>
      <w:lvlJc w:val="left"/>
      <w:pPr>
        <w:tabs>
          <w:tab w:val="left" w:pos="1922"/>
        </w:tabs>
        <w:ind w:left="0" w:firstLine="482"/>
      </w:pPr>
      <w:rPr>
        <w:rFonts w:hint="eastAsia"/>
      </w:rPr>
    </w:lvl>
    <w:lvl w:ilvl="1" w:tentative="0">
      <w:start w:val="1"/>
      <w:numFmt w:val="chineseCountingThousand"/>
      <w:lvlText w:val="第%2节  "/>
      <w:lvlJc w:val="left"/>
      <w:pPr>
        <w:tabs>
          <w:tab w:val="left" w:pos="1922"/>
        </w:tabs>
        <w:ind w:left="0" w:firstLine="482"/>
      </w:pPr>
      <w:rPr>
        <w:rFonts w:hint="eastAsia"/>
      </w:rPr>
    </w:lvl>
    <w:lvl w:ilvl="2" w:tentative="0">
      <w:start w:val="1"/>
      <w:numFmt w:val="chineseCountingThousand"/>
      <w:pStyle w:val="5"/>
      <w:suff w:val="nothing"/>
      <w:lvlText w:val="%3、"/>
      <w:lvlJc w:val="left"/>
      <w:pPr>
        <w:ind w:left="0" w:firstLine="482"/>
      </w:pPr>
      <w:rPr>
        <w:rFonts w:hint="eastAsia" w:ascii="黑体" w:eastAsia="黑体"/>
        <w:b/>
        <w:i w:val="0"/>
        <w:sz w:val="24"/>
      </w:rPr>
    </w:lvl>
    <w:lvl w:ilvl="3" w:tentative="0">
      <w:start w:val="1"/>
      <w:numFmt w:val="chineseCountingThousand"/>
      <w:pStyle w:val="6"/>
      <w:suff w:val="nothing"/>
      <w:lvlText w:val="(%4)"/>
      <w:lvlJc w:val="left"/>
      <w:pPr>
        <w:ind w:left="0" w:firstLine="482"/>
      </w:pPr>
      <w:rPr>
        <w:rFonts w:hint="eastAsia" w:ascii="仿宋_GB2312" w:eastAsia="仿宋_GB2312"/>
        <w:b w:val="0"/>
        <w:i w:val="0"/>
        <w:sz w:val="24"/>
      </w:rPr>
    </w:lvl>
    <w:lvl w:ilvl="4" w:tentative="0">
      <w:start w:val="1"/>
      <w:numFmt w:val="decimal"/>
      <w:pStyle w:val="7"/>
      <w:suff w:val="nothing"/>
      <w:lvlText w:val="%5."/>
      <w:lvlJc w:val="left"/>
      <w:pPr>
        <w:ind w:left="0" w:firstLine="527"/>
      </w:pPr>
      <w:rPr>
        <w:rFonts w:hint="eastAsia" w:ascii="仿宋_GB2312" w:eastAsia="仿宋_GB2312"/>
        <w:b w:val="0"/>
        <w:i w:val="0"/>
        <w:sz w:val="24"/>
      </w:rPr>
    </w:lvl>
    <w:lvl w:ilvl="5" w:tentative="0">
      <w:start w:val="1"/>
      <w:numFmt w:val="decimal"/>
      <w:pStyle w:val="8"/>
      <w:suff w:val="nothing"/>
      <w:lvlText w:val="(%6)"/>
      <w:lvlJc w:val="left"/>
      <w:pPr>
        <w:ind w:left="0" w:firstLine="482"/>
      </w:pPr>
      <w:rPr>
        <w:rFonts w:hint="eastAsia" w:ascii="仿宋_GB2312" w:eastAsia="仿宋_GB2312"/>
        <w:b w:val="0"/>
        <w:i w:val="0"/>
        <w:sz w:val="24"/>
      </w:rPr>
    </w:lvl>
    <w:lvl w:ilvl="6" w:tentative="0">
      <w:start w:val="1"/>
      <w:numFmt w:val="bullet"/>
      <w:pStyle w:val="9"/>
      <w:lvlText w:val="①"/>
      <w:lvlJc w:val="left"/>
      <w:pPr>
        <w:tabs>
          <w:tab w:val="left" w:pos="2835"/>
        </w:tabs>
        <w:ind w:left="2835" w:hanging="426"/>
      </w:pPr>
      <w:rPr>
        <w:rFonts w:hint="eastAsia" w:ascii="宋体" w:eastAsia="宋体"/>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5MzY1ZjdhMzczNWIwYzRkMTU3NzNiNjI5YWQwMWMifQ=="/>
  </w:docVars>
  <w:rsids>
    <w:rsidRoot w:val="003A2B06"/>
    <w:rsid w:val="0000433F"/>
    <w:rsid w:val="000115B9"/>
    <w:rsid w:val="00014998"/>
    <w:rsid w:val="00023C74"/>
    <w:rsid w:val="000246AC"/>
    <w:rsid w:val="00050C79"/>
    <w:rsid w:val="00053197"/>
    <w:rsid w:val="0006509E"/>
    <w:rsid w:val="00070C46"/>
    <w:rsid w:val="00071CD6"/>
    <w:rsid w:val="00080622"/>
    <w:rsid w:val="000A0CB1"/>
    <w:rsid w:val="000A6F20"/>
    <w:rsid w:val="000B23CC"/>
    <w:rsid w:val="000B5D99"/>
    <w:rsid w:val="000C035A"/>
    <w:rsid w:val="000D29E9"/>
    <w:rsid w:val="000E7AE1"/>
    <w:rsid w:val="000F1EB1"/>
    <w:rsid w:val="000F1F82"/>
    <w:rsid w:val="000F581B"/>
    <w:rsid w:val="001142CF"/>
    <w:rsid w:val="00123617"/>
    <w:rsid w:val="001244AC"/>
    <w:rsid w:val="001307AC"/>
    <w:rsid w:val="001336A6"/>
    <w:rsid w:val="00136DD3"/>
    <w:rsid w:val="001414B7"/>
    <w:rsid w:val="00162C4A"/>
    <w:rsid w:val="0016302A"/>
    <w:rsid w:val="00170D13"/>
    <w:rsid w:val="001765AC"/>
    <w:rsid w:val="00177C69"/>
    <w:rsid w:val="00184267"/>
    <w:rsid w:val="00190962"/>
    <w:rsid w:val="00196629"/>
    <w:rsid w:val="001A1969"/>
    <w:rsid w:val="001A60A9"/>
    <w:rsid w:val="001C483E"/>
    <w:rsid w:val="001C5433"/>
    <w:rsid w:val="001D08FB"/>
    <w:rsid w:val="001D0DAB"/>
    <w:rsid w:val="001D3F68"/>
    <w:rsid w:val="001E5C97"/>
    <w:rsid w:val="001F1CE7"/>
    <w:rsid w:val="001F5830"/>
    <w:rsid w:val="00202540"/>
    <w:rsid w:val="00203F42"/>
    <w:rsid w:val="00207A5A"/>
    <w:rsid w:val="002127C0"/>
    <w:rsid w:val="00215424"/>
    <w:rsid w:val="0021752A"/>
    <w:rsid w:val="0021752F"/>
    <w:rsid w:val="002217F6"/>
    <w:rsid w:val="00221B2B"/>
    <w:rsid w:val="002462E1"/>
    <w:rsid w:val="00253D75"/>
    <w:rsid w:val="002571C9"/>
    <w:rsid w:val="002579BA"/>
    <w:rsid w:val="002618B2"/>
    <w:rsid w:val="002653F6"/>
    <w:rsid w:val="002755B8"/>
    <w:rsid w:val="00276C95"/>
    <w:rsid w:val="00283DF3"/>
    <w:rsid w:val="00296AF1"/>
    <w:rsid w:val="002B41A6"/>
    <w:rsid w:val="002C1EAB"/>
    <w:rsid w:val="002C7C71"/>
    <w:rsid w:val="002D43CF"/>
    <w:rsid w:val="002E09AD"/>
    <w:rsid w:val="002E3498"/>
    <w:rsid w:val="002E6D62"/>
    <w:rsid w:val="002F2FB4"/>
    <w:rsid w:val="002F42EB"/>
    <w:rsid w:val="002F648B"/>
    <w:rsid w:val="00305460"/>
    <w:rsid w:val="00311165"/>
    <w:rsid w:val="00315ECD"/>
    <w:rsid w:val="00322086"/>
    <w:rsid w:val="00327DA9"/>
    <w:rsid w:val="00334542"/>
    <w:rsid w:val="00346D25"/>
    <w:rsid w:val="003537BF"/>
    <w:rsid w:val="003706C7"/>
    <w:rsid w:val="00382975"/>
    <w:rsid w:val="00383D7B"/>
    <w:rsid w:val="003902A2"/>
    <w:rsid w:val="003A1509"/>
    <w:rsid w:val="003A2B06"/>
    <w:rsid w:val="003B6C0A"/>
    <w:rsid w:val="003B7EFD"/>
    <w:rsid w:val="003C3043"/>
    <w:rsid w:val="003C6A2C"/>
    <w:rsid w:val="003C79A0"/>
    <w:rsid w:val="003D50F9"/>
    <w:rsid w:val="003E1C92"/>
    <w:rsid w:val="003E2D2D"/>
    <w:rsid w:val="00404C4E"/>
    <w:rsid w:val="00405CFB"/>
    <w:rsid w:val="00411554"/>
    <w:rsid w:val="00420BF2"/>
    <w:rsid w:val="004222B9"/>
    <w:rsid w:val="004257B0"/>
    <w:rsid w:val="00430088"/>
    <w:rsid w:val="004315E0"/>
    <w:rsid w:val="00492648"/>
    <w:rsid w:val="004B55F9"/>
    <w:rsid w:val="004C3AF6"/>
    <w:rsid w:val="004C5AC8"/>
    <w:rsid w:val="004C6204"/>
    <w:rsid w:val="004D6E5D"/>
    <w:rsid w:val="004E4CB4"/>
    <w:rsid w:val="004F25BD"/>
    <w:rsid w:val="004F5CDF"/>
    <w:rsid w:val="004F72D8"/>
    <w:rsid w:val="00500FCD"/>
    <w:rsid w:val="005111D9"/>
    <w:rsid w:val="005134AB"/>
    <w:rsid w:val="00514009"/>
    <w:rsid w:val="00526218"/>
    <w:rsid w:val="0053109A"/>
    <w:rsid w:val="00541FE8"/>
    <w:rsid w:val="00542EBE"/>
    <w:rsid w:val="00544A0E"/>
    <w:rsid w:val="00550C97"/>
    <w:rsid w:val="00556EDA"/>
    <w:rsid w:val="0056355B"/>
    <w:rsid w:val="005766FA"/>
    <w:rsid w:val="0058322F"/>
    <w:rsid w:val="00587F80"/>
    <w:rsid w:val="005A24B0"/>
    <w:rsid w:val="005A4382"/>
    <w:rsid w:val="005B5D51"/>
    <w:rsid w:val="005C20ED"/>
    <w:rsid w:val="005D4B72"/>
    <w:rsid w:val="005E0FA7"/>
    <w:rsid w:val="005E1D48"/>
    <w:rsid w:val="005F58D9"/>
    <w:rsid w:val="00604DA6"/>
    <w:rsid w:val="00606BC5"/>
    <w:rsid w:val="00606F78"/>
    <w:rsid w:val="006141EA"/>
    <w:rsid w:val="00616938"/>
    <w:rsid w:val="006208B9"/>
    <w:rsid w:val="0062434E"/>
    <w:rsid w:val="00624ACC"/>
    <w:rsid w:val="0062565D"/>
    <w:rsid w:val="00632389"/>
    <w:rsid w:val="00641021"/>
    <w:rsid w:val="006415BD"/>
    <w:rsid w:val="006442DD"/>
    <w:rsid w:val="00646EA1"/>
    <w:rsid w:val="006520E2"/>
    <w:rsid w:val="006543CF"/>
    <w:rsid w:val="00655268"/>
    <w:rsid w:val="00660993"/>
    <w:rsid w:val="006835B2"/>
    <w:rsid w:val="00687BA3"/>
    <w:rsid w:val="0069592C"/>
    <w:rsid w:val="00696A47"/>
    <w:rsid w:val="006B1820"/>
    <w:rsid w:val="006D2C42"/>
    <w:rsid w:val="006D3C44"/>
    <w:rsid w:val="006D5511"/>
    <w:rsid w:val="006F42CC"/>
    <w:rsid w:val="006F7FAF"/>
    <w:rsid w:val="007005FB"/>
    <w:rsid w:val="007034DC"/>
    <w:rsid w:val="0070524E"/>
    <w:rsid w:val="00713B65"/>
    <w:rsid w:val="00726C5C"/>
    <w:rsid w:val="00740581"/>
    <w:rsid w:val="00746D1B"/>
    <w:rsid w:val="00750583"/>
    <w:rsid w:val="00754C24"/>
    <w:rsid w:val="0076060B"/>
    <w:rsid w:val="00762441"/>
    <w:rsid w:val="0077255F"/>
    <w:rsid w:val="00775D65"/>
    <w:rsid w:val="007769C6"/>
    <w:rsid w:val="0078013D"/>
    <w:rsid w:val="00780E43"/>
    <w:rsid w:val="00783598"/>
    <w:rsid w:val="007966F7"/>
    <w:rsid w:val="007A49E2"/>
    <w:rsid w:val="007D279E"/>
    <w:rsid w:val="007D5F79"/>
    <w:rsid w:val="007D5F9E"/>
    <w:rsid w:val="007D6785"/>
    <w:rsid w:val="007E2305"/>
    <w:rsid w:val="007E4DF4"/>
    <w:rsid w:val="007F0A93"/>
    <w:rsid w:val="007F76B7"/>
    <w:rsid w:val="008050F2"/>
    <w:rsid w:val="0081300A"/>
    <w:rsid w:val="008165E6"/>
    <w:rsid w:val="00826455"/>
    <w:rsid w:val="0082736C"/>
    <w:rsid w:val="00836413"/>
    <w:rsid w:val="00836D95"/>
    <w:rsid w:val="008434C1"/>
    <w:rsid w:val="00844319"/>
    <w:rsid w:val="008450D5"/>
    <w:rsid w:val="00855F35"/>
    <w:rsid w:val="00857893"/>
    <w:rsid w:val="0087186C"/>
    <w:rsid w:val="00882EB9"/>
    <w:rsid w:val="008923C7"/>
    <w:rsid w:val="00896D7C"/>
    <w:rsid w:val="008A0CDF"/>
    <w:rsid w:val="008A1DE5"/>
    <w:rsid w:val="008C1C0E"/>
    <w:rsid w:val="008C6B61"/>
    <w:rsid w:val="008C7629"/>
    <w:rsid w:val="008D4C0E"/>
    <w:rsid w:val="008D5899"/>
    <w:rsid w:val="008E5DC6"/>
    <w:rsid w:val="008F0CBE"/>
    <w:rsid w:val="008F6629"/>
    <w:rsid w:val="00910FEB"/>
    <w:rsid w:val="00913508"/>
    <w:rsid w:val="009149A1"/>
    <w:rsid w:val="00917E55"/>
    <w:rsid w:val="0093228F"/>
    <w:rsid w:val="009342DB"/>
    <w:rsid w:val="009656CC"/>
    <w:rsid w:val="00966CAB"/>
    <w:rsid w:val="00977A77"/>
    <w:rsid w:val="00980631"/>
    <w:rsid w:val="009910C6"/>
    <w:rsid w:val="00991109"/>
    <w:rsid w:val="0099659A"/>
    <w:rsid w:val="009A79AC"/>
    <w:rsid w:val="009B5380"/>
    <w:rsid w:val="009B60E9"/>
    <w:rsid w:val="009C08CC"/>
    <w:rsid w:val="009D2D46"/>
    <w:rsid w:val="009D7424"/>
    <w:rsid w:val="00A040BD"/>
    <w:rsid w:val="00A04D17"/>
    <w:rsid w:val="00A16100"/>
    <w:rsid w:val="00A16F02"/>
    <w:rsid w:val="00A16FEA"/>
    <w:rsid w:val="00A265EC"/>
    <w:rsid w:val="00A26664"/>
    <w:rsid w:val="00A436B5"/>
    <w:rsid w:val="00A53663"/>
    <w:rsid w:val="00A54F1E"/>
    <w:rsid w:val="00A72A03"/>
    <w:rsid w:val="00A823E2"/>
    <w:rsid w:val="00A87497"/>
    <w:rsid w:val="00A90925"/>
    <w:rsid w:val="00A916A3"/>
    <w:rsid w:val="00A91C0C"/>
    <w:rsid w:val="00A922F4"/>
    <w:rsid w:val="00A969E2"/>
    <w:rsid w:val="00AA13D2"/>
    <w:rsid w:val="00AA7CC3"/>
    <w:rsid w:val="00AB2BF1"/>
    <w:rsid w:val="00AC0B54"/>
    <w:rsid w:val="00AC5D35"/>
    <w:rsid w:val="00AD39FB"/>
    <w:rsid w:val="00AD5AAA"/>
    <w:rsid w:val="00AE3758"/>
    <w:rsid w:val="00AF0811"/>
    <w:rsid w:val="00AF5BE0"/>
    <w:rsid w:val="00B01436"/>
    <w:rsid w:val="00B03DC3"/>
    <w:rsid w:val="00B05A74"/>
    <w:rsid w:val="00B069C9"/>
    <w:rsid w:val="00B16C4A"/>
    <w:rsid w:val="00B20D91"/>
    <w:rsid w:val="00B3245D"/>
    <w:rsid w:val="00B353FD"/>
    <w:rsid w:val="00B355F2"/>
    <w:rsid w:val="00B44094"/>
    <w:rsid w:val="00B639D3"/>
    <w:rsid w:val="00B935B0"/>
    <w:rsid w:val="00B972AD"/>
    <w:rsid w:val="00BA076E"/>
    <w:rsid w:val="00BA32CC"/>
    <w:rsid w:val="00BB171D"/>
    <w:rsid w:val="00BB3CC1"/>
    <w:rsid w:val="00BC0A0A"/>
    <w:rsid w:val="00BD0108"/>
    <w:rsid w:val="00BD1528"/>
    <w:rsid w:val="00BD2902"/>
    <w:rsid w:val="00BD7254"/>
    <w:rsid w:val="00C023F6"/>
    <w:rsid w:val="00C067F9"/>
    <w:rsid w:val="00C06D2E"/>
    <w:rsid w:val="00C22A3F"/>
    <w:rsid w:val="00C23363"/>
    <w:rsid w:val="00C253C3"/>
    <w:rsid w:val="00C25BDD"/>
    <w:rsid w:val="00C30D19"/>
    <w:rsid w:val="00C41C25"/>
    <w:rsid w:val="00C4305C"/>
    <w:rsid w:val="00C45A10"/>
    <w:rsid w:val="00C61153"/>
    <w:rsid w:val="00C61BA6"/>
    <w:rsid w:val="00C62ACD"/>
    <w:rsid w:val="00C65693"/>
    <w:rsid w:val="00C66FF3"/>
    <w:rsid w:val="00C70DAB"/>
    <w:rsid w:val="00C72CA6"/>
    <w:rsid w:val="00C820A3"/>
    <w:rsid w:val="00C8335D"/>
    <w:rsid w:val="00C838D1"/>
    <w:rsid w:val="00C84979"/>
    <w:rsid w:val="00C95FA2"/>
    <w:rsid w:val="00CB3F9F"/>
    <w:rsid w:val="00CB7F5F"/>
    <w:rsid w:val="00CE7E31"/>
    <w:rsid w:val="00CF3356"/>
    <w:rsid w:val="00CF6712"/>
    <w:rsid w:val="00D05079"/>
    <w:rsid w:val="00D2332F"/>
    <w:rsid w:val="00D30E3A"/>
    <w:rsid w:val="00D32C3A"/>
    <w:rsid w:val="00D3667B"/>
    <w:rsid w:val="00D46BD4"/>
    <w:rsid w:val="00D5332D"/>
    <w:rsid w:val="00D5351B"/>
    <w:rsid w:val="00D55A2D"/>
    <w:rsid w:val="00D56099"/>
    <w:rsid w:val="00D57194"/>
    <w:rsid w:val="00D606A2"/>
    <w:rsid w:val="00D70346"/>
    <w:rsid w:val="00D85EAE"/>
    <w:rsid w:val="00D8649A"/>
    <w:rsid w:val="00DA08FD"/>
    <w:rsid w:val="00DD4D55"/>
    <w:rsid w:val="00DE2F85"/>
    <w:rsid w:val="00DF2D73"/>
    <w:rsid w:val="00E0707B"/>
    <w:rsid w:val="00E110A4"/>
    <w:rsid w:val="00E13468"/>
    <w:rsid w:val="00E205B3"/>
    <w:rsid w:val="00E3001C"/>
    <w:rsid w:val="00E324C3"/>
    <w:rsid w:val="00E33B94"/>
    <w:rsid w:val="00E34CD7"/>
    <w:rsid w:val="00E4253F"/>
    <w:rsid w:val="00E44CB0"/>
    <w:rsid w:val="00E47959"/>
    <w:rsid w:val="00E5321C"/>
    <w:rsid w:val="00E5578C"/>
    <w:rsid w:val="00E60394"/>
    <w:rsid w:val="00E64669"/>
    <w:rsid w:val="00E65EC9"/>
    <w:rsid w:val="00E710CD"/>
    <w:rsid w:val="00E734D0"/>
    <w:rsid w:val="00E76287"/>
    <w:rsid w:val="00E851A7"/>
    <w:rsid w:val="00E86DC0"/>
    <w:rsid w:val="00E87AC2"/>
    <w:rsid w:val="00EA2610"/>
    <w:rsid w:val="00EA7683"/>
    <w:rsid w:val="00ED1A9F"/>
    <w:rsid w:val="00ED47D6"/>
    <w:rsid w:val="00EE7078"/>
    <w:rsid w:val="00EF244B"/>
    <w:rsid w:val="00EF3D27"/>
    <w:rsid w:val="00F01CE3"/>
    <w:rsid w:val="00F12D7B"/>
    <w:rsid w:val="00F17853"/>
    <w:rsid w:val="00F243ED"/>
    <w:rsid w:val="00F527EC"/>
    <w:rsid w:val="00F64FE6"/>
    <w:rsid w:val="00F93F10"/>
    <w:rsid w:val="00F944A9"/>
    <w:rsid w:val="00FA5B52"/>
    <w:rsid w:val="00FA77A2"/>
    <w:rsid w:val="00FC0797"/>
    <w:rsid w:val="00FC5E79"/>
    <w:rsid w:val="00FD2A78"/>
    <w:rsid w:val="00FE3104"/>
    <w:rsid w:val="00FF4C78"/>
    <w:rsid w:val="0156469A"/>
    <w:rsid w:val="016F46B4"/>
    <w:rsid w:val="03737A6D"/>
    <w:rsid w:val="039A36FB"/>
    <w:rsid w:val="066C3CF1"/>
    <w:rsid w:val="080B40E7"/>
    <w:rsid w:val="093443AA"/>
    <w:rsid w:val="0B4C611E"/>
    <w:rsid w:val="0B922D4C"/>
    <w:rsid w:val="0F90527D"/>
    <w:rsid w:val="10D31E43"/>
    <w:rsid w:val="146D03B0"/>
    <w:rsid w:val="159E5049"/>
    <w:rsid w:val="166B719C"/>
    <w:rsid w:val="17454408"/>
    <w:rsid w:val="176822BE"/>
    <w:rsid w:val="17F34FFF"/>
    <w:rsid w:val="1B113C88"/>
    <w:rsid w:val="1D5868BC"/>
    <w:rsid w:val="1D7C2114"/>
    <w:rsid w:val="1DEA7E38"/>
    <w:rsid w:val="1F8E649F"/>
    <w:rsid w:val="213B089B"/>
    <w:rsid w:val="21F169D8"/>
    <w:rsid w:val="236F766A"/>
    <w:rsid w:val="24CE5B9D"/>
    <w:rsid w:val="251F7F55"/>
    <w:rsid w:val="281C4C20"/>
    <w:rsid w:val="28BA1A0A"/>
    <w:rsid w:val="2DE02D6C"/>
    <w:rsid w:val="2EB450A8"/>
    <w:rsid w:val="3109215E"/>
    <w:rsid w:val="31333906"/>
    <w:rsid w:val="33284507"/>
    <w:rsid w:val="34362C58"/>
    <w:rsid w:val="379B04D0"/>
    <w:rsid w:val="39C50E6C"/>
    <w:rsid w:val="3CC422A1"/>
    <w:rsid w:val="3F4F7069"/>
    <w:rsid w:val="40107C86"/>
    <w:rsid w:val="40FB3B61"/>
    <w:rsid w:val="42690387"/>
    <w:rsid w:val="43CA030C"/>
    <w:rsid w:val="456A5C78"/>
    <w:rsid w:val="459567E7"/>
    <w:rsid w:val="46A25468"/>
    <w:rsid w:val="48971171"/>
    <w:rsid w:val="49A36C92"/>
    <w:rsid w:val="4A831123"/>
    <w:rsid w:val="4CAF5E87"/>
    <w:rsid w:val="4F3453AA"/>
    <w:rsid w:val="501C017E"/>
    <w:rsid w:val="547F7BAE"/>
    <w:rsid w:val="548E4E53"/>
    <w:rsid w:val="55F47B12"/>
    <w:rsid w:val="57656078"/>
    <w:rsid w:val="5ABC66B2"/>
    <w:rsid w:val="5B9D4B0E"/>
    <w:rsid w:val="5D473B25"/>
    <w:rsid w:val="63DA21D9"/>
    <w:rsid w:val="641E5537"/>
    <w:rsid w:val="67DC6DC9"/>
    <w:rsid w:val="691765EF"/>
    <w:rsid w:val="6C4D36A2"/>
    <w:rsid w:val="6E1D4546"/>
    <w:rsid w:val="72BE6028"/>
    <w:rsid w:val="739A2C4A"/>
    <w:rsid w:val="74866DED"/>
    <w:rsid w:val="79AD2F11"/>
    <w:rsid w:val="7BDE04EB"/>
    <w:rsid w:val="7CB73DDB"/>
    <w:rsid w:val="7CD91998"/>
    <w:rsid w:val="7D497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0"/>
    <w:pPr>
      <w:keepNext/>
      <w:keepLines/>
      <w:numPr>
        <w:ilvl w:val="0"/>
        <w:numId w:val="1"/>
      </w:numPr>
      <w:spacing w:before="120" w:after="120" w:line="360" w:lineRule="auto"/>
      <w:jc w:val="center"/>
      <w:outlineLvl w:val="0"/>
    </w:pPr>
    <w:rPr>
      <w:rFonts w:ascii="黑体" w:eastAsia="黑体"/>
      <w:b/>
      <w:kern w:val="44"/>
      <w:sz w:val="32"/>
      <w:szCs w:val="20"/>
      <w:lang w:val="zh-CN"/>
    </w:rPr>
  </w:style>
  <w:style w:type="paragraph" w:styleId="4">
    <w:name w:val="heading 2"/>
    <w:basedOn w:val="1"/>
    <w:next w:val="1"/>
    <w:link w:val="2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8"/>
    <w:qFormat/>
    <w:uiPriority w:val="0"/>
    <w:pPr>
      <w:numPr>
        <w:ilvl w:val="2"/>
        <w:numId w:val="1"/>
      </w:numPr>
      <w:spacing w:before="240" w:after="240" w:line="360" w:lineRule="auto"/>
      <w:jc w:val="center"/>
      <w:outlineLvl w:val="2"/>
    </w:pPr>
    <w:rPr>
      <w:rFonts w:ascii="Arial" w:hAnsi="Arial" w:eastAsia="仿宋_GB2312"/>
      <w:b/>
      <w:sz w:val="24"/>
      <w:szCs w:val="20"/>
      <w:lang w:val="zh-CN"/>
    </w:rPr>
  </w:style>
  <w:style w:type="paragraph" w:styleId="6">
    <w:name w:val="heading 4"/>
    <w:basedOn w:val="1"/>
    <w:next w:val="1"/>
    <w:link w:val="29"/>
    <w:qFormat/>
    <w:uiPriority w:val="0"/>
    <w:pPr>
      <w:keepNext/>
      <w:keepLines/>
      <w:numPr>
        <w:ilvl w:val="3"/>
        <w:numId w:val="1"/>
      </w:numPr>
      <w:spacing w:line="360" w:lineRule="auto"/>
      <w:outlineLvl w:val="3"/>
    </w:pPr>
    <w:rPr>
      <w:rFonts w:ascii="Arial" w:hAnsi="Arial" w:eastAsia="仿宋_GB2312"/>
      <w:sz w:val="24"/>
      <w:szCs w:val="20"/>
      <w:lang w:val="zh-CN"/>
    </w:rPr>
  </w:style>
  <w:style w:type="paragraph" w:styleId="7">
    <w:name w:val="heading 5"/>
    <w:basedOn w:val="1"/>
    <w:next w:val="1"/>
    <w:link w:val="30"/>
    <w:qFormat/>
    <w:uiPriority w:val="0"/>
    <w:pPr>
      <w:numPr>
        <w:ilvl w:val="4"/>
        <w:numId w:val="1"/>
      </w:numPr>
      <w:spacing w:line="360" w:lineRule="auto"/>
      <w:outlineLvl w:val="4"/>
    </w:pPr>
    <w:rPr>
      <w:rFonts w:ascii="Arial" w:hAnsi="Arial" w:eastAsia="仿宋_GB2312"/>
      <w:sz w:val="24"/>
      <w:szCs w:val="20"/>
      <w:lang w:val="zh-CN"/>
    </w:rPr>
  </w:style>
  <w:style w:type="paragraph" w:styleId="8">
    <w:name w:val="heading 6"/>
    <w:basedOn w:val="1"/>
    <w:next w:val="1"/>
    <w:link w:val="31"/>
    <w:qFormat/>
    <w:uiPriority w:val="0"/>
    <w:pPr>
      <w:numPr>
        <w:ilvl w:val="5"/>
        <w:numId w:val="1"/>
      </w:numPr>
      <w:spacing w:line="300" w:lineRule="auto"/>
      <w:outlineLvl w:val="5"/>
    </w:pPr>
    <w:rPr>
      <w:rFonts w:ascii="Arial" w:hAnsi="Arial" w:eastAsia="仿宋_GB2312"/>
      <w:sz w:val="24"/>
      <w:szCs w:val="20"/>
      <w:lang w:val="zh-CN"/>
    </w:rPr>
  </w:style>
  <w:style w:type="paragraph" w:styleId="9">
    <w:name w:val="heading 7"/>
    <w:basedOn w:val="1"/>
    <w:next w:val="10"/>
    <w:link w:val="32"/>
    <w:qFormat/>
    <w:uiPriority w:val="0"/>
    <w:pPr>
      <w:keepNext/>
      <w:keepLines/>
      <w:numPr>
        <w:ilvl w:val="6"/>
        <w:numId w:val="1"/>
      </w:numPr>
      <w:spacing w:line="360" w:lineRule="auto"/>
      <w:outlineLvl w:val="6"/>
    </w:pPr>
    <w:rPr>
      <w:rFonts w:ascii="仿宋_GB2312" w:eastAsia="仿宋_GB2312"/>
      <w:sz w:val="24"/>
      <w:szCs w:val="20"/>
      <w:lang w:val="zh-CN"/>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7"/>
    <w:semiHidden/>
    <w:unhideWhenUsed/>
    <w:qFormat/>
    <w:uiPriority w:val="99"/>
    <w:rPr>
      <w:sz w:val="18"/>
      <w:szCs w:val="18"/>
    </w:rPr>
  </w:style>
  <w:style w:type="paragraph" w:styleId="10">
    <w:name w:val="Normal Indent"/>
    <w:basedOn w:val="1"/>
    <w:link w:val="35"/>
    <w:qFormat/>
    <w:uiPriority w:val="99"/>
    <w:pPr>
      <w:ind w:firstLine="420" w:firstLineChars="200"/>
    </w:pPr>
    <w:rPr>
      <w:rFonts w:ascii="Calibri" w:hAnsi="Calibri"/>
    </w:rPr>
  </w:style>
  <w:style w:type="paragraph" w:styleId="11">
    <w:name w:val="annotation text"/>
    <w:basedOn w:val="1"/>
    <w:link w:val="38"/>
    <w:unhideWhenUsed/>
    <w:qFormat/>
    <w:uiPriority w:val="99"/>
    <w:pPr>
      <w:jc w:val="left"/>
    </w:pPr>
  </w:style>
  <w:style w:type="paragraph" w:styleId="12">
    <w:name w:val="Body Text Indent"/>
    <w:basedOn w:val="1"/>
    <w:link w:val="34"/>
    <w:qFormat/>
    <w:uiPriority w:val="0"/>
    <w:pPr>
      <w:spacing w:line="360" w:lineRule="auto"/>
      <w:ind w:firstLine="359" w:firstLineChars="171"/>
    </w:pPr>
    <w:rPr>
      <w:lang w:val="zh-CN"/>
    </w:rPr>
  </w:style>
  <w:style w:type="paragraph" w:styleId="13">
    <w:name w:val="Body Text Indent 2"/>
    <w:basedOn w:val="1"/>
    <w:link w:val="33"/>
    <w:qFormat/>
    <w:uiPriority w:val="0"/>
    <w:pPr>
      <w:spacing w:line="360" w:lineRule="auto"/>
      <w:ind w:firstLine="480"/>
      <w:outlineLvl w:val="0"/>
    </w:pPr>
    <w:rPr>
      <w:rFonts w:ascii="仿宋_GB2312" w:hAnsi="Calibri" w:eastAsia="仿宋_GB2312"/>
      <w:sz w:val="24"/>
      <w:szCs w:val="20"/>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11"/>
    <w:next w:val="11"/>
    <w:link w:val="39"/>
    <w:semiHidden/>
    <w:unhideWhenUsed/>
    <w:qFormat/>
    <w:uiPriority w:val="99"/>
    <w:rPr>
      <w:b/>
      <w:bCs/>
    </w:rPr>
  </w:style>
  <w:style w:type="character" w:styleId="22">
    <w:name w:val="Hyperlink"/>
    <w:qFormat/>
    <w:uiPriority w:val="99"/>
    <w:rPr>
      <w:color w:val="0000FF"/>
      <w:u w:val="single"/>
    </w:rPr>
  </w:style>
  <w:style w:type="character" w:styleId="23">
    <w:name w:val="annotation reference"/>
    <w:basedOn w:val="21"/>
    <w:semiHidden/>
    <w:unhideWhenUsed/>
    <w:qFormat/>
    <w:uiPriority w:val="99"/>
    <w:rPr>
      <w:sz w:val="21"/>
      <w:szCs w:val="21"/>
    </w:rPr>
  </w:style>
  <w:style w:type="character" w:customStyle="1" w:styleId="24">
    <w:name w:val="页眉 Char"/>
    <w:basedOn w:val="21"/>
    <w:link w:val="15"/>
    <w:qFormat/>
    <w:uiPriority w:val="99"/>
    <w:rPr>
      <w:sz w:val="18"/>
      <w:szCs w:val="18"/>
    </w:rPr>
  </w:style>
  <w:style w:type="character" w:customStyle="1" w:styleId="25">
    <w:name w:val="页脚 Char"/>
    <w:basedOn w:val="21"/>
    <w:link w:val="14"/>
    <w:qFormat/>
    <w:uiPriority w:val="99"/>
    <w:rPr>
      <w:sz w:val="18"/>
      <w:szCs w:val="18"/>
    </w:rPr>
  </w:style>
  <w:style w:type="character" w:customStyle="1" w:styleId="26">
    <w:name w:val="标题 1 Char"/>
    <w:basedOn w:val="21"/>
    <w:link w:val="3"/>
    <w:qFormat/>
    <w:uiPriority w:val="0"/>
    <w:rPr>
      <w:rFonts w:ascii="黑体" w:hAnsi="Times New Roman" w:eastAsia="黑体" w:cs="Times New Roman"/>
      <w:b/>
      <w:kern w:val="44"/>
      <w:sz w:val="32"/>
      <w:szCs w:val="20"/>
      <w:lang w:val="zh-CN" w:eastAsia="zh-CN"/>
    </w:rPr>
  </w:style>
  <w:style w:type="character" w:customStyle="1" w:styleId="27">
    <w:name w:val="标题 2 Char"/>
    <w:basedOn w:val="21"/>
    <w:link w:val="4"/>
    <w:qFormat/>
    <w:uiPriority w:val="0"/>
    <w:rPr>
      <w:rFonts w:ascii="Arial" w:hAnsi="Arial" w:eastAsia="黑体" w:cs="Times New Roman"/>
      <w:b/>
      <w:bCs/>
      <w:sz w:val="32"/>
      <w:szCs w:val="32"/>
    </w:rPr>
  </w:style>
  <w:style w:type="character" w:customStyle="1" w:styleId="28">
    <w:name w:val="标题 3 Char"/>
    <w:basedOn w:val="21"/>
    <w:link w:val="5"/>
    <w:qFormat/>
    <w:uiPriority w:val="0"/>
    <w:rPr>
      <w:rFonts w:ascii="Arial" w:hAnsi="Arial" w:eastAsia="仿宋_GB2312" w:cs="Times New Roman"/>
      <w:b/>
      <w:sz w:val="24"/>
      <w:szCs w:val="20"/>
      <w:lang w:val="zh-CN" w:eastAsia="zh-CN"/>
    </w:rPr>
  </w:style>
  <w:style w:type="character" w:customStyle="1" w:styleId="29">
    <w:name w:val="标题 4 Char"/>
    <w:basedOn w:val="21"/>
    <w:link w:val="6"/>
    <w:qFormat/>
    <w:uiPriority w:val="0"/>
    <w:rPr>
      <w:rFonts w:ascii="Arial" w:hAnsi="Arial" w:eastAsia="仿宋_GB2312" w:cs="Times New Roman"/>
      <w:sz w:val="24"/>
      <w:szCs w:val="20"/>
      <w:lang w:val="zh-CN" w:eastAsia="zh-CN"/>
    </w:rPr>
  </w:style>
  <w:style w:type="character" w:customStyle="1" w:styleId="30">
    <w:name w:val="标题 5 Char"/>
    <w:basedOn w:val="21"/>
    <w:link w:val="7"/>
    <w:qFormat/>
    <w:uiPriority w:val="0"/>
    <w:rPr>
      <w:rFonts w:ascii="Arial" w:hAnsi="Arial" w:eastAsia="仿宋_GB2312" w:cs="Times New Roman"/>
      <w:sz w:val="24"/>
      <w:szCs w:val="20"/>
      <w:lang w:val="zh-CN" w:eastAsia="zh-CN"/>
    </w:rPr>
  </w:style>
  <w:style w:type="character" w:customStyle="1" w:styleId="31">
    <w:name w:val="标题 6 Char"/>
    <w:basedOn w:val="21"/>
    <w:link w:val="8"/>
    <w:qFormat/>
    <w:uiPriority w:val="0"/>
    <w:rPr>
      <w:rFonts w:ascii="Arial" w:hAnsi="Arial" w:eastAsia="仿宋_GB2312" w:cs="Times New Roman"/>
      <w:sz w:val="24"/>
      <w:szCs w:val="20"/>
      <w:lang w:val="zh-CN" w:eastAsia="zh-CN"/>
    </w:rPr>
  </w:style>
  <w:style w:type="character" w:customStyle="1" w:styleId="32">
    <w:name w:val="标题 7 Char"/>
    <w:basedOn w:val="21"/>
    <w:link w:val="9"/>
    <w:qFormat/>
    <w:uiPriority w:val="0"/>
    <w:rPr>
      <w:rFonts w:ascii="仿宋_GB2312" w:hAnsi="Times New Roman" w:eastAsia="仿宋_GB2312" w:cs="Times New Roman"/>
      <w:sz w:val="24"/>
      <w:szCs w:val="20"/>
      <w:lang w:val="zh-CN" w:eastAsia="zh-CN"/>
    </w:rPr>
  </w:style>
  <w:style w:type="character" w:customStyle="1" w:styleId="33">
    <w:name w:val="正文文本缩进 2 Char"/>
    <w:basedOn w:val="21"/>
    <w:link w:val="13"/>
    <w:qFormat/>
    <w:uiPriority w:val="0"/>
    <w:rPr>
      <w:rFonts w:ascii="仿宋_GB2312" w:hAnsi="Calibri" w:eastAsia="仿宋_GB2312" w:cs="Times New Roman"/>
      <w:sz w:val="24"/>
      <w:szCs w:val="20"/>
    </w:rPr>
  </w:style>
  <w:style w:type="character" w:customStyle="1" w:styleId="34">
    <w:name w:val="正文文本缩进 Char"/>
    <w:basedOn w:val="21"/>
    <w:link w:val="12"/>
    <w:qFormat/>
    <w:uiPriority w:val="0"/>
    <w:rPr>
      <w:rFonts w:ascii="Times New Roman" w:hAnsi="Times New Roman" w:eastAsia="宋体" w:cs="Times New Roman"/>
      <w:szCs w:val="24"/>
      <w:lang w:val="zh-CN" w:eastAsia="zh-CN"/>
    </w:rPr>
  </w:style>
  <w:style w:type="character" w:customStyle="1" w:styleId="35">
    <w:name w:val="正文缩进 Char"/>
    <w:link w:val="10"/>
    <w:qFormat/>
    <w:uiPriority w:val="99"/>
    <w:rPr>
      <w:rFonts w:ascii="Calibri" w:hAnsi="Calibri" w:eastAsia="宋体" w:cs="Times New Roman"/>
      <w:szCs w:val="24"/>
    </w:rPr>
  </w:style>
  <w:style w:type="paragraph" w:customStyle="1" w:styleId="36">
    <w:name w:val="正文正文"/>
    <w:basedOn w:val="1"/>
    <w:qFormat/>
    <w:uiPriority w:val="99"/>
    <w:pPr>
      <w:spacing w:after="25" w:afterLines="25" w:line="360" w:lineRule="auto"/>
      <w:ind w:firstLine="200" w:firstLineChars="200"/>
    </w:pPr>
    <w:rPr>
      <w:sz w:val="24"/>
    </w:rPr>
  </w:style>
  <w:style w:type="character" w:customStyle="1" w:styleId="37">
    <w:name w:val="批注框文本 Char"/>
    <w:basedOn w:val="21"/>
    <w:link w:val="2"/>
    <w:semiHidden/>
    <w:qFormat/>
    <w:uiPriority w:val="99"/>
    <w:rPr>
      <w:rFonts w:ascii="Times New Roman" w:hAnsi="Times New Roman" w:eastAsia="宋体" w:cs="Times New Roman"/>
      <w:sz w:val="18"/>
      <w:szCs w:val="18"/>
    </w:rPr>
  </w:style>
  <w:style w:type="character" w:customStyle="1" w:styleId="38">
    <w:name w:val="批注文字 Char"/>
    <w:basedOn w:val="21"/>
    <w:link w:val="11"/>
    <w:qFormat/>
    <w:uiPriority w:val="99"/>
    <w:rPr>
      <w:rFonts w:ascii="Times New Roman" w:hAnsi="Times New Roman" w:eastAsia="宋体" w:cs="Times New Roman"/>
      <w:szCs w:val="24"/>
    </w:rPr>
  </w:style>
  <w:style w:type="character" w:customStyle="1" w:styleId="39">
    <w:name w:val="批注主题 Char"/>
    <w:basedOn w:val="38"/>
    <w:link w:val="19"/>
    <w:semiHidden/>
    <w:qFormat/>
    <w:uiPriority w:val="99"/>
    <w:rPr>
      <w:rFonts w:ascii="Times New Roman" w:hAnsi="Times New Roman" w:eastAsia="宋体" w:cs="Times New Roman"/>
      <w:b/>
      <w:bCs/>
      <w:szCs w:val="24"/>
    </w:rPr>
  </w:style>
  <w:style w:type="paragraph" w:customStyle="1" w:styleId="40">
    <w:name w:val="修订1"/>
    <w:hidden/>
    <w:semiHidden/>
    <w:qFormat/>
    <w:uiPriority w:val="99"/>
    <w:rPr>
      <w:rFonts w:ascii="Times New Roman" w:hAnsi="Times New Roman" w:eastAsia="宋体" w:cs="Times New Roman"/>
      <w:kern w:val="2"/>
      <w:sz w:val="21"/>
      <w:szCs w:val="24"/>
      <w:lang w:val="en-US" w:eastAsia="zh-CN" w:bidi="ar-SA"/>
    </w:rPr>
  </w:style>
  <w:style w:type="paragraph" w:styleId="41">
    <w:name w:val="List Paragraph"/>
    <w:basedOn w:val="1"/>
    <w:qFormat/>
    <w:uiPriority w:val="34"/>
    <w:pPr>
      <w:ind w:firstLine="420" w:firstLineChars="200"/>
    </w:pPr>
  </w:style>
  <w:style w:type="paragraph" w:customStyle="1" w:styleId="42">
    <w:name w:val="Char Char"/>
    <w:basedOn w:val="1"/>
    <w:qFormat/>
    <w:uiPriority w:val="0"/>
    <w:rPr>
      <w:szCs w:val="20"/>
    </w:rPr>
  </w:style>
  <w:style w:type="paragraph" w:customStyle="1" w:styleId="43">
    <w:name w:val="Char Char1"/>
    <w:basedOn w:val="1"/>
    <w:qFormat/>
    <w:uiPriority w:val="0"/>
    <w:rPr>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0.xml"/><Relationship Id="rId18" Type="http://schemas.openxmlformats.org/officeDocument/2006/relationships/customXml" Target="../customXml/item9.xml"/><Relationship Id="rId17" Type="http://schemas.openxmlformats.org/officeDocument/2006/relationships/customXml" Target="../customXml/item8.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HOSTNAME%">DESKTOP-RERBK9K.hsqhfunds.com</XMLData>
</file>

<file path=customXml/item10.xml><?xml version="1.0" encoding="utf-8"?>
<XMLData TextToDisplay="%CLASSIFICATIONDATETIME%">03:06 06/04/2023</XML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XMLData TextToDisplay="%USERNAME%">xiewei</XMLData>
</file>

<file path=customXml/item4.xml><?xml version="1.0" encoding="utf-8"?>
<ct:contentTypeSchema xmlns:ct="http://schemas.microsoft.com/office/2006/metadata/contentType" xmlns:ma="http://schemas.microsoft.com/office/2006/metadata/properties/metaAttributes" ct:_="" ma:_="" ma:contentTypeName="Document" ma:contentTypeID="0x0101005CF892CA87AC3C449149E796A069584A" ma:contentTypeVersion="0" ma:contentTypeDescription="Create a new document." ma:contentTypeScope="" ma:versionID="36a0b2e3b99e6066eb4e892e7046030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XMLData TextToDisplay="%EMAILADDRESS%">xiewei@hsqhfunds.com</XMLData>
</file>

<file path=customXml/item6.xml><?xml version="1.0" encoding="utf-8"?>
<XMLData TextToDisplay="RightsWATCHMark">4|HQSH-HSQH-内部信息|{00000000-0000-0000-0000-000000000000}</XMLData>
</file>

<file path=customXml/item7.xml><?xml version="1.0" encoding="utf-8"?>
<p:properties xmlns:p="http://schemas.microsoft.com/office/2006/metadata/properties" xmlns:xsi="http://www.w3.org/2001/XMLSchema-instance">
  <documentManagement/>
</p:properties>
</file>

<file path=customXml/item8.xml><?xml version="1.0" encoding="utf-8"?>
<XMLData TextToDisplay="%DOCUMENTGUID%">{00000000-0000-0000-0000-000000000000}</XMLDat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4D3FD-110D-41C8-B90B-53B2B8DE8F7A}">
  <ds:schemaRefs/>
</ds:datastoreItem>
</file>

<file path=customXml/itemProps10.xml><?xml version="1.0" encoding="utf-8"?>
<ds:datastoreItem xmlns:ds="http://schemas.openxmlformats.org/officeDocument/2006/customXml" ds:itemID="{8219AB41-5FFA-4B20-9AD0-C5B5FF5509AB}">
  <ds:schemaRefs/>
</ds:datastoreItem>
</file>

<file path=customXml/itemProps2.xml><?xml version="1.0" encoding="utf-8"?>
<ds:datastoreItem xmlns:ds="http://schemas.openxmlformats.org/officeDocument/2006/customXml" ds:itemID="{BBF6C152-01BC-47CE-A7CC-496A55A17065}">
  <ds:schemaRefs/>
</ds:datastoreItem>
</file>

<file path=customXml/itemProps3.xml><?xml version="1.0" encoding="utf-8"?>
<ds:datastoreItem xmlns:ds="http://schemas.openxmlformats.org/officeDocument/2006/customXml" ds:itemID="{20391E66-6AD7-427C-86C8-09E670873148}">
  <ds:schemaRefs/>
</ds:datastoreItem>
</file>

<file path=customXml/itemProps4.xml><?xml version="1.0" encoding="utf-8"?>
<ds:datastoreItem xmlns:ds="http://schemas.openxmlformats.org/officeDocument/2006/customXml" ds:itemID="{7CBFDEE4-661F-471F-9485-ECA3FBAF7C47}">
  <ds:schemaRefs/>
</ds:datastoreItem>
</file>

<file path=customXml/itemProps5.xml><?xml version="1.0" encoding="utf-8"?>
<ds:datastoreItem xmlns:ds="http://schemas.openxmlformats.org/officeDocument/2006/customXml" ds:itemID="{BA2D31FE-3A69-4FF0-84B1-5E870DED36E6}">
  <ds:schemaRefs/>
</ds:datastoreItem>
</file>

<file path=customXml/itemProps6.xml><?xml version="1.0" encoding="utf-8"?>
<ds:datastoreItem xmlns:ds="http://schemas.openxmlformats.org/officeDocument/2006/customXml" ds:itemID="{21E2D1C6-AA7B-443E-A78C-91C6F6B47849}">
  <ds:schemaRefs/>
</ds:datastoreItem>
</file>

<file path=customXml/itemProps7.xml><?xml version="1.0" encoding="utf-8"?>
<ds:datastoreItem xmlns:ds="http://schemas.openxmlformats.org/officeDocument/2006/customXml" ds:itemID="{E87D0168-16D8-4DAF-9108-2B5D74F65D52}">
  <ds:schemaRefs/>
</ds:datastoreItem>
</file>

<file path=customXml/itemProps8.xml><?xml version="1.0" encoding="utf-8"?>
<ds:datastoreItem xmlns:ds="http://schemas.openxmlformats.org/officeDocument/2006/customXml" ds:itemID="{95AB6641-9D83-4123-9F1C-3E1311AE5FBA}">
  <ds:schemaRefs/>
</ds:datastoreItem>
</file>

<file path=customXml/itemProps9.xml><?xml version="1.0" encoding="utf-8"?>
<ds:datastoreItem xmlns:ds="http://schemas.openxmlformats.org/officeDocument/2006/customXml" ds:itemID="{15F5742A-0804-4EE7-82C3-FFA26765DCAB}">
  <ds:schemaRefs/>
</ds:datastoreItem>
</file>

<file path=docProps/app.xml><?xml version="1.0" encoding="utf-8"?>
<Properties xmlns="http://schemas.openxmlformats.org/officeDocument/2006/extended-properties" xmlns:vt="http://schemas.openxmlformats.org/officeDocument/2006/docPropsVTypes">
  <Template>Normal</Template>
  <Company>suzhoubank.com</Company>
  <Pages>29</Pages>
  <Words>4124</Words>
  <Characters>23507</Characters>
  <Lines>195</Lines>
  <Paragraphs>55</Paragraphs>
  <TotalTime>17</TotalTime>
  <ScaleCrop>false</ScaleCrop>
  <LinksUpToDate>false</LinksUpToDate>
  <CharactersWithSpaces>27576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2025-10-23T06:27:00Z</dcterms:created>
  <dc:creator>Administrator</dc:creator>
  <cp:lastModifiedBy>李恒</cp:lastModifiedBy>
  <dcterms:modified xsi:type="dcterms:W3CDTF">2026-05-13T05:40:46Z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0x0101005CF892CA87AC3C449149E796A069584A</vt:lpwstr>
  </property>
  <property fmtid="{D5CDD505-2E9C-101B-9397-08002B2CF9AE}" pid="3" name="RightsWATCHMark">
    <vt:lpwstr>4|HQSH-HSQH-内部信息|{00000000-0000-0000-0000-000000000000}</vt:lpwstr>
  </property>
  <property fmtid="{D5CDD505-2E9C-101B-9397-08002B2CF9AE}" pid="4" name="KSOProductBuildVer">
    <vt:lpwstr>2052-11.8.2.12085</vt:lpwstr>
  </property>
  <property fmtid="{D5CDD505-2E9C-101B-9397-08002B2CF9AE}" pid="5" name="ICV">
    <vt:lpwstr>692CA70D2BF640CEAF60A800A3F6E0CA</vt:lpwstr>
  </property>
  <property fmtid="{D5CDD505-2E9C-101B-9397-08002B2CF9AE}" pid="6" name="KSOTemplateDocerSaveRecord">
    <vt:lpwstr>eyJoZGlkIjoiNDhkOWIyM2Q4MDc0ZDM5OGJhYmU1YzM5OGQ4YmRmNmEiLCJ1c2VySWQiOiIzNjk3NTQ5NjIifQ==</vt:lpwstr>
  </property>
</Properties>
</file>