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富国裕丰回报混合型证券投资基金（C类份额）基金产品资料概要</w:t>
      </w:r>
    </w:p>
    <w:p w:rsidR="00084FBF" w:rsidRPr="00A14942" w:rsidRDefault="00AD6E2B"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2026年06月01日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2026年05月28日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富国裕丰回报混合</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027566</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富国裕丰回报混合C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027567</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招商银行股份有限公司</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陈斯扬</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jc w:val="center"/>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2013年02月13日</w:t>
            </w:r>
          </w:p>
        </w:tc>
      </w:tr>
    </w:tbl>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jc w:val="center"/>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本基金在严格控制波动率的前提下，力争为基金份额持有人提供长期稳定和超越业绩比较基准的投资回报。</w:t>
            </w:r>
          </w:p>
        </w:tc>
      </w:tr>
      <w:tr>
        <w:trPr>
          <w:trHeight w:val="340"/>
          <w:jc w:val="center"/>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股指期货、股票期权、经中国证监会依法核准或注册的公开募集证券投资基金（包括全市场的股票型ETF、公开募集不动产投资信托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pPr>
              <w:pStyle w:val="ae"/>
            </w:pPr>
            <w:r>
              <w:rPr>
                <w:rFonts w:hint="eastAsia"/>
              </w:rPr>
              <w:t>如法律法规或监管机构以后允许基金投资其他品种，基金管理人在履行适当程序后，可以将其纳入投资范围。</w:t>
            </w:r>
          </w:p>
          <w:p>
            <w:pPr>
              <w:pStyle w:val="ae"/>
            </w:pPr>
            <w:r>
              <w:rPr>
                <w:rFonts w:hint="eastAsia"/>
              </w:rPr>
              <w:t>基金的投资组合比例为：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每个交易日日终在扣除股指期货合约、国债期货合约和股票期权合约需缴纳的交易保证金后，现金或者到期日在一年以内的政府债券不低于基金资产净值的5%，其中现金不包括结算备付金、存出保证金、应收申购款等。其中，计入上述权益类资产的混合型基金需符合下列两个条件之一：</w:t>
            </w:r>
          </w:p>
          <w:p>
            <w:pPr>
              <w:pStyle w:val="ae"/>
            </w:pPr>
            <w:r>
              <w:rPr>
                <w:rFonts w:hint="eastAsia"/>
              </w:rPr>
              <w:t>1、基金合同约定股票及存托凭证资产投资比例不低于基金资产60%的混合型基金；</w:t>
            </w:r>
          </w:p>
          <w:p>
            <w:pPr>
              <w:pStyle w:val="ae"/>
            </w:pPr>
            <w:r>
              <w:rPr>
                <w:rFonts w:hint="eastAsia"/>
              </w:rPr>
              <w:t>2、根据基金披露的定期报告，最近四个季度中任一季度股票及存托凭证资产占基金资产比例均不低于60%的混合型基金。</w:t>
            </w:r>
          </w:p>
          <w:p>
            <w:pPr>
              <w:pStyle w:val="ae"/>
            </w:pPr>
            <w:r>
              <w:rPr>
                <w:rFonts w:hint="eastAsia"/>
              </w:rPr>
              <w:t>如果法律法规或监管机构变更投资品种的投资比例限制，基金管理人在履行适当程序后，可以调整上述投资品种的投资比例。</w:t>
            </w:r>
          </w:p>
        </w:tc>
      </w:tr>
      <w:tr>
        <w:trPr>
          <w:trHeight w:val="340"/>
          <w:jc w:val="center"/>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采取稳健灵活的投资策略，力求在有效控制风险的基础上，获得基金资产的稳定增值；同时根据对权益类市场的趋势研判适度参与股票资产投资，力求提高基金总体收益率。在资产配置方面，本基金采取自上而下的方法对基金资产进行动态的整体资产配置和类属资产配置。在债券等固定收益类资产投资策略方面，本基金主要基于对国家财政政策、货币政策的深入分析以及对宏观经济的动态跟踪，采用久期控制下的主动性投资策略。在股票投资方面，本基金主要采用量化模型选股策略构建投资组合。在基金投资方面，本基金投资于全市场的股票型ETF、公募REITs，以及基金管理人旗下的股票型基金、计入权益类资产的混合型基金。本基金的动态收益增强策略、存托凭证、国债期货、股指期货、股票期权、信用衍生品投资策略详见法律文件。</w:t>
            </w:r>
          </w:p>
        </w:tc>
      </w:tr>
      <w:tr>
        <w:trPr>
          <w:trHeight w:val="340"/>
          <w:jc w:val="center"/>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中债综合全价（总值）指数收益率*80%+中证全指指数收益率*12%+恒生指数收益率*3%+活期存款基准利率*5%</w:t>
            </w:r>
          </w:p>
        </w:tc>
      </w:tr>
      <w:tr>
        <w:trPr>
          <w:trHeight w:val="340"/>
          <w:jc w:val="center"/>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CA1E41" w:rsidRPr="00CA1E41" w:rsidRDefault="00AD6E2B"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r>
        <w:trPr>
          <w:trHeight w:val="340"/>
          <w:jc w:val="center"/>
        </w:trPr>
        <w:tc>
          <w:tcPr>
            <w:tcW w:w="1092" w:type="pct"/>
            <w:shd w:val="clear" w:color="auto" w:fill="auto"/>
            <w:vAlign w:val="center"/>
          </w:tcPr>
          <w:p>
            <w:pPr>
              <w:adjustRightInd w:val="0"/>
              <w:snapToGrid w:val="0"/>
              <w:jc w:val="center"/>
              <w:rPr>
                <w:rFonts w:ascii="宋体" w:eastAsia="宋体" w:hAnsi="宋体"/>
                <w:sz w:val="21"/>
              </w:rPr>
            </w:pPr>
            <w:r>
              <w:rPr>
                <w:rFonts w:ascii="宋体" w:eastAsia="宋体" w:hAnsi="宋体"/>
                <w:sz w:val="21"/>
              </w:rPr>
              <w:t>费用类型</w:t>
            </w:r>
          </w:p>
        </w:tc>
        <w:tc>
          <w:tcPr>
            <w:tcW w:w="1659" w:type="pct"/>
            <w:shd w:val="clear" w:color="auto" w:fill="auto"/>
            <w:vAlign w:val="center"/>
          </w:tcPr>
          <w:p>
            <w:pPr>
              <w:adjustRightInd w:val="0"/>
              <w:snapToGrid w:val="0"/>
              <w:jc w:val="center"/>
              <w:rPr>
                <w:rFonts w:ascii="宋体" w:eastAsia="宋体" w:hAnsi="宋体"/>
                <w:sz w:val="21"/>
              </w:rPr>
            </w:pPr>
            <w:r>
              <w:rPr>
                <w:rFonts w:ascii="宋体" w:eastAsia="宋体" w:hAnsi="宋体"/>
                <w:sz w:val="21"/>
              </w:rPr>
              <w:t>金额（M）/持有期限（N）</w:t>
            </w:r>
          </w:p>
        </w:tc>
        <w:tc>
          <w:tcPr>
            <w:tcW w:w="1125" w:type="pct"/>
            <w:shd w:val="clear" w:color="auto" w:fill="auto"/>
            <w:vAlign w:val="center"/>
            <w:gridSpan w:val="2"/>
          </w:tcPr>
          <w:p>
            <w:pPr>
              <w:adjustRightInd w:val="0"/>
              <w:snapToGrid w:val="0"/>
              <w:jc w:val="center"/>
              <w:rPr>
                <w:rFonts w:ascii="宋体" w:eastAsia="宋体" w:hAnsi="宋体"/>
                <w:sz w:val="21"/>
              </w:rPr>
            </w:pPr>
            <w:r>
              <w:rPr>
                <w:rFonts w:ascii="宋体" w:eastAsia="宋体" w:hAnsi="宋体"/>
                <w:sz w:val="21"/>
              </w:rPr>
              <w:t>费率</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r>
        <w:trPr>
          <w:trHeight w:val="340"/>
          <w:jc w:val="center"/>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jc w:val="center"/>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1.0%</w:t>
            </w:r>
          </w:p>
        </w:tc>
      </w:tr>
      <w:tr>
        <w:trPr>
          <w:trHeight w:val="340"/>
          <w:jc w:val="center"/>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30≤N＜180天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trPr>
          <w:trHeight w:val="340"/>
          <w:jc w:val="center"/>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注：本基金C类基金份额不收取认购、申购费用，赎回费用在投资者赎回基金过程中收取，赎回费全额计入基金财产。</w:t>
      </w:r>
    </w:p>
    <w:p w:rsidR="00956AC1" w:rsidRDefault="00A535E9" w:rsidP="00F50507">
      <w:pPr>
        <w:pStyle w:val="2"/>
      </w:pPr>
      <w:r w:rsidRPr="00A14942">
        <w:rPr>
          <w:rFonts w:hint="eastAsia"/>
        </w:rPr>
        <w:t>基金运作相关费用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4916"/>
        <w:gridCol w:w="2191"/>
      </w:tblGrid>
      <w:tr>
        <w:trPr>
          <w:jc w:val="center"/>
        </w:trP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rPr>
          <w:jc w:val="center"/>
        </w:trP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0.80%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rPr>
          <w:jc w:val="center"/>
        </w:trP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rP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以及通过代销机构认购/申购且持续持有期限超过一年（即365天）的C类基金份额超过一年继续计提的销售服务费，将在投资者赎回基金份额或基金合同终止时，随赎回款（或清算款）一并返还给投资者。</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混合型基金，本基金对股票、存托凭证、股票型基金、混合型基金等权益类资产及可转换债券、分离交易可转债、可交换债券资产的合计投资比例为基金资产的10%-30%；其中，投资于境内股票和股票型ETF的比例不低于基金资产的10%，投资于港股通标的股票的比例不超过股票资产的50%；本基金持有其他基金，其市值不超过基金资产净值的10%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2、股指期货投资风险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本基金可投资股指期货，股指期货采用保证金交易制度，若投资股指期货，由于保证金交易具有杠杆性，当出现不利行情时，股价指数微小的变动就可能会使投资人权益遭受较大损失。</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3、国债期货投资风险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本基金可投资国债期货，若投资国债期货，可能面临市场风险、基差风险、流动性风险。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4、股票期权投资风险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5、资产支持证券投资风险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6、本基金可以投资于港股通标的股票，投资风险包括：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7、存托凭证风险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若本基金投资于存托凭证，在承担境内上市交易股票投资的共同风险外，还将承担与存托凭证、创新企业发行、境外发行人以及交易机制相关的特有风险。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8、信用衍生品投资风险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本基金可投资于科创板，若本基金投资于科创板股票，会面临科创板机制下因投资标的、市场制度以及交易规则等差异带来的特有风险。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10、基金投资其他基金的风险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针对基金投资，本基金投资于全市场的股票型ETF、公募REITs，以及基金管理人旗下的股票型基金、计入权益类资产的混合型基金。本基金对被投资基金的评估具有一定的主观性，将在基金投资决策中给基金带来一定的不确定性的风险。本基金最终获取的回报与直接投资于其他基金获取的回报存在差异。</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与本基金或基金合同相关的一切争议均应提交深圳国际仲裁院仲裁，仲裁裁决是终局的，对仲裁各方当事人均具有约束力。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E2B" w:rsidRDefault="00AD6E2B" w:rsidP="00084FBF">
      <w:r>
        <w:separator/>
      </w:r>
    </w:p>
  </w:endnote>
  <w:endnote w:type="continuationSeparator" w:id="0">
    <w:p w:rsidR="00AD6E2B" w:rsidRDefault="00AD6E2B"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B637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B6371">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E2B" w:rsidRDefault="00AD6E2B" w:rsidP="00084FBF">
      <w:r>
        <w:separator/>
      </w:r>
    </w:p>
  </w:footnote>
  <w:footnote w:type="continuationSeparator" w:id="0">
    <w:p w:rsidR="00AD6E2B" w:rsidRDefault="00AD6E2B"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7BF"/>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B613C"/>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B6371"/>
    <w:rsid w:val="00AC219B"/>
    <w:rsid w:val="00AC3F57"/>
    <w:rsid w:val="00AD6E2B"/>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c09594c78ef8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c09594c78ef8404d"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7147AB"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7147AB"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7147AB"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361E55"/>
    <w:rsid w:val="00407B11"/>
    <w:rsid w:val="00445ADB"/>
    <w:rsid w:val="007147A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47</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26</cp:revision>
  <dcterms:created xsi:type="dcterms:W3CDTF">2022-09-28T03:08:00Z</dcterms:created>
  <dcterms:modified xsi:type="dcterms:W3CDTF">2026-01-26T02:30:00Z</dcterms:modified>
</cp:coreProperties>
</file>